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14.8.0.0 -->
  <w:body>
    <w:tbl>
      <w:tblPr>
        <w:tblStyle w:val="TableGrid"/>
        <w:tblW w:w="5000" w:type="pct"/>
        <w:tblBorders>
          <w:top w:val="nil"/>
          <w:left w:val="nil"/>
          <w:bottom w:val="nil"/>
          <w:right w:val="nil"/>
          <w:insideH w:val="nil"/>
          <w:insideV w:val="nil"/>
        </w:tblBorders>
        <w:tblLook w:val="04A0"/>
      </w:tblPr>
      <w:tblGrid>
        <w:gridCol w:w="4927"/>
        <w:gridCol w:w="4928"/>
      </w:tblGrid>
      <w:tr w:rsidTr="00381F0A">
        <w:tblPrEx>
          <w:tblW w:w="5000" w:type="pct"/>
          <w:tblBorders>
            <w:top w:val="nil"/>
            <w:left w:val="nil"/>
            <w:bottom w:val="nil"/>
            <w:right w:val="nil"/>
            <w:insideH w:val="nil"/>
            <w:insideV w:val="nil"/>
          </w:tblBorders>
          <w:tblLook w:val="04A0"/>
        </w:tblPrEx>
        <w:tc>
          <w:tcPr>
            <w:tcW w:w="2500" w:type="pct"/>
          </w:tcPr>
          <w:p w:rsidR="003C55AE" w:rsidRPr="003C55AE" w:rsidP="00CF1751">
            <w:pPr>
              <w:pStyle w:val="CSBody0"/>
            </w:pPr>
            <w:bookmarkStart w:id="0" w:name="_GoBack"/>
            <w:bookmarkEnd w:id="0"/>
            <w:r w:rsidRPr="003C55AE">
              <w:t>This document constitutes two base prospectuses within the meaning of art. 22 (6) No. 4 of the Commission Regulation (EC) No. 809|2004 as amended, (i) the English language ver-sion of the base prospectus, and (ii) the German language version of the base prospectus.</w:t>
            </w:r>
          </w:p>
        </w:tc>
        <w:tc>
          <w:tcPr>
            <w:tcW w:w="2500" w:type="pct"/>
          </w:tcPr>
          <w:p w:rsidR="003C55AE" w:rsidRPr="003C55AE" w:rsidP="007E09F8">
            <w:pPr>
              <w:pStyle w:val="CSBody0"/>
              <w:rPr>
                <w:lang w:val="de-DE"/>
              </w:rPr>
            </w:pPr>
            <w:r w:rsidRPr="003C55AE">
              <w:rPr>
                <w:lang w:val="de-DE"/>
              </w:rPr>
              <w:t>Das nachfolgende Dokument enthält zwei Basisprospekte im Sinne von Art. 22 (6) Nr. 4 der Verordnung (EG) Nr. 809|2004 der Kommission in der jeweils geltenden Fassung (i) die englische Fassung des Basisprospekts und (ii) die deutsche Fassung des Basisprospekts.</w:t>
            </w:r>
          </w:p>
        </w:tc>
      </w:tr>
      <w:tr w:rsidTr="00381F0A">
        <w:tblPrEx>
          <w:tblW w:w="5000" w:type="pct"/>
          <w:tblLook w:val="04A0"/>
        </w:tblPrEx>
        <w:tc>
          <w:tcPr>
            <w:tcW w:w="2500" w:type="pct"/>
          </w:tcPr>
          <w:p w:rsidR="00CF1751" w:rsidRPr="00A17A16" w:rsidP="00CF1751">
            <w:pPr>
              <w:pStyle w:val="CSBody0"/>
            </w:pPr>
            <w:r w:rsidRPr="007E09F8">
              <w:rPr>
                <w:b/>
              </w:rPr>
              <w:t xml:space="preserve">PROGRAMME FOR THE ISSUANCE OF DERIVATIVES </w:t>
            </w:r>
            <w:r w:rsidRPr="007E09F8">
              <w:t>pursuant to the Additional Rules for the Listing of Derivatives of the SIX Swiss Exchange Ltd</w:t>
            </w:r>
          </w:p>
        </w:tc>
        <w:tc>
          <w:tcPr>
            <w:tcW w:w="2500" w:type="pct"/>
          </w:tcPr>
          <w:p w:rsidR="00CF1751" w:rsidRPr="00B34C1C" w:rsidP="007E09F8">
            <w:pPr>
              <w:pStyle w:val="CSBody0"/>
              <w:rPr>
                <w:lang w:val="de-DE"/>
              </w:rPr>
            </w:pPr>
            <w:r w:rsidRPr="007E09F8">
              <w:rPr>
                <w:b/>
                <w:lang w:val="de-DE"/>
              </w:rPr>
              <w:t>EMISSIONSPROGRAMM FÜR DERIVATE</w:t>
            </w:r>
            <w:r w:rsidRPr="007E09F8">
              <w:rPr>
                <w:lang w:val="de-DE"/>
              </w:rPr>
              <w:t xml:space="preserve"> gemäss Zusatzreglement für die Kotierung von Derivaten der SIX Swiss Exchange AG</w:t>
            </w:r>
          </w:p>
        </w:tc>
      </w:tr>
      <w:tr w:rsidTr="007E09F8">
        <w:tblPrEx>
          <w:tblW w:w="5000" w:type="pct"/>
          <w:tblLook w:val="04A0"/>
        </w:tblPrEx>
        <w:tc>
          <w:tcPr>
            <w:tcW w:w="5000" w:type="pct"/>
            <w:gridSpan w:val="2"/>
          </w:tcPr>
          <w:p w:rsidR="00CF1751" w:rsidRPr="00B34C1C" w:rsidP="00CF1751">
            <w:pPr>
              <w:rPr>
                <w:lang w:val="de-DE"/>
              </w:rPr>
            </w:pPr>
            <w:r w:rsidRPr="00645D47">
              <w:rPr>
                <w:noProof/>
                <w:szCs w:val="16"/>
                <w:lang w:eastAsia="en-GB"/>
              </w:rPr>
              <w:drawing>
                <wp:anchor distT="0" distB="0" distL="114300" distR="114300" simplePos="0" relativeHeight="251658240" behindDoc="1" locked="0" layoutInCell="1" allowOverlap="1">
                  <wp:simplePos x="0" y="0"/>
                  <wp:positionH relativeFrom="column">
                    <wp:posOffset>2251710</wp:posOffset>
                  </wp:positionH>
                  <wp:positionV relativeFrom="paragraph">
                    <wp:posOffset>4445</wp:posOffset>
                  </wp:positionV>
                  <wp:extent cx="1412875" cy="497840"/>
                  <wp:effectExtent l="0" t="0" r="0" b="0"/>
                  <wp:wrapTight wrapText="bothSides">
                    <wp:wrapPolygon>
                      <wp:start x="0" y="0"/>
                      <wp:lineTo x="0" y="20663"/>
                      <wp:lineTo x="21260" y="20663"/>
                      <wp:lineTo x="21260" y="0"/>
                      <wp:lineTo x="0" y="0"/>
                    </wp:wrapPolygon>
                  </wp:wrapTight>
                  <wp:docPr id="1" name="Bild 1" descr="CS_farbig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CS_farbig I"/>
                          <pic:cNvPicPr>
                            <a:picLocks noChangeAspect="1" noChangeArrowheads="1"/>
                          </pic:cNvPicPr>
                        </pic:nvPicPr>
                        <pic:blipFill>
                          <a:blip xmlns:r="http://schemas.openxmlformats.org/officeDocument/2006/relationships" r:embed="rId8">
                            <a:extLst>
                              <a:ext uri="{28A0092B-C50C-407E-A947-70E740481C1C}">
                                <a14:useLocalDpi xmlns:a14="http://schemas.microsoft.com/office/drawing/2010/main" val="0"/>
                              </a:ext>
                            </a:extLst>
                          </a:blip>
                          <a:srcRect/>
                          <a:stretch>
                            <a:fillRect/>
                          </a:stretch>
                        </pic:blipFill>
                        <pic:spPr bwMode="auto">
                          <a:xfrm>
                            <a:off x="0" y="0"/>
                            <a:ext cx="1412875" cy="497840"/>
                          </a:xfrm>
                          <a:prstGeom prst="rect">
                            <a:avLst/>
                          </a:prstGeom>
                          <a:noFill/>
                          <a:ln>
                            <a:noFill/>
                          </a:ln>
                        </pic:spPr>
                      </pic:pic>
                    </a:graphicData>
                  </a:graphic>
                </wp:anchor>
              </w:drawing>
            </w:r>
          </w:p>
        </w:tc>
      </w:tr>
      <w:tr w:rsidTr="00381F0A">
        <w:tblPrEx>
          <w:tblW w:w="5000" w:type="pct"/>
          <w:tblLook w:val="04A0"/>
        </w:tblPrEx>
        <w:tc>
          <w:tcPr>
            <w:tcW w:w="2500" w:type="pct"/>
          </w:tcPr>
          <w:p w:rsidR="00CF1751" w:rsidRPr="00CF1751" w:rsidP="007E09F8">
            <w:pPr>
              <w:pStyle w:val="CSSubtitle"/>
            </w:pPr>
            <w:r w:rsidRPr="00CF1751">
              <w:t>Base Prospectus for the issuance of Fixed Income Products of Credit Suisse AG</w:t>
            </w:r>
          </w:p>
        </w:tc>
        <w:tc>
          <w:tcPr>
            <w:tcW w:w="2500" w:type="pct"/>
          </w:tcPr>
          <w:p w:rsidR="00CF1751" w:rsidRPr="00B34C1C" w:rsidP="007E09F8">
            <w:pPr>
              <w:pStyle w:val="CSSubtitle"/>
              <w:rPr>
                <w:lang w:val="de-DE"/>
              </w:rPr>
            </w:pPr>
            <w:r w:rsidRPr="00B34C1C">
              <w:rPr>
                <w:lang w:val="de-DE"/>
              </w:rPr>
              <w:t>Basisprospekt für die Emission von Fixed-Income-Produkten der Credit Suisse AG</w:t>
            </w:r>
          </w:p>
        </w:tc>
      </w:tr>
      <w:tr w:rsidTr="00381F0A">
        <w:tblPrEx>
          <w:tblW w:w="5000" w:type="pct"/>
          <w:tblLook w:val="04A0"/>
        </w:tblPrEx>
        <w:tc>
          <w:tcPr>
            <w:tcW w:w="2500" w:type="pct"/>
          </w:tcPr>
          <w:p w:rsidR="00CF1751" w:rsidRPr="00D71ECA" w:rsidP="007E09F8">
            <w:pPr>
              <w:pStyle w:val="CSBody0"/>
            </w:pPr>
            <w:r w:rsidRPr="00D71ECA">
              <w:t>Credit Suisse</w:t>
            </w:r>
            <w:r w:rsidR="007E09F8">
              <w:t> </w:t>
            </w:r>
            <w:r w:rsidRPr="00D71ECA">
              <w:t>AG, a corporation with limited liability under the laws of Switzerland ("</w:t>
            </w:r>
            <w:r w:rsidRPr="00CF1751">
              <w:rPr>
                <w:b/>
              </w:rPr>
              <w:t>Credit Suisse</w:t>
            </w:r>
            <w:r w:rsidRPr="00D71ECA">
              <w:t>"), acting through its head office or a designated branch (the "</w:t>
            </w:r>
            <w:r w:rsidRPr="00CF1751">
              <w:rPr>
                <w:b/>
              </w:rPr>
              <w:t>Issuer</w:t>
            </w:r>
            <w:r w:rsidRPr="00D71ECA">
              <w:t>"), will issue fixed income products (the "</w:t>
            </w:r>
            <w:r w:rsidRPr="00CF1751">
              <w:rPr>
                <w:b/>
              </w:rPr>
              <w:t>Complex Products</w:t>
            </w:r>
            <w:r w:rsidRPr="00D71ECA">
              <w:t>") in bearer or uncertificated form from time to time hereunder.</w:t>
            </w:r>
          </w:p>
        </w:tc>
        <w:tc>
          <w:tcPr>
            <w:tcW w:w="2500" w:type="pct"/>
          </w:tcPr>
          <w:p w:rsidR="00CF1751" w:rsidRPr="00B34C1C" w:rsidP="00B629AC">
            <w:pPr>
              <w:pStyle w:val="CSBody0"/>
              <w:rPr>
                <w:lang w:val="de-DE"/>
              </w:rPr>
            </w:pPr>
            <w:r w:rsidRPr="00B34C1C">
              <w:rPr>
                <w:lang w:val="de-DE"/>
              </w:rPr>
              <w:t>Die Credit Suisse AG, eine nach Schweizer Recht organisierte Aktiengesellschaft (die "</w:t>
            </w:r>
            <w:r w:rsidRPr="00B34C1C">
              <w:rPr>
                <w:b/>
                <w:lang w:val="de-DE"/>
              </w:rPr>
              <w:t>Credit Suisse</w:t>
            </w:r>
            <w:r w:rsidRPr="00B34C1C">
              <w:rPr>
                <w:lang w:val="de-DE"/>
              </w:rPr>
              <w:t>"), handelnd durch ihren Hauptsitz oder eine dazu bestimmte Zweigniederlassung (die "</w:t>
            </w:r>
            <w:r w:rsidRPr="00B34C1C">
              <w:rPr>
                <w:b/>
                <w:lang w:val="de-DE"/>
              </w:rPr>
              <w:t>Emittentin</w:t>
            </w:r>
            <w:r w:rsidRPr="00B34C1C">
              <w:rPr>
                <w:lang w:val="de-DE"/>
              </w:rPr>
              <w:t>"), wird im Rahmen dieses Basisprospekts Fixed-Income-Produkte (die "</w:t>
            </w:r>
            <w:r w:rsidRPr="00B34C1C">
              <w:rPr>
                <w:b/>
                <w:lang w:val="de-DE"/>
              </w:rPr>
              <w:t>Komplexen Produkte</w:t>
            </w:r>
            <w:r w:rsidRPr="00B34C1C">
              <w:rPr>
                <w:lang w:val="de-DE"/>
              </w:rPr>
              <w:t>") als Inhaberpapier oder in unverbriefter Form begeben.</w:t>
            </w:r>
          </w:p>
        </w:tc>
      </w:tr>
      <w:tr w:rsidTr="00381F0A">
        <w:tblPrEx>
          <w:tblW w:w="5000" w:type="pct"/>
          <w:tblLook w:val="04A0"/>
        </w:tblPrEx>
        <w:tc>
          <w:tcPr>
            <w:tcW w:w="2500" w:type="pct"/>
          </w:tcPr>
          <w:p w:rsidR="00CF1751" w:rsidP="00CF1751">
            <w:pPr>
              <w:pStyle w:val="CSBody0"/>
            </w:pPr>
            <w:r w:rsidRPr="007E09F8">
              <w:t>This base prospectus (this "</w:t>
            </w:r>
            <w:r w:rsidRPr="007E09F8">
              <w:rPr>
                <w:b/>
              </w:rPr>
              <w:t>Base Prospectus</w:t>
            </w:r>
            <w:r w:rsidRPr="007E09F8">
              <w:t>" or this "</w:t>
            </w:r>
            <w:r w:rsidRPr="007E09F8">
              <w:rPr>
                <w:b/>
              </w:rPr>
              <w:t>Document</w:t>
            </w:r>
            <w:r w:rsidRPr="007E09F8">
              <w:t xml:space="preserve">") has been filed as a base prospectus within the meaning of </w:t>
            </w:r>
            <w:r w:rsidR="00674A5A">
              <w:t>§ </w:t>
            </w:r>
            <w:r w:rsidRPr="007E09F8">
              <w:t>6 German Securities Prospectus Act (</w:t>
            </w:r>
            <w:r w:rsidRPr="007E09F8">
              <w:rPr>
                <w:i/>
              </w:rPr>
              <w:t>Wertpapierprospektgesetz</w:t>
            </w:r>
            <w:r w:rsidRPr="007E09F8">
              <w:t>, "</w:t>
            </w:r>
            <w:r w:rsidRPr="007E09F8">
              <w:rPr>
                <w:b/>
              </w:rPr>
              <w:t>WpPG</w:t>
            </w:r>
            <w:r w:rsidRPr="007E09F8">
              <w:t xml:space="preserve">") with the </w:t>
            </w:r>
            <w:r w:rsidRPr="007E09F8">
              <w:rPr>
                <w:i/>
              </w:rPr>
              <w:t>Bundesanstalt für Finanzdienstleistungsaufsicht</w:t>
            </w:r>
            <w:r w:rsidRPr="007E09F8">
              <w:t xml:space="preserve"> ("</w:t>
            </w:r>
            <w:r w:rsidRPr="007E09F8">
              <w:rPr>
                <w:b/>
              </w:rPr>
              <w:t>BaFin</w:t>
            </w:r>
            <w:r w:rsidRPr="007E09F8">
              <w:t>") in its capacity as competent authority under the WpPG, which implements the EU Directive 2003/71/EC as amended (the "</w:t>
            </w:r>
            <w:r w:rsidRPr="007E09F8">
              <w:rPr>
                <w:b/>
              </w:rPr>
              <w:t>Prospectus Directive</w:t>
            </w:r>
            <w:r w:rsidRPr="007E09F8">
              <w:t>") into German law. Credit Suisse has requested BaFin to provide a certificate of approval (a "</w:t>
            </w:r>
            <w:r w:rsidRPr="007E09F8">
              <w:rPr>
                <w:b/>
              </w:rPr>
              <w:t>Notification</w:t>
            </w:r>
            <w:r w:rsidRPr="007E09F8">
              <w:t>") to the competent authorities in Austria, Luxembourg and Liechtenstein (in each case for the English and German language version) and the United Kingdom and the Netherlands (English language version) attesting that this Base Prospectus has been drawn up in accordance with the WpPG. Credit Suisse may request BaFin to provide a Notification to competent authorities in additional member states within the European Economic Area. BaFin has not examined whether the English language version of this Base Prospectus conforms to the German language version of this Base Prospectus.</w:t>
            </w:r>
          </w:p>
        </w:tc>
        <w:tc>
          <w:tcPr>
            <w:tcW w:w="2500" w:type="pct"/>
          </w:tcPr>
          <w:p w:rsidR="00CF1751" w:rsidRPr="00B34C1C" w:rsidP="00B629AC">
            <w:pPr>
              <w:pStyle w:val="CSBody0"/>
              <w:rPr>
                <w:lang w:val="de-DE"/>
              </w:rPr>
            </w:pPr>
            <w:r w:rsidRPr="007E09F8">
              <w:rPr>
                <w:lang w:val="de-DE"/>
              </w:rPr>
              <w:t>Der vorliegende Basisprospekt (der "</w:t>
            </w:r>
            <w:r w:rsidRPr="007E09F8">
              <w:rPr>
                <w:b/>
                <w:lang w:val="de-DE"/>
              </w:rPr>
              <w:t>Basisprospekt</w:t>
            </w:r>
            <w:r w:rsidRPr="007E09F8">
              <w:rPr>
                <w:lang w:val="de-DE"/>
              </w:rPr>
              <w:t>" oder das "</w:t>
            </w:r>
            <w:r w:rsidRPr="007E09F8">
              <w:rPr>
                <w:b/>
                <w:lang w:val="de-DE"/>
              </w:rPr>
              <w:t>Dokument</w:t>
            </w:r>
            <w:r w:rsidRPr="007E09F8">
              <w:rPr>
                <w:lang w:val="de-DE"/>
              </w:rPr>
              <w:t>") wurde bei der Bundesanstalt für Finanzdienstleistungsaufsicht ("</w:t>
            </w:r>
            <w:r w:rsidRPr="007E09F8">
              <w:rPr>
                <w:b/>
                <w:lang w:val="de-DE"/>
              </w:rPr>
              <w:t>BaFin</w:t>
            </w:r>
            <w:r w:rsidRPr="007E09F8">
              <w:rPr>
                <w:lang w:val="de-DE"/>
              </w:rPr>
              <w:t>") in ihrer Eigenschaft als zuständige Behörde im Sinne des Wertpapierprospektgesetzes ("</w:t>
            </w:r>
            <w:r w:rsidRPr="007E09F8">
              <w:rPr>
                <w:b/>
                <w:lang w:val="de-DE"/>
              </w:rPr>
              <w:t>WpPG</w:t>
            </w:r>
            <w:r w:rsidRPr="007E09F8">
              <w:rPr>
                <w:lang w:val="de-DE"/>
              </w:rPr>
              <w:t>"), mit dem die EU Richtlinie 2003/71/EG in der jeweils geltenden Fassung (die "</w:t>
            </w:r>
            <w:r w:rsidRPr="007E09F8">
              <w:rPr>
                <w:b/>
                <w:lang w:val="de-DE"/>
              </w:rPr>
              <w:t>Prospektrichtlinie</w:t>
            </w:r>
            <w:r w:rsidRPr="007E09F8">
              <w:rPr>
                <w:lang w:val="de-DE"/>
              </w:rPr>
              <w:t xml:space="preserve">") in deutsches Recht umgesetzt wurde, als Basisprospekt im Sinne von </w:t>
            </w:r>
            <w:r w:rsidR="00674A5A">
              <w:rPr>
                <w:lang w:val="de-DE"/>
              </w:rPr>
              <w:t>§ </w:t>
            </w:r>
            <w:r w:rsidRPr="007E09F8">
              <w:rPr>
                <w:lang w:val="de-DE"/>
              </w:rPr>
              <w:t>6 WpPG hinterlegt. Die Credit Suisse hat bei der BaFin eine Bescheinigung über die Billigung (eine "</w:t>
            </w:r>
            <w:r w:rsidRPr="007E09F8">
              <w:rPr>
                <w:b/>
                <w:lang w:val="de-DE"/>
              </w:rPr>
              <w:t>Notifizierung</w:t>
            </w:r>
            <w:r w:rsidRPr="007E09F8">
              <w:rPr>
                <w:lang w:val="de-DE"/>
              </w:rPr>
              <w:t>") an die zuständigen Behörden in Österreich, Luxemburg und Liechtenstein (jeweils für die englische und deutsche Fassung) und im Vereinigten Königreich und den Niederlanden (englische Fassung) beantragt, worin bestätigt wird, dass dieser Basisprospekt in Übereinstimmung mit dem WpPG erstellt wurde. Die Credit Suisse kann bei der BaFin eine Notifizierung an die zuständigen Behörden in weiteren Mitgliedstaaten des Europäischen Wirtschaftsraums beantragen. Die BaFin hat nicht überprüft, ob die englische Fassung des Basisprospekts und die deutsche Fassung des Basisprospekts übereinstimmen.</w:t>
            </w:r>
          </w:p>
        </w:tc>
      </w:tr>
      <w:tr w:rsidTr="00381F0A">
        <w:tblPrEx>
          <w:tblW w:w="5000" w:type="pct"/>
          <w:tblLook w:val="04A0"/>
        </w:tblPrEx>
        <w:tc>
          <w:tcPr>
            <w:tcW w:w="2500" w:type="pct"/>
          </w:tcPr>
          <w:p w:rsidR="00CF1751" w:rsidP="00CF1751">
            <w:pPr>
              <w:pStyle w:val="CSBody0"/>
            </w:pPr>
            <w:r w:rsidRPr="007E09F8">
              <w:t>Application has been made to register this Programme for the Issuance of Derivatives on the SIX Swiss Exchange Ltd (the "</w:t>
            </w:r>
            <w:r w:rsidRPr="007E09F8">
              <w:rPr>
                <w:b/>
              </w:rPr>
              <w:t>SIX Swiss Exchange</w:t>
            </w:r>
            <w:r w:rsidRPr="007E09F8">
              <w:t>"). Complex Products issued under this Programme for the Issuance of Derivatives may be (i) listed on the SIX Swiss Exchange and be admitted to trading on the platform of SIX Structured Products Exchange Ltd, (ii) be included to trading on the Open Market (</w:t>
            </w:r>
            <w:r w:rsidRPr="007E09F8">
              <w:rPr>
                <w:i/>
              </w:rPr>
              <w:t>Freiverkehr</w:t>
            </w:r>
            <w:r w:rsidRPr="007E09F8">
              <w:t>) of the Frankfurt Stock Exchange (</w:t>
            </w:r>
            <w:r w:rsidRPr="000F4148">
              <w:rPr>
                <w:i/>
              </w:rPr>
              <w:t>Börse Frankfurt Zertifikate AG</w:t>
            </w:r>
            <w:r w:rsidRPr="007E09F8">
              <w:t xml:space="preserve"> platform, including, as the case may be, the Premium Segment), (iii) admitted to listing on the Borsa Italiana S.p.A. and admitted to trading on the Electronic Securitised Derivatives Market of Borsa Italiana S.p.A. (the "</w:t>
            </w:r>
            <w:r w:rsidRPr="007E09F8">
              <w:rPr>
                <w:b/>
              </w:rPr>
              <w:t>SeDeX Market</w:t>
            </w:r>
            <w:r w:rsidRPr="007E09F8">
              <w:t>") or (iv) listed on any other stock exchange, including but not limited to any unregulated market of any stock exchange, as agreed between the Issuer and the relevant dealer(s) in relation to the relevant Complex Products.</w:t>
            </w:r>
          </w:p>
        </w:tc>
        <w:tc>
          <w:tcPr>
            <w:tcW w:w="2500" w:type="pct"/>
          </w:tcPr>
          <w:p w:rsidR="00CF1751" w:rsidRPr="00B34C1C" w:rsidP="00B629AC">
            <w:pPr>
              <w:pStyle w:val="CSBody0"/>
              <w:rPr>
                <w:lang w:val="de-DE"/>
              </w:rPr>
            </w:pPr>
            <w:r w:rsidRPr="007E09F8">
              <w:rPr>
                <w:lang w:val="de-DE"/>
              </w:rPr>
              <w:t>Die Registrierung dieses Emissionsprogramms bei der SIX Swiss Exchange AG (die "</w:t>
            </w:r>
            <w:r w:rsidRPr="007E09F8">
              <w:rPr>
                <w:b/>
                <w:lang w:val="de-DE"/>
              </w:rPr>
              <w:t>SIX Swiss Exchange</w:t>
            </w:r>
            <w:r w:rsidRPr="007E09F8">
              <w:rPr>
                <w:lang w:val="de-DE"/>
              </w:rPr>
              <w:t>") wurde beantragt. Im Rahmen dieses Emissionsprogramms begebene Komplexe Produkte können (i) an der SIX Swiss Exchange notiert und zum Handel auf der Plattform der SIX Structured Products Exchange AG zugelassen werden, (ii) in den Freiverkehr der Frankfurter Wertpapierbörse (Plattform der Börse Frankfurt Zertifikate AG, gegebenenfalls auch im Premium Segment), einbezogen werden, (iii) an der Borsa Italiana S.p.A. notiert und zum Handel am Electronic Securitised Derivatives Market der Borsa Italiana S.p.A. (der "</w:t>
            </w:r>
            <w:r w:rsidRPr="007E09F8">
              <w:rPr>
                <w:b/>
                <w:lang w:val="de-DE"/>
              </w:rPr>
              <w:t>SeDeX-Markt</w:t>
            </w:r>
            <w:r w:rsidRPr="007E09F8">
              <w:rPr>
                <w:lang w:val="de-DE"/>
              </w:rPr>
              <w:t xml:space="preserve">") zugelassen werden oder (iv) an einer anderen Wertpapierbörse, einschliesslich (jedoch nicht beschränkt auf) deren unregulierten Marktsegmenten, notiert werden, wie jeweils zwischen der Emittentin und dem/den jeweiligen Platzeur(en) in Bezug auf die betreffenden </w:t>
            </w:r>
            <w:r w:rsidRPr="007E09F8">
              <w:rPr>
                <w:lang w:val="de-DE"/>
              </w:rPr>
              <w:t>Komplexen Produkte vereinbart.</w:t>
            </w:r>
          </w:p>
        </w:tc>
      </w:tr>
      <w:tr w:rsidTr="00381F0A">
        <w:tblPrEx>
          <w:tblW w:w="5000" w:type="pct"/>
          <w:tblLook w:val="04A0"/>
        </w:tblPrEx>
        <w:tc>
          <w:tcPr>
            <w:tcW w:w="2500" w:type="pct"/>
          </w:tcPr>
          <w:p w:rsidR="00CF1751" w:rsidRPr="00DE10D4" w:rsidP="007046C5">
            <w:pPr>
              <w:pStyle w:val="CSbody0bold"/>
              <w:rPr>
                <w:lang w:val="en-GB"/>
              </w:rPr>
            </w:pPr>
            <w:r w:rsidRPr="00DE10D4">
              <w:rPr>
                <w:lang w:val="en-GB"/>
              </w:rPr>
              <w:t>A Complex Product does not constitute a collective investment scheme within the meaning of the Swiss Federal Act on Collective Investment Schemes ("CISA"). Therefore, it is not subject to authorisation</w:t>
            </w:r>
            <w:r w:rsidR="007046C5">
              <w:rPr>
                <w:lang w:val="en-GB"/>
              </w:rPr>
              <w:t xml:space="preserve"> or supervision</w:t>
            </w:r>
            <w:r w:rsidRPr="00DE10D4">
              <w:rPr>
                <w:lang w:val="en-GB"/>
              </w:rPr>
              <w:t xml:space="preserve"> by the Swiss Financial Market Supervisory Authority FINMA ("FINMA").</w:t>
            </w:r>
            <w:r w:rsidR="007046C5">
              <w:rPr>
                <w:lang w:val="en-GB"/>
              </w:rPr>
              <w:t xml:space="preserve"> Investors bear the Issuer risk.</w:t>
            </w:r>
          </w:p>
        </w:tc>
        <w:tc>
          <w:tcPr>
            <w:tcW w:w="2500" w:type="pct"/>
          </w:tcPr>
          <w:p w:rsidR="00CF1751" w:rsidRPr="00B34C1C">
            <w:pPr>
              <w:pStyle w:val="CSbody0bold"/>
            </w:pPr>
            <w:r w:rsidRPr="007E09F8">
              <w:t>Ein Komplexes Produkt stellt keine kollektive Kapitalanlage im Sinne des Schweizerischen Bundesgesetzes über die kollektiven Kapitalanlagen ("KAG") dar. Es unterliegt daher nicht der Bewilligung</w:t>
            </w:r>
            <w:r w:rsidR="007046C5">
              <w:t xml:space="preserve"> oder Aufsicht</w:t>
            </w:r>
            <w:r w:rsidRPr="007E09F8">
              <w:t xml:space="preserve"> durch die Eidgenössische Finanzmarktaufsicht FINMA ("FINMA").</w:t>
            </w:r>
            <w:r w:rsidR="007046C5">
              <w:t xml:space="preserve"> Anleger tragen das Emitten</w:t>
            </w:r>
            <w:r w:rsidR="00C404CF">
              <w:t>ten</w:t>
            </w:r>
            <w:r w:rsidR="007046C5">
              <w:t>risiko.</w:t>
            </w:r>
          </w:p>
        </w:tc>
      </w:tr>
      <w:tr w:rsidTr="00381F0A">
        <w:tblPrEx>
          <w:tblW w:w="5000" w:type="pct"/>
          <w:tblLook w:val="04A0"/>
        </w:tblPrEx>
        <w:tc>
          <w:tcPr>
            <w:tcW w:w="2500" w:type="pct"/>
          </w:tcPr>
          <w:p w:rsidR="007E09F8" w:rsidRPr="00BD57AE" w:rsidP="00E22A75">
            <w:pPr>
              <w:pStyle w:val="CSBody6pt0"/>
              <w:rPr>
                <w:b/>
                <w:sz w:val="12"/>
                <w:szCs w:val="12"/>
              </w:rPr>
            </w:pPr>
            <w:r w:rsidRPr="00BD57AE">
              <w:rPr>
                <w:b/>
                <w:sz w:val="12"/>
                <w:szCs w:val="12"/>
              </w:rPr>
              <w:t xml:space="preserve">Complex Products and, in certain cases, the securities (if any) to be delivered when Complex Products are redeemed, have not been, and will not be, registered under the U.S. Securities Act of 1933, as amended (the </w:t>
            </w:r>
            <w:r>
              <w:rPr>
                <w:b/>
                <w:sz w:val="12"/>
                <w:szCs w:val="12"/>
              </w:rPr>
              <w:t>"</w:t>
            </w:r>
            <w:r w:rsidRPr="00BD57AE">
              <w:rPr>
                <w:b/>
                <w:sz w:val="12"/>
                <w:szCs w:val="12"/>
              </w:rPr>
              <w:t>Securities Act</w:t>
            </w:r>
            <w:r>
              <w:rPr>
                <w:b/>
                <w:sz w:val="12"/>
                <w:szCs w:val="12"/>
              </w:rPr>
              <w:t>"</w:t>
            </w:r>
            <w:r w:rsidRPr="00BD57AE">
              <w:rPr>
                <w:b/>
                <w:sz w:val="12"/>
                <w:szCs w:val="12"/>
              </w:rPr>
              <w:t xml:space="preserve">), or with any securities regulatory authority of any state or other jurisdiction of the United States, and trading in Complex Products has not been approved by the U.S. Commodity Futures Trading Commission (the </w:t>
            </w:r>
            <w:r>
              <w:rPr>
                <w:b/>
                <w:sz w:val="12"/>
                <w:szCs w:val="12"/>
              </w:rPr>
              <w:t>"</w:t>
            </w:r>
            <w:r w:rsidRPr="00BD57AE">
              <w:rPr>
                <w:b/>
                <w:sz w:val="12"/>
                <w:szCs w:val="12"/>
              </w:rPr>
              <w:t>CFTC</w:t>
            </w:r>
            <w:r>
              <w:rPr>
                <w:b/>
                <w:sz w:val="12"/>
                <w:szCs w:val="12"/>
              </w:rPr>
              <w:t>"</w:t>
            </w:r>
            <w:r w:rsidRPr="00BD57AE">
              <w:rPr>
                <w:b/>
                <w:sz w:val="12"/>
                <w:szCs w:val="12"/>
              </w:rPr>
              <w:t xml:space="preserve">) under the U.S. Commodity Exchange Act of 1936, as amended (the </w:t>
            </w:r>
            <w:r>
              <w:rPr>
                <w:b/>
                <w:sz w:val="12"/>
                <w:szCs w:val="12"/>
              </w:rPr>
              <w:t>"</w:t>
            </w:r>
            <w:r w:rsidRPr="00BD57AE">
              <w:rPr>
                <w:b/>
                <w:sz w:val="12"/>
                <w:szCs w:val="12"/>
              </w:rPr>
              <w:t>CEA</w:t>
            </w:r>
            <w:r>
              <w:rPr>
                <w:b/>
                <w:sz w:val="12"/>
                <w:szCs w:val="12"/>
              </w:rPr>
              <w:t>"</w:t>
            </w:r>
            <w:r w:rsidRPr="00BD57AE">
              <w:rPr>
                <w:b/>
                <w:sz w:val="12"/>
                <w:szCs w:val="12"/>
              </w:rPr>
              <w:t xml:space="preserve">), or by the U.S. Securities Exchange Commission (the </w:t>
            </w:r>
            <w:r>
              <w:rPr>
                <w:b/>
                <w:sz w:val="12"/>
                <w:szCs w:val="12"/>
              </w:rPr>
              <w:t>"</w:t>
            </w:r>
            <w:r w:rsidRPr="00BD57AE">
              <w:rPr>
                <w:b/>
                <w:sz w:val="12"/>
                <w:szCs w:val="12"/>
              </w:rPr>
              <w:t>SEC</w:t>
            </w:r>
            <w:r>
              <w:rPr>
                <w:b/>
                <w:sz w:val="12"/>
                <w:szCs w:val="12"/>
              </w:rPr>
              <w:t>"</w:t>
            </w:r>
            <w:r w:rsidRPr="00BD57AE">
              <w:rPr>
                <w:b/>
                <w:sz w:val="12"/>
                <w:szCs w:val="12"/>
              </w:rPr>
              <w:t>). No Complex Products, or interests therein, may at any time be offered, sold, resold or delivered, directly or indirectly, within the United States or to, or for the account or benefit of, any U.S. person (as defined herein) or to others for offer, sale, resale, or delivery, directly or indirectly, within the United States or to, or for the account or benefit of, any U.S. person (as defined herein). Terms used in this paragraph and not otherwise defined herein have the meaning given to them by Regulation S under the Securities Act.</w:t>
            </w:r>
          </w:p>
        </w:tc>
        <w:tc>
          <w:tcPr>
            <w:tcW w:w="2500" w:type="pct"/>
          </w:tcPr>
          <w:p w:rsidR="007E09F8" w:rsidRPr="00BD57AE" w:rsidP="00E22A75">
            <w:pPr>
              <w:pStyle w:val="CSBody6pt0"/>
              <w:rPr>
                <w:b/>
                <w:sz w:val="12"/>
                <w:szCs w:val="12"/>
                <w:lang w:val="de-DE"/>
              </w:rPr>
            </w:pPr>
            <w:r w:rsidRPr="00BD57AE">
              <w:rPr>
                <w:b/>
                <w:sz w:val="12"/>
                <w:szCs w:val="12"/>
                <w:lang w:val="de-DE"/>
              </w:rPr>
              <w:t xml:space="preserve">Die Komplexen Produkte sowie in bestimmten Fällen die Wertpapiere, die gegebenenfalls bei Rückzahlung der Komplexen Produkte geliefert werden, wurden und werden nicht gemäss dem Wertpapiergesetz der Vereinigten Staaten von 1933 (U.S. Securities Act of 1933) in der geltenden Fassung (das </w:t>
            </w:r>
            <w:r>
              <w:rPr>
                <w:b/>
                <w:sz w:val="12"/>
                <w:szCs w:val="12"/>
                <w:lang w:val="de-DE"/>
              </w:rPr>
              <w:t>"</w:t>
            </w:r>
            <w:r w:rsidRPr="00BD57AE">
              <w:rPr>
                <w:b/>
                <w:sz w:val="12"/>
                <w:szCs w:val="12"/>
                <w:lang w:val="de-DE"/>
              </w:rPr>
              <w:t>Wertpapiergesetz</w:t>
            </w:r>
            <w:r>
              <w:rPr>
                <w:b/>
                <w:sz w:val="12"/>
                <w:szCs w:val="12"/>
                <w:lang w:val="de-DE"/>
              </w:rPr>
              <w:t>"</w:t>
            </w:r>
            <w:r w:rsidRPr="00BD57AE">
              <w:rPr>
                <w:b/>
                <w:sz w:val="12"/>
                <w:szCs w:val="12"/>
                <w:lang w:val="de-DE"/>
              </w:rPr>
              <w:t>) oder bei einer Wertpapieraufsichtsbehörde eines Bundesstaats oder eines sonstigen Hoheitsgebiets der Vereinigten Staaten registriert, und das Handeln mit Komplexen Produkten ist weder durch die U.S. Commodity Futures Trading Commission (</w:t>
            </w:r>
            <w:r>
              <w:rPr>
                <w:b/>
                <w:sz w:val="12"/>
                <w:szCs w:val="12"/>
                <w:lang w:val="de-DE"/>
              </w:rPr>
              <w:t>"</w:t>
            </w:r>
            <w:r w:rsidRPr="00BD57AE">
              <w:rPr>
                <w:b/>
                <w:sz w:val="12"/>
                <w:szCs w:val="12"/>
                <w:lang w:val="de-DE"/>
              </w:rPr>
              <w:t>CFTC</w:t>
            </w:r>
            <w:r>
              <w:rPr>
                <w:b/>
                <w:sz w:val="12"/>
                <w:szCs w:val="12"/>
                <w:lang w:val="de-DE"/>
              </w:rPr>
              <w:t>"</w:t>
            </w:r>
            <w:r w:rsidRPr="00BD57AE">
              <w:rPr>
                <w:b/>
                <w:sz w:val="12"/>
                <w:szCs w:val="12"/>
                <w:lang w:val="de-DE"/>
              </w:rPr>
              <w:t>) gemäss dem Warenbörsengesetz der Vereinigten Staaten von 1936 (U.S. Commodity Exchange Act of 1936) in der geltenden Fassung (</w:t>
            </w:r>
            <w:r>
              <w:rPr>
                <w:b/>
                <w:sz w:val="12"/>
                <w:szCs w:val="12"/>
                <w:lang w:val="de-DE"/>
              </w:rPr>
              <w:t>"</w:t>
            </w:r>
            <w:r w:rsidRPr="00BD57AE">
              <w:rPr>
                <w:b/>
                <w:sz w:val="12"/>
                <w:szCs w:val="12"/>
                <w:lang w:val="de-DE"/>
              </w:rPr>
              <w:t>CEA</w:t>
            </w:r>
            <w:r>
              <w:rPr>
                <w:b/>
                <w:sz w:val="12"/>
                <w:szCs w:val="12"/>
                <w:lang w:val="de-DE"/>
              </w:rPr>
              <w:t>"</w:t>
            </w:r>
            <w:r w:rsidRPr="00BD57AE">
              <w:rPr>
                <w:b/>
                <w:sz w:val="12"/>
                <w:szCs w:val="12"/>
                <w:lang w:val="de-DE"/>
              </w:rPr>
              <w:t>) noch von der U.S. Securities Exchange Commission (</w:t>
            </w:r>
            <w:r>
              <w:rPr>
                <w:b/>
                <w:sz w:val="12"/>
                <w:szCs w:val="12"/>
                <w:lang w:val="de-DE"/>
              </w:rPr>
              <w:t>"</w:t>
            </w:r>
            <w:r w:rsidRPr="00BD57AE">
              <w:rPr>
                <w:b/>
                <w:sz w:val="12"/>
                <w:szCs w:val="12"/>
                <w:lang w:val="de-DE"/>
              </w:rPr>
              <w:t>SEC</w:t>
            </w:r>
            <w:r>
              <w:rPr>
                <w:b/>
                <w:sz w:val="12"/>
                <w:szCs w:val="12"/>
                <w:lang w:val="de-DE"/>
              </w:rPr>
              <w:t>"</w:t>
            </w:r>
            <w:r w:rsidRPr="00BD57AE">
              <w:rPr>
                <w:b/>
                <w:sz w:val="12"/>
                <w:szCs w:val="12"/>
                <w:lang w:val="de-DE"/>
              </w:rPr>
              <w:t>) genehmigt worden. Komplexe Produkte oder Rechte daran dürfen zu keinem Zeitpunkt direkt oder indirekt innerhalb der Vereinigten Staaten oder an, für Rechnung von oder zugunsten von US-Personen (wie hierin definiert) zum Verkauf angeboten, verkauft, weiter verkauft oder abgegeben werden. Das Gleiche gilt für das Angebot, den Verkauf, den Weiterverkauf oder die Abgabe an andere Personen zum Zweck des Angebots, Verkaufs, Weiterverkaufs oder der Abgabe innerhalb der Vereinigten Staaten oder an, für Rechnung von oder zugunsten von US-Personen (wie hierin definiert). Die in diesem Absatz verwendeten und nicht anderweitig definierten Begriffe haben jeweils die ihnen in Regulation S des Wertpapiergesetzes zugewiesene Bedeutung.</w:t>
            </w:r>
          </w:p>
        </w:tc>
      </w:tr>
      <w:tr w:rsidTr="00381F0A">
        <w:tblPrEx>
          <w:tblW w:w="5000" w:type="pct"/>
          <w:tblLook w:val="04A0"/>
        </w:tblPrEx>
        <w:tc>
          <w:tcPr>
            <w:tcW w:w="2500" w:type="pct"/>
          </w:tcPr>
          <w:p w:rsidR="007E09F8" w:rsidRPr="00BD57AE" w:rsidP="00E22A75">
            <w:pPr>
              <w:pStyle w:val="CSBody6pt0"/>
              <w:rPr>
                <w:b/>
                <w:sz w:val="12"/>
                <w:szCs w:val="12"/>
              </w:rPr>
            </w:pPr>
            <w:r w:rsidRPr="00BD57AE">
              <w:rPr>
                <w:b/>
                <w:bCs/>
                <w:sz w:val="12"/>
                <w:szCs w:val="12"/>
              </w:rPr>
              <w:t xml:space="preserve">An offer or sale of Complex Products, or interests therein, directly or indirectly, within the United States, or for the account or benefit of, U.S. persons (as defined herein) may violate the registration requirements of the Securities Act and/or the securities laws of U.S. states or territories. In addition, in the absence of relief from the CFTC, offers, sales, resales, trades or deliveries of Complex Products, or interests therein, directly or indirectly, in the United States or to, or for the account or benefit of, U.S. persons, may constitute a violation of United States law governing commodities trading. </w:t>
            </w:r>
          </w:p>
        </w:tc>
        <w:tc>
          <w:tcPr>
            <w:tcW w:w="2500" w:type="pct"/>
          </w:tcPr>
          <w:p w:rsidR="007E09F8" w:rsidRPr="00BD57AE" w:rsidP="00E22A75">
            <w:pPr>
              <w:pStyle w:val="CSBody6pt0"/>
              <w:rPr>
                <w:b/>
                <w:sz w:val="12"/>
                <w:szCs w:val="12"/>
                <w:lang w:val="de-DE"/>
              </w:rPr>
            </w:pPr>
            <w:r w:rsidRPr="00BD57AE">
              <w:rPr>
                <w:b/>
                <w:sz w:val="12"/>
                <w:szCs w:val="12"/>
                <w:lang w:val="de-DE"/>
              </w:rPr>
              <w:t>Das direkte oder indirekte Angebot oder der direkte oder indirekte Verkauf Komplexer Produkte oder von Rechten daran innerhalb der Vereinigten Staaten oder an, für Rechnung von oder zugunsten von US-Personen (wie hierin definiert) kann einen Verstoss gegen die Registrierungserfordernisse des Wertpapiergesetzes und/oder wertpapierrechtlicher Bestimmungen von US-Bundesstaaten oder -Territorien darstellen. Darüber hinaus können direkte oder indirekte Angebote, Verkäufe, Weiterverkäufe, Handelstransaktionen oder die direkte oder indirekte Abgabe von Komplexen Produkten oder von Rechten daran innerhalb der Vereinigten Staaten oder an, für Rechnung von oder zugunsten von US-Personen ohne Genehmigung der CFTC einen Verstoss gegen die auf den Warenhandel anwendbaren Gesetze der Vereinigten Staaten darstellen.</w:t>
            </w:r>
          </w:p>
        </w:tc>
      </w:tr>
      <w:tr w:rsidTr="00381F0A">
        <w:tblPrEx>
          <w:tblW w:w="5000" w:type="pct"/>
          <w:tblLook w:val="04A0"/>
        </w:tblPrEx>
        <w:tc>
          <w:tcPr>
            <w:tcW w:w="2500" w:type="pct"/>
          </w:tcPr>
          <w:p w:rsidR="007E09F8" w:rsidRPr="00BD57AE" w:rsidP="00E22A75">
            <w:pPr>
              <w:pStyle w:val="CSBody6pt0"/>
              <w:rPr>
                <w:b/>
                <w:bCs/>
                <w:sz w:val="12"/>
                <w:szCs w:val="12"/>
              </w:rPr>
            </w:pPr>
            <w:r w:rsidRPr="00BD57AE">
              <w:rPr>
                <w:b/>
                <w:bCs/>
                <w:sz w:val="12"/>
                <w:szCs w:val="12"/>
              </w:rPr>
              <w:t>An offer, transfer or sale of Complex Products, or interests therein, directly or indirectly, within the United States, or for the account or benefit of, U.S. persons (as defined herein) which violates the registration requirements of the Securities Act and/or the securities laws of U.S. states or territories or United States law governing commodities trading will not be recognised. Further, prior to a redemption of Complex Products by way of physical delivery, the holder may be required to represent that (i) it is not a U</w:t>
            </w:r>
            <w:r>
              <w:rPr>
                <w:b/>
                <w:bCs/>
                <w:sz w:val="12"/>
                <w:szCs w:val="12"/>
              </w:rPr>
              <w:t>.</w:t>
            </w:r>
            <w:r w:rsidRPr="00BD57AE">
              <w:rPr>
                <w:b/>
                <w:bCs/>
                <w:sz w:val="12"/>
                <w:szCs w:val="12"/>
              </w:rPr>
              <w:t>S</w:t>
            </w:r>
            <w:r>
              <w:rPr>
                <w:b/>
                <w:bCs/>
                <w:sz w:val="12"/>
                <w:szCs w:val="12"/>
              </w:rPr>
              <w:t>.</w:t>
            </w:r>
            <w:r w:rsidRPr="00BD57AE">
              <w:rPr>
                <w:b/>
                <w:bCs/>
                <w:sz w:val="12"/>
                <w:szCs w:val="12"/>
              </w:rPr>
              <w:t xml:space="preserve"> </w:t>
            </w:r>
            <w:r>
              <w:rPr>
                <w:b/>
                <w:bCs/>
                <w:sz w:val="12"/>
                <w:szCs w:val="12"/>
              </w:rPr>
              <w:t>person</w:t>
            </w:r>
            <w:r w:rsidRPr="00BD57AE">
              <w:rPr>
                <w:b/>
                <w:bCs/>
                <w:sz w:val="12"/>
                <w:szCs w:val="12"/>
              </w:rPr>
              <w:t xml:space="preserve">, (ii) the Complex Products are not redeemed on behalf of a </w:t>
            </w:r>
            <w:r>
              <w:rPr>
                <w:b/>
                <w:bCs/>
                <w:sz w:val="12"/>
                <w:szCs w:val="12"/>
              </w:rPr>
              <w:t>U.S. person</w:t>
            </w:r>
            <w:r w:rsidRPr="00BD57AE">
              <w:rPr>
                <w:b/>
                <w:bCs/>
                <w:sz w:val="12"/>
                <w:szCs w:val="12"/>
              </w:rPr>
              <w:t>, and (iii) no assets will be delivered within the U</w:t>
            </w:r>
            <w:r>
              <w:rPr>
                <w:b/>
                <w:bCs/>
                <w:sz w:val="12"/>
                <w:szCs w:val="12"/>
              </w:rPr>
              <w:t>.</w:t>
            </w:r>
            <w:r w:rsidRPr="00BD57AE">
              <w:rPr>
                <w:b/>
                <w:bCs/>
                <w:sz w:val="12"/>
                <w:szCs w:val="12"/>
              </w:rPr>
              <w:t>S</w:t>
            </w:r>
            <w:r>
              <w:rPr>
                <w:b/>
                <w:bCs/>
                <w:sz w:val="12"/>
                <w:szCs w:val="12"/>
              </w:rPr>
              <w:t>.</w:t>
            </w:r>
            <w:r w:rsidRPr="00BD57AE">
              <w:rPr>
                <w:b/>
                <w:bCs/>
                <w:sz w:val="12"/>
                <w:szCs w:val="12"/>
              </w:rPr>
              <w:t xml:space="preserve"> or to or for the account or benefit of a U</w:t>
            </w:r>
            <w:r>
              <w:rPr>
                <w:b/>
                <w:bCs/>
                <w:sz w:val="12"/>
                <w:szCs w:val="12"/>
              </w:rPr>
              <w:t>.</w:t>
            </w:r>
            <w:r w:rsidRPr="00BD57AE">
              <w:rPr>
                <w:b/>
                <w:bCs/>
                <w:sz w:val="12"/>
                <w:szCs w:val="12"/>
              </w:rPr>
              <w:t>S</w:t>
            </w:r>
            <w:r>
              <w:rPr>
                <w:b/>
                <w:bCs/>
                <w:sz w:val="12"/>
                <w:szCs w:val="12"/>
              </w:rPr>
              <w:t>.</w:t>
            </w:r>
            <w:r w:rsidRPr="00BD57AE">
              <w:rPr>
                <w:b/>
                <w:bCs/>
                <w:sz w:val="12"/>
                <w:szCs w:val="12"/>
              </w:rPr>
              <w:t xml:space="preserve"> </w:t>
            </w:r>
            <w:r>
              <w:rPr>
                <w:b/>
                <w:bCs/>
                <w:sz w:val="12"/>
                <w:szCs w:val="12"/>
              </w:rPr>
              <w:t>person</w:t>
            </w:r>
            <w:r w:rsidRPr="00BD57AE">
              <w:rPr>
                <w:b/>
                <w:bCs/>
                <w:sz w:val="12"/>
                <w:szCs w:val="12"/>
              </w:rPr>
              <w:t>.</w:t>
            </w:r>
          </w:p>
        </w:tc>
        <w:tc>
          <w:tcPr>
            <w:tcW w:w="2500" w:type="pct"/>
          </w:tcPr>
          <w:p w:rsidR="007E09F8" w:rsidRPr="00BD57AE" w:rsidP="00E22A75">
            <w:pPr>
              <w:pStyle w:val="CSBody6pt0"/>
              <w:rPr>
                <w:b/>
                <w:sz w:val="12"/>
                <w:szCs w:val="12"/>
                <w:lang w:val="de-DE"/>
              </w:rPr>
            </w:pPr>
            <w:r w:rsidRPr="00BD57AE">
              <w:rPr>
                <w:b/>
                <w:sz w:val="12"/>
                <w:szCs w:val="12"/>
                <w:lang w:val="de-DE"/>
              </w:rPr>
              <w:t>Direkte oder indirekte Angebote, Übertragungen oder Verkäufe Komplexer Produkte oder von Rechten daran innerhalb der Vereinigten Staaten oder an, für Rechnung von oder zugunsten von US-Personen (wie hierin definiert), die einen Verstoss gegen die Registrierungserfordernisse des Wertpapiergesetzes und/oder wertpapierrechtlicher Bestimmungen von US-Bundesstaaten oder -Territorien oder der auf den Warenhandel anwendbaren Gesetze der Vereinigten Staaten darstellen, werden nicht anerkannt. Ferner kann vor einer Rückzahlung von Komplexen Produkten durch physische Lieferung von dem Inhaber eine Zusicherung verlangt werden, dass (i) er keine US-Person ist, (ii) die Komplexen Produkte nicht für eine US-Person zurückgezahlt werden und (iii) keine Vermögenswerte innerhalb der USA oder an eine US-Person bzw. für deren Rechnung oder zu deren Gunsten geliefert werden.</w:t>
            </w:r>
          </w:p>
        </w:tc>
      </w:tr>
      <w:tr w:rsidTr="00381F0A">
        <w:tblPrEx>
          <w:tblW w:w="5000" w:type="pct"/>
          <w:tblLook w:val="04A0"/>
        </w:tblPrEx>
        <w:tc>
          <w:tcPr>
            <w:tcW w:w="2500" w:type="pct"/>
          </w:tcPr>
          <w:p w:rsidR="007E09F8" w:rsidRPr="00BD57AE" w:rsidP="00E22A75">
            <w:pPr>
              <w:pStyle w:val="CSBody6pt0"/>
              <w:rPr>
                <w:b/>
                <w:bCs/>
                <w:sz w:val="12"/>
                <w:szCs w:val="12"/>
              </w:rPr>
            </w:pPr>
            <w:r w:rsidRPr="00BD57AE">
              <w:rPr>
                <w:b/>
                <w:bCs/>
                <w:sz w:val="12"/>
                <w:szCs w:val="12"/>
              </w:rPr>
              <w:t>Neither this Document nor any copy hereof may be sent, taken into or distributed in the United States or to any U.S. person (as defined herein) or in any other jurisdiction except under circumstances that will result in compliance with the applicable laws thereof. This Document may not be reproduced either in whole or in part, without the written permission of the Issuer.</w:t>
            </w:r>
          </w:p>
        </w:tc>
        <w:tc>
          <w:tcPr>
            <w:tcW w:w="2500" w:type="pct"/>
          </w:tcPr>
          <w:p w:rsidR="007E09F8" w:rsidRPr="00BD57AE" w:rsidP="00E22A75">
            <w:pPr>
              <w:pStyle w:val="CSBody6pt0"/>
              <w:rPr>
                <w:b/>
                <w:sz w:val="12"/>
                <w:szCs w:val="12"/>
                <w:lang w:val="de-DE"/>
              </w:rPr>
            </w:pPr>
            <w:r w:rsidRPr="00BD57AE">
              <w:rPr>
                <w:b/>
                <w:sz w:val="12"/>
                <w:szCs w:val="12"/>
                <w:lang w:val="de-DE"/>
              </w:rPr>
              <w:t>Weder dieses Dokument noch eine Kopie davon darf in die Vereinigten Staaten bzw. an eine US-Person (wie hierin definiert) oder in eine andere Rechtsordnung übermittelt werden; Gleiches gilt für eine Mitnahme dieses Dokuments oder einer Kopie davon in die Vereinigten Staaten bzw. zu einer US-Person oder in eine andere Rechtsordnung oder eine Verbreitung dieses Dokuments oder einer Kopie davon in den Vereinigten Staaten bzw. an eine US-Person oder in eine andere Rechtsordnung, es sei denn, dies erfolgt unter Einhaltung der dort anwendbaren Gesetze. Dieses Dokument darf ohne die schriftliche Genehmigung der Emittentin weder ganz noch in Teilen vervielfältigt werden.</w:t>
            </w:r>
          </w:p>
        </w:tc>
      </w:tr>
      <w:tr w:rsidTr="00381F0A">
        <w:tblPrEx>
          <w:tblW w:w="5000" w:type="pct"/>
          <w:tblLook w:val="04A0"/>
        </w:tblPrEx>
        <w:tc>
          <w:tcPr>
            <w:tcW w:w="2500" w:type="pct"/>
          </w:tcPr>
          <w:p w:rsidR="007E09F8" w:rsidRPr="00BD57AE" w:rsidP="00E22A75">
            <w:pPr>
              <w:pStyle w:val="CSBody6pt0"/>
              <w:rPr>
                <w:b/>
                <w:bCs/>
                <w:sz w:val="12"/>
                <w:szCs w:val="12"/>
              </w:rPr>
            </w:pPr>
            <w:r w:rsidRPr="00BD57AE">
              <w:rPr>
                <w:b/>
                <w:bCs/>
                <w:sz w:val="12"/>
                <w:szCs w:val="12"/>
              </w:rPr>
              <w:t xml:space="preserve">As used herein, </w:t>
            </w:r>
            <w:r>
              <w:rPr>
                <w:b/>
                <w:bCs/>
                <w:sz w:val="12"/>
                <w:szCs w:val="12"/>
              </w:rPr>
              <w:t>"</w:t>
            </w:r>
            <w:r w:rsidRPr="00BD57AE">
              <w:rPr>
                <w:b/>
                <w:bCs/>
                <w:sz w:val="12"/>
                <w:szCs w:val="12"/>
              </w:rPr>
              <w:t>U.S. person</w:t>
            </w:r>
            <w:r>
              <w:rPr>
                <w:b/>
                <w:bCs/>
                <w:sz w:val="12"/>
                <w:szCs w:val="12"/>
              </w:rPr>
              <w:t>"</w:t>
            </w:r>
            <w:r w:rsidRPr="00BD57AE">
              <w:rPr>
                <w:b/>
                <w:bCs/>
                <w:sz w:val="12"/>
                <w:szCs w:val="12"/>
              </w:rPr>
              <w:t xml:space="preserve"> means a person that is any one or more of the following: (1) a </w:t>
            </w:r>
            <w:r>
              <w:rPr>
                <w:b/>
                <w:bCs/>
                <w:sz w:val="12"/>
                <w:szCs w:val="12"/>
              </w:rPr>
              <w:t>"</w:t>
            </w:r>
            <w:r w:rsidRPr="00BD57AE">
              <w:rPr>
                <w:b/>
                <w:bCs/>
                <w:sz w:val="12"/>
                <w:szCs w:val="12"/>
              </w:rPr>
              <w:t>U.S. person</w:t>
            </w:r>
            <w:r>
              <w:rPr>
                <w:b/>
                <w:bCs/>
                <w:sz w:val="12"/>
                <w:szCs w:val="12"/>
              </w:rPr>
              <w:t>"</w:t>
            </w:r>
            <w:r w:rsidRPr="00BD57AE">
              <w:rPr>
                <w:b/>
                <w:bCs/>
                <w:sz w:val="12"/>
                <w:szCs w:val="12"/>
              </w:rPr>
              <w:t xml:space="preserve"> as defined in Regulation S under the Securites Act, (2) a </w:t>
            </w:r>
            <w:r>
              <w:rPr>
                <w:b/>
                <w:bCs/>
                <w:sz w:val="12"/>
                <w:szCs w:val="12"/>
              </w:rPr>
              <w:t>"</w:t>
            </w:r>
            <w:r w:rsidRPr="00BD57AE">
              <w:rPr>
                <w:b/>
                <w:bCs/>
                <w:sz w:val="12"/>
                <w:szCs w:val="12"/>
              </w:rPr>
              <w:t>U.S. person</w:t>
            </w:r>
            <w:r>
              <w:rPr>
                <w:b/>
                <w:bCs/>
                <w:sz w:val="12"/>
                <w:szCs w:val="12"/>
              </w:rPr>
              <w:t>"</w:t>
            </w:r>
            <w:r w:rsidRPr="00BD57AE">
              <w:rPr>
                <w:b/>
                <w:bCs/>
                <w:sz w:val="12"/>
                <w:szCs w:val="12"/>
              </w:rPr>
              <w:t xml:space="preserve"> as defined in the Interpretive Guidance and Policy Statement Regarding Compliance with Certain Swap Regulations promulgated by the CFTC, as amended, modified or supplemented from time to time, under the CEA, and (3) a person other than a </w:t>
            </w:r>
            <w:r>
              <w:rPr>
                <w:b/>
                <w:bCs/>
                <w:sz w:val="12"/>
                <w:szCs w:val="12"/>
              </w:rPr>
              <w:t>"</w:t>
            </w:r>
            <w:r w:rsidRPr="00BD57AE">
              <w:rPr>
                <w:b/>
                <w:bCs/>
                <w:sz w:val="12"/>
                <w:szCs w:val="12"/>
              </w:rPr>
              <w:t>Non-United States person</w:t>
            </w:r>
            <w:r>
              <w:rPr>
                <w:b/>
                <w:bCs/>
                <w:sz w:val="12"/>
                <w:szCs w:val="12"/>
              </w:rPr>
              <w:t>"</w:t>
            </w:r>
            <w:r w:rsidRPr="00BD57AE">
              <w:rPr>
                <w:b/>
                <w:bCs/>
                <w:sz w:val="12"/>
                <w:szCs w:val="12"/>
              </w:rPr>
              <w:t xml:space="preserve"> as defined in CFTC Rule 4.7.</w:t>
            </w:r>
          </w:p>
        </w:tc>
        <w:tc>
          <w:tcPr>
            <w:tcW w:w="2500" w:type="pct"/>
          </w:tcPr>
          <w:p w:rsidR="007E09F8" w:rsidRPr="00BD57AE" w:rsidP="00E22A75">
            <w:pPr>
              <w:pStyle w:val="CSBody6pt0"/>
              <w:rPr>
                <w:b/>
                <w:sz w:val="12"/>
                <w:szCs w:val="12"/>
                <w:lang w:val="de-DE"/>
              </w:rPr>
            </w:pPr>
            <w:r w:rsidRPr="00BD57AE">
              <w:rPr>
                <w:b/>
                <w:sz w:val="12"/>
                <w:szCs w:val="12"/>
                <w:lang w:val="de-DE"/>
              </w:rPr>
              <w:t xml:space="preserve">In diesem Dokument bezeichnet </w:t>
            </w:r>
            <w:r>
              <w:rPr>
                <w:b/>
                <w:sz w:val="12"/>
                <w:szCs w:val="12"/>
                <w:lang w:val="de-DE"/>
              </w:rPr>
              <w:t>"</w:t>
            </w:r>
            <w:r w:rsidRPr="00BD57AE">
              <w:rPr>
                <w:b/>
                <w:sz w:val="12"/>
                <w:szCs w:val="12"/>
                <w:lang w:val="de-DE"/>
              </w:rPr>
              <w:t>US-Person</w:t>
            </w:r>
            <w:r>
              <w:rPr>
                <w:b/>
                <w:sz w:val="12"/>
                <w:szCs w:val="12"/>
                <w:lang w:val="de-DE"/>
              </w:rPr>
              <w:t>"</w:t>
            </w:r>
            <w:r w:rsidRPr="00BD57AE">
              <w:rPr>
                <w:b/>
                <w:sz w:val="12"/>
                <w:szCs w:val="12"/>
                <w:lang w:val="de-DE"/>
              </w:rPr>
              <w:t xml:space="preserve"> eine Person, die eine oder mehrere der folgenden Voraussetzungen erfüllt: (1) sie ist eine </w:t>
            </w:r>
            <w:r>
              <w:rPr>
                <w:b/>
                <w:sz w:val="12"/>
                <w:szCs w:val="12"/>
                <w:lang w:val="de-DE"/>
              </w:rPr>
              <w:t>"</w:t>
            </w:r>
            <w:r w:rsidRPr="00BD57AE">
              <w:rPr>
                <w:b/>
                <w:sz w:val="12"/>
                <w:szCs w:val="12"/>
                <w:lang w:val="de-DE"/>
              </w:rPr>
              <w:t>US-Person</w:t>
            </w:r>
            <w:r>
              <w:rPr>
                <w:b/>
                <w:sz w:val="12"/>
                <w:szCs w:val="12"/>
                <w:lang w:val="de-DE"/>
              </w:rPr>
              <w:t>"</w:t>
            </w:r>
            <w:r w:rsidRPr="00BD57AE">
              <w:rPr>
                <w:b/>
                <w:sz w:val="12"/>
                <w:szCs w:val="12"/>
                <w:lang w:val="de-DE"/>
              </w:rPr>
              <w:t xml:space="preserve"> im Sinne der Definition in Regulation S zum Wertpapiergesetz, (2) sie ist eine </w:t>
            </w:r>
            <w:r>
              <w:rPr>
                <w:b/>
                <w:sz w:val="12"/>
                <w:szCs w:val="12"/>
                <w:lang w:val="de-DE"/>
              </w:rPr>
              <w:t>"</w:t>
            </w:r>
            <w:r w:rsidRPr="00BD57AE">
              <w:rPr>
                <w:b/>
                <w:sz w:val="12"/>
                <w:szCs w:val="12"/>
                <w:lang w:val="de-DE"/>
              </w:rPr>
              <w:t>US-Person</w:t>
            </w:r>
            <w:r>
              <w:rPr>
                <w:b/>
                <w:sz w:val="12"/>
                <w:szCs w:val="12"/>
                <w:lang w:val="de-DE"/>
              </w:rPr>
              <w:t>"</w:t>
            </w:r>
            <w:r w:rsidRPr="00BD57AE">
              <w:rPr>
                <w:b/>
                <w:sz w:val="12"/>
                <w:szCs w:val="12"/>
                <w:lang w:val="de-DE"/>
              </w:rPr>
              <w:t xml:space="preserve"> im Sinne der Definition in dem von der CFTC nach dem CEA veröffentlichten Interpretive Guidance and Policy Statement Regarding Compliance with Certain Swap Regulations in der jeweils geänderten, angepassten oder ergänzten Fassung und (3) sie ist eine Person, bei der es sich nicht um eine </w:t>
            </w:r>
            <w:r>
              <w:rPr>
                <w:b/>
                <w:sz w:val="12"/>
                <w:szCs w:val="12"/>
                <w:lang w:val="de-DE"/>
              </w:rPr>
              <w:t>"</w:t>
            </w:r>
            <w:r w:rsidRPr="00BD57AE">
              <w:rPr>
                <w:b/>
                <w:sz w:val="12"/>
                <w:szCs w:val="12"/>
                <w:lang w:val="de-DE"/>
              </w:rPr>
              <w:t>Nicht-US-Person</w:t>
            </w:r>
            <w:r>
              <w:rPr>
                <w:b/>
                <w:sz w:val="12"/>
                <w:szCs w:val="12"/>
                <w:lang w:val="de-DE"/>
              </w:rPr>
              <w:t>"</w:t>
            </w:r>
            <w:r w:rsidRPr="00BD57AE">
              <w:rPr>
                <w:b/>
                <w:sz w:val="12"/>
                <w:szCs w:val="12"/>
                <w:lang w:val="de-DE"/>
              </w:rPr>
              <w:t xml:space="preserve"> im Sinne der Definition in CFTC Rule 4.7 handelt.</w:t>
            </w:r>
          </w:p>
        </w:tc>
      </w:tr>
      <w:tr w:rsidTr="00381F0A">
        <w:tblPrEx>
          <w:tblW w:w="5000" w:type="pct"/>
          <w:tblLook w:val="04A0"/>
        </w:tblPrEx>
        <w:tc>
          <w:tcPr>
            <w:tcW w:w="2500" w:type="pct"/>
            <w:vAlign w:val="bottom"/>
          </w:tcPr>
          <w:p w:rsidR="004B3F71" w:rsidRPr="00126EEE">
            <w:pPr>
              <w:pStyle w:val="CSBody0"/>
              <w:jc w:val="right"/>
            </w:pPr>
            <w:r>
              <w:t xml:space="preserve">Date: </w:t>
            </w:r>
            <w:r w:rsidR="006E3537">
              <w:t xml:space="preserve">21 </w:t>
            </w:r>
            <w:r w:rsidR="00942F00">
              <w:t>December</w:t>
            </w:r>
            <w:r w:rsidRPr="00126EEE">
              <w:t xml:space="preserve"> 201</w:t>
            </w:r>
            <w:r w:rsidR="005A78B7">
              <w:t>5</w:t>
            </w:r>
          </w:p>
        </w:tc>
        <w:tc>
          <w:tcPr>
            <w:tcW w:w="2500" w:type="pct"/>
            <w:vAlign w:val="bottom"/>
          </w:tcPr>
          <w:p w:rsidR="004B3F71">
            <w:pPr>
              <w:pStyle w:val="CSBody0"/>
              <w:jc w:val="left"/>
            </w:pPr>
            <w:r>
              <w:t xml:space="preserve">Datum: </w:t>
            </w:r>
            <w:r w:rsidR="006E3537">
              <w:t>21</w:t>
            </w:r>
            <w:r w:rsidR="00942F00">
              <w:t>. Dezember</w:t>
            </w:r>
            <w:r w:rsidRPr="00126EEE">
              <w:t xml:space="preserve"> 201</w:t>
            </w:r>
            <w:r w:rsidR="005A78B7">
              <w:t>5</w:t>
            </w:r>
          </w:p>
        </w:tc>
      </w:tr>
    </w:tbl>
    <w:p w:rsidR="007E09F8">
      <w:pPr>
        <w:spacing w:after="200" w:line="276" w:lineRule="auto"/>
        <w:jc w:val="left"/>
      </w:pPr>
      <w:r>
        <w:br w:type="page"/>
      </w:r>
    </w:p>
    <w:tbl>
      <w:tblPr>
        <w:tblStyle w:val="TableGrid"/>
        <w:tblW w:w="5000" w:type="pct"/>
        <w:tblBorders>
          <w:top w:val="nil"/>
          <w:left w:val="nil"/>
          <w:bottom w:val="nil"/>
          <w:right w:val="nil"/>
          <w:insideH w:val="nil"/>
          <w:insideV w:val="nil"/>
        </w:tblBorders>
        <w:tblLook w:val="04A0"/>
      </w:tblPr>
      <w:tblGrid>
        <w:gridCol w:w="4927"/>
        <w:gridCol w:w="4928"/>
      </w:tblGrid>
      <w:tr w:rsidTr="00381F0A">
        <w:tblPrEx>
          <w:tblW w:w="5000" w:type="pct"/>
          <w:tblBorders>
            <w:top w:val="nil"/>
            <w:left w:val="nil"/>
            <w:bottom w:val="nil"/>
            <w:right w:val="nil"/>
            <w:insideH w:val="nil"/>
            <w:insideV w:val="nil"/>
          </w:tblBorders>
          <w:tblLook w:val="04A0"/>
        </w:tblPrEx>
        <w:tc>
          <w:tcPr>
            <w:tcW w:w="2500" w:type="pct"/>
          </w:tcPr>
          <w:p w:rsidR="004B3F71" w:rsidRPr="007E09F8" w:rsidP="007E09F8">
            <w:pPr>
              <w:pStyle w:val="CSImportantNotice"/>
            </w:pPr>
            <w:r w:rsidRPr="007E09F8">
              <w:t>IMPORTANT NOTICES</w:t>
            </w:r>
          </w:p>
        </w:tc>
        <w:tc>
          <w:tcPr>
            <w:tcW w:w="2500" w:type="pct"/>
          </w:tcPr>
          <w:p w:rsidR="004B3F71" w:rsidRPr="007E09F8" w:rsidP="007E09F8">
            <w:pPr>
              <w:pStyle w:val="CSImportantNotice"/>
            </w:pPr>
            <w:r w:rsidRPr="007E09F8">
              <w:t>WICHTIGE HINWEISE</w:t>
            </w:r>
          </w:p>
        </w:tc>
      </w:tr>
      <w:tr w:rsidTr="00381F0A">
        <w:tblPrEx>
          <w:tblW w:w="5000" w:type="pct"/>
          <w:tblLook w:val="04A0"/>
        </w:tblPrEx>
        <w:tc>
          <w:tcPr>
            <w:tcW w:w="2500" w:type="pct"/>
          </w:tcPr>
          <w:p w:rsidR="007E09F8" w:rsidRPr="00DE10D4" w:rsidP="00E837F0">
            <w:pPr>
              <w:pStyle w:val="CSbody0bold"/>
              <w:rPr>
                <w:lang w:val="en-GB"/>
              </w:rPr>
            </w:pPr>
            <w:r w:rsidRPr="00DE10D4">
              <w:rPr>
                <w:lang w:val="en-GB"/>
              </w:rPr>
              <w:t xml:space="preserve">A Complex Product does not constitute a collective investment scheme within the meaning of the CISA. Therefore, it is not subject to authorisation </w:t>
            </w:r>
            <w:r w:rsidR="00DE11D8">
              <w:rPr>
                <w:lang w:val="en-GB"/>
              </w:rPr>
              <w:t>or supervision by FINMA. Investors bear the issuer risk</w:t>
            </w:r>
            <w:r w:rsidRPr="00DE10D4">
              <w:rPr>
                <w:lang w:val="en-GB"/>
              </w:rPr>
              <w:t xml:space="preserve">. </w:t>
            </w:r>
          </w:p>
        </w:tc>
        <w:tc>
          <w:tcPr>
            <w:tcW w:w="2500" w:type="pct"/>
          </w:tcPr>
          <w:p w:rsidR="007E09F8" w:rsidRPr="007E09F8">
            <w:pPr>
              <w:pStyle w:val="CSbody0bold"/>
            </w:pPr>
            <w:r w:rsidRPr="007E09F8">
              <w:t>Ein Komplexes Produkt stellt keine kollektive Kapitalanlage im Sinne des KAG dar. Es unterliegt daher nicht der Bewilligung</w:t>
            </w:r>
            <w:r w:rsidR="00DE11D8">
              <w:t xml:space="preserve"> oder Aufsicht</w:t>
            </w:r>
            <w:r w:rsidRPr="007E09F8">
              <w:t xml:space="preserve"> durch die FINMA. </w:t>
            </w:r>
            <w:r w:rsidR="00DE11D8">
              <w:t xml:space="preserve">Anleger tragen das Emittentenrisiko. </w:t>
            </w:r>
          </w:p>
        </w:tc>
      </w:tr>
      <w:tr w:rsidTr="00381F0A">
        <w:tblPrEx>
          <w:tblW w:w="5000" w:type="pct"/>
          <w:tblLook w:val="04A0"/>
        </w:tblPrEx>
        <w:tc>
          <w:tcPr>
            <w:tcW w:w="2500" w:type="pct"/>
          </w:tcPr>
          <w:p w:rsidR="007E09F8" w:rsidRPr="00DE10D4" w:rsidP="007E09F8">
            <w:pPr>
              <w:pStyle w:val="CSbody0bold"/>
              <w:rPr>
                <w:lang w:val="en-GB"/>
              </w:rPr>
            </w:pPr>
            <w:r w:rsidRPr="00DE10D4">
              <w:rPr>
                <w:lang w:val="en-GB"/>
              </w:rPr>
              <w:t>In this Document, the products issued hereunder are generically referred to as "Complex Products" without expressing any views as to their particular features or legal qualification. Where appropriate, Complex Products may also be referred to more specifically as (i) "Complex Products with Fixed Final Redemption Amount", which may be further divided into "Fixed Rate Notes", "Step Up Notes", "Floating Rate Notes", "Fixed to Floating Rate Notes", "Cumulative Reverse Floater Notes", "Stairway Notes", "Inverse Floating Rate Notes", "Spread-Linked Notes", "Range Accrual Notes", "Spread Range Accrual Notes" and "Inflation Index-Linked Notes" and (ii) "Credit-Linked Complex Products", which may be further divided into "Credit-Linked Complex Products with auction settlement", "Credit-Linked Complex Products with Zero-Recovery feature linked to a Basket" and "Credit-Linked Complex Products with simplified settlement. For further information refer to "Summary Description of Complex Products". In addition, any of the aforementioned Complex Products may be collateralized in accordance with the provisions of the SIX Swiss Exchange "Framework Agreement for Collateral-Secured Instruments" if so specified in the applicable Terms and Conditions, and such Complex Products are referred to herein as "Complex Products with a COSI feature".</w:t>
            </w:r>
          </w:p>
        </w:tc>
        <w:tc>
          <w:tcPr>
            <w:tcW w:w="2500" w:type="pct"/>
          </w:tcPr>
          <w:p w:rsidR="007E09F8" w:rsidRPr="007E09F8" w:rsidP="007E09F8">
            <w:pPr>
              <w:pStyle w:val="CSbody0bold"/>
            </w:pPr>
            <w:r w:rsidRPr="007E09F8">
              <w:t xml:space="preserve">Die Produkte, die Gegenstand dieses Dokuments sind, werden hierin verallgemeinernd als "Komplexe Produkte" bezeichnet, ohne dass dies eine Aussage über ihre besonderen Merkmale oder rechtliche Einordnung darstellt. Soweit jeweils zutreffend, werden die Komplexen Produkte auch konkret als (i) "Komplexe Produkte mit Festem Finalen Rückzahlungsbetrag", die in "Fixed Rate Notes", "Step Up Notes", "Floating Rate Notes", "Fixed to Floating Rate Notes", "Cumulative Reverse Floater Notes", "Stairway Notes", "Inverse Floating Rate Notes", "Spread-Linked Notes", "Range Accrual Notes", "Spread Range Accrual Notes" und "Inflation Index-Linked Notes" unterteilt werden können und (ii) "Kreditbezogene Komplexe Produkte", die in "Kreditbezogene Komplexe Produkte mit Auktionsabwicklung", "Kreditbezogene Komplexe Produktemit Zero-Recovery-Merkmal, die an einen Korb gekoppelt sind" und "Kreditbezogene Komplexe Produkte mit vereinfachter Abwicklung" unterteilt werden können. Weitere Angaben hierzu sind dem Abschnitt "Kurzbeschreibung der Komplexen Produkte" zu entnehmen. Zusätzlich können diese Komplexe Produkte nach den Vorschriften des "Rahmenvertrages für Pfandbesicherte Zertifikate" der SIX Swiss Exchange besichert werden, soweit in den anwendbaren Emissionsbedingungen vorgesehen. Solche Komplexe Produkte werden in diesem Dokument als "Komplexe Produkte mit COSI Merkmal" bezeichnet. </w:t>
            </w:r>
          </w:p>
        </w:tc>
      </w:tr>
      <w:tr w:rsidTr="00381F0A">
        <w:tblPrEx>
          <w:tblW w:w="5000" w:type="pct"/>
          <w:tblLook w:val="04A0"/>
        </w:tblPrEx>
        <w:tc>
          <w:tcPr>
            <w:tcW w:w="2500" w:type="pct"/>
          </w:tcPr>
          <w:p w:rsidR="007E09F8" w:rsidRPr="00DE10D4" w:rsidP="007E09F8">
            <w:pPr>
              <w:pStyle w:val="CSbody0bold"/>
              <w:rPr>
                <w:lang w:val="en-GB"/>
              </w:rPr>
            </w:pPr>
            <w:r w:rsidRPr="00DE10D4">
              <w:rPr>
                <w:lang w:val="en-GB"/>
              </w:rPr>
              <w:t>Credit-Linked Complex Products involve a high degree of risk, and prospective investors in such Credit-Linked Products should recognise that, under certain circumstances, Credit-Linked Complex Products may have a redemption value of zero and any amounts scheduled to be paid thereunder may not be paid. Prospective investors in Credit-Linked Complex Products should therefore be prepared to sustain a partial or total loss of the amount of their investment therein. Furthermore, investors in Complex Products with Fixed Final Redemption Amount should be aware that although the Complex Products provide for a Fixed Final Redemption Amount (which may be equal to, less than or higher than the Denomination, whichever is specified in the applicable Terms and Conditions), they may still lose some or all of their investment therein (including the Fixed Final Redemption Amount), in particular if Credit Suisse were to become insolvent or otherwise unable to fulfil all or part of its obligations under such Complex Products.</w:t>
            </w:r>
          </w:p>
        </w:tc>
        <w:tc>
          <w:tcPr>
            <w:tcW w:w="2500" w:type="pct"/>
          </w:tcPr>
          <w:p w:rsidR="007E09F8" w:rsidRPr="007E09F8" w:rsidP="007E09F8">
            <w:pPr>
              <w:pStyle w:val="CSbody0bold"/>
            </w:pPr>
            <w:r w:rsidRPr="007E09F8">
              <w:t>Kreditbezogene Komplexe Produkte sind mit einem hohem Risiko verbunden, und potenzielle Anleger in Kreditbezogene Komplexe Produkte sollten sich bewusst sein, dass der Rückzahlungsbetrag bei Kreditbezogenen Komplexen Produkten unter bestimmten Umständen auf null fallen kann und dass Beträge, die planmässig auf die Kreditbezogenen Komplexen Produkte zu zahlen sind, möglicherweise nicht gezahlt werden. Potenzielle Anleger in Kreditbezogene Komplexe Produkte sollten sich daher darauf einstellen, dass sie einen Teil- oder Totalverlust des angelegten Kapitals erleiden können. Darüber hinaus sollten Anleger in Komplexe Produkte mit Festem Finalen Rückzahlungsbetrag sich bewusst sein, dass sie, obwohl diese Komplexen Produkte über einen Festen Finalen Rückzahlungsbetrag verfügen (welcher gleich hoch, niedriger oder höher als die Stückelung sein kann, je nachdem, was in den anwendbaren Emissionsbedingungen vorgesehen ist), dennoch den von ihnen investierten Betrag (einschliesslich des Festen Finalen Rückzahlungsbetrags) ganz oder teilweise verlieren können, insbesondere im Falle einer Insolvenz der Credit Suisse, oder falls die Credit Suisse ihre Verpflichtungen aus diesen Komplexen Produkten anderweitig nicht oder nur teilweise erfüllen kann.</w:t>
            </w:r>
          </w:p>
        </w:tc>
      </w:tr>
      <w:tr w:rsidTr="00381F0A">
        <w:tblPrEx>
          <w:tblW w:w="5000" w:type="pct"/>
          <w:tblLook w:val="04A0"/>
        </w:tblPrEx>
        <w:tc>
          <w:tcPr>
            <w:tcW w:w="2500" w:type="pct"/>
          </w:tcPr>
          <w:p w:rsidR="007E09F8" w:rsidRPr="00DE10D4" w:rsidP="007E09F8">
            <w:pPr>
              <w:pStyle w:val="CSbody0bold"/>
              <w:rPr>
                <w:lang w:val="en-GB"/>
              </w:rPr>
            </w:pPr>
            <w:r w:rsidRPr="00DE10D4">
              <w:rPr>
                <w:lang w:val="en-GB"/>
              </w:rPr>
              <w:t>For further information about this Document, refer to "General Information about this Document".</w:t>
            </w:r>
          </w:p>
        </w:tc>
        <w:tc>
          <w:tcPr>
            <w:tcW w:w="2500" w:type="pct"/>
          </w:tcPr>
          <w:p w:rsidR="007E09F8" w:rsidRPr="007E09F8" w:rsidP="007E09F8">
            <w:pPr>
              <w:pStyle w:val="CSbody0bold"/>
            </w:pPr>
            <w:r w:rsidRPr="007E09F8">
              <w:t>Weitere Angaben zu diesem Dokument sind dem Abschnitt "Allgemeine Informationen zu diesem Dokument" zu entnehmen.</w:t>
            </w:r>
          </w:p>
        </w:tc>
      </w:tr>
    </w:tbl>
    <w:p w:rsidR="00940F78" w:rsidRPr="00B34C1C" w:rsidP="009C6D81">
      <w:pPr>
        <w:pStyle w:val="CSBody0"/>
        <w:rPr>
          <w:lang w:val="de-DE"/>
        </w:rPr>
      </w:pPr>
    </w:p>
    <w:p w:rsidR="009C6D81" w:rsidRPr="00B34C1C" w:rsidP="009C6D81">
      <w:pPr>
        <w:pStyle w:val="CSBody0"/>
        <w:rPr>
          <w:lang w:val="de-DE"/>
        </w:rPr>
      </w:pPr>
    </w:p>
    <w:p w:rsidR="009C6D81" w:rsidRPr="00B34C1C">
      <w:pPr>
        <w:spacing w:after="200" w:line="276" w:lineRule="auto"/>
        <w:jc w:val="left"/>
        <w:rPr>
          <w:rFonts w:asciiTheme="minorHAnsi" w:hAnsiTheme="minorHAnsi"/>
          <w:sz w:val="18"/>
          <w:lang w:val="de-DE"/>
        </w:rPr>
      </w:pPr>
      <w:r w:rsidRPr="00B34C1C">
        <w:rPr>
          <w:lang w:val="de-DE"/>
        </w:rPr>
        <w:br w:type="page"/>
      </w:r>
    </w:p>
    <w:tbl>
      <w:tblPr>
        <w:tblStyle w:val="TableGrid"/>
        <w:tblW w:w="5000" w:type="pct"/>
        <w:tblBorders>
          <w:top w:val="nil"/>
          <w:left w:val="nil"/>
          <w:bottom w:val="nil"/>
          <w:right w:val="nil"/>
          <w:insideH w:val="nil"/>
          <w:insideV w:val="nil"/>
        </w:tblBorders>
        <w:tblLayout w:type="fixed"/>
        <w:tblLook w:val="04A0"/>
      </w:tblPr>
      <w:tblGrid>
        <w:gridCol w:w="4927"/>
        <w:gridCol w:w="4928"/>
      </w:tblGrid>
      <w:tr w:rsidTr="00381F0A">
        <w:tblPrEx>
          <w:tblW w:w="5000" w:type="pct"/>
          <w:tblBorders>
            <w:top w:val="nil"/>
            <w:left w:val="nil"/>
            <w:bottom w:val="nil"/>
            <w:right w:val="nil"/>
            <w:insideH w:val="nil"/>
            <w:insideV w:val="nil"/>
          </w:tblBorders>
          <w:tblLayout w:type="fixed"/>
          <w:tblLook w:val="04A0"/>
        </w:tblPrEx>
        <w:tc>
          <w:tcPr>
            <w:tcW w:w="2500" w:type="pct"/>
          </w:tcPr>
          <w:p w:rsidR="009C6D81" w:rsidRPr="009C6D81" w:rsidP="007E09F8">
            <w:pPr>
              <w:pStyle w:val="CSImportantNotice"/>
            </w:pPr>
            <w:r w:rsidRPr="009C6D81">
              <w:t>TABLE OF CONTENTS</w:t>
            </w:r>
          </w:p>
        </w:tc>
        <w:tc>
          <w:tcPr>
            <w:tcW w:w="2500" w:type="pct"/>
          </w:tcPr>
          <w:p w:rsidR="009C6D81" w:rsidRPr="009C6D81" w:rsidP="007E09F8">
            <w:pPr>
              <w:pStyle w:val="CSImportantNotice"/>
            </w:pPr>
            <w:r w:rsidRPr="00157A38">
              <w:t>INHALTSVERZEICHNIS</w:t>
            </w:r>
          </w:p>
        </w:tc>
      </w:tr>
      <w:tr w:rsidTr="00381F0A">
        <w:tblPrEx>
          <w:tblW w:w="5000" w:type="pct"/>
          <w:tblLayout w:type="fixed"/>
          <w:tblLook w:val="04A0"/>
        </w:tblPrEx>
        <w:tc>
          <w:tcPr>
            <w:tcW w:w="2500" w:type="pct"/>
          </w:tcPr>
          <w:p w:rsidR="003E45BF" w:rsidRPr="003E45BF" w:rsidP="007E09F8">
            <w:pPr>
              <w:pStyle w:val="CSbody0bold"/>
              <w:jc w:val="right"/>
            </w:pPr>
            <w:r w:rsidRPr="003E45BF">
              <w:t>Page</w:t>
            </w:r>
          </w:p>
        </w:tc>
        <w:tc>
          <w:tcPr>
            <w:tcW w:w="2500" w:type="pct"/>
          </w:tcPr>
          <w:p w:rsidR="003E45BF" w:rsidRPr="003E45BF" w:rsidP="007E09F8">
            <w:pPr>
              <w:pStyle w:val="CSbody0bold"/>
              <w:jc w:val="right"/>
            </w:pPr>
            <w:r w:rsidRPr="003E45BF">
              <w:t>Seite</w:t>
            </w:r>
          </w:p>
        </w:tc>
      </w:tr>
      <w:tr w:rsidTr="00381F0A">
        <w:tblPrEx>
          <w:tblW w:w="5000" w:type="pct"/>
          <w:tblLayout w:type="fixed"/>
          <w:tblLook w:val="04A0"/>
        </w:tblPrEx>
        <w:tc>
          <w:tcPr>
            <w:tcW w:w="2500" w:type="pct"/>
          </w:tcPr>
          <w:p w:rsidR="00B8054A">
            <w:pPr>
              <w:pStyle w:val="TOC1"/>
              <w:rPr>
                <w:rFonts w:asciiTheme="minorHAnsi" w:eastAsiaTheme="minorEastAsia" w:hAnsiTheme="minorHAnsi" w:cstheme="minorBidi"/>
                <w:noProof/>
                <w:sz w:val="22"/>
                <w:lang w:eastAsia="en-GB"/>
              </w:rPr>
            </w:pPr>
            <w:r>
              <w:fldChar w:fldCharType="begin"/>
            </w:r>
            <w:r>
              <w:instrText xml:space="preserve"> TOC \f \t "</w:instrText>
            </w:r>
            <w:r w:rsidR="00A8214B">
              <w:instrText>CS_Heading1_EN,1</w:instrText>
            </w:r>
            <w:r w:rsidR="003975B3">
              <w:instrText>, CS_Heading2_EN,2,CS_Heading3_EN,3</w:instrText>
            </w:r>
            <w:r>
              <w:instrText xml:space="preserve">" </w:instrText>
            </w:r>
            <w:r>
              <w:fldChar w:fldCharType="separate"/>
            </w:r>
            <w:r>
              <w:rPr>
                <w:noProof/>
              </w:rPr>
              <w:t>SUMMARY</w:t>
            </w:r>
            <w:r>
              <w:rPr>
                <w:noProof/>
              </w:rPr>
              <w:tab/>
            </w:r>
            <w:r>
              <w:rPr>
                <w:noProof/>
              </w:rPr>
              <w:fldChar w:fldCharType="begin"/>
            </w:r>
            <w:r>
              <w:rPr>
                <w:noProof/>
              </w:rPr>
              <w:instrText xml:space="preserve"> PAGEREF _Toc438227509 \h </w:instrText>
            </w:r>
            <w:r>
              <w:rPr>
                <w:noProof/>
              </w:rPr>
              <w:fldChar w:fldCharType="separate"/>
            </w:r>
            <w:r w:rsidR="0093513E">
              <w:rPr>
                <w:noProof/>
              </w:rPr>
              <w:t>7</w:t>
            </w:r>
            <w:r>
              <w:rPr>
                <w:noProof/>
              </w:rPr>
              <w:fldChar w:fldCharType="end"/>
            </w:r>
          </w:p>
          <w:p w:rsidR="00B8054A">
            <w:pPr>
              <w:pStyle w:val="TOC1"/>
              <w:rPr>
                <w:rFonts w:asciiTheme="minorHAnsi" w:eastAsiaTheme="minorEastAsia" w:hAnsiTheme="minorHAnsi" w:cstheme="minorBidi"/>
                <w:noProof/>
                <w:sz w:val="22"/>
                <w:lang w:eastAsia="en-GB"/>
              </w:rPr>
            </w:pPr>
            <w:r>
              <w:rPr>
                <w:noProof/>
              </w:rPr>
              <w:t>RISK FACTORS</w:t>
            </w:r>
            <w:r>
              <w:rPr>
                <w:noProof/>
              </w:rPr>
              <w:tab/>
            </w:r>
            <w:r>
              <w:rPr>
                <w:noProof/>
              </w:rPr>
              <w:fldChar w:fldCharType="begin"/>
            </w:r>
            <w:r>
              <w:rPr>
                <w:noProof/>
              </w:rPr>
              <w:instrText xml:space="preserve"> PAGEREF _Toc438227510 \h </w:instrText>
            </w:r>
            <w:r>
              <w:rPr>
                <w:noProof/>
              </w:rPr>
              <w:fldChar w:fldCharType="separate"/>
            </w:r>
            <w:r w:rsidR="0093513E">
              <w:rPr>
                <w:noProof/>
              </w:rPr>
              <w:t>81</w:t>
            </w:r>
            <w:r>
              <w:rPr>
                <w:noProof/>
              </w:rPr>
              <w:fldChar w:fldCharType="end"/>
            </w:r>
          </w:p>
          <w:p w:rsidR="00B8054A">
            <w:pPr>
              <w:pStyle w:val="TOC2"/>
              <w:rPr>
                <w:rFonts w:asciiTheme="minorHAnsi" w:eastAsiaTheme="minorEastAsia" w:hAnsiTheme="minorHAnsi" w:cstheme="minorBidi"/>
                <w:noProof/>
                <w:sz w:val="22"/>
                <w:lang w:eastAsia="en-GB"/>
              </w:rPr>
            </w:pPr>
            <w:r w:rsidRPr="008933BD">
              <w:rPr>
                <w:noProof/>
                <w:lang w:val="nl-NL"/>
              </w:rPr>
              <w:t>I.</w:t>
            </w:r>
            <w:r>
              <w:rPr>
                <w:rFonts w:asciiTheme="minorHAnsi" w:eastAsiaTheme="minorEastAsia" w:hAnsiTheme="minorHAnsi" w:cstheme="minorBidi"/>
                <w:noProof/>
                <w:sz w:val="22"/>
                <w:lang w:eastAsia="en-GB"/>
              </w:rPr>
              <w:tab/>
            </w:r>
            <w:r w:rsidRPr="008933BD">
              <w:rPr>
                <w:noProof/>
                <w:lang w:val="nl-NL"/>
              </w:rPr>
              <w:t>General</w:t>
            </w:r>
            <w:r>
              <w:rPr>
                <w:noProof/>
              </w:rPr>
              <w:tab/>
            </w:r>
            <w:r>
              <w:rPr>
                <w:noProof/>
              </w:rPr>
              <w:fldChar w:fldCharType="begin"/>
            </w:r>
            <w:r>
              <w:rPr>
                <w:noProof/>
              </w:rPr>
              <w:instrText xml:space="preserve"> PAGEREF _Toc438227511 \h </w:instrText>
            </w:r>
            <w:r>
              <w:rPr>
                <w:noProof/>
              </w:rPr>
              <w:fldChar w:fldCharType="separate"/>
            </w:r>
            <w:r w:rsidR="0093513E">
              <w:rPr>
                <w:noProof/>
              </w:rPr>
              <w:t>81</w:t>
            </w:r>
            <w:r>
              <w:rPr>
                <w:noProof/>
              </w:rPr>
              <w:fldChar w:fldCharType="end"/>
            </w:r>
          </w:p>
          <w:p w:rsidR="00B8054A">
            <w:pPr>
              <w:pStyle w:val="TOC2"/>
              <w:rPr>
                <w:rFonts w:asciiTheme="minorHAnsi" w:eastAsiaTheme="minorEastAsia" w:hAnsiTheme="minorHAnsi" w:cstheme="minorBidi"/>
                <w:noProof/>
                <w:sz w:val="22"/>
                <w:lang w:eastAsia="en-GB"/>
              </w:rPr>
            </w:pPr>
            <w:r>
              <w:rPr>
                <w:noProof/>
              </w:rPr>
              <w:t>II.</w:t>
            </w:r>
            <w:r>
              <w:rPr>
                <w:rFonts w:asciiTheme="minorHAnsi" w:eastAsiaTheme="minorEastAsia" w:hAnsiTheme="minorHAnsi" w:cstheme="minorBidi"/>
                <w:noProof/>
                <w:sz w:val="22"/>
                <w:lang w:eastAsia="en-GB"/>
              </w:rPr>
              <w:tab/>
            </w:r>
            <w:r>
              <w:rPr>
                <w:noProof/>
              </w:rPr>
              <w:t>Risk factors that may affect the ability of Credit Suisse to fulfil its obligations under Complex Products</w:t>
            </w:r>
            <w:r>
              <w:rPr>
                <w:noProof/>
              </w:rPr>
              <w:tab/>
            </w:r>
            <w:r>
              <w:rPr>
                <w:noProof/>
              </w:rPr>
              <w:fldChar w:fldCharType="begin"/>
            </w:r>
            <w:r>
              <w:rPr>
                <w:noProof/>
              </w:rPr>
              <w:instrText xml:space="preserve"> PAGEREF _Toc438227512 \h </w:instrText>
            </w:r>
            <w:r>
              <w:rPr>
                <w:noProof/>
              </w:rPr>
              <w:fldChar w:fldCharType="separate"/>
            </w:r>
            <w:r w:rsidR="0093513E">
              <w:rPr>
                <w:noProof/>
              </w:rPr>
              <w:t>82</w:t>
            </w:r>
            <w:r>
              <w:rPr>
                <w:noProof/>
              </w:rPr>
              <w:fldChar w:fldCharType="end"/>
            </w:r>
          </w:p>
          <w:p w:rsidR="00B8054A">
            <w:pPr>
              <w:pStyle w:val="TOC2"/>
              <w:rPr>
                <w:rFonts w:asciiTheme="minorHAnsi" w:eastAsiaTheme="minorEastAsia" w:hAnsiTheme="minorHAnsi" w:cstheme="minorBidi"/>
                <w:noProof/>
                <w:sz w:val="22"/>
                <w:lang w:eastAsia="en-GB"/>
              </w:rPr>
            </w:pPr>
            <w:r>
              <w:rPr>
                <w:noProof/>
              </w:rPr>
              <w:t>III.</w:t>
            </w:r>
            <w:r>
              <w:rPr>
                <w:rFonts w:asciiTheme="minorHAnsi" w:eastAsiaTheme="minorEastAsia" w:hAnsiTheme="minorHAnsi" w:cstheme="minorBidi"/>
                <w:noProof/>
                <w:sz w:val="22"/>
                <w:lang w:eastAsia="en-GB"/>
              </w:rPr>
              <w:tab/>
            </w:r>
            <w:r>
              <w:rPr>
                <w:noProof/>
              </w:rPr>
              <w:t>Risk factors relating to Complex Products</w:t>
            </w:r>
            <w:r>
              <w:rPr>
                <w:noProof/>
              </w:rPr>
              <w:tab/>
            </w:r>
            <w:r>
              <w:rPr>
                <w:noProof/>
              </w:rPr>
              <w:fldChar w:fldCharType="begin"/>
            </w:r>
            <w:r>
              <w:rPr>
                <w:noProof/>
              </w:rPr>
              <w:instrText xml:space="preserve"> PAGEREF _Toc438227513 \h </w:instrText>
            </w:r>
            <w:r>
              <w:rPr>
                <w:noProof/>
              </w:rPr>
              <w:fldChar w:fldCharType="separate"/>
            </w:r>
            <w:r w:rsidR="0093513E">
              <w:rPr>
                <w:noProof/>
              </w:rPr>
              <w:t>105</w:t>
            </w:r>
            <w:r>
              <w:rPr>
                <w:noProof/>
              </w:rPr>
              <w:fldChar w:fldCharType="end"/>
            </w:r>
          </w:p>
          <w:p w:rsidR="00B8054A">
            <w:pPr>
              <w:pStyle w:val="TOC3"/>
              <w:rPr>
                <w:rFonts w:asciiTheme="minorHAnsi" w:eastAsiaTheme="minorEastAsia" w:hAnsiTheme="minorHAnsi" w:cstheme="minorBidi"/>
                <w:noProof/>
                <w:sz w:val="22"/>
                <w:lang w:eastAsia="en-GB"/>
              </w:rPr>
            </w:pPr>
            <w:r>
              <w:rPr>
                <w:noProof/>
              </w:rPr>
              <w:t>A.</w:t>
            </w:r>
            <w:r>
              <w:rPr>
                <w:rFonts w:asciiTheme="minorHAnsi" w:eastAsiaTheme="minorEastAsia" w:hAnsiTheme="minorHAnsi" w:cstheme="minorBidi"/>
                <w:noProof/>
                <w:sz w:val="22"/>
                <w:lang w:eastAsia="en-GB"/>
              </w:rPr>
              <w:tab/>
            </w:r>
            <w:r>
              <w:rPr>
                <w:noProof/>
              </w:rPr>
              <w:t>Risk factors that are applicable to all Complex Products</w:t>
            </w:r>
            <w:r>
              <w:rPr>
                <w:noProof/>
              </w:rPr>
              <w:tab/>
            </w:r>
            <w:r>
              <w:rPr>
                <w:noProof/>
              </w:rPr>
              <w:fldChar w:fldCharType="begin"/>
            </w:r>
            <w:r>
              <w:rPr>
                <w:noProof/>
              </w:rPr>
              <w:instrText xml:space="preserve"> PAGEREF _Toc438227514 \h </w:instrText>
            </w:r>
            <w:r>
              <w:rPr>
                <w:noProof/>
              </w:rPr>
              <w:fldChar w:fldCharType="separate"/>
            </w:r>
            <w:r w:rsidR="0093513E">
              <w:rPr>
                <w:noProof/>
              </w:rPr>
              <w:t>105</w:t>
            </w:r>
            <w:r>
              <w:rPr>
                <w:noProof/>
              </w:rPr>
              <w:fldChar w:fldCharType="end"/>
            </w:r>
          </w:p>
          <w:p w:rsidR="00B8054A">
            <w:pPr>
              <w:pStyle w:val="TOC3"/>
              <w:rPr>
                <w:rFonts w:asciiTheme="minorHAnsi" w:eastAsiaTheme="minorEastAsia" w:hAnsiTheme="minorHAnsi" w:cstheme="minorBidi"/>
                <w:noProof/>
                <w:sz w:val="22"/>
                <w:lang w:eastAsia="en-GB"/>
              </w:rPr>
            </w:pPr>
            <w:r>
              <w:rPr>
                <w:noProof/>
              </w:rPr>
              <w:t>B.</w:t>
            </w:r>
            <w:r>
              <w:rPr>
                <w:rFonts w:asciiTheme="minorHAnsi" w:eastAsiaTheme="minorEastAsia" w:hAnsiTheme="minorHAnsi" w:cstheme="minorBidi"/>
                <w:noProof/>
                <w:sz w:val="22"/>
                <w:lang w:eastAsia="en-GB"/>
              </w:rPr>
              <w:tab/>
            </w:r>
            <w:r>
              <w:rPr>
                <w:noProof/>
              </w:rPr>
              <w:t>Risks associated with different categories of Complex Products</w:t>
            </w:r>
            <w:r>
              <w:rPr>
                <w:noProof/>
              </w:rPr>
              <w:tab/>
            </w:r>
            <w:r>
              <w:rPr>
                <w:noProof/>
              </w:rPr>
              <w:fldChar w:fldCharType="begin"/>
            </w:r>
            <w:r>
              <w:rPr>
                <w:noProof/>
              </w:rPr>
              <w:instrText xml:space="preserve"> PAGEREF _Toc438227515 \h </w:instrText>
            </w:r>
            <w:r>
              <w:rPr>
                <w:noProof/>
              </w:rPr>
              <w:fldChar w:fldCharType="separate"/>
            </w:r>
            <w:r w:rsidR="0093513E">
              <w:rPr>
                <w:noProof/>
              </w:rPr>
              <w:t>118</w:t>
            </w:r>
            <w:r>
              <w:rPr>
                <w:noProof/>
              </w:rPr>
              <w:fldChar w:fldCharType="end"/>
            </w:r>
          </w:p>
          <w:p w:rsidR="00B8054A">
            <w:pPr>
              <w:pStyle w:val="TOC3"/>
              <w:rPr>
                <w:rFonts w:asciiTheme="minorHAnsi" w:eastAsiaTheme="minorEastAsia" w:hAnsiTheme="minorHAnsi" w:cstheme="minorBidi"/>
                <w:noProof/>
                <w:sz w:val="22"/>
                <w:lang w:eastAsia="en-GB"/>
              </w:rPr>
            </w:pPr>
            <w:r>
              <w:rPr>
                <w:noProof/>
              </w:rPr>
              <w:t>C.</w:t>
            </w:r>
            <w:r>
              <w:rPr>
                <w:rFonts w:asciiTheme="minorHAnsi" w:eastAsiaTheme="minorEastAsia" w:hAnsiTheme="minorHAnsi" w:cstheme="minorBidi"/>
                <w:noProof/>
                <w:sz w:val="22"/>
                <w:lang w:eastAsia="en-GB"/>
              </w:rPr>
              <w:tab/>
            </w:r>
            <w:r>
              <w:rPr>
                <w:noProof/>
              </w:rPr>
              <w:t>Risks associated with Complex Products that include certain features</w:t>
            </w:r>
            <w:r>
              <w:rPr>
                <w:noProof/>
              </w:rPr>
              <w:tab/>
            </w:r>
            <w:r>
              <w:rPr>
                <w:noProof/>
              </w:rPr>
              <w:fldChar w:fldCharType="begin"/>
            </w:r>
            <w:r>
              <w:rPr>
                <w:noProof/>
              </w:rPr>
              <w:instrText xml:space="preserve"> PAGEREF _Toc438227516 \h </w:instrText>
            </w:r>
            <w:r>
              <w:rPr>
                <w:noProof/>
              </w:rPr>
              <w:fldChar w:fldCharType="separate"/>
            </w:r>
            <w:r w:rsidR="0093513E">
              <w:rPr>
                <w:noProof/>
              </w:rPr>
              <w:t>147</w:t>
            </w:r>
            <w:r>
              <w:rPr>
                <w:noProof/>
              </w:rPr>
              <w:fldChar w:fldCharType="end"/>
            </w:r>
          </w:p>
          <w:p w:rsidR="00B8054A">
            <w:pPr>
              <w:pStyle w:val="TOC1"/>
              <w:rPr>
                <w:rFonts w:asciiTheme="minorHAnsi" w:eastAsiaTheme="minorEastAsia" w:hAnsiTheme="minorHAnsi" w:cstheme="minorBidi"/>
                <w:noProof/>
                <w:sz w:val="22"/>
                <w:lang w:eastAsia="en-GB"/>
              </w:rPr>
            </w:pPr>
            <w:r>
              <w:rPr>
                <w:noProof/>
              </w:rPr>
              <w:t>GENERAL INFORMATION ABOUT THIS DOCUMENT</w:t>
            </w:r>
            <w:r>
              <w:rPr>
                <w:noProof/>
              </w:rPr>
              <w:tab/>
            </w:r>
            <w:r>
              <w:rPr>
                <w:noProof/>
              </w:rPr>
              <w:fldChar w:fldCharType="begin"/>
            </w:r>
            <w:r>
              <w:rPr>
                <w:noProof/>
              </w:rPr>
              <w:instrText xml:space="preserve"> PAGEREF _Toc438227517 \h </w:instrText>
            </w:r>
            <w:r>
              <w:rPr>
                <w:noProof/>
              </w:rPr>
              <w:fldChar w:fldCharType="separate"/>
            </w:r>
            <w:r w:rsidR="0093513E">
              <w:rPr>
                <w:noProof/>
              </w:rPr>
              <w:t>156</w:t>
            </w:r>
            <w:r>
              <w:rPr>
                <w:noProof/>
              </w:rPr>
              <w:fldChar w:fldCharType="end"/>
            </w:r>
          </w:p>
          <w:p w:rsidR="00B8054A">
            <w:pPr>
              <w:pStyle w:val="TOC1"/>
              <w:rPr>
                <w:rFonts w:asciiTheme="minorHAnsi" w:eastAsiaTheme="minorEastAsia" w:hAnsiTheme="minorHAnsi" w:cstheme="minorBidi"/>
                <w:noProof/>
                <w:sz w:val="22"/>
                <w:lang w:eastAsia="en-GB"/>
              </w:rPr>
            </w:pPr>
            <w:r>
              <w:rPr>
                <w:noProof/>
              </w:rPr>
              <w:t>FORM OF FINAL TERMS</w:t>
            </w:r>
            <w:r>
              <w:rPr>
                <w:noProof/>
              </w:rPr>
              <w:tab/>
            </w:r>
            <w:r>
              <w:rPr>
                <w:noProof/>
              </w:rPr>
              <w:fldChar w:fldCharType="begin"/>
            </w:r>
            <w:r>
              <w:rPr>
                <w:noProof/>
              </w:rPr>
              <w:instrText xml:space="preserve"> PAGEREF _Toc438227518 \h </w:instrText>
            </w:r>
            <w:r>
              <w:rPr>
                <w:noProof/>
              </w:rPr>
              <w:fldChar w:fldCharType="separate"/>
            </w:r>
            <w:r w:rsidR="0093513E">
              <w:rPr>
                <w:noProof/>
              </w:rPr>
              <w:t>162</w:t>
            </w:r>
            <w:r>
              <w:rPr>
                <w:noProof/>
              </w:rPr>
              <w:fldChar w:fldCharType="end"/>
            </w:r>
          </w:p>
          <w:p w:rsidR="00B8054A">
            <w:pPr>
              <w:pStyle w:val="TOC1"/>
              <w:rPr>
                <w:rFonts w:asciiTheme="minorHAnsi" w:eastAsiaTheme="minorEastAsia" w:hAnsiTheme="minorHAnsi" w:cstheme="minorBidi"/>
                <w:noProof/>
                <w:sz w:val="22"/>
                <w:lang w:eastAsia="en-GB"/>
              </w:rPr>
            </w:pPr>
            <w:r>
              <w:rPr>
                <w:noProof/>
              </w:rPr>
              <w:t>ISSUE SPECIFIC SUMMARY</w:t>
            </w:r>
            <w:r>
              <w:rPr>
                <w:noProof/>
              </w:rPr>
              <w:tab/>
            </w:r>
            <w:r>
              <w:rPr>
                <w:noProof/>
              </w:rPr>
              <w:fldChar w:fldCharType="begin"/>
            </w:r>
            <w:r>
              <w:rPr>
                <w:noProof/>
              </w:rPr>
              <w:instrText xml:space="preserve"> PAGEREF _Toc438227519 \h </w:instrText>
            </w:r>
            <w:r>
              <w:rPr>
                <w:noProof/>
              </w:rPr>
              <w:fldChar w:fldCharType="separate"/>
            </w:r>
            <w:r w:rsidR="0093513E">
              <w:rPr>
                <w:noProof/>
              </w:rPr>
              <w:t>165</w:t>
            </w:r>
            <w:r>
              <w:rPr>
                <w:noProof/>
              </w:rPr>
              <w:fldChar w:fldCharType="end"/>
            </w:r>
          </w:p>
          <w:p w:rsidR="00B8054A">
            <w:pPr>
              <w:pStyle w:val="TOC1"/>
              <w:rPr>
                <w:rFonts w:asciiTheme="minorHAnsi" w:eastAsiaTheme="minorEastAsia" w:hAnsiTheme="minorHAnsi" w:cstheme="minorBidi"/>
                <w:noProof/>
                <w:sz w:val="22"/>
                <w:lang w:eastAsia="en-GB"/>
              </w:rPr>
            </w:pPr>
            <w:r>
              <w:rPr>
                <w:noProof/>
              </w:rPr>
              <w:t>ADDITIONAL INFORMATION IN CASE OF FINAL TERMS FOR A LISTING ON THE SIX SWISS EXCHANGE</w:t>
            </w:r>
            <w:r>
              <w:rPr>
                <w:noProof/>
              </w:rPr>
              <w:tab/>
            </w:r>
            <w:r>
              <w:rPr>
                <w:noProof/>
              </w:rPr>
              <w:fldChar w:fldCharType="begin"/>
            </w:r>
            <w:r>
              <w:rPr>
                <w:noProof/>
              </w:rPr>
              <w:instrText xml:space="preserve"> PAGEREF _Toc438227520 \h </w:instrText>
            </w:r>
            <w:r>
              <w:rPr>
                <w:noProof/>
              </w:rPr>
              <w:fldChar w:fldCharType="separate"/>
            </w:r>
            <w:r w:rsidR="0093513E">
              <w:rPr>
                <w:noProof/>
              </w:rPr>
              <w:t>166</w:t>
            </w:r>
            <w:r>
              <w:rPr>
                <w:noProof/>
              </w:rPr>
              <w:fldChar w:fldCharType="end"/>
            </w:r>
          </w:p>
          <w:p w:rsidR="00B8054A">
            <w:pPr>
              <w:pStyle w:val="TOC1"/>
              <w:rPr>
                <w:rFonts w:asciiTheme="minorHAnsi" w:eastAsiaTheme="minorEastAsia" w:hAnsiTheme="minorHAnsi" w:cstheme="minorBidi"/>
                <w:noProof/>
                <w:sz w:val="22"/>
                <w:lang w:eastAsia="en-GB"/>
              </w:rPr>
            </w:pPr>
            <w:r>
              <w:rPr>
                <w:noProof/>
              </w:rPr>
              <w:t>DOCUMENTS INCORPORATED BY REFERENCE</w:t>
            </w:r>
            <w:r>
              <w:rPr>
                <w:noProof/>
              </w:rPr>
              <w:tab/>
            </w:r>
            <w:r>
              <w:rPr>
                <w:noProof/>
              </w:rPr>
              <w:fldChar w:fldCharType="begin"/>
            </w:r>
            <w:r>
              <w:rPr>
                <w:noProof/>
              </w:rPr>
              <w:instrText xml:space="preserve"> PAGEREF _Toc438227521 \h </w:instrText>
            </w:r>
            <w:r>
              <w:rPr>
                <w:noProof/>
              </w:rPr>
              <w:fldChar w:fldCharType="separate"/>
            </w:r>
            <w:r w:rsidR="0093513E">
              <w:rPr>
                <w:noProof/>
              </w:rPr>
              <w:t>167</w:t>
            </w:r>
            <w:r>
              <w:rPr>
                <w:noProof/>
              </w:rPr>
              <w:fldChar w:fldCharType="end"/>
            </w:r>
          </w:p>
          <w:p w:rsidR="00B8054A">
            <w:pPr>
              <w:pStyle w:val="TOC1"/>
              <w:rPr>
                <w:rFonts w:asciiTheme="minorHAnsi" w:eastAsiaTheme="minorEastAsia" w:hAnsiTheme="minorHAnsi" w:cstheme="minorBidi"/>
                <w:noProof/>
                <w:sz w:val="22"/>
                <w:lang w:eastAsia="en-GB"/>
              </w:rPr>
            </w:pPr>
            <w:r>
              <w:rPr>
                <w:noProof/>
              </w:rPr>
              <w:t>DESCRIPTION OF THE ISSUER</w:t>
            </w:r>
            <w:r>
              <w:rPr>
                <w:noProof/>
              </w:rPr>
              <w:tab/>
            </w:r>
            <w:r>
              <w:rPr>
                <w:noProof/>
              </w:rPr>
              <w:fldChar w:fldCharType="begin"/>
            </w:r>
            <w:r>
              <w:rPr>
                <w:noProof/>
              </w:rPr>
              <w:instrText xml:space="preserve"> PAGEREF _Toc438227522 \h </w:instrText>
            </w:r>
            <w:r>
              <w:rPr>
                <w:noProof/>
              </w:rPr>
              <w:fldChar w:fldCharType="separate"/>
            </w:r>
            <w:r w:rsidR="0093513E">
              <w:rPr>
                <w:noProof/>
              </w:rPr>
              <w:t>172</w:t>
            </w:r>
            <w:r>
              <w:rPr>
                <w:noProof/>
              </w:rPr>
              <w:fldChar w:fldCharType="end"/>
            </w:r>
          </w:p>
          <w:p w:rsidR="00B8054A">
            <w:pPr>
              <w:pStyle w:val="TOC1"/>
              <w:rPr>
                <w:rFonts w:asciiTheme="minorHAnsi" w:eastAsiaTheme="minorEastAsia" w:hAnsiTheme="minorHAnsi" w:cstheme="minorBidi"/>
                <w:noProof/>
                <w:sz w:val="22"/>
                <w:lang w:eastAsia="en-GB"/>
              </w:rPr>
            </w:pPr>
            <w:r>
              <w:rPr>
                <w:noProof/>
              </w:rPr>
              <w:t>SUMMARY DESCRIPTION OF COMPLEX PRODUCTS</w:t>
            </w:r>
            <w:r>
              <w:rPr>
                <w:noProof/>
              </w:rPr>
              <w:tab/>
            </w:r>
            <w:r>
              <w:rPr>
                <w:noProof/>
              </w:rPr>
              <w:fldChar w:fldCharType="begin"/>
            </w:r>
            <w:r>
              <w:rPr>
                <w:noProof/>
              </w:rPr>
              <w:instrText xml:space="preserve"> PAGEREF _Toc438227523 \h </w:instrText>
            </w:r>
            <w:r>
              <w:rPr>
                <w:noProof/>
              </w:rPr>
              <w:fldChar w:fldCharType="separate"/>
            </w:r>
            <w:r w:rsidR="0093513E">
              <w:rPr>
                <w:noProof/>
              </w:rPr>
              <w:t>239</w:t>
            </w:r>
            <w:r>
              <w:rPr>
                <w:noProof/>
              </w:rPr>
              <w:fldChar w:fldCharType="end"/>
            </w:r>
          </w:p>
          <w:p w:rsidR="00B8054A">
            <w:pPr>
              <w:pStyle w:val="TOC2"/>
              <w:rPr>
                <w:rFonts w:asciiTheme="minorHAnsi" w:eastAsiaTheme="minorEastAsia" w:hAnsiTheme="minorHAnsi" w:cstheme="minorBidi"/>
                <w:noProof/>
                <w:sz w:val="22"/>
                <w:lang w:eastAsia="en-GB"/>
              </w:rPr>
            </w:pPr>
            <w:r>
              <w:rPr>
                <w:noProof/>
              </w:rPr>
              <w:t>I.</w:t>
            </w:r>
            <w:r>
              <w:rPr>
                <w:rFonts w:asciiTheme="minorHAnsi" w:eastAsiaTheme="minorEastAsia" w:hAnsiTheme="minorHAnsi" w:cstheme="minorBidi"/>
                <w:noProof/>
                <w:sz w:val="22"/>
                <w:lang w:eastAsia="en-GB"/>
              </w:rPr>
              <w:tab/>
            </w:r>
            <w:r>
              <w:rPr>
                <w:noProof/>
              </w:rPr>
              <w:t>Complex Products with Fixed Final Redemption Amount</w:t>
            </w:r>
            <w:r>
              <w:rPr>
                <w:noProof/>
              </w:rPr>
              <w:tab/>
            </w:r>
            <w:r>
              <w:rPr>
                <w:noProof/>
              </w:rPr>
              <w:fldChar w:fldCharType="begin"/>
            </w:r>
            <w:r>
              <w:rPr>
                <w:noProof/>
              </w:rPr>
              <w:instrText xml:space="preserve"> PAGEREF _Toc438227524 \h </w:instrText>
            </w:r>
            <w:r>
              <w:rPr>
                <w:noProof/>
              </w:rPr>
              <w:fldChar w:fldCharType="separate"/>
            </w:r>
            <w:r w:rsidR="0093513E">
              <w:rPr>
                <w:noProof/>
              </w:rPr>
              <w:t>240</w:t>
            </w:r>
            <w:r>
              <w:rPr>
                <w:noProof/>
              </w:rPr>
              <w:fldChar w:fldCharType="end"/>
            </w:r>
          </w:p>
          <w:p w:rsidR="00B8054A">
            <w:pPr>
              <w:pStyle w:val="TOC3"/>
              <w:rPr>
                <w:rFonts w:asciiTheme="minorHAnsi" w:eastAsiaTheme="minorEastAsia" w:hAnsiTheme="minorHAnsi" w:cstheme="minorBidi"/>
                <w:noProof/>
                <w:sz w:val="22"/>
                <w:lang w:eastAsia="en-GB"/>
              </w:rPr>
            </w:pPr>
            <w:r>
              <w:rPr>
                <w:noProof/>
              </w:rPr>
              <w:t>A.</w:t>
            </w:r>
            <w:r>
              <w:rPr>
                <w:rFonts w:asciiTheme="minorHAnsi" w:eastAsiaTheme="minorEastAsia" w:hAnsiTheme="minorHAnsi" w:cstheme="minorBidi"/>
                <w:noProof/>
                <w:sz w:val="22"/>
                <w:lang w:eastAsia="en-GB"/>
              </w:rPr>
              <w:tab/>
            </w:r>
            <w:r>
              <w:rPr>
                <w:noProof/>
              </w:rPr>
              <w:t>Fixed Rate Notes</w:t>
            </w:r>
            <w:r>
              <w:rPr>
                <w:noProof/>
              </w:rPr>
              <w:tab/>
            </w:r>
            <w:r>
              <w:rPr>
                <w:noProof/>
              </w:rPr>
              <w:fldChar w:fldCharType="begin"/>
            </w:r>
            <w:r>
              <w:rPr>
                <w:noProof/>
              </w:rPr>
              <w:instrText xml:space="preserve"> PAGEREF _Toc438227525 \h </w:instrText>
            </w:r>
            <w:r>
              <w:rPr>
                <w:noProof/>
              </w:rPr>
              <w:fldChar w:fldCharType="separate"/>
            </w:r>
            <w:r w:rsidR="0093513E">
              <w:rPr>
                <w:noProof/>
              </w:rPr>
              <w:t>240</w:t>
            </w:r>
            <w:r>
              <w:rPr>
                <w:noProof/>
              </w:rPr>
              <w:fldChar w:fldCharType="end"/>
            </w:r>
          </w:p>
          <w:p w:rsidR="00B8054A">
            <w:pPr>
              <w:pStyle w:val="TOC3"/>
              <w:rPr>
                <w:rFonts w:asciiTheme="minorHAnsi" w:eastAsiaTheme="minorEastAsia" w:hAnsiTheme="minorHAnsi" w:cstheme="minorBidi"/>
                <w:noProof/>
                <w:sz w:val="22"/>
                <w:lang w:eastAsia="en-GB"/>
              </w:rPr>
            </w:pPr>
            <w:r w:rsidRPr="00B8054A">
              <w:rPr>
                <w:noProof/>
              </w:rPr>
              <w:t>B.</w:t>
            </w:r>
            <w:r>
              <w:rPr>
                <w:rFonts w:asciiTheme="minorHAnsi" w:eastAsiaTheme="minorEastAsia" w:hAnsiTheme="minorHAnsi" w:cstheme="minorBidi"/>
                <w:noProof/>
                <w:sz w:val="22"/>
                <w:lang w:eastAsia="en-GB"/>
              </w:rPr>
              <w:tab/>
            </w:r>
            <w:r w:rsidRPr="00B8054A">
              <w:rPr>
                <w:noProof/>
              </w:rPr>
              <w:t>Step Up Notes</w:t>
            </w:r>
            <w:r>
              <w:rPr>
                <w:noProof/>
              </w:rPr>
              <w:tab/>
            </w:r>
            <w:r>
              <w:rPr>
                <w:noProof/>
              </w:rPr>
              <w:fldChar w:fldCharType="begin"/>
            </w:r>
            <w:r>
              <w:rPr>
                <w:noProof/>
              </w:rPr>
              <w:instrText xml:space="preserve"> PAGEREF _Toc438227526 \h </w:instrText>
            </w:r>
            <w:r>
              <w:rPr>
                <w:noProof/>
              </w:rPr>
              <w:fldChar w:fldCharType="separate"/>
            </w:r>
            <w:r w:rsidR="0093513E">
              <w:rPr>
                <w:noProof/>
              </w:rPr>
              <w:t>241</w:t>
            </w:r>
            <w:r>
              <w:rPr>
                <w:noProof/>
              </w:rPr>
              <w:fldChar w:fldCharType="end"/>
            </w:r>
          </w:p>
          <w:p w:rsidR="00B8054A">
            <w:pPr>
              <w:pStyle w:val="TOC3"/>
              <w:rPr>
                <w:rFonts w:asciiTheme="minorHAnsi" w:eastAsiaTheme="minorEastAsia" w:hAnsiTheme="minorHAnsi" w:cstheme="minorBidi"/>
                <w:noProof/>
                <w:sz w:val="22"/>
                <w:lang w:eastAsia="en-GB"/>
              </w:rPr>
            </w:pPr>
            <w:r w:rsidRPr="00B8054A">
              <w:rPr>
                <w:noProof/>
              </w:rPr>
              <w:t>C.</w:t>
            </w:r>
            <w:r>
              <w:rPr>
                <w:rFonts w:asciiTheme="minorHAnsi" w:eastAsiaTheme="minorEastAsia" w:hAnsiTheme="minorHAnsi" w:cstheme="minorBidi"/>
                <w:noProof/>
                <w:sz w:val="22"/>
                <w:lang w:eastAsia="en-GB"/>
              </w:rPr>
              <w:tab/>
            </w:r>
            <w:r w:rsidRPr="00B8054A">
              <w:rPr>
                <w:noProof/>
              </w:rPr>
              <w:t>Floating Rate Notes</w:t>
            </w:r>
            <w:r>
              <w:rPr>
                <w:noProof/>
              </w:rPr>
              <w:tab/>
            </w:r>
            <w:r>
              <w:rPr>
                <w:noProof/>
              </w:rPr>
              <w:fldChar w:fldCharType="begin"/>
            </w:r>
            <w:r>
              <w:rPr>
                <w:noProof/>
              </w:rPr>
              <w:instrText xml:space="preserve"> PAGEREF _Toc438227527 \h </w:instrText>
            </w:r>
            <w:r>
              <w:rPr>
                <w:noProof/>
              </w:rPr>
              <w:fldChar w:fldCharType="separate"/>
            </w:r>
            <w:r w:rsidR="0093513E">
              <w:rPr>
                <w:noProof/>
              </w:rPr>
              <w:t>241</w:t>
            </w:r>
            <w:r>
              <w:rPr>
                <w:noProof/>
              </w:rPr>
              <w:fldChar w:fldCharType="end"/>
            </w:r>
          </w:p>
          <w:p w:rsidR="00B8054A">
            <w:pPr>
              <w:pStyle w:val="TOC3"/>
              <w:rPr>
                <w:rFonts w:asciiTheme="minorHAnsi" w:eastAsiaTheme="minorEastAsia" w:hAnsiTheme="minorHAnsi" w:cstheme="minorBidi"/>
                <w:noProof/>
                <w:sz w:val="22"/>
                <w:lang w:eastAsia="en-GB"/>
              </w:rPr>
            </w:pPr>
            <w:r>
              <w:rPr>
                <w:noProof/>
              </w:rPr>
              <w:t>D.</w:t>
            </w:r>
            <w:r>
              <w:rPr>
                <w:rFonts w:asciiTheme="minorHAnsi" w:eastAsiaTheme="minorEastAsia" w:hAnsiTheme="minorHAnsi" w:cstheme="minorBidi"/>
                <w:noProof/>
                <w:sz w:val="22"/>
                <w:lang w:eastAsia="en-GB"/>
              </w:rPr>
              <w:tab/>
            </w:r>
            <w:r>
              <w:rPr>
                <w:noProof/>
              </w:rPr>
              <w:t>Fixed to Floating Rate Notes</w:t>
            </w:r>
            <w:r>
              <w:rPr>
                <w:noProof/>
              </w:rPr>
              <w:tab/>
            </w:r>
            <w:r>
              <w:rPr>
                <w:noProof/>
              </w:rPr>
              <w:fldChar w:fldCharType="begin"/>
            </w:r>
            <w:r>
              <w:rPr>
                <w:noProof/>
              </w:rPr>
              <w:instrText xml:space="preserve"> PAGEREF _Toc438227528 \h </w:instrText>
            </w:r>
            <w:r>
              <w:rPr>
                <w:noProof/>
              </w:rPr>
              <w:fldChar w:fldCharType="separate"/>
            </w:r>
            <w:r w:rsidR="0093513E">
              <w:rPr>
                <w:noProof/>
              </w:rPr>
              <w:t>241</w:t>
            </w:r>
            <w:r>
              <w:rPr>
                <w:noProof/>
              </w:rPr>
              <w:fldChar w:fldCharType="end"/>
            </w:r>
          </w:p>
          <w:p w:rsidR="00B8054A">
            <w:pPr>
              <w:pStyle w:val="TOC3"/>
              <w:rPr>
                <w:rFonts w:asciiTheme="minorHAnsi" w:eastAsiaTheme="minorEastAsia" w:hAnsiTheme="minorHAnsi" w:cstheme="minorBidi"/>
                <w:noProof/>
                <w:sz w:val="22"/>
                <w:lang w:eastAsia="en-GB"/>
              </w:rPr>
            </w:pPr>
            <w:r>
              <w:rPr>
                <w:noProof/>
              </w:rPr>
              <w:t>E.</w:t>
            </w:r>
            <w:r>
              <w:rPr>
                <w:rFonts w:asciiTheme="minorHAnsi" w:eastAsiaTheme="minorEastAsia" w:hAnsiTheme="minorHAnsi" w:cstheme="minorBidi"/>
                <w:noProof/>
                <w:sz w:val="22"/>
                <w:lang w:eastAsia="en-GB"/>
              </w:rPr>
              <w:tab/>
            </w:r>
            <w:r>
              <w:rPr>
                <w:noProof/>
              </w:rPr>
              <w:t>Cumulative Reverse Floater Notes</w:t>
            </w:r>
            <w:r>
              <w:rPr>
                <w:noProof/>
              </w:rPr>
              <w:tab/>
            </w:r>
            <w:r>
              <w:rPr>
                <w:noProof/>
              </w:rPr>
              <w:fldChar w:fldCharType="begin"/>
            </w:r>
            <w:r>
              <w:rPr>
                <w:noProof/>
              </w:rPr>
              <w:instrText xml:space="preserve"> PAGEREF _Toc438227529 \h </w:instrText>
            </w:r>
            <w:r>
              <w:rPr>
                <w:noProof/>
              </w:rPr>
              <w:fldChar w:fldCharType="separate"/>
            </w:r>
            <w:r w:rsidR="0093513E">
              <w:rPr>
                <w:noProof/>
              </w:rPr>
              <w:t>242</w:t>
            </w:r>
            <w:r>
              <w:rPr>
                <w:noProof/>
              </w:rPr>
              <w:fldChar w:fldCharType="end"/>
            </w:r>
          </w:p>
          <w:p w:rsidR="00B8054A">
            <w:pPr>
              <w:pStyle w:val="TOC3"/>
              <w:rPr>
                <w:rFonts w:asciiTheme="minorHAnsi" w:eastAsiaTheme="minorEastAsia" w:hAnsiTheme="minorHAnsi" w:cstheme="minorBidi"/>
                <w:noProof/>
                <w:sz w:val="22"/>
                <w:lang w:eastAsia="en-GB"/>
              </w:rPr>
            </w:pPr>
            <w:r w:rsidRPr="00B8054A">
              <w:rPr>
                <w:noProof/>
              </w:rPr>
              <w:t>F.</w:t>
            </w:r>
            <w:r>
              <w:rPr>
                <w:rFonts w:asciiTheme="minorHAnsi" w:eastAsiaTheme="minorEastAsia" w:hAnsiTheme="minorHAnsi" w:cstheme="minorBidi"/>
                <w:noProof/>
                <w:sz w:val="22"/>
                <w:lang w:eastAsia="en-GB"/>
              </w:rPr>
              <w:tab/>
            </w:r>
            <w:r w:rsidRPr="00B8054A">
              <w:rPr>
                <w:noProof/>
              </w:rPr>
              <w:t>Stairway Notes</w:t>
            </w:r>
            <w:r>
              <w:rPr>
                <w:noProof/>
              </w:rPr>
              <w:tab/>
            </w:r>
            <w:r>
              <w:rPr>
                <w:noProof/>
              </w:rPr>
              <w:fldChar w:fldCharType="begin"/>
            </w:r>
            <w:r>
              <w:rPr>
                <w:noProof/>
              </w:rPr>
              <w:instrText xml:space="preserve"> PAGEREF _Toc438227530 \h </w:instrText>
            </w:r>
            <w:r>
              <w:rPr>
                <w:noProof/>
              </w:rPr>
              <w:fldChar w:fldCharType="separate"/>
            </w:r>
            <w:r w:rsidR="0093513E">
              <w:rPr>
                <w:noProof/>
              </w:rPr>
              <w:t>243</w:t>
            </w:r>
            <w:r>
              <w:rPr>
                <w:noProof/>
              </w:rPr>
              <w:fldChar w:fldCharType="end"/>
            </w:r>
          </w:p>
          <w:p w:rsidR="00B8054A">
            <w:pPr>
              <w:pStyle w:val="TOC3"/>
              <w:rPr>
                <w:rFonts w:asciiTheme="minorHAnsi" w:eastAsiaTheme="minorEastAsia" w:hAnsiTheme="minorHAnsi" w:cstheme="minorBidi"/>
                <w:noProof/>
                <w:sz w:val="22"/>
                <w:lang w:eastAsia="en-GB"/>
              </w:rPr>
            </w:pPr>
            <w:r>
              <w:rPr>
                <w:noProof/>
              </w:rPr>
              <w:t>G.</w:t>
            </w:r>
            <w:r>
              <w:rPr>
                <w:rFonts w:asciiTheme="minorHAnsi" w:eastAsiaTheme="minorEastAsia" w:hAnsiTheme="minorHAnsi" w:cstheme="minorBidi"/>
                <w:noProof/>
                <w:sz w:val="22"/>
                <w:lang w:eastAsia="en-GB"/>
              </w:rPr>
              <w:tab/>
            </w:r>
            <w:r>
              <w:rPr>
                <w:noProof/>
              </w:rPr>
              <w:t>Inverse Floating Rate Notes</w:t>
            </w:r>
            <w:r>
              <w:rPr>
                <w:noProof/>
              </w:rPr>
              <w:tab/>
            </w:r>
            <w:r>
              <w:rPr>
                <w:noProof/>
              </w:rPr>
              <w:fldChar w:fldCharType="begin"/>
            </w:r>
            <w:r>
              <w:rPr>
                <w:noProof/>
              </w:rPr>
              <w:instrText xml:space="preserve"> PAGEREF _Toc438227531 \h </w:instrText>
            </w:r>
            <w:r>
              <w:rPr>
                <w:noProof/>
              </w:rPr>
              <w:fldChar w:fldCharType="separate"/>
            </w:r>
            <w:r w:rsidR="0093513E">
              <w:rPr>
                <w:noProof/>
              </w:rPr>
              <w:t>244</w:t>
            </w:r>
            <w:r>
              <w:rPr>
                <w:noProof/>
              </w:rPr>
              <w:fldChar w:fldCharType="end"/>
            </w:r>
          </w:p>
          <w:p w:rsidR="00B8054A">
            <w:pPr>
              <w:pStyle w:val="TOC3"/>
              <w:rPr>
                <w:rFonts w:asciiTheme="minorHAnsi" w:eastAsiaTheme="minorEastAsia" w:hAnsiTheme="minorHAnsi" w:cstheme="minorBidi"/>
                <w:noProof/>
                <w:sz w:val="22"/>
                <w:lang w:eastAsia="en-GB"/>
              </w:rPr>
            </w:pPr>
            <w:r w:rsidRPr="00B8054A">
              <w:rPr>
                <w:noProof/>
              </w:rPr>
              <w:t>H.</w:t>
            </w:r>
            <w:r>
              <w:rPr>
                <w:rFonts w:asciiTheme="minorHAnsi" w:eastAsiaTheme="minorEastAsia" w:hAnsiTheme="minorHAnsi" w:cstheme="minorBidi"/>
                <w:noProof/>
                <w:sz w:val="22"/>
                <w:lang w:eastAsia="en-GB"/>
              </w:rPr>
              <w:tab/>
            </w:r>
            <w:r w:rsidRPr="00B8054A">
              <w:rPr>
                <w:noProof/>
              </w:rPr>
              <w:t>Spread-Linked Notes</w:t>
            </w:r>
            <w:r>
              <w:rPr>
                <w:noProof/>
              </w:rPr>
              <w:tab/>
            </w:r>
            <w:r>
              <w:rPr>
                <w:noProof/>
              </w:rPr>
              <w:fldChar w:fldCharType="begin"/>
            </w:r>
            <w:r>
              <w:rPr>
                <w:noProof/>
              </w:rPr>
              <w:instrText xml:space="preserve"> PAGEREF _Toc438227532 \h </w:instrText>
            </w:r>
            <w:r>
              <w:rPr>
                <w:noProof/>
              </w:rPr>
              <w:fldChar w:fldCharType="separate"/>
            </w:r>
            <w:r w:rsidR="0093513E">
              <w:rPr>
                <w:noProof/>
              </w:rPr>
              <w:t>244</w:t>
            </w:r>
            <w:r>
              <w:rPr>
                <w:noProof/>
              </w:rPr>
              <w:fldChar w:fldCharType="end"/>
            </w:r>
          </w:p>
          <w:p w:rsidR="00B8054A">
            <w:pPr>
              <w:pStyle w:val="TOC3"/>
              <w:rPr>
                <w:rFonts w:asciiTheme="minorHAnsi" w:eastAsiaTheme="minorEastAsia" w:hAnsiTheme="minorHAnsi" w:cstheme="minorBidi"/>
                <w:noProof/>
                <w:sz w:val="22"/>
                <w:lang w:eastAsia="en-GB"/>
              </w:rPr>
            </w:pPr>
            <w:r w:rsidRPr="00B8054A">
              <w:rPr>
                <w:noProof/>
              </w:rPr>
              <w:t>I.</w:t>
            </w:r>
            <w:r>
              <w:rPr>
                <w:rFonts w:asciiTheme="minorHAnsi" w:eastAsiaTheme="minorEastAsia" w:hAnsiTheme="minorHAnsi" w:cstheme="minorBidi"/>
                <w:noProof/>
                <w:sz w:val="22"/>
                <w:lang w:eastAsia="en-GB"/>
              </w:rPr>
              <w:tab/>
            </w:r>
            <w:r w:rsidRPr="00B8054A">
              <w:rPr>
                <w:noProof/>
              </w:rPr>
              <w:t>Range Accrual Notes</w:t>
            </w:r>
            <w:r>
              <w:rPr>
                <w:noProof/>
              </w:rPr>
              <w:tab/>
            </w:r>
            <w:r>
              <w:rPr>
                <w:noProof/>
              </w:rPr>
              <w:fldChar w:fldCharType="begin"/>
            </w:r>
            <w:r>
              <w:rPr>
                <w:noProof/>
              </w:rPr>
              <w:instrText xml:space="preserve"> PAGEREF _Toc438227533 \h </w:instrText>
            </w:r>
            <w:r>
              <w:rPr>
                <w:noProof/>
              </w:rPr>
              <w:fldChar w:fldCharType="separate"/>
            </w:r>
            <w:r w:rsidR="0093513E">
              <w:rPr>
                <w:noProof/>
              </w:rPr>
              <w:t>245</w:t>
            </w:r>
            <w:r>
              <w:rPr>
                <w:noProof/>
              </w:rPr>
              <w:fldChar w:fldCharType="end"/>
            </w:r>
          </w:p>
          <w:p w:rsidR="00B8054A">
            <w:pPr>
              <w:pStyle w:val="TOC3"/>
              <w:rPr>
                <w:rFonts w:asciiTheme="minorHAnsi" w:eastAsiaTheme="minorEastAsia" w:hAnsiTheme="minorHAnsi" w:cstheme="minorBidi"/>
                <w:noProof/>
                <w:sz w:val="22"/>
                <w:lang w:eastAsia="en-GB"/>
              </w:rPr>
            </w:pPr>
            <w:r>
              <w:rPr>
                <w:noProof/>
              </w:rPr>
              <w:t>J.</w:t>
            </w:r>
            <w:r>
              <w:rPr>
                <w:rFonts w:asciiTheme="minorHAnsi" w:eastAsiaTheme="minorEastAsia" w:hAnsiTheme="minorHAnsi" w:cstheme="minorBidi"/>
                <w:noProof/>
                <w:sz w:val="22"/>
                <w:lang w:eastAsia="en-GB"/>
              </w:rPr>
              <w:tab/>
            </w:r>
            <w:r>
              <w:rPr>
                <w:noProof/>
              </w:rPr>
              <w:t>Spread Range Accrual Notes</w:t>
            </w:r>
            <w:r>
              <w:rPr>
                <w:noProof/>
              </w:rPr>
              <w:tab/>
            </w:r>
            <w:r>
              <w:rPr>
                <w:noProof/>
              </w:rPr>
              <w:fldChar w:fldCharType="begin"/>
            </w:r>
            <w:r>
              <w:rPr>
                <w:noProof/>
              </w:rPr>
              <w:instrText xml:space="preserve"> PAGEREF _Toc438227534 \h </w:instrText>
            </w:r>
            <w:r>
              <w:rPr>
                <w:noProof/>
              </w:rPr>
              <w:fldChar w:fldCharType="separate"/>
            </w:r>
            <w:r w:rsidR="0093513E">
              <w:rPr>
                <w:noProof/>
              </w:rPr>
              <w:t>246</w:t>
            </w:r>
            <w:r>
              <w:rPr>
                <w:noProof/>
              </w:rPr>
              <w:fldChar w:fldCharType="end"/>
            </w:r>
          </w:p>
          <w:p w:rsidR="00B8054A">
            <w:pPr>
              <w:pStyle w:val="TOC3"/>
              <w:rPr>
                <w:rFonts w:asciiTheme="minorHAnsi" w:eastAsiaTheme="minorEastAsia" w:hAnsiTheme="minorHAnsi" w:cstheme="minorBidi"/>
                <w:noProof/>
                <w:sz w:val="22"/>
                <w:lang w:eastAsia="en-GB"/>
              </w:rPr>
            </w:pPr>
            <w:r>
              <w:rPr>
                <w:noProof/>
              </w:rPr>
              <w:t>K.</w:t>
            </w:r>
            <w:r>
              <w:rPr>
                <w:rFonts w:asciiTheme="minorHAnsi" w:eastAsiaTheme="minorEastAsia" w:hAnsiTheme="minorHAnsi" w:cstheme="minorBidi"/>
                <w:noProof/>
                <w:sz w:val="22"/>
                <w:lang w:eastAsia="en-GB"/>
              </w:rPr>
              <w:tab/>
            </w:r>
            <w:r>
              <w:rPr>
                <w:noProof/>
              </w:rPr>
              <w:t>Inflation Index-Linked Notes</w:t>
            </w:r>
            <w:r>
              <w:rPr>
                <w:noProof/>
              </w:rPr>
              <w:tab/>
            </w:r>
            <w:r>
              <w:rPr>
                <w:noProof/>
              </w:rPr>
              <w:fldChar w:fldCharType="begin"/>
            </w:r>
            <w:r>
              <w:rPr>
                <w:noProof/>
              </w:rPr>
              <w:instrText xml:space="preserve"> PAGEREF _Toc438227535 \h </w:instrText>
            </w:r>
            <w:r>
              <w:rPr>
                <w:noProof/>
              </w:rPr>
              <w:fldChar w:fldCharType="separate"/>
            </w:r>
            <w:r w:rsidR="0093513E">
              <w:rPr>
                <w:noProof/>
              </w:rPr>
              <w:t>247</w:t>
            </w:r>
            <w:r>
              <w:rPr>
                <w:noProof/>
              </w:rPr>
              <w:fldChar w:fldCharType="end"/>
            </w:r>
          </w:p>
          <w:p w:rsidR="00B8054A">
            <w:pPr>
              <w:pStyle w:val="TOC2"/>
              <w:rPr>
                <w:rFonts w:asciiTheme="minorHAnsi" w:eastAsiaTheme="minorEastAsia" w:hAnsiTheme="minorHAnsi" w:cstheme="minorBidi"/>
                <w:noProof/>
                <w:sz w:val="22"/>
                <w:lang w:eastAsia="en-GB"/>
              </w:rPr>
            </w:pPr>
            <w:r>
              <w:rPr>
                <w:noProof/>
              </w:rPr>
              <w:t>II.</w:t>
            </w:r>
            <w:r>
              <w:rPr>
                <w:rFonts w:asciiTheme="minorHAnsi" w:eastAsiaTheme="minorEastAsia" w:hAnsiTheme="minorHAnsi" w:cstheme="minorBidi"/>
                <w:noProof/>
                <w:sz w:val="22"/>
                <w:lang w:eastAsia="en-GB"/>
              </w:rPr>
              <w:tab/>
            </w:r>
            <w:r>
              <w:rPr>
                <w:noProof/>
              </w:rPr>
              <w:t>Credit-Linked Complex Products with auction settlement</w:t>
            </w:r>
            <w:r>
              <w:rPr>
                <w:noProof/>
              </w:rPr>
              <w:tab/>
            </w:r>
            <w:r>
              <w:rPr>
                <w:noProof/>
              </w:rPr>
              <w:fldChar w:fldCharType="begin"/>
            </w:r>
            <w:r>
              <w:rPr>
                <w:noProof/>
              </w:rPr>
              <w:instrText xml:space="preserve"> PAGEREF _Toc438227536 \h </w:instrText>
            </w:r>
            <w:r>
              <w:rPr>
                <w:noProof/>
              </w:rPr>
              <w:fldChar w:fldCharType="separate"/>
            </w:r>
            <w:r w:rsidR="0093513E">
              <w:rPr>
                <w:noProof/>
              </w:rPr>
              <w:t>248</w:t>
            </w:r>
            <w:r>
              <w:rPr>
                <w:noProof/>
              </w:rPr>
              <w:fldChar w:fldCharType="end"/>
            </w:r>
          </w:p>
          <w:p w:rsidR="00B8054A">
            <w:pPr>
              <w:pStyle w:val="TOC3"/>
              <w:rPr>
                <w:rFonts w:asciiTheme="minorHAnsi" w:eastAsiaTheme="minorEastAsia" w:hAnsiTheme="minorHAnsi" w:cstheme="minorBidi"/>
                <w:noProof/>
                <w:sz w:val="22"/>
                <w:lang w:eastAsia="en-GB"/>
              </w:rPr>
            </w:pPr>
            <w:r>
              <w:rPr>
                <w:noProof/>
              </w:rPr>
              <w:t>A.</w:t>
            </w:r>
            <w:r>
              <w:rPr>
                <w:rFonts w:asciiTheme="minorHAnsi" w:eastAsiaTheme="minorEastAsia" w:hAnsiTheme="minorHAnsi" w:cstheme="minorBidi"/>
                <w:noProof/>
                <w:sz w:val="22"/>
                <w:lang w:eastAsia="en-GB"/>
              </w:rPr>
              <w:tab/>
            </w:r>
            <w:r>
              <w:rPr>
                <w:noProof/>
              </w:rPr>
              <w:t>Credit-Linked Complex Products with auction settlement linked to a single Reference Entity</w:t>
            </w:r>
            <w:r>
              <w:rPr>
                <w:noProof/>
              </w:rPr>
              <w:tab/>
            </w:r>
            <w:r>
              <w:rPr>
                <w:noProof/>
              </w:rPr>
              <w:fldChar w:fldCharType="begin"/>
            </w:r>
            <w:r>
              <w:rPr>
                <w:noProof/>
              </w:rPr>
              <w:instrText xml:space="preserve"> PAGEREF _Toc438227537 \h </w:instrText>
            </w:r>
            <w:r>
              <w:rPr>
                <w:noProof/>
              </w:rPr>
              <w:fldChar w:fldCharType="separate"/>
            </w:r>
            <w:r w:rsidR="0093513E">
              <w:rPr>
                <w:noProof/>
              </w:rPr>
              <w:t>249</w:t>
            </w:r>
            <w:r>
              <w:rPr>
                <w:noProof/>
              </w:rPr>
              <w:fldChar w:fldCharType="end"/>
            </w:r>
          </w:p>
          <w:p w:rsidR="00B8054A">
            <w:pPr>
              <w:pStyle w:val="TOC3"/>
              <w:rPr>
                <w:rFonts w:asciiTheme="minorHAnsi" w:eastAsiaTheme="minorEastAsia" w:hAnsiTheme="minorHAnsi" w:cstheme="minorBidi"/>
                <w:noProof/>
                <w:sz w:val="22"/>
                <w:lang w:eastAsia="en-GB"/>
              </w:rPr>
            </w:pPr>
            <w:r>
              <w:rPr>
                <w:noProof/>
              </w:rPr>
              <w:t>B.</w:t>
            </w:r>
            <w:r>
              <w:rPr>
                <w:rFonts w:asciiTheme="minorHAnsi" w:eastAsiaTheme="minorEastAsia" w:hAnsiTheme="minorHAnsi" w:cstheme="minorBidi"/>
                <w:noProof/>
                <w:sz w:val="22"/>
                <w:lang w:eastAsia="en-GB"/>
              </w:rPr>
              <w:tab/>
            </w:r>
            <w:r>
              <w:rPr>
                <w:noProof/>
              </w:rPr>
              <w:t>Credit-Linked Complex Products with auction settlement and N</w:t>
            </w:r>
            <w:r w:rsidRPr="008933BD">
              <w:rPr>
                <w:noProof/>
                <w:vertAlign w:val="superscript"/>
              </w:rPr>
              <w:t>th</w:t>
            </w:r>
            <w:r>
              <w:rPr>
                <w:noProof/>
              </w:rPr>
              <w:t>-to-Default structure</w:t>
            </w:r>
            <w:r>
              <w:rPr>
                <w:noProof/>
              </w:rPr>
              <w:tab/>
            </w:r>
            <w:r>
              <w:rPr>
                <w:noProof/>
              </w:rPr>
              <w:fldChar w:fldCharType="begin"/>
            </w:r>
            <w:r>
              <w:rPr>
                <w:noProof/>
              </w:rPr>
              <w:instrText xml:space="preserve"> PAGEREF _Toc438227538 \h </w:instrText>
            </w:r>
            <w:r>
              <w:rPr>
                <w:noProof/>
              </w:rPr>
              <w:fldChar w:fldCharType="separate"/>
            </w:r>
            <w:r w:rsidR="0093513E">
              <w:rPr>
                <w:noProof/>
              </w:rPr>
              <w:t>251</w:t>
            </w:r>
            <w:r>
              <w:rPr>
                <w:noProof/>
              </w:rPr>
              <w:fldChar w:fldCharType="end"/>
            </w:r>
          </w:p>
          <w:p w:rsidR="00B8054A">
            <w:pPr>
              <w:pStyle w:val="TOC3"/>
              <w:rPr>
                <w:rFonts w:asciiTheme="minorHAnsi" w:eastAsiaTheme="minorEastAsia" w:hAnsiTheme="minorHAnsi" w:cstheme="minorBidi"/>
                <w:noProof/>
                <w:sz w:val="22"/>
                <w:lang w:eastAsia="en-GB"/>
              </w:rPr>
            </w:pPr>
            <w:r>
              <w:rPr>
                <w:noProof/>
              </w:rPr>
              <w:t>C.</w:t>
            </w:r>
            <w:r>
              <w:rPr>
                <w:rFonts w:asciiTheme="minorHAnsi" w:eastAsiaTheme="minorEastAsia" w:hAnsiTheme="minorHAnsi" w:cstheme="minorBidi"/>
                <w:noProof/>
                <w:sz w:val="22"/>
                <w:lang w:eastAsia="en-GB"/>
              </w:rPr>
              <w:tab/>
            </w:r>
            <w:r>
              <w:rPr>
                <w:noProof/>
              </w:rPr>
              <w:t>Credit-Linked Complex Products with auction settlement linked to a Basket of Reference Entities</w:t>
            </w:r>
            <w:r>
              <w:rPr>
                <w:noProof/>
              </w:rPr>
              <w:tab/>
            </w:r>
            <w:r>
              <w:rPr>
                <w:noProof/>
              </w:rPr>
              <w:fldChar w:fldCharType="begin"/>
            </w:r>
            <w:r>
              <w:rPr>
                <w:noProof/>
              </w:rPr>
              <w:instrText xml:space="preserve"> PAGEREF _Toc438227539 \h </w:instrText>
            </w:r>
            <w:r>
              <w:rPr>
                <w:noProof/>
              </w:rPr>
              <w:fldChar w:fldCharType="separate"/>
            </w:r>
            <w:r w:rsidR="0093513E">
              <w:rPr>
                <w:noProof/>
              </w:rPr>
              <w:t>253</w:t>
            </w:r>
            <w:r>
              <w:rPr>
                <w:noProof/>
              </w:rPr>
              <w:fldChar w:fldCharType="end"/>
            </w:r>
          </w:p>
          <w:p w:rsidR="00B8054A">
            <w:pPr>
              <w:pStyle w:val="TOC2"/>
              <w:rPr>
                <w:rFonts w:asciiTheme="minorHAnsi" w:eastAsiaTheme="minorEastAsia" w:hAnsiTheme="minorHAnsi" w:cstheme="minorBidi"/>
                <w:noProof/>
                <w:sz w:val="22"/>
                <w:lang w:eastAsia="en-GB"/>
              </w:rPr>
            </w:pPr>
            <w:r>
              <w:rPr>
                <w:noProof/>
              </w:rPr>
              <w:t>III.</w:t>
            </w:r>
            <w:r>
              <w:rPr>
                <w:rFonts w:asciiTheme="minorHAnsi" w:eastAsiaTheme="minorEastAsia" w:hAnsiTheme="minorHAnsi" w:cstheme="minorBidi"/>
                <w:noProof/>
                <w:sz w:val="22"/>
                <w:lang w:eastAsia="en-GB"/>
              </w:rPr>
              <w:tab/>
            </w:r>
            <w:r>
              <w:rPr>
                <w:noProof/>
              </w:rPr>
              <w:t>Credit-Linked Complex Products with Zero-Recovery feature linked to a Basket</w:t>
            </w:r>
            <w:r>
              <w:rPr>
                <w:noProof/>
              </w:rPr>
              <w:tab/>
            </w:r>
            <w:r>
              <w:rPr>
                <w:noProof/>
              </w:rPr>
              <w:fldChar w:fldCharType="begin"/>
            </w:r>
            <w:r>
              <w:rPr>
                <w:noProof/>
              </w:rPr>
              <w:instrText xml:space="preserve"> PAGEREF _Toc438227540 \h </w:instrText>
            </w:r>
            <w:r>
              <w:rPr>
                <w:noProof/>
              </w:rPr>
              <w:fldChar w:fldCharType="separate"/>
            </w:r>
            <w:r w:rsidR="0093513E">
              <w:rPr>
                <w:noProof/>
              </w:rPr>
              <w:t>255</w:t>
            </w:r>
            <w:r>
              <w:rPr>
                <w:noProof/>
              </w:rPr>
              <w:fldChar w:fldCharType="end"/>
            </w:r>
          </w:p>
          <w:p w:rsidR="00B8054A">
            <w:pPr>
              <w:pStyle w:val="TOC2"/>
              <w:rPr>
                <w:rFonts w:asciiTheme="minorHAnsi" w:eastAsiaTheme="minorEastAsia" w:hAnsiTheme="minorHAnsi" w:cstheme="minorBidi"/>
                <w:noProof/>
                <w:sz w:val="22"/>
                <w:lang w:eastAsia="en-GB"/>
              </w:rPr>
            </w:pPr>
            <w:r>
              <w:rPr>
                <w:noProof/>
              </w:rPr>
              <w:t>IV.</w:t>
            </w:r>
            <w:r>
              <w:rPr>
                <w:rFonts w:asciiTheme="minorHAnsi" w:eastAsiaTheme="minorEastAsia" w:hAnsiTheme="minorHAnsi" w:cstheme="minorBidi"/>
                <w:noProof/>
                <w:sz w:val="22"/>
                <w:lang w:eastAsia="en-GB"/>
              </w:rPr>
              <w:tab/>
            </w:r>
            <w:r>
              <w:rPr>
                <w:noProof/>
              </w:rPr>
              <w:t>Credit-Linked Complex Products with simplified settlement</w:t>
            </w:r>
            <w:r>
              <w:rPr>
                <w:noProof/>
              </w:rPr>
              <w:tab/>
            </w:r>
            <w:r>
              <w:rPr>
                <w:noProof/>
              </w:rPr>
              <w:fldChar w:fldCharType="begin"/>
            </w:r>
            <w:r>
              <w:rPr>
                <w:noProof/>
              </w:rPr>
              <w:instrText xml:space="preserve"> PAGEREF _Toc438227541 \h </w:instrText>
            </w:r>
            <w:r>
              <w:rPr>
                <w:noProof/>
              </w:rPr>
              <w:fldChar w:fldCharType="separate"/>
            </w:r>
            <w:r w:rsidR="0093513E">
              <w:rPr>
                <w:noProof/>
              </w:rPr>
              <w:t>258</w:t>
            </w:r>
            <w:r>
              <w:rPr>
                <w:noProof/>
              </w:rPr>
              <w:fldChar w:fldCharType="end"/>
            </w:r>
          </w:p>
          <w:p w:rsidR="00B8054A">
            <w:pPr>
              <w:pStyle w:val="TOC1"/>
              <w:rPr>
                <w:rFonts w:asciiTheme="minorHAnsi" w:eastAsiaTheme="minorEastAsia" w:hAnsiTheme="minorHAnsi" w:cstheme="minorBidi"/>
                <w:noProof/>
                <w:sz w:val="22"/>
                <w:lang w:eastAsia="en-GB"/>
              </w:rPr>
            </w:pPr>
            <w:r>
              <w:rPr>
                <w:noProof/>
              </w:rPr>
              <w:t>COLLATERALIZATION OF COMPLEX PRODUCTS WITH COSI FEATURE</w:t>
            </w:r>
            <w:r>
              <w:rPr>
                <w:noProof/>
              </w:rPr>
              <w:tab/>
            </w:r>
            <w:r>
              <w:rPr>
                <w:noProof/>
              </w:rPr>
              <w:fldChar w:fldCharType="begin"/>
            </w:r>
            <w:r>
              <w:rPr>
                <w:noProof/>
              </w:rPr>
              <w:instrText xml:space="preserve"> PAGEREF _Toc438227542 \h </w:instrText>
            </w:r>
            <w:r>
              <w:rPr>
                <w:noProof/>
              </w:rPr>
              <w:fldChar w:fldCharType="separate"/>
            </w:r>
            <w:r w:rsidR="0093513E">
              <w:rPr>
                <w:noProof/>
              </w:rPr>
              <w:t>261</w:t>
            </w:r>
            <w:r>
              <w:rPr>
                <w:noProof/>
              </w:rPr>
              <w:fldChar w:fldCharType="end"/>
            </w:r>
          </w:p>
          <w:p w:rsidR="00B8054A">
            <w:pPr>
              <w:pStyle w:val="TOC1"/>
              <w:rPr>
                <w:rFonts w:asciiTheme="minorHAnsi" w:eastAsiaTheme="minorEastAsia" w:hAnsiTheme="minorHAnsi" w:cstheme="minorBidi"/>
                <w:noProof/>
                <w:sz w:val="22"/>
                <w:lang w:eastAsia="en-GB"/>
              </w:rPr>
            </w:pPr>
            <w:r>
              <w:rPr>
                <w:noProof/>
              </w:rPr>
              <w:t>FORM OF COMPLEX PRODUCTS</w:t>
            </w:r>
            <w:r>
              <w:rPr>
                <w:noProof/>
              </w:rPr>
              <w:tab/>
            </w:r>
            <w:r>
              <w:rPr>
                <w:noProof/>
              </w:rPr>
              <w:fldChar w:fldCharType="begin"/>
            </w:r>
            <w:r>
              <w:rPr>
                <w:noProof/>
              </w:rPr>
              <w:instrText xml:space="preserve"> PAGEREF _Toc438227543 \h </w:instrText>
            </w:r>
            <w:r>
              <w:rPr>
                <w:noProof/>
              </w:rPr>
              <w:fldChar w:fldCharType="separate"/>
            </w:r>
            <w:r w:rsidR="0093513E">
              <w:rPr>
                <w:noProof/>
              </w:rPr>
              <w:t>269</w:t>
            </w:r>
            <w:r>
              <w:rPr>
                <w:noProof/>
              </w:rPr>
              <w:fldChar w:fldCharType="end"/>
            </w:r>
          </w:p>
          <w:p w:rsidR="00B8054A">
            <w:pPr>
              <w:pStyle w:val="TOC1"/>
              <w:rPr>
                <w:rFonts w:asciiTheme="minorHAnsi" w:eastAsiaTheme="minorEastAsia" w:hAnsiTheme="minorHAnsi" w:cstheme="minorBidi"/>
                <w:noProof/>
                <w:sz w:val="22"/>
                <w:lang w:eastAsia="en-GB"/>
              </w:rPr>
            </w:pPr>
            <w:r>
              <w:rPr>
                <w:noProof/>
              </w:rPr>
              <w:t>TAXATION</w:t>
            </w:r>
            <w:r>
              <w:rPr>
                <w:noProof/>
              </w:rPr>
              <w:tab/>
            </w:r>
            <w:r>
              <w:rPr>
                <w:noProof/>
              </w:rPr>
              <w:fldChar w:fldCharType="begin"/>
            </w:r>
            <w:r>
              <w:rPr>
                <w:noProof/>
              </w:rPr>
              <w:instrText xml:space="preserve"> PAGEREF _Toc438227544 \h </w:instrText>
            </w:r>
            <w:r>
              <w:rPr>
                <w:noProof/>
              </w:rPr>
              <w:fldChar w:fldCharType="separate"/>
            </w:r>
            <w:r w:rsidR="0093513E">
              <w:rPr>
                <w:noProof/>
              </w:rPr>
              <w:t>272</w:t>
            </w:r>
            <w:r>
              <w:rPr>
                <w:noProof/>
              </w:rPr>
              <w:fldChar w:fldCharType="end"/>
            </w:r>
          </w:p>
          <w:p w:rsidR="00B8054A">
            <w:pPr>
              <w:pStyle w:val="TOC1"/>
              <w:rPr>
                <w:rFonts w:asciiTheme="minorHAnsi" w:eastAsiaTheme="minorEastAsia" w:hAnsiTheme="minorHAnsi" w:cstheme="minorBidi"/>
                <w:noProof/>
                <w:sz w:val="22"/>
                <w:lang w:eastAsia="en-GB"/>
              </w:rPr>
            </w:pPr>
            <w:r>
              <w:rPr>
                <w:noProof/>
              </w:rPr>
              <w:t>SELLING RESTRICTIONS</w:t>
            </w:r>
            <w:r>
              <w:rPr>
                <w:noProof/>
              </w:rPr>
              <w:tab/>
            </w:r>
            <w:r>
              <w:rPr>
                <w:noProof/>
              </w:rPr>
              <w:fldChar w:fldCharType="begin"/>
            </w:r>
            <w:r>
              <w:rPr>
                <w:noProof/>
              </w:rPr>
              <w:instrText xml:space="preserve"> PAGEREF _Toc438227545 \h </w:instrText>
            </w:r>
            <w:r>
              <w:rPr>
                <w:noProof/>
              </w:rPr>
              <w:fldChar w:fldCharType="separate"/>
            </w:r>
            <w:r w:rsidR="0093513E">
              <w:rPr>
                <w:noProof/>
              </w:rPr>
              <w:t>313</w:t>
            </w:r>
            <w:r>
              <w:rPr>
                <w:noProof/>
              </w:rPr>
              <w:fldChar w:fldCharType="end"/>
            </w:r>
          </w:p>
          <w:p w:rsidR="00B8054A">
            <w:pPr>
              <w:pStyle w:val="TOC1"/>
              <w:rPr>
                <w:rFonts w:asciiTheme="minorHAnsi" w:eastAsiaTheme="minorEastAsia" w:hAnsiTheme="minorHAnsi" w:cstheme="minorBidi"/>
                <w:noProof/>
                <w:sz w:val="22"/>
                <w:lang w:eastAsia="en-GB"/>
              </w:rPr>
            </w:pPr>
            <w:r>
              <w:rPr>
                <w:noProof/>
              </w:rPr>
              <w:t>TERMS AND CONDITIONS OF THE COMPLEX PRODUCTS</w:t>
            </w:r>
            <w:r>
              <w:rPr>
                <w:noProof/>
              </w:rPr>
              <w:tab/>
            </w:r>
            <w:r>
              <w:rPr>
                <w:noProof/>
              </w:rPr>
              <w:fldChar w:fldCharType="begin"/>
            </w:r>
            <w:r>
              <w:rPr>
                <w:noProof/>
              </w:rPr>
              <w:instrText xml:space="preserve"> PAGEREF _Toc438227546 \h </w:instrText>
            </w:r>
            <w:r>
              <w:rPr>
                <w:noProof/>
              </w:rPr>
              <w:fldChar w:fldCharType="separate"/>
            </w:r>
            <w:r w:rsidR="0093513E">
              <w:rPr>
                <w:noProof/>
              </w:rPr>
              <w:t>338</w:t>
            </w:r>
            <w:r>
              <w:rPr>
                <w:noProof/>
              </w:rPr>
              <w:fldChar w:fldCharType="end"/>
            </w:r>
          </w:p>
          <w:p w:rsidR="00B8054A">
            <w:pPr>
              <w:pStyle w:val="TOC1"/>
              <w:rPr>
                <w:rFonts w:asciiTheme="minorHAnsi" w:eastAsiaTheme="minorEastAsia" w:hAnsiTheme="minorHAnsi" w:cstheme="minorBidi"/>
                <w:noProof/>
                <w:sz w:val="22"/>
                <w:lang w:eastAsia="en-GB"/>
              </w:rPr>
            </w:pPr>
            <w:r>
              <w:rPr>
                <w:noProof/>
              </w:rPr>
              <w:t>ADDITIONAL INFORMATION</w:t>
            </w:r>
            <w:r>
              <w:rPr>
                <w:noProof/>
              </w:rPr>
              <w:tab/>
            </w:r>
            <w:r>
              <w:rPr>
                <w:noProof/>
              </w:rPr>
              <w:fldChar w:fldCharType="begin"/>
            </w:r>
            <w:r>
              <w:rPr>
                <w:noProof/>
              </w:rPr>
              <w:instrText xml:space="preserve"> PAGEREF _Toc438227547 \h </w:instrText>
            </w:r>
            <w:r>
              <w:rPr>
                <w:noProof/>
              </w:rPr>
              <w:fldChar w:fldCharType="separate"/>
            </w:r>
            <w:r w:rsidR="0093513E">
              <w:rPr>
                <w:noProof/>
              </w:rPr>
              <w:t>532</w:t>
            </w:r>
            <w:r>
              <w:rPr>
                <w:noProof/>
              </w:rPr>
              <w:fldChar w:fldCharType="end"/>
            </w:r>
          </w:p>
          <w:p w:rsidR="00B8054A">
            <w:pPr>
              <w:pStyle w:val="TOC1"/>
              <w:rPr>
                <w:rFonts w:asciiTheme="minorHAnsi" w:eastAsiaTheme="minorEastAsia" w:hAnsiTheme="minorHAnsi" w:cstheme="minorBidi"/>
                <w:noProof/>
                <w:sz w:val="22"/>
                <w:lang w:eastAsia="en-GB"/>
              </w:rPr>
            </w:pPr>
            <w:r>
              <w:rPr>
                <w:noProof/>
              </w:rPr>
              <w:t>RESPONSIBILITY STATEMENT</w:t>
            </w:r>
            <w:r>
              <w:rPr>
                <w:noProof/>
              </w:rPr>
              <w:tab/>
            </w:r>
            <w:r>
              <w:rPr>
                <w:noProof/>
              </w:rPr>
              <w:fldChar w:fldCharType="begin"/>
            </w:r>
            <w:r>
              <w:rPr>
                <w:noProof/>
              </w:rPr>
              <w:instrText xml:space="preserve"> PAGEREF _Toc438227548 \h </w:instrText>
            </w:r>
            <w:r>
              <w:rPr>
                <w:noProof/>
              </w:rPr>
              <w:fldChar w:fldCharType="separate"/>
            </w:r>
            <w:r w:rsidR="0093513E">
              <w:rPr>
                <w:noProof/>
              </w:rPr>
              <w:t>535</w:t>
            </w:r>
            <w:r>
              <w:rPr>
                <w:noProof/>
              </w:rPr>
              <w:fldChar w:fldCharType="end"/>
            </w:r>
          </w:p>
          <w:p w:rsidR="009C6D81" w:rsidP="009C6D81">
            <w:pPr>
              <w:pStyle w:val="CSBody0"/>
            </w:pPr>
            <w:r>
              <w:fldChar w:fldCharType="end"/>
            </w:r>
          </w:p>
        </w:tc>
        <w:tc>
          <w:tcPr>
            <w:tcW w:w="2500" w:type="pct"/>
          </w:tcPr>
          <w:p w:rsidR="00BD6E0D" w:rsidRPr="00B8054A">
            <w:pPr>
              <w:pStyle w:val="TOC1"/>
              <w:rPr>
                <w:rFonts w:asciiTheme="minorHAnsi" w:eastAsiaTheme="minorEastAsia" w:hAnsiTheme="minorHAnsi" w:cstheme="minorBidi"/>
                <w:noProof/>
                <w:sz w:val="22"/>
                <w:lang w:val="de-DE" w:eastAsia="en-GB"/>
              </w:rPr>
            </w:pPr>
            <w:r>
              <w:fldChar w:fldCharType="begin"/>
            </w:r>
            <w:r w:rsidRPr="00B34C1C">
              <w:rPr>
                <w:lang w:val="de-DE"/>
              </w:rPr>
              <w:instrText xml:space="preserve"> </w:instrText>
            </w:r>
            <w:r w:rsidRPr="00B34C1C" w:rsidR="002F7A51">
              <w:rPr>
                <w:lang w:val="de-DE"/>
              </w:rPr>
              <w:instrText>TOC \f \t "</w:instrText>
            </w:r>
            <w:r w:rsidRPr="00B34C1C" w:rsidR="003975B3">
              <w:rPr>
                <w:lang w:val="de-DE"/>
              </w:rPr>
              <w:instrText>CS_Heading1_DE,1,CS_Heading2_DE,2,CS_Heading3_DE,3</w:instrText>
            </w:r>
            <w:r w:rsidRPr="00B34C1C" w:rsidR="002F7A51">
              <w:rPr>
                <w:lang w:val="de-DE"/>
              </w:rPr>
              <w:instrText>"</w:instrText>
            </w:r>
            <w:r w:rsidRPr="00B34C1C">
              <w:rPr>
                <w:lang w:val="de-DE"/>
              </w:rPr>
              <w:instrText xml:space="preserve"> </w:instrText>
            </w:r>
            <w:r>
              <w:fldChar w:fldCharType="separate"/>
            </w:r>
            <w:r w:rsidRPr="00B8054A">
              <w:rPr>
                <w:noProof/>
                <w:lang w:val="de-DE"/>
              </w:rPr>
              <w:t>ZUSAMMENFASSUNG</w:t>
            </w:r>
            <w:r w:rsidRPr="00B8054A">
              <w:rPr>
                <w:noProof/>
                <w:lang w:val="de-DE"/>
              </w:rPr>
              <w:tab/>
            </w:r>
            <w:r>
              <w:rPr>
                <w:noProof/>
              </w:rPr>
              <w:fldChar w:fldCharType="begin"/>
            </w:r>
            <w:r w:rsidRPr="00B8054A">
              <w:rPr>
                <w:noProof/>
                <w:lang w:val="de-DE"/>
              </w:rPr>
              <w:instrText xml:space="preserve"> PAGEREF _Toc438160257 \h </w:instrText>
            </w:r>
            <w:r>
              <w:rPr>
                <w:noProof/>
              </w:rPr>
              <w:fldChar w:fldCharType="separate"/>
            </w:r>
            <w:r w:rsidR="0093513E">
              <w:rPr>
                <w:noProof/>
                <w:lang w:val="de-DE"/>
              </w:rPr>
              <w:t>7</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B8054A">
              <w:rPr>
                <w:noProof/>
                <w:lang w:val="de-DE"/>
              </w:rPr>
              <w:t>RISIKOFAKTOREN</w:t>
            </w:r>
            <w:r w:rsidRPr="00B8054A">
              <w:rPr>
                <w:noProof/>
                <w:lang w:val="de-DE"/>
              </w:rPr>
              <w:tab/>
            </w:r>
            <w:r>
              <w:rPr>
                <w:noProof/>
              </w:rPr>
              <w:fldChar w:fldCharType="begin"/>
            </w:r>
            <w:r w:rsidRPr="00B8054A">
              <w:rPr>
                <w:noProof/>
                <w:lang w:val="de-DE"/>
              </w:rPr>
              <w:instrText xml:space="preserve"> PAGEREF _Toc438160258 \h </w:instrText>
            </w:r>
            <w:r>
              <w:rPr>
                <w:noProof/>
              </w:rPr>
              <w:fldChar w:fldCharType="separate"/>
            </w:r>
            <w:r w:rsidR="0093513E">
              <w:rPr>
                <w:noProof/>
                <w:lang w:val="de-DE"/>
              </w:rPr>
              <w:t>81</w:t>
            </w:r>
            <w:r>
              <w:rPr>
                <w:noProof/>
              </w:rPr>
              <w:fldChar w:fldCharType="end"/>
            </w:r>
          </w:p>
          <w:p w:rsidR="00BD6E0D" w:rsidRPr="00B8054A">
            <w:pPr>
              <w:pStyle w:val="TOC2"/>
              <w:rPr>
                <w:rFonts w:asciiTheme="minorHAnsi" w:eastAsiaTheme="minorEastAsia" w:hAnsiTheme="minorHAnsi" w:cstheme="minorBidi"/>
                <w:noProof/>
                <w:sz w:val="22"/>
                <w:lang w:val="de-DE" w:eastAsia="en-GB"/>
              </w:rPr>
            </w:pPr>
            <w:r w:rsidRPr="00FB671A">
              <w:rPr>
                <w:noProof/>
                <w:lang w:val="de-DE"/>
              </w:rPr>
              <w:t>I.</w:t>
            </w:r>
            <w:r w:rsidRPr="00B8054A">
              <w:rPr>
                <w:rFonts w:asciiTheme="minorHAnsi" w:eastAsiaTheme="minorEastAsia" w:hAnsiTheme="minorHAnsi" w:cstheme="minorBidi"/>
                <w:noProof/>
                <w:sz w:val="22"/>
                <w:lang w:val="de-DE" w:eastAsia="en-GB"/>
              </w:rPr>
              <w:tab/>
            </w:r>
            <w:r w:rsidRPr="00FB671A">
              <w:rPr>
                <w:noProof/>
                <w:lang w:val="de-DE"/>
              </w:rPr>
              <w:t>Allgemeines</w:t>
            </w:r>
            <w:r w:rsidRPr="00B8054A">
              <w:rPr>
                <w:noProof/>
                <w:lang w:val="de-DE"/>
              </w:rPr>
              <w:tab/>
            </w:r>
            <w:r>
              <w:rPr>
                <w:noProof/>
              </w:rPr>
              <w:fldChar w:fldCharType="begin"/>
            </w:r>
            <w:r w:rsidRPr="00B8054A">
              <w:rPr>
                <w:noProof/>
                <w:lang w:val="de-DE"/>
              </w:rPr>
              <w:instrText xml:space="preserve"> PAGEREF _Toc438160259 \h </w:instrText>
            </w:r>
            <w:r>
              <w:rPr>
                <w:noProof/>
              </w:rPr>
              <w:fldChar w:fldCharType="separate"/>
            </w:r>
            <w:r w:rsidR="0093513E">
              <w:rPr>
                <w:noProof/>
                <w:lang w:val="de-DE"/>
              </w:rPr>
              <w:t>81</w:t>
            </w:r>
            <w:r>
              <w:rPr>
                <w:noProof/>
              </w:rPr>
              <w:fldChar w:fldCharType="end"/>
            </w:r>
          </w:p>
          <w:p w:rsidR="00BD6E0D" w:rsidRPr="00B8054A">
            <w:pPr>
              <w:pStyle w:val="TOC2"/>
              <w:rPr>
                <w:rFonts w:asciiTheme="minorHAnsi" w:eastAsiaTheme="minorEastAsia" w:hAnsiTheme="minorHAnsi" w:cstheme="minorBidi"/>
                <w:noProof/>
                <w:sz w:val="22"/>
                <w:lang w:val="de-DE" w:eastAsia="en-GB"/>
              </w:rPr>
            </w:pPr>
            <w:r w:rsidRPr="00FB671A">
              <w:rPr>
                <w:noProof/>
                <w:lang w:val="de-DE"/>
              </w:rPr>
              <w:t>II.</w:t>
            </w:r>
            <w:r w:rsidRPr="00B8054A">
              <w:rPr>
                <w:rFonts w:asciiTheme="minorHAnsi" w:eastAsiaTheme="minorEastAsia" w:hAnsiTheme="minorHAnsi" w:cstheme="minorBidi"/>
                <w:noProof/>
                <w:sz w:val="22"/>
                <w:lang w:val="de-DE" w:eastAsia="en-GB"/>
              </w:rPr>
              <w:tab/>
            </w:r>
            <w:r w:rsidRPr="00FB671A">
              <w:rPr>
                <w:noProof/>
                <w:lang w:val="de-DE"/>
              </w:rPr>
              <w:t>Risikofaktoren, die die Fähigkeit der Credit Suisse zur Erfüllung ihrer Verpflichtungen aus Komplexen Produkten beeinträchtigen können</w:t>
            </w:r>
            <w:r w:rsidRPr="00B8054A">
              <w:rPr>
                <w:noProof/>
                <w:lang w:val="de-DE"/>
              </w:rPr>
              <w:tab/>
            </w:r>
            <w:r>
              <w:rPr>
                <w:noProof/>
              </w:rPr>
              <w:fldChar w:fldCharType="begin"/>
            </w:r>
            <w:r w:rsidRPr="00B8054A">
              <w:rPr>
                <w:noProof/>
                <w:lang w:val="de-DE"/>
              </w:rPr>
              <w:instrText xml:space="preserve"> PAGEREF _Toc438160260 \h </w:instrText>
            </w:r>
            <w:r>
              <w:rPr>
                <w:noProof/>
              </w:rPr>
              <w:fldChar w:fldCharType="separate"/>
            </w:r>
            <w:r w:rsidR="0093513E">
              <w:rPr>
                <w:noProof/>
                <w:lang w:val="de-DE"/>
              </w:rPr>
              <w:t>82</w:t>
            </w:r>
            <w:r>
              <w:rPr>
                <w:noProof/>
              </w:rPr>
              <w:fldChar w:fldCharType="end"/>
            </w:r>
          </w:p>
          <w:p w:rsidR="00BD6E0D" w:rsidRPr="00B8054A">
            <w:pPr>
              <w:pStyle w:val="TOC2"/>
              <w:rPr>
                <w:rFonts w:asciiTheme="minorHAnsi" w:eastAsiaTheme="minorEastAsia" w:hAnsiTheme="minorHAnsi" w:cstheme="minorBidi"/>
                <w:noProof/>
                <w:sz w:val="22"/>
                <w:lang w:val="de-DE" w:eastAsia="en-GB"/>
              </w:rPr>
            </w:pPr>
            <w:r w:rsidRPr="00FB671A">
              <w:rPr>
                <w:noProof/>
                <w:lang w:val="de-DE"/>
              </w:rPr>
              <w:t>III.</w:t>
            </w:r>
            <w:r w:rsidRPr="00B8054A">
              <w:rPr>
                <w:rFonts w:asciiTheme="minorHAnsi" w:eastAsiaTheme="minorEastAsia" w:hAnsiTheme="minorHAnsi" w:cstheme="minorBidi"/>
                <w:noProof/>
                <w:sz w:val="22"/>
                <w:lang w:val="de-DE" w:eastAsia="en-GB"/>
              </w:rPr>
              <w:tab/>
            </w:r>
            <w:r w:rsidRPr="00FB671A">
              <w:rPr>
                <w:noProof/>
                <w:lang w:val="de-DE"/>
              </w:rPr>
              <w:t>Risikofaktoren in Bezug auf Komplexe Produkte</w:t>
            </w:r>
            <w:r w:rsidRPr="00B8054A">
              <w:rPr>
                <w:noProof/>
                <w:lang w:val="de-DE"/>
              </w:rPr>
              <w:tab/>
            </w:r>
            <w:r>
              <w:rPr>
                <w:noProof/>
              </w:rPr>
              <w:fldChar w:fldCharType="begin"/>
            </w:r>
            <w:r w:rsidRPr="00B8054A">
              <w:rPr>
                <w:noProof/>
                <w:lang w:val="de-DE"/>
              </w:rPr>
              <w:instrText xml:space="preserve"> PAGEREF _Toc438160261 \h </w:instrText>
            </w:r>
            <w:r>
              <w:rPr>
                <w:noProof/>
              </w:rPr>
              <w:fldChar w:fldCharType="separate"/>
            </w:r>
            <w:r w:rsidR="0093513E">
              <w:rPr>
                <w:noProof/>
                <w:lang w:val="de-DE"/>
              </w:rPr>
              <w:t>105</w:t>
            </w:r>
            <w:r>
              <w:rPr>
                <w:noProof/>
              </w:rPr>
              <w:fldChar w:fldCharType="end"/>
            </w:r>
          </w:p>
          <w:p w:rsidR="00BD6E0D" w:rsidRPr="00B8054A">
            <w:pPr>
              <w:pStyle w:val="TOC3"/>
              <w:rPr>
                <w:rFonts w:asciiTheme="minorHAnsi" w:eastAsiaTheme="minorEastAsia" w:hAnsiTheme="minorHAnsi" w:cstheme="minorBidi"/>
                <w:noProof/>
                <w:sz w:val="22"/>
                <w:lang w:val="de-DE" w:eastAsia="en-GB"/>
              </w:rPr>
            </w:pPr>
            <w:r w:rsidRPr="00FB671A">
              <w:rPr>
                <w:noProof/>
                <w:lang w:val="de-DE"/>
              </w:rPr>
              <w:t>A.</w:t>
            </w:r>
            <w:r w:rsidRPr="00B8054A">
              <w:rPr>
                <w:rFonts w:asciiTheme="minorHAnsi" w:eastAsiaTheme="minorEastAsia" w:hAnsiTheme="minorHAnsi" w:cstheme="minorBidi"/>
                <w:noProof/>
                <w:sz w:val="22"/>
                <w:lang w:val="de-DE" w:eastAsia="en-GB"/>
              </w:rPr>
              <w:tab/>
            </w:r>
            <w:r w:rsidRPr="00FB671A">
              <w:rPr>
                <w:noProof/>
                <w:lang w:val="de-DE"/>
              </w:rPr>
              <w:t>Risikofaktoren, die für alle Komplexen Produkte gelten</w:t>
            </w:r>
            <w:r w:rsidRPr="00B8054A">
              <w:rPr>
                <w:noProof/>
                <w:lang w:val="de-DE"/>
              </w:rPr>
              <w:tab/>
            </w:r>
            <w:r>
              <w:rPr>
                <w:noProof/>
              </w:rPr>
              <w:fldChar w:fldCharType="begin"/>
            </w:r>
            <w:r w:rsidRPr="00B8054A">
              <w:rPr>
                <w:noProof/>
                <w:lang w:val="de-DE"/>
              </w:rPr>
              <w:instrText xml:space="preserve"> PAGEREF _Toc438160262 \h </w:instrText>
            </w:r>
            <w:r>
              <w:rPr>
                <w:noProof/>
              </w:rPr>
              <w:fldChar w:fldCharType="separate"/>
            </w:r>
            <w:r w:rsidR="0093513E">
              <w:rPr>
                <w:noProof/>
                <w:lang w:val="de-DE"/>
              </w:rPr>
              <w:t>105</w:t>
            </w:r>
            <w:r>
              <w:rPr>
                <w:noProof/>
              </w:rPr>
              <w:fldChar w:fldCharType="end"/>
            </w:r>
          </w:p>
          <w:p w:rsidR="00BD6E0D" w:rsidRPr="00B8054A">
            <w:pPr>
              <w:pStyle w:val="TOC3"/>
              <w:rPr>
                <w:rFonts w:asciiTheme="minorHAnsi" w:eastAsiaTheme="minorEastAsia" w:hAnsiTheme="minorHAnsi" w:cstheme="minorBidi"/>
                <w:noProof/>
                <w:sz w:val="22"/>
                <w:lang w:val="de-DE" w:eastAsia="en-GB"/>
              </w:rPr>
            </w:pPr>
            <w:r w:rsidRPr="00FB671A">
              <w:rPr>
                <w:noProof/>
                <w:lang w:val="de-DE"/>
              </w:rPr>
              <w:t>B.</w:t>
            </w:r>
            <w:r w:rsidRPr="00B8054A">
              <w:rPr>
                <w:rFonts w:asciiTheme="minorHAnsi" w:eastAsiaTheme="minorEastAsia" w:hAnsiTheme="minorHAnsi" w:cstheme="minorBidi"/>
                <w:noProof/>
                <w:sz w:val="22"/>
                <w:lang w:val="de-DE" w:eastAsia="en-GB"/>
              </w:rPr>
              <w:tab/>
            </w:r>
            <w:r w:rsidRPr="00FB671A">
              <w:rPr>
                <w:noProof/>
                <w:lang w:val="de-DE"/>
              </w:rPr>
              <w:t>Mit unterschiedlichen Kategorien von Komplexen Produkten verbundene Risiken</w:t>
            </w:r>
            <w:r w:rsidRPr="00B8054A">
              <w:rPr>
                <w:noProof/>
                <w:lang w:val="de-DE"/>
              </w:rPr>
              <w:tab/>
            </w:r>
            <w:r>
              <w:rPr>
                <w:noProof/>
              </w:rPr>
              <w:fldChar w:fldCharType="begin"/>
            </w:r>
            <w:r w:rsidRPr="00B8054A">
              <w:rPr>
                <w:noProof/>
                <w:lang w:val="de-DE"/>
              </w:rPr>
              <w:instrText xml:space="preserve"> PAGEREF _Toc438160263 \h </w:instrText>
            </w:r>
            <w:r>
              <w:rPr>
                <w:noProof/>
              </w:rPr>
              <w:fldChar w:fldCharType="separate"/>
            </w:r>
            <w:r w:rsidR="0093513E">
              <w:rPr>
                <w:noProof/>
                <w:lang w:val="de-DE"/>
              </w:rPr>
              <w:t>118</w:t>
            </w:r>
            <w:r>
              <w:rPr>
                <w:noProof/>
              </w:rPr>
              <w:fldChar w:fldCharType="end"/>
            </w:r>
          </w:p>
          <w:p w:rsidR="00BD6E0D" w:rsidRPr="00B8054A">
            <w:pPr>
              <w:pStyle w:val="TOC3"/>
              <w:rPr>
                <w:rFonts w:asciiTheme="minorHAnsi" w:eastAsiaTheme="minorEastAsia" w:hAnsiTheme="minorHAnsi" w:cstheme="minorBidi"/>
                <w:noProof/>
                <w:sz w:val="22"/>
                <w:lang w:val="de-DE" w:eastAsia="en-GB"/>
              </w:rPr>
            </w:pPr>
            <w:r w:rsidRPr="00FB671A">
              <w:rPr>
                <w:noProof/>
                <w:lang w:val="de-DE"/>
              </w:rPr>
              <w:t>C.</w:t>
            </w:r>
            <w:r w:rsidRPr="00B8054A">
              <w:rPr>
                <w:rFonts w:asciiTheme="minorHAnsi" w:eastAsiaTheme="minorEastAsia" w:hAnsiTheme="minorHAnsi" w:cstheme="minorBidi"/>
                <w:noProof/>
                <w:sz w:val="22"/>
                <w:lang w:val="de-DE" w:eastAsia="en-GB"/>
              </w:rPr>
              <w:tab/>
            </w:r>
            <w:r w:rsidRPr="00FB671A">
              <w:rPr>
                <w:noProof/>
                <w:lang w:val="de-DE"/>
              </w:rPr>
              <w:t>Mit Komplexen Produkten mit bestimmten Merkmalen verbundene Risiken</w:t>
            </w:r>
            <w:r w:rsidRPr="00B8054A">
              <w:rPr>
                <w:noProof/>
                <w:lang w:val="de-DE"/>
              </w:rPr>
              <w:tab/>
            </w:r>
            <w:r>
              <w:rPr>
                <w:noProof/>
              </w:rPr>
              <w:fldChar w:fldCharType="begin"/>
            </w:r>
            <w:r w:rsidRPr="00B8054A">
              <w:rPr>
                <w:noProof/>
                <w:lang w:val="de-DE"/>
              </w:rPr>
              <w:instrText xml:space="preserve"> PAGEREF _Toc438160264 \h </w:instrText>
            </w:r>
            <w:r>
              <w:rPr>
                <w:noProof/>
              </w:rPr>
              <w:fldChar w:fldCharType="separate"/>
            </w:r>
            <w:r w:rsidR="0093513E">
              <w:rPr>
                <w:noProof/>
                <w:lang w:val="de-DE"/>
              </w:rPr>
              <w:t>147</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FB671A">
              <w:rPr>
                <w:noProof/>
                <w:lang w:val="de-DE"/>
              </w:rPr>
              <w:t>ALLGEMEINE INFORMATIONEN ZU DIESEM DOKUMENT</w:t>
            </w:r>
            <w:r w:rsidRPr="00B8054A">
              <w:rPr>
                <w:noProof/>
                <w:lang w:val="de-DE"/>
              </w:rPr>
              <w:tab/>
            </w:r>
            <w:r>
              <w:rPr>
                <w:noProof/>
              </w:rPr>
              <w:fldChar w:fldCharType="begin"/>
            </w:r>
            <w:r w:rsidRPr="00B8054A">
              <w:rPr>
                <w:noProof/>
                <w:lang w:val="de-DE"/>
              </w:rPr>
              <w:instrText xml:space="preserve"> PAGEREF _Toc438160265 \h </w:instrText>
            </w:r>
            <w:r>
              <w:rPr>
                <w:noProof/>
              </w:rPr>
              <w:fldChar w:fldCharType="separate"/>
            </w:r>
            <w:r w:rsidR="0093513E">
              <w:rPr>
                <w:noProof/>
                <w:lang w:val="de-DE"/>
              </w:rPr>
              <w:t>156</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B8054A">
              <w:rPr>
                <w:noProof/>
                <w:lang w:val="de-DE"/>
              </w:rPr>
              <w:t>MUSTER DER ENDGÜLTIGEN BEDINGUNGEN</w:t>
            </w:r>
            <w:r w:rsidRPr="00B8054A">
              <w:rPr>
                <w:noProof/>
                <w:lang w:val="de-DE"/>
              </w:rPr>
              <w:tab/>
            </w:r>
            <w:r>
              <w:rPr>
                <w:noProof/>
              </w:rPr>
              <w:fldChar w:fldCharType="begin"/>
            </w:r>
            <w:r w:rsidRPr="00B8054A">
              <w:rPr>
                <w:noProof/>
                <w:lang w:val="de-DE"/>
              </w:rPr>
              <w:instrText xml:space="preserve"> PAGEREF _Toc438160266 \h </w:instrText>
            </w:r>
            <w:r>
              <w:rPr>
                <w:noProof/>
              </w:rPr>
              <w:fldChar w:fldCharType="separate"/>
            </w:r>
            <w:r w:rsidR="0093513E">
              <w:rPr>
                <w:noProof/>
                <w:lang w:val="de-DE"/>
              </w:rPr>
              <w:t>162</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B8054A">
              <w:rPr>
                <w:noProof/>
                <w:lang w:val="de-DE"/>
              </w:rPr>
              <w:t>EMISSIONSSPEZIFISCHE ZUSAMMENFASSUNG</w:t>
            </w:r>
            <w:r w:rsidRPr="00B8054A">
              <w:rPr>
                <w:noProof/>
                <w:lang w:val="de-DE"/>
              </w:rPr>
              <w:tab/>
            </w:r>
            <w:r>
              <w:rPr>
                <w:noProof/>
              </w:rPr>
              <w:fldChar w:fldCharType="begin"/>
            </w:r>
            <w:r w:rsidRPr="00B8054A">
              <w:rPr>
                <w:noProof/>
                <w:lang w:val="de-DE"/>
              </w:rPr>
              <w:instrText xml:space="preserve"> PAGEREF _Toc438160267 \h </w:instrText>
            </w:r>
            <w:r>
              <w:rPr>
                <w:noProof/>
              </w:rPr>
              <w:fldChar w:fldCharType="separate"/>
            </w:r>
            <w:r w:rsidR="0093513E">
              <w:rPr>
                <w:noProof/>
                <w:lang w:val="de-DE"/>
              </w:rPr>
              <w:t>165</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FB671A">
              <w:rPr>
                <w:noProof/>
                <w:lang w:val="de-DE"/>
              </w:rPr>
              <w:t>ZUSATZINFORMATIONEN BEI ENDGÜLTIGEN BEDINGUNGEN FÜR EIN LISTING AN DER SIX SWISS EXCHANGE</w:t>
            </w:r>
            <w:r w:rsidRPr="00B8054A">
              <w:rPr>
                <w:noProof/>
                <w:lang w:val="de-DE"/>
              </w:rPr>
              <w:tab/>
            </w:r>
            <w:r>
              <w:rPr>
                <w:noProof/>
              </w:rPr>
              <w:fldChar w:fldCharType="begin"/>
            </w:r>
            <w:r w:rsidRPr="00B8054A">
              <w:rPr>
                <w:noProof/>
                <w:lang w:val="de-DE"/>
              </w:rPr>
              <w:instrText xml:space="preserve"> PAGEREF _Toc438160268 \h </w:instrText>
            </w:r>
            <w:r>
              <w:rPr>
                <w:noProof/>
              </w:rPr>
              <w:fldChar w:fldCharType="separate"/>
            </w:r>
            <w:r w:rsidR="0093513E">
              <w:rPr>
                <w:noProof/>
                <w:lang w:val="de-DE"/>
              </w:rPr>
              <w:t>166</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FB671A">
              <w:rPr>
                <w:noProof/>
                <w:lang w:val="de-DE"/>
              </w:rPr>
              <w:t>DURCH VERWEIS EINBEZOGENE DOKUMENTE</w:t>
            </w:r>
            <w:r w:rsidRPr="00B8054A">
              <w:rPr>
                <w:noProof/>
                <w:lang w:val="de-DE"/>
              </w:rPr>
              <w:tab/>
            </w:r>
            <w:r>
              <w:rPr>
                <w:noProof/>
              </w:rPr>
              <w:fldChar w:fldCharType="begin"/>
            </w:r>
            <w:r w:rsidRPr="00B8054A">
              <w:rPr>
                <w:noProof/>
                <w:lang w:val="de-DE"/>
              </w:rPr>
              <w:instrText xml:space="preserve"> PAGEREF _Toc438160269 \h </w:instrText>
            </w:r>
            <w:r>
              <w:rPr>
                <w:noProof/>
              </w:rPr>
              <w:fldChar w:fldCharType="separate"/>
            </w:r>
            <w:r w:rsidR="0093513E">
              <w:rPr>
                <w:noProof/>
                <w:lang w:val="de-DE"/>
              </w:rPr>
              <w:t>167</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FB671A">
              <w:rPr>
                <w:noProof/>
                <w:lang w:val="de-DE"/>
              </w:rPr>
              <w:t>BESCHREIBUNG DER EMITTENTIN</w:t>
            </w:r>
            <w:r w:rsidRPr="00B8054A">
              <w:rPr>
                <w:noProof/>
                <w:lang w:val="de-DE"/>
              </w:rPr>
              <w:tab/>
            </w:r>
            <w:r>
              <w:rPr>
                <w:noProof/>
              </w:rPr>
              <w:fldChar w:fldCharType="begin"/>
            </w:r>
            <w:r w:rsidRPr="00B8054A">
              <w:rPr>
                <w:noProof/>
                <w:lang w:val="de-DE"/>
              </w:rPr>
              <w:instrText xml:space="preserve"> PAGEREF _Toc438160270 \h </w:instrText>
            </w:r>
            <w:r>
              <w:rPr>
                <w:noProof/>
              </w:rPr>
              <w:fldChar w:fldCharType="separate"/>
            </w:r>
            <w:r w:rsidR="0093513E">
              <w:rPr>
                <w:noProof/>
                <w:lang w:val="de-DE"/>
              </w:rPr>
              <w:t>172</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B8054A">
              <w:rPr>
                <w:noProof/>
                <w:lang w:val="de-DE"/>
              </w:rPr>
              <w:t>KURZBESCHREIBUNG DER KOMPLEXEN PRODUKTE</w:t>
            </w:r>
            <w:r w:rsidRPr="00B8054A">
              <w:rPr>
                <w:noProof/>
                <w:lang w:val="de-DE"/>
              </w:rPr>
              <w:tab/>
            </w:r>
            <w:r>
              <w:rPr>
                <w:noProof/>
              </w:rPr>
              <w:fldChar w:fldCharType="begin"/>
            </w:r>
            <w:r w:rsidRPr="00B8054A">
              <w:rPr>
                <w:noProof/>
                <w:lang w:val="de-DE"/>
              </w:rPr>
              <w:instrText xml:space="preserve"> PAGEREF _Toc438160271 \h </w:instrText>
            </w:r>
            <w:r>
              <w:rPr>
                <w:noProof/>
              </w:rPr>
              <w:fldChar w:fldCharType="separate"/>
            </w:r>
            <w:r w:rsidR="0093513E">
              <w:rPr>
                <w:noProof/>
                <w:lang w:val="de-DE"/>
              </w:rPr>
              <w:t>239</w:t>
            </w:r>
            <w:r>
              <w:rPr>
                <w:noProof/>
              </w:rPr>
              <w:fldChar w:fldCharType="end"/>
            </w:r>
          </w:p>
          <w:p w:rsidR="00BD6E0D" w:rsidRPr="00B8054A">
            <w:pPr>
              <w:pStyle w:val="TOC2"/>
              <w:rPr>
                <w:rFonts w:asciiTheme="minorHAnsi" w:eastAsiaTheme="minorEastAsia" w:hAnsiTheme="minorHAnsi" w:cstheme="minorBidi"/>
                <w:noProof/>
                <w:sz w:val="22"/>
                <w:lang w:val="de-DE" w:eastAsia="en-GB"/>
              </w:rPr>
            </w:pPr>
            <w:r w:rsidRPr="00FB671A">
              <w:rPr>
                <w:noProof/>
                <w:lang w:val="de-DE"/>
              </w:rPr>
              <w:t>I.</w:t>
            </w:r>
            <w:r w:rsidRPr="00B8054A">
              <w:rPr>
                <w:rFonts w:asciiTheme="minorHAnsi" w:eastAsiaTheme="minorEastAsia" w:hAnsiTheme="minorHAnsi" w:cstheme="minorBidi"/>
                <w:noProof/>
                <w:sz w:val="22"/>
                <w:lang w:val="de-DE" w:eastAsia="en-GB"/>
              </w:rPr>
              <w:tab/>
            </w:r>
            <w:r w:rsidRPr="00FB671A">
              <w:rPr>
                <w:noProof/>
                <w:lang w:val="de-DE"/>
              </w:rPr>
              <w:t>Komplexe Produkte mit Festem Finalen Rückzahlungsbetrag</w:t>
            </w:r>
            <w:r w:rsidRPr="00B8054A">
              <w:rPr>
                <w:noProof/>
                <w:lang w:val="de-DE"/>
              </w:rPr>
              <w:tab/>
            </w:r>
            <w:r>
              <w:rPr>
                <w:noProof/>
              </w:rPr>
              <w:fldChar w:fldCharType="begin"/>
            </w:r>
            <w:r w:rsidRPr="00B8054A">
              <w:rPr>
                <w:noProof/>
                <w:lang w:val="de-DE"/>
              </w:rPr>
              <w:instrText xml:space="preserve"> PAGEREF _Toc438160272 \h </w:instrText>
            </w:r>
            <w:r>
              <w:rPr>
                <w:noProof/>
              </w:rPr>
              <w:fldChar w:fldCharType="separate"/>
            </w:r>
            <w:r w:rsidR="0093513E">
              <w:rPr>
                <w:noProof/>
                <w:lang w:val="de-DE"/>
              </w:rPr>
              <w:t>240</w:t>
            </w:r>
            <w:r>
              <w:rPr>
                <w:noProof/>
              </w:rPr>
              <w:fldChar w:fldCharType="end"/>
            </w:r>
          </w:p>
          <w:p w:rsidR="00BD6E0D">
            <w:pPr>
              <w:pStyle w:val="TOC3"/>
              <w:rPr>
                <w:rFonts w:asciiTheme="minorHAnsi" w:eastAsiaTheme="minorEastAsia" w:hAnsiTheme="minorHAnsi" w:cstheme="minorBidi"/>
                <w:noProof/>
                <w:sz w:val="22"/>
                <w:lang w:eastAsia="en-GB"/>
              </w:rPr>
            </w:pPr>
            <w:r>
              <w:rPr>
                <w:noProof/>
              </w:rPr>
              <w:t>A.</w:t>
            </w:r>
            <w:r>
              <w:rPr>
                <w:rFonts w:asciiTheme="minorHAnsi" w:eastAsiaTheme="minorEastAsia" w:hAnsiTheme="minorHAnsi" w:cstheme="minorBidi"/>
                <w:noProof/>
                <w:sz w:val="22"/>
                <w:lang w:eastAsia="en-GB"/>
              </w:rPr>
              <w:tab/>
            </w:r>
            <w:r>
              <w:rPr>
                <w:noProof/>
              </w:rPr>
              <w:t>Fixed Rate Notes</w:t>
            </w:r>
            <w:r>
              <w:rPr>
                <w:noProof/>
              </w:rPr>
              <w:tab/>
            </w:r>
            <w:r>
              <w:rPr>
                <w:noProof/>
              </w:rPr>
              <w:fldChar w:fldCharType="begin"/>
            </w:r>
            <w:r>
              <w:rPr>
                <w:noProof/>
              </w:rPr>
              <w:instrText xml:space="preserve"> PAGEREF _Toc438160273 \h </w:instrText>
            </w:r>
            <w:r>
              <w:rPr>
                <w:noProof/>
              </w:rPr>
              <w:fldChar w:fldCharType="separate"/>
            </w:r>
            <w:r w:rsidR="0093513E">
              <w:rPr>
                <w:noProof/>
              </w:rPr>
              <w:t>240</w:t>
            </w:r>
            <w:r>
              <w:rPr>
                <w:noProof/>
              </w:rPr>
              <w:fldChar w:fldCharType="end"/>
            </w:r>
          </w:p>
          <w:p w:rsidR="00BD6E0D">
            <w:pPr>
              <w:pStyle w:val="TOC3"/>
              <w:rPr>
                <w:rFonts w:asciiTheme="minorHAnsi" w:eastAsiaTheme="minorEastAsia" w:hAnsiTheme="minorHAnsi" w:cstheme="minorBidi"/>
                <w:noProof/>
                <w:sz w:val="22"/>
                <w:lang w:eastAsia="en-GB"/>
              </w:rPr>
            </w:pPr>
            <w:r w:rsidRPr="00B8054A">
              <w:rPr>
                <w:noProof/>
              </w:rPr>
              <w:t>B.</w:t>
            </w:r>
            <w:r>
              <w:rPr>
                <w:rFonts w:asciiTheme="minorHAnsi" w:eastAsiaTheme="minorEastAsia" w:hAnsiTheme="minorHAnsi" w:cstheme="minorBidi"/>
                <w:noProof/>
                <w:sz w:val="22"/>
                <w:lang w:eastAsia="en-GB"/>
              </w:rPr>
              <w:tab/>
            </w:r>
            <w:r w:rsidRPr="00B8054A">
              <w:rPr>
                <w:noProof/>
              </w:rPr>
              <w:t>Step Up Notes</w:t>
            </w:r>
            <w:r>
              <w:rPr>
                <w:noProof/>
              </w:rPr>
              <w:tab/>
            </w:r>
            <w:r>
              <w:rPr>
                <w:noProof/>
              </w:rPr>
              <w:fldChar w:fldCharType="begin"/>
            </w:r>
            <w:r>
              <w:rPr>
                <w:noProof/>
              </w:rPr>
              <w:instrText xml:space="preserve"> PAGEREF _Toc438160274 \h </w:instrText>
            </w:r>
            <w:r>
              <w:rPr>
                <w:noProof/>
              </w:rPr>
              <w:fldChar w:fldCharType="separate"/>
            </w:r>
            <w:r w:rsidR="0093513E">
              <w:rPr>
                <w:noProof/>
              </w:rPr>
              <w:t>241</w:t>
            </w:r>
            <w:r>
              <w:rPr>
                <w:noProof/>
              </w:rPr>
              <w:fldChar w:fldCharType="end"/>
            </w:r>
          </w:p>
          <w:p w:rsidR="00BD6E0D">
            <w:pPr>
              <w:pStyle w:val="TOC3"/>
              <w:rPr>
                <w:rFonts w:asciiTheme="minorHAnsi" w:eastAsiaTheme="minorEastAsia" w:hAnsiTheme="minorHAnsi" w:cstheme="minorBidi"/>
                <w:noProof/>
                <w:sz w:val="22"/>
                <w:lang w:eastAsia="en-GB"/>
              </w:rPr>
            </w:pPr>
            <w:r w:rsidRPr="00B8054A">
              <w:rPr>
                <w:noProof/>
              </w:rPr>
              <w:t>C.</w:t>
            </w:r>
            <w:r>
              <w:rPr>
                <w:rFonts w:asciiTheme="minorHAnsi" w:eastAsiaTheme="minorEastAsia" w:hAnsiTheme="minorHAnsi" w:cstheme="minorBidi"/>
                <w:noProof/>
                <w:sz w:val="22"/>
                <w:lang w:eastAsia="en-GB"/>
              </w:rPr>
              <w:tab/>
            </w:r>
            <w:r w:rsidRPr="00B8054A">
              <w:rPr>
                <w:noProof/>
              </w:rPr>
              <w:t>Floating Rate Notes</w:t>
            </w:r>
            <w:r>
              <w:rPr>
                <w:noProof/>
              </w:rPr>
              <w:tab/>
            </w:r>
            <w:r>
              <w:rPr>
                <w:noProof/>
              </w:rPr>
              <w:fldChar w:fldCharType="begin"/>
            </w:r>
            <w:r>
              <w:rPr>
                <w:noProof/>
              </w:rPr>
              <w:instrText xml:space="preserve"> PAGEREF _Toc438160275 \h </w:instrText>
            </w:r>
            <w:r>
              <w:rPr>
                <w:noProof/>
              </w:rPr>
              <w:fldChar w:fldCharType="separate"/>
            </w:r>
            <w:r w:rsidR="0093513E">
              <w:rPr>
                <w:noProof/>
              </w:rPr>
              <w:t>241</w:t>
            </w:r>
            <w:r>
              <w:rPr>
                <w:noProof/>
              </w:rPr>
              <w:fldChar w:fldCharType="end"/>
            </w:r>
          </w:p>
          <w:p w:rsidR="00BD6E0D">
            <w:pPr>
              <w:pStyle w:val="TOC3"/>
              <w:rPr>
                <w:rFonts w:asciiTheme="minorHAnsi" w:eastAsiaTheme="minorEastAsia" w:hAnsiTheme="minorHAnsi" w:cstheme="minorBidi"/>
                <w:noProof/>
                <w:sz w:val="22"/>
                <w:lang w:eastAsia="en-GB"/>
              </w:rPr>
            </w:pPr>
            <w:r>
              <w:rPr>
                <w:noProof/>
              </w:rPr>
              <w:t>D.</w:t>
            </w:r>
            <w:r>
              <w:rPr>
                <w:rFonts w:asciiTheme="minorHAnsi" w:eastAsiaTheme="minorEastAsia" w:hAnsiTheme="minorHAnsi" w:cstheme="minorBidi"/>
                <w:noProof/>
                <w:sz w:val="22"/>
                <w:lang w:eastAsia="en-GB"/>
              </w:rPr>
              <w:tab/>
            </w:r>
            <w:r>
              <w:rPr>
                <w:noProof/>
              </w:rPr>
              <w:t>Fixed to Floating Rate Notes</w:t>
            </w:r>
            <w:r>
              <w:rPr>
                <w:noProof/>
              </w:rPr>
              <w:tab/>
            </w:r>
            <w:r>
              <w:rPr>
                <w:noProof/>
              </w:rPr>
              <w:fldChar w:fldCharType="begin"/>
            </w:r>
            <w:r>
              <w:rPr>
                <w:noProof/>
              </w:rPr>
              <w:instrText xml:space="preserve"> PAGEREF _Toc438160276 \h </w:instrText>
            </w:r>
            <w:r>
              <w:rPr>
                <w:noProof/>
              </w:rPr>
              <w:fldChar w:fldCharType="separate"/>
            </w:r>
            <w:r w:rsidR="0093513E">
              <w:rPr>
                <w:noProof/>
              </w:rPr>
              <w:t>241</w:t>
            </w:r>
            <w:r>
              <w:rPr>
                <w:noProof/>
              </w:rPr>
              <w:fldChar w:fldCharType="end"/>
            </w:r>
          </w:p>
          <w:p w:rsidR="00BD6E0D">
            <w:pPr>
              <w:pStyle w:val="TOC3"/>
              <w:rPr>
                <w:rFonts w:asciiTheme="minorHAnsi" w:eastAsiaTheme="minorEastAsia" w:hAnsiTheme="minorHAnsi" w:cstheme="minorBidi"/>
                <w:noProof/>
                <w:sz w:val="22"/>
                <w:lang w:eastAsia="en-GB"/>
              </w:rPr>
            </w:pPr>
            <w:r>
              <w:rPr>
                <w:noProof/>
              </w:rPr>
              <w:t>E.</w:t>
            </w:r>
            <w:r>
              <w:rPr>
                <w:rFonts w:asciiTheme="minorHAnsi" w:eastAsiaTheme="minorEastAsia" w:hAnsiTheme="minorHAnsi" w:cstheme="minorBidi"/>
                <w:noProof/>
                <w:sz w:val="22"/>
                <w:lang w:eastAsia="en-GB"/>
              </w:rPr>
              <w:tab/>
            </w:r>
            <w:r>
              <w:rPr>
                <w:noProof/>
              </w:rPr>
              <w:t>Cumulative Reverse Floater Notes</w:t>
            </w:r>
            <w:r>
              <w:rPr>
                <w:noProof/>
              </w:rPr>
              <w:tab/>
            </w:r>
            <w:r>
              <w:rPr>
                <w:noProof/>
              </w:rPr>
              <w:fldChar w:fldCharType="begin"/>
            </w:r>
            <w:r>
              <w:rPr>
                <w:noProof/>
              </w:rPr>
              <w:instrText xml:space="preserve"> PAGEREF _Toc438160277 \h </w:instrText>
            </w:r>
            <w:r>
              <w:rPr>
                <w:noProof/>
              </w:rPr>
              <w:fldChar w:fldCharType="separate"/>
            </w:r>
            <w:r w:rsidR="0093513E">
              <w:rPr>
                <w:noProof/>
              </w:rPr>
              <w:t>242</w:t>
            </w:r>
            <w:r>
              <w:rPr>
                <w:noProof/>
              </w:rPr>
              <w:fldChar w:fldCharType="end"/>
            </w:r>
          </w:p>
          <w:p w:rsidR="00BD6E0D">
            <w:pPr>
              <w:pStyle w:val="TOC3"/>
              <w:rPr>
                <w:rFonts w:asciiTheme="minorHAnsi" w:eastAsiaTheme="minorEastAsia" w:hAnsiTheme="minorHAnsi" w:cstheme="minorBidi"/>
                <w:noProof/>
                <w:sz w:val="22"/>
                <w:lang w:eastAsia="en-GB"/>
              </w:rPr>
            </w:pPr>
            <w:r w:rsidRPr="00B8054A">
              <w:rPr>
                <w:noProof/>
              </w:rPr>
              <w:t>F.</w:t>
            </w:r>
            <w:r>
              <w:rPr>
                <w:rFonts w:asciiTheme="minorHAnsi" w:eastAsiaTheme="minorEastAsia" w:hAnsiTheme="minorHAnsi" w:cstheme="minorBidi"/>
                <w:noProof/>
                <w:sz w:val="22"/>
                <w:lang w:eastAsia="en-GB"/>
              </w:rPr>
              <w:tab/>
            </w:r>
            <w:r w:rsidRPr="00B8054A">
              <w:rPr>
                <w:noProof/>
              </w:rPr>
              <w:t>Stairway Notes</w:t>
            </w:r>
            <w:r>
              <w:rPr>
                <w:noProof/>
              </w:rPr>
              <w:tab/>
            </w:r>
            <w:r>
              <w:rPr>
                <w:noProof/>
              </w:rPr>
              <w:fldChar w:fldCharType="begin"/>
            </w:r>
            <w:r>
              <w:rPr>
                <w:noProof/>
              </w:rPr>
              <w:instrText xml:space="preserve"> PAGEREF _Toc438160278 \h </w:instrText>
            </w:r>
            <w:r>
              <w:rPr>
                <w:noProof/>
              </w:rPr>
              <w:fldChar w:fldCharType="separate"/>
            </w:r>
            <w:r w:rsidR="0093513E">
              <w:rPr>
                <w:noProof/>
              </w:rPr>
              <w:t>243</w:t>
            </w:r>
            <w:r>
              <w:rPr>
                <w:noProof/>
              </w:rPr>
              <w:fldChar w:fldCharType="end"/>
            </w:r>
          </w:p>
          <w:p w:rsidR="00BD6E0D">
            <w:pPr>
              <w:pStyle w:val="TOC3"/>
              <w:rPr>
                <w:rFonts w:asciiTheme="minorHAnsi" w:eastAsiaTheme="minorEastAsia" w:hAnsiTheme="minorHAnsi" w:cstheme="minorBidi"/>
                <w:noProof/>
                <w:sz w:val="22"/>
                <w:lang w:eastAsia="en-GB"/>
              </w:rPr>
            </w:pPr>
            <w:r>
              <w:rPr>
                <w:noProof/>
              </w:rPr>
              <w:t>G.</w:t>
            </w:r>
            <w:r>
              <w:rPr>
                <w:rFonts w:asciiTheme="minorHAnsi" w:eastAsiaTheme="minorEastAsia" w:hAnsiTheme="minorHAnsi" w:cstheme="minorBidi"/>
                <w:noProof/>
                <w:sz w:val="22"/>
                <w:lang w:eastAsia="en-GB"/>
              </w:rPr>
              <w:tab/>
            </w:r>
            <w:r>
              <w:rPr>
                <w:noProof/>
              </w:rPr>
              <w:t>Inverse Floating Rate Notes</w:t>
            </w:r>
            <w:r>
              <w:rPr>
                <w:noProof/>
              </w:rPr>
              <w:tab/>
            </w:r>
            <w:r>
              <w:rPr>
                <w:noProof/>
              </w:rPr>
              <w:fldChar w:fldCharType="begin"/>
            </w:r>
            <w:r>
              <w:rPr>
                <w:noProof/>
              </w:rPr>
              <w:instrText xml:space="preserve"> PAGEREF _Toc438160279 \h </w:instrText>
            </w:r>
            <w:r>
              <w:rPr>
                <w:noProof/>
              </w:rPr>
              <w:fldChar w:fldCharType="separate"/>
            </w:r>
            <w:r w:rsidR="0093513E">
              <w:rPr>
                <w:noProof/>
              </w:rPr>
              <w:t>244</w:t>
            </w:r>
            <w:r>
              <w:rPr>
                <w:noProof/>
              </w:rPr>
              <w:fldChar w:fldCharType="end"/>
            </w:r>
          </w:p>
          <w:p w:rsidR="00BD6E0D">
            <w:pPr>
              <w:pStyle w:val="TOC3"/>
              <w:rPr>
                <w:rFonts w:asciiTheme="minorHAnsi" w:eastAsiaTheme="minorEastAsia" w:hAnsiTheme="minorHAnsi" w:cstheme="minorBidi"/>
                <w:noProof/>
                <w:sz w:val="22"/>
                <w:lang w:eastAsia="en-GB"/>
              </w:rPr>
            </w:pPr>
            <w:r w:rsidRPr="00B8054A">
              <w:rPr>
                <w:noProof/>
              </w:rPr>
              <w:t>H.</w:t>
            </w:r>
            <w:r>
              <w:rPr>
                <w:rFonts w:asciiTheme="minorHAnsi" w:eastAsiaTheme="minorEastAsia" w:hAnsiTheme="minorHAnsi" w:cstheme="minorBidi"/>
                <w:noProof/>
                <w:sz w:val="22"/>
                <w:lang w:eastAsia="en-GB"/>
              </w:rPr>
              <w:tab/>
            </w:r>
            <w:r w:rsidRPr="00B8054A">
              <w:rPr>
                <w:noProof/>
              </w:rPr>
              <w:t>Spread-Linked Notes</w:t>
            </w:r>
            <w:r>
              <w:rPr>
                <w:noProof/>
              </w:rPr>
              <w:tab/>
            </w:r>
            <w:r>
              <w:rPr>
                <w:noProof/>
              </w:rPr>
              <w:fldChar w:fldCharType="begin"/>
            </w:r>
            <w:r>
              <w:rPr>
                <w:noProof/>
              </w:rPr>
              <w:instrText xml:space="preserve"> PAGEREF _Toc438160280 \h </w:instrText>
            </w:r>
            <w:r>
              <w:rPr>
                <w:noProof/>
              </w:rPr>
              <w:fldChar w:fldCharType="separate"/>
            </w:r>
            <w:r w:rsidR="0093513E">
              <w:rPr>
                <w:noProof/>
              </w:rPr>
              <w:t>244</w:t>
            </w:r>
            <w:r>
              <w:rPr>
                <w:noProof/>
              </w:rPr>
              <w:fldChar w:fldCharType="end"/>
            </w:r>
          </w:p>
          <w:p w:rsidR="00BD6E0D">
            <w:pPr>
              <w:pStyle w:val="TOC3"/>
              <w:rPr>
                <w:rFonts w:asciiTheme="minorHAnsi" w:eastAsiaTheme="minorEastAsia" w:hAnsiTheme="minorHAnsi" w:cstheme="minorBidi"/>
                <w:noProof/>
                <w:sz w:val="22"/>
                <w:lang w:eastAsia="en-GB"/>
              </w:rPr>
            </w:pPr>
            <w:r w:rsidRPr="00B8054A">
              <w:rPr>
                <w:noProof/>
              </w:rPr>
              <w:t>I.</w:t>
            </w:r>
            <w:r>
              <w:rPr>
                <w:rFonts w:asciiTheme="minorHAnsi" w:eastAsiaTheme="minorEastAsia" w:hAnsiTheme="minorHAnsi" w:cstheme="minorBidi"/>
                <w:noProof/>
                <w:sz w:val="22"/>
                <w:lang w:eastAsia="en-GB"/>
              </w:rPr>
              <w:tab/>
            </w:r>
            <w:r w:rsidRPr="00B8054A">
              <w:rPr>
                <w:noProof/>
              </w:rPr>
              <w:t>Range Accrual Notes</w:t>
            </w:r>
            <w:r>
              <w:rPr>
                <w:noProof/>
              </w:rPr>
              <w:tab/>
            </w:r>
            <w:r>
              <w:rPr>
                <w:noProof/>
              </w:rPr>
              <w:fldChar w:fldCharType="begin"/>
            </w:r>
            <w:r>
              <w:rPr>
                <w:noProof/>
              </w:rPr>
              <w:instrText xml:space="preserve"> PAGEREF _Toc438160281 \h </w:instrText>
            </w:r>
            <w:r>
              <w:rPr>
                <w:noProof/>
              </w:rPr>
              <w:fldChar w:fldCharType="separate"/>
            </w:r>
            <w:r w:rsidR="0093513E">
              <w:rPr>
                <w:noProof/>
              </w:rPr>
              <w:t>245</w:t>
            </w:r>
            <w:r>
              <w:rPr>
                <w:noProof/>
              </w:rPr>
              <w:fldChar w:fldCharType="end"/>
            </w:r>
          </w:p>
          <w:p w:rsidR="00BD6E0D">
            <w:pPr>
              <w:pStyle w:val="TOC3"/>
              <w:rPr>
                <w:rFonts w:asciiTheme="minorHAnsi" w:eastAsiaTheme="minorEastAsia" w:hAnsiTheme="minorHAnsi" w:cstheme="minorBidi"/>
                <w:noProof/>
                <w:sz w:val="22"/>
                <w:lang w:eastAsia="en-GB"/>
              </w:rPr>
            </w:pPr>
            <w:r>
              <w:rPr>
                <w:noProof/>
              </w:rPr>
              <w:t>J.</w:t>
            </w:r>
            <w:r>
              <w:rPr>
                <w:rFonts w:asciiTheme="minorHAnsi" w:eastAsiaTheme="minorEastAsia" w:hAnsiTheme="minorHAnsi" w:cstheme="minorBidi"/>
                <w:noProof/>
                <w:sz w:val="22"/>
                <w:lang w:eastAsia="en-GB"/>
              </w:rPr>
              <w:tab/>
            </w:r>
            <w:r>
              <w:rPr>
                <w:noProof/>
              </w:rPr>
              <w:t>Spread Range Accrual Notes</w:t>
            </w:r>
            <w:r>
              <w:rPr>
                <w:noProof/>
              </w:rPr>
              <w:tab/>
            </w:r>
            <w:r>
              <w:rPr>
                <w:noProof/>
              </w:rPr>
              <w:fldChar w:fldCharType="begin"/>
            </w:r>
            <w:r>
              <w:rPr>
                <w:noProof/>
              </w:rPr>
              <w:instrText xml:space="preserve"> PAGEREF _Toc438160282 \h </w:instrText>
            </w:r>
            <w:r>
              <w:rPr>
                <w:noProof/>
              </w:rPr>
              <w:fldChar w:fldCharType="separate"/>
            </w:r>
            <w:r w:rsidR="0093513E">
              <w:rPr>
                <w:noProof/>
              </w:rPr>
              <w:t>246</w:t>
            </w:r>
            <w:r>
              <w:rPr>
                <w:noProof/>
              </w:rPr>
              <w:fldChar w:fldCharType="end"/>
            </w:r>
          </w:p>
          <w:p w:rsidR="00BD6E0D">
            <w:pPr>
              <w:pStyle w:val="TOC3"/>
              <w:rPr>
                <w:rFonts w:asciiTheme="minorHAnsi" w:eastAsiaTheme="minorEastAsia" w:hAnsiTheme="minorHAnsi" w:cstheme="minorBidi"/>
                <w:noProof/>
                <w:sz w:val="22"/>
                <w:lang w:eastAsia="en-GB"/>
              </w:rPr>
            </w:pPr>
            <w:r>
              <w:rPr>
                <w:noProof/>
              </w:rPr>
              <w:t>K.</w:t>
            </w:r>
            <w:r>
              <w:rPr>
                <w:rFonts w:asciiTheme="minorHAnsi" w:eastAsiaTheme="minorEastAsia" w:hAnsiTheme="minorHAnsi" w:cstheme="minorBidi"/>
                <w:noProof/>
                <w:sz w:val="22"/>
                <w:lang w:eastAsia="en-GB"/>
              </w:rPr>
              <w:tab/>
            </w:r>
            <w:r>
              <w:rPr>
                <w:noProof/>
              </w:rPr>
              <w:t>Inflation Index-Linked Notes</w:t>
            </w:r>
            <w:r>
              <w:rPr>
                <w:noProof/>
              </w:rPr>
              <w:tab/>
            </w:r>
            <w:r>
              <w:rPr>
                <w:noProof/>
              </w:rPr>
              <w:fldChar w:fldCharType="begin"/>
            </w:r>
            <w:r>
              <w:rPr>
                <w:noProof/>
              </w:rPr>
              <w:instrText xml:space="preserve"> PAGEREF _Toc438160283 \h </w:instrText>
            </w:r>
            <w:r>
              <w:rPr>
                <w:noProof/>
              </w:rPr>
              <w:fldChar w:fldCharType="separate"/>
            </w:r>
            <w:r w:rsidR="0093513E">
              <w:rPr>
                <w:noProof/>
              </w:rPr>
              <w:t>247</w:t>
            </w:r>
            <w:r>
              <w:rPr>
                <w:noProof/>
              </w:rPr>
              <w:fldChar w:fldCharType="end"/>
            </w:r>
          </w:p>
          <w:p w:rsidR="00BD6E0D" w:rsidRPr="00B8054A">
            <w:pPr>
              <w:pStyle w:val="TOC2"/>
              <w:rPr>
                <w:rFonts w:asciiTheme="minorHAnsi" w:eastAsiaTheme="minorEastAsia" w:hAnsiTheme="minorHAnsi" w:cstheme="minorBidi"/>
                <w:noProof/>
                <w:sz w:val="22"/>
                <w:lang w:val="de-DE" w:eastAsia="en-GB"/>
              </w:rPr>
            </w:pPr>
            <w:r w:rsidRPr="00FB671A">
              <w:rPr>
                <w:noProof/>
                <w:lang w:val="de-DE"/>
              </w:rPr>
              <w:t>II.</w:t>
            </w:r>
            <w:r w:rsidRPr="00B8054A">
              <w:rPr>
                <w:rFonts w:asciiTheme="minorHAnsi" w:eastAsiaTheme="minorEastAsia" w:hAnsiTheme="minorHAnsi" w:cstheme="minorBidi"/>
                <w:noProof/>
                <w:sz w:val="22"/>
                <w:lang w:val="de-DE" w:eastAsia="en-GB"/>
              </w:rPr>
              <w:tab/>
            </w:r>
            <w:r w:rsidRPr="00FB671A">
              <w:rPr>
                <w:noProof/>
                <w:lang w:val="de-DE"/>
              </w:rPr>
              <w:t>Kreditbezogene Komplexe Produkte mit Auktionsabwicklung</w:t>
            </w:r>
            <w:r w:rsidRPr="00B8054A">
              <w:rPr>
                <w:noProof/>
                <w:lang w:val="de-DE"/>
              </w:rPr>
              <w:tab/>
            </w:r>
            <w:r>
              <w:rPr>
                <w:noProof/>
              </w:rPr>
              <w:fldChar w:fldCharType="begin"/>
            </w:r>
            <w:r w:rsidRPr="00B8054A">
              <w:rPr>
                <w:noProof/>
                <w:lang w:val="de-DE"/>
              </w:rPr>
              <w:instrText xml:space="preserve"> PAGEREF _Toc438160284 \h </w:instrText>
            </w:r>
            <w:r>
              <w:rPr>
                <w:noProof/>
              </w:rPr>
              <w:fldChar w:fldCharType="separate"/>
            </w:r>
            <w:r w:rsidR="0093513E">
              <w:rPr>
                <w:noProof/>
                <w:lang w:val="de-DE"/>
              </w:rPr>
              <w:t>248</w:t>
            </w:r>
            <w:r>
              <w:rPr>
                <w:noProof/>
              </w:rPr>
              <w:fldChar w:fldCharType="end"/>
            </w:r>
          </w:p>
          <w:p w:rsidR="00BD6E0D" w:rsidRPr="00B8054A">
            <w:pPr>
              <w:pStyle w:val="TOC3"/>
              <w:rPr>
                <w:rFonts w:asciiTheme="minorHAnsi" w:eastAsiaTheme="minorEastAsia" w:hAnsiTheme="minorHAnsi" w:cstheme="minorBidi"/>
                <w:noProof/>
                <w:sz w:val="22"/>
                <w:lang w:val="de-DE" w:eastAsia="en-GB"/>
              </w:rPr>
            </w:pPr>
            <w:r w:rsidRPr="00FB671A">
              <w:rPr>
                <w:noProof/>
                <w:lang w:val="de-DE"/>
              </w:rPr>
              <w:t>A.</w:t>
            </w:r>
            <w:r w:rsidRPr="00B8054A">
              <w:rPr>
                <w:rFonts w:asciiTheme="minorHAnsi" w:eastAsiaTheme="minorEastAsia" w:hAnsiTheme="minorHAnsi" w:cstheme="minorBidi"/>
                <w:noProof/>
                <w:sz w:val="22"/>
                <w:lang w:val="de-DE" w:eastAsia="en-GB"/>
              </w:rPr>
              <w:tab/>
            </w:r>
            <w:r w:rsidRPr="00FB671A">
              <w:rPr>
                <w:noProof/>
                <w:lang w:val="de-DE"/>
              </w:rPr>
              <w:t>Kreditbezogene Komplexe Produkte mit Auktionsabwicklung, die an einen einzelnen Referenzschuldner gekoppelt sind</w:t>
            </w:r>
            <w:r w:rsidRPr="00B8054A">
              <w:rPr>
                <w:noProof/>
                <w:lang w:val="de-DE"/>
              </w:rPr>
              <w:tab/>
            </w:r>
            <w:r>
              <w:rPr>
                <w:noProof/>
              </w:rPr>
              <w:fldChar w:fldCharType="begin"/>
            </w:r>
            <w:r w:rsidRPr="00B8054A">
              <w:rPr>
                <w:noProof/>
                <w:lang w:val="de-DE"/>
              </w:rPr>
              <w:instrText xml:space="preserve"> PAGEREF _Toc438160285 \h </w:instrText>
            </w:r>
            <w:r>
              <w:rPr>
                <w:noProof/>
              </w:rPr>
              <w:fldChar w:fldCharType="separate"/>
            </w:r>
            <w:r w:rsidR="0093513E">
              <w:rPr>
                <w:noProof/>
                <w:lang w:val="de-DE"/>
              </w:rPr>
              <w:t>249</w:t>
            </w:r>
            <w:r>
              <w:rPr>
                <w:noProof/>
              </w:rPr>
              <w:fldChar w:fldCharType="end"/>
            </w:r>
          </w:p>
          <w:p w:rsidR="00BD6E0D" w:rsidRPr="00B8054A">
            <w:pPr>
              <w:pStyle w:val="TOC3"/>
              <w:rPr>
                <w:rFonts w:asciiTheme="minorHAnsi" w:eastAsiaTheme="minorEastAsia" w:hAnsiTheme="minorHAnsi" w:cstheme="minorBidi"/>
                <w:noProof/>
                <w:sz w:val="22"/>
                <w:lang w:val="de-DE" w:eastAsia="en-GB"/>
              </w:rPr>
            </w:pPr>
            <w:r w:rsidRPr="00FB671A">
              <w:rPr>
                <w:noProof/>
                <w:lang w:val="de-DE"/>
              </w:rPr>
              <w:t>B.</w:t>
            </w:r>
            <w:r w:rsidRPr="00B8054A">
              <w:rPr>
                <w:rFonts w:asciiTheme="minorHAnsi" w:eastAsiaTheme="minorEastAsia" w:hAnsiTheme="minorHAnsi" w:cstheme="minorBidi"/>
                <w:noProof/>
                <w:sz w:val="22"/>
                <w:lang w:val="de-DE" w:eastAsia="en-GB"/>
              </w:rPr>
              <w:tab/>
            </w:r>
            <w:r w:rsidRPr="00FB671A">
              <w:rPr>
                <w:noProof/>
                <w:lang w:val="de-DE"/>
              </w:rPr>
              <w:t>Kreditbezogene Komplexe Produkte mit Auktionsabwicklung und N</w:t>
            </w:r>
            <w:r w:rsidRPr="00FB671A">
              <w:rPr>
                <w:noProof/>
                <w:vertAlign w:val="superscript"/>
                <w:lang w:val="de-DE"/>
              </w:rPr>
              <w:t>th</w:t>
            </w:r>
            <w:r w:rsidRPr="00FB671A">
              <w:rPr>
                <w:noProof/>
                <w:lang w:val="de-DE"/>
              </w:rPr>
              <w:t>-to-Default-Struktur</w:t>
            </w:r>
            <w:r w:rsidRPr="00B8054A">
              <w:rPr>
                <w:noProof/>
                <w:lang w:val="de-DE"/>
              </w:rPr>
              <w:tab/>
            </w:r>
            <w:r>
              <w:rPr>
                <w:noProof/>
              </w:rPr>
              <w:fldChar w:fldCharType="begin"/>
            </w:r>
            <w:r w:rsidRPr="00B8054A">
              <w:rPr>
                <w:noProof/>
                <w:lang w:val="de-DE"/>
              </w:rPr>
              <w:instrText xml:space="preserve"> PAGEREF _Toc438160286 \h </w:instrText>
            </w:r>
            <w:r>
              <w:rPr>
                <w:noProof/>
              </w:rPr>
              <w:fldChar w:fldCharType="separate"/>
            </w:r>
            <w:r w:rsidR="0093513E">
              <w:rPr>
                <w:noProof/>
                <w:lang w:val="de-DE"/>
              </w:rPr>
              <w:t>251</w:t>
            </w:r>
            <w:r>
              <w:rPr>
                <w:noProof/>
              </w:rPr>
              <w:fldChar w:fldCharType="end"/>
            </w:r>
          </w:p>
          <w:p w:rsidR="00BD6E0D" w:rsidRPr="00B8054A">
            <w:pPr>
              <w:pStyle w:val="TOC3"/>
              <w:rPr>
                <w:rFonts w:asciiTheme="minorHAnsi" w:eastAsiaTheme="minorEastAsia" w:hAnsiTheme="minorHAnsi" w:cstheme="minorBidi"/>
                <w:noProof/>
                <w:sz w:val="22"/>
                <w:lang w:val="de-DE" w:eastAsia="en-GB"/>
              </w:rPr>
            </w:pPr>
            <w:r w:rsidRPr="00FB671A">
              <w:rPr>
                <w:noProof/>
                <w:lang w:val="de-DE"/>
              </w:rPr>
              <w:t>C.</w:t>
            </w:r>
            <w:r w:rsidRPr="00B8054A">
              <w:rPr>
                <w:rFonts w:asciiTheme="minorHAnsi" w:eastAsiaTheme="minorEastAsia" w:hAnsiTheme="minorHAnsi" w:cstheme="minorBidi"/>
                <w:noProof/>
                <w:sz w:val="22"/>
                <w:lang w:val="de-DE" w:eastAsia="en-GB"/>
              </w:rPr>
              <w:tab/>
            </w:r>
            <w:r w:rsidRPr="00FB671A">
              <w:rPr>
                <w:noProof/>
                <w:lang w:val="de-DE"/>
              </w:rPr>
              <w:t>Kreditbezogene Komplexe Produkte mit Auktionsabwicklung, die an einen Korb von Referenzschuldnern gekoppelt sind</w:t>
            </w:r>
            <w:r w:rsidRPr="00B8054A">
              <w:rPr>
                <w:noProof/>
                <w:lang w:val="de-DE"/>
              </w:rPr>
              <w:tab/>
            </w:r>
            <w:r>
              <w:rPr>
                <w:noProof/>
              </w:rPr>
              <w:fldChar w:fldCharType="begin"/>
            </w:r>
            <w:r w:rsidRPr="00B8054A">
              <w:rPr>
                <w:noProof/>
                <w:lang w:val="de-DE"/>
              </w:rPr>
              <w:instrText xml:space="preserve"> PAGEREF _Toc438160287 \h </w:instrText>
            </w:r>
            <w:r>
              <w:rPr>
                <w:noProof/>
              </w:rPr>
              <w:fldChar w:fldCharType="separate"/>
            </w:r>
            <w:r w:rsidR="0093513E">
              <w:rPr>
                <w:noProof/>
                <w:lang w:val="de-DE"/>
              </w:rPr>
              <w:t>253</w:t>
            </w:r>
            <w:r>
              <w:rPr>
                <w:noProof/>
              </w:rPr>
              <w:fldChar w:fldCharType="end"/>
            </w:r>
          </w:p>
          <w:p w:rsidR="00BD6E0D" w:rsidRPr="00B8054A">
            <w:pPr>
              <w:pStyle w:val="TOC2"/>
              <w:rPr>
                <w:rFonts w:asciiTheme="minorHAnsi" w:eastAsiaTheme="minorEastAsia" w:hAnsiTheme="minorHAnsi" w:cstheme="minorBidi"/>
                <w:noProof/>
                <w:sz w:val="22"/>
                <w:lang w:val="de-DE" w:eastAsia="en-GB"/>
              </w:rPr>
            </w:pPr>
            <w:r w:rsidRPr="00FB671A">
              <w:rPr>
                <w:noProof/>
                <w:lang w:val="de-DE"/>
              </w:rPr>
              <w:t>III.</w:t>
            </w:r>
            <w:r w:rsidRPr="00B8054A">
              <w:rPr>
                <w:rFonts w:asciiTheme="minorHAnsi" w:eastAsiaTheme="minorEastAsia" w:hAnsiTheme="minorHAnsi" w:cstheme="minorBidi"/>
                <w:noProof/>
                <w:sz w:val="22"/>
                <w:lang w:val="de-DE" w:eastAsia="en-GB"/>
              </w:rPr>
              <w:tab/>
            </w:r>
            <w:r w:rsidRPr="00FB671A">
              <w:rPr>
                <w:noProof/>
                <w:lang w:val="de-DE"/>
              </w:rPr>
              <w:t>Kreditbezogene Komplexe Produkte mit Zero-Recovery-Merkmal, die an einen Korb gekoppelt sind</w:t>
            </w:r>
            <w:r w:rsidRPr="00B8054A">
              <w:rPr>
                <w:noProof/>
                <w:lang w:val="de-DE"/>
              </w:rPr>
              <w:tab/>
            </w:r>
            <w:r>
              <w:rPr>
                <w:noProof/>
              </w:rPr>
              <w:fldChar w:fldCharType="begin"/>
            </w:r>
            <w:r w:rsidRPr="00B8054A">
              <w:rPr>
                <w:noProof/>
                <w:lang w:val="de-DE"/>
              </w:rPr>
              <w:instrText xml:space="preserve"> PAGEREF _Toc438160288 \h </w:instrText>
            </w:r>
            <w:r>
              <w:rPr>
                <w:noProof/>
              </w:rPr>
              <w:fldChar w:fldCharType="separate"/>
            </w:r>
            <w:r w:rsidR="0093513E">
              <w:rPr>
                <w:noProof/>
                <w:lang w:val="de-DE"/>
              </w:rPr>
              <w:t>255</w:t>
            </w:r>
            <w:r>
              <w:rPr>
                <w:noProof/>
              </w:rPr>
              <w:fldChar w:fldCharType="end"/>
            </w:r>
          </w:p>
          <w:p w:rsidR="00BD6E0D" w:rsidRPr="00B8054A">
            <w:pPr>
              <w:pStyle w:val="TOC2"/>
              <w:rPr>
                <w:rFonts w:asciiTheme="minorHAnsi" w:eastAsiaTheme="minorEastAsia" w:hAnsiTheme="minorHAnsi" w:cstheme="minorBidi"/>
                <w:noProof/>
                <w:sz w:val="22"/>
                <w:lang w:val="de-DE" w:eastAsia="en-GB"/>
              </w:rPr>
            </w:pPr>
            <w:r w:rsidRPr="00FB671A">
              <w:rPr>
                <w:noProof/>
                <w:lang w:val="de-DE"/>
              </w:rPr>
              <w:t>IV.</w:t>
            </w:r>
            <w:r w:rsidRPr="00B8054A">
              <w:rPr>
                <w:rFonts w:asciiTheme="minorHAnsi" w:eastAsiaTheme="minorEastAsia" w:hAnsiTheme="minorHAnsi" w:cstheme="minorBidi"/>
                <w:noProof/>
                <w:sz w:val="22"/>
                <w:lang w:val="de-DE" w:eastAsia="en-GB"/>
              </w:rPr>
              <w:tab/>
            </w:r>
            <w:r w:rsidRPr="00FB671A">
              <w:rPr>
                <w:noProof/>
                <w:lang w:val="de-DE"/>
              </w:rPr>
              <w:t>Kreditbezogene Komplexe Produkte mit vereinfachter Abwicklung</w:t>
            </w:r>
            <w:r w:rsidRPr="00B8054A">
              <w:rPr>
                <w:noProof/>
                <w:lang w:val="de-DE"/>
              </w:rPr>
              <w:tab/>
            </w:r>
            <w:r>
              <w:rPr>
                <w:noProof/>
              </w:rPr>
              <w:fldChar w:fldCharType="begin"/>
            </w:r>
            <w:r w:rsidRPr="00B8054A">
              <w:rPr>
                <w:noProof/>
                <w:lang w:val="de-DE"/>
              </w:rPr>
              <w:instrText xml:space="preserve"> PAGEREF _Toc438160289 \h </w:instrText>
            </w:r>
            <w:r>
              <w:rPr>
                <w:noProof/>
              </w:rPr>
              <w:fldChar w:fldCharType="separate"/>
            </w:r>
            <w:r w:rsidR="0093513E">
              <w:rPr>
                <w:noProof/>
                <w:lang w:val="de-DE"/>
              </w:rPr>
              <w:t>258</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FB671A">
              <w:rPr>
                <w:noProof/>
                <w:lang w:val="de-DE"/>
              </w:rPr>
              <w:t>BESICHERUNG VON KOMPLEXEN PRODUKTEN MIT COSI MERKMAL</w:t>
            </w:r>
            <w:r w:rsidRPr="00B8054A">
              <w:rPr>
                <w:noProof/>
                <w:lang w:val="de-DE"/>
              </w:rPr>
              <w:tab/>
            </w:r>
            <w:r>
              <w:rPr>
                <w:noProof/>
              </w:rPr>
              <w:fldChar w:fldCharType="begin"/>
            </w:r>
            <w:r w:rsidRPr="00B8054A">
              <w:rPr>
                <w:noProof/>
                <w:lang w:val="de-DE"/>
              </w:rPr>
              <w:instrText xml:space="preserve"> PAGEREF _Toc438160290 \h </w:instrText>
            </w:r>
            <w:r>
              <w:rPr>
                <w:noProof/>
              </w:rPr>
              <w:fldChar w:fldCharType="separate"/>
            </w:r>
            <w:r w:rsidR="0093513E">
              <w:rPr>
                <w:noProof/>
                <w:lang w:val="de-DE"/>
              </w:rPr>
              <w:t>261</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B8054A">
              <w:rPr>
                <w:noProof/>
                <w:lang w:val="de-DE"/>
              </w:rPr>
              <w:t>VERBRIEFUNG DER KOMPLEXEN PRODUKTE</w:t>
            </w:r>
            <w:r w:rsidRPr="00B8054A">
              <w:rPr>
                <w:noProof/>
                <w:lang w:val="de-DE"/>
              </w:rPr>
              <w:tab/>
            </w:r>
            <w:r>
              <w:rPr>
                <w:noProof/>
              </w:rPr>
              <w:fldChar w:fldCharType="begin"/>
            </w:r>
            <w:r w:rsidRPr="00B8054A">
              <w:rPr>
                <w:noProof/>
                <w:lang w:val="de-DE"/>
              </w:rPr>
              <w:instrText xml:space="preserve"> PAGEREF _Toc438160291 \h </w:instrText>
            </w:r>
            <w:r>
              <w:rPr>
                <w:noProof/>
              </w:rPr>
              <w:fldChar w:fldCharType="separate"/>
            </w:r>
            <w:r w:rsidR="0093513E">
              <w:rPr>
                <w:noProof/>
                <w:lang w:val="de-DE"/>
              </w:rPr>
              <w:t>269</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FB671A">
              <w:rPr>
                <w:noProof/>
                <w:lang w:val="de-DE"/>
              </w:rPr>
              <w:t>BESTEUERUNG</w:t>
            </w:r>
            <w:r w:rsidRPr="00B8054A">
              <w:rPr>
                <w:noProof/>
                <w:lang w:val="de-DE"/>
              </w:rPr>
              <w:tab/>
            </w:r>
            <w:r>
              <w:rPr>
                <w:noProof/>
              </w:rPr>
              <w:fldChar w:fldCharType="begin"/>
            </w:r>
            <w:r w:rsidRPr="00B8054A">
              <w:rPr>
                <w:noProof/>
                <w:lang w:val="de-DE"/>
              </w:rPr>
              <w:instrText xml:space="preserve"> PAGEREF _Toc438160292 \h </w:instrText>
            </w:r>
            <w:r>
              <w:rPr>
                <w:noProof/>
              </w:rPr>
              <w:fldChar w:fldCharType="separate"/>
            </w:r>
            <w:r w:rsidR="0093513E">
              <w:rPr>
                <w:noProof/>
                <w:lang w:val="de-DE"/>
              </w:rPr>
              <w:t>272</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B8054A">
              <w:rPr>
                <w:noProof/>
                <w:lang w:val="de-DE"/>
              </w:rPr>
              <w:t>VERKAUFSBESCHRÄNKUNGEN</w:t>
            </w:r>
            <w:r w:rsidRPr="00B8054A">
              <w:rPr>
                <w:noProof/>
                <w:lang w:val="de-DE"/>
              </w:rPr>
              <w:tab/>
            </w:r>
            <w:r>
              <w:rPr>
                <w:noProof/>
              </w:rPr>
              <w:fldChar w:fldCharType="begin"/>
            </w:r>
            <w:r w:rsidRPr="00B8054A">
              <w:rPr>
                <w:noProof/>
                <w:lang w:val="de-DE"/>
              </w:rPr>
              <w:instrText xml:space="preserve"> PAGEREF _Toc438160293 \h </w:instrText>
            </w:r>
            <w:r>
              <w:rPr>
                <w:noProof/>
              </w:rPr>
              <w:fldChar w:fldCharType="separate"/>
            </w:r>
            <w:r w:rsidR="0093513E">
              <w:rPr>
                <w:noProof/>
                <w:lang w:val="de-DE"/>
              </w:rPr>
              <w:t>313</w:t>
            </w:r>
            <w:r>
              <w:rPr>
                <w:noProof/>
              </w:rPr>
              <w:fldChar w:fldCharType="end"/>
            </w:r>
          </w:p>
          <w:p w:rsidR="00BD6E0D" w:rsidRPr="00B8054A">
            <w:pPr>
              <w:pStyle w:val="TOC1"/>
              <w:rPr>
                <w:rFonts w:asciiTheme="minorHAnsi" w:eastAsiaTheme="minorEastAsia" w:hAnsiTheme="minorHAnsi" w:cstheme="minorBidi"/>
                <w:noProof/>
                <w:sz w:val="22"/>
                <w:lang w:val="de-DE" w:eastAsia="en-GB"/>
              </w:rPr>
            </w:pPr>
            <w:r w:rsidRPr="00B8054A">
              <w:rPr>
                <w:noProof/>
                <w:lang w:val="de-DE"/>
              </w:rPr>
              <w:t>EMISSIONSBEDINGUNGEN DER KOMPLEXEN PRODUKTE</w:t>
            </w:r>
            <w:r w:rsidRPr="00B8054A">
              <w:rPr>
                <w:noProof/>
                <w:lang w:val="de-DE"/>
              </w:rPr>
              <w:tab/>
            </w:r>
            <w:r>
              <w:rPr>
                <w:noProof/>
              </w:rPr>
              <w:fldChar w:fldCharType="begin"/>
            </w:r>
            <w:r w:rsidRPr="00B8054A">
              <w:rPr>
                <w:noProof/>
                <w:lang w:val="de-DE"/>
              </w:rPr>
              <w:instrText xml:space="preserve"> PAGEREF _Toc438160294 \h </w:instrText>
            </w:r>
            <w:r>
              <w:rPr>
                <w:noProof/>
              </w:rPr>
              <w:fldChar w:fldCharType="separate"/>
            </w:r>
            <w:r w:rsidR="0093513E">
              <w:rPr>
                <w:noProof/>
                <w:lang w:val="de-DE"/>
              </w:rPr>
              <w:t>338</w:t>
            </w:r>
            <w:r>
              <w:rPr>
                <w:noProof/>
              </w:rPr>
              <w:fldChar w:fldCharType="end"/>
            </w:r>
          </w:p>
          <w:p w:rsidR="00BD6E0D">
            <w:pPr>
              <w:pStyle w:val="TOC1"/>
              <w:rPr>
                <w:rFonts w:asciiTheme="minorHAnsi" w:eastAsiaTheme="minorEastAsia" w:hAnsiTheme="minorHAnsi" w:cstheme="minorBidi"/>
                <w:noProof/>
                <w:sz w:val="22"/>
                <w:lang w:eastAsia="en-GB"/>
              </w:rPr>
            </w:pPr>
            <w:r>
              <w:rPr>
                <w:noProof/>
              </w:rPr>
              <w:t>ZUSÄTZLICHE INFORMATIONEN</w:t>
            </w:r>
            <w:r>
              <w:rPr>
                <w:noProof/>
              </w:rPr>
              <w:tab/>
            </w:r>
            <w:r>
              <w:rPr>
                <w:noProof/>
              </w:rPr>
              <w:fldChar w:fldCharType="begin"/>
            </w:r>
            <w:r>
              <w:rPr>
                <w:noProof/>
              </w:rPr>
              <w:instrText xml:space="preserve"> PAGEREF _Toc438160295 \h </w:instrText>
            </w:r>
            <w:r>
              <w:rPr>
                <w:noProof/>
              </w:rPr>
              <w:fldChar w:fldCharType="separate"/>
            </w:r>
            <w:r w:rsidR="0093513E">
              <w:rPr>
                <w:noProof/>
              </w:rPr>
              <w:t>532</w:t>
            </w:r>
            <w:r>
              <w:rPr>
                <w:noProof/>
              </w:rPr>
              <w:fldChar w:fldCharType="end"/>
            </w:r>
          </w:p>
          <w:p w:rsidR="00BD6E0D">
            <w:pPr>
              <w:pStyle w:val="TOC1"/>
              <w:rPr>
                <w:rFonts w:asciiTheme="minorHAnsi" w:eastAsiaTheme="minorEastAsia" w:hAnsiTheme="minorHAnsi" w:cstheme="minorBidi"/>
                <w:noProof/>
                <w:sz w:val="22"/>
                <w:lang w:eastAsia="en-GB"/>
              </w:rPr>
            </w:pPr>
            <w:r>
              <w:rPr>
                <w:noProof/>
              </w:rPr>
              <w:t>VERANTWORTLICHKEITSERKLÄRUNG</w:t>
            </w:r>
            <w:r>
              <w:rPr>
                <w:noProof/>
              </w:rPr>
              <w:tab/>
            </w:r>
            <w:r>
              <w:rPr>
                <w:noProof/>
              </w:rPr>
              <w:fldChar w:fldCharType="begin"/>
            </w:r>
            <w:r>
              <w:rPr>
                <w:noProof/>
              </w:rPr>
              <w:instrText xml:space="preserve"> PAGEREF _Toc438160296 \h </w:instrText>
            </w:r>
            <w:r>
              <w:rPr>
                <w:noProof/>
              </w:rPr>
              <w:fldChar w:fldCharType="separate"/>
            </w:r>
            <w:r w:rsidR="0093513E">
              <w:rPr>
                <w:noProof/>
              </w:rPr>
              <w:t>535</w:t>
            </w:r>
            <w:r>
              <w:rPr>
                <w:noProof/>
              </w:rPr>
              <w:fldChar w:fldCharType="end"/>
            </w:r>
          </w:p>
          <w:p w:rsidR="009C6D81" w:rsidP="009C6D81">
            <w:r>
              <w:fldChar w:fldCharType="end"/>
            </w:r>
          </w:p>
        </w:tc>
      </w:tr>
    </w:tbl>
    <w:p w:rsidR="009C6D81" w:rsidP="009C6D81">
      <w:pPr>
        <w:pStyle w:val="CSBody0"/>
      </w:pPr>
    </w:p>
    <w:p w:rsidR="009C6D81" w:rsidP="009C6D81">
      <w:pPr>
        <w:pStyle w:val="CSBody0"/>
      </w:pPr>
    </w:p>
    <w:p w:rsidR="00BB069B" w:rsidP="00BB069B">
      <w:pPr>
        <w:pStyle w:val="CSBody0"/>
        <w:sectPr w:rsidSect="00E22A75">
          <w:headerReference w:type="even" r:id="rId9"/>
          <w:headerReference w:type="default" r:id="rId10"/>
          <w:footerReference w:type="even" r:id="rId11"/>
          <w:footerReference w:type="default" r:id="rId12"/>
          <w:headerReference w:type="first" r:id="rId13"/>
          <w:footerReference w:type="first" r:id="rId14"/>
          <w:pgSz w:w="11907" w:h="16839"/>
          <w:pgMar w:top="1440" w:right="1134" w:bottom="1440" w:left="1134" w:header="720" w:footer="720" w:gutter="0"/>
          <w:cols w:space="708"/>
          <w:titlePg/>
          <w:docGrid w:linePitch="360"/>
        </w:sectPr>
      </w:pPr>
    </w:p>
    <w:tbl>
      <w:tblPr>
        <w:tblStyle w:val="TableGrid"/>
        <w:tblW w:w="5000" w:type="pct"/>
        <w:tblBorders>
          <w:top w:val="nil"/>
          <w:left w:val="nil"/>
          <w:bottom w:val="nil"/>
          <w:right w:val="nil"/>
          <w:insideH w:val="nil"/>
          <w:insideV w:val="nil"/>
        </w:tblBorders>
        <w:tblLayout w:type="fixed"/>
        <w:tblLook w:val="04A0"/>
      </w:tblPr>
      <w:tblGrid>
        <w:gridCol w:w="4995"/>
        <w:gridCol w:w="4860"/>
      </w:tblGrid>
      <w:tr w:rsidTr="001527CB">
        <w:tblPrEx>
          <w:tblW w:w="5000" w:type="pct"/>
          <w:tblBorders>
            <w:top w:val="nil"/>
            <w:left w:val="nil"/>
            <w:bottom w:val="nil"/>
            <w:right w:val="nil"/>
            <w:insideH w:val="nil"/>
            <w:insideV w:val="nil"/>
          </w:tblBorders>
          <w:tblLayout w:type="fixed"/>
          <w:tblLook w:val="04A0"/>
        </w:tblPrEx>
        <w:tc>
          <w:tcPr>
            <w:tcW w:w="2534" w:type="pct"/>
          </w:tcPr>
          <w:p w:rsidR="00BB069B" w:rsidP="003975B3">
            <w:pPr>
              <w:pStyle w:val="CSHeading1EN"/>
            </w:pPr>
            <w:bookmarkStart w:id="1" w:name="_Toc432033293"/>
            <w:bookmarkStart w:id="2" w:name="_Toc438227509"/>
            <w:r>
              <w:t>SUMMARY</w:t>
            </w:r>
            <w:bookmarkEnd w:id="1"/>
            <w:bookmarkEnd w:id="2"/>
          </w:p>
        </w:tc>
        <w:tc>
          <w:tcPr>
            <w:tcW w:w="2466" w:type="pct"/>
          </w:tcPr>
          <w:p w:rsidR="00BB069B" w:rsidP="003975B3">
            <w:pPr>
              <w:pStyle w:val="CSHeading1DE"/>
            </w:pPr>
            <w:bookmarkStart w:id="3" w:name="_Toc438160257"/>
            <w:r w:rsidRPr="000A52F5">
              <w:t>ZUSAMMENFASSUNG</w:t>
            </w:r>
            <w:bookmarkEnd w:id="3"/>
          </w:p>
        </w:tc>
      </w:tr>
      <w:tr w:rsidTr="001527CB">
        <w:tblPrEx>
          <w:tblW w:w="5000" w:type="pct"/>
          <w:tblLayout w:type="fixed"/>
          <w:tblLook w:val="04A0"/>
        </w:tblPrEx>
        <w:tc>
          <w:tcPr>
            <w:tcW w:w="2534" w:type="pct"/>
            <w:tcBorders>
              <w:right w:val="single" w:sz="4" w:space="0" w:color="auto"/>
            </w:tcBorders>
          </w:tcPr>
          <w:p w:rsidR="00646683" w:rsidRPr="009245D1" w:rsidP="00E22A75">
            <w:pPr>
              <w:pStyle w:val="CSbody0bold"/>
              <w:rPr>
                <w:lang w:val="en-GB"/>
              </w:rPr>
            </w:pPr>
            <w:r w:rsidRPr="009245D1">
              <w:rPr>
                <w:lang w:val="en-GB"/>
              </w:rPr>
              <w:t xml:space="preserve">Summaries are made up of disclosure requirements known as </w:t>
            </w:r>
            <w:r>
              <w:rPr>
                <w:lang w:val="en-GB"/>
              </w:rPr>
              <w:t>"</w:t>
            </w:r>
            <w:r w:rsidRPr="009245D1">
              <w:rPr>
                <w:lang w:val="en-GB"/>
              </w:rPr>
              <w:t>Elements</w:t>
            </w:r>
            <w:r>
              <w:rPr>
                <w:lang w:val="en-GB"/>
              </w:rPr>
              <w:t>"</w:t>
            </w:r>
            <w:r w:rsidRPr="009245D1">
              <w:rPr>
                <w:lang w:val="en-GB"/>
              </w:rPr>
              <w:t>. These Elements are numbered in Sections A – E (A.1 – E.7).</w:t>
            </w:r>
          </w:p>
        </w:tc>
        <w:tc>
          <w:tcPr>
            <w:tcW w:w="2466" w:type="pct"/>
            <w:tcBorders>
              <w:left w:val="single" w:sz="4" w:space="0" w:color="auto"/>
            </w:tcBorders>
          </w:tcPr>
          <w:p w:rsidR="00646683" w:rsidRPr="004451D7" w:rsidP="00E22A75">
            <w:pPr>
              <w:pStyle w:val="CSbody0bold"/>
            </w:pPr>
            <w:r w:rsidRPr="004451D7">
              <w:t xml:space="preserve">Zusammenfassungen bestehen aus den geforderten Angaben, den sogenannten </w:t>
            </w:r>
            <w:r>
              <w:t>"</w:t>
            </w:r>
            <w:r w:rsidRPr="004451D7">
              <w:t>Punkten</w:t>
            </w:r>
            <w:r>
              <w:t>"</w:t>
            </w:r>
            <w:r w:rsidRPr="004451D7">
              <w:t>. Diese Punkte werden in den Abschnitten A – E (A.1 – E.7) nummeriert aufgeführt.</w:t>
            </w:r>
          </w:p>
        </w:tc>
      </w:tr>
      <w:tr w:rsidTr="001527CB">
        <w:tblPrEx>
          <w:tblW w:w="5000" w:type="pct"/>
          <w:tblLayout w:type="fixed"/>
          <w:tblLook w:val="04A0"/>
        </w:tblPrEx>
        <w:tc>
          <w:tcPr>
            <w:tcW w:w="2534" w:type="pct"/>
            <w:tcBorders>
              <w:right w:val="single" w:sz="4" w:space="0" w:color="auto"/>
            </w:tcBorders>
          </w:tcPr>
          <w:p w:rsidR="00646683" w:rsidRPr="009245D1" w:rsidP="00E22A75">
            <w:pPr>
              <w:pStyle w:val="CSbody0bold"/>
              <w:rPr>
                <w:lang w:val="en-GB"/>
              </w:rPr>
            </w:pPr>
            <w:r w:rsidRPr="009245D1">
              <w:rPr>
                <w:lang w:val="en-GB"/>
              </w:rPr>
              <w:t>This summary contains all the Elements required to be included in a summary for securities of the type of the Complex Products and an issuer of the type of the Issuer. Because some Elements are not required to be addressed, there may be gaps in the numbering sequence of Elements.</w:t>
            </w:r>
          </w:p>
        </w:tc>
        <w:tc>
          <w:tcPr>
            <w:tcW w:w="2466" w:type="pct"/>
            <w:tcBorders>
              <w:left w:val="single" w:sz="4" w:space="0" w:color="auto"/>
            </w:tcBorders>
          </w:tcPr>
          <w:p w:rsidR="00646683" w:rsidRPr="004451D7" w:rsidP="00E22A75">
            <w:pPr>
              <w:pStyle w:val="CSbody0bold"/>
            </w:pPr>
            <w:r w:rsidRPr="004451D7">
              <w:t>Diese Zusammenfassung enthält alle Punkte, die in eine Zusammenfassung für Wertpapiere derselben Art wie die Komplexen Produkte und Emittenten derselben Art wie die Emittentin aufzunehmen sind. Da einige Punkte nicht aufgenommen werden müssen, kann es Lücken in der Reihenfolge der Nummerierung der Punkte geben.</w:t>
            </w:r>
          </w:p>
        </w:tc>
      </w:tr>
      <w:tr w:rsidTr="001527CB">
        <w:tblPrEx>
          <w:tblW w:w="5000" w:type="pct"/>
          <w:tblLayout w:type="fixed"/>
          <w:tblLook w:val="04A0"/>
        </w:tblPrEx>
        <w:tc>
          <w:tcPr>
            <w:tcW w:w="2534" w:type="pct"/>
            <w:tcBorders>
              <w:right w:val="single" w:sz="4" w:space="0" w:color="auto"/>
            </w:tcBorders>
          </w:tcPr>
          <w:p w:rsidR="00646683" w:rsidRPr="009245D1" w:rsidP="00E22A75">
            <w:pPr>
              <w:pStyle w:val="CSbody0bold"/>
              <w:rPr>
                <w:lang w:val="en-GB"/>
              </w:rPr>
            </w:pPr>
            <w:r w:rsidRPr="009245D1">
              <w:rPr>
                <w:lang w:val="en-GB"/>
              </w:rPr>
              <w:t xml:space="preserve">Even though an Element may be required to be inserted in the summary because of the type of Complex Products and Issuer, it is possible that no relevant information can be given regarding the Element. In this case a short description of the Element is included in the summary with the mention of </w:t>
            </w:r>
            <w:r>
              <w:rPr>
                <w:lang w:val="en-GB"/>
              </w:rPr>
              <w:t>"</w:t>
            </w:r>
            <w:r w:rsidRPr="009245D1">
              <w:rPr>
                <w:lang w:val="en-GB"/>
              </w:rPr>
              <w:t>not applicable</w:t>
            </w:r>
            <w:r>
              <w:rPr>
                <w:lang w:val="en-GB"/>
              </w:rPr>
              <w:t>"</w:t>
            </w:r>
            <w:r w:rsidRPr="009245D1">
              <w:rPr>
                <w:lang w:val="en-GB"/>
              </w:rPr>
              <w:t>.</w:t>
            </w:r>
          </w:p>
        </w:tc>
        <w:tc>
          <w:tcPr>
            <w:tcW w:w="2466" w:type="pct"/>
            <w:tcBorders>
              <w:left w:val="single" w:sz="4" w:space="0" w:color="auto"/>
            </w:tcBorders>
          </w:tcPr>
          <w:p w:rsidR="00646683" w:rsidRPr="004451D7" w:rsidP="00E22A75">
            <w:pPr>
              <w:pStyle w:val="CSbody0bold"/>
            </w:pPr>
            <w:r w:rsidRPr="004451D7">
              <w:t xml:space="preserve">Auch wenn ein Punkt aufgrund der Art der Komplexen Produkte und der Emittentin in die Zusammenfassung aufzunehmen ist, besteht die Möglichkeit, dass zu diesem Punkt keine relevanten Angaben gemacht werden können. In diesem Fall wird eine kurze Beschreibung des Punktes mit dem Hinweis </w:t>
            </w:r>
            <w:r>
              <w:t>"</w:t>
            </w:r>
            <w:r w:rsidRPr="004451D7">
              <w:t>entfällt</w:t>
            </w:r>
            <w:r>
              <w:t>"</w:t>
            </w:r>
            <w:r w:rsidRPr="004451D7">
              <w:t xml:space="preserve"> aufgenommen.</w:t>
            </w:r>
          </w:p>
        </w:tc>
      </w:tr>
      <w:tr w:rsidTr="001527CB">
        <w:tblPrEx>
          <w:tblW w:w="5000" w:type="pct"/>
          <w:tblLayout w:type="fixed"/>
          <w:tblLook w:val="04A0"/>
        </w:tblPrEx>
        <w:tc>
          <w:tcPr>
            <w:tcW w:w="2534" w:type="pct"/>
            <w:tcBorders>
              <w:right w:val="single" w:sz="4" w:space="0" w:color="auto"/>
            </w:tcBorders>
          </w:tcPr>
          <w:p w:rsidR="00646683" w:rsidRPr="009245D1" w:rsidP="00E22A75">
            <w:pPr>
              <w:pStyle w:val="CSbody0bold"/>
              <w:rPr>
                <w:lang w:val="en-GB"/>
              </w:rPr>
            </w:pPr>
            <w:r w:rsidRPr="009245D1">
              <w:rPr>
                <w:lang w:val="en-GB"/>
              </w:rPr>
              <w:t>Section A — Introduction and warnings</w:t>
            </w:r>
          </w:p>
        </w:tc>
        <w:tc>
          <w:tcPr>
            <w:tcW w:w="2466" w:type="pct"/>
            <w:tcBorders>
              <w:left w:val="single" w:sz="4" w:space="0" w:color="auto"/>
            </w:tcBorders>
          </w:tcPr>
          <w:p w:rsidR="00646683" w:rsidRPr="004451D7" w:rsidP="00E22A75">
            <w:pPr>
              <w:pStyle w:val="CSbody0bold"/>
            </w:pPr>
            <w:r w:rsidRPr="004451D7">
              <w:t>Abschnitt A — Einleitung und Warnhinweise</w:t>
            </w:r>
          </w:p>
        </w:tc>
      </w:tr>
      <w:tr w:rsidTr="001527CB">
        <w:tblPrEx>
          <w:tblW w:w="5000" w:type="pct"/>
          <w:tblLayout w:type="fixed"/>
          <w:tblLook w:val="04A0"/>
        </w:tblPrEx>
        <w:tc>
          <w:tcPr>
            <w:tcW w:w="2534" w:type="pct"/>
            <w:tcBorders>
              <w:right w:val="single" w:sz="4" w:space="0" w:color="auto"/>
            </w:tcBorders>
          </w:tcPr>
          <w:p w:rsidR="00646683" w:rsidRPr="004451D7" w:rsidP="00E22A75">
            <w:pPr>
              <w:pStyle w:val="CSbody0bold"/>
            </w:pPr>
            <w:r w:rsidRPr="004451D7">
              <w:t>A.1: Introduction and warnings</w:t>
            </w:r>
          </w:p>
        </w:tc>
        <w:tc>
          <w:tcPr>
            <w:tcW w:w="2466" w:type="pct"/>
            <w:tcBorders>
              <w:left w:val="single" w:sz="4" w:space="0" w:color="auto"/>
            </w:tcBorders>
          </w:tcPr>
          <w:p w:rsidR="00646683" w:rsidRPr="004451D7" w:rsidP="00E22A75">
            <w:pPr>
              <w:pStyle w:val="CSbody0bold"/>
            </w:pPr>
            <w:r w:rsidRPr="004451D7">
              <w:t>A.1: Einleitung und Warnhinweise</w:t>
            </w:r>
          </w:p>
        </w:tc>
      </w:tr>
      <w:tr w:rsidTr="001527CB">
        <w:tblPrEx>
          <w:tblW w:w="5000" w:type="pct"/>
          <w:tblLayout w:type="fixed"/>
          <w:tblLook w:val="04A0"/>
        </w:tblPrEx>
        <w:tc>
          <w:tcPr>
            <w:tcW w:w="2534" w:type="pct"/>
            <w:tcBorders>
              <w:right w:val="single" w:sz="4" w:space="0" w:color="auto"/>
            </w:tcBorders>
          </w:tcPr>
          <w:p w:rsidR="00646683" w:rsidRPr="009245D1" w:rsidP="00DA17D4">
            <w:pPr>
              <w:pStyle w:val="CSbody0bold"/>
              <w:rPr>
                <w:lang w:val="en-GB"/>
              </w:rPr>
            </w:pPr>
            <w:r w:rsidRPr="009245D1">
              <w:rPr>
                <w:lang w:val="en-GB"/>
              </w:rPr>
              <w:t>This summary should be read as an introduction to this prospectus. Any decision to invest in any Complex Products should be based on a consideration of this prospectus as a whole, including any documents incorporated by reference. Where a claim relating to information contained in this prospectus is brought before a court in a Member State of the European Economic Area, the plaintiff may, under the national legislation of the Member State where the claim is brought, be required to bear the costs of translating the prospectus before the legal proceedings are initiated. Civil liability attaches only to the Issuer who has assumed responsibil</w:t>
            </w:r>
            <w:r>
              <w:rPr>
                <w:lang w:val="en-GB"/>
              </w:rPr>
              <w:t>ity for this summary, including</w:t>
            </w:r>
            <w:r w:rsidRPr="009245D1">
              <w:rPr>
                <w:lang w:val="en-GB"/>
              </w:rPr>
              <w:t xml:space="preserve"> </w:t>
            </w:r>
            <w:r w:rsidR="00DA17D4">
              <w:rPr>
                <w:lang w:val="en-GB"/>
              </w:rPr>
              <w:t>any</w:t>
            </w:r>
            <w:r w:rsidRPr="009245D1" w:rsidR="00DA17D4">
              <w:rPr>
                <w:lang w:val="en-GB"/>
              </w:rPr>
              <w:t xml:space="preserve"> </w:t>
            </w:r>
            <w:r w:rsidRPr="009245D1">
              <w:rPr>
                <w:lang w:val="en-GB"/>
              </w:rPr>
              <w:t xml:space="preserve">translation hereof, </w:t>
            </w:r>
            <w:r>
              <w:rPr>
                <w:lang w:val="en-GB"/>
              </w:rPr>
              <w:t xml:space="preserve">and who is the initiator of this prospectus, </w:t>
            </w:r>
            <w:r w:rsidRPr="009245D1">
              <w:rPr>
                <w:lang w:val="en-GB"/>
              </w:rPr>
              <w:t>but only if it is misleading, inaccurate or inconsistent when read together with the other parts of this prospectus or it does not provide, when read together with the other parts of this prospectus, the required key information.</w:t>
            </w:r>
          </w:p>
        </w:tc>
        <w:tc>
          <w:tcPr>
            <w:tcW w:w="2466" w:type="pct"/>
            <w:tcBorders>
              <w:left w:val="single" w:sz="4" w:space="0" w:color="auto"/>
            </w:tcBorders>
          </w:tcPr>
          <w:p w:rsidR="00646683" w:rsidRPr="006260E7" w:rsidP="00DA17D4">
            <w:pPr>
              <w:pStyle w:val="CSbody0bold"/>
            </w:pPr>
            <w:r w:rsidRPr="006260E7">
              <w:t xml:space="preserve">Diese Zusammenfassung ist als Einführung zu diesem Prospekt zu verstehen. Jede Entscheidung zur Anlage in die Komplexen Produkte sollte auf die Prüfung des gesamten Prospekts, einschliesslich der durch Verweis einbezogenen Dokumente, gestützt werden. Für den Fall, dass vor einem Gericht in einem Mitgliedsstaat des Europäischen Wirtschaftsraums Ansprüche aufgrund der in diesem Prospekt enthaltenen Informationen geltend gemacht werden, könnte der Kläger in Anwendung der einzelstaatlichen Rechtsvorschriften des Mitgliedstaates die Kosten für die Übersetzung des Prospekts vor Prozessbeginn zu tragen haben. Die Emittentin, die die Verantwortung für diese Zusammenfassung einschliesslich </w:t>
            </w:r>
            <w:r w:rsidR="00DA17D4">
              <w:t>etwaiger</w:t>
            </w:r>
            <w:r w:rsidRPr="006260E7" w:rsidR="00DA17D4">
              <w:t xml:space="preserve"> </w:t>
            </w:r>
            <w:r w:rsidRPr="006260E7">
              <w:t>Übersetzung</w:t>
            </w:r>
            <w:r w:rsidR="00DA17D4">
              <w:t>en hiervon</w:t>
            </w:r>
            <w:r w:rsidRPr="006260E7">
              <w:t xml:space="preserve"> übernommen hat</w:t>
            </w:r>
            <w:r w:rsidRPr="006260E7">
              <w:rPr>
                <w:szCs w:val="22"/>
              </w:rPr>
              <w:t xml:space="preserve"> </w:t>
            </w:r>
            <w:r w:rsidRPr="006260E7">
              <w:t>und von der der Erlass des Prospekts ausgeht, kann haftbar gemacht werden, jedoch nur für den Fall, dass die Zusammenfassung irreführend, unrichtig oder widersprüchlich ist, wenn sie zusammen mit anderen Teilen dieses Prospekts gelesen wird, oder sie, wenn sie zusammen mit den anderen Teilen des Prospekts gelesen wird,</w:t>
            </w:r>
            <w:r w:rsidRPr="006260E7">
              <w:t xml:space="preserve"> </w:t>
            </w:r>
            <w:r w:rsidRPr="006260E7">
              <w:t>nicht alle erforderlichen Schlüsselinformationen vermittelt.</w:t>
            </w:r>
          </w:p>
        </w:tc>
      </w:tr>
      <w:tr w:rsidTr="001527CB">
        <w:tblPrEx>
          <w:tblW w:w="5000" w:type="pct"/>
          <w:tblLayout w:type="fixed"/>
          <w:tblLook w:val="04A0"/>
        </w:tblPrEx>
        <w:tc>
          <w:tcPr>
            <w:tcW w:w="2534" w:type="pct"/>
            <w:tcBorders>
              <w:right w:val="single" w:sz="4" w:space="0" w:color="auto"/>
            </w:tcBorders>
          </w:tcPr>
          <w:p w:rsidR="00646683" w:rsidRPr="00F16DEC" w:rsidP="00E22A75">
            <w:pPr>
              <w:pStyle w:val="CSBody0"/>
              <w:ind w:right="173"/>
              <w:rPr>
                <w:b/>
              </w:rPr>
            </w:pPr>
            <w:r w:rsidRPr="00043BA7">
              <w:rPr>
                <w:b/>
              </w:rPr>
              <w:t>A.2: Consent to the use of the prospectus</w:t>
            </w:r>
          </w:p>
        </w:tc>
        <w:tc>
          <w:tcPr>
            <w:tcW w:w="2466" w:type="pct"/>
            <w:tcBorders>
              <w:left w:val="single" w:sz="4" w:space="0" w:color="auto"/>
            </w:tcBorders>
          </w:tcPr>
          <w:p w:rsidR="00646683" w:rsidRPr="00F16DEC" w:rsidP="00E22A75">
            <w:pPr>
              <w:pStyle w:val="CSBody0"/>
              <w:ind w:right="173"/>
              <w:rPr>
                <w:b/>
                <w:lang w:val="de-DE"/>
              </w:rPr>
            </w:pPr>
            <w:r w:rsidRPr="00043BA7">
              <w:rPr>
                <w:b/>
                <w:lang w:val="de-DE"/>
              </w:rPr>
              <w:t>A.2: Zustimmung zur Nutzung des Prospekts</w:t>
            </w:r>
          </w:p>
        </w:tc>
      </w:tr>
      <w:tr w:rsidTr="001527CB">
        <w:tblPrEx>
          <w:tblW w:w="5000" w:type="pct"/>
          <w:tblLayout w:type="fixed"/>
          <w:tblLook w:val="04A0"/>
        </w:tblPrEx>
        <w:tc>
          <w:tcPr>
            <w:tcW w:w="2534" w:type="pct"/>
            <w:tcBorders>
              <w:right w:val="single" w:sz="4" w:space="0" w:color="auto"/>
            </w:tcBorders>
          </w:tcPr>
          <w:p w:rsidR="00646683" w:rsidRPr="00DE10D4" w:rsidP="00646683">
            <w:pPr>
              <w:pStyle w:val="CSbody0bolditalic"/>
              <w:rPr>
                <w:lang w:val="en-GB"/>
              </w:rPr>
            </w:pPr>
            <w:r w:rsidRPr="00F94B27">
              <w:rPr>
                <w:lang w:val="en-GB"/>
              </w:rPr>
              <w:t>[</w:t>
            </w:r>
            <w:r w:rsidRPr="00DE10D4">
              <w:rPr>
                <w:lang w:val="en-GB"/>
              </w:rPr>
              <w:t>where consent to use the Base Prospectus for public offers is given to financial intermediaries in general, insert:</w:t>
            </w:r>
          </w:p>
        </w:tc>
        <w:tc>
          <w:tcPr>
            <w:tcW w:w="2466" w:type="pct"/>
            <w:tcBorders>
              <w:left w:val="single" w:sz="4" w:space="0" w:color="auto"/>
            </w:tcBorders>
          </w:tcPr>
          <w:p w:rsidR="00646683" w:rsidRPr="00646683" w:rsidP="00646683">
            <w:pPr>
              <w:pStyle w:val="CSbody0bolditalic"/>
            </w:pPr>
            <w:r w:rsidRPr="00F94B27">
              <w:t>[</w:t>
            </w:r>
            <w:r w:rsidRPr="00646683">
              <w:t>Einfügen, wenn die Zustimmung zur Verwendung des Basisprospekts für öffentliche Angebote an Finanzintermediäre im Allgemeinen erteilt wird:</w:t>
            </w:r>
          </w:p>
        </w:tc>
      </w:tr>
      <w:tr w:rsidTr="001527CB">
        <w:tblPrEx>
          <w:tblW w:w="5000" w:type="pct"/>
          <w:tblLayout w:type="fixed"/>
          <w:tblLook w:val="04A0"/>
        </w:tblPrEx>
        <w:tc>
          <w:tcPr>
            <w:tcW w:w="2534" w:type="pct"/>
            <w:tcBorders>
              <w:right w:val="single" w:sz="4" w:space="0" w:color="auto"/>
            </w:tcBorders>
          </w:tcPr>
          <w:p w:rsidR="00646683" w:rsidRPr="00E747F6" w:rsidP="00646683">
            <w:pPr>
              <w:pStyle w:val="CSBody0"/>
            </w:pPr>
            <w:r w:rsidRPr="00E747F6">
              <w:t>Subject to the following conditions, the Issuer consents to the use of the Base Prospectus and the applicable Final Terms in connection with a subsequent resale or final placement of the Complex Products by all financial intermediaries (general consent) during the time of the validity of the Base Prospectus.</w:t>
            </w:r>
            <w:r w:rsidRPr="00F94B27" w:rsidR="00F94B27">
              <w:rPr>
                <w:b/>
              </w:rPr>
              <w:t>]</w:t>
            </w:r>
          </w:p>
        </w:tc>
        <w:tc>
          <w:tcPr>
            <w:tcW w:w="2466" w:type="pct"/>
            <w:tcBorders>
              <w:left w:val="single" w:sz="4" w:space="0" w:color="auto"/>
            </w:tcBorders>
          </w:tcPr>
          <w:p w:rsidR="00646683" w:rsidRPr="00646683" w:rsidP="00646683">
            <w:pPr>
              <w:pStyle w:val="CSBody0"/>
              <w:rPr>
                <w:lang w:val="de-DE"/>
              </w:rPr>
            </w:pPr>
            <w:r w:rsidRPr="00646683">
              <w:rPr>
                <w:lang w:val="de-DE"/>
              </w:rPr>
              <w:t>Vorbehaltlich der nachfolgenden Bedingungen stimmt die Emittentin der Verwendung des Basisprospekts und der anwendbaren Endgültigen Bedingungen während der Gültigkeitsdauer des Basisprospekts durch sämtliche Finanzintermediäre im Zusammenhang mit einer späteren Weiterveräusserung oder endgültigen Platzierung der Komplexen Produkte zu (generelle Zustimmung).</w:t>
            </w:r>
            <w:r w:rsidRPr="00F94B27" w:rsidR="00F94B27">
              <w:rPr>
                <w:b/>
                <w:lang w:val="de-DE"/>
              </w:rPr>
              <w:t>]</w:t>
            </w:r>
          </w:p>
        </w:tc>
      </w:tr>
      <w:tr w:rsidTr="001527CB">
        <w:tblPrEx>
          <w:tblW w:w="5000" w:type="pct"/>
          <w:tblLayout w:type="fixed"/>
          <w:tblLook w:val="04A0"/>
        </w:tblPrEx>
        <w:tc>
          <w:tcPr>
            <w:tcW w:w="2534" w:type="pct"/>
            <w:tcBorders>
              <w:right w:val="single" w:sz="4" w:space="0" w:color="auto"/>
            </w:tcBorders>
          </w:tcPr>
          <w:p w:rsidR="00646683" w:rsidRPr="00DE10D4" w:rsidP="002A02E2">
            <w:pPr>
              <w:pStyle w:val="CSbody0bolditalic"/>
              <w:rPr>
                <w:lang w:val="en-GB"/>
              </w:rPr>
            </w:pPr>
            <w:r w:rsidRPr="00F94B27">
              <w:rPr>
                <w:lang w:val="en-GB"/>
              </w:rPr>
              <w:t>[</w:t>
            </w:r>
            <w:r w:rsidRPr="00DE10D4">
              <w:rPr>
                <w:lang w:val="en-GB"/>
              </w:rPr>
              <w:t>where consent to use the Base Prospectus for public offers is given to certain individual financial intermediaries only, insert:</w:t>
            </w:r>
          </w:p>
        </w:tc>
        <w:tc>
          <w:tcPr>
            <w:tcW w:w="2466" w:type="pct"/>
            <w:tcBorders>
              <w:left w:val="single" w:sz="4" w:space="0" w:color="auto"/>
            </w:tcBorders>
          </w:tcPr>
          <w:p w:rsidR="00646683" w:rsidRPr="00646683" w:rsidP="002A02E2">
            <w:pPr>
              <w:pStyle w:val="CSbody0bolditalic"/>
            </w:pPr>
            <w:r w:rsidRPr="00F94B27">
              <w:t>[</w:t>
            </w:r>
            <w:r w:rsidRPr="00646683">
              <w:t>Einfügen, wenn die Zustimmung zur Verwendung des Basisprospekts für öffentliche Angebote nur an bestimmte einzelne Finanzintermediäre erteilt wird:</w:t>
            </w:r>
          </w:p>
        </w:tc>
      </w:tr>
      <w:tr w:rsidTr="001527CB">
        <w:tblPrEx>
          <w:tblW w:w="5000" w:type="pct"/>
          <w:tblLayout w:type="fixed"/>
          <w:tblLook w:val="04A0"/>
        </w:tblPrEx>
        <w:tc>
          <w:tcPr>
            <w:tcW w:w="2534" w:type="pct"/>
            <w:tcBorders>
              <w:right w:val="single" w:sz="4" w:space="0" w:color="auto"/>
            </w:tcBorders>
          </w:tcPr>
          <w:p w:rsidR="00646683" w:rsidRPr="00BC5186" w:rsidP="00646683">
            <w:pPr>
              <w:pStyle w:val="CSBody0"/>
            </w:pPr>
            <w:r w:rsidRPr="00BC5186">
              <w:t xml:space="preserve">Subject to the following conditions, the Issuer consents to the use of the Base Prospectus and the applicable Final Terms in connection with a subsequent resale or final placement of the Complex Products by the following financial intermediaries (individual consent) during the time of the validity of the Base Prospectus: </w:t>
            </w:r>
            <w:r w:rsidRPr="00F94B27" w:rsidR="00F94B27">
              <w:rPr>
                <w:b/>
              </w:rPr>
              <w:t>[</w:t>
            </w:r>
            <w:r w:rsidRPr="00646683">
              <w:rPr>
                <w:b/>
                <w:i/>
              </w:rPr>
              <w:t>insert name and address of such intermediaries:</w:t>
            </w:r>
            <w:r w:rsidRPr="00BC5186">
              <w:t xml:space="preserve"> </w:t>
            </w:r>
            <w:r w:rsidRPr="00F94B27" w:rsidR="00F94B27">
              <w:rPr>
                <w:b/>
              </w:rPr>
              <w:t>[</w:t>
            </w:r>
            <w:r w:rsidRPr="00FB20F4" w:rsidR="00556991">
              <w:rPr>
                <w:rFonts w:ascii="Arial" w:hAnsi="Arial" w:cs="Arial"/>
              </w:rPr>
              <w:t>●</w:t>
            </w:r>
            <w:r w:rsidRPr="00F94B27" w:rsidR="00F94B27">
              <w:rPr>
                <w:b/>
              </w:rPr>
              <w:t>]]</w:t>
            </w:r>
            <w:r w:rsidRPr="00BC5186">
              <w:t>.</w:t>
            </w:r>
            <w:r w:rsidRPr="00F94B27" w:rsidR="00F94B27">
              <w:rPr>
                <w:b/>
              </w:rPr>
              <w:t>]</w:t>
            </w:r>
          </w:p>
        </w:tc>
        <w:tc>
          <w:tcPr>
            <w:tcW w:w="2466" w:type="pct"/>
            <w:tcBorders>
              <w:left w:val="single" w:sz="4" w:space="0" w:color="auto"/>
            </w:tcBorders>
          </w:tcPr>
          <w:p w:rsidR="00646683" w:rsidRPr="00646683" w:rsidP="00646683">
            <w:pPr>
              <w:pStyle w:val="CSBody0"/>
              <w:rPr>
                <w:lang w:val="de-DE"/>
              </w:rPr>
            </w:pPr>
            <w:r w:rsidRPr="00646683">
              <w:rPr>
                <w:lang w:val="de-DE"/>
              </w:rPr>
              <w:t xml:space="preserve">Vorbehaltlich der nachfolgenden Bedingungen stimmt die Emittentin der Verwendung des Basisprospekts und der anwendbaren Endgültigen Bedingungen während der Gültigkeitsdauer des Basisprospekts durch die folgenden Finanzintermediäre im Zusammenhang mit einer späteren Weiterveräusserung oder endgültigen Platzierung der Komplexen Produkte zu (individuelle Zustimmung): </w:t>
            </w:r>
            <w:r w:rsidRPr="00F94B27" w:rsidR="00F94B27">
              <w:rPr>
                <w:b/>
                <w:lang w:val="de-DE"/>
              </w:rPr>
              <w:t>[</w:t>
            </w:r>
            <w:r w:rsidRPr="00646683">
              <w:rPr>
                <w:b/>
                <w:i/>
                <w:lang w:val="de-DE"/>
              </w:rPr>
              <w:t>Name und Adresse der Finanzintermediäre einfügen:</w:t>
            </w:r>
            <w:r w:rsidRPr="00646683">
              <w:rPr>
                <w:lang w:val="de-DE"/>
              </w:rPr>
              <w:t xml:space="preserve"> </w:t>
            </w:r>
            <w:r w:rsidRPr="00F94B27" w:rsidR="00F94B27">
              <w:rPr>
                <w:b/>
                <w:lang w:val="de-DE"/>
              </w:rPr>
              <w:t>[</w:t>
            </w:r>
            <w:r w:rsidRPr="00556991" w:rsidR="00556991">
              <w:rPr>
                <w:rFonts w:ascii="Arial" w:hAnsi="Arial" w:cs="Arial"/>
                <w:lang w:val="de-DE"/>
              </w:rPr>
              <w:t>●</w:t>
            </w:r>
            <w:r w:rsidRPr="00F94B27" w:rsidR="00F94B27">
              <w:rPr>
                <w:b/>
                <w:lang w:val="de-DE"/>
              </w:rPr>
              <w:t>]]</w:t>
            </w:r>
            <w:r w:rsidRPr="00646683">
              <w:rPr>
                <w:lang w:val="de-DE"/>
              </w:rPr>
              <w:t>.</w:t>
            </w:r>
            <w:r w:rsidRPr="00F94B27" w:rsidR="00F94B27">
              <w:rPr>
                <w:b/>
                <w:lang w:val="de-DE"/>
              </w:rPr>
              <w:t>]</w:t>
            </w:r>
          </w:p>
        </w:tc>
      </w:tr>
      <w:tr w:rsidTr="001527CB">
        <w:tblPrEx>
          <w:tblW w:w="5000" w:type="pct"/>
          <w:tblLayout w:type="fixed"/>
          <w:tblLook w:val="04A0"/>
        </w:tblPrEx>
        <w:tc>
          <w:tcPr>
            <w:tcW w:w="2534" w:type="pct"/>
            <w:tcBorders>
              <w:right w:val="single" w:sz="4" w:space="0" w:color="auto"/>
            </w:tcBorders>
          </w:tcPr>
          <w:p w:rsidR="00646683" w:rsidRPr="00BC5186" w:rsidP="00646683">
            <w:pPr>
              <w:pStyle w:val="CSBody0"/>
            </w:pPr>
            <w:r w:rsidRPr="00BC5186">
              <w:t xml:space="preserve">The subsequent resale or final placement of the Complex Products is limited to the </w:t>
            </w:r>
            <w:r w:rsidRPr="00F94B27" w:rsidR="00F94B27">
              <w:rPr>
                <w:b/>
              </w:rPr>
              <w:t>[</w:t>
            </w:r>
            <w:r w:rsidRPr="00BC5186">
              <w:t>time of the validity of the Base Prospectus</w:t>
            </w:r>
            <w:r w:rsidRPr="00F94B27" w:rsidR="00F94B27">
              <w:rPr>
                <w:b/>
              </w:rPr>
              <w:t>]</w:t>
            </w:r>
            <w:r w:rsidRPr="00BC5186">
              <w:t xml:space="preserve"> </w:t>
            </w:r>
            <w:r w:rsidRPr="00F94B27" w:rsidR="00F94B27">
              <w:rPr>
                <w:b/>
              </w:rPr>
              <w:t>[</w:t>
            </w:r>
            <w:r w:rsidRPr="00646683">
              <w:rPr>
                <w:b/>
                <w:i/>
              </w:rPr>
              <w:t>insert time period:</w:t>
            </w:r>
            <w:r w:rsidRPr="00BC5186">
              <w:t xml:space="preserve"> </w:t>
            </w:r>
            <w:r w:rsidRPr="00F94B27" w:rsidR="00F94B27">
              <w:rPr>
                <w:b/>
              </w:rPr>
              <w:t>[</w:t>
            </w:r>
            <w:r w:rsidRPr="00FB20F4" w:rsidR="00556991">
              <w:rPr>
                <w:rFonts w:ascii="Arial" w:hAnsi="Arial" w:cs="Arial"/>
              </w:rPr>
              <w:t>●</w:t>
            </w:r>
            <w:r w:rsidRPr="00F94B27" w:rsidR="00F94B27">
              <w:rPr>
                <w:b/>
              </w:rPr>
              <w:t>]]</w:t>
            </w:r>
            <w:r w:rsidRPr="00BC5186">
              <w:t>.</w:t>
            </w:r>
          </w:p>
        </w:tc>
        <w:tc>
          <w:tcPr>
            <w:tcW w:w="2466" w:type="pct"/>
            <w:tcBorders>
              <w:left w:val="single" w:sz="4" w:space="0" w:color="auto"/>
            </w:tcBorders>
          </w:tcPr>
          <w:p w:rsidR="00646683" w:rsidRPr="00646683" w:rsidP="00646683">
            <w:pPr>
              <w:pStyle w:val="CSBody0"/>
              <w:rPr>
                <w:lang w:val="de-DE"/>
              </w:rPr>
            </w:pPr>
            <w:r w:rsidRPr="00646683">
              <w:rPr>
                <w:lang w:val="de-DE"/>
              </w:rPr>
              <w:t xml:space="preserve">Die spätere Weiterveräusserung oder endgültige Platzierung von Komplexen Produkten ist auf </w:t>
            </w:r>
            <w:r w:rsidRPr="00F94B27" w:rsidR="00F94B27">
              <w:rPr>
                <w:b/>
                <w:lang w:val="de-DE"/>
              </w:rPr>
              <w:t>[</w:t>
            </w:r>
            <w:r w:rsidRPr="00646683">
              <w:rPr>
                <w:lang w:val="de-DE"/>
              </w:rPr>
              <w:t>die Gültigkeitsdauer des Basisprospekts</w:t>
            </w:r>
            <w:r w:rsidRPr="00F94B27" w:rsidR="00F94B27">
              <w:rPr>
                <w:b/>
                <w:lang w:val="de-DE"/>
              </w:rPr>
              <w:t>]</w:t>
            </w:r>
            <w:r w:rsidRPr="00646683">
              <w:rPr>
                <w:lang w:val="de-DE"/>
              </w:rPr>
              <w:t xml:space="preserve"> </w:t>
            </w:r>
            <w:r w:rsidRPr="00F94B27" w:rsidR="00F94B27">
              <w:rPr>
                <w:b/>
                <w:lang w:val="de-DE"/>
              </w:rPr>
              <w:t>[</w:t>
            </w:r>
            <w:r w:rsidRPr="00646683">
              <w:rPr>
                <w:b/>
                <w:i/>
                <w:lang w:val="de-DE"/>
              </w:rPr>
              <w:t>Zeitraum einfügen:</w:t>
            </w:r>
            <w:r w:rsidRPr="00646683">
              <w:rPr>
                <w:lang w:val="de-DE"/>
              </w:rPr>
              <w:t xml:space="preserve"> </w:t>
            </w:r>
            <w:r w:rsidRPr="00F94B27" w:rsidR="00F94B27">
              <w:rPr>
                <w:b/>
                <w:lang w:val="de-DE"/>
              </w:rPr>
              <w:t>[</w:t>
            </w:r>
            <w:r w:rsidRPr="00556991" w:rsidR="00556991">
              <w:rPr>
                <w:rFonts w:ascii="Arial" w:hAnsi="Arial" w:cs="Arial"/>
                <w:lang w:val="de-DE"/>
              </w:rPr>
              <w:t>●</w:t>
            </w:r>
            <w:r w:rsidRPr="00F94B27" w:rsidR="00F94B27">
              <w:rPr>
                <w:b/>
                <w:lang w:val="de-DE"/>
              </w:rPr>
              <w:t>]]</w:t>
            </w:r>
            <w:r w:rsidRPr="00646683">
              <w:rPr>
                <w:lang w:val="de-DE"/>
              </w:rPr>
              <w:t xml:space="preserve"> begrenzt.</w:t>
            </w:r>
          </w:p>
        </w:tc>
      </w:tr>
      <w:tr w:rsidTr="001527CB">
        <w:tblPrEx>
          <w:tblW w:w="5000" w:type="pct"/>
          <w:tblLayout w:type="fixed"/>
          <w:tblLook w:val="04A0"/>
        </w:tblPrEx>
        <w:tc>
          <w:tcPr>
            <w:tcW w:w="2534" w:type="pct"/>
            <w:tcBorders>
              <w:right w:val="single" w:sz="4" w:space="0" w:color="auto"/>
            </w:tcBorders>
          </w:tcPr>
          <w:p w:rsidR="00646683" w:rsidRPr="00BC5186" w:rsidP="00646683">
            <w:pPr>
              <w:pStyle w:val="CSBody0"/>
            </w:pPr>
            <w:r w:rsidRPr="00F94B27">
              <w:rPr>
                <w:b/>
              </w:rPr>
              <w:t>[</w:t>
            </w:r>
            <w:r w:rsidRPr="00BC5186">
              <w:t xml:space="preserve">The following additional conditions apply to the Issuer's consent to the use of the Base Prospectus and the applicable Final Terms for the subsequent resale and final placement of the Complex Products: </w:t>
            </w:r>
            <w:r w:rsidRPr="00F94B27">
              <w:rPr>
                <w:b/>
              </w:rPr>
              <w:t>[</w:t>
            </w:r>
            <w:r w:rsidRPr="00646683">
              <w:rPr>
                <w:b/>
                <w:i/>
              </w:rPr>
              <w:t>insert additional conditions:</w:t>
            </w:r>
            <w:r w:rsidRPr="00BC5186">
              <w:t xml:space="preserve"> </w:t>
            </w:r>
            <w:r w:rsidRPr="00F94B27">
              <w:rPr>
                <w:b/>
              </w:rPr>
              <w:t>[</w:t>
            </w:r>
            <w:r w:rsidRPr="00FB20F4" w:rsidR="00556991">
              <w:rPr>
                <w:rFonts w:ascii="Arial" w:hAnsi="Arial" w:cs="Arial"/>
              </w:rPr>
              <w:t>●</w:t>
            </w:r>
            <w:r w:rsidRPr="00F94B27">
              <w:rPr>
                <w:b/>
              </w:rPr>
              <w:t>]]</w:t>
            </w:r>
            <w:r w:rsidRPr="00BC5186">
              <w:t>.</w:t>
            </w:r>
            <w:r w:rsidRPr="00F94B27">
              <w:rPr>
                <w:b/>
              </w:rPr>
              <w:t>]</w:t>
            </w:r>
          </w:p>
        </w:tc>
        <w:tc>
          <w:tcPr>
            <w:tcW w:w="2466" w:type="pct"/>
            <w:tcBorders>
              <w:left w:val="single" w:sz="4" w:space="0" w:color="auto"/>
            </w:tcBorders>
          </w:tcPr>
          <w:p w:rsidR="00646683" w:rsidRPr="00646683" w:rsidP="00646683">
            <w:pPr>
              <w:pStyle w:val="CSBody0"/>
              <w:rPr>
                <w:lang w:val="de-DE"/>
              </w:rPr>
            </w:pPr>
            <w:r w:rsidRPr="00F94B27">
              <w:rPr>
                <w:b/>
                <w:lang w:val="de-DE"/>
              </w:rPr>
              <w:t>[</w:t>
            </w:r>
            <w:r w:rsidRPr="00646683">
              <w:rPr>
                <w:lang w:val="de-DE"/>
              </w:rPr>
              <w:t xml:space="preserve">Die folgenden zusätzlichen Bedingungen sind für die Zustimmung der Emittentin zur Verwendung des Basisprospekts und der anwendbaren Endgültigen Bedingungen für eine spätere Weiterveräusserung oder endgültige Platzierung der Komplexen Produkte massgeblich: </w:t>
            </w:r>
            <w:r w:rsidRPr="00F94B27">
              <w:rPr>
                <w:b/>
                <w:lang w:val="de-DE"/>
              </w:rPr>
              <w:t>[</w:t>
            </w:r>
            <w:r w:rsidRPr="00646683">
              <w:rPr>
                <w:b/>
                <w:i/>
                <w:lang w:val="de-DE"/>
              </w:rPr>
              <w:t>zusätzliche Bedingungen einfügen:</w:t>
            </w:r>
            <w:r w:rsidRPr="00646683">
              <w:rPr>
                <w:lang w:val="de-DE"/>
              </w:rPr>
              <w:t xml:space="preserve"> </w:t>
            </w:r>
            <w:r w:rsidRPr="00F94B27">
              <w:rPr>
                <w:b/>
                <w:lang w:val="de-DE"/>
              </w:rPr>
              <w:t>[</w:t>
            </w:r>
            <w:r w:rsidRPr="00556991" w:rsidR="00556991">
              <w:rPr>
                <w:rFonts w:ascii="Arial" w:hAnsi="Arial" w:cs="Arial"/>
                <w:lang w:val="de-DE"/>
              </w:rPr>
              <w:t>●</w:t>
            </w:r>
            <w:r w:rsidRPr="00F94B27">
              <w:rPr>
                <w:b/>
                <w:lang w:val="de-DE"/>
              </w:rPr>
              <w:t>]]</w:t>
            </w:r>
            <w:r w:rsidRPr="00646683">
              <w:rPr>
                <w:lang w:val="de-DE"/>
              </w:rPr>
              <w:t>.</w:t>
            </w:r>
            <w:r w:rsidRPr="00F94B27">
              <w:rPr>
                <w:b/>
                <w:lang w:val="de-DE"/>
              </w:rPr>
              <w:t>]</w:t>
            </w:r>
          </w:p>
        </w:tc>
      </w:tr>
      <w:tr w:rsidTr="001527CB">
        <w:tblPrEx>
          <w:tblW w:w="5000" w:type="pct"/>
          <w:tblLayout w:type="fixed"/>
          <w:tblLook w:val="04A0"/>
        </w:tblPrEx>
        <w:tc>
          <w:tcPr>
            <w:tcW w:w="2534" w:type="pct"/>
            <w:tcBorders>
              <w:right w:val="single" w:sz="4" w:space="0" w:color="auto"/>
            </w:tcBorders>
          </w:tcPr>
          <w:p w:rsidR="00646683" w:rsidRPr="00DE10D4" w:rsidP="00A950C6">
            <w:pPr>
              <w:pStyle w:val="CSbody0bold"/>
              <w:rPr>
                <w:lang w:val="en-GB"/>
              </w:rPr>
            </w:pPr>
            <w:r w:rsidRPr="00DE10D4">
              <w:rPr>
                <w:lang w:val="en-GB"/>
              </w:rPr>
              <w:t>In the event that an offer of Complex Products is being made by a financial intermediary such financial intermediary shall provide information on the terms and conditions of the offer to potential investors at the time the offer is made.</w:t>
            </w:r>
          </w:p>
        </w:tc>
        <w:tc>
          <w:tcPr>
            <w:tcW w:w="2466" w:type="pct"/>
            <w:tcBorders>
              <w:left w:val="single" w:sz="4" w:space="0" w:color="auto"/>
            </w:tcBorders>
          </w:tcPr>
          <w:p w:rsidR="00646683" w:rsidRPr="00646683" w:rsidP="00A950C6">
            <w:pPr>
              <w:pStyle w:val="CSbody0bold"/>
            </w:pPr>
            <w:r w:rsidRPr="00646683">
              <w:t>Für den Fall, dass ein Finanzintermediär ein Angebot von Komplexen Produkten macht, hat dieser Finanzintermediär potenziellen Anlegern zum Zeitpunkt des Angebots Informationen über die Bedingungen des Angebots zur Verfügung zu stellen.</w:t>
            </w:r>
          </w:p>
        </w:tc>
      </w:tr>
    </w:tbl>
    <w:tbl>
      <w:tblPr>
        <w:tblW w:w="5019" w:type="pct"/>
        <w:tblInd w:w="-10" w:type="dxa"/>
        <w:tblLook w:val="00A0"/>
      </w:tblPr>
      <w:tblGrid>
        <w:gridCol w:w="10"/>
        <w:gridCol w:w="4924"/>
        <w:gridCol w:w="1646"/>
        <w:gridCol w:w="1646"/>
        <w:gridCol w:w="1648"/>
        <w:gridCol w:w="18"/>
      </w:tblGrid>
      <w:tr w:rsidTr="004C1EBA">
        <w:tblPrEx>
          <w:tblW w:w="5019" w:type="pct"/>
          <w:tblInd w:w="-10" w:type="dxa"/>
          <w:tblLook w:val="00A0"/>
        </w:tblPrEx>
        <w:trPr>
          <w:gridBefore w:val="1"/>
          <w:gridAfter w:val="1"/>
          <w:wBefore w:w="10" w:type="dxa"/>
          <w:wAfter w:w="9" w:type="dxa"/>
        </w:trPr>
        <w:tc>
          <w:tcPr>
            <w:tcW w:w="2489" w:type="pct"/>
            <w:tcBorders>
              <w:right w:val="single" w:sz="4" w:space="0" w:color="auto"/>
            </w:tcBorders>
          </w:tcPr>
          <w:p w:rsidR="00815842" w:rsidRPr="002B2A24" w:rsidP="004C1EBA">
            <w:pPr>
              <w:pStyle w:val="CSBody0"/>
              <w:rPr>
                <w:b/>
              </w:rPr>
            </w:pPr>
            <w:r w:rsidRPr="002B2A24">
              <w:rPr>
                <w:b/>
              </w:rPr>
              <w:t xml:space="preserve">Section B – Issuer </w:t>
            </w:r>
          </w:p>
        </w:tc>
        <w:tc>
          <w:tcPr>
            <w:tcW w:w="2497" w:type="pct"/>
            <w:gridSpan w:val="3"/>
            <w:tcBorders>
              <w:left w:val="single" w:sz="4" w:space="0" w:color="auto"/>
            </w:tcBorders>
          </w:tcPr>
          <w:p w:rsidR="00815842" w:rsidRPr="002B2A24" w:rsidP="004C1EBA">
            <w:pPr>
              <w:pStyle w:val="CSBody0"/>
              <w:rPr>
                <w:b/>
                <w:lang w:val="de-DE"/>
              </w:rPr>
            </w:pPr>
            <w:r w:rsidRPr="002B2A24">
              <w:rPr>
                <w:b/>
                <w:lang w:val="de-DE"/>
              </w:rPr>
              <w:t xml:space="preserve">Abschnitt B – Emittentin </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CA4F4B" w:rsidP="004C1EBA">
            <w:pPr>
              <w:pStyle w:val="CSBody0"/>
              <w:rPr>
                <w:b/>
              </w:rPr>
            </w:pPr>
            <w:r w:rsidRPr="00CA4F4B">
              <w:rPr>
                <w:b/>
              </w:rPr>
              <w:t>B.1: Legal and commercial name of the Issuer</w:t>
            </w:r>
          </w:p>
        </w:tc>
        <w:tc>
          <w:tcPr>
            <w:tcW w:w="2506" w:type="pct"/>
            <w:gridSpan w:val="4"/>
            <w:tcBorders>
              <w:left w:val="single" w:sz="4" w:space="0" w:color="auto"/>
            </w:tcBorders>
          </w:tcPr>
          <w:p w:rsidR="00815842" w:rsidRPr="00CA4F4B" w:rsidP="004C1EBA">
            <w:pPr>
              <w:pStyle w:val="CSBody0"/>
              <w:rPr>
                <w:b/>
                <w:lang w:val="de-DE"/>
              </w:rPr>
            </w:pPr>
            <w:r w:rsidRPr="00CA4F4B">
              <w:rPr>
                <w:b/>
                <w:lang w:val="de-DE"/>
              </w:rPr>
              <w:t>B.1: Juristischer und kommerzieller Name der Emittentin</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696CD5" w:rsidP="004C1EBA">
            <w:pPr>
              <w:pStyle w:val="CSBody0"/>
            </w:pPr>
            <w:r w:rsidRPr="00696CD5">
              <w:t>Credit Suisse AG (</w:t>
            </w:r>
            <w:r>
              <w:t>"</w:t>
            </w:r>
            <w:r w:rsidRPr="00696CD5">
              <w:rPr>
                <w:b/>
              </w:rPr>
              <w:t>Credit Suisse</w:t>
            </w:r>
            <w:r>
              <w:t>"</w:t>
            </w:r>
            <w:r w:rsidRPr="00696CD5">
              <w:t xml:space="preserve">), acting through its </w:t>
            </w:r>
            <w:r w:rsidRPr="00696CD5">
              <w:rPr>
                <w:b/>
              </w:rPr>
              <w:t>[</w:t>
            </w:r>
            <w:r w:rsidRPr="00696CD5">
              <w:t>Zurich head office</w:t>
            </w:r>
            <w:r w:rsidRPr="00696CD5">
              <w:rPr>
                <w:b/>
              </w:rPr>
              <w:t>]</w:t>
            </w:r>
            <w:r w:rsidRPr="00E74A24">
              <w:rPr>
                <w:b/>
              </w:rPr>
              <w:t>[</w:t>
            </w:r>
            <w:r w:rsidRPr="00E74A24">
              <w:rPr>
                <w:i/>
              </w:rPr>
              <w:t>specify designated branch</w:t>
            </w:r>
            <w:r w:rsidRPr="00E74A24">
              <w:rPr>
                <w:b/>
              </w:rPr>
              <w:t>]</w:t>
            </w:r>
            <w:r w:rsidRPr="00696CD5">
              <w:t>.</w:t>
            </w:r>
          </w:p>
        </w:tc>
        <w:tc>
          <w:tcPr>
            <w:tcW w:w="2506" w:type="pct"/>
            <w:gridSpan w:val="4"/>
            <w:tcBorders>
              <w:left w:val="single" w:sz="4" w:space="0" w:color="auto"/>
            </w:tcBorders>
          </w:tcPr>
          <w:p w:rsidR="00815842" w:rsidRPr="00C67CB4" w:rsidP="004C1EBA">
            <w:pPr>
              <w:pStyle w:val="CSBody0"/>
              <w:rPr>
                <w:lang w:val="de-DE"/>
              </w:rPr>
            </w:pPr>
            <w:r w:rsidRPr="00C67CB4">
              <w:rPr>
                <w:lang w:val="de-DE"/>
              </w:rPr>
              <w:t>Die Credit Suisse AG</w:t>
            </w:r>
            <w:r>
              <w:rPr>
                <w:lang w:val="de-DE"/>
              </w:rPr>
              <w:t xml:space="preserve"> ("</w:t>
            </w:r>
            <w:r w:rsidRPr="00B86E68">
              <w:rPr>
                <w:b/>
                <w:lang w:val="de-DE"/>
              </w:rPr>
              <w:t>Credit Suisse</w:t>
            </w:r>
            <w:r>
              <w:rPr>
                <w:lang w:val="de-DE"/>
              </w:rPr>
              <w:t>")</w:t>
            </w:r>
            <w:r w:rsidRPr="00C67CB4">
              <w:rPr>
                <w:lang w:val="de-DE"/>
              </w:rPr>
              <w:t xml:space="preserve">, handelnd über ihren </w:t>
            </w:r>
            <w:r w:rsidRPr="00C67CB4">
              <w:rPr>
                <w:b/>
                <w:lang w:val="de-DE"/>
              </w:rPr>
              <w:t>[</w:t>
            </w:r>
            <w:r w:rsidRPr="00C67CB4">
              <w:rPr>
                <w:lang w:val="de-DE"/>
              </w:rPr>
              <w:t>Hauptsitz</w:t>
            </w:r>
            <w:r>
              <w:rPr>
                <w:lang w:val="de-DE"/>
              </w:rPr>
              <w:t xml:space="preserve"> in Zürich</w:t>
            </w:r>
            <w:r w:rsidRPr="00C67CB4">
              <w:rPr>
                <w:b/>
                <w:lang w:val="de-DE"/>
              </w:rPr>
              <w:t>]</w:t>
            </w:r>
            <w:r w:rsidRPr="00C67CB4">
              <w:rPr>
                <w:lang w:val="de-DE"/>
              </w:rPr>
              <w:t xml:space="preserve"> </w:t>
            </w:r>
            <w:r w:rsidRPr="00C67CB4">
              <w:rPr>
                <w:b/>
                <w:lang w:val="de-DE"/>
              </w:rPr>
              <w:t>[</w:t>
            </w:r>
            <w:r w:rsidRPr="005770AD">
              <w:rPr>
                <w:i/>
                <w:lang w:val="de-DE"/>
              </w:rPr>
              <w:t>bestimmte Zweigniederlassung spezifizieren</w:t>
            </w:r>
            <w:r w:rsidRPr="00C67CB4">
              <w:rPr>
                <w:b/>
                <w:lang w:val="de-DE"/>
              </w:rPr>
              <w:t>]</w:t>
            </w:r>
            <w:r w:rsidRPr="00C67CB4">
              <w:rPr>
                <w:lang w:val="de-DE"/>
              </w:rPr>
              <w:t>.</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696CD5" w:rsidP="004C1EBA">
            <w:pPr>
              <w:pStyle w:val="CSBody0"/>
            </w:pPr>
            <w:r w:rsidRPr="00696CD5">
              <w:t xml:space="preserve">The commercial name of Credit Suisse AG is </w:t>
            </w:r>
            <w:r>
              <w:t>"</w:t>
            </w:r>
            <w:r w:rsidRPr="00696CD5">
              <w:t>Credit Suisse</w:t>
            </w:r>
            <w:r>
              <w:t>"</w:t>
            </w:r>
            <w:r w:rsidRPr="00696CD5">
              <w:t>.</w:t>
            </w:r>
          </w:p>
        </w:tc>
        <w:tc>
          <w:tcPr>
            <w:tcW w:w="2506" w:type="pct"/>
            <w:gridSpan w:val="4"/>
            <w:tcBorders>
              <w:left w:val="single" w:sz="4" w:space="0" w:color="auto"/>
            </w:tcBorders>
          </w:tcPr>
          <w:p w:rsidR="00815842" w:rsidRPr="00C67CB4" w:rsidP="004C1EBA">
            <w:pPr>
              <w:pStyle w:val="CSBody0"/>
              <w:rPr>
                <w:lang w:val="de-DE"/>
              </w:rPr>
            </w:pPr>
            <w:r w:rsidRPr="00C67CB4">
              <w:rPr>
                <w:lang w:val="de-DE"/>
              </w:rPr>
              <w:t xml:space="preserve">Der kommerzielle Name der Credit Suisse AG lautet </w:t>
            </w:r>
            <w:r>
              <w:rPr>
                <w:lang w:val="de-DE"/>
              </w:rPr>
              <w:t>"</w:t>
            </w:r>
            <w:r w:rsidRPr="00C67CB4">
              <w:rPr>
                <w:lang w:val="de-DE"/>
              </w:rPr>
              <w:t>Credit Suisse</w:t>
            </w:r>
            <w:r>
              <w:rPr>
                <w:lang w:val="de-DE"/>
              </w:rPr>
              <w:t>"</w:t>
            </w:r>
            <w:r w:rsidRPr="00C67CB4">
              <w:rPr>
                <w:lang w:val="de-DE"/>
              </w:rPr>
              <w:t>.</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CA4F4B" w:rsidP="004C1EBA">
            <w:pPr>
              <w:pStyle w:val="CSBody0"/>
              <w:rPr>
                <w:b/>
              </w:rPr>
            </w:pPr>
            <w:r w:rsidRPr="00CA4F4B">
              <w:rPr>
                <w:b/>
              </w:rPr>
              <w:t>B.2: Domicile/ legal form/ legislation/ country of incorporation</w:t>
            </w:r>
          </w:p>
        </w:tc>
        <w:tc>
          <w:tcPr>
            <w:tcW w:w="2506" w:type="pct"/>
            <w:gridSpan w:val="4"/>
            <w:tcBorders>
              <w:left w:val="single" w:sz="4" w:space="0" w:color="auto"/>
            </w:tcBorders>
          </w:tcPr>
          <w:p w:rsidR="00815842" w:rsidRPr="00CA4F4B" w:rsidP="004C1EBA">
            <w:pPr>
              <w:pStyle w:val="CSBody0"/>
              <w:rPr>
                <w:b/>
                <w:lang w:val="de-DE"/>
              </w:rPr>
            </w:pPr>
            <w:r w:rsidRPr="00CA4F4B">
              <w:rPr>
                <w:b/>
                <w:lang w:val="de-DE"/>
              </w:rPr>
              <w:t>B.2: Sitz/ Rechtsform/ geltendes Recht / Land der Gründung der Gesellschaft</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696CD5" w:rsidP="004C1EBA">
            <w:pPr>
              <w:pStyle w:val="CSBody0"/>
            </w:pPr>
            <w:r w:rsidRPr="00696CD5">
              <w:t xml:space="preserve">Credit Suisse </w:t>
            </w:r>
            <w:r>
              <w:t>i</w:t>
            </w:r>
            <w:r w:rsidRPr="00696CD5">
              <w:t>s incorporated under Swiss law as a corporation (</w:t>
            </w:r>
            <w:r w:rsidRPr="00696CD5">
              <w:rPr>
                <w:i/>
              </w:rPr>
              <w:t>Aktiengesellschaft</w:t>
            </w:r>
            <w:r w:rsidRPr="00696CD5">
              <w:t>) in Zurich, Switzerland and operates under Swiss law.</w:t>
            </w:r>
          </w:p>
        </w:tc>
        <w:tc>
          <w:tcPr>
            <w:tcW w:w="2506" w:type="pct"/>
            <w:gridSpan w:val="4"/>
            <w:tcBorders>
              <w:left w:val="single" w:sz="4" w:space="0" w:color="auto"/>
            </w:tcBorders>
          </w:tcPr>
          <w:p w:rsidR="00815842" w:rsidRPr="00C47F0F" w:rsidP="004C1EBA">
            <w:pPr>
              <w:pStyle w:val="CSBody0"/>
              <w:rPr>
                <w:lang w:val="de-DE"/>
              </w:rPr>
            </w:pPr>
            <w:r w:rsidRPr="00E856EA">
              <w:rPr>
                <w:lang w:val="de-DE"/>
              </w:rPr>
              <w:t>Die Credit Suisse ist eine nach schweizerischem Recht in Zürich gegründete Aktiengesellschaft und als solche nach schweizerischem Recht tätig</w:t>
            </w:r>
            <w:r w:rsidRPr="00C47F0F">
              <w:rPr>
                <w:lang w:val="de-DE"/>
              </w:rPr>
              <w:t>.</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CA4F4B" w:rsidP="004C1EBA">
            <w:pPr>
              <w:pStyle w:val="CSBody0"/>
              <w:rPr>
                <w:b/>
                <w:lang w:val="de-DE"/>
              </w:rPr>
            </w:pPr>
            <w:r w:rsidRPr="00CA4F4B">
              <w:rPr>
                <w:b/>
                <w:lang w:val="de-DE"/>
              </w:rPr>
              <w:t>B.4b: Trend information</w:t>
            </w:r>
          </w:p>
        </w:tc>
        <w:tc>
          <w:tcPr>
            <w:tcW w:w="2506" w:type="pct"/>
            <w:gridSpan w:val="4"/>
            <w:tcBorders>
              <w:left w:val="single" w:sz="4" w:space="0" w:color="auto"/>
            </w:tcBorders>
          </w:tcPr>
          <w:p w:rsidR="00815842" w:rsidRPr="00CA4F4B" w:rsidP="004C1EBA">
            <w:pPr>
              <w:pStyle w:val="CSBody0"/>
              <w:rPr>
                <w:b/>
                <w:lang w:val="de-DE"/>
              </w:rPr>
            </w:pPr>
            <w:r w:rsidRPr="00CA4F4B">
              <w:rPr>
                <w:b/>
                <w:lang w:val="de-DE"/>
              </w:rPr>
              <w:t>B.4b: Trendinformationen</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696CD5" w:rsidP="004C1EBA">
            <w:pPr>
              <w:pStyle w:val="CSBody0"/>
            </w:pPr>
            <w:r w:rsidRPr="00696CD5">
              <w:t>Not Applicable - There are no known trends, uncertainties, demands, commitments or events that are reasonably likely to have a material effect on the prospects of the Issuer for its current financial year.</w:t>
            </w:r>
          </w:p>
        </w:tc>
        <w:tc>
          <w:tcPr>
            <w:tcW w:w="2506" w:type="pct"/>
            <w:gridSpan w:val="4"/>
            <w:tcBorders>
              <w:left w:val="single" w:sz="4" w:space="0" w:color="auto"/>
            </w:tcBorders>
          </w:tcPr>
          <w:p w:rsidR="00815842" w:rsidRPr="00C67CB4" w:rsidP="004C1EBA">
            <w:pPr>
              <w:pStyle w:val="CSBody0"/>
              <w:rPr>
                <w:lang w:val="de-DE"/>
              </w:rPr>
            </w:pPr>
            <w:r w:rsidRPr="00C67CB4">
              <w:rPr>
                <w:lang w:val="de-DE"/>
              </w:rPr>
              <w:t>Entfällt - Es sind keine Trends, Unsicherheiten, geltend ge-machte Ansprüche, Verpflichtungen oder Vorfälle bekannt, die wahrscheinlich die Aussichten der Emittentin in ihrem laufenden Geschäftsjahr wesentlich beeinträchtigen dürften.</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CA4F4B" w:rsidP="004C1EBA">
            <w:pPr>
              <w:pStyle w:val="CSBody0"/>
              <w:rPr>
                <w:b/>
              </w:rPr>
            </w:pPr>
            <w:r w:rsidRPr="00CA4F4B">
              <w:rPr>
                <w:b/>
              </w:rPr>
              <w:t>B.5: Description of the Group</w:t>
            </w:r>
          </w:p>
        </w:tc>
        <w:tc>
          <w:tcPr>
            <w:tcW w:w="2506" w:type="pct"/>
            <w:gridSpan w:val="4"/>
            <w:tcBorders>
              <w:left w:val="single" w:sz="4" w:space="0" w:color="auto"/>
            </w:tcBorders>
          </w:tcPr>
          <w:p w:rsidR="00815842" w:rsidRPr="00CA4F4B" w:rsidP="004C1EBA">
            <w:pPr>
              <w:pStyle w:val="CSBody0"/>
              <w:rPr>
                <w:b/>
                <w:lang w:val="de-DE"/>
              </w:rPr>
            </w:pPr>
            <w:r w:rsidRPr="00CA4F4B">
              <w:rPr>
                <w:b/>
                <w:lang w:val="de-DE"/>
              </w:rPr>
              <w:t>B.5: Beschreibung der Gruppe</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696CD5" w:rsidP="007045B6">
            <w:pPr>
              <w:pStyle w:val="CSBody0"/>
            </w:pPr>
            <w:r w:rsidRPr="00696CD5">
              <w:t>Credit Suisse is a Swiss bank and a wholly owned subsidiary of Credit Suisse Group AG (</w:t>
            </w:r>
            <w:r>
              <w:t>"</w:t>
            </w:r>
            <w:r w:rsidRPr="00696CD5">
              <w:rPr>
                <w:b/>
              </w:rPr>
              <w:t>CSG</w:t>
            </w:r>
            <w:r>
              <w:t>"</w:t>
            </w:r>
            <w:r w:rsidRPr="00696CD5">
              <w:t>), a global financial services company.</w:t>
            </w:r>
            <w:r w:rsidR="00B00E57">
              <w:t xml:space="preserve"> </w:t>
            </w:r>
          </w:p>
        </w:tc>
        <w:tc>
          <w:tcPr>
            <w:tcW w:w="2506" w:type="pct"/>
            <w:gridSpan w:val="4"/>
            <w:tcBorders>
              <w:left w:val="single" w:sz="4" w:space="0" w:color="auto"/>
            </w:tcBorders>
          </w:tcPr>
          <w:p w:rsidR="00815842" w:rsidRPr="00C67CB4" w:rsidP="007045B6">
            <w:pPr>
              <w:pStyle w:val="CSBody0"/>
              <w:rPr>
                <w:lang w:val="de-DE"/>
              </w:rPr>
            </w:pPr>
            <w:r w:rsidRPr="00C67CB4">
              <w:rPr>
                <w:lang w:val="de-DE"/>
              </w:rPr>
              <w:t>Die Credit Suisse ist eine Schweizer Bank und eine 100-prozentige Tochtergesellschaft der Credit Suisse Group AG (</w:t>
            </w:r>
            <w:r>
              <w:rPr>
                <w:lang w:val="de-DE"/>
              </w:rPr>
              <w:t>"</w:t>
            </w:r>
            <w:r w:rsidRPr="00933934">
              <w:rPr>
                <w:b/>
                <w:lang w:val="de-DE"/>
              </w:rPr>
              <w:t>CSG</w:t>
            </w:r>
            <w:r>
              <w:rPr>
                <w:lang w:val="de-DE"/>
              </w:rPr>
              <w:t>"</w:t>
            </w:r>
            <w:r w:rsidRPr="00C67CB4">
              <w:rPr>
                <w:lang w:val="de-DE"/>
              </w:rPr>
              <w:t>), ein weltweit tätiges Finanzdienstleistungsunternehmen.</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CA4F4B" w:rsidP="004C1EBA">
            <w:pPr>
              <w:pStyle w:val="CSBody0"/>
              <w:rPr>
                <w:b/>
              </w:rPr>
            </w:pPr>
            <w:r w:rsidRPr="00CA4F4B">
              <w:rPr>
                <w:b/>
              </w:rPr>
              <w:t>B.9: Profit forecast or estimate</w:t>
            </w:r>
          </w:p>
        </w:tc>
        <w:tc>
          <w:tcPr>
            <w:tcW w:w="2506" w:type="pct"/>
            <w:gridSpan w:val="4"/>
            <w:tcBorders>
              <w:left w:val="single" w:sz="4" w:space="0" w:color="auto"/>
            </w:tcBorders>
          </w:tcPr>
          <w:p w:rsidR="00815842" w:rsidRPr="00CA4F4B" w:rsidP="004C1EBA">
            <w:pPr>
              <w:pStyle w:val="CSBody0"/>
              <w:rPr>
                <w:b/>
                <w:lang w:val="de-DE"/>
              </w:rPr>
            </w:pPr>
            <w:r w:rsidRPr="00CA4F4B">
              <w:rPr>
                <w:b/>
                <w:lang w:val="de-DE"/>
              </w:rPr>
              <w:t>B.9: Gewinnprognose oder -schätzung</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696CD5" w:rsidP="004C1EBA">
            <w:pPr>
              <w:pStyle w:val="CSBody0"/>
            </w:pPr>
            <w:r w:rsidRPr="00696CD5">
              <w:t>Not Applicable - No profit forecasts or estimates have be</w:t>
            </w:r>
            <w:r>
              <w:t>en made.</w:t>
            </w:r>
          </w:p>
        </w:tc>
        <w:tc>
          <w:tcPr>
            <w:tcW w:w="2506" w:type="pct"/>
            <w:gridSpan w:val="4"/>
            <w:tcBorders>
              <w:left w:val="single" w:sz="4" w:space="0" w:color="auto"/>
            </w:tcBorders>
          </w:tcPr>
          <w:p w:rsidR="00815842" w:rsidRPr="00C67CB4" w:rsidP="004C1EBA">
            <w:pPr>
              <w:pStyle w:val="CSBody0"/>
              <w:rPr>
                <w:lang w:val="de-DE"/>
              </w:rPr>
            </w:pPr>
            <w:r w:rsidRPr="00C67CB4">
              <w:rPr>
                <w:lang w:val="de-DE"/>
              </w:rPr>
              <w:t xml:space="preserve">Entfällt - </w:t>
            </w:r>
            <w:r>
              <w:rPr>
                <w:lang w:val="de-DE"/>
              </w:rPr>
              <w:t>Es</w:t>
            </w:r>
            <w:r w:rsidRPr="00C67CB4">
              <w:rPr>
                <w:lang w:val="de-DE"/>
              </w:rPr>
              <w:t xml:space="preserve"> wurden </w:t>
            </w:r>
            <w:r>
              <w:rPr>
                <w:lang w:val="de-DE"/>
              </w:rPr>
              <w:t>keine</w:t>
            </w:r>
            <w:r w:rsidRPr="00C67CB4">
              <w:rPr>
                <w:lang w:val="de-DE"/>
              </w:rPr>
              <w:t xml:space="preserve"> Gewinnprognosen abgegeben </w:t>
            </w:r>
            <w:r>
              <w:rPr>
                <w:lang w:val="de-DE"/>
              </w:rPr>
              <w:t>oder</w:t>
            </w:r>
            <w:r w:rsidRPr="00C67CB4">
              <w:rPr>
                <w:lang w:val="de-DE"/>
              </w:rPr>
              <w:t xml:space="preserve"> Gewinnschätzungen vorgenommen.</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CA4F4B" w:rsidP="004C1EBA">
            <w:pPr>
              <w:pStyle w:val="CSBody0"/>
              <w:rPr>
                <w:b/>
              </w:rPr>
            </w:pPr>
            <w:r w:rsidRPr="00CA4F4B">
              <w:rPr>
                <w:b/>
              </w:rPr>
              <w:t xml:space="preserve">B.10: </w:t>
            </w:r>
            <w:r>
              <w:rPr>
                <w:b/>
              </w:rPr>
              <w:t>A</w:t>
            </w:r>
            <w:r w:rsidRPr="00CA4F4B">
              <w:rPr>
                <w:b/>
              </w:rPr>
              <w:t>udit report</w:t>
            </w:r>
            <w:r>
              <w:t xml:space="preserve"> </w:t>
            </w:r>
            <w:r w:rsidRPr="00696CD5">
              <w:rPr>
                <w:b/>
              </w:rPr>
              <w:t>qualifications</w:t>
            </w:r>
          </w:p>
        </w:tc>
        <w:tc>
          <w:tcPr>
            <w:tcW w:w="2506" w:type="pct"/>
            <w:gridSpan w:val="4"/>
            <w:tcBorders>
              <w:left w:val="single" w:sz="4" w:space="0" w:color="auto"/>
            </w:tcBorders>
          </w:tcPr>
          <w:p w:rsidR="00815842" w:rsidRPr="00CA4F4B" w:rsidP="004C1EBA">
            <w:pPr>
              <w:pStyle w:val="CSBody0"/>
              <w:rPr>
                <w:b/>
                <w:lang w:val="de-DE"/>
              </w:rPr>
            </w:pPr>
            <w:r w:rsidRPr="00CA4F4B">
              <w:rPr>
                <w:b/>
                <w:lang w:val="de-DE"/>
              </w:rPr>
              <w:t>B.10: Beschränkungen im Bestätigungsvermerk</w:t>
            </w:r>
          </w:p>
        </w:tc>
      </w:tr>
      <w:tr w:rsidTr="004C1EBA">
        <w:tblPrEx>
          <w:tblW w:w="5019" w:type="pct"/>
          <w:tblInd w:w="-10" w:type="dxa"/>
          <w:tblLook w:val="00A0"/>
        </w:tblPrEx>
        <w:trPr>
          <w:gridBefore w:val="1"/>
          <w:wBefore w:w="10" w:type="dxa"/>
        </w:trPr>
        <w:tc>
          <w:tcPr>
            <w:tcW w:w="2489" w:type="pct"/>
            <w:tcBorders>
              <w:right w:val="single" w:sz="4" w:space="0" w:color="auto"/>
            </w:tcBorders>
          </w:tcPr>
          <w:p w:rsidR="00815842" w:rsidRPr="00791DEA" w:rsidP="004C1EBA">
            <w:pPr>
              <w:pStyle w:val="CSBody0"/>
            </w:pPr>
            <w:r w:rsidRPr="00791DEA">
              <w:t>Not Applicable - No qualifications are contained in any audit or review report.</w:t>
            </w:r>
          </w:p>
        </w:tc>
        <w:tc>
          <w:tcPr>
            <w:tcW w:w="2506" w:type="pct"/>
            <w:gridSpan w:val="4"/>
            <w:tcBorders>
              <w:left w:val="single" w:sz="4" w:space="0" w:color="auto"/>
            </w:tcBorders>
          </w:tcPr>
          <w:p w:rsidR="00815842" w:rsidRPr="00791DEA" w:rsidP="004C1EBA">
            <w:pPr>
              <w:pStyle w:val="CSBody0"/>
              <w:rPr>
                <w:lang w:val="de-DE"/>
              </w:rPr>
            </w:pPr>
            <w:r w:rsidRPr="00791DEA">
              <w:rPr>
                <w:lang w:val="de-DE"/>
              </w:rPr>
              <w:t>Entfällt - Auditberichte oder Prüfberichte enthalten keine Einschränkungen.</w:t>
            </w:r>
          </w:p>
        </w:tc>
      </w:tr>
      <w:tr w:rsidTr="004C1EBA">
        <w:tblPrEx>
          <w:tblW w:w="5019" w:type="pct"/>
          <w:tblInd w:w="-10" w:type="dxa"/>
          <w:tblLook w:val="01E0"/>
        </w:tblPrEx>
        <w:trPr>
          <w:gridBefore w:val="1"/>
          <w:gridAfter w:val="1"/>
          <w:wBefore w:w="10" w:type="dxa"/>
          <w:wAfter w:w="9" w:type="dxa"/>
        </w:trPr>
        <w:tc>
          <w:tcPr>
            <w:tcW w:w="2489" w:type="pct"/>
            <w:tcBorders>
              <w:right w:val="single" w:sz="4" w:space="0" w:color="auto"/>
            </w:tcBorders>
            <w:shd w:val="clear" w:color="auto" w:fill="auto"/>
          </w:tcPr>
          <w:p w:rsidR="00815842" w:rsidRPr="00EA225C" w:rsidP="004C1EBA">
            <w:pPr>
              <w:pStyle w:val="csbody0bold0"/>
            </w:pPr>
            <w:r w:rsidRPr="00EA225C">
              <w:t xml:space="preserve">B.12: </w:t>
            </w:r>
            <w:r>
              <w:tab/>
            </w:r>
            <w:r w:rsidRPr="00EA225C">
              <w:t xml:space="preserve">Selected historical key financial information of Credit Suisse </w:t>
            </w:r>
          </w:p>
        </w:tc>
        <w:tc>
          <w:tcPr>
            <w:tcW w:w="2497" w:type="pct"/>
            <w:gridSpan w:val="3"/>
            <w:tcBorders>
              <w:left w:val="single" w:sz="4" w:space="0" w:color="auto"/>
            </w:tcBorders>
            <w:shd w:val="clear" w:color="auto" w:fill="auto"/>
          </w:tcPr>
          <w:p w:rsidR="00815842" w:rsidRPr="00247C4C" w:rsidP="004C1EBA">
            <w:pPr>
              <w:pStyle w:val="csbody0bold0"/>
              <w:rPr>
                <w:rFonts w:eastAsia="SimSun"/>
                <w:lang w:val="de-DE"/>
              </w:rPr>
            </w:pPr>
            <w:r w:rsidRPr="00247C4C">
              <w:rPr>
                <w:rFonts w:eastAsia="SimSun"/>
                <w:lang w:val="de-DE"/>
              </w:rPr>
              <w:t>B.12:</w:t>
            </w:r>
            <w:r w:rsidRPr="00247C4C">
              <w:rPr>
                <w:rFonts w:eastAsia="SimSun"/>
                <w:lang w:val="de-DE"/>
              </w:rPr>
              <w:tab/>
              <w:t>Ausgewählte wesentliche historische Finanzinformationen der Credit Suisse</w:t>
            </w:r>
          </w:p>
        </w:tc>
      </w:tr>
      <w:tr w:rsidTr="004C1EBA">
        <w:tblPrEx>
          <w:tblW w:w="5019" w:type="pct"/>
          <w:tblInd w:w="-10" w:type="dxa"/>
          <w:tblLook w:val="01E0"/>
        </w:tblPrEx>
        <w:trPr>
          <w:gridBefore w:val="1"/>
          <w:gridAfter w:val="1"/>
          <w:wBefore w:w="10" w:type="dxa"/>
          <w:wAfter w:w="9" w:type="dxa"/>
        </w:trPr>
        <w:tc>
          <w:tcPr>
            <w:tcW w:w="2489" w:type="pct"/>
            <w:tcBorders>
              <w:right w:val="single" w:sz="4" w:space="0" w:color="auto"/>
            </w:tcBorders>
            <w:shd w:val="clear" w:color="auto" w:fill="auto"/>
          </w:tcPr>
          <w:p w:rsidR="00815842" w:rsidRPr="003F684A" w:rsidP="004C1EBA">
            <w:pPr>
              <w:pStyle w:val="csbody00"/>
            </w:pPr>
            <w:r w:rsidRPr="003F684A">
              <w:t>The tables below set out summary information derived from</w:t>
            </w:r>
            <w:r>
              <w:t xml:space="preserve"> </w:t>
            </w:r>
            <w:r w:rsidRPr="003F684A">
              <w:t>the audited consolidated financial statements of Credit Suisse as of 31 December 201</w:t>
            </w:r>
            <w:r>
              <w:t>4</w:t>
            </w:r>
            <w:r w:rsidRPr="003F684A">
              <w:t xml:space="preserve"> and 201</w:t>
            </w:r>
            <w:r>
              <w:t>3, and for each of the years in the three-year period ended 31 December 2014</w:t>
            </w:r>
            <w:r w:rsidRPr="003F684A">
              <w:t xml:space="preserve">, </w:t>
            </w:r>
            <w:r w:rsidRPr="00F768F2">
              <w:t>and the unaudited condensed consolidated financial statements of Credit Suisse as of 3</w:t>
            </w:r>
            <w:r>
              <w:t>0</w:t>
            </w:r>
            <w:r w:rsidRPr="00F768F2">
              <w:t xml:space="preserve"> </w:t>
            </w:r>
            <w:r>
              <w:t>September</w:t>
            </w:r>
            <w:r w:rsidRPr="00F768F2">
              <w:t xml:space="preserve"> 201</w:t>
            </w:r>
            <w:r>
              <w:t>5</w:t>
            </w:r>
            <w:r w:rsidRPr="00F768F2">
              <w:t xml:space="preserve"> </w:t>
            </w:r>
            <w:r>
              <w:t xml:space="preserve">and </w:t>
            </w:r>
            <w:r w:rsidRPr="00591264">
              <w:rPr>
                <w:bCs/>
              </w:rPr>
              <w:t xml:space="preserve">for the three month periods ended 30 </w:t>
            </w:r>
            <w:r>
              <w:rPr>
                <w:bCs/>
              </w:rPr>
              <w:t>September</w:t>
            </w:r>
            <w:r w:rsidRPr="00591264">
              <w:rPr>
                <w:bCs/>
              </w:rPr>
              <w:t xml:space="preserve"> 201</w:t>
            </w:r>
            <w:r>
              <w:rPr>
                <w:bCs/>
              </w:rPr>
              <w:t>5</w:t>
            </w:r>
            <w:r w:rsidRPr="00591264">
              <w:rPr>
                <w:bCs/>
              </w:rPr>
              <w:t xml:space="preserve"> and 201</w:t>
            </w:r>
            <w:r>
              <w:rPr>
                <w:bCs/>
              </w:rPr>
              <w:t>4</w:t>
            </w:r>
            <w:r w:rsidRPr="003F684A">
              <w:t>:</w:t>
            </w:r>
          </w:p>
        </w:tc>
        <w:tc>
          <w:tcPr>
            <w:tcW w:w="2497" w:type="pct"/>
            <w:gridSpan w:val="3"/>
            <w:tcBorders>
              <w:left w:val="single" w:sz="4" w:space="0" w:color="auto"/>
            </w:tcBorders>
            <w:shd w:val="clear" w:color="auto" w:fill="auto"/>
          </w:tcPr>
          <w:p w:rsidR="00815842" w:rsidRPr="00EA225C" w:rsidP="004C1EBA">
            <w:pPr>
              <w:pStyle w:val="csbody00"/>
              <w:rPr>
                <w:rFonts w:eastAsia="SimSun"/>
                <w:lang w:val="de-DE"/>
              </w:rPr>
            </w:pPr>
            <w:r w:rsidRPr="00EA225C">
              <w:rPr>
                <w:rFonts w:eastAsia="SimSun"/>
                <w:lang w:val="de-DE"/>
              </w:rPr>
              <w:t>Die nachfolgenden Tabellen enthalten zusammen</w:t>
            </w:r>
            <w:r w:rsidRPr="00EA225C">
              <w:rPr>
                <w:rFonts w:eastAsia="SimSun"/>
                <w:lang w:val="de-DE"/>
              </w:rPr>
              <w:softHyphen/>
              <w:t>fassende Informationen aus der geprüften konsolidierten Jahresrechnung der Credit Suisse zum 31. Dezember 201</w:t>
            </w:r>
            <w:r>
              <w:rPr>
                <w:rFonts w:eastAsia="SimSun"/>
                <w:lang w:val="de-DE"/>
              </w:rPr>
              <w:t>4</w:t>
            </w:r>
            <w:r w:rsidRPr="00EA225C">
              <w:rPr>
                <w:rFonts w:eastAsia="SimSun"/>
                <w:lang w:val="de-DE"/>
              </w:rPr>
              <w:t xml:space="preserve"> und 201</w:t>
            </w:r>
            <w:r>
              <w:rPr>
                <w:rFonts w:eastAsia="SimSun"/>
                <w:lang w:val="de-DE"/>
              </w:rPr>
              <w:t>3</w:t>
            </w:r>
            <w:r w:rsidRPr="00EA225C">
              <w:rPr>
                <w:rFonts w:eastAsia="SimSun"/>
                <w:lang w:val="de-DE"/>
              </w:rPr>
              <w:t xml:space="preserve"> sowie für jedes Jahr der am 31. Dezember 201</w:t>
            </w:r>
            <w:r>
              <w:rPr>
                <w:rFonts w:eastAsia="SimSun"/>
                <w:lang w:val="de-DE"/>
              </w:rPr>
              <w:t>4</w:t>
            </w:r>
            <w:r w:rsidRPr="00EA225C">
              <w:rPr>
                <w:rFonts w:eastAsia="SimSun"/>
                <w:lang w:val="de-DE"/>
              </w:rPr>
              <w:t xml:space="preserve"> endenden Dreijahres</w:t>
            </w:r>
            <w:r w:rsidRPr="00EA225C">
              <w:rPr>
                <w:rFonts w:eastAsia="SimSun"/>
                <w:lang w:val="de-DE"/>
              </w:rPr>
              <w:softHyphen/>
              <w:t xml:space="preserve">periode </w:t>
            </w:r>
            <w:r>
              <w:rPr>
                <w:rFonts w:eastAsia="SimSun"/>
                <w:lang w:val="de-DE"/>
              </w:rPr>
              <w:t xml:space="preserve">und dem ungeprüften gekürzten konsolidierten Zwischenabschluss der Credit Suisse zum 30. September 2015 und </w:t>
            </w:r>
            <w:r w:rsidRPr="00591264">
              <w:rPr>
                <w:rFonts w:eastAsia="SimSun"/>
                <w:bCs/>
                <w:lang w:val="de-DE"/>
              </w:rPr>
              <w:t xml:space="preserve">für die am 30. </w:t>
            </w:r>
            <w:r>
              <w:rPr>
                <w:rFonts w:eastAsia="SimSun"/>
                <w:bCs/>
                <w:lang w:val="de-DE"/>
              </w:rPr>
              <w:t>September</w:t>
            </w:r>
            <w:r w:rsidRPr="00591264">
              <w:rPr>
                <w:rFonts w:eastAsia="SimSun"/>
                <w:bCs/>
                <w:lang w:val="de-DE"/>
              </w:rPr>
              <w:t xml:space="preserve"> 201</w:t>
            </w:r>
            <w:r>
              <w:rPr>
                <w:rFonts w:eastAsia="SimSun"/>
                <w:bCs/>
                <w:lang w:val="de-DE"/>
              </w:rPr>
              <w:t>5</w:t>
            </w:r>
            <w:r w:rsidRPr="00591264">
              <w:rPr>
                <w:rFonts w:eastAsia="SimSun"/>
                <w:bCs/>
                <w:lang w:val="de-DE"/>
              </w:rPr>
              <w:t xml:space="preserve"> und 201</w:t>
            </w:r>
            <w:r>
              <w:rPr>
                <w:rFonts w:eastAsia="SimSun"/>
                <w:bCs/>
                <w:lang w:val="de-DE"/>
              </w:rPr>
              <w:t>4</w:t>
            </w:r>
            <w:r w:rsidRPr="00591264">
              <w:rPr>
                <w:rFonts w:eastAsia="SimSun"/>
                <w:bCs/>
                <w:lang w:val="de-DE"/>
              </w:rPr>
              <w:t xml:space="preserve"> endenden Dreimonatsperioden</w:t>
            </w:r>
            <w:r w:rsidRPr="00EA225C">
              <w:rPr>
                <w:rFonts w:eastAsia="SimSun"/>
                <w:lang w:val="de-DE"/>
              </w:rPr>
              <w:t>:</w:t>
            </w:r>
          </w:p>
        </w:tc>
      </w:tr>
      <w:tr w:rsidTr="004C1EBA">
        <w:tblPrEx>
          <w:tblW w:w="5019" w:type="pct"/>
          <w:tblInd w:w="-10" w:type="dxa"/>
          <w:tblCellMar>
            <w:left w:w="115" w:type="dxa"/>
            <w:right w:w="115" w:type="dxa"/>
          </w:tblCellMar>
          <w:tblLook w:val="01E0"/>
        </w:tblPrEx>
        <w:trPr>
          <w:gridAfter w:val="1"/>
          <w:wAfter w:w="9" w:type="dxa"/>
        </w:trPr>
        <w:tc>
          <w:tcPr>
            <w:tcW w:w="4991" w:type="pct"/>
            <w:gridSpan w:val="5"/>
            <w:shd w:val="clear" w:color="auto" w:fill="auto"/>
          </w:tcPr>
          <w:p w:rsidR="00815842" w:rsidRPr="00A83CE5" w:rsidP="004C1EBA">
            <w:pPr>
              <w:pStyle w:val="csbody0bold0"/>
            </w:pPr>
            <w:r w:rsidRPr="00A83CE5">
              <w:t xml:space="preserve">Credit Suisse Statement of Operations </w:t>
            </w:r>
            <w:r w:rsidRPr="00A83CE5">
              <w:rPr>
                <w:bCs/>
              </w:rPr>
              <w:t>/ Erfolgsrechnung der Credit Suisse</w:t>
            </w:r>
          </w:p>
        </w:tc>
      </w:tr>
      <w:tr w:rsidTr="004C1EBA">
        <w:tblPrEx>
          <w:tblW w:w="5019" w:type="pct"/>
          <w:tblInd w:w="-10" w:type="dxa"/>
          <w:tblCellMar>
            <w:left w:w="115" w:type="dxa"/>
            <w:right w:w="115" w:type="dxa"/>
          </w:tblCellMar>
          <w:tblLook w:val="01E0"/>
        </w:tblPrEx>
        <w:trPr>
          <w:gridAfter w:val="1"/>
          <w:wAfter w:w="9" w:type="dxa"/>
          <w:tblHeader/>
        </w:trPr>
        <w:tc>
          <w:tcPr>
            <w:tcW w:w="2494" w:type="pct"/>
            <w:gridSpan w:val="2"/>
            <w:tcBorders>
              <w:bottom w:val="single" w:sz="4" w:space="0" w:color="auto"/>
              <w:right w:val="single" w:sz="4" w:space="0" w:color="auto"/>
            </w:tcBorders>
            <w:shd w:val="clear" w:color="auto" w:fill="auto"/>
          </w:tcPr>
          <w:p w:rsidR="00815842" w:rsidRPr="009C3B44" w:rsidP="004C1EBA">
            <w:pPr>
              <w:pStyle w:val="CSbody0bold"/>
            </w:pPr>
            <w:r w:rsidRPr="001A6ED9">
              <w:rPr>
                <w:lang w:val="en-GB"/>
              </w:rPr>
              <w:t>Year ended 31 December (CHF million) / per 31. </w:t>
            </w:r>
            <w:r w:rsidRPr="009C3B44">
              <w:t>Dezember (in Mio. CHF)</w:t>
            </w:r>
          </w:p>
        </w:tc>
        <w:tc>
          <w:tcPr>
            <w:tcW w:w="832" w:type="pct"/>
            <w:tcBorders>
              <w:left w:val="single" w:sz="4" w:space="0" w:color="auto"/>
            </w:tcBorders>
            <w:shd w:val="clear" w:color="auto" w:fill="auto"/>
          </w:tcPr>
          <w:p w:rsidR="00815842" w:rsidRPr="00BD6E0D" w:rsidP="004C1EBA">
            <w:pPr>
              <w:pStyle w:val="csbody00"/>
              <w:rPr>
                <w:b/>
                <w:vertAlign w:val="superscript"/>
              </w:rPr>
            </w:pPr>
            <w:r w:rsidRPr="00BD6E0D">
              <w:rPr>
                <w:b/>
              </w:rPr>
              <w:t>2014</w:t>
            </w:r>
          </w:p>
        </w:tc>
        <w:tc>
          <w:tcPr>
            <w:tcW w:w="832" w:type="pct"/>
            <w:shd w:val="clear" w:color="auto" w:fill="auto"/>
          </w:tcPr>
          <w:p w:rsidR="00815842" w:rsidRPr="00BD6E0D" w:rsidP="004C1EBA">
            <w:pPr>
              <w:pStyle w:val="csbody00"/>
              <w:rPr>
                <w:b/>
                <w:vertAlign w:val="superscript"/>
              </w:rPr>
            </w:pPr>
            <w:r w:rsidRPr="00BD6E0D">
              <w:rPr>
                <w:b/>
              </w:rPr>
              <w:t>2013</w:t>
            </w:r>
          </w:p>
        </w:tc>
        <w:tc>
          <w:tcPr>
            <w:tcW w:w="833" w:type="pct"/>
            <w:shd w:val="clear" w:color="auto" w:fill="auto"/>
          </w:tcPr>
          <w:p w:rsidR="00815842" w:rsidRPr="00BD6E0D" w:rsidP="004C1EBA">
            <w:pPr>
              <w:pStyle w:val="csbody00"/>
              <w:rPr>
                <w:b/>
                <w:vertAlign w:val="superscript"/>
              </w:rPr>
            </w:pPr>
            <w:r w:rsidRPr="00BD6E0D">
              <w:rPr>
                <w:b/>
              </w:rPr>
              <w:t>2012</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top w:val="single" w:sz="4" w:space="0" w:color="auto"/>
              <w:right w:val="single" w:sz="4" w:space="0" w:color="auto"/>
            </w:tcBorders>
            <w:shd w:val="clear" w:color="auto" w:fill="auto"/>
            <w:vAlign w:val="bottom"/>
          </w:tcPr>
          <w:p w:rsidR="00815842" w:rsidRPr="009C3B44" w:rsidP="004C1EBA">
            <w:pPr>
              <w:pStyle w:val="csbody0bold0"/>
            </w:pPr>
            <w:r w:rsidRPr="009C3B44">
              <w:t xml:space="preserve">Net revenues </w:t>
            </w:r>
            <w:r w:rsidRPr="009C3B44">
              <w:rPr>
                <w:bCs/>
                <w:lang w:val="de-DE"/>
              </w:rPr>
              <w:t>/</w:t>
            </w:r>
            <w:r>
              <w:rPr>
                <w:bCs/>
                <w:lang w:val="de-DE"/>
              </w:rPr>
              <w:t xml:space="preserve"> </w:t>
            </w:r>
            <w:r w:rsidRPr="009C3B44">
              <w:rPr>
                <w:bCs/>
                <w:lang w:val="de-DE"/>
              </w:rPr>
              <w:t>Nettoertrag</w:t>
            </w:r>
          </w:p>
        </w:tc>
        <w:tc>
          <w:tcPr>
            <w:tcW w:w="832" w:type="pct"/>
            <w:tcBorders>
              <w:top w:val="single" w:sz="4" w:space="0" w:color="auto"/>
              <w:left w:val="single" w:sz="4" w:space="0" w:color="auto"/>
            </w:tcBorders>
            <w:shd w:val="clear" w:color="auto" w:fill="auto"/>
            <w:vAlign w:val="bottom"/>
          </w:tcPr>
          <w:p w:rsidR="00815842" w:rsidRPr="00247C4C" w:rsidP="004C1EBA">
            <w:pPr>
              <w:pStyle w:val="csbody00"/>
              <w:rPr>
                <w:bCs/>
                <w:caps/>
              </w:rPr>
            </w:pPr>
            <w:r w:rsidRPr="00247C4C">
              <w:rPr>
                <w:bCs/>
                <w:caps/>
              </w:rPr>
              <w:t>25,589</w:t>
            </w:r>
          </w:p>
        </w:tc>
        <w:tc>
          <w:tcPr>
            <w:tcW w:w="832" w:type="pct"/>
            <w:tcBorders>
              <w:top w:val="single" w:sz="4" w:space="0" w:color="auto"/>
            </w:tcBorders>
            <w:shd w:val="clear" w:color="auto" w:fill="auto"/>
            <w:vAlign w:val="bottom"/>
          </w:tcPr>
          <w:p w:rsidR="00815842" w:rsidRPr="00247C4C" w:rsidP="004C1EBA">
            <w:pPr>
              <w:pStyle w:val="csbody00"/>
              <w:rPr>
                <w:bCs/>
                <w:caps/>
              </w:rPr>
            </w:pPr>
            <w:r w:rsidRPr="00247C4C">
              <w:rPr>
                <w:bCs/>
                <w:caps/>
              </w:rPr>
              <w:t>25,314</w:t>
            </w:r>
          </w:p>
        </w:tc>
        <w:tc>
          <w:tcPr>
            <w:tcW w:w="833" w:type="pct"/>
            <w:tcBorders>
              <w:top w:val="single" w:sz="4" w:space="0" w:color="auto"/>
            </w:tcBorders>
            <w:shd w:val="clear" w:color="auto" w:fill="auto"/>
            <w:vAlign w:val="bottom"/>
          </w:tcPr>
          <w:p w:rsidR="00815842" w:rsidRPr="00247C4C" w:rsidP="004C1EBA">
            <w:pPr>
              <w:pStyle w:val="csbody00"/>
              <w:rPr>
                <w:bCs/>
                <w:caps/>
              </w:rPr>
            </w:pPr>
            <w:r w:rsidRPr="00247C4C">
              <w:rPr>
                <w:bCs/>
                <w:caps/>
              </w:rPr>
              <w:t>22,976</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right w:val="single" w:sz="4" w:space="0" w:color="auto"/>
            </w:tcBorders>
            <w:shd w:val="clear" w:color="auto" w:fill="auto"/>
            <w:vAlign w:val="bottom"/>
          </w:tcPr>
          <w:p w:rsidR="00815842" w:rsidRPr="00464560" w:rsidP="004C1EBA">
            <w:pPr>
              <w:pStyle w:val="csbody0bold0"/>
              <w:rPr>
                <w:lang w:val="de-DE"/>
              </w:rPr>
            </w:pPr>
            <w:r w:rsidRPr="00464560">
              <w:rPr>
                <w:lang w:val="de-DE"/>
              </w:rPr>
              <w:t xml:space="preserve">Provision for credit losses </w:t>
            </w:r>
            <w:r w:rsidRPr="009C3B44">
              <w:rPr>
                <w:bCs/>
                <w:lang w:val="de-DE"/>
              </w:rPr>
              <w:t>/</w:t>
            </w:r>
            <w:r>
              <w:rPr>
                <w:bCs/>
                <w:lang w:val="de-DE"/>
              </w:rPr>
              <w:t xml:space="preserve"> </w:t>
            </w:r>
            <w:r w:rsidRPr="009C3B44">
              <w:rPr>
                <w:bCs/>
                <w:lang w:val="de-DE"/>
              </w:rPr>
              <w:t>Rückstellung für Kreditrisiken</w:t>
            </w:r>
          </w:p>
        </w:tc>
        <w:tc>
          <w:tcPr>
            <w:tcW w:w="832" w:type="pct"/>
            <w:tcBorders>
              <w:left w:val="single" w:sz="4" w:space="0" w:color="auto"/>
            </w:tcBorders>
            <w:shd w:val="clear" w:color="auto" w:fill="auto"/>
            <w:vAlign w:val="bottom"/>
          </w:tcPr>
          <w:p w:rsidR="00815842" w:rsidRPr="00247C4C" w:rsidP="004C1EBA">
            <w:pPr>
              <w:pStyle w:val="csbody00"/>
              <w:rPr>
                <w:bCs/>
                <w:caps/>
              </w:rPr>
            </w:pPr>
            <w:r w:rsidRPr="00247C4C">
              <w:rPr>
                <w:bCs/>
                <w:caps/>
              </w:rPr>
              <w:t>125</w:t>
            </w:r>
          </w:p>
        </w:tc>
        <w:tc>
          <w:tcPr>
            <w:tcW w:w="832" w:type="pct"/>
            <w:shd w:val="clear" w:color="auto" w:fill="auto"/>
            <w:vAlign w:val="bottom"/>
          </w:tcPr>
          <w:p w:rsidR="00815842" w:rsidRPr="00247C4C" w:rsidP="004C1EBA">
            <w:pPr>
              <w:pStyle w:val="csbody00"/>
              <w:rPr>
                <w:bCs/>
                <w:caps/>
              </w:rPr>
            </w:pPr>
            <w:r w:rsidRPr="00247C4C">
              <w:rPr>
                <w:bCs/>
                <w:caps/>
              </w:rPr>
              <w:t>93</w:t>
            </w:r>
          </w:p>
        </w:tc>
        <w:tc>
          <w:tcPr>
            <w:tcW w:w="833" w:type="pct"/>
            <w:shd w:val="clear" w:color="auto" w:fill="auto"/>
            <w:vAlign w:val="bottom"/>
          </w:tcPr>
          <w:p w:rsidR="00815842" w:rsidRPr="00247C4C" w:rsidP="004C1EBA">
            <w:pPr>
              <w:pStyle w:val="csbody00"/>
              <w:rPr>
                <w:bCs/>
                <w:caps/>
              </w:rPr>
            </w:pPr>
            <w:r w:rsidRPr="00247C4C">
              <w:rPr>
                <w:bCs/>
                <w:caps/>
              </w:rPr>
              <w:t>88</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right w:val="single" w:sz="4" w:space="0" w:color="auto"/>
            </w:tcBorders>
            <w:shd w:val="clear" w:color="auto" w:fill="auto"/>
            <w:vAlign w:val="bottom"/>
          </w:tcPr>
          <w:p w:rsidR="00815842" w:rsidRPr="009C3B44" w:rsidP="004C1EBA">
            <w:pPr>
              <w:pStyle w:val="csbody0bold0"/>
              <w:rPr>
                <w:caps/>
              </w:rPr>
            </w:pPr>
            <w:r w:rsidRPr="009C3B44">
              <w:t>Total operating expenses</w:t>
            </w:r>
            <w:r>
              <w:t xml:space="preserve"> </w:t>
            </w:r>
            <w:r w:rsidRPr="009C3B44">
              <w:rPr>
                <w:bCs/>
              </w:rPr>
              <w:t>/</w:t>
            </w:r>
            <w:r>
              <w:rPr>
                <w:bCs/>
              </w:rPr>
              <w:t xml:space="preserve"> </w:t>
            </w:r>
            <w:r w:rsidRPr="009C3B44">
              <w:rPr>
                <w:bCs/>
              </w:rPr>
              <w:t>Total Geschäftsaufwand</w:t>
            </w:r>
          </w:p>
        </w:tc>
        <w:tc>
          <w:tcPr>
            <w:tcW w:w="832" w:type="pct"/>
            <w:tcBorders>
              <w:left w:val="single" w:sz="4" w:space="0" w:color="auto"/>
            </w:tcBorders>
            <w:shd w:val="clear" w:color="auto" w:fill="auto"/>
            <w:vAlign w:val="bottom"/>
          </w:tcPr>
          <w:p w:rsidR="00815842" w:rsidRPr="00247C4C" w:rsidP="004C1EBA">
            <w:pPr>
              <w:pStyle w:val="csbody00"/>
              <w:rPr>
                <w:bCs/>
                <w:caps/>
              </w:rPr>
            </w:pPr>
            <w:r w:rsidRPr="00247C4C">
              <w:rPr>
                <w:bCs/>
                <w:caps/>
              </w:rPr>
              <w:t>22,503</w:t>
            </w:r>
          </w:p>
        </w:tc>
        <w:tc>
          <w:tcPr>
            <w:tcW w:w="832" w:type="pct"/>
            <w:shd w:val="clear" w:color="auto" w:fill="auto"/>
            <w:vAlign w:val="bottom"/>
          </w:tcPr>
          <w:p w:rsidR="00815842" w:rsidRPr="00247C4C" w:rsidP="004C1EBA">
            <w:pPr>
              <w:pStyle w:val="csbody00"/>
              <w:rPr>
                <w:bCs/>
                <w:caps/>
              </w:rPr>
            </w:pPr>
            <w:r w:rsidRPr="00247C4C">
              <w:rPr>
                <w:bCs/>
                <w:caps/>
              </w:rPr>
              <w:t>21,567</w:t>
            </w:r>
          </w:p>
        </w:tc>
        <w:tc>
          <w:tcPr>
            <w:tcW w:w="833" w:type="pct"/>
            <w:shd w:val="clear" w:color="auto" w:fill="auto"/>
            <w:vAlign w:val="bottom"/>
          </w:tcPr>
          <w:p w:rsidR="00815842" w:rsidRPr="00247C4C" w:rsidP="004C1EBA">
            <w:pPr>
              <w:pStyle w:val="csbody00"/>
              <w:rPr>
                <w:bCs/>
                <w:caps/>
              </w:rPr>
            </w:pPr>
            <w:r w:rsidRPr="00247C4C">
              <w:rPr>
                <w:bCs/>
                <w:caps/>
              </w:rPr>
              <w:t>21,109</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right w:val="single" w:sz="4" w:space="0" w:color="auto"/>
            </w:tcBorders>
            <w:shd w:val="clear" w:color="auto" w:fill="auto"/>
            <w:vAlign w:val="bottom"/>
          </w:tcPr>
          <w:p w:rsidR="00815842" w:rsidRPr="00464560" w:rsidP="004C1EBA">
            <w:pPr>
              <w:pStyle w:val="csbody0bold0"/>
              <w:rPr>
                <w:lang w:val="de-DE"/>
              </w:rPr>
            </w:pPr>
            <w:r w:rsidRPr="00464560">
              <w:rPr>
                <w:lang w:val="de-DE"/>
              </w:rPr>
              <w:t xml:space="preserve">Income from continuing operations before taxes / </w:t>
            </w:r>
            <w:r w:rsidRPr="009C3B44">
              <w:rPr>
                <w:bCs/>
                <w:lang w:val="de-DE"/>
              </w:rPr>
              <w:t>Ergebnis aus fortzuführenden Geschäftsbereichen vor Steuern</w:t>
            </w:r>
          </w:p>
        </w:tc>
        <w:tc>
          <w:tcPr>
            <w:tcW w:w="832" w:type="pct"/>
            <w:tcBorders>
              <w:left w:val="single" w:sz="4" w:space="0" w:color="auto"/>
            </w:tcBorders>
            <w:shd w:val="clear" w:color="auto" w:fill="auto"/>
            <w:vAlign w:val="bottom"/>
          </w:tcPr>
          <w:p w:rsidR="00815842" w:rsidRPr="00247C4C" w:rsidP="004C1EBA">
            <w:pPr>
              <w:pStyle w:val="csbody00"/>
              <w:rPr>
                <w:bCs/>
                <w:caps/>
              </w:rPr>
            </w:pPr>
            <w:r>
              <w:rPr>
                <w:bCs/>
                <w:caps/>
              </w:rPr>
              <w:t>2,961</w:t>
            </w:r>
          </w:p>
        </w:tc>
        <w:tc>
          <w:tcPr>
            <w:tcW w:w="832" w:type="pct"/>
            <w:shd w:val="clear" w:color="auto" w:fill="auto"/>
            <w:vAlign w:val="bottom"/>
          </w:tcPr>
          <w:p w:rsidR="00815842" w:rsidRPr="00247C4C" w:rsidP="004C1EBA">
            <w:pPr>
              <w:pStyle w:val="csbody00"/>
              <w:rPr>
                <w:bCs/>
                <w:caps/>
              </w:rPr>
            </w:pPr>
            <w:r w:rsidRPr="00247C4C">
              <w:rPr>
                <w:bCs/>
                <w:caps/>
              </w:rPr>
              <w:t>3,654</w:t>
            </w:r>
          </w:p>
        </w:tc>
        <w:tc>
          <w:tcPr>
            <w:tcW w:w="833" w:type="pct"/>
            <w:shd w:val="clear" w:color="auto" w:fill="auto"/>
            <w:vAlign w:val="bottom"/>
          </w:tcPr>
          <w:p w:rsidR="00815842" w:rsidRPr="00247C4C" w:rsidP="004C1EBA">
            <w:pPr>
              <w:pStyle w:val="csbody00"/>
              <w:rPr>
                <w:bCs/>
                <w:caps/>
              </w:rPr>
            </w:pPr>
            <w:r w:rsidRPr="00247C4C">
              <w:rPr>
                <w:bCs/>
                <w:caps/>
              </w:rPr>
              <w:t>1,779</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right w:val="single" w:sz="4" w:space="0" w:color="auto"/>
            </w:tcBorders>
            <w:shd w:val="clear" w:color="auto" w:fill="auto"/>
            <w:vAlign w:val="bottom"/>
          </w:tcPr>
          <w:p w:rsidR="00815842" w:rsidRPr="00464560" w:rsidP="004C1EBA">
            <w:pPr>
              <w:pStyle w:val="csbody0bold0"/>
              <w:rPr>
                <w:lang w:val="de-DE"/>
              </w:rPr>
            </w:pPr>
            <w:r>
              <w:rPr>
                <w:lang w:val="de-DE"/>
              </w:rPr>
              <w:t>Income tax expense/Ertragssteueraufwand</w:t>
            </w:r>
          </w:p>
        </w:tc>
        <w:tc>
          <w:tcPr>
            <w:tcW w:w="832" w:type="pct"/>
            <w:tcBorders>
              <w:left w:val="single" w:sz="4" w:space="0" w:color="auto"/>
            </w:tcBorders>
            <w:shd w:val="clear" w:color="auto" w:fill="auto"/>
            <w:vAlign w:val="bottom"/>
          </w:tcPr>
          <w:p w:rsidR="00815842" w:rsidRPr="00247C4C" w:rsidP="004C1EBA">
            <w:pPr>
              <w:pStyle w:val="csbody00"/>
              <w:rPr>
                <w:bCs/>
                <w:caps/>
                <w:lang w:val="de-DE"/>
              </w:rPr>
            </w:pPr>
            <w:r>
              <w:rPr>
                <w:bCs/>
                <w:caps/>
                <w:lang w:val="de-DE"/>
              </w:rPr>
              <w:t>1,299</w:t>
            </w:r>
          </w:p>
        </w:tc>
        <w:tc>
          <w:tcPr>
            <w:tcW w:w="832" w:type="pct"/>
            <w:shd w:val="clear" w:color="auto" w:fill="auto"/>
            <w:vAlign w:val="bottom"/>
          </w:tcPr>
          <w:p w:rsidR="00815842" w:rsidRPr="00247C4C" w:rsidP="004C1EBA">
            <w:pPr>
              <w:pStyle w:val="csbody00"/>
              <w:rPr>
                <w:bCs/>
                <w:lang w:val="de-DE"/>
              </w:rPr>
            </w:pPr>
            <w:r w:rsidRPr="00247C4C">
              <w:rPr>
                <w:bCs/>
                <w:lang w:val="de-DE"/>
              </w:rPr>
              <w:t>1,170</w:t>
            </w:r>
          </w:p>
        </w:tc>
        <w:tc>
          <w:tcPr>
            <w:tcW w:w="833" w:type="pct"/>
            <w:shd w:val="clear" w:color="auto" w:fill="auto"/>
            <w:vAlign w:val="bottom"/>
          </w:tcPr>
          <w:p w:rsidR="00815842" w:rsidRPr="00247C4C" w:rsidP="004C1EBA">
            <w:pPr>
              <w:pStyle w:val="csbody00"/>
              <w:rPr>
                <w:bCs/>
                <w:lang w:val="de-DE"/>
              </w:rPr>
            </w:pPr>
            <w:r w:rsidRPr="00247C4C">
              <w:rPr>
                <w:bCs/>
                <w:lang w:val="de-DE"/>
              </w:rPr>
              <w:t>365</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right w:val="single" w:sz="4" w:space="0" w:color="auto"/>
            </w:tcBorders>
            <w:shd w:val="clear" w:color="auto" w:fill="auto"/>
            <w:vAlign w:val="bottom"/>
          </w:tcPr>
          <w:p w:rsidR="00815842" w:rsidRPr="00464560" w:rsidP="004C1EBA">
            <w:pPr>
              <w:pStyle w:val="csbody0bold0"/>
              <w:rPr>
                <w:lang w:val="de-DE"/>
              </w:rPr>
            </w:pPr>
            <w:r w:rsidRPr="00464560">
              <w:rPr>
                <w:lang w:val="de-DE"/>
              </w:rPr>
              <w:t xml:space="preserve">Income from continuing operations / </w:t>
            </w:r>
            <w:r w:rsidRPr="009C3B44">
              <w:rPr>
                <w:bCs/>
                <w:lang w:val="de-DE"/>
              </w:rPr>
              <w:t>Ergebnis aus fortzuführenden Geschäftsbereichen</w:t>
            </w:r>
          </w:p>
        </w:tc>
        <w:tc>
          <w:tcPr>
            <w:tcW w:w="832" w:type="pct"/>
            <w:tcBorders>
              <w:left w:val="single" w:sz="4" w:space="0" w:color="auto"/>
            </w:tcBorders>
            <w:shd w:val="clear" w:color="auto" w:fill="auto"/>
            <w:vAlign w:val="bottom"/>
          </w:tcPr>
          <w:p w:rsidR="00815842" w:rsidRPr="00247C4C" w:rsidP="004C1EBA">
            <w:pPr>
              <w:pStyle w:val="csbody00"/>
              <w:rPr>
                <w:bCs/>
                <w:caps/>
              </w:rPr>
            </w:pPr>
            <w:r>
              <w:rPr>
                <w:bCs/>
                <w:caps/>
              </w:rPr>
              <w:t>1,662</w:t>
            </w:r>
          </w:p>
        </w:tc>
        <w:tc>
          <w:tcPr>
            <w:tcW w:w="832" w:type="pct"/>
            <w:shd w:val="clear" w:color="auto" w:fill="auto"/>
            <w:vAlign w:val="bottom"/>
          </w:tcPr>
          <w:p w:rsidR="00815842" w:rsidRPr="00247C4C" w:rsidP="004C1EBA">
            <w:pPr>
              <w:pStyle w:val="csbody00"/>
              <w:rPr>
                <w:bCs/>
                <w:caps/>
              </w:rPr>
            </w:pPr>
            <w:r w:rsidRPr="00247C4C">
              <w:rPr>
                <w:bCs/>
                <w:caps/>
              </w:rPr>
              <w:t>2,484</w:t>
            </w:r>
          </w:p>
        </w:tc>
        <w:tc>
          <w:tcPr>
            <w:tcW w:w="833" w:type="pct"/>
            <w:shd w:val="clear" w:color="auto" w:fill="auto"/>
            <w:vAlign w:val="bottom"/>
          </w:tcPr>
          <w:p w:rsidR="00815842" w:rsidRPr="00247C4C" w:rsidP="004C1EBA">
            <w:pPr>
              <w:pStyle w:val="csbody00"/>
              <w:rPr>
                <w:bCs/>
                <w:caps/>
              </w:rPr>
            </w:pPr>
            <w:r w:rsidRPr="00247C4C">
              <w:rPr>
                <w:bCs/>
                <w:caps/>
              </w:rPr>
              <w:t>1,414</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bottom w:val="single" w:sz="4" w:space="0" w:color="auto"/>
              <w:right w:val="single" w:sz="4" w:space="0" w:color="auto"/>
            </w:tcBorders>
            <w:shd w:val="clear" w:color="auto" w:fill="auto"/>
            <w:vAlign w:val="bottom"/>
          </w:tcPr>
          <w:p w:rsidR="00815842" w:rsidRPr="00D46EAD" w:rsidP="004C1EBA">
            <w:pPr>
              <w:pStyle w:val="csbody0bold0"/>
              <w:rPr>
                <w:lang w:val="de-DE"/>
              </w:rPr>
            </w:pPr>
            <w:r w:rsidRPr="00D46EAD">
              <w:rPr>
                <w:lang w:val="de-DE"/>
              </w:rPr>
              <w:t>Income/(loss) from discontinued operations, net of tax/</w:t>
            </w:r>
            <w:r>
              <w:rPr>
                <w:lang w:val="de-DE"/>
              </w:rPr>
              <w:t xml:space="preserve"> </w:t>
            </w:r>
            <w:r w:rsidRPr="00D46EAD">
              <w:rPr>
                <w:lang w:val="de-DE"/>
              </w:rPr>
              <w:t>Ergebnis</w:t>
            </w:r>
            <w:r>
              <w:rPr>
                <w:lang w:val="de-DE"/>
              </w:rPr>
              <w:t>/(Verlust)</w:t>
            </w:r>
            <w:r w:rsidRPr="00D46EAD">
              <w:rPr>
                <w:lang w:val="de-DE"/>
              </w:rPr>
              <w:t xml:space="preserve"> aus aufgegebenen Geschäftsbereichen nach Steuern</w:t>
            </w:r>
          </w:p>
        </w:tc>
        <w:tc>
          <w:tcPr>
            <w:tcW w:w="832" w:type="pct"/>
            <w:tcBorders>
              <w:left w:val="single" w:sz="4" w:space="0" w:color="auto"/>
              <w:bottom w:val="single" w:sz="4" w:space="0" w:color="auto"/>
            </w:tcBorders>
            <w:shd w:val="clear" w:color="auto" w:fill="auto"/>
            <w:vAlign w:val="bottom"/>
          </w:tcPr>
          <w:p w:rsidR="00815842" w:rsidRPr="00247C4C" w:rsidP="004C1EBA">
            <w:pPr>
              <w:pStyle w:val="csbody00"/>
              <w:rPr>
                <w:bCs/>
                <w:caps/>
              </w:rPr>
            </w:pPr>
            <w:r>
              <w:rPr>
                <w:bCs/>
                <w:caps/>
              </w:rPr>
              <w:t>102</w:t>
            </w:r>
          </w:p>
        </w:tc>
        <w:tc>
          <w:tcPr>
            <w:tcW w:w="832" w:type="pct"/>
            <w:tcBorders>
              <w:bottom w:val="single" w:sz="4" w:space="0" w:color="auto"/>
            </w:tcBorders>
            <w:shd w:val="clear" w:color="auto" w:fill="auto"/>
            <w:vAlign w:val="bottom"/>
          </w:tcPr>
          <w:p w:rsidR="00815842" w:rsidRPr="00247C4C" w:rsidP="004C1EBA">
            <w:pPr>
              <w:pStyle w:val="csbody00"/>
              <w:rPr>
                <w:bCs/>
              </w:rPr>
            </w:pPr>
            <w:r w:rsidRPr="00247C4C">
              <w:rPr>
                <w:bCs/>
              </w:rPr>
              <w:t>145</w:t>
            </w:r>
          </w:p>
        </w:tc>
        <w:tc>
          <w:tcPr>
            <w:tcW w:w="833" w:type="pct"/>
            <w:tcBorders>
              <w:bottom w:val="single" w:sz="4" w:space="0" w:color="auto"/>
            </w:tcBorders>
            <w:shd w:val="clear" w:color="auto" w:fill="auto"/>
            <w:vAlign w:val="bottom"/>
          </w:tcPr>
          <w:p w:rsidR="00815842" w:rsidRPr="00247C4C" w:rsidP="004C1EBA">
            <w:pPr>
              <w:pStyle w:val="csbody00"/>
              <w:rPr>
                <w:bCs/>
              </w:rPr>
            </w:pPr>
            <w:r w:rsidRPr="00247C4C">
              <w:rPr>
                <w:bCs/>
              </w:rPr>
              <w:t>(40)</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top w:val="single" w:sz="4" w:space="0" w:color="auto"/>
              <w:bottom w:val="single" w:sz="4" w:space="0" w:color="auto"/>
              <w:right w:val="single" w:sz="4" w:space="0" w:color="auto"/>
            </w:tcBorders>
            <w:shd w:val="clear" w:color="auto" w:fill="auto"/>
            <w:vAlign w:val="bottom"/>
          </w:tcPr>
          <w:p w:rsidR="00815842" w:rsidRPr="009C3B44" w:rsidP="004C1EBA">
            <w:pPr>
              <w:pStyle w:val="csbody0bold0"/>
              <w:rPr>
                <w:caps/>
              </w:rPr>
            </w:pPr>
            <w:r w:rsidRPr="009C3B44">
              <w:t>Net income</w:t>
            </w:r>
            <w:r>
              <w:t xml:space="preserve"> / </w:t>
            </w:r>
            <w:r w:rsidRPr="009C3B44">
              <w:rPr>
                <w:bCs/>
                <w:lang w:val="de-DE"/>
              </w:rPr>
              <w:t>Reingewinn</w:t>
            </w:r>
          </w:p>
        </w:tc>
        <w:tc>
          <w:tcPr>
            <w:tcW w:w="832" w:type="pct"/>
            <w:tcBorders>
              <w:top w:val="single" w:sz="4" w:space="0" w:color="auto"/>
              <w:left w:val="single" w:sz="4" w:space="0" w:color="auto"/>
              <w:bottom w:val="single" w:sz="4" w:space="0" w:color="auto"/>
            </w:tcBorders>
            <w:shd w:val="clear" w:color="auto" w:fill="auto"/>
            <w:vAlign w:val="bottom"/>
          </w:tcPr>
          <w:p w:rsidR="00815842" w:rsidRPr="00247C4C" w:rsidP="004C1EBA">
            <w:pPr>
              <w:pStyle w:val="csbody00"/>
              <w:rPr>
                <w:bCs/>
                <w:caps/>
              </w:rPr>
            </w:pPr>
            <w:r>
              <w:rPr>
                <w:bCs/>
                <w:caps/>
              </w:rPr>
              <w:t>1,764</w:t>
            </w:r>
          </w:p>
        </w:tc>
        <w:tc>
          <w:tcPr>
            <w:tcW w:w="832" w:type="pct"/>
            <w:tcBorders>
              <w:top w:val="single" w:sz="4" w:space="0" w:color="auto"/>
              <w:bottom w:val="single" w:sz="4" w:space="0" w:color="auto"/>
            </w:tcBorders>
            <w:shd w:val="clear" w:color="auto" w:fill="auto"/>
            <w:vAlign w:val="bottom"/>
          </w:tcPr>
          <w:p w:rsidR="00815842" w:rsidRPr="00247C4C" w:rsidP="004C1EBA">
            <w:pPr>
              <w:pStyle w:val="csbody00"/>
              <w:rPr>
                <w:bCs/>
                <w:caps/>
              </w:rPr>
            </w:pPr>
            <w:r w:rsidRPr="00247C4C">
              <w:rPr>
                <w:bCs/>
                <w:caps/>
              </w:rPr>
              <w:t>2,629</w:t>
            </w:r>
          </w:p>
        </w:tc>
        <w:tc>
          <w:tcPr>
            <w:tcW w:w="833" w:type="pct"/>
            <w:tcBorders>
              <w:top w:val="single" w:sz="4" w:space="0" w:color="auto"/>
              <w:bottom w:val="single" w:sz="4" w:space="0" w:color="auto"/>
            </w:tcBorders>
            <w:shd w:val="clear" w:color="auto" w:fill="auto"/>
            <w:vAlign w:val="bottom"/>
          </w:tcPr>
          <w:p w:rsidR="00815842" w:rsidRPr="00247C4C" w:rsidP="004C1EBA">
            <w:pPr>
              <w:pStyle w:val="csbody00"/>
              <w:rPr>
                <w:bCs/>
                <w:caps/>
              </w:rPr>
            </w:pPr>
            <w:r w:rsidRPr="00247C4C">
              <w:rPr>
                <w:bCs/>
                <w:caps/>
              </w:rPr>
              <w:t>1,374</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top w:val="single" w:sz="4" w:space="0" w:color="auto"/>
              <w:right w:val="single" w:sz="4" w:space="0" w:color="auto"/>
            </w:tcBorders>
            <w:shd w:val="clear" w:color="auto" w:fill="auto"/>
            <w:vAlign w:val="bottom"/>
          </w:tcPr>
          <w:p w:rsidR="00815842" w:rsidRPr="00D46EAD" w:rsidP="004C1EBA">
            <w:pPr>
              <w:pStyle w:val="csbody0bold0"/>
              <w:rPr>
                <w:highlight w:val="yellow"/>
                <w:lang w:val="de-DE"/>
              </w:rPr>
            </w:pPr>
            <w:r>
              <w:rPr>
                <w:lang w:val="de-DE"/>
              </w:rPr>
              <w:t>Net income</w:t>
            </w:r>
            <w:r w:rsidRPr="00D46EAD">
              <w:rPr>
                <w:lang w:val="de-DE"/>
              </w:rPr>
              <w:t xml:space="preserve"> attributable to noncontrolling interests/den Minderheiten zur</w:t>
            </w:r>
            <w:r>
              <w:rPr>
                <w:lang w:val="de-DE"/>
              </w:rPr>
              <w:t>echenbarer Reingewinn</w:t>
            </w:r>
          </w:p>
        </w:tc>
        <w:tc>
          <w:tcPr>
            <w:tcW w:w="832" w:type="pct"/>
            <w:tcBorders>
              <w:top w:val="single" w:sz="4" w:space="0" w:color="auto"/>
              <w:left w:val="single" w:sz="4" w:space="0" w:color="auto"/>
            </w:tcBorders>
            <w:shd w:val="clear" w:color="auto" w:fill="auto"/>
            <w:vAlign w:val="bottom"/>
          </w:tcPr>
          <w:p w:rsidR="00815842" w:rsidRPr="00247C4C" w:rsidP="004C1EBA">
            <w:pPr>
              <w:pStyle w:val="csbody00"/>
              <w:rPr>
                <w:bCs/>
                <w:caps/>
              </w:rPr>
            </w:pPr>
            <w:r>
              <w:rPr>
                <w:bCs/>
                <w:caps/>
              </w:rPr>
              <w:t>445</w:t>
            </w:r>
          </w:p>
        </w:tc>
        <w:tc>
          <w:tcPr>
            <w:tcW w:w="832" w:type="pct"/>
            <w:tcBorders>
              <w:top w:val="single" w:sz="4" w:space="0" w:color="auto"/>
            </w:tcBorders>
            <w:shd w:val="clear" w:color="auto" w:fill="auto"/>
            <w:vAlign w:val="bottom"/>
          </w:tcPr>
          <w:p w:rsidR="00815842" w:rsidRPr="009C3B44" w:rsidP="004C1EBA">
            <w:pPr>
              <w:pStyle w:val="csbody00"/>
              <w:rPr>
                <w:bCs/>
              </w:rPr>
            </w:pPr>
            <w:r>
              <w:rPr>
                <w:bCs/>
              </w:rPr>
              <w:t>669</w:t>
            </w:r>
          </w:p>
        </w:tc>
        <w:tc>
          <w:tcPr>
            <w:tcW w:w="833" w:type="pct"/>
            <w:tcBorders>
              <w:top w:val="single" w:sz="4" w:space="0" w:color="auto"/>
            </w:tcBorders>
            <w:shd w:val="clear" w:color="auto" w:fill="auto"/>
            <w:vAlign w:val="bottom"/>
          </w:tcPr>
          <w:p w:rsidR="00815842" w:rsidRPr="009C3B44" w:rsidP="004C1EBA">
            <w:pPr>
              <w:pStyle w:val="csbody00"/>
              <w:rPr>
                <w:bCs/>
              </w:rPr>
            </w:pPr>
            <w:r>
              <w:rPr>
                <w:bCs/>
              </w:rPr>
              <w:t>333</w:t>
            </w:r>
          </w:p>
        </w:tc>
      </w:tr>
      <w:tr w:rsidTr="004C1EBA">
        <w:tblPrEx>
          <w:tblW w:w="5019" w:type="pct"/>
          <w:tblInd w:w="-10" w:type="dxa"/>
          <w:tblCellMar>
            <w:left w:w="115" w:type="dxa"/>
            <w:right w:w="115" w:type="dxa"/>
          </w:tblCellMar>
          <w:tblLook w:val="01E0"/>
        </w:tblPrEx>
        <w:trPr>
          <w:gridAfter w:val="1"/>
          <w:wAfter w:w="9" w:type="dxa"/>
        </w:trPr>
        <w:tc>
          <w:tcPr>
            <w:tcW w:w="2494" w:type="pct"/>
            <w:gridSpan w:val="2"/>
            <w:tcBorders>
              <w:right w:val="single" w:sz="4" w:space="0" w:color="auto"/>
            </w:tcBorders>
            <w:shd w:val="clear" w:color="auto" w:fill="auto"/>
            <w:vAlign w:val="bottom"/>
          </w:tcPr>
          <w:p w:rsidR="00815842" w:rsidRPr="00464560" w:rsidP="007045B6">
            <w:pPr>
              <w:pStyle w:val="csbody0bold0"/>
              <w:rPr>
                <w:lang w:val="de-DE"/>
              </w:rPr>
            </w:pPr>
            <w:r w:rsidRPr="00464560">
              <w:rPr>
                <w:lang w:val="de-DE"/>
              </w:rPr>
              <w:t xml:space="preserve">Net income attributable to shareholder / </w:t>
            </w:r>
            <w:r w:rsidR="007045B6">
              <w:rPr>
                <w:lang w:val="de-DE"/>
              </w:rPr>
              <w:t>d</w:t>
            </w:r>
            <w:r w:rsidRPr="00A42CAC" w:rsidR="007045B6">
              <w:rPr>
                <w:bCs/>
                <w:lang w:val="de-DE"/>
              </w:rPr>
              <w:t>e</w:t>
            </w:r>
            <w:r w:rsidR="007045B6">
              <w:rPr>
                <w:bCs/>
                <w:lang w:val="de-DE"/>
              </w:rPr>
              <w:t>m</w:t>
            </w:r>
            <w:r w:rsidRPr="00A42CAC" w:rsidR="007045B6">
              <w:rPr>
                <w:bCs/>
                <w:lang w:val="de-DE"/>
              </w:rPr>
              <w:t xml:space="preserve"> </w:t>
            </w:r>
            <w:r w:rsidRPr="00A42CAC">
              <w:rPr>
                <w:bCs/>
                <w:lang w:val="de-DE"/>
              </w:rPr>
              <w:t>Aktionär zurechenbarer Reingewinn</w:t>
            </w:r>
          </w:p>
        </w:tc>
        <w:tc>
          <w:tcPr>
            <w:tcW w:w="832" w:type="pct"/>
            <w:tcBorders>
              <w:left w:val="single" w:sz="4" w:space="0" w:color="auto"/>
            </w:tcBorders>
            <w:shd w:val="clear" w:color="auto" w:fill="auto"/>
            <w:vAlign w:val="bottom"/>
          </w:tcPr>
          <w:p w:rsidR="00815842" w:rsidRPr="00247C4C" w:rsidP="004C1EBA">
            <w:pPr>
              <w:pStyle w:val="csbody00"/>
              <w:rPr>
                <w:bCs/>
                <w:caps/>
              </w:rPr>
            </w:pPr>
            <w:r>
              <w:rPr>
                <w:bCs/>
                <w:caps/>
              </w:rPr>
              <w:t>1,319</w:t>
            </w:r>
          </w:p>
        </w:tc>
        <w:tc>
          <w:tcPr>
            <w:tcW w:w="832" w:type="pct"/>
            <w:shd w:val="clear" w:color="auto" w:fill="auto"/>
            <w:vAlign w:val="bottom"/>
          </w:tcPr>
          <w:p w:rsidR="00815842" w:rsidRPr="009C3B44" w:rsidP="004C1EBA">
            <w:pPr>
              <w:pStyle w:val="csbody00"/>
              <w:rPr>
                <w:b/>
                <w:bCs/>
                <w:caps/>
              </w:rPr>
            </w:pPr>
            <w:r>
              <w:rPr>
                <w:bCs/>
              </w:rPr>
              <w:t>1,960</w:t>
            </w:r>
          </w:p>
        </w:tc>
        <w:tc>
          <w:tcPr>
            <w:tcW w:w="833" w:type="pct"/>
            <w:shd w:val="clear" w:color="auto" w:fill="auto"/>
            <w:vAlign w:val="bottom"/>
          </w:tcPr>
          <w:p w:rsidR="00815842" w:rsidRPr="009C3B44" w:rsidP="004C1EBA">
            <w:pPr>
              <w:pStyle w:val="csbody00"/>
              <w:rPr>
                <w:b/>
                <w:bCs/>
                <w:caps/>
              </w:rPr>
            </w:pPr>
            <w:r>
              <w:rPr>
                <w:bCs/>
              </w:rPr>
              <w:t>1,041</w:t>
            </w:r>
          </w:p>
        </w:tc>
      </w:tr>
    </w:tbl>
    <w:p w:rsidR="00815842" w:rsidP="004C1EBA">
      <w:pPr>
        <w:pStyle w:val="CSBody0"/>
      </w:pPr>
    </w:p>
    <w:tbl>
      <w:tblPr>
        <w:tblW w:w="5011" w:type="pct"/>
        <w:tblInd w:w="-3" w:type="dxa"/>
        <w:tblCellMar>
          <w:left w:w="115" w:type="dxa"/>
          <w:right w:w="115" w:type="dxa"/>
        </w:tblCellMar>
        <w:tblLook w:val="01E0"/>
      </w:tblPr>
      <w:tblGrid>
        <w:gridCol w:w="9"/>
        <w:gridCol w:w="4928"/>
        <w:gridCol w:w="2467"/>
        <w:gridCol w:w="174"/>
        <w:gridCol w:w="2285"/>
        <w:gridCol w:w="18"/>
        <w:gridCol w:w="10"/>
      </w:tblGrid>
      <w:tr w:rsidTr="00E97AA6">
        <w:tblPrEx>
          <w:tblW w:w="5011" w:type="pct"/>
          <w:tblInd w:w="-3" w:type="dxa"/>
          <w:tblCellMar>
            <w:left w:w="115" w:type="dxa"/>
            <w:right w:w="115" w:type="dxa"/>
          </w:tblCellMar>
          <w:tblLook w:val="01E0"/>
        </w:tblPrEx>
        <w:trPr>
          <w:gridAfter w:val="2"/>
          <w:wAfter w:w="14" w:type="dxa"/>
          <w:trHeight w:val="540"/>
        </w:trPr>
        <w:tc>
          <w:tcPr>
            <w:tcW w:w="2496" w:type="pct"/>
            <w:gridSpan w:val="2"/>
            <w:tcBorders>
              <w:bottom w:val="single" w:sz="4" w:space="0" w:color="auto"/>
              <w:right w:val="single" w:sz="4" w:space="0" w:color="auto"/>
            </w:tcBorders>
            <w:shd w:val="clear" w:color="auto" w:fill="auto"/>
          </w:tcPr>
          <w:p w:rsidR="00815842" w:rsidRPr="00791DEA" w:rsidP="004C1EBA">
            <w:pPr>
              <w:pStyle w:val="csbody0bold0"/>
            </w:pPr>
            <w:r w:rsidRPr="00791DEA">
              <w:t>Quarter ended 30 September (CHF million) (unaudited) / Quartal per 30. September</w:t>
            </w:r>
            <w:r w:rsidRPr="00791DEA">
              <w:rPr>
                <w:lang w:val="de-DE"/>
              </w:rPr>
              <w:t xml:space="preserve"> (in Mio. CHF) (ungeprüft)</w:t>
            </w:r>
          </w:p>
        </w:tc>
        <w:tc>
          <w:tcPr>
            <w:tcW w:w="1335" w:type="pct"/>
            <w:gridSpan w:val="2"/>
            <w:tcBorders>
              <w:left w:val="single" w:sz="4" w:space="0" w:color="auto"/>
              <w:bottom w:val="single" w:sz="4" w:space="0" w:color="auto"/>
            </w:tcBorders>
            <w:shd w:val="clear" w:color="auto" w:fill="auto"/>
          </w:tcPr>
          <w:p w:rsidR="00815842" w:rsidRPr="00BD6E0D" w:rsidP="004C1EBA">
            <w:pPr>
              <w:pStyle w:val="csbody00"/>
              <w:rPr>
                <w:b/>
                <w:vertAlign w:val="superscript"/>
                <w:lang w:val="de-DE"/>
              </w:rPr>
            </w:pPr>
            <w:r w:rsidRPr="00BD6E0D">
              <w:rPr>
                <w:b/>
                <w:lang w:val="de-DE"/>
              </w:rPr>
              <w:t>3Q15</w:t>
            </w:r>
          </w:p>
        </w:tc>
        <w:tc>
          <w:tcPr>
            <w:tcW w:w="1155" w:type="pct"/>
            <w:tcBorders>
              <w:bottom w:val="single" w:sz="4" w:space="0" w:color="auto"/>
            </w:tcBorders>
            <w:shd w:val="clear" w:color="auto" w:fill="auto"/>
          </w:tcPr>
          <w:p w:rsidR="00815842" w:rsidRPr="00BD6E0D" w:rsidP="004C1EBA">
            <w:pPr>
              <w:pStyle w:val="csbody00"/>
              <w:rPr>
                <w:b/>
                <w:vertAlign w:val="superscript"/>
                <w:lang w:val="de-DE"/>
              </w:rPr>
            </w:pPr>
            <w:r w:rsidRPr="00BD6E0D">
              <w:rPr>
                <w:b/>
                <w:lang w:val="de-DE"/>
              </w:rPr>
              <w:t>3Q14</w:t>
            </w:r>
          </w:p>
        </w:tc>
      </w:tr>
      <w:tr w:rsidTr="00E97AA6">
        <w:tblPrEx>
          <w:tblW w:w="5011" w:type="pct"/>
          <w:tblInd w:w="-3" w:type="dxa"/>
          <w:tblCellMar>
            <w:left w:w="115" w:type="dxa"/>
            <w:right w:w="115" w:type="dxa"/>
          </w:tblCellMar>
          <w:tblLook w:val="01E0"/>
        </w:tblPrEx>
        <w:trPr>
          <w:gridAfter w:val="2"/>
          <w:wAfter w:w="14" w:type="dxa"/>
        </w:trPr>
        <w:tc>
          <w:tcPr>
            <w:tcW w:w="2496" w:type="pct"/>
            <w:gridSpan w:val="2"/>
            <w:tcBorders>
              <w:top w:val="single" w:sz="4" w:space="0" w:color="auto"/>
              <w:bottom w:val="single" w:sz="4" w:space="0" w:color="auto"/>
              <w:right w:val="single" w:sz="4" w:space="0" w:color="auto"/>
            </w:tcBorders>
            <w:shd w:val="clear" w:color="auto" w:fill="auto"/>
            <w:vAlign w:val="bottom"/>
          </w:tcPr>
          <w:p w:rsidR="00815842" w:rsidRPr="00791DEA" w:rsidP="004C1EBA">
            <w:pPr>
              <w:pStyle w:val="csbody0bold0"/>
            </w:pPr>
            <w:r w:rsidRPr="00791DEA">
              <w:t>Net revenues / Nettoertrag</w:t>
            </w:r>
          </w:p>
        </w:tc>
        <w:tc>
          <w:tcPr>
            <w:tcW w:w="1335" w:type="pct"/>
            <w:gridSpan w:val="2"/>
            <w:tcBorders>
              <w:top w:val="single" w:sz="4" w:space="0" w:color="auto"/>
              <w:left w:val="single" w:sz="4" w:space="0" w:color="auto"/>
            </w:tcBorders>
            <w:shd w:val="clear" w:color="auto" w:fill="auto"/>
          </w:tcPr>
          <w:p w:rsidR="00815842" w:rsidRPr="00791DEA" w:rsidP="004C1EBA">
            <w:pPr>
              <w:pStyle w:val="csbody00"/>
            </w:pPr>
            <w:r w:rsidRPr="00791DEA">
              <w:t>5</w:t>
            </w:r>
            <w:r w:rsidR="00B00E57">
              <w:t>,</w:t>
            </w:r>
            <w:r w:rsidRPr="00791DEA">
              <w:t>753</w:t>
            </w:r>
          </w:p>
        </w:tc>
        <w:tc>
          <w:tcPr>
            <w:tcW w:w="1155" w:type="pct"/>
            <w:tcBorders>
              <w:top w:val="single" w:sz="4" w:space="0" w:color="auto"/>
            </w:tcBorders>
            <w:shd w:val="clear" w:color="auto" w:fill="auto"/>
          </w:tcPr>
          <w:p w:rsidR="00815842" w:rsidRPr="00791DEA">
            <w:pPr>
              <w:pStyle w:val="csbody00"/>
            </w:pPr>
            <w:r w:rsidRPr="00791DEA">
              <w:t>6</w:t>
            </w:r>
            <w:r w:rsidR="00B00E57">
              <w:t>,</w:t>
            </w:r>
            <w:r w:rsidRPr="00791DEA">
              <w:t>369</w:t>
            </w:r>
          </w:p>
        </w:tc>
      </w:tr>
      <w:tr w:rsidTr="00E97AA6">
        <w:tblPrEx>
          <w:tblW w:w="5011" w:type="pct"/>
          <w:tblInd w:w="-3" w:type="dxa"/>
          <w:tblCellMar>
            <w:left w:w="115" w:type="dxa"/>
            <w:right w:w="115" w:type="dxa"/>
          </w:tblCellMar>
          <w:tblLook w:val="01E0"/>
        </w:tblPrEx>
        <w:trPr>
          <w:gridAfter w:val="2"/>
          <w:wAfter w:w="14" w:type="dxa"/>
        </w:trPr>
        <w:tc>
          <w:tcPr>
            <w:tcW w:w="2496" w:type="pct"/>
            <w:gridSpan w:val="2"/>
            <w:tcBorders>
              <w:top w:val="single" w:sz="4" w:space="0" w:color="auto"/>
              <w:right w:val="single" w:sz="4" w:space="0" w:color="auto"/>
            </w:tcBorders>
            <w:shd w:val="clear" w:color="auto" w:fill="auto"/>
            <w:vAlign w:val="bottom"/>
          </w:tcPr>
          <w:p w:rsidR="00815842" w:rsidRPr="00791DEA" w:rsidP="004C1EBA">
            <w:pPr>
              <w:pStyle w:val="csbody0bold0"/>
              <w:rPr>
                <w:lang w:val="de-DE"/>
              </w:rPr>
            </w:pPr>
            <w:r w:rsidRPr="00791DEA">
              <w:rPr>
                <w:lang w:val="de-DE"/>
              </w:rPr>
              <w:t>Provision for credit losses / Rückstellung für Kreditrisiken</w:t>
            </w:r>
          </w:p>
        </w:tc>
        <w:tc>
          <w:tcPr>
            <w:tcW w:w="1335" w:type="pct"/>
            <w:gridSpan w:val="2"/>
            <w:tcBorders>
              <w:top w:val="single" w:sz="4" w:space="0" w:color="auto"/>
              <w:left w:val="single" w:sz="4" w:space="0" w:color="auto"/>
            </w:tcBorders>
            <w:shd w:val="clear" w:color="auto" w:fill="auto"/>
          </w:tcPr>
          <w:p w:rsidR="00815842" w:rsidRPr="00791DEA" w:rsidP="004C1EBA">
            <w:pPr>
              <w:pStyle w:val="csbody00"/>
              <w:rPr>
                <w:lang w:val="de-DE"/>
              </w:rPr>
            </w:pPr>
            <w:r w:rsidRPr="00791DEA">
              <w:rPr>
                <w:lang w:val="de-DE"/>
              </w:rPr>
              <w:t>97</w:t>
            </w:r>
          </w:p>
        </w:tc>
        <w:tc>
          <w:tcPr>
            <w:tcW w:w="1155" w:type="pct"/>
            <w:tcBorders>
              <w:top w:val="single" w:sz="4" w:space="0" w:color="auto"/>
            </w:tcBorders>
            <w:shd w:val="clear" w:color="auto" w:fill="auto"/>
          </w:tcPr>
          <w:p w:rsidR="00815842" w:rsidRPr="00791DEA" w:rsidP="004C1EBA">
            <w:pPr>
              <w:pStyle w:val="csbody00"/>
              <w:rPr>
                <w:lang w:val="de-DE"/>
              </w:rPr>
            </w:pPr>
            <w:r w:rsidRPr="00791DEA">
              <w:rPr>
                <w:lang w:val="de-DE"/>
              </w:rPr>
              <w:t>43</w:t>
            </w:r>
          </w:p>
        </w:tc>
      </w:tr>
      <w:tr w:rsidTr="00E97AA6">
        <w:tblPrEx>
          <w:tblW w:w="5011" w:type="pct"/>
          <w:tblInd w:w="-3" w:type="dxa"/>
          <w:tblCellMar>
            <w:left w:w="115" w:type="dxa"/>
            <w:right w:w="115" w:type="dxa"/>
          </w:tblCellMar>
          <w:tblLook w:val="01E0"/>
        </w:tblPrEx>
        <w:trPr>
          <w:gridAfter w:val="2"/>
          <w:wAfter w:w="14" w:type="dxa"/>
        </w:trPr>
        <w:tc>
          <w:tcPr>
            <w:tcW w:w="2496" w:type="pct"/>
            <w:gridSpan w:val="2"/>
            <w:tcBorders>
              <w:right w:val="single" w:sz="4" w:space="0" w:color="auto"/>
            </w:tcBorders>
            <w:shd w:val="clear" w:color="auto" w:fill="auto"/>
            <w:vAlign w:val="bottom"/>
          </w:tcPr>
          <w:p w:rsidR="00815842" w:rsidRPr="00791DEA" w:rsidP="004C1EBA">
            <w:pPr>
              <w:pStyle w:val="csbody0bold0"/>
            </w:pPr>
            <w:r w:rsidRPr="00791DEA">
              <w:t>Total operating expenses / Total Geschäftsaufwand</w:t>
            </w:r>
          </w:p>
        </w:tc>
        <w:tc>
          <w:tcPr>
            <w:tcW w:w="1335" w:type="pct"/>
            <w:gridSpan w:val="2"/>
            <w:tcBorders>
              <w:left w:val="single" w:sz="4" w:space="0" w:color="auto"/>
            </w:tcBorders>
            <w:shd w:val="clear" w:color="auto" w:fill="auto"/>
          </w:tcPr>
          <w:p w:rsidR="00815842" w:rsidRPr="00791DEA" w:rsidP="004C1EBA">
            <w:pPr>
              <w:pStyle w:val="csbody00"/>
            </w:pPr>
            <w:r w:rsidRPr="00791DEA">
              <w:t>5,052</w:t>
            </w:r>
          </w:p>
        </w:tc>
        <w:tc>
          <w:tcPr>
            <w:tcW w:w="1155" w:type="pct"/>
            <w:shd w:val="clear" w:color="auto" w:fill="auto"/>
          </w:tcPr>
          <w:p w:rsidR="00815842" w:rsidRPr="00791DEA" w:rsidP="004C1EBA">
            <w:pPr>
              <w:pStyle w:val="csbody00"/>
            </w:pPr>
            <w:r w:rsidRPr="00791DEA">
              <w:t>5</w:t>
            </w:r>
            <w:r w:rsidR="00B00E57">
              <w:t>,</w:t>
            </w:r>
            <w:r w:rsidRPr="00791DEA">
              <w:t>219</w:t>
            </w:r>
          </w:p>
        </w:tc>
      </w:tr>
      <w:tr w:rsidTr="00E97AA6">
        <w:tblPrEx>
          <w:tblW w:w="5011" w:type="pct"/>
          <w:tblInd w:w="-3" w:type="dxa"/>
          <w:tblCellMar>
            <w:left w:w="115" w:type="dxa"/>
            <w:right w:w="115" w:type="dxa"/>
          </w:tblCellMar>
          <w:tblLook w:val="01E0"/>
        </w:tblPrEx>
        <w:trPr>
          <w:gridAfter w:val="2"/>
          <w:wAfter w:w="14" w:type="dxa"/>
        </w:trPr>
        <w:tc>
          <w:tcPr>
            <w:tcW w:w="2496" w:type="pct"/>
            <w:gridSpan w:val="2"/>
            <w:tcBorders>
              <w:right w:val="single" w:sz="4" w:space="0" w:color="auto"/>
            </w:tcBorders>
            <w:shd w:val="clear" w:color="auto" w:fill="auto"/>
            <w:vAlign w:val="bottom"/>
          </w:tcPr>
          <w:p w:rsidR="00815842" w:rsidRPr="00791DEA" w:rsidP="004C1EBA">
            <w:pPr>
              <w:pStyle w:val="csbody0bold0"/>
              <w:rPr>
                <w:lang w:val="de-DE"/>
              </w:rPr>
            </w:pPr>
            <w:r w:rsidRPr="00791DEA">
              <w:rPr>
                <w:lang w:val="de-DE"/>
              </w:rPr>
              <w:t>Income from continuing operations before taxes / Ergebnis aus fortzuführenden Geschäftsbereichen vor Steuern</w:t>
            </w:r>
          </w:p>
        </w:tc>
        <w:tc>
          <w:tcPr>
            <w:tcW w:w="1335" w:type="pct"/>
            <w:gridSpan w:val="2"/>
            <w:tcBorders>
              <w:left w:val="single" w:sz="4" w:space="0" w:color="auto"/>
            </w:tcBorders>
            <w:shd w:val="clear" w:color="auto" w:fill="auto"/>
          </w:tcPr>
          <w:p w:rsidR="00815842" w:rsidRPr="00791DEA" w:rsidP="004C1EBA">
            <w:pPr>
              <w:pStyle w:val="csbody00"/>
            </w:pPr>
            <w:r w:rsidRPr="00791DEA">
              <w:t>604</w:t>
            </w:r>
          </w:p>
        </w:tc>
        <w:tc>
          <w:tcPr>
            <w:tcW w:w="1155" w:type="pct"/>
            <w:shd w:val="clear" w:color="auto" w:fill="auto"/>
          </w:tcPr>
          <w:p w:rsidR="00815842" w:rsidRPr="00791DEA" w:rsidP="004C1EBA">
            <w:pPr>
              <w:pStyle w:val="csbody00"/>
            </w:pPr>
            <w:r w:rsidRPr="00791DEA">
              <w:t>1</w:t>
            </w:r>
            <w:r w:rsidR="00B00E57">
              <w:t>,</w:t>
            </w:r>
            <w:r w:rsidRPr="00791DEA">
              <w:t>107</w:t>
            </w:r>
          </w:p>
        </w:tc>
      </w:tr>
      <w:tr w:rsidTr="00E97AA6">
        <w:tblPrEx>
          <w:tblW w:w="5011" w:type="pct"/>
          <w:tblInd w:w="-3" w:type="dxa"/>
          <w:tblCellMar>
            <w:left w:w="115" w:type="dxa"/>
            <w:right w:w="115" w:type="dxa"/>
          </w:tblCellMar>
          <w:tblLook w:val="01E0"/>
        </w:tblPrEx>
        <w:trPr>
          <w:gridAfter w:val="2"/>
          <w:wAfter w:w="14" w:type="dxa"/>
        </w:trPr>
        <w:tc>
          <w:tcPr>
            <w:tcW w:w="2496" w:type="pct"/>
            <w:gridSpan w:val="2"/>
            <w:tcBorders>
              <w:bottom w:val="single" w:sz="4" w:space="0" w:color="auto"/>
              <w:right w:val="single" w:sz="4" w:space="0" w:color="auto"/>
            </w:tcBorders>
            <w:shd w:val="clear" w:color="auto" w:fill="auto"/>
            <w:vAlign w:val="bottom"/>
          </w:tcPr>
          <w:p w:rsidR="00815842" w:rsidRPr="00791DEA" w:rsidP="004C1EBA">
            <w:pPr>
              <w:pStyle w:val="csbody0bold0"/>
              <w:rPr>
                <w:lang w:val="de-DE"/>
              </w:rPr>
            </w:pPr>
            <w:r w:rsidRPr="00791DEA">
              <w:rPr>
                <w:lang w:val="de-DE"/>
              </w:rPr>
              <w:t>Income from continuing operations / Ergebnis aus fortzuführenden Geschäftsbereichen</w:t>
            </w:r>
          </w:p>
        </w:tc>
        <w:tc>
          <w:tcPr>
            <w:tcW w:w="1335" w:type="pct"/>
            <w:gridSpan w:val="2"/>
            <w:tcBorders>
              <w:left w:val="single" w:sz="4" w:space="0" w:color="auto"/>
              <w:bottom w:val="single" w:sz="4" w:space="0" w:color="auto"/>
            </w:tcBorders>
            <w:shd w:val="clear" w:color="auto" w:fill="auto"/>
          </w:tcPr>
          <w:p w:rsidR="00815842" w:rsidRPr="00791DEA" w:rsidP="004C1EBA">
            <w:pPr>
              <w:pStyle w:val="csbody00"/>
            </w:pPr>
            <w:r w:rsidRPr="00791DEA">
              <w:t>558</w:t>
            </w:r>
          </w:p>
        </w:tc>
        <w:tc>
          <w:tcPr>
            <w:tcW w:w="1155" w:type="pct"/>
            <w:tcBorders>
              <w:bottom w:val="single" w:sz="4" w:space="0" w:color="auto"/>
            </w:tcBorders>
            <w:shd w:val="clear" w:color="auto" w:fill="auto"/>
          </w:tcPr>
          <w:p w:rsidR="00815842" w:rsidRPr="00791DEA" w:rsidP="004C1EBA">
            <w:pPr>
              <w:pStyle w:val="csbody00"/>
            </w:pPr>
            <w:r w:rsidRPr="00791DEA">
              <w:t>773</w:t>
            </w:r>
          </w:p>
        </w:tc>
      </w:tr>
      <w:tr w:rsidTr="00E97AA6">
        <w:tblPrEx>
          <w:tblW w:w="5011" w:type="pct"/>
          <w:tblInd w:w="-3" w:type="dxa"/>
          <w:tblCellMar>
            <w:left w:w="115" w:type="dxa"/>
            <w:right w:w="115" w:type="dxa"/>
          </w:tblCellMar>
          <w:tblLook w:val="01E0"/>
        </w:tblPrEx>
        <w:trPr>
          <w:gridAfter w:val="2"/>
          <w:wAfter w:w="14" w:type="dxa"/>
        </w:trPr>
        <w:tc>
          <w:tcPr>
            <w:tcW w:w="2496" w:type="pct"/>
            <w:gridSpan w:val="2"/>
            <w:tcBorders>
              <w:top w:val="single" w:sz="4" w:space="0" w:color="auto"/>
              <w:bottom w:val="single" w:sz="4" w:space="0" w:color="auto"/>
              <w:right w:val="single" w:sz="4" w:space="0" w:color="auto"/>
            </w:tcBorders>
            <w:shd w:val="clear" w:color="auto" w:fill="auto"/>
            <w:vAlign w:val="bottom"/>
          </w:tcPr>
          <w:p w:rsidR="00815842" w:rsidRPr="00791DEA" w:rsidP="004C1EBA">
            <w:pPr>
              <w:pStyle w:val="csbody0bold0"/>
              <w:rPr>
                <w:lang w:val="de-DE"/>
              </w:rPr>
            </w:pPr>
            <w:r w:rsidRPr="00791DEA">
              <w:rPr>
                <w:lang w:val="de-DE"/>
              </w:rPr>
              <w:t>Net income / Reingewinn</w:t>
            </w:r>
          </w:p>
        </w:tc>
        <w:tc>
          <w:tcPr>
            <w:tcW w:w="1335" w:type="pct"/>
            <w:gridSpan w:val="2"/>
            <w:tcBorders>
              <w:top w:val="single" w:sz="4" w:space="0" w:color="auto"/>
              <w:left w:val="single" w:sz="4" w:space="0" w:color="auto"/>
              <w:bottom w:val="single" w:sz="4" w:space="0" w:color="auto"/>
            </w:tcBorders>
            <w:shd w:val="clear" w:color="auto" w:fill="auto"/>
          </w:tcPr>
          <w:p w:rsidR="00815842" w:rsidRPr="00791DEA" w:rsidP="004C1EBA">
            <w:pPr>
              <w:pStyle w:val="csbody00"/>
            </w:pPr>
            <w:r w:rsidRPr="00791DEA">
              <w:t>558</w:t>
            </w:r>
          </w:p>
        </w:tc>
        <w:tc>
          <w:tcPr>
            <w:tcW w:w="1155" w:type="pct"/>
            <w:tcBorders>
              <w:top w:val="single" w:sz="4" w:space="0" w:color="auto"/>
              <w:bottom w:val="single" w:sz="4" w:space="0" w:color="auto"/>
            </w:tcBorders>
            <w:shd w:val="clear" w:color="auto" w:fill="auto"/>
          </w:tcPr>
          <w:p w:rsidR="00815842" w:rsidRPr="00791DEA" w:rsidP="004C1EBA">
            <w:pPr>
              <w:pStyle w:val="csbody00"/>
            </w:pPr>
            <w:r w:rsidRPr="00791DEA">
              <w:t>879</w:t>
            </w:r>
          </w:p>
        </w:tc>
      </w:tr>
      <w:tr w:rsidTr="00E97AA6">
        <w:tblPrEx>
          <w:tblW w:w="5011" w:type="pct"/>
          <w:tblInd w:w="-3" w:type="dxa"/>
          <w:tblCellMar>
            <w:left w:w="115" w:type="dxa"/>
            <w:right w:w="115" w:type="dxa"/>
          </w:tblCellMar>
          <w:tblLook w:val="01E0"/>
        </w:tblPrEx>
        <w:trPr>
          <w:gridAfter w:val="2"/>
          <w:wAfter w:w="14" w:type="dxa"/>
        </w:trPr>
        <w:tc>
          <w:tcPr>
            <w:tcW w:w="2496" w:type="pct"/>
            <w:gridSpan w:val="2"/>
            <w:tcBorders>
              <w:top w:val="single" w:sz="4" w:space="0" w:color="auto"/>
              <w:right w:val="single" w:sz="4" w:space="0" w:color="auto"/>
            </w:tcBorders>
            <w:shd w:val="clear" w:color="auto" w:fill="auto"/>
            <w:vAlign w:val="bottom"/>
          </w:tcPr>
          <w:p w:rsidR="00815842" w:rsidRPr="00791DEA" w:rsidP="004C1EBA">
            <w:pPr>
              <w:pStyle w:val="csbody0bold0"/>
              <w:rPr>
                <w:lang w:val="de-DE"/>
              </w:rPr>
            </w:pPr>
            <w:r w:rsidRPr="00791DEA">
              <w:rPr>
                <w:lang w:val="de-DE"/>
              </w:rPr>
              <w:t>Net income attributable to shareholder / de</w:t>
            </w:r>
            <w:r w:rsidR="00994D18">
              <w:rPr>
                <w:lang w:val="de-DE"/>
              </w:rPr>
              <w:t>m</w:t>
            </w:r>
            <w:r w:rsidRPr="00791DEA">
              <w:rPr>
                <w:lang w:val="de-DE"/>
              </w:rPr>
              <w:t xml:space="preserve"> Aktionär zurechenbarer Reingewinn</w:t>
            </w:r>
          </w:p>
        </w:tc>
        <w:tc>
          <w:tcPr>
            <w:tcW w:w="1335" w:type="pct"/>
            <w:gridSpan w:val="2"/>
            <w:tcBorders>
              <w:top w:val="single" w:sz="4" w:space="0" w:color="auto"/>
              <w:left w:val="single" w:sz="4" w:space="0" w:color="auto"/>
            </w:tcBorders>
            <w:shd w:val="clear" w:color="auto" w:fill="auto"/>
          </w:tcPr>
          <w:p w:rsidR="00815842" w:rsidRPr="00791DEA" w:rsidP="004C1EBA">
            <w:pPr>
              <w:pStyle w:val="csbody00"/>
            </w:pPr>
            <w:r w:rsidRPr="00791DEA">
              <w:t>575</w:t>
            </w:r>
          </w:p>
        </w:tc>
        <w:tc>
          <w:tcPr>
            <w:tcW w:w="1155" w:type="pct"/>
            <w:tcBorders>
              <w:top w:val="single" w:sz="4" w:space="0" w:color="auto"/>
            </w:tcBorders>
            <w:shd w:val="clear" w:color="auto" w:fill="auto"/>
          </w:tcPr>
          <w:p w:rsidR="00815842" w:rsidRPr="00791DEA" w:rsidP="004C1EBA">
            <w:pPr>
              <w:pStyle w:val="csbody00"/>
            </w:pPr>
            <w:r w:rsidRPr="00791DEA">
              <w:t>820</w:t>
            </w:r>
          </w:p>
        </w:tc>
      </w:tr>
      <w:tr w:rsidTr="00E97AA6">
        <w:tblPrEx>
          <w:tblW w:w="5011" w:type="pct"/>
          <w:tblInd w:w="-3" w:type="dxa"/>
          <w:tblCellMar>
            <w:left w:w="115" w:type="dxa"/>
            <w:right w:w="115" w:type="dxa"/>
          </w:tblCellMar>
          <w:tblLook w:val="01E0"/>
        </w:tblPrEx>
        <w:trPr>
          <w:gridAfter w:val="2"/>
          <w:wAfter w:w="14" w:type="dxa"/>
        </w:trPr>
        <w:tc>
          <w:tcPr>
            <w:tcW w:w="4986" w:type="pct"/>
            <w:gridSpan w:val="5"/>
            <w:shd w:val="clear" w:color="auto" w:fill="auto"/>
            <w:vAlign w:val="bottom"/>
          </w:tcPr>
          <w:p w:rsidR="00815842" w:rsidRPr="005C5842" w:rsidP="004C1EBA">
            <w:pPr>
              <w:pStyle w:val="CSbody0bold"/>
              <w:rPr>
                <w:lang w:val="en-GB"/>
              </w:rPr>
            </w:pPr>
            <w:r w:rsidRPr="005C5842">
              <w:rPr>
                <w:lang w:val="en-GB"/>
              </w:rPr>
              <w:t>Credit Suisse Balance Sheet / Bilanz der Credit Suisse</w:t>
            </w:r>
          </w:p>
        </w:tc>
      </w:tr>
      <w:tr w:rsidTr="00E97AA6">
        <w:tblPrEx>
          <w:tblW w:w="5011" w:type="pct"/>
          <w:tblInd w:w="-3" w:type="dxa"/>
          <w:tblCellMar>
            <w:left w:w="115" w:type="dxa"/>
            <w:right w:w="115" w:type="dxa"/>
          </w:tblCellMar>
          <w:tblLook w:val="01E0"/>
        </w:tblPrEx>
        <w:trPr>
          <w:gridAfter w:val="1"/>
          <w:wAfter w:w="5" w:type="dxa"/>
          <w:tblHeader/>
        </w:trPr>
        <w:tc>
          <w:tcPr>
            <w:tcW w:w="2496" w:type="pct"/>
            <w:gridSpan w:val="2"/>
            <w:tcBorders>
              <w:right w:val="single" w:sz="4" w:space="0" w:color="auto"/>
            </w:tcBorders>
            <w:shd w:val="clear" w:color="auto" w:fill="auto"/>
            <w:vAlign w:val="bottom"/>
          </w:tcPr>
          <w:p w:rsidR="00815842" w:rsidRPr="00A83CE5" w:rsidP="004C1EBA">
            <w:pPr>
              <w:pStyle w:val="CSbody0bold"/>
            </w:pPr>
            <w:r w:rsidRPr="00A83CE5">
              <w:t>(CHF million) / (in Mio. CHF)</w:t>
            </w:r>
          </w:p>
        </w:tc>
        <w:tc>
          <w:tcPr>
            <w:tcW w:w="1247" w:type="pct"/>
            <w:tcBorders>
              <w:left w:val="single" w:sz="4" w:space="0" w:color="auto"/>
              <w:bottom w:val="single" w:sz="4" w:space="0" w:color="auto"/>
            </w:tcBorders>
            <w:shd w:val="clear" w:color="auto" w:fill="auto"/>
          </w:tcPr>
          <w:p w:rsidR="00815842" w:rsidRPr="001135CC" w:rsidP="004C1EBA">
            <w:pPr>
              <w:pStyle w:val="csbody0bold0"/>
            </w:pPr>
            <w:r w:rsidRPr="00CE5C32">
              <w:t xml:space="preserve">31 December 2014 / </w:t>
            </w:r>
            <w:r>
              <w:br/>
            </w:r>
            <w:r w:rsidRPr="00CE5C32">
              <w:t>31. Dezember 20</w:t>
            </w:r>
            <w:r w:rsidRPr="00B67760">
              <w:rPr>
                <w:lang w:val="de-DE"/>
              </w:rPr>
              <w:t>14</w:t>
            </w:r>
          </w:p>
        </w:tc>
        <w:tc>
          <w:tcPr>
            <w:tcW w:w="1252" w:type="pct"/>
            <w:gridSpan w:val="3"/>
            <w:tcBorders>
              <w:bottom w:val="single" w:sz="4" w:space="0" w:color="auto"/>
            </w:tcBorders>
            <w:shd w:val="clear" w:color="auto" w:fill="auto"/>
            <w:vAlign w:val="bottom"/>
          </w:tcPr>
          <w:p w:rsidR="00815842" w:rsidRPr="00CE5C32" w:rsidP="004C1EBA">
            <w:pPr>
              <w:pStyle w:val="csbody0bold0"/>
              <w:rPr>
                <w:caps/>
                <w:vertAlign w:val="superscript"/>
              </w:rPr>
            </w:pPr>
            <w:r w:rsidRPr="00A42CAC">
              <w:t>31 December 2013</w:t>
            </w:r>
            <w:r>
              <w:t xml:space="preserve"> / </w:t>
            </w:r>
            <w:r>
              <w:br/>
            </w:r>
            <w:r w:rsidRPr="00E852EB">
              <w:t>31</w:t>
            </w:r>
            <w:r>
              <w:t>.</w:t>
            </w:r>
            <w:r w:rsidRPr="00E852EB">
              <w:t xml:space="preserve"> De</w:t>
            </w:r>
            <w:r>
              <w:t>z</w:t>
            </w:r>
            <w:r w:rsidRPr="00E852EB">
              <w:t>ember 2013</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A42CAC" w:rsidP="004C1EBA">
            <w:pPr>
              <w:pStyle w:val="CSbody0bold"/>
            </w:pPr>
            <w:r w:rsidRPr="00A42CAC">
              <w:t>Total assets</w:t>
            </w:r>
            <w:r>
              <w:t xml:space="preserve"> </w:t>
            </w:r>
            <w:r w:rsidRPr="00464560">
              <w:t>/ Total Aktiven</w:t>
            </w:r>
          </w:p>
        </w:tc>
        <w:tc>
          <w:tcPr>
            <w:tcW w:w="1247" w:type="pct"/>
            <w:tcBorders>
              <w:top w:val="single" w:sz="4" w:space="0" w:color="auto"/>
              <w:left w:val="single" w:sz="4" w:space="0" w:color="auto"/>
            </w:tcBorders>
            <w:shd w:val="clear" w:color="auto" w:fill="auto"/>
            <w:vAlign w:val="bottom"/>
          </w:tcPr>
          <w:p w:rsidR="00815842" w:rsidRPr="00FB05C2" w:rsidP="004C1EBA">
            <w:pPr>
              <w:pStyle w:val="csbody00"/>
            </w:pPr>
            <w:r w:rsidRPr="00FB05C2">
              <w:t>90</w:t>
            </w:r>
            <w:r>
              <w:t>4,849</w:t>
            </w:r>
          </w:p>
        </w:tc>
        <w:tc>
          <w:tcPr>
            <w:tcW w:w="1252" w:type="pct"/>
            <w:gridSpan w:val="3"/>
            <w:tcBorders>
              <w:top w:val="single" w:sz="4" w:space="0" w:color="auto"/>
            </w:tcBorders>
            <w:shd w:val="clear" w:color="auto" w:fill="auto"/>
            <w:vAlign w:val="bottom"/>
          </w:tcPr>
          <w:p w:rsidR="00815842" w:rsidRPr="00FB05C2" w:rsidP="004C1EBA">
            <w:pPr>
              <w:pStyle w:val="csbody00"/>
            </w:pPr>
            <w:r w:rsidRPr="00FB05C2">
              <w:t>854,429</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A42CAC" w:rsidP="004C1EBA">
            <w:pPr>
              <w:pStyle w:val="CSbody0bold"/>
            </w:pPr>
            <w:r w:rsidRPr="00A42CAC">
              <w:t>Total liabilities</w:t>
            </w:r>
            <w:r>
              <w:t xml:space="preserve"> </w:t>
            </w:r>
            <w:r w:rsidRPr="00464560">
              <w:t>/ Total Verbindlichkeiten</w:t>
            </w:r>
          </w:p>
        </w:tc>
        <w:tc>
          <w:tcPr>
            <w:tcW w:w="1247" w:type="pct"/>
            <w:tcBorders>
              <w:left w:val="single" w:sz="4" w:space="0" w:color="auto"/>
            </w:tcBorders>
            <w:shd w:val="clear" w:color="auto" w:fill="auto"/>
            <w:vAlign w:val="bottom"/>
          </w:tcPr>
          <w:p w:rsidR="00815842" w:rsidRPr="00FB05C2" w:rsidP="004C1EBA">
            <w:pPr>
              <w:pStyle w:val="csbody00"/>
            </w:pPr>
            <w:r>
              <w:t>860,208</w:t>
            </w:r>
          </w:p>
        </w:tc>
        <w:tc>
          <w:tcPr>
            <w:tcW w:w="1252" w:type="pct"/>
            <w:gridSpan w:val="3"/>
            <w:shd w:val="clear" w:color="auto" w:fill="auto"/>
            <w:vAlign w:val="bottom"/>
          </w:tcPr>
          <w:p w:rsidR="00815842" w:rsidRPr="00FB05C2" w:rsidP="004C1EBA">
            <w:pPr>
              <w:pStyle w:val="csbody00"/>
            </w:pPr>
            <w:r w:rsidRPr="00FB05C2">
              <w:t>810,797</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5C5842" w:rsidP="004C1EBA">
            <w:pPr>
              <w:pStyle w:val="CSbody0bold"/>
              <w:rPr>
                <w:caps/>
                <w:lang w:val="en-GB"/>
              </w:rPr>
            </w:pPr>
            <w:r w:rsidRPr="005C5842">
              <w:rPr>
                <w:lang w:val="en-GB"/>
              </w:rPr>
              <w:t>Total shareholder's equity / Total Eigenkapital des Aktionärs</w:t>
            </w:r>
          </w:p>
        </w:tc>
        <w:tc>
          <w:tcPr>
            <w:tcW w:w="1247" w:type="pct"/>
            <w:tcBorders>
              <w:left w:val="single" w:sz="4" w:space="0" w:color="auto"/>
            </w:tcBorders>
            <w:shd w:val="clear" w:color="auto" w:fill="auto"/>
            <w:vAlign w:val="bottom"/>
          </w:tcPr>
          <w:p w:rsidR="00815842" w:rsidRPr="00FB05C2" w:rsidP="004C1EBA">
            <w:pPr>
              <w:pStyle w:val="csbody00"/>
            </w:pPr>
            <w:r>
              <w:t>42,895</w:t>
            </w:r>
          </w:p>
        </w:tc>
        <w:tc>
          <w:tcPr>
            <w:tcW w:w="1252" w:type="pct"/>
            <w:gridSpan w:val="3"/>
            <w:shd w:val="clear" w:color="auto" w:fill="auto"/>
            <w:vAlign w:val="bottom"/>
          </w:tcPr>
          <w:p w:rsidR="00815842" w:rsidRPr="00FB05C2" w:rsidP="004C1EBA">
            <w:pPr>
              <w:pStyle w:val="csbody00"/>
            </w:pPr>
            <w:r w:rsidRPr="00FB05C2">
              <w:t>39,467</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FB05C2" w:rsidP="004C1EBA">
            <w:pPr>
              <w:pStyle w:val="CSbody0bold"/>
              <w:rPr>
                <w:highlight w:val="yellow"/>
              </w:rPr>
            </w:pPr>
            <w:r w:rsidRPr="00D46EAD">
              <w:t>Noncontrolling interests/Minderheitsanteile</w:t>
            </w:r>
          </w:p>
        </w:tc>
        <w:tc>
          <w:tcPr>
            <w:tcW w:w="1247" w:type="pct"/>
            <w:tcBorders>
              <w:left w:val="single" w:sz="4" w:space="0" w:color="auto"/>
            </w:tcBorders>
            <w:shd w:val="clear" w:color="auto" w:fill="auto"/>
            <w:vAlign w:val="bottom"/>
          </w:tcPr>
          <w:p w:rsidR="00815842" w:rsidP="004C1EBA">
            <w:pPr>
              <w:pStyle w:val="csbody00"/>
            </w:pPr>
            <w:r>
              <w:t>1,746</w:t>
            </w:r>
          </w:p>
        </w:tc>
        <w:tc>
          <w:tcPr>
            <w:tcW w:w="1252" w:type="pct"/>
            <w:gridSpan w:val="3"/>
            <w:shd w:val="clear" w:color="auto" w:fill="auto"/>
            <w:vAlign w:val="bottom"/>
          </w:tcPr>
          <w:p w:rsidR="00815842" w:rsidRPr="00FB05C2" w:rsidP="004C1EBA">
            <w:pPr>
              <w:pStyle w:val="csbody00"/>
            </w:pPr>
            <w:r w:rsidRPr="00FB05C2">
              <w:t>4,165</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A42CAC" w:rsidP="004C1EBA">
            <w:pPr>
              <w:pStyle w:val="CSbody0bold"/>
            </w:pPr>
            <w:r w:rsidRPr="00A42CAC">
              <w:t>Total equity</w:t>
            </w:r>
            <w:r>
              <w:t xml:space="preserve"> </w:t>
            </w:r>
            <w:r w:rsidRPr="00E852EB">
              <w:t>/</w:t>
            </w:r>
            <w:r>
              <w:t xml:space="preserve"> </w:t>
            </w:r>
            <w:r w:rsidRPr="00E852EB">
              <w:t>Total Eigenkapital</w:t>
            </w:r>
          </w:p>
        </w:tc>
        <w:tc>
          <w:tcPr>
            <w:tcW w:w="1247" w:type="pct"/>
            <w:tcBorders>
              <w:left w:val="single" w:sz="4" w:space="0" w:color="auto"/>
            </w:tcBorders>
            <w:shd w:val="clear" w:color="auto" w:fill="auto"/>
            <w:vAlign w:val="bottom"/>
          </w:tcPr>
          <w:p w:rsidR="00815842" w:rsidRPr="00FB05C2" w:rsidP="004C1EBA">
            <w:pPr>
              <w:pStyle w:val="csbody00"/>
            </w:pPr>
            <w:r>
              <w:t>44,641</w:t>
            </w:r>
          </w:p>
        </w:tc>
        <w:tc>
          <w:tcPr>
            <w:tcW w:w="1252" w:type="pct"/>
            <w:gridSpan w:val="3"/>
            <w:shd w:val="clear" w:color="auto" w:fill="auto"/>
            <w:vAlign w:val="bottom"/>
          </w:tcPr>
          <w:p w:rsidR="00815842" w:rsidRPr="00FB05C2" w:rsidP="004C1EBA">
            <w:pPr>
              <w:pStyle w:val="csbody00"/>
            </w:pPr>
            <w:r w:rsidRPr="00FB05C2">
              <w:t>43,632</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5C5842" w:rsidP="004C1EBA">
            <w:pPr>
              <w:pStyle w:val="CSbody0bold"/>
              <w:rPr>
                <w:lang w:val="en-GB"/>
              </w:rPr>
            </w:pPr>
            <w:r w:rsidRPr="005C5842">
              <w:rPr>
                <w:lang w:val="en-GB"/>
              </w:rPr>
              <w:t>Total liabilities and equity / Total Passiven</w:t>
            </w:r>
          </w:p>
        </w:tc>
        <w:tc>
          <w:tcPr>
            <w:tcW w:w="1247" w:type="pct"/>
            <w:tcBorders>
              <w:left w:val="single" w:sz="4" w:space="0" w:color="auto"/>
            </w:tcBorders>
            <w:shd w:val="clear" w:color="auto" w:fill="auto"/>
            <w:vAlign w:val="bottom"/>
          </w:tcPr>
          <w:p w:rsidR="00815842" w:rsidRPr="00FB05C2" w:rsidP="004C1EBA">
            <w:pPr>
              <w:pStyle w:val="csbody00"/>
            </w:pPr>
            <w:r>
              <w:t>904,849</w:t>
            </w:r>
          </w:p>
        </w:tc>
        <w:tc>
          <w:tcPr>
            <w:tcW w:w="1252" w:type="pct"/>
            <w:gridSpan w:val="3"/>
            <w:shd w:val="clear" w:color="auto" w:fill="auto"/>
            <w:vAlign w:val="bottom"/>
          </w:tcPr>
          <w:p w:rsidR="00815842" w:rsidRPr="00FB05C2" w:rsidP="004C1EBA">
            <w:pPr>
              <w:pStyle w:val="csbody00"/>
            </w:pPr>
            <w:r w:rsidRPr="00FB05C2">
              <w:t>854,429</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bottom w:val="single" w:sz="4" w:space="0" w:color="auto"/>
              <w:right w:val="single" w:sz="4" w:space="0" w:color="auto"/>
            </w:tcBorders>
            <w:shd w:val="clear" w:color="auto" w:fill="auto"/>
          </w:tcPr>
          <w:p w:rsidR="00815842" w:rsidRPr="00791DEA" w:rsidP="004C1EBA">
            <w:pPr>
              <w:pStyle w:val="CSbody0bold"/>
            </w:pPr>
            <w:r w:rsidRPr="005C5842">
              <w:rPr>
                <w:lang w:val="en-GB"/>
              </w:rPr>
              <w:t xml:space="preserve">(CHF million) (unaudited) / (in Mio. </w:t>
            </w:r>
            <w:r w:rsidRPr="00791DEA">
              <w:t>CHF) (ungeprüft)</w:t>
            </w:r>
          </w:p>
        </w:tc>
        <w:tc>
          <w:tcPr>
            <w:tcW w:w="1247" w:type="pct"/>
            <w:tcBorders>
              <w:left w:val="single" w:sz="4" w:space="0" w:color="auto"/>
              <w:bottom w:val="single" w:sz="4" w:space="0" w:color="auto"/>
            </w:tcBorders>
            <w:shd w:val="clear" w:color="auto" w:fill="auto"/>
          </w:tcPr>
          <w:p w:rsidR="00815842" w:rsidRPr="00791DEA" w:rsidP="004C1EBA">
            <w:pPr>
              <w:pStyle w:val="CSbody0bold"/>
            </w:pPr>
            <w:r w:rsidRPr="00791DEA">
              <w:t>30 September 2015 / 30. September 2015</w:t>
            </w:r>
          </w:p>
        </w:tc>
        <w:tc>
          <w:tcPr>
            <w:tcW w:w="1252" w:type="pct"/>
            <w:gridSpan w:val="3"/>
            <w:tcBorders>
              <w:bottom w:val="single" w:sz="4" w:space="0" w:color="auto"/>
            </w:tcBorders>
            <w:shd w:val="clear" w:color="auto" w:fill="auto"/>
          </w:tcPr>
          <w:p w:rsidR="00815842" w:rsidRPr="00791DEA" w:rsidP="004C1EBA">
            <w:pPr>
              <w:pStyle w:val="CSbody0bold"/>
            </w:pPr>
            <w:r w:rsidRPr="00791DEA">
              <w:t>31 December 2014 / 31. Dezember 2014</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top w:val="single" w:sz="4" w:space="0" w:color="auto"/>
              <w:right w:val="single" w:sz="4" w:space="0" w:color="auto"/>
            </w:tcBorders>
            <w:shd w:val="clear" w:color="auto" w:fill="auto"/>
            <w:vAlign w:val="bottom"/>
          </w:tcPr>
          <w:p w:rsidR="00815842" w:rsidRPr="00791DEA" w:rsidP="004C1EBA">
            <w:pPr>
              <w:pStyle w:val="CSbody0bold"/>
            </w:pPr>
            <w:r w:rsidRPr="00791DEA">
              <w:t>Total assets / Total Aktiven</w:t>
            </w:r>
          </w:p>
        </w:tc>
        <w:tc>
          <w:tcPr>
            <w:tcW w:w="1247" w:type="pct"/>
            <w:tcBorders>
              <w:top w:val="single" w:sz="4" w:space="0" w:color="auto"/>
              <w:left w:val="single" w:sz="4" w:space="0" w:color="auto"/>
            </w:tcBorders>
            <w:shd w:val="clear" w:color="auto" w:fill="auto"/>
          </w:tcPr>
          <w:p w:rsidR="00815842" w:rsidRPr="00791DEA" w:rsidP="004C1EBA">
            <w:pPr>
              <w:pStyle w:val="csbody00"/>
              <w:rPr>
                <w:b/>
                <w:bCs/>
              </w:rPr>
            </w:pPr>
            <w:r w:rsidRPr="00791DEA">
              <w:t>841</w:t>
            </w:r>
            <w:r w:rsidR="00B00E57">
              <w:t>,</w:t>
            </w:r>
            <w:r w:rsidRPr="00791DEA">
              <w:t>376</w:t>
            </w:r>
          </w:p>
        </w:tc>
        <w:tc>
          <w:tcPr>
            <w:tcW w:w="1252" w:type="pct"/>
            <w:gridSpan w:val="3"/>
            <w:tcBorders>
              <w:top w:val="single" w:sz="4" w:space="0" w:color="auto"/>
            </w:tcBorders>
            <w:shd w:val="clear" w:color="auto" w:fill="auto"/>
            <w:vAlign w:val="bottom"/>
          </w:tcPr>
          <w:p w:rsidR="00815842" w:rsidRPr="00791DEA" w:rsidP="004C1EBA">
            <w:pPr>
              <w:pStyle w:val="csbody00"/>
              <w:rPr>
                <w:b/>
                <w:bCs/>
              </w:rPr>
            </w:pPr>
            <w:r w:rsidRPr="00791DEA">
              <w:rPr>
                <w:bCs/>
              </w:rPr>
              <w:t>904,849</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791DEA" w:rsidP="004C1EBA">
            <w:pPr>
              <w:pStyle w:val="CSbody0bold"/>
            </w:pPr>
            <w:r w:rsidRPr="00791DEA">
              <w:t>Total liabilities / Total Verbindlichkeiten</w:t>
            </w:r>
          </w:p>
        </w:tc>
        <w:tc>
          <w:tcPr>
            <w:tcW w:w="1247" w:type="pct"/>
            <w:tcBorders>
              <w:left w:val="single" w:sz="4" w:space="0" w:color="auto"/>
            </w:tcBorders>
            <w:shd w:val="clear" w:color="auto" w:fill="auto"/>
          </w:tcPr>
          <w:p w:rsidR="00815842" w:rsidRPr="00791DEA" w:rsidP="004C1EBA">
            <w:pPr>
              <w:pStyle w:val="csbody00"/>
              <w:rPr>
                <w:b/>
                <w:lang w:val="en-US"/>
              </w:rPr>
            </w:pPr>
            <w:r w:rsidRPr="00791DEA">
              <w:t>796</w:t>
            </w:r>
            <w:r w:rsidR="00B00E57">
              <w:t>,</w:t>
            </w:r>
            <w:r w:rsidRPr="00791DEA">
              <w:t>651</w:t>
            </w:r>
          </w:p>
        </w:tc>
        <w:tc>
          <w:tcPr>
            <w:tcW w:w="1252" w:type="pct"/>
            <w:gridSpan w:val="3"/>
            <w:shd w:val="clear" w:color="auto" w:fill="auto"/>
          </w:tcPr>
          <w:p w:rsidR="00815842" w:rsidRPr="00791DEA" w:rsidP="004C1EBA">
            <w:pPr>
              <w:pStyle w:val="csbody00"/>
              <w:rPr>
                <w:b/>
                <w:lang w:val="en-US"/>
              </w:rPr>
            </w:pPr>
            <w:r w:rsidRPr="00791DEA">
              <w:rPr>
                <w:lang w:val="en-US"/>
              </w:rPr>
              <w:t>860,208</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5C5842" w:rsidP="004C1EBA">
            <w:pPr>
              <w:pStyle w:val="CSbody0bold"/>
              <w:rPr>
                <w:lang w:val="en-GB"/>
              </w:rPr>
            </w:pPr>
            <w:r w:rsidRPr="005C5842">
              <w:rPr>
                <w:lang w:val="en-GB"/>
              </w:rPr>
              <w:t>Total shareholder's equity / Total Eigenkapital des Aktionärs</w:t>
            </w:r>
          </w:p>
        </w:tc>
        <w:tc>
          <w:tcPr>
            <w:tcW w:w="1247" w:type="pct"/>
            <w:tcBorders>
              <w:left w:val="single" w:sz="4" w:space="0" w:color="auto"/>
            </w:tcBorders>
            <w:shd w:val="clear" w:color="auto" w:fill="auto"/>
          </w:tcPr>
          <w:p w:rsidR="00815842" w:rsidRPr="00791DEA" w:rsidP="004C1EBA">
            <w:pPr>
              <w:pStyle w:val="csbody00"/>
              <w:rPr>
                <w:lang w:val="en-US"/>
              </w:rPr>
            </w:pPr>
            <w:r w:rsidRPr="00791DEA">
              <w:t>43</w:t>
            </w:r>
            <w:r w:rsidR="00B00E57">
              <w:t>,</w:t>
            </w:r>
            <w:r w:rsidRPr="00791DEA">
              <w:t>322</w:t>
            </w:r>
          </w:p>
        </w:tc>
        <w:tc>
          <w:tcPr>
            <w:tcW w:w="1252" w:type="pct"/>
            <w:gridSpan w:val="3"/>
            <w:shd w:val="clear" w:color="auto" w:fill="auto"/>
          </w:tcPr>
          <w:p w:rsidR="00815842" w:rsidRPr="00791DEA" w:rsidP="004C1EBA">
            <w:pPr>
              <w:pStyle w:val="csbody00"/>
              <w:rPr>
                <w:lang w:val="en-US"/>
              </w:rPr>
            </w:pPr>
            <w:r w:rsidRPr="00791DEA">
              <w:rPr>
                <w:lang w:val="en-US"/>
              </w:rPr>
              <w:t>42,895</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791DEA" w:rsidP="004C1EBA">
            <w:pPr>
              <w:pStyle w:val="CSbody0bold"/>
            </w:pPr>
            <w:r w:rsidRPr="00791DEA">
              <w:t>Noncontrolling interests / Minderheitsanteile</w:t>
            </w:r>
          </w:p>
        </w:tc>
        <w:tc>
          <w:tcPr>
            <w:tcW w:w="1247" w:type="pct"/>
            <w:tcBorders>
              <w:left w:val="single" w:sz="4" w:space="0" w:color="auto"/>
            </w:tcBorders>
            <w:shd w:val="clear" w:color="auto" w:fill="auto"/>
          </w:tcPr>
          <w:p w:rsidR="00815842" w:rsidRPr="00791DEA" w:rsidP="004C1EBA">
            <w:pPr>
              <w:pStyle w:val="csbody00"/>
              <w:rPr>
                <w:lang w:val="en-US"/>
              </w:rPr>
            </w:pPr>
            <w:r w:rsidRPr="00791DEA">
              <w:t>1,403</w:t>
            </w:r>
          </w:p>
        </w:tc>
        <w:tc>
          <w:tcPr>
            <w:tcW w:w="1252" w:type="pct"/>
            <w:gridSpan w:val="3"/>
            <w:shd w:val="clear" w:color="auto" w:fill="auto"/>
            <w:vAlign w:val="bottom"/>
          </w:tcPr>
          <w:p w:rsidR="00815842" w:rsidRPr="00791DEA" w:rsidP="004C1EBA">
            <w:pPr>
              <w:pStyle w:val="csbody00"/>
              <w:rPr>
                <w:lang w:val="en-US"/>
              </w:rPr>
            </w:pPr>
            <w:r w:rsidRPr="00791DEA">
              <w:rPr>
                <w:bCs/>
              </w:rPr>
              <w:t>1,746</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791DEA" w:rsidP="004C1EBA">
            <w:pPr>
              <w:pStyle w:val="CSbody0bold"/>
            </w:pPr>
            <w:r w:rsidRPr="00791DEA">
              <w:t>Total equity / Total Eigenkapital</w:t>
            </w:r>
          </w:p>
        </w:tc>
        <w:tc>
          <w:tcPr>
            <w:tcW w:w="1247" w:type="pct"/>
            <w:tcBorders>
              <w:left w:val="single" w:sz="4" w:space="0" w:color="auto"/>
            </w:tcBorders>
            <w:shd w:val="clear" w:color="auto" w:fill="auto"/>
          </w:tcPr>
          <w:p w:rsidR="00815842" w:rsidRPr="00791DEA">
            <w:pPr>
              <w:pStyle w:val="csbody00"/>
              <w:rPr>
                <w:lang w:val="en-US"/>
              </w:rPr>
            </w:pPr>
            <w:r w:rsidRPr="00791DEA">
              <w:t>44</w:t>
            </w:r>
            <w:r w:rsidR="00B00E57">
              <w:t>,</w:t>
            </w:r>
            <w:r w:rsidRPr="00791DEA">
              <w:t>725</w:t>
            </w:r>
          </w:p>
        </w:tc>
        <w:tc>
          <w:tcPr>
            <w:tcW w:w="1252" w:type="pct"/>
            <w:gridSpan w:val="3"/>
            <w:shd w:val="clear" w:color="auto" w:fill="auto"/>
          </w:tcPr>
          <w:p w:rsidR="00815842" w:rsidRPr="00791DEA" w:rsidP="004C1EBA">
            <w:pPr>
              <w:pStyle w:val="csbody00"/>
              <w:rPr>
                <w:lang w:val="en-US"/>
              </w:rPr>
            </w:pPr>
            <w:r w:rsidRPr="00791DEA">
              <w:rPr>
                <w:lang w:val="en-US"/>
              </w:rPr>
              <w:t>44,641</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5C5842" w:rsidP="004C1EBA">
            <w:pPr>
              <w:pStyle w:val="CSbody0bold"/>
              <w:rPr>
                <w:lang w:val="en-GB"/>
              </w:rPr>
            </w:pPr>
            <w:r w:rsidRPr="005C5842">
              <w:rPr>
                <w:lang w:val="en-GB"/>
              </w:rPr>
              <w:t>Total liabilities and equity / Total Passiven</w:t>
            </w:r>
          </w:p>
        </w:tc>
        <w:tc>
          <w:tcPr>
            <w:tcW w:w="1247" w:type="pct"/>
            <w:tcBorders>
              <w:left w:val="single" w:sz="4" w:space="0" w:color="auto"/>
            </w:tcBorders>
            <w:shd w:val="clear" w:color="auto" w:fill="auto"/>
          </w:tcPr>
          <w:p w:rsidR="00815842" w:rsidRPr="00791DEA">
            <w:pPr>
              <w:pStyle w:val="csbody00"/>
              <w:rPr>
                <w:lang w:val="en-US"/>
              </w:rPr>
            </w:pPr>
            <w:r w:rsidRPr="00791DEA">
              <w:t>841</w:t>
            </w:r>
            <w:r w:rsidR="00B00E57">
              <w:t>,</w:t>
            </w:r>
            <w:r w:rsidRPr="00791DEA">
              <w:t>376</w:t>
            </w:r>
          </w:p>
        </w:tc>
        <w:tc>
          <w:tcPr>
            <w:tcW w:w="1252" w:type="pct"/>
            <w:gridSpan w:val="3"/>
            <w:shd w:val="clear" w:color="auto" w:fill="auto"/>
          </w:tcPr>
          <w:p w:rsidR="00815842" w:rsidRPr="00791DEA" w:rsidP="004C1EBA">
            <w:pPr>
              <w:pStyle w:val="csbody00"/>
              <w:rPr>
                <w:lang w:val="en-US"/>
              </w:rPr>
            </w:pPr>
            <w:r w:rsidRPr="00791DEA">
              <w:rPr>
                <w:lang w:val="en-US"/>
              </w:rPr>
              <w:t>904,849</w:t>
            </w:r>
          </w:p>
        </w:tc>
      </w:tr>
      <w:tr w:rsidTr="00E97AA6">
        <w:tblPrEx>
          <w:tblW w:w="5011" w:type="pct"/>
          <w:tblInd w:w="-3" w:type="dxa"/>
          <w:tblCellMar>
            <w:left w:w="115" w:type="dxa"/>
            <w:right w:w="115" w:type="dxa"/>
          </w:tblCellMar>
          <w:tblLook w:val="01E0"/>
        </w:tblPrEx>
        <w:trPr>
          <w:gridAfter w:val="1"/>
          <w:wAfter w:w="5" w:type="dxa"/>
        </w:trPr>
        <w:tc>
          <w:tcPr>
            <w:tcW w:w="2496" w:type="pct"/>
            <w:gridSpan w:val="2"/>
            <w:tcBorders>
              <w:right w:val="single" w:sz="4" w:space="0" w:color="auto"/>
            </w:tcBorders>
            <w:shd w:val="clear" w:color="auto" w:fill="auto"/>
            <w:vAlign w:val="bottom"/>
          </w:tcPr>
          <w:p w:rsidR="00815842" w:rsidRPr="00791DEA" w:rsidP="004C1EBA">
            <w:pPr>
              <w:pStyle w:val="CSbody0bold"/>
            </w:pPr>
          </w:p>
        </w:tc>
        <w:tc>
          <w:tcPr>
            <w:tcW w:w="1247" w:type="pct"/>
            <w:tcBorders>
              <w:left w:val="single" w:sz="4" w:space="0" w:color="auto"/>
            </w:tcBorders>
            <w:shd w:val="clear" w:color="auto" w:fill="auto"/>
          </w:tcPr>
          <w:p w:rsidR="00815842" w:rsidRPr="00791DEA" w:rsidP="004C1EBA">
            <w:pPr>
              <w:pStyle w:val="csbody00"/>
            </w:pPr>
          </w:p>
        </w:tc>
        <w:tc>
          <w:tcPr>
            <w:tcW w:w="1252" w:type="pct"/>
            <w:gridSpan w:val="3"/>
            <w:shd w:val="clear" w:color="auto" w:fill="auto"/>
          </w:tcPr>
          <w:p w:rsidR="00815842" w:rsidRPr="00791DEA" w:rsidP="004C1EBA">
            <w:pPr>
              <w:pStyle w:val="csbody00"/>
              <w:rPr>
                <w:lang w:val="en-US"/>
              </w:rPr>
            </w:pP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E97AA6" w:rsidRPr="007D1E0A" w:rsidP="00E97AA6">
            <w:pPr>
              <w:pStyle w:val="CSbody0bold"/>
              <w:rPr>
                <w:b w:val="0"/>
                <w:lang w:val="en-GB"/>
              </w:rPr>
            </w:pPr>
            <w:r w:rsidRPr="007D1E0A">
              <w:rPr>
                <w:b w:val="0"/>
                <w:lang w:val="en-GB"/>
              </w:rPr>
              <w:t xml:space="preserve">Credit Suisse prepares its consolidated financial statements in accordance with accounting principles generally accepted in the United States of America </w:t>
            </w:r>
            <w:r w:rsidRPr="007D1E0A">
              <w:rPr>
                <w:lang w:val="en-GB"/>
              </w:rPr>
              <w:t>("U.S. GAAP"</w:t>
            </w:r>
            <w:r w:rsidRPr="007D1E0A">
              <w:rPr>
                <w:b w:val="0"/>
                <w:lang w:val="en-GB"/>
              </w:rPr>
              <w:t>). Credit Suisse does not prepare its accounts in accordance with International Financial Reporting Standards (IFRS).</w:t>
            </w:r>
          </w:p>
        </w:tc>
        <w:tc>
          <w:tcPr>
            <w:tcW w:w="2504" w:type="pct"/>
            <w:gridSpan w:val="5"/>
            <w:tcBorders>
              <w:left w:val="single" w:sz="4" w:space="0" w:color="auto"/>
            </w:tcBorders>
          </w:tcPr>
          <w:p w:rsidR="00E97AA6" w:rsidRPr="007D1E0A" w:rsidP="00E97AA6">
            <w:pPr>
              <w:pStyle w:val="CSBody0"/>
              <w:rPr>
                <w:lang w:val="de-DE"/>
              </w:rPr>
            </w:pPr>
            <w:r w:rsidRPr="007D1E0A">
              <w:rPr>
                <w:lang w:val="de-DE"/>
              </w:rPr>
              <w:t>Die Credit Suisse erstellt ihre konsolidierten Jahresrechnungen in Übereinstimmung mit den in den USA allgemein anerkannten Rechnungslegungsgrundsätzen (</w:t>
            </w:r>
            <w:r w:rsidRPr="007D1E0A">
              <w:rPr>
                <w:i/>
                <w:lang w:val="de-DE"/>
              </w:rPr>
              <w:t>Accounting Principles Generally Accepted in the US</w:t>
            </w:r>
            <w:r w:rsidRPr="007D1E0A">
              <w:rPr>
                <w:lang w:val="de-DE"/>
              </w:rPr>
              <w:t>, "</w:t>
            </w:r>
            <w:r w:rsidRPr="007D1E0A">
              <w:rPr>
                <w:b/>
                <w:lang w:val="de-DE"/>
              </w:rPr>
              <w:t>US GAAP</w:t>
            </w:r>
            <w:r w:rsidRPr="007D1E0A">
              <w:rPr>
                <w:lang w:val="de-DE"/>
              </w:rPr>
              <w:t>"). Die Credit Suisse erstellt ihre Abschlüsse nicht in Übereinstimmung mit den International Financial Reporting Standards (IFRS).</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E97AA6" w:rsidRPr="008420FC" w:rsidP="00E97AA6">
            <w:pPr>
              <w:pStyle w:val="CSbody0bold"/>
              <w:rPr>
                <w:lang w:val="en-GB"/>
              </w:rPr>
            </w:pPr>
            <w:r w:rsidRPr="008420FC">
              <w:rPr>
                <w:lang w:val="en-GB"/>
              </w:rPr>
              <w:t>Credit Suisse statements of no significant change</w:t>
            </w:r>
          </w:p>
        </w:tc>
        <w:tc>
          <w:tcPr>
            <w:tcW w:w="2504" w:type="pct"/>
            <w:gridSpan w:val="5"/>
            <w:tcBorders>
              <w:left w:val="single" w:sz="4" w:space="0" w:color="auto"/>
            </w:tcBorders>
          </w:tcPr>
          <w:p w:rsidR="00E97AA6" w:rsidRPr="00C67CB4" w:rsidP="00E97AA6">
            <w:pPr>
              <w:pStyle w:val="CSBody0"/>
              <w:rPr>
                <w:b/>
                <w:lang w:val="de-DE"/>
              </w:rPr>
            </w:pPr>
            <w:r w:rsidRPr="00C67CB4">
              <w:rPr>
                <w:b/>
                <w:lang w:val="de-DE"/>
              </w:rPr>
              <w:t>Erklärungen der Credit Suisse, dass keine wesentliche Veränderung eingetreten ist</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E97AA6" w:rsidRPr="00696CD5" w:rsidP="00E97AA6">
            <w:pPr>
              <w:pStyle w:val="CSBody0"/>
            </w:pPr>
            <w:r w:rsidRPr="00C67CB4">
              <w:t xml:space="preserve">There has been no significant change in the financial </w:t>
            </w:r>
            <w:r>
              <w:t xml:space="preserve">or trading </w:t>
            </w:r>
            <w:r w:rsidRPr="00C67CB4">
              <w:t xml:space="preserve">position of Credit Suisse </w:t>
            </w:r>
            <w:r w:rsidRPr="006A4022">
              <w:t xml:space="preserve">(including its </w:t>
            </w:r>
            <w:r>
              <w:t>consolidated</w:t>
            </w:r>
            <w:r w:rsidRPr="006A4022">
              <w:t xml:space="preserve"> subsidiaries)</w:t>
            </w:r>
            <w:r w:rsidRPr="00C67CB4">
              <w:t xml:space="preserve"> </w:t>
            </w:r>
            <w:r w:rsidRPr="00450FC6">
              <w:t xml:space="preserve">since </w:t>
            </w:r>
            <w:r>
              <w:t>30 September 2015</w:t>
            </w:r>
            <w:r w:rsidRPr="00C05CA3">
              <w:t xml:space="preserve">, </w:t>
            </w:r>
            <w:r w:rsidRPr="00450FC6">
              <w:t>and</w:t>
            </w:r>
            <w:r w:rsidRPr="00C67CB4">
              <w:t xml:space="preserve"> there has been no material adverse change in the prospects of Credit Suisse (</w:t>
            </w:r>
            <w:r w:rsidRPr="006A4022">
              <w:t xml:space="preserve">including its </w:t>
            </w:r>
            <w:r>
              <w:t>consolidated</w:t>
            </w:r>
            <w:r w:rsidRPr="006A4022">
              <w:t xml:space="preserve"> subsidiaries</w:t>
            </w:r>
            <w:r w:rsidRPr="00C67CB4">
              <w:t>)</w:t>
            </w:r>
            <w:r>
              <w:t xml:space="preserve"> </w:t>
            </w:r>
            <w:r w:rsidRPr="00C67CB4">
              <w:t>since 31 December 201</w:t>
            </w:r>
            <w:r>
              <w:t>4</w:t>
            </w:r>
            <w:r w:rsidRPr="00C67CB4">
              <w:t>.</w:t>
            </w:r>
          </w:p>
        </w:tc>
        <w:tc>
          <w:tcPr>
            <w:tcW w:w="2504" w:type="pct"/>
            <w:gridSpan w:val="5"/>
            <w:tcBorders>
              <w:left w:val="single" w:sz="4" w:space="0" w:color="auto"/>
            </w:tcBorders>
          </w:tcPr>
          <w:p w:rsidR="00E97AA6" w:rsidRPr="00C67CB4" w:rsidP="00DA17D4">
            <w:pPr>
              <w:pStyle w:val="CSBody0"/>
              <w:rPr>
                <w:lang w:val="de-DE"/>
              </w:rPr>
            </w:pPr>
            <w:r w:rsidRPr="00E856EA">
              <w:rPr>
                <w:lang w:val="de-DE"/>
              </w:rPr>
              <w:t xml:space="preserve">Es ist seit dem </w:t>
            </w:r>
            <w:r w:rsidR="00DA17D4">
              <w:rPr>
                <w:lang w:val="de-DE"/>
              </w:rPr>
              <w:t>30</w:t>
            </w:r>
            <w:r w:rsidRPr="00E856EA">
              <w:rPr>
                <w:lang w:val="de-DE"/>
              </w:rPr>
              <w:t>. </w:t>
            </w:r>
            <w:r w:rsidR="00DA17D4">
              <w:rPr>
                <w:lang w:val="de-DE"/>
              </w:rPr>
              <w:t>September</w:t>
            </w:r>
            <w:r w:rsidRPr="00E856EA" w:rsidR="00DA17D4">
              <w:rPr>
                <w:lang w:val="de-DE"/>
              </w:rPr>
              <w:t xml:space="preserve"> </w:t>
            </w:r>
            <w:r w:rsidRPr="00E856EA">
              <w:rPr>
                <w:lang w:val="de-DE"/>
              </w:rPr>
              <w:t>2015 keine wesentliche</w:t>
            </w:r>
            <w:r>
              <w:rPr>
                <w:lang w:val="de-DE"/>
              </w:rPr>
              <w:t xml:space="preserve"> Veränderung in der Finanzlage </w:t>
            </w:r>
            <w:r w:rsidRPr="00E856EA">
              <w:rPr>
                <w:lang w:val="de-DE"/>
              </w:rPr>
              <w:t>bzw. der Handelsposition</w:t>
            </w:r>
            <w:r>
              <w:rPr>
                <w:lang w:val="de-DE"/>
              </w:rPr>
              <w:t xml:space="preserve"> der Credit Suisse </w:t>
            </w:r>
            <w:r w:rsidRPr="00E856EA">
              <w:rPr>
                <w:lang w:val="de-DE"/>
              </w:rPr>
              <w:t xml:space="preserve">(einschliesslich ihrer </w:t>
            </w:r>
            <w:r>
              <w:rPr>
                <w:lang w:val="de-DE"/>
              </w:rPr>
              <w:t>konsolidierten</w:t>
            </w:r>
            <w:r w:rsidRPr="00E856EA">
              <w:rPr>
                <w:lang w:val="de-DE"/>
              </w:rPr>
              <w:t xml:space="preserve"> Tochtergesellschaften) eingetreten und seit dem </w:t>
            </w:r>
            <w:r w:rsidR="00DA17D4">
              <w:rPr>
                <w:lang w:val="de-DE"/>
              </w:rPr>
              <w:t>31</w:t>
            </w:r>
            <w:r>
              <w:rPr>
                <w:lang w:val="de-DE"/>
              </w:rPr>
              <w:t xml:space="preserve">. </w:t>
            </w:r>
            <w:r w:rsidR="00DA17D4">
              <w:rPr>
                <w:lang w:val="de-DE"/>
              </w:rPr>
              <w:t>December</w:t>
            </w:r>
            <w:r w:rsidRPr="00E856EA" w:rsidR="00DA17D4">
              <w:rPr>
                <w:lang w:val="de-DE"/>
              </w:rPr>
              <w:t xml:space="preserve"> </w:t>
            </w:r>
            <w:r w:rsidRPr="00E856EA">
              <w:rPr>
                <w:lang w:val="de-DE"/>
              </w:rPr>
              <w:t>201</w:t>
            </w:r>
            <w:r w:rsidR="00DA17D4">
              <w:rPr>
                <w:lang w:val="de-DE"/>
              </w:rPr>
              <w:t>4</w:t>
            </w:r>
            <w:r w:rsidRPr="00E856EA">
              <w:rPr>
                <w:lang w:val="de-DE"/>
              </w:rPr>
              <w:t xml:space="preserve"> keine wesentliche negative Veränderung in den Aussichten der Credit Suisse (einschliesslich ihrer </w:t>
            </w:r>
            <w:r>
              <w:rPr>
                <w:lang w:val="de-DE"/>
              </w:rPr>
              <w:t>konsolidierten</w:t>
            </w:r>
            <w:r w:rsidRPr="00E856EA">
              <w:rPr>
                <w:lang w:val="de-DE"/>
              </w:rPr>
              <w:t xml:space="preserve"> Tochtergesellschaften) eingetreten</w:t>
            </w:r>
            <w:r w:rsidRPr="00C67CB4">
              <w:rPr>
                <w:lang w:val="de-DE"/>
              </w:rPr>
              <w:t>.</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hideMark/>
          </w:tcPr>
          <w:p w:rsidR="00815842" w:rsidRPr="00CA4F4B" w:rsidP="004C1EBA">
            <w:pPr>
              <w:pStyle w:val="CSbody0bold"/>
              <w:spacing w:line="260" w:lineRule="atLeast"/>
              <w:rPr>
                <w:b w:val="0"/>
                <w:bCs w:val="0"/>
                <w:i/>
                <w:lang w:val="en-GB"/>
              </w:rPr>
            </w:pPr>
            <w:r w:rsidRPr="00CA4F4B">
              <w:rPr>
                <w:lang w:val="en-GB"/>
              </w:rPr>
              <w:t xml:space="preserve">B.13: </w:t>
            </w:r>
            <w:r w:rsidRPr="00696CD5">
              <w:rPr>
                <w:lang w:val="en-GB"/>
              </w:rPr>
              <w:t>Events impacting the solvency of the Issuer</w:t>
            </w:r>
          </w:p>
        </w:tc>
        <w:tc>
          <w:tcPr>
            <w:tcW w:w="2504" w:type="pct"/>
            <w:gridSpan w:val="5"/>
            <w:tcBorders>
              <w:left w:val="single" w:sz="4" w:space="0" w:color="auto"/>
            </w:tcBorders>
            <w:hideMark/>
          </w:tcPr>
          <w:p w:rsidR="00815842" w:rsidRPr="00CA4F4B" w:rsidP="004C1EBA">
            <w:pPr>
              <w:pStyle w:val="CSbody0bold"/>
              <w:spacing w:line="260" w:lineRule="atLeast"/>
              <w:rPr>
                <w:b w:val="0"/>
                <w:bCs w:val="0"/>
                <w:i/>
                <w:lang w:val="de-CH"/>
              </w:rPr>
            </w:pPr>
            <w:r w:rsidRPr="00CA4F4B">
              <w:rPr>
                <w:lang w:val="de-CH"/>
              </w:rPr>
              <w:t xml:space="preserve">B.13: </w:t>
            </w:r>
            <w:r w:rsidRPr="00B93446">
              <w:rPr>
                <w:lang w:val="de-CH"/>
              </w:rPr>
              <w:t xml:space="preserve">Ereignisse mit Auswirkungen auf die </w:t>
            </w:r>
            <w:r>
              <w:rPr>
                <w:lang w:val="de-CH"/>
              </w:rPr>
              <w:t>Solvenz</w:t>
            </w:r>
            <w:r w:rsidRPr="00B93446">
              <w:rPr>
                <w:lang w:val="de-CH"/>
              </w:rPr>
              <w:t xml:space="preserve"> der Emittentin</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CA4F4B" w:rsidP="004C1EBA">
            <w:pPr>
              <w:pStyle w:val="CSBody0"/>
            </w:pPr>
            <w:r w:rsidRPr="00696CD5">
              <w:t>Not Applicable - There are no recent events particular to the Issuer which are to a material extent relevant to the evaluation of its solvency.</w:t>
            </w:r>
          </w:p>
        </w:tc>
        <w:tc>
          <w:tcPr>
            <w:tcW w:w="2504" w:type="pct"/>
            <w:gridSpan w:val="5"/>
            <w:tcBorders>
              <w:left w:val="single" w:sz="4" w:space="0" w:color="auto"/>
            </w:tcBorders>
          </w:tcPr>
          <w:p w:rsidR="00815842" w:rsidRPr="00C67CB4" w:rsidP="004C1EBA">
            <w:pPr>
              <w:pStyle w:val="CSBody0"/>
              <w:rPr>
                <w:lang w:val="de-DE"/>
              </w:rPr>
            </w:pPr>
            <w:r w:rsidRPr="00C67CB4">
              <w:rPr>
                <w:lang w:val="de-DE"/>
              </w:rPr>
              <w:t>Entfällt - Es sind in jüngster Zeit keine Ereignisse eingetreten, die für die Emittentin eine besondere Bedeutung haben und die in hohem Mass für die Bewertung ihrer Solvenz relevant sind.</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hideMark/>
          </w:tcPr>
          <w:p w:rsidR="00815842" w:rsidRPr="00CA4F4B" w:rsidP="004C1EBA">
            <w:pPr>
              <w:pStyle w:val="CSbody0bold"/>
              <w:spacing w:line="260" w:lineRule="atLeast"/>
              <w:rPr>
                <w:b w:val="0"/>
                <w:bCs w:val="0"/>
                <w:i/>
                <w:lang w:val="en-GB"/>
              </w:rPr>
            </w:pPr>
            <w:r w:rsidRPr="00CA4F4B">
              <w:rPr>
                <w:lang w:val="en-GB"/>
              </w:rPr>
              <w:t xml:space="preserve">B.14: </w:t>
            </w:r>
            <w:r w:rsidRPr="00696CD5">
              <w:rPr>
                <w:lang w:val="en-GB"/>
              </w:rPr>
              <w:t>Dependence</w:t>
            </w:r>
            <w:r w:rsidRPr="00CA4F4B">
              <w:rPr>
                <w:lang w:val="en-GB"/>
              </w:rPr>
              <w:t xml:space="preserve"> upon other </w:t>
            </w:r>
            <w:r>
              <w:rPr>
                <w:lang w:val="en-GB"/>
              </w:rPr>
              <w:t xml:space="preserve">group </w:t>
            </w:r>
            <w:r w:rsidRPr="00CA4F4B">
              <w:rPr>
                <w:lang w:val="en-GB"/>
              </w:rPr>
              <w:t>entities</w:t>
            </w:r>
          </w:p>
        </w:tc>
        <w:tc>
          <w:tcPr>
            <w:tcW w:w="2504" w:type="pct"/>
            <w:gridSpan w:val="5"/>
            <w:tcBorders>
              <w:left w:val="single" w:sz="4" w:space="0" w:color="auto"/>
            </w:tcBorders>
            <w:hideMark/>
          </w:tcPr>
          <w:p w:rsidR="00815842" w:rsidRPr="00CA4F4B" w:rsidP="004C1EBA">
            <w:pPr>
              <w:pStyle w:val="CSbody0bold"/>
              <w:spacing w:line="260" w:lineRule="atLeast"/>
              <w:rPr>
                <w:i/>
                <w:lang w:val="de-CH"/>
              </w:rPr>
            </w:pPr>
            <w:r w:rsidRPr="00CA4F4B">
              <w:rPr>
                <w:lang w:val="de-CH"/>
              </w:rPr>
              <w:t xml:space="preserve">B.14: </w:t>
            </w:r>
            <w:r w:rsidRPr="00B93446">
              <w:rPr>
                <w:lang w:val="de-CH"/>
              </w:rPr>
              <w:t>Abhängigkeit von anderen Unternehmen der Gruppe</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CA4F4B" w:rsidP="004C1EBA">
            <w:pPr>
              <w:pStyle w:val="CSBody0"/>
            </w:pPr>
            <w:r>
              <w:t>Not Applicable – Credit Suisse is not dependent upon other members of its group.</w:t>
            </w:r>
          </w:p>
        </w:tc>
        <w:tc>
          <w:tcPr>
            <w:tcW w:w="2504" w:type="pct"/>
            <w:gridSpan w:val="5"/>
            <w:tcBorders>
              <w:left w:val="single" w:sz="4" w:space="0" w:color="auto"/>
            </w:tcBorders>
          </w:tcPr>
          <w:p w:rsidR="00815842" w:rsidRPr="00C67CB4" w:rsidP="004C1EBA">
            <w:pPr>
              <w:pStyle w:val="CSBody0"/>
              <w:rPr>
                <w:lang w:val="de-DE"/>
              </w:rPr>
            </w:pPr>
            <w:r w:rsidRPr="00C67CB4">
              <w:rPr>
                <w:lang w:val="de-DE"/>
              </w:rPr>
              <w:t xml:space="preserve">Entfällt </w:t>
            </w:r>
            <w:r w:rsidRPr="00B86E68">
              <w:rPr>
                <w:lang w:val="de-DE"/>
              </w:rPr>
              <w:t>–</w:t>
            </w:r>
            <w:r w:rsidRPr="00C67CB4">
              <w:rPr>
                <w:lang w:val="de-DE"/>
              </w:rPr>
              <w:t xml:space="preserve"> Credit Suisse ist nicht von anderen Unternehmen ihrer Gruppe abhängig.</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hideMark/>
          </w:tcPr>
          <w:p w:rsidR="00815842" w:rsidRPr="00CA4F4B" w:rsidP="004C1EBA">
            <w:pPr>
              <w:pStyle w:val="CSbody0bold"/>
              <w:spacing w:line="260" w:lineRule="atLeast"/>
              <w:rPr>
                <w:b w:val="0"/>
                <w:bCs w:val="0"/>
                <w:lang w:val="en-GB"/>
              </w:rPr>
            </w:pPr>
            <w:r w:rsidRPr="00CA4F4B">
              <w:rPr>
                <w:lang w:val="en-GB"/>
              </w:rPr>
              <w:t xml:space="preserve">B.15: </w:t>
            </w:r>
            <w:r>
              <w:rPr>
                <w:lang w:val="en-GB"/>
              </w:rPr>
              <w:t>P</w:t>
            </w:r>
            <w:r w:rsidRPr="00CA4F4B">
              <w:rPr>
                <w:lang w:val="en-GB"/>
              </w:rPr>
              <w:t>rincipal activities</w:t>
            </w:r>
          </w:p>
        </w:tc>
        <w:tc>
          <w:tcPr>
            <w:tcW w:w="2504" w:type="pct"/>
            <w:gridSpan w:val="5"/>
            <w:tcBorders>
              <w:left w:val="single" w:sz="4" w:space="0" w:color="auto"/>
            </w:tcBorders>
            <w:hideMark/>
          </w:tcPr>
          <w:p w:rsidR="00815842" w:rsidRPr="00CA4F4B" w:rsidP="004C1EBA">
            <w:pPr>
              <w:pStyle w:val="CSbody0bold"/>
              <w:spacing w:line="260" w:lineRule="atLeast"/>
              <w:rPr>
                <w:lang w:val="de-CH"/>
              </w:rPr>
            </w:pPr>
            <w:r w:rsidRPr="00CA4F4B">
              <w:rPr>
                <w:lang w:val="de-CH"/>
              </w:rPr>
              <w:t>B.15: Haupttätigkeiten</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CA4F4B" w:rsidP="004C1EBA">
            <w:pPr>
              <w:pStyle w:val="CSBody0"/>
            </w:pPr>
            <w:r w:rsidRPr="00696CD5">
              <w:t>The principal activities of Credit Suisse are the provision of financial services in the areas of private banking, investment banking and asset management.</w:t>
            </w:r>
          </w:p>
        </w:tc>
        <w:tc>
          <w:tcPr>
            <w:tcW w:w="2504" w:type="pct"/>
            <w:gridSpan w:val="5"/>
            <w:tcBorders>
              <w:left w:val="single" w:sz="4" w:space="0" w:color="auto"/>
            </w:tcBorders>
          </w:tcPr>
          <w:p w:rsidR="00815842" w:rsidRPr="00C67CB4" w:rsidP="004C1EBA">
            <w:pPr>
              <w:pStyle w:val="CSBody0"/>
              <w:rPr>
                <w:lang w:val="de-DE"/>
              </w:rPr>
            </w:pPr>
            <w:r w:rsidRPr="00C67CB4">
              <w:rPr>
                <w:lang w:val="de-DE"/>
              </w:rPr>
              <w:t>Haupttätigkeitsbereich der Credit Suisse ist die Erbringung von Finanzdienstleistungen in den Bereichen Private Banking, Investment Banking und Asset Management.</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hideMark/>
          </w:tcPr>
          <w:p w:rsidR="00815842" w:rsidRPr="00696CD5" w:rsidP="004C1EBA">
            <w:pPr>
              <w:pStyle w:val="CSbody0bold"/>
              <w:keepNext/>
              <w:spacing w:line="260" w:lineRule="atLeast"/>
              <w:rPr>
                <w:lang w:val="en-GB"/>
              </w:rPr>
            </w:pPr>
            <w:r w:rsidRPr="00696CD5">
              <w:rPr>
                <w:lang w:val="en-GB"/>
              </w:rPr>
              <w:t>B.16: Owning and Controlling shareholders</w:t>
            </w:r>
          </w:p>
        </w:tc>
        <w:tc>
          <w:tcPr>
            <w:tcW w:w="2504" w:type="pct"/>
            <w:gridSpan w:val="5"/>
            <w:tcBorders>
              <w:left w:val="single" w:sz="4" w:space="0" w:color="auto"/>
            </w:tcBorders>
            <w:hideMark/>
          </w:tcPr>
          <w:p w:rsidR="00815842" w:rsidRPr="00CA4F4B" w:rsidP="004C1EBA">
            <w:pPr>
              <w:pStyle w:val="CSbody0bold"/>
              <w:keepNext/>
              <w:spacing w:line="260" w:lineRule="atLeast"/>
              <w:rPr>
                <w:b w:val="0"/>
                <w:bCs w:val="0"/>
                <w:lang w:val="de-CH"/>
              </w:rPr>
            </w:pPr>
            <w:r w:rsidRPr="00CA4F4B">
              <w:rPr>
                <w:lang w:val="de-CH"/>
              </w:rPr>
              <w:t xml:space="preserve">B.16: </w:t>
            </w:r>
            <w:r>
              <w:rPr>
                <w:lang w:val="de-CH"/>
              </w:rPr>
              <w:t>Haltende und b</w:t>
            </w:r>
            <w:r w:rsidRPr="00CA4F4B">
              <w:rPr>
                <w:lang w:val="de-CH"/>
              </w:rPr>
              <w:t>eherrschende Aktionäre</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696CD5" w:rsidP="004C1EBA">
            <w:pPr>
              <w:pStyle w:val="CSBody0"/>
            </w:pPr>
            <w:r w:rsidRPr="00696CD5">
              <w:t>Credit Suisse is wholly owned by CSG.</w:t>
            </w:r>
          </w:p>
        </w:tc>
        <w:tc>
          <w:tcPr>
            <w:tcW w:w="2504" w:type="pct"/>
            <w:gridSpan w:val="5"/>
            <w:tcBorders>
              <w:left w:val="single" w:sz="4" w:space="0" w:color="auto"/>
            </w:tcBorders>
          </w:tcPr>
          <w:p w:rsidR="00815842" w:rsidRPr="00C67CB4" w:rsidP="004C1EBA">
            <w:pPr>
              <w:pStyle w:val="CSBody0"/>
              <w:rPr>
                <w:lang w:val="de-DE"/>
              </w:rPr>
            </w:pPr>
            <w:r w:rsidRPr="00C67CB4">
              <w:rPr>
                <w:lang w:val="de-DE"/>
              </w:rPr>
              <w:t>Die Credit Suisse befindet sich vollständig im Besitz der CSG.</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hideMark/>
          </w:tcPr>
          <w:p w:rsidR="00815842" w:rsidRPr="00CA4F4B" w:rsidP="004C1EBA">
            <w:pPr>
              <w:pStyle w:val="CSbody0bold"/>
              <w:spacing w:line="260" w:lineRule="atLeast"/>
              <w:rPr>
                <w:lang w:val="en-GB"/>
              </w:rPr>
            </w:pPr>
            <w:r w:rsidRPr="00CA4F4B">
              <w:rPr>
                <w:lang w:val="en-GB"/>
              </w:rPr>
              <w:t xml:space="preserve">B.17: </w:t>
            </w:r>
            <w:r>
              <w:rPr>
                <w:lang w:val="en-GB"/>
              </w:rPr>
              <w:t>Credit ratings</w:t>
            </w:r>
          </w:p>
        </w:tc>
        <w:tc>
          <w:tcPr>
            <w:tcW w:w="2504" w:type="pct"/>
            <w:gridSpan w:val="5"/>
            <w:tcBorders>
              <w:left w:val="single" w:sz="4" w:space="0" w:color="auto"/>
            </w:tcBorders>
            <w:hideMark/>
          </w:tcPr>
          <w:p w:rsidR="00815842" w:rsidRPr="00CA4F4B" w:rsidP="004C1EBA">
            <w:pPr>
              <w:pStyle w:val="CSbody0bold"/>
              <w:spacing w:line="260" w:lineRule="atLeast"/>
              <w:rPr>
                <w:lang w:val="de-CH"/>
              </w:rPr>
            </w:pPr>
            <w:r w:rsidRPr="00CA4F4B">
              <w:rPr>
                <w:lang w:val="de-CH"/>
              </w:rPr>
              <w:t>B.17: Ratings</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2B1D4D" w:rsidP="004C1EBA">
            <w:pPr>
              <w:pStyle w:val="CSBody0"/>
            </w:pPr>
            <w:r w:rsidRPr="00E856EA">
              <w:t xml:space="preserve">Credit Suisse’s long term debt </w:t>
            </w:r>
            <w:r>
              <w:t xml:space="preserve">(issuer rating) </w:t>
            </w:r>
            <w:r w:rsidRPr="00E856EA">
              <w:t>has been rated A by Standard &amp; Poor’s Credit Market Services Europe Limited (</w:t>
            </w:r>
            <w:r>
              <w:t>"</w:t>
            </w:r>
            <w:r w:rsidRPr="00E856EA">
              <w:rPr>
                <w:b/>
              </w:rPr>
              <w:t>S&amp;P</w:t>
            </w:r>
            <w:r>
              <w:t>"</w:t>
            </w:r>
            <w:r w:rsidRPr="00E856EA">
              <w:t>), A by Fitch Ratings Ltd. (</w:t>
            </w:r>
            <w:r>
              <w:t>"</w:t>
            </w:r>
            <w:r w:rsidRPr="00E856EA">
              <w:rPr>
                <w:b/>
              </w:rPr>
              <w:t>Fitch</w:t>
            </w:r>
            <w:r>
              <w:t>"</w:t>
            </w:r>
            <w:r w:rsidRPr="00E856EA">
              <w:t>) and A1 by Moody’s Investors Service, Inc. (</w:t>
            </w:r>
            <w:r>
              <w:t>"</w:t>
            </w:r>
            <w:r w:rsidRPr="00E856EA">
              <w:rPr>
                <w:b/>
              </w:rPr>
              <w:t>Moody's</w:t>
            </w:r>
            <w:r>
              <w:t>"</w:t>
            </w:r>
            <w:r w:rsidRPr="00E856EA">
              <w:t>)</w:t>
            </w:r>
            <w:r>
              <w:t>.</w:t>
            </w:r>
          </w:p>
        </w:tc>
        <w:tc>
          <w:tcPr>
            <w:tcW w:w="2504" w:type="pct"/>
            <w:gridSpan w:val="5"/>
            <w:tcBorders>
              <w:left w:val="single" w:sz="4" w:space="0" w:color="auto"/>
            </w:tcBorders>
          </w:tcPr>
          <w:p w:rsidR="00815842" w:rsidRPr="00C67CB4" w:rsidP="004C1EBA">
            <w:pPr>
              <w:pStyle w:val="CSBody0"/>
              <w:rPr>
                <w:lang w:val="de-DE"/>
              </w:rPr>
            </w:pPr>
            <w:r w:rsidRPr="00E856EA">
              <w:rPr>
                <w:lang w:val="de-DE"/>
              </w:rPr>
              <w:t xml:space="preserve">Die langfristigen Verbindlichkeiten der Credit Suisse </w:t>
            </w:r>
            <w:r>
              <w:rPr>
                <w:lang w:val="de-DE"/>
              </w:rPr>
              <w:t xml:space="preserve">(Emittentenrating) </w:t>
            </w:r>
            <w:r w:rsidRPr="00E856EA">
              <w:rPr>
                <w:lang w:val="de-DE"/>
              </w:rPr>
              <w:t>wurden von Standard &amp; Poor’s Credit Market Services Europe Limited (</w:t>
            </w:r>
            <w:r>
              <w:rPr>
                <w:lang w:val="de-DE"/>
              </w:rPr>
              <w:t>"</w:t>
            </w:r>
            <w:r w:rsidRPr="00E856EA">
              <w:rPr>
                <w:b/>
                <w:lang w:val="de-DE"/>
              </w:rPr>
              <w:t>S&amp;P</w:t>
            </w:r>
            <w:r>
              <w:rPr>
                <w:lang w:val="de-DE"/>
              </w:rPr>
              <w:t>"</w:t>
            </w:r>
            <w:r w:rsidRPr="00E856EA">
              <w:rPr>
                <w:lang w:val="de-DE"/>
              </w:rPr>
              <w:t>) mit einem Rating von A, von Fitch Ratings Ltd. (</w:t>
            </w:r>
            <w:r>
              <w:rPr>
                <w:lang w:val="de-DE"/>
              </w:rPr>
              <w:t>"</w:t>
            </w:r>
            <w:r w:rsidRPr="00E856EA">
              <w:rPr>
                <w:b/>
                <w:lang w:val="de-DE"/>
              </w:rPr>
              <w:t>Fitch</w:t>
            </w:r>
            <w:r>
              <w:rPr>
                <w:lang w:val="de-DE"/>
              </w:rPr>
              <w:t>"</w:t>
            </w:r>
            <w:r w:rsidRPr="00E856EA">
              <w:rPr>
                <w:lang w:val="de-DE"/>
              </w:rPr>
              <w:t>) mit einem Rating von A und von Moody’s Investors Service, Inc. (</w:t>
            </w:r>
            <w:r>
              <w:rPr>
                <w:lang w:val="de-DE"/>
              </w:rPr>
              <w:t>"</w:t>
            </w:r>
            <w:r w:rsidRPr="00E856EA">
              <w:rPr>
                <w:b/>
                <w:lang w:val="de-DE"/>
              </w:rPr>
              <w:t>Moody's</w:t>
            </w:r>
            <w:r>
              <w:rPr>
                <w:lang w:val="de-DE"/>
              </w:rPr>
              <w:t>"</w:t>
            </w:r>
            <w:r w:rsidRPr="00E856EA">
              <w:rPr>
                <w:lang w:val="de-DE"/>
              </w:rPr>
              <w:t>) mit einem Rating von A1 bewertet</w:t>
            </w:r>
            <w:r w:rsidRPr="002B1D4D">
              <w:rPr>
                <w:lang w:val="de-DE"/>
              </w:rPr>
              <w:t>.</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696CD5" w:rsidP="004C1EBA">
            <w:pPr>
              <w:pStyle w:val="CSBody0"/>
            </w:pPr>
            <w:r w:rsidRPr="00117B99">
              <w:t>Complex Products may be rated or unrated by any one or more of the rating agencies referred to above.</w:t>
            </w:r>
          </w:p>
        </w:tc>
        <w:tc>
          <w:tcPr>
            <w:tcW w:w="2504" w:type="pct"/>
            <w:gridSpan w:val="5"/>
            <w:tcBorders>
              <w:left w:val="single" w:sz="4" w:space="0" w:color="auto"/>
            </w:tcBorders>
          </w:tcPr>
          <w:p w:rsidR="00815842" w:rsidRPr="00B86E68" w:rsidP="004C1EBA">
            <w:pPr>
              <w:pStyle w:val="CSBody0"/>
              <w:rPr>
                <w:lang w:val="de-DE"/>
              </w:rPr>
            </w:pPr>
            <w:r w:rsidRPr="00C67CB4">
              <w:rPr>
                <w:lang w:val="de-DE"/>
              </w:rPr>
              <w:t>Komplexe Produkte können von einer oder mehreren der oben angegebenen Ratingagenturen mit einem Rating versehen werden oder nicht.</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117B99" w:rsidP="004C1EBA">
            <w:pPr>
              <w:pStyle w:val="CSBody0"/>
            </w:pPr>
            <w:r w:rsidRPr="00117B99">
              <w:rPr>
                <w:b/>
              </w:rPr>
              <w:t>[</w:t>
            </w:r>
            <w:r w:rsidRPr="00117B99">
              <w:t xml:space="preserve">The Complex Products </w:t>
            </w:r>
            <w:r w:rsidRPr="00117B99">
              <w:rPr>
                <w:b/>
              </w:rPr>
              <w:t>[</w:t>
            </w:r>
            <w:r w:rsidRPr="00117B99">
              <w:t>have been</w:t>
            </w:r>
            <w:r w:rsidRPr="00E74A24">
              <w:rPr>
                <w:b/>
              </w:rPr>
              <w:t>][</w:t>
            </w:r>
            <w:r w:rsidRPr="00117B99">
              <w:t>are expected to be</w:t>
            </w:r>
            <w:r w:rsidRPr="00117B99">
              <w:rPr>
                <w:b/>
              </w:rPr>
              <w:t>]</w:t>
            </w:r>
            <w:r w:rsidRPr="00117B99">
              <w:t xml:space="preserve"> rated </w:t>
            </w:r>
            <w:r w:rsidRPr="00117B99">
              <w:rPr>
                <w:b/>
              </w:rPr>
              <w:t>[</w:t>
            </w:r>
            <w:r w:rsidRPr="00117B99">
              <w:rPr>
                <w:i/>
              </w:rPr>
              <w:t>specify rating(s) of Complex Products being issued</w:t>
            </w:r>
            <w:r w:rsidRPr="00117B99">
              <w:rPr>
                <w:b/>
              </w:rPr>
              <w:t>]</w:t>
            </w:r>
            <w:r w:rsidRPr="00117B99">
              <w:t xml:space="preserve"> by </w:t>
            </w:r>
            <w:r w:rsidRPr="00117B99">
              <w:rPr>
                <w:b/>
              </w:rPr>
              <w:t>[</w:t>
            </w:r>
            <w:r w:rsidRPr="00117B99">
              <w:rPr>
                <w:i/>
              </w:rPr>
              <w:t>specify rating agent(s)</w:t>
            </w:r>
            <w:r w:rsidRPr="00117B99">
              <w:rPr>
                <w:b/>
              </w:rPr>
              <w:t>]</w:t>
            </w:r>
            <w:r w:rsidRPr="00117B99">
              <w:t>.</w:t>
            </w:r>
            <w:r w:rsidRPr="00117B99">
              <w:rPr>
                <w:b/>
              </w:rPr>
              <w:t>]</w:t>
            </w:r>
          </w:p>
        </w:tc>
        <w:tc>
          <w:tcPr>
            <w:tcW w:w="2504" w:type="pct"/>
            <w:gridSpan w:val="5"/>
            <w:tcBorders>
              <w:left w:val="single" w:sz="4" w:space="0" w:color="auto"/>
            </w:tcBorders>
          </w:tcPr>
          <w:p w:rsidR="00815842" w:rsidRPr="00B86E68" w:rsidP="004C1EBA">
            <w:pPr>
              <w:pStyle w:val="CSBody0"/>
              <w:rPr>
                <w:lang w:val="de-DE"/>
              </w:rPr>
            </w:pPr>
            <w:r w:rsidRPr="00B86E68">
              <w:rPr>
                <w:b/>
                <w:lang w:val="de-DE"/>
              </w:rPr>
              <w:t>[</w:t>
            </w:r>
            <w:r w:rsidRPr="00B86E68">
              <w:rPr>
                <w:lang w:val="de-DE"/>
              </w:rPr>
              <w:t xml:space="preserve">Für die Komplexen Produkte </w:t>
            </w:r>
            <w:r w:rsidRPr="00B86E68">
              <w:rPr>
                <w:b/>
                <w:lang w:val="de-DE"/>
              </w:rPr>
              <w:t>[[</w:t>
            </w:r>
            <w:r w:rsidRPr="00B86E68">
              <w:rPr>
                <w:lang w:val="de-DE"/>
              </w:rPr>
              <w:t>wurde</w:t>
            </w:r>
            <w:r w:rsidRPr="00B86E68">
              <w:rPr>
                <w:b/>
                <w:lang w:val="de-DE"/>
              </w:rPr>
              <w:t>] [</w:t>
            </w:r>
            <w:r w:rsidRPr="00B86E68">
              <w:rPr>
                <w:lang w:val="de-DE"/>
              </w:rPr>
              <w:t>wurden</w:t>
            </w:r>
            <w:r w:rsidRPr="00B86E68">
              <w:rPr>
                <w:b/>
                <w:lang w:val="de-DE"/>
              </w:rPr>
              <w:t>]]</w:t>
            </w:r>
            <w:r>
              <w:rPr>
                <w:b/>
                <w:lang w:val="de-DE"/>
              </w:rPr>
              <w:t xml:space="preserve"> </w:t>
            </w:r>
            <w:r w:rsidRPr="00B86E68">
              <w:rPr>
                <w:b/>
                <w:lang w:val="de-DE"/>
              </w:rPr>
              <w:t>[[</w:t>
            </w:r>
            <w:r w:rsidRPr="00B86E68">
              <w:rPr>
                <w:lang w:val="de-DE"/>
              </w:rPr>
              <w:t>wird</w:t>
            </w:r>
            <w:r w:rsidRPr="00B86E68">
              <w:rPr>
                <w:b/>
                <w:lang w:val="de-DE"/>
              </w:rPr>
              <w:t>] [</w:t>
            </w:r>
            <w:r w:rsidRPr="00B86E68">
              <w:rPr>
                <w:lang w:val="de-DE"/>
              </w:rPr>
              <w:t>werden</w:t>
            </w:r>
            <w:r w:rsidRPr="00B86E68">
              <w:rPr>
                <w:b/>
                <w:lang w:val="de-DE"/>
              </w:rPr>
              <w:t>]</w:t>
            </w:r>
            <w:r w:rsidRPr="00B86E68">
              <w:rPr>
                <w:lang w:val="de-DE"/>
              </w:rPr>
              <w:t xml:space="preserve"> voraussichtlich</w:t>
            </w:r>
            <w:r w:rsidRPr="00B86E68">
              <w:rPr>
                <w:b/>
                <w:lang w:val="de-DE"/>
              </w:rPr>
              <w:t>]</w:t>
            </w:r>
            <w:r w:rsidRPr="00B86E68">
              <w:rPr>
                <w:lang w:val="de-DE"/>
              </w:rPr>
              <w:t xml:space="preserve"> von </w:t>
            </w:r>
            <w:r w:rsidRPr="00B86E68">
              <w:rPr>
                <w:b/>
                <w:lang w:val="de-DE"/>
              </w:rPr>
              <w:t>[</w:t>
            </w:r>
            <w:r w:rsidRPr="00B86E68">
              <w:rPr>
                <w:i/>
                <w:lang w:val="de-DE"/>
              </w:rPr>
              <w:t>Ratingagentur(en) einfügen</w:t>
            </w:r>
            <w:r w:rsidRPr="00B86E68">
              <w:rPr>
                <w:b/>
                <w:lang w:val="de-DE"/>
              </w:rPr>
              <w:t>]</w:t>
            </w:r>
            <w:r w:rsidRPr="00B86E68">
              <w:rPr>
                <w:i/>
                <w:lang w:val="de-DE"/>
              </w:rPr>
              <w:t xml:space="preserve"> </w:t>
            </w:r>
            <w:r w:rsidRPr="00B86E68">
              <w:rPr>
                <w:b/>
                <w:lang w:val="de-DE"/>
              </w:rPr>
              <w:t>[</w:t>
            </w:r>
            <w:r w:rsidRPr="00B86E68">
              <w:rPr>
                <w:lang w:val="de-DE"/>
              </w:rPr>
              <w:t>ein Rating</w:t>
            </w:r>
            <w:r w:rsidRPr="00B86E68">
              <w:rPr>
                <w:b/>
                <w:lang w:val="de-DE"/>
              </w:rPr>
              <w:t>] [</w:t>
            </w:r>
            <w:r w:rsidRPr="00B86E68">
              <w:rPr>
                <w:lang w:val="de-DE"/>
              </w:rPr>
              <w:t>Ratings</w:t>
            </w:r>
            <w:r w:rsidRPr="00B86E68">
              <w:rPr>
                <w:b/>
                <w:lang w:val="de-DE"/>
              </w:rPr>
              <w:t>]</w:t>
            </w:r>
            <w:r w:rsidRPr="00B86E68">
              <w:rPr>
                <w:lang w:val="de-DE"/>
              </w:rPr>
              <w:t xml:space="preserve"> </w:t>
            </w:r>
            <w:r w:rsidRPr="00B86E68">
              <w:rPr>
                <w:b/>
                <w:lang w:val="de-DE"/>
              </w:rPr>
              <w:t>[</w:t>
            </w:r>
            <w:r w:rsidRPr="00B86E68">
              <w:rPr>
                <w:i/>
                <w:lang w:val="de-DE"/>
              </w:rPr>
              <w:t>Rating(s) der begebenen Komplexen Produkte einfügen</w:t>
            </w:r>
            <w:r w:rsidRPr="00B86E68">
              <w:rPr>
                <w:b/>
                <w:lang w:val="de-DE"/>
              </w:rPr>
              <w:t>]</w:t>
            </w:r>
            <w:r w:rsidRPr="00B86E68">
              <w:rPr>
                <w:lang w:val="de-DE"/>
              </w:rPr>
              <w:t xml:space="preserve"> vergeben.</w:t>
            </w:r>
            <w:r w:rsidRPr="00B86E68">
              <w:rPr>
                <w:b/>
                <w:lang w:val="de-DE"/>
              </w:rPr>
              <w:t>]</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117B99" w:rsidP="004C1EBA">
            <w:pPr>
              <w:pStyle w:val="CSBody0"/>
            </w:pPr>
            <w:r w:rsidRPr="00117B99">
              <w:rPr>
                <w:b/>
              </w:rPr>
              <w:t>[</w:t>
            </w:r>
            <w:r w:rsidRPr="00117B99">
              <w:t>No ratings have been assigned to the Complex Products at the request of or with the co-operation of the Issuer in the rating process.</w:t>
            </w:r>
            <w:r w:rsidRPr="00117B99">
              <w:rPr>
                <w:b/>
              </w:rPr>
              <w:t>]</w:t>
            </w:r>
          </w:p>
        </w:tc>
        <w:tc>
          <w:tcPr>
            <w:tcW w:w="2504" w:type="pct"/>
            <w:gridSpan w:val="5"/>
            <w:tcBorders>
              <w:left w:val="single" w:sz="4" w:space="0" w:color="auto"/>
            </w:tcBorders>
          </w:tcPr>
          <w:p w:rsidR="00815842" w:rsidRPr="00B86E68" w:rsidP="004C1EBA">
            <w:pPr>
              <w:pStyle w:val="CSBody0"/>
              <w:rPr>
                <w:lang w:val="de-DE"/>
              </w:rPr>
            </w:pPr>
            <w:r w:rsidRPr="00B86E68">
              <w:rPr>
                <w:b/>
                <w:lang w:val="de-DE"/>
              </w:rPr>
              <w:t>[</w:t>
            </w:r>
            <w:r w:rsidRPr="00B86E68">
              <w:rPr>
                <w:lang w:val="de-DE"/>
              </w:rPr>
              <w:t>Weder auf Anfrage noch unter Mitwirkung der Emittentin wurden Ratings für die Komplexen Produkte vergeben.</w:t>
            </w:r>
            <w:r w:rsidRPr="00B86E68">
              <w:rPr>
                <w:b/>
                <w:lang w:val="de-DE"/>
              </w:rPr>
              <w:t>]</w:t>
            </w:r>
          </w:p>
        </w:tc>
      </w:tr>
      <w:tr w:rsidTr="00E97AA6">
        <w:tblPrEx>
          <w:tblW w:w="5011" w:type="pct"/>
          <w:tblInd w:w="-3" w:type="dxa"/>
          <w:tblCellMar>
            <w:left w:w="108" w:type="dxa"/>
            <w:right w:w="108" w:type="dxa"/>
          </w:tblCellMar>
          <w:tblLook w:val="00A0"/>
        </w:tblPrEx>
        <w:trPr>
          <w:gridBefore w:val="1"/>
          <w:wBefore w:w="9" w:type="dxa"/>
        </w:trPr>
        <w:tc>
          <w:tcPr>
            <w:tcW w:w="2491" w:type="pct"/>
            <w:tcBorders>
              <w:right w:val="single" w:sz="4" w:space="0" w:color="auto"/>
            </w:tcBorders>
          </w:tcPr>
          <w:p w:rsidR="00815842" w:rsidRPr="00B3674A" w:rsidP="004C1EBA">
            <w:pPr>
              <w:pStyle w:val="CSBody0"/>
            </w:pPr>
            <w:r w:rsidRPr="00B3674A">
              <w:t>A security rating is not a recommendation to buy, sell or hold securities and may be subject to suspension, reduction or withdrawal at any time by the assigning rating agency.</w:t>
            </w:r>
          </w:p>
        </w:tc>
        <w:tc>
          <w:tcPr>
            <w:tcW w:w="2504" w:type="pct"/>
            <w:gridSpan w:val="5"/>
            <w:tcBorders>
              <w:left w:val="single" w:sz="4" w:space="0" w:color="auto"/>
            </w:tcBorders>
          </w:tcPr>
          <w:p w:rsidR="00815842" w:rsidRPr="005E76D1" w:rsidP="004C1EBA">
            <w:pPr>
              <w:pStyle w:val="CSBody0"/>
              <w:rPr>
                <w:lang w:val="de-DE"/>
              </w:rPr>
            </w:pPr>
            <w:r w:rsidRPr="005E76D1">
              <w:rPr>
                <w:lang w:val="de-DE"/>
              </w:rPr>
              <w:t>Ein Wertpapierrating stellt keine Empfehlung dar, Wertpapiere zu kaufen, zu verkaufen oder zu halten und kann jederzeit von der jeweiligen Ratingagentur ausgesetzt, geändert oder zurückgenommen werden.</w:t>
            </w:r>
          </w:p>
        </w:tc>
      </w:tr>
    </w:tbl>
    <w:tbl>
      <w:tblPr>
        <w:tblStyle w:val="TableGrid"/>
        <w:tblW w:w="5000" w:type="pct"/>
        <w:tblBorders>
          <w:top w:val="nil"/>
          <w:left w:val="nil"/>
          <w:bottom w:val="nil"/>
          <w:right w:val="nil"/>
          <w:insideH w:val="nil"/>
          <w:insideV w:val="nil"/>
        </w:tblBorders>
        <w:tblLayout w:type="fixed"/>
        <w:tblLook w:val="04A0"/>
      </w:tblPr>
      <w:tblGrid>
        <w:gridCol w:w="419"/>
        <w:gridCol w:w="170"/>
        <w:gridCol w:w="35"/>
        <w:gridCol w:w="10"/>
        <w:gridCol w:w="8"/>
        <w:gridCol w:w="885"/>
        <w:gridCol w:w="442"/>
        <w:gridCol w:w="238"/>
        <w:gridCol w:w="203"/>
        <w:gridCol w:w="526"/>
        <w:gridCol w:w="61"/>
        <w:gridCol w:w="81"/>
        <w:gridCol w:w="1845"/>
        <w:gridCol w:w="71"/>
        <w:gridCol w:w="233"/>
        <w:gridCol w:w="1409"/>
        <w:gridCol w:w="10"/>
        <w:gridCol w:w="6"/>
        <w:gridCol w:w="237"/>
        <w:gridCol w:w="240"/>
        <w:gridCol w:w="406"/>
        <w:gridCol w:w="274"/>
        <w:gridCol w:w="304"/>
        <w:gridCol w:w="895"/>
        <w:gridCol w:w="203"/>
        <w:gridCol w:w="120"/>
        <w:gridCol w:w="35"/>
        <w:gridCol w:w="489"/>
      </w:tblGrid>
      <w:tr w:rsidTr="00942F00">
        <w:tblPrEx>
          <w:tblW w:w="5000" w:type="pct"/>
          <w:tblBorders>
            <w:top w:val="nil"/>
            <w:left w:val="nil"/>
            <w:bottom w:val="nil"/>
            <w:right w:val="nil"/>
            <w:insideH w:val="nil"/>
            <w:insideV w:val="nil"/>
          </w:tblBorders>
          <w:tblLayout w:type="fixed"/>
          <w:tblLook w:val="04A0"/>
        </w:tblPrEx>
        <w:tc>
          <w:tcPr>
            <w:tcW w:w="2534" w:type="pct"/>
            <w:gridSpan w:val="14"/>
            <w:tcBorders>
              <w:right w:val="single" w:sz="4" w:space="0" w:color="auto"/>
            </w:tcBorders>
          </w:tcPr>
          <w:p w:rsidR="00E60155" w:rsidRPr="00E60155" w:rsidP="005A3B79">
            <w:pPr>
              <w:pStyle w:val="CSbody0bold"/>
            </w:pPr>
            <w:r w:rsidRPr="00E60155">
              <w:t>Section C — Securities</w:t>
            </w:r>
          </w:p>
        </w:tc>
        <w:tc>
          <w:tcPr>
            <w:tcW w:w="2466" w:type="pct"/>
            <w:gridSpan w:val="14"/>
            <w:tcBorders>
              <w:left w:val="single" w:sz="4" w:space="0" w:color="auto"/>
            </w:tcBorders>
          </w:tcPr>
          <w:p w:rsidR="00E60155" w:rsidRPr="00E60155" w:rsidP="005A3B79">
            <w:pPr>
              <w:pStyle w:val="CSbody0bold"/>
            </w:pPr>
            <w:r w:rsidRPr="00E60155">
              <w:t>Abschnitt C — Wertpapiere</w:t>
            </w:r>
          </w:p>
        </w:tc>
      </w:tr>
      <w:tr w:rsidTr="00942F00">
        <w:tblPrEx>
          <w:tblW w:w="5000" w:type="pct"/>
          <w:tblLayout w:type="fixed"/>
          <w:tblLook w:val="04A0"/>
        </w:tblPrEx>
        <w:tc>
          <w:tcPr>
            <w:tcW w:w="2534" w:type="pct"/>
            <w:gridSpan w:val="14"/>
            <w:tcBorders>
              <w:right w:val="single" w:sz="4" w:space="0" w:color="auto"/>
            </w:tcBorders>
          </w:tcPr>
          <w:p w:rsidR="00E60155" w:rsidRPr="00DE10D4" w:rsidP="00526FBD">
            <w:pPr>
              <w:pStyle w:val="CSbody0bold"/>
              <w:rPr>
                <w:lang w:val="en-GB"/>
              </w:rPr>
            </w:pPr>
            <w:r w:rsidRPr="00DE10D4">
              <w:rPr>
                <w:lang w:val="en-GB"/>
              </w:rPr>
              <w:t>C.1: Description of the securities / security identification number</w:t>
            </w:r>
          </w:p>
        </w:tc>
        <w:tc>
          <w:tcPr>
            <w:tcW w:w="2466" w:type="pct"/>
            <w:gridSpan w:val="14"/>
            <w:tcBorders>
              <w:left w:val="single" w:sz="4" w:space="0" w:color="auto"/>
            </w:tcBorders>
          </w:tcPr>
          <w:p w:rsidR="00E60155" w:rsidRPr="00B34C1C" w:rsidP="00526FBD">
            <w:pPr>
              <w:pStyle w:val="CSbody0bold"/>
            </w:pPr>
            <w:r w:rsidRPr="00B34C1C">
              <w:t>C.1: Beschreibung der Wertpapiere / Wertpapierkennnummern</w:t>
            </w:r>
          </w:p>
        </w:tc>
      </w:tr>
      <w:tr w:rsidTr="00942F00">
        <w:tblPrEx>
          <w:tblW w:w="5000" w:type="pct"/>
          <w:tblLayout w:type="fixed"/>
          <w:tblLook w:val="04A0"/>
        </w:tblPrEx>
        <w:tc>
          <w:tcPr>
            <w:tcW w:w="2534" w:type="pct"/>
            <w:gridSpan w:val="14"/>
            <w:tcBorders>
              <w:right w:val="single" w:sz="4" w:space="0" w:color="auto"/>
            </w:tcBorders>
          </w:tcPr>
          <w:p w:rsidR="00C27430" w:rsidRPr="00772D0B" w:rsidP="00526FBD">
            <w:pPr>
              <w:pStyle w:val="CSBody0"/>
            </w:pPr>
            <w:r w:rsidRPr="00772D0B">
              <w:t xml:space="preserve">The Complex Products are issued </w:t>
            </w:r>
            <w:r w:rsidRPr="00F94B27" w:rsidR="00F94B27">
              <w:rPr>
                <w:b/>
              </w:rPr>
              <w:t>[</w:t>
            </w:r>
            <w:r w:rsidRPr="00772D0B">
              <w:t>in bearer form ("</w:t>
            </w:r>
            <w:r w:rsidRPr="00C27430">
              <w:rPr>
                <w:b/>
              </w:rPr>
              <w:t>Bearer Securities</w:t>
            </w:r>
            <w:r w:rsidRPr="00772D0B">
              <w:t>")</w:t>
            </w:r>
            <w:r w:rsidRPr="00F94B27" w:rsidR="00F94B27">
              <w:rPr>
                <w:b/>
              </w:rPr>
              <w:t>]</w:t>
            </w:r>
            <w:r w:rsidRPr="00772D0B">
              <w:t xml:space="preserve"> </w:t>
            </w:r>
            <w:r w:rsidRPr="00F94B27" w:rsidR="00F94B27">
              <w:rPr>
                <w:b/>
              </w:rPr>
              <w:t>[</w:t>
            </w:r>
            <w:r w:rsidRPr="00772D0B">
              <w:t>in uncertificated form in accordance with art. 973c of the Swiss Code of Obligations as uncertificated securities (</w:t>
            </w:r>
            <w:r w:rsidRPr="00C27430">
              <w:rPr>
                <w:i/>
              </w:rPr>
              <w:t>Wertrechte</w:t>
            </w:r>
            <w:r w:rsidRPr="00772D0B">
              <w:t>), which uncertificated securities shall be registered with SIS or any other relevant clearing system as intermediated securities (</w:t>
            </w:r>
            <w:r w:rsidRPr="00C27430">
              <w:rPr>
                <w:i/>
              </w:rPr>
              <w:t>Bucheffekten</w:t>
            </w:r>
            <w:r w:rsidRPr="00772D0B">
              <w:t>) ("</w:t>
            </w:r>
            <w:r w:rsidRPr="00C27430">
              <w:rPr>
                <w:b/>
              </w:rPr>
              <w:t>Intermediated Securities</w:t>
            </w:r>
            <w:r w:rsidRPr="00772D0B">
              <w:t>")</w:t>
            </w:r>
            <w:r w:rsidRPr="00F94B27" w:rsidR="00F94B27">
              <w:rPr>
                <w:b/>
              </w:rPr>
              <w:t>]</w:t>
            </w:r>
            <w:r w:rsidRPr="00772D0B">
              <w:t>.</w:t>
            </w:r>
          </w:p>
        </w:tc>
        <w:tc>
          <w:tcPr>
            <w:tcW w:w="2466" w:type="pct"/>
            <w:gridSpan w:val="14"/>
            <w:tcBorders>
              <w:left w:val="single" w:sz="4" w:space="0" w:color="auto"/>
            </w:tcBorders>
          </w:tcPr>
          <w:p w:rsidR="00C27430" w:rsidRPr="00C27430" w:rsidP="00526FBD">
            <w:pPr>
              <w:pStyle w:val="CSBody0"/>
              <w:rPr>
                <w:lang w:val="de-DE"/>
              </w:rPr>
            </w:pPr>
            <w:r w:rsidRPr="00C27430">
              <w:rPr>
                <w:lang w:val="de-DE"/>
              </w:rPr>
              <w:t xml:space="preserve">Die Komplexen Produkte werden </w:t>
            </w:r>
            <w:r w:rsidRPr="00F94B27" w:rsidR="00F94B27">
              <w:rPr>
                <w:b/>
                <w:lang w:val="de-DE"/>
              </w:rPr>
              <w:t>[</w:t>
            </w:r>
            <w:r w:rsidRPr="00C27430">
              <w:rPr>
                <w:lang w:val="de-DE"/>
              </w:rPr>
              <w:t>als auf den Inhaber lautende Wertpapiere begeben ("</w:t>
            </w:r>
            <w:r w:rsidRPr="00C27430">
              <w:rPr>
                <w:b/>
                <w:lang w:val="de-DE"/>
              </w:rPr>
              <w:t>Inhaberpapiere</w:t>
            </w:r>
            <w:r w:rsidRPr="00C27430">
              <w:rPr>
                <w:lang w:val="de-DE"/>
              </w:rPr>
              <w:t>")</w:t>
            </w:r>
            <w:r w:rsidRPr="00F94B27" w:rsidR="00F94B27">
              <w:rPr>
                <w:b/>
                <w:lang w:val="de-DE"/>
              </w:rPr>
              <w:t>]</w:t>
            </w:r>
            <w:r w:rsidRPr="00C27430">
              <w:rPr>
                <w:lang w:val="de-DE"/>
              </w:rPr>
              <w:t xml:space="preserve"> </w:t>
            </w:r>
            <w:r w:rsidRPr="00F94B27" w:rsidR="00F94B27">
              <w:rPr>
                <w:b/>
                <w:lang w:val="de-DE"/>
              </w:rPr>
              <w:t>[</w:t>
            </w:r>
            <w:r w:rsidRPr="00C27430">
              <w:rPr>
                <w:lang w:val="de-DE"/>
              </w:rPr>
              <w:t>in unverbriefter Form nach Massgabe von Art. 973c des Schweizerischen Obligationenrechts als Wertrechte begeben, die bei der SIS oder einem anderen massgeblichen Clearingsysteme als Bucheffekten registriert werden ("</w:t>
            </w:r>
            <w:r w:rsidRPr="00EB57B5">
              <w:rPr>
                <w:b/>
                <w:lang w:val="de-DE"/>
              </w:rPr>
              <w:t>Bucheffekten</w:t>
            </w:r>
            <w:r w:rsidRPr="00C27430">
              <w:rPr>
                <w:lang w:val="de-DE"/>
              </w:rPr>
              <w:t>")</w:t>
            </w:r>
            <w:r w:rsidRPr="00F94B27" w:rsidR="00F94B27">
              <w:rPr>
                <w:b/>
                <w:lang w:val="de-DE"/>
              </w:rPr>
              <w:t>]</w:t>
            </w:r>
            <w:r w:rsidRPr="00C27430">
              <w:rPr>
                <w:lang w:val="de-DE"/>
              </w:rPr>
              <w:t>.</w:t>
            </w:r>
          </w:p>
        </w:tc>
      </w:tr>
      <w:tr w:rsidTr="00942F00">
        <w:tblPrEx>
          <w:tblW w:w="5000" w:type="pct"/>
          <w:tblLayout w:type="fixed"/>
          <w:tblLook w:val="04A0"/>
        </w:tblPrEx>
        <w:tc>
          <w:tcPr>
            <w:tcW w:w="2534" w:type="pct"/>
            <w:gridSpan w:val="14"/>
            <w:tcBorders>
              <w:right w:val="single" w:sz="4" w:space="0" w:color="auto"/>
            </w:tcBorders>
          </w:tcPr>
          <w:p w:rsidR="00C27430" w:rsidRPr="00772D0B" w:rsidP="00C27430">
            <w:pPr>
              <w:pStyle w:val="CSBody0"/>
            </w:pPr>
            <w:r w:rsidRPr="00772D0B">
              <w:t xml:space="preserve">Swiss Sec. No.: </w:t>
            </w:r>
            <w:r w:rsidRPr="00F94B27" w:rsidR="00F94B27">
              <w:rPr>
                <w:b/>
              </w:rPr>
              <w:t>[</w:t>
            </w:r>
            <w:r w:rsidRPr="00FB20F4" w:rsidR="00556991">
              <w:rPr>
                <w:rFonts w:ascii="Arial" w:hAnsi="Arial" w:cs="Arial"/>
              </w:rPr>
              <w:t>●</w:t>
            </w:r>
            <w:r w:rsidRPr="00F94B27" w:rsidR="00F94B27">
              <w:rPr>
                <w:b/>
              </w:rPr>
              <w:t>]</w:t>
            </w:r>
            <w:r w:rsidRPr="00772D0B">
              <w:t xml:space="preserve"> </w:t>
            </w:r>
          </w:p>
        </w:tc>
        <w:tc>
          <w:tcPr>
            <w:tcW w:w="2466" w:type="pct"/>
            <w:gridSpan w:val="14"/>
            <w:tcBorders>
              <w:left w:val="single" w:sz="4" w:space="0" w:color="auto"/>
            </w:tcBorders>
          </w:tcPr>
          <w:p w:rsidR="00C27430" w:rsidRPr="00772D0B" w:rsidP="00C27430">
            <w:pPr>
              <w:pStyle w:val="CSBody0"/>
            </w:pPr>
            <w:r w:rsidRPr="00772D0B">
              <w:t xml:space="preserve">Valoren Nr.: </w:t>
            </w:r>
            <w:r w:rsidRPr="00F94B27" w:rsidR="00F94B27">
              <w:rPr>
                <w:b/>
              </w:rPr>
              <w:t>[</w:t>
            </w:r>
            <w:r w:rsidRPr="00FB20F4" w:rsidR="00556991">
              <w:rPr>
                <w:rFonts w:ascii="Arial" w:hAnsi="Arial" w:cs="Arial"/>
              </w:rPr>
              <w:t>●</w:t>
            </w:r>
            <w:r w:rsidRPr="00F94B27" w:rsidR="00F94B27">
              <w:rPr>
                <w:b/>
              </w:rPr>
              <w:t>]</w:t>
            </w:r>
          </w:p>
        </w:tc>
      </w:tr>
      <w:tr w:rsidTr="00942F00">
        <w:tblPrEx>
          <w:tblW w:w="5000" w:type="pct"/>
          <w:tblLayout w:type="fixed"/>
          <w:tblLook w:val="04A0"/>
        </w:tblPrEx>
        <w:tc>
          <w:tcPr>
            <w:tcW w:w="2534" w:type="pct"/>
            <w:gridSpan w:val="14"/>
            <w:tcBorders>
              <w:right w:val="single" w:sz="4" w:space="0" w:color="auto"/>
            </w:tcBorders>
          </w:tcPr>
          <w:p w:rsidR="00C27430" w:rsidRPr="00772D0B" w:rsidP="00C27430">
            <w:pPr>
              <w:pStyle w:val="CSBody0"/>
            </w:pPr>
            <w:r w:rsidRPr="00772D0B">
              <w:t xml:space="preserve">ISIN: </w:t>
            </w:r>
            <w:r w:rsidRPr="00F94B27" w:rsidR="00F94B27">
              <w:rPr>
                <w:b/>
              </w:rPr>
              <w:t>[</w:t>
            </w:r>
            <w:r w:rsidRPr="00FB20F4" w:rsidR="00556991">
              <w:rPr>
                <w:rFonts w:ascii="Arial" w:hAnsi="Arial" w:cs="Arial"/>
              </w:rPr>
              <w:t>●</w:t>
            </w:r>
            <w:r w:rsidRPr="00F94B27" w:rsidR="00F94B27">
              <w:rPr>
                <w:b/>
              </w:rPr>
              <w:t>]</w:t>
            </w:r>
          </w:p>
        </w:tc>
        <w:tc>
          <w:tcPr>
            <w:tcW w:w="2466" w:type="pct"/>
            <w:gridSpan w:val="14"/>
            <w:tcBorders>
              <w:left w:val="single" w:sz="4" w:space="0" w:color="auto"/>
            </w:tcBorders>
          </w:tcPr>
          <w:p w:rsidR="00C27430" w:rsidRPr="00772D0B" w:rsidP="00C27430">
            <w:pPr>
              <w:pStyle w:val="CSBody0"/>
            </w:pPr>
            <w:r w:rsidRPr="00772D0B">
              <w:t xml:space="preserve">ISIN: </w:t>
            </w:r>
            <w:r w:rsidRPr="00F94B27" w:rsidR="00F94B27">
              <w:rPr>
                <w:b/>
              </w:rPr>
              <w:t>[</w:t>
            </w:r>
            <w:r w:rsidRPr="00FB20F4" w:rsidR="00556991">
              <w:rPr>
                <w:rFonts w:ascii="Arial" w:hAnsi="Arial" w:cs="Arial"/>
              </w:rPr>
              <w:t>●</w:t>
            </w:r>
            <w:r w:rsidRPr="00F94B27" w:rsidR="00F94B27">
              <w:rPr>
                <w:b/>
              </w:rPr>
              <w:t>]</w:t>
            </w:r>
          </w:p>
        </w:tc>
      </w:tr>
      <w:tr w:rsidTr="00942F00">
        <w:tblPrEx>
          <w:tblW w:w="5000" w:type="pct"/>
          <w:tblLayout w:type="fixed"/>
          <w:tblLook w:val="04A0"/>
        </w:tblPrEx>
        <w:tc>
          <w:tcPr>
            <w:tcW w:w="2534" w:type="pct"/>
            <w:gridSpan w:val="14"/>
            <w:tcBorders>
              <w:right w:val="single" w:sz="4" w:space="0" w:color="auto"/>
            </w:tcBorders>
          </w:tcPr>
          <w:p w:rsidR="00C27430" w:rsidRPr="00772D0B" w:rsidP="00C27430">
            <w:pPr>
              <w:pStyle w:val="CSBody0"/>
            </w:pPr>
            <w:r w:rsidRPr="00F94B27">
              <w:rPr>
                <w:b/>
              </w:rPr>
              <w:t>[</w:t>
            </w:r>
            <w:r w:rsidRPr="00772D0B">
              <w:t xml:space="preserve">Common Code: </w:t>
            </w:r>
            <w:r w:rsidRPr="00F94B27">
              <w:rPr>
                <w:b/>
              </w:rPr>
              <w:t>[</w:t>
            </w:r>
            <w:r w:rsidRPr="00FB20F4" w:rsidR="00556991">
              <w:rPr>
                <w:rFonts w:ascii="Arial" w:hAnsi="Arial" w:cs="Arial"/>
              </w:rPr>
              <w:t>●</w:t>
            </w:r>
            <w:r w:rsidRPr="00F94B27">
              <w:rPr>
                <w:b/>
              </w:rPr>
              <w:t>]]</w:t>
            </w:r>
          </w:p>
        </w:tc>
        <w:tc>
          <w:tcPr>
            <w:tcW w:w="2466" w:type="pct"/>
            <w:gridSpan w:val="14"/>
            <w:tcBorders>
              <w:left w:val="single" w:sz="4" w:space="0" w:color="auto"/>
            </w:tcBorders>
          </w:tcPr>
          <w:p w:rsidR="00C27430" w:rsidRPr="00772D0B" w:rsidP="00C27430">
            <w:pPr>
              <w:pStyle w:val="CSBody0"/>
            </w:pPr>
            <w:r w:rsidRPr="00F94B27">
              <w:rPr>
                <w:b/>
              </w:rPr>
              <w:t>[</w:t>
            </w:r>
            <w:r w:rsidRPr="00772D0B">
              <w:t xml:space="preserve">Common Code: </w:t>
            </w:r>
            <w:r w:rsidRPr="00F94B27">
              <w:rPr>
                <w:b/>
              </w:rPr>
              <w:t>[</w:t>
            </w:r>
            <w:r w:rsidRPr="00FB20F4" w:rsidR="00556991">
              <w:rPr>
                <w:rFonts w:ascii="Arial" w:hAnsi="Arial" w:cs="Arial"/>
              </w:rPr>
              <w:t>●</w:t>
            </w:r>
            <w:r w:rsidRPr="00F94B27">
              <w:rPr>
                <w:b/>
              </w:rPr>
              <w:t>]]</w:t>
            </w:r>
          </w:p>
        </w:tc>
      </w:tr>
      <w:tr w:rsidTr="00942F00">
        <w:tblPrEx>
          <w:tblW w:w="5000" w:type="pct"/>
          <w:tblLayout w:type="fixed"/>
          <w:tblLook w:val="04A0"/>
        </w:tblPrEx>
        <w:tc>
          <w:tcPr>
            <w:tcW w:w="2534" w:type="pct"/>
            <w:gridSpan w:val="14"/>
            <w:tcBorders>
              <w:right w:val="single" w:sz="4" w:space="0" w:color="auto"/>
            </w:tcBorders>
          </w:tcPr>
          <w:p w:rsidR="00C27430" w:rsidRPr="00772D0B" w:rsidP="00C27430">
            <w:pPr>
              <w:pStyle w:val="CSBody0"/>
            </w:pPr>
            <w:r w:rsidRPr="00F94B27">
              <w:rPr>
                <w:b/>
              </w:rPr>
              <w:t>[</w:t>
            </w:r>
            <w:r w:rsidRPr="00772D0B">
              <w:t xml:space="preserve">Telekurs Ticker: </w:t>
            </w:r>
            <w:r w:rsidRPr="00F94B27">
              <w:rPr>
                <w:b/>
              </w:rPr>
              <w:t>[</w:t>
            </w:r>
            <w:r w:rsidRPr="00FB20F4" w:rsidR="00556991">
              <w:rPr>
                <w:rFonts w:ascii="Arial" w:hAnsi="Arial" w:cs="Arial"/>
              </w:rPr>
              <w:t>●</w:t>
            </w:r>
            <w:r w:rsidRPr="00F94B27">
              <w:rPr>
                <w:b/>
              </w:rPr>
              <w:t>]]</w:t>
            </w:r>
          </w:p>
        </w:tc>
        <w:tc>
          <w:tcPr>
            <w:tcW w:w="2466" w:type="pct"/>
            <w:gridSpan w:val="14"/>
            <w:tcBorders>
              <w:left w:val="single" w:sz="4" w:space="0" w:color="auto"/>
            </w:tcBorders>
          </w:tcPr>
          <w:p w:rsidR="00C27430" w:rsidRPr="00772D0B" w:rsidP="00C27430">
            <w:pPr>
              <w:pStyle w:val="CSBody0"/>
            </w:pPr>
            <w:r w:rsidRPr="00F94B27">
              <w:rPr>
                <w:b/>
              </w:rPr>
              <w:t>[</w:t>
            </w:r>
            <w:r w:rsidRPr="00772D0B">
              <w:t xml:space="preserve">Telekurs Ticker: </w:t>
            </w:r>
            <w:r w:rsidRPr="00F94B27">
              <w:rPr>
                <w:b/>
              </w:rPr>
              <w:t>[</w:t>
            </w:r>
            <w:r w:rsidRPr="00FB20F4" w:rsidR="00556991">
              <w:rPr>
                <w:rFonts w:ascii="Arial" w:hAnsi="Arial" w:cs="Arial"/>
              </w:rPr>
              <w:t>●</w:t>
            </w:r>
            <w:r w:rsidRPr="00F94B27">
              <w:rPr>
                <w:b/>
              </w:rPr>
              <w:t>]]</w:t>
            </w:r>
          </w:p>
        </w:tc>
      </w:tr>
      <w:tr w:rsidTr="00942F00">
        <w:tblPrEx>
          <w:tblW w:w="5000" w:type="pct"/>
          <w:tblLayout w:type="fixed"/>
          <w:tblLook w:val="04A0"/>
        </w:tblPrEx>
        <w:tc>
          <w:tcPr>
            <w:tcW w:w="2534" w:type="pct"/>
            <w:gridSpan w:val="14"/>
            <w:tcBorders>
              <w:right w:val="single" w:sz="4" w:space="0" w:color="auto"/>
            </w:tcBorders>
          </w:tcPr>
          <w:p w:rsidR="00C27430" w:rsidRPr="00772D0B" w:rsidP="00C27430">
            <w:pPr>
              <w:pStyle w:val="CSBody0"/>
            </w:pPr>
            <w:r w:rsidRPr="00F94B27">
              <w:rPr>
                <w:b/>
              </w:rPr>
              <w:t>[</w:t>
            </w:r>
            <w:r w:rsidRPr="00772D0B">
              <w:t xml:space="preserve">WKN: </w:t>
            </w:r>
            <w:r w:rsidRPr="00F94B27">
              <w:rPr>
                <w:b/>
              </w:rPr>
              <w:t>[</w:t>
            </w:r>
            <w:r w:rsidRPr="00FB20F4" w:rsidR="00556991">
              <w:rPr>
                <w:rFonts w:ascii="Arial" w:hAnsi="Arial" w:cs="Arial"/>
              </w:rPr>
              <w:t>●</w:t>
            </w:r>
            <w:r w:rsidRPr="00F94B27">
              <w:rPr>
                <w:b/>
              </w:rPr>
              <w:t>]]</w:t>
            </w:r>
          </w:p>
        </w:tc>
        <w:tc>
          <w:tcPr>
            <w:tcW w:w="2466" w:type="pct"/>
            <w:gridSpan w:val="14"/>
            <w:tcBorders>
              <w:left w:val="single" w:sz="4" w:space="0" w:color="auto"/>
            </w:tcBorders>
          </w:tcPr>
          <w:p w:rsidR="00C27430" w:rsidRPr="00772D0B" w:rsidP="00C27430">
            <w:pPr>
              <w:pStyle w:val="CSBody0"/>
            </w:pPr>
            <w:r w:rsidRPr="00F94B27">
              <w:rPr>
                <w:b/>
              </w:rPr>
              <w:t>[</w:t>
            </w:r>
            <w:r w:rsidRPr="00772D0B">
              <w:t xml:space="preserve">WKN: </w:t>
            </w:r>
            <w:r w:rsidRPr="00F94B27">
              <w:rPr>
                <w:b/>
              </w:rPr>
              <w:t>[</w:t>
            </w:r>
            <w:r w:rsidRPr="00FB20F4" w:rsidR="003F5ED6">
              <w:rPr>
                <w:rFonts w:ascii="Arial" w:hAnsi="Arial" w:cs="Arial"/>
              </w:rPr>
              <w:t>●</w:t>
            </w:r>
            <w:r w:rsidRPr="00F94B27">
              <w:rPr>
                <w:b/>
              </w:rPr>
              <w:t>]]</w:t>
            </w:r>
          </w:p>
        </w:tc>
      </w:tr>
      <w:tr w:rsidTr="00942F00">
        <w:tblPrEx>
          <w:tblW w:w="5000" w:type="pct"/>
          <w:tblLayout w:type="fixed"/>
          <w:tblLook w:val="04A0"/>
        </w:tblPrEx>
        <w:tc>
          <w:tcPr>
            <w:tcW w:w="2534" w:type="pct"/>
            <w:gridSpan w:val="14"/>
            <w:tcBorders>
              <w:right w:val="single" w:sz="4" w:space="0" w:color="auto"/>
            </w:tcBorders>
          </w:tcPr>
          <w:p w:rsidR="00C27430" w:rsidRPr="00772D0B" w:rsidP="00EB57B5">
            <w:pPr>
              <w:pStyle w:val="CSbody0bolditalic"/>
            </w:pPr>
            <w:r w:rsidRPr="00F94B27">
              <w:rPr>
                <w:i w:val="0"/>
              </w:rPr>
              <w:t>[</w:t>
            </w:r>
            <w:r w:rsidRPr="00772D0B">
              <w:t xml:space="preserve">insert additional security code: </w:t>
            </w:r>
            <w:r w:rsidRPr="00F94B27">
              <w:rPr>
                <w:i w:val="0"/>
              </w:rPr>
              <w:t>[</w:t>
            </w:r>
            <w:r w:rsidRPr="00FB20F4" w:rsidR="00556991">
              <w:rPr>
                <w:rFonts w:ascii="Arial" w:hAnsi="Arial" w:cs="Arial"/>
              </w:rPr>
              <w:t>●</w:t>
            </w:r>
            <w:r w:rsidRPr="00F94B27">
              <w:rPr>
                <w:i w:val="0"/>
              </w:rPr>
              <w:t>]]</w:t>
            </w:r>
          </w:p>
        </w:tc>
        <w:tc>
          <w:tcPr>
            <w:tcW w:w="2466" w:type="pct"/>
            <w:gridSpan w:val="14"/>
            <w:tcBorders>
              <w:left w:val="single" w:sz="4" w:space="0" w:color="auto"/>
            </w:tcBorders>
          </w:tcPr>
          <w:p w:rsidR="00C27430" w:rsidP="00EB57B5">
            <w:pPr>
              <w:pStyle w:val="CSbody0bolditalic"/>
            </w:pPr>
            <w:r w:rsidRPr="00F94B27">
              <w:rPr>
                <w:i w:val="0"/>
              </w:rPr>
              <w:t>[</w:t>
            </w:r>
            <w:r w:rsidRPr="00772D0B">
              <w:t xml:space="preserve">weitere Wertpapierkennnummer einfügen: </w:t>
            </w:r>
            <w:r w:rsidRPr="00F94B27">
              <w:rPr>
                <w:i w:val="0"/>
              </w:rPr>
              <w:t>[</w:t>
            </w:r>
            <w:r w:rsidRPr="00FB20F4" w:rsidR="003F5ED6">
              <w:rPr>
                <w:rFonts w:ascii="Arial" w:hAnsi="Arial" w:cs="Arial"/>
              </w:rPr>
              <w:t>●</w:t>
            </w:r>
            <w:r w:rsidRPr="00F94B27">
              <w:rPr>
                <w:i w:val="0"/>
              </w:rPr>
              <w:t>]]</w:t>
            </w:r>
          </w:p>
        </w:tc>
      </w:tr>
      <w:tr w:rsidTr="00942F00">
        <w:tblPrEx>
          <w:tblW w:w="5000" w:type="pct"/>
          <w:tblLayout w:type="fixed"/>
          <w:tblLook w:val="04A0"/>
        </w:tblPrEx>
        <w:tc>
          <w:tcPr>
            <w:tcW w:w="2534" w:type="pct"/>
            <w:gridSpan w:val="14"/>
            <w:tcBorders>
              <w:right w:val="single" w:sz="4" w:space="0" w:color="auto"/>
            </w:tcBorders>
          </w:tcPr>
          <w:p w:rsidR="00E60155" w:rsidRPr="00E60155" w:rsidP="00EB57B5">
            <w:pPr>
              <w:pStyle w:val="CSbody0bold"/>
            </w:pPr>
            <w:r w:rsidRPr="00E60155">
              <w:t>C.2: Currency</w:t>
            </w:r>
          </w:p>
        </w:tc>
        <w:tc>
          <w:tcPr>
            <w:tcW w:w="2466" w:type="pct"/>
            <w:gridSpan w:val="14"/>
            <w:tcBorders>
              <w:left w:val="single" w:sz="4" w:space="0" w:color="auto"/>
            </w:tcBorders>
          </w:tcPr>
          <w:p w:rsidR="00E60155" w:rsidRPr="00E60155" w:rsidP="003F5ED6">
            <w:pPr>
              <w:pStyle w:val="CSbody0bold"/>
            </w:pPr>
            <w:r w:rsidRPr="00E60155">
              <w:t>C.2: Währung</w:t>
            </w:r>
          </w:p>
        </w:tc>
      </w:tr>
      <w:tr w:rsidTr="00942F00">
        <w:tblPrEx>
          <w:tblW w:w="5000" w:type="pct"/>
          <w:tblLayout w:type="fixed"/>
          <w:tblLook w:val="04A0"/>
        </w:tblPrEx>
        <w:tc>
          <w:tcPr>
            <w:tcW w:w="2534" w:type="pct"/>
            <w:gridSpan w:val="14"/>
            <w:tcBorders>
              <w:right w:val="single" w:sz="4" w:space="0" w:color="auto"/>
            </w:tcBorders>
          </w:tcPr>
          <w:p w:rsidR="00EB57B5" w:rsidRPr="00154C20" w:rsidP="00EB57B5">
            <w:pPr>
              <w:pStyle w:val="CSBody0"/>
            </w:pPr>
            <w:r w:rsidRPr="00F94B27">
              <w:rPr>
                <w:b/>
              </w:rPr>
              <w:t>[</w:t>
            </w:r>
            <w:r w:rsidRPr="00154C20">
              <w:t xml:space="preserve">The issue currency of the Complex Products is </w:t>
            </w:r>
            <w:r w:rsidRPr="00F94B27">
              <w:rPr>
                <w:b/>
              </w:rPr>
              <w:t>[</w:t>
            </w:r>
            <w:r w:rsidRPr="00FB20F4" w:rsidR="003F5ED6">
              <w:rPr>
                <w:rFonts w:ascii="Arial" w:hAnsi="Arial" w:cs="Arial"/>
              </w:rPr>
              <w:t>●</w:t>
            </w:r>
            <w:r w:rsidRPr="00F94B27">
              <w:rPr>
                <w:b/>
              </w:rPr>
              <w:t>]</w:t>
            </w:r>
            <w:r w:rsidRPr="00154C20">
              <w:t>.</w:t>
            </w:r>
            <w:r w:rsidRPr="00F94B27">
              <w:rPr>
                <w:b/>
              </w:rPr>
              <w:t>][</w:t>
            </w:r>
            <w:r w:rsidRPr="00FB20F4" w:rsidR="003F5ED6">
              <w:rPr>
                <w:rFonts w:ascii="Arial" w:hAnsi="Arial" w:cs="Arial"/>
              </w:rPr>
              <w:t>●</w:t>
            </w:r>
            <w:r w:rsidRPr="00F94B27">
              <w:rPr>
                <w:b/>
              </w:rPr>
              <w:t>]</w:t>
            </w:r>
          </w:p>
        </w:tc>
        <w:tc>
          <w:tcPr>
            <w:tcW w:w="2466" w:type="pct"/>
            <w:gridSpan w:val="14"/>
            <w:tcBorders>
              <w:left w:val="single" w:sz="4" w:space="0" w:color="auto"/>
            </w:tcBorders>
          </w:tcPr>
          <w:p w:rsidR="00EB57B5" w:rsidRPr="00EB57B5" w:rsidP="00EB57B5">
            <w:pPr>
              <w:pStyle w:val="CSBody0"/>
              <w:rPr>
                <w:lang w:val="de-DE"/>
              </w:rPr>
            </w:pPr>
            <w:r w:rsidRPr="00F94B27">
              <w:rPr>
                <w:b/>
                <w:lang w:val="de-DE"/>
              </w:rPr>
              <w:t>[</w:t>
            </w:r>
            <w:r w:rsidRPr="00EB57B5">
              <w:rPr>
                <w:lang w:val="de-DE"/>
              </w:rPr>
              <w:t xml:space="preserve">Die Emissionswährung der Komplexen Produkte lautet auf </w:t>
            </w:r>
            <w:r w:rsidRPr="00F94B27">
              <w:rPr>
                <w:b/>
                <w:lang w:val="de-DE"/>
              </w:rPr>
              <w:t>[</w:t>
            </w:r>
            <w:r w:rsidRPr="003F5ED6" w:rsidR="003F5ED6">
              <w:rPr>
                <w:rFonts w:ascii="Arial" w:hAnsi="Arial" w:cs="Arial"/>
                <w:lang w:val="de-DE"/>
              </w:rPr>
              <w:t>●</w:t>
            </w:r>
            <w:r w:rsidRPr="00F94B27">
              <w:rPr>
                <w:b/>
                <w:lang w:val="de-DE"/>
              </w:rPr>
              <w:t>]</w:t>
            </w:r>
            <w:r w:rsidRPr="00EB57B5">
              <w:rPr>
                <w:lang w:val="de-DE"/>
              </w:rPr>
              <w:t>.</w:t>
            </w:r>
            <w:r w:rsidRPr="00F94B27">
              <w:rPr>
                <w:b/>
                <w:lang w:val="de-DE"/>
              </w:rPr>
              <w:t>][</w:t>
            </w:r>
            <w:r w:rsidRPr="003F5ED6" w:rsidR="003F5ED6">
              <w:rPr>
                <w:rFonts w:ascii="Arial" w:hAnsi="Arial" w:cs="Arial"/>
                <w:lang w:val="de-DE"/>
              </w:rPr>
              <w: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E60155" w:rsidRPr="00EB57B5" w:rsidP="00EB57B5">
            <w:pPr>
              <w:pStyle w:val="CSbody0bold"/>
              <w:rPr>
                <w:lang w:val="en-GB"/>
              </w:rPr>
            </w:pPr>
            <w:r w:rsidRPr="00EB57B5">
              <w:rPr>
                <w:lang w:val="en-GB"/>
              </w:rPr>
              <w:t>C.5: Transferability of the Complex Products</w:t>
            </w:r>
          </w:p>
        </w:tc>
        <w:tc>
          <w:tcPr>
            <w:tcW w:w="2466" w:type="pct"/>
            <w:gridSpan w:val="14"/>
            <w:tcBorders>
              <w:left w:val="single" w:sz="4" w:space="0" w:color="auto"/>
            </w:tcBorders>
          </w:tcPr>
          <w:p w:rsidR="00E60155" w:rsidRPr="00B34C1C" w:rsidP="00EB57B5">
            <w:pPr>
              <w:pStyle w:val="CSbody0bold"/>
            </w:pPr>
            <w:r w:rsidRPr="00B34C1C">
              <w:t>C.5: Übertragbarkeit der Komplexen Produkte</w:t>
            </w:r>
          </w:p>
        </w:tc>
      </w:tr>
      <w:tr w:rsidTr="00942F00">
        <w:tblPrEx>
          <w:tblW w:w="5000" w:type="pct"/>
          <w:tblLayout w:type="fixed"/>
          <w:tblLook w:val="04A0"/>
        </w:tblPrEx>
        <w:tc>
          <w:tcPr>
            <w:tcW w:w="2534" w:type="pct"/>
            <w:gridSpan w:val="14"/>
            <w:tcBorders>
              <w:right w:val="single" w:sz="4" w:space="0" w:color="auto"/>
            </w:tcBorders>
          </w:tcPr>
          <w:p w:rsidR="00EB57B5" w:rsidRPr="00AE3101" w:rsidP="00EB57B5">
            <w:pPr>
              <w:pStyle w:val="CSBody0"/>
            </w:pPr>
            <w:r w:rsidRPr="00AE3101">
              <w:t>The Complex Products are freely transferable.</w:t>
            </w:r>
          </w:p>
        </w:tc>
        <w:tc>
          <w:tcPr>
            <w:tcW w:w="2466" w:type="pct"/>
            <w:gridSpan w:val="14"/>
            <w:tcBorders>
              <w:left w:val="single" w:sz="4" w:space="0" w:color="auto"/>
            </w:tcBorders>
          </w:tcPr>
          <w:p w:rsidR="00EB57B5" w:rsidRPr="00EB57B5" w:rsidP="00EB57B5">
            <w:pPr>
              <w:pStyle w:val="CSBody0"/>
              <w:rPr>
                <w:lang w:val="de-DE"/>
              </w:rPr>
            </w:pPr>
            <w:r w:rsidRPr="00EB57B5">
              <w:rPr>
                <w:lang w:val="de-DE"/>
              </w:rPr>
              <w:t>Die Komplexen Produkte sind frei übertragbar.</w:t>
            </w:r>
          </w:p>
        </w:tc>
      </w:tr>
      <w:tr w:rsidTr="00942F00">
        <w:tblPrEx>
          <w:tblW w:w="5000" w:type="pct"/>
          <w:tblLayout w:type="fixed"/>
          <w:tblLook w:val="04A0"/>
        </w:tblPrEx>
        <w:tc>
          <w:tcPr>
            <w:tcW w:w="2534" w:type="pct"/>
            <w:gridSpan w:val="14"/>
            <w:tcBorders>
              <w:right w:val="single" w:sz="4" w:space="0" w:color="auto"/>
            </w:tcBorders>
          </w:tcPr>
          <w:p w:rsidR="00E60155" w:rsidRPr="00DE10D4" w:rsidP="00526FBD">
            <w:pPr>
              <w:pStyle w:val="CSbody0bold"/>
              <w:rPr>
                <w:lang w:val="en-GB"/>
              </w:rPr>
            </w:pPr>
            <w:r w:rsidRPr="00DE10D4">
              <w:rPr>
                <w:lang w:val="en-GB"/>
              </w:rPr>
              <w:t>C.8: A description of the rights attached to the securities (including ranking and limitations to those rights)</w:t>
            </w:r>
          </w:p>
        </w:tc>
        <w:tc>
          <w:tcPr>
            <w:tcW w:w="2466" w:type="pct"/>
            <w:gridSpan w:val="14"/>
            <w:tcBorders>
              <w:left w:val="single" w:sz="4" w:space="0" w:color="auto"/>
            </w:tcBorders>
          </w:tcPr>
          <w:p w:rsidR="00E60155" w:rsidRPr="00B34C1C" w:rsidP="00EB57B5">
            <w:pPr>
              <w:pStyle w:val="CSbody0bold"/>
            </w:pPr>
            <w:r w:rsidRPr="00B34C1C">
              <w:t>C.8: Beschreibung der mit den Wertpapieren verbun-denen Rechte (einschliesslich der Rangordnung und Beschränkungen dieser Rechte)</w:t>
            </w:r>
          </w:p>
        </w:tc>
      </w:tr>
      <w:tr w:rsidTr="00942F00">
        <w:tblPrEx>
          <w:tblW w:w="5000" w:type="pct"/>
          <w:tblLayout w:type="fixed"/>
          <w:tblLook w:val="04A0"/>
        </w:tblPrEx>
        <w:tc>
          <w:tcPr>
            <w:tcW w:w="2534" w:type="pct"/>
            <w:gridSpan w:val="14"/>
            <w:tcBorders>
              <w:right w:val="single" w:sz="4" w:space="0" w:color="auto"/>
            </w:tcBorders>
          </w:tcPr>
          <w:p w:rsidR="00EB57B5" w:rsidRPr="00DE10D4" w:rsidP="00526FBD">
            <w:pPr>
              <w:pStyle w:val="CSbody0bolditalic"/>
              <w:rPr>
                <w:lang w:val="en-GB"/>
              </w:rPr>
            </w:pPr>
            <w:r w:rsidRPr="00F94B27">
              <w:rPr>
                <w:lang w:val="en-GB"/>
              </w:rPr>
              <w:t>[</w:t>
            </w:r>
            <w:r w:rsidRPr="00DE10D4">
              <w:rPr>
                <w:lang w:val="en-GB"/>
              </w:rPr>
              <w:t>in case of Complex Products with Fixed Final Redemption Amount:</w:t>
            </w:r>
          </w:p>
        </w:tc>
        <w:tc>
          <w:tcPr>
            <w:tcW w:w="2466" w:type="pct"/>
            <w:gridSpan w:val="14"/>
            <w:tcBorders>
              <w:left w:val="single" w:sz="4" w:space="0" w:color="auto"/>
            </w:tcBorders>
          </w:tcPr>
          <w:p w:rsidR="00EB57B5" w:rsidRPr="00EB57B5" w:rsidP="00526FBD">
            <w:pPr>
              <w:pStyle w:val="CSbody0bolditalic"/>
            </w:pPr>
            <w:r w:rsidRPr="00F94B27">
              <w:t>[</w:t>
            </w:r>
            <w:r w:rsidRPr="00EB57B5">
              <w:t>bei Komplexen Produkten mit Festem Finalen Rückzahlungsbetrag</w:t>
            </w:r>
          </w:p>
        </w:tc>
      </w:tr>
      <w:tr w:rsidTr="00942F00">
        <w:tblPrEx>
          <w:tblW w:w="5000" w:type="pct"/>
          <w:tblLayout w:type="fixed"/>
          <w:tblLook w:val="04A0"/>
        </w:tblPrEx>
        <w:tc>
          <w:tcPr>
            <w:tcW w:w="2534" w:type="pct"/>
            <w:gridSpan w:val="14"/>
            <w:tcBorders>
              <w:right w:val="single" w:sz="4" w:space="0" w:color="auto"/>
            </w:tcBorders>
          </w:tcPr>
          <w:p w:rsidR="00EB57B5" w:rsidRPr="0092337F" w:rsidP="00EB57B5">
            <w:pPr>
              <w:pStyle w:val="CSbody0bold"/>
            </w:pPr>
            <w:r w:rsidRPr="0092337F">
              <w:t>Final Redemption Amount</w:t>
            </w:r>
          </w:p>
        </w:tc>
        <w:tc>
          <w:tcPr>
            <w:tcW w:w="2466" w:type="pct"/>
            <w:gridSpan w:val="14"/>
            <w:tcBorders>
              <w:left w:val="single" w:sz="4" w:space="0" w:color="auto"/>
            </w:tcBorders>
          </w:tcPr>
          <w:p w:rsidR="00EB57B5" w:rsidP="00EB57B5">
            <w:pPr>
              <w:pStyle w:val="CSbody0bold"/>
            </w:pPr>
            <w:r w:rsidRPr="0092337F">
              <w:t>Finaler Rückzahlungsbetrag</w:t>
            </w:r>
          </w:p>
        </w:tc>
      </w:tr>
      <w:tr w:rsidTr="00942F00">
        <w:tblPrEx>
          <w:tblW w:w="5000" w:type="pct"/>
          <w:tblLayout w:type="fixed"/>
          <w:tblLook w:val="04A0"/>
        </w:tblPrEx>
        <w:tc>
          <w:tcPr>
            <w:tcW w:w="2534" w:type="pct"/>
            <w:gridSpan w:val="14"/>
            <w:tcBorders>
              <w:right w:val="single" w:sz="4" w:space="0" w:color="auto"/>
            </w:tcBorders>
          </w:tcPr>
          <w:p w:rsidR="00EB57B5" w:rsidRPr="001B36C0" w:rsidP="00526FBD">
            <w:pPr>
              <w:pStyle w:val="CSBody0"/>
            </w:pPr>
            <w:r w:rsidRPr="001B36C0">
              <w:t>Each Complex Product entitles the Holder to receive the Final Redemption Amount on the Final Redemption Date provided that the Complex Products have not been redeemed, repurchased or cancelled prior to such date.</w:t>
            </w:r>
          </w:p>
        </w:tc>
        <w:tc>
          <w:tcPr>
            <w:tcW w:w="2466" w:type="pct"/>
            <w:gridSpan w:val="14"/>
            <w:tcBorders>
              <w:left w:val="single" w:sz="4" w:space="0" w:color="auto"/>
            </w:tcBorders>
          </w:tcPr>
          <w:p w:rsidR="00EB57B5" w:rsidRPr="00EB57B5" w:rsidP="00EB57B5">
            <w:pPr>
              <w:pStyle w:val="CSBody0"/>
              <w:rPr>
                <w:lang w:val="de-DE"/>
              </w:rPr>
            </w:pPr>
            <w:r w:rsidRPr="00EB57B5">
              <w:rPr>
                <w:lang w:val="de-DE"/>
              </w:rPr>
              <w:t>Jedes Komplexe Produkt berechtigt den Inhaber, den Finalen Rückzahlungsbetrag am Finalen Rückzahlungstag zu erhalten, vorausgesetzt, die Komplexen Produkte wurden nicht bereits zuvor zurückgezahlt, zurückgekauft oder entwertet.</w:t>
            </w:r>
          </w:p>
        </w:tc>
      </w:tr>
      <w:tr w:rsidTr="00942F00">
        <w:tblPrEx>
          <w:tblW w:w="5000" w:type="pct"/>
          <w:tblLayout w:type="fixed"/>
          <w:tblLook w:val="04A0"/>
        </w:tblPrEx>
        <w:tc>
          <w:tcPr>
            <w:tcW w:w="2534" w:type="pct"/>
            <w:gridSpan w:val="14"/>
            <w:tcBorders>
              <w:right w:val="single" w:sz="4" w:space="0" w:color="auto"/>
            </w:tcBorders>
          </w:tcPr>
          <w:p w:rsidR="00EB57B5" w:rsidRPr="00DE10D4" w:rsidP="00EB57B5">
            <w:pPr>
              <w:pStyle w:val="CSbody0bolditalic"/>
              <w:rPr>
                <w:lang w:val="en-GB"/>
              </w:rPr>
            </w:pPr>
            <w:r w:rsidRPr="00F94B27">
              <w:rPr>
                <w:lang w:val="en-GB"/>
              </w:rPr>
              <w:t>[</w:t>
            </w:r>
            <w:r w:rsidRPr="00DE10D4">
              <w:rPr>
                <w:lang w:val="en-GB"/>
              </w:rPr>
              <w:t xml:space="preserve">in case of Credit-Linked Complex Products with auction settlement: </w:t>
            </w:r>
          </w:p>
        </w:tc>
        <w:tc>
          <w:tcPr>
            <w:tcW w:w="2466" w:type="pct"/>
            <w:gridSpan w:val="14"/>
            <w:tcBorders>
              <w:left w:val="single" w:sz="4" w:space="0" w:color="auto"/>
            </w:tcBorders>
          </w:tcPr>
          <w:p w:rsidR="00EB57B5" w:rsidRPr="00EB57B5" w:rsidP="00526FBD">
            <w:pPr>
              <w:pStyle w:val="CSbody0bolditalic"/>
            </w:pPr>
            <w:r w:rsidRPr="00F94B27">
              <w:t>[</w:t>
            </w:r>
            <w:r w:rsidRPr="00EB57B5">
              <w:t>bei Kreditbezogenen Komplexen Produkten mit Auktionsabwicklung:</w:t>
            </w:r>
          </w:p>
        </w:tc>
      </w:tr>
      <w:tr w:rsidTr="00942F00">
        <w:tblPrEx>
          <w:tblW w:w="5000" w:type="pct"/>
          <w:tblLayout w:type="fixed"/>
          <w:tblLook w:val="04A0"/>
        </w:tblPrEx>
        <w:tc>
          <w:tcPr>
            <w:tcW w:w="2534" w:type="pct"/>
            <w:gridSpan w:val="14"/>
            <w:tcBorders>
              <w:right w:val="single" w:sz="4" w:space="0" w:color="auto"/>
            </w:tcBorders>
          </w:tcPr>
          <w:p w:rsidR="00EB57B5" w:rsidRPr="001B36C0" w:rsidP="00EB57B5">
            <w:pPr>
              <w:pStyle w:val="CSbody0bold"/>
            </w:pPr>
            <w:r w:rsidRPr="001B36C0">
              <w:t>Scheduled Redemption Amount</w:t>
            </w:r>
          </w:p>
        </w:tc>
        <w:tc>
          <w:tcPr>
            <w:tcW w:w="2466" w:type="pct"/>
            <w:gridSpan w:val="14"/>
            <w:tcBorders>
              <w:left w:val="single" w:sz="4" w:space="0" w:color="auto"/>
            </w:tcBorders>
          </w:tcPr>
          <w:p w:rsidR="00EB57B5" w:rsidP="00EB57B5">
            <w:pPr>
              <w:pStyle w:val="CSbody0bold"/>
            </w:pPr>
            <w:r w:rsidRPr="001B36C0">
              <w:t>Planmässiger Rückzahlungsbetrag</w:t>
            </w:r>
          </w:p>
        </w:tc>
      </w:tr>
      <w:tr w:rsidTr="00942F00">
        <w:tblPrEx>
          <w:tblW w:w="5000" w:type="pct"/>
          <w:tblLayout w:type="fixed"/>
          <w:tblLook w:val="04A0"/>
        </w:tblPrEx>
        <w:tc>
          <w:tcPr>
            <w:tcW w:w="2534" w:type="pct"/>
            <w:gridSpan w:val="14"/>
            <w:tcBorders>
              <w:right w:val="single" w:sz="4" w:space="0" w:color="auto"/>
            </w:tcBorders>
          </w:tcPr>
          <w:p w:rsidR="00EB57B5" w:rsidRPr="00CB4B35" w:rsidP="003F5ED6">
            <w:pPr>
              <w:pStyle w:val="CSBody0"/>
            </w:pPr>
            <w:r w:rsidRPr="00CB4B35">
              <w:t xml:space="preserve">Unless previously redeemed, repurchased or cancelled, each Complex Product entitles the Holder to receive a Scheduled Redemption Amount equal to 100% of the Principal Amount of the Complex Products on the Scheduled Redemption Date or, where a Potential Credit Event Period has occurred and is continuing on the Scheduled Maturity Date, on the </w:t>
            </w:r>
            <w:r w:rsidRPr="00F94B27" w:rsidR="00F94B27">
              <w:rPr>
                <w:b/>
              </w:rPr>
              <w:t>[</w:t>
            </w:r>
            <w:r w:rsidRPr="00CB4B35">
              <w:t>fifth</w:t>
            </w:r>
            <w:r w:rsidRPr="00F94B27" w:rsidR="00F94B27">
              <w:rPr>
                <w:b/>
              </w:rPr>
              <w:t>][[</w:t>
            </w:r>
            <w:r w:rsidRPr="00FB20F4" w:rsidR="003F5ED6">
              <w:rPr>
                <w:rFonts w:ascii="Arial" w:hAnsi="Arial" w:cs="Arial"/>
              </w:rPr>
              <w:t>●</w:t>
            </w:r>
            <w:r w:rsidRPr="00F94B27" w:rsidR="00F94B27">
              <w:rPr>
                <w:b/>
              </w:rPr>
              <w:t>]]</w:t>
            </w:r>
            <w:r w:rsidRPr="00CB4B35">
              <w:t xml:space="preserve"> Business Day following the last day of such Potential Credit Event Period, provided that no Credit Event Determination Date has occurred.</w:t>
            </w:r>
          </w:p>
        </w:tc>
        <w:tc>
          <w:tcPr>
            <w:tcW w:w="2466" w:type="pct"/>
            <w:gridSpan w:val="14"/>
            <w:tcBorders>
              <w:left w:val="single" w:sz="4" w:space="0" w:color="auto"/>
            </w:tcBorders>
          </w:tcPr>
          <w:p w:rsidR="00EB57B5" w:rsidRPr="00EB57B5" w:rsidP="00526FBD">
            <w:pPr>
              <w:pStyle w:val="CSBody0"/>
              <w:rPr>
                <w:lang w:val="de-DE"/>
              </w:rPr>
            </w:pPr>
            <w:r w:rsidRPr="00EB57B5">
              <w:rPr>
                <w:lang w:val="de-DE"/>
              </w:rPr>
              <w:t xml:space="preserve">Jedes Komplexe Produkt, das nicht bereits zuvor zurückgezahlt, zurückgekauft oder entwertet wurde, berechtigt den Inhaber, einen Planmässigen Rückzahlungsbetrag in Höhe von 100% des Nennbetrags der Komplexen Produkte am Planmässigen Fälligkeitstag oder, falls ein Zeitraum eines Potenziellen Kreditereignisses begonnen hat und am Planmässigen Fälligkeitstag andauert, am </w:t>
            </w:r>
            <w:r w:rsidRPr="00F94B27" w:rsidR="00F94B27">
              <w:rPr>
                <w:b/>
                <w:lang w:val="de-DE"/>
              </w:rPr>
              <w:t>[</w:t>
            </w:r>
            <w:r w:rsidRPr="00EB57B5">
              <w:rPr>
                <w:lang w:val="de-DE"/>
              </w:rPr>
              <w:t>fünften</w:t>
            </w:r>
            <w:r w:rsidRPr="00F94B27" w:rsidR="00F94B27">
              <w:rPr>
                <w:b/>
                <w:lang w:val="de-DE"/>
              </w:rPr>
              <w:t>][[</w:t>
            </w:r>
            <w:r w:rsidRPr="003F5ED6" w:rsidR="003F5ED6">
              <w:rPr>
                <w:rFonts w:ascii="Arial" w:hAnsi="Arial" w:cs="Arial"/>
                <w:lang w:val="de-DE"/>
              </w:rPr>
              <w:t xml:space="preserve"> ●</w:t>
            </w:r>
            <w:r w:rsidRPr="00F94B27" w:rsidR="00F94B27">
              <w:rPr>
                <w:b/>
                <w:lang w:val="de-DE"/>
              </w:rPr>
              <w:t>]]</w:t>
            </w:r>
            <w:r w:rsidRPr="00EB57B5">
              <w:rPr>
                <w:lang w:val="de-DE"/>
              </w:rPr>
              <w:t xml:space="preserve"> Geschäftstag nach dem letzten Tag dieses Zeitraums zu erhalten, vorausgesetzt, es ist kein Kreditereignis-Feststellungstag eingetreten.</w:t>
            </w:r>
          </w:p>
        </w:tc>
      </w:tr>
      <w:tr w:rsidTr="00942F00">
        <w:tblPrEx>
          <w:tblW w:w="5000" w:type="pct"/>
          <w:tblLayout w:type="fixed"/>
          <w:tblLook w:val="04A0"/>
        </w:tblPrEx>
        <w:tc>
          <w:tcPr>
            <w:tcW w:w="2534" w:type="pct"/>
            <w:gridSpan w:val="14"/>
            <w:tcBorders>
              <w:right w:val="single" w:sz="4" w:space="0" w:color="auto"/>
            </w:tcBorders>
          </w:tcPr>
          <w:p w:rsidR="00EB57B5" w:rsidRPr="00CB4B35" w:rsidP="00EB57B5">
            <w:pPr>
              <w:pStyle w:val="CSbody0bold"/>
            </w:pPr>
            <w:r w:rsidRPr="00CB4B35">
              <w:t>Auction Redemption Amount</w:t>
            </w:r>
          </w:p>
        </w:tc>
        <w:tc>
          <w:tcPr>
            <w:tcW w:w="2466" w:type="pct"/>
            <w:gridSpan w:val="14"/>
            <w:tcBorders>
              <w:left w:val="single" w:sz="4" w:space="0" w:color="auto"/>
            </w:tcBorders>
          </w:tcPr>
          <w:p w:rsidR="00EB57B5" w:rsidRPr="00CB4B35" w:rsidP="00EB57B5">
            <w:pPr>
              <w:pStyle w:val="CSbody0bold"/>
            </w:pPr>
            <w:r w:rsidRPr="00CB4B35">
              <w:t>Auktionsrückzahlungsbetrag</w:t>
            </w:r>
          </w:p>
        </w:tc>
      </w:tr>
      <w:tr w:rsidTr="00942F00">
        <w:tblPrEx>
          <w:tblW w:w="5000" w:type="pct"/>
          <w:tblLayout w:type="fixed"/>
          <w:tblLook w:val="04A0"/>
        </w:tblPrEx>
        <w:tc>
          <w:tcPr>
            <w:tcW w:w="2534" w:type="pct"/>
            <w:gridSpan w:val="14"/>
            <w:tcBorders>
              <w:right w:val="single" w:sz="4" w:space="0" w:color="auto"/>
            </w:tcBorders>
          </w:tcPr>
          <w:p w:rsidR="00EB57B5" w:rsidRPr="00CB4B35" w:rsidP="00EB57B5">
            <w:pPr>
              <w:pStyle w:val="CSBody0"/>
            </w:pPr>
            <w:r w:rsidRPr="00F94B27">
              <w:rPr>
                <w:b/>
              </w:rPr>
              <w:t>[</w:t>
            </w:r>
            <w:r w:rsidRPr="00EB57B5">
              <w:rPr>
                <w:b/>
                <w:i/>
              </w:rPr>
              <w:t xml:space="preserve">in case of Complex Products linked to one Reference Entity or Complex Products with </w:t>
            </w:r>
            <w:r w:rsidR="00E80B0C">
              <w:rPr>
                <w:b/>
                <w:i/>
              </w:rPr>
              <w:t>N</w:t>
            </w:r>
            <w:r w:rsidRPr="00E80B0C" w:rsidR="00E80B0C">
              <w:rPr>
                <w:b/>
                <w:i/>
                <w:vertAlign w:val="superscript"/>
              </w:rPr>
              <w:t>th</w:t>
            </w:r>
            <w:r w:rsidRPr="00EB57B5">
              <w:rPr>
                <w:b/>
                <w:i/>
              </w:rPr>
              <w:t xml:space="preserve">-to-Default structure: </w:t>
            </w:r>
            <w:r w:rsidRPr="00CB4B35">
              <w:t xml:space="preserve">Upon the occurrence of a Credit Event Determination Date </w:t>
            </w:r>
            <w:r w:rsidRPr="00F94B27">
              <w:rPr>
                <w:b/>
              </w:rPr>
              <w:t>[</w:t>
            </w:r>
            <w:r w:rsidRPr="00EB57B5">
              <w:rPr>
                <w:b/>
                <w:i/>
              </w:rPr>
              <w:t xml:space="preserve">in case of Complex Products with </w:t>
            </w:r>
            <w:r w:rsidR="00E80B0C">
              <w:rPr>
                <w:b/>
                <w:i/>
              </w:rPr>
              <w:t>N</w:t>
            </w:r>
            <w:r w:rsidRPr="00E80B0C" w:rsidR="00E80B0C">
              <w:rPr>
                <w:b/>
                <w:i/>
                <w:vertAlign w:val="superscript"/>
              </w:rPr>
              <w:t>th</w:t>
            </w:r>
            <w:r w:rsidRPr="00EB57B5">
              <w:rPr>
                <w:b/>
                <w:i/>
              </w:rPr>
              <w:t>-to-Default structure:</w:t>
            </w:r>
            <w:r w:rsidRPr="00CB4B35">
              <w:t xml:space="preserve"> with respect to </w:t>
            </w:r>
            <w:r w:rsidRPr="00F94B27">
              <w:rPr>
                <w:b/>
              </w:rPr>
              <w:t>[</w:t>
            </w:r>
            <w:r w:rsidRPr="00FB20F4" w:rsidR="003F5ED6">
              <w:rPr>
                <w:rFonts w:ascii="Arial" w:hAnsi="Arial" w:cs="Arial"/>
              </w:rPr>
              <w:t>●</w:t>
            </w:r>
            <w:r w:rsidRPr="00F94B27">
              <w:rPr>
                <w:b/>
              </w:rPr>
              <w:t>]</w:t>
            </w:r>
            <w:r w:rsidRPr="00CB4B35">
              <w:t xml:space="preserve"> Reference Entities (</w:t>
            </w:r>
            <w:r w:rsidRPr="007E3558" w:rsidR="007E3558">
              <w:rPr>
                <w:i/>
              </w:rPr>
              <w:t>i.e.</w:t>
            </w:r>
            <w:r w:rsidRPr="00CB4B35">
              <w:t xml:space="preserve">, with respect to the </w:t>
            </w:r>
            <w:r w:rsidRPr="00F94B27">
              <w:rPr>
                <w:b/>
              </w:rPr>
              <w:t>[</w:t>
            </w:r>
            <w:r w:rsidRPr="00EB57B5">
              <w:rPr>
                <w:b/>
                <w:i/>
              </w:rPr>
              <w:t>insert relevant number:</w:t>
            </w:r>
            <w:r w:rsidRPr="00CB4B35">
              <w:t xml:space="preserve"> </w:t>
            </w:r>
            <w:r w:rsidRPr="00F94B27">
              <w:rPr>
                <w:b/>
              </w:rPr>
              <w:t>[</w:t>
            </w:r>
            <w:r w:rsidRPr="00CB4B35">
              <w:t>1st</w:t>
            </w:r>
            <w:r w:rsidRPr="00F94B27">
              <w:rPr>
                <w:b/>
              </w:rPr>
              <w:t>][</w:t>
            </w:r>
            <w:r w:rsidRPr="00CB4B35">
              <w:t>2nd</w:t>
            </w:r>
            <w:r w:rsidRPr="00F94B27">
              <w:rPr>
                <w:b/>
              </w:rPr>
              <w:t>][</w:t>
            </w:r>
            <w:r w:rsidRPr="00CB4B35">
              <w:t>3rd</w:t>
            </w:r>
            <w:r w:rsidRPr="00F94B27">
              <w:rPr>
                <w:b/>
              </w:rPr>
              <w:t>][[</w:t>
            </w:r>
            <w:r w:rsidRPr="00CB4B35">
              <w:rPr>
                <w:rFonts w:ascii="Arial" w:hAnsi="Arial" w:cs="Arial"/>
              </w:rPr>
              <w:t>●</w:t>
            </w:r>
            <w:r w:rsidRPr="00F94B27">
              <w:rPr>
                <w:b/>
              </w:rPr>
              <w:t>]]]</w:t>
            </w:r>
            <w:r w:rsidRPr="00CB4B35">
              <w:t>-to-Default Reference Entity)</w:t>
            </w:r>
            <w:r w:rsidRPr="00F94B27">
              <w:rPr>
                <w:b/>
              </w:rPr>
              <w:t>]</w:t>
            </w:r>
            <w:r w:rsidRPr="00CB4B35">
              <w:t>, the Complex Products will be redeemed at the Auction Redemption Amount (or, in the case of a Fallback Settlement Event, at the Cash Redemption Amount), which amount will generally be considerably less than the Holder’s initial investment in the Complex Product and may be zero. In such case, the Complex Products will be redeemed on the Auction Redemption Date or Cash Redemption Date, as applicable</w:t>
            </w:r>
            <w:r>
              <w:t xml:space="preserve"> </w:t>
            </w:r>
            <w:r w:rsidRPr="00F94B27">
              <w:rPr>
                <w:b/>
              </w:rPr>
              <w:t>[</w:t>
            </w:r>
            <w:r w:rsidRPr="00EB57B5">
              <w:rPr>
                <w:b/>
                <w:i/>
              </w:rPr>
              <w:t>in case of Complex Products linked to one Reference Entity and redemption not before the Scheduled Maturity Date:</w:t>
            </w:r>
            <w:r w:rsidRPr="00CB4B35">
              <w:t>, which will be the Scheduled Maturity Date or such later date as determined pursuant to the definition of Auction Redemption Date or Cash Redemption Date, as applicable</w:t>
            </w:r>
            <w:r w:rsidRPr="00F94B27">
              <w:rPr>
                <w:b/>
              </w:rPr>
              <w:t>]</w:t>
            </w:r>
            <w:r w:rsidRPr="00CB4B35">
              <w:t>.</w:t>
            </w:r>
            <w:r w:rsidRPr="00F94B27">
              <w:rPr>
                <w:b/>
              </w:rPr>
              <w:t>]</w:t>
            </w:r>
          </w:p>
        </w:tc>
        <w:tc>
          <w:tcPr>
            <w:tcW w:w="2466" w:type="pct"/>
            <w:gridSpan w:val="14"/>
            <w:tcBorders>
              <w:left w:val="single" w:sz="4" w:space="0" w:color="auto"/>
            </w:tcBorders>
          </w:tcPr>
          <w:p w:rsidR="00EB57B5" w:rsidRPr="00EB57B5" w:rsidP="003F5ED6">
            <w:pPr>
              <w:pStyle w:val="CSBody0"/>
              <w:rPr>
                <w:lang w:val="de-DE"/>
              </w:rPr>
            </w:pPr>
            <w:r w:rsidRPr="00F94B27">
              <w:rPr>
                <w:b/>
                <w:lang w:val="de-DE"/>
              </w:rPr>
              <w:t>[</w:t>
            </w:r>
            <w:r w:rsidRPr="00EB57B5">
              <w:rPr>
                <w:b/>
                <w:i/>
                <w:lang w:val="de-DE"/>
              </w:rPr>
              <w:t>bei Komplexen Produkten, die an einen Referenzschuldner gekoppelt sind, oder Komplexen Produkten mit N</w:t>
            </w:r>
            <w:r w:rsidRPr="00E80B0C">
              <w:rPr>
                <w:b/>
                <w:i/>
                <w:vertAlign w:val="superscript"/>
                <w:lang w:val="de-DE"/>
              </w:rPr>
              <w:t>th</w:t>
            </w:r>
            <w:r w:rsidRPr="00EB57B5">
              <w:rPr>
                <w:b/>
                <w:i/>
                <w:lang w:val="de-DE"/>
              </w:rPr>
              <w:t>-to-Default-Struktur:</w:t>
            </w:r>
            <w:r w:rsidRPr="00EB57B5">
              <w:rPr>
                <w:lang w:val="de-DE"/>
              </w:rPr>
              <w:t xml:space="preserve"> Bei Eintritt eines Kreditereignis-Feststellungstags </w:t>
            </w:r>
            <w:r w:rsidRPr="00F94B27">
              <w:rPr>
                <w:b/>
                <w:lang w:val="de-DE"/>
              </w:rPr>
              <w:t>[</w:t>
            </w:r>
            <w:r w:rsidRPr="00EB57B5">
              <w:rPr>
                <w:b/>
                <w:i/>
                <w:lang w:val="de-DE"/>
              </w:rPr>
              <w:t>bei Komplexen Produkten mit N</w:t>
            </w:r>
            <w:r w:rsidRPr="006A01BA" w:rsidR="006A01BA">
              <w:rPr>
                <w:b/>
                <w:i/>
                <w:vertAlign w:val="superscript"/>
                <w:lang w:val="de-DE"/>
              </w:rPr>
              <w:t>th</w:t>
            </w:r>
            <w:r w:rsidRPr="00EB57B5">
              <w:rPr>
                <w:b/>
                <w:i/>
                <w:lang w:val="de-DE"/>
              </w:rPr>
              <w:t>-to-Default-Struktur:</w:t>
            </w:r>
            <w:r w:rsidRPr="00EB57B5">
              <w:rPr>
                <w:lang w:val="de-DE"/>
              </w:rPr>
              <w:t xml:space="preserve"> in Bezug auf </w:t>
            </w:r>
            <w:r w:rsidRPr="00F94B27">
              <w:rPr>
                <w:b/>
                <w:lang w:val="de-DE"/>
              </w:rPr>
              <w:t>[</w:t>
            </w:r>
            <w:r w:rsidRPr="003F5ED6" w:rsidR="003F5ED6">
              <w:rPr>
                <w:rFonts w:ascii="Arial" w:hAnsi="Arial" w:cs="Arial"/>
                <w:lang w:val="de-DE"/>
              </w:rPr>
              <w:t>●</w:t>
            </w:r>
            <w:r w:rsidRPr="00F94B27">
              <w:rPr>
                <w:b/>
                <w:lang w:val="de-DE"/>
              </w:rPr>
              <w:t>]</w:t>
            </w:r>
            <w:r w:rsidRPr="00EB57B5">
              <w:rPr>
                <w:lang w:val="de-DE"/>
              </w:rPr>
              <w:t xml:space="preserve"> Referenzschuldner (also in Bezug auf den </w:t>
            </w:r>
            <w:r w:rsidRPr="00F94B27">
              <w:rPr>
                <w:b/>
                <w:lang w:val="de-DE"/>
              </w:rPr>
              <w:t>[</w:t>
            </w:r>
            <w:r w:rsidRPr="00EB57B5">
              <w:rPr>
                <w:b/>
                <w:i/>
                <w:lang w:val="de-DE"/>
              </w:rPr>
              <w:t>jeweilige Zahl einfügen:</w:t>
            </w:r>
            <w:r w:rsidRPr="00EB57B5">
              <w:rPr>
                <w:lang w:val="de-DE"/>
              </w:rPr>
              <w:t xml:space="preserve"> </w:t>
            </w:r>
            <w:r w:rsidRPr="00F94B27">
              <w:rPr>
                <w:b/>
                <w:lang w:val="de-DE"/>
              </w:rPr>
              <w:t>[</w:t>
            </w:r>
            <w:r w:rsidRPr="00EB57B5">
              <w:rPr>
                <w:lang w:val="de-DE"/>
              </w:rPr>
              <w:t>1st</w:t>
            </w:r>
            <w:r w:rsidRPr="00F94B27">
              <w:rPr>
                <w:b/>
                <w:lang w:val="de-DE"/>
              </w:rPr>
              <w:t>][</w:t>
            </w:r>
            <w:r w:rsidRPr="00EB57B5">
              <w:rPr>
                <w:lang w:val="de-DE"/>
              </w:rPr>
              <w:t>2nd</w:t>
            </w:r>
            <w:r w:rsidRPr="00F94B27">
              <w:rPr>
                <w:b/>
                <w:lang w:val="de-DE"/>
              </w:rPr>
              <w:t>][</w:t>
            </w:r>
            <w:r w:rsidRPr="00EB57B5">
              <w:rPr>
                <w:lang w:val="de-DE"/>
              </w:rPr>
              <w:t>3rd</w:t>
            </w:r>
            <w:r w:rsidRPr="00F94B27">
              <w:rPr>
                <w:b/>
                <w:lang w:val="de-DE"/>
              </w:rPr>
              <w:t>][[</w:t>
            </w:r>
            <w:r w:rsidRPr="003F5ED6" w:rsidR="003F5ED6">
              <w:rPr>
                <w:rFonts w:ascii="Arial" w:hAnsi="Arial" w:cs="Arial"/>
                <w:lang w:val="de-DE"/>
              </w:rPr>
              <w:t>●</w:t>
            </w:r>
            <w:r w:rsidRPr="00F94B27">
              <w:rPr>
                <w:b/>
                <w:lang w:val="de-DE"/>
              </w:rPr>
              <w:t>]]]</w:t>
            </w:r>
            <w:r w:rsidRPr="00EB57B5">
              <w:rPr>
                <w:lang w:val="de-DE"/>
              </w:rPr>
              <w:t>-to-Default-Referenzschuldner)</w:t>
            </w:r>
            <w:r w:rsidRPr="00F94B27">
              <w:rPr>
                <w:b/>
                <w:lang w:val="de-DE"/>
              </w:rPr>
              <w:t>]</w:t>
            </w:r>
            <w:r w:rsidRPr="00EB57B5">
              <w:rPr>
                <w:lang w:val="de-DE"/>
              </w:rPr>
              <w:t xml:space="preserve"> werden die Komplexen Produkte durch Zahlung eines Barbetrags in Höhe des Auktions-Rückzahlungsbetrags (oder, im Fall eines Ereignisses der Alternativen Abwicklung, in Höhe des Barrückzahlungsbetrags) zurückgezahlt; dieser Betrag ist in der Regel wesentlich geringer als der von dem Inhaber ursprünglich eingesetzte Kapitalbetrag und kann null betragen. In diesem Fall werden die Komplexen Produkte am Auktions-Rückzahlungstag bzw. Barrückzahlungstag zurückgezahlt</w:t>
            </w:r>
            <w:r>
              <w:rPr>
                <w:lang w:val="de-DE"/>
              </w:rPr>
              <w:t xml:space="preserve"> </w:t>
            </w:r>
            <w:r w:rsidRPr="00F94B27">
              <w:rPr>
                <w:b/>
                <w:lang w:val="de-DE"/>
              </w:rPr>
              <w:t>[</w:t>
            </w:r>
            <w:r w:rsidRPr="00EB57B5">
              <w:rPr>
                <w:b/>
                <w:i/>
                <w:lang w:val="de-DE"/>
              </w:rPr>
              <w:t>bei Komplexen Produkten, die an einen Referenzschuldner gekoppelt sind und Rückzahlung nicht vor dem Plan-mässigen Fälligkeitstag vorsehen:</w:t>
            </w:r>
            <w:r w:rsidRPr="00EB57B5">
              <w:rPr>
                <w:lang w:val="de-DE"/>
              </w:rPr>
              <w:t>, wobei es sich um den Planmässigen Fälligkeitstag handelt oder das spätere Datum, das sich aus der Definition von Auktions-Rückzahlungstag bzw. Barrückzahlungstag ergibt</w:t>
            </w:r>
            <w:r w:rsidRPr="00F94B27">
              <w:rPr>
                <w:b/>
                <w:lang w:val="de-DE"/>
              </w:rPr>
              <w:t>]</w:t>
            </w:r>
            <w:r w:rsidRPr="00EB57B5">
              <w:rPr>
                <w:lang w:val="de-DE"/>
              </w:rPr>
              <w: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EB57B5" w:rsidRPr="000252BC" w:rsidP="00845A92">
            <w:pPr>
              <w:pStyle w:val="CSBody0"/>
            </w:pPr>
            <w:r w:rsidRPr="00F94B27">
              <w:rPr>
                <w:b/>
              </w:rPr>
              <w:t>[</w:t>
            </w:r>
            <w:r w:rsidRPr="00592CAB">
              <w:rPr>
                <w:b/>
                <w:i/>
              </w:rPr>
              <w:t>in case of Complex Products linked to a Basket of Reference Entities:</w:t>
            </w:r>
            <w:r w:rsidRPr="000252BC">
              <w:t xml:space="preserve"> Upon the occurrence of a Credit Event Determination Date with respect to any Reference Entity that is not an an Affected Reference Entity (due to the occurrence of a Credit Event Determination Date such Reference Entity becomes an Affected Reference Entity), the portion of the Prin</w:t>
            </w:r>
            <w:r w:rsidR="00526FBD">
              <w:t>c</w:t>
            </w:r>
            <w:r w:rsidRPr="000252BC">
              <w:t>ipal Amount of the Complex Products equal to the Reference Entity Principal Amount of the Affected Reference Entity will be redeemed by payment of a cash amount to the Holder thereof equal to the relevant Auction Redemption Amount on the Auction Redemption Date (or, in the case of a Fallback Settlement Event, equal to the relevant Cash Redemption Amount on the Cash Redemption Date) which amount will generally be considerably less than the Reference Entity Principal Amount of the Affected Reference Entity by which the Scheduled Redemption Amount is so reduced and may be equal to zero.</w:t>
            </w:r>
            <w:r w:rsidRPr="00F94B27">
              <w:rPr>
                <w:b/>
              </w:rPr>
              <w:t>]</w:t>
            </w:r>
          </w:p>
        </w:tc>
        <w:tc>
          <w:tcPr>
            <w:tcW w:w="2466" w:type="pct"/>
            <w:gridSpan w:val="14"/>
            <w:tcBorders>
              <w:left w:val="single" w:sz="4" w:space="0" w:color="auto"/>
            </w:tcBorders>
          </w:tcPr>
          <w:p w:rsidR="00EB57B5" w:rsidRPr="00EB57B5" w:rsidP="00845A92">
            <w:pPr>
              <w:pStyle w:val="CSBody0"/>
              <w:rPr>
                <w:lang w:val="de-DE"/>
              </w:rPr>
            </w:pPr>
            <w:r w:rsidRPr="00F94B27">
              <w:rPr>
                <w:b/>
                <w:lang w:val="de-DE"/>
              </w:rPr>
              <w:t>[</w:t>
            </w:r>
            <w:r w:rsidRPr="00592CAB">
              <w:rPr>
                <w:b/>
                <w:i/>
                <w:lang w:val="de-DE"/>
              </w:rPr>
              <w:t>bei Komplexen Produkten, die an einen Korb von Referenzschuldnern gekoppelt sind:</w:t>
            </w:r>
            <w:r w:rsidRPr="00EB57B5">
              <w:rPr>
                <w:lang w:val="de-DE"/>
              </w:rPr>
              <w:t xml:space="preserve"> Bei Eintritt eines Krediter-eignis-Feststellungstags in Bezug auf einen Referenzschuldner, bei dem es sich nicht um einen Betroffenen Referenzschuldner handelt (auf Grund des Eintritts eines Kreditereignis-Feststellungstags wird dieser Referenzschuldner zu einem Betroffenen Referenzschuldner), wird der Teil des Nennbetrags der Komplexen Produkte, der dem Referenzschuldner-Nennbetrag des Betroffenen Referenzschuldners entspricht, durch Zahlung eines Barbetrags in Höhe des jeweiligen Auktions-Rückzahlungsbetrags am Auktions-Rückzahlungstag (oder, im Fall eines Ereignisses der Alternativen Abwicklung, in Höhe des jeweiligen Barrückzahlungsbetrags am Barrückzahlungstag) an den Inhaber des Komplexen Produkts zurückgezahlt; dieser Betrag ist in der Regel wesentlich geringer als der Referenzschuldner-Nennbetrag des Betroffenen Referenzschuldners, um den sich der Planmässige Rückzahlungsbetrag verringert, und kann null betragen.</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EB57B5" w:rsidRPr="00DE10D4" w:rsidP="00EB57B5">
            <w:pPr>
              <w:pStyle w:val="CSbody0bolditalic"/>
              <w:rPr>
                <w:lang w:val="en-GB"/>
              </w:rPr>
            </w:pPr>
            <w:r w:rsidRPr="00F94B27">
              <w:rPr>
                <w:lang w:val="en-GB"/>
              </w:rPr>
              <w:t>[</w:t>
            </w:r>
            <w:r w:rsidRPr="00DE10D4">
              <w:rPr>
                <w:lang w:val="en-GB"/>
              </w:rPr>
              <w:t>in case of Credit-Linked Complex Products with Zero-Recovery feature linked to a Basket:</w:t>
            </w:r>
          </w:p>
        </w:tc>
        <w:tc>
          <w:tcPr>
            <w:tcW w:w="2466" w:type="pct"/>
            <w:gridSpan w:val="14"/>
            <w:tcBorders>
              <w:left w:val="single" w:sz="4" w:space="0" w:color="auto"/>
            </w:tcBorders>
          </w:tcPr>
          <w:p w:rsidR="00EB57B5" w:rsidRPr="00EB57B5" w:rsidP="00EB57B5">
            <w:pPr>
              <w:pStyle w:val="CSbody0bolditalic"/>
            </w:pPr>
            <w:r w:rsidRPr="00F94B27">
              <w:t>[</w:t>
            </w:r>
            <w:r w:rsidRPr="00EB57B5">
              <w:t>bei Kreditbezogenen Komplexen Produkten mit Zero-Recovery-Merkmal, die an einen Korb gekoppelt sind:</w:t>
            </w:r>
          </w:p>
        </w:tc>
      </w:tr>
      <w:tr w:rsidTr="00942F00">
        <w:tblPrEx>
          <w:tblW w:w="5000" w:type="pct"/>
          <w:tblLayout w:type="fixed"/>
          <w:tblLook w:val="04A0"/>
        </w:tblPrEx>
        <w:tc>
          <w:tcPr>
            <w:tcW w:w="2534" w:type="pct"/>
            <w:gridSpan w:val="14"/>
            <w:tcBorders>
              <w:right w:val="single" w:sz="4" w:space="0" w:color="auto"/>
            </w:tcBorders>
          </w:tcPr>
          <w:p w:rsidR="00EB57B5" w:rsidRPr="000252BC" w:rsidP="00EB57B5">
            <w:pPr>
              <w:pStyle w:val="CSbody0bold"/>
            </w:pPr>
            <w:r w:rsidRPr="000252BC">
              <w:t>Scheduled Redemption Amount</w:t>
            </w:r>
          </w:p>
        </w:tc>
        <w:tc>
          <w:tcPr>
            <w:tcW w:w="2466" w:type="pct"/>
            <w:gridSpan w:val="14"/>
            <w:tcBorders>
              <w:left w:val="single" w:sz="4" w:space="0" w:color="auto"/>
            </w:tcBorders>
          </w:tcPr>
          <w:p w:rsidR="00EB57B5" w:rsidP="00EB57B5">
            <w:pPr>
              <w:pStyle w:val="CSbody0bold"/>
            </w:pPr>
            <w:r w:rsidRPr="000252BC">
              <w:t>Planmässiger Rückzahlungsbetrag</w:t>
            </w:r>
          </w:p>
        </w:tc>
      </w:tr>
      <w:tr w:rsidTr="00942F00">
        <w:tblPrEx>
          <w:tblW w:w="5000" w:type="pct"/>
          <w:tblLayout w:type="fixed"/>
          <w:tblLook w:val="04A0"/>
        </w:tblPrEx>
        <w:tc>
          <w:tcPr>
            <w:tcW w:w="2534" w:type="pct"/>
            <w:gridSpan w:val="14"/>
            <w:tcBorders>
              <w:right w:val="single" w:sz="4" w:space="0" w:color="auto"/>
            </w:tcBorders>
          </w:tcPr>
          <w:p w:rsidR="00592CAB" w:rsidRPr="00B16286" w:rsidP="003F5ED6">
            <w:pPr>
              <w:pStyle w:val="CSBody0"/>
            </w:pPr>
            <w:r w:rsidRPr="00B16286">
              <w:t xml:space="preserve">Unless previously redeemed, repurchased or cancelled, each Complex Product entitles the Holder to receive a Scheduled Redemption Amount equal to 100% of the Principal Amount of the Complex Products on the Scheduled Redemption Date or, where a Potential Credit Event Period has occurred and is continuing on the Scheduled Maturity Date, on the </w:t>
            </w:r>
            <w:r w:rsidRPr="00F94B27" w:rsidR="00F94B27">
              <w:rPr>
                <w:b/>
              </w:rPr>
              <w:t>[</w:t>
            </w:r>
            <w:r w:rsidRPr="00B16286">
              <w:t>fifth</w:t>
            </w:r>
            <w:r w:rsidRPr="00F94B27" w:rsidR="00F94B27">
              <w:rPr>
                <w:b/>
              </w:rPr>
              <w:t>][[</w:t>
            </w:r>
            <w:r w:rsidRPr="00FB20F4" w:rsidR="003F5ED6">
              <w:rPr>
                <w:rFonts w:ascii="Arial" w:hAnsi="Arial" w:cs="Arial"/>
              </w:rPr>
              <w:t>●</w:t>
            </w:r>
            <w:r w:rsidRPr="00F94B27" w:rsidR="00F94B27">
              <w:rPr>
                <w:b/>
              </w:rPr>
              <w:t>]]</w:t>
            </w:r>
            <w:r w:rsidRPr="00B16286">
              <w:t xml:space="preserve"> Business Day following the last day of such Potential Credit Event Period, provided that no Credit Event Determination Date has occurred.</w:t>
            </w:r>
          </w:p>
        </w:tc>
        <w:tc>
          <w:tcPr>
            <w:tcW w:w="2466" w:type="pct"/>
            <w:gridSpan w:val="14"/>
            <w:tcBorders>
              <w:left w:val="single" w:sz="4" w:space="0" w:color="auto"/>
            </w:tcBorders>
          </w:tcPr>
          <w:p w:rsidR="00592CAB" w:rsidRPr="00592CAB" w:rsidP="003F5ED6">
            <w:pPr>
              <w:pStyle w:val="CSBody0"/>
              <w:rPr>
                <w:lang w:val="de-DE"/>
              </w:rPr>
            </w:pPr>
            <w:r w:rsidRPr="00592CAB">
              <w:rPr>
                <w:lang w:val="de-DE"/>
              </w:rPr>
              <w:t>Jedes Komplexe Produkt, das nicht bereits zuvor zurückgezahlt, zurückgekauft oder entwertet wurde, berechtigt den Inhaber, einen Planmässigen Rückzahlungsbetrag in Höhe von 100% des Nennbetrags der Komplexen Produkte am Planmässigen Fälligkeitstag oder, f</w:t>
            </w:r>
            <w:r w:rsidR="002A02E2">
              <w:rPr>
                <w:lang w:val="de-DE"/>
              </w:rPr>
              <w:t>alls ein Zeitraum eines Potenzie</w:t>
            </w:r>
            <w:r w:rsidRPr="00592CAB">
              <w:rPr>
                <w:lang w:val="de-DE"/>
              </w:rPr>
              <w:t xml:space="preserve">llen Kreditereignisses begonnen hat und am Planmässigen Fälligkeitstag andauert, am </w:t>
            </w:r>
            <w:r w:rsidRPr="00F94B27" w:rsidR="00F94B27">
              <w:rPr>
                <w:b/>
                <w:lang w:val="de-DE"/>
              </w:rPr>
              <w:t>[</w:t>
            </w:r>
            <w:r w:rsidRPr="00592CAB">
              <w:rPr>
                <w:lang w:val="de-DE"/>
              </w:rPr>
              <w:t>fünften</w:t>
            </w:r>
            <w:r w:rsidRPr="00F94B27" w:rsidR="00F94B27">
              <w:rPr>
                <w:b/>
                <w:lang w:val="de-DE"/>
              </w:rPr>
              <w:t>][[</w:t>
            </w:r>
            <w:r w:rsidRPr="003F5ED6" w:rsidR="003F5ED6">
              <w:rPr>
                <w:rFonts w:ascii="Arial" w:hAnsi="Arial" w:cs="Arial"/>
                <w:lang w:val="de-DE"/>
              </w:rPr>
              <w:t>●</w:t>
            </w:r>
            <w:r w:rsidRPr="00F94B27" w:rsidR="00F94B27">
              <w:rPr>
                <w:b/>
                <w:lang w:val="de-DE"/>
              </w:rPr>
              <w:t>]]</w:t>
            </w:r>
            <w:r w:rsidRPr="00592CAB">
              <w:rPr>
                <w:lang w:val="de-DE"/>
              </w:rPr>
              <w:t xml:space="preserve"> Geschäftstag nach dem letzten Tag dieses Zeitraums zu erhalten, vorausgesetzt, es ist kein Kreditereignis-Feststellungstag eingetreten.</w:t>
            </w:r>
          </w:p>
        </w:tc>
      </w:tr>
      <w:tr w:rsidTr="00942F00">
        <w:tblPrEx>
          <w:tblW w:w="5000" w:type="pct"/>
          <w:tblLayout w:type="fixed"/>
          <w:tblLook w:val="04A0"/>
        </w:tblPrEx>
        <w:tc>
          <w:tcPr>
            <w:tcW w:w="2534" w:type="pct"/>
            <w:gridSpan w:val="14"/>
            <w:tcBorders>
              <w:right w:val="single" w:sz="4" w:space="0" w:color="auto"/>
            </w:tcBorders>
          </w:tcPr>
          <w:p w:rsidR="00592CAB" w:rsidRPr="00B16286" w:rsidP="00474C21">
            <w:pPr>
              <w:pStyle w:val="CSBody0"/>
            </w:pPr>
            <w:r w:rsidRPr="00B16286">
              <w:t>Upon the occurrence of a Credit Event Determination Date with respect to any Reference Entity that is not an Affected Reference Entity (due to the occurrence of a Credit Event Determination Date such Reference Entity becomes an Affected Reference Entity), the Reference Entity Principal Amount of such Affected Reference Entity will be written down to zero and the Outstanding Principal Amount of the Complex Products, on the basis of which the Scheduled Redemption Amount is calculated, will be reduced accordingly and no further payments shall be made in respect of such Reference Entity Principal Amount to the Holders of the Complex Products. In such case, the greater the number of Reference Entities with respect to which a Credit Event Determination Date occurs on or prior to the Scheduled Maturity Date, the greater the loss suffered by the investor will be. In the worst case scenario, (i) a Credit Event Determination Date with respect to each Reference Entity occurs prior to the first Interest Payment Date, which means that no interest payments on the relevant Complex Products will be made, and the Scheduled Redemption Amount will be equal to zero. In such case, the investor would suffer a total loss of its initial investment.</w:t>
            </w:r>
            <w:r w:rsidRPr="00F94B27" w:rsidR="00F94B27">
              <w:rPr>
                <w:b/>
              </w:rPr>
              <w:t>]</w:t>
            </w:r>
          </w:p>
        </w:tc>
        <w:tc>
          <w:tcPr>
            <w:tcW w:w="2466" w:type="pct"/>
            <w:gridSpan w:val="14"/>
            <w:tcBorders>
              <w:left w:val="single" w:sz="4" w:space="0" w:color="auto"/>
            </w:tcBorders>
          </w:tcPr>
          <w:p w:rsidR="00592CAB" w:rsidRPr="00592CAB" w:rsidP="00474C21">
            <w:pPr>
              <w:pStyle w:val="CSBody0"/>
              <w:rPr>
                <w:lang w:val="de-DE"/>
              </w:rPr>
            </w:pPr>
            <w:r w:rsidRPr="00592CAB">
              <w:rPr>
                <w:lang w:val="de-DE"/>
              </w:rPr>
              <w:t xml:space="preserve">Bei Eintritt eines Kreditereignis-Feststellungstags in Bezug auf einen Referenzschuldner, bei dem es sich nicht um einen Betroffenen Referenzschuldner handelt (auf Grund des Eintritts eines Kreditereignis-Feststellungstags wird dieser Referenzschuldner zu einem Betroffenen Referenzschuldner), wird der Referenzschuldner-Nennbetrag des Betroffenen Referenzschuldners auf null herab gesetzt und der Ausstehende Nennbetrag der Komplexen Produkte, auf dessen Basis der Planmässige Rückzahlungsbetrag berechnet wird, wird entsprechend reduziert und es werden keine weiteren Zahlungen in Bezug auf diesen Referenzschuldner-Nennbetrag mehr an die Inhaber der Komplexen Produkte geleistet. In diesem Fall gilt: je mehr Referenzschuldner, in Bezug auf die an oder vor dem Planmässigen Fälligkeitstag ein Kreditereignis-Feststellungstag eintritt, umso grösser ist der Verlust, den der Anleger erleidet. Im schlimmsten Fall (i) tritt vor dem ersten Zinszahlungstag ein Kreditereignis-Feststellungstag in Bezug auf jeden Referenzschuldner ein, </w:t>
            </w:r>
            <w:r w:rsidR="007E3558">
              <w:rPr>
                <w:lang w:val="de-DE"/>
              </w:rPr>
              <w:t>d.h.</w:t>
            </w:r>
            <w:r w:rsidRPr="00592CAB">
              <w:rPr>
                <w:lang w:val="de-DE"/>
              </w:rPr>
              <w:t xml:space="preserve"> es erfolgen keine Zinszahlungen auf die betreffenden Komplexen Produkte, und der Planmässige Rückzahlungsbetrag ist gleich null. In diesem Fall würde der Anleger einen Totalverlust seines ursprünglich eingesetzten Kapitals erleiden.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592CAB" w:rsidRPr="00DE10D4" w:rsidP="00526FBD">
            <w:pPr>
              <w:pStyle w:val="CSbody0bolditalic"/>
              <w:rPr>
                <w:lang w:val="en-GB"/>
              </w:rPr>
            </w:pPr>
            <w:r w:rsidRPr="00F94B27">
              <w:rPr>
                <w:lang w:val="en-GB"/>
              </w:rPr>
              <w:t>[</w:t>
            </w:r>
            <w:r w:rsidRPr="00DE10D4">
              <w:rPr>
                <w:lang w:val="en-GB"/>
              </w:rPr>
              <w:t>in case of Credit-Linked Complex Products with simplified settlement:</w:t>
            </w:r>
          </w:p>
        </w:tc>
        <w:tc>
          <w:tcPr>
            <w:tcW w:w="2466" w:type="pct"/>
            <w:gridSpan w:val="14"/>
            <w:tcBorders>
              <w:left w:val="single" w:sz="4" w:space="0" w:color="auto"/>
            </w:tcBorders>
          </w:tcPr>
          <w:p w:rsidR="00592CAB" w:rsidRPr="00592CAB" w:rsidP="00592CAB">
            <w:pPr>
              <w:pStyle w:val="CSbody0bolditalic"/>
            </w:pPr>
            <w:r w:rsidRPr="00F94B27">
              <w:t>[</w:t>
            </w:r>
            <w:r w:rsidRPr="00592CAB">
              <w:t>bei Kreditbezogenen Komplexen Produkten mit vereinfachter Abwicklung:</w:t>
            </w:r>
          </w:p>
        </w:tc>
      </w:tr>
      <w:tr w:rsidTr="00942F00">
        <w:tblPrEx>
          <w:tblW w:w="5000" w:type="pct"/>
          <w:tblLayout w:type="fixed"/>
          <w:tblLook w:val="04A0"/>
        </w:tblPrEx>
        <w:tc>
          <w:tcPr>
            <w:tcW w:w="2534" w:type="pct"/>
            <w:gridSpan w:val="14"/>
            <w:tcBorders>
              <w:right w:val="single" w:sz="4" w:space="0" w:color="auto"/>
            </w:tcBorders>
          </w:tcPr>
          <w:p w:rsidR="00592CAB" w:rsidRPr="009279BF" w:rsidP="00592CAB">
            <w:pPr>
              <w:pStyle w:val="CSbody0bold"/>
            </w:pPr>
            <w:r w:rsidRPr="009279BF">
              <w:t>Scheduled Redemption Amount</w:t>
            </w:r>
          </w:p>
        </w:tc>
        <w:tc>
          <w:tcPr>
            <w:tcW w:w="2466" w:type="pct"/>
            <w:gridSpan w:val="14"/>
            <w:tcBorders>
              <w:left w:val="single" w:sz="4" w:space="0" w:color="auto"/>
            </w:tcBorders>
          </w:tcPr>
          <w:p w:rsidR="00592CAB" w:rsidP="00592CAB">
            <w:pPr>
              <w:pStyle w:val="CSbody0bold"/>
            </w:pPr>
            <w:r w:rsidRPr="009279BF">
              <w:t>Planmässiger Rückzahlungsbetrag</w:t>
            </w:r>
          </w:p>
        </w:tc>
      </w:tr>
      <w:tr w:rsidTr="00942F00">
        <w:tblPrEx>
          <w:tblW w:w="5000" w:type="pct"/>
          <w:tblLayout w:type="fixed"/>
          <w:tblLook w:val="04A0"/>
        </w:tblPrEx>
        <w:tc>
          <w:tcPr>
            <w:tcW w:w="2534" w:type="pct"/>
            <w:gridSpan w:val="14"/>
            <w:tcBorders>
              <w:right w:val="single" w:sz="4" w:space="0" w:color="auto"/>
            </w:tcBorders>
          </w:tcPr>
          <w:p w:rsidR="00592CAB" w:rsidRPr="00D02957" w:rsidP="00592CAB">
            <w:pPr>
              <w:pStyle w:val="CSBody0"/>
            </w:pPr>
            <w:r w:rsidRPr="00D02957">
              <w:t xml:space="preserve">Unless previously redeemed, repurchased or cancelled, each Complex Product entitles the Holder to receive the Scheduled Redemption Amount on the Scheduled Redemption Date or, where a Suspension Period has occurred and is continuing on the Scheduled Maturity Date, on the </w:t>
            </w:r>
            <w:r w:rsidRPr="00F94B27" w:rsidR="00F94B27">
              <w:rPr>
                <w:b/>
              </w:rPr>
              <w:t>[</w:t>
            </w:r>
            <w:r w:rsidRPr="00D02957">
              <w:t>second</w:t>
            </w:r>
            <w:r w:rsidRPr="00F94B27" w:rsidR="00F94B27">
              <w:rPr>
                <w:b/>
              </w:rPr>
              <w:t>][[</w:t>
            </w:r>
            <w:r w:rsidRPr="003F5ED6" w:rsidR="003F5ED6">
              <w:rPr>
                <w:rFonts w:ascii="Arial" w:hAnsi="Arial" w:cs="Arial"/>
              </w:rPr>
              <w:t>●</w:t>
            </w:r>
            <w:r w:rsidRPr="00F94B27" w:rsidR="00F94B27">
              <w:rPr>
                <w:b/>
              </w:rPr>
              <w:t>]]</w:t>
            </w:r>
            <w:r w:rsidRPr="00D02957">
              <w:t xml:space="preserve"> Business Day following the last day of such Suspension Period, provided that no Credit Redemption Event has occurred.</w:t>
            </w:r>
          </w:p>
        </w:tc>
        <w:tc>
          <w:tcPr>
            <w:tcW w:w="2466" w:type="pct"/>
            <w:gridSpan w:val="14"/>
            <w:tcBorders>
              <w:left w:val="single" w:sz="4" w:space="0" w:color="auto"/>
            </w:tcBorders>
          </w:tcPr>
          <w:p w:rsidR="00592CAB" w:rsidRPr="00592CAB" w:rsidP="003F5ED6">
            <w:pPr>
              <w:pStyle w:val="CSBody0"/>
              <w:rPr>
                <w:lang w:val="de-DE"/>
              </w:rPr>
            </w:pPr>
            <w:r w:rsidRPr="00592CAB">
              <w:rPr>
                <w:lang w:val="de-DE"/>
              </w:rPr>
              <w:t xml:space="preserve">Jedes Komplexe Produkt, das nicht bereits zuvor zurückgezahlt, zurückgekauft oder entwertet wurde, berechtigt den Inhaber, den Planmässigen Rückzahlungsbetrag am Planmässigen Fälligkeitstag oder, falls ein Aussetzungszeitraum begonnen hat und am Planmässigen Fälligkeitstag andauert, am </w:t>
            </w:r>
            <w:r w:rsidRPr="00F94B27" w:rsidR="00F94B27">
              <w:rPr>
                <w:b/>
                <w:lang w:val="de-DE"/>
              </w:rPr>
              <w:t>[</w:t>
            </w:r>
            <w:r w:rsidRPr="00592CAB">
              <w:rPr>
                <w:lang w:val="de-DE"/>
              </w:rPr>
              <w:t>zweiten</w:t>
            </w:r>
            <w:r w:rsidRPr="00F94B27" w:rsidR="00F94B27">
              <w:rPr>
                <w:b/>
                <w:lang w:val="de-DE"/>
              </w:rPr>
              <w:t>][[</w:t>
            </w:r>
            <w:r w:rsidRPr="003F5ED6" w:rsidR="003F5ED6">
              <w:rPr>
                <w:rFonts w:ascii="Arial" w:hAnsi="Arial" w:cs="Arial"/>
                <w:lang w:val="de-DE"/>
              </w:rPr>
              <w:t>●</w:t>
            </w:r>
            <w:r w:rsidRPr="00F94B27" w:rsidR="00F94B27">
              <w:rPr>
                <w:b/>
                <w:lang w:val="de-DE"/>
              </w:rPr>
              <w:t>]]</w:t>
            </w:r>
            <w:r w:rsidRPr="00592CAB">
              <w:rPr>
                <w:lang w:val="de-DE"/>
              </w:rPr>
              <w:t xml:space="preserve"> Geschäftstag nach dem letzten Tag dieses Zeitraums zu erhalten, vorausgesetzt, es ist kein Kredit-Rückzahlungsereignis eingetreten.</w:t>
            </w:r>
          </w:p>
        </w:tc>
      </w:tr>
      <w:tr w:rsidTr="00942F00">
        <w:tblPrEx>
          <w:tblW w:w="5000" w:type="pct"/>
          <w:tblLayout w:type="fixed"/>
          <w:tblLook w:val="04A0"/>
        </w:tblPrEx>
        <w:tc>
          <w:tcPr>
            <w:tcW w:w="2534" w:type="pct"/>
            <w:gridSpan w:val="14"/>
            <w:tcBorders>
              <w:right w:val="single" w:sz="4" w:space="0" w:color="auto"/>
            </w:tcBorders>
          </w:tcPr>
          <w:p w:rsidR="00592CAB" w:rsidRPr="00DE10D4" w:rsidP="00592CAB">
            <w:pPr>
              <w:pStyle w:val="CSbody0bold"/>
              <w:rPr>
                <w:lang w:val="en-GB"/>
              </w:rPr>
            </w:pPr>
            <w:r w:rsidRPr="00DE10D4">
              <w:rPr>
                <w:lang w:val="en-GB"/>
              </w:rPr>
              <w:t>Redemption upon occurrence of a Credit Redemption Event</w:t>
            </w:r>
          </w:p>
        </w:tc>
        <w:tc>
          <w:tcPr>
            <w:tcW w:w="2466" w:type="pct"/>
            <w:gridSpan w:val="14"/>
            <w:tcBorders>
              <w:left w:val="single" w:sz="4" w:space="0" w:color="auto"/>
            </w:tcBorders>
          </w:tcPr>
          <w:p w:rsidR="00592CAB" w:rsidRPr="00592CAB" w:rsidP="00592CAB">
            <w:pPr>
              <w:pStyle w:val="CSbody0bold"/>
            </w:pPr>
            <w:r w:rsidRPr="00592CAB">
              <w:t>Rückzahlung bei Eintritt eines Kredit-Rückzahlungsereignisses</w:t>
            </w:r>
          </w:p>
        </w:tc>
      </w:tr>
      <w:tr w:rsidTr="00942F00">
        <w:tblPrEx>
          <w:tblW w:w="5000" w:type="pct"/>
          <w:tblLayout w:type="fixed"/>
          <w:tblLook w:val="04A0"/>
        </w:tblPrEx>
        <w:tc>
          <w:tcPr>
            <w:tcW w:w="2534" w:type="pct"/>
            <w:gridSpan w:val="14"/>
            <w:tcBorders>
              <w:right w:val="single" w:sz="4" w:space="0" w:color="auto"/>
            </w:tcBorders>
          </w:tcPr>
          <w:p w:rsidR="00592CAB" w:rsidRPr="00D02957" w:rsidP="00592CAB">
            <w:pPr>
              <w:pStyle w:val="CSBody0"/>
            </w:pPr>
            <w:r w:rsidRPr="00D02957">
              <w:t xml:space="preserve">Upon occurrence of a Credit Redemption Event each Complex Product will be redeemed by </w:t>
            </w:r>
            <w:r w:rsidRPr="00F94B27" w:rsidR="00F94B27">
              <w:rPr>
                <w:b/>
              </w:rPr>
              <w:t>[</w:t>
            </w:r>
            <w:r w:rsidRPr="00592CAB">
              <w:rPr>
                <w:b/>
                <w:i/>
              </w:rPr>
              <w:t>in case of Complex Products with cash settlement:</w:t>
            </w:r>
            <w:r w:rsidRPr="00D02957">
              <w:t xml:space="preserve"> payment of a cash amount equal to the Credit Redemption Amount</w:t>
            </w:r>
            <w:r w:rsidRPr="00F94B27" w:rsidR="00F94B27">
              <w:rPr>
                <w:b/>
              </w:rPr>
              <w:t>]</w:t>
            </w:r>
            <w:r w:rsidRPr="00D02957">
              <w:t xml:space="preserve"> </w:t>
            </w:r>
            <w:r w:rsidRPr="00F94B27" w:rsidR="00F94B27">
              <w:rPr>
                <w:b/>
              </w:rPr>
              <w:t>[</w:t>
            </w:r>
            <w:r w:rsidRPr="00592CAB">
              <w:rPr>
                <w:b/>
                <w:i/>
              </w:rPr>
              <w:t>in case of Complex Products with physical settlement:</w:t>
            </w:r>
            <w:r w:rsidRPr="00D02957">
              <w:t xml:space="preserve"> delivery of the number of Reference Obligations specified in the Ratio</w:t>
            </w:r>
            <w:r w:rsidRPr="00F94B27" w:rsidR="00F94B27">
              <w:rPr>
                <w:b/>
              </w:rPr>
              <w:t>]</w:t>
            </w:r>
            <w:r w:rsidRPr="00D02957">
              <w:t xml:space="preserve"> to each Holder. In such case, the </w:t>
            </w:r>
            <w:r w:rsidRPr="00F94B27" w:rsidR="00F94B27">
              <w:rPr>
                <w:b/>
              </w:rPr>
              <w:t>[</w:t>
            </w:r>
            <w:r w:rsidRPr="00D02957">
              <w:t>cash amount paid to the Holder</w:t>
            </w:r>
            <w:r w:rsidRPr="00F94B27" w:rsidR="00F94B27">
              <w:rPr>
                <w:b/>
              </w:rPr>
              <w:t>]</w:t>
            </w:r>
            <w:r w:rsidRPr="00D02957">
              <w:t xml:space="preserve"> </w:t>
            </w:r>
            <w:r w:rsidRPr="00F94B27" w:rsidR="00F94B27">
              <w:rPr>
                <w:b/>
              </w:rPr>
              <w:t>[</w:t>
            </w:r>
            <w:r w:rsidRPr="00D02957">
              <w:t>value of the Reference Obligations delivered to the Holder</w:t>
            </w:r>
            <w:r w:rsidRPr="00F94B27" w:rsidR="00F94B27">
              <w:rPr>
                <w:b/>
              </w:rPr>
              <w:t>]</w:t>
            </w:r>
            <w:r w:rsidRPr="00D02957">
              <w:t xml:space="preserve"> will generally be considerably less than the Holder's initial investment in such Complex Products.</w:t>
            </w:r>
            <w:r w:rsidRPr="00F94B27" w:rsidR="00F94B27">
              <w:rPr>
                <w:b/>
              </w:rPr>
              <w:t>]</w:t>
            </w:r>
          </w:p>
        </w:tc>
        <w:tc>
          <w:tcPr>
            <w:tcW w:w="2466" w:type="pct"/>
            <w:gridSpan w:val="14"/>
            <w:tcBorders>
              <w:left w:val="single" w:sz="4" w:space="0" w:color="auto"/>
            </w:tcBorders>
          </w:tcPr>
          <w:p w:rsidR="00592CAB" w:rsidRPr="00592CAB" w:rsidP="00592CAB">
            <w:pPr>
              <w:pStyle w:val="CSBody0"/>
              <w:rPr>
                <w:lang w:val="de-DE"/>
              </w:rPr>
            </w:pPr>
            <w:r w:rsidRPr="00592CAB">
              <w:rPr>
                <w:lang w:val="de-DE"/>
              </w:rPr>
              <w:t xml:space="preserve">Bei Eintritt eines Kredit-Rückzahlungsereignisses wird jedes Komplexe Produkt durch </w:t>
            </w:r>
            <w:r w:rsidRPr="00F94B27" w:rsidR="00F94B27">
              <w:rPr>
                <w:b/>
                <w:lang w:val="de-DE"/>
              </w:rPr>
              <w:t>[</w:t>
            </w:r>
            <w:r w:rsidRPr="00592CAB">
              <w:rPr>
                <w:b/>
                <w:i/>
                <w:lang w:val="de-DE"/>
              </w:rPr>
              <w:t>bei Komplexen Produkten mit Barabwicklung:</w:t>
            </w:r>
            <w:r w:rsidRPr="00592CAB">
              <w:rPr>
                <w:lang w:val="de-DE"/>
              </w:rPr>
              <w:t xml:space="preserve"> Zahlung eines Barbetrags in Höhe des Kredit-Rückzahlungsbetrags</w:t>
            </w:r>
            <w:r w:rsidRPr="00F94B27" w:rsidR="00F94B27">
              <w:rPr>
                <w:b/>
                <w:lang w:val="de-DE"/>
              </w:rPr>
              <w:t>]</w:t>
            </w:r>
            <w:r w:rsidRPr="00592CAB">
              <w:rPr>
                <w:lang w:val="de-DE"/>
              </w:rPr>
              <w:t xml:space="preserve"> </w:t>
            </w:r>
            <w:r w:rsidRPr="00F94B27" w:rsidR="00F94B27">
              <w:rPr>
                <w:b/>
                <w:lang w:val="de-DE"/>
              </w:rPr>
              <w:t>[</w:t>
            </w:r>
            <w:r w:rsidRPr="00592CAB">
              <w:rPr>
                <w:b/>
                <w:i/>
                <w:lang w:val="de-DE"/>
              </w:rPr>
              <w:t>bei Komplexen Produkten mit physischer Abwicklung:</w:t>
            </w:r>
            <w:r w:rsidRPr="00592CAB">
              <w:rPr>
                <w:lang w:val="de-DE"/>
              </w:rPr>
              <w:t xml:space="preserve"> Lieferung der in dem Bezugsverhältnis angegebenen Anzahl von Referenzverbindlichkeiten</w:t>
            </w:r>
            <w:r w:rsidRPr="00F94B27" w:rsidR="00F94B27">
              <w:rPr>
                <w:b/>
                <w:lang w:val="de-DE"/>
              </w:rPr>
              <w:t>]</w:t>
            </w:r>
            <w:r w:rsidRPr="00592CAB">
              <w:rPr>
                <w:lang w:val="de-DE"/>
              </w:rPr>
              <w:t xml:space="preserve"> zurückgezahlt. In einem solchen Fall wird der </w:t>
            </w:r>
            <w:r w:rsidRPr="00F94B27" w:rsidR="00F94B27">
              <w:rPr>
                <w:b/>
                <w:lang w:val="de-DE"/>
              </w:rPr>
              <w:t>[</w:t>
            </w:r>
            <w:r w:rsidRPr="00592CAB">
              <w:rPr>
                <w:lang w:val="de-DE"/>
              </w:rPr>
              <w:t>an den Inhaber gezahlte Barbetrag</w:t>
            </w:r>
            <w:r w:rsidRPr="00F94B27" w:rsidR="00F94B27">
              <w:rPr>
                <w:b/>
                <w:lang w:val="de-DE"/>
              </w:rPr>
              <w:t>]</w:t>
            </w:r>
            <w:r w:rsidRPr="00592CAB">
              <w:rPr>
                <w:lang w:val="de-DE"/>
              </w:rPr>
              <w:t xml:space="preserve"> </w:t>
            </w:r>
            <w:r w:rsidRPr="00F94B27" w:rsidR="00F94B27">
              <w:rPr>
                <w:b/>
                <w:lang w:val="de-DE"/>
              </w:rPr>
              <w:t>[</w:t>
            </w:r>
            <w:r w:rsidRPr="00592CAB">
              <w:rPr>
                <w:lang w:val="de-DE"/>
              </w:rPr>
              <w:t>Wert der an den Inhaber gelieferten Referenzverbindlichkeiten</w:t>
            </w:r>
            <w:r w:rsidRPr="00F94B27" w:rsidR="00F94B27">
              <w:rPr>
                <w:b/>
                <w:lang w:val="de-DE"/>
              </w:rPr>
              <w:t>]</w:t>
            </w:r>
            <w:r w:rsidRPr="00592CAB">
              <w:rPr>
                <w:lang w:val="de-DE"/>
              </w:rPr>
              <w:t xml:space="preserve"> in der Regel wesentlich geringer sein als der ursprüngliche von diesen Inhabern in dieses Komplexe Produkt investierte Kapitalbetrag.</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592CAB" w:rsidRPr="00183FA5" w:rsidP="00592CAB">
            <w:pPr>
              <w:pStyle w:val="CSBody0"/>
            </w:pPr>
            <w:r w:rsidRPr="00183FA5">
              <w:t>For details regarding the redemption of the Complex Products see C. 15.</w:t>
            </w:r>
          </w:p>
        </w:tc>
        <w:tc>
          <w:tcPr>
            <w:tcW w:w="2466" w:type="pct"/>
            <w:gridSpan w:val="14"/>
            <w:tcBorders>
              <w:left w:val="single" w:sz="4" w:space="0" w:color="auto"/>
            </w:tcBorders>
          </w:tcPr>
          <w:p w:rsidR="00592CAB" w:rsidRPr="00592CAB" w:rsidP="00592CAB">
            <w:pPr>
              <w:pStyle w:val="CSBody0"/>
              <w:rPr>
                <w:lang w:val="de-DE"/>
              </w:rPr>
            </w:pPr>
            <w:r w:rsidRPr="00592CAB">
              <w:rPr>
                <w:lang w:val="de-DE"/>
              </w:rPr>
              <w:t>Zu Einzelheiten hinsichtlich der Rückzahlung der Komplexen Produkte siehe C. 15.</w:t>
            </w:r>
          </w:p>
        </w:tc>
      </w:tr>
      <w:tr w:rsidTr="00942F00">
        <w:tblPrEx>
          <w:tblW w:w="5000" w:type="pct"/>
          <w:tblLayout w:type="fixed"/>
          <w:tblLook w:val="04A0"/>
        </w:tblPrEx>
        <w:tc>
          <w:tcPr>
            <w:tcW w:w="2534" w:type="pct"/>
            <w:gridSpan w:val="14"/>
            <w:tcBorders>
              <w:right w:val="single" w:sz="4" w:space="0" w:color="auto"/>
            </w:tcBorders>
          </w:tcPr>
          <w:p w:rsidR="00592CAB" w:rsidRPr="00183FA5" w:rsidP="00592CAB">
            <w:pPr>
              <w:pStyle w:val="CSbody0bold"/>
            </w:pPr>
            <w:r w:rsidRPr="00183FA5">
              <w:t>Interest Amount</w:t>
            </w:r>
            <w:r w:rsidRPr="00F94B27" w:rsidR="00F94B27">
              <w:t>[</w:t>
            </w:r>
            <w:r w:rsidRPr="00183FA5">
              <w:t>s</w:t>
            </w:r>
            <w:r w:rsidRPr="00F94B27" w:rsidR="00F94B27">
              <w:t>]</w:t>
            </w:r>
          </w:p>
        </w:tc>
        <w:tc>
          <w:tcPr>
            <w:tcW w:w="2466" w:type="pct"/>
            <w:gridSpan w:val="14"/>
            <w:tcBorders>
              <w:left w:val="single" w:sz="4" w:space="0" w:color="auto"/>
            </w:tcBorders>
          </w:tcPr>
          <w:p w:rsidR="00592CAB" w:rsidRPr="00183FA5" w:rsidP="00592CAB">
            <w:pPr>
              <w:pStyle w:val="CSbody0bold"/>
            </w:pPr>
            <w:r w:rsidRPr="00F94B27">
              <w:t>[</w:t>
            </w:r>
            <w:r w:rsidRPr="00183FA5">
              <w:t>Zinsbetrag</w:t>
            </w:r>
            <w:r w:rsidRPr="00F94B27">
              <w:t>][</w:t>
            </w:r>
            <w:r w:rsidRPr="00183FA5">
              <w:t>Zinsbeträge</w:t>
            </w:r>
            <w:r w:rsidRPr="00F94B27">
              <w:t>]</w:t>
            </w:r>
          </w:p>
        </w:tc>
      </w:tr>
      <w:tr w:rsidTr="00942F00">
        <w:tblPrEx>
          <w:tblW w:w="5000" w:type="pct"/>
          <w:tblLayout w:type="fixed"/>
          <w:tblLook w:val="04A0"/>
        </w:tblPrEx>
        <w:tc>
          <w:tcPr>
            <w:tcW w:w="2534" w:type="pct"/>
            <w:gridSpan w:val="14"/>
            <w:tcBorders>
              <w:right w:val="single" w:sz="4" w:space="0" w:color="auto"/>
            </w:tcBorders>
          </w:tcPr>
          <w:p w:rsidR="00592CAB" w:rsidRPr="00183FA5" w:rsidP="00592CAB">
            <w:pPr>
              <w:pStyle w:val="CSBody0"/>
            </w:pPr>
            <w:r w:rsidRPr="00183FA5">
              <w:t xml:space="preserve">The Complex Product provides for the payment of of </w:t>
            </w:r>
            <w:r w:rsidRPr="00F94B27" w:rsidR="00F94B27">
              <w:rPr>
                <w:b/>
              </w:rPr>
              <w:t>[</w:t>
            </w:r>
            <w:r w:rsidRPr="00183FA5">
              <w:t>one</w:t>
            </w:r>
            <w:r w:rsidRPr="00F94B27" w:rsidR="00F94B27">
              <w:rPr>
                <w:b/>
              </w:rPr>
              <w:t>]</w:t>
            </w:r>
            <w:r w:rsidRPr="00183FA5">
              <w:t xml:space="preserve"> </w:t>
            </w:r>
            <w:r w:rsidRPr="00F94B27" w:rsidR="00F94B27">
              <w:rPr>
                <w:b/>
              </w:rPr>
              <w:t>[</w:t>
            </w:r>
            <w:r w:rsidRPr="00183FA5">
              <w:t>multiple</w:t>
            </w:r>
            <w:r w:rsidRPr="00F94B27" w:rsidR="00F94B27">
              <w:rPr>
                <w:b/>
              </w:rPr>
              <w:t>]</w:t>
            </w:r>
            <w:r w:rsidRPr="00183FA5">
              <w:t xml:space="preserve"> Interest Payment Amount</w:t>
            </w:r>
            <w:r w:rsidRPr="00F94B27" w:rsidR="00F94B27">
              <w:rPr>
                <w:b/>
              </w:rPr>
              <w:t>[</w:t>
            </w:r>
            <w:r w:rsidRPr="00183FA5">
              <w:t>s</w:t>
            </w:r>
            <w:r w:rsidRPr="00F94B27" w:rsidR="00F94B27">
              <w:rPr>
                <w:b/>
              </w:rPr>
              <w:t>]</w:t>
            </w:r>
            <w:r w:rsidRPr="00183FA5">
              <w:t xml:space="preserve"> on the </w:t>
            </w:r>
            <w:r w:rsidRPr="00F94B27" w:rsidR="00F94B27">
              <w:rPr>
                <w:b/>
              </w:rPr>
              <w:t>[</w:t>
            </w:r>
            <w:r w:rsidRPr="00183FA5">
              <w:t>relevant</w:t>
            </w:r>
            <w:r w:rsidRPr="00F94B27" w:rsidR="00F94B27">
              <w:rPr>
                <w:b/>
              </w:rPr>
              <w:t>]</w:t>
            </w:r>
            <w:r w:rsidRPr="00183FA5">
              <w:t xml:space="preserve"> Interest Payment Date</w:t>
            </w:r>
            <w:r w:rsidRPr="00F94B27" w:rsidR="00F94B27">
              <w:rPr>
                <w:b/>
              </w:rPr>
              <w:t>[</w:t>
            </w:r>
            <w:r w:rsidRPr="00183FA5">
              <w:t>s</w:t>
            </w:r>
            <w:r w:rsidRPr="00F94B27" w:rsidR="00F94B27">
              <w:rPr>
                <w:b/>
              </w:rPr>
              <w:t>]</w:t>
            </w:r>
            <w:r w:rsidRPr="00183FA5">
              <w:t>.</w:t>
            </w:r>
          </w:p>
        </w:tc>
        <w:tc>
          <w:tcPr>
            <w:tcW w:w="2466" w:type="pct"/>
            <w:gridSpan w:val="14"/>
            <w:tcBorders>
              <w:left w:val="single" w:sz="4" w:space="0" w:color="auto"/>
            </w:tcBorders>
          </w:tcPr>
          <w:p w:rsidR="00592CAB" w:rsidRPr="00592CAB" w:rsidP="00592CAB">
            <w:pPr>
              <w:pStyle w:val="CSBody0"/>
              <w:rPr>
                <w:lang w:val="de-DE"/>
              </w:rPr>
            </w:pPr>
            <w:r w:rsidRPr="00592CAB">
              <w:rPr>
                <w:lang w:val="de-DE"/>
              </w:rPr>
              <w:t xml:space="preserve">Die Komplexen Produkte sehen die Zahlung </w:t>
            </w:r>
            <w:r w:rsidRPr="00F94B27" w:rsidR="00F94B27">
              <w:rPr>
                <w:b/>
                <w:lang w:val="de-DE"/>
              </w:rPr>
              <w:t>[</w:t>
            </w:r>
            <w:r w:rsidRPr="00592CAB">
              <w:rPr>
                <w:lang w:val="de-DE"/>
              </w:rPr>
              <w:t>eines Zinszahlungsbetrags</w:t>
            </w:r>
            <w:r w:rsidRPr="00F94B27" w:rsidR="00F94B27">
              <w:rPr>
                <w:b/>
                <w:lang w:val="de-DE"/>
              </w:rPr>
              <w:t>]</w:t>
            </w:r>
            <w:r w:rsidRPr="00592CAB">
              <w:rPr>
                <w:lang w:val="de-DE"/>
              </w:rPr>
              <w:t xml:space="preserve"> </w:t>
            </w:r>
            <w:r w:rsidRPr="00F94B27" w:rsidR="00F94B27">
              <w:rPr>
                <w:b/>
                <w:lang w:val="de-DE"/>
              </w:rPr>
              <w:t>[</w:t>
            </w:r>
            <w:r w:rsidRPr="00592CAB">
              <w:rPr>
                <w:lang w:val="de-DE"/>
              </w:rPr>
              <w:t>mehrerer Zinszahlungsbeträge</w:t>
            </w:r>
            <w:r w:rsidRPr="00F94B27" w:rsidR="00F94B27">
              <w:rPr>
                <w:b/>
                <w:lang w:val="de-DE"/>
              </w:rPr>
              <w:t>]</w:t>
            </w:r>
            <w:r w:rsidRPr="00592CAB">
              <w:rPr>
                <w:lang w:val="de-DE"/>
              </w:rPr>
              <w:t xml:space="preserve"> </w:t>
            </w:r>
            <w:r w:rsidRPr="00F94B27" w:rsidR="00F94B27">
              <w:rPr>
                <w:b/>
                <w:lang w:val="de-DE"/>
              </w:rPr>
              <w:t>[</w:t>
            </w:r>
            <w:r w:rsidRPr="00592CAB">
              <w:rPr>
                <w:lang w:val="de-DE"/>
              </w:rPr>
              <w:t>am jeweiligen Zinszahlungstag</w:t>
            </w:r>
            <w:r w:rsidRPr="00F94B27" w:rsidR="00F94B27">
              <w:rPr>
                <w:b/>
                <w:lang w:val="de-DE"/>
              </w:rPr>
              <w:t>]</w:t>
            </w:r>
            <w:r w:rsidRPr="00592CAB">
              <w:rPr>
                <w:lang w:val="de-DE"/>
              </w:rPr>
              <w:t xml:space="preserve"> </w:t>
            </w:r>
            <w:r w:rsidRPr="00F94B27" w:rsidR="00F94B27">
              <w:rPr>
                <w:b/>
                <w:lang w:val="de-DE"/>
              </w:rPr>
              <w:t>[</w:t>
            </w:r>
            <w:r w:rsidRPr="00592CAB">
              <w:rPr>
                <w:lang w:val="de-DE"/>
              </w:rPr>
              <w:t>an den jeweiligen Zinszahlungstagen</w:t>
            </w:r>
            <w:r w:rsidRPr="00F94B27" w:rsidR="00F94B27">
              <w:rPr>
                <w:b/>
                <w:lang w:val="de-DE"/>
              </w:rPr>
              <w:t>]</w:t>
            </w:r>
            <w:r w:rsidRPr="00592CAB">
              <w:rPr>
                <w:lang w:val="de-DE"/>
              </w:rPr>
              <w:t xml:space="preserve"> vor.</w:t>
            </w:r>
          </w:p>
        </w:tc>
      </w:tr>
      <w:tr w:rsidTr="00942F00">
        <w:tblPrEx>
          <w:tblW w:w="5000" w:type="pct"/>
          <w:tblLayout w:type="fixed"/>
          <w:tblLook w:val="04A0"/>
        </w:tblPrEx>
        <w:tc>
          <w:tcPr>
            <w:tcW w:w="2534" w:type="pct"/>
            <w:gridSpan w:val="14"/>
            <w:tcBorders>
              <w:right w:val="single" w:sz="4" w:space="0" w:color="auto"/>
            </w:tcBorders>
          </w:tcPr>
          <w:p w:rsidR="00592CAB" w:rsidRPr="006B7E08" w:rsidP="00592CAB">
            <w:pPr>
              <w:pStyle w:val="CSBody0"/>
            </w:pPr>
            <w:r w:rsidRPr="00F94B27">
              <w:rPr>
                <w:b/>
              </w:rPr>
              <w:t>[</w:t>
            </w:r>
            <w:r w:rsidRPr="00592CAB">
              <w:rPr>
                <w:b/>
                <w:i/>
              </w:rPr>
              <w:t>in case of Complex</w:t>
            </w:r>
            <w:r w:rsidR="00526FBD">
              <w:rPr>
                <w:b/>
                <w:i/>
              </w:rPr>
              <w:t xml:space="preserve"> Products with a Fixed Final Re</w:t>
            </w:r>
            <w:r w:rsidRPr="00592CAB">
              <w:rPr>
                <w:b/>
                <w:i/>
              </w:rPr>
              <w:t>demption Amount:</w:t>
            </w:r>
            <w:r w:rsidRPr="006B7E08">
              <w:t xml:space="preserve"> The Issuer will pay the </w:t>
            </w:r>
            <w:r w:rsidRPr="00F94B27">
              <w:rPr>
                <w:b/>
              </w:rPr>
              <w:t>[</w:t>
            </w:r>
            <w:r w:rsidRPr="006B7E08">
              <w:t>relevant</w:t>
            </w:r>
            <w:r w:rsidRPr="00F94B27">
              <w:rPr>
                <w:b/>
              </w:rPr>
              <w:t>]</w:t>
            </w:r>
            <w:r w:rsidRPr="006B7E08">
              <w:t xml:space="preserve"> Interest Payment Amount per Complex Product on the </w:t>
            </w:r>
            <w:r w:rsidRPr="00F94B27">
              <w:rPr>
                <w:b/>
              </w:rPr>
              <w:t>[</w:t>
            </w:r>
            <w:r w:rsidRPr="006B7E08">
              <w:t>relevant</w:t>
            </w:r>
            <w:r w:rsidRPr="00F94B27">
              <w:rPr>
                <w:b/>
              </w:rPr>
              <w:t>]</w:t>
            </w:r>
            <w:r w:rsidRPr="006B7E08">
              <w:t xml:space="preserve"> Interest Payment Date to the Holder thereof, provided that the Complex Products have not been redeemed, repurchased or cancelled on or prior to </w:t>
            </w:r>
            <w:r w:rsidRPr="00F94B27">
              <w:rPr>
                <w:b/>
              </w:rPr>
              <w:t>[</w:t>
            </w:r>
            <w:r w:rsidRPr="006B7E08">
              <w:t>the</w:t>
            </w:r>
            <w:r w:rsidRPr="00F94B27">
              <w:rPr>
                <w:b/>
              </w:rPr>
              <w:t>]</w:t>
            </w:r>
            <w:r w:rsidRPr="006B7E08">
              <w:t xml:space="preserve"> </w:t>
            </w:r>
            <w:r w:rsidRPr="00F94B27">
              <w:rPr>
                <w:b/>
              </w:rPr>
              <w:t>[</w:t>
            </w:r>
            <w:r w:rsidRPr="006B7E08">
              <w:t>such</w:t>
            </w:r>
            <w:r w:rsidRPr="00F94B27">
              <w:rPr>
                <w:b/>
              </w:rPr>
              <w:t>]</w:t>
            </w:r>
            <w:r w:rsidRPr="006B7E08">
              <w:t xml:space="preserve"> Interest Payment Date. For the avoidance of doubt, it being understood that, if the Complex Products are redeemed, repurchased or cancelled on or prior to the </w:t>
            </w:r>
            <w:r w:rsidRPr="00F94B27">
              <w:rPr>
                <w:b/>
              </w:rPr>
              <w:t>[</w:t>
            </w:r>
            <w:r w:rsidRPr="006B7E08">
              <w:t>relevant</w:t>
            </w:r>
            <w:r w:rsidRPr="00F94B27">
              <w:rPr>
                <w:b/>
              </w:rPr>
              <w:t>]</w:t>
            </w:r>
            <w:r w:rsidRPr="006B7E08">
              <w:t xml:space="preserve"> Interest Payment Date, any portion of the Interest Payment Amount that has accrued as of the date of such redemption, repurchase, cancellation will </w:t>
            </w:r>
            <w:r w:rsidRPr="00F94B27">
              <w:rPr>
                <w:b/>
              </w:rPr>
              <w:t>[</w:t>
            </w:r>
            <w:r w:rsidRPr="006B7E08">
              <w:t>not</w:t>
            </w:r>
            <w:r w:rsidRPr="00F94B27">
              <w:rPr>
                <w:b/>
              </w:rPr>
              <w:t>]</w:t>
            </w:r>
            <w:r w:rsidRPr="006B7E08">
              <w:t xml:space="preserve"> be paid.</w:t>
            </w:r>
            <w:r w:rsidRPr="00F94B27">
              <w:rPr>
                <w:b/>
              </w:rPr>
              <w:t>]</w:t>
            </w:r>
          </w:p>
        </w:tc>
        <w:tc>
          <w:tcPr>
            <w:tcW w:w="2466" w:type="pct"/>
            <w:gridSpan w:val="14"/>
            <w:tcBorders>
              <w:left w:val="single" w:sz="4" w:space="0" w:color="auto"/>
            </w:tcBorders>
          </w:tcPr>
          <w:p w:rsidR="00592CAB" w:rsidRPr="00592CAB" w:rsidP="006A01BA">
            <w:pPr>
              <w:pStyle w:val="CSBody0"/>
              <w:rPr>
                <w:lang w:val="de-DE"/>
              </w:rPr>
            </w:pPr>
            <w:r w:rsidRPr="00F94B27">
              <w:rPr>
                <w:b/>
                <w:lang w:val="de-DE"/>
              </w:rPr>
              <w:t>[</w:t>
            </w:r>
            <w:r w:rsidRPr="00592CAB">
              <w:rPr>
                <w:b/>
                <w:i/>
                <w:lang w:val="de-DE"/>
              </w:rPr>
              <w:t>bei Komplexen Produkten mit Festem Finalen Rückzahlungsbetrag:</w:t>
            </w:r>
            <w:r w:rsidRPr="00592CAB">
              <w:rPr>
                <w:lang w:val="de-DE"/>
              </w:rPr>
              <w:t xml:space="preserve"> Die Emittentin zahlt den </w:t>
            </w:r>
            <w:r w:rsidRPr="00F94B27">
              <w:rPr>
                <w:b/>
                <w:lang w:val="de-DE"/>
              </w:rPr>
              <w:t>[</w:t>
            </w:r>
            <w:r w:rsidRPr="00592CAB">
              <w:rPr>
                <w:lang w:val="de-DE"/>
              </w:rPr>
              <w:t>jeweiligen</w:t>
            </w:r>
            <w:r w:rsidRPr="00F94B27">
              <w:rPr>
                <w:b/>
                <w:lang w:val="de-DE"/>
              </w:rPr>
              <w:t>]</w:t>
            </w:r>
            <w:r w:rsidRPr="00592CAB">
              <w:rPr>
                <w:lang w:val="de-DE"/>
              </w:rPr>
              <w:t xml:space="preserve"> Zinszahlungsbetrag pro Komplexes Produkt am </w:t>
            </w:r>
            <w:r w:rsidRPr="00F94B27">
              <w:rPr>
                <w:b/>
                <w:lang w:val="de-DE"/>
              </w:rPr>
              <w:t>[</w:t>
            </w:r>
            <w:r w:rsidRPr="00592CAB">
              <w:rPr>
                <w:lang w:val="de-DE"/>
              </w:rPr>
              <w:t>jeweiligen</w:t>
            </w:r>
            <w:r w:rsidRPr="00F94B27">
              <w:rPr>
                <w:b/>
                <w:lang w:val="de-DE"/>
              </w:rPr>
              <w:t>]</w:t>
            </w:r>
            <w:r w:rsidRPr="00592CAB">
              <w:rPr>
                <w:lang w:val="de-DE"/>
              </w:rPr>
              <w:t xml:space="preserve"> Zinszahlungstag an den jeweiligen Inhaber, sofern die Komplexen Produkte nicht bereits an oder vor dem </w:t>
            </w:r>
            <w:r w:rsidRPr="00F94B27">
              <w:rPr>
                <w:b/>
                <w:lang w:val="de-DE"/>
              </w:rPr>
              <w:t>[</w:t>
            </w:r>
            <w:r w:rsidRPr="00592CAB">
              <w:rPr>
                <w:lang w:val="de-DE"/>
              </w:rPr>
              <w:t>jeweiligen</w:t>
            </w:r>
            <w:r w:rsidRPr="00F94B27">
              <w:rPr>
                <w:b/>
                <w:lang w:val="de-DE"/>
              </w:rPr>
              <w:t>]</w:t>
            </w:r>
            <w:r w:rsidRPr="00592CAB">
              <w:rPr>
                <w:lang w:val="de-DE"/>
              </w:rPr>
              <w:t xml:space="preserve"> Zinszahlungstag zurückgezahlt, zurückgekauft oder entwertet wurden. Zur Klarstellung wird festgehalten, dass im Fall einer bzw. eines an oder vor dem </w:t>
            </w:r>
            <w:r w:rsidRPr="00F94B27">
              <w:rPr>
                <w:b/>
                <w:lang w:val="de-DE"/>
              </w:rPr>
              <w:t>[</w:t>
            </w:r>
            <w:r w:rsidRPr="00592CAB">
              <w:rPr>
                <w:lang w:val="de-DE"/>
              </w:rPr>
              <w:t>jeweiligen</w:t>
            </w:r>
            <w:r w:rsidRPr="00F94B27">
              <w:rPr>
                <w:b/>
                <w:lang w:val="de-DE"/>
              </w:rPr>
              <w:t>]</w:t>
            </w:r>
            <w:r w:rsidRPr="00592CAB">
              <w:rPr>
                <w:lang w:val="de-DE"/>
              </w:rPr>
              <w:t xml:space="preserve"> Zinszahlungstag erfolgenden Rückzahlung, Rückkaufs oder Entwertung der Komplexen Produkte die zum Termin dieser Rückzahlung, dieses Rückkaufs bzw. dieser Entwertung aufgelaufenen Teile des Zinsbetrags </w:t>
            </w:r>
            <w:r w:rsidRPr="00F94B27">
              <w:rPr>
                <w:b/>
                <w:lang w:val="de-DE"/>
              </w:rPr>
              <w:t>[</w:t>
            </w:r>
            <w:r w:rsidRPr="00592CAB">
              <w:rPr>
                <w:lang w:val="de-DE"/>
              </w:rPr>
              <w:t>nicht</w:t>
            </w:r>
            <w:r w:rsidRPr="00F94B27">
              <w:rPr>
                <w:b/>
                <w:lang w:val="de-DE"/>
              </w:rPr>
              <w:t>]</w:t>
            </w:r>
            <w:r w:rsidRPr="00592CAB">
              <w:rPr>
                <w:lang w:val="de-DE"/>
              </w:rPr>
              <w:t xml:space="preserve"> zur Auszahlung gelangen.</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592CAB" w:rsidRPr="00DE10D4" w:rsidP="00592CAB">
            <w:pPr>
              <w:pStyle w:val="CSbody0bolditalic"/>
              <w:rPr>
                <w:lang w:val="en-GB"/>
              </w:rPr>
            </w:pPr>
            <w:r w:rsidRPr="00F94B27">
              <w:rPr>
                <w:lang w:val="en-GB"/>
              </w:rPr>
              <w:t>[</w:t>
            </w:r>
            <w:r w:rsidRPr="00DE10D4">
              <w:rPr>
                <w:lang w:val="en-GB"/>
              </w:rPr>
              <w:t>in the case of Credit-Linked Complex Products with auction settlement and no Basket:</w:t>
            </w:r>
          </w:p>
        </w:tc>
        <w:tc>
          <w:tcPr>
            <w:tcW w:w="2466" w:type="pct"/>
            <w:gridSpan w:val="14"/>
            <w:tcBorders>
              <w:left w:val="single" w:sz="4" w:space="0" w:color="auto"/>
            </w:tcBorders>
          </w:tcPr>
          <w:p w:rsidR="00592CAB" w:rsidRPr="00592CAB" w:rsidP="006A01BA">
            <w:pPr>
              <w:pStyle w:val="CSbody0bolditalic"/>
            </w:pPr>
            <w:r w:rsidRPr="00F94B27">
              <w:t>[</w:t>
            </w:r>
            <w:r w:rsidRPr="00592CAB">
              <w:t>bei Kreditbezogenen Komplexen Produkten mit Auktionsabwicklung und ohne Korb:</w:t>
            </w:r>
          </w:p>
        </w:tc>
      </w:tr>
      <w:tr w:rsidTr="00942F00">
        <w:tblPrEx>
          <w:tblW w:w="5000" w:type="pct"/>
          <w:tblLayout w:type="fixed"/>
          <w:tblLook w:val="04A0"/>
        </w:tblPrEx>
        <w:tc>
          <w:tcPr>
            <w:tcW w:w="2534" w:type="pct"/>
            <w:gridSpan w:val="14"/>
            <w:tcBorders>
              <w:right w:val="single" w:sz="4" w:space="0" w:color="auto"/>
            </w:tcBorders>
          </w:tcPr>
          <w:p w:rsidR="00592CAB" w:rsidRPr="005B5FDB" w:rsidP="003857E8">
            <w:pPr>
              <w:pStyle w:val="CSBody0"/>
            </w:pPr>
            <w:r w:rsidRPr="005B5FDB">
              <w:t xml:space="preserve">Subject to the occurrence of a Potential Credit Event Period, the Issuer will pay the </w:t>
            </w:r>
            <w:r w:rsidRPr="00F94B27" w:rsidR="00F94B27">
              <w:rPr>
                <w:b/>
              </w:rPr>
              <w:t>[</w:t>
            </w:r>
            <w:r w:rsidRPr="005B5FDB">
              <w:t>relevant</w:t>
            </w:r>
            <w:r w:rsidRPr="00F94B27" w:rsidR="00F94B27">
              <w:rPr>
                <w:b/>
              </w:rPr>
              <w:t>]</w:t>
            </w:r>
            <w:r w:rsidRPr="005B5FDB">
              <w:t xml:space="preserve"> Interest Payment Amount per Complex Product on </w:t>
            </w:r>
            <w:r w:rsidRPr="00F94B27" w:rsidR="00F94B27">
              <w:rPr>
                <w:b/>
              </w:rPr>
              <w:t>[</w:t>
            </w:r>
            <w:r w:rsidRPr="005B5FDB">
              <w:t>the</w:t>
            </w:r>
            <w:r w:rsidRPr="00F94B27" w:rsidR="00F94B27">
              <w:rPr>
                <w:b/>
              </w:rPr>
              <w:t>][</w:t>
            </w:r>
            <w:r w:rsidRPr="005B5FDB">
              <w:t>each</w:t>
            </w:r>
            <w:r w:rsidRPr="00F94B27" w:rsidR="00F94B27">
              <w:rPr>
                <w:b/>
              </w:rPr>
              <w:t>]</w:t>
            </w:r>
            <w:r w:rsidRPr="005B5FDB">
              <w:t xml:space="preserve"> Interest Payment Date to the Holder thereof, provided that (i) the Complex Products have not been redeemed, repurchased or cancelled on or prior to </w:t>
            </w:r>
            <w:r w:rsidRPr="00F94B27" w:rsidR="00F94B27">
              <w:rPr>
                <w:b/>
              </w:rPr>
              <w:t>[</w:t>
            </w:r>
            <w:r w:rsidRPr="005B5FDB">
              <w:t>the</w:t>
            </w:r>
            <w:r w:rsidRPr="00F94B27" w:rsidR="00F94B27">
              <w:rPr>
                <w:b/>
              </w:rPr>
              <w:t>]</w:t>
            </w:r>
            <w:r w:rsidRPr="005B5FDB">
              <w:t xml:space="preserve"> </w:t>
            </w:r>
            <w:r w:rsidRPr="00F94B27" w:rsidR="00F94B27">
              <w:rPr>
                <w:b/>
              </w:rPr>
              <w:t>[</w:t>
            </w:r>
            <w:r w:rsidRPr="005B5FDB">
              <w:t>such</w:t>
            </w:r>
            <w:r w:rsidRPr="00F94B27" w:rsidR="00F94B27">
              <w:rPr>
                <w:b/>
              </w:rPr>
              <w:t>]</w:t>
            </w:r>
            <w:r w:rsidRPr="005B5FDB">
              <w:t xml:space="preserve"> Interest Payment Date and (ii) no Credit Event Determination Date </w:t>
            </w:r>
            <w:r w:rsidRPr="00F94B27" w:rsidR="00F94B27">
              <w:rPr>
                <w:b/>
              </w:rPr>
              <w:t>[</w:t>
            </w:r>
            <w:r w:rsidRPr="00592CAB">
              <w:rPr>
                <w:b/>
                <w:i/>
              </w:rPr>
              <w:t>in the case of Complex Products with N</w:t>
            </w:r>
            <w:r w:rsidRPr="00E80B0C">
              <w:rPr>
                <w:b/>
                <w:i/>
                <w:vertAlign w:val="superscript"/>
              </w:rPr>
              <w:t>th</w:t>
            </w:r>
            <w:r w:rsidRPr="00592CAB">
              <w:rPr>
                <w:b/>
                <w:i/>
              </w:rPr>
              <w:t>-to-Default structure, insert:</w:t>
            </w:r>
            <w:r w:rsidRPr="005B5FDB">
              <w:t xml:space="preserve"> with respect to the </w:t>
            </w:r>
            <w:r w:rsidRPr="00F94B27" w:rsidR="00F94B27">
              <w:rPr>
                <w:b/>
              </w:rPr>
              <w:t>[</w:t>
            </w:r>
            <w:r w:rsidRPr="00592CAB">
              <w:rPr>
                <w:b/>
                <w:i/>
              </w:rPr>
              <w:t>insert relevant number:</w:t>
            </w:r>
            <w:r w:rsidRPr="005B5FDB">
              <w:t xml:space="preserve"> </w:t>
            </w:r>
            <w:r w:rsidRPr="00F94B27" w:rsidR="00F94B27">
              <w:rPr>
                <w:b/>
              </w:rPr>
              <w:t>[</w:t>
            </w:r>
            <w:r w:rsidRPr="005B5FDB">
              <w:t>1st</w:t>
            </w:r>
            <w:r w:rsidRPr="00F94B27" w:rsidR="00F94B27">
              <w:rPr>
                <w:b/>
              </w:rPr>
              <w:t>][</w:t>
            </w:r>
            <w:r w:rsidRPr="005B5FDB">
              <w:t>2nd</w:t>
            </w:r>
            <w:r w:rsidRPr="00F94B27" w:rsidR="00F94B27">
              <w:rPr>
                <w:b/>
              </w:rPr>
              <w:t>][</w:t>
            </w:r>
            <w:r w:rsidRPr="005B5FDB">
              <w:t>3rd</w:t>
            </w:r>
            <w:r w:rsidRPr="00F94B27" w:rsidR="00F94B27">
              <w:rPr>
                <w:b/>
              </w:rPr>
              <w:t>][[</w:t>
            </w:r>
            <w:r w:rsidRPr="00DD1E07" w:rsidR="00DD1E07">
              <w:rPr>
                <w:rFonts w:ascii="Arial" w:hAnsi="Arial" w:cs="Arial"/>
              </w:rPr>
              <w:t>●</w:t>
            </w:r>
            <w:r w:rsidRPr="00F94B27" w:rsidR="00F94B27">
              <w:rPr>
                <w:b/>
              </w:rPr>
              <w:t>]]]</w:t>
            </w:r>
            <w:r w:rsidRPr="005B5FDB">
              <w:t>-to-Default Reference Entity</w:t>
            </w:r>
            <w:r w:rsidRPr="00F94B27" w:rsidR="00F94B27">
              <w:rPr>
                <w:b/>
              </w:rPr>
              <w:t>]</w:t>
            </w:r>
            <w:r w:rsidRPr="005B5FDB">
              <w:t xml:space="preserve"> has occurred prior to </w:t>
            </w:r>
            <w:r w:rsidRPr="00F94B27" w:rsidR="00F94B27">
              <w:rPr>
                <w:b/>
              </w:rPr>
              <w:t>[</w:t>
            </w:r>
            <w:r w:rsidRPr="005B5FDB">
              <w:t>the</w:t>
            </w:r>
            <w:r w:rsidRPr="00F94B27" w:rsidR="00F94B27">
              <w:rPr>
                <w:b/>
              </w:rPr>
              <w:t>]</w:t>
            </w:r>
            <w:r w:rsidRPr="005B5FDB">
              <w:t xml:space="preserve"> </w:t>
            </w:r>
            <w:r w:rsidRPr="00F94B27" w:rsidR="00F94B27">
              <w:rPr>
                <w:b/>
              </w:rPr>
              <w:t>[</w:t>
            </w:r>
            <w:r w:rsidRPr="005B5FDB">
              <w:t>such</w:t>
            </w:r>
            <w:r w:rsidRPr="00F94B27" w:rsidR="00F94B27">
              <w:rPr>
                <w:b/>
              </w:rPr>
              <w:t>]</w:t>
            </w:r>
            <w:r w:rsidRPr="005B5FDB">
              <w:t xml:space="preserve"> Interest Payment Date. For the avoidance of doubt, it being understood that, if (A) the Complex Products are redeemed, repurchased or cancelled on or prior to the </w:t>
            </w:r>
            <w:r w:rsidRPr="00F94B27" w:rsidR="00F94B27">
              <w:rPr>
                <w:b/>
              </w:rPr>
              <w:t>[</w:t>
            </w:r>
            <w:r w:rsidRPr="005B5FDB">
              <w:t>relevant</w:t>
            </w:r>
            <w:r w:rsidRPr="00F94B27" w:rsidR="00F94B27">
              <w:rPr>
                <w:b/>
              </w:rPr>
              <w:t>]</w:t>
            </w:r>
            <w:r w:rsidRPr="005B5FDB">
              <w:t xml:space="preserve"> Interest Payment Date or (B) a Credit Event Determination Date </w:t>
            </w:r>
            <w:r w:rsidRPr="00F94B27" w:rsidR="00F94B27">
              <w:rPr>
                <w:b/>
              </w:rPr>
              <w:t>[</w:t>
            </w:r>
            <w:r w:rsidRPr="00592CAB">
              <w:rPr>
                <w:b/>
                <w:i/>
              </w:rPr>
              <w:t>in the case of Complex Products with N</w:t>
            </w:r>
            <w:r w:rsidRPr="00E80B0C">
              <w:rPr>
                <w:b/>
                <w:i/>
                <w:vertAlign w:val="superscript"/>
              </w:rPr>
              <w:t>th</w:t>
            </w:r>
            <w:r w:rsidRPr="00592CAB">
              <w:rPr>
                <w:b/>
                <w:i/>
              </w:rPr>
              <w:t>-to-Default structure, insert:</w:t>
            </w:r>
            <w:r w:rsidRPr="005B5FDB">
              <w:t xml:space="preserve"> with respect to the </w:t>
            </w:r>
            <w:r w:rsidRPr="00F94B27" w:rsidR="00F94B27">
              <w:rPr>
                <w:b/>
              </w:rPr>
              <w:t>[</w:t>
            </w:r>
            <w:r w:rsidRPr="00592CAB">
              <w:rPr>
                <w:b/>
                <w:i/>
              </w:rPr>
              <w:t>insert relevant number:</w:t>
            </w:r>
            <w:r w:rsidRPr="005B5FDB">
              <w:t xml:space="preserve"> </w:t>
            </w:r>
            <w:r w:rsidRPr="00F94B27" w:rsidR="00F94B27">
              <w:rPr>
                <w:b/>
              </w:rPr>
              <w:t>[</w:t>
            </w:r>
            <w:r w:rsidRPr="005B5FDB">
              <w:t>1st</w:t>
            </w:r>
            <w:r w:rsidRPr="00F94B27" w:rsidR="00F94B27">
              <w:rPr>
                <w:b/>
              </w:rPr>
              <w:t>][</w:t>
            </w:r>
            <w:r w:rsidRPr="005B5FDB">
              <w:t>2nd</w:t>
            </w:r>
            <w:r w:rsidRPr="00F94B27" w:rsidR="00F94B27">
              <w:rPr>
                <w:b/>
              </w:rPr>
              <w:t>][</w:t>
            </w:r>
            <w:r w:rsidRPr="005B5FDB">
              <w:t>3rd</w:t>
            </w:r>
            <w:r w:rsidRPr="00F94B27" w:rsidR="00F94B27">
              <w:rPr>
                <w:b/>
              </w:rPr>
              <w:t>][[</w:t>
            </w:r>
            <w:r w:rsidRPr="003857E8" w:rsidR="003857E8">
              <w:rPr>
                <w:rFonts w:ascii="Arial" w:hAnsi="Arial" w:cs="Arial"/>
              </w:rPr>
              <w:t>●</w:t>
            </w:r>
            <w:r w:rsidRPr="00F94B27" w:rsidR="00F94B27">
              <w:rPr>
                <w:b/>
              </w:rPr>
              <w:t>]]]</w:t>
            </w:r>
            <w:r w:rsidRPr="005B5FDB">
              <w:t>-to-Default Reference Entity</w:t>
            </w:r>
            <w:r w:rsidRPr="00F94B27" w:rsidR="00F94B27">
              <w:rPr>
                <w:b/>
              </w:rPr>
              <w:t>]</w:t>
            </w:r>
            <w:r w:rsidRPr="005B5FDB">
              <w:t xml:space="preserve"> has occurred prior to the </w:t>
            </w:r>
            <w:r w:rsidRPr="00F94B27" w:rsidR="00F94B27">
              <w:rPr>
                <w:b/>
              </w:rPr>
              <w:t>[</w:t>
            </w:r>
            <w:r w:rsidRPr="005B5FDB">
              <w:t>relevant</w:t>
            </w:r>
            <w:r w:rsidRPr="00F94B27" w:rsidR="00F94B27">
              <w:rPr>
                <w:b/>
              </w:rPr>
              <w:t>]</w:t>
            </w:r>
            <w:r w:rsidRPr="005B5FDB">
              <w:t xml:space="preserve"> Interest Payment Date, any portion of the </w:t>
            </w:r>
            <w:r w:rsidRPr="00F94B27" w:rsidR="00F94B27">
              <w:rPr>
                <w:b/>
              </w:rPr>
              <w:t>[</w:t>
            </w:r>
            <w:r w:rsidRPr="005B5FDB">
              <w:t>relevant</w:t>
            </w:r>
            <w:r w:rsidRPr="00F94B27" w:rsidR="00F94B27">
              <w:rPr>
                <w:b/>
              </w:rPr>
              <w:t>]</w:t>
            </w:r>
            <w:r w:rsidRPr="005B5FDB">
              <w:t xml:space="preserve"> Interest Payment Amount </w:t>
            </w:r>
            <w:r w:rsidRPr="00F94B27" w:rsidR="00F94B27">
              <w:rPr>
                <w:b/>
              </w:rPr>
              <w:t>[</w:t>
            </w:r>
            <w:r w:rsidRPr="005B5FDB">
              <w:t>that would otherwise be due on such Interest Payment Date</w:t>
            </w:r>
            <w:r w:rsidRPr="00F94B27" w:rsidR="00F94B27">
              <w:rPr>
                <w:b/>
              </w:rPr>
              <w:t>]</w:t>
            </w:r>
            <w:r w:rsidRPr="005B5FDB">
              <w:t xml:space="preserve"> that has accrued as of the date of such redemption, repurchase, cancellation or the date on which such Credit Event Determination Date occurred, as the case may be, will not be paid.</w:t>
            </w:r>
            <w:r w:rsidRPr="00F94B27" w:rsidR="00F94B27">
              <w:rPr>
                <w:b/>
              </w:rPr>
              <w:t>]</w:t>
            </w:r>
          </w:p>
        </w:tc>
        <w:tc>
          <w:tcPr>
            <w:tcW w:w="2466" w:type="pct"/>
            <w:gridSpan w:val="14"/>
            <w:tcBorders>
              <w:left w:val="single" w:sz="4" w:space="0" w:color="auto"/>
            </w:tcBorders>
          </w:tcPr>
          <w:p w:rsidR="00592CAB" w:rsidRPr="00592CAB" w:rsidP="003857E8">
            <w:pPr>
              <w:pStyle w:val="CSBody0"/>
              <w:rPr>
                <w:lang w:val="de-DE"/>
              </w:rPr>
            </w:pPr>
            <w:r w:rsidRPr="00592CAB">
              <w:rPr>
                <w:lang w:val="de-DE"/>
              </w:rPr>
              <w:t xml:space="preserve">Vorbehaltlich des Eintritts eines Zeitraums eines Potenziellen Kreditereignisses, zahlt die Emittentin den </w:t>
            </w:r>
            <w:r w:rsidRPr="00F94B27" w:rsidR="00F94B27">
              <w:rPr>
                <w:b/>
                <w:lang w:val="de-DE"/>
              </w:rPr>
              <w:t>[</w:t>
            </w:r>
            <w:r w:rsidRPr="00592CAB">
              <w:rPr>
                <w:lang w:val="de-DE"/>
              </w:rPr>
              <w:t>jeweiligen</w:t>
            </w:r>
            <w:r w:rsidRPr="00F94B27" w:rsidR="00F94B27">
              <w:rPr>
                <w:b/>
                <w:lang w:val="de-DE"/>
              </w:rPr>
              <w:t>]</w:t>
            </w:r>
            <w:r w:rsidRPr="00592CAB">
              <w:rPr>
                <w:lang w:val="de-DE"/>
              </w:rPr>
              <w:t xml:space="preserve"> Zinszahlungsbetrag pro Komplexes Produkt am Zinszahlungstag an den jeweiligen Inhaber, sofern (i) die Komplexen Produkte nicht bereits an oder vor </w:t>
            </w:r>
            <w:r w:rsidRPr="00F94B27" w:rsidR="00F94B27">
              <w:rPr>
                <w:b/>
                <w:lang w:val="de-DE"/>
              </w:rPr>
              <w:t>[</w:t>
            </w:r>
            <w:r w:rsidRPr="00592CAB">
              <w:rPr>
                <w:lang w:val="de-DE"/>
              </w:rPr>
              <w:t>dem</w:t>
            </w:r>
            <w:r w:rsidRPr="00F94B27" w:rsidR="00F94B27">
              <w:rPr>
                <w:b/>
                <w:lang w:val="de-DE"/>
              </w:rPr>
              <w:t>][</w:t>
            </w:r>
            <w:r w:rsidRPr="00592CAB">
              <w:rPr>
                <w:lang w:val="de-DE"/>
              </w:rPr>
              <w:t>diesem</w:t>
            </w:r>
            <w:r w:rsidRPr="00F94B27" w:rsidR="00F94B27">
              <w:rPr>
                <w:b/>
                <w:lang w:val="de-DE"/>
              </w:rPr>
              <w:t>]</w:t>
            </w:r>
            <w:r w:rsidRPr="00592CAB">
              <w:rPr>
                <w:lang w:val="de-DE"/>
              </w:rPr>
              <w:t xml:space="preserve"> Zinszahlungstag zurückgezahlt, zurückgekauft oder entwertet wurden und (ii) vor </w:t>
            </w:r>
            <w:r w:rsidRPr="00F94B27" w:rsidR="00F94B27">
              <w:rPr>
                <w:b/>
                <w:lang w:val="de-DE"/>
              </w:rPr>
              <w:t>[</w:t>
            </w:r>
            <w:r w:rsidRPr="00592CAB">
              <w:rPr>
                <w:lang w:val="de-DE"/>
              </w:rPr>
              <w:t>dem</w:t>
            </w:r>
            <w:r w:rsidRPr="00F94B27" w:rsidR="00F94B27">
              <w:rPr>
                <w:b/>
                <w:lang w:val="de-DE"/>
              </w:rPr>
              <w:t>][</w:t>
            </w:r>
            <w:r w:rsidRPr="00592CAB">
              <w:rPr>
                <w:lang w:val="de-DE"/>
              </w:rPr>
              <w:t>diesem</w:t>
            </w:r>
            <w:r w:rsidRPr="00F94B27" w:rsidR="00F94B27">
              <w:rPr>
                <w:b/>
                <w:lang w:val="de-DE"/>
              </w:rPr>
              <w:t>]</w:t>
            </w:r>
            <w:r w:rsidRPr="00592CAB">
              <w:rPr>
                <w:lang w:val="de-DE"/>
              </w:rPr>
              <w:t xml:space="preserve"> Zinszahlungstag kein Kreditereignis-Feststellungstag </w:t>
            </w:r>
            <w:r w:rsidRPr="00F94B27" w:rsidR="00F94B27">
              <w:rPr>
                <w:b/>
                <w:lang w:val="de-DE"/>
              </w:rPr>
              <w:t>[</w:t>
            </w:r>
            <w:r w:rsidRPr="00592CAB">
              <w:rPr>
                <w:b/>
                <w:i/>
                <w:lang w:val="de-DE"/>
              </w:rPr>
              <w:t>bei Komplexen Produkten mit N</w:t>
            </w:r>
            <w:r w:rsidRPr="00E80B0C">
              <w:rPr>
                <w:b/>
                <w:i/>
                <w:vertAlign w:val="superscript"/>
                <w:lang w:val="de-DE"/>
              </w:rPr>
              <w:t>th</w:t>
            </w:r>
            <w:r w:rsidRPr="00592CAB">
              <w:rPr>
                <w:b/>
                <w:i/>
                <w:lang w:val="de-DE"/>
              </w:rPr>
              <w:t>-to-Default-Struktur einfügen:</w:t>
            </w:r>
            <w:r w:rsidRPr="00592CAB">
              <w:rPr>
                <w:lang w:val="de-DE"/>
              </w:rPr>
              <w:t xml:space="preserve"> in Bezug auf den </w:t>
            </w:r>
            <w:r w:rsidRPr="00F94B27" w:rsidR="00F94B27">
              <w:rPr>
                <w:b/>
                <w:lang w:val="de-DE"/>
              </w:rPr>
              <w:t>[</w:t>
            </w:r>
            <w:r w:rsidRPr="00592CAB">
              <w:rPr>
                <w:b/>
                <w:i/>
                <w:lang w:val="de-DE"/>
              </w:rPr>
              <w:t>jeweilige Zahl einfügen:</w:t>
            </w:r>
            <w:r w:rsidRPr="00592CAB">
              <w:rPr>
                <w:lang w:val="de-DE"/>
              </w:rPr>
              <w:t xml:space="preserve"> </w:t>
            </w:r>
            <w:r w:rsidRPr="00F94B27" w:rsidR="00F94B27">
              <w:rPr>
                <w:b/>
                <w:lang w:val="de-DE"/>
              </w:rPr>
              <w:t>[</w:t>
            </w:r>
            <w:r w:rsidRPr="00592CAB">
              <w:rPr>
                <w:lang w:val="de-DE"/>
              </w:rPr>
              <w:t>1st</w:t>
            </w:r>
            <w:r w:rsidRPr="00F94B27" w:rsidR="00F94B27">
              <w:rPr>
                <w:b/>
                <w:lang w:val="de-DE"/>
              </w:rPr>
              <w:t>][</w:t>
            </w:r>
            <w:r w:rsidRPr="00592CAB">
              <w:rPr>
                <w:lang w:val="de-DE"/>
              </w:rPr>
              <w:t>2nd</w:t>
            </w:r>
            <w:r w:rsidRPr="00F94B27" w:rsidR="00F94B27">
              <w:rPr>
                <w:b/>
                <w:lang w:val="de-DE"/>
              </w:rPr>
              <w:t>][</w:t>
            </w:r>
            <w:r w:rsidRPr="00592CAB">
              <w:rPr>
                <w:lang w:val="de-DE"/>
              </w:rPr>
              <w:t>3rd</w:t>
            </w:r>
            <w:r w:rsidRPr="00F94B27" w:rsidR="00F94B27">
              <w:rPr>
                <w:b/>
                <w:lang w:val="de-DE"/>
              </w:rPr>
              <w:t>][[</w:t>
            </w:r>
            <w:r w:rsidRPr="003F5ED6" w:rsidR="00DD1E07">
              <w:rPr>
                <w:rFonts w:ascii="Arial" w:hAnsi="Arial" w:cs="Arial"/>
                <w:lang w:val="de-DE"/>
              </w:rPr>
              <w:t>●</w:t>
            </w:r>
            <w:r w:rsidRPr="00F94B27" w:rsidR="00F94B27">
              <w:rPr>
                <w:b/>
                <w:lang w:val="de-DE"/>
              </w:rPr>
              <w:t>]]]</w:t>
            </w:r>
            <w:r w:rsidRPr="00592CAB">
              <w:rPr>
                <w:lang w:val="de-DE"/>
              </w:rPr>
              <w:t>-to-Default-Referenzschuldner</w:t>
            </w:r>
            <w:r w:rsidRPr="00F94B27" w:rsidR="00F94B27">
              <w:rPr>
                <w:b/>
                <w:lang w:val="de-DE"/>
              </w:rPr>
              <w:t>]</w:t>
            </w:r>
            <w:r w:rsidRPr="00592CAB">
              <w:rPr>
                <w:lang w:val="de-DE"/>
              </w:rPr>
              <w:t xml:space="preserve"> eingetreten ist. Zur Klarstellung wird festgehalten, dass im Fall (A) einer bzw. eines am oder vor dem Zinszahlungstag erfolgenden Rückzahlung, Rückkaufs oder Entwertung der Komplexen Produkte oder (B) des Eintritts eines Kreditereignis-Feststellungstags </w:t>
            </w:r>
            <w:r w:rsidRPr="00F94B27" w:rsidR="00F94B27">
              <w:rPr>
                <w:b/>
                <w:lang w:val="de-DE"/>
              </w:rPr>
              <w:t>[</w:t>
            </w:r>
            <w:r w:rsidR="002A02E2">
              <w:rPr>
                <w:b/>
                <w:i/>
                <w:lang w:val="de-DE"/>
              </w:rPr>
              <w:t>bei Komplexen Pro</w:t>
            </w:r>
            <w:r w:rsidRPr="00592CAB">
              <w:rPr>
                <w:b/>
                <w:i/>
                <w:lang w:val="de-DE"/>
              </w:rPr>
              <w:t>dukten mit N</w:t>
            </w:r>
            <w:r w:rsidRPr="00E80B0C">
              <w:rPr>
                <w:b/>
                <w:i/>
                <w:vertAlign w:val="superscript"/>
                <w:lang w:val="de-DE"/>
              </w:rPr>
              <w:t>th</w:t>
            </w:r>
            <w:r w:rsidRPr="00592CAB">
              <w:rPr>
                <w:b/>
                <w:i/>
                <w:lang w:val="de-DE"/>
              </w:rPr>
              <w:t>-to-Default-Struktur einfügen:</w:t>
            </w:r>
            <w:r w:rsidRPr="00592CAB">
              <w:rPr>
                <w:lang w:val="de-DE"/>
              </w:rPr>
              <w:t xml:space="preserve"> in Bezug auf den </w:t>
            </w:r>
            <w:r w:rsidRPr="00F94B27" w:rsidR="00F94B27">
              <w:rPr>
                <w:b/>
                <w:lang w:val="de-DE"/>
              </w:rPr>
              <w:t>[</w:t>
            </w:r>
            <w:r w:rsidRPr="00592CAB">
              <w:rPr>
                <w:b/>
                <w:i/>
                <w:lang w:val="de-DE"/>
              </w:rPr>
              <w:t>jeweilige Zahl einfügen:</w:t>
            </w:r>
            <w:r w:rsidRPr="00592CAB">
              <w:rPr>
                <w:lang w:val="de-DE"/>
              </w:rPr>
              <w:t xml:space="preserve"> </w:t>
            </w:r>
            <w:r w:rsidRPr="00F94B27" w:rsidR="00F94B27">
              <w:rPr>
                <w:b/>
                <w:lang w:val="de-DE"/>
              </w:rPr>
              <w:t>[</w:t>
            </w:r>
            <w:r w:rsidRPr="00592CAB">
              <w:rPr>
                <w:lang w:val="de-DE"/>
              </w:rPr>
              <w:t>1st</w:t>
            </w:r>
            <w:r w:rsidRPr="00F94B27" w:rsidR="00F94B27">
              <w:rPr>
                <w:b/>
                <w:lang w:val="de-DE"/>
              </w:rPr>
              <w:t>]</w:t>
            </w:r>
            <w:r w:rsidRPr="00592CAB">
              <w:rPr>
                <w:lang w:val="de-DE"/>
              </w:rPr>
              <w:t xml:space="preserve"> </w:t>
            </w:r>
            <w:r w:rsidRPr="00F94B27" w:rsidR="00F94B27">
              <w:rPr>
                <w:b/>
                <w:lang w:val="de-DE"/>
              </w:rPr>
              <w:t>[</w:t>
            </w:r>
            <w:r w:rsidRPr="00592CAB">
              <w:rPr>
                <w:lang w:val="de-DE"/>
              </w:rPr>
              <w:t>2nd</w:t>
            </w:r>
            <w:r w:rsidRPr="00F94B27" w:rsidR="00F94B27">
              <w:rPr>
                <w:b/>
                <w:lang w:val="de-DE"/>
              </w:rPr>
              <w:t>][</w:t>
            </w:r>
            <w:r w:rsidRPr="00592CAB">
              <w:rPr>
                <w:lang w:val="de-DE"/>
              </w:rPr>
              <w:t>3rd</w:t>
            </w:r>
            <w:r w:rsidRPr="00F94B27" w:rsidR="00F94B27">
              <w:rPr>
                <w:b/>
                <w:lang w:val="de-DE"/>
              </w:rPr>
              <w:t>][[</w:t>
            </w:r>
            <w:r w:rsidRPr="003F5ED6" w:rsidR="003857E8">
              <w:rPr>
                <w:rFonts w:ascii="Arial" w:hAnsi="Arial" w:cs="Arial"/>
                <w:lang w:val="de-DE"/>
              </w:rPr>
              <w:t>●</w:t>
            </w:r>
            <w:r w:rsidRPr="00F94B27" w:rsidR="00F94B27">
              <w:rPr>
                <w:b/>
                <w:lang w:val="de-DE"/>
              </w:rPr>
              <w:t>]]]</w:t>
            </w:r>
            <w:r w:rsidRPr="00592CAB">
              <w:rPr>
                <w:lang w:val="de-DE"/>
              </w:rPr>
              <w:t>-to-Default-Referenzschuldner</w:t>
            </w:r>
            <w:r w:rsidRPr="00F94B27" w:rsidR="00F94B27">
              <w:rPr>
                <w:b/>
                <w:lang w:val="de-DE"/>
              </w:rPr>
              <w:t>]</w:t>
            </w:r>
            <w:r w:rsidRPr="00592CAB">
              <w:rPr>
                <w:lang w:val="de-DE"/>
              </w:rPr>
              <w:t xml:space="preserve"> vor </w:t>
            </w:r>
            <w:r w:rsidRPr="00F94B27" w:rsidR="00F94B27">
              <w:rPr>
                <w:b/>
                <w:lang w:val="de-DE"/>
              </w:rPr>
              <w:t>[</w:t>
            </w:r>
            <w:r w:rsidRPr="00592CAB">
              <w:rPr>
                <w:lang w:val="de-DE"/>
              </w:rPr>
              <w:t>dem</w:t>
            </w:r>
            <w:r w:rsidRPr="00F94B27" w:rsidR="00F94B27">
              <w:rPr>
                <w:b/>
                <w:lang w:val="de-DE"/>
              </w:rPr>
              <w:t>][</w:t>
            </w:r>
            <w:r w:rsidRPr="00592CAB">
              <w:rPr>
                <w:lang w:val="de-DE"/>
              </w:rPr>
              <w:t>jeweiligen</w:t>
            </w:r>
            <w:r w:rsidRPr="00F94B27" w:rsidR="00F94B27">
              <w:rPr>
                <w:b/>
                <w:lang w:val="de-DE"/>
              </w:rPr>
              <w:t>]</w:t>
            </w:r>
            <w:r w:rsidRPr="00592CAB">
              <w:rPr>
                <w:lang w:val="de-DE"/>
              </w:rPr>
              <w:t xml:space="preserve"> Zinszahlungstag </w:t>
            </w:r>
            <w:r w:rsidRPr="00F94B27" w:rsidR="00F94B27">
              <w:rPr>
                <w:b/>
                <w:lang w:val="de-DE"/>
              </w:rPr>
              <w:t>[</w:t>
            </w:r>
            <w:r w:rsidRPr="00592CAB">
              <w:rPr>
                <w:lang w:val="de-DE"/>
              </w:rPr>
              <w:t>die</w:t>
            </w:r>
            <w:r w:rsidRPr="00F94B27" w:rsidR="00F94B27">
              <w:rPr>
                <w:b/>
                <w:lang w:val="de-DE"/>
              </w:rPr>
              <w:t>][</w:t>
            </w:r>
            <w:r w:rsidRPr="00592CAB">
              <w:rPr>
                <w:lang w:val="de-DE"/>
              </w:rPr>
              <w:t>diejenigen</w:t>
            </w:r>
            <w:r w:rsidRPr="00F94B27" w:rsidR="00F94B27">
              <w:rPr>
                <w:b/>
                <w:lang w:val="de-DE"/>
              </w:rPr>
              <w:t>]</w:t>
            </w:r>
            <w:r w:rsidRPr="00592CAB">
              <w:rPr>
                <w:lang w:val="de-DE"/>
              </w:rPr>
              <w:t xml:space="preserve"> Teile des </w:t>
            </w:r>
            <w:r w:rsidRPr="00F94B27" w:rsidR="00F94B27">
              <w:rPr>
                <w:b/>
                <w:lang w:val="de-DE"/>
              </w:rPr>
              <w:t>[</w:t>
            </w:r>
            <w:r w:rsidRPr="00592CAB">
              <w:rPr>
                <w:lang w:val="de-DE"/>
              </w:rPr>
              <w:t>ansonsten an diesem Zinszahlungstag f</w:t>
            </w:r>
            <w:r w:rsidRPr="00592CAB">
              <w:rPr>
                <w:rFonts w:cs="Credit Suisse Type Light"/>
                <w:lang w:val="de-DE"/>
              </w:rPr>
              <w:t>ä</w:t>
            </w:r>
            <w:r w:rsidRPr="00592CAB">
              <w:rPr>
                <w:lang w:val="de-DE"/>
              </w:rPr>
              <w:t>lligen</w:t>
            </w:r>
            <w:r w:rsidRPr="00F94B27" w:rsidR="00F94B27">
              <w:rPr>
                <w:b/>
                <w:lang w:val="de-DE"/>
              </w:rPr>
              <w:t>]</w:t>
            </w:r>
            <w:r w:rsidRPr="00592CAB">
              <w:rPr>
                <w:lang w:val="de-DE"/>
              </w:rPr>
              <w:t xml:space="preserve"> </w:t>
            </w:r>
            <w:r w:rsidRPr="00F94B27" w:rsidR="00F94B27">
              <w:rPr>
                <w:b/>
                <w:lang w:val="de-DE"/>
              </w:rPr>
              <w:t>[</w:t>
            </w:r>
            <w:r w:rsidRPr="00592CAB">
              <w:rPr>
                <w:lang w:val="de-DE"/>
              </w:rPr>
              <w:t>jeweiligen</w:t>
            </w:r>
            <w:r w:rsidRPr="00F94B27" w:rsidR="00F94B27">
              <w:rPr>
                <w:b/>
                <w:lang w:val="de-DE"/>
              </w:rPr>
              <w:t>]</w:t>
            </w:r>
            <w:r w:rsidRPr="00592CAB">
              <w:rPr>
                <w:lang w:val="de-DE"/>
              </w:rPr>
              <w:t xml:space="preserve"> Zinszahlungsbetrags, die zum Termin dieser Rückzahlung, dieses Rückkaufs bzw. dieser Entwertung bzw. zum Termin des Eintritts dieses Kreditereignis-Feststellungstags aufgelaufen sind, nicht zur Auszahlung gelangen.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592CAB" w:rsidRPr="00DE10D4" w:rsidP="002A02E2">
            <w:pPr>
              <w:pStyle w:val="CSbody0bolditalic"/>
              <w:rPr>
                <w:lang w:val="en-GB"/>
              </w:rPr>
            </w:pPr>
            <w:r w:rsidRPr="00F94B27">
              <w:rPr>
                <w:lang w:val="en-GB"/>
              </w:rPr>
              <w:t>[</w:t>
            </w:r>
            <w:r w:rsidRPr="00DE10D4">
              <w:rPr>
                <w:lang w:val="en-GB"/>
              </w:rPr>
              <w:t>in the case of Credit-Linked Complex Products with auction settlement and a Basket or Credit-Linked Complex Products with Zero-Recovery feature linked to a Basket:</w:t>
            </w:r>
          </w:p>
        </w:tc>
        <w:tc>
          <w:tcPr>
            <w:tcW w:w="2466" w:type="pct"/>
            <w:gridSpan w:val="14"/>
            <w:tcBorders>
              <w:left w:val="single" w:sz="4" w:space="0" w:color="auto"/>
            </w:tcBorders>
          </w:tcPr>
          <w:p w:rsidR="00592CAB" w:rsidRPr="00592CAB" w:rsidP="00592CAB">
            <w:pPr>
              <w:pStyle w:val="CSbody0bolditalic"/>
            </w:pPr>
            <w:r w:rsidRPr="00F94B27">
              <w:t>[</w:t>
            </w:r>
            <w:r w:rsidRPr="00592CAB">
              <w:t>bei Kreditbezogenen Komplexen Produkten mit Auktionsabwicklung und einem Korb oder Kreditbezogenen Komplexen Produkten mit Zero-Recovery-Merkmal, die an einen Korb gekoppelt sind:</w:t>
            </w:r>
          </w:p>
        </w:tc>
      </w:tr>
      <w:tr w:rsidTr="00942F00">
        <w:tblPrEx>
          <w:tblW w:w="5000" w:type="pct"/>
          <w:tblLayout w:type="fixed"/>
          <w:tblLook w:val="04A0"/>
        </w:tblPrEx>
        <w:tc>
          <w:tcPr>
            <w:tcW w:w="2534" w:type="pct"/>
            <w:gridSpan w:val="14"/>
            <w:tcBorders>
              <w:right w:val="single" w:sz="4" w:space="0" w:color="auto"/>
            </w:tcBorders>
          </w:tcPr>
          <w:p w:rsidR="00DE10D4" w:rsidRPr="00AC2337" w:rsidP="00DE10D4">
            <w:pPr>
              <w:pStyle w:val="CSBody0"/>
            </w:pPr>
            <w:r w:rsidRPr="00AC2337">
              <w:t xml:space="preserve">Subject to the occurrence of a Potential Credit Event Period, the Issuer will pay the </w:t>
            </w:r>
            <w:r w:rsidRPr="00F94B27" w:rsidR="00F94B27">
              <w:rPr>
                <w:b/>
              </w:rPr>
              <w:t>[</w:t>
            </w:r>
            <w:r w:rsidRPr="00AC2337">
              <w:t>relevant</w:t>
            </w:r>
            <w:r w:rsidRPr="00F94B27" w:rsidR="00F94B27">
              <w:rPr>
                <w:b/>
              </w:rPr>
              <w:t>]</w:t>
            </w:r>
            <w:r w:rsidRPr="00AC2337">
              <w:t xml:space="preserve"> Interest Payment Amount per Complex Product on </w:t>
            </w:r>
            <w:r w:rsidRPr="00F94B27" w:rsidR="00F94B27">
              <w:rPr>
                <w:b/>
              </w:rPr>
              <w:t>[</w:t>
            </w:r>
            <w:r w:rsidRPr="00AC2337">
              <w:t>the</w:t>
            </w:r>
            <w:r w:rsidRPr="00F94B27" w:rsidR="00F94B27">
              <w:rPr>
                <w:b/>
              </w:rPr>
              <w:t>][</w:t>
            </w:r>
            <w:r w:rsidRPr="00AC2337">
              <w:t>each</w:t>
            </w:r>
            <w:r w:rsidRPr="00F94B27" w:rsidR="00F94B27">
              <w:rPr>
                <w:b/>
              </w:rPr>
              <w:t>]</w:t>
            </w:r>
            <w:r w:rsidRPr="00AC2337">
              <w:t xml:space="preserve"> Interest Payment Date to the Holder thereof, provided that (i) the Complex Products have not been redeemed, repurchased or cancelled on or prior to </w:t>
            </w:r>
            <w:r w:rsidRPr="00F94B27" w:rsidR="00F94B27">
              <w:rPr>
                <w:b/>
              </w:rPr>
              <w:t>[</w:t>
            </w:r>
            <w:r w:rsidRPr="00AC2337">
              <w:t>the</w:t>
            </w:r>
            <w:r w:rsidRPr="00F94B27" w:rsidR="00F94B27">
              <w:rPr>
                <w:b/>
              </w:rPr>
              <w:t>][</w:t>
            </w:r>
            <w:r w:rsidRPr="00AC2337">
              <w:t>such</w:t>
            </w:r>
            <w:r w:rsidRPr="00F94B27" w:rsidR="00F94B27">
              <w:rPr>
                <w:b/>
              </w:rPr>
              <w:t>]</w:t>
            </w:r>
            <w:r w:rsidRPr="00AC2337">
              <w:t xml:space="preserve"> Interest Payment Date and (ii) no Credit Event Determination Date has occurred with respect to any Reference Entity prior to </w:t>
            </w:r>
            <w:r w:rsidRPr="00F94B27" w:rsidR="00F94B27">
              <w:rPr>
                <w:b/>
              </w:rPr>
              <w:t>[</w:t>
            </w:r>
            <w:r w:rsidRPr="00AC2337">
              <w:t>the</w:t>
            </w:r>
            <w:r w:rsidRPr="00F94B27" w:rsidR="00F94B27">
              <w:rPr>
                <w:b/>
              </w:rPr>
              <w:t>][</w:t>
            </w:r>
            <w:r w:rsidRPr="00AC2337">
              <w:t>such</w:t>
            </w:r>
            <w:r w:rsidRPr="00F94B27" w:rsidR="00F94B27">
              <w:rPr>
                <w:b/>
              </w:rPr>
              <w:t>]</w:t>
            </w:r>
            <w:r w:rsidRPr="00AC2337">
              <w:t xml:space="preserve"> Interest Payment Date. For the avoidance of doubt, it being understood that, if the Complex Products are redeemed, repurchased or cancelled on or prior to the </w:t>
            </w:r>
            <w:r w:rsidRPr="00F94B27" w:rsidR="00F94B27">
              <w:rPr>
                <w:b/>
              </w:rPr>
              <w:t>[</w:t>
            </w:r>
            <w:r w:rsidRPr="00AC2337">
              <w:t>relevant</w:t>
            </w:r>
            <w:r w:rsidRPr="00F94B27" w:rsidR="00F94B27">
              <w:rPr>
                <w:b/>
              </w:rPr>
              <w:t>]</w:t>
            </w:r>
            <w:r w:rsidRPr="00AC2337">
              <w:t xml:space="preserve"> Interest Payment Date any portion of the Interest Payment Amount </w:t>
            </w:r>
            <w:r w:rsidRPr="00F94B27" w:rsidR="00F94B27">
              <w:rPr>
                <w:b/>
              </w:rPr>
              <w:t>[</w:t>
            </w:r>
            <w:r w:rsidRPr="00AC2337">
              <w:t>that would otherwise be due on such Interest Payment Date</w:t>
            </w:r>
            <w:r w:rsidRPr="00F94B27" w:rsidR="00F94B27">
              <w:rPr>
                <w:b/>
              </w:rPr>
              <w:t>]</w:t>
            </w:r>
            <w:r w:rsidRPr="00AC2337">
              <w:t xml:space="preserve"> that has accrued as of the date of such redemption, repurchase, cancellation or the date on which such Credit Event Determination Date occurred, as the case may be, will not be paid. Further, if a Credit Event Determination Date has occurred with respect to any Reference Entity/Entities prior to </w:t>
            </w:r>
            <w:r w:rsidRPr="00F94B27" w:rsidR="00F94B27">
              <w:rPr>
                <w:b/>
              </w:rPr>
              <w:t>[</w:t>
            </w:r>
            <w:r w:rsidRPr="00AC2337">
              <w:t>the</w:t>
            </w:r>
            <w:r w:rsidRPr="00F94B27" w:rsidR="00F94B27">
              <w:rPr>
                <w:b/>
              </w:rPr>
              <w:t>][</w:t>
            </w:r>
            <w:r w:rsidRPr="00AC2337">
              <w:t>an</w:t>
            </w:r>
            <w:r w:rsidRPr="00F94B27" w:rsidR="00F94B27">
              <w:rPr>
                <w:b/>
              </w:rPr>
              <w:t>]</w:t>
            </w:r>
            <w:r w:rsidRPr="00AC2337">
              <w:t xml:space="preserve"> Interest Payment Date, the portion(s) of the Principal Amount of the Complex Products equal to the Reference Entity Principal Amount(s) of such Affected Reference Entity/Entities will cease to bear interest and any accrued and unpaid interest on such Reference Entity Principal Amount(s) as of the date on which such Credit Event Determination Date has occurred will be cancelled and not be paid to the Holder thereof on the </w:t>
            </w:r>
            <w:r w:rsidRPr="00F94B27" w:rsidR="00F94B27">
              <w:rPr>
                <w:b/>
              </w:rPr>
              <w:t>[</w:t>
            </w:r>
            <w:r w:rsidRPr="00AC2337">
              <w:t>relevant</w:t>
            </w:r>
            <w:r w:rsidRPr="00F94B27" w:rsidR="00F94B27">
              <w:rPr>
                <w:b/>
              </w:rPr>
              <w:t>]</w:t>
            </w:r>
            <w:r w:rsidRPr="00AC2337">
              <w:t xml:space="preserve"> Interest Payment Date.</w:t>
            </w:r>
            <w:r w:rsidRPr="00F94B27" w:rsidR="00F94B27">
              <w:rPr>
                <w:b/>
              </w:rPr>
              <w:t>]</w:t>
            </w:r>
          </w:p>
        </w:tc>
        <w:tc>
          <w:tcPr>
            <w:tcW w:w="2466" w:type="pct"/>
            <w:gridSpan w:val="14"/>
            <w:tcBorders>
              <w:left w:val="single" w:sz="4" w:space="0" w:color="auto"/>
            </w:tcBorders>
          </w:tcPr>
          <w:p w:rsidR="00DE10D4" w:rsidRPr="00DE10D4">
            <w:pPr>
              <w:pStyle w:val="CSBody0"/>
              <w:rPr>
                <w:lang w:val="de-DE"/>
              </w:rPr>
            </w:pPr>
            <w:r w:rsidRPr="00DE10D4">
              <w:rPr>
                <w:lang w:val="de-DE"/>
              </w:rPr>
              <w:t xml:space="preserve">Vorbehaltlich des Eintritts eines Zeitraums eines Potenziellen Kreditereignisses, zahlt die Emittentin den </w:t>
            </w:r>
            <w:r w:rsidRPr="00F94B27" w:rsidR="00F94B27">
              <w:rPr>
                <w:b/>
                <w:lang w:val="de-DE"/>
              </w:rPr>
              <w:t>[</w:t>
            </w:r>
            <w:r w:rsidRPr="00DE10D4">
              <w:rPr>
                <w:lang w:val="de-DE"/>
              </w:rPr>
              <w:t>jeweiligen</w:t>
            </w:r>
            <w:r w:rsidRPr="00F94B27" w:rsidR="00F94B27">
              <w:rPr>
                <w:b/>
                <w:lang w:val="de-DE"/>
              </w:rPr>
              <w:t>]</w:t>
            </w:r>
            <w:r w:rsidRPr="00DE10D4">
              <w:rPr>
                <w:lang w:val="de-DE"/>
              </w:rPr>
              <w:t xml:space="preserve"> Zinszahlungsbetrag pro Komplexes Produkt </w:t>
            </w:r>
            <w:r w:rsidRPr="00F94B27" w:rsidR="00F94B27">
              <w:rPr>
                <w:b/>
                <w:lang w:val="de-DE"/>
              </w:rPr>
              <w:t>[</w:t>
            </w:r>
            <w:r w:rsidRPr="00DE10D4">
              <w:rPr>
                <w:lang w:val="de-DE"/>
              </w:rPr>
              <w:t>am</w:t>
            </w:r>
            <w:r w:rsidRPr="00F94B27" w:rsidR="00F94B27">
              <w:rPr>
                <w:b/>
                <w:lang w:val="de-DE"/>
              </w:rPr>
              <w:t>][</w:t>
            </w:r>
            <w:r w:rsidRPr="00DE10D4">
              <w:rPr>
                <w:lang w:val="de-DE"/>
              </w:rPr>
              <w:t>an jedem</w:t>
            </w:r>
            <w:r w:rsidRPr="00F94B27" w:rsidR="00F94B27">
              <w:rPr>
                <w:b/>
                <w:lang w:val="de-DE"/>
              </w:rPr>
              <w:t>]</w:t>
            </w:r>
            <w:r w:rsidRPr="00DE10D4">
              <w:rPr>
                <w:lang w:val="de-DE"/>
              </w:rPr>
              <w:t xml:space="preserve"> Zinszahlungstag an den jeweiligen Inhaber, sofern (i) die Komplexen Produkte nicht bereits an oder vor </w:t>
            </w:r>
            <w:r w:rsidRPr="00F94B27" w:rsidR="00F94B27">
              <w:rPr>
                <w:b/>
                <w:lang w:val="de-DE"/>
              </w:rPr>
              <w:t>[</w:t>
            </w:r>
            <w:r w:rsidRPr="00DE10D4">
              <w:rPr>
                <w:lang w:val="de-DE"/>
              </w:rPr>
              <w:t>dem</w:t>
            </w:r>
            <w:r w:rsidRPr="00F94B27" w:rsidR="00F94B27">
              <w:rPr>
                <w:b/>
                <w:lang w:val="de-DE"/>
              </w:rPr>
              <w:t>][</w:t>
            </w:r>
            <w:r w:rsidRPr="00DE10D4">
              <w:rPr>
                <w:lang w:val="de-DE"/>
              </w:rPr>
              <w:t>diesem</w:t>
            </w:r>
            <w:r w:rsidRPr="00F94B27" w:rsidR="00F94B27">
              <w:rPr>
                <w:b/>
                <w:lang w:val="de-DE"/>
              </w:rPr>
              <w:t>]</w:t>
            </w:r>
            <w:r w:rsidRPr="00DE10D4">
              <w:rPr>
                <w:lang w:val="de-DE"/>
              </w:rPr>
              <w:t xml:space="preserve"> Zinszahlungstag zurückgezahlt, zurückgekauft oder entwertet wurden und (ii) vor </w:t>
            </w:r>
            <w:r w:rsidRPr="00F94B27" w:rsidR="00F94B27">
              <w:rPr>
                <w:b/>
                <w:lang w:val="de-DE"/>
              </w:rPr>
              <w:t>[</w:t>
            </w:r>
            <w:r w:rsidRPr="00DE10D4">
              <w:rPr>
                <w:lang w:val="de-DE"/>
              </w:rPr>
              <w:t>dem</w:t>
            </w:r>
            <w:r w:rsidRPr="00F94B27" w:rsidR="00F94B27">
              <w:rPr>
                <w:b/>
                <w:lang w:val="de-DE"/>
              </w:rPr>
              <w:t>][</w:t>
            </w:r>
            <w:r w:rsidRPr="00DE10D4">
              <w:rPr>
                <w:lang w:val="de-DE"/>
              </w:rPr>
              <w:t>diesem</w:t>
            </w:r>
            <w:r w:rsidRPr="00F94B27" w:rsidR="00F94B27">
              <w:rPr>
                <w:b/>
                <w:lang w:val="de-DE"/>
              </w:rPr>
              <w:t>]</w:t>
            </w:r>
            <w:r w:rsidRPr="00DE10D4">
              <w:rPr>
                <w:lang w:val="de-DE"/>
              </w:rPr>
              <w:t xml:space="preserve"> Zinszahlungstag kein Kreditereignis-Feststellungstag in Bezug auf einen Referenzschuldner eingetreten ist. Zur Klarstellung wird festgehalten, dass im Fall einer bzw. eines an oder vor </w:t>
            </w:r>
            <w:r w:rsidRPr="00F94B27" w:rsidR="00F94B27">
              <w:rPr>
                <w:b/>
                <w:lang w:val="de-DE"/>
              </w:rPr>
              <w:t>[</w:t>
            </w:r>
            <w:r w:rsidRPr="00DE10D4">
              <w:rPr>
                <w:lang w:val="de-DE"/>
              </w:rPr>
              <w:t>dem</w:t>
            </w:r>
            <w:r w:rsidRPr="00F94B27" w:rsidR="00F94B27">
              <w:rPr>
                <w:b/>
                <w:lang w:val="de-DE"/>
              </w:rPr>
              <w:t>][</w:t>
            </w:r>
            <w:r w:rsidRPr="00DE10D4">
              <w:rPr>
                <w:lang w:val="de-DE"/>
              </w:rPr>
              <w:t>diesem</w:t>
            </w:r>
            <w:r w:rsidRPr="00F94B27" w:rsidR="00F94B27">
              <w:rPr>
                <w:b/>
                <w:lang w:val="de-DE"/>
              </w:rPr>
              <w:t>]</w:t>
            </w:r>
            <w:r w:rsidRPr="00DE10D4">
              <w:rPr>
                <w:lang w:val="de-DE"/>
              </w:rPr>
              <w:t xml:space="preserve"> Zinszahlungstag erfolgenden Rückzahlung, Rückkaufs oder Entwertung der Komplexen Produkte die zum Termin dieser Rückzahlung, dieses Rückkaufs bzw. dieser Entwertung aufgelaufenen Teile </w:t>
            </w:r>
            <w:r w:rsidRPr="00F94B27" w:rsidR="00F94B27">
              <w:rPr>
                <w:b/>
                <w:lang w:val="de-DE"/>
              </w:rPr>
              <w:t>[</w:t>
            </w:r>
            <w:r w:rsidRPr="00DE10D4">
              <w:rPr>
                <w:lang w:val="de-DE"/>
              </w:rPr>
              <w:t xml:space="preserve">des ansonsten an diesem Zinszahlungstag fälligen </w:t>
            </w:r>
            <w:r w:rsidRPr="00F94B27" w:rsidR="00F94B27">
              <w:rPr>
                <w:b/>
                <w:lang w:val="de-DE"/>
              </w:rPr>
              <w:t>[</w:t>
            </w:r>
            <w:r w:rsidRPr="00DE10D4">
              <w:rPr>
                <w:lang w:val="de-DE"/>
              </w:rPr>
              <w:t>jeweiligen</w:t>
            </w:r>
            <w:r w:rsidRPr="00F94B27" w:rsidR="00F94B27">
              <w:rPr>
                <w:b/>
                <w:lang w:val="de-DE"/>
              </w:rPr>
              <w:t>]]</w:t>
            </w:r>
            <w:r w:rsidRPr="00DE10D4">
              <w:rPr>
                <w:lang w:val="de-DE"/>
              </w:rPr>
              <w:t xml:space="preserve"> </w:t>
            </w:r>
            <w:r w:rsidRPr="00F94B27" w:rsidR="00F94B27">
              <w:rPr>
                <w:b/>
                <w:lang w:val="de-DE"/>
              </w:rPr>
              <w:t>[</w:t>
            </w:r>
            <w:r w:rsidRPr="00DE10D4">
              <w:rPr>
                <w:lang w:val="de-DE"/>
              </w:rPr>
              <w:t>des</w:t>
            </w:r>
            <w:r w:rsidRPr="00F94B27" w:rsidR="00F94B27">
              <w:rPr>
                <w:b/>
                <w:lang w:val="de-DE"/>
              </w:rPr>
              <w:t>]</w:t>
            </w:r>
            <w:r w:rsidRPr="00DE10D4">
              <w:rPr>
                <w:lang w:val="de-DE"/>
              </w:rPr>
              <w:t xml:space="preserve"> Zinsbetrags nicht zur Auszahlung gelangen. Ausserdem gilt für den Fall des Eintritts eines Kreditereignis-Feststellungstags in Bezug auf einen oder mehrere Referenzschuldner vor </w:t>
            </w:r>
            <w:r w:rsidRPr="00F94B27" w:rsidR="00F94B27">
              <w:rPr>
                <w:b/>
                <w:lang w:val="de-DE"/>
              </w:rPr>
              <w:t>[</w:t>
            </w:r>
            <w:r w:rsidRPr="00DE10D4">
              <w:rPr>
                <w:lang w:val="de-DE"/>
              </w:rPr>
              <w:t>dem</w:t>
            </w:r>
            <w:r w:rsidRPr="00F94B27" w:rsidR="00F94B27">
              <w:rPr>
                <w:b/>
                <w:lang w:val="de-DE"/>
              </w:rPr>
              <w:t>][</w:t>
            </w:r>
            <w:r w:rsidRPr="00DE10D4">
              <w:rPr>
                <w:lang w:val="de-DE"/>
              </w:rPr>
              <w:t>einem</w:t>
            </w:r>
            <w:r w:rsidRPr="00F94B27" w:rsidR="00F94B27">
              <w:rPr>
                <w:b/>
                <w:lang w:val="de-DE"/>
              </w:rPr>
              <w:t>]</w:t>
            </w:r>
            <w:r w:rsidRPr="00DE10D4">
              <w:rPr>
                <w:lang w:val="de-DE"/>
              </w:rPr>
              <w:t xml:space="preserve"> Zinszahlungstag, dass die Verzinsung des Teils/der Teile des Nennbetrags der Komplexen Produkte, der bzw. die dem Referenzschuldner-Nennbetrag/den Referenzschuldner-Nennbeträgen dieses Betroffenen Referenzschuldners/ dieser Betroffenen Referenzschuldner entspricht bzw. entsprechen, endet und etwaige zum Termin des Eintritts des Kreditereignis-Feststellungstags auf diesen Referenzschuldner-Nennbetrag/ diese Referenzschuldner</w:t>
            </w:r>
            <w:r w:rsidR="00950F11">
              <w:rPr>
                <w:lang w:val="de-DE"/>
              </w:rPr>
              <w:t>-N</w:t>
            </w:r>
            <w:r w:rsidRPr="00DE10D4">
              <w:rPr>
                <w:lang w:val="de-DE"/>
              </w:rPr>
              <w:t xml:space="preserve">ennbeträge aufgelaufene und noch nicht gezahlte Zinsen verfallen und nicht am </w:t>
            </w:r>
            <w:r w:rsidRPr="00F94B27" w:rsidR="00F94B27">
              <w:rPr>
                <w:b/>
                <w:lang w:val="de-DE"/>
              </w:rPr>
              <w:t>[</w:t>
            </w:r>
            <w:r w:rsidRPr="00DE10D4">
              <w:rPr>
                <w:lang w:val="de-DE"/>
              </w:rPr>
              <w:t>jeweiligen</w:t>
            </w:r>
            <w:r w:rsidRPr="00F94B27" w:rsidR="00F94B27">
              <w:rPr>
                <w:b/>
                <w:lang w:val="de-DE"/>
              </w:rPr>
              <w:t>]</w:t>
            </w:r>
            <w:r w:rsidRPr="00DE10D4">
              <w:rPr>
                <w:lang w:val="de-DE"/>
              </w:rPr>
              <w:t xml:space="preserve"> Zinszahlungstag an den Inhaber dieses Komplexen Produkts gezahlt werden.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DE10D4" w:rsidRPr="00AB16EC" w:rsidP="00DE10D4">
            <w:pPr>
              <w:pStyle w:val="CSbody0bolditalic"/>
              <w:rPr>
                <w:lang w:val="en-GB"/>
              </w:rPr>
            </w:pPr>
            <w:r w:rsidRPr="00F94B27">
              <w:rPr>
                <w:lang w:val="en-GB"/>
              </w:rPr>
              <w:t>[</w:t>
            </w:r>
            <w:r w:rsidRPr="00AB16EC">
              <w:rPr>
                <w:lang w:val="en-GB"/>
              </w:rPr>
              <w:t>in the case of Credit-Linked Complex Products with simplified settlement:</w:t>
            </w:r>
          </w:p>
        </w:tc>
        <w:tc>
          <w:tcPr>
            <w:tcW w:w="2466" w:type="pct"/>
            <w:gridSpan w:val="14"/>
            <w:tcBorders>
              <w:left w:val="single" w:sz="4" w:space="0" w:color="auto"/>
            </w:tcBorders>
          </w:tcPr>
          <w:p w:rsidR="00DE10D4" w:rsidRPr="00DE10D4" w:rsidP="00DE10D4">
            <w:pPr>
              <w:pStyle w:val="CSbody0bolditalic"/>
            </w:pPr>
            <w:r w:rsidRPr="00F94B27">
              <w:t>[</w:t>
            </w:r>
            <w:r w:rsidRPr="00DE10D4">
              <w:t>bei Kreditbezogenen Komplexen Produkten mit vereinfachter Abwicklung</w:t>
            </w:r>
          </w:p>
        </w:tc>
      </w:tr>
      <w:tr w:rsidTr="00942F00">
        <w:tblPrEx>
          <w:tblW w:w="5000" w:type="pct"/>
          <w:tblLayout w:type="fixed"/>
          <w:tblLook w:val="04A0"/>
        </w:tblPrEx>
        <w:tc>
          <w:tcPr>
            <w:tcW w:w="2534" w:type="pct"/>
            <w:gridSpan w:val="14"/>
            <w:tcBorders>
              <w:right w:val="single" w:sz="4" w:space="0" w:color="auto"/>
            </w:tcBorders>
          </w:tcPr>
          <w:p w:rsidR="00DE10D4" w:rsidRPr="00BD0C24" w:rsidP="00DE10D4">
            <w:pPr>
              <w:pStyle w:val="CSBody0"/>
            </w:pPr>
            <w:r w:rsidRPr="00BD0C24">
              <w:t xml:space="preserve">Subject to the occurrence of a Suspension Period, the Issuer will pay the </w:t>
            </w:r>
            <w:r w:rsidRPr="00F94B27" w:rsidR="00F94B27">
              <w:rPr>
                <w:b/>
              </w:rPr>
              <w:t>[</w:t>
            </w:r>
            <w:r w:rsidRPr="00BD0C24">
              <w:t>relevant</w:t>
            </w:r>
            <w:r w:rsidRPr="00F94B27" w:rsidR="00F94B27">
              <w:rPr>
                <w:b/>
              </w:rPr>
              <w:t>]</w:t>
            </w:r>
            <w:r w:rsidRPr="00BD0C24">
              <w:t xml:space="preserve"> Interest Payment Amount per Complex Product on </w:t>
            </w:r>
            <w:r w:rsidRPr="00F94B27" w:rsidR="00F94B27">
              <w:rPr>
                <w:b/>
              </w:rPr>
              <w:t>[</w:t>
            </w:r>
            <w:r w:rsidRPr="00BD0C24">
              <w:t>the</w:t>
            </w:r>
            <w:r w:rsidRPr="00F94B27" w:rsidR="00F94B27">
              <w:rPr>
                <w:b/>
              </w:rPr>
              <w:t>][</w:t>
            </w:r>
            <w:r w:rsidRPr="00BD0C24">
              <w:t>each</w:t>
            </w:r>
            <w:r w:rsidRPr="00F94B27" w:rsidR="00F94B27">
              <w:rPr>
                <w:b/>
              </w:rPr>
              <w:t>]</w:t>
            </w:r>
            <w:r w:rsidRPr="00BD0C24">
              <w:t xml:space="preserve"> Interest Payment Date to the Holder thereof, provided that (i) the Complex Products have not been redeemed, repurchased or cancelled on or prior to </w:t>
            </w:r>
            <w:r w:rsidRPr="00F94B27" w:rsidR="00F94B27">
              <w:rPr>
                <w:b/>
              </w:rPr>
              <w:t>[</w:t>
            </w:r>
            <w:r w:rsidRPr="00BD0C24">
              <w:t>the</w:t>
            </w:r>
            <w:r w:rsidRPr="00F94B27" w:rsidR="00F94B27">
              <w:rPr>
                <w:b/>
              </w:rPr>
              <w:t>][</w:t>
            </w:r>
            <w:r w:rsidRPr="00BD0C24">
              <w:t>such</w:t>
            </w:r>
            <w:r w:rsidRPr="00F94B27" w:rsidR="00F94B27">
              <w:rPr>
                <w:b/>
              </w:rPr>
              <w:t>]</w:t>
            </w:r>
            <w:r w:rsidRPr="00BD0C24">
              <w:t xml:space="preserve"> Interest Payment Date and (ii) no Credit Redemption Event has occurred prior to </w:t>
            </w:r>
            <w:r w:rsidRPr="00F94B27" w:rsidR="00F94B27">
              <w:rPr>
                <w:b/>
              </w:rPr>
              <w:t>[</w:t>
            </w:r>
            <w:r w:rsidRPr="00BD0C24">
              <w:t>the</w:t>
            </w:r>
            <w:r w:rsidRPr="00F94B27" w:rsidR="00F94B27">
              <w:rPr>
                <w:b/>
              </w:rPr>
              <w:t>]</w:t>
            </w:r>
            <w:r w:rsidRPr="00BD0C24">
              <w:t xml:space="preserve"> </w:t>
            </w:r>
            <w:r w:rsidRPr="00F94B27" w:rsidR="00F94B27">
              <w:rPr>
                <w:b/>
              </w:rPr>
              <w:t>[</w:t>
            </w:r>
            <w:r w:rsidRPr="00BD0C24">
              <w:t>such</w:t>
            </w:r>
            <w:r w:rsidRPr="00F94B27" w:rsidR="00F94B27">
              <w:rPr>
                <w:b/>
              </w:rPr>
              <w:t>]</w:t>
            </w:r>
            <w:r w:rsidRPr="00BD0C24">
              <w:t xml:space="preserve"> Interest Payment Date. For the avoidance of doubt, it being understood that, if (A) the Complex Products are redeemed, repurchased or cancelled on or prior to the </w:t>
            </w:r>
            <w:r w:rsidRPr="00F94B27" w:rsidR="00F94B27">
              <w:rPr>
                <w:b/>
              </w:rPr>
              <w:t>[</w:t>
            </w:r>
            <w:r w:rsidRPr="00BD0C24">
              <w:t>relevant</w:t>
            </w:r>
            <w:r w:rsidRPr="00F94B27" w:rsidR="00F94B27">
              <w:rPr>
                <w:b/>
              </w:rPr>
              <w:t>]</w:t>
            </w:r>
            <w:r w:rsidRPr="00BD0C24">
              <w:t xml:space="preserve"> Interest Payment Date or (B) a Credit Redemption Event has occurred prior to the </w:t>
            </w:r>
            <w:r w:rsidRPr="00F94B27" w:rsidR="00F94B27">
              <w:rPr>
                <w:b/>
              </w:rPr>
              <w:t>[</w:t>
            </w:r>
            <w:r w:rsidRPr="00BD0C24">
              <w:t>relevant</w:t>
            </w:r>
            <w:r w:rsidRPr="00F94B27" w:rsidR="00F94B27">
              <w:rPr>
                <w:b/>
              </w:rPr>
              <w:t>]</w:t>
            </w:r>
            <w:r w:rsidRPr="00BD0C24">
              <w:t xml:space="preserve"> Interest Payment Date, any portion of the </w:t>
            </w:r>
            <w:r w:rsidRPr="00F94B27" w:rsidR="00F94B27">
              <w:rPr>
                <w:b/>
              </w:rPr>
              <w:t>[</w:t>
            </w:r>
            <w:r w:rsidRPr="00BD0C24">
              <w:t>relevant</w:t>
            </w:r>
            <w:r w:rsidRPr="00F94B27" w:rsidR="00F94B27">
              <w:rPr>
                <w:b/>
              </w:rPr>
              <w:t>]</w:t>
            </w:r>
            <w:r w:rsidRPr="00BD0C24">
              <w:t xml:space="preserve"> Interest Payment Amount that has accrued as of the date of such redemption, repurchase, cancellation or the date on which such Credit Redemption Event occurred, as the case may be, will not be paid.</w:t>
            </w:r>
            <w:r w:rsidRPr="00F94B27" w:rsidR="00F94B27">
              <w:rPr>
                <w:b/>
              </w:rPr>
              <w:t>]</w:t>
            </w:r>
          </w:p>
        </w:tc>
        <w:tc>
          <w:tcPr>
            <w:tcW w:w="2466" w:type="pct"/>
            <w:gridSpan w:val="14"/>
            <w:tcBorders>
              <w:left w:val="single" w:sz="4" w:space="0" w:color="auto"/>
            </w:tcBorders>
          </w:tcPr>
          <w:p w:rsidR="00DE10D4" w:rsidRPr="00DE10D4" w:rsidP="00474C21">
            <w:pPr>
              <w:pStyle w:val="CSBody0"/>
              <w:rPr>
                <w:lang w:val="de-DE"/>
              </w:rPr>
            </w:pPr>
            <w:r w:rsidRPr="00DE10D4">
              <w:rPr>
                <w:lang w:val="de-DE"/>
              </w:rPr>
              <w:t xml:space="preserve">Vorbehaltlich des Eintritts eines Aussetzungszeitraums, zahlt die Emittentin den </w:t>
            </w:r>
            <w:r w:rsidRPr="00F94B27" w:rsidR="00F94B27">
              <w:rPr>
                <w:b/>
                <w:lang w:val="de-DE"/>
              </w:rPr>
              <w:t>[</w:t>
            </w:r>
            <w:r w:rsidRPr="00DE10D4">
              <w:rPr>
                <w:lang w:val="de-DE"/>
              </w:rPr>
              <w:t>jeweiligen</w:t>
            </w:r>
            <w:r w:rsidRPr="00F94B27" w:rsidR="00F94B27">
              <w:rPr>
                <w:b/>
                <w:lang w:val="de-DE"/>
              </w:rPr>
              <w:t>]</w:t>
            </w:r>
            <w:r w:rsidRPr="00DE10D4">
              <w:rPr>
                <w:lang w:val="de-DE"/>
              </w:rPr>
              <w:t xml:space="preserve"> Zinszahlungsbetrag pro Komplexes Produkt </w:t>
            </w:r>
            <w:r w:rsidRPr="00F94B27" w:rsidR="00F94B27">
              <w:rPr>
                <w:b/>
                <w:lang w:val="de-DE"/>
              </w:rPr>
              <w:t>[</w:t>
            </w:r>
            <w:r w:rsidRPr="00DE10D4">
              <w:rPr>
                <w:lang w:val="de-DE"/>
              </w:rPr>
              <w:t>am</w:t>
            </w:r>
            <w:r w:rsidRPr="00F94B27" w:rsidR="00F94B27">
              <w:rPr>
                <w:b/>
                <w:lang w:val="de-DE"/>
              </w:rPr>
              <w:t>][</w:t>
            </w:r>
            <w:r w:rsidRPr="00DE10D4">
              <w:rPr>
                <w:lang w:val="de-DE"/>
              </w:rPr>
              <w:t>an jedem</w:t>
            </w:r>
            <w:r w:rsidRPr="00F94B27" w:rsidR="00F94B27">
              <w:rPr>
                <w:b/>
                <w:lang w:val="de-DE"/>
              </w:rPr>
              <w:t>]</w:t>
            </w:r>
            <w:r w:rsidRPr="00DE10D4">
              <w:rPr>
                <w:lang w:val="de-DE"/>
              </w:rPr>
              <w:t xml:space="preserve"> Zinszahlungstag an den jeweiligen Inhaber, sofern (i) die Komplexen Produkte nicht bereits an oder vor </w:t>
            </w:r>
            <w:r w:rsidRPr="00F94B27" w:rsidR="00F94B27">
              <w:rPr>
                <w:b/>
                <w:lang w:val="de-DE"/>
              </w:rPr>
              <w:t>[</w:t>
            </w:r>
            <w:r w:rsidRPr="00DE10D4">
              <w:rPr>
                <w:lang w:val="de-DE"/>
              </w:rPr>
              <w:t>dem</w:t>
            </w:r>
            <w:r w:rsidRPr="00F94B27" w:rsidR="00F94B27">
              <w:rPr>
                <w:b/>
                <w:lang w:val="de-DE"/>
              </w:rPr>
              <w:t>][</w:t>
            </w:r>
            <w:r w:rsidRPr="00DE10D4">
              <w:rPr>
                <w:lang w:val="de-DE"/>
              </w:rPr>
              <w:t>diesem</w:t>
            </w:r>
            <w:r w:rsidRPr="00F94B27" w:rsidR="00F94B27">
              <w:rPr>
                <w:b/>
                <w:lang w:val="de-DE"/>
              </w:rPr>
              <w:t>]</w:t>
            </w:r>
            <w:r w:rsidRPr="00DE10D4">
              <w:rPr>
                <w:lang w:val="de-DE"/>
              </w:rPr>
              <w:t xml:space="preserve"> Zinszahlungstag zurückgezahlt, zurückgekauft oder entwertet wurden und (ii) vor dem Zinszahlungstag kein Kredit-Rückzahlungsereignis eingetreten ist. Zur Klarstellung wird festgehalten, dass im Fall (A) einer bzw. eines an oder vor dem </w:t>
            </w:r>
            <w:r w:rsidRPr="00F94B27" w:rsidR="00F94B27">
              <w:rPr>
                <w:b/>
                <w:lang w:val="de-DE"/>
              </w:rPr>
              <w:t>[</w:t>
            </w:r>
            <w:r w:rsidRPr="00DE10D4">
              <w:rPr>
                <w:lang w:val="de-DE"/>
              </w:rPr>
              <w:t>jeweiligen</w:t>
            </w:r>
            <w:r w:rsidRPr="00F94B27" w:rsidR="00F94B27">
              <w:rPr>
                <w:b/>
                <w:lang w:val="de-DE"/>
              </w:rPr>
              <w:t>]</w:t>
            </w:r>
            <w:r w:rsidRPr="00DE10D4">
              <w:rPr>
                <w:lang w:val="de-DE"/>
              </w:rPr>
              <w:t xml:space="preserve"> Zinszahlungstag erfolgenden Rückzahlung, Rückkaufs oder Entwertung der Komplexen Produkte oder (B) des Eintritts eines Kredit-Rückzahlungsereignisses vor dem </w:t>
            </w:r>
            <w:r w:rsidRPr="00F94B27" w:rsidR="00F94B27">
              <w:rPr>
                <w:b/>
                <w:lang w:val="de-DE"/>
              </w:rPr>
              <w:t>[</w:t>
            </w:r>
            <w:r w:rsidRPr="00DE10D4">
              <w:rPr>
                <w:lang w:val="de-DE"/>
              </w:rPr>
              <w:t>jeweiligen</w:t>
            </w:r>
            <w:r w:rsidRPr="00F94B27" w:rsidR="00F94B27">
              <w:rPr>
                <w:b/>
                <w:lang w:val="de-DE"/>
              </w:rPr>
              <w:t>]</w:t>
            </w:r>
            <w:r w:rsidRPr="00DE10D4">
              <w:rPr>
                <w:lang w:val="de-DE"/>
              </w:rPr>
              <w:t xml:space="preserve"> Zinszahlungstag die Teile des </w:t>
            </w:r>
            <w:r w:rsidRPr="00F94B27" w:rsidR="00F94B27">
              <w:rPr>
                <w:b/>
                <w:lang w:val="de-DE"/>
              </w:rPr>
              <w:t>[</w:t>
            </w:r>
            <w:r w:rsidRPr="00DE10D4">
              <w:rPr>
                <w:lang w:val="de-DE"/>
              </w:rPr>
              <w:t>jeweiligen</w:t>
            </w:r>
            <w:r w:rsidRPr="00F94B27" w:rsidR="00F94B27">
              <w:rPr>
                <w:b/>
                <w:lang w:val="de-DE"/>
              </w:rPr>
              <w:t>]</w:t>
            </w:r>
            <w:r w:rsidRPr="00DE10D4">
              <w:rPr>
                <w:lang w:val="de-DE"/>
              </w:rPr>
              <w:t xml:space="preserve"> Zinszahlungsbetrags, die zum Termin dieser Rückzahlung, dieses Rückkaufs bzw. dieser Entwertung bzw. zum Termin des Eintritts dieses Kredit-Rückzahlungsereignisses aufgelaufen sind, nicht zur Auszahlung gelangen.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DE10D4" w:rsidRPr="009455AD" w:rsidP="00DE10D4">
            <w:pPr>
              <w:pStyle w:val="CSBody0"/>
            </w:pPr>
            <w:r w:rsidRPr="009455AD">
              <w:t>For details regarding the payment of interest on the Complex Products see C. 15.</w:t>
            </w:r>
          </w:p>
        </w:tc>
        <w:tc>
          <w:tcPr>
            <w:tcW w:w="2466" w:type="pct"/>
            <w:gridSpan w:val="14"/>
            <w:tcBorders>
              <w:left w:val="single" w:sz="4" w:space="0" w:color="auto"/>
            </w:tcBorders>
          </w:tcPr>
          <w:p w:rsidR="00DE10D4" w:rsidRPr="00DE10D4" w:rsidP="00DE10D4">
            <w:pPr>
              <w:pStyle w:val="CSBody0"/>
              <w:rPr>
                <w:lang w:val="de-DE"/>
              </w:rPr>
            </w:pPr>
            <w:r w:rsidRPr="00DE10D4">
              <w:rPr>
                <w:lang w:val="de-DE"/>
              </w:rPr>
              <w:t>Zu Einzelheiten hinsichtlich der Zahlung von Zinsen auf die Komplexen Produkte siehe C. 15.</w:t>
            </w:r>
          </w:p>
        </w:tc>
      </w:tr>
      <w:tr w:rsidTr="00942F00">
        <w:tblPrEx>
          <w:tblW w:w="5000" w:type="pct"/>
          <w:tblLayout w:type="fixed"/>
          <w:tblLook w:val="04A0"/>
        </w:tblPrEx>
        <w:tc>
          <w:tcPr>
            <w:tcW w:w="2534" w:type="pct"/>
            <w:gridSpan w:val="14"/>
            <w:tcBorders>
              <w:right w:val="single" w:sz="4" w:space="0" w:color="auto"/>
            </w:tcBorders>
          </w:tcPr>
          <w:p w:rsidR="00DE10D4" w:rsidRPr="00AB16EC" w:rsidP="00DE10D4">
            <w:pPr>
              <w:pStyle w:val="CSbody0bolditalic"/>
              <w:rPr>
                <w:lang w:val="en-GB"/>
              </w:rPr>
            </w:pPr>
            <w:r w:rsidRPr="00F94B27">
              <w:rPr>
                <w:lang w:val="en-GB"/>
              </w:rPr>
              <w:t>[</w:t>
            </w:r>
            <w:r w:rsidRPr="00AB16EC">
              <w:rPr>
                <w:lang w:val="en-GB"/>
              </w:rPr>
              <w:t>in case of Complex Products with COSI feature:</w:t>
            </w:r>
          </w:p>
        </w:tc>
        <w:tc>
          <w:tcPr>
            <w:tcW w:w="2466" w:type="pct"/>
            <w:gridSpan w:val="14"/>
            <w:tcBorders>
              <w:left w:val="single" w:sz="4" w:space="0" w:color="auto"/>
            </w:tcBorders>
          </w:tcPr>
          <w:p w:rsidR="00DE10D4" w:rsidRPr="00DE10D4" w:rsidP="00DE10D4">
            <w:pPr>
              <w:pStyle w:val="CSbody0bolditalic"/>
            </w:pPr>
            <w:r w:rsidRPr="00F94B27">
              <w:t>[</w:t>
            </w:r>
            <w:r w:rsidRPr="00DE10D4">
              <w:t>bei Komplexen Produkten mit COSI-Merkmal:</w:t>
            </w:r>
          </w:p>
        </w:tc>
      </w:tr>
      <w:tr w:rsidTr="00942F00">
        <w:tblPrEx>
          <w:tblW w:w="5000" w:type="pct"/>
          <w:tblLayout w:type="fixed"/>
          <w:tblLook w:val="04A0"/>
        </w:tblPrEx>
        <w:tc>
          <w:tcPr>
            <w:tcW w:w="2534" w:type="pct"/>
            <w:gridSpan w:val="14"/>
            <w:tcBorders>
              <w:right w:val="single" w:sz="4" w:space="0" w:color="auto"/>
            </w:tcBorders>
          </w:tcPr>
          <w:p w:rsidR="00DE10D4" w:rsidRPr="009455AD" w:rsidP="00DE10D4">
            <w:pPr>
              <w:pStyle w:val="CSbody0bold"/>
            </w:pPr>
            <w:r w:rsidRPr="009455AD">
              <w:t xml:space="preserve">Collateral Secured Instruments (COSI) </w:t>
            </w:r>
          </w:p>
        </w:tc>
        <w:tc>
          <w:tcPr>
            <w:tcW w:w="2466" w:type="pct"/>
            <w:gridSpan w:val="14"/>
            <w:tcBorders>
              <w:left w:val="single" w:sz="4" w:space="0" w:color="auto"/>
            </w:tcBorders>
          </w:tcPr>
          <w:p w:rsidR="00DE10D4" w:rsidRPr="009455AD" w:rsidP="00DE10D4">
            <w:pPr>
              <w:pStyle w:val="CSbody0bold"/>
            </w:pPr>
            <w:r w:rsidRPr="009455AD">
              <w:t xml:space="preserve">Pfandbesicherte Zertifikate (COSI) </w:t>
            </w:r>
          </w:p>
        </w:tc>
      </w:tr>
      <w:tr w:rsidTr="00942F00">
        <w:tblPrEx>
          <w:tblW w:w="5000" w:type="pct"/>
          <w:tblLayout w:type="fixed"/>
          <w:tblLook w:val="04A0"/>
        </w:tblPrEx>
        <w:tc>
          <w:tcPr>
            <w:tcW w:w="2534" w:type="pct"/>
            <w:gridSpan w:val="14"/>
            <w:tcBorders>
              <w:right w:val="single" w:sz="4" w:space="0" w:color="auto"/>
            </w:tcBorders>
          </w:tcPr>
          <w:p w:rsidR="00DE10D4" w:rsidRPr="009455AD" w:rsidP="006A01BA">
            <w:pPr>
              <w:pStyle w:val="CSBody0"/>
            </w:pPr>
            <w:r w:rsidRPr="009455AD">
              <w:t>The Complex Products are collateralized in accordance with the provisions of the SIX Swiss Exchange "Framework Agreement for Collateral-Secured Instruments" (the "</w:t>
            </w:r>
            <w:r w:rsidRPr="00DE10D4">
              <w:rPr>
                <w:b/>
              </w:rPr>
              <w:t>Framework Agreement</w:t>
            </w:r>
            <w:r w:rsidRPr="009455AD">
              <w:t>"). Credit Suisse concluded the Framework Agreement on 23 June 2015 and undertakes to secure the value of securities issued by it and collateralized pursuant to the Framework Agreement ("</w:t>
            </w:r>
            <w:r w:rsidRPr="00DE10D4">
              <w:rPr>
                <w:b/>
              </w:rPr>
              <w:t>CS COSI Securities</w:t>
            </w:r>
            <w:r w:rsidRPr="009455AD">
              <w:t xml:space="preserve">") in favor of SIX Swiss Exchange at any time. The rights of investors in connection with the collateralization of CS COSI Securities arise from the Framework Agreement. The principles of collateralization are summarized in an information sheet issued by SIX Swiss Exchange. This information sheet is available from the </w:t>
            </w:r>
            <w:r w:rsidRPr="00DE10D4">
              <w:rPr>
                <w:b/>
                <w:color w:val="7898B3"/>
              </w:rPr>
              <w:t>www.six-swiss-exchange.com</w:t>
            </w:r>
            <w:r w:rsidRPr="009455AD">
              <w:t xml:space="preserve"> website. Credit Suisse shall, upon request, provide the Framework Agreement to investors free of charge in the original German version or as an English translation. The Framework Agreement may be obtained from the head office of Credit Suisse in Zurich via telephone at: +41 44 333 21 44 or e-mail: </w:t>
            </w:r>
            <w:r w:rsidRPr="005633A7">
              <w:rPr>
                <w:b/>
                <w:color w:val="7898B3"/>
              </w:rPr>
              <w:t>prod-ucts.structured@credit-suisse.com</w:t>
            </w:r>
            <w:r w:rsidRPr="009455AD">
              <w:t xml:space="preserve"> or facsimile at: +41 44 333 84 03.</w:t>
            </w:r>
            <w:r w:rsidRPr="00F94B27" w:rsidR="00F94B27">
              <w:rPr>
                <w:b/>
              </w:rPr>
              <w:t>]</w:t>
            </w:r>
          </w:p>
        </w:tc>
        <w:tc>
          <w:tcPr>
            <w:tcW w:w="2466" w:type="pct"/>
            <w:gridSpan w:val="14"/>
            <w:tcBorders>
              <w:left w:val="single" w:sz="4" w:space="0" w:color="auto"/>
            </w:tcBorders>
          </w:tcPr>
          <w:p w:rsidR="00DE10D4" w:rsidP="006A01BA">
            <w:pPr>
              <w:pStyle w:val="CSBody0"/>
            </w:pPr>
            <w:r w:rsidRPr="00DE10D4">
              <w:rPr>
                <w:lang w:val="de-DE"/>
              </w:rPr>
              <w:t>Die Komplexen Produkte sind nach den Vorschriften des "Rahmenvertrages für Pfandbesicherte Zertifikate" der SIX Swiss Exchange ("</w:t>
            </w:r>
            <w:r w:rsidRPr="005633A7">
              <w:rPr>
                <w:b/>
                <w:lang w:val="de-DE"/>
              </w:rPr>
              <w:t>Rahmenvertrag</w:t>
            </w:r>
            <w:r w:rsidRPr="00DE10D4">
              <w:rPr>
                <w:lang w:val="de-DE"/>
              </w:rPr>
              <w:t>") besichert. Credit Suisse hat den Rahmenvertrag am 23.</w:t>
            </w:r>
            <w:r w:rsidR="006A01BA">
              <w:rPr>
                <w:lang w:val="de-DE"/>
              </w:rPr>
              <w:t> </w:t>
            </w:r>
            <w:r w:rsidRPr="00DE10D4">
              <w:rPr>
                <w:lang w:val="de-DE"/>
              </w:rPr>
              <w:t>Juni 2015 abgeschlossen und sich zur Sicherstellung des jeweiligen Wertes der Sicherheiten ("</w:t>
            </w:r>
            <w:r w:rsidRPr="005633A7">
              <w:rPr>
                <w:b/>
                <w:lang w:val="de-DE"/>
              </w:rPr>
              <w:t>CS COSI Wertpapiere</w:t>
            </w:r>
            <w:r w:rsidRPr="00DE10D4">
              <w:rPr>
                <w:lang w:val="de-DE"/>
              </w:rPr>
              <w:t xml:space="preserve">") zu Gunsten von SIX Swiss Exchange verpflichtet. Die Rechte der Anleger im Zusammenhang mit der Besicherung der CS COSI Wertpapiere ergeben sich aus dem Rahmenvertrag. Die Grundzüge der Besicherung sind in einem Informationsblatt der SIX Swiss Exchange zusammengefasst, welches auf </w:t>
            </w:r>
            <w:r w:rsidRPr="005633A7">
              <w:rPr>
                <w:b/>
                <w:color w:val="7898B3"/>
                <w:lang w:val="de-DE"/>
              </w:rPr>
              <w:t>www.six-swiss-exchange.com</w:t>
            </w:r>
            <w:r w:rsidRPr="00DE10D4">
              <w:rPr>
                <w:lang w:val="de-DE"/>
              </w:rPr>
              <w:t xml:space="preserve"> verfügbar ist. Der Rahmenvertrag wird den Anlegern auf Verlangen von der Emittentin kostenlos in deutscher Fassung oder in englischer Übersetzung zur Verfügung gestellt. Der Rahmenvertrag kann bezogen werden beim Hauptsitz der Credit Suisse in Zürich und kann telefonisch oder per Fax unter den folgenden Nummern angefordert werden: +41 44 333 21 44 (Telefon), E-Mail </w:t>
            </w:r>
            <w:r w:rsidRPr="005633A7">
              <w:rPr>
                <w:b/>
                <w:color w:val="7898B3"/>
                <w:lang w:val="de-DE"/>
              </w:rPr>
              <w:t>products.structured@credit-suisse.com</w:t>
            </w:r>
            <w:r w:rsidRPr="00DE10D4">
              <w:rPr>
                <w:lang w:val="de-DE"/>
              </w:rPr>
              <w:t xml:space="preserve">, bzw. </w:t>
            </w:r>
            <w:r w:rsidRPr="009455AD">
              <w:t>+41 44 333 84 03 (Fax).</w:t>
            </w:r>
            <w:r w:rsidRPr="00F94B27" w:rsidR="00F94B27">
              <w:rPr>
                <w:b/>
              </w:rPr>
              <w:t>]</w:t>
            </w:r>
          </w:p>
        </w:tc>
      </w:tr>
      <w:tr w:rsidTr="00942F00">
        <w:tblPrEx>
          <w:tblW w:w="5000" w:type="pct"/>
          <w:tblLayout w:type="fixed"/>
          <w:tblLook w:val="04A0"/>
        </w:tblPrEx>
        <w:tc>
          <w:tcPr>
            <w:tcW w:w="2534" w:type="pct"/>
            <w:gridSpan w:val="14"/>
            <w:tcBorders>
              <w:right w:val="single" w:sz="4" w:space="0" w:color="auto"/>
            </w:tcBorders>
          </w:tcPr>
          <w:p w:rsidR="005633A7" w:rsidRPr="002E4FE3" w:rsidP="005633A7">
            <w:pPr>
              <w:pStyle w:val="CSbody0bold"/>
            </w:pPr>
            <w:r w:rsidRPr="002E4FE3">
              <w:t>Status</w:t>
            </w:r>
          </w:p>
        </w:tc>
        <w:tc>
          <w:tcPr>
            <w:tcW w:w="2466" w:type="pct"/>
            <w:gridSpan w:val="14"/>
            <w:tcBorders>
              <w:left w:val="single" w:sz="4" w:space="0" w:color="auto"/>
            </w:tcBorders>
          </w:tcPr>
          <w:p w:rsidR="005633A7" w:rsidRPr="002E4FE3" w:rsidP="005633A7">
            <w:pPr>
              <w:pStyle w:val="CSbody0bold"/>
            </w:pPr>
            <w:r w:rsidRPr="002E4FE3">
              <w:t>Status</w:t>
            </w:r>
          </w:p>
        </w:tc>
      </w:tr>
      <w:tr w:rsidTr="00942F00">
        <w:tblPrEx>
          <w:tblW w:w="5000" w:type="pct"/>
          <w:tblLayout w:type="fixed"/>
          <w:tblLook w:val="04A0"/>
        </w:tblPrEx>
        <w:tc>
          <w:tcPr>
            <w:tcW w:w="2534" w:type="pct"/>
            <w:gridSpan w:val="14"/>
            <w:tcBorders>
              <w:right w:val="single" w:sz="4" w:space="0" w:color="auto"/>
            </w:tcBorders>
          </w:tcPr>
          <w:p w:rsidR="005633A7" w:rsidRPr="00AB16EC" w:rsidP="005633A7">
            <w:pPr>
              <w:pStyle w:val="CSbody0bolditalic"/>
              <w:rPr>
                <w:lang w:val="en-GB"/>
              </w:rPr>
            </w:pPr>
            <w:r w:rsidRPr="00F94B27">
              <w:rPr>
                <w:lang w:val="en-GB"/>
              </w:rPr>
              <w:t>[</w:t>
            </w:r>
            <w:r w:rsidRPr="00AB16EC">
              <w:rPr>
                <w:lang w:val="en-GB"/>
              </w:rPr>
              <w:t>in case of Complex Products with COSI feature:</w:t>
            </w:r>
          </w:p>
        </w:tc>
        <w:tc>
          <w:tcPr>
            <w:tcW w:w="2466" w:type="pct"/>
            <w:gridSpan w:val="14"/>
            <w:tcBorders>
              <w:left w:val="single" w:sz="4" w:space="0" w:color="auto"/>
            </w:tcBorders>
          </w:tcPr>
          <w:p w:rsidR="005633A7" w:rsidRPr="005633A7" w:rsidP="005633A7">
            <w:pPr>
              <w:pStyle w:val="CSbody0bolditalic"/>
            </w:pPr>
            <w:r w:rsidRPr="00F94B27">
              <w:t>[</w:t>
            </w:r>
            <w:r w:rsidRPr="005633A7">
              <w:t>bei Komplexen Produkten mit COSI Merkmal:</w:t>
            </w:r>
          </w:p>
        </w:tc>
      </w:tr>
      <w:tr w:rsidTr="00942F00">
        <w:tblPrEx>
          <w:tblW w:w="5000" w:type="pct"/>
          <w:tblLayout w:type="fixed"/>
          <w:tblLook w:val="04A0"/>
        </w:tblPrEx>
        <w:tc>
          <w:tcPr>
            <w:tcW w:w="2534" w:type="pct"/>
            <w:gridSpan w:val="14"/>
            <w:tcBorders>
              <w:right w:val="single" w:sz="4" w:space="0" w:color="auto"/>
            </w:tcBorders>
          </w:tcPr>
          <w:p w:rsidR="005633A7" w:rsidRPr="002E4FE3" w:rsidP="005633A7">
            <w:pPr>
              <w:pStyle w:val="CSBody0"/>
            </w:pPr>
            <w:r w:rsidRPr="002E4FE3">
              <w:t>The Complex Products constitute direct, unconditional and unsubordinated obligations of Credit Suisse, are collateralized in accordance with the terms of the Framework Agreement and rank at least pari passu with all present and future unsecured and unsubordinated obligations of Credit Suisse and without preference among themselves, except for such preferences as are provided by any mandatory applicable provision of law.</w:t>
            </w:r>
            <w:r w:rsidRPr="00F94B27" w:rsidR="00F94B27">
              <w:rPr>
                <w:b/>
              </w:rPr>
              <w:t>]</w:t>
            </w:r>
          </w:p>
        </w:tc>
        <w:tc>
          <w:tcPr>
            <w:tcW w:w="2466" w:type="pct"/>
            <w:gridSpan w:val="14"/>
            <w:tcBorders>
              <w:left w:val="single" w:sz="4" w:space="0" w:color="auto"/>
            </w:tcBorders>
          </w:tcPr>
          <w:p w:rsidR="005633A7" w:rsidRPr="005633A7" w:rsidP="005633A7">
            <w:pPr>
              <w:pStyle w:val="CSBody0"/>
              <w:rPr>
                <w:lang w:val="de-DE"/>
              </w:rPr>
            </w:pPr>
            <w:r w:rsidRPr="005633A7">
              <w:rPr>
                <w:lang w:val="de-DE"/>
              </w:rPr>
              <w:t>Die Komplexen Produkte begründen direkte, unbedingte und nicht nachrangige Verbindlichkeiten der Credit Suisse, sind nach Massgabe des Rahmenvertrags besichert und mit allen gegenwärtigen und zukünftigen nicht besicherten und nicht nachrangigen Verbindlichkeiten der Credit Suisse mindestens gleichrangig sowie untereinander gleichrangig, mit Ausnahme solcher Verbindlichkeiten, die über einen gesetzlichen Vorrang verfügen.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5633A7" w:rsidRPr="00AB16EC" w:rsidP="005633A7">
            <w:pPr>
              <w:pStyle w:val="CSbody0bolditalic"/>
              <w:rPr>
                <w:lang w:val="en-GB"/>
              </w:rPr>
            </w:pPr>
            <w:r w:rsidRPr="00F94B27">
              <w:rPr>
                <w:lang w:val="en-GB"/>
              </w:rPr>
              <w:t>[</w:t>
            </w:r>
            <w:r w:rsidRPr="00AB16EC">
              <w:rPr>
                <w:lang w:val="en-GB"/>
              </w:rPr>
              <w:t>in case of Complex Products without COSI feature:</w:t>
            </w:r>
          </w:p>
        </w:tc>
        <w:tc>
          <w:tcPr>
            <w:tcW w:w="2466" w:type="pct"/>
            <w:gridSpan w:val="14"/>
            <w:tcBorders>
              <w:left w:val="single" w:sz="4" w:space="0" w:color="auto"/>
            </w:tcBorders>
          </w:tcPr>
          <w:p w:rsidR="005633A7" w:rsidRPr="005633A7" w:rsidP="005633A7">
            <w:pPr>
              <w:pStyle w:val="CSbody0bolditalic"/>
            </w:pPr>
            <w:r w:rsidRPr="00F94B27">
              <w:t>[</w:t>
            </w:r>
            <w:r w:rsidRPr="005633A7">
              <w:t>bei Komplexen Produkten ohne COSI Merkmal:</w:t>
            </w:r>
          </w:p>
        </w:tc>
      </w:tr>
      <w:tr w:rsidTr="00942F00">
        <w:tblPrEx>
          <w:tblW w:w="5000" w:type="pct"/>
          <w:tblLayout w:type="fixed"/>
          <w:tblLook w:val="04A0"/>
        </w:tblPrEx>
        <w:tc>
          <w:tcPr>
            <w:tcW w:w="2534" w:type="pct"/>
            <w:gridSpan w:val="14"/>
            <w:tcBorders>
              <w:right w:val="single" w:sz="4" w:space="0" w:color="auto"/>
            </w:tcBorders>
          </w:tcPr>
          <w:p w:rsidR="005633A7" w:rsidRPr="00962CFE" w:rsidP="005633A7">
            <w:pPr>
              <w:pStyle w:val="CSBody0"/>
            </w:pPr>
            <w:r w:rsidRPr="00962CFE">
              <w:t>The Complex Products constitute direct, unconditional, unsecured and unsubordinated obligations of Credit Suisse and rank pari passu with all other present and future unsecured and unsubordinated obligations of Credit Suisse and without any preference among themselves, except for such preferences as are provided by any mandatory applicable provision of law. Complex Products are not covered by any compensation or insurance scheme (such as a bank deposit or protection scheme).</w:t>
            </w:r>
            <w:r w:rsidRPr="00F94B27" w:rsidR="00F94B27">
              <w:rPr>
                <w:b/>
              </w:rPr>
              <w:t>]</w:t>
            </w:r>
          </w:p>
        </w:tc>
        <w:tc>
          <w:tcPr>
            <w:tcW w:w="2466" w:type="pct"/>
            <w:gridSpan w:val="14"/>
            <w:tcBorders>
              <w:left w:val="single" w:sz="4" w:space="0" w:color="auto"/>
            </w:tcBorders>
          </w:tcPr>
          <w:p w:rsidR="005633A7" w:rsidRPr="005633A7" w:rsidP="005633A7">
            <w:pPr>
              <w:pStyle w:val="CSBody0"/>
              <w:rPr>
                <w:lang w:val="de-DE"/>
              </w:rPr>
            </w:pPr>
            <w:r w:rsidRPr="005633A7">
              <w:rPr>
                <w:lang w:val="de-DE"/>
              </w:rPr>
              <w:t>Die Komplexen Produkte begründen direkte, unbedingte, nicht besicherte und nicht nachrangige Verbindlichkeiten der Credit Suisse, die mit allen anderen gegenwärtigen und zukünftigen nicht besicherten und nicht nachrangigen Verbindlichkeiten der Credit Suisse sowie untereinander gleichrangig sind, mit Ausnahme solcher Verbindlichkeiten, die über einen gesetzlichen Vorrang verfügen. Komplexe Produkte sind nicht durch ein Schadenausgleichs- oder Versicherungssystem (wie beispielsweise ein Einlagensicherungssystem) geschützt.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5633A7" w:rsidRPr="00AB16EC" w:rsidP="005633A7">
            <w:pPr>
              <w:pStyle w:val="CSbody0bolditalic"/>
              <w:rPr>
                <w:lang w:val="en-GB"/>
              </w:rPr>
            </w:pPr>
            <w:r w:rsidRPr="00F94B27">
              <w:rPr>
                <w:lang w:val="en-GB"/>
              </w:rPr>
              <w:t>[</w:t>
            </w:r>
            <w:r w:rsidRPr="00AB16EC">
              <w:rPr>
                <w:lang w:val="en-GB"/>
              </w:rPr>
              <w:t xml:space="preserve">in case of Complex Products with an Issuer Call Option: </w:t>
            </w:r>
          </w:p>
        </w:tc>
        <w:tc>
          <w:tcPr>
            <w:tcW w:w="2466" w:type="pct"/>
            <w:gridSpan w:val="14"/>
            <w:tcBorders>
              <w:left w:val="single" w:sz="4" w:space="0" w:color="auto"/>
            </w:tcBorders>
          </w:tcPr>
          <w:p w:rsidR="005633A7" w:rsidRPr="005633A7" w:rsidP="005633A7">
            <w:pPr>
              <w:pStyle w:val="CSbody0bolditalic"/>
            </w:pPr>
            <w:r w:rsidRPr="00F94B27">
              <w:t>[</w:t>
            </w:r>
            <w:r w:rsidRPr="005633A7">
              <w:t>bei Komplexen Produkten mit Kündigungsrecht der Emittentin:</w:t>
            </w:r>
          </w:p>
        </w:tc>
      </w:tr>
      <w:tr w:rsidTr="00942F00">
        <w:tblPrEx>
          <w:tblW w:w="5000" w:type="pct"/>
          <w:tblLayout w:type="fixed"/>
          <w:tblLook w:val="04A0"/>
        </w:tblPrEx>
        <w:tc>
          <w:tcPr>
            <w:tcW w:w="2534" w:type="pct"/>
            <w:gridSpan w:val="14"/>
            <w:tcBorders>
              <w:right w:val="single" w:sz="4" w:space="0" w:color="auto"/>
            </w:tcBorders>
          </w:tcPr>
          <w:p w:rsidR="005633A7" w:rsidRPr="00962CFE" w:rsidP="005633A7">
            <w:pPr>
              <w:pStyle w:val="CSbody0bold"/>
            </w:pPr>
            <w:r w:rsidRPr="00962CFE">
              <w:t>Issuer Call Option</w:t>
            </w:r>
          </w:p>
        </w:tc>
        <w:tc>
          <w:tcPr>
            <w:tcW w:w="2466" w:type="pct"/>
            <w:gridSpan w:val="14"/>
            <w:tcBorders>
              <w:left w:val="single" w:sz="4" w:space="0" w:color="auto"/>
            </w:tcBorders>
          </w:tcPr>
          <w:p w:rsidR="005633A7" w:rsidP="005633A7">
            <w:pPr>
              <w:pStyle w:val="CSbody0bold"/>
            </w:pPr>
            <w:r w:rsidRPr="00962CFE">
              <w:t>Kündigungsrecht der Emittentin</w:t>
            </w:r>
          </w:p>
        </w:tc>
      </w:tr>
      <w:tr w:rsidTr="00942F00">
        <w:tblPrEx>
          <w:tblW w:w="5000" w:type="pct"/>
          <w:tblLayout w:type="fixed"/>
          <w:tblLook w:val="04A0"/>
        </w:tblPrEx>
        <w:tc>
          <w:tcPr>
            <w:tcW w:w="2534" w:type="pct"/>
            <w:gridSpan w:val="14"/>
            <w:tcBorders>
              <w:right w:val="single" w:sz="4" w:space="0" w:color="auto"/>
            </w:tcBorders>
          </w:tcPr>
          <w:p w:rsidR="005633A7" w:rsidRPr="000A38D9" w:rsidP="005633A7">
            <w:pPr>
              <w:pStyle w:val="CSBody0"/>
            </w:pPr>
            <w:r w:rsidRPr="000A38D9">
              <w:t xml:space="preserve">Unless previously redeemed, repurchased or cancelled, the Issuer is entitled to redeem the Complex Products early in whole, but not in part, on </w:t>
            </w:r>
            <w:r w:rsidRPr="00F94B27" w:rsidR="00F94B27">
              <w:rPr>
                <w:b/>
              </w:rPr>
              <w:t>[</w:t>
            </w:r>
            <w:r w:rsidRPr="000A38D9">
              <w:t>the</w:t>
            </w:r>
            <w:r w:rsidRPr="00F94B27" w:rsidR="00F94B27">
              <w:rPr>
                <w:b/>
              </w:rPr>
              <w:t>][</w:t>
            </w:r>
            <w:r w:rsidRPr="000A38D9">
              <w:t>any</w:t>
            </w:r>
            <w:r w:rsidRPr="00F94B27" w:rsidR="00F94B27">
              <w:rPr>
                <w:b/>
              </w:rPr>
              <w:t>]</w:t>
            </w:r>
            <w:r w:rsidRPr="000A38D9">
              <w:t xml:space="preserve"> Optional Early Redemption Date at the </w:t>
            </w:r>
            <w:r w:rsidRPr="00F94B27" w:rsidR="00F94B27">
              <w:rPr>
                <w:b/>
              </w:rPr>
              <w:t>[</w:t>
            </w:r>
            <w:r w:rsidRPr="000A38D9">
              <w:t>relevant</w:t>
            </w:r>
            <w:r w:rsidRPr="00F94B27" w:rsidR="00F94B27">
              <w:rPr>
                <w:b/>
              </w:rPr>
              <w:t>]</w:t>
            </w:r>
            <w:r w:rsidRPr="000A38D9">
              <w:t xml:space="preserve"> Optional Early Redemption Price per Complex Product.</w:t>
            </w:r>
          </w:p>
        </w:tc>
        <w:tc>
          <w:tcPr>
            <w:tcW w:w="2466" w:type="pct"/>
            <w:gridSpan w:val="14"/>
            <w:tcBorders>
              <w:left w:val="single" w:sz="4" w:space="0" w:color="auto"/>
            </w:tcBorders>
          </w:tcPr>
          <w:p w:rsidR="005633A7" w:rsidRPr="005633A7" w:rsidP="00474C21">
            <w:pPr>
              <w:pStyle w:val="CSBody0"/>
              <w:rPr>
                <w:lang w:val="de-DE"/>
              </w:rPr>
            </w:pPr>
            <w:r w:rsidRPr="005633A7">
              <w:rPr>
                <w:lang w:val="de-DE"/>
              </w:rPr>
              <w:t xml:space="preserve">Komplexe Produkte, die nicht bereits zuvor zurückgezahlt, zurückgekauft oder entwertet wurden, können von der Emittentin insgesamt, aber nicht teilweise an </w:t>
            </w:r>
            <w:r w:rsidRPr="00F94B27" w:rsidR="00F94B27">
              <w:rPr>
                <w:b/>
                <w:lang w:val="de-DE"/>
              </w:rPr>
              <w:t>[</w:t>
            </w:r>
            <w:r w:rsidRPr="005633A7">
              <w:rPr>
                <w:lang w:val="de-DE"/>
              </w:rPr>
              <w:t>dem</w:t>
            </w:r>
            <w:r w:rsidRPr="00F94B27" w:rsidR="00F94B27">
              <w:rPr>
                <w:b/>
                <w:lang w:val="de-DE"/>
              </w:rPr>
              <w:t>][</w:t>
            </w:r>
            <w:r w:rsidRPr="005633A7">
              <w:rPr>
                <w:lang w:val="de-DE"/>
              </w:rPr>
              <w:t>einem</w:t>
            </w:r>
            <w:r w:rsidRPr="00F94B27" w:rsidR="00F94B27">
              <w:rPr>
                <w:b/>
                <w:lang w:val="de-DE"/>
              </w:rPr>
              <w:t>]</w:t>
            </w:r>
            <w:r w:rsidRPr="005633A7">
              <w:rPr>
                <w:lang w:val="de-DE"/>
              </w:rPr>
              <w:t xml:space="preserve"> Rückzahlungstag bei Ausübung des Kündigungsrechts zum </w:t>
            </w:r>
            <w:r w:rsidRPr="00F94B27" w:rsidR="00F94B27">
              <w:rPr>
                <w:b/>
                <w:lang w:val="de-DE"/>
              </w:rPr>
              <w:t>[</w:t>
            </w:r>
            <w:r w:rsidRPr="005633A7">
              <w:rPr>
                <w:lang w:val="de-DE"/>
              </w:rPr>
              <w:t>jeweiligen</w:t>
            </w:r>
            <w:r w:rsidRPr="00F94B27" w:rsidR="00F94B27">
              <w:rPr>
                <w:b/>
                <w:lang w:val="de-DE"/>
              </w:rPr>
              <w:t>]</w:t>
            </w:r>
            <w:r w:rsidRPr="005633A7">
              <w:rPr>
                <w:lang w:val="de-DE"/>
              </w:rPr>
              <w:t xml:space="preserve"> Rückzahlungsbetrag bei Ausübung des Kündigungsrechts je Komplexes Produkt zurückgezahlt werden.</w:t>
            </w:r>
          </w:p>
        </w:tc>
      </w:tr>
      <w:tr w:rsidTr="0070669C">
        <w:tblPrEx>
          <w:tblW w:w="5000" w:type="pct"/>
          <w:tblLayout w:type="fixed"/>
          <w:tblLook w:val="04A0"/>
        </w:tblPrEx>
        <w:tc>
          <w:tcPr>
            <w:tcW w:w="775" w:type="pct"/>
            <w:gridSpan w:val="6"/>
            <w:tcBorders>
              <w:right w:val="single" w:sz="4" w:space="0" w:color="auto"/>
            </w:tcBorders>
          </w:tcPr>
          <w:p w:rsidR="00C43995" w:rsidRPr="00FA2601" w:rsidP="00C43995">
            <w:pPr>
              <w:pStyle w:val="CSBody0"/>
            </w:pPr>
            <w:r w:rsidRPr="00F94B27">
              <w:rPr>
                <w:b/>
              </w:rPr>
              <w:t>[</w:t>
            </w:r>
            <w:r w:rsidRPr="00FA2601">
              <w:t>Optional Early Redemption Date</w:t>
            </w:r>
            <w:r w:rsidRPr="00F94B27">
              <w:rPr>
                <w:b/>
              </w:rPr>
              <w:t>]</w:t>
            </w:r>
          </w:p>
        </w:tc>
        <w:tc>
          <w:tcPr>
            <w:tcW w:w="1759" w:type="pct"/>
            <w:gridSpan w:val="8"/>
            <w:tcBorders>
              <w:left w:val="single" w:sz="4" w:space="0" w:color="auto"/>
              <w:right w:val="single" w:sz="4" w:space="0" w:color="auto"/>
            </w:tcBorders>
          </w:tcPr>
          <w:p w:rsidR="00C43995" w:rsidRPr="00FA2601" w:rsidP="00C43995">
            <w:pPr>
              <w:pStyle w:val="CSBody0"/>
            </w:pPr>
            <w:r w:rsidRPr="00F94B27">
              <w:rPr>
                <w:b/>
              </w:rPr>
              <w:t>[</w:t>
            </w:r>
            <w:r w:rsidRPr="003F5ED6" w:rsidR="003857E8">
              <w:rPr>
                <w:rFonts w:ascii="Arial" w:hAnsi="Arial" w:cs="Arial"/>
                <w:lang w:val="de-DE"/>
              </w:rPr>
              <w:t>●</w:t>
            </w:r>
            <w:r w:rsidRPr="00F94B27">
              <w:rPr>
                <w:b/>
              </w:rPr>
              <w:t>]</w:t>
            </w:r>
          </w:p>
        </w:tc>
        <w:tc>
          <w:tcPr>
            <w:tcW w:w="1428" w:type="pct"/>
            <w:gridSpan w:val="8"/>
            <w:tcBorders>
              <w:left w:val="single" w:sz="4" w:space="0" w:color="auto"/>
              <w:right w:val="single" w:sz="4" w:space="0" w:color="auto"/>
            </w:tcBorders>
          </w:tcPr>
          <w:p w:rsidR="00C43995" w:rsidRPr="00C43995" w:rsidP="00C43995">
            <w:pPr>
              <w:pStyle w:val="CSBody0"/>
              <w:rPr>
                <w:lang w:val="de-DE"/>
              </w:rPr>
            </w:pPr>
            <w:r w:rsidRPr="00F94B27">
              <w:rPr>
                <w:b/>
                <w:lang w:val="de-DE"/>
              </w:rPr>
              <w:t>[</w:t>
            </w:r>
            <w:r w:rsidRPr="00C43995">
              <w:rPr>
                <w:lang w:val="de-DE"/>
              </w:rPr>
              <w:t>Rückzahlungstag bei Ausübung des Kündigungsrechts</w:t>
            </w:r>
            <w:r w:rsidRPr="00F94B27">
              <w:rPr>
                <w:b/>
                <w:lang w:val="de-DE"/>
              </w:rPr>
              <w:t>]</w:t>
            </w:r>
          </w:p>
        </w:tc>
        <w:tc>
          <w:tcPr>
            <w:tcW w:w="1038" w:type="pct"/>
            <w:gridSpan w:val="6"/>
            <w:tcBorders>
              <w:left w:val="single" w:sz="4" w:space="0" w:color="auto"/>
            </w:tcBorders>
          </w:tcPr>
          <w:p w:rsidR="00C43995" w:rsidRPr="00FA2601" w:rsidP="00C43995">
            <w:pPr>
              <w:pStyle w:val="CSBody0"/>
            </w:pPr>
            <w:r w:rsidRPr="00F94B27">
              <w:rPr>
                <w:b/>
              </w:rPr>
              <w:t>[</w:t>
            </w:r>
            <w:r w:rsidRPr="003F5ED6" w:rsidR="003857E8">
              <w:rPr>
                <w:rFonts w:ascii="Arial" w:hAnsi="Arial" w:cs="Arial"/>
                <w:lang w:val="de-DE"/>
              </w:rPr>
              <w:t>●</w:t>
            </w:r>
            <w:r w:rsidRPr="00F94B27">
              <w:rPr>
                <w:b/>
              </w:rPr>
              <w:t>]</w:t>
            </w:r>
          </w:p>
        </w:tc>
      </w:tr>
      <w:tr w:rsidTr="0070669C">
        <w:tblPrEx>
          <w:tblW w:w="5000" w:type="pct"/>
          <w:tblLayout w:type="fixed"/>
          <w:tblLook w:val="04A0"/>
        </w:tblPrEx>
        <w:tc>
          <w:tcPr>
            <w:tcW w:w="775" w:type="pct"/>
            <w:gridSpan w:val="6"/>
            <w:tcBorders>
              <w:right w:val="single" w:sz="4" w:space="0" w:color="auto"/>
            </w:tcBorders>
          </w:tcPr>
          <w:p w:rsidR="00C43995" w:rsidRPr="00FA2601" w:rsidP="00C43995">
            <w:pPr>
              <w:pStyle w:val="CSBody0"/>
            </w:pPr>
            <w:r w:rsidRPr="00F94B27">
              <w:rPr>
                <w:b/>
              </w:rPr>
              <w:t>[</w:t>
            </w:r>
            <w:r w:rsidRPr="00FA2601">
              <w:t>Optional Early Redemption Price</w:t>
            </w:r>
            <w:r w:rsidRPr="00F94B27">
              <w:rPr>
                <w:b/>
              </w:rPr>
              <w:t>]</w:t>
            </w:r>
          </w:p>
        </w:tc>
        <w:tc>
          <w:tcPr>
            <w:tcW w:w="1759" w:type="pct"/>
            <w:gridSpan w:val="8"/>
            <w:tcBorders>
              <w:left w:val="single" w:sz="4" w:space="0" w:color="auto"/>
              <w:right w:val="single" w:sz="4" w:space="0" w:color="auto"/>
            </w:tcBorders>
          </w:tcPr>
          <w:p w:rsidR="00C43995" w:rsidRPr="00FA2601" w:rsidP="00C43995">
            <w:pPr>
              <w:pStyle w:val="CSBody0"/>
            </w:pPr>
            <w:r w:rsidRPr="00F94B27">
              <w:rPr>
                <w:b/>
              </w:rPr>
              <w:t>[</w:t>
            </w:r>
            <w:r w:rsidRPr="003F5ED6" w:rsidR="003857E8">
              <w:rPr>
                <w:rFonts w:ascii="Arial" w:hAnsi="Arial" w:cs="Arial"/>
                <w:lang w:val="de-DE"/>
              </w:rPr>
              <w:t>●</w:t>
            </w:r>
            <w:r w:rsidRPr="00F94B27">
              <w:rPr>
                <w:b/>
              </w:rPr>
              <w:t>]</w:t>
            </w:r>
          </w:p>
        </w:tc>
        <w:tc>
          <w:tcPr>
            <w:tcW w:w="1428" w:type="pct"/>
            <w:gridSpan w:val="8"/>
            <w:tcBorders>
              <w:left w:val="single" w:sz="4" w:space="0" w:color="auto"/>
              <w:right w:val="single" w:sz="4" w:space="0" w:color="auto"/>
            </w:tcBorders>
          </w:tcPr>
          <w:p w:rsidR="00C43995" w:rsidRPr="00C43995" w:rsidP="00C43995">
            <w:pPr>
              <w:pStyle w:val="CSBody0"/>
              <w:rPr>
                <w:lang w:val="de-DE"/>
              </w:rPr>
            </w:pPr>
            <w:r w:rsidRPr="00F94B27">
              <w:rPr>
                <w:b/>
                <w:lang w:val="de-DE"/>
              </w:rPr>
              <w:t>[</w:t>
            </w:r>
            <w:r w:rsidRPr="00C43995">
              <w:rPr>
                <w:lang w:val="de-DE"/>
              </w:rPr>
              <w:t>Rückzahlungsbetrag bei Ausübung des Kündigungsrechts</w:t>
            </w:r>
            <w:r w:rsidRPr="00F94B27">
              <w:rPr>
                <w:b/>
                <w:lang w:val="de-DE"/>
              </w:rPr>
              <w:t>]</w:t>
            </w:r>
          </w:p>
        </w:tc>
        <w:tc>
          <w:tcPr>
            <w:tcW w:w="1038" w:type="pct"/>
            <w:gridSpan w:val="6"/>
            <w:tcBorders>
              <w:left w:val="single" w:sz="4" w:space="0" w:color="auto"/>
            </w:tcBorders>
          </w:tcPr>
          <w:p w:rsidR="00C43995" w:rsidP="00C43995">
            <w:pPr>
              <w:pStyle w:val="CSBody0"/>
            </w:pPr>
            <w:r w:rsidRPr="00F94B27">
              <w:rPr>
                <w:b/>
              </w:rPr>
              <w:t>[</w:t>
            </w:r>
            <w:r w:rsidRPr="003F5ED6" w:rsidR="003857E8">
              <w:rPr>
                <w:rFonts w:ascii="Arial" w:hAnsi="Arial" w:cs="Arial"/>
                <w:lang w:val="de-DE"/>
              </w:rPr>
              <w:t>●</w:t>
            </w:r>
            <w:r w:rsidRPr="00F94B27">
              <w:rPr>
                <w:b/>
              </w:rPr>
              <w:t>]</w:t>
            </w:r>
          </w:p>
        </w:tc>
      </w:tr>
      <w:tr w:rsidTr="00942F00">
        <w:tblPrEx>
          <w:tblW w:w="5000" w:type="pct"/>
          <w:tblLayout w:type="fixed"/>
          <w:tblLook w:val="04A0"/>
        </w:tblPrEx>
        <w:tc>
          <w:tcPr>
            <w:tcW w:w="2534" w:type="pct"/>
            <w:gridSpan w:val="14"/>
            <w:tcBorders>
              <w:right w:val="single" w:sz="4" w:space="0" w:color="auto"/>
            </w:tcBorders>
          </w:tcPr>
          <w:p w:rsidR="008D74A4" w:rsidRPr="008D74A4" w:rsidP="008D74A4">
            <w:pPr>
              <w:pStyle w:val="CSBody8pt"/>
              <w:rPr>
                <w:i/>
              </w:rPr>
            </w:pPr>
            <w:r w:rsidRPr="008D74A4">
              <w:rPr>
                <w:i/>
              </w:rPr>
              <w:t>(repeat for each additional Optional Early Redemption Date)</w:t>
            </w:r>
            <w:r w:rsidRPr="00F94B27" w:rsidR="00F94B27">
              <w:rPr>
                <w:b/>
                <w:i/>
              </w:rPr>
              <w:t>]</w:t>
            </w:r>
          </w:p>
        </w:tc>
        <w:tc>
          <w:tcPr>
            <w:tcW w:w="2466" w:type="pct"/>
            <w:gridSpan w:val="14"/>
            <w:tcBorders>
              <w:left w:val="single" w:sz="4" w:space="0" w:color="auto"/>
            </w:tcBorders>
          </w:tcPr>
          <w:p w:rsidR="008D74A4" w:rsidRPr="008D74A4" w:rsidP="008D74A4">
            <w:pPr>
              <w:pStyle w:val="CSBody8pt"/>
              <w:rPr>
                <w:i/>
                <w:lang w:val="de-DE"/>
              </w:rPr>
            </w:pPr>
            <w:r w:rsidRPr="008D74A4">
              <w:rPr>
                <w:i/>
                <w:lang w:val="de-DE"/>
              </w:rPr>
              <w:t>(für jeden weiteren Rückzahlungstag bei Ausübung des Kündigungsrechts wiederholen)</w:t>
            </w:r>
            <w:r w:rsidRPr="00F94B27" w:rsidR="00F94B27">
              <w:rPr>
                <w:b/>
                <w:i/>
                <w:lang w:val="de-DE"/>
              </w:rPr>
              <w:t>]</w:t>
            </w:r>
          </w:p>
        </w:tc>
      </w:tr>
      <w:tr w:rsidTr="00942F00">
        <w:tblPrEx>
          <w:tblW w:w="5000" w:type="pct"/>
          <w:tblLayout w:type="fixed"/>
          <w:tblLook w:val="04A0"/>
        </w:tblPrEx>
        <w:tc>
          <w:tcPr>
            <w:tcW w:w="2534" w:type="pct"/>
            <w:gridSpan w:val="14"/>
            <w:tcBorders>
              <w:right w:val="single" w:sz="4" w:space="0" w:color="auto"/>
            </w:tcBorders>
          </w:tcPr>
          <w:p w:rsidR="008D74A4" w:rsidRPr="002C520A" w:rsidP="008D74A4">
            <w:pPr>
              <w:pStyle w:val="CSbody0bold"/>
            </w:pPr>
            <w:r w:rsidRPr="002C520A">
              <w:t xml:space="preserve">Extraordinary Events </w:t>
            </w:r>
          </w:p>
        </w:tc>
        <w:tc>
          <w:tcPr>
            <w:tcW w:w="2466" w:type="pct"/>
            <w:gridSpan w:val="14"/>
            <w:tcBorders>
              <w:left w:val="single" w:sz="4" w:space="0" w:color="auto"/>
            </w:tcBorders>
          </w:tcPr>
          <w:p w:rsidR="008D74A4" w:rsidRPr="002C520A" w:rsidP="008D74A4">
            <w:pPr>
              <w:pStyle w:val="CSbody0bold"/>
            </w:pPr>
            <w:r w:rsidRPr="002C520A">
              <w:t xml:space="preserve">Aussergewöhnliche Ereignisse </w:t>
            </w:r>
          </w:p>
        </w:tc>
      </w:tr>
      <w:tr w:rsidTr="00942F00">
        <w:tblPrEx>
          <w:tblW w:w="5000" w:type="pct"/>
          <w:tblLayout w:type="fixed"/>
          <w:tblLook w:val="04A0"/>
        </w:tblPrEx>
        <w:tc>
          <w:tcPr>
            <w:tcW w:w="2534" w:type="pct"/>
            <w:gridSpan w:val="14"/>
            <w:tcBorders>
              <w:right w:val="single" w:sz="4" w:space="0" w:color="auto"/>
            </w:tcBorders>
          </w:tcPr>
          <w:p w:rsidR="008D74A4" w:rsidRPr="002C520A" w:rsidP="008D74A4">
            <w:pPr>
              <w:pStyle w:val="CSBody0"/>
            </w:pPr>
            <w:r w:rsidRPr="002C520A">
              <w:t xml:space="preserve">Upon the occurrence of an Extraordinary Event, the Calculation Agent and the Issuer, acting together, have the right to, among other things, early redeem the relevant Complex Products in accordance with the procedures set by the Calculation Agent and the Issuer. </w:t>
            </w:r>
          </w:p>
        </w:tc>
        <w:tc>
          <w:tcPr>
            <w:tcW w:w="2466" w:type="pct"/>
            <w:gridSpan w:val="14"/>
            <w:tcBorders>
              <w:left w:val="single" w:sz="4" w:space="0" w:color="auto"/>
            </w:tcBorders>
          </w:tcPr>
          <w:p w:rsidR="008D74A4" w:rsidRPr="008D74A4" w:rsidP="008D74A4">
            <w:pPr>
              <w:pStyle w:val="CSBody0"/>
              <w:rPr>
                <w:lang w:val="de-DE"/>
              </w:rPr>
            </w:pPr>
            <w:r w:rsidRPr="008D74A4">
              <w:rPr>
                <w:lang w:val="de-DE"/>
              </w:rPr>
              <w:t xml:space="preserve">Bei Eintritt eines Aussergewöhnlichen Ereignisses sind die Berechnungsstelle und die Emittentin unter anderem gemeinsam berechtigt, die betreffenden Komplexen Produkte gemäss den von der Berechnungsstelle und der Emittentin festgelegten Verfahren vorzeitig zurückzuzahlen. </w:t>
            </w:r>
          </w:p>
        </w:tc>
      </w:tr>
      <w:tr w:rsidTr="00942F00">
        <w:tblPrEx>
          <w:tblW w:w="5000" w:type="pct"/>
          <w:tblLayout w:type="fixed"/>
          <w:tblLook w:val="04A0"/>
        </w:tblPrEx>
        <w:tc>
          <w:tcPr>
            <w:tcW w:w="2534" w:type="pct"/>
            <w:gridSpan w:val="14"/>
            <w:tcBorders>
              <w:right w:val="single" w:sz="4" w:space="0" w:color="auto"/>
            </w:tcBorders>
          </w:tcPr>
          <w:p w:rsidR="008D74A4" w:rsidRPr="00AB16EC" w:rsidP="008D74A4">
            <w:pPr>
              <w:pStyle w:val="CSbody0bolditalic"/>
              <w:rPr>
                <w:lang w:val="en-GB"/>
              </w:rPr>
            </w:pPr>
            <w:r w:rsidRPr="00F94B27">
              <w:rPr>
                <w:lang w:val="en-GB"/>
              </w:rPr>
              <w:t>[</w:t>
            </w:r>
            <w:r w:rsidRPr="00AB16EC">
              <w:rPr>
                <w:lang w:val="en-GB"/>
              </w:rPr>
              <w:t>in case of Inflation Index-Linked Notes:</w:t>
            </w:r>
          </w:p>
        </w:tc>
        <w:tc>
          <w:tcPr>
            <w:tcW w:w="2466" w:type="pct"/>
            <w:gridSpan w:val="14"/>
            <w:tcBorders>
              <w:left w:val="single" w:sz="4" w:space="0" w:color="auto"/>
            </w:tcBorders>
          </w:tcPr>
          <w:p w:rsidR="008D74A4" w:rsidRPr="002C520A" w:rsidP="008D74A4">
            <w:pPr>
              <w:pStyle w:val="CSbody0bolditalic"/>
            </w:pPr>
            <w:r w:rsidRPr="00F94B27">
              <w:t>[</w:t>
            </w:r>
            <w:r w:rsidRPr="002C520A">
              <w:t>bei Inflation Index-Linked Notes:</w:t>
            </w:r>
          </w:p>
        </w:tc>
      </w:tr>
      <w:tr w:rsidTr="00942F00">
        <w:tblPrEx>
          <w:tblW w:w="5000" w:type="pct"/>
          <w:tblLayout w:type="fixed"/>
          <w:tblLook w:val="04A0"/>
        </w:tblPrEx>
        <w:tc>
          <w:tcPr>
            <w:tcW w:w="2534" w:type="pct"/>
            <w:gridSpan w:val="14"/>
            <w:tcBorders>
              <w:right w:val="single" w:sz="4" w:space="0" w:color="auto"/>
            </w:tcBorders>
          </w:tcPr>
          <w:p w:rsidR="008D74A4" w:rsidRPr="002C520A" w:rsidP="008D74A4">
            <w:pPr>
              <w:pStyle w:val="CSbody0bold"/>
            </w:pPr>
            <w:r w:rsidRPr="002C520A">
              <w:t>Additional Adjustment Events</w:t>
            </w:r>
          </w:p>
        </w:tc>
        <w:tc>
          <w:tcPr>
            <w:tcW w:w="2466" w:type="pct"/>
            <w:gridSpan w:val="14"/>
            <w:tcBorders>
              <w:left w:val="single" w:sz="4" w:space="0" w:color="auto"/>
            </w:tcBorders>
          </w:tcPr>
          <w:p w:rsidR="008D74A4" w:rsidRPr="002C520A" w:rsidP="008D74A4">
            <w:pPr>
              <w:pStyle w:val="CSbody0bold"/>
            </w:pPr>
            <w:r w:rsidRPr="002C520A">
              <w:t>Weitere Anpassungsereignisse</w:t>
            </w:r>
          </w:p>
        </w:tc>
      </w:tr>
      <w:tr w:rsidTr="00942F00">
        <w:tblPrEx>
          <w:tblW w:w="5000" w:type="pct"/>
          <w:tblLayout w:type="fixed"/>
          <w:tblLook w:val="04A0"/>
        </w:tblPrEx>
        <w:tc>
          <w:tcPr>
            <w:tcW w:w="2534" w:type="pct"/>
            <w:gridSpan w:val="14"/>
            <w:tcBorders>
              <w:right w:val="single" w:sz="4" w:space="0" w:color="auto"/>
            </w:tcBorders>
          </w:tcPr>
          <w:p w:rsidR="008D74A4" w:rsidRPr="002C520A" w:rsidP="008D74A4">
            <w:pPr>
              <w:pStyle w:val="CSBody0"/>
            </w:pPr>
            <w:r w:rsidRPr="002C520A">
              <w:t>Upon the occurrence of an Additional Adjustment Event, the Calculation Agent may make such adjustment to the calculation or definition of the Reference Rate or any amount payable under the Complex Products (which may include the substitution of such Reference Rate with a different reference rate or reference rates, irrespective of whether such reference rate or reference rates are then currently used for the purposes of the calculation of amounts payable under the Complex Products) as it may determine to be appropriate. If it determines that it is unable to make such an adjustment, the Issuer may early terminate the Complex Products, in whole but not in part, on such day as the Issuer shall select in its discretion by giving notice to Holders and redeem the Complex Products on such day at an amount determined by the Calculation Agent as representing their fair market value on such day.</w:t>
            </w:r>
          </w:p>
        </w:tc>
        <w:tc>
          <w:tcPr>
            <w:tcW w:w="2466" w:type="pct"/>
            <w:gridSpan w:val="14"/>
            <w:tcBorders>
              <w:left w:val="single" w:sz="4" w:space="0" w:color="auto"/>
            </w:tcBorders>
          </w:tcPr>
          <w:p w:rsidR="008D74A4" w:rsidRPr="008D74A4" w:rsidP="008D74A4">
            <w:pPr>
              <w:pStyle w:val="CSBody0"/>
              <w:rPr>
                <w:lang w:val="de-DE"/>
              </w:rPr>
            </w:pPr>
            <w:r w:rsidRPr="008D74A4">
              <w:rPr>
                <w:lang w:val="de-DE"/>
              </w:rPr>
              <w:t>Im Fall des Eintritts eines Weiteren Anpassungsereignisses in Bezug auf einen Referenzsatz kann die Berechnungsstelle ausserdem eine von ihr als zweckmässig erachtete Anpassung der Berechnung oder Definition des Referenzsatzes oder eines in Bezug auf die Komplexen Produkte zahlbaren Betrags vornehmen (einschliesslich etwa der Ersetzung dieses Referenzsatzes durch einen anderen Referenzsatz oder andere Referenzsätze, unabhängig davon, ob dieser Referenzsatz oder diese Referenzsätze zu dem betreffenden Zeitpunkt gerade für die Zwecke der Berechnung von in Bezug auf die Komplexen Produkte zahlbaren Beträgen herangezogen wird bzw. werden). Stellt sie fest, dass sie zu einer solchen Anpassung nicht in der Lage ist, so kann die Emittentin die Komplexen Produkte insgesamt, jedoch nicht teilweise, an einem von der Emittentin nach ihrem Ermessen ausgewählten Tag durch Mitteilung an die Inhaber vorzeitig kündigen und die Komplexen Produkte zu einem Betrag an diesem Tag zurückzahlen, der nach Feststellung der Berechnungsstelle dem fairen Marktwert an diesem Tag entspricht.</w:t>
            </w:r>
          </w:p>
        </w:tc>
      </w:tr>
      <w:tr w:rsidTr="00942F00">
        <w:tblPrEx>
          <w:tblW w:w="5000" w:type="pct"/>
          <w:tblLayout w:type="fixed"/>
          <w:tblLook w:val="04A0"/>
        </w:tblPrEx>
        <w:tc>
          <w:tcPr>
            <w:tcW w:w="2534" w:type="pct"/>
            <w:gridSpan w:val="14"/>
            <w:tcBorders>
              <w:right w:val="single" w:sz="4" w:space="0" w:color="auto"/>
            </w:tcBorders>
          </w:tcPr>
          <w:p w:rsidR="008D74A4" w:rsidRPr="002F143B" w:rsidP="008D74A4">
            <w:pPr>
              <w:pStyle w:val="CSbody0bold"/>
            </w:pPr>
            <w:r w:rsidRPr="002F143B">
              <w:t>Jurisdictional Events</w:t>
            </w:r>
          </w:p>
        </w:tc>
        <w:tc>
          <w:tcPr>
            <w:tcW w:w="2466" w:type="pct"/>
            <w:gridSpan w:val="14"/>
            <w:tcBorders>
              <w:left w:val="single" w:sz="4" w:space="0" w:color="auto"/>
            </w:tcBorders>
          </w:tcPr>
          <w:p w:rsidR="008D74A4" w:rsidRPr="002F143B" w:rsidP="008D74A4">
            <w:pPr>
              <w:pStyle w:val="CSbody0bold"/>
            </w:pPr>
            <w:r w:rsidRPr="002F143B">
              <w:t xml:space="preserve">Rechtsordnungsbezogene Ereignisse </w:t>
            </w:r>
          </w:p>
        </w:tc>
      </w:tr>
      <w:tr w:rsidTr="00942F00">
        <w:tblPrEx>
          <w:tblW w:w="5000" w:type="pct"/>
          <w:tblLayout w:type="fixed"/>
          <w:tblLook w:val="04A0"/>
        </w:tblPrEx>
        <w:tc>
          <w:tcPr>
            <w:tcW w:w="2534" w:type="pct"/>
            <w:gridSpan w:val="14"/>
            <w:tcBorders>
              <w:right w:val="single" w:sz="4" w:space="0" w:color="auto"/>
            </w:tcBorders>
          </w:tcPr>
          <w:p w:rsidR="008D74A4" w:rsidRPr="002F143B" w:rsidP="008D74A4">
            <w:pPr>
              <w:pStyle w:val="CSBody0"/>
            </w:pPr>
            <w:r w:rsidRPr="002F143B">
              <w:t>Upon the occurrence of a Jurisdictional Event (which may occur in any jurisdiction the Issuer determines to be relevant to the Complex Products), the Calculation Agent may reduce any amounts to be paid to Holders in order to take into account the adverse effects of such Jurisdictional Event on the hedging arrangements of the Issuer.</w:t>
            </w:r>
            <w:r w:rsidRPr="00F94B27" w:rsidR="00F94B27">
              <w:rPr>
                <w:b/>
              </w:rPr>
              <w:t>]</w:t>
            </w:r>
          </w:p>
        </w:tc>
        <w:tc>
          <w:tcPr>
            <w:tcW w:w="2466" w:type="pct"/>
            <w:gridSpan w:val="14"/>
            <w:tcBorders>
              <w:left w:val="single" w:sz="4" w:space="0" w:color="auto"/>
            </w:tcBorders>
          </w:tcPr>
          <w:p w:rsidR="008D74A4" w:rsidRPr="008D74A4" w:rsidP="008D74A4">
            <w:pPr>
              <w:pStyle w:val="CSBody0"/>
              <w:rPr>
                <w:lang w:val="de-DE"/>
              </w:rPr>
            </w:pPr>
            <w:r w:rsidRPr="008D74A4">
              <w:rPr>
                <w:lang w:val="de-DE"/>
              </w:rPr>
              <w:t>Die Berechnungsstelle kann bei Eintritt eines Rechtsordnungsbezogenen Ereignisses (das in jeder Rechtsordnung eintreten kann, die nach Festlegung der Emittentin für die Komplexen Produkte massgeblich ist), etwaige an die Inhaber zahlbare Beträge herabsetzen, um den nachteiligen Auswirkungen dieses Rechtsordnungsbezogenen Ereignisses auf die Hedging-Vereinbarungen der Emittentin Rechnung zu tragen.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8D74A4" w:rsidRPr="00AB16EC" w:rsidP="008D74A4">
            <w:pPr>
              <w:pStyle w:val="CSbody0bolditalic"/>
              <w:rPr>
                <w:lang w:val="en-GB"/>
              </w:rPr>
            </w:pPr>
            <w:r w:rsidRPr="00F94B27">
              <w:rPr>
                <w:lang w:val="en-GB"/>
              </w:rPr>
              <w:t>[</w:t>
            </w:r>
            <w:r w:rsidRPr="00AB16EC">
              <w:rPr>
                <w:lang w:val="en-GB"/>
              </w:rPr>
              <w:t>in the case of Credit-Linked Complex Products with Auction Settlement or Credit-Linked Complex Products with Zero-Recovery feature linked to a Basket, insert:</w:t>
            </w:r>
          </w:p>
        </w:tc>
        <w:tc>
          <w:tcPr>
            <w:tcW w:w="2466" w:type="pct"/>
            <w:gridSpan w:val="14"/>
            <w:tcBorders>
              <w:left w:val="single" w:sz="4" w:space="0" w:color="auto"/>
            </w:tcBorders>
          </w:tcPr>
          <w:p w:rsidR="008D74A4" w:rsidRPr="008D74A4" w:rsidP="008D74A4">
            <w:pPr>
              <w:pStyle w:val="CSbody0bolditalic"/>
            </w:pPr>
            <w:r w:rsidRPr="00F94B27">
              <w:t>[</w:t>
            </w:r>
            <w:r w:rsidRPr="008D74A4">
              <w:t>bei Kreditbezogenen Komplexen Produkten mit Auktionsabwicklung oder Kreditbezogenen Komplexen Produkten mit Zero-Recovery-Merkmal, die an einen Korb gekoppelt sind, einfügen:</w:t>
            </w:r>
          </w:p>
        </w:tc>
      </w:tr>
      <w:tr w:rsidTr="00942F00">
        <w:tblPrEx>
          <w:tblW w:w="5000" w:type="pct"/>
          <w:tblLayout w:type="fixed"/>
          <w:tblLook w:val="04A0"/>
        </w:tblPrEx>
        <w:tc>
          <w:tcPr>
            <w:tcW w:w="2534" w:type="pct"/>
            <w:gridSpan w:val="14"/>
            <w:tcBorders>
              <w:right w:val="single" w:sz="4" w:space="0" w:color="auto"/>
            </w:tcBorders>
          </w:tcPr>
          <w:p w:rsidR="008D74A4" w:rsidRPr="00AB16EC" w:rsidP="008D74A4">
            <w:pPr>
              <w:pStyle w:val="CSbody0bold"/>
              <w:rPr>
                <w:lang w:val="en-GB"/>
              </w:rPr>
            </w:pPr>
            <w:r w:rsidRPr="00AB16EC">
              <w:rPr>
                <w:lang w:val="en-GB"/>
              </w:rPr>
              <w:t>Adjustments in connection with the determination of a Credit Event Determination Date</w:t>
            </w:r>
          </w:p>
        </w:tc>
        <w:tc>
          <w:tcPr>
            <w:tcW w:w="2466" w:type="pct"/>
            <w:gridSpan w:val="14"/>
            <w:tcBorders>
              <w:left w:val="single" w:sz="4" w:space="0" w:color="auto"/>
            </w:tcBorders>
          </w:tcPr>
          <w:p w:rsidR="008D74A4" w:rsidRPr="008D74A4" w:rsidP="008D74A4">
            <w:pPr>
              <w:pStyle w:val="CSbody0bold"/>
            </w:pPr>
            <w:r w:rsidRPr="008D74A4">
              <w:t>Anpassungen im Zusammenhang mit der Feststellung eines Kreditereignis-Feststellungstags</w:t>
            </w:r>
          </w:p>
        </w:tc>
      </w:tr>
      <w:tr w:rsidTr="00942F00">
        <w:tblPrEx>
          <w:tblW w:w="5000" w:type="pct"/>
          <w:tblLayout w:type="fixed"/>
          <w:tblLook w:val="04A0"/>
        </w:tblPrEx>
        <w:tc>
          <w:tcPr>
            <w:tcW w:w="2534" w:type="pct"/>
            <w:gridSpan w:val="14"/>
            <w:tcBorders>
              <w:right w:val="single" w:sz="4" w:space="0" w:color="auto"/>
            </w:tcBorders>
          </w:tcPr>
          <w:p w:rsidR="008D74A4" w:rsidRPr="0096126E">
            <w:pPr>
              <w:pStyle w:val="CSBody0"/>
            </w:pPr>
            <w:r w:rsidRPr="0096126E">
              <w:t>No Credit Event Determination Date will occur with respect to an event, and any Credit Event Determination Date previously determined</w:t>
            </w:r>
            <w:r w:rsidR="00E837F0">
              <w:t xml:space="preserve"> to have occurred</w:t>
            </w:r>
            <w:r w:rsidRPr="0096126E">
              <w:t xml:space="preserve"> with respect to an event shall be deemed not to have occurred, if prior to the earliest of the </w:t>
            </w:r>
            <w:r w:rsidR="002130C4">
              <w:t xml:space="preserve">following days </w:t>
            </w:r>
            <w:r w:rsidRPr="0096126E">
              <w:t>a DC No Credit Event Announcement occurs with respect to such event</w:t>
            </w:r>
            <w:r w:rsidR="002130C4">
              <w:t>:</w:t>
            </w:r>
            <w:r w:rsidRPr="0096126E" w:rsidR="002130C4">
              <w:t xml:space="preserve"> </w:t>
            </w:r>
            <w:r w:rsidR="002130C4">
              <w:t xml:space="preserve">(i) the </w:t>
            </w:r>
            <w:r w:rsidRPr="0096126E" w:rsidR="002130C4">
              <w:t xml:space="preserve">Auction Final Price Determination Date, </w:t>
            </w:r>
            <w:r w:rsidR="002130C4">
              <w:t xml:space="preserve">(ii) </w:t>
            </w:r>
            <w:r w:rsidRPr="0096126E" w:rsidR="002130C4">
              <w:t xml:space="preserve">the date of determination of the Final Price, </w:t>
            </w:r>
            <w:r w:rsidR="002130C4">
              <w:t xml:space="preserve">(iii) </w:t>
            </w:r>
            <w:r w:rsidRPr="0096126E" w:rsidR="002130C4">
              <w:t xml:space="preserve">a Valuation Date, and </w:t>
            </w:r>
            <w:r w:rsidR="002130C4">
              <w:t xml:space="preserve">(iv) </w:t>
            </w:r>
            <w:r w:rsidRPr="0096126E" w:rsidR="002130C4">
              <w:t>the date of redemption of the Complex Products</w:t>
            </w:r>
            <w:r w:rsidRPr="0096126E">
              <w:t>.</w:t>
            </w:r>
          </w:p>
        </w:tc>
        <w:tc>
          <w:tcPr>
            <w:tcW w:w="2466" w:type="pct"/>
            <w:gridSpan w:val="14"/>
            <w:tcBorders>
              <w:left w:val="single" w:sz="4" w:space="0" w:color="auto"/>
            </w:tcBorders>
          </w:tcPr>
          <w:p w:rsidR="008D74A4" w:rsidRPr="008D74A4">
            <w:pPr>
              <w:pStyle w:val="CSBody0"/>
              <w:rPr>
                <w:lang w:val="de-DE"/>
              </w:rPr>
            </w:pPr>
            <w:r w:rsidRPr="008D74A4">
              <w:rPr>
                <w:lang w:val="de-DE"/>
              </w:rPr>
              <w:t xml:space="preserve">Kein Kreditereignis-Feststellungstag tritt im Hinblick auf ein Ereignis ein und ein zuvor im Hinblick auf ein Ereignis </w:t>
            </w:r>
            <w:r w:rsidR="00E837F0">
              <w:rPr>
                <w:lang w:val="de-DE"/>
              </w:rPr>
              <w:t xml:space="preserve">als eingetreten </w:t>
            </w:r>
            <w:r w:rsidRPr="008D74A4">
              <w:rPr>
                <w:lang w:val="de-DE"/>
              </w:rPr>
              <w:t xml:space="preserve">festgestellter Kreditereignis-Feststellungstag gilt als nicht eingetreten, sofern vor dem frühesten </w:t>
            </w:r>
            <w:r w:rsidR="002130C4">
              <w:rPr>
                <w:lang w:val="de-DE"/>
              </w:rPr>
              <w:t xml:space="preserve">der folgenden Tage </w:t>
            </w:r>
            <w:r w:rsidRPr="008D74A4">
              <w:rPr>
                <w:lang w:val="de-DE"/>
              </w:rPr>
              <w:t>im Hinblick auf dieses Ereignis eine Bekanntgabe des Nichtvorliegens eines Kreditereignisses erfolgt ist</w:t>
            </w:r>
            <w:r w:rsidR="002130C4">
              <w:rPr>
                <w:lang w:val="de-DE"/>
              </w:rPr>
              <w:t xml:space="preserve">: (i) </w:t>
            </w:r>
            <w:r w:rsidRPr="008D74A4" w:rsidR="002130C4">
              <w:rPr>
                <w:lang w:val="de-DE"/>
              </w:rPr>
              <w:t>dem Feststellungstag für den Auktions-Endpreis,</w:t>
            </w:r>
            <w:r w:rsidR="002130C4">
              <w:rPr>
                <w:lang w:val="de-DE"/>
              </w:rPr>
              <w:t xml:space="preserve"> (ii) </w:t>
            </w:r>
            <w:r w:rsidRPr="008D74A4" w:rsidR="002130C4">
              <w:rPr>
                <w:lang w:val="de-DE"/>
              </w:rPr>
              <w:t>dem Tag der Feststellung des Endpreises,</w:t>
            </w:r>
            <w:r w:rsidR="002130C4">
              <w:rPr>
                <w:lang w:val="de-DE"/>
              </w:rPr>
              <w:t xml:space="preserve"> (iii) </w:t>
            </w:r>
            <w:r w:rsidRPr="008D74A4" w:rsidR="002130C4">
              <w:rPr>
                <w:lang w:val="de-DE"/>
              </w:rPr>
              <w:t xml:space="preserve">einem Bewertungstag bzw. </w:t>
            </w:r>
            <w:r w:rsidR="002130C4">
              <w:rPr>
                <w:lang w:val="de-DE"/>
              </w:rPr>
              <w:t xml:space="preserve">(iv) </w:t>
            </w:r>
            <w:r w:rsidRPr="008D74A4" w:rsidR="002130C4">
              <w:rPr>
                <w:lang w:val="de-DE"/>
              </w:rPr>
              <w:t>dem Tag der Rückzahlung der Komplexen Produkte</w:t>
            </w:r>
            <w:r w:rsidRPr="008D74A4">
              <w:rPr>
                <w:lang w:val="de-DE"/>
              </w:rPr>
              <w:t>.</w:t>
            </w:r>
          </w:p>
        </w:tc>
      </w:tr>
      <w:tr w:rsidTr="0070669C">
        <w:tblPrEx>
          <w:tblW w:w="5000" w:type="pct"/>
          <w:tblLayout w:type="fixed"/>
          <w:tblLook w:val="04A0"/>
        </w:tblPrEx>
        <w:trPr>
          <w:trHeight w:val="4170"/>
        </w:trPr>
        <w:tc>
          <w:tcPr>
            <w:tcW w:w="2534" w:type="pct"/>
            <w:gridSpan w:val="14"/>
            <w:tcBorders>
              <w:right w:val="single" w:sz="4" w:space="0" w:color="auto"/>
            </w:tcBorders>
          </w:tcPr>
          <w:p w:rsidR="0070669C" w:rsidRPr="00D429D3" w:rsidP="00714D55">
            <w:pPr>
              <w:pStyle w:val="CSBody0"/>
            </w:pPr>
            <w:r w:rsidRPr="00D429D3">
              <w:t>If (i) following the determination of a Credit Event Determination Date</w:t>
            </w:r>
            <w:r>
              <w:t xml:space="preserve"> </w:t>
            </w:r>
            <w:r>
              <w:rPr>
                <w:b/>
              </w:rPr>
              <w:t>[</w:t>
            </w:r>
            <w:r>
              <w:t>in respect of a Reference Entity</w:t>
            </w:r>
            <w:r>
              <w:rPr>
                <w:b/>
              </w:rPr>
              <w:t>]</w:t>
            </w:r>
            <w:r w:rsidRPr="00D429D3">
              <w:t>, such Credit Event Determination Date is deemed (x) to have occurred on a date that is different from the date that was originally determined to be the date on which such Credit Event Determination Date occurred or (y) subject to the</w:t>
            </w:r>
            <w:r>
              <w:t xml:space="preserve"> provisions</w:t>
            </w:r>
            <w:r w:rsidR="00363D30">
              <w:t xml:space="preserve"> described</w:t>
            </w:r>
            <w:r>
              <w:t xml:space="preserve"> in the</w:t>
            </w:r>
            <w:r w:rsidRPr="00D429D3">
              <w:t xml:space="preserve"> previous paragraph, not to have occurred, or (ii) a Credit Event Determination Date</w:t>
            </w:r>
            <w:r>
              <w:t xml:space="preserve"> </w:t>
            </w:r>
            <w:r w:rsidRPr="0070669C">
              <w:rPr>
                <w:b/>
              </w:rPr>
              <w:t>[</w:t>
            </w:r>
            <w:r w:rsidRPr="0070669C">
              <w:t xml:space="preserve">in respect of </w:t>
            </w:r>
            <w:r w:rsidR="00E837F0">
              <w:t>a</w:t>
            </w:r>
            <w:r w:rsidRPr="0070669C" w:rsidR="00E837F0">
              <w:t xml:space="preserve"> </w:t>
            </w:r>
            <w:r w:rsidRPr="0070669C">
              <w:t>Reference Entity</w:t>
            </w:r>
            <w:r w:rsidRPr="0070669C">
              <w:rPr>
                <w:b/>
              </w:rPr>
              <w:t>]</w:t>
            </w:r>
            <w:r w:rsidRPr="00D429D3">
              <w:t xml:space="preserve"> is deemed to have occurred prior to a </w:t>
            </w:r>
            <w:r>
              <w:t>previous</w:t>
            </w:r>
            <w:r w:rsidRPr="00D429D3">
              <w:t xml:space="preserve"> Interest Payment Date,</w:t>
            </w:r>
            <w:r w:rsidR="00713788">
              <w:t xml:space="preserve"> </w:t>
            </w:r>
            <w:r w:rsidRPr="00D429D3">
              <w:t xml:space="preserve">the Calculation Agent will determine (A) such adjustments to the Terms and Conditions of the Complex Products (including any adjustment to payments under the Terms and Conditions) as may be required to put Holders, as far as </w:t>
            </w:r>
            <w:r>
              <w:t>possible</w:t>
            </w:r>
            <w:r w:rsidRPr="00D429D3">
              <w:t xml:space="preserve">, into the </w:t>
            </w:r>
            <w:r w:rsidR="00E837F0">
              <w:t xml:space="preserve">same </w:t>
            </w:r>
            <w:r w:rsidRPr="00D429D3">
              <w:t>position</w:t>
            </w:r>
            <w:r w:rsidR="00E837F0">
              <w:t xml:space="preserve"> they would have been in</w:t>
            </w:r>
            <w:r w:rsidRPr="00D429D3">
              <w:t xml:space="preserve"> if the Credit Event Determination Date had occurred on the subsequently corrected date from the outset and (B) the </w:t>
            </w:r>
            <w:r>
              <w:t>time</w:t>
            </w:r>
            <w:r w:rsidRPr="00D429D3">
              <w:t xml:space="preserve"> </w:t>
            </w:r>
            <w:r>
              <w:t>at which</w:t>
            </w:r>
            <w:r w:rsidRPr="00D429D3">
              <w:t xml:space="preserve"> such adjustments</w:t>
            </w:r>
            <w:r>
              <w:t xml:space="preserve"> become effective</w:t>
            </w:r>
            <w:r w:rsidRPr="00D429D3">
              <w:t>.</w:t>
            </w:r>
          </w:p>
        </w:tc>
        <w:tc>
          <w:tcPr>
            <w:tcW w:w="2466" w:type="pct"/>
            <w:gridSpan w:val="14"/>
            <w:tcBorders>
              <w:left w:val="single" w:sz="4" w:space="0" w:color="auto"/>
            </w:tcBorders>
          </w:tcPr>
          <w:p w:rsidR="0070669C" w:rsidRPr="008D74A4" w:rsidP="00363D30">
            <w:pPr>
              <w:pStyle w:val="CSBody0"/>
              <w:rPr>
                <w:lang w:val="de-DE"/>
              </w:rPr>
            </w:pPr>
            <w:r w:rsidRPr="008D74A4">
              <w:rPr>
                <w:lang w:val="de-DE"/>
              </w:rPr>
              <w:t xml:space="preserve">Falls (i) nach der Feststellung eines Kreditereignis-Feststellungstags </w:t>
            </w:r>
            <w:r>
              <w:rPr>
                <w:b/>
                <w:lang w:val="de-DE"/>
              </w:rPr>
              <w:t>[</w:t>
            </w:r>
            <w:r>
              <w:rPr>
                <w:lang w:val="de-DE"/>
              </w:rPr>
              <w:t>in Bezug auf einen Referenzschuldner</w:t>
            </w:r>
            <w:r>
              <w:rPr>
                <w:b/>
                <w:lang w:val="de-DE"/>
              </w:rPr>
              <w:t>]</w:t>
            </w:r>
            <w:r>
              <w:rPr>
                <w:lang w:val="de-DE"/>
              </w:rPr>
              <w:t xml:space="preserve"> </w:t>
            </w:r>
            <w:r w:rsidRPr="008D74A4">
              <w:rPr>
                <w:lang w:val="de-DE"/>
              </w:rPr>
              <w:t xml:space="preserve">dieser Kreditereignis-Feststellungstag (x) als an einem Tag eingetreten gilt, der von dem ursprünglich als Kreditereignis-Feststellungstag festgestellten Tag abweicht, oder (y) vorbehaltlich </w:t>
            </w:r>
            <w:r>
              <w:rPr>
                <w:lang w:val="de-DE"/>
              </w:rPr>
              <w:t xml:space="preserve">der </w:t>
            </w:r>
            <w:r w:rsidR="00363D30">
              <w:rPr>
                <w:lang w:val="de-DE"/>
              </w:rPr>
              <w:t xml:space="preserve">im </w:t>
            </w:r>
            <w:r w:rsidRPr="008D74A4" w:rsidR="00363D30">
              <w:rPr>
                <w:lang w:val="de-DE"/>
              </w:rPr>
              <w:t xml:space="preserve">vorstehenden Absatz </w:t>
            </w:r>
            <w:r w:rsidR="00363D30">
              <w:rPr>
                <w:lang w:val="de-DE"/>
              </w:rPr>
              <w:t xml:space="preserve">beschriebenen </w:t>
            </w:r>
            <w:r>
              <w:rPr>
                <w:lang w:val="de-DE"/>
              </w:rPr>
              <w:t xml:space="preserve">Regelungen </w:t>
            </w:r>
            <w:r w:rsidRPr="008D74A4">
              <w:rPr>
                <w:lang w:val="de-DE"/>
              </w:rPr>
              <w:t xml:space="preserve">als nicht eingetreten gilt oder (ii) ein Kreditereignis-Feststellungstag </w:t>
            </w:r>
            <w:r w:rsidRPr="0070669C">
              <w:rPr>
                <w:b/>
                <w:lang w:val="de-DE"/>
              </w:rPr>
              <w:t>[</w:t>
            </w:r>
            <w:r w:rsidRPr="0070669C">
              <w:rPr>
                <w:lang w:val="de-DE"/>
              </w:rPr>
              <w:t xml:space="preserve">in Bezug auf </w:t>
            </w:r>
            <w:r w:rsidR="00E837F0">
              <w:rPr>
                <w:lang w:val="de-DE"/>
              </w:rPr>
              <w:t>einen</w:t>
            </w:r>
            <w:r w:rsidRPr="0070669C" w:rsidR="00E837F0">
              <w:rPr>
                <w:lang w:val="de-DE"/>
              </w:rPr>
              <w:t xml:space="preserve"> </w:t>
            </w:r>
            <w:r w:rsidRPr="0070669C">
              <w:rPr>
                <w:lang w:val="de-DE"/>
              </w:rPr>
              <w:t>Referenzschuldner</w:t>
            </w:r>
            <w:r w:rsidRPr="0070669C">
              <w:rPr>
                <w:b/>
                <w:lang w:val="de-DE"/>
              </w:rPr>
              <w:t>]</w:t>
            </w:r>
            <w:r w:rsidRPr="0070669C">
              <w:rPr>
                <w:lang w:val="de-DE"/>
              </w:rPr>
              <w:t xml:space="preserve"> </w:t>
            </w:r>
            <w:r w:rsidRPr="008D74A4">
              <w:rPr>
                <w:lang w:val="de-DE"/>
              </w:rPr>
              <w:t xml:space="preserve">als vor einem </w:t>
            </w:r>
            <w:r>
              <w:rPr>
                <w:lang w:val="de-DE"/>
              </w:rPr>
              <w:t>früheren</w:t>
            </w:r>
            <w:r w:rsidRPr="008D74A4">
              <w:rPr>
                <w:lang w:val="de-DE"/>
              </w:rPr>
              <w:t xml:space="preserve"> Zinszahlungstag eingetreten gilt,</w:t>
            </w:r>
            <w:r w:rsidR="00713788">
              <w:rPr>
                <w:lang w:val="de-DE"/>
              </w:rPr>
              <w:t xml:space="preserve"> </w:t>
            </w:r>
            <w:r w:rsidRPr="008D74A4">
              <w:rPr>
                <w:lang w:val="de-DE"/>
              </w:rPr>
              <w:t xml:space="preserve">bestimmt die Berechnungsstelle (A) solche Anpassungen der Emissionsbedingungen der Komplexen Produkte (einschliesslich der Anpassung von Zahlungen unter </w:t>
            </w:r>
            <w:r>
              <w:rPr>
                <w:lang w:val="de-DE"/>
              </w:rPr>
              <w:t>den</w:t>
            </w:r>
            <w:r w:rsidRPr="008D74A4">
              <w:rPr>
                <w:lang w:val="de-DE"/>
              </w:rPr>
              <w:t xml:space="preserve"> Emissionsbedingungen), die notwendig sind, um die Inhaber </w:t>
            </w:r>
            <w:r>
              <w:rPr>
                <w:lang w:val="de-DE"/>
              </w:rPr>
              <w:t>so weit wie möglich</w:t>
            </w:r>
            <w:r w:rsidRPr="008D74A4">
              <w:rPr>
                <w:lang w:val="de-DE"/>
              </w:rPr>
              <w:t xml:space="preserve"> </w:t>
            </w:r>
            <w:r w:rsidR="009C405B">
              <w:rPr>
                <w:lang w:val="de-DE"/>
              </w:rPr>
              <w:t>in dieselbe Lage zu versetzen</w:t>
            </w:r>
            <w:r w:rsidRPr="008D74A4">
              <w:rPr>
                <w:lang w:val="de-DE"/>
              </w:rPr>
              <w:t xml:space="preserve">, </w:t>
            </w:r>
            <w:r w:rsidR="00987A35">
              <w:rPr>
                <w:lang w:val="de-DE"/>
              </w:rPr>
              <w:t>in der sie gewesen wären, wenn</w:t>
            </w:r>
            <w:r w:rsidRPr="008D74A4">
              <w:rPr>
                <w:lang w:val="de-DE"/>
              </w:rPr>
              <w:t xml:space="preserve"> der Kreditereignis-Feststellungstag von Anfang an an dem nachträglich korrigierten Datum eingetreten wäre und (B) </w:t>
            </w:r>
            <w:r w:rsidR="00713788">
              <w:rPr>
                <w:lang w:val="de-DE"/>
              </w:rPr>
              <w:t xml:space="preserve">den Zeitpunkt, an dem diese </w:t>
            </w:r>
            <w:r w:rsidRPr="008D74A4">
              <w:rPr>
                <w:lang w:val="de-DE"/>
              </w:rPr>
              <w:t>Anpassungen</w:t>
            </w:r>
            <w:r w:rsidR="00713788">
              <w:rPr>
                <w:lang w:val="de-DE"/>
              </w:rPr>
              <w:t xml:space="preserve"> wirksam werden</w:t>
            </w:r>
            <w:r w:rsidRPr="008D74A4">
              <w:rPr>
                <w:lang w:val="de-DE"/>
              </w:rPr>
              <w:t>.</w:t>
            </w:r>
          </w:p>
        </w:tc>
      </w:tr>
      <w:tr w:rsidTr="00942F00">
        <w:tblPrEx>
          <w:tblW w:w="5000" w:type="pct"/>
          <w:tblLayout w:type="fixed"/>
          <w:tblLook w:val="04A0"/>
        </w:tblPrEx>
        <w:tc>
          <w:tcPr>
            <w:tcW w:w="2534" w:type="pct"/>
            <w:gridSpan w:val="14"/>
            <w:tcBorders>
              <w:right w:val="single" w:sz="4" w:space="0" w:color="auto"/>
            </w:tcBorders>
          </w:tcPr>
          <w:p w:rsidR="008D74A4" w:rsidRPr="00AB16EC" w:rsidP="008D74A4">
            <w:pPr>
              <w:pStyle w:val="CSbody0bold"/>
              <w:rPr>
                <w:lang w:val="en-GB"/>
              </w:rPr>
            </w:pPr>
            <w:r w:rsidRPr="00AB16EC">
              <w:rPr>
                <w:lang w:val="en-GB"/>
              </w:rPr>
              <w:t>Adjustments in connection with resolutions of the applicable Credit Derivatives Determinations Comittee</w:t>
            </w:r>
          </w:p>
        </w:tc>
        <w:tc>
          <w:tcPr>
            <w:tcW w:w="2466" w:type="pct"/>
            <w:gridSpan w:val="14"/>
            <w:tcBorders>
              <w:left w:val="single" w:sz="4" w:space="0" w:color="auto"/>
            </w:tcBorders>
          </w:tcPr>
          <w:p w:rsidR="008D74A4" w:rsidRPr="008D74A4" w:rsidP="008D74A4">
            <w:pPr>
              <w:pStyle w:val="CSbody0bold"/>
            </w:pPr>
            <w:r w:rsidRPr="008D74A4">
              <w:t>Anpassungen im Zusammenhang mit Beschlüssen des jeweiligen Kreditderivate-Feststellungsauschusses</w:t>
            </w:r>
          </w:p>
        </w:tc>
      </w:tr>
      <w:tr w:rsidTr="00942F00">
        <w:tblPrEx>
          <w:tblW w:w="5000" w:type="pct"/>
          <w:tblLayout w:type="fixed"/>
          <w:tblLook w:val="04A0"/>
        </w:tblPrEx>
        <w:tc>
          <w:tcPr>
            <w:tcW w:w="2534" w:type="pct"/>
            <w:gridSpan w:val="14"/>
            <w:tcBorders>
              <w:right w:val="single" w:sz="4" w:space="0" w:color="auto"/>
            </w:tcBorders>
          </w:tcPr>
          <w:p w:rsidR="008D74A4" w:rsidRPr="00D429D3" w:rsidP="008D74A4">
            <w:pPr>
              <w:pStyle w:val="CSBody0"/>
            </w:pPr>
            <w:r w:rsidRPr="00D429D3">
              <w:t xml:space="preserve">If following the publication of a resolution of the applicable Credit Derivatives Determinations Committee (a </w:t>
            </w:r>
            <w:r w:rsidRPr="008D74A4">
              <w:rPr>
                <w:b/>
              </w:rPr>
              <w:t>"Prior DC Resolution</w:t>
            </w:r>
            <w:r w:rsidRPr="008D74A4">
              <w:t>"</w:t>
            </w:r>
            <w:r w:rsidRPr="00D429D3">
              <w:t xml:space="preserve">), a further resolution by the applicable Credit Derivatives Determinations Committee is pulished which reverses all or part of the Prior DC Resolution or if any resolution of the applicable Credit Derivatives Determinations Committee reverses all or part of any determination previously made by the Calculation Agent (a </w:t>
            </w:r>
            <w:r>
              <w:t>"</w:t>
            </w:r>
            <w:r w:rsidRPr="008D74A4">
              <w:rPr>
                <w:b/>
              </w:rPr>
              <w:t>Prior Determination</w:t>
            </w:r>
            <w:r>
              <w:t>"</w:t>
            </w:r>
            <w:r w:rsidRPr="00D429D3">
              <w:t>), then subject to any limitations arising from actions already taken by the Issuer and/or the Calculation Agent to implement such Prior DC Resolution or Prior Determination, the Calculation Agent shall determine (i) such adjustment(s) to the Terms and Conditions of the Complex Products that are necessary to reflect the publication of such subsequent resolution of the applicable Credit Derivatives Determinations Committee and (ii) the effective date of such adjustment(s).</w:t>
            </w:r>
            <w:r w:rsidRPr="00F94B27" w:rsidR="00F94B27">
              <w:rPr>
                <w:b/>
              </w:rPr>
              <w:t>]</w:t>
            </w:r>
          </w:p>
        </w:tc>
        <w:tc>
          <w:tcPr>
            <w:tcW w:w="2466" w:type="pct"/>
            <w:gridSpan w:val="14"/>
            <w:tcBorders>
              <w:left w:val="single" w:sz="4" w:space="0" w:color="auto"/>
            </w:tcBorders>
          </w:tcPr>
          <w:p w:rsidR="008D74A4" w:rsidRPr="008D74A4" w:rsidP="008D74A4">
            <w:pPr>
              <w:pStyle w:val="CSBody0"/>
              <w:rPr>
                <w:lang w:val="de-DE"/>
              </w:rPr>
            </w:pPr>
            <w:r w:rsidRPr="008D74A4">
              <w:rPr>
                <w:lang w:val="de-DE"/>
              </w:rPr>
              <w:t xml:space="preserve">Wenn nach der Veröffentlichung eines Beschlusses des jeweiligen Kreditderivate-Feststellungsausschusses (ein </w:t>
            </w:r>
            <w:r>
              <w:rPr>
                <w:lang w:val="de-DE"/>
              </w:rPr>
              <w:t>"</w:t>
            </w:r>
            <w:r w:rsidRPr="008D74A4">
              <w:rPr>
                <w:b/>
                <w:lang w:val="de-DE"/>
              </w:rPr>
              <w:t>Früherer DC Beschluss</w:t>
            </w:r>
            <w:r>
              <w:rPr>
                <w:lang w:val="de-DE"/>
              </w:rPr>
              <w:t>"</w:t>
            </w:r>
            <w:r w:rsidRPr="008D74A4">
              <w:rPr>
                <w:lang w:val="de-DE"/>
              </w:rPr>
              <w:t xml:space="preserve">) ein weiterer Beschluss des jeweiligen Kreditderivate-Feststellungsausschusses veröffentlicht wird, der ganz oder teilweise den früheren DC Beschluss revidiert oder wenn ein Beschluss des jeweiligen Kreditderivate-Feststellungsausschusses eine zuvor getroffene Feststellung der Berechnungsstelle (eine </w:t>
            </w:r>
            <w:r w:rsidR="00A2011F">
              <w:rPr>
                <w:lang w:val="de-DE"/>
              </w:rPr>
              <w:t>"</w:t>
            </w:r>
            <w:r w:rsidRPr="00A2011F">
              <w:rPr>
                <w:b/>
                <w:lang w:val="de-DE"/>
              </w:rPr>
              <w:t>Frühere Feststellung</w:t>
            </w:r>
            <w:r w:rsidR="00A2011F">
              <w:rPr>
                <w:lang w:val="de-DE"/>
              </w:rPr>
              <w:t>"</w:t>
            </w:r>
            <w:r w:rsidRPr="008D74A4">
              <w:rPr>
                <w:lang w:val="de-DE"/>
              </w:rPr>
              <w:t>) ganz oder teilweise revidiert, ist die Berechnungsstelle – vorbehaltlich von Beschränkungen, die sich daraus ergeben, dass die Emittentin und/oder die Berechnungsstelle bereits Handlungen vorgenommen haben, um den Früheren DC Beschluss oder die Frühere Feststellung umzusetzen – berechtigt, (i) Anpassungen der Emissionsbedingungen der Komplexen Produkte zu bestimmen, die notwendig sind, um diesen nachträglichen Beschluss des jeweiligen Kreditderivate-Feststellungsausschusses umzusetzen und (ii) das Wirksamkeitsdatum der Anpassung(en) festzulegen.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A2011F" w:rsidRPr="00E13B10" w:rsidP="00A2011F">
            <w:pPr>
              <w:pStyle w:val="CSbody0bold"/>
            </w:pPr>
            <w:r w:rsidRPr="00E13B10">
              <w:t>Taxation</w:t>
            </w:r>
          </w:p>
        </w:tc>
        <w:tc>
          <w:tcPr>
            <w:tcW w:w="2466" w:type="pct"/>
            <w:gridSpan w:val="14"/>
            <w:tcBorders>
              <w:left w:val="single" w:sz="4" w:space="0" w:color="auto"/>
            </w:tcBorders>
          </w:tcPr>
          <w:p w:rsidR="00A2011F" w:rsidRPr="00E13B10" w:rsidP="00A2011F">
            <w:pPr>
              <w:pStyle w:val="CSbody0bold"/>
            </w:pPr>
            <w:r w:rsidRPr="00E13B10">
              <w:t>Besteuerung</w:t>
            </w:r>
          </w:p>
        </w:tc>
      </w:tr>
      <w:tr w:rsidTr="00942F00">
        <w:tblPrEx>
          <w:tblW w:w="5000" w:type="pct"/>
          <w:tblLayout w:type="fixed"/>
          <w:tblLook w:val="04A0"/>
        </w:tblPrEx>
        <w:tc>
          <w:tcPr>
            <w:tcW w:w="2534" w:type="pct"/>
            <w:gridSpan w:val="14"/>
            <w:tcBorders>
              <w:right w:val="single" w:sz="4" w:space="0" w:color="auto"/>
            </w:tcBorders>
          </w:tcPr>
          <w:p w:rsidR="00A2011F" w:rsidRPr="00E13B10" w:rsidP="00A2011F">
            <w:pPr>
              <w:pStyle w:val="CSBody0"/>
            </w:pPr>
            <w:r w:rsidRPr="00E13B10">
              <w:t>All payments in respect of Complex Products are subject to any applicable fiscal or other laws, regulations and directives.</w:t>
            </w:r>
          </w:p>
        </w:tc>
        <w:tc>
          <w:tcPr>
            <w:tcW w:w="2466" w:type="pct"/>
            <w:gridSpan w:val="14"/>
            <w:tcBorders>
              <w:left w:val="single" w:sz="4" w:space="0" w:color="auto"/>
            </w:tcBorders>
          </w:tcPr>
          <w:p w:rsidR="00A2011F" w:rsidRPr="00A2011F" w:rsidP="00A2011F">
            <w:pPr>
              <w:pStyle w:val="CSBody0"/>
              <w:rPr>
                <w:lang w:val="de-DE"/>
              </w:rPr>
            </w:pPr>
            <w:r w:rsidRPr="00A2011F">
              <w:rPr>
                <w:lang w:val="de-DE"/>
              </w:rPr>
              <w:t>Alle Zahlungen auf Komplexe Produkte unterliegen den geltenden steuerrechtlichen und sonstigen gesetzlichen Bestimmungen und Richtlinien.</w:t>
            </w:r>
          </w:p>
        </w:tc>
      </w:tr>
      <w:tr w:rsidTr="00942F00">
        <w:tblPrEx>
          <w:tblW w:w="5000" w:type="pct"/>
          <w:tblLayout w:type="fixed"/>
          <w:tblLook w:val="04A0"/>
        </w:tblPrEx>
        <w:tc>
          <w:tcPr>
            <w:tcW w:w="2534" w:type="pct"/>
            <w:gridSpan w:val="14"/>
            <w:tcBorders>
              <w:right w:val="single" w:sz="4" w:space="0" w:color="auto"/>
            </w:tcBorders>
          </w:tcPr>
          <w:p w:rsidR="00A2011F" w:rsidRPr="00E13B10" w:rsidP="00A2011F">
            <w:pPr>
              <w:pStyle w:val="CSBody0"/>
            </w:pPr>
            <w:r w:rsidRPr="00E13B10">
              <w:t>The tax treatment of Complex Products depends on the individual tax situation of the relevant investor and may be subject to change.</w:t>
            </w:r>
          </w:p>
        </w:tc>
        <w:tc>
          <w:tcPr>
            <w:tcW w:w="2466" w:type="pct"/>
            <w:gridSpan w:val="14"/>
            <w:tcBorders>
              <w:left w:val="single" w:sz="4" w:space="0" w:color="auto"/>
            </w:tcBorders>
          </w:tcPr>
          <w:p w:rsidR="00A2011F" w:rsidRPr="00A2011F" w:rsidP="00A2011F">
            <w:pPr>
              <w:pStyle w:val="CSBody0"/>
              <w:rPr>
                <w:lang w:val="de-DE"/>
              </w:rPr>
            </w:pPr>
            <w:r w:rsidRPr="00A2011F">
              <w:rPr>
                <w:lang w:val="de-DE"/>
              </w:rPr>
              <w:t>Die steuerliche Behandlung der Komplexen Produkte ist von der individuellen Steuersituation des jeweiligen Anlegers abhängig und kann Änderungen unterliegen.</w:t>
            </w:r>
          </w:p>
        </w:tc>
      </w:tr>
      <w:tr w:rsidTr="00942F00">
        <w:tblPrEx>
          <w:tblW w:w="5000" w:type="pct"/>
          <w:tblLayout w:type="fixed"/>
          <w:tblLook w:val="04A0"/>
        </w:tblPrEx>
        <w:tc>
          <w:tcPr>
            <w:tcW w:w="2534" w:type="pct"/>
            <w:gridSpan w:val="14"/>
            <w:tcBorders>
              <w:right w:val="single" w:sz="4" w:space="0" w:color="auto"/>
            </w:tcBorders>
          </w:tcPr>
          <w:p w:rsidR="00A2011F" w:rsidRPr="00E13B10" w:rsidP="00A2011F">
            <w:pPr>
              <w:pStyle w:val="CSBody0"/>
            </w:pPr>
            <w:r w:rsidRPr="00E13B10">
              <w:t>A potential investor in Complex Products should consult his or her legal and tax advisors on the tax implications of buying, holding and selling the Complex Products taking into account such investor's particular circumstances.</w:t>
            </w:r>
          </w:p>
        </w:tc>
        <w:tc>
          <w:tcPr>
            <w:tcW w:w="2466" w:type="pct"/>
            <w:gridSpan w:val="14"/>
            <w:tcBorders>
              <w:left w:val="single" w:sz="4" w:space="0" w:color="auto"/>
            </w:tcBorders>
          </w:tcPr>
          <w:p w:rsidR="00A2011F" w:rsidRPr="00A2011F" w:rsidP="00A2011F">
            <w:pPr>
              <w:pStyle w:val="CSBody0"/>
              <w:rPr>
                <w:lang w:val="de-DE"/>
              </w:rPr>
            </w:pPr>
            <w:r w:rsidRPr="00A2011F">
              <w:rPr>
                <w:lang w:val="de-DE"/>
              </w:rPr>
              <w:t>Potenzielle Anleger in Komplexe Produkte sollten sich von ihren Rechts- und Steuerberatern über die steuerlichen Folgen des Erwerbs, Besitzes und Verkaufs der Komplexen Produkte unter Berücksichtigung ihrer persönlichen Verhältnisse beraten lassen.</w:t>
            </w:r>
          </w:p>
        </w:tc>
      </w:tr>
      <w:tr w:rsidTr="00942F00">
        <w:tblPrEx>
          <w:tblW w:w="5000" w:type="pct"/>
          <w:tblLayout w:type="fixed"/>
          <w:tblLook w:val="04A0"/>
        </w:tblPrEx>
        <w:tc>
          <w:tcPr>
            <w:tcW w:w="2534" w:type="pct"/>
            <w:gridSpan w:val="14"/>
            <w:tcBorders>
              <w:right w:val="single" w:sz="4" w:space="0" w:color="auto"/>
            </w:tcBorders>
          </w:tcPr>
          <w:p w:rsidR="00A2011F" w:rsidRPr="00AB4318" w:rsidP="00A2011F">
            <w:pPr>
              <w:pStyle w:val="CSbody0bold"/>
            </w:pPr>
            <w:r w:rsidRPr="00AB4318">
              <w:t>Governing Law and Jurisdiction</w:t>
            </w:r>
          </w:p>
        </w:tc>
        <w:tc>
          <w:tcPr>
            <w:tcW w:w="2466" w:type="pct"/>
            <w:gridSpan w:val="14"/>
            <w:tcBorders>
              <w:left w:val="single" w:sz="4" w:space="0" w:color="auto"/>
            </w:tcBorders>
          </w:tcPr>
          <w:p w:rsidR="00A2011F" w:rsidRPr="00AB4318" w:rsidP="00A2011F">
            <w:pPr>
              <w:pStyle w:val="CSbody0bold"/>
            </w:pPr>
            <w:r w:rsidRPr="00AB4318">
              <w:t>Anwendbares Recht und Gerichtsstand</w:t>
            </w:r>
          </w:p>
        </w:tc>
      </w:tr>
      <w:tr w:rsidTr="00942F00">
        <w:tblPrEx>
          <w:tblW w:w="5000" w:type="pct"/>
          <w:tblLayout w:type="fixed"/>
          <w:tblLook w:val="04A0"/>
        </w:tblPrEx>
        <w:tc>
          <w:tcPr>
            <w:tcW w:w="2534" w:type="pct"/>
            <w:gridSpan w:val="14"/>
            <w:tcBorders>
              <w:right w:val="single" w:sz="4" w:space="0" w:color="auto"/>
            </w:tcBorders>
          </w:tcPr>
          <w:p w:rsidR="00A2011F" w:rsidRPr="00AB4318" w:rsidP="00A2011F">
            <w:pPr>
              <w:pStyle w:val="CSBody0"/>
            </w:pPr>
            <w:r w:rsidRPr="00AB4318">
              <w:t xml:space="preserve">Complex Products are governed by Swiss Law. The </w:t>
            </w:r>
            <w:r w:rsidRPr="00F94B27" w:rsidR="00F94B27">
              <w:rPr>
                <w:b/>
              </w:rPr>
              <w:t>[</w:t>
            </w:r>
            <w:r w:rsidRPr="00AB4318">
              <w:t>non-</w:t>
            </w:r>
            <w:r w:rsidRPr="00F94B27" w:rsidR="00F94B27">
              <w:rPr>
                <w:b/>
              </w:rPr>
              <w:t>]</w:t>
            </w:r>
            <w:r w:rsidRPr="00AB4318">
              <w:t xml:space="preserve"> exclusive place of jurisdiction for any legal proceedings arising under any Complex Product will be Zurich 1, Switzerland.</w:t>
            </w:r>
          </w:p>
        </w:tc>
        <w:tc>
          <w:tcPr>
            <w:tcW w:w="2466" w:type="pct"/>
            <w:gridSpan w:val="14"/>
            <w:tcBorders>
              <w:left w:val="single" w:sz="4" w:space="0" w:color="auto"/>
            </w:tcBorders>
          </w:tcPr>
          <w:p w:rsidR="00A2011F" w:rsidRPr="00A2011F" w:rsidP="00A2011F">
            <w:pPr>
              <w:pStyle w:val="CSBody0"/>
              <w:rPr>
                <w:lang w:val="de-DE"/>
              </w:rPr>
            </w:pPr>
            <w:r w:rsidRPr="00A2011F">
              <w:rPr>
                <w:lang w:val="de-DE"/>
              </w:rPr>
              <w:t xml:space="preserve">Komplexe Produkte unterliegen Schweizer Recht. </w:t>
            </w:r>
            <w:r w:rsidRPr="00F94B27" w:rsidR="00F94B27">
              <w:rPr>
                <w:b/>
                <w:lang w:val="de-DE"/>
              </w:rPr>
              <w:t>[</w:t>
            </w:r>
            <w:r w:rsidRPr="00A2011F">
              <w:rPr>
                <w:lang w:val="de-DE"/>
              </w:rPr>
              <w:t>Nicht-</w:t>
            </w:r>
            <w:r w:rsidRPr="00F94B27" w:rsidR="00F94B27">
              <w:rPr>
                <w:b/>
                <w:lang w:val="de-DE"/>
              </w:rPr>
              <w:t>]</w:t>
            </w:r>
            <w:r w:rsidRPr="00A2011F">
              <w:rPr>
                <w:lang w:val="de-DE"/>
              </w:rPr>
              <w:t xml:space="preserve"> Ausschliesslicher Gerichtsstand für Verfahren, die sich aus einem Komplexen Produkt ergeben, ist Zürich 1, Schweiz.</w:t>
            </w:r>
          </w:p>
        </w:tc>
      </w:tr>
      <w:tr w:rsidTr="00942F00">
        <w:tblPrEx>
          <w:tblW w:w="5000" w:type="pct"/>
          <w:tblLayout w:type="fixed"/>
          <w:tblLook w:val="04A0"/>
        </w:tblPrEx>
        <w:tc>
          <w:tcPr>
            <w:tcW w:w="2534" w:type="pct"/>
            <w:gridSpan w:val="14"/>
            <w:tcBorders>
              <w:right w:val="single" w:sz="4" w:space="0" w:color="auto"/>
            </w:tcBorders>
          </w:tcPr>
          <w:p w:rsidR="00A2011F" w:rsidRPr="00A2011F" w:rsidP="00A2011F">
            <w:pPr>
              <w:pStyle w:val="CSbody0bold"/>
              <w:rPr>
                <w:lang w:val="en-GB"/>
              </w:rPr>
            </w:pPr>
            <w:r w:rsidRPr="00F94B27">
              <w:rPr>
                <w:lang w:val="en-GB"/>
              </w:rPr>
              <w:t>[</w:t>
            </w:r>
            <w:r w:rsidRPr="00A2011F">
              <w:rPr>
                <w:lang w:val="en-GB"/>
              </w:rPr>
              <w:t>C. 9: Interest/Redemption; Yield; Representative of the Debt Security Holders</w:t>
            </w:r>
            <w:r>
              <w:rPr>
                <w:rStyle w:val="FootnoteReference"/>
              </w:rPr>
              <w:footnoteReference w:id="2"/>
            </w:r>
          </w:p>
        </w:tc>
        <w:tc>
          <w:tcPr>
            <w:tcW w:w="2466" w:type="pct"/>
            <w:gridSpan w:val="14"/>
            <w:tcBorders>
              <w:left w:val="single" w:sz="4" w:space="0" w:color="auto"/>
            </w:tcBorders>
          </w:tcPr>
          <w:p w:rsidR="00A2011F" w:rsidRPr="00A2011F" w:rsidP="00A2011F">
            <w:pPr>
              <w:pStyle w:val="CSbody0bold"/>
            </w:pPr>
            <w:r w:rsidRPr="00F94B27">
              <w:t>[</w:t>
            </w:r>
            <w:r w:rsidRPr="00A2011F">
              <w:t>C. 9: Verzinsung/Rückzahlung; Rendite; V</w:t>
            </w:r>
            <w:r>
              <w:t>ertreter der Schuldtitelinhaber</w:t>
            </w:r>
            <w:r>
              <w:rPr>
                <w:rStyle w:val="FootnoteReference"/>
              </w:rPr>
              <w:footnoteReference w:id="3"/>
            </w:r>
          </w:p>
        </w:tc>
      </w:tr>
      <w:tr w:rsidTr="00942F00">
        <w:tblPrEx>
          <w:tblW w:w="5000" w:type="pct"/>
          <w:tblLayout w:type="fixed"/>
          <w:tblLook w:val="04A0"/>
        </w:tblPrEx>
        <w:tc>
          <w:tcPr>
            <w:tcW w:w="2534" w:type="pct"/>
            <w:gridSpan w:val="14"/>
            <w:tcBorders>
              <w:right w:val="single" w:sz="4" w:space="0" w:color="auto"/>
            </w:tcBorders>
          </w:tcPr>
          <w:p w:rsidR="00A2011F" w:rsidRPr="00AB4318" w:rsidP="00A2011F">
            <w:pPr>
              <w:pStyle w:val="CSBody0"/>
            </w:pPr>
            <w:r w:rsidRPr="00AB4318">
              <w:t>Interest Rate</w:t>
            </w:r>
          </w:p>
        </w:tc>
        <w:tc>
          <w:tcPr>
            <w:tcW w:w="2466" w:type="pct"/>
            <w:gridSpan w:val="14"/>
            <w:tcBorders>
              <w:left w:val="single" w:sz="4" w:space="0" w:color="auto"/>
            </w:tcBorders>
          </w:tcPr>
          <w:p w:rsidR="00A2011F" w:rsidRPr="00AB4318" w:rsidP="00A2011F">
            <w:pPr>
              <w:pStyle w:val="CSBody0"/>
            </w:pPr>
            <w:r w:rsidRPr="00AB4318">
              <w:t>Zinssatz</w:t>
            </w:r>
          </w:p>
        </w:tc>
      </w:tr>
      <w:tr w:rsidTr="00942F00">
        <w:tblPrEx>
          <w:tblW w:w="5000" w:type="pct"/>
          <w:tblLayout w:type="fixed"/>
          <w:tblLook w:val="04A0"/>
        </w:tblPrEx>
        <w:tc>
          <w:tcPr>
            <w:tcW w:w="2534" w:type="pct"/>
            <w:gridSpan w:val="14"/>
            <w:tcBorders>
              <w:right w:val="single" w:sz="4" w:space="0" w:color="auto"/>
            </w:tcBorders>
          </w:tcPr>
          <w:p w:rsidR="00A2011F" w:rsidRPr="00AB4318" w:rsidP="00A2011F">
            <w:pPr>
              <w:pStyle w:val="CSBody0"/>
            </w:pPr>
            <w:r w:rsidRPr="00AB4318">
              <w:t xml:space="preserve">The Complex Products provide for the payment of </w:t>
            </w:r>
            <w:r w:rsidRPr="00F94B27" w:rsidR="00F94B27">
              <w:rPr>
                <w:b/>
              </w:rPr>
              <w:t>[</w:t>
            </w:r>
            <w:r w:rsidRPr="00AB4318">
              <w:t>one</w:t>
            </w:r>
            <w:r w:rsidRPr="00F94B27" w:rsidR="00F94B27">
              <w:rPr>
                <w:b/>
              </w:rPr>
              <w:t>]</w:t>
            </w:r>
            <w:r w:rsidRPr="00AB4318">
              <w:t xml:space="preserve"> </w:t>
            </w:r>
            <w:r w:rsidRPr="00F94B27" w:rsidR="00F94B27">
              <w:rPr>
                <w:b/>
              </w:rPr>
              <w:t>[</w:t>
            </w:r>
            <w:r w:rsidRPr="00AB4318">
              <w:t>multiple</w:t>
            </w:r>
            <w:r w:rsidRPr="00F94B27" w:rsidR="00F94B27">
              <w:rPr>
                <w:b/>
              </w:rPr>
              <w:t>]</w:t>
            </w:r>
            <w:r w:rsidRPr="00AB4318">
              <w:t xml:space="preserve"> Interest Payment Amount</w:t>
            </w:r>
            <w:r w:rsidRPr="00F94B27" w:rsidR="00F94B27">
              <w:rPr>
                <w:b/>
              </w:rPr>
              <w:t>[</w:t>
            </w:r>
            <w:r w:rsidRPr="00AB4318">
              <w:t>s</w:t>
            </w:r>
            <w:r w:rsidRPr="00F94B27" w:rsidR="00F94B27">
              <w:rPr>
                <w:b/>
              </w:rPr>
              <w:t>]</w:t>
            </w:r>
            <w:r w:rsidRPr="00AB4318">
              <w:t xml:space="preserve"> on the </w:t>
            </w:r>
            <w:r w:rsidRPr="00F94B27" w:rsidR="00F94B27">
              <w:rPr>
                <w:b/>
              </w:rPr>
              <w:t>[</w:t>
            </w:r>
            <w:r w:rsidRPr="00AB4318">
              <w:t>relevant</w:t>
            </w:r>
            <w:r w:rsidRPr="00F94B27" w:rsidR="00F94B27">
              <w:rPr>
                <w:b/>
              </w:rPr>
              <w:t>]</w:t>
            </w:r>
            <w:r w:rsidRPr="00AB4318">
              <w:t xml:space="preserve"> Interest Payment Date</w:t>
            </w:r>
            <w:r w:rsidRPr="00F94B27" w:rsidR="00F94B27">
              <w:rPr>
                <w:b/>
              </w:rPr>
              <w:t>[</w:t>
            </w:r>
            <w:r w:rsidRPr="00AB4318">
              <w:t>s</w:t>
            </w:r>
            <w:r w:rsidRPr="00F94B27" w:rsidR="00F94B27">
              <w:rPr>
                <w:b/>
              </w:rPr>
              <w:t>]</w:t>
            </w:r>
            <w:r w:rsidRPr="00AB4318">
              <w:t xml:space="preserve">, which will be calculated on the basis of the </w:t>
            </w:r>
            <w:r w:rsidRPr="00F94B27" w:rsidR="00F94B27">
              <w:rPr>
                <w:b/>
              </w:rPr>
              <w:t>[</w:t>
            </w:r>
            <w:r w:rsidRPr="00AB4318">
              <w:t>relevant</w:t>
            </w:r>
            <w:r w:rsidRPr="00F94B27" w:rsidR="00F94B27">
              <w:rPr>
                <w:b/>
              </w:rPr>
              <w:t>]</w:t>
            </w:r>
            <w:r w:rsidRPr="00AB4318">
              <w:t xml:space="preserve"> Interest Rate.</w:t>
            </w:r>
          </w:p>
        </w:tc>
        <w:tc>
          <w:tcPr>
            <w:tcW w:w="2466" w:type="pct"/>
            <w:gridSpan w:val="14"/>
            <w:tcBorders>
              <w:left w:val="single" w:sz="4" w:space="0" w:color="auto"/>
            </w:tcBorders>
          </w:tcPr>
          <w:p w:rsidR="00A2011F" w:rsidRPr="00A2011F" w:rsidP="00A2011F">
            <w:pPr>
              <w:pStyle w:val="CSBody0"/>
              <w:rPr>
                <w:lang w:val="de-DE"/>
              </w:rPr>
            </w:pPr>
            <w:r w:rsidRPr="00A2011F">
              <w:rPr>
                <w:lang w:val="de-DE"/>
              </w:rPr>
              <w:t xml:space="preserve">Die Komplexen Produkte sehen die Zahlung </w:t>
            </w:r>
            <w:r w:rsidRPr="00F94B27" w:rsidR="00F94B27">
              <w:rPr>
                <w:b/>
                <w:lang w:val="de-DE"/>
              </w:rPr>
              <w:t>[</w:t>
            </w:r>
            <w:r w:rsidRPr="00A2011F">
              <w:rPr>
                <w:lang w:val="de-DE"/>
              </w:rPr>
              <w:t>eines Zinszahlungsbetrags</w:t>
            </w:r>
            <w:r w:rsidRPr="00F94B27" w:rsidR="00F94B27">
              <w:rPr>
                <w:b/>
                <w:lang w:val="de-DE"/>
              </w:rPr>
              <w:t>]</w:t>
            </w:r>
            <w:r w:rsidRPr="00A2011F">
              <w:rPr>
                <w:lang w:val="de-DE"/>
              </w:rPr>
              <w:t xml:space="preserve"> </w:t>
            </w:r>
            <w:r w:rsidRPr="00F94B27" w:rsidR="00F94B27">
              <w:rPr>
                <w:b/>
                <w:lang w:val="de-DE"/>
              </w:rPr>
              <w:t>[</w:t>
            </w:r>
            <w:r w:rsidRPr="00A2011F">
              <w:rPr>
                <w:lang w:val="de-DE"/>
              </w:rPr>
              <w:t>mehrerer Zinszahlungsbeträge</w:t>
            </w:r>
            <w:r w:rsidRPr="00F94B27" w:rsidR="00F94B27">
              <w:rPr>
                <w:b/>
                <w:lang w:val="de-DE"/>
              </w:rPr>
              <w:t>]</w:t>
            </w:r>
            <w:r w:rsidRPr="00A2011F">
              <w:rPr>
                <w:lang w:val="de-DE"/>
              </w:rPr>
              <w:t xml:space="preserve"> </w:t>
            </w:r>
            <w:r w:rsidRPr="00F94B27" w:rsidR="00F94B27">
              <w:rPr>
                <w:b/>
                <w:lang w:val="de-DE"/>
              </w:rPr>
              <w:t>[</w:t>
            </w:r>
            <w:r w:rsidRPr="00A2011F">
              <w:rPr>
                <w:lang w:val="de-DE"/>
              </w:rPr>
              <w:t>am jeweiligen Zinszahlungstag</w:t>
            </w:r>
            <w:r w:rsidRPr="00F94B27" w:rsidR="00F94B27">
              <w:rPr>
                <w:b/>
                <w:lang w:val="de-DE"/>
              </w:rPr>
              <w:t>]</w:t>
            </w:r>
            <w:r w:rsidRPr="00A2011F">
              <w:rPr>
                <w:lang w:val="de-DE"/>
              </w:rPr>
              <w:t xml:space="preserve"> </w:t>
            </w:r>
            <w:r w:rsidRPr="00F94B27" w:rsidR="00F94B27">
              <w:rPr>
                <w:b/>
                <w:lang w:val="de-DE"/>
              </w:rPr>
              <w:t>[</w:t>
            </w:r>
            <w:r w:rsidRPr="00A2011F">
              <w:rPr>
                <w:lang w:val="de-DE"/>
              </w:rPr>
              <w:t>an den jeweiligen Zinszahlungstagen</w:t>
            </w:r>
            <w:r w:rsidRPr="00F94B27" w:rsidR="00F94B27">
              <w:rPr>
                <w:b/>
                <w:lang w:val="de-DE"/>
              </w:rPr>
              <w:t>]</w:t>
            </w:r>
            <w:r w:rsidRPr="00A2011F">
              <w:rPr>
                <w:lang w:val="de-DE"/>
              </w:rPr>
              <w:t xml:space="preserve"> vor, </w:t>
            </w:r>
            <w:r w:rsidRPr="00F94B27" w:rsidR="00F94B27">
              <w:rPr>
                <w:b/>
                <w:lang w:val="de-DE"/>
              </w:rPr>
              <w:t>[</w:t>
            </w:r>
            <w:r w:rsidRPr="00A2011F">
              <w:rPr>
                <w:lang w:val="de-DE"/>
              </w:rPr>
              <w:t>der</w:t>
            </w:r>
            <w:r w:rsidRPr="00F94B27" w:rsidR="00F94B27">
              <w:rPr>
                <w:b/>
                <w:lang w:val="de-DE"/>
              </w:rPr>
              <w:t>][</w:t>
            </w:r>
            <w:r w:rsidRPr="00A2011F">
              <w:rPr>
                <w:lang w:val="de-DE"/>
              </w:rPr>
              <w:t>die</w:t>
            </w:r>
            <w:r w:rsidRPr="00F94B27" w:rsidR="00F94B27">
              <w:rPr>
                <w:b/>
                <w:lang w:val="de-DE"/>
              </w:rPr>
              <w:t>]</w:t>
            </w:r>
            <w:r w:rsidRPr="00A2011F">
              <w:rPr>
                <w:lang w:val="de-DE"/>
              </w:rPr>
              <w:t xml:space="preserve"> auf der Grundlage des </w:t>
            </w:r>
            <w:r w:rsidRPr="00F94B27" w:rsidR="00F94B27">
              <w:rPr>
                <w:b/>
                <w:lang w:val="de-DE"/>
              </w:rPr>
              <w:t>[</w:t>
            </w:r>
            <w:r w:rsidRPr="00A2011F">
              <w:rPr>
                <w:lang w:val="de-DE"/>
              </w:rPr>
              <w:t>jeweiligen</w:t>
            </w:r>
            <w:r w:rsidRPr="00F94B27" w:rsidR="00F94B27">
              <w:rPr>
                <w:b/>
                <w:lang w:val="de-DE"/>
              </w:rPr>
              <w:t>]</w:t>
            </w:r>
            <w:r w:rsidRPr="00A2011F">
              <w:rPr>
                <w:lang w:val="de-DE"/>
              </w:rPr>
              <w:t xml:space="preserve"> Zinssatzes berechnet </w:t>
            </w:r>
            <w:r w:rsidRPr="00F94B27" w:rsidR="00F94B27">
              <w:rPr>
                <w:b/>
                <w:lang w:val="de-DE"/>
              </w:rPr>
              <w:t>[</w:t>
            </w:r>
            <w:r w:rsidRPr="00A2011F">
              <w:rPr>
                <w:lang w:val="de-DE"/>
              </w:rPr>
              <w:t>werden</w:t>
            </w:r>
            <w:r w:rsidRPr="00F94B27" w:rsidR="00F94B27">
              <w:rPr>
                <w:b/>
                <w:lang w:val="de-DE"/>
              </w:rPr>
              <w:t>][</w:t>
            </w:r>
            <w:r w:rsidRPr="00A2011F">
              <w:rPr>
                <w:lang w:val="de-DE"/>
              </w:rPr>
              <w:t>wird</w:t>
            </w:r>
            <w:r w:rsidRPr="00F94B27" w:rsidR="00F94B27">
              <w:rPr>
                <w:b/>
                <w:lang w:val="de-DE"/>
              </w:rPr>
              <w:t>]</w:t>
            </w:r>
            <w:r w:rsidRPr="00A2011F">
              <w:rPr>
                <w:lang w:val="de-DE"/>
              </w:rPr>
              <w:t>.</w:t>
            </w:r>
          </w:p>
        </w:tc>
      </w:tr>
      <w:tr w:rsidTr="00942F00">
        <w:tblPrEx>
          <w:tblW w:w="5000" w:type="pct"/>
          <w:tblLayout w:type="fixed"/>
          <w:tblLook w:val="04A0"/>
        </w:tblPrEx>
        <w:tc>
          <w:tcPr>
            <w:tcW w:w="2534" w:type="pct"/>
            <w:gridSpan w:val="14"/>
            <w:tcBorders>
              <w:right w:val="single" w:sz="4" w:space="0" w:color="auto"/>
            </w:tcBorders>
          </w:tcPr>
          <w:p w:rsidR="00A2011F" w:rsidRPr="00A2011F" w:rsidP="00A2011F">
            <w:pPr>
              <w:pStyle w:val="CSbody0bolditalic"/>
              <w:rPr>
                <w:lang w:val="en-GB"/>
              </w:rPr>
            </w:pPr>
            <w:r w:rsidRPr="00F94B27">
              <w:rPr>
                <w:lang w:val="en-GB"/>
              </w:rPr>
              <w:t>[</w:t>
            </w:r>
            <w:r w:rsidRPr="00A2011F">
              <w:rPr>
                <w:lang w:val="en-GB"/>
              </w:rPr>
              <w:t>in case of Fixed Rate Notes:</w:t>
            </w:r>
          </w:p>
        </w:tc>
        <w:tc>
          <w:tcPr>
            <w:tcW w:w="2466" w:type="pct"/>
            <w:gridSpan w:val="14"/>
            <w:tcBorders>
              <w:left w:val="single" w:sz="4" w:space="0" w:color="auto"/>
            </w:tcBorders>
          </w:tcPr>
          <w:p w:rsidR="00A2011F" w:rsidRPr="00622D90" w:rsidP="00A2011F">
            <w:pPr>
              <w:pStyle w:val="CSbody0bolditalic"/>
            </w:pPr>
            <w:r w:rsidRPr="00F94B27">
              <w:t>[</w:t>
            </w:r>
            <w:r w:rsidRPr="00622D90">
              <w:t>bei Fixed Rate Notes:</w:t>
            </w:r>
          </w:p>
        </w:tc>
      </w:tr>
      <w:tr w:rsidTr="00942F00">
        <w:tblPrEx>
          <w:tblW w:w="5000" w:type="pct"/>
          <w:tblLayout w:type="fixed"/>
          <w:tblLook w:val="04A0"/>
        </w:tblPrEx>
        <w:tc>
          <w:tcPr>
            <w:tcW w:w="2534" w:type="pct"/>
            <w:gridSpan w:val="14"/>
            <w:tcBorders>
              <w:right w:val="single" w:sz="4" w:space="0" w:color="auto"/>
            </w:tcBorders>
          </w:tcPr>
          <w:p w:rsidR="00A2011F" w:rsidRPr="00622D90" w:rsidP="00A2011F">
            <w:pPr>
              <w:pStyle w:val="CSBody0"/>
            </w:pPr>
            <w:r w:rsidRPr="00622D90">
              <w:t>In the case of Fixed Rate Notes, the Interest Rate on the basis of which the Interest Payment Amount</w:t>
            </w:r>
            <w:r w:rsidRPr="00F94B27" w:rsidR="00F94B27">
              <w:rPr>
                <w:b/>
              </w:rPr>
              <w:t>[</w:t>
            </w:r>
            <w:r w:rsidRPr="00622D90">
              <w:t>s</w:t>
            </w:r>
            <w:r w:rsidRPr="00F94B27" w:rsidR="00F94B27">
              <w:rPr>
                <w:b/>
              </w:rPr>
              <w:t>]</w:t>
            </w:r>
            <w:r w:rsidRPr="00622D90">
              <w:t xml:space="preserve"> </w:t>
            </w:r>
            <w:r w:rsidRPr="00F94B27" w:rsidR="00F94B27">
              <w:rPr>
                <w:b/>
              </w:rPr>
              <w:t>[</w:t>
            </w:r>
            <w:r w:rsidRPr="00622D90">
              <w:t>is</w:t>
            </w:r>
            <w:r w:rsidRPr="00F94B27" w:rsidR="00F94B27">
              <w:rPr>
                <w:b/>
              </w:rPr>
              <w:t>][</w:t>
            </w:r>
            <w:r w:rsidRPr="00622D90">
              <w:t>are</w:t>
            </w:r>
            <w:r w:rsidRPr="00F94B27" w:rsidR="00F94B27">
              <w:rPr>
                <w:b/>
              </w:rPr>
              <w:t>]</w:t>
            </w:r>
            <w:r w:rsidRPr="00622D90">
              <w:t xml:space="preserve"> calculated will be equal to a fixed rate per annum. Therefore, the potential return on a Fixed Rate Note is limited to the positive difference between (i) the amount of the Interest Payment Amount</w:t>
            </w:r>
            <w:r w:rsidRPr="00F94B27" w:rsidR="00F94B27">
              <w:rPr>
                <w:b/>
              </w:rPr>
              <w:t>[</w:t>
            </w:r>
            <w:r w:rsidRPr="00622D90">
              <w:t>s</w:t>
            </w:r>
            <w:r w:rsidRPr="00F94B27" w:rsidR="00F94B27">
              <w:rPr>
                <w:b/>
              </w:rPr>
              <w:t>]</w:t>
            </w:r>
            <w:r w:rsidRPr="00622D90">
              <w:t>, plus the Final Redemption Amount, and (ii) the Issue Price (or, if different, the price the relevant investor paid for such Fixed Rate Note).</w:t>
            </w:r>
            <w:r w:rsidRPr="00F94B27" w:rsidR="00F94B27">
              <w:rPr>
                <w:b/>
              </w:rPr>
              <w:t>]</w:t>
            </w:r>
          </w:p>
        </w:tc>
        <w:tc>
          <w:tcPr>
            <w:tcW w:w="2466" w:type="pct"/>
            <w:gridSpan w:val="14"/>
            <w:tcBorders>
              <w:left w:val="single" w:sz="4" w:space="0" w:color="auto"/>
            </w:tcBorders>
          </w:tcPr>
          <w:p w:rsidR="00A2011F" w:rsidRPr="00A2011F" w:rsidP="00A2011F">
            <w:pPr>
              <w:pStyle w:val="CSBody0"/>
              <w:rPr>
                <w:lang w:val="de-DE"/>
              </w:rPr>
            </w:pPr>
            <w:r w:rsidRPr="00A2011F">
              <w:rPr>
                <w:lang w:val="de-DE"/>
              </w:rPr>
              <w:t xml:space="preserve">Bei Fixed Rate Notes entspricht der Zinssatz, auf dessen Grundlage </w:t>
            </w:r>
            <w:r w:rsidRPr="00F94B27" w:rsidR="00F94B27">
              <w:rPr>
                <w:b/>
                <w:lang w:val="de-DE"/>
              </w:rPr>
              <w:t>[</w:t>
            </w:r>
            <w:r w:rsidRPr="00A2011F">
              <w:rPr>
                <w:lang w:val="de-DE"/>
              </w:rPr>
              <w:t>der Zinszahlungsbetrag</w:t>
            </w:r>
            <w:r w:rsidRPr="00F94B27" w:rsidR="00F94B27">
              <w:rPr>
                <w:b/>
                <w:lang w:val="de-DE"/>
              </w:rPr>
              <w:t>]</w:t>
            </w:r>
            <w:r w:rsidRPr="00A2011F">
              <w:rPr>
                <w:lang w:val="de-DE"/>
              </w:rPr>
              <w:t xml:space="preserve"> </w:t>
            </w:r>
            <w:r w:rsidRPr="00F94B27" w:rsidR="00F94B27">
              <w:rPr>
                <w:b/>
                <w:lang w:val="de-DE"/>
              </w:rPr>
              <w:t>[</w:t>
            </w:r>
            <w:r w:rsidRPr="00A2011F">
              <w:rPr>
                <w:lang w:val="de-DE"/>
              </w:rPr>
              <w:t>die Zinszahlungsbeträge</w:t>
            </w:r>
            <w:r w:rsidRPr="00F94B27" w:rsidR="00F94B27">
              <w:rPr>
                <w:b/>
                <w:lang w:val="de-DE"/>
              </w:rPr>
              <w:t>]</w:t>
            </w:r>
            <w:r w:rsidRPr="00A2011F">
              <w:rPr>
                <w:lang w:val="de-DE"/>
              </w:rPr>
              <w:t xml:space="preserve"> berechnet </w:t>
            </w:r>
            <w:r w:rsidRPr="00F94B27" w:rsidR="00F94B27">
              <w:rPr>
                <w:b/>
                <w:lang w:val="de-DE"/>
              </w:rPr>
              <w:t>[</w:t>
            </w:r>
            <w:r w:rsidRPr="00A2011F">
              <w:rPr>
                <w:lang w:val="de-DE"/>
              </w:rPr>
              <w:t>wird</w:t>
            </w:r>
            <w:r w:rsidRPr="00F94B27" w:rsidR="00F94B27">
              <w:rPr>
                <w:b/>
                <w:lang w:val="de-DE"/>
              </w:rPr>
              <w:t>][</w:t>
            </w:r>
            <w:r w:rsidRPr="00A2011F">
              <w:rPr>
                <w:lang w:val="de-DE"/>
              </w:rPr>
              <w:t>werden</w:t>
            </w:r>
            <w:r w:rsidRPr="00F94B27" w:rsidR="00F94B27">
              <w:rPr>
                <w:b/>
                <w:lang w:val="de-DE"/>
              </w:rPr>
              <w:t>]</w:t>
            </w:r>
            <w:r w:rsidRPr="00A2011F">
              <w:rPr>
                <w:lang w:val="de-DE"/>
              </w:rPr>
              <w:t xml:space="preserve">, einem Festsatz per annum. Die potenzielle Rendite auf eine Fixed Rate Note ist somit auf die positive Differenz aus (i) dem Betrag </w:t>
            </w:r>
            <w:r w:rsidRPr="00F94B27" w:rsidR="00F94B27">
              <w:rPr>
                <w:b/>
                <w:lang w:val="de-DE"/>
              </w:rPr>
              <w:t>[</w:t>
            </w:r>
            <w:r w:rsidRPr="00A2011F">
              <w:rPr>
                <w:lang w:val="de-DE"/>
              </w:rPr>
              <w:t>des Zinszahlungsbetrags</w:t>
            </w:r>
            <w:r w:rsidRPr="00F94B27" w:rsidR="00F94B27">
              <w:rPr>
                <w:b/>
                <w:lang w:val="de-DE"/>
              </w:rPr>
              <w:t>]</w:t>
            </w:r>
            <w:r w:rsidRPr="00A2011F">
              <w:rPr>
                <w:lang w:val="de-DE"/>
              </w:rPr>
              <w:t xml:space="preserve"> </w:t>
            </w:r>
            <w:r w:rsidRPr="00F94B27" w:rsidR="00F94B27">
              <w:rPr>
                <w:b/>
                <w:lang w:val="de-DE"/>
              </w:rPr>
              <w:t>[</w:t>
            </w:r>
            <w:r w:rsidRPr="00A2011F">
              <w:rPr>
                <w:lang w:val="de-DE"/>
              </w:rPr>
              <w:t>der Zinszahlungsbeträge</w:t>
            </w:r>
            <w:r w:rsidRPr="00F94B27" w:rsidR="00F94B27">
              <w:rPr>
                <w:b/>
                <w:lang w:val="de-DE"/>
              </w:rPr>
              <w:t>]</w:t>
            </w:r>
            <w:r w:rsidRPr="00A2011F">
              <w:rPr>
                <w:lang w:val="de-DE"/>
              </w:rPr>
              <w:t xml:space="preserve"> zuzüglich des Finalen Rückzahlungsbetrags, und (ii) dem Emissionspreis (oder, falls abweichend, dem von dem jeweiligen Anleger für diese Fixed Rate Note gezahlten Preis) beschränkt.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CE7E24" w:rsidRPr="00CE7E24" w:rsidP="00CE7E24">
            <w:pPr>
              <w:pStyle w:val="CSbody0bolditalic"/>
              <w:rPr>
                <w:lang w:val="en-GB"/>
              </w:rPr>
            </w:pPr>
            <w:r w:rsidRPr="00F94B27">
              <w:rPr>
                <w:lang w:val="en-GB"/>
              </w:rPr>
              <w:t>[</w:t>
            </w:r>
            <w:r w:rsidRPr="00CE7E24">
              <w:rPr>
                <w:lang w:val="en-GB"/>
              </w:rPr>
              <w:t>in case of Step Up Notes:</w:t>
            </w:r>
          </w:p>
        </w:tc>
        <w:tc>
          <w:tcPr>
            <w:tcW w:w="2466" w:type="pct"/>
            <w:gridSpan w:val="14"/>
            <w:tcBorders>
              <w:left w:val="single" w:sz="4" w:space="0" w:color="auto"/>
            </w:tcBorders>
          </w:tcPr>
          <w:p w:rsidR="00CE7E24" w:rsidRPr="00630C60" w:rsidP="00CE7E24">
            <w:pPr>
              <w:pStyle w:val="CSbody0bolditalic"/>
            </w:pPr>
            <w:r w:rsidRPr="00F94B27">
              <w:t>[</w:t>
            </w:r>
            <w:r w:rsidRPr="00630C60">
              <w:t>bei Step Up Notes:</w:t>
            </w:r>
          </w:p>
        </w:tc>
      </w:tr>
      <w:tr w:rsidTr="00942F00">
        <w:tblPrEx>
          <w:tblW w:w="5000" w:type="pct"/>
          <w:tblLayout w:type="fixed"/>
          <w:tblLook w:val="04A0"/>
        </w:tblPrEx>
        <w:tc>
          <w:tcPr>
            <w:tcW w:w="2534" w:type="pct"/>
            <w:gridSpan w:val="14"/>
            <w:tcBorders>
              <w:right w:val="single" w:sz="4" w:space="0" w:color="auto"/>
            </w:tcBorders>
          </w:tcPr>
          <w:p w:rsidR="00CE7E24" w:rsidRPr="00630C60" w:rsidP="00CE7E24">
            <w:pPr>
              <w:pStyle w:val="CSBody0"/>
            </w:pPr>
            <w:r w:rsidRPr="00630C60">
              <w:t>In the case of Step Up Notes, the Interest Rate on the basis of which the Interest Payment Amounts are calculated will be equal to a fixed rate per annum. Such fixed rate per annum will be the specified Interest Rate in respect of the relevant Interest Payment Date set forth in the table below. Therefore, the potential return on a Step Up Note is limited to the positive difference between (i) the amount of the Interest Payment Amounts, plus the Final Redemption Amount, and (ii) the Issue Price (or, if different, the price the relevant investor paid for such Step Up Note).</w:t>
            </w:r>
          </w:p>
        </w:tc>
        <w:tc>
          <w:tcPr>
            <w:tcW w:w="2466" w:type="pct"/>
            <w:gridSpan w:val="14"/>
            <w:tcBorders>
              <w:left w:val="single" w:sz="4" w:space="0" w:color="auto"/>
            </w:tcBorders>
          </w:tcPr>
          <w:p w:rsidR="00CE7E24" w:rsidRPr="00CE7E24" w:rsidP="00CE7E24">
            <w:pPr>
              <w:pStyle w:val="CSBody0"/>
              <w:rPr>
                <w:lang w:val="de-DE"/>
              </w:rPr>
            </w:pPr>
            <w:r w:rsidRPr="00CE7E24">
              <w:rPr>
                <w:lang w:val="de-DE"/>
              </w:rPr>
              <w:t>Bei Step Up Notes entspricht der Zinssatz, auf dessen Grundlage die Zinszahlungsbeträge berechnet werden, einem Festsatz per annum. Dieser Festsatz per annum wird der in untenstehender Tabelle angegebene Zinssatz für den jeweiligen Zinszahlungstag sein. Der potenzielle Ertrag auf eine Step Up Note ist somit auf die positive Differenz aus (i) dem Betrag der Zinszahlungsbeträge zuzüglich des Finalen Rückzahlungsbetrags, und (ii) dem Emissionspreis (oder, falls abweichend, dem von dem jeweiligen Anleger für diese Step Up Note gezahlten Preis) beschränkt.</w:t>
            </w:r>
          </w:p>
        </w:tc>
      </w:tr>
      <w:tr w:rsidTr="00BD6E0D">
        <w:tblPrEx>
          <w:tblW w:w="5000" w:type="pct"/>
          <w:tblLayout w:type="fixed"/>
          <w:tblLook w:val="04A0"/>
        </w:tblPrEx>
        <w:tc>
          <w:tcPr>
            <w:tcW w:w="213" w:type="pct"/>
          </w:tcPr>
          <w:p w:rsidR="00F67D5C" w:rsidRPr="002E6F32" w:rsidP="00CE7E24">
            <w:pPr>
              <w:pStyle w:val="CSbody0bold"/>
            </w:pPr>
          </w:p>
        </w:tc>
        <w:tc>
          <w:tcPr>
            <w:tcW w:w="1010" w:type="pct"/>
            <w:gridSpan w:val="8"/>
            <w:tcBorders>
              <w:bottom w:val="single" w:sz="4" w:space="0" w:color="auto"/>
            </w:tcBorders>
          </w:tcPr>
          <w:p w:rsidR="00F67D5C" w:rsidRPr="002E6F32" w:rsidP="00CE7E24">
            <w:pPr>
              <w:pStyle w:val="CSbody0bold"/>
            </w:pPr>
          </w:p>
        </w:tc>
        <w:tc>
          <w:tcPr>
            <w:tcW w:w="1311" w:type="pct"/>
            <w:gridSpan w:val="5"/>
            <w:tcBorders>
              <w:bottom w:val="single" w:sz="4" w:space="0" w:color="auto"/>
            </w:tcBorders>
          </w:tcPr>
          <w:p w:rsidR="00F67D5C" w:rsidRPr="002E6F32" w:rsidP="00CE7E24">
            <w:pPr>
              <w:pStyle w:val="CSbody0bold"/>
            </w:pPr>
          </w:p>
        </w:tc>
        <w:tc>
          <w:tcPr>
            <w:tcW w:w="1083" w:type="pct"/>
            <w:gridSpan w:val="6"/>
            <w:tcBorders>
              <w:bottom w:val="single" w:sz="4" w:space="0" w:color="auto"/>
            </w:tcBorders>
          </w:tcPr>
          <w:p w:rsidR="00F67D5C" w:rsidRPr="002E6F32" w:rsidP="00CE7E24">
            <w:pPr>
              <w:pStyle w:val="CSbody0bold"/>
            </w:pPr>
          </w:p>
        </w:tc>
        <w:tc>
          <w:tcPr>
            <w:tcW w:w="1056" w:type="pct"/>
            <w:gridSpan w:val="5"/>
            <w:tcBorders>
              <w:bottom w:val="single" w:sz="4" w:space="0" w:color="auto"/>
            </w:tcBorders>
          </w:tcPr>
          <w:p w:rsidR="00F67D5C" w:rsidRPr="002E6F32" w:rsidP="00CE7E24">
            <w:pPr>
              <w:pStyle w:val="CSbody0bold"/>
            </w:pPr>
          </w:p>
        </w:tc>
        <w:tc>
          <w:tcPr>
            <w:tcW w:w="327" w:type="pct"/>
            <w:gridSpan w:val="3"/>
          </w:tcPr>
          <w:p w:rsidR="00F67D5C" w:rsidRPr="002E6F32" w:rsidP="00CE7E24">
            <w:pPr>
              <w:pStyle w:val="CSbody0bold"/>
            </w:pPr>
          </w:p>
        </w:tc>
      </w:tr>
      <w:tr w:rsidTr="00BD6E0D">
        <w:tblPrEx>
          <w:tblW w:w="5000" w:type="pct"/>
          <w:tblLayout w:type="fixed"/>
          <w:tblLook w:val="04A0"/>
        </w:tblPrEx>
        <w:tc>
          <w:tcPr>
            <w:tcW w:w="213" w:type="pct"/>
            <w:tcBorders>
              <w:right w:val="single" w:sz="4" w:space="0" w:color="auto"/>
            </w:tcBorders>
          </w:tcPr>
          <w:p w:rsidR="00CE7E24" w:rsidRPr="002E6F32" w:rsidP="00CE7E24">
            <w:pPr>
              <w:pStyle w:val="CSbody0bold"/>
            </w:pPr>
          </w:p>
        </w:tc>
        <w:tc>
          <w:tcPr>
            <w:tcW w:w="1010" w:type="pct"/>
            <w:gridSpan w:val="8"/>
            <w:tcBorders>
              <w:top w:val="single" w:sz="4" w:space="0" w:color="auto"/>
              <w:left w:val="single" w:sz="4" w:space="0" w:color="auto"/>
              <w:bottom w:val="single" w:sz="4" w:space="0" w:color="auto"/>
              <w:right w:val="single" w:sz="4" w:space="0" w:color="auto"/>
            </w:tcBorders>
          </w:tcPr>
          <w:p w:rsidR="00CE7E24" w:rsidRPr="002E6F32" w:rsidP="00CE7E24">
            <w:pPr>
              <w:pStyle w:val="CSbody0bold"/>
            </w:pPr>
            <w:r w:rsidRPr="002E6F32">
              <w:t>Interest Payment Date</w:t>
            </w:r>
          </w:p>
        </w:tc>
        <w:tc>
          <w:tcPr>
            <w:tcW w:w="1311" w:type="pct"/>
            <w:gridSpan w:val="5"/>
            <w:tcBorders>
              <w:top w:val="single" w:sz="4" w:space="0" w:color="auto"/>
              <w:left w:val="single" w:sz="4" w:space="0" w:color="auto"/>
              <w:bottom w:val="single" w:sz="4" w:space="0" w:color="auto"/>
              <w:right w:val="single" w:sz="4" w:space="0" w:color="auto"/>
            </w:tcBorders>
          </w:tcPr>
          <w:p w:rsidR="00CE7E24" w:rsidRPr="002E6F32" w:rsidP="00CE7E24">
            <w:pPr>
              <w:pStyle w:val="CSbody0bold"/>
            </w:pPr>
            <w:r w:rsidRPr="002E6F32">
              <w:t>Interest Rate</w:t>
            </w:r>
          </w:p>
        </w:tc>
        <w:tc>
          <w:tcPr>
            <w:tcW w:w="1083" w:type="pct"/>
            <w:gridSpan w:val="6"/>
            <w:tcBorders>
              <w:top w:val="single" w:sz="4" w:space="0" w:color="auto"/>
              <w:left w:val="single" w:sz="4" w:space="0" w:color="auto"/>
              <w:bottom w:val="single" w:sz="4" w:space="0" w:color="auto"/>
              <w:right w:val="single" w:sz="4" w:space="0" w:color="auto"/>
            </w:tcBorders>
          </w:tcPr>
          <w:p w:rsidR="00CE7E24" w:rsidRPr="002E6F32" w:rsidP="00CE7E24">
            <w:pPr>
              <w:pStyle w:val="CSbody0bold"/>
            </w:pPr>
            <w:r w:rsidRPr="002E6F32">
              <w:t>Zinszahlungstag</w:t>
            </w:r>
          </w:p>
        </w:tc>
        <w:tc>
          <w:tcPr>
            <w:tcW w:w="1056" w:type="pct"/>
            <w:gridSpan w:val="5"/>
            <w:tcBorders>
              <w:top w:val="single" w:sz="4" w:space="0" w:color="auto"/>
              <w:left w:val="single" w:sz="4" w:space="0" w:color="auto"/>
              <w:bottom w:val="single" w:sz="4" w:space="0" w:color="auto"/>
              <w:right w:val="single" w:sz="4" w:space="0" w:color="auto"/>
            </w:tcBorders>
          </w:tcPr>
          <w:p w:rsidR="00CE7E24" w:rsidRPr="002E6F32" w:rsidP="00CE7E24">
            <w:pPr>
              <w:pStyle w:val="CSbody0bold"/>
            </w:pPr>
            <w:r w:rsidRPr="002E6F32">
              <w:t>Zinssatz</w:t>
            </w:r>
          </w:p>
        </w:tc>
        <w:tc>
          <w:tcPr>
            <w:tcW w:w="327" w:type="pct"/>
            <w:gridSpan w:val="3"/>
            <w:tcBorders>
              <w:left w:val="single" w:sz="4" w:space="0" w:color="auto"/>
            </w:tcBorders>
          </w:tcPr>
          <w:p w:rsidR="00CE7E24" w:rsidRPr="002E6F32" w:rsidP="00CE7E24">
            <w:pPr>
              <w:pStyle w:val="CSbody0bold"/>
            </w:pPr>
          </w:p>
        </w:tc>
      </w:tr>
      <w:tr w:rsidTr="00BD6E0D">
        <w:tblPrEx>
          <w:tblW w:w="5000" w:type="pct"/>
          <w:tblLayout w:type="fixed"/>
          <w:tblLook w:val="04A0"/>
        </w:tblPrEx>
        <w:tc>
          <w:tcPr>
            <w:tcW w:w="213" w:type="pct"/>
            <w:tcBorders>
              <w:right w:val="single" w:sz="4" w:space="0" w:color="auto"/>
            </w:tcBorders>
          </w:tcPr>
          <w:p w:rsidR="00CE7E24" w:rsidRPr="002E6F32" w:rsidP="00CE7E24">
            <w:pPr>
              <w:pStyle w:val="CSBody0"/>
            </w:pPr>
          </w:p>
        </w:tc>
        <w:tc>
          <w:tcPr>
            <w:tcW w:w="1010" w:type="pct"/>
            <w:gridSpan w:val="8"/>
            <w:tcBorders>
              <w:top w:val="single" w:sz="4" w:space="0" w:color="auto"/>
              <w:left w:val="single" w:sz="4" w:space="0" w:color="auto"/>
              <w:bottom w:val="single" w:sz="4" w:space="0" w:color="auto"/>
              <w:right w:val="single" w:sz="4" w:space="0" w:color="auto"/>
            </w:tcBorders>
          </w:tcPr>
          <w:p w:rsidR="00CE7E24" w:rsidRPr="002E6F32" w:rsidP="00CE7E24">
            <w:pPr>
              <w:pStyle w:val="CSBody0"/>
            </w:pPr>
            <w:r w:rsidRPr="00F94B27">
              <w:rPr>
                <w:b/>
              </w:rPr>
              <w:t>[</w:t>
            </w:r>
            <w:r w:rsidRPr="003F5ED6" w:rsidR="003857E8">
              <w:rPr>
                <w:rFonts w:ascii="Arial" w:hAnsi="Arial" w:cs="Arial"/>
                <w:lang w:val="de-DE"/>
              </w:rPr>
              <w:t>●</w:t>
            </w:r>
            <w:r w:rsidRPr="00F94B27">
              <w:rPr>
                <w:b/>
              </w:rPr>
              <w:t>]</w:t>
            </w:r>
          </w:p>
        </w:tc>
        <w:tc>
          <w:tcPr>
            <w:tcW w:w="1311" w:type="pct"/>
            <w:gridSpan w:val="5"/>
            <w:tcBorders>
              <w:top w:val="single" w:sz="4" w:space="0" w:color="auto"/>
              <w:left w:val="single" w:sz="4" w:space="0" w:color="auto"/>
              <w:bottom w:val="single" w:sz="4" w:space="0" w:color="auto"/>
              <w:right w:val="single" w:sz="4" w:space="0" w:color="auto"/>
            </w:tcBorders>
          </w:tcPr>
          <w:p w:rsidR="00CE7E24" w:rsidRPr="002E6F32" w:rsidP="00474C21">
            <w:pPr>
              <w:pStyle w:val="CSBody0"/>
            </w:pPr>
            <w:r w:rsidRPr="00F94B27">
              <w:rPr>
                <w:b/>
              </w:rPr>
              <w:t>[</w:t>
            </w:r>
            <w:r w:rsidRPr="003F5ED6" w:rsidR="003857E8">
              <w:rPr>
                <w:rFonts w:ascii="Arial" w:hAnsi="Arial" w:cs="Arial"/>
                <w:lang w:val="de-DE"/>
              </w:rPr>
              <w:t>●</w:t>
            </w:r>
            <w:r w:rsidRPr="00F94B27">
              <w:rPr>
                <w:b/>
              </w:rPr>
              <w:t>]</w:t>
            </w:r>
            <w:r w:rsidRPr="002E6F32">
              <w:t>% per annum</w:t>
            </w:r>
          </w:p>
        </w:tc>
        <w:tc>
          <w:tcPr>
            <w:tcW w:w="1083" w:type="pct"/>
            <w:gridSpan w:val="6"/>
            <w:tcBorders>
              <w:top w:val="single" w:sz="4" w:space="0" w:color="auto"/>
              <w:left w:val="single" w:sz="4" w:space="0" w:color="auto"/>
              <w:bottom w:val="single" w:sz="4" w:space="0" w:color="auto"/>
              <w:right w:val="single" w:sz="4" w:space="0" w:color="auto"/>
            </w:tcBorders>
          </w:tcPr>
          <w:p w:rsidR="00CE7E24" w:rsidRPr="002E6F32" w:rsidP="00CE7E24">
            <w:pPr>
              <w:pStyle w:val="CSBody0"/>
            </w:pPr>
            <w:r w:rsidRPr="00F94B27">
              <w:rPr>
                <w:b/>
              </w:rPr>
              <w:t>[</w:t>
            </w:r>
            <w:r w:rsidRPr="003F5ED6" w:rsidR="003857E8">
              <w:rPr>
                <w:rFonts w:ascii="Arial" w:hAnsi="Arial" w:cs="Arial"/>
                <w:lang w:val="de-DE"/>
              </w:rPr>
              <w:t>●</w:t>
            </w:r>
            <w:r w:rsidRPr="00F94B27">
              <w:rPr>
                <w:b/>
              </w:rPr>
              <w:t>]</w:t>
            </w:r>
          </w:p>
        </w:tc>
        <w:tc>
          <w:tcPr>
            <w:tcW w:w="1056" w:type="pct"/>
            <w:gridSpan w:val="5"/>
            <w:tcBorders>
              <w:top w:val="single" w:sz="4" w:space="0" w:color="auto"/>
              <w:left w:val="single" w:sz="4" w:space="0" w:color="auto"/>
              <w:bottom w:val="single" w:sz="4" w:space="0" w:color="auto"/>
              <w:right w:val="single" w:sz="4" w:space="0" w:color="auto"/>
            </w:tcBorders>
          </w:tcPr>
          <w:p w:rsidR="00CE7E24" w:rsidRPr="002E6F32" w:rsidP="00CE7E24">
            <w:pPr>
              <w:pStyle w:val="CSBody0"/>
            </w:pPr>
            <w:r w:rsidRPr="00F94B27">
              <w:rPr>
                <w:b/>
              </w:rPr>
              <w:t>[</w:t>
            </w:r>
            <w:r w:rsidRPr="003F5ED6" w:rsidR="003857E8">
              <w:rPr>
                <w:rFonts w:ascii="Arial" w:hAnsi="Arial" w:cs="Arial"/>
                <w:lang w:val="de-DE"/>
              </w:rPr>
              <w:t>●</w:t>
            </w:r>
            <w:r w:rsidRPr="00F94B27">
              <w:rPr>
                <w:b/>
              </w:rPr>
              <w:t>]</w:t>
            </w:r>
            <w:r w:rsidRPr="002E6F32">
              <w:t>% per annum</w:t>
            </w:r>
          </w:p>
        </w:tc>
        <w:tc>
          <w:tcPr>
            <w:tcW w:w="327" w:type="pct"/>
            <w:gridSpan w:val="3"/>
            <w:tcBorders>
              <w:left w:val="single" w:sz="4" w:space="0" w:color="auto"/>
            </w:tcBorders>
          </w:tcPr>
          <w:p w:rsidR="00CE7E24" w:rsidRPr="002E6F32" w:rsidP="00CE7E24">
            <w:pPr>
              <w:pStyle w:val="CSBody0"/>
            </w:pPr>
          </w:p>
        </w:tc>
      </w:tr>
      <w:tr w:rsidTr="00BD6E0D">
        <w:tblPrEx>
          <w:tblW w:w="5000" w:type="pct"/>
          <w:tblLayout w:type="fixed"/>
          <w:tblLook w:val="04A0"/>
        </w:tblPrEx>
        <w:tc>
          <w:tcPr>
            <w:tcW w:w="213" w:type="pct"/>
            <w:tcBorders>
              <w:right w:val="single" w:sz="4" w:space="0" w:color="auto"/>
            </w:tcBorders>
          </w:tcPr>
          <w:p w:rsidR="00CE7E24" w:rsidRPr="002E6F32" w:rsidP="00CE7E24">
            <w:pPr>
              <w:pStyle w:val="CSBody0"/>
            </w:pPr>
          </w:p>
        </w:tc>
        <w:tc>
          <w:tcPr>
            <w:tcW w:w="1010" w:type="pct"/>
            <w:gridSpan w:val="8"/>
            <w:tcBorders>
              <w:top w:val="single" w:sz="4" w:space="0" w:color="auto"/>
              <w:left w:val="single" w:sz="4" w:space="0" w:color="auto"/>
              <w:bottom w:val="single" w:sz="4" w:space="0" w:color="auto"/>
              <w:right w:val="single" w:sz="4" w:space="0" w:color="auto"/>
            </w:tcBorders>
          </w:tcPr>
          <w:p w:rsidR="00CE7E24" w:rsidRPr="002E6F32" w:rsidP="00CE7E24">
            <w:pPr>
              <w:pStyle w:val="CSBody0"/>
            </w:pPr>
            <w:r w:rsidRPr="002E6F32">
              <w:t>(repeat as applicable)</w:t>
            </w:r>
          </w:p>
        </w:tc>
        <w:tc>
          <w:tcPr>
            <w:tcW w:w="1311" w:type="pct"/>
            <w:gridSpan w:val="5"/>
            <w:tcBorders>
              <w:top w:val="single" w:sz="4" w:space="0" w:color="auto"/>
              <w:left w:val="single" w:sz="4" w:space="0" w:color="auto"/>
              <w:bottom w:val="single" w:sz="4" w:space="0" w:color="auto"/>
              <w:right w:val="single" w:sz="4" w:space="0" w:color="auto"/>
            </w:tcBorders>
          </w:tcPr>
          <w:p w:rsidR="00CE7E24" w:rsidRPr="002E6F32" w:rsidP="00474C21">
            <w:pPr>
              <w:pStyle w:val="CSBody0"/>
            </w:pPr>
            <w:r w:rsidRPr="002E6F32">
              <w:t>(repeat as applicable)</w:t>
            </w:r>
          </w:p>
        </w:tc>
        <w:tc>
          <w:tcPr>
            <w:tcW w:w="1083" w:type="pct"/>
            <w:gridSpan w:val="6"/>
            <w:tcBorders>
              <w:top w:val="single" w:sz="4" w:space="0" w:color="auto"/>
              <w:left w:val="single" w:sz="4" w:space="0" w:color="auto"/>
              <w:bottom w:val="single" w:sz="4" w:space="0" w:color="auto"/>
              <w:right w:val="single" w:sz="4" w:space="0" w:color="auto"/>
            </w:tcBorders>
          </w:tcPr>
          <w:p w:rsidR="00CE7E24" w:rsidRPr="002E6F32" w:rsidP="00CE7E24">
            <w:pPr>
              <w:pStyle w:val="CSBody0"/>
            </w:pPr>
            <w:r w:rsidRPr="002E6F32">
              <w:t>(wiederholen, soweit erforderlich)</w:t>
            </w:r>
          </w:p>
        </w:tc>
        <w:tc>
          <w:tcPr>
            <w:tcW w:w="1056" w:type="pct"/>
            <w:gridSpan w:val="5"/>
            <w:tcBorders>
              <w:top w:val="single" w:sz="4" w:space="0" w:color="auto"/>
              <w:left w:val="single" w:sz="4" w:space="0" w:color="auto"/>
              <w:bottom w:val="single" w:sz="4" w:space="0" w:color="auto"/>
              <w:right w:val="single" w:sz="4" w:space="0" w:color="auto"/>
            </w:tcBorders>
          </w:tcPr>
          <w:p w:rsidR="00CE7E24" w:rsidRPr="002E6F32" w:rsidP="00474C21">
            <w:pPr>
              <w:pStyle w:val="CSBody0"/>
            </w:pPr>
            <w:r w:rsidRPr="002E6F32">
              <w:t>(wiederholen, soweit erforderlich)</w:t>
            </w:r>
          </w:p>
        </w:tc>
        <w:tc>
          <w:tcPr>
            <w:tcW w:w="327" w:type="pct"/>
            <w:gridSpan w:val="3"/>
            <w:tcBorders>
              <w:left w:val="single" w:sz="4" w:space="0" w:color="auto"/>
            </w:tcBorders>
          </w:tcPr>
          <w:p w:rsidR="00CE7E24" w:rsidRPr="002E6F32" w:rsidP="00CE7E24">
            <w:pPr>
              <w:pStyle w:val="CSBody0"/>
            </w:pPr>
          </w:p>
        </w:tc>
      </w:tr>
      <w:tr w:rsidTr="00BD6E0D">
        <w:tblPrEx>
          <w:tblW w:w="5000" w:type="pct"/>
          <w:tblLayout w:type="fixed"/>
          <w:tblLook w:val="04A0"/>
        </w:tblPrEx>
        <w:tc>
          <w:tcPr>
            <w:tcW w:w="213" w:type="pct"/>
            <w:tcBorders>
              <w:right w:val="single" w:sz="4" w:space="0" w:color="auto"/>
            </w:tcBorders>
          </w:tcPr>
          <w:p w:rsidR="00CE7E24" w:rsidRPr="002E6F32" w:rsidP="00CE7E24">
            <w:pPr>
              <w:pStyle w:val="CSBody0"/>
            </w:pPr>
          </w:p>
        </w:tc>
        <w:tc>
          <w:tcPr>
            <w:tcW w:w="1010" w:type="pct"/>
            <w:gridSpan w:val="8"/>
            <w:tcBorders>
              <w:top w:val="single" w:sz="4" w:space="0" w:color="auto"/>
              <w:left w:val="single" w:sz="4" w:space="0" w:color="auto"/>
              <w:bottom w:val="single" w:sz="4" w:space="0" w:color="auto"/>
              <w:right w:val="single" w:sz="4" w:space="0" w:color="auto"/>
            </w:tcBorders>
          </w:tcPr>
          <w:p w:rsidR="00CE7E24" w:rsidRPr="002E6F32" w:rsidP="00CE7E24">
            <w:pPr>
              <w:pStyle w:val="CSBody0"/>
            </w:pPr>
            <w:r w:rsidRPr="00F94B27">
              <w:rPr>
                <w:b/>
              </w:rPr>
              <w:t>[</w:t>
            </w:r>
            <w:r w:rsidRPr="002E6F32">
              <w:t>Final Redemption Date</w:t>
            </w:r>
          </w:p>
        </w:tc>
        <w:tc>
          <w:tcPr>
            <w:tcW w:w="1311" w:type="pct"/>
            <w:gridSpan w:val="5"/>
            <w:tcBorders>
              <w:top w:val="single" w:sz="4" w:space="0" w:color="auto"/>
              <w:left w:val="single" w:sz="4" w:space="0" w:color="auto"/>
              <w:bottom w:val="single" w:sz="4" w:space="0" w:color="auto"/>
              <w:right w:val="single" w:sz="4" w:space="0" w:color="auto"/>
            </w:tcBorders>
          </w:tcPr>
          <w:p w:rsidR="00CE7E24" w:rsidRPr="002E6F32" w:rsidP="00474C21">
            <w:pPr>
              <w:pStyle w:val="CSBody0"/>
            </w:pPr>
            <w:r w:rsidRPr="00F94B27">
              <w:rPr>
                <w:b/>
              </w:rPr>
              <w:t>[</w:t>
            </w:r>
            <w:r w:rsidRPr="003F5ED6" w:rsidR="003857E8">
              <w:rPr>
                <w:rFonts w:ascii="Arial" w:hAnsi="Arial" w:cs="Arial"/>
                <w:lang w:val="de-DE"/>
              </w:rPr>
              <w:t>●</w:t>
            </w:r>
            <w:r w:rsidRPr="00F94B27">
              <w:rPr>
                <w:b/>
              </w:rPr>
              <w:t>]</w:t>
            </w:r>
            <w:r w:rsidRPr="002E6F32">
              <w:t>%per annum</w:t>
            </w:r>
            <w:r w:rsidRPr="00F94B27">
              <w:rPr>
                <w:b/>
              </w:rPr>
              <w:t>]]</w:t>
            </w:r>
          </w:p>
        </w:tc>
        <w:tc>
          <w:tcPr>
            <w:tcW w:w="1083" w:type="pct"/>
            <w:gridSpan w:val="6"/>
            <w:tcBorders>
              <w:top w:val="single" w:sz="4" w:space="0" w:color="auto"/>
              <w:left w:val="single" w:sz="4" w:space="0" w:color="auto"/>
              <w:bottom w:val="single" w:sz="4" w:space="0" w:color="auto"/>
              <w:right w:val="single" w:sz="4" w:space="0" w:color="auto"/>
            </w:tcBorders>
          </w:tcPr>
          <w:p w:rsidR="00CE7E24" w:rsidRPr="002E6F32" w:rsidP="00CE7E24">
            <w:pPr>
              <w:pStyle w:val="CSBody0"/>
            </w:pPr>
            <w:r w:rsidRPr="002E6F32">
              <w:t>Finaler Rückzahlungstag</w:t>
            </w:r>
            <w:r w:rsidRPr="00F94B27" w:rsidR="00F94B27">
              <w:rPr>
                <w:b/>
              </w:rPr>
              <w:t>]</w:t>
            </w:r>
          </w:p>
        </w:tc>
        <w:tc>
          <w:tcPr>
            <w:tcW w:w="1056" w:type="pct"/>
            <w:gridSpan w:val="5"/>
            <w:tcBorders>
              <w:top w:val="single" w:sz="4" w:space="0" w:color="auto"/>
              <w:left w:val="single" w:sz="4" w:space="0" w:color="auto"/>
              <w:bottom w:val="single" w:sz="4" w:space="0" w:color="auto"/>
              <w:right w:val="single" w:sz="4" w:space="0" w:color="auto"/>
            </w:tcBorders>
          </w:tcPr>
          <w:p w:rsidR="00CE7E24" w:rsidRPr="002E6F32" w:rsidP="00474C21">
            <w:pPr>
              <w:pStyle w:val="CSBody0"/>
            </w:pPr>
            <w:r w:rsidRPr="00F94B27">
              <w:rPr>
                <w:b/>
              </w:rPr>
              <w:t>[</w:t>
            </w:r>
            <w:r w:rsidRPr="003F5ED6" w:rsidR="003857E8">
              <w:rPr>
                <w:rFonts w:ascii="Arial" w:hAnsi="Arial" w:cs="Arial"/>
                <w:lang w:val="de-DE"/>
              </w:rPr>
              <w:t>●</w:t>
            </w:r>
            <w:r w:rsidRPr="00F94B27">
              <w:rPr>
                <w:b/>
              </w:rPr>
              <w:t>]</w:t>
            </w:r>
            <w:r w:rsidRPr="002E6F32">
              <w:t>% per annum</w:t>
            </w:r>
            <w:r w:rsidRPr="00F94B27">
              <w:rPr>
                <w:b/>
              </w:rPr>
              <w:t>]]</w:t>
            </w:r>
          </w:p>
        </w:tc>
        <w:tc>
          <w:tcPr>
            <w:tcW w:w="327" w:type="pct"/>
            <w:gridSpan w:val="3"/>
            <w:tcBorders>
              <w:left w:val="single" w:sz="4" w:space="0" w:color="auto"/>
            </w:tcBorders>
          </w:tcPr>
          <w:p w:rsidR="00CE7E24" w:rsidP="00CE7E24">
            <w:pPr>
              <w:pStyle w:val="CSBody0"/>
            </w:pPr>
          </w:p>
        </w:tc>
      </w:tr>
      <w:tr w:rsidTr="00BD6E0D">
        <w:tblPrEx>
          <w:tblW w:w="5000" w:type="pct"/>
          <w:tblLayout w:type="fixed"/>
          <w:tblLook w:val="04A0"/>
        </w:tblPrEx>
        <w:tc>
          <w:tcPr>
            <w:tcW w:w="213" w:type="pct"/>
          </w:tcPr>
          <w:p w:rsidR="00F67D5C" w:rsidRPr="002E6F32" w:rsidP="00CE7E24">
            <w:pPr>
              <w:pStyle w:val="CSBody0"/>
            </w:pPr>
          </w:p>
        </w:tc>
        <w:tc>
          <w:tcPr>
            <w:tcW w:w="1010" w:type="pct"/>
            <w:gridSpan w:val="8"/>
            <w:tcBorders>
              <w:top w:val="single" w:sz="4" w:space="0" w:color="auto"/>
            </w:tcBorders>
          </w:tcPr>
          <w:p w:rsidR="00F67D5C" w:rsidRPr="002E6F32" w:rsidP="00CE7E24">
            <w:pPr>
              <w:pStyle w:val="CSBody0"/>
            </w:pPr>
          </w:p>
        </w:tc>
        <w:tc>
          <w:tcPr>
            <w:tcW w:w="1311" w:type="pct"/>
            <w:gridSpan w:val="5"/>
            <w:tcBorders>
              <w:top w:val="single" w:sz="4" w:space="0" w:color="auto"/>
            </w:tcBorders>
          </w:tcPr>
          <w:p w:rsidR="00F67D5C" w:rsidRPr="002E6F32" w:rsidP="00474C21">
            <w:pPr>
              <w:pStyle w:val="CSBody0"/>
            </w:pPr>
            <w:r>
              <w:rPr>
                <w:rFonts w:ascii="Arial" w:hAnsi="Arial" w:cs="Arial"/>
              </w:rPr>
              <w:t>●</w:t>
            </w:r>
          </w:p>
        </w:tc>
        <w:tc>
          <w:tcPr>
            <w:tcW w:w="1083" w:type="pct"/>
            <w:gridSpan w:val="6"/>
            <w:tcBorders>
              <w:top w:val="single" w:sz="4" w:space="0" w:color="auto"/>
            </w:tcBorders>
          </w:tcPr>
          <w:p w:rsidR="00F67D5C" w:rsidRPr="002E6F32" w:rsidP="00CE7E24">
            <w:pPr>
              <w:pStyle w:val="CSBody0"/>
            </w:pPr>
          </w:p>
        </w:tc>
        <w:tc>
          <w:tcPr>
            <w:tcW w:w="1056" w:type="pct"/>
            <w:gridSpan w:val="5"/>
            <w:tcBorders>
              <w:top w:val="single" w:sz="4" w:space="0" w:color="auto"/>
            </w:tcBorders>
          </w:tcPr>
          <w:p w:rsidR="00F67D5C" w:rsidRPr="002E6F32" w:rsidP="00474C21">
            <w:pPr>
              <w:pStyle w:val="CSBody0"/>
            </w:pPr>
          </w:p>
        </w:tc>
        <w:tc>
          <w:tcPr>
            <w:tcW w:w="327" w:type="pct"/>
            <w:gridSpan w:val="3"/>
          </w:tcPr>
          <w:p w:rsidR="00F67D5C" w:rsidP="00CE7E24">
            <w:pPr>
              <w:pStyle w:val="CSBody0"/>
            </w:pPr>
          </w:p>
        </w:tc>
      </w:tr>
      <w:tr w:rsidTr="00942F00">
        <w:tblPrEx>
          <w:tblW w:w="5000" w:type="pct"/>
          <w:tblLayout w:type="fixed"/>
          <w:tblLook w:val="04A0"/>
        </w:tblPrEx>
        <w:tc>
          <w:tcPr>
            <w:tcW w:w="2534" w:type="pct"/>
            <w:gridSpan w:val="14"/>
            <w:tcBorders>
              <w:right w:val="single" w:sz="4" w:space="0" w:color="auto"/>
            </w:tcBorders>
          </w:tcPr>
          <w:p w:rsidR="00CE7E24" w:rsidRPr="00BA1EFB" w:rsidP="00CE7E24">
            <w:pPr>
              <w:pStyle w:val="CSbody0bolditalic"/>
              <w:rPr>
                <w:lang w:val="en-GB"/>
              </w:rPr>
            </w:pPr>
            <w:r w:rsidRPr="00F94B27">
              <w:rPr>
                <w:lang w:val="en-GB"/>
              </w:rPr>
              <w:t>[</w:t>
            </w:r>
            <w:r w:rsidRPr="00BA1EFB">
              <w:rPr>
                <w:lang w:val="en-GB"/>
              </w:rPr>
              <w:t>in case of Floating Rate Notes:</w:t>
            </w:r>
          </w:p>
        </w:tc>
        <w:tc>
          <w:tcPr>
            <w:tcW w:w="2466" w:type="pct"/>
            <w:gridSpan w:val="14"/>
            <w:tcBorders>
              <w:left w:val="single" w:sz="4" w:space="0" w:color="auto"/>
            </w:tcBorders>
          </w:tcPr>
          <w:p w:rsidR="00CE7E24" w:rsidRPr="0012583F" w:rsidP="00CE7E24">
            <w:pPr>
              <w:pStyle w:val="CSbody0bolditalic"/>
            </w:pPr>
            <w:r w:rsidRPr="00F94B27">
              <w:t>[</w:t>
            </w:r>
            <w:r w:rsidRPr="0012583F">
              <w:t>bei Floating Rate Notes:</w:t>
            </w:r>
          </w:p>
        </w:tc>
      </w:tr>
      <w:tr w:rsidTr="00942F00">
        <w:tblPrEx>
          <w:tblW w:w="5000" w:type="pct"/>
          <w:tblLayout w:type="fixed"/>
          <w:tblLook w:val="04A0"/>
        </w:tblPrEx>
        <w:tc>
          <w:tcPr>
            <w:tcW w:w="2534" w:type="pct"/>
            <w:gridSpan w:val="14"/>
            <w:tcBorders>
              <w:right w:val="single" w:sz="4" w:space="0" w:color="auto"/>
            </w:tcBorders>
          </w:tcPr>
          <w:p w:rsidR="00CE7E24" w:rsidRPr="0012583F" w:rsidP="00CE7E24">
            <w:pPr>
              <w:pStyle w:val="CSBody0"/>
            </w:pPr>
            <w:r w:rsidRPr="0012583F">
              <w:t>In case of Floating Rate Notes, the Interest Rate on the basis of which the Interest Payment Amount</w:t>
            </w:r>
            <w:r w:rsidRPr="00F94B27" w:rsidR="00F94B27">
              <w:rPr>
                <w:b/>
              </w:rPr>
              <w:t>[</w:t>
            </w:r>
            <w:r w:rsidRPr="0012583F">
              <w:t>s</w:t>
            </w:r>
            <w:r w:rsidRPr="00F94B27" w:rsidR="00F94B27">
              <w:rPr>
                <w:b/>
              </w:rPr>
              <w:t>]</w:t>
            </w:r>
            <w:r w:rsidRPr="0012583F">
              <w:t xml:space="preserve"> </w:t>
            </w:r>
            <w:r w:rsidRPr="00F94B27" w:rsidR="00F94B27">
              <w:rPr>
                <w:b/>
              </w:rPr>
              <w:t>[</w:t>
            </w:r>
            <w:r w:rsidRPr="0012583F">
              <w:t>is</w:t>
            </w:r>
            <w:r w:rsidRPr="00F94B27" w:rsidR="00F94B27">
              <w:rPr>
                <w:b/>
              </w:rPr>
              <w:t>][</w:t>
            </w:r>
            <w:r w:rsidRPr="0012583F">
              <w:t>are</w:t>
            </w:r>
            <w:r w:rsidRPr="00F94B27" w:rsidR="00F94B27">
              <w:rPr>
                <w:b/>
              </w:rPr>
              <w:t>]</w:t>
            </w:r>
            <w:r w:rsidRPr="0012583F">
              <w:t xml:space="preserve"> calculated will be equal to the </w:t>
            </w:r>
            <w:r w:rsidRPr="00F94B27" w:rsidR="00F94B27">
              <w:rPr>
                <w:b/>
              </w:rPr>
              <w:t>[</w:t>
            </w:r>
            <w:r w:rsidRPr="0012583F">
              <w:t>Reference Rate (</w:t>
            </w:r>
            <w:r w:rsidRPr="007E3558" w:rsidR="007E3558">
              <w:rPr>
                <w:i/>
              </w:rPr>
              <w:t>i.e.</w:t>
            </w:r>
            <w:r w:rsidRPr="0012583F">
              <w:t xml:space="preserve">, a variable rate of interest) on the </w:t>
            </w:r>
            <w:r w:rsidRPr="00F94B27" w:rsidR="00F94B27">
              <w:rPr>
                <w:b/>
              </w:rPr>
              <w:t>[</w:t>
            </w:r>
            <w:r w:rsidRPr="0012583F">
              <w:t>relevant</w:t>
            </w:r>
            <w:r w:rsidRPr="00F94B27" w:rsidR="00F94B27">
              <w:rPr>
                <w:b/>
              </w:rPr>
              <w:t>]</w:t>
            </w:r>
            <w:r w:rsidRPr="0012583F">
              <w:t xml:space="preserve"> Interest Determination Date</w:t>
            </w:r>
            <w:r w:rsidRPr="00F94B27" w:rsidR="00F94B27">
              <w:rPr>
                <w:b/>
              </w:rPr>
              <w:t>]</w:t>
            </w:r>
            <w:r w:rsidRPr="0012583F">
              <w:t xml:space="preserve"> </w:t>
            </w:r>
            <w:r w:rsidRPr="00F94B27" w:rsidR="00F94B27">
              <w:rPr>
                <w:b/>
              </w:rPr>
              <w:t>[</w:t>
            </w:r>
            <w:r w:rsidRPr="0012583F">
              <w:t>sum of the Reference Rate (</w:t>
            </w:r>
            <w:r w:rsidRPr="007E3558" w:rsidR="007E3558">
              <w:rPr>
                <w:i/>
              </w:rPr>
              <w:t>i.e.</w:t>
            </w:r>
            <w:r w:rsidRPr="0012583F">
              <w:t xml:space="preserve">, a variable rate of interest) on the </w:t>
            </w:r>
            <w:r w:rsidRPr="00F94B27" w:rsidR="00F94B27">
              <w:rPr>
                <w:b/>
              </w:rPr>
              <w:t>[</w:t>
            </w:r>
            <w:r w:rsidRPr="0012583F">
              <w:t>relevant</w:t>
            </w:r>
            <w:r w:rsidRPr="00F94B27" w:rsidR="00F94B27">
              <w:rPr>
                <w:b/>
              </w:rPr>
              <w:t>]</w:t>
            </w:r>
            <w:r w:rsidRPr="0012583F">
              <w:t xml:space="preserve"> Interest Determination Date and </w:t>
            </w:r>
            <w:r w:rsidRPr="00F94B27" w:rsidR="00F94B27">
              <w:rPr>
                <w:b/>
              </w:rPr>
              <w:t>[</w:t>
            </w:r>
            <w:r w:rsidRPr="003857E8" w:rsidR="003857E8">
              <w:rPr>
                <w:rFonts w:ascii="Arial" w:hAnsi="Arial" w:cs="Arial"/>
              </w:rPr>
              <w:t>●</w:t>
            </w:r>
            <w:r w:rsidRPr="00F94B27" w:rsidR="00F94B27">
              <w:rPr>
                <w:b/>
              </w:rPr>
              <w:t>]</w:t>
            </w:r>
            <w:r w:rsidRPr="0012583F">
              <w:t>% per annum</w:t>
            </w:r>
            <w:r w:rsidRPr="00F94B27" w:rsidR="00F94B27">
              <w:rPr>
                <w:b/>
              </w:rPr>
              <w:t>]</w:t>
            </w:r>
            <w:r w:rsidRPr="0012583F">
              <w:t>. As the Reference Rate is subject to fluctuations, the Interest Payment Amount</w:t>
            </w:r>
            <w:r w:rsidRPr="00F94B27" w:rsidR="00F94B27">
              <w:rPr>
                <w:b/>
              </w:rPr>
              <w:t>[</w:t>
            </w:r>
            <w:r w:rsidRPr="0012583F">
              <w:t>s</w:t>
            </w:r>
            <w:r w:rsidRPr="00F94B27" w:rsidR="00F94B27">
              <w:rPr>
                <w:b/>
              </w:rPr>
              <w:t>]</w:t>
            </w:r>
            <w:r w:rsidRPr="0012583F">
              <w:t xml:space="preserve"> payable in respect of Floating Rate Notes </w:t>
            </w:r>
            <w:r w:rsidRPr="00F94B27" w:rsidR="00F94B27">
              <w:rPr>
                <w:b/>
              </w:rPr>
              <w:t>[</w:t>
            </w:r>
            <w:r w:rsidRPr="0012583F">
              <w:t>is</w:t>
            </w:r>
            <w:r w:rsidRPr="00F94B27" w:rsidR="00F94B27">
              <w:rPr>
                <w:b/>
              </w:rPr>
              <w:t>][</w:t>
            </w:r>
            <w:r w:rsidRPr="0012583F">
              <w:t>are</w:t>
            </w:r>
            <w:r w:rsidRPr="00F94B27" w:rsidR="00F94B27">
              <w:rPr>
                <w:b/>
              </w:rPr>
              <w:t>]</w:t>
            </w:r>
            <w:r w:rsidRPr="0012583F">
              <w:t xml:space="preserve"> uncertain and may be substantially lower than the interest payment amounts that would be payable under conventional fixed rate debt securities of the Issuer with a comparable term. </w:t>
            </w:r>
            <w:r w:rsidRPr="00F94B27" w:rsidR="00F94B27">
              <w:rPr>
                <w:b/>
              </w:rPr>
              <w:t>[</w:t>
            </w:r>
            <w:r w:rsidRPr="00CE7E24">
              <w:rPr>
                <w:b/>
                <w:i/>
              </w:rPr>
              <w:t>in case of Complex Products with Minimum Interest Rate and/or Maximum Interest Rate:</w:t>
            </w:r>
            <w:r w:rsidRPr="0012583F">
              <w:t xml:space="preserve"> In any case, the Interest Rate will </w:t>
            </w:r>
            <w:r w:rsidRPr="00F94B27" w:rsidR="00F94B27">
              <w:rPr>
                <w:b/>
              </w:rPr>
              <w:t>[</w:t>
            </w:r>
            <w:r w:rsidRPr="0012583F">
              <w:t xml:space="preserve">at least be equal to the </w:t>
            </w:r>
            <w:r w:rsidRPr="00F94B27" w:rsidR="00F94B27">
              <w:rPr>
                <w:b/>
              </w:rPr>
              <w:t>[</w:t>
            </w:r>
            <w:r w:rsidRPr="0012583F">
              <w:t>relevant</w:t>
            </w:r>
            <w:r w:rsidRPr="00F94B27" w:rsidR="00F94B27">
              <w:rPr>
                <w:b/>
              </w:rPr>
              <w:t>]</w:t>
            </w:r>
            <w:r w:rsidRPr="0012583F">
              <w:t xml:space="preserve"> Minimum Interest Rate</w:t>
            </w:r>
            <w:r w:rsidRPr="00F94B27" w:rsidR="00F94B27">
              <w:rPr>
                <w:b/>
              </w:rPr>
              <w:t>]</w:t>
            </w:r>
            <w:r w:rsidRPr="0012583F">
              <w:t xml:space="preserve"> </w:t>
            </w:r>
            <w:r w:rsidRPr="00F94B27" w:rsidR="00F94B27">
              <w:rPr>
                <w:b/>
              </w:rPr>
              <w:t>[</w:t>
            </w:r>
            <w:r w:rsidRPr="0012583F">
              <w:t xml:space="preserve">not exceed the </w:t>
            </w:r>
            <w:r w:rsidRPr="00F94B27" w:rsidR="00F94B27">
              <w:rPr>
                <w:b/>
              </w:rPr>
              <w:t>[</w:t>
            </w:r>
            <w:r w:rsidRPr="0012583F">
              <w:t>relevant</w:t>
            </w:r>
            <w:r w:rsidRPr="00F94B27" w:rsidR="00F94B27">
              <w:rPr>
                <w:b/>
              </w:rPr>
              <w:t>]</w:t>
            </w:r>
            <w:r w:rsidRPr="0012583F">
              <w:t xml:space="preserve"> Maximum Interest Rate</w:t>
            </w:r>
            <w:r w:rsidRPr="00F94B27" w:rsidR="00F94B27">
              <w:rPr>
                <w:b/>
              </w:rPr>
              <w:t>]</w:t>
            </w:r>
            <w:r w:rsidRPr="0012583F">
              <w:t xml:space="preserve"> </w:t>
            </w:r>
            <w:r w:rsidRPr="00F94B27" w:rsidR="00F94B27">
              <w:rPr>
                <w:b/>
              </w:rPr>
              <w:t>[</w:t>
            </w:r>
            <w:r w:rsidRPr="0012583F">
              <w:t xml:space="preserve">at least be equal to the </w:t>
            </w:r>
            <w:r w:rsidRPr="00F94B27" w:rsidR="00F94B27">
              <w:rPr>
                <w:b/>
              </w:rPr>
              <w:t>[</w:t>
            </w:r>
            <w:r w:rsidRPr="0012583F">
              <w:t>relevant</w:t>
            </w:r>
            <w:r w:rsidRPr="00F94B27" w:rsidR="00F94B27">
              <w:rPr>
                <w:b/>
              </w:rPr>
              <w:t>]</w:t>
            </w:r>
            <w:r w:rsidRPr="0012583F">
              <w:t xml:space="preserve"> Minimum Interest Rate, but not exceed the </w:t>
            </w:r>
            <w:r w:rsidRPr="00F94B27" w:rsidR="00F94B27">
              <w:rPr>
                <w:b/>
              </w:rPr>
              <w:t>[</w:t>
            </w:r>
            <w:r w:rsidRPr="0012583F">
              <w:t>relevant</w:t>
            </w:r>
            <w:r w:rsidRPr="00F94B27" w:rsidR="00F94B27">
              <w:rPr>
                <w:b/>
              </w:rPr>
              <w:t>]</w:t>
            </w:r>
            <w:r w:rsidRPr="0012583F">
              <w:t xml:space="preserve"> Maximum Interest Rate</w:t>
            </w:r>
            <w:r w:rsidRPr="00F94B27" w:rsidR="00F94B27">
              <w:rPr>
                <w:b/>
              </w:rPr>
              <w:t>]</w:t>
            </w:r>
            <w:r w:rsidRPr="0012583F">
              <w:t>.</w:t>
            </w:r>
            <w:r w:rsidRPr="00F94B27" w:rsidR="00F94B27">
              <w:rPr>
                <w:b/>
              </w:rPr>
              <w:t>[</w:t>
            </w:r>
            <w:r w:rsidRPr="00CE7E24">
              <w:rPr>
                <w:b/>
                <w:i/>
              </w:rPr>
              <w:t>in case of Complex Products with a Minimum Interest Rate and a Maximum Interest Rate that provide for the application of the Participation:</w:t>
            </w:r>
            <w:r w:rsidRPr="0012583F">
              <w:t xml:space="preserve"> Further, for the calculation of the applicable Interest Rate, the Participation, which is a multiplier, will be applied.</w:t>
            </w:r>
            <w:r w:rsidRPr="00F94B27" w:rsidR="00F94B27">
              <w:rPr>
                <w:b/>
              </w:rPr>
              <w:t>]]</w:t>
            </w:r>
          </w:p>
        </w:tc>
        <w:tc>
          <w:tcPr>
            <w:tcW w:w="2466" w:type="pct"/>
            <w:gridSpan w:val="14"/>
            <w:tcBorders>
              <w:left w:val="single" w:sz="4" w:space="0" w:color="auto"/>
            </w:tcBorders>
          </w:tcPr>
          <w:p w:rsidR="00CE7E24" w:rsidRPr="00AB16EC" w:rsidP="00CE7E24">
            <w:pPr>
              <w:pStyle w:val="CSBody0"/>
              <w:rPr>
                <w:lang w:val="de-DE"/>
              </w:rPr>
            </w:pPr>
            <w:r w:rsidRPr="00CE7E24">
              <w:rPr>
                <w:lang w:val="de-DE"/>
              </w:rPr>
              <w:t xml:space="preserve">Bei Floating Rate Notes entspricht der Zinssatz, auf dessen Grundlage </w:t>
            </w:r>
            <w:r w:rsidRPr="00F94B27" w:rsidR="00F94B27">
              <w:rPr>
                <w:b/>
                <w:lang w:val="de-DE"/>
              </w:rPr>
              <w:t>[</w:t>
            </w:r>
            <w:r w:rsidRPr="00CE7E24">
              <w:rPr>
                <w:lang w:val="de-DE"/>
              </w:rPr>
              <w:t>der Zinszahlungsbetrag</w:t>
            </w:r>
            <w:r w:rsidRPr="00F94B27" w:rsidR="00F94B27">
              <w:rPr>
                <w:b/>
                <w:lang w:val="de-DE"/>
              </w:rPr>
              <w:t>]</w:t>
            </w:r>
            <w:r w:rsidRPr="00CE7E24">
              <w:rPr>
                <w:lang w:val="de-DE"/>
              </w:rPr>
              <w:t xml:space="preserve"> </w:t>
            </w:r>
            <w:r w:rsidRPr="00F94B27" w:rsidR="00F94B27">
              <w:rPr>
                <w:b/>
                <w:lang w:val="de-DE"/>
              </w:rPr>
              <w:t>[</w:t>
            </w:r>
            <w:r w:rsidRPr="00CE7E24">
              <w:rPr>
                <w:lang w:val="de-DE"/>
              </w:rPr>
              <w:t>die Zinszahlungsbeträge</w:t>
            </w:r>
            <w:r w:rsidRPr="00F94B27" w:rsidR="00F94B27">
              <w:rPr>
                <w:b/>
                <w:lang w:val="de-DE"/>
              </w:rPr>
              <w:t>]</w:t>
            </w:r>
            <w:r w:rsidRPr="00CE7E24">
              <w:rPr>
                <w:lang w:val="de-DE"/>
              </w:rPr>
              <w:t xml:space="preserve"> berechnet </w:t>
            </w:r>
            <w:r w:rsidRPr="00F94B27" w:rsidR="00F94B27">
              <w:rPr>
                <w:b/>
                <w:lang w:val="de-DE"/>
              </w:rPr>
              <w:t>[</w:t>
            </w:r>
            <w:r w:rsidRPr="00CE7E24">
              <w:rPr>
                <w:lang w:val="de-DE"/>
              </w:rPr>
              <w:t>wird</w:t>
            </w:r>
            <w:r w:rsidRPr="00F94B27" w:rsidR="00F94B27">
              <w:rPr>
                <w:b/>
                <w:lang w:val="de-DE"/>
              </w:rPr>
              <w:t>]</w:t>
            </w:r>
            <w:r w:rsidRPr="00CE7E24">
              <w:rPr>
                <w:lang w:val="de-DE"/>
              </w:rPr>
              <w:t xml:space="preserve"> </w:t>
            </w:r>
            <w:r w:rsidRPr="00F94B27" w:rsidR="00F94B27">
              <w:rPr>
                <w:b/>
                <w:lang w:val="de-DE"/>
              </w:rPr>
              <w:t>[</w:t>
            </w:r>
            <w:r w:rsidRPr="00CE7E24">
              <w:rPr>
                <w:lang w:val="de-DE"/>
              </w:rPr>
              <w:t>werden</w:t>
            </w:r>
            <w:r w:rsidRPr="00F94B27" w:rsidR="00F94B27">
              <w:rPr>
                <w:b/>
                <w:lang w:val="de-DE"/>
              </w:rPr>
              <w:t>]</w:t>
            </w:r>
            <w:r w:rsidRPr="00CE7E24">
              <w:rPr>
                <w:lang w:val="de-DE"/>
              </w:rPr>
              <w:t xml:space="preserve">, </w:t>
            </w:r>
            <w:r w:rsidRPr="00F94B27" w:rsidR="00F94B27">
              <w:rPr>
                <w:b/>
                <w:lang w:val="de-DE"/>
              </w:rPr>
              <w:t>[</w:t>
            </w:r>
            <w:r w:rsidRPr="00CE7E24">
              <w:rPr>
                <w:lang w:val="de-DE"/>
              </w:rPr>
              <w:t xml:space="preserve">dem Referenzsatz (d.h. einem variablen Zinssatz) am </w:t>
            </w:r>
            <w:r w:rsidRPr="00F94B27" w:rsidR="00F94B27">
              <w:rPr>
                <w:b/>
                <w:lang w:val="de-DE"/>
              </w:rPr>
              <w:t>[</w:t>
            </w:r>
            <w:r w:rsidRPr="00CE7E24">
              <w:rPr>
                <w:lang w:val="de-DE"/>
              </w:rPr>
              <w:t>jeweiligen</w:t>
            </w:r>
            <w:r w:rsidRPr="00F94B27" w:rsidR="00F94B27">
              <w:rPr>
                <w:b/>
                <w:lang w:val="de-DE"/>
              </w:rPr>
              <w:t>]</w:t>
            </w:r>
            <w:r w:rsidRPr="00CE7E24">
              <w:rPr>
                <w:lang w:val="de-DE"/>
              </w:rPr>
              <w:t xml:space="preserve"> Zinsfeststellungstag</w:t>
            </w:r>
            <w:r w:rsidRPr="00F94B27" w:rsidR="00F94B27">
              <w:rPr>
                <w:b/>
                <w:lang w:val="de-DE"/>
              </w:rPr>
              <w:t>]</w:t>
            </w:r>
            <w:r w:rsidRPr="00CE7E24">
              <w:rPr>
                <w:lang w:val="de-DE"/>
              </w:rPr>
              <w:t xml:space="preserve"> </w:t>
            </w:r>
            <w:r w:rsidRPr="00F94B27" w:rsidR="00F94B27">
              <w:rPr>
                <w:b/>
                <w:lang w:val="de-DE"/>
              </w:rPr>
              <w:t>[</w:t>
            </w:r>
            <w:r w:rsidRPr="00CE7E24">
              <w:rPr>
                <w:lang w:val="de-DE"/>
              </w:rPr>
              <w:t xml:space="preserve">der Summe aus dem Referenzsatz (d.h. einem variablen Zinssatz) am jeweiligen Zinsfeststellungstag und </w:t>
            </w:r>
            <w:r w:rsidRPr="00F94B27" w:rsidR="00F94B27">
              <w:rPr>
                <w:b/>
                <w:lang w:val="de-DE"/>
              </w:rPr>
              <w:t>[</w:t>
            </w:r>
            <w:r w:rsidRPr="003F5ED6" w:rsidR="003857E8">
              <w:rPr>
                <w:rFonts w:ascii="Arial" w:hAnsi="Arial" w:cs="Arial"/>
                <w:lang w:val="de-DE"/>
              </w:rPr>
              <w:t>●</w:t>
            </w:r>
            <w:r w:rsidRPr="00F94B27" w:rsidR="00F94B27">
              <w:rPr>
                <w:b/>
                <w:lang w:val="de-DE"/>
              </w:rPr>
              <w:t>]</w:t>
            </w:r>
            <w:r w:rsidRPr="00CE7E24">
              <w:rPr>
                <w:lang w:val="de-DE"/>
              </w:rPr>
              <w:t>% per annum</w:t>
            </w:r>
            <w:r w:rsidRPr="00F94B27" w:rsidR="00F94B27">
              <w:rPr>
                <w:b/>
                <w:lang w:val="de-DE"/>
              </w:rPr>
              <w:t>]</w:t>
            </w:r>
            <w:r w:rsidRPr="00CE7E24">
              <w:rPr>
                <w:lang w:val="de-DE"/>
              </w:rPr>
              <w:t xml:space="preserve">. </w:t>
            </w:r>
            <w:r w:rsidRPr="00AB16EC">
              <w:rPr>
                <w:lang w:val="de-DE"/>
              </w:rPr>
              <w:t xml:space="preserve">Da der Referenzsatz Schwankungen unterliegt, ist die Höhe </w:t>
            </w:r>
            <w:r w:rsidRPr="00F94B27" w:rsidR="00F94B27">
              <w:rPr>
                <w:b/>
                <w:lang w:val="de-DE"/>
              </w:rPr>
              <w:t>[</w:t>
            </w:r>
            <w:r w:rsidRPr="00AB16EC">
              <w:rPr>
                <w:lang w:val="de-DE"/>
              </w:rPr>
              <w:t>des in Bezug auf Floating Rating Notes zahlbaren Zinszahlungsbetrags</w:t>
            </w:r>
            <w:r w:rsidRPr="00F94B27" w:rsidR="00F94B27">
              <w:rPr>
                <w:b/>
                <w:lang w:val="de-DE"/>
              </w:rPr>
              <w:t>]</w:t>
            </w:r>
            <w:r w:rsidRPr="00AB16EC">
              <w:rPr>
                <w:lang w:val="de-DE"/>
              </w:rPr>
              <w:t xml:space="preserve"> </w:t>
            </w:r>
            <w:r w:rsidRPr="00F94B27" w:rsidR="00F94B27">
              <w:rPr>
                <w:b/>
                <w:lang w:val="de-DE"/>
              </w:rPr>
              <w:t>[</w:t>
            </w:r>
            <w:r w:rsidRPr="00AB16EC">
              <w:rPr>
                <w:lang w:val="de-DE"/>
              </w:rPr>
              <w:t>der in Bezug auf Floating Rate Notes zahlbaren Zinszahlungsbeträge</w:t>
            </w:r>
            <w:r w:rsidRPr="00F94B27" w:rsidR="00F94B27">
              <w:rPr>
                <w:b/>
                <w:lang w:val="de-DE"/>
              </w:rPr>
              <w:t>]</w:t>
            </w:r>
            <w:r w:rsidRPr="00AB16EC">
              <w:rPr>
                <w:lang w:val="de-DE"/>
              </w:rPr>
              <w:t xml:space="preserve"> ungewiss und kann wesentlich niedriger sein als die Zinszahlungsbeträge, die für herkömmliche festverzinsliche Schuldtitel der Emittentin mit vergleichbarer Laufzeit gezahlt würden. </w:t>
            </w:r>
            <w:r w:rsidRPr="00F94B27" w:rsidR="00F94B27">
              <w:rPr>
                <w:b/>
                <w:lang w:val="de-DE"/>
              </w:rPr>
              <w:t>[</w:t>
            </w:r>
            <w:r w:rsidRPr="00AB16EC">
              <w:rPr>
                <w:b/>
                <w:i/>
                <w:lang w:val="de-DE"/>
              </w:rPr>
              <w:t>bei Komplexen Produkten mit Mindestzinssatz und/oder Höchstzinssatz:</w:t>
            </w:r>
            <w:r w:rsidRPr="00AB16EC">
              <w:rPr>
                <w:lang w:val="de-DE"/>
              </w:rPr>
              <w:t xml:space="preserve"> In jedem Fall </w:t>
            </w:r>
            <w:r w:rsidRPr="00F94B27" w:rsidR="00F94B27">
              <w:rPr>
                <w:b/>
                <w:lang w:val="de-DE"/>
              </w:rPr>
              <w:t>[</w:t>
            </w:r>
            <w:r w:rsidRPr="00AB16EC">
              <w:rPr>
                <w:lang w:val="de-DE"/>
              </w:rPr>
              <w:t xml:space="preserve">entspricht der Zinssatz mindestens dem </w:t>
            </w:r>
            <w:r w:rsidRPr="00F94B27" w:rsidR="00F94B27">
              <w:rPr>
                <w:b/>
                <w:lang w:val="de-DE"/>
              </w:rPr>
              <w:t>[</w:t>
            </w:r>
            <w:r w:rsidRPr="00AB16EC">
              <w:rPr>
                <w:lang w:val="de-DE"/>
              </w:rPr>
              <w:t>jeweiligen</w:t>
            </w:r>
            <w:r w:rsidRPr="00F94B27" w:rsidR="00F94B27">
              <w:rPr>
                <w:b/>
                <w:lang w:val="de-DE"/>
              </w:rPr>
              <w:t>]</w:t>
            </w:r>
            <w:r w:rsidRPr="00AB16EC">
              <w:rPr>
                <w:lang w:val="de-DE"/>
              </w:rPr>
              <w:t xml:space="preserve"> Mindestzinssatz</w:t>
            </w:r>
            <w:r w:rsidRPr="00F94B27" w:rsidR="00F94B27">
              <w:rPr>
                <w:b/>
                <w:lang w:val="de-DE"/>
              </w:rPr>
              <w:t>]</w:t>
            </w:r>
            <w:r w:rsidRPr="00AB16EC">
              <w:rPr>
                <w:lang w:val="de-DE"/>
              </w:rPr>
              <w:t xml:space="preserve"> </w:t>
            </w:r>
            <w:r w:rsidRPr="00F94B27" w:rsidR="00F94B27">
              <w:rPr>
                <w:b/>
                <w:lang w:val="de-DE"/>
              </w:rPr>
              <w:t>[</w:t>
            </w:r>
            <w:r w:rsidRPr="00AB16EC">
              <w:rPr>
                <w:lang w:val="de-DE"/>
              </w:rPr>
              <w:t xml:space="preserve">wird der Zinssatz nicht höher als der </w:t>
            </w:r>
            <w:r w:rsidRPr="00F94B27" w:rsidR="00F94B27">
              <w:rPr>
                <w:b/>
                <w:lang w:val="de-DE"/>
              </w:rPr>
              <w:t>[</w:t>
            </w:r>
            <w:r w:rsidRPr="00AB16EC">
              <w:rPr>
                <w:lang w:val="de-DE"/>
              </w:rPr>
              <w:t>jeweilige</w:t>
            </w:r>
            <w:r w:rsidRPr="00F94B27" w:rsidR="00F94B27">
              <w:rPr>
                <w:b/>
                <w:lang w:val="de-DE"/>
              </w:rPr>
              <w:t>]</w:t>
            </w:r>
            <w:r w:rsidRPr="00AB16EC">
              <w:rPr>
                <w:lang w:val="de-DE"/>
              </w:rPr>
              <w:t xml:space="preserve"> Höchstzinssatz sein</w:t>
            </w:r>
            <w:r w:rsidRPr="00F94B27" w:rsidR="00F94B27">
              <w:rPr>
                <w:b/>
                <w:lang w:val="de-DE"/>
              </w:rPr>
              <w:t>]</w:t>
            </w:r>
            <w:r w:rsidRPr="00AB16EC">
              <w:rPr>
                <w:lang w:val="de-DE"/>
              </w:rPr>
              <w:t xml:space="preserve"> </w:t>
            </w:r>
            <w:r w:rsidRPr="00F94B27" w:rsidR="00F94B27">
              <w:rPr>
                <w:b/>
                <w:lang w:val="de-DE"/>
              </w:rPr>
              <w:t>[</w:t>
            </w:r>
            <w:r w:rsidRPr="00AB16EC">
              <w:rPr>
                <w:lang w:val="de-DE"/>
              </w:rPr>
              <w:t xml:space="preserve">entspricht der Zinssatz mindestens dem </w:t>
            </w:r>
            <w:r w:rsidRPr="00F94B27" w:rsidR="00F94B27">
              <w:rPr>
                <w:b/>
                <w:lang w:val="de-DE"/>
              </w:rPr>
              <w:t>[</w:t>
            </w:r>
            <w:r w:rsidRPr="00AB16EC">
              <w:rPr>
                <w:lang w:val="de-DE"/>
              </w:rPr>
              <w:t>jeweiligen</w:t>
            </w:r>
            <w:r w:rsidRPr="00F94B27" w:rsidR="00F94B27">
              <w:rPr>
                <w:b/>
                <w:lang w:val="de-DE"/>
              </w:rPr>
              <w:t>]</w:t>
            </w:r>
            <w:r w:rsidRPr="00AB16EC">
              <w:rPr>
                <w:lang w:val="de-DE"/>
              </w:rPr>
              <w:t xml:space="preserve"> Mindestzinssatz, wird aber nicht höher als der </w:t>
            </w:r>
            <w:r w:rsidRPr="00F94B27" w:rsidR="00F94B27">
              <w:rPr>
                <w:b/>
                <w:lang w:val="de-DE"/>
              </w:rPr>
              <w:t>[</w:t>
            </w:r>
            <w:r w:rsidRPr="00AB16EC">
              <w:rPr>
                <w:lang w:val="de-DE"/>
              </w:rPr>
              <w:t>jeweilige</w:t>
            </w:r>
            <w:r w:rsidRPr="00F94B27" w:rsidR="00F94B27">
              <w:rPr>
                <w:b/>
                <w:lang w:val="de-DE"/>
              </w:rPr>
              <w:t>]</w:t>
            </w:r>
            <w:r w:rsidRPr="00AB16EC">
              <w:rPr>
                <w:lang w:val="de-DE"/>
              </w:rPr>
              <w:t xml:space="preserve"> Höchstzinssatz sein</w:t>
            </w:r>
            <w:r w:rsidRPr="00F94B27" w:rsidR="00F94B27">
              <w:rPr>
                <w:b/>
                <w:lang w:val="de-DE"/>
              </w:rPr>
              <w:t>]</w:t>
            </w:r>
            <w:r w:rsidRPr="00AB16EC">
              <w:rPr>
                <w:lang w:val="de-DE"/>
              </w:rPr>
              <w:t>.</w:t>
            </w:r>
            <w:r w:rsidRPr="00F94B27" w:rsidR="00F94B27">
              <w:rPr>
                <w:b/>
                <w:lang w:val="de-DE"/>
              </w:rPr>
              <w:t>[</w:t>
            </w:r>
            <w:r w:rsidRPr="00AB16EC">
              <w:rPr>
                <w:b/>
                <w:i/>
                <w:lang w:val="de-DE"/>
              </w:rPr>
              <w:t>bei Komplexen Produkten mit Mindestzinssatz und Höchstzinssatz, die die Anwendung der Partizipation vorsehen:</w:t>
            </w:r>
            <w:r w:rsidRPr="00AB16EC">
              <w:rPr>
                <w:lang w:val="de-DE"/>
              </w:rPr>
              <w:t xml:space="preserve"> Darüber hinaus wird für die Berechnung des anwendbaren Zinssatzes die Partizipation, bei der es sich um einen Multiplikator handelt, angewendet.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CE7E24" w:rsidRPr="00AB16EC" w:rsidP="00CE7E24">
            <w:pPr>
              <w:pStyle w:val="CSbody0bolditalic"/>
              <w:rPr>
                <w:lang w:val="en-GB"/>
              </w:rPr>
            </w:pPr>
            <w:r w:rsidRPr="00F94B27">
              <w:rPr>
                <w:lang w:val="en-GB"/>
              </w:rPr>
              <w:t>[</w:t>
            </w:r>
            <w:r w:rsidRPr="00AB16EC">
              <w:rPr>
                <w:lang w:val="en-GB"/>
              </w:rPr>
              <w:t>in case of Fixed to Floating Rate Notes:</w:t>
            </w:r>
          </w:p>
        </w:tc>
        <w:tc>
          <w:tcPr>
            <w:tcW w:w="2466" w:type="pct"/>
            <w:gridSpan w:val="14"/>
            <w:tcBorders>
              <w:left w:val="single" w:sz="4" w:space="0" w:color="auto"/>
            </w:tcBorders>
          </w:tcPr>
          <w:p w:rsidR="00CE7E24" w:rsidRPr="00AB16EC" w:rsidP="00CE7E24">
            <w:pPr>
              <w:pStyle w:val="CSbody0bolditalic"/>
              <w:rPr>
                <w:lang w:val="en-GB"/>
              </w:rPr>
            </w:pPr>
            <w:r w:rsidRPr="00F94B27">
              <w:rPr>
                <w:lang w:val="en-GB"/>
              </w:rPr>
              <w:t>[</w:t>
            </w:r>
            <w:r w:rsidRPr="00AB16EC">
              <w:rPr>
                <w:lang w:val="en-GB"/>
              </w:rPr>
              <w:t>bei Fixed to Floating Rate Notes:</w:t>
            </w:r>
          </w:p>
        </w:tc>
      </w:tr>
      <w:tr w:rsidTr="00942F00">
        <w:tblPrEx>
          <w:tblW w:w="5000" w:type="pct"/>
          <w:tblLayout w:type="fixed"/>
          <w:tblLook w:val="04A0"/>
        </w:tblPrEx>
        <w:tc>
          <w:tcPr>
            <w:tcW w:w="2534" w:type="pct"/>
            <w:gridSpan w:val="14"/>
            <w:tcBorders>
              <w:right w:val="single" w:sz="4" w:space="0" w:color="auto"/>
            </w:tcBorders>
          </w:tcPr>
          <w:p w:rsidR="00CE7E24" w:rsidRPr="0012583F" w:rsidP="00CE7E24">
            <w:pPr>
              <w:pStyle w:val="CSBody0"/>
            </w:pPr>
            <w:r w:rsidRPr="0012583F">
              <w:t xml:space="preserve">In case of Fixed to Floating Rate Notes, the Interest Rate on the basis of which the Interest Payment Amounts are calculated will be equal to a fixed rate per annum for the </w:t>
            </w:r>
            <w:r w:rsidRPr="00F94B27" w:rsidR="00F94B27">
              <w:rPr>
                <w:b/>
              </w:rPr>
              <w:t>[</w:t>
            </w:r>
            <w:r w:rsidRPr="0012583F">
              <w:t>first</w:t>
            </w:r>
            <w:r w:rsidRPr="00F94B27" w:rsidR="00F94B27">
              <w:rPr>
                <w:b/>
              </w:rPr>
              <w:t>]</w:t>
            </w:r>
            <w:r w:rsidRPr="0012583F">
              <w:t xml:space="preserve"> </w:t>
            </w:r>
            <w:r w:rsidRPr="00F94B27" w:rsidR="00F94B27">
              <w:rPr>
                <w:b/>
              </w:rPr>
              <w:t>[</w:t>
            </w:r>
            <w:r w:rsidRPr="0012583F">
              <w:t xml:space="preserve">first </w:t>
            </w:r>
            <w:r w:rsidRPr="00F94B27" w:rsidR="00F94B27">
              <w:rPr>
                <w:b/>
              </w:rPr>
              <w:t>[</w:t>
            </w:r>
            <w:r w:rsidRPr="00CE7E24">
              <w:rPr>
                <w:b/>
                <w:i/>
              </w:rPr>
              <w:t>insert number of Interest Payment Dates, on which a fixed rate per annum is applicable:</w:t>
            </w:r>
            <w:r w:rsidRPr="0012583F">
              <w:t xml:space="preserve"> </w:t>
            </w:r>
            <w:r w:rsidRPr="00F94B27" w:rsidR="00F94B27">
              <w:rPr>
                <w:b/>
              </w:rPr>
              <w:t>[</w:t>
            </w:r>
            <w:r w:rsidR="003857E8">
              <w:rPr>
                <w:rFonts w:ascii="Arial" w:hAnsi="Arial" w:cs="Arial"/>
              </w:rPr>
              <w:t>●</w:t>
            </w:r>
            <w:r w:rsidRPr="00F94B27" w:rsidR="00F94B27">
              <w:rPr>
                <w:b/>
              </w:rPr>
              <w:t>]]</w:t>
            </w:r>
            <w:r w:rsidRPr="0012583F">
              <w:t xml:space="preserve"> Interest Payment Date</w:t>
            </w:r>
            <w:r w:rsidRPr="00F94B27" w:rsidR="00F94B27">
              <w:rPr>
                <w:b/>
              </w:rPr>
              <w:t>[</w:t>
            </w:r>
            <w:r w:rsidRPr="0012583F">
              <w:t>s</w:t>
            </w:r>
            <w:r w:rsidRPr="00F94B27" w:rsidR="00F94B27">
              <w:rPr>
                <w:b/>
              </w:rPr>
              <w:t>]</w:t>
            </w:r>
            <w:r w:rsidRPr="0012583F">
              <w:t xml:space="preserve">. For the calculation of the Interest Payment Amount on the </w:t>
            </w:r>
            <w:r w:rsidRPr="00F94B27" w:rsidR="00F94B27">
              <w:rPr>
                <w:b/>
              </w:rPr>
              <w:t>[</w:t>
            </w:r>
            <w:r w:rsidRPr="00CE7E24">
              <w:rPr>
                <w:b/>
                <w:i/>
              </w:rPr>
              <w:t>insert number of Interest Payment Date, on which the Interest Rate will be switched from a fixed to a variable rate per annum:</w:t>
            </w:r>
            <w:r w:rsidRPr="0012583F">
              <w:t xml:space="preserve"> </w:t>
            </w:r>
            <w:r w:rsidRPr="00F94B27" w:rsidR="00F94B27">
              <w:rPr>
                <w:b/>
              </w:rPr>
              <w:t>[</w:t>
            </w:r>
            <w:r w:rsidR="003857E8">
              <w:rPr>
                <w:rFonts w:ascii="Arial" w:hAnsi="Arial" w:cs="Arial"/>
              </w:rPr>
              <w:t>●</w:t>
            </w:r>
            <w:r w:rsidRPr="00F94B27" w:rsidR="00F94B27">
              <w:rPr>
                <w:b/>
              </w:rPr>
              <w:t>]]</w:t>
            </w:r>
            <w:r w:rsidRPr="0012583F">
              <w:t xml:space="preserve"> Interest Payment Date </w:t>
            </w:r>
            <w:r w:rsidRPr="00F94B27" w:rsidR="00F94B27">
              <w:rPr>
                <w:b/>
              </w:rPr>
              <w:t>[</w:t>
            </w:r>
            <w:r w:rsidRPr="0012583F">
              <w:t>and any following Interest Payment Date</w:t>
            </w:r>
            <w:r w:rsidRPr="00F94B27" w:rsidR="00F94B27">
              <w:rPr>
                <w:b/>
              </w:rPr>
              <w:t>]</w:t>
            </w:r>
            <w:r w:rsidRPr="0012583F">
              <w:t xml:space="preserve"> the fixed Interest Rate used for the calculation of the Interest Payment Amount on the previous Interest Payment Date will be switched to a variable Interest Rate. On </w:t>
            </w:r>
            <w:r w:rsidRPr="00F94B27" w:rsidR="00F94B27">
              <w:rPr>
                <w:b/>
              </w:rPr>
              <w:t>[</w:t>
            </w:r>
            <w:r w:rsidRPr="0012583F">
              <w:t>the</w:t>
            </w:r>
            <w:r w:rsidRPr="00F94B27" w:rsidR="00F94B27">
              <w:rPr>
                <w:b/>
              </w:rPr>
              <w:t>][</w:t>
            </w:r>
            <w:r w:rsidRPr="0012583F">
              <w:t>each</w:t>
            </w:r>
            <w:r w:rsidRPr="00F94B27" w:rsidR="00F94B27">
              <w:rPr>
                <w:b/>
              </w:rPr>
              <w:t>]</w:t>
            </w:r>
            <w:r w:rsidRPr="0012583F">
              <w:t xml:space="preserve"> Interest Payment Date, on which a variable Interest Rate is applicable, such variable rate will be equal to the </w:t>
            </w:r>
            <w:r w:rsidRPr="00F94B27" w:rsidR="00F94B27">
              <w:rPr>
                <w:b/>
              </w:rPr>
              <w:t>[</w:t>
            </w:r>
            <w:r w:rsidRPr="0012583F">
              <w:t>Reference Rate (</w:t>
            </w:r>
            <w:r w:rsidRPr="007E3558" w:rsidR="007E3558">
              <w:rPr>
                <w:i/>
              </w:rPr>
              <w:t>i.e.</w:t>
            </w:r>
            <w:r w:rsidRPr="0012583F">
              <w:t xml:space="preserve">, a variable rate of interest) on the </w:t>
            </w:r>
            <w:r w:rsidRPr="00F94B27" w:rsidR="00F94B27">
              <w:rPr>
                <w:b/>
              </w:rPr>
              <w:t>[</w:t>
            </w:r>
            <w:r w:rsidRPr="0012583F">
              <w:t>relevant</w:t>
            </w:r>
            <w:r w:rsidRPr="00F94B27" w:rsidR="00F94B27">
              <w:rPr>
                <w:b/>
              </w:rPr>
              <w:t>]</w:t>
            </w:r>
            <w:r w:rsidRPr="0012583F">
              <w:t xml:space="preserve"> Interest Determination Date</w:t>
            </w:r>
            <w:r w:rsidRPr="00F94B27" w:rsidR="00F94B27">
              <w:rPr>
                <w:b/>
              </w:rPr>
              <w:t>]</w:t>
            </w:r>
            <w:r w:rsidRPr="0012583F">
              <w:t xml:space="preserve"> </w:t>
            </w:r>
            <w:r w:rsidRPr="00F94B27" w:rsidR="00F94B27">
              <w:rPr>
                <w:b/>
              </w:rPr>
              <w:t>[</w:t>
            </w:r>
            <w:r w:rsidRPr="0012583F">
              <w:t>sum of the Reference Rate (</w:t>
            </w:r>
            <w:r w:rsidRPr="007E3558" w:rsidR="007E3558">
              <w:rPr>
                <w:i/>
              </w:rPr>
              <w:t>i.e.</w:t>
            </w:r>
            <w:r w:rsidRPr="0012583F">
              <w:t xml:space="preserve">, a variable rate of interest) on the </w:t>
            </w:r>
            <w:r w:rsidRPr="00F94B27" w:rsidR="00F94B27">
              <w:rPr>
                <w:b/>
              </w:rPr>
              <w:t>[</w:t>
            </w:r>
            <w:r w:rsidRPr="0012583F">
              <w:t>relevant</w:t>
            </w:r>
            <w:r w:rsidRPr="00F94B27" w:rsidR="00F94B27">
              <w:rPr>
                <w:b/>
              </w:rPr>
              <w:t>]</w:t>
            </w:r>
            <w:r w:rsidRPr="0012583F">
              <w:t xml:space="preserve"> Interest Determination Date and </w:t>
            </w:r>
            <w:r w:rsidRPr="00F94B27" w:rsidR="00F94B27">
              <w:rPr>
                <w:b/>
              </w:rPr>
              <w:t>[</w:t>
            </w:r>
            <w:r w:rsidR="003857E8">
              <w:rPr>
                <w:rFonts w:ascii="Arial" w:hAnsi="Arial" w:cs="Arial"/>
              </w:rPr>
              <w:t>●</w:t>
            </w:r>
            <w:r w:rsidRPr="00F94B27" w:rsidR="00F94B27">
              <w:rPr>
                <w:b/>
              </w:rPr>
              <w:t>]</w:t>
            </w:r>
            <w:r w:rsidRPr="0012583F">
              <w:t>% per annum</w:t>
            </w:r>
            <w:r w:rsidRPr="00F94B27" w:rsidR="00F94B27">
              <w:rPr>
                <w:b/>
              </w:rPr>
              <w:t>]</w:t>
            </w:r>
            <w:r w:rsidRPr="0012583F">
              <w:t xml:space="preserve">. As the Reference Rate is subject to fluctuations, the </w:t>
            </w:r>
            <w:r w:rsidRPr="00F94B27" w:rsidR="00F94B27">
              <w:rPr>
                <w:b/>
              </w:rPr>
              <w:t>[</w:t>
            </w:r>
            <w:r w:rsidRPr="0012583F">
              <w:t>relevant</w:t>
            </w:r>
            <w:r w:rsidRPr="00F94B27" w:rsidR="00F94B27">
              <w:rPr>
                <w:b/>
              </w:rPr>
              <w:t>]</w:t>
            </w:r>
            <w:r w:rsidRPr="0012583F">
              <w:t xml:space="preserve"> Interest Payment Amount payable on </w:t>
            </w:r>
            <w:r w:rsidRPr="00F94B27" w:rsidR="00F94B27">
              <w:rPr>
                <w:b/>
              </w:rPr>
              <w:t>[</w:t>
            </w:r>
            <w:r w:rsidRPr="0012583F">
              <w:t>the</w:t>
            </w:r>
            <w:r w:rsidRPr="00F94B27" w:rsidR="00F94B27">
              <w:rPr>
                <w:b/>
              </w:rPr>
              <w:t>]</w:t>
            </w:r>
            <w:r w:rsidRPr="0012583F">
              <w:t xml:space="preserve"> </w:t>
            </w:r>
            <w:r w:rsidRPr="00F94B27" w:rsidR="00F94B27">
              <w:rPr>
                <w:b/>
              </w:rPr>
              <w:t>[</w:t>
            </w:r>
            <w:r w:rsidRPr="0012583F">
              <w:t>each</w:t>
            </w:r>
            <w:r w:rsidRPr="00F94B27" w:rsidR="00F94B27">
              <w:rPr>
                <w:b/>
              </w:rPr>
              <w:t>]</w:t>
            </w:r>
            <w:r w:rsidRPr="0012583F">
              <w:t xml:space="preserve"> Interest Payment Date, in respect of which a variable rate of interest is applicable, is uncertain and may be substantially lower than the interest payment amounts that would be payable under conventional fixed rate debt securities of the Issuer with a comparable term. </w:t>
            </w:r>
            <w:r w:rsidRPr="00F94B27" w:rsidR="00F94B27">
              <w:rPr>
                <w:b/>
              </w:rPr>
              <w:t>[</w:t>
            </w:r>
            <w:r w:rsidRPr="00CE7E24">
              <w:rPr>
                <w:b/>
                <w:i/>
              </w:rPr>
              <w:t>in case of Complex Products with Minimum Interest Rate and/or Maximum Interest Rate:</w:t>
            </w:r>
            <w:r w:rsidRPr="0012583F">
              <w:t xml:space="preserve"> In any case, the Interest Rate will </w:t>
            </w:r>
            <w:r w:rsidRPr="00F94B27" w:rsidR="00F94B27">
              <w:rPr>
                <w:b/>
              </w:rPr>
              <w:t>[</w:t>
            </w:r>
            <w:r w:rsidRPr="0012583F">
              <w:t xml:space="preserve">at least be equal to the </w:t>
            </w:r>
            <w:r w:rsidRPr="00F94B27" w:rsidR="00F94B27">
              <w:rPr>
                <w:b/>
              </w:rPr>
              <w:t>[</w:t>
            </w:r>
            <w:r w:rsidRPr="0012583F">
              <w:t>relevant</w:t>
            </w:r>
            <w:r w:rsidRPr="00F94B27" w:rsidR="00F94B27">
              <w:rPr>
                <w:b/>
              </w:rPr>
              <w:t>]</w:t>
            </w:r>
            <w:r w:rsidRPr="0012583F">
              <w:t xml:space="preserve"> Minimum Interest Rate</w:t>
            </w:r>
            <w:r w:rsidRPr="00F94B27" w:rsidR="00F94B27">
              <w:rPr>
                <w:b/>
              </w:rPr>
              <w:t>]</w:t>
            </w:r>
            <w:r w:rsidRPr="0012583F">
              <w:t xml:space="preserve"> </w:t>
            </w:r>
            <w:r w:rsidRPr="00F94B27" w:rsidR="00F94B27">
              <w:rPr>
                <w:b/>
              </w:rPr>
              <w:t>[</w:t>
            </w:r>
            <w:r w:rsidRPr="0012583F">
              <w:t xml:space="preserve">not exceed the </w:t>
            </w:r>
            <w:r w:rsidRPr="00F94B27" w:rsidR="00F94B27">
              <w:rPr>
                <w:b/>
              </w:rPr>
              <w:t>[</w:t>
            </w:r>
            <w:r w:rsidRPr="0012583F">
              <w:t>relevant</w:t>
            </w:r>
            <w:r w:rsidRPr="00F94B27" w:rsidR="00F94B27">
              <w:rPr>
                <w:b/>
              </w:rPr>
              <w:t>]</w:t>
            </w:r>
            <w:r w:rsidRPr="0012583F">
              <w:t xml:space="preserve"> Maximum Interest Rate</w:t>
            </w:r>
            <w:r w:rsidRPr="00F94B27" w:rsidR="00F94B27">
              <w:rPr>
                <w:b/>
              </w:rPr>
              <w:t>]</w:t>
            </w:r>
            <w:r w:rsidRPr="0012583F">
              <w:t xml:space="preserve"> </w:t>
            </w:r>
            <w:r w:rsidRPr="00F94B27" w:rsidR="00F94B27">
              <w:rPr>
                <w:b/>
              </w:rPr>
              <w:t>[</w:t>
            </w:r>
            <w:r w:rsidRPr="0012583F">
              <w:t xml:space="preserve">at least be equal to the </w:t>
            </w:r>
            <w:r w:rsidRPr="00F94B27" w:rsidR="00F94B27">
              <w:rPr>
                <w:b/>
              </w:rPr>
              <w:t>[</w:t>
            </w:r>
            <w:r w:rsidRPr="0012583F">
              <w:t>relevant</w:t>
            </w:r>
            <w:r w:rsidRPr="00F94B27" w:rsidR="00F94B27">
              <w:rPr>
                <w:b/>
              </w:rPr>
              <w:t>]</w:t>
            </w:r>
            <w:r w:rsidRPr="0012583F">
              <w:t xml:space="preserve"> Minimum Interest Rate, but not exceed the </w:t>
            </w:r>
            <w:r w:rsidRPr="00F94B27" w:rsidR="00F94B27">
              <w:rPr>
                <w:b/>
              </w:rPr>
              <w:t>[</w:t>
            </w:r>
            <w:r w:rsidRPr="0012583F">
              <w:t>relevant</w:t>
            </w:r>
            <w:r w:rsidRPr="00F94B27" w:rsidR="00F94B27">
              <w:rPr>
                <w:b/>
              </w:rPr>
              <w:t>]</w:t>
            </w:r>
            <w:r w:rsidRPr="0012583F">
              <w:t xml:space="preserve"> Maximum Interest Rate</w:t>
            </w:r>
            <w:r w:rsidRPr="00F94B27" w:rsidR="00F94B27">
              <w:rPr>
                <w:b/>
              </w:rPr>
              <w:t>]</w:t>
            </w:r>
            <w:r w:rsidRPr="0012583F">
              <w:t>.</w:t>
            </w:r>
            <w:r w:rsidRPr="00F94B27" w:rsidR="00F94B27">
              <w:rPr>
                <w:b/>
              </w:rPr>
              <w:t>]</w:t>
            </w:r>
          </w:p>
        </w:tc>
        <w:tc>
          <w:tcPr>
            <w:tcW w:w="2466" w:type="pct"/>
            <w:gridSpan w:val="14"/>
            <w:tcBorders>
              <w:left w:val="single" w:sz="4" w:space="0" w:color="auto"/>
            </w:tcBorders>
          </w:tcPr>
          <w:p w:rsidR="00CE7E24" w:rsidRPr="00AB16EC" w:rsidP="00CE7E24">
            <w:pPr>
              <w:pStyle w:val="CSBody0"/>
              <w:rPr>
                <w:lang w:val="de-DE"/>
              </w:rPr>
            </w:pPr>
            <w:r w:rsidRPr="00CE7E24">
              <w:rPr>
                <w:lang w:val="de-DE"/>
              </w:rPr>
              <w:t xml:space="preserve">Bei Fixed to Floating Rate Notes entspricht der Zinssatz, auf dessen Grundlage die Zinszahlungsbeträge berechnet werden, einem Festsatz per annum für </w:t>
            </w:r>
            <w:r w:rsidRPr="00F94B27" w:rsidR="00F94B27">
              <w:rPr>
                <w:b/>
                <w:lang w:val="de-DE"/>
              </w:rPr>
              <w:t>[</w:t>
            </w:r>
            <w:r w:rsidRPr="00CE7E24">
              <w:rPr>
                <w:lang w:val="de-DE"/>
              </w:rPr>
              <w:t>den ersten</w:t>
            </w:r>
            <w:r w:rsidRPr="00F94B27" w:rsidR="00F94B27">
              <w:rPr>
                <w:b/>
                <w:lang w:val="de-DE"/>
              </w:rPr>
              <w:t>]</w:t>
            </w:r>
            <w:r w:rsidRPr="00CE7E24">
              <w:rPr>
                <w:lang w:val="de-DE"/>
              </w:rPr>
              <w:t xml:space="preserve"> </w:t>
            </w:r>
            <w:r w:rsidRPr="00F94B27" w:rsidR="00F94B27">
              <w:rPr>
                <w:b/>
                <w:lang w:val="de-DE"/>
              </w:rPr>
              <w:t>[</w:t>
            </w:r>
            <w:r w:rsidRPr="00CE7E24">
              <w:rPr>
                <w:lang w:val="de-DE"/>
              </w:rPr>
              <w:t xml:space="preserve">die ersten </w:t>
            </w:r>
            <w:r w:rsidRPr="00F94B27" w:rsidR="00F94B27">
              <w:rPr>
                <w:b/>
                <w:lang w:val="de-DE"/>
              </w:rPr>
              <w:t>[</w:t>
            </w:r>
            <w:r w:rsidRPr="00CE7E24">
              <w:rPr>
                <w:b/>
                <w:i/>
                <w:lang w:val="de-DE"/>
              </w:rPr>
              <w:t>Anzahl der Zinszahlungstage einfügen, an denen ein Festsatz per annum anwendbar ist:</w:t>
            </w:r>
            <w:r w:rsidRPr="00CE7E24">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CE7E24">
              <w:rPr>
                <w:lang w:val="de-DE"/>
              </w:rPr>
              <w:t xml:space="preserve"> Zinszahlungstag</w:t>
            </w:r>
            <w:r w:rsidRPr="00F94B27" w:rsidR="00F94B27">
              <w:rPr>
                <w:b/>
                <w:lang w:val="de-DE"/>
              </w:rPr>
              <w:t>[</w:t>
            </w:r>
            <w:r w:rsidRPr="00CE7E24">
              <w:rPr>
                <w:lang w:val="de-DE"/>
              </w:rPr>
              <w:t>e</w:t>
            </w:r>
            <w:r w:rsidRPr="00F94B27" w:rsidR="00F94B27">
              <w:rPr>
                <w:b/>
                <w:lang w:val="de-DE"/>
              </w:rPr>
              <w:t>]</w:t>
            </w:r>
            <w:r w:rsidRPr="00CE7E24">
              <w:rPr>
                <w:lang w:val="de-DE"/>
              </w:rPr>
              <w:t xml:space="preserve">. Für die Berechnung des Zinszahlungsbetrags am </w:t>
            </w:r>
            <w:r w:rsidRPr="00F94B27" w:rsidR="00F94B27">
              <w:rPr>
                <w:b/>
                <w:lang w:val="de-DE"/>
              </w:rPr>
              <w:t>[</w:t>
            </w:r>
            <w:r w:rsidRPr="00CE7E24">
              <w:rPr>
                <w:b/>
                <w:i/>
                <w:lang w:val="de-DE"/>
              </w:rPr>
              <w:t>Zahl des Zinszahlungstags einfügen, an dem der Zinssatz von einem Festsatz zu einem variablen Satz per annum gewechselt wird:</w:t>
            </w:r>
            <w:r w:rsidRPr="00CE7E24">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CE7E24">
              <w:rPr>
                <w:lang w:val="de-DE"/>
              </w:rPr>
              <w:t xml:space="preserve"> Zinszahlungstag </w:t>
            </w:r>
            <w:r w:rsidRPr="00F94B27" w:rsidR="00F94B27">
              <w:rPr>
                <w:b/>
                <w:lang w:val="de-DE"/>
              </w:rPr>
              <w:t>[</w:t>
            </w:r>
            <w:r w:rsidRPr="00CE7E24">
              <w:rPr>
                <w:lang w:val="de-DE"/>
              </w:rPr>
              <w:t>und jeden folgenden Zinszahlungstag</w:t>
            </w:r>
            <w:r w:rsidRPr="00F94B27" w:rsidR="00F94B27">
              <w:rPr>
                <w:b/>
                <w:lang w:val="de-DE"/>
              </w:rPr>
              <w:t>]</w:t>
            </w:r>
            <w:r w:rsidRPr="00CE7E24">
              <w:rPr>
                <w:lang w:val="de-DE"/>
              </w:rPr>
              <w:t xml:space="preserve"> wird der feste Zinssatz, der für die Berechnung des Zinszahlungsbetrags am vorangegangenen Zinszahlungstag verwendet wurde, auf einen variablen Zinssatz umgestellt. An </w:t>
            </w:r>
            <w:r w:rsidRPr="00F94B27" w:rsidR="00F94B27">
              <w:rPr>
                <w:b/>
                <w:lang w:val="de-DE"/>
              </w:rPr>
              <w:t>[</w:t>
            </w:r>
            <w:r w:rsidRPr="00CE7E24">
              <w:rPr>
                <w:lang w:val="de-DE"/>
              </w:rPr>
              <w:t>dem</w:t>
            </w:r>
            <w:r w:rsidRPr="00F94B27" w:rsidR="00F94B27">
              <w:rPr>
                <w:b/>
                <w:lang w:val="de-DE"/>
              </w:rPr>
              <w:t>]</w:t>
            </w:r>
            <w:r w:rsidRPr="00CE7E24">
              <w:rPr>
                <w:lang w:val="de-DE"/>
              </w:rPr>
              <w:t xml:space="preserve"> </w:t>
            </w:r>
            <w:r w:rsidRPr="00F94B27" w:rsidR="00F94B27">
              <w:rPr>
                <w:b/>
                <w:lang w:val="de-DE"/>
              </w:rPr>
              <w:t>[</w:t>
            </w:r>
            <w:r w:rsidRPr="00CE7E24">
              <w:rPr>
                <w:lang w:val="de-DE"/>
              </w:rPr>
              <w:t>jedem</w:t>
            </w:r>
            <w:r w:rsidRPr="00F94B27" w:rsidR="00F94B27">
              <w:rPr>
                <w:b/>
                <w:lang w:val="de-DE"/>
              </w:rPr>
              <w:t>]</w:t>
            </w:r>
            <w:r w:rsidRPr="00CE7E24">
              <w:rPr>
                <w:lang w:val="de-DE"/>
              </w:rPr>
              <w:t xml:space="preserve"> Zinszahlungstag, an dem ein variabler Zinssatz Anwendung findet, entspricht dieser variable Zinssatz </w:t>
            </w:r>
            <w:r w:rsidRPr="00F94B27" w:rsidR="00F94B27">
              <w:rPr>
                <w:b/>
                <w:lang w:val="de-DE"/>
              </w:rPr>
              <w:t>[</w:t>
            </w:r>
            <w:r w:rsidRPr="00CE7E24">
              <w:rPr>
                <w:lang w:val="de-DE"/>
              </w:rPr>
              <w:t xml:space="preserve">dem Referenzsatz (d.h. einem variablen Zinssatz) am </w:t>
            </w:r>
            <w:r w:rsidRPr="00F94B27" w:rsidR="00F94B27">
              <w:rPr>
                <w:b/>
                <w:lang w:val="de-DE"/>
              </w:rPr>
              <w:t>[</w:t>
            </w:r>
            <w:r w:rsidRPr="00CE7E24">
              <w:rPr>
                <w:lang w:val="de-DE"/>
              </w:rPr>
              <w:t>jeweiligen</w:t>
            </w:r>
            <w:r w:rsidRPr="00F94B27" w:rsidR="00F94B27">
              <w:rPr>
                <w:b/>
                <w:lang w:val="de-DE"/>
              </w:rPr>
              <w:t>]</w:t>
            </w:r>
            <w:r w:rsidRPr="00CE7E24">
              <w:rPr>
                <w:lang w:val="de-DE"/>
              </w:rPr>
              <w:t xml:space="preserve"> Zinsfeststellungstag</w:t>
            </w:r>
            <w:r w:rsidRPr="00F94B27" w:rsidR="00F94B27">
              <w:rPr>
                <w:b/>
                <w:lang w:val="de-DE"/>
              </w:rPr>
              <w:t>]</w:t>
            </w:r>
            <w:r w:rsidRPr="00CE7E24">
              <w:rPr>
                <w:lang w:val="de-DE"/>
              </w:rPr>
              <w:t xml:space="preserve"> </w:t>
            </w:r>
            <w:r w:rsidRPr="00F94B27" w:rsidR="00F94B27">
              <w:rPr>
                <w:b/>
                <w:lang w:val="de-DE"/>
              </w:rPr>
              <w:t>[</w:t>
            </w:r>
            <w:r w:rsidRPr="00CE7E24">
              <w:rPr>
                <w:lang w:val="de-DE"/>
              </w:rPr>
              <w:t xml:space="preserve">der Summe aus dem Referenzsatz (d.h. einem variablen Zinssatz) am </w:t>
            </w:r>
            <w:r w:rsidRPr="00F94B27" w:rsidR="00F94B27">
              <w:rPr>
                <w:b/>
                <w:lang w:val="de-DE"/>
              </w:rPr>
              <w:t>[</w:t>
            </w:r>
            <w:r w:rsidRPr="00CE7E24">
              <w:rPr>
                <w:lang w:val="de-DE"/>
              </w:rPr>
              <w:t>jeweiligen</w:t>
            </w:r>
            <w:r w:rsidRPr="00F94B27" w:rsidR="00F94B27">
              <w:rPr>
                <w:b/>
                <w:lang w:val="de-DE"/>
              </w:rPr>
              <w:t>]</w:t>
            </w:r>
            <w:r w:rsidRPr="00CE7E24">
              <w:rPr>
                <w:lang w:val="de-DE"/>
              </w:rPr>
              <w:t xml:space="preserve"> Zinsfeststellungstag und </w:t>
            </w:r>
            <w:r w:rsidRPr="00F94B27" w:rsidR="00F94B27">
              <w:rPr>
                <w:b/>
                <w:lang w:val="de-DE"/>
              </w:rPr>
              <w:t>[</w:t>
            </w:r>
            <w:r w:rsidRPr="00116653" w:rsidR="003857E8">
              <w:rPr>
                <w:rFonts w:ascii="Arial" w:hAnsi="Arial" w:cs="Arial"/>
                <w:lang w:val="de-DE"/>
              </w:rPr>
              <w:t>●</w:t>
            </w:r>
            <w:r w:rsidRPr="00F94B27" w:rsidR="00F94B27">
              <w:rPr>
                <w:b/>
                <w:lang w:val="de-DE"/>
              </w:rPr>
              <w:t>]</w:t>
            </w:r>
            <w:r w:rsidRPr="00CE7E24">
              <w:rPr>
                <w:lang w:val="de-DE"/>
              </w:rPr>
              <w:t>% per annum</w:t>
            </w:r>
            <w:r w:rsidRPr="00F94B27" w:rsidR="00F94B27">
              <w:rPr>
                <w:b/>
                <w:lang w:val="de-DE"/>
              </w:rPr>
              <w:t>]</w:t>
            </w:r>
            <w:r w:rsidRPr="00CE7E24">
              <w:rPr>
                <w:lang w:val="de-DE"/>
              </w:rPr>
              <w:t xml:space="preserve">. </w:t>
            </w:r>
            <w:r w:rsidRPr="00AB16EC">
              <w:rPr>
                <w:lang w:val="de-DE"/>
              </w:rPr>
              <w:t xml:space="preserve">Da der Referenzsatz Schwankungen unterliegt, ist der </w:t>
            </w:r>
            <w:r w:rsidRPr="00F94B27" w:rsidR="00F94B27">
              <w:rPr>
                <w:b/>
                <w:lang w:val="de-DE"/>
              </w:rPr>
              <w:t>[</w:t>
            </w:r>
            <w:r w:rsidRPr="00AB16EC">
              <w:rPr>
                <w:lang w:val="de-DE"/>
              </w:rPr>
              <w:t>jeweilige</w:t>
            </w:r>
            <w:r w:rsidRPr="00F94B27" w:rsidR="00F94B27">
              <w:rPr>
                <w:b/>
                <w:lang w:val="de-DE"/>
              </w:rPr>
              <w:t>]</w:t>
            </w:r>
            <w:r w:rsidRPr="00AB16EC">
              <w:rPr>
                <w:lang w:val="de-DE"/>
              </w:rPr>
              <w:t xml:space="preserve"> Zinszahlungsbetrag, der an </w:t>
            </w:r>
            <w:r w:rsidRPr="00F94B27" w:rsidR="00F94B27">
              <w:rPr>
                <w:b/>
                <w:lang w:val="de-DE"/>
              </w:rPr>
              <w:t>[</w:t>
            </w:r>
            <w:r w:rsidRPr="00AB16EC">
              <w:rPr>
                <w:lang w:val="de-DE"/>
              </w:rPr>
              <w:t>dem</w:t>
            </w:r>
            <w:r w:rsidRPr="00F94B27" w:rsidR="00F94B27">
              <w:rPr>
                <w:b/>
                <w:lang w:val="de-DE"/>
              </w:rPr>
              <w:t>]</w:t>
            </w:r>
            <w:r w:rsidRPr="00AB16EC">
              <w:rPr>
                <w:lang w:val="de-DE"/>
              </w:rPr>
              <w:t xml:space="preserve"> </w:t>
            </w:r>
            <w:r w:rsidRPr="00F94B27" w:rsidR="00F94B27">
              <w:rPr>
                <w:b/>
                <w:lang w:val="de-DE"/>
              </w:rPr>
              <w:t>[</w:t>
            </w:r>
            <w:r w:rsidRPr="00AB16EC">
              <w:rPr>
                <w:lang w:val="de-DE"/>
              </w:rPr>
              <w:t>jedem</w:t>
            </w:r>
            <w:r w:rsidRPr="00F94B27" w:rsidR="00F94B27">
              <w:rPr>
                <w:b/>
                <w:lang w:val="de-DE"/>
              </w:rPr>
              <w:t>]</w:t>
            </w:r>
            <w:r w:rsidRPr="00AB16EC">
              <w:rPr>
                <w:lang w:val="de-DE"/>
              </w:rPr>
              <w:t xml:space="preserve"> Zinszahlungstag, an dem ein variabler Zinssatz anwendbar ist, zahlbar ist, ungewiss und kann wesentlich niedriger sein als die Zinszahlungsbeträge, die für herkömmliche festverzinsliche Schuldtitel der Emittentin mit vergleichbarer Laufzeit gezahlt würden. </w:t>
            </w:r>
            <w:r w:rsidRPr="00F94B27" w:rsidR="00F94B27">
              <w:rPr>
                <w:b/>
                <w:lang w:val="de-DE"/>
              </w:rPr>
              <w:t>[</w:t>
            </w:r>
            <w:r w:rsidRPr="00AB16EC">
              <w:rPr>
                <w:b/>
                <w:i/>
                <w:lang w:val="de-DE"/>
              </w:rPr>
              <w:t>bei Komplexen Produkten mit Mindestzinssatz und/oder Höchstzinssatz:</w:t>
            </w:r>
            <w:r w:rsidRPr="00AB16EC">
              <w:rPr>
                <w:lang w:val="de-DE"/>
              </w:rPr>
              <w:t xml:space="preserve"> In jedem Fall </w:t>
            </w:r>
            <w:r w:rsidRPr="00F94B27" w:rsidR="00F94B27">
              <w:rPr>
                <w:b/>
                <w:lang w:val="de-DE"/>
              </w:rPr>
              <w:t>[</w:t>
            </w:r>
            <w:r w:rsidRPr="00AB16EC">
              <w:rPr>
                <w:lang w:val="de-DE"/>
              </w:rPr>
              <w:t xml:space="preserve">entspricht der Zinssatz mindestens dem </w:t>
            </w:r>
            <w:r w:rsidRPr="00F94B27" w:rsidR="00F94B27">
              <w:rPr>
                <w:b/>
                <w:lang w:val="de-DE"/>
              </w:rPr>
              <w:t>[</w:t>
            </w:r>
            <w:r w:rsidRPr="00AB16EC">
              <w:rPr>
                <w:lang w:val="de-DE"/>
              </w:rPr>
              <w:t>jeweiligen</w:t>
            </w:r>
            <w:r w:rsidRPr="00F94B27" w:rsidR="00F94B27">
              <w:rPr>
                <w:b/>
                <w:lang w:val="de-DE"/>
              </w:rPr>
              <w:t>]</w:t>
            </w:r>
            <w:r w:rsidRPr="00AB16EC">
              <w:rPr>
                <w:lang w:val="de-DE"/>
              </w:rPr>
              <w:t xml:space="preserve"> Mindestszinssatz</w:t>
            </w:r>
            <w:r w:rsidRPr="00F94B27" w:rsidR="00F94B27">
              <w:rPr>
                <w:b/>
                <w:lang w:val="de-DE"/>
              </w:rPr>
              <w:t>]</w:t>
            </w:r>
            <w:r w:rsidRPr="00AB16EC">
              <w:rPr>
                <w:lang w:val="de-DE"/>
              </w:rPr>
              <w:t xml:space="preserve"> </w:t>
            </w:r>
            <w:r w:rsidRPr="00F94B27" w:rsidR="00F94B27">
              <w:rPr>
                <w:b/>
                <w:lang w:val="de-DE"/>
              </w:rPr>
              <w:t>[</w:t>
            </w:r>
            <w:r w:rsidRPr="00AB16EC">
              <w:rPr>
                <w:lang w:val="de-DE"/>
              </w:rPr>
              <w:t xml:space="preserve">wird der Zinssatz nicht höher als der </w:t>
            </w:r>
            <w:r w:rsidRPr="00F94B27" w:rsidR="00F94B27">
              <w:rPr>
                <w:b/>
                <w:lang w:val="de-DE"/>
              </w:rPr>
              <w:t>[</w:t>
            </w:r>
            <w:r w:rsidRPr="00AB16EC">
              <w:rPr>
                <w:lang w:val="de-DE"/>
              </w:rPr>
              <w:t>jeweilige</w:t>
            </w:r>
            <w:r w:rsidRPr="00F94B27" w:rsidR="00F94B27">
              <w:rPr>
                <w:b/>
                <w:lang w:val="de-DE"/>
              </w:rPr>
              <w:t>]</w:t>
            </w:r>
            <w:r w:rsidRPr="00AB16EC">
              <w:rPr>
                <w:lang w:val="de-DE"/>
              </w:rPr>
              <w:t xml:space="preserve"> Höchstzinssatz sein</w:t>
            </w:r>
            <w:r w:rsidRPr="00F94B27" w:rsidR="00F94B27">
              <w:rPr>
                <w:b/>
                <w:lang w:val="de-DE"/>
              </w:rPr>
              <w:t>]</w:t>
            </w:r>
            <w:r w:rsidRPr="00AB16EC">
              <w:rPr>
                <w:lang w:val="de-DE"/>
              </w:rPr>
              <w:t xml:space="preserve"> </w:t>
            </w:r>
            <w:r w:rsidRPr="00F94B27" w:rsidR="00F94B27">
              <w:rPr>
                <w:b/>
                <w:lang w:val="de-DE"/>
              </w:rPr>
              <w:t>[</w:t>
            </w:r>
            <w:r w:rsidRPr="00AB16EC">
              <w:rPr>
                <w:lang w:val="de-DE"/>
              </w:rPr>
              <w:t xml:space="preserve">entspricht der Zinssatz mindestens dem </w:t>
            </w:r>
            <w:r w:rsidRPr="00F94B27" w:rsidR="00F94B27">
              <w:rPr>
                <w:b/>
                <w:lang w:val="de-DE"/>
              </w:rPr>
              <w:t>[</w:t>
            </w:r>
            <w:r w:rsidRPr="00AB16EC">
              <w:rPr>
                <w:lang w:val="de-DE"/>
              </w:rPr>
              <w:t>jeweiligen</w:t>
            </w:r>
            <w:r w:rsidRPr="00F94B27" w:rsidR="00F94B27">
              <w:rPr>
                <w:b/>
                <w:lang w:val="de-DE"/>
              </w:rPr>
              <w:t>]</w:t>
            </w:r>
            <w:r w:rsidRPr="00AB16EC">
              <w:rPr>
                <w:lang w:val="de-DE"/>
              </w:rPr>
              <w:t xml:space="preserve"> Mindestzinssatz, wird aber nicht höher als der </w:t>
            </w:r>
            <w:r w:rsidRPr="00F94B27" w:rsidR="00F94B27">
              <w:rPr>
                <w:b/>
                <w:lang w:val="de-DE"/>
              </w:rPr>
              <w:t>[</w:t>
            </w:r>
            <w:r w:rsidRPr="00AB16EC">
              <w:rPr>
                <w:lang w:val="de-DE"/>
              </w:rPr>
              <w:t>jeweilige</w:t>
            </w:r>
            <w:r w:rsidRPr="00F94B27" w:rsidR="00F94B27">
              <w:rPr>
                <w:b/>
                <w:lang w:val="de-DE"/>
              </w:rPr>
              <w:t>]</w:t>
            </w:r>
            <w:r w:rsidRPr="00AB16EC">
              <w:rPr>
                <w:lang w:val="de-DE"/>
              </w:rPr>
              <w:t xml:space="preserve"> Höchstzinssatz sein</w:t>
            </w:r>
            <w:r w:rsidRPr="00F94B27" w:rsidR="00F94B27">
              <w:rPr>
                <w:b/>
                <w:lang w:val="de-DE"/>
              </w:rPr>
              <w:t>]</w:t>
            </w:r>
            <w:r w:rsidRPr="00AB16EC">
              <w:rPr>
                <w:lang w:val="de-DE"/>
              </w:rPr>
              <w: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CE7E24" w:rsidRPr="00AB16EC" w:rsidP="00CE7E24">
            <w:pPr>
              <w:pStyle w:val="CSbody0bolditalic"/>
              <w:rPr>
                <w:lang w:val="en-GB"/>
              </w:rPr>
            </w:pPr>
            <w:r w:rsidRPr="00F94B27">
              <w:rPr>
                <w:lang w:val="en-GB"/>
              </w:rPr>
              <w:t>[</w:t>
            </w:r>
            <w:r w:rsidRPr="00AB16EC">
              <w:rPr>
                <w:lang w:val="en-GB"/>
              </w:rPr>
              <w:t>in case of Cumulative Reverse Floater Notes:</w:t>
            </w:r>
          </w:p>
        </w:tc>
        <w:tc>
          <w:tcPr>
            <w:tcW w:w="2466" w:type="pct"/>
            <w:gridSpan w:val="14"/>
            <w:tcBorders>
              <w:left w:val="single" w:sz="4" w:space="0" w:color="auto"/>
            </w:tcBorders>
          </w:tcPr>
          <w:p w:rsidR="00CE7E24" w:rsidRPr="004560D8" w:rsidP="00CE7E24">
            <w:pPr>
              <w:pStyle w:val="CSbody0bolditalic"/>
            </w:pPr>
            <w:r w:rsidRPr="00F94B27">
              <w:t>[</w:t>
            </w:r>
            <w:r w:rsidRPr="004560D8">
              <w:t>bei Cumulative Reverse Floater Notes:</w:t>
            </w:r>
          </w:p>
        </w:tc>
      </w:tr>
      <w:tr w:rsidTr="00942F00">
        <w:tblPrEx>
          <w:tblW w:w="5000" w:type="pct"/>
          <w:tblLayout w:type="fixed"/>
          <w:tblLook w:val="04A0"/>
        </w:tblPrEx>
        <w:tc>
          <w:tcPr>
            <w:tcW w:w="2534" w:type="pct"/>
            <w:gridSpan w:val="14"/>
            <w:tcBorders>
              <w:right w:val="single" w:sz="4" w:space="0" w:color="auto"/>
            </w:tcBorders>
          </w:tcPr>
          <w:p w:rsidR="00CE7E24" w:rsidRPr="004560D8" w:rsidP="00651DBA">
            <w:pPr>
              <w:pStyle w:val="CSBody0"/>
            </w:pPr>
            <w:r w:rsidRPr="004560D8">
              <w:t xml:space="preserve">In case of Cumulative Reverse Floater Notes, the Interest Rate on the basis of which the Interest Payment Amounts will be calculated will be equal to a fixed rate per annum for the </w:t>
            </w:r>
            <w:r w:rsidRPr="00F94B27" w:rsidR="00F94B27">
              <w:rPr>
                <w:b/>
              </w:rPr>
              <w:t>[</w:t>
            </w:r>
            <w:r w:rsidRPr="004560D8">
              <w:t>first</w:t>
            </w:r>
            <w:r w:rsidRPr="00F94B27" w:rsidR="00F94B27">
              <w:rPr>
                <w:b/>
              </w:rPr>
              <w:t>]</w:t>
            </w:r>
            <w:r w:rsidRPr="004560D8">
              <w:t xml:space="preserve"> </w:t>
            </w:r>
            <w:r w:rsidRPr="00F94B27" w:rsidR="00F94B27">
              <w:rPr>
                <w:b/>
              </w:rPr>
              <w:t>[</w:t>
            </w:r>
            <w:r w:rsidRPr="004560D8">
              <w:t xml:space="preserve">first </w:t>
            </w:r>
            <w:r w:rsidRPr="00F94B27" w:rsidR="00F94B27">
              <w:rPr>
                <w:b/>
              </w:rPr>
              <w:t>[</w:t>
            </w:r>
            <w:r w:rsidRPr="00651DBA">
              <w:rPr>
                <w:b/>
                <w:i/>
              </w:rPr>
              <w:t>insert number of Interest Payment Dates, on which a fixed rate per annum is applicable:</w:t>
            </w:r>
            <w:r w:rsidRPr="004560D8">
              <w:t xml:space="preserve"> </w:t>
            </w:r>
            <w:r w:rsidRPr="00F94B27" w:rsidR="00F94B27">
              <w:rPr>
                <w:b/>
              </w:rPr>
              <w:t>[</w:t>
            </w:r>
            <w:r w:rsidR="003857E8">
              <w:rPr>
                <w:rFonts w:ascii="Arial" w:hAnsi="Arial" w:cs="Arial"/>
              </w:rPr>
              <w:t>●</w:t>
            </w:r>
            <w:r w:rsidRPr="00F94B27" w:rsidR="00F94B27">
              <w:rPr>
                <w:b/>
              </w:rPr>
              <w:t>]]</w:t>
            </w:r>
            <w:r w:rsidRPr="004560D8">
              <w:t xml:space="preserve"> Interest Payment Date</w:t>
            </w:r>
            <w:r w:rsidRPr="00F94B27" w:rsidR="00F94B27">
              <w:rPr>
                <w:b/>
              </w:rPr>
              <w:t>[</w:t>
            </w:r>
            <w:r w:rsidRPr="004560D8">
              <w:t>s</w:t>
            </w:r>
            <w:r w:rsidRPr="00F94B27" w:rsidR="00F94B27">
              <w:rPr>
                <w:b/>
              </w:rPr>
              <w:t>]</w:t>
            </w:r>
            <w:r w:rsidRPr="004560D8">
              <w:t xml:space="preserve">. For the calculation of the Interest Payment Amount on the </w:t>
            </w:r>
            <w:r w:rsidRPr="00F94B27" w:rsidR="00F94B27">
              <w:rPr>
                <w:b/>
              </w:rPr>
              <w:t>[</w:t>
            </w:r>
            <w:r w:rsidRPr="00651DBA">
              <w:rPr>
                <w:b/>
                <w:i/>
              </w:rPr>
              <w:t>insert number of Interest Payment Date, from which the Interest Rate will be a variable rate per annum:</w:t>
            </w:r>
            <w:r w:rsidRPr="004560D8">
              <w:t xml:space="preserve"> </w:t>
            </w:r>
            <w:r w:rsidRPr="00F94B27" w:rsidR="00F94B27">
              <w:rPr>
                <w:b/>
              </w:rPr>
              <w:t>[</w:t>
            </w:r>
            <w:r w:rsidR="003857E8">
              <w:rPr>
                <w:rFonts w:ascii="Arial" w:hAnsi="Arial" w:cs="Arial"/>
              </w:rPr>
              <w:t>●</w:t>
            </w:r>
            <w:r w:rsidRPr="00F94B27" w:rsidR="00F94B27">
              <w:rPr>
                <w:b/>
              </w:rPr>
              <w:t>]]</w:t>
            </w:r>
            <w:r w:rsidRPr="004560D8">
              <w:t xml:space="preserve"> Interest Payment Date </w:t>
            </w:r>
            <w:r w:rsidRPr="00F94B27" w:rsidR="00F94B27">
              <w:rPr>
                <w:b/>
              </w:rPr>
              <w:t>[</w:t>
            </w:r>
            <w:r w:rsidRPr="004560D8">
              <w:t>and any following Interest Payment Date</w:t>
            </w:r>
            <w:r w:rsidRPr="00F94B27" w:rsidR="00F94B27">
              <w:rPr>
                <w:b/>
              </w:rPr>
              <w:t>]</w:t>
            </w:r>
            <w:r w:rsidRPr="004560D8">
              <w:t xml:space="preserve"> the Interest Payment Amount</w:t>
            </w:r>
            <w:r w:rsidRPr="00F94B27" w:rsidR="00F94B27">
              <w:rPr>
                <w:b/>
              </w:rPr>
              <w:t>[</w:t>
            </w:r>
            <w:r w:rsidRPr="004560D8">
              <w:t>s</w:t>
            </w:r>
            <w:r w:rsidRPr="00F94B27" w:rsidR="00F94B27">
              <w:rPr>
                <w:b/>
              </w:rPr>
              <w:t>]</w:t>
            </w:r>
            <w:r w:rsidRPr="004560D8">
              <w:t xml:space="preserve"> will be calculated on the basis of a variable Interest Rate. Such variable Interest Rate applicable on the </w:t>
            </w:r>
            <w:r w:rsidRPr="00F94B27" w:rsidR="00F94B27">
              <w:rPr>
                <w:b/>
              </w:rPr>
              <w:t>[</w:t>
            </w:r>
            <w:r w:rsidRPr="004560D8">
              <w:t>relevant</w:t>
            </w:r>
            <w:r w:rsidRPr="00F94B27" w:rsidR="00F94B27">
              <w:rPr>
                <w:b/>
              </w:rPr>
              <w:t>]</w:t>
            </w:r>
            <w:r w:rsidRPr="004560D8">
              <w:t xml:space="preserve"> Interest Payment Date will be equal to the sum of (i) the Interest Rate applicable to the immediately preceding Interest Payment Date, and (ii) the relevant Spread Rate (</w:t>
            </w:r>
            <w:r w:rsidRPr="007E3558" w:rsidR="007E3558">
              <w:rPr>
                <w:i/>
              </w:rPr>
              <w:t>i.e.</w:t>
            </w:r>
            <w:r w:rsidRPr="004560D8">
              <w:t xml:space="preserve">, a fixed rate per annum) less (iii) the </w:t>
            </w:r>
            <w:r w:rsidRPr="00F94B27" w:rsidR="00F94B27">
              <w:rPr>
                <w:b/>
              </w:rPr>
              <w:t>[</w:t>
            </w:r>
            <w:r w:rsidRPr="004560D8">
              <w:t>value of the Reference Rate (</w:t>
            </w:r>
            <w:r w:rsidRPr="007E3558" w:rsidR="007E3558">
              <w:rPr>
                <w:i/>
              </w:rPr>
              <w:t>i.e.</w:t>
            </w:r>
            <w:r w:rsidRPr="004560D8">
              <w:t xml:space="preserve">, a variable rate of interest) on the </w:t>
            </w:r>
            <w:r w:rsidRPr="00F94B27" w:rsidR="00F94B27">
              <w:rPr>
                <w:b/>
              </w:rPr>
              <w:t>[</w:t>
            </w:r>
            <w:r w:rsidRPr="004560D8">
              <w:t>relevant</w:t>
            </w:r>
            <w:r w:rsidRPr="00F94B27" w:rsidR="00F94B27">
              <w:rPr>
                <w:b/>
              </w:rPr>
              <w:t>]</w:t>
            </w:r>
            <w:r w:rsidRPr="004560D8">
              <w:t xml:space="preserve"> Interest Determination Date</w:t>
            </w:r>
            <w:r w:rsidRPr="00F94B27" w:rsidR="00F94B27">
              <w:rPr>
                <w:b/>
              </w:rPr>
              <w:t>]</w:t>
            </w:r>
            <w:r w:rsidRPr="004560D8">
              <w:t xml:space="preserve"> </w:t>
            </w:r>
            <w:r w:rsidRPr="00F94B27" w:rsidR="00F94B27">
              <w:rPr>
                <w:b/>
              </w:rPr>
              <w:t>[</w:t>
            </w:r>
            <w:r w:rsidRPr="004560D8">
              <w:t>sum of the Reference Rate (</w:t>
            </w:r>
            <w:r w:rsidRPr="007E3558" w:rsidR="007E3558">
              <w:rPr>
                <w:i/>
              </w:rPr>
              <w:t>i.e.</w:t>
            </w:r>
            <w:r w:rsidRPr="004560D8">
              <w:t xml:space="preserve">, a variable rate of interest) on the </w:t>
            </w:r>
            <w:r w:rsidRPr="00F94B27" w:rsidR="00F94B27">
              <w:rPr>
                <w:b/>
              </w:rPr>
              <w:t>[</w:t>
            </w:r>
            <w:r w:rsidRPr="004560D8">
              <w:t>relevant</w:t>
            </w:r>
            <w:r w:rsidRPr="00F94B27" w:rsidR="00F94B27">
              <w:rPr>
                <w:b/>
              </w:rPr>
              <w:t>]</w:t>
            </w:r>
            <w:r w:rsidRPr="004560D8">
              <w:t xml:space="preserve"> Interest Determination Date and </w:t>
            </w:r>
            <w:r w:rsidRPr="00F94B27" w:rsidR="00F94B27">
              <w:rPr>
                <w:b/>
              </w:rPr>
              <w:t>[</w:t>
            </w:r>
            <w:r w:rsidR="003857E8">
              <w:rPr>
                <w:rFonts w:ascii="Arial" w:hAnsi="Arial" w:cs="Arial"/>
              </w:rPr>
              <w:t>●</w:t>
            </w:r>
            <w:r w:rsidRPr="00F94B27" w:rsidR="00F94B27">
              <w:rPr>
                <w:b/>
              </w:rPr>
              <w:t>]</w:t>
            </w:r>
            <w:r w:rsidRPr="004560D8">
              <w:t>% per annum</w:t>
            </w:r>
            <w:r w:rsidRPr="00F94B27" w:rsidR="00F94B27">
              <w:rPr>
                <w:b/>
              </w:rPr>
              <w:t>]</w:t>
            </w:r>
            <w:r w:rsidRPr="004560D8">
              <w:t xml:space="preserve">. Consequently, the lower the value of the Reference Rate on the Interest Determination Date </w:t>
            </w:r>
            <w:r w:rsidRPr="00F94B27" w:rsidR="00F94B27">
              <w:rPr>
                <w:b/>
              </w:rPr>
              <w:t>[</w:t>
            </w:r>
            <w:r w:rsidRPr="004560D8">
              <w:t xml:space="preserve">plus </w:t>
            </w:r>
            <w:r w:rsidRPr="00F94B27" w:rsidR="00F94B27">
              <w:rPr>
                <w:b/>
              </w:rPr>
              <w:t>[</w:t>
            </w:r>
            <w:r w:rsidR="003857E8">
              <w:rPr>
                <w:rFonts w:ascii="Arial" w:hAnsi="Arial" w:cs="Arial"/>
              </w:rPr>
              <w:t>●</w:t>
            </w:r>
            <w:r w:rsidRPr="00F94B27" w:rsidR="00F94B27">
              <w:rPr>
                <w:b/>
              </w:rPr>
              <w:t>]</w:t>
            </w:r>
            <w:r w:rsidRPr="004560D8">
              <w:t>% per annum</w:t>
            </w:r>
            <w:r w:rsidRPr="00F94B27" w:rsidR="00F94B27">
              <w:rPr>
                <w:b/>
              </w:rPr>
              <w:t>]</w:t>
            </w:r>
            <w:r w:rsidRPr="004560D8">
              <w:t xml:space="preserve"> is in comparison to the relevant Spread Rate, the higher the applicable Interest Rate and resulting Interest Payment Amount will be. Conversely, the higher the value of the Reference Rate on the Interest Determination Date </w:t>
            </w:r>
            <w:r w:rsidRPr="00F94B27" w:rsidR="00F94B27">
              <w:rPr>
                <w:b/>
              </w:rPr>
              <w:t>[</w:t>
            </w:r>
            <w:r w:rsidRPr="004560D8">
              <w:t xml:space="preserve">plus </w:t>
            </w:r>
            <w:r w:rsidRPr="00F94B27" w:rsidR="00F94B27">
              <w:rPr>
                <w:b/>
              </w:rPr>
              <w:t>[</w:t>
            </w:r>
            <w:r w:rsidR="003857E8">
              <w:rPr>
                <w:rFonts w:ascii="Arial" w:hAnsi="Arial" w:cs="Arial"/>
              </w:rPr>
              <w:t>●</w:t>
            </w:r>
            <w:r w:rsidRPr="00F94B27" w:rsidR="00F94B27">
              <w:rPr>
                <w:b/>
              </w:rPr>
              <w:t>]</w:t>
            </w:r>
            <w:r w:rsidRPr="004560D8">
              <w:t>% per annum</w:t>
            </w:r>
            <w:r w:rsidRPr="00F94B27" w:rsidR="00F94B27">
              <w:rPr>
                <w:b/>
              </w:rPr>
              <w:t>]</w:t>
            </w:r>
            <w:r w:rsidRPr="004560D8">
              <w:t xml:space="preserve"> is in comparison to the relevant Spread Rate, the lower the applicable Interest Rate and resulting Interest Payment Amount will be. If the value of the Reference Rate on </w:t>
            </w:r>
            <w:r w:rsidRPr="00F94B27" w:rsidR="00F94B27">
              <w:rPr>
                <w:b/>
              </w:rPr>
              <w:t>[</w:t>
            </w:r>
            <w:r w:rsidRPr="004560D8">
              <w:t>the</w:t>
            </w:r>
            <w:r w:rsidRPr="00F94B27" w:rsidR="00F94B27">
              <w:rPr>
                <w:b/>
              </w:rPr>
              <w:t>]</w:t>
            </w:r>
            <w:r w:rsidRPr="004560D8">
              <w:t xml:space="preserve"> </w:t>
            </w:r>
            <w:r w:rsidRPr="00F94B27" w:rsidR="00F94B27">
              <w:rPr>
                <w:b/>
              </w:rPr>
              <w:t>[</w:t>
            </w:r>
            <w:r w:rsidRPr="004560D8">
              <w:t>each</w:t>
            </w:r>
            <w:r w:rsidRPr="00F94B27" w:rsidR="00F94B27">
              <w:rPr>
                <w:b/>
              </w:rPr>
              <w:t>]</w:t>
            </w:r>
            <w:r w:rsidRPr="004560D8">
              <w:t xml:space="preserve"> Interest Determination Date </w:t>
            </w:r>
            <w:r w:rsidRPr="00F94B27" w:rsidR="00F94B27">
              <w:rPr>
                <w:b/>
              </w:rPr>
              <w:t>[</w:t>
            </w:r>
            <w:r w:rsidRPr="004560D8">
              <w:t xml:space="preserve">plus </w:t>
            </w:r>
            <w:r w:rsidRPr="00F94B27" w:rsidR="00F94B27">
              <w:rPr>
                <w:b/>
              </w:rPr>
              <w:t>[</w:t>
            </w:r>
            <w:r w:rsidR="003857E8">
              <w:rPr>
                <w:rFonts w:ascii="Arial" w:hAnsi="Arial" w:cs="Arial"/>
              </w:rPr>
              <w:t>●</w:t>
            </w:r>
            <w:r w:rsidRPr="00F94B27" w:rsidR="00F94B27">
              <w:rPr>
                <w:b/>
              </w:rPr>
              <w:t>]</w:t>
            </w:r>
            <w:r w:rsidRPr="004560D8">
              <w:t>% per annum</w:t>
            </w:r>
            <w:r w:rsidRPr="00F94B27" w:rsidR="00F94B27">
              <w:rPr>
                <w:b/>
              </w:rPr>
              <w:t>]</w:t>
            </w:r>
            <w:r w:rsidRPr="004560D8">
              <w:t xml:space="preserve"> is equal to or above the relevant Spread Rate (</w:t>
            </w:r>
            <w:r w:rsidRPr="007E3558" w:rsidR="007E3558">
              <w:rPr>
                <w:i/>
              </w:rPr>
              <w:t>i.e.</w:t>
            </w:r>
            <w:r w:rsidRPr="004560D8">
              <w:t xml:space="preserve">, if the difference between the relevant Spread Rate and the Reference Rate </w:t>
            </w:r>
            <w:r w:rsidRPr="00F94B27" w:rsidR="00F94B27">
              <w:rPr>
                <w:b/>
              </w:rPr>
              <w:t>[</w:t>
            </w:r>
            <w:r w:rsidRPr="004560D8">
              <w:t xml:space="preserve">plus </w:t>
            </w:r>
            <w:r w:rsidRPr="00F94B27" w:rsidR="00F94B27">
              <w:rPr>
                <w:b/>
              </w:rPr>
              <w:t>[</w:t>
            </w:r>
            <w:r w:rsidR="003857E8">
              <w:rPr>
                <w:rFonts w:ascii="Arial" w:hAnsi="Arial" w:cs="Arial"/>
              </w:rPr>
              <w:t>●</w:t>
            </w:r>
            <w:r w:rsidRPr="00F94B27" w:rsidR="00F94B27">
              <w:rPr>
                <w:b/>
              </w:rPr>
              <w:t>]</w:t>
            </w:r>
            <w:r w:rsidRPr="004560D8">
              <w:t>% per annum</w:t>
            </w:r>
            <w:r w:rsidRPr="00F94B27" w:rsidR="00F94B27">
              <w:rPr>
                <w:b/>
              </w:rPr>
              <w:t>]</w:t>
            </w:r>
            <w:r w:rsidRPr="004560D8">
              <w:t xml:space="preserve"> is equal to zero or a negative amount), the applicable Interest Rate for </w:t>
            </w:r>
            <w:r w:rsidRPr="00F94B27" w:rsidR="00F94B27">
              <w:rPr>
                <w:b/>
              </w:rPr>
              <w:t>[</w:t>
            </w:r>
            <w:r w:rsidRPr="004560D8">
              <w:t>the</w:t>
            </w:r>
            <w:r w:rsidRPr="00F94B27" w:rsidR="00F94B27">
              <w:rPr>
                <w:b/>
              </w:rPr>
              <w:t>]</w:t>
            </w:r>
            <w:r w:rsidRPr="004560D8">
              <w:t xml:space="preserve"> </w:t>
            </w:r>
            <w:r w:rsidRPr="00F94B27" w:rsidR="00F94B27">
              <w:rPr>
                <w:b/>
              </w:rPr>
              <w:t>[</w:t>
            </w:r>
            <w:r w:rsidRPr="004560D8">
              <w:t>each</w:t>
            </w:r>
            <w:r w:rsidRPr="00F94B27" w:rsidR="00F94B27">
              <w:rPr>
                <w:b/>
              </w:rPr>
              <w:t>]</w:t>
            </w:r>
            <w:r w:rsidRPr="004560D8">
              <w:t xml:space="preserve"> Interest Payment Date will be below the fixed rate per annum applicable to the </w:t>
            </w:r>
            <w:r w:rsidRPr="00F94B27" w:rsidR="00F94B27">
              <w:rPr>
                <w:b/>
              </w:rPr>
              <w:t>[</w:t>
            </w:r>
            <w:r w:rsidRPr="004560D8">
              <w:t>first</w:t>
            </w:r>
            <w:r w:rsidRPr="00F94B27" w:rsidR="00F94B27">
              <w:rPr>
                <w:b/>
              </w:rPr>
              <w:t>]</w:t>
            </w:r>
            <w:r w:rsidRPr="004560D8">
              <w:t xml:space="preserve"> </w:t>
            </w:r>
            <w:r w:rsidRPr="00F94B27" w:rsidR="00F94B27">
              <w:rPr>
                <w:b/>
              </w:rPr>
              <w:t>[</w:t>
            </w:r>
            <w:r w:rsidRPr="004560D8">
              <w:t xml:space="preserve">first </w:t>
            </w:r>
            <w:r w:rsidRPr="00F94B27" w:rsidR="00F94B27">
              <w:rPr>
                <w:b/>
              </w:rPr>
              <w:t>[</w:t>
            </w:r>
            <w:r w:rsidRPr="00651DBA">
              <w:rPr>
                <w:b/>
                <w:i/>
              </w:rPr>
              <w:t>insert number of Interest Payment Dates, on which a fixed rate per annum is applicable:</w:t>
            </w:r>
            <w:r w:rsidRPr="004560D8">
              <w:t xml:space="preserve"> </w:t>
            </w:r>
            <w:r w:rsidRPr="00F94B27" w:rsidR="00F94B27">
              <w:rPr>
                <w:b/>
              </w:rPr>
              <w:t>[</w:t>
            </w:r>
            <w:r w:rsidR="003857E8">
              <w:rPr>
                <w:rFonts w:ascii="Arial" w:hAnsi="Arial" w:cs="Arial"/>
              </w:rPr>
              <w:t>●</w:t>
            </w:r>
            <w:r w:rsidRPr="00F94B27" w:rsidR="00F94B27">
              <w:rPr>
                <w:b/>
              </w:rPr>
              <w:t>]]</w:t>
            </w:r>
            <w:r w:rsidRPr="004560D8">
              <w:t xml:space="preserve"> Interest Payment Date</w:t>
            </w:r>
            <w:r w:rsidRPr="00F94B27" w:rsidR="00F94B27">
              <w:rPr>
                <w:b/>
              </w:rPr>
              <w:t>[</w:t>
            </w:r>
            <w:r w:rsidRPr="004560D8">
              <w:t>s</w:t>
            </w:r>
            <w:r w:rsidRPr="00F94B27" w:rsidR="00F94B27">
              <w:rPr>
                <w:b/>
              </w:rPr>
              <w:t>]</w:t>
            </w:r>
            <w:r w:rsidRPr="004560D8">
              <w:t xml:space="preserve"> and may be equal to </w:t>
            </w:r>
            <w:r w:rsidRPr="00F94B27" w:rsidR="00F94B27">
              <w:rPr>
                <w:b/>
              </w:rPr>
              <w:t>[</w:t>
            </w:r>
            <w:r w:rsidRPr="004560D8">
              <w:t>zero</w:t>
            </w:r>
            <w:r w:rsidRPr="00F94B27" w:rsidR="00F94B27">
              <w:rPr>
                <w:b/>
              </w:rPr>
              <w:t>]</w:t>
            </w:r>
            <w:r w:rsidRPr="004560D8">
              <w:t xml:space="preserve"> </w:t>
            </w:r>
            <w:r w:rsidRPr="00F94B27" w:rsidR="00F94B27">
              <w:rPr>
                <w:b/>
              </w:rPr>
              <w:t>[</w:t>
            </w:r>
            <w:r w:rsidRPr="004560D8">
              <w:t>the Minimum Interest Rate</w:t>
            </w:r>
            <w:r w:rsidRPr="00F94B27" w:rsidR="00F94B27">
              <w:rPr>
                <w:b/>
              </w:rPr>
              <w:t>]</w:t>
            </w:r>
            <w:r w:rsidRPr="004560D8">
              <w:t>.</w:t>
            </w:r>
          </w:p>
        </w:tc>
        <w:tc>
          <w:tcPr>
            <w:tcW w:w="2466" w:type="pct"/>
            <w:gridSpan w:val="14"/>
            <w:tcBorders>
              <w:left w:val="single" w:sz="4" w:space="0" w:color="auto"/>
            </w:tcBorders>
          </w:tcPr>
          <w:p w:rsidR="00CE7E24" w:rsidRPr="00CE7E24" w:rsidP="00474C21">
            <w:pPr>
              <w:pStyle w:val="CSBody0"/>
              <w:rPr>
                <w:lang w:val="de-DE"/>
              </w:rPr>
            </w:pPr>
            <w:r w:rsidRPr="00CE7E24">
              <w:rPr>
                <w:lang w:val="de-DE"/>
              </w:rPr>
              <w:t xml:space="preserve">Bei Cumulative Reverse Floater Notes entspricht der Zinssatz, auf dessen Grundlage die Zinszahlungsbeträge berechnet werden, einem Festsatz per annum für </w:t>
            </w:r>
            <w:r w:rsidRPr="00F94B27" w:rsidR="00F94B27">
              <w:rPr>
                <w:b/>
                <w:lang w:val="de-DE"/>
              </w:rPr>
              <w:t>[</w:t>
            </w:r>
            <w:r w:rsidRPr="00CE7E24">
              <w:rPr>
                <w:lang w:val="de-DE"/>
              </w:rPr>
              <w:t>den ersten</w:t>
            </w:r>
            <w:r w:rsidRPr="00F94B27" w:rsidR="00F94B27">
              <w:rPr>
                <w:b/>
                <w:lang w:val="de-DE"/>
              </w:rPr>
              <w:t>]</w:t>
            </w:r>
            <w:r w:rsidRPr="00CE7E24">
              <w:rPr>
                <w:lang w:val="de-DE"/>
              </w:rPr>
              <w:t xml:space="preserve"> </w:t>
            </w:r>
            <w:r w:rsidRPr="00F94B27" w:rsidR="00F94B27">
              <w:rPr>
                <w:b/>
                <w:lang w:val="de-DE"/>
              </w:rPr>
              <w:t>[</w:t>
            </w:r>
            <w:r w:rsidRPr="00CE7E24">
              <w:rPr>
                <w:lang w:val="de-DE"/>
              </w:rPr>
              <w:t xml:space="preserve">die ersten </w:t>
            </w:r>
            <w:r w:rsidRPr="00F94B27" w:rsidR="00F94B27">
              <w:rPr>
                <w:b/>
                <w:lang w:val="de-DE"/>
              </w:rPr>
              <w:t>[</w:t>
            </w:r>
            <w:r w:rsidRPr="00651DBA">
              <w:rPr>
                <w:b/>
                <w:i/>
                <w:lang w:val="de-DE"/>
              </w:rPr>
              <w:t>Anzahl der Zinszahlungstage einfügen, an denen ein Festsatz per annum anwendbar ist:</w:t>
            </w:r>
            <w:r w:rsidRPr="00CE7E24">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CE7E24">
              <w:rPr>
                <w:lang w:val="de-DE"/>
              </w:rPr>
              <w:t xml:space="preserve"> Zinszahlungstag</w:t>
            </w:r>
            <w:r w:rsidRPr="00F94B27" w:rsidR="00F94B27">
              <w:rPr>
                <w:b/>
                <w:lang w:val="de-DE"/>
              </w:rPr>
              <w:t>[</w:t>
            </w:r>
            <w:r w:rsidRPr="00CE7E24">
              <w:rPr>
                <w:lang w:val="de-DE"/>
              </w:rPr>
              <w:t>e</w:t>
            </w:r>
            <w:r w:rsidRPr="00F94B27" w:rsidR="00F94B27">
              <w:rPr>
                <w:b/>
                <w:lang w:val="de-DE"/>
              </w:rPr>
              <w:t>]</w:t>
            </w:r>
            <w:r w:rsidRPr="00CE7E24">
              <w:rPr>
                <w:lang w:val="de-DE"/>
              </w:rPr>
              <w:t xml:space="preserve">. Für die Berechnung des Zinszahlungsbetrags am </w:t>
            </w:r>
            <w:r w:rsidRPr="00F94B27" w:rsidR="00F94B27">
              <w:rPr>
                <w:b/>
                <w:lang w:val="de-DE"/>
              </w:rPr>
              <w:t>[</w:t>
            </w:r>
            <w:r w:rsidRPr="00651DBA">
              <w:rPr>
                <w:b/>
                <w:i/>
                <w:lang w:val="de-DE"/>
              </w:rPr>
              <w:t>Zahl des Zinszahlungstags einfügen, von dem an der Zinssatz ein variabler Satz per annum sein wird:</w:t>
            </w:r>
            <w:r w:rsidRPr="00CE7E24">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CE7E24">
              <w:rPr>
                <w:lang w:val="de-DE"/>
              </w:rPr>
              <w:t xml:space="preserve"> Zinszahlungstag </w:t>
            </w:r>
            <w:r w:rsidRPr="00F94B27" w:rsidR="00F94B27">
              <w:rPr>
                <w:b/>
                <w:lang w:val="de-DE"/>
              </w:rPr>
              <w:t>[</w:t>
            </w:r>
            <w:r w:rsidRPr="00CE7E24">
              <w:rPr>
                <w:lang w:val="de-DE"/>
              </w:rPr>
              <w:t>und jeden folgenden Zinszahlungstag</w:t>
            </w:r>
            <w:r w:rsidRPr="00F94B27" w:rsidR="00F94B27">
              <w:rPr>
                <w:b/>
                <w:lang w:val="de-DE"/>
              </w:rPr>
              <w:t>]</w:t>
            </w:r>
            <w:r w:rsidRPr="00CE7E24">
              <w:rPr>
                <w:lang w:val="de-DE"/>
              </w:rPr>
              <w:t xml:space="preserve"> </w:t>
            </w:r>
            <w:r w:rsidRPr="00F94B27" w:rsidR="00F94B27">
              <w:rPr>
                <w:b/>
                <w:lang w:val="de-DE"/>
              </w:rPr>
              <w:t>[</w:t>
            </w:r>
            <w:r w:rsidRPr="00CE7E24">
              <w:rPr>
                <w:lang w:val="de-DE"/>
              </w:rPr>
              <w:t>wird</w:t>
            </w:r>
            <w:r w:rsidRPr="00F94B27" w:rsidR="00F94B27">
              <w:rPr>
                <w:b/>
                <w:lang w:val="de-DE"/>
              </w:rPr>
              <w:t>]</w:t>
            </w:r>
            <w:r w:rsidRPr="00CE7E24">
              <w:rPr>
                <w:lang w:val="de-DE"/>
              </w:rPr>
              <w:t xml:space="preserve"> </w:t>
            </w:r>
            <w:r w:rsidRPr="00F94B27" w:rsidR="00F94B27">
              <w:rPr>
                <w:b/>
                <w:lang w:val="de-DE"/>
              </w:rPr>
              <w:t>[</w:t>
            </w:r>
            <w:r w:rsidRPr="00CE7E24">
              <w:rPr>
                <w:lang w:val="de-DE"/>
              </w:rPr>
              <w:t>werden</w:t>
            </w:r>
            <w:r w:rsidRPr="00F94B27" w:rsidR="00F94B27">
              <w:rPr>
                <w:b/>
                <w:lang w:val="de-DE"/>
              </w:rPr>
              <w:t>]</w:t>
            </w:r>
            <w:r w:rsidRPr="00CE7E24">
              <w:rPr>
                <w:lang w:val="de-DE"/>
              </w:rPr>
              <w:t xml:space="preserve"> </w:t>
            </w:r>
            <w:r w:rsidRPr="00F94B27" w:rsidR="00F94B27">
              <w:rPr>
                <w:b/>
                <w:lang w:val="de-DE"/>
              </w:rPr>
              <w:t>[</w:t>
            </w:r>
            <w:r w:rsidRPr="00CE7E24">
              <w:rPr>
                <w:lang w:val="de-DE"/>
              </w:rPr>
              <w:t>der Zinszahlungsbetrag</w:t>
            </w:r>
            <w:r w:rsidRPr="00F94B27" w:rsidR="00F94B27">
              <w:rPr>
                <w:b/>
                <w:lang w:val="de-DE"/>
              </w:rPr>
              <w:t>]</w:t>
            </w:r>
            <w:r w:rsidRPr="00CE7E24">
              <w:rPr>
                <w:lang w:val="de-DE"/>
              </w:rPr>
              <w:t xml:space="preserve"> </w:t>
            </w:r>
            <w:r w:rsidRPr="00F94B27" w:rsidR="00F94B27">
              <w:rPr>
                <w:b/>
                <w:lang w:val="de-DE"/>
              </w:rPr>
              <w:t>[</w:t>
            </w:r>
            <w:r w:rsidRPr="00CE7E24">
              <w:rPr>
                <w:lang w:val="de-DE"/>
              </w:rPr>
              <w:t>die Zinszahlungsbeträge</w:t>
            </w:r>
            <w:r w:rsidRPr="00F94B27" w:rsidR="00F94B27">
              <w:rPr>
                <w:b/>
                <w:lang w:val="de-DE"/>
              </w:rPr>
              <w:t>]</w:t>
            </w:r>
            <w:r w:rsidRPr="00CE7E24">
              <w:rPr>
                <w:lang w:val="de-DE"/>
              </w:rPr>
              <w:t xml:space="preserve"> auf der Grundlage eines variablen Zinssatzes berechnet. Dieser variable Zinssatz, der am </w:t>
            </w:r>
            <w:r w:rsidRPr="00F94B27" w:rsidR="00F94B27">
              <w:rPr>
                <w:b/>
                <w:lang w:val="de-DE"/>
              </w:rPr>
              <w:t>[</w:t>
            </w:r>
            <w:r w:rsidRPr="00CE7E24">
              <w:rPr>
                <w:lang w:val="de-DE"/>
              </w:rPr>
              <w:t>jeweiligen</w:t>
            </w:r>
            <w:r w:rsidRPr="00F94B27" w:rsidR="00F94B27">
              <w:rPr>
                <w:b/>
                <w:lang w:val="de-DE"/>
              </w:rPr>
              <w:t>]</w:t>
            </w:r>
            <w:r w:rsidRPr="00CE7E24">
              <w:rPr>
                <w:lang w:val="de-DE"/>
              </w:rPr>
              <w:t xml:space="preserve"> Zinszalungstag anwendbar ist, entspricht der Summe aus (i) dem Zinssatz, der für den unmittelbar vorangegangenen Zinszahlungstag Anwendung gefunden hat und (ii) dem jeweiligen Spreadsatz (d.h., einem Festsatz per annum) abzüglich (iii) </w:t>
            </w:r>
            <w:r w:rsidRPr="00F94B27" w:rsidR="00F94B27">
              <w:rPr>
                <w:b/>
                <w:lang w:val="de-DE"/>
              </w:rPr>
              <w:t>[</w:t>
            </w:r>
            <w:r w:rsidRPr="00CE7E24">
              <w:rPr>
                <w:lang w:val="de-DE"/>
              </w:rPr>
              <w:t xml:space="preserve">des Werts des Referenzsatzes (d.h. einem variablen Zinssatz) am </w:t>
            </w:r>
            <w:r w:rsidRPr="00F94B27" w:rsidR="00F94B27">
              <w:rPr>
                <w:b/>
                <w:lang w:val="de-DE"/>
              </w:rPr>
              <w:t>[</w:t>
            </w:r>
            <w:r w:rsidRPr="00CE7E24">
              <w:rPr>
                <w:lang w:val="de-DE"/>
              </w:rPr>
              <w:t>jeweiligen</w:t>
            </w:r>
            <w:r w:rsidRPr="00F94B27" w:rsidR="00F94B27">
              <w:rPr>
                <w:b/>
                <w:lang w:val="de-DE"/>
              </w:rPr>
              <w:t>]</w:t>
            </w:r>
            <w:r w:rsidRPr="00CE7E24">
              <w:rPr>
                <w:lang w:val="de-DE"/>
              </w:rPr>
              <w:t xml:space="preserve"> Zinsfeststellungstag</w:t>
            </w:r>
            <w:r w:rsidRPr="00F94B27" w:rsidR="00F94B27">
              <w:rPr>
                <w:b/>
                <w:lang w:val="de-DE"/>
              </w:rPr>
              <w:t>]</w:t>
            </w:r>
            <w:r w:rsidRPr="00CE7E24">
              <w:rPr>
                <w:lang w:val="de-DE"/>
              </w:rPr>
              <w:t xml:space="preserve"> </w:t>
            </w:r>
            <w:r w:rsidRPr="00F94B27" w:rsidR="00F94B27">
              <w:rPr>
                <w:b/>
                <w:lang w:val="de-DE"/>
              </w:rPr>
              <w:t>[</w:t>
            </w:r>
            <w:r w:rsidRPr="00CE7E24">
              <w:rPr>
                <w:lang w:val="de-DE"/>
              </w:rPr>
              <w:t xml:space="preserve">der Summe aus dem Referenzsatz (d.h. einem variablen Zinssatz) am </w:t>
            </w:r>
            <w:r w:rsidRPr="00F94B27" w:rsidR="00F94B27">
              <w:rPr>
                <w:b/>
                <w:lang w:val="de-DE"/>
              </w:rPr>
              <w:t>[</w:t>
            </w:r>
            <w:r w:rsidRPr="00CE7E24">
              <w:rPr>
                <w:lang w:val="de-DE"/>
              </w:rPr>
              <w:t>jeweiligen</w:t>
            </w:r>
            <w:r w:rsidRPr="00F94B27" w:rsidR="00F94B27">
              <w:rPr>
                <w:b/>
                <w:lang w:val="de-DE"/>
              </w:rPr>
              <w:t>]</w:t>
            </w:r>
            <w:r w:rsidRPr="00CE7E24">
              <w:rPr>
                <w:lang w:val="de-DE"/>
              </w:rPr>
              <w:t xml:space="preserve">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CE7E24">
              <w:rPr>
                <w:lang w:val="de-DE"/>
              </w:rPr>
              <w:t>% per annum</w:t>
            </w:r>
            <w:r w:rsidRPr="00F94B27" w:rsidR="00F94B27">
              <w:rPr>
                <w:b/>
                <w:lang w:val="de-DE"/>
              </w:rPr>
              <w:t>]</w:t>
            </w:r>
            <w:r w:rsidRPr="00CE7E24">
              <w:rPr>
                <w:lang w:val="de-DE"/>
              </w:rPr>
              <w:t xml:space="preserve">. Folglich gilt: je niedriger der Wert des Referenzsatzes am Zinsfeststellungstag </w:t>
            </w:r>
            <w:r w:rsidRPr="00F94B27" w:rsidR="00F94B27">
              <w:rPr>
                <w:b/>
                <w:lang w:val="de-DE"/>
              </w:rPr>
              <w:t>[</w:t>
            </w:r>
            <w:r w:rsidRPr="00CE7E24">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CE7E24">
              <w:rPr>
                <w:lang w:val="de-DE"/>
              </w:rPr>
              <w:t>% per annum</w:t>
            </w:r>
            <w:r w:rsidRPr="00F94B27" w:rsidR="00F94B27">
              <w:rPr>
                <w:b/>
                <w:lang w:val="de-DE"/>
              </w:rPr>
              <w:t>]</w:t>
            </w:r>
            <w:r w:rsidRPr="00CE7E24">
              <w:rPr>
                <w:lang w:val="de-DE"/>
              </w:rPr>
              <w:t xml:space="preserve"> im Vergleich zum jeweiligen Spreadsatz ist, desto höher fällt der anwendbare Zinssatz und der resultierende Zinszahlungsbetrag aus. Umgekehrt gilt: je höher der Wert des Referenzsatzes am Zinsfeststellungstag </w:t>
            </w:r>
            <w:r w:rsidRPr="00F94B27" w:rsidR="00F94B27">
              <w:rPr>
                <w:b/>
                <w:lang w:val="de-DE"/>
              </w:rPr>
              <w:t>[</w:t>
            </w:r>
            <w:r w:rsidRPr="00CE7E24">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CE7E24">
              <w:rPr>
                <w:lang w:val="de-DE"/>
              </w:rPr>
              <w:t>% per annum</w:t>
            </w:r>
            <w:r w:rsidRPr="00F94B27" w:rsidR="00F94B27">
              <w:rPr>
                <w:b/>
                <w:lang w:val="de-DE"/>
              </w:rPr>
              <w:t>]</w:t>
            </w:r>
            <w:r w:rsidRPr="00CE7E24">
              <w:rPr>
                <w:lang w:val="de-DE"/>
              </w:rPr>
              <w:t xml:space="preserve"> im Vergleich zum jeweiligen Spreadsatz ist, desto niedriger fällt der anwendbare Zinssatz und der resultierende Zinszahlungsbetrag aus. Falls der Wert des Referenzsatzes </w:t>
            </w:r>
            <w:r w:rsidRPr="00F94B27" w:rsidR="00F94B27">
              <w:rPr>
                <w:b/>
                <w:lang w:val="de-DE"/>
              </w:rPr>
              <w:t>[</w:t>
            </w:r>
            <w:r w:rsidRPr="00CE7E24">
              <w:rPr>
                <w:lang w:val="de-DE"/>
              </w:rPr>
              <w:t>am</w:t>
            </w:r>
            <w:r w:rsidRPr="00F94B27" w:rsidR="00F94B27">
              <w:rPr>
                <w:b/>
                <w:lang w:val="de-DE"/>
              </w:rPr>
              <w:t>]</w:t>
            </w:r>
            <w:r w:rsidRPr="00CE7E24">
              <w:rPr>
                <w:lang w:val="de-DE"/>
              </w:rPr>
              <w:t xml:space="preserve"> </w:t>
            </w:r>
            <w:r w:rsidRPr="00F94B27" w:rsidR="00F94B27">
              <w:rPr>
                <w:b/>
                <w:lang w:val="de-DE"/>
              </w:rPr>
              <w:t>[</w:t>
            </w:r>
            <w:r w:rsidRPr="00CE7E24">
              <w:rPr>
                <w:lang w:val="de-DE"/>
              </w:rPr>
              <w:t>an jedem</w:t>
            </w:r>
            <w:r w:rsidRPr="00F94B27" w:rsidR="00F94B27">
              <w:rPr>
                <w:b/>
                <w:lang w:val="de-DE"/>
              </w:rPr>
              <w:t>]</w:t>
            </w:r>
            <w:r w:rsidRPr="00CE7E24">
              <w:rPr>
                <w:lang w:val="de-DE"/>
              </w:rPr>
              <w:t xml:space="preserve"> Zinsfeststellungstag </w:t>
            </w:r>
            <w:r w:rsidRPr="00F94B27" w:rsidR="00F94B27">
              <w:rPr>
                <w:b/>
                <w:lang w:val="de-DE"/>
              </w:rPr>
              <w:t>[</w:t>
            </w:r>
            <w:r w:rsidRPr="00CE7E24">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CE7E24">
              <w:rPr>
                <w:lang w:val="de-DE"/>
              </w:rPr>
              <w:t>% per annum</w:t>
            </w:r>
            <w:r w:rsidRPr="00F94B27" w:rsidR="00F94B27">
              <w:rPr>
                <w:b/>
                <w:lang w:val="de-DE"/>
              </w:rPr>
              <w:t>]</w:t>
            </w:r>
            <w:r w:rsidRPr="00CE7E24">
              <w:rPr>
                <w:lang w:val="de-DE"/>
              </w:rPr>
              <w:t xml:space="preserve"> dem Spreadsatz entspricht oder über diesem liegt (d.h., falls die Differenz zwischen dem jeweiligen Spre</w:t>
            </w:r>
            <w:r w:rsidR="00474C21">
              <w:rPr>
                <w:lang w:val="de-DE"/>
              </w:rPr>
              <w:t xml:space="preserve">adsatz und dem Referenzsatz </w:t>
            </w:r>
            <w:r w:rsidRPr="00F94B27" w:rsidR="00F94B27">
              <w:rPr>
                <w:b/>
                <w:lang w:val="de-DE"/>
              </w:rPr>
              <w:t>[</w:t>
            </w:r>
            <w:r w:rsidR="00474C21">
              <w:rPr>
                <w:lang w:val="de-DE"/>
              </w:rPr>
              <w:t>zuz</w:t>
            </w:r>
            <w:r w:rsidRPr="00CE7E24">
              <w:rPr>
                <w:lang w:val="de-DE"/>
              </w:rPr>
              <w:t xml:space="preserve">üglich </w:t>
            </w:r>
            <w:r w:rsidRPr="00F94B27" w:rsidR="00F94B27">
              <w:rPr>
                <w:b/>
                <w:lang w:val="de-DE"/>
              </w:rPr>
              <w:t>[</w:t>
            </w:r>
            <w:r w:rsidRPr="003857E8" w:rsidR="003857E8">
              <w:rPr>
                <w:rFonts w:ascii="Arial" w:hAnsi="Arial" w:cs="Arial"/>
                <w:lang w:val="de-DE"/>
              </w:rPr>
              <w:t>●</w:t>
            </w:r>
            <w:r w:rsidRPr="00F94B27" w:rsidR="00F94B27">
              <w:rPr>
                <w:b/>
                <w:lang w:val="de-DE"/>
              </w:rPr>
              <w:t>]</w:t>
            </w:r>
            <w:r w:rsidRPr="00CE7E24">
              <w:rPr>
                <w:lang w:val="de-DE"/>
              </w:rPr>
              <w:t>% per annum</w:t>
            </w:r>
            <w:r w:rsidRPr="00F94B27" w:rsidR="00F94B27">
              <w:rPr>
                <w:b/>
                <w:lang w:val="de-DE"/>
              </w:rPr>
              <w:t>]</w:t>
            </w:r>
            <w:r w:rsidRPr="00CE7E24">
              <w:rPr>
                <w:lang w:val="de-DE"/>
              </w:rPr>
              <w:t xml:space="preserve"> null oder einem negativen Betrag entspricht), wird der anwendbare Zinssatz für </w:t>
            </w:r>
            <w:r w:rsidRPr="00F94B27" w:rsidR="00F94B27">
              <w:rPr>
                <w:b/>
                <w:lang w:val="de-DE"/>
              </w:rPr>
              <w:t>[</w:t>
            </w:r>
            <w:r w:rsidRPr="00CE7E24">
              <w:rPr>
                <w:lang w:val="de-DE"/>
              </w:rPr>
              <w:t>den</w:t>
            </w:r>
            <w:r w:rsidRPr="00F94B27" w:rsidR="00F94B27">
              <w:rPr>
                <w:b/>
                <w:lang w:val="de-DE"/>
              </w:rPr>
              <w:t>]</w:t>
            </w:r>
            <w:r w:rsidRPr="00CE7E24">
              <w:rPr>
                <w:lang w:val="de-DE"/>
              </w:rPr>
              <w:t xml:space="preserve"> </w:t>
            </w:r>
            <w:r w:rsidRPr="00F94B27" w:rsidR="00F94B27">
              <w:rPr>
                <w:b/>
                <w:lang w:val="de-DE"/>
              </w:rPr>
              <w:t>[</w:t>
            </w:r>
            <w:r w:rsidRPr="00CE7E24">
              <w:rPr>
                <w:lang w:val="de-DE"/>
              </w:rPr>
              <w:t>jeden</w:t>
            </w:r>
            <w:r w:rsidRPr="00F94B27" w:rsidR="00F94B27">
              <w:rPr>
                <w:b/>
                <w:lang w:val="de-DE"/>
              </w:rPr>
              <w:t>]</w:t>
            </w:r>
            <w:r w:rsidRPr="00CE7E24">
              <w:rPr>
                <w:lang w:val="de-DE"/>
              </w:rPr>
              <w:t xml:space="preserve"> Zinszahlungstag unter dem Festzsatz per annum für </w:t>
            </w:r>
            <w:r w:rsidRPr="00F94B27" w:rsidR="00F94B27">
              <w:rPr>
                <w:b/>
                <w:lang w:val="de-DE"/>
              </w:rPr>
              <w:t>[</w:t>
            </w:r>
            <w:r w:rsidRPr="00CE7E24">
              <w:rPr>
                <w:lang w:val="de-DE"/>
              </w:rPr>
              <w:t>den ersten</w:t>
            </w:r>
            <w:r w:rsidRPr="00F94B27" w:rsidR="00F94B27">
              <w:rPr>
                <w:b/>
                <w:lang w:val="de-DE"/>
              </w:rPr>
              <w:t>]</w:t>
            </w:r>
            <w:r w:rsidRPr="00CE7E24">
              <w:rPr>
                <w:lang w:val="de-DE"/>
              </w:rPr>
              <w:t xml:space="preserve"> </w:t>
            </w:r>
            <w:r w:rsidRPr="00F94B27" w:rsidR="00F94B27">
              <w:rPr>
                <w:b/>
                <w:lang w:val="de-DE"/>
              </w:rPr>
              <w:t>[</w:t>
            </w:r>
            <w:r w:rsidRPr="00CE7E24">
              <w:rPr>
                <w:lang w:val="de-DE"/>
              </w:rPr>
              <w:t xml:space="preserve">die ersten </w:t>
            </w:r>
            <w:r w:rsidRPr="00F94B27" w:rsidR="00F94B27">
              <w:rPr>
                <w:b/>
                <w:lang w:val="de-DE"/>
              </w:rPr>
              <w:t>[</w:t>
            </w:r>
            <w:r w:rsidRPr="00651DBA">
              <w:rPr>
                <w:b/>
                <w:i/>
                <w:lang w:val="de-DE"/>
              </w:rPr>
              <w:t>Anzahl der Zinszahlungstage einfügen, an denen ein Festsatz per annum anwendbar ist:</w:t>
            </w:r>
            <w:r w:rsidRPr="00CE7E24">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CE7E24">
              <w:rPr>
                <w:lang w:val="de-DE"/>
              </w:rPr>
              <w:t xml:space="preserve"> Zinszahlungstag</w:t>
            </w:r>
            <w:r w:rsidRPr="00F94B27" w:rsidR="00F94B27">
              <w:rPr>
                <w:b/>
                <w:lang w:val="de-DE"/>
              </w:rPr>
              <w:t>[</w:t>
            </w:r>
            <w:r w:rsidRPr="00CE7E24">
              <w:rPr>
                <w:lang w:val="de-DE"/>
              </w:rPr>
              <w:t>e</w:t>
            </w:r>
            <w:r w:rsidRPr="00F94B27" w:rsidR="00F94B27">
              <w:rPr>
                <w:b/>
                <w:lang w:val="de-DE"/>
              </w:rPr>
              <w:t>]</w:t>
            </w:r>
            <w:r w:rsidRPr="00CE7E24">
              <w:rPr>
                <w:lang w:val="de-DE"/>
              </w:rPr>
              <w:t xml:space="preserve"> liegen und kann </w:t>
            </w:r>
            <w:r w:rsidRPr="00F94B27" w:rsidR="00F94B27">
              <w:rPr>
                <w:b/>
                <w:lang w:val="de-DE"/>
              </w:rPr>
              <w:t>[</w:t>
            </w:r>
            <w:r w:rsidRPr="00CE7E24">
              <w:rPr>
                <w:lang w:val="de-DE"/>
              </w:rPr>
              <w:t>null</w:t>
            </w:r>
            <w:r w:rsidRPr="00F94B27" w:rsidR="00F94B27">
              <w:rPr>
                <w:b/>
                <w:lang w:val="de-DE"/>
              </w:rPr>
              <w:t>]</w:t>
            </w:r>
            <w:r w:rsidRPr="00CE7E24">
              <w:rPr>
                <w:lang w:val="de-DE"/>
              </w:rPr>
              <w:t xml:space="preserve"> </w:t>
            </w:r>
            <w:r w:rsidRPr="00F94B27" w:rsidR="00F94B27">
              <w:rPr>
                <w:b/>
                <w:lang w:val="de-DE"/>
              </w:rPr>
              <w:t>[</w:t>
            </w:r>
            <w:r w:rsidRPr="00CE7E24">
              <w:rPr>
                <w:lang w:val="de-DE"/>
              </w:rPr>
              <w:t>dem Mindestzinssatz</w:t>
            </w:r>
            <w:r w:rsidRPr="00F94B27" w:rsidR="00F94B27">
              <w:rPr>
                <w:b/>
                <w:lang w:val="de-DE"/>
              </w:rPr>
              <w:t>]</w:t>
            </w:r>
            <w:r w:rsidRPr="00CE7E24">
              <w:rPr>
                <w:lang w:val="de-DE"/>
              </w:rPr>
              <w:t xml:space="preserve"> entsprechen.</w:t>
            </w:r>
          </w:p>
        </w:tc>
      </w:tr>
      <w:tr w:rsidTr="00942F00">
        <w:tblPrEx>
          <w:tblW w:w="5000" w:type="pct"/>
          <w:tblLayout w:type="fixed"/>
          <w:tblLook w:val="04A0"/>
        </w:tblPrEx>
        <w:tc>
          <w:tcPr>
            <w:tcW w:w="2534" w:type="pct"/>
            <w:gridSpan w:val="14"/>
            <w:tcBorders>
              <w:right w:val="single" w:sz="4" w:space="0" w:color="auto"/>
            </w:tcBorders>
          </w:tcPr>
          <w:p w:rsidR="00651DBA" w:rsidRPr="0050454D" w:rsidP="00651DBA">
            <w:pPr>
              <w:pStyle w:val="CSBody0"/>
            </w:pPr>
            <w:r w:rsidRPr="00F94B27">
              <w:rPr>
                <w:b/>
              </w:rPr>
              <w:t>[</w:t>
            </w:r>
            <w:r w:rsidRPr="00651DBA">
              <w:rPr>
                <w:b/>
                <w:i/>
              </w:rPr>
              <w:t>in case of Complex Products with Maximum Interest Rate:</w:t>
            </w:r>
            <w:r w:rsidRPr="0050454D">
              <w:t xml:space="preserve"> In any case, the Interest Rate for </w:t>
            </w:r>
            <w:r w:rsidRPr="00F94B27">
              <w:rPr>
                <w:b/>
              </w:rPr>
              <w:t>[</w:t>
            </w:r>
            <w:r w:rsidRPr="0050454D">
              <w:t>the</w:t>
            </w:r>
            <w:r w:rsidRPr="00F94B27">
              <w:rPr>
                <w:b/>
              </w:rPr>
              <w:t>][</w:t>
            </w:r>
            <w:r w:rsidRPr="0050454D">
              <w:t>each</w:t>
            </w:r>
            <w:r w:rsidRPr="00F94B27">
              <w:rPr>
                <w:b/>
              </w:rPr>
              <w:t>]</w:t>
            </w:r>
            <w:r w:rsidRPr="0050454D">
              <w:t xml:space="preserve"> Interest Payment Date in respect of which a variable interest rate is applicable will not exceed the </w:t>
            </w:r>
            <w:r w:rsidRPr="00F94B27">
              <w:rPr>
                <w:b/>
              </w:rPr>
              <w:t>[</w:t>
            </w:r>
            <w:r w:rsidRPr="0050454D">
              <w:t>relevant</w:t>
            </w:r>
            <w:r w:rsidRPr="00F94B27">
              <w:rPr>
                <w:b/>
              </w:rPr>
              <w:t>]</w:t>
            </w:r>
            <w:r w:rsidRPr="0050454D">
              <w:t xml:space="preserve"> Maximum Interest Rate.</w:t>
            </w:r>
            <w:r w:rsidRPr="00F94B27">
              <w:rPr>
                <w:b/>
              </w:rPr>
              <w:t>]]</w:t>
            </w:r>
          </w:p>
        </w:tc>
        <w:tc>
          <w:tcPr>
            <w:tcW w:w="2466" w:type="pct"/>
            <w:gridSpan w:val="14"/>
            <w:tcBorders>
              <w:left w:val="single" w:sz="4" w:space="0" w:color="auto"/>
            </w:tcBorders>
          </w:tcPr>
          <w:p w:rsidR="00651DBA" w:rsidRPr="00651DBA" w:rsidP="00651DBA">
            <w:pPr>
              <w:pStyle w:val="CSBody0"/>
              <w:rPr>
                <w:lang w:val="de-DE"/>
              </w:rPr>
            </w:pPr>
            <w:r w:rsidRPr="00F94B27">
              <w:rPr>
                <w:b/>
                <w:lang w:val="de-DE"/>
              </w:rPr>
              <w:t>[</w:t>
            </w:r>
            <w:r w:rsidRPr="00651DBA">
              <w:rPr>
                <w:b/>
                <w:i/>
                <w:lang w:val="de-DE"/>
              </w:rPr>
              <w:t>bei Komplexen Produkten mit Höchstzinssatz:</w:t>
            </w:r>
            <w:r w:rsidRPr="00651DBA">
              <w:rPr>
                <w:lang w:val="de-DE"/>
              </w:rPr>
              <w:t xml:space="preserve"> In jedem Fall wird der Zinssatz für </w:t>
            </w:r>
            <w:r w:rsidRPr="00F94B27">
              <w:rPr>
                <w:b/>
                <w:lang w:val="de-DE"/>
              </w:rPr>
              <w:t>[</w:t>
            </w:r>
            <w:r w:rsidRPr="00651DBA">
              <w:rPr>
                <w:lang w:val="de-DE"/>
              </w:rPr>
              <w:t>den</w:t>
            </w:r>
            <w:r w:rsidRPr="00F94B27">
              <w:rPr>
                <w:b/>
                <w:lang w:val="de-DE"/>
              </w:rPr>
              <w:t>][</w:t>
            </w:r>
            <w:r w:rsidRPr="00651DBA">
              <w:rPr>
                <w:lang w:val="de-DE"/>
              </w:rPr>
              <w:t>jeden</w:t>
            </w:r>
            <w:r w:rsidRPr="00F94B27">
              <w:rPr>
                <w:b/>
                <w:lang w:val="de-DE"/>
              </w:rPr>
              <w:t>]</w:t>
            </w:r>
            <w:r w:rsidRPr="00651DBA">
              <w:rPr>
                <w:lang w:val="de-DE"/>
              </w:rPr>
              <w:t xml:space="preserve"> Zinszahlungstag, in Bezug auf den ein variabler Zinssatz Anwendung findet, nicht höher als der </w:t>
            </w:r>
            <w:r w:rsidRPr="00F94B27">
              <w:rPr>
                <w:b/>
                <w:lang w:val="de-DE"/>
              </w:rPr>
              <w:t>[</w:t>
            </w:r>
            <w:r w:rsidRPr="00651DBA">
              <w:rPr>
                <w:lang w:val="de-DE"/>
              </w:rPr>
              <w:t>jeweilige</w:t>
            </w:r>
            <w:r w:rsidRPr="00F94B27">
              <w:rPr>
                <w:b/>
                <w:lang w:val="de-DE"/>
              </w:rPr>
              <w:t>]</w:t>
            </w:r>
            <w:r w:rsidRPr="00651DBA">
              <w:rPr>
                <w:lang w:val="de-DE"/>
              </w:rPr>
              <w:t xml:space="preserve"> Höchstzinssatz sein</w:t>
            </w:r>
            <w:r w:rsidRPr="00F94B27">
              <w:rPr>
                <w:b/>
                <w:lang w:val="de-DE"/>
              </w:rPr>
              <w:t>]</w:t>
            </w:r>
            <w:r w:rsidRPr="00651DBA">
              <w:rPr>
                <w:lang w:val="de-DE"/>
              </w:rPr>
              <w: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51DBA" w:rsidRPr="00AB16EC" w:rsidP="00651DBA">
            <w:pPr>
              <w:pStyle w:val="CSbody0bolditalic"/>
              <w:rPr>
                <w:lang w:val="en-GB"/>
              </w:rPr>
            </w:pPr>
            <w:r w:rsidRPr="00F94B27">
              <w:rPr>
                <w:lang w:val="en-GB"/>
              </w:rPr>
              <w:t>[</w:t>
            </w:r>
            <w:r w:rsidRPr="00AB16EC">
              <w:rPr>
                <w:lang w:val="en-GB"/>
              </w:rPr>
              <w:t>in case of Stairway Notes:</w:t>
            </w:r>
          </w:p>
        </w:tc>
        <w:tc>
          <w:tcPr>
            <w:tcW w:w="2466" w:type="pct"/>
            <w:gridSpan w:val="14"/>
            <w:tcBorders>
              <w:left w:val="single" w:sz="4" w:space="0" w:color="auto"/>
            </w:tcBorders>
          </w:tcPr>
          <w:p w:rsidR="00651DBA" w:rsidRPr="0050454D" w:rsidP="00651DBA">
            <w:pPr>
              <w:pStyle w:val="CSbody0bolditalic"/>
            </w:pPr>
            <w:r w:rsidRPr="00F94B27">
              <w:t>[</w:t>
            </w:r>
            <w:r w:rsidRPr="0050454D">
              <w:t>bei Stairway Notes:</w:t>
            </w:r>
          </w:p>
        </w:tc>
      </w:tr>
      <w:tr w:rsidTr="00942F00">
        <w:tblPrEx>
          <w:tblW w:w="5000" w:type="pct"/>
          <w:tblLayout w:type="fixed"/>
          <w:tblLook w:val="04A0"/>
        </w:tblPrEx>
        <w:tc>
          <w:tcPr>
            <w:tcW w:w="2534" w:type="pct"/>
            <w:gridSpan w:val="14"/>
            <w:tcBorders>
              <w:right w:val="single" w:sz="4" w:space="0" w:color="auto"/>
            </w:tcBorders>
          </w:tcPr>
          <w:p w:rsidR="00651DBA" w:rsidRPr="0050454D" w:rsidP="00651DBA">
            <w:pPr>
              <w:pStyle w:val="CSBody0"/>
            </w:pPr>
            <w:r w:rsidRPr="0050454D">
              <w:t xml:space="preserve">In case of Stairway Notes, the Interest Rate on the basis of which the Interest Payment Amounts are calculated will be equal to a fixed rate per annum for the </w:t>
            </w:r>
            <w:r w:rsidRPr="00F94B27" w:rsidR="00F94B27">
              <w:rPr>
                <w:b/>
              </w:rPr>
              <w:t>[</w:t>
            </w:r>
            <w:r w:rsidRPr="0050454D">
              <w:t>first</w:t>
            </w:r>
            <w:r w:rsidRPr="00F94B27" w:rsidR="00F94B27">
              <w:rPr>
                <w:b/>
              </w:rPr>
              <w:t>]</w:t>
            </w:r>
            <w:r w:rsidRPr="0050454D">
              <w:t xml:space="preserve"> </w:t>
            </w:r>
            <w:r w:rsidRPr="00F94B27" w:rsidR="00F94B27">
              <w:rPr>
                <w:b/>
              </w:rPr>
              <w:t>[</w:t>
            </w:r>
            <w:r w:rsidRPr="0050454D">
              <w:t xml:space="preserve">first </w:t>
            </w:r>
            <w:r w:rsidRPr="00F94B27" w:rsidR="00F94B27">
              <w:rPr>
                <w:b/>
              </w:rPr>
              <w:t>[</w:t>
            </w:r>
            <w:r w:rsidRPr="00651DBA">
              <w:rPr>
                <w:b/>
                <w:i/>
              </w:rPr>
              <w:t>insert number of Interest Payment Dates, on which a fixed rate per annum is applicable:</w:t>
            </w:r>
            <w:r w:rsidRPr="0050454D">
              <w:t xml:space="preserve"> </w:t>
            </w:r>
            <w:r w:rsidRPr="00F94B27" w:rsidR="00F94B27">
              <w:rPr>
                <w:b/>
              </w:rPr>
              <w:t>[</w:t>
            </w:r>
            <w:r w:rsidR="003857E8">
              <w:rPr>
                <w:rFonts w:ascii="Arial" w:hAnsi="Arial" w:cs="Arial"/>
              </w:rPr>
              <w:t>●</w:t>
            </w:r>
            <w:r w:rsidRPr="00F94B27" w:rsidR="00F94B27">
              <w:rPr>
                <w:b/>
              </w:rPr>
              <w:t>]]</w:t>
            </w:r>
            <w:r w:rsidRPr="0050454D">
              <w:t xml:space="preserve"> Interest Payment Date</w:t>
            </w:r>
            <w:r w:rsidRPr="00F94B27" w:rsidR="00F94B27">
              <w:rPr>
                <w:b/>
              </w:rPr>
              <w:t>[</w:t>
            </w:r>
            <w:r w:rsidRPr="0050454D">
              <w:t>s</w:t>
            </w:r>
            <w:r w:rsidRPr="00F94B27" w:rsidR="00F94B27">
              <w:rPr>
                <w:b/>
              </w:rPr>
              <w:t>]</w:t>
            </w:r>
            <w:r w:rsidRPr="0050454D">
              <w:t xml:space="preserve">. For the calculation of the Interest Payment Amount on the </w:t>
            </w:r>
            <w:r w:rsidRPr="00F94B27" w:rsidR="00F94B27">
              <w:rPr>
                <w:b/>
              </w:rPr>
              <w:t>[</w:t>
            </w:r>
            <w:r w:rsidRPr="00651DBA">
              <w:rPr>
                <w:b/>
                <w:i/>
              </w:rPr>
              <w:t>insert number of Interest Payment Date, from which the Interest Rate will be a variable rate per annum:</w:t>
            </w:r>
            <w:r w:rsidRPr="0050454D">
              <w:t xml:space="preserve"> </w:t>
            </w:r>
            <w:r w:rsidRPr="00F94B27" w:rsidR="00F94B27">
              <w:rPr>
                <w:b/>
              </w:rPr>
              <w:t>[</w:t>
            </w:r>
            <w:r w:rsidR="003857E8">
              <w:rPr>
                <w:rFonts w:ascii="Arial" w:hAnsi="Arial" w:cs="Arial"/>
              </w:rPr>
              <w:t>●</w:t>
            </w:r>
            <w:r w:rsidRPr="00F94B27" w:rsidR="00F94B27">
              <w:rPr>
                <w:b/>
              </w:rPr>
              <w:t>]]</w:t>
            </w:r>
            <w:r w:rsidRPr="0050454D">
              <w:t xml:space="preserve"> Interest Payment Date </w:t>
            </w:r>
            <w:r w:rsidRPr="00F94B27" w:rsidR="00F94B27">
              <w:rPr>
                <w:b/>
              </w:rPr>
              <w:t>[</w:t>
            </w:r>
            <w:r w:rsidRPr="0050454D">
              <w:t>and any following Interest Payment Date</w:t>
            </w:r>
            <w:r w:rsidRPr="00F94B27" w:rsidR="00F94B27">
              <w:rPr>
                <w:b/>
              </w:rPr>
              <w:t>]</w:t>
            </w:r>
            <w:r w:rsidRPr="0050454D">
              <w:t xml:space="preserve"> the Interest Payment Amount</w:t>
            </w:r>
            <w:r w:rsidRPr="00F94B27" w:rsidR="00F94B27">
              <w:rPr>
                <w:b/>
              </w:rPr>
              <w:t>[</w:t>
            </w:r>
            <w:r w:rsidRPr="0050454D">
              <w:t>s</w:t>
            </w:r>
            <w:r w:rsidRPr="00F94B27" w:rsidR="00F94B27">
              <w:rPr>
                <w:b/>
              </w:rPr>
              <w:t>]</w:t>
            </w:r>
            <w:r w:rsidRPr="0050454D">
              <w:t xml:space="preserve"> will be calculated on the basis of a variable Interest Rate. Such variable Interest Rate will be equal to the lesser of (i) the relevant Maximum Interest Rate (which is equal to the Interest Rate applicable to the immediately preceding Interest Payment Date, plus </w:t>
            </w:r>
            <w:r w:rsidRPr="00F94B27" w:rsidR="00F94B27">
              <w:rPr>
                <w:b/>
              </w:rPr>
              <w:t>[</w:t>
            </w:r>
            <w:r w:rsidR="003857E8">
              <w:rPr>
                <w:rFonts w:ascii="Arial" w:hAnsi="Arial" w:cs="Arial"/>
              </w:rPr>
              <w:t>●</w:t>
            </w:r>
            <w:r w:rsidRPr="00F94B27" w:rsidR="00F94B27">
              <w:rPr>
                <w:b/>
              </w:rPr>
              <w:t>]</w:t>
            </w:r>
            <w:r w:rsidRPr="0050454D">
              <w:t xml:space="preserve">% per annum) and (ii) the greater of (a) the </w:t>
            </w:r>
            <w:r w:rsidRPr="00F94B27" w:rsidR="00F94B27">
              <w:rPr>
                <w:b/>
              </w:rPr>
              <w:t>[</w:t>
            </w:r>
            <w:r w:rsidRPr="0050454D">
              <w:t>Reference Rate (</w:t>
            </w:r>
            <w:r w:rsidRPr="007E3558" w:rsidR="007E3558">
              <w:rPr>
                <w:i/>
              </w:rPr>
              <w:t>i.e.</w:t>
            </w:r>
            <w:r w:rsidRPr="0050454D">
              <w:t>, a variable rate of interest) on the relevant Interest Determination Date</w:t>
            </w:r>
            <w:r w:rsidRPr="00F94B27" w:rsidR="00F94B27">
              <w:rPr>
                <w:b/>
              </w:rPr>
              <w:t>]</w:t>
            </w:r>
            <w:r w:rsidRPr="0050454D">
              <w:t xml:space="preserve"> </w:t>
            </w:r>
            <w:r w:rsidRPr="00F94B27" w:rsidR="00F94B27">
              <w:rPr>
                <w:b/>
              </w:rPr>
              <w:t>[</w:t>
            </w:r>
            <w:r w:rsidRPr="0050454D">
              <w:t>sum of the Reference Rate (</w:t>
            </w:r>
            <w:r w:rsidRPr="007E3558" w:rsidR="007E3558">
              <w:rPr>
                <w:i/>
              </w:rPr>
              <w:t>i.e.</w:t>
            </w:r>
            <w:r w:rsidRPr="0050454D">
              <w:t xml:space="preserve">, a variable rate of interest) on the relevant Interest Determination Date and </w:t>
            </w:r>
            <w:r w:rsidRPr="00F94B27" w:rsidR="00F94B27">
              <w:rPr>
                <w:b/>
              </w:rPr>
              <w:t>[</w:t>
            </w:r>
            <w:r w:rsidR="003857E8">
              <w:rPr>
                <w:rFonts w:ascii="Arial" w:hAnsi="Arial" w:cs="Arial"/>
              </w:rPr>
              <w:t>●</w:t>
            </w:r>
            <w:r w:rsidRPr="00F94B27" w:rsidR="00F94B27">
              <w:rPr>
                <w:b/>
              </w:rPr>
              <w:t>]</w:t>
            </w:r>
            <w:r w:rsidRPr="0050454D">
              <w:t>% per annum</w:t>
            </w:r>
            <w:r w:rsidRPr="00F94B27" w:rsidR="00F94B27">
              <w:rPr>
                <w:b/>
              </w:rPr>
              <w:t>]</w:t>
            </w:r>
            <w:r w:rsidRPr="0050454D">
              <w:t xml:space="preserve">, and (b) the relevant Minimum Interest Rate (which is equal to the Interest Rate applicable to the immediately preceding Interest Payment Date </w:t>
            </w:r>
            <w:r w:rsidRPr="00F94B27" w:rsidR="00F94B27">
              <w:rPr>
                <w:b/>
              </w:rPr>
              <w:t>[</w:t>
            </w:r>
            <w:r w:rsidRPr="0050454D">
              <w:t xml:space="preserve">plus </w:t>
            </w:r>
            <w:r w:rsidRPr="00F94B27" w:rsidR="00F94B27">
              <w:rPr>
                <w:b/>
              </w:rPr>
              <w:t>[</w:t>
            </w:r>
            <w:r w:rsidR="003857E8">
              <w:rPr>
                <w:rFonts w:ascii="Arial" w:hAnsi="Arial" w:cs="Arial"/>
              </w:rPr>
              <w:t>●</w:t>
            </w:r>
            <w:r w:rsidRPr="00F94B27" w:rsidR="00F94B27">
              <w:rPr>
                <w:b/>
              </w:rPr>
              <w:t>]</w:t>
            </w:r>
            <w:r w:rsidRPr="0050454D">
              <w:t>% per annum</w:t>
            </w:r>
            <w:r w:rsidRPr="00F94B27" w:rsidR="00F94B27">
              <w:rPr>
                <w:b/>
              </w:rPr>
              <w:t>]</w:t>
            </w:r>
            <w:r w:rsidRPr="0050454D">
              <w:t>. Consequently, an increase in the Referene Rate will generally result in a higher variable Interest Rate, but will in no event exceed the Maximum Interest Rate, while a decrease in the Reference Rate will generally result in a lower variable Interest Rate, but in no event falling below the Minimum Interest Rate. The profit potential in relation to Stairway Notes is therefore capped.</w:t>
            </w:r>
            <w:r w:rsidRPr="00F94B27" w:rsidR="00F94B27">
              <w:rPr>
                <w:b/>
              </w:rPr>
              <w:t>]</w:t>
            </w:r>
          </w:p>
        </w:tc>
        <w:tc>
          <w:tcPr>
            <w:tcW w:w="2466" w:type="pct"/>
            <w:gridSpan w:val="14"/>
            <w:tcBorders>
              <w:left w:val="single" w:sz="4" w:space="0" w:color="auto"/>
            </w:tcBorders>
          </w:tcPr>
          <w:p w:rsidR="00651DBA" w:rsidRPr="00651DBA" w:rsidP="00651DBA">
            <w:pPr>
              <w:pStyle w:val="CSBody0"/>
              <w:rPr>
                <w:lang w:val="de-DE"/>
              </w:rPr>
            </w:pPr>
            <w:r w:rsidRPr="00651DBA">
              <w:rPr>
                <w:lang w:val="de-DE"/>
              </w:rPr>
              <w:t xml:space="preserve">Bei Stairway Notes entspricht der Zinssatz, auf dessen Grundlage die Zinszahlungsbeträge berechnet werden, einem Festsatz per annum für </w:t>
            </w:r>
            <w:r w:rsidRPr="00F94B27" w:rsidR="00F94B27">
              <w:rPr>
                <w:b/>
                <w:lang w:val="de-DE"/>
              </w:rPr>
              <w:t>[</w:t>
            </w:r>
            <w:r w:rsidRPr="00651DBA">
              <w:rPr>
                <w:lang w:val="de-DE"/>
              </w:rPr>
              <w:t>den ersten</w:t>
            </w:r>
            <w:r w:rsidRPr="00F94B27" w:rsidR="00F94B27">
              <w:rPr>
                <w:b/>
                <w:lang w:val="de-DE"/>
              </w:rPr>
              <w:t>]</w:t>
            </w:r>
            <w:r w:rsidRPr="00651DBA">
              <w:rPr>
                <w:lang w:val="de-DE"/>
              </w:rPr>
              <w:t xml:space="preserve"> </w:t>
            </w:r>
            <w:r w:rsidRPr="00F94B27" w:rsidR="00F94B27">
              <w:rPr>
                <w:b/>
                <w:lang w:val="de-DE"/>
              </w:rPr>
              <w:t>[</w:t>
            </w:r>
            <w:r w:rsidRPr="00651DBA">
              <w:rPr>
                <w:lang w:val="de-DE"/>
              </w:rPr>
              <w:t xml:space="preserve">die ersten </w:t>
            </w:r>
            <w:r w:rsidRPr="00F94B27" w:rsidR="00F94B27">
              <w:rPr>
                <w:b/>
                <w:lang w:val="de-DE"/>
              </w:rPr>
              <w:t>[</w:t>
            </w:r>
            <w:r w:rsidRPr="00651DBA">
              <w:rPr>
                <w:b/>
                <w:i/>
                <w:lang w:val="de-DE"/>
              </w:rPr>
              <w:t>Anzahl der Zinszahlungstage einfügen, an denen ein Festsatz per annum anwendbar ist:</w:t>
            </w:r>
            <w:r w:rsidRPr="00651DBA">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xml:space="preserve"> Zinszahlungstag</w:t>
            </w:r>
            <w:r w:rsidRPr="00F94B27" w:rsidR="00F94B27">
              <w:rPr>
                <w:b/>
                <w:lang w:val="de-DE"/>
              </w:rPr>
              <w:t>[</w:t>
            </w:r>
            <w:r w:rsidRPr="00651DBA">
              <w:rPr>
                <w:lang w:val="de-DE"/>
              </w:rPr>
              <w:t>e</w:t>
            </w:r>
            <w:r w:rsidRPr="00F94B27" w:rsidR="00F94B27">
              <w:rPr>
                <w:b/>
                <w:lang w:val="de-DE"/>
              </w:rPr>
              <w:t>]</w:t>
            </w:r>
            <w:r w:rsidRPr="00651DBA">
              <w:rPr>
                <w:lang w:val="de-DE"/>
              </w:rPr>
              <w:t xml:space="preserve">. Für die Berechnung des Zinszahlungsbetrags am </w:t>
            </w:r>
            <w:r w:rsidRPr="00F94B27" w:rsidR="00F94B27">
              <w:rPr>
                <w:b/>
                <w:lang w:val="de-DE"/>
              </w:rPr>
              <w:t>[</w:t>
            </w:r>
            <w:r w:rsidRPr="00651DBA">
              <w:rPr>
                <w:b/>
                <w:i/>
                <w:lang w:val="de-DE"/>
              </w:rPr>
              <w:t>Zahl des Zinszahlungstags einfügen, von dem an der Zinssatz ein variabler Satz per annum sein wird:</w:t>
            </w:r>
            <w:r w:rsidRPr="00651DBA">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xml:space="preserve"> Zinszahlungstag </w:t>
            </w:r>
            <w:r w:rsidRPr="00F94B27" w:rsidR="00F94B27">
              <w:rPr>
                <w:b/>
                <w:lang w:val="de-DE"/>
              </w:rPr>
              <w:t>[</w:t>
            </w:r>
            <w:r w:rsidRPr="00651DBA">
              <w:rPr>
                <w:lang w:val="de-DE"/>
              </w:rPr>
              <w:t>und jeden folgenden Zinszahlungstag</w:t>
            </w:r>
            <w:r w:rsidRPr="00F94B27" w:rsidR="00F94B27">
              <w:rPr>
                <w:b/>
                <w:lang w:val="de-DE"/>
              </w:rPr>
              <w:t>]</w:t>
            </w:r>
            <w:r w:rsidRPr="00651DBA">
              <w:rPr>
                <w:lang w:val="de-DE"/>
              </w:rPr>
              <w:t xml:space="preserve"> </w:t>
            </w:r>
            <w:r w:rsidRPr="00F94B27" w:rsidR="00F94B27">
              <w:rPr>
                <w:b/>
                <w:lang w:val="de-DE"/>
              </w:rPr>
              <w:t>[</w:t>
            </w:r>
            <w:r w:rsidRPr="00651DBA">
              <w:rPr>
                <w:lang w:val="de-DE"/>
              </w:rPr>
              <w:t>wird</w:t>
            </w:r>
            <w:r w:rsidRPr="00F94B27" w:rsidR="00F94B27">
              <w:rPr>
                <w:b/>
                <w:lang w:val="de-DE"/>
              </w:rPr>
              <w:t>]</w:t>
            </w:r>
            <w:r w:rsidRPr="00651DBA">
              <w:rPr>
                <w:lang w:val="de-DE"/>
              </w:rPr>
              <w:t xml:space="preserve"> </w:t>
            </w:r>
            <w:r w:rsidRPr="00F94B27" w:rsidR="00F94B27">
              <w:rPr>
                <w:b/>
                <w:lang w:val="de-DE"/>
              </w:rPr>
              <w:t>[</w:t>
            </w:r>
            <w:r w:rsidRPr="00651DBA">
              <w:rPr>
                <w:lang w:val="de-DE"/>
              </w:rPr>
              <w:t>werden</w:t>
            </w:r>
            <w:r w:rsidRPr="00F94B27" w:rsidR="00F94B27">
              <w:rPr>
                <w:b/>
                <w:lang w:val="de-DE"/>
              </w:rPr>
              <w:t>]</w:t>
            </w:r>
            <w:r w:rsidRPr="00651DBA">
              <w:rPr>
                <w:lang w:val="de-DE"/>
              </w:rPr>
              <w:t xml:space="preserve"> </w:t>
            </w:r>
            <w:r w:rsidRPr="00F94B27" w:rsidR="00F94B27">
              <w:rPr>
                <w:b/>
                <w:lang w:val="de-DE"/>
              </w:rPr>
              <w:t>[</w:t>
            </w:r>
            <w:r w:rsidRPr="00651DBA">
              <w:rPr>
                <w:lang w:val="de-DE"/>
              </w:rPr>
              <w:t>der Zinszahlungsbetrag</w:t>
            </w:r>
            <w:r w:rsidRPr="00F94B27" w:rsidR="00F94B27">
              <w:rPr>
                <w:b/>
                <w:lang w:val="de-DE"/>
              </w:rPr>
              <w:t>]</w:t>
            </w:r>
            <w:r w:rsidRPr="00651DBA">
              <w:rPr>
                <w:lang w:val="de-DE"/>
              </w:rPr>
              <w:t xml:space="preserve"> </w:t>
            </w:r>
            <w:r w:rsidRPr="00F94B27" w:rsidR="00F94B27">
              <w:rPr>
                <w:b/>
                <w:lang w:val="de-DE"/>
              </w:rPr>
              <w:t>[</w:t>
            </w:r>
            <w:r w:rsidRPr="00651DBA">
              <w:rPr>
                <w:lang w:val="de-DE"/>
              </w:rPr>
              <w:t>die Zinszahlungsbeträge</w:t>
            </w:r>
            <w:r w:rsidRPr="00F94B27" w:rsidR="00F94B27">
              <w:rPr>
                <w:b/>
                <w:lang w:val="de-DE"/>
              </w:rPr>
              <w:t>]</w:t>
            </w:r>
            <w:r w:rsidRPr="00651DBA">
              <w:rPr>
                <w:lang w:val="de-DE"/>
              </w:rPr>
              <w:t xml:space="preserve"> auf der Grundlage eines variablen Zinssatzes berechnet. Dieser variable Zinssatz entspricht dem kleineren der folgenden Beträge: (i) der jeweilige Höchstzinssatz (der dem Zinssatz entspricht, der am unmittelbar vorangegangenen Zinszahlungstag Anwendung gefunden hat, 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xml:space="preserve">% per annum) und (ii) der grössere der folgenden Beträge: (a) </w:t>
            </w:r>
            <w:r w:rsidRPr="00F94B27" w:rsidR="00F94B27">
              <w:rPr>
                <w:b/>
                <w:lang w:val="de-DE"/>
              </w:rPr>
              <w:t>[</w:t>
            </w:r>
            <w:r w:rsidRPr="00651DBA">
              <w:rPr>
                <w:lang w:val="de-DE"/>
              </w:rPr>
              <w:t>der Referenzsatz (d.h. ein variabler Zinssatz) am jeweiligen Zinsfeststellungstag</w:t>
            </w:r>
            <w:r w:rsidRPr="00F94B27" w:rsidR="00F94B27">
              <w:rPr>
                <w:b/>
                <w:lang w:val="de-DE"/>
              </w:rPr>
              <w:t>]</w:t>
            </w:r>
            <w:r w:rsidRPr="00651DBA">
              <w:rPr>
                <w:lang w:val="de-DE"/>
              </w:rPr>
              <w:t xml:space="preserve"> </w:t>
            </w:r>
            <w:r w:rsidRPr="00F94B27" w:rsidR="00F94B27">
              <w:rPr>
                <w:b/>
                <w:lang w:val="de-DE"/>
              </w:rPr>
              <w:t>[</w:t>
            </w:r>
            <w:r w:rsidRPr="00651DBA">
              <w:rPr>
                <w:lang w:val="de-DE"/>
              </w:rPr>
              <w:t xml:space="preserve">die Summe aus dem Referenzsatz (d.h. ein variabler Zinssatz) am jeweiligen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per annum</w:t>
            </w:r>
            <w:r w:rsidRPr="00F94B27" w:rsidR="00F94B27">
              <w:rPr>
                <w:b/>
                <w:lang w:val="de-DE"/>
              </w:rPr>
              <w:t>]</w:t>
            </w:r>
            <w:r w:rsidRPr="00651DBA">
              <w:rPr>
                <w:lang w:val="de-DE"/>
              </w:rPr>
              <w:t xml:space="preserve">, und (b) der jeweilige Mindestzinssatz (der dem Zinssatz entspricht, der am unmittelbar vorangegangenen Zinszahlungstag Anwendung gefunden hat </w:t>
            </w:r>
            <w:r w:rsidRPr="00F94B27" w:rsidR="00F94B27">
              <w:rPr>
                <w:b/>
                <w:lang w:val="de-DE"/>
              </w:rPr>
              <w:t>[</w:t>
            </w:r>
            <w:r w:rsidRPr="00651DBA">
              <w:rPr>
                <w:lang w:val="de-DE"/>
              </w:rPr>
              <w:t xml:space="preserve">, 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per annum</w:t>
            </w:r>
            <w:r w:rsidRPr="00F94B27" w:rsidR="00F94B27">
              <w:rPr>
                <w:b/>
                <w:lang w:val="de-DE"/>
              </w:rPr>
              <w:t>]</w:t>
            </w:r>
            <w:r w:rsidRPr="00651DBA">
              <w:rPr>
                <w:lang w:val="de-DE"/>
              </w:rPr>
              <w:t>. Folglich führt ein Ansteigen des Referenzsatzes regelmässig zu einem höheren variablen Zinssatz, der aber in keinem Fall über den Höchstzinssatz steigen kann. Umgekehrt führt ein Absinken des Referenzsatzes regelmässig zu einem variablen Zinssatz, der aber keinem Fall unter den Mindestzinssatz fallen kann. Folglich ist das Gewinnpotenzial bei Stairway Notes nach oben hin begrenzt.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51DBA" w:rsidRPr="00AB16EC" w:rsidP="00651DBA">
            <w:pPr>
              <w:pStyle w:val="CSbody0bolditalic"/>
              <w:rPr>
                <w:lang w:val="en-GB"/>
              </w:rPr>
            </w:pPr>
            <w:r w:rsidRPr="00F94B27">
              <w:rPr>
                <w:lang w:val="en-GB"/>
              </w:rPr>
              <w:t>[</w:t>
            </w:r>
            <w:r w:rsidRPr="00AB16EC">
              <w:rPr>
                <w:lang w:val="en-GB"/>
              </w:rPr>
              <w:t>in case of Inverse Floating Rate Notes:</w:t>
            </w:r>
          </w:p>
        </w:tc>
        <w:tc>
          <w:tcPr>
            <w:tcW w:w="2466" w:type="pct"/>
            <w:gridSpan w:val="14"/>
            <w:tcBorders>
              <w:left w:val="single" w:sz="4" w:space="0" w:color="auto"/>
            </w:tcBorders>
          </w:tcPr>
          <w:p w:rsidR="00651DBA" w:rsidRPr="00AB16EC" w:rsidP="00651DBA">
            <w:pPr>
              <w:pStyle w:val="CSbody0bolditalic"/>
              <w:rPr>
                <w:lang w:val="en-GB"/>
              </w:rPr>
            </w:pPr>
            <w:r w:rsidRPr="00F94B27">
              <w:rPr>
                <w:lang w:val="en-GB"/>
              </w:rPr>
              <w:t>[</w:t>
            </w:r>
            <w:r w:rsidRPr="00AB16EC">
              <w:rPr>
                <w:lang w:val="en-GB"/>
              </w:rPr>
              <w:t>bei Inverse Floating Rate Notes:</w:t>
            </w:r>
          </w:p>
        </w:tc>
      </w:tr>
      <w:tr w:rsidTr="00942F00">
        <w:tblPrEx>
          <w:tblW w:w="5000" w:type="pct"/>
          <w:tblLayout w:type="fixed"/>
          <w:tblLook w:val="04A0"/>
        </w:tblPrEx>
        <w:tc>
          <w:tcPr>
            <w:tcW w:w="2534" w:type="pct"/>
            <w:gridSpan w:val="14"/>
            <w:tcBorders>
              <w:right w:val="single" w:sz="4" w:space="0" w:color="auto"/>
            </w:tcBorders>
          </w:tcPr>
          <w:p w:rsidR="00651DBA" w:rsidRPr="00AF5A46" w:rsidP="00651DBA">
            <w:pPr>
              <w:pStyle w:val="CSBody0"/>
            </w:pPr>
            <w:r w:rsidRPr="00F94B27">
              <w:rPr>
                <w:b/>
              </w:rPr>
              <w:t>[</w:t>
            </w:r>
            <w:r w:rsidRPr="00651DBA">
              <w:rPr>
                <w:b/>
                <w:i/>
              </w:rPr>
              <w:t>in case of Complex Products with one or more Fixed Interest Payment Dates:</w:t>
            </w:r>
            <w:r w:rsidRPr="00AF5A46">
              <w:t xml:space="preserve"> In case of Inverse Floating Rate Notes, the Interest Rate on the basis of which the Interest Payment Amounts are calculated will be equal to a fixed rate per annum for the </w:t>
            </w:r>
            <w:r w:rsidRPr="00F94B27">
              <w:rPr>
                <w:b/>
              </w:rPr>
              <w:t>[</w:t>
            </w:r>
            <w:r w:rsidRPr="00AF5A46">
              <w:t>first</w:t>
            </w:r>
            <w:r w:rsidRPr="00F94B27">
              <w:rPr>
                <w:b/>
              </w:rPr>
              <w:t>]</w:t>
            </w:r>
            <w:r w:rsidRPr="00AF5A46">
              <w:t xml:space="preserve"> </w:t>
            </w:r>
            <w:r w:rsidRPr="00F94B27">
              <w:rPr>
                <w:b/>
              </w:rPr>
              <w:t>[</w:t>
            </w:r>
            <w:r w:rsidRPr="00AF5A46">
              <w:t xml:space="preserve">first </w:t>
            </w:r>
            <w:r w:rsidRPr="00F94B27">
              <w:rPr>
                <w:b/>
              </w:rPr>
              <w:t>[</w:t>
            </w:r>
            <w:r w:rsidRPr="00651DBA">
              <w:rPr>
                <w:b/>
                <w:i/>
              </w:rPr>
              <w:t>insert number of Interest Payment Dates, on which a fixed rate per annum is applicable:</w:t>
            </w:r>
            <w:r w:rsidRPr="00AF5A46">
              <w:t xml:space="preserve"> </w:t>
            </w:r>
            <w:r w:rsidRPr="00F94B27">
              <w:rPr>
                <w:b/>
              </w:rPr>
              <w:t>[</w:t>
            </w:r>
            <w:r w:rsidR="003857E8">
              <w:rPr>
                <w:rFonts w:ascii="Arial" w:hAnsi="Arial" w:cs="Arial"/>
              </w:rPr>
              <w:t>●</w:t>
            </w:r>
            <w:r w:rsidRPr="00F94B27">
              <w:rPr>
                <w:b/>
              </w:rPr>
              <w:t>]]</w:t>
            </w:r>
            <w:r w:rsidRPr="00AF5A46">
              <w:t xml:space="preserve"> Interest Payment Date</w:t>
            </w:r>
            <w:r w:rsidRPr="00F94B27">
              <w:rPr>
                <w:b/>
              </w:rPr>
              <w:t>[</w:t>
            </w:r>
            <w:r w:rsidRPr="00AF5A46">
              <w:t>s</w:t>
            </w:r>
            <w:r w:rsidRPr="00F94B27">
              <w:rPr>
                <w:b/>
              </w:rPr>
              <w:t>]</w:t>
            </w:r>
            <w:r w:rsidRPr="00AF5A46">
              <w:t xml:space="preserve">. For the calculation of the Interest Payment Amount on the </w:t>
            </w:r>
            <w:r w:rsidRPr="00F94B27">
              <w:rPr>
                <w:b/>
              </w:rPr>
              <w:t>[</w:t>
            </w:r>
            <w:r w:rsidRPr="00651DBA">
              <w:rPr>
                <w:b/>
                <w:i/>
              </w:rPr>
              <w:t>insert number of Interest Payment Date, from which the Interest Rate will be a variable rate per annum:</w:t>
            </w:r>
            <w:r w:rsidRPr="00AF5A46">
              <w:t xml:space="preserve"> </w:t>
            </w:r>
            <w:r w:rsidRPr="00F94B27">
              <w:rPr>
                <w:b/>
              </w:rPr>
              <w:t>[</w:t>
            </w:r>
            <w:r w:rsidR="003857E8">
              <w:rPr>
                <w:rFonts w:ascii="Arial" w:hAnsi="Arial" w:cs="Arial"/>
              </w:rPr>
              <w:t>●</w:t>
            </w:r>
            <w:r w:rsidRPr="00F94B27">
              <w:rPr>
                <w:b/>
              </w:rPr>
              <w:t>]]</w:t>
            </w:r>
            <w:r w:rsidRPr="00AF5A46">
              <w:t xml:space="preserve"> Interest Payment Date </w:t>
            </w:r>
            <w:r w:rsidRPr="00F94B27">
              <w:rPr>
                <w:b/>
              </w:rPr>
              <w:t>[</w:t>
            </w:r>
            <w:r w:rsidRPr="00AF5A46">
              <w:t>and any following Interest Payment Date</w:t>
            </w:r>
            <w:r w:rsidRPr="00F94B27">
              <w:rPr>
                <w:b/>
              </w:rPr>
              <w:t>]</w:t>
            </w:r>
            <w:r w:rsidRPr="00AF5A46">
              <w:t xml:space="preserve"> the Interest Payment Amount</w:t>
            </w:r>
            <w:r w:rsidRPr="00F94B27">
              <w:rPr>
                <w:b/>
              </w:rPr>
              <w:t>[</w:t>
            </w:r>
            <w:r w:rsidRPr="00AF5A46">
              <w:t>s</w:t>
            </w:r>
            <w:r w:rsidRPr="00F94B27">
              <w:rPr>
                <w:b/>
              </w:rPr>
              <w:t>]</w:t>
            </w:r>
            <w:r w:rsidRPr="00AF5A46">
              <w:t xml:space="preserve"> will be calculated on the basis of a variable Interest Rate.</w:t>
            </w:r>
            <w:r w:rsidRPr="00F94B27">
              <w:rPr>
                <w:b/>
              </w:rPr>
              <w:t>]</w:t>
            </w:r>
          </w:p>
        </w:tc>
        <w:tc>
          <w:tcPr>
            <w:tcW w:w="2466" w:type="pct"/>
            <w:gridSpan w:val="14"/>
            <w:tcBorders>
              <w:left w:val="single" w:sz="4" w:space="0" w:color="auto"/>
            </w:tcBorders>
          </w:tcPr>
          <w:p w:rsidR="00651DBA" w:rsidRPr="00651DBA" w:rsidP="00651DBA">
            <w:pPr>
              <w:pStyle w:val="CSBody0"/>
              <w:rPr>
                <w:lang w:val="de-DE"/>
              </w:rPr>
            </w:pPr>
            <w:r w:rsidRPr="00F94B27">
              <w:rPr>
                <w:b/>
                <w:lang w:val="de-DE"/>
              </w:rPr>
              <w:t>[</w:t>
            </w:r>
            <w:r w:rsidRPr="00651DBA">
              <w:rPr>
                <w:b/>
                <w:i/>
                <w:lang w:val="de-DE"/>
              </w:rPr>
              <w:t>bei Komplexen Produkten mit einem oder mehreren Zahlungstagen für Festzinsen:</w:t>
            </w:r>
            <w:r w:rsidRPr="00651DBA">
              <w:rPr>
                <w:lang w:val="de-DE"/>
              </w:rPr>
              <w:t xml:space="preserve"> Bei Inverse Floating Rate Notes entspricht der Zinssatz, auf dessen Grundlage die Zinszahlungsbeträge berechnet werden, einem Festsatz per annum für </w:t>
            </w:r>
            <w:r w:rsidRPr="00F94B27">
              <w:rPr>
                <w:b/>
                <w:lang w:val="de-DE"/>
              </w:rPr>
              <w:t>[</w:t>
            </w:r>
            <w:r w:rsidRPr="00651DBA">
              <w:rPr>
                <w:lang w:val="de-DE"/>
              </w:rPr>
              <w:t>den ersten</w:t>
            </w:r>
            <w:r w:rsidRPr="00F94B27">
              <w:rPr>
                <w:b/>
                <w:lang w:val="de-DE"/>
              </w:rPr>
              <w:t>]</w:t>
            </w:r>
            <w:r w:rsidRPr="00651DBA">
              <w:rPr>
                <w:lang w:val="de-DE"/>
              </w:rPr>
              <w:t xml:space="preserve"> </w:t>
            </w:r>
            <w:r w:rsidRPr="00F94B27">
              <w:rPr>
                <w:b/>
                <w:lang w:val="de-DE"/>
              </w:rPr>
              <w:t>[</w:t>
            </w:r>
            <w:r w:rsidRPr="00651DBA">
              <w:rPr>
                <w:lang w:val="de-DE"/>
              </w:rPr>
              <w:t xml:space="preserve">die ersten </w:t>
            </w:r>
            <w:r w:rsidRPr="00F94B27">
              <w:rPr>
                <w:b/>
                <w:lang w:val="de-DE"/>
              </w:rPr>
              <w:t>[</w:t>
            </w:r>
            <w:r w:rsidRPr="00651DBA">
              <w:rPr>
                <w:b/>
                <w:i/>
                <w:lang w:val="de-DE"/>
              </w:rPr>
              <w:t>Anzahl der Zinszahlungstage einfügen, an denen ein Festsatz per annum anwendbar ist:</w:t>
            </w:r>
            <w:r w:rsidRPr="00651DBA">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651DBA">
              <w:rPr>
                <w:lang w:val="de-DE"/>
              </w:rPr>
              <w:t xml:space="preserve"> Zinszahlungstag</w:t>
            </w:r>
            <w:r w:rsidRPr="00F94B27">
              <w:rPr>
                <w:b/>
                <w:lang w:val="de-DE"/>
              </w:rPr>
              <w:t>[</w:t>
            </w:r>
            <w:r w:rsidRPr="00651DBA">
              <w:rPr>
                <w:lang w:val="de-DE"/>
              </w:rPr>
              <w:t>e</w:t>
            </w:r>
            <w:r w:rsidRPr="00F94B27">
              <w:rPr>
                <w:b/>
                <w:lang w:val="de-DE"/>
              </w:rPr>
              <w:t>]</w:t>
            </w:r>
            <w:r w:rsidRPr="00651DBA">
              <w:rPr>
                <w:lang w:val="de-DE"/>
              </w:rPr>
              <w:t xml:space="preserve">. Für die Berechnung des Zinszahlungsbetrags am </w:t>
            </w:r>
            <w:r w:rsidRPr="00F94B27">
              <w:rPr>
                <w:b/>
                <w:lang w:val="de-DE"/>
              </w:rPr>
              <w:t>[</w:t>
            </w:r>
            <w:r w:rsidRPr="00651DBA">
              <w:rPr>
                <w:b/>
                <w:i/>
                <w:lang w:val="de-DE"/>
              </w:rPr>
              <w:t>Zahl des Zinszahlungstags einfügen, von dem an der Zinssatz ein variabler Satz per annum sein wird:</w:t>
            </w:r>
            <w:r w:rsidRPr="00651DBA">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651DBA">
              <w:rPr>
                <w:lang w:val="de-DE"/>
              </w:rPr>
              <w:t xml:space="preserve"> Zinszahlungstag </w:t>
            </w:r>
            <w:r w:rsidRPr="00F94B27">
              <w:rPr>
                <w:b/>
                <w:lang w:val="de-DE"/>
              </w:rPr>
              <w:t>[</w:t>
            </w:r>
            <w:r w:rsidRPr="00651DBA">
              <w:rPr>
                <w:lang w:val="de-DE"/>
              </w:rPr>
              <w:t>und jeden folgenden Zinszahlungstag</w:t>
            </w:r>
            <w:r w:rsidRPr="00F94B27">
              <w:rPr>
                <w:b/>
                <w:lang w:val="de-DE"/>
              </w:rPr>
              <w:t>]</w:t>
            </w:r>
            <w:r w:rsidRPr="00651DBA">
              <w:rPr>
                <w:lang w:val="de-DE"/>
              </w:rPr>
              <w:t xml:space="preserve"> </w:t>
            </w:r>
            <w:r w:rsidRPr="00F94B27">
              <w:rPr>
                <w:b/>
                <w:lang w:val="de-DE"/>
              </w:rPr>
              <w:t>[</w:t>
            </w:r>
            <w:r w:rsidRPr="00651DBA">
              <w:rPr>
                <w:lang w:val="de-DE"/>
              </w:rPr>
              <w:t>wird</w:t>
            </w:r>
            <w:r w:rsidRPr="00F94B27">
              <w:rPr>
                <w:b/>
                <w:lang w:val="de-DE"/>
              </w:rPr>
              <w:t>]</w:t>
            </w:r>
            <w:r w:rsidRPr="00651DBA">
              <w:rPr>
                <w:lang w:val="de-DE"/>
              </w:rPr>
              <w:t xml:space="preserve"> </w:t>
            </w:r>
            <w:r w:rsidRPr="00F94B27">
              <w:rPr>
                <w:b/>
                <w:lang w:val="de-DE"/>
              </w:rPr>
              <w:t>[</w:t>
            </w:r>
            <w:r w:rsidRPr="00651DBA">
              <w:rPr>
                <w:lang w:val="de-DE"/>
              </w:rPr>
              <w:t>werden</w:t>
            </w:r>
            <w:r w:rsidRPr="00F94B27">
              <w:rPr>
                <w:b/>
                <w:lang w:val="de-DE"/>
              </w:rPr>
              <w:t>]</w:t>
            </w:r>
            <w:r w:rsidRPr="00651DBA">
              <w:rPr>
                <w:lang w:val="de-DE"/>
              </w:rPr>
              <w:t xml:space="preserve"> </w:t>
            </w:r>
            <w:r w:rsidRPr="00F94B27">
              <w:rPr>
                <w:b/>
                <w:lang w:val="de-DE"/>
              </w:rPr>
              <w:t>[</w:t>
            </w:r>
            <w:r w:rsidRPr="00651DBA">
              <w:rPr>
                <w:lang w:val="de-DE"/>
              </w:rPr>
              <w:t>der Zinszahlungsbetrag</w:t>
            </w:r>
            <w:r w:rsidRPr="00F94B27">
              <w:rPr>
                <w:b/>
                <w:lang w:val="de-DE"/>
              </w:rPr>
              <w:t>]</w:t>
            </w:r>
            <w:r w:rsidRPr="00651DBA">
              <w:rPr>
                <w:lang w:val="de-DE"/>
              </w:rPr>
              <w:t xml:space="preserve"> </w:t>
            </w:r>
            <w:r w:rsidRPr="00F94B27">
              <w:rPr>
                <w:b/>
                <w:lang w:val="de-DE"/>
              </w:rPr>
              <w:t>[</w:t>
            </w:r>
            <w:r w:rsidRPr="00651DBA">
              <w:rPr>
                <w:lang w:val="de-DE"/>
              </w:rPr>
              <w:t>die Zinszahlungsbeträge</w:t>
            </w:r>
            <w:r w:rsidRPr="00F94B27">
              <w:rPr>
                <w:b/>
                <w:lang w:val="de-DE"/>
              </w:rPr>
              <w:t>]</w:t>
            </w:r>
            <w:r w:rsidRPr="00651DBA">
              <w:rPr>
                <w:lang w:val="de-DE"/>
              </w:rPr>
              <w:t xml:space="preserve"> auf der Grundlage eines variablen Zinssatzes berechnet.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51DBA" w:rsidRPr="00AF5A46" w:rsidP="00651DBA">
            <w:pPr>
              <w:pStyle w:val="CSBody0"/>
            </w:pPr>
            <w:r w:rsidRPr="00F94B27">
              <w:rPr>
                <w:b/>
              </w:rPr>
              <w:t>[</w:t>
            </w:r>
            <w:r w:rsidRPr="00651DBA">
              <w:rPr>
                <w:b/>
                <w:i/>
              </w:rPr>
              <w:t>in case of Complex Products without Fixed Interest Payment Dates:</w:t>
            </w:r>
            <w:r w:rsidRPr="00AF5A46">
              <w:t xml:space="preserve"> In case of Inverse Floating Rate Notes, the Interest Rate on the basis of which the Interest Payment Amount</w:t>
            </w:r>
            <w:r w:rsidRPr="00F94B27">
              <w:rPr>
                <w:b/>
              </w:rPr>
              <w:t>[</w:t>
            </w:r>
            <w:r w:rsidRPr="00AF5A46">
              <w:t>s</w:t>
            </w:r>
            <w:r w:rsidRPr="00F94B27">
              <w:rPr>
                <w:b/>
              </w:rPr>
              <w:t>]</w:t>
            </w:r>
            <w:r w:rsidRPr="00AF5A46">
              <w:t xml:space="preserve"> </w:t>
            </w:r>
            <w:r w:rsidRPr="00F94B27">
              <w:rPr>
                <w:b/>
              </w:rPr>
              <w:t>[</w:t>
            </w:r>
            <w:r w:rsidRPr="00AF5A46">
              <w:t>is</w:t>
            </w:r>
            <w:r w:rsidRPr="00F94B27">
              <w:rPr>
                <w:b/>
              </w:rPr>
              <w:t>][</w:t>
            </w:r>
            <w:r w:rsidRPr="00AF5A46">
              <w:t>are</w:t>
            </w:r>
            <w:r w:rsidRPr="00F94B27">
              <w:rPr>
                <w:b/>
              </w:rPr>
              <w:t>]</w:t>
            </w:r>
            <w:r w:rsidRPr="00AF5A46">
              <w:t xml:space="preserve"> calculated will be equal to a variable Interest Rate.</w:t>
            </w:r>
            <w:r w:rsidRPr="00F94B27">
              <w:rPr>
                <w:b/>
              </w:rPr>
              <w:t>]</w:t>
            </w:r>
          </w:p>
        </w:tc>
        <w:tc>
          <w:tcPr>
            <w:tcW w:w="2466" w:type="pct"/>
            <w:gridSpan w:val="14"/>
            <w:tcBorders>
              <w:left w:val="single" w:sz="4" w:space="0" w:color="auto"/>
            </w:tcBorders>
          </w:tcPr>
          <w:p w:rsidR="00651DBA" w:rsidRPr="00651DBA" w:rsidP="00651DBA">
            <w:pPr>
              <w:pStyle w:val="CSBody0"/>
              <w:rPr>
                <w:lang w:val="de-DE"/>
              </w:rPr>
            </w:pPr>
            <w:r w:rsidRPr="00F94B27">
              <w:rPr>
                <w:b/>
                <w:lang w:val="de-DE"/>
              </w:rPr>
              <w:t>[</w:t>
            </w:r>
            <w:r w:rsidRPr="00651DBA">
              <w:rPr>
                <w:b/>
                <w:i/>
                <w:lang w:val="de-DE"/>
              </w:rPr>
              <w:t>bei Komplexen Produkten ohne Zahlungstage für Festzinsen:</w:t>
            </w:r>
            <w:r w:rsidRPr="00651DBA">
              <w:rPr>
                <w:lang w:val="de-DE"/>
              </w:rPr>
              <w:t xml:space="preserve"> Bei Inverse Floating Rate Notes entspricht der Zinssatz, auf dessen Grundlage </w:t>
            </w:r>
            <w:r w:rsidRPr="00F94B27">
              <w:rPr>
                <w:b/>
                <w:lang w:val="de-DE"/>
              </w:rPr>
              <w:t>[</w:t>
            </w:r>
            <w:r w:rsidRPr="00651DBA">
              <w:rPr>
                <w:lang w:val="de-DE"/>
              </w:rPr>
              <w:t>der Zinszahlungsbetrag</w:t>
            </w:r>
            <w:r w:rsidRPr="00F94B27">
              <w:rPr>
                <w:b/>
                <w:lang w:val="de-DE"/>
              </w:rPr>
              <w:t>]</w:t>
            </w:r>
            <w:r w:rsidRPr="00651DBA">
              <w:rPr>
                <w:lang w:val="de-DE"/>
              </w:rPr>
              <w:t xml:space="preserve"> </w:t>
            </w:r>
            <w:r w:rsidRPr="00F94B27">
              <w:rPr>
                <w:b/>
                <w:lang w:val="de-DE"/>
              </w:rPr>
              <w:t>[</w:t>
            </w:r>
            <w:r w:rsidRPr="00651DBA">
              <w:rPr>
                <w:lang w:val="de-DE"/>
              </w:rPr>
              <w:t>die Zinszahlungsbeträge</w:t>
            </w:r>
            <w:r w:rsidRPr="00F94B27">
              <w:rPr>
                <w:b/>
                <w:lang w:val="de-DE"/>
              </w:rPr>
              <w:t>]</w:t>
            </w:r>
            <w:r w:rsidRPr="00651DBA">
              <w:rPr>
                <w:lang w:val="de-DE"/>
              </w:rPr>
              <w:t xml:space="preserve"> berechnet </w:t>
            </w:r>
            <w:r w:rsidRPr="00F94B27">
              <w:rPr>
                <w:b/>
                <w:lang w:val="de-DE"/>
              </w:rPr>
              <w:t>[</w:t>
            </w:r>
            <w:r w:rsidRPr="00651DBA">
              <w:rPr>
                <w:lang w:val="de-DE"/>
              </w:rPr>
              <w:t>wird</w:t>
            </w:r>
            <w:r w:rsidRPr="00F94B27">
              <w:rPr>
                <w:b/>
                <w:lang w:val="de-DE"/>
              </w:rPr>
              <w:t>]</w:t>
            </w:r>
            <w:r w:rsidRPr="00651DBA">
              <w:rPr>
                <w:lang w:val="de-DE"/>
              </w:rPr>
              <w:t xml:space="preserve"> </w:t>
            </w:r>
            <w:r w:rsidRPr="00F94B27">
              <w:rPr>
                <w:b/>
                <w:lang w:val="de-DE"/>
              </w:rPr>
              <w:t>[</w:t>
            </w:r>
            <w:r w:rsidRPr="00651DBA">
              <w:rPr>
                <w:lang w:val="de-DE"/>
              </w:rPr>
              <w:t>werden</w:t>
            </w:r>
            <w:r w:rsidRPr="00F94B27">
              <w:rPr>
                <w:b/>
                <w:lang w:val="de-DE"/>
              </w:rPr>
              <w:t>]</w:t>
            </w:r>
            <w:r w:rsidRPr="00651DBA">
              <w:rPr>
                <w:lang w:val="de-DE"/>
              </w:rPr>
              <w:t>, einem variablen Zinssatz.</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51DBA" w:rsidRPr="00AF5A46" w:rsidP="00474C21">
            <w:pPr>
              <w:pStyle w:val="CSBody0"/>
            </w:pPr>
            <w:r w:rsidRPr="00AF5A46">
              <w:t>Such variable Interest Rate will be equal to the relevant Spread Rate (</w:t>
            </w:r>
            <w:r w:rsidRPr="007E3558" w:rsidR="007E3558">
              <w:rPr>
                <w:i/>
              </w:rPr>
              <w:t>i.e.</w:t>
            </w:r>
            <w:r w:rsidRPr="00AF5A46">
              <w:t xml:space="preserve">, a fixed rate per annum) less the </w:t>
            </w:r>
            <w:r w:rsidRPr="00F94B27" w:rsidR="00F94B27">
              <w:rPr>
                <w:b/>
              </w:rPr>
              <w:t>[</w:t>
            </w:r>
            <w:r w:rsidRPr="00AF5A46">
              <w:t>Reference Rate (i.e, a variable rate of interest) on the relevant Interest Detemination Date</w:t>
            </w:r>
            <w:r w:rsidRPr="00F94B27" w:rsidR="00F94B27">
              <w:rPr>
                <w:b/>
              </w:rPr>
              <w:t>]</w:t>
            </w:r>
            <w:r w:rsidRPr="00AF5A46">
              <w:t xml:space="preserve"> </w:t>
            </w:r>
            <w:r w:rsidRPr="00F94B27" w:rsidR="00F94B27">
              <w:rPr>
                <w:b/>
              </w:rPr>
              <w:t>[</w:t>
            </w:r>
            <w:r w:rsidRPr="00AF5A46">
              <w:t xml:space="preserve">sum of the Reference Rate (i.e, a variable rate of interest) on the relevant Interest Determination Date and </w:t>
            </w:r>
            <w:r w:rsidRPr="00F94B27" w:rsidR="00F94B27">
              <w:rPr>
                <w:b/>
              </w:rPr>
              <w:t>[</w:t>
            </w:r>
            <w:r w:rsidR="003857E8">
              <w:rPr>
                <w:rFonts w:ascii="Arial" w:hAnsi="Arial" w:cs="Arial"/>
              </w:rPr>
              <w:t>●</w:t>
            </w:r>
            <w:r w:rsidRPr="00F94B27" w:rsidR="00F94B27">
              <w:rPr>
                <w:b/>
              </w:rPr>
              <w:t>]</w:t>
            </w:r>
            <w:r w:rsidRPr="00AF5A46">
              <w:t>% per annum</w:t>
            </w:r>
            <w:r w:rsidRPr="00F94B27" w:rsidR="00F94B27">
              <w:rPr>
                <w:b/>
              </w:rPr>
              <w:t>]</w:t>
            </w:r>
            <w:r w:rsidRPr="00AF5A46">
              <w:t xml:space="preserve">. Consequently, the lower the value of the Reference Rate on the relevant Interest Determination Date </w:t>
            </w:r>
            <w:r w:rsidRPr="00F94B27" w:rsidR="00F94B27">
              <w:rPr>
                <w:b/>
              </w:rPr>
              <w:t>[</w:t>
            </w:r>
            <w:r w:rsidRPr="00AF5A46">
              <w:t xml:space="preserve">plus </w:t>
            </w:r>
            <w:r w:rsidRPr="00F94B27" w:rsidR="00F94B27">
              <w:rPr>
                <w:b/>
              </w:rPr>
              <w:t>[</w:t>
            </w:r>
            <w:r w:rsidR="003857E8">
              <w:rPr>
                <w:rFonts w:ascii="Arial" w:hAnsi="Arial" w:cs="Arial"/>
              </w:rPr>
              <w:t>●</w:t>
            </w:r>
            <w:r w:rsidRPr="00F94B27" w:rsidR="00F94B27">
              <w:rPr>
                <w:b/>
              </w:rPr>
              <w:t>]</w:t>
            </w:r>
            <w:r w:rsidRPr="00AF5A46">
              <w:t>% per annum</w:t>
            </w:r>
            <w:r w:rsidRPr="00F94B27" w:rsidR="00F94B27">
              <w:rPr>
                <w:b/>
              </w:rPr>
              <w:t>]</w:t>
            </w:r>
            <w:r w:rsidRPr="00AF5A46">
              <w:t xml:space="preserve"> is in comparison to the value of the Spread Rate, the higher the applicable Interest Rate and resulting Interest Payment Amount will be. Conversely, the higher the value of the Reference Rate on the Interest Determination Date </w:t>
            </w:r>
            <w:r w:rsidRPr="00F94B27" w:rsidR="00F94B27">
              <w:rPr>
                <w:b/>
              </w:rPr>
              <w:t>[</w:t>
            </w:r>
            <w:r w:rsidRPr="00AF5A46">
              <w:t xml:space="preserve">plus </w:t>
            </w:r>
            <w:r w:rsidRPr="00F94B27" w:rsidR="00F94B27">
              <w:rPr>
                <w:b/>
              </w:rPr>
              <w:t>[</w:t>
            </w:r>
            <w:r w:rsidR="003857E8">
              <w:rPr>
                <w:rFonts w:ascii="Arial" w:hAnsi="Arial" w:cs="Arial"/>
              </w:rPr>
              <w:t>●</w:t>
            </w:r>
            <w:r w:rsidRPr="00F94B27" w:rsidR="00F94B27">
              <w:rPr>
                <w:b/>
              </w:rPr>
              <w:t>]</w:t>
            </w:r>
            <w:r w:rsidRPr="00AF5A46">
              <w:t>% per annum</w:t>
            </w:r>
            <w:r w:rsidRPr="00F94B27" w:rsidR="00F94B27">
              <w:rPr>
                <w:b/>
              </w:rPr>
              <w:t>]</w:t>
            </w:r>
            <w:r w:rsidRPr="00AF5A46">
              <w:t xml:space="preserve"> is in comparison to the value of the Spread Rate, the lower the applicable Interest Rate and resulting Interest Payment Amount will be. If the value of the Reference Rate on each Interest Determination Date </w:t>
            </w:r>
            <w:r w:rsidRPr="00F94B27" w:rsidR="00F94B27">
              <w:rPr>
                <w:b/>
              </w:rPr>
              <w:t>[</w:t>
            </w:r>
            <w:r w:rsidRPr="00AF5A46">
              <w:t xml:space="preserve">plus </w:t>
            </w:r>
            <w:r w:rsidRPr="00F94B27" w:rsidR="00F94B27">
              <w:rPr>
                <w:b/>
              </w:rPr>
              <w:t>[</w:t>
            </w:r>
            <w:r w:rsidR="003857E8">
              <w:rPr>
                <w:rFonts w:ascii="Arial" w:hAnsi="Arial" w:cs="Arial"/>
              </w:rPr>
              <w:t>●</w:t>
            </w:r>
            <w:r w:rsidRPr="00F94B27" w:rsidR="00F94B27">
              <w:rPr>
                <w:b/>
              </w:rPr>
              <w:t>]</w:t>
            </w:r>
            <w:r w:rsidRPr="00AF5A46">
              <w:t>% per annum</w:t>
            </w:r>
            <w:r w:rsidRPr="00F94B27" w:rsidR="00F94B27">
              <w:rPr>
                <w:b/>
              </w:rPr>
              <w:t>]</w:t>
            </w:r>
            <w:r w:rsidRPr="00AF5A46">
              <w:t xml:space="preserve"> is equal to or above the relevant Spread Rate, the applicable Interest Rate will be equal to </w:t>
            </w:r>
            <w:r w:rsidRPr="00F94B27" w:rsidR="00F94B27">
              <w:rPr>
                <w:b/>
              </w:rPr>
              <w:t>[</w:t>
            </w:r>
            <w:r w:rsidRPr="00AF5A46">
              <w:t>zero</w:t>
            </w:r>
            <w:r w:rsidRPr="00F94B27" w:rsidR="00F94B27">
              <w:rPr>
                <w:b/>
              </w:rPr>
              <w:t>]</w:t>
            </w:r>
            <w:r w:rsidRPr="00AF5A46">
              <w:t xml:space="preserve"> </w:t>
            </w:r>
            <w:r w:rsidRPr="00F94B27" w:rsidR="00F94B27">
              <w:rPr>
                <w:b/>
              </w:rPr>
              <w:t>[</w:t>
            </w:r>
            <w:r w:rsidRPr="00AF5A46">
              <w:t>the Minimum Interest Rate</w:t>
            </w:r>
            <w:r w:rsidRPr="00F94B27" w:rsidR="00F94B27">
              <w:rPr>
                <w:b/>
              </w:rPr>
              <w:t>]</w:t>
            </w:r>
            <w:r w:rsidRPr="00AF5A46">
              <w:t xml:space="preserve"> for each Interest Payment Date </w:t>
            </w:r>
            <w:r w:rsidRPr="00F94B27" w:rsidR="00F94B27">
              <w:rPr>
                <w:b/>
              </w:rPr>
              <w:t>[</w:t>
            </w:r>
            <w:r w:rsidRPr="00651DBA">
              <w:rPr>
                <w:b/>
                <w:i/>
              </w:rPr>
              <w:t>in case of Complex Products without Minimum Interest Rate:</w:t>
            </w:r>
            <w:r w:rsidRPr="00AF5A46">
              <w:t xml:space="preserve"> and, consequently, investors will not receive any interest on the Complex Products</w:t>
            </w:r>
            <w:r w:rsidRPr="00F94B27" w:rsidR="00F94B27">
              <w:rPr>
                <w:b/>
              </w:rPr>
              <w:t>]</w:t>
            </w:r>
            <w:r w:rsidRPr="00AF5A46">
              <w:t>.</w:t>
            </w:r>
            <w:r w:rsidRPr="00F94B27" w:rsidR="00F94B27">
              <w:rPr>
                <w:b/>
              </w:rPr>
              <w:t>]</w:t>
            </w:r>
          </w:p>
        </w:tc>
        <w:tc>
          <w:tcPr>
            <w:tcW w:w="2466" w:type="pct"/>
            <w:gridSpan w:val="14"/>
            <w:tcBorders>
              <w:left w:val="single" w:sz="4" w:space="0" w:color="auto"/>
            </w:tcBorders>
          </w:tcPr>
          <w:p w:rsidR="00651DBA" w:rsidRPr="00651DBA" w:rsidP="00651DBA">
            <w:pPr>
              <w:pStyle w:val="CSBody0"/>
              <w:rPr>
                <w:lang w:val="de-DE"/>
              </w:rPr>
            </w:pPr>
            <w:r w:rsidRPr="00651DBA">
              <w:rPr>
                <w:lang w:val="de-DE"/>
              </w:rPr>
              <w:t xml:space="preserve">Dieser variable Zinssatz entspricht dem jeweiligen Spreadsatz (d.h., einem Festsatz per annum) abzüglich </w:t>
            </w:r>
            <w:r w:rsidRPr="00F94B27" w:rsidR="00F94B27">
              <w:rPr>
                <w:b/>
                <w:lang w:val="de-DE"/>
              </w:rPr>
              <w:t>[</w:t>
            </w:r>
            <w:r w:rsidRPr="00651DBA">
              <w:rPr>
                <w:lang w:val="de-DE"/>
              </w:rPr>
              <w:t>des Referenzsatzes (d.h. einem variablen Zinssatz) am jeweiligen Zinsfeststellungstag</w:t>
            </w:r>
            <w:r w:rsidRPr="00F94B27" w:rsidR="00F94B27">
              <w:rPr>
                <w:b/>
                <w:lang w:val="de-DE"/>
              </w:rPr>
              <w:t>]</w:t>
            </w:r>
            <w:r w:rsidRPr="00651DBA">
              <w:rPr>
                <w:lang w:val="de-DE"/>
              </w:rPr>
              <w:t xml:space="preserve"> </w:t>
            </w:r>
            <w:r w:rsidRPr="00F94B27" w:rsidR="00F94B27">
              <w:rPr>
                <w:b/>
                <w:lang w:val="de-DE"/>
              </w:rPr>
              <w:t>[</w:t>
            </w:r>
            <w:r w:rsidRPr="00651DBA">
              <w:rPr>
                <w:lang w:val="de-DE"/>
              </w:rPr>
              <w:t xml:space="preserve">der Summe aus dem Referenzsatz (d.h. einem variablen Zinssatz) am jeweiligen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per annum</w:t>
            </w:r>
            <w:r w:rsidRPr="00F94B27" w:rsidR="00F94B27">
              <w:rPr>
                <w:b/>
                <w:lang w:val="de-DE"/>
              </w:rPr>
              <w:t>]</w:t>
            </w:r>
            <w:r w:rsidRPr="00651DBA">
              <w:rPr>
                <w:lang w:val="de-DE"/>
              </w:rPr>
              <w:t xml:space="preserve">. Folglich gilt: je niedriger der Wert des Referenzsatzes am jeweiligen Zinsfeststellungstag </w:t>
            </w:r>
            <w:r w:rsidRPr="00F94B27" w:rsidR="00F94B27">
              <w:rPr>
                <w:b/>
                <w:lang w:val="de-DE"/>
              </w:rPr>
              <w:t>[</w:t>
            </w:r>
            <w:r w:rsidRPr="00651DBA">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per annum</w:t>
            </w:r>
            <w:r w:rsidRPr="00F94B27" w:rsidR="00F94B27">
              <w:rPr>
                <w:b/>
                <w:lang w:val="de-DE"/>
              </w:rPr>
              <w:t>]</w:t>
            </w:r>
            <w:r w:rsidRPr="00651DBA">
              <w:rPr>
                <w:lang w:val="de-DE"/>
              </w:rPr>
              <w:t xml:space="preserve"> im Vergleich zum Wert des Spreadsatz ist, desto höher ist der anwendbare Zinssatz und der resultierende Zinszahlungsbetrag. Umgekehrt gilt: je höher der Wert des Referenzsatzes am Zinsfeststellungstag </w:t>
            </w:r>
            <w:r w:rsidRPr="00F94B27" w:rsidR="00F94B27">
              <w:rPr>
                <w:b/>
                <w:lang w:val="de-DE"/>
              </w:rPr>
              <w:t>[</w:t>
            </w:r>
            <w:r w:rsidRPr="00651DBA">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per annum</w:t>
            </w:r>
            <w:r w:rsidRPr="00F94B27" w:rsidR="00F94B27">
              <w:rPr>
                <w:b/>
                <w:lang w:val="de-DE"/>
              </w:rPr>
              <w:t>]</w:t>
            </w:r>
            <w:r w:rsidRPr="00651DBA">
              <w:rPr>
                <w:lang w:val="de-DE"/>
              </w:rPr>
              <w:t xml:space="preserve"> im Vergleich zum Wert des Spreadsatz ist, desto niedriger fällt der anwendbare Zinssatz und der resultierende Zinszahlungsbetrag aus. Falls der Wert des Referenzsatzes an jedem Zinsfeststellungstag </w:t>
            </w:r>
            <w:r w:rsidRPr="00F94B27" w:rsidR="00F94B27">
              <w:rPr>
                <w:b/>
                <w:lang w:val="de-DE"/>
              </w:rPr>
              <w:t>[</w:t>
            </w:r>
            <w:r w:rsidRPr="00651DBA">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51DBA">
              <w:rPr>
                <w:lang w:val="de-DE"/>
              </w:rPr>
              <w:t>% per annum</w:t>
            </w:r>
            <w:r w:rsidRPr="00F94B27" w:rsidR="00F94B27">
              <w:rPr>
                <w:b/>
                <w:lang w:val="de-DE"/>
              </w:rPr>
              <w:t>]</w:t>
            </w:r>
            <w:r w:rsidRPr="00651DBA">
              <w:rPr>
                <w:lang w:val="de-DE"/>
              </w:rPr>
              <w:t xml:space="preserve"> dem jeweiligen Spreadsatz entspricht oder über diesem liegt, wird der anwendbare Zinssatz an jedem Zinszahlungstag </w:t>
            </w:r>
            <w:r w:rsidRPr="00F94B27" w:rsidR="00F94B27">
              <w:rPr>
                <w:b/>
                <w:lang w:val="de-DE"/>
              </w:rPr>
              <w:t>[</w:t>
            </w:r>
            <w:r w:rsidRPr="00651DBA">
              <w:rPr>
                <w:lang w:val="de-DE"/>
              </w:rPr>
              <w:t>null</w:t>
            </w:r>
            <w:r w:rsidRPr="00F94B27" w:rsidR="00F94B27">
              <w:rPr>
                <w:b/>
                <w:lang w:val="de-DE"/>
              </w:rPr>
              <w:t>]</w:t>
            </w:r>
            <w:r w:rsidRPr="00651DBA">
              <w:rPr>
                <w:lang w:val="de-DE"/>
              </w:rPr>
              <w:t xml:space="preserve"> </w:t>
            </w:r>
            <w:r w:rsidRPr="00F94B27" w:rsidR="00F94B27">
              <w:rPr>
                <w:b/>
                <w:lang w:val="de-DE"/>
              </w:rPr>
              <w:t>[</w:t>
            </w:r>
            <w:r w:rsidRPr="00651DBA">
              <w:rPr>
                <w:lang w:val="de-DE"/>
              </w:rPr>
              <w:t>dem Mindestzinssatz</w:t>
            </w:r>
            <w:r w:rsidRPr="00F94B27" w:rsidR="00F94B27">
              <w:rPr>
                <w:b/>
                <w:lang w:val="de-DE"/>
              </w:rPr>
              <w:t>]</w:t>
            </w:r>
            <w:r w:rsidRPr="00651DBA">
              <w:rPr>
                <w:lang w:val="de-DE"/>
              </w:rPr>
              <w:t xml:space="preserve"> entsprechen </w:t>
            </w:r>
            <w:r w:rsidRPr="00F94B27" w:rsidR="00F94B27">
              <w:rPr>
                <w:b/>
                <w:lang w:val="de-DE"/>
              </w:rPr>
              <w:t>[</w:t>
            </w:r>
            <w:r w:rsidRPr="00651DBA">
              <w:rPr>
                <w:lang w:val="de-DE"/>
              </w:rPr>
              <w:t>bei Komplexen Produkten ohne Mindestzinssatz: und folglich erhalten Anleger keine Zinsen auf die Komplexen Produkte</w:t>
            </w:r>
            <w:r w:rsidRPr="00F94B27" w:rsidR="00F94B27">
              <w:rPr>
                <w:b/>
                <w:lang w:val="de-DE"/>
              </w:rPr>
              <w:t>]</w:t>
            </w:r>
            <w:r w:rsidRPr="00651DBA">
              <w:rPr>
                <w:lang w:val="de-DE"/>
              </w:rPr>
              <w: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794126" w:rsidRPr="00794126" w:rsidP="00794126">
            <w:pPr>
              <w:pStyle w:val="CSbody0bolditalic"/>
              <w:rPr>
                <w:lang w:val="en-GB"/>
              </w:rPr>
            </w:pPr>
            <w:r w:rsidRPr="00F94B27">
              <w:rPr>
                <w:lang w:val="en-GB"/>
              </w:rPr>
              <w:t>[</w:t>
            </w:r>
            <w:r w:rsidRPr="00794126">
              <w:rPr>
                <w:lang w:val="en-GB"/>
              </w:rPr>
              <w:t>in case of Spread-Linked Notes:</w:t>
            </w:r>
          </w:p>
        </w:tc>
        <w:tc>
          <w:tcPr>
            <w:tcW w:w="2466" w:type="pct"/>
            <w:gridSpan w:val="14"/>
            <w:tcBorders>
              <w:left w:val="single" w:sz="4" w:space="0" w:color="auto"/>
            </w:tcBorders>
          </w:tcPr>
          <w:p w:rsidR="00794126" w:rsidRPr="00F31FD8" w:rsidP="00794126">
            <w:pPr>
              <w:pStyle w:val="CSbody0bolditalic"/>
            </w:pPr>
            <w:r w:rsidRPr="00F94B27">
              <w:t>[</w:t>
            </w:r>
            <w:r w:rsidRPr="00F31FD8">
              <w:t>bei Spread-Linked Notes:</w:t>
            </w:r>
          </w:p>
        </w:tc>
      </w:tr>
      <w:tr w:rsidTr="00942F00">
        <w:tblPrEx>
          <w:tblW w:w="5000" w:type="pct"/>
          <w:tblLayout w:type="fixed"/>
          <w:tblLook w:val="04A0"/>
        </w:tblPrEx>
        <w:tc>
          <w:tcPr>
            <w:tcW w:w="2534" w:type="pct"/>
            <w:gridSpan w:val="14"/>
            <w:tcBorders>
              <w:right w:val="single" w:sz="4" w:space="0" w:color="auto"/>
            </w:tcBorders>
          </w:tcPr>
          <w:p w:rsidR="00794126" w:rsidRPr="00F31FD8" w:rsidP="00794126">
            <w:pPr>
              <w:pStyle w:val="CSBody0"/>
            </w:pPr>
            <w:r w:rsidRPr="00F94B27">
              <w:rPr>
                <w:b/>
              </w:rPr>
              <w:t>[</w:t>
            </w:r>
            <w:r w:rsidRPr="00794126">
              <w:rPr>
                <w:b/>
                <w:i/>
              </w:rPr>
              <w:t>in case of Complex Products with one or more Fixed Interest Payment Dates:</w:t>
            </w:r>
            <w:r w:rsidRPr="00F31FD8">
              <w:t xml:space="preserve"> In case of Spread-Linked Notes, the Interest Rate on the basis of which the Interest Payment Amounts are calculated will be equal to a fixed rate per annum for the </w:t>
            </w:r>
            <w:r w:rsidRPr="00F94B27">
              <w:rPr>
                <w:b/>
              </w:rPr>
              <w:t>[</w:t>
            </w:r>
            <w:r w:rsidRPr="00F31FD8">
              <w:t>first</w:t>
            </w:r>
            <w:r w:rsidRPr="00F94B27">
              <w:rPr>
                <w:b/>
              </w:rPr>
              <w:t>]</w:t>
            </w:r>
            <w:r w:rsidRPr="00F31FD8">
              <w:t xml:space="preserve"> </w:t>
            </w:r>
            <w:r w:rsidRPr="00F94B27">
              <w:rPr>
                <w:b/>
              </w:rPr>
              <w:t>[</w:t>
            </w:r>
            <w:r w:rsidRPr="00F31FD8">
              <w:t xml:space="preserve">first </w:t>
            </w:r>
            <w:r w:rsidRPr="00F94B27">
              <w:rPr>
                <w:b/>
              </w:rPr>
              <w:t>[</w:t>
            </w:r>
            <w:r w:rsidRPr="00794126">
              <w:rPr>
                <w:b/>
                <w:i/>
              </w:rPr>
              <w:t>insert number of Interest Payment Dates, on which a fixed rate per annum is applicable:</w:t>
            </w:r>
            <w:r w:rsidRPr="00F31FD8">
              <w:t xml:space="preserve"> </w:t>
            </w:r>
            <w:r w:rsidRPr="00F94B27">
              <w:rPr>
                <w:b/>
              </w:rPr>
              <w:t>[</w:t>
            </w:r>
            <w:r w:rsidR="003857E8">
              <w:rPr>
                <w:rFonts w:ascii="Arial" w:hAnsi="Arial" w:cs="Arial"/>
              </w:rPr>
              <w:t>●</w:t>
            </w:r>
            <w:r w:rsidRPr="00F94B27">
              <w:rPr>
                <w:b/>
              </w:rPr>
              <w:t>]]</w:t>
            </w:r>
            <w:r w:rsidRPr="00F31FD8">
              <w:t xml:space="preserve"> Interest Payment Date</w:t>
            </w:r>
            <w:r w:rsidRPr="00F94B27">
              <w:rPr>
                <w:b/>
              </w:rPr>
              <w:t>[</w:t>
            </w:r>
            <w:r w:rsidRPr="00F31FD8">
              <w:t>s</w:t>
            </w:r>
            <w:r w:rsidRPr="00F94B27">
              <w:rPr>
                <w:b/>
              </w:rPr>
              <w:t>]</w:t>
            </w:r>
            <w:r w:rsidRPr="00F31FD8">
              <w:t xml:space="preserve">. For the calculation of the Interest Payment Amount on the </w:t>
            </w:r>
            <w:r w:rsidRPr="00F94B27">
              <w:rPr>
                <w:b/>
              </w:rPr>
              <w:t>[</w:t>
            </w:r>
            <w:r w:rsidRPr="00794126">
              <w:rPr>
                <w:b/>
                <w:i/>
              </w:rPr>
              <w:t>insert number of Interest Payment Date, from which the Interest Rate will be a variable rate per annum:</w:t>
            </w:r>
            <w:r w:rsidRPr="00F31FD8">
              <w:t xml:space="preserve"> </w:t>
            </w:r>
            <w:r w:rsidRPr="00F94B27">
              <w:rPr>
                <w:b/>
              </w:rPr>
              <w:t>[</w:t>
            </w:r>
            <w:r w:rsidR="003857E8">
              <w:rPr>
                <w:rFonts w:ascii="Arial" w:hAnsi="Arial" w:cs="Arial"/>
              </w:rPr>
              <w:t>●</w:t>
            </w:r>
            <w:r w:rsidRPr="00F94B27">
              <w:rPr>
                <w:b/>
              </w:rPr>
              <w:t>]]</w:t>
            </w:r>
            <w:r w:rsidRPr="00F31FD8">
              <w:t xml:space="preserve"> Interest Payment Date </w:t>
            </w:r>
            <w:r w:rsidRPr="00F94B27">
              <w:rPr>
                <w:b/>
              </w:rPr>
              <w:t>[</w:t>
            </w:r>
            <w:r w:rsidRPr="00F31FD8">
              <w:t>and any following Interest Payment Date</w:t>
            </w:r>
            <w:r w:rsidRPr="00F94B27">
              <w:rPr>
                <w:b/>
              </w:rPr>
              <w:t>]</w:t>
            </w:r>
            <w:r w:rsidRPr="00F31FD8">
              <w:t xml:space="preserve"> the Interest Payment Amount</w:t>
            </w:r>
            <w:r w:rsidRPr="00F94B27">
              <w:rPr>
                <w:b/>
              </w:rPr>
              <w:t>[</w:t>
            </w:r>
            <w:r w:rsidRPr="00F31FD8">
              <w:t>s</w:t>
            </w:r>
            <w:r w:rsidRPr="00F94B27">
              <w:rPr>
                <w:b/>
              </w:rPr>
              <w:t>]</w:t>
            </w:r>
            <w:r w:rsidRPr="00F31FD8">
              <w:t xml:space="preserve"> will be calculated on the basis of a variable Interest Rate.</w:t>
            </w:r>
            <w:r w:rsidRPr="00F94B27">
              <w:rPr>
                <w:b/>
              </w:rPr>
              <w:t>]</w:t>
            </w:r>
          </w:p>
        </w:tc>
        <w:tc>
          <w:tcPr>
            <w:tcW w:w="2466" w:type="pct"/>
            <w:gridSpan w:val="14"/>
            <w:tcBorders>
              <w:left w:val="single" w:sz="4" w:space="0" w:color="auto"/>
            </w:tcBorders>
          </w:tcPr>
          <w:p w:rsidR="00794126" w:rsidRPr="00794126" w:rsidP="00794126">
            <w:pPr>
              <w:pStyle w:val="CSBody0"/>
              <w:rPr>
                <w:lang w:val="de-DE"/>
              </w:rPr>
            </w:pPr>
            <w:r w:rsidRPr="00F94B27">
              <w:rPr>
                <w:b/>
                <w:lang w:val="de-DE"/>
              </w:rPr>
              <w:t>[</w:t>
            </w:r>
            <w:r w:rsidRPr="00794126">
              <w:rPr>
                <w:b/>
                <w:i/>
                <w:lang w:val="de-DE"/>
              </w:rPr>
              <w:t>bei Komplexen Produkten mit einem oder mehreren Zahlungstagen für Festzinsen:</w:t>
            </w:r>
            <w:r w:rsidRPr="00794126">
              <w:rPr>
                <w:lang w:val="de-DE"/>
              </w:rPr>
              <w:t xml:space="preserve"> Bei Spread-Linked Notes entspricht der Zinssatz, auf dessen Grundlage die Zinszahlungsbeträge berechnet werden, einem Festsatz per annum für </w:t>
            </w:r>
            <w:r w:rsidRPr="00F94B27">
              <w:rPr>
                <w:b/>
                <w:lang w:val="de-DE"/>
              </w:rPr>
              <w:t>[</w:t>
            </w:r>
            <w:r w:rsidRPr="00794126">
              <w:rPr>
                <w:lang w:val="de-DE"/>
              </w:rPr>
              <w:t>den ersten</w:t>
            </w:r>
            <w:r w:rsidRPr="00F94B27">
              <w:rPr>
                <w:b/>
                <w:lang w:val="de-DE"/>
              </w:rPr>
              <w:t>]</w:t>
            </w:r>
            <w:r w:rsidRPr="00794126">
              <w:rPr>
                <w:lang w:val="de-DE"/>
              </w:rPr>
              <w:t xml:space="preserve"> </w:t>
            </w:r>
            <w:r w:rsidRPr="00F94B27">
              <w:rPr>
                <w:b/>
                <w:lang w:val="de-DE"/>
              </w:rPr>
              <w:t>[</w:t>
            </w:r>
            <w:r w:rsidRPr="00794126">
              <w:rPr>
                <w:lang w:val="de-DE"/>
              </w:rPr>
              <w:t xml:space="preserve">die ersten </w:t>
            </w:r>
            <w:r w:rsidRPr="00F94B27">
              <w:rPr>
                <w:b/>
                <w:lang w:val="de-DE"/>
              </w:rPr>
              <w:t>[</w:t>
            </w:r>
            <w:r w:rsidRPr="00794126">
              <w:rPr>
                <w:b/>
                <w:i/>
                <w:lang w:val="de-DE"/>
              </w:rPr>
              <w:t>Anzahl der Zinszahlungstage einfügen, an denen ein Festsatz per annum anwendbar ist:</w:t>
            </w:r>
            <w:r w:rsidRPr="00794126">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794126">
              <w:rPr>
                <w:lang w:val="de-DE"/>
              </w:rPr>
              <w:t xml:space="preserve"> Zinszahlungstag</w:t>
            </w:r>
            <w:r w:rsidRPr="00F94B27">
              <w:rPr>
                <w:b/>
                <w:lang w:val="de-DE"/>
              </w:rPr>
              <w:t>[</w:t>
            </w:r>
            <w:r w:rsidRPr="00794126">
              <w:rPr>
                <w:lang w:val="de-DE"/>
              </w:rPr>
              <w:t>e</w:t>
            </w:r>
            <w:r w:rsidRPr="00F94B27">
              <w:rPr>
                <w:b/>
                <w:lang w:val="de-DE"/>
              </w:rPr>
              <w:t>]</w:t>
            </w:r>
            <w:r w:rsidRPr="00794126">
              <w:rPr>
                <w:lang w:val="de-DE"/>
              </w:rPr>
              <w:t xml:space="preserve">. Für die Berechnung des Zinszahlungsbetrags am </w:t>
            </w:r>
            <w:r w:rsidRPr="00F94B27">
              <w:rPr>
                <w:b/>
                <w:lang w:val="de-DE"/>
              </w:rPr>
              <w:t>[</w:t>
            </w:r>
            <w:r w:rsidRPr="00794126">
              <w:rPr>
                <w:b/>
                <w:i/>
                <w:lang w:val="de-DE"/>
              </w:rPr>
              <w:t>Zahl des Zinszahlungstags einfügen, von dem an der Zinssatz ein variabler Satz per annum sein wird:</w:t>
            </w:r>
            <w:r w:rsidRPr="00794126">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794126">
              <w:rPr>
                <w:lang w:val="de-DE"/>
              </w:rPr>
              <w:t xml:space="preserve"> Zinszahlungstag </w:t>
            </w:r>
            <w:r w:rsidRPr="00F94B27">
              <w:rPr>
                <w:b/>
                <w:lang w:val="de-DE"/>
              </w:rPr>
              <w:t>[</w:t>
            </w:r>
            <w:r w:rsidRPr="00794126">
              <w:rPr>
                <w:lang w:val="de-DE"/>
              </w:rPr>
              <w:t>und jeden folgenden Zinszahlungstag</w:t>
            </w:r>
            <w:r w:rsidRPr="00F94B27">
              <w:rPr>
                <w:b/>
                <w:lang w:val="de-DE"/>
              </w:rPr>
              <w:t>]</w:t>
            </w:r>
            <w:r w:rsidRPr="00794126">
              <w:rPr>
                <w:lang w:val="de-DE"/>
              </w:rPr>
              <w:t xml:space="preserve"> </w:t>
            </w:r>
            <w:r w:rsidRPr="00F94B27">
              <w:rPr>
                <w:b/>
                <w:lang w:val="de-DE"/>
              </w:rPr>
              <w:t>[</w:t>
            </w:r>
            <w:r w:rsidRPr="00794126">
              <w:rPr>
                <w:lang w:val="de-DE"/>
              </w:rPr>
              <w:t>wird</w:t>
            </w:r>
            <w:r w:rsidRPr="00F94B27">
              <w:rPr>
                <w:b/>
                <w:lang w:val="de-DE"/>
              </w:rPr>
              <w:t>]</w:t>
            </w:r>
            <w:r w:rsidRPr="00794126">
              <w:rPr>
                <w:lang w:val="de-DE"/>
              </w:rPr>
              <w:t xml:space="preserve"> </w:t>
            </w:r>
            <w:r w:rsidRPr="00F94B27">
              <w:rPr>
                <w:b/>
                <w:lang w:val="de-DE"/>
              </w:rPr>
              <w:t>[</w:t>
            </w:r>
            <w:r w:rsidRPr="00794126">
              <w:rPr>
                <w:lang w:val="de-DE"/>
              </w:rPr>
              <w:t>werden</w:t>
            </w:r>
            <w:r w:rsidRPr="00F94B27">
              <w:rPr>
                <w:b/>
                <w:lang w:val="de-DE"/>
              </w:rPr>
              <w:t>]</w:t>
            </w:r>
            <w:r w:rsidRPr="00794126">
              <w:rPr>
                <w:lang w:val="de-DE"/>
              </w:rPr>
              <w:t xml:space="preserve"> </w:t>
            </w:r>
            <w:r w:rsidRPr="00F94B27">
              <w:rPr>
                <w:b/>
                <w:lang w:val="de-DE"/>
              </w:rPr>
              <w:t>[</w:t>
            </w:r>
            <w:r w:rsidRPr="00794126">
              <w:rPr>
                <w:lang w:val="de-DE"/>
              </w:rPr>
              <w:t>der Zinszahlungsbetrag</w:t>
            </w:r>
            <w:r w:rsidRPr="00F94B27">
              <w:rPr>
                <w:b/>
                <w:lang w:val="de-DE"/>
              </w:rPr>
              <w:t>]</w:t>
            </w:r>
            <w:r w:rsidRPr="00794126">
              <w:rPr>
                <w:lang w:val="de-DE"/>
              </w:rPr>
              <w:t xml:space="preserve"> </w:t>
            </w:r>
            <w:r w:rsidRPr="00F94B27">
              <w:rPr>
                <w:b/>
                <w:lang w:val="de-DE"/>
              </w:rPr>
              <w:t>[</w:t>
            </w:r>
            <w:r w:rsidRPr="00794126">
              <w:rPr>
                <w:lang w:val="de-DE"/>
              </w:rPr>
              <w:t>die Zinszahlungsbeträge</w:t>
            </w:r>
            <w:r w:rsidRPr="00F94B27">
              <w:rPr>
                <w:b/>
                <w:lang w:val="de-DE"/>
              </w:rPr>
              <w:t>]</w:t>
            </w:r>
            <w:r w:rsidRPr="00794126">
              <w:rPr>
                <w:lang w:val="de-DE"/>
              </w:rPr>
              <w:t xml:space="preserve"> auf der Grundlage eines variablen Zinssatzes berechnet. </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794126" w:rsidRPr="00F31FD8" w:rsidP="00794126">
            <w:pPr>
              <w:pStyle w:val="CSBody0"/>
            </w:pPr>
            <w:r w:rsidRPr="00F94B27">
              <w:rPr>
                <w:b/>
              </w:rPr>
              <w:t>[</w:t>
            </w:r>
            <w:r w:rsidRPr="00794126">
              <w:rPr>
                <w:b/>
                <w:i/>
              </w:rPr>
              <w:t>in case of Complex Products without Fixed Interest Payment Dates:</w:t>
            </w:r>
            <w:r w:rsidRPr="00F31FD8">
              <w:t xml:space="preserve"> In case of Spread-Linked Notes, the Interest Rate on the basis of which the Interest Payment Amount</w:t>
            </w:r>
            <w:r w:rsidRPr="00F94B27">
              <w:rPr>
                <w:b/>
              </w:rPr>
              <w:t>[</w:t>
            </w:r>
            <w:r w:rsidRPr="00F31FD8">
              <w:t>s</w:t>
            </w:r>
            <w:r w:rsidRPr="00F94B27">
              <w:rPr>
                <w:b/>
              </w:rPr>
              <w:t>]</w:t>
            </w:r>
            <w:r w:rsidRPr="00F31FD8">
              <w:t xml:space="preserve"> </w:t>
            </w:r>
            <w:r w:rsidRPr="00F94B27">
              <w:rPr>
                <w:b/>
              </w:rPr>
              <w:t>[</w:t>
            </w:r>
            <w:r w:rsidRPr="00F31FD8">
              <w:t>is</w:t>
            </w:r>
            <w:r w:rsidRPr="00F94B27">
              <w:rPr>
                <w:b/>
              </w:rPr>
              <w:t>][</w:t>
            </w:r>
            <w:r w:rsidRPr="00F31FD8">
              <w:t>are</w:t>
            </w:r>
            <w:r w:rsidRPr="00F94B27">
              <w:rPr>
                <w:b/>
              </w:rPr>
              <w:t>]</w:t>
            </w:r>
            <w:r w:rsidRPr="00F31FD8">
              <w:t xml:space="preserve"> calculated will be equal to a variable Interest Rate.</w:t>
            </w:r>
            <w:r w:rsidRPr="00F94B27">
              <w:rPr>
                <w:b/>
              </w:rPr>
              <w:t>]</w:t>
            </w:r>
          </w:p>
        </w:tc>
        <w:tc>
          <w:tcPr>
            <w:tcW w:w="2466" w:type="pct"/>
            <w:gridSpan w:val="14"/>
            <w:tcBorders>
              <w:left w:val="single" w:sz="4" w:space="0" w:color="auto"/>
            </w:tcBorders>
          </w:tcPr>
          <w:p w:rsidR="00794126" w:rsidRPr="00794126" w:rsidP="00794126">
            <w:pPr>
              <w:pStyle w:val="CSBody0"/>
              <w:rPr>
                <w:lang w:val="de-DE"/>
              </w:rPr>
            </w:pPr>
            <w:r w:rsidRPr="00F94B27">
              <w:rPr>
                <w:b/>
                <w:lang w:val="de-DE"/>
              </w:rPr>
              <w:t>[</w:t>
            </w:r>
            <w:r w:rsidRPr="00794126">
              <w:rPr>
                <w:b/>
                <w:i/>
                <w:lang w:val="de-DE"/>
              </w:rPr>
              <w:t>bei Komplexen Produkten ohne Zahlungstage für Festzinsen:</w:t>
            </w:r>
            <w:r w:rsidRPr="00794126">
              <w:rPr>
                <w:lang w:val="de-DE"/>
              </w:rPr>
              <w:t xml:space="preserve"> Bei Spread-Linked Notes entspricht der Zinssatz, auf dessen Grundlage </w:t>
            </w:r>
            <w:r w:rsidRPr="00F94B27">
              <w:rPr>
                <w:b/>
                <w:lang w:val="de-DE"/>
              </w:rPr>
              <w:t>[</w:t>
            </w:r>
            <w:r w:rsidRPr="00794126">
              <w:rPr>
                <w:lang w:val="de-DE"/>
              </w:rPr>
              <w:t>der Zinszahlungsbetrag</w:t>
            </w:r>
            <w:r w:rsidRPr="00F94B27">
              <w:rPr>
                <w:b/>
                <w:lang w:val="de-DE"/>
              </w:rPr>
              <w:t>]</w:t>
            </w:r>
            <w:r w:rsidRPr="00794126">
              <w:rPr>
                <w:lang w:val="de-DE"/>
              </w:rPr>
              <w:t xml:space="preserve"> </w:t>
            </w:r>
            <w:r w:rsidRPr="00F94B27">
              <w:rPr>
                <w:b/>
                <w:lang w:val="de-DE"/>
              </w:rPr>
              <w:t>[</w:t>
            </w:r>
            <w:r w:rsidRPr="00794126">
              <w:rPr>
                <w:lang w:val="de-DE"/>
              </w:rPr>
              <w:t>die Zinszahlungsbeträge</w:t>
            </w:r>
            <w:r w:rsidRPr="00F94B27">
              <w:rPr>
                <w:b/>
                <w:lang w:val="de-DE"/>
              </w:rPr>
              <w:t>]</w:t>
            </w:r>
            <w:r w:rsidRPr="00794126">
              <w:rPr>
                <w:lang w:val="de-DE"/>
              </w:rPr>
              <w:t xml:space="preserve"> berechnet </w:t>
            </w:r>
            <w:r w:rsidRPr="00F94B27">
              <w:rPr>
                <w:b/>
                <w:lang w:val="de-DE"/>
              </w:rPr>
              <w:t>[</w:t>
            </w:r>
            <w:r w:rsidRPr="00794126">
              <w:rPr>
                <w:lang w:val="de-DE"/>
              </w:rPr>
              <w:t>wird</w:t>
            </w:r>
            <w:r w:rsidRPr="00F94B27">
              <w:rPr>
                <w:b/>
                <w:lang w:val="de-DE"/>
              </w:rPr>
              <w:t>]</w:t>
            </w:r>
            <w:r w:rsidRPr="00794126">
              <w:rPr>
                <w:lang w:val="de-DE"/>
              </w:rPr>
              <w:t xml:space="preserve"> </w:t>
            </w:r>
            <w:r w:rsidRPr="00F94B27">
              <w:rPr>
                <w:b/>
                <w:lang w:val="de-DE"/>
              </w:rPr>
              <w:t>[</w:t>
            </w:r>
            <w:r w:rsidRPr="00794126">
              <w:rPr>
                <w:lang w:val="de-DE"/>
              </w:rPr>
              <w:t>werden</w:t>
            </w:r>
            <w:r w:rsidRPr="00F94B27">
              <w:rPr>
                <w:b/>
                <w:lang w:val="de-DE"/>
              </w:rPr>
              <w:t>]</w:t>
            </w:r>
            <w:r w:rsidRPr="00794126">
              <w:rPr>
                <w:lang w:val="de-DE"/>
              </w:rPr>
              <w:t>, einem variablen Zinssatz.</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794126" w:rsidRPr="00F31FD8" w:rsidP="00794126">
            <w:pPr>
              <w:pStyle w:val="CSBody0"/>
            </w:pPr>
            <w:r w:rsidRPr="00F31FD8">
              <w:t xml:space="preserve">Such variable Interest Rate will be dependent upon the difference between the value of Reference Rate 1 and the value of Reference Rate 2 as determined by the Calculation Agent on the </w:t>
            </w:r>
            <w:r w:rsidRPr="00F94B27" w:rsidR="00F94B27">
              <w:rPr>
                <w:b/>
              </w:rPr>
              <w:t>[</w:t>
            </w:r>
            <w:r w:rsidRPr="00F31FD8">
              <w:t>relevant</w:t>
            </w:r>
            <w:r w:rsidRPr="00F94B27" w:rsidR="00F94B27">
              <w:rPr>
                <w:b/>
              </w:rPr>
              <w:t>]</w:t>
            </w:r>
            <w:r w:rsidRPr="00F31FD8">
              <w:t xml:space="preserve"> Interest Determination Date. For the determination of the </w:t>
            </w:r>
            <w:r w:rsidRPr="00F94B27" w:rsidR="00F94B27">
              <w:rPr>
                <w:b/>
              </w:rPr>
              <w:t>[</w:t>
            </w:r>
            <w:r w:rsidRPr="00F31FD8">
              <w:t>applicable</w:t>
            </w:r>
            <w:r w:rsidRPr="00F94B27" w:rsidR="00F94B27">
              <w:rPr>
                <w:b/>
              </w:rPr>
              <w:t>]</w:t>
            </w:r>
            <w:r w:rsidRPr="00F31FD8">
              <w:t xml:space="preserve"> Interest Rate such difference is </w:t>
            </w:r>
            <w:r w:rsidRPr="00F94B27" w:rsidR="00F94B27">
              <w:rPr>
                <w:b/>
              </w:rPr>
              <w:t>[</w:t>
            </w:r>
            <w:r w:rsidRPr="00F31FD8">
              <w:t>multiplied by the Participation</w:t>
            </w:r>
            <w:r w:rsidRPr="00F94B27" w:rsidR="00F94B27">
              <w:rPr>
                <w:b/>
              </w:rPr>
              <w:t>]</w:t>
            </w:r>
            <w:r w:rsidRPr="00F31FD8">
              <w:t xml:space="preserve"> </w:t>
            </w:r>
            <w:r w:rsidRPr="00F94B27" w:rsidR="00F94B27">
              <w:rPr>
                <w:b/>
              </w:rPr>
              <w:t>[</w:t>
            </w:r>
            <w:r w:rsidRPr="00F31FD8">
              <w:t xml:space="preserve">added to </w:t>
            </w:r>
            <w:r w:rsidRPr="00F94B27" w:rsidR="00F94B27">
              <w:rPr>
                <w:b/>
              </w:rPr>
              <w:t>[</w:t>
            </w:r>
            <w:r w:rsidR="003857E8">
              <w:rPr>
                <w:rFonts w:ascii="Arial" w:hAnsi="Arial" w:cs="Arial"/>
              </w:rPr>
              <w:t>●</w:t>
            </w:r>
            <w:r w:rsidRPr="00F94B27" w:rsidR="00F94B27">
              <w:rPr>
                <w:b/>
              </w:rPr>
              <w:t>]</w:t>
            </w:r>
            <w:r w:rsidRPr="00F31FD8">
              <w:t>% per annum</w:t>
            </w:r>
            <w:r w:rsidRPr="00F94B27" w:rsidR="00F94B27">
              <w:rPr>
                <w:b/>
              </w:rPr>
              <w:t>]</w:t>
            </w:r>
            <w:r w:rsidRPr="00F31FD8">
              <w:t xml:space="preserve">. Consequently, the greater the positive difference between Reference Rate 1 and Reference Rate 2 is, the higher the </w:t>
            </w:r>
            <w:r w:rsidRPr="00F94B27" w:rsidR="00F94B27">
              <w:rPr>
                <w:b/>
              </w:rPr>
              <w:t>[</w:t>
            </w:r>
            <w:r w:rsidRPr="00F31FD8">
              <w:t>applicable</w:t>
            </w:r>
            <w:r w:rsidRPr="00F94B27" w:rsidR="00F94B27">
              <w:rPr>
                <w:b/>
              </w:rPr>
              <w:t>]</w:t>
            </w:r>
            <w:r w:rsidRPr="00F31FD8">
              <w:t xml:space="preserve"> Interest Rate and resulting Interest Payment Amount will be. If, however, the Reference Rates converge or if the value of Reference Rate 2 is above the value of Reference Rate 1, the </w:t>
            </w:r>
            <w:r w:rsidRPr="00F94B27" w:rsidR="00F94B27">
              <w:rPr>
                <w:b/>
              </w:rPr>
              <w:t>[</w:t>
            </w:r>
            <w:r w:rsidRPr="00F31FD8">
              <w:t>applicable</w:t>
            </w:r>
            <w:r w:rsidRPr="00F94B27" w:rsidR="00F94B27">
              <w:rPr>
                <w:b/>
              </w:rPr>
              <w:t>]</w:t>
            </w:r>
            <w:r w:rsidRPr="00F31FD8">
              <w:t xml:space="preserve"> Interest Rate may be equal to zero. Depending on the actual difference between the values of the two Reference Rates, the </w:t>
            </w:r>
            <w:r w:rsidRPr="00F94B27" w:rsidR="00F94B27">
              <w:rPr>
                <w:b/>
              </w:rPr>
              <w:t>[</w:t>
            </w:r>
            <w:r w:rsidRPr="00F31FD8">
              <w:t>applicable</w:t>
            </w:r>
            <w:r w:rsidRPr="00F94B27" w:rsidR="00F94B27">
              <w:rPr>
                <w:b/>
              </w:rPr>
              <w:t>]</w:t>
            </w:r>
            <w:r w:rsidRPr="00F31FD8">
              <w:t xml:space="preserve"> Interest Rate and resulting Interest Payment Amount may be very low even if both Reference Rates develop positively over the relevant interest period.</w:t>
            </w:r>
            <w:r w:rsidRPr="00F94B27" w:rsidR="00F94B27">
              <w:rPr>
                <w:b/>
              </w:rPr>
              <w:t>]</w:t>
            </w:r>
          </w:p>
        </w:tc>
        <w:tc>
          <w:tcPr>
            <w:tcW w:w="2466" w:type="pct"/>
            <w:gridSpan w:val="14"/>
            <w:tcBorders>
              <w:left w:val="single" w:sz="4" w:space="0" w:color="auto"/>
            </w:tcBorders>
          </w:tcPr>
          <w:p w:rsidR="00794126" w:rsidRPr="00794126" w:rsidP="002A02E2">
            <w:pPr>
              <w:pStyle w:val="CSBody0"/>
              <w:rPr>
                <w:lang w:val="de-DE"/>
              </w:rPr>
            </w:pPr>
            <w:r w:rsidRPr="00794126">
              <w:rPr>
                <w:lang w:val="de-DE"/>
              </w:rPr>
              <w:t xml:space="preserve">Dieser variable Zinssatz hängt von der Differenz aus dem Wert des Referenzsatzes 1 und dem Wert des Referenzsatzes 2 ab, die von der Berechnungsstelle am </w:t>
            </w:r>
            <w:r w:rsidRPr="00F94B27" w:rsidR="00F94B27">
              <w:rPr>
                <w:b/>
                <w:lang w:val="de-DE"/>
              </w:rPr>
              <w:t>[</w:t>
            </w:r>
            <w:r w:rsidRPr="00794126">
              <w:rPr>
                <w:lang w:val="de-DE"/>
              </w:rPr>
              <w:t>jeweiligen</w:t>
            </w:r>
            <w:r w:rsidRPr="00F94B27" w:rsidR="00F94B27">
              <w:rPr>
                <w:b/>
                <w:lang w:val="de-DE"/>
              </w:rPr>
              <w:t>]</w:t>
            </w:r>
            <w:r w:rsidRPr="00794126">
              <w:rPr>
                <w:lang w:val="de-DE"/>
              </w:rPr>
              <w:t xml:space="preserve"> Zinsfeststellungstag festgestellt wird. Für die Feststellung des anwendbaren Zinsssatzes wird diese Differenz </w:t>
            </w:r>
            <w:r w:rsidRPr="00F94B27" w:rsidR="00F94B27">
              <w:rPr>
                <w:b/>
                <w:lang w:val="de-DE"/>
              </w:rPr>
              <w:t>[</w:t>
            </w:r>
            <w:r w:rsidRPr="00794126">
              <w:rPr>
                <w:lang w:val="de-DE"/>
              </w:rPr>
              <w:t>mit der Partizipation multipliziert</w:t>
            </w:r>
            <w:r w:rsidRPr="00F94B27" w:rsidR="00F94B27">
              <w:rPr>
                <w:b/>
                <w:lang w:val="de-DE"/>
              </w:rPr>
              <w:t>]</w:t>
            </w:r>
            <w:r w:rsidRPr="00794126">
              <w:rPr>
                <w:lang w:val="de-DE"/>
              </w:rPr>
              <w:t xml:space="preserve"> </w:t>
            </w:r>
            <w:r w:rsidRPr="00F94B27" w:rsidR="00F94B27">
              <w:rPr>
                <w:b/>
                <w:lang w:val="de-DE"/>
              </w:rPr>
              <w:t>[</w:t>
            </w:r>
            <w:r w:rsidRPr="00794126">
              <w:rPr>
                <w:lang w:val="de-DE"/>
              </w:rPr>
              <w:t xml:space="preserve">zu </w:t>
            </w:r>
            <w:r w:rsidRPr="00F94B27" w:rsidR="00F94B27">
              <w:rPr>
                <w:b/>
                <w:lang w:val="de-DE"/>
              </w:rPr>
              <w:t>[</w:t>
            </w:r>
            <w:r w:rsidRPr="003857E8" w:rsidR="003857E8">
              <w:rPr>
                <w:rFonts w:ascii="Arial" w:hAnsi="Arial" w:cs="Arial"/>
                <w:lang w:val="de-DE"/>
              </w:rPr>
              <w:t>●</w:t>
            </w:r>
            <w:r w:rsidRPr="00F94B27" w:rsidR="00F94B27">
              <w:rPr>
                <w:b/>
                <w:lang w:val="de-DE"/>
              </w:rPr>
              <w:t>]</w:t>
            </w:r>
            <w:r w:rsidRPr="00794126">
              <w:rPr>
                <w:lang w:val="de-DE"/>
              </w:rPr>
              <w:t>% per annum addiert</w:t>
            </w:r>
            <w:r w:rsidRPr="00F94B27" w:rsidR="00F94B27">
              <w:rPr>
                <w:b/>
                <w:lang w:val="de-DE"/>
              </w:rPr>
              <w:t>]</w:t>
            </w:r>
            <w:r w:rsidRPr="00794126">
              <w:rPr>
                <w:lang w:val="de-DE"/>
              </w:rPr>
              <w:t xml:space="preserve">. Folglich gilt: je grösser die positive Differenz zwischen Referenzsatz 1 und Referenzsatz 2 ist, desto höher ist der anwendbare Zinssatz und der resultierende Zinszahlungsbetrag. Falls sich allerdings die Referenzsätze annähern oder falls der Wert von Referenzsatz 2 über dem Wert von Referenzsatz 1 liegt, kann der </w:t>
            </w:r>
            <w:r w:rsidRPr="00F94B27" w:rsidR="00F94B27">
              <w:rPr>
                <w:b/>
                <w:lang w:val="de-DE"/>
              </w:rPr>
              <w:t>[</w:t>
            </w:r>
            <w:r w:rsidRPr="00794126">
              <w:rPr>
                <w:lang w:val="de-DE"/>
              </w:rPr>
              <w:t>anwendbare</w:t>
            </w:r>
            <w:r w:rsidRPr="00F94B27" w:rsidR="00F94B27">
              <w:rPr>
                <w:b/>
                <w:lang w:val="de-DE"/>
              </w:rPr>
              <w:t>]</w:t>
            </w:r>
            <w:r w:rsidRPr="00794126">
              <w:rPr>
                <w:lang w:val="de-DE"/>
              </w:rPr>
              <w:t xml:space="preserve"> Zinssatz null entsprechen. In Abhängigkeit von der tatsächlichen Differenz zwischen den Werten der beiden Referenzsätze kann der </w:t>
            </w:r>
            <w:r w:rsidRPr="00F94B27" w:rsidR="00F94B27">
              <w:rPr>
                <w:b/>
                <w:lang w:val="de-DE"/>
              </w:rPr>
              <w:t>[</w:t>
            </w:r>
            <w:r w:rsidRPr="00794126">
              <w:rPr>
                <w:lang w:val="de-DE"/>
              </w:rPr>
              <w:t>anwendbare</w:t>
            </w:r>
            <w:r w:rsidRPr="00F94B27" w:rsidR="00F94B27">
              <w:rPr>
                <w:b/>
                <w:lang w:val="de-DE"/>
              </w:rPr>
              <w:t>]</w:t>
            </w:r>
            <w:r w:rsidRPr="00794126">
              <w:rPr>
                <w:lang w:val="de-DE"/>
              </w:rPr>
              <w:t xml:space="preserve"> Zinssatz und der resultierende Zinszahlungsbetrag selbst dann sehr gering sein, wenn sich beide Referenzsätze während der jeweiligen Zinsperiode positiv entwickeln.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794126" w:rsidRPr="00794126" w:rsidP="00794126">
            <w:pPr>
              <w:pStyle w:val="CSbody0bolditalic"/>
              <w:rPr>
                <w:lang w:val="en-GB"/>
              </w:rPr>
            </w:pPr>
            <w:r w:rsidRPr="00F94B27">
              <w:rPr>
                <w:lang w:val="en-GB"/>
              </w:rPr>
              <w:t>[</w:t>
            </w:r>
            <w:r w:rsidRPr="00794126">
              <w:rPr>
                <w:lang w:val="en-GB"/>
              </w:rPr>
              <w:t>in case of Range Accrual Notes:</w:t>
            </w:r>
          </w:p>
        </w:tc>
        <w:tc>
          <w:tcPr>
            <w:tcW w:w="2466" w:type="pct"/>
            <w:gridSpan w:val="14"/>
            <w:tcBorders>
              <w:left w:val="single" w:sz="4" w:space="0" w:color="auto"/>
            </w:tcBorders>
          </w:tcPr>
          <w:p w:rsidR="00794126" w:rsidRPr="00184146" w:rsidP="00794126">
            <w:pPr>
              <w:pStyle w:val="CSbody0bolditalic"/>
            </w:pPr>
            <w:r w:rsidRPr="00F94B27">
              <w:t>[</w:t>
            </w:r>
            <w:r w:rsidRPr="00184146">
              <w:t>bei Range Accrual Notes:</w:t>
            </w:r>
          </w:p>
        </w:tc>
      </w:tr>
      <w:tr w:rsidTr="00942F00">
        <w:tblPrEx>
          <w:tblW w:w="5000" w:type="pct"/>
          <w:tblLayout w:type="fixed"/>
          <w:tblLook w:val="04A0"/>
        </w:tblPrEx>
        <w:tc>
          <w:tcPr>
            <w:tcW w:w="2534" w:type="pct"/>
            <w:gridSpan w:val="14"/>
            <w:tcBorders>
              <w:right w:val="single" w:sz="4" w:space="0" w:color="auto"/>
            </w:tcBorders>
          </w:tcPr>
          <w:p w:rsidR="00794126" w:rsidRPr="00184146" w:rsidP="00474C21">
            <w:pPr>
              <w:pStyle w:val="CSBody0"/>
            </w:pPr>
            <w:r w:rsidRPr="00184146">
              <w:t>In case of Range Accrual Notes, the Interest Rate on the basis of which the Interest Payment Amount</w:t>
            </w:r>
            <w:r w:rsidRPr="00F94B27" w:rsidR="00F94B27">
              <w:rPr>
                <w:b/>
              </w:rPr>
              <w:t>[</w:t>
            </w:r>
            <w:r w:rsidRPr="00184146">
              <w:t>s</w:t>
            </w:r>
            <w:r w:rsidRPr="00F94B27" w:rsidR="00F94B27">
              <w:rPr>
                <w:b/>
              </w:rPr>
              <w:t>]</w:t>
            </w:r>
            <w:r w:rsidRPr="00184146">
              <w:t xml:space="preserve"> </w:t>
            </w:r>
            <w:r w:rsidRPr="00F94B27" w:rsidR="00F94B27">
              <w:rPr>
                <w:b/>
              </w:rPr>
              <w:t>[</w:t>
            </w:r>
            <w:r w:rsidRPr="00184146">
              <w:t>is</w:t>
            </w:r>
            <w:r w:rsidRPr="00F94B27" w:rsidR="00F94B27">
              <w:rPr>
                <w:b/>
              </w:rPr>
              <w:t>][</w:t>
            </w:r>
            <w:r w:rsidRPr="00184146">
              <w:t>are</w:t>
            </w:r>
            <w:r w:rsidRPr="00F94B27" w:rsidR="00F94B27">
              <w:rPr>
                <w:b/>
              </w:rPr>
              <w:t>]</w:t>
            </w:r>
            <w:r w:rsidRPr="00184146">
              <w:t xml:space="preserve"> calculated will be dependent upon the number of Barrier Observation Dates during the </w:t>
            </w:r>
            <w:r w:rsidRPr="00F94B27" w:rsidR="00F94B27">
              <w:rPr>
                <w:b/>
              </w:rPr>
              <w:t>[</w:t>
            </w:r>
            <w:r w:rsidRPr="00184146">
              <w:t>relevant</w:t>
            </w:r>
            <w:r w:rsidRPr="00F94B27" w:rsidR="00F94B27">
              <w:rPr>
                <w:b/>
              </w:rPr>
              <w:t>]</w:t>
            </w:r>
            <w:r w:rsidRPr="00184146">
              <w:t xml:space="preserve"> interest period on which the value of the Reference Rate (</w:t>
            </w:r>
            <w:r w:rsidRPr="007E3558" w:rsidR="007E3558">
              <w:rPr>
                <w:i/>
              </w:rPr>
              <w:t>i.e.</w:t>
            </w:r>
            <w:r w:rsidRPr="00184146">
              <w:t xml:space="preserve">, a variable rate of interest) breaches </w:t>
            </w:r>
            <w:r w:rsidRPr="00F94B27" w:rsidR="00F94B27">
              <w:rPr>
                <w:b/>
              </w:rPr>
              <w:t>[</w:t>
            </w:r>
            <w:r w:rsidRPr="00184146">
              <w:t>or reaches</w:t>
            </w:r>
            <w:r w:rsidRPr="00F94B27" w:rsidR="00F94B27">
              <w:rPr>
                <w:b/>
              </w:rPr>
              <w:t>]</w:t>
            </w:r>
            <w:r w:rsidRPr="00184146">
              <w:t xml:space="preserve"> the </w:t>
            </w:r>
            <w:r w:rsidRPr="00F94B27" w:rsidR="00F94B27">
              <w:rPr>
                <w:b/>
              </w:rPr>
              <w:t>[</w:t>
            </w:r>
            <w:r w:rsidRPr="00184146">
              <w:t>Barrier</w:t>
            </w:r>
            <w:r w:rsidRPr="00F94B27" w:rsidR="00F94B27">
              <w:rPr>
                <w:b/>
              </w:rPr>
              <w:t>]</w:t>
            </w:r>
            <w:r w:rsidRPr="00184146">
              <w:t xml:space="preserve"> </w:t>
            </w:r>
            <w:r w:rsidRPr="00F94B27" w:rsidR="00F94B27">
              <w:rPr>
                <w:b/>
              </w:rPr>
              <w:t>[</w:t>
            </w:r>
            <w:r w:rsidRPr="00184146">
              <w:t>Lower Barrier or Upper Barrier</w:t>
            </w:r>
            <w:r w:rsidRPr="00F94B27" w:rsidR="00F94B27">
              <w:rPr>
                <w:b/>
              </w:rPr>
              <w:t>]</w:t>
            </w:r>
            <w:r w:rsidRPr="00184146">
              <w:t xml:space="preserve">, as specified in the Terms and Conditions. The </w:t>
            </w:r>
            <w:r w:rsidRPr="00F94B27" w:rsidR="00F94B27">
              <w:rPr>
                <w:b/>
              </w:rPr>
              <w:t>[</w:t>
            </w:r>
            <w:r w:rsidRPr="00184146">
              <w:t>applicable</w:t>
            </w:r>
            <w:r w:rsidRPr="00F94B27" w:rsidR="00F94B27">
              <w:rPr>
                <w:b/>
              </w:rPr>
              <w:t>]</w:t>
            </w:r>
            <w:r w:rsidRPr="00184146">
              <w:t xml:space="preserve"> Interest Rate will then be determined by multiplying (i) the number of Barrier Observation Dates during the </w:t>
            </w:r>
            <w:r w:rsidRPr="00F94B27" w:rsidR="00F94B27">
              <w:rPr>
                <w:b/>
              </w:rPr>
              <w:t>[</w:t>
            </w:r>
            <w:r w:rsidRPr="00184146">
              <w:t>relevant</w:t>
            </w:r>
            <w:r w:rsidRPr="00F94B27" w:rsidR="00F94B27">
              <w:rPr>
                <w:b/>
              </w:rPr>
              <w:t>]</w:t>
            </w:r>
            <w:r w:rsidRPr="00184146">
              <w:t xml:space="preserve"> interest period on which such </w:t>
            </w:r>
            <w:r w:rsidRPr="00F94B27" w:rsidR="00F94B27">
              <w:rPr>
                <w:b/>
              </w:rPr>
              <w:t>[</w:t>
            </w:r>
            <w:r w:rsidRPr="00184146">
              <w:t>Barrier was not</w:t>
            </w:r>
            <w:r w:rsidRPr="00F94B27" w:rsidR="00F94B27">
              <w:rPr>
                <w:b/>
              </w:rPr>
              <w:t>]</w:t>
            </w:r>
            <w:r w:rsidRPr="00184146">
              <w:t xml:space="preserve"> </w:t>
            </w:r>
            <w:r w:rsidRPr="00F94B27" w:rsidR="00F94B27">
              <w:rPr>
                <w:b/>
              </w:rPr>
              <w:t>[</w:t>
            </w:r>
            <w:r w:rsidRPr="00184146">
              <w:t>Lower Barrier or Upper Barrier were not</w:t>
            </w:r>
            <w:r w:rsidRPr="00F94B27" w:rsidR="00F94B27">
              <w:rPr>
                <w:b/>
              </w:rPr>
              <w:t>]</w:t>
            </w:r>
            <w:r w:rsidRPr="00184146">
              <w:t xml:space="preserve"> breached </w:t>
            </w:r>
            <w:r w:rsidRPr="00F94B27" w:rsidR="00F94B27">
              <w:rPr>
                <w:b/>
              </w:rPr>
              <w:t>[</w:t>
            </w:r>
            <w:r w:rsidRPr="00184146">
              <w:t>or reached</w:t>
            </w:r>
            <w:r w:rsidRPr="00F94B27" w:rsidR="00F94B27">
              <w:rPr>
                <w:b/>
              </w:rPr>
              <w:t>]</w:t>
            </w:r>
            <w:r w:rsidRPr="00184146">
              <w:t xml:space="preserve">, divided by the total number of Barrier Observation Dates during such interest period, by (ii) </w:t>
            </w:r>
            <w:r w:rsidRPr="00F94B27" w:rsidR="00F94B27">
              <w:rPr>
                <w:b/>
              </w:rPr>
              <w:t>[</w:t>
            </w:r>
            <w:r w:rsidR="003857E8">
              <w:rPr>
                <w:rFonts w:ascii="Arial" w:hAnsi="Arial" w:cs="Arial"/>
              </w:rPr>
              <w:t>●</w:t>
            </w:r>
            <w:r w:rsidRPr="00F94B27" w:rsidR="00F94B27">
              <w:rPr>
                <w:b/>
              </w:rPr>
              <w:t>]</w:t>
            </w:r>
            <w:r w:rsidRPr="00184146">
              <w:t xml:space="preserve">% per annum. Consequently, the smaller the number of Barrier Observation Dates on which such </w:t>
            </w:r>
            <w:r w:rsidRPr="00F94B27" w:rsidR="00F94B27">
              <w:rPr>
                <w:b/>
              </w:rPr>
              <w:t>[</w:t>
            </w:r>
            <w:r w:rsidRPr="00184146">
              <w:t>Barrier</w:t>
            </w:r>
            <w:r w:rsidRPr="00F94B27" w:rsidR="00F94B27">
              <w:rPr>
                <w:b/>
              </w:rPr>
              <w:t>]</w:t>
            </w:r>
            <w:r w:rsidRPr="00184146">
              <w:t xml:space="preserve"> </w:t>
            </w:r>
            <w:r w:rsidRPr="00F94B27" w:rsidR="00F94B27">
              <w:rPr>
                <w:b/>
              </w:rPr>
              <w:t>[</w:t>
            </w:r>
            <w:r w:rsidRPr="00184146">
              <w:t>Lower Barrier or Upper Barrier</w:t>
            </w:r>
            <w:r w:rsidRPr="00F94B27" w:rsidR="00F94B27">
              <w:rPr>
                <w:b/>
              </w:rPr>
              <w:t>]</w:t>
            </w:r>
            <w:r w:rsidRPr="00184146">
              <w:t xml:space="preserve"> is breached </w:t>
            </w:r>
            <w:r w:rsidRPr="00F94B27" w:rsidR="00F94B27">
              <w:rPr>
                <w:b/>
              </w:rPr>
              <w:t>[</w:t>
            </w:r>
            <w:r w:rsidRPr="00184146">
              <w:t>or, reached</w:t>
            </w:r>
            <w:r w:rsidRPr="00F94B27" w:rsidR="00F94B27">
              <w:rPr>
                <w:b/>
              </w:rPr>
              <w:t>]</w:t>
            </w:r>
            <w:r w:rsidRPr="00184146">
              <w:t xml:space="preserve">, the higher the applicable Interest Rate and resulting Interest Payment Amount will be. Conversely, the greater the number of Barrier Observation Dates on which such </w:t>
            </w:r>
            <w:r w:rsidRPr="00F94B27" w:rsidR="00F94B27">
              <w:rPr>
                <w:b/>
              </w:rPr>
              <w:t>[</w:t>
            </w:r>
            <w:r w:rsidRPr="00184146">
              <w:t>Barrier</w:t>
            </w:r>
            <w:r w:rsidRPr="00F94B27" w:rsidR="00F94B27">
              <w:rPr>
                <w:b/>
              </w:rPr>
              <w:t>]</w:t>
            </w:r>
            <w:r w:rsidRPr="00184146">
              <w:t xml:space="preserve"> </w:t>
            </w:r>
            <w:r w:rsidRPr="00F94B27" w:rsidR="00F94B27">
              <w:rPr>
                <w:b/>
              </w:rPr>
              <w:t>[</w:t>
            </w:r>
            <w:r w:rsidRPr="00184146">
              <w:t>Lower Barrier or Upper Barrier</w:t>
            </w:r>
            <w:r w:rsidRPr="00F94B27" w:rsidR="00F94B27">
              <w:rPr>
                <w:b/>
              </w:rPr>
              <w:t>]</w:t>
            </w:r>
            <w:r w:rsidRPr="00184146">
              <w:t xml:space="preserve"> is breached </w:t>
            </w:r>
            <w:r w:rsidRPr="00F94B27" w:rsidR="00F94B27">
              <w:rPr>
                <w:b/>
              </w:rPr>
              <w:t>[</w:t>
            </w:r>
            <w:r w:rsidRPr="00184146">
              <w:t>or, reached</w:t>
            </w:r>
            <w:r w:rsidRPr="00F94B27" w:rsidR="00F94B27">
              <w:rPr>
                <w:b/>
              </w:rPr>
              <w:t>]</w:t>
            </w:r>
            <w:r w:rsidRPr="00184146">
              <w:t xml:space="preserve">, the lower the </w:t>
            </w:r>
            <w:r w:rsidRPr="00F94B27" w:rsidR="00F94B27">
              <w:rPr>
                <w:b/>
              </w:rPr>
              <w:t>[</w:t>
            </w:r>
            <w:r w:rsidRPr="00184146">
              <w:t>applicable</w:t>
            </w:r>
            <w:r w:rsidRPr="00F94B27" w:rsidR="00F94B27">
              <w:rPr>
                <w:b/>
              </w:rPr>
              <w:t>]</w:t>
            </w:r>
            <w:r w:rsidRPr="00184146">
              <w:t xml:space="preserve"> Interest Rate and resulting Interest Payment Amount will be. If such </w:t>
            </w:r>
            <w:r w:rsidRPr="00F94B27" w:rsidR="00F94B27">
              <w:rPr>
                <w:b/>
              </w:rPr>
              <w:t>[</w:t>
            </w:r>
            <w:r w:rsidRPr="00184146">
              <w:t>Barrier</w:t>
            </w:r>
            <w:r w:rsidRPr="00F94B27" w:rsidR="00F94B27">
              <w:rPr>
                <w:b/>
              </w:rPr>
              <w:t>]</w:t>
            </w:r>
            <w:r w:rsidRPr="00184146">
              <w:t xml:space="preserve"> </w:t>
            </w:r>
            <w:r w:rsidRPr="00F94B27" w:rsidR="00F94B27">
              <w:rPr>
                <w:b/>
              </w:rPr>
              <w:t>[</w:t>
            </w:r>
            <w:r w:rsidRPr="00184146">
              <w:t>Lower Barrier or Upper Barrier</w:t>
            </w:r>
            <w:r w:rsidRPr="00F94B27" w:rsidR="00F94B27">
              <w:rPr>
                <w:b/>
              </w:rPr>
              <w:t>]</w:t>
            </w:r>
            <w:r w:rsidRPr="00184146">
              <w:t xml:space="preserve"> is breached </w:t>
            </w:r>
            <w:r w:rsidRPr="00F94B27" w:rsidR="00F94B27">
              <w:rPr>
                <w:b/>
              </w:rPr>
              <w:t>[</w:t>
            </w:r>
            <w:r w:rsidRPr="00184146">
              <w:t>or, reached</w:t>
            </w:r>
            <w:r w:rsidRPr="00F94B27" w:rsidR="00F94B27">
              <w:rPr>
                <w:b/>
              </w:rPr>
              <w:t>]</w:t>
            </w:r>
            <w:r w:rsidRPr="00184146">
              <w:t xml:space="preserve"> on each Barrier Observation Date, the Interest Rate and the resulting Interest Payment Amount, will be zero.</w:t>
            </w:r>
            <w:r w:rsidRPr="00F94B27" w:rsidR="00F94B27">
              <w:rPr>
                <w:b/>
              </w:rPr>
              <w:t>]</w:t>
            </w:r>
          </w:p>
        </w:tc>
        <w:tc>
          <w:tcPr>
            <w:tcW w:w="2466" w:type="pct"/>
            <w:gridSpan w:val="14"/>
            <w:tcBorders>
              <w:left w:val="single" w:sz="4" w:space="0" w:color="auto"/>
            </w:tcBorders>
          </w:tcPr>
          <w:p w:rsidR="00794126" w:rsidRPr="00AB16EC" w:rsidP="00474C21">
            <w:pPr>
              <w:pStyle w:val="CSBody0"/>
              <w:rPr>
                <w:lang w:val="de-DE"/>
              </w:rPr>
            </w:pPr>
            <w:r w:rsidRPr="00AB16EC">
              <w:rPr>
                <w:lang w:val="de-DE"/>
              </w:rPr>
              <w:t xml:space="preserve">Bei Range Accrual Notes hängt der Zinssatz, auf dessen Grundlage </w:t>
            </w:r>
            <w:r w:rsidRPr="00F94B27" w:rsidR="00F94B27">
              <w:rPr>
                <w:b/>
                <w:lang w:val="de-DE"/>
              </w:rPr>
              <w:t>[</w:t>
            </w:r>
            <w:r w:rsidRPr="00AB16EC">
              <w:rPr>
                <w:lang w:val="de-DE"/>
              </w:rPr>
              <w:t>der Zinszahlungsbetrag</w:t>
            </w:r>
            <w:r w:rsidRPr="00F94B27" w:rsidR="00F94B27">
              <w:rPr>
                <w:b/>
                <w:lang w:val="de-DE"/>
              </w:rPr>
              <w:t>][</w:t>
            </w:r>
            <w:r w:rsidRPr="00AB16EC">
              <w:rPr>
                <w:lang w:val="de-DE"/>
              </w:rPr>
              <w:t>die Zinszahlungsbeträge</w:t>
            </w:r>
            <w:r w:rsidRPr="00F94B27" w:rsidR="00F94B27">
              <w:rPr>
                <w:b/>
                <w:lang w:val="de-DE"/>
              </w:rPr>
              <w:t>]</w:t>
            </w:r>
            <w:r w:rsidRPr="00AB16EC">
              <w:rPr>
                <w:lang w:val="de-DE"/>
              </w:rPr>
              <w:t xml:space="preserve"> berechnet </w:t>
            </w:r>
            <w:r w:rsidRPr="00F94B27" w:rsidR="00F94B27">
              <w:rPr>
                <w:b/>
                <w:lang w:val="de-DE"/>
              </w:rPr>
              <w:t>[</w:t>
            </w:r>
            <w:r w:rsidRPr="00AB16EC">
              <w:rPr>
                <w:lang w:val="de-DE"/>
              </w:rPr>
              <w:t>wird</w:t>
            </w:r>
            <w:r w:rsidRPr="00F94B27" w:rsidR="00F94B27">
              <w:rPr>
                <w:b/>
                <w:lang w:val="de-DE"/>
              </w:rPr>
              <w:t>][</w:t>
            </w:r>
            <w:r w:rsidRPr="00AB16EC">
              <w:rPr>
                <w:lang w:val="de-DE"/>
              </w:rPr>
              <w:t>werden</w:t>
            </w:r>
            <w:r w:rsidRPr="00F94B27" w:rsidR="00F94B27">
              <w:rPr>
                <w:b/>
                <w:lang w:val="de-DE"/>
              </w:rPr>
              <w:t>]</w:t>
            </w:r>
            <w:r w:rsidRPr="00AB16EC">
              <w:rPr>
                <w:lang w:val="de-DE"/>
              </w:rPr>
              <w:t xml:space="preserve">, von der Anzahl der Barriere-Beobachtungstage während der </w:t>
            </w:r>
            <w:r w:rsidRPr="00F94B27" w:rsidR="00F94B27">
              <w:rPr>
                <w:b/>
                <w:lang w:val="de-DE"/>
              </w:rPr>
              <w:t>[</w:t>
            </w:r>
            <w:r w:rsidRPr="00AB16EC">
              <w:rPr>
                <w:lang w:val="de-DE"/>
              </w:rPr>
              <w:t>jeweiligen</w:t>
            </w:r>
            <w:r w:rsidRPr="00F94B27" w:rsidR="00F94B27">
              <w:rPr>
                <w:b/>
                <w:lang w:val="de-DE"/>
              </w:rPr>
              <w:t>]</w:t>
            </w:r>
            <w:r w:rsidRPr="00AB16EC">
              <w:rPr>
                <w:lang w:val="de-DE"/>
              </w:rPr>
              <w:t xml:space="preserve"> Zinsperiode ab, an denen der Wert des Referenzsatzes (d.h. eines variablen Zinssatzes) die in den Emissionsbedingungen angegebene </w:t>
            </w:r>
            <w:r w:rsidRPr="00F94B27" w:rsidR="00F94B27">
              <w:rPr>
                <w:b/>
                <w:lang w:val="de-DE"/>
              </w:rPr>
              <w:t>[</w:t>
            </w:r>
            <w:r w:rsidRPr="00AB16EC">
              <w:rPr>
                <w:lang w:val="de-DE"/>
              </w:rPr>
              <w:t>Barriere</w:t>
            </w:r>
            <w:r w:rsidRPr="00F94B27" w:rsidR="00F94B27">
              <w:rPr>
                <w:b/>
                <w:lang w:val="de-DE"/>
              </w:rPr>
              <w:t>]</w:t>
            </w:r>
            <w:r w:rsidRPr="00AB16EC">
              <w:rPr>
                <w:lang w:val="de-DE"/>
              </w:rPr>
              <w:t xml:space="preserve"> </w:t>
            </w:r>
            <w:r w:rsidRPr="00F94B27" w:rsidR="00F94B27">
              <w:rPr>
                <w:b/>
                <w:lang w:val="de-DE"/>
              </w:rPr>
              <w:t>[</w:t>
            </w:r>
            <w:r w:rsidRPr="00AB16EC">
              <w:rPr>
                <w:lang w:val="de-DE"/>
              </w:rPr>
              <w:t>Untere Barriere bzw. Obere Barriere</w:t>
            </w:r>
            <w:r w:rsidRPr="00F94B27" w:rsidR="00F94B27">
              <w:rPr>
                <w:b/>
                <w:lang w:val="de-DE"/>
              </w:rPr>
              <w:t>]</w:t>
            </w:r>
            <w:r w:rsidRPr="00AB16EC">
              <w:rPr>
                <w:lang w:val="de-DE"/>
              </w:rPr>
              <w:t xml:space="preserve"> verletzt </w:t>
            </w:r>
            <w:r w:rsidRPr="00F94B27" w:rsidR="00F94B27">
              <w:rPr>
                <w:b/>
                <w:lang w:val="de-DE"/>
              </w:rPr>
              <w:t>[</w:t>
            </w:r>
            <w:r w:rsidRPr="00AB16EC">
              <w:rPr>
                <w:lang w:val="de-DE"/>
              </w:rPr>
              <w:t>oder diese erreicht</w:t>
            </w:r>
            <w:r w:rsidRPr="00F94B27" w:rsidR="00F94B27">
              <w:rPr>
                <w:b/>
                <w:lang w:val="de-DE"/>
              </w:rPr>
              <w:t>]</w:t>
            </w:r>
            <w:r w:rsidRPr="00AB16EC">
              <w:rPr>
                <w:lang w:val="de-DE"/>
              </w:rPr>
              <w:t xml:space="preserve">. </w:t>
            </w:r>
            <w:r w:rsidRPr="00794126">
              <w:rPr>
                <w:lang w:val="de-DE"/>
              </w:rPr>
              <w:t xml:space="preserve">Der </w:t>
            </w:r>
            <w:r w:rsidRPr="00F94B27" w:rsidR="00F94B27">
              <w:rPr>
                <w:b/>
                <w:lang w:val="de-DE"/>
              </w:rPr>
              <w:t>[</w:t>
            </w:r>
            <w:r w:rsidRPr="00794126">
              <w:rPr>
                <w:lang w:val="de-DE"/>
              </w:rPr>
              <w:t>anwendbare</w:t>
            </w:r>
            <w:r w:rsidRPr="00F94B27" w:rsidR="00F94B27">
              <w:rPr>
                <w:b/>
                <w:lang w:val="de-DE"/>
              </w:rPr>
              <w:t>]</w:t>
            </w:r>
            <w:r w:rsidRPr="00794126">
              <w:rPr>
                <w:lang w:val="de-DE"/>
              </w:rPr>
              <w:t xml:space="preserve"> Zinssatz wird dann bestimmt, indem (i) die Anzahl der Barriere-Beobachtungstage während der </w:t>
            </w:r>
            <w:r w:rsidRPr="00F94B27" w:rsidR="00F94B27">
              <w:rPr>
                <w:b/>
                <w:lang w:val="de-DE"/>
              </w:rPr>
              <w:t>[</w:t>
            </w:r>
            <w:r w:rsidRPr="00794126">
              <w:rPr>
                <w:lang w:val="de-DE"/>
              </w:rPr>
              <w:t>jeweiligen</w:t>
            </w:r>
            <w:r w:rsidRPr="00F94B27" w:rsidR="00F94B27">
              <w:rPr>
                <w:b/>
                <w:lang w:val="de-DE"/>
              </w:rPr>
              <w:t>]</w:t>
            </w:r>
            <w:r w:rsidRPr="00794126">
              <w:rPr>
                <w:lang w:val="de-DE"/>
              </w:rPr>
              <w:t xml:space="preserve"> Zinsperiode, an denen die </w:t>
            </w:r>
            <w:r w:rsidRPr="00F94B27" w:rsidR="00F94B27">
              <w:rPr>
                <w:b/>
                <w:lang w:val="de-DE"/>
              </w:rPr>
              <w:t>[</w:t>
            </w:r>
            <w:r w:rsidRPr="00794126">
              <w:rPr>
                <w:lang w:val="de-DE"/>
              </w:rPr>
              <w:t>Barriere</w:t>
            </w:r>
            <w:r w:rsidRPr="00F94B27" w:rsidR="00F94B27">
              <w:rPr>
                <w:b/>
                <w:lang w:val="de-DE"/>
              </w:rPr>
              <w:t>]</w:t>
            </w:r>
            <w:r w:rsidRPr="00794126">
              <w:rPr>
                <w:lang w:val="de-DE"/>
              </w:rPr>
              <w:t xml:space="preserve"> </w:t>
            </w:r>
            <w:r w:rsidRPr="00F94B27" w:rsidR="00F94B27">
              <w:rPr>
                <w:b/>
                <w:lang w:val="de-DE"/>
              </w:rPr>
              <w:t>[</w:t>
            </w:r>
            <w:r w:rsidRPr="00794126">
              <w:rPr>
                <w:lang w:val="de-DE"/>
              </w:rPr>
              <w:t>Untere Barriere bzw. Obere Barriere</w:t>
            </w:r>
            <w:r w:rsidRPr="00F94B27" w:rsidR="00F94B27">
              <w:rPr>
                <w:b/>
                <w:lang w:val="de-DE"/>
              </w:rPr>
              <w:t>]</w:t>
            </w:r>
            <w:r w:rsidRPr="00794126">
              <w:rPr>
                <w:lang w:val="de-DE"/>
              </w:rPr>
              <w:t xml:space="preserve"> nicht verletzt wurde </w:t>
            </w:r>
            <w:r w:rsidRPr="00F94B27" w:rsidR="00F94B27">
              <w:rPr>
                <w:b/>
                <w:lang w:val="de-DE"/>
              </w:rPr>
              <w:t>[</w:t>
            </w:r>
            <w:r w:rsidRPr="00794126">
              <w:rPr>
                <w:lang w:val="de-DE"/>
              </w:rPr>
              <w:t>(oder nicht erreicht wurde)</w:t>
            </w:r>
            <w:r w:rsidRPr="00F94B27" w:rsidR="00F94B27">
              <w:rPr>
                <w:b/>
                <w:lang w:val="de-DE"/>
              </w:rPr>
              <w:t>]</w:t>
            </w:r>
            <w:r w:rsidRPr="00794126">
              <w:rPr>
                <w:lang w:val="de-DE"/>
              </w:rPr>
              <w:t xml:space="preserve">, dividiert durch die Gesamtzahl der Barriere-Beobachtungstage während dieser Zinsperiode, mit (ii) </w:t>
            </w:r>
            <w:r w:rsidRPr="00F94B27" w:rsidR="00F94B27">
              <w:rPr>
                <w:b/>
                <w:lang w:val="de-DE"/>
              </w:rPr>
              <w:t>[</w:t>
            </w:r>
            <w:r w:rsidRPr="003857E8" w:rsidR="003857E8">
              <w:rPr>
                <w:rFonts w:ascii="Arial" w:hAnsi="Arial" w:cs="Arial"/>
                <w:lang w:val="de-DE"/>
              </w:rPr>
              <w:t>●</w:t>
            </w:r>
            <w:r w:rsidRPr="00F94B27" w:rsidR="00F94B27">
              <w:rPr>
                <w:b/>
                <w:lang w:val="de-DE"/>
              </w:rPr>
              <w:t>]</w:t>
            </w:r>
            <w:r w:rsidRPr="00794126">
              <w:rPr>
                <w:lang w:val="de-DE"/>
              </w:rPr>
              <w:t xml:space="preserve">% per annum multipliziert wird. </w:t>
            </w:r>
            <w:r w:rsidRPr="00AB16EC">
              <w:rPr>
                <w:lang w:val="de-DE"/>
              </w:rPr>
              <w:t xml:space="preserve">Folglich gilt: je kleiner die Anzahl der Barriere-Beobachtungstage ist, an denen die </w:t>
            </w:r>
            <w:r w:rsidRPr="00F94B27" w:rsidR="00F94B27">
              <w:rPr>
                <w:b/>
                <w:lang w:val="de-DE"/>
              </w:rPr>
              <w:t>[</w:t>
            </w:r>
            <w:r w:rsidRPr="00AB16EC">
              <w:rPr>
                <w:lang w:val="de-DE"/>
              </w:rPr>
              <w:t>Barriere</w:t>
            </w:r>
            <w:r w:rsidRPr="00F94B27" w:rsidR="00F94B27">
              <w:rPr>
                <w:b/>
                <w:lang w:val="de-DE"/>
              </w:rPr>
              <w:t>]</w:t>
            </w:r>
            <w:r w:rsidRPr="00AB16EC">
              <w:rPr>
                <w:lang w:val="de-DE"/>
              </w:rPr>
              <w:t xml:space="preserve"> </w:t>
            </w:r>
            <w:r w:rsidRPr="00F94B27" w:rsidR="00F94B27">
              <w:rPr>
                <w:b/>
                <w:lang w:val="de-DE"/>
              </w:rPr>
              <w:t>[</w:t>
            </w:r>
            <w:r w:rsidRPr="00AB16EC">
              <w:rPr>
                <w:lang w:val="de-DE"/>
              </w:rPr>
              <w:t>Untere Barriere bzw. Obere Barriere</w:t>
            </w:r>
            <w:r w:rsidRPr="00F94B27" w:rsidR="00F94B27">
              <w:rPr>
                <w:b/>
                <w:lang w:val="de-DE"/>
              </w:rPr>
              <w:t>]</w:t>
            </w:r>
            <w:r w:rsidRPr="00AB16EC">
              <w:rPr>
                <w:lang w:val="de-DE"/>
              </w:rPr>
              <w:t xml:space="preserve"> verletzt wurde </w:t>
            </w:r>
            <w:r w:rsidRPr="00F94B27" w:rsidR="00F94B27">
              <w:rPr>
                <w:b/>
                <w:lang w:val="de-DE"/>
              </w:rPr>
              <w:t>[</w:t>
            </w:r>
            <w:r w:rsidRPr="00AB16EC">
              <w:rPr>
                <w:lang w:val="de-DE"/>
              </w:rPr>
              <w:t>oder erreicht wurde</w:t>
            </w:r>
            <w:r w:rsidRPr="00F94B27" w:rsidR="00F94B27">
              <w:rPr>
                <w:b/>
                <w:lang w:val="de-DE"/>
              </w:rPr>
              <w:t>]</w:t>
            </w:r>
            <w:r w:rsidRPr="00AB16EC">
              <w:rPr>
                <w:lang w:val="de-DE"/>
              </w:rPr>
              <w:t xml:space="preserve">, desto höher ist der anwendbare Zinssatz und der resultierende Zinszahlungsbetrag. Umgekehrt gilt: je grösser die Anzahl der Barriere-Beobachtungstage ist, an denen die </w:t>
            </w:r>
            <w:r w:rsidRPr="00F94B27" w:rsidR="00F94B27">
              <w:rPr>
                <w:b/>
                <w:lang w:val="de-DE"/>
              </w:rPr>
              <w:t>[</w:t>
            </w:r>
            <w:r w:rsidRPr="00AB16EC">
              <w:rPr>
                <w:lang w:val="de-DE"/>
              </w:rPr>
              <w:t>Barriere</w:t>
            </w:r>
            <w:r w:rsidRPr="00F94B27" w:rsidR="00F94B27">
              <w:rPr>
                <w:b/>
                <w:lang w:val="de-DE"/>
              </w:rPr>
              <w:t>]</w:t>
            </w:r>
            <w:r w:rsidRPr="00AB16EC">
              <w:rPr>
                <w:lang w:val="de-DE"/>
              </w:rPr>
              <w:t xml:space="preserve"> </w:t>
            </w:r>
            <w:r w:rsidRPr="00F94B27" w:rsidR="00F94B27">
              <w:rPr>
                <w:b/>
                <w:lang w:val="de-DE"/>
              </w:rPr>
              <w:t>[</w:t>
            </w:r>
            <w:r w:rsidRPr="00AB16EC">
              <w:rPr>
                <w:lang w:val="de-DE"/>
              </w:rPr>
              <w:t>Untere Barriere bzw. Obere Barriere</w:t>
            </w:r>
            <w:r w:rsidRPr="00F94B27" w:rsidR="00F94B27">
              <w:rPr>
                <w:b/>
                <w:lang w:val="de-DE"/>
              </w:rPr>
              <w:t>]</w:t>
            </w:r>
            <w:r w:rsidRPr="00AB16EC">
              <w:rPr>
                <w:lang w:val="de-DE"/>
              </w:rPr>
              <w:t xml:space="preserve"> verletzt wurde </w:t>
            </w:r>
            <w:r w:rsidRPr="00F94B27" w:rsidR="00F94B27">
              <w:rPr>
                <w:b/>
                <w:lang w:val="de-DE"/>
              </w:rPr>
              <w:t>[</w:t>
            </w:r>
            <w:r w:rsidRPr="00AB16EC">
              <w:rPr>
                <w:lang w:val="de-DE"/>
              </w:rPr>
              <w:t>oder erreicht wurde</w:t>
            </w:r>
            <w:r w:rsidRPr="00F94B27" w:rsidR="00F94B27">
              <w:rPr>
                <w:b/>
                <w:lang w:val="de-DE"/>
              </w:rPr>
              <w:t>]</w:t>
            </w:r>
            <w:r w:rsidRPr="00AB16EC">
              <w:rPr>
                <w:lang w:val="de-DE"/>
              </w:rPr>
              <w:t xml:space="preserve">, desto niedriger ist der anwendbare Zinssatz und der resultierende Zinszahlungsbetrag. Wird die </w:t>
            </w:r>
            <w:r w:rsidRPr="00F94B27" w:rsidR="00F94B27">
              <w:rPr>
                <w:b/>
                <w:lang w:val="de-DE"/>
              </w:rPr>
              <w:t>[</w:t>
            </w:r>
            <w:r w:rsidRPr="00AB16EC">
              <w:rPr>
                <w:lang w:val="de-DE"/>
              </w:rPr>
              <w:t>Barriere</w:t>
            </w:r>
            <w:r w:rsidRPr="00F94B27" w:rsidR="00F94B27">
              <w:rPr>
                <w:b/>
                <w:lang w:val="de-DE"/>
              </w:rPr>
              <w:t>]</w:t>
            </w:r>
            <w:r w:rsidRPr="00AB16EC">
              <w:rPr>
                <w:lang w:val="de-DE"/>
              </w:rPr>
              <w:t xml:space="preserve"> </w:t>
            </w:r>
            <w:r w:rsidRPr="00F94B27" w:rsidR="00F94B27">
              <w:rPr>
                <w:b/>
                <w:lang w:val="de-DE"/>
              </w:rPr>
              <w:t>[</w:t>
            </w:r>
            <w:r w:rsidRPr="00AB16EC">
              <w:rPr>
                <w:lang w:val="de-DE"/>
              </w:rPr>
              <w:t>Untere Barriere bzw. Obere Barriere</w:t>
            </w:r>
            <w:r w:rsidRPr="00F94B27" w:rsidR="00F94B27">
              <w:rPr>
                <w:b/>
                <w:lang w:val="de-DE"/>
              </w:rPr>
              <w:t>]</w:t>
            </w:r>
            <w:r w:rsidRPr="00AB16EC">
              <w:rPr>
                <w:lang w:val="de-DE"/>
              </w:rPr>
              <w:t xml:space="preserve"> an jedem Barriere-Beobachtungstag verletzt </w:t>
            </w:r>
            <w:r w:rsidRPr="00F94B27" w:rsidR="00F94B27">
              <w:rPr>
                <w:b/>
                <w:lang w:val="de-DE"/>
              </w:rPr>
              <w:t>[</w:t>
            </w:r>
            <w:r w:rsidRPr="00AB16EC">
              <w:rPr>
                <w:lang w:val="de-DE"/>
              </w:rPr>
              <w:t>(oder erreicht)</w:t>
            </w:r>
            <w:r w:rsidRPr="00F94B27" w:rsidR="00F94B27">
              <w:rPr>
                <w:b/>
                <w:lang w:val="de-DE"/>
              </w:rPr>
              <w:t>]</w:t>
            </w:r>
            <w:r w:rsidRPr="00AB16EC">
              <w:rPr>
                <w:lang w:val="de-DE"/>
              </w:rPr>
              <w:t>, so betragen der Zinssatz und der resultierende Zinszahlungsbetrag null.</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794126" w:rsidRPr="00AB16EC" w:rsidP="00794126">
            <w:pPr>
              <w:pStyle w:val="CSbody0bolditalic"/>
              <w:rPr>
                <w:lang w:val="en-GB"/>
              </w:rPr>
            </w:pPr>
            <w:r w:rsidRPr="00F94B27">
              <w:rPr>
                <w:lang w:val="en-GB"/>
              </w:rPr>
              <w:t>[</w:t>
            </w:r>
            <w:r w:rsidRPr="00AB16EC">
              <w:rPr>
                <w:lang w:val="en-GB"/>
              </w:rPr>
              <w:t>in case of Spread Range Accrual Notes:</w:t>
            </w:r>
          </w:p>
        </w:tc>
        <w:tc>
          <w:tcPr>
            <w:tcW w:w="2466" w:type="pct"/>
            <w:gridSpan w:val="14"/>
            <w:tcBorders>
              <w:left w:val="single" w:sz="4" w:space="0" w:color="auto"/>
            </w:tcBorders>
          </w:tcPr>
          <w:p w:rsidR="00794126" w:rsidRPr="00AB16EC" w:rsidP="00794126">
            <w:pPr>
              <w:pStyle w:val="CSbody0bolditalic"/>
              <w:rPr>
                <w:lang w:val="en-GB"/>
              </w:rPr>
            </w:pPr>
            <w:r w:rsidRPr="00F94B27">
              <w:rPr>
                <w:lang w:val="en-GB"/>
              </w:rPr>
              <w:t>[</w:t>
            </w:r>
            <w:r w:rsidRPr="00AB16EC">
              <w:rPr>
                <w:lang w:val="en-GB"/>
              </w:rPr>
              <w:t>bei Spread Range Accrual Notes:</w:t>
            </w:r>
          </w:p>
        </w:tc>
      </w:tr>
      <w:tr w:rsidTr="00942F00">
        <w:tblPrEx>
          <w:tblW w:w="5000" w:type="pct"/>
          <w:tblLayout w:type="fixed"/>
          <w:tblLook w:val="04A0"/>
        </w:tblPrEx>
        <w:tc>
          <w:tcPr>
            <w:tcW w:w="2534" w:type="pct"/>
            <w:gridSpan w:val="14"/>
            <w:tcBorders>
              <w:right w:val="single" w:sz="4" w:space="0" w:color="auto"/>
            </w:tcBorders>
          </w:tcPr>
          <w:p w:rsidR="00794126" w:rsidRPr="00184146" w:rsidP="00794126">
            <w:pPr>
              <w:pStyle w:val="CSBody0"/>
            </w:pPr>
            <w:r w:rsidRPr="00184146">
              <w:t>In case of Spread Range Accrual Notes, the Interest Rate on the basis of which the Interest Payment Amount</w:t>
            </w:r>
            <w:r w:rsidRPr="00F94B27" w:rsidR="00F94B27">
              <w:rPr>
                <w:b/>
              </w:rPr>
              <w:t>[</w:t>
            </w:r>
            <w:r w:rsidRPr="00184146">
              <w:t>s</w:t>
            </w:r>
            <w:r w:rsidRPr="00F94B27" w:rsidR="00F94B27">
              <w:rPr>
                <w:b/>
              </w:rPr>
              <w:t>]</w:t>
            </w:r>
            <w:r w:rsidRPr="00184146">
              <w:t xml:space="preserve"> </w:t>
            </w:r>
            <w:r w:rsidRPr="00F94B27" w:rsidR="00F94B27">
              <w:rPr>
                <w:b/>
              </w:rPr>
              <w:t>[</w:t>
            </w:r>
            <w:r w:rsidRPr="00184146">
              <w:t>is</w:t>
            </w:r>
            <w:r w:rsidRPr="00F94B27" w:rsidR="00F94B27">
              <w:rPr>
                <w:b/>
              </w:rPr>
              <w:t>][</w:t>
            </w:r>
            <w:r w:rsidRPr="00184146">
              <w:t>are</w:t>
            </w:r>
            <w:r w:rsidRPr="00F94B27" w:rsidR="00F94B27">
              <w:rPr>
                <w:b/>
              </w:rPr>
              <w:t>]</w:t>
            </w:r>
            <w:r w:rsidRPr="00184146">
              <w:t xml:space="preserve"> calculated will be dependent upon the number of Barrier Observation Dates during the </w:t>
            </w:r>
            <w:r w:rsidRPr="00F94B27" w:rsidR="00F94B27">
              <w:rPr>
                <w:b/>
              </w:rPr>
              <w:t>[</w:t>
            </w:r>
            <w:r w:rsidRPr="00184146">
              <w:t>relevant</w:t>
            </w:r>
            <w:r w:rsidRPr="00F94B27" w:rsidR="00F94B27">
              <w:rPr>
                <w:b/>
              </w:rPr>
              <w:t>]</w:t>
            </w:r>
            <w:r w:rsidRPr="00184146">
              <w:t xml:space="preserve"> interest period on which the difference between the value of Reference Rate 2 and the value of Reference Rate 3 (</w:t>
            </w:r>
            <w:r w:rsidRPr="007E3558" w:rsidR="007E3558">
              <w:rPr>
                <w:i/>
              </w:rPr>
              <w:t>i.e.</w:t>
            </w:r>
            <w:r w:rsidRPr="00184146">
              <w:t xml:space="preserve">, the diference between two variable interes rates) breaches </w:t>
            </w:r>
            <w:r w:rsidRPr="00F94B27" w:rsidR="00F94B27">
              <w:rPr>
                <w:b/>
              </w:rPr>
              <w:t>[</w:t>
            </w:r>
            <w:r w:rsidRPr="00184146">
              <w:t>or reaches</w:t>
            </w:r>
            <w:r w:rsidRPr="00F94B27" w:rsidR="00F94B27">
              <w:rPr>
                <w:b/>
              </w:rPr>
              <w:t>]</w:t>
            </w:r>
            <w:r w:rsidRPr="00184146">
              <w:t xml:space="preserve"> the </w:t>
            </w:r>
            <w:r w:rsidRPr="00F94B27" w:rsidR="00F94B27">
              <w:rPr>
                <w:b/>
              </w:rPr>
              <w:t>[</w:t>
            </w:r>
            <w:r w:rsidRPr="00184146">
              <w:t>Barrier</w:t>
            </w:r>
            <w:r w:rsidRPr="00F94B27" w:rsidR="00F94B27">
              <w:rPr>
                <w:b/>
              </w:rPr>
              <w:t>]</w:t>
            </w:r>
            <w:r w:rsidRPr="00184146">
              <w:t xml:space="preserve"> </w:t>
            </w:r>
            <w:r w:rsidRPr="00F94B27" w:rsidR="00F94B27">
              <w:rPr>
                <w:b/>
              </w:rPr>
              <w:t>[</w:t>
            </w:r>
            <w:r w:rsidRPr="00184146">
              <w:t>Lower Barrier or Upper Barrier</w:t>
            </w:r>
            <w:r w:rsidRPr="00F94B27" w:rsidR="00F94B27">
              <w:rPr>
                <w:b/>
              </w:rPr>
              <w:t>]</w:t>
            </w:r>
            <w:r w:rsidRPr="00184146">
              <w:t xml:space="preserve">. The </w:t>
            </w:r>
            <w:r w:rsidRPr="00F94B27" w:rsidR="00F94B27">
              <w:rPr>
                <w:b/>
              </w:rPr>
              <w:t>[</w:t>
            </w:r>
            <w:r w:rsidRPr="00184146">
              <w:t>applicable</w:t>
            </w:r>
            <w:r w:rsidRPr="00F94B27" w:rsidR="00F94B27">
              <w:rPr>
                <w:b/>
              </w:rPr>
              <w:t>]</w:t>
            </w:r>
            <w:r w:rsidRPr="00184146">
              <w:t xml:space="preserve"> Interest Rate of Spread Range Accrual Notes will then be determined by multiplying (i) the number of Barrier Observation Dates on which such </w:t>
            </w:r>
            <w:r w:rsidRPr="00F94B27" w:rsidR="00F94B27">
              <w:rPr>
                <w:b/>
              </w:rPr>
              <w:t>[</w:t>
            </w:r>
            <w:r w:rsidRPr="00184146">
              <w:t>Barrier was not</w:t>
            </w:r>
            <w:r w:rsidRPr="00F94B27" w:rsidR="00F94B27">
              <w:rPr>
                <w:b/>
              </w:rPr>
              <w:t>]</w:t>
            </w:r>
            <w:r w:rsidRPr="00184146">
              <w:t xml:space="preserve"> </w:t>
            </w:r>
            <w:r w:rsidRPr="00F94B27" w:rsidR="00F94B27">
              <w:rPr>
                <w:b/>
              </w:rPr>
              <w:t>[</w:t>
            </w:r>
            <w:r w:rsidRPr="00184146">
              <w:t>Lower Barrier or Upper Barrier were not</w:t>
            </w:r>
            <w:r w:rsidRPr="00F94B27" w:rsidR="00F94B27">
              <w:rPr>
                <w:b/>
              </w:rPr>
              <w:t>]</w:t>
            </w:r>
            <w:r w:rsidRPr="00184146">
              <w:t xml:space="preserve"> breached </w:t>
            </w:r>
            <w:r w:rsidRPr="00F94B27" w:rsidR="00F94B27">
              <w:rPr>
                <w:b/>
              </w:rPr>
              <w:t>[</w:t>
            </w:r>
            <w:r w:rsidRPr="00184146">
              <w:t>or reached</w:t>
            </w:r>
            <w:r w:rsidRPr="00F94B27" w:rsidR="00F94B27">
              <w:rPr>
                <w:b/>
              </w:rPr>
              <w:t>]</w:t>
            </w:r>
            <w:r w:rsidRPr="00184146">
              <w:t xml:space="preserve"> during the </w:t>
            </w:r>
            <w:r w:rsidRPr="00F94B27" w:rsidR="00F94B27">
              <w:rPr>
                <w:b/>
              </w:rPr>
              <w:t>[</w:t>
            </w:r>
            <w:r w:rsidRPr="00184146">
              <w:t>relevant</w:t>
            </w:r>
            <w:r w:rsidRPr="00F94B27" w:rsidR="00F94B27">
              <w:rPr>
                <w:b/>
              </w:rPr>
              <w:t>]</w:t>
            </w:r>
            <w:r w:rsidRPr="00184146">
              <w:t xml:space="preserve"> interest period, divided by the total number of Barrier Observation Dates during such interest period, by (ii) the sum of the value of Reference Rate 1 on the Interest Determination Date and </w:t>
            </w:r>
            <w:r w:rsidRPr="00F94B27" w:rsidR="00F94B27">
              <w:rPr>
                <w:b/>
              </w:rPr>
              <w:t>[</w:t>
            </w:r>
            <w:r w:rsidR="003857E8">
              <w:rPr>
                <w:rFonts w:ascii="Arial" w:hAnsi="Arial" w:cs="Arial"/>
              </w:rPr>
              <w:t>●</w:t>
            </w:r>
            <w:r w:rsidRPr="00F94B27" w:rsidR="00F94B27">
              <w:rPr>
                <w:b/>
              </w:rPr>
              <w:t>]</w:t>
            </w:r>
            <w:r w:rsidRPr="00184146">
              <w:t xml:space="preserve">% per annum. Consequently, not only is the Interest Rate dependent upon the value of Reference Rate 1 on the </w:t>
            </w:r>
            <w:r w:rsidRPr="00F94B27" w:rsidR="00F94B27">
              <w:rPr>
                <w:b/>
              </w:rPr>
              <w:t>[</w:t>
            </w:r>
            <w:r w:rsidRPr="00184146">
              <w:t>relevant</w:t>
            </w:r>
            <w:r w:rsidRPr="00F94B27" w:rsidR="00F94B27">
              <w:rPr>
                <w:b/>
              </w:rPr>
              <w:t>]</w:t>
            </w:r>
            <w:r w:rsidRPr="00184146">
              <w:t xml:space="preserve"> Interest Determination Date, but the smaller the number of Barrier Observation Dates on which such </w:t>
            </w:r>
            <w:r w:rsidRPr="00F94B27" w:rsidR="00F94B27">
              <w:rPr>
                <w:b/>
              </w:rPr>
              <w:t>[</w:t>
            </w:r>
            <w:r w:rsidRPr="00184146">
              <w:t>Barrier</w:t>
            </w:r>
            <w:r w:rsidRPr="00F94B27" w:rsidR="00F94B27">
              <w:rPr>
                <w:b/>
              </w:rPr>
              <w:t>]</w:t>
            </w:r>
            <w:r w:rsidRPr="00184146">
              <w:t xml:space="preserve"> </w:t>
            </w:r>
            <w:r w:rsidRPr="00F94B27" w:rsidR="00F94B27">
              <w:rPr>
                <w:b/>
              </w:rPr>
              <w:t>[</w:t>
            </w:r>
            <w:r w:rsidRPr="00184146">
              <w:t>Lower Barrier or Upper Barrier</w:t>
            </w:r>
            <w:r w:rsidRPr="00F94B27" w:rsidR="00F94B27">
              <w:rPr>
                <w:b/>
              </w:rPr>
              <w:t>]</w:t>
            </w:r>
            <w:r w:rsidRPr="00184146">
              <w:t xml:space="preserve"> is breached </w:t>
            </w:r>
            <w:r w:rsidRPr="00F94B27" w:rsidR="00F94B27">
              <w:rPr>
                <w:b/>
              </w:rPr>
              <w:t>[</w:t>
            </w:r>
            <w:r w:rsidRPr="00184146">
              <w:t>or reached</w:t>
            </w:r>
            <w:r w:rsidRPr="00F94B27" w:rsidR="00F94B27">
              <w:rPr>
                <w:b/>
              </w:rPr>
              <w:t>]</w:t>
            </w:r>
            <w:r w:rsidRPr="00184146">
              <w:t xml:space="preserve">, the higher the </w:t>
            </w:r>
            <w:r w:rsidRPr="00F94B27" w:rsidR="00F94B27">
              <w:rPr>
                <w:b/>
              </w:rPr>
              <w:t>[</w:t>
            </w:r>
            <w:r w:rsidRPr="00184146">
              <w:t>applicable</w:t>
            </w:r>
            <w:r w:rsidRPr="00F94B27" w:rsidR="00F94B27">
              <w:rPr>
                <w:b/>
              </w:rPr>
              <w:t>]</w:t>
            </w:r>
            <w:r w:rsidRPr="00184146">
              <w:t xml:space="preserve"> Interest Rate and resulting Interest Payment Amount will be. Conversely, the greater the number of Barrier Observation Dates on which such </w:t>
            </w:r>
            <w:r w:rsidRPr="00F94B27" w:rsidR="00F94B27">
              <w:rPr>
                <w:b/>
              </w:rPr>
              <w:t>[</w:t>
            </w:r>
            <w:r w:rsidRPr="00184146">
              <w:t>Barrier</w:t>
            </w:r>
            <w:r w:rsidRPr="00F94B27" w:rsidR="00F94B27">
              <w:rPr>
                <w:b/>
              </w:rPr>
              <w:t>]</w:t>
            </w:r>
            <w:r w:rsidRPr="00184146">
              <w:t xml:space="preserve"> </w:t>
            </w:r>
            <w:r w:rsidRPr="00F94B27" w:rsidR="00F94B27">
              <w:rPr>
                <w:b/>
              </w:rPr>
              <w:t>[</w:t>
            </w:r>
            <w:r w:rsidRPr="00184146">
              <w:t>Lower Barrier or Upper Barrier</w:t>
            </w:r>
            <w:r w:rsidRPr="00F94B27" w:rsidR="00F94B27">
              <w:rPr>
                <w:b/>
              </w:rPr>
              <w:t>]</w:t>
            </w:r>
            <w:r w:rsidRPr="00184146">
              <w:t xml:space="preserve"> is breached </w:t>
            </w:r>
            <w:r w:rsidRPr="00F94B27" w:rsidR="00F94B27">
              <w:rPr>
                <w:b/>
              </w:rPr>
              <w:t>[</w:t>
            </w:r>
            <w:r w:rsidRPr="00184146">
              <w:t>or reached</w:t>
            </w:r>
            <w:r w:rsidRPr="00F94B27" w:rsidR="00F94B27">
              <w:rPr>
                <w:b/>
              </w:rPr>
              <w:t>]</w:t>
            </w:r>
            <w:r w:rsidRPr="00184146">
              <w:t xml:space="preserve">, the lower the </w:t>
            </w:r>
            <w:r w:rsidRPr="00F94B27" w:rsidR="00F94B27">
              <w:rPr>
                <w:b/>
              </w:rPr>
              <w:t>[</w:t>
            </w:r>
            <w:r w:rsidRPr="00184146">
              <w:t>applicable</w:t>
            </w:r>
            <w:r w:rsidRPr="00F94B27" w:rsidR="00F94B27">
              <w:rPr>
                <w:b/>
              </w:rPr>
              <w:t>]</w:t>
            </w:r>
            <w:r w:rsidRPr="00184146">
              <w:t xml:space="preserve"> Interest Rate will be. If the </w:t>
            </w:r>
            <w:r w:rsidRPr="00F94B27" w:rsidR="00F94B27">
              <w:rPr>
                <w:b/>
              </w:rPr>
              <w:t>[</w:t>
            </w:r>
            <w:r w:rsidRPr="00184146">
              <w:t>Barrier</w:t>
            </w:r>
            <w:r w:rsidRPr="00F94B27" w:rsidR="00F94B27">
              <w:rPr>
                <w:b/>
              </w:rPr>
              <w:t>]</w:t>
            </w:r>
            <w:r w:rsidRPr="00184146">
              <w:t xml:space="preserve"> </w:t>
            </w:r>
            <w:r w:rsidRPr="00F94B27" w:rsidR="00F94B27">
              <w:rPr>
                <w:b/>
              </w:rPr>
              <w:t>[</w:t>
            </w:r>
            <w:r w:rsidRPr="00184146">
              <w:t>Lower Barrier or Upper Barrier</w:t>
            </w:r>
            <w:r w:rsidRPr="00F94B27" w:rsidR="00F94B27">
              <w:rPr>
                <w:b/>
              </w:rPr>
              <w:t>]</w:t>
            </w:r>
            <w:r w:rsidRPr="00184146">
              <w:t xml:space="preserve"> is breached </w:t>
            </w:r>
            <w:r w:rsidRPr="00F94B27" w:rsidR="00F94B27">
              <w:rPr>
                <w:b/>
              </w:rPr>
              <w:t>[</w:t>
            </w:r>
            <w:r w:rsidRPr="00184146">
              <w:t>or reached</w:t>
            </w:r>
            <w:r w:rsidRPr="00F94B27" w:rsidR="00F94B27">
              <w:rPr>
                <w:b/>
              </w:rPr>
              <w:t>]</w:t>
            </w:r>
            <w:r w:rsidRPr="00184146">
              <w:t xml:space="preserve"> on each Barrier Observation Date, the Interest Rate, and the resulting Interest Payment Amount, will be zero.</w:t>
            </w:r>
            <w:r w:rsidRPr="00F94B27" w:rsidR="00F94B27">
              <w:rPr>
                <w:b/>
              </w:rPr>
              <w:t>]</w:t>
            </w:r>
          </w:p>
        </w:tc>
        <w:tc>
          <w:tcPr>
            <w:tcW w:w="2466" w:type="pct"/>
            <w:gridSpan w:val="14"/>
            <w:tcBorders>
              <w:left w:val="single" w:sz="4" w:space="0" w:color="auto"/>
            </w:tcBorders>
          </w:tcPr>
          <w:p w:rsidR="00794126" w:rsidRPr="00794126" w:rsidP="00474C21">
            <w:pPr>
              <w:pStyle w:val="CSBody0"/>
              <w:rPr>
                <w:lang w:val="de-DE"/>
              </w:rPr>
            </w:pPr>
            <w:r w:rsidRPr="00794126">
              <w:rPr>
                <w:lang w:val="de-DE"/>
              </w:rPr>
              <w:t xml:space="preserve">Bei Spread Range Accrual Notes hängt der Zinssatz, auf dessen Grundlage </w:t>
            </w:r>
            <w:r w:rsidRPr="00F94B27" w:rsidR="00F94B27">
              <w:rPr>
                <w:b/>
                <w:lang w:val="de-DE"/>
              </w:rPr>
              <w:t>[</w:t>
            </w:r>
            <w:r w:rsidRPr="00794126">
              <w:rPr>
                <w:lang w:val="de-DE"/>
              </w:rPr>
              <w:t>der Zinszahlungsbetrag</w:t>
            </w:r>
            <w:r w:rsidRPr="00F94B27" w:rsidR="00F94B27">
              <w:rPr>
                <w:b/>
                <w:lang w:val="de-DE"/>
              </w:rPr>
              <w:t>][</w:t>
            </w:r>
            <w:r w:rsidRPr="00794126">
              <w:rPr>
                <w:lang w:val="de-DE"/>
              </w:rPr>
              <w:t>die Zinszahlungsbeträge</w:t>
            </w:r>
            <w:r w:rsidRPr="00F94B27" w:rsidR="00F94B27">
              <w:rPr>
                <w:b/>
                <w:lang w:val="de-DE"/>
              </w:rPr>
              <w:t>]</w:t>
            </w:r>
            <w:r w:rsidRPr="00794126">
              <w:rPr>
                <w:lang w:val="de-DE"/>
              </w:rPr>
              <w:t xml:space="preserve"> berechnet </w:t>
            </w:r>
            <w:r w:rsidRPr="00F94B27" w:rsidR="00F94B27">
              <w:rPr>
                <w:b/>
                <w:lang w:val="de-DE"/>
              </w:rPr>
              <w:t>[</w:t>
            </w:r>
            <w:r w:rsidRPr="00794126">
              <w:rPr>
                <w:lang w:val="de-DE"/>
              </w:rPr>
              <w:t>wird</w:t>
            </w:r>
            <w:r w:rsidRPr="00F94B27" w:rsidR="00F94B27">
              <w:rPr>
                <w:b/>
                <w:lang w:val="de-DE"/>
              </w:rPr>
              <w:t>][</w:t>
            </w:r>
            <w:r w:rsidRPr="00794126">
              <w:rPr>
                <w:lang w:val="de-DE"/>
              </w:rPr>
              <w:t>werden</w:t>
            </w:r>
            <w:r w:rsidRPr="00F94B27" w:rsidR="00F94B27">
              <w:rPr>
                <w:b/>
                <w:lang w:val="de-DE"/>
              </w:rPr>
              <w:t>]</w:t>
            </w:r>
            <w:r w:rsidRPr="00794126">
              <w:rPr>
                <w:lang w:val="de-DE"/>
              </w:rPr>
              <w:t xml:space="preserve">, von der Anzahl der Barriere-Beobachtungstage während der </w:t>
            </w:r>
            <w:r w:rsidRPr="00F94B27" w:rsidR="00F94B27">
              <w:rPr>
                <w:b/>
                <w:lang w:val="de-DE"/>
              </w:rPr>
              <w:t>[</w:t>
            </w:r>
            <w:r w:rsidRPr="00794126">
              <w:rPr>
                <w:lang w:val="de-DE"/>
              </w:rPr>
              <w:t>jeweiligen</w:t>
            </w:r>
            <w:r w:rsidRPr="00F94B27" w:rsidR="00F94B27">
              <w:rPr>
                <w:b/>
                <w:lang w:val="de-DE"/>
              </w:rPr>
              <w:t>]</w:t>
            </w:r>
            <w:r w:rsidRPr="00794126">
              <w:rPr>
                <w:lang w:val="de-DE"/>
              </w:rPr>
              <w:t xml:space="preserve"> Zinsperiode ab, an denen die Differenz aus dem Wert des Referenzsatzes 2 und dem Wert des Referenzsatzes 3 (d.d. die Differenz aus zwei variablen Zinssätzen) die </w:t>
            </w:r>
            <w:r w:rsidRPr="00F94B27" w:rsidR="00F94B27">
              <w:rPr>
                <w:b/>
                <w:lang w:val="de-DE"/>
              </w:rPr>
              <w:t>[</w:t>
            </w:r>
            <w:r w:rsidRPr="00794126">
              <w:rPr>
                <w:lang w:val="de-DE"/>
              </w:rPr>
              <w:t>Barriere</w:t>
            </w:r>
            <w:r w:rsidRPr="00F94B27" w:rsidR="00F94B27">
              <w:rPr>
                <w:b/>
                <w:lang w:val="de-DE"/>
              </w:rPr>
              <w:t>]</w:t>
            </w:r>
            <w:r w:rsidRPr="00794126">
              <w:rPr>
                <w:lang w:val="de-DE"/>
              </w:rPr>
              <w:t xml:space="preserve"> </w:t>
            </w:r>
            <w:r w:rsidRPr="00F94B27" w:rsidR="00F94B27">
              <w:rPr>
                <w:b/>
                <w:lang w:val="de-DE"/>
              </w:rPr>
              <w:t>[</w:t>
            </w:r>
            <w:r w:rsidRPr="00794126">
              <w:rPr>
                <w:lang w:val="de-DE"/>
              </w:rPr>
              <w:t>Untere Barriere bzw. Obere Barriere</w:t>
            </w:r>
            <w:r w:rsidRPr="00F94B27" w:rsidR="00F94B27">
              <w:rPr>
                <w:b/>
                <w:lang w:val="de-DE"/>
              </w:rPr>
              <w:t>]</w:t>
            </w:r>
            <w:r w:rsidRPr="00794126">
              <w:rPr>
                <w:lang w:val="de-DE"/>
              </w:rPr>
              <w:t xml:space="preserve"> verletzt </w:t>
            </w:r>
            <w:r w:rsidRPr="00F94B27" w:rsidR="00F94B27">
              <w:rPr>
                <w:b/>
                <w:lang w:val="de-DE"/>
              </w:rPr>
              <w:t>[</w:t>
            </w:r>
            <w:r w:rsidRPr="00794126">
              <w:rPr>
                <w:lang w:val="de-DE"/>
              </w:rPr>
              <w:t>oder diese erreicht</w:t>
            </w:r>
            <w:r w:rsidRPr="00F94B27" w:rsidR="00F94B27">
              <w:rPr>
                <w:b/>
                <w:lang w:val="de-DE"/>
              </w:rPr>
              <w:t>]</w:t>
            </w:r>
            <w:r w:rsidRPr="00794126">
              <w:rPr>
                <w:lang w:val="de-DE"/>
              </w:rPr>
              <w:t xml:space="preserve">. Der </w:t>
            </w:r>
            <w:r w:rsidRPr="00F94B27" w:rsidR="00F94B27">
              <w:rPr>
                <w:b/>
                <w:lang w:val="de-DE"/>
              </w:rPr>
              <w:t>[</w:t>
            </w:r>
            <w:r w:rsidRPr="00794126">
              <w:rPr>
                <w:lang w:val="de-DE"/>
              </w:rPr>
              <w:t>anwendbare</w:t>
            </w:r>
            <w:r w:rsidRPr="00F94B27" w:rsidR="00F94B27">
              <w:rPr>
                <w:b/>
                <w:lang w:val="de-DE"/>
              </w:rPr>
              <w:t>]</w:t>
            </w:r>
            <w:r w:rsidRPr="00794126">
              <w:rPr>
                <w:lang w:val="de-DE"/>
              </w:rPr>
              <w:t xml:space="preserve"> Zinssatz dieser Spread Range Accrual Notes wird dann bestimmt, indem (i) die Anzahl der Barriere-Beobachtungstage, an denen die </w:t>
            </w:r>
            <w:r w:rsidRPr="00F94B27" w:rsidR="00F94B27">
              <w:rPr>
                <w:b/>
                <w:lang w:val="de-DE"/>
              </w:rPr>
              <w:t>[</w:t>
            </w:r>
            <w:r w:rsidRPr="00794126">
              <w:rPr>
                <w:lang w:val="de-DE"/>
              </w:rPr>
              <w:t>Barriere</w:t>
            </w:r>
            <w:r w:rsidRPr="00F94B27" w:rsidR="00F94B27">
              <w:rPr>
                <w:b/>
                <w:lang w:val="de-DE"/>
              </w:rPr>
              <w:t>]</w:t>
            </w:r>
            <w:r w:rsidRPr="00794126">
              <w:rPr>
                <w:lang w:val="de-DE"/>
              </w:rPr>
              <w:t xml:space="preserve"> </w:t>
            </w:r>
            <w:r w:rsidRPr="00F94B27" w:rsidR="00F94B27">
              <w:rPr>
                <w:b/>
                <w:lang w:val="de-DE"/>
              </w:rPr>
              <w:t>[</w:t>
            </w:r>
            <w:r w:rsidRPr="00794126">
              <w:rPr>
                <w:lang w:val="de-DE"/>
              </w:rPr>
              <w:t>Untere Barriere bzw. Obere Barriere</w:t>
            </w:r>
            <w:r w:rsidRPr="00F94B27" w:rsidR="00F94B27">
              <w:rPr>
                <w:b/>
                <w:lang w:val="de-DE"/>
              </w:rPr>
              <w:t>]</w:t>
            </w:r>
            <w:r w:rsidRPr="00794126">
              <w:rPr>
                <w:lang w:val="de-DE"/>
              </w:rPr>
              <w:t xml:space="preserve"> während der </w:t>
            </w:r>
            <w:r w:rsidRPr="00F94B27" w:rsidR="00F94B27">
              <w:rPr>
                <w:b/>
                <w:lang w:val="de-DE"/>
              </w:rPr>
              <w:t>[</w:t>
            </w:r>
            <w:r w:rsidRPr="00794126">
              <w:rPr>
                <w:lang w:val="de-DE"/>
              </w:rPr>
              <w:t>jeweiligen</w:t>
            </w:r>
            <w:r w:rsidRPr="00F94B27" w:rsidR="00F94B27">
              <w:rPr>
                <w:b/>
                <w:lang w:val="de-DE"/>
              </w:rPr>
              <w:t>]</w:t>
            </w:r>
            <w:r w:rsidRPr="00794126">
              <w:rPr>
                <w:lang w:val="de-DE"/>
              </w:rPr>
              <w:t xml:space="preserve"> Zinsperiode nicht verletzt wurde </w:t>
            </w:r>
            <w:r w:rsidRPr="00F94B27" w:rsidR="00F94B27">
              <w:rPr>
                <w:b/>
                <w:lang w:val="de-DE"/>
              </w:rPr>
              <w:t>[</w:t>
            </w:r>
            <w:r w:rsidRPr="00794126">
              <w:rPr>
                <w:lang w:val="de-DE"/>
              </w:rPr>
              <w:t>oder nicht erreicht wurde</w:t>
            </w:r>
            <w:r w:rsidRPr="00F94B27" w:rsidR="00F94B27">
              <w:rPr>
                <w:b/>
                <w:lang w:val="de-DE"/>
              </w:rPr>
              <w:t>]</w:t>
            </w:r>
            <w:r w:rsidRPr="00794126">
              <w:rPr>
                <w:lang w:val="de-DE"/>
              </w:rPr>
              <w:t xml:space="preserve">, dividiert durch die Anzahl der Barriere-Beobachtungstage während dieser Zinsperiode, mit (ii) der Summe aus dem Wert des Referenzsatzes 1 am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794126">
              <w:rPr>
                <w:lang w:val="de-DE"/>
              </w:rPr>
              <w:t xml:space="preserve">% per annum multipliziert wird. Folglich hängt der Zinssatz nicht nur vom Wert des Referenzsatzes 1 am </w:t>
            </w:r>
            <w:r w:rsidRPr="00F94B27" w:rsidR="00F94B27">
              <w:rPr>
                <w:b/>
                <w:lang w:val="de-DE"/>
              </w:rPr>
              <w:t>[</w:t>
            </w:r>
            <w:r w:rsidRPr="00794126">
              <w:rPr>
                <w:lang w:val="de-DE"/>
              </w:rPr>
              <w:t>jeweiligen</w:t>
            </w:r>
            <w:r w:rsidRPr="00F94B27" w:rsidR="00F94B27">
              <w:rPr>
                <w:b/>
                <w:lang w:val="de-DE"/>
              </w:rPr>
              <w:t>]</w:t>
            </w:r>
            <w:r w:rsidRPr="00794126">
              <w:rPr>
                <w:lang w:val="de-DE"/>
              </w:rPr>
              <w:t xml:space="preserve"> Zinsfeststellungstag ab, sondern je kleiner die Anzahl der Barriere-Beobachtungstage ist, an denen die </w:t>
            </w:r>
            <w:r w:rsidRPr="00F94B27" w:rsidR="00F94B27">
              <w:rPr>
                <w:b/>
                <w:lang w:val="de-DE"/>
              </w:rPr>
              <w:t>[</w:t>
            </w:r>
            <w:r w:rsidRPr="00794126">
              <w:rPr>
                <w:lang w:val="de-DE"/>
              </w:rPr>
              <w:t>Barriere</w:t>
            </w:r>
            <w:r w:rsidRPr="00F94B27" w:rsidR="00F94B27">
              <w:rPr>
                <w:b/>
                <w:lang w:val="de-DE"/>
              </w:rPr>
              <w:t>]</w:t>
            </w:r>
            <w:r w:rsidRPr="00794126">
              <w:rPr>
                <w:lang w:val="de-DE"/>
              </w:rPr>
              <w:t xml:space="preserve"> </w:t>
            </w:r>
            <w:r w:rsidRPr="00F94B27" w:rsidR="00F94B27">
              <w:rPr>
                <w:b/>
                <w:lang w:val="de-DE"/>
              </w:rPr>
              <w:t>[</w:t>
            </w:r>
            <w:r w:rsidRPr="00794126">
              <w:rPr>
                <w:lang w:val="de-DE"/>
              </w:rPr>
              <w:t>Untere Barriere bzw. Obere Bariere</w:t>
            </w:r>
            <w:r w:rsidRPr="00F94B27" w:rsidR="00F94B27">
              <w:rPr>
                <w:b/>
                <w:lang w:val="de-DE"/>
              </w:rPr>
              <w:t>]</w:t>
            </w:r>
            <w:r w:rsidRPr="00794126">
              <w:rPr>
                <w:lang w:val="de-DE"/>
              </w:rPr>
              <w:t xml:space="preserve"> verletzt </w:t>
            </w:r>
            <w:r w:rsidRPr="00F94B27" w:rsidR="00F94B27">
              <w:rPr>
                <w:b/>
                <w:lang w:val="de-DE"/>
              </w:rPr>
              <w:t>[</w:t>
            </w:r>
            <w:r w:rsidRPr="00794126">
              <w:rPr>
                <w:lang w:val="de-DE"/>
              </w:rPr>
              <w:t>oder erreicht</w:t>
            </w:r>
            <w:r w:rsidRPr="00F94B27" w:rsidR="00F94B27">
              <w:rPr>
                <w:b/>
                <w:lang w:val="de-DE"/>
              </w:rPr>
              <w:t>]</w:t>
            </w:r>
            <w:r w:rsidRPr="00794126">
              <w:rPr>
                <w:lang w:val="de-DE"/>
              </w:rPr>
              <w:t xml:space="preserve"> wurde, desto höher ist der </w:t>
            </w:r>
            <w:r w:rsidRPr="00F94B27" w:rsidR="00F94B27">
              <w:rPr>
                <w:b/>
                <w:lang w:val="de-DE"/>
              </w:rPr>
              <w:t>[</w:t>
            </w:r>
            <w:r w:rsidRPr="00794126">
              <w:rPr>
                <w:lang w:val="de-DE"/>
              </w:rPr>
              <w:t>anwendbare</w:t>
            </w:r>
            <w:r w:rsidRPr="00F94B27" w:rsidR="00F94B27">
              <w:rPr>
                <w:b/>
                <w:lang w:val="de-DE"/>
              </w:rPr>
              <w:t>]</w:t>
            </w:r>
            <w:r w:rsidRPr="00794126">
              <w:rPr>
                <w:lang w:val="de-DE"/>
              </w:rPr>
              <w:t xml:space="preserve"> Zinssatz und der resultierende Zinszahlungsbetrag. Umgekehrt gilt: je grösser die Anzahl der Barriere-Beobachtungstage ist, an denen die </w:t>
            </w:r>
            <w:r w:rsidRPr="00F94B27" w:rsidR="00F94B27">
              <w:rPr>
                <w:b/>
                <w:lang w:val="de-DE"/>
              </w:rPr>
              <w:t>[</w:t>
            </w:r>
            <w:r w:rsidRPr="00794126">
              <w:rPr>
                <w:lang w:val="de-DE"/>
              </w:rPr>
              <w:t>Barriere</w:t>
            </w:r>
            <w:r w:rsidRPr="00F94B27" w:rsidR="00F94B27">
              <w:rPr>
                <w:b/>
                <w:lang w:val="de-DE"/>
              </w:rPr>
              <w:t>]</w:t>
            </w:r>
            <w:r w:rsidRPr="00794126">
              <w:rPr>
                <w:lang w:val="de-DE"/>
              </w:rPr>
              <w:t xml:space="preserve"> </w:t>
            </w:r>
            <w:r w:rsidRPr="00F94B27" w:rsidR="00F94B27">
              <w:rPr>
                <w:b/>
                <w:lang w:val="de-DE"/>
              </w:rPr>
              <w:t>[</w:t>
            </w:r>
            <w:r w:rsidRPr="00794126">
              <w:rPr>
                <w:lang w:val="de-DE"/>
              </w:rPr>
              <w:t>Untere Barriere bzw. Obere Barriere</w:t>
            </w:r>
            <w:r w:rsidRPr="00F94B27" w:rsidR="00F94B27">
              <w:rPr>
                <w:b/>
                <w:lang w:val="de-DE"/>
              </w:rPr>
              <w:t>]</w:t>
            </w:r>
            <w:r w:rsidRPr="00794126">
              <w:rPr>
                <w:lang w:val="de-DE"/>
              </w:rPr>
              <w:t xml:space="preserve"> verletzt </w:t>
            </w:r>
            <w:r w:rsidRPr="00F94B27" w:rsidR="00F94B27">
              <w:rPr>
                <w:b/>
                <w:lang w:val="de-DE"/>
              </w:rPr>
              <w:t>[</w:t>
            </w:r>
            <w:r w:rsidRPr="00794126">
              <w:rPr>
                <w:lang w:val="de-DE"/>
              </w:rPr>
              <w:t>(oder erreicht)</w:t>
            </w:r>
            <w:r w:rsidRPr="00F94B27" w:rsidR="00F94B27">
              <w:rPr>
                <w:b/>
                <w:lang w:val="de-DE"/>
              </w:rPr>
              <w:t>]</w:t>
            </w:r>
            <w:r w:rsidRPr="00794126">
              <w:rPr>
                <w:lang w:val="de-DE"/>
              </w:rPr>
              <w:t xml:space="preserve"> wurde, desto niedriger ist der </w:t>
            </w:r>
            <w:r w:rsidRPr="00F94B27" w:rsidR="00F94B27">
              <w:rPr>
                <w:b/>
                <w:lang w:val="de-DE"/>
              </w:rPr>
              <w:t>[</w:t>
            </w:r>
            <w:r w:rsidRPr="00794126">
              <w:rPr>
                <w:lang w:val="de-DE"/>
              </w:rPr>
              <w:t>anwendbare</w:t>
            </w:r>
            <w:r w:rsidRPr="00F94B27" w:rsidR="00F94B27">
              <w:rPr>
                <w:b/>
                <w:lang w:val="de-DE"/>
              </w:rPr>
              <w:t>]</w:t>
            </w:r>
            <w:r w:rsidRPr="00794126">
              <w:rPr>
                <w:lang w:val="de-DE"/>
              </w:rPr>
              <w:t xml:space="preserve"> Zinssatz. Wird die </w:t>
            </w:r>
            <w:r w:rsidRPr="00F94B27" w:rsidR="00F94B27">
              <w:rPr>
                <w:b/>
                <w:lang w:val="de-DE"/>
              </w:rPr>
              <w:t>[</w:t>
            </w:r>
            <w:r w:rsidRPr="00794126">
              <w:rPr>
                <w:lang w:val="de-DE"/>
              </w:rPr>
              <w:t>Barriere</w:t>
            </w:r>
            <w:r w:rsidRPr="00F94B27" w:rsidR="00F94B27">
              <w:rPr>
                <w:b/>
                <w:lang w:val="de-DE"/>
              </w:rPr>
              <w:t>]</w:t>
            </w:r>
            <w:r w:rsidRPr="00794126">
              <w:rPr>
                <w:lang w:val="de-DE"/>
              </w:rPr>
              <w:t xml:space="preserve"> </w:t>
            </w:r>
            <w:r w:rsidRPr="00F94B27" w:rsidR="00F94B27">
              <w:rPr>
                <w:b/>
                <w:lang w:val="de-DE"/>
              </w:rPr>
              <w:t>[</w:t>
            </w:r>
            <w:r w:rsidRPr="00794126">
              <w:rPr>
                <w:lang w:val="de-DE"/>
              </w:rPr>
              <w:t>Untere Barriere bzw. Obere Barriere</w:t>
            </w:r>
            <w:r w:rsidRPr="00F94B27" w:rsidR="00F94B27">
              <w:rPr>
                <w:b/>
                <w:lang w:val="de-DE"/>
              </w:rPr>
              <w:t>]</w:t>
            </w:r>
            <w:r w:rsidRPr="00794126">
              <w:rPr>
                <w:lang w:val="de-DE"/>
              </w:rPr>
              <w:t xml:space="preserve"> an jedem Barriere-Beobachtungstag verletzt </w:t>
            </w:r>
            <w:r w:rsidRPr="00F94B27" w:rsidR="00F94B27">
              <w:rPr>
                <w:b/>
                <w:lang w:val="de-DE"/>
              </w:rPr>
              <w:t>[</w:t>
            </w:r>
            <w:r w:rsidRPr="00794126">
              <w:rPr>
                <w:lang w:val="de-DE"/>
              </w:rPr>
              <w:t>oder erreicht</w:t>
            </w:r>
            <w:r w:rsidRPr="00F94B27" w:rsidR="00F94B27">
              <w:rPr>
                <w:b/>
                <w:lang w:val="de-DE"/>
              </w:rPr>
              <w:t>]</w:t>
            </w:r>
            <w:r w:rsidRPr="00794126">
              <w:rPr>
                <w:lang w:val="de-DE"/>
              </w:rPr>
              <w:t>, so betragen der Zinssatz und der resultierende Zinszahlungsbetrag null.</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794126" w:rsidRPr="00AB16EC" w:rsidP="00794126">
            <w:pPr>
              <w:pStyle w:val="CSbody0bolditalic"/>
              <w:rPr>
                <w:lang w:val="en-GB"/>
              </w:rPr>
            </w:pPr>
            <w:r w:rsidRPr="00F94B27">
              <w:rPr>
                <w:lang w:val="en-GB"/>
              </w:rPr>
              <w:t>[</w:t>
            </w:r>
            <w:r w:rsidRPr="00AB16EC">
              <w:rPr>
                <w:lang w:val="en-GB"/>
              </w:rPr>
              <w:t>in case of Inflation Index-Linked Notes:</w:t>
            </w:r>
          </w:p>
        </w:tc>
        <w:tc>
          <w:tcPr>
            <w:tcW w:w="2466" w:type="pct"/>
            <w:gridSpan w:val="14"/>
            <w:tcBorders>
              <w:left w:val="single" w:sz="4" w:space="0" w:color="auto"/>
            </w:tcBorders>
          </w:tcPr>
          <w:p w:rsidR="00794126" w:rsidRPr="005440AC" w:rsidP="00794126">
            <w:pPr>
              <w:pStyle w:val="CSbody0bolditalic"/>
            </w:pPr>
            <w:r w:rsidRPr="00F94B27">
              <w:t>[</w:t>
            </w:r>
            <w:r w:rsidRPr="005440AC">
              <w:t>bei Inflation Index-Linked Notes:</w:t>
            </w:r>
          </w:p>
        </w:tc>
      </w:tr>
      <w:tr w:rsidTr="00942F00">
        <w:tblPrEx>
          <w:tblW w:w="5000" w:type="pct"/>
          <w:tblLayout w:type="fixed"/>
          <w:tblLook w:val="04A0"/>
        </w:tblPrEx>
        <w:tc>
          <w:tcPr>
            <w:tcW w:w="2534" w:type="pct"/>
            <w:gridSpan w:val="14"/>
            <w:tcBorders>
              <w:right w:val="single" w:sz="4" w:space="0" w:color="auto"/>
            </w:tcBorders>
          </w:tcPr>
          <w:p w:rsidR="00794126" w:rsidRPr="005440AC" w:rsidP="00794126">
            <w:pPr>
              <w:pStyle w:val="CSBody0"/>
            </w:pPr>
            <w:r w:rsidRPr="00F94B27">
              <w:rPr>
                <w:b/>
              </w:rPr>
              <w:t>[</w:t>
            </w:r>
            <w:r w:rsidRPr="00794126">
              <w:rPr>
                <w:b/>
                <w:i/>
              </w:rPr>
              <w:t>in case of Complex Products with one or more Fixed Interest Payment Dates:</w:t>
            </w:r>
            <w:r w:rsidRPr="005440AC">
              <w:t xml:space="preserve"> In case of Inflation Index-Linked Notes the Interest Rate on the basis of which the Interest Payment Amounts are calculated will be equal to a fixed rate per annum for the </w:t>
            </w:r>
            <w:r w:rsidRPr="00F94B27">
              <w:rPr>
                <w:b/>
              </w:rPr>
              <w:t>[</w:t>
            </w:r>
            <w:r w:rsidRPr="005440AC">
              <w:t>first</w:t>
            </w:r>
            <w:r w:rsidRPr="00F94B27">
              <w:rPr>
                <w:b/>
              </w:rPr>
              <w:t>]</w:t>
            </w:r>
            <w:r w:rsidRPr="005440AC">
              <w:t xml:space="preserve"> </w:t>
            </w:r>
            <w:r w:rsidRPr="00F94B27">
              <w:rPr>
                <w:b/>
              </w:rPr>
              <w:t>[</w:t>
            </w:r>
            <w:r w:rsidRPr="005440AC">
              <w:t xml:space="preserve">first </w:t>
            </w:r>
            <w:r w:rsidRPr="00F94B27">
              <w:rPr>
                <w:b/>
              </w:rPr>
              <w:t>[</w:t>
            </w:r>
            <w:r w:rsidRPr="00794126">
              <w:rPr>
                <w:b/>
                <w:i/>
              </w:rPr>
              <w:t>insert number of Interest Payment Dates, on which a fixed rate per annum is applicable:</w:t>
            </w:r>
            <w:r w:rsidRPr="005440AC">
              <w:t xml:space="preserve"> </w:t>
            </w:r>
            <w:r w:rsidRPr="00F94B27">
              <w:rPr>
                <w:b/>
              </w:rPr>
              <w:t>[</w:t>
            </w:r>
            <w:r w:rsidR="003857E8">
              <w:rPr>
                <w:rFonts w:ascii="Arial" w:hAnsi="Arial" w:cs="Arial"/>
              </w:rPr>
              <w:t>●</w:t>
            </w:r>
            <w:r w:rsidRPr="00F94B27">
              <w:rPr>
                <w:b/>
              </w:rPr>
              <w:t>]]</w:t>
            </w:r>
            <w:r w:rsidRPr="005440AC">
              <w:t xml:space="preserve"> Interest Payment Date</w:t>
            </w:r>
            <w:r w:rsidRPr="00F94B27">
              <w:rPr>
                <w:b/>
              </w:rPr>
              <w:t>[</w:t>
            </w:r>
            <w:r w:rsidRPr="005440AC">
              <w:t>s</w:t>
            </w:r>
            <w:r w:rsidRPr="00F94B27">
              <w:rPr>
                <w:b/>
              </w:rPr>
              <w:t>]</w:t>
            </w:r>
            <w:r w:rsidRPr="005440AC">
              <w:t xml:space="preserve">. For the calculation of the Interest Payment Amount on the </w:t>
            </w:r>
            <w:r w:rsidRPr="00F94B27">
              <w:rPr>
                <w:b/>
              </w:rPr>
              <w:t>[</w:t>
            </w:r>
            <w:r w:rsidRPr="00794126">
              <w:rPr>
                <w:b/>
                <w:i/>
              </w:rPr>
              <w:t>insert number of Interest Payment Date, from which the Interest Rate will be a variable rate per annum:</w:t>
            </w:r>
            <w:r w:rsidRPr="005440AC">
              <w:t xml:space="preserve"> </w:t>
            </w:r>
            <w:r w:rsidRPr="00F94B27">
              <w:rPr>
                <w:b/>
              </w:rPr>
              <w:t>[</w:t>
            </w:r>
            <w:r w:rsidR="003857E8">
              <w:rPr>
                <w:rFonts w:ascii="Arial" w:hAnsi="Arial" w:cs="Arial"/>
              </w:rPr>
              <w:t>●</w:t>
            </w:r>
            <w:r w:rsidRPr="00F94B27">
              <w:rPr>
                <w:b/>
              </w:rPr>
              <w:t>]]</w:t>
            </w:r>
            <w:r w:rsidRPr="005440AC">
              <w:t xml:space="preserve"> Interest Payment Date </w:t>
            </w:r>
            <w:r w:rsidRPr="00F94B27">
              <w:rPr>
                <w:b/>
              </w:rPr>
              <w:t>[</w:t>
            </w:r>
            <w:r w:rsidRPr="005440AC">
              <w:t>and any following Interest Payment Date</w:t>
            </w:r>
            <w:r w:rsidRPr="00F94B27">
              <w:rPr>
                <w:b/>
              </w:rPr>
              <w:t>]</w:t>
            </w:r>
            <w:r w:rsidRPr="005440AC">
              <w:t xml:space="preserve"> the Interest Payment Amount</w:t>
            </w:r>
            <w:r w:rsidRPr="00F94B27">
              <w:rPr>
                <w:b/>
              </w:rPr>
              <w:t>[</w:t>
            </w:r>
            <w:r w:rsidRPr="005440AC">
              <w:t>s</w:t>
            </w:r>
            <w:r w:rsidRPr="00F94B27">
              <w:rPr>
                <w:b/>
              </w:rPr>
              <w:t>]</w:t>
            </w:r>
            <w:r w:rsidRPr="005440AC">
              <w:t xml:space="preserve"> will be calculated on the basis of a variable Interest Rate depending upon the performance of a Reference Rate in the form of an Inflation Index.</w:t>
            </w:r>
            <w:r w:rsidRPr="00F94B27">
              <w:rPr>
                <w:b/>
              </w:rPr>
              <w:t>]</w:t>
            </w:r>
          </w:p>
        </w:tc>
        <w:tc>
          <w:tcPr>
            <w:tcW w:w="2466" w:type="pct"/>
            <w:gridSpan w:val="14"/>
            <w:tcBorders>
              <w:left w:val="single" w:sz="4" w:space="0" w:color="auto"/>
            </w:tcBorders>
          </w:tcPr>
          <w:p w:rsidR="00794126" w:rsidRPr="00794126" w:rsidP="00794126">
            <w:pPr>
              <w:pStyle w:val="CSBody0"/>
              <w:rPr>
                <w:lang w:val="de-DE"/>
              </w:rPr>
            </w:pPr>
            <w:r w:rsidRPr="00F94B27">
              <w:rPr>
                <w:b/>
                <w:lang w:val="de-DE"/>
              </w:rPr>
              <w:t>[</w:t>
            </w:r>
            <w:r w:rsidRPr="00794126">
              <w:rPr>
                <w:b/>
                <w:i/>
                <w:lang w:val="de-DE"/>
              </w:rPr>
              <w:t>bei Komplexen Produkten mit einem oder mehreren Zahlungstagen für Festzinsen:</w:t>
            </w:r>
            <w:r w:rsidRPr="00794126">
              <w:rPr>
                <w:lang w:val="de-DE"/>
              </w:rPr>
              <w:t xml:space="preserve"> Bei Inflation Index-Linked Notes entspricht der Zinssatz, auf dessen Grundlage die Zinszahlungsbeträge berechnet werden, einem Festsatz per annum für </w:t>
            </w:r>
            <w:r w:rsidRPr="00F94B27">
              <w:rPr>
                <w:b/>
                <w:lang w:val="de-DE"/>
              </w:rPr>
              <w:t>[</w:t>
            </w:r>
            <w:r w:rsidRPr="00794126">
              <w:rPr>
                <w:lang w:val="de-DE"/>
              </w:rPr>
              <w:t>den ersten</w:t>
            </w:r>
            <w:r w:rsidRPr="00F94B27">
              <w:rPr>
                <w:b/>
                <w:lang w:val="de-DE"/>
              </w:rPr>
              <w:t>]</w:t>
            </w:r>
            <w:r w:rsidRPr="00794126">
              <w:rPr>
                <w:lang w:val="de-DE"/>
              </w:rPr>
              <w:t xml:space="preserve"> </w:t>
            </w:r>
            <w:r w:rsidRPr="00F94B27">
              <w:rPr>
                <w:b/>
                <w:lang w:val="de-DE"/>
              </w:rPr>
              <w:t>[</w:t>
            </w:r>
            <w:r w:rsidRPr="00794126">
              <w:rPr>
                <w:lang w:val="de-DE"/>
              </w:rPr>
              <w:t xml:space="preserve">die ersten </w:t>
            </w:r>
            <w:r w:rsidRPr="00F94B27">
              <w:rPr>
                <w:b/>
                <w:lang w:val="de-DE"/>
              </w:rPr>
              <w:t>[</w:t>
            </w:r>
            <w:r w:rsidRPr="00794126">
              <w:rPr>
                <w:b/>
                <w:i/>
                <w:lang w:val="de-DE"/>
              </w:rPr>
              <w:t>Anzahl der Zinszahlungstage einfügen, an denen ein Festsatz per annum anwendbar ist:</w:t>
            </w:r>
            <w:r w:rsidRPr="00794126">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794126">
              <w:rPr>
                <w:lang w:val="de-DE"/>
              </w:rPr>
              <w:t xml:space="preserve"> Zinszahlungstag</w:t>
            </w:r>
            <w:r w:rsidRPr="00F94B27">
              <w:rPr>
                <w:b/>
                <w:lang w:val="de-DE"/>
              </w:rPr>
              <w:t>[</w:t>
            </w:r>
            <w:r w:rsidRPr="00794126">
              <w:rPr>
                <w:lang w:val="de-DE"/>
              </w:rPr>
              <w:t>e</w:t>
            </w:r>
            <w:r w:rsidRPr="00F94B27">
              <w:rPr>
                <w:b/>
                <w:lang w:val="de-DE"/>
              </w:rPr>
              <w:t>]</w:t>
            </w:r>
            <w:r w:rsidRPr="00794126">
              <w:rPr>
                <w:lang w:val="de-DE"/>
              </w:rPr>
              <w:t xml:space="preserve">. Für die Berechnung des Zinszahlungsbetrags am </w:t>
            </w:r>
            <w:r w:rsidRPr="00F94B27">
              <w:rPr>
                <w:b/>
                <w:lang w:val="de-DE"/>
              </w:rPr>
              <w:t>[</w:t>
            </w:r>
            <w:r w:rsidRPr="00794126">
              <w:rPr>
                <w:b/>
                <w:i/>
                <w:lang w:val="de-DE"/>
              </w:rPr>
              <w:t>Zahl des Zinszahlungstags einfügen, von dem an der Zinssatz ein variabler Satz per annum sein wird:</w:t>
            </w:r>
            <w:r w:rsidRPr="00794126">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794126">
              <w:rPr>
                <w:lang w:val="de-DE"/>
              </w:rPr>
              <w:t xml:space="preserve"> Zinszahlungstag </w:t>
            </w:r>
            <w:r w:rsidRPr="00F94B27">
              <w:rPr>
                <w:b/>
                <w:lang w:val="de-DE"/>
              </w:rPr>
              <w:t>[</w:t>
            </w:r>
            <w:r w:rsidRPr="00794126">
              <w:rPr>
                <w:lang w:val="de-DE"/>
              </w:rPr>
              <w:t>und jeden folgenden Zinszahlungstag</w:t>
            </w:r>
            <w:r w:rsidRPr="00F94B27">
              <w:rPr>
                <w:b/>
                <w:lang w:val="de-DE"/>
              </w:rPr>
              <w:t>]</w:t>
            </w:r>
            <w:r w:rsidRPr="00794126">
              <w:rPr>
                <w:lang w:val="de-DE"/>
              </w:rPr>
              <w:t xml:space="preserve"> </w:t>
            </w:r>
            <w:r w:rsidRPr="00F94B27">
              <w:rPr>
                <w:b/>
                <w:lang w:val="de-DE"/>
              </w:rPr>
              <w:t>[</w:t>
            </w:r>
            <w:r w:rsidRPr="00794126">
              <w:rPr>
                <w:lang w:val="de-DE"/>
              </w:rPr>
              <w:t>wird</w:t>
            </w:r>
            <w:r w:rsidRPr="00F94B27">
              <w:rPr>
                <w:b/>
                <w:lang w:val="de-DE"/>
              </w:rPr>
              <w:t>]</w:t>
            </w:r>
            <w:r w:rsidRPr="00794126">
              <w:rPr>
                <w:lang w:val="de-DE"/>
              </w:rPr>
              <w:t xml:space="preserve"> </w:t>
            </w:r>
            <w:r w:rsidRPr="00F94B27">
              <w:rPr>
                <w:b/>
                <w:lang w:val="de-DE"/>
              </w:rPr>
              <w:t>[</w:t>
            </w:r>
            <w:r w:rsidRPr="00794126">
              <w:rPr>
                <w:lang w:val="de-DE"/>
              </w:rPr>
              <w:t>werden</w:t>
            </w:r>
            <w:r w:rsidRPr="00F94B27">
              <w:rPr>
                <w:b/>
                <w:lang w:val="de-DE"/>
              </w:rPr>
              <w:t>]</w:t>
            </w:r>
            <w:r w:rsidRPr="00794126">
              <w:rPr>
                <w:lang w:val="de-DE"/>
              </w:rPr>
              <w:t xml:space="preserve"> </w:t>
            </w:r>
            <w:r w:rsidRPr="00F94B27">
              <w:rPr>
                <w:b/>
                <w:lang w:val="de-DE"/>
              </w:rPr>
              <w:t>[</w:t>
            </w:r>
            <w:r w:rsidRPr="00794126">
              <w:rPr>
                <w:lang w:val="de-DE"/>
              </w:rPr>
              <w:t>der Zinszahlungsbetrag</w:t>
            </w:r>
            <w:r w:rsidRPr="00F94B27">
              <w:rPr>
                <w:b/>
                <w:lang w:val="de-DE"/>
              </w:rPr>
              <w:t>]</w:t>
            </w:r>
            <w:r w:rsidRPr="00794126">
              <w:rPr>
                <w:lang w:val="de-DE"/>
              </w:rPr>
              <w:t xml:space="preserve"> </w:t>
            </w:r>
            <w:r w:rsidRPr="00F94B27">
              <w:rPr>
                <w:b/>
                <w:lang w:val="de-DE"/>
              </w:rPr>
              <w:t>[</w:t>
            </w:r>
            <w:r w:rsidRPr="00794126">
              <w:rPr>
                <w:lang w:val="de-DE"/>
              </w:rPr>
              <w:t>die Zinszahlungsbeträge</w:t>
            </w:r>
            <w:r w:rsidRPr="00F94B27">
              <w:rPr>
                <w:b/>
                <w:lang w:val="de-DE"/>
              </w:rPr>
              <w:t>]</w:t>
            </w:r>
            <w:r w:rsidRPr="00794126">
              <w:rPr>
                <w:lang w:val="de-DE"/>
              </w:rPr>
              <w:t xml:space="preserve"> auf der Grundlage eines variablen Zinssatzes, der von der Wertentwicklung eines Referenzsatzes in Form eines Inflationsindexes abhängig ist, berechnet.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794126" w:rsidRPr="005440AC" w:rsidP="00794126">
            <w:pPr>
              <w:pStyle w:val="CSBody0"/>
            </w:pPr>
            <w:r w:rsidRPr="00F94B27">
              <w:rPr>
                <w:b/>
              </w:rPr>
              <w:t>[</w:t>
            </w:r>
            <w:r w:rsidRPr="00794126">
              <w:rPr>
                <w:b/>
                <w:i/>
              </w:rPr>
              <w:t>in case of Complex Products without Fixed Interest Payment Dates:</w:t>
            </w:r>
            <w:r w:rsidRPr="005440AC">
              <w:t xml:space="preserve"> In case of Inflation Index-Linked Notes the Interest Rate on the basis of which the Interest Payment Amount</w:t>
            </w:r>
            <w:r w:rsidRPr="00F94B27">
              <w:rPr>
                <w:b/>
              </w:rPr>
              <w:t>[</w:t>
            </w:r>
            <w:r w:rsidRPr="005440AC">
              <w:t>s</w:t>
            </w:r>
            <w:r w:rsidRPr="00F94B27">
              <w:rPr>
                <w:b/>
              </w:rPr>
              <w:t>]</w:t>
            </w:r>
            <w:r w:rsidRPr="005440AC">
              <w:t xml:space="preserve"> </w:t>
            </w:r>
            <w:r w:rsidRPr="00F94B27">
              <w:rPr>
                <w:b/>
              </w:rPr>
              <w:t>[</w:t>
            </w:r>
            <w:r w:rsidRPr="005440AC">
              <w:t>is</w:t>
            </w:r>
            <w:r w:rsidRPr="00F94B27">
              <w:rPr>
                <w:b/>
              </w:rPr>
              <w:t>][</w:t>
            </w:r>
            <w:r w:rsidRPr="005440AC">
              <w:t>are</w:t>
            </w:r>
            <w:r w:rsidRPr="00F94B27">
              <w:rPr>
                <w:b/>
              </w:rPr>
              <w:t>]</w:t>
            </w:r>
            <w:r w:rsidRPr="005440AC">
              <w:t xml:space="preserve"> calculated will be equal to a variable Interest Rate depending upon the performance of a Reference Rate in the form of an Inflation Index.</w:t>
            </w:r>
            <w:r w:rsidRPr="00F94B27">
              <w:rPr>
                <w:b/>
              </w:rPr>
              <w:t>]</w:t>
            </w:r>
          </w:p>
        </w:tc>
        <w:tc>
          <w:tcPr>
            <w:tcW w:w="2466" w:type="pct"/>
            <w:gridSpan w:val="14"/>
            <w:tcBorders>
              <w:left w:val="single" w:sz="4" w:space="0" w:color="auto"/>
            </w:tcBorders>
          </w:tcPr>
          <w:p w:rsidR="00794126" w:rsidRPr="00794126" w:rsidP="00794126">
            <w:pPr>
              <w:pStyle w:val="CSBody0"/>
              <w:rPr>
                <w:lang w:val="de-DE"/>
              </w:rPr>
            </w:pPr>
            <w:r w:rsidRPr="00F94B27">
              <w:rPr>
                <w:b/>
                <w:lang w:val="de-DE"/>
              </w:rPr>
              <w:t>[</w:t>
            </w:r>
            <w:r w:rsidRPr="00794126">
              <w:rPr>
                <w:b/>
                <w:i/>
                <w:lang w:val="de-DE"/>
              </w:rPr>
              <w:t>bei Komplexen Produ</w:t>
            </w:r>
            <w:r w:rsidR="002A02E2">
              <w:rPr>
                <w:b/>
                <w:i/>
                <w:lang w:val="de-DE"/>
              </w:rPr>
              <w:t>kten ohne Zahlungstage für Fest</w:t>
            </w:r>
            <w:r w:rsidRPr="00794126">
              <w:rPr>
                <w:b/>
                <w:i/>
                <w:lang w:val="de-DE"/>
              </w:rPr>
              <w:t>zinsen:</w:t>
            </w:r>
            <w:r w:rsidRPr="00794126">
              <w:rPr>
                <w:lang w:val="de-DE"/>
              </w:rPr>
              <w:t xml:space="preserve"> Bei Inflation Index-Linked Notes entspricht der Zinssatz, auf dessen Grundlage </w:t>
            </w:r>
            <w:r w:rsidRPr="00F94B27">
              <w:rPr>
                <w:b/>
                <w:lang w:val="de-DE"/>
              </w:rPr>
              <w:t>[</w:t>
            </w:r>
            <w:r w:rsidRPr="00794126">
              <w:rPr>
                <w:lang w:val="de-DE"/>
              </w:rPr>
              <w:t>der Zinszahlungsbetrag</w:t>
            </w:r>
            <w:r w:rsidRPr="00F94B27">
              <w:rPr>
                <w:b/>
                <w:lang w:val="de-DE"/>
              </w:rPr>
              <w:t>]</w:t>
            </w:r>
            <w:r w:rsidRPr="00794126">
              <w:rPr>
                <w:lang w:val="de-DE"/>
              </w:rPr>
              <w:t xml:space="preserve"> </w:t>
            </w:r>
            <w:r w:rsidRPr="00F94B27">
              <w:rPr>
                <w:b/>
                <w:lang w:val="de-DE"/>
              </w:rPr>
              <w:t>[</w:t>
            </w:r>
            <w:r w:rsidRPr="00794126">
              <w:rPr>
                <w:lang w:val="de-DE"/>
              </w:rPr>
              <w:t>die Zinszahlungsbeträge</w:t>
            </w:r>
            <w:r w:rsidRPr="00F94B27">
              <w:rPr>
                <w:b/>
                <w:lang w:val="de-DE"/>
              </w:rPr>
              <w:t>]</w:t>
            </w:r>
            <w:r w:rsidRPr="00794126">
              <w:rPr>
                <w:lang w:val="de-DE"/>
              </w:rPr>
              <w:t xml:space="preserve"> berechnet </w:t>
            </w:r>
            <w:r w:rsidRPr="00F94B27">
              <w:rPr>
                <w:b/>
                <w:lang w:val="de-DE"/>
              </w:rPr>
              <w:t>[</w:t>
            </w:r>
            <w:r w:rsidRPr="00794126">
              <w:rPr>
                <w:lang w:val="de-DE"/>
              </w:rPr>
              <w:t>wird</w:t>
            </w:r>
            <w:r w:rsidRPr="00F94B27">
              <w:rPr>
                <w:b/>
                <w:lang w:val="de-DE"/>
              </w:rPr>
              <w:t>]</w:t>
            </w:r>
            <w:r w:rsidRPr="00794126">
              <w:rPr>
                <w:lang w:val="de-DE"/>
              </w:rPr>
              <w:t xml:space="preserve"> </w:t>
            </w:r>
            <w:r w:rsidRPr="00F94B27">
              <w:rPr>
                <w:b/>
                <w:lang w:val="de-DE"/>
              </w:rPr>
              <w:t>[</w:t>
            </w:r>
            <w:r w:rsidRPr="00794126">
              <w:rPr>
                <w:lang w:val="de-DE"/>
              </w:rPr>
              <w:t>werden</w:t>
            </w:r>
            <w:r w:rsidRPr="00F94B27">
              <w:rPr>
                <w:b/>
                <w:lang w:val="de-DE"/>
              </w:rPr>
              <w:t>]</w:t>
            </w:r>
            <w:r w:rsidRPr="00794126">
              <w:rPr>
                <w:lang w:val="de-DE"/>
              </w:rPr>
              <w:t>, einem variablen Zinssatz, der von der Wertentwicklung eines Referenzsatzes in Form eines Inflationsindexes abhängig ist.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794126" w:rsidP="00794126">
            <w:pPr>
              <w:pStyle w:val="CSBody0"/>
            </w:pPr>
            <w:r>
              <w:t xml:space="preserve">Inflation Index-Linked Notes allow investors to benefit on the </w:t>
            </w:r>
            <w:r w:rsidRPr="00F94B27" w:rsidR="00F94B27">
              <w:rPr>
                <w:b/>
              </w:rPr>
              <w:t>[</w:t>
            </w:r>
            <w:r>
              <w:t>relevant</w:t>
            </w:r>
            <w:r w:rsidRPr="00F94B27" w:rsidR="00F94B27">
              <w:rPr>
                <w:b/>
              </w:rPr>
              <w:t>]</w:t>
            </w:r>
            <w:r>
              <w:t xml:space="preserve"> Interest Payment Date </w:t>
            </w:r>
            <w:r w:rsidRPr="00F94B27" w:rsidR="00F94B27">
              <w:rPr>
                <w:b/>
              </w:rPr>
              <w:t>[</w:t>
            </w:r>
            <w:r>
              <w:t>, on which a variable Interest Rate is applicable,</w:t>
            </w:r>
            <w:r w:rsidRPr="00F94B27" w:rsidR="00F94B27">
              <w:rPr>
                <w:b/>
              </w:rPr>
              <w:t>]</w:t>
            </w:r>
            <w:r>
              <w:t xml:space="preserve"> from Interest Payment Amounts that increase depending upon the positive performance of the Reference Rate in the form of the Inflation Index on the </w:t>
            </w:r>
            <w:r w:rsidRPr="00F94B27" w:rsidR="00F94B27">
              <w:rPr>
                <w:b/>
              </w:rPr>
              <w:t>[</w:t>
            </w:r>
            <w:r>
              <w:t>relevant</w:t>
            </w:r>
            <w:r w:rsidRPr="00F94B27" w:rsidR="00F94B27">
              <w:rPr>
                <w:b/>
              </w:rPr>
              <w:t>]</w:t>
            </w:r>
            <w:r>
              <w:t xml:space="preserve"> Interest Payment Date. The performance of the Reference Rate will be measured by comparing its value for one Inflation Fixing Month to its value for another Inflation Fixing Month. In order to determine the </w:t>
            </w:r>
            <w:r w:rsidRPr="00F94B27" w:rsidR="00F94B27">
              <w:rPr>
                <w:b/>
              </w:rPr>
              <w:t>[</w:t>
            </w:r>
            <w:r>
              <w:t>applicable</w:t>
            </w:r>
            <w:r w:rsidRPr="00F94B27" w:rsidR="00F94B27">
              <w:rPr>
                <w:b/>
              </w:rPr>
              <w:t>]</w:t>
            </w:r>
            <w:r>
              <w:t xml:space="preserve"> Interest Rate the performance of the Reference Rate in the form of the Inflation Index for the relevant Inflation Fixing Month will be multiplied by the Participation </w:t>
            </w:r>
            <w:r w:rsidRPr="00F94B27" w:rsidR="00F94B27">
              <w:rPr>
                <w:b/>
              </w:rPr>
              <w:t>[</w:t>
            </w:r>
            <w:r>
              <w:t xml:space="preserve">and </w:t>
            </w:r>
            <w:r w:rsidRPr="00F94B27" w:rsidR="00F94B27">
              <w:rPr>
                <w:b/>
              </w:rPr>
              <w:t>[</w:t>
            </w:r>
            <w:r w:rsidR="003857E8">
              <w:rPr>
                <w:rFonts w:ascii="Arial" w:hAnsi="Arial" w:cs="Arial"/>
              </w:rPr>
              <w:t>●</w:t>
            </w:r>
            <w:r w:rsidRPr="00F94B27" w:rsidR="00F94B27">
              <w:rPr>
                <w:b/>
              </w:rPr>
              <w:t>]</w:t>
            </w:r>
            <w:r>
              <w:t>% per annum will be added to such product</w:t>
            </w:r>
            <w:r w:rsidRPr="00F94B27" w:rsidR="00F94B27">
              <w:rPr>
                <w:b/>
              </w:rPr>
              <w:t>]</w:t>
            </w:r>
            <w:r>
              <w:t>. If the Inflation Index stagnates or if the Inflation Index develops negatively on an Interest Payment Date, the applicable Interest Rate may be equal to zero.</w:t>
            </w:r>
            <w:r w:rsidRPr="00F94B27" w:rsidR="00F94B27">
              <w:rPr>
                <w:b/>
              </w:rPr>
              <w:t>]</w:t>
            </w:r>
          </w:p>
          <w:p w:rsidR="00794126" w:rsidRPr="00833838" w:rsidP="00794126">
            <w:pPr>
              <w:pStyle w:val="CSBody0"/>
            </w:pPr>
            <w:r w:rsidRPr="00F94B27">
              <w:rPr>
                <w:b/>
              </w:rPr>
              <w:t>]</w:t>
            </w:r>
          </w:p>
        </w:tc>
        <w:tc>
          <w:tcPr>
            <w:tcW w:w="2466" w:type="pct"/>
            <w:gridSpan w:val="14"/>
            <w:tcBorders>
              <w:left w:val="single" w:sz="4" w:space="0" w:color="auto"/>
            </w:tcBorders>
          </w:tcPr>
          <w:p w:rsidR="00794126" w:rsidRPr="00794126" w:rsidP="00794126">
            <w:pPr>
              <w:pStyle w:val="CSBody0"/>
              <w:rPr>
                <w:lang w:val="de-DE"/>
              </w:rPr>
            </w:pPr>
            <w:r w:rsidRPr="00794126">
              <w:rPr>
                <w:lang w:val="de-DE"/>
              </w:rPr>
              <w:t xml:space="preserve">Inflation Index-Linked Notes ermöglichen Anlegern, am </w:t>
            </w:r>
            <w:r w:rsidRPr="00F94B27" w:rsidR="00F94B27">
              <w:rPr>
                <w:b/>
                <w:lang w:val="de-DE"/>
              </w:rPr>
              <w:t>[</w:t>
            </w:r>
            <w:r w:rsidRPr="00794126">
              <w:rPr>
                <w:lang w:val="de-DE"/>
              </w:rPr>
              <w:t>jeweiligen</w:t>
            </w:r>
            <w:r w:rsidRPr="00F94B27" w:rsidR="00F94B27">
              <w:rPr>
                <w:b/>
                <w:lang w:val="de-DE"/>
              </w:rPr>
              <w:t>]</w:t>
            </w:r>
            <w:r w:rsidRPr="00794126">
              <w:rPr>
                <w:lang w:val="de-DE"/>
              </w:rPr>
              <w:t xml:space="preserve"> Zinszahlungstag </w:t>
            </w:r>
            <w:r w:rsidRPr="00F94B27" w:rsidR="00F94B27">
              <w:rPr>
                <w:b/>
                <w:lang w:val="de-DE"/>
              </w:rPr>
              <w:t>[</w:t>
            </w:r>
            <w:r w:rsidRPr="00794126">
              <w:rPr>
                <w:lang w:val="de-DE"/>
              </w:rPr>
              <w:t>, an dem ein variabler Zinssatz Anwendung findet,</w:t>
            </w:r>
            <w:r w:rsidRPr="00F94B27" w:rsidR="00F94B27">
              <w:rPr>
                <w:b/>
                <w:lang w:val="de-DE"/>
              </w:rPr>
              <w:t>]</w:t>
            </w:r>
            <w:r w:rsidRPr="00794126">
              <w:rPr>
                <w:lang w:val="de-DE"/>
              </w:rPr>
              <w:t xml:space="preserve"> Zinszahlungsbeträge zu erhalten, die in Abhängigkeit von der positiven Wertentwicklung des Referenzsatzes in Form des Inflationsindexes am </w:t>
            </w:r>
            <w:r w:rsidRPr="00F94B27" w:rsidR="00F94B27">
              <w:rPr>
                <w:b/>
                <w:lang w:val="de-DE"/>
              </w:rPr>
              <w:t>[</w:t>
            </w:r>
            <w:r w:rsidRPr="00794126">
              <w:rPr>
                <w:lang w:val="de-DE"/>
              </w:rPr>
              <w:t>jeweiligen</w:t>
            </w:r>
            <w:r w:rsidRPr="00F94B27" w:rsidR="00F94B27">
              <w:rPr>
                <w:b/>
                <w:lang w:val="de-DE"/>
              </w:rPr>
              <w:t>]</w:t>
            </w:r>
            <w:r w:rsidRPr="00794126">
              <w:rPr>
                <w:lang w:val="de-DE"/>
              </w:rPr>
              <w:t xml:space="preserve"> Zinszahlungstag ansteigen. Die Wertentwicklung des Referenzsatzes wird auf Grundlage eines Vergleichs des Werts des Referenzsatzes für einen Inflations-Feststellungsmonat mit dem Wert des Referenzsatzes für einen anderen Inflations-Feststellungsmonat gemessen. Um den </w:t>
            </w:r>
            <w:r w:rsidRPr="00F94B27" w:rsidR="00F94B27">
              <w:rPr>
                <w:b/>
                <w:lang w:val="de-DE"/>
              </w:rPr>
              <w:t>[</w:t>
            </w:r>
            <w:r w:rsidRPr="00794126">
              <w:rPr>
                <w:lang w:val="de-DE"/>
              </w:rPr>
              <w:t>anwendbaren</w:t>
            </w:r>
            <w:r w:rsidRPr="00F94B27" w:rsidR="00F94B27">
              <w:rPr>
                <w:b/>
                <w:lang w:val="de-DE"/>
              </w:rPr>
              <w:t>]</w:t>
            </w:r>
            <w:r w:rsidRPr="00794126">
              <w:rPr>
                <w:lang w:val="de-DE"/>
              </w:rPr>
              <w:t xml:space="preserve"> Zinssatz zu bestimmen, wird die Wertentwicklung des Referenzsatzes in Form des Inflationsindexes für den jeweiligen Inflations-Feststellungsmonat mit der Partizipation multipliziert </w:t>
            </w:r>
            <w:r w:rsidRPr="00F94B27" w:rsidR="00F94B27">
              <w:rPr>
                <w:b/>
                <w:lang w:val="de-DE"/>
              </w:rPr>
              <w:t>[</w:t>
            </w:r>
            <w:r w:rsidRPr="00794126">
              <w:rPr>
                <w:lang w:val="de-DE"/>
              </w:rPr>
              <w:t xml:space="preserve">und </w:t>
            </w:r>
            <w:r w:rsidRPr="00F94B27" w:rsidR="00F94B27">
              <w:rPr>
                <w:b/>
                <w:lang w:val="de-DE"/>
              </w:rPr>
              <w:t>[</w:t>
            </w:r>
            <w:r w:rsidRPr="003857E8" w:rsidR="003857E8">
              <w:rPr>
                <w:rFonts w:ascii="Arial" w:hAnsi="Arial" w:cs="Arial"/>
                <w:lang w:val="de-DE"/>
              </w:rPr>
              <w:t>●</w:t>
            </w:r>
            <w:r w:rsidRPr="00F94B27" w:rsidR="00F94B27">
              <w:rPr>
                <w:b/>
                <w:lang w:val="de-DE"/>
              </w:rPr>
              <w:t>]</w:t>
            </w:r>
            <w:r w:rsidRPr="00794126">
              <w:rPr>
                <w:lang w:val="de-DE"/>
              </w:rPr>
              <w:t>% per annum wird zu diesem Produkt hinzugerechnet</w:t>
            </w:r>
            <w:r w:rsidRPr="00F94B27" w:rsidR="00F94B27">
              <w:rPr>
                <w:b/>
                <w:lang w:val="de-DE"/>
              </w:rPr>
              <w:t>]</w:t>
            </w:r>
            <w:r w:rsidRPr="00794126">
              <w:rPr>
                <w:lang w:val="de-DE"/>
              </w:rPr>
              <w:t>. Falls der Inflationsindex stagniert oder sich an einem Zinszahlungstag negativ entwickelt, kann der anwendbare Zinssatz null entsprechen.</w:t>
            </w:r>
            <w:r w:rsidRPr="00F94B27" w:rsidR="00F94B27">
              <w:rPr>
                <w:b/>
                <w:lang w:val="de-DE"/>
              </w:rPr>
              <w:t>]</w:t>
            </w:r>
          </w:p>
          <w:p w:rsidR="00794126" w:rsidRPr="00833838" w:rsidP="00794126">
            <w:pPr>
              <w:pStyle w:val="CSBody0"/>
            </w:pPr>
            <w:r w:rsidRPr="00F94B27">
              <w:rPr>
                <w:b/>
              </w:rPr>
              <w:t>]</w:t>
            </w:r>
          </w:p>
        </w:tc>
      </w:tr>
      <w:tr w:rsidTr="00942F00">
        <w:tblPrEx>
          <w:tblW w:w="5000" w:type="pct"/>
          <w:tblLayout w:type="fixed"/>
          <w:tblLook w:val="04A0"/>
        </w:tblPrEx>
        <w:tc>
          <w:tcPr>
            <w:tcW w:w="2534" w:type="pct"/>
            <w:gridSpan w:val="14"/>
            <w:tcBorders>
              <w:right w:val="single" w:sz="4" w:space="0" w:color="auto"/>
            </w:tcBorders>
          </w:tcPr>
          <w:p w:rsidR="003B6C4F" w:rsidRPr="004C6B69" w:rsidP="003B6C4F">
            <w:pPr>
              <w:pStyle w:val="CSbody0bold"/>
            </w:pPr>
            <w:r w:rsidRPr="004C6B69">
              <w:t>Interest Commencement Date:</w:t>
            </w:r>
          </w:p>
        </w:tc>
        <w:tc>
          <w:tcPr>
            <w:tcW w:w="2466" w:type="pct"/>
            <w:gridSpan w:val="14"/>
            <w:tcBorders>
              <w:left w:val="single" w:sz="4" w:space="0" w:color="auto"/>
            </w:tcBorders>
          </w:tcPr>
          <w:p w:rsidR="003B6C4F" w:rsidRPr="004C6B69" w:rsidP="003B6C4F">
            <w:pPr>
              <w:pStyle w:val="CSbody0bold"/>
            </w:pPr>
            <w:r w:rsidRPr="004C6B69">
              <w:t>Verzinsungsbeginn:</w:t>
            </w:r>
          </w:p>
        </w:tc>
      </w:tr>
      <w:tr w:rsidTr="00942F00">
        <w:tblPrEx>
          <w:tblW w:w="5000" w:type="pct"/>
          <w:tblLayout w:type="fixed"/>
          <w:tblLook w:val="04A0"/>
        </w:tblPrEx>
        <w:tc>
          <w:tcPr>
            <w:tcW w:w="2534" w:type="pct"/>
            <w:gridSpan w:val="14"/>
            <w:tcBorders>
              <w:right w:val="single" w:sz="4" w:space="0" w:color="auto"/>
            </w:tcBorders>
          </w:tcPr>
          <w:p w:rsidR="003B6C4F" w:rsidRPr="004C6B69" w:rsidP="00AC6AC7">
            <w:pPr>
              <w:pStyle w:val="CSBody0"/>
            </w:pPr>
            <w:r w:rsidRPr="00F94B27">
              <w:rPr>
                <w:b/>
              </w:rPr>
              <w:t>[</w:t>
            </w:r>
            <w:r w:rsidRPr="004C6B69">
              <w:t>the Issue Date</w:t>
            </w:r>
            <w:r w:rsidRPr="00F94B27">
              <w:rPr>
                <w:b/>
              </w:rPr>
              <w:t>][[</w:t>
            </w:r>
            <w:r w:rsidR="003857E8">
              <w:rPr>
                <w:rFonts w:ascii="Arial" w:hAnsi="Arial" w:cs="Arial"/>
              </w:rPr>
              <w:t>●</w:t>
            </w:r>
            <w:r w:rsidRPr="00F94B27">
              <w:rPr>
                <w:b/>
              </w:rPr>
              <w:t>]]</w:t>
            </w:r>
          </w:p>
        </w:tc>
        <w:tc>
          <w:tcPr>
            <w:tcW w:w="2466" w:type="pct"/>
            <w:gridSpan w:val="14"/>
            <w:tcBorders>
              <w:left w:val="single" w:sz="4" w:space="0" w:color="auto"/>
            </w:tcBorders>
          </w:tcPr>
          <w:p w:rsidR="003B6C4F" w:rsidRPr="004C6B69" w:rsidP="00AC6AC7">
            <w:pPr>
              <w:pStyle w:val="CSBody0"/>
            </w:pPr>
            <w:r w:rsidRPr="00F94B27">
              <w:rPr>
                <w:b/>
              </w:rPr>
              <w:t>[</w:t>
            </w:r>
            <w:r w:rsidRPr="004C6B69">
              <w:t>der Emissionstag</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2534" w:type="pct"/>
            <w:gridSpan w:val="14"/>
            <w:tcBorders>
              <w:right w:val="single" w:sz="4" w:space="0" w:color="auto"/>
            </w:tcBorders>
          </w:tcPr>
          <w:p w:rsidR="003B6C4F" w:rsidRPr="004C6B69" w:rsidP="00AC6AC7">
            <w:pPr>
              <w:pStyle w:val="CSbody0bold"/>
            </w:pPr>
            <w:r w:rsidRPr="004C6B69">
              <w:t>Interest Payment Date(s):</w:t>
            </w:r>
          </w:p>
        </w:tc>
        <w:tc>
          <w:tcPr>
            <w:tcW w:w="2466" w:type="pct"/>
            <w:gridSpan w:val="14"/>
            <w:tcBorders>
              <w:left w:val="single" w:sz="4" w:space="0" w:color="auto"/>
            </w:tcBorders>
          </w:tcPr>
          <w:p w:rsidR="003B6C4F" w:rsidRPr="004C6B69" w:rsidP="00AC6AC7">
            <w:pPr>
              <w:pStyle w:val="CSbody0bold"/>
            </w:pPr>
            <w:r w:rsidRPr="004C6B69">
              <w:t>Zinszahlungstag(e):</w:t>
            </w:r>
          </w:p>
        </w:tc>
      </w:tr>
      <w:tr w:rsidTr="00942F00">
        <w:tblPrEx>
          <w:tblW w:w="5000" w:type="pct"/>
          <w:tblLayout w:type="fixed"/>
          <w:tblLook w:val="04A0"/>
        </w:tblPrEx>
        <w:tc>
          <w:tcPr>
            <w:tcW w:w="2534" w:type="pct"/>
            <w:gridSpan w:val="14"/>
            <w:tcBorders>
              <w:right w:val="single" w:sz="4" w:space="0" w:color="auto"/>
            </w:tcBorders>
          </w:tcPr>
          <w:p w:rsidR="003B6C4F" w:rsidRPr="004C6B69" w:rsidP="00AC6AC7">
            <w:pPr>
              <w:pStyle w:val="CSBody0"/>
            </w:pPr>
            <w:r w:rsidRPr="004C6B69">
              <w:t>See table below after element C. 11.</w:t>
            </w:r>
          </w:p>
        </w:tc>
        <w:tc>
          <w:tcPr>
            <w:tcW w:w="2466" w:type="pct"/>
            <w:gridSpan w:val="14"/>
            <w:tcBorders>
              <w:left w:val="single" w:sz="4" w:space="0" w:color="auto"/>
            </w:tcBorders>
          </w:tcPr>
          <w:p w:rsidR="003B6C4F" w:rsidRPr="003B6C4F" w:rsidP="00AC6AC7">
            <w:pPr>
              <w:pStyle w:val="CSBody0"/>
              <w:rPr>
                <w:lang w:val="de-DE"/>
              </w:rPr>
            </w:pPr>
            <w:r w:rsidRPr="003B6C4F">
              <w:rPr>
                <w:lang w:val="de-DE"/>
              </w:rPr>
              <w:t>Siehe nachstehende Tabelle nach Element C. 11.</w:t>
            </w:r>
          </w:p>
        </w:tc>
      </w:tr>
      <w:tr w:rsidTr="00942F00">
        <w:tblPrEx>
          <w:tblW w:w="5000" w:type="pct"/>
          <w:tblLayout w:type="fixed"/>
          <w:tblLook w:val="04A0"/>
        </w:tblPrEx>
        <w:tc>
          <w:tcPr>
            <w:tcW w:w="2534" w:type="pct"/>
            <w:gridSpan w:val="14"/>
            <w:tcBorders>
              <w:right w:val="single" w:sz="4" w:space="0" w:color="auto"/>
            </w:tcBorders>
          </w:tcPr>
          <w:p w:rsidR="003B6C4F" w:rsidRPr="00AB16EC" w:rsidP="00AC6AC7">
            <w:pPr>
              <w:pStyle w:val="CSbody0bold"/>
              <w:rPr>
                <w:lang w:val="en-GB"/>
              </w:rPr>
            </w:pPr>
            <w:r w:rsidRPr="00AB16EC">
              <w:rPr>
                <w:lang w:val="en-GB"/>
              </w:rPr>
              <w:t>Description of the underlying, on which the interest rate is based</w:t>
            </w:r>
          </w:p>
        </w:tc>
        <w:tc>
          <w:tcPr>
            <w:tcW w:w="2466" w:type="pct"/>
            <w:gridSpan w:val="14"/>
            <w:tcBorders>
              <w:left w:val="single" w:sz="4" w:space="0" w:color="auto"/>
            </w:tcBorders>
          </w:tcPr>
          <w:p w:rsidR="003B6C4F" w:rsidRPr="003B6C4F" w:rsidP="00AC6AC7">
            <w:pPr>
              <w:pStyle w:val="CSbody0bold"/>
            </w:pPr>
            <w:r w:rsidRPr="003B6C4F">
              <w:t>Beschreibung des Basiswerts, auf den sich der Zinssatz stützt</w:t>
            </w:r>
          </w:p>
        </w:tc>
      </w:tr>
      <w:tr w:rsidTr="00942F00">
        <w:tblPrEx>
          <w:tblW w:w="5000" w:type="pct"/>
          <w:tblLayout w:type="fixed"/>
          <w:tblLook w:val="04A0"/>
        </w:tblPrEx>
        <w:tc>
          <w:tcPr>
            <w:tcW w:w="2534" w:type="pct"/>
            <w:gridSpan w:val="14"/>
            <w:tcBorders>
              <w:right w:val="single" w:sz="4" w:space="0" w:color="auto"/>
            </w:tcBorders>
          </w:tcPr>
          <w:p w:rsidR="003B6C4F" w:rsidRPr="004C6B69" w:rsidP="00AC6AC7">
            <w:pPr>
              <w:pStyle w:val="CSBody0"/>
            </w:pPr>
            <w:r w:rsidRPr="00F94B27">
              <w:rPr>
                <w:b/>
              </w:rPr>
              <w:t>[</w:t>
            </w:r>
            <w:r w:rsidRPr="004C6B69">
              <w:t>Not applicable. The Complex Products do not provide for an underlying.</w:t>
            </w:r>
            <w:r w:rsidRPr="00F94B27">
              <w:rPr>
                <w:b/>
              </w:rPr>
              <w:t>]]</w:t>
            </w:r>
          </w:p>
        </w:tc>
        <w:tc>
          <w:tcPr>
            <w:tcW w:w="2466" w:type="pct"/>
            <w:gridSpan w:val="14"/>
            <w:tcBorders>
              <w:left w:val="single" w:sz="4" w:space="0" w:color="auto"/>
            </w:tcBorders>
          </w:tcPr>
          <w:p w:rsidR="003B6C4F" w:rsidRPr="003B6C4F" w:rsidP="00AC6AC7">
            <w:pPr>
              <w:pStyle w:val="CSBody0"/>
              <w:rPr>
                <w:lang w:val="de-DE"/>
              </w:rPr>
            </w:pPr>
            <w:r w:rsidRPr="00F94B27">
              <w:rPr>
                <w:b/>
                <w:lang w:val="de-DE"/>
              </w:rPr>
              <w:t>[</w:t>
            </w:r>
            <w:r w:rsidRPr="003B6C4F">
              <w:rPr>
                <w:lang w:val="de-DE"/>
              </w:rPr>
              <w:t>Entfällt. Die Komplexen Produkte sehen keinen Basiswert vor.</w:t>
            </w:r>
            <w:r w:rsidRPr="00F94B27">
              <w:rPr>
                <w:b/>
                <w:lang w:val="de-DE"/>
              </w:rPr>
              <w:t>]</w:t>
            </w:r>
          </w:p>
        </w:tc>
      </w:tr>
      <w:tr w:rsidTr="00942F00">
        <w:tblPrEx>
          <w:tblW w:w="5000" w:type="pct"/>
          <w:tblLayout w:type="fixed"/>
          <w:tblLook w:val="04A0"/>
        </w:tblPrEx>
        <w:trPr>
          <w:trHeight w:val="585"/>
        </w:trPr>
        <w:tc>
          <w:tcPr>
            <w:tcW w:w="2534" w:type="pct"/>
            <w:gridSpan w:val="14"/>
            <w:tcBorders>
              <w:right w:val="single" w:sz="4" w:space="0" w:color="auto"/>
            </w:tcBorders>
          </w:tcPr>
          <w:p w:rsidR="003B6C4F" w:rsidRPr="004C6B69" w:rsidP="00AC6AC7">
            <w:pPr>
              <w:pStyle w:val="CSBody0"/>
            </w:pPr>
            <w:r w:rsidRPr="00F94B27">
              <w:rPr>
                <w:b/>
              </w:rPr>
              <w:t>[</w:t>
            </w:r>
            <w:r w:rsidR="00AC6AC7">
              <w:t>The Complex Products are linked to the following Reference Rate</w:t>
            </w:r>
            <w:r w:rsidRPr="00F94B27">
              <w:rPr>
                <w:b/>
              </w:rPr>
              <w:t>[</w:t>
            </w:r>
            <w:r w:rsidR="00AC6AC7">
              <w:t>s</w:t>
            </w:r>
            <w:r w:rsidRPr="00F94B27">
              <w:rPr>
                <w:b/>
              </w:rPr>
              <w:t>]</w:t>
            </w:r>
            <w:r w:rsidR="00AC6AC7">
              <w:t xml:space="preserve">: </w:t>
            </w:r>
          </w:p>
        </w:tc>
        <w:tc>
          <w:tcPr>
            <w:tcW w:w="2466" w:type="pct"/>
            <w:gridSpan w:val="14"/>
            <w:tcBorders>
              <w:left w:val="single" w:sz="4" w:space="0" w:color="auto"/>
            </w:tcBorders>
          </w:tcPr>
          <w:p w:rsidR="003B6C4F" w:rsidRPr="003330CF" w:rsidP="00AC6AC7">
            <w:pPr>
              <w:pStyle w:val="CSBody0"/>
              <w:rPr>
                <w:lang w:val="de-DE"/>
              </w:rPr>
            </w:pPr>
            <w:r w:rsidRPr="00F94B27">
              <w:rPr>
                <w:b/>
                <w:lang w:val="de-DE"/>
              </w:rPr>
              <w:t>[</w:t>
            </w:r>
            <w:r w:rsidRPr="00AC6AC7" w:rsidR="00AC6AC7">
              <w:rPr>
                <w:lang w:val="de-DE"/>
              </w:rPr>
              <w:t xml:space="preserve">Die Komplexen Produkte sind an </w:t>
            </w:r>
            <w:r w:rsidRPr="00F94B27">
              <w:rPr>
                <w:b/>
                <w:lang w:val="de-DE"/>
              </w:rPr>
              <w:t>[</w:t>
            </w:r>
            <w:r w:rsidRPr="00AC6AC7" w:rsidR="00AC6AC7">
              <w:rPr>
                <w:lang w:val="de-DE"/>
              </w:rPr>
              <w:t>den folgenden Referenzsatz</w:t>
            </w:r>
            <w:r w:rsidRPr="00F94B27">
              <w:rPr>
                <w:b/>
                <w:lang w:val="de-DE"/>
              </w:rPr>
              <w:t>][</w:t>
            </w:r>
            <w:r w:rsidRPr="00AC6AC7" w:rsidR="00AC6AC7">
              <w:rPr>
                <w:lang w:val="de-DE"/>
              </w:rPr>
              <w:t>die folgenden Referenzsätze</w:t>
            </w:r>
            <w:r w:rsidRPr="00F94B27">
              <w:rPr>
                <w:b/>
                <w:lang w:val="de-DE"/>
              </w:rPr>
              <w:t>]</w:t>
            </w:r>
            <w:r w:rsidRPr="00AC6AC7" w:rsidR="00AC6AC7">
              <w:rPr>
                <w:lang w:val="de-DE"/>
              </w:rPr>
              <w:t xml:space="preserve"> gekoppelt: </w:t>
            </w:r>
          </w:p>
        </w:tc>
      </w:tr>
      <w:tr w:rsidTr="00942F00">
        <w:tblPrEx>
          <w:tblW w:w="5000" w:type="pct"/>
          <w:tblLayout w:type="fixed"/>
          <w:tblLook w:val="04A0"/>
        </w:tblPrEx>
        <w:trPr>
          <w:trHeight w:val="540"/>
        </w:trPr>
        <w:tc>
          <w:tcPr>
            <w:tcW w:w="2534" w:type="pct"/>
            <w:gridSpan w:val="14"/>
            <w:tcBorders>
              <w:right w:val="single" w:sz="4" w:space="0" w:color="auto"/>
            </w:tcBorders>
          </w:tcPr>
          <w:p w:rsidR="006A01BA" w:rsidP="00AC6AC7">
            <w:pPr>
              <w:pStyle w:val="CSBody0"/>
            </w:pPr>
            <w:r>
              <w:t>Reference Rate</w:t>
            </w:r>
            <w:r w:rsidRPr="00F94B27" w:rsidR="00F94B27">
              <w:rPr>
                <w:b/>
              </w:rPr>
              <w:t>[</w:t>
            </w:r>
            <w:r>
              <w:t>s</w:t>
            </w:r>
            <w:r w:rsidRPr="00F94B27" w:rsidR="00F94B27">
              <w:rPr>
                <w:b/>
              </w:rPr>
              <w:t>]</w:t>
            </w:r>
            <w:r>
              <w:t xml:space="preserve">: </w:t>
            </w:r>
            <w:r w:rsidRPr="00F94B27" w:rsidR="00F94B27">
              <w:rPr>
                <w:b/>
              </w:rPr>
              <w:t>[</w:t>
            </w:r>
            <w:r w:rsidR="003857E8">
              <w:rPr>
                <w:rFonts w:ascii="Arial" w:hAnsi="Arial" w:cs="Arial"/>
              </w:rPr>
              <w:t>●</w:t>
            </w:r>
            <w:r w:rsidRPr="00F94B27" w:rsidR="00F94B27">
              <w:rPr>
                <w:b/>
              </w:rPr>
              <w:t>]]</w:t>
            </w:r>
          </w:p>
        </w:tc>
        <w:tc>
          <w:tcPr>
            <w:tcW w:w="2466" w:type="pct"/>
            <w:gridSpan w:val="14"/>
            <w:tcBorders>
              <w:left w:val="single" w:sz="4" w:space="0" w:color="auto"/>
            </w:tcBorders>
          </w:tcPr>
          <w:p w:rsidR="006A01BA" w:rsidRPr="00AC6AC7" w:rsidP="00AC6AC7">
            <w:pPr>
              <w:pStyle w:val="CSBody0"/>
              <w:rPr>
                <w:lang w:val="de-DE"/>
              </w:rPr>
            </w:pPr>
            <w:r w:rsidRPr="00F94B27">
              <w:rPr>
                <w:b/>
              </w:rPr>
              <w:t>[</w:t>
            </w:r>
            <w:r>
              <w:t>Referenzsatz</w:t>
            </w:r>
            <w:r w:rsidRPr="00F94B27">
              <w:rPr>
                <w:b/>
              </w:rPr>
              <w:t>][</w:t>
            </w:r>
            <w:r>
              <w:t>Referenzsätze</w:t>
            </w:r>
            <w:r w:rsidRPr="00F94B27">
              <w:rPr>
                <w:b/>
              </w:rPr>
              <w:t>]</w:t>
            </w:r>
            <w:r>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2534" w:type="pct"/>
            <w:gridSpan w:val="14"/>
            <w:tcBorders>
              <w:right w:val="single" w:sz="4" w:space="0" w:color="auto"/>
            </w:tcBorders>
          </w:tcPr>
          <w:p w:rsidR="00AC6AC7" w:rsidRPr="002402DA" w:rsidP="0069139B">
            <w:pPr>
              <w:pStyle w:val="CSBody0"/>
            </w:pPr>
            <w:r w:rsidRPr="00F94B27">
              <w:rPr>
                <w:b/>
              </w:rPr>
              <w:t>[</w:t>
            </w:r>
            <w:r w:rsidRPr="002402DA">
              <w:t>Description of the Reference Rate</w:t>
            </w:r>
            <w:r w:rsidRPr="00F94B27">
              <w:rPr>
                <w:b/>
              </w:rPr>
              <w:t>[</w:t>
            </w:r>
            <w:r w:rsidRPr="002402DA">
              <w:t>s</w:t>
            </w:r>
            <w:r w:rsidRPr="00F94B27">
              <w:rPr>
                <w:b/>
              </w:rPr>
              <w:t>]</w:t>
            </w:r>
            <w:r w:rsidRPr="002402DA">
              <w:t xml:space="preserve">: </w:t>
            </w:r>
            <w:r w:rsidRPr="00F94B27">
              <w:rPr>
                <w:b/>
              </w:rPr>
              <w:t>[</w:t>
            </w:r>
            <w:r w:rsidR="003857E8">
              <w:rPr>
                <w:rFonts w:ascii="Arial" w:hAnsi="Arial" w:cs="Arial"/>
              </w:rPr>
              <w:t>●</w:t>
            </w:r>
            <w:r w:rsidRPr="00F94B27">
              <w:rPr>
                <w:b/>
              </w:rPr>
              <w:t>]]</w:t>
            </w:r>
          </w:p>
        </w:tc>
        <w:tc>
          <w:tcPr>
            <w:tcW w:w="2466" w:type="pct"/>
            <w:gridSpan w:val="14"/>
            <w:tcBorders>
              <w:left w:val="single" w:sz="4" w:space="0" w:color="auto"/>
            </w:tcBorders>
          </w:tcPr>
          <w:p w:rsidR="00AC6AC7" w:rsidRPr="00AC6AC7" w:rsidP="0069139B">
            <w:pPr>
              <w:pStyle w:val="CSBody0"/>
              <w:rPr>
                <w:lang w:val="de-DE"/>
              </w:rPr>
            </w:pPr>
            <w:r w:rsidRPr="00F94B27">
              <w:rPr>
                <w:b/>
                <w:lang w:val="de-DE"/>
              </w:rPr>
              <w:t>[</w:t>
            </w:r>
            <w:r w:rsidRPr="00AC6AC7">
              <w:rPr>
                <w:lang w:val="de-DE"/>
              </w:rPr>
              <w:t xml:space="preserve">Beschreibung </w:t>
            </w:r>
            <w:r w:rsidRPr="00F94B27">
              <w:rPr>
                <w:b/>
                <w:lang w:val="de-DE"/>
              </w:rPr>
              <w:t>[</w:t>
            </w:r>
            <w:r w:rsidRPr="00AC6AC7">
              <w:rPr>
                <w:lang w:val="de-DE"/>
              </w:rPr>
              <w:t>des Referenzsatzes</w:t>
            </w:r>
            <w:r w:rsidRPr="00F94B27">
              <w:rPr>
                <w:b/>
                <w:lang w:val="de-DE"/>
              </w:rPr>
              <w:t>][</w:t>
            </w:r>
            <w:r w:rsidRPr="00AC6AC7">
              <w:rPr>
                <w:lang w:val="de-DE"/>
              </w:rPr>
              <w:t>der Referenzsätze</w:t>
            </w:r>
            <w:r w:rsidRPr="00F94B27">
              <w:rPr>
                <w:b/>
                <w:lang w:val="de-DE"/>
              </w:rPr>
              <w:t>]</w:t>
            </w:r>
            <w:r w:rsidRPr="00AC6AC7">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AC6AC7">
              <w:rPr>
                <w:lang w:val="de-DE"/>
              </w:rPr>
              <w:t xml:space="preserve"> </w:t>
            </w:r>
          </w:p>
        </w:tc>
      </w:tr>
      <w:tr w:rsidTr="00942F00">
        <w:tblPrEx>
          <w:tblW w:w="5000" w:type="pct"/>
          <w:tblLayout w:type="fixed"/>
          <w:tblLook w:val="04A0"/>
        </w:tblPrEx>
        <w:tc>
          <w:tcPr>
            <w:tcW w:w="2534" w:type="pct"/>
            <w:gridSpan w:val="14"/>
            <w:tcBorders>
              <w:right w:val="single" w:sz="4" w:space="0" w:color="auto"/>
            </w:tcBorders>
          </w:tcPr>
          <w:p w:rsidR="00AC6AC7" w:rsidRPr="00AB16EC" w:rsidP="00AC6AC7">
            <w:pPr>
              <w:pStyle w:val="CSbody0bold"/>
              <w:rPr>
                <w:lang w:val="en-GB"/>
              </w:rPr>
            </w:pPr>
            <w:r w:rsidRPr="00AB16EC">
              <w:rPr>
                <w:lang w:val="en-GB"/>
              </w:rPr>
              <w:t>Maturity date and arrangements for the amortisation of the loan, including the repayment procedures</w:t>
            </w:r>
          </w:p>
        </w:tc>
        <w:tc>
          <w:tcPr>
            <w:tcW w:w="2466" w:type="pct"/>
            <w:gridSpan w:val="14"/>
            <w:tcBorders>
              <w:left w:val="single" w:sz="4" w:space="0" w:color="auto"/>
            </w:tcBorders>
          </w:tcPr>
          <w:p w:rsidR="00AC6AC7" w:rsidRPr="00AC6AC7" w:rsidP="002A02E2">
            <w:pPr>
              <w:pStyle w:val="CSbody0bold"/>
            </w:pPr>
            <w:r w:rsidRPr="00AC6AC7">
              <w:t>Fälligkeitstermin und Vereinbarungen für die Darlehenstilgung, einschlie</w:t>
            </w:r>
            <w:r w:rsidR="001E4CCF">
              <w:t>ss</w:t>
            </w:r>
            <w:r w:rsidRPr="00AC6AC7">
              <w:t>lich der Rückzahlungsverfahren</w:t>
            </w:r>
          </w:p>
        </w:tc>
      </w:tr>
      <w:tr w:rsidTr="00942F00">
        <w:tblPrEx>
          <w:tblW w:w="5000" w:type="pct"/>
          <w:tblLayout w:type="fixed"/>
          <w:tblLook w:val="04A0"/>
        </w:tblPrEx>
        <w:tc>
          <w:tcPr>
            <w:tcW w:w="2534" w:type="pct"/>
            <w:gridSpan w:val="14"/>
            <w:tcBorders>
              <w:right w:val="single" w:sz="4" w:space="0" w:color="auto"/>
            </w:tcBorders>
          </w:tcPr>
          <w:p w:rsidR="00AC6AC7" w:rsidRPr="002402DA" w:rsidP="00AC6AC7">
            <w:pPr>
              <w:pStyle w:val="CSBody0"/>
            </w:pPr>
            <w:r w:rsidRPr="002402DA">
              <w:t xml:space="preserve">Final Redemption Date: </w:t>
            </w:r>
            <w:r w:rsidRPr="00F94B27" w:rsidR="00F94B27">
              <w:rPr>
                <w:b/>
              </w:rPr>
              <w:t>[</w:t>
            </w:r>
            <w:r w:rsidR="003857E8">
              <w:rPr>
                <w:rFonts w:ascii="Arial" w:hAnsi="Arial" w:cs="Arial"/>
              </w:rPr>
              <w:t>●</w:t>
            </w:r>
            <w:r w:rsidRPr="00F94B27" w:rsidR="00F94B27">
              <w:rPr>
                <w:b/>
              </w:rPr>
              <w:t>]</w:t>
            </w:r>
          </w:p>
        </w:tc>
        <w:tc>
          <w:tcPr>
            <w:tcW w:w="2466" w:type="pct"/>
            <w:gridSpan w:val="14"/>
            <w:tcBorders>
              <w:left w:val="single" w:sz="4" w:space="0" w:color="auto"/>
            </w:tcBorders>
          </w:tcPr>
          <w:p w:rsidR="00AC6AC7" w:rsidRPr="002402DA" w:rsidP="00AC6AC7">
            <w:pPr>
              <w:pStyle w:val="CSBody0"/>
            </w:pPr>
            <w:r>
              <w:t xml:space="preserve">Finaler Rückzahlungstag: </w:t>
            </w:r>
            <w:r w:rsidRPr="00F94B27" w:rsidR="00F94B27">
              <w:rPr>
                <w:b/>
              </w:rPr>
              <w:t>[</w:t>
            </w:r>
            <w:r w:rsidR="003857E8">
              <w:rPr>
                <w:rFonts w:ascii="Arial" w:hAnsi="Arial" w:cs="Arial"/>
              </w:rPr>
              <w:t>●</w:t>
            </w:r>
            <w:r w:rsidRPr="00F94B27" w:rsidR="00F94B27">
              <w:rPr>
                <w:b/>
              </w:rPr>
              <w:t>]</w:t>
            </w:r>
          </w:p>
        </w:tc>
      </w:tr>
      <w:tr w:rsidTr="00942F00">
        <w:tblPrEx>
          <w:tblW w:w="5000" w:type="pct"/>
          <w:tblLayout w:type="fixed"/>
          <w:tblLook w:val="04A0"/>
        </w:tblPrEx>
        <w:tc>
          <w:tcPr>
            <w:tcW w:w="2534" w:type="pct"/>
            <w:gridSpan w:val="14"/>
            <w:tcBorders>
              <w:right w:val="single" w:sz="4" w:space="0" w:color="auto"/>
            </w:tcBorders>
          </w:tcPr>
          <w:p w:rsidR="003B6C4F" w:rsidRPr="003B6C4F" w:rsidP="00AC6AC7">
            <w:pPr>
              <w:pStyle w:val="CSBody0"/>
              <w:rPr>
                <w:lang w:val="de-DE"/>
              </w:rPr>
            </w:pPr>
            <w:r>
              <w:rPr>
                <w:lang w:val="de-DE"/>
              </w:rPr>
              <w:t xml:space="preserve">Final Redemption Amount: </w:t>
            </w:r>
            <w:r w:rsidRPr="00F94B27" w:rsidR="00F94B27">
              <w:rPr>
                <w:b/>
                <w:lang w:val="de-DE"/>
              </w:rPr>
              <w:t>[</w:t>
            </w:r>
            <w:r w:rsidR="003857E8">
              <w:rPr>
                <w:rFonts w:ascii="Arial" w:hAnsi="Arial" w:cs="Arial"/>
                <w:lang w:val="de-DE"/>
              </w:rPr>
              <w:t>●</w:t>
            </w:r>
            <w:r w:rsidRPr="00F94B27" w:rsidR="00F94B27">
              <w:rPr>
                <w:b/>
                <w:lang w:val="de-DE"/>
              </w:rPr>
              <w:t>]</w:t>
            </w:r>
          </w:p>
        </w:tc>
        <w:tc>
          <w:tcPr>
            <w:tcW w:w="2466" w:type="pct"/>
            <w:gridSpan w:val="14"/>
            <w:tcBorders>
              <w:left w:val="single" w:sz="4" w:space="0" w:color="auto"/>
            </w:tcBorders>
          </w:tcPr>
          <w:p w:rsidR="003B6C4F" w:rsidRPr="003B6C4F" w:rsidP="00AC6AC7">
            <w:pPr>
              <w:pStyle w:val="CSBody0"/>
              <w:rPr>
                <w:lang w:val="de-DE"/>
              </w:rPr>
            </w:pPr>
            <w:r>
              <w:rPr>
                <w:lang w:val="de-DE"/>
              </w:rPr>
              <w:t xml:space="preserve">Finaler Rückzahlungsbetrag: </w:t>
            </w:r>
            <w:r w:rsidRPr="00F94B27" w:rsidR="00F94B27">
              <w:rPr>
                <w:b/>
                <w:lang w:val="de-DE"/>
              </w:rPr>
              <w:t>[</w:t>
            </w:r>
            <w:r w:rsidR="003857E8">
              <w:rPr>
                <w:rFonts w:ascii="Arial" w:hAnsi="Arial" w:cs="Arial"/>
                <w:lang w:val="de-DE"/>
              </w:rPr>
              <w: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AC6AC7" w:rsidRPr="00DA1A5F" w:rsidP="00AC6AC7">
            <w:pPr>
              <w:pStyle w:val="CSBody0"/>
            </w:pPr>
            <w:r w:rsidRPr="00DA1A5F">
              <w:t>Unless previously redeemed, repurchased or cancelled, Credit Suisse will redeem each Complex Product on the Final Redemption Date by payment of a cash amount equal to the Final Redemption Amount to the Holder thereof.</w:t>
            </w:r>
          </w:p>
        </w:tc>
        <w:tc>
          <w:tcPr>
            <w:tcW w:w="2466" w:type="pct"/>
            <w:gridSpan w:val="14"/>
            <w:tcBorders>
              <w:left w:val="single" w:sz="4" w:space="0" w:color="auto"/>
            </w:tcBorders>
          </w:tcPr>
          <w:p w:rsidR="00AC6AC7" w:rsidRPr="00AC6AC7" w:rsidP="00AC6AC7">
            <w:pPr>
              <w:pStyle w:val="CSBody0"/>
              <w:rPr>
                <w:lang w:val="de-DE"/>
              </w:rPr>
            </w:pPr>
            <w:r w:rsidRPr="00AC6AC7">
              <w:rPr>
                <w:lang w:val="de-DE"/>
              </w:rPr>
              <w:t>Komplexe Produkte, die nicht bereits zuvor zurückgezahlt, zurückgekauft oder entwertet wurden, werden von der Credit Suisse am Finalen Rückzahlungstag durch Zahlung eines dem Finalen Rückzahlungsbetrag entsprechenden Geldbetrags an den jeweiligen Inhaber getilgt.</w:t>
            </w:r>
          </w:p>
        </w:tc>
      </w:tr>
      <w:tr w:rsidTr="00942F00">
        <w:tblPrEx>
          <w:tblW w:w="5000" w:type="pct"/>
          <w:tblLayout w:type="fixed"/>
          <w:tblLook w:val="04A0"/>
        </w:tblPrEx>
        <w:tc>
          <w:tcPr>
            <w:tcW w:w="2534" w:type="pct"/>
            <w:gridSpan w:val="14"/>
            <w:tcBorders>
              <w:right w:val="single" w:sz="4" w:space="0" w:color="auto"/>
            </w:tcBorders>
          </w:tcPr>
          <w:p w:rsidR="00AC6AC7" w:rsidRPr="00DA1A5F" w:rsidP="00AC6AC7">
            <w:pPr>
              <w:pStyle w:val="CSbody0bold"/>
            </w:pPr>
            <w:r w:rsidRPr="00DA1A5F">
              <w:t>Yield</w:t>
            </w:r>
          </w:p>
        </w:tc>
        <w:tc>
          <w:tcPr>
            <w:tcW w:w="2466" w:type="pct"/>
            <w:gridSpan w:val="14"/>
            <w:tcBorders>
              <w:left w:val="single" w:sz="4" w:space="0" w:color="auto"/>
            </w:tcBorders>
          </w:tcPr>
          <w:p w:rsidR="00AC6AC7" w:rsidRPr="00DA1A5F" w:rsidP="00AC6AC7">
            <w:pPr>
              <w:pStyle w:val="CSbody0bold"/>
            </w:pPr>
            <w:r w:rsidRPr="00DA1A5F">
              <w:t>Rendite</w:t>
            </w:r>
          </w:p>
        </w:tc>
      </w:tr>
      <w:tr w:rsidTr="00942F00">
        <w:tblPrEx>
          <w:tblW w:w="5000" w:type="pct"/>
          <w:tblLayout w:type="fixed"/>
          <w:tblLook w:val="04A0"/>
        </w:tblPrEx>
        <w:tc>
          <w:tcPr>
            <w:tcW w:w="2534" w:type="pct"/>
            <w:gridSpan w:val="14"/>
            <w:tcBorders>
              <w:right w:val="single" w:sz="4" w:space="0" w:color="auto"/>
            </w:tcBorders>
          </w:tcPr>
          <w:p w:rsidR="00AC6AC7" w:rsidRPr="00DA1A5F" w:rsidP="00AC6AC7">
            <w:pPr>
              <w:pStyle w:val="CSBody0"/>
            </w:pPr>
            <w:r w:rsidRPr="00F94B27">
              <w:rPr>
                <w:b/>
              </w:rPr>
              <w:t>[</w:t>
            </w:r>
            <w:r w:rsidRPr="00DA1A5F">
              <w:t xml:space="preserve">The yield of the Complex Products is equal to </w:t>
            </w:r>
            <w:r w:rsidRPr="00F94B27">
              <w:rPr>
                <w:b/>
              </w:rPr>
              <w:t>[</w:t>
            </w:r>
            <w:r w:rsidR="003857E8">
              <w:rPr>
                <w:rFonts w:ascii="Arial" w:hAnsi="Arial" w:cs="Arial"/>
              </w:rPr>
              <w:t>●</w:t>
            </w:r>
            <w:r w:rsidRPr="00F94B27">
              <w:rPr>
                <w:b/>
              </w:rPr>
              <w:t>]</w:t>
            </w:r>
            <w:r w:rsidRPr="00DA1A5F">
              <w:t>.</w:t>
            </w:r>
            <w:r w:rsidRPr="00F94B27">
              <w:rPr>
                <w:b/>
              </w:rPr>
              <w:t>][</w:t>
            </w:r>
            <w:r w:rsidRPr="00DA1A5F">
              <w:t xml:space="preserve">As the Complex Products bear interest at an interest rate which as of the issue date is not yet finally determined </w:t>
            </w:r>
            <w:r w:rsidRPr="00F94B27">
              <w:rPr>
                <w:b/>
              </w:rPr>
              <w:t>[</w:t>
            </w:r>
            <w:r w:rsidRPr="00DA1A5F">
              <w:t>in respect of one or several interest periods</w:t>
            </w:r>
            <w:r w:rsidRPr="00F94B27">
              <w:rPr>
                <w:b/>
              </w:rPr>
              <w:t>]</w:t>
            </w:r>
            <w:r w:rsidRPr="00DA1A5F">
              <w:t>, the yield of the Complex Products can only be calculated following the last interest payment upon redemption of the Complex Products.</w:t>
            </w:r>
            <w:r w:rsidRPr="00F94B27">
              <w:rPr>
                <w:b/>
              </w:rPr>
              <w:t>]</w:t>
            </w:r>
          </w:p>
        </w:tc>
        <w:tc>
          <w:tcPr>
            <w:tcW w:w="2466" w:type="pct"/>
            <w:gridSpan w:val="14"/>
            <w:tcBorders>
              <w:left w:val="single" w:sz="4" w:space="0" w:color="auto"/>
            </w:tcBorders>
          </w:tcPr>
          <w:p w:rsidR="00AC6AC7" w:rsidRPr="00AC6AC7" w:rsidP="00AC6AC7">
            <w:pPr>
              <w:pStyle w:val="CSBody0"/>
              <w:rPr>
                <w:lang w:val="de-DE"/>
              </w:rPr>
            </w:pPr>
            <w:r w:rsidRPr="00F94B27">
              <w:rPr>
                <w:b/>
                <w:lang w:val="de-DE"/>
              </w:rPr>
              <w:t>[</w:t>
            </w:r>
            <w:r w:rsidRPr="00AC6AC7">
              <w:rPr>
                <w:lang w:val="de-DE"/>
              </w:rPr>
              <w:t xml:space="preserve">Die Rendite der Komplexen Produkte beträgt </w:t>
            </w:r>
            <w:r w:rsidRPr="00F94B27">
              <w:rPr>
                <w:b/>
                <w:lang w:val="de-DE"/>
              </w:rPr>
              <w:t>[</w:t>
            </w:r>
            <w:r w:rsidRPr="003857E8" w:rsidR="003857E8">
              <w:rPr>
                <w:rFonts w:ascii="Arial" w:hAnsi="Arial" w:cs="Arial"/>
                <w:lang w:val="de-DE"/>
              </w:rPr>
              <w:t>●</w:t>
            </w:r>
            <w:r w:rsidRPr="00F94B27">
              <w:rPr>
                <w:b/>
                <w:lang w:val="de-DE"/>
              </w:rPr>
              <w:t>]</w:t>
            </w:r>
            <w:r w:rsidRPr="00AC6AC7">
              <w:rPr>
                <w:lang w:val="de-DE"/>
              </w:rPr>
              <w:t>.</w:t>
            </w:r>
            <w:r w:rsidRPr="00F94B27">
              <w:rPr>
                <w:b/>
                <w:lang w:val="de-DE"/>
              </w:rPr>
              <w:t>][</w:t>
            </w:r>
            <w:r w:rsidRPr="00AC6AC7">
              <w:rPr>
                <w:lang w:val="de-DE"/>
              </w:rPr>
              <w:t xml:space="preserve">Da die Komplexen Produkte eine Verzinsung zu einem Zinssatz vorsehen, der zum Emissionstag </w:t>
            </w:r>
            <w:r w:rsidRPr="00F94B27">
              <w:rPr>
                <w:b/>
                <w:lang w:val="de-DE"/>
              </w:rPr>
              <w:t>[</w:t>
            </w:r>
            <w:r w:rsidRPr="00AC6AC7">
              <w:rPr>
                <w:lang w:val="de-DE"/>
              </w:rPr>
              <w:t>für eine oder mehrere Zinsperioden</w:t>
            </w:r>
            <w:r w:rsidRPr="00F94B27">
              <w:rPr>
                <w:b/>
                <w:lang w:val="de-DE"/>
              </w:rPr>
              <w:t>]</w:t>
            </w:r>
            <w:r w:rsidRPr="00AC6AC7">
              <w:rPr>
                <w:lang w:val="de-DE"/>
              </w:rPr>
              <w:t>noch nicht feststeht, kann die Rendite der Komplexen Produkte erst nach der letzten Zinszahlung bei Rückzahlung der Komplexen Produkte berechnet werden.</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AC6AC7" w:rsidRPr="00AB16EC" w:rsidP="00AC6AC7">
            <w:pPr>
              <w:pStyle w:val="CSbody0bold"/>
              <w:rPr>
                <w:lang w:val="en-GB"/>
              </w:rPr>
            </w:pPr>
            <w:r w:rsidRPr="00AB16EC">
              <w:rPr>
                <w:lang w:val="en-GB"/>
              </w:rPr>
              <w:t>Name of representative of debt security holders</w:t>
            </w:r>
          </w:p>
        </w:tc>
        <w:tc>
          <w:tcPr>
            <w:tcW w:w="2466" w:type="pct"/>
            <w:gridSpan w:val="14"/>
            <w:tcBorders>
              <w:left w:val="single" w:sz="4" w:space="0" w:color="auto"/>
            </w:tcBorders>
          </w:tcPr>
          <w:p w:rsidR="00AC6AC7" w:rsidRPr="00AC6AC7" w:rsidP="00AC6AC7">
            <w:pPr>
              <w:pStyle w:val="CSbody0bold"/>
            </w:pPr>
            <w:r w:rsidRPr="00AC6AC7">
              <w:t>Name des Vertreters der Schuldtitelinhaber</w:t>
            </w:r>
          </w:p>
        </w:tc>
      </w:tr>
      <w:tr w:rsidTr="00942F00">
        <w:tblPrEx>
          <w:tblW w:w="5000" w:type="pct"/>
          <w:tblLayout w:type="fixed"/>
          <w:tblLook w:val="04A0"/>
        </w:tblPrEx>
        <w:tc>
          <w:tcPr>
            <w:tcW w:w="2534" w:type="pct"/>
            <w:gridSpan w:val="14"/>
            <w:tcBorders>
              <w:right w:val="single" w:sz="4" w:space="0" w:color="auto"/>
            </w:tcBorders>
          </w:tcPr>
          <w:p w:rsidR="00AC6AC7" w:rsidRPr="001E33DA" w:rsidP="00AC6AC7">
            <w:pPr>
              <w:pStyle w:val="CSBody0"/>
            </w:pPr>
            <w:r w:rsidRPr="001E33DA">
              <w:t>Not applicable. There is currently no representative of the debt security holders.</w:t>
            </w:r>
            <w:r w:rsidRPr="00F94B27" w:rsidR="00F94B27">
              <w:rPr>
                <w:b/>
              </w:rPr>
              <w:t>]</w:t>
            </w:r>
          </w:p>
        </w:tc>
        <w:tc>
          <w:tcPr>
            <w:tcW w:w="2466" w:type="pct"/>
            <w:gridSpan w:val="14"/>
            <w:tcBorders>
              <w:left w:val="single" w:sz="4" w:space="0" w:color="auto"/>
            </w:tcBorders>
          </w:tcPr>
          <w:p w:rsidR="00AC6AC7" w:rsidRPr="00AC6AC7" w:rsidP="00AC6AC7">
            <w:pPr>
              <w:pStyle w:val="CSBody0"/>
              <w:rPr>
                <w:lang w:val="de-DE"/>
              </w:rPr>
            </w:pPr>
            <w:r w:rsidRPr="00AC6AC7">
              <w:rPr>
                <w:lang w:val="de-DE"/>
              </w:rPr>
              <w:t>Entfällt. Derzeit gibt es keinen Vertreter der Schuldtitelinhaber.</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AC6AC7" w:rsidRPr="00AC3522" w:rsidP="00AC6AC7">
            <w:pPr>
              <w:pStyle w:val="CSbody0bold"/>
              <w:rPr>
                <w:lang w:val="en-GB"/>
              </w:rPr>
            </w:pPr>
            <w:r w:rsidRPr="00F94B27">
              <w:rPr>
                <w:lang w:val="en-GB"/>
              </w:rPr>
              <w:t>[</w:t>
            </w:r>
            <w:r w:rsidRPr="00AC3522">
              <w:rPr>
                <w:lang w:val="en-GB"/>
              </w:rPr>
              <w:t>C. 10: In case of a derivative component in the interest payment, explanation as to how the value of the investment is affected by the value o</w:t>
            </w:r>
            <w:r w:rsidRPr="00AC3522" w:rsidR="00AC3522">
              <w:rPr>
                <w:lang w:val="en-GB"/>
              </w:rPr>
              <w:t>f the underlying instrument(s)</w:t>
            </w:r>
            <w:r>
              <w:rPr>
                <w:rStyle w:val="FootnoteReference"/>
                <w:lang w:val="en-GB"/>
              </w:rPr>
              <w:footnoteReference w:id="4"/>
            </w:r>
          </w:p>
        </w:tc>
        <w:tc>
          <w:tcPr>
            <w:tcW w:w="2466" w:type="pct"/>
            <w:gridSpan w:val="14"/>
            <w:tcBorders>
              <w:left w:val="single" w:sz="4" w:space="0" w:color="auto"/>
            </w:tcBorders>
          </w:tcPr>
          <w:p w:rsidR="00AC6AC7" w:rsidRPr="00AC6AC7" w:rsidP="00AC6AC7">
            <w:pPr>
              <w:pStyle w:val="CSbody0bold"/>
            </w:pPr>
            <w:r w:rsidRPr="00F94B27">
              <w:t>[</w:t>
            </w:r>
            <w:r w:rsidRPr="00AC6AC7">
              <w:t xml:space="preserve">C. 10: Beschreibung, wie bei einer derivative Zinskomponente der Wert der Anlage durch den Wert des Basiswerts/ </w:t>
            </w:r>
            <w:r w:rsidR="00AC3522">
              <w:t>der Basiswerte beeinflusst wird</w:t>
            </w:r>
            <w:r>
              <w:rPr>
                <w:rStyle w:val="FootnoteReference"/>
              </w:rPr>
              <w:footnoteReference w:id="5"/>
            </w:r>
          </w:p>
        </w:tc>
      </w:tr>
      <w:tr w:rsidTr="00942F00">
        <w:tblPrEx>
          <w:tblW w:w="5000" w:type="pct"/>
          <w:tblLayout w:type="fixed"/>
          <w:tblLook w:val="04A0"/>
        </w:tblPrEx>
        <w:tc>
          <w:tcPr>
            <w:tcW w:w="2534" w:type="pct"/>
            <w:gridSpan w:val="14"/>
            <w:tcBorders>
              <w:right w:val="single" w:sz="4" w:space="0" w:color="auto"/>
            </w:tcBorders>
          </w:tcPr>
          <w:p w:rsidR="00AC6AC7" w:rsidRPr="001E33DA" w:rsidP="00AC6AC7">
            <w:pPr>
              <w:pStyle w:val="CSBody0"/>
            </w:pPr>
            <w:r w:rsidRPr="00F94B27">
              <w:rPr>
                <w:b/>
              </w:rPr>
              <w:t>[</w:t>
            </w:r>
            <w:r w:rsidRPr="001E33DA">
              <w:t>Not applicable. The Complex Products provide for a fixed interest rate.</w:t>
            </w:r>
            <w:r w:rsidRPr="00F94B27">
              <w:rPr>
                <w:b/>
              </w:rPr>
              <w:t>]</w:t>
            </w:r>
          </w:p>
        </w:tc>
        <w:tc>
          <w:tcPr>
            <w:tcW w:w="2466" w:type="pct"/>
            <w:gridSpan w:val="14"/>
            <w:tcBorders>
              <w:left w:val="single" w:sz="4" w:space="0" w:color="auto"/>
            </w:tcBorders>
          </w:tcPr>
          <w:p w:rsidR="00AC6AC7" w:rsidRPr="00AC6AC7" w:rsidP="00AC6AC7">
            <w:pPr>
              <w:pStyle w:val="CSBody0"/>
              <w:rPr>
                <w:lang w:val="de-DE"/>
              </w:rPr>
            </w:pPr>
            <w:r w:rsidRPr="00F94B27">
              <w:rPr>
                <w:b/>
                <w:lang w:val="de-DE"/>
              </w:rPr>
              <w:t>[</w:t>
            </w:r>
            <w:r w:rsidRPr="00AC6AC7">
              <w:rPr>
                <w:lang w:val="de-DE"/>
              </w:rPr>
              <w:t>Entfällt. Die Komplexen Produkte sehen eine feste Verzinsung vor.</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AC6AC7" w:rsidRPr="00AB16EC" w:rsidP="00AC6AC7">
            <w:pPr>
              <w:pStyle w:val="CSbody0bolditalic"/>
              <w:rPr>
                <w:lang w:val="en-GB"/>
              </w:rPr>
            </w:pPr>
            <w:r w:rsidRPr="00F94B27">
              <w:rPr>
                <w:lang w:val="en-GB"/>
              </w:rPr>
              <w:t>[</w:t>
            </w:r>
            <w:r w:rsidRPr="00AB16EC">
              <w:rPr>
                <w:lang w:val="en-GB"/>
              </w:rPr>
              <w:t>in case of Floating Rate Notes:</w:t>
            </w:r>
          </w:p>
        </w:tc>
        <w:tc>
          <w:tcPr>
            <w:tcW w:w="2466" w:type="pct"/>
            <w:gridSpan w:val="14"/>
            <w:tcBorders>
              <w:left w:val="single" w:sz="4" w:space="0" w:color="auto"/>
            </w:tcBorders>
          </w:tcPr>
          <w:p w:rsidR="00AC6AC7" w:rsidP="00AC6AC7">
            <w:pPr>
              <w:pStyle w:val="CSbody0bolditalic"/>
            </w:pPr>
            <w:r w:rsidRPr="00F94B27">
              <w:t>[</w:t>
            </w:r>
            <w:r w:rsidRPr="001E33DA">
              <w:t>bei Floating Rate Notes:</w:t>
            </w:r>
          </w:p>
        </w:tc>
      </w:tr>
      <w:tr w:rsidTr="00942F00">
        <w:tblPrEx>
          <w:tblW w:w="5000" w:type="pct"/>
          <w:tblLayout w:type="fixed"/>
          <w:tblLook w:val="04A0"/>
        </w:tblPrEx>
        <w:tc>
          <w:tcPr>
            <w:tcW w:w="2534" w:type="pct"/>
            <w:gridSpan w:val="14"/>
            <w:tcBorders>
              <w:right w:val="single" w:sz="4" w:space="0" w:color="auto"/>
            </w:tcBorders>
          </w:tcPr>
          <w:p w:rsidR="00AC6AC7" w:rsidRPr="009A2CB8" w:rsidP="00AC6AC7">
            <w:pPr>
              <w:pStyle w:val="CSBody0"/>
            </w:pPr>
            <w:r w:rsidRPr="009A2CB8">
              <w:t>In case of Floating Rate Notes, the Interest Rate on the basis of which the Interest Payment Amount</w:t>
            </w:r>
            <w:r w:rsidRPr="00F94B27" w:rsidR="00F94B27">
              <w:rPr>
                <w:b/>
              </w:rPr>
              <w:t>[</w:t>
            </w:r>
            <w:r w:rsidRPr="009A2CB8">
              <w:t>s</w:t>
            </w:r>
            <w:r w:rsidRPr="00F94B27" w:rsidR="00F94B27">
              <w:rPr>
                <w:b/>
              </w:rPr>
              <w:t>]</w:t>
            </w:r>
            <w:r w:rsidRPr="009A2CB8">
              <w:t xml:space="preserve"> </w:t>
            </w:r>
            <w:r w:rsidRPr="00F94B27" w:rsidR="00F94B27">
              <w:rPr>
                <w:b/>
              </w:rPr>
              <w:t>[</w:t>
            </w:r>
            <w:r w:rsidRPr="009A2CB8">
              <w:t>is</w:t>
            </w:r>
            <w:r w:rsidRPr="00F94B27" w:rsidR="00F94B27">
              <w:rPr>
                <w:b/>
              </w:rPr>
              <w:t>][</w:t>
            </w:r>
            <w:r w:rsidRPr="009A2CB8">
              <w:t>are</w:t>
            </w:r>
            <w:r w:rsidRPr="00F94B27" w:rsidR="00F94B27">
              <w:rPr>
                <w:b/>
              </w:rPr>
              <w:t>]</w:t>
            </w:r>
            <w:r w:rsidRPr="009A2CB8">
              <w:t xml:space="preserve"> calculated will be equal to the </w:t>
            </w:r>
            <w:r w:rsidRPr="00F94B27" w:rsidR="00F94B27">
              <w:rPr>
                <w:b/>
              </w:rPr>
              <w:t>[</w:t>
            </w:r>
            <w:r w:rsidRPr="009A2CB8">
              <w:t>Reference Rate (</w:t>
            </w:r>
            <w:r w:rsidRPr="007E3558" w:rsidR="007E3558">
              <w:rPr>
                <w:i/>
              </w:rPr>
              <w:t>i.e.</w:t>
            </w:r>
            <w:r w:rsidRPr="009A2CB8">
              <w:t xml:space="preserve">, a variable rate of interest) on the </w:t>
            </w:r>
            <w:r w:rsidRPr="00F94B27" w:rsidR="00F94B27">
              <w:rPr>
                <w:b/>
              </w:rPr>
              <w:t>[</w:t>
            </w:r>
            <w:r w:rsidRPr="009A2CB8">
              <w:t>relevant</w:t>
            </w:r>
            <w:r w:rsidRPr="00F94B27" w:rsidR="00F94B27">
              <w:rPr>
                <w:b/>
              </w:rPr>
              <w:t>]</w:t>
            </w:r>
            <w:r w:rsidRPr="009A2CB8">
              <w:t xml:space="preserve"> Interest Determination Date</w:t>
            </w:r>
            <w:r w:rsidRPr="00F94B27" w:rsidR="00F94B27">
              <w:rPr>
                <w:b/>
              </w:rPr>
              <w:t>]</w:t>
            </w:r>
            <w:r w:rsidRPr="009A2CB8">
              <w:t xml:space="preserve"> </w:t>
            </w:r>
            <w:r w:rsidRPr="00F94B27" w:rsidR="00F94B27">
              <w:rPr>
                <w:b/>
              </w:rPr>
              <w:t>[</w:t>
            </w:r>
            <w:r w:rsidRPr="009A2CB8">
              <w:t>sum of the Reference Rate (</w:t>
            </w:r>
            <w:r w:rsidRPr="007E3558" w:rsidR="007E3558">
              <w:rPr>
                <w:i/>
              </w:rPr>
              <w:t>i.e.</w:t>
            </w:r>
            <w:r w:rsidRPr="009A2CB8">
              <w:t xml:space="preserve">, a variable rate of interest) on the </w:t>
            </w:r>
            <w:r w:rsidRPr="00F94B27" w:rsidR="00F94B27">
              <w:rPr>
                <w:b/>
              </w:rPr>
              <w:t>[</w:t>
            </w:r>
            <w:r w:rsidRPr="009A2CB8">
              <w:t>relevant</w:t>
            </w:r>
            <w:r w:rsidRPr="00F94B27" w:rsidR="00F94B27">
              <w:rPr>
                <w:b/>
              </w:rPr>
              <w:t>]</w:t>
            </w:r>
            <w:r w:rsidRPr="009A2CB8">
              <w:t xml:space="preserve"> Interest Determination Date and </w:t>
            </w:r>
            <w:r w:rsidRPr="00F94B27" w:rsidR="00F94B27">
              <w:rPr>
                <w:b/>
              </w:rPr>
              <w:t>[</w:t>
            </w:r>
            <w:r w:rsidR="003857E8">
              <w:rPr>
                <w:rFonts w:ascii="Arial" w:hAnsi="Arial" w:cs="Arial"/>
              </w:rPr>
              <w:t>●</w:t>
            </w:r>
            <w:r w:rsidRPr="00F94B27" w:rsidR="00F94B27">
              <w:rPr>
                <w:b/>
              </w:rPr>
              <w:t>]</w:t>
            </w:r>
            <w:r w:rsidRPr="009A2CB8">
              <w:t>% per annum</w:t>
            </w:r>
            <w:r w:rsidRPr="00F94B27" w:rsidR="00F94B27">
              <w:rPr>
                <w:b/>
              </w:rPr>
              <w:t>]</w:t>
            </w:r>
            <w:r w:rsidRPr="009A2CB8">
              <w:t xml:space="preserve">. In general, an increase in the Reference Rate will result in </w:t>
            </w:r>
            <w:r w:rsidRPr="00F94B27" w:rsidR="00F94B27">
              <w:rPr>
                <w:b/>
              </w:rPr>
              <w:t>[</w:t>
            </w:r>
            <w:r w:rsidRPr="009A2CB8">
              <w:t>a</w:t>
            </w:r>
            <w:r w:rsidRPr="00F94B27" w:rsidR="00F94B27">
              <w:rPr>
                <w:b/>
              </w:rPr>
              <w:t>]</w:t>
            </w:r>
            <w:r w:rsidRPr="009A2CB8">
              <w:t xml:space="preserve"> higher Interest Payment Amount</w:t>
            </w:r>
            <w:r w:rsidRPr="00F94B27" w:rsidR="00F94B27">
              <w:rPr>
                <w:b/>
              </w:rPr>
              <w:t>[</w:t>
            </w:r>
            <w:r w:rsidRPr="009A2CB8">
              <w:t>s</w:t>
            </w:r>
            <w:r w:rsidRPr="00F94B27" w:rsidR="00F94B27">
              <w:rPr>
                <w:b/>
              </w:rPr>
              <w:t>]</w:t>
            </w:r>
            <w:r w:rsidRPr="009A2CB8">
              <w:t xml:space="preserve"> payable in respect of Floating Rate Notes, while a decrease in the Reference Rate will generally result in </w:t>
            </w:r>
            <w:r w:rsidRPr="00F94B27" w:rsidR="00F94B27">
              <w:rPr>
                <w:b/>
              </w:rPr>
              <w:t>[</w:t>
            </w:r>
            <w:r w:rsidRPr="009A2CB8">
              <w:t>a</w:t>
            </w:r>
            <w:r w:rsidRPr="00F94B27" w:rsidR="00F94B27">
              <w:rPr>
                <w:b/>
              </w:rPr>
              <w:t>]</w:t>
            </w:r>
            <w:r w:rsidRPr="009A2CB8">
              <w:t xml:space="preserve"> lower Interest Payment Amount</w:t>
            </w:r>
            <w:r w:rsidRPr="00F94B27" w:rsidR="00F94B27">
              <w:rPr>
                <w:b/>
              </w:rPr>
              <w:t>[</w:t>
            </w:r>
            <w:r w:rsidRPr="009A2CB8">
              <w:t>s</w:t>
            </w:r>
            <w:r w:rsidRPr="00F94B27" w:rsidR="00F94B27">
              <w:rPr>
                <w:b/>
              </w:rPr>
              <w:t>]</w:t>
            </w:r>
            <w:r w:rsidRPr="009A2CB8">
              <w:t xml:space="preserve"> payable in respect of Floating Rate Notes. </w:t>
            </w:r>
            <w:r w:rsidRPr="00F94B27" w:rsidR="00F94B27">
              <w:rPr>
                <w:b/>
              </w:rPr>
              <w:t>[</w:t>
            </w:r>
            <w:r w:rsidRPr="00AC6AC7">
              <w:rPr>
                <w:b/>
                <w:i/>
              </w:rPr>
              <w:t>in case of Complex Products with Minimum Interest Rate and/or Maximum Interest Rate:</w:t>
            </w:r>
            <w:r w:rsidRPr="009A2CB8">
              <w:t xml:space="preserve"> In any case, the Interest Rate will </w:t>
            </w:r>
            <w:r w:rsidRPr="00F94B27" w:rsidR="00F94B27">
              <w:rPr>
                <w:b/>
              </w:rPr>
              <w:t>[</w:t>
            </w:r>
            <w:r w:rsidRPr="009A2CB8">
              <w:t xml:space="preserve">at least be equal to the </w:t>
            </w:r>
            <w:r w:rsidRPr="00F94B27" w:rsidR="00F94B27">
              <w:rPr>
                <w:b/>
              </w:rPr>
              <w:t>[</w:t>
            </w:r>
            <w:r w:rsidRPr="009A2CB8">
              <w:t>relevant</w:t>
            </w:r>
            <w:r w:rsidRPr="00F94B27" w:rsidR="00F94B27">
              <w:rPr>
                <w:b/>
              </w:rPr>
              <w:t>]</w:t>
            </w:r>
            <w:r w:rsidRPr="009A2CB8">
              <w:t xml:space="preserve"> Minimum Interest Rate</w:t>
            </w:r>
            <w:r w:rsidRPr="00F94B27" w:rsidR="00F94B27">
              <w:rPr>
                <w:b/>
              </w:rPr>
              <w:t>]</w:t>
            </w:r>
            <w:r w:rsidRPr="009A2CB8">
              <w:t xml:space="preserve"> </w:t>
            </w:r>
            <w:r w:rsidRPr="00F94B27" w:rsidR="00F94B27">
              <w:rPr>
                <w:b/>
              </w:rPr>
              <w:t>[</w:t>
            </w:r>
            <w:r w:rsidRPr="009A2CB8">
              <w:t xml:space="preserve">not exceed the </w:t>
            </w:r>
            <w:r w:rsidRPr="00F94B27" w:rsidR="00F94B27">
              <w:rPr>
                <w:b/>
              </w:rPr>
              <w:t>[</w:t>
            </w:r>
            <w:r w:rsidRPr="009A2CB8">
              <w:t>relevant</w:t>
            </w:r>
            <w:r w:rsidRPr="00F94B27" w:rsidR="00F94B27">
              <w:rPr>
                <w:b/>
              </w:rPr>
              <w:t>]</w:t>
            </w:r>
            <w:r w:rsidRPr="009A2CB8">
              <w:t xml:space="preserve"> Maximum Interest Rate</w:t>
            </w:r>
            <w:r w:rsidRPr="00F94B27" w:rsidR="00F94B27">
              <w:rPr>
                <w:b/>
              </w:rPr>
              <w:t>]</w:t>
            </w:r>
            <w:r w:rsidRPr="009A2CB8">
              <w:t xml:space="preserve"> </w:t>
            </w:r>
            <w:r w:rsidRPr="00F94B27" w:rsidR="00F94B27">
              <w:rPr>
                <w:b/>
              </w:rPr>
              <w:t>[</w:t>
            </w:r>
            <w:r w:rsidRPr="009A2CB8">
              <w:t xml:space="preserve">at least be equal to the </w:t>
            </w:r>
            <w:r w:rsidRPr="00F94B27" w:rsidR="00F94B27">
              <w:rPr>
                <w:b/>
              </w:rPr>
              <w:t>[</w:t>
            </w:r>
            <w:r w:rsidRPr="009A2CB8">
              <w:t>relevant</w:t>
            </w:r>
            <w:r w:rsidRPr="00F94B27" w:rsidR="00F94B27">
              <w:rPr>
                <w:b/>
              </w:rPr>
              <w:t>]</w:t>
            </w:r>
            <w:r w:rsidRPr="009A2CB8">
              <w:t xml:space="preserve"> Minimum Interest Rate, but not exceed the </w:t>
            </w:r>
            <w:r w:rsidRPr="00F94B27" w:rsidR="00F94B27">
              <w:rPr>
                <w:b/>
              </w:rPr>
              <w:t>[</w:t>
            </w:r>
            <w:r w:rsidRPr="009A2CB8">
              <w:t>relevant</w:t>
            </w:r>
            <w:r w:rsidRPr="00F94B27" w:rsidR="00F94B27">
              <w:rPr>
                <w:b/>
              </w:rPr>
              <w:t>]</w:t>
            </w:r>
            <w:r w:rsidRPr="009A2CB8">
              <w:t xml:space="preserve"> Maximum Interest Rate</w:t>
            </w:r>
            <w:r w:rsidRPr="00F94B27" w:rsidR="00F94B27">
              <w:rPr>
                <w:b/>
              </w:rPr>
              <w:t>]</w:t>
            </w:r>
            <w:r w:rsidRPr="009A2CB8">
              <w:t>.</w:t>
            </w:r>
            <w:r w:rsidRPr="00F94B27" w:rsidR="00F94B27">
              <w:rPr>
                <w:b/>
              </w:rPr>
              <w:t>[</w:t>
            </w:r>
            <w:r w:rsidRPr="00AC6AC7">
              <w:rPr>
                <w:b/>
                <w:i/>
              </w:rPr>
              <w:t>in case of Complex Products with a Minimum Interest Rate and a Maximum Interest Rate that provide for the application of the Participation:</w:t>
            </w:r>
            <w:r w:rsidRPr="009A2CB8">
              <w:t xml:space="preserve"> Further, for the calculation of the applicable Interest Rate, the Participation, which is a multiplier, will be applied.</w:t>
            </w:r>
            <w:r w:rsidRPr="00F94B27" w:rsidR="00F94B27">
              <w:rPr>
                <w:b/>
              </w:rPr>
              <w:t>]]</w:t>
            </w:r>
          </w:p>
        </w:tc>
        <w:tc>
          <w:tcPr>
            <w:tcW w:w="2466" w:type="pct"/>
            <w:gridSpan w:val="14"/>
            <w:tcBorders>
              <w:left w:val="single" w:sz="4" w:space="0" w:color="auto"/>
            </w:tcBorders>
          </w:tcPr>
          <w:p w:rsidR="00AC6AC7" w:rsidRPr="00AC6AC7" w:rsidP="00AC6AC7">
            <w:pPr>
              <w:pStyle w:val="CSBody0"/>
              <w:rPr>
                <w:lang w:val="de-DE"/>
              </w:rPr>
            </w:pPr>
            <w:r w:rsidRPr="00AC6AC7">
              <w:rPr>
                <w:lang w:val="de-DE"/>
              </w:rPr>
              <w:t xml:space="preserve">Bei Floating Rate Notes entspricht der Zinssatz, auf dessen Grundlage </w:t>
            </w:r>
            <w:r w:rsidRPr="00F94B27" w:rsidR="00F94B27">
              <w:rPr>
                <w:b/>
                <w:lang w:val="de-DE"/>
              </w:rPr>
              <w:t>[</w:t>
            </w:r>
            <w:r w:rsidRPr="00AC6AC7">
              <w:rPr>
                <w:lang w:val="de-DE"/>
              </w:rPr>
              <w:t>der Zinszahlungsbetrag</w:t>
            </w:r>
            <w:r w:rsidRPr="00F94B27" w:rsidR="00F94B27">
              <w:rPr>
                <w:b/>
                <w:lang w:val="de-DE"/>
              </w:rPr>
              <w:t>]</w:t>
            </w:r>
            <w:r w:rsidRPr="00AC6AC7">
              <w:rPr>
                <w:lang w:val="de-DE"/>
              </w:rPr>
              <w:t xml:space="preserve"> </w:t>
            </w:r>
            <w:r w:rsidRPr="00F94B27" w:rsidR="00F94B27">
              <w:rPr>
                <w:b/>
                <w:lang w:val="de-DE"/>
              </w:rPr>
              <w:t>[</w:t>
            </w:r>
            <w:r w:rsidRPr="00AC6AC7">
              <w:rPr>
                <w:lang w:val="de-DE"/>
              </w:rPr>
              <w:t>die Zinszahlungsbeträge</w:t>
            </w:r>
            <w:r w:rsidRPr="00F94B27" w:rsidR="00F94B27">
              <w:rPr>
                <w:b/>
                <w:lang w:val="de-DE"/>
              </w:rPr>
              <w:t>]</w:t>
            </w:r>
            <w:r w:rsidRPr="00AC6AC7">
              <w:rPr>
                <w:lang w:val="de-DE"/>
              </w:rPr>
              <w:t xml:space="preserve"> berechnet </w:t>
            </w:r>
            <w:r w:rsidRPr="00F94B27" w:rsidR="00F94B27">
              <w:rPr>
                <w:b/>
                <w:lang w:val="de-DE"/>
              </w:rPr>
              <w:t>[</w:t>
            </w:r>
            <w:r w:rsidRPr="00AC6AC7">
              <w:rPr>
                <w:lang w:val="de-DE"/>
              </w:rPr>
              <w:t>wird</w:t>
            </w:r>
            <w:r w:rsidRPr="00F94B27" w:rsidR="00F94B27">
              <w:rPr>
                <w:b/>
                <w:lang w:val="de-DE"/>
              </w:rPr>
              <w:t>]</w:t>
            </w:r>
            <w:r w:rsidRPr="00AC6AC7">
              <w:rPr>
                <w:lang w:val="de-DE"/>
              </w:rPr>
              <w:t xml:space="preserve"> </w:t>
            </w:r>
            <w:r w:rsidRPr="00F94B27" w:rsidR="00F94B27">
              <w:rPr>
                <w:b/>
                <w:lang w:val="de-DE"/>
              </w:rPr>
              <w:t>[</w:t>
            </w:r>
            <w:r w:rsidRPr="00AC6AC7">
              <w:rPr>
                <w:lang w:val="de-DE"/>
              </w:rPr>
              <w:t>werden</w:t>
            </w:r>
            <w:r w:rsidRPr="00F94B27" w:rsidR="00F94B27">
              <w:rPr>
                <w:b/>
                <w:lang w:val="de-DE"/>
              </w:rPr>
              <w:t>]</w:t>
            </w:r>
            <w:r w:rsidRPr="00AC6AC7">
              <w:rPr>
                <w:lang w:val="de-DE"/>
              </w:rPr>
              <w:t xml:space="preserve">, </w:t>
            </w:r>
            <w:r w:rsidRPr="00F94B27" w:rsidR="00F94B27">
              <w:rPr>
                <w:b/>
                <w:lang w:val="de-DE"/>
              </w:rPr>
              <w:t>[</w:t>
            </w:r>
            <w:r w:rsidRPr="00AC6AC7">
              <w:rPr>
                <w:lang w:val="de-DE"/>
              </w:rPr>
              <w:t xml:space="preserve">dem Referenzsatz (d.h. einem variablen Zinssatz) am </w:t>
            </w:r>
            <w:r w:rsidRPr="00F94B27" w:rsidR="00F94B27">
              <w:rPr>
                <w:b/>
                <w:lang w:val="de-DE"/>
              </w:rPr>
              <w:t>[</w:t>
            </w:r>
            <w:r w:rsidRPr="00AC6AC7">
              <w:rPr>
                <w:lang w:val="de-DE"/>
              </w:rPr>
              <w:t>jeweiligen</w:t>
            </w:r>
            <w:r w:rsidRPr="00F94B27" w:rsidR="00F94B27">
              <w:rPr>
                <w:b/>
                <w:lang w:val="de-DE"/>
              </w:rPr>
              <w:t>]</w:t>
            </w:r>
            <w:r w:rsidRPr="00AC6AC7">
              <w:rPr>
                <w:lang w:val="de-DE"/>
              </w:rPr>
              <w:t xml:space="preserve"> Zinsfeststellungstag</w:t>
            </w:r>
            <w:r w:rsidRPr="00F94B27" w:rsidR="00F94B27">
              <w:rPr>
                <w:b/>
                <w:lang w:val="de-DE"/>
              </w:rPr>
              <w:t>]</w:t>
            </w:r>
            <w:r w:rsidRPr="00AC6AC7">
              <w:rPr>
                <w:lang w:val="de-DE"/>
              </w:rPr>
              <w:t xml:space="preserve"> </w:t>
            </w:r>
            <w:r w:rsidRPr="00F94B27" w:rsidR="00F94B27">
              <w:rPr>
                <w:b/>
                <w:lang w:val="de-DE"/>
              </w:rPr>
              <w:t>[</w:t>
            </w:r>
            <w:r w:rsidRPr="00AC6AC7">
              <w:rPr>
                <w:lang w:val="de-DE"/>
              </w:rPr>
              <w:t xml:space="preserve">der Summe aus dem Referenzsatz (d.h. einem variablen Zinssatz) am jeweiligen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AC6AC7">
              <w:rPr>
                <w:lang w:val="de-DE"/>
              </w:rPr>
              <w:t>% per annum</w:t>
            </w:r>
            <w:r w:rsidRPr="00F94B27" w:rsidR="00F94B27">
              <w:rPr>
                <w:b/>
                <w:lang w:val="de-DE"/>
              </w:rPr>
              <w:t>]</w:t>
            </w:r>
            <w:r w:rsidRPr="00AC6AC7">
              <w:rPr>
                <w:lang w:val="de-DE"/>
              </w:rPr>
              <w:t xml:space="preserve">. Ein Ansteigen des Referenzsatzes führt regelmässig zu </w:t>
            </w:r>
            <w:r w:rsidRPr="00F94B27" w:rsidR="00F94B27">
              <w:rPr>
                <w:b/>
                <w:lang w:val="de-DE"/>
              </w:rPr>
              <w:t>[</w:t>
            </w:r>
            <w:r w:rsidRPr="00AC6AC7">
              <w:rPr>
                <w:lang w:val="de-DE"/>
              </w:rPr>
              <w:t>einem</w:t>
            </w:r>
            <w:r w:rsidRPr="00F94B27" w:rsidR="00F94B27">
              <w:rPr>
                <w:b/>
                <w:lang w:val="de-DE"/>
              </w:rPr>
              <w:t>]</w:t>
            </w:r>
            <w:r w:rsidRPr="00AC6AC7">
              <w:rPr>
                <w:lang w:val="de-DE"/>
              </w:rPr>
              <w:t xml:space="preserve"> höheren </w:t>
            </w:r>
            <w:r w:rsidRPr="00F94B27" w:rsidR="00F94B27">
              <w:rPr>
                <w:b/>
                <w:lang w:val="de-DE"/>
              </w:rPr>
              <w:t>[</w:t>
            </w:r>
            <w:r w:rsidRPr="00AC6AC7">
              <w:rPr>
                <w:lang w:val="de-DE"/>
              </w:rPr>
              <w:t>Zinszahlungsbetrag</w:t>
            </w:r>
            <w:r w:rsidRPr="00F94B27" w:rsidR="00F94B27">
              <w:rPr>
                <w:b/>
                <w:lang w:val="de-DE"/>
              </w:rPr>
              <w:t>][</w:t>
            </w:r>
            <w:r w:rsidRPr="00AC6AC7">
              <w:rPr>
                <w:lang w:val="de-DE"/>
              </w:rPr>
              <w:t>Zinszahlungsbeträgen</w:t>
            </w:r>
            <w:r w:rsidRPr="00F94B27" w:rsidR="00F94B27">
              <w:rPr>
                <w:b/>
                <w:lang w:val="de-DE"/>
              </w:rPr>
              <w:t>]</w:t>
            </w:r>
            <w:r w:rsidRPr="00AC6AC7">
              <w:rPr>
                <w:lang w:val="de-DE"/>
              </w:rPr>
              <w:t xml:space="preserve"> in Bezug auf Floating Rate Notes, während ein Absinken des Referenzsaztes regelmässig zu </w:t>
            </w:r>
            <w:r w:rsidRPr="00F94B27" w:rsidR="00F94B27">
              <w:rPr>
                <w:b/>
                <w:lang w:val="de-DE"/>
              </w:rPr>
              <w:t>[</w:t>
            </w:r>
            <w:r w:rsidRPr="00AC6AC7">
              <w:rPr>
                <w:lang w:val="de-DE"/>
              </w:rPr>
              <w:t>einem</w:t>
            </w:r>
            <w:r w:rsidRPr="00F94B27" w:rsidR="00F94B27">
              <w:rPr>
                <w:b/>
                <w:lang w:val="de-DE"/>
              </w:rPr>
              <w:t>]</w:t>
            </w:r>
            <w:r w:rsidRPr="00AC6AC7">
              <w:rPr>
                <w:lang w:val="de-DE"/>
              </w:rPr>
              <w:t xml:space="preserve"> niedrigeren </w:t>
            </w:r>
            <w:r w:rsidRPr="00F94B27" w:rsidR="00F94B27">
              <w:rPr>
                <w:b/>
                <w:lang w:val="de-DE"/>
              </w:rPr>
              <w:t>[</w:t>
            </w:r>
            <w:r w:rsidRPr="00AC6AC7">
              <w:rPr>
                <w:lang w:val="de-DE"/>
              </w:rPr>
              <w:t>Zinszahlungsbetrag</w:t>
            </w:r>
            <w:r w:rsidRPr="00F94B27" w:rsidR="00F94B27">
              <w:rPr>
                <w:b/>
                <w:lang w:val="de-DE"/>
              </w:rPr>
              <w:t>][</w:t>
            </w:r>
            <w:r w:rsidRPr="00AC6AC7">
              <w:rPr>
                <w:lang w:val="de-DE"/>
              </w:rPr>
              <w:t>Zinszahlungsbeträgen</w:t>
            </w:r>
            <w:r w:rsidRPr="00F94B27" w:rsidR="00F94B27">
              <w:rPr>
                <w:b/>
                <w:lang w:val="de-DE"/>
              </w:rPr>
              <w:t>]</w:t>
            </w:r>
            <w:r w:rsidRPr="00AC6AC7">
              <w:rPr>
                <w:lang w:val="de-DE"/>
              </w:rPr>
              <w:t xml:space="preserve"> in Bezug auf Floating Rate Notes führt. </w:t>
            </w:r>
            <w:r w:rsidRPr="00F94B27" w:rsidR="00F94B27">
              <w:rPr>
                <w:b/>
                <w:lang w:val="de-DE"/>
              </w:rPr>
              <w:t>[</w:t>
            </w:r>
            <w:r w:rsidRPr="00AC6AC7">
              <w:rPr>
                <w:b/>
                <w:i/>
                <w:lang w:val="de-DE"/>
              </w:rPr>
              <w:t>bei Komplexen Produkten mit Mindestzinssatz und/oder Höchstzinssatz:</w:t>
            </w:r>
            <w:r w:rsidRPr="00AC6AC7">
              <w:rPr>
                <w:lang w:val="de-DE"/>
              </w:rPr>
              <w:t xml:space="preserve"> In jedem Fall </w:t>
            </w:r>
            <w:r w:rsidRPr="00F94B27" w:rsidR="00F94B27">
              <w:rPr>
                <w:b/>
                <w:lang w:val="de-DE"/>
              </w:rPr>
              <w:t>[</w:t>
            </w:r>
            <w:r w:rsidRPr="00AC6AC7">
              <w:rPr>
                <w:lang w:val="de-DE"/>
              </w:rPr>
              <w:t xml:space="preserve">entspricht der Zinssatz mindestens dem </w:t>
            </w:r>
            <w:r w:rsidRPr="00F94B27" w:rsidR="00F94B27">
              <w:rPr>
                <w:b/>
                <w:lang w:val="de-DE"/>
              </w:rPr>
              <w:t>[</w:t>
            </w:r>
            <w:r w:rsidRPr="00AC6AC7">
              <w:rPr>
                <w:lang w:val="de-DE"/>
              </w:rPr>
              <w:t>jeweiligen</w:t>
            </w:r>
            <w:r w:rsidRPr="00F94B27" w:rsidR="00F94B27">
              <w:rPr>
                <w:b/>
                <w:lang w:val="de-DE"/>
              </w:rPr>
              <w:t>]</w:t>
            </w:r>
            <w:r w:rsidRPr="00AC6AC7">
              <w:rPr>
                <w:lang w:val="de-DE"/>
              </w:rPr>
              <w:t xml:space="preserve"> Mindestzinssatz</w:t>
            </w:r>
            <w:r w:rsidRPr="00F94B27" w:rsidR="00F94B27">
              <w:rPr>
                <w:b/>
                <w:lang w:val="de-DE"/>
              </w:rPr>
              <w:t>]</w:t>
            </w:r>
            <w:r w:rsidRPr="00AC6AC7">
              <w:rPr>
                <w:lang w:val="de-DE"/>
              </w:rPr>
              <w:t xml:space="preserve"> </w:t>
            </w:r>
            <w:r w:rsidRPr="00F94B27" w:rsidR="00F94B27">
              <w:rPr>
                <w:b/>
                <w:lang w:val="de-DE"/>
              </w:rPr>
              <w:t>[</w:t>
            </w:r>
            <w:r w:rsidRPr="00AC6AC7">
              <w:rPr>
                <w:lang w:val="de-DE"/>
              </w:rPr>
              <w:t xml:space="preserve">wird der Zinssatz nicht höher als der </w:t>
            </w:r>
            <w:r w:rsidRPr="00F94B27" w:rsidR="00F94B27">
              <w:rPr>
                <w:b/>
                <w:lang w:val="de-DE"/>
              </w:rPr>
              <w:t>[</w:t>
            </w:r>
            <w:r w:rsidRPr="00AC6AC7">
              <w:rPr>
                <w:lang w:val="de-DE"/>
              </w:rPr>
              <w:t>jeweilige</w:t>
            </w:r>
            <w:r w:rsidRPr="00F94B27" w:rsidR="00F94B27">
              <w:rPr>
                <w:b/>
                <w:lang w:val="de-DE"/>
              </w:rPr>
              <w:t>]</w:t>
            </w:r>
            <w:r w:rsidRPr="00AC6AC7">
              <w:rPr>
                <w:lang w:val="de-DE"/>
              </w:rPr>
              <w:t xml:space="preserve"> Höchstzinssatz sein</w:t>
            </w:r>
            <w:r w:rsidRPr="00F94B27" w:rsidR="00F94B27">
              <w:rPr>
                <w:b/>
                <w:lang w:val="de-DE"/>
              </w:rPr>
              <w:t>]</w:t>
            </w:r>
            <w:r w:rsidRPr="00AC6AC7">
              <w:rPr>
                <w:lang w:val="de-DE"/>
              </w:rPr>
              <w:t xml:space="preserve"> </w:t>
            </w:r>
            <w:r w:rsidRPr="00F94B27" w:rsidR="00F94B27">
              <w:rPr>
                <w:b/>
                <w:lang w:val="de-DE"/>
              </w:rPr>
              <w:t>[</w:t>
            </w:r>
            <w:r w:rsidRPr="00AC6AC7">
              <w:rPr>
                <w:lang w:val="de-DE"/>
              </w:rPr>
              <w:t xml:space="preserve">entspricht der Zinssatz mindestens dem </w:t>
            </w:r>
            <w:r w:rsidRPr="00F94B27" w:rsidR="00F94B27">
              <w:rPr>
                <w:b/>
                <w:lang w:val="de-DE"/>
              </w:rPr>
              <w:t>[</w:t>
            </w:r>
            <w:r w:rsidRPr="00AC6AC7">
              <w:rPr>
                <w:lang w:val="de-DE"/>
              </w:rPr>
              <w:t>jeweiligen</w:t>
            </w:r>
            <w:r w:rsidRPr="00F94B27" w:rsidR="00F94B27">
              <w:rPr>
                <w:b/>
                <w:lang w:val="de-DE"/>
              </w:rPr>
              <w:t>]</w:t>
            </w:r>
            <w:r w:rsidRPr="00AC6AC7">
              <w:rPr>
                <w:lang w:val="de-DE"/>
              </w:rPr>
              <w:t xml:space="preserve"> Mindestzinssatz, wird aber nicht höher als der </w:t>
            </w:r>
            <w:r w:rsidRPr="00F94B27" w:rsidR="00F94B27">
              <w:rPr>
                <w:b/>
                <w:lang w:val="de-DE"/>
              </w:rPr>
              <w:t>[</w:t>
            </w:r>
            <w:r w:rsidRPr="00AC6AC7">
              <w:rPr>
                <w:lang w:val="de-DE"/>
              </w:rPr>
              <w:t>jeweilige</w:t>
            </w:r>
            <w:r w:rsidRPr="00F94B27" w:rsidR="00F94B27">
              <w:rPr>
                <w:b/>
                <w:lang w:val="de-DE"/>
              </w:rPr>
              <w:t>]</w:t>
            </w:r>
            <w:r w:rsidRPr="00AC6AC7">
              <w:rPr>
                <w:lang w:val="de-DE"/>
              </w:rPr>
              <w:t xml:space="preserve"> Höchstzinssatz sein</w:t>
            </w:r>
            <w:r w:rsidRPr="00F94B27" w:rsidR="00F94B27">
              <w:rPr>
                <w:b/>
                <w:lang w:val="de-DE"/>
              </w:rPr>
              <w:t>]</w:t>
            </w:r>
            <w:r w:rsidRPr="00AC6AC7">
              <w:rPr>
                <w:lang w:val="de-DE"/>
              </w:rPr>
              <w:t>.</w:t>
            </w:r>
            <w:r w:rsidRPr="00F94B27" w:rsidR="00F94B27">
              <w:rPr>
                <w:b/>
                <w:lang w:val="de-DE"/>
              </w:rPr>
              <w:t>[</w:t>
            </w:r>
            <w:r w:rsidRPr="00AC6AC7">
              <w:rPr>
                <w:b/>
                <w:i/>
                <w:lang w:val="de-DE"/>
              </w:rPr>
              <w:t>bei Komplexen Produkten mit Mindestzinssatz und Höchstzinssatz, die die Anwendung der Partizipation vorsehen:</w:t>
            </w:r>
            <w:r w:rsidRPr="00AC6AC7">
              <w:rPr>
                <w:lang w:val="de-DE"/>
              </w:rPr>
              <w:t xml:space="preserve"> Darüber hinaus wird für die Berechnung des anwendbaren Zinssatzes die Partizipation, bei der es sich um einen Multiplikator handelt, angewendet.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AC3522" w:rsidRPr="00AB16EC" w:rsidP="00AC3522">
            <w:pPr>
              <w:pStyle w:val="CSbody0bolditalic"/>
              <w:rPr>
                <w:lang w:val="en-GB"/>
              </w:rPr>
            </w:pPr>
            <w:r w:rsidRPr="00F94B27">
              <w:rPr>
                <w:lang w:val="en-GB"/>
              </w:rPr>
              <w:t>[</w:t>
            </w:r>
            <w:r w:rsidRPr="00AB16EC">
              <w:rPr>
                <w:lang w:val="en-GB"/>
              </w:rPr>
              <w:t>in case of Fixed to Floating Rate Notes:</w:t>
            </w:r>
          </w:p>
        </w:tc>
        <w:tc>
          <w:tcPr>
            <w:tcW w:w="2466" w:type="pct"/>
            <w:gridSpan w:val="14"/>
            <w:tcBorders>
              <w:left w:val="single" w:sz="4" w:space="0" w:color="auto"/>
            </w:tcBorders>
          </w:tcPr>
          <w:p w:rsidR="00AC3522" w:rsidRPr="00AB16EC" w:rsidP="00AC3522">
            <w:pPr>
              <w:pStyle w:val="CSbody0bolditalic"/>
              <w:rPr>
                <w:lang w:val="en-GB"/>
              </w:rPr>
            </w:pPr>
            <w:r w:rsidRPr="00F94B27">
              <w:rPr>
                <w:lang w:val="en-GB"/>
              </w:rPr>
              <w:t>[</w:t>
            </w:r>
            <w:r w:rsidRPr="00AB16EC">
              <w:rPr>
                <w:lang w:val="en-GB"/>
              </w:rPr>
              <w:t>bei Fixed to Floating Rate Notes:</w:t>
            </w:r>
          </w:p>
        </w:tc>
      </w:tr>
      <w:tr w:rsidTr="00942F00">
        <w:tblPrEx>
          <w:tblW w:w="5000" w:type="pct"/>
          <w:tblLayout w:type="fixed"/>
          <w:tblLook w:val="04A0"/>
        </w:tblPrEx>
        <w:tc>
          <w:tcPr>
            <w:tcW w:w="2534" w:type="pct"/>
            <w:gridSpan w:val="14"/>
            <w:tcBorders>
              <w:right w:val="single" w:sz="4" w:space="0" w:color="auto"/>
            </w:tcBorders>
          </w:tcPr>
          <w:p w:rsidR="00AC3522" w:rsidRPr="00024133" w:rsidP="00AC3522">
            <w:pPr>
              <w:pStyle w:val="CSBody0"/>
            </w:pPr>
            <w:r w:rsidRPr="00024133">
              <w:t xml:space="preserve">In case of Fixed to Floating Rate Notes, the Interest Rate on the basis of which the Interest Payment Amounts are calculated will be equal to a fixed rate per annum for the </w:t>
            </w:r>
            <w:r w:rsidRPr="00F94B27" w:rsidR="00F94B27">
              <w:rPr>
                <w:b/>
              </w:rPr>
              <w:t>[</w:t>
            </w:r>
            <w:r w:rsidRPr="00024133">
              <w:t>first</w:t>
            </w:r>
            <w:r w:rsidRPr="00F94B27" w:rsidR="00F94B27">
              <w:rPr>
                <w:b/>
              </w:rPr>
              <w:t>]</w:t>
            </w:r>
            <w:r w:rsidRPr="00024133">
              <w:t xml:space="preserve"> </w:t>
            </w:r>
            <w:r w:rsidRPr="00F94B27" w:rsidR="00F94B27">
              <w:rPr>
                <w:b/>
              </w:rPr>
              <w:t>[</w:t>
            </w:r>
            <w:r w:rsidRPr="00024133">
              <w:t xml:space="preserve">first </w:t>
            </w:r>
            <w:r w:rsidRPr="00F94B27" w:rsidR="00F94B27">
              <w:rPr>
                <w:b/>
              </w:rPr>
              <w:t>[</w:t>
            </w:r>
            <w:r w:rsidRPr="00AC3522">
              <w:rPr>
                <w:b/>
                <w:i/>
              </w:rPr>
              <w:t>insert number of Interest Payment Dates, on which a fixed rate per annum is applicable:</w:t>
            </w:r>
            <w:r w:rsidRPr="00024133">
              <w:t xml:space="preserve"> </w:t>
            </w:r>
            <w:r w:rsidRPr="00F94B27" w:rsidR="00F94B27">
              <w:rPr>
                <w:b/>
              </w:rPr>
              <w:t>[</w:t>
            </w:r>
            <w:r w:rsidR="003857E8">
              <w:rPr>
                <w:rFonts w:ascii="Arial" w:hAnsi="Arial" w:cs="Arial"/>
              </w:rPr>
              <w:t>●</w:t>
            </w:r>
            <w:r w:rsidRPr="00F94B27" w:rsidR="00F94B27">
              <w:rPr>
                <w:b/>
              </w:rPr>
              <w:t>]]</w:t>
            </w:r>
            <w:r w:rsidRPr="00024133">
              <w:t xml:space="preserve"> Interest Payment Date</w:t>
            </w:r>
            <w:r w:rsidRPr="00F94B27" w:rsidR="00F94B27">
              <w:rPr>
                <w:b/>
              </w:rPr>
              <w:t>[</w:t>
            </w:r>
            <w:r w:rsidRPr="00024133">
              <w:t>s</w:t>
            </w:r>
            <w:r w:rsidRPr="00F94B27" w:rsidR="00F94B27">
              <w:rPr>
                <w:b/>
              </w:rPr>
              <w:t>]</w:t>
            </w:r>
            <w:r w:rsidRPr="00024133">
              <w:t xml:space="preserve">. For the calculation of the Interest Payment Amount on the </w:t>
            </w:r>
            <w:r w:rsidRPr="00F94B27" w:rsidR="00F94B27">
              <w:rPr>
                <w:b/>
              </w:rPr>
              <w:t>[</w:t>
            </w:r>
            <w:r w:rsidRPr="00AC3522">
              <w:rPr>
                <w:b/>
                <w:i/>
              </w:rPr>
              <w:t>insert number of Interest Payment Date, on which the Interest Rate will be switched from a fixed to a variable rate per annum:</w:t>
            </w:r>
            <w:r w:rsidRPr="00024133">
              <w:t xml:space="preserve"> </w:t>
            </w:r>
            <w:r w:rsidRPr="00F94B27" w:rsidR="00F94B27">
              <w:rPr>
                <w:b/>
              </w:rPr>
              <w:t>[</w:t>
            </w:r>
            <w:r w:rsidR="003857E8">
              <w:rPr>
                <w:rFonts w:ascii="Arial" w:hAnsi="Arial" w:cs="Arial"/>
              </w:rPr>
              <w:t>●</w:t>
            </w:r>
            <w:r w:rsidRPr="00F94B27" w:rsidR="00F94B27">
              <w:rPr>
                <w:b/>
              </w:rPr>
              <w:t>]]</w:t>
            </w:r>
            <w:r w:rsidRPr="00024133">
              <w:t xml:space="preserve"> Interest Payment Date </w:t>
            </w:r>
            <w:r w:rsidRPr="00F94B27" w:rsidR="00F94B27">
              <w:rPr>
                <w:b/>
              </w:rPr>
              <w:t>[</w:t>
            </w:r>
            <w:r w:rsidRPr="00024133">
              <w:t>and any following Interest Payment Date</w:t>
            </w:r>
            <w:r w:rsidRPr="00F94B27" w:rsidR="00F94B27">
              <w:rPr>
                <w:b/>
              </w:rPr>
              <w:t>]</w:t>
            </w:r>
            <w:r w:rsidRPr="00024133">
              <w:t xml:space="preserve"> the fixed Interest Rate used for the calculation of the Interest Payment Amount on the previous Interest Payment Date will be switched to a variable Interest Rate. On </w:t>
            </w:r>
            <w:r w:rsidRPr="00F94B27" w:rsidR="00F94B27">
              <w:rPr>
                <w:b/>
              </w:rPr>
              <w:t>[</w:t>
            </w:r>
            <w:r w:rsidRPr="00024133">
              <w:t>the</w:t>
            </w:r>
            <w:r w:rsidRPr="00F94B27" w:rsidR="00F94B27">
              <w:rPr>
                <w:b/>
              </w:rPr>
              <w:t>][</w:t>
            </w:r>
            <w:r w:rsidRPr="00024133">
              <w:t>each</w:t>
            </w:r>
            <w:r w:rsidRPr="00F94B27" w:rsidR="00F94B27">
              <w:rPr>
                <w:b/>
              </w:rPr>
              <w:t>]</w:t>
            </w:r>
            <w:r w:rsidRPr="00024133">
              <w:t xml:space="preserve"> Interest Payment Date, on which a variable Interest Rate is applicable, such variable rate will be equal to the </w:t>
            </w:r>
            <w:r w:rsidRPr="00F94B27" w:rsidR="00F94B27">
              <w:rPr>
                <w:b/>
              </w:rPr>
              <w:t>[</w:t>
            </w:r>
            <w:r w:rsidRPr="00024133">
              <w:t>Reference Rate (</w:t>
            </w:r>
            <w:r w:rsidRPr="007E3558" w:rsidR="007E3558">
              <w:rPr>
                <w:i/>
              </w:rPr>
              <w:t>i.e.</w:t>
            </w:r>
            <w:r w:rsidRPr="00024133">
              <w:t xml:space="preserve">, a variable rate of interest) on the </w:t>
            </w:r>
            <w:r w:rsidRPr="00F94B27" w:rsidR="00F94B27">
              <w:rPr>
                <w:b/>
              </w:rPr>
              <w:t>[</w:t>
            </w:r>
            <w:r w:rsidRPr="00024133">
              <w:t>relevant</w:t>
            </w:r>
            <w:r w:rsidRPr="00F94B27" w:rsidR="00F94B27">
              <w:rPr>
                <w:b/>
              </w:rPr>
              <w:t>]</w:t>
            </w:r>
            <w:r w:rsidRPr="00024133">
              <w:t xml:space="preserve"> Interest Determination Date</w:t>
            </w:r>
            <w:r w:rsidRPr="00F94B27" w:rsidR="00F94B27">
              <w:rPr>
                <w:b/>
              </w:rPr>
              <w:t>]</w:t>
            </w:r>
            <w:r w:rsidRPr="00024133">
              <w:t xml:space="preserve"> </w:t>
            </w:r>
            <w:r w:rsidRPr="00F94B27" w:rsidR="00F94B27">
              <w:rPr>
                <w:b/>
              </w:rPr>
              <w:t>[</w:t>
            </w:r>
            <w:r w:rsidRPr="00024133">
              <w:t>sum of the Reference Rate (</w:t>
            </w:r>
            <w:r w:rsidRPr="007E3558" w:rsidR="007E3558">
              <w:rPr>
                <w:i/>
              </w:rPr>
              <w:t>i.e.</w:t>
            </w:r>
            <w:r w:rsidRPr="00024133">
              <w:t xml:space="preserve">, a variable rate of interest) on the </w:t>
            </w:r>
            <w:r w:rsidRPr="00F94B27" w:rsidR="00F94B27">
              <w:rPr>
                <w:b/>
              </w:rPr>
              <w:t>[</w:t>
            </w:r>
            <w:r w:rsidRPr="00024133">
              <w:t>relevant</w:t>
            </w:r>
            <w:r w:rsidRPr="00F94B27" w:rsidR="00F94B27">
              <w:rPr>
                <w:b/>
              </w:rPr>
              <w:t>]</w:t>
            </w:r>
            <w:r w:rsidRPr="00024133">
              <w:t xml:space="preserve"> Interest Determination Date and </w:t>
            </w:r>
            <w:r w:rsidRPr="00F94B27" w:rsidR="00F94B27">
              <w:rPr>
                <w:b/>
              </w:rPr>
              <w:t>[</w:t>
            </w:r>
            <w:r w:rsidR="003857E8">
              <w:rPr>
                <w:rFonts w:ascii="Arial" w:hAnsi="Arial" w:cs="Arial"/>
              </w:rPr>
              <w:t>●</w:t>
            </w:r>
            <w:r w:rsidRPr="00F94B27" w:rsidR="00F94B27">
              <w:rPr>
                <w:b/>
              </w:rPr>
              <w:t>]</w:t>
            </w:r>
            <w:r w:rsidRPr="00024133">
              <w:t>% per annum</w:t>
            </w:r>
            <w:r w:rsidRPr="00F94B27" w:rsidR="00F94B27">
              <w:rPr>
                <w:b/>
              </w:rPr>
              <w:t>]</w:t>
            </w:r>
            <w:r w:rsidRPr="00024133">
              <w:t xml:space="preserve">. In general, an increase in the Reference Rate will result in </w:t>
            </w:r>
            <w:r w:rsidRPr="00F94B27" w:rsidR="00F94B27">
              <w:rPr>
                <w:b/>
              </w:rPr>
              <w:t>[</w:t>
            </w:r>
            <w:r w:rsidRPr="00024133">
              <w:t>a</w:t>
            </w:r>
            <w:r w:rsidRPr="00F94B27" w:rsidR="00F94B27">
              <w:rPr>
                <w:b/>
              </w:rPr>
              <w:t>]</w:t>
            </w:r>
            <w:r w:rsidRPr="00024133">
              <w:t xml:space="preserve"> higher Interest Payment Amount</w:t>
            </w:r>
            <w:r w:rsidRPr="00F94B27" w:rsidR="00F94B27">
              <w:rPr>
                <w:b/>
              </w:rPr>
              <w:t>[</w:t>
            </w:r>
            <w:r w:rsidRPr="00024133">
              <w:t>s</w:t>
            </w:r>
            <w:r w:rsidRPr="00F94B27" w:rsidR="00F94B27">
              <w:rPr>
                <w:b/>
              </w:rPr>
              <w:t>]</w:t>
            </w:r>
            <w:r w:rsidRPr="00024133">
              <w:t xml:space="preserve"> payable for Fixed to Floating Rate Notes in respect of </w:t>
            </w:r>
            <w:r w:rsidRPr="00F94B27" w:rsidR="00F94B27">
              <w:rPr>
                <w:b/>
              </w:rPr>
              <w:t>[</w:t>
            </w:r>
            <w:r w:rsidRPr="00024133">
              <w:t>the</w:t>
            </w:r>
            <w:r w:rsidRPr="00F94B27" w:rsidR="00F94B27">
              <w:rPr>
                <w:b/>
              </w:rPr>
              <w:t>]</w:t>
            </w:r>
            <w:r w:rsidRPr="00024133">
              <w:t xml:space="preserve"> </w:t>
            </w:r>
            <w:r w:rsidRPr="00F94B27" w:rsidR="00F94B27">
              <w:rPr>
                <w:b/>
              </w:rPr>
              <w:t>[</w:t>
            </w:r>
            <w:r w:rsidRPr="00024133">
              <w:t>each</w:t>
            </w:r>
            <w:r w:rsidRPr="00F94B27" w:rsidR="00F94B27">
              <w:rPr>
                <w:b/>
              </w:rPr>
              <w:t>]</w:t>
            </w:r>
            <w:r w:rsidRPr="00024133">
              <w:t xml:space="preserve"> Interest Payment Date, in respect of which a variable rate of interest is applicable, while a decrease in the Reference Rate will generally result in </w:t>
            </w:r>
            <w:r w:rsidRPr="00F94B27" w:rsidR="00F94B27">
              <w:rPr>
                <w:b/>
              </w:rPr>
              <w:t>[</w:t>
            </w:r>
            <w:r w:rsidRPr="00024133">
              <w:t>a</w:t>
            </w:r>
            <w:r w:rsidRPr="00F94B27" w:rsidR="00F94B27">
              <w:rPr>
                <w:b/>
              </w:rPr>
              <w:t>]</w:t>
            </w:r>
            <w:r w:rsidRPr="00024133">
              <w:t xml:space="preserve"> lower Interest Payment Amount</w:t>
            </w:r>
            <w:r w:rsidRPr="00F94B27" w:rsidR="00F94B27">
              <w:rPr>
                <w:b/>
              </w:rPr>
              <w:t>[</w:t>
            </w:r>
            <w:r w:rsidRPr="00024133">
              <w:t>s</w:t>
            </w:r>
            <w:r w:rsidRPr="00F94B27" w:rsidR="00F94B27">
              <w:rPr>
                <w:b/>
              </w:rPr>
              <w:t>]</w:t>
            </w:r>
            <w:r w:rsidRPr="00024133">
              <w:t xml:space="preserve"> payable for Fixed to Floating Rate Notes in respect of </w:t>
            </w:r>
            <w:r w:rsidRPr="00F94B27" w:rsidR="00F94B27">
              <w:rPr>
                <w:b/>
              </w:rPr>
              <w:t>[</w:t>
            </w:r>
            <w:r w:rsidRPr="00024133">
              <w:t>the</w:t>
            </w:r>
            <w:r w:rsidRPr="00F94B27" w:rsidR="00F94B27">
              <w:rPr>
                <w:b/>
              </w:rPr>
              <w:t>]</w:t>
            </w:r>
            <w:r w:rsidRPr="00024133">
              <w:t xml:space="preserve"> </w:t>
            </w:r>
            <w:r w:rsidRPr="00F94B27" w:rsidR="00F94B27">
              <w:rPr>
                <w:b/>
              </w:rPr>
              <w:t>[</w:t>
            </w:r>
            <w:r w:rsidRPr="00024133">
              <w:t>each</w:t>
            </w:r>
            <w:r w:rsidRPr="00F94B27" w:rsidR="00F94B27">
              <w:rPr>
                <w:b/>
              </w:rPr>
              <w:t>]</w:t>
            </w:r>
            <w:r w:rsidRPr="00024133">
              <w:t xml:space="preserve"> Interest Payment Date, in respect of which a variable rate of interest is applicable. </w:t>
            </w:r>
            <w:r w:rsidRPr="00F94B27" w:rsidR="00F94B27">
              <w:rPr>
                <w:b/>
              </w:rPr>
              <w:t>[</w:t>
            </w:r>
            <w:r w:rsidRPr="00AC3522">
              <w:rPr>
                <w:b/>
                <w:i/>
              </w:rPr>
              <w:t>in case of Complex Products with Minimum Interest Rate and/or Maximum Interest Rate:</w:t>
            </w:r>
            <w:r w:rsidRPr="00024133">
              <w:t xml:space="preserve"> In any case, the Interest Rate will </w:t>
            </w:r>
            <w:r w:rsidRPr="00F94B27" w:rsidR="00F94B27">
              <w:rPr>
                <w:b/>
              </w:rPr>
              <w:t>[</w:t>
            </w:r>
            <w:r w:rsidRPr="00024133">
              <w:t xml:space="preserve">at least be equal to the </w:t>
            </w:r>
            <w:r w:rsidRPr="00F94B27" w:rsidR="00F94B27">
              <w:rPr>
                <w:b/>
              </w:rPr>
              <w:t>[</w:t>
            </w:r>
            <w:r w:rsidRPr="00024133">
              <w:t>relevant</w:t>
            </w:r>
            <w:r w:rsidRPr="00F94B27" w:rsidR="00F94B27">
              <w:rPr>
                <w:b/>
              </w:rPr>
              <w:t>]</w:t>
            </w:r>
            <w:r w:rsidRPr="00024133">
              <w:t xml:space="preserve"> Minimum Interest Rate</w:t>
            </w:r>
            <w:r w:rsidRPr="00F94B27" w:rsidR="00F94B27">
              <w:rPr>
                <w:b/>
              </w:rPr>
              <w:t>]</w:t>
            </w:r>
            <w:r w:rsidRPr="00024133">
              <w:t xml:space="preserve"> </w:t>
            </w:r>
            <w:r w:rsidRPr="00F94B27" w:rsidR="00F94B27">
              <w:rPr>
                <w:b/>
              </w:rPr>
              <w:t>[</w:t>
            </w:r>
            <w:r w:rsidRPr="00024133">
              <w:t xml:space="preserve">not exceed the </w:t>
            </w:r>
            <w:r w:rsidRPr="00F94B27" w:rsidR="00F94B27">
              <w:rPr>
                <w:b/>
              </w:rPr>
              <w:t>[</w:t>
            </w:r>
            <w:r w:rsidRPr="00024133">
              <w:t>relevant</w:t>
            </w:r>
            <w:r w:rsidRPr="00F94B27" w:rsidR="00F94B27">
              <w:rPr>
                <w:b/>
              </w:rPr>
              <w:t>]</w:t>
            </w:r>
            <w:r w:rsidRPr="00024133">
              <w:t xml:space="preserve"> Maximum Interest Rate</w:t>
            </w:r>
            <w:r w:rsidRPr="00F94B27" w:rsidR="00F94B27">
              <w:rPr>
                <w:b/>
              </w:rPr>
              <w:t>]</w:t>
            </w:r>
            <w:r w:rsidRPr="00024133">
              <w:t xml:space="preserve"> </w:t>
            </w:r>
            <w:r w:rsidRPr="00F94B27" w:rsidR="00F94B27">
              <w:rPr>
                <w:b/>
              </w:rPr>
              <w:t>[</w:t>
            </w:r>
            <w:r w:rsidRPr="00024133">
              <w:t xml:space="preserve">at least be equal to the </w:t>
            </w:r>
            <w:r w:rsidRPr="00F94B27" w:rsidR="00F94B27">
              <w:rPr>
                <w:b/>
              </w:rPr>
              <w:t>[</w:t>
            </w:r>
            <w:r w:rsidRPr="00024133">
              <w:t>relevant</w:t>
            </w:r>
            <w:r w:rsidRPr="00F94B27" w:rsidR="00F94B27">
              <w:rPr>
                <w:b/>
              </w:rPr>
              <w:t>]</w:t>
            </w:r>
            <w:r w:rsidRPr="00024133">
              <w:t xml:space="preserve"> Minimum Interest Rate, but not exceed the </w:t>
            </w:r>
            <w:r w:rsidRPr="00F94B27" w:rsidR="00F94B27">
              <w:rPr>
                <w:b/>
              </w:rPr>
              <w:t>[</w:t>
            </w:r>
            <w:r w:rsidRPr="00024133">
              <w:t>relevant</w:t>
            </w:r>
            <w:r w:rsidRPr="00F94B27" w:rsidR="00F94B27">
              <w:rPr>
                <w:b/>
              </w:rPr>
              <w:t>]</w:t>
            </w:r>
            <w:r w:rsidRPr="00024133">
              <w:t xml:space="preserve"> Maximum Interest Rate</w:t>
            </w:r>
            <w:r w:rsidRPr="00F94B27" w:rsidR="00F94B27">
              <w:rPr>
                <w:b/>
              </w:rPr>
              <w:t>]</w:t>
            </w:r>
            <w:r w:rsidRPr="00024133">
              <w:t>.</w:t>
            </w:r>
            <w:r w:rsidRPr="00F94B27" w:rsidR="00F94B27">
              <w:rPr>
                <w:b/>
              </w:rPr>
              <w:t>]</w:t>
            </w:r>
          </w:p>
        </w:tc>
        <w:tc>
          <w:tcPr>
            <w:tcW w:w="2466" w:type="pct"/>
            <w:gridSpan w:val="14"/>
            <w:tcBorders>
              <w:left w:val="single" w:sz="4" w:space="0" w:color="auto"/>
            </w:tcBorders>
          </w:tcPr>
          <w:p w:rsidR="00AC3522" w:rsidRPr="00AC3522" w:rsidP="00AC3522">
            <w:pPr>
              <w:pStyle w:val="CSBody0"/>
              <w:rPr>
                <w:lang w:val="de-DE"/>
              </w:rPr>
            </w:pPr>
            <w:r w:rsidRPr="00AC3522">
              <w:rPr>
                <w:lang w:val="de-DE"/>
              </w:rPr>
              <w:t xml:space="preserve">Bei Fixed to Floating Rate Notes entspricht der Zinssatz, auf dessen Grundlage die Zinszahlungsbeträge berechnet werden, einem Festsatz per annum für </w:t>
            </w:r>
            <w:r w:rsidRPr="00F94B27" w:rsidR="00F94B27">
              <w:rPr>
                <w:b/>
                <w:lang w:val="de-DE"/>
              </w:rPr>
              <w:t>[</w:t>
            </w:r>
            <w:r w:rsidRPr="00AC3522">
              <w:rPr>
                <w:lang w:val="de-DE"/>
              </w:rPr>
              <w:t>den ersten</w:t>
            </w:r>
            <w:r w:rsidRPr="00F94B27" w:rsidR="00F94B27">
              <w:rPr>
                <w:b/>
                <w:lang w:val="de-DE"/>
              </w:rPr>
              <w:t>]</w:t>
            </w:r>
            <w:r w:rsidRPr="00AC3522">
              <w:rPr>
                <w:lang w:val="de-DE"/>
              </w:rPr>
              <w:t xml:space="preserve"> </w:t>
            </w:r>
            <w:r w:rsidRPr="00F94B27" w:rsidR="00F94B27">
              <w:rPr>
                <w:b/>
                <w:lang w:val="de-DE"/>
              </w:rPr>
              <w:t>[</w:t>
            </w:r>
            <w:r w:rsidRPr="00AC3522">
              <w:rPr>
                <w:lang w:val="de-DE"/>
              </w:rPr>
              <w:t xml:space="preserve">die ersten </w:t>
            </w:r>
            <w:r w:rsidRPr="00F94B27" w:rsidR="00F94B27">
              <w:rPr>
                <w:b/>
                <w:lang w:val="de-DE"/>
              </w:rPr>
              <w:t>[</w:t>
            </w:r>
            <w:r w:rsidRPr="00AC3522">
              <w:rPr>
                <w:b/>
                <w:i/>
                <w:lang w:val="de-DE"/>
              </w:rPr>
              <w:t>Anzahl der Zinszahlungstage einfügen, an denen ein Festsatz per annum anwendbar ist:</w:t>
            </w:r>
            <w:r w:rsidRPr="00AC3522">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AC3522">
              <w:rPr>
                <w:lang w:val="de-DE"/>
              </w:rPr>
              <w:t xml:space="preserve"> Zinszahlungstag</w:t>
            </w:r>
            <w:r w:rsidRPr="00F94B27" w:rsidR="00F94B27">
              <w:rPr>
                <w:b/>
                <w:lang w:val="de-DE"/>
              </w:rPr>
              <w:t>[</w:t>
            </w:r>
            <w:r w:rsidRPr="00AC3522">
              <w:rPr>
                <w:lang w:val="de-DE"/>
              </w:rPr>
              <w:t>e</w:t>
            </w:r>
            <w:r w:rsidRPr="00F94B27" w:rsidR="00F94B27">
              <w:rPr>
                <w:b/>
                <w:lang w:val="de-DE"/>
              </w:rPr>
              <w:t>]</w:t>
            </w:r>
            <w:r w:rsidRPr="00AC3522">
              <w:rPr>
                <w:lang w:val="de-DE"/>
              </w:rPr>
              <w:t xml:space="preserve">. Für die Berechnung des Zinszahlungsbetrags am </w:t>
            </w:r>
            <w:r w:rsidRPr="00F94B27" w:rsidR="00F94B27">
              <w:rPr>
                <w:b/>
                <w:lang w:val="de-DE"/>
              </w:rPr>
              <w:t>[</w:t>
            </w:r>
            <w:r w:rsidRPr="00AC3522">
              <w:rPr>
                <w:b/>
                <w:i/>
                <w:lang w:val="de-DE"/>
              </w:rPr>
              <w:t>Zahl des Zinszahlungstags einfügen, an dem der Zinssatz von einem Festsatz zu einem variablen Satz per annum gewechselt wird:</w:t>
            </w:r>
            <w:r w:rsidRPr="00AC3522">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AC3522">
              <w:rPr>
                <w:lang w:val="de-DE"/>
              </w:rPr>
              <w:t xml:space="preserve"> Zinszahlungstag </w:t>
            </w:r>
            <w:r w:rsidRPr="00F94B27" w:rsidR="00F94B27">
              <w:rPr>
                <w:b/>
                <w:lang w:val="de-DE"/>
              </w:rPr>
              <w:t>[</w:t>
            </w:r>
            <w:r w:rsidRPr="00AC3522">
              <w:rPr>
                <w:lang w:val="de-DE"/>
              </w:rPr>
              <w:t>und jeden folgenden Zinszahlungstag</w:t>
            </w:r>
            <w:r w:rsidRPr="00F94B27" w:rsidR="00F94B27">
              <w:rPr>
                <w:b/>
                <w:lang w:val="de-DE"/>
              </w:rPr>
              <w:t>]</w:t>
            </w:r>
            <w:r w:rsidRPr="00AC3522">
              <w:rPr>
                <w:lang w:val="de-DE"/>
              </w:rPr>
              <w:t xml:space="preserve"> wird der feste Zinssatz, der für die Berechnung des Zinszahlungsbetrags am vorangegangenen Zinszahlungstag verwendet wurde, auf einen variablen Zinssatz umgestellt. An </w:t>
            </w:r>
            <w:r w:rsidRPr="00F94B27" w:rsidR="00F94B27">
              <w:rPr>
                <w:b/>
                <w:lang w:val="de-DE"/>
              </w:rPr>
              <w:t>[</w:t>
            </w:r>
            <w:r w:rsidRPr="00AC3522">
              <w:rPr>
                <w:lang w:val="de-DE"/>
              </w:rPr>
              <w:t>dem</w:t>
            </w:r>
            <w:r w:rsidRPr="00F94B27" w:rsidR="00F94B27">
              <w:rPr>
                <w:b/>
                <w:lang w:val="de-DE"/>
              </w:rPr>
              <w:t>]</w:t>
            </w:r>
            <w:r w:rsidRPr="00AC3522">
              <w:rPr>
                <w:lang w:val="de-DE"/>
              </w:rPr>
              <w:t xml:space="preserve"> </w:t>
            </w:r>
            <w:r w:rsidRPr="00F94B27" w:rsidR="00F94B27">
              <w:rPr>
                <w:b/>
                <w:lang w:val="de-DE"/>
              </w:rPr>
              <w:t>[</w:t>
            </w:r>
            <w:r w:rsidRPr="00AC3522">
              <w:rPr>
                <w:lang w:val="de-DE"/>
              </w:rPr>
              <w:t>jedem</w:t>
            </w:r>
            <w:r w:rsidRPr="00F94B27" w:rsidR="00F94B27">
              <w:rPr>
                <w:b/>
                <w:lang w:val="de-DE"/>
              </w:rPr>
              <w:t>]</w:t>
            </w:r>
            <w:r w:rsidRPr="00AC3522">
              <w:rPr>
                <w:lang w:val="de-DE"/>
              </w:rPr>
              <w:t xml:space="preserve"> Zinszahlungstag, an dem ein variabler Zinssatz Anwendung findet, entspricht dieser variable Zinssatz </w:t>
            </w:r>
            <w:r w:rsidRPr="00F94B27" w:rsidR="00F94B27">
              <w:rPr>
                <w:b/>
                <w:lang w:val="de-DE"/>
              </w:rPr>
              <w:t>[</w:t>
            </w:r>
            <w:r w:rsidRPr="00AC3522">
              <w:rPr>
                <w:lang w:val="de-DE"/>
              </w:rPr>
              <w:t xml:space="preserve">dem Referenzsatz (d.h. einem variablen Zinssatz) am </w:t>
            </w:r>
            <w:r w:rsidRPr="00F94B27" w:rsidR="00F94B27">
              <w:rPr>
                <w:b/>
                <w:lang w:val="de-DE"/>
              </w:rPr>
              <w:t>[</w:t>
            </w:r>
            <w:r w:rsidRPr="00AC3522">
              <w:rPr>
                <w:lang w:val="de-DE"/>
              </w:rPr>
              <w:t>jeweiligen</w:t>
            </w:r>
            <w:r w:rsidRPr="00F94B27" w:rsidR="00F94B27">
              <w:rPr>
                <w:b/>
                <w:lang w:val="de-DE"/>
              </w:rPr>
              <w:t>]</w:t>
            </w:r>
            <w:r w:rsidRPr="00AC3522">
              <w:rPr>
                <w:lang w:val="de-DE"/>
              </w:rPr>
              <w:t xml:space="preserve"> Zinsfeststellungstag</w:t>
            </w:r>
            <w:r w:rsidRPr="00F94B27" w:rsidR="00F94B27">
              <w:rPr>
                <w:b/>
                <w:lang w:val="de-DE"/>
              </w:rPr>
              <w:t>]</w:t>
            </w:r>
            <w:r w:rsidRPr="00AC3522">
              <w:rPr>
                <w:lang w:val="de-DE"/>
              </w:rPr>
              <w:t xml:space="preserve"> </w:t>
            </w:r>
            <w:r w:rsidRPr="00F94B27" w:rsidR="00F94B27">
              <w:rPr>
                <w:b/>
                <w:lang w:val="de-DE"/>
              </w:rPr>
              <w:t>[</w:t>
            </w:r>
            <w:r w:rsidRPr="00AC3522">
              <w:rPr>
                <w:lang w:val="de-DE"/>
              </w:rPr>
              <w:t xml:space="preserve">der Summe aus dem Referenzsatz (d.h. einem variablen Zinssatz) am </w:t>
            </w:r>
            <w:r w:rsidRPr="00F94B27" w:rsidR="00F94B27">
              <w:rPr>
                <w:b/>
                <w:lang w:val="de-DE"/>
              </w:rPr>
              <w:t>[</w:t>
            </w:r>
            <w:r w:rsidRPr="00AC3522">
              <w:rPr>
                <w:lang w:val="de-DE"/>
              </w:rPr>
              <w:t>jeweiligen</w:t>
            </w:r>
            <w:r w:rsidRPr="00F94B27" w:rsidR="00F94B27">
              <w:rPr>
                <w:b/>
                <w:lang w:val="de-DE"/>
              </w:rPr>
              <w:t>]</w:t>
            </w:r>
            <w:r w:rsidRPr="00AC3522">
              <w:rPr>
                <w:lang w:val="de-DE"/>
              </w:rPr>
              <w:t xml:space="preserve">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AC3522">
              <w:rPr>
                <w:lang w:val="de-DE"/>
              </w:rPr>
              <w:t>% per annum</w:t>
            </w:r>
            <w:r w:rsidRPr="00F94B27" w:rsidR="00F94B27">
              <w:rPr>
                <w:b/>
                <w:lang w:val="de-DE"/>
              </w:rPr>
              <w:t>]</w:t>
            </w:r>
            <w:r w:rsidRPr="00AC3522">
              <w:rPr>
                <w:lang w:val="de-DE"/>
              </w:rPr>
              <w:t xml:space="preserve">. Ein Ansteigen des Referenzsatzes führt regelmässig zu </w:t>
            </w:r>
            <w:r w:rsidRPr="00F94B27" w:rsidR="00F94B27">
              <w:rPr>
                <w:b/>
                <w:lang w:val="de-DE"/>
              </w:rPr>
              <w:t>[</w:t>
            </w:r>
            <w:r w:rsidRPr="00AC3522">
              <w:rPr>
                <w:lang w:val="de-DE"/>
              </w:rPr>
              <w:t>einem</w:t>
            </w:r>
            <w:r w:rsidRPr="00F94B27" w:rsidR="00F94B27">
              <w:rPr>
                <w:b/>
                <w:lang w:val="de-DE"/>
              </w:rPr>
              <w:t>]</w:t>
            </w:r>
            <w:r w:rsidRPr="00AC3522">
              <w:rPr>
                <w:lang w:val="de-DE"/>
              </w:rPr>
              <w:t xml:space="preserve"> höheren </w:t>
            </w:r>
            <w:r w:rsidRPr="00F94B27" w:rsidR="00F94B27">
              <w:rPr>
                <w:b/>
                <w:lang w:val="de-DE"/>
              </w:rPr>
              <w:t>[</w:t>
            </w:r>
            <w:r w:rsidRPr="00AC3522">
              <w:rPr>
                <w:lang w:val="de-DE"/>
              </w:rPr>
              <w:t>Zinszahlungsbetrag</w:t>
            </w:r>
            <w:r w:rsidRPr="00F94B27" w:rsidR="00F94B27">
              <w:rPr>
                <w:b/>
                <w:lang w:val="de-DE"/>
              </w:rPr>
              <w:t>][</w:t>
            </w:r>
            <w:r w:rsidRPr="00AC3522">
              <w:rPr>
                <w:lang w:val="de-DE"/>
              </w:rPr>
              <w:t>Zinszahlungsbeträgen</w:t>
            </w:r>
            <w:r w:rsidRPr="00F94B27" w:rsidR="00F94B27">
              <w:rPr>
                <w:b/>
                <w:lang w:val="de-DE"/>
              </w:rPr>
              <w:t>]</w:t>
            </w:r>
            <w:r w:rsidRPr="00AC3522">
              <w:rPr>
                <w:lang w:val="de-DE"/>
              </w:rPr>
              <w:t xml:space="preserve"> für Fixed to Floating Rate Notes in Bezug auf </w:t>
            </w:r>
            <w:r w:rsidRPr="00F94B27" w:rsidR="00F94B27">
              <w:rPr>
                <w:b/>
                <w:lang w:val="de-DE"/>
              </w:rPr>
              <w:t>[</w:t>
            </w:r>
            <w:r w:rsidRPr="00AC3522">
              <w:rPr>
                <w:lang w:val="de-DE"/>
              </w:rPr>
              <w:t>den</w:t>
            </w:r>
            <w:r w:rsidRPr="00F94B27" w:rsidR="00F94B27">
              <w:rPr>
                <w:b/>
                <w:lang w:val="de-DE"/>
              </w:rPr>
              <w:t>]</w:t>
            </w:r>
            <w:r w:rsidRPr="00AC3522">
              <w:rPr>
                <w:lang w:val="de-DE"/>
              </w:rPr>
              <w:t xml:space="preserve"> </w:t>
            </w:r>
            <w:r w:rsidRPr="00F94B27" w:rsidR="00F94B27">
              <w:rPr>
                <w:b/>
                <w:lang w:val="de-DE"/>
              </w:rPr>
              <w:t>[</w:t>
            </w:r>
            <w:r w:rsidRPr="00AC3522">
              <w:rPr>
                <w:lang w:val="de-DE"/>
              </w:rPr>
              <w:t>jeden</w:t>
            </w:r>
            <w:r w:rsidRPr="00F94B27" w:rsidR="00F94B27">
              <w:rPr>
                <w:b/>
                <w:lang w:val="de-DE"/>
              </w:rPr>
              <w:t>]</w:t>
            </w:r>
            <w:r w:rsidRPr="00AC3522">
              <w:rPr>
                <w:lang w:val="de-DE"/>
              </w:rPr>
              <w:t xml:space="preserve"> Zinszahlungstag, an dem ein variabler Zinssatz anwendbar ist, zahlbar ist, während ein Absinken des Referenzsaztes regelmässig zu </w:t>
            </w:r>
            <w:r w:rsidRPr="00F94B27" w:rsidR="00F94B27">
              <w:rPr>
                <w:b/>
                <w:lang w:val="de-DE"/>
              </w:rPr>
              <w:t>[</w:t>
            </w:r>
            <w:r w:rsidRPr="00AC3522">
              <w:rPr>
                <w:lang w:val="de-DE"/>
              </w:rPr>
              <w:t>einem</w:t>
            </w:r>
            <w:r w:rsidRPr="00F94B27" w:rsidR="00F94B27">
              <w:rPr>
                <w:b/>
                <w:lang w:val="de-DE"/>
              </w:rPr>
              <w:t>]</w:t>
            </w:r>
            <w:r w:rsidRPr="00AC3522">
              <w:rPr>
                <w:lang w:val="de-DE"/>
              </w:rPr>
              <w:t xml:space="preserve"> niedrigeren </w:t>
            </w:r>
            <w:r w:rsidRPr="00F94B27" w:rsidR="00F94B27">
              <w:rPr>
                <w:b/>
                <w:lang w:val="de-DE"/>
              </w:rPr>
              <w:t>[</w:t>
            </w:r>
            <w:r w:rsidRPr="00AC3522">
              <w:rPr>
                <w:lang w:val="de-DE"/>
              </w:rPr>
              <w:t>Zinszahlungsbetrag</w:t>
            </w:r>
            <w:r w:rsidRPr="00F94B27" w:rsidR="00F94B27">
              <w:rPr>
                <w:b/>
                <w:lang w:val="de-DE"/>
              </w:rPr>
              <w:t>][</w:t>
            </w:r>
            <w:r w:rsidRPr="00AC3522">
              <w:rPr>
                <w:lang w:val="de-DE"/>
              </w:rPr>
              <w:t>Zinszahlungsbeträgen</w:t>
            </w:r>
            <w:r w:rsidRPr="00F94B27" w:rsidR="00F94B27">
              <w:rPr>
                <w:b/>
                <w:lang w:val="de-DE"/>
              </w:rPr>
              <w:t>]</w:t>
            </w:r>
            <w:r w:rsidRPr="00AC3522">
              <w:rPr>
                <w:lang w:val="de-DE"/>
              </w:rPr>
              <w:t xml:space="preserve"> für Fixed to Floating Rate Notes in Bezug auf </w:t>
            </w:r>
            <w:r w:rsidRPr="00F94B27" w:rsidR="00F94B27">
              <w:rPr>
                <w:b/>
                <w:lang w:val="de-DE"/>
              </w:rPr>
              <w:t>[</w:t>
            </w:r>
            <w:r w:rsidRPr="00AC3522">
              <w:rPr>
                <w:lang w:val="de-DE"/>
              </w:rPr>
              <w:t>den</w:t>
            </w:r>
            <w:r w:rsidRPr="00F94B27" w:rsidR="00F94B27">
              <w:rPr>
                <w:b/>
                <w:lang w:val="de-DE"/>
              </w:rPr>
              <w:t>]</w:t>
            </w:r>
            <w:r w:rsidRPr="00AC3522">
              <w:rPr>
                <w:lang w:val="de-DE"/>
              </w:rPr>
              <w:t xml:space="preserve"> </w:t>
            </w:r>
            <w:r w:rsidRPr="00F94B27" w:rsidR="00F94B27">
              <w:rPr>
                <w:b/>
                <w:lang w:val="de-DE"/>
              </w:rPr>
              <w:t>[</w:t>
            </w:r>
            <w:r w:rsidRPr="00AC3522">
              <w:rPr>
                <w:lang w:val="de-DE"/>
              </w:rPr>
              <w:t>jeden</w:t>
            </w:r>
            <w:r w:rsidRPr="00F94B27" w:rsidR="00F94B27">
              <w:rPr>
                <w:b/>
                <w:lang w:val="de-DE"/>
              </w:rPr>
              <w:t>]</w:t>
            </w:r>
            <w:r w:rsidRPr="00AC3522">
              <w:rPr>
                <w:lang w:val="de-DE"/>
              </w:rPr>
              <w:t xml:space="preserve"> Zinszahlungstag, an dem ein variabler Zinssatz anwendbar ist, zahlbar ist, führt. </w:t>
            </w:r>
            <w:r w:rsidRPr="00F94B27" w:rsidR="00F94B27">
              <w:rPr>
                <w:b/>
                <w:lang w:val="de-DE"/>
              </w:rPr>
              <w:t>[</w:t>
            </w:r>
            <w:r w:rsidRPr="006D4A92">
              <w:rPr>
                <w:b/>
                <w:i/>
                <w:lang w:val="de-DE"/>
              </w:rPr>
              <w:t>bei Komplexen Produkten mit Mindestzinssatz und/oder Höchstzinssatz:</w:t>
            </w:r>
            <w:r w:rsidRPr="00AC3522">
              <w:rPr>
                <w:lang w:val="de-DE"/>
              </w:rPr>
              <w:t xml:space="preserve"> In jedem Fall </w:t>
            </w:r>
            <w:r w:rsidRPr="00F94B27" w:rsidR="00F94B27">
              <w:rPr>
                <w:b/>
                <w:lang w:val="de-DE"/>
              </w:rPr>
              <w:t>[</w:t>
            </w:r>
            <w:r w:rsidRPr="00AC3522">
              <w:rPr>
                <w:lang w:val="de-DE"/>
              </w:rPr>
              <w:t xml:space="preserve">entspricht der Zinssatz mindestens dem </w:t>
            </w:r>
            <w:r w:rsidRPr="00F94B27" w:rsidR="00F94B27">
              <w:rPr>
                <w:b/>
                <w:lang w:val="de-DE"/>
              </w:rPr>
              <w:t>[</w:t>
            </w:r>
            <w:r w:rsidRPr="00AC3522">
              <w:rPr>
                <w:lang w:val="de-DE"/>
              </w:rPr>
              <w:t>jeweiligen</w:t>
            </w:r>
            <w:r w:rsidRPr="00F94B27" w:rsidR="00F94B27">
              <w:rPr>
                <w:b/>
                <w:lang w:val="de-DE"/>
              </w:rPr>
              <w:t>]</w:t>
            </w:r>
            <w:r w:rsidRPr="00AC3522">
              <w:rPr>
                <w:lang w:val="de-DE"/>
              </w:rPr>
              <w:t xml:space="preserve"> Mindestszinssatz</w:t>
            </w:r>
            <w:r w:rsidRPr="00F94B27" w:rsidR="00F94B27">
              <w:rPr>
                <w:b/>
                <w:lang w:val="de-DE"/>
              </w:rPr>
              <w:t>]</w:t>
            </w:r>
            <w:r w:rsidRPr="00AC3522">
              <w:rPr>
                <w:lang w:val="de-DE"/>
              </w:rPr>
              <w:t xml:space="preserve"> </w:t>
            </w:r>
            <w:r w:rsidRPr="00F94B27" w:rsidR="00F94B27">
              <w:rPr>
                <w:b/>
                <w:lang w:val="de-DE"/>
              </w:rPr>
              <w:t>[</w:t>
            </w:r>
            <w:r w:rsidRPr="00AC3522">
              <w:rPr>
                <w:lang w:val="de-DE"/>
              </w:rPr>
              <w:t xml:space="preserve">wird der Zinssatz nicht höher als der </w:t>
            </w:r>
            <w:r w:rsidRPr="00F94B27" w:rsidR="00F94B27">
              <w:rPr>
                <w:b/>
                <w:lang w:val="de-DE"/>
              </w:rPr>
              <w:t>[</w:t>
            </w:r>
            <w:r w:rsidRPr="00AC3522">
              <w:rPr>
                <w:lang w:val="de-DE"/>
              </w:rPr>
              <w:t>jeweilige</w:t>
            </w:r>
            <w:r w:rsidRPr="00F94B27" w:rsidR="00F94B27">
              <w:rPr>
                <w:b/>
                <w:lang w:val="de-DE"/>
              </w:rPr>
              <w:t>]</w:t>
            </w:r>
            <w:r w:rsidRPr="00AC3522">
              <w:rPr>
                <w:lang w:val="de-DE"/>
              </w:rPr>
              <w:t xml:space="preserve"> Höchstzinssatz sein</w:t>
            </w:r>
            <w:r w:rsidRPr="00F94B27" w:rsidR="00F94B27">
              <w:rPr>
                <w:b/>
                <w:lang w:val="de-DE"/>
              </w:rPr>
              <w:t>]</w:t>
            </w:r>
            <w:r w:rsidRPr="00AC3522">
              <w:rPr>
                <w:lang w:val="de-DE"/>
              </w:rPr>
              <w:t xml:space="preserve"> </w:t>
            </w:r>
            <w:r w:rsidRPr="00F94B27" w:rsidR="00F94B27">
              <w:rPr>
                <w:b/>
                <w:lang w:val="de-DE"/>
              </w:rPr>
              <w:t>[</w:t>
            </w:r>
            <w:r w:rsidRPr="00AC3522">
              <w:rPr>
                <w:lang w:val="de-DE"/>
              </w:rPr>
              <w:t xml:space="preserve">entspricht der Zinssatz mindestens dem </w:t>
            </w:r>
            <w:r w:rsidRPr="00F94B27" w:rsidR="00F94B27">
              <w:rPr>
                <w:b/>
                <w:lang w:val="de-DE"/>
              </w:rPr>
              <w:t>[</w:t>
            </w:r>
            <w:r w:rsidRPr="00AC3522">
              <w:rPr>
                <w:lang w:val="de-DE"/>
              </w:rPr>
              <w:t>jeweiligen</w:t>
            </w:r>
            <w:r w:rsidRPr="00F94B27" w:rsidR="00F94B27">
              <w:rPr>
                <w:b/>
                <w:lang w:val="de-DE"/>
              </w:rPr>
              <w:t>]</w:t>
            </w:r>
            <w:r w:rsidRPr="00AC3522">
              <w:rPr>
                <w:lang w:val="de-DE"/>
              </w:rPr>
              <w:t xml:space="preserve"> Mindestzinssatz, wird aber nicht höher als der </w:t>
            </w:r>
            <w:r w:rsidRPr="00F94B27" w:rsidR="00F94B27">
              <w:rPr>
                <w:b/>
                <w:lang w:val="de-DE"/>
              </w:rPr>
              <w:t>[</w:t>
            </w:r>
            <w:r w:rsidRPr="00AC3522">
              <w:rPr>
                <w:lang w:val="de-DE"/>
              </w:rPr>
              <w:t>jeweilige</w:t>
            </w:r>
            <w:r w:rsidRPr="00F94B27" w:rsidR="00F94B27">
              <w:rPr>
                <w:b/>
                <w:lang w:val="de-DE"/>
              </w:rPr>
              <w:t>]</w:t>
            </w:r>
            <w:r w:rsidRPr="00AC3522">
              <w:rPr>
                <w:lang w:val="de-DE"/>
              </w:rPr>
              <w:t xml:space="preserve"> Höchstzinssatz sein</w:t>
            </w:r>
            <w:r w:rsidRPr="00F94B27" w:rsidR="00F94B27">
              <w:rPr>
                <w:b/>
                <w:lang w:val="de-DE"/>
              </w:rPr>
              <w:t>]</w:t>
            </w:r>
            <w:r w:rsidRPr="00AC3522">
              <w:rPr>
                <w:lang w:val="de-DE"/>
              </w:rPr>
              <w: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AC3522" w:rsidRPr="00AB16EC" w:rsidP="006D4A92">
            <w:pPr>
              <w:pStyle w:val="CSbody0bolditalic"/>
              <w:rPr>
                <w:lang w:val="en-GB"/>
              </w:rPr>
            </w:pPr>
            <w:r w:rsidRPr="00F94B27">
              <w:rPr>
                <w:lang w:val="en-GB"/>
              </w:rPr>
              <w:t>[</w:t>
            </w:r>
            <w:r w:rsidRPr="00AB16EC">
              <w:rPr>
                <w:lang w:val="en-GB"/>
              </w:rPr>
              <w:t>in case of Cumulative Reverse Floater Notes:</w:t>
            </w:r>
          </w:p>
        </w:tc>
        <w:tc>
          <w:tcPr>
            <w:tcW w:w="2466" w:type="pct"/>
            <w:gridSpan w:val="14"/>
            <w:tcBorders>
              <w:left w:val="single" w:sz="4" w:space="0" w:color="auto"/>
            </w:tcBorders>
          </w:tcPr>
          <w:p w:rsidR="00AC3522" w:rsidP="006D4A92">
            <w:pPr>
              <w:pStyle w:val="CSbody0bolditalic"/>
            </w:pPr>
            <w:r w:rsidRPr="00F94B27">
              <w:t>[</w:t>
            </w:r>
            <w:r w:rsidRPr="00024133">
              <w:t>bei Cumulative Reverse Floater Notes:</w:t>
            </w:r>
          </w:p>
        </w:tc>
      </w:tr>
      <w:tr w:rsidTr="00942F00">
        <w:tblPrEx>
          <w:tblW w:w="5000" w:type="pct"/>
          <w:tblLayout w:type="fixed"/>
          <w:tblLook w:val="04A0"/>
        </w:tblPrEx>
        <w:tc>
          <w:tcPr>
            <w:tcW w:w="2534" w:type="pct"/>
            <w:gridSpan w:val="14"/>
            <w:tcBorders>
              <w:right w:val="single" w:sz="4" w:space="0" w:color="auto"/>
            </w:tcBorders>
          </w:tcPr>
          <w:p w:rsidR="006D4A92" w:rsidRPr="001F496A" w:rsidP="006D4A92">
            <w:pPr>
              <w:pStyle w:val="CSBody0"/>
            </w:pPr>
            <w:r w:rsidRPr="001F496A">
              <w:t xml:space="preserve">In case of Cumulative Reverse Floater Notes, the Interest Rate on the basis of which the Interest Payment Amounts will be calculated will be equal to a fixed rate per annum for the </w:t>
            </w:r>
            <w:r w:rsidRPr="00F94B27" w:rsidR="00F94B27">
              <w:rPr>
                <w:b/>
              </w:rPr>
              <w:t>[</w:t>
            </w:r>
            <w:r w:rsidRPr="001F496A">
              <w:t>first</w:t>
            </w:r>
            <w:r w:rsidRPr="00F94B27" w:rsidR="00F94B27">
              <w:rPr>
                <w:b/>
              </w:rPr>
              <w:t>]</w:t>
            </w:r>
            <w:r w:rsidRPr="001F496A">
              <w:t xml:space="preserve"> </w:t>
            </w:r>
            <w:r w:rsidRPr="00F94B27" w:rsidR="00F94B27">
              <w:rPr>
                <w:b/>
              </w:rPr>
              <w:t>[</w:t>
            </w:r>
            <w:r w:rsidRPr="001F496A">
              <w:t xml:space="preserve">first </w:t>
            </w:r>
            <w:r w:rsidRPr="00F94B27" w:rsidR="00F94B27">
              <w:rPr>
                <w:b/>
              </w:rPr>
              <w:t>[</w:t>
            </w:r>
            <w:r w:rsidRPr="006D4A92">
              <w:rPr>
                <w:b/>
                <w:i/>
              </w:rPr>
              <w:t>insert number of Interest Payment Dates, on which a fixed rate per annum is applicable:</w:t>
            </w:r>
            <w:r w:rsidRPr="001F496A">
              <w:t xml:space="preserve"> </w:t>
            </w:r>
            <w:r w:rsidRPr="00F94B27" w:rsidR="00F94B27">
              <w:rPr>
                <w:b/>
              </w:rPr>
              <w:t>[</w:t>
            </w:r>
            <w:r w:rsidR="003857E8">
              <w:rPr>
                <w:rFonts w:ascii="Arial" w:hAnsi="Arial" w:cs="Arial"/>
              </w:rPr>
              <w:t>●</w:t>
            </w:r>
            <w:r w:rsidRPr="00F94B27" w:rsidR="00F94B27">
              <w:rPr>
                <w:b/>
              </w:rPr>
              <w:t>]]</w:t>
            </w:r>
            <w:r w:rsidRPr="001F496A">
              <w:t xml:space="preserve"> Interest Payment Date</w:t>
            </w:r>
            <w:r w:rsidRPr="00F94B27" w:rsidR="00F94B27">
              <w:rPr>
                <w:b/>
              </w:rPr>
              <w:t>[</w:t>
            </w:r>
            <w:r w:rsidRPr="001F496A">
              <w:t>s</w:t>
            </w:r>
            <w:r w:rsidRPr="00F94B27" w:rsidR="00F94B27">
              <w:rPr>
                <w:b/>
              </w:rPr>
              <w:t>]</w:t>
            </w:r>
            <w:r w:rsidRPr="001F496A">
              <w:t xml:space="preserve">. For the calculation of the Interest Payment Amount on the </w:t>
            </w:r>
            <w:r w:rsidRPr="00F94B27" w:rsidR="00F94B27">
              <w:rPr>
                <w:b/>
              </w:rPr>
              <w:t>[</w:t>
            </w:r>
            <w:r w:rsidRPr="006D4A92">
              <w:rPr>
                <w:b/>
                <w:i/>
              </w:rPr>
              <w:t>insert number of Interest Payment Date, from which the Interest Rate will be a variable rate per annum:</w:t>
            </w:r>
            <w:r w:rsidRPr="001F496A">
              <w:t xml:space="preserve"> </w:t>
            </w:r>
            <w:r w:rsidRPr="00F94B27" w:rsidR="00F94B27">
              <w:rPr>
                <w:b/>
              </w:rPr>
              <w:t>[</w:t>
            </w:r>
            <w:r w:rsidR="003857E8">
              <w:rPr>
                <w:rFonts w:ascii="Arial" w:hAnsi="Arial" w:cs="Arial"/>
              </w:rPr>
              <w:t>●</w:t>
            </w:r>
            <w:r w:rsidRPr="00F94B27" w:rsidR="00F94B27">
              <w:rPr>
                <w:b/>
              </w:rPr>
              <w:t>]]</w:t>
            </w:r>
            <w:r w:rsidRPr="001F496A">
              <w:t xml:space="preserve"> Interest Payment Date </w:t>
            </w:r>
            <w:r w:rsidRPr="00F94B27" w:rsidR="00F94B27">
              <w:rPr>
                <w:b/>
              </w:rPr>
              <w:t>[</w:t>
            </w:r>
            <w:r w:rsidRPr="001F496A">
              <w:t>and any following Interest Payment Date</w:t>
            </w:r>
            <w:r w:rsidRPr="00F94B27" w:rsidR="00F94B27">
              <w:rPr>
                <w:b/>
              </w:rPr>
              <w:t>]</w:t>
            </w:r>
            <w:r w:rsidRPr="001F496A">
              <w:t xml:space="preserve"> the Interest Payment Amount</w:t>
            </w:r>
            <w:r w:rsidRPr="00F94B27" w:rsidR="00F94B27">
              <w:rPr>
                <w:b/>
              </w:rPr>
              <w:t>[</w:t>
            </w:r>
            <w:r w:rsidRPr="001F496A">
              <w:t>s</w:t>
            </w:r>
            <w:r w:rsidRPr="00F94B27" w:rsidR="00F94B27">
              <w:rPr>
                <w:b/>
              </w:rPr>
              <w:t>]</w:t>
            </w:r>
            <w:r w:rsidRPr="001F496A">
              <w:t xml:space="preserve"> will be calculated on the basis of a variable Interest Rate. Such variable Interest Rate applicable on the </w:t>
            </w:r>
            <w:r w:rsidRPr="00F94B27" w:rsidR="00F94B27">
              <w:rPr>
                <w:b/>
              </w:rPr>
              <w:t>[</w:t>
            </w:r>
            <w:r w:rsidRPr="001F496A">
              <w:t>relevant</w:t>
            </w:r>
            <w:r w:rsidRPr="00F94B27" w:rsidR="00F94B27">
              <w:rPr>
                <w:b/>
              </w:rPr>
              <w:t>]</w:t>
            </w:r>
            <w:r w:rsidRPr="001F496A">
              <w:t xml:space="preserve"> Interest Payment Date will be equal to the sum of (i) the Interest Rate applicable to the immediately preceding Interest Payment Date, and (ii) the relevant Spread Rate (</w:t>
            </w:r>
            <w:r w:rsidRPr="007E3558" w:rsidR="007E3558">
              <w:rPr>
                <w:i/>
              </w:rPr>
              <w:t>i.e.</w:t>
            </w:r>
            <w:r w:rsidRPr="001F496A">
              <w:t xml:space="preserve">, a fixed rate per annum) less (iii) the </w:t>
            </w:r>
            <w:r w:rsidRPr="00F94B27" w:rsidR="00F94B27">
              <w:rPr>
                <w:b/>
              </w:rPr>
              <w:t>[</w:t>
            </w:r>
            <w:r w:rsidRPr="001F496A">
              <w:t>value of the Reference Rate (</w:t>
            </w:r>
            <w:r w:rsidRPr="007E3558" w:rsidR="007E3558">
              <w:rPr>
                <w:i/>
              </w:rPr>
              <w:t>i.e.</w:t>
            </w:r>
            <w:r w:rsidRPr="001F496A">
              <w:t xml:space="preserve">, a variable rate of interest) on the </w:t>
            </w:r>
            <w:r w:rsidRPr="00F94B27" w:rsidR="00F94B27">
              <w:rPr>
                <w:b/>
              </w:rPr>
              <w:t>[</w:t>
            </w:r>
            <w:r w:rsidRPr="001F496A">
              <w:t>relevant</w:t>
            </w:r>
            <w:r w:rsidRPr="00F94B27" w:rsidR="00F94B27">
              <w:rPr>
                <w:b/>
              </w:rPr>
              <w:t>]</w:t>
            </w:r>
            <w:r w:rsidRPr="001F496A">
              <w:t xml:space="preserve"> Interest Determination Date</w:t>
            </w:r>
            <w:r w:rsidRPr="00F94B27" w:rsidR="00F94B27">
              <w:rPr>
                <w:b/>
              </w:rPr>
              <w:t>]</w:t>
            </w:r>
            <w:r w:rsidRPr="001F496A">
              <w:t xml:space="preserve"> </w:t>
            </w:r>
            <w:r w:rsidRPr="00F94B27" w:rsidR="00F94B27">
              <w:rPr>
                <w:b/>
              </w:rPr>
              <w:t>[</w:t>
            </w:r>
            <w:r w:rsidRPr="001F496A">
              <w:t>sum of the Reference Rate (</w:t>
            </w:r>
            <w:r w:rsidRPr="007E3558" w:rsidR="007E3558">
              <w:rPr>
                <w:i/>
              </w:rPr>
              <w:t>i.e.</w:t>
            </w:r>
            <w:r w:rsidRPr="001F496A">
              <w:t xml:space="preserve">, a variable rate of interest) on the </w:t>
            </w:r>
            <w:r w:rsidRPr="00F94B27" w:rsidR="00F94B27">
              <w:rPr>
                <w:b/>
              </w:rPr>
              <w:t>[</w:t>
            </w:r>
            <w:r w:rsidRPr="001F496A">
              <w:t>relevant</w:t>
            </w:r>
            <w:r w:rsidRPr="00F94B27" w:rsidR="00F94B27">
              <w:rPr>
                <w:b/>
              </w:rPr>
              <w:t>]</w:t>
            </w:r>
            <w:r w:rsidRPr="001F496A">
              <w:t xml:space="preserve"> Interest Determination Date and </w:t>
            </w:r>
            <w:r w:rsidRPr="00F94B27" w:rsidR="00F94B27">
              <w:rPr>
                <w:b/>
              </w:rPr>
              <w:t>[</w:t>
            </w:r>
            <w:r w:rsidR="003857E8">
              <w:rPr>
                <w:rFonts w:ascii="Arial" w:hAnsi="Arial" w:cs="Arial"/>
              </w:rPr>
              <w:t>●</w:t>
            </w:r>
            <w:r w:rsidRPr="00F94B27" w:rsidR="00F94B27">
              <w:rPr>
                <w:b/>
              </w:rPr>
              <w:t>]</w:t>
            </w:r>
            <w:r w:rsidRPr="001F496A">
              <w:t>% per annum</w:t>
            </w:r>
            <w:r w:rsidRPr="00F94B27" w:rsidR="00F94B27">
              <w:rPr>
                <w:b/>
              </w:rPr>
              <w:t>]</w:t>
            </w:r>
            <w:r w:rsidRPr="001F496A">
              <w:t xml:space="preserve">. Consequently, the lower the value of the Reference Rate on the Interest Determination Date </w:t>
            </w:r>
            <w:r w:rsidRPr="00F94B27" w:rsidR="00F94B27">
              <w:rPr>
                <w:b/>
              </w:rPr>
              <w:t>[</w:t>
            </w:r>
            <w:r w:rsidRPr="001F496A">
              <w:t xml:space="preserve">plus </w:t>
            </w:r>
            <w:r w:rsidRPr="00F94B27" w:rsidR="00F94B27">
              <w:rPr>
                <w:b/>
              </w:rPr>
              <w:t>[</w:t>
            </w:r>
            <w:r w:rsidR="003857E8">
              <w:rPr>
                <w:rFonts w:ascii="Arial" w:hAnsi="Arial" w:cs="Arial"/>
              </w:rPr>
              <w:t>●</w:t>
            </w:r>
            <w:r w:rsidRPr="00F94B27" w:rsidR="00F94B27">
              <w:rPr>
                <w:b/>
              </w:rPr>
              <w:t>]</w:t>
            </w:r>
            <w:r w:rsidRPr="001F496A">
              <w:t>% per annum</w:t>
            </w:r>
            <w:r w:rsidRPr="00F94B27" w:rsidR="00F94B27">
              <w:rPr>
                <w:b/>
              </w:rPr>
              <w:t>]</w:t>
            </w:r>
            <w:r w:rsidRPr="001F496A">
              <w:t xml:space="preserve"> is in comparison to the relevant Spread Rate, the higher the applicable Interest Rate and resulting Interest Payment Amount will be. Conversely, the higher the value of the Reference Rate on the Interest Determination Date </w:t>
            </w:r>
            <w:r w:rsidRPr="00F94B27" w:rsidR="00F94B27">
              <w:rPr>
                <w:b/>
              </w:rPr>
              <w:t>[</w:t>
            </w:r>
            <w:r w:rsidRPr="001F496A">
              <w:t xml:space="preserve">plus </w:t>
            </w:r>
            <w:r w:rsidRPr="00F94B27" w:rsidR="00F94B27">
              <w:rPr>
                <w:b/>
              </w:rPr>
              <w:t>[</w:t>
            </w:r>
            <w:r w:rsidR="003857E8">
              <w:rPr>
                <w:rFonts w:ascii="Arial" w:hAnsi="Arial" w:cs="Arial"/>
              </w:rPr>
              <w:t>●</w:t>
            </w:r>
            <w:r w:rsidRPr="00F94B27" w:rsidR="00F94B27">
              <w:rPr>
                <w:b/>
              </w:rPr>
              <w:t>]</w:t>
            </w:r>
            <w:r w:rsidRPr="001F496A">
              <w:t>% per annum</w:t>
            </w:r>
            <w:r w:rsidRPr="00F94B27" w:rsidR="00F94B27">
              <w:rPr>
                <w:b/>
              </w:rPr>
              <w:t>]</w:t>
            </w:r>
            <w:r w:rsidRPr="001F496A">
              <w:t xml:space="preserve"> is in comparison to the relevant Spread Rate, the lower the applicable Interest Rate and resulting Interest Payment Amount will be. If the value of the Reference Rate on </w:t>
            </w:r>
            <w:r w:rsidRPr="00F94B27" w:rsidR="00F94B27">
              <w:rPr>
                <w:b/>
              </w:rPr>
              <w:t>[</w:t>
            </w:r>
            <w:r w:rsidRPr="001F496A">
              <w:t>the</w:t>
            </w:r>
            <w:r w:rsidRPr="00F94B27" w:rsidR="00F94B27">
              <w:rPr>
                <w:b/>
              </w:rPr>
              <w:t>]</w:t>
            </w:r>
            <w:r w:rsidRPr="001F496A">
              <w:t xml:space="preserve"> </w:t>
            </w:r>
            <w:r w:rsidRPr="00F94B27" w:rsidR="00F94B27">
              <w:rPr>
                <w:b/>
              </w:rPr>
              <w:t>[</w:t>
            </w:r>
            <w:r w:rsidRPr="001F496A">
              <w:t>each</w:t>
            </w:r>
            <w:r w:rsidRPr="00F94B27" w:rsidR="00F94B27">
              <w:rPr>
                <w:b/>
              </w:rPr>
              <w:t>]</w:t>
            </w:r>
            <w:r w:rsidRPr="001F496A">
              <w:t xml:space="preserve"> Interest Determination Date </w:t>
            </w:r>
            <w:r w:rsidRPr="00F94B27" w:rsidR="00F94B27">
              <w:rPr>
                <w:b/>
              </w:rPr>
              <w:t>[</w:t>
            </w:r>
            <w:r w:rsidRPr="001F496A">
              <w:t xml:space="preserve">plus </w:t>
            </w:r>
            <w:r w:rsidRPr="00F94B27" w:rsidR="00F94B27">
              <w:rPr>
                <w:b/>
              </w:rPr>
              <w:t>[</w:t>
            </w:r>
            <w:r w:rsidR="003857E8">
              <w:rPr>
                <w:rFonts w:ascii="Arial" w:hAnsi="Arial" w:cs="Arial"/>
              </w:rPr>
              <w:t>●</w:t>
            </w:r>
            <w:r w:rsidRPr="00F94B27" w:rsidR="00F94B27">
              <w:rPr>
                <w:b/>
              </w:rPr>
              <w:t>]</w:t>
            </w:r>
            <w:r w:rsidRPr="001F496A">
              <w:t>% per annum</w:t>
            </w:r>
            <w:r w:rsidRPr="00F94B27" w:rsidR="00F94B27">
              <w:rPr>
                <w:b/>
              </w:rPr>
              <w:t>]</w:t>
            </w:r>
            <w:r w:rsidRPr="001F496A">
              <w:t xml:space="preserve"> is equal to or above the relevant Spread Rate (</w:t>
            </w:r>
            <w:r w:rsidRPr="007E3558" w:rsidR="007E3558">
              <w:rPr>
                <w:i/>
              </w:rPr>
              <w:t>i.e.</w:t>
            </w:r>
            <w:r w:rsidRPr="001F496A">
              <w:t xml:space="preserve">, if the difference between the relevant Spread Rate and the Reference Rate </w:t>
            </w:r>
            <w:r w:rsidRPr="00F94B27" w:rsidR="00F94B27">
              <w:rPr>
                <w:b/>
              </w:rPr>
              <w:t>[</w:t>
            </w:r>
            <w:r w:rsidRPr="001F496A">
              <w:t xml:space="preserve">plus </w:t>
            </w:r>
            <w:r w:rsidRPr="00F94B27" w:rsidR="00F94B27">
              <w:rPr>
                <w:b/>
              </w:rPr>
              <w:t>[</w:t>
            </w:r>
            <w:r w:rsidR="003857E8">
              <w:rPr>
                <w:rFonts w:ascii="Arial" w:hAnsi="Arial" w:cs="Arial"/>
              </w:rPr>
              <w:t>●</w:t>
            </w:r>
            <w:r w:rsidRPr="00F94B27" w:rsidR="00F94B27">
              <w:rPr>
                <w:b/>
              </w:rPr>
              <w:t>]</w:t>
            </w:r>
            <w:r w:rsidRPr="001F496A">
              <w:t>% per annum</w:t>
            </w:r>
            <w:r w:rsidRPr="00F94B27" w:rsidR="00F94B27">
              <w:rPr>
                <w:b/>
              </w:rPr>
              <w:t>]</w:t>
            </w:r>
            <w:r w:rsidRPr="001F496A">
              <w:t xml:space="preserve"> is equal to zero or a negative amount), the applicable Interest Rate for </w:t>
            </w:r>
            <w:r w:rsidRPr="00F94B27" w:rsidR="00F94B27">
              <w:rPr>
                <w:b/>
              </w:rPr>
              <w:t>[</w:t>
            </w:r>
            <w:r w:rsidRPr="001F496A">
              <w:t>the</w:t>
            </w:r>
            <w:r w:rsidRPr="00F94B27" w:rsidR="00F94B27">
              <w:rPr>
                <w:b/>
              </w:rPr>
              <w:t>]</w:t>
            </w:r>
            <w:r w:rsidRPr="001F496A">
              <w:t xml:space="preserve"> </w:t>
            </w:r>
            <w:r w:rsidRPr="00F94B27" w:rsidR="00F94B27">
              <w:rPr>
                <w:b/>
              </w:rPr>
              <w:t>[</w:t>
            </w:r>
            <w:r w:rsidRPr="001F496A">
              <w:t>each</w:t>
            </w:r>
            <w:r w:rsidRPr="00F94B27" w:rsidR="00F94B27">
              <w:rPr>
                <w:b/>
              </w:rPr>
              <w:t>]</w:t>
            </w:r>
            <w:r w:rsidRPr="001F496A">
              <w:t xml:space="preserve"> Interest Payment Date will be below the fixed rate per annum applicable to the </w:t>
            </w:r>
            <w:r w:rsidRPr="00F94B27" w:rsidR="00F94B27">
              <w:rPr>
                <w:b/>
              </w:rPr>
              <w:t>[</w:t>
            </w:r>
            <w:r w:rsidRPr="001F496A">
              <w:t>first</w:t>
            </w:r>
            <w:r w:rsidRPr="00F94B27" w:rsidR="00F94B27">
              <w:rPr>
                <w:b/>
              </w:rPr>
              <w:t>]</w:t>
            </w:r>
            <w:r w:rsidRPr="001F496A">
              <w:t xml:space="preserve"> </w:t>
            </w:r>
            <w:r w:rsidRPr="00F94B27" w:rsidR="00F94B27">
              <w:rPr>
                <w:b/>
              </w:rPr>
              <w:t>[</w:t>
            </w:r>
            <w:r w:rsidRPr="001F496A">
              <w:t xml:space="preserve">first </w:t>
            </w:r>
            <w:r w:rsidRPr="00F94B27" w:rsidR="00F94B27">
              <w:rPr>
                <w:b/>
              </w:rPr>
              <w:t>[</w:t>
            </w:r>
            <w:r w:rsidRPr="006D4A92">
              <w:rPr>
                <w:b/>
                <w:i/>
              </w:rPr>
              <w:t>insert number of Interest Payment Dates, on which a fixed rate per annum is applicable:</w:t>
            </w:r>
            <w:r w:rsidRPr="001F496A">
              <w:t xml:space="preserve"> </w:t>
            </w:r>
            <w:r w:rsidRPr="00F94B27" w:rsidR="00F94B27">
              <w:rPr>
                <w:b/>
              </w:rPr>
              <w:t>[</w:t>
            </w:r>
            <w:r w:rsidR="003857E8">
              <w:rPr>
                <w:rFonts w:ascii="Arial" w:hAnsi="Arial" w:cs="Arial"/>
              </w:rPr>
              <w:t>●</w:t>
            </w:r>
            <w:r w:rsidRPr="00F94B27" w:rsidR="00F94B27">
              <w:rPr>
                <w:b/>
              </w:rPr>
              <w:t>]]</w:t>
            </w:r>
            <w:r w:rsidRPr="001F496A">
              <w:t xml:space="preserve"> Interest Payment Date</w:t>
            </w:r>
            <w:r w:rsidRPr="00F94B27" w:rsidR="00F94B27">
              <w:rPr>
                <w:b/>
              </w:rPr>
              <w:t>[</w:t>
            </w:r>
            <w:r w:rsidRPr="001F496A">
              <w:t>s</w:t>
            </w:r>
            <w:r w:rsidRPr="00F94B27" w:rsidR="00F94B27">
              <w:rPr>
                <w:b/>
              </w:rPr>
              <w:t>]</w:t>
            </w:r>
            <w:r w:rsidRPr="001F496A">
              <w:t xml:space="preserve"> and may be equal to </w:t>
            </w:r>
            <w:r w:rsidRPr="00F94B27" w:rsidR="00F94B27">
              <w:rPr>
                <w:b/>
              </w:rPr>
              <w:t>[</w:t>
            </w:r>
            <w:r w:rsidRPr="001F496A">
              <w:t>zero</w:t>
            </w:r>
            <w:r w:rsidRPr="00F94B27" w:rsidR="00F94B27">
              <w:rPr>
                <w:b/>
              </w:rPr>
              <w:t>]</w:t>
            </w:r>
            <w:r w:rsidRPr="001F496A">
              <w:t xml:space="preserve"> </w:t>
            </w:r>
            <w:r w:rsidRPr="00F94B27" w:rsidR="00F94B27">
              <w:rPr>
                <w:b/>
              </w:rPr>
              <w:t>[</w:t>
            </w:r>
            <w:r w:rsidRPr="001F496A">
              <w:t>the Minimum Interest Rate</w:t>
            </w:r>
            <w:r w:rsidRPr="00F94B27" w:rsidR="00F94B27">
              <w:rPr>
                <w:b/>
              </w:rPr>
              <w:t>]</w:t>
            </w:r>
            <w:r w:rsidRPr="001F496A">
              <w:t>.</w:t>
            </w:r>
          </w:p>
        </w:tc>
        <w:tc>
          <w:tcPr>
            <w:tcW w:w="2466" w:type="pct"/>
            <w:gridSpan w:val="14"/>
            <w:tcBorders>
              <w:left w:val="single" w:sz="4" w:space="0" w:color="auto"/>
            </w:tcBorders>
          </w:tcPr>
          <w:p w:rsidR="006D4A92" w:rsidRPr="006D4A92" w:rsidP="00474C21">
            <w:pPr>
              <w:pStyle w:val="CSBody0"/>
              <w:rPr>
                <w:lang w:val="de-DE"/>
              </w:rPr>
            </w:pPr>
            <w:r w:rsidRPr="006D4A92">
              <w:rPr>
                <w:lang w:val="de-DE"/>
              </w:rPr>
              <w:t xml:space="preserve">Bei Cumulative Reverse Floater Notes entspricht der Zinssatz, auf dessen Grundlage die Zinszahlungsbeträge berechnet werden, einem Festsatz per annum für </w:t>
            </w:r>
            <w:r w:rsidRPr="00F94B27" w:rsidR="00F94B27">
              <w:rPr>
                <w:b/>
                <w:lang w:val="de-DE"/>
              </w:rPr>
              <w:t>[</w:t>
            </w:r>
            <w:r w:rsidRPr="006D4A92">
              <w:rPr>
                <w:lang w:val="de-DE"/>
              </w:rPr>
              <w:t>den ersten</w:t>
            </w:r>
            <w:r w:rsidRPr="00F94B27" w:rsidR="00F94B27">
              <w:rPr>
                <w:b/>
                <w:lang w:val="de-DE"/>
              </w:rPr>
              <w:t>]</w:t>
            </w:r>
            <w:r w:rsidRPr="006D4A92">
              <w:rPr>
                <w:lang w:val="de-DE"/>
              </w:rPr>
              <w:t xml:space="preserve"> </w:t>
            </w:r>
            <w:r w:rsidRPr="00F94B27" w:rsidR="00F94B27">
              <w:rPr>
                <w:b/>
                <w:lang w:val="de-DE"/>
              </w:rPr>
              <w:t>[</w:t>
            </w:r>
            <w:r w:rsidRPr="006D4A92">
              <w:rPr>
                <w:lang w:val="de-DE"/>
              </w:rPr>
              <w:t xml:space="preserve">die ersten </w:t>
            </w:r>
            <w:r w:rsidRPr="00F94B27" w:rsidR="00F94B27">
              <w:rPr>
                <w:b/>
                <w:lang w:val="de-DE"/>
              </w:rPr>
              <w:t>[</w:t>
            </w:r>
            <w:r w:rsidRPr="006D4A92">
              <w:rPr>
                <w:b/>
                <w:i/>
                <w:lang w:val="de-DE"/>
              </w:rPr>
              <w:t>Anzahl der Zinszahlungstage einfügen, an denen ein Festsatz per annum anwendbar ist:</w:t>
            </w:r>
            <w:r w:rsidRPr="006D4A92">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xml:space="preserve"> Zinszahlungstag</w:t>
            </w:r>
            <w:r w:rsidRPr="00F94B27" w:rsidR="00F94B27">
              <w:rPr>
                <w:b/>
                <w:lang w:val="de-DE"/>
              </w:rPr>
              <w:t>[</w:t>
            </w:r>
            <w:r w:rsidRPr="006D4A92">
              <w:rPr>
                <w:lang w:val="de-DE"/>
              </w:rPr>
              <w:t>e</w:t>
            </w:r>
            <w:r w:rsidRPr="00F94B27" w:rsidR="00F94B27">
              <w:rPr>
                <w:b/>
                <w:lang w:val="de-DE"/>
              </w:rPr>
              <w:t>]</w:t>
            </w:r>
            <w:r w:rsidRPr="006D4A92">
              <w:rPr>
                <w:lang w:val="de-DE"/>
              </w:rPr>
              <w:t xml:space="preserve">. Für die Berechnung des Zinszahlungsbetrags am </w:t>
            </w:r>
            <w:r w:rsidRPr="00F94B27" w:rsidR="00F94B27">
              <w:rPr>
                <w:b/>
                <w:lang w:val="de-DE"/>
              </w:rPr>
              <w:t>[</w:t>
            </w:r>
            <w:r w:rsidRPr="006D4A92">
              <w:rPr>
                <w:b/>
                <w:i/>
                <w:lang w:val="de-DE"/>
              </w:rPr>
              <w:t>Zahl des Zinszahlungstags einfügen, von dem an der Zinssatz ein variabler Satz per annum sein wird:</w:t>
            </w:r>
            <w:r w:rsidRPr="006D4A92">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xml:space="preserve"> Zinszahlungstag </w:t>
            </w:r>
            <w:r w:rsidRPr="00F94B27" w:rsidR="00F94B27">
              <w:rPr>
                <w:b/>
                <w:lang w:val="de-DE"/>
              </w:rPr>
              <w:t>[</w:t>
            </w:r>
            <w:r w:rsidRPr="006D4A92">
              <w:rPr>
                <w:lang w:val="de-DE"/>
              </w:rPr>
              <w:t>und jeden folgenden Zinszahlungsta</w:t>
            </w:r>
            <w:r w:rsidR="00526FBD">
              <w:rPr>
                <w:lang w:val="de-DE"/>
              </w:rPr>
              <w:t>g</w:t>
            </w:r>
            <w:r w:rsidRPr="00F94B27" w:rsidR="00F94B27">
              <w:rPr>
                <w:b/>
                <w:lang w:val="de-DE"/>
              </w:rPr>
              <w:t>]</w:t>
            </w:r>
            <w:r w:rsidR="00526FBD">
              <w:rPr>
                <w:lang w:val="de-DE"/>
              </w:rPr>
              <w:t xml:space="preserve"> </w:t>
            </w:r>
            <w:r w:rsidRPr="00F94B27" w:rsidR="00F94B27">
              <w:rPr>
                <w:b/>
                <w:lang w:val="de-DE"/>
              </w:rPr>
              <w:t>[</w:t>
            </w:r>
            <w:r w:rsidR="00526FBD">
              <w:rPr>
                <w:lang w:val="de-DE"/>
              </w:rPr>
              <w:t>wird</w:t>
            </w:r>
            <w:r w:rsidRPr="00F94B27" w:rsidR="00F94B27">
              <w:rPr>
                <w:b/>
                <w:lang w:val="de-DE"/>
              </w:rPr>
              <w:t>]</w:t>
            </w:r>
            <w:r w:rsidR="00526FBD">
              <w:rPr>
                <w:lang w:val="de-DE"/>
              </w:rPr>
              <w:t xml:space="preserve"> </w:t>
            </w:r>
            <w:r w:rsidRPr="00F94B27" w:rsidR="00F94B27">
              <w:rPr>
                <w:b/>
                <w:lang w:val="de-DE"/>
              </w:rPr>
              <w:t>[</w:t>
            </w:r>
            <w:r w:rsidR="00526FBD">
              <w:rPr>
                <w:lang w:val="de-DE"/>
              </w:rPr>
              <w:t>werden</w:t>
            </w:r>
            <w:r w:rsidRPr="00F94B27" w:rsidR="00F94B27">
              <w:rPr>
                <w:b/>
                <w:lang w:val="de-DE"/>
              </w:rPr>
              <w:t>]</w:t>
            </w:r>
            <w:r w:rsidR="00526FBD">
              <w:rPr>
                <w:lang w:val="de-DE"/>
              </w:rPr>
              <w:t xml:space="preserve"> </w:t>
            </w:r>
            <w:r w:rsidRPr="00F94B27" w:rsidR="00F94B27">
              <w:rPr>
                <w:b/>
                <w:lang w:val="de-DE"/>
              </w:rPr>
              <w:t>[</w:t>
            </w:r>
            <w:r w:rsidR="00526FBD">
              <w:rPr>
                <w:lang w:val="de-DE"/>
              </w:rPr>
              <w:t>der Zinszah</w:t>
            </w:r>
            <w:r w:rsidRPr="006D4A92">
              <w:rPr>
                <w:lang w:val="de-DE"/>
              </w:rPr>
              <w:t>lungsbetrag</w:t>
            </w:r>
            <w:r w:rsidRPr="00F94B27" w:rsidR="00F94B27">
              <w:rPr>
                <w:b/>
                <w:lang w:val="de-DE"/>
              </w:rPr>
              <w:t>]</w:t>
            </w:r>
            <w:r w:rsidRPr="006D4A92">
              <w:rPr>
                <w:lang w:val="de-DE"/>
              </w:rPr>
              <w:t xml:space="preserve"> </w:t>
            </w:r>
            <w:r w:rsidRPr="00F94B27" w:rsidR="00F94B27">
              <w:rPr>
                <w:b/>
                <w:lang w:val="de-DE"/>
              </w:rPr>
              <w:t>[</w:t>
            </w:r>
            <w:r w:rsidRPr="006D4A92">
              <w:rPr>
                <w:lang w:val="de-DE"/>
              </w:rPr>
              <w:t>die Zinszahlungsbeträge</w:t>
            </w:r>
            <w:r w:rsidRPr="00F94B27" w:rsidR="00F94B27">
              <w:rPr>
                <w:b/>
                <w:lang w:val="de-DE"/>
              </w:rPr>
              <w:t>]</w:t>
            </w:r>
            <w:r w:rsidRPr="006D4A92">
              <w:rPr>
                <w:lang w:val="de-DE"/>
              </w:rPr>
              <w:t xml:space="preserve"> auf der Grundlage eines variablen Zinssatzes berechnet. Dieser variable Zinssatz, der am </w:t>
            </w:r>
            <w:r w:rsidRPr="00F94B27" w:rsidR="00F94B27">
              <w:rPr>
                <w:b/>
                <w:lang w:val="de-DE"/>
              </w:rPr>
              <w:t>[</w:t>
            </w:r>
            <w:r w:rsidRPr="006D4A92">
              <w:rPr>
                <w:lang w:val="de-DE"/>
              </w:rPr>
              <w:t>jeweiligen</w:t>
            </w:r>
            <w:r w:rsidRPr="00F94B27" w:rsidR="00F94B27">
              <w:rPr>
                <w:b/>
                <w:lang w:val="de-DE"/>
              </w:rPr>
              <w:t>]</w:t>
            </w:r>
            <w:r w:rsidRPr="006D4A92">
              <w:rPr>
                <w:lang w:val="de-DE"/>
              </w:rPr>
              <w:t xml:space="preserve"> Zinszalungstag anwendbar ist, entspricht der Summe aus (i) dem Zinssatz, der für den unmittelbar vorangegangenen Zinszahlungstag Anwendung gefunden hat und (ii) dem jeweiligen Spreadsatz (d.h., einem Festsatz per annum) abzüglich (iii) </w:t>
            </w:r>
            <w:r w:rsidRPr="00F94B27" w:rsidR="00F94B27">
              <w:rPr>
                <w:b/>
                <w:lang w:val="de-DE"/>
              </w:rPr>
              <w:t>[</w:t>
            </w:r>
            <w:r w:rsidRPr="006D4A92">
              <w:rPr>
                <w:lang w:val="de-DE"/>
              </w:rPr>
              <w:t xml:space="preserve">des Werts des Referenzsatzes (d.h. einem variablen Zinssatz) am </w:t>
            </w:r>
            <w:r w:rsidRPr="00F94B27" w:rsidR="00F94B27">
              <w:rPr>
                <w:b/>
                <w:lang w:val="de-DE"/>
              </w:rPr>
              <w:t>[</w:t>
            </w:r>
            <w:r w:rsidRPr="006D4A92">
              <w:rPr>
                <w:lang w:val="de-DE"/>
              </w:rPr>
              <w:t>jeweiligen</w:t>
            </w:r>
            <w:r w:rsidRPr="00F94B27" w:rsidR="00F94B27">
              <w:rPr>
                <w:b/>
                <w:lang w:val="de-DE"/>
              </w:rPr>
              <w:t>]</w:t>
            </w:r>
            <w:r w:rsidRPr="006D4A92">
              <w:rPr>
                <w:lang w:val="de-DE"/>
              </w:rPr>
              <w:t xml:space="preserve"> Zinsfeststellungstag</w:t>
            </w:r>
            <w:r w:rsidRPr="00F94B27" w:rsidR="00F94B27">
              <w:rPr>
                <w:b/>
                <w:lang w:val="de-DE"/>
              </w:rPr>
              <w:t>]</w:t>
            </w:r>
            <w:r w:rsidRPr="006D4A92">
              <w:rPr>
                <w:lang w:val="de-DE"/>
              </w:rPr>
              <w:t xml:space="preserve"> </w:t>
            </w:r>
            <w:r w:rsidRPr="00F94B27" w:rsidR="00F94B27">
              <w:rPr>
                <w:b/>
                <w:lang w:val="de-DE"/>
              </w:rPr>
              <w:t>[</w:t>
            </w:r>
            <w:r w:rsidRPr="006D4A92">
              <w:rPr>
                <w:lang w:val="de-DE"/>
              </w:rPr>
              <w:t xml:space="preserve">der Summe aus dem Referenzsatz (d.h. einem variablen Zinssatz) am </w:t>
            </w:r>
            <w:r w:rsidRPr="00F94B27" w:rsidR="00F94B27">
              <w:rPr>
                <w:b/>
                <w:lang w:val="de-DE"/>
              </w:rPr>
              <w:t>[</w:t>
            </w:r>
            <w:r w:rsidRPr="006D4A92">
              <w:rPr>
                <w:lang w:val="de-DE"/>
              </w:rPr>
              <w:t>jeweiligen</w:t>
            </w:r>
            <w:r w:rsidRPr="00F94B27" w:rsidR="00F94B27">
              <w:rPr>
                <w:b/>
                <w:lang w:val="de-DE"/>
              </w:rPr>
              <w:t>]</w:t>
            </w:r>
            <w:r w:rsidRPr="006D4A92">
              <w:rPr>
                <w:lang w:val="de-DE"/>
              </w:rPr>
              <w:t xml:space="preserve">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per annum</w:t>
            </w:r>
            <w:r w:rsidRPr="00F94B27" w:rsidR="00F94B27">
              <w:rPr>
                <w:b/>
                <w:lang w:val="de-DE"/>
              </w:rPr>
              <w:t>]</w:t>
            </w:r>
            <w:r w:rsidRPr="006D4A92">
              <w:rPr>
                <w:lang w:val="de-DE"/>
              </w:rPr>
              <w:t xml:space="preserve">. Folglich gilt: je niedriger der Wert des Referenzsatzes am Zinsfeststellungstag </w:t>
            </w:r>
            <w:r w:rsidRPr="00F94B27" w:rsidR="00F94B27">
              <w:rPr>
                <w:b/>
                <w:lang w:val="de-DE"/>
              </w:rPr>
              <w:t>[</w:t>
            </w:r>
            <w:r w:rsidRPr="006D4A92">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per annum</w:t>
            </w:r>
            <w:r w:rsidRPr="00F94B27" w:rsidR="00F94B27">
              <w:rPr>
                <w:b/>
                <w:lang w:val="de-DE"/>
              </w:rPr>
              <w:t>]</w:t>
            </w:r>
            <w:r w:rsidRPr="006D4A92">
              <w:rPr>
                <w:lang w:val="de-DE"/>
              </w:rPr>
              <w:t xml:space="preserve"> im Vergleich zum jeweiligen Spreadsatz ist, desto höher fällt der anwendbare Zinssatz und der resultierende Zinszahlungsbetrag aus. Umgekehrt gilt: je höher der Wert des Referenzsatzes am Zinsfeststellungstag </w:t>
            </w:r>
            <w:r w:rsidRPr="00F94B27" w:rsidR="00F94B27">
              <w:rPr>
                <w:b/>
                <w:lang w:val="de-DE"/>
              </w:rPr>
              <w:t>[</w:t>
            </w:r>
            <w:r w:rsidRPr="006D4A92">
              <w:rPr>
                <w:lang w:val="de-DE"/>
              </w:rPr>
              <w:t xml:space="preserve">zuzüglich </w:t>
            </w:r>
            <w:r w:rsidR="003857E8">
              <w:rPr>
                <w:rFonts w:ascii="Arial" w:hAnsi="Arial" w:cs="Arial"/>
                <w:lang w:val="de-DE"/>
              </w:rPr>
              <w:t>●</w:t>
            </w:r>
            <w:r w:rsidRPr="00F94B27" w:rsidR="00F94B27">
              <w:rPr>
                <w:b/>
                <w:lang w:val="de-DE"/>
              </w:rPr>
              <w:t>]</w:t>
            </w:r>
            <w:r w:rsidRPr="006D4A92">
              <w:rPr>
                <w:lang w:val="de-DE"/>
              </w:rPr>
              <w:t>% per annum</w:t>
            </w:r>
            <w:r w:rsidRPr="00F94B27" w:rsidR="00F94B27">
              <w:rPr>
                <w:b/>
                <w:lang w:val="de-DE"/>
              </w:rPr>
              <w:t>]</w:t>
            </w:r>
            <w:r w:rsidRPr="006D4A92">
              <w:rPr>
                <w:lang w:val="de-DE"/>
              </w:rPr>
              <w:t xml:space="preserve"> im Vergleich zum jeweiligen Spreadsatz ist, desto niedriger fällt der anwendbare Zinssatz und der resultierende Zinszahlungsbetrag aus. Falls der Wert des Referenzsatzes </w:t>
            </w:r>
            <w:r w:rsidRPr="00F94B27" w:rsidR="00F94B27">
              <w:rPr>
                <w:b/>
                <w:lang w:val="de-DE"/>
              </w:rPr>
              <w:t>[</w:t>
            </w:r>
            <w:r w:rsidRPr="006D4A92">
              <w:rPr>
                <w:lang w:val="de-DE"/>
              </w:rPr>
              <w:t>am</w:t>
            </w:r>
            <w:r w:rsidRPr="00F94B27" w:rsidR="00F94B27">
              <w:rPr>
                <w:b/>
                <w:lang w:val="de-DE"/>
              </w:rPr>
              <w:t>]</w:t>
            </w:r>
            <w:r w:rsidRPr="006D4A92">
              <w:rPr>
                <w:lang w:val="de-DE"/>
              </w:rPr>
              <w:t xml:space="preserve"> </w:t>
            </w:r>
            <w:r w:rsidRPr="00F94B27" w:rsidR="00F94B27">
              <w:rPr>
                <w:b/>
                <w:lang w:val="de-DE"/>
              </w:rPr>
              <w:t>[</w:t>
            </w:r>
            <w:r w:rsidRPr="006D4A92">
              <w:rPr>
                <w:lang w:val="de-DE"/>
              </w:rPr>
              <w:t>an jedem</w:t>
            </w:r>
            <w:r w:rsidRPr="00F94B27" w:rsidR="00F94B27">
              <w:rPr>
                <w:b/>
                <w:lang w:val="de-DE"/>
              </w:rPr>
              <w:t>]</w:t>
            </w:r>
            <w:r w:rsidRPr="006D4A92">
              <w:rPr>
                <w:lang w:val="de-DE"/>
              </w:rPr>
              <w:t xml:space="preserve"> Zinsfeststellungstag </w:t>
            </w:r>
            <w:r w:rsidRPr="00F94B27" w:rsidR="00F94B27">
              <w:rPr>
                <w:b/>
                <w:lang w:val="de-DE"/>
              </w:rPr>
              <w:t>[</w:t>
            </w:r>
            <w:r w:rsidRPr="006D4A92">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per annum</w:t>
            </w:r>
            <w:r w:rsidRPr="00F94B27" w:rsidR="00F94B27">
              <w:rPr>
                <w:b/>
                <w:lang w:val="de-DE"/>
              </w:rPr>
              <w:t>]</w:t>
            </w:r>
            <w:r w:rsidRPr="006D4A92">
              <w:rPr>
                <w:lang w:val="de-DE"/>
              </w:rPr>
              <w:t xml:space="preserve"> dem Spreadsatz entspricht oder über diesem liegt</w:t>
            </w:r>
            <w:r w:rsidR="00474C21">
              <w:rPr>
                <w:lang w:val="de-DE"/>
              </w:rPr>
              <w:t xml:space="preserve"> (d.h., falls die Differenz zwis</w:t>
            </w:r>
            <w:r w:rsidRPr="006D4A92">
              <w:rPr>
                <w:lang w:val="de-DE"/>
              </w:rPr>
              <w:t xml:space="preserve">chen dem jeweiligen Spreadsatz und dem Referenzsatz </w:t>
            </w:r>
            <w:r w:rsidRPr="00F94B27" w:rsidR="00F94B27">
              <w:rPr>
                <w:b/>
                <w:lang w:val="de-DE"/>
              </w:rPr>
              <w:t>[</w:t>
            </w:r>
            <w:r w:rsidRPr="006D4A92">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per annum</w:t>
            </w:r>
            <w:r w:rsidRPr="00F94B27" w:rsidR="00F94B27">
              <w:rPr>
                <w:b/>
                <w:lang w:val="de-DE"/>
              </w:rPr>
              <w:t>]</w:t>
            </w:r>
            <w:r w:rsidRPr="006D4A92">
              <w:rPr>
                <w:lang w:val="de-DE"/>
              </w:rPr>
              <w:t xml:space="preserve"> null oder einem negativen Betrag entspricht), wird der anwendbare Zinssatz für </w:t>
            </w:r>
            <w:r w:rsidRPr="00F94B27" w:rsidR="00F94B27">
              <w:rPr>
                <w:b/>
                <w:lang w:val="de-DE"/>
              </w:rPr>
              <w:t>[</w:t>
            </w:r>
            <w:r w:rsidRPr="006D4A92">
              <w:rPr>
                <w:lang w:val="de-DE"/>
              </w:rPr>
              <w:t>den</w:t>
            </w:r>
            <w:r w:rsidRPr="00F94B27" w:rsidR="00F94B27">
              <w:rPr>
                <w:b/>
                <w:lang w:val="de-DE"/>
              </w:rPr>
              <w:t>]</w:t>
            </w:r>
            <w:r w:rsidRPr="006D4A92">
              <w:rPr>
                <w:lang w:val="de-DE"/>
              </w:rPr>
              <w:t xml:space="preserve"> </w:t>
            </w:r>
            <w:r w:rsidRPr="00F94B27" w:rsidR="00F94B27">
              <w:rPr>
                <w:b/>
                <w:lang w:val="de-DE"/>
              </w:rPr>
              <w:t>[</w:t>
            </w:r>
            <w:r w:rsidRPr="006D4A92">
              <w:rPr>
                <w:lang w:val="de-DE"/>
              </w:rPr>
              <w:t>jeden</w:t>
            </w:r>
            <w:r w:rsidRPr="00F94B27" w:rsidR="00F94B27">
              <w:rPr>
                <w:b/>
                <w:lang w:val="de-DE"/>
              </w:rPr>
              <w:t>]</w:t>
            </w:r>
            <w:r w:rsidRPr="006D4A92">
              <w:rPr>
                <w:lang w:val="de-DE"/>
              </w:rPr>
              <w:t xml:space="preserve"> Zinszahlungstag unter dem Festzsatz per annum für </w:t>
            </w:r>
            <w:r w:rsidRPr="00F94B27" w:rsidR="00F94B27">
              <w:rPr>
                <w:b/>
                <w:lang w:val="de-DE"/>
              </w:rPr>
              <w:t>[</w:t>
            </w:r>
            <w:r w:rsidRPr="006D4A92">
              <w:rPr>
                <w:lang w:val="de-DE"/>
              </w:rPr>
              <w:t>den ersten</w:t>
            </w:r>
            <w:r w:rsidRPr="00F94B27" w:rsidR="00F94B27">
              <w:rPr>
                <w:b/>
                <w:lang w:val="de-DE"/>
              </w:rPr>
              <w:t>]</w:t>
            </w:r>
            <w:r w:rsidRPr="006D4A92">
              <w:rPr>
                <w:lang w:val="de-DE"/>
              </w:rPr>
              <w:t xml:space="preserve"> </w:t>
            </w:r>
            <w:r w:rsidRPr="00F94B27" w:rsidR="00F94B27">
              <w:rPr>
                <w:b/>
                <w:lang w:val="de-DE"/>
              </w:rPr>
              <w:t>[</w:t>
            </w:r>
            <w:r w:rsidRPr="006D4A92">
              <w:rPr>
                <w:lang w:val="de-DE"/>
              </w:rPr>
              <w:t xml:space="preserve">die ersten </w:t>
            </w:r>
            <w:r w:rsidRPr="00F94B27" w:rsidR="00F94B27">
              <w:rPr>
                <w:b/>
                <w:lang w:val="de-DE"/>
              </w:rPr>
              <w:t>[</w:t>
            </w:r>
            <w:r w:rsidRPr="006D4A92">
              <w:rPr>
                <w:b/>
                <w:i/>
                <w:lang w:val="de-DE"/>
              </w:rPr>
              <w:t>Anzahl der Zinszahlungstage einfügen, an denen ein Festsatz per annum anwendbar ist:</w:t>
            </w:r>
            <w:r w:rsidRPr="006D4A92">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xml:space="preserve"> Zinszahlungstag</w:t>
            </w:r>
            <w:r w:rsidRPr="00F94B27" w:rsidR="00F94B27">
              <w:rPr>
                <w:b/>
                <w:lang w:val="de-DE"/>
              </w:rPr>
              <w:t>[</w:t>
            </w:r>
            <w:r w:rsidRPr="006D4A92">
              <w:rPr>
                <w:lang w:val="de-DE"/>
              </w:rPr>
              <w:t>e</w:t>
            </w:r>
            <w:r w:rsidRPr="00F94B27" w:rsidR="00F94B27">
              <w:rPr>
                <w:b/>
                <w:lang w:val="de-DE"/>
              </w:rPr>
              <w:t>]</w:t>
            </w:r>
            <w:r w:rsidRPr="006D4A92">
              <w:rPr>
                <w:lang w:val="de-DE"/>
              </w:rPr>
              <w:t xml:space="preserve"> liegen und kann </w:t>
            </w:r>
            <w:r w:rsidRPr="00F94B27" w:rsidR="00F94B27">
              <w:rPr>
                <w:b/>
                <w:lang w:val="de-DE"/>
              </w:rPr>
              <w:t>[</w:t>
            </w:r>
            <w:r w:rsidRPr="006D4A92">
              <w:rPr>
                <w:lang w:val="de-DE"/>
              </w:rPr>
              <w:t>null</w:t>
            </w:r>
            <w:r w:rsidRPr="00F94B27" w:rsidR="00F94B27">
              <w:rPr>
                <w:b/>
                <w:lang w:val="de-DE"/>
              </w:rPr>
              <w:t>]</w:t>
            </w:r>
            <w:r w:rsidRPr="006D4A92">
              <w:rPr>
                <w:lang w:val="de-DE"/>
              </w:rPr>
              <w:t xml:space="preserve"> </w:t>
            </w:r>
            <w:r w:rsidRPr="00F94B27" w:rsidR="00F94B27">
              <w:rPr>
                <w:b/>
                <w:lang w:val="de-DE"/>
              </w:rPr>
              <w:t>[</w:t>
            </w:r>
            <w:r w:rsidRPr="006D4A92">
              <w:rPr>
                <w:lang w:val="de-DE"/>
              </w:rPr>
              <w:t>dem Mindestzinssatz</w:t>
            </w:r>
            <w:r w:rsidRPr="00F94B27" w:rsidR="00F94B27">
              <w:rPr>
                <w:b/>
                <w:lang w:val="de-DE"/>
              </w:rPr>
              <w:t>]</w:t>
            </w:r>
            <w:r w:rsidRPr="006D4A92">
              <w:rPr>
                <w:lang w:val="de-DE"/>
              </w:rPr>
              <w:t xml:space="preserve"> entsprechen.</w:t>
            </w:r>
          </w:p>
        </w:tc>
      </w:tr>
      <w:tr w:rsidTr="00942F00">
        <w:tblPrEx>
          <w:tblW w:w="5000" w:type="pct"/>
          <w:tblLayout w:type="fixed"/>
          <w:tblLook w:val="04A0"/>
        </w:tblPrEx>
        <w:tc>
          <w:tcPr>
            <w:tcW w:w="2534" w:type="pct"/>
            <w:gridSpan w:val="14"/>
            <w:tcBorders>
              <w:right w:val="single" w:sz="4" w:space="0" w:color="auto"/>
            </w:tcBorders>
          </w:tcPr>
          <w:p w:rsidR="006D4A92" w:rsidRPr="001F496A" w:rsidP="006D4A92">
            <w:pPr>
              <w:pStyle w:val="CSBody0"/>
            </w:pPr>
            <w:r w:rsidRPr="00F94B27">
              <w:rPr>
                <w:b/>
              </w:rPr>
              <w:t>[</w:t>
            </w:r>
            <w:r w:rsidRPr="006D4A92">
              <w:rPr>
                <w:b/>
                <w:i/>
              </w:rPr>
              <w:t>in case of Complex Products with Maximum Interest Rate:</w:t>
            </w:r>
            <w:r w:rsidRPr="001F496A">
              <w:t xml:space="preserve"> In any case, the Interest Rate for </w:t>
            </w:r>
            <w:r w:rsidRPr="00F94B27">
              <w:rPr>
                <w:b/>
              </w:rPr>
              <w:t>[</w:t>
            </w:r>
            <w:r w:rsidRPr="001F496A">
              <w:t>the</w:t>
            </w:r>
            <w:r w:rsidRPr="00F94B27">
              <w:rPr>
                <w:b/>
              </w:rPr>
              <w:t>][</w:t>
            </w:r>
            <w:r w:rsidRPr="001F496A">
              <w:t>each</w:t>
            </w:r>
            <w:r w:rsidRPr="00F94B27">
              <w:rPr>
                <w:b/>
              </w:rPr>
              <w:t>]</w:t>
            </w:r>
            <w:r w:rsidRPr="001F496A">
              <w:t xml:space="preserve"> Interest Payment Date in respect of which a variable interest rate is applicable will not exceed the </w:t>
            </w:r>
            <w:r w:rsidRPr="00F94B27">
              <w:rPr>
                <w:b/>
              </w:rPr>
              <w:t>[</w:t>
            </w:r>
            <w:r w:rsidRPr="001F496A">
              <w:t>relevant</w:t>
            </w:r>
            <w:r w:rsidRPr="00F94B27">
              <w:rPr>
                <w:b/>
              </w:rPr>
              <w:t>]</w:t>
            </w:r>
            <w:r w:rsidRPr="001F496A">
              <w:t xml:space="preserve"> Maximum Interest Rate.</w:t>
            </w:r>
            <w:r w:rsidRPr="00F94B27">
              <w:rPr>
                <w:b/>
              </w:rPr>
              <w:t>]]</w:t>
            </w:r>
          </w:p>
        </w:tc>
        <w:tc>
          <w:tcPr>
            <w:tcW w:w="2466" w:type="pct"/>
            <w:gridSpan w:val="14"/>
            <w:tcBorders>
              <w:left w:val="single" w:sz="4" w:space="0" w:color="auto"/>
            </w:tcBorders>
          </w:tcPr>
          <w:p w:rsidR="006D4A92" w:rsidRPr="006D4A92" w:rsidP="006D4A92">
            <w:pPr>
              <w:pStyle w:val="CSBody0"/>
              <w:rPr>
                <w:lang w:val="de-DE"/>
              </w:rPr>
            </w:pPr>
            <w:r w:rsidRPr="00F94B27">
              <w:rPr>
                <w:b/>
                <w:lang w:val="de-DE"/>
              </w:rPr>
              <w:t>[</w:t>
            </w:r>
            <w:r w:rsidRPr="006D4A92">
              <w:rPr>
                <w:b/>
                <w:i/>
                <w:lang w:val="de-DE"/>
              </w:rPr>
              <w:t>bei Komplexen Produkten mit Höchstzinssatz:</w:t>
            </w:r>
            <w:r w:rsidRPr="006D4A92">
              <w:rPr>
                <w:lang w:val="de-DE"/>
              </w:rPr>
              <w:t xml:space="preserve"> In jedem Fall wird der Zinssatz für </w:t>
            </w:r>
            <w:r w:rsidRPr="00F94B27">
              <w:rPr>
                <w:b/>
                <w:lang w:val="de-DE"/>
              </w:rPr>
              <w:t>[</w:t>
            </w:r>
            <w:r w:rsidRPr="006D4A92">
              <w:rPr>
                <w:lang w:val="de-DE"/>
              </w:rPr>
              <w:t>den</w:t>
            </w:r>
            <w:r w:rsidRPr="00F94B27">
              <w:rPr>
                <w:b/>
                <w:lang w:val="de-DE"/>
              </w:rPr>
              <w:t>][</w:t>
            </w:r>
            <w:r w:rsidRPr="006D4A92">
              <w:rPr>
                <w:lang w:val="de-DE"/>
              </w:rPr>
              <w:t>jeden</w:t>
            </w:r>
            <w:r w:rsidRPr="00F94B27">
              <w:rPr>
                <w:b/>
                <w:lang w:val="de-DE"/>
              </w:rPr>
              <w:t>]</w:t>
            </w:r>
            <w:r w:rsidRPr="006D4A92">
              <w:rPr>
                <w:lang w:val="de-DE"/>
              </w:rPr>
              <w:t xml:space="preserve"> Zinszahlungstag, in Bezug auf den ein variabler Zinssatz Anwendung findet, nicht höher als der </w:t>
            </w:r>
            <w:r w:rsidRPr="00F94B27">
              <w:rPr>
                <w:b/>
                <w:lang w:val="de-DE"/>
              </w:rPr>
              <w:t>[</w:t>
            </w:r>
            <w:r w:rsidRPr="006D4A92">
              <w:rPr>
                <w:lang w:val="de-DE"/>
              </w:rPr>
              <w:t>jeweilige</w:t>
            </w:r>
            <w:r w:rsidRPr="00F94B27">
              <w:rPr>
                <w:b/>
                <w:lang w:val="de-DE"/>
              </w:rPr>
              <w:t>]</w:t>
            </w:r>
            <w:r w:rsidRPr="006D4A92">
              <w:rPr>
                <w:lang w:val="de-DE"/>
              </w:rPr>
              <w:t xml:space="preserve"> Höchstzinssatz sein</w:t>
            </w:r>
            <w:r w:rsidRPr="00F94B27">
              <w:rPr>
                <w:b/>
                <w:lang w:val="de-DE"/>
              </w:rPr>
              <w:t>]</w:t>
            </w:r>
            <w:r w:rsidRPr="006D4A92">
              <w:rPr>
                <w:lang w:val="de-DE"/>
              </w:rPr>
              <w: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D4A92" w:rsidRPr="00AB16EC" w:rsidP="006D4A92">
            <w:pPr>
              <w:pStyle w:val="CSbody0bolditalic"/>
              <w:rPr>
                <w:lang w:val="en-GB"/>
              </w:rPr>
            </w:pPr>
            <w:r w:rsidRPr="00F94B27">
              <w:rPr>
                <w:lang w:val="en-GB"/>
              </w:rPr>
              <w:t>[</w:t>
            </w:r>
            <w:r w:rsidRPr="00AB16EC">
              <w:rPr>
                <w:lang w:val="en-GB"/>
              </w:rPr>
              <w:t>in case of Stairway Notes:</w:t>
            </w:r>
          </w:p>
        </w:tc>
        <w:tc>
          <w:tcPr>
            <w:tcW w:w="2466" w:type="pct"/>
            <w:gridSpan w:val="14"/>
            <w:tcBorders>
              <w:left w:val="single" w:sz="4" w:space="0" w:color="auto"/>
            </w:tcBorders>
          </w:tcPr>
          <w:p w:rsidR="006D4A92" w:rsidP="006D4A92">
            <w:pPr>
              <w:pStyle w:val="CSbody0bolditalic"/>
            </w:pPr>
            <w:r w:rsidRPr="00F94B27">
              <w:t>[</w:t>
            </w:r>
            <w:r w:rsidRPr="001F496A">
              <w:t>bei Stairway Notes:</w:t>
            </w:r>
          </w:p>
        </w:tc>
      </w:tr>
      <w:tr w:rsidTr="00942F00">
        <w:tblPrEx>
          <w:tblW w:w="5000" w:type="pct"/>
          <w:tblLayout w:type="fixed"/>
          <w:tblLook w:val="04A0"/>
        </w:tblPrEx>
        <w:tc>
          <w:tcPr>
            <w:tcW w:w="2534" w:type="pct"/>
            <w:gridSpan w:val="14"/>
            <w:tcBorders>
              <w:right w:val="single" w:sz="4" w:space="0" w:color="auto"/>
            </w:tcBorders>
          </w:tcPr>
          <w:p w:rsidR="006D4A92" w:rsidRPr="00DC6E28" w:rsidP="006D4A92">
            <w:pPr>
              <w:pStyle w:val="CSBody0"/>
            </w:pPr>
            <w:r w:rsidRPr="00DC6E28">
              <w:t xml:space="preserve">In case of Stairway Notes, the Interest Rate on the basis of which the Interest Payment Amounts are calculated will be equal to a fixed rate per annum for the </w:t>
            </w:r>
            <w:r w:rsidRPr="00F94B27" w:rsidR="00F94B27">
              <w:rPr>
                <w:b/>
              </w:rPr>
              <w:t>[</w:t>
            </w:r>
            <w:r w:rsidRPr="00DC6E28">
              <w:t>first</w:t>
            </w:r>
            <w:r w:rsidRPr="00F94B27" w:rsidR="00F94B27">
              <w:rPr>
                <w:b/>
              </w:rPr>
              <w:t>]</w:t>
            </w:r>
            <w:r w:rsidRPr="00DC6E28">
              <w:t xml:space="preserve"> </w:t>
            </w:r>
            <w:r w:rsidRPr="00F94B27" w:rsidR="00F94B27">
              <w:rPr>
                <w:b/>
              </w:rPr>
              <w:t>[</w:t>
            </w:r>
            <w:r w:rsidRPr="00DC6E28">
              <w:t xml:space="preserve">first </w:t>
            </w:r>
            <w:r w:rsidRPr="00F94B27" w:rsidR="00F94B27">
              <w:rPr>
                <w:b/>
              </w:rPr>
              <w:t>[</w:t>
            </w:r>
            <w:r w:rsidRPr="006D4A92">
              <w:rPr>
                <w:b/>
                <w:i/>
              </w:rPr>
              <w:t>insert number of Interest Payment Dates, on which a fixed rate per annum is applicable:</w:t>
            </w:r>
            <w:r w:rsidRPr="00DC6E28">
              <w:t xml:space="preserve"> </w:t>
            </w:r>
            <w:r w:rsidRPr="00F94B27" w:rsidR="00F94B27">
              <w:rPr>
                <w:b/>
              </w:rPr>
              <w:t>[</w:t>
            </w:r>
            <w:r w:rsidR="003857E8">
              <w:rPr>
                <w:rFonts w:ascii="Arial" w:hAnsi="Arial" w:cs="Arial"/>
              </w:rPr>
              <w:t>●</w:t>
            </w:r>
            <w:r w:rsidRPr="00F94B27" w:rsidR="00F94B27">
              <w:rPr>
                <w:b/>
              </w:rPr>
              <w:t>]]</w:t>
            </w:r>
            <w:r w:rsidRPr="00DC6E28">
              <w:t xml:space="preserve"> Interest Payment Date</w:t>
            </w:r>
            <w:r w:rsidRPr="00F94B27" w:rsidR="00F94B27">
              <w:rPr>
                <w:b/>
              </w:rPr>
              <w:t>[</w:t>
            </w:r>
            <w:r w:rsidRPr="00DC6E28">
              <w:t>s</w:t>
            </w:r>
            <w:r w:rsidRPr="00F94B27" w:rsidR="00F94B27">
              <w:rPr>
                <w:b/>
              </w:rPr>
              <w:t>]</w:t>
            </w:r>
            <w:r w:rsidRPr="00DC6E28">
              <w:t xml:space="preserve">. For the calculation of the Interest Payment Amount on the </w:t>
            </w:r>
            <w:r w:rsidRPr="00F94B27" w:rsidR="00F94B27">
              <w:rPr>
                <w:b/>
              </w:rPr>
              <w:t>[</w:t>
            </w:r>
            <w:r w:rsidRPr="006D4A92">
              <w:rPr>
                <w:b/>
                <w:i/>
              </w:rPr>
              <w:t>insert number of Interest Payment Date, from which the Interest Rate will be a variable rate per annum:</w:t>
            </w:r>
            <w:r w:rsidRPr="00DC6E28">
              <w:t xml:space="preserve"> </w:t>
            </w:r>
            <w:r w:rsidRPr="00F94B27" w:rsidR="00F94B27">
              <w:rPr>
                <w:b/>
              </w:rPr>
              <w:t>[</w:t>
            </w:r>
            <w:r w:rsidR="003857E8">
              <w:rPr>
                <w:rFonts w:ascii="Arial" w:hAnsi="Arial" w:cs="Arial"/>
              </w:rPr>
              <w:t>●</w:t>
            </w:r>
            <w:r w:rsidRPr="00F94B27" w:rsidR="00F94B27">
              <w:rPr>
                <w:b/>
              </w:rPr>
              <w:t>]]</w:t>
            </w:r>
            <w:r w:rsidRPr="00DC6E28">
              <w:t xml:space="preserve"> Interest Payment Date </w:t>
            </w:r>
            <w:r w:rsidRPr="00F94B27" w:rsidR="00F94B27">
              <w:rPr>
                <w:b/>
              </w:rPr>
              <w:t>[</w:t>
            </w:r>
            <w:r w:rsidRPr="00DC6E28">
              <w:t>and any following Interest Payment Date</w:t>
            </w:r>
            <w:r w:rsidRPr="00F94B27" w:rsidR="00F94B27">
              <w:rPr>
                <w:b/>
              </w:rPr>
              <w:t>]</w:t>
            </w:r>
            <w:r w:rsidRPr="00DC6E28">
              <w:t xml:space="preserve"> the Interest Payment Amount</w:t>
            </w:r>
            <w:r w:rsidRPr="00F94B27" w:rsidR="00F94B27">
              <w:rPr>
                <w:b/>
              </w:rPr>
              <w:t>[</w:t>
            </w:r>
            <w:r w:rsidRPr="00DC6E28">
              <w:t>s</w:t>
            </w:r>
            <w:r w:rsidRPr="00F94B27" w:rsidR="00F94B27">
              <w:rPr>
                <w:b/>
              </w:rPr>
              <w:t>]</w:t>
            </w:r>
            <w:r w:rsidRPr="00DC6E28">
              <w:t xml:space="preserve"> will be calculated on the basis of a variable Interest Rate. Such variable Interest Rate will be equal to the lesser of (i) the relevant Maximum Interest Rate (which is equal to the Interest Rate applicable to the immediately preceding Interest Payment Date, plus </w:t>
            </w:r>
            <w:r w:rsidRPr="00F94B27" w:rsidR="00F94B27">
              <w:rPr>
                <w:b/>
              </w:rPr>
              <w:t>[</w:t>
            </w:r>
            <w:r w:rsidR="003857E8">
              <w:rPr>
                <w:rFonts w:ascii="Arial" w:hAnsi="Arial" w:cs="Arial"/>
              </w:rPr>
              <w:t>●</w:t>
            </w:r>
            <w:r w:rsidRPr="00F94B27" w:rsidR="00F94B27">
              <w:rPr>
                <w:b/>
              </w:rPr>
              <w:t>]</w:t>
            </w:r>
            <w:r w:rsidRPr="00DC6E28">
              <w:t xml:space="preserve">% per annum) and (ii) the greater of (a) the </w:t>
            </w:r>
            <w:r w:rsidRPr="00F94B27" w:rsidR="00F94B27">
              <w:rPr>
                <w:b/>
              </w:rPr>
              <w:t>[</w:t>
            </w:r>
            <w:r w:rsidRPr="00DC6E28">
              <w:t>Reference Rate (</w:t>
            </w:r>
            <w:r w:rsidRPr="007E3558" w:rsidR="007E3558">
              <w:rPr>
                <w:i/>
              </w:rPr>
              <w:t>i.e.</w:t>
            </w:r>
            <w:r w:rsidRPr="00DC6E28">
              <w:t>, a variable rate of interest) on the relevant Interest Determination Date</w:t>
            </w:r>
            <w:r w:rsidRPr="00F94B27" w:rsidR="00F94B27">
              <w:rPr>
                <w:b/>
              </w:rPr>
              <w:t>]</w:t>
            </w:r>
            <w:r w:rsidRPr="00DC6E28">
              <w:t xml:space="preserve"> </w:t>
            </w:r>
            <w:r w:rsidRPr="00F94B27" w:rsidR="00F94B27">
              <w:rPr>
                <w:b/>
              </w:rPr>
              <w:t>[</w:t>
            </w:r>
            <w:r w:rsidRPr="00DC6E28">
              <w:t>sum of the Reference Rate (</w:t>
            </w:r>
            <w:r w:rsidRPr="007E3558" w:rsidR="007E3558">
              <w:rPr>
                <w:i/>
              </w:rPr>
              <w:t>i.e.</w:t>
            </w:r>
            <w:r w:rsidRPr="00DC6E28">
              <w:t xml:space="preserve">, a variable rate of interest) on the relevant Interest Determination Date and </w:t>
            </w:r>
            <w:r w:rsidRPr="00F94B27" w:rsidR="00F94B27">
              <w:rPr>
                <w:b/>
              </w:rPr>
              <w:t>[</w:t>
            </w:r>
            <w:r w:rsidR="003857E8">
              <w:rPr>
                <w:rFonts w:ascii="Arial" w:hAnsi="Arial" w:cs="Arial"/>
              </w:rPr>
              <w:t>●</w:t>
            </w:r>
            <w:r w:rsidRPr="00F94B27" w:rsidR="00F94B27">
              <w:rPr>
                <w:b/>
              </w:rPr>
              <w:t>]</w:t>
            </w:r>
            <w:r w:rsidRPr="00DC6E28">
              <w:t>% per annum</w:t>
            </w:r>
            <w:r w:rsidRPr="00F94B27" w:rsidR="00F94B27">
              <w:rPr>
                <w:b/>
              </w:rPr>
              <w:t>]</w:t>
            </w:r>
            <w:r w:rsidRPr="00DC6E28">
              <w:t xml:space="preserve">, and (b) the relevant Minimum Interest Rate (which is equal to the Interest Rate applicable to the immediately preceding Interest Payment Date </w:t>
            </w:r>
            <w:r w:rsidRPr="00F94B27" w:rsidR="00F94B27">
              <w:rPr>
                <w:b/>
              </w:rPr>
              <w:t>[</w:t>
            </w:r>
            <w:r w:rsidRPr="00DC6E28">
              <w:t xml:space="preserve">plus </w:t>
            </w:r>
            <w:r w:rsidRPr="00F94B27" w:rsidR="00F94B27">
              <w:rPr>
                <w:b/>
              </w:rPr>
              <w:t>[</w:t>
            </w:r>
            <w:r w:rsidR="003857E8">
              <w:rPr>
                <w:rFonts w:ascii="Arial" w:hAnsi="Arial" w:cs="Arial"/>
              </w:rPr>
              <w:t>●</w:t>
            </w:r>
            <w:r w:rsidRPr="00F94B27" w:rsidR="00F94B27">
              <w:rPr>
                <w:b/>
              </w:rPr>
              <w:t>]</w:t>
            </w:r>
            <w:r w:rsidRPr="00DC6E28">
              <w:t>% per annum</w:t>
            </w:r>
            <w:r w:rsidRPr="00F94B27" w:rsidR="00F94B27">
              <w:rPr>
                <w:b/>
              </w:rPr>
              <w:t>]</w:t>
            </w:r>
            <w:r w:rsidRPr="00DC6E28">
              <w:t>. Consequently, an increase in the Referene Rate will generally result in a higher variable Interest Rate, but will in no event exceed the Maximum Interest Rate, while a decrease in the Reference Rate will generally result in a lower variable Interest Rate, but in no event falling below the Minimum Interest Rate. The profit potential in relation to Stairway Notes is therefore capped.</w:t>
            </w:r>
            <w:r w:rsidRPr="00F94B27" w:rsidR="00F94B27">
              <w:rPr>
                <w:b/>
              </w:rPr>
              <w:t>]</w:t>
            </w:r>
          </w:p>
        </w:tc>
        <w:tc>
          <w:tcPr>
            <w:tcW w:w="2466" w:type="pct"/>
            <w:gridSpan w:val="14"/>
            <w:tcBorders>
              <w:left w:val="single" w:sz="4" w:space="0" w:color="auto"/>
            </w:tcBorders>
          </w:tcPr>
          <w:p w:rsidR="006D4A92" w:rsidRPr="006D4A92" w:rsidP="006D4A92">
            <w:pPr>
              <w:pStyle w:val="CSBody0"/>
              <w:rPr>
                <w:lang w:val="de-DE"/>
              </w:rPr>
            </w:pPr>
            <w:r w:rsidRPr="006D4A92">
              <w:rPr>
                <w:lang w:val="de-DE"/>
              </w:rPr>
              <w:t xml:space="preserve">Bei Stairway Notes entspricht der Zinssatz, auf dessen Grundlage die Zinszahlungsbeträge berechnet werden, einem Festsatz per annum für </w:t>
            </w:r>
            <w:r w:rsidRPr="00F94B27" w:rsidR="00F94B27">
              <w:rPr>
                <w:b/>
                <w:lang w:val="de-DE"/>
              </w:rPr>
              <w:t>[</w:t>
            </w:r>
            <w:r w:rsidRPr="006D4A92">
              <w:rPr>
                <w:lang w:val="de-DE"/>
              </w:rPr>
              <w:t>den ersten</w:t>
            </w:r>
            <w:r w:rsidRPr="00F94B27" w:rsidR="00F94B27">
              <w:rPr>
                <w:b/>
                <w:lang w:val="de-DE"/>
              </w:rPr>
              <w:t>]</w:t>
            </w:r>
            <w:r w:rsidRPr="006D4A92">
              <w:rPr>
                <w:lang w:val="de-DE"/>
              </w:rPr>
              <w:t xml:space="preserve"> </w:t>
            </w:r>
            <w:r w:rsidRPr="00F94B27" w:rsidR="00F94B27">
              <w:rPr>
                <w:b/>
                <w:lang w:val="de-DE"/>
              </w:rPr>
              <w:t>[</w:t>
            </w:r>
            <w:r w:rsidRPr="006D4A92">
              <w:rPr>
                <w:lang w:val="de-DE"/>
              </w:rPr>
              <w:t xml:space="preserve">die ersten </w:t>
            </w:r>
            <w:r w:rsidRPr="00F94B27" w:rsidR="00F94B27">
              <w:rPr>
                <w:b/>
                <w:lang w:val="de-DE"/>
              </w:rPr>
              <w:t>[</w:t>
            </w:r>
            <w:r w:rsidRPr="006D4A92">
              <w:rPr>
                <w:b/>
                <w:i/>
                <w:lang w:val="de-DE"/>
              </w:rPr>
              <w:t>Anzahl der Zinszahlungstage einfügen, an denen ein Festsatz per annum anwendbar ist:</w:t>
            </w:r>
            <w:r w:rsidRPr="006D4A92">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xml:space="preserve"> Zinszahlungstag</w:t>
            </w:r>
            <w:r w:rsidRPr="00F94B27" w:rsidR="00F94B27">
              <w:rPr>
                <w:b/>
                <w:lang w:val="de-DE"/>
              </w:rPr>
              <w:t>[</w:t>
            </w:r>
            <w:r w:rsidRPr="006D4A92">
              <w:rPr>
                <w:lang w:val="de-DE"/>
              </w:rPr>
              <w:t>e</w:t>
            </w:r>
            <w:r w:rsidRPr="00F94B27" w:rsidR="00F94B27">
              <w:rPr>
                <w:b/>
                <w:lang w:val="de-DE"/>
              </w:rPr>
              <w:t>]</w:t>
            </w:r>
            <w:r w:rsidRPr="006D4A92">
              <w:rPr>
                <w:lang w:val="de-DE"/>
              </w:rPr>
              <w:t xml:space="preserve">. Für die Berechnung des Zinszahlungsbetrags am </w:t>
            </w:r>
            <w:r w:rsidRPr="00F94B27" w:rsidR="00F94B27">
              <w:rPr>
                <w:b/>
                <w:lang w:val="de-DE"/>
              </w:rPr>
              <w:t>[</w:t>
            </w:r>
            <w:r w:rsidRPr="006D4A92">
              <w:rPr>
                <w:b/>
                <w:i/>
                <w:lang w:val="de-DE"/>
              </w:rPr>
              <w:t>Zahl des Zinszahlungstags einfügen, von dem an der Zinssatz ein variabler Satz per annum sein wird:</w:t>
            </w:r>
            <w:r w:rsidRPr="006D4A92">
              <w:rPr>
                <w:lang w:val="de-DE"/>
              </w:rPr>
              <w:t xml:space="preserve">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xml:space="preserve"> Zinszahlungstag </w:t>
            </w:r>
            <w:r w:rsidRPr="00F94B27" w:rsidR="00F94B27">
              <w:rPr>
                <w:b/>
                <w:lang w:val="de-DE"/>
              </w:rPr>
              <w:t>[</w:t>
            </w:r>
            <w:r w:rsidRPr="006D4A92">
              <w:rPr>
                <w:lang w:val="de-DE"/>
              </w:rPr>
              <w:t>und jeden folgenden Zinszahlungstag</w:t>
            </w:r>
            <w:r w:rsidRPr="00F94B27" w:rsidR="00F94B27">
              <w:rPr>
                <w:b/>
                <w:lang w:val="de-DE"/>
              </w:rPr>
              <w:t>]</w:t>
            </w:r>
            <w:r w:rsidRPr="006D4A92">
              <w:rPr>
                <w:lang w:val="de-DE"/>
              </w:rPr>
              <w:t xml:space="preserve"> </w:t>
            </w:r>
            <w:r w:rsidRPr="00F94B27" w:rsidR="00F94B27">
              <w:rPr>
                <w:b/>
                <w:lang w:val="de-DE"/>
              </w:rPr>
              <w:t>[</w:t>
            </w:r>
            <w:r w:rsidRPr="006D4A92">
              <w:rPr>
                <w:lang w:val="de-DE"/>
              </w:rPr>
              <w:t>wird</w:t>
            </w:r>
            <w:r w:rsidRPr="00F94B27" w:rsidR="00F94B27">
              <w:rPr>
                <w:b/>
                <w:lang w:val="de-DE"/>
              </w:rPr>
              <w:t>]</w:t>
            </w:r>
            <w:r w:rsidRPr="006D4A92">
              <w:rPr>
                <w:lang w:val="de-DE"/>
              </w:rPr>
              <w:t xml:space="preserve"> </w:t>
            </w:r>
            <w:r w:rsidRPr="00F94B27" w:rsidR="00F94B27">
              <w:rPr>
                <w:b/>
                <w:lang w:val="de-DE"/>
              </w:rPr>
              <w:t>[</w:t>
            </w:r>
            <w:r w:rsidRPr="006D4A92">
              <w:rPr>
                <w:lang w:val="de-DE"/>
              </w:rPr>
              <w:t>werden</w:t>
            </w:r>
            <w:r w:rsidRPr="00F94B27" w:rsidR="00F94B27">
              <w:rPr>
                <w:b/>
                <w:lang w:val="de-DE"/>
              </w:rPr>
              <w:t>]</w:t>
            </w:r>
            <w:r w:rsidRPr="006D4A92">
              <w:rPr>
                <w:lang w:val="de-DE"/>
              </w:rPr>
              <w:t xml:space="preserve"> </w:t>
            </w:r>
            <w:r w:rsidRPr="00F94B27" w:rsidR="00F94B27">
              <w:rPr>
                <w:b/>
                <w:lang w:val="de-DE"/>
              </w:rPr>
              <w:t>[</w:t>
            </w:r>
            <w:r w:rsidRPr="006D4A92">
              <w:rPr>
                <w:lang w:val="de-DE"/>
              </w:rPr>
              <w:t>der Zinszahlungsbetrag</w:t>
            </w:r>
            <w:r w:rsidRPr="00F94B27" w:rsidR="00F94B27">
              <w:rPr>
                <w:b/>
                <w:lang w:val="de-DE"/>
              </w:rPr>
              <w:t>]</w:t>
            </w:r>
            <w:r w:rsidRPr="006D4A92">
              <w:rPr>
                <w:lang w:val="de-DE"/>
              </w:rPr>
              <w:t xml:space="preserve"> </w:t>
            </w:r>
            <w:r w:rsidRPr="00F94B27" w:rsidR="00F94B27">
              <w:rPr>
                <w:b/>
                <w:lang w:val="de-DE"/>
              </w:rPr>
              <w:t>[</w:t>
            </w:r>
            <w:r w:rsidRPr="006D4A92">
              <w:rPr>
                <w:lang w:val="de-DE"/>
              </w:rPr>
              <w:t>die Zinszahlungsbeträge</w:t>
            </w:r>
            <w:r w:rsidRPr="00F94B27" w:rsidR="00F94B27">
              <w:rPr>
                <w:b/>
                <w:lang w:val="de-DE"/>
              </w:rPr>
              <w:t>]</w:t>
            </w:r>
            <w:r w:rsidRPr="006D4A92">
              <w:rPr>
                <w:lang w:val="de-DE"/>
              </w:rPr>
              <w:t xml:space="preserve"> auf der Grundlage eines variablen Zinssatzes berechnet. Dieser variable Zinssatz entspricht dem kleineren der folgenden Beträge: (i) der jeweilige Höchstzinssatz (der dem Zinssatz entspricht, der am unmittelbar vorangegangenen Zinszahlungstag Anwendung gefunden hat, 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xml:space="preserve">% per annum) und (ii) der grössere der folgenden Beträge: (a) </w:t>
            </w:r>
            <w:r w:rsidRPr="00F94B27" w:rsidR="00F94B27">
              <w:rPr>
                <w:b/>
                <w:lang w:val="de-DE"/>
              </w:rPr>
              <w:t>[</w:t>
            </w:r>
            <w:r w:rsidRPr="006D4A92">
              <w:rPr>
                <w:lang w:val="de-DE"/>
              </w:rPr>
              <w:t>der Referenzsatz (d.h. ein variabler Zinssatz) am jeweiligen Zinsfeststellungstag</w:t>
            </w:r>
            <w:r w:rsidRPr="00F94B27" w:rsidR="00F94B27">
              <w:rPr>
                <w:b/>
                <w:lang w:val="de-DE"/>
              </w:rPr>
              <w:t>]</w:t>
            </w:r>
            <w:r w:rsidRPr="006D4A92">
              <w:rPr>
                <w:lang w:val="de-DE"/>
              </w:rPr>
              <w:t xml:space="preserve"> </w:t>
            </w:r>
            <w:r w:rsidRPr="00F94B27" w:rsidR="00F94B27">
              <w:rPr>
                <w:b/>
                <w:lang w:val="de-DE"/>
              </w:rPr>
              <w:t>[</w:t>
            </w:r>
            <w:r w:rsidRPr="006D4A92">
              <w:rPr>
                <w:lang w:val="de-DE"/>
              </w:rPr>
              <w:t xml:space="preserve">die Summe aus dem Referenzsatz (d.h. ein variabler Zinssatz) am jeweiligen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per annum</w:t>
            </w:r>
            <w:r w:rsidRPr="00F94B27" w:rsidR="00F94B27">
              <w:rPr>
                <w:b/>
                <w:lang w:val="de-DE"/>
              </w:rPr>
              <w:t>]</w:t>
            </w:r>
            <w:r w:rsidRPr="006D4A92">
              <w:rPr>
                <w:lang w:val="de-DE"/>
              </w:rPr>
              <w:t xml:space="preserve">, und (b) der jeweilige Mindestzinssatz (der dem Zinssatz entspricht, der am unmittelbar vorangegangenen Zinszahlungstag Anwendung gefunden hat </w:t>
            </w:r>
            <w:r w:rsidRPr="00F94B27" w:rsidR="00F94B27">
              <w:rPr>
                <w:b/>
                <w:lang w:val="de-DE"/>
              </w:rPr>
              <w:t>[</w:t>
            </w:r>
            <w:r w:rsidRPr="006D4A92">
              <w:rPr>
                <w:lang w:val="de-DE"/>
              </w:rPr>
              <w:t xml:space="preserve">, 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6D4A92">
              <w:rPr>
                <w:lang w:val="de-DE"/>
              </w:rPr>
              <w:t>% per annum</w:t>
            </w:r>
            <w:r w:rsidRPr="00F94B27" w:rsidR="00F94B27">
              <w:rPr>
                <w:b/>
                <w:lang w:val="de-DE"/>
              </w:rPr>
              <w:t>]</w:t>
            </w:r>
            <w:r w:rsidRPr="006D4A92">
              <w:rPr>
                <w:lang w:val="de-DE"/>
              </w:rPr>
              <w:t>. Folglich führt ein Ansteigen des Referenzsatzes regelmässig zu einem höheren variablen Zinssatz, der aber in keinem Fall über den Höchstzinssatz steigen kann. Umgekehrt führt ein Absinken des Referenzsatzes regelmässig zu einem variablen Zinssatz, der aber keinem Fall unter den Mindestzinssatz fallen kann. Folglich ist das Gewinnpotenzial bei Stairway Notes nach oben hin begrenzt.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D4A92" w:rsidRPr="00AB16EC" w:rsidP="006D4A92">
            <w:pPr>
              <w:pStyle w:val="CSbody0bolditalic"/>
              <w:rPr>
                <w:lang w:val="en-GB"/>
              </w:rPr>
            </w:pPr>
            <w:r w:rsidRPr="00F94B27">
              <w:rPr>
                <w:lang w:val="en-GB"/>
              </w:rPr>
              <w:t>[</w:t>
            </w:r>
            <w:r w:rsidRPr="00AB16EC">
              <w:rPr>
                <w:lang w:val="en-GB"/>
              </w:rPr>
              <w:t>in case of Inverse Floating Rate Notes:</w:t>
            </w:r>
          </w:p>
        </w:tc>
        <w:tc>
          <w:tcPr>
            <w:tcW w:w="2466" w:type="pct"/>
            <w:gridSpan w:val="14"/>
            <w:tcBorders>
              <w:left w:val="single" w:sz="4" w:space="0" w:color="auto"/>
            </w:tcBorders>
          </w:tcPr>
          <w:p w:rsidR="006D4A92" w:rsidRPr="00AB16EC" w:rsidP="006D4A92">
            <w:pPr>
              <w:pStyle w:val="CSbody0bolditalic"/>
              <w:rPr>
                <w:lang w:val="en-GB"/>
              </w:rPr>
            </w:pPr>
            <w:r w:rsidRPr="00F94B27">
              <w:rPr>
                <w:lang w:val="en-GB"/>
              </w:rPr>
              <w:t>[</w:t>
            </w:r>
            <w:r w:rsidRPr="00AB16EC">
              <w:rPr>
                <w:lang w:val="en-GB"/>
              </w:rPr>
              <w:t>bei Inverse Floating Rate Notes:</w:t>
            </w:r>
          </w:p>
        </w:tc>
      </w:tr>
      <w:tr w:rsidTr="00942F00">
        <w:tblPrEx>
          <w:tblW w:w="5000" w:type="pct"/>
          <w:tblLayout w:type="fixed"/>
          <w:tblLook w:val="04A0"/>
        </w:tblPrEx>
        <w:tc>
          <w:tcPr>
            <w:tcW w:w="2534" w:type="pct"/>
            <w:gridSpan w:val="14"/>
            <w:tcBorders>
              <w:right w:val="single" w:sz="4" w:space="0" w:color="auto"/>
            </w:tcBorders>
          </w:tcPr>
          <w:p w:rsidR="006D4A92" w:rsidRPr="00DC6E28" w:rsidP="006D4A92">
            <w:pPr>
              <w:pStyle w:val="CSBody0"/>
            </w:pPr>
            <w:r w:rsidRPr="00F94B27">
              <w:rPr>
                <w:b/>
              </w:rPr>
              <w:t>[</w:t>
            </w:r>
            <w:r w:rsidRPr="006D4A92">
              <w:rPr>
                <w:b/>
                <w:i/>
              </w:rPr>
              <w:t>in case of Complex Products with one or more Fixed Interest Payment Dates:</w:t>
            </w:r>
            <w:r w:rsidRPr="00DC6E28">
              <w:t xml:space="preserve"> In case of Inverse Floating Rate Notes, the Interest Rate on the basis of which the Interest Payment Amounts are calculated will be equal to a fixed rate per annum for the </w:t>
            </w:r>
            <w:r w:rsidRPr="00F94B27">
              <w:rPr>
                <w:b/>
              </w:rPr>
              <w:t>[</w:t>
            </w:r>
            <w:r w:rsidRPr="00DC6E28">
              <w:t>first</w:t>
            </w:r>
            <w:r w:rsidRPr="00F94B27">
              <w:rPr>
                <w:b/>
              </w:rPr>
              <w:t>]</w:t>
            </w:r>
            <w:r w:rsidRPr="00DC6E28">
              <w:t xml:space="preserve"> </w:t>
            </w:r>
            <w:r w:rsidRPr="00F94B27">
              <w:rPr>
                <w:b/>
              </w:rPr>
              <w:t>[</w:t>
            </w:r>
            <w:r w:rsidRPr="00DC6E28">
              <w:t xml:space="preserve">first </w:t>
            </w:r>
            <w:r w:rsidRPr="00F94B27">
              <w:rPr>
                <w:b/>
              </w:rPr>
              <w:t>[</w:t>
            </w:r>
            <w:r w:rsidRPr="006D4A92">
              <w:rPr>
                <w:b/>
                <w:i/>
              </w:rPr>
              <w:t>insert number of Interest Payment Dates, on which a fixed rate per annum is applicable:</w:t>
            </w:r>
            <w:r w:rsidRPr="00DC6E28">
              <w:t xml:space="preserve"> </w:t>
            </w:r>
            <w:r w:rsidRPr="00F94B27">
              <w:rPr>
                <w:b/>
              </w:rPr>
              <w:t>[</w:t>
            </w:r>
            <w:r w:rsidR="003857E8">
              <w:rPr>
                <w:rFonts w:ascii="Arial" w:hAnsi="Arial" w:cs="Arial"/>
              </w:rPr>
              <w:t>●</w:t>
            </w:r>
            <w:r w:rsidRPr="00F94B27">
              <w:rPr>
                <w:b/>
              </w:rPr>
              <w:t>]]</w:t>
            </w:r>
            <w:r w:rsidRPr="00DC6E28">
              <w:t xml:space="preserve"> Interest Payment Date</w:t>
            </w:r>
            <w:r w:rsidRPr="00F94B27">
              <w:rPr>
                <w:b/>
              </w:rPr>
              <w:t>[</w:t>
            </w:r>
            <w:r w:rsidRPr="00DC6E28">
              <w:t>s</w:t>
            </w:r>
            <w:r w:rsidRPr="00F94B27">
              <w:rPr>
                <w:b/>
              </w:rPr>
              <w:t>]</w:t>
            </w:r>
            <w:r w:rsidRPr="00DC6E28">
              <w:t xml:space="preserve">. For the calculation of the Interest Payment Amount on the </w:t>
            </w:r>
            <w:r w:rsidRPr="00F94B27">
              <w:rPr>
                <w:b/>
              </w:rPr>
              <w:t>[</w:t>
            </w:r>
            <w:r w:rsidRPr="006D4A92">
              <w:rPr>
                <w:b/>
                <w:i/>
              </w:rPr>
              <w:t>insert number of Interest Payment Date, from which the Interest Rate will be a variable rate per annum:</w:t>
            </w:r>
            <w:r w:rsidRPr="00DC6E28">
              <w:t xml:space="preserve"> </w:t>
            </w:r>
            <w:r w:rsidRPr="00F94B27">
              <w:rPr>
                <w:b/>
              </w:rPr>
              <w:t>[</w:t>
            </w:r>
            <w:r w:rsidR="003857E8">
              <w:rPr>
                <w:rFonts w:ascii="Arial" w:hAnsi="Arial" w:cs="Arial"/>
              </w:rPr>
              <w:t>●</w:t>
            </w:r>
            <w:r w:rsidRPr="00F94B27">
              <w:rPr>
                <w:b/>
              </w:rPr>
              <w:t>]]</w:t>
            </w:r>
            <w:r w:rsidRPr="00DC6E28">
              <w:t xml:space="preserve"> Interest Payment Date </w:t>
            </w:r>
            <w:r w:rsidRPr="00F94B27">
              <w:rPr>
                <w:b/>
              </w:rPr>
              <w:t>[</w:t>
            </w:r>
            <w:r w:rsidRPr="00DC6E28">
              <w:t>and any following Interest Payment Date</w:t>
            </w:r>
            <w:r w:rsidRPr="00F94B27">
              <w:rPr>
                <w:b/>
              </w:rPr>
              <w:t>]</w:t>
            </w:r>
            <w:r w:rsidRPr="00DC6E28">
              <w:t xml:space="preserve"> the Interest Payment Amount</w:t>
            </w:r>
            <w:r w:rsidRPr="00F94B27">
              <w:rPr>
                <w:b/>
              </w:rPr>
              <w:t>[</w:t>
            </w:r>
            <w:r w:rsidRPr="00DC6E28">
              <w:t>s</w:t>
            </w:r>
            <w:r w:rsidRPr="00F94B27">
              <w:rPr>
                <w:b/>
              </w:rPr>
              <w:t>]</w:t>
            </w:r>
            <w:r w:rsidRPr="00DC6E28">
              <w:t xml:space="preserve"> will be calculated on the basis of a variable Interest Rate.</w:t>
            </w:r>
            <w:r w:rsidRPr="00F94B27">
              <w:rPr>
                <w:b/>
              </w:rPr>
              <w:t>]</w:t>
            </w:r>
          </w:p>
        </w:tc>
        <w:tc>
          <w:tcPr>
            <w:tcW w:w="2466" w:type="pct"/>
            <w:gridSpan w:val="14"/>
            <w:tcBorders>
              <w:left w:val="single" w:sz="4" w:space="0" w:color="auto"/>
            </w:tcBorders>
          </w:tcPr>
          <w:p w:rsidR="006D4A92" w:rsidRPr="006D4A92" w:rsidP="00FD4C41">
            <w:pPr>
              <w:pStyle w:val="CSBody0"/>
              <w:rPr>
                <w:lang w:val="de-DE"/>
              </w:rPr>
            </w:pPr>
            <w:r w:rsidRPr="00F94B27">
              <w:rPr>
                <w:b/>
                <w:lang w:val="de-DE"/>
              </w:rPr>
              <w:t>[</w:t>
            </w:r>
            <w:r w:rsidRPr="006D4A92">
              <w:rPr>
                <w:b/>
                <w:i/>
                <w:lang w:val="de-DE"/>
              </w:rPr>
              <w:t>bei Komplexen Produkten mit einem oder mehreren Zahlungstagen für Festzinsen:</w:t>
            </w:r>
            <w:r w:rsidRPr="006D4A92">
              <w:rPr>
                <w:lang w:val="de-DE"/>
              </w:rPr>
              <w:t xml:space="preserve"> Bei Inverse Floating Rate Notes entspricht der Zinssatz, auf dessen Grundlage die Zinszahlungsbeträge berechnet werden, einem Festsatz per annum für </w:t>
            </w:r>
            <w:r w:rsidRPr="00F94B27">
              <w:rPr>
                <w:b/>
                <w:lang w:val="de-DE"/>
              </w:rPr>
              <w:t>[</w:t>
            </w:r>
            <w:r w:rsidRPr="006D4A92">
              <w:rPr>
                <w:lang w:val="de-DE"/>
              </w:rPr>
              <w:t>den ersten</w:t>
            </w:r>
            <w:r w:rsidRPr="00F94B27">
              <w:rPr>
                <w:b/>
                <w:lang w:val="de-DE"/>
              </w:rPr>
              <w:t>]</w:t>
            </w:r>
            <w:r w:rsidRPr="006D4A92">
              <w:rPr>
                <w:lang w:val="de-DE"/>
              </w:rPr>
              <w:t xml:space="preserve"> </w:t>
            </w:r>
            <w:r w:rsidRPr="00F94B27">
              <w:rPr>
                <w:b/>
                <w:lang w:val="de-DE"/>
              </w:rPr>
              <w:t>[</w:t>
            </w:r>
            <w:r w:rsidRPr="006D4A92">
              <w:rPr>
                <w:lang w:val="de-DE"/>
              </w:rPr>
              <w:t xml:space="preserve">die ersten </w:t>
            </w:r>
            <w:r w:rsidRPr="00F94B27">
              <w:rPr>
                <w:b/>
                <w:lang w:val="de-DE"/>
              </w:rPr>
              <w:t>[</w:t>
            </w:r>
            <w:r w:rsidRPr="00FD4C41">
              <w:rPr>
                <w:b/>
                <w:i/>
                <w:lang w:val="de-DE"/>
              </w:rPr>
              <w:t>Anzahl der Zinszahlungstage einfügen, an denen ein Festsatz per annum anwendbar ist:</w:t>
            </w:r>
            <w:r w:rsidRPr="006D4A92">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6D4A92">
              <w:rPr>
                <w:lang w:val="de-DE"/>
              </w:rPr>
              <w:t xml:space="preserve"> Zinszahlungstag</w:t>
            </w:r>
            <w:r w:rsidRPr="00F94B27">
              <w:rPr>
                <w:b/>
                <w:lang w:val="de-DE"/>
              </w:rPr>
              <w:t>[</w:t>
            </w:r>
            <w:r w:rsidRPr="006D4A92">
              <w:rPr>
                <w:lang w:val="de-DE"/>
              </w:rPr>
              <w:t>e</w:t>
            </w:r>
            <w:r w:rsidRPr="00F94B27">
              <w:rPr>
                <w:b/>
                <w:lang w:val="de-DE"/>
              </w:rPr>
              <w:t>]</w:t>
            </w:r>
            <w:r w:rsidRPr="006D4A92">
              <w:rPr>
                <w:lang w:val="de-DE"/>
              </w:rPr>
              <w:t xml:space="preserve">. Für die Berechnung des Zinszahlungsbetrags am </w:t>
            </w:r>
            <w:r w:rsidRPr="00F94B27">
              <w:rPr>
                <w:b/>
                <w:lang w:val="de-DE"/>
              </w:rPr>
              <w:t>[</w:t>
            </w:r>
            <w:r w:rsidRPr="00FD4C41">
              <w:rPr>
                <w:b/>
                <w:i/>
                <w:lang w:val="de-DE"/>
              </w:rPr>
              <w:t>Zahl des Zinszahlungstags einfügen, von dem an der Zinssatz ein variabler Satz per annum sein wird:</w:t>
            </w:r>
            <w:r w:rsidRPr="006D4A92">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6D4A92">
              <w:rPr>
                <w:lang w:val="de-DE"/>
              </w:rPr>
              <w:t xml:space="preserve"> Zinszahlungstag </w:t>
            </w:r>
            <w:r w:rsidRPr="00F94B27">
              <w:rPr>
                <w:b/>
                <w:lang w:val="de-DE"/>
              </w:rPr>
              <w:t>[</w:t>
            </w:r>
            <w:r w:rsidRPr="006D4A92">
              <w:rPr>
                <w:lang w:val="de-DE"/>
              </w:rPr>
              <w:t>und jeden folgenden Zinszahlungstag</w:t>
            </w:r>
            <w:r w:rsidRPr="00F94B27">
              <w:rPr>
                <w:b/>
                <w:lang w:val="de-DE"/>
              </w:rPr>
              <w:t>]</w:t>
            </w:r>
            <w:r w:rsidRPr="006D4A92">
              <w:rPr>
                <w:lang w:val="de-DE"/>
              </w:rPr>
              <w:t xml:space="preserve"> </w:t>
            </w:r>
            <w:r w:rsidRPr="00F94B27">
              <w:rPr>
                <w:b/>
                <w:lang w:val="de-DE"/>
              </w:rPr>
              <w:t>[</w:t>
            </w:r>
            <w:r w:rsidRPr="006D4A92">
              <w:rPr>
                <w:lang w:val="de-DE"/>
              </w:rPr>
              <w:t>wird</w:t>
            </w:r>
            <w:r w:rsidRPr="00F94B27">
              <w:rPr>
                <w:b/>
                <w:lang w:val="de-DE"/>
              </w:rPr>
              <w:t>]</w:t>
            </w:r>
            <w:r w:rsidRPr="006D4A92">
              <w:rPr>
                <w:lang w:val="de-DE"/>
              </w:rPr>
              <w:t xml:space="preserve"> </w:t>
            </w:r>
            <w:r w:rsidRPr="00F94B27">
              <w:rPr>
                <w:b/>
                <w:lang w:val="de-DE"/>
              </w:rPr>
              <w:t>[</w:t>
            </w:r>
            <w:r w:rsidRPr="006D4A92">
              <w:rPr>
                <w:lang w:val="de-DE"/>
              </w:rPr>
              <w:t>werden</w:t>
            </w:r>
            <w:r w:rsidRPr="00F94B27">
              <w:rPr>
                <w:b/>
                <w:lang w:val="de-DE"/>
              </w:rPr>
              <w:t>]</w:t>
            </w:r>
            <w:r w:rsidRPr="006D4A92">
              <w:rPr>
                <w:lang w:val="de-DE"/>
              </w:rPr>
              <w:t xml:space="preserve"> </w:t>
            </w:r>
            <w:r w:rsidRPr="00F94B27">
              <w:rPr>
                <w:b/>
                <w:lang w:val="de-DE"/>
              </w:rPr>
              <w:t>[</w:t>
            </w:r>
            <w:r w:rsidRPr="006D4A92">
              <w:rPr>
                <w:lang w:val="de-DE"/>
              </w:rPr>
              <w:t>der Zinszahlungsbetrag</w:t>
            </w:r>
            <w:r w:rsidRPr="00F94B27">
              <w:rPr>
                <w:b/>
                <w:lang w:val="de-DE"/>
              </w:rPr>
              <w:t>]</w:t>
            </w:r>
            <w:r w:rsidRPr="006D4A92">
              <w:rPr>
                <w:lang w:val="de-DE"/>
              </w:rPr>
              <w:t xml:space="preserve"> </w:t>
            </w:r>
            <w:r w:rsidRPr="00F94B27">
              <w:rPr>
                <w:b/>
                <w:lang w:val="de-DE"/>
              </w:rPr>
              <w:t>[</w:t>
            </w:r>
            <w:r w:rsidRPr="006D4A92">
              <w:rPr>
                <w:lang w:val="de-DE"/>
              </w:rPr>
              <w:t>die Zinszahlungsbeträge</w:t>
            </w:r>
            <w:r w:rsidRPr="00F94B27">
              <w:rPr>
                <w:b/>
                <w:lang w:val="de-DE"/>
              </w:rPr>
              <w:t>]</w:t>
            </w:r>
            <w:r w:rsidRPr="006D4A92">
              <w:rPr>
                <w:lang w:val="de-DE"/>
              </w:rPr>
              <w:t xml:space="preserve"> auf der Grundlage eines variablen Zinssatzes berechnet.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037002" w:rsidP="00FD4C41">
            <w:pPr>
              <w:pStyle w:val="CSBody0"/>
            </w:pPr>
            <w:r w:rsidRPr="00F94B27">
              <w:rPr>
                <w:b/>
              </w:rPr>
              <w:t>[</w:t>
            </w:r>
            <w:r w:rsidRPr="00FD4C41">
              <w:rPr>
                <w:b/>
                <w:i/>
              </w:rPr>
              <w:t>in case of Complex Products without Fixed Interest Payment Dates:</w:t>
            </w:r>
            <w:r w:rsidRPr="00037002">
              <w:t xml:space="preserve"> In case of Inverse Floating Rate Notes, the Interest Rate on the basis of which the Interest Payment Amount</w:t>
            </w:r>
            <w:r w:rsidRPr="00F94B27">
              <w:rPr>
                <w:b/>
              </w:rPr>
              <w:t>[</w:t>
            </w:r>
            <w:r w:rsidRPr="00037002">
              <w:t>s</w:t>
            </w:r>
            <w:r w:rsidRPr="00F94B27">
              <w:rPr>
                <w:b/>
              </w:rPr>
              <w:t>]</w:t>
            </w:r>
            <w:r w:rsidRPr="00037002">
              <w:t xml:space="preserve"> </w:t>
            </w:r>
            <w:r w:rsidRPr="00F94B27">
              <w:rPr>
                <w:b/>
              </w:rPr>
              <w:t>[</w:t>
            </w:r>
            <w:r w:rsidRPr="00037002">
              <w:t>is</w:t>
            </w:r>
            <w:r w:rsidRPr="00F94B27">
              <w:rPr>
                <w:b/>
              </w:rPr>
              <w:t>][</w:t>
            </w:r>
            <w:r w:rsidRPr="00037002">
              <w:t>are</w:t>
            </w:r>
            <w:r w:rsidRPr="00F94B27">
              <w:rPr>
                <w:b/>
              </w:rPr>
              <w:t>]</w:t>
            </w:r>
            <w:r w:rsidRPr="00037002">
              <w:t xml:space="preserve"> calculated will be equal to a variable Interest Rate.</w:t>
            </w:r>
            <w:r w:rsidRPr="00F94B27">
              <w:rPr>
                <w:b/>
              </w:rPr>
              <w:t>]</w:t>
            </w:r>
          </w:p>
        </w:tc>
        <w:tc>
          <w:tcPr>
            <w:tcW w:w="2466" w:type="pct"/>
            <w:gridSpan w:val="14"/>
            <w:tcBorders>
              <w:left w:val="single" w:sz="4" w:space="0" w:color="auto"/>
            </w:tcBorders>
          </w:tcPr>
          <w:p w:rsidR="00FD4C41" w:rsidRPr="00FD4C41" w:rsidP="00FD4C41">
            <w:pPr>
              <w:pStyle w:val="CSBody0"/>
              <w:rPr>
                <w:lang w:val="de-DE"/>
              </w:rPr>
            </w:pPr>
            <w:r w:rsidRPr="00F94B27">
              <w:rPr>
                <w:b/>
                <w:lang w:val="de-DE"/>
              </w:rPr>
              <w:t>[</w:t>
            </w:r>
            <w:r w:rsidRPr="00FD4C41">
              <w:rPr>
                <w:b/>
                <w:i/>
                <w:lang w:val="de-DE"/>
              </w:rPr>
              <w:t xml:space="preserve">bei Komplexen Produkten ohne Zahlungstage für Festzinsen: </w:t>
            </w:r>
            <w:r w:rsidRPr="00FD4C41">
              <w:rPr>
                <w:lang w:val="de-DE"/>
              </w:rPr>
              <w:t xml:space="preserve">Bei Inverse Floating Rate Notes entspricht der Zinssatz, auf dessen Grundlage </w:t>
            </w:r>
            <w:r w:rsidRPr="00F94B27">
              <w:rPr>
                <w:b/>
                <w:lang w:val="de-DE"/>
              </w:rPr>
              <w:t>[</w:t>
            </w:r>
            <w:r w:rsidRPr="00FD4C41">
              <w:rPr>
                <w:lang w:val="de-DE"/>
              </w:rPr>
              <w:t>der Zinszahlungsbetrag</w:t>
            </w:r>
            <w:r w:rsidRPr="00F94B27">
              <w:rPr>
                <w:b/>
                <w:lang w:val="de-DE"/>
              </w:rPr>
              <w:t>]</w:t>
            </w:r>
            <w:r w:rsidRPr="00FD4C41">
              <w:rPr>
                <w:lang w:val="de-DE"/>
              </w:rPr>
              <w:t xml:space="preserve"> </w:t>
            </w:r>
            <w:r w:rsidRPr="00F94B27">
              <w:rPr>
                <w:b/>
                <w:lang w:val="de-DE"/>
              </w:rPr>
              <w:t>[</w:t>
            </w:r>
            <w:r w:rsidRPr="00FD4C41">
              <w:rPr>
                <w:lang w:val="de-DE"/>
              </w:rPr>
              <w:t>die Zinszahlungsbeträge</w:t>
            </w:r>
            <w:r w:rsidRPr="00F94B27">
              <w:rPr>
                <w:b/>
                <w:lang w:val="de-DE"/>
              </w:rPr>
              <w:t>]</w:t>
            </w:r>
            <w:r w:rsidRPr="00FD4C41">
              <w:rPr>
                <w:lang w:val="de-DE"/>
              </w:rPr>
              <w:t xml:space="preserve"> berechnet </w:t>
            </w:r>
            <w:r w:rsidRPr="00F94B27">
              <w:rPr>
                <w:b/>
                <w:lang w:val="de-DE"/>
              </w:rPr>
              <w:t>[</w:t>
            </w:r>
            <w:r w:rsidRPr="00FD4C41">
              <w:rPr>
                <w:lang w:val="de-DE"/>
              </w:rPr>
              <w:t>wird</w:t>
            </w:r>
            <w:r w:rsidRPr="00F94B27">
              <w:rPr>
                <w:b/>
                <w:lang w:val="de-DE"/>
              </w:rPr>
              <w:t>]</w:t>
            </w:r>
            <w:r w:rsidRPr="00FD4C41">
              <w:rPr>
                <w:lang w:val="de-DE"/>
              </w:rPr>
              <w:t xml:space="preserve"> </w:t>
            </w:r>
            <w:r w:rsidRPr="00F94B27">
              <w:rPr>
                <w:b/>
                <w:lang w:val="de-DE"/>
              </w:rPr>
              <w:t>[</w:t>
            </w:r>
            <w:r w:rsidRPr="00FD4C41">
              <w:rPr>
                <w:lang w:val="de-DE"/>
              </w:rPr>
              <w:t>werden</w:t>
            </w:r>
            <w:r w:rsidRPr="00F94B27">
              <w:rPr>
                <w:b/>
                <w:lang w:val="de-DE"/>
              </w:rPr>
              <w:t>]</w:t>
            </w:r>
            <w:r w:rsidRPr="00FD4C41">
              <w:rPr>
                <w:lang w:val="de-DE"/>
              </w:rPr>
              <w:t>, einem variablen Zinssatz.</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037002" w:rsidP="00474C21">
            <w:pPr>
              <w:pStyle w:val="CSBody0"/>
            </w:pPr>
            <w:r w:rsidRPr="00037002">
              <w:t>Such variable Interest Rate will be equal to the relevant Spread Rate (</w:t>
            </w:r>
            <w:r w:rsidRPr="007E3558" w:rsidR="007E3558">
              <w:rPr>
                <w:i/>
              </w:rPr>
              <w:t>i.e.</w:t>
            </w:r>
            <w:r w:rsidRPr="00037002">
              <w:t xml:space="preserve">, a fixed rate per annum) less the </w:t>
            </w:r>
            <w:r w:rsidRPr="00F94B27" w:rsidR="00F94B27">
              <w:rPr>
                <w:b/>
              </w:rPr>
              <w:t>[</w:t>
            </w:r>
            <w:r w:rsidRPr="00037002">
              <w:t>Reference Rate (i.e, a variable rate of interest) on the relevant Interest Determination Date</w:t>
            </w:r>
            <w:r w:rsidRPr="00F94B27" w:rsidR="00F94B27">
              <w:rPr>
                <w:b/>
              </w:rPr>
              <w:t>]</w:t>
            </w:r>
            <w:r w:rsidRPr="00037002">
              <w:t xml:space="preserve"> </w:t>
            </w:r>
            <w:r w:rsidRPr="00F94B27" w:rsidR="00F94B27">
              <w:rPr>
                <w:b/>
              </w:rPr>
              <w:t>[</w:t>
            </w:r>
            <w:r w:rsidRPr="00037002">
              <w:t xml:space="preserve">sum of the Reference Rate (i.e, a variable rate of interest) on the relevant Interest Determination Date and </w:t>
            </w:r>
            <w:r w:rsidRPr="00F94B27" w:rsidR="00F94B27">
              <w:rPr>
                <w:b/>
              </w:rPr>
              <w:t>[</w:t>
            </w:r>
            <w:r w:rsidR="003857E8">
              <w:rPr>
                <w:rFonts w:ascii="Arial" w:hAnsi="Arial" w:cs="Arial"/>
              </w:rPr>
              <w:t>●</w:t>
            </w:r>
            <w:r w:rsidRPr="00F94B27" w:rsidR="00F94B27">
              <w:rPr>
                <w:b/>
              </w:rPr>
              <w:t>]</w:t>
            </w:r>
            <w:r w:rsidRPr="00037002">
              <w:t>% per annum</w:t>
            </w:r>
            <w:r w:rsidRPr="00F94B27" w:rsidR="00F94B27">
              <w:rPr>
                <w:b/>
              </w:rPr>
              <w:t>]</w:t>
            </w:r>
            <w:r w:rsidRPr="00037002">
              <w:t xml:space="preserve">. Consequently, the lower the value of the Reference Rate on the relevant Interest Determination Date </w:t>
            </w:r>
            <w:r w:rsidRPr="00F94B27" w:rsidR="00F94B27">
              <w:rPr>
                <w:b/>
              </w:rPr>
              <w:t>[</w:t>
            </w:r>
            <w:r w:rsidRPr="00037002">
              <w:t xml:space="preserve">plus </w:t>
            </w:r>
            <w:r w:rsidRPr="00F94B27" w:rsidR="00F94B27">
              <w:rPr>
                <w:b/>
              </w:rPr>
              <w:t>[</w:t>
            </w:r>
            <w:r w:rsidR="003857E8">
              <w:rPr>
                <w:rFonts w:ascii="Arial" w:hAnsi="Arial" w:cs="Arial"/>
              </w:rPr>
              <w:t>●</w:t>
            </w:r>
            <w:r w:rsidRPr="00F94B27" w:rsidR="00F94B27">
              <w:rPr>
                <w:b/>
              </w:rPr>
              <w:t>]</w:t>
            </w:r>
            <w:r w:rsidRPr="00037002">
              <w:t>% per annum</w:t>
            </w:r>
            <w:r w:rsidRPr="00F94B27" w:rsidR="00F94B27">
              <w:rPr>
                <w:b/>
              </w:rPr>
              <w:t>]</w:t>
            </w:r>
            <w:r w:rsidRPr="00037002">
              <w:t xml:space="preserve"> is in comparison to the value of the Spread Rate, the higher the applicable Interest Rate and resulting Interest Payment Amount will be. Conversely, the higher the value of the Reference Rate on the Interest Determination Date </w:t>
            </w:r>
            <w:r w:rsidRPr="00F94B27" w:rsidR="00F94B27">
              <w:rPr>
                <w:b/>
              </w:rPr>
              <w:t>[</w:t>
            </w:r>
            <w:r w:rsidRPr="00037002">
              <w:t xml:space="preserve">plus </w:t>
            </w:r>
            <w:r w:rsidRPr="00F94B27" w:rsidR="00F94B27">
              <w:rPr>
                <w:b/>
              </w:rPr>
              <w:t>[</w:t>
            </w:r>
            <w:r w:rsidR="003857E8">
              <w:rPr>
                <w:rFonts w:ascii="Arial" w:hAnsi="Arial" w:cs="Arial"/>
              </w:rPr>
              <w:t>●</w:t>
            </w:r>
            <w:r w:rsidRPr="00F94B27" w:rsidR="00F94B27">
              <w:rPr>
                <w:b/>
              </w:rPr>
              <w:t>]</w:t>
            </w:r>
            <w:r w:rsidRPr="00037002">
              <w:t>% per annum</w:t>
            </w:r>
            <w:r w:rsidRPr="00F94B27" w:rsidR="00F94B27">
              <w:rPr>
                <w:b/>
              </w:rPr>
              <w:t>]</w:t>
            </w:r>
            <w:r w:rsidRPr="00037002">
              <w:t xml:space="preserve"> is in comparison to the value of the Spread Rate, the lower the applicable Interest Rate and resulting Interest Payment Amount will be. If the value of the Reference Rate on each Interest Determination Date </w:t>
            </w:r>
            <w:r w:rsidRPr="00F94B27" w:rsidR="00F94B27">
              <w:rPr>
                <w:b/>
              </w:rPr>
              <w:t>[</w:t>
            </w:r>
            <w:r w:rsidRPr="00037002">
              <w:t xml:space="preserve">plus </w:t>
            </w:r>
            <w:r w:rsidRPr="00F94B27" w:rsidR="00F94B27">
              <w:rPr>
                <w:b/>
              </w:rPr>
              <w:t>[</w:t>
            </w:r>
            <w:r w:rsidR="003857E8">
              <w:rPr>
                <w:rFonts w:ascii="Arial" w:hAnsi="Arial" w:cs="Arial"/>
              </w:rPr>
              <w:t>●</w:t>
            </w:r>
            <w:r w:rsidRPr="00F94B27" w:rsidR="00F94B27">
              <w:rPr>
                <w:b/>
              </w:rPr>
              <w:t>]</w:t>
            </w:r>
            <w:r w:rsidRPr="00037002">
              <w:t>% per annum</w:t>
            </w:r>
            <w:r w:rsidRPr="00F94B27" w:rsidR="00F94B27">
              <w:rPr>
                <w:b/>
              </w:rPr>
              <w:t>]</w:t>
            </w:r>
            <w:r w:rsidRPr="00037002">
              <w:t xml:space="preserve"> is equal to or above the relevant Spread Rate, the applicable Interest Rate will be equal to </w:t>
            </w:r>
            <w:r w:rsidRPr="00F94B27" w:rsidR="00F94B27">
              <w:rPr>
                <w:b/>
              </w:rPr>
              <w:t>[</w:t>
            </w:r>
            <w:r w:rsidRPr="00037002">
              <w:t>zero</w:t>
            </w:r>
            <w:r w:rsidRPr="00F94B27" w:rsidR="00F94B27">
              <w:rPr>
                <w:b/>
              </w:rPr>
              <w:t>]</w:t>
            </w:r>
            <w:r w:rsidRPr="00037002">
              <w:t xml:space="preserve"> </w:t>
            </w:r>
            <w:r w:rsidRPr="00F94B27" w:rsidR="00F94B27">
              <w:rPr>
                <w:b/>
              </w:rPr>
              <w:t>[</w:t>
            </w:r>
            <w:r w:rsidRPr="00037002">
              <w:t>the Minimum Interest Rate</w:t>
            </w:r>
            <w:r w:rsidRPr="00F94B27" w:rsidR="00F94B27">
              <w:rPr>
                <w:b/>
              </w:rPr>
              <w:t>]</w:t>
            </w:r>
            <w:r w:rsidRPr="00037002">
              <w:t xml:space="preserve"> for each Interest Payment Date </w:t>
            </w:r>
            <w:r w:rsidRPr="00F94B27" w:rsidR="00F94B27">
              <w:rPr>
                <w:b/>
              </w:rPr>
              <w:t>[</w:t>
            </w:r>
            <w:r w:rsidRPr="00FD4C41">
              <w:rPr>
                <w:b/>
                <w:i/>
              </w:rPr>
              <w:t>in case of Complex Products without Minimum Interest Rate:</w:t>
            </w:r>
            <w:r w:rsidRPr="00037002">
              <w:t xml:space="preserve"> and, consequently, investors will not receive any interest on the Complex Products</w:t>
            </w:r>
            <w:r w:rsidRPr="00F94B27" w:rsidR="00F94B27">
              <w:rPr>
                <w:b/>
              </w:rPr>
              <w:t>]</w:t>
            </w:r>
            <w:r w:rsidRPr="00037002">
              <w:t>.</w:t>
            </w:r>
            <w:r w:rsidRPr="00F94B27" w:rsidR="00F94B27">
              <w:rPr>
                <w:b/>
              </w:rPr>
              <w:t>]</w:t>
            </w:r>
          </w:p>
        </w:tc>
        <w:tc>
          <w:tcPr>
            <w:tcW w:w="2466" w:type="pct"/>
            <w:gridSpan w:val="14"/>
            <w:tcBorders>
              <w:left w:val="single" w:sz="4" w:space="0" w:color="auto"/>
            </w:tcBorders>
          </w:tcPr>
          <w:p w:rsidR="00FD4C41" w:rsidRPr="00FD4C41" w:rsidP="002A02E2">
            <w:pPr>
              <w:pStyle w:val="CSBody0"/>
              <w:rPr>
                <w:lang w:val="de-DE"/>
              </w:rPr>
            </w:pPr>
            <w:r w:rsidRPr="00FD4C41">
              <w:rPr>
                <w:lang w:val="de-DE"/>
              </w:rPr>
              <w:t xml:space="preserve">Dieser variable Zinssatz entspricht dem jeweiligen Spreadsatz (d.h., einem Festsatz per annum) abzüglich </w:t>
            </w:r>
            <w:r w:rsidRPr="00F94B27" w:rsidR="00F94B27">
              <w:rPr>
                <w:b/>
                <w:lang w:val="de-DE"/>
              </w:rPr>
              <w:t>[</w:t>
            </w:r>
            <w:r w:rsidRPr="00FD4C41">
              <w:rPr>
                <w:lang w:val="de-DE"/>
              </w:rPr>
              <w:t>des Referenzsatzes (d.h. einem variablen Zinssatz) am jeweiligen Zinsfeststellungstag</w:t>
            </w:r>
            <w:r w:rsidRPr="00F94B27" w:rsidR="00F94B27">
              <w:rPr>
                <w:b/>
                <w:lang w:val="de-DE"/>
              </w:rPr>
              <w:t>]</w:t>
            </w:r>
            <w:r w:rsidRPr="00FD4C41">
              <w:rPr>
                <w:lang w:val="de-DE"/>
              </w:rPr>
              <w:t xml:space="preserve"> </w:t>
            </w:r>
            <w:r w:rsidRPr="00F94B27" w:rsidR="00F94B27">
              <w:rPr>
                <w:b/>
                <w:lang w:val="de-DE"/>
              </w:rPr>
              <w:t>[</w:t>
            </w:r>
            <w:r w:rsidRPr="00FD4C41">
              <w:rPr>
                <w:lang w:val="de-DE"/>
              </w:rPr>
              <w:t xml:space="preserve">der Summe aus dem Referenzsatz (d.h. einem variablen Zinssatz) am jeweiligen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FD4C41">
              <w:rPr>
                <w:lang w:val="de-DE"/>
              </w:rPr>
              <w:t>% per annum</w:t>
            </w:r>
            <w:r w:rsidRPr="00F94B27" w:rsidR="00F94B27">
              <w:rPr>
                <w:b/>
                <w:lang w:val="de-DE"/>
              </w:rPr>
              <w:t>]</w:t>
            </w:r>
            <w:r w:rsidRPr="00FD4C41">
              <w:rPr>
                <w:lang w:val="de-DE"/>
              </w:rPr>
              <w:t xml:space="preserve">. Folglich gilt: je niedriger der Wert des Referenzsatzes am jeweiligen Zinsfeststellungstag </w:t>
            </w:r>
            <w:r w:rsidRPr="00F94B27" w:rsidR="00F94B27">
              <w:rPr>
                <w:b/>
                <w:lang w:val="de-DE"/>
              </w:rPr>
              <w:t>[</w:t>
            </w:r>
            <w:r w:rsidRPr="00FD4C41">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FD4C41">
              <w:rPr>
                <w:lang w:val="de-DE"/>
              </w:rPr>
              <w:t>% per annum</w:t>
            </w:r>
            <w:r w:rsidRPr="00F94B27" w:rsidR="00F94B27">
              <w:rPr>
                <w:b/>
                <w:lang w:val="de-DE"/>
              </w:rPr>
              <w:t>]</w:t>
            </w:r>
            <w:r w:rsidRPr="00FD4C41">
              <w:rPr>
                <w:lang w:val="de-DE"/>
              </w:rPr>
              <w:t xml:space="preserve"> im Vergleich zum Wert des Spreadsatz ist, desto höher ist der anwendbare Zinssatz und der resultierende Zinszahlungsbetrag. Umgekehrt gilt: je höher der Wert des Referenzsatzes am Zinsfeststellungstag </w:t>
            </w:r>
            <w:r w:rsidRPr="00F94B27" w:rsidR="00F94B27">
              <w:rPr>
                <w:b/>
                <w:lang w:val="de-DE"/>
              </w:rPr>
              <w:t>[</w:t>
            </w:r>
            <w:r w:rsidRPr="00FD4C41">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FD4C41">
              <w:rPr>
                <w:lang w:val="de-DE"/>
              </w:rPr>
              <w:t>% per annum</w:t>
            </w:r>
            <w:r w:rsidRPr="00F94B27" w:rsidR="00F94B27">
              <w:rPr>
                <w:b/>
                <w:lang w:val="de-DE"/>
              </w:rPr>
              <w:t>]</w:t>
            </w:r>
            <w:r w:rsidRPr="00FD4C41">
              <w:rPr>
                <w:lang w:val="de-DE"/>
              </w:rPr>
              <w:t xml:space="preserve"> im Vergleich zum Wert des Spreadsatz ist, desto niedriger fällt der anwendbare Zinssatz und der resultierende Zinszahlungsbetrag aus. Falls der Wert des Referenzsatzes an jedem Zinsfeststellungstag </w:t>
            </w:r>
            <w:r w:rsidRPr="00F94B27" w:rsidR="00F94B27">
              <w:rPr>
                <w:b/>
                <w:lang w:val="de-DE"/>
              </w:rPr>
              <w:t>[</w:t>
            </w:r>
            <w:r w:rsidRPr="00FD4C41">
              <w:rPr>
                <w:lang w:val="de-DE"/>
              </w:rPr>
              <w:t xml:space="preserve">zuzüglich </w:t>
            </w:r>
            <w:r w:rsidRPr="00F94B27" w:rsidR="00F94B27">
              <w:rPr>
                <w:b/>
                <w:lang w:val="de-DE"/>
              </w:rPr>
              <w:t>[</w:t>
            </w:r>
            <w:r w:rsidRPr="003857E8" w:rsidR="003857E8">
              <w:rPr>
                <w:rFonts w:ascii="Arial" w:hAnsi="Arial" w:cs="Arial"/>
                <w:lang w:val="de-DE"/>
              </w:rPr>
              <w:t>●</w:t>
            </w:r>
            <w:r w:rsidRPr="00F94B27" w:rsidR="00F94B27">
              <w:rPr>
                <w:b/>
                <w:lang w:val="de-DE"/>
              </w:rPr>
              <w:t>]</w:t>
            </w:r>
            <w:r w:rsidRPr="00FD4C41">
              <w:rPr>
                <w:lang w:val="de-DE"/>
              </w:rPr>
              <w:t>% per annum</w:t>
            </w:r>
            <w:r w:rsidRPr="00F94B27" w:rsidR="00F94B27">
              <w:rPr>
                <w:b/>
                <w:lang w:val="de-DE"/>
              </w:rPr>
              <w:t>]</w:t>
            </w:r>
            <w:r w:rsidRPr="00FD4C41">
              <w:rPr>
                <w:lang w:val="de-DE"/>
              </w:rPr>
              <w:t xml:space="preserve"> dem jeweiligen Spreadsatz entspricht oder über diesem liegt, wird der anwendbare Zinssatz an jedem Zinszahlungstag </w:t>
            </w:r>
            <w:r w:rsidRPr="00F94B27" w:rsidR="00F94B27">
              <w:rPr>
                <w:b/>
                <w:lang w:val="de-DE"/>
              </w:rPr>
              <w:t>[</w:t>
            </w:r>
            <w:r w:rsidRPr="00FD4C41">
              <w:rPr>
                <w:lang w:val="de-DE"/>
              </w:rPr>
              <w:t>null</w:t>
            </w:r>
            <w:r w:rsidRPr="00F94B27" w:rsidR="00F94B27">
              <w:rPr>
                <w:b/>
                <w:lang w:val="de-DE"/>
              </w:rPr>
              <w:t>]</w:t>
            </w:r>
            <w:r w:rsidRPr="00FD4C41">
              <w:rPr>
                <w:lang w:val="de-DE"/>
              </w:rPr>
              <w:t xml:space="preserve"> </w:t>
            </w:r>
            <w:r w:rsidRPr="00F94B27" w:rsidR="00F94B27">
              <w:rPr>
                <w:b/>
                <w:lang w:val="de-DE"/>
              </w:rPr>
              <w:t>[</w:t>
            </w:r>
            <w:r w:rsidRPr="00FD4C41">
              <w:rPr>
                <w:lang w:val="de-DE"/>
              </w:rPr>
              <w:t>dem Mindestzinssatz</w:t>
            </w:r>
            <w:r w:rsidRPr="00F94B27" w:rsidR="00F94B27">
              <w:rPr>
                <w:b/>
                <w:lang w:val="de-DE"/>
              </w:rPr>
              <w:t>]</w:t>
            </w:r>
            <w:r w:rsidRPr="00FD4C41">
              <w:rPr>
                <w:lang w:val="de-DE"/>
              </w:rPr>
              <w:t xml:space="preserve"> entsprechen </w:t>
            </w:r>
            <w:r w:rsidRPr="00F94B27" w:rsidR="00F94B27">
              <w:rPr>
                <w:b/>
                <w:lang w:val="de-DE"/>
              </w:rPr>
              <w:t>[</w:t>
            </w:r>
            <w:r w:rsidRPr="00FD4C41">
              <w:rPr>
                <w:b/>
                <w:i/>
                <w:lang w:val="de-DE"/>
              </w:rPr>
              <w:t>bei Komplexen Produkten ohne Mindestzinssatz:</w:t>
            </w:r>
            <w:r w:rsidRPr="00FD4C41">
              <w:rPr>
                <w:lang w:val="de-DE"/>
              </w:rPr>
              <w:t xml:space="preserve"> und folglich erhalten Anleger keine Zinsen auf die Komplexen Produkte</w:t>
            </w:r>
            <w:r w:rsidRPr="00F94B27" w:rsidR="00F94B27">
              <w:rPr>
                <w:b/>
                <w:lang w:val="de-DE"/>
              </w:rPr>
              <w:t>]</w:t>
            </w:r>
            <w:r w:rsidRPr="00FD4C41">
              <w:rPr>
                <w:lang w:val="de-DE"/>
              </w:rPr>
              <w: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AB16EC" w:rsidP="00FD4C41">
            <w:pPr>
              <w:pStyle w:val="CSbody0bolditalic"/>
              <w:rPr>
                <w:lang w:val="en-GB"/>
              </w:rPr>
            </w:pPr>
            <w:r w:rsidRPr="00F94B27">
              <w:rPr>
                <w:lang w:val="en-GB"/>
              </w:rPr>
              <w:t>[</w:t>
            </w:r>
            <w:r w:rsidRPr="00AB16EC">
              <w:rPr>
                <w:lang w:val="en-GB"/>
              </w:rPr>
              <w:t>in case of Spread-Linked Notes:</w:t>
            </w:r>
          </w:p>
        </w:tc>
        <w:tc>
          <w:tcPr>
            <w:tcW w:w="2466" w:type="pct"/>
            <w:gridSpan w:val="14"/>
            <w:tcBorders>
              <w:left w:val="single" w:sz="4" w:space="0" w:color="auto"/>
            </w:tcBorders>
          </w:tcPr>
          <w:p w:rsidR="00FD4C41" w:rsidRPr="00037002" w:rsidP="00FD4C41">
            <w:pPr>
              <w:pStyle w:val="CSbody0bolditalic"/>
            </w:pPr>
            <w:r w:rsidRPr="00F94B27">
              <w:t>[</w:t>
            </w:r>
            <w:r w:rsidRPr="00037002">
              <w:t>bei Spread-Linked Notes:</w:t>
            </w:r>
          </w:p>
        </w:tc>
      </w:tr>
      <w:tr w:rsidTr="00942F00">
        <w:tblPrEx>
          <w:tblW w:w="5000" w:type="pct"/>
          <w:tblLayout w:type="fixed"/>
          <w:tblLook w:val="04A0"/>
        </w:tblPrEx>
        <w:tc>
          <w:tcPr>
            <w:tcW w:w="2534" w:type="pct"/>
            <w:gridSpan w:val="14"/>
            <w:tcBorders>
              <w:right w:val="single" w:sz="4" w:space="0" w:color="auto"/>
            </w:tcBorders>
          </w:tcPr>
          <w:p w:rsidR="00FD4C41" w:rsidRPr="00037002" w:rsidP="00FD4C41">
            <w:pPr>
              <w:pStyle w:val="CSBody0"/>
            </w:pPr>
            <w:r w:rsidRPr="00F94B27">
              <w:rPr>
                <w:b/>
              </w:rPr>
              <w:t>[</w:t>
            </w:r>
            <w:r w:rsidRPr="00FD4C41">
              <w:rPr>
                <w:b/>
                <w:i/>
              </w:rPr>
              <w:t>in case of Complex Products with one or more Fixed Interest Payment Dates:</w:t>
            </w:r>
            <w:r w:rsidRPr="00037002">
              <w:t xml:space="preserve"> In case of Spread-Linked Notes, the Interest Rate on the basis of which the Interest Payment Amounts are calculated will be equal to a fixed rate per annum for the </w:t>
            </w:r>
            <w:r w:rsidRPr="00F94B27">
              <w:rPr>
                <w:b/>
              </w:rPr>
              <w:t>[</w:t>
            </w:r>
            <w:r w:rsidRPr="00037002">
              <w:t>first</w:t>
            </w:r>
            <w:r w:rsidRPr="00F94B27">
              <w:rPr>
                <w:b/>
              </w:rPr>
              <w:t>]</w:t>
            </w:r>
            <w:r w:rsidRPr="00037002">
              <w:t xml:space="preserve"> </w:t>
            </w:r>
            <w:r w:rsidRPr="00F94B27">
              <w:rPr>
                <w:b/>
              </w:rPr>
              <w:t>[</w:t>
            </w:r>
            <w:r w:rsidRPr="00037002">
              <w:t xml:space="preserve">first </w:t>
            </w:r>
            <w:r w:rsidRPr="00F94B27">
              <w:rPr>
                <w:b/>
              </w:rPr>
              <w:t>[</w:t>
            </w:r>
            <w:r w:rsidRPr="00FD4C41">
              <w:rPr>
                <w:b/>
                <w:i/>
              </w:rPr>
              <w:t>insert number of Interest Payment Dates, on which a fixed rate per annum is applicable:</w:t>
            </w:r>
            <w:r w:rsidRPr="00037002">
              <w:t xml:space="preserve"> </w:t>
            </w:r>
            <w:r w:rsidRPr="00F94B27">
              <w:rPr>
                <w:b/>
              </w:rPr>
              <w:t>[</w:t>
            </w:r>
            <w:r w:rsidR="003857E8">
              <w:rPr>
                <w:rFonts w:ascii="Arial" w:hAnsi="Arial" w:cs="Arial"/>
              </w:rPr>
              <w:t>●</w:t>
            </w:r>
            <w:r w:rsidRPr="00F94B27">
              <w:rPr>
                <w:b/>
              </w:rPr>
              <w:t>]]</w:t>
            </w:r>
            <w:r w:rsidRPr="00037002">
              <w:t xml:space="preserve"> Interest Payment Date</w:t>
            </w:r>
            <w:r w:rsidRPr="00F94B27">
              <w:rPr>
                <w:b/>
              </w:rPr>
              <w:t>[</w:t>
            </w:r>
            <w:r w:rsidRPr="00037002">
              <w:t>s</w:t>
            </w:r>
            <w:r w:rsidRPr="00F94B27">
              <w:rPr>
                <w:b/>
              </w:rPr>
              <w:t>]</w:t>
            </w:r>
            <w:r w:rsidRPr="00037002">
              <w:t xml:space="preserve">. For the calculation of the Interest Payment Amount on the </w:t>
            </w:r>
            <w:r w:rsidRPr="00F94B27">
              <w:rPr>
                <w:b/>
              </w:rPr>
              <w:t>[</w:t>
            </w:r>
            <w:r w:rsidRPr="00FD4C41">
              <w:rPr>
                <w:b/>
                <w:i/>
              </w:rPr>
              <w:t>insert number of Interest Payment Date, from which the Interest Rate will be a variable rate per annum:</w:t>
            </w:r>
            <w:r w:rsidRPr="00037002">
              <w:t xml:space="preserve"> </w:t>
            </w:r>
            <w:r w:rsidRPr="00F94B27">
              <w:rPr>
                <w:b/>
              </w:rPr>
              <w:t>[</w:t>
            </w:r>
            <w:r w:rsidR="003857E8">
              <w:rPr>
                <w:rFonts w:ascii="Arial" w:hAnsi="Arial" w:cs="Arial"/>
              </w:rPr>
              <w:t>●</w:t>
            </w:r>
            <w:r w:rsidRPr="00F94B27">
              <w:rPr>
                <w:b/>
              </w:rPr>
              <w:t>]]</w:t>
            </w:r>
            <w:r w:rsidRPr="00037002">
              <w:t xml:space="preserve"> Interest Payment Date </w:t>
            </w:r>
            <w:r w:rsidRPr="00F94B27">
              <w:rPr>
                <w:b/>
              </w:rPr>
              <w:t>[</w:t>
            </w:r>
            <w:r w:rsidRPr="00037002">
              <w:t>and any following Interest Payment Date</w:t>
            </w:r>
            <w:r w:rsidRPr="00F94B27">
              <w:rPr>
                <w:b/>
              </w:rPr>
              <w:t>]</w:t>
            </w:r>
            <w:r w:rsidRPr="00037002">
              <w:t xml:space="preserve"> the Interest Payment Amount</w:t>
            </w:r>
            <w:r w:rsidRPr="00F94B27">
              <w:rPr>
                <w:b/>
              </w:rPr>
              <w:t>[</w:t>
            </w:r>
            <w:r w:rsidRPr="00037002">
              <w:t>s</w:t>
            </w:r>
            <w:r w:rsidRPr="00F94B27">
              <w:rPr>
                <w:b/>
              </w:rPr>
              <w:t>]</w:t>
            </w:r>
            <w:r w:rsidRPr="00037002">
              <w:t xml:space="preserve"> will be calculated on the basis of a variable Interest Rate.</w:t>
            </w:r>
            <w:r w:rsidRPr="00F94B27">
              <w:rPr>
                <w:b/>
              </w:rPr>
              <w:t>]</w:t>
            </w:r>
          </w:p>
        </w:tc>
        <w:tc>
          <w:tcPr>
            <w:tcW w:w="2466" w:type="pct"/>
            <w:gridSpan w:val="14"/>
            <w:tcBorders>
              <w:left w:val="single" w:sz="4" w:space="0" w:color="auto"/>
            </w:tcBorders>
          </w:tcPr>
          <w:p w:rsidR="00FD4C41" w:rsidRPr="00FD4C41" w:rsidP="00FD4C41">
            <w:pPr>
              <w:pStyle w:val="CSBody0"/>
              <w:rPr>
                <w:lang w:val="de-DE"/>
              </w:rPr>
            </w:pPr>
            <w:r w:rsidRPr="00F94B27">
              <w:rPr>
                <w:b/>
                <w:lang w:val="de-DE"/>
              </w:rPr>
              <w:t>[</w:t>
            </w:r>
            <w:r w:rsidRPr="00FD4C41">
              <w:rPr>
                <w:b/>
                <w:i/>
                <w:lang w:val="de-DE"/>
              </w:rPr>
              <w:t>bei Komplexen Produkten mit einem oder mehreren Zahlungstagen für Festzinsen:</w:t>
            </w:r>
            <w:r w:rsidRPr="00FD4C41">
              <w:rPr>
                <w:lang w:val="de-DE"/>
              </w:rPr>
              <w:t xml:space="preserve"> Bei Spread-Linked Notes entspricht der Zinssatz, auf dessen Grundlage die Zinszahlungsbeträge berechnet werden, einem Festsatz per annum für </w:t>
            </w:r>
            <w:r w:rsidRPr="00F94B27">
              <w:rPr>
                <w:b/>
                <w:lang w:val="de-DE"/>
              </w:rPr>
              <w:t>[</w:t>
            </w:r>
            <w:r w:rsidRPr="00FD4C41">
              <w:rPr>
                <w:lang w:val="de-DE"/>
              </w:rPr>
              <w:t>den ersten</w:t>
            </w:r>
            <w:r w:rsidRPr="00F94B27">
              <w:rPr>
                <w:b/>
                <w:lang w:val="de-DE"/>
              </w:rPr>
              <w:t>]</w:t>
            </w:r>
            <w:r w:rsidRPr="00FD4C41">
              <w:rPr>
                <w:lang w:val="de-DE"/>
              </w:rPr>
              <w:t xml:space="preserve"> </w:t>
            </w:r>
            <w:r w:rsidRPr="00F94B27">
              <w:rPr>
                <w:b/>
                <w:lang w:val="de-DE"/>
              </w:rPr>
              <w:t>[</w:t>
            </w:r>
            <w:r w:rsidRPr="00FD4C41">
              <w:rPr>
                <w:lang w:val="de-DE"/>
              </w:rPr>
              <w:t xml:space="preserve">die ersten </w:t>
            </w:r>
            <w:r w:rsidRPr="00F94B27">
              <w:rPr>
                <w:b/>
                <w:lang w:val="de-DE"/>
              </w:rPr>
              <w:t>[</w:t>
            </w:r>
            <w:r w:rsidRPr="00FD4C41">
              <w:rPr>
                <w:b/>
                <w:i/>
                <w:lang w:val="de-DE"/>
              </w:rPr>
              <w:t>Anzahl der Zinszahlungstage einfügen, an denen ein Festsatz per annum anwendbar ist:</w:t>
            </w:r>
            <w:r w:rsidRPr="00FD4C41">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FD4C41">
              <w:rPr>
                <w:lang w:val="de-DE"/>
              </w:rPr>
              <w:t xml:space="preserve"> Zinszahlungstag</w:t>
            </w:r>
            <w:r w:rsidRPr="00F94B27">
              <w:rPr>
                <w:b/>
                <w:lang w:val="de-DE"/>
              </w:rPr>
              <w:t>[</w:t>
            </w:r>
            <w:r w:rsidRPr="00FD4C41">
              <w:rPr>
                <w:lang w:val="de-DE"/>
              </w:rPr>
              <w:t>e</w:t>
            </w:r>
            <w:r w:rsidRPr="00F94B27">
              <w:rPr>
                <w:b/>
                <w:lang w:val="de-DE"/>
              </w:rPr>
              <w:t>]</w:t>
            </w:r>
            <w:r w:rsidRPr="00FD4C41">
              <w:rPr>
                <w:lang w:val="de-DE"/>
              </w:rPr>
              <w:t xml:space="preserve">. Für die Berechnung des Zinszahlungsbetrags am </w:t>
            </w:r>
            <w:r w:rsidRPr="00F94B27">
              <w:rPr>
                <w:b/>
                <w:lang w:val="de-DE"/>
              </w:rPr>
              <w:t>[</w:t>
            </w:r>
            <w:r w:rsidRPr="00FD4C41">
              <w:rPr>
                <w:b/>
                <w:i/>
                <w:lang w:val="de-DE"/>
              </w:rPr>
              <w:t>Zahl des Zinszahlungstags einfügen, von dem an der Zinssatz ein variabler Satz per annum sein wird:</w:t>
            </w:r>
            <w:r w:rsidRPr="00FD4C41">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FD4C41">
              <w:rPr>
                <w:lang w:val="de-DE"/>
              </w:rPr>
              <w:t xml:space="preserve"> Zinszahlungstag </w:t>
            </w:r>
            <w:r w:rsidRPr="00F94B27">
              <w:rPr>
                <w:b/>
                <w:lang w:val="de-DE"/>
              </w:rPr>
              <w:t>[</w:t>
            </w:r>
            <w:r w:rsidRPr="00FD4C41">
              <w:rPr>
                <w:lang w:val="de-DE"/>
              </w:rPr>
              <w:t>und jeden folgenden Zinszahlungstag</w:t>
            </w:r>
            <w:r w:rsidRPr="00F94B27">
              <w:rPr>
                <w:b/>
                <w:lang w:val="de-DE"/>
              </w:rPr>
              <w:t>]</w:t>
            </w:r>
            <w:r w:rsidRPr="00FD4C41">
              <w:rPr>
                <w:lang w:val="de-DE"/>
              </w:rPr>
              <w:t xml:space="preserve"> </w:t>
            </w:r>
            <w:r w:rsidRPr="00F94B27">
              <w:rPr>
                <w:b/>
                <w:lang w:val="de-DE"/>
              </w:rPr>
              <w:t>[</w:t>
            </w:r>
            <w:r w:rsidRPr="00FD4C41">
              <w:rPr>
                <w:lang w:val="de-DE"/>
              </w:rPr>
              <w:t>wird</w:t>
            </w:r>
            <w:r w:rsidRPr="00F94B27">
              <w:rPr>
                <w:b/>
                <w:lang w:val="de-DE"/>
              </w:rPr>
              <w:t>]</w:t>
            </w:r>
            <w:r w:rsidRPr="00FD4C41">
              <w:rPr>
                <w:lang w:val="de-DE"/>
              </w:rPr>
              <w:t xml:space="preserve"> </w:t>
            </w:r>
            <w:r w:rsidRPr="00F94B27">
              <w:rPr>
                <w:b/>
                <w:lang w:val="de-DE"/>
              </w:rPr>
              <w:t>[</w:t>
            </w:r>
            <w:r w:rsidRPr="00FD4C41">
              <w:rPr>
                <w:lang w:val="de-DE"/>
              </w:rPr>
              <w:t>werden</w:t>
            </w:r>
            <w:r w:rsidRPr="00F94B27">
              <w:rPr>
                <w:b/>
                <w:lang w:val="de-DE"/>
              </w:rPr>
              <w:t>]</w:t>
            </w:r>
            <w:r w:rsidRPr="00FD4C41">
              <w:rPr>
                <w:lang w:val="de-DE"/>
              </w:rPr>
              <w:t xml:space="preserve"> </w:t>
            </w:r>
            <w:r w:rsidRPr="00F94B27">
              <w:rPr>
                <w:b/>
                <w:lang w:val="de-DE"/>
              </w:rPr>
              <w:t>[</w:t>
            </w:r>
            <w:r w:rsidRPr="00FD4C41">
              <w:rPr>
                <w:lang w:val="de-DE"/>
              </w:rPr>
              <w:t>der Zinszahlungsbetrag</w:t>
            </w:r>
            <w:r w:rsidRPr="00F94B27">
              <w:rPr>
                <w:b/>
                <w:lang w:val="de-DE"/>
              </w:rPr>
              <w:t>]</w:t>
            </w:r>
            <w:r w:rsidRPr="00FD4C41">
              <w:rPr>
                <w:lang w:val="de-DE"/>
              </w:rPr>
              <w:t xml:space="preserve"> </w:t>
            </w:r>
            <w:r w:rsidRPr="00F94B27">
              <w:rPr>
                <w:b/>
                <w:lang w:val="de-DE"/>
              </w:rPr>
              <w:t>[</w:t>
            </w:r>
            <w:r w:rsidRPr="00FD4C41">
              <w:rPr>
                <w:lang w:val="de-DE"/>
              </w:rPr>
              <w:t>die Zinszahlungsbeträge</w:t>
            </w:r>
            <w:r w:rsidRPr="00F94B27">
              <w:rPr>
                <w:b/>
                <w:lang w:val="de-DE"/>
              </w:rPr>
              <w:t>]</w:t>
            </w:r>
            <w:r w:rsidRPr="00FD4C41">
              <w:rPr>
                <w:lang w:val="de-DE"/>
              </w:rPr>
              <w:t xml:space="preserve"> auf der Grundlage eines variablen Zinssatzes berechnet. </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D61D9A" w:rsidP="00FD4C41">
            <w:pPr>
              <w:pStyle w:val="CSBody0"/>
            </w:pPr>
            <w:r w:rsidRPr="00F94B27">
              <w:rPr>
                <w:b/>
              </w:rPr>
              <w:t>[</w:t>
            </w:r>
            <w:r w:rsidRPr="00D61D9A">
              <w:t>i</w:t>
            </w:r>
            <w:r w:rsidRPr="00FD4C41">
              <w:rPr>
                <w:b/>
                <w:i/>
              </w:rPr>
              <w:t>n case of Complex Products without Fixed Interest Payment Dates:</w:t>
            </w:r>
            <w:r w:rsidRPr="00D61D9A">
              <w:t xml:space="preserve"> In case of Spread-Linked Notes, the Interest Rate on the basis of which the Interest Payment Amount</w:t>
            </w:r>
            <w:r w:rsidRPr="00F94B27">
              <w:rPr>
                <w:b/>
              </w:rPr>
              <w:t>[</w:t>
            </w:r>
            <w:r w:rsidRPr="00D61D9A">
              <w:t>s</w:t>
            </w:r>
            <w:r w:rsidRPr="00F94B27">
              <w:rPr>
                <w:b/>
              </w:rPr>
              <w:t>]</w:t>
            </w:r>
            <w:r w:rsidRPr="00D61D9A">
              <w:t xml:space="preserve"> </w:t>
            </w:r>
            <w:r w:rsidRPr="00F94B27">
              <w:rPr>
                <w:b/>
              </w:rPr>
              <w:t>[</w:t>
            </w:r>
            <w:r w:rsidRPr="00D61D9A">
              <w:t>is</w:t>
            </w:r>
            <w:r w:rsidRPr="00F94B27">
              <w:rPr>
                <w:b/>
              </w:rPr>
              <w:t>][</w:t>
            </w:r>
            <w:r w:rsidRPr="00D61D9A">
              <w:t>are</w:t>
            </w:r>
            <w:r w:rsidRPr="00F94B27">
              <w:rPr>
                <w:b/>
              </w:rPr>
              <w:t>]</w:t>
            </w:r>
            <w:r w:rsidRPr="00D61D9A">
              <w:t xml:space="preserve"> calculated will be equal to a variable Interest Rate.</w:t>
            </w:r>
            <w:r w:rsidRPr="00F94B27">
              <w:rPr>
                <w:b/>
              </w:rPr>
              <w:t>]</w:t>
            </w:r>
          </w:p>
        </w:tc>
        <w:tc>
          <w:tcPr>
            <w:tcW w:w="2466" w:type="pct"/>
            <w:gridSpan w:val="14"/>
            <w:tcBorders>
              <w:left w:val="single" w:sz="4" w:space="0" w:color="auto"/>
            </w:tcBorders>
          </w:tcPr>
          <w:p w:rsidR="00FD4C41" w:rsidRPr="00FD4C41" w:rsidP="00FD4C41">
            <w:pPr>
              <w:pStyle w:val="CSBody0"/>
              <w:rPr>
                <w:lang w:val="de-DE"/>
              </w:rPr>
            </w:pPr>
            <w:r w:rsidRPr="00F94B27">
              <w:rPr>
                <w:b/>
                <w:lang w:val="de-DE"/>
              </w:rPr>
              <w:t>[</w:t>
            </w:r>
            <w:r w:rsidRPr="00FD4C41">
              <w:rPr>
                <w:b/>
                <w:i/>
                <w:lang w:val="de-DE"/>
              </w:rPr>
              <w:t>bei Komplexen Produkten ohne Zahlungstage für Festzinsen:</w:t>
            </w:r>
            <w:r w:rsidRPr="00FD4C41">
              <w:rPr>
                <w:lang w:val="de-DE"/>
              </w:rPr>
              <w:t xml:space="preserve"> Bei Spread-Linked Notes entspricht der Zinssatz, auf dessen Grundlage </w:t>
            </w:r>
            <w:r w:rsidRPr="00F94B27">
              <w:rPr>
                <w:b/>
                <w:lang w:val="de-DE"/>
              </w:rPr>
              <w:t>[</w:t>
            </w:r>
            <w:r w:rsidRPr="00FD4C41">
              <w:rPr>
                <w:lang w:val="de-DE"/>
              </w:rPr>
              <w:t>der Zinszahlungsbetrag</w:t>
            </w:r>
            <w:r w:rsidRPr="00F94B27">
              <w:rPr>
                <w:b/>
                <w:lang w:val="de-DE"/>
              </w:rPr>
              <w:t>]</w:t>
            </w:r>
            <w:r w:rsidRPr="00FD4C41">
              <w:rPr>
                <w:lang w:val="de-DE"/>
              </w:rPr>
              <w:t xml:space="preserve"> </w:t>
            </w:r>
            <w:r w:rsidRPr="00F94B27">
              <w:rPr>
                <w:b/>
                <w:lang w:val="de-DE"/>
              </w:rPr>
              <w:t>[</w:t>
            </w:r>
            <w:r w:rsidRPr="00FD4C41">
              <w:rPr>
                <w:lang w:val="de-DE"/>
              </w:rPr>
              <w:t>die Zinszahlungsbeträge</w:t>
            </w:r>
            <w:r w:rsidRPr="00F94B27">
              <w:rPr>
                <w:b/>
                <w:lang w:val="de-DE"/>
              </w:rPr>
              <w:t>]</w:t>
            </w:r>
            <w:r w:rsidRPr="00FD4C41">
              <w:rPr>
                <w:lang w:val="de-DE"/>
              </w:rPr>
              <w:t xml:space="preserve"> berechnet </w:t>
            </w:r>
            <w:r w:rsidRPr="00F94B27">
              <w:rPr>
                <w:b/>
                <w:lang w:val="de-DE"/>
              </w:rPr>
              <w:t>[</w:t>
            </w:r>
            <w:r w:rsidRPr="00FD4C41">
              <w:rPr>
                <w:lang w:val="de-DE"/>
              </w:rPr>
              <w:t>wird</w:t>
            </w:r>
            <w:r w:rsidRPr="00F94B27">
              <w:rPr>
                <w:b/>
                <w:lang w:val="de-DE"/>
              </w:rPr>
              <w:t>]</w:t>
            </w:r>
            <w:r w:rsidRPr="00FD4C41">
              <w:rPr>
                <w:lang w:val="de-DE"/>
              </w:rPr>
              <w:t xml:space="preserve"> </w:t>
            </w:r>
            <w:r w:rsidRPr="00F94B27">
              <w:rPr>
                <w:b/>
                <w:lang w:val="de-DE"/>
              </w:rPr>
              <w:t>[</w:t>
            </w:r>
            <w:r w:rsidRPr="00FD4C41">
              <w:rPr>
                <w:lang w:val="de-DE"/>
              </w:rPr>
              <w:t>werden</w:t>
            </w:r>
            <w:r w:rsidRPr="00F94B27">
              <w:rPr>
                <w:b/>
                <w:lang w:val="de-DE"/>
              </w:rPr>
              <w:t>]</w:t>
            </w:r>
            <w:r w:rsidRPr="00FD4C41">
              <w:rPr>
                <w:lang w:val="de-DE"/>
              </w:rPr>
              <w:t>, einem variablen Zinssatz.</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D61D9A" w:rsidP="00FD4C41">
            <w:pPr>
              <w:pStyle w:val="CSBody0"/>
            </w:pPr>
            <w:r w:rsidRPr="00D61D9A">
              <w:t xml:space="preserve">Such variable Interest Rate will be dependent upon the difference between the value of Reference Rate 1 and the value of Reference Rate 2 as determined by the Calculation Agent on the </w:t>
            </w:r>
            <w:r w:rsidRPr="00F94B27" w:rsidR="00F94B27">
              <w:rPr>
                <w:b/>
              </w:rPr>
              <w:t>[</w:t>
            </w:r>
            <w:r w:rsidRPr="00D61D9A">
              <w:t>relevant</w:t>
            </w:r>
            <w:r w:rsidRPr="00F94B27" w:rsidR="00F94B27">
              <w:rPr>
                <w:b/>
              </w:rPr>
              <w:t>]</w:t>
            </w:r>
            <w:r w:rsidRPr="00D61D9A">
              <w:t xml:space="preserve"> Interest Determination Date. For the determination of the </w:t>
            </w:r>
            <w:r w:rsidRPr="00F94B27" w:rsidR="00F94B27">
              <w:rPr>
                <w:b/>
              </w:rPr>
              <w:t>[</w:t>
            </w:r>
            <w:r w:rsidRPr="00D61D9A">
              <w:t>applicable</w:t>
            </w:r>
            <w:r w:rsidRPr="00F94B27" w:rsidR="00F94B27">
              <w:rPr>
                <w:b/>
              </w:rPr>
              <w:t>]</w:t>
            </w:r>
            <w:r w:rsidRPr="00D61D9A">
              <w:t xml:space="preserve"> Interest Rate such difference is </w:t>
            </w:r>
            <w:r w:rsidRPr="00F94B27" w:rsidR="00F94B27">
              <w:rPr>
                <w:b/>
              </w:rPr>
              <w:t>[</w:t>
            </w:r>
            <w:r w:rsidRPr="00D61D9A">
              <w:t>multiplied by the Participation</w:t>
            </w:r>
            <w:r w:rsidRPr="00F94B27" w:rsidR="00F94B27">
              <w:rPr>
                <w:b/>
              </w:rPr>
              <w:t>]</w:t>
            </w:r>
            <w:r w:rsidRPr="00D61D9A">
              <w:t xml:space="preserve"> </w:t>
            </w:r>
            <w:r w:rsidRPr="00F94B27" w:rsidR="00F94B27">
              <w:rPr>
                <w:b/>
              </w:rPr>
              <w:t>[</w:t>
            </w:r>
            <w:r w:rsidRPr="00D61D9A">
              <w:t xml:space="preserve">added to </w:t>
            </w:r>
            <w:r w:rsidRPr="00F94B27" w:rsidR="00F94B27">
              <w:rPr>
                <w:b/>
              </w:rPr>
              <w:t>[</w:t>
            </w:r>
            <w:r w:rsidR="003857E8">
              <w:rPr>
                <w:rFonts w:ascii="Arial" w:hAnsi="Arial" w:cs="Arial"/>
              </w:rPr>
              <w:t>●</w:t>
            </w:r>
            <w:r w:rsidRPr="00F94B27" w:rsidR="00F94B27">
              <w:rPr>
                <w:b/>
              </w:rPr>
              <w:t>]</w:t>
            </w:r>
            <w:r w:rsidRPr="00D61D9A">
              <w:t>% per annum</w:t>
            </w:r>
            <w:r w:rsidRPr="00F94B27" w:rsidR="00F94B27">
              <w:rPr>
                <w:b/>
              </w:rPr>
              <w:t>]</w:t>
            </w:r>
            <w:r w:rsidRPr="00D61D9A">
              <w:t xml:space="preserve">. Consequently, the greater the positive difference between Reference Rate 1 and Reference Rate 2 is, the higher the </w:t>
            </w:r>
            <w:r w:rsidRPr="00F94B27" w:rsidR="00F94B27">
              <w:rPr>
                <w:b/>
              </w:rPr>
              <w:t>[</w:t>
            </w:r>
            <w:r w:rsidRPr="00D61D9A">
              <w:t>applicable</w:t>
            </w:r>
            <w:r w:rsidRPr="00F94B27" w:rsidR="00F94B27">
              <w:rPr>
                <w:b/>
              </w:rPr>
              <w:t>]</w:t>
            </w:r>
            <w:r w:rsidRPr="00D61D9A">
              <w:t xml:space="preserve"> Interest Rate and resulting Interest Payment Amount will be. If, however, the Reference Rates converge or if the value of Reference Rate 2 is above the value of Reference Rate 1, the </w:t>
            </w:r>
            <w:r w:rsidRPr="00F94B27" w:rsidR="00F94B27">
              <w:rPr>
                <w:b/>
              </w:rPr>
              <w:t>[</w:t>
            </w:r>
            <w:r w:rsidRPr="00D61D9A">
              <w:t>applicable</w:t>
            </w:r>
            <w:r w:rsidRPr="00F94B27" w:rsidR="00F94B27">
              <w:rPr>
                <w:b/>
              </w:rPr>
              <w:t>]</w:t>
            </w:r>
            <w:r w:rsidRPr="00D61D9A">
              <w:t xml:space="preserve"> Interest Rate may be equal to zero. Depending on the actual difference between the values of the two Reference Rates, the </w:t>
            </w:r>
            <w:r w:rsidRPr="00F94B27" w:rsidR="00F94B27">
              <w:rPr>
                <w:b/>
              </w:rPr>
              <w:t>[</w:t>
            </w:r>
            <w:r w:rsidRPr="00D61D9A">
              <w:t>applicable</w:t>
            </w:r>
            <w:r w:rsidRPr="00F94B27" w:rsidR="00F94B27">
              <w:rPr>
                <w:b/>
              </w:rPr>
              <w:t>]</w:t>
            </w:r>
            <w:r w:rsidRPr="00D61D9A">
              <w:t xml:space="preserve"> Interest Rate and resulting Interest Payment Amount may be very low even if both Reference Rates develop positively over the relevant interest period.</w:t>
            </w:r>
            <w:r w:rsidRPr="00F94B27" w:rsidR="00F94B27">
              <w:rPr>
                <w:b/>
              </w:rPr>
              <w:t>]</w:t>
            </w:r>
          </w:p>
        </w:tc>
        <w:tc>
          <w:tcPr>
            <w:tcW w:w="2466" w:type="pct"/>
            <w:gridSpan w:val="14"/>
            <w:tcBorders>
              <w:left w:val="single" w:sz="4" w:space="0" w:color="auto"/>
            </w:tcBorders>
          </w:tcPr>
          <w:p w:rsidR="00FD4C41" w:rsidRPr="00FD4C41" w:rsidP="00FD4C41">
            <w:pPr>
              <w:pStyle w:val="CSBody0"/>
              <w:rPr>
                <w:lang w:val="de-DE"/>
              </w:rPr>
            </w:pPr>
            <w:r w:rsidRPr="00FD4C41">
              <w:rPr>
                <w:lang w:val="de-DE"/>
              </w:rPr>
              <w:t xml:space="preserve">Dieser variable Zinssatz hängt von der Differenz aus dem Wert des Referenzsatzes 1 und dem Wert des Referenzsatzes 2 ab, die von der Berechnungsstelle am </w:t>
            </w:r>
            <w:r w:rsidRPr="00F94B27" w:rsidR="00F94B27">
              <w:rPr>
                <w:b/>
                <w:lang w:val="de-DE"/>
              </w:rPr>
              <w:t>[</w:t>
            </w:r>
            <w:r w:rsidRPr="00FD4C41">
              <w:rPr>
                <w:lang w:val="de-DE"/>
              </w:rPr>
              <w:t>jeweiligen</w:t>
            </w:r>
            <w:r w:rsidRPr="00F94B27" w:rsidR="00F94B27">
              <w:rPr>
                <w:b/>
                <w:lang w:val="de-DE"/>
              </w:rPr>
              <w:t>]</w:t>
            </w:r>
            <w:r w:rsidRPr="00FD4C41">
              <w:rPr>
                <w:lang w:val="de-DE"/>
              </w:rPr>
              <w:t xml:space="preserve"> Zinsfeststellungstag festgestellt wird. Für die Feststellung des anwendbaren Zinsssatzes wird diese Differenz </w:t>
            </w:r>
            <w:r w:rsidRPr="00F94B27" w:rsidR="00F94B27">
              <w:rPr>
                <w:b/>
                <w:lang w:val="de-DE"/>
              </w:rPr>
              <w:t>[</w:t>
            </w:r>
            <w:r w:rsidRPr="00FD4C41">
              <w:rPr>
                <w:lang w:val="de-DE"/>
              </w:rPr>
              <w:t>mit der Partizipation multipliziert</w:t>
            </w:r>
            <w:r w:rsidRPr="00F94B27" w:rsidR="00F94B27">
              <w:rPr>
                <w:b/>
                <w:lang w:val="de-DE"/>
              </w:rPr>
              <w:t>]</w:t>
            </w:r>
            <w:r w:rsidRPr="00FD4C41">
              <w:rPr>
                <w:lang w:val="de-DE"/>
              </w:rPr>
              <w:t xml:space="preserve"> </w:t>
            </w:r>
            <w:r w:rsidRPr="00F94B27" w:rsidR="00F94B27">
              <w:rPr>
                <w:b/>
                <w:lang w:val="de-DE"/>
              </w:rPr>
              <w:t>[</w:t>
            </w:r>
            <w:r w:rsidRPr="00FD4C41">
              <w:rPr>
                <w:lang w:val="de-DE"/>
              </w:rPr>
              <w:t xml:space="preserve">zu </w:t>
            </w:r>
            <w:r w:rsidRPr="00F94B27" w:rsidR="00F94B27">
              <w:rPr>
                <w:b/>
                <w:lang w:val="de-DE"/>
              </w:rPr>
              <w:t>[</w:t>
            </w:r>
            <w:r w:rsidRPr="003857E8" w:rsidR="003857E8">
              <w:rPr>
                <w:rFonts w:ascii="Arial" w:hAnsi="Arial" w:cs="Arial"/>
                <w:lang w:val="de-DE"/>
              </w:rPr>
              <w:t>●</w:t>
            </w:r>
            <w:r w:rsidRPr="00F94B27" w:rsidR="00F94B27">
              <w:rPr>
                <w:b/>
                <w:lang w:val="de-DE"/>
              </w:rPr>
              <w:t>]</w:t>
            </w:r>
            <w:r w:rsidRPr="00FD4C41">
              <w:rPr>
                <w:lang w:val="de-DE"/>
              </w:rPr>
              <w:t>% per annum addiert</w:t>
            </w:r>
            <w:r w:rsidRPr="00F94B27" w:rsidR="00F94B27">
              <w:rPr>
                <w:b/>
                <w:lang w:val="de-DE"/>
              </w:rPr>
              <w:t>]</w:t>
            </w:r>
            <w:r w:rsidRPr="00FD4C41">
              <w:rPr>
                <w:lang w:val="de-DE"/>
              </w:rPr>
              <w:t xml:space="preserve">. Folglich gilt: je grösser die positive Differenz zwischen Referenzsatz 1 und Referenzsatz 2 ist, desto höher ist der anwendbare Zinssatz und der resultierende Zinszahlungsbetrag. Falls sich allerdings die Referenzsätze annähern oder falls der Wert von Referenzsatz 2 über dem Wert von Referenzsatz 1 liegt, kann der </w:t>
            </w:r>
            <w:r w:rsidRPr="00F94B27" w:rsidR="00F94B27">
              <w:rPr>
                <w:b/>
                <w:lang w:val="de-DE"/>
              </w:rPr>
              <w:t>[</w:t>
            </w:r>
            <w:r w:rsidRPr="00FD4C41">
              <w:rPr>
                <w:lang w:val="de-DE"/>
              </w:rPr>
              <w:t>anwendbare</w:t>
            </w:r>
            <w:r w:rsidRPr="00F94B27" w:rsidR="00F94B27">
              <w:rPr>
                <w:b/>
                <w:lang w:val="de-DE"/>
              </w:rPr>
              <w:t>]</w:t>
            </w:r>
            <w:r w:rsidRPr="00FD4C41">
              <w:rPr>
                <w:lang w:val="de-DE"/>
              </w:rPr>
              <w:t xml:space="preserve"> Zinssatz null entsprechen. In Abhängigkeit von der tatsächlichen Differenz zwischen den Werten der beiden Referenzsätze kann der </w:t>
            </w:r>
            <w:r w:rsidRPr="00F94B27" w:rsidR="00F94B27">
              <w:rPr>
                <w:b/>
                <w:lang w:val="de-DE"/>
              </w:rPr>
              <w:t>[</w:t>
            </w:r>
            <w:r w:rsidRPr="00FD4C41">
              <w:rPr>
                <w:lang w:val="de-DE"/>
              </w:rPr>
              <w:t>anwendbare</w:t>
            </w:r>
            <w:r w:rsidRPr="00F94B27" w:rsidR="00F94B27">
              <w:rPr>
                <w:b/>
                <w:lang w:val="de-DE"/>
              </w:rPr>
              <w:t>]</w:t>
            </w:r>
            <w:r w:rsidRPr="00FD4C41">
              <w:rPr>
                <w:lang w:val="de-DE"/>
              </w:rPr>
              <w:t xml:space="preserve"> Zinssatz und der resultierende Zinszahlungsbetrag selbst dann sehr gering sein, wenn sich beide Referenzsätze während der jeweiligen Zinsperiode positiv entwickeln.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AB16EC" w:rsidP="00FD4C41">
            <w:pPr>
              <w:pStyle w:val="CSbody0bolditalic"/>
              <w:rPr>
                <w:lang w:val="en-GB"/>
              </w:rPr>
            </w:pPr>
            <w:r w:rsidRPr="00F94B27">
              <w:rPr>
                <w:lang w:val="en-GB"/>
              </w:rPr>
              <w:t>[</w:t>
            </w:r>
            <w:r w:rsidRPr="00AB16EC">
              <w:rPr>
                <w:lang w:val="en-GB"/>
              </w:rPr>
              <w:t>in case of Range Accrual Notes:</w:t>
            </w:r>
          </w:p>
        </w:tc>
        <w:tc>
          <w:tcPr>
            <w:tcW w:w="2466" w:type="pct"/>
            <w:gridSpan w:val="14"/>
            <w:tcBorders>
              <w:left w:val="single" w:sz="4" w:space="0" w:color="auto"/>
            </w:tcBorders>
          </w:tcPr>
          <w:p w:rsidR="00FD4C41" w:rsidRPr="00D61D9A" w:rsidP="00FD4C41">
            <w:pPr>
              <w:pStyle w:val="CSbody0bolditalic"/>
            </w:pPr>
            <w:r w:rsidRPr="00F94B27">
              <w:t>[</w:t>
            </w:r>
            <w:r w:rsidRPr="00D61D9A">
              <w:t>bei Range Accrual Notes:</w:t>
            </w:r>
          </w:p>
        </w:tc>
      </w:tr>
      <w:tr w:rsidTr="00942F00">
        <w:tblPrEx>
          <w:tblW w:w="5000" w:type="pct"/>
          <w:tblLayout w:type="fixed"/>
          <w:tblLook w:val="04A0"/>
        </w:tblPrEx>
        <w:tc>
          <w:tcPr>
            <w:tcW w:w="2534" w:type="pct"/>
            <w:gridSpan w:val="14"/>
            <w:tcBorders>
              <w:right w:val="single" w:sz="4" w:space="0" w:color="auto"/>
            </w:tcBorders>
          </w:tcPr>
          <w:p w:rsidR="00FD4C41" w:rsidRPr="00D61D9A" w:rsidP="00474C21">
            <w:pPr>
              <w:pStyle w:val="CSBody0"/>
            </w:pPr>
            <w:r w:rsidRPr="00D61D9A">
              <w:t>In case of Range Accrual Notes, the Interest Rate on the basis of which the Interest Payment Amount</w:t>
            </w:r>
            <w:r w:rsidRPr="00F94B27" w:rsidR="00F94B27">
              <w:rPr>
                <w:b/>
              </w:rPr>
              <w:t>[</w:t>
            </w:r>
            <w:r w:rsidRPr="00D61D9A">
              <w:t>s</w:t>
            </w:r>
            <w:r w:rsidRPr="00F94B27" w:rsidR="00F94B27">
              <w:rPr>
                <w:b/>
              </w:rPr>
              <w:t>]</w:t>
            </w:r>
            <w:r w:rsidRPr="00D61D9A">
              <w:t xml:space="preserve"> </w:t>
            </w:r>
            <w:r w:rsidRPr="00F94B27" w:rsidR="00F94B27">
              <w:rPr>
                <w:b/>
              </w:rPr>
              <w:t>[</w:t>
            </w:r>
            <w:r w:rsidRPr="00D61D9A">
              <w:t>is</w:t>
            </w:r>
            <w:r w:rsidRPr="00F94B27" w:rsidR="00F94B27">
              <w:rPr>
                <w:b/>
              </w:rPr>
              <w:t>][</w:t>
            </w:r>
            <w:r w:rsidRPr="00D61D9A">
              <w:t>are</w:t>
            </w:r>
            <w:r w:rsidRPr="00F94B27" w:rsidR="00F94B27">
              <w:rPr>
                <w:b/>
              </w:rPr>
              <w:t>]</w:t>
            </w:r>
            <w:r w:rsidRPr="00D61D9A">
              <w:t xml:space="preserve"> calculated will be dependent upon the number of Barrier Observation Dates during the </w:t>
            </w:r>
            <w:r w:rsidRPr="00F94B27" w:rsidR="00F94B27">
              <w:rPr>
                <w:b/>
              </w:rPr>
              <w:t>[</w:t>
            </w:r>
            <w:r w:rsidRPr="00D61D9A">
              <w:t>relevant</w:t>
            </w:r>
            <w:r w:rsidRPr="00F94B27" w:rsidR="00F94B27">
              <w:rPr>
                <w:b/>
              </w:rPr>
              <w:t>]</w:t>
            </w:r>
            <w:r w:rsidRPr="00D61D9A">
              <w:t xml:space="preserve"> interest period on which the value of the Reference Rate (</w:t>
            </w:r>
            <w:r w:rsidRPr="007E3558" w:rsidR="007E3558">
              <w:rPr>
                <w:i/>
              </w:rPr>
              <w:t>i.e.</w:t>
            </w:r>
            <w:r w:rsidRPr="00D61D9A">
              <w:t xml:space="preserve">, a variable rate of interest) breaches </w:t>
            </w:r>
            <w:r w:rsidRPr="00F94B27" w:rsidR="00F94B27">
              <w:rPr>
                <w:b/>
              </w:rPr>
              <w:t>[</w:t>
            </w:r>
            <w:r w:rsidRPr="00D61D9A">
              <w:t>or reaches</w:t>
            </w:r>
            <w:r w:rsidRPr="00F94B27" w:rsidR="00F94B27">
              <w:rPr>
                <w:b/>
              </w:rPr>
              <w:t>]</w:t>
            </w:r>
            <w:r w:rsidRPr="00D61D9A">
              <w:t xml:space="preserve"> the </w:t>
            </w:r>
            <w:r w:rsidRPr="00F94B27" w:rsidR="00F94B27">
              <w:rPr>
                <w:b/>
              </w:rPr>
              <w:t>[</w:t>
            </w:r>
            <w:r w:rsidRPr="00D61D9A">
              <w:t>Barrier</w:t>
            </w:r>
            <w:r w:rsidRPr="00F94B27" w:rsidR="00F94B27">
              <w:rPr>
                <w:b/>
              </w:rPr>
              <w:t>]</w:t>
            </w:r>
            <w:r w:rsidRPr="00D61D9A">
              <w:t xml:space="preserve"> </w:t>
            </w:r>
            <w:r w:rsidRPr="00F94B27" w:rsidR="00F94B27">
              <w:rPr>
                <w:b/>
              </w:rPr>
              <w:t>[</w:t>
            </w:r>
            <w:r w:rsidRPr="00D61D9A">
              <w:t>Lower Barrier or Upper Barrier</w:t>
            </w:r>
            <w:r w:rsidRPr="00F94B27" w:rsidR="00F94B27">
              <w:rPr>
                <w:b/>
              </w:rPr>
              <w:t>]</w:t>
            </w:r>
            <w:r w:rsidRPr="00D61D9A">
              <w:t xml:space="preserve">, as specified in the Terms and Conditions. The </w:t>
            </w:r>
            <w:r w:rsidRPr="00F94B27" w:rsidR="00F94B27">
              <w:rPr>
                <w:b/>
              </w:rPr>
              <w:t>[</w:t>
            </w:r>
            <w:r w:rsidRPr="00D61D9A">
              <w:t>applicable</w:t>
            </w:r>
            <w:r w:rsidRPr="00F94B27" w:rsidR="00F94B27">
              <w:rPr>
                <w:b/>
              </w:rPr>
              <w:t>]</w:t>
            </w:r>
            <w:r w:rsidRPr="00D61D9A">
              <w:t xml:space="preserve"> Interest Rate will then be determined by multiplying (i) the number of Barrier Observation Dates during the </w:t>
            </w:r>
            <w:r w:rsidRPr="00F94B27" w:rsidR="00F94B27">
              <w:rPr>
                <w:b/>
              </w:rPr>
              <w:t>[</w:t>
            </w:r>
            <w:r w:rsidRPr="00D61D9A">
              <w:t>relevant</w:t>
            </w:r>
            <w:r w:rsidRPr="00F94B27" w:rsidR="00F94B27">
              <w:rPr>
                <w:b/>
              </w:rPr>
              <w:t>]</w:t>
            </w:r>
            <w:r w:rsidRPr="00D61D9A">
              <w:t xml:space="preserve"> interest period on which such </w:t>
            </w:r>
            <w:r w:rsidRPr="00F94B27" w:rsidR="00F94B27">
              <w:rPr>
                <w:b/>
              </w:rPr>
              <w:t>[</w:t>
            </w:r>
            <w:r w:rsidRPr="00D61D9A">
              <w:t>Barrier was not</w:t>
            </w:r>
            <w:r w:rsidRPr="00F94B27" w:rsidR="00F94B27">
              <w:rPr>
                <w:b/>
              </w:rPr>
              <w:t>]</w:t>
            </w:r>
            <w:r w:rsidRPr="00D61D9A">
              <w:t xml:space="preserve"> </w:t>
            </w:r>
            <w:r w:rsidRPr="00F94B27" w:rsidR="00F94B27">
              <w:rPr>
                <w:b/>
              </w:rPr>
              <w:t>[</w:t>
            </w:r>
            <w:r w:rsidRPr="00D61D9A">
              <w:t>Lower Barrier or Upper Barrier were not</w:t>
            </w:r>
            <w:r w:rsidRPr="00F94B27" w:rsidR="00F94B27">
              <w:rPr>
                <w:b/>
              </w:rPr>
              <w:t>]</w:t>
            </w:r>
            <w:r w:rsidRPr="00D61D9A">
              <w:t xml:space="preserve"> breached </w:t>
            </w:r>
            <w:r w:rsidRPr="00F94B27" w:rsidR="00F94B27">
              <w:rPr>
                <w:b/>
              </w:rPr>
              <w:t>[</w:t>
            </w:r>
            <w:r w:rsidRPr="00D61D9A">
              <w:t>or reached</w:t>
            </w:r>
            <w:r w:rsidRPr="00F94B27" w:rsidR="00F94B27">
              <w:rPr>
                <w:b/>
              </w:rPr>
              <w:t>]</w:t>
            </w:r>
            <w:r w:rsidRPr="00D61D9A">
              <w:t xml:space="preserve">, divided by the total number of Barrier Observation Dates during such interest period, by (ii) </w:t>
            </w:r>
            <w:r w:rsidRPr="00F94B27" w:rsidR="00F94B27">
              <w:rPr>
                <w:b/>
              </w:rPr>
              <w:t>[</w:t>
            </w:r>
            <w:r w:rsidR="003857E8">
              <w:rPr>
                <w:rFonts w:ascii="Arial" w:hAnsi="Arial" w:cs="Arial"/>
              </w:rPr>
              <w:t>●</w:t>
            </w:r>
            <w:r w:rsidRPr="00F94B27" w:rsidR="00F94B27">
              <w:rPr>
                <w:b/>
              </w:rPr>
              <w:t>]</w:t>
            </w:r>
            <w:r w:rsidRPr="00D61D9A">
              <w:t xml:space="preserve">% per annum. Consequently, the smaller the number of Barrier Observation Dates on which such </w:t>
            </w:r>
            <w:r w:rsidRPr="00F94B27" w:rsidR="00F94B27">
              <w:rPr>
                <w:b/>
              </w:rPr>
              <w:t>[</w:t>
            </w:r>
            <w:r w:rsidRPr="00D61D9A">
              <w:t>Barrier</w:t>
            </w:r>
            <w:r w:rsidRPr="00F94B27" w:rsidR="00F94B27">
              <w:rPr>
                <w:b/>
              </w:rPr>
              <w:t>]</w:t>
            </w:r>
            <w:r w:rsidRPr="00D61D9A">
              <w:t xml:space="preserve"> </w:t>
            </w:r>
            <w:r w:rsidRPr="00F94B27" w:rsidR="00F94B27">
              <w:rPr>
                <w:b/>
              </w:rPr>
              <w:t>[</w:t>
            </w:r>
            <w:r w:rsidRPr="00D61D9A">
              <w:t>Lower Barrier or Upper Barrier</w:t>
            </w:r>
            <w:r w:rsidRPr="00F94B27" w:rsidR="00F94B27">
              <w:rPr>
                <w:b/>
              </w:rPr>
              <w:t>]</w:t>
            </w:r>
            <w:r w:rsidRPr="00D61D9A">
              <w:t xml:space="preserve"> is breached </w:t>
            </w:r>
            <w:r w:rsidRPr="00F94B27" w:rsidR="00F94B27">
              <w:rPr>
                <w:b/>
              </w:rPr>
              <w:t>[</w:t>
            </w:r>
            <w:r w:rsidRPr="00D61D9A">
              <w:t>or, reached</w:t>
            </w:r>
            <w:r w:rsidRPr="00F94B27" w:rsidR="00F94B27">
              <w:rPr>
                <w:b/>
              </w:rPr>
              <w:t>]</w:t>
            </w:r>
            <w:r w:rsidRPr="00D61D9A">
              <w:t xml:space="preserve">, the higher the applicable Interest Rate and resulting Interest Payment Amount will be. Conversely, the greater the number of Barrier Observation Dates on which such </w:t>
            </w:r>
            <w:r w:rsidRPr="00F94B27" w:rsidR="00F94B27">
              <w:rPr>
                <w:b/>
              </w:rPr>
              <w:t>[</w:t>
            </w:r>
            <w:r w:rsidRPr="00D61D9A">
              <w:t>Barrier</w:t>
            </w:r>
            <w:r w:rsidRPr="00F94B27" w:rsidR="00F94B27">
              <w:rPr>
                <w:b/>
              </w:rPr>
              <w:t>]</w:t>
            </w:r>
            <w:r w:rsidRPr="00D61D9A">
              <w:t xml:space="preserve"> </w:t>
            </w:r>
            <w:r w:rsidRPr="00F94B27" w:rsidR="00F94B27">
              <w:rPr>
                <w:b/>
              </w:rPr>
              <w:t>[</w:t>
            </w:r>
            <w:r w:rsidRPr="00D61D9A">
              <w:t>Lower Barrier or Upper Barrier</w:t>
            </w:r>
            <w:r w:rsidRPr="00F94B27" w:rsidR="00F94B27">
              <w:rPr>
                <w:b/>
              </w:rPr>
              <w:t>]</w:t>
            </w:r>
            <w:r w:rsidRPr="00D61D9A">
              <w:t xml:space="preserve"> is breached </w:t>
            </w:r>
            <w:r w:rsidRPr="00F94B27" w:rsidR="00F94B27">
              <w:rPr>
                <w:b/>
              </w:rPr>
              <w:t>[</w:t>
            </w:r>
            <w:r w:rsidRPr="00D61D9A">
              <w:t>or, reached</w:t>
            </w:r>
            <w:r w:rsidRPr="00F94B27" w:rsidR="00F94B27">
              <w:rPr>
                <w:b/>
              </w:rPr>
              <w:t>]</w:t>
            </w:r>
            <w:r w:rsidRPr="00D61D9A">
              <w:t xml:space="preserve">, the lower the </w:t>
            </w:r>
            <w:r w:rsidRPr="00F94B27" w:rsidR="00F94B27">
              <w:rPr>
                <w:b/>
              </w:rPr>
              <w:t>[</w:t>
            </w:r>
            <w:r w:rsidRPr="00D61D9A">
              <w:t>applicable</w:t>
            </w:r>
            <w:r w:rsidRPr="00F94B27" w:rsidR="00F94B27">
              <w:rPr>
                <w:b/>
              </w:rPr>
              <w:t>]</w:t>
            </w:r>
            <w:r w:rsidRPr="00D61D9A">
              <w:t xml:space="preserve"> Interest Rate and resulting Interest Payment Amount will be. If such </w:t>
            </w:r>
            <w:r w:rsidRPr="00F94B27" w:rsidR="00F94B27">
              <w:rPr>
                <w:b/>
              </w:rPr>
              <w:t>[</w:t>
            </w:r>
            <w:r w:rsidRPr="00D61D9A">
              <w:t>Barrier</w:t>
            </w:r>
            <w:r w:rsidRPr="00F94B27" w:rsidR="00F94B27">
              <w:rPr>
                <w:b/>
              </w:rPr>
              <w:t>]</w:t>
            </w:r>
            <w:r w:rsidRPr="00D61D9A">
              <w:t xml:space="preserve"> </w:t>
            </w:r>
            <w:r w:rsidRPr="00F94B27" w:rsidR="00F94B27">
              <w:rPr>
                <w:b/>
              </w:rPr>
              <w:t>[</w:t>
            </w:r>
            <w:r w:rsidRPr="00D61D9A">
              <w:t>Lower Barrier or Upper Barrier</w:t>
            </w:r>
            <w:r w:rsidRPr="00F94B27" w:rsidR="00F94B27">
              <w:rPr>
                <w:b/>
              </w:rPr>
              <w:t>]</w:t>
            </w:r>
            <w:r w:rsidRPr="00D61D9A">
              <w:t xml:space="preserve"> is breached </w:t>
            </w:r>
            <w:r w:rsidRPr="00F94B27" w:rsidR="00F94B27">
              <w:rPr>
                <w:b/>
              </w:rPr>
              <w:t>[</w:t>
            </w:r>
            <w:r w:rsidRPr="00D61D9A">
              <w:t>or, reached</w:t>
            </w:r>
            <w:r w:rsidRPr="00F94B27" w:rsidR="00F94B27">
              <w:rPr>
                <w:b/>
              </w:rPr>
              <w:t>]</w:t>
            </w:r>
            <w:r w:rsidRPr="00D61D9A">
              <w:t xml:space="preserve"> on each Barrier Observation Date, the Interest Rate and the resulting Interest Payment Amount, will be zero.</w:t>
            </w:r>
            <w:r w:rsidRPr="00F94B27" w:rsidR="00F94B27">
              <w:rPr>
                <w:b/>
              </w:rPr>
              <w:t>]</w:t>
            </w:r>
          </w:p>
        </w:tc>
        <w:tc>
          <w:tcPr>
            <w:tcW w:w="2466" w:type="pct"/>
            <w:gridSpan w:val="14"/>
            <w:tcBorders>
              <w:left w:val="single" w:sz="4" w:space="0" w:color="auto"/>
            </w:tcBorders>
          </w:tcPr>
          <w:p w:rsidR="00FD4C41" w:rsidRPr="00FD4C41" w:rsidP="00FD4C41">
            <w:pPr>
              <w:pStyle w:val="CSBody0"/>
              <w:rPr>
                <w:lang w:val="de-DE"/>
              </w:rPr>
            </w:pPr>
            <w:r w:rsidRPr="00FD4C41">
              <w:rPr>
                <w:lang w:val="de-DE"/>
              </w:rPr>
              <w:t xml:space="preserve">Bei Range Accrual Notes hängt der Zinssatz, auf dessen Grundlage </w:t>
            </w:r>
            <w:r w:rsidRPr="00F94B27" w:rsidR="00F94B27">
              <w:rPr>
                <w:b/>
                <w:lang w:val="de-DE"/>
              </w:rPr>
              <w:t>[</w:t>
            </w:r>
            <w:r w:rsidRPr="00FD4C41">
              <w:rPr>
                <w:lang w:val="de-DE"/>
              </w:rPr>
              <w:t>der Zinszahlungsbetrag</w:t>
            </w:r>
            <w:r w:rsidRPr="00F94B27" w:rsidR="00F94B27">
              <w:rPr>
                <w:b/>
                <w:lang w:val="de-DE"/>
              </w:rPr>
              <w:t>][</w:t>
            </w:r>
            <w:r w:rsidRPr="00FD4C41">
              <w:rPr>
                <w:lang w:val="de-DE"/>
              </w:rPr>
              <w:t>die Zinszahlungsbeträge</w:t>
            </w:r>
            <w:r w:rsidRPr="00F94B27" w:rsidR="00F94B27">
              <w:rPr>
                <w:b/>
                <w:lang w:val="de-DE"/>
              </w:rPr>
              <w:t>]</w:t>
            </w:r>
            <w:r w:rsidRPr="00FD4C41">
              <w:rPr>
                <w:lang w:val="de-DE"/>
              </w:rPr>
              <w:t xml:space="preserve"> berechnet </w:t>
            </w:r>
            <w:r w:rsidRPr="00F94B27" w:rsidR="00F94B27">
              <w:rPr>
                <w:b/>
                <w:lang w:val="de-DE"/>
              </w:rPr>
              <w:t>[</w:t>
            </w:r>
            <w:r w:rsidRPr="00FD4C41">
              <w:rPr>
                <w:lang w:val="de-DE"/>
              </w:rPr>
              <w:t>wird</w:t>
            </w:r>
            <w:r w:rsidRPr="00F94B27" w:rsidR="00F94B27">
              <w:rPr>
                <w:b/>
                <w:lang w:val="de-DE"/>
              </w:rPr>
              <w:t>][</w:t>
            </w:r>
            <w:r w:rsidRPr="00FD4C41">
              <w:rPr>
                <w:lang w:val="de-DE"/>
              </w:rPr>
              <w:t>werden</w:t>
            </w:r>
            <w:r w:rsidRPr="00F94B27" w:rsidR="00F94B27">
              <w:rPr>
                <w:b/>
                <w:lang w:val="de-DE"/>
              </w:rPr>
              <w:t>]</w:t>
            </w:r>
            <w:r w:rsidRPr="00FD4C41">
              <w:rPr>
                <w:lang w:val="de-DE"/>
              </w:rPr>
              <w:t xml:space="preserve">, von der Anzahl der BarriereBeobachtungstage während der </w:t>
            </w:r>
            <w:r w:rsidRPr="00F94B27" w:rsidR="00F94B27">
              <w:rPr>
                <w:b/>
                <w:lang w:val="de-DE"/>
              </w:rPr>
              <w:t>[</w:t>
            </w:r>
            <w:r w:rsidRPr="00FD4C41">
              <w:rPr>
                <w:lang w:val="de-DE"/>
              </w:rPr>
              <w:t>jeweiligen</w:t>
            </w:r>
            <w:r w:rsidRPr="00F94B27" w:rsidR="00F94B27">
              <w:rPr>
                <w:b/>
                <w:lang w:val="de-DE"/>
              </w:rPr>
              <w:t>]</w:t>
            </w:r>
            <w:r w:rsidRPr="00FD4C41">
              <w:rPr>
                <w:lang w:val="de-DE"/>
              </w:rPr>
              <w:t xml:space="preserve"> Zinsperiode ab, an denen der Wert des Referenzsatzes (d.h. eines variablen Zinssatzes) die in den Emissionsbedingungen angegebene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verletzt </w:t>
            </w:r>
            <w:r w:rsidRPr="00F94B27" w:rsidR="00F94B27">
              <w:rPr>
                <w:b/>
                <w:lang w:val="de-DE"/>
              </w:rPr>
              <w:t>[</w:t>
            </w:r>
            <w:r w:rsidRPr="00FD4C41">
              <w:rPr>
                <w:lang w:val="de-DE"/>
              </w:rPr>
              <w:t>oder diese erreicht</w:t>
            </w:r>
            <w:r w:rsidRPr="00F94B27" w:rsidR="00F94B27">
              <w:rPr>
                <w:b/>
                <w:lang w:val="de-DE"/>
              </w:rPr>
              <w:t>]</w:t>
            </w:r>
            <w:r w:rsidRPr="00FD4C41">
              <w:rPr>
                <w:lang w:val="de-DE"/>
              </w:rPr>
              <w:t xml:space="preserve">. Der </w:t>
            </w:r>
            <w:r w:rsidRPr="00F94B27" w:rsidR="00F94B27">
              <w:rPr>
                <w:b/>
                <w:lang w:val="de-DE"/>
              </w:rPr>
              <w:t>[</w:t>
            </w:r>
            <w:r w:rsidRPr="00FD4C41">
              <w:rPr>
                <w:lang w:val="de-DE"/>
              </w:rPr>
              <w:t>anwendbare</w:t>
            </w:r>
            <w:r w:rsidRPr="00F94B27" w:rsidR="00F94B27">
              <w:rPr>
                <w:b/>
                <w:lang w:val="de-DE"/>
              </w:rPr>
              <w:t>]</w:t>
            </w:r>
            <w:r w:rsidRPr="00FD4C41">
              <w:rPr>
                <w:lang w:val="de-DE"/>
              </w:rPr>
              <w:t xml:space="preserve"> Zinssatz wird dann bestimmt, indem (i) die Anzahl der Barriere</w:t>
            </w:r>
            <w:r w:rsidR="002A02E2">
              <w:rPr>
                <w:lang w:val="de-DE"/>
              </w:rPr>
              <w:t>-</w:t>
            </w:r>
            <w:r w:rsidRPr="00FD4C41">
              <w:rPr>
                <w:lang w:val="de-DE"/>
              </w:rPr>
              <w:t xml:space="preserve">Beobachtungstage während der </w:t>
            </w:r>
            <w:r w:rsidRPr="00F94B27" w:rsidR="00F94B27">
              <w:rPr>
                <w:b/>
                <w:lang w:val="de-DE"/>
              </w:rPr>
              <w:t>[</w:t>
            </w:r>
            <w:r w:rsidRPr="00FD4C41">
              <w:rPr>
                <w:lang w:val="de-DE"/>
              </w:rPr>
              <w:t>jeweiligen</w:t>
            </w:r>
            <w:r w:rsidRPr="00F94B27" w:rsidR="00F94B27">
              <w:rPr>
                <w:b/>
                <w:lang w:val="de-DE"/>
              </w:rPr>
              <w:t>]</w:t>
            </w:r>
            <w:r w:rsidRPr="00FD4C41">
              <w:rPr>
                <w:lang w:val="de-DE"/>
              </w:rPr>
              <w:t xml:space="preserve"> Zinsperiode, an denen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nicht verletzt wurde </w:t>
            </w:r>
            <w:r w:rsidRPr="00F94B27" w:rsidR="00F94B27">
              <w:rPr>
                <w:b/>
                <w:lang w:val="de-DE"/>
              </w:rPr>
              <w:t>[</w:t>
            </w:r>
            <w:r w:rsidRPr="00FD4C41">
              <w:rPr>
                <w:lang w:val="de-DE"/>
              </w:rPr>
              <w:t>(oder nicht erreicht wurde)</w:t>
            </w:r>
            <w:r w:rsidRPr="00F94B27" w:rsidR="00F94B27">
              <w:rPr>
                <w:b/>
                <w:lang w:val="de-DE"/>
              </w:rPr>
              <w:t>]</w:t>
            </w:r>
            <w:r w:rsidRPr="00FD4C41">
              <w:rPr>
                <w:lang w:val="de-DE"/>
              </w:rPr>
              <w:t xml:space="preserve">, dividiert durch die Gesamtzahl der Barriere-Beobachtungstage während dieser Zinsperiode, mit (ii) </w:t>
            </w:r>
            <w:r w:rsidRPr="00F94B27" w:rsidR="00F94B27">
              <w:rPr>
                <w:b/>
                <w:lang w:val="de-DE"/>
              </w:rPr>
              <w:t>[</w:t>
            </w:r>
            <w:r w:rsidRPr="003857E8" w:rsidR="003857E8">
              <w:rPr>
                <w:rFonts w:ascii="Arial" w:hAnsi="Arial" w:cs="Arial"/>
                <w:lang w:val="de-DE"/>
              </w:rPr>
              <w:t>●</w:t>
            </w:r>
            <w:r w:rsidRPr="00F94B27" w:rsidR="00F94B27">
              <w:rPr>
                <w:b/>
                <w:lang w:val="de-DE"/>
              </w:rPr>
              <w:t>]</w:t>
            </w:r>
            <w:r w:rsidRPr="00FD4C41">
              <w:rPr>
                <w:lang w:val="de-DE"/>
              </w:rPr>
              <w:t xml:space="preserve">% per annum multipliziert wird. Folglich gilt: je kleiner die Anzahl der Barriere-Beobachtungstage ist, an denen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verletzt wurde </w:t>
            </w:r>
            <w:r w:rsidRPr="00F94B27" w:rsidR="00F94B27">
              <w:rPr>
                <w:b/>
                <w:lang w:val="de-DE"/>
              </w:rPr>
              <w:t>[</w:t>
            </w:r>
            <w:r w:rsidRPr="00FD4C41">
              <w:rPr>
                <w:lang w:val="de-DE"/>
              </w:rPr>
              <w:t>oder erreicht wurde</w:t>
            </w:r>
            <w:r w:rsidRPr="00F94B27" w:rsidR="00F94B27">
              <w:rPr>
                <w:b/>
                <w:lang w:val="de-DE"/>
              </w:rPr>
              <w:t>]</w:t>
            </w:r>
            <w:r w:rsidRPr="00FD4C41">
              <w:rPr>
                <w:lang w:val="de-DE"/>
              </w:rPr>
              <w:t xml:space="preserve">, desto höher ist der anwendbare Zinssatz und der resultierende Zinszahlungsbetrag. Umgekehrt gilt: je grösser die Anzahl der Barriere-Beobachtungstage ist, an denen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verletzt wurde </w:t>
            </w:r>
            <w:r w:rsidRPr="00F94B27" w:rsidR="00F94B27">
              <w:rPr>
                <w:b/>
                <w:lang w:val="de-DE"/>
              </w:rPr>
              <w:t>[</w:t>
            </w:r>
            <w:r w:rsidRPr="00FD4C41">
              <w:rPr>
                <w:lang w:val="de-DE"/>
              </w:rPr>
              <w:t>oder erreicht wurde</w:t>
            </w:r>
            <w:r w:rsidRPr="00F94B27" w:rsidR="00F94B27">
              <w:rPr>
                <w:b/>
                <w:lang w:val="de-DE"/>
              </w:rPr>
              <w:t>]</w:t>
            </w:r>
            <w:r w:rsidRPr="00FD4C41">
              <w:rPr>
                <w:lang w:val="de-DE"/>
              </w:rPr>
              <w:t xml:space="preserve">, desto niedriger ist der anwendbare Zinssatz und der resultierende Zinszahlungsbetrag. Wird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an jedem Barriere-Beobachtungstag verletzt </w:t>
            </w:r>
            <w:r w:rsidRPr="00F94B27" w:rsidR="00F94B27">
              <w:rPr>
                <w:b/>
                <w:lang w:val="de-DE"/>
              </w:rPr>
              <w:t>[</w:t>
            </w:r>
            <w:r w:rsidRPr="00FD4C41">
              <w:rPr>
                <w:lang w:val="de-DE"/>
              </w:rPr>
              <w:t>(oder erreicht)</w:t>
            </w:r>
            <w:r w:rsidRPr="00F94B27" w:rsidR="00F94B27">
              <w:rPr>
                <w:b/>
                <w:lang w:val="de-DE"/>
              </w:rPr>
              <w:t>]</w:t>
            </w:r>
            <w:r w:rsidRPr="00FD4C41">
              <w:rPr>
                <w:lang w:val="de-DE"/>
              </w:rPr>
              <w:t>, so betragen der Zinssatz und der resultierende Zinszahlungsbetrag null.</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AB16EC" w:rsidP="00FD4C41">
            <w:pPr>
              <w:pStyle w:val="CSbody0bolditalic"/>
              <w:rPr>
                <w:lang w:val="en-GB"/>
              </w:rPr>
            </w:pPr>
            <w:r w:rsidRPr="00F94B27">
              <w:rPr>
                <w:lang w:val="en-GB"/>
              </w:rPr>
              <w:t>[</w:t>
            </w:r>
            <w:r w:rsidRPr="00AB16EC">
              <w:rPr>
                <w:lang w:val="en-GB"/>
              </w:rPr>
              <w:t>in case of Spread Range Accrual Notes:</w:t>
            </w:r>
          </w:p>
        </w:tc>
        <w:tc>
          <w:tcPr>
            <w:tcW w:w="2466" w:type="pct"/>
            <w:gridSpan w:val="14"/>
            <w:tcBorders>
              <w:left w:val="single" w:sz="4" w:space="0" w:color="auto"/>
            </w:tcBorders>
          </w:tcPr>
          <w:p w:rsidR="00FD4C41" w:rsidRPr="00AB16EC" w:rsidP="00FD4C41">
            <w:pPr>
              <w:pStyle w:val="CSbody0bolditalic"/>
              <w:rPr>
                <w:lang w:val="en-GB"/>
              </w:rPr>
            </w:pPr>
            <w:r w:rsidRPr="00F94B27">
              <w:rPr>
                <w:lang w:val="en-GB"/>
              </w:rPr>
              <w:t>[</w:t>
            </w:r>
            <w:r w:rsidRPr="00AB16EC">
              <w:rPr>
                <w:lang w:val="en-GB"/>
              </w:rPr>
              <w:t>bei Spread Range Accrual Notes:</w:t>
            </w:r>
          </w:p>
        </w:tc>
      </w:tr>
      <w:tr w:rsidTr="00942F00">
        <w:tblPrEx>
          <w:tblW w:w="5000" w:type="pct"/>
          <w:tblLayout w:type="fixed"/>
          <w:tblLook w:val="04A0"/>
        </w:tblPrEx>
        <w:tc>
          <w:tcPr>
            <w:tcW w:w="2534" w:type="pct"/>
            <w:gridSpan w:val="14"/>
            <w:tcBorders>
              <w:right w:val="single" w:sz="4" w:space="0" w:color="auto"/>
            </w:tcBorders>
          </w:tcPr>
          <w:p w:rsidR="00FD4C41" w:rsidRPr="00CC1DB1" w:rsidP="00FD4C41">
            <w:pPr>
              <w:pStyle w:val="CSBody0"/>
            </w:pPr>
            <w:r w:rsidRPr="00CC1DB1">
              <w:t>In case of Spread Range Accrual Notes, the Interest Rate on the basis of which the Interest Payment Amount</w:t>
            </w:r>
            <w:r w:rsidRPr="00F94B27" w:rsidR="00F94B27">
              <w:rPr>
                <w:b/>
              </w:rPr>
              <w:t>[</w:t>
            </w:r>
            <w:r w:rsidRPr="00CC1DB1">
              <w:t>s</w:t>
            </w:r>
            <w:r w:rsidRPr="00F94B27" w:rsidR="00F94B27">
              <w:rPr>
                <w:b/>
              </w:rPr>
              <w:t>]</w:t>
            </w:r>
            <w:r w:rsidRPr="00CC1DB1">
              <w:t xml:space="preserve"> </w:t>
            </w:r>
            <w:r w:rsidRPr="00F94B27" w:rsidR="00F94B27">
              <w:rPr>
                <w:b/>
              </w:rPr>
              <w:t>[</w:t>
            </w:r>
            <w:r w:rsidRPr="00CC1DB1">
              <w:t>is</w:t>
            </w:r>
            <w:r w:rsidRPr="00F94B27" w:rsidR="00F94B27">
              <w:rPr>
                <w:b/>
              </w:rPr>
              <w:t>][</w:t>
            </w:r>
            <w:r w:rsidRPr="00CC1DB1">
              <w:t>are</w:t>
            </w:r>
            <w:r w:rsidRPr="00F94B27" w:rsidR="00F94B27">
              <w:rPr>
                <w:b/>
              </w:rPr>
              <w:t>]</w:t>
            </w:r>
            <w:r w:rsidRPr="00CC1DB1">
              <w:t xml:space="preserve"> calculated will be dependent upon the number of Barrier Observation Dates during the </w:t>
            </w:r>
            <w:r w:rsidRPr="00F94B27" w:rsidR="00F94B27">
              <w:rPr>
                <w:b/>
              </w:rPr>
              <w:t>[</w:t>
            </w:r>
            <w:r w:rsidRPr="00CC1DB1">
              <w:t>relevant</w:t>
            </w:r>
            <w:r w:rsidRPr="00F94B27" w:rsidR="00F94B27">
              <w:rPr>
                <w:b/>
              </w:rPr>
              <w:t>]</w:t>
            </w:r>
            <w:r w:rsidRPr="00CC1DB1">
              <w:t xml:space="preserve"> interest period on which the difference between the value of Reference Rate 2 and the value of Reference Rate 3 (</w:t>
            </w:r>
            <w:r w:rsidRPr="007E3558" w:rsidR="007E3558">
              <w:rPr>
                <w:i/>
              </w:rPr>
              <w:t>i.e.</w:t>
            </w:r>
            <w:r w:rsidRPr="00CC1DB1">
              <w:t xml:space="preserve">, the diference between two variable interes rates) breaches </w:t>
            </w:r>
            <w:r w:rsidRPr="00F94B27" w:rsidR="00F94B27">
              <w:rPr>
                <w:b/>
              </w:rPr>
              <w:t>[</w:t>
            </w:r>
            <w:r w:rsidRPr="00CC1DB1">
              <w:t>or reaches</w:t>
            </w:r>
            <w:r w:rsidRPr="00F94B27" w:rsidR="00F94B27">
              <w:rPr>
                <w:b/>
              </w:rPr>
              <w:t>]</w:t>
            </w:r>
            <w:r w:rsidRPr="00CC1DB1">
              <w:t xml:space="preserve"> the </w:t>
            </w:r>
            <w:r w:rsidRPr="00F94B27" w:rsidR="00F94B27">
              <w:rPr>
                <w:b/>
              </w:rPr>
              <w:t>[</w:t>
            </w:r>
            <w:r w:rsidRPr="00CC1DB1">
              <w:t>Barrier</w:t>
            </w:r>
            <w:r w:rsidRPr="00F94B27" w:rsidR="00F94B27">
              <w:rPr>
                <w:b/>
              </w:rPr>
              <w:t>]</w:t>
            </w:r>
            <w:r w:rsidRPr="00CC1DB1">
              <w:t xml:space="preserve"> </w:t>
            </w:r>
            <w:r w:rsidRPr="00F94B27" w:rsidR="00F94B27">
              <w:rPr>
                <w:b/>
              </w:rPr>
              <w:t>[</w:t>
            </w:r>
            <w:r w:rsidRPr="00CC1DB1">
              <w:t>Lower Barrier or Upper Barrier</w:t>
            </w:r>
            <w:r w:rsidRPr="00F94B27" w:rsidR="00F94B27">
              <w:rPr>
                <w:b/>
              </w:rPr>
              <w:t>]</w:t>
            </w:r>
            <w:r w:rsidRPr="00CC1DB1">
              <w:t xml:space="preserve">. The </w:t>
            </w:r>
            <w:r w:rsidRPr="00F94B27" w:rsidR="00F94B27">
              <w:rPr>
                <w:b/>
              </w:rPr>
              <w:t>[</w:t>
            </w:r>
            <w:r w:rsidRPr="00CC1DB1">
              <w:t>applicable</w:t>
            </w:r>
            <w:r w:rsidRPr="00F94B27" w:rsidR="00F94B27">
              <w:rPr>
                <w:b/>
              </w:rPr>
              <w:t>]</w:t>
            </w:r>
            <w:r w:rsidRPr="00CC1DB1">
              <w:t xml:space="preserve"> Interest Rate of Spread Range Accrual Notes will then be determined by multiplying (i) the number of Barrier Observation Dates on which such </w:t>
            </w:r>
            <w:r w:rsidRPr="00F94B27" w:rsidR="00F94B27">
              <w:rPr>
                <w:b/>
              </w:rPr>
              <w:t>[</w:t>
            </w:r>
            <w:r w:rsidRPr="00CC1DB1">
              <w:t>Barrier was not</w:t>
            </w:r>
            <w:r w:rsidRPr="00F94B27" w:rsidR="00F94B27">
              <w:rPr>
                <w:b/>
              </w:rPr>
              <w:t>]</w:t>
            </w:r>
            <w:r w:rsidRPr="00CC1DB1">
              <w:t xml:space="preserve"> </w:t>
            </w:r>
            <w:r w:rsidRPr="00F94B27" w:rsidR="00F94B27">
              <w:rPr>
                <w:b/>
              </w:rPr>
              <w:t>[</w:t>
            </w:r>
            <w:r w:rsidRPr="00CC1DB1">
              <w:t>Lower Barrier or Upper Barrier were not</w:t>
            </w:r>
            <w:r w:rsidRPr="00F94B27" w:rsidR="00F94B27">
              <w:rPr>
                <w:b/>
              </w:rPr>
              <w:t>]</w:t>
            </w:r>
            <w:r w:rsidRPr="00CC1DB1">
              <w:t xml:space="preserve"> breached </w:t>
            </w:r>
            <w:r w:rsidRPr="00F94B27" w:rsidR="00F94B27">
              <w:rPr>
                <w:b/>
              </w:rPr>
              <w:t>[</w:t>
            </w:r>
            <w:r w:rsidRPr="00CC1DB1">
              <w:t>or reached</w:t>
            </w:r>
            <w:r w:rsidRPr="00F94B27" w:rsidR="00F94B27">
              <w:rPr>
                <w:b/>
              </w:rPr>
              <w:t>]</w:t>
            </w:r>
            <w:r w:rsidRPr="00CC1DB1">
              <w:t xml:space="preserve"> during the </w:t>
            </w:r>
            <w:r w:rsidRPr="00F94B27" w:rsidR="00F94B27">
              <w:rPr>
                <w:b/>
              </w:rPr>
              <w:t>[</w:t>
            </w:r>
            <w:r w:rsidRPr="00CC1DB1">
              <w:t>relevant</w:t>
            </w:r>
            <w:r w:rsidRPr="00F94B27" w:rsidR="00F94B27">
              <w:rPr>
                <w:b/>
              </w:rPr>
              <w:t>]</w:t>
            </w:r>
            <w:r w:rsidRPr="00CC1DB1">
              <w:t xml:space="preserve"> interest period, divided by the total number of Barrier Observation Dates during such interest period, by (ii) the sum of the value of Reference Rate 1 on the Interest Determination Date and </w:t>
            </w:r>
            <w:r w:rsidRPr="00F94B27" w:rsidR="00F94B27">
              <w:rPr>
                <w:b/>
              </w:rPr>
              <w:t>[</w:t>
            </w:r>
            <w:r w:rsidR="003857E8">
              <w:rPr>
                <w:rFonts w:ascii="Arial" w:hAnsi="Arial" w:cs="Arial"/>
              </w:rPr>
              <w:t>●</w:t>
            </w:r>
            <w:r w:rsidRPr="00F94B27" w:rsidR="00F94B27">
              <w:rPr>
                <w:b/>
              </w:rPr>
              <w:t>]</w:t>
            </w:r>
            <w:r w:rsidRPr="00CC1DB1">
              <w:t xml:space="preserve">% per annum. Consequently, not only is the Interest Rate dependent upon the value of Reference Rate 1 on the </w:t>
            </w:r>
            <w:r w:rsidRPr="00F94B27" w:rsidR="00F94B27">
              <w:rPr>
                <w:b/>
              </w:rPr>
              <w:t>[</w:t>
            </w:r>
            <w:r w:rsidRPr="00CC1DB1">
              <w:t>relevant</w:t>
            </w:r>
            <w:r w:rsidRPr="00F94B27" w:rsidR="00F94B27">
              <w:rPr>
                <w:b/>
              </w:rPr>
              <w:t>]</w:t>
            </w:r>
            <w:r w:rsidRPr="00CC1DB1">
              <w:t xml:space="preserve"> Interest Determination Date, but the smaller the number of Barrier Observation Dates on which such </w:t>
            </w:r>
            <w:r w:rsidRPr="00F94B27" w:rsidR="00F94B27">
              <w:rPr>
                <w:b/>
              </w:rPr>
              <w:t>[</w:t>
            </w:r>
            <w:r w:rsidRPr="00CC1DB1">
              <w:t>Barrier</w:t>
            </w:r>
            <w:r w:rsidRPr="00F94B27" w:rsidR="00F94B27">
              <w:rPr>
                <w:b/>
              </w:rPr>
              <w:t>]</w:t>
            </w:r>
            <w:r w:rsidRPr="00CC1DB1">
              <w:t xml:space="preserve"> </w:t>
            </w:r>
            <w:r w:rsidRPr="00F94B27" w:rsidR="00F94B27">
              <w:rPr>
                <w:b/>
              </w:rPr>
              <w:t>[</w:t>
            </w:r>
            <w:r w:rsidRPr="00CC1DB1">
              <w:t>Lower Barrier or Upper Barrier</w:t>
            </w:r>
            <w:r w:rsidRPr="00F94B27" w:rsidR="00F94B27">
              <w:rPr>
                <w:b/>
              </w:rPr>
              <w:t>]</w:t>
            </w:r>
            <w:r w:rsidRPr="00CC1DB1">
              <w:t xml:space="preserve"> is breached </w:t>
            </w:r>
            <w:r w:rsidRPr="00F94B27" w:rsidR="00F94B27">
              <w:rPr>
                <w:b/>
              </w:rPr>
              <w:t>[</w:t>
            </w:r>
            <w:r w:rsidRPr="00CC1DB1">
              <w:t>or reached</w:t>
            </w:r>
            <w:r w:rsidRPr="00F94B27" w:rsidR="00F94B27">
              <w:rPr>
                <w:b/>
              </w:rPr>
              <w:t>]</w:t>
            </w:r>
            <w:r w:rsidRPr="00CC1DB1">
              <w:t xml:space="preserve">, the higher the </w:t>
            </w:r>
            <w:r w:rsidRPr="00F94B27" w:rsidR="00F94B27">
              <w:rPr>
                <w:b/>
              </w:rPr>
              <w:t>[</w:t>
            </w:r>
            <w:r w:rsidRPr="00CC1DB1">
              <w:t>applicable</w:t>
            </w:r>
            <w:r w:rsidRPr="00F94B27" w:rsidR="00F94B27">
              <w:rPr>
                <w:b/>
              </w:rPr>
              <w:t>]</w:t>
            </w:r>
            <w:r w:rsidRPr="00CC1DB1">
              <w:t xml:space="preserve"> Interest Rate and resulting Interest Payment Amount will be. Conversely, the greater the number of Barrier Observation Dates on which such </w:t>
            </w:r>
            <w:r w:rsidRPr="00F94B27" w:rsidR="00F94B27">
              <w:rPr>
                <w:b/>
              </w:rPr>
              <w:t>[</w:t>
            </w:r>
            <w:r w:rsidRPr="00CC1DB1">
              <w:t>Barrier</w:t>
            </w:r>
            <w:r w:rsidRPr="00F94B27" w:rsidR="00F94B27">
              <w:rPr>
                <w:b/>
              </w:rPr>
              <w:t>]</w:t>
            </w:r>
            <w:r w:rsidRPr="00CC1DB1">
              <w:t xml:space="preserve"> </w:t>
            </w:r>
            <w:r w:rsidRPr="00F94B27" w:rsidR="00F94B27">
              <w:rPr>
                <w:b/>
              </w:rPr>
              <w:t>[</w:t>
            </w:r>
            <w:r w:rsidRPr="00CC1DB1">
              <w:t>Lower Barrier or Upper Barrier</w:t>
            </w:r>
            <w:r w:rsidRPr="00F94B27" w:rsidR="00F94B27">
              <w:rPr>
                <w:b/>
              </w:rPr>
              <w:t>]</w:t>
            </w:r>
            <w:r w:rsidRPr="00CC1DB1">
              <w:t xml:space="preserve"> is breached </w:t>
            </w:r>
            <w:r w:rsidRPr="00F94B27" w:rsidR="00F94B27">
              <w:rPr>
                <w:b/>
              </w:rPr>
              <w:t>[</w:t>
            </w:r>
            <w:r w:rsidRPr="00CC1DB1">
              <w:t>or reached</w:t>
            </w:r>
            <w:r w:rsidRPr="00F94B27" w:rsidR="00F94B27">
              <w:rPr>
                <w:b/>
              </w:rPr>
              <w:t>]</w:t>
            </w:r>
            <w:r w:rsidRPr="00CC1DB1">
              <w:t xml:space="preserve">, the lower the </w:t>
            </w:r>
            <w:r w:rsidRPr="00F94B27" w:rsidR="00F94B27">
              <w:rPr>
                <w:b/>
              </w:rPr>
              <w:t>[</w:t>
            </w:r>
            <w:r w:rsidRPr="00CC1DB1">
              <w:t>applicable</w:t>
            </w:r>
            <w:r w:rsidRPr="00F94B27" w:rsidR="00F94B27">
              <w:rPr>
                <w:b/>
              </w:rPr>
              <w:t>]</w:t>
            </w:r>
            <w:r w:rsidRPr="00CC1DB1">
              <w:t xml:space="preserve"> Interest Rate will be. If the </w:t>
            </w:r>
            <w:r w:rsidRPr="00F94B27" w:rsidR="00F94B27">
              <w:rPr>
                <w:b/>
              </w:rPr>
              <w:t>[</w:t>
            </w:r>
            <w:r w:rsidRPr="00CC1DB1">
              <w:t>Barrier</w:t>
            </w:r>
            <w:r w:rsidRPr="00F94B27" w:rsidR="00F94B27">
              <w:rPr>
                <w:b/>
              </w:rPr>
              <w:t>]</w:t>
            </w:r>
            <w:r w:rsidRPr="00CC1DB1">
              <w:t xml:space="preserve"> </w:t>
            </w:r>
            <w:r w:rsidRPr="00F94B27" w:rsidR="00F94B27">
              <w:rPr>
                <w:b/>
              </w:rPr>
              <w:t>[</w:t>
            </w:r>
            <w:r w:rsidRPr="00CC1DB1">
              <w:t>Lower Barrier or Upper Barrier</w:t>
            </w:r>
            <w:r w:rsidRPr="00F94B27" w:rsidR="00F94B27">
              <w:rPr>
                <w:b/>
              </w:rPr>
              <w:t>]</w:t>
            </w:r>
            <w:r w:rsidRPr="00CC1DB1">
              <w:t xml:space="preserve"> is breached </w:t>
            </w:r>
            <w:r w:rsidRPr="00F94B27" w:rsidR="00F94B27">
              <w:rPr>
                <w:b/>
              </w:rPr>
              <w:t>[</w:t>
            </w:r>
            <w:r w:rsidRPr="00CC1DB1">
              <w:t>or reached</w:t>
            </w:r>
            <w:r w:rsidRPr="00F94B27" w:rsidR="00F94B27">
              <w:rPr>
                <w:b/>
              </w:rPr>
              <w:t>]</w:t>
            </w:r>
            <w:r w:rsidRPr="00CC1DB1">
              <w:t xml:space="preserve"> on each Barrier Observation Date, the Interest Rate, and the resulting Interest Payment Amount, will be zero.</w:t>
            </w:r>
            <w:r w:rsidRPr="00F94B27" w:rsidR="00F94B27">
              <w:rPr>
                <w:b/>
              </w:rPr>
              <w:t>]</w:t>
            </w:r>
          </w:p>
        </w:tc>
        <w:tc>
          <w:tcPr>
            <w:tcW w:w="2466" w:type="pct"/>
            <w:gridSpan w:val="14"/>
            <w:tcBorders>
              <w:left w:val="single" w:sz="4" w:space="0" w:color="auto"/>
            </w:tcBorders>
          </w:tcPr>
          <w:p w:rsidR="00FD4C41" w:rsidRPr="00FD4C41" w:rsidP="00FD4C41">
            <w:pPr>
              <w:pStyle w:val="CSBody0"/>
              <w:rPr>
                <w:lang w:val="de-DE"/>
              </w:rPr>
            </w:pPr>
            <w:r w:rsidRPr="00FD4C41">
              <w:rPr>
                <w:lang w:val="de-DE"/>
              </w:rPr>
              <w:t xml:space="preserve">Bei Spread Range Accrual Notes hängt der Zinssatz, auf dessen Grundlage </w:t>
            </w:r>
            <w:r w:rsidRPr="00F94B27" w:rsidR="00F94B27">
              <w:rPr>
                <w:b/>
                <w:lang w:val="de-DE"/>
              </w:rPr>
              <w:t>[</w:t>
            </w:r>
            <w:r w:rsidRPr="00FD4C41">
              <w:rPr>
                <w:lang w:val="de-DE"/>
              </w:rPr>
              <w:t>der Zinszahlungsbetrag</w:t>
            </w:r>
            <w:r w:rsidRPr="00F94B27" w:rsidR="00F94B27">
              <w:rPr>
                <w:b/>
                <w:lang w:val="de-DE"/>
              </w:rPr>
              <w:t>][</w:t>
            </w:r>
            <w:r w:rsidRPr="00FD4C41">
              <w:rPr>
                <w:lang w:val="de-DE"/>
              </w:rPr>
              <w:t>die Zinszahlungsbeträge</w:t>
            </w:r>
            <w:r w:rsidRPr="00F94B27" w:rsidR="00F94B27">
              <w:rPr>
                <w:b/>
                <w:lang w:val="de-DE"/>
              </w:rPr>
              <w:t>]</w:t>
            </w:r>
            <w:r w:rsidRPr="00FD4C41">
              <w:rPr>
                <w:lang w:val="de-DE"/>
              </w:rPr>
              <w:t xml:space="preserve"> berechnet </w:t>
            </w:r>
            <w:r w:rsidRPr="00F94B27" w:rsidR="00F94B27">
              <w:rPr>
                <w:b/>
                <w:lang w:val="de-DE"/>
              </w:rPr>
              <w:t>[</w:t>
            </w:r>
            <w:r w:rsidRPr="00FD4C41">
              <w:rPr>
                <w:lang w:val="de-DE"/>
              </w:rPr>
              <w:t>wird</w:t>
            </w:r>
            <w:r w:rsidRPr="00F94B27" w:rsidR="00F94B27">
              <w:rPr>
                <w:b/>
                <w:lang w:val="de-DE"/>
              </w:rPr>
              <w:t>][</w:t>
            </w:r>
            <w:r w:rsidRPr="00FD4C41">
              <w:rPr>
                <w:lang w:val="de-DE"/>
              </w:rPr>
              <w:t>werden</w:t>
            </w:r>
            <w:r w:rsidRPr="00F94B27" w:rsidR="00F94B27">
              <w:rPr>
                <w:b/>
                <w:lang w:val="de-DE"/>
              </w:rPr>
              <w:t>]</w:t>
            </w:r>
            <w:r w:rsidRPr="00FD4C41">
              <w:rPr>
                <w:lang w:val="de-DE"/>
              </w:rPr>
              <w:t xml:space="preserve">, von der Anzahl der Barriere-Beobachtungstage während der </w:t>
            </w:r>
            <w:r w:rsidRPr="00F94B27" w:rsidR="00F94B27">
              <w:rPr>
                <w:b/>
                <w:lang w:val="de-DE"/>
              </w:rPr>
              <w:t>[</w:t>
            </w:r>
            <w:r w:rsidRPr="00FD4C41">
              <w:rPr>
                <w:lang w:val="de-DE"/>
              </w:rPr>
              <w:t>jeweiligen</w:t>
            </w:r>
            <w:r w:rsidRPr="00F94B27" w:rsidR="00F94B27">
              <w:rPr>
                <w:b/>
                <w:lang w:val="de-DE"/>
              </w:rPr>
              <w:t>]</w:t>
            </w:r>
            <w:r w:rsidRPr="00FD4C41">
              <w:rPr>
                <w:lang w:val="de-DE"/>
              </w:rPr>
              <w:t xml:space="preserve"> Zinsperiode ab, an denen die Differenz aus dem Wert des Referenzsatzes 2 und dem Wert des Referenzsatzes 3 (d.d. die Differenz aus zwei variablen Zinssätzen)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verletzt </w:t>
            </w:r>
            <w:r w:rsidRPr="00F94B27" w:rsidR="00F94B27">
              <w:rPr>
                <w:b/>
                <w:lang w:val="de-DE"/>
              </w:rPr>
              <w:t>[</w:t>
            </w:r>
            <w:r w:rsidRPr="00FD4C41">
              <w:rPr>
                <w:lang w:val="de-DE"/>
              </w:rPr>
              <w:t>oder diese erreicht</w:t>
            </w:r>
            <w:r w:rsidRPr="00F94B27" w:rsidR="00F94B27">
              <w:rPr>
                <w:b/>
                <w:lang w:val="de-DE"/>
              </w:rPr>
              <w:t>]</w:t>
            </w:r>
            <w:r w:rsidRPr="00FD4C41">
              <w:rPr>
                <w:lang w:val="de-DE"/>
              </w:rPr>
              <w:t xml:space="preserve">. Der </w:t>
            </w:r>
            <w:r w:rsidRPr="00F94B27" w:rsidR="00F94B27">
              <w:rPr>
                <w:b/>
                <w:lang w:val="de-DE"/>
              </w:rPr>
              <w:t>[</w:t>
            </w:r>
            <w:r w:rsidRPr="00FD4C41">
              <w:rPr>
                <w:lang w:val="de-DE"/>
              </w:rPr>
              <w:t>anwendbare</w:t>
            </w:r>
            <w:r w:rsidRPr="00F94B27" w:rsidR="00F94B27">
              <w:rPr>
                <w:b/>
                <w:lang w:val="de-DE"/>
              </w:rPr>
              <w:t>]</w:t>
            </w:r>
            <w:r w:rsidRPr="00FD4C41">
              <w:rPr>
                <w:lang w:val="de-DE"/>
              </w:rPr>
              <w:t xml:space="preserve"> Zinssatz dieser Spread Range Accrual Notes wird dann bestimmt, indem (i) die Anzahl der Barriere-Beobachtungstage, an denen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während der </w:t>
            </w:r>
            <w:r w:rsidRPr="00F94B27" w:rsidR="00F94B27">
              <w:rPr>
                <w:b/>
                <w:lang w:val="de-DE"/>
              </w:rPr>
              <w:t>[</w:t>
            </w:r>
            <w:r w:rsidRPr="00FD4C41">
              <w:rPr>
                <w:lang w:val="de-DE"/>
              </w:rPr>
              <w:t>jeweiligen</w:t>
            </w:r>
            <w:r w:rsidRPr="00F94B27" w:rsidR="00F94B27">
              <w:rPr>
                <w:b/>
                <w:lang w:val="de-DE"/>
              </w:rPr>
              <w:t>]</w:t>
            </w:r>
            <w:r w:rsidRPr="00FD4C41">
              <w:rPr>
                <w:lang w:val="de-DE"/>
              </w:rPr>
              <w:t xml:space="preserve"> Zinsperiode nicht verletzt wurde </w:t>
            </w:r>
            <w:r w:rsidRPr="00F94B27" w:rsidR="00F94B27">
              <w:rPr>
                <w:b/>
                <w:lang w:val="de-DE"/>
              </w:rPr>
              <w:t>[</w:t>
            </w:r>
            <w:r w:rsidRPr="00FD4C41">
              <w:rPr>
                <w:lang w:val="de-DE"/>
              </w:rPr>
              <w:t>oder nicht erreicht wurde</w:t>
            </w:r>
            <w:r w:rsidRPr="00F94B27" w:rsidR="00F94B27">
              <w:rPr>
                <w:b/>
                <w:lang w:val="de-DE"/>
              </w:rPr>
              <w:t>]</w:t>
            </w:r>
            <w:r w:rsidRPr="00FD4C41">
              <w:rPr>
                <w:lang w:val="de-DE"/>
              </w:rPr>
              <w:t xml:space="preserve">, dividiert durch die Anzahl der Barriere-Beobachtungstage während dieser Zinsperiode, mit (ii) der Summe aus dem Wert des Referenzsatzes 1 am Zinsfeststellungstag und </w:t>
            </w:r>
            <w:r w:rsidRPr="00F94B27" w:rsidR="00F94B27">
              <w:rPr>
                <w:b/>
                <w:lang w:val="de-DE"/>
              </w:rPr>
              <w:t>[</w:t>
            </w:r>
            <w:r w:rsidRPr="003857E8" w:rsidR="003857E8">
              <w:rPr>
                <w:rFonts w:ascii="Arial" w:hAnsi="Arial" w:cs="Arial"/>
                <w:lang w:val="de-DE"/>
              </w:rPr>
              <w:t>●</w:t>
            </w:r>
            <w:r w:rsidRPr="00F94B27" w:rsidR="00F94B27">
              <w:rPr>
                <w:b/>
                <w:lang w:val="de-DE"/>
              </w:rPr>
              <w:t>]</w:t>
            </w:r>
            <w:r w:rsidRPr="00FD4C41">
              <w:rPr>
                <w:lang w:val="de-DE"/>
              </w:rPr>
              <w:t xml:space="preserve">% per annum multipliziert wird. Folglich hängt der Zinssatz nicht nur vom Wert des Referenzsatzes 1 am </w:t>
            </w:r>
            <w:r w:rsidRPr="00F94B27" w:rsidR="00F94B27">
              <w:rPr>
                <w:b/>
                <w:lang w:val="de-DE"/>
              </w:rPr>
              <w:t>[</w:t>
            </w:r>
            <w:r w:rsidRPr="00FD4C41">
              <w:rPr>
                <w:lang w:val="de-DE"/>
              </w:rPr>
              <w:t>jeweiligen</w:t>
            </w:r>
            <w:r w:rsidRPr="00F94B27" w:rsidR="00F94B27">
              <w:rPr>
                <w:b/>
                <w:lang w:val="de-DE"/>
              </w:rPr>
              <w:t>]</w:t>
            </w:r>
            <w:r w:rsidRPr="00FD4C41">
              <w:rPr>
                <w:lang w:val="de-DE"/>
              </w:rPr>
              <w:t xml:space="preserve"> Zinsfeststellungstag ab, sondern je kleiner die Anzahl der Barriere-Beobachtungstage ist, an denen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verletzt </w:t>
            </w:r>
            <w:r w:rsidRPr="00F94B27" w:rsidR="00F94B27">
              <w:rPr>
                <w:b/>
                <w:lang w:val="de-DE"/>
              </w:rPr>
              <w:t>[</w:t>
            </w:r>
            <w:r w:rsidRPr="00FD4C41">
              <w:rPr>
                <w:lang w:val="de-DE"/>
              </w:rPr>
              <w:t>oder erreicht</w:t>
            </w:r>
            <w:r w:rsidRPr="00F94B27" w:rsidR="00F94B27">
              <w:rPr>
                <w:b/>
                <w:lang w:val="de-DE"/>
              </w:rPr>
              <w:t>]</w:t>
            </w:r>
            <w:r w:rsidRPr="00FD4C41">
              <w:rPr>
                <w:lang w:val="de-DE"/>
              </w:rPr>
              <w:t xml:space="preserve"> wurde, desto höher ist der </w:t>
            </w:r>
            <w:r w:rsidRPr="00F94B27" w:rsidR="00F94B27">
              <w:rPr>
                <w:b/>
                <w:lang w:val="de-DE"/>
              </w:rPr>
              <w:t>[</w:t>
            </w:r>
            <w:r w:rsidRPr="00FD4C41">
              <w:rPr>
                <w:lang w:val="de-DE"/>
              </w:rPr>
              <w:t>anwendbare</w:t>
            </w:r>
            <w:r w:rsidRPr="00F94B27" w:rsidR="00F94B27">
              <w:rPr>
                <w:b/>
                <w:lang w:val="de-DE"/>
              </w:rPr>
              <w:t>]</w:t>
            </w:r>
            <w:r w:rsidRPr="00FD4C41">
              <w:rPr>
                <w:lang w:val="de-DE"/>
              </w:rPr>
              <w:t xml:space="preserve"> Zinssatz und der resultierende Zinszahlungsbetrag. Umgekehrt gilt: je grösser die Anzahl der Barriere-Beobachtungstage ist, an denen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verletzt </w:t>
            </w:r>
            <w:r w:rsidRPr="00F94B27" w:rsidR="00F94B27">
              <w:rPr>
                <w:b/>
                <w:lang w:val="de-DE"/>
              </w:rPr>
              <w:t>[</w:t>
            </w:r>
            <w:r w:rsidRPr="00FD4C41">
              <w:rPr>
                <w:lang w:val="de-DE"/>
              </w:rPr>
              <w:t>(oder erreicht)</w:t>
            </w:r>
            <w:r w:rsidRPr="00F94B27" w:rsidR="00F94B27">
              <w:rPr>
                <w:b/>
                <w:lang w:val="de-DE"/>
              </w:rPr>
              <w:t>]</w:t>
            </w:r>
            <w:r w:rsidRPr="00FD4C41">
              <w:rPr>
                <w:lang w:val="de-DE"/>
              </w:rPr>
              <w:t xml:space="preserve"> wurde, desto niedriger ist der </w:t>
            </w:r>
            <w:r w:rsidRPr="00F94B27" w:rsidR="00F94B27">
              <w:rPr>
                <w:b/>
                <w:lang w:val="de-DE"/>
              </w:rPr>
              <w:t>[</w:t>
            </w:r>
            <w:r w:rsidRPr="00FD4C41">
              <w:rPr>
                <w:lang w:val="de-DE"/>
              </w:rPr>
              <w:t>anwendbare</w:t>
            </w:r>
            <w:r w:rsidRPr="00F94B27" w:rsidR="00F94B27">
              <w:rPr>
                <w:b/>
                <w:lang w:val="de-DE"/>
              </w:rPr>
              <w:t>]</w:t>
            </w:r>
            <w:r w:rsidRPr="00FD4C41">
              <w:rPr>
                <w:lang w:val="de-DE"/>
              </w:rPr>
              <w:t xml:space="preserve"> Zinssatz. Wird die </w:t>
            </w:r>
            <w:r w:rsidRPr="00F94B27" w:rsidR="00F94B27">
              <w:rPr>
                <w:b/>
                <w:lang w:val="de-DE"/>
              </w:rPr>
              <w:t>[</w:t>
            </w:r>
            <w:r w:rsidRPr="00FD4C41">
              <w:rPr>
                <w:lang w:val="de-DE"/>
              </w:rPr>
              <w:t>Barriere</w:t>
            </w:r>
            <w:r w:rsidRPr="00F94B27" w:rsidR="00F94B27">
              <w:rPr>
                <w:b/>
                <w:lang w:val="de-DE"/>
              </w:rPr>
              <w:t>]</w:t>
            </w:r>
            <w:r w:rsidRPr="00FD4C41">
              <w:rPr>
                <w:lang w:val="de-DE"/>
              </w:rPr>
              <w:t xml:space="preserve"> </w:t>
            </w:r>
            <w:r w:rsidRPr="00F94B27" w:rsidR="00F94B27">
              <w:rPr>
                <w:b/>
                <w:lang w:val="de-DE"/>
              </w:rPr>
              <w:t>[</w:t>
            </w:r>
            <w:r w:rsidRPr="00FD4C41">
              <w:rPr>
                <w:lang w:val="de-DE"/>
              </w:rPr>
              <w:t>Untere Barriere bzw. Obere Barriere</w:t>
            </w:r>
            <w:r w:rsidRPr="00F94B27" w:rsidR="00F94B27">
              <w:rPr>
                <w:b/>
                <w:lang w:val="de-DE"/>
              </w:rPr>
              <w:t>]</w:t>
            </w:r>
            <w:r w:rsidRPr="00FD4C41">
              <w:rPr>
                <w:lang w:val="de-DE"/>
              </w:rPr>
              <w:t xml:space="preserve"> an jedem Barriere-Beobachtungstag verletzt </w:t>
            </w:r>
            <w:r w:rsidRPr="00F94B27" w:rsidR="00F94B27">
              <w:rPr>
                <w:b/>
                <w:lang w:val="de-DE"/>
              </w:rPr>
              <w:t>[</w:t>
            </w:r>
            <w:r w:rsidRPr="00FD4C41">
              <w:rPr>
                <w:lang w:val="de-DE"/>
              </w:rPr>
              <w:t>oder erreicht</w:t>
            </w:r>
            <w:r w:rsidRPr="00F94B27" w:rsidR="00F94B27">
              <w:rPr>
                <w:b/>
                <w:lang w:val="de-DE"/>
              </w:rPr>
              <w:t>]</w:t>
            </w:r>
            <w:r w:rsidRPr="00FD4C41">
              <w:rPr>
                <w:lang w:val="de-DE"/>
              </w:rPr>
              <w:t>, so betragen der Zinssatz und der resultierende Zinszahlungsbetrag null.</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AB16EC" w:rsidP="00FD4C41">
            <w:pPr>
              <w:pStyle w:val="CSbody0bolditalic"/>
              <w:rPr>
                <w:lang w:val="en-GB"/>
              </w:rPr>
            </w:pPr>
            <w:r w:rsidRPr="00F94B27">
              <w:rPr>
                <w:lang w:val="en-GB"/>
              </w:rPr>
              <w:t>[</w:t>
            </w:r>
            <w:r w:rsidRPr="00AB16EC">
              <w:rPr>
                <w:lang w:val="en-GB"/>
              </w:rPr>
              <w:t>in case of Inflation Index-Linked Notes:</w:t>
            </w:r>
          </w:p>
        </w:tc>
        <w:tc>
          <w:tcPr>
            <w:tcW w:w="2466" w:type="pct"/>
            <w:gridSpan w:val="14"/>
            <w:tcBorders>
              <w:left w:val="single" w:sz="4" w:space="0" w:color="auto"/>
            </w:tcBorders>
          </w:tcPr>
          <w:p w:rsidR="00FD4C41" w:rsidRPr="002B4DF7" w:rsidP="00FD4C41">
            <w:pPr>
              <w:pStyle w:val="CSbody0bolditalic"/>
            </w:pPr>
            <w:r w:rsidRPr="00F94B27">
              <w:t>[</w:t>
            </w:r>
            <w:r w:rsidRPr="002B4DF7">
              <w:t>bei Inflation Index-Linked Notes:</w:t>
            </w:r>
          </w:p>
        </w:tc>
      </w:tr>
      <w:tr w:rsidTr="00942F00">
        <w:tblPrEx>
          <w:tblW w:w="5000" w:type="pct"/>
          <w:tblLayout w:type="fixed"/>
          <w:tblLook w:val="04A0"/>
        </w:tblPrEx>
        <w:tc>
          <w:tcPr>
            <w:tcW w:w="2534" w:type="pct"/>
            <w:gridSpan w:val="14"/>
            <w:tcBorders>
              <w:right w:val="single" w:sz="4" w:space="0" w:color="auto"/>
            </w:tcBorders>
          </w:tcPr>
          <w:p w:rsidR="00FD4C41" w:rsidRPr="002B4DF7" w:rsidP="00FD4C41">
            <w:pPr>
              <w:pStyle w:val="CSBody0"/>
            </w:pPr>
            <w:r w:rsidRPr="00F94B27">
              <w:rPr>
                <w:b/>
              </w:rPr>
              <w:t>[</w:t>
            </w:r>
            <w:r w:rsidRPr="00FD4C41">
              <w:rPr>
                <w:b/>
                <w:i/>
              </w:rPr>
              <w:t>in case of Complex Products with one or more Fixed Interest Payment Dates:</w:t>
            </w:r>
            <w:r w:rsidRPr="002B4DF7">
              <w:t xml:space="preserve"> In case of Inflation Index-Linked Notes the Interest Rate on the basis of which the Interest Payment Amounts are calculated will be equal to a fixed rate per annum for the </w:t>
            </w:r>
            <w:r w:rsidRPr="00F94B27">
              <w:rPr>
                <w:b/>
              </w:rPr>
              <w:t>[</w:t>
            </w:r>
            <w:r w:rsidRPr="002B4DF7">
              <w:t>first</w:t>
            </w:r>
            <w:r w:rsidRPr="00F94B27">
              <w:rPr>
                <w:b/>
              </w:rPr>
              <w:t>]</w:t>
            </w:r>
            <w:r w:rsidRPr="002B4DF7">
              <w:t xml:space="preserve"> </w:t>
            </w:r>
            <w:r w:rsidRPr="00F94B27">
              <w:rPr>
                <w:b/>
              </w:rPr>
              <w:t>[</w:t>
            </w:r>
            <w:r w:rsidRPr="002B4DF7">
              <w:t xml:space="preserve">first </w:t>
            </w:r>
            <w:r w:rsidRPr="00F94B27">
              <w:rPr>
                <w:b/>
              </w:rPr>
              <w:t>[</w:t>
            </w:r>
            <w:r w:rsidRPr="00FD4C41">
              <w:rPr>
                <w:b/>
                <w:i/>
              </w:rPr>
              <w:t>insert number of Interest Payment Dates, on which a fixed rate per annum is applicable:</w:t>
            </w:r>
            <w:r w:rsidRPr="002B4DF7">
              <w:t xml:space="preserve"> </w:t>
            </w:r>
            <w:r w:rsidRPr="00F94B27">
              <w:rPr>
                <w:b/>
              </w:rPr>
              <w:t>[</w:t>
            </w:r>
            <w:r w:rsidR="003857E8">
              <w:rPr>
                <w:rFonts w:ascii="Arial" w:hAnsi="Arial" w:cs="Arial"/>
              </w:rPr>
              <w:t>●</w:t>
            </w:r>
            <w:r w:rsidRPr="00F94B27">
              <w:rPr>
                <w:b/>
              </w:rPr>
              <w:t>]]</w:t>
            </w:r>
            <w:r w:rsidRPr="002B4DF7">
              <w:t xml:space="preserve"> Interest Payment Date</w:t>
            </w:r>
            <w:r w:rsidRPr="00F94B27">
              <w:rPr>
                <w:b/>
              </w:rPr>
              <w:t>[</w:t>
            </w:r>
            <w:r w:rsidRPr="002B4DF7">
              <w:t>s</w:t>
            </w:r>
            <w:r w:rsidRPr="00F94B27">
              <w:rPr>
                <w:b/>
              </w:rPr>
              <w:t>]</w:t>
            </w:r>
            <w:r w:rsidRPr="002B4DF7">
              <w:t xml:space="preserve">. For the calculation of the Interest Payment Amount on the </w:t>
            </w:r>
            <w:r w:rsidRPr="00F94B27">
              <w:rPr>
                <w:b/>
              </w:rPr>
              <w:t>[</w:t>
            </w:r>
            <w:r w:rsidRPr="00FD4C41">
              <w:rPr>
                <w:b/>
                <w:i/>
              </w:rPr>
              <w:t>insert number of Interest Payment Date, from which the Interest Rate will be a variable rate per annum:</w:t>
            </w:r>
            <w:r w:rsidRPr="002B4DF7">
              <w:t xml:space="preserve"> </w:t>
            </w:r>
            <w:r w:rsidRPr="00F94B27">
              <w:rPr>
                <w:b/>
              </w:rPr>
              <w:t>[</w:t>
            </w:r>
            <w:r w:rsidR="003857E8">
              <w:rPr>
                <w:rFonts w:ascii="Arial" w:hAnsi="Arial" w:cs="Arial"/>
              </w:rPr>
              <w:t>●</w:t>
            </w:r>
            <w:r w:rsidRPr="00F94B27">
              <w:rPr>
                <w:b/>
              </w:rPr>
              <w:t>]]</w:t>
            </w:r>
            <w:r w:rsidRPr="002B4DF7">
              <w:t xml:space="preserve"> Interest Payment Date </w:t>
            </w:r>
            <w:r w:rsidRPr="00F94B27">
              <w:rPr>
                <w:b/>
              </w:rPr>
              <w:t>[</w:t>
            </w:r>
            <w:r w:rsidRPr="002B4DF7">
              <w:t>and any following Interest Payment Date</w:t>
            </w:r>
            <w:r w:rsidRPr="00F94B27">
              <w:rPr>
                <w:b/>
              </w:rPr>
              <w:t>]</w:t>
            </w:r>
            <w:r w:rsidRPr="002B4DF7">
              <w:t xml:space="preserve"> the Interest Payment Amount</w:t>
            </w:r>
            <w:r w:rsidRPr="00F94B27">
              <w:rPr>
                <w:b/>
              </w:rPr>
              <w:t>[</w:t>
            </w:r>
            <w:r w:rsidRPr="002B4DF7">
              <w:t>s</w:t>
            </w:r>
            <w:r w:rsidRPr="00F94B27">
              <w:rPr>
                <w:b/>
              </w:rPr>
              <w:t>]</w:t>
            </w:r>
            <w:r w:rsidRPr="002B4DF7">
              <w:t xml:space="preserve"> will be calculated on the basis of a variable Interest Rate depending upon the performance of a Reference Rate in the form of an Inflation Index.</w:t>
            </w:r>
            <w:r w:rsidRPr="00F94B27">
              <w:rPr>
                <w:b/>
              </w:rPr>
              <w:t>]</w:t>
            </w:r>
          </w:p>
        </w:tc>
        <w:tc>
          <w:tcPr>
            <w:tcW w:w="2466" w:type="pct"/>
            <w:gridSpan w:val="14"/>
            <w:tcBorders>
              <w:left w:val="single" w:sz="4" w:space="0" w:color="auto"/>
            </w:tcBorders>
          </w:tcPr>
          <w:p w:rsidR="00FD4C41" w:rsidRPr="00FD4C41" w:rsidP="00FD4C41">
            <w:pPr>
              <w:pStyle w:val="CSBody0"/>
              <w:rPr>
                <w:lang w:val="de-DE"/>
              </w:rPr>
            </w:pPr>
            <w:r w:rsidRPr="00F94B27">
              <w:rPr>
                <w:b/>
                <w:lang w:val="de-DE"/>
              </w:rPr>
              <w:t>[</w:t>
            </w:r>
            <w:r w:rsidRPr="00FD4C41">
              <w:rPr>
                <w:b/>
                <w:i/>
                <w:lang w:val="de-DE"/>
              </w:rPr>
              <w:t>bei Komplexen Produkten mit einem oder mehreren Zahlungstagen für Festzinsen:</w:t>
            </w:r>
            <w:r w:rsidRPr="00FD4C41">
              <w:rPr>
                <w:lang w:val="de-DE"/>
              </w:rPr>
              <w:t xml:space="preserve"> Bei Inflation Index-Linked Notes entspricht der Zinssatz, auf dessen Grundlage die Zinszahlungsbeträge berechnet werden, einem Festsatz per annum für </w:t>
            </w:r>
            <w:r w:rsidRPr="00F94B27">
              <w:rPr>
                <w:b/>
                <w:lang w:val="de-DE"/>
              </w:rPr>
              <w:t>[</w:t>
            </w:r>
            <w:r w:rsidRPr="00FD4C41">
              <w:rPr>
                <w:lang w:val="de-DE"/>
              </w:rPr>
              <w:t>den ersten</w:t>
            </w:r>
            <w:r w:rsidRPr="00F94B27">
              <w:rPr>
                <w:b/>
                <w:lang w:val="de-DE"/>
              </w:rPr>
              <w:t>]</w:t>
            </w:r>
            <w:r w:rsidRPr="00FD4C41">
              <w:rPr>
                <w:lang w:val="de-DE"/>
              </w:rPr>
              <w:t xml:space="preserve"> </w:t>
            </w:r>
            <w:r w:rsidRPr="00F94B27">
              <w:rPr>
                <w:b/>
                <w:lang w:val="de-DE"/>
              </w:rPr>
              <w:t>[</w:t>
            </w:r>
            <w:r w:rsidRPr="00FD4C41">
              <w:rPr>
                <w:lang w:val="de-DE"/>
              </w:rPr>
              <w:t xml:space="preserve">die ersten </w:t>
            </w:r>
            <w:r w:rsidRPr="00F94B27">
              <w:rPr>
                <w:b/>
                <w:lang w:val="de-DE"/>
              </w:rPr>
              <w:t>[</w:t>
            </w:r>
            <w:r w:rsidRPr="00FD4C41">
              <w:rPr>
                <w:b/>
                <w:i/>
                <w:lang w:val="de-DE"/>
              </w:rPr>
              <w:t>Anzahl der Zinszahlungstage einfügen, an denen ein Festsatz per annum anwendbar ist:</w:t>
            </w:r>
            <w:r w:rsidRPr="00FD4C41">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FD4C41">
              <w:rPr>
                <w:lang w:val="de-DE"/>
              </w:rPr>
              <w:t xml:space="preserve"> Zinszahlungstag</w:t>
            </w:r>
            <w:r w:rsidRPr="00F94B27">
              <w:rPr>
                <w:b/>
                <w:lang w:val="de-DE"/>
              </w:rPr>
              <w:t>[</w:t>
            </w:r>
            <w:r w:rsidRPr="00FD4C41">
              <w:rPr>
                <w:lang w:val="de-DE"/>
              </w:rPr>
              <w:t>e</w:t>
            </w:r>
            <w:r w:rsidRPr="00F94B27">
              <w:rPr>
                <w:b/>
                <w:lang w:val="de-DE"/>
              </w:rPr>
              <w:t>]</w:t>
            </w:r>
            <w:r w:rsidRPr="00FD4C41">
              <w:rPr>
                <w:lang w:val="de-DE"/>
              </w:rPr>
              <w:t xml:space="preserve">. Für die Berechnung des Zinszahlungsbetrags am </w:t>
            </w:r>
            <w:r w:rsidRPr="00F94B27">
              <w:rPr>
                <w:b/>
                <w:lang w:val="de-DE"/>
              </w:rPr>
              <w:t>[</w:t>
            </w:r>
            <w:r w:rsidRPr="00FD4C41">
              <w:rPr>
                <w:b/>
                <w:i/>
                <w:lang w:val="de-DE"/>
              </w:rPr>
              <w:t>Zahl des Zinszahlungstags einfügen, von dem an der Zinssatz ein variabler Satz per annum sein wird:</w:t>
            </w:r>
            <w:r w:rsidRPr="00FD4C41">
              <w:rPr>
                <w:lang w:val="de-DE"/>
              </w:rPr>
              <w:t xml:space="preserve"> </w:t>
            </w:r>
            <w:r w:rsidRPr="00F94B27">
              <w:rPr>
                <w:b/>
                <w:lang w:val="de-DE"/>
              </w:rPr>
              <w:t>[</w:t>
            </w:r>
            <w:r w:rsidRPr="003857E8" w:rsidR="003857E8">
              <w:rPr>
                <w:rFonts w:ascii="Arial" w:hAnsi="Arial" w:cs="Arial"/>
                <w:lang w:val="de-DE"/>
              </w:rPr>
              <w:t>●</w:t>
            </w:r>
            <w:r w:rsidRPr="00F94B27">
              <w:rPr>
                <w:b/>
                <w:lang w:val="de-DE"/>
              </w:rPr>
              <w:t>]]</w:t>
            </w:r>
            <w:r w:rsidRPr="00FD4C41">
              <w:rPr>
                <w:lang w:val="de-DE"/>
              </w:rPr>
              <w:t xml:space="preserve"> Zinszahlungstag </w:t>
            </w:r>
            <w:r w:rsidRPr="00F94B27">
              <w:rPr>
                <w:b/>
                <w:lang w:val="de-DE"/>
              </w:rPr>
              <w:t>[</w:t>
            </w:r>
            <w:r w:rsidRPr="00FD4C41">
              <w:rPr>
                <w:lang w:val="de-DE"/>
              </w:rPr>
              <w:t>und jeden folgenden Zinszahlungstag</w:t>
            </w:r>
            <w:r w:rsidRPr="00F94B27">
              <w:rPr>
                <w:b/>
                <w:lang w:val="de-DE"/>
              </w:rPr>
              <w:t>]</w:t>
            </w:r>
            <w:r w:rsidRPr="00FD4C41">
              <w:rPr>
                <w:lang w:val="de-DE"/>
              </w:rPr>
              <w:t xml:space="preserve"> </w:t>
            </w:r>
            <w:r w:rsidRPr="00F94B27">
              <w:rPr>
                <w:b/>
                <w:lang w:val="de-DE"/>
              </w:rPr>
              <w:t>[</w:t>
            </w:r>
            <w:r w:rsidRPr="00FD4C41">
              <w:rPr>
                <w:lang w:val="de-DE"/>
              </w:rPr>
              <w:t>wird</w:t>
            </w:r>
            <w:r w:rsidRPr="00F94B27">
              <w:rPr>
                <w:b/>
                <w:lang w:val="de-DE"/>
              </w:rPr>
              <w:t>]</w:t>
            </w:r>
            <w:r w:rsidRPr="00FD4C41">
              <w:rPr>
                <w:lang w:val="de-DE"/>
              </w:rPr>
              <w:t xml:space="preserve"> </w:t>
            </w:r>
            <w:r w:rsidRPr="00F94B27">
              <w:rPr>
                <w:b/>
                <w:lang w:val="de-DE"/>
              </w:rPr>
              <w:t>[</w:t>
            </w:r>
            <w:r w:rsidRPr="00FD4C41">
              <w:rPr>
                <w:lang w:val="de-DE"/>
              </w:rPr>
              <w:t>werden</w:t>
            </w:r>
            <w:r w:rsidRPr="00F94B27">
              <w:rPr>
                <w:b/>
                <w:lang w:val="de-DE"/>
              </w:rPr>
              <w:t>]</w:t>
            </w:r>
            <w:r w:rsidRPr="00FD4C41">
              <w:rPr>
                <w:lang w:val="de-DE"/>
              </w:rPr>
              <w:t xml:space="preserve"> </w:t>
            </w:r>
            <w:r w:rsidRPr="00F94B27">
              <w:rPr>
                <w:b/>
                <w:lang w:val="de-DE"/>
              </w:rPr>
              <w:t>[</w:t>
            </w:r>
            <w:r w:rsidRPr="00FD4C41">
              <w:rPr>
                <w:lang w:val="de-DE"/>
              </w:rPr>
              <w:t>der Zinszahlungsbetrag</w:t>
            </w:r>
            <w:r w:rsidRPr="00F94B27">
              <w:rPr>
                <w:b/>
                <w:lang w:val="de-DE"/>
              </w:rPr>
              <w:t>]</w:t>
            </w:r>
            <w:r w:rsidRPr="00FD4C41">
              <w:rPr>
                <w:lang w:val="de-DE"/>
              </w:rPr>
              <w:t xml:space="preserve"> </w:t>
            </w:r>
            <w:r w:rsidRPr="00F94B27">
              <w:rPr>
                <w:b/>
                <w:lang w:val="de-DE"/>
              </w:rPr>
              <w:t>[</w:t>
            </w:r>
            <w:r w:rsidRPr="00FD4C41">
              <w:rPr>
                <w:lang w:val="de-DE"/>
              </w:rPr>
              <w:t>die Zinszahlungsbeträge</w:t>
            </w:r>
            <w:r w:rsidRPr="00F94B27">
              <w:rPr>
                <w:b/>
                <w:lang w:val="de-DE"/>
              </w:rPr>
              <w:t>]</w:t>
            </w:r>
            <w:r w:rsidRPr="00FD4C41">
              <w:rPr>
                <w:lang w:val="de-DE"/>
              </w:rPr>
              <w:t xml:space="preserve"> auf der Grundlage eines variablen Zinssatzes, der von der Wertentwicklung eines Referenzsatzes in Form eines Inflationsindexes abhängig ist, berechnet.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2B4DF7" w:rsidP="00BF6B38">
            <w:pPr>
              <w:pStyle w:val="CSBody0"/>
            </w:pPr>
            <w:r w:rsidRPr="00F94B27">
              <w:rPr>
                <w:b/>
              </w:rPr>
              <w:t>[</w:t>
            </w:r>
            <w:r w:rsidRPr="00BF6B38">
              <w:rPr>
                <w:b/>
                <w:i/>
              </w:rPr>
              <w:t>in case of Complex Products without Fixed Interest Payment Dates:</w:t>
            </w:r>
            <w:r w:rsidRPr="002B4DF7">
              <w:t xml:space="preserve"> In case of Inflation Index-Linked Notes the Interest Rate on the basis of which the Interest Payment Amount</w:t>
            </w:r>
            <w:r w:rsidRPr="00F94B27">
              <w:rPr>
                <w:b/>
              </w:rPr>
              <w:t>[</w:t>
            </w:r>
            <w:r w:rsidRPr="002B4DF7">
              <w:t>s</w:t>
            </w:r>
            <w:r w:rsidRPr="00F94B27">
              <w:rPr>
                <w:b/>
              </w:rPr>
              <w:t>]</w:t>
            </w:r>
            <w:r w:rsidRPr="002B4DF7">
              <w:t xml:space="preserve"> </w:t>
            </w:r>
            <w:r w:rsidRPr="00F94B27">
              <w:rPr>
                <w:b/>
              </w:rPr>
              <w:t>[</w:t>
            </w:r>
            <w:r w:rsidRPr="002B4DF7">
              <w:t>is</w:t>
            </w:r>
            <w:r w:rsidRPr="00F94B27">
              <w:rPr>
                <w:b/>
              </w:rPr>
              <w:t>][</w:t>
            </w:r>
            <w:r w:rsidRPr="002B4DF7">
              <w:t>are</w:t>
            </w:r>
            <w:r w:rsidRPr="00F94B27">
              <w:rPr>
                <w:b/>
              </w:rPr>
              <w:t>]</w:t>
            </w:r>
            <w:r w:rsidRPr="002B4DF7">
              <w:t xml:space="preserve"> calculated will be equal to a variable Interest Rate depending upon the performance of a Reference Rate in the form of an Inflation Index.</w:t>
            </w:r>
            <w:r w:rsidRPr="00F94B27">
              <w:rPr>
                <w:b/>
              </w:rPr>
              <w:t>]</w:t>
            </w:r>
          </w:p>
        </w:tc>
        <w:tc>
          <w:tcPr>
            <w:tcW w:w="2466" w:type="pct"/>
            <w:gridSpan w:val="14"/>
            <w:tcBorders>
              <w:left w:val="single" w:sz="4" w:space="0" w:color="auto"/>
            </w:tcBorders>
          </w:tcPr>
          <w:p w:rsidR="00FD4C41" w:rsidRPr="00FD4C41" w:rsidP="00BF6B38">
            <w:pPr>
              <w:pStyle w:val="CSBody0"/>
              <w:rPr>
                <w:lang w:val="de-DE"/>
              </w:rPr>
            </w:pPr>
            <w:r w:rsidRPr="00F94B27">
              <w:rPr>
                <w:b/>
                <w:lang w:val="de-DE"/>
              </w:rPr>
              <w:t>[</w:t>
            </w:r>
            <w:r w:rsidRPr="00BF6B38">
              <w:rPr>
                <w:b/>
                <w:i/>
                <w:lang w:val="de-DE"/>
              </w:rPr>
              <w:t>bei Komplexen Produkten ohne Zahlungstage für Festzinsen:</w:t>
            </w:r>
            <w:r w:rsidRPr="00FD4C41">
              <w:rPr>
                <w:lang w:val="de-DE"/>
              </w:rPr>
              <w:t xml:space="preserve"> Bei Inflation Index-Linked Notes entspricht der Zinssatz, auf dessen Grundlage </w:t>
            </w:r>
            <w:r w:rsidRPr="00F94B27">
              <w:rPr>
                <w:b/>
                <w:lang w:val="de-DE"/>
              </w:rPr>
              <w:t>[</w:t>
            </w:r>
            <w:r w:rsidRPr="00FD4C41">
              <w:rPr>
                <w:lang w:val="de-DE"/>
              </w:rPr>
              <w:t>der Zinszahlungsbetrag</w:t>
            </w:r>
            <w:r w:rsidRPr="00F94B27">
              <w:rPr>
                <w:b/>
                <w:lang w:val="de-DE"/>
              </w:rPr>
              <w:t>]</w:t>
            </w:r>
            <w:r w:rsidRPr="00FD4C41">
              <w:rPr>
                <w:lang w:val="de-DE"/>
              </w:rPr>
              <w:t xml:space="preserve"> </w:t>
            </w:r>
            <w:r w:rsidRPr="00F94B27">
              <w:rPr>
                <w:b/>
                <w:lang w:val="de-DE"/>
              </w:rPr>
              <w:t>[</w:t>
            </w:r>
            <w:r w:rsidRPr="00FD4C41">
              <w:rPr>
                <w:lang w:val="de-DE"/>
              </w:rPr>
              <w:t>die Zinszahlungsbeträge</w:t>
            </w:r>
            <w:r w:rsidRPr="00F94B27">
              <w:rPr>
                <w:b/>
                <w:lang w:val="de-DE"/>
              </w:rPr>
              <w:t>]</w:t>
            </w:r>
            <w:r w:rsidRPr="00FD4C41">
              <w:rPr>
                <w:lang w:val="de-DE"/>
              </w:rPr>
              <w:t xml:space="preserve"> berechnet </w:t>
            </w:r>
            <w:r w:rsidRPr="00F94B27">
              <w:rPr>
                <w:b/>
                <w:lang w:val="de-DE"/>
              </w:rPr>
              <w:t>[</w:t>
            </w:r>
            <w:r w:rsidRPr="00FD4C41">
              <w:rPr>
                <w:lang w:val="de-DE"/>
              </w:rPr>
              <w:t>wird</w:t>
            </w:r>
            <w:r w:rsidRPr="00F94B27">
              <w:rPr>
                <w:b/>
                <w:lang w:val="de-DE"/>
              </w:rPr>
              <w:t>]</w:t>
            </w:r>
            <w:r w:rsidRPr="00FD4C41">
              <w:rPr>
                <w:lang w:val="de-DE"/>
              </w:rPr>
              <w:t xml:space="preserve"> </w:t>
            </w:r>
            <w:r w:rsidRPr="00F94B27">
              <w:rPr>
                <w:b/>
                <w:lang w:val="de-DE"/>
              </w:rPr>
              <w:t>[</w:t>
            </w:r>
            <w:r w:rsidRPr="00FD4C41">
              <w:rPr>
                <w:lang w:val="de-DE"/>
              </w:rPr>
              <w:t>werden</w:t>
            </w:r>
            <w:r w:rsidRPr="00F94B27">
              <w:rPr>
                <w:b/>
                <w:lang w:val="de-DE"/>
              </w:rPr>
              <w:t>]</w:t>
            </w:r>
            <w:r w:rsidRPr="00FD4C41">
              <w:rPr>
                <w:lang w:val="de-DE"/>
              </w:rPr>
              <w:t>, einem variablen Zinssatz, der von der Wertentwicklung eines Referenzsatzes in Form eines Inflationsindexes abhängig ist.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D4C41" w:rsidRPr="002B4DF7" w:rsidP="00474C21">
            <w:pPr>
              <w:pStyle w:val="CSBody0"/>
            </w:pPr>
            <w:r w:rsidRPr="002B4DF7">
              <w:t xml:space="preserve">Inflation Index-Linked Notes allow investors to benefit on the </w:t>
            </w:r>
            <w:r w:rsidRPr="00F94B27" w:rsidR="00F94B27">
              <w:rPr>
                <w:b/>
              </w:rPr>
              <w:t>[</w:t>
            </w:r>
            <w:r w:rsidRPr="002B4DF7">
              <w:t>relevant</w:t>
            </w:r>
            <w:r w:rsidRPr="00F94B27" w:rsidR="00F94B27">
              <w:rPr>
                <w:b/>
              </w:rPr>
              <w:t>]</w:t>
            </w:r>
            <w:r w:rsidRPr="002B4DF7">
              <w:t xml:space="preserve"> Interest Payment Date </w:t>
            </w:r>
            <w:r w:rsidRPr="00F94B27" w:rsidR="00F94B27">
              <w:rPr>
                <w:b/>
              </w:rPr>
              <w:t>[</w:t>
            </w:r>
            <w:r w:rsidRPr="002B4DF7">
              <w:t>, on which a variable Interest Rate is applicable,</w:t>
            </w:r>
            <w:r w:rsidRPr="00F94B27" w:rsidR="00F94B27">
              <w:rPr>
                <w:b/>
              </w:rPr>
              <w:t>]</w:t>
            </w:r>
            <w:r w:rsidRPr="002B4DF7">
              <w:t xml:space="preserve"> from Interest Payment Amounts that increase depending upon the positive performance of the Reference Rate in the form of the Inflation Index on the </w:t>
            </w:r>
            <w:r w:rsidRPr="00F94B27" w:rsidR="00F94B27">
              <w:rPr>
                <w:b/>
              </w:rPr>
              <w:t>[</w:t>
            </w:r>
            <w:r w:rsidRPr="002B4DF7">
              <w:t>relevant</w:t>
            </w:r>
            <w:r w:rsidRPr="00F94B27" w:rsidR="00F94B27">
              <w:rPr>
                <w:b/>
              </w:rPr>
              <w:t>]</w:t>
            </w:r>
            <w:r w:rsidRPr="002B4DF7">
              <w:t xml:space="preserve"> Interest Payment Date. The performance of the Reference Rate will be measured by comparing its value for one Inflation Fixing Month to its value for another Inflation Fixing Month. In order to determine the </w:t>
            </w:r>
            <w:r w:rsidRPr="00F94B27" w:rsidR="00F94B27">
              <w:rPr>
                <w:b/>
              </w:rPr>
              <w:t>[</w:t>
            </w:r>
            <w:r w:rsidRPr="002B4DF7">
              <w:t>applicable</w:t>
            </w:r>
            <w:r w:rsidRPr="00F94B27" w:rsidR="00F94B27">
              <w:rPr>
                <w:b/>
              </w:rPr>
              <w:t>]</w:t>
            </w:r>
            <w:r w:rsidRPr="002B4DF7">
              <w:t xml:space="preserve"> Interest Rate the performance of the Reference Rate in the form of the Inflation Index for the relevant Inflation Fixing Month will be multiplied by the Participation </w:t>
            </w:r>
            <w:r w:rsidRPr="00F94B27" w:rsidR="00F94B27">
              <w:rPr>
                <w:b/>
              </w:rPr>
              <w:t>[</w:t>
            </w:r>
            <w:r w:rsidRPr="002B4DF7">
              <w:t xml:space="preserve">and </w:t>
            </w:r>
            <w:r w:rsidRPr="00F94B27" w:rsidR="00F94B27">
              <w:rPr>
                <w:b/>
              </w:rPr>
              <w:t>[</w:t>
            </w:r>
            <w:r w:rsidR="003857E8">
              <w:rPr>
                <w:rFonts w:ascii="Arial" w:hAnsi="Arial" w:cs="Arial"/>
              </w:rPr>
              <w:t>●</w:t>
            </w:r>
            <w:r w:rsidRPr="00F94B27" w:rsidR="00F94B27">
              <w:rPr>
                <w:b/>
              </w:rPr>
              <w:t>]</w:t>
            </w:r>
            <w:r w:rsidRPr="002B4DF7">
              <w:t>% per annum will be added to such product</w:t>
            </w:r>
            <w:r w:rsidRPr="00F94B27" w:rsidR="00F94B27">
              <w:rPr>
                <w:b/>
              </w:rPr>
              <w:t>]</w:t>
            </w:r>
            <w:r w:rsidRPr="002B4DF7">
              <w:t>. If the Inflation Index stagnates or if the Inflation Index develops negatively on an Interest Payment Date, the a</w:t>
            </w:r>
            <w:r w:rsidR="00474C21">
              <w:t>p</w:t>
            </w:r>
            <w:r w:rsidRPr="002B4DF7">
              <w:t>plicable Interest Rate may be equal to zero.</w:t>
            </w:r>
            <w:r w:rsidRPr="00F94B27" w:rsidR="00F94B27">
              <w:rPr>
                <w:b/>
              </w:rPr>
              <w:t>]]</w:t>
            </w:r>
          </w:p>
        </w:tc>
        <w:tc>
          <w:tcPr>
            <w:tcW w:w="2466" w:type="pct"/>
            <w:gridSpan w:val="14"/>
            <w:tcBorders>
              <w:left w:val="single" w:sz="4" w:space="0" w:color="auto"/>
            </w:tcBorders>
          </w:tcPr>
          <w:p w:rsidR="00FD4C41" w:rsidRPr="00FD4C41" w:rsidP="00BF6B38">
            <w:pPr>
              <w:pStyle w:val="CSBody0"/>
              <w:rPr>
                <w:lang w:val="de-DE"/>
              </w:rPr>
            </w:pPr>
            <w:r w:rsidRPr="00FD4C41">
              <w:rPr>
                <w:lang w:val="de-DE"/>
              </w:rPr>
              <w:t xml:space="preserve">Inflation Index-Linked Notes ermöglichen Anlegern, am </w:t>
            </w:r>
            <w:r w:rsidRPr="00F94B27" w:rsidR="00F94B27">
              <w:rPr>
                <w:b/>
                <w:lang w:val="de-DE"/>
              </w:rPr>
              <w:t>[</w:t>
            </w:r>
            <w:r w:rsidRPr="00FD4C41">
              <w:rPr>
                <w:lang w:val="de-DE"/>
              </w:rPr>
              <w:t>jeweiligen</w:t>
            </w:r>
            <w:r w:rsidRPr="00F94B27" w:rsidR="00F94B27">
              <w:rPr>
                <w:b/>
                <w:lang w:val="de-DE"/>
              </w:rPr>
              <w:t>]</w:t>
            </w:r>
            <w:r w:rsidRPr="00FD4C41">
              <w:rPr>
                <w:lang w:val="de-DE"/>
              </w:rPr>
              <w:t xml:space="preserve"> Zinszahlungstag </w:t>
            </w:r>
            <w:r w:rsidRPr="00F94B27" w:rsidR="00F94B27">
              <w:rPr>
                <w:b/>
                <w:lang w:val="de-DE"/>
              </w:rPr>
              <w:t>[</w:t>
            </w:r>
            <w:r w:rsidRPr="00FD4C41">
              <w:rPr>
                <w:lang w:val="de-DE"/>
              </w:rPr>
              <w:t>, an dem ein variabler Zinssatz Anwendung findet,</w:t>
            </w:r>
            <w:r w:rsidRPr="00F94B27" w:rsidR="00F94B27">
              <w:rPr>
                <w:b/>
                <w:lang w:val="de-DE"/>
              </w:rPr>
              <w:t>]</w:t>
            </w:r>
            <w:r w:rsidRPr="00FD4C41">
              <w:rPr>
                <w:lang w:val="de-DE"/>
              </w:rPr>
              <w:t xml:space="preserve"> Zinszahlungsbeträge zu erhalten, die in Abhängigkeit von der positiven Wertentwicklung des Referenzsatzes in Form des Inflationsindexes am </w:t>
            </w:r>
            <w:r w:rsidRPr="00F94B27" w:rsidR="00F94B27">
              <w:rPr>
                <w:b/>
                <w:lang w:val="de-DE"/>
              </w:rPr>
              <w:t>[</w:t>
            </w:r>
            <w:r w:rsidRPr="00FD4C41">
              <w:rPr>
                <w:lang w:val="de-DE"/>
              </w:rPr>
              <w:t>jeweiligen</w:t>
            </w:r>
            <w:r w:rsidRPr="00F94B27" w:rsidR="00F94B27">
              <w:rPr>
                <w:b/>
                <w:lang w:val="de-DE"/>
              </w:rPr>
              <w:t>]</w:t>
            </w:r>
            <w:r w:rsidRPr="00FD4C41">
              <w:rPr>
                <w:lang w:val="de-DE"/>
              </w:rPr>
              <w:t xml:space="preserve"> Zinszahlungstag ansteigen. Die Wertentwicklung des Referenzsatzes wird auf Grundlage eines Vergleichs des Werts des Referenzsatzes für einen Inflations</w:t>
            </w:r>
            <w:r w:rsidR="002A02E2">
              <w:rPr>
                <w:lang w:val="de-DE"/>
              </w:rPr>
              <w:t>-</w:t>
            </w:r>
            <w:r w:rsidRPr="00FD4C41">
              <w:rPr>
                <w:lang w:val="de-DE"/>
              </w:rPr>
              <w:t xml:space="preserve">Feststellungsmonat mit dem Wert des Referenzsatzes für einen anderen Inflations-Feststellungsmonat gemessen. Um den </w:t>
            </w:r>
            <w:r w:rsidRPr="00F94B27" w:rsidR="00F94B27">
              <w:rPr>
                <w:b/>
                <w:lang w:val="de-DE"/>
              </w:rPr>
              <w:t>[</w:t>
            </w:r>
            <w:r w:rsidRPr="00FD4C41">
              <w:rPr>
                <w:lang w:val="de-DE"/>
              </w:rPr>
              <w:t>anwendbaren</w:t>
            </w:r>
            <w:r w:rsidRPr="00F94B27" w:rsidR="00F94B27">
              <w:rPr>
                <w:b/>
                <w:lang w:val="de-DE"/>
              </w:rPr>
              <w:t>]</w:t>
            </w:r>
            <w:r w:rsidRPr="00FD4C41">
              <w:rPr>
                <w:lang w:val="de-DE"/>
              </w:rPr>
              <w:t xml:space="preserve"> Zinssatz zu bestimmen, wird die Wertentwicklung des Referenzsatzes in Form des Inflationsindexes für den jeweiligen Inflations-Feststellungsmonat mit der Partizipation multipliziert </w:t>
            </w:r>
            <w:r w:rsidRPr="00F94B27" w:rsidR="00F94B27">
              <w:rPr>
                <w:b/>
                <w:lang w:val="de-DE"/>
              </w:rPr>
              <w:t>[</w:t>
            </w:r>
            <w:r w:rsidRPr="00FD4C41">
              <w:rPr>
                <w:lang w:val="de-DE"/>
              </w:rPr>
              <w:t xml:space="preserve">und </w:t>
            </w:r>
            <w:r w:rsidRPr="00F94B27" w:rsidR="00F94B27">
              <w:rPr>
                <w:b/>
                <w:lang w:val="de-DE"/>
              </w:rPr>
              <w:t>[</w:t>
            </w:r>
            <w:r w:rsidRPr="003857E8" w:rsidR="003857E8">
              <w:rPr>
                <w:rFonts w:ascii="Arial" w:hAnsi="Arial" w:cs="Arial"/>
                <w:lang w:val="de-DE"/>
              </w:rPr>
              <w:t>●</w:t>
            </w:r>
            <w:r w:rsidRPr="00F94B27" w:rsidR="00F94B27">
              <w:rPr>
                <w:b/>
                <w:lang w:val="de-DE"/>
              </w:rPr>
              <w:t>]</w:t>
            </w:r>
            <w:r w:rsidRPr="00FD4C41">
              <w:rPr>
                <w:lang w:val="de-DE"/>
              </w:rPr>
              <w:t>% per annum wird zu diesem Produkt hinzugerechnet</w:t>
            </w:r>
            <w:r w:rsidRPr="00F94B27" w:rsidR="00F94B27">
              <w:rPr>
                <w:b/>
                <w:lang w:val="de-DE"/>
              </w:rPr>
              <w:t>]</w:t>
            </w:r>
            <w:r w:rsidRPr="00FD4C41">
              <w:rPr>
                <w:lang w:val="de-DE"/>
              </w:rPr>
              <w:t>. Falls der Inflationsindex stagniert oder sich an einem Zinszahlungstag negativ entwickelt, kann der anwendbare Zinssatz null entsprechen.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BF6B38" w:rsidRPr="00AB16EC" w:rsidP="00BF6B38">
            <w:pPr>
              <w:pStyle w:val="CSbody0bold"/>
              <w:rPr>
                <w:lang w:val="en-GB"/>
              </w:rPr>
            </w:pPr>
            <w:r w:rsidRPr="00AB16EC">
              <w:rPr>
                <w:lang w:val="en-GB"/>
              </w:rPr>
              <w:t>C.11: Listing / Admission to Trading / Distribution</w:t>
            </w:r>
          </w:p>
        </w:tc>
        <w:tc>
          <w:tcPr>
            <w:tcW w:w="2466" w:type="pct"/>
            <w:gridSpan w:val="14"/>
            <w:tcBorders>
              <w:left w:val="single" w:sz="4" w:space="0" w:color="auto"/>
            </w:tcBorders>
          </w:tcPr>
          <w:p w:rsidR="00BF6B38" w:rsidRPr="00BF6B38" w:rsidP="00BF6B38">
            <w:pPr>
              <w:pStyle w:val="CSbody0bold"/>
            </w:pPr>
            <w:r w:rsidRPr="00BF6B38">
              <w:t>C.11: Börsennotierung / Zulassung zum Handel / Verbreitung</w:t>
            </w:r>
          </w:p>
        </w:tc>
      </w:tr>
      <w:tr w:rsidTr="00942F00">
        <w:tblPrEx>
          <w:tblW w:w="5000" w:type="pct"/>
          <w:tblLayout w:type="fixed"/>
          <w:tblLook w:val="04A0"/>
        </w:tblPrEx>
        <w:tc>
          <w:tcPr>
            <w:tcW w:w="2534" w:type="pct"/>
            <w:gridSpan w:val="14"/>
            <w:tcBorders>
              <w:right w:val="single" w:sz="4" w:space="0" w:color="auto"/>
            </w:tcBorders>
          </w:tcPr>
          <w:p w:rsidR="00BF6B38" w:rsidRPr="004E04CF" w:rsidP="00BF6B38">
            <w:pPr>
              <w:pStyle w:val="CSBody0"/>
            </w:pPr>
            <w:r w:rsidRPr="00F94B27">
              <w:rPr>
                <w:b/>
              </w:rPr>
              <w:t>[</w:t>
            </w:r>
            <w:r w:rsidRPr="004E04CF">
              <w:t>None</w:t>
            </w:r>
            <w:r w:rsidRPr="00F94B27">
              <w:rPr>
                <w:b/>
              </w:rPr>
              <w:t>]</w:t>
            </w:r>
            <w:r w:rsidRPr="004E04CF">
              <w:t xml:space="preserve"> </w:t>
            </w:r>
            <w:r w:rsidRPr="00F94B27">
              <w:rPr>
                <w:b/>
              </w:rPr>
              <w:t>[</w:t>
            </w:r>
            <w:r w:rsidRPr="004E04CF">
              <w:t xml:space="preserve">Application will be made </w:t>
            </w:r>
            <w:r w:rsidRPr="00F94B27">
              <w:rPr>
                <w:b/>
              </w:rPr>
              <w:t>[</w:t>
            </w:r>
            <w:r w:rsidRPr="004E04CF">
              <w:t>to list the Complex Products on the SIX Swiss Exchange Ltd for trading on the platform of SIX Structured Products Exchange Ltd</w:t>
            </w:r>
            <w:r w:rsidRPr="00F94B27">
              <w:rPr>
                <w:b/>
              </w:rPr>
              <w:t>]</w:t>
            </w:r>
            <w:r w:rsidRPr="004E04CF">
              <w:t xml:space="preserve"> </w:t>
            </w:r>
            <w:r w:rsidRPr="00F94B27">
              <w:rPr>
                <w:b/>
              </w:rPr>
              <w:t>[</w:t>
            </w:r>
            <w:r w:rsidRPr="004E04CF">
              <w:t>and</w:t>
            </w:r>
            <w:r w:rsidRPr="00F94B27">
              <w:rPr>
                <w:b/>
              </w:rPr>
              <w:t>]</w:t>
            </w:r>
            <w:r w:rsidRPr="004E04CF">
              <w:t xml:space="preserve"> </w:t>
            </w:r>
            <w:r w:rsidRPr="00F94B27">
              <w:rPr>
                <w:b/>
              </w:rPr>
              <w:t>[</w:t>
            </w:r>
            <w:r w:rsidRPr="004E04CF">
              <w:t>to include the Complex Products to trading on the Open Market (Freiverkehr) of the Frankfurt Stock Exchange (Börse Frankfurt Zertifikate AG platform</w:t>
            </w:r>
            <w:r w:rsidRPr="00F94B27">
              <w:rPr>
                <w:b/>
              </w:rPr>
              <w:t>[</w:t>
            </w:r>
            <w:r w:rsidRPr="004E04CF">
              <w:t>, the Premium Segment</w:t>
            </w:r>
            <w:r w:rsidRPr="00F94B27">
              <w:rPr>
                <w:b/>
              </w:rPr>
              <w:t>]</w:t>
            </w:r>
            <w:r w:rsidRPr="004E04CF">
              <w:t>)</w:t>
            </w:r>
            <w:r w:rsidRPr="00F94B27">
              <w:rPr>
                <w:b/>
              </w:rPr>
              <w:t>]</w:t>
            </w:r>
            <w:r w:rsidRPr="004E04CF">
              <w:t xml:space="preserve"> </w:t>
            </w:r>
            <w:r w:rsidRPr="00F94B27">
              <w:rPr>
                <w:b/>
              </w:rPr>
              <w:t>[</w:t>
            </w:r>
            <w:r w:rsidRPr="004E04CF">
              <w:t>and</w:t>
            </w:r>
            <w:r w:rsidRPr="00F94B27">
              <w:rPr>
                <w:b/>
              </w:rPr>
              <w:t>]</w:t>
            </w:r>
            <w:r w:rsidRPr="004E04CF">
              <w:t xml:space="preserve"> </w:t>
            </w:r>
            <w:r w:rsidRPr="00F94B27">
              <w:rPr>
                <w:b/>
              </w:rPr>
              <w:t>[</w:t>
            </w:r>
            <w:r w:rsidRPr="004E04CF">
              <w:t>to admit the Complex Products to listing on Borsa Italiana S.p.A. and to trading on the Electronic Securitised Derivatives Market (the "</w:t>
            </w:r>
            <w:r w:rsidRPr="00BF6B38">
              <w:rPr>
                <w:b/>
              </w:rPr>
              <w:t>SeDeX Market</w:t>
            </w:r>
            <w:r w:rsidRPr="004E04CF">
              <w:t>") of Borsa Italiana S.p.A.</w:t>
            </w:r>
            <w:r w:rsidRPr="00F94B27">
              <w:rPr>
                <w:b/>
              </w:rPr>
              <w:t>][</w:t>
            </w:r>
            <w:r w:rsidRPr="004E04CF">
              <w:t>.</w:t>
            </w:r>
            <w:r w:rsidRPr="00F94B27">
              <w:rPr>
                <w:b/>
              </w:rPr>
              <w:t>]]</w:t>
            </w:r>
          </w:p>
        </w:tc>
        <w:tc>
          <w:tcPr>
            <w:tcW w:w="2466" w:type="pct"/>
            <w:gridSpan w:val="14"/>
            <w:tcBorders>
              <w:left w:val="single" w:sz="4" w:space="0" w:color="auto"/>
            </w:tcBorders>
          </w:tcPr>
          <w:p w:rsidR="00BF6B38" w:rsidRPr="00BF6B38" w:rsidP="00BF6B38">
            <w:pPr>
              <w:pStyle w:val="CSBody0"/>
              <w:rPr>
                <w:lang w:val="de-DE"/>
              </w:rPr>
            </w:pPr>
            <w:r w:rsidRPr="00F94B27">
              <w:rPr>
                <w:b/>
                <w:lang w:val="de-DE"/>
              </w:rPr>
              <w:t>[</w:t>
            </w:r>
            <w:r w:rsidRPr="00BF6B38">
              <w:rPr>
                <w:lang w:val="de-DE"/>
              </w:rPr>
              <w:t>Keine</w:t>
            </w:r>
            <w:r w:rsidRPr="00F94B27">
              <w:rPr>
                <w:b/>
                <w:lang w:val="de-DE"/>
              </w:rPr>
              <w:t>]</w:t>
            </w:r>
            <w:r w:rsidRPr="00BF6B38">
              <w:rPr>
                <w:lang w:val="de-DE"/>
              </w:rPr>
              <w:t xml:space="preserve"> </w:t>
            </w:r>
            <w:r w:rsidRPr="00F94B27">
              <w:rPr>
                <w:b/>
                <w:lang w:val="de-DE"/>
              </w:rPr>
              <w:t>[[</w:t>
            </w:r>
            <w:r w:rsidRPr="00BF6B38">
              <w:rPr>
                <w:lang w:val="de-DE"/>
              </w:rPr>
              <w:t>Die Notierung der Komplexen Produkte an der SIX Swiss Exchange AG zum Handel auf der Plattform der SIX Structured Products Exchange AG</w:t>
            </w:r>
            <w:r w:rsidRPr="00F94B27">
              <w:rPr>
                <w:b/>
                <w:lang w:val="de-DE"/>
              </w:rPr>
              <w:t>]</w:t>
            </w:r>
            <w:r w:rsidRPr="00BF6B38">
              <w:rPr>
                <w:lang w:val="de-DE"/>
              </w:rPr>
              <w:t xml:space="preserve"> </w:t>
            </w:r>
            <w:r w:rsidRPr="00F94B27">
              <w:rPr>
                <w:b/>
                <w:lang w:val="de-DE"/>
              </w:rPr>
              <w:t>[</w:t>
            </w:r>
            <w:r w:rsidRPr="00BF6B38">
              <w:rPr>
                <w:lang w:val="de-DE"/>
              </w:rPr>
              <w:t>und</w:t>
            </w:r>
            <w:r w:rsidRPr="00F94B27">
              <w:rPr>
                <w:b/>
                <w:lang w:val="de-DE"/>
              </w:rPr>
              <w:t>]</w:t>
            </w:r>
            <w:r w:rsidRPr="00BF6B38">
              <w:rPr>
                <w:lang w:val="de-DE"/>
              </w:rPr>
              <w:t xml:space="preserve"> </w:t>
            </w:r>
            <w:r w:rsidRPr="00F94B27">
              <w:rPr>
                <w:b/>
                <w:lang w:val="de-DE"/>
              </w:rPr>
              <w:t>[</w:t>
            </w:r>
            <w:r w:rsidRPr="00BF6B38">
              <w:rPr>
                <w:lang w:val="de-DE"/>
              </w:rPr>
              <w:t>die Einbeziehung der Komplexen Produkte in den Handel im Freiverkehr der Frankfurter Wertpapierbörse (Plattform der Börse Frankfurt Zertifikate AG</w:t>
            </w:r>
            <w:r w:rsidRPr="00F94B27">
              <w:rPr>
                <w:b/>
                <w:lang w:val="de-DE"/>
              </w:rPr>
              <w:t>[</w:t>
            </w:r>
            <w:r w:rsidRPr="00BF6B38">
              <w:rPr>
                <w:lang w:val="de-DE"/>
              </w:rPr>
              <w:t>, Premium Segment</w:t>
            </w:r>
            <w:r w:rsidRPr="00F94B27">
              <w:rPr>
                <w:b/>
                <w:lang w:val="de-DE"/>
              </w:rPr>
              <w:t>]</w:t>
            </w:r>
            <w:r w:rsidRPr="00BF6B38">
              <w:rPr>
                <w:lang w:val="de-DE"/>
              </w:rPr>
              <w:t>)</w:t>
            </w:r>
            <w:r w:rsidRPr="00F94B27">
              <w:rPr>
                <w:b/>
                <w:lang w:val="de-DE"/>
              </w:rPr>
              <w:t>]</w:t>
            </w:r>
            <w:r w:rsidRPr="00BF6B38">
              <w:rPr>
                <w:lang w:val="de-DE"/>
              </w:rPr>
              <w:t xml:space="preserve"> </w:t>
            </w:r>
            <w:r w:rsidRPr="00F94B27">
              <w:rPr>
                <w:b/>
                <w:lang w:val="de-DE"/>
              </w:rPr>
              <w:t>[</w:t>
            </w:r>
            <w:r w:rsidRPr="00BF6B38">
              <w:rPr>
                <w:lang w:val="de-DE"/>
              </w:rPr>
              <w:t>und</w:t>
            </w:r>
            <w:r w:rsidRPr="00F94B27">
              <w:rPr>
                <w:b/>
                <w:lang w:val="de-DE"/>
              </w:rPr>
              <w:t>]</w:t>
            </w:r>
            <w:r w:rsidRPr="00BF6B38">
              <w:rPr>
                <w:lang w:val="de-DE"/>
              </w:rPr>
              <w:t xml:space="preserve"> </w:t>
            </w:r>
            <w:r w:rsidRPr="00F94B27">
              <w:rPr>
                <w:b/>
                <w:lang w:val="de-DE"/>
              </w:rPr>
              <w:t>[</w:t>
            </w:r>
            <w:r w:rsidRPr="00BF6B38">
              <w:rPr>
                <w:lang w:val="de-DE"/>
              </w:rPr>
              <w:t>die Notierung der Komplexen Produkte an der Borsa Italiana S.p.A. sowie die Zulassung zum Handel am Electronic Securitised Derivatives Market (der "</w:t>
            </w:r>
            <w:r w:rsidRPr="00BF6B38">
              <w:rPr>
                <w:b/>
                <w:lang w:val="de-DE"/>
              </w:rPr>
              <w:t>SeDeX-Markt</w:t>
            </w:r>
            <w:r w:rsidRPr="00BF6B38">
              <w:rPr>
                <w:lang w:val="de-DE"/>
              </w:rPr>
              <w:t>") der Borsa Italiana S.p.A.</w:t>
            </w:r>
            <w:r w:rsidRPr="00F94B27">
              <w:rPr>
                <w:b/>
                <w:lang w:val="de-DE"/>
              </w:rPr>
              <w:t>]</w:t>
            </w:r>
            <w:r w:rsidRPr="00BF6B38">
              <w:rPr>
                <w:lang w:val="de-DE"/>
              </w:rPr>
              <w:t xml:space="preserve"> wird beantragt.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BF6B38" w:rsidRPr="00AB16EC" w:rsidP="00BF6B38">
            <w:pPr>
              <w:pStyle w:val="CSbody0bold"/>
              <w:rPr>
                <w:lang w:val="en-GB"/>
              </w:rPr>
            </w:pPr>
            <w:r w:rsidRPr="00AB16EC">
              <w:rPr>
                <w:lang w:val="en-GB"/>
              </w:rPr>
              <w:t xml:space="preserve">C.15: A description of how the value of the investment is affected by the value </w:t>
            </w:r>
            <w:r w:rsidR="0069139B">
              <w:rPr>
                <w:lang w:val="en-GB"/>
              </w:rPr>
              <w:t>of the underlying instrument(s)</w:t>
            </w:r>
            <w:r>
              <w:rPr>
                <w:rStyle w:val="FootnoteReference"/>
                <w:lang w:val="en-GB"/>
              </w:rPr>
              <w:footnoteReference w:id="6"/>
            </w:r>
          </w:p>
        </w:tc>
        <w:tc>
          <w:tcPr>
            <w:tcW w:w="2466" w:type="pct"/>
            <w:gridSpan w:val="14"/>
            <w:tcBorders>
              <w:left w:val="single" w:sz="4" w:space="0" w:color="auto"/>
            </w:tcBorders>
          </w:tcPr>
          <w:p w:rsidR="00BF6B38" w:rsidRPr="00BF6B38" w:rsidP="00BF6B38">
            <w:pPr>
              <w:pStyle w:val="CSbody0bold"/>
            </w:pPr>
            <w:r w:rsidRPr="00BF6B38">
              <w:t>C.15: Beschreibung, wie der Wert der Anlage durch den Wert des Basiswerts/</w:t>
            </w:r>
            <w:r w:rsidR="0069139B">
              <w:t>der Basiswerte beeinflusst wird</w:t>
            </w:r>
            <w:r>
              <w:rPr>
                <w:rStyle w:val="FootnoteReference"/>
              </w:rPr>
              <w:footnoteReference w:id="7"/>
            </w:r>
          </w:p>
        </w:tc>
      </w:tr>
      <w:tr w:rsidTr="00942F00">
        <w:tblPrEx>
          <w:tblW w:w="5000" w:type="pct"/>
          <w:tblLayout w:type="fixed"/>
          <w:tblLook w:val="04A0"/>
        </w:tblPrEx>
        <w:tc>
          <w:tcPr>
            <w:tcW w:w="2534" w:type="pct"/>
            <w:gridSpan w:val="14"/>
            <w:tcBorders>
              <w:right w:val="single" w:sz="4" w:space="0" w:color="auto"/>
            </w:tcBorders>
          </w:tcPr>
          <w:p w:rsidR="00BF6B38" w:rsidRPr="00AB16EC" w:rsidP="00BF6B38">
            <w:pPr>
              <w:pStyle w:val="CSbody0bolditalic"/>
              <w:rPr>
                <w:lang w:val="en-GB"/>
              </w:rPr>
            </w:pPr>
            <w:r w:rsidRPr="00F94B27">
              <w:rPr>
                <w:lang w:val="en-GB"/>
              </w:rPr>
              <w:t>[</w:t>
            </w:r>
            <w:r w:rsidRPr="00AB16EC">
              <w:rPr>
                <w:lang w:val="en-GB"/>
              </w:rPr>
              <w:t xml:space="preserve">in case of Complex Products with Fixed Final Redemption Amount smaller than 100% of the Denomination: </w:t>
            </w:r>
          </w:p>
        </w:tc>
        <w:tc>
          <w:tcPr>
            <w:tcW w:w="2466" w:type="pct"/>
            <w:gridSpan w:val="14"/>
            <w:tcBorders>
              <w:left w:val="single" w:sz="4" w:space="0" w:color="auto"/>
            </w:tcBorders>
          </w:tcPr>
          <w:p w:rsidR="00BF6B38" w:rsidRPr="00BF6B38" w:rsidP="00BF6B38">
            <w:pPr>
              <w:pStyle w:val="CSbody0bolditalic"/>
            </w:pPr>
            <w:r w:rsidRPr="00F94B27">
              <w:t>[</w:t>
            </w:r>
            <w:r w:rsidRPr="00BF6B38">
              <w:t>bei Komplexen Produkten mit Festem Finalen Rückzahlungsbetrag kleiner als 100% der Stückelung:</w:t>
            </w:r>
          </w:p>
        </w:tc>
      </w:tr>
      <w:tr w:rsidTr="00942F00">
        <w:tblPrEx>
          <w:tblW w:w="5000" w:type="pct"/>
          <w:tblLayout w:type="fixed"/>
          <w:tblLook w:val="04A0"/>
        </w:tblPrEx>
        <w:tc>
          <w:tcPr>
            <w:tcW w:w="2534" w:type="pct"/>
            <w:gridSpan w:val="14"/>
            <w:tcBorders>
              <w:right w:val="single" w:sz="4" w:space="0" w:color="auto"/>
            </w:tcBorders>
          </w:tcPr>
          <w:p w:rsidR="00BF6B38" w:rsidRPr="004E04CF" w:rsidP="00BF6B38">
            <w:pPr>
              <w:pStyle w:val="CSBody0"/>
            </w:pPr>
            <w:r w:rsidRPr="004E04CF">
              <w:t>The value of an investment in the Complex Products is dependent upon the amount of the Interest Payment Amount</w:t>
            </w:r>
            <w:r w:rsidRPr="00F94B27" w:rsidR="00F94B27">
              <w:rPr>
                <w:b/>
              </w:rPr>
              <w:t>[</w:t>
            </w:r>
            <w:r w:rsidRPr="004E04CF">
              <w:t>s</w:t>
            </w:r>
            <w:r w:rsidRPr="00F94B27" w:rsidR="00F94B27">
              <w:rPr>
                <w:b/>
              </w:rPr>
              <w:t>]</w:t>
            </w:r>
            <w:r w:rsidRPr="004E04CF">
              <w:t xml:space="preserve"> payable under the Complex Products and the Final Redemption Amount that investors receive on the Final Redemption Date.</w:t>
            </w:r>
            <w:r w:rsidRPr="00F94B27" w:rsidR="00F94B27">
              <w:rPr>
                <w:b/>
              </w:rPr>
              <w:t>]</w:t>
            </w:r>
          </w:p>
        </w:tc>
        <w:tc>
          <w:tcPr>
            <w:tcW w:w="2466" w:type="pct"/>
            <w:gridSpan w:val="14"/>
            <w:tcBorders>
              <w:left w:val="single" w:sz="4" w:space="0" w:color="auto"/>
            </w:tcBorders>
          </w:tcPr>
          <w:p w:rsidR="00BF6B38" w:rsidRPr="00BF6B38" w:rsidP="00BF6B38">
            <w:pPr>
              <w:pStyle w:val="CSBody0"/>
              <w:rPr>
                <w:lang w:val="de-DE"/>
              </w:rPr>
            </w:pPr>
            <w:r w:rsidRPr="00BF6B38">
              <w:rPr>
                <w:lang w:val="de-DE"/>
              </w:rPr>
              <w:t xml:space="preserve">Der Wert einer Anlage in die Komplexen Produkte hängt von der Höhe </w:t>
            </w:r>
            <w:r w:rsidRPr="00F94B27" w:rsidR="00F94B27">
              <w:rPr>
                <w:b/>
                <w:lang w:val="de-DE"/>
              </w:rPr>
              <w:t>[</w:t>
            </w:r>
            <w:r w:rsidRPr="00BF6B38">
              <w:rPr>
                <w:lang w:val="de-DE"/>
              </w:rPr>
              <w:t>des</w:t>
            </w:r>
            <w:r w:rsidRPr="00F94B27" w:rsidR="00F94B27">
              <w:rPr>
                <w:b/>
                <w:lang w:val="de-DE"/>
              </w:rPr>
              <w:t>][</w:t>
            </w:r>
            <w:r w:rsidRPr="00BF6B38">
              <w:rPr>
                <w:lang w:val="de-DE"/>
              </w:rPr>
              <w:t>der</w:t>
            </w:r>
            <w:r w:rsidRPr="00F94B27" w:rsidR="00F94B27">
              <w:rPr>
                <w:b/>
                <w:lang w:val="de-DE"/>
              </w:rPr>
              <w:t>]</w:t>
            </w:r>
            <w:r w:rsidRPr="00BF6B38">
              <w:rPr>
                <w:lang w:val="de-DE"/>
              </w:rPr>
              <w:t xml:space="preserve"> unter den Komplexen Produkten zahlbaren </w:t>
            </w:r>
            <w:r w:rsidRPr="00F94B27" w:rsidR="00F94B27">
              <w:rPr>
                <w:b/>
                <w:lang w:val="de-DE"/>
              </w:rPr>
              <w:t>[</w:t>
            </w:r>
            <w:r w:rsidRPr="00BF6B38">
              <w:rPr>
                <w:lang w:val="de-DE"/>
              </w:rPr>
              <w:t>Zinszahlungsbetrags</w:t>
            </w:r>
            <w:r w:rsidRPr="00F94B27" w:rsidR="00F94B27">
              <w:rPr>
                <w:b/>
                <w:lang w:val="de-DE"/>
              </w:rPr>
              <w:t>][</w:t>
            </w:r>
            <w:r w:rsidRPr="00BF6B38">
              <w:rPr>
                <w:lang w:val="de-DE"/>
              </w:rPr>
              <w:t>Zinszahlungsbeträge</w:t>
            </w:r>
            <w:r w:rsidRPr="00F94B27" w:rsidR="00F94B27">
              <w:rPr>
                <w:b/>
                <w:lang w:val="de-DE"/>
              </w:rPr>
              <w:t>]</w:t>
            </w:r>
            <w:r w:rsidRPr="00BF6B38">
              <w:rPr>
                <w:lang w:val="de-DE"/>
              </w:rPr>
              <w:t xml:space="preserve"> und des Rückzahlungsbetrags, den Anleger am Finalen Rückzahlungstag erhalten, ab.</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BF6B38" w:rsidRPr="00AB16EC" w:rsidP="00BF6B38">
            <w:pPr>
              <w:pStyle w:val="CSbody0bolditalic"/>
              <w:rPr>
                <w:lang w:val="en-GB"/>
              </w:rPr>
            </w:pPr>
            <w:r w:rsidRPr="00F94B27">
              <w:rPr>
                <w:lang w:val="en-GB"/>
              </w:rPr>
              <w:t>[</w:t>
            </w:r>
            <w:r w:rsidRPr="00AB16EC">
              <w:rPr>
                <w:lang w:val="en-GB"/>
              </w:rPr>
              <w:t>in case of Credit-Linked Complex Products with auction settlement:</w:t>
            </w:r>
          </w:p>
        </w:tc>
        <w:tc>
          <w:tcPr>
            <w:tcW w:w="2466" w:type="pct"/>
            <w:gridSpan w:val="14"/>
            <w:tcBorders>
              <w:left w:val="single" w:sz="4" w:space="0" w:color="auto"/>
            </w:tcBorders>
          </w:tcPr>
          <w:p w:rsidR="00BF6B38" w:rsidRPr="00BF6B38" w:rsidP="00BF6B38">
            <w:pPr>
              <w:pStyle w:val="CSbody0bolditalic"/>
            </w:pPr>
            <w:r w:rsidRPr="00F94B27">
              <w:t>[</w:t>
            </w:r>
            <w:r w:rsidRPr="00BF6B38">
              <w:t>bei Kreditbezogenen Komplexen Produkten mit Auktionsabwicklung:</w:t>
            </w:r>
          </w:p>
        </w:tc>
      </w:tr>
      <w:tr w:rsidTr="00942F00">
        <w:tblPrEx>
          <w:tblW w:w="5000" w:type="pct"/>
          <w:tblLayout w:type="fixed"/>
          <w:tblLook w:val="04A0"/>
        </w:tblPrEx>
        <w:tc>
          <w:tcPr>
            <w:tcW w:w="2534" w:type="pct"/>
            <w:gridSpan w:val="14"/>
            <w:tcBorders>
              <w:right w:val="single" w:sz="4" w:space="0" w:color="auto"/>
            </w:tcBorders>
          </w:tcPr>
          <w:p w:rsidR="00BF6B38" w:rsidRPr="00F94201" w:rsidP="00BF6B38">
            <w:pPr>
              <w:pStyle w:val="CSBody0"/>
            </w:pPr>
            <w:r w:rsidRPr="00F94201">
              <w:t xml:space="preserve">The Complex Product is linked to the creditworthiness of the Reference </w:t>
            </w:r>
            <w:r w:rsidRPr="00F94B27" w:rsidR="00F94B27">
              <w:rPr>
                <w:b/>
              </w:rPr>
              <w:t>[</w:t>
            </w:r>
            <w:r w:rsidRPr="00F94201">
              <w:t>Entity</w:t>
            </w:r>
            <w:r w:rsidRPr="00F94B27" w:rsidR="00F94B27">
              <w:rPr>
                <w:b/>
              </w:rPr>
              <w:t>]</w:t>
            </w:r>
            <w:r w:rsidRPr="00F94201">
              <w:t xml:space="preserve"> </w:t>
            </w:r>
            <w:r w:rsidRPr="00F94B27" w:rsidR="00F94B27">
              <w:rPr>
                <w:b/>
              </w:rPr>
              <w:t>[</w:t>
            </w:r>
            <w:r w:rsidRPr="00F94201">
              <w:t>Entities</w:t>
            </w:r>
            <w:r w:rsidRPr="00F94B27" w:rsidR="00F94B27">
              <w:rPr>
                <w:b/>
              </w:rPr>
              <w:t>]</w:t>
            </w:r>
            <w:r w:rsidRPr="00F94201">
              <w:t xml:space="preserve">. By investing in the Complex Product, Holders are exposed to the credit risk relating to the Reference </w:t>
            </w:r>
            <w:r w:rsidRPr="00F94B27" w:rsidR="00F94B27">
              <w:rPr>
                <w:b/>
              </w:rPr>
              <w:t>[</w:t>
            </w:r>
            <w:r w:rsidRPr="00F94201">
              <w:t>Entity</w:t>
            </w:r>
            <w:r w:rsidRPr="00F94B27" w:rsidR="00F94B27">
              <w:rPr>
                <w:b/>
              </w:rPr>
              <w:t>]</w:t>
            </w:r>
            <w:r w:rsidRPr="00F94201">
              <w:t xml:space="preserve"> </w:t>
            </w:r>
            <w:r w:rsidRPr="00F94B27" w:rsidR="00F94B27">
              <w:rPr>
                <w:b/>
              </w:rPr>
              <w:t>[</w:t>
            </w:r>
            <w:r w:rsidRPr="00F94201">
              <w:t>Entities</w:t>
            </w:r>
            <w:r w:rsidRPr="00F94B27" w:rsidR="00F94B27">
              <w:rPr>
                <w:b/>
              </w:rPr>
              <w:t>]</w:t>
            </w:r>
            <w:r w:rsidRPr="00F94201">
              <w:t>. For the assumption of such credit risk, Holders will receive compensation in the form of increased interest payments. As the Complex Product is</w:t>
            </w:r>
            <w:r w:rsidRPr="00BF6B38">
              <w:rPr>
                <w:b/>
              </w:rPr>
              <w:t xml:space="preserve"> not capital protected</w:t>
            </w:r>
            <w:r w:rsidRPr="00F94201">
              <w:t xml:space="preserve"> it is not possible to predict the return of the Complex Product at the time of issuance.</w:t>
            </w:r>
          </w:p>
        </w:tc>
        <w:tc>
          <w:tcPr>
            <w:tcW w:w="2466" w:type="pct"/>
            <w:gridSpan w:val="14"/>
            <w:tcBorders>
              <w:left w:val="single" w:sz="4" w:space="0" w:color="auto"/>
            </w:tcBorders>
          </w:tcPr>
          <w:p w:rsidR="00BF6B38" w:rsidRPr="00BF6B38" w:rsidP="00BF6B38">
            <w:pPr>
              <w:pStyle w:val="CSBody0"/>
              <w:rPr>
                <w:lang w:val="de-DE"/>
              </w:rPr>
            </w:pPr>
            <w:r w:rsidRPr="00BF6B38">
              <w:rPr>
                <w:lang w:val="de-DE"/>
              </w:rPr>
              <w:t xml:space="preserve">Das Komplexe Produkt ist an die Bonität </w:t>
            </w:r>
            <w:r w:rsidRPr="00F94B27" w:rsidR="00F94B27">
              <w:rPr>
                <w:b/>
                <w:lang w:val="de-DE"/>
              </w:rPr>
              <w:t>[</w:t>
            </w:r>
            <w:r w:rsidRPr="00BF6B38">
              <w:rPr>
                <w:lang w:val="de-DE"/>
              </w:rPr>
              <w:t>des Referenzschuldners</w:t>
            </w:r>
            <w:r w:rsidRPr="00F94B27" w:rsidR="00F94B27">
              <w:rPr>
                <w:b/>
                <w:lang w:val="de-DE"/>
              </w:rPr>
              <w:t>]</w:t>
            </w:r>
            <w:r w:rsidRPr="00BF6B38">
              <w:rPr>
                <w:lang w:val="de-DE"/>
              </w:rPr>
              <w:t xml:space="preserve"> </w:t>
            </w:r>
            <w:r w:rsidRPr="00F94B27" w:rsidR="00F94B27">
              <w:rPr>
                <w:b/>
                <w:lang w:val="de-DE"/>
              </w:rPr>
              <w:t>[</w:t>
            </w:r>
            <w:r w:rsidRPr="00BF6B38">
              <w:rPr>
                <w:lang w:val="de-DE"/>
              </w:rPr>
              <w:t>der Referenzschuldner</w:t>
            </w:r>
            <w:r w:rsidRPr="00F94B27" w:rsidR="00F94B27">
              <w:rPr>
                <w:b/>
                <w:lang w:val="de-DE"/>
              </w:rPr>
              <w:t>]</w:t>
            </w:r>
            <w:r w:rsidRPr="00BF6B38">
              <w:rPr>
                <w:lang w:val="de-DE"/>
              </w:rPr>
              <w:t xml:space="preserve"> gebunden. Durch eine Anlage in das Komplexe Produkte sind die Inhaber dem Kreditrisiko </w:t>
            </w:r>
            <w:r w:rsidRPr="00F94B27" w:rsidR="00F94B27">
              <w:rPr>
                <w:b/>
                <w:lang w:val="de-DE"/>
              </w:rPr>
              <w:t>[</w:t>
            </w:r>
            <w:r w:rsidRPr="00BF6B38">
              <w:rPr>
                <w:lang w:val="de-DE"/>
              </w:rPr>
              <w:t>des Referenzschuldners</w:t>
            </w:r>
            <w:r w:rsidRPr="00F94B27" w:rsidR="00F94B27">
              <w:rPr>
                <w:b/>
                <w:lang w:val="de-DE"/>
              </w:rPr>
              <w:t>]</w:t>
            </w:r>
            <w:r w:rsidRPr="00BF6B38">
              <w:rPr>
                <w:lang w:val="de-DE"/>
              </w:rPr>
              <w:t xml:space="preserve"> </w:t>
            </w:r>
            <w:r w:rsidRPr="00F94B27" w:rsidR="00F94B27">
              <w:rPr>
                <w:b/>
                <w:lang w:val="de-DE"/>
              </w:rPr>
              <w:t>[</w:t>
            </w:r>
            <w:r w:rsidRPr="00BF6B38">
              <w:rPr>
                <w:lang w:val="de-DE"/>
              </w:rPr>
              <w:t>der Referenzschuldner</w:t>
            </w:r>
            <w:r w:rsidRPr="00F94B27" w:rsidR="00F94B27">
              <w:rPr>
                <w:b/>
                <w:lang w:val="de-DE"/>
              </w:rPr>
              <w:t>]</w:t>
            </w:r>
            <w:r w:rsidRPr="00BF6B38">
              <w:rPr>
                <w:lang w:val="de-DE"/>
              </w:rPr>
              <w:t xml:space="preserve"> ausgesetzt. Für die Übernahme dieses Kreditrisikos erhalten Inhaber eine Gegenleistung in Form von erhöhten Zinszahlungen. Da das Komplexe Produkt </w:t>
            </w:r>
            <w:r w:rsidRPr="00BF6B38">
              <w:rPr>
                <w:b/>
                <w:lang w:val="de-DE"/>
              </w:rPr>
              <w:t>nicht kapitalgeschützt</w:t>
            </w:r>
            <w:r w:rsidRPr="00BF6B38">
              <w:rPr>
                <w:lang w:val="de-DE"/>
              </w:rPr>
              <w:t xml:space="preserve"> ist, ist es nicht möglich, die Erträge des Komplexen Produkts zum Zeitpunkt seiner Ausgabe vorherzusagen.</w:t>
            </w:r>
          </w:p>
        </w:tc>
      </w:tr>
      <w:tr w:rsidTr="00942F00">
        <w:tblPrEx>
          <w:tblW w:w="5000" w:type="pct"/>
          <w:tblLayout w:type="fixed"/>
          <w:tblLook w:val="04A0"/>
        </w:tblPrEx>
        <w:tc>
          <w:tcPr>
            <w:tcW w:w="2534" w:type="pct"/>
            <w:gridSpan w:val="14"/>
            <w:tcBorders>
              <w:right w:val="single" w:sz="4" w:space="0" w:color="auto"/>
            </w:tcBorders>
          </w:tcPr>
          <w:p w:rsidR="00BF6B38" w:rsidRPr="00F94201" w:rsidP="00BD6E0D">
            <w:pPr>
              <w:pStyle w:val="CSBody0"/>
            </w:pPr>
            <w:r w:rsidRPr="00F94201">
              <w:t xml:space="preserve">The payment of interest on, and the redemption of, such Complex Products is dependent upon whether a Credit Event Determination Date with respect to the Reference </w:t>
            </w:r>
            <w:r w:rsidRPr="00F94B27" w:rsidR="00F94B27">
              <w:rPr>
                <w:b/>
              </w:rPr>
              <w:t>[</w:t>
            </w:r>
            <w:r w:rsidRPr="00F94201">
              <w:t>Entity</w:t>
            </w:r>
            <w:r w:rsidRPr="00F94B27" w:rsidR="00F94B27">
              <w:rPr>
                <w:b/>
              </w:rPr>
              <w:t>][</w:t>
            </w:r>
            <w:r w:rsidRPr="00F94201">
              <w:t>Entities</w:t>
            </w:r>
            <w:r w:rsidRPr="00F94B27" w:rsidR="00F94B27">
              <w:rPr>
                <w:b/>
              </w:rPr>
              <w:t>]</w:t>
            </w:r>
            <w:r w:rsidRPr="00F94201">
              <w:t xml:space="preserve"> has occurred. </w:t>
            </w:r>
            <w:r w:rsidR="002F1DA0">
              <w:rPr>
                <w:b/>
              </w:rPr>
              <w:t>[</w:t>
            </w:r>
            <w:r w:rsidRPr="00F94201">
              <w:t xml:space="preserve">If a Credit Event Determination Date occurs, no further interest payments will be made and the amount at which such Complex Products will be redeemed will be dependent on the value of certain obligations of the Reference </w:t>
            </w:r>
            <w:r w:rsidRPr="00F94B27" w:rsidR="00F94B27">
              <w:rPr>
                <w:b/>
              </w:rPr>
              <w:t>[</w:t>
            </w:r>
            <w:r w:rsidRPr="00F94201">
              <w:t>Entity</w:t>
            </w:r>
            <w:r w:rsidRPr="00F94B27" w:rsidR="00F94B27">
              <w:rPr>
                <w:b/>
              </w:rPr>
              <w:t>][</w:t>
            </w:r>
            <w:r w:rsidRPr="00F94201">
              <w:t>Entities, in respect of which a Credit Event Determination Date has occurred</w:t>
            </w:r>
            <w:r w:rsidRPr="00F94B27" w:rsidR="00F94B27">
              <w:rPr>
                <w:b/>
              </w:rPr>
              <w:t>]</w:t>
            </w:r>
            <w:r w:rsidRPr="00F94201">
              <w:t>.</w:t>
            </w:r>
            <w:r w:rsidR="002F1DA0">
              <w:rPr>
                <w:b/>
              </w:rPr>
              <w:t>]</w:t>
            </w:r>
            <w:r w:rsidRPr="00F94201">
              <w:t xml:space="preserve"> In turn, a Credit Event Determination Date can only be triggered by a Credit Event which may be a Failure to Pay</w:t>
            </w:r>
            <w:r w:rsidRPr="00F94B27" w:rsidR="00F94B27">
              <w:rPr>
                <w:b/>
              </w:rPr>
              <w:t>[</w:t>
            </w:r>
            <w:r w:rsidRPr="00F94201">
              <w:t>,</w:t>
            </w:r>
            <w:r w:rsidRPr="00F94B27" w:rsidR="00F94B27">
              <w:rPr>
                <w:b/>
              </w:rPr>
              <w:t>][</w:t>
            </w:r>
            <w:r w:rsidRPr="00F94201">
              <w:t>or</w:t>
            </w:r>
            <w:r w:rsidRPr="00F94B27" w:rsidR="00F94B27">
              <w:rPr>
                <w:b/>
              </w:rPr>
              <w:t>]</w:t>
            </w:r>
            <w:r w:rsidRPr="00F94201">
              <w:t xml:space="preserve"> </w:t>
            </w:r>
            <w:r w:rsidRPr="00F94B27" w:rsidR="00F94B27">
              <w:rPr>
                <w:b/>
              </w:rPr>
              <w:t>[</w:t>
            </w:r>
            <w:r w:rsidRPr="00F94201">
              <w:t>a Bankruptcy</w:t>
            </w:r>
            <w:r w:rsidRPr="00F94B27" w:rsidR="00F94B27">
              <w:rPr>
                <w:b/>
              </w:rPr>
              <w:t>][</w:t>
            </w:r>
            <w:r w:rsidRPr="00F94201">
              <w:t>,</w:t>
            </w:r>
            <w:r w:rsidRPr="00F94B27" w:rsidR="00F94B27">
              <w:rPr>
                <w:b/>
              </w:rPr>
              <w:t>][</w:t>
            </w:r>
            <w:r w:rsidRPr="00F94201">
              <w:t>or</w:t>
            </w:r>
            <w:r w:rsidRPr="00F94B27" w:rsidR="00F94B27">
              <w:rPr>
                <w:b/>
              </w:rPr>
              <w:t>]</w:t>
            </w:r>
            <w:r w:rsidRPr="00F94201">
              <w:t xml:space="preserve"> </w:t>
            </w:r>
            <w:r w:rsidRPr="00F94B27" w:rsidR="00F94B27">
              <w:rPr>
                <w:b/>
              </w:rPr>
              <w:t>[</w:t>
            </w:r>
            <w:r w:rsidRPr="00F94201">
              <w:t>a Governmental Intervention</w:t>
            </w:r>
            <w:r w:rsidRPr="00F94B27" w:rsidR="00F94B27">
              <w:rPr>
                <w:b/>
              </w:rPr>
              <w:t>][</w:t>
            </w:r>
            <w:r w:rsidRPr="00F94201">
              <w:t>,</w:t>
            </w:r>
            <w:r w:rsidRPr="00F94B27" w:rsidR="00F94B27">
              <w:rPr>
                <w:b/>
              </w:rPr>
              <w:t>][</w:t>
            </w:r>
            <w:r w:rsidRPr="00F94201">
              <w:t>or</w:t>
            </w:r>
            <w:r w:rsidRPr="00F94B27" w:rsidR="00F94B27">
              <w:rPr>
                <w:b/>
              </w:rPr>
              <w:t>]</w:t>
            </w:r>
            <w:r w:rsidRPr="00F94201">
              <w:t xml:space="preserve"> </w:t>
            </w:r>
            <w:r w:rsidRPr="00F94B27" w:rsidR="00F94B27">
              <w:rPr>
                <w:b/>
              </w:rPr>
              <w:t>[</w:t>
            </w:r>
            <w:r w:rsidRPr="00F94201">
              <w:t>an Obligation Acceleration</w:t>
            </w:r>
            <w:r w:rsidRPr="00F94B27" w:rsidR="00F94B27">
              <w:rPr>
                <w:b/>
              </w:rPr>
              <w:t>][</w:t>
            </w:r>
            <w:r w:rsidRPr="00F94201">
              <w:t>,</w:t>
            </w:r>
            <w:r w:rsidRPr="00F94B27" w:rsidR="00F94B27">
              <w:rPr>
                <w:b/>
              </w:rPr>
              <w:t>][</w:t>
            </w:r>
            <w:r w:rsidRPr="00F94201">
              <w:t>or</w:t>
            </w:r>
            <w:r w:rsidRPr="00F94B27" w:rsidR="00F94B27">
              <w:rPr>
                <w:b/>
              </w:rPr>
              <w:t>]</w:t>
            </w:r>
            <w:r w:rsidRPr="00F94201">
              <w:t xml:space="preserve"> </w:t>
            </w:r>
            <w:r w:rsidRPr="00F94B27" w:rsidR="00F94B27">
              <w:rPr>
                <w:b/>
              </w:rPr>
              <w:t>[</w:t>
            </w:r>
            <w:r w:rsidRPr="00F94201">
              <w:t>a Repudiation/ Moratorium</w:t>
            </w:r>
            <w:r w:rsidRPr="00F94B27" w:rsidR="00F94B27">
              <w:rPr>
                <w:b/>
              </w:rPr>
              <w:t>]</w:t>
            </w:r>
            <w:r w:rsidRPr="00F94201">
              <w:t xml:space="preserve"> </w:t>
            </w:r>
            <w:r w:rsidRPr="00F94B27" w:rsidR="00F94B27">
              <w:rPr>
                <w:b/>
              </w:rPr>
              <w:t>[</w:t>
            </w:r>
            <w:r w:rsidRPr="00F94201">
              <w:t>or</w:t>
            </w:r>
            <w:r w:rsidRPr="00F94B27" w:rsidR="00F94B27">
              <w:rPr>
                <w:b/>
              </w:rPr>
              <w:t>]</w:t>
            </w:r>
            <w:r w:rsidRPr="00F94201">
              <w:t xml:space="preserve"> </w:t>
            </w:r>
            <w:r w:rsidRPr="00F94B27" w:rsidR="00F94B27">
              <w:rPr>
                <w:b/>
              </w:rPr>
              <w:t>[</w:t>
            </w:r>
            <w:r w:rsidRPr="00F94201">
              <w:t>a Restructuring</w:t>
            </w:r>
            <w:r w:rsidRPr="00F94B27" w:rsidR="00F94B27">
              <w:rPr>
                <w:b/>
              </w:rPr>
              <w:t>]</w:t>
            </w:r>
            <w:r w:rsidRPr="00F94201">
              <w:t xml:space="preserve">. Investors should note that a Credit Event may occur even if the </w:t>
            </w:r>
            <w:r w:rsidRPr="00F94B27" w:rsidR="00F94B27">
              <w:rPr>
                <w:b/>
              </w:rPr>
              <w:t>[</w:t>
            </w:r>
            <w:r w:rsidRPr="00F94201">
              <w:t>relevant</w:t>
            </w:r>
            <w:r w:rsidRPr="00F94B27" w:rsidR="00F94B27">
              <w:rPr>
                <w:b/>
              </w:rPr>
              <w:t>]</w:t>
            </w:r>
            <w:r w:rsidRPr="00F94201">
              <w:t xml:space="preserve"> Reference Entity has not defaulted on any payment obligation. Further, upon the occurrence of a Credit Event Determination Date investors in such Complex Products, (i)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investors may thus lose all or a substantial portion of their investment. </w:t>
            </w:r>
          </w:p>
        </w:tc>
        <w:tc>
          <w:tcPr>
            <w:tcW w:w="2466" w:type="pct"/>
            <w:gridSpan w:val="14"/>
            <w:tcBorders>
              <w:left w:val="single" w:sz="4" w:space="0" w:color="auto"/>
            </w:tcBorders>
          </w:tcPr>
          <w:p w:rsidR="00BF6B38" w:rsidRPr="00BF6B38">
            <w:pPr>
              <w:pStyle w:val="CSBody0"/>
              <w:rPr>
                <w:lang w:val="de-DE"/>
              </w:rPr>
            </w:pPr>
            <w:r w:rsidRPr="00BF6B38">
              <w:rPr>
                <w:lang w:val="de-DE"/>
              </w:rPr>
              <w:t xml:space="preserve">Die Zahlung von Zinsen auf derartige Komplexe Produkte sowie die Rückzahlung dieser Komplexen Produkte hängen davon ab, ob ein Kreditereignis-Feststellungstag in Bezug auf </w:t>
            </w:r>
            <w:r w:rsidRPr="00F94B27" w:rsidR="00F94B27">
              <w:rPr>
                <w:b/>
                <w:lang w:val="de-DE"/>
              </w:rPr>
              <w:t>[</w:t>
            </w:r>
            <w:r w:rsidRPr="00BF6B38">
              <w:rPr>
                <w:lang w:val="de-DE"/>
              </w:rPr>
              <w:t>den</w:t>
            </w:r>
            <w:r w:rsidRPr="00F94B27" w:rsidR="00F94B27">
              <w:rPr>
                <w:b/>
                <w:lang w:val="de-DE"/>
              </w:rPr>
              <w:t>][</w:t>
            </w:r>
            <w:r w:rsidRPr="00BF6B38">
              <w:rPr>
                <w:lang w:val="de-DE"/>
              </w:rPr>
              <w:t>die</w:t>
            </w:r>
            <w:r w:rsidRPr="00F94B27" w:rsidR="00F94B27">
              <w:rPr>
                <w:b/>
                <w:lang w:val="de-DE"/>
              </w:rPr>
              <w:t>]</w:t>
            </w:r>
            <w:r w:rsidRPr="00BF6B38">
              <w:rPr>
                <w:lang w:val="de-DE"/>
              </w:rPr>
              <w:t xml:space="preserve"> Referenzschuldner eingetreten ist. </w:t>
            </w:r>
            <w:r w:rsidR="002F1DA0">
              <w:rPr>
                <w:b/>
                <w:lang w:val="de-DE"/>
              </w:rPr>
              <w:t>[</w:t>
            </w:r>
            <w:r w:rsidRPr="00BF6B38">
              <w:rPr>
                <w:lang w:val="de-DE"/>
              </w:rPr>
              <w:t xml:space="preserve">Bei Eintritt eines Kreditereignis-Feststellungstags erfolgen keine weiteren Zinszahlungen und der Betrag, zu dem diese Komplexen Produkte zurückgezahlt werden, ist in einem solchen Fall vom Wert bestimmter Verbindlichkeiten </w:t>
            </w:r>
            <w:r w:rsidRPr="00F94B27" w:rsidR="00F94B27">
              <w:rPr>
                <w:b/>
                <w:lang w:val="de-DE"/>
              </w:rPr>
              <w:t>[</w:t>
            </w:r>
            <w:r w:rsidRPr="00BF6B38">
              <w:rPr>
                <w:lang w:val="de-DE"/>
              </w:rPr>
              <w:t>des Referenzschuldners</w:t>
            </w:r>
            <w:r w:rsidRPr="00F94B27" w:rsidR="00F94B27">
              <w:rPr>
                <w:b/>
                <w:lang w:val="de-DE"/>
              </w:rPr>
              <w:t>]</w:t>
            </w:r>
            <w:r w:rsidRPr="00BF6B38">
              <w:rPr>
                <w:lang w:val="de-DE"/>
              </w:rPr>
              <w:t xml:space="preserve"> </w:t>
            </w:r>
            <w:r w:rsidRPr="00F94B27" w:rsidR="00F94B27">
              <w:rPr>
                <w:b/>
                <w:lang w:val="de-DE"/>
              </w:rPr>
              <w:t>[</w:t>
            </w:r>
            <w:r w:rsidRPr="00BF6B38">
              <w:rPr>
                <w:lang w:val="de-DE"/>
              </w:rPr>
              <w:t>des bzw. der Referenzschuldner abhängig, in Bezug auf die ein Kreditereignis-Feststellungstag eingetreten ist,</w:t>
            </w:r>
            <w:r w:rsidRPr="00F94B27" w:rsidR="00F94B27">
              <w:rPr>
                <w:b/>
                <w:lang w:val="de-DE"/>
              </w:rPr>
              <w:t>]</w:t>
            </w:r>
            <w:r w:rsidRPr="00BF6B38">
              <w:rPr>
                <w:lang w:val="de-DE"/>
              </w:rPr>
              <w:t xml:space="preserve"> abhängig.</w:t>
            </w:r>
            <w:r w:rsidR="002F1DA0">
              <w:rPr>
                <w:b/>
                <w:lang w:val="de-DE"/>
              </w:rPr>
              <w:t>]</w:t>
            </w:r>
            <w:r w:rsidRPr="00BF6B38">
              <w:rPr>
                <w:lang w:val="de-DE"/>
              </w:rPr>
              <w:t xml:space="preserve"> Ein Kreditereignis-Feststellungstag wiederum kann nur durch ein Kreditereignis ausgelöst werden; dabei kann es sich um eine Nichtzahlung </w:t>
            </w:r>
            <w:r w:rsidRPr="00F94B27" w:rsidR="00F94B27">
              <w:rPr>
                <w:b/>
                <w:lang w:val="de-DE"/>
              </w:rPr>
              <w:t>[</w:t>
            </w:r>
            <w:r w:rsidRPr="00BF6B38">
              <w:rPr>
                <w:lang w:val="de-DE"/>
              </w:rPr>
              <w:t>,</w:t>
            </w:r>
            <w:r w:rsidRPr="00F94B27" w:rsidR="00F94B27">
              <w:rPr>
                <w:b/>
                <w:lang w:val="de-DE"/>
              </w:rPr>
              <w:t>][</w:t>
            </w:r>
            <w:r w:rsidRPr="00BF6B38">
              <w:rPr>
                <w:lang w:val="de-DE"/>
              </w:rPr>
              <w:t>oder</w:t>
            </w:r>
            <w:r w:rsidRPr="00F94B27" w:rsidR="00F94B27">
              <w:rPr>
                <w:b/>
                <w:lang w:val="de-DE"/>
              </w:rPr>
              <w:t>]</w:t>
            </w:r>
            <w:r w:rsidRPr="00BF6B38">
              <w:rPr>
                <w:lang w:val="de-DE"/>
              </w:rPr>
              <w:t xml:space="preserve"> </w:t>
            </w:r>
            <w:r w:rsidRPr="00F94B27" w:rsidR="00F94B27">
              <w:rPr>
                <w:b/>
                <w:lang w:val="de-DE"/>
              </w:rPr>
              <w:t>[</w:t>
            </w:r>
            <w:r w:rsidRPr="00BF6B38">
              <w:rPr>
                <w:lang w:val="de-DE"/>
              </w:rPr>
              <w:t>eine Insolvenz</w:t>
            </w:r>
            <w:r w:rsidRPr="00F94B27" w:rsidR="00F94B27">
              <w:rPr>
                <w:b/>
                <w:lang w:val="de-DE"/>
              </w:rPr>
              <w:t>][</w:t>
            </w:r>
            <w:r w:rsidRPr="00BF6B38">
              <w:rPr>
                <w:lang w:val="de-DE"/>
              </w:rPr>
              <w:t>,</w:t>
            </w:r>
            <w:r w:rsidRPr="00F94B27" w:rsidR="00F94B27">
              <w:rPr>
                <w:b/>
                <w:lang w:val="de-DE"/>
              </w:rPr>
              <w:t>][</w:t>
            </w:r>
            <w:r w:rsidRPr="00BF6B38">
              <w:rPr>
                <w:lang w:val="de-DE"/>
              </w:rPr>
              <w:t>oder</w:t>
            </w:r>
            <w:r w:rsidRPr="00F94B27" w:rsidR="00F94B27">
              <w:rPr>
                <w:b/>
                <w:lang w:val="de-DE"/>
              </w:rPr>
              <w:t>]</w:t>
            </w:r>
            <w:r w:rsidRPr="00BF6B38">
              <w:rPr>
                <w:lang w:val="de-DE"/>
              </w:rPr>
              <w:t xml:space="preserve"> </w:t>
            </w:r>
            <w:r w:rsidRPr="00F94B27" w:rsidR="00F94B27">
              <w:rPr>
                <w:b/>
                <w:lang w:val="de-DE"/>
              </w:rPr>
              <w:t>[</w:t>
            </w:r>
            <w:r w:rsidRPr="00BF6B38">
              <w:rPr>
                <w:lang w:val="de-DE"/>
              </w:rPr>
              <w:t>eine Staatliche Intervention</w:t>
            </w:r>
            <w:r w:rsidRPr="00F94B27" w:rsidR="00F94B27">
              <w:rPr>
                <w:b/>
                <w:lang w:val="de-DE"/>
              </w:rPr>
              <w:t>][</w:t>
            </w:r>
            <w:r w:rsidRPr="00BF6B38">
              <w:rPr>
                <w:lang w:val="de-DE"/>
              </w:rPr>
              <w:t>,</w:t>
            </w:r>
            <w:r w:rsidRPr="00F94B27" w:rsidR="00F94B27">
              <w:rPr>
                <w:b/>
                <w:lang w:val="de-DE"/>
              </w:rPr>
              <w:t>][</w:t>
            </w:r>
            <w:r w:rsidRPr="00BF6B38">
              <w:rPr>
                <w:lang w:val="de-DE"/>
              </w:rPr>
              <w:t>oder</w:t>
            </w:r>
            <w:r w:rsidRPr="00F94B27" w:rsidR="00F94B27">
              <w:rPr>
                <w:b/>
                <w:lang w:val="de-DE"/>
              </w:rPr>
              <w:t>]</w:t>
            </w:r>
            <w:r w:rsidRPr="00BF6B38">
              <w:rPr>
                <w:lang w:val="de-DE"/>
              </w:rPr>
              <w:t xml:space="preserve"> </w:t>
            </w:r>
            <w:r w:rsidRPr="00F94B27" w:rsidR="00F94B27">
              <w:rPr>
                <w:b/>
                <w:lang w:val="de-DE"/>
              </w:rPr>
              <w:t>[</w:t>
            </w:r>
            <w:r w:rsidRPr="00BF6B38">
              <w:rPr>
                <w:lang w:val="de-DE"/>
              </w:rPr>
              <w:t>eine Vorfälligkeit einer Verbindlichkeit</w:t>
            </w:r>
            <w:r w:rsidRPr="00F94B27" w:rsidR="00F94B27">
              <w:rPr>
                <w:b/>
                <w:lang w:val="de-DE"/>
              </w:rPr>
              <w:t>][</w:t>
            </w:r>
            <w:r w:rsidRPr="00BF6B38">
              <w:rPr>
                <w:lang w:val="de-DE"/>
              </w:rPr>
              <w:t>,</w:t>
            </w:r>
            <w:r w:rsidRPr="00F94B27" w:rsidR="00F94B27">
              <w:rPr>
                <w:b/>
                <w:lang w:val="de-DE"/>
              </w:rPr>
              <w:t>][</w:t>
            </w:r>
            <w:r w:rsidRPr="00BF6B38">
              <w:rPr>
                <w:lang w:val="de-DE"/>
              </w:rPr>
              <w:t>oder</w:t>
            </w:r>
            <w:r w:rsidRPr="00F94B27" w:rsidR="00F94B27">
              <w:rPr>
                <w:b/>
                <w:lang w:val="de-DE"/>
              </w:rPr>
              <w:t>]</w:t>
            </w:r>
            <w:r w:rsidRPr="00BF6B38">
              <w:rPr>
                <w:lang w:val="de-DE"/>
              </w:rPr>
              <w:t xml:space="preserve"> </w:t>
            </w:r>
            <w:r w:rsidRPr="00F94B27" w:rsidR="00F94B27">
              <w:rPr>
                <w:b/>
                <w:lang w:val="de-DE"/>
              </w:rPr>
              <w:t>[</w:t>
            </w:r>
            <w:r w:rsidRPr="00BF6B38">
              <w:rPr>
                <w:lang w:val="de-DE"/>
              </w:rPr>
              <w:t>eine Nichtanerkennung/ein Moratorium</w:t>
            </w:r>
            <w:r w:rsidRPr="00F94B27" w:rsidR="00F94B27">
              <w:rPr>
                <w:b/>
                <w:lang w:val="de-DE"/>
              </w:rPr>
              <w:t>]</w:t>
            </w:r>
            <w:r w:rsidRPr="00BF6B38">
              <w:rPr>
                <w:lang w:val="de-DE"/>
              </w:rPr>
              <w:t xml:space="preserve"> </w:t>
            </w:r>
            <w:r w:rsidRPr="00F94B27" w:rsidR="00F94B27">
              <w:rPr>
                <w:b/>
                <w:lang w:val="de-DE"/>
              </w:rPr>
              <w:t>[</w:t>
            </w:r>
            <w:r w:rsidRPr="00BF6B38">
              <w:rPr>
                <w:lang w:val="de-DE"/>
              </w:rPr>
              <w:t>oder</w:t>
            </w:r>
            <w:r w:rsidRPr="00F94B27" w:rsidR="00F94B27">
              <w:rPr>
                <w:b/>
                <w:lang w:val="de-DE"/>
              </w:rPr>
              <w:t>]</w:t>
            </w:r>
            <w:r w:rsidRPr="00BF6B38">
              <w:rPr>
                <w:lang w:val="de-DE"/>
              </w:rPr>
              <w:t xml:space="preserve"> </w:t>
            </w:r>
            <w:r w:rsidRPr="00F94B27" w:rsidR="00F94B27">
              <w:rPr>
                <w:b/>
                <w:lang w:val="de-DE"/>
              </w:rPr>
              <w:t>[</w:t>
            </w:r>
            <w:r w:rsidRPr="00BF6B38">
              <w:rPr>
                <w:lang w:val="de-DE"/>
              </w:rPr>
              <w:t>um eine Restrukturierung</w:t>
            </w:r>
            <w:r w:rsidRPr="00F94B27" w:rsidR="00F94B27">
              <w:rPr>
                <w:b/>
                <w:lang w:val="de-DE"/>
              </w:rPr>
              <w:t>]</w:t>
            </w:r>
            <w:r w:rsidRPr="00BF6B38">
              <w:rPr>
                <w:lang w:val="de-DE"/>
              </w:rPr>
              <w:t xml:space="preserve"> handeln. Anleger sollten sich darüber im Klaren sein, dass ein Kreditereignis selbst dann eintreten kann, wenn sich der </w:t>
            </w:r>
            <w:r w:rsidRPr="00F94B27" w:rsidR="00F94B27">
              <w:rPr>
                <w:b/>
                <w:lang w:val="de-DE"/>
              </w:rPr>
              <w:t>[</w:t>
            </w:r>
            <w:r w:rsidRPr="00BF6B38">
              <w:rPr>
                <w:lang w:val="de-DE"/>
              </w:rPr>
              <w:t>betreffende</w:t>
            </w:r>
            <w:r w:rsidRPr="00F94B27" w:rsidR="00F94B27">
              <w:rPr>
                <w:b/>
                <w:lang w:val="de-DE"/>
              </w:rPr>
              <w:t>]</w:t>
            </w:r>
            <w:r w:rsidRPr="00BF6B38">
              <w:rPr>
                <w:lang w:val="de-DE"/>
              </w:rPr>
              <w:t xml:space="preserve"> Referenzschuldner mit seinen Zahlungsverpflichtungen nicht in Verzug befindet. Darüber hinaus gilt bei Eintritt eines Kreditereignis-Feststellungstags: Anleger in die betreffenden Komplexen Produkte (i) erhalten unter Umständen nur der Höhe nach begrenzte oder gar keine Zinszahlungen auf diese Komplexen Produkte, (ii) die Zahlung des Rückzahlungsbetrags oder der Zinsen kann zu einem anderen Termin als erwartet erfolgen und (iii) der Rückzahlungsbetrag kann erheblich unter dem anfänglichen Nennbetrag der Komplexen Produkte liegen und Investoren können daher einen Totalverlust ihres eingesetzten Kapitals erleiden oder einen erheblichen Teil dieses Kapitals verlieren. </w:t>
            </w:r>
          </w:p>
        </w:tc>
      </w:tr>
      <w:tr w:rsidTr="00942F00">
        <w:tblPrEx>
          <w:tblW w:w="5000" w:type="pct"/>
          <w:tblLayout w:type="fixed"/>
          <w:tblLook w:val="04A0"/>
        </w:tblPrEx>
        <w:tc>
          <w:tcPr>
            <w:tcW w:w="2534" w:type="pct"/>
            <w:gridSpan w:val="14"/>
            <w:tcBorders>
              <w:right w:val="single" w:sz="4" w:space="0" w:color="auto"/>
            </w:tcBorders>
          </w:tcPr>
          <w:p w:rsidR="00BF6B38" w:rsidRPr="00C06A33" w:rsidP="00BF6B38">
            <w:pPr>
              <w:pStyle w:val="CSBody0"/>
            </w:pPr>
            <w:r w:rsidRPr="00C06A33">
              <w:t xml:space="preserve">The likelihood of the occurrence of a Credit Event Determination Date with respect to </w:t>
            </w:r>
            <w:r w:rsidRPr="00F94B27" w:rsidR="00F94B27">
              <w:rPr>
                <w:b/>
              </w:rPr>
              <w:t>[</w:t>
            </w:r>
            <w:r w:rsidRPr="00C06A33">
              <w:t>the</w:t>
            </w:r>
            <w:r w:rsidRPr="00F94B27" w:rsidR="00F94B27">
              <w:rPr>
                <w:b/>
              </w:rPr>
              <w:t>][</w:t>
            </w:r>
            <w:r w:rsidRPr="00C06A33">
              <w:t>a</w:t>
            </w:r>
            <w:r w:rsidRPr="00F94B27" w:rsidR="00F94B27">
              <w:rPr>
                <w:b/>
              </w:rPr>
              <w:t>]</w:t>
            </w:r>
            <w:r w:rsidRPr="00C06A33">
              <w:t xml:space="preserve"> Reference Entity will generally fluctuate with, among other things, the financial condition and other characteristics of </w:t>
            </w:r>
            <w:r w:rsidRPr="00F94B27" w:rsidR="00F94B27">
              <w:rPr>
                <w:b/>
              </w:rPr>
              <w:t>[</w:t>
            </w:r>
            <w:r w:rsidRPr="00C06A33">
              <w:t>the</w:t>
            </w:r>
            <w:r w:rsidRPr="00F94B27" w:rsidR="00F94B27">
              <w:rPr>
                <w:b/>
              </w:rPr>
              <w:t>][</w:t>
            </w:r>
            <w:r w:rsidRPr="00C06A33">
              <w:t>such</w:t>
            </w:r>
            <w:r w:rsidRPr="00F94B27" w:rsidR="00F94B27">
              <w:rPr>
                <w:b/>
              </w:rPr>
              <w:t>]</w:t>
            </w:r>
            <w:r w:rsidRPr="00C06A33">
              <w:t xml:space="preserve"> Reference Entity, general economic conditions, the condition of certain financial markets, political events, developments or trends in any particular industry and changes in prevailing interest rates. Actions of the </w:t>
            </w:r>
            <w:r w:rsidRPr="00F94B27" w:rsidR="00F94B27">
              <w:rPr>
                <w:b/>
              </w:rPr>
              <w:t>[</w:t>
            </w:r>
            <w:r w:rsidRPr="00C06A33">
              <w:t>Reference Entity</w:t>
            </w:r>
            <w:r w:rsidRPr="00F94B27" w:rsidR="00F94B27">
              <w:rPr>
                <w:b/>
              </w:rPr>
              <w:t>][</w:t>
            </w:r>
            <w:r w:rsidRPr="00C06A33">
              <w:t>Entities</w:t>
            </w:r>
            <w:r w:rsidRPr="00F94B27" w:rsidR="00F94B27">
              <w:rPr>
                <w:b/>
              </w:rPr>
              <w:t>]</w:t>
            </w:r>
            <w:r w:rsidRPr="00C06A33">
              <w:t xml:space="preserve"> (for example, merger or demerger or the repayment or transfer of indebtedness) may adversely affect the value of the Complex Product. Furthermore, the </w:t>
            </w:r>
            <w:r w:rsidRPr="00F94B27" w:rsidR="00F94B27">
              <w:rPr>
                <w:b/>
              </w:rPr>
              <w:t>[</w:t>
            </w:r>
            <w:r w:rsidRPr="00C06A33">
              <w:t>Reference Entity</w:t>
            </w:r>
            <w:r w:rsidRPr="00F94B27" w:rsidR="00F94B27">
              <w:rPr>
                <w:b/>
              </w:rPr>
              <w:t>][</w:t>
            </w:r>
            <w:r w:rsidRPr="00C06A33">
              <w:t>Reference Entities</w:t>
            </w:r>
            <w:r w:rsidRPr="00F94B27" w:rsidR="00F94B27">
              <w:rPr>
                <w:b/>
              </w:rPr>
              <w:t>]</w:t>
            </w:r>
            <w:r w:rsidRPr="00C06A33">
              <w:t xml:space="preserve"> to which the Complex Product is linked, and the terms of such linkage, may change over the term of such Complex Products.</w:t>
            </w:r>
          </w:p>
        </w:tc>
        <w:tc>
          <w:tcPr>
            <w:tcW w:w="2466" w:type="pct"/>
            <w:gridSpan w:val="14"/>
            <w:tcBorders>
              <w:left w:val="single" w:sz="4" w:space="0" w:color="auto"/>
            </w:tcBorders>
          </w:tcPr>
          <w:p w:rsidR="00BF6B38" w:rsidRPr="00BF6B38" w:rsidP="00474C21">
            <w:pPr>
              <w:pStyle w:val="CSBody0"/>
              <w:rPr>
                <w:lang w:val="de-DE"/>
              </w:rPr>
            </w:pPr>
            <w:r w:rsidRPr="00BF6B38">
              <w:rPr>
                <w:lang w:val="de-DE"/>
              </w:rPr>
              <w:t xml:space="preserve">Die Wahrscheinlichkeit, dass in Bezug auf </w:t>
            </w:r>
            <w:r w:rsidRPr="00F94B27" w:rsidR="00F94B27">
              <w:rPr>
                <w:b/>
                <w:lang w:val="de-DE"/>
              </w:rPr>
              <w:t>[</w:t>
            </w:r>
            <w:r w:rsidRPr="00BF6B38">
              <w:rPr>
                <w:lang w:val="de-DE"/>
              </w:rPr>
              <w:t>den</w:t>
            </w:r>
            <w:r w:rsidRPr="00F94B27" w:rsidR="00F94B27">
              <w:rPr>
                <w:b/>
                <w:lang w:val="de-DE"/>
              </w:rPr>
              <w:t>]</w:t>
            </w:r>
            <w:r w:rsidRPr="00BF6B38">
              <w:rPr>
                <w:lang w:val="de-DE"/>
              </w:rPr>
              <w:t xml:space="preserve"> </w:t>
            </w:r>
            <w:r w:rsidRPr="00F94B27" w:rsidR="00F94B27">
              <w:rPr>
                <w:b/>
                <w:lang w:val="de-DE"/>
              </w:rPr>
              <w:t>[</w:t>
            </w:r>
            <w:r w:rsidRPr="00BF6B38">
              <w:rPr>
                <w:lang w:val="de-DE"/>
              </w:rPr>
              <w:t>einen</w:t>
            </w:r>
            <w:r w:rsidRPr="00F94B27" w:rsidR="00F94B27">
              <w:rPr>
                <w:b/>
                <w:lang w:val="de-DE"/>
              </w:rPr>
              <w:t>]</w:t>
            </w:r>
            <w:r w:rsidRPr="00BF6B38">
              <w:rPr>
                <w:lang w:val="de-DE"/>
              </w:rPr>
              <w:t xml:space="preserve"> Referenzschuldner ein Kreditereignis-Feststellungstag eintritt, variiert in der Regel aufgrund der Finanzlage und anderer Kenndaten des </w:t>
            </w:r>
            <w:r w:rsidRPr="00F94B27" w:rsidR="00F94B27">
              <w:rPr>
                <w:b/>
                <w:lang w:val="de-DE"/>
              </w:rPr>
              <w:t>[</w:t>
            </w:r>
            <w:r w:rsidRPr="00BF6B38">
              <w:rPr>
                <w:lang w:val="de-DE"/>
              </w:rPr>
              <w:t>betreffenden</w:t>
            </w:r>
            <w:r w:rsidRPr="00F94B27" w:rsidR="00F94B27">
              <w:rPr>
                <w:b/>
                <w:lang w:val="de-DE"/>
              </w:rPr>
              <w:t>]</w:t>
            </w:r>
            <w:r w:rsidRPr="00BF6B38">
              <w:rPr>
                <w:lang w:val="de-DE"/>
              </w:rPr>
              <w:t xml:space="preserve"> Referenzschuldners, der allgemeinen Konjunktur, der Lage an bestimmten Finanzmärkten sowie aufgrund von politischen Ereignissen, Entwicklungen oder Tendenzen in bestimmten Branchen, Änderungen der geltenden Zinssätze und weiteren Faktoren. Massnahmen </w:t>
            </w:r>
            <w:r w:rsidRPr="00F94B27" w:rsidR="00F94B27">
              <w:rPr>
                <w:b/>
                <w:lang w:val="de-DE"/>
              </w:rPr>
              <w:t>[</w:t>
            </w:r>
            <w:r w:rsidRPr="00BF6B38">
              <w:rPr>
                <w:lang w:val="de-DE"/>
              </w:rPr>
              <w:t>des Referenzschuldners</w:t>
            </w:r>
            <w:r w:rsidRPr="00F94B27" w:rsidR="00F94B27">
              <w:rPr>
                <w:b/>
                <w:lang w:val="de-DE"/>
              </w:rPr>
              <w:t>]</w:t>
            </w:r>
            <w:r w:rsidRPr="00BF6B38">
              <w:rPr>
                <w:lang w:val="de-DE"/>
              </w:rPr>
              <w:t xml:space="preserve"> </w:t>
            </w:r>
            <w:r w:rsidRPr="00F94B27" w:rsidR="00F94B27">
              <w:rPr>
                <w:b/>
                <w:lang w:val="de-DE"/>
              </w:rPr>
              <w:t>[</w:t>
            </w:r>
            <w:r w:rsidRPr="00BF6B38">
              <w:rPr>
                <w:lang w:val="de-DE"/>
              </w:rPr>
              <w:t>der Referenzschuldner</w:t>
            </w:r>
            <w:r w:rsidRPr="00F94B27" w:rsidR="00F94B27">
              <w:rPr>
                <w:b/>
                <w:lang w:val="de-DE"/>
              </w:rPr>
              <w:t>]</w:t>
            </w:r>
            <w:r w:rsidRPr="00BF6B38">
              <w:rPr>
                <w:lang w:val="de-DE"/>
              </w:rPr>
              <w:t xml:space="preserve"> (wie beispielsweise ein Zusammenschluss oder eine Abspaltung oder die Rückzahlung oder Übertragung von Verbindlichkeiten) können sich nachteilig auf den Wert des Komplexen Produkts auswirken. Darüber hinaus können sich </w:t>
            </w:r>
            <w:r w:rsidRPr="00F94B27" w:rsidR="00F94B27">
              <w:rPr>
                <w:b/>
                <w:lang w:val="de-DE"/>
              </w:rPr>
              <w:t>[</w:t>
            </w:r>
            <w:r w:rsidRPr="00BF6B38">
              <w:rPr>
                <w:lang w:val="de-DE"/>
              </w:rPr>
              <w:t>der</w:t>
            </w:r>
            <w:r w:rsidRPr="00F94B27" w:rsidR="00F94B27">
              <w:rPr>
                <w:b/>
                <w:lang w:val="de-DE"/>
              </w:rPr>
              <w:t>][</w:t>
            </w:r>
            <w:r w:rsidRPr="00BF6B38">
              <w:rPr>
                <w:lang w:val="de-DE"/>
              </w:rPr>
              <w:t>die</w:t>
            </w:r>
            <w:r w:rsidRPr="00F94B27" w:rsidR="00F94B27">
              <w:rPr>
                <w:b/>
                <w:lang w:val="de-DE"/>
              </w:rPr>
              <w:t>]</w:t>
            </w:r>
            <w:r w:rsidRPr="00BF6B38">
              <w:rPr>
                <w:lang w:val="de-DE"/>
              </w:rPr>
              <w:t xml:space="preserve"> Referenzschuldner, auf </w:t>
            </w:r>
            <w:r w:rsidRPr="00F94B27" w:rsidR="00F94B27">
              <w:rPr>
                <w:b/>
                <w:lang w:val="de-DE"/>
              </w:rPr>
              <w:t>[</w:t>
            </w:r>
            <w:r w:rsidRPr="00BF6B38">
              <w:rPr>
                <w:lang w:val="de-DE"/>
              </w:rPr>
              <w:t>den</w:t>
            </w:r>
            <w:r w:rsidRPr="00F94B27" w:rsidR="00F94B27">
              <w:rPr>
                <w:b/>
                <w:lang w:val="de-DE"/>
              </w:rPr>
              <w:t>][</w:t>
            </w:r>
            <w:r w:rsidRPr="00BF6B38">
              <w:rPr>
                <w:lang w:val="de-DE"/>
              </w:rPr>
              <w:t>die</w:t>
            </w:r>
            <w:r w:rsidRPr="00F94B27" w:rsidR="00F94B27">
              <w:rPr>
                <w:b/>
                <w:lang w:val="de-DE"/>
              </w:rPr>
              <w:t>]</w:t>
            </w:r>
            <w:r w:rsidRPr="00BF6B38">
              <w:rPr>
                <w:lang w:val="de-DE"/>
              </w:rPr>
              <w:t xml:space="preserve"> dieses Komplexen Produkt bezogen ist, und die Bedingungen dieser Beziehung während der Laufzeit dieser Komplexen Produkte ändern.</w:t>
            </w:r>
          </w:p>
        </w:tc>
      </w:tr>
      <w:tr w:rsidTr="00942F00">
        <w:tblPrEx>
          <w:tblW w:w="5000" w:type="pct"/>
          <w:tblLayout w:type="fixed"/>
          <w:tblLook w:val="04A0"/>
        </w:tblPrEx>
        <w:tc>
          <w:tcPr>
            <w:tcW w:w="2534" w:type="pct"/>
            <w:gridSpan w:val="14"/>
            <w:tcBorders>
              <w:right w:val="single" w:sz="4" w:space="0" w:color="auto"/>
            </w:tcBorders>
          </w:tcPr>
          <w:p w:rsidR="00BF6B38" w:rsidRPr="00AB16EC" w:rsidP="00BF6B38">
            <w:pPr>
              <w:pStyle w:val="CSbody0bolditalic"/>
              <w:rPr>
                <w:lang w:val="en-GB"/>
              </w:rPr>
            </w:pPr>
            <w:r w:rsidRPr="00F94B27">
              <w:rPr>
                <w:lang w:val="en-GB"/>
              </w:rPr>
              <w:t>[</w:t>
            </w:r>
            <w:r w:rsidRPr="00AB16EC">
              <w:rPr>
                <w:lang w:val="en-GB"/>
              </w:rPr>
              <w:t>in case of a Credit-Linked Complex Product with auction settlement that is linked to a single Reference Entity:</w:t>
            </w:r>
          </w:p>
        </w:tc>
        <w:tc>
          <w:tcPr>
            <w:tcW w:w="2466" w:type="pct"/>
            <w:gridSpan w:val="14"/>
            <w:tcBorders>
              <w:left w:val="single" w:sz="4" w:space="0" w:color="auto"/>
            </w:tcBorders>
          </w:tcPr>
          <w:p w:rsidR="00BF6B38" w:rsidRPr="00BF6B38" w:rsidP="00BF6B38">
            <w:pPr>
              <w:pStyle w:val="CSbody0bolditalic"/>
            </w:pPr>
            <w:r w:rsidRPr="00F94B27">
              <w:t>[</w:t>
            </w:r>
            <w:r w:rsidRPr="00BF6B38">
              <w:t>bei einem Kreditbezogenen Komplexen Produkt mit Auktionsabwicklung, das an einen einzelnen Referenzschuldner gekoppelt ist:</w:t>
            </w:r>
          </w:p>
        </w:tc>
      </w:tr>
      <w:tr w:rsidTr="00942F00">
        <w:tblPrEx>
          <w:tblW w:w="5000" w:type="pct"/>
          <w:tblLayout w:type="fixed"/>
          <w:tblLook w:val="04A0"/>
        </w:tblPrEx>
        <w:tc>
          <w:tcPr>
            <w:tcW w:w="2534" w:type="pct"/>
            <w:gridSpan w:val="14"/>
            <w:tcBorders>
              <w:right w:val="single" w:sz="4" w:space="0" w:color="auto"/>
            </w:tcBorders>
          </w:tcPr>
          <w:p w:rsidR="00BF6B38" w:rsidRPr="00C06A33" w:rsidP="00474C21">
            <w:pPr>
              <w:pStyle w:val="CSBody0"/>
            </w:pPr>
            <w:r w:rsidRPr="00C06A33">
              <w:t xml:space="preserve">As the Complex Product is linked to a single Reference Entity, if </w:t>
            </w:r>
            <w:r w:rsidRPr="00BF6B38">
              <w:rPr>
                <w:b/>
              </w:rPr>
              <w:t>no Credit Event Determination Date has occurred</w:t>
            </w:r>
            <w:r w:rsidRPr="00C06A33">
              <w:t xml:space="preserve"> with respect to such Reference Entity on or prior to the Scheduled Maturity Date, the Complex Product allows the Holder thereof to benefit from the payment of the </w:t>
            </w:r>
            <w:r w:rsidRPr="00F94B27" w:rsidR="00F94B27">
              <w:rPr>
                <w:b/>
              </w:rPr>
              <w:t>[</w:t>
            </w:r>
            <w:r w:rsidRPr="00C06A33">
              <w:t>relevant</w:t>
            </w:r>
            <w:r w:rsidRPr="00F94B27" w:rsidR="00F94B27">
              <w:rPr>
                <w:b/>
              </w:rPr>
              <w:t>]</w:t>
            </w:r>
            <w:r w:rsidRPr="00C06A33">
              <w:t xml:space="preserve"> Interest Payment Amount on </w:t>
            </w:r>
            <w:r w:rsidRPr="00F94B27" w:rsidR="00F94B27">
              <w:rPr>
                <w:b/>
              </w:rPr>
              <w:t>[</w:t>
            </w:r>
            <w:r w:rsidRPr="00C06A33">
              <w:t>the</w:t>
            </w:r>
            <w:r w:rsidRPr="00F94B27" w:rsidR="00F94B27">
              <w:rPr>
                <w:b/>
              </w:rPr>
              <w:t>]</w:t>
            </w:r>
            <w:r w:rsidRPr="00C06A33">
              <w:t xml:space="preserve"> </w:t>
            </w:r>
            <w:r w:rsidRPr="00F94B27" w:rsidR="00F94B27">
              <w:rPr>
                <w:b/>
              </w:rPr>
              <w:t>[</w:t>
            </w:r>
            <w:r w:rsidRPr="00C06A33">
              <w:t>each</w:t>
            </w:r>
            <w:r w:rsidRPr="00F94B27" w:rsidR="00F94B27">
              <w:rPr>
                <w:b/>
              </w:rPr>
              <w:t>]</w:t>
            </w:r>
            <w:r w:rsidRPr="00C06A33">
              <w:t xml:space="preserve"> Interest Payment Date and the Issuer will redeem the Complex Product at the Scheduled Redemption Amount on the Scheduled Maturity Date. However, even if no Credit Event Determination Date has occurred on or prior to the Scheduled Maturity Date, if a Potential Credit Event Period with respect to the Reference Entity has occurred on or prior to, and is continuing on, the Scheduled Maturity Date, the Scheduled Maturity Date (and any payments of principal and interest in respect of such Complex Product otherwise scheduled to be made on such date) will be postponed to the </w:t>
            </w:r>
            <w:r w:rsidRPr="00F94B27" w:rsidR="00F94B27">
              <w:rPr>
                <w:b/>
              </w:rPr>
              <w:t>[</w:t>
            </w:r>
            <w:r w:rsidRPr="00C06A33">
              <w:t>fifth</w:t>
            </w:r>
            <w:r w:rsidRPr="00F94B27" w:rsidR="00F94B27">
              <w:rPr>
                <w:b/>
              </w:rPr>
              <w:t>][</w:t>
            </w:r>
            <w:r w:rsidR="003857E8">
              <w:rPr>
                <w:rFonts w:ascii="Arial" w:hAnsi="Arial" w:cs="Arial"/>
              </w:rPr>
              <w:t>●</w:t>
            </w:r>
            <w:r w:rsidRPr="00F94B27" w:rsidR="00F94B27">
              <w:rPr>
                <w:b/>
              </w:rPr>
              <w:t>]</w:t>
            </w:r>
            <w:r w:rsidRPr="00C06A33">
              <w:t xml:space="preserve"> Business Day following the last day of such Potential Credit Event Period. However, in such case any principal and interest on the Complex Products will only be paid if during such Potential Credit Event Period the relevant Potential Failure to Pay </w:t>
            </w:r>
            <w:r w:rsidRPr="00F94B27" w:rsidR="00F94B27">
              <w:rPr>
                <w:b/>
              </w:rPr>
              <w:t>[</w:t>
            </w:r>
            <w:r w:rsidRPr="00C06A33">
              <w:t>, Potential Repudiation/Moratorium</w:t>
            </w:r>
            <w:r w:rsidRPr="00F94B27" w:rsidR="00F94B27">
              <w:rPr>
                <w:b/>
              </w:rPr>
              <w:t>]</w:t>
            </w:r>
            <w:r w:rsidRPr="00C06A33">
              <w:t xml:space="preserve"> or a DC Pending Request, as applicable, has not resulted in the occurrence of a Credit Event Determination Date. Likewise, if a Potential Credit Event Period with respect to the Reference Entity has occurred on or prior to, and is continuing on, </w:t>
            </w:r>
            <w:r w:rsidRPr="00F94B27" w:rsidR="00F94B27">
              <w:rPr>
                <w:b/>
              </w:rPr>
              <w:t>[</w:t>
            </w:r>
            <w:r w:rsidRPr="00C06A33">
              <w:t>an</w:t>
            </w:r>
            <w:r w:rsidRPr="00F94B27" w:rsidR="00F94B27">
              <w:rPr>
                <w:b/>
              </w:rPr>
              <w:t>]</w:t>
            </w:r>
            <w:r w:rsidRPr="00C06A33">
              <w:t xml:space="preserve"> </w:t>
            </w:r>
            <w:r w:rsidRPr="00F94B27" w:rsidR="00F94B27">
              <w:rPr>
                <w:b/>
              </w:rPr>
              <w:t>[</w:t>
            </w:r>
            <w:r w:rsidRPr="00C06A33">
              <w:t>the</w:t>
            </w:r>
            <w:r w:rsidRPr="00F94B27" w:rsidR="00F94B27">
              <w:rPr>
                <w:b/>
              </w:rPr>
              <w:t>]</w:t>
            </w:r>
            <w:r w:rsidRPr="00C06A33">
              <w:t xml:space="preserve"> Interest Payment Date, any payment of interest will be postponed to the </w:t>
            </w:r>
            <w:r w:rsidRPr="00F94B27" w:rsidR="00F94B27">
              <w:rPr>
                <w:b/>
              </w:rPr>
              <w:t>[</w:t>
            </w:r>
            <w:r w:rsidRPr="00C06A33">
              <w:t>fifth</w:t>
            </w:r>
            <w:r w:rsidRPr="00F94B27" w:rsidR="00F94B27">
              <w:rPr>
                <w:b/>
              </w:rPr>
              <w:t>][</w:t>
            </w:r>
            <w:r w:rsidR="003857E8">
              <w:rPr>
                <w:rFonts w:ascii="Arial" w:hAnsi="Arial" w:cs="Arial"/>
              </w:rPr>
              <w:t>●</w:t>
            </w:r>
            <w:r w:rsidRPr="00F94B27" w:rsidR="00F94B27">
              <w:rPr>
                <w:b/>
              </w:rPr>
              <w:t>]</w:t>
            </w:r>
            <w:r w:rsidRPr="00C06A33">
              <w:t xml:space="preserve"> Business Day following the last day of such Potential Credit Event Period. In each case the Issuer will not be liable for additional interest or other payments to the Holders of the Complex Products by reason of any such delayed payment.</w:t>
            </w:r>
          </w:p>
        </w:tc>
        <w:tc>
          <w:tcPr>
            <w:tcW w:w="2466" w:type="pct"/>
            <w:gridSpan w:val="14"/>
            <w:tcBorders>
              <w:left w:val="single" w:sz="4" w:space="0" w:color="auto"/>
            </w:tcBorders>
          </w:tcPr>
          <w:p w:rsidR="00BF6B38" w:rsidRPr="00BF6B38" w:rsidP="00BF6B38">
            <w:pPr>
              <w:pStyle w:val="CSBody0"/>
              <w:rPr>
                <w:lang w:val="de-DE"/>
              </w:rPr>
            </w:pPr>
            <w:r w:rsidRPr="00BF6B38">
              <w:rPr>
                <w:lang w:val="de-DE"/>
              </w:rPr>
              <w:t xml:space="preserve">Da das Komplexe Produkte an einen einzelnen Referenzschuldner gekoppelt ist, ermöglicht dieses Komplexe Produkt seinem Inhaber, falls am oder vor dem Planmässigen Fälligkeitstag </w:t>
            </w:r>
            <w:r w:rsidRPr="00BF6B38">
              <w:rPr>
                <w:b/>
                <w:lang w:val="de-DE"/>
              </w:rPr>
              <w:t>kein Kreditereignis-Feststellungstag</w:t>
            </w:r>
            <w:r w:rsidRPr="00BF6B38">
              <w:rPr>
                <w:lang w:val="de-DE"/>
              </w:rPr>
              <w:t xml:space="preserve"> in Bezug auf den Referenzschuldner </w:t>
            </w:r>
            <w:r w:rsidRPr="00BF6B38">
              <w:rPr>
                <w:b/>
                <w:lang w:val="de-DE"/>
              </w:rPr>
              <w:t>eingetreten ist</w:t>
            </w:r>
            <w:r w:rsidRPr="00BF6B38">
              <w:rPr>
                <w:lang w:val="de-DE"/>
              </w:rPr>
              <w:t xml:space="preserve">, den </w:t>
            </w:r>
            <w:r w:rsidRPr="00F94B27" w:rsidR="00F94B27">
              <w:rPr>
                <w:b/>
                <w:lang w:val="de-DE"/>
              </w:rPr>
              <w:t>[</w:t>
            </w:r>
            <w:r w:rsidRPr="00BF6B38">
              <w:rPr>
                <w:lang w:val="de-DE"/>
              </w:rPr>
              <w:t>jeweiligen</w:t>
            </w:r>
            <w:r w:rsidRPr="00F94B27" w:rsidR="00F94B27">
              <w:rPr>
                <w:b/>
                <w:lang w:val="de-DE"/>
              </w:rPr>
              <w:t>]</w:t>
            </w:r>
            <w:r w:rsidRPr="00BF6B38">
              <w:rPr>
                <w:lang w:val="de-DE"/>
              </w:rPr>
              <w:t xml:space="preserve"> Zinszahlungsbetrag </w:t>
            </w:r>
            <w:r w:rsidRPr="00F94B27" w:rsidR="00F94B27">
              <w:rPr>
                <w:b/>
                <w:lang w:val="de-DE"/>
              </w:rPr>
              <w:t>[</w:t>
            </w:r>
            <w:r w:rsidRPr="00BF6B38">
              <w:rPr>
                <w:lang w:val="de-DE"/>
              </w:rPr>
              <w:t>am</w:t>
            </w:r>
            <w:r w:rsidRPr="00F94B27" w:rsidR="00F94B27">
              <w:rPr>
                <w:b/>
                <w:lang w:val="de-DE"/>
              </w:rPr>
              <w:t>]</w:t>
            </w:r>
            <w:r w:rsidRPr="00BF6B38">
              <w:rPr>
                <w:lang w:val="de-DE"/>
              </w:rPr>
              <w:t xml:space="preserve"> </w:t>
            </w:r>
            <w:r w:rsidRPr="00F94B27" w:rsidR="00F94B27">
              <w:rPr>
                <w:b/>
                <w:lang w:val="de-DE"/>
              </w:rPr>
              <w:t>[</w:t>
            </w:r>
            <w:r w:rsidRPr="00BF6B38">
              <w:rPr>
                <w:lang w:val="de-DE"/>
              </w:rPr>
              <w:t>an jedem</w:t>
            </w:r>
            <w:r w:rsidRPr="00F94B27" w:rsidR="00F94B27">
              <w:rPr>
                <w:b/>
                <w:lang w:val="de-DE"/>
              </w:rPr>
              <w:t>]</w:t>
            </w:r>
            <w:r w:rsidRPr="00BF6B38">
              <w:rPr>
                <w:lang w:val="de-DE"/>
              </w:rPr>
              <w:t xml:space="preserve"> Zinszahlungstag zu erhalten und die Emittentin zahlt das Komplexe Produkt zum Planmässigen Rückzahlungsbetrag am Planmässigen Fälligkeitstag zurück. Ist zwar kein Kreditereignis-Feststellungstag am oder vor dem Planmässigen Fälligkeitstag eingetreten, hat aber ein Zeitraum eines Potenziellen Kreditereignisses in Bezug auf den Referenzschuldner am oder vor dem Planmässigen Fälligkeitstag begonnen und dauert am Planmässigen Fälligkeitstag an, so gilt folgendes: der Planmässige Fälligkeitstag (und alle Zahlungen in Bezug auf Kapital und Zinsen, die andernfalls an diesem Tag in Bezug auf das Komplexe Produkt gemacht werden würden) wird auf den </w:t>
            </w:r>
            <w:r w:rsidRPr="00F94B27" w:rsidR="00F94B27">
              <w:rPr>
                <w:b/>
                <w:lang w:val="de-DE"/>
              </w:rPr>
              <w:t>[</w:t>
            </w:r>
            <w:r w:rsidRPr="00BF6B38">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BF6B38">
              <w:rPr>
                <w:lang w:val="de-DE"/>
              </w:rPr>
              <w:t xml:space="preserve"> Geschäftstag nach dem letzten Tag dieses Zeitraums eines Potenziellen Kreditereignisses verschoben. In einem solchen Fall erfolgen Zahlungen von Kapital und Zinsen auf die Komplexen Produkte aber nur unter der Voraussetzung, dass während dieses Zeitraums eines Potenziellen Kreditereignisses die jeweilige Potenzielle Nichtzahlung </w:t>
            </w:r>
            <w:r w:rsidRPr="00F94B27" w:rsidR="00F94B27">
              <w:rPr>
                <w:b/>
                <w:lang w:val="de-DE"/>
              </w:rPr>
              <w:t>[</w:t>
            </w:r>
            <w:r w:rsidRPr="00BF6B38">
              <w:rPr>
                <w:lang w:val="de-DE"/>
              </w:rPr>
              <w:t>, die jeweilige Potenzielle Nichtanerkennung/das jeweilige Potenzielle Moratorium</w:t>
            </w:r>
            <w:r w:rsidRPr="00F94B27" w:rsidR="00F94B27">
              <w:rPr>
                <w:b/>
                <w:lang w:val="de-DE"/>
              </w:rPr>
              <w:t>]</w:t>
            </w:r>
            <w:r w:rsidRPr="00BF6B38">
              <w:rPr>
                <w:lang w:val="de-DE"/>
              </w:rPr>
              <w:t xml:space="preserve"> oder ein Ausstehender Antrag nicht zum Eintritt eines Kreditereignis-Feststellungstags geführt hat. Gleichfalls gilt: wenn ein Zeitraum eines Potenziellen Kreditereignisses in Bezug auf den Referenzschuldner an oder vor </w:t>
            </w:r>
            <w:r w:rsidRPr="00F94B27" w:rsidR="00F94B27">
              <w:rPr>
                <w:b/>
                <w:lang w:val="de-DE"/>
              </w:rPr>
              <w:t>[</w:t>
            </w:r>
            <w:r w:rsidRPr="00BF6B38">
              <w:rPr>
                <w:lang w:val="de-DE"/>
              </w:rPr>
              <w:t>dem</w:t>
            </w:r>
            <w:r w:rsidRPr="00F94B27" w:rsidR="00F94B27">
              <w:rPr>
                <w:b/>
                <w:lang w:val="de-DE"/>
              </w:rPr>
              <w:t>]</w:t>
            </w:r>
            <w:r w:rsidRPr="00BF6B38">
              <w:rPr>
                <w:lang w:val="de-DE"/>
              </w:rPr>
              <w:t xml:space="preserve"> </w:t>
            </w:r>
            <w:r w:rsidRPr="00F94B27" w:rsidR="00F94B27">
              <w:rPr>
                <w:b/>
                <w:lang w:val="de-DE"/>
              </w:rPr>
              <w:t>[</w:t>
            </w:r>
            <w:r w:rsidRPr="00BF6B38">
              <w:rPr>
                <w:lang w:val="de-DE"/>
              </w:rPr>
              <w:t>einem</w:t>
            </w:r>
            <w:r w:rsidRPr="00F94B27" w:rsidR="00F94B27">
              <w:rPr>
                <w:b/>
                <w:lang w:val="de-DE"/>
              </w:rPr>
              <w:t>]</w:t>
            </w:r>
            <w:r w:rsidRPr="00BF6B38">
              <w:rPr>
                <w:lang w:val="de-DE"/>
              </w:rPr>
              <w:t xml:space="preserve"> Zinszahlungstag eingetreten ist und an diesem Tag andauert, wird die Zahlung von Zinsen auf den </w:t>
            </w:r>
            <w:r w:rsidRPr="00F94B27" w:rsidR="00F94B27">
              <w:rPr>
                <w:b/>
                <w:lang w:val="de-DE"/>
              </w:rPr>
              <w:t>[</w:t>
            </w:r>
            <w:r w:rsidRPr="00BF6B38">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BF6B38">
              <w:rPr>
                <w:lang w:val="de-DE"/>
              </w:rPr>
              <w:t xml:space="preserve"> Geschäftstag nach dem letzten Tag eines solchen Zeitraums eines Potenziellen Kreditereignisses verschoben. In jedem Fall schuldet die Emittentin den Inhabern der Komplexen Produkte keine zusätzlichen Zins- oder sonstige Zahlungen aufgrund einer solchen verzögerten Zahlung.</w:t>
            </w:r>
          </w:p>
        </w:tc>
      </w:tr>
      <w:tr w:rsidTr="00942F00">
        <w:tblPrEx>
          <w:tblW w:w="5000" w:type="pct"/>
          <w:tblLayout w:type="fixed"/>
          <w:tblLook w:val="04A0"/>
        </w:tblPrEx>
        <w:tc>
          <w:tcPr>
            <w:tcW w:w="2534" w:type="pct"/>
            <w:gridSpan w:val="14"/>
            <w:tcBorders>
              <w:right w:val="single" w:sz="4" w:space="0" w:color="auto"/>
            </w:tcBorders>
          </w:tcPr>
          <w:p w:rsidR="00BF6B38" w:rsidRPr="002F034C" w:rsidP="00474C21">
            <w:pPr>
              <w:pStyle w:val="CSBody0"/>
            </w:pPr>
            <w:r w:rsidRPr="00BF6B38">
              <w:rPr>
                <w:b/>
              </w:rPr>
              <w:t>Upon the occurrence of a Credit Event Determination</w:t>
            </w:r>
            <w:r w:rsidRPr="002F034C">
              <w:t xml:space="preserve"> </w:t>
            </w:r>
            <w:r w:rsidRPr="00E64B64">
              <w:rPr>
                <w:b/>
              </w:rPr>
              <w:t xml:space="preserve">Date </w:t>
            </w:r>
            <w:r w:rsidRPr="002F034C">
              <w:t xml:space="preserve">on or prior to the Scheduled Maturity Date (subject to extension if a Potential Credit Event Period is in effect on the Scheduled Maturity Date), instead of being redeemed at the Scheduled Redemption Amount on the Scheduled Maturity Date, the Complex Products will be redeemed by payment of a cash amount to the Holder thereof equal to the Auction Redemption Amount on the Auction Redemption Date, provided that no Fallback Settlement Event has occurred. The Calculation Agent will determine the Auction Redemption Amount on the basis of the Auction Final Price of the Reference Entity. The Auction Final Price of the Reference Entity will be determined by the relevant Credit Derivatives Determinations Committee in accordance with an auction conducted by ISDA. Alternatively, if a Fallback Settlement Event has occurred, the Cash Redemption Amount rather than the Auction Redemption Amount will be payable per Complex Products by the Issuer to the Holder thereof on the Cash Redemption Date. Such amount will be determined based upon one or more quotations for </w:t>
            </w:r>
            <w:r w:rsidRPr="00F94B27" w:rsidR="00F94B27">
              <w:rPr>
                <w:b/>
              </w:rPr>
              <w:t>[</w:t>
            </w:r>
            <w:r w:rsidRPr="002F034C">
              <w:t>the Reference Obligation or</w:t>
            </w:r>
            <w:r w:rsidRPr="00F94B27" w:rsidR="00F94B27">
              <w:rPr>
                <w:b/>
              </w:rPr>
              <w:t>]</w:t>
            </w:r>
            <w:r w:rsidRPr="002F034C">
              <w:t xml:space="preserve"> a Valuation Obligation selected by the Calculation Agent of the Reference Entity, obtained by the Calculation Agent from banks or securities trading firms. The Auction Redemption Amount or the Cash Redemption Amount, as the case may be, will generally be considerably less than the Holder's initial investment in such Complex Product. </w:t>
            </w:r>
            <w:r w:rsidRPr="00F94B27" w:rsidR="00F94B27">
              <w:rPr>
                <w:b/>
              </w:rPr>
              <w:t>[</w:t>
            </w:r>
            <w:r w:rsidRPr="00BF6B38">
              <w:rPr>
                <w:b/>
                <w:i/>
              </w:rPr>
              <w:t>in case of Complex Products linked to one Reference Entity and redemption not before the Scheduled Maturity Date:</w:t>
            </w:r>
            <w:r w:rsidRPr="002F034C">
              <w:t xml:space="preserve"> Investors should also note that upon the occurrence of a Credit Event Determination Date, the Complex Products will not be redeemed before the Scheduled Maturity Date or such later date as determined pursuant to the definition of Auction Redemption Date or Cash Redemption Date, as applicable.</w:t>
            </w:r>
            <w:r w:rsidRPr="00F94B27" w:rsidR="00F94B27">
              <w:rPr>
                <w:b/>
              </w:rPr>
              <w:t>]</w:t>
            </w:r>
          </w:p>
        </w:tc>
        <w:tc>
          <w:tcPr>
            <w:tcW w:w="2466" w:type="pct"/>
            <w:gridSpan w:val="14"/>
            <w:tcBorders>
              <w:left w:val="single" w:sz="4" w:space="0" w:color="auto"/>
            </w:tcBorders>
          </w:tcPr>
          <w:p w:rsidR="00BF6B38" w:rsidRPr="00BF6B38" w:rsidP="00474C21">
            <w:pPr>
              <w:pStyle w:val="CSBody0"/>
              <w:rPr>
                <w:lang w:val="de-DE"/>
              </w:rPr>
            </w:pPr>
            <w:r w:rsidRPr="00BF6B38">
              <w:rPr>
                <w:lang w:val="de-DE"/>
              </w:rPr>
              <w:t xml:space="preserve">Tritt an oder vor dem Planmässigen Fälligkeitstag (vorbehaltlich einer Verlängerung im Fall dass ein Zeitraum eines Potenziellen Kreditereignisses am </w:t>
            </w:r>
            <w:r w:rsidR="00474C21">
              <w:rPr>
                <w:lang w:val="de-DE"/>
              </w:rPr>
              <w:t>Planmässigen Fälligkeitstag be</w:t>
            </w:r>
            <w:r w:rsidRPr="00BF6B38">
              <w:rPr>
                <w:lang w:val="de-DE"/>
              </w:rPr>
              <w:t xml:space="preserve">steht) </w:t>
            </w:r>
            <w:r w:rsidRPr="00BF6B38">
              <w:rPr>
                <w:b/>
                <w:lang w:val="de-DE"/>
              </w:rPr>
              <w:t>ein Kreditereignis-Feststellungstag ein</w:t>
            </w:r>
            <w:r w:rsidRPr="00BF6B38">
              <w:rPr>
                <w:lang w:val="de-DE"/>
              </w:rPr>
              <w:t xml:space="preserve">, so wird das Komplexe Produkt nicht zum Planmässigen Rückzahlungsbetrag am Planmässigen Fälligkeitstag an den Inhaber zurückgezahlt, sondern durch Zahlung eines Barbetrags in Höhe des Auktions-Rückzahlungsbetrags am Auktions-Rückzahlungstag, vorausgesetzt, dass kein Ereignis der Alternativen Abwicklung eingetreten ist. Die Berechnungsstelle bestimmt den Auktions-Rückzahlungsbetrag auf der Grundlage des Auktions-Endpreises des Referenzschuldners. Der Auktions-Endpreis des Referenzschuldners wird von dem zuständigen Kreditderivate-Feststellungsausschuss nach Massgabe einer von ISDA durchgeführten Auktion berechnet. Falls dagegen ein Ereignis der Alternativen Abwicklung eingetreten ist, hat die Emittentin nicht den Auktions-Rückzahlungsbetrag, sondern den Barrückzahlungsbetrag je Komplexes Produkt am Barrückzahlungstag an den Inhaber zu zahlen. Dieser Betrag wird auf der Grundlage einer oder mehrerer Quotierungen für </w:t>
            </w:r>
            <w:r w:rsidRPr="00F94B27" w:rsidR="00F94B27">
              <w:rPr>
                <w:b/>
                <w:lang w:val="de-DE"/>
              </w:rPr>
              <w:t>[</w:t>
            </w:r>
            <w:r w:rsidRPr="00BF6B38">
              <w:rPr>
                <w:lang w:val="de-DE"/>
              </w:rPr>
              <w:t>die Referenzverbindlichkeit oder für</w:t>
            </w:r>
            <w:r w:rsidRPr="00F94B27" w:rsidR="00F94B27">
              <w:rPr>
                <w:b/>
                <w:lang w:val="de-DE"/>
              </w:rPr>
              <w:t>]</w:t>
            </w:r>
            <w:r w:rsidRPr="00BF6B38">
              <w:rPr>
                <w:lang w:val="de-DE"/>
              </w:rPr>
              <w:t xml:space="preserve"> eine von der Berechnungstelle ausgewählte Bewertungsverbindlichkeit des Referenzschuldners, die die Berechnungsstelle von Banken oder Wertpapierhandelsunternehmen eingeholt hat, bestimmt. Der Auktions-Rückzahlungsbetrag bzw. der Barrückzahlungsbetrag ist in der Regel wesentlich geringer als der von dem Inhaber ursprünglich eingesetzte Kapitalbetrag. </w:t>
            </w:r>
            <w:r w:rsidRPr="00F94B27" w:rsidR="00F94B27">
              <w:rPr>
                <w:b/>
                <w:lang w:val="de-DE"/>
              </w:rPr>
              <w:t>[</w:t>
            </w:r>
            <w:r w:rsidRPr="00BF6B38">
              <w:rPr>
                <w:b/>
                <w:i/>
                <w:lang w:val="de-DE"/>
              </w:rPr>
              <w:t>bei Komplexen Produkten, die an einen Referenzschuldner gekoppelt sind und Rückzahlung</w:t>
            </w:r>
            <w:r w:rsidR="00474C21">
              <w:rPr>
                <w:b/>
                <w:i/>
                <w:lang w:val="de-DE"/>
              </w:rPr>
              <w:t xml:space="preserve"> nicht vor dem Planmässigen Fäl</w:t>
            </w:r>
            <w:r w:rsidRPr="00BF6B38">
              <w:rPr>
                <w:b/>
                <w:i/>
                <w:lang w:val="de-DE"/>
              </w:rPr>
              <w:t>ligkeitstag vorsehen:</w:t>
            </w:r>
            <w:r w:rsidRPr="00BF6B38">
              <w:rPr>
                <w:lang w:val="de-DE"/>
              </w:rPr>
              <w:t>, Anleger sollten darüber hinaus beachten, dass die Komplexen Produkte bei Eintritt eines Kreditereignis-Feststellungstag nicht vor dem Planmässigen Fälligkeitstag bzw. dem späteren Datum zurückgezahlt werden, das sich aus der Definition von Auktions-Rückzahlungstag bzw. Barrückzahlungstag ergibt.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BF6B38" w:rsidRPr="002F034C" w:rsidP="00BF6B38">
            <w:pPr>
              <w:pStyle w:val="CSBody0"/>
            </w:pPr>
            <w:r w:rsidRPr="002F034C">
              <w:t xml:space="preserve">In addition, upon the occurrence of a Credit Event Determination Date prior to an Interest Payment Date any accrued and unpaid interest on such Complex Product as of the date on which such Credit Event Determination Date has occurred will be cancelled and not be paid to the Holder thereof. In the worst case scenario, (i) a Credit Event Determination Date occurs prior to the </w:t>
            </w:r>
            <w:r w:rsidRPr="00F94B27" w:rsidR="00F94B27">
              <w:rPr>
                <w:b/>
              </w:rPr>
              <w:t>[</w:t>
            </w:r>
            <w:r w:rsidRPr="002F034C">
              <w:t>first</w:t>
            </w:r>
            <w:r w:rsidRPr="00F94B27" w:rsidR="00F94B27">
              <w:rPr>
                <w:b/>
              </w:rPr>
              <w:t>]</w:t>
            </w:r>
            <w:r w:rsidRPr="002F034C">
              <w:t xml:space="preserve"> Interest Payment Date, which means that no interest payments on the Complex Product will be made, and (ii) the Auction Redemption Amount or Cash Redemption Amount, as the case may be, is determined to be zero. In such case, the investor would suffer a total loss of its initial investment.</w:t>
            </w:r>
            <w:r w:rsidRPr="00F94B27" w:rsidR="00F94B27">
              <w:rPr>
                <w:b/>
              </w:rPr>
              <w:t>]</w:t>
            </w:r>
          </w:p>
        </w:tc>
        <w:tc>
          <w:tcPr>
            <w:tcW w:w="2466" w:type="pct"/>
            <w:gridSpan w:val="14"/>
            <w:tcBorders>
              <w:left w:val="single" w:sz="4" w:space="0" w:color="auto"/>
            </w:tcBorders>
          </w:tcPr>
          <w:p w:rsidR="00BF6B38" w:rsidRPr="00BF6B38" w:rsidP="00BF6B38">
            <w:pPr>
              <w:pStyle w:val="CSBody0"/>
              <w:rPr>
                <w:lang w:val="de-DE"/>
              </w:rPr>
            </w:pPr>
            <w:r w:rsidRPr="00BF6B38">
              <w:rPr>
                <w:lang w:val="de-DE"/>
              </w:rPr>
              <w:t xml:space="preserve">Darüber hinaus verfallen bei Eintritt eines Kreditereignis-Feststellungstags vor einem Zinszahlungstag etwaige zum Termin des Eintritts dieses Kreditereignis-Feststellungstags auf dieses Komplexe Produkt aufgelaufene und noch nicht gezahlte Zinsen und werden nicht an den Inhaber des Komplexen Produkts geleistet. Im schlimmsten Fall (i) tritt vor dem </w:t>
            </w:r>
            <w:r w:rsidRPr="00F94B27" w:rsidR="00F94B27">
              <w:rPr>
                <w:b/>
                <w:lang w:val="de-DE"/>
              </w:rPr>
              <w:t>[</w:t>
            </w:r>
            <w:r w:rsidRPr="00BF6B38">
              <w:rPr>
                <w:lang w:val="de-DE"/>
              </w:rPr>
              <w:t>ersten</w:t>
            </w:r>
            <w:r w:rsidRPr="00F94B27" w:rsidR="00F94B27">
              <w:rPr>
                <w:b/>
                <w:lang w:val="de-DE"/>
              </w:rPr>
              <w:t>]</w:t>
            </w:r>
            <w:r w:rsidRPr="00BF6B38">
              <w:rPr>
                <w:lang w:val="de-DE"/>
              </w:rPr>
              <w:t xml:space="preserve"> Zinszahlungstag ein Kreditereignis-Feststellungstag ein, </w:t>
            </w:r>
            <w:r w:rsidR="007E3558">
              <w:rPr>
                <w:lang w:val="de-DE"/>
              </w:rPr>
              <w:t>d.h.</w:t>
            </w:r>
            <w:r w:rsidRPr="00BF6B38">
              <w:rPr>
                <w:lang w:val="de-DE"/>
              </w:rPr>
              <w:t xml:space="preserve"> es erfolgen keine Zinszahlungen auf das betreffende Komplexe Produkt, und (ii) wird festgestellt, dass der Auktions-Rückzahlungsbetrag bzw. der Barrückzahlungsbetrag null ist. In diesem Fall würde der Anleger einen Totalverlust seines ursprünglich eingesetzten Kapitals erleiden.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BF6B38" w:rsidRPr="00AB16EC" w:rsidP="00BF6B38">
            <w:pPr>
              <w:pStyle w:val="CSbody0bolditalic"/>
              <w:rPr>
                <w:lang w:val="en-GB"/>
              </w:rPr>
            </w:pPr>
            <w:r w:rsidRPr="00F94B27">
              <w:rPr>
                <w:lang w:val="en-GB"/>
              </w:rPr>
              <w:t>[</w:t>
            </w:r>
            <w:r w:rsidRPr="00AB16EC">
              <w:rPr>
                <w:lang w:val="en-GB"/>
              </w:rPr>
              <w:t>Insert in case of a Credit-Linked Complex Product with auction settlement and an N</w:t>
            </w:r>
            <w:r w:rsidRPr="00E80B0C">
              <w:rPr>
                <w:bCs w:val="0"/>
                <w:szCs w:val="22"/>
                <w:vertAlign w:val="superscript"/>
                <w:lang w:val="en-GB"/>
              </w:rPr>
              <w:t>th</w:t>
            </w:r>
            <w:r w:rsidRPr="00AB16EC">
              <w:rPr>
                <w:lang w:val="en-GB"/>
              </w:rPr>
              <w:t>-to-Default structure:</w:t>
            </w:r>
          </w:p>
        </w:tc>
        <w:tc>
          <w:tcPr>
            <w:tcW w:w="2466" w:type="pct"/>
            <w:gridSpan w:val="14"/>
            <w:tcBorders>
              <w:left w:val="single" w:sz="4" w:space="0" w:color="auto"/>
            </w:tcBorders>
          </w:tcPr>
          <w:p w:rsidR="00BF6B38" w:rsidRPr="00BF6B38" w:rsidP="00BF6B38">
            <w:pPr>
              <w:pStyle w:val="CSbody0bolditalic"/>
            </w:pPr>
            <w:r w:rsidRPr="00F94B27">
              <w:t>[</w:t>
            </w:r>
            <w:r w:rsidRPr="00BF6B38">
              <w:t>Bei einem Kreditbezogenen Komplexen Produkt mit Auktionsabwicklung und N</w:t>
            </w:r>
            <w:r w:rsidRPr="00E80B0C">
              <w:rPr>
                <w:bCs w:val="0"/>
                <w:szCs w:val="22"/>
                <w:vertAlign w:val="superscript"/>
              </w:rPr>
              <w:t>th</w:t>
            </w:r>
            <w:r w:rsidRPr="00BF6B38">
              <w:t>-to-Default-Struktur einfügen:</w:t>
            </w:r>
          </w:p>
        </w:tc>
      </w:tr>
      <w:tr w:rsidTr="00942F00">
        <w:tblPrEx>
          <w:tblW w:w="5000" w:type="pct"/>
          <w:tblLayout w:type="fixed"/>
          <w:tblLook w:val="04A0"/>
        </w:tblPrEx>
        <w:tc>
          <w:tcPr>
            <w:tcW w:w="2534" w:type="pct"/>
            <w:gridSpan w:val="14"/>
            <w:tcBorders>
              <w:right w:val="single" w:sz="4" w:space="0" w:color="auto"/>
            </w:tcBorders>
          </w:tcPr>
          <w:p w:rsidR="00BF6B38" w:rsidRPr="002F034C" w:rsidP="00314A06">
            <w:pPr>
              <w:pStyle w:val="CSBody0"/>
            </w:pPr>
            <w:r w:rsidRPr="002F034C">
              <w:t xml:space="preserve">The Complex Product is linked to </w:t>
            </w:r>
            <w:r w:rsidRPr="00F94B27" w:rsidR="00F94B27">
              <w:rPr>
                <w:b/>
              </w:rPr>
              <w:t>[</w:t>
            </w:r>
            <w:r w:rsidRPr="00BF6B38">
              <w:rPr>
                <w:b/>
                <w:i/>
              </w:rPr>
              <w:t>insert number:</w:t>
            </w:r>
            <w:r w:rsidRPr="002F034C">
              <w:t xml:space="preserve"> </w:t>
            </w:r>
            <w:r w:rsidR="003857E8">
              <w:rPr>
                <w:rFonts w:ascii="Arial" w:hAnsi="Arial" w:cs="Arial"/>
              </w:rPr>
              <w:t>●</w:t>
            </w:r>
            <w:r w:rsidRPr="00F94B27" w:rsidR="00F94B27">
              <w:rPr>
                <w:b/>
              </w:rPr>
              <w:t>]</w:t>
            </w:r>
            <w:r w:rsidRPr="002F034C">
              <w:t xml:space="preserve"> Reference Entities and it will be early redeemed if a Credit Event Determination Date has occurred with respect to </w:t>
            </w:r>
            <w:r w:rsidRPr="00F94B27" w:rsidR="00F94B27">
              <w:rPr>
                <w:b/>
              </w:rPr>
              <w:t>[</w:t>
            </w:r>
            <w:r w:rsidR="003857E8">
              <w:rPr>
                <w:rFonts w:ascii="Arial" w:hAnsi="Arial" w:cs="Arial"/>
              </w:rPr>
              <w:t>●</w:t>
            </w:r>
            <w:r w:rsidRPr="00F94B27" w:rsidR="00F94B27">
              <w:rPr>
                <w:b/>
              </w:rPr>
              <w:t>]</w:t>
            </w:r>
            <w:r w:rsidRPr="002F034C">
              <w:t xml:space="preserve"> Reference </w:t>
            </w:r>
            <w:r w:rsidRPr="00F94B27" w:rsidR="00F94B27">
              <w:rPr>
                <w:b/>
              </w:rPr>
              <w:t>[</w:t>
            </w:r>
            <w:r w:rsidRPr="002F034C">
              <w:t>Entity</w:t>
            </w:r>
            <w:r w:rsidRPr="00F94B27" w:rsidR="00F94B27">
              <w:rPr>
                <w:b/>
              </w:rPr>
              <w:t>][</w:t>
            </w:r>
            <w:r w:rsidRPr="002F034C">
              <w:t>Entities</w:t>
            </w:r>
            <w:r w:rsidRPr="00F94B27" w:rsidR="00F94B27">
              <w:rPr>
                <w:b/>
              </w:rPr>
              <w:t>]</w:t>
            </w:r>
            <w:r w:rsidRPr="002F034C">
              <w:t xml:space="preserve"> (the </w:t>
            </w:r>
            <w:r w:rsidRPr="00F94B27" w:rsidR="00F94B27">
              <w:rPr>
                <w:b/>
              </w:rPr>
              <w:t>[</w:t>
            </w:r>
            <w:r w:rsidR="003857E8">
              <w:rPr>
                <w:rFonts w:ascii="Arial" w:hAnsi="Arial" w:cs="Arial"/>
              </w:rPr>
              <w:t>●</w:t>
            </w:r>
            <w:r w:rsidRPr="00F94B27" w:rsidR="00F94B27">
              <w:rPr>
                <w:b/>
              </w:rPr>
              <w:t>]</w:t>
            </w:r>
            <w:r w:rsidRPr="002F034C">
              <w:t xml:space="preserve"> Reference Entity, with respect to which a Credit Event Determination Date occurs triggering the early redemption being referred to as the "</w:t>
            </w:r>
            <w:r w:rsidRPr="00F94B27" w:rsidR="00F94B27">
              <w:rPr>
                <w:b/>
              </w:rPr>
              <w:t>[</w:t>
            </w:r>
            <w:r w:rsidRPr="00BF6B38">
              <w:rPr>
                <w:b/>
                <w:i/>
              </w:rPr>
              <w:t>insert relevant number:</w:t>
            </w:r>
            <w:r w:rsidRPr="00BF6B38">
              <w:rPr>
                <w:b/>
              </w:rPr>
              <w:t xml:space="preserve"> </w:t>
            </w:r>
            <w:r w:rsidRPr="00F94B27" w:rsidR="00F94B27">
              <w:rPr>
                <w:b/>
              </w:rPr>
              <w:t>[</w:t>
            </w:r>
            <w:r w:rsidRPr="00BF6B38">
              <w:rPr>
                <w:b/>
              </w:rPr>
              <w:t>1st</w:t>
            </w:r>
            <w:r w:rsidRPr="00F94B27" w:rsidR="00F94B27">
              <w:rPr>
                <w:b/>
              </w:rPr>
              <w:t>][</w:t>
            </w:r>
            <w:r w:rsidRPr="00BF6B38">
              <w:rPr>
                <w:b/>
              </w:rPr>
              <w:t>2nd</w:t>
            </w:r>
            <w:r w:rsidRPr="00F94B27" w:rsidR="00F94B27">
              <w:rPr>
                <w:b/>
              </w:rPr>
              <w:t>][</w:t>
            </w:r>
            <w:r w:rsidRPr="00BF6B38">
              <w:rPr>
                <w:b/>
              </w:rPr>
              <w:t>3rd</w:t>
            </w:r>
            <w:r w:rsidRPr="00F94B27" w:rsidR="00F94B27">
              <w:rPr>
                <w:b/>
              </w:rPr>
              <w:t>][[</w:t>
            </w:r>
            <w:r w:rsidR="003857E8">
              <w:rPr>
                <w:rFonts w:ascii="Arial" w:hAnsi="Arial" w:cs="Arial"/>
                <w:b/>
              </w:rPr>
              <w:t>●</w:t>
            </w:r>
            <w:r w:rsidRPr="00F94B27" w:rsidR="00F94B27">
              <w:rPr>
                <w:b/>
              </w:rPr>
              <w:t>]]]</w:t>
            </w:r>
            <w:r w:rsidRPr="00BF6B38">
              <w:rPr>
                <w:b/>
              </w:rPr>
              <w:t>-to-Default Reference Entity</w:t>
            </w:r>
            <w:r w:rsidRPr="002F034C">
              <w:t xml:space="preserve">") (for the avoidance of doubt, a Credit Event Determination Date may only occur once with respect to each Reference Entity). </w:t>
            </w:r>
            <w:r w:rsidRPr="00BF6B38">
              <w:rPr>
                <w:b/>
              </w:rPr>
              <w:t>Only if no Credit Event Determination Date has occurred</w:t>
            </w:r>
            <w:r w:rsidRPr="002F034C">
              <w:t xml:space="preserve"> on or prior to the Scheduled Maturity Date with respect to </w:t>
            </w:r>
            <w:r w:rsidRPr="00F94B27" w:rsidR="00F94B27">
              <w:rPr>
                <w:b/>
              </w:rPr>
              <w:t>[</w:t>
            </w:r>
            <w:r w:rsidR="003857E8">
              <w:rPr>
                <w:rFonts w:ascii="Arial" w:hAnsi="Arial" w:cs="Arial"/>
              </w:rPr>
              <w:t>●</w:t>
            </w:r>
            <w:r w:rsidRPr="00F94B27" w:rsidR="00F94B27">
              <w:rPr>
                <w:b/>
              </w:rPr>
              <w:t>]</w:t>
            </w:r>
            <w:r w:rsidRPr="002F034C">
              <w:t xml:space="preserve"> Reference </w:t>
            </w:r>
            <w:r w:rsidRPr="00F94B27" w:rsidR="00F94B27">
              <w:rPr>
                <w:b/>
              </w:rPr>
              <w:t>[</w:t>
            </w:r>
            <w:r w:rsidRPr="002F034C">
              <w:t>Entities</w:t>
            </w:r>
            <w:r w:rsidRPr="00F94B27" w:rsidR="00F94B27">
              <w:rPr>
                <w:b/>
              </w:rPr>
              <w:t>][</w:t>
            </w:r>
            <w:r w:rsidRPr="002F034C">
              <w:t>Entity</w:t>
            </w:r>
            <w:r w:rsidRPr="00F94B27" w:rsidR="00F94B27">
              <w:rPr>
                <w:b/>
              </w:rPr>
              <w:t>]</w:t>
            </w:r>
            <w:r w:rsidRPr="002F034C">
              <w:t xml:space="preserve"> (</w:t>
            </w:r>
            <w:r w:rsidRPr="007E3558" w:rsidR="007E3558">
              <w:rPr>
                <w:i/>
              </w:rPr>
              <w:t>i.e.</w:t>
            </w:r>
            <w:r w:rsidRPr="002F034C">
              <w:t xml:space="preserve">, with respect to the </w:t>
            </w:r>
            <w:r w:rsidRPr="00F94B27" w:rsidR="00F94B27">
              <w:rPr>
                <w:b/>
              </w:rPr>
              <w:t>[</w:t>
            </w:r>
            <w:r w:rsidRPr="00BF6B38">
              <w:rPr>
                <w:b/>
                <w:i/>
              </w:rPr>
              <w:t>insert relevant number:</w:t>
            </w:r>
            <w:r w:rsidRPr="002F034C">
              <w:t xml:space="preserve"> </w:t>
            </w:r>
            <w:r w:rsidRPr="00F94B27" w:rsidR="00F94B27">
              <w:rPr>
                <w:b/>
              </w:rPr>
              <w:t>[</w:t>
            </w:r>
            <w:r w:rsidRPr="002F034C">
              <w:t>1st</w:t>
            </w:r>
            <w:r w:rsidRPr="00F94B27" w:rsidR="00F94B27">
              <w:rPr>
                <w:b/>
              </w:rPr>
              <w:t>][</w:t>
            </w:r>
            <w:r w:rsidRPr="002F034C">
              <w:t>2nd</w:t>
            </w:r>
            <w:r w:rsidRPr="00F94B27" w:rsidR="00F94B27">
              <w:rPr>
                <w:b/>
              </w:rPr>
              <w:t>][</w:t>
            </w:r>
            <w:r w:rsidRPr="002F034C">
              <w:t>3rd</w:t>
            </w:r>
            <w:r w:rsidRPr="00F94B27" w:rsidR="00F94B27">
              <w:rPr>
                <w:b/>
              </w:rPr>
              <w:t>][[</w:t>
            </w:r>
            <w:r w:rsidR="003857E8">
              <w:rPr>
                <w:rFonts w:ascii="Arial" w:hAnsi="Arial" w:cs="Arial"/>
              </w:rPr>
              <w:t>●</w:t>
            </w:r>
            <w:r w:rsidRPr="00F94B27" w:rsidR="00F94B27">
              <w:rPr>
                <w:b/>
              </w:rPr>
              <w:t>]]]</w:t>
            </w:r>
            <w:r w:rsidRPr="002F034C">
              <w:t xml:space="preserve">-to-Default Reference Entity), the Complex Products allow the Holder thereof to benefit from the payment of the </w:t>
            </w:r>
            <w:r w:rsidRPr="00F94B27" w:rsidR="00F94B27">
              <w:rPr>
                <w:b/>
              </w:rPr>
              <w:t>[</w:t>
            </w:r>
            <w:r w:rsidRPr="002F034C">
              <w:t>relevant</w:t>
            </w:r>
            <w:r w:rsidRPr="00F94B27" w:rsidR="00F94B27">
              <w:rPr>
                <w:b/>
              </w:rPr>
              <w:t>]</w:t>
            </w:r>
            <w:r w:rsidRPr="002F034C">
              <w:t xml:space="preserve"> Interest Payment Amount on </w:t>
            </w:r>
            <w:r w:rsidRPr="00F94B27" w:rsidR="00F94B27">
              <w:rPr>
                <w:b/>
              </w:rPr>
              <w:t>[</w:t>
            </w:r>
            <w:r w:rsidRPr="002F034C">
              <w:t>the</w:t>
            </w:r>
            <w:r w:rsidRPr="00F94B27" w:rsidR="00F94B27">
              <w:rPr>
                <w:b/>
              </w:rPr>
              <w:t>]</w:t>
            </w:r>
            <w:r w:rsidRPr="002F034C">
              <w:t xml:space="preserve"> </w:t>
            </w:r>
            <w:r w:rsidRPr="00F94B27" w:rsidR="00F94B27">
              <w:rPr>
                <w:b/>
              </w:rPr>
              <w:t>[</w:t>
            </w:r>
            <w:r w:rsidRPr="002F034C">
              <w:t>each</w:t>
            </w:r>
            <w:r w:rsidRPr="00F94B27" w:rsidR="00F94B27">
              <w:rPr>
                <w:b/>
              </w:rPr>
              <w:t>]</w:t>
            </w:r>
            <w:r w:rsidRPr="002F034C">
              <w:t xml:space="preserve"> Interest Payment Date and the Issuer will redeem the Complex Products at the Scheduled Redemption Amount on the Scheduled Maturity Date. However, even if no Credit Event Determination Date has occurred on or prior to the Scheduled Maturity Date, if any Reference Entity is a Potential </w:t>
            </w:r>
            <w:r w:rsidRPr="00F94B27" w:rsidR="00F94B27">
              <w:rPr>
                <w:b/>
              </w:rPr>
              <w:t>[</w:t>
            </w:r>
            <w:r w:rsidRPr="00314A06">
              <w:rPr>
                <w:b/>
                <w:i/>
              </w:rPr>
              <w:t>insert relevant number:</w:t>
            </w:r>
            <w:r w:rsidRPr="002F034C">
              <w:t xml:space="preserve"> </w:t>
            </w:r>
            <w:r w:rsidRPr="00F94B27" w:rsidR="00F94B27">
              <w:rPr>
                <w:b/>
              </w:rPr>
              <w:t>[</w:t>
            </w:r>
            <w:r w:rsidRPr="002F034C">
              <w:t>1st</w:t>
            </w:r>
            <w:r w:rsidRPr="00F94B27" w:rsidR="00F94B27">
              <w:rPr>
                <w:b/>
              </w:rPr>
              <w:t>][</w:t>
            </w:r>
            <w:r w:rsidRPr="002F034C">
              <w:t>2nd</w:t>
            </w:r>
            <w:r w:rsidRPr="00F94B27" w:rsidR="00F94B27">
              <w:rPr>
                <w:b/>
              </w:rPr>
              <w:t>][</w:t>
            </w:r>
            <w:r w:rsidRPr="002F034C">
              <w:t>3rd</w:t>
            </w:r>
            <w:r w:rsidRPr="00F94B27" w:rsidR="00F94B27">
              <w:rPr>
                <w:b/>
              </w:rPr>
              <w:t>][[</w:t>
            </w:r>
            <w:r w:rsidR="003857E8">
              <w:rPr>
                <w:rFonts w:ascii="Arial" w:hAnsi="Arial" w:cs="Arial"/>
              </w:rPr>
              <w:t>●</w:t>
            </w:r>
            <w:r w:rsidRPr="00F94B27" w:rsidR="00F94B27">
              <w:rPr>
                <w:b/>
              </w:rPr>
              <w:t>]]]</w:t>
            </w:r>
            <w:r w:rsidRPr="002F034C">
              <w:t xml:space="preserve">-to-Default Reference Entity on the Scheduled Maturity Date, the Scheduled Maturity Date (and any payments of principal and interest in respect of such Complex Products otherwise scheduled to be made on such date) will be postponed to the </w:t>
            </w:r>
            <w:r w:rsidRPr="00F94B27" w:rsidR="00F94B27">
              <w:rPr>
                <w:b/>
              </w:rPr>
              <w:t>[</w:t>
            </w:r>
            <w:r w:rsidRPr="002F034C">
              <w:t>fifth</w:t>
            </w:r>
            <w:r w:rsidRPr="00F94B27" w:rsidR="00F94B27">
              <w:rPr>
                <w:b/>
              </w:rPr>
              <w:t>][</w:t>
            </w:r>
            <w:r w:rsidR="003857E8">
              <w:rPr>
                <w:rFonts w:ascii="Arial" w:hAnsi="Arial" w:cs="Arial"/>
              </w:rPr>
              <w:t>●</w:t>
            </w:r>
            <w:r w:rsidRPr="00F94B27" w:rsidR="00F94B27">
              <w:rPr>
                <w:b/>
              </w:rPr>
              <w:t>]</w:t>
            </w:r>
            <w:r w:rsidRPr="002F034C">
              <w:t xml:space="preserve"> Business Day following the last day of the relevant Potential Credit Event Period. In such case any principal and interest on the Complex Products will only be paid if during the relevant Potential Credit Event Period such Potential </w:t>
            </w:r>
            <w:r w:rsidRPr="00F94B27" w:rsidR="00F94B27">
              <w:rPr>
                <w:b/>
              </w:rPr>
              <w:t>[</w:t>
            </w:r>
            <w:r w:rsidRPr="00314A06">
              <w:rPr>
                <w:b/>
                <w:i/>
              </w:rPr>
              <w:t>insert relevant number:</w:t>
            </w:r>
            <w:r w:rsidRPr="002F034C">
              <w:t xml:space="preserve"> </w:t>
            </w:r>
            <w:r w:rsidRPr="00F94B27" w:rsidR="00F94B27">
              <w:rPr>
                <w:b/>
              </w:rPr>
              <w:t>[</w:t>
            </w:r>
            <w:r w:rsidRPr="002F034C">
              <w:t>1st</w:t>
            </w:r>
            <w:r w:rsidRPr="00F94B27" w:rsidR="00F94B27">
              <w:rPr>
                <w:b/>
              </w:rPr>
              <w:t>][</w:t>
            </w:r>
            <w:r w:rsidRPr="002F034C">
              <w:t>2nd</w:t>
            </w:r>
            <w:r w:rsidRPr="00F94B27" w:rsidR="00F94B27">
              <w:rPr>
                <w:b/>
              </w:rPr>
              <w:t>][</w:t>
            </w:r>
            <w:r w:rsidRPr="002F034C">
              <w:t>3rd</w:t>
            </w:r>
            <w:r w:rsidRPr="00F94B27" w:rsidR="00F94B27">
              <w:rPr>
                <w:b/>
              </w:rPr>
              <w:t>][[</w:t>
            </w:r>
            <w:r w:rsidR="003857E8">
              <w:rPr>
                <w:rFonts w:ascii="Arial" w:hAnsi="Arial" w:cs="Arial"/>
              </w:rPr>
              <w:t>●</w:t>
            </w:r>
            <w:r w:rsidRPr="00F94B27" w:rsidR="00F94B27">
              <w:rPr>
                <w:b/>
              </w:rPr>
              <w:t>]]]</w:t>
            </w:r>
            <w:r w:rsidRPr="002F034C">
              <w:t>-to-Default Reference Entity is not determined to be the N</w:t>
            </w:r>
            <w:r w:rsidRPr="00E80B0C">
              <w:rPr>
                <w:b/>
                <w:i/>
                <w:vertAlign w:val="superscript"/>
              </w:rPr>
              <w:t>th</w:t>
            </w:r>
            <w:r w:rsidRPr="002F034C">
              <w:t xml:space="preserve">-to-Default Reference Entity. Likewise, if a Potential Credit Event Period with respect to any Potential </w:t>
            </w:r>
            <w:r w:rsidRPr="00F94B27" w:rsidR="00F94B27">
              <w:rPr>
                <w:b/>
              </w:rPr>
              <w:t>[</w:t>
            </w:r>
            <w:r w:rsidRPr="00314A06">
              <w:rPr>
                <w:b/>
                <w:i/>
              </w:rPr>
              <w:t>insert relevant number:</w:t>
            </w:r>
            <w:r w:rsidRPr="002F034C">
              <w:t xml:space="preserve"> </w:t>
            </w:r>
            <w:r w:rsidRPr="00F94B27" w:rsidR="00F94B27">
              <w:rPr>
                <w:b/>
              </w:rPr>
              <w:t>[</w:t>
            </w:r>
            <w:r w:rsidRPr="002F034C">
              <w:t>1st</w:t>
            </w:r>
            <w:r w:rsidRPr="00F94B27" w:rsidR="00F94B27">
              <w:rPr>
                <w:b/>
              </w:rPr>
              <w:t>][</w:t>
            </w:r>
            <w:r w:rsidRPr="002F034C">
              <w:t>2nd</w:t>
            </w:r>
            <w:r w:rsidRPr="00F94B27" w:rsidR="00F94B27">
              <w:rPr>
                <w:b/>
              </w:rPr>
              <w:t>][</w:t>
            </w:r>
            <w:r w:rsidRPr="002F034C">
              <w:t>3rd</w:t>
            </w:r>
            <w:r w:rsidRPr="00F94B27" w:rsidR="00F94B27">
              <w:rPr>
                <w:b/>
              </w:rPr>
              <w:t>][[</w:t>
            </w:r>
            <w:r w:rsidR="003857E8">
              <w:rPr>
                <w:rFonts w:ascii="Arial" w:hAnsi="Arial" w:cs="Arial"/>
              </w:rPr>
              <w:t>●</w:t>
            </w:r>
            <w:r w:rsidRPr="00F94B27" w:rsidR="00F94B27">
              <w:rPr>
                <w:b/>
              </w:rPr>
              <w:t>]]]</w:t>
            </w:r>
            <w:r w:rsidRPr="002F034C">
              <w:t xml:space="preserve">-to-Default Reference Entity has occurred on or prior to, and is continuing on, </w:t>
            </w:r>
            <w:r w:rsidRPr="00F94B27" w:rsidR="00F94B27">
              <w:rPr>
                <w:b/>
              </w:rPr>
              <w:t>[</w:t>
            </w:r>
            <w:r w:rsidRPr="002F034C">
              <w:t>an</w:t>
            </w:r>
            <w:r w:rsidRPr="00F94B27" w:rsidR="00F94B27">
              <w:rPr>
                <w:b/>
              </w:rPr>
              <w:t>]</w:t>
            </w:r>
            <w:r w:rsidRPr="002F034C">
              <w:t xml:space="preserve"> </w:t>
            </w:r>
            <w:r w:rsidRPr="00F94B27" w:rsidR="00F94B27">
              <w:rPr>
                <w:b/>
              </w:rPr>
              <w:t>[</w:t>
            </w:r>
            <w:r w:rsidRPr="002F034C">
              <w:t>the</w:t>
            </w:r>
            <w:r w:rsidRPr="00F94B27" w:rsidR="00F94B27">
              <w:rPr>
                <w:b/>
              </w:rPr>
              <w:t>]</w:t>
            </w:r>
            <w:r w:rsidRPr="002F034C">
              <w:t xml:space="preserve"> Interest Payment Date, any payment of interest will be postponed to the </w:t>
            </w:r>
            <w:r w:rsidRPr="00F94B27" w:rsidR="00F94B27">
              <w:rPr>
                <w:b/>
              </w:rPr>
              <w:t>[</w:t>
            </w:r>
            <w:r w:rsidRPr="002F034C">
              <w:t>fifth</w:t>
            </w:r>
            <w:r w:rsidRPr="00F94B27" w:rsidR="00F94B27">
              <w:rPr>
                <w:b/>
              </w:rPr>
              <w:t>][</w:t>
            </w:r>
            <w:r w:rsidR="003857E8">
              <w:rPr>
                <w:rFonts w:ascii="Arial" w:hAnsi="Arial" w:cs="Arial"/>
              </w:rPr>
              <w:t>●</w:t>
            </w:r>
            <w:r w:rsidRPr="00F94B27" w:rsidR="00F94B27">
              <w:rPr>
                <w:b/>
              </w:rPr>
              <w:t>]</w:t>
            </w:r>
            <w:r w:rsidRPr="002F034C">
              <w:t xml:space="preserve"> Business Day following the last day of such Potential Credit Event Period. In each case the Issuer will not be liable for additional interest or other payments to the Holders of the Complex Products by reason of any such delayed payment. </w:t>
            </w:r>
          </w:p>
        </w:tc>
        <w:tc>
          <w:tcPr>
            <w:tcW w:w="2466" w:type="pct"/>
            <w:gridSpan w:val="14"/>
            <w:tcBorders>
              <w:left w:val="single" w:sz="4" w:space="0" w:color="auto"/>
            </w:tcBorders>
          </w:tcPr>
          <w:p w:rsidR="00BF6B38" w:rsidRPr="00BF6B38" w:rsidP="00314A06">
            <w:pPr>
              <w:pStyle w:val="CSBody0"/>
              <w:rPr>
                <w:lang w:val="de-DE"/>
              </w:rPr>
            </w:pPr>
            <w:r w:rsidRPr="00BF6B38">
              <w:rPr>
                <w:lang w:val="de-DE"/>
              </w:rPr>
              <w:t xml:space="preserve">Das Komplexe Produkt ist an </w:t>
            </w:r>
            <w:r w:rsidRPr="00F94B27" w:rsidR="00F94B27">
              <w:rPr>
                <w:b/>
                <w:lang w:val="de-DE"/>
              </w:rPr>
              <w:t>[</w:t>
            </w:r>
            <w:r w:rsidRPr="00BF6B38">
              <w:rPr>
                <w:b/>
                <w:i/>
                <w:lang w:val="de-DE"/>
              </w:rPr>
              <w:t>Zahl einfügen:</w:t>
            </w:r>
            <w:r w:rsidRPr="00BF6B38">
              <w:rPr>
                <w:lang w:val="de-DE"/>
              </w:rPr>
              <w:t xml:space="preserve"> </w:t>
            </w:r>
            <w:r w:rsidRPr="003857E8" w:rsidR="003857E8">
              <w:rPr>
                <w:rFonts w:ascii="Arial" w:hAnsi="Arial" w:cs="Arial"/>
                <w:lang w:val="de-DE"/>
              </w:rPr>
              <w:t>●</w:t>
            </w:r>
            <w:r w:rsidRPr="00F94B27" w:rsidR="00F94B27">
              <w:rPr>
                <w:b/>
                <w:lang w:val="de-DE"/>
              </w:rPr>
              <w:t>]</w:t>
            </w:r>
            <w:r w:rsidRPr="00BF6B38">
              <w:rPr>
                <w:lang w:val="de-DE"/>
              </w:rPr>
              <w:t xml:space="preserve"> Referenzschuldner gekoppelt und es wird vorzeitig beendet, wenn in Bezug auf </w:t>
            </w:r>
            <w:r w:rsidRPr="00F94B27" w:rsidR="00F94B27">
              <w:rPr>
                <w:b/>
                <w:lang w:val="de-DE"/>
              </w:rPr>
              <w:t>[</w:t>
            </w:r>
            <w:r w:rsidRPr="003857E8" w:rsidR="003857E8">
              <w:rPr>
                <w:rFonts w:ascii="Arial" w:hAnsi="Arial" w:cs="Arial"/>
                <w:lang w:val="de-DE"/>
              </w:rPr>
              <w:t>●</w:t>
            </w:r>
            <w:r w:rsidRPr="00F94B27" w:rsidR="00F94B27">
              <w:rPr>
                <w:b/>
                <w:lang w:val="de-DE"/>
              </w:rPr>
              <w:t>]</w:t>
            </w:r>
            <w:r w:rsidRPr="00BF6B38">
              <w:rPr>
                <w:lang w:val="de-DE"/>
              </w:rPr>
              <w:t xml:space="preserve"> Referenzschuldner (der </w:t>
            </w:r>
            <w:r w:rsidRPr="00F94B27" w:rsidR="00F94B27">
              <w:rPr>
                <w:b/>
                <w:lang w:val="de-DE"/>
              </w:rPr>
              <w:t>[</w:t>
            </w:r>
            <w:r w:rsidRPr="003857E8" w:rsidR="003857E8">
              <w:rPr>
                <w:rFonts w:ascii="Arial" w:hAnsi="Arial" w:cs="Arial"/>
                <w:lang w:val="de-DE"/>
              </w:rPr>
              <w:t>●</w:t>
            </w:r>
            <w:r w:rsidRPr="00F94B27" w:rsidR="00F94B27">
              <w:rPr>
                <w:b/>
                <w:lang w:val="de-DE"/>
              </w:rPr>
              <w:t>]</w:t>
            </w:r>
            <w:r w:rsidRPr="00BF6B38">
              <w:rPr>
                <w:lang w:val="de-DE"/>
              </w:rPr>
              <w:t xml:space="preserve"> Referenzschuldner, in Bezug auf den ein Kreditereignis-Feststellungstag eintritt, dass die vorzeitige Rückzahlung auslöst, wird als "</w:t>
            </w:r>
            <w:r w:rsidRPr="00F94B27" w:rsidR="00F94B27">
              <w:rPr>
                <w:b/>
                <w:lang w:val="de-DE"/>
              </w:rPr>
              <w:t>[</w:t>
            </w:r>
            <w:r w:rsidRPr="00BF6B38">
              <w:rPr>
                <w:b/>
                <w:i/>
                <w:lang w:val="de-DE"/>
              </w:rPr>
              <w:t>jeweilige Zahl einfügen:</w:t>
            </w:r>
            <w:r w:rsidRPr="00BF6B38">
              <w:rPr>
                <w:b/>
                <w:lang w:val="de-DE"/>
              </w:rPr>
              <w:t xml:space="preserve"> </w:t>
            </w:r>
            <w:r w:rsidRPr="00F94B27" w:rsidR="00F94B27">
              <w:rPr>
                <w:b/>
                <w:lang w:val="de-DE"/>
              </w:rPr>
              <w:t>[</w:t>
            </w:r>
            <w:r w:rsidRPr="00BF6B38">
              <w:rPr>
                <w:b/>
                <w:lang w:val="de-DE"/>
              </w:rPr>
              <w:t>1st</w:t>
            </w:r>
            <w:r w:rsidRPr="00F94B27" w:rsidR="00F94B27">
              <w:rPr>
                <w:b/>
                <w:lang w:val="de-DE"/>
              </w:rPr>
              <w:t>][</w:t>
            </w:r>
            <w:r w:rsidRPr="00BF6B38">
              <w:rPr>
                <w:b/>
                <w:lang w:val="de-DE"/>
              </w:rPr>
              <w:t>2nd</w:t>
            </w:r>
            <w:r w:rsidRPr="00F94B27" w:rsidR="00F94B27">
              <w:rPr>
                <w:b/>
                <w:lang w:val="de-DE"/>
              </w:rPr>
              <w:t>][</w:t>
            </w:r>
            <w:r w:rsidRPr="00BF6B38">
              <w:rPr>
                <w:b/>
                <w:lang w:val="de-DE"/>
              </w:rPr>
              <w:t>3rd</w:t>
            </w:r>
            <w:r w:rsidRPr="00F94B27" w:rsidR="00F94B27">
              <w:rPr>
                <w:b/>
                <w:lang w:val="de-DE"/>
              </w:rPr>
              <w:t>][[</w:t>
            </w:r>
            <w:r w:rsidR="003857E8">
              <w:rPr>
                <w:rFonts w:ascii="Arial" w:hAnsi="Arial" w:cs="Arial"/>
                <w:b/>
                <w:lang w:val="de-DE"/>
              </w:rPr>
              <w:t>●</w:t>
            </w:r>
            <w:r w:rsidRPr="00F94B27" w:rsidR="00F94B27">
              <w:rPr>
                <w:b/>
                <w:lang w:val="de-DE"/>
              </w:rPr>
              <w:t>]]]</w:t>
            </w:r>
            <w:r w:rsidRPr="00BF6B38">
              <w:rPr>
                <w:b/>
                <w:lang w:val="de-DE"/>
              </w:rPr>
              <w:t>-to-Default-to-Default-Referenzschuldner</w:t>
            </w:r>
            <w:r w:rsidRPr="00BF6B38">
              <w:rPr>
                <w:lang w:val="de-DE"/>
              </w:rPr>
              <w:t xml:space="preserve">" bezeichnet) ein Kreditereignis-Feststellungstag eingetreten ist (zur Klarstellung: ein Ereignisfeststellungstag kann in Bezug auf einen Referenzschuldner nur einmal eintreten). </w:t>
            </w:r>
            <w:r w:rsidRPr="00BF6B38">
              <w:rPr>
                <w:b/>
                <w:lang w:val="de-DE"/>
              </w:rPr>
              <w:t>Nur wenn kein Kreditereignis-Feststellungstag</w:t>
            </w:r>
            <w:r w:rsidRPr="00BF6B38">
              <w:rPr>
                <w:lang w:val="de-DE"/>
              </w:rPr>
              <w:t xml:space="preserve"> in Bezug auf </w:t>
            </w:r>
            <w:r w:rsidRPr="00F94B27" w:rsidR="00F94B27">
              <w:rPr>
                <w:b/>
                <w:lang w:val="de-DE"/>
              </w:rPr>
              <w:t>[</w:t>
            </w:r>
            <w:r w:rsidRPr="003857E8" w:rsidR="003857E8">
              <w:rPr>
                <w:rFonts w:ascii="Arial" w:hAnsi="Arial" w:cs="Arial"/>
                <w:lang w:val="de-DE"/>
              </w:rPr>
              <w:t>●</w:t>
            </w:r>
            <w:r w:rsidRPr="00F94B27" w:rsidR="00F94B27">
              <w:rPr>
                <w:b/>
                <w:lang w:val="de-DE"/>
              </w:rPr>
              <w:t>]</w:t>
            </w:r>
            <w:r w:rsidRPr="00BF6B38">
              <w:rPr>
                <w:lang w:val="de-DE"/>
              </w:rPr>
              <w:t xml:space="preserve"> Referenzschuldnern (also in Bezug auf den </w:t>
            </w:r>
            <w:r w:rsidRPr="00F94B27" w:rsidR="00F94B27">
              <w:rPr>
                <w:b/>
                <w:lang w:val="de-DE"/>
              </w:rPr>
              <w:t>[</w:t>
            </w:r>
            <w:r w:rsidRPr="00BF6B38">
              <w:rPr>
                <w:b/>
                <w:i/>
                <w:lang w:val="de-DE"/>
              </w:rPr>
              <w:t>jeweilige Zahl einfügen:</w:t>
            </w:r>
            <w:r w:rsidRPr="00BF6B38">
              <w:rPr>
                <w:lang w:val="de-DE"/>
              </w:rPr>
              <w:t xml:space="preserve"> </w:t>
            </w:r>
            <w:r w:rsidRPr="00F94B27" w:rsidR="00F94B27">
              <w:rPr>
                <w:b/>
                <w:lang w:val="de-DE"/>
              </w:rPr>
              <w:t>[</w:t>
            </w:r>
            <w:r w:rsidRPr="00BF6B38">
              <w:rPr>
                <w:lang w:val="de-DE"/>
              </w:rPr>
              <w:t>1st</w:t>
            </w:r>
            <w:r w:rsidRPr="00F94B27" w:rsidR="00F94B27">
              <w:rPr>
                <w:b/>
                <w:lang w:val="de-DE"/>
              </w:rPr>
              <w:t>][</w:t>
            </w:r>
            <w:r w:rsidRPr="00BF6B38">
              <w:rPr>
                <w:lang w:val="de-DE"/>
              </w:rPr>
              <w:t>2nd</w:t>
            </w:r>
            <w:r w:rsidRPr="00F94B27" w:rsidR="00F94B27">
              <w:rPr>
                <w:b/>
                <w:lang w:val="de-DE"/>
              </w:rPr>
              <w:t>][</w:t>
            </w:r>
            <w:r w:rsidRPr="00BF6B38">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BF6B38">
              <w:rPr>
                <w:lang w:val="de-DE"/>
              </w:rPr>
              <w:t>-to-Default-Referenzschuldner) am oder vor dem Planm</w:t>
            </w:r>
            <w:r w:rsidRPr="00BF6B38">
              <w:rPr>
                <w:rFonts w:cs="Credit Suisse Type Light"/>
                <w:lang w:val="de-DE"/>
              </w:rPr>
              <w:t>ä</w:t>
            </w:r>
            <w:r w:rsidRPr="00BF6B38">
              <w:rPr>
                <w:lang w:val="de-DE"/>
              </w:rPr>
              <w:t>ssigen F</w:t>
            </w:r>
            <w:r w:rsidRPr="00BF6B38">
              <w:rPr>
                <w:rFonts w:cs="Credit Suisse Type Light"/>
                <w:lang w:val="de-DE"/>
              </w:rPr>
              <w:t>ä</w:t>
            </w:r>
            <w:r w:rsidRPr="00BF6B38">
              <w:rPr>
                <w:lang w:val="de-DE"/>
              </w:rPr>
              <w:t xml:space="preserve">lligkeitstag </w:t>
            </w:r>
            <w:r w:rsidRPr="00BF6B38">
              <w:rPr>
                <w:b/>
                <w:lang w:val="de-DE"/>
              </w:rPr>
              <w:t>eingetreten ist</w:t>
            </w:r>
            <w:r w:rsidRPr="00BF6B38">
              <w:rPr>
                <w:lang w:val="de-DE"/>
              </w:rPr>
              <w:t>, erm</w:t>
            </w:r>
            <w:r w:rsidRPr="00BF6B38">
              <w:rPr>
                <w:rFonts w:cs="Credit Suisse Type Light"/>
                <w:lang w:val="de-DE"/>
              </w:rPr>
              <w:t>ö</w:t>
            </w:r>
            <w:r w:rsidRPr="00BF6B38">
              <w:rPr>
                <w:lang w:val="de-DE"/>
              </w:rPr>
              <w:t xml:space="preserve">glichen es die Komplexen Produkte ihrem Inhaber, die Zahlung des </w:t>
            </w:r>
            <w:r w:rsidRPr="00F94B27" w:rsidR="00F94B27">
              <w:rPr>
                <w:b/>
                <w:lang w:val="de-DE"/>
              </w:rPr>
              <w:t>[</w:t>
            </w:r>
            <w:r w:rsidRPr="00BF6B38">
              <w:rPr>
                <w:lang w:val="de-DE"/>
              </w:rPr>
              <w:t>jeweiligen</w:t>
            </w:r>
            <w:r w:rsidRPr="00F94B27" w:rsidR="00F94B27">
              <w:rPr>
                <w:b/>
                <w:lang w:val="de-DE"/>
              </w:rPr>
              <w:t>]</w:t>
            </w:r>
            <w:r w:rsidRPr="00BF6B38">
              <w:rPr>
                <w:lang w:val="de-DE"/>
              </w:rPr>
              <w:t xml:space="preserve"> Zinszahlungsbetrags </w:t>
            </w:r>
            <w:r w:rsidRPr="00F94B27" w:rsidR="00F94B27">
              <w:rPr>
                <w:b/>
                <w:lang w:val="de-DE"/>
              </w:rPr>
              <w:t>[</w:t>
            </w:r>
            <w:r w:rsidRPr="00BF6B38">
              <w:rPr>
                <w:lang w:val="de-DE"/>
              </w:rPr>
              <w:t>am</w:t>
            </w:r>
            <w:r w:rsidRPr="00F94B27" w:rsidR="00F94B27">
              <w:rPr>
                <w:b/>
                <w:lang w:val="de-DE"/>
              </w:rPr>
              <w:t>]</w:t>
            </w:r>
            <w:r w:rsidRPr="00BF6B38">
              <w:rPr>
                <w:lang w:val="de-DE"/>
              </w:rPr>
              <w:t xml:space="preserve"> </w:t>
            </w:r>
            <w:r w:rsidRPr="00F94B27" w:rsidR="00F94B27">
              <w:rPr>
                <w:b/>
                <w:lang w:val="de-DE"/>
              </w:rPr>
              <w:t>[</w:t>
            </w:r>
            <w:r w:rsidRPr="00BF6B38">
              <w:rPr>
                <w:lang w:val="de-DE"/>
              </w:rPr>
              <w:t>an jedem</w:t>
            </w:r>
            <w:r w:rsidRPr="00F94B27" w:rsidR="00F94B27">
              <w:rPr>
                <w:b/>
                <w:lang w:val="de-DE"/>
              </w:rPr>
              <w:t>]</w:t>
            </w:r>
            <w:r w:rsidRPr="00BF6B38">
              <w:rPr>
                <w:lang w:val="de-DE"/>
              </w:rPr>
              <w:t xml:space="preserve"> Zinszahlungstag zu erhalten, und die Emittentin zahlt die Komplexen Produkte zum Planmässigen Rückzahlungsbetrag am Planmässigen Fälligkeitstag zurück. Ist zwar kein Kreditereignis-Feststellungstag am oder vor dem Planmässigen Fälligkeitstag eingetreten, ist aber ein Referenzschuldner ein Potenzieller </w:t>
            </w:r>
            <w:r w:rsidRPr="00F94B27" w:rsidR="00F94B27">
              <w:rPr>
                <w:b/>
                <w:lang w:val="de-DE"/>
              </w:rPr>
              <w:t>[</w:t>
            </w:r>
            <w:r w:rsidRPr="00314A06">
              <w:rPr>
                <w:b/>
                <w:i/>
                <w:lang w:val="de-DE"/>
              </w:rPr>
              <w:t>jeweilige Zahl einfügen:</w:t>
            </w:r>
            <w:r w:rsidRPr="00BF6B38">
              <w:rPr>
                <w:lang w:val="de-DE"/>
              </w:rPr>
              <w:t xml:space="preserve"> </w:t>
            </w:r>
            <w:r w:rsidRPr="00F94B27" w:rsidR="00F94B27">
              <w:rPr>
                <w:b/>
                <w:lang w:val="de-DE"/>
              </w:rPr>
              <w:t>[</w:t>
            </w:r>
            <w:r w:rsidRPr="00BF6B38">
              <w:rPr>
                <w:lang w:val="de-DE"/>
              </w:rPr>
              <w:t>1st</w:t>
            </w:r>
            <w:r w:rsidRPr="00F94B27" w:rsidR="00F94B27">
              <w:rPr>
                <w:b/>
                <w:lang w:val="de-DE"/>
              </w:rPr>
              <w:t>][</w:t>
            </w:r>
            <w:r w:rsidRPr="00BF6B38">
              <w:rPr>
                <w:lang w:val="de-DE"/>
              </w:rPr>
              <w:t>2nd</w:t>
            </w:r>
            <w:r w:rsidRPr="00F94B27" w:rsidR="00F94B27">
              <w:rPr>
                <w:b/>
                <w:lang w:val="de-DE"/>
              </w:rPr>
              <w:t>][</w:t>
            </w:r>
            <w:r w:rsidRPr="00BF6B38">
              <w:rPr>
                <w:lang w:val="de-DE"/>
              </w:rPr>
              <w:t>3rd</w:t>
            </w:r>
            <w:r w:rsidRPr="00F94B27" w:rsidR="00F94B27">
              <w:rPr>
                <w:b/>
                <w:lang w:val="de-DE"/>
              </w:rPr>
              <w:t>][[</w:t>
            </w:r>
            <w:r w:rsidRPr="00BF6B38">
              <w:rPr>
                <w:rFonts w:ascii="Arial" w:hAnsi="Arial" w:cs="Arial"/>
                <w:lang w:val="de-DE"/>
              </w:rPr>
              <w:t>●</w:t>
            </w:r>
            <w:r w:rsidRPr="00F94B27" w:rsidR="00F94B27">
              <w:rPr>
                <w:b/>
                <w:lang w:val="de-DE"/>
              </w:rPr>
              <w:t>]]]</w:t>
            </w:r>
            <w:r w:rsidRPr="00BF6B38">
              <w:rPr>
                <w:lang w:val="de-DE"/>
              </w:rPr>
              <w:t>-to-Default-Referenzschuldner am Planm</w:t>
            </w:r>
            <w:r w:rsidRPr="00BF6B38">
              <w:rPr>
                <w:rFonts w:cs="Credit Suisse Type Light"/>
                <w:lang w:val="de-DE"/>
              </w:rPr>
              <w:t>ä</w:t>
            </w:r>
            <w:r w:rsidRPr="00BF6B38">
              <w:rPr>
                <w:lang w:val="de-DE"/>
              </w:rPr>
              <w:t>ssigen F</w:t>
            </w:r>
            <w:r w:rsidRPr="00BF6B38">
              <w:rPr>
                <w:rFonts w:cs="Credit Suisse Type Light"/>
                <w:lang w:val="de-DE"/>
              </w:rPr>
              <w:t>ä</w:t>
            </w:r>
            <w:r w:rsidRPr="00BF6B38">
              <w:rPr>
                <w:lang w:val="de-DE"/>
              </w:rPr>
              <w:t>lligkeitstag, so gilt folgendes: der Planm</w:t>
            </w:r>
            <w:r w:rsidRPr="00BF6B38">
              <w:rPr>
                <w:rFonts w:cs="Credit Suisse Type Light"/>
                <w:lang w:val="de-DE"/>
              </w:rPr>
              <w:t>ä</w:t>
            </w:r>
            <w:r w:rsidRPr="00BF6B38">
              <w:rPr>
                <w:lang w:val="de-DE"/>
              </w:rPr>
              <w:t>ssige F</w:t>
            </w:r>
            <w:r w:rsidRPr="00BF6B38">
              <w:rPr>
                <w:rFonts w:cs="Credit Suisse Type Light"/>
                <w:lang w:val="de-DE"/>
              </w:rPr>
              <w:t>ä</w:t>
            </w:r>
            <w:r w:rsidRPr="00BF6B38">
              <w:rPr>
                <w:lang w:val="de-DE"/>
              </w:rPr>
              <w:t xml:space="preserve">lligkeitstag (und alle Zahlungen in Bezug auf Zinsen und Kapital, die andernfalls an diesem Tag in Bezug auf die Komplexen Produkte gemacht werden würden) wird auf den </w:t>
            </w:r>
            <w:r w:rsidRPr="00F94B27" w:rsidR="00F94B27">
              <w:rPr>
                <w:b/>
                <w:lang w:val="de-DE"/>
              </w:rPr>
              <w:t>[</w:t>
            </w:r>
            <w:r w:rsidRPr="00BF6B38">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BF6B38">
              <w:rPr>
                <w:lang w:val="de-DE"/>
              </w:rPr>
              <w:t xml:space="preserve"> Geschäftstag nach dem letzten Tag des jeweiligen Zeitraums eines Potenziellen Kreditereignisses verschoben. In einem solchen Fall erfolgen Zahlungen von Kapital und Zinsen auf die Komplexen Produkte aber nur unter der Voraussetzung, dass während des jeweiligen Zeitraums eines Potenziellen Kreditereignisses dieser </w:t>
            </w:r>
            <w:r w:rsidRPr="00F94B27" w:rsidR="00F94B27">
              <w:rPr>
                <w:b/>
                <w:lang w:val="de-DE"/>
              </w:rPr>
              <w:t>[</w:t>
            </w:r>
            <w:r w:rsidRPr="00314A06">
              <w:rPr>
                <w:b/>
                <w:i/>
                <w:lang w:val="de-DE"/>
              </w:rPr>
              <w:t>jeweilige Zahl einfügen:</w:t>
            </w:r>
            <w:r w:rsidRPr="00BF6B38">
              <w:rPr>
                <w:lang w:val="de-DE"/>
              </w:rPr>
              <w:t xml:space="preserve"> </w:t>
            </w:r>
            <w:r w:rsidRPr="00F94B27" w:rsidR="00F94B27">
              <w:rPr>
                <w:b/>
                <w:lang w:val="de-DE"/>
              </w:rPr>
              <w:t>[</w:t>
            </w:r>
            <w:r w:rsidRPr="00BF6B38">
              <w:rPr>
                <w:lang w:val="de-DE"/>
              </w:rPr>
              <w:t>1st</w:t>
            </w:r>
            <w:r w:rsidRPr="00F94B27" w:rsidR="00F94B27">
              <w:rPr>
                <w:b/>
                <w:lang w:val="de-DE"/>
              </w:rPr>
              <w:t>][</w:t>
            </w:r>
            <w:r w:rsidRPr="00BF6B38">
              <w:rPr>
                <w:lang w:val="de-DE"/>
              </w:rPr>
              <w:t>2nd</w:t>
            </w:r>
            <w:r w:rsidRPr="00F94B27" w:rsidR="00F94B27">
              <w:rPr>
                <w:b/>
                <w:lang w:val="de-DE"/>
              </w:rPr>
              <w:t>][</w:t>
            </w:r>
            <w:r w:rsidRPr="00BF6B38">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BF6B38">
              <w:rPr>
                <w:lang w:val="de-DE"/>
              </w:rPr>
              <w:t>-to-Default-Referenzschuldner nicht als N</w:t>
            </w:r>
            <w:r w:rsidRPr="00E80B0C">
              <w:rPr>
                <w:b/>
                <w:i/>
                <w:vertAlign w:val="superscript"/>
                <w:lang w:val="de-DE"/>
              </w:rPr>
              <w:t>th</w:t>
            </w:r>
            <w:r w:rsidRPr="00BF6B38">
              <w:rPr>
                <w:lang w:val="de-DE"/>
              </w:rPr>
              <w:t xml:space="preserve">-to-Default-Referenzschuldner bestimmt wird. Gleichfalls gilt: wenn ein Zeitraum eines Potenziellen Kreditereignisses in Bezug auf einen Potenziellen </w:t>
            </w:r>
            <w:r w:rsidRPr="00F94B27" w:rsidR="00F94B27">
              <w:rPr>
                <w:b/>
                <w:lang w:val="de-DE"/>
              </w:rPr>
              <w:t>[</w:t>
            </w:r>
            <w:r w:rsidRPr="00314A06">
              <w:rPr>
                <w:b/>
                <w:i/>
                <w:lang w:val="de-DE"/>
              </w:rPr>
              <w:t>jeweilige Zahl einfügen:</w:t>
            </w:r>
            <w:r w:rsidRPr="00BF6B38">
              <w:rPr>
                <w:lang w:val="de-DE"/>
              </w:rPr>
              <w:t xml:space="preserve"> </w:t>
            </w:r>
            <w:r w:rsidRPr="00F94B27" w:rsidR="00F94B27">
              <w:rPr>
                <w:b/>
                <w:lang w:val="de-DE"/>
              </w:rPr>
              <w:t>[</w:t>
            </w:r>
            <w:r w:rsidRPr="00BF6B38">
              <w:rPr>
                <w:lang w:val="de-DE"/>
              </w:rPr>
              <w:t>1st</w:t>
            </w:r>
            <w:r w:rsidRPr="00F94B27" w:rsidR="00F94B27">
              <w:rPr>
                <w:b/>
                <w:lang w:val="de-DE"/>
              </w:rPr>
              <w:t>][</w:t>
            </w:r>
            <w:r w:rsidRPr="00BF6B38">
              <w:rPr>
                <w:lang w:val="de-DE"/>
              </w:rPr>
              <w:t>2nd</w:t>
            </w:r>
            <w:r w:rsidRPr="00F94B27" w:rsidR="00F94B27">
              <w:rPr>
                <w:b/>
                <w:lang w:val="de-DE"/>
              </w:rPr>
              <w:t>][</w:t>
            </w:r>
            <w:r w:rsidRPr="00BF6B38">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BF6B38">
              <w:rPr>
                <w:lang w:val="de-DE"/>
              </w:rPr>
              <w:t xml:space="preserve">-to-Default-Referenzschuldner an oder vor </w:t>
            </w:r>
            <w:r w:rsidRPr="00F94B27" w:rsidR="00F94B27">
              <w:rPr>
                <w:b/>
                <w:lang w:val="de-DE"/>
              </w:rPr>
              <w:t>[</w:t>
            </w:r>
            <w:r w:rsidRPr="00BF6B38">
              <w:rPr>
                <w:lang w:val="de-DE"/>
              </w:rPr>
              <w:t>dem</w:t>
            </w:r>
            <w:r w:rsidRPr="00F94B27" w:rsidR="00F94B27">
              <w:rPr>
                <w:b/>
                <w:lang w:val="de-DE"/>
              </w:rPr>
              <w:t>]</w:t>
            </w:r>
            <w:r w:rsidRPr="00BF6B38">
              <w:rPr>
                <w:lang w:val="de-DE"/>
              </w:rPr>
              <w:t xml:space="preserve"> </w:t>
            </w:r>
            <w:r w:rsidRPr="00F94B27" w:rsidR="00F94B27">
              <w:rPr>
                <w:b/>
                <w:lang w:val="de-DE"/>
              </w:rPr>
              <w:t>[</w:t>
            </w:r>
            <w:r w:rsidRPr="00BF6B38">
              <w:rPr>
                <w:lang w:val="de-DE"/>
              </w:rPr>
              <w:t>einem</w:t>
            </w:r>
            <w:r w:rsidRPr="00F94B27" w:rsidR="00F94B27">
              <w:rPr>
                <w:b/>
                <w:lang w:val="de-DE"/>
              </w:rPr>
              <w:t>]</w:t>
            </w:r>
            <w:r w:rsidRPr="00BF6B38">
              <w:rPr>
                <w:lang w:val="de-DE"/>
              </w:rPr>
              <w:t xml:space="preserve"> Zinszahlungstag eingetreten ist und an diesem Tag andauert, wird die Zahlung von Zinsen auf den </w:t>
            </w:r>
            <w:r w:rsidRPr="00F94B27" w:rsidR="00F94B27">
              <w:rPr>
                <w:b/>
                <w:lang w:val="de-DE"/>
              </w:rPr>
              <w:t>[</w:t>
            </w:r>
            <w:r w:rsidRPr="00BF6B38">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BF6B38">
              <w:rPr>
                <w:lang w:val="de-DE"/>
              </w:rPr>
              <w:t xml:space="preserve"> Geschäftstag nach dem letzten Tag eines solchen Zeitraums eines Potenziellen Kreditereignisses verschoben. In jedem Fall schuldet die Emittentin den Inhabern der Komplexen Produkte keine zusätzlichen Zins- oder sonstige Zahlungen aufgrund einer solchen verzögerten Zahlung. </w:t>
            </w:r>
          </w:p>
        </w:tc>
      </w:tr>
      <w:tr w:rsidTr="00942F00">
        <w:tblPrEx>
          <w:tblW w:w="5000" w:type="pct"/>
          <w:tblLayout w:type="fixed"/>
          <w:tblLook w:val="04A0"/>
        </w:tblPrEx>
        <w:tc>
          <w:tcPr>
            <w:tcW w:w="2534" w:type="pct"/>
            <w:gridSpan w:val="14"/>
            <w:tcBorders>
              <w:right w:val="single" w:sz="4" w:space="0" w:color="auto"/>
            </w:tcBorders>
          </w:tcPr>
          <w:p w:rsidR="00314A06" w:rsidRPr="009709DA" w:rsidP="002A02E2">
            <w:pPr>
              <w:pStyle w:val="CSBody0"/>
            </w:pPr>
            <w:r w:rsidRPr="00314A06">
              <w:rPr>
                <w:b/>
              </w:rPr>
              <w:t>Upon the occurrence of a Credit Event Determination Date</w:t>
            </w:r>
            <w:r w:rsidRPr="009709DA">
              <w:t xml:space="preserve"> with respect to the </w:t>
            </w:r>
            <w:r w:rsidRPr="00F94B27" w:rsidR="00F94B27">
              <w:rPr>
                <w:b/>
              </w:rPr>
              <w:t>[</w:t>
            </w:r>
            <w:r w:rsidRPr="00314A06">
              <w:rPr>
                <w:b/>
                <w:i/>
              </w:rPr>
              <w:t>insert relevant number:</w:t>
            </w:r>
            <w:r w:rsidRPr="009709DA">
              <w:t xml:space="preserve"> </w:t>
            </w:r>
            <w:r w:rsidRPr="00F94B27" w:rsidR="00F94B27">
              <w:rPr>
                <w:b/>
              </w:rPr>
              <w:t>[</w:t>
            </w:r>
            <w:r w:rsidRPr="009709DA">
              <w:t>1st</w:t>
            </w:r>
            <w:r w:rsidRPr="00F94B27" w:rsidR="00F94B27">
              <w:rPr>
                <w:b/>
              </w:rPr>
              <w:t>][</w:t>
            </w:r>
            <w:r w:rsidRPr="009709DA">
              <w:t>2nd</w:t>
            </w:r>
            <w:r w:rsidRPr="00F94B27" w:rsidR="00F94B27">
              <w:rPr>
                <w:b/>
              </w:rPr>
              <w:t>][</w:t>
            </w:r>
            <w:r w:rsidRPr="009709DA">
              <w:t>3rd</w:t>
            </w:r>
            <w:r w:rsidRPr="00F94B27" w:rsidR="00F94B27">
              <w:rPr>
                <w:b/>
              </w:rPr>
              <w:t>][[</w:t>
            </w:r>
            <w:r w:rsidR="003857E8">
              <w:rPr>
                <w:rFonts w:ascii="Arial" w:hAnsi="Arial" w:cs="Arial"/>
              </w:rPr>
              <w:t>●</w:t>
            </w:r>
            <w:r w:rsidRPr="00F94B27" w:rsidR="00F94B27">
              <w:rPr>
                <w:b/>
              </w:rPr>
              <w:t>]]]</w:t>
            </w:r>
            <w:r w:rsidRPr="009709DA">
              <w:t xml:space="preserve">-to-Default Reference Entity on or prior to the Scheduled Maturity Date (subject to extension if any Reference Entity is a Potential </w:t>
            </w:r>
            <w:r w:rsidRPr="00F94B27" w:rsidR="00F94B27">
              <w:rPr>
                <w:b/>
              </w:rPr>
              <w:t>[</w:t>
            </w:r>
            <w:r w:rsidRPr="00314A06">
              <w:rPr>
                <w:b/>
                <w:i/>
              </w:rPr>
              <w:t>insert relevant number:</w:t>
            </w:r>
            <w:r w:rsidRPr="009709DA">
              <w:t xml:space="preserve"> </w:t>
            </w:r>
            <w:r w:rsidRPr="00F94B27" w:rsidR="00F94B27">
              <w:rPr>
                <w:b/>
              </w:rPr>
              <w:t>[</w:t>
            </w:r>
            <w:r w:rsidRPr="009709DA">
              <w:t>1st</w:t>
            </w:r>
            <w:r w:rsidRPr="00F94B27" w:rsidR="00F94B27">
              <w:rPr>
                <w:b/>
              </w:rPr>
              <w:t>][</w:t>
            </w:r>
            <w:r w:rsidRPr="009709DA">
              <w:t>2nd</w:t>
            </w:r>
            <w:r w:rsidRPr="00F94B27" w:rsidR="00F94B27">
              <w:rPr>
                <w:b/>
              </w:rPr>
              <w:t>][</w:t>
            </w:r>
            <w:r w:rsidRPr="009709DA">
              <w:t>3rd</w:t>
            </w:r>
            <w:r w:rsidRPr="00F94B27" w:rsidR="00F94B27">
              <w:rPr>
                <w:b/>
              </w:rPr>
              <w:t>][[</w:t>
            </w:r>
            <w:r w:rsidR="003857E8">
              <w:rPr>
                <w:rFonts w:ascii="Arial" w:hAnsi="Arial" w:cs="Arial"/>
              </w:rPr>
              <w:t>●</w:t>
            </w:r>
            <w:r w:rsidRPr="00F94B27" w:rsidR="00F94B27">
              <w:rPr>
                <w:b/>
              </w:rPr>
              <w:t>]]]</w:t>
            </w:r>
            <w:r w:rsidRPr="009709DA">
              <w:t xml:space="preserve">-to-Default Reference Entity on the Scheduled Maturity Date), instead of being redeemed at the Scheduled Redemption Amount on the Scheduled Maturity Date, such Complex Product will be redeemed by payment of a cash amount to the Holder thereof equal to the Auction Redemption Amount with respect to the </w:t>
            </w:r>
            <w:r w:rsidRPr="00F94B27" w:rsidR="00F94B27">
              <w:rPr>
                <w:b/>
              </w:rPr>
              <w:t>[</w:t>
            </w:r>
            <w:r w:rsidRPr="00314A06">
              <w:rPr>
                <w:b/>
                <w:i/>
              </w:rPr>
              <w:t>insert relevant number:</w:t>
            </w:r>
            <w:r w:rsidRPr="009709DA">
              <w:t xml:space="preserve"> </w:t>
            </w:r>
            <w:r w:rsidRPr="00F94B27" w:rsidR="00F94B27">
              <w:rPr>
                <w:b/>
              </w:rPr>
              <w:t>[</w:t>
            </w:r>
            <w:r w:rsidRPr="009709DA">
              <w:t>1st</w:t>
            </w:r>
            <w:r w:rsidRPr="00F94B27" w:rsidR="00F94B27">
              <w:rPr>
                <w:b/>
              </w:rPr>
              <w:t>][</w:t>
            </w:r>
            <w:r w:rsidRPr="009709DA">
              <w:t>2nd</w:t>
            </w:r>
            <w:r w:rsidRPr="00F94B27" w:rsidR="00F94B27">
              <w:rPr>
                <w:b/>
              </w:rPr>
              <w:t>][</w:t>
            </w:r>
            <w:r w:rsidRPr="009709DA">
              <w:t>3rd</w:t>
            </w:r>
            <w:r w:rsidRPr="00F94B27" w:rsidR="00F94B27">
              <w:rPr>
                <w:b/>
              </w:rPr>
              <w:t>][[</w:t>
            </w:r>
            <w:r w:rsidR="003857E8">
              <w:rPr>
                <w:rFonts w:ascii="Arial" w:hAnsi="Arial" w:cs="Arial"/>
              </w:rPr>
              <w:t>●</w:t>
            </w:r>
            <w:r w:rsidRPr="00F94B27" w:rsidR="00F94B27">
              <w:rPr>
                <w:b/>
              </w:rPr>
              <w:t>]]]</w:t>
            </w:r>
            <w:r w:rsidRPr="009709DA">
              <w:t xml:space="preserve">-to-Default Reference Entity on the Auction Redemption Date (provided that no Fallback Settlement Event has occurred). The Calculation Agent will determine the Auction Redemption Amount on the basis of the Auction Final Price of the </w:t>
            </w:r>
            <w:r w:rsidRPr="00F94B27" w:rsidR="00F94B27">
              <w:rPr>
                <w:b/>
              </w:rPr>
              <w:t>[</w:t>
            </w:r>
            <w:r w:rsidRPr="00314A06">
              <w:rPr>
                <w:b/>
                <w:i/>
              </w:rPr>
              <w:t>insert relevant number:</w:t>
            </w:r>
            <w:r w:rsidRPr="009709DA">
              <w:t xml:space="preserve"> </w:t>
            </w:r>
            <w:r w:rsidRPr="00F94B27" w:rsidR="00F94B27">
              <w:rPr>
                <w:b/>
              </w:rPr>
              <w:t>[</w:t>
            </w:r>
            <w:r w:rsidRPr="009709DA">
              <w:t>1st</w:t>
            </w:r>
            <w:r w:rsidRPr="00F94B27" w:rsidR="00F94B27">
              <w:rPr>
                <w:b/>
              </w:rPr>
              <w:t>][</w:t>
            </w:r>
            <w:r w:rsidRPr="009709DA">
              <w:t>2nd</w:t>
            </w:r>
            <w:r w:rsidRPr="00F94B27" w:rsidR="00F94B27">
              <w:rPr>
                <w:b/>
              </w:rPr>
              <w:t>][</w:t>
            </w:r>
            <w:r w:rsidRPr="009709DA">
              <w:t>3rd</w:t>
            </w:r>
            <w:r w:rsidRPr="00F94B27" w:rsidR="00F94B27">
              <w:rPr>
                <w:b/>
              </w:rPr>
              <w:t>][[</w:t>
            </w:r>
            <w:r w:rsidR="003857E8">
              <w:rPr>
                <w:rFonts w:ascii="Arial" w:hAnsi="Arial" w:cs="Arial"/>
              </w:rPr>
              <w:t>●</w:t>
            </w:r>
            <w:r w:rsidRPr="00F94B27" w:rsidR="00F94B27">
              <w:rPr>
                <w:b/>
              </w:rPr>
              <w:t>]]]</w:t>
            </w:r>
            <w:r w:rsidRPr="009709DA">
              <w:t xml:space="preserve">-to-Default Reference Entity. The Auction Final Price of the </w:t>
            </w:r>
            <w:r w:rsidRPr="00F94B27" w:rsidR="00F94B27">
              <w:rPr>
                <w:b/>
              </w:rPr>
              <w:t>[</w:t>
            </w:r>
            <w:r w:rsidRPr="00314A06">
              <w:rPr>
                <w:b/>
                <w:i/>
              </w:rPr>
              <w:t>insert relevant number:</w:t>
            </w:r>
            <w:r w:rsidRPr="009709DA">
              <w:t xml:space="preserve"> </w:t>
            </w:r>
            <w:r w:rsidRPr="00F94B27" w:rsidR="00F94B27">
              <w:rPr>
                <w:b/>
              </w:rPr>
              <w:t>[</w:t>
            </w:r>
            <w:r w:rsidRPr="009709DA">
              <w:t>1st</w:t>
            </w:r>
            <w:r w:rsidRPr="00F94B27" w:rsidR="00F94B27">
              <w:rPr>
                <w:b/>
              </w:rPr>
              <w:t>][</w:t>
            </w:r>
            <w:r w:rsidRPr="009709DA">
              <w:t>2nd</w:t>
            </w:r>
            <w:r w:rsidRPr="00F94B27" w:rsidR="00F94B27">
              <w:rPr>
                <w:b/>
              </w:rPr>
              <w:t>][</w:t>
            </w:r>
            <w:r w:rsidRPr="009709DA">
              <w:t>3rd</w:t>
            </w:r>
            <w:r w:rsidRPr="00F94B27" w:rsidR="00F94B27">
              <w:rPr>
                <w:b/>
              </w:rPr>
              <w:t>][[</w:t>
            </w:r>
            <w:r w:rsidR="003857E8">
              <w:rPr>
                <w:rFonts w:ascii="Arial" w:hAnsi="Arial" w:cs="Arial"/>
              </w:rPr>
              <w:t>●</w:t>
            </w:r>
            <w:r w:rsidRPr="00F94B27" w:rsidR="00F94B27">
              <w:rPr>
                <w:b/>
              </w:rPr>
              <w:t>]]]</w:t>
            </w:r>
            <w:r w:rsidRPr="009709DA">
              <w:t xml:space="preserve">-to-Default Reference Entity will be determined by the relevant Credit Derivatives Determinations Committee in accordance with an auction conducted by ISDA. Alternatively, if a Fallback Settlement Event has occurred, the Cash Redemption Amount rather than the Auction Redemption Amount will be payable per Complex Product by the Issuer to the Holder thereof on the Cash Redemption Date. Such amount will be determined based upon one or more quotations for </w:t>
            </w:r>
            <w:r w:rsidRPr="00F94B27" w:rsidR="00F94B27">
              <w:rPr>
                <w:b/>
              </w:rPr>
              <w:t>[</w:t>
            </w:r>
            <w:r w:rsidRPr="009709DA">
              <w:t>the Reference Obligation or for</w:t>
            </w:r>
            <w:r w:rsidRPr="00F94B27" w:rsidR="00F94B27">
              <w:rPr>
                <w:b/>
              </w:rPr>
              <w:t>]</w:t>
            </w:r>
            <w:r w:rsidRPr="009709DA">
              <w:t xml:space="preserve"> a Valuation Obligation selected by the Calculation Agent of the </w:t>
            </w:r>
            <w:r w:rsidRPr="00F94B27" w:rsidR="00F94B27">
              <w:rPr>
                <w:b/>
              </w:rPr>
              <w:t>[</w:t>
            </w:r>
            <w:r w:rsidRPr="00314A06">
              <w:rPr>
                <w:b/>
                <w:i/>
              </w:rPr>
              <w:t xml:space="preserve">insert relevant number: </w:t>
            </w:r>
            <w:r w:rsidRPr="00F94B27" w:rsidR="00F94B27">
              <w:rPr>
                <w:b/>
              </w:rPr>
              <w:t>[</w:t>
            </w:r>
            <w:r w:rsidRPr="009709DA">
              <w:t>1st</w:t>
            </w:r>
            <w:r w:rsidRPr="00F94B27" w:rsidR="00F94B27">
              <w:rPr>
                <w:b/>
              </w:rPr>
              <w:t>][</w:t>
            </w:r>
            <w:r w:rsidRPr="009709DA">
              <w:t>2nd</w:t>
            </w:r>
            <w:r w:rsidRPr="00F94B27" w:rsidR="00F94B27">
              <w:rPr>
                <w:b/>
              </w:rPr>
              <w:t>][</w:t>
            </w:r>
            <w:r w:rsidRPr="009709DA">
              <w:t>3rd</w:t>
            </w:r>
            <w:r w:rsidRPr="00F94B27" w:rsidR="00F94B27">
              <w:rPr>
                <w:b/>
              </w:rPr>
              <w:t>][[</w:t>
            </w:r>
            <w:r w:rsidR="003857E8">
              <w:rPr>
                <w:rFonts w:ascii="Arial" w:hAnsi="Arial" w:cs="Arial"/>
              </w:rPr>
              <w:t>●</w:t>
            </w:r>
            <w:r w:rsidRPr="00F94B27" w:rsidR="00F94B27">
              <w:rPr>
                <w:b/>
              </w:rPr>
              <w:t>]]]</w:t>
            </w:r>
            <w:r w:rsidRPr="009709DA">
              <w:t>-to-Default Reference Entity, obtained by the Calculation Agent from banks or securities trading firms. The Auction Redemption Amount or the Cash Redemption Amount, as the case may be, will generally be considerably less than the Holder's initial investment in such Complex Product.</w:t>
            </w:r>
          </w:p>
        </w:tc>
        <w:tc>
          <w:tcPr>
            <w:tcW w:w="2466" w:type="pct"/>
            <w:gridSpan w:val="14"/>
            <w:tcBorders>
              <w:left w:val="single" w:sz="4" w:space="0" w:color="auto"/>
            </w:tcBorders>
          </w:tcPr>
          <w:p w:rsidR="00314A06" w:rsidRPr="00314A06" w:rsidP="002A02E2">
            <w:pPr>
              <w:pStyle w:val="CSBody0"/>
              <w:rPr>
                <w:lang w:val="de-DE"/>
              </w:rPr>
            </w:pPr>
            <w:r w:rsidRPr="00314A06">
              <w:rPr>
                <w:b/>
                <w:lang w:val="de-DE"/>
              </w:rPr>
              <w:t>Tritt</w:t>
            </w:r>
            <w:r w:rsidRPr="00314A06">
              <w:rPr>
                <w:lang w:val="de-DE"/>
              </w:rPr>
              <w:t xml:space="preserve"> in Bezug auf den </w:t>
            </w:r>
            <w:r w:rsidRPr="00F94B27" w:rsidR="00F94B27">
              <w:rPr>
                <w:b/>
                <w:lang w:val="de-DE"/>
              </w:rPr>
              <w:t>[</w:t>
            </w:r>
            <w:r w:rsidRPr="00314A06">
              <w:rPr>
                <w:b/>
                <w:i/>
                <w:lang w:val="de-DE"/>
              </w:rPr>
              <w:t>jeweilige Zahl einfügen:</w:t>
            </w:r>
            <w:r w:rsidRPr="00314A06">
              <w:rPr>
                <w:lang w:val="de-DE"/>
              </w:rPr>
              <w:t xml:space="preserve"> </w:t>
            </w:r>
            <w:r w:rsidRPr="00F94B27" w:rsidR="00F94B27">
              <w:rPr>
                <w:b/>
                <w:lang w:val="de-DE"/>
              </w:rPr>
              <w:t>[</w:t>
            </w:r>
            <w:r w:rsidRPr="00314A06">
              <w:rPr>
                <w:lang w:val="de-DE"/>
              </w:rPr>
              <w:t>1st</w:t>
            </w:r>
            <w:r w:rsidRPr="00F94B27" w:rsidR="00F94B27">
              <w:rPr>
                <w:b/>
                <w:lang w:val="de-DE"/>
              </w:rPr>
              <w:t>][</w:t>
            </w:r>
            <w:r w:rsidRPr="00314A06">
              <w:rPr>
                <w:lang w:val="de-DE"/>
              </w:rPr>
              <w:t>2nd</w:t>
            </w:r>
            <w:r w:rsidRPr="00F94B27" w:rsidR="00F94B27">
              <w:rPr>
                <w:b/>
                <w:lang w:val="de-DE"/>
              </w:rPr>
              <w:t>][</w:t>
            </w:r>
            <w:r w:rsidRPr="00314A0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314A06">
              <w:rPr>
                <w:lang w:val="de-DE"/>
              </w:rPr>
              <w:t>-to-Default-Referenzschuldner an oder vor dem Planm</w:t>
            </w:r>
            <w:r w:rsidRPr="00314A06">
              <w:rPr>
                <w:rFonts w:cs="Credit Suisse Type Light"/>
                <w:lang w:val="de-DE"/>
              </w:rPr>
              <w:t>ä</w:t>
            </w:r>
            <w:r w:rsidRPr="00314A06">
              <w:rPr>
                <w:lang w:val="de-DE"/>
              </w:rPr>
              <w:t xml:space="preserve">ssigen Fälligkeitstag (vorbehaltlich einer Verlängerung im Fall dass ein Referenzschuldner ein Potenzieller </w:t>
            </w:r>
            <w:r w:rsidRPr="00F94B27" w:rsidR="00F94B27">
              <w:rPr>
                <w:b/>
                <w:lang w:val="de-DE"/>
              </w:rPr>
              <w:t>[</w:t>
            </w:r>
            <w:r w:rsidRPr="00314A06">
              <w:rPr>
                <w:b/>
                <w:i/>
                <w:lang w:val="de-DE"/>
              </w:rPr>
              <w:t>jeweilige Zahl einfügen:</w:t>
            </w:r>
            <w:r w:rsidRPr="00314A06">
              <w:rPr>
                <w:lang w:val="de-DE"/>
              </w:rPr>
              <w:t xml:space="preserve"> </w:t>
            </w:r>
            <w:r w:rsidRPr="00F94B27" w:rsidR="00F94B27">
              <w:rPr>
                <w:b/>
                <w:lang w:val="de-DE"/>
              </w:rPr>
              <w:t>[</w:t>
            </w:r>
            <w:r w:rsidRPr="00314A06">
              <w:rPr>
                <w:lang w:val="de-DE"/>
              </w:rPr>
              <w:t>1st</w:t>
            </w:r>
            <w:r w:rsidRPr="00F94B27" w:rsidR="00F94B27">
              <w:rPr>
                <w:b/>
                <w:lang w:val="de-DE"/>
              </w:rPr>
              <w:t>][</w:t>
            </w:r>
            <w:r w:rsidRPr="00314A06">
              <w:rPr>
                <w:lang w:val="de-DE"/>
              </w:rPr>
              <w:t>2nd</w:t>
            </w:r>
            <w:r w:rsidRPr="00F94B27" w:rsidR="00F94B27">
              <w:rPr>
                <w:b/>
                <w:lang w:val="de-DE"/>
              </w:rPr>
              <w:t>][</w:t>
            </w:r>
            <w:r w:rsidRPr="00314A0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314A06">
              <w:rPr>
                <w:lang w:val="de-DE"/>
              </w:rPr>
              <w:t>-to-Default-Referenzschuldner am Planm</w:t>
            </w:r>
            <w:r w:rsidRPr="00314A06">
              <w:rPr>
                <w:rFonts w:cs="Credit Suisse Type Light"/>
                <w:lang w:val="de-DE"/>
              </w:rPr>
              <w:t>ä</w:t>
            </w:r>
            <w:r w:rsidRPr="00314A06">
              <w:rPr>
                <w:lang w:val="de-DE"/>
              </w:rPr>
              <w:t>ssigen F</w:t>
            </w:r>
            <w:r w:rsidRPr="00314A06">
              <w:rPr>
                <w:rFonts w:cs="Credit Suisse Type Light"/>
                <w:lang w:val="de-DE"/>
              </w:rPr>
              <w:t>ä</w:t>
            </w:r>
            <w:r w:rsidRPr="00314A06">
              <w:rPr>
                <w:lang w:val="de-DE"/>
              </w:rPr>
              <w:t xml:space="preserve">lligkeitstag ist) </w:t>
            </w:r>
            <w:r w:rsidRPr="00314A06">
              <w:rPr>
                <w:b/>
                <w:lang w:val="de-DE"/>
              </w:rPr>
              <w:t>ein Kreditereignis-Feststellungstag</w:t>
            </w:r>
            <w:r w:rsidRPr="00314A06">
              <w:rPr>
                <w:lang w:val="de-DE"/>
              </w:rPr>
              <w:t xml:space="preserve"> ein, so wird dieses Komplexe Produkt nicht zum Planmässigen Rückzahlungsbetrag am Planmässigen Fälligkeitstag an den Inhaber zurückgezahlt, sondern durch Zahlung eines Barbetrags in Höhe des Auktions</w:t>
            </w:r>
            <w:r w:rsidR="002A02E2">
              <w:rPr>
                <w:lang w:val="de-DE"/>
              </w:rPr>
              <w:t>-</w:t>
            </w:r>
            <w:r w:rsidRPr="00314A06">
              <w:rPr>
                <w:lang w:val="de-DE"/>
              </w:rPr>
              <w:t xml:space="preserve">Rückzahlungsbetrags in Bezug auf den </w:t>
            </w:r>
            <w:r w:rsidRPr="00F94B27" w:rsidR="00F94B27">
              <w:rPr>
                <w:b/>
                <w:lang w:val="de-DE"/>
              </w:rPr>
              <w:t>[</w:t>
            </w:r>
            <w:r w:rsidRPr="00314A06">
              <w:rPr>
                <w:b/>
                <w:i/>
                <w:lang w:val="de-DE"/>
              </w:rPr>
              <w:t>jeweilige Zahl einfügen:</w:t>
            </w:r>
            <w:r w:rsidRPr="00314A06">
              <w:rPr>
                <w:lang w:val="de-DE"/>
              </w:rPr>
              <w:t xml:space="preserve"> </w:t>
            </w:r>
            <w:r w:rsidRPr="00F94B27" w:rsidR="00F94B27">
              <w:rPr>
                <w:b/>
                <w:lang w:val="de-DE"/>
              </w:rPr>
              <w:t>[</w:t>
            </w:r>
            <w:r w:rsidRPr="00314A06">
              <w:rPr>
                <w:lang w:val="de-DE"/>
              </w:rPr>
              <w:t>1st</w:t>
            </w:r>
            <w:r w:rsidRPr="00F94B27" w:rsidR="00F94B27">
              <w:rPr>
                <w:b/>
                <w:lang w:val="de-DE"/>
              </w:rPr>
              <w:t>][</w:t>
            </w:r>
            <w:r w:rsidRPr="00314A06">
              <w:rPr>
                <w:lang w:val="de-DE"/>
              </w:rPr>
              <w:t>2nd</w:t>
            </w:r>
            <w:r w:rsidRPr="00F94B27" w:rsidR="00F94B27">
              <w:rPr>
                <w:b/>
                <w:lang w:val="de-DE"/>
              </w:rPr>
              <w:t>][</w:t>
            </w:r>
            <w:r w:rsidRPr="00314A0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314A06">
              <w:rPr>
                <w:lang w:val="de-DE"/>
              </w:rPr>
              <w:t>-to-Default-Referenzschuldner am Auktions-R</w:t>
            </w:r>
            <w:r w:rsidRPr="00314A06">
              <w:rPr>
                <w:rFonts w:cs="Credit Suisse Type Light"/>
                <w:lang w:val="de-DE"/>
              </w:rPr>
              <w:t>ü</w:t>
            </w:r>
            <w:r w:rsidRPr="00314A06">
              <w:rPr>
                <w:lang w:val="de-DE"/>
              </w:rPr>
              <w:t>ckzahlungstag (vorausgesetzt dass kein Ereignis der Alternativen Abwicklung eingetreten ist). Die Berechnungsstelle bestimmt den Auktions-R</w:t>
            </w:r>
            <w:r w:rsidRPr="00314A06">
              <w:rPr>
                <w:rFonts w:cs="Credit Suisse Type Light"/>
                <w:lang w:val="de-DE"/>
              </w:rPr>
              <w:t>ü</w:t>
            </w:r>
            <w:r w:rsidRPr="00314A06">
              <w:rPr>
                <w:lang w:val="de-DE"/>
              </w:rPr>
              <w:t xml:space="preserve">ckzahlungsbetrag auf der Grundlage des Auktions-Endpreises des </w:t>
            </w:r>
            <w:r w:rsidRPr="00F94B27" w:rsidR="00F94B27">
              <w:rPr>
                <w:b/>
                <w:lang w:val="de-DE"/>
              </w:rPr>
              <w:t>[</w:t>
            </w:r>
            <w:r w:rsidRPr="00314A06">
              <w:rPr>
                <w:b/>
                <w:i/>
                <w:lang w:val="de-DE"/>
              </w:rPr>
              <w:t>jeweilige Zahl einfügen:</w:t>
            </w:r>
            <w:r w:rsidRPr="00314A06">
              <w:rPr>
                <w:lang w:val="de-DE"/>
              </w:rPr>
              <w:t xml:space="preserve"> </w:t>
            </w:r>
            <w:r w:rsidRPr="00F94B27" w:rsidR="00F94B27">
              <w:rPr>
                <w:b/>
                <w:lang w:val="de-DE"/>
              </w:rPr>
              <w:t>[</w:t>
            </w:r>
            <w:r w:rsidRPr="00314A06">
              <w:rPr>
                <w:lang w:val="de-DE"/>
              </w:rPr>
              <w:t>1st</w:t>
            </w:r>
            <w:r w:rsidRPr="00F94B27" w:rsidR="00F94B27">
              <w:rPr>
                <w:b/>
                <w:lang w:val="de-DE"/>
              </w:rPr>
              <w:t>][</w:t>
            </w:r>
            <w:r w:rsidRPr="00314A06">
              <w:rPr>
                <w:lang w:val="de-DE"/>
              </w:rPr>
              <w:t>2nd</w:t>
            </w:r>
            <w:r w:rsidRPr="00F94B27" w:rsidR="00F94B27">
              <w:rPr>
                <w:b/>
                <w:lang w:val="de-DE"/>
              </w:rPr>
              <w:t>][</w:t>
            </w:r>
            <w:r w:rsidRPr="00314A0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314A06">
              <w:rPr>
                <w:lang w:val="de-DE"/>
              </w:rPr>
              <w:t xml:space="preserve">-to-Default-Referenzschuldners. Der Auktions-Endpreis des </w:t>
            </w:r>
            <w:r w:rsidRPr="00F94B27" w:rsidR="00F94B27">
              <w:rPr>
                <w:b/>
                <w:lang w:val="de-DE"/>
              </w:rPr>
              <w:t>[</w:t>
            </w:r>
            <w:r w:rsidRPr="00314A06">
              <w:rPr>
                <w:b/>
                <w:i/>
                <w:lang w:val="de-DE"/>
              </w:rPr>
              <w:t>jeweilige Zahl einf</w:t>
            </w:r>
            <w:r w:rsidRPr="00314A06">
              <w:rPr>
                <w:rFonts w:cs="Credit Suisse Type Light"/>
                <w:b/>
                <w:i/>
                <w:lang w:val="de-DE"/>
              </w:rPr>
              <w:t>ü</w:t>
            </w:r>
            <w:r w:rsidRPr="00314A06">
              <w:rPr>
                <w:b/>
                <w:i/>
                <w:lang w:val="de-DE"/>
              </w:rPr>
              <w:t>gen:</w:t>
            </w:r>
            <w:r w:rsidRPr="00314A06">
              <w:rPr>
                <w:lang w:val="de-DE"/>
              </w:rPr>
              <w:t xml:space="preserve"> </w:t>
            </w:r>
            <w:r w:rsidRPr="00F94B27" w:rsidR="00F94B27">
              <w:rPr>
                <w:b/>
                <w:lang w:val="de-DE"/>
              </w:rPr>
              <w:t>[</w:t>
            </w:r>
            <w:r w:rsidRPr="00314A06">
              <w:rPr>
                <w:lang w:val="de-DE"/>
              </w:rPr>
              <w:t>1st</w:t>
            </w:r>
            <w:r w:rsidRPr="00F94B27" w:rsidR="00F94B27">
              <w:rPr>
                <w:b/>
                <w:lang w:val="de-DE"/>
              </w:rPr>
              <w:t>][</w:t>
            </w:r>
            <w:r w:rsidRPr="00314A06">
              <w:rPr>
                <w:lang w:val="de-DE"/>
              </w:rPr>
              <w:t>2nd</w:t>
            </w:r>
            <w:r w:rsidRPr="00F94B27" w:rsidR="00F94B27">
              <w:rPr>
                <w:b/>
                <w:lang w:val="de-DE"/>
              </w:rPr>
              <w:t>][</w:t>
            </w:r>
            <w:r w:rsidRPr="00314A06">
              <w:rPr>
                <w:lang w:val="de-DE"/>
              </w:rPr>
              <w:t>3rd</w:t>
            </w:r>
            <w:r w:rsidRPr="00F94B27" w:rsidR="00F94B27">
              <w:rPr>
                <w:b/>
                <w:lang w:val="de-DE"/>
              </w:rPr>
              <w:t>][[</w:t>
            </w:r>
            <w:r w:rsidRPr="00314A06">
              <w:rPr>
                <w:rFonts w:ascii="Arial" w:hAnsi="Arial" w:cs="Arial"/>
                <w:lang w:val="de-DE"/>
              </w:rPr>
              <w:t>●</w:t>
            </w:r>
            <w:r w:rsidRPr="00F94B27" w:rsidR="00F94B27">
              <w:rPr>
                <w:b/>
                <w:lang w:val="de-DE"/>
              </w:rPr>
              <w:t>]]]</w:t>
            </w:r>
            <w:r w:rsidRPr="00314A06">
              <w:rPr>
                <w:lang w:val="de-DE"/>
              </w:rPr>
              <w:t>-to-Default-Referenzschuldners wird von dem zust</w:t>
            </w:r>
            <w:r w:rsidRPr="00314A06">
              <w:rPr>
                <w:rFonts w:cs="Credit Suisse Type Light"/>
                <w:lang w:val="de-DE"/>
              </w:rPr>
              <w:t>ä</w:t>
            </w:r>
            <w:r w:rsidRPr="00314A06">
              <w:rPr>
                <w:lang w:val="de-DE"/>
              </w:rPr>
              <w:t xml:space="preserve">ndigen Kreditderivate-Feststellungsausschuss nach Massgabe einer von ISDA durchgeführten Auktion berechnet. Falls dagegen ein Ereignis der Alternativen Abwicklung eingetreten ist, hat die Emittentin nicht den Auktions-Rückzahlungsbetrag, sondern den Barrückzahlungsbetrag je Komplexes Produkt am Barrückzahlungstag an den Inhaber jedes Komplexen Produkts zu zahlen. Dieser Betrag wird auf der Grundlage einer oder mehrerer Quotierungen für </w:t>
            </w:r>
            <w:r w:rsidRPr="00F94B27" w:rsidR="00F94B27">
              <w:rPr>
                <w:b/>
                <w:lang w:val="de-DE"/>
              </w:rPr>
              <w:t>[</w:t>
            </w:r>
            <w:r w:rsidRPr="00314A06">
              <w:rPr>
                <w:lang w:val="de-DE"/>
              </w:rPr>
              <w:t>die Referenzverbindlichkeit oder für</w:t>
            </w:r>
            <w:r w:rsidRPr="00F94B27" w:rsidR="00F94B27">
              <w:rPr>
                <w:b/>
                <w:lang w:val="de-DE"/>
              </w:rPr>
              <w:t>]</w:t>
            </w:r>
            <w:r w:rsidRPr="00314A06">
              <w:rPr>
                <w:lang w:val="de-DE"/>
              </w:rPr>
              <w:t xml:space="preserve"> eine von der Berechnungstelle ausgewählte Bewertungsverbindlichkeit des </w:t>
            </w:r>
            <w:r w:rsidRPr="00F94B27" w:rsidR="00F94B27">
              <w:rPr>
                <w:b/>
                <w:lang w:val="de-DE"/>
              </w:rPr>
              <w:t>[</w:t>
            </w:r>
            <w:r w:rsidRPr="00314A06">
              <w:rPr>
                <w:b/>
                <w:i/>
                <w:lang w:val="de-DE"/>
              </w:rPr>
              <w:t>jeweilige Zahl einfügen:</w:t>
            </w:r>
            <w:r w:rsidRPr="00314A06">
              <w:rPr>
                <w:lang w:val="de-DE"/>
              </w:rPr>
              <w:t xml:space="preserve"> </w:t>
            </w:r>
            <w:r w:rsidRPr="00F94B27" w:rsidR="00F94B27">
              <w:rPr>
                <w:b/>
                <w:lang w:val="de-DE"/>
              </w:rPr>
              <w:t>[</w:t>
            </w:r>
            <w:r w:rsidRPr="00314A06">
              <w:rPr>
                <w:lang w:val="de-DE"/>
              </w:rPr>
              <w:t>1st</w:t>
            </w:r>
            <w:r w:rsidRPr="00F94B27" w:rsidR="00F94B27">
              <w:rPr>
                <w:b/>
                <w:lang w:val="de-DE"/>
              </w:rPr>
              <w:t>][</w:t>
            </w:r>
            <w:r w:rsidRPr="00314A06">
              <w:rPr>
                <w:lang w:val="de-DE"/>
              </w:rPr>
              <w:t>2nd</w:t>
            </w:r>
            <w:r w:rsidRPr="00F94B27" w:rsidR="00F94B27">
              <w:rPr>
                <w:b/>
                <w:lang w:val="de-DE"/>
              </w:rPr>
              <w:t>][</w:t>
            </w:r>
            <w:r w:rsidRPr="00314A06">
              <w:rPr>
                <w:lang w:val="de-DE"/>
              </w:rPr>
              <w:t>3rd</w:t>
            </w:r>
            <w:r w:rsidRPr="00F94B27" w:rsidR="00F94B27">
              <w:rPr>
                <w:b/>
                <w:lang w:val="de-DE"/>
              </w:rPr>
              <w:t>][[</w:t>
            </w:r>
            <w:r w:rsidRPr="00314A06">
              <w:rPr>
                <w:rFonts w:ascii="Arial" w:hAnsi="Arial" w:cs="Arial"/>
                <w:lang w:val="de-DE"/>
              </w:rPr>
              <w:t>●</w:t>
            </w:r>
            <w:r w:rsidRPr="00F94B27" w:rsidR="00F94B27">
              <w:rPr>
                <w:b/>
                <w:lang w:val="de-DE"/>
              </w:rPr>
              <w:t>]]]</w:t>
            </w:r>
            <w:r w:rsidRPr="00314A06">
              <w:rPr>
                <w:lang w:val="de-DE"/>
              </w:rPr>
              <w:t>-to-Default-Referenzschuldners, die die Berechnungsstelle von Banken oder Wertpapierhandelsunternehmen eingeholt hat, bestimmt. Der Auktions-R</w:t>
            </w:r>
            <w:r w:rsidRPr="00314A06">
              <w:rPr>
                <w:rFonts w:cs="Credit Suisse Type Light"/>
                <w:lang w:val="de-DE"/>
              </w:rPr>
              <w:t>ü</w:t>
            </w:r>
            <w:r w:rsidRPr="00314A06">
              <w:rPr>
                <w:lang w:val="de-DE"/>
              </w:rPr>
              <w:t>ckzahlungsbetrag bzw. der Barr</w:t>
            </w:r>
            <w:r w:rsidRPr="00314A06">
              <w:rPr>
                <w:rFonts w:cs="Credit Suisse Type Light"/>
                <w:lang w:val="de-DE"/>
              </w:rPr>
              <w:t>ü</w:t>
            </w:r>
            <w:r w:rsidRPr="00314A06">
              <w:rPr>
                <w:lang w:val="de-DE"/>
              </w:rPr>
              <w:t>ckzahlungsbetrag ist in der Regel wesentlich geringer als der von dem Inhaber ursprünglich eingesetzte Kapitalbetrag.</w:t>
            </w:r>
          </w:p>
        </w:tc>
      </w:tr>
      <w:tr w:rsidTr="00942F00">
        <w:tblPrEx>
          <w:tblW w:w="5000" w:type="pct"/>
          <w:tblLayout w:type="fixed"/>
          <w:tblLook w:val="04A0"/>
        </w:tblPrEx>
        <w:tc>
          <w:tcPr>
            <w:tcW w:w="2534" w:type="pct"/>
            <w:gridSpan w:val="14"/>
            <w:tcBorders>
              <w:right w:val="single" w:sz="4" w:space="0" w:color="auto"/>
            </w:tcBorders>
          </w:tcPr>
          <w:p w:rsidR="00314A06" w:rsidRPr="009709DA" w:rsidP="00314A06">
            <w:pPr>
              <w:pStyle w:val="CSBody0"/>
            </w:pPr>
            <w:r w:rsidRPr="009709DA">
              <w:t xml:space="preserve">In addition, upon the occurrence of a Credit Event Determination Date prior to an Interest Payment Date any accrued and unpaid interest on such Complex Product as of the date on which such Credit Event Determination Date has occurred will be cancelled and not be paid to the Holder thereof. In the worst case scenario, (i) a Credit Event Determination Date with respect to the </w:t>
            </w:r>
            <w:r w:rsidRPr="00F94B27" w:rsidR="00F94B27">
              <w:rPr>
                <w:b/>
              </w:rPr>
              <w:t>[</w:t>
            </w:r>
            <w:r w:rsidRPr="00314A06">
              <w:rPr>
                <w:b/>
                <w:i/>
              </w:rPr>
              <w:t>insert relevant number:</w:t>
            </w:r>
            <w:r w:rsidRPr="009709DA">
              <w:t xml:space="preserve"> </w:t>
            </w:r>
            <w:r w:rsidRPr="00F94B27" w:rsidR="00F94B27">
              <w:rPr>
                <w:b/>
              </w:rPr>
              <w:t>[</w:t>
            </w:r>
            <w:r w:rsidRPr="009709DA">
              <w:t>1st</w:t>
            </w:r>
            <w:r w:rsidRPr="00F94B27" w:rsidR="00F94B27">
              <w:rPr>
                <w:b/>
              </w:rPr>
              <w:t>][</w:t>
            </w:r>
            <w:r w:rsidRPr="009709DA">
              <w:t>2nd</w:t>
            </w:r>
            <w:r w:rsidRPr="00F94B27" w:rsidR="00F94B27">
              <w:rPr>
                <w:b/>
              </w:rPr>
              <w:t>][</w:t>
            </w:r>
            <w:r w:rsidRPr="009709DA">
              <w:t>3rd</w:t>
            </w:r>
            <w:r w:rsidRPr="00F94B27" w:rsidR="00F94B27">
              <w:rPr>
                <w:b/>
              </w:rPr>
              <w:t>][[</w:t>
            </w:r>
            <w:r w:rsidR="003857E8">
              <w:rPr>
                <w:rFonts w:ascii="Arial" w:hAnsi="Arial" w:cs="Arial"/>
              </w:rPr>
              <w:t>●</w:t>
            </w:r>
            <w:r w:rsidRPr="00F94B27" w:rsidR="00F94B27">
              <w:rPr>
                <w:b/>
              </w:rPr>
              <w:t>]]]</w:t>
            </w:r>
            <w:r w:rsidRPr="009709DA">
              <w:t xml:space="preserve">-to-Default Reference Entity occurs prior to the </w:t>
            </w:r>
            <w:r w:rsidRPr="00F94B27" w:rsidR="00F94B27">
              <w:rPr>
                <w:b/>
              </w:rPr>
              <w:t>[</w:t>
            </w:r>
            <w:r w:rsidRPr="009709DA">
              <w:t>first</w:t>
            </w:r>
            <w:r w:rsidRPr="00F94B27" w:rsidR="00F94B27">
              <w:rPr>
                <w:b/>
              </w:rPr>
              <w:t>]</w:t>
            </w:r>
            <w:r w:rsidRPr="009709DA">
              <w:t xml:space="preserve"> Interest Payment Date, which means that no interest payments on the relevant Complex Products will be made, and (ii) the Auction Redemption Amount or Cash Redemption Amount, as the case may be, is determined to be zero. In such case, the investor would suffer a total loss of its initial investment.</w:t>
            </w:r>
            <w:r w:rsidRPr="00F94B27" w:rsidR="00F94B27">
              <w:rPr>
                <w:b/>
              </w:rPr>
              <w:t>]</w:t>
            </w:r>
          </w:p>
        </w:tc>
        <w:tc>
          <w:tcPr>
            <w:tcW w:w="2466" w:type="pct"/>
            <w:gridSpan w:val="14"/>
            <w:tcBorders>
              <w:left w:val="single" w:sz="4" w:space="0" w:color="auto"/>
            </w:tcBorders>
          </w:tcPr>
          <w:p w:rsidR="00314A06" w:rsidRPr="00314A06" w:rsidP="00314A06">
            <w:pPr>
              <w:pStyle w:val="CSBody0"/>
              <w:rPr>
                <w:lang w:val="de-DE"/>
              </w:rPr>
            </w:pPr>
            <w:r w:rsidRPr="00314A06">
              <w:rPr>
                <w:lang w:val="de-DE"/>
              </w:rPr>
              <w:t xml:space="preserve">Darüber hinaus verfallen bei Eintritt eines Kreditereignis-Feststellungstag vor einem Zinszahlungstag etwaige zum Tag des Eintritts dieses Kreditereignis-Feststellungstags auf dieses Komplexe Produkt aufgelaufene und noch nicht gezahlte Zinsen und werden nicht an den Inhaber des Komplexen Produkts geleistet. Im schlimmsten Fall (i) tritt vor dem </w:t>
            </w:r>
            <w:r w:rsidRPr="00F94B27" w:rsidR="00F94B27">
              <w:rPr>
                <w:b/>
                <w:lang w:val="de-DE"/>
              </w:rPr>
              <w:t>[</w:t>
            </w:r>
            <w:r w:rsidRPr="00314A06">
              <w:rPr>
                <w:lang w:val="de-DE"/>
              </w:rPr>
              <w:t>ersten</w:t>
            </w:r>
            <w:r w:rsidRPr="00F94B27" w:rsidR="00F94B27">
              <w:rPr>
                <w:b/>
                <w:lang w:val="de-DE"/>
              </w:rPr>
              <w:t>]</w:t>
            </w:r>
            <w:r w:rsidRPr="00314A06">
              <w:rPr>
                <w:lang w:val="de-DE"/>
              </w:rPr>
              <w:t xml:space="preserve"> Zinszahlungstag ein Kreditereignis-Feststellungstag in Bezug auf den </w:t>
            </w:r>
            <w:r w:rsidRPr="00F94B27" w:rsidR="00F94B27">
              <w:rPr>
                <w:b/>
                <w:lang w:val="de-DE"/>
              </w:rPr>
              <w:t>[</w:t>
            </w:r>
            <w:r w:rsidRPr="00314A06">
              <w:rPr>
                <w:b/>
                <w:i/>
                <w:lang w:val="de-DE"/>
              </w:rPr>
              <w:t>jeweilige Zahl einfügen:</w:t>
            </w:r>
            <w:r w:rsidRPr="00314A06">
              <w:rPr>
                <w:lang w:val="de-DE"/>
              </w:rPr>
              <w:t xml:space="preserve"> </w:t>
            </w:r>
            <w:r w:rsidRPr="00F94B27" w:rsidR="00F94B27">
              <w:rPr>
                <w:b/>
                <w:lang w:val="de-DE"/>
              </w:rPr>
              <w:t>[</w:t>
            </w:r>
            <w:r w:rsidRPr="00314A06">
              <w:rPr>
                <w:lang w:val="de-DE"/>
              </w:rPr>
              <w:t>1st</w:t>
            </w:r>
            <w:r w:rsidRPr="00F94B27" w:rsidR="00F94B27">
              <w:rPr>
                <w:b/>
                <w:lang w:val="de-DE"/>
              </w:rPr>
              <w:t>][</w:t>
            </w:r>
            <w:r w:rsidRPr="00314A06">
              <w:rPr>
                <w:lang w:val="de-DE"/>
              </w:rPr>
              <w:t>2nd</w:t>
            </w:r>
            <w:r w:rsidRPr="00F94B27" w:rsidR="00F94B27">
              <w:rPr>
                <w:b/>
                <w:lang w:val="de-DE"/>
              </w:rPr>
              <w:t>][</w:t>
            </w:r>
            <w:r w:rsidRPr="00314A0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314A06">
              <w:rPr>
                <w:lang w:val="de-DE"/>
              </w:rPr>
              <w:t xml:space="preserve">-to-Default-Referenzschuldner ein, </w:t>
            </w:r>
            <w:r w:rsidR="007E3558">
              <w:rPr>
                <w:lang w:val="de-DE"/>
              </w:rPr>
              <w:t>d.h.</w:t>
            </w:r>
            <w:r w:rsidRPr="00314A06">
              <w:rPr>
                <w:lang w:val="de-DE"/>
              </w:rPr>
              <w:t xml:space="preserve"> es erfolgen keine Zinszahlungen auf das betreffende Komplexe Produkt, und (ii) wird festgestellt, dass der Auktions-R</w:t>
            </w:r>
            <w:r w:rsidRPr="00314A06">
              <w:rPr>
                <w:rFonts w:cs="Credit Suisse Type Light"/>
                <w:lang w:val="de-DE"/>
              </w:rPr>
              <w:t>ü</w:t>
            </w:r>
            <w:r w:rsidRPr="00314A06">
              <w:rPr>
                <w:lang w:val="de-DE"/>
              </w:rPr>
              <w:t>ckzahlungsbetrag bzw. Barrückzahlungsbetrag null ist. In diesem Fall würde der Anleger einen Totalverlust seines ursprünglich eingesetzten Kapitals erleiden.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314A06" w:rsidRPr="00AB16EC" w:rsidP="002A02E2">
            <w:pPr>
              <w:pStyle w:val="CSbody0bolditalic"/>
              <w:rPr>
                <w:lang w:val="en-GB"/>
              </w:rPr>
            </w:pPr>
            <w:r w:rsidRPr="00F94B27">
              <w:rPr>
                <w:lang w:val="en-GB"/>
              </w:rPr>
              <w:t>[</w:t>
            </w:r>
            <w:r w:rsidRPr="00AB16EC">
              <w:rPr>
                <w:lang w:val="en-GB"/>
              </w:rPr>
              <w:t>Insert in case of a Credit-Linked Complex Product with auction settlement that is linked to a Basket of Reference Entities:</w:t>
            </w:r>
          </w:p>
        </w:tc>
        <w:tc>
          <w:tcPr>
            <w:tcW w:w="2466" w:type="pct"/>
            <w:gridSpan w:val="14"/>
            <w:tcBorders>
              <w:left w:val="single" w:sz="4" w:space="0" w:color="auto"/>
            </w:tcBorders>
          </w:tcPr>
          <w:p w:rsidR="00314A06" w:rsidRPr="00314A06" w:rsidP="00314A06">
            <w:pPr>
              <w:pStyle w:val="CSbody0bolditalic"/>
            </w:pPr>
            <w:r w:rsidRPr="00F94B27">
              <w:t>[</w:t>
            </w:r>
            <w:r w:rsidRPr="00314A06">
              <w:t>Im Fall von eines Kreditbezogenen Komplexen Produkts mit Auktionsabwicklung, das an einen Korb von Referenzschuldnern gekoppelt ist, einfügen:</w:t>
            </w:r>
          </w:p>
        </w:tc>
      </w:tr>
      <w:tr w:rsidTr="00942F00">
        <w:tblPrEx>
          <w:tblW w:w="5000" w:type="pct"/>
          <w:tblLayout w:type="fixed"/>
          <w:tblLook w:val="04A0"/>
        </w:tblPrEx>
        <w:tc>
          <w:tcPr>
            <w:tcW w:w="2534" w:type="pct"/>
            <w:gridSpan w:val="14"/>
            <w:tcBorders>
              <w:right w:val="single" w:sz="4" w:space="0" w:color="auto"/>
            </w:tcBorders>
          </w:tcPr>
          <w:p w:rsidR="00314A06" w:rsidRPr="009709DA" w:rsidP="00474C21">
            <w:pPr>
              <w:pStyle w:val="CSBody0"/>
            </w:pPr>
            <w:r w:rsidRPr="009709DA">
              <w:t xml:space="preserve">The Complex Products are linked to a Basket of Reference Entities. This means, if no Credit Event Determination Date with respect to any Reference Entity occurs on or before the Scheduled Maturity Date, such Complex Product allows the Holder thereof to benefit from the payment of the </w:t>
            </w:r>
            <w:r w:rsidRPr="00F94B27" w:rsidR="00F94B27">
              <w:rPr>
                <w:b/>
              </w:rPr>
              <w:t>[</w:t>
            </w:r>
            <w:r w:rsidRPr="009709DA">
              <w:t>relevant</w:t>
            </w:r>
            <w:r w:rsidRPr="00F94B27" w:rsidR="00F94B27">
              <w:rPr>
                <w:b/>
              </w:rPr>
              <w:t>]</w:t>
            </w:r>
            <w:r w:rsidRPr="009709DA">
              <w:t xml:space="preserve"> Interest Payment Amount on </w:t>
            </w:r>
            <w:r w:rsidRPr="00F94B27" w:rsidR="00F94B27">
              <w:rPr>
                <w:b/>
              </w:rPr>
              <w:t>[</w:t>
            </w:r>
            <w:r w:rsidRPr="009709DA">
              <w:t>the</w:t>
            </w:r>
            <w:r w:rsidRPr="00F94B27" w:rsidR="00F94B27">
              <w:rPr>
                <w:b/>
              </w:rPr>
              <w:t>]</w:t>
            </w:r>
            <w:r w:rsidRPr="009709DA">
              <w:t xml:space="preserve"> </w:t>
            </w:r>
            <w:r w:rsidRPr="00F94B27" w:rsidR="00F94B27">
              <w:rPr>
                <w:b/>
              </w:rPr>
              <w:t>[</w:t>
            </w:r>
            <w:r w:rsidRPr="009709DA">
              <w:t>each</w:t>
            </w:r>
            <w:r w:rsidRPr="00F94B27" w:rsidR="00F94B27">
              <w:rPr>
                <w:b/>
              </w:rPr>
              <w:t>]</w:t>
            </w:r>
            <w:r w:rsidRPr="009709DA">
              <w:t xml:space="preserve"> Interest Payment Date and the Issuer will redeem the Complex Products at a Scheduled Redemption Amount equal to 100% of the Principal Amount of the Complex Products on the Scheduled Maturity Date. However, even if no Credit Event Determination Date has occurred with respect to any Reference Entity on or prior to the Scheduled Maturity Date, if a Potential Credit Event Period with respect to any Reference Entity has occurred on or prior to, and is continuing on, the Scheduled Maturity Date, the Scheduled Maturity Date and any payments of principal and interest in respect of the portion of the Principal Amount of the Complex Products equal to the Reference Entity Principal Amount of such Reference Entity will be postponed to the </w:t>
            </w:r>
            <w:r w:rsidRPr="00F94B27" w:rsidR="00F94B27">
              <w:rPr>
                <w:b/>
              </w:rPr>
              <w:t>[</w:t>
            </w:r>
            <w:r w:rsidRPr="009709DA">
              <w:t>fifth</w:t>
            </w:r>
            <w:r w:rsidRPr="00F94B27" w:rsidR="00F94B27">
              <w:rPr>
                <w:b/>
              </w:rPr>
              <w:t>][</w:t>
            </w:r>
            <w:r w:rsidR="003857E8">
              <w:rPr>
                <w:rFonts w:ascii="Arial" w:hAnsi="Arial" w:cs="Arial"/>
              </w:rPr>
              <w:t>●</w:t>
            </w:r>
            <w:r w:rsidRPr="00F94B27" w:rsidR="00F94B27">
              <w:rPr>
                <w:b/>
              </w:rPr>
              <w:t>]</w:t>
            </w:r>
            <w:r w:rsidRPr="009709DA">
              <w:t xml:space="preserve"> Business Day following the last day of such Potential Credit Event Period. However, in such case any principal and interest in respect of such Reference Entity Principal Amount will only be paid if during such Potential Credit Event Period the relevant Potential Failure to Pay </w:t>
            </w:r>
            <w:r w:rsidRPr="00F94B27" w:rsidR="00F94B27">
              <w:rPr>
                <w:b/>
              </w:rPr>
              <w:t>[</w:t>
            </w:r>
            <w:r w:rsidRPr="009709DA">
              <w:t>, Potential Repudiation/Moratorium</w:t>
            </w:r>
            <w:r w:rsidRPr="00F94B27" w:rsidR="00F94B27">
              <w:rPr>
                <w:b/>
              </w:rPr>
              <w:t>]</w:t>
            </w:r>
            <w:r w:rsidRPr="009709DA">
              <w:t xml:space="preserve"> or a DC Pending Request in respect of the relevant Reference Entity, as applicable, has not resulted in the occurrence of a Credit Event Determination Date. Likewise, if a Potential Credit Event Period with respect to any Reference Entity that is not an Affected Reference Entity has occurred prior to, and is continuing on, </w:t>
            </w:r>
            <w:r w:rsidRPr="00F94B27" w:rsidR="00F94B27">
              <w:rPr>
                <w:b/>
              </w:rPr>
              <w:t>[</w:t>
            </w:r>
            <w:r w:rsidRPr="009709DA">
              <w:t>the</w:t>
            </w:r>
            <w:r w:rsidRPr="00F94B27" w:rsidR="00F94B27">
              <w:rPr>
                <w:b/>
              </w:rPr>
              <w:t>][</w:t>
            </w:r>
            <w:r w:rsidRPr="009709DA">
              <w:t>an</w:t>
            </w:r>
            <w:r w:rsidRPr="00F94B27" w:rsidR="00F94B27">
              <w:rPr>
                <w:b/>
              </w:rPr>
              <w:t>]</w:t>
            </w:r>
            <w:r w:rsidRPr="009709DA">
              <w:t xml:space="preserve"> Interest Payment Date, the payment of the portion of the </w:t>
            </w:r>
            <w:r w:rsidRPr="00F94B27" w:rsidR="00F94B27">
              <w:rPr>
                <w:b/>
              </w:rPr>
              <w:t>[</w:t>
            </w:r>
            <w:r w:rsidRPr="009709DA">
              <w:t>relevant</w:t>
            </w:r>
            <w:r w:rsidRPr="00F94B27" w:rsidR="00F94B27">
              <w:rPr>
                <w:b/>
              </w:rPr>
              <w:t>]</w:t>
            </w:r>
            <w:r w:rsidRPr="009709DA">
              <w:t xml:space="preserve"> Interest Payment Amount in respect of the portion of the Principal Amount of the Complex Products equal to the Reference Entity Principal Amount of such Reference Entity (the </w:t>
            </w:r>
            <w:r w:rsidR="00116653">
              <w:t>"</w:t>
            </w:r>
            <w:r w:rsidRPr="00F80CF6">
              <w:rPr>
                <w:b/>
              </w:rPr>
              <w:t>Remaining Interest Payment Amount</w:t>
            </w:r>
            <w:r w:rsidR="00116653">
              <w:t>"</w:t>
            </w:r>
            <w:r w:rsidRPr="009709DA">
              <w:t xml:space="preserve">) will be postponed to the </w:t>
            </w:r>
            <w:r w:rsidRPr="00F94B27" w:rsidR="00F94B27">
              <w:rPr>
                <w:b/>
              </w:rPr>
              <w:t>[</w:t>
            </w:r>
            <w:r w:rsidRPr="009709DA">
              <w:t>fifth</w:t>
            </w:r>
            <w:r w:rsidRPr="00F94B27" w:rsidR="00F94B27">
              <w:rPr>
                <w:b/>
              </w:rPr>
              <w:t>][</w:t>
            </w:r>
            <w:r w:rsidR="003857E8">
              <w:rPr>
                <w:rFonts w:ascii="Arial" w:hAnsi="Arial" w:cs="Arial"/>
              </w:rPr>
              <w:t>●</w:t>
            </w:r>
            <w:r w:rsidRPr="00F94B27" w:rsidR="00F94B27">
              <w:rPr>
                <w:b/>
              </w:rPr>
              <w:t>]</w:t>
            </w:r>
            <w:r w:rsidRPr="009709DA">
              <w:t xml:space="preserve"> Business Day after the last day of the Potential Credit Event Period. However, in such case the Remaining Interest Payment Amount will only be paid if during such Potential Credit Event Period the relevant Potential Failure to Pay </w:t>
            </w:r>
            <w:r w:rsidRPr="00F94B27" w:rsidR="00F94B27">
              <w:rPr>
                <w:b/>
              </w:rPr>
              <w:t>[</w:t>
            </w:r>
            <w:r w:rsidRPr="009709DA">
              <w:t>, the relevant Potential Repudiation/Moratorium</w:t>
            </w:r>
            <w:r w:rsidRPr="00F94B27" w:rsidR="00F94B27">
              <w:rPr>
                <w:b/>
              </w:rPr>
              <w:t>]</w:t>
            </w:r>
            <w:r w:rsidRPr="009709DA">
              <w:t xml:space="preserve"> or a DC Pending Request, as applicable, in respect of the relevant Reference Entity has not resulted in the occurrence of a Credit Event Determination Date.In each case the Issuer will not be liable for additional interest or other payments to the Holders of the Complex Products by reason of any such delayed payment.</w:t>
            </w:r>
          </w:p>
        </w:tc>
        <w:tc>
          <w:tcPr>
            <w:tcW w:w="2466" w:type="pct"/>
            <w:gridSpan w:val="14"/>
            <w:tcBorders>
              <w:left w:val="single" w:sz="4" w:space="0" w:color="auto"/>
            </w:tcBorders>
          </w:tcPr>
          <w:p w:rsidR="00314A06" w:rsidRPr="00314A06" w:rsidP="00474C21">
            <w:pPr>
              <w:pStyle w:val="CSBody0"/>
              <w:rPr>
                <w:lang w:val="de-DE"/>
              </w:rPr>
            </w:pPr>
            <w:r w:rsidRPr="00314A06">
              <w:rPr>
                <w:lang w:val="de-DE"/>
              </w:rPr>
              <w:t xml:space="preserve">Die Komplexen Produkte sind an einen Korb von Referenzschuldnern gekoppelt. Dies bedeutet: falls kein Kreditereignis-Feststellungstag in Bezug auf einen der Referenzschuldner am oder vor dem Planmässigen Fälligkeitstag eingetreten ist, ermöglicht das Komplexe Produkt seinem Inhaber, die </w:t>
            </w:r>
            <w:r w:rsidRPr="00F94B27" w:rsidR="00F94B27">
              <w:rPr>
                <w:b/>
                <w:lang w:val="de-DE"/>
              </w:rPr>
              <w:t>[</w:t>
            </w:r>
            <w:r w:rsidRPr="00314A06">
              <w:rPr>
                <w:lang w:val="de-DE"/>
              </w:rPr>
              <w:t>jeweilige</w:t>
            </w:r>
            <w:r w:rsidRPr="00F94B27" w:rsidR="00F94B27">
              <w:rPr>
                <w:b/>
                <w:lang w:val="de-DE"/>
              </w:rPr>
              <w:t>]</w:t>
            </w:r>
            <w:r w:rsidRPr="00314A06">
              <w:rPr>
                <w:lang w:val="de-DE"/>
              </w:rPr>
              <w:t xml:space="preserve"> Zinszahlung </w:t>
            </w:r>
            <w:r w:rsidRPr="00F94B27" w:rsidR="00F94B27">
              <w:rPr>
                <w:b/>
                <w:lang w:val="de-DE"/>
              </w:rPr>
              <w:t>[</w:t>
            </w:r>
            <w:r w:rsidRPr="00314A06">
              <w:rPr>
                <w:lang w:val="de-DE"/>
              </w:rPr>
              <w:t>am</w:t>
            </w:r>
            <w:r w:rsidRPr="00F94B27" w:rsidR="00F94B27">
              <w:rPr>
                <w:b/>
                <w:lang w:val="de-DE"/>
              </w:rPr>
              <w:t>]</w:t>
            </w:r>
            <w:r w:rsidRPr="00314A06">
              <w:rPr>
                <w:lang w:val="de-DE"/>
              </w:rPr>
              <w:t xml:space="preserve"> </w:t>
            </w:r>
            <w:r w:rsidRPr="00F94B27" w:rsidR="00F94B27">
              <w:rPr>
                <w:b/>
                <w:lang w:val="de-DE"/>
              </w:rPr>
              <w:t>[</w:t>
            </w:r>
            <w:r w:rsidRPr="00314A06">
              <w:rPr>
                <w:lang w:val="de-DE"/>
              </w:rPr>
              <w:t>an jedem</w:t>
            </w:r>
            <w:r w:rsidRPr="00F94B27" w:rsidR="00F94B27">
              <w:rPr>
                <w:b/>
                <w:lang w:val="de-DE"/>
              </w:rPr>
              <w:t>]</w:t>
            </w:r>
            <w:r w:rsidRPr="00314A06">
              <w:rPr>
                <w:lang w:val="de-DE"/>
              </w:rPr>
              <w:t xml:space="preserve"> Zinszahlungstag zu erhalten und die Emittentin zahlt die Komplexen Produkte zu einem Planmässigen Rückzahlungsbetrag in Höhe von 100% des Nennbetrags der Komplexen Produkte am Planmässigen Fälligkeitstag zurück. Ist zwar kein Kreditereignis-Feststellungstag am oder vor dem Planmässigen Fälligkeitstag eingetreten, hat aber ein Zeitraum eines Potenziellen Kreditereignisses in Bezug auf einen der Referenzschuldner an oder vor dem Planmässigen Fälligkeitstag begonnen und dauert am Planmässigen Fälligkeitstag an, so gilt folgendes: der Planmässige Fälligkeitstag und alle Zahlungen von Zinsen und Kapital in Bezug auf den Teil des Nennbetrags der Komplexen Produkte, der dem Referenzschuldner-Nennbetrag dieses Referenzschuldners entspricht, werden auf den </w:t>
            </w:r>
            <w:r w:rsidRPr="00F94B27" w:rsidR="00F94B27">
              <w:rPr>
                <w:b/>
                <w:lang w:val="de-DE"/>
              </w:rPr>
              <w:t>[</w:t>
            </w:r>
            <w:r w:rsidRPr="00314A06">
              <w:rPr>
                <w:lang w:val="de-DE"/>
              </w:rPr>
              <w:t>fünften</w:t>
            </w:r>
            <w:r w:rsidRPr="00F94B27" w:rsidR="00F94B27">
              <w:rPr>
                <w:b/>
                <w:lang w:val="de-DE"/>
              </w:rPr>
              <w:t>][</w:t>
            </w:r>
            <w:r w:rsidR="003857E8">
              <w:rPr>
                <w:rFonts w:ascii="Arial" w:hAnsi="Arial" w:cs="Arial"/>
                <w:lang w:val="de-DE"/>
              </w:rPr>
              <w:t>●</w:t>
            </w:r>
            <w:r w:rsidRPr="00F94B27" w:rsidR="00F94B27">
              <w:rPr>
                <w:b/>
                <w:lang w:val="de-DE"/>
              </w:rPr>
              <w:t>]</w:t>
            </w:r>
            <w:r w:rsidRPr="00314A06">
              <w:rPr>
                <w:lang w:val="de-DE"/>
              </w:rPr>
              <w:t xml:space="preserve"> Geschäftstag nach dem letzten Tag dieses Zeitraums eines Potenziellen Kreditereignisses verschoben. In einem solchen Fall erfolgen Zahlungen von Kapital und Zinsen auf diesen Referenzschuldner-Nennbetrag aber nur unter der Voraussetzung, dass während dieses Zeitraums eines Potenziellen Kreditereignisses die jeweilige Potenzielle Nichtzahlung </w:t>
            </w:r>
            <w:r w:rsidRPr="00F94B27" w:rsidR="00F94B27">
              <w:rPr>
                <w:b/>
                <w:lang w:val="de-DE"/>
              </w:rPr>
              <w:t>[</w:t>
            </w:r>
            <w:r w:rsidRPr="00314A06">
              <w:rPr>
                <w:lang w:val="de-DE"/>
              </w:rPr>
              <w:t>, die jeweilige Potenzielle Nichtanerkennung/das jeweilige Potenzielle Moratorium</w:t>
            </w:r>
            <w:r w:rsidRPr="00F94B27" w:rsidR="00F94B27">
              <w:rPr>
                <w:b/>
                <w:lang w:val="de-DE"/>
              </w:rPr>
              <w:t>]</w:t>
            </w:r>
            <w:r w:rsidRPr="00314A06">
              <w:rPr>
                <w:lang w:val="de-DE"/>
              </w:rPr>
              <w:t xml:space="preserve"> oder ein Ausstehender Antrag nicht zum Eintritt eines Kreditereignis-Feststellungstags in Bezug auf den jeweiligen Referenzschuldner geführt hat. Gleichfalls gilt: wenn ein Zeitraum eines Potenziellen Kreditereignisses in Bezug auf einen der Referenzschuldner, bei dem es sich nicht um einen Betroffenen Referenzschuldner handelt, vor </w:t>
            </w:r>
            <w:r w:rsidRPr="00F94B27" w:rsidR="00F94B27">
              <w:rPr>
                <w:b/>
                <w:lang w:val="de-DE"/>
              </w:rPr>
              <w:t>[</w:t>
            </w:r>
            <w:r w:rsidRPr="00314A06">
              <w:rPr>
                <w:lang w:val="de-DE"/>
              </w:rPr>
              <w:t>dem</w:t>
            </w:r>
            <w:r w:rsidRPr="00F94B27" w:rsidR="00F94B27">
              <w:rPr>
                <w:b/>
                <w:lang w:val="de-DE"/>
              </w:rPr>
              <w:t>]</w:t>
            </w:r>
            <w:r w:rsidRPr="00314A06">
              <w:rPr>
                <w:lang w:val="de-DE"/>
              </w:rPr>
              <w:t xml:space="preserve"> </w:t>
            </w:r>
            <w:r w:rsidRPr="00F94B27" w:rsidR="00F94B27">
              <w:rPr>
                <w:b/>
                <w:lang w:val="de-DE"/>
              </w:rPr>
              <w:t>[</w:t>
            </w:r>
            <w:r w:rsidRPr="00314A06">
              <w:rPr>
                <w:lang w:val="de-DE"/>
              </w:rPr>
              <w:t>einem</w:t>
            </w:r>
            <w:r w:rsidRPr="00F94B27" w:rsidR="00F94B27">
              <w:rPr>
                <w:b/>
                <w:lang w:val="de-DE"/>
              </w:rPr>
              <w:t>]</w:t>
            </w:r>
            <w:r w:rsidRPr="00314A06">
              <w:rPr>
                <w:lang w:val="de-DE"/>
              </w:rPr>
              <w:t xml:space="preserve"> Zinszahlungstag begonnen hat und an diesem Tag andauert, wird der Teil des </w:t>
            </w:r>
            <w:r w:rsidRPr="00F94B27" w:rsidR="00F94B27">
              <w:rPr>
                <w:b/>
                <w:lang w:val="de-DE"/>
              </w:rPr>
              <w:t>[</w:t>
            </w:r>
            <w:r w:rsidRPr="00314A06">
              <w:rPr>
                <w:lang w:val="de-DE"/>
              </w:rPr>
              <w:t>jeweiligen</w:t>
            </w:r>
            <w:r w:rsidRPr="00F94B27" w:rsidR="00F94B27">
              <w:rPr>
                <w:b/>
                <w:lang w:val="de-DE"/>
              </w:rPr>
              <w:t>]</w:t>
            </w:r>
            <w:r w:rsidRPr="00314A06">
              <w:rPr>
                <w:lang w:val="de-DE"/>
              </w:rPr>
              <w:t xml:space="preserve"> Zinszahlungsbetrags in Bezug auf den Teil des Nennbetrags der Komplexen Produkte, der dem Referenzschuldner-Nennbetrag dieses Referenzschuldners entspricht</w:t>
            </w:r>
            <w:r w:rsidR="00F80CF6">
              <w:rPr>
                <w:lang w:val="de-DE"/>
              </w:rPr>
              <w:t xml:space="preserve"> </w:t>
            </w:r>
            <w:r w:rsidRPr="00F80CF6" w:rsidR="00F80CF6">
              <w:rPr>
                <w:lang w:val="de-DE"/>
              </w:rPr>
              <w:t>(der "</w:t>
            </w:r>
            <w:r w:rsidRPr="00F80CF6" w:rsidR="00F80CF6">
              <w:rPr>
                <w:b/>
                <w:lang w:val="de-DE"/>
              </w:rPr>
              <w:t>Rest-Zinszahlungsbetrag</w:t>
            </w:r>
            <w:r w:rsidR="00116653">
              <w:rPr>
                <w:lang w:val="de-DE"/>
              </w:rPr>
              <w:t>"</w:t>
            </w:r>
            <w:r w:rsidRPr="00F80CF6" w:rsidR="00F80CF6">
              <w:rPr>
                <w:lang w:val="de-DE"/>
              </w:rPr>
              <w:t>)</w:t>
            </w:r>
            <w:r w:rsidRPr="00314A06">
              <w:rPr>
                <w:lang w:val="de-DE"/>
              </w:rPr>
              <w:t xml:space="preserve">, auf den </w:t>
            </w:r>
            <w:r w:rsidRPr="00F94B27" w:rsidR="00F94B27">
              <w:rPr>
                <w:b/>
                <w:lang w:val="de-DE"/>
              </w:rPr>
              <w:t>[</w:t>
            </w:r>
            <w:r w:rsidRPr="00314A06">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314A06">
              <w:rPr>
                <w:lang w:val="de-DE"/>
              </w:rPr>
              <w:t xml:space="preserve"> Geschäftstag nach dem letzten Tag dieses Zeitraums eines Potenziellen Kreditereignisses verschoben. In einem solchen Fall erfolgt die Zahlung des Rest-Zinszahlungsbetrags aber nur unter der Voraussetzung, dass während dieses Zeitraums eines Potenziellen Kreditereignisses die jeweilige Potenzielle Nichtzahlung </w:t>
            </w:r>
            <w:r w:rsidRPr="00F94B27" w:rsidR="00F94B27">
              <w:rPr>
                <w:b/>
                <w:lang w:val="de-DE"/>
              </w:rPr>
              <w:t>[</w:t>
            </w:r>
            <w:r w:rsidRPr="00314A06">
              <w:rPr>
                <w:lang w:val="de-DE"/>
              </w:rPr>
              <w:t>,die jeweilige Potenzielle Nichtanerkennung/das jeweilige Potenzielle Moratorium</w:t>
            </w:r>
            <w:r w:rsidRPr="00F94B27" w:rsidR="00F94B27">
              <w:rPr>
                <w:b/>
                <w:lang w:val="de-DE"/>
              </w:rPr>
              <w:t>]</w:t>
            </w:r>
            <w:r w:rsidRPr="00314A06">
              <w:rPr>
                <w:lang w:val="de-DE"/>
              </w:rPr>
              <w:t xml:space="preserve"> oder ein Ausstehender Antrag nicht zum Eintritt eines Kreditereignis-Feststellungstags in Bezug auf den jeweiligen Referenzschuldner geführt hat. In jedem Fall schuldet die Emittentin den Inhabern der Komplexen Produkte keine zusätzlichen Zins- oder sonstige Zahlungen aufgrund einer solchen verzögerten Zahlung.</w:t>
            </w:r>
          </w:p>
        </w:tc>
      </w:tr>
      <w:tr w:rsidTr="00942F00">
        <w:tblPrEx>
          <w:tblW w:w="5000" w:type="pct"/>
          <w:tblLayout w:type="fixed"/>
          <w:tblLook w:val="04A0"/>
        </w:tblPrEx>
        <w:tc>
          <w:tcPr>
            <w:tcW w:w="2534" w:type="pct"/>
            <w:gridSpan w:val="14"/>
            <w:tcBorders>
              <w:right w:val="single" w:sz="4" w:space="0" w:color="auto"/>
            </w:tcBorders>
          </w:tcPr>
          <w:p w:rsidR="00F80CF6" w:rsidRPr="00194F36" w:rsidP="00474C21">
            <w:pPr>
              <w:pStyle w:val="CSBody0"/>
            </w:pPr>
            <w:r w:rsidRPr="00F80CF6">
              <w:rPr>
                <w:b/>
              </w:rPr>
              <w:t>Upon the occurrence of a Credit Event Determination Date</w:t>
            </w:r>
            <w:r w:rsidRPr="00194F36">
              <w:t xml:space="preserve"> with respect to any Reference Entity that is not an Affected Reference Entity (due to the occurrence of a Credit Event Determination Date such Reference Entity becomes an Affected Reference Entity) on or prior to the Scheduled Maturity Date (subject to extension if a Potential Credit Event Period is in effect on the Scheduled Maturity Date in respect of such Reference Entity), the portion of the Principal Amount of the Complex Products equal to the Reference Entity Principal Amount of such Affected Reference Entity will (i) cease to bear interest and any accrued and unpaid interest on such Reference Entity Principal Amount as of the date on which such Credit Event Determination Date has occurred will be cancelled and not be paid to the Holder thereof on the </w:t>
            </w:r>
            <w:r w:rsidRPr="00F94B27" w:rsidR="00F94B27">
              <w:rPr>
                <w:b/>
              </w:rPr>
              <w:t>[</w:t>
            </w:r>
            <w:r w:rsidRPr="00194F36">
              <w:t>relevant</w:t>
            </w:r>
            <w:r w:rsidRPr="00F94B27" w:rsidR="00F94B27">
              <w:rPr>
                <w:b/>
              </w:rPr>
              <w:t>]</w:t>
            </w:r>
            <w:r w:rsidRPr="00194F36">
              <w:t xml:space="preserve"> Interest Payment Date and (ii) be redeemed by payment of a cash amount to the Holder thereof equal to the relevant Auction Redemption Amount on the Auction Redemption Date (provided that no Fallback Settlement Event has occurred). Furthermore, the Outstanding Principal Amount, on the basis of which the Scheduled Redemption Amount of the Complex Products is calculated, will be reduced in the amount of the Reference Entity Principal Amount of the Affected Reference Entity. The Calculation Agent will determine the Auction Redemption Amount on the basis of the Auction Final Price of the Affected Reference Entity. The Auction Final Price of the Affected Reference Entity will be determined by the relevant Credit Derivatives Determinations Committee in accordance with an auction conducted by ISDA. Alternatively, if a Fallback Settlement Event has occurred, the Cash Redemption Amount rather than the Auction Redemption Amount will be payable per Complex Product by the Issuer to the Holder thereof on the Cash Redemption Date. Such amount will be determined based upon one or more quotations for </w:t>
            </w:r>
            <w:r w:rsidRPr="00F94B27" w:rsidR="00F94B27">
              <w:rPr>
                <w:b/>
              </w:rPr>
              <w:t>[</w:t>
            </w:r>
            <w:r w:rsidRPr="00194F36">
              <w:t>the Reference Obligation or for</w:t>
            </w:r>
            <w:r w:rsidRPr="00F94B27" w:rsidR="00F94B27">
              <w:rPr>
                <w:b/>
              </w:rPr>
              <w:t>]</w:t>
            </w:r>
            <w:r w:rsidRPr="00194F36">
              <w:t xml:space="preserve"> a Valuation Obligation selected by the Calculation Agent of the Affected Reference Entity, obtained by the Calculation Agent from banks or securities trading firms.Any such Auction Redemption Amount or Cash Redemption Amount, as applicable, will generally be considerably less than the Reference Entity Principal Amount by which the Outstanding Principal Amount and consequently the Scheduled Redemption Amount is so reduced and may in certain circumstances be equal to zero. In such case, the greater the number of Reference Entities with respect to which a Credit Event Determination Date occurs on or prior to the Scheduled Maturity Date, the greater the reduction of the Scheduled Redemption Amount will be. Furthermore, the smaller the applicable Auction Redemption Amount or Cash Redemption Amount, as the case may be, the greater the loss suffered by the investor will be. </w:t>
            </w:r>
          </w:p>
        </w:tc>
        <w:tc>
          <w:tcPr>
            <w:tcW w:w="2466" w:type="pct"/>
            <w:gridSpan w:val="14"/>
            <w:tcBorders>
              <w:left w:val="single" w:sz="4" w:space="0" w:color="auto"/>
            </w:tcBorders>
          </w:tcPr>
          <w:p w:rsidR="00F80CF6" w:rsidRPr="00F80CF6" w:rsidP="00474C21">
            <w:pPr>
              <w:pStyle w:val="CSBody0"/>
              <w:rPr>
                <w:lang w:val="de-DE"/>
              </w:rPr>
            </w:pPr>
            <w:r w:rsidRPr="00F80CF6">
              <w:rPr>
                <w:b/>
                <w:lang w:val="de-DE"/>
              </w:rPr>
              <w:t>Tritt</w:t>
            </w:r>
            <w:r w:rsidRPr="00F80CF6">
              <w:rPr>
                <w:lang w:val="de-DE"/>
              </w:rPr>
              <w:t xml:space="preserve"> an oder vor dem Planmässigen Fälligkeitstag (vorbehaltlich einer Verlängerung im Fall dass ein Zeitraum eines Potenziellen Kreditereignisses am Planmässigen Fälligkeitstag in Bezug auf einen Referenzschuldner besteht) </w:t>
            </w:r>
            <w:r w:rsidRPr="00F80CF6">
              <w:rPr>
                <w:b/>
                <w:lang w:val="de-DE"/>
              </w:rPr>
              <w:t>ein Kreditereignis-Feststellungstag</w:t>
            </w:r>
            <w:r w:rsidRPr="00F80CF6">
              <w:rPr>
                <w:lang w:val="de-DE"/>
              </w:rPr>
              <w:t xml:space="preserve"> in Bezug auf einen Referenzschuldner, bei dem es sich nicht um einen Betroffenen Referenzschuldner handelt, </w:t>
            </w:r>
            <w:r w:rsidRPr="00F80CF6">
              <w:rPr>
                <w:b/>
                <w:lang w:val="de-DE"/>
              </w:rPr>
              <w:t>ein</w:t>
            </w:r>
            <w:r w:rsidRPr="00F80CF6">
              <w:rPr>
                <w:lang w:val="de-DE"/>
              </w:rPr>
              <w:t xml:space="preserve"> (auf Grund des Eintritts eines Kreditereignis-Feststellungstag wird dieser Referenzschuldner zu einem Betroffenen Referenzschuldner), so (i) endet die Verzinsung des Teils des Nennbetrags der Komplexen Produkte, der dem Referenzschuldner-Nennbetrag dieses Betroffenen Referenzschuldners entspricht, und etwaige zum Termin des Eintritts des Kreditereignis-Feststellungstags auf den Referenzschuldner-Nennbetrag aufgelaufene und noch nicht gezahlte Zinsen verfallen und werden nicht am </w:t>
            </w:r>
            <w:r w:rsidRPr="00F94B27" w:rsidR="00F94B27">
              <w:rPr>
                <w:b/>
                <w:lang w:val="de-DE"/>
              </w:rPr>
              <w:t>[</w:t>
            </w:r>
            <w:r w:rsidRPr="00F80CF6">
              <w:rPr>
                <w:lang w:val="de-DE"/>
              </w:rPr>
              <w:t>jeweiligen</w:t>
            </w:r>
            <w:r w:rsidRPr="00F94B27" w:rsidR="00F94B27">
              <w:rPr>
                <w:b/>
                <w:lang w:val="de-DE"/>
              </w:rPr>
              <w:t>]</w:t>
            </w:r>
            <w:r w:rsidRPr="00F80CF6">
              <w:rPr>
                <w:lang w:val="de-DE"/>
              </w:rPr>
              <w:t xml:space="preserve"> Zinszahlungstag an den Inhaber dieses Komplexen Produkts gezahlt und (ii) wird der Referenzschuldner-Nennbetrag des Betroffenen Referenzschuldners durch Zahlung eines Barbetrags in Höhe des jeweiligen Auktions-Rückzahlungsbetrags am Auktions-Rückzahlungstag (vorausgesetzt dass kein Ereignis der Alternativen Abwicklung eingetreten ist) an den Inhaber des Komplexen Produkts zurückgezahlt. Darüber hinaus wird der Ausstehende Nennbetrag, auf dessen Basis des Planmässige Rückzahlungsbetrag der Komplexen Produkte berechnet wird, durch einen Betrag in Höhe des Referenzschuldner-Nennbetrags des Betroffenen Referenzschuldners reduziert. Die Berechnungsstelle bestimmt den Auktions-Rückzahlungsbetrag auf der Grundlage des Auktions-Endpreises des Betroffenen Referenzschuldners. Der Auktions-Endpreis des Betroffenen Referenzschuldners wird von dem zuständigen Kreditderivate-Feststellungsausschuss nach Massgabe einer von ISDA durchgeführten Auktion berechnet. Falls dagegen ein Ereignis der Alternativen Abwicklung eingetreten ist, hat die Emittentin nicht den Auktions-Rückzahlungsbetrag, sondern den Barrückzahlungsbetrag je Komplexes Produkt am Barrückzahlungstag an den Inhaber zu zahlen. Dieser Betrag wird auf der Grundlage einer oder mehrerer Quotierungen für </w:t>
            </w:r>
            <w:r w:rsidRPr="00F94B27" w:rsidR="00F94B27">
              <w:rPr>
                <w:b/>
                <w:lang w:val="de-DE"/>
              </w:rPr>
              <w:t>[</w:t>
            </w:r>
            <w:r w:rsidRPr="00F80CF6">
              <w:rPr>
                <w:lang w:val="de-DE"/>
              </w:rPr>
              <w:t>die Referenzverbindlichkeit oder für</w:t>
            </w:r>
            <w:r w:rsidRPr="00F94B27" w:rsidR="00F94B27">
              <w:rPr>
                <w:b/>
                <w:lang w:val="de-DE"/>
              </w:rPr>
              <w:t>]</w:t>
            </w:r>
            <w:r w:rsidRPr="00F80CF6">
              <w:rPr>
                <w:lang w:val="de-DE"/>
              </w:rPr>
              <w:t xml:space="preserve"> eine von der Berechnungstelle ausgewählte Bewertungsverbindlichkeit des Betroffenen Referenzschuldners, die die Berechnungsstelle von Banken oder Wertpapierhandelsunternehmen eingeholt hat, bestimmt. Ein solcher Auktions-Rückzahlungsbetrag bzw. Barrückzahlungsbetrag wird in der Regel wesentlich geringer sein als der Referenzschuldner-Nennbetrag, um den sich der Ausstehende Nennbetrag und folglich der Planmässige Rückzahlungsbetrag verringert, und in bestimmten Fällen kann dieser Betrag null sein. In diesem Fall gilt: je mehr Referenzschuldner, in Bezug auf die an oder vor dem Planmässigen Fälligkeitstag ein Kreditereignis-Feststellungstag eintritt, umso geringer der Planmässige Rückzahlungsbetrag. Ferner gilt: je geringer der jeweilige Auktions-Rückzahlungsbetrag bzw. Barrückzahlungsbetrag, umso höher ist der von dem Anleger erlittene Verlust. </w:t>
            </w:r>
          </w:p>
        </w:tc>
      </w:tr>
      <w:tr w:rsidTr="00942F00">
        <w:tblPrEx>
          <w:tblW w:w="5000" w:type="pct"/>
          <w:tblLayout w:type="fixed"/>
          <w:tblLook w:val="04A0"/>
        </w:tblPrEx>
        <w:tc>
          <w:tcPr>
            <w:tcW w:w="2534" w:type="pct"/>
            <w:gridSpan w:val="14"/>
            <w:tcBorders>
              <w:right w:val="single" w:sz="4" w:space="0" w:color="auto"/>
            </w:tcBorders>
          </w:tcPr>
          <w:p w:rsidR="00F80CF6" w:rsidRPr="00194F36" w:rsidP="00F80CF6">
            <w:pPr>
              <w:pStyle w:val="CSBody0"/>
            </w:pPr>
            <w:r w:rsidRPr="00194F36">
              <w:t xml:space="preserve">In the worst case scenario, (i) a Credit Event Determination Date with respect to each Reference Entity occurs prior to the </w:t>
            </w:r>
            <w:r w:rsidRPr="00F94B27" w:rsidR="00F94B27">
              <w:rPr>
                <w:b/>
              </w:rPr>
              <w:t>[</w:t>
            </w:r>
            <w:r w:rsidRPr="00194F36">
              <w:t>first</w:t>
            </w:r>
            <w:r w:rsidRPr="00F94B27" w:rsidR="00F94B27">
              <w:rPr>
                <w:b/>
              </w:rPr>
              <w:t>]</w:t>
            </w:r>
            <w:r w:rsidRPr="00194F36">
              <w:t xml:space="preserve"> Interest Payment Date, which means that no interest payments on the relevant Complex Products will be made, and (ii) the Auction Redemption Amount or Cash Redemption Amount, as the case may be, in relation to each such Reference Entity is determined to be zero. In such case, the investor would suffer a total loss of its initial investment.</w:t>
            </w:r>
            <w:r w:rsidRPr="00F94B27" w:rsidR="00F94B27">
              <w:rPr>
                <w:b/>
              </w:rPr>
              <w:t>]</w:t>
            </w:r>
          </w:p>
        </w:tc>
        <w:tc>
          <w:tcPr>
            <w:tcW w:w="2466" w:type="pct"/>
            <w:gridSpan w:val="14"/>
            <w:tcBorders>
              <w:left w:val="single" w:sz="4" w:space="0" w:color="auto"/>
            </w:tcBorders>
          </w:tcPr>
          <w:p w:rsidR="00F80CF6" w:rsidRPr="00F80CF6" w:rsidP="00F80CF6">
            <w:pPr>
              <w:pStyle w:val="CSBody0"/>
              <w:rPr>
                <w:lang w:val="de-DE"/>
              </w:rPr>
            </w:pPr>
            <w:r w:rsidRPr="00F80CF6">
              <w:rPr>
                <w:lang w:val="de-DE"/>
              </w:rPr>
              <w:t xml:space="preserve">Im schlimmsten Fall (i) tritt vor dem </w:t>
            </w:r>
            <w:r w:rsidRPr="00F94B27" w:rsidR="00F94B27">
              <w:rPr>
                <w:b/>
                <w:lang w:val="de-DE"/>
              </w:rPr>
              <w:t>[</w:t>
            </w:r>
            <w:r w:rsidRPr="00F80CF6">
              <w:rPr>
                <w:lang w:val="de-DE"/>
              </w:rPr>
              <w:t>ersten</w:t>
            </w:r>
            <w:r w:rsidRPr="00F94B27" w:rsidR="00F94B27">
              <w:rPr>
                <w:b/>
                <w:lang w:val="de-DE"/>
              </w:rPr>
              <w:t>]</w:t>
            </w:r>
            <w:r w:rsidRPr="00F80CF6">
              <w:rPr>
                <w:lang w:val="de-DE"/>
              </w:rPr>
              <w:t xml:space="preserve"> Zinszahlungstag ein Kreditereignis-Feststellungstag in Bezug auf jeden Referenzschuldner ein, </w:t>
            </w:r>
            <w:r w:rsidR="007E3558">
              <w:rPr>
                <w:lang w:val="de-DE"/>
              </w:rPr>
              <w:t>d.h.</w:t>
            </w:r>
            <w:r w:rsidRPr="00F80CF6">
              <w:rPr>
                <w:lang w:val="de-DE"/>
              </w:rPr>
              <w:t xml:space="preserve"> es erfolgen keine Zinszahlungen auf die betreffenden Komplexen Produkte, und (ii) wird festgestellt, dass der Auktions-Rückzahlungsbetrag bzw. Barrückzahlungsbetrag in Bezug auf jeden dieser Referenzschuldner null ist. In diesem Fall würde der Anleger einen Totalverlust seines ursprünglich eingesetzten Kapitals erleiden.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80CF6" w:rsidRPr="00AB16EC" w:rsidP="00F80CF6">
            <w:pPr>
              <w:pStyle w:val="CSbody0bolditalic"/>
              <w:rPr>
                <w:lang w:val="en-GB"/>
              </w:rPr>
            </w:pPr>
            <w:r w:rsidRPr="00F94B27">
              <w:rPr>
                <w:lang w:val="en-GB"/>
              </w:rPr>
              <w:t>[</w:t>
            </w:r>
            <w:r w:rsidRPr="00AB16EC">
              <w:rPr>
                <w:lang w:val="en-GB"/>
              </w:rPr>
              <w:t>In the case of Credit-Linked Complex Products with Zero-Recovery feature linked to a Basket:</w:t>
            </w:r>
          </w:p>
        </w:tc>
        <w:tc>
          <w:tcPr>
            <w:tcW w:w="2466" w:type="pct"/>
            <w:gridSpan w:val="14"/>
            <w:tcBorders>
              <w:left w:val="single" w:sz="4" w:space="0" w:color="auto"/>
            </w:tcBorders>
          </w:tcPr>
          <w:p w:rsidR="00F80CF6" w:rsidRPr="00F80CF6" w:rsidP="00F80CF6">
            <w:pPr>
              <w:pStyle w:val="CSbody0bolditalic"/>
            </w:pPr>
            <w:r w:rsidRPr="00F94B27">
              <w:t>[</w:t>
            </w:r>
            <w:r w:rsidRPr="00F80CF6">
              <w:t>Bei Kreditbezogenen Komplexen Produkten mit Zero-Recovery-Merkmal, die an einen Korb gekoppelt sind:</w:t>
            </w:r>
          </w:p>
        </w:tc>
      </w:tr>
      <w:tr w:rsidTr="00942F00">
        <w:tblPrEx>
          <w:tblW w:w="5000" w:type="pct"/>
          <w:tblLayout w:type="fixed"/>
          <w:tblLook w:val="04A0"/>
        </w:tblPrEx>
        <w:tc>
          <w:tcPr>
            <w:tcW w:w="2534" w:type="pct"/>
            <w:gridSpan w:val="14"/>
            <w:tcBorders>
              <w:right w:val="single" w:sz="4" w:space="0" w:color="auto"/>
            </w:tcBorders>
          </w:tcPr>
          <w:p w:rsidR="00F80CF6" w:rsidRPr="00DF7F15" w:rsidP="00F80CF6">
            <w:pPr>
              <w:pStyle w:val="CSBody0"/>
            </w:pPr>
            <w:r w:rsidRPr="00DF7F15">
              <w:t xml:space="preserve">Credit-Linked Complex Products with Zero-Recovery feature linked to a Basket are linked to the creditworthiness of a basket of Reference Entities. By investing in Credit-Linked Complex Products with Zero-Recovery feature linked to a Basket, Holders are exposed to this credit risk relating to such Reference Entities. Different from Credit-Linked Complex Products with Auction Settlement linked to a Basket, upon the occurrence of a Credit Event with respect to a Reference Entity contained in the Basket that is not an Affected Reference Entity (due to the occurrence of a Credit Event Determination Date such Reference Entity becomes an Affected Reference Entity), investors will not receive any redemption amount for the portion of the Principal Amount of the Complex Products equal to the Reference Entity Principal Amount of such Affected Reference Entity, that is, the recovery amount for such Affected Reference Entity will be equal to zero. For the assumption of such credit risk, Holders will receive compensation in the form of increased interest payments. As Credit-Linked Complex Products with Zero-Recovery feature linked to a Basket are </w:t>
            </w:r>
            <w:r w:rsidRPr="00F80CF6">
              <w:rPr>
                <w:b/>
              </w:rPr>
              <w:t>not capital protected</w:t>
            </w:r>
            <w:r w:rsidRPr="00DF7F15">
              <w:t xml:space="preserve"> it is not possible to predict the return on such a Complex Product at the time of issuance.</w:t>
            </w:r>
          </w:p>
        </w:tc>
        <w:tc>
          <w:tcPr>
            <w:tcW w:w="2466" w:type="pct"/>
            <w:gridSpan w:val="14"/>
            <w:tcBorders>
              <w:left w:val="single" w:sz="4" w:space="0" w:color="auto"/>
            </w:tcBorders>
          </w:tcPr>
          <w:p w:rsidR="00F80CF6" w:rsidRPr="00F80CF6" w:rsidP="00F80CF6">
            <w:pPr>
              <w:pStyle w:val="CSBody0"/>
              <w:rPr>
                <w:lang w:val="de-DE"/>
              </w:rPr>
            </w:pPr>
            <w:r w:rsidRPr="00F80CF6">
              <w:rPr>
                <w:lang w:val="de-DE"/>
              </w:rPr>
              <w:t xml:space="preserve">Kreditbezogene Komplexe Produkte mit Zero-Recovery-Merkmal, die an einen Korb gekoppelt sind, sind an die Bonität eines Korbs von Referenzschuldnern gekoppelt. Durch eine Anlage in Kreditbezogene Komplexe Produkte mit Zero-Recovery-Merkmal, die an einen Korb gekoppelt sind, sind die Inhaber dem Kreditrisiko dieser Referenzschuldner ausgesetzt. Im Unterschied zu Kreditbezogenen Komplexen Produkten mit Auktionsabwicklung, die an einen Korb gekoppelt sind, erhalten Anleger bei Eintritt eines Kreditereignisses in Bezug auf einen im Korb enthaltenen Referenzschuldner, bei dem es sich nicht um einen Betroffenen Referenzschuldner handelt (auf Grund des Eintritts eines Kreditereignis-Feststellungstags wird dieser Referenzschuldner zu einem Betroffenen Referenzschuldner), keinen Rückzahlungsbetrag für den Teil des Nennbetrags der Komplexen Produkte, der dem Referenzschuldner-Nennbetrag des Betroffenen Referenzschuldner entspricht, d.h. der Ausgleichsbetrag für den Betroffenen Referenzschuldner ist gleich null. Für die Übernahme dieses Kreditrisikos erhalten Inhaber eine Gegenleistung in Form von erhöhten Zinszahlungen. Da Kreditbezogene Komplexe Produkte mit Zero-Recovery-Merkmal, die an einen Korb gekoppelt sind, </w:t>
            </w:r>
            <w:r w:rsidRPr="00F80CF6">
              <w:rPr>
                <w:b/>
                <w:lang w:val="de-DE"/>
              </w:rPr>
              <w:t>nicht kapitalgeschützt</w:t>
            </w:r>
            <w:r w:rsidRPr="00F80CF6">
              <w:rPr>
                <w:lang w:val="de-DE"/>
              </w:rPr>
              <w:t xml:space="preserve"> sind, ist es nicht möglich, die Erträge solcher Komplexen Produkte zum Zeitpunkt ihrer Ausgabe vorherzusagen.</w:t>
            </w:r>
          </w:p>
        </w:tc>
      </w:tr>
      <w:tr w:rsidTr="00942F00">
        <w:tblPrEx>
          <w:tblW w:w="5000" w:type="pct"/>
          <w:tblLayout w:type="fixed"/>
          <w:tblLook w:val="04A0"/>
        </w:tblPrEx>
        <w:tc>
          <w:tcPr>
            <w:tcW w:w="2534" w:type="pct"/>
            <w:gridSpan w:val="14"/>
            <w:tcBorders>
              <w:right w:val="single" w:sz="4" w:space="0" w:color="auto"/>
            </w:tcBorders>
          </w:tcPr>
          <w:p w:rsidR="00E64B64" w:rsidRPr="00F66071" w:rsidP="00E64B64">
            <w:pPr>
              <w:pStyle w:val="CSBody0"/>
            </w:pPr>
            <w:r w:rsidRPr="00F66071">
              <w:t>The payment of interest on, and the redemption of, such Complex Products is dependent upon whether a Credit Event Determination Date with respect to one or more Reference Entities has occurred. In turn, a Credit Event Determination Date can only be triggered by a Credit Event, which may be a Failure to Pay</w:t>
            </w:r>
            <w:r w:rsidRPr="00F94B27" w:rsidR="00F94B27">
              <w:rPr>
                <w:b/>
              </w:rPr>
              <w:t>[</w:t>
            </w:r>
            <w:r w:rsidRPr="00F66071">
              <w:t>,</w:t>
            </w:r>
            <w:r w:rsidRPr="00F94B27" w:rsidR="00F94B27">
              <w:rPr>
                <w:b/>
              </w:rPr>
              <w:t>][</w:t>
            </w:r>
            <w:r w:rsidRPr="00F66071">
              <w:t>or</w:t>
            </w:r>
            <w:r w:rsidRPr="00F94B27" w:rsidR="00F94B27">
              <w:rPr>
                <w:b/>
              </w:rPr>
              <w:t>]</w:t>
            </w:r>
            <w:r w:rsidRPr="00F66071">
              <w:t xml:space="preserve"> </w:t>
            </w:r>
            <w:r w:rsidRPr="00F94B27" w:rsidR="00F94B27">
              <w:rPr>
                <w:b/>
              </w:rPr>
              <w:t>[</w:t>
            </w:r>
            <w:r w:rsidRPr="00F66071">
              <w:t>a Bankruptcy</w:t>
            </w:r>
            <w:r w:rsidRPr="00F94B27" w:rsidR="00F94B27">
              <w:rPr>
                <w:b/>
              </w:rPr>
              <w:t>][</w:t>
            </w:r>
            <w:r w:rsidRPr="00F66071">
              <w:t>,</w:t>
            </w:r>
            <w:r w:rsidRPr="00F94B27" w:rsidR="00F94B27">
              <w:rPr>
                <w:b/>
              </w:rPr>
              <w:t>][</w:t>
            </w:r>
            <w:r w:rsidRPr="00F66071">
              <w:t>or</w:t>
            </w:r>
            <w:r w:rsidRPr="00F94B27" w:rsidR="00F94B27">
              <w:rPr>
                <w:b/>
              </w:rPr>
              <w:t>]</w:t>
            </w:r>
            <w:r w:rsidRPr="00F66071">
              <w:t xml:space="preserve"> </w:t>
            </w:r>
            <w:r w:rsidRPr="00F94B27" w:rsidR="00F94B27">
              <w:rPr>
                <w:b/>
              </w:rPr>
              <w:t>[</w:t>
            </w:r>
            <w:r w:rsidRPr="00F66071">
              <w:t>a Governmental Intervention</w:t>
            </w:r>
            <w:r w:rsidRPr="00F94B27" w:rsidR="00F94B27">
              <w:rPr>
                <w:b/>
              </w:rPr>
              <w:t>][</w:t>
            </w:r>
            <w:r w:rsidRPr="00F66071">
              <w:t>,</w:t>
            </w:r>
            <w:r w:rsidRPr="00F94B27" w:rsidR="00F94B27">
              <w:rPr>
                <w:b/>
              </w:rPr>
              <w:t>][</w:t>
            </w:r>
            <w:r w:rsidRPr="00F66071">
              <w:t>or</w:t>
            </w:r>
            <w:r w:rsidRPr="00F94B27" w:rsidR="00F94B27">
              <w:rPr>
                <w:b/>
              </w:rPr>
              <w:t>]</w:t>
            </w:r>
            <w:r w:rsidRPr="00F66071">
              <w:t xml:space="preserve"> </w:t>
            </w:r>
            <w:r w:rsidRPr="00F94B27" w:rsidR="00F94B27">
              <w:rPr>
                <w:b/>
              </w:rPr>
              <w:t>[</w:t>
            </w:r>
            <w:r w:rsidRPr="00F66071">
              <w:t>an Obligation Acceleration</w:t>
            </w:r>
            <w:r w:rsidRPr="00F94B27" w:rsidR="00F94B27">
              <w:rPr>
                <w:b/>
              </w:rPr>
              <w:t>][</w:t>
            </w:r>
            <w:r w:rsidRPr="00F66071">
              <w:t>,</w:t>
            </w:r>
            <w:r w:rsidRPr="00F94B27" w:rsidR="00F94B27">
              <w:rPr>
                <w:b/>
              </w:rPr>
              <w:t>][</w:t>
            </w:r>
            <w:r w:rsidRPr="00F66071">
              <w:t>or</w:t>
            </w:r>
            <w:r w:rsidRPr="00F94B27" w:rsidR="00F94B27">
              <w:rPr>
                <w:b/>
              </w:rPr>
              <w:t>]</w:t>
            </w:r>
            <w:r w:rsidRPr="00F66071">
              <w:t xml:space="preserve"> </w:t>
            </w:r>
            <w:r w:rsidRPr="00F94B27" w:rsidR="00F94B27">
              <w:rPr>
                <w:b/>
              </w:rPr>
              <w:t>[</w:t>
            </w:r>
            <w:r w:rsidRPr="00F66071">
              <w:t>a Repudiation/ Moratorium</w:t>
            </w:r>
            <w:r w:rsidRPr="00F94B27" w:rsidR="00F94B27">
              <w:rPr>
                <w:b/>
              </w:rPr>
              <w:t>]</w:t>
            </w:r>
            <w:r w:rsidRPr="00F66071">
              <w:t xml:space="preserve"> </w:t>
            </w:r>
            <w:r w:rsidRPr="00F94B27" w:rsidR="00F94B27">
              <w:rPr>
                <w:b/>
              </w:rPr>
              <w:t>[</w:t>
            </w:r>
            <w:r w:rsidRPr="00F66071">
              <w:t>or</w:t>
            </w:r>
            <w:r w:rsidRPr="00F94B27" w:rsidR="00F94B27">
              <w:rPr>
                <w:b/>
              </w:rPr>
              <w:t>]</w:t>
            </w:r>
            <w:r w:rsidRPr="00F66071">
              <w:t xml:space="preserve"> </w:t>
            </w:r>
            <w:r w:rsidRPr="00F94B27" w:rsidR="00F94B27">
              <w:rPr>
                <w:b/>
              </w:rPr>
              <w:t>[</w:t>
            </w:r>
            <w:r w:rsidRPr="00F66071">
              <w:t>a Restructuring</w:t>
            </w:r>
            <w:r w:rsidRPr="00F94B27" w:rsidR="00F94B27">
              <w:rPr>
                <w:b/>
              </w:rPr>
              <w:t>]</w:t>
            </w:r>
            <w:r w:rsidRPr="00F66071">
              <w:t xml:space="preserve">. Investors should note that a Credit Event may occur even if the relevant Reference Entity has not defaulted on any payment obligation. Further, upon the occurrence of a Credit Event Determination Date with respect to one or more Reference Entities contained in the Basket (i) investors in such Complex Products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investors may thus lose all or a substantial portion of their investment. </w:t>
            </w:r>
          </w:p>
        </w:tc>
        <w:tc>
          <w:tcPr>
            <w:tcW w:w="2466" w:type="pct"/>
            <w:gridSpan w:val="14"/>
            <w:tcBorders>
              <w:left w:val="single" w:sz="4" w:space="0" w:color="auto"/>
            </w:tcBorders>
          </w:tcPr>
          <w:p w:rsidR="00E64B64" w:rsidRPr="00E64B64" w:rsidP="00E64B64">
            <w:pPr>
              <w:pStyle w:val="CSBody0"/>
              <w:rPr>
                <w:lang w:val="de-DE"/>
              </w:rPr>
            </w:pPr>
            <w:r w:rsidRPr="00E64B64">
              <w:rPr>
                <w:lang w:val="de-DE"/>
              </w:rPr>
              <w:t xml:space="preserve">Die Zahlung von Zinsen auf derartige Komplexe Produkte sowie die Rückzahlung dieser Komplexen Produkte hängen davon ab, ob ein Kreditereignis-Feststellungstag in Bezug auf einen oder mehrere Referenzschuldner eingetreten ist. Ein Kreditereignis-Feststellungstag wiederum kann nur durch ein Kreditereignis ausgelöst werden; ; dabei kann es sich um eine Nichtzahlung </w:t>
            </w:r>
            <w:r w:rsidRPr="00F94B27" w:rsidR="00F94B27">
              <w:rPr>
                <w:b/>
                <w:lang w:val="de-DE"/>
              </w:rPr>
              <w:t>[</w:t>
            </w:r>
            <w:r w:rsidRPr="00E64B64">
              <w:rPr>
                <w:lang w:val="de-DE"/>
              </w:rPr>
              <w:t>,</w:t>
            </w:r>
            <w:r w:rsidRPr="00F94B27" w:rsidR="00F94B27">
              <w:rPr>
                <w:b/>
                <w:lang w:val="de-DE"/>
              </w:rPr>
              <w:t>][</w:t>
            </w:r>
            <w:r w:rsidRPr="00E64B64">
              <w:rPr>
                <w:lang w:val="de-DE"/>
              </w:rPr>
              <w:t>oder</w:t>
            </w:r>
            <w:r w:rsidRPr="00F94B27" w:rsidR="00F94B27">
              <w:rPr>
                <w:b/>
                <w:lang w:val="de-DE"/>
              </w:rPr>
              <w:t>]</w:t>
            </w:r>
            <w:r w:rsidRPr="00E64B64">
              <w:rPr>
                <w:lang w:val="de-DE"/>
              </w:rPr>
              <w:t xml:space="preserve"> </w:t>
            </w:r>
            <w:r w:rsidRPr="00F94B27" w:rsidR="00F94B27">
              <w:rPr>
                <w:b/>
                <w:lang w:val="de-DE"/>
              </w:rPr>
              <w:t>[</w:t>
            </w:r>
            <w:r w:rsidRPr="00E64B64">
              <w:rPr>
                <w:lang w:val="de-DE"/>
              </w:rPr>
              <w:t>eine Insolvenz</w:t>
            </w:r>
            <w:r w:rsidRPr="00F94B27" w:rsidR="00F94B27">
              <w:rPr>
                <w:b/>
                <w:lang w:val="de-DE"/>
              </w:rPr>
              <w:t>][</w:t>
            </w:r>
            <w:r w:rsidRPr="00E64B64">
              <w:rPr>
                <w:lang w:val="de-DE"/>
              </w:rPr>
              <w:t>,</w:t>
            </w:r>
            <w:r w:rsidRPr="00F94B27" w:rsidR="00F94B27">
              <w:rPr>
                <w:b/>
                <w:lang w:val="de-DE"/>
              </w:rPr>
              <w:t>][</w:t>
            </w:r>
            <w:r w:rsidRPr="00E64B64">
              <w:rPr>
                <w:lang w:val="de-DE"/>
              </w:rPr>
              <w:t>oder</w:t>
            </w:r>
            <w:r w:rsidRPr="00F94B27" w:rsidR="00F94B27">
              <w:rPr>
                <w:b/>
                <w:lang w:val="de-DE"/>
              </w:rPr>
              <w:t>]</w:t>
            </w:r>
            <w:r w:rsidRPr="00E64B64">
              <w:rPr>
                <w:lang w:val="de-DE"/>
              </w:rPr>
              <w:t xml:space="preserve"> </w:t>
            </w:r>
            <w:r w:rsidRPr="00F94B27" w:rsidR="00F94B27">
              <w:rPr>
                <w:b/>
                <w:lang w:val="de-DE"/>
              </w:rPr>
              <w:t>[</w:t>
            </w:r>
            <w:r w:rsidRPr="00E64B64">
              <w:rPr>
                <w:lang w:val="de-DE"/>
              </w:rPr>
              <w:t>eine Staatliche Intervention</w:t>
            </w:r>
            <w:r w:rsidRPr="00F94B27" w:rsidR="00F94B27">
              <w:rPr>
                <w:b/>
                <w:lang w:val="de-DE"/>
              </w:rPr>
              <w:t>][</w:t>
            </w:r>
            <w:r w:rsidRPr="00E64B64">
              <w:rPr>
                <w:lang w:val="de-DE"/>
              </w:rPr>
              <w:t>,</w:t>
            </w:r>
            <w:r w:rsidRPr="00F94B27" w:rsidR="00F94B27">
              <w:rPr>
                <w:b/>
                <w:lang w:val="de-DE"/>
              </w:rPr>
              <w:t>][</w:t>
            </w:r>
            <w:r w:rsidRPr="00E64B64">
              <w:rPr>
                <w:lang w:val="de-DE"/>
              </w:rPr>
              <w:t>oder</w:t>
            </w:r>
            <w:r w:rsidRPr="00F94B27" w:rsidR="00F94B27">
              <w:rPr>
                <w:b/>
                <w:lang w:val="de-DE"/>
              </w:rPr>
              <w:t>]</w:t>
            </w:r>
            <w:r w:rsidRPr="00E64B64">
              <w:rPr>
                <w:lang w:val="de-DE"/>
              </w:rPr>
              <w:t xml:space="preserve"> </w:t>
            </w:r>
            <w:r w:rsidRPr="00F94B27" w:rsidR="00F94B27">
              <w:rPr>
                <w:b/>
                <w:lang w:val="de-DE"/>
              </w:rPr>
              <w:t>[</w:t>
            </w:r>
            <w:r w:rsidRPr="00E64B64">
              <w:rPr>
                <w:lang w:val="de-DE"/>
              </w:rPr>
              <w:t>eine Vorfälligkeit einer Verbindlichkeit</w:t>
            </w:r>
            <w:r w:rsidRPr="00F94B27" w:rsidR="00F94B27">
              <w:rPr>
                <w:b/>
                <w:lang w:val="de-DE"/>
              </w:rPr>
              <w:t>][</w:t>
            </w:r>
            <w:r w:rsidRPr="00E64B64">
              <w:rPr>
                <w:lang w:val="de-DE"/>
              </w:rPr>
              <w:t>,</w:t>
            </w:r>
            <w:r w:rsidRPr="00F94B27" w:rsidR="00F94B27">
              <w:rPr>
                <w:b/>
                <w:lang w:val="de-DE"/>
              </w:rPr>
              <w:t>][</w:t>
            </w:r>
            <w:r w:rsidRPr="00E64B64">
              <w:rPr>
                <w:lang w:val="de-DE"/>
              </w:rPr>
              <w:t>oder</w:t>
            </w:r>
            <w:r w:rsidRPr="00F94B27" w:rsidR="00F94B27">
              <w:rPr>
                <w:b/>
                <w:lang w:val="de-DE"/>
              </w:rPr>
              <w:t>]</w:t>
            </w:r>
            <w:r w:rsidRPr="00E64B64">
              <w:rPr>
                <w:lang w:val="de-DE"/>
              </w:rPr>
              <w:t xml:space="preserve"> </w:t>
            </w:r>
            <w:r w:rsidRPr="00F94B27" w:rsidR="00F94B27">
              <w:rPr>
                <w:b/>
                <w:lang w:val="de-DE"/>
              </w:rPr>
              <w:t>[</w:t>
            </w:r>
            <w:r w:rsidRPr="00E64B64">
              <w:rPr>
                <w:lang w:val="de-DE"/>
              </w:rPr>
              <w:t>eine Nichtanerkennung/ein Moratorium</w:t>
            </w:r>
            <w:r w:rsidRPr="00F94B27" w:rsidR="00F94B27">
              <w:rPr>
                <w:b/>
                <w:lang w:val="de-DE"/>
              </w:rPr>
              <w:t>]</w:t>
            </w:r>
            <w:r w:rsidRPr="00E64B64">
              <w:rPr>
                <w:lang w:val="de-DE"/>
              </w:rPr>
              <w:t xml:space="preserve"> </w:t>
            </w:r>
            <w:r w:rsidRPr="00F94B27" w:rsidR="00F94B27">
              <w:rPr>
                <w:b/>
                <w:lang w:val="de-DE"/>
              </w:rPr>
              <w:t>[</w:t>
            </w:r>
            <w:r w:rsidRPr="00E64B64">
              <w:rPr>
                <w:lang w:val="de-DE"/>
              </w:rPr>
              <w:t>oder</w:t>
            </w:r>
            <w:r w:rsidRPr="00F94B27" w:rsidR="00F94B27">
              <w:rPr>
                <w:b/>
                <w:lang w:val="de-DE"/>
              </w:rPr>
              <w:t>]</w:t>
            </w:r>
            <w:r w:rsidRPr="00E64B64">
              <w:rPr>
                <w:lang w:val="de-DE"/>
              </w:rPr>
              <w:t xml:space="preserve"> </w:t>
            </w:r>
            <w:r w:rsidRPr="00F94B27" w:rsidR="00F94B27">
              <w:rPr>
                <w:b/>
                <w:lang w:val="de-DE"/>
              </w:rPr>
              <w:t>[</w:t>
            </w:r>
            <w:r w:rsidRPr="00E64B64">
              <w:rPr>
                <w:lang w:val="de-DE"/>
              </w:rPr>
              <w:t>um eine Restrukturierung</w:t>
            </w:r>
            <w:r w:rsidRPr="00F94B27" w:rsidR="00F94B27">
              <w:rPr>
                <w:b/>
                <w:lang w:val="de-DE"/>
              </w:rPr>
              <w:t>]</w:t>
            </w:r>
            <w:r w:rsidRPr="00E64B64">
              <w:rPr>
                <w:lang w:val="de-DE"/>
              </w:rPr>
              <w:t xml:space="preserve"> handeln. Anleger sollten sich darüber im Klaren sein, dass ein Kreditereignis selbst dann eintreten kann, wenn sich der betreffende Referenzschuldner mit seinen Zahlungsverpflichtungen nicht in Verzug befindet. Darüber hinaus gilt bei Eintritt eines Kreditereignis-Feststellungstags in Bezug auf einen oder mehrere im Korb enthaltene Referenzschuldner: (i) Anleger in die betreffenden Komplexen Produkte erhalten unter Umständen nur der Höhe nach begrenzte oder gar keine Zinszahlungen auf diese Komplexen Produkte, (ii) die Zahlung des Rückzahlungsbetrags oder der Zinsen kann zu einem anderen Termin als erwartet erfolgen und (iii) der Rückzahlungsbetrag kann erheblich unter dem anfänglichen Nennbetrag der Komplexen Produkte liegen und Investoren können daher einen Totalverlust ihres eingesetzten Kapitals erleiden oder einen erheblichen Teil dieses Kapitals verlieren. </w:t>
            </w:r>
          </w:p>
        </w:tc>
      </w:tr>
      <w:tr w:rsidTr="00942F00">
        <w:tblPrEx>
          <w:tblW w:w="5000" w:type="pct"/>
          <w:tblLayout w:type="fixed"/>
          <w:tblLook w:val="04A0"/>
        </w:tblPrEx>
        <w:tc>
          <w:tcPr>
            <w:tcW w:w="2534" w:type="pct"/>
            <w:gridSpan w:val="14"/>
            <w:tcBorders>
              <w:right w:val="single" w:sz="4" w:space="0" w:color="auto"/>
            </w:tcBorders>
          </w:tcPr>
          <w:p w:rsidR="00D57F66" w:rsidRPr="00B8051C" w:rsidP="00D57F66">
            <w:pPr>
              <w:pStyle w:val="CSBody0"/>
            </w:pPr>
            <w:r w:rsidRPr="00B8051C">
              <w:t>The likelihood of the occurrence of a Credit Event Determination Date with respect to a Reference Entity will generally fluctuate with, among other things, the financial condition and other characteristics of such Reference Entity, general economic conditions, the condition of certain financial markets, political events, developments or trends in any particular industry and changes in prevailing interest rates. Actions of the Reference Entities (for example, merger or demerger or the repayment or transfer of indebtedness) may adversely affect the value of Credit-Linked Complex Products. Furthermore, the Reference Entities to which such Complex Products are linked, and the terms of such linkage, may change over the term of such Complex Products.</w:t>
            </w:r>
          </w:p>
        </w:tc>
        <w:tc>
          <w:tcPr>
            <w:tcW w:w="2466" w:type="pct"/>
            <w:gridSpan w:val="14"/>
            <w:tcBorders>
              <w:left w:val="single" w:sz="4" w:space="0" w:color="auto"/>
            </w:tcBorders>
          </w:tcPr>
          <w:p w:rsidR="00D57F66" w:rsidRPr="00D57F66" w:rsidP="00D57F66">
            <w:pPr>
              <w:pStyle w:val="CSBody0"/>
              <w:rPr>
                <w:lang w:val="de-DE"/>
              </w:rPr>
            </w:pPr>
            <w:r w:rsidRPr="00D57F66">
              <w:rPr>
                <w:lang w:val="de-DE"/>
              </w:rPr>
              <w:t>Die Wahrscheinlichkeit, dass in Bezug auf einen Referenzschuldner ein Kreditereignis-Feststellungstag eintritt, variiert in der Regel aufgrund der Finanzlage und anderer Kenndaten des betreffenden Referenzschuldners, der allgemeinen Konjunktur, der Lage an bestimmten Finanzmärkten sowie aufgrund von politischen Ereignissen, Entwicklungen oder Tendenzen in bestimmten Branchen, Änderungen der geltenden Zinssätze und weiteren Faktoren. Massnahmen des der Referenzschuldner (wie beispielsweise ein Zusammenschluss oder eine Abspaltung oder die Rückzahlung oder Übertragung von Verbindlichkeiten) können sich nachteilig auf den Wert der Kreditbezogenen Komplexen Produkte auswirken. Darüber hinaus können sich die Referenzschuldner, auf die diese Komplexen Produkte bezogen sind, und die Bedingungen dieser Beziehung während der Laufzeit dieser Komplexen Produkte ändern.</w:t>
            </w:r>
          </w:p>
        </w:tc>
      </w:tr>
      <w:tr w:rsidTr="00942F00">
        <w:tblPrEx>
          <w:tblW w:w="5000" w:type="pct"/>
          <w:tblLayout w:type="fixed"/>
          <w:tblLook w:val="04A0"/>
        </w:tblPrEx>
        <w:tc>
          <w:tcPr>
            <w:tcW w:w="2534" w:type="pct"/>
            <w:gridSpan w:val="14"/>
            <w:tcBorders>
              <w:right w:val="single" w:sz="4" w:space="0" w:color="auto"/>
            </w:tcBorders>
          </w:tcPr>
          <w:p w:rsidR="00E64B64" w:rsidRPr="00E00FA5" w:rsidP="00E64B64">
            <w:pPr>
              <w:pStyle w:val="CSBody0"/>
            </w:pPr>
            <w:r w:rsidRPr="00E00FA5">
              <w:t xml:space="preserve">If </w:t>
            </w:r>
            <w:r w:rsidRPr="00E64B64">
              <w:rPr>
                <w:b/>
              </w:rPr>
              <w:t>no Credit Event Determination Date</w:t>
            </w:r>
            <w:r w:rsidRPr="00E00FA5">
              <w:t xml:space="preserve"> with respect to any Reference Entity occurs on or before the Scheduled Maturity Date, such Complex Product allows the Holder thereof to benefit from the payment of the </w:t>
            </w:r>
            <w:r w:rsidRPr="00F94B27" w:rsidR="00F94B27">
              <w:rPr>
                <w:b/>
              </w:rPr>
              <w:t>[</w:t>
            </w:r>
            <w:r w:rsidRPr="00E00FA5">
              <w:t>relevant</w:t>
            </w:r>
            <w:r w:rsidRPr="00F94B27" w:rsidR="00F94B27">
              <w:rPr>
                <w:b/>
              </w:rPr>
              <w:t>]</w:t>
            </w:r>
            <w:r w:rsidRPr="00E00FA5">
              <w:t xml:space="preserve"> Interest Payment Amount on </w:t>
            </w:r>
            <w:r w:rsidRPr="00F94B27" w:rsidR="00F94B27">
              <w:rPr>
                <w:b/>
              </w:rPr>
              <w:t>[</w:t>
            </w:r>
            <w:r w:rsidRPr="00E00FA5">
              <w:t>the</w:t>
            </w:r>
            <w:r w:rsidRPr="00F94B27" w:rsidR="00F94B27">
              <w:rPr>
                <w:b/>
              </w:rPr>
              <w:t>]</w:t>
            </w:r>
            <w:r w:rsidRPr="00E00FA5">
              <w:t xml:space="preserve"> </w:t>
            </w:r>
            <w:r w:rsidRPr="00F94B27" w:rsidR="00F94B27">
              <w:rPr>
                <w:b/>
              </w:rPr>
              <w:t>[</w:t>
            </w:r>
            <w:r w:rsidRPr="00E00FA5">
              <w:t>each</w:t>
            </w:r>
            <w:r w:rsidRPr="00F94B27" w:rsidR="00F94B27">
              <w:rPr>
                <w:b/>
              </w:rPr>
              <w:t>]</w:t>
            </w:r>
            <w:r w:rsidRPr="00E00FA5">
              <w:t xml:space="preserve"> Interest Payment Date and the Issuer will redeem the Complex Products at a Scheduled Redemption Amount equal to 100% of the Principal Amount on the Scheduled Maturity Date. However, even if no Credit Event Determination Date has occurred with respect to any Reference Entity on or prior to the Scheduled Maturity Date, if a Potential Credit Event Period with respect to any Reference Entity has occurred on or prior to, and is continuing on, the Scheduled Maturity Date, any payments of principal and interest in respect of the portion of the Principal Amount of the Complex Products equal to the Reference Entity Principal Amount of such Reference Entity will be postponed to the </w:t>
            </w:r>
            <w:r w:rsidRPr="00F94B27" w:rsidR="00F94B27">
              <w:rPr>
                <w:b/>
              </w:rPr>
              <w:t>[</w:t>
            </w:r>
            <w:r w:rsidRPr="00E00FA5">
              <w:t>fifth</w:t>
            </w:r>
            <w:r w:rsidRPr="00F94B27" w:rsidR="00F94B27">
              <w:rPr>
                <w:b/>
              </w:rPr>
              <w:t>][</w:t>
            </w:r>
            <w:r w:rsidR="003857E8">
              <w:rPr>
                <w:rFonts w:ascii="Arial" w:hAnsi="Arial" w:cs="Arial"/>
              </w:rPr>
              <w:t>●</w:t>
            </w:r>
            <w:r w:rsidRPr="00F94B27" w:rsidR="00F94B27">
              <w:rPr>
                <w:b/>
              </w:rPr>
              <w:t>]</w:t>
            </w:r>
            <w:r w:rsidRPr="00E00FA5">
              <w:t xml:space="preserve"> Business Day following the last day of such Potential Credit Event Period. However, in such case any principal and interest in respect of such Reference Entity Principal Amount will only be paid if during such Potential Credit Event Period the relevant Potential Failure to Pay </w:t>
            </w:r>
            <w:r w:rsidRPr="00F94B27" w:rsidR="00F94B27">
              <w:rPr>
                <w:b/>
              </w:rPr>
              <w:t>[</w:t>
            </w:r>
            <w:r w:rsidRPr="00E00FA5">
              <w:t>, the relevant Potential Repudiation/Moratorium</w:t>
            </w:r>
            <w:r w:rsidRPr="00F94B27" w:rsidR="00F94B27">
              <w:rPr>
                <w:b/>
              </w:rPr>
              <w:t>]</w:t>
            </w:r>
            <w:r w:rsidRPr="00E00FA5">
              <w:t xml:space="preserve"> or a DC Pending Request, as applicable, in respect of the relevant Reference Entity has not resulted in the occurrence of a Credit Event Determination Date. Likewise, if a Potential Credit Event Period with respect to any Reference Entity that is not an Affected Reference Entity has occurred prior to, and is continuing on, an Interest Payment Date, the payment of the portion of the relevant Interest Payment Amount in respect of the portion of the Principal Amount of the Complex Products equal to the Reference Entity Principal Amount of such Reference Entity (the </w:t>
            </w:r>
            <w:r w:rsidR="00116653">
              <w:t>"</w:t>
            </w:r>
            <w:r w:rsidRPr="00E64B64">
              <w:rPr>
                <w:b/>
              </w:rPr>
              <w:t>Remaining Interest Payment Amount</w:t>
            </w:r>
            <w:r w:rsidR="00116653">
              <w:t>"</w:t>
            </w:r>
            <w:r w:rsidRPr="00E00FA5">
              <w:t xml:space="preserve">) will be postponed to the </w:t>
            </w:r>
            <w:r w:rsidRPr="00F94B27" w:rsidR="00F94B27">
              <w:rPr>
                <w:b/>
              </w:rPr>
              <w:t>[</w:t>
            </w:r>
            <w:r w:rsidRPr="00E00FA5">
              <w:t>fifth</w:t>
            </w:r>
            <w:r w:rsidRPr="00F94B27" w:rsidR="00F94B27">
              <w:rPr>
                <w:b/>
              </w:rPr>
              <w:t>][</w:t>
            </w:r>
            <w:r w:rsidR="003857E8">
              <w:rPr>
                <w:rFonts w:ascii="Arial" w:hAnsi="Arial" w:cs="Arial"/>
              </w:rPr>
              <w:t>●</w:t>
            </w:r>
            <w:r w:rsidRPr="00F94B27" w:rsidR="00F94B27">
              <w:rPr>
                <w:b/>
              </w:rPr>
              <w:t>]</w:t>
            </w:r>
            <w:r w:rsidRPr="00E00FA5">
              <w:t xml:space="preserve"> Business Day following the last day of such Potential Credit Event Period. However, in such case the Remaining Interest Payment Amount will only be paid if during such Potential Credit Event Period the relevant Potential Failure to Pay </w:t>
            </w:r>
            <w:r w:rsidRPr="00F94B27" w:rsidR="00F94B27">
              <w:rPr>
                <w:b/>
              </w:rPr>
              <w:t>[</w:t>
            </w:r>
            <w:r w:rsidRPr="00E00FA5">
              <w:t>,the relevant Potential Repudiation/Moratorium</w:t>
            </w:r>
            <w:r w:rsidRPr="00F94B27" w:rsidR="00F94B27">
              <w:rPr>
                <w:b/>
              </w:rPr>
              <w:t>]</w:t>
            </w:r>
            <w:r w:rsidRPr="00E00FA5">
              <w:t xml:space="preserve"> or a DC Pending Request, as applicable, in respect of the relevant Reference Entity has not resulted in the occurrence of a Credit Event Determination Date. In each case the Issuer will not be liable for additional interest or other payments to the Holders of the Complex Products by reason of any such delayed payment.</w:t>
            </w:r>
          </w:p>
        </w:tc>
        <w:tc>
          <w:tcPr>
            <w:tcW w:w="2466" w:type="pct"/>
            <w:gridSpan w:val="14"/>
            <w:tcBorders>
              <w:left w:val="single" w:sz="4" w:space="0" w:color="auto"/>
            </w:tcBorders>
          </w:tcPr>
          <w:p w:rsidR="00E64B64" w:rsidRPr="00E64B64" w:rsidP="00E64B64">
            <w:pPr>
              <w:pStyle w:val="CSBody0"/>
              <w:rPr>
                <w:lang w:val="de-DE"/>
              </w:rPr>
            </w:pPr>
            <w:r w:rsidRPr="00E64B64">
              <w:rPr>
                <w:lang w:val="de-DE"/>
              </w:rPr>
              <w:t xml:space="preserve">Wenn am oder vor dem Planmässigen Fälligkeitstag </w:t>
            </w:r>
            <w:r w:rsidRPr="00E64B64">
              <w:rPr>
                <w:b/>
                <w:lang w:val="de-DE"/>
              </w:rPr>
              <w:t>kein Kreditereignis-Feststellungstag</w:t>
            </w:r>
            <w:r w:rsidRPr="00E64B64">
              <w:rPr>
                <w:lang w:val="de-DE"/>
              </w:rPr>
              <w:t xml:space="preserve"> in Bezug auf einen der Referenzschuldner eingetreten ist, ermöglicht es dieses Komplexe Produkt seinem Inhaber, den </w:t>
            </w:r>
            <w:r w:rsidRPr="00F94B27" w:rsidR="00F94B27">
              <w:rPr>
                <w:b/>
                <w:lang w:val="de-DE"/>
              </w:rPr>
              <w:t>[</w:t>
            </w:r>
            <w:r w:rsidRPr="00E64B64">
              <w:rPr>
                <w:lang w:val="de-DE"/>
              </w:rPr>
              <w:t>jeweiligen</w:t>
            </w:r>
            <w:r w:rsidRPr="00F94B27" w:rsidR="00F94B27">
              <w:rPr>
                <w:b/>
                <w:lang w:val="de-DE"/>
              </w:rPr>
              <w:t>]</w:t>
            </w:r>
            <w:r w:rsidRPr="00E64B64">
              <w:rPr>
                <w:lang w:val="de-DE"/>
              </w:rPr>
              <w:t xml:space="preserve"> Zinszahlungsbetrag </w:t>
            </w:r>
            <w:r w:rsidRPr="00F94B27" w:rsidR="00F94B27">
              <w:rPr>
                <w:b/>
                <w:lang w:val="de-DE"/>
              </w:rPr>
              <w:t>[</w:t>
            </w:r>
            <w:r w:rsidRPr="00E64B64">
              <w:rPr>
                <w:lang w:val="de-DE"/>
              </w:rPr>
              <w:t>am</w:t>
            </w:r>
            <w:r w:rsidRPr="00F94B27" w:rsidR="00F94B27">
              <w:rPr>
                <w:b/>
                <w:lang w:val="de-DE"/>
              </w:rPr>
              <w:t>]</w:t>
            </w:r>
            <w:r w:rsidRPr="00E64B64">
              <w:rPr>
                <w:lang w:val="de-DE"/>
              </w:rPr>
              <w:t xml:space="preserve"> </w:t>
            </w:r>
            <w:r w:rsidRPr="00F94B27" w:rsidR="00F94B27">
              <w:rPr>
                <w:b/>
                <w:lang w:val="de-DE"/>
              </w:rPr>
              <w:t>[</w:t>
            </w:r>
            <w:r w:rsidRPr="00E64B64">
              <w:rPr>
                <w:lang w:val="de-DE"/>
              </w:rPr>
              <w:t>an jedem</w:t>
            </w:r>
            <w:r w:rsidRPr="00F94B27" w:rsidR="00F94B27">
              <w:rPr>
                <w:b/>
                <w:lang w:val="de-DE"/>
              </w:rPr>
              <w:t>]</w:t>
            </w:r>
            <w:r w:rsidRPr="00E64B64">
              <w:rPr>
                <w:lang w:val="de-DE"/>
              </w:rPr>
              <w:t xml:space="preserve"> Zinszahlungstag zu erhalten und die Emittentin zahlt die Komplexen Produkte zu einem Planmässigen Rückzahlungsbetrag in Höhe von 100% des Nennbetrags der Komplexen Produkte am Planmässigen Fälligkeitstag zurück. Ist zwar kein Kreditereignis-Feststellungstag am oder vor dem Planmässigen Fälligkeitstag eingetreten, hat aber ein Zeitraum eines Potenziellen Kreditereignisses in Bezug auf einen der Referenzschuldner an oder vor dem Planmässigen Fälligkeitstag begonnen und dauert am Planmässigen Fälligkeitstag an, so gilt folgendes: der Planmässige Fälligkeitstag und alle Zahlungen von Zinsen und Kapital in Bezug auf den Teil des Nennbetrags der Komplexen Produkte, der dem Referenzschuldner-Nennbetrag dieses Referenzschuldners entspricht, wird auf den </w:t>
            </w:r>
            <w:r w:rsidRPr="00F94B27" w:rsidR="00F94B27">
              <w:rPr>
                <w:b/>
                <w:lang w:val="de-DE"/>
              </w:rPr>
              <w:t>[</w:t>
            </w:r>
            <w:r w:rsidRPr="00E64B64">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E64B64">
              <w:rPr>
                <w:lang w:val="de-DE"/>
              </w:rPr>
              <w:t xml:space="preserve"> Geschäftstag nach dem letzten Tag dieses Zeitraums eines Potenziellen Kreditereignisses verschoben. In einem solchen Fall erfolgen Zahlungen von Kapital und Zinsen in Bezug auf diesen Referenzschuldner-Nennbetrag aber nur unter der Voraussetzung, dass während dieses Zeitraums eines Potenziellen Kreditereignisses die jeweilige Potenzielle Nichtzahlung </w:t>
            </w:r>
            <w:r w:rsidRPr="00F94B27" w:rsidR="00F94B27">
              <w:rPr>
                <w:b/>
                <w:lang w:val="de-DE"/>
              </w:rPr>
              <w:t>[</w:t>
            </w:r>
            <w:r w:rsidRPr="00E64B64">
              <w:rPr>
                <w:lang w:val="de-DE"/>
              </w:rPr>
              <w:t>, die jeweilige Potenzielle Nichtanerkennung/das jeweilige Potenzielle Moratorium</w:t>
            </w:r>
            <w:r w:rsidRPr="00F94B27" w:rsidR="00F94B27">
              <w:rPr>
                <w:b/>
                <w:lang w:val="de-DE"/>
              </w:rPr>
              <w:t>]</w:t>
            </w:r>
            <w:r w:rsidRPr="00E64B64">
              <w:rPr>
                <w:lang w:val="de-DE"/>
              </w:rPr>
              <w:t xml:space="preserve"> oder ein Ausstehender Antrag nicht zum Eintritt eines Kreditereignis-Feststellungstags in Bezug auf den jeweiligen Referenzschuldner geführt hat. Gleichfalls gilt: wenn ein Zeitraum eines Potenziellen Kreditereignisses in Bezug auf einen der Referenzschuldner, bei dem es sich nicht um einen Betroffenen Referenzschuldner handelt, vor einem Zinszahlungstag begonnen hat und an diesem Tag andauert, wird der Teil des jeweiligen Zinszahlungsbetrags in Bezug auf den Teil des Nennbetrags der Komplexen Produkte, der dem Referenzschuldner-Nennbetrag dieses Referenzschuldners entspricht (der "</w:t>
            </w:r>
            <w:r w:rsidRPr="00E64B64">
              <w:rPr>
                <w:b/>
                <w:lang w:val="de-DE"/>
              </w:rPr>
              <w:t>Rest-Zinszahlungsbetrag</w:t>
            </w:r>
            <w:r w:rsidR="00116653">
              <w:rPr>
                <w:lang w:val="de-DE"/>
              </w:rPr>
              <w:t>"</w:t>
            </w:r>
            <w:r w:rsidRPr="00E64B64">
              <w:rPr>
                <w:lang w:val="de-DE"/>
              </w:rPr>
              <w:t xml:space="preserve">), auf den </w:t>
            </w:r>
            <w:r w:rsidRPr="00F94B27" w:rsidR="00F94B27">
              <w:rPr>
                <w:b/>
                <w:lang w:val="de-DE"/>
              </w:rPr>
              <w:t>[</w:t>
            </w:r>
            <w:r w:rsidRPr="00E64B64">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E64B64">
              <w:rPr>
                <w:lang w:val="de-DE"/>
              </w:rPr>
              <w:t xml:space="preserve"> Geschäftstag nach dem letzten Tag dieses Zeitraums eines Potenziellen Kreditereignisses verschoben. In einem solchen Fall erfolgt die Zahlung des Rest-Zinszahlungsbetrags aber nur unter der Voraussetzung, dass während dieses Zeitraums eines Potenziellen Kreditereignisses die jeweilige Potenzielle </w:t>
            </w:r>
            <w:r w:rsidRPr="00F94B27" w:rsidR="00F94B27">
              <w:rPr>
                <w:b/>
                <w:lang w:val="de-DE"/>
              </w:rPr>
              <w:t>[</w:t>
            </w:r>
            <w:r w:rsidRPr="00E64B64">
              <w:rPr>
                <w:lang w:val="de-DE"/>
              </w:rPr>
              <w:t>, die jeweilige Potenzielle Nichtanerkennung/das jeweilige Potenzielle Moratorium</w:t>
            </w:r>
            <w:r w:rsidRPr="00F94B27" w:rsidR="00F94B27">
              <w:rPr>
                <w:b/>
                <w:lang w:val="de-DE"/>
              </w:rPr>
              <w:t>]</w:t>
            </w:r>
            <w:r w:rsidRPr="00E64B64">
              <w:rPr>
                <w:lang w:val="de-DE"/>
              </w:rPr>
              <w:t xml:space="preserve"> oder ein Ausstehender Antrag nicht zum Eintritt eines Kreditereignis-Feststellungstags in Bezug auf den jeweiligen Referenzschuldner geführt hat. In jedem Fall schuldet die Emittentin den Inhabern der Komplexen Produkte keine zusätzlichen Zins- oder sonstige Zahlungen aufgrund einer solchen verzögerten Zahlung.</w:t>
            </w:r>
          </w:p>
        </w:tc>
      </w:tr>
      <w:tr w:rsidTr="00942F00">
        <w:tblPrEx>
          <w:tblW w:w="5000" w:type="pct"/>
          <w:tblLayout w:type="fixed"/>
          <w:tblLook w:val="04A0"/>
        </w:tblPrEx>
        <w:tc>
          <w:tcPr>
            <w:tcW w:w="2534" w:type="pct"/>
            <w:gridSpan w:val="14"/>
            <w:tcBorders>
              <w:right w:val="single" w:sz="4" w:space="0" w:color="auto"/>
            </w:tcBorders>
          </w:tcPr>
          <w:p w:rsidR="00E64B64" w:rsidRPr="006A368F" w:rsidP="00E64B64">
            <w:pPr>
              <w:pStyle w:val="CSBody0"/>
            </w:pPr>
            <w:r w:rsidRPr="00E64B64">
              <w:rPr>
                <w:b/>
              </w:rPr>
              <w:t>Upon the occurrence of a Credit Event Determination Date</w:t>
            </w:r>
            <w:r w:rsidRPr="006A368F">
              <w:t xml:space="preserve"> with respect to any Reference Entity that is not an Affected Reference Entity (due to the occurrence of a Credit Event Determination Date such Reference Entity becomes an Affected Reference Entity) on or prior to the Scheduled Maturity Date (subject to extension if a Potential Credit Event Period is in effect on the Scheduled Maturity Date in respect of such Reference Entity), the portion of the Principal Amount of the Complex Products equal to the Reference Entity Principal Amount of such Affected Reference Entity will (i) cease to bear interest and any accrued and unpaid interest on such Reference Entity Principal Amount as of the date on which such Credit Event Determination Date has occurred will be cancelled and not be paid to the Holder thereof on the relevant Interest Payment Date, and (ii) be written down to zero, thereby reducing the Outstanding Principal Amount, on the basis of which the Scheduled Redemption Amount of the Complex Products is calculated and no further payments shall be made in respect of such Reference Entity Principal Amount to the Holders of the Complex Products. In such case, the greater the number of Reference Entities with respect to which a Credit Event Determination Date occurs on or prior to the Scheduled Maturity Date, the greater the loss suffered by the investor will be. In the worst case scenario, (i) a Credit Event Determination Date with respect to each Reference Entity occurs prior to the first Interest Payment Date, which means that no interest payments on the relevant Complex Products will be made, and the Scheduled Redemption Amount will be equal to zero. In such case, the investor would suffer a total loss of its initial investment.</w:t>
            </w:r>
            <w:r w:rsidRPr="00F94B27" w:rsidR="00F94B27">
              <w:rPr>
                <w:b/>
              </w:rPr>
              <w:t>]</w:t>
            </w:r>
          </w:p>
        </w:tc>
        <w:tc>
          <w:tcPr>
            <w:tcW w:w="2466" w:type="pct"/>
            <w:gridSpan w:val="14"/>
            <w:tcBorders>
              <w:left w:val="single" w:sz="4" w:space="0" w:color="auto"/>
            </w:tcBorders>
          </w:tcPr>
          <w:p w:rsidR="00E64B64" w:rsidRPr="00E64B64" w:rsidP="00BD6E0D">
            <w:pPr>
              <w:pStyle w:val="CSBody0"/>
              <w:rPr>
                <w:lang w:val="de-DE"/>
              </w:rPr>
            </w:pPr>
            <w:r w:rsidRPr="00E64B64">
              <w:rPr>
                <w:b/>
                <w:lang w:val="de-DE"/>
              </w:rPr>
              <w:t>Tritt</w:t>
            </w:r>
            <w:r w:rsidRPr="00E64B64">
              <w:rPr>
                <w:lang w:val="de-DE"/>
              </w:rPr>
              <w:t xml:space="preserve"> an oder vor dem Planmässigen Fälligkeitstag (vorbehaltlich einer Verlängerung im Fall dass ein Zeitraum eines Potenziellen Kreditereignisses am Planmässigen Fällig-keitstag in Bezug auf diesen Betroffenen Referenzschuldner besteht) </w:t>
            </w:r>
            <w:r w:rsidRPr="00E64B64">
              <w:rPr>
                <w:b/>
                <w:lang w:val="de-DE"/>
              </w:rPr>
              <w:t>ein Kreditereignis-Feststellungstag</w:t>
            </w:r>
            <w:r w:rsidRPr="00E64B64">
              <w:rPr>
                <w:lang w:val="de-DE"/>
              </w:rPr>
              <w:t xml:space="preserve"> in Bezug auf einen Referenzschuldner, bei dem es sich nicht um einen Betroffenen Referenzschuldner handelt, </w:t>
            </w:r>
            <w:r w:rsidRPr="00E64B64">
              <w:rPr>
                <w:b/>
                <w:lang w:val="de-DE"/>
              </w:rPr>
              <w:t>ein</w:t>
            </w:r>
            <w:r w:rsidRPr="00E64B64">
              <w:rPr>
                <w:lang w:val="de-DE"/>
              </w:rPr>
              <w:t xml:space="preserve"> (auf Grund des Eintritts eines Kreditereignis-Feststellungstags wird dieser Referenzschuldner zu einem Betroffenen Referenzschuldner), so (i) endet die Verzinsung des Teils des Nennbetrags der Komplexen Produkte, der dem Referenzschuldner-Nennbetrag dieses Betroffenen Referenzschuldners entspricht und etwaige zum Termin des Eintritts des Kreditereignis-Feststellungstags auf den Referenzschuldner</w:t>
            </w:r>
            <w:r w:rsidR="002F1DA0">
              <w:rPr>
                <w:lang w:val="de-DE"/>
              </w:rPr>
              <w:t>-N</w:t>
            </w:r>
            <w:r w:rsidRPr="00E64B64">
              <w:rPr>
                <w:lang w:val="de-DE"/>
              </w:rPr>
              <w:t xml:space="preserve">ennbetrag aufgelaufene und noch nicht gezahlte Zinsen verfallen und werden nicht am jeweiligen Zinszahlungstag an den Inhaber dieses Komplexen Produkts gezahlt und (ii) wird der Teil des Nennbetrags der Komplexen Produkte, der dem Referenzschuldner-Nennbetrag des Betroffenen Referenzschuldner entspricht, auf null herab gesetzt, wodurch der Ausstehende Nennbetrag, auf dessen Basis der Planmässige Rückzahlungsbetrags berechnet wird, reduziert wird und es werden keine weiteren Zahlungen in Bezug auf diesen Referenzschuldner-Nennbetrag mehr an die Inhaber der Komplexen Produkte geleistet. In diesem Fall gilt: je mehr Referenzschuldner, in Bezug auf die an oder vor dem Planmässigen Fälligkeitstag ein Kreditereignis-Feststellungstag eintritt, umso grösser ist der Verlust, den der Anleger erleidet. Im schlimmsten Fall (i) tritt vor dem ersten Zinszahlungstag ein Kreditereignis-Feststellungstag in Bezug auf jeden Referenzschuldner ein, </w:t>
            </w:r>
            <w:r w:rsidR="007E3558">
              <w:rPr>
                <w:lang w:val="de-DE"/>
              </w:rPr>
              <w:t>d.h.</w:t>
            </w:r>
            <w:r w:rsidRPr="00E64B64">
              <w:rPr>
                <w:lang w:val="de-DE"/>
              </w:rPr>
              <w:t xml:space="preserve"> es erfolgen keine Zinszahlungen auf die betreffenden Komplexen Produkte, und der Planmässige Rückzahlungsbetrag ist gleich null. In diesem Fall würde der Anleger einen Totalverlust seines ursprünglich eingesetzten Kapitals erleiden.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80CF6" w:rsidRPr="00AB16EC" w:rsidP="00F80CF6">
            <w:pPr>
              <w:pStyle w:val="CSbody0bolditalic"/>
              <w:rPr>
                <w:lang w:val="en-GB"/>
              </w:rPr>
            </w:pPr>
            <w:r w:rsidRPr="00F94B27">
              <w:rPr>
                <w:lang w:val="en-GB"/>
              </w:rPr>
              <w:t>[</w:t>
            </w:r>
            <w:r w:rsidRPr="00AB16EC">
              <w:rPr>
                <w:lang w:val="en-GB"/>
              </w:rPr>
              <w:t>In the case of Credit-Linked Complex Products with simplified settlement, insert:</w:t>
            </w:r>
          </w:p>
        </w:tc>
        <w:tc>
          <w:tcPr>
            <w:tcW w:w="2466" w:type="pct"/>
            <w:gridSpan w:val="14"/>
            <w:tcBorders>
              <w:left w:val="single" w:sz="4" w:space="0" w:color="auto"/>
            </w:tcBorders>
          </w:tcPr>
          <w:p w:rsidR="00F80CF6" w:rsidRPr="00F80CF6" w:rsidP="00F80CF6">
            <w:pPr>
              <w:pStyle w:val="CSbody0bolditalic"/>
            </w:pPr>
            <w:r w:rsidRPr="00F94B27">
              <w:t>[</w:t>
            </w:r>
            <w:r w:rsidRPr="00F80CF6">
              <w:t>Bei Kreditbezogenen Komplexen Produkten mit vereinfachter Abwicklung einfügen:</w:t>
            </w:r>
          </w:p>
        </w:tc>
      </w:tr>
      <w:tr w:rsidTr="00942F00">
        <w:tblPrEx>
          <w:tblW w:w="5000" w:type="pct"/>
          <w:tblLayout w:type="fixed"/>
          <w:tblLook w:val="04A0"/>
        </w:tblPrEx>
        <w:tc>
          <w:tcPr>
            <w:tcW w:w="2534" w:type="pct"/>
            <w:gridSpan w:val="14"/>
            <w:tcBorders>
              <w:right w:val="single" w:sz="4" w:space="0" w:color="auto"/>
            </w:tcBorders>
          </w:tcPr>
          <w:p w:rsidR="00F80CF6" w:rsidRPr="00FC72B0" w:rsidP="00F80CF6">
            <w:pPr>
              <w:pStyle w:val="CSBody0"/>
            </w:pPr>
            <w:r w:rsidRPr="00FC72B0">
              <w:t xml:space="preserve">The Complex Products are linked to the creditworthiness of the Reference Entity. By investing in the Complex Products, Holders are exposed to the credit risk relating to the Reference Entity. For the assumption of credit risk, Holders will receive a compensation in the form of increased interest payments. As the Complex Products are </w:t>
            </w:r>
            <w:r w:rsidRPr="00F80CF6">
              <w:rPr>
                <w:b/>
              </w:rPr>
              <w:t>not capital protected</w:t>
            </w:r>
            <w:r w:rsidRPr="00FC72B0">
              <w:t xml:space="preserve"> it is not possible to predict the return on the Complex Products at the time of issuance. </w:t>
            </w:r>
          </w:p>
        </w:tc>
        <w:tc>
          <w:tcPr>
            <w:tcW w:w="2466" w:type="pct"/>
            <w:gridSpan w:val="14"/>
            <w:tcBorders>
              <w:left w:val="single" w:sz="4" w:space="0" w:color="auto"/>
            </w:tcBorders>
          </w:tcPr>
          <w:p w:rsidR="00F80CF6" w:rsidRPr="00F80CF6" w:rsidP="00F80CF6">
            <w:pPr>
              <w:pStyle w:val="CSBody0"/>
              <w:rPr>
                <w:lang w:val="de-DE"/>
              </w:rPr>
            </w:pPr>
            <w:r w:rsidRPr="00F80CF6">
              <w:rPr>
                <w:lang w:val="de-DE"/>
              </w:rPr>
              <w:t xml:space="preserve">Die Komplexen Produkte sind an die Bonität des Referenzschuldners gekoppelt. Durch eine Anlage in die Komplexen Produkte sind die Inhaber dem Kreditrisiko dieses Referenzschuldners ausgesetzt. Für die Übernahme des Kreditrisikos erhalten Inhaber eine Gegenleistung in Form von erhöhten Zinszahlungen. Da die Komplexen Produkte </w:t>
            </w:r>
            <w:r w:rsidRPr="00F80CF6">
              <w:rPr>
                <w:b/>
                <w:lang w:val="de-DE"/>
              </w:rPr>
              <w:t>nicht kapitalgeschützt</w:t>
            </w:r>
            <w:r w:rsidRPr="00F80CF6">
              <w:rPr>
                <w:lang w:val="de-DE"/>
              </w:rPr>
              <w:t xml:space="preserve"> sind, ist es nicht möglich, die Erträge der Komplexen Produkte zum Zeitpunkt ihrer Ausgabe vorherzusagen.</w:t>
            </w:r>
          </w:p>
        </w:tc>
      </w:tr>
      <w:tr w:rsidTr="00942F00">
        <w:tblPrEx>
          <w:tblW w:w="5000" w:type="pct"/>
          <w:tblLayout w:type="fixed"/>
          <w:tblLook w:val="04A0"/>
        </w:tblPrEx>
        <w:tc>
          <w:tcPr>
            <w:tcW w:w="2534" w:type="pct"/>
            <w:gridSpan w:val="14"/>
            <w:tcBorders>
              <w:right w:val="single" w:sz="4" w:space="0" w:color="auto"/>
            </w:tcBorders>
          </w:tcPr>
          <w:p w:rsidR="00F80CF6" w:rsidRPr="00B962D5" w:rsidP="00F80CF6">
            <w:pPr>
              <w:pStyle w:val="CSBody0"/>
            </w:pPr>
            <w:r w:rsidRPr="00B962D5">
              <w:t xml:space="preserve">The payment of interest on, and the redemption of, the Complex Products is dependent upon whether a Credit Redemption Event, </w:t>
            </w:r>
            <w:r w:rsidRPr="007E3558" w:rsidR="007E3558">
              <w:rPr>
                <w:i/>
              </w:rPr>
              <w:t>i.e.</w:t>
            </w:r>
            <w:r w:rsidRPr="00B962D5">
              <w:t xml:space="preserve"> a Default Event or a Redemption Event with respect to the Reference Entity, has occurred. If a Credit Redemption Event occurs, no further interest payments will be made and the amount at which such Complex Products will be redeemed will be dependent on the value of the Reference Obligation of the Reference Entity. A Credit Redemption Event shall be deemed to have occurred if the Calculation Agent determines in its discretion that a Default Event or a Redemption Event has occurred with respect to the Reference Entity. Investors should note that a Credit Redemption Event may occur even if the Reference Entity has not defaulted on any payment obligation. The likelihood of the occurrence of a Credit Redemption Event will generally fluctuate with, among other things, the financial condition and other characteristics of the Reference Entity, general economic conditions, the condition of certain financial markets, political events, developments or trends in any particular industry and changes in prevailing interest rates. Actions of the Reference Entity (for example, merger or demerger or the repayment or transfer of indebtedness) may adversely affect the value of the Complex Products.</w:t>
            </w:r>
          </w:p>
        </w:tc>
        <w:tc>
          <w:tcPr>
            <w:tcW w:w="2466" w:type="pct"/>
            <w:gridSpan w:val="14"/>
            <w:tcBorders>
              <w:left w:val="single" w:sz="4" w:space="0" w:color="auto"/>
            </w:tcBorders>
          </w:tcPr>
          <w:p w:rsidR="00F80CF6" w:rsidRPr="00F80CF6" w:rsidP="00474C21">
            <w:pPr>
              <w:pStyle w:val="CSBody0"/>
              <w:rPr>
                <w:lang w:val="de-DE"/>
              </w:rPr>
            </w:pPr>
            <w:r w:rsidRPr="00F80CF6">
              <w:rPr>
                <w:lang w:val="de-DE"/>
              </w:rPr>
              <w:t>Die Zahlung von Zinsen auf derartige Komplexe Produkte sowie die Rückzahlung dieser Komplexen Produkte hängen davon ab, ob ein Kredit</w:t>
            </w:r>
            <w:r w:rsidR="002A02E2">
              <w:rPr>
                <w:lang w:val="de-DE"/>
              </w:rPr>
              <w:t>-</w:t>
            </w:r>
            <w:r w:rsidRPr="00F80CF6">
              <w:rPr>
                <w:lang w:val="de-DE"/>
              </w:rPr>
              <w:t>Rückzahlungsereignis, d.h. ein Ausfallereignis oder ein Rückzahlungsereignis in Bezug auf den Referenzschuldner eingetreten ist. Falls ein Kredit</w:t>
            </w:r>
            <w:r w:rsidR="00800429">
              <w:rPr>
                <w:lang w:val="de-DE"/>
              </w:rPr>
              <w:t>-</w:t>
            </w:r>
            <w:r w:rsidRPr="00F80CF6">
              <w:rPr>
                <w:lang w:val="de-DE"/>
              </w:rPr>
              <w:t>Rückzahlungsereignis eintritt, erfolgen keine weiteren Zinszahlungen und der Betrag, zu dem diese Komplexen Produkte zurückgezahlt werden, hängt in einem solchen Fall vom Wert der Referenzverbindlichkeit des Referenzschuldners ab. Ein Kredit-Rückzahlungsereignis gilt als eingetreten, wenn die Berechnungsstelle nach ihrem Ermessen feststellt, dass ein Ausfallereignis oder ein Rückzahlungsereignis in Bezug auf den Referenzschuldner eingetreten ist. Anleger sollten sich darüber im Klaren sein, dass ein Kredit-Rückzahlungsereignis selbst dann eintreten kann, wenn sich der Referenzschuldner mit seinen Zahlungsverpflichtungen nicht in Verzug befindet. Die Wahrscheinlichkeit, dass ein Kredit-Rückzahlungsereignis eintritt, variiert in der Regel aufgrund der Finanzlage und anderer Kenndaten des Referenzschuldners, der allgemeinen Konjunktur, der Lage an bestimmten Finanzmärkten sowie aufgrund von politischen Ereignissen, Entwicklungen oder Tendenzen in bestimmten Branchen, Änderungen der geltenden Zinssätze und weiteren Faktoren. Massnahmen des Referenzschuldners (wie beispielsweise ein Zusammenschluss oder eine Abspaltung oder die Rückzahlung oder Übertragung von Verbindlichkeiten) können sich nachteilig auf den Wert der Komplexen Produkte auswirken.</w:t>
            </w:r>
          </w:p>
        </w:tc>
      </w:tr>
      <w:tr w:rsidTr="00942F00">
        <w:tblPrEx>
          <w:tblW w:w="5000" w:type="pct"/>
          <w:tblLayout w:type="fixed"/>
          <w:tblLook w:val="04A0"/>
        </w:tblPrEx>
        <w:tc>
          <w:tcPr>
            <w:tcW w:w="2534" w:type="pct"/>
            <w:gridSpan w:val="14"/>
            <w:tcBorders>
              <w:right w:val="single" w:sz="4" w:space="0" w:color="auto"/>
            </w:tcBorders>
          </w:tcPr>
          <w:p w:rsidR="00F80CF6" w:rsidRPr="00B962D5" w:rsidP="00F80CF6">
            <w:pPr>
              <w:pStyle w:val="CSBody0"/>
            </w:pPr>
            <w:r w:rsidRPr="00B962D5">
              <w:t xml:space="preserve">If </w:t>
            </w:r>
            <w:r w:rsidRPr="00F80CF6">
              <w:rPr>
                <w:b/>
              </w:rPr>
              <w:t xml:space="preserve">no Credit Redemption Event has occurred </w:t>
            </w:r>
            <w:r w:rsidRPr="00B962D5">
              <w:t xml:space="preserve">on or prior to the Scheduled Maturity Date, the Complex Products allow the Holder thereof to benefit from the payment of the </w:t>
            </w:r>
            <w:r w:rsidRPr="00F94B27" w:rsidR="00F94B27">
              <w:rPr>
                <w:b/>
              </w:rPr>
              <w:t>[</w:t>
            </w:r>
            <w:r w:rsidRPr="00B962D5">
              <w:t>relevant</w:t>
            </w:r>
            <w:r w:rsidRPr="00F94B27" w:rsidR="00F94B27">
              <w:rPr>
                <w:b/>
              </w:rPr>
              <w:t>]</w:t>
            </w:r>
            <w:r w:rsidRPr="00B962D5">
              <w:t xml:space="preserve"> Interest Payment Amount on </w:t>
            </w:r>
            <w:r w:rsidRPr="00F94B27" w:rsidR="00F94B27">
              <w:rPr>
                <w:b/>
              </w:rPr>
              <w:t>[</w:t>
            </w:r>
            <w:r w:rsidRPr="00B962D5">
              <w:t>the</w:t>
            </w:r>
            <w:r w:rsidRPr="00F94B27" w:rsidR="00F94B27">
              <w:rPr>
                <w:b/>
              </w:rPr>
              <w:t>]</w:t>
            </w:r>
            <w:r w:rsidRPr="00B962D5">
              <w:t xml:space="preserve"> </w:t>
            </w:r>
            <w:r w:rsidRPr="00F94B27" w:rsidR="00F94B27">
              <w:rPr>
                <w:b/>
              </w:rPr>
              <w:t>[</w:t>
            </w:r>
            <w:r w:rsidRPr="00B962D5">
              <w:t>each</w:t>
            </w:r>
            <w:r w:rsidRPr="00F94B27" w:rsidR="00F94B27">
              <w:rPr>
                <w:b/>
              </w:rPr>
              <w:t>]</w:t>
            </w:r>
            <w:r w:rsidRPr="00B962D5">
              <w:t xml:space="preserve"> Interest Payment Date and the Issuer will redeem the Complex Products at the Scheduled Redemption Amount on the Scheduled Maturity Date. </w:t>
            </w:r>
          </w:p>
        </w:tc>
        <w:tc>
          <w:tcPr>
            <w:tcW w:w="2466" w:type="pct"/>
            <w:gridSpan w:val="14"/>
            <w:tcBorders>
              <w:left w:val="single" w:sz="4" w:space="0" w:color="auto"/>
            </w:tcBorders>
          </w:tcPr>
          <w:p w:rsidR="00F80CF6" w:rsidRPr="00F80CF6" w:rsidP="00F80CF6">
            <w:pPr>
              <w:pStyle w:val="CSBody0"/>
              <w:rPr>
                <w:lang w:val="de-DE"/>
              </w:rPr>
            </w:pPr>
            <w:r w:rsidRPr="00F80CF6">
              <w:rPr>
                <w:lang w:val="de-DE"/>
              </w:rPr>
              <w:t xml:space="preserve">Falls </w:t>
            </w:r>
            <w:r w:rsidRPr="00F80CF6">
              <w:rPr>
                <w:b/>
                <w:lang w:val="de-DE"/>
              </w:rPr>
              <w:t>kein Kredit-Rückzahlungsereignis</w:t>
            </w:r>
            <w:r w:rsidRPr="00F80CF6">
              <w:rPr>
                <w:lang w:val="de-DE"/>
              </w:rPr>
              <w:t xml:space="preserve"> am oder vor dem Planmässigen Fälligkeitstag </w:t>
            </w:r>
            <w:r w:rsidRPr="00F80CF6">
              <w:rPr>
                <w:b/>
                <w:lang w:val="de-DE"/>
              </w:rPr>
              <w:t>eingetreten ist</w:t>
            </w:r>
            <w:r w:rsidRPr="00F80CF6">
              <w:rPr>
                <w:lang w:val="de-DE"/>
              </w:rPr>
              <w:t xml:space="preserve">, ermöglichen die Komplexen Produkte ihrem Inhaber, die Zahlung des </w:t>
            </w:r>
            <w:r w:rsidRPr="00F94B27" w:rsidR="00F94B27">
              <w:rPr>
                <w:b/>
                <w:lang w:val="de-DE"/>
              </w:rPr>
              <w:t>[</w:t>
            </w:r>
            <w:r w:rsidRPr="00F80CF6">
              <w:rPr>
                <w:lang w:val="de-DE"/>
              </w:rPr>
              <w:t>jeweiligen</w:t>
            </w:r>
            <w:r w:rsidRPr="00F94B27" w:rsidR="00F94B27">
              <w:rPr>
                <w:b/>
                <w:lang w:val="de-DE"/>
              </w:rPr>
              <w:t>]</w:t>
            </w:r>
            <w:r w:rsidRPr="00F80CF6">
              <w:rPr>
                <w:lang w:val="de-DE"/>
              </w:rPr>
              <w:t xml:space="preserve"> Zinszahlungsbetrags </w:t>
            </w:r>
            <w:r w:rsidRPr="00F94B27" w:rsidR="00F94B27">
              <w:rPr>
                <w:b/>
                <w:lang w:val="de-DE"/>
              </w:rPr>
              <w:t>[</w:t>
            </w:r>
            <w:r w:rsidRPr="00F80CF6">
              <w:rPr>
                <w:lang w:val="de-DE"/>
              </w:rPr>
              <w:t>am</w:t>
            </w:r>
            <w:r w:rsidRPr="00F94B27" w:rsidR="00F94B27">
              <w:rPr>
                <w:b/>
                <w:lang w:val="de-DE"/>
              </w:rPr>
              <w:t>][</w:t>
            </w:r>
            <w:r w:rsidRPr="00F80CF6">
              <w:rPr>
                <w:lang w:val="de-DE"/>
              </w:rPr>
              <w:t>an jedem</w:t>
            </w:r>
            <w:r w:rsidRPr="00F94B27" w:rsidR="00F94B27">
              <w:rPr>
                <w:b/>
                <w:lang w:val="de-DE"/>
              </w:rPr>
              <w:t>]</w:t>
            </w:r>
            <w:r w:rsidRPr="00F80CF6">
              <w:rPr>
                <w:lang w:val="de-DE"/>
              </w:rPr>
              <w:t xml:space="preserve"> Zinszahlungstag zu erhalten, und die Emittentin zahlt die Komplexen Produkte zum Planmässigen Rückzahlungsbetrag am Planmässigen Fälligkeitstag zurück.</w:t>
            </w:r>
          </w:p>
        </w:tc>
      </w:tr>
      <w:tr w:rsidTr="00942F00">
        <w:tblPrEx>
          <w:tblW w:w="5000" w:type="pct"/>
          <w:tblLayout w:type="fixed"/>
          <w:tblLook w:val="04A0"/>
        </w:tblPrEx>
        <w:tc>
          <w:tcPr>
            <w:tcW w:w="2534" w:type="pct"/>
            <w:gridSpan w:val="14"/>
            <w:tcBorders>
              <w:right w:val="single" w:sz="4" w:space="0" w:color="auto"/>
            </w:tcBorders>
          </w:tcPr>
          <w:p w:rsidR="00F80CF6" w:rsidRPr="00B962D5" w:rsidP="00F80CF6">
            <w:pPr>
              <w:pStyle w:val="CSBody0"/>
            </w:pPr>
            <w:r w:rsidRPr="00B962D5">
              <w:t xml:space="preserve">However, even if no Credit Redemption Event has occurred on or prior to the Scheduled Maturity Date, if a Suspension Period has occurred on or prior to, and is continuing on, the Scheduled Maturity Date, the Scheduled Maturity Date (and any payments of principal and interest in respect of such Complex Products otherwise scheduled to be made on such date) will be postponed to the </w:t>
            </w:r>
            <w:r w:rsidRPr="00F94B27" w:rsidR="00F94B27">
              <w:rPr>
                <w:b/>
              </w:rPr>
              <w:t>[</w:t>
            </w:r>
            <w:r w:rsidRPr="00B962D5">
              <w:t>fifth</w:t>
            </w:r>
            <w:r w:rsidRPr="00F94B27" w:rsidR="00F94B27">
              <w:rPr>
                <w:b/>
              </w:rPr>
              <w:t>][</w:t>
            </w:r>
            <w:r w:rsidR="003857E8">
              <w:rPr>
                <w:rFonts w:ascii="Arial" w:hAnsi="Arial" w:cs="Arial"/>
              </w:rPr>
              <w:t>●</w:t>
            </w:r>
            <w:r w:rsidRPr="00F94B27" w:rsidR="00F94B27">
              <w:rPr>
                <w:b/>
              </w:rPr>
              <w:t>]</w:t>
            </w:r>
            <w:r w:rsidRPr="00B962D5">
              <w:t xml:space="preserve"> Business Day following the last day of such Suspension Period, provided that no Credit Redemption Event occurs during such Suspension Period. Likewise, if a Suspension Period has occurred on or prior to, and is continuing on, </w:t>
            </w:r>
            <w:r w:rsidRPr="00F94B27" w:rsidR="00F94B27">
              <w:rPr>
                <w:b/>
              </w:rPr>
              <w:t>[</w:t>
            </w:r>
            <w:r w:rsidRPr="00B962D5">
              <w:t>the</w:t>
            </w:r>
            <w:r w:rsidRPr="00F94B27" w:rsidR="00F94B27">
              <w:rPr>
                <w:b/>
              </w:rPr>
              <w:t>]</w:t>
            </w:r>
            <w:r w:rsidRPr="00B962D5">
              <w:t xml:space="preserve"> </w:t>
            </w:r>
            <w:r w:rsidRPr="00F94B27" w:rsidR="00F94B27">
              <w:rPr>
                <w:b/>
              </w:rPr>
              <w:t>[</w:t>
            </w:r>
            <w:r w:rsidRPr="00B962D5">
              <w:t>an</w:t>
            </w:r>
            <w:r w:rsidRPr="00F94B27" w:rsidR="00F94B27">
              <w:rPr>
                <w:b/>
              </w:rPr>
              <w:t>]</w:t>
            </w:r>
            <w:r w:rsidRPr="00B962D5">
              <w:t xml:space="preserve"> Interest Payment Date, any payment of interest will be postponed to the </w:t>
            </w:r>
            <w:r w:rsidRPr="00F94B27" w:rsidR="00F94B27">
              <w:rPr>
                <w:b/>
              </w:rPr>
              <w:t>[</w:t>
            </w:r>
            <w:r w:rsidRPr="00B962D5">
              <w:t>fifth</w:t>
            </w:r>
            <w:r w:rsidRPr="00F94B27" w:rsidR="00F94B27">
              <w:rPr>
                <w:b/>
              </w:rPr>
              <w:t>][</w:t>
            </w:r>
            <w:r w:rsidR="003857E8">
              <w:rPr>
                <w:rFonts w:ascii="Arial" w:hAnsi="Arial" w:cs="Arial"/>
              </w:rPr>
              <w:t>●</w:t>
            </w:r>
            <w:r w:rsidRPr="00F94B27" w:rsidR="00F94B27">
              <w:rPr>
                <w:b/>
              </w:rPr>
              <w:t>]</w:t>
            </w:r>
            <w:r w:rsidRPr="00B962D5">
              <w:t xml:space="preserve"> Business Day following the last day of such Suspension Period. In each case the Issuer will not be liable for additional interest or other payments to the Holders of the Complex Products by reason of any such delayed payment.</w:t>
            </w:r>
          </w:p>
        </w:tc>
        <w:tc>
          <w:tcPr>
            <w:tcW w:w="2466" w:type="pct"/>
            <w:gridSpan w:val="14"/>
            <w:tcBorders>
              <w:left w:val="single" w:sz="4" w:space="0" w:color="auto"/>
            </w:tcBorders>
          </w:tcPr>
          <w:p w:rsidR="00F80CF6" w:rsidRPr="00F80CF6" w:rsidP="00F80CF6">
            <w:pPr>
              <w:pStyle w:val="CSBody0"/>
              <w:rPr>
                <w:lang w:val="de-DE"/>
              </w:rPr>
            </w:pPr>
            <w:r w:rsidRPr="00F80CF6">
              <w:rPr>
                <w:lang w:val="de-DE"/>
              </w:rPr>
              <w:t xml:space="preserve">Ist zwar kein Kredit-Rückzahlungsereignis am oder vor dem Planmässigen Fälligkeitstag eingetreten, hat aber ein Aussetzungszeitraum an oder vor dem Planmässigen Fälligkeitstag begonnen und dauert am Planmässigen Fälligkeitstag an, so gilt folgendes: der Planmässige Fälligkeitstag (und alle Zahlungen in Bezug auf Zinsen und Kapital, die andernfalls an diesem Tag in Bezug auf die Komplexen Produkte gemacht werden würden) wird auf den </w:t>
            </w:r>
            <w:r w:rsidRPr="00F94B27" w:rsidR="00F94B27">
              <w:rPr>
                <w:b/>
                <w:lang w:val="de-DE"/>
              </w:rPr>
              <w:t>[</w:t>
            </w:r>
            <w:r w:rsidRPr="00F80CF6">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F80CF6">
              <w:rPr>
                <w:lang w:val="de-DE"/>
              </w:rPr>
              <w:t xml:space="preserve"> Geschäftstag nach dem letzten Tag dieses Aussetzungszeitraums verschoben, sofern während dieses Aussetzungszeitraums kein Kredit-Rückzahlungsereignis eintritt. Gleichfalls gilt: wenn ein Aussetzungszeitraum an oder vor </w:t>
            </w:r>
            <w:r w:rsidRPr="00F94B27" w:rsidR="00F94B27">
              <w:rPr>
                <w:b/>
                <w:lang w:val="de-DE"/>
              </w:rPr>
              <w:t>[</w:t>
            </w:r>
            <w:r w:rsidRPr="00F80CF6">
              <w:rPr>
                <w:lang w:val="de-DE"/>
              </w:rPr>
              <w:t>dem</w:t>
            </w:r>
            <w:r w:rsidRPr="00F94B27" w:rsidR="00F94B27">
              <w:rPr>
                <w:b/>
                <w:lang w:val="de-DE"/>
              </w:rPr>
              <w:t>]</w:t>
            </w:r>
            <w:r w:rsidRPr="00F80CF6">
              <w:rPr>
                <w:lang w:val="de-DE"/>
              </w:rPr>
              <w:t xml:space="preserve"> </w:t>
            </w:r>
            <w:r w:rsidRPr="00F94B27" w:rsidR="00F94B27">
              <w:rPr>
                <w:b/>
                <w:lang w:val="de-DE"/>
              </w:rPr>
              <w:t>[</w:t>
            </w:r>
            <w:r w:rsidRPr="00F80CF6">
              <w:rPr>
                <w:lang w:val="de-DE"/>
              </w:rPr>
              <w:t>einem</w:t>
            </w:r>
            <w:r w:rsidRPr="00F94B27" w:rsidR="00F94B27">
              <w:rPr>
                <w:b/>
                <w:lang w:val="de-DE"/>
              </w:rPr>
              <w:t>]</w:t>
            </w:r>
            <w:r w:rsidRPr="00F80CF6">
              <w:rPr>
                <w:lang w:val="de-DE"/>
              </w:rPr>
              <w:t xml:space="preserve"> Zinszahlungstag begonnen hat und an diesem Tag andauert, wird die Zahlung von Zinsen auf den </w:t>
            </w:r>
            <w:r w:rsidRPr="00F94B27" w:rsidR="00F94B27">
              <w:rPr>
                <w:b/>
                <w:lang w:val="de-DE"/>
              </w:rPr>
              <w:t>[</w:t>
            </w:r>
            <w:r w:rsidRPr="00F80CF6">
              <w:rPr>
                <w:lang w:val="de-DE"/>
              </w:rPr>
              <w:t>fünften</w:t>
            </w:r>
            <w:r w:rsidRPr="00F94B27" w:rsidR="00F94B27">
              <w:rPr>
                <w:b/>
                <w:lang w:val="de-DE"/>
              </w:rPr>
              <w:t>][</w:t>
            </w:r>
            <w:r w:rsidRPr="003857E8" w:rsidR="003857E8">
              <w:rPr>
                <w:rFonts w:ascii="Arial" w:hAnsi="Arial" w:cs="Arial"/>
                <w:lang w:val="de-DE"/>
              </w:rPr>
              <w:t>●</w:t>
            </w:r>
            <w:r w:rsidRPr="00F94B27" w:rsidR="00F94B27">
              <w:rPr>
                <w:b/>
                <w:lang w:val="de-DE"/>
              </w:rPr>
              <w:t>]</w:t>
            </w:r>
            <w:r w:rsidRPr="00F80CF6">
              <w:rPr>
                <w:lang w:val="de-DE"/>
              </w:rPr>
              <w:t xml:space="preserve"> Geschäftstag nach dem letzten Tag eines solchen Aussetzungszeitraums verschoben. In jedem Fall schuldet die Emittentin den Inhabern der Komplexen Produkte keine zusätzlichen Zins- oder sonstige Zahlungen aufgrund einer solchen verzögerten Zahlung.</w:t>
            </w:r>
          </w:p>
        </w:tc>
      </w:tr>
      <w:tr w:rsidTr="00942F00">
        <w:tblPrEx>
          <w:tblW w:w="5000" w:type="pct"/>
          <w:tblLayout w:type="fixed"/>
          <w:tblLook w:val="04A0"/>
        </w:tblPrEx>
        <w:tc>
          <w:tcPr>
            <w:tcW w:w="2534" w:type="pct"/>
            <w:gridSpan w:val="14"/>
            <w:tcBorders>
              <w:right w:val="single" w:sz="4" w:space="0" w:color="auto"/>
            </w:tcBorders>
          </w:tcPr>
          <w:p w:rsidR="00F80CF6" w:rsidRPr="00762D4E" w:rsidP="00F80CF6">
            <w:pPr>
              <w:pStyle w:val="CSBody0"/>
            </w:pPr>
            <w:r w:rsidRPr="00762D4E">
              <w:t xml:space="preserve">If </w:t>
            </w:r>
            <w:r w:rsidRPr="00F80CF6">
              <w:rPr>
                <w:b/>
              </w:rPr>
              <w:t>a Credit Redemption Event occurs</w:t>
            </w:r>
            <w:r w:rsidRPr="00762D4E">
              <w:t xml:space="preserve"> on or prior to the Scheduled Maturity Date (subject to extension if a Suspension Period is in effect on the Scheduled Maturity Date), instead of being redeemed at the Scheduled Redemption Amount on the Scheduled Maturity Date, each Complex Product will be redeemed by </w:t>
            </w:r>
            <w:r w:rsidRPr="00F94B27" w:rsidR="00F94B27">
              <w:rPr>
                <w:b/>
              </w:rPr>
              <w:t>[</w:t>
            </w:r>
            <w:r w:rsidRPr="00F80CF6">
              <w:rPr>
                <w:b/>
                <w:i/>
              </w:rPr>
              <w:t>in case of Complex Products with cash settlement:</w:t>
            </w:r>
            <w:r w:rsidRPr="00762D4E">
              <w:t xml:space="preserve"> payment of a cash amount equal to the Credit Redemption Amount</w:t>
            </w:r>
            <w:r w:rsidRPr="00F94B27" w:rsidR="00F94B27">
              <w:rPr>
                <w:b/>
              </w:rPr>
              <w:t>]</w:t>
            </w:r>
            <w:r w:rsidRPr="00762D4E">
              <w:t xml:space="preserve"> </w:t>
            </w:r>
            <w:r w:rsidRPr="00F94B27" w:rsidR="00F94B27">
              <w:rPr>
                <w:b/>
              </w:rPr>
              <w:t>[</w:t>
            </w:r>
            <w:r w:rsidRPr="0036353B">
              <w:rPr>
                <w:b/>
                <w:i/>
              </w:rPr>
              <w:t>in case of Complex Products with physical settlement:</w:t>
            </w:r>
            <w:r w:rsidRPr="00762D4E">
              <w:t xml:space="preserve"> (i) payment of a cash amount equal to the Credit Redemption Amount, if a Redemption Event has led to the occurrence of the Credit Redemption Event or (ii) delivery of the number of Reference Obligations specified in the Ratio, if a Default Event has led to the occurrence of the Credit Redemption Event</w:t>
            </w:r>
            <w:r w:rsidRPr="00F94B27" w:rsidR="00F94B27">
              <w:rPr>
                <w:b/>
              </w:rPr>
              <w:t>]</w:t>
            </w:r>
            <w:r w:rsidRPr="00762D4E">
              <w:t xml:space="preserve"> to each Holder. </w:t>
            </w:r>
            <w:r w:rsidRPr="00F94B27" w:rsidR="00F94B27">
              <w:rPr>
                <w:b/>
              </w:rPr>
              <w:t>[</w:t>
            </w:r>
            <w:r w:rsidRPr="00762D4E">
              <w:t>In case of a cash settlement, such</w:t>
            </w:r>
            <w:r w:rsidRPr="00F94B27" w:rsidR="00F94B27">
              <w:rPr>
                <w:b/>
              </w:rPr>
              <w:t>]</w:t>
            </w:r>
            <w:r w:rsidRPr="00762D4E">
              <w:t xml:space="preserve"> </w:t>
            </w:r>
            <w:r w:rsidRPr="00F94B27" w:rsidR="00F94B27">
              <w:rPr>
                <w:b/>
              </w:rPr>
              <w:t>[</w:t>
            </w:r>
            <w:r w:rsidRPr="00762D4E">
              <w:t>Such</w:t>
            </w:r>
            <w:r w:rsidRPr="00F94B27" w:rsidR="00F94B27">
              <w:rPr>
                <w:b/>
              </w:rPr>
              <w:t>]</w:t>
            </w:r>
            <w:r w:rsidRPr="00762D4E">
              <w:t xml:space="preserve"> amount will be equal to the greater of zero and the sum of the Value of the Reference Obligation and the Asset Swap Value. The Value of the Reference Obligation will be determined by the Calculation Agent based on quotations obtained from leading banks or securities trading firms of the all</w:t>
            </w:r>
            <w:r w:rsidR="00800429">
              <w:t>-</w:t>
            </w:r>
            <w:r w:rsidRPr="00762D4E">
              <w:t xml:space="preserve">in bid price at which they would purchase the Reference Obligation on the Valuation Date, and the Asset Swap Value will be determined by the Calculation Agent based on quotations obtained from banks or securities trading firms of the amount of certain payments they would expect to pay to, or receive from, the Counterparty, if such bank or securities trading firm were to enter into an agreement with the Counterparty pursuant to which such bank or securities trading firm would fulfil the rights and obligations of the Counterparty, and the Counterparty would fulfil the rights and obligations of the Issuer, under the Swap Agreement described in the Terms and Conditions. Such amount paid to the Holder </w:t>
            </w:r>
            <w:r w:rsidRPr="00F94B27" w:rsidR="00F94B27">
              <w:rPr>
                <w:b/>
              </w:rPr>
              <w:t>[</w:t>
            </w:r>
            <w:r w:rsidRPr="00762D4E">
              <w:t>or, in case of a physical settlement, the value of the Reference Obligations delivered to the Holder</w:t>
            </w:r>
            <w:r w:rsidRPr="00F94B27" w:rsidR="00F94B27">
              <w:rPr>
                <w:b/>
              </w:rPr>
              <w:t>]</w:t>
            </w:r>
            <w:r w:rsidRPr="00762D4E">
              <w:t xml:space="preserve"> will generally be considerably less than the Holder's initial investment in such Complex Products.</w:t>
            </w:r>
          </w:p>
        </w:tc>
        <w:tc>
          <w:tcPr>
            <w:tcW w:w="2466" w:type="pct"/>
            <w:gridSpan w:val="14"/>
            <w:tcBorders>
              <w:left w:val="single" w:sz="4" w:space="0" w:color="auto"/>
            </w:tcBorders>
          </w:tcPr>
          <w:p w:rsidR="00F80CF6" w:rsidRPr="00F80CF6" w:rsidP="00474C21">
            <w:pPr>
              <w:pStyle w:val="CSBody0"/>
              <w:rPr>
                <w:lang w:val="de-DE"/>
              </w:rPr>
            </w:pPr>
            <w:r w:rsidRPr="00F80CF6">
              <w:rPr>
                <w:lang w:val="de-DE"/>
              </w:rPr>
              <w:t xml:space="preserve">Tritt an oder vor dem Planmässigen Fälligkeitstag (vorbehaltlich einer Verlängerung im Fall dass ein Aussetzungszeitraum am Planmässigen Fälligkeitstag besteht) </w:t>
            </w:r>
            <w:r w:rsidRPr="0036353B">
              <w:rPr>
                <w:b/>
                <w:i/>
                <w:lang w:val="de-DE"/>
              </w:rPr>
              <w:t>ein Kredit-Rückzahlungsereignis</w:t>
            </w:r>
            <w:r w:rsidRPr="00F80CF6">
              <w:rPr>
                <w:lang w:val="de-DE"/>
              </w:rPr>
              <w:t xml:space="preserve"> ein, so wird jedes Komplexe Produkt nicht zum Planmässigen Rückzahlungsbetrag am Planmässigen Fälligkeitstag an den Inhaber zurückgezahlt, sondern durch </w:t>
            </w:r>
            <w:r w:rsidRPr="00F94B27" w:rsidR="00F94B27">
              <w:rPr>
                <w:b/>
                <w:lang w:val="de-DE"/>
              </w:rPr>
              <w:t>[</w:t>
            </w:r>
            <w:r w:rsidRPr="0036353B">
              <w:rPr>
                <w:b/>
                <w:i/>
                <w:lang w:val="de-DE"/>
              </w:rPr>
              <w:t>bei Komplexen Produkten mit Barabwicklung:</w:t>
            </w:r>
            <w:r w:rsidRPr="00F80CF6">
              <w:rPr>
                <w:lang w:val="de-DE"/>
              </w:rPr>
              <w:t xml:space="preserve"> Zahlung eines Barbetrags in Höhe des Kredit-Rückzahlungsbetrags</w:t>
            </w:r>
            <w:r w:rsidRPr="00F94B27" w:rsidR="00F94B27">
              <w:rPr>
                <w:b/>
                <w:lang w:val="de-DE"/>
              </w:rPr>
              <w:t>]</w:t>
            </w:r>
            <w:r w:rsidRPr="00F80CF6">
              <w:rPr>
                <w:lang w:val="de-DE"/>
              </w:rPr>
              <w:t xml:space="preserve"> </w:t>
            </w:r>
            <w:r w:rsidRPr="00F94B27" w:rsidR="00F94B27">
              <w:rPr>
                <w:b/>
                <w:lang w:val="de-DE"/>
              </w:rPr>
              <w:t>[</w:t>
            </w:r>
            <w:r w:rsidRPr="0036353B">
              <w:rPr>
                <w:b/>
                <w:i/>
                <w:lang w:val="de-DE"/>
              </w:rPr>
              <w:t>bei Komplexen Produkten mit physischer Abwicklung:</w:t>
            </w:r>
            <w:r w:rsidRPr="00F80CF6">
              <w:rPr>
                <w:lang w:val="de-DE"/>
              </w:rPr>
              <w:t xml:space="preserve"> (i) Zahlung eines Barbetrags in Höhe des Kredit-Rückzahlungsbetrags, falls ein Rückzahlungsereignis zu dem Kredit-Rückzahlungsereignis geführt hat, oder (ii) Lieferung der in dem Bezugsverhältnis angegebenen Anzahl von Referenzverbindlichkeiten, falls ein Ausfallereignis zu dem Kredit-Rückzahlungsereignis geführt hat,</w:t>
            </w:r>
            <w:r w:rsidRPr="00F94B27" w:rsidR="00F94B27">
              <w:rPr>
                <w:b/>
                <w:lang w:val="de-DE"/>
              </w:rPr>
              <w:t>]</w:t>
            </w:r>
            <w:r w:rsidRPr="00F80CF6">
              <w:rPr>
                <w:lang w:val="de-DE"/>
              </w:rPr>
              <w:t xml:space="preserve"> zurückgezahlt. </w:t>
            </w:r>
            <w:r w:rsidRPr="00F94B27" w:rsidR="00F94B27">
              <w:rPr>
                <w:b/>
                <w:lang w:val="de-DE"/>
              </w:rPr>
              <w:t>[</w:t>
            </w:r>
            <w:r w:rsidRPr="00F80CF6">
              <w:rPr>
                <w:lang w:val="de-DE"/>
              </w:rPr>
              <w:t>Im Fall der Barabwicklung entspricht dieser</w:t>
            </w:r>
            <w:r w:rsidRPr="00F94B27" w:rsidR="00F94B27">
              <w:rPr>
                <w:b/>
                <w:lang w:val="de-DE"/>
              </w:rPr>
              <w:t>]</w:t>
            </w:r>
            <w:r w:rsidRPr="00F80CF6">
              <w:rPr>
                <w:lang w:val="de-DE"/>
              </w:rPr>
              <w:t xml:space="preserve"> </w:t>
            </w:r>
            <w:r w:rsidRPr="00F94B27" w:rsidR="00F94B27">
              <w:rPr>
                <w:b/>
                <w:lang w:val="de-DE"/>
              </w:rPr>
              <w:t>[</w:t>
            </w:r>
            <w:r w:rsidRPr="00F80CF6">
              <w:rPr>
                <w:lang w:val="de-DE"/>
              </w:rPr>
              <w:t>Dieser</w:t>
            </w:r>
            <w:r w:rsidRPr="00F94B27" w:rsidR="00F94B27">
              <w:rPr>
                <w:b/>
                <w:lang w:val="de-DE"/>
              </w:rPr>
              <w:t>]</w:t>
            </w:r>
            <w:r w:rsidRPr="00F80CF6">
              <w:rPr>
                <w:lang w:val="de-DE"/>
              </w:rPr>
              <w:t xml:space="preserve"> Betrag </w:t>
            </w:r>
            <w:r w:rsidRPr="00F94B27" w:rsidR="00F94B27">
              <w:rPr>
                <w:b/>
                <w:lang w:val="de-DE"/>
              </w:rPr>
              <w:t>[</w:t>
            </w:r>
            <w:r w:rsidRPr="00F80CF6">
              <w:rPr>
                <w:lang w:val="de-DE"/>
              </w:rPr>
              <w:t>entspricht</w:t>
            </w:r>
            <w:r w:rsidRPr="00F94B27" w:rsidR="00F94B27">
              <w:rPr>
                <w:b/>
                <w:lang w:val="de-DE"/>
              </w:rPr>
              <w:t>]</w:t>
            </w:r>
            <w:r w:rsidRPr="00F80CF6">
              <w:rPr>
                <w:lang w:val="de-DE"/>
              </w:rPr>
              <w:t xml:space="preserve"> dem höheren der folgenden Beträge: null oder der Summe des Werts der Referenzverbindlichkeit und des Asset-Swap-Werts. Der Wert der Referenzverbindlichkeit wird von der Berechnungsstelle basierend auf von führenden Banken oder Wertpapierhandelsunternehmen eingeholten Quotierungen für den "all-in" Geldkurs ermittelt, zu dem diese die Referenzverbindlichkeit am Bewertungstag kaufen würden, und der Asset-Swap-Wert wird von der Berechnungsstelle basierend auf von Banken oder Wertpapierhandelsunternehmen eingeholten Quotierungen für die Höhe bestimmter Zahlungen ermittelt, die die betreffende Bank oder das betreffende Wertpapierhandelsunternehmen voraussichtlich an den Kontrahenten leisten würde oder von dem Kontrahenten erhalten würde, wenn sie bzw. es eine Vereinbarung mit dem Kontrahenten schliessen würde, nach der sie bzw. es die Rechte und Pflichten des Kontrahenten und der Kontrahent die Rechte und Pflichten der Emittentin aus der Swap-Vereinbarung erfüllen würde, die in den Emissionsbedingungen näher beschrieben ist. Dieser Betrag </w:t>
            </w:r>
            <w:r w:rsidRPr="00F94B27" w:rsidR="00F94B27">
              <w:rPr>
                <w:b/>
                <w:lang w:val="de-DE"/>
              </w:rPr>
              <w:t>[</w:t>
            </w:r>
            <w:r w:rsidRPr="00F80CF6">
              <w:rPr>
                <w:lang w:val="de-DE"/>
              </w:rPr>
              <w:t>, bzw. im Falle der physischen Abwicklung, der Wert der an den Inhaber gelieferten Referenzverbindlichkeiten</w:t>
            </w:r>
            <w:r w:rsidRPr="00F94B27" w:rsidR="00F94B27">
              <w:rPr>
                <w:b/>
                <w:lang w:val="de-DE"/>
              </w:rPr>
              <w:t>]</w:t>
            </w:r>
            <w:r w:rsidRPr="00F80CF6">
              <w:rPr>
                <w:lang w:val="de-DE"/>
              </w:rPr>
              <w:t xml:space="preserve"> wird in der Regel wesentlich geringer sein als der ursprüngliche von diesen Inhabern in dieses Komplexe Produkt investierte Kapitalbetrag. </w:t>
            </w:r>
          </w:p>
        </w:tc>
      </w:tr>
      <w:tr w:rsidTr="00942F00">
        <w:tblPrEx>
          <w:tblW w:w="5000" w:type="pct"/>
          <w:tblLayout w:type="fixed"/>
          <w:tblLook w:val="04A0"/>
        </w:tblPrEx>
        <w:tc>
          <w:tcPr>
            <w:tcW w:w="2534" w:type="pct"/>
            <w:gridSpan w:val="14"/>
            <w:tcBorders>
              <w:right w:val="single" w:sz="4" w:space="0" w:color="auto"/>
            </w:tcBorders>
          </w:tcPr>
          <w:p w:rsidR="00F80CF6" w:rsidRPr="00762D4E" w:rsidP="0036353B">
            <w:pPr>
              <w:pStyle w:val="CSBody0"/>
            </w:pPr>
            <w:r w:rsidRPr="00762D4E">
              <w:t xml:space="preserve">In addition, any accrued and unpaid interest on the Complex Products as of the date on which such Credit Redemption Event has occurred will be cancelled and not be paid to the Holder on the </w:t>
            </w:r>
            <w:r w:rsidRPr="00F94B27" w:rsidR="00F94B27">
              <w:rPr>
                <w:b/>
              </w:rPr>
              <w:t>[</w:t>
            </w:r>
            <w:r w:rsidRPr="00762D4E">
              <w:t>relevant</w:t>
            </w:r>
            <w:r w:rsidRPr="00F94B27" w:rsidR="00F94B27">
              <w:rPr>
                <w:b/>
              </w:rPr>
              <w:t>]</w:t>
            </w:r>
            <w:r w:rsidRPr="00762D4E">
              <w:t xml:space="preserve"> Interest Payment Date. In the worst case scenario, (i) a Credit Redemption Event occurs prior to the </w:t>
            </w:r>
            <w:r w:rsidRPr="00F94B27" w:rsidR="00F94B27">
              <w:rPr>
                <w:b/>
              </w:rPr>
              <w:t>[</w:t>
            </w:r>
            <w:r w:rsidRPr="00762D4E">
              <w:t>first</w:t>
            </w:r>
            <w:r w:rsidRPr="00F94B27" w:rsidR="00F94B27">
              <w:rPr>
                <w:b/>
              </w:rPr>
              <w:t>]</w:t>
            </w:r>
            <w:r w:rsidRPr="00762D4E">
              <w:t xml:space="preserve"> Interest Payment Date, which means that no interest payments on the Complex Products will be made, and (ii) the </w:t>
            </w:r>
            <w:r w:rsidRPr="00F94B27" w:rsidR="00F94B27">
              <w:rPr>
                <w:b/>
              </w:rPr>
              <w:t>[</w:t>
            </w:r>
            <w:r w:rsidRPr="00762D4E">
              <w:t>Credit Redemption Amount is determined to be zero</w:t>
            </w:r>
            <w:r w:rsidRPr="00F94B27" w:rsidR="00F94B27">
              <w:rPr>
                <w:b/>
              </w:rPr>
              <w:t>]</w:t>
            </w:r>
            <w:r w:rsidRPr="00762D4E">
              <w:t xml:space="preserve"> </w:t>
            </w:r>
            <w:r w:rsidRPr="00F94B27" w:rsidR="00F94B27">
              <w:rPr>
                <w:b/>
              </w:rPr>
              <w:t>[</w:t>
            </w:r>
            <w:r w:rsidRPr="00762D4E">
              <w:t>Reference Obligations to be delivered on the Credit Redemption Date are worthless</w:t>
            </w:r>
            <w:r w:rsidRPr="00F94B27" w:rsidR="00F94B27">
              <w:rPr>
                <w:b/>
              </w:rPr>
              <w:t>]</w:t>
            </w:r>
            <w:r w:rsidRPr="00762D4E">
              <w:t>. In such case, the investor would suffer a total loss of its initial investment.</w:t>
            </w:r>
            <w:r w:rsidRPr="00F94B27" w:rsidR="00F94B27">
              <w:rPr>
                <w:b/>
              </w:rPr>
              <w:t>]</w:t>
            </w:r>
          </w:p>
        </w:tc>
        <w:tc>
          <w:tcPr>
            <w:tcW w:w="2466" w:type="pct"/>
            <w:gridSpan w:val="14"/>
            <w:tcBorders>
              <w:left w:val="single" w:sz="4" w:space="0" w:color="auto"/>
            </w:tcBorders>
          </w:tcPr>
          <w:p w:rsidR="00F80CF6" w:rsidRPr="00F80CF6" w:rsidP="00474C21">
            <w:pPr>
              <w:pStyle w:val="CSBody0"/>
              <w:rPr>
                <w:lang w:val="de-DE"/>
              </w:rPr>
            </w:pPr>
            <w:r w:rsidRPr="00F80CF6">
              <w:rPr>
                <w:lang w:val="de-DE"/>
              </w:rPr>
              <w:t xml:space="preserve">Darüber hinaus verfallen etwaige zum Tag des Eintritts dieses Kredit-Rückzahlungsereignisses auf dieses Komplexe Produkt aufgelaufene und noch nicht gezahlte Zinsen und werden nicht an den Inhaber des Komplexen Produkts am </w:t>
            </w:r>
            <w:r w:rsidRPr="00F94B27" w:rsidR="00F94B27">
              <w:rPr>
                <w:b/>
                <w:lang w:val="de-DE"/>
              </w:rPr>
              <w:t>[</w:t>
            </w:r>
            <w:r w:rsidRPr="00F80CF6">
              <w:rPr>
                <w:lang w:val="de-DE"/>
              </w:rPr>
              <w:t>jeweiligen</w:t>
            </w:r>
            <w:r w:rsidRPr="00F94B27" w:rsidR="00F94B27">
              <w:rPr>
                <w:b/>
                <w:lang w:val="de-DE"/>
              </w:rPr>
              <w:t>]</w:t>
            </w:r>
            <w:r w:rsidRPr="00F80CF6">
              <w:rPr>
                <w:lang w:val="de-DE"/>
              </w:rPr>
              <w:t xml:space="preserve"> Zinszahlungstag geleistet. Im schlimmsten Fall (i) tritt vor dem </w:t>
            </w:r>
            <w:r w:rsidRPr="00F94B27" w:rsidR="00F94B27">
              <w:rPr>
                <w:b/>
                <w:lang w:val="de-DE"/>
              </w:rPr>
              <w:t>[</w:t>
            </w:r>
            <w:r w:rsidRPr="00F80CF6">
              <w:rPr>
                <w:lang w:val="de-DE"/>
              </w:rPr>
              <w:t>ersten</w:t>
            </w:r>
            <w:r w:rsidRPr="00F94B27" w:rsidR="00F94B27">
              <w:rPr>
                <w:b/>
                <w:lang w:val="de-DE"/>
              </w:rPr>
              <w:t>]</w:t>
            </w:r>
            <w:r w:rsidRPr="00F80CF6">
              <w:rPr>
                <w:lang w:val="de-DE"/>
              </w:rPr>
              <w:t xml:space="preserve"> Zinszahlungstag ein Kredit-Rückzahlungsereignis ein, </w:t>
            </w:r>
            <w:r w:rsidR="007E3558">
              <w:rPr>
                <w:lang w:val="de-DE"/>
              </w:rPr>
              <w:t>d.h.</w:t>
            </w:r>
            <w:r w:rsidRPr="00F80CF6">
              <w:rPr>
                <w:lang w:val="de-DE"/>
              </w:rPr>
              <w:t xml:space="preserve"> es erfolgen keine Zinszahlungen auf die betreffenden Komplexen Produkte, und (ii) wird festgestellt, dass </w:t>
            </w:r>
            <w:r w:rsidRPr="00F94B27" w:rsidR="00F94B27">
              <w:rPr>
                <w:b/>
                <w:lang w:val="de-DE"/>
              </w:rPr>
              <w:t>[</w:t>
            </w:r>
            <w:r w:rsidRPr="00F80CF6">
              <w:rPr>
                <w:lang w:val="de-DE"/>
              </w:rPr>
              <w:t>der Kredit-Rückzahlungsbetrag null ist</w:t>
            </w:r>
            <w:r w:rsidRPr="00F94B27" w:rsidR="00F94B27">
              <w:rPr>
                <w:b/>
                <w:lang w:val="de-DE"/>
              </w:rPr>
              <w:t>]</w:t>
            </w:r>
            <w:r w:rsidRPr="00F80CF6">
              <w:rPr>
                <w:lang w:val="de-DE"/>
              </w:rPr>
              <w:t xml:space="preserve"> </w:t>
            </w:r>
            <w:r w:rsidRPr="00F94B27" w:rsidR="00F94B27">
              <w:rPr>
                <w:b/>
                <w:lang w:val="de-DE"/>
              </w:rPr>
              <w:t>[</w:t>
            </w:r>
            <w:r w:rsidRPr="00F80CF6">
              <w:rPr>
                <w:lang w:val="de-DE"/>
              </w:rPr>
              <w:t>die am Kredit-Rückzahlungstag zu liefernden Referenzverbindlichkeiten wertlos sind</w:t>
            </w:r>
            <w:r w:rsidRPr="00F94B27" w:rsidR="00F94B27">
              <w:rPr>
                <w:b/>
                <w:lang w:val="de-DE"/>
              </w:rPr>
              <w:t>]</w:t>
            </w:r>
            <w:r w:rsidRPr="00F80CF6">
              <w:rPr>
                <w:lang w:val="de-DE"/>
              </w:rPr>
              <w:t>. In diesem Fall würde der Anleger einen Totalverlust seines ursprünglich eingesetzten Kapitals erleiden.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F80CF6" w:rsidRPr="00762D4E" w:rsidP="0036353B">
            <w:pPr>
              <w:pStyle w:val="CSbody0bold"/>
            </w:pPr>
            <w:r w:rsidRPr="00762D4E">
              <w:t>Interest Payment Amount</w:t>
            </w:r>
            <w:r w:rsidRPr="00F94B27" w:rsidR="00F94B27">
              <w:t>[</w:t>
            </w:r>
            <w:r w:rsidRPr="00762D4E">
              <w:t>s</w:t>
            </w:r>
            <w:r w:rsidRPr="00F94B27" w:rsidR="00F94B27">
              <w:t>]</w:t>
            </w:r>
          </w:p>
        </w:tc>
        <w:tc>
          <w:tcPr>
            <w:tcW w:w="2466" w:type="pct"/>
            <w:gridSpan w:val="14"/>
            <w:tcBorders>
              <w:left w:val="single" w:sz="4" w:space="0" w:color="auto"/>
            </w:tcBorders>
          </w:tcPr>
          <w:p w:rsidR="00F80CF6" w:rsidRPr="00762D4E" w:rsidP="0036353B">
            <w:pPr>
              <w:pStyle w:val="CSbody0bold"/>
            </w:pPr>
            <w:r w:rsidRPr="00F94B27">
              <w:t>[</w:t>
            </w:r>
            <w:r w:rsidRPr="00762D4E">
              <w:t>Zinszahlungsbetrag</w:t>
            </w:r>
            <w:r w:rsidRPr="00F94B27">
              <w:t>][</w:t>
            </w:r>
            <w:r w:rsidRPr="00762D4E">
              <w:t>Zinszahlungsbeträge</w:t>
            </w:r>
            <w:r w:rsidRPr="00F94B27">
              <w:t>]</w:t>
            </w:r>
          </w:p>
        </w:tc>
      </w:tr>
      <w:tr w:rsidTr="00942F00">
        <w:tblPrEx>
          <w:tblW w:w="5000" w:type="pct"/>
          <w:tblLayout w:type="fixed"/>
          <w:tblLook w:val="04A0"/>
        </w:tblPrEx>
        <w:tc>
          <w:tcPr>
            <w:tcW w:w="2534" w:type="pct"/>
            <w:gridSpan w:val="14"/>
            <w:tcBorders>
              <w:right w:val="single" w:sz="4" w:space="0" w:color="auto"/>
            </w:tcBorders>
          </w:tcPr>
          <w:p w:rsidR="00F80CF6" w:rsidRPr="00762D4E" w:rsidP="0036353B">
            <w:pPr>
              <w:pStyle w:val="CSBody0"/>
            </w:pPr>
            <w:r w:rsidRPr="00762D4E">
              <w:t xml:space="preserve">The Complex Products provide for the payment of </w:t>
            </w:r>
            <w:r w:rsidRPr="00F94B27" w:rsidR="00F94B27">
              <w:rPr>
                <w:b/>
              </w:rPr>
              <w:t>[</w:t>
            </w:r>
            <w:r w:rsidRPr="00762D4E">
              <w:t>one</w:t>
            </w:r>
            <w:r w:rsidRPr="00F94B27" w:rsidR="00F94B27">
              <w:rPr>
                <w:b/>
              </w:rPr>
              <w:t>]</w:t>
            </w:r>
            <w:r w:rsidRPr="00762D4E">
              <w:t xml:space="preserve"> </w:t>
            </w:r>
            <w:r w:rsidRPr="00F94B27" w:rsidR="00F94B27">
              <w:rPr>
                <w:b/>
              </w:rPr>
              <w:t>[</w:t>
            </w:r>
            <w:r w:rsidRPr="00762D4E">
              <w:t>multiple</w:t>
            </w:r>
            <w:r w:rsidRPr="00F94B27" w:rsidR="00F94B27">
              <w:rPr>
                <w:b/>
              </w:rPr>
              <w:t>]</w:t>
            </w:r>
            <w:r w:rsidRPr="00762D4E">
              <w:t xml:space="preserve"> Interest Payment Amount</w:t>
            </w:r>
            <w:r w:rsidRPr="00F94B27" w:rsidR="00F94B27">
              <w:rPr>
                <w:b/>
              </w:rPr>
              <w:t>[</w:t>
            </w:r>
            <w:r w:rsidRPr="00762D4E">
              <w:t>s</w:t>
            </w:r>
            <w:r w:rsidRPr="00F94B27" w:rsidR="00F94B27">
              <w:rPr>
                <w:b/>
              </w:rPr>
              <w:t>]</w:t>
            </w:r>
            <w:r w:rsidRPr="00762D4E">
              <w:t xml:space="preserve"> on the </w:t>
            </w:r>
            <w:r w:rsidRPr="00F94B27" w:rsidR="00F94B27">
              <w:rPr>
                <w:b/>
              </w:rPr>
              <w:t>[</w:t>
            </w:r>
            <w:r w:rsidRPr="00762D4E">
              <w:t>relevant</w:t>
            </w:r>
            <w:r w:rsidRPr="00F94B27" w:rsidR="00F94B27">
              <w:rPr>
                <w:b/>
              </w:rPr>
              <w:t>]</w:t>
            </w:r>
            <w:r w:rsidRPr="00762D4E">
              <w:t xml:space="preserve"> Interest Payment Date</w:t>
            </w:r>
            <w:r w:rsidRPr="00F94B27" w:rsidR="00F94B27">
              <w:rPr>
                <w:b/>
              </w:rPr>
              <w:t>[</w:t>
            </w:r>
            <w:r w:rsidRPr="00762D4E">
              <w:t>s</w:t>
            </w:r>
            <w:r w:rsidRPr="00F94B27" w:rsidR="00F94B27">
              <w:rPr>
                <w:b/>
              </w:rPr>
              <w:t>]</w:t>
            </w:r>
            <w:r w:rsidRPr="00762D4E">
              <w:t xml:space="preserve">, which will be calculated on the basis of the </w:t>
            </w:r>
            <w:r w:rsidRPr="00F94B27" w:rsidR="00F94B27">
              <w:rPr>
                <w:b/>
              </w:rPr>
              <w:t>[</w:t>
            </w:r>
            <w:r w:rsidRPr="00762D4E">
              <w:t>relevant</w:t>
            </w:r>
            <w:r w:rsidRPr="00F94B27" w:rsidR="00F94B27">
              <w:rPr>
                <w:b/>
              </w:rPr>
              <w:t>]</w:t>
            </w:r>
            <w:r w:rsidRPr="00762D4E">
              <w:t xml:space="preserve"> Interest Rate.</w:t>
            </w:r>
          </w:p>
        </w:tc>
        <w:tc>
          <w:tcPr>
            <w:tcW w:w="2466" w:type="pct"/>
            <w:gridSpan w:val="14"/>
            <w:tcBorders>
              <w:left w:val="single" w:sz="4" w:space="0" w:color="auto"/>
            </w:tcBorders>
          </w:tcPr>
          <w:p w:rsidR="00F80CF6" w:rsidRPr="00F80CF6" w:rsidP="0036353B">
            <w:pPr>
              <w:pStyle w:val="CSBody0"/>
              <w:rPr>
                <w:lang w:val="de-DE"/>
              </w:rPr>
            </w:pPr>
            <w:r w:rsidRPr="00F80CF6">
              <w:rPr>
                <w:lang w:val="de-DE"/>
              </w:rPr>
              <w:t xml:space="preserve">Die Komplexen Produkte sehen die Zahlung </w:t>
            </w:r>
            <w:r w:rsidRPr="00F94B27" w:rsidR="00F94B27">
              <w:rPr>
                <w:b/>
                <w:lang w:val="de-DE"/>
              </w:rPr>
              <w:t>[</w:t>
            </w:r>
            <w:r w:rsidRPr="00F80CF6">
              <w:rPr>
                <w:lang w:val="de-DE"/>
              </w:rPr>
              <w:t>eines Zinszahlungsbetrags</w:t>
            </w:r>
            <w:r w:rsidRPr="00F94B27" w:rsidR="00F94B27">
              <w:rPr>
                <w:b/>
                <w:lang w:val="de-DE"/>
              </w:rPr>
              <w:t>]</w:t>
            </w:r>
            <w:r w:rsidRPr="00F80CF6">
              <w:rPr>
                <w:lang w:val="de-DE"/>
              </w:rPr>
              <w:t xml:space="preserve"> </w:t>
            </w:r>
            <w:r w:rsidRPr="00F94B27" w:rsidR="00F94B27">
              <w:rPr>
                <w:b/>
                <w:lang w:val="de-DE"/>
              </w:rPr>
              <w:t>[</w:t>
            </w:r>
            <w:r w:rsidRPr="00F80CF6">
              <w:rPr>
                <w:lang w:val="de-DE"/>
              </w:rPr>
              <w:t>mehrerer Zinszahlungsbeträge</w:t>
            </w:r>
            <w:r w:rsidRPr="00F94B27" w:rsidR="00F94B27">
              <w:rPr>
                <w:b/>
                <w:lang w:val="de-DE"/>
              </w:rPr>
              <w:t>]</w:t>
            </w:r>
            <w:r w:rsidRPr="00F80CF6">
              <w:rPr>
                <w:lang w:val="de-DE"/>
              </w:rPr>
              <w:t xml:space="preserve"> </w:t>
            </w:r>
            <w:r w:rsidRPr="00F94B27" w:rsidR="00F94B27">
              <w:rPr>
                <w:b/>
                <w:lang w:val="de-DE"/>
              </w:rPr>
              <w:t>[</w:t>
            </w:r>
            <w:r w:rsidRPr="00F80CF6">
              <w:rPr>
                <w:lang w:val="de-DE"/>
              </w:rPr>
              <w:t>am jeweiligen Zinszahlungstag</w:t>
            </w:r>
            <w:r w:rsidRPr="00F94B27" w:rsidR="00F94B27">
              <w:rPr>
                <w:b/>
                <w:lang w:val="de-DE"/>
              </w:rPr>
              <w:t>]</w:t>
            </w:r>
            <w:r w:rsidRPr="00F80CF6">
              <w:rPr>
                <w:lang w:val="de-DE"/>
              </w:rPr>
              <w:t xml:space="preserve"> </w:t>
            </w:r>
            <w:r w:rsidRPr="00F94B27" w:rsidR="00F94B27">
              <w:rPr>
                <w:b/>
                <w:lang w:val="de-DE"/>
              </w:rPr>
              <w:t>[</w:t>
            </w:r>
            <w:r w:rsidRPr="00F80CF6">
              <w:rPr>
                <w:lang w:val="de-DE"/>
              </w:rPr>
              <w:t>an den jeweiligen Zinszahlungstagen</w:t>
            </w:r>
            <w:r w:rsidRPr="00F94B27" w:rsidR="00F94B27">
              <w:rPr>
                <w:b/>
                <w:lang w:val="de-DE"/>
              </w:rPr>
              <w:t>]</w:t>
            </w:r>
            <w:r w:rsidRPr="00F80CF6">
              <w:rPr>
                <w:lang w:val="de-DE"/>
              </w:rPr>
              <w:t xml:space="preserve"> vor, </w:t>
            </w:r>
            <w:r w:rsidRPr="00F94B27" w:rsidR="00F94B27">
              <w:rPr>
                <w:b/>
                <w:lang w:val="de-DE"/>
              </w:rPr>
              <w:t>[</w:t>
            </w:r>
            <w:r w:rsidRPr="00F80CF6">
              <w:rPr>
                <w:lang w:val="de-DE"/>
              </w:rPr>
              <w:t>der</w:t>
            </w:r>
            <w:r w:rsidRPr="00F94B27" w:rsidR="00F94B27">
              <w:rPr>
                <w:b/>
                <w:lang w:val="de-DE"/>
              </w:rPr>
              <w:t>][</w:t>
            </w:r>
            <w:r w:rsidRPr="00F80CF6">
              <w:rPr>
                <w:lang w:val="de-DE"/>
              </w:rPr>
              <w:t>die</w:t>
            </w:r>
            <w:r w:rsidRPr="00F94B27" w:rsidR="00F94B27">
              <w:rPr>
                <w:b/>
                <w:lang w:val="de-DE"/>
              </w:rPr>
              <w:t>]</w:t>
            </w:r>
            <w:r w:rsidRPr="00F80CF6">
              <w:rPr>
                <w:lang w:val="de-DE"/>
              </w:rPr>
              <w:t xml:space="preserve"> auf der Grundlage des </w:t>
            </w:r>
            <w:r w:rsidRPr="00F94B27" w:rsidR="00F94B27">
              <w:rPr>
                <w:b/>
                <w:lang w:val="de-DE"/>
              </w:rPr>
              <w:t>[</w:t>
            </w:r>
            <w:r w:rsidRPr="00F80CF6">
              <w:rPr>
                <w:lang w:val="de-DE"/>
              </w:rPr>
              <w:t>jeweiligen</w:t>
            </w:r>
            <w:r w:rsidRPr="00F94B27" w:rsidR="00F94B27">
              <w:rPr>
                <w:b/>
                <w:lang w:val="de-DE"/>
              </w:rPr>
              <w:t>]</w:t>
            </w:r>
            <w:r w:rsidRPr="00F80CF6">
              <w:rPr>
                <w:lang w:val="de-DE"/>
              </w:rPr>
              <w:t xml:space="preserve"> Zinssatzes berechnet </w:t>
            </w:r>
            <w:r w:rsidRPr="00F94B27" w:rsidR="00F94B27">
              <w:rPr>
                <w:b/>
                <w:lang w:val="de-DE"/>
              </w:rPr>
              <w:t>[</w:t>
            </w:r>
            <w:r w:rsidRPr="00F80CF6">
              <w:rPr>
                <w:lang w:val="de-DE"/>
              </w:rPr>
              <w:t>werden</w:t>
            </w:r>
            <w:r w:rsidRPr="00F94B27" w:rsidR="00F94B27">
              <w:rPr>
                <w:b/>
                <w:lang w:val="de-DE"/>
              </w:rPr>
              <w:t>][</w:t>
            </w:r>
            <w:r w:rsidRPr="00F80CF6">
              <w:rPr>
                <w:lang w:val="de-DE"/>
              </w:rPr>
              <w:t>wird</w:t>
            </w:r>
            <w:r w:rsidRPr="00F94B27" w:rsidR="00F94B27">
              <w:rPr>
                <w:b/>
                <w:lang w:val="de-DE"/>
              </w:rPr>
              <w:t>]</w:t>
            </w:r>
            <w:r w:rsidRPr="00F80CF6">
              <w:rPr>
                <w:lang w:val="de-DE"/>
              </w:rPr>
              <w:t>.</w:t>
            </w:r>
          </w:p>
        </w:tc>
      </w:tr>
      <w:tr w:rsidTr="00942F00">
        <w:tblPrEx>
          <w:tblW w:w="5000" w:type="pct"/>
          <w:tblLayout w:type="fixed"/>
          <w:tblLook w:val="04A0"/>
        </w:tblPrEx>
        <w:tc>
          <w:tcPr>
            <w:tcW w:w="2534" w:type="pct"/>
            <w:gridSpan w:val="14"/>
            <w:tcBorders>
              <w:right w:val="single" w:sz="4" w:space="0" w:color="auto"/>
            </w:tcBorders>
          </w:tcPr>
          <w:p w:rsidR="00F80CF6" w:rsidRPr="00762D4E" w:rsidP="00474C21">
            <w:pPr>
              <w:pStyle w:val="CSBody0"/>
            </w:pPr>
            <w:r w:rsidRPr="00F94B27">
              <w:rPr>
                <w:b/>
              </w:rPr>
              <w:t>[</w:t>
            </w:r>
            <w:r w:rsidRPr="00762D4E">
              <w:t>in case of Complex Products with Fixed Final Redemption Amount, insert details regarding interest payments:</w:t>
            </w:r>
          </w:p>
        </w:tc>
        <w:tc>
          <w:tcPr>
            <w:tcW w:w="2466" w:type="pct"/>
            <w:gridSpan w:val="14"/>
            <w:tcBorders>
              <w:left w:val="single" w:sz="4" w:space="0" w:color="auto"/>
            </w:tcBorders>
          </w:tcPr>
          <w:p w:rsidR="00F80CF6" w:rsidRPr="00F80CF6" w:rsidP="0036353B">
            <w:pPr>
              <w:pStyle w:val="CSBody0"/>
              <w:rPr>
                <w:lang w:val="de-DE"/>
              </w:rPr>
            </w:pPr>
            <w:r w:rsidRPr="00F94B27">
              <w:rPr>
                <w:b/>
                <w:lang w:val="de-DE"/>
              </w:rPr>
              <w:t>[</w:t>
            </w:r>
            <w:r w:rsidRPr="00F80CF6">
              <w:rPr>
                <w:lang w:val="de-DE"/>
              </w:rPr>
              <w:t>bei Komplexen Produkten mit Festem Finalen Rückzahlungsbetrag, Einzelheiten zu den Zinszahlungen einfügen:</w:t>
            </w:r>
          </w:p>
        </w:tc>
      </w:tr>
      <w:tr w:rsidTr="00942F00">
        <w:tblPrEx>
          <w:tblW w:w="5000" w:type="pct"/>
          <w:tblLayout w:type="fixed"/>
          <w:tblLook w:val="04A0"/>
        </w:tblPrEx>
        <w:tc>
          <w:tcPr>
            <w:tcW w:w="2534" w:type="pct"/>
            <w:gridSpan w:val="14"/>
            <w:tcBorders>
              <w:right w:val="single" w:sz="4" w:space="0" w:color="auto"/>
            </w:tcBorders>
          </w:tcPr>
          <w:p w:rsidR="00F80CF6" w:rsidRPr="00AB16EC" w:rsidP="0036353B">
            <w:pPr>
              <w:pStyle w:val="CSbody0bolditalic"/>
              <w:rPr>
                <w:lang w:val="en-GB"/>
              </w:rPr>
            </w:pPr>
            <w:r w:rsidRPr="00F94B27">
              <w:rPr>
                <w:lang w:val="en-GB"/>
              </w:rPr>
              <w:t>[</w:t>
            </w:r>
            <w:r w:rsidRPr="00AB16EC">
              <w:rPr>
                <w:lang w:val="en-GB"/>
              </w:rPr>
              <w:t>in case of Fixed Rate Notes:</w:t>
            </w:r>
          </w:p>
        </w:tc>
        <w:tc>
          <w:tcPr>
            <w:tcW w:w="2466" w:type="pct"/>
            <w:gridSpan w:val="14"/>
            <w:tcBorders>
              <w:left w:val="single" w:sz="4" w:space="0" w:color="auto"/>
            </w:tcBorders>
          </w:tcPr>
          <w:p w:rsidR="00F80CF6" w:rsidP="0036353B">
            <w:pPr>
              <w:pStyle w:val="CSbody0bolditalic"/>
            </w:pPr>
            <w:r w:rsidRPr="00F94B27">
              <w:t>[</w:t>
            </w:r>
            <w:r w:rsidRPr="00762D4E">
              <w:t>bei Fixed Rate Notes:</w:t>
            </w:r>
          </w:p>
        </w:tc>
      </w:tr>
      <w:tr w:rsidTr="00942F00">
        <w:tblPrEx>
          <w:tblW w:w="5000" w:type="pct"/>
          <w:tblLayout w:type="fixed"/>
          <w:tblLook w:val="04A0"/>
        </w:tblPrEx>
        <w:tc>
          <w:tcPr>
            <w:tcW w:w="2534" w:type="pct"/>
            <w:gridSpan w:val="14"/>
            <w:tcBorders>
              <w:right w:val="single" w:sz="4" w:space="0" w:color="auto"/>
            </w:tcBorders>
          </w:tcPr>
          <w:p w:rsidR="0036353B" w:rsidRPr="00AF068F" w:rsidP="0036353B">
            <w:pPr>
              <w:pStyle w:val="CSBody0"/>
            </w:pPr>
            <w:r w:rsidRPr="00AF068F">
              <w:t>In the case of Fixed Rate Notes, the Interest Rate on the basis of which the Interest Payment Amount</w:t>
            </w:r>
            <w:r w:rsidRPr="00F94B27" w:rsidR="00F94B27">
              <w:rPr>
                <w:b/>
              </w:rPr>
              <w:t>[</w:t>
            </w:r>
            <w:r w:rsidRPr="00AF068F">
              <w:t>s</w:t>
            </w:r>
            <w:r w:rsidRPr="00F94B27" w:rsidR="00F94B27">
              <w:rPr>
                <w:b/>
              </w:rPr>
              <w:t>]</w:t>
            </w:r>
            <w:r w:rsidRPr="00AF068F">
              <w:t xml:space="preserve"> </w:t>
            </w:r>
            <w:r w:rsidRPr="00F94B27" w:rsidR="00F94B27">
              <w:rPr>
                <w:b/>
              </w:rPr>
              <w:t>[</w:t>
            </w:r>
            <w:r w:rsidRPr="00AF068F">
              <w:t>is</w:t>
            </w:r>
            <w:r w:rsidRPr="00F94B27" w:rsidR="00F94B27">
              <w:rPr>
                <w:b/>
              </w:rPr>
              <w:t>][</w:t>
            </w:r>
            <w:r w:rsidRPr="00AF068F">
              <w:t>are</w:t>
            </w:r>
            <w:r w:rsidRPr="00F94B27" w:rsidR="00F94B27">
              <w:rPr>
                <w:b/>
              </w:rPr>
              <w:t>]</w:t>
            </w:r>
            <w:r w:rsidRPr="00AF068F">
              <w:t xml:space="preserve"> calculated will be equal to a fixed rate per annum. Therefore, the potential return on a Fixed Rate Note is limited to the positive difference between (i) the amount of the Interest Payment Amount</w:t>
            </w:r>
            <w:r w:rsidRPr="00F94B27" w:rsidR="00F94B27">
              <w:rPr>
                <w:b/>
              </w:rPr>
              <w:t>[</w:t>
            </w:r>
            <w:r w:rsidRPr="00AF068F">
              <w:t>s</w:t>
            </w:r>
            <w:r w:rsidRPr="00F94B27" w:rsidR="00F94B27">
              <w:rPr>
                <w:b/>
              </w:rPr>
              <w:t>]</w:t>
            </w:r>
            <w:r w:rsidRPr="00AF068F">
              <w:t>, plus the Final Redemption Amount, and (ii) the Issue Price (or, if different, the price the relevant investor paid for such Fixed Rate Note).</w:t>
            </w:r>
            <w:r w:rsidRPr="00F94B27" w:rsidR="00F94B27">
              <w:rPr>
                <w:b/>
              </w:rPr>
              <w:t>]</w:t>
            </w:r>
          </w:p>
        </w:tc>
        <w:tc>
          <w:tcPr>
            <w:tcW w:w="2466" w:type="pct"/>
            <w:gridSpan w:val="14"/>
            <w:tcBorders>
              <w:left w:val="single" w:sz="4" w:space="0" w:color="auto"/>
            </w:tcBorders>
          </w:tcPr>
          <w:p w:rsidR="0036353B" w:rsidRPr="0036353B" w:rsidP="0036353B">
            <w:pPr>
              <w:pStyle w:val="CSBody0"/>
              <w:rPr>
                <w:lang w:val="de-DE"/>
              </w:rPr>
            </w:pPr>
            <w:r w:rsidRPr="0036353B">
              <w:rPr>
                <w:lang w:val="de-DE"/>
              </w:rPr>
              <w:t xml:space="preserve">Bei Fixed Rate Notes entspricht der Zinssatz, auf dessen Grundlage </w:t>
            </w:r>
            <w:r w:rsidRPr="00F94B27" w:rsidR="00F94B27">
              <w:rPr>
                <w:b/>
                <w:lang w:val="de-DE"/>
              </w:rPr>
              <w:t>[</w:t>
            </w:r>
            <w:r w:rsidRPr="0036353B">
              <w:rPr>
                <w:lang w:val="de-DE"/>
              </w:rPr>
              <w:t>der Zinszahlungsbetrag</w:t>
            </w:r>
            <w:r w:rsidRPr="00F94B27" w:rsidR="00F94B27">
              <w:rPr>
                <w:b/>
                <w:lang w:val="de-DE"/>
              </w:rPr>
              <w:t>]</w:t>
            </w:r>
            <w:r w:rsidRPr="0036353B">
              <w:rPr>
                <w:lang w:val="de-DE"/>
              </w:rPr>
              <w:t xml:space="preserve"> </w:t>
            </w:r>
            <w:r w:rsidRPr="00F94B27" w:rsidR="00F94B27">
              <w:rPr>
                <w:b/>
                <w:lang w:val="de-DE"/>
              </w:rPr>
              <w:t>[</w:t>
            </w:r>
            <w:r w:rsidRPr="0036353B">
              <w:rPr>
                <w:lang w:val="de-DE"/>
              </w:rPr>
              <w:t>die Zinszahlungsbeträge</w:t>
            </w:r>
            <w:r w:rsidRPr="00F94B27" w:rsidR="00F94B27">
              <w:rPr>
                <w:b/>
                <w:lang w:val="de-DE"/>
              </w:rPr>
              <w:t>]</w:t>
            </w:r>
            <w:r w:rsidRPr="0036353B">
              <w:rPr>
                <w:lang w:val="de-DE"/>
              </w:rPr>
              <w:t xml:space="preserve"> berechnet </w:t>
            </w:r>
            <w:r w:rsidRPr="00F94B27" w:rsidR="00F94B27">
              <w:rPr>
                <w:b/>
                <w:lang w:val="de-DE"/>
              </w:rPr>
              <w:t>[</w:t>
            </w:r>
            <w:r w:rsidRPr="0036353B">
              <w:rPr>
                <w:lang w:val="de-DE"/>
              </w:rPr>
              <w:t>wird</w:t>
            </w:r>
            <w:r w:rsidRPr="00F94B27" w:rsidR="00F94B27">
              <w:rPr>
                <w:b/>
                <w:lang w:val="de-DE"/>
              </w:rPr>
              <w:t>][</w:t>
            </w:r>
            <w:r w:rsidRPr="0036353B">
              <w:rPr>
                <w:lang w:val="de-DE"/>
              </w:rPr>
              <w:t>werden</w:t>
            </w:r>
            <w:r w:rsidRPr="00F94B27" w:rsidR="00F94B27">
              <w:rPr>
                <w:b/>
                <w:lang w:val="de-DE"/>
              </w:rPr>
              <w:t>]</w:t>
            </w:r>
            <w:r w:rsidRPr="0036353B">
              <w:rPr>
                <w:lang w:val="de-DE"/>
              </w:rPr>
              <w:t xml:space="preserve">, einem Festsatz per annum. Die potenzielle Rendite auf eine Fixed Rate Note ist somit auf die positive Differenz aus (i) dem Betrag </w:t>
            </w:r>
            <w:r w:rsidRPr="00F94B27" w:rsidR="00F94B27">
              <w:rPr>
                <w:b/>
                <w:lang w:val="de-DE"/>
              </w:rPr>
              <w:t>[</w:t>
            </w:r>
            <w:r w:rsidRPr="0036353B">
              <w:rPr>
                <w:lang w:val="de-DE"/>
              </w:rPr>
              <w:t>des Zinszahlungsbetrags</w:t>
            </w:r>
            <w:r w:rsidRPr="00F94B27" w:rsidR="00F94B27">
              <w:rPr>
                <w:b/>
                <w:lang w:val="de-DE"/>
              </w:rPr>
              <w:t>]</w:t>
            </w:r>
            <w:r w:rsidRPr="0036353B">
              <w:rPr>
                <w:lang w:val="de-DE"/>
              </w:rPr>
              <w:t xml:space="preserve"> </w:t>
            </w:r>
            <w:r w:rsidRPr="00F94B27" w:rsidR="00F94B27">
              <w:rPr>
                <w:b/>
                <w:lang w:val="de-DE"/>
              </w:rPr>
              <w:t>[</w:t>
            </w:r>
            <w:r w:rsidRPr="0036353B">
              <w:rPr>
                <w:lang w:val="de-DE"/>
              </w:rPr>
              <w:t>der Zinszahlungsbeträge</w:t>
            </w:r>
            <w:r w:rsidRPr="00F94B27" w:rsidR="00F94B27">
              <w:rPr>
                <w:b/>
                <w:lang w:val="de-DE"/>
              </w:rPr>
              <w:t>]</w:t>
            </w:r>
            <w:r w:rsidRPr="0036353B">
              <w:rPr>
                <w:lang w:val="de-DE"/>
              </w:rPr>
              <w:t xml:space="preserve"> zuzüglich des Finalen Rückzahlungsbetrags, und (ii) dem Emissionspreis (oder, falls abweichend, dem von dem jeweiligen Anleger für diese Fixed Rate Note gezahlten Preis) beschränkt.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36353B" w:rsidRPr="00AB16EC" w:rsidP="0036353B">
            <w:pPr>
              <w:pStyle w:val="CSbody0bolditalic"/>
              <w:rPr>
                <w:lang w:val="en-GB"/>
              </w:rPr>
            </w:pPr>
            <w:r w:rsidRPr="00F94B27">
              <w:rPr>
                <w:lang w:val="en-GB"/>
              </w:rPr>
              <w:t>[</w:t>
            </w:r>
            <w:r w:rsidRPr="00AB16EC">
              <w:rPr>
                <w:lang w:val="en-GB"/>
              </w:rPr>
              <w:t>in case of Step Up Notes:</w:t>
            </w:r>
          </w:p>
        </w:tc>
        <w:tc>
          <w:tcPr>
            <w:tcW w:w="2466" w:type="pct"/>
            <w:gridSpan w:val="14"/>
            <w:tcBorders>
              <w:left w:val="single" w:sz="4" w:space="0" w:color="auto"/>
            </w:tcBorders>
          </w:tcPr>
          <w:p w:rsidR="0036353B" w:rsidRPr="00AF068F" w:rsidP="0036353B">
            <w:pPr>
              <w:pStyle w:val="CSbody0bolditalic"/>
            </w:pPr>
            <w:r w:rsidRPr="00F94B27">
              <w:t>[</w:t>
            </w:r>
            <w:r w:rsidRPr="00AF068F">
              <w:t>bei Step Up Notes:</w:t>
            </w:r>
          </w:p>
        </w:tc>
      </w:tr>
      <w:tr w:rsidTr="00942F00">
        <w:tblPrEx>
          <w:tblW w:w="5000" w:type="pct"/>
          <w:tblLayout w:type="fixed"/>
          <w:tblLook w:val="04A0"/>
        </w:tblPrEx>
        <w:tc>
          <w:tcPr>
            <w:tcW w:w="2534" w:type="pct"/>
            <w:gridSpan w:val="14"/>
            <w:tcBorders>
              <w:right w:val="single" w:sz="4" w:space="0" w:color="auto"/>
            </w:tcBorders>
          </w:tcPr>
          <w:p w:rsidR="0036353B" w:rsidRPr="00AF068F" w:rsidP="0036353B">
            <w:pPr>
              <w:pStyle w:val="CSBody0"/>
            </w:pPr>
            <w:r w:rsidRPr="00AF068F">
              <w:t>In the case of Step Up Notes, the Interest Rate on the basis of which the Interest Payment Amounts are calculated will be equal to a fixed rate per annum. Such fixed rate per annum will be the specified Interest Rate in respect of the relevant Interest Payment Date set forth in the table below. Therefore, the potential return on a Step Up Note is limited to the positive difference between (i) the amount of the Interest Payment Amounts, plus the Final Redemption Amount, and (ii) the Issue Price (or, if different, the price the relevant investor paid for such Step Up Note).</w:t>
            </w:r>
          </w:p>
        </w:tc>
        <w:tc>
          <w:tcPr>
            <w:tcW w:w="2466" w:type="pct"/>
            <w:gridSpan w:val="14"/>
            <w:tcBorders>
              <w:left w:val="single" w:sz="4" w:space="0" w:color="auto"/>
            </w:tcBorders>
          </w:tcPr>
          <w:p w:rsidR="0036353B" w:rsidRPr="0036353B" w:rsidP="0036353B">
            <w:pPr>
              <w:pStyle w:val="CSBody0"/>
              <w:rPr>
                <w:lang w:val="de-DE"/>
              </w:rPr>
            </w:pPr>
            <w:r w:rsidRPr="0036353B">
              <w:rPr>
                <w:lang w:val="de-DE"/>
              </w:rPr>
              <w:t>Bei Step Up Notes entspricht der Zinssatz, auf dessen Grundlage die Zinszahlungsbeträge berechnet werden, einem Festsatz per annum. Dieser Festsatz per annum wird der in untenstehender Tabelle angegebene Zinssatz für den jeweiligen Zinszahlungstag sein. Die potenzielle Rendite auf eine Step Up Note ist somit auf die positive Differenz aus (i) dem Betrag der Zinszahlungsbeträge zuzüglich des Finalen Rückzahlungsbetrags, und (ii) dem Emissionspreis (oder, falls abweichend, dem von dem jeweiligen Anleger für diese Step Up Note gezahlten Preis) beschränkt.</w:t>
            </w:r>
          </w:p>
        </w:tc>
      </w:tr>
      <w:tr w:rsidTr="00942F00">
        <w:tblPrEx>
          <w:tblW w:w="5000" w:type="pct"/>
          <w:tblLayout w:type="fixed"/>
          <w:tblLook w:val="04A0"/>
        </w:tblPrEx>
        <w:tc>
          <w:tcPr>
            <w:tcW w:w="213" w:type="pct"/>
            <w:tcBorders>
              <w:right w:val="single" w:sz="4" w:space="0" w:color="auto"/>
            </w:tcBorders>
          </w:tcPr>
          <w:p w:rsidR="0036353B" w:rsidRPr="001D63B6" w:rsidP="0036353B">
            <w:pPr>
              <w:pStyle w:val="CSbody0bold"/>
            </w:pPr>
          </w:p>
        </w:tc>
        <w:tc>
          <w:tcPr>
            <w:tcW w:w="1010" w:type="pct"/>
            <w:gridSpan w:val="8"/>
            <w:tcBorders>
              <w:top w:val="single" w:sz="4" w:space="0" w:color="auto"/>
              <w:left w:val="single" w:sz="4" w:space="0" w:color="auto"/>
              <w:right w:val="single" w:sz="4" w:space="0" w:color="auto"/>
            </w:tcBorders>
          </w:tcPr>
          <w:p w:rsidR="0036353B" w:rsidRPr="001D63B6" w:rsidP="0036353B">
            <w:pPr>
              <w:pStyle w:val="CSbody0bold"/>
            </w:pPr>
            <w:r w:rsidRPr="001D63B6">
              <w:t>Interest Payment Date</w:t>
            </w:r>
          </w:p>
        </w:tc>
        <w:tc>
          <w:tcPr>
            <w:tcW w:w="1311" w:type="pct"/>
            <w:gridSpan w:val="5"/>
            <w:tcBorders>
              <w:top w:val="single" w:sz="4" w:space="0" w:color="auto"/>
              <w:left w:val="single" w:sz="4" w:space="0" w:color="auto"/>
              <w:bottom w:val="single" w:sz="4" w:space="0" w:color="auto"/>
              <w:right w:val="single" w:sz="4" w:space="0" w:color="auto"/>
            </w:tcBorders>
          </w:tcPr>
          <w:p w:rsidR="0036353B" w:rsidRPr="001D63B6" w:rsidP="0036353B">
            <w:pPr>
              <w:pStyle w:val="CSbody0bold"/>
            </w:pPr>
            <w:r w:rsidRPr="001D63B6">
              <w:t>Interest Rate</w:t>
            </w:r>
          </w:p>
        </w:tc>
        <w:tc>
          <w:tcPr>
            <w:tcW w:w="961" w:type="pct"/>
            <w:gridSpan w:val="5"/>
            <w:tcBorders>
              <w:top w:val="single" w:sz="4" w:space="0" w:color="auto"/>
              <w:left w:val="single" w:sz="4" w:space="0" w:color="auto"/>
              <w:bottom w:val="single" w:sz="4" w:space="0" w:color="auto"/>
              <w:right w:val="single" w:sz="4" w:space="0" w:color="auto"/>
            </w:tcBorders>
          </w:tcPr>
          <w:p w:rsidR="0036353B" w:rsidRPr="001D63B6" w:rsidP="0036353B">
            <w:pPr>
              <w:pStyle w:val="CSbody0bold"/>
            </w:pPr>
            <w:r w:rsidRPr="001D63B6">
              <w:t>Zinszahlungstag</w:t>
            </w:r>
          </w:p>
        </w:tc>
        <w:tc>
          <w:tcPr>
            <w:tcW w:w="1075" w:type="pct"/>
            <w:gridSpan w:val="5"/>
            <w:tcBorders>
              <w:top w:val="single" w:sz="4" w:space="0" w:color="auto"/>
              <w:left w:val="single" w:sz="4" w:space="0" w:color="auto"/>
              <w:right w:val="single" w:sz="4" w:space="0" w:color="auto"/>
            </w:tcBorders>
          </w:tcPr>
          <w:p w:rsidR="0036353B" w:rsidRPr="001D63B6" w:rsidP="0036353B">
            <w:pPr>
              <w:pStyle w:val="CSbody0bold"/>
            </w:pPr>
            <w:r w:rsidRPr="001D63B6">
              <w:t>Zinssatz</w:t>
            </w:r>
          </w:p>
        </w:tc>
        <w:tc>
          <w:tcPr>
            <w:tcW w:w="430" w:type="pct"/>
            <w:gridSpan w:val="4"/>
            <w:tcBorders>
              <w:left w:val="single" w:sz="4" w:space="0" w:color="auto"/>
            </w:tcBorders>
          </w:tcPr>
          <w:p w:rsidR="0036353B" w:rsidRPr="001D63B6" w:rsidP="0036353B">
            <w:pPr>
              <w:pStyle w:val="CSbody0bold"/>
            </w:pPr>
          </w:p>
        </w:tc>
      </w:tr>
      <w:tr w:rsidTr="00942F00">
        <w:tblPrEx>
          <w:tblW w:w="5000" w:type="pct"/>
          <w:tblLayout w:type="fixed"/>
          <w:tblLook w:val="04A0"/>
        </w:tblPrEx>
        <w:tc>
          <w:tcPr>
            <w:tcW w:w="213" w:type="pct"/>
            <w:tcBorders>
              <w:right w:val="single" w:sz="4" w:space="0" w:color="auto"/>
            </w:tcBorders>
          </w:tcPr>
          <w:p w:rsidR="00BF2081" w:rsidRPr="001D63B6" w:rsidP="0036353B">
            <w:pPr>
              <w:pStyle w:val="CSbody0bold"/>
            </w:pPr>
          </w:p>
        </w:tc>
        <w:tc>
          <w:tcPr>
            <w:tcW w:w="1010" w:type="pct"/>
            <w:gridSpan w:val="8"/>
            <w:tcBorders>
              <w:top w:val="single" w:sz="4" w:space="0" w:color="auto"/>
              <w:left w:val="single" w:sz="4" w:space="0" w:color="auto"/>
              <w:right w:val="single" w:sz="4" w:space="0" w:color="auto"/>
            </w:tcBorders>
          </w:tcPr>
          <w:p w:rsidR="00BF2081" w:rsidRPr="001D63B6" w:rsidP="00633E4C">
            <w:pPr>
              <w:pStyle w:val="CSBody0"/>
            </w:pPr>
            <w:r w:rsidRPr="00F94B27">
              <w:rPr>
                <w:b/>
              </w:rPr>
              <w:t>[</w:t>
            </w:r>
            <w:r w:rsidR="003857E8">
              <w:rPr>
                <w:rFonts w:ascii="Arial" w:hAnsi="Arial" w:cs="Arial"/>
              </w:rPr>
              <w:t>●</w:t>
            </w:r>
            <w:r w:rsidRPr="00F94B27">
              <w:rPr>
                <w:b/>
              </w:rPr>
              <w:t>]</w:t>
            </w:r>
          </w:p>
        </w:tc>
        <w:tc>
          <w:tcPr>
            <w:tcW w:w="1311" w:type="pct"/>
            <w:gridSpan w:val="5"/>
            <w:tcBorders>
              <w:top w:val="single" w:sz="4" w:space="0" w:color="auto"/>
              <w:left w:val="single" w:sz="4" w:space="0" w:color="auto"/>
              <w:bottom w:val="single" w:sz="4" w:space="0" w:color="auto"/>
              <w:right w:val="single" w:sz="4" w:space="0" w:color="auto"/>
            </w:tcBorders>
          </w:tcPr>
          <w:p w:rsidR="00BF2081" w:rsidRPr="001D63B6" w:rsidP="00633E4C">
            <w:pPr>
              <w:pStyle w:val="CSBody0"/>
            </w:pPr>
            <w:r w:rsidRPr="00F94B27">
              <w:rPr>
                <w:b/>
              </w:rPr>
              <w:t>[</w:t>
            </w:r>
            <w:r w:rsidR="003857E8">
              <w:rPr>
                <w:rFonts w:ascii="Arial" w:hAnsi="Arial" w:cs="Arial"/>
              </w:rPr>
              <w:t>●</w:t>
            </w:r>
            <w:r w:rsidRPr="00F94B27">
              <w:rPr>
                <w:b/>
              </w:rPr>
              <w:t>]</w:t>
            </w:r>
            <w:r w:rsidRPr="001D63B6">
              <w:t>% per annum</w:t>
            </w:r>
          </w:p>
        </w:tc>
        <w:tc>
          <w:tcPr>
            <w:tcW w:w="961" w:type="pct"/>
            <w:gridSpan w:val="5"/>
            <w:tcBorders>
              <w:top w:val="single" w:sz="4" w:space="0" w:color="auto"/>
              <w:left w:val="single" w:sz="4" w:space="0" w:color="auto"/>
              <w:bottom w:val="single" w:sz="4" w:space="0" w:color="auto"/>
              <w:right w:val="single" w:sz="4" w:space="0" w:color="auto"/>
            </w:tcBorders>
          </w:tcPr>
          <w:p w:rsidR="00BF2081" w:rsidRPr="001D63B6" w:rsidP="00633E4C">
            <w:pPr>
              <w:pStyle w:val="CSBody0"/>
            </w:pPr>
            <w:r w:rsidRPr="00F94B27">
              <w:rPr>
                <w:b/>
              </w:rPr>
              <w:t>[</w:t>
            </w:r>
            <w:r w:rsidR="003857E8">
              <w:rPr>
                <w:rFonts w:ascii="Arial" w:hAnsi="Arial" w:cs="Arial"/>
              </w:rPr>
              <w:t>●</w:t>
            </w:r>
            <w:r w:rsidRPr="00F94B27">
              <w:rPr>
                <w:b/>
              </w:rPr>
              <w:t>]</w:t>
            </w:r>
          </w:p>
        </w:tc>
        <w:tc>
          <w:tcPr>
            <w:tcW w:w="1075" w:type="pct"/>
            <w:gridSpan w:val="5"/>
            <w:tcBorders>
              <w:top w:val="single" w:sz="4" w:space="0" w:color="auto"/>
              <w:left w:val="single" w:sz="4" w:space="0" w:color="auto"/>
              <w:right w:val="single" w:sz="4" w:space="0" w:color="auto"/>
            </w:tcBorders>
          </w:tcPr>
          <w:p w:rsidR="00BF2081" w:rsidRPr="001D63B6" w:rsidP="00633E4C">
            <w:pPr>
              <w:pStyle w:val="CSBody0"/>
            </w:pPr>
            <w:r w:rsidRPr="00F94B27">
              <w:rPr>
                <w:b/>
              </w:rPr>
              <w:t>[</w:t>
            </w:r>
            <w:r w:rsidR="003857E8">
              <w:rPr>
                <w:rFonts w:ascii="Arial" w:hAnsi="Arial" w:cs="Arial"/>
              </w:rPr>
              <w:t>●</w:t>
            </w:r>
            <w:r w:rsidRPr="00F94B27">
              <w:rPr>
                <w:b/>
              </w:rPr>
              <w:t>]</w:t>
            </w:r>
            <w:r w:rsidRPr="001D63B6">
              <w:t>% per annum</w:t>
            </w:r>
          </w:p>
        </w:tc>
        <w:tc>
          <w:tcPr>
            <w:tcW w:w="430" w:type="pct"/>
            <w:gridSpan w:val="4"/>
            <w:tcBorders>
              <w:left w:val="single" w:sz="4" w:space="0" w:color="auto"/>
            </w:tcBorders>
          </w:tcPr>
          <w:p w:rsidR="00BF2081" w:rsidRPr="001D63B6" w:rsidP="0036353B">
            <w:pPr>
              <w:pStyle w:val="CSbody0bold"/>
            </w:pPr>
          </w:p>
        </w:tc>
      </w:tr>
      <w:tr w:rsidTr="00942F00">
        <w:tblPrEx>
          <w:tblW w:w="5000" w:type="pct"/>
          <w:tblLayout w:type="fixed"/>
          <w:tblLook w:val="04A0"/>
        </w:tblPrEx>
        <w:tc>
          <w:tcPr>
            <w:tcW w:w="213" w:type="pct"/>
            <w:tcBorders>
              <w:right w:val="single" w:sz="4" w:space="0" w:color="auto"/>
            </w:tcBorders>
          </w:tcPr>
          <w:p w:rsidR="00BF2081" w:rsidRPr="001D63B6" w:rsidP="0036353B">
            <w:pPr>
              <w:pStyle w:val="CSbody0bold"/>
            </w:pPr>
          </w:p>
        </w:tc>
        <w:tc>
          <w:tcPr>
            <w:tcW w:w="1010" w:type="pct"/>
            <w:gridSpan w:val="8"/>
            <w:tcBorders>
              <w:top w:val="single" w:sz="4" w:space="0" w:color="auto"/>
              <w:left w:val="single" w:sz="4" w:space="0" w:color="auto"/>
              <w:right w:val="single" w:sz="4" w:space="0" w:color="auto"/>
            </w:tcBorders>
          </w:tcPr>
          <w:p w:rsidR="00BF2081" w:rsidRPr="00BF2081" w:rsidP="00633E4C">
            <w:pPr>
              <w:pStyle w:val="CSBody0"/>
              <w:rPr>
                <w:i/>
              </w:rPr>
            </w:pPr>
            <w:r w:rsidRPr="00BF2081">
              <w:rPr>
                <w:i/>
              </w:rPr>
              <w:t>(repeat as applicable)</w:t>
            </w:r>
          </w:p>
        </w:tc>
        <w:tc>
          <w:tcPr>
            <w:tcW w:w="1311" w:type="pct"/>
            <w:gridSpan w:val="5"/>
            <w:tcBorders>
              <w:top w:val="single" w:sz="4" w:space="0" w:color="auto"/>
              <w:left w:val="single" w:sz="4" w:space="0" w:color="auto"/>
              <w:bottom w:val="single" w:sz="4" w:space="0" w:color="auto"/>
              <w:right w:val="single" w:sz="4" w:space="0" w:color="auto"/>
            </w:tcBorders>
          </w:tcPr>
          <w:p w:rsidR="00BF2081" w:rsidRPr="00BF2081" w:rsidP="00633E4C">
            <w:pPr>
              <w:pStyle w:val="CSBody0"/>
              <w:rPr>
                <w:i/>
              </w:rPr>
            </w:pPr>
            <w:r w:rsidRPr="00BF2081">
              <w:rPr>
                <w:i/>
              </w:rPr>
              <w:t>(repeat as applicable)</w:t>
            </w:r>
          </w:p>
        </w:tc>
        <w:tc>
          <w:tcPr>
            <w:tcW w:w="961" w:type="pct"/>
            <w:gridSpan w:val="5"/>
            <w:tcBorders>
              <w:top w:val="single" w:sz="4" w:space="0" w:color="auto"/>
              <w:left w:val="single" w:sz="4" w:space="0" w:color="auto"/>
              <w:bottom w:val="single" w:sz="4" w:space="0" w:color="auto"/>
              <w:right w:val="single" w:sz="4" w:space="0" w:color="auto"/>
            </w:tcBorders>
          </w:tcPr>
          <w:p w:rsidR="00BF2081" w:rsidRPr="00BF2081" w:rsidP="00633E4C">
            <w:pPr>
              <w:pStyle w:val="CSBody0"/>
              <w:rPr>
                <w:i/>
              </w:rPr>
            </w:pPr>
            <w:r w:rsidRPr="00BF2081">
              <w:rPr>
                <w:i/>
              </w:rPr>
              <w:t>(wiederholen, soweit erforderlich)</w:t>
            </w:r>
          </w:p>
        </w:tc>
        <w:tc>
          <w:tcPr>
            <w:tcW w:w="1075" w:type="pct"/>
            <w:gridSpan w:val="5"/>
            <w:tcBorders>
              <w:top w:val="single" w:sz="4" w:space="0" w:color="auto"/>
              <w:left w:val="single" w:sz="4" w:space="0" w:color="auto"/>
              <w:right w:val="single" w:sz="4" w:space="0" w:color="auto"/>
            </w:tcBorders>
          </w:tcPr>
          <w:p w:rsidR="00BF2081" w:rsidRPr="00BF2081" w:rsidP="00633E4C">
            <w:pPr>
              <w:pStyle w:val="CSBody0"/>
              <w:rPr>
                <w:i/>
              </w:rPr>
            </w:pPr>
            <w:r w:rsidRPr="00BF2081">
              <w:rPr>
                <w:i/>
              </w:rPr>
              <w:t>(wiederholen, soweit erforderlich)</w:t>
            </w:r>
          </w:p>
        </w:tc>
        <w:tc>
          <w:tcPr>
            <w:tcW w:w="430" w:type="pct"/>
            <w:gridSpan w:val="4"/>
            <w:tcBorders>
              <w:left w:val="single" w:sz="4" w:space="0" w:color="auto"/>
            </w:tcBorders>
          </w:tcPr>
          <w:p w:rsidR="00BF2081" w:rsidRPr="001D63B6" w:rsidP="0036353B">
            <w:pPr>
              <w:pStyle w:val="CSbody0bold"/>
            </w:pPr>
          </w:p>
        </w:tc>
      </w:tr>
      <w:tr w:rsidTr="00942F00">
        <w:tblPrEx>
          <w:tblW w:w="5000" w:type="pct"/>
          <w:tblLayout w:type="fixed"/>
          <w:tblLook w:val="04A0"/>
        </w:tblPrEx>
        <w:tc>
          <w:tcPr>
            <w:tcW w:w="213" w:type="pct"/>
            <w:tcBorders>
              <w:right w:val="single" w:sz="4" w:space="0" w:color="auto"/>
            </w:tcBorders>
          </w:tcPr>
          <w:p w:rsidR="00BF2081" w:rsidRPr="001D63B6" w:rsidP="0036353B">
            <w:pPr>
              <w:pStyle w:val="CSbody0bold"/>
            </w:pPr>
          </w:p>
        </w:tc>
        <w:tc>
          <w:tcPr>
            <w:tcW w:w="1010" w:type="pct"/>
            <w:gridSpan w:val="8"/>
            <w:tcBorders>
              <w:top w:val="single" w:sz="4" w:space="0" w:color="auto"/>
              <w:left w:val="single" w:sz="4" w:space="0" w:color="auto"/>
              <w:right w:val="single" w:sz="4" w:space="0" w:color="auto"/>
            </w:tcBorders>
          </w:tcPr>
          <w:p w:rsidR="00BF2081" w:rsidRPr="001D63B6" w:rsidP="00633E4C">
            <w:pPr>
              <w:pStyle w:val="CSBody0"/>
            </w:pPr>
            <w:r w:rsidRPr="00F94B27">
              <w:rPr>
                <w:b/>
              </w:rPr>
              <w:t>[</w:t>
            </w:r>
            <w:r w:rsidRPr="001D63B6">
              <w:t>Final Redemption Date</w:t>
            </w:r>
          </w:p>
        </w:tc>
        <w:tc>
          <w:tcPr>
            <w:tcW w:w="1311" w:type="pct"/>
            <w:gridSpan w:val="5"/>
            <w:tcBorders>
              <w:top w:val="single" w:sz="4" w:space="0" w:color="auto"/>
              <w:left w:val="single" w:sz="4" w:space="0" w:color="auto"/>
              <w:right w:val="single" w:sz="4" w:space="0" w:color="auto"/>
            </w:tcBorders>
          </w:tcPr>
          <w:p w:rsidR="00BF2081" w:rsidRPr="001D63B6" w:rsidP="00633E4C">
            <w:pPr>
              <w:pStyle w:val="CSBody0"/>
            </w:pPr>
            <w:r w:rsidRPr="00F94B27">
              <w:rPr>
                <w:b/>
              </w:rPr>
              <w:t>[</w:t>
            </w:r>
            <w:r w:rsidR="003857E8">
              <w:rPr>
                <w:rFonts w:ascii="Arial" w:hAnsi="Arial" w:cs="Arial"/>
              </w:rPr>
              <w:t>●</w:t>
            </w:r>
            <w:r w:rsidRPr="00F94B27">
              <w:rPr>
                <w:b/>
              </w:rPr>
              <w:t>]</w:t>
            </w:r>
            <w:r w:rsidRPr="001D63B6">
              <w:t>%per annum</w:t>
            </w:r>
            <w:r w:rsidRPr="00F94B27">
              <w:rPr>
                <w:b/>
              </w:rPr>
              <w:t>]]</w:t>
            </w:r>
          </w:p>
        </w:tc>
        <w:tc>
          <w:tcPr>
            <w:tcW w:w="961" w:type="pct"/>
            <w:gridSpan w:val="5"/>
            <w:tcBorders>
              <w:top w:val="single" w:sz="4" w:space="0" w:color="auto"/>
              <w:left w:val="single" w:sz="4" w:space="0" w:color="auto"/>
              <w:right w:val="single" w:sz="4" w:space="0" w:color="auto"/>
            </w:tcBorders>
          </w:tcPr>
          <w:p w:rsidR="00BF2081" w:rsidRPr="001D63B6" w:rsidP="00633E4C">
            <w:pPr>
              <w:pStyle w:val="CSBody0"/>
            </w:pPr>
            <w:r w:rsidRPr="001D63B6">
              <w:t>Finaler Rückzahlungstag</w:t>
            </w:r>
            <w:r w:rsidRPr="00F94B27" w:rsidR="00F94B27">
              <w:rPr>
                <w:b/>
              </w:rPr>
              <w:t>]</w:t>
            </w:r>
          </w:p>
        </w:tc>
        <w:tc>
          <w:tcPr>
            <w:tcW w:w="1075" w:type="pct"/>
            <w:gridSpan w:val="5"/>
            <w:tcBorders>
              <w:top w:val="single" w:sz="4" w:space="0" w:color="auto"/>
              <w:left w:val="single" w:sz="4" w:space="0" w:color="auto"/>
              <w:right w:val="single" w:sz="4" w:space="0" w:color="auto"/>
            </w:tcBorders>
          </w:tcPr>
          <w:p w:rsidR="00BF2081" w:rsidRPr="001D63B6" w:rsidP="00633E4C">
            <w:pPr>
              <w:pStyle w:val="CSBody0"/>
            </w:pPr>
            <w:r w:rsidRPr="00F94B27">
              <w:rPr>
                <w:b/>
              </w:rPr>
              <w:t>[</w:t>
            </w:r>
            <w:r w:rsidR="003857E8">
              <w:rPr>
                <w:rFonts w:ascii="Arial" w:hAnsi="Arial" w:cs="Arial"/>
              </w:rPr>
              <w:t>●</w:t>
            </w:r>
            <w:r w:rsidRPr="00F94B27">
              <w:rPr>
                <w:b/>
              </w:rPr>
              <w:t>]</w:t>
            </w:r>
            <w:r w:rsidRPr="001D63B6">
              <w:t>% per annum</w:t>
            </w:r>
            <w:r w:rsidRPr="00F94B27">
              <w:rPr>
                <w:b/>
              </w:rPr>
              <w:t>]]</w:t>
            </w:r>
          </w:p>
        </w:tc>
        <w:tc>
          <w:tcPr>
            <w:tcW w:w="430" w:type="pct"/>
            <w:gridSpan w:val="4"/>
            <w:tcBorders>
              <w:left w:val="single" w:sz="4" w:space="0" w:color="auto"/>
            </w:tcBorders>
          </w:tcPr>
          <w:p w:rsidR="00BF2081" w:rsidRPr="001D63B6" w:rsidP="0036353B">
            <w:pPr>
              <w:pStyle w:val="CSbody0bold"/>
            </w:pPr>
          </w:p>
        </w:tc>
      </w:tr>
      <w:tr w:rsidTr="00942F00">
        <w:tblPrEx>
          <w:tblW w:w="5000" w:type="pct"/>
          <w:tblLayout w:type="fixed"/>
          <w:tblLook w:val="04A0"/>
        </w:tblPrEx>
        <w:tc>
          <w:tcPr>
            <w:tcW w:w="2534" w:type="pct"/>
            <w:gridSpan w:val="14"/>
            <w:tcBorders>
              <w:right w:val="single" w:sz="4" w:space="0" w:color="auto"/>
            </w:tcBorders>
          </w:tcPr>
          <w:p w:rsidR="0036353B" w:rsidRPr="00AB16EC" w:rsidP="0036353B">
            <w:pPr>
              <w:pStyle w:val="CSbody0bolditalic"/>
              <w:rPr>
                <w:lang w:val="en-GB"/>
              </w:rPr>
            </w:pPr>
            <w:r w:rsidRPr="00F94B27">
              <w:rPr>
                <w:lang w:val="en-GB"/>
              </w:rPr>
              <w:t>[</w:t>
            </w:r>
            <w:r w:rsidRPr="00AB16EC">
              <w:rPr>
                <w:lang w:val="en-GB"/>
              </w:rPr>
              <w:t>in case of Floating Rate Notes:</w:t>
            </w:r>
          </w:p>
        </w:tc>
        <w:tc>
          <w:tcPr>
            <w:tcW w:w="2466" w:type="pct"/>
            <w:gridSpan w:val="14"/>
            <w:tcBorders>
              <w:left w:val="single" w:sz="4" w:space="0" w:color="auto"/>
            </w:tcBorders>
          </w:tcPr>
          <w:p w:rsidR="0036353B" w:rsidRPr="006B3331" w:rsidP="0036353B">
            <w:pPr>
              <w:pStyle w:val="CSbody0bolditalic"/>
            </w:pPr>
            <w:r w:rsidRPr="00F94B27">
              <w:t>[</w:t>
            </w:r>
            <w:r w:rsidRPr="006B3331">
              <w:t>bei Floating Rate Notes:</w:t>
            </w:r>
          </w:p>
        </w:tc>
      </w:tr>
      <w:tr w:rsidTr="00942F00">
        <w:tblPrEx>
          <w:tblW w:w="5000" w:type="pct"/>
          <w:tblLayout w:type="fixed"/>
          <w:tblLook w:val="04A0"/>
        </w:tblPrEx>
        <w:tc>
          <w:tcPr>
            <w:tcW w:w="2534" w:type="pct"/>
            <w:gridSpan w:val="14"/>
            <w:tcBorders>
              <w:right w:val="single" w:sz="4" w:space="0" w:color="auto"/>
            </w:tcBorders>
          </w:tcPr>
          <w:p w:rsidR="0036353B" w:rsidRPr="006B3331" w:rsidP="0036353B">
            <w:pPr>
              <w:pStyle w:val="CSBody0"/>
            </w:pPr>
            <w:r w:rsidRPr="006B3331">
              <w:t>In case of Floating Rate Notes, the Interest Rate on the basis of which the Interest Payment Amount</w:t>
            </w:r>
            <w:r w:rsidRPr="00F94B27" w:rsidR="00F94B27">
              <w:rPr>
                <w:b/>
              </w:rPr>
              <w:t>[</w:t>
            </w:r>
            <w:r w:rsidRPr="006B3331">
              <w:t>s</w:t>
            </w:r>
            <w:r w:rsidRPr="00F94B27" w:rsidR="00F94B27">
              <w:rPr>
                <w:b/>
              </w:rPr>
              <w:t>]</w:t>
            </w:r>
            <w:r w:rsidRPr="006B3331">
              <w:t xml:space="preserve"> </w:t>
            </w:r>
            <w:r w:rsidRPr="00F94B27" w:rsidR="00F94B27">
              <w:rPr>
                <w:b/>
              </w:rPr>
              <w:t>[</w:t>
            </w:r>
            <w:r w:rsidRPr="006B3331">
              <w:t>is</w:t>
            </w:r>
            <w:r w:rsidRPr="00F94B27" w:rsidR="00F94B27">
              <w:rPr>
                <w:b/>
              </w:rPr>
              <w:t>][</w:t>
            </w:r>
            <w:r w:rsidRPr="006B3331">
              <w:t>are</w:t>
            </w:r>
            <w:r w:rsidRPr="00F94B27" w:rsidR="00F94B27">
              <w:rPr>
                <w:b/>
              </w:rPr>
              <w:t>]</w:t>
            </w:r>
            <w:r w:rsidRPr="006B3331">
              <w:t xml:space="preserve"> calculated will be equal to the </w:t>
            </w:r>
            <w:r w:rsidRPr="00F94B27" w:rsidR="00F94B27">
              <w:rPr>
                <w:b/>
              </w:rPr>
              <w:t>[</w:t>
            </w:r>
            <w:r w:rsidRPr="006B3331">
              <w:t>Reference Rate (</w:t>
            </w:r>
            <w:r w:rsidRPr="007E3558" w:rsidR="007E3558">
              <w:rPr>
                <w:i/>
              </w:rPr>
              <w:t>i.e.</w:t>
            </w:r>
            <w:r w:rsidRPr="006B3331">
              <w:t xml:space="preserve">, a variable rate of interest) on the </w:t>
            </w:r>
            <w:r w:rsidRPr="00F94B27" w:rsidR="00F94B27">
              <w:rPr>
                <w:b/>
              </w:rPr>
              <w:t>[</w:t>
            </w:r>
            <w:r w:rsidRPr="006B3331">
              <w:t>relevant</w:t>
            </w:r>
            <w:r w:rsidRPr="00F94B27" w:rsidR="00F94B27">
              <w:rPr>
                <w:b/>
              </w:rPr>
              <w:t>]</w:t>
            </w:r>
            <w:r w:rsidRPr="006B3331">
              <w:t xml:space="preserve"> Interest Determination Date</w:t>
            </w:r>
            <w:r w:rsidRPr="00F94B27" w:rsidR="00F94B27">
              <w:rPr>
                <w:b/>
              </w:rPr>
              <w:t>]</w:t>
            </w:r>
            <w:r w:rsidRPr="006B3331">
              <w:t xml:space="preserve"> </w:t>
            </w:r>
            <w:r w:rsidRPr="00F94B27" w:rsidR="00F94B27">
              <w:rPr>
                <w:b/>
              </w:rPr>
              <w:t>[</w:t>
            </w:r>
            <w:r w:rsidRPr="006B3331">
              <w:t>sum of the Reference Rate (</w:t>
            </w:r>
            <w:r w:rsidRPr="007E3558" w:rsidR="007E3558">
              <w:rPr>
                <w:i/>
              </w:rPr>
              <w:t>i.e.</w:t>
            </w:r>
            <w:r w:rsidRPr="006B3331">
              <w:t xml:space="preserve">, a variable rate of interest) on the </w:t>
            </w:r>
            <w:r w:rsidRPr="00F94B27" w:rsidR="00F94B27">
              <w:rPr>
                <w:b/>
              </w:rPr>
              <w:t>[</w:t>
            </w:r>
            <w:r w:rsidRPr="006B3331">
              <w:t>relevant</w:t>
            </w:r>
            <w:r w:rsidRPr="00F94B27" w:rsidR="00F94B27">
              <w:rPr>
                <w:b/>
              </w:rPr>
              <w:t>]</w:t>
            </w:r>
            <w:r w:rsidRPr="006B3331">
              <w:t xml:space="preserve"> Interest Determination Date and </w:t>
            </w:r>
            <w:r w:rsidRPr="00F94B27" w:rsidR="00F94B27">
              <w:rPr>
                <w:b/>
              </w:rPr>
              <w:t>[</w:t>
            </w:r>
            <w:r w:rsidR="003857E8">
              <w:rPr>
                <w:rFonts w:ascii="Arial" w:hAnsi="Arial" w:cs="Arial"/>
              </w:rPr>
              <w:t>●</w:t>
            </w:r>
            <w:r w:rsidRPr="00F94B27" w:rsidR="00F94B27">
              <w:rPr>
                <w:b/>
              </w:rPr>
              <w:t>]</w:t>
            </w:r>
            <w:r w:rsidRPr="006B3331">
              <w:t>% per annum</w:t>
            </w:r>
            <w:r w:rsidRPr="00F94B27" w:rsidR="00F94B27">
              <w:rPr>
                <w:b/>
              </w:rPr>
              <w:t>]</w:t>
            </w:r>
            <w:r w:rsidRPr="006B3331">
              <w:t>. As the Reference Rate is subject to fluctuations, the Interest Payment Amount</w:t>
            </w:r>
            <w:r w:rsidRPr="00F94B27" w:rsidR="00F94B27">
              <w:rPr>
                <w:b/>
              </w:rPr>
              <w:t>[</w:t>
            </w:r>
            <w:r w:rsidRPr="006B3331">
              <w:t>s</w:t>
            </w:r>
            <w:r w:rsidRPr="00F94B27" w:rsidR="00F94B27">
              <w:rPr>
                <w:b/>
              </w:rPr>
              <w:t>]</w:t>
            </w:r>
            <w:r w:rsidRPr="006B3331">
              <w:t xml:space="preserve"> payable in respect of Floating Rate Notes </w:t>
            </w:r>
            <w:r w:rsidRPr="00F94B27" w:rsidR="00F94B27">
              <w:rPr>
                <w:b/>
              </w:rPr>
              <w:t>[</w:t>
            </w:r>
            <w:r w:rsidRPr="006B3331">
              <w:t>is</w:t>
            </w:r>
            <w:r w:rsidRPr="00F94B27" w:rsidR="00F94B27">
              <w:rPr>
                <w:b/>
              </w:rPr>
              <w:t>][</w:t>
            </w:r>
            <w:r w:rsidRPr="006B3331">
              <w:t>are</w:t>
            </w:r>
            <w:r w:rsidRPr="00F94B27" w:rsidR="00F94B27">
              <w:rPr>
                <w:b/>
              </w:rPr>
              <w:t>]</w:t>
            </w:r>
            <w:r w:rsidRPr="006B3331">
              <w:t xml:space="preserve"> uncertain and may be substantially lower than the interest payment amounts that would be payable under conventional fixed rate debt securities of the Issuer with a comparable term. </w:t>
            </w:r>
            <w:r w:rsidRPr="00F94B27" w:rsidR="00F94B27">
              <w:rPr>
                <w:b/>
              </w:rPr>
              <w:t>[</w:t>
            </w:r>
            <w:r w:rsidRPr="0036353B">
              <w:rPr>
                <w:b/>
                <w:i/>
              </w:rPr>
              <w:t>in case of Complex Products with Minimum Interest Rate and/or Maximum Interest Rate:</w:t>
            </w:r>
            <w:r w:rsidRPr="006B3331">
              <w:t xml:space="preserve"> In any case, the Interest Rate will </w:t>
            </w:r>
            <w:r w:rsidRPr="00F94B27" w:rsidR="00F94B27">
              <w:rPr>
                <w:b/>
              </w:rPr>
              <w:t>[</w:t>
            </w:r>
            <w:r w:rsidRPr="006B3331">
              <w:t xml:space="preserve">at least be equal to the </w:t>
            </w:r>
            <w:r w:rsidRPr="00F94B27" w:rsidR="00F94B27">
              <w:rPr>
                <w:b/>
              </w:rPr>
              <w:t>[</w:t>
            </w:r>
            <w:r w:rsidRPr="006B3331">
              <w:t>relevant</w:t>
            </w:r>
            <w:r w:rsidRPr="00F94B27" w:rsidR="00F94B27">
              <w:rPr>
                <w:b/>
              </w:rPr>
              <w:t>]</w:t>
            </w:r>
            <w:r w:rsidRPr="006B3331">
              <w:t xml:space="preserve"> Minimum Interest Rate</w:t>
            </w:r>
            <w:r w:rsidRPr="00F94B27" w:rsidR="00F94B27">
              <w:rPr>
                <w:b/>
              </w:rPr>
              <w:t>]</w:t>
            </w:r>
            <w:r w:rsidRPr="006B3331">
              <w:t xml:space="preserve"> </w:t>
            </w:r>
            <w:r w:rsidRPr="00F94B27" w:rsidR="00F94B27">
              <w:rPr>
                <w:b/>
              </w:rPr>
              <w:t>[</w:t>
            </w:r>
            <w:r w:rsidRPr="006B3331">
              <w:t xml:space="preserve">not exceed the </w:t>
            </w:r>
            <w:r w:rsidRPr="00F94B27" w:rsidR="00F94B27">
              <w:rPr>
                <w:b/>
              </w:rPr>
              <w:t>[</w:t>
            </w:r>
            <w:r w:rsidRPr="006B3331">
              <w:t>relevant</w:t>
            </w:r>
            <w:r w:rsidRPr="00F94B27" w:rsidR="00F94B27">
              <w:rPr>
                <w:b/>
              </w:rPr>
              <w:t>]</w:t>
            </w:r>
            <w:r w:rsidRPr="006B3331">
              <w:t xml:space="preserve"> Maximum Interest Rate</w:t>
            </w:r>
            <w:r w:rsidRPr="00F94B27" w:rsidR="00F94B27">
              <w:rPr>
                <w:b/>
              </w:rPr>
              <w:t>]</w:t>
            </w:r>
            <w:r w:rsidRPr="006B3331">
              <w:t xml:space="preserve"> </w:t>
            </w:r>
            <w:r w:rsidRPr="00F94B27" w:rsidR="00F94B27">
              <w:rPr>
                <w:b/>
              </w:rPr>
              <w:t>[</w:t>
            </w:r>
            <w:r w:rsidRPr="006B3331">
              <w:t xml:space="preserve">at least be equal to the </w:t>
            </w:r>
            <w:r w:rsidRPr="00F94B27" w:rsidR="00F94B27">
              <w:rPr>
                <w:b/>
              </w:rPr>
              <w:t>[</w:t>
            </w:r>
            <w:r w:rsidRPr="006B3331">
              <w:t>relevant</w:t>
            </w:r>
            <w:r w:rsidRPr="00F94B27" w:rsidR="00F94B27">
              <w:rPr>
                <w:b/>
              </w:rPr>
              <w:t>]</w:t>
            </w:r>
            <w:r w:rsidRPr="006B3331">
              <w:t xml:space="preserve"> Minimum Interest Rate, but not exceed the </w:t>
            </w:r>
            <w:r w:rsidRPr="00F94B27" w:rsidR="00F94B27">
              <w:rPr>
                <w:b/>
              </w:rPr>
              <w:t>[</w:t>
            </w:r>
            <w:r w:rsidRPr="006B3331">
              <w:t>relevant</w:t>
            </w:r>
            <w:r w:rsidRPr="00F94B27" w:rsidR="00F94B27">
              <w:rPr>
                <w:b/>
              </w:rPr>
              <w:t>]</w:t>
            </w:r>
            <w:r w:rsidRPr="006B3331">
              <w:t xml:space="preserve"> Maximum Interest Rate</w:t>
            </w:r>
            <w:r w:rsidRPr="00F94B27" w:rsidR="00F94B27">
              <w:rPr>
                <w:b/>
              </w:rPr>
              <w:t>]</w:t>
            </w:r>
            <w:r w:rsidRPr="006B3331">
              <w:t>.</w:t>
            </w:r>
            <w:r w:rsidRPr="00F94B27" w:rsidR="00F94B27">
              <w:rPr>
                <w:b/>
              </w:rPr>
              <w:t>[</w:t>
            </w:r>
            <w:r w:rsidRPr="0036353B">
              <w:rPr>
                <w:b/>
                <w:i/>
              </w:rPr>
              <w:t>in case of Complex Products with a Minimum Interest Rate and a Maximum Interest Rate that provide for the application of the Participation:</w:t>
            </w:r>
            <w:r w:rsidRPr="006B3331">
              <w:t xml:space="preserve"> Further, for the calculation of the applicable Interest Rate, the Participation, which is a multiplier, will be applied.</w:t>
            </w:r>
            <w:r w:rsidRPr="00F94B27" w:rsidR="00F94B27">
              <w:rPr>
                <w:b/>
              </w:rPr>
              <w:t>]]</w:t>
            </w:r>
          </w:p>
        </w:tc>
        <w:tc>
          <w:tcPr>
            <w:tcW w:w="2466" w:type="pct"/>
            <w:gridSpan w:val="14"/>
            <w:tcBorders>
              <w:left w:val="single" w:sz="4" w:space="0" w:color="auto"/>
            </w:tcBorders>
          </w:tcPr>
          <w:p w:rsidR="0036353B" w:rsidRPr="0036353B" w:rsidP="0036353B">
            <w:pPr>
              <w:pStyle w:val="CSBody0"/>
              <w:rPr>
                <w:lang w:val="de-DE"/>
              </w:rPr>
            </w:pPr>
            <w:r w:rsidRPr="0036353B">
              <w:rPr>
                <w:lang w:val="de-DE"/>
              </w:rPr>
              <w:t xml:space="preserve">Bei Floating Rate Notes entspricht der Zinssatz, auf dessen Grundlage </w:t>
            </w:r>
            <w:r w:rsidRPr="00F94B27" w:rsidR="00F94B27">
              <w:rPr>
                <w:b/>
                <w:lang w:val="de-DE"/>
              </w:rPr>
              <w:t>[</w:t>
            </w:r>
            <w:r w:rsidRPr="0036353B">
              <w:rPr>
                <w:lang w:val="de-DE"/>
              </w:rPr>
              <w:t>der Zinszahlungsbetrag</w:t>
            </w:r>
            <w:r w:rsidRPr="00F94B27" w:rsidR="00F94B27">
              <w:rPr>
                <w:b/>
                <w:lang w:val="de-DE"/>
              </w:rPr>
              <w:t>]</w:t>
            </w:r>
            <w:r w:rsidRPr="0036353B">
              <w:rPr>
                <w:lang w:val="de-DE"/>
              </w:rPr>
              <w:t xml:space="preserve"> </w:t>
            </w:r>
            <w:r w:rsidRPr="00F94B27" w:rsidR="00F94B27">
              <w:rPr>
                <w:b/>
                <w:lang w:val="de-DE"/>
              </w:rPr>
              <w:t>[</w:t>
            </w:r>
            <w:r w:rsidRPr="0036353B">
              <w:rPr>
                <w:lang w:val="de-DE"/>
              </w:rPr>
              <w:t>die Zinszahlungsbeträge</w:t>
            </w:r>
            <w:r w:rsidRPr="00F94B27" w:rsidR="00F94B27">
              <w:rPr>
                <w:b/>
                <w:lang w:val="de-DE"/>
              </w:rPr>
              <w:t>]</w:t>
            </w:r>
            <w:r w:rsidRPr="0036353B">
              <w:rPr>
                <w:lang w:val="de-DE"/>
              </w:rPr>
              <w:t xml:space="preserve"> berechnet </w:t>
            </w:r>
            <w:r w:rsidRPr="00F94B27" w:rsidR="00F94B27">
              <w:rPr>
                <w:b/>
                <w:lang w:val="de-DE"/>
              </w:rPr>
              <w:t>[</w:t>
            </w:r>
            <w:r w:rsidRPr="0036353B">
              <w:rPr>
                <w:lang w:val="de-DE"/>
              </w:rPr>
              <w:t>wird</w:t>
            </w:r>
            <w:r w:rsidRPr="00F94B27" w:rsidR="00F94B27">
              <w:rPr>
                <w:b/>
                <w:lang w:val="de-DE"/>
              </w:rPr>
              <w:t>]</w:t>
            </w:r>
            <w:r w:rsidRPr="0036353B">
              <w:rPr>
                <w:lang w:val="de-DE"/>
              </w:rPr>
              <w:t xml:space="preserve"> </w:t>
            </w:r>
            <w:r w:rsidRPr="00F94B27" w:rsidR="00F94B27">
              <w:rPr>
                <w:b/>
                <w:lang w:val="de-DE"/>
              </w:rPr>
              <w:t>[</w:t>
            </w:r>
            <w:r w:rsidRPr="0036353B">
              <w:rPr>
                <w:lang w:val="de-DE"/>
              </w:rPr>
              <w:t>werden</w:t>
            </w:r>
            <w:r w:rsidRPr="00F94B27" w:rsidR="00F94B27">
              <w:rPr>
                <w:b/>
                <w:lang w:val="de-DE"/>
              </w:rPr>
              <w:t>]</w:t>
            </w:r>
            <w:r w:rsidRPr="0036353B">
              <w:rPr>
                <w:lang w:val="de-DE"/>
              </w:rPr>
              <w:t xml:space="preserve">, </w:t>
            </w:r>
            <w:r w:rsidRPr="00F94B27" w:rsidR="00F94B27">
              <w:rPr>
                <w:b/>
                <w:lang w:val="de-DE"/>
              </w:rPr>
              <w:t>[</w:t>
            </w:r>
            <w:r w:rsidRPr="0036353B">
              <w:rPr>
                <w:lang w:val="de-DE"/>
              </w:rPr>
              <w:t xml:space="preserve">dem Referenzsatz (d.h. einem variablen Zinssatz) am </w:t>
            </w:r>
            <w:r w:rsidRPr="00F94B27" w:rsidR="00F94B27">
              <w:rPr>
                <w:b/>
                <w:lang w:val="de-DE"/>
              </w:rPr>
              <w:t>[</w:t>
            </w:r>
            <w:r w:rsidRPr="0036353B">
              <w:rPr>
                <w:lang w:val="de-DE"/>
              </w:rPr>
              <w:t>jeweiligen</w:t>
            </w:r>
            <w:r w:rsidRPr="00F94B27" w:rsidR="00F94B27">
              <w:rPr>
                <w:b/>
                <w:lang w:val="de-DE"/>
              </w:rPr>
              <w:t>]</w:t>
            </w:r>
            <w:r w:rsidRPr="0036353B">
              <w:rPr>
                <w:lang w:val="de-DE"/>
              </w:rPr>
              <w:t xml:space="preserve"> Zinsfeststellungstag</w:t>
            </w:r>
            <w:r w:rsidRPr="00F94B27" w:rsidR="00F94B27">
              <w:rPr>
                <w:b/>
                <w:lang w:val="de-DE"/>
              </w:rPr>
              <w:t>]</w:t>
            </w:r>
            <w:r w:rsidRPr="0036353B">
              <w:rPr>
                <w:lang w:val="de-DE"/>
              </w:rPr>
              <w:t xml:space="preserve"> </w:t>
            </w:r>
            <w:r w:rsidRPr="00F94B27" w:rsidR="00F94B27">
              <w:rPr>
                <w:b/>
                <w:lang w:val="de-DE"/>
              </w:rPr>
              <w:t>[</w:t>
            </w:r>
            <w:r w:rsidRPr="0036353B">
              <w:rPr>
                <w:lang w:val="de-DE"/>
              </w:rPr>
              <w:t xml:space="preserve">der Summe aus dem Referenzsatz (d.h. einem variablen Zinssatz) am jeweiligen Zinsfeststellungstag und </w:t>
            </w:r>
            <w:r w:rsidRPr="00F94B27" w:rsidR="00F94B27">
              <w:rPr>
                <w:b/>
                <w:lang w:val="de-DE"/>
              </w:rPr>
              <w:t>[</w:t>
            </w:r>
            <w:r w:rsidRPr="00116653" w:rsidR="003857E8">
              <w:rPr>
                <w:rFonts w:ascii="Arial" w:hAnsi="Arial" w:cs="Arial"/>
                <w:lang w:val="de-DE"/>
              </w:rPr>
              <w:t>●</w:t>
            </w:r>
            <w:r w:rsidRPr="00F94B27" w:rsidR="00F94B27">
              <w:rPr>
                <w:b/>
                <w:lang w:val="de-DE"/>
              </w:rPr>
              <w:t>]</w:t>
            </w:r>
            <w:r w:rsidRPr="0036353B">
              <w:rPr>
                <w:lang w:val="de-DE"/>
              </w:rPr>
              <w:t>% per annum</w:t>
            </w:r>
            <w:r w:rsidRPr="00F94B27" w:rsidR="00F94B27">
              <w:rPr>
                <w:b/>
                <w:lang w:val="de-DE"/>
              </w:rPr>
              <w:t>]</w:t>
            </w:r>
            <w:r w:rsidRPr="0036353B">
              <w:rPr>
                <w:lang w:val="de-DE"/>
              </w:rPr>
              <w:t xml:space="preserve">. Da der Referenzsatz Schwankungen unterliegt, ist die Höhe </w:t>
            </w:r>
            <w:r w:rsidRPr="00F94B27" w:rsidR="00F94B27">
              <w:rPr>
                <w:b/>
                <w:lang w:val="de-DE"/>
              </w:rPr>
              <w:t>[</w:t>
            </w:r>
            <w:r w:rsidRPr="0036353B">
              <w:rPr>
                <w:lang w:val="de-DE"/>
              </w:rPr>
              <w:t>des in Bezug auf Floating Rating Notes zahlbaren Zinszahlungsbetrags</w:t>
            </w:r>
            <w:r w:rsidRPr="00F94B27" w:rsidR="00F94B27">
              <w:rPr>
                <w:b/>
                <w:lang w:val="de-DE"/>
              </w:rPr>
              <w:t>]</w:t>
            </w:r>
            <w:r w:rsidRPr="0036353B">
              <w:rPr>
                <w:lang w:val="de-DE"/>
              </w:rPr>
              <w:t xml:space="preserve"> </w:t>
            </w:r>
            <w:r w:rsidRPr="00F94B27" w:rsidR="00F94B27">
              <w:rPr>
                <w:b/>
                <w:lang w:val="de-DE"/>
              </w:rPr>
              <w:t>[</w:t>
            </w:r>
            <w:r w:rsidRPr="0036353B">
              <w:rPr>
                <w:lang w:val="de-DE"/>
              </w:rPr>
              <w:t>der in Bezug auf Floating Rate Notes zahlbaren Zinszahlungsbeträge</w:t>
            </w:r>
            <w:r w:rsidRPr="00F94B27" w:rsidR="00F94B27">
              <w:rPr>
                <w:b/>
                <w:lang w:val="de-DE"/>
              </w:rPr>
              <w:t>]</w:t>
            </w:r>
            <w:r w:rsidRPr="0036353B">
              <w:rPr>
                <w:lang w:val="de-DE"/>
              </w:rPr>
              <w:t xml:space="preserve"> ungewiss und kann wesentlich niedriger sein als die Zinszahlungsbeträge, die für herkömmliche festverzinsliche Schuldtitel der Emittentin mit vergleichbarer Laufzeit gezahlt würden. </w:t>
            </w:r>
            <w:r w:rsidRPr="00F94B27" w:rsidR="00F94B27">
              <w:rPr>
                <w:b/>
                <w:lang w:val="de-DE"/>
              </w:rPr>
              <w:t>[</w:t>
            </w:r>
            <w:r w:rsidRPr="0036353B">
              <w:rPr>
                <w:b/>
                <w:i/>
                <w:lang w:val="de-DE"/>
              </w:rPr>
              <w:t>bei Komplexen Produkten mit Mindestzinssatz und/oder Höchstzinssatz:</w:t>
            </w:r>
            <w:r w:rsidRPr="0036353B">
              <w:rPr>
                <w:lang w:val="de-DE"/>
              </w:rPr>
              <w:t xml:space="preserve"> In jedem Fall </w:t>
            </w:r>
            <w:r w:rsidRPr="00F94B27" w:rsidR="00F94B27">
              <w:rPr>
                <w:b/>
                <w:lang w:val="de-DE"/>
              </w:rPr>
              <w:t>[</w:t>
            </w:r>
            <w:r w:rsidRPr="0036353B">
              <w:rPr>
                <w:lang w:val="de-DE"/>
              </w:rPr>
              <w:t xml:space="preserve">entspricht der Zinssatz mindestens dem </w:t>
            </w:r>
            <w:r w:rsidRPr="00F94B27" w:rsidR="00F94B27">
              <w:rPr>
                <w:b/>
                <w:lang w:val="de-DE"/>
              </w:rPr>
              <w:t>[</w:t>
            </w:r>
            <w:r w:rsidRPr="0036353B">
              <w:rPr>
                <w:lang w:val="de-DE"/>
              </w:rPr>
              <w:t>jeweiligen</w:t>
            </w:r>
            <w:r w:rsidRPr="00F94B27" w:rsidR="00F94B27">
              <w:rPr>
                <w:b/>
                <w:lang w:val="de-DE"/>
              </w:rPr>
              <w:t>]</w:t>
            </w:r>
            <w:r w:rsidRPr="0036353B">
              <w:rPr>
                <w:lang w:val="de-DE"/>
              </w:rPr>
              <w:t xml:space="preserve"> Mindestzinssatz</w:t>
            </w:r>
            <w:r w:rsidRPr="00F94B27" w:rsidR="00F94B27">
              <w:rPr>
                <w:b/>
                <w:lang w:val="de-DE"/>
              </w:rPr>
              <w:t>]</w:t>
            </w:r>
            <w:r w:rsidRPr="0036353B">
              <w:rPr>
                <w:lang w:val="de-DE"/>
              </w:rPr>
              <w:t xml:space="preserve"> </w:t>
            </w:r>
            <w:r w:rsidRPr="00F94B27" w:rsidR="00F94B27">
              <w:rPr>
                <w:b/>
                <w:lang w:val="de-DE"/>
              </w:rPr>
              <w:t>[</w:t>
            </w:r>
            <w:r w:rsidRPr="0036353B">
              <w:rPr>
                <w:lang w:val="de-DE"/>
              </w:rPr>
              <w:t xml:space="preserve">wird der Zinssatz nicht höher als der </w:t>
            </w:r>
            <w:r w:rsidRPr="00F94B27" w:rsidR="00F94B27">
              <w:rPr>
                <w:b/>
                <w:lang w:val="de-DE"/>
              </w:rPr>
              <w:t>[</w:t>
            </w:r>
            <w:r w:rsidRPr="0036353B">
              <w:rPr>
                <w:lang w:val="de-DE"/>
              </w:rPr>
              <w:t>jeweilige</w:t>
            </w:r>
            <w:r w:rsidRPr="00F94B27" w:rsidR="00F94B27">
              <w:rPr>
                <w:b/>
                <w:lang w:val="de-DE"/>
              </w:rPr>
              <w:t>]</w:t>
            </w:r>
            <w:r w:rsidRPr="0036353B">
              <w:rPr>
                <w:lang w:val="de-DE"/>
              </w:rPr>
              <w:t xml:space="preserve"> Höchstzinssatz sein</w:t>
            </w:r>
            <w:r w:rsidRPr="00F94B27" w:rsidR="00F94B27">
              <w:rPr>
                <w:b/>
                <w:lang w:val="de-DE"/>
              </w:rPr>
              <w:t>]</w:t>
            </w:r>
            <w:r w:rsidRPr="0036353B">
              <w:rPr>
                <w:lang w:val="de-DE"/>
              </w:rPr>
              <w:t xml:space="preserve"> </w:t>
            </w:r>
            <w:r w:rsidRPr="00F94B27" w:rsidR="00F94B27">
              <w:rPr>
                <w:b/>
                <w:lang w:val="de-DE"/>
              </w:rPr>
              <w:t>[</w:t>
            </w:r>
            <w:r w:rsidRPr="0036353B">
              <w:rPr>
                <w:lang w:val="de-DE"/>
              </w:rPr>
              <w:t xml:space="preserve">entspricht der Zinssatz mindestens dem </w:t>
            </w:r>
            <w:r w:rsidRPr="00F94B27" w:rsidR="00F94B27">
              <w:rPr>
                <w:b/>
                <w:lang w:val="de-DE"/>
              </w:rPr>
              <w:t>[</w:t>
            </w:r>
            <w:r w:rsidRPr="0036353B">
              <w:rPr>
                <w:lang w:val="de-DE"/>
              </w:rPr>
              <w:t>jeweiligen</w:t>
            </w:r>
            <w:r w:rsidRPr="00F94B27" w:rsidR="00F94B27">
              <w:rPr>
                <w:b/>
                <w:lang w:val="de-DE"/>
              </w:rPr>
              <w:t>]</w:t>
            </w:r>
            <w:r w:rsidRPr="0036353B">
              <w:rPr>
                <w:lang w:val="de-DE"/>
              </w:rPr>
              <w:t xml:space="preserve"> Mindestzinssatz, wird aber nicht höher als der </w:t>
            </w:r>
            <w:r w:rsidRPr="00F94B27" w:rsidR="00F94B27">
              <w:rPr>
                <w:b/>
                <w:lang w:val="de-DE"/>
              </w:rPr>
              <w:t>[</w:t>
            </w:r>
            <w:r w:rsidRPr="0036353B">
              <w:rPr>
                <w:lang w:val="de-DE"/>
              </w:rPr>
              <w:t>jeweilige</w:t>
            </w:r>
            <w:r w:rsidRPr="00F94B27" w:rsidR="00F94B27">
              <w:rPr>
                <w:b/>
                <w:lang w:val="de-DE"/>
              </w:rPr>
              <w:t>]</w:t>
            </w:r>
            <w:r w:rsidRPr="0036353B">
              <w:rPr>
                <w:lang w:val="de-DE"/>
              </w:rPr>
              <w:t xml:space="preserve"> Höchstzinssatz sein</w:t>
            </w:r>
            <w:r w:rsidRPr="00F94B27" w:rsidR="00F94B27">
              <w:rPr>
                <w:b/>
                <w:lang w:val="de-DE"/>
              </w:rPr>
              <w:t>]</w:t>
            </w:r>
            <w:r w:rsidRPr="0036353B">
              <w:rPr>
                <w:lang w:val="de-DE"/>
              </w:rPr>
              <w:t>.</w:t>
            </w:r>
            <w:r w:rsidRPr="00F94B27" w:rsidR="00F94B27">
              <w:rPr>
                <w:b/>
                <w:lang w:val="de-DE"/>
              </w:rPr>
              <w:t>[</w:t>
            </w:r>
            <w:r w:rsidRPr="0036353B">
              <w:rPr>
                <w:b/>
                <w:i/>
                <w:lang w:val="de-DE"/>
              </w:rPr>
              <w:t>bei Komplexen Produkten mit Mindestzinssatz und Höchstzinssatz, die die Anwendung der Partizipation vorsehen:</w:t>
            </w:r>
            <w:r w:rsidRPr="0036353B">
              <w:rPr>
                <w:lang w:val="de-DE"/>
              </w:rPr>
              <w:t xml:space="preserve"> Darüber hinaus wird für die Berechnung des anwendbaren Zinssatzes die Partizipation, bei der es sich um einen Multiplikator handelt, angewendet.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36353B" w:rsidRPr="00AB16EC" w:rsidP="0036353B">
            <w:pPr>
              <w:pStyle w:val="CSbody0bolditalic"/>
              <w:rPr>
                <w:lang w:val="en-GB"/>
              </w:rPr>
            </w:pPr>
            <w:r w:rsidRPr="00F94B27">
              <w:rPr>
                <w:lang w:val="en-GB"/>
              </w:rPr>
              <w:t>[</w:t>
            </w:r>
            <w:r w:rsidRPr="00AB16EC">
              <w:rPr>
                <w:lang w:val="en-GB"/>
              </w:rPr>
              <w:t>in case of Fixed to Floating Rate Notes:</w:t>
            </w:r>
          </w:p>
        </w:tc>
        <w:tc>
          <w:tcPr>
            <w:tcW w:w="2466" w:type="pct"/>
            <w:gridSpan w:val="14"/>
            <w:tcBorders>
              <w:left w:val="single" w:sz="4" w:space="0" w:color="auto"/>
            </w:tcBorders>
          </w:tcPr>
          <w:p w:rsidR="0036353B" w:rsidRPr="00AB16EC" w:rsidP="0036353B">
            <w:pPr>
              <w:pStyle w:val="CSbody0bolditalic"/>
              <w:rPr>
                <w:lang w:val="en-GB"/>
              </w:rPr>
            </w:pPr>
            <w:r w:rsidRPr="00F94B27">
              <w:rPr>
                <w:lang w:val="en-GB"/>
              </w:rPr>
              <w:t>[</w:t>
            </w:r>
            <w:r w:rsidRPr="00AB16EC">
              <w:rPr>
                <w:lang w:val="en-GB"/>
              </w:rPr>
              <w:t>bei Fixed to Floating Rate Notes:</w:t>
            </w:r>
          </w:p>
        </w:tc>
      </w:tr>
      <w:tr w:rsidTr="00942F00">
        <w:tblPrEx>
          <w:tblW w:w="5000" w:type="pct"/>
          <w:tblLayout w:type="fixed"/>
          <w:tblLook w:val="04A0"/>
        </w:tblPrEx>
        <w:tc>
          <w:tcPr>
            <w:tcW w:w="2534" w:type="pct"/>
            <w:gridSpan w:val="14"/>
            <w:tcBorders>
              <w:right w:val="single" w:sz="4" w:space="0" w:color="auto"/>
            </w:tcBorders>
          </w:tcPr>
          <w:p w:rsidR="0036353B" w:rsidRPr="006B3331" w:rsidP="0036353B">
            <w:pPr>
              <w:pStyle w:val="CSBody0"/>
            </w:pPr>
            <w:r w:rsidRPr="006B3331">
              <w:t xml:space="preserve">In case of Fixed to Floating Rate Notes, the Interest Rate on the basis of which the Interest Payment Amounts are calculated will be equal to a fixed rate per annum for the </w:t>
            </w:r>
            <w:r w:rsidRPr="00F94B27" w:rsidR="00F94B27">
              <w:rPr>
                <w:b/>
              </w:rPr>
              <w:t>[</w:t>
            </w:r>
            <w:r w:rsidRPr="006B3331">
              <w:t>first</w:t>
            </w:r>
            <w:r w:rsidRPr="00F94B27" w:rsidR="00F94B27">
              <w:rPr>
                <w:b/>
              </w:rPr>
              <w:t>]</w:t>
            </w:r>
            <w:r w:rsidRPr="006B3331">
              <w:t xml:space="preserve"> </w:t>
            </w:r>
            <w:r w:rsidRPr="00F94B27" w:rsidR="00F94B27">
              <w:rPr>
                <w:b/>
              </w:rPr>
              <w:t>[</w:t>
            </w:r>
            <w:r w:rsidRPr="006B3331">
              <w:t xml:space="preserve">first </w:t>
            </w:r>
            <w:r w:rsidRPr="00F94B27" w:rsidR="00F94B27">
              <w:rPr>
                <w:b/>
              </w:rPr>
              <w:t>[</w:t>
            </w:r>
            <w:r w:rsidRPr="0036353B">
              <w:rPr>
                <w:b/>
                <w:i/>
              </w:rPr>
              <w:t>insert number of Interest Payment Dates, on which a fixed rate per annum is applicable:</w:t>
            </w:r>
            <w:r w:rsidRPr="006B3331">
              <w:t xml:space="preserve"> </w:t>
            </w:r>
            <w:r w:rsidRPr="00F94B27" w:rsidR="00F94B27">
              <w:rPr>
                <w:b/>
              </w:rPr>
              <w:t>[</w:t>
            </w:r>
            <w:r w:rsidR="003857E8">
              <w:rPr>
                <w:rFonts w:ascii="Arial" w:hAnsi="Arial" w:cs="Arial"/>
              </w:rPr>
              <w:t>●</w:t>
            </w:r>
            <w:r w:rsidRPr="00F94B27" w:rsidR="00F94B27">
              <w:rPr>
                <w:b/>
              </w:rPr>
              <w:t>]]</w:t>
            </w:r>
            <w:r w:rsidRPr="006B3331">
              <w:t xml:space="preserve"> Interest Payment Date</w:t>
            </w:r>
            <w:r w:rsidRPr="00F94B27" w:rsidR="00F94B27">
              <w:rPr>
                <w:b/>
              </w:rPr>
              <w:t>[</w:t>
            </w:r>
            <w:r w:rsidRPr="006B3331">
              <w:t>s</w:t>
            </w:r>
            <w:r w:rsidRPr="00F94B27" w:rsidR="00F94B27">
              <w:rPr>
                <w:b/>
              </w:rPr>
              <w:t>]</w:t>
            </w:r>
            <w:r w:rsidRPr="006B3331">
              <w:t xml:space="preserve">. For the calculation of the Interest Payment Amount on the </w:t>
            </w:r>
            <w:r w:rsidRPr="00F94B27" w:rsidR="00F94B27">
              <w:rPr>
                <w:b/>
              </w:rPr>
              <w:t>[</w:t>
            </w:r>
            <w:r w:rsidRPr="0036353B">
              <w:rPr>
                <w:b/>
                <w:i/>
              </w:rPr>
              <w:t>insert number of Interest Payment Date, on which the Interest Rate will be switched from a fixed to a variable rate per annum:</w:t>
            </w:r>
            <w:r w:rsidRPr="006B3331">
              <w:t xml:space="preserve"> </w:t>
            </w:r>
            <w:r w:rsidRPr="00F94B27" w:rsidR="00F94B27">
              <w:rPr>
                <w:b/>
              </w:rPr>
              <w:t>[</w:t>
            </w:r>
            <w:r w:rsidR="003857E8">
              <w:rPr>
                <w:rFonts w:ascii="Arial" w:hAnsi="Arial" w:cs="Arial"/>
              </w:rPr>
              <w:t>●</w:t>
            </w:r>
            <w:r w:rsidRPr="00F94B27" w:rsidR="00F94B27">
              <w:rPr>
                <w:b/>
              </w:rPr>
              <w:t>]]</w:t>
            </w:r>
            <w:r w:rsidRPr="006B3331">
              <w:t xml:space="preserve"> Interest Payment Date </w:t>
            </w:r>
            <w:r w:rsidRPr="00F94B27" w:rsidR="00F94B27">
              <w:rPr>
                <w:b/>
              </w:rPr>
              <w:t>[</w:t>
            </w:r>
            <w:r w:rsidRPr="006B3331">
              <w:t>and any following Interest Payment Date</w:t>
            </w:r>
            <w:r w:rsidRPr="00F94B27" w:rsidR="00F94B27">
              <w:rPr>
                <w:b/>
              </w:rPr>
              <w:t>]</w:t>
            </w:r>
            <w:r w:rsidRPr="006B3331">
              <w:t xml:space="preserve"> the fixed Interest Rate used for the calculation of the Interest Payment Amount on the previous Interest Payment Date will be switched to a variable Interest Rate. On </w:t>
            </w:r>
            <w:r w:rsidRPr="00F94B27" w:rsidR="00F94B27">
              <w:rPr>
                <w:b/>
              </w:rPr>
              <w:t>[</w:t>
            </w:r>
            <w:r w:rsidRPr="006B3331">
              <w:t>the</w:t>
            </w:r>
            <w:r w:rsidRPr="00F94B27" w:rsidR="00F94B27">
              <w:rPr>
                <w:b/>
              </w:rPr>
              <w:t>][</w:t>
            </w:r>
            <w:r w:rsidRPr="006B3331">
              <w:t>each</w:t>
            </w:r>
            <w:r w:rsidRPr="00F94B27" w:rsidR="00F94B27">
              <w:rPr>
                <w:b/>
              </w:rPr>
              <w:t>]</w:t>
            </w:r>
            <w:r w:rsidRPr="006B3331">
              <w:t xml:space="preserve"> Interest Payment Date, on which a variable Interest Rate is applicable, such variable rate will be equal to the </w:t>
            </w:r>
            <w:r w:rsidRPr="00F94B27" w:rsidR="00F94B27">
              <w:rPr>
                <w:b/>
              </w:rPr>
              <w:t>[</w:t>
            </w:r>
            <w:r w:rsidRPr="006B3331">
              <w:t>Reference Rate (</w:t>
            </w:r>
            <w:r w:rsidRPr="007E3558" w:rsidR="007E3558">
              <w:rPr>
                <w:i/>
              </w:rPr>
              <w:t>i.e.</w:t>
            </w:r>
            <w:r w:rsidRPr="006B3331">
              <w:t xml:space="preserve">, a variable rate of interest) on the </w:t>
            </w:r>
            <w:r w:rsidRPr="00F94B27" w:rsidR="00F94B27">
              <w:rPr>
                <w:b/>
              </w:rPr>
              <w:t>[</w:t>
            </w:r>
            <w:r w:rsidRPr="006B3331">
              <w:t>relevant</w:t>
            </w:r>
            <w:r w:rsidRPr="00F94B27" w:rsidR="00F94B27">
              <w:rPr>
                <w:b/>
              </w:rPr>
              <w:t>]</w:t>
            </w:r>
            <w:r w:rsidRPr="006B3331">
              <w:t xml:space="preserve"> Interest Determination Date</w:t>
            </w:r>
            <w:r w:rsidRPr="00F94B27" w:rsidR="00F94B27">
              <w:rPr>
                <w:b/>
              </w:rPr>
              <w:t>]</w:t>
            </w:r>
            <w:r w:rsidRPr="006B3331">
              <w:t xml:space="preserve"> </w:t>
            </w:r>
            <w:r w:rsidRPr="00F94B27" w:rsidR="00F94B27">
              <w:rPr>
                <w:b/>
              </w:rPr>
              <w:t>[</w:t>
            </w:r>
            <w:r w:rsidRPr="006B3331">
              <w:t>sum of the Reference Rate (</w:t>
            </w:r>
            <w:r w:rsidRPr="007E3558" w:rsidR="007E3558">
              <w:rPr>
                <w:i/>
              </w:rPr>
              <w:t>i.e.</w:t>
            </w:r>
            <w:r w:rsidRPr="006B3331">
              <w:t xml:space="preserve">, a variable rate of interest) on the </w:t>
            </w:r>
            <w:r w:rsidRPr="00F94B27" w:rsidR="00F94B27">
              <w:rPr>
                <w:b/>
              </w:rPr>
              <w:t>[</w:t>
            </w:r>
            <w:r w:rsidRPr="006B3331">
              <w:t>relevant</w:t>
            </w:r>
            <w:r w:rsidRPr="00F94B27" w:rsidR="00F94B27">
              <w:rPr>
                <w:b/>
              </w:rPr>
              <w:t>]</w:t>
            </w:r>
            <w:r w:rsidRPr="006B3331">
              <w:t xml:space="preserve"> Interest Determination Date and </w:t>
            </w:r>
            <w:r w:rsidRPr="00F94B27" w:rsidR="00F94B27">
              <w:rPr>
                <w:b/>
              </w:rPr>
              <w:t>[</w:t>
            </w:r>
            <w:r w:rsidR="003857E8">
              <w:rPr>
                <w:rFonts w:ascii="Arial" w:hAnsi="Arial" w:cs="Arial"/>
              </w:rPr>
              <w:t>●</w:t>
            </w:r>
            <w:r w:rsidRPr="00F94B27" w:rsidR="00F94B27">
              <w:rPr>
                <w:b/>
              </w:rPr>
              <w:t>]</w:t>
            </w:r>
            <w:r w:rsidRPr="006B3331">
              <w:t>% per annum</w:t>
            </w:r>
            <w:r w:rsidRPr="00F94B27" w:rsidR="00F94B27">
              <w:rPr>
                <w:b/>
              </w:rPr>
              <w:t>]</w:t>
            </w:r>
            <w:r w:rsidRPr="006B3331">
              <w:t xml:space="preserve">. As the Reference Rate is subject to fluctuations, the </w:t>
            </w:r>
            <w:r w:rsidRPr="00F94B27" w:rsidR="00F94B27">
              <w:rPr>
                <w:b/>
              </w:rPr>
              <w:t>[</w:t>
            </w:r>
            <w:r w:rsidRPr="006B3331">
              <w:t>relevant</w:t>
            </w:r>
            <w:r w:rsidRPr="00F94B27" w:rsidR="00F94B27">
              <w:rPr>
                <w:b/>
              </w:rPr>
              <w:t>]</w:t>
            </w:r>
            <w:r w:rsidRPr="006B3331">
              <w:t xml:space="preserve"> Interest Payment Amount payable on </w:t>
            </w:r>
            <w:r w:rsidRPr="00F94B27" w:rsidR="00F94B27">
              <w:rPr>
                <w:b/>
              </w:rPr>
              <w:t>[</w:t>
            </w:r>
            <w:r w:rsidRPr="006B3331">
              <w:t>the</w:t>
            </w:r>
            <w:r w:rsidRPr="00F94B27" w:rsidR="00F94B27">
              <w:rPr>
                <w:b/>
              </w:rPr>
              <w:t>]</w:t>
            </w:r>
            <w:r w:rsidRPr="006B3331">
              <w:t xml:space="preserve"> </w:t>
            </w:r>
            <w:r w:rsidRPr="00F94B27" w:rsidR="00F94B27">
              <w:rPr>
                <w:b/>
              </w:rPr>
              <w:t>[</w:t>
            </w:r>
            <w:r w:rsidRPr="006B3331">
              <w:t>each</w:t>
            </w:r>
            <w:r w:rsidRPr="00F94B27" w:rsidR="00F94B27">
              <w:rPr>
                <w:b/>
              </w:rPr>
              <w:t>]</w:t>
            </w:r>
            <w:r w:rsidRPr="006B3331">
              <w:t xml:space="preserve"> Interest Payment Date, in respect of which a variable rate of interest is applicable, is uncertain and may be substantially lower than the interest payment amounts that would be payable under conventional fixed rate debt securities of the Issuer with a comparable term. </w:t>
            </w:r>
            <w:r w:rsidRPr="00F94B27" w:rsidR="00F94B27">
              <w:rPr>
                <w:b/>
              </w:rPr>
              <w:t>[</w:t>
            </w:r>
            <w:r w:rsidRPr="0036353B">
              <w:rPr>
                <w:b/>
                <w:i/>
              </w:rPr>
              <w:t>in case of Complex Products with Minimum Interest Rate and/or Maximum Interest Rate:</w:t>
            </w:r>
            <w:r w:rsidRPr="006B3331">
              <w:t xml:space="preserve"> In any case, the Interest Rate will </w:t>
            </w:r>
            <w:r w:rsidRPr="00F94B27" w:rsidR="00F94B27">
              <w:rPr>
                <w:b/>
              </w:rPr>
              <w:t>[</w:t>
            </w:r>
            <w:r w:rsidRPr="006B3331">
              <w:t xml:space="preserve">at least be equal to the </w:t>
            </w:r>
            <w:r w:rsidRPr="00F94B27" w:rsidR="00F94B27">
              <w:rPr>
                <w:b/>
              </w:rPr>
              <w:t>[</w:t>
            </w:r>
            <w:r w:rsidRPr="006B3331">
              <w:t>relevant</w:t>
            </w:r>
            <w:r w:rsidRPr="00F94B27" w:rsidR="00F94B27">
              <w:rPr>
                <w:b/>
              </w:rPr>
              <w:t>]</w:t>
            </w:r>
            <w:r w:rsidRPr="006B3331">
              <w:t xml:space="preserve"> Minimum Interest Rate</w:t>
            </w:r>
            <w:r w:rsidRPr="00F94B27" w:rsidR="00F94B27">
              <w:rPr>
                <w:b/>
              </w:rPr>
              <w:t>]</w:t>
            </w:r>
            <w:r w:rsidRPr="006B3331">
              <w:t xml:space="preserve"> </w:t>
            </w:r>
            <w:r w:rsidRPr="00F94B27" w:rsidR="00F94B27">
              <w:rPr>
                <w:b/>
              </w:rPr>
              <w:t>[</w:t>
            </w:r>
            <w:r w:rsidRPr="006B3331">
              <w:t xml:space="preserve">not exceed the </w:t>
            </w:r>
            <w:r w:rsidRPr="00F94B27" w:rsidR="00F94B27">
              <w:rPr>
                <w:b/>
              </w:rPr>
              <w:t>[</w:t>
            </w:r>
            <w:r w:rsidRPr="006B3331">
              <w:t>relevant</w:t>
            </w:r>
            <w:r w:rsidRPr="00F94B27" w:rsidR="00F94B27">
              <w:rPr>
                <w:b/>
              </w:rPr>
              <w:t>]</w:t>
            </w:r>
            <w:r w:rsidRPr="006B3331">
              <w:t xml:space="preserve"> Maximum Interest Rate</w:t>
            </w:r>
            <w:r w:rsidRPr="00F94B27" w:rsidR="00F94B27">
              <w:rPr>
                <w:b/>
              </w:rPr>
              <w:t>]</w:t>
            </w:r>
            <w:r w:rsidRPr="006B3331">
              <w:t xml:space="preserve"> </w:t>
            </w:r>
            <w:r w:rsidRPr="00F94B27" w:rsidR="00F94B27">
              <w:rPr>
                <w:b/>
              </w:rPr>
              <w:t>[</w:t>
            </w:r>
            <w:r w:rsidRPr="006B3331">
              <w:t xml:space="preserve">at least be equal to the </w:t>
            </w:r>
            <w:r w:rsidRPr="00F94B27" w:rsidR="00F94B27">
              <w:rPr>
                <w:b/>
              </w:rPr>
              <w:t>[</w:t>
            </w:r>
            <w:r w:rsidRPr="006B3331">
              <w:t>relevant</w:t>
            </w:r>
            <w:r w:rsidRPr="00F94B27" w:rsidR="00F94B27">
              <w:rPr>
                <w:b/>
              </w:rPr>
              <w:t>]</w:t>
            </w:r>
            <w:r w:rsidRPr="006B3331">
              <w:t xml:space="preserve"> Minimum Interest Rate, but not exceed the </w:t>
            </w:r>
            <w:r w:rsidRPr="00F94B27" w:rsidR="00F94B27">
              <w:rPr>
                <w:b/>
              </w:rPr>
              <w:t>[</w:t>
            </w:r>
            <w:r w:rsidRPr="006B3331">
              <w:t>relevant</w:t>
            </w:r>
            <w:r w:rsidRPr="00F94B27" w:rsidR="00F94B27">
              <w:rPr>
                <w:b/>
              </w:rPr>
              <w:t>]</w:t>
            </w:r>
            <w:r w:rsidRPr="006B3331">
              <w:t xml:space="preserve"> Maximum Interest Rate</w:t>
            </w:r>
            <w:r w:rsidRPr="00F94B27" w:rsidR="00F94B27">
              <w:rPr>
                <w:b/>
              </w:rPr>
              <w:t>]</w:t>
            </w:r>
            <w:r w:rsidRPr="006B3331">
              <w:t>.</w:t>
            </w:r>
            <w:r w:rsidRPr="00F94B27" w:rsidR="00F94B27">
              <w:rPr>
                <w:b/>
              </w:rPr>
              <w:t>]</w:t>
            </w:r>
          </w:p>
        </w:tc>
        <w:tc>
          <w:tcPr>
            <w:tcW w:w="2466" w:type="pct"/>
            <w:gridSpan w:val="14"/>
            <w:tcBorders>
              <w:left w:val="single" w:sz="4" w:space="0" w:color="auto"/>
            </w:tcBorders>
          </w:tcPr>
          <w:p w:rsidR="0036353B" w:rsidRPr="0036353B" w:rsidP="0036353B">
            <w:pPr>
              <w:pStyle w:val="CSBody0"/>
              <w:rPr>
                <w:lang w:val="de-DE"/>
              </w:rPr>
            </w:pPr>
            <w:r w:rsidRPr="0036353B">
              <w:rPr>
                <w:lang w:val="de-DE"/>
              </w:rPr>
              <w:t xml:space="preserve">Bei Fixed to Floating Rate Notes entspricht der Zinssatz, auf dessen Grundlage die Zinszahlungsbeträge berechnet werden, einem Festsatz per annum für </w:t>
            </w:r>
            <w:r w:rsidRPr="00F94B27" w:rsidR="00F94B27">
              <w:rPr>
                <w:b/>
                <w:lang w:val="de-DE"/>
              </w:rPr>
              <w:t>[</w:t>
            </w:r>
            <w:r w:rsidRPr="0036353B">
              <w:rPr>
                <w:lang w:val="de-DE"/>
              </w:rPr>
              <w:t>den ersten</w:t>
            </w:r>
            <w:r w:rsidRPr="00F94B27" w:rsidR="00F94B27">
              <w:rPr>
                <w:b/>
                <w:lang w:val="de-DE"/>
              </w:rPr>
              <w:t>]</w:t>
            </w:r>
            <w:r w:rsidRPr="0036353B">
              <w:rPr>
                <w:lang w:val="de-DE"/>
              </w:rPr>
              <w:t xml:space="preserve"> </w:t>
            </w:r>
            <w:r w:rsidRPr="00F94B27" w:rsidR="00F94B27">
              <w:rPr>
                <w:b/>
                <w:lang w:val="de-DE"/>
              </w:rPr>
              <w:t>[</w:t>
            </w:r>
            <w:r w:rsidRPr="0036353B">
              <w:rPr>
                <w:lang w:val="de-DE"/>
              </w:rPr>
              <w:t xml:space="preserve">die ersten </w:t>
            </w:r>
            <w:r w:rsidRPr="00F94B27" w:rsidR="00F94B27">
              <w:rPr>
                <w:b/>
                <w:lang w:val="de-DE"/>
              </w:rPr>
              <w:t>[</w:t>
            </w:r>
            <w:r w:rsidRPr="0036353B">
              <w:rPr>
                <w:b/>
                <w:i/>
                <w:lang w:val="de-DE"/>
              </w:rPr>
              <w:t>Anzahl der Zinszahlungstage einfügen, an denen ein Festsatz per annum anwendbar ist:</w:t>
            </w:r>
            <w:r w:rsidRPr="0036353B">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36353B">
              <w:rPr>
                <w:lang w:val="de-DE"/>
              </w:rPr>
              <w:t xml:space="preserve"> Zinszahlungstag</w:t>
            </w:r>
            <w:r w:rsidRPr="00F94B27" w:rsidR="00F94B27">
              <w:rPr>
                <w:b/>
                <w:lang w:val="de-DE"/>
              </w:rPr>
              <w:t>[</w:t>
            </w:r>
            <w:r w:rsidRPr="0036353B">
              <w:rPr>
                <w:lang w:val="de-DE"/>
              </w:rPr>
              <w:t>e</w:t>
            </w:r>
            <w:r w:rsidRPr="00F94B27" w:rsidR="00F94B27">
              <w:rPr>
                <w:b/>
                <w:lang w:val="de-DE"/>
              </w:rPr>
              <w:t>]</w:t>
            </w:r>
            <w:r w:rsidRPr="0036353B">
              <w:rPr>
                <w:lang w:val="de-DE"/>
              </w:rPr>
              <w:t xml:space="preserve">. Für die Berechnung des Zinszahlungsbetrags am </w:t>
            </w:r>
            <w:r w:rsidRPr="00F94B27" w:rsidR="00F94B27">
              <w:rPr>
                <w:b/>
                <w:lang w:val="de-DE"/>
              </w:rPr>
              <w:t>[</w:t>
            </w:r>
            <w:r w:rsidRPr="0036353B">
              <w:rPr>
                <w:b/>
                <w:i/>
                <w:lang w:val="de-DE"/>
              </w:rPr>
              <w:t>Zahl des Zinszahlungstags einfügen, an dem der Zinssatz von einem Festsatz zu einem variablen Satz per annum gewechselt wird:</w:t>
            </w:r>
            <w:r w:rsidRPr="0036353B">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36353B">
              <w:rPr>
                <w:lang w:val="de-DE"/>
              </w:rPr>
              <w:t xml:space="preserve"> Zinszahlungstag </w:t>
            </w:r>
            <w:r w:rsidRPr="00F94B27" w:rsidR="00F94B27">
              <w:rPr>
                <w:b/>
                <w:lang w:val="de-DE"/>
              </w:rPr>
              <w:t>[</w:t>
            </w:r>
            <w:r w:rsidRPr="0036353B">
              <w:rPr>
                <w:lang w:val="de-DE"/>
              </w:rPr>
              <w:t>und jeden folgenden Zinszahlungstag</w:t>
            </w:r>
            <w:r w:rsidRPr="00F94B27" w:rsidR="00F94B27">
              <w:rPr>
                <w:b/>
                <w:lang w:val="de-DE"/>
              </w:rPr>
              <w:t>]</w:t>
            </w:r>
            <w:r w:rsidRPr="0036353B">
              <w:rPr>
                <w:lang w:val="de-DE"/>
              </w:rPr>
              <w:t xml:space="preserve"> wird der feste Zinssatz, der für die Berechnung des Zinszahlungsbetrags am vorangegangenen Zinszahlungstag verwendet wurde, auf einen variablen Zinssatz umgestellt. An </w:t>
            </w:r>
            <w:r w:rsidRPr="00F94B27" w:rsidR="00F94B27">
              <w:rPr>
                <w:b/>
                <w:lang w:val="de-DE"/>
              </w:rPr>
              <w:t>[</w:t>
            </w:r>
            <w:r w:rsidRPr="0036353B">
              <w:rPr>
                <w:lang w:val="de-DE"/>
              </w:rPr>
              <w:t>dem</w:t>
            </w:r>
            <w:r w:rsidRPr="00F94B27" w:rsidR="00F94B27">
              <w:rPr>
                <w:b/>
                <w:lang w:val="de-DE"/>
              </w:rPr>
              <w:t>]</w:t>
            </w:r>
            <w:r w:rsidRPr="0036353B">
              <w:rPr>
                <w:lang w:val="de-DE"/>
              </w:rPr>
              <w:t xml:space="preserve"> </w:t>
            </w:r>
            <w:r w:rsidRPr="00F94B27" w:rsidR="00F94B27">
              <w:rPr>
                <w:b/>
                <w:lang w:val="de-DE"/>
              </w:rPr>
              <w:t>[</w:t>
            </w:r>
            <w:r w:rsidRPr="0036353B">
              <w:rPr>
                <w:lang w:val="de-DE"/>
              </w:rPr>
              <w:t>jedem</w:t>
            </w:r>
            <w:r w:rsidRPr="00F94B27" w:rsidR="00F94B27">
              <w:rPr>
                <w:b/>
                <w:lang w:val="de-DE"/>
              </w:rPr>
              <w:t>]</w:t>
            </w:r>
            <w:r w:rsidRPr="0036353B">
              <w:rPr>
                <w:lang w:val="de-DE"/>
              </w:rPr>
              <w:t xml:space="preserve"> Zinszahlungstag, an dem ein variabler Zinssatz Anwendung findet, entspricht dieser variable Zinssatz </w:t>
            </w:r>
            <w:r w:rsidRPr="00F94B27" w:rsidR="00F94B27">
              <w:rPr>
                <w:b/>
                <w:lang w:val="de-DE"/>
              </w:rPr>
              <w:t>[</w:t>
            </w:r>
            <w:r w:rsidRPr="0036353B">
              <w:rPr>
                <w:lang w:val="de-DE"/>
              </w:rPr>
              <w:t xml:space="preserve">dem Referenzsatz (d.h. einem variablen Zinssatz) am </w:t>
            </w:r>
            <w:r w:rsidRPr="00F94B27" w:rsidR="00F94B27">
              <w:rPr>
                <w:b/>
                <w:lang w:val="de-DE"/>
              </w:rPr>
              <w:t>[</w:t>
            </w:r>
            <w:r w:rsidRPr="0036353B">
              <w:rPr>
                <w:lang w:val="de-DE"/>
              </w:rPr>
              <w:t>jeweiligen</w:t>
            </w:r>
            <w:r w:rsidRPr="00F94B27" w:rsidR="00F94B27">
              <w:rPr>
                <w:b/>
                <w:lang w:val="de-DE"/>
              </w:rPr>
              <w:t>]</w:t>
            </w:r>
            <w:r w:rsidRPr="0036353B">
              <w:rPr>
                <w:lang w:val="de-DE"/>
              </w:rPr>
              <w:t xml:space="preserve"> Zinsfeststellungstag</w:t>
            </w:r>
            <w:r w:rsidRPr="00F94B27" w:rsidR="00F94B27">
              <w:rPr>
                <w:b/>
                <w:lang w:val="de-DE"/>
              </w:rPr>
              <w:t>]</w:t>
            </w:r>
            <w:r w:rsidRPr="0036353B">
              <w:rPr>
                <w:lang w:val="de-DE"/>
              </w:rPr>
              <w:t xml:space="preserve"> </w:t>
            </w:r>
            <w:r w:rsidRPr="00F94B27" w:rsidR="00F94B27">
              <w:rPr>
                <w:b/>
                <w:lang w:val="de-DE"/>
              </w:rPr>
              <w:t>[</w:t>
            </w:r>
            <w:r w:rsidRPr="0036353B">
              <w:rPr>
                <w:lang w:val="de-DE"/>
              </w:rPr>
              <w:t xml:space="preserve">der Summe aus dem Referenzsatz (d.h. einem variablen Zinssatz) am </w:t>
            </w:r>
            <w:r w:rsidRPr="00F94B27" w:rsidR="00F94B27">
              <w:rPr>
                <w:b/>
                <w:lang w:val="de-DE"/>
              </w:rPr>
              <w:t>[</w:t>
            </w:r>
            <w:r w:rsidRPr="0036353B">
              <w:rPr>
                <w:lang w:val="de-DE"/>
              </w:rPr>
              <w:t>jeweiligen</w:t>
            </w:r>
            <w:r w:rsidRPr="00F94B27" w:rsidR="00F94B27">
              <w:rPr>
                <w:b/>
                <w:lang w:val="de-DE"/>
              </w:rPr>
              <w:t>]</w:t>
            </w:r>
            <w:r w:rsidRPr="0036353B">
              <w:rPr>
                <w:lang w:val="de-DE"/>
              </w:rPr>
              <w:t xml:space="preserve"> Zinsfeststellungstag und </w:t>
            </w:r>
            <w:r w:rsidRPr="00F94B27" w:rsidR="00F94B27">
              <w:rPr>
                <w:b/>
                <w:lang w:val="de-DE"/>
              </w:rPr>
              <w:t>[</w:t>
            </w:r>
            <w:r w:rsidRPr="00116653" w:rsidR="003857E8">
              <w:rPr>
                <w:rFonts w:ascii="Arial" w:hAnsi="Arial" w:cs="Arial"/>
                <w:lang w:val="de-DE"/>
              </w:rPr>
              <w:t>●</w:t>
            </w:r>
            <w:r w:rsidRPr="00F94B27" w:rsidR="00F94B27">
              <w:rPr>
                <w:b/>
                <w:lang w:val="de-DE"/>
              </w:rPr>
              <w:t>]</w:t>
            </w:r>
            <w:r w:rsidRPr="0036353B">
              <w:rPr>
                <w:lang w:val="de-DE"/>
              </w:rPr>
              <w:t>% per annum</w:t>
            </w:r>
            <w:r w:rsidRPr="00F94B27" w:rsidR="00F94B27">
              <w:rPr>
                <w:b/>
                <w:lang w:val="de-DE"/>
              </w:rPr>
              <w:t>]</w:t>
            </w:r>
            <w:r w:rsidRPr="0036353B">
              <w:rPr>
                <w:lang w:val="de-DE"/>
              </w:rPr>
              <w:t xml:space="preserve">. Da der Referenzsatz Schwankungen unterliegt, ist der </w:t>
            </w:r>
            <w:r w:rsidRPr="00F94B27" w:rsidR="00F94B27">
              <w:rPr>
                <w:b/>
                <w:lang w:val="de-DE"/>
              </w:rPr>
              <w:t>[</w:t>
            </w:r>
            <w:r w:rsidRPr="0036353B">
              <w:rPr>
                <w:lang w:val="de-DE"/>
              </w:rPr>
              <w:t>jeweilige</w:t>
            </w:r>
            <w:r w:rsidRPr="00F94B27" w:rsidR="00F94B27">
              <w:rPr>
                <w:b/>
                <w:lang w:val="de-DE"/>
              </w:rPr>
              <w:t>]</w:t>
            </w:r>
            <w:r w:rsidRPr="0036353B">
              <w:rPr>
                <w:lang w:val="de-DE"/>
              </w:rPr>
              <w:t xml:space="preserve"> Zinszahlungsbetrag, der an </w:t>
            </w:r>
            <w:r w:rsidRPr="00F94B27" w:rsidR="00F94B27">
              <w:rPr>
                <w:b/>
                <w:lang w:val="de-DE"/>
              </w:rPr>
              <w:t>[</w:t>
            </w:r>
            <w:r w:rsidRPr="0036353B">
              <w:rPr>
                <w:lang w:val="de-DE"/>
              </w:rPr>
              <w:t>dem</w:t>
            </w:r>
            <w:r w:rsidRPr="00F94B27" w:rsidR="00F94B27">
              <w:rPr>
                <w:b/>
                <w:lang w:val="de-DE"/>
              </w:rPr>
              <w:t>]</w:t>
            </w:r>
            <w:r w:rsidRPr="0036353B">
              <w:rPr>
                <w:lang w:val="de-DE"/>
              </w:rPr>
              <w:t xml:space="preserve"> </w:t>
            </w:r>
            <w:r w:rsidRPr="00F94B27" w:rsidR="00F94B27">
              <w:rPr>
                <w:b/>
                <w:lang w:val="de-DE"/>
              </w:rPr>
              <w:t>[</w:t>
            </w:r>
            <w:r w:rsidRPr="0036353B">
              <w:rPr>
                <w:lang w:val="de-DE"/>
              </w:rPr>
              <w:t>jedem</w:t>
            </w:r>
            <w:r w:rsidRPr="00F94B27" w:rsidR="00F94B27">
              <w:rPr>
                <w:b/>
                <w:lang w:val="de-DE"/>
              </w:rPr>
              <w:t>]</w:t>
            </w:r>
            <w:r w:rsidRPr="0036353B">
              <w:rPr>
                <w:lang w:val="de-DE"/>
              </w:rPr>
              <w:t xml:space="preserve"> Zinszahlungstag, an dem ein variabler Zinssatz anwendbar ist, zahlbar ist, ungewiss und kann wesentlich niedriger sein als die Zinszahlungsbeträge, die für herkömmliche festverzinsliche Schuldtitel der Emittentin mit vergleichbarer Laufzeit gezahlt würden. </w:t>
            </w:r>
            <w:r w:rsidRPr="00F94B27" w:rsidR="00F94B27">
              <w:rPr>
                <w:b/>
                <w:lang w:val="de-DE"/>
              </w:rPr>
              <w:t>[</w:t>
            </w:r>
            <w:r w:rsidRPr="00BA1EFB">
              <w:rPr>
                <w:b/>
                <w:i/>
                <w:lang w:val="de-DE"/>
              </w:rPr>
              <w:t>bei Komplexen Produkten mit Mindestzinssatz und/oder Höchstzinssatz:</w:t>
            </w:r>
            <w:r w:rsidRPr="0036353B">
              <w:rPr>
                <w:lang w:val="de-DE"/>
              </w:rPr>
              <w:t xml:space="preserve"> In jedem Fall </w:t>
            </w:r>
            <w:r w:rsidRPr="00F94B27" w:rsidR="00F94B27">
              <w:rPr>
                <w:b/>
                <w:lang w:val="de-DE"/>
              </w:rPr>
              <w:t>[</w:t>
            </w:r>
            <w:r w:rsidRPr="0036353B">
              <w:rPr>
                <w:lang w:val="de-DE"/>
              </w:rPr>
              <w:t xml:space="preserve">entspricht der Zinssatz mindestens dem </w:t>
            </w:r>
            <w:r w:rsidRPr="00F94B27" w:rsidR="00F94B27">
              <w:rPr>
                <w:b/>
                <w:lang w:val="de-DE"/>
              </w:rPr>
              <w:t>[</w:t>
            </w:r>
            <w:r w:rsidRPr="0036353B">
              <w:rPr>
                <w:lang w:val="de-DE"/>
              </w:rPr>
              <w:t>jeweiligen</w:t>
            </w:r>
            <w:r w:rsidRPr="00F94B27" w:rsidR="00F94B27">
              <w:rPr>
                <w:b/>
                <w:lang w:val="de-DE"/>
              </w:rPr>
              <w:t>]</w:t>
            </w:r>
            <w:r w:rsidRPr="0036353B">
              <w:rPr>
                <w:lang w:val="de-DE"/>
              </w:rPr>
              <w:t xml:space="preserve"> Mindestszinssatz</w:t>
            </w:r>
            <w:r w:rsidRPr="00F94B27" w:rsidR="00F94B27">
              <w:rPr>
                <w:b/>
                <w:lang w:val="de-DE"/>
              </w:rPr>
              <w:t>]</w:t>
            </w:r>
            <w:r w:rsidRPr="0036353B">
              <w:rPr>
                <w:lang w:val="de-DE"/>
              </w:rPr>
              <w:t xml:space="preserve"> </w:t>
            </w:r>
            <w:r w:rsidRPr="00F94B27" w:rsidR="00F94B27">
              <w:rPr>
                <w:b/>
                <w:lang w:val="de-DE"/>
              </w:rPr>
              <w:t>[</w:t>
            </w:r>
            <w:r w:rsidRPr="0036353B">
              <w:rPr>
                <w:lang w:val="de-DE"/>
              </w:rPr>
              <w:t xml:space="preserve">wird der Zinssatz nicht höher als der </w:t>
            </w:r>
            <w:r w:rsidRPr="00F94B27" w:rsidR="00F94B27">
              <w:rPr>
                <w:b/>
                <w:lang w:val="de-DE"/>
              </w:rPr>
              <w:t>[</w:t>
            </w:r>
            <w:r w:rsidRPr="0036353B">
              <w:rPr>
                <w:lang w:val="de-DE"/>
              </w:rPr>
              <w:t>jeweilige</w:t>
            </w:r>
            <w:r w:rsidRPr="00F94B27" w:rsidR="00F94B27">
              <w:rPr>
                <w:b/>
                <w:lang w:val="de-DE"/>
              </w:rPr>
              <w:t>]</w:t>
            </w:r>
            <w:r w:rsidRPr="0036353B">
              <w:rPr>
                <w:lang w:val="de-DE"/>
              </w:rPr>
              <w:t xml:space="preserve"> Höchstzinssatz sein</w:t>
            </w:r>
            <w:r w:rsidRPr="00F94B27" w:rsidR="00F94B27">
              <w:rPr>
                <w:b/>
                <w:lang w:val="de-DE"/>
              </w:rPr>
              <w:t>]</w:t>
            </w:r>
            <w:r w:rsidRPr="0036353B">
              <w:rPr>
                <w:lang w:val="de-DE"/>
              </w:rPr>
              <w:t xml:space="preserve"> </w:t>
            </w:r>
            <w:r w:rsidRPr="00F94B27" w:rsidR="00F94B27">
              <w:rPr>
                <w:b/>
                <w:lang w:val="de-DE"/>
              </w:rPr>
              <w:t>[</w:t>
            </w:r>
            <w:r w:rsidRPr="0036353B">
              <w:rPr>
                <w:lang w:val="de-DE"/>
              </w:rPr>
              <w:t xml:space="preserve">entspricht der Zinssatz mindestens dem </w:t>
            </w:r>
            <w:r w:rsidRPr="00F94B27" w:rsidR="00F94B27">
              <w:rPr>
                <w:b/>
                <w:lang w:val="de-DE"/>
              </w:rPr>
              <w:t>[</w:t>
            </w:r>
            <w:r w:rsidRPr="0036353B">
              <w:rPr>
                <w:lang w:val="de-DE"/>
              </w:rPr>
              <w:t>jeweiligen</w:t>
            </w:r>
            <w:r w:rsidRPr="00F94B27" w:rsidR="00F94B27">
              <w:rPr>
                <w:b/>
                <w:lang w:val="de-DE"/>
              </w:rPr>
              <w:t>]</w:t>
            </w:r>
            <w:r w:rsidRPr="0036353B">
              <w:rPr>
                <w:lang w:val="de-DE"/>
              </w:rPr>
              <w:t xml:space="preserve"> Mindestzinssatz, wird aber nicht höher als der </w:t>
            </w:r>
            <w:r w:rsidRPr="00F94B27" w:rsidR="00F94B27">
              <w:rPr>
                <w:b/>
                <w:lang w:val="de-DE"/>
              </w:rPr>
              <w:t>[</w:t>
            </w:r>
            <w:r w:rsidRPr="0036353B">
              <w:rPr>
                <w:lang w:val="de-DE"/>
              </w:rPr>
              <w:t>jeweilige</w:t>
            </w:r>
            <w:r w:rsidRPr="00F94B27" w:rsidR="00F94B27">
              <w:rPr>
                <w:b/>
                <w:lang w:val="de-DE"/>
              </w:rPr>
              <w:t>]</w:t>
            </w:r>
            <w:r w:rsidRPr="0036353B">
              <w:rPr>
                <w:lang w:val="de-DE"/>
              </w:rPr>
              <w:t xml:space="preserve"> Höchstzinssatz sein</w:t>
            </w:r>
            <w:r w:rsidRPr="00F94B27" w:rsidR="00F94B27">
              <w:rPr>
                <w:b/>
                <w:lang w:val="de-DE"/>
              </w:rPr>
              <w:t>]</w:t>
            </w:r>
            <w:r w:rsidRPr="0036353B">
              <w:rPr>
                <w:lang w:val="de-DE"/>
              </w:rPr>
              <w: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BA1EFB" w:rsidRPr="00AB16EC" w:rsidP="00BA1EFB">
            <w:pPr>
              <w:pStyle w:val="CSbody0bolditalic"/>
              <w:rPr>
                <w:lang w:val="en-GB"/>
              </w:rPr>
            </w:pPr>
            <w:r w:rsidRPr="00F94B27">
              <w:rPr>
                <w:lang w:val="en-GB"/>
              </w:rPr>
              <w:t>[</w:t>
            </w:r>
            <w:r w:rsidRPr="00AB16EC">
              <w:rPr>
                <w:lang w:val="en-GB"/>
              </w:rPr>
              <w:t>in case of Cumulative Reverse Floater Notes:</w:t>
            </w:r>
          </w:p>
        </w:tc>
        <w:tc>
          <w:tcPr>
            <w:tcW w:w="2466" w:type="pct"/>
            <w:gridSpan w:val="14"/>
            <w:tcBorders>
              <w:left w:val="single" w:sz="4" w:space="0" w:color="auto"/>
            </w:tcBorders>
          </w:tcPr>
          <w:p w:rsidR="00BA1EFB" w:rsidRPr="004A7124" w:rsidP="00BA1EFB">
            <w:pPr>
              <w:pStyle w:val="CSbody0bolditalic"/>
            </w:pPr>
            <w:r w:rsidRPr="00F94B27">
              <w:t>[</w:t>
            </w:r>
            <w:r w:rsidRPr="004A7124">
              <w:t>bei Cumulative Reverse Floater Notes:</w:t>
            </w:r>
          </w:p>
        </w:tc>
      </w:tr>
      <w:tr w:rsidTr="00942F00">
        <w:tblPrEx>
          <w:tblW w:w="5000" w:type="pct"/>
          <w:tblLayout w:type="fixed"/>
          <w:tblLook w:val="04A0"/>
        </w:tblPrEx>
        <w:tc>
          <w:tcPr>
            <w:tcW w:w="2534" w:type="pct"/>
            <w:gridSpan w:val="14"/>
            <w:tcBorders>
              <w:right w:val="single" w:sz="4" w:space="0" w:color="auto"/>
            </w:tcBorders>
          </w:tcPr>
          <w:p w:rsidR="00BA1EFB" w:rsidRPr="004A7124" w:rsidP="00BA1EFB">
            <w:pPr>
              <w:pStyle w:val="CSBody0"/>
            </w:pPr>
            <w:r w:rsidRPr="004A7124">
              <w:t xml:space="preserve">In case of Cumulative Reverse Floater Notes, the Interest Rate on the basis of which the Interest Payment Amounts will be calculated will be equal to a fixed rate per annum for the </w:t>
            </w:r>
            <w:r w:rsidRPr="00F94B27" w:rsidR="00F94B27">
              <w:rPr>
                <w:b/>
              </w:rPr>
              <w:t>[</w:t>
            </w:r>
            <w:r w:rsidRPr="004A7124">
              <w:t>first</w:t>
            </w:r>
            <w:r w:rsidRPr="00F94B27" w:rsidR="00F94B27">
              <w:rPr>
                <w:b/>
              </w:rPr>
              <w:t>]</w:t>
            </w:r>
            <w:r w:rsidRPr="004A7124">
              <w:t xml:space="preserve"> </w:t>
            </w:r>
            <w:r w:rsidRPr="00F94B27" w:rsidR="00F94B27">
              <w:rPr>
                <w:b/>
              </w:rPr>
              <w:t>[</w:t>
            </w:r>
            <w:r w:rsidRPr="004A7124">
              <w:t xml:space="preserve">first </w:t>
            </w:r>
            <w:r w:rsidRPr="00F94B27" w:rsidR="00F94B27">
              <w:rPr>
                <w:b/>
              </w:rPr>
              <w:t>[</w:t>
            </w:r>
            <w:r w:rsidRPr="00BA1EFB">
              <w:rPr>
                <w:b/>
                <w:i/>
              </w:rPr>
              <w:t>insert number of Interest Payment Dates, on which a fixed rate per annum is applicable:</w:t>
            </w:r>
            <w:r w:rsidRPr="004A7124">
              <w:t xml:space="preserve"> </w:t>
            </w:r>
            <w:r w:rsidRPr="00F94B27" w:rsidR="00F94B27">
              <w:rPr>
                <w:b/>
              </w:rPr>
              <w:t>[</w:t>
            </w:r>
            <w:r w:rsidR="003857E8">
              <w:rPr>
                <w:rFonts w:ascii="Arial" w:hAnsi="Arial" w:cs="Arial"/>
              </w:rPr>
              <w:t>●</w:t>
            </w:r>
            <w:r w:rsidRPr="00F94B27" w:rsidR="00F94B27">
              <w:rPr>
                <w:b/>
              </w:rPr>
              <w:t>]]</w:t>
            </w:r>
            <w:r w:rsidRPr="004A7124">
              <w:t xml:space="preserve"> Interest Payment Date</w:t>
            </w:r>
            <w:r w:rsidRPr="00F94B27" w:rsidR="00F94B27">
              <w:rPr>
                <w:b/>
              </w:rPr>
              <w:t>[</w:t>
            </w:r>
            <w:r w:rsidRPr="004A7124">
              <w:t>s</w:t>
            </w:r>
            <w:r w:rsidRPr="00F94B27" w:rsidR="00F94B27">
              <w:rPr>
                <w:b/>
              </w:rPr>
              <w:t>]</w:t>
            </w:r>
            <w:r w:rsidRPr="004A7124">
              <w:t xml:space="preserve">. For the calculation of the Interest Payment Amount on the </w:t>
            </w:r>
            <w:r w:rsidRPr="00F94B27" w:rsidR="00F94B27">
              <w:rPr>
                <w:b/>
              </w:rPr>
              <w:t>[</w:t>
            </w:r>
            <w:r w:rsidRPr="00BA1EFB">
              <w:rPr>
                <w:b/>
                <w:i/>
              </w:rPr>
              <w:t>insert number of Interest Payment Date, from which the Interest Rate will be a variable rate per annum:</w:t>
            </w:r>
            <w:r w:rsidRPr="004A7124">
              <w:t xml:space="preserve"> </w:t>
            </w:r>
            <w:r w:rsidRPr="00F94B27" w:rsidR="00F94B27">
              <w:rPr>
                <w:b/>
              </w:rPr>
              <w:t>[</w:t>
            </w:r>
            <w:r w:rsidR="003857E8">
              <w:rPr>
                <w:rFonts w:ascii="Arial" w:hAnsi="Arial" w:cs="Arial"/>
              </w:rPr>
              <w:t>●</w:t>
            </w:r>
            <w:r w:rsidRPr="00F94B27" w:rsidR="00F94B27">
              <w:rPr>
                <w:b/>
              </w:rPr>
              <w:t>]]</w:t>
            </w:r>
            <w:r w:rsidRPr="004A7124">
              <w:t xml:space="preserve"> Interest Payment Date </w:t>
            </w:r>
            <w:r w:rsidRPr="00F94B27" w:rsidR="00F94B27">
              <w:rPr>
                <w:b/>
              </w:rPr>
              <w:t>[</w:t>
            </w:r>
            <w:r w:rsidRPr="004A7124">
              <w:t>and any following Interest Payment Date</w:t>
            </w:r>
            <w:r w:rsidRPr="00F94B27" w:rsidR="00F94B27">
              <w:rPr>
                <w:b/>
              </w:rPr>
              <w:t>]</w:t>
            </w:r>
            <w:r w:rsidRPr="004A7124">
              <w:t xml:space="preserve"> the Interest Payment Amount</w:t>
            </w:r>
            <w:r w:rsidRPr="00F94B27" w:rsidR="00F94B27">
              <w:rPr>
                <w:b/>
              </w:rPr>
              <w:t>[</w:t>
            </w:r>
            <w:r w:rsidRPr="004A7124">
              <w:t>s</w:t>
            </w:r>
            <w:r w:rsidRPr="00F94B27" w:rsidR="00F94B27">
              <w:rPr>
                <w:b/>
              </w:rPr>
              <w:t>]</w:t>
            </w:r>
            <w:r w:rsidRPr="004A7124">
              <w:t xml:space="preserve"> will be calculated on the basis of a variable Interest Rate. Such variable Interest Rate applicable on the </w:t>
            </w:r>
            <w:r w:rsidRPr="00F94B27" w:rsidR="00F94B27">
              <w:rPr>
                <w:b/>
              </w:rPr>
              <w:t>[</w:t>
            </w:r>
            <w:r w:rsidRPr="004A7124">
              <w:t>relevant</w:t>
            </w:r>
            <w:r w:rsidRPr="00F94B27" w:rsidR="00F94B27">
              <w:rPr>
                <w:b/>
              </w:rPr>
              <w:t>]</w:t>
            </w:r>
            <w:r w:rsidRPr="004A7124">
              <w:t xml:space="preserve"> Interest Payment Date will be equal to the sum of (i) the Interest Rate applicable to the immediately preceding Interest Payment Date, and (ii) the relevant Spread Rate (</w:t>
            </w:r>
            <w:r w:rsidRPr="007E3558" w:rsidR="007E3558">
              <w:rPr>
                <w:i/>
              </w:rPr>
              <w:t>i.e.</w:t>
            </w:r>
            <w:r w:rsidRPr="004A7124">
              <w:t xml:space="preserve">, a fixed rate per annum) less (iii) the </w:t>
            </w:r>
            <w:r w:rsidRPr="00F94B27" w:rsidR="00F94B27">
              <w:rPr>
                <w:b/>
              </w:rPr>
              <w:t>[</w:t>
            </w:r>
            <w:r w:rsidRPr="004A7124">
              <w:t>value of the Reference Rate (</w:t>
            </w:r>
            <w:r w:rsidRPr="007E3558" w:rsidR="007E3558">
              <w:rPr>
                <w:i/>
              </w:rPr>
              <w:t>i.e.</w:t>
            </w:r>
            <w:r w:rsidRPr="004A7124">
              <w:t xml:space="preserve">, a variable rate of interest) on the </w:t>
            </w:r>
            <w:r w:rsidRPr="00F94B27" w:rsidR="00F94B27">
              <w:rPr>
                <w:b/>
              </w:rPr>
              <w:t>[</w:t>
            </w:r>
            <w:r w:rsidRPr="004A7124">
              <w:t>relevant</w:t>
            </w:r>
            <w:r w:rsidRPr="00F94B27" w:rsidR="00F94B27">
              <w:rPr>
                <w:b/>
              </w:rPr>
              <w:t>]</w:t>
            </w:r>
            <w:r w:rsidRPr="004A7124">
              <w:t xml:space="preserve"> Interest Determination Date</w:t>
            </w:r>
            <w:r w:rsidRPr="00F94B27" w:rsidR="00F94B27">
              <w:rPr>
                <w:b/>
              </w:rPr>
              <w:t>]</w:t>
            </w:r>
            <w:r w:rsidRPr="004A7124">
              <w:t xml:space="preserve"> </w:t>
            </w:r>
            <w:r w:rsidRPr="00F94B27" w:rsidR="00F94B27">
              <w:rPr>
                <w:b/>
              </w:rPr>
              <w:t>[</w:t>
            </w:r>
            <w:r w:rsidRPr="004A7124">
              <w:t>sum of the Reference Rate (</w:t>
            </w:r>
            <w:r w:rsidRPr="007E3558" w:rsidR="007E3558">
              <w:rPr>
                <w:i/>
              </w:rPr>
              <w:t>i.e.</w:t>
            </w:r>
            <w:r w:rsidRPr="004A7124">
              <w:t xml:space="preserve">, a variable rate of interest) on the </w:t>
            </w:r>
            <w:r w:rsidRPr="00F94B27" w:rsidR="00F94B27">
              <w:rPr>
                <w:b/>
              </w:rPr>
              <w:t>[</w:t>
            </w:r>
            <w:r w:rsidRPr="004A7124">
              <w:t>relevant</w:t>
            </w:r>
            <w:r w:rsidRPr="00F94B27" w:rsidR="00F94B27">
              <w:rPr>
                <w:b/>
              </w:rPr>
              <w:t>]</w:t>
            </w:r>
            <w:r w:rsidRPr="004A7124">
              <w:t xml:space="preserve"> Interest Determination Date and </w:t>
            </w:r>
            <w:r w:rsidRPr="00F94B27" w:rsidR="00F94B27">
              <w:rPr>
                <w:b/>
              </w:rPr>
              <w:t>[</w:t>
            </w:r>
            <w:r w:rsidR="003857E8">
              <w:rPr>
                <w:rFonts w:ascii="Arial" w:hAnsi="Arial" w:cs="Arial"/>
              </w:rPr>
              <w:t>●</w:t>
            </w:r>
            <w:r w:rsidRPr="00F94B27" w:rsidR="00F94B27">
              <w:rPr>
                <w:b/>
              </w:rPr>
              <w:t>]</w:t>
            </w:r>
            <w:r w:rsidRPr="004A7124">
              <w:t>% per annum</w:t>
            </w:r>
            <w:r w:rsidRPr="00F94B27" w:rsidR="00F94B27">
              <w:rPr>
                <w:b/>
              </w:rPr>
              <w:t>]</w:t>
            </w:r>
            <w:r w:rsidRPr="004A7124">
              <w:t xml:space="preserve">. Consequently, the lower the value of the Reference Rate on the Interest Determination Date </w:t>
            </w:r>
            <w:r w:rsidRPr="00F94B27" w:rsidR="00F94B27">
              <w:rPr>
                <w:b/>
              </w:rPr>
              <w:t>[</w:t>
            </w:r>
            <w:r w:rsidRPr="004A7124">
              <w:t xml:space="preserve">plus </w:t>
            </w:r>
            <w:r w:rsidRPr="00F94B27" w:rsidR="00F94B27">
              <w:rPr>
                <w:b/>
              </w:rPr>
              <w:t>[</w:t>
            </w:r>
            <w:r w:rsidR="003857E8">
              <w:rPr>
                <w:rFonts w:ascii="Arial" w:hAnsi="Arial" w:cs="Arial"/>
              </w:rPr>
              <w:t>●</w:t>
            </w:r>
            <w:r w:rsidRPr="00F94B27" w:rsidR="00F94B27">
              <w:rPr>
                <w:b/>
              </w:rPr>
              <w:t>]</w:t>
            </w:r>
            <w:r w:rsidRPr="004A7124">
              <w:t>% per annum</w:t>
            </w:r>
            <w:r w:rsidRPr="00F94B27" w:rsidR="00F94B27">
              <w:rPr>
                <w:b/>
              </w:rPr>
              <w:t>]</w:t>
            </w:r>
            <w:r w:rsidRPr="004A7124">
              <w:t xml:space="preserve"> is in comparison to the relevant Spread Rate, the higher the applicable Interest Rate and resulting Interest Payment Amount will be. Conversely, the higher the value of the Reference Rate on the Interest Determination Date </w:t>
            </w:r>
            <w:r w:rsidRPr="00F94B27" w:rsidR="00F94B27">
              <w:rPr>
                <w:b/>
              </w:rPr>
              <w:t>[</w:t>
            </w:r>
            <w:r w:rsidRPr="004A7124">
              <w:t xml:space="preserve">plus </w:t>
            </w:r>
            <w:r w:rsidRPr="00F94B27" w:rsidR="00F94B27">
              <w:rPr>
                <w:b/>
              </w:rPr>
              <w:t>[</w:t>
            </w:r>
            <w:r w:rsidR="003857E8">
              <w:rPr>
                <w:rFonts w:ascii="Arial" w:hAnsi="Arial" w:cs="Arial"/>
              </w:rPr>
              <w:t>●</w:t>
            </w:r>
            <w:r w:rsidRPr="00F94B27" w:rsidR="00F94B27">
              <w:rPr>
                <w:b/>
              </w:rPr>
              <w:t>]</w:t>
            </w:r>
            <w:r w:rsidRPr="004A7124">
              <w:t>% per annum</w:t>
            </w:r>
            <w:r w:rsidRPr="00F94B27" w:rsidR="00F94B27">
              <w:rPr>
                <w:b/>
              </w:rPr>
              <w:t>]</w:t>
            </w:r>
            <w:r w:rsidRPr="004A7124">
              <w:t xml:space="preserve"> is in comparison to the relevant Spread Rate, the lower the applicable Interest Rate and resulting Interest Payment Amount will be. If the value of the Reference Rate on </w:t>
            </w:r>
            <w:r w:rsidRPr="00F94B27" w:rsidR="00F94B27">
              <w:rPr>
                <w:b/>
              </w:rPr>
              <w:t>[</w:t>
            </w:r>
            <w:r w:rsidRPr="004A7124">
              <w:t>the</w:t>
            </w:r>
            <w:r w:rsidRPr="00F94B27" w:rsidR="00F94B27">
              <w:rPr>
                <w:b/>
              </w:rPr>
              <w:t>]</w:t>
            </w:r>
            <w:r w:rsidRPr="004A7124">
              <w:t xml:space="preserve"> </w:t>
            </w:r>
            <w:r w:rsidRPr="00F94B27" w:rsidR="00F94B27">
              <w:rPr>
                <w:b/>
              </w:rPr>
              <w:t>[</w:t>
            </w:r>
            <w:r w:rsidRPr="004A7124">
              <w:t>each</w:t>
            </w:r>
            <w:r w:rsidRPr="00F94B27" w:rsidR="00F94B27">
              <w:rPr>
                <w:b/>
              </w:rPr>
              <w:t>]</w:t>
            </w:r>
            <w:r w:rsidRPr="004A7124">
              <w:t xml:space="preserve"> Interest Determination Date </w:t>
            </w:r>
            <w:r w:rsidRPr="00F94B27" w:rsidR="00F94B27">
              <w:rPr>
                <w:b/>
              </w:rPr>
              <w:t>[</w:t>
            </w:r>
            <w:r w:rsidRPr="004A7124">
              <w:t xml:space="preserve">plus </w:t>
            </w:r>
            <w:r w:rsidRPr="00F94B27" w:rsidR="00F94B27">
              <w:rPr>
                <w:b/>
              </w:rPr>
              <w:t>[</w:t>
            </w:r>
            <w:r w:rsidR="003857E8">
              <w:rPr>
                <w:rFonts w:ascii="Arial" w:hAnsi="Arial" w:cs="Arial"/>
              </w:rPr>
              <w:t>●</w:t>
            </w:r>
            <w:r w:rsidRPr="00F94B27" w:rsidR="00F94B27">
              <w:rPr>
                <w:b/>
              </w:rPr>
              <w:t>]</w:t>
            </w:r>
            <w:r w:rsidRPr="004A7124">
              <w:t>% per annum</w:t>
            </w:r>
            <w:r w:rsidRPr="00F94B27" w:rsidR="00F94B27">
              <w:rPr>
                <w:b/>
              </w:rPr>
              <w:t>]</w:t>
            </w:r>
            <w:r w:rsidRPr="004A7124">
              <w:t xml:space="preserve"> is equal to or above the relevant Spread Rate (</w:t>
            </w:r>
            <w:r w:rsidRPr="007E3558" w:rsidR="007E3558">
              <w:rPr>
                <w:i/>
              </w:rPr>
              <w:t>i.e.</w:t>
            </w:r>
            <w:r w:rsidRPr="004A7124">
              <w:t xml:space="preserve">, if the difference between the relevant Spread Rate and the Reference Rate </w:t>
            </w:r>
            <w:r w:rsidRPr="00F94B27" w:rsidR="00F94B27">
              <w:rPr>
                <w:b/>
              </w:rPr>
              <w:t>[</w:t>
            </w:r>
            <w:r w:rsidRPr="004A7124">
              <w:t xml:space="preserve">plus </w:t>
            </w:r>
            <w:r w:rsidRPr="00F94B27" w:rsidR="00F94B27">
              <w:rPr>
                <w:b/>
              </w:rPr>
              <w:t>[</w:t>
            </w:r>
            <w:r w:rsidR="003857E8">
              <w:rPr>
                <w:rFonts w:ascii="Arial" w:hAnsi="Arial" w:cs="Arial"/>
              </w:rPr>
              <w:t>●</w:t>
            </w:r>
            <w:r w:rsidRPr="00F94B27" w:rsidR="00F94B27">
              <w:rPr>
                <w:b/>
              </w:rPr>
              <w:t>]</w:t>
            </w:r>
            <w:r w:rsidRPr="004A7124">
              <w:t>% per annum</w:t>
            </w:r>
            <w:r w:rsidRPr="00F94B27" w:rsidR="00F94B27">
              <w:rPr>
                <w:b/>
              </w:rPr>
              <w:t>]</w:t>
            </w:r>
            <w:r w:rsidRPr="004A7124">
              <w:t xml:space="preserve"> is equal to zero or a negative amount), the applicable Interest Rate for </w:t>
            </w:r>
            <w:r w:rsidRPr="00F94B27" w:rsidR="00F94B27">
              <w:rPr>
                <w:b/>
              </w:rPr>
              <w:t>[</w:t>
            </w:r>
            <w:r w:rsidRPr="004A7124">
              <w:t>the</w:t>
            </w:r>
            <w:r w:rsidRPr="00F94B27" w:rsidR="00F94B27">
              <w:rPr>
                <w:b/>
              </w:rPr>
              <w:t>]</w:t>
            </w:r>
            <w:r w:rsidRPr="004A7124">
              <w:t xml:space="preserve"> </w:t>
            </w:r>
            <w:r w:rsidRPr="00F94B27" w:rsidR="00F94B27">
              <w:rPr>
                <w:b/>
              </w:rPr>
              <w:t>[</w:t>
            </w:r>
            <w:r w:rsidRPr="004A7124">
              <w:t>each</w:t>
            </w:r>
            <w:r w:rsidRPr="00F94B27" w:rsidR="00F94B27">
              <w:rPr>
                <w:b/>
              </w:rPr>
              <w:t>]</w:t>
            </w:r>
            <w:r w:rsidRPr="004A7124">
              <w:t xml:space="preserve"> Interest Payment Date will be below the fixed rate per annum applicable to the </w:t>
            </w:r>
            <w:r w:rsidRPr="00F94B27" w:rsidR="00F94B27">
              <w:rPr>
                <w:b/>
              </w:rPr>
              <w:t>[</w:t>
            </w:r>
            <w:r w:rsidRPr="004A7124">
              <w:t>first</w:t>
            </w:r>
            <w:r w:rsidRPr="00F94B27" w:rsidR="00F94B27">
              <w:rPr>
                <w:b/>
              </w:rPr>
              <w:t>]</w:t>
            </w:r>
            <w:r w:rsidRPr="004A7124">
              <w:t xml:space="preserve"> </w:t>
            </w:r>
            <w:r w:rsidRPr="00F94B27" w:rsidR="00F94B27">
              <w:rPr>
                <w:b/>
              </w:rPr>
              <w:t>[</w:t>
            </w:r>
            <w:r w:rsidRPr="004A7124">
              <w:t xml:space="preserve">first </w:t>
            </w:r>
            <w:r w:rsidRPr="00F94B27" w:rsidR="00F94B27">
              <w:rPr>
                <w:b/>
              </w:rPr>
              <w:t>[</w:t>
            </w:r>
            <w:r w:rsidRPr="00BA1EFB">
              <w:rPr>
                <w:b/>
                <w:i/>
              </w:rPr>
              <w:t>insert number of Interest Payment Dates, on which a fixed rate per annum is applicable:</w:t>
            </w:r>
            <w:r w:rsidRPr="004A7124">
              <w:t xml:space="preserve"> </w:t>
            </w:r>
            <w:r w:rsidRPr="00F94B27" w:rsidR="00F94B27">
              <w:rPr>
                <w:b/>
              </w:rPr>
              <w:t>[</w:t>
            </w:r>
            <w:r w:rsidR="003857E8">
              <w:rPr>
                <w:rFonts w:ascii="Arial" w:hAnsi="Arial" w:cs="Arial"/>
              </w:rPr>
              <w:t>●</w:t>
            </w:r>
            <w:r w:rsidRPr="00F94B27" w:rsidR="00F94B27">
              <w:rPr>
                <w:b/>
              </w:rPr>
              <w:t>]]</w:t>
            </w:r>
            <w:r w:rsidRPr="004A7124">
              <w:t xml:space="preserve"> Interest Payment Date</w:t>
            </w:r>
            <w:r w:rsidRPr="00F94B27" w:rsidR="00F94B27">
              <w:rPr>
                <w:b/>
              </w:rPr>
              <w:t>[</w:t>
            </w:r>
            <w:r w:rsidRPr="004A7124">
              <w:t>s</w:t>
            </w:r>
            <w:r w:rsidRPr="00F94B27" w:rsidR="00F94B27">
              <w:rPr>
                <w:b/>
              </w:rPr>
              <w:t>]</w:t>
            </w:r>
            <w:r w:rsidRPr="004A7124">
              <w:t xml:space="preserve"> and may be equal to </w:t>
            </w:r>
            <w:r w:rsidRPr="00F94B27" w:rsidR="00F94B27">
              <w:rPr>
                <w:b/>
              </w:rPr>
              <w:t>[</w:t>
            </w:r>
            <w:r w:rsidRPr="004A7124">
              <w:t>zero</w:t>
            </w:r>
            <w:r w:rsidRPr="00F94B27" w:rsidR="00F94B27">
              <w:rPr>
                <w:b/>
              </w:rPr>
              <w:t>]</w:t>
            </w:r>
            <w:r w:rsidRPr="004A7124">
              <w:t xml:space="preserve"> </w:t>
            </w:r>
            <w:r w:rsidRPr="00F94B27" w:rsidR="00F94B27">
              <w:rPr>
                <w:b/>
              </w:rPr>
              <w:t>[</w:t>
            </w:r>
            <w:r w:rsidRPr="004A7124">
              <w:t>the Minimum Interest Rate</w:t>
            </w:r>
            <w:r w:rsidRPr="00F94B27" w:rsidR="00F94B27">
              <w:rPr>
                <w:b/>
              </w:rPr>
              <w:t>]</w:t>
            </w:r>
            <w:r w:rsidRPr="004A7124">
              <w:t>.</w:t>
            </w:r>
          </w:p>
        </w:tc>
        <w:tc>
          <w:tcPr>
            <w:tcW w:w="2466" w:type="pct"/>
            <w:gridSpan w:val="14"/>
            <w:tcBorders>
              <w:left w:val="single" w:sz="4" w:space="0" w:color="auto"/>
            </w:tcBorders>
          </w:tcPr>
          <w:p w:rsidR="00BA1EFB" w:rsidRPr="00BA1EFB" w:rsidP="00BA1EFB">
            <w:pPr>
              <w:pStyle w:val="CSBody0"/>
              <w:rPr>
                <w:lang w:val="de-DE"/>
              </w:rPr>
            </w:pPr>
            <w:r w:rsidRPr="00BA1EFB">
              <w:rPr>
                <w:lang w:val="de-DE"/>
              </w:rPr>
              <w:t xml:space="preserve">Bei Cumulative Reverse Floater Notes entspricht der Zinssatz, auf dessen Grundlage die Zinszahlungsbeträge berechnet werden, einem Festsatz per annum für </w:t>
            </w:r>
            <w:r w:rsidRPr="00F94B27" w:rsidR="00F94B27">
              <w:rPr>
                <w:b/>
                <w:lang w:val="de-DE"/>
              </w:rPr>
              <w:t>[</w:t>
            </w:r>
            <w:r w:rsidRPr="00BA1EFB">
              <w:rPr>
                <w:lang w:val="de-DE"/>
              </w:rPr>
              <w:t>den ersten</w:t>
            </w:r>
            <w:r w:rsidRPr="00F94B27" w:rsidR="00F94B27">
              <w:rPr>
                <w:b/>
                <w:lang w:val="de-DE"/>
              </w:rPr>
              <w:t>]</w:t>
            </w:r>
            <w:r w:rsidRPr="00BA1EFB">
              <w:rPr>
                <w:lang w:val="de-DE"/>
              </w:rPr>
              <w:t xml:space="preserve"> </w:t>
            </w:r>
            <w:r w:rsidRPr="00F94B27" w:rsidR="00F94B27">
              <w:rPr>
                <w:b/>
                <w:lang w:val="de-DE"/>
              </w:rPr>
              <w:t>[</w:t>
            </w:r>
            <w:r w:rsidRPr="00BA1EFB">
              <w:rPr>
                <w:lang w:val="de-DE"/>
              </w:rPr>
              <w:t xml:space="preserve">die ersten </w:t>
            </w:r>
            <w:r w:rsidRPr="00F94B27" w:rsidR="00F94B27">
              <w:rPr>
                <w:b/>
                <w:lang w:val="de-DE"/>
              </w:rPr>
              <w:t>[</w:t>
            </w:r>
            <w:r w:rsidRPr="00BA1EFB">
              <w:rPr>
                <w:b/>
                <w:i/>
                <w:lang w:val="de-DE"/>
              </w:rPr>
              <w:t>Anzahl der Zinszahlungstage einfügen, an denen ein Festsatz per annum anwendbar ist:</w:t>
            </w:r>
            <w:r w:rsidRPr="00BA1EFB">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BA1EFB">
              <w:rPr>
                <w:lang w:val="de-DE"/>
              </w:rPr>
              <w:t xml:space="preserve"> Zinszahlungstag</w:t>
            </w:r>
            <w:r w:rsidRPr="00F94B27" w:rsidR="00F94B27">
              <w:rPr>
                <w:b/>
                <w:lang w:val="de-DE"/>
              </w:rPr>
              <w:t>[</w:t>
            </w:r>
            <w:r w:rsidRPr="00BA1EFB">
              <w:rPr>
                <w:lang w:val="de-DE"/>
              </w:rPr>
              <w:t>e</w:t>
            </w:r>
            <w:r w:rsidRPr="00F94B27" w:rsidR="00F94B27">
              <w:rPr>
                <w:b/>
                <w:lang w:val="de-DE"/>
              </w:rPr>
              <w:t>]</w:t>
            </w:r>
            <w:r w:rsidRPr="00BA1EFB">
              <w:rPr>
                <w:lang w:val="de-DE"/>
              </w:rPr>
              <w:t xml:space="preserve">. Für die Berechnung des Zinszahlungsbetrags am </w:t>
            </w:r>
            <w:r w:rsidRPr="00F94B27" w:rsidR="00F94B27">
              <w:rPr>
                <w:b/>
                <w:lang w:val="de-DE"/>
              </w:rPr>
              <w:t>[</w:t>
            </w:r>
            <w:r w:rsidRPr="00BA1EFB">
              <w:rPr>
                <w:b/>
                <w:i/>
                <w:lang w:val="de-DE"/>
              </w:rPr>
              <w:t>Zahl des Zinszahlungstags einfügen, von dem an der Zinssatz ein variabler Satz per annum sein wird:</w:t>
            </w:r>
            <w:r w:rsidRPr="00BA1EFB">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BA1EFB">
              <w:rPr>
                <w:lang w:val="de-DE"/>
              </w:rPr>
              <w:t xml:space="preserve"> Zinszahlungstag </w:t>
            </w:r>
            <w:r w:rsidRPr="00F94B27" w:rsidR="00F94B27">
              <w:rPr>
                <w:b/>
                <w:lang w:val="de-DE"/>
              </w:rPr>
              <w:t>[</w:t>
            </w:r>
            <w:r w:rsidRPr="00BA1EFB">
              <w:rPr>
                <w:lang w:val="de-DE"/>
              </w:rPr>
              <w:t>und jeden folgenden Zinszahlungstag</w:t>
            </w:r>
            <w:r w:rsidRPr="00F94B27" w:rsidR="00F94B27">
              <w:rPr>
                <w:b/>
                <w:lang w:val="de-DE"/>
              </w:rPr>
              <w:t>]</w:t>
            </w:r>
            <w:r w:rsidRPr="00BA1EFB">
              <w:rPr>
                <w:lang w:val="de-DE"/>
              </w:rPr>
              <w:t xml:space="preserve"> </w:t>
            </w:r>
            <w:r w:rsidRPr="00F94B27" w:rsidR="00F94B27">
              <w:rPr>
                <w:b/>
                <w:lang w:val="de-DE"/>
              </w:rPr>
              <w:t>[</w:t>
            </w:r>
            <w:r w:rsidRPr="00BA1EFB">
              <w:rPr>
                <w:lang w:val="de-DE"/>
              </w:rPr>
              <w:t>wird</w:t>
            </w:r>
            <w:r w:rsidRPr="00F94B27" w:rsidR="00F94B27">
              <w:rPr>
                <w:b/>
                <w:lang w:val="de-DE"/>
              </w:rPr>
              <w:t>]</w:t>
            </w:r>
            <w:r w:rsidRPr="00BA1EFB">
              <w:rPr>
                <w:lang w:val="de-DE"/>
              </w:rPr>
              <w:t xml:space="preserve"> </w:t>
            </w:r>
            <w:r w:rsidRPr="00F94B27" w:rsidR="00F94B27">
              <w:rPr>
                <w:b/>
                <w:lang w:val="de-DE"/>
              </w:rPr>
              <w:t>[</w:t>
            </w:r>
            <w:r w:rsidRPr="00BA1EFB">
              <w:rPr>
                <w:lang w:val="de-DE"/>
              </w:rPr>
              <w:t>werden</w:t>
            </w:r>
            <w:r w:rsidRPr="00F94B27" w:rsidR="00F94B27">
              <w:rPr>
                <w:b/>
                <w:lang w:val="de-DE"/>
              </w:rPr>
              <w:t>]</w:t>
            </w:r>
            <w:r w:rsidRPr="00BA1EFB">
              <w:rPr>
                <w:lang w:val="de-DE"/>
              </w:rPr>
              <w:t xml:space="preserve"> </w:t>
            </w:r>
            <w:r w:rsidRPr="00F94B27" w:rsidR="00F94B27">
              <w:rPr>
                <w:b/>
                <w:lang w:val="de-DE"/>
              </w:rPr>
              <w:t>[</w:t>
            </w:r>
            <w:r w:rsidRPr="00BA1EFB">
              <w:rPr>
                <w:lang w:val="de-DE"/>
              </w:rPr>
              <w:t>der Zinszahlungsbetrag</w:t>
            </w:r>
            <w:r w:rsidRPr="00F94B27" w:rsidR="00F94B27">
              <w:rPr>
                <w:b/>
                <w:lang w:val="de-DE"/>
              </w:rPr>
              <w:t>]</w:t>
            </w:r>
            <w:r w:rsidRPr="00BA1EFB">
              <w:rPr>
                <w:lang w:val="de-DE"/>
              </w:rPr>
              <w:t xml:space="preserve"> </w:t>
            </w:r>
            <w:r w:rsidRPr="00F94B27" w:rsidR="00F94B27">
              <w:rPr>
                <w:b/>
                <w:lang w:val="de-DE"/>
              </w:rPr>
              <w:t>[</w:t>
            </w:r>
            <w:r w:rsidRPr="00BA1EFB">
              <w:rPr>
                <w:lang w:val="de-DE"/>
              </w:rPr>
              <w:t>die Zinszahlun</w:t>
            </w:r>
            <w:r w:rsidR="00474C21">
              <w:rPr>
                <w:lang w:val="de-DE"/>
              </w:rPr>
              <w:t>gsbeträge</w:t>
            </w:r>
            <w:r w:rsidRPr="00F94B27" w:rsidR="00F94B27">
              <w:rPr>
                <w:b/>
                <w:lang w:val="de-DE"/>
              </w:rPr>
              <w:t>]</w:t>
            </w:r>
            <w:r w:rsidR="00474C21">
              <w:rPr>
                <w:lang w:val="de-DE"/>
              </w:rPr>
              <w:t xml:space="preserve"> auf der Grundlage ei</w:t>
            </w:r>
            <w:r w:rsidRPr="00BA1EFB">
              <w:rPr>
                <w:lang w:val="de-DE"/>
              </w:rPr>
              <w:t xml:space="preserve">nes variablen Zinssatzes berechnet. Dieser variable Zinssatz, der am </w:t>
            </w:r>
            <w:r w:rsidRPr="00F94B27" w:rsidR="00F94B27">
              <w:rPr>
                <w:b/>
                <w:lang w:val="de-DE"/>
              </w:rPr>
              <w:t>[</w:t>
            </w:r>
            <w:r w:rsidRPr="00BA1EFB">
              <w:rPr>
                <w:lang w:val="de-DE"/>
              </w:rPr>
              <w:t>jeweiligen</w:t>
            </w:r>
            <w:r w:rsidRPr="00F94B27" w:rsidR="00F94B27">
              <w:rPr>
                <w:b/>
                <w:lang w:val="de-DE"/>
              </w:rPr>
              <w:t>]</w:t>
            </w:r>
            <w:r w:rsidRPr="00BA1EFB">
              <w:rPr>
                <w:lang w:val="de-DE"/>
              </w:rPr>
              <w:t xml:space="preserve"> Zinszalungstag anwendbar ist, entspricht der Summe aus (i) dem Zinssatz, der für den unmittelbar vorangegangenen Zinszahlungstag Anwendung gefunden hat und (ii) dem jeweiligen Spreadsatz (d.h., einem Festsatz per annum) abzüglich (iii) </w:t>
            </w:r>
            <w:r w:rsidRPr="00F94B27" w:rsidR="00F94B27">
              <w:rPr>
                <w:b/>
                <w:lang w:val="de-DE"/>
              </w:rPr>
              <w:t>[</w:t>
            </w:r>
            <w:r w:rsidRPr="00BA1EFB">
              <w:rPr>
                <w:lang w:val="de-DE"/>
              </w:rPr>
              <w:t xml:space="preserve">des Werts des Referenzsatzes (d.h. einem variablen Zinssatz) am </w:t>
            </w:r>
            <w:r w:rsidRPr="00F94B27" w:rsidR="00F94B27">
              <w:rPr>
                <w:b/>
                <w:lang w:val="de-DE"/>
              </w:rPr>
              <w:t>[</w:t>
            </w:r>
            <w:r w:rsidRPr="00BA1EFB">
              <w:rPr>
                <w:lang w:val="de-DE"/>
              </w:rPr>
              <w:t>jeweiligen</w:t>
            </w:r>
            <w:r w:rsidRPr="00F94B27" w:rsidR="00F94B27">
              <w:rPr>
                <w:b/>
                <w:lang w:val="de-DE"/>
              </w:rPr>
              <w:t>]</w:t>
            </w:r>
            <w:r w:rsidRPr="00BA1EFB">
              <w:rPr>
                <w:lang w:val="de-DE"/>
              </w:rPr>
              <w:t xml:space="preserve"> Zinsfeststellungstag</w:t>
            </w:r>
            <w:r w:rsidRPr="00F94B27" w:rsidR="00F94B27">
              <w:rPr>
                <w:b/>
                <w:lang w:val="de-DE"/>
              </w:rPr>
              <w:t>]</w:t>
            </w:r>
            <w:r w:rsidRPr="00BA1EFB">
              <w:rPr>
                <w:lang w:val="de-DE"/>
              </w:rPr>
              <w:t xml:space="preserve"> </w:t>
            </w:r>
            <w:r w:rsidRPr="00F94B27" w:rsidR="00F94B27">
              <w:rPr>
                <w:b/>
                <w:lang w:val="de-DE"/>
              </w:rPr>
              <w:t>[</w:t>
            </w:r>
            <w:r w:rsidRPr="00BA1EFB">
              <w:rPr>
                <w:lang w:val="de-DE"/>
              </w:rPr>
              <w:t xml:space="preserve">der Summe aus dem Referenzsatz (d.h. einem variablen Zinssatz) am </w:t>
            </w:r>
            <w:r w:rsidRPr="00F94B27" w:rsidR="00F94B27">
              <w:rPr>
                <w:b/>
                <w:lang w:val="de-DE"/>
              </w:rPr>
              <w:t>[</w:t>
            </w:r>
            <w:r w:rsidRPr="00BA1EFB">
              <w:rPr>
                <w:lang w:val="de-DE"/>
              </w:rPr>
              <w:t>jeweiligen</w:t>
            </w:r>
            <w:r w:rsidRPr="00F94B27" w:rsidR="00F94B27">
              <w:rPr>
                <w:b/>
                <w:lang w:val="de-DE"/>
              </w:rPr>
              <w:t>]</w:t>
            </w:r>
            <w:r w:rsidRPr="00BA1EFB">
              <w:rPr>
                <w:lang w:val="de-DE"/>
              </w:rPr>
              <w:t xml:space="preserve"> Zinsfeststellungstag und </w:t>
            </w:r>
            <w:r w:rsidRPr="00F94B27" w:rsidR="00F94B27">
              <w:rPr>
                <w:b/>
                <w:lang w:val="de-DE"/>
              </w:rPr>
              <w:t>[</w:t>
            </w:r>
            <w:r w:rsidRPr="00116653" w:rsidR="003857E8">
              <w:rPr>
                <w:rFonts w:ascii="Arial" w:hAnsi="Arial" w:cs="Arial"/>
                <w:lang w:val="de-DE"/>
              </w:rPr>
              <w:t>●</w:t>
            </w:r>
            <w:r w:rsidRPr="00F94B27" w:rsidR="00F94B27">
              <w:rPr>
                <w:b/>
                <w:lang w:val="de-DE"/>
              </w:rPr>
              <w:t>]</w:t>
            </w:r>
            <w:r w:rsidRPr="00BA1EFB">
              <w:rPr>
                <w:lang w:val="de-DE"/>
              </w:rPr>
              <w:t>% per annum</w:t>
            </w:r>
            <w:r w:rsidRPr="00F94B27" w:rsidR="00F94B27">
              <w:rPr>
                <w:b/>
                <w:lang w:val="de-DE"/>
              </w:rPr>
              <w:t>]</w:t>
            </w:r>
            <w:r w:rsidRPr="00BA1EFB">
              <w:rPr>
                <w:lang w:val="de-DE"/>
              </w:rPr>
              <w:t xml:space="preserve">. Folglich gilt: je niedriger der Wert des Referenzsatzes am Zinsfeststellungstag </w:t>
            </w:r>
            <w:r w:rsidRPr="00F94B27" w:rsidR="00F94B27">
              <w:rPr>
                <w:b/>
                <w:lang w:val="de-DE"/>
              </w:rPr>
              <w:t>[</w:t>
            </w:r>
            <w:r w:rsidRPr="00BA1EFB">
              <w:rPr>
                <w:lang w:val="de-DE"/>
              </w:rPr>
              <w:t xml:space="preserve">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BA1EFB">
              <w:rPr>
                <w:lang w:val="de-DE"/>
              </w:rPr>
              <w:t>% per annum</w:t>
            </w:r>
            <w:r w:rsidRPr="00F94B27" w:rsidR="00F94B27">
              <w:rPr>
                <w:b/>
                <w:lang w:val="de-DE"/>
              </w:rPr>
              <w:t>]</w:t>
            </w:r>
            <w:r w:rsidRPr="00BA1EFB">
              <w:rPr>
                <w:lang w:val="de-DE"/>
              </w:rPr>
              <w:t xml:space="preserve"> im Vergleich zum jeweiligen Spreadsatz ist, desto höher fällt der anwendbare Zinssatz und der resultierende Zinszahlungsbetrag aus. Umgekehrt gilt: je höher der Wert des Referenzsatzes am Zinsfeststellungstag </w:t>
            </w:r>
            <w:r w:rsidRPr="00F94B27" w:rsidR="00F94B27">
              <w:rPr>
                <w:b/>
                <w:lang w:val="de-DE"/>
              </w:rPr>
              <w:t>[</w:t>
            </w:r>
            <w:r w:rsidRPr="00BA1EFB">
              <w:rPr>
                <w:lang w:val="de-DE"/>
              </w:rPr>
              <w:t xml:space="preserve">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BA1EFB">
              <w:rPr>
                <w:lang w:val="de-DE"/>
              </w:rPr>
              <w:t>% per annum</w:t>
            </w:r>
            <w:r w:rsidRPr="00F94B27" w:rsidR="00F94B27">
              <w:rPr>
                <w:b/>
                <w:lang w:val="de-DE"/>
              </w:rPr>
              <w:t>]</w:t>
            </w:r>
            <w:r w:rsidRPr="00BA1EFB">
              <w:rPr>
                <w:lang w:val="de-DE"/>
              </w:rPr>
              <w:t xml:space="preserve"> im Vergleich zum jeweiligen Spreadsatz ist, desto niedriger fällt der anwendbare Zinssatz und der resultierende Zinszahlungsbetrag aus. Falls der Wert des Referenzsatzes </w:t>
            </w:r>
            <w:r w:rsidRPr="00F94B27" w:rsidR="00F94B27">
              <w:rPr>
                <w:b/>
                <w:lang w:val="de-DE"/>
              </w:rPr>
              <w:t>[</w:t>
            </w:r>
            <w:r w:rsidRPr="00BA1EFB">
              <w:rPr>
                <w:lang w:val="de-DE"/>
              </w:rPr>
              <w:t>am</w:t>
            </w:r>
            <w:r w:rsidRPr="00F94B27" w:rsidR="00F94B27">
              <w:rPr>
                <w:b/>
                <w:lang w:val="de-DE"/>
              </w:rPr>
              <w:t>]</w:t>
            </w:r>
            <w:r w:rsidRPr="00BA1EFB">
              <w:rPr>
                <w:lang w:val="de-DE"/>
              </w:rPr>
              <w:t xml:space="preserve"> </w:t>
            </w:r>
            <w:r w:rsidRPr="00F94B27" w:rsidR="00F94B27">
              <w:rPr>
                <w:b/>
                <w:lang w:val="de-DE"/>
              </w:rPr>
              <w:t>[</w:t>
            </w:r>
            <w:r w:rsidRPr="00BA1EFB">
              <w:rPr>
                <w:lang w:val="de-DE"/>
              </w:rPr>
              <w:t>an jedem</w:t>
            </w:r>
            <w:r w:rsidRPr="00F94B27" w:rsidR="00F94B27">
              <w:rPr>
                <w:b/>
                <w:lang w:val="de-DE"/>
              </w:rPr>
              <w:t>]</w:t>
            </w:r>
            <w:r w:rsidRPr="00BA1EFB">
              <w:rPr>
                <w:lang w:val="de-DE"/>
              </w:rPr>
              <w:t xml:space="preserve"> Zinsfeststellungstag </w:t>
            </w:r>
            <w:r w:rsidRPr="00F94B27" w:rsidR="00F94B27">
              <w:rPr>
                <w:b/>
                <w:lang w:val="de-DE"/>
              </w:rPr>
              <w:t>[</w:t>
            </w:r>
            <w:r w:rsidRPr="00BA1EFB">
              <w:rPr>
                <w:lang w:val="de-DE"/>
              </w:rPr>
              <w:t xml:space="preserve">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BA1EFB">
              <w:rPr>
                <w:lang w:val="de-DE"/>
              </w:rPr>
              <w:t>% per annum</w:t>
            </w:r>
            <w:r w:rsidRPr="00F94B27" w:rsidR="00F94B27">
              <w:rPr>
                <w:b/>
                <w:lang w:val="de-DE"/>
              </w:rPr>
              <w:t>]</w:t>
            </w:r>
            <w:r w:rsidRPr="00BA1EFB">
              <w:rPr>
                <w:lang w:val="de-DE"/>
              </w:rPr>
              <w:t xml:space="preserve"> dem Spreadsatz entspricht oder über diesem liegt (d.h., falls die Differenz zwischen dem jeweiligen Spreadsatz und dem Referenzsatz </w:t>
            </w:r>
            <w:r w:rsidRPr="00F94B27" w:rsidR="00F94B27">
              <w:rPr>
                <w:b/>
                <w:lang w:val="de-DE"/>
              </w:rPr>
              <w:t>[</w:t>
            </w:r>
            <w:r w:rsidRPr="00BA1EFB">
              <w:rPr>
                <w:lang w:val="de-DE"/>
              </w:rPr>
              <w:t xml:space="preserve">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BA1EFB">
              <w:rPr>
                <w:lang w:val="de-DE"/>
              </w:rPr>
              <w:t>% per annum</w:t>
            </w:r>
            <w:r w:rsidRPr="00F94B27" w:rsidR="00F94B27">
              <w:rPr>
                <w:b/>
                <w:lang w:val="de-DE"/>
              </w:rPr>
              <w:t>]</w:t>
            </w:r>
            <w:r w:rsidRPr="00BA1EFB">
              <w:rPr>
                <w:lang w:val="de-DE"/>
              </w:rPr>
              <w:t xml:space="preserve"> null oder einem negativen Betrag entspricht), wird der anwendbare Zinssatz für </w:t>
            </w:r>
            <w:r w:rsidRPr="00F94B27" w:rsidR="00F94B27">
              <w:rPr>
                <w:b/>
                <w:lang w:val="de-DE"/>
              </w:rPr>
              <w:t>[</w:t>
            </w:r>
            <w:r w:rsidRPr="00BA1EFB">
              <w:rPr>
                <w:lang w:val="de-DE"/>
              </w:rPr>
              <w:t>den</w:t>
            </w:r>
            <w:r w:rsidRPr="00F94B27" w:rsidR="00F94B27">
              <w:rPr>
                <w:b/>
                <w:lang w:val="de-DE"/>
              </w:rPr>
              <w:t>]</w:t>
            </w:r>
            <w:r w:rsidRPr="00BA1EFB">
              <w:rPr>
                <w:lang w:val="de-DE"/>
              </w:rPr>
              <w:t xml:space="preserve"> </w:t>
            </w:r>
            <w:r w:rsidRPr="00F94B27" w:rsidR="00F94B27">
              <w:rPr>
                <w:b/>
                <w:lang w:val="de-DE"/>
              </w:rPr>
              <w:t>[</w:t>
            </w:r>
            <w:r w:rsidRPr="00BA1EFB">
              <w:rPr>
                <w:lang w:val="de-DE"/>
              </w:rPr>
              <w:t>jeden</w:t>
            </w:r>
            <w:r w:rsidRPr="00F94B27" w:rsidR="00F94B27">
              <w:rPr>
                <w:b/>
                <w:lang w:val="de-DE"/>
              </w:rPr>
              <w:t>]</w:t>
            </w:r>
            <w:r w:rsidRPr="00BA1EFB">
              <w:rPr>
                <w:lang w:val="de-DE"/>
              </w:rPr>
              <w:t xml:space="preserve"> Zinszahlungstag unter dem Festzsatz per annum für </w:t>
            </w:r>
            <w:r w:rsidRPr="00F94B27" w:rsidR="00F94B27">
              <w:rPr>
                <w:b/>
                <w:lang w:val="de-DE"/>
              </w:rPr>
              <w:t>[</w:t>
            </w:r>
            <w:r w:rsidRPr="00BA1EFB">
              <w:rPr>
                <w:lang w:val="de-DE"/>
              </w:rPr>
              <w:t>den ersten</w:t>
            </w:r>
            <w:r w:rsidRPr="00F94B27" w:rsidR="00F94B27">
              <w:rPr>
                <w:b/>
                <w:lang w:val="de-DE"/>
              </w:rPr>
              <w:t>]</w:t>
            </w:r>
            <w:r w:rsidRPr="00BA1EFB">
              <w:rPr>
                <w:lang w:val="de-DE"/>
              </w:rPr>
              <w:t xml:space="preserve"> </w:t>
            </w:r>
            <w:r w:rsidRPr="00F94B27" w:rsidR="00F94B27">
              <w:rPr>
                <w:b/>
                <w:lang w:val="de-DE"/>
              </w:rPr>
              <w:t>[</w:t>
            </w:r>
            <w:r w:rsidRPr="00BA1EFB">
              <w:rPr>
                <w:lang w:val="de-DE"/>
              </w:rPr>
              <w:t xml:space="preserve">die ersten </w:t>
            </w:r>
            <w:r w:rsidRPr="00F94B27" w:rsidR="00F94B27">
              <w:rPr>
                <w:b/>
                <w:lang w:val="de-DE"/>
              </w:rPr>
              <w:t>[</w:t>
            </w:r>
            <w:r w:rsidRPr="00BA1EFB">
              <w:rPr>
                <w:b/>
                <w:i/>
                <w:lang w:val="de-DE"/>
              </w:rPr>
              <w:t>Anzahl der Zinszahlungstage einfügen, an denen ein Festsatz per annum anwendbar ist:</w:t>
            </w:r>
            <w:r w:rsidRPr="00BA1EFB">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BA1EFB">
              <w:rPr>
                <w:lang w:val="de-DE"/>
              </w:rPr>
              <w:t xml:space="preserve"> Zinszahlungstag</w:t>
            </w:r>
            <w:r w:rsidRPr="00F94B27" w:rsidR="00F94B27">
              <w:rPr>
                <w:b/>
                <w:lang w:val="de-DE"/>
              </w:rPr>
              <w:t>[</w:t>
            </w:r>
            <w:r w:rsidRPr="00BA1EFB">
              <w:rPr>
                <w:lang w:val="de-DE"/>
              </w:rPr>
              <w:t>e</w:t>
            </w:r>
            <w:r w:rsidRPr="00F94B27" w:rsidR="00F94B27">
              <w:rPr>
                <w:b/>
                <w:lang w:val="de-DE"/>
              </w:rPr>
              <w:t>]</w:t>
            </w:r>
            <w:r w:rsidRPr="00BA1EFB">
              <w:rPr>
                <w:lang w:val="de-DE"/>
              </w:rPr>
              <w:t xml:space="preserve"> liegen und kann </w:t>
            </w:r>
            <w:r w:rsidRPr="00F94B27" w:rsidR="00F94B27">
              <w:rPr>
                <w:b/>
                <w:lang w:val="de-DE"/>
              </w:rPr>
              <w:t>[</w:t>
            </w:r>
            <w:r w:rsidRPr="00BA1EFB">
              <w:rPr>
                <w:lang w:val="de-DE"/>
              </w:rPr>
              <w:t>null</w:t>
            </w:r>
            <w:r w:rsidRPr="00F94B27" w:rsidR="00F94B27">
              <w:rPr>
                <w:b/>
                <w:lang w:val="de-DE"/>
              </w:rPr>
              <w:t>]</w:t>
            </w:r>
            <w:r w:rsidRPr="00BA1EFB">
              <w:rPr>
                <w:lang w:val="de-DE"/>
              </w:rPr>
              <w:t xml:space="preserve"> </w:t>
            </w:r>
            <w:r w:rsidRPr="00F94B27" w:rsidR="00F94B27">
              <w:rPr>
                <w:b/>
                <w:lang w:val="de-DE"/>
              </w:rPr>
              <w:t>[</w:t>
            </w:r>
            <w:r w:rsidRPr="00BA1EFB">
              <w:rPr>
                <w:lang w:val="de-DE"/>
              </w:rPr>
              <w:t>dem Mindestzinssatz</w:t>
            </w:r>
            <w:r w:rsidRPr="00F94B27" w:rsidR="00F94B27">
              <w:rPr>
                <w:b/>
                <w:lang w:val="de-DE"/>
              </w:rPr>
              <w:t>]</w:t>
            </w:r>
            <w:r w:rsidRPr="00BA1EFB">
              <w:rPr>
                <w:lang w:val="de-DE"/>
              </w:rPr>
              <w:t xml:space="preserve"> entsprechen.</w:t>
            </w:r>
          </w:p>
        </w:tc>
      </w:tr>
      <w:tr w:rsidTr="00942F00">
        <w:tblPrEx>
          <w:tblW w:w="5000" w:type="pct"/>
          <w:tblLayout w:type="fixed"/>
          <w:tblLook w:val="04A0"/>
        </w:tblPrEx>
        <w:tc>
          <w:tcPr>
            <w:tcW w:w="2534" w:type="pct"/>
            <w:gridSpan w:val="14"/>
            <w:tcBorders>
              <w:right w:val="single" w:sz="4" w:space="0" w:color="auto"/>
            </w:tcBorders>
          </w:tcPr>
          <w:p w:rsidR="00BA1EFB" w:rsidRPr="004A7124" w:rsidP="00BA1EFB">
            <w:pPr>
              <w:pStyle w:val="CSBody0"/>
            </w:pPr>
            <w:r w:rsidRPr="00F94B27">
              <w:rPr>
                <w:b/>
              </w:rPr>
              <w:t>[</w:t>
            </w:r>
            <w:r w:rsidRPr="00BA1EFB">
              <w:rPr>
                <w:b/>
                <w:i/>
              </w:rPr>
              <w:t>in case of Complex Products with Maximum Interest Rate:</w:t>
            </w:r>
            <w:r w:rsidRPr="004A7124">
              <w:t xml:space="preserve"> In any case, the Interest Rate for </w:t>
            </w:r>
            <w:r w:rsidRPr="00F94B27">
              <w:rPr>
                <w:b/>
              </w:rPr>
              <w:t>[</w:t>
            </w:r>
            <w:r w:rsidRPr="004A7124">
              <w:t>the</w:t>
            </w:r>
            <w:r w:rsidRPr="00F94B27">
              <w:rPr>
                <w:b/>
              </w:rPr>
              <w:t>][</w:t>
            </w:r>
            <w:r w:rsidRPr="004A7124">
              <w:t>each</w:t>
            </w:r>
            <w:r w:rsidRPr="00F94B27">
              <w:rPr>
                <w:b/>
              </w:rPr>
              <w:t>]</w:t>
            </w:r>
            <w:r w:rsidRPr="004A7124">
              <w:t xml:space="preserve"> Interest Payment Date in respect of which a variable interest rate is applicable will not exceed the </w:t>
            </w:r>
            <w:r w:rsidRPr="00F94B27">
              <w:rPr>
                <w:b/>
              </w:rPr>
              <w:t>[</w:t>
            </w:r>
            <w:r w:rsidRPr="004A7124">
              <w:t>relevant</w:t>
            </w:r>
            <w:r w:rsidRPr="00F94B27">
              <w:rPr>
                <w:b/>
              </w:rPr>
              <w:t>]</w:t>
            </w:r>
            <w:r w:rsidRPr="004A7124">
              <w:t xml:space="preserve"> Maximum Interest Rate.</w:t>
            </w:r>
            <w:r w:rsidRPr="00F94B27">
              <w:rPr>
                <w:b/>
              </w:rPr>
              <w:t>]]</w:t>
            </w:r>
          </w:p>
        </w:tc>
        <w:tc>
          <w:tcPr>
            <w:tcW w:w="2466" w:type="pct"/>
            <w:gridSpan w:val="14"/>
            <w:tcBorders>
              <w:left w:val="single" w:sz="4" w:space="0" w:color="auto"/>
            </w:tcBorders>
          </w:tcPr>
          <w:p w:rsidR="00BA1EFB" w:rsidRPr="00BA1EFB" w:rsidP="00BA1EFB">
            <w:pPr>
              <w:pStyle w:val="CSBody0"/>
              <w:rPr>
                <w:lang w:val="de-DE"/>
              </w:rPr>
            </w:pPr>
            <w:r w:rsidRPr="00F94B27">
              <w:rPr>
                <w:b/>
                <w:lang w:val="de-DE"/>
              </w:rPr>
              <w:t>[</w:t>
            </w:r>
            <w:r w:rsidRPr="00BA1EFB">
              <w:rPr>
                <w:b/>
                <w:i/>
                <w:lang w:val="de-DE"/>
              </w:rPr>
              <w:t>bei Komplexen Produkten mit Höchstzinssatz:</w:t>
            </w:r>
            <w:r w:rsidRPr="00BA1EFB">
              <w:rPr>
                <w:lang w:val="de-DE"/>
              </w:rPr>
              <w:t xml:space="preserve"> In jedem Fall wird der Zinssatz für </w:t>
            </w:r>
            <w:r w:rsidRPr="00F94B27">
              <w:rPr>
                <w:b/>
                <w:lang w:val="de-DE"/>
              </w:rPr>
              <w:t>[</w:t>
            </w:r>
            <w:r w:rsidRPr="00BA1EFB">
              <w:rPr>
                <w:lang w:val="de-DE"/>
              </w:rPr>
              <w:t>den</w:t>
            </w:r>
            <w:r w:rsidRPr="00F94B27">
              <w:rPr>
                <w:b/>
                <w:lang w:val="de-DE"/>
              </w:rPr>
              <w:t>][</w:t>
            </w:r>
            <w:r w:rsidRPr="00BA1EFB">
              <w:rPr>
                <w:lang w:val="de-DE"/>
              </w:rPr>
              <w:t>jeden</w:t>
            </w:r>
            <w:r w:rsidRPr="00F94B27">
              <w:rPr>
                <w:b/>
                <w:lang w:val="de-DE"/>
              </w:rPr>
              <w:t>]</w:t>
            </w:r>
            <w:r w:rsidRPr="00BA1EFB">
              <w:rPr>
                <w:lang w:val="de-DE"/>
              </w:rPr>
              <w:t xml:space="preserve"> Zinszahlungstag, in Bezug auf den ein variabler Zinssatz Anwendung findet, nicht höher als der </w:t>
            </w:r>
            <w:r w:rsidRPr="00F94B27">
              <w:rPr>
                <w:b/>
                <w:lang w:val="de-DE"/>
              </w:rPr>
              <w:t>[</w:t>
            </w:r>
            <w:r w:rsidRPr="00BA1EFB">
              <w:rPr>
                <w:lang w:val="de-DE"/>
              </w:rPr>
              <w:t>jeweilige</w:t>
            </w:r>
            <w:r w:rsidRPr="00F94B27">
              <w:rPr>
                <w:b/>
                <w:lang w:val="de-DE"/>
              </w:rPr>
              <w:t>]</w:t>
            </w:r>
            <w:r w:rsidRPr="00BA1EFB">
              <w:rPr>
                <w:lang w:val="de-DE"/>
              </w:rPr>
              <w:t xml:space="preserve"> Höchstzinssatz sein</w:t>
            </w:r>
            <w:r w:rsidRPr="00F94B27">
              <w:rPr>
                <w:b/>
                <w:lang w:val="de-DE"/>
              </w:rPr>
              <w:t>]</w:t>
            </w:r>
            <w:r w:rsidRPr="00BA1EFB">
              <w:rPr>
                <w:lang w:val="de-DE"/>
              </w:rPr>
              <w: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BA1EFB" w:rsidRPr="00AB16EC" w:rsidP="00BA1EFB">
            <w:pPr>
              <w:pStyle w:val="CSbody0bolditalic"/>
              <w:rPr>
                <w:lang w:val="en-GB"/>
              </w:rPr>
            </w:pPr>
            <w:r w:rsidRPr="00F94B27">
              <w:rPr>
                <w:lang w:val="en-GB"/>
              </w:rPr>
              <w:t>[</w:t>
            </w:r>
            <w:r w:rsidRPr="00AB16EC">
              <w:rPr>
                <w:lang w:val="en-GB"/>
              </w:rPr>
              <w:t>in case of Stairway Notes:</w:t>
            </w:r>
          </w:p>
        </w:tc>
        <w:tc>
          <w:tcPr>
            <w:tcW w:w="2466" w:type="pct"/>
            <w:gridSpan w:val="14"/>
            <w:tcBorders>
              <w:left w:val="single" w:sz="4" w:space="0" w:color="auto"/>
            </w:tcBorders>
          </w:tcPr>
          <w:p w:rsidR="00BA1EFB" w:rsidP="00BA1EFB">
            <w:pPr>
              <w:pStyle w:val="CSbody0bolditalic"/>
            </w:pPr>
            <w:r w:rsidRPr="00F94B27">
              <w:t>[</w:t>
            </w:r>
            <w:r w:rsidRPr="004A7124">
              <w:t>bei Stairway Notes:</w:t>
            </w:r>
          </w:p>
        </w:tc>
      </w:tr>
      <w:tr w:rsidTr="00942F00">
        <w:tblPrEx>
          <w:tblW w:w="5000" w:type="pct"/>
          <w:tblLayout w:type="fixed"/>
          <w:tblLook w:val="04A0"/>
        </w:tblPrEx>
        <w:tc>
          <w:tcPr>
            <w:tcW w:w="2534" w:type="pct"/>
            <w:gridSpan w:val="14"/>
            <w:tcBorders>
              <w:right w:val="single" w:sz="4" w:space="0" w:color="auto"/>
            </w:tcBorders>
          </w:tcPr>
          <w:p w:rsidR="006F316C" w:rsidRPr="00652C7E" w:rsidP="006F316C">
            <w:pPr>
              <w:pStyle w:val="CSBody0"/>
            </w:pPr>
            <w:r w:rsidRPr="00652C7E">
              <w:t xml:space="preserve">In case of Stairway Notes, the Interest Rate on the basis of which the Interest Payment Amounts are calculated will be equal to a fixed rate per annum for the </w:t>
            </w:r>
            <w:r w:rsidRPr="00F94B27" w:rsidR="00F94B27">
              <w:rPr>
                <w:b/>
              </w:rPr>
              <w:t>[</w:t>
            </w:r>
            <w:r w:rsidRPr="00652C7E">
              <w:t>first</w:t>
            </w:r>
            <w:r w:rsidRPr="00F94B27" w:rsidR="00F94B27">
              <w:rPr>
                <w:b/>
              </w:rPr>
              <w:t>]</w:t>
            </w:r>
            <w:r w:rsidRPr="00652C7E">
              <w:t xml:space="preserve"> </w:t>
            </w:r>
            <w:r w:rsidRPr="00F94B27" w:rsidR="00F94B27">
              <w:rPr>
                <w:b/>
              </w:rPr>
              <w:t>[</w:t>
            </w:r>
            <w:r w:rsidRPr="00652C7E">
              <w:t xml:space="preserve">first </w:t>
            </w:r>
            <w:r w:rsidRPr="00F94B27" w:rsidR="00F94B27">
              <w:rPr>
                <w:b/>
              </w:rPr>
              <w:t>[</w:t>
            </w:r>
            <w:r w:rsidRPr="006F316C">
              <w:rPr>
                <w:b/>
                <w:i/>
              </w:rPr>
              <w:t>insert number of Interest Payment Dates, on which a fixed rate per annum is applicable:</w:t>
            </w:r>
            <w:r w:rsidRPr="00652C7E">
              <w:t xml:space="preserve"> </w:t>
            </w:r>
            <w:r w:rsidRPr="00F94B27" w:rsidR="00F94B27">
              <w:rPr>
                <w:b/>
              </w:rPr>
              <w:t>[</w:t>
            </w:r>
            <w:r w:rsidR="003857E8">
              <w:rPr>
                <w:rFonts w:ascii="Arial" w:hAnsi="Arial" w:cs="Arial"/>
              </w:rPr>
              <w:t>●</w:t>
            </w:r>
            <w:r w:rsidRPr="00F94B27" w:rsidR="00F94B27">
              <w:rPr>
                <w:b/>
              </w:rPr>
              <w:t>]]</w:t>
            </w:r>
            <w:r w:rsidRPr="00652C7E">
              <w:t xml:space="preserve"> Interest Payment Date</w:t>
            </w:r>
            <w:r w:rsidRPr="00F94B27" w:rsidR="00F94B27">
              <w:rPr>
                <w:b/>
              </w:rPr>
              <w:t>[</w:t>
            </w:r>
            <w:r w:rsidRPr="00652C7E">
              <w:t>s</w:t>
            </w:r>
            <w:r w:rsidRPr="00F94B27" w:rsidR="00F94B27">
              <w:rPr>
                <w:b/>
              </w:rPr>
              <w:t>]</w:t>
            </w:r>
            <w:r w:rsidRPr="00652C7E">
              <w:t xml:space="preserve">. For the calculation of the Interest Payment Amount on the </w:t>
            </w:r>
            <w:r w:rsidRPr="00F94B27" w:rsidR="00F94B27">
              <w:rPr>
                <w:b/>
              </w:rPr>
              <w:t>[</w:t>
            </w:r>
            <w:r w:rsidRPr="006F316C">
              <w:rPr>
                <w:b/>
                <w:i/>
              </w:rPr>
              <w:t>insert number of Interest Payment Date, from which the Interest Rate will be a variable rate per annum:</w:t>
            </w:r>
            <w:r w:rsidRPr="00652C7E">
              <w:t xml:space="preserve"> </w:t>
            </w:r>
            <w:r w:rsidRPr="00F94B27" w:rsidR="00F94B27">
              <w:rPr>
                <w:b/>
              </w:rPr>
              <w:t>[</w:t>
            </w:r>
            <w:r w:rsidR="003857E8">
              <w:rPr>
                <w:rFonts w:ascii="Arial" w:hAnsi="Arial" w:cs="Arial"/>
              </w:rPr>
              <w:t>●</w:t>
            </w:r>
            <w:r w:rsidRPr="00F94B27" w:rsidR="00F94B27">
              <w:rPr>
                <w:b/>
              </w:rPr>
              <w:t>]]</w:t>
            </w:r>
            <w:r w:rsidRPr="00652C7E">
              <w:t xml:space="preserve"> Interest Payment Date </w:t>
            </w:r>
            <w:r w:rsidRPr="00F94B27" w:rsidR="00F94B27">
              <w:rPr>
                <w:b/>
              </w:rPr>
              <w:t>[</w:t>
            </w:r>
            <w:r w:rsidRPr="00652C7E">
              <w:t>and any following Interest Payment Date</w:t>
            </w:r>
            <w:r w:rsidRPr="00F94B27" w:rsidR="00F94B27">
              <w:rPr>
                <w:b/>
              </w:rPr>
              <w:t>]</w:t>
            </w:r>
            <w:r w:rsidRPr="00652C7E">
              <w:t xml:space="preserve"> the Interest Payment Amount</w:t>
            </w:r>
            <w:r w:rsidRPr="00F94B27" w:rsidR="00F94B27">
              <w:rPr>
                <w:b/>
              </w:rPr>
              <w:t>[</w:t>
            </w:r>
            <w:r w:rsidRPr="00652C7E">
              <w:t>s</w:t>
            </w:r>
            <w:r w:rsidRPr="00F94B27" w:rsidR="00F94B27">
              <w:rPr>
                <w:b/>
              </w:rPr>
              <w:t>]</w:t>
            </w:r>
            <w:r w:rsidRPr="00652C7E">
              <w:t xml:space="preserve"> will be calculated on the basis of a variable Interest Rate. Such variable Interest Rate will be equal to the lesser of (i) the relevant Maximum Interest Rate (which is equal to the Interest Rate applicable to the immediately preceding Interest Payment Date, plus </w:t>
            </w:r>
            <w:r w:rsidRPr="00F94B27" w:rsidR="00F94B27">
              <w:rPr>
                <w:b/>
              </w:rPr>
              <w:t>[</w:t>
            </w:r>
            <w:r w:rsidR="003857E8">
              <w:rPr>
                <w:rFonts w:ascii="Arial" w:hAnsi="Arial" w:cs="Arial"/>
              </w:rPr>
              <w:t>●</w:t>
            </w:r>
            <w:r w:rsidRPr="00F94B27" w:rsidR="00F94B27">
              <w:rPr>
                <w:b/>
              </w:rPr>
              <w:t>]</w:t>
            </w:r>
            <w:r w:rsidRPr="00652C7E">
              <w:t xml:space="preserve">% per annum) and (ii) the greater of (a) the </w:t>
            </w:r>
            <w:r w:rsidRPr="00F94B27" w:rsidR="00F94B27">
              <w:rPr>
                <w:b/>
              </w:rPr>
              <w:t>[</w:t>
            </w:r>
            <w:r w:rsidRPr="00652C7E">
              <w:t>Reference Rate (</w:t>
            </w:r>
            <w:r w:rsidRPr="007E3558" w:rsidR="007E3558">
              <w:rPr>
                <w:i/>
              </w:rPr>
              <w:t>i.e.</w:t>
            </w:r>
            <w:r w:rsidRPr="00652C7E">
              <w:t>, a variable rate of interest) on the relevant Interest Determination Date</w:t>
            </w:r>
            <w:r w:rsidRPr="00F94B27" w:rsidR="00F94B27">
              <w:rPr>
                <w:b/>
              </w:rPr>
              <w:t>]</w:t>
            </w:r>
            <w:r w:rsidRPr="00652C7E">
              <w:t xml:space="preserve"> </w:t>
            </w:r>
            <w:r w:rsidRPr="00F94B27" w:rsidR="00F94B27">
              <w:rPr>
                <w:b/>
              </w:rPr>
              <w:t>[</w:t>
            </w:r>
            <w:r w:rsidRPr="00652C7E">
              <w:t>sum of the Reference Rate (</w:t>
            </w:r>
            <w:r w:rsidRPr="007E3558" w:rsidR="007E3558">
              <w:rPr>
                <w:i/>
              </w:rPr>
              <w:t>i.e.</w:t>
            </w:r>
            <w:r w:rsidRPr="00652C7E">
              <w:t xml:space="preserve">, a variable rate of interest) on the relevant Interest Determination Date and </w:t>
            </w:r>
            <w:r w:rsidRPr="00F94B27" w:rsidR="00F94B27">
              <w:rPr>
                <w:b/>
              </w:rPr>
              <w:t>[</w:t>
            </w:r>
            <w:r w:rsidR="003857E8">
              <w:rPr>
                <w:rFonts w:ascii="Arial" w:hAnsi="Arial" w:cs="Arial"/>
              </w:rPr>
              <w:t>●</w:t>
            </w:r>
            <w:r w:rsidRPr="00F94B27" w:rsidR="00F94B27">
              <w:rPr>
                <w:b/>
              </w:rPr>
              <w:t>]</w:t>
            </w:r>
            <w:r w:rsidRPr="00652C7E">
              <w:t>% per annum</w:t>
            </w:r>
            <w:r w:rsidRPr="00F94B27" w:rsidR="00F94B27">
              <w:rPr>
                <w:b/>
              </w:rPr>
              <w:t>]</w:t>
            </w:r>
            <w:r w:rsidRPr="00652C7E">
              <w:t xml:space="preserve">, and (b) the relevant Minimum Interest Rate (which is equal to the Interest Rate applicable to the immediately preceding Interest Payment Date </w:t>
            </w:r>
            <w:r w:rsidRPr="00F94B27" w:rsidR="00F94B27">
              <w:rPr>
                <w:b/>
              </w:rPr>
              <w:t>[</w:t>
            </w:r>
            <w:r w:rsidRPr="00652C7E">
              <w:t xml:space="preserve">plus </w:t>
            </w:r>
            <w:r w:rsidRPr="00F94B27" w:rsidR="00F94B27">
              <w:rPr>
                <w:b/>
              </w:rPr>
              <w:t>[</w:t>
            </w:r>
            <w:r w:rsidR="003857E8">
              <w:rPr>
                <w:rFonts w:ascii="Arial" w:hAnsi="Arial" w:cs="Arial"/>
              </w:rPr>
              <w:t>●</w:t>
            </w:r>
            <w:r w:rsidRPr="00F94B27" w:rsidR="00F94B27">
              <w:rPr>
                <w:b/>
              </w:rPr>
              <w:t>]</w:t>
            </w:r>
            <w:r w:rsidRPr="00652C7E">
              <w:t>% per annum</w:t>
            </w:r>
            <w:r w:rsidRPr="00F94B27" w:rsidR="00F94B27">
              <w:rPr>
                <w:b/>
              </w:rPr>
              <w:t>]</w:t>
            </w:r>
            <w:r w:rsidRPr="00652C7E">
              <w:t>. Consequently, an increase in the Referene Rate will generally result in a higher variable Interest Rate, but will in no event exceed the Maximum Interest Rate, while a decrease in the Reference Rate will generally result in a lower variable Interest Rate, but in no event falling below the Minimum Interest Rate. The profit potential in relation to Stairway Notes is therefore capped.</w:t>
            </w:r>
            <w:r w:rsidRPr="00F94B27" w:rsidR="00F94B27">
              <w:rPr>
                <w:b/>
              </w:rPr>
              <w:t>]</w:t>
            </w:r>
          </w:p>
        </w:tc>
        <w:tc>
          <w:tcPr>
            <w:tcW w:w="2466" w:type="pct"/>
            <w:gridSpan w:val="14"/>
            <w:tcBorders>
              <w:left w:val="single" w:sz="4" w:space="0" w:color="auto"/>
            </w:tcBorders>
          </w:tcPr>
          <w:p w:rsidR="006F316C" w:rsidRPr="006F316C" w:rsidP="00474C21">
            <w:pPr>
              <w:pStyle w:val="CSBody0"/>
              <w:rPr>
                <w:lang w:val="de-DE"/>
              </w:rPr>
            </w:pPr>
            <w:r w:rsidRPr="006F316C">
              <w:rPr>
                <w:lang w:val="de-DE"/>
              </w:rPr>
              <w:t xml:space="preserve">Bei Stairway Notes entspricht der Zinssatz, auf dessen Grundlage die Zinszahlungsbeträge berechnet werden, einem Festsatz per annum für </w:t>
            </w:r>
            <w:r w:rsidRPr="00F94B27" w:rsidR="00F94B27">
              <w:rPr>
                <w:b/>
                <w:lang w:val="de-DE"/>
              </w:rPr>
              <w:t>[</w:t>
            </w:r>
            <w:r w:rsidRPr="006F316C">
              <w:rPr>
                <w:lang w:val="de-DE"/>
              </w:rPr>
              <w:t>den ersten</w:t>
            </w:r>
            <w:r w:rsidRPr="00F94B27" w:rsidR="00F94B27">
              <w:rPr>
                <w:b/>
                <w:lang w:val="de-DE"/>
              </w:rPr>
              <w:t>]</w:t>
            </w:r>
            <w:r w:rsidRPr="006F316C">
              <w:rPr>
                <w:lang w:val="de-DE"/>
              </w:rPr>
              <w:t xml:space="preserve"> </w:t>
            </w:r>
            <w:r w:rsidRPr="00F94B27" w:rsidR="00F94B27">
              <w:rPr>
                <w:b/>
                <w:lang w:val="de-DE"/>
              </w:rPr>
              <w:t>[</w:t>
            </w:r>
            <w:r w:rsidRPr="006F316C">
              <w:rPr>
                <w:lang w:val="de-DE"/>
              </w:rPr>
              <w:t xml:space="preserve">die ersten </w:t>
            </w:r>
            <w:r w:rsidRPr="00F94B27" w:rsidR="00F94B27">
              <w:rPr>
                <w:b/>
                <w:lang w:val="de-DE"/>
              </w:rPr>
              <w:t>[</w:t>
            </w:r>
            <w:r w:rsidRPr="006F316C">
              <w:rPr>
                <w:b/>
                <w:i/>
                <w:lang w:val="de-DE"/>
              </w:rPr>
              <w:t>Anzahl der Zinszahlungstage einfügen, an denen ein Festsatz per annum anwendbar ist:</w:t>
            </w:r>
            <w:r w:rsidRPr="006F316C">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xml:space="preserve"> Zinszahlungstag</w:t>
            </w:r>
            <w:r w:rsidRPr="00F94B27" w:rsidR="00F94B27">
              <w:rPr>
                <w:b/>
                <w:lang w:val="de-DE"/>
              </w:rPr>
              <w:t>[</w:t>
            </w:r>
            <w:r w:rsidRPr="006F316C">
              <w:rPr>
                <w:lang w:val="de-DE"/>
              </w:rPr>
              <w:t>e</w:t>
            </w:r>
            <w:r w:rsidRPr="00F94B27" w:rsidR="00F94B27">
              <w:rPr>
                <w:b/>
                <w:lang w:val="de-DE"/>
              </w:rPr>
              <w:t>]</w:t>
            </w:r>
            <w:r w:rsidRPr="006F316C">
              <w:rPr>
                <w:lang w:val="de-DE"/>
              </w:rPr>
              <w:t xml:space="preserve">. Für die Berechnung des Zinszahlungsbetrags am </w:t>
            </w:r>
            <w:r w:rsidRPr="00F94B27" w:rsidR="00F94B27">
              <w:rPr>
                <w:b/>
                <w:lang w:val="de-DE"/>
              </w:rPr>
              <w:t>[</w:t>
            </w:r>
            <w:r w:rsidRPr="006F316C">
              <w:rPr>
                <w:b/>
                <w:i/>
                <w:lang w:val="de-DE"/>
              </w:rPr>
              <w:t>Zahl des Zinszahlungstags einfügen, von dem an der Zinssatz ein variabler Satz per annum sein wird:</w:t>
            </w:r>
            <w:r w:rsidRPr="006F316C">
              <w:rPr>
                <w:lang w:val="de-DE"/>
              </w:rPr>
              <w:t xml:space="preserve">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xml:space="preserve"> Zinszahlungstag </w:t>
            </w:r>
            <w:r w:rsidRPr="00F94B27" w:rsidR="00F94B27">
              <w:rPr>
                <w:b/>
                <w:lang w:val="de-DE"/>
              </w:rPr>
              <w:t>[</w:t>
            </w:r>
            <w:r w:rsidRPr="006F316C">
              <w:rPr>
                <w:lang w:val="de-DE"/>
              </w:rPr>
              <w:t>und jeden folgenden Zinszahlungstag</w:t>
            </w:r>
            <w:r w:rsidRPr="00F94B27" w:rsidR="00F94B27">
              <w:rPr>
                <w:b/>
                <w:lang w:val="de-DE"/>
              </w:rPr>
              <w:t>]</w:t>
            </w:r>
            <w:r w:rsidRPr="006F316C">
              <w:rPr>
                <w:lang w:val="de-DE"/>
              </w:rPr>
              <w:t xml:space="preserve"> </w:t>
            </w:r>
            <w:r w:rsidRPr="00F94B27" w:rsidR="00F94B27">
              <w:rPr>
                <w:b/>
                <w:lang w:val="de-DE"/>
              </w:rPr>
              <w:t>[</w:t>
            </w:r>
            <w:r w:rsidRPr="006F316C">
              <w:rPr>
                <w:lang w:val="de-DE"/>
              </w:rPr>
              <w:t>wird</w:t>
            </w:r>
            <w:r w:rsidRPr="00F94B27" w:rsidR="00F94B27">
              <w:rPr>
                <w:b/>
                <w:lang w:val="de-DE"/>
              </w:rPr>
              <w:t>]</w:t>
            </w:r>
            <w:r w:rsidRPr="006F316C">
              <w:rPr>
                <w:lang w:val="de-DE"/>
              </w:rPr>
              <w:t xml:space="preserve"> </w:t>
            </w:r>
            <w:r w:rsidRPr="00F94B27" w:rsidR="00F94B27">
              <w:rPr>
                <w:b/>
                <w:lang w:val="de-DE"/>
              </w:rPr>
              <w:t>[</w:t>
            </w:r>
            <w:r w:rsidRPr="006F316C">
              <w:rPr>
                <w:lang w:val="de-DE"/>
              </w:rPr>
              <w:t>werden</w:t>
            </w:r>
            <w:r w:rsidRPr="00F94B27" w:rsidR="00F94B27">
              <w:rPr>
                <w:b/>
                <w:lang w:val="de-DE"/>
              </w:rPr>
              <w:t>]</w:t>
            </w:r>
            <w:r w:rsidRPr="006F316C">
              <w:rPr>
                <w:lang w:val="de-DE"/>
              </w:rPr>
              <w:t xml:space="preserve"> </w:t>
            </w:r>
            <w:r w:rsidRPr="00F94B27" w:rsidR="00F94B27">
              <w:rPr>
                <w:b/>
                <w:lang w:val="de-DE"/>
              </w:rPr>
              <w:t>[</w:t>
            </w:r>
            <w:r w:rsidRPr="006F316C">
              <w:rPr>
                <w:lang w:val="de-DE"/>
              </w:rPr>
              <w:t>der Zinszahlungsbetrag</w:t>
            </w:r>
            <w:r w:rsidRPr="00F94B27" w:rsidR="00F94B27">
              <w:rPr>
                <w:b/>
                <w:lang w:val="de-DE"/>
              </w:rPr>
              <w:t>]</w:t>
            </w:r>
            <w:r w:rsidRPr="006F316C">
              <w:rPr>
                <w:lang w:val="de-DE"/>
              </w:rPr>
              <w:t xml:space="preserve"> </w:t>
            </w:r>
            <w:r w:rsidRPr="00F94B27" w:rsidR="00F94B27">
              <w:rPr>
                <w:b/>
                <w:lang w:val="de-DE"/>
              </w:rPr>
              <w:t>[</w:t>
            </w:r>
            <w:r w:rsidRPr="006F316C">
              <w:rPr>
                <w:lang w:val="de-DE"/>
              </w:rPr>
              <w:t>die Zinszahlungsbeträge</w:t>
            </w:r>
            <w:r w:rsidRPr="00F94B27" w:rsidR="00F94B27">
              <w:rPr>
                <w:b/>
                <w:lang w:val="de-DE"/>
              </w:rPr>
              <w:t>]</w:t>
            </w:r>
            <w:r w:rsidRPr="006F316C">
              <w:rPr>
                <w:lang w:val="de-DE"/>
              </w:rPr>
              <w:t xml:space="preserve"> auf der Grundlage eines variablen Zinssatzes berechnet. Dieser variable Zinssatz entspricht dem kleineren der folgenden Beträge: (i) der jeweilige Höchstzinssatz (der dem Zinssatz entspricht, der am unmittelbar vorangegangenen Zinszahlungstag Anwendung gefunden hat, 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xml:space="preserve">% per annum) und (ii) der grössere der folgenden Beträge: (a) </w:t>
            </w:r>
            <w:r w:rsidRPr="00F94B27" w:rsidR="00F94B27">
              <w:rPr>
                <w:b/>
                <w:lang w:val="de-DE"/>
              </w:rPr>
              <w:t>[</w:t>
            </w:r>
            <w:r w:rsidRPr="006F316C">
              <w:rPr>
                <w:lang w:val="de-DE"/>
              </w:rPr>
              <w:t>der Referenzsatz (d.h. ein variabler Zinssatz) am jeweiligen Zinsfeststellungstag</w:t>
            </w:r>
            <w:r w:rsidRPr="00F94B27" w:rsidR="00F94B27">
              <w:rPr>
                <w:b/>
                <w:lang w:val="de-DE"/>
              </w:rPr>
              <w:t>]</w:t>
            </w:r>
            <w:r w:rsidRPr="006F316C">
              <w:rPr>
                <w:lang w:val="de-DE"/>
              </w:rPr>
              <w:t xml:space="preserve"> </w:t>
            </w:r>
            <w:r w:rsidRPr="00F94B27" w:rsidR="00F94B27">
              <w:rPr>
                <w:b/>
                <w:lang w:val="de-DE"/>
              </w:rPr>
              <w:t>[</w:t>
            </w:r>
            <w:r w:rsidRPr="006F316C">
              <w:rPr>
                <w:lang w:val="de-DE"/>
              </w:rPr>
              <w:t xml:space="preserve">die Summe aus dem Referenzsatz (d.h. ein variabler Zinssatz) am jeweiligen Zinsfeststellungstag und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per annum</w:t>
            </w:r>
            <w:r w:rsidRPr="00F94B27" w:rsidR="00F94B27">
              <w:rPr>
                <w:b/>
                <w:lang w:val="de-DE"/>
              </w:rPr>
              <w:t>]</w:t>
            </w:r>
            <w:r w:rsidRPr="006F316C">
              <w:rPr>
                <w:lang w:val="de-DE"/>
              </w:rPr>
              <w:t xml:space="preserve">, und (b) der jeweilige Mindestzinssatz (der dem Zinssatz entspricht, der am unmittelbar vorangegangenen Zinszahlungstag Anwendung gefunden hat </w:t>
            </w:r>
            <w:r w:rsidRPr="00F94B27" w:rsidR="00F94B27">
              <w:rPr>
                <w:b/>
                <w:lang w:val="de-DE"/>
              </w:rPr>
              <w:t>[</w:t>
            </w:r>
            <w:r w:rsidRPr="006F316C">
              <w:rPr>
                <w:lang w:val="de-DE"/>
              </w:rPr>
              <w:t xml:space="preserve">, 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per annum</w:t>
            </w:r>
            <w:r w:rsidRPr="00F94B27" w:rsidR="00F94B27">
              <w:rPr>
                <w:b/>
                <w:lang w:val="de-DE"/>
              </w:rPr>
              <w:t>]</w:t>
            </w:r>
            <w:r w:rsidRPr="006F316C">
              <w:rPr>
                <w:lang w:val="de-DE"/>
              </w:rPr>
              <w:t>. Folglich führt ein Ansteigen des Referenzsatzes regelmässig zu einem höheren variablen Zinssatz, der aber in keinem Fall über den Höchstzinssatz steigen kann. Umgekehrt führt ein Absinken des Referenzsatzes regelmässig zu einem variablen Zinssatz, der aber keinem Fall unter den Mindestzinssatz fallen kann. Folglich ist das Gewinnpotenzial bei Stairway Notes nach oben hin begrenzt.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F316C" w:rsidRPr="00AB16EC" w:rsidP="006F316C">
            <w:pPr>
              <w:pStyle w:val="CSbody0bolditalic"/>
              <w:rPr>
                <w:lang w:val="en-GB"/>
              </w:rPr>
            </w:pPr>
            <w:r w:rsidRPr="00F94B27">
              <w:rPr>
                <w:lang w:val="en-GB"/>
              </w:rPr>
              <w:t>[</w:t>
            </w:r>
            <w:r w:rsidRPr="00AB16EC">
              <w:rPr>
                <w:lang w:val="en-GB"/>
              </w:rPr>
              <w:t>in case of Inverse Floating Rate Notes:</w:t>
            </w:r>
          </w:p>
        </w:tc>
        <w:tc>
          <w:tcPr>
            <w:tcW w:w="2466" w:type="pct"/>
            <w:gridSpan w:val="14"/>
            <w:tcBorders>
              <w:left w:val="single" w:sz="4" w:space="0" w:color="auto"/>
            </w:tcBorders>
          </w:tcPr>
          <w:p w:rsidR="006F316C" w:rsidRPr="00AB16EC" w:rsidP="006F316C">
            <w:pPr>
              <w:pStyle w:val="CSbody0bolditalic"/>
              <w:rPr>
                <w:lang w:val="en-GB"/>
              </w:rPr>
            </w:pPr>
            <w:r w:rsidRPr="00F94B27">
              <w:rPr>
                <w:lang w:val="en-GB"/>
              </w:rPr>
              <w:t>[</w:t>
            </w:r>
            <w:r w:rsidRPr="00AB16EC">
              <w:rPr>
                <w:lang w:val="en-GB"/>
              </w:rPr>
              <w:t>bei Inverse Floating Rate Notes:</w:t>
            </w:r>
          </w:p>
        </w:tc>
      </w:tr>
      <w:tr w:rsidTr="00942F00">
        <w:tblPrEx>
          <w:tblW w:w="5000" w:type="pct"/>
          <w:tblLayout w:type="fixed"/>
          <w:tblLook w:val="04A0"/>
        </w:tblPrEx>
        <w:tc>
          <w:tcPr>
            <w:tcW w:w="2534" w:type="pct"/>
            <w:gridSpan w:val="14"/>
            <w:tcBorders>
              <w:right w:val="single" w:sz="4" w:space="0" w:color="auto"/>
            </w:tcBorders>
          </w:tcPr>
          <w:p w:rsidR="006F316C" w:rsidRPr="00652C7E" w:rsidP="006F316C">
            <w:pPr>
              <w:pStyle w:val="CSBody0"/>
            </w:pPr>
            <w:r w:rsidRPr="00F94B27">
              <w:rPr>
                <w:b/>
              </w:rPr>
              <w:t>[</w:t>
            </w:r>
            <w:r w:rsidRPr="006F316C">
              <w:rPr>
                <w:b/>
                <w:i/>
              </w:rPr>
              <w:t>in case of Complex Products with one or more Fixed Interest Payment Dates:</w:t>
            </w:r>
            <w:r w:rsidRPr="00652C7E">
              <w:t xml:space="preserve"> In case of Inverse Floating Rate Notes, the Interest Rate on the basis of which the Interest Payment Amounts are calculated will be equal to a fixed rate per annum for the </w:t>
            </w:r>
            <w:r w:rsidRPr="00F94B27">
              <w:rPr>
                <w:b/>
              </w:rPr>
              <w:t>[</w:t>
            </w:r>
            <w:r w:rsidRPr="00652C7E">
              <w:t>first</w:t>
            </w:r>
            <w:r w:rsidRPr="00F94B27">
              <w:rPr>
                <w:b/>
              </w:rPr>
              <w:t>]</w:t>
            </w:r>
            <w:r w:rsidRPr="00652C7E">
              <w:t xml:space="preserve"> </w:t>
            </w:r>
            <w:r w:rsidRPr="00F94B27">
              <w:rPr>
                <w:b/>
              </w:rPr>
              <w:t>[</w:t>
            </w:r>
            <w:r w:rsidRPr="00652C7E">
              <w:t xml:space="preserve">first </w:t>
            </w:r>
            <w:r w:rsidRPr="00F94B27">
              <w:rPr>
                <w:b/>
              </w:rPr>
              <w:t>[</w:t>
            </w:r>
            <w:r w:rsidRPr="006F316C">
              <w:rPr>
                <w:b/>
                <w:i/>
              </w:rPr>
              <w:t>insert number of Interest Payment Dates, on which a fixed rate per annum is applicable:</w:t>
            </w:r>
            <w:r w:rsidRPr="00652C7E">
              <w:t xml:space="preserve"> </w:t>
            </w:r>
            <w:r w:rsidRPr="00F94B27">
              <w:rPr>
                <w:b/>
              </w:rPr>
              <w:t>[</w:t>
            </w:r>
            <w:r w:rsidR="003857E8">
              <w:rPr>
                <w:rFonts w:ascii="Arial" w:hAnsi="Arial" w:cs="Arial"/>
              </w:rPr>
              <w:t>●</w:t>
            </w:r>
            <w:r w:rsidRPr="00F94B27">
              <w:rPr>
                <w:b/>
              </w:rPr>
              <w:t>]]</w:t>
            </w:r>
            <w:r w:rsidRPr="00652C7E">
              <w:t xml:space="preserve"> Interest Payment Date</w:t>
            </w:r>
            <w:r w:rsidRPr="00F94B27">
              <w:rPr>
                <w:b/>
              </w:rPr>
              <w:t>[</w:t>
            </w:r>
            <w:r w:rsidRPr="00652C7E">
              <w:t>s</w:t>
            </w:r>
            <w:r w:rsidRPr="00F94B27">
              <w:rPr>
                <w:b/>
              </w:rPr>
              <w:t>]</w:t>
            </w:r>
            <w:r w:rsidRPr="00652C7E">
              <w:t xml:space="preserve">. For the calculation of the Interest Payment Amount on the </w:t>
            </w:r>
            <w:r w:rsidRPr="00F94B27">
              <w:rPr>
                <w:b/>
              </w:rPr>
              <w:t>[</w:t>
            </w:r>
            <w:r w:rsidRPr="006F316C">
              <w:rPr>
                <w:b/>
                <w:i/>
              </w:rPr>
              <w:t>insert number of Interest Payment Date, from which the Interest Rate will be a variable rate per annum:</w:t>
            </w:r>
            <w:r w:rsidRPr="00652C7E">
              <w:t xml:space="preserve"> </w:t>
            </w:r>
            <w:r w:rsidRPr="00F94B27">
              <w:rPr>
                <w:b/>
              </w:rPr>
              <w:t>[</w:t>
            </w:r>
            <w:r w:rsidR="003857E8">
              <w:rPr>
                <w:rFonts w:ascii="Arial" w:hAnsi="Arial" w:cs="Arial"/>
              </w:rPr>
              <w:t>●</w:t>
            </w:r>
            <w:r w:rsidRPr="00F94B27">
              <w:rPr>
                <w:b/>
              </w:rPr>
              <w:t>]]</w:t>
            </w:r>
            <w:r w:rsidRPr="00652C7E">
              <w:t xml:space="preserve"> Interest Payment Date </w:t>
            </w:r>
            <w:r w:rsidRPr="00F94B27">
              <w:rPr>
                <w:b/>
              </w:rPr>
              <w:t>[</w:t>
            </w:r>
            <w:r w:rsidRPr="00652C7E">
              <w:t>and any following Interest Payment Date</w:t>
            </w:r>
            <w:r w:rsidRPr="00F94B27">
              <w:rPr>
                <w:b/>
              </w:rPr>
              <w:t>]</w:t>
            </w:r>
            <w:r w:rsidRPr="00652C7E">
              <w:t xml:space="preserve"> the Interest Payment Amount</w:t>
            </w:r>
            <w:r w:rsidRPr="00F94B27">
              <w:rPr>
                <w:b/>
              </w:rPr>
              <w:t>[</w:t>
            </w:r>
            <w:r w:rsidRPr="00652C7E">
              <w:t>s</w:t>
            </w:r>
            <w:r w:rsidRPr="00F94B27">
              <w:rPr>
                <w:b/>
              </w:rPr>
              <w:t>]</w:t>
            </w:r>
            <w:r w:rsidRPr="00652C7E">
              <w:t xml:space="preserve"> will be calculated on the basis of a variable Interest Rate.</w:t>
            </w:r>
            <w:r w:rsidRPr="00F94B27">
              <w:rPr>
                <w:b/>
              </w:rPr>
              <w:t>]</w:t>
            </w:r>
          </w:p>
        </w:tc>
        <w:tc>
          <w:tcPr>
            <w:tcW w:w="2466" w:type="pct"/>
            <w:gridSpan w:val="14"/>
            <w:tcBorders>
              <w:left w:val="single" w:sz="4" w:space="0" w:color="auto"/>
            </w:tcBorders>
          </w:tcPr>
          <w:p w:rsidR="006F316C" w:rsidRPr="006F316C" w:rsidP="004B319E">
            <w:pPr>
              <w:pStyle w:val="CSBody0"/>
              <w:rPr>
                <w:lang w:val="de-DE"/>
              </w:rPr>
            </w:pPr>
            <w:r w:rsidRPr="00F94B27">
              <w:rPr>
                <w:b/>
                <w:lang w:val="de-DE"/>
              </w:rPr>
              <w:t>[</w:t>
            </w:r>
            <w:r w:rsidRPr="006F316C">
              <w:rPr>
                <w:b/>
                <w:i/>
                <w:lang w:val="de-DE"/>
              </w:rPr>
              <w:t>bei Komplexen Produkten mit einem oder mehreren Zahlungstagen für Festzinsen:</w:t>
            </w:r>
            <w:r w:rsidRPr="006F316C">
              <w:rPr>
                <w:lang w:val="de-DE"/>
              </w:rPr>
              <w:t xml:space="preserve"> Bei Inverse Floating Rate Notes entspricht der Zinssatz, auf dessen Grundlage die Zinszahlungsbeträge berechnet werden, einem Festsatz per annum für </w:t>
            </w:r>
            <w:r w:rsidRPr="00F94B27">
              <w:rPr>
                <w:b/>
                <w:lang w:val="de-DE"/>
              </w:rPr>
              <w:t>[</w:t>
            </w:r>
            <w:r w:rsidRPr="006F316C">
              <w:rPr>
                <w:lang w:val="de-DE"/>
              </w:rPr>
              <w:t>den ersten</w:t>
            </w:r>
            <w:r w:rsidRPr="00F94B27">
              <w:rPr>
                <w:b/>
                <w:lang w:val="de-DE"/>
              </w:rPr>
              <w:t>]</w:t>
            </w:r>
            <w:r w:rsidRPr="006F316C">
              <w:rPr>
                <w:lang w:val="de-DE"/>
              </w:rPr>
              <w:t xml:space="preserve"> </w:t>
            </w:r>
            <w:r w:rsidRPr="00F94B27">
              <w:rPr>
                <w:b/>
                <w:lang w:val="de-DE"/>
              </w:rPr>
              <w:t>[</w:t>
            </w:r>
            <w:r w:rsidRPr="006F316C">
              <w:rPr>
                <w:lang w:val="de-DE"/>
              </w:rPr>
              <w:t xml:space="preserve">die ersten </w:t>
            </w:r>
            <w:r w:rsidRPr="00F94B27">
              <w:rPr>
                <w:b/>
                <w:lang w:val="de-DE"/>
              </w:rPr>
              <w:t>[</w:t>
            </w:r>
            <w:r w:rsidRPr="006F316C">
              <w:rPr>
                <w:b/>
                <w:i/>
                <w:lang w:val="de-DE"/>
              </w:rPr>
              <w:t>Anzahl der Zinszahlungstage einfügen, an denen ein Festsatz per annum anwendbar ist:</w:t>
            </w:r>
            <w:r w:rsidRPr="006F316C">
              <w:rPr>
                <w:lang w:val="de-DE"/>
              </w:rPr>
              <w:t xml:space="preserve"> </w:t>
            </w:r>
            <w:r w:rsidRPr="00F94B27">
              <w:rPr>
                <w:b/>
                <w:lang w:val="de-DE"/>
              </w:rPr>
              <w:t>[</w:t>
            </w:r>
            <w:r w:rsidRPr="00116653" w:rsidR="003857E8">
              <w:rPr>
                <w:rFonts w:ascii="Arial" w:hAnsi="Arial" w:cs="Arial"/>
                <w:lang w:val="de-DE"/>
              </w:rPr>
              <w:t>●</w:t>
            </w:r>
            <w:r w:rsidRPr="00F94B27">
              <w:rPr>
                <w:b/>
                <w:lang w:val="de-DE"/>
              </w:rPr>
              <w:t>]]</w:t>
            </w:r>
            <w:r w:rsidRPr="006F316C">
              <w:rPr>
                <w:lang w:val="de-DE"/>
              </w:rPr>
              <w:t xml:space="preserve"> Zinszahlungstag</w:t>
            </w:r>
            <w:r w:rsidRPr="00F94B27">
              <w:rPr>
                <w:b/>
                <w:lang w:val="de-DE"/>
              </w:rPr>
              <w:t>[</w:t>
            </w:r>
            <w:r w:rsidRPr="006F316C">
              <w:rPr>
                <w:lang w:val="de-DE"/>
              </w:rPr>
              <w:t>e</w:t>
            </w:r>
            <w:r w:rsidRPr="00F94B27">
              <w:rPr>
                <w:b/>
                <w:lang w:val="de-DE"/>
              </w:rPr>
              <w:t>]</w:t>
            </w:r>
            <w:r w:rsidRPr="006F316C">
              <w:rPr>
                <w:lang w:val="de-DE"/>
              </w:rPr>
              <w:t xml:space="preserve">. Für die Berechnung des Zinszahlungsbetrags am </w:t>
            </w:r>
            <w:r w:rsidRPr="00F94B27">
              <w:rPr>
                <w:b/>
                <w:lang w:val="de-DE"/>
              </w:rPr>
              <w:t>[</w:t>
            </w:r>
            <w:r w:rsidRPr="004B319E">
              <w:rPr>
                <w:b/>
                <w:i/>
                <w:lang w:val="de-DE"/>
              </w:rPr>
              <w:t>Zahl des Zinszahlungstags einfügen, von dem an der Zinssatz ein variabler Satz per annum sein wird:</w:t>
            </w:r>
            <w:r w:rsidRPr="006F316C">
              <w:rPr>
                <w:lang w:val="de-DE"/>
              </w:rPr>
              <w:t xml:space="preserve"> </w:t>
            </w:r>
            <w:r w:rsidRPr="00F94B27">
              <w:rPr>
                <w:b/>
                <w:lang w:val="de-DE"/>
              </w:rPr>
              <w:t>[</w:t>
            </w:r>
            <w:r w:rsidRPr="00116653" w:rsidR="003857E8">
              <w:rPr>
                <w:rFonts w:ascii="Arial" w:hAnsi="Arial" w:cs="Arial"/>
                <w:lang w:val="de-DE"/>
              </w:rPr>
              <w:t>●</w:t>
            </w:r>
            <w:r w:rsidRPr="00F94B27">
              <w:rPr>
                <w:b/>
                <w:lang w:val="de-DE"/>
              </w:rPr>
              <w:t>]]</w:t>
            </w:r>
            <w:r w:rsidRPr="006F316C">
              <w:rPr>
                <w:lang w:val="de-DE"/>
              </w:rPr>
              <w:t xml:space="preserve"> Zinszahlungstag </w:t>
            </w:r>
            <w:r w:rsidRPr="00F94B27">
              <w:rPr>
                <w:b/>
                <w:lang w:val="de-DE"/>
              </w:rPr>
              <w:t>[</w:t>
            </w:r>
            <w:r w:rsidRPr="006F316C">
              <w:rPr>
                <w:lang w:val="de-DE"/>
              </w:rPr>
              <w:t>und jeden folgenden Zinszahlungstag</w:t>
            </w:r>
            <w:r w:rsidRPr="00F94B27">
              <w:rPr>
                <w:b/>
                <w:lang w:val="de-DE"/>
              </w:rPr>
              <w:t>]</w:t>
            </w:r>
            <w:r w:rsidRPr="006F316C">
              <w:rPr>
                <w:lang w:val="de-DE"/>
              </w:rPr>
              <w:t xml:space="preserve"> </w:t>
            </w:r>
            <w:r w:rsidRPr="00F94B27">
              <w:rPr>
                <w:b/>
                <w:lang w:val="de-DE"/>
              </w:rPr>
              <w:t>[</w:t>
            </w:r>
            <w:r w:rsidRPr="006F316C">
              <w:rPr>
                <w:lang w:val="de-DE"/>
              </w:rPr>
              <w:t>wird</w:t>
            </w:r>
            <w:r w:rsidRPr="00F94B27">
              <w:rPr>
                <w:b/>
                <w:lang w:val="de-DE"/>
              </w:rPr>
              <w:t>]</w:t>
            </w:r>
            <w:r w:rsidRPr="006F316C">
              <w:rPr>
                <w:lang w:val="de-DE"/>
              </w:rPr>
              <w:t xml:space="preserve"> </w:t>
            </w:r>
            <w:r w:rsidRPr="00F94B27">
              <w:rPr>
                <w:b/>
                <w:lang w:val="de-DE"/>
              </w:rPr>
              <w:t>[</w:t>
            </w:r>
            <w:r w:rsidRPr="006F316C">
              <w:rPr>
                <w:lang w:val="de-DE"/>
              </w:rPr>
              <w:t>werden</w:t>
            </w:r>
            <w:r w:rsidRPr="00F94B27">
              <w:rPr>
                <w:b/>
                <w:lang w:val="de-DE"/>
              </w:rPr>
              <w:t>]</w:t>
            </w:r>
            <w:r w:rsidRPr="006F316C">
              <w:rPr>
                <w:lang w:val="de-DE"/>
              </w:rPr>
              <w:t xml:space="preserve"> </w:t>
            </w:r>
            <w:r w:rsidRPr="00F94B27">
              <w:rPr>
                <w:b/>
                <w:lang w:val="de-DE"/>
              </w:rPr>
              <w:t>[</w:t>
            </w:r>
            <w:r w:rsidRPr="006F316C">
              <w:rPr>
                <w:lang w:val="de-DE"/>
              </w:rPr>
              <w:t>der Zinszahlungsbetrag</w:t>
            </w:r>
            <w:r w:rsidRPr="00F94B27">
              <w:rPr>
                <w:b/>
                <w:lang w:val="de-DE"/>
              </w:rPr>
              <w:t>]</w:t>
            </w:r>
            <w:r w:rsidRPr="006F316C">
              <w:rPr>
                <w:lang w:val="de-DE"/>
              </w:rPr>
              <w:t xml:space="preserve"> </w:t>
            </w:r>
            <w:r w:rsidRPr="00F94B27">
              <w:rPr>
                <w:b/>
                <w:lang w:val="de-DE"/>
              </w:rPr>
              <w:t>[</w:t>
            </w:r>
            <w:r w:rsidRPr="006F316C">
              <w:rPr>
                <w:lang w:val="de-DE"/>
              </w:rPr>
              <w:t>die Zinszahlungsbeträge</w:t>
            </w:r>
            <w:r w:rsidRPr="00F94B27">
              <w:rPr>
                <w:b/>
                <w:lang w:val="de-DE"/>
              </w:rPr>
              <w:t>]</w:t>
            </w:r>
            <w:r w:rsidRPr="006F316C">
              <w:rPr>
                <w:lang w:val="de-DE"/>
              </w:rPr>
              <w:t xml:space="preserve"> auf der Grundlage eines variablen Zinssatzes berechnet.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F316C" w:rsidRPr="00652C7E" w:rsidP="004B319E">
            <w:pPr>
              <w:pStyle w:val="CSBody0"/>
            </w:pPr>
            <w:r w:rsidRPr="00F94B27">
              <w:rPr>
                <w:b/>
              </w:rPr>
              <w:t>[</w:t>
            </w:r>
            <w:r w:rsidRPr="004B319E">
              <w:rPr>
                <w:b/>
                <w:i/>
              </w:rPr>
              <w:t>in case of Complex Products without Fixed Interest Payment Dates:</w:t>
            </w:r>
            <w:r w:rsidRPr="00652C7E">
              <w:t xml:space="preserve"> In case of Inverse Floating Rate Notes, the Interest Rate on the basis of which the Interest Payment Amount</w:t>
            </w:r>
            <w:r w:rsidRPr="00F94B27">
              <w:rPr>
                <w:b/>
              </w:rPr>
              <w:t>[</w:t>
            </w:r>
            <w:r w:rsidRPr="00652C7E">
              <w:t>s</w:t>
            </w:r>
            <w:r w:rsidRPr="00F94B27">
              <w:rPr>
                <w:b/>
              </w:rPr>
              <w:t>]</w:t>
            </w:r>
            <w:r w:rsidRPr="00652C7E">
              <w:t xml:space="preserve"> </w:t>
            </w:r>
            <w:r w:rsidRPr="00F94B27">
              <w:rPr>
                <w:b/>
              </w:rPr>
              <w:t>[</w:t>
            </w:r>
            <w:r w:rsidRPr="00652C7E">
              <w:t>is</w:t>
            </w:r>
            <w:r w:rsidRPr="00F94B27">
              <w:rPr>
                <w:b/>
              </w:rPr>
              <w:t>][</w:t>
            </w:r>
            <w:r w:rsidRPr="00652C7E">
              <w:t>are</w:t>
            </w:r>
            <w:r w:rsidRPr="00F94B27">
              <w:rPr>
                <w:b/>
              </w:rPr>
              <w:t>]</w:t>
            </w:r>
            <w:r w:rsidRPr="00652C7E">
              <w:t xml:space="preserve"> calculated will be equal to a variable Interest Rate.</w:t>
            </w:r>
            <w:r w:rsidRPr="00F94B27">
              <w:rPr>
                <w:b/>
              </w:rPr>
              <w:t>]</w:t>
            </w:r>
          </w:p>
        </w:tc>
        <w:tc>
          <w:tcPr>
            <w:tcW w:w="2466" w:type="pct"/>
            <w:gridSpan w:val="14"/>
            <w:tcBorders>
              <w:left w:val="single" w:sz="4" w:space="0" w:color="auto"/>
            </w:tcBorders>
          </w:tcPr>
          <w:p w:rsidR="006F316C" w:rsidRPr="006F316C" w:rsidP="004B319E">
            <w:pPr>
              <w:pStyle w:val="CSBody0"/>
              <w:rPr>
                <w:lang w:val="de-DE"/>
              </w:rPr>
            </w:pPr>
            <w:r w:rsidRPr="00F94B27">
              <w:rPr>
                <w:b/>
                <w:lang w:val="de-DE"/>
              </w:rPr>
              <w:t>[</w:t>
            </w:r>
            <w:r w:rsidRPr="004B319E">
              <w:rPr>
                <w:b/>
                <w:i/>
                <w:lang w:val="de-DE"/>
              </w:rPr>
              <w:t>bei Komplexen Produkten ohne Zahlungstage für Festzinsen:</w:t>
            </w:r>
            <w:r w:rsidRPr="006F316C">
              <w:rPr>
                <w:lang w:val="de-DE"/>
              </w:rPr>
              <w:t xml:space="preserve"> Bei Inverse Floating Rate Notes entspricht der Zinssatz, auf dessen Grundlage </w:t>
            </w:r>
            <w:r w:rsidRPr="00F94B27">
              <w:rPr>
                <w:b/>
                <w:lang w:val="de-DE"/>
              </w:rPr>
              <w:t>[</w:t>
            </w:r>
            <w:r w:rsidRPr="006F316C">
              <w:rPr>
                <w:lang w:val="de-DE"/>
              </w:rPr>
              <w:t>der Zinszahlungsbetrag</w:t>
            </w:r>
            <w:r w:rsidRPr="00F94B27">
              <w:rPr>
                <w:b/>
                <w:lang w:val="de-DE"/>
              </w:rPr>
              <w:t>]</w:t>
            </w:r>
            <w:r w:rsidRPr="006F316C">
              <w:rPr>
                <w:lang w:val="de-DE"/>
              </w:rPr>
              <w:t xml:space="preserve"> </w:t>
            </w:r>
            <w:r w:rsidRPr="00F94B27">
              <w:rPr>
                <w:b/>
                <w:lang w:val="de-DE"/>
              </w:rPr>
              <w:t>[</w:t>
            </w:r>
            <w:r w:rsidRPr="006F316C">
              <w:rPr>
                <w:lang w:val="de-DE"/>
              </w:rPr>
              <w:t>die Zinszahlungsbeträge</w:t>
            </w:r>
            <w:r w:rsidRPr="00F94B27">
              <w:rPr>
                <w:b/>
                <w:lang w:val="de-DE"/>
              </w:rPr>
              <w:t>]</w:t>
            </w:r>
            <w:r w:rsidRPr="006F316C">
              <w:rPr>
                <w:lang w:val="de-DE"/>
              </w:rPr>
              <w:t xml:space="preserve"> berechnet </w:t>
            </w:r>
            <w:r w:rsidRPr="00F94B27">
              <w:rPr>
                <w:b/>
                <w:lang w:val="de-DE"/>
              </w:rPr>
              <w:t>[</w:t>
            </w:r>
            <w:r w:rsidRPr="006F316C">
              <w:rPr>
                <w:lang w:val="de-DE"/>
              </w:rPr>
              <w:t>wird</w:t>
            </w:r>
            <w:r w:rsidRPr="00F94B27">
              <w:rPr>
                <w:b/>
                <w:lang w:val="de-DE"/>
              </w:rPr>
              <w:t>]</w:t>
            </w:r>
            <w:r w:rsidRPr="006F316C">
              <w:rPr>
                <w:lang w:val="de-DE"/>
              </w:rPr>
              <w:t xml:space="preserve"> </w:t>
            </w:r>
            <w:r w:rsidRPr="00F94B27">
              <w:rPr>
                <w:b/>
                <w:lang w:val="de-DE"/>
              </w:rPr>
              <w:t>[</w:t>
            </w:r>
            <w:r w:rsidRPr="006F316C">
              <w:rPr>
                <w:lang w:val="de-DE"/>
              </w:rPr>
              <w:t>werden</w:t>
            </w:r>
            <w:r w:rsidRPr="00F94B27">
              <w:rPr>
                <w:b/>
                <w:lang w:val="de-DE"/>
              </w:rPr>
              <w:t>]</w:t>
            </w:r>
            <w:r w:rsidRPr="006F316C">
              <w:rPr>
                <w:lang w:val="de-DE"/>
              </w:rPr>
              <w:t>, einem variablen Zinssatz.</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6F316C" w:rsidRPr="00652C7E" w:rsidP="00474C21">
            <w:pPr>
              <w:pStyle w:val="CSBody0"/>
            </w:pPr>
            <w:r w:rsidRPr="00652C7E">
              <w:t>Such variable Interest Rate will be equal to the relevant Spread Rate (</w:t>
            </w:r>
            <w:r w:rsidRPr="007E3558" w:rsidR="007E3558">
              <w:rPr>
                <w:i/>
              </w:rPr>
              <w:t>i.e.</w:t>
            </w:r>
            <w:r w:rsidRPr="00652C7E">
              <w:t xml:space="preserve">, a fixed rate per annum) less the </w:t>
            </w:r>
            <w:r w:rsidRPr="00F94B27" w:rsidR="00F94B27">
              <w:rPr>
                <w:b/>
              </w:rPr>
              <w:t>[</w:t>
            </w:r>
            <w:r w:rsidRPr="00652C7E">
              <w:t>Reference Rate (i.e, a variable rate of interest) on the relevant Interest Determination Date</w:t>
            </w:r>
            <w:r w:rsidRPr="00F94B27" w:rsidR="00F94B27">
              <w:rPr>
                <w:b/>
              </w:rPr>
              <w:t>]</w:t>
            </w:r>
            <w:r w:rsidRPr="00652C7E">
              <w:t xml:space="preserve"> </w:t>
            </w:r>
            <w:r w:rsidRPr="00F94B27" w:rsidR="00F94B27">
              <w:rPr>
                <w:b/>
              </w:rPr>
              <w:t>[</w:t>
            </w:r>
            <w:r w:rsidRPr="00652C7E">
              <w:t xml:space="preserve">sum of the Reference Rate (i.e, a variable rate of interest) on the relevant Interest Determination Date and </w:t>
            </w:r>
            <w:r w:rsidRPr="00F94B27" w:rsidR="00F94B27">
              <w:rPr>
                <w:b/>
              </w:rPr>
              <w:t>[</w:t>
            </w:r>
            <w:r w:rsidR="003857E8">
              <w:rPr>
                <w:rFonts w:ascii="Arial" w:hAnsi="Arial" w:cs="Arial"/>
              </w:rPr>
              <w:t>●</w:t>
            </w:r>
            <w:r w:rsidRPr="00F94B27" w:rsidR="00F94B27">
              <w:rPr>
                <w:b/>
              </w:rPr>
              <w:t>]</w:t>
            </w:r>
            <w:r w:rsidRPr="00652C7E">
              <w:t>% per annum</w:t>
            </w:r>
            <w:r w:rsidRPr="00F94B27" w:rsidR="00F94B27">
              <w:rPr>
                <w:b/>
              </w:rPr>
              <w:t>]</w:t>
            </w:r>
            <w:r w:rsidRPr="00652C7E">
              <w:t xml:space="preserve">. Consequently, the lower the value of the Reference Rate on the relevant Interest Determination Date </w:t>
            </w:r>
            <w:r w:rsidRPr="00F94B27" w:rsidR="00F94B27">
              <w:rPr>
                <w:b/>
              </w:rPr>
              <w:t>[</w:t>
            </w:r>
            <w:r w:rsidRPr="00652C7E">
              <w:t xml:space="preserve">plus </w:t>
            </w:r>
            <w:r w:rsidRPr="00F94B27" w:rsidR="00F94B27">
              <w:rPr>
                <w:b/>
              </w:rPr>
              <w:t>[</w:t>
            </w:r>
            <w:r w:rsidR="003857E8">
              <w:rPr>
                <w:rFonts w:ascii="Arial" w:hAnsi="Arial" w:cs="Arial"/>
              </w:rPr>
              <w:t>●</w:t>
            </w:r>
            <w:r w:rsidRPr="00F94B27" w:rsidR="00F94B27">
              <w:rPr>
                <w:b/>
              </w:rPr>
              <w:t>]</w:t>
            </w:r>
            <w:r w:rsidRPr="00652C7E">
              <w:t>% per annum</w:t>
            </w:r>
            <w:r w:rsidRPr="00F94B27" w:rsidR="00F94B27">
              <w:rPr>
                <w:b/>
              </w:rPr>
              <w:t>]</w:t>
            </w:r>
            <w:r w:rsidRPr="00652C7E">
              <w:t xml:space="preserve"> is in comparison to the value of the Spread Rate, the higher the applicable Interest Rate and resulting Interest Payment Amount will be. Conversely, the higher the value of the Reference Rate on the Interest Determination Date </w:t>
            </w:r>
            <w:r w:rsidRPr="00F94B27" w:rsidR="00F94B27">
              <w:rPr>
                <w:b/>
              </w:rPr>
              <w:t>[</w:t>
            </w:r>
            <w:r w:rsidRPr="00652C7E">
              <w:t xml:space="preserve">plus </w:t>
            </w:r>
            <w:r w:rsidRPr="00F94B27" w:rsidR="00F94B27">
              <w:rPr>
                <w:b/>
              </w:rPr>
              <w:t>[</w:t>
            </w:r>
            <w:r w:rsidR="003857E8">
              <w:rPr>
                <w:rFonts w:ascii="Arial" w:hAnsi="Arial" w:cs="Arial"/>
              </w:rPr>
              <w:t>●</w:t>
            </w:r>
            <w:r w:rsidRPr="00F94B27" w:rsidR="00F94B27">
              <w:rPr>
                <w:b/>
              </w:rPr>
              <w:t>]</w:t>
            </w:r>
            <w:r w:rsidRPr="00652C7E">
              <w:t>% per annum</w:t>
            </w:r>
            <w:r w:rsidRPr="00F94B27" w:rsidR="00F94B27">
              <w:rPr>
                <w:b/>
              </w:rPr>
              <w:t>]</w:t>
            </w:r>
            <w:r w:rsidRPr="00652C7E">
              <w:t xml:space="preserve"> is in comparison to the value of the Spread Rate, the lower the applicable Interest Rate and resulting Interest Payment Amount will be. If the value of the Reference Rate on each Interest Determination Date </w:t>
            </w:r>
            <w:r w:rsidRPr="00F94B27" w:rsidR="00F94B27">
              <w:rPr>
                <w:b/>
              </w:rPr>
              <w:t>[</w:t>
            </w:r>
            <w:r w:rsidRPr="00652C7E">
              <w:t xml:space="preserve">plus </w:t>
            </w:r>
            <w:r w:rsidRPr="00F94B27" w:rsidR="00F94B27">
              <w:rPr>
                <w:b/>
              </w:rPr>
              <w:t>[</w:t>
            </w:r>
            <w:r w:rsidR="003857E8">
              <w:rPr>
                <w:rFonts w:ascii="Arial" w:hAnsi="Arial" w:cs="Arial"/>
              </w:rPr>
              <w:t>●</w:t>
            </w:r>
            <w:r w:rsidRPr="00F94B27" w:rsidR="00F94B27">
              <w:rPr>
                <w:b/>
              </w:rPr>
              <w:t>]</w:t>
            </w:r>
            <w:r w:rsidRPr="00652C7E">
              <w:t>% per annum</w:t>
            </w:r>
            <w:r w:rsidRPr="00F94B27" w:rsidR="00F94B27">
              <w:rPr>
                <w:b/>
              </w:rPr>
              <w:t>]</w:t>
            </w:r>
            <w:r w:rsidRPr="00652C7E">
              <w:t xml:space="preserve"> is equal to or above the relevant Spread Rate, the applicable Interest Rate will be equal to </w:t>
            </w:r>
            <w:r w:rsidRPr="00F94B27" w:rsidR="00F94B27">
              <w:rPr>
                <w:b/>
              </w:rPr>
              <w:t>[</w:t>
            </w:r>
            <w:r w:rsidRPr="00652C7E">
              <w:t>zero</w:t>
            </w:r>
            <w:r w:rsidRPr="00F94B27" w:rsidR="00F94B27">
              <w:rPr>
                <w:b/>
              </w:rPr>
              <w:t>]</w:t>
            </w:r>
            <w:r w:rsidRPr="00652C7E">
              <w:t xml:space="preserve"> </w:t>
            </w:r>
            <w:r w:rsidRPr="00F94B27" w:rsidR="00F94B27">
              <w:rPr>
                <w:b/>
              </w:rPr>
              <w:t>[</w:t>
            </w:r>
            <w:r w:rsidRPr="00652C7E">
              <w:t>the Minimum Interest Rate</w:t>
            </w:r>
            <w:r w:rsidRPr="00F94B27" w:rsidR="00F94B27">
              <w:rPr>
                <w:b/>
              </w:rPr>
              <w:t>]</w:t>
            </w:r>
            <w:r w:rsidRPr="00652C7E">
              <w:t xml:space="preserve"> for each Interest Payment Date </w:t>
            </w:r>
            <w:r w:rsidRPr="00F94B27" w:rsidR="00F94B27">
              <w:rPr>
                <w:b/>
              </w:rPr>
              <w:t>[</w:t>
            </w:r>
            <w:r w:rsidRPr="004B319E">
              <w:rPr>
                <w:b/>
                <w:i/>
              </w:rPr>
              <w:t>in case of Complex Products without Minimum Interest Rate:</w:t>
            </w:r>
            <w:r w:rsidRPr="00652C7E">
              <w:t xml:space="preserve"> and, consequently, investors will not receive any interest on the Complex Products</w:t>
            </w:r>
            <w:r w:rsidRPr="00F94B27" w:rsidR="00F94B27">
              <w:rPr>
                <w:b/>
              </w:rPr>
              <w:t>]</w:t>
            </w:r>
            <w:r w:rsidRPr="00652C7E">
              <w:t>.</w:t>
            </w:r>
            <w:r w:rsidRPr="00F94B27" w:rsidR="00F94B27">
              <w:rPr>
                <w:b/>
              </w:rPr>
              <w:t>]</w:t>
            </w:r>
          </w:p>
        </w:tc>
        <w:tc>
          <w:tcPr>
            <w:tcW w:w="2466" w:type="pct"/>
            <w:gridSpan w:val="14"/>
            <w:tcBorders>
              <w:left w:val="single" w:sz="4" w:space="0" w:color="auto"/>
            </w:tcBorders>
          </w:tcPr>
          <w:p w:rsidR="006F316C" w:rsidRPr="006F316C" w:rsidP="004B319E">
            <w:pPr>
              <w:pStyle w:val="CSBody0"/>
              <w:rPr>
                <w:lang w:val="de-DE"/>
              </w:rPr>
            </w:pPr>
            <w:r w:rsidRPr="006F316C">
              <w:rPr>
                <w:lang w:val="de-DE"/>
              </w:rPr>
              <w:t xml:space="preserve">Dieser variable Zinssatz entspricht dem jeweiligen Spreadsatz (d.h., einem Festsatz per annum) abzüglich </w:t>
            </w:r>
            <w:r w:rsidRPr="00F94B27" w:rsidR="00F94B27">
              <w:rPr>
                <w:b/>
                <w:lang w:val="de-DE"/>
              </w:rPr>
              <w:t>[</w:t>
            </w:r>
            <w:r w:rsidRPr="006F316C">
              <w:rPr>
                <w:lang w:val="de-DE"/>
              </w:rPr>
              <w:t>des Referenzsatzes (d.h. einem variablen Zinssatz) am jeweiligen Zinsfeststellungstag</w:t>
            </w:r>
            <w:r w:rsidRPr="00F94B27" w:rsidR="00F94B27">
              <w:rPr>
                <w:b/>
                <w:lang w:val="de-DE"/>
              </w:rPr>
              <w:t>]</w:t>
            </w:r>
            <w:r w:rsidRPr="006F316C">
              <w:rPr>
                <w:lang w:val="de-DE"/>
              </w:rPr>
              <w:t xml:space="preserve"> </w:t>
            </w:r>
            <w:r w:rsidRPr="00F94B27" w:rsidR="00F94B27">
              <w:rPr>
                <w:b/>
                <w:lang w:val="de-DE"/>
              </w:rPr>
              <w:t>[</w:t>
            </w:r>
            <w:r w:rsidRPr="006F316C">
              <w:rPr>
                <w:lang w:val="de-DE"/>
              </w:rPr>
              <w:t xml:space="preserve">der Summe aus dem Referenzsatz (d.h. einem variablen Zinssatz) am jeweiligen Zinsfeststellungstag und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per annum</w:t>
            </w:r>
            <w:r w:rsidRPr="00F94B27" w:rsidR="00F94B27">
              <w:rPr>
                <w:b/>
                <w:lang w:val="de-DE"/>
              </w:rPr>
              <w:t>]</w:t>
            </w:r>
            <w:r w:rsidRPr="006F316C">
              <w:rPr>
                <w:lang w:val="de-DE"/>
              </w:rPr>
              <w:t xml:space="preserve">. Folglich gilt: je niedriger der Wert des Referenzsatzes am jeweiligen Zinsfeststellungstag </w:t>
            </w:r>
            <w:r w:rsidRPr="00F94B27" w:rsidR="00F94B27">
              <w:rPr>
                <w:b/>
                <w:lang w:val="de-DE"/>
              </w:rPr>
              <w:t>[</w:t>
            </w:r>
            <w:r w:rsidRPr="006F316C">
              <w:rPr>
                <w:lang w:val="de-DE"/>
              </w:rPr>
              <w:t xml:space="preserve">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per annum</w:t>
            </w:r>
            <w:r w:rsidRPr="00F94B27" w:rsidR="00F94B27">
              <w:rPr>
                <w:b/>
                <w:lang w:val="de-DE"/>
              </w:rPr>
              <w:t>]</w:t>
            </w:r>
            <w:r w:rsidRPr="006F316C">
              <w:rPr>
                <w:lang w:val="de-DE"/>
              </w:rPr>
              <w:t xml:space="preserve"> im Vergleich zum Wert des Spreadsatz ist, desto höher ist der anwendbare Zinssatz und der resultierende Zinszahlungsbetrag. Umgekehrt gilt: je höher der Wert des Referenzsatzes am Zinsfeststellungstag </w:t>
            </w:r>
            <w:r w:rsidRPr="00F94B27" w:rsidR="00F94B27">
              <w:rPr>
                <w:b/>
                <w:lang w:val="de-DE"/>
              </w:rPr>
              <w:t>[</w:t>
            </w:r>
            <w:r w:rsidRPr="006F316C">
              <w:rPr>
                <w:lang w:val="de-DE"/>
              </w:rPr>
              <w:t xml:space="preserve">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per annum</w:t>
            </w:r>
            <w:r w:rsidRPr="00F94B27" w:rsidR="00F94B27">
              <w:rPr>
                <w:b/>
                <w:lang w:val="de-DE"/>
              </w:rPr>
              <w:t>]</w:t>
            </w:r>
            <w:r w:rsidRPr="006F316C">
              <w:rPr>
                <w:lang w:val="de-DE"/>
              </w:rPr>
              <w:t xml:space="preserve"> im Vergleich zum Wert des Spreadsatz ist, desto niedriger fällt der anwendbare Zinssatz und der resultierende Zinszahlungsbetrag aus. Falls der Wert des Referenzsatzes an jedem Zinsfeststellungstag </w:t>
            </w:r>
            <w:r w:rsidRPr="00F94B27" w:rsidR="00F94B27">
              <w:rPr>
                <w:b/>
                <w:lang w:val="de-DE"/>
              </w:rPr>
              <w:t>[</w:t>
            </w:r>
            <w:r w:rsidRPr="006F316C">
              <w:rPr>
                <w:lang w:val="de-DE"/>
              </w:rPr>
              <w:t xml:space="preserve">zuzüglich </w:t>
            </w:r>
            <w:r w:rsidRPr="00F94B27" w:rsidR="00F94B27">
              <w:rPr>
                <w:b/>
                <w:lang w:val="de-DE"/>
              </w:rPr>
              <w:t>[</w:t>
            </w:r>
            <w:r w:rsidRPr="00116653" w:rsidR="003857E8">
              <w:rPr>
                <w:rFonts w:ascii="Arial" w:hAnsi="Arial" w:cs="Arial"/>
                <w:lang w:val="de-DE"/>
              </w:rPr>
              <w:t>●</w:t>
            </w:r>
            <w:r w:rsidRPr="00F94B27" w:rsidR="00F94B27">
              <w:rPr>
                <w:b/>
                <w:lang w:val="de-DE"/>
              </w:rPr>
              <w:t>]</w:t>
            </w:r>
            <w:r w:rsidRPr="006F316C">
              <w:rPr>
                <w:lang w:val="de-DE"/>
              </w:rPr>
              <w:t>% per annum</w:t>
            </w:r>
            <w:r w:rsidRPr="00F94B27" w:rsidR="00F94B27">
              <w:rPr>
                <w:b/>
                <w:lang w:val="de-DE"/>
              </w:rPr>
              <w:t>]</w:t>
            </w:r>
            <w:r w:rsidRPr="006F316C">
              <w:rPr>
                <w:lang w:val="de-DE"/>
              </w:rPr>
              <w:t xml:space="preserve"> dem jeweiligen Spreadsatz entspricht oder über diesem liegt, wird der anwendbare Zinssatz an jedem Zinszahlungstag </w:t>
            </w:r>
            <w:r w:rsidRPr="00F94B27" w:rsidR="00F94B27">
              <w:rPr>
                <w:b/>
                <w:lang w:val="de-DE"/>
              </w:rPr>
              <w:t>[</w:t>
            </w:r>
            <w:r w:rsidRPr="006F316C">
              <w:rPr>
                <w:lang w:val="de-DE"/>
              </w:rPr>
              <w:t>null</w:t>
            </w:r>
            <w:r w:rsidRPr="00F94B27" w:rsidR="00F94B27">
              <w:rPr>
                <w:b/>
                <w:lang w:val="de-DE"/>
              </w:rPr>
              <w:t>]</w:t>
            </w:r>
            <w:r w:rsidRPr="006F316C">
              <w:rPr>
                <w:lang w:val="de-DE"/>
              </w:rPr>
              <w:t xml:space="preserve"> </w:t>
            </w:r>
            <w:r w:rsidRPr="00F94B27" w:rsidR="00F94B27">
              <w:rPr>
                <w:b/>
                <w:lang w:val="de-DE"/>
              </w:rPr>
              <w:t>[</w:t>
            </w:r>
            <w:r w:rsidRPr="006F316C">
              <w:rPr>
                <w:lang w:val="de-DE"/>
              </w:rPr>
              <w:t>dem Mindestzinssatz</w:t>
            </w:r>
            <w:r w:rsidRPr="00F94B27" w:rsidR="00F94B27">
              <w:rPr>
                <w:b/>
                <w:lang w:val="de-DE"/>
              </w:rPr>
              <w:t>]</w:t>
            </w:r>
            <w:r w:rsidRPr="006F316C">
              <w:rPr>
                <w:lang w:val="de-DE"/>
              </w:rPr>
              <w:t xml:space="preserve"> entsprechen </w:t>
            </w:r>
            <w:r w:rsidRPr="00F94B27" w:rsidR="00F94B27">
              <w:rPr>
                <w:b/>
                <w:lang w:val="de-DE"/>
              </w:rPr>
              <w:t>[</w:t>
            </w:r>
            <w:r w:rsidRPr="004B319E">
              <w:rPr>
                <w:b/>
                <w:i/>
                <w:lang w:val="de-DE"/>
              </w:rPr>
              <w:t>bei Komplexen Produkten ohne Mindestzinssatz:</w:t>
            </w:r>
            <w:r w:rsidRPr="006F316C">
              <w:rPr>
                <w:lang w:val="de-DE"/>
              </w:rPr>
              <w:t xml:space="preserve"> und folglich erhalten Anleger keine Zinsen auf die Komplexen Produkte</w:t>
            </w:r>
            <w:r w:rsidRPr="00F94B27" w:rsidR="00F94B27">
              <w:rPr>
                <w:b/>
                <w:lang w:val="de-DE"/>
              </w:rPr>
              <w:t>]</w:t>
            </w:r>
            <w:r w:rsidRPr="006F316C">
              <w:rPr>
                <w:lang w:val="de-DE"/>
              </w:rPr>
              <w:t>.</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4B319E" w:rsidRPr="004B319E" w:rsidP="004B319E">
            <w:pPr>
              <w:pStyle w:val="CSbody0bolditalic"/>
              <w:rPr>
                <w:lang w:val="en-GB"/>
              </w:rPr>
            </w:pPr>
            <w:r w:rsidRPr="00F94B27">
              <w:rPr>
                <w:lang w:val="en-GB"/>
              </w:rPr>
              <w:t>[</w:t>
            </w:r>
            <w:r w:rsidRPr="004B319E">
              <w:rPr>
                <w:lang w:val="en-GB"/>
              </w:rPr>
              <w:t>in case of Spread-Linked Notes:</w:t>
            </w:r>
          </w:p>
        </w:tc>
        <w:tc>
          <w:tcPr>
            <w:tcW w:w="2466" w:type="pct"/>
            <w:gridSpan w:val="14"/>
            <w:tcBorders>
              <w:left w:val="single" w:sz="4" w:space="0" w:color="auto"/>
            </w:tcBorders>
          </w:tcPr>
          <w:p w:rsidR="004B319E" w:rsidRPr="00284BA8" w:rsidP="004B319E">
            <w:pPr>
              <w:pStyle w:val="CSbody0bolditalic"/>
            </w:pPr>
            <w:r w:rsidRPr="00F94B27">
              <w:t>[</w:t>
            </w:r>
            <w:r w:rsidRPr="00284BA8">
              <w:t>bei Spread-Linked Notes:</w:t>
            </w:r>
          </w:p>
        </w:tc>
      </w:tr>
      <w:tr w:rsidTr="00942F00">
        <w:tblPrEx>
          <w:tblW w:w="5000" w:type="pct"/>
          <w:tblLayout w:type="fixed"/>
          <w:tblLook w:val="04A0"/>
        </w:tblPrEx>
        <w:tc>
          <w:tcPr>
            <w:tcW w:w="2534" w:type="pct"/>
            <w:gridSpan w:val="14"/>
            <w:tcBorders>
              <w:right w:val="single" w:sz="4" w:space="0" w:color="auto"/>
            </w:tcBorders>
          </w:tcPr>
          <w:p w:rsidR="004B319E" w:rsidRPr="00284BA8" w:rsidP="004B319E">
            <w:pPr>
              <w:pStyle w:val="CSBody0"/>
            </w:pPr>
            <w:r w:rsidRPr="00F94B27">
              <w:rPr>
                <w:b/>
              </w:rPr>
              <w:t>[</w:t>
            </w:r>
            <w:r w:rsidRPr="004B319E">
              <w:rPr>
                <w:b/>
                <w:i/>
              </w:rPr>
              <w:t>in case of Complex Products with one or more Fixed Interest Payment Dates:</w:t>
            </w:r>
            <w:r w:rsidRPr="00284BA8">
              <w:t xml:space="preserve"> In case of Spread-Linked Notes, the Interest Rate on the basis of which the Interest Payment Amounts are calculated will be equal to a fixed rate per annum for the </w:t>
            </w:r>
            <w:r w:rsidRPr="00F94B27">
              <w:rPr>
                <w:b/>
              </w:rPr>
              <w:t>[</w:t>
            </w:r>
            <w:r w:rsidRPr="00284BA8">
              <w:t>first</w:t>
            </w:r>
            <w:r w:rsidRPr="00F94B27">
              <w:rPr>
                <w:b/>
              </w:rPr>
              <w:t>]</w:t>
            </w:r>
            <w:r w:rsidRPr="00284BA8">
              <w:t xml:space="preserve"> </w:t>
            </w:r>
            <w:r w:rsidRPr="00F94B27">
              <w:rPr>
                <w:b/>
              </w:rPr>
              <w:t>[</w:t>
            </w:r>
            <w:r w:rsidRPr="00284BA8">
              <w:t xml:space="preserve">first </w:t>
            </w:r>
            <w:r w:rsidRPr="00F94B27">
              <w:rPr>
                <w:b/>
              </w:rPr>
              <w:t>[</w:t>
            </w:r>
            <w:r w:rsidRPr="004B319E">
              <w:rPr>
                <w:b/>
                <w:i/>
              </w:rPr>
              <w:t>insert number of Interest Payment Dates, on which a fixed rate per annum is applicable:</w:t>
            </w:r>
            <w:r w:rsidRPr="00284BA8">
              <w:t xml:space="preserve"> </w:t>
            </w:r>
            <w:r w:rsidRPr="00F94B27">
              <w:rPr>
                <w:b/>
              </w:rPr>
              <w:t>[</w:t>
            </w:r>
            <w:r w:rsidR="003857E8">
              <w:rPr>
                <w:rFonts w:ascii="Arial" w:hAnsi="Arial" w:cs="Arial"/>
              </w:rPr>
              <w:t>●</w:t>
            </w:r>
            <w:r w:rsidRPr="00F94B27">
              <w:rPr>
                <w:b/>
              </w:rPr>
              <w:t>]]</w:t>
            </w:r>
            <w:r w:rsidRPr="00284BA8">
              <w:t xml:space="preserve"> Interest Payment Date</w:t>
            </w:r>
            <w:r w:rsidRPr="00F94B27">
              <w:rPr>
                <w:b/>
              </w:rPr>
              <w:t>[</w:t>
            </w:r>
            <w:r w:rsidRPr="00284BA8">
              <w:t>s</w:t>
            </w:r>
            <w:r w:rsidRPr="00F94B27">
              <w:rPr>
                <w:b/>
              </w:rPr>
              <w:t>]</w:t>
            </w:r>
            <w:r w:rsidRPr="00284BA8">
              <w:t xml:space="preserve">. For the calculation of the Interest Payment Amount on the </w:t>
            </w:r>
            <w:r w:rsidRPr="00F94B27">
              <w:rPr>
                <w:b/>
              </w:rPr>
              <w:t>[</w:t>
            </w:r>
            <w:r w:rsidRPr="004B319E">
              <w:rPr>
                <w:b/>
                <w:i/>
              </w:rPr>
              <w:t>insert number of Interest Payment Date, from which the Interest Rate will be a variable rate per annum:</w:t>
            </w:r>
            <w:r w:rsidRPr="00284BA8">
              <w:t xml:space="preserve"> </w:t>
            </w:r>
            <w:r w:rsidRPr="00F94B27">
              <w:rPr>
                <w:b/>
              </w:rPr>
              <w:t>[</w:t>
            </w:r>
            <w:r w:rsidR="003857E8">
              <w:rPr>
                <w:rFonts w:ascii="Arial" w:hAnsi="Arial" w:cs="Arial"/>
              </w:rPr>
              <w:t>●</w:t>
            </w:r>
            <w:r w:rsidRPr="00F94B27">
              <w:rPr>
                <w:b/>
              </w:rPr>
              <w:t>]]</w:t>
            </w:r>
            <w:r w:rsidRPr="00284BA8">
              <w:t xml:space="preserve"> Interest Payment Date </w:t>
            </w:r>
            <w:r w:rsidRPr="00F94B27">
              <w:rPr>
                <w:b/>
              </w:rPr>
              <w:t>[</w:t>
            </w:r>
            <w:r w:rsidRPr="00284BA8">
              <w:t>and any following Interest Payment Date</w:t>
            </w:r>
            <w:r w:rsidRPr="00F94B27">
              <w:rPr>
                <w:b/>
              </w:rPr>
              <w:t>]</w:t>
            </w:r>
            <w:r w:rsidRPr="00284BA8">
              <w:t xml:space="preserve"> the Interest Payment Amount</w:t>
            </w:r>
            <w:r w:rsidRPr="00F94B27">
              <w:rPr>
                <w:b/>
              </w:rPr>
              <w:t>[</w:t>
            </w:r>
            <w:r w:rsidRPr="00284BA8">
              <w:t>s</w:t>
            </w:r>
            <w:r w:rsidRPr="00F94B27">
              <w:rPr>
                <w:b/>
              </w:rPr>
              <w:t>]</w:t>
            </w:r>
            <w:r w:rsidRPr="00284BA8">
              <w:t xml:space="preserve"> will be calculated on the basis of a variable Interest Rate.</w:t>
            </w:r>
            <w:r w:rsidRPr="00F94B27">
              <w:rPr>
                <w:b/>
              </w:rPr>
              <w:t>]</w:t>
            </w:r>
          </w:p>
        </w:tc>
        <w:tc>
          <w:tcPr>
            <w:tcW w:w="2466" w:type="pct"/>
            <w:gridSpan w:val="14"/>
            <w:tcBorders>
              <w:left w:val="single" w:sz="4" w:space="0" w:color="auto"/>
            </w:tcBorders>
          </w:tcPr>
          <w:p w:rsidR="004B319E" w:rsidRPr="004B319E" w:rsidP="004B319E">
            <w:pPr>
              <w:pStyle w:val="CSBody0"/>
              <w:rPr>
                <w:lang w:val="de-DE"/>
              </w:rPr>
            </w:pPr>
            <w:r w:rsidRPr="00F94B27">
              <w:rPr>
                <w:b/>
                <w:lang w:val="de-DE"/>
              </w:rPr>
              <w:t>[</w:t>
            </w:r>
            <w:r w:rsidRPr="004B319E">
              <w:rPr>
                <w:b/>
                <w:i/>
                <w:lang w:val="de-DE"/>
              </w:rPr>
              <w:t>bei Komplexen Produkten mit einem oder mehreren Zahlungstagen für Festzinsen:</w:t>
            </w:r>
            <w:r w:rsidRPr="004B319E">
              <w:rPr>
                <w:lang w:val="de-DE"/>
              </w:rPr>
              <w:t xml:space="preserve"> Bei Spread-Linked Notes entspricht der Zinssatz, auf dessen Grundlage die Zinszahlungsbeträge berechnet werden, einem Festsatz per annum für </w:t>
            </w:r>
            <w:r w:rsidRPr="00F94B27">
              <w:rPr>
                <w:b/>
                <w:lang w:val="de-DE"/>
              </w:rPr>
              <w:t>[</w:t>
            </w:r>
            <w:r w:rsidRPr="004B319E">
              <w:rPr>
                <w:lang w:val="de-DE"/>
              </w:rPr>
              <w:t>den ersten</w:t>
            </w:r>
            <w:r w:rsidRPr="00F94B27">
              <w:rPr>
                <w:b/>
                <w:lang w:val="de-DE"/>
              </w:rPr>
              <w:t>]</w:t>
            </w:r>
            <w:r w:rsidRPr="004B319E">
              <w:rPr>
                <w:lang w:val="de-DE"/>
              </w:rPr>
              <w:t xml:space="preserve"> </w:t>
            </w:r>
            <w:r w:rsidRPr="00F94B27">
              <w:rPr>
                <w:b/>
                <w:lang w:val="de-DE"/>
              </w:rPr>
              <w:t>[</w:t>
            </w:r>
            <w:r w:rsidRPr="004B319E">
              <w:rPr>
                <w:lang w:val="de-DE"/>
              </w:rPr>
              <w:t xml:space="preserve">die ersten </w:t>
            </w:r>
            <w:r w:rsidRPr="00F94B27">
              <w:rPr>
                <w:b/>
                <w:lang w:val="de-DE"/>
              </w:rPr>
              <w:t>[</w:t>
            </w:r>
            <w:r w:rsidRPr="004B319E">
              <w:rPr>
                <w:b/>
                <w:i/>
                <w:lang w:val="de-DE"/>
              </w:rPr>
              <w:t>Anzahl der Zinszahlungstage einfügen, an denen ein Festsatz per annum anwendbar ist:</w:t>
            </w:r>
            <w:r w:rsidRPr="004B319E">
              <w:rPr>
                <w:lang w:val="de-DE"/>
              </w:rPr>
              <w:t xml:space="preserve"> </w:t>
            </w:r>
            <w:r w:rsidRPr="00F94B27">
              <w:rPr>
                <w:b/>
                <w:lang w:val="de-DE"/>
              </w:rPr>
              <w:t>[</w:t>
            </w:r>
            <w:r w:rsidRPr="00116653" w:rsidR="003857E8">
              <w:rPr>
                <w:rFonts w:ascii="Arial" w:hAnsi="Arial" w:cs="Arial"/>
                <w:lang w:val="de-DE"/>
              </w:rPr>
              <w:t>●</w:t>
            </w:r>
            <w:r w:rsidRPr="00F94B27">
              <w:rPr>
                <w:b/>
                <w:lang w:val="de-DE"/>
              </w:rPr>
              <w:t>]]</w:t>
            </w:r>
            <w:r w:rsidRPr="004B319E">
              <w:rPr>
                <w:lang w:val="de-DE"/>
              </w:rPr>
              <w:t xml:space="preserve"> Zinszahlungstag</w:t>
            </w:r>
            <w:r w:rsidRPr="00F94B27">
              <w:rPr>
                <w:b/>
                <w:lang w:val="de-DE"/>
              </w:rPr>
              <w:t>[</w:t>
            </w:r>
            <w:r w:rsidRPr="004B319E">
              <w:rPr>
                <w:lang w:val="de-DE"/>
              </w:rPr>
              <w:t>e</w:t>
            </w:r>
            <w:r w:rsidRPr="00F94B27">
              <w:rPr>
                <w:b/>
                <w:lang w:val="de-DE"/>
              </w:rPr>
              <w:t>]</w:t>
            </w:r>
            <w:r w:rsidRPr="004B319E">
              <w:rPr>
                <w:lang w:val="de-DE"/>
              </w:rPr>
              <w:t xml:space="preserve">. Für die Berechnung des Zinszahlungsbetrags am </w:t>
            </w:r>
            <w:r w:rsidRPr="00F94B27">
              <w:rPr>
                <w:b/>
                <w:lang w:val="de-DE"/>
              </w:rPr>
              <w:t>[</w:t>
            </w:r>
            <w:r w:rsidRPr="004B319E">
              <w:rPr>
                <w:b/>
                <w:i/>
                <w:lang w:val="de-DE"/>
              </w:rPr>
              <w:t>Zahl des Zinszahlungstags einfügen, von dem an der Zinssatz ein variabler Satz per annum sein wird:</w:t>
            </w:r>
            <w:r w:rsidRPr="004B319E">
              <w:rPr>
                <w:lang w:val="de-DE"/>
              </w:rPr>
              <w:t xml:space="preserve"> </w:t>
            </w:r>
            <w:r w:rsidRPr="00F94B27">
              <w:rPr>
                <w:b/>
                <w:lang w:val="de-DE"/>
              </w:rPr>
              <w:t>[</w:t>
            </w:r>
            <w:r w:rsidRPr="00116653" w:rsidR="003857E8">
              <w:rPr>
                <w:rFonts w:ascii="Arial" w:hAnsi="Arial" w:cs="Arial"/>
                <w:lang w:val="de-DE"/>
              </w:rPr>
              <w:t>●</w:t>
            </w:r>
            <w:r w:rsidRPr="00F94B27">
              <w:rPr>
                <w:b/>
                <w:lang w:val="de-DE"/>
              </w:rPr>
              <w:t>]]</w:t>
            </w:r>
            <w:r w:rsidRPr="004B319E">
              <w:rPr>
                <w:lang w:val="de-DE"/>
              </w:rPr>
              <w:t xml:space="preserve"> Zinszahlungstag </w:t>
            </w:r>
            <w:r w:rsidRPr="00F94B27">
              <w:rPr>
                <w:b/>
                <w:lang w:val="de-DE"/>
              </w:rPr>
              <w:t>[</w:t>
            </w:r>
            <w:r w:rsidRPr="004B319E">
              <w:rPr>
                <w:lang w:val="de-DE"/>
              </w:rPr>
              <w:t>und jeden folgenden Zinszahlungstag</w:t>
            </w:r>
            <w:r w:rsidRPr="00F94B27">
              <w:rPr>
                <w:b/>
                <w:lang w:val="de-DE"/>
              </w:rPr>
              <w:t>]</w:t>
            </w:r>
            <w:r w:rsidRPr="004B319E">
              <w:rPr>
                <w:lang w:val="de-DE"/>
              </w:rPr>
              <w:t xml:space="preserve"> </w:t>
            </w:r>
            <w:r w:rsidRPr="00F94B27">
              <w:rPr>
                <w:b/>
                <w:lang w:val="de-DE"/>
              </w:rPr>
              <w:t>[</w:t>
            </w:r>
            <w:r w:rsidRPr="004B319E">
              <w:rPr>
                <w:lang w:val="de-DE"/>
              </w:rPr>
              <w:t>wird</w:t>
            </w:r>
            <w:r w:rsidRPr="00F94B27">
              <w:rPr>
                <w:b/>
                <w:lang w:val="de-DE"/>
              </w:rPr>
              <w:t>]</w:t>
            </w:r>
            <w:r w:rsidRPr="004B319E">
              <w:rPr>
                <w:lang w:val="de-DE"/>
              </w:rPr>
              <w:t xml:space="preserve"> </w:t>
            </w:r>
            <w:r w:rsidRPr="00F94B27">
              <w:rPr>
                <w:b/>
                <w:lang w:val="de-DE"/>
              </w:rPr>
              <w:t>[</w:t>
            </w:r>
            <w:r w:rsidRPr="004B319E">
              <w:rPr>
                <w:lang w:val="de-DE"/>
              </w:rPr>
              <w:t>werden</w:t>
            </w:r>
            <w:r w:rsidRPr="00F94B27">
              <w:rPr>
                <w:b/>
                <w:lang w:val="de-DE"/>
              </w:rPr>
              <w:t>]</w:t>
            </w:r>
            <w:r w:rsidRPr="004B319E">
              <w:rPr>
                <w:lang w:val="de-DE"/>
              </w:rPr>
              <w:t xml:space="preserve"> </w:t>
            </w:r>
            <w:r w:rsidRPr="00F94B27">
              <w:rPr>
                <w:b/>
                <w:lang w:val="de-DE"/>
              </w:rPr>
              <w:t>[</w:t>
            </w:r>
            <w:r w:rsidRPr="004B319E">
              <w:rPr>
                <w:lang w:val="de-DE"/>
              </w:rPr>
              <w:t>der Zinszahlungsbetrag</w:t>
            </w:r>
            <w:r w:rsidRPr="00F94B27">
              <w:rPr>
                <w:b/>
                <w:lang w:val="de-DE"/>
              </w:rPr>
              <w:t>]</w:t>
            </w:r>
            <w:r w:rsidRPr="004B319E">
              <w:rPr>
                <w:lang w:val="de-DE"/>
              </w:rPr>
              <w:t xml:space="preserve"> </w:t>
            </w:r>
            <w:r w:rsidRPr="00F94B27">
              <w:rPr>
                <w:b/>
                <w:lang w:val="de-DE"/>
              </w:rPr>
              <w:t>[</w:t>
            </w:r>
            <w:r w:rsidRPr="004B319E">
              <w:rPr>
                <w:lang w:val="de-DE"/>
              </w:rPr>
              <w:t>die Zinszahlungsbeträge</w:t>
            </w:r>
            <w:r w:rsidRPr="00F94B27">
              <w:rPr>
                <w:b/>
                <w:lang w:val="de-DE"/>
              </w:rPr>
              <w:t>]</w:t>
            </w:r>
            <w:r w:rsidRPr="004B319E">
              <w:rPr>
                <w:lang w:val="de-DE"/>
              </w:rPr>
              <w:t xml:space="preserve"> auf der Grundlage eines variablen Zinssatzes berechnet. </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4B319E" w:rsidRPr="00284BA8" w:rsidP="004B319E">
            <w:pPr>
              <w:pStyle w:val="CSBody0"/>
            </w:pPr>
            <w:r w:rsidRPr="00F94B27">
              <w:rPr>
                <w:b/>
              </w:rPr>
              <w:t>[</w:t>
            </w:r>
            <w:r w:rsidRPr="004B319E">
              <w:rPr>
                <w:b/>
                <w:i/>
              </w:rPr>
              <w:t>in case of Complex Products without Fixed Interest Payment Dates:</w:t>
            </w:r>
            <w:r w:rsidRPr="00284BA8">
              <w:t xml:space="preserve"> In case of Spread-Linked Notes, the Interest Rate on the basis of which the Interest Payment Amount</w:t>
            </w:r>
            <w:r w:rsidRPr="00F94B27">
              <w:rPr>
                <w:b/>
              </w:rPr>
              <w:t>[</w:t>
            </w:r>
            <w:r w:rsidRPr="00284BA8">
              <w:t>s</w:t>
            </w:r>
            <w:r w:rsidRPr="00F94B27">
              <w:rPr>
                <w:b/>
              </w:rPr>
              <w:t>]</w:t>
            </w:r>
            <w:r w:rsidRPr="00284BA8">
              <w:t xml:space="preserve"> </w:t>
            </w:r>
            <w:r w:rsidRPr="00F94B27">
              <w:rPr>
                <w:b/>
              </w:rPr>
              <w:t>[</w:t>
            </w:r>
            <w:r w:rsidRPr="00284BA8">
              <w:t>is</w:t>
            </w:r>
            <w:r w:rsidRPr="00F94B27">
              <w:rPr>
                <w:b/>
              </w:rPr>
              <w:t>][</w:t>
            </w:r>
            <w:r w:rsidRPr="00284BA8">
              <w:t>are</w:t>
            </w:r>
            <w:r w:rsidRPr="00F94B27">
              <w:rPr>
                <w:b/>
              </w:rPr>
              <w:t>]</w:t>
            </w:r>
            <w:r w:rsidRPr="00284BA8">
              <w:t xml:space="preserve"> calculated will be equal to a variable Interest Rate.</w:t>
            </w:r>
            <w:r w:rsidRPr="00F94B27">
              <w:rPr>
                <w:b/>
              </w:rPr>
              <w:t>]</w:t>
            </w:r>
          </w:p>
        </w:tc>
        <w:tc>
          <w:tcPr>
            <w:tcW w:w="2466" w:type="pct"/>
            <w:gridSpan w:val="14"/>
            <w:tcBorders>
              <w:left w:val="single" w:sz="4" w:space="0" w:color="auto"/>
            </w:tcBorders>
          </w:tcPr>
          <w:p w:rsidR="004B319E" w:rsidRPr="004B319E" w:rsidP="004B319E">
            <w:pPr>
              <w:pStyle w:val="CSBody0"/>
              <w:rPr>
                <w:lang w:val="de-DE"/>
              </w:rPr>
            </w:pPr>
            <w:r w:rsidRPr="00F94B27">
              <w:rPr>
                <w:b/>
                <w:lang w:val="de-DE"/>
              </w:rPr>
              <w:t>[</w:t>
            </w:r>
            <w:r w:rsidRPr="004B319E">
              <w:rPr>
                <w:b/>
                <w:i/>
                <w:lang w:val="de-DE"/>
              </w:rPr>
              <w:t>bei Komplexen Produkten ohne Zahlungstage für Festzinsen:</w:t>
            </w:r>
            <w:r w:rsidRPr="004B319E">
              <w:rPr>
                <w:lang w:val="de-DE"/>
              </w:rPr>
              <w:t xml:space="preserve"> Bei Spread-Linked Notes entspricht der Zinssatz, auf dessen Grundlage </w:t>
            </w:r>
            <w:r w:rsidRPr="00F94B27">
              <w:rPr>
                <w:b/>
                <w:lang w:val="de-DE"/>
              </w:rPr>
              <w:t>[</w:t>
            </w:r>
            <w:r w:rsidRPr="004B319E">
              <w:rPr>
                <w:lang w:val="de-DE"/>
              </w:rPr>
              <w:t>der Zinszahlungsbetrag</w:t>
            </w:r>
            <w:r w:rsidRPr="00F94B27">
              <w:rPr>
                <w:b/>
                <w:lang w:val="de-DE"/>
              </w:rPr>
              <w:t>]</w:t>
            </w:r>
            <w:r w:rsidRPr="004B319E">
              <w:rPr>
                <w:lang w:val="de-DE"/>
              </w:rPr>
              <w:t xml:space="preserve"> </w:t>
            </w:r>
            <w:r w:rsidRPr="00F94B27">
              <w:rPr>
                <w:b/>
                <w:lang w:val="de-DE"/>
              </w:rPr>
              <w:t>[</w:t>
            </w:r>
            <w:r w:rsidRPr="004B319E">
              <w:rPr>
                <w:lang w:val="de-DE"/>
              </w:rPr>
              <w:t>die Zinszahlungsbeträge</w:t>
            </w:r>
            <w:r w:rsidRPr="00F94B27">
              <w:rPr>
                <w:b/>
                <w:lang w:val="de-DE"/>
              </w:rPr>
              <w:t>]</w:t>
            </w:r>
            <w:r w:rsidRPr="004B319E">
              <w:rPr>
                <w:lang w:val="de-DE"/>
              </w:rPr>
              <w:t xml:space="preserve"> berechnet </w:t>
            </w:r>
            <w:r w:rsidRPr="00F94B27">
              <w:rPr>
                <w:b/>
                <w:lang w:val="de-DE"/>
              </w:rPr>
              <w:t>[</w:t>
            </w:r>
            <w:r w:rsidRPr="004B319E">
              <w:rPr>
                <w:lang w:val="de-DE"/>
              </w:rPr>
              <w:t>wird</w:t>
            </w:r>
            <w:r w:rsidRPr="00F94B27">
              <w:rPr>
                <w:b/>
                <w:lang w:val="de-DE"/>
              </w:rPr>
              <w:t>]</w:t>
            </w:r>
            <w:r w:rsidRPr="004B319E">
              <w:rPr>
                <w:lang w:val="de-DE"/>
              </w:rPr>
              <w:t xml:space="preserve"> </w:t>
            </w:r>
            <w:r w:rsidRPr="00F94B27">
              <w:rPr>
                <w:b/>
                <w:lang w:val="de-DE"/>
              </w:rPr>
              <w:t>[</w:t>
            </w:r>
            <w:r w:rsidRPr="004B319E">
              <w:rPr>
                <w:lang w:val="de-DE"/>
              </w:rPr>
              <w:t>werden</w:t>
            </w:r>
            <w:r w:rsidRPr="00F94B27">
              <w:rPr>
                <w:b/>
                <w:lang w:val="de-DE"/>
              </w:rPr>
              <w:t>]</w:t>
            </w:r>
            <w:r w:rsidRPr="004B319E">
              <w:rPr>
                <w:lang w:val="de-DE"/>
              </w:rPr>
              <w:t>, einem variablen Zinssatz.</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4B319E" w:rsidRPr="00284BA8" w:rsidP="004B319E">
            <w:pPr>
              <w:pStyle w:val="CSBody0"/>
            </w:pPr>
            <w:r w:rsidRPr="00284BA8">
              <w:t xml:space="preserve">Such variable Interest Rate will be dependent upon the difference between the value of Reference Rate 1 and the value of Reference Rate 2 as determined by the Calculation Agent on the </w:t>
            </w:r>
            <w:r w:rsidRPr="00F94B27" w:rsidR="00F94B27">
              <w:rPr>
                <w:b/>
              </w:rPr>
              <w:t>[</w:t>
            </w:r>
            <w:r w:rsidRPr="00284BA8">
              <w:t>relevant</w:t>
            </w:r>
            <w:r w:rsidRPr="00F94B27" w:rsidR="00F94B27">
              <w:rPr>
                <w:b/>
              </w:rPr>
              <w:t>]</w:t>
            </w:r>
            <w:r w:rsidRPr="00284BA8">
              <w:t xml:space="preserve"> Interest Determination Date. For the determination of the </w:t>
            </w:r>
            <w:r w:rsidRPr="00F94B27" w:rsidR="00F94B27">
              <w:rPr>
                <w:b/>
              </w:rPr>
              <w:t>[</w:t>
            </w:r>
            <w:r w:rsidRPr="00284BA8">
              <w:t>applicable</w:t>
            </w:r>
            <w:r w:rsidRPr="00F94B27" w:rsidR="00F94B27">
              <w:rPr>
                <w:b/>
              </w:rPr>
              <w:t>]</w:t>
            </w:r>
            <w:r w:rsidRPr="00284BA8">
              <w:t xml:space="preserve"> Interest Rate such difference is </w:t>
            </w:r>
            <w:r w:rsidRPr="00F94B27" w:rsidR="00F94B27">
              <w:rPr>
                <w:b/>
              </w:rPr>
              <w:t>[</w:t>
            </w:r>
            <w:r w:rsidRPr="00284BA8">
              <w:t>multiplied by the Participation</w:t>
            </w:r>
            <w:r w:rsidRPr="00F94B27" w:rsidR="00F94B27">
              <w:rPr>
                <w:b/>
              </w:rPr>
              <w:t>]</w:t>
            </w:r>
            <w:r w:rsidRPr="00284BA8">
              <w:t xml:space="preserve"> </w:t>
            </w:r>
            <w:r w:rsidRPr="00F94B27" w:rsidR="00F94B27">
              <w:rPr>
                <w:b/>
              </w:rPr>
              <w:t>[</w:t>
            </w:r>
            <w:r w:rsidRPr="00284BA8">
              <w:t xml:space="preserve">added to </w:t>
            </w:r>
            <w:r w:rsidRPr="00F94B27" w:rsidR="00F94B27">
              <w:rPr>
                <w:b/>
              </w:rPr>
              <w:t>[</w:t>
            </w:r>
            <w:r w:rsidR="003857E8">
              <w:rPr>
                <w:rFonts w:ascii="Arial" w:hAnsi="Arial" w:cs="Arial"/>
              </w:rPr>
              <w:t>●</w:t>
            </w:r>
            <w:r w:rsidRPr="00F94B27" w:rsidR="00F94B27">
              <w:rPr>
                <w:b/>
              </w:rPr>
              <w:t>]</w:t>
            </w:r>
            <w:r w:rsidRPr="00284BA8">
              <w:t>% per annum</w:t>
            </w:r>
            <w:r w:rsidRPr="00F94B27" w:rsidR="00F94B27">
              <w:rPr>
                <w:b/>
              </w:rPr>
              <w:t>]</w:t>
            </w:r>
            <w:r w:rsidRPr="00284BA8">
              <w:t xml:space="preserve">. Consequently, the greater the positive difference between Reference Rate 1 and Reference Rate 2 is, the higher the </w:t>
            </w:r>
            <w:r w:rsidRPr="00F94B27" w:rsidR="00F94B27">
              <w:rPr>
                <w:b/>
              </w:rPr>
              <w:t>[</w:t>
            </w:r>
            <w:r w:rsidRPr="00284BA8">
              <w:t>applicable</w:t>
            </w:r>
            <w:r w:rsidRPr="00F94B27" w:rsidR="00F94B27">
              <w:rPr>
                <w:b/>
              </w:rPr>
              <w:t>]</w:t>
            </w:r>
            <w:r w:rsidRPr="00284BA8">
              <w:t xml:space="preserve"> Interest Rate and resulting Interest Payment Amount will be. If, however, the Reference Rates converge or if the value of Reference Rate 2 is above the value of Reference Rate 1, the </w:t>
            </w:r>
            <w:r w:rsidRPr="00F94B27" w:rsidR="00F94B27">
              <w:rPr>
                <w:b/>
              </w:rPr>
              <w:t>[</w:t>
            </w:r>
            <w:r w:rsidRPr="00284BA8">
              <w:t>applicable</w:t>
            </w:r>
            <w:r w:rsidRPr="00F94B27" w:rsidR="00F94B27">
              <w:rPr>
                <w:b/>
              </w:rPr>
              <w:t>]</w:t>
            </w:r>
            <w:r w:rsidRPr="00284BA8">
              <w:t xml:space="preserve"> Interest Rate may be equal to zero. Depending on the actual difference between the values of the two Reference Rates, the </w:t>
            </w:r>
            <w:r w:rsidRPr="00F94B27" w:rsidR="00F94B27">
              <w:rPr>
                <w:b/>
              </w:rPr>
              <w:t>[</w:t>
            </w:r>
            <w:r w:rsidRPr="00284BA8">
              <w:t>applicable</w:t>
            </w:r>
            <w:r w:rsidRPr="00F94B27" w:rsidR="00F94B27">
              <w:rPr>
                <w:b/>
              </w:rPr>
              <w:t>]</w:t>
            </w:r>
            <w:r w:rsidRPr="00284BA8">
              <w:t xml:space="preserve"> Interest Rate and resulting Interest Payment Amount may be very low even if both Reference Rates develop positively over the relevant interest period.</w:t>
            </w:r>
            <w:r w:rsidRPr="00F94B27" w:rsidR="00F94B27">
              <w:rPr>
                <w:b/>
              </w:rPr>
              <w:t>]</w:t>
            </w:r>
          </w:p>
        </w:tc>
        <w:tc>
          <w:tcPr>
            <w:tcW w:w="2466" w:type="pct"/>
            <w:gridSpan w:val="14"/>
            <w:tcBorders>
              <w:left w:val="single" w:sz="4" w:space="0" w:color="auto"/>
            </w:tcBorders>
          </w:tcPr>
          <w:p w:rsidR="004B319E" w:rsidRPr="004B319E" w:rsidP="004B319E">
            <w:pPr>
              <w:pStyle w:val="CSBody0"/>
              <w:rPr>
                <w:lang w:val="de-DE"/>
              </w:rPr>
            </w:pPr>
            <w:r w:rsidRPr="004B319E">
              <w:rPr>
                <w:lang w:val="de-DE"/>
              </w:rPr>
              <w:t xml:space="preserve">Dieser variable Zinssatz hängt von der Differenz aus dem Wert des Referenzsatzes 1 und dem Wert des Referenzsatzes 2 ab, die von der Berechnungsstelle am </w:t>
            </w:r>
            <w:r w:rsidRPr="00F94B27" w:rsidR="00F94B27">
              <w:rPr>
                <w:b/>
                <w:lang w:val="de-DE"/>
              </w:rPr>
              <w:t>[</w:t>
            </w:r>
            <w:r w:rsidRPr="004B319E">
              <w:rPr>
                <w:lang w:val="de-DE"/>
              </w:rPr>
              <w:t>jeweiligen</w:t>
            </w:r>
            <w:r w:rsidRPr="00F94B27" w:rsidR="00F94B27">
              <w:rPr>
                <w:b/>
                <w:lang w:val="de-DE"/>
              </w:rPr>
              <w:t>]</w:t>
            </w:r>
            <w:r w:rsidRPr="004B319E">
              <w:rPr>
                <w:lang w:val="de-DE"/>
              </w:rPr>
              <w:t xml:space="preserve"> Zinsfeststellungstag festgestellt wird. Für die Feststellung des anwendbaren Zinsssatzes wird diese Differenz </w:t>
            </w:r>
            <w:r w:rsidRPr="00F94B27" w:rsidR="00F94B27">
              <w:rPr>
                <w:b/>
                <w:lang w:val="de-DE"/>
              </w:rPr>
              <w:t>[</w:t>
            </w:r>
            <w:r w:rsidRPr="004B319E">
              <w:rPr>
                <w:lang w:val="de-DE"/>
              </w:rPr>
              <w:t>mit der Partizipation multipliziert</w:t>
            </w:r>
            <w:r w:rsidRPr="00F94B27" w:rsidR="00F94B27">
              <w:rPr>
                <w:b/>
                <w:lang w:val="de-DE"/>
              </w:rPr>
              <w:t>]</w:t>
            </w:r>
            <w:r w:rsidRPr="004B319E">
              <w:rPr>
                <w:lang w:val="de-DE"/>
              </w:rPr>
              <w:t xml:space="preserve"> </w:t>
            </w:r>
            <w:r w:rsidRPr="00F94B27" w:rsidR="00F94B27">
              <w:rPr>
                <w:b/>
                <w:lang w:val="de-DE"/>
              </w:rPr>
              <w:t>[</w:t>
            </w:r>
            <w:r w:rsidRPr="004B319E">
              <w:rPr>
                <w:lang w:val="de-DE"/>
              </w:rPr>
              <w:t xml:space="preserve">zu </w:t>
            </w:r>
            <w:r w:rsidRPr="00F94B27" w:rsidR="00F94B27">
              <w:rPr>
                <w:b/>
                <w:lang w:val="de-DE"/>
              </w:rPr>
              <w:t>[</w:t>
            </w:r>
            <w:r w:rsidRPr="00116653" w:rsidR="003857E8">
              <w:rPr>
                <w:rFonts w:ascii="Arial" w:hAnsi="Arial" w:cs="Arial"/>
                <w:lang w:val="de-DE"/>
              </w:rPr>
              <w:t>●</w:t>
            </w:r>
            <w:r w:rsidRPr="00F94B27" w:rsidR="00F94B27">
              <w:rPr>
                <w:b/>
                <w:lang w:val="de-DE"/>
              </w:rPr>
              <w:t>]</w:t>
            </w:r>
            <w:r w:rsidRPr="004B319E">
              <w:rPr>
                <w:lang w:val="de-DE"/>
              </w:rPr>
              <w:t>% per annum addiert</w:t>
            </w:r>
            <w:r w:rsidRPr="00F94B27" w:rsidR="00F94B27">
              <w:rPr>
                <w:b/>
                <w:lang w:val="de-DE"/>
              </w:rPr>
              <w:t>]</w:t>
            </w:r>
            <w:r w:rsidRPr="004B319E">
              <w:rPr>
                <w:lang w:val="de-DE"/>
              </w:rPr>
              <w:t xml:space="preserve">. Folglich gilt: je grösser die positive Differenz zwischen Referenzsatz 1 und Referenzsatz 2 ist, desto höher ist der anwendbare Zinssatz und der resultierende Zinszahlungsbetrag. Falls sich allerdings die Referenzsätze annähern oder falls der Wert von Referenzsatz 2 über dem Wert von Referenzsatz 1 liegt, kann der </w:t>
            </w:r>
            <w:r w:rsidRPr="00F94B27" w:rsidR="00F94B27">
              <w:rPr>
                <w:b/>
                <w:lang w:val="de-DE"/>
              </w:rPr>
              <w:t>[</w:t>
            </w:r>
            <w:r w:rsidRPr="004B319E">
              <w:rPr>
                <w:lang w:val="de-DE"/>
              </w:rPr>
              <w:t>anwendbare</w:t>
            </w:r>
            <w:r w:rsidRPr="00F94B27" w:rsidR="00F94B27">
              <w:rPr>
                <w:b/>
                <w:lang w:val="de-DE"/>
              </w:rPr>
              <w:t>]</w:t>
            </w:r>
            <w:r w:rsidRPr="004B319E">
              <w:rPr>
                <w:lang w:val="de-DE"/>
              </w:rPr>
              <w:t xml:space="preserve"> Zinssatz null entsprechen. In Abhängigkeit von der tatsächlichen Differenz zwischen den Werten der beiden Referenzsätze kann der </w:t>
            </w:r>
            <w:r w:rsidRPr="00F94B27" w:rsidR="00F94B27">
              <w:rPr>
                <w:b/>
                <w:lang w:val="de-DE"/>
              </w:rPr>
              <w:t>[</w:t>
            </w:r>
            <w:r w:rsidRPr="004B319E">
              <w:rPr>
                <w:lang w:val="de-DE"/>
              </w:rPr>
              <w:t>anwendbare</w:t>
            </w:r>
            <w:r w:rsidRPr="00F94B27" w:rsidR="00F94B27">
              <w:rPr>
                <w:b/>
                <w:lang w:val="de-DE"/>
              </w:rPr>
              <w:t>]</w:t>
            </w:r>
            <w:r w:rsidRPr="004B319E">
              <w:rPr>
                <w:lang w:val="de-DE"/>
              </w:rPr>
              <w:t xml:space="preserve"> Zinssatz und der resultierende Zinszahlungsbetrag selbst dann sehr gering sein, wenn sich beide Referenzsätze während der jeweiligen Zinsperiode positiv entwickeln.</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4B319E" w:rsidRPr="004B319E" w:rsidP="004B319E">
            <w:pPr>
              <w:pStyle w:val="CSbody0bolditalic"/>
              <w:rPr>
                <w:lang w:val="en-GB"/>
              </w:rPr>
            </w:pPr>
            <w:r w:rsidRPr="00F94B27">
              <w:rPr>
                <w:lang w:val="en-GB"/>
              </w:rPr>
              <w:t>[</w:t>
            </w:r>
            <w:r w:rsidRPr="004B319E">
              <w:rPr>
                <w:lang w:val="en-GB"/>
              </w:rPr>
              <w:t>in case of Range Accrual Notes:</w:t>
            </w:r>
          </w:p>
        </w:tc>
        <w:tc>
          <w:tcPr>
            <w:tcW w:w="2466" w:type="pct"/>
            <w:gridSpan w:val="14"/>
            <w:tcBorders>
              <w:left w:val="single" w:sz="4" w:space="0" w:color="auto"/>
            </w:tcBorders>
          </w:tcPr>
          <w:p w:rsidR="004B319E" w:rsidRPr="00382FA1" w:rsidP="004B319E">
            <w:pPr>
              <w:pStyle w:val="CSbody0bolditalic"/>
            </w:pPr>
            <w:r w:rsidRPr="00F94B27">
              <w:t>[</w:t>
            </w:r>
            <w:r w:rsidRPr="00382FA1">
              <w:t>bei Range Accrual Notes:</w:t>
            </w:r>
          </w:p>
        </w:tc>
      </w:tr>
      <w:tr w:rsidTr="00942F00">
        <w:tblPrEx>
          <w:tblW w:w="5000" w:type="pct"/>
          <w:tblLayout w:type="fixed"/>
          <w:tblLook w:val="04A0"/>
        </w:tblPrEx>
        <w:tc>
          <w:tcPr>
            <w:tcW w:w="2534" w:type="pct"/>
            <w:gridSpan w:val="14"/>
            <w:tcBorders>
              <w:right w:val="single" w:sz="4" w:space="0" w:color="auto"/>
            </w:tcBorders>
          </w:tcPr>
          <w:p w:rsidR="004B319E" w:rsidRPr="00382FA1" w:rsidP="004B319E">
            <w:pPr>
              <w:pStyle w:val="CSBody0"/>
            </w:pPr>
            <w:r w:rsidRPr="00382FA1">
              <w:t>In case of Range Accrual Notes, the Interest Rate on the basis of which the Interest Payment Amount</w:t>
            </w:r>
            <w:r w:rsidRPr="00F94B27" w:rsidR="00F94B27">
              <w:rPr>
                <w:b/>
              </w:rPr>
              <w:t>[</w:t>
            </w:r>
            <w:r w:rsidRPr="00382FA1">
              <w:t>s</w:t>
            </w:r>
            <w:r w:rsidRPr="00F94B27" w:rsidR="00F94B27">
              <w:rPr>
                <w:b/>
              </w:rPr>
              <w:t>]</w:t>
            </w:r>
            <w:r w:rsidRPr="00382FA1">
              <w:t xml:space="preserve"> </w:t>
            </w:r>
            <w:r w:rsidRPr="00F94B27" w:rsidR="00F94B27">
              <w:rPr>
                <w:b/>
              </w:rPr>
              <w:t>[</w:t>
            </w:r>
            <w:r w:rsidRPr="00382FA1">
              <w:t>is</w:t>
            </w:r>
            <w:r w:rsidRPr="00F94B27" w:rsidR="00F94B27">
              <w:rPr>
                <w:b/>
              </w:rPr>
              <w:t>][</w:t>
            </w:r>
            <w:r w:rsidRPr="00382FA1">
              <w:t>are</w:t>
            </w:r>
            <w:r w:rsidRPr="00F94B27" w:rsidR="00F94B27">
              <w:rPr>
                <w:b/>
              </w:rPr>
              <w:t>]</w:t>
            </w:r>
            <w:r w:rsidRPr="00382FA1">
              <w:t xml:space="preserve"> calculated will be dependent upon the number of Barrier Observation Dates during the </w:t>
            </w:r>
            <w:r w:rsidRPr="00F94B27" w:rsidR="00F94B27">
              <w:rPr>
                <w:b/>
              </w:rPr>
              <w:t>[</w:t>
            </w:r>
            <w:r w:rsidRPr="00382FA1">
              <w:t>relevant</w:t>
            </w:r>
            <w:r w:rsidRPr="00F94B27" w:rsidR="00F94B27">
              <w:rPr>
                <w:b/>
              </w:rPr>
              <w:t>]</w:t>
            </w:r>
            <w:r w:rsidRPr="00382FA1">
              <w:t xml:space="preserve"> interest period on which the value of the Reference Rate (</w:t>
            </w:r>
            <w:r w:rsidRPr="007E3558" w:rsidR="007E3558">
              <w:rPr>
                <w:i/>
              </w:rPr>
              <w:t>i.e.</w:t>
            </w:r>
            <w:r w:rsidRPr="00382FA1">
              <w:t xml:space="preserve">, a variable rate of interest) breaches </w:t>
            </w:r>
            <w:r w:rsidRPr="00F94B27" w:rsidR="00F94B27">
              <w:rPr>
                <w:b/>
              </w:rPr>
              <w:t>[</w:t>
            </w:r>
            <w:r w:rsidRPr="00382FA1">
              <w:t>or reaches</w:t>
            </w:r>
            <w:r w:rsidRPr="00F94B27" w:rsidR="00F94B27">
              <w:rPr>
                <w:b/>
              </w:rPr>
              <w:t>]</w:t>
            </w:r>
            <w:r w:rsidRPr="00382FA1">
              <w:t xml:space="preserve"> the </w:t>
            </w:r>
            <w:r w:rsidRPr="00F94B27" w:rsidR="00F94B27">
              <w:rPr>
                <w:b/>
              </w:rPr>
              <w:t>[</w:t>
            </w:r>
            <w:r w:rsidRPr="00382FA1">
              <w:t>Barrier</w:t>
            </w:r>
            <w:r w:rsidRPr="00F94B27" w:rsidR="00F94B27">
              <w:rPr>
                <w:b/>
              </w:rPr>
              <w:t>]</w:t>
            </w:r>
            <w:r w:rsidRPr="00382FA1">
              <w:t xml:space="preserve"> </w:t>
            </w:r>
            <w:r w:rsidRPr="00F94B27" w:rsidR="00F94B27">
              <w:rPr>
                <w:b/>
              </w:rPr>
              <w:t>[</w:t>
            </w:r>
            <w:r w:rsidRPr="00382FA1">
              <w:t>Lower Barrier or Upper Barrier</w:t>
            </w:r>
            <w:r w:rsidRPr="00F94B27" w:rsidR="00F94B27">
              <w:rPr>
                <w:b/>
              </w:rPr>
              <w:t>]</w:t>
            </w:r>
            <w:r w:rsidRPr="00382FA1">
              <w:t xml:space="preserve">, as specified in the Terms and Conditions. The </w:t>
            </w:r>
            <w:r w:rsidRPr="00F94B27" w:rsidR="00F94B27">
              <w:rPr>
                <w:b/>
              </w:rPr>
              <w:t>[</w:t>
            </w:r>
            <w:r w:rsidRPr="00382FA1">
              <w:t>applicable</w:t>
            </w:r>
            <w:r w:rsidRPr="00F94B27" w:rsidR="00F94B27">
              <w:rPr>
                <w:b/>
              </w:rPr>
              <w:t>]</w:t>
            </w:r>
            <w:r w:rsidRPr="00382FA1">
              <w:t xml:space="preserve"> Interest Rate will then be determined by multiplying (i) the number of Barrier Observation Dates during the </w:t>
            </w:r>
            <w:r w:rsidRPr="00F94B27" w:rsidR="00F94B27">
              <w:rPr>
                <w:b/>
              </w:rPr>
              <w:t>[</w:t>
            </w:r>
            <w:r w:rsidRPr="00382FA1">
              <w:t>relevant</w:t>
            </w:r>
            <w:r w:rsidRPr="00F94B27" w:rsidR="00F94B27">
              <w:rPr>
                <w:b/>
              </w:rPr>
              <w:t>]</w:t>
            </w:r>
            <w:r w:rsidRPr="00382FA1">
              <w:t xml:space="preserve"> interest period on which such </w:t>
            </w:r>
            <w:r w:rsidRPr="00F94B27" w:rsidR="00F94B27">
              <w:rPr>
                <w:b/>
              </w:rPr>
              <w:t>[</w:t>
            </w:r>
            <w:r w:rsidRPr="00382FA1">
              <w:t>Barrier was not</w:t>
            </w:r>
            <w:r w:rsidRPr="00F94B27" w:rsidR="00F94B27">
              <w:rPr>
                <w:b/>
              </w:rPr>
              <w:t>]</w:t>
            </w:r>
            <w:r w:rsidRPr="00382FA1">
              <w:t xml:space="preserve"> </w:t>
            </w:r>
            <w:r w:rsidRPr="00F94B27" w:rsidR="00F94B27">
              <w:rPr>
                <w:b/>
              </w:rPr>
              <w:t>[</w:t>
            </w:r>
            <w:r w:rsidRPr="00382FA1">
              <w:t>Lower Barrier or Upper Barrier were not</w:t>
            </w:r>
            <w:r w:rsidRPr="00F94B27" w:rsidR="00F94B27">
              <w:rPr>
                <w:b/>
              </w:rPr>
              <w:t>]</w:t>
            </w:r>
            <w:r w:rsidRPr="00382FA1">
              <w:t xml:space="preserve"> breached </w:t>
            </w:r>
            <w:r w:rsidRPr="00F94B27" w:rsidR="00F94B27">
              <w:rPr>
                <w:b/>
              </w:rPr>
              <w:t>[</w:t>
            </w:r>
            <w:r w:rsidRPr="00382FA1">
              <w:t>or reached</w:t>
            </w:r>
            <w:r w:rsidRPr="00F94B27" w:rsidR="00F94B27">
              <w:rPr>
                <w:b/>
              </w:rPr>
              <w:t>]</w:t>
            </w:r>
            <w:r w:rsidRPr="00382FA1">
              <w:t xml:space="preserve">, divided by the total number of Barrier Observation Dates during such interest period, by (ii) </w:t>
            </w:r>
            <w:r w:rsidRPr="00F94B27" w:rsidR="00F94B27">
              <w:rPr>
                <w:b/>
              </w:rPr>
              <w:t>[</w:t>
            </w:r>
            <w:r w:rsidR="003857E8">
              <w:rPr>
                <w:rFonts w:ascii="Arial" w:hAnsi="Arial" w:cs="Arial"/>
              </w:rPr>
              <w:t>●</w:t>
            </w:r>
            <w:r w:rsidRPr="00F94B27" w:rsidR="00F94B27">
              <w:rPr>
                <w:b/>
              </w:rPr>
              <w:t>]</w:t>
            </w:r>
            <w:r w:rsidRPr="00382FA1">
              <w:t xml:space="preserve">% per annum. Consequently, the smaller the number of Barrier Observation Dates on which such </w:t>
            </w:r>
            <w:r w:rsidRPr="00F94B27" w:rsidR="00F94B27">
              <w:rPr>
                <w:b/>
              </w:rPr>
              <w:t>[</w:t>
            </w:r>
            <w:r w:rsidRPr="00382FA1">
              <w:t>Barrier</w:t>
            </w:r>
            <w:r w:rsidRPr="00F94B27" w:rsidR="00F94B27">
              <w:rPr>
                <w:b/>
              </w:rPr>
              <w:t>]</w:t>
            </w:r>
            <w:r w:rsidRPr="00382FA1">
              <w:t xml:space="preserve"> </w:t>
            </w:r>
            <w:r w:rsidRPr="00F94B27" w:rsidR="00F94B27">
              <w:rPr>
                <w:b/>
              </w:rPr>
              <w:t>[</w:t>
            </w:r>
            <w:r w:rsidRPr="00382FA1">
              <w:t>Lower Barrier or Upper Barrier</w:t>
            </w:r>
            <w:r w:rsidRPr="00F94B27" w:rsidR="00F94B27">
              <w:rPr>
                <w:b/>
              </w:rPr>
              <w:t>]</w:t>
            </w:r>
            <w:r w:rsidRPr="00382FA1">
              <w:t xml:space="preserve"> is breached </w:t>
            </w:r>
            <w:r w:rsidRPr="00F94B27" w:rsidR="00F94B27">
              <w:rPr>
                <w:b/>
              </w:rPr>
              <w:t>[</w:t>
            </w:r>
            <w:r w:rsidRPr="00382FA1">
              <w:t>or, reached</w:t>
            </w:r>
            <w:r w:rsidRPr="00F94B27" w:rsidR="00F94B27">
              <w:rPr>
                <w:b/>
              </w:rPr>
              <w:t>]</w:t>
            </w:r>
            <w:r w:rsidRPr="00382FA1">
              <w:t xml:space="preserve">, the higher the applicable Interest Rate and resulting Interest Payment Amount will be. Conversely, the greater the number of Barrier Observation Dates on which such </w:t>
            </w:r>
            <w:r w:rsidRPr="00F94B27" w:rsidR="00F94B27">
              <w:rPr>
                <w:b/>
              </w:rPr>
              <w:t>[</w:t>
            </w:r>
            <w:r w:rsidRPr="00382FA1">
              <w:t>Barrier</w:t>
            </w:r>
            <w:r w:rsidRPr="00F94B27" w:rsidR="00F94B27">
              <w:rPr>
                <w:b/>
              </w:rPr>
              <w:t>]</w:t>
            </w:r>
            <w:r w:rsidRPr="00382FA1">
              <w:t xml:space="preserve"> </w:t>
            </w:r>
            <w:r w:rsidRPr="00F94B27" w:rsidR="00F94B27">
              <w:rPr>
                <w:b/>
              </w:rPr>
              <w:t>[</w:t>
            </w:r>
            <w:r w:rsidRPr="00382FA1">
              <w:t>Lower Barrier or Upper Barrier</w:t>
            </w:r>
            <w:r w:rsidRPr="00F94B27" w:rsidR="00F94B27">
              <w:rPr>
                <w:b/>
              </w:rPr>
              <w:t>]</w:t>
            </w:r>
            <w:r w:rsidRPr="00382FA1">
              <w:t xml:space="preserve"> is breached </w:t>
            </w:r>
            <w:r w:rsidRPr="00F94B27" w:rsidR="00F94B27">
              <w:rPr>
                <w:b/>
              </w:rPr>
              <w:t>[</w:t>
            </w:r>
            <w:r w:rsidRPr="00382FA1">
              <w:t>or, reached</w:t>
            </w:r>
            <w:r w:rsidRPr="00F94B27" w:rsidR="00F94B27">
              <w:rPr>
                <w:b/>
              </w:rPr>
              <w:t>]</w:t>
            </w:r>
            <w:r w:rsidRPr="00382FA1">
              <w:t xml:space="preserve">, the lower the </w:t>
            </w:r>
            <w:r w:rsidRPr="00F94B27" w:rsidR="00F94B27">
              <w:rPr>
                <w:b/>
              </w:rPr>
              <w:t>[</w:t>
            </w:r>
            <w:r w:rsidRPr="00382FA1">
              <w:t>applicable</w:t>
            </w:r>
            <w:r w:rsidRPr="00F94B27" w:rsidR="00F94B27">
              <w:rPr>
                <w:b/>
              </w:rPr>
              <w:t>]</w:t>
            </w:r>
            <w:r w:rsidRPr="00382FA1">
              <w:t xml:space="preserve"> Interest Rate and resulting Interest Payment Amount will be. If such </w:t>
            </w:r>
            <w:r w:rsidRPr="00F94B27" w:rsidR="00F94B27">
              <w:rPr>
                <w:b/>
              </w:rPr>
              <w:t>[</w:t>
            </w:r>
            <w:r w:rsidRPr="00382FA1">
              <w:t>Barrier</w:t>
            </w:r>
            <w:r w:rsidRPr="00F94B27" w:rsidR="00F94B27">
              <w:rPr>
                <w:b/>
              </w:rPr>
              <w:t>]</w:t>
            </w:r>
            <w:r w:rsidRPr="00382FA1">
              <w:t xml:space="preserve"> </w:t>
            </w:r>
            <w:r w:rsidRPr="00F94B27" w:rsidR="00F94B27">
              <w:rPr>
                <w:b/>
              </w:rPr>
              <w:t>[</w:t>
            </w:r>
            <w:r w:rsidRPr="00382FA1">
              <w:t>Lower Barrier or Upper Barrier</w:t>
            </w:r>
            <w:r w:rsidRPr="00F94B27" w:rsidR="00F94B27">
              <w:rPr>
                <w:b/>
              </w:rPr>
              <w:t>]</w:t>
            </w:r>
            <w:r w:rsidRPr="00382FA1">
              <w:t xml:space="preserve"> is breached </w:t>
            </w:r>
            <w:r w:rsidRPr="00F94B27" w:rsidR="00F94B27">
              <w:rPr>
                <w:b/>
              </w:rPr>
              <w:t>[</w:t>
            </w:r>
            <w:r w:rsidRPr="00382FA1">
              <w:t>or, reached</w:t>
            </w:r>
            <w:r w:rsidRPr="00F94B27" w:rsidR="00F94B27">
              <w:rPr>
                <w:b/>
              </w:rPr>
              <w:t>]</w:t>
            </w:r>
            <w:r w:rsidRPr="00382FA1">
              <w:t xml:space="preserve"> on each Barrier Observation Date, the Interest Rate and the resulting Interest Payment Amount, will be zero.</w:t>
            </w:r>
            <w:r w:rsidRPr="00F94B27" w:rsidR="00F94B27">
              <w:rPr>
                <w:b/>
              </w:rPr>
              <w:t>]</w:t>
            </w:r>
          </w:p>
        </w:tc>
        <w:tc>
          <w:tcPr>
            <w:tcW w:w="2466" w:type="pct"/>
            <w:gridSpan w:val="14"/>
            <w:tcBorders>
              <w:left w:val="single" w:sz="4" w:space="0" w:color="auto"/>
            </w:tcBorders>
          </w:tcPr>
          <w:p w:rsidR="004B319E" w:rsidRPr="004B319E" w:rsidP="004B319E">
            <w:pPr>
              <w:pStyle w:val="CSBody0"/>
              <w:rPr>
                <w:lang w:val="de-DE"/>
              </w:rPr>
            </w:pPr>
            <w:r w:rsidRPr="004B319E">
              <w:rPr>
                <w:lang w:val="de-DE"/>
              </w:rPr>
              <w:t xml:space="preserve">Bei Range Accrual Notes hängt der Zinssatz, auf dessen Grundlage </w:t>
            </w:r>
            <w:r w:rsidRPr="00F94B27" w:rsidR="00F94B27">
              <w:rPr>
                <w:b/>
                <w:lang w:val="de-DE"/>
              </w:rPr>
              <w:t>[</w:t>
            </w:r>
            <w:r w:rsidRPr="004B319E">
              <w:rPr>
                <w:lang w:val="de-DE"/>
              </w:rPr>
              <w:t>der Zinszahlungsbetrag</w:t>
            </w:r>
            <w:r w:rsidRPr="00F94B27" w:rsidR="00F94B27">
              <w:rPr>
                <w:b/>
                <w:lang w:val="de-DE"/>
              </w:rPr>
              <w:t>][</w:t>
            </w:r>
            <w:r w:rsidRPr="004B319E">
              <w:rPr>
                <w:lang w:val="de-DE"/>
              </w:rPr>
              <w:t>die Zinszahlungsbeträge</w:t>
            </w:r>
            <w:r w:rsidRPr="00F94B27" w:rsidR="00F94B27">
              <w:rPr>
                <w:b/>
                <w:lang w:val="de-DE"/>
              </w:rPr>
              <w:t>]</w:t>
            </w:r>
            <w:r w:rsidRPr="004B319E">
              <w:rPr>
                <w:lang w:val="de-DE"/>
              </w:rPr>
              <w:t xml:space="preserve"> berechnet </w:t>
            </w:r>
            <w:r w:rsidRPr="00F94B27" w:rsidR="00F94B27">
              <w:rPr>
                <w:b/>
                <w:lang w:val="de-DE"/>
              </w:rPr>
              <w:t>[</w:t>
            </w:r>
            <w:r w:rsidRPr="004B319E">
              <w:rPr>
                <w:lang w:val="de-DE"/>
              </w:rPr>
              <w:t>wird</w:t>
            </w:r>
            <w:r w:rsidRPr="00F94B27" w:rsidR="00F94B27">
              <w:rPr>
                <w:b/>
                <w:lang w:val="de-DE"/>
              </w:rPr>
              <w:t>][</w:t>
            </w:r>
            <w:r w:rsidRPr="004B319E">
              <w:rPr>
                <w:lang w:val="de-DE"/>
              </w:rPr>
              <w:t>werden</w:t>
            </w:r>
            <w:r w:rsidRPr="00F94B27" w:rsidR="00F94B27">
              <w:rPr>
                <w:b/>
                <w:lang w:val="de-DE"/>
              </w:rPr>
              <w:t>]</w:t>
            </w:r>
            <w:r w:rsidRPr="004B319E">
              <w:rPr>
                <w:lang w:val="de-DE"/>
              </w:rPr>
              <w:t xml:space="preserve">, von der Anzahl der Barriere-Beobachtungstage während der </w:t>
            </w:r>
            <w:r w:rsidRPr="00F94B27" w:rsidR="00F94B27">
              <w:rPr>
                <w:b/>
                <w:lang w:val="de-DE"/>
              </w:rPr>
              <w:t>[</w:t>
            </w:r>
            <w:r w:rsidRPr="004B319E">
              <w:rPr>
                <w:lang w:val="de-DE"/>
              </w:rPr>
              <w:t>jeweiligen</w:t>
            </w:r>
            <w:r w:rsidRPr="00F94B27" w:rsidR="00F94B27">
              <w:rPr>
                <w:b/>
                <w:lang w:val="de-DE"/>
              </w:rPr>
              <w:t>]</w:t>
            </w:r>
            <w:r w:rsidRPr="004B319E">
              <w:rPr>
                <w:lang w:val="de-DE"/>
              </w:rPr>
              <w:t xml:space="preserve"> Zinsperiode ab, an denen der Wert des Referenzsatzes (d.h. eines variablen Zinssatzes) die in den Emissionsbedingungen angegebene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verletzt </w:t>
            </w:r>
            <w:r w:rsidRPr="00F94B27" w:rsidR="00F94B27">
              <w:rPr>
                <w:b/>
                <w:lang w:val="de-DE"/>
              </w:rPr>
              <w:t>[</w:t>
            </w:r>
            <w:r w:rsidRPr="004B319E">
              <w:rPr>
                <w:lang w:val="de-DE"/>
              </w:rPr>
              <w:t>oder diese erreicht</w:t>
            </w:r>
            <w:r w:rsidRPr="00F94B27" w:rsidR="00F94B27">
              <w:rPr>
                <w:b/>
                <w:lang w:val="de-DE"/>
              </w:rPr>
              <w:t>]</w:t>
            </w:r>
            <w:r w:rsidRPr="004B319E">
              <w:rPr>
                <w:lang w:val="de-DE"/>
              </w:rPr>
              <w:t xml:space="preserve">. Der </w:t>
            </w:r>
            <w:r w:rsidRPr="00F94B27" w:rsidR="00F94B27">
              <w:rPr>
                <w:b/>
                <w:lang w:val="de-DE"/>
              </w:rPr>
              <w:t>[</w:t>
            </w:r>
            <w:r w:rsidRPr="004B319E">
              <w:rPr>
                <w:lang w:val="de-DE"/>
              </w:rPr>
              <w:t>anwendbare</w:t>
            </w:r>
            <w:r w:rsidRPr="00F94B27" w:rsidR="00F94B27">
              <w:rPr>
                <w:b/>
                <w:lang w:val="de-DE"/>
              </w:rPr>
              <w:t>]</w:t>
            </w:r>
            <w:r w:rsidRPr="004B319E">
              <w:rPr>
                <w:lang w:val="de-DE"/>
              </w:rPr>
              <w:t xml:space="preserve"> Zinssatz wird dann bestimmt, indem (i) die Anzahl der Barriere-Beobachtungstage während der </w:t>
            </w:r>
            <w:r w:rsidRPr="00F94B27" w:rsidR="00F94B27">
              <w:rPr>
                <w:b/>
                <w:lang w:val="de-DE"/>
              </w:rPr>
              <w:t>[</w:t>
            </w:r>
            <w:r w:rsidRPr="004B319E">
              <w:rPr>
                <w:lang w:val="de-DE"/>
              </w:rPr>
              <w:t>jeweiligen</w:t>
            </w:r>
            <w:r w:rsidRPr="00F94B27" w:rsidR="00F94B27">
              <w:rPr>
                <w:b/>
                <w:lang w:val="de-DE"/>
              </w:rPr>
              <w:t>]</w:t>
            </w:r>
            <w:r w:rsidRPr="004B319E">
              <w:rPr>
                <w:lang w:val="de-DE"/>
              </w:rPr>
              <w:t xml:space="preserve"> Zinsperiode, an denen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nicht verletzt wurde </w:t>
            </w:r>
            <w:r w:rsidRPr="00F94B27" w:rsidR="00F94B27">
              <w:rPr>
                <w:b/>
                <w:lang w:val="de-DE"/>
              </w:rPr>
              <w:t>[</w:t>
            </w:r>
            <w:r w:rsidRPr="004B319E">
              <w:rPr>
                <w:lang w:val="de-DE"/>
              </w:rPr>
              <w:t>(oder nicht erreicht wurde)</w:t>
            </w:r>
            <w:r w:rsidRPr="00F94B27" w:rsidR="00F94B27">
              <w:rPr>
                <w:b/>
                <w:lang w:val="de-DE"/>
              </w:rPr>
              <w:t>]</w:t>
            </w:r>
            <w:r w:rsidRPr="004B319E">
              <w:rPr>
                <w:lang w:val="de-DE"/>
              </w:rPr>
              <w:t xml:space="preserve">, dividiert durch die Gesamtzahl der Barriere-Beobachtungstage während dieser Zinsperiode, mit (ii) </w:t>
            </w:r>
            <w:r w:rsidRPr="00F94B27" w:rsidR="00F94B27">
              <w:rPr>
                <w:b/>
                <w:lang w:val="de-DE"/>
              </w:rPr>
              <w:t>[</w:t>
            </w:r>
            <w:r w:rsidRPr="00116653" w:rsidR="003857E8">
              <w:rPr>
                <w:rFonts w:ascii="Arial" w:hAnsi="Arial" w:cs="Arial"/>
                <w:lang w:val="de-DE"/>
              </w:rPr>
              <w:t>●</w:t>
            </w:r>
            <w:r w:rsidRPr="00F94B27" w:rsidR="00F94B27">
              <w:rPr>
                <w:b/>
                <w:lang w:val="de-DE"/>
              </w:rPr>
              <w:t>]</w:t>
            </w:r>
            <w:r w:rsidRPr="004B319E">
              <w:rPr>
                <w:lang w:val="de-DE"/>
              </w:rPr>
              <w:t xml:space="preserve">% per annum multipliziert wird. Folglich gilt: je kleiner die Anzahl der Barriere-Beobachtungstage ist, an denen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verletzt wurde </w:t>
            </w:r>
            <w:r w:rsidRPr="00F94B27" w:rsidR="00F94B27">
              <w:rPr>
                <w:b/>
                <w:lang w:val="de-DE"/>
              </w:rPr>
              <w:t>[</w:t>
            </w:r>
            <w:r w:rsidRPr="004B319E">
              <w:rPr>
                <w:lang w:val="de-DE"/>
              </w:rPr>
              <w:t>oder erreicht wurde</w:t>
            </w:r>
            <w:r w:rsidRPr="00F94B27" w:rsidR="00F94B27">
              <w:rPr>
                <w:b/>
                <w:lang w:val="de-DE"/>
              </w:rPr>
              <w:t>]</w:t>
            </w:r>
            <w:r w:rsidRPr="004B319E">
              <w:rPr>
                <w:lang w:val="de-DE"/>
              </w:rPr>
              <w:t xml:space="preserve">, desto höher ist der anwendbare Zinssatz und der resultierende Zinszahlungsbetrag. Umgekehrt gilt: je grösser die Anzahl der Barriere-Beobachtungstage ist, an denen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verletzt wurde </w:t>
            </w:r>
            <w:r w:rsidRPr="00F94B27" w:rsidR="00F94B27">
              <w:rPr>
                <w:b/>
                <w:lang w:val="de-DE"/>
              </w:rPr>
              <w:t>[</w:t>
            </w:r>
            <w:r w:rsidRPr="004B319E">
              <w:rPr>
                <w:lang w:val="de-DE"/>
              </w:rPr>
              <w:t>oder erreicht wurde</w:t>
            </w:r>
            <w:r w:rsidRPr="00F94B27" w:rsidR="00F94B27">
              <w:rPr>
                <w:b/>
                <w:lang w:val="de-DE"/>
              </w:rPr>
              <w:t>]</w:t>
            </w:r>
            <w:r w:rsidRPr="004B319E">
              <w:rPr>
                <w:lang w:val="de-DE"/>
              </w:rPr>
              <w:t xml:space="preserve">, desto niedriger ist der anwendbare Zinssatz und der resultierende Zinszahlungsbetrag. Wird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an jedem Barriere-Beobachtungstag verletzt </w:t>
            </w:r>
            <w:r w:rsidRPr="00F94B27" w:rsidR="00F94B27">
              <w:rPr>
                <w:b/>
                <w:lang w:val="de-DE"/>
              </w:rPr>
              <w:t>[</w:t>
            </w:r>
            <w:r w:rsidRPr="004B319E">
              <w:rPr>
                <w:lang w:val="de-DE"/>
              </w:rPr>
              <w:t>(oder erreicht)</w:t>
            </w:r>
            <w:r w:rsidRPr="00F94B27" w:rsidR="00F94B27">
              <w:rPr>
                <w:b/>
                <w:lang w:val="de-DE"/>
              </w:rPr>
              <w:t>]</w:t>
            </w:r>
            <w:r w:rsidRPr="004B319E">
              <w:rPr>
                <w:lang w:val="de-DE"/>
              </w:rPr>
              <w:t>, so betragen der Zinssatz und der resultierende Zinszahlungsbetrag null.</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4B319E" w:rsidRPr="00AB16EC" w:rsidP="004B319E">
            <w:pPr>
              <w:pStyle w:val="CSbody0bolditalic"/>
              <w:rPr>
                <w:lang w:val="en-GB"/>
              </w:rPr>
            </w:pPr>
            <w:r w:rsidRPr="00F94B27">
              <w:rPr>
                <w:lang w:val="en-GB"/>
              </w:rPr>
              <w:t>[</w:t>
            </w:r>
            <w:r w:rsidRPr="00AB16EC">
              <w:rPr>
                <w:lang w:val="en-GB"/>
              </w:rPr>
              <w:t>in case of Spread Range Accrual Notes:</w:t>
            </w:r>
          </w:p>
        </w:tc>
        <w:tc>
          <w:tcPr>
            <w:tcW w:w="2466" w:type="pct"/>
            <w:gridSpan w:val="14"/>
            <w:tcBorders>
              <w:left w:val="single" w:sz="4" w:space="0" w:color="auto"/>
            </w:tcBorders>
          </w:tcPr>
          <w:p w:rsidR="004B319E" w:rsidRPr="00AB16EC" w:rsidP="004B319E">
            <w:pPr>
              <w:pStyle w:val="CSbody0bolditalic"/>
              <w:rPr>
                <w:lang w:val="en-GB"/>
              </w:rPr>
            </w:pPr>
            <w:r w:rsidRPr="00F94B27">
              <w:rPr>
                <w:lang w:val="en-GB"/>
              </w:rPr>
              <w:t>[</w:t>
            </w:r>
            <w:r w:rsidRPr="00AB16EC">
              <w:rPr>
                <w:lang w:val="en-GB"/>
              </w:rPr>
              <w:t>bei Spread Range Accrual Notes:</w:t>
            </w:r>
          </w:p>
        </w:tc>
      </w:tr>
      <w:tr w:rsidTr="00942F00">
        <w:tblPrEx>
          <w:tblW w:w="5000" w:type="pct"/>
          <w:tblLayout w:type="fixed"/>
          <w:tblLook w:val="04A0"/>
        </w:tblPrEx>
        <w:tc>
          <w:tcPr>
            <w:tcW w:w="2534" w:type="pct"/>
            <w:gridSpan w:val="14"/>
            <w:tcBorders>
              <w:right w:val="single" w:sz="4" w:space="0" w:color="auto"/>
            </w:tcBorders>
          </w:tcPr>
          <w:p w:rsidR="004B319E" w:rsidRPr="00382FA1" w:rsidP="004B319E">
            <w:pPr>
              <w:pStyle w:val="CSBody0"/>
            </w:pPr>
            <w:r w:rsidRPr="00382FA1">
              <w:t>In case of Spread Range Accrual Notes, the Interest Rate on the basis of which the Interest Payment Amount</w:t>
            </w:r>
            <w:r w:rsidRPr="00F94B27" w:rsidR="00F94B27">
              <w:rPr>
                <w:b/>
              </w:rPr>
              <w:t>[</w:t>
            </w:r>
            <w:r w:rsidRPr="00382FA1">
              <w:t>s</w:t>
            </w:r>
            <w:r w:rsidRPr="00F94B27" w:rsidR="00F94B27">
              <w:rPr>
                <w:b/>
              </w:rPr>
              <w:t>]</w:t>
            </w:r>
            <w:r w:rsidRPr="00382FA1">
              <w:t xml:space="preserve"> </w:t>
            </w:r>
            <w:r w:rsidRPr="00F94B27" w:rsidR="00F94B27">
              <w:rPr>
                <w:b/>
              </w:rPr>
              <w:t>[</w:t>
            </w:r>
            <w:r w:rsidRPr="00382FA1">
              <w:t>is</w:t>
            </w:r>
            <w:r w:rsidRPr="00F94B27" w:rsidR="00F94B27">
              <w:rPr>
                <w:b/>
              </w:rPr>
              <w:t>][</w:t>
            </w:r>
            <w:r w:rsidRPr="00382FA1">
              <w:t>are</w:t>
            </w:r>
            <w:r w:rsidRPr="00F94B27" w:rsidR="00F94B27">
              <w:rPr>
                <w:b/>
              </w:rPr>
              <w:t>]</w:t>
            </w:r>
            <w:r w:rsidRPr="00382FA1">
              <w:t xml:space="preserve"> calculated will be dependent upon the number of Barrier Observation Dates during the </w:t>
            </w:r>
            <w:r w:rsidRPr="00F94B27" w:rsidR="00F94B27">
              <w:rPr>
                <w:b/>
              </w:rPr>
              <w:t>[</w:t>
            </w:r>
            <w:r w:rsidRPr="00382FA1">
              <w:t>relevant</w:t>
            </w:r>
            <w:r w:rsidRPr="00F94B27" w:rsidR="00F94B27">
              <w:rPr>
                <w:b/>
              </w:rPr>
              <w:t>]</w:t>
            </w:r>
            <w:r w:rsidRPr="00382FA1">
              <w:t xml:space="preserve"> interest period on which the difference between the value of Reference Rate 2 and the value of Reference Rate 3 (</w:t>
            </w:r>
            <w:r w:rsidRPr="007E3558" w:rsidR="007E3558">
              <w:rPr>
                <w:i/>
              </w:rPr>
              <w:t>i.e.</w:t>
            </w:r>
            <w:r w:rsidRPr="00382FA1">
              <w:t xml:space="preserve">, the diference between two variable interes rates) breaches </w:t>
            </w:r>
            <w:r w:rsidRPr="00F94B27" w:rsidR="00F94B27">
              <w:rPr>
                <w:b/>
              </w:rPr>
              <w:t>[</w:t>
            </w:r>
            <w:r w:rsidRPr="00382FA1">
              <w:t>or reaches</w:t>
            </w:r>
            <w:r w:rsidRPr="00F94B27" w:rsidR="00F94B27">
              <w:rPr>
                <w:b/>
              </w:rPr>
              <w:t>]</w:t>
            </w:r>
            <w:r w:rsidRPr="00382FA1">
              <w:t xml:space="preserve"> the </w:t>
            </w:r>
            <w:r w:rsidRPr="00F94B27" w:rsidR="00F94B27">
              <w:rPr>
                <w:b/>
              </w:rPr>
              <w:t>[</w:t>
            </w:r>
            <w:r w:rsidRPr="00382FA1">
              <w:t>Barrier</w:t>
            </w:r>
            <w:r w:rsidRPr="00F94B27" w:rsidR="00F94B27">
              <w:rPr>
                <w:b/>
              </w:rPr>
              <w:t>]</w:t>
            </w:r>
            <w:r w:rsidRPr="00382FA1">
              <w:t xml:space="preserve"> </w:t>
            </w:r>
            <w:r w:rsidRPr="00F94B27" w:rsidR="00F94B27">
              <w:rPr>
                <w:b/>
              </w:rPr>
              <w:t>[</w:t>
            </w:r>
            <w:r w:rsidRPr="00382FA1">
              <w:t>Lower Barrier or Upper Barrier</w:t>
            </w:r>
            <w:r w:rsidRPr="00F94B27" w:rsidR="00F94B27">
              <w:rPr>
                <w:b/>
              </w:rPr>
              <w:t>]</w:t>
            </w:r>
            <w:r w:rsidRPr="00382FA1">
              <w:t xml:space="preserve">. The </w:t>
            </w:r>
            <w:r w:rsidRPr="00F94B27" w:rsidR="00F94B27">
              <w:rPr>
                <w:b/>
              </w:rPr>
              <w:t>[</w:t>
            </w:r>
            <w:r w:rsidRPr="00382FA1">
              <w:t>applicable</w:t>
            </w:r>
            <w:r w:rsidRPr="00F94B27" w:rsidR="00F94B27">
              <w:rPr>
                <w:b/>
              </w:rPr>
              <w:t>]</w:t>
            </w:r>
            <w:r w:rsidRPr="00382FA1">
              <w:t xml:space="preserve"> Interest Rate of Spread Range Accrual Notes will then be determined by multiplying (i) the number of Barrier Observation Dates on which such </w:t>
            </w:r>
            <w:r w:rsidRPr="00F94B27" w:rsidR="00F94B27">
              <w:rPr>
                <w:b/>
              </w:rPr>
              <w:t>[</w:t>
            </w:r>
            <w:r w:rsidRPr="00382FA1">
              <w:t>Barrier was not</w:t>
            </w:r>
            <w:r w:rsidRPr="00F94B27" w:rsidR="00F94B27">
              <w:rPr>
                <w:b/>
              </w:rPr>
              <w:t>]</w:t>
            </w:r>
            <w:r w:rsidRPr="00382FA1">
              <w:t xml:space="preserve"> </w:t>
            </w:r>
            <w:r w:rsidRPr="00F94B27" w:rsidR="00F94B27">
              <w:rPr>
                <w:b/>
              </w:rPr>
              <w:t>[</w:t>
            </w:r>
            <w:r w:rsidRPr="00382FA1">
              <w:t>Lower Barrier or Upper Barrier were not</w:t>
            </w:r>
            <w:r w:rsidRPr="00F94B27" w:rsidR="00F94B27">
              <w:rPr>
                <w:b/>
              </w:rPr>
              <w:t>]</w:t>
            </w:r>
            <w:r w:rsidRPr="00382FA1">
              <w:t xml:space="preserve"> breached </w:t>
            </w:r>
            <w:r w:rsidRPr="00F94B27" w:rsidR="00F94B27">
              <w:rPr>
                <w:b/>
              </w:rPr>
              <w:t>[</w:t>
            </w:r>
            <w:r w:rsidRPr="00382FA1">
              <w:t>or reached</w:t>
            </w:r>
            <w:r w:rsidRPr="00F94B27" w:rsidR="00F94B27">
              <w:rPr>
                <w:b/>
              </w:rPr>
              <w:t>]</w:t>
            </w:r>
            <w:r w:rsidRPr="00382FA1">
              <w:t xml:space="preserve"> during the </w:t>
            </w:r>
            <w:r w:rsidRPr="00F94B27" w:rsidR="00F94B27">
              <w:rPr>
                <w:b/>
              </w:rPr>
              <w:t>[</w:t>
            </w:r>
            <w:r w:rsidRPr="00382FA1">
              <w:t>relevant</w:t>
            </w:r>
            <w:r w:rsidRPr="00F94B27" w:rsidR="00F94B27">
              <w:rPr>
                <w:b/>
              </w:rPr>
              <w:t>]</w:t>
            </w:r>
            <w:r w:rsidRPr="00382FA1">
              <w:t xml:space="preserve"> interest period, divided by the total number of Barrier Observation Dates during such interest period, by (ii) the sum of the value of Reference Rate 1 on the Interest Determination Date and </w:t>
            </w:r>
            <w:r w:rsidRPr="00F94B27" w:rsidR="00F94B27">
              <w:rPr>
                <w:b/>
              </w:rPr>
              <w:t>[</w:t>
            </w:r>
            <w:r w:rsidR="003857E8">
              <w:rPr>
                <w:rFonts w:ascii="Arial" w:hAnsi="Arial" w:cs="Arial"/>
              </w:rPr>
              <w:t>●</w:t>
            </w:r>
            <w:r w:rsidRPr="00F94B27" w:rsidR="00F94B27">
              <w:rPr>
                <w:b/>
              </w:rPr>
              <w:t>]</w:t>
            </w:r>
            <w:r w:rsidRPr="00382FA1">
              <w:t xml:space="preserve">% per annum. Consequently, not only is the Interest Rate dependent upon the value of Reference Rate 1 on the </w:t>
            </w:r>
            <w:r w:rsidRPr="00F94B27" w:rsidR="00F94B27">
              <w:rPr>
                <w:b/>
              </w:rPr>
              <w:t>[</w:t>
            </w:r>
            <w:r w:rsidRPr="00382FA1">
              <w:t>relevant</w:t>
            </w:r>
            <w:r w:rsidRPr="00F94B27" w:rsidR="00F94B27">
              <w:rPr>
                <w:b/>
              </w:rPr>
              <w:t>]</w:t>
            </w:r>
            <w:r w:rsidRPr="00382FA1">
              <w:t xml:space="preserve"> Interest Determination Date, but the smaller the number of Barrier Observation Dates on which such </w:t>
            </w:r>
            <w:r w:rsidRPr="00F94B27" w:rsidR="00F94B27">
              <w:rPr>
                <w:b/>
              </w:rPr>
              <w:t>[</w:t>
            </w:r>
            <w:r w:rsidRPr="00382FA1">
              <w:t>Barrier</w:t>
            </w:r>
            <w:r w:rsidRPr="00F94B27" w:rsidR="00F94B27">
              <w:rPr>
                <w:b/>
              </w:rPr>
              <w:t>]</w:t>
            </w:r>
            <w:r w:rsidRPr="00382FA1">
              <w:t xml:space="preserve"> </w:t>
            </w:r>
            <w:r w:rsidRPr="00F94B27" w:rsidR="00F94B27">
              <w:rPr>
                <w:b/>
              </w:rPr>
              <w:t>[</w:t>
            </w:r>
            <w:r w:rsidRPr="00382FA1">
              <w:t>Lower Barrier or Upper Barrier</w:t>
            </w:r>
            <w:r w:rsidRPr="00F94B27" w:rsidR="00F94B27">
              <w:rPr>
                <w:b/>
              </w:rPr>
              <w:t>]</w:t>
            </w:r>
            <w:r w:rsidRPr="00382FA1">
              <w:t xml:space="preserve"> is breached </w:t>
            </w:r>
            <w:r w:rsidRPr="00F94B27" w:rsidR="00F94B27">
              <w:rPr>
                <w:b/>
              </w:rPr>
              <w:t>[</w:t>
            </w:r>
            <w:r w:rsidRPr="00382FA1">
              <w:t>or reached</w:t>
            </w:r>
            <w:r w:rsidRPr="00F94B27" w:rsidR="00F94B27">
              <w:rPr>
                <w:b/>
              </w:rPr>
              <w:t>]</w:t>
            </w:r>
            <w:r w:rsidRPr="00382FA1">
              <w:t xml:space="preserve">, the higher the </w:t>
            </w:r>
            <w:r w:rsidRPr="00F94B27" w:rsidR="00F94B27">
              <w:rPr>
                <w:b/>
              </w:rPr>
              <w:t>[</w:t>
            </w:r>
            <w:r w:rsidRPr="00382FA1">
              <w:t>applicable</w:t>
            </w:r>
            <w:r w:rsidRPr="00F94B27" w:rsidR="00F94B27">
              <w:rPr>
                <w:b/>
              </w:rPr>
              <w:t>]</w:t>
            </w:r>
            <w:r w:rsidRPr="00382FA1">
              <w:t xml:space="preserve"> Interest Rate and resulting Interest Payment Amount will be. Conversely, the greater the number of Barrier Observation Dates on which such </w:t>
            </w:r>
            <w:r w:rsidRPr="00F94B27" w:rsidR="00F94B27">
              <w:rPr>
                <w:b/>
              </w:rPr>
              <w:t>[</w:t>
            </w:r>
            <w:r w:rsidRPr="00382FA1">
              <w:t>Barrier</w:t>
            </w:r>
            <w:r w:rsidRPr="00F94B27" w:rsidR="00F94B27">
              <w:rPr>
                <w:b/>
              </w:rPr>
              <w:t>]</w:t>
            </w:r>
            <w:r w:rsidRPr="00382FA1">
              <w:t xml:space="preserve"> </w:t>
            </w:r>
            <w:r w:rsidRPr="00F94B27" w:rsidR="00F94B27">
              <w:rPr>
                <w:b/>
              </w:rPr>
              <w:t>[</w:t>
            </w:r>
            <w:r w:rsidRPr="00382FA1">
              <w:t>Lower Barrier or Upper Barrier</w:t>
            </w:r>
            <w:r w:rsidRPr="00F94B27" w:rsidR="00F94B27">
              <w:rPr>
                <w:b/>
              </w:rPr>
              <w:t>]</w:t>
            </w:r>
            <w:r w:rsidRPr="00382FA1">
              <w:t xml:space="preserve"> is breached </w:t>
            </w:r>
            <w:r w:rsidRPr="00F94B27" w:rsidR="00F94B27">
              <w:rPr>
                <w:b/>
              </w:rPr>
              <w:t>[</w:t>
            </w:r>
            <w:r w:rsidRPr="00382FA1">
              <w:t>or reached</w:t>
            </w:r>
            <w:r w:rsidRPr="00F94B27" w:rsidR="00F94B27">
              <w:rPr>
                <w:b/>
              </w:rPr>
              <w:t>]</w:t>
            </w:r>
            <w:r w:rsidRPr="00382FA1">
              <w:t xml:space="preserve">, the lower the </w:t>
            </w:r>
            <w:r w:rsidRPr="00F94B27" w:rsidR="00F94B27">
              <w:rPr>
                <w:b/>
              </w:rPr>
              <w:t>[</w:t>
            </w:r>
            <w:r w:rsidRPr="00382FA1">
              <w:t>applicable</w:t>
            </w:r>
            <w:r w:rsidRPr="00F94B27" w:rsidR="00F94B27">
              <w:rPr>
                <w:b/>
              </w:rPr>
              <w:t>]</w:t>
            </w:r>
            <w:r w:rsidRPr="00382FA1">
              <w:t xml:space="preserve"> Interest Rate will be. If the </w:t>
            </w:r>
            <w:r w:rsidRPr="00F94B27" w:rsidR="00F94B27">
              <w:rPr>
                <w:b/>
              </w:rPr>
              <w:t>[</w:t>
            </w:r>
            <w:r w:rsidRPr="00382FA1">
              <w:t>Barrier</w:t>
            </w:r>
            <w:r w:rsidRPr="00F94B27" w:rsidR="00F94B27">
              <w:rPr>
                <w:b/>
              </w:rPr>
              <w:t>]</w:t>
            </w:r>
            <w:r w:rsidRPr="00382FA1">
              <w:t xml:space="preserve"> </w:t>
            </w:r>
            <w:r w:rsidRPr="00F94B27" w:rsidR="00F94B27">
              <w:rPr>
                <w:b/>
              </w:rPr>
              <w:t>[</w:t>
            </w:r>
            <w:r w:rsidRPr="00382FA1">
              <w:t>Lower Barrier or Upper Barrier</w:t>
            </w:r>
            <w:r w:rsidRPr="00F94B27" w:rsidR="00F94B27">
              <w:rPr>
                <w:b/>
              </w:rPr>
              <w:t>]</w:t>
            </w:r>
            <w:r w:rsidRPr="00382FA1">
              <w:t xml:space="preserve"> is breached </w:t>
            </w:r>
            <w:r w:rsidRPr="00F94B27" w:rsidR="00F94B27">
              <w:rPr>
                <w:b/>
              </w:rPr>
              <w:t>[</w:t>
            </w:r>
            <w:r w:rsidRPr="00382FA1">
              <w:t>or reached</w:t>
            </w:r>
            <w:r w:rsidRPr="00F94B27" w:rsidR="00F94B27">
              <w:rPr>
                <w:b/>
              </w:rPr>
              <w:t>]</w:t>
            </w:r>
            <w:r w:rsidRPr="00382FA1">
              <w:t xml:space="preserve"> on each Barrier Observation Date, the Interest Rate, and the resulting Interest Payment Amount, will be zero.</w:t>
            </w:r>
            <w:r w:rsidRPr="00F94B27" w:rsidR="00F94B27">
              <w:rPr>
                <w:b/>
              </w:rPr>
              <w:t>]</w:t>
            </w:r>
          </w:p>
        </w:tc>
        <w:tc>
          <w:tcPr>
            <w:tcW w:w="2466" w:type="pct"/>
            <w:gridSpan w:val="14"/>
            <w:tcBorders>
              <w:left w:val="single" w:sz="4" w:space="0" w:color="auto"/>
            </w:tcBorders>
          </w:tcPr>
          <w:p w:rsidR="004B319E" w:rsidRPr="004B319E" w:rsidP="004B319E">
            <w:pPr>
              <w:pStyle w:val="CSBody0"/>
              <w:rPr>
                <w:lang w:val="de-DE"/>
              </w:rPr>
            </w:pPr>
            <w:r w:rsidRPr="004B319E">
              <w:rPr>
                <w:lang w:val="de-DE"/>
              </w:rPr>
              <w:t xml:space="preserve">Bei Spread Range Accrual Notes hängt der Zinssatz, auf dessen Grundlage </w:t>
            </w:r>
            <w:r w:rsidRPr="00F94B27" w:rsidR="00F94B27">
              <w:rPr>
                <w:b/>
                <w:lang w:val="de-DE"/>
              </w:rPr>
              <w:t>[</w:t>
            </w:r>
            <w:r w:rsidRPr="004B319E">
              <w:rPr>
                <w:lang w:val="de-DE"/>
              </w:rPr>
              <w:t>der Zinszahlungsbetrag</w:t>
            </w:r>
            <w:r w:rsidRPr="00F94B27" w:rsidR="00F94B27">
              <w:rPr>
                <w:b/>
                <w:lang w:val="de-DE"/>
              </w:rPr>
              <w:t>][</w:t>
            </w:r>
            <w:r w:rsidRPr="004B319E">
              <w:rPr>
                <w:lang w:val="de-DE"/>
              </w:rPr>
              <w:t>die Zinszahlungsbeträge</w:t>
            </w:r>
            <w:r w:rsidRPr="00F94B27" w:rsidR="00F94B27">
              <w:rPr>
                <w:b/>
                <w:lang w:val="de-DE"/>
              </w:rPr>
              <w:t>]</w:t>
            </w:r>
            <w:r w:rsidRPr="004B319E">
              <w:rPr>
                <w:lang w:val="de-DE"/>
              </w:rPr>
              <w:t xml:space="preserve"> berechnet </w:t>
            </w:r>
            <w:r w:rsidRPr="00F94B27" w:rsidR="00F94B27">
              <w:rPr>
                <w:b/>
                <w:lang w:val="de-DE"/>
              </w:rPr>
              <w:t>[</w:t>
            </w:r>
            <w:r w:rsidRPr="004B319E">
              <w:rPr>
                <w:lang w:val="de-DE"/>
              </w:rPr>
              <w:t>wird</w:t>
            </w:r>
            <w:r w:rsidRPr="00F94B27" w:rsidR="00F94B27">
              <w:rPr>
                <w:b/>
                <w:lang w:val="de-DE"/>
              </w:rPr>
              <w:t>][</w:t>
            </w:r>
            <w:r w:rsidRPr="004B319E">
              <w:rPr>
                <w:lang w:val="de-DE"/>
              </w:rPr>
              <w:t>werden</w:t>
            </w:r>
            <w:r w:rsidRPr="00F94B27" w:rsidR="00F94B27">
              <w:rPr>
                <w:b/>
                <w:lang w:val="de-DE"/>
              </w:rPr>
              <w:t>]</w:t>
            </w:r>
            <w:r w:rsidRPr="004B319E">
              <w:rPr>
                <w:lang w:val="de-DE"/>
              </w:rPr>
              <w:t xml:space="preserve">, von der Anzahl der Barriere-Beobachtungstage während der </w:t>
            </w:r>
            <w:r w:rsidRPr="00F94B27" w:rsidR="00F94B27">
              <w:rPr>
                <w:b/>
                <w:lang w:val="de-DE"/>
              </w:rPr>
              <w:t>[</w:t>
            </w:r>
            <w:r w:rsidRPr="004B319E">
              <w:rPr>
                <w:lang w:val="de-DE"/>
              </w:rPr>
              <w:t>jeweiligen</w:t>
            </w:r>
            <w:r w:rsidRPr="00F94B27" w:rsidR="00F94B27">
              <w:rPr>
                <w:b/>
                <w:lang w:val="de-DE"/>
              </w:rPr>
              <w:t>]</w:t>
            </w:r>
            <w:r w:rsidRPr="004B319E">
              <w:rPr>
                <w:lang w:val="de-DE"/>
              </w:rPr>
              <w:t xml:space="preserve"> Zinsperiode ab, an denen die Differenz aus dem Wert des Referenzsatzes 2 und dem Wert des Referenzsatzes 3 (d.d. die Differenz aus zwei variablen Zinssätzen)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verletzt </w:t>
            </w:r>
            <w:r w:rsidRPr="00F94B27" w:rsidR="00F94B27">
              <w:rPr>
                <w:b/>
                <w:lang w:val="de-DE"/>
              </w:rPr>
              <w:t>[</w:t>
            </w:r>
            <w:r w:rsidRPr="004B319E">
              <w:rPr>
                <w:lang w:val="de-DE"/>
              </w:rPr>
              <w:t>oder diese erreicht</w:t>
            </w:r>
            <w:r w:rsidRPr="00F94B27" w:rsidR="00F94B27">
              <w:rPr>
                <w:b/>
                <w:lang w:val="de-DE"/>
              </w:rPr>
              <w:t>]</w:t>
            </w:r>
            <w:r w:rsidRPr="004B319E">
              <w:rPr>
                <w:lang w:val="de-DE"/>
              </w:rPr>
              <w:t xml:space="preserve">. Der </w:t>
            </w:r>
            <w:r w:rsidRPr="00F94B27" w:rsidR="00F94B27">
              <w:rPr>
                <w:b/>
                <w:lang w:val="de-DE"/>
              </w:rPr>
              <w:t>[</w:t>
            </w:r>
            <w:r w:rsidRPr="004B319E">
              <w:rPr>
                <w:lang w:val="de-DE"/>
              </w:rPr>
              <w:t>anwendbare</w:t>
            </w:r>
            <w:r w:rsidRPr="00F94B27" w:rsidR="00F94B27">
              <w:rPr>
                <w:b/>
                <w:lang w:val="de-DE"/>
              </w:rPr>
              <w:t>]</w:t>
            </w:r>
            <w:r w:rsidRPr="004B319E">
              <w:rPr>
                <w:lang w:val="de-DE"/>
              </w:rPr>
              <w:t xml:space="preserve"> Zinssatz dieser Spread Range Accrual Notes wird dann bestimmt, indem (i) die Anzahl der Barriere-Beobachtungstage, an denen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während der </w:t>
            </w:r>
            <w:r w:rsidRPr="00F94B27" w:rsidR="00F94B27">
              <w:rPr>
                <w:b/>
                <w:lang w:val="de-DE"/>
              </w:rPr>
              <w:t>[</w:t>
            </w:r>
            <w:r w:rsidRPr="004B319E">
              <w:rPr>
                <w:lang w:val="de-DE"/>
              </w:rPr>
              <w:t>jeweiligen</w:t>
            </w:r>
            <w:r w:rsidRPr="00F94B27" w:rsidR="00F94B27">
              <w:rPr>
                <w:b/>
                <w:lang w:val="de-DE"/>
              </w:rPr>
              <w:t>]</w:t>
            </w:r>
            <w:r w:rsidRPr="004B319E">
              <w:rPr>
                <w:lang w:val="de-DE"/>
              </w:rPr>
              <w:t xml:space="preserve"> Zinsperiode nicht verletzt wurde </w:t>
            </w:r>
            <w:r w:rsidRPr="00F94B27" w:rsidR="00F94B27">
              <w:rPr>
                <w:b/>
                <w:lang w:val="de-DE"/>
              </w:rPr>
              <w:t>[</w:t>
            </w:r>
            <w:r w:rsidRPr="004B319E">
              <w:rPr>
                <w:lang w:val="de-DE"/>
              </w:rPr>
              <w:t>oder nicht erreicht wurde</w:t>
            </w:r>
            <w:r w:rsidRPr="00F94B27" w:rsidR="00F94B27">
              <w:rPr>
                <w:b/>
                <w:lang w:val="de-DE"/>
              </w:rPr>
              <w:t>]</w:t>
            </w:r>
            <w:r w:rsidRPr="004B319E">
              <w:rPr>
                <w:lang w:val="de-DE"/>
              </w:rPr>
              <w:t xml:space="preserve">, dividiert durch die Anzahl der Barriere-Beobachtungstage während dieser Zinsperiode, mit (ii) der Summe aus dem Wert des Referenzsatzes 1 am Zinsfeststellungstag und </w:t>
            </w:r>
            <w:r w:rsidRPr="00F94B27" w:rsidR="00F94B27">
              <w:rPr>
                <w:b/>
                <w:lang w:val="de-DE"/>
              </w:rPr>
              <w:t>[</w:t>
            </w:r>
            <w:r w:rsidRPr="00116653" w:rsidR="003857E8">
              <w:rPr>
                <w:rFonts w:ascii="Arial" w:hAnsi="Arial" w:cs="Arial"/>
                <w:lang w:val="de-DE"/>
              </w:rPr>
              <w:t>●</w:t>
            </w:r>
            <w:r w:rsidRPr="00F94B27" w:rsidR="00F94B27">
              <w:rPr>
                <w:b/>
                <w:lang w:val="de-DE"/>
              </w:rPr>
              <w:t>]</w:t>
            </w:r>
            <w:r w:rsidRPr="004B319E">
              <w:rPr>
                <w:lang w:val="de-DE"/>
              </w:rPr>
              <w:t xml:space="preserve">% per annum multipliziert wird. Folglich hängt der Zinssatz nicht nur vom Wert des Referenzsatzes 1 am </w:t>
            </w:r>
            <w:r w:rsidRPr="00F94B27" w:rsidR="00F94B27">
              <w:rPr>
                <w:b/>
                <w:lang w:val="de-DE"/>
              </w:rPr>
              <w:t>[</w:t>
            </w:r>
            <w:r w:rsidRPr="004B319E">
              <w:rPr>
                <w:lang w:val="de-DE"/>
              </w:rPr>
              <w:t>jeweiligen</w:t>
            </w:r>
            <w:r w:rsidRPr="00F94B27" w:rsidR="00F94B27">
              <w:rPr>
                <w:b/>
                <w:lang w:val="de-DE"/>
              </w:rPr>
              <w:t>]</w:t>
            </w:r>
            <w:r w:rsidRPr="004B319E">
              <w:rPr>
                <w:lang w:val="de-DE"/>
              </w:rPr>
              <w:t xml:space="preserve"> Zinsfeststellungstag ab, sondern je kleiner die Anzahl der Barriere-Beobachtungstage ist, an denen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verletzt </w:t>
            </w:r>
            <w:r w:rsidRPr="00F94B27" w:rsidR="00F94B27">
              <w:rPr>
                <w:b/>
                <w:lang w:val="de-DE"/>
              </w:rPr>
              <w:t>[</w:t>
            </w:r>
            <w:r w:rsidRPr="004B319E">
              <w:rPr>
                <w:lang w:val="de-DE"/>
              </w:rPr>
              <w:t>oder erreicht</w:t>
            </w:r>
            <w:r w:rsidRPr="00F94B27" w:rsidR="00F94B27">
              <w:rPr>
                <w:b/>
                <w:lang w:val="de-DE"/>
              </w:rPr>
              <w:t>]</w:t>
            </w:r>
            <w:r w:rsidRPr="004B319E">
              <w:rPr>
                <w:lang w:val="de-DE"/>
              </w:rPr>
              <w:t xml:space="preserve"> wurde, desto höher ist der </w:t>
            </w:r>
            <w:r w:rsidRPr="00F94B27" w:rsidR="00F94B27">
              <w:rPr>
                <w:b/>
                <w:lang w:val="de-DE"/>
              </w:rPr>
              <w:t>[</w:t>
            </w:r>
            <w:r w:rsidRPr="004B319E">
              <w:rPr>
                <w:lang w:val="de-DE"/>
              </w:rPr>
              <w:t>anwendbare</w:t>
            </w:r>
            <w:r w:rsidRPr="00F94B27" w:rsidR="00F94B27">
              <w:rPr>
                <w:b/>
                <w:lang w:val="de-DE"/>
              </w:rPr>
              <w:t>]</w:t>
            </w:r>
            <w:r w:rsidRPr="004B319E">
              <w:rPr>
                <w:lang w:val="de-DE"/>
              </w:rPr>
              <w:t xml:space="preserve"> Zinssatz und der resultierende Zinszahlungsbetrag. Umgekehrt gilt: je grösser die Anzahl der Barriere-Beobachtungstage ist, an denen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verletzt </w:t>
            </w:r>
            <w:r w:rsidRPr="00F94B27" w:rsidR="00F94B27">
              <w:rPr>
                <w:b/>
                <w:lang w:val="de-DE"/>
              </w:rPr>
              <w:t>[</w:t>
            </w:r>
            <w:r w:rsidRPr="004B319E">
              <w:rPr>
                <w:lang w:val="de-DE"/>
              </w:rPr>
              <w:t>(oder erreicht)</w:t>
            </w:r>
            <w:r w:rsidRPr="00F94B27" w:rsidR="00F94B27">
              <w:rPr>
                <w:b/>
                <w:lang w:val="de-DE"/>
              </w:rPr>
              <w:t>]</w:t>
            </w:r>
            <w:r w:rsidRPr="004B319E">
              <w:rPr>
                <w:lang w:val="de-DE"/>
              </w:rPr>
              <w:t xml:space="preserve"> wurde, desto niedriger ist der </w:t>
            </w:r>
            <w:r w:rsidRPr="00F94B27" w:rsidR="00F94B27">
              <w:rPr>
                <w:b/>
                <w:lang w:val="de-DE"/>
              </w:rPr>
              <w:t>[</w:t>
            </w:r>
            <w:r w:rsidRPr="004B319E">
              <w:rPr>
                <w:lang w:val="de-DE"/>
              </w:rPr>
              <w:t>anwendbare</w:t>
            </w:r>
            <w:r w:rsidRPr="00F94B27" w:rsidR="00F94B27">
              <w:rPr>
                <w:b/>
                <w:lang w:val="de-DE"/>
              </w:rPr>
              <w:t>]</w:t>
            </w:r>
            <w:r w:rsidRPr="004B319E">
              <w:rPr>
                <w:lang w:val="de-DE"/>
              </w:rPr>
              <w:t xml:space="preserve"> Zinssatz. Wird die </w:t>
            </w:r>
            <w:r w:rsidRPr="00F94B27" w:rsidR="00F94B27">
              <w:rPr>
                <w:b/>
                <w:lang w:val="de-DE"/>
              </w:rPr>
              <w:t>[</w:t>
            </w:r>
            <w:r w:rsidRPr="004B319E">
              <w:rPr>
                <w:lang w:val="de-DE"/>
              </w:rPr>
              <w:t>Barriere</w:t>
            </w:r>
            <w:r w:rsidRPr="00F94B27" w:rsidR="00F94B27">
              <w:rPr>
                <w:b/>
                <w:lang w:val="de-DE"/>
              </w:rPr>
              <w:t>]</w:t>
            </w:r>
            <w:r w:rsidRPr="004B319E">
              <w:rPr>
                <w:lang w:val="de-DE"/>
              </w:rPr>
              <w:t xml:space="preserve"> </w:t>
            </w:r>
            <w:r w:rsidRPr="00F94B27" w:rsidR="00F94B27">
              <w:rPr>
                <w:b/>
                <w:lang w:val="de-DE"/>
              </w:rPr>
              <w:t>[</w:t>
            </w:r>
            <w:r w:rsidRPr="004B319E">
              <w:rPr>
                <w:lang w:val="de-DE"/>
              </w:rPr>
              <w:t>Untere Barriere bzw. Obere Barriere</w:t>
            </w:r>
            <w:r w:rsidRPr="00F94B27" w:rsidR="00F94B27">
              <w:rPr>
                <w:b/>
                <w:lang w:val="de-DE"/>
              </w:rPr>
              <w:t>]</w:t>
            </w:r>
            <w:r w:rsidRPr="004B319E">
              <w:rPr>
                <w:lang w:val="de-DE"/>
              </w:rPr>
              <w:t xml:space="preserve"> an jedem Barriere-Beobachtungstag verletzt </w:t>
            </w:r>
            <w:r w:rsidRPr="00F94B27" w:rsidR="00F94B27">
              <w:rPr>
                <w:b/>
                <w:lang w:val="de-DE"/>
              </w:rPr>
              <w:t>[</w:t>
            </w:r>
            <w:r w:rsidRPr="004B319E">
              <w:rPr>
                <w:lang w:val="de-DE"/>
              </w:rPr>
              <w:t>oder erreicht</w:t>
            </w:r>
            <w:r w:rsidRPr="00F94B27" w:rsidR="00F94B27">
              <w:rPr>
                <w:b/>
                <w:lang w:val="de-DE"/>
              </w:rPr>
              <w:t>]</w:t>
            </w:r>
            <w:r w:rsidRPr="004B319E">
              <w:rPr>
                <w:lang w:val="de-DE"/>
              </w:rPr>
              <w:t>, so betragen der Zinssatz und der resultierende Zinszahlungsbetrag null.</w:t>
            </w:r>
            <w:r w:rsidRPr="00F94B27" w:rsid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4B319E" w:rsidRPr="00AB16EC" w:rsidP="004B319E">
            <w:pPr>
              <w:pStyle w:val="CSbody0bolditalic"/>
              <w:rPr>
                <w:lang w:val="en-GB"/>
              </w:rPr>
            </w:pPr>
            <w:r w:rsidRPr="00F94B27">
              <w:rPr>
                <w:lang w:val="en-GB"/>
              </w:rPr>
              <w:t>[</w:t>
            </w:r>
            <w:r w:rsidRPr="00AB16EC">
              <w:rPr>
                <w:lang w:val="en-GB"/>
              </w:rPr>
              <w:t>in case of Inflation Index-Linked Notes:</w:t>
            </w:r>
          </w:p>
        </w:tc>
        <w:tc>
          <w:tcPr>
            <w:tcW w:w="2466" w:type="pct"/>
            <w:gridSpan w:val="14"/>
            <w:tcBorders>
              <w:left w:val="single" w:sz="4" w:space="0" w:color="auto"/>
            </w:tcBorders>
          </w:tcPr>
          <w:p w:rsidR="004B319E" w:rsidRPr="00FE7176" w:rsidP="004B319E">
            <w:pPr>
              <w:pStyle w:val="CSbody0bolditalic"/>
            </w:pPr>
            <w:r w:rsidRPr="00F94B27">
              <w:t>[</w:t>
            </w:r>
            <w:r w:rsidRPr="00FE7176">
              <w:t>bei Inflation Index-Linked Notes:</w:t>
            </w:r>
          </w:p>
        </w:tc>
      </w:tr>
      <w:tr w:rsidTr="00942F00">
        <w:tblPrEx>
          <w:tblW w:w="5000" w:type="pct"/>
          <w:tblLayout w:type="fixed"/>
          <w:tblLook w:val="04A0"/>
        </w:tblPrEx>
        <w:tc>
          <w:tcPr>
            <w:tcW w:w="2534" w:type="pct"/>
            <w:gridSpan w:val="14"/>
            <w:tcBorders>
              <w:right w:val="single" w:sz="4" w:space="0" w:color="auto"/>
            </w:tcBorders>
          </w:tcPr>
          <w:p w:rsidR="004B319E" w:rsidRPr="00FE7176" w:rsidP="004B319E">
            <w:pPr>
              <w:pStyle w:val="CSBody0"/>
            </w:pPr>
            <w:r w:rsidRPr="00F94B27">
              <w:rPr>
                <w:b/>
              </w:rPr>
              <w:t>[</w:t>
            </w:r>
            <w:r w:rsidRPr="004B319E">
              <w:rPr>
                <w:b/>
                <w:i/>
              </w:rPr>
              <w:t>in case of Complex Products with one or more Fixed Interest Payment Dates:</w:t>
            </w:r>
            <w:r w:rsidRPr="00FE7176">
              <w:t xml:space="preserve"> In case of Inflation Index-Linked Notes the Interest Rate on the basis of which the Interest Payment Amounts are calculated will be equal to a fixed rate per annum for the </w:t>
            </w:r>
            <w:r w:rsidRPr="00F94B27">
              <w:rPr>
                <w:b/>
              </w:rPr>
              <w:t>[</w:t>
            </w:r>
            <w:r w:rsidRPr="00FE7176">
              <w:t>first</w:t>
            </w:r>
            <w:r w:rsidRPr="00F94B27">
              <w:rPr>
                <w:b/>
              </w:rPr>
              <w:t>]</w:t>
            </w:r>
            <w:r w:rsidRPr="00FE7176">
              <w:t xml:space="preserve"> </w:t>
            </w:r>
            <w:r w:rsidRPr="00F94B27">
              <w:rPr>
                <w:b/>
              </w:rPr>
              <w:t>[</w:t>
            </w:r>
            <w:r w:rsidRPr="00FE7176">
              <w:t xml:space="preserve">first </w:t>
            </w:r>
            <w:r w:rsidRPr="00F94B27">
              <w:rPr>
                <w:b/>
              </w:rPr>
              <w:t>[</w:t>
            </w:r>
            <w:r w:rsidRPr="004B319E">
              <w:rPr>
                <w:b/>
                <w:i/>
              </w:rPr>
              <w:t>insert number of Interest Payment Dates, on which a fixed rate per annum is applicable:</w:t>
            </w:r>
            <w:r w:rsidRPr="00FE7176">
              <w:t xml:space="preserve"> </w:t>
            </w:r>
            <w:r w:rsidRPr="00F94B27">
              <w:rPr>
                <w:b/>
              </w:rPr>
              <w:t>[</w:t>
            </w:r>
            <w:r w:rsidR="003857E8">
              <w:rPr>
                <w:rFonts w:ascii="Arial" w:hAnsi="Arial" w:cs="Arial"/>
              </w:rPr>
              <w:t>●</w:t>
            </w:r>
            <w:r w:rsidRPr="00F94B27">
              <w:rPr>
                <w:b/>
              </w:rPr>
              <w:t>]]</w:t>
            </w:r>
            <w:r w:rsidRPr="00FE7176">
              <w:t xml:space="preserve"> Interest Payment Date</w:t>
            </w:r>
            <w:r w:rsidRPr="00F94B27">
              <w:rPr>
                <w:b/>
              </w:rPr>
              <w:t>[</w:t>
            </w:r>
            <w:r w:rsidRPr="00FE7176">
              <w:t>s</w:t>
            </w:r>
            <w:r w:rsidRPr="00F94B27">
              <w:rPr>
                <w:b/>
              </w:rPr>
              <w:t>]</w:t>
            </w:r>
            <w:r w:rsidRPr="00FE7176">
              <w:t xml:space="preserve">. For the calculation of the Interest Payment Amount on the </w:t>
            </w:r>
            <w:r w:rsidRPr="00F94B27">
              <w:rPr>
                <w:b/>
              </w:rPr>
              <w:t>[</w:t>
            </w:r>
            <w:r w:rsidRPr="004B319E">
              <w:rPr>
                <w:b/>
                <w:i/>
              </w:rPr>
              <w:t>insert number of Interest Payment Date, from which the Interest Rate will be a variable rate per annum:</w:t>
            </w:r>
            <w:r w:rsidRPr="00FE7176">
              <w:t xml:space="preserve"> </w:t>
            </w:r>
            <w:r w:rsidRPr="00F94B27">
              <w:rPr>
                <w:b/>
              </w:rPr>
              <w:t>[</w:t>
            </w:r>
            <w:r w:rsidR="003857E8">
              <w:rPr>
                <w:rFonts w:ascii="Arial" w:hAnsi="Arial" w:cs="Arial"/>
              </w:rPr>
              <w:t>●</w:t>
            </w:r>
            <w:r w:rsidRPr="00F94B27">
              <w:rPr>
                <w:b/>
              </w:rPr>
              <w:t>]]</w:t>
            </w:r>
            <w:r w:rsidRPr="00FE7176">
              <w:t xml:space="preserve"> Interest Payment Date </w:t>
            </w:r>
            <w:r w:rsidRPr="00F94B27">
              <w:rPr>
                <w:b/>
              </w:rPr>
              <w:t>[</w:t>
            </w:r>
            <w:r w:rsidRPr="00FE7176">
              <w:t>and any following Interest Payment Date</w:t>
            </w:r>
            <w:r w:rsidRPr="00F94B27">
              <w:rPr>
                <w:b/>
              </w:rPr>
              <w:t>]</w:t>
            </w:r>
            <w:r w:rsidRPr="00FE7176">
              <w:t xml:space="preserve"> the Interest Payment Amount</w:t>
            </w:r>
            <w:r w:rsidRPr="00F94B27">
              <w:rPr>
                <w:b/>
              </w:rPr>
              <w:t>[</w:t>
            </w:r>
            <w:r w:rsidRPr="00FE7176">
              <w:t>s</w:t>
            </w:r>
            <w:r w:rsidRPr="00F94B27">
              <w:rPr>
                <w:b/>
              </w:rPr>
              <w:t>]</w:t>
            </w:r>
            <w:r w:rsidRPr="00FE7176">
              <w:t xml:space="preserve"> will be calculated on the basis of a variable Interest Rate depending upon the performance of a Reference Rate in the form of an Inflation Index.</w:t>
            </w:r>
            <w:r w:rsidRPr="00F94B27">
              <w:rPr>
                <w:b/>
              </w:rPr>
              <w:t>]</w:t>
            </w:r>
          </w:p>
        </w:tc>
        <w:tc>
          <w:tcPr>
            <w:tcW w:w="2466" w:type="pct"/>
            <w:gridSpan w:val="14"/>
            <w:tcBorders>
              <w:left w:val="single" w:sz="4" w:space="0" w:color="auto"/>
            </w:tcBorders>
          </w:tcPr>
          <w:p w:rsidR="004B319E" w:rsidRPr="004B319E" w:rsidP="004B319E">
            <w:pPr>
              <w:pStyle w:val="CSBody0"/>
              <w:rPr>
                <w:lang w:val="de-DE"/>
              </w:rPr>
            </w:pPr>
            <w:r w:rsidRPr="00F94B27">
              <w:rPr>
                <w:b/>
                <w:lang w:val="de-DE"/>
              </w:rPr>
              <w:t>[</w:t>
            </w:r>
            <w:r w:rsidRPr="004B319E">
              <w:rPr>
                <w:b/>
                <w:i/>
                <w:lang w:val="de-DE"/>
              </w:rPr>
              <w:t>bei Komplexen Produkten mit einem oder mehreren Zahlungstagen für Festzinsen:</w:t>
            </w:r>
            <w:r w:rsidRPr="004B319E">
              <w:rPr>
                <w:lang w:val="de-DE"/>
              </w:rPr>
              <w:t xml:space="preserve"> Bei Inflation Index-Linked Notes entspricht der Zinssatz, auf dessen Grundlage die Zinszahlungsbeträge berechnet werden, einem Festsatz per annum für </w:t>
            </w:r>
            <w:r w:rsidRPr="00F94B27">
              <w:rPr>
                <w:b/>
                <w:lang w:val="de-DE"/>
              </w:rPr>
              <w:t>[</w:t>
            </w:r>
            <w:r w:rsidRPr="004B319E">
              <w:rPr>
                <w:lang w:val="de-DE"/>
              </w:rPr>
              <w:t>den ersten</w:t>
            </w:r>
            <w:r w:rsidRPr="00F94B27">
              <w:rPr>
                <w:b/>
                <w:lang w:val="de-DE"/>
              </w:rPr>
              <w:t>]</w:t>
            </w:r>
            <w:r w:rsidRPr="004B319E">
              <w:rPr>
                <w:lang w:val="de-DE"/>
              </w:rPr>
              <w:t xml:space="preserve"> </w:t>
            </w:r>
            <w:r w:rsidRPr="00F94B27">
              <w:rPr>
                <w:b/>
                <w:lang w:val="de-DE"/>
              </w:rPr>
              <w:t>[</w:t>
            </w:r>
            <w:r w:rsidRPr="004B319E">
              <w:rPr>
                <w:lang w:val="de-DE"/>
              </w:rPr>
              <w:t xml:space="preserve">die ersten </w:t>
            </w:r>
            <w:r w:rsidRPr="00F94B27">
              <w:rPr>
                <w:b/>
                <w:lang w:val="de-DE"/>
              </w:rPr>
              <w:t>[</w:t>
            </w:r>
            <w:r w:rsidRPr="004B319E">
              <w:rPr>
                <w:b/>
                <w:i/>
                <w:lang w:val="de-DE"/>
              </w:rPr>
              <w:t>Anzahl der Zinszahlungstage einfügen, an denen ein Festsatz per annum anwendbar ist:</w:t>
            </w:r>
            <w:r w:rsidRPr="004B319E">
              <w:rPr>
                <w:lang w:val="de-DE"/>
              </w:rPr>
              <w:t xml:space="preserve"> </w:t>
            </w:r>
            <w:r w:rsidRPr="00F94B27">
              <w:rPr>
                <w:b/>
                <w:lang w:val="de-DE"/>
              </w:rPr>
              <w:t>[</w:t>
            </w:r>
            <w:r w:rsidRPr="00116653" w:rsidR="003857E8">
              <w:rPr>
                <w:rFonts w:ascii="Arial" w:hAnsi="Arial" w:cs="Arial"/>
                <w:lang w:val="de-DE"/>
              </w:rPr>
              <w:t>●</w:t>
            </w:r>
            <w:r w:rsidRPr="00F94B27">
              <w:rPr>
                <w:b/>
                <w:lang w:val="de-DE"/>
              </w:rPr>
              <w:t>]]</w:t>
            </w:r>
            <w:r w:rsidRPr="004B319E">
              <w:rPr>
                <w:lang w:val="de-DE"/>
              </w:rPr>
              <w:t xml:space="preserve"> Zinszahlungstag</w:t>
            </w:r>
            <w:r w:rsidRPr="00F94B27">
              <w:rPr>
                <w:b/>
                <w:lang w:val="de-DE"/>
              </w:rPr>
              <w:t>[</w:t>
            </w:r>
            <w:r w:rsidRPr="004B319E">
              <w:rPr>
                <w:lang w:val="de-DE"/>
              </w:rPr>
              <w:t>e</w:t>
            </w:r>
            <w:r w:rsidRPr="00F94B27">
              <w:rPr>
                <w:b/>
                <w:lang w:val="de-DE"/>
              </w:rPr>
              <w:t>]</w:t>
            </w:r>
            <w:r w:rsidRPr="004B319E">
              <w:rPr>
                <w:lang w:val="de-DE"/>
              </w:rPr>
              <w:t xml:space="preserve">. Für die Berechnung des Zinszahlungsbetrags am </w:t>
            </w:r>
            <w:r w:rsidRPr="00F94B27">
              <w:rPr>
                <w:b/>
                <w:lang w:val="de-DE"/>
              </w:rPr>
              <w:t>[</w:t>
            </w:r>
            <w:r w:rsidRPr="004B319E">
              <w:rPr>
                <w:b/>
                <w:i/>
                <w:lang w:val="de-DE"/>
              </w:rPr>
              <w:t>Zahl des Zinszahlungstags einfügen, von dem an der Zinssatz ein variabler Satz per annum sein wird:</w:t>
            </w:r>
            <w:r w:rsidRPr="004B319E">
              <w:rPr>
                <w:lang w:val="de-DE"/>
              </w:rPr>
              <w:t xml:space="preserve"> </w:t>
            </w:r>
            <w:r w:rsidRPr="00F94B27">
              <w:rPr>
                <w:b/>
                <w:lang w:val="de-DE"/>
              </w:rPr>
              <w:t>[</w:t>
            </w:r>
            <w:r w:rsidRPr="00116653" w:rsidR="003857E8">
              <w:rPr>
                <w:rFonts w:ascii="Arial" w:hAnsi="Arial" w:cs="Arial"/>
                <w:lang w:val="de-DE"/>
              </w:rPr>
              <w:t>●</w:t>
            </w:r>
            <w:r w:rsidRPr="00F94B27">
              <w:rPr>
                <w:b/>
                <w:lang w:val="de-DE"/>
              </w:rPr>
              <w:t>]]</w:t>
            </w:r>
            <w:r w:rsidRPr="004B319E">
              <w:rPr>
                <w:lang w:val="de-DE"/>
              </w:rPr>
              <w:t xml:space="preserve"> Zinszahlungstag </w:t>
            </w:r>
            <w:r w:rsidRPr="00F94B27">
              <w:rPr>
                <w:b/>
                <w:lang w:val="de-DE"/>
              </w:rPr>
              <w:t>[</w:t>
            </w:r>
            <w:r w:rsidRPr="004B319E">
              <w:rPr>
                <w:lang w:val="de-DE"/>
              </w:rPr>
              <w:t>und jeden folgenden Zinszahlungstag</w:t>
            </w:r>
            <w:r w:rsidRPr="00F94B27">
              <w:rPr>
                <w:b/>
                <w:lang w:val="de-DE"/>
              </w:rPr>
              <w:t>]</w:t>
            </w:r>
            <w:r w:rsidRPr="004B319E">
              <w:rPr>
                <w:lang w:val="de-DE"/>
              </w:rPr>
              <w:t xml:space="preserve"> </w:t>
            </w:r>
            <w:r w:rsidRPr="00F94B27">
              <w:rPr>
                <w:b/>
                <w:lang w:val="de-DE"/>
              </w:rPr>
              <w:t>[</w:t>
            </w:r>
            <w:r w:rsidRPr="004B319E">
              <w:rPr>
                <w:lang w:val="de-DE"/>
              </w:rPr>
              <w:t>wird</w:t>
            </w:r>
            <w:r w:rsidRPr="00F94B27">
              <w:rPr>
                <w:b/>
                <w:lang w:val="de-DE"/>
              </w:rPr>
              <w:t>]</w:t>
            </w:r>
            <w:r w:rsidRPr="004B319E">
              <w:rPr>
                <w:lang w:val="de-DE"/>
              </w:rPr>
              <w:t xml:space="preserve"> </w:t>
            </w:r>
            <w:r w:rsidRPr="00F94B27">
              <w:rPr>
                <w:b/>
                <w:lang w:val="de-DE"/>
              </w:rPr>
              <w:t>[</w:t>
            </w:r>
            <w:r w:rsidRPr="004B319E">
              <w:rPr>
                <w:lang w:val="de-DE"/>
              </w:rPr>
              <w:t>werden</w:t>
            </w:r>
            <w:r w:rsidRPr="00F94B27">
              <w:rPr>
                <w:b/>
                <w:lang w:val="de-DE"/>
              </w:rPr>
              <w:t>]</w:t>
            </w:r>
            <w:r w:rsidRPr="004B319E">
              <w:rPr>
                <w:lang w:val="de-DE"/>
              </w:rPr>
              <w:t xml:space="preserve"> </w:t>
            </w:r>
            <w:r w:rsidRPr="00F94B27">
              <w:rPr>
                <w:b/>
                <w:lang w:val="de-DE"/>
              </w:rPr>
              <w:t>[</w:t>
            </w:r>
            <w:r w:rsidRPr="004B319E">
              <w:rPr>
                <w:lang w:val="de-DE"/>
              </w:rPr>
              <w:t>der Zinszahlungsbetrag</w:t>
            </w:r>
            <w:r w:rsidRPr="00F94B27">
              <w:rPr>
                <w:b/>
                <w:lang w:val="de-DE"/>
              </w:rPr>
              <w:t>]</w:t>
            </w:r>
            <w:r w:rsidRPr="004B319E">
              <w:rPr>
                <w:lang w:val="de-DE"/>
              </w:rPr>
              <w:t xml:space="preserve"> </w:t>
            </w:r>
            <w:r w:rsidRPr="00F94B27">
              <w:rPr>
                <w:b/>
                <w:lang w:val="de-DE"/>
              </w:rPr>
              <w:t>[</w:t>
            </w:r>
            <w:r w:rsidRPr="004B319E">
              <w:rPr>
                <w:lang w:val="de-DE"/>
              </w:rPr>
              <w:t>die Zinszahlungsbeträge</w:t>
            </w:r>
            <w:r w:rsidRPr="00F94B27">
              <w:rPr>
                <w:b/>
                <w:lang w:val="de-DE"/>
              </w:rPr>
              <w:t>]</w:t>
            </w:r>
            <w:r w:rsidRPr="004B319E">
              <w:rPr>
                <w:lang w:val="de-DE"/>
              </w:rPr>
              <w:t xml:space="preserve"> auf der Grundlage eines variablen Zinssatzes, der von der Wertentwicklung eines Referenzsatzes in Form eines Inflationsindexes abhängig ist, berechnet.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4B319E" w:rsidRPr="00FE7176" w:rsidP="004B319E">
            <w:pPr>
              <w:pStyle w:val="CSBody0"/>
            </w:pPr>
            <w:r w:rsidRPr="00F94B27">
              <w:rPr>
                <w:b/>
              </w:rPr>
              <w:t>[</w:t>
            </w:r>
            <w:r w:rsidRPr="004B319E">
              <w:rPr>
                <w:b/>
                <w:i/>
              </w:rPr>
              <w:t>in case of Complex Products without Fixed Interest Payment Dates:</w:t>
            </w:r>
            <w:r w:rsidRPr="00FE7176">
              <w:t xml:space="preserve"> In case of Inflation Index-Linked Notes the Interest Rate on the basis of which the Interest Payment Amount</w:t>
            </w:r>
            <w:r w:rsidRPr="00F94B27">
              <w:rPr>
                <w:b/>
              </w:rPr>
              <w:t>[</w:t>
            </w:r>
            <w:r w:rsidRPr="00FE7176">
              <w:t>s</w:t>
            </w:r>
            <w:r w:rsidRPr="00F94B27">
              <w:rPr>
                <w:b/>
              </w:rPr>
              <w:t>]</w:t>
            </w:r>
            <w:r w:rsidRPr="00FE7176">
              <w:t xml:space="preserve"> </w:t>
            </w:r>
            <w:r w:rsidRPr="00F94B27">
              <w:rPr>
                <w:b/>
              </w:rPr>
              <w:t>[</w:t>
            </w:r>
            <w:r w:rsidRPr="00FE7176">
              <w:t>is</w:t>
            </w:r>
            <w:r w:rsidRPr="00F94B27">
              <w:rPr>
                <w:b/>
              </w:rPr>
              <w:t>][</w:t>
            </w:r>
            <w:r w:rsidRPr="00FE7176">
              <w:t>are</w:t>
            </w:r>
            <w:r w:rsidRPr="00F94B27">
              <w:rPr>
                <w:b/>
              </w:rPr>
              <w:t>]</w:t>
            </w:r>
            <w:r w:rsidRPr="00FE7176">
              <w:t xml:space="preserve"> calculated will be equal to a variable Interest Rate depending upon the performance of a Reference Rate in the form of an Inflation Index.</w:t>
            </w:r>
            <w:r w:rsidRPr="00F94B27">
              <w:rPr>
                <w:b/>
              </w:rPr>
              <w:t>]</w:t>
            </w:r>
          </w:p>
        </w:tc>
        <w:tc>
          <w:tcPr>
            <w:tcW w:w="2466" w:type="pct"/>
            <w:gridSpan w:val="14"/>
            <w:tcBorders>
              <w:left w:val="single" w:sz="4" w:space="0" w:color="auto"/>
            </w:tcBorders>
          </w:tcPr>
          <w:p w:rsidR="004B319E" w:rsidRPr="00AB16EC" w:rsidP="004B319E">
            <w:pPr>
              <w:pStyle w:val="CSBody0"/>
              <w:rPr>
                <w:lang w:val="de-DE"/>
              </w:rPr>
            </w:pPr>
            <w:r w:rsidRPr="00F94B27">
              <w:rPr>
                <w:b/>
                <w:lang w:val="de-DE"/>
              </w:rPr>
              <w:t>[</w:t>
            </w:r>
            <w:r w:rsidRPr="00AB16EC">
              <w:rPr>
                <w:b/>
                <w:i/>
                <w:lang w:val="de-DE"/>
              </w:rPr>
              <w:t>bei Komplexen Produkten ohne Zahlungstage für Festzinsen:</w:t>
            </w:r>
            <w:r w:rsidRPr="00AB16EC">
              <w:rPr>
                <w:lang w:val="de-DE"/>
              </w:rPr>
              <w:t xml:space="preserve"> Bei Inflation Index-Linked Notes entspricht der Zinssatz, auf dessen Grundlage </w:t>
            </w:r>
            <w:r w:rsidRPr="00F94B27">
              <w:rPr>
                <w:b/>
                <w:lang w:val="de-DE"/>
              </w:rPr>
              <w:t>[</w:t>
            </w:r>
            <w:r w:rsidRPr="00AB16EC">
              <w:rPr>
                <w:lang w:val="de-DE"/>
              </w:rPr>
              <w:t>der Zinszahlungsbetrag</w:t>
            </w:r>
            <w:r w:rsidRPr="00F94B27">
              <w:rPr>
                <w:b/>
                <w:lang w:val="de-DE"/>
              </w:rPr>
              <w:t>]</w:t>
            </w:r>
            <w:r w:rsidRPr="00AB16EC">
              <w:rPr>
                <w:lang w:val="de-DE"/>
              </w:rPr>
              <w:t xml:space="preserve"> </w:t>
            </w:r>
            <w:r w:rsidRPr="00F94B27">
              <w:rPr>
                <w:b/>
                <w:lang w:val="de-DE"/>
              </w:rPr>
              <w:t>[</w:t>
            </w:r>
            <w:r w:rsidRPr="00AB16EC">
              <w:rPr>
                <w:lang w:val="de-DE"/>
              </w:rPr>
              <w:t>die Zinszahlungsbeträge</w:t>
            </w:r>
            <w:r w:rsidRPr="00F94B27">
              <w:rPr>
                <w:b/>
                <w:lang w:val="de-DE"/>
              </w:rPr>
              <w:t>]</w:t>
            </w:r>
            <w:r w:rsidRPr="00AB16EC">
              <w:rPr>
                <w:lang w:val="de-DE"/>
              </w:rPr>
              <w:t xml:space="preserve"> berechnet </w:t>
            </w:r>
            <w:r w:rsidRPr="00F94B27">
              <w:rPr>
                <w:b/>
                <w:lang w:val="de-DE"/>
              </w:rPr>
              <w:t>[</w:t>
            </w:r>
            <w:r w:rsidRPr="00AB16EC">
              <w:rPr>
                <w:lang w:val="de-DE"/>
              </w:rPr>
              <w:t>wird</w:t>
            </w:r>
            <w:r w:rsidRPr="00F94B27">
              <w:rPr>
                <w:b/>
                <w:lang w:val="de-DE"/>
              </w:rPr>
              <w:t>]</w:t>
            </w:r>
            <w:r w:rsidRPr="00AB16EC">
              <w:rPr>
                <w:lang w:val="de-DE"/>
              </w:rPr>
              <w:t xml:space="preserve"> </w:t>
            </w:r>
            <w:r w:rsidRPr="00F94B27">
              <w:rPr>
                <w:b/>
                <w:lang w:val="de-DE"/>
              </w:rPr>
              <w:t>[</w:t>
            </w:r>
            <w:r w:rsidRPr="00AB16EC">
              <w:rPr>
                <w:lang w:val="de-DE"/>
              </w:rPr>
              <w:t>werden</w:t>
            </w:r>
            <w:r w:rsidRPr="00F94B27">
              <w:rPr>
                <w:b/>
                <w:lang w:val="de-DE"/>
              </w:rPr>
              <w:t>]</w:t>
            </w:r>
            <w:r w:rsidRPr="00AB16EC">
              <w:rPr>
                <w:lang w:val="de-DE"/>
              </w:rPr>
              <w:t>, einem variablen Zinssatz, der von der Wertentwicklung eines Referenzsatzes in Form eines Inflationsindexes abhängig ist.</w:t>
            </w:r>
            <w:r w:rsidRPr="00F94B27">
              <w:rPr>
                <w:b/>
                <w:lang w:val="de-DE"/>
              </w:rPr>
              <w:t>]</w:t>
            </w:r>
          </w:p>
        </w:tc>
      </w:tr>
      <w:tr w:rsidTr="00942F00">
        <w:tblPrEx>
          <w:tblW w:w="5000" w:type="pct"/>
          <w:tblLayout w:type="fixed"/>
          <w:tblLook w:val="04A0"/>
        </w:tblPrEx>
        <w:tc>
          <w:tcPr>
            <w:tcW w:w="2534" w:type="pct"/>
            <w:gridSpan w:val="14"/>
            <w:tcBorders>
              <w:right w:val="single" w:sz="4" w:space="0" w:color="auto"/>
            </w:tcBorders>
          </w:tcPr>
          <w:p w:rsidR="00AC21A6" w:rsidP="00AC21A6">
            <w:pPr>
              <w:pStyle w:val="CSBody0"/>
            </w:pPr>
            <w:r>
              <w:t xml:space="preserve">Inflation Index-Linked Notes allow investors to benefit on the </w:t>
            </w:r>
            <w:r w:rsidRPr="00F94B27" w:rsidR="00F94B27">
              <w:rPr>
                <w:b/>
              </w:rPr>
              <w:t>[</w:t>
            </w:r>
            <w:r>
              <w:t>relevant</w:t>
            </w:r>
            <w:r w:rsidRPr="00F94B27" w:rsidR="00F94B27">
              <w:rPr>
                <w:b/>
              </w:rPr>
              <w:t>]</w:t>
            </w:r>
            <w:r>
              <w:t xml:space="preserve"> Interest Payment Date </w:t>
            </w:r>
            <w:r w:rsidRPr="00F94B27" w:rsidR="00F94B27">
              <w:rPr>
                <w:b/>
              </w:rPr>
              <w:t>[</w:t>
            </w:r>
            <w:r>
              <w:t>, on which a variable Interest Rate is applicable,</w:t>
            </w:r>
            <w:r w:rsidRPr="00F94B27" w:rsidR="00F94B27">
              <w:rPr>
                <w:b/>
              </w:rPr>
              <w:t>]</w:t>
            </w:r>
            <w:r>
              <w:t xml:space="preserve"> from Interest Payment Amounts that increase depending upon the positive performance of the Reference Rate in the form of the Inflation Index on the </w:t>
            </w:r>
            <w:r w:rsidRPr="00F94B27" w:rsidR="00F94B27">
              <w:rPr>
                <w:b/>
              </w:rPr>
              <w:t>[</w:t>
            </w:r>
            <w:r>
              <w:t>relevant</w:t>
            </w:r>
            <w:r w:rsidRPr="00F94B27" w:rsidR="00F94B27">
              <w:rPr>
                <w:b/>
              </w:rPr>
              <w:t>]</w:t>
            </w:r>
            <w:r>
              <w:t xml:space="preserve"> Interest Payment Date. The performance of the Reference Rate will be measured by comparing its value for one Inflation Fixing Month to its value for another Inflation Fixing Month. In order to determine the </w:t>
            </w:r>
            <w:r w:rsidRPr="00F94B27" w:rsidR="00F94B27">
              <w:rPr>
                <w:b/>
              </w:rPr>
              <w:t>[</w:t>
            </w:r>
            <w:r>
              <w:t>applicable</w:t>
            </w:r>
            <w:r w:rsidRPr="00F94B27" w:rsidR="00F94B27">
              <w:rPr>
                <w:b/>
              </w:rPr>
              <w:t>]</w:t>
            </w:r>
            <w:r>
              <w:t xml:space="preserve"> Interest Rate the performance of the Reference Rate in the form of the Inflation Index for the relevant Inflation Fixing Month will be multiplied by the Participation </w:t>
            </w:r>
            <w:r w:rsidRPr="00F94B27" w:rsidR="00F94B27">
              <w:rPr>
                <w:b/>
              </w:rPr>
              <w:t>[</w:t>
            </w:r>
            <w:r>
              <w:t xml:space="preserve">and </w:t>
            </w:r>
            <w:r w:rsidRPr="00F94B27" w:rsidR="00F94B27">
              <w:rPr>
                <w:b/>
              </w:rPr>
              <w:t>[</w:t>
            </w:r>
            <w:r w:rsidR="003857E8">
              <w:rPr>
                <w:rFonts w:ascii="Arial" w:hAnsi="Arial" w:cs="Arial"/>
              </w:rPr>
              <w:t>●</w:t>
            </w:r>
            <w:r w:rsidRPr="00F94B27" w:rsidR="00F94B27">
              <w:rPr>
                <w:b/>
              </w:rPr>
              <w:t>]</w:t>
            </w:r>
            <w:r>
              <w:t>% per annum will be added to such product</w:t>
            </w:r>
            <w:r w:rsidRPr="00F94B27" w:rsidR="00F94B27">
              <w:rPr>
                <w:b/>
              </w:rPr>
              <w:t>]</w:t>
            </w:r>
            <w:r>
              <w:t>. If the Inflation Index stagnates or if the Inflation Index develops negatively on an Interest Payment Date, the applicable Interest Rate may be equal to zero.</w:t>
            </w:r>
            <w:r w:rsidRPr="00F94B27" w:rsidR="00F94B27">
              <w:rPr>
                <w:b/>
              </w:rPr>
              <w:t>]</w:t>
            </w:r>
          </w:p>
          <w:p w:rsidR="004B319E" w:rsidRPr="00FE7176" w:rsidP="00AC21A6">
            <w:pPr>
              <w:pStyle w:val="CSBody0"/>
            </w:pPr>
            <w:r w:rsidRPr="00F94B27">
              <w:rPr>
                <w:b/>
              </w:rPr>
              <w:t>]</w:t>
            </w:r>
          </w:p>
        </w:tc>
        <w:tc>
          <w:tcPr>
            <w:tcW w:w="2466" w:type="pct"/>
            <w:gridSpan w:val="14"/>
            <w:tcBorders>
              <w:left w:val="single" w:sz="4" w:space="0" w:color="auto"/>
            </w:tcBorders>
          </w:tcPr>
          <w:p w:rsidR="00AC21A6" w:rsidRPr="00AC21A6" w:rsidP="00AC21A6">
            <w:pPr>
              <w:pStyle w:val="CSBody0"/>
              <w:rPr>
                <w:lang w:val="de-DE"/>
              </w:rPr>
            </w:pPr>
            <w:r w:rsidRPr="00AC21A6">
              <w:rPr>
                <w:lang w:val="de-DE"/>
              </w:rPr>
              <w:t xml:space="preserve">Inflation Index-Linked Notes ermöglichen Anlegern, am </w:t>
            </w:r>
            <w:r w:rsidRPr="00F94B27" w:rsidR="00F94B27">
              <w:rPr>
                <w:b/>
                <w:lang w:val="de-DE"/>
              </w:rPr>
              <w:t>[</w:t>
            </w:r>
            <w:r w:rsidRPr="00AC21A6">
              <w:rPr>
                <w:lang w:val="de-DE"/>
              </w:rPr>
              <w:t>jeweiligen</w:t>
            </w:r>
            <w:r w:rsidRPr="00F94B27" w:rsidR="00F94B27">
              <w:rPr>
                <w:b/>
                <w:lang w:val="de-DE"/>
              </w:rPr>
              <w:t>]</w:t>
            </w:r>
            <w:r w:rsidRPr="00AC21A6">
              <w:rPr>
                <w:lang w:val="de-DE"/>
              </w:rPr>
              <w:t xml:space="preserve"> Zinszahlungstag </w:t>
            </w:r>
            <w:r w:rsidRPr="00F94B27" w:rsidR="00F94B27">
              <w:rPr>
                <w:b/>
                <w:lang w:val="de-DE"/>
              </w:rPr>
              <w:t>[</w:t>
            </w:r>
            <w:r w:rsidRPr="00AC21A6">
              <w:rPr>
                <w:lang w:val="de-DE"/>
              </w:rPr>
              <w:t>, an dem ein variabler Zinssatz Anwendung findet,</w:t>
            </w:r>
            <w:r w:rsidRPr="00F94B27" w:rsidR="00F94B27">
              <w:rPr>
                <w:b/>
                <w:lang w:val="de-DE"/>
              </w:rPr>
              <w:t>]</w:t>
            </w:r>
            <w:r w:rsidRPr="00AC21A6">
              <w:rPr>
                <w:lang w:val="de-DE"/>
              </w:rPr>
              <w:t xml:space="preserve"> Zinszahlungsbeträge zu erhalten, die in Abhängigkeit von der positiven Wertentwicklung des Referenzsatzes in Form des Inflationsindexes am </w:t>
            </w:r>
            <w:r w:rsidRPr="00F94B27" w:rsidR="00F94B27">
              <w:rPr>
                <w:b/>
                <w:lang w:val="de-DE"/>
              </w:rPr>
              <w:t>[</w:t>
            </w:r>
            <w:r w:rsidRPr="00AC21A6">
              <w:rPr>
                <w:lang w:val="de-DE"/>
              </w:rPr>
              <w:t>jeweiligen</w:t>
            </w:r>
            <w:r w:rsidRPr="00F94B27" w:rsidR="00F94B27">
              <w:rPr>
                <w:b/>
                <w:lang w:val="de-DE"/>
              </w:rPr>
              <w:t>]</w:t>
            </w:r>
            <w:r w:rsidRPr="00AC21A6">
              <w:rPr>
                <w:lang w:val="de-DE"/>
              </w:rPr>
              <w:t xml:space="preserve"> Zinszahlungstag ansteigen. Die Wertentwicklung des Referenzsatzes wird auf Grundlage eines Vergleichs des Werts des Referenzsatzes für einen Inflations-Feststellungsmonat mit dem Wert des Referenzsatzes für einen anderen Inflations-Feststellungsmonat gemessen. Um den </w:t>
            </w:r>
            <w:r w:rsidRPr="00F94B27" w:rsidR="00F94B27">
              <w:rPr>
                <w:b/>
                <w:lang w:val="de-DE"/>
              </w:rPr>
              <w:t>[</w:t>
            </w:r>
            <w:r w:rsidRPr="00AC21A6">
              <w:rPr>
                <w:lang w:val="de-DE"/>
              </w:rPr>
              <w:t>anwendbaren</w:t>
            </w:r>
            <w:r w:rsidRPr="00F94B27" w:rsidR="00F94B27">
              <w:rPr>
                <w:b/>
                <w:lang w:val="de-DE"/>
              </w:rPr>
              <w:t>]</w:t>
            </w:r>
            <w:r w:rsidRPr="00AC21A6">
              <w:rPr>
                <w:lang w:val="de-DE"/>
              </w:rPr>
              <w:t xml:space="preserve"> Zinssatz zu bestimmen, wird die Wertentwicklung des Referenzsatzes in Form des Inflationsindexes für den jeweiligen Inflations-Feststellungsmonat mit der Partizipation multipliziert </w:t>
            </w:r>
            <w:r w:rsidRPr="00F94B27" w:rsidR="00F94B27">
              <w:rPr>
                <w:b/>
                <w:lang w:val="de-DE"/>
              </w:rPr>
              <w:t>[</w:t>
            </w:r>
            <w:r w:rsidRPr="00AC21A6">
              <w:rPr>
                <w:lang w:val="de-DE"/>
              </w:rPr>
              <w:t xml:space="preserve">und </w:t>
            </w:r>
            <w:r w:rsidRPr="00F94B27" w:rsidR="00F94B27">
              <w:rPr>
                <w:b/>
                <w:lang w:val="de-DE"/>
              </w:rPr>
              <w:t>[</w:t>
            </w:r>
            <w:r w:rsidRPr="00116653" w:rsidR="003857E8">
              <w:rPr>
                <w:rFonts w:ascii="Arial" w:hAnsi="Arial" w:cs="Arial"/>
                <w:lang w:val="de-DE"/>
              </w:rPr>
              <w:t>●</w:t>
            </w:r>
            <w:r w:rsidRPr="00F94B27" w:rsidR="00F94B27">
              <w:rPr>
                <w:b/>
                <w:lang w:val="de-DE"/>
              </w:rPr>
              <w:t>]</w:t>
            </w:r>
            <w:r w:rsidRPr="00AC21A6">
              <w:rPr>
                <w:lang w:val="de-DE"/>
              </w:rPr>
              <w:t>% per annum wird zu diesem Produkt hinzugerechnet</w:t>
            </w:r>
            <w:r w:rsidRPr="00F94B27" w:rsidR="00F94B27">
              <w:rPr>
                <w:b/>
                <w:lang w:val="de-DE"/>
              </w:rPr>
              <w:t>]</w:t>
            </w:r>
            <w:r w:rsidRPr="00AC21A6">
              <w:rPr>
                <w:lang w:val="de-DE"/>
              </w:rPr>
              <w:t>. Falls der Inflationsindex stagniert oder sich an einem Zinszahlungstag negativ entwickelt, kann der anwendbare Zinssatz null entsprechen.</w:t>
            </w:r>
            <w:r w:rsidRPr="00F94B27" w:rsidR="00F94B27">
              <w:rPr>
                <w:b/>
                <w:lang w:val="de-DE"/>
              </w:rPr>
              <w:t>]</w:t>
            </w:r>
          </w:p>
          <w:p w:rsidR="004B319E" w:rsidRPr="00FE7176" w:rsidP="00AC21A6">
            <w:pPr>
              <w:pStyle w:val="CSBody0"/>
            </w:pPr>
            <w:r w:rsidRPr="00F94B27">
              <w:rPr>
                <w:b/>
              </w:rPr>
              <w:t>]</w:t>
            </w:r>
          </w:p>
        </w:tc>
      </w:tr>
      <w:tr w:rsidTr="00942F00">
        <w:tblPrEx>
          <w:tblW w:w="5000" w:type="pct"/>
          <w:tblLayout w:type="fixed"/>
          <w:tblLook w:val="04A0"/>
        </w:tblPrEx>
        <w:tc>
          <w:tcPr>
            <w:tcW w:w="2534" w:type="pct"/>
            <w:gridSpan w:val="14"/>
            <w:tcBorders>
              <w:right w:val="single" w:sz="4" w:space="0" w:color="auto"/>
            </w:tcBorders>
          </w:tcPr>
          <w:p w:rsidR="00C57053" w:rsidRPr="00AB16EC" w:rsidP="00C57053">
            <w:pPr>
              <w:pStyle w:val="CSbody0bolditalic"/>
              <w:rPr>
                <w:lang w:val="en-GB"/>
              </w:rPr>
            </w:pPr>
            <w:r w:rsidRPr="00F94B27">
              <w:rPr>
                <w:lang w:val="en-GB"/>
              </w:rPr>
              <w:t>[</w:t>
            </w:r>
            <w:r w:rsidRPr="00AB16EC">
              <w:rPr>
                <w:lang w:val="en-GB"/>
              </w:rPr>
              <w:t>in case of Credit-Linked Complex Products, insert details regarding interest payments:</w:t>
            </w:r>
          </w:p>
        </w:tc>
        <w:tc>
          <w:tcPr>
            <w:tcW w:w="2466" w:type="pct"/>
            <w:gridSpan w:val="14"/>
            <w:tcBorders>
              <w:left w:val="single" w:sz="4" w:space="0" w:color="auto"/>
            </w:tcBorders>
          </w:tcPr>
          <w:p w:rsidR="00C57053" w:rsidRPr="00C57053" w:rsidP="00C57053">
            <w:pPr>
              <w:pStyle w:val="CSbody0bolditalic"/>
            </w:pPr>
            <w:r w:rsidRPr="00F94B27">
              <w:t>[</w:t>
            </w:r>
            <w:r w:rsidRPr="00C57053">
              <w:t>bei Kreditbezogenen Komplexen Produkten Einzelheiten zu den Zinszahlungen einfügen:</w:t>
            </w:r>
          </w:p>
        </w:tc>
      </w:tr>
      <w:tr w:rsidTr="00942F00">
        <w:tblPrEx>
          <w:tblW w:w="5000" w:type="pct"/>
          <w:tblLayout w:type="fixed"/>
          <w:tblLook w:val="04A0"/>
        </w:tblPrEx>
        <w:tc>
          <w:tcPr>
            <w:tcW w:w="2534" w:type="pct"/>
            <w:gridSpan w:val="14"/>
            <w:tcBorders>
              <w:right w:val="single" w:sz="4" w:space="0" w:color="auto"/>
            </w:tcBorders>
          </w:tcPr>
          <w:p w:rsidR="00C57053" w:rsidRPr="0015691E" w:rsidP="00C57053">
            <w:r w:rsidRPr="00F94B27">
              <w:rPr>
                <w:b/>
              </w:rPr>
              <w:t>[</w:t>
            </w:r>
            <w:r w:rsidR="003857E8">
              <w:rPr>
                <w:rFonts w:ascii="Arial" w:hAnsi="Arial" w:cs="Arial"/>
              </w:rPr>
              <w:t>●</w:t>
            </w:r>
            <w:r w:rsidRPr="00F94B27">
              <w:rPr>
                <w:b/>
              </w:rPr>
              <w:t>]]</w:t>
            </w:r>
          </w:p>
        </w:tc>
        <w:tc>
          <w:tcPr>
            <w:tcW w:w="2466" w:type="pct"/>
            <w:gridSpan w:val="14"/>
            <w:tcBorders>
              <w:left w:val="single" w:sz="4" w:space="0" w:color="auto"/>
            </w:tcBorders>
          </w:tcPr>
          <w:p w:rsidR="00C57053" w:rsidP="00C57053">
            <w:r w:rsidRPr="00F94B27">
              <w:rPr>
                <w:b/>
              </w:rPr>
              <w:t>[</w:t>
            </w:r>
            <w:r w:rsidR="003857E8">
              <w:rPr>
                <w:rFonts w:ascii="Arial" w:hAnsi="Arial" w:cs="Arial"/>
              </w:rPr>
              <w:t>●</w:t>
            </w:r>
            <w:r w:rsidRPr="00F94B27">
              <w:rPr>
                <w:b/>
              </w:rPr>
              <w:t>]]</w:t>
            </w:r>
          </w:p>
        </w:tc>
      </w:tr>
      <w:tr w:rsidTr="002F2BFA">
        <w:tblPrEx>
          <w:tblW w:w="5000" w:type="pct"/>
          <w:tblLayout w:type="fixed"/>
          <w:tblLook w:val="04A0"/>
        </w:tblPrEx>
        <w:tc>
          <w:tcPr>
            <w:tcW w:w="5000" w:type="pct"/>
            <w:gridSpan w:val="28"/>
            <w:tcBorders>
              <w:top w:val="single" w:sz="4" w:space="0" w:color="auto"/>
            </w:tcBorders>
          </w:tcPr>
          <w:p w:rsidR="009E6145" w:rsidRPr="00960E67" w:rsidP="009C6D81">
            <w:pPr>
              <w:pStyle w:val="CSBody0"/>
              <w:rPr>
                <w:b/>
                <w:i/>
              </w:rPr>
            </w:pPr>
            <w:r w:rsidRPr="00F94B27">
              <w:rPr>
                <w:b/>
                <w:i/>
              </w:rPr>
              <w:t>[</w:t>
            </w:r>
            <w:r w:rsidRPr="00960E67">
              <w:rPr>
                <w:b/>
                <w:i/>
              </w:rPr>
              <w:t>insert information on the concrete issue of Complex Products, as applicable / Informationen zur konkreten Emission von Komplexen Produkten, wie anwendbar, einfügen:</w:t>
            </w:r>
          </w:p>
        </w:tc>
      </w:tr>
      <w:tr w:rsidTr="00942F00">
        <w:tblPrEx>
          <w:tblW w:w="5000" w:type="pct"/>
          <w:tblLayout w:type="fixed"/>
          <w:tblLook w:val="04A0"/>
        </w:tblPrEx>
        <w:tc>
          <w:tcPr>
            <w:tcW w:w="1120" w:type="pct"/>
            <w:gridSpan w:val="8"/>
          </w:tcPr>
          <w:p w:rsidR="00C57053" w:rsidRPr="00157C22" w:rsidP="00C57053">
            <w:pPr>
              <w:pStyle w:val="CSBody0"/>
            </w:pPr>
            <w:r w:rsidRPr="00F94B27">
              <w:rPr>
                <w:b/>
              </w:rPr>
              <w:t>[</w:t>
            </w:r>
            <w:r w:rsidRPr="00157C22">
              <w:t>Asset Swap Value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157C22" w:rsidP="00C57053">
            <w:pPr>
              <w:pStyle w:val="CSBody0"/>
            </w:pPr>
            <w:r w:rsidRPr="00F94B27">
              <w:rPr>
                <w:b/>
              </w:rPr>
              <w:t>[</w:t>
            </w:r>
            <w:r w:rsidRPr="00157C22">
              <w:t>Asset-Swap-Wert</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157C22" w:rsidP="00C57053">
            <w:pPr>
              <w:pStyle w:val="CSBody0"/>
            </w:pPr>
            <w:r w:rsidRPr="00F94B27">
              <w:rPr>
                <w:b/>
              </w:rPr>
              <w:t>[</w:t>
            </w:r>
            <w:r w:rsidRPr="00157C22">
              <w:t>Auction Final Price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157C22" w:rsidP="00C57053">
            <w:pPr>
              <w:pStyle w:val="CSBody0"/>
            </w:pPr>
            <w:r w:rsidRPr="00F94B27">
              <w:rPr>
                <w:b/>
              </w:rPr>
              <w:t>[</w:t>
            </w:r>
            <w:r w:rsidRPr="00157C22">
              <w:t>Auktions-Endpreis</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157C22" w:rsidP="00C57053">
            <w:pPr>
              <w:pStyle w:val="CSBody0"/>
            </w:pPr>
            <w:r w:rsidRPr="00F94B27">
              <w:rPr>
                <w:b/>
              </w:rPr>
              <w:t>[</w:t>
            </w:r>
            <w:r w:rsidRPr="00157C22">
              <w:t>Auction Redemption Amount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157C22" w:rsidP="00C57053">
            <w:pPr>
              <w:pStyle w:val="CSBody0"/>
            </w:pPr>
            <w:r w:rsidRPr="00F94B27">
              <w:rPr>
                <w:b/>
              </w:rPr>
              <w:t>[</w:t>
            </w:r>
            <w:r w:rsidRPr="00157C22">
              <w:t>Auktions-Rückzahlungsbetrag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157C22" w:rsidP="00C57053">
            <w:pPr>
              <w:pStyle w:val="CSBody0"/>
            </w:pPr>
            <w:r w:rsidRPr="00F94B27">
              <w:rPr>
                <w:b/>
              </w:rPr>
              <w:t>[</w:t>
            </w:r>
            <w:r w:rsidRPr="00157C22">
              <w:t>Auction Redemption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157C22" w:rsidP="00C57053">
            <w:pPr>
              <w:pStyle w:val="CSBody0"/>
            </w:pPr>
            <w:r w:rsidRPr="00F94B27">
              <w:rPr>
                <w:b/>
              </w:rPr>
              <w:t>[</w:t>
            </w:r>
            <w:r w:rsidRPr="00157C22">
              <w:t>Auktions-Rückzahlungstag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157C22" w:rsidP="00C57053">
            <w:pPr>
              <w:pStyle w:val="CSBody0"/>
            </w:pPr>
            <w:r w:rsidRPr="00F94B27">
              <w:rPr>
                <w:b/>
              </w:rPr>
              <w:t>[</w:t>
            </w:r>
            <w:r w:rsidRPr="00157C22">
              <w:t>Bankruptcy</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157C22" w:rsidP="00C57053">
            <w:pPr>
              <w:pStyle w:val="CSBody0"/>
            </w:pPr>
            <w:r w:rsidRPr="00F94B27">
              <w:rPr>
                <w:b/>
              </w:rPr>
              <w:t>[</w:t>
            </w:r>
            <w:r w:rsidRPr="00157C22">
              <w:t>Insolvenz</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C46BD9" w:rsidP="00C57053">
            <w:pPr>
              <w:pStyle w:val="CSBody0"/>
            </w:pPr>
            <w:r w:rsidRPr="00F94B27">
              <w:rPr>
                <w:b/>
              </w:rPr>
              <w:t>[</w:t>
            </w:r>
            <w:r w:rsidRPr="00C46BD9">
              <w:t>Barrier Observation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C46BD9" w:rsidP="00C57053">
            <w:pPr>
              <w:pStyle w:val="CSBody0"/>
            </w:pPr>
            <w:r w:rsidRPr="00F94B27">
              <w:rPr>
                <w:b/>
              </w:rPr>
              <w:t>[</w:t>
            </w:r>
            <w:r w:rsidRPr="00C46BD9">
              <w:t>Barriere-Beobachtungstag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C46BD9" w:rsidP="00C57053">
            <w:pPr>
              <w:pStyle w:val="CSBody0"/>
            </w:pPr>
            <w:r w:rsidRPr="00F94B27">
              <w:rPr>
                <w:b/>
              </w:rPr>
              <w:t>[</w:t>
            </w:r>
            <w:r w:rsidRPr="00C46BD9">
              <w:t>Barrier</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C46BD9" w:rsidP="00C57053">
            <w:pPr>
              <w:pStyle w:val="CSBody0"/>
            </w:pPr>
            <w:r w:rsidRPr="00F94B27">
              <w:rPr>
                <w:b/>
              </w:rPr>
              <w:t>[</w:t>
            </w:r>
            <w:r w:rsidRPr="00C46BD9">
              <w:t>Barriere</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C46BD9" w:rsidP="00C57053">
            <w:pPr>
              <w:pStyle w:val="CSBody0"/>
            </w:pPr>
            <w:r w:rsidRPr="00F94B27">
              <w:rPr>
                <w:b/>
              </w:rPr>
              <w:t>[</w:t>
            </w:r>
            <w:r w:rsidRPr="00C46BD9">
              <w:t>Cash Redemption Amount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C46BD9" w:rsidP="00C57053">
            <w:pPr>
              <w:pStyle w:val="CSBody0"/>
            </w:pPr>
            <w:r w:rsidRPr="00F94B27">
              <w:rPr>
                <w:b/>
              </w:rPr>
              <w:t>[</w:t>
            </w:r>
            <w:r w:rsidRPr="00C46BD9">
              <w:t>Barrückzahlungsbetrag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C46BD9" w:rsidP="00C57053">
            <w:pPr>
              <w:pStyle w:val="CSBody0"/>
            </w:pPr>
            <w:r w:rsidRPr="00F94B27">
              <w:rPr>
                <w:b/>
              </w:rPr>
              <w:t>[</w:t>
            </w:r>
            <w:r w:rsidRPr="00C46BD9">
              <w:t>Cash Redemption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C46BD9" w:rsidP="00C57053">
            <w:pPr>
              <w:pStyle w:val="CSBody0"/>
            </w:pPr>
            <w:r w:rsidRPr="00F94B27">
              <w:rPr>
                <w:b/>
              </w:rPr>
              <w:t>[</w:t>
            </w:r>
            <w:r w:rsidRPr="00C46BD9">
              <w:t>Barrückzahlungstag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C46BD9" w:rsidP="00C57053">
            <w:pPr>
              <w:pStyle w:val="CSBody0"/>
            </w:pPr>
            <w:r w:rsidRPr="00F94B27">
              <w:rPr>
                <w:b/>
              </w:rPr>
              <w:t>[</w:t>
            </w:r>
            <w:r w:rsidRPr="00C46BD9">
              <w:t>Counterparty</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C46BD9" w:rsidP="00C57053">
            <w:pPr>
              <w:pStyle w:val="CSBody0"/>
            </w:pPr>
            <w:r w:rsidRPr="00F94B27">
              <w:rPr>
                <w:b/>
              </w:rPr>
              <w:t>[</w:t>
            </w:r>
            <w:r w:rsidRPr="00C46BD9">
              <w:t>Kontrahent</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C46BD9" w:rsidP="00C57053">
            <w:pPr>
              <w:pStyle w:val="CSBody0"/>
            </w:pPr>
            <w:r w:rsidRPr="00F94B27">
              <w:rPr>
                <w:b/>
              </w:rPr>
              <w:t>[</w:t>
            </w:r>
            <w:r w:rsidRPr="00C46BD9">
              <w:t>Credit Event Determination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C46BD9" w:rsidP="00C57053">
            <w:pPr>
              <w:pStyle w:val="CSBody0"/>
            </w:pPr>
            <w:r w:rsidRPr="00F94B27">
              <w:rPr>
                <w:b/>
              </w:rPr>
              <w:t>[</w:t>
            </w:r>
            <w:r w:rsidRPr="00C46BD9">
              <w:t>Kreditereignis-Feststellungstag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C46BD9" w:rsidP="00C57053">
            <w:pPr>
              <w:pStyle w:val="CSBody0"/>
            </w:pPr>
            <w:r w:rsidRPr="00F94B27">
              <w:rPr>
                <w:b/>
              </w:rPr>
              <w:t>[</w:t>
            </w:r>
            <w:r w:rsidRPr="00C46BD9">
              <w:t>Credit Event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C46BD9" w:rsidP="00C57053">
            <w:pPr>
              <w:pStyle w:val="CSBody0"/>
            </w:pPr>
            <w:r w:rsidRPr="00F94B27">
              <w:rPr>
                <w:b/>
              </w:rPr>
              <w:t>[</w:t>
            </w:r>
            <w:r w:rsidRPr="00C46BD9">
              <w:t>Kreditereignis</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0F4D84" w:rsidP="00C57053">
            <w:pPr>
              <w:pStyle w:val="CSBody0"/>
            </w:pPr>
            <w:r w:rsidRPr="00F94B27">
              <w:rPr>
                <w:b/>
              </w:rPr>
              <w:t>[</w:t>
            </w:r>
            <w:r w:rsidRPr="000F4D84">
              <w:t>Credit Redemption Amount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0F4D84" w:rsidP="00C57053">
            <w:pPr>
              <w:pStyle w:val="CSBody0"/>
            </w:pPr>
            <w:r w:rsidRPr="00F94B27">
              <w:rPr>
                <w:b/>
              </w:rPr>
              <w:t>[</w:t>
            </w:r>
            <w:r w:rsidRPr="000F4D84">
              <w:t>Kredit-Rückzahlungsbetrag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0F4D84" w:rsidP="00C57053">
            <w:pPr>
              <w:pStyle w:val="CSBody0"/>
            </w:pPr>
            <w:r w:rsidRPr="00F94B27">
              <w:rPr>
                <w:b/>
              </w:rPr>
              <w:t>[</w:t>
            </w:r>
            <w:r w:rsidRPr="000F4D84">
              <w:t>Credit Redemption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0F4D84" w:rsidP="00C57053">
            <w:pPr>
              <w:pStyle w:val="CSBody0"/>
            </w:pPr>
            <w:r w:rsidRPr="00F94B27">
              <w:rPr>
                <w:b/>
              </w:rPr>
              <w:t>[</w:t>
            </w:r>
            <w:r w:rsidRPr="000F4D84">
              <w:t>Kredit-Rückzahlungstag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0F4D84" w:rsidP="00C57053">
            <w:pPr>
              <w:pStyle w:val="CSBody0"/>
            </w:pPr>
            <w:r w:rsidRPr="00F94B27">
              <w:rPr>
                <w:b/>
              </w:rPr>
              <w:t>[</w:t>
            </w:r>
            <w:r w:rsidRPr="000F4D84">
              <w:t>Credit Redemption Event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0F4D84" w:rsidP="00C57053">
            <w:pPr>
              <w:pStyle w:val="CSBody0"/>
            </w:pPr>
            <w:r w:rsidRPr="00F94B27">
              <w:rPr>
                <w:b/>
              </w:rPr>
              <w:t>[</w:t>
            </w:r>
            <w:r w:rsidRPr="000F4D84">
              <w:t>Kredit-Rückzahlungsereignis</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0F4D84" w:rsidP="00C57053">
            <w:pPr>
              <w:pStyle w:val="CSBody0"/>
            </w:pPr>
            <w:r w:rsidRPr="00F94B27">
              <w:rPr>
                <w:b/>
              </w:rPr>
              <w:t>[</w:t>
            </w:r>
            <w:r w:rsidRPr="000F4D84">
              <w:t>DC Pending Request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0F4D84" w:rsidP="00C57053">
            <w:pPr>
              <w:pStyle w:val="CSBody0"/>
            </w:pPr>
            <w:r w:rsidRPr="00F94B27">
              <w:rPr>
                <w:b/>
              </w:rPr>
              <w:t>[</w:t>
            </w:r>
            <w:r w:rsidRPr="000F4D84">
              <w:t>Ausstehender Antrag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0F4D84" w:rsidP="00C57053">
            <w:pPr>
              <w:pStyle w:val="CSBody0"/>
            </w:pPr>
            <w:r w:rsidRPr="00F94B27">
              <w:rPr>
                <w:b/>
              </w:rPr>
              <w:t>[</w:t>
            </w:r>
            <w:r w:rsidRPr="000F4D84">
              <w:t>Default Event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0F4D84" w:rsidP="00C57053">
            <w:pPr>
              <w:pStyle w:val="CSBody0"/>
            </w:pPr>
            <w:r w:rsidRPr="00F94B27">
              <w:rPr>
                <w:b/>
              </w:rPr>
              <w:t>[</w:t>
            </w:r>
            <w:r w:rsidRPr="000F4D84">
              <w:t>Ausfallereignis</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AB7558" w:rsidP="00C57053">
            <w:pPr>
              <w:pStyle w:val="CSBody0"/>
            </w:pPr>
            <w:r w:rsidRPr="00F94B27">
              <w:rPr>
                <w:b/>
              </w:rPr>
              <w:t>[</w:t>
            </w:r>
            <w:r w:rsidRPr="00AB7558">
              <w:t>Failure to Pay</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AB7558" w:rsidP="00C57053">
            <w:pPr>
              <w:pStyle w:val="CSBody0"/>
            </w:pPr>
            <w:r w:rsidRPr="00F94B27">
              <w:rPr>
                <w:b/>
              </w:rPr>
              <w:t>[</w:t>
            </w:r>
            <w:r w:rsidRPr="00AB7558">
              <w:t>Nichtzahlung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AB7558" w:rsidP="00C57053">
            <w:pPr>
              <w:pStyle w:val="CSBody0"/>
            </w:pPr>
            <w:r w:rsidRPr="00F94B27">
              <w:rPr>
                <w:b/>
              </w:rPr>
              <w:t>[</w:t>
            </w:r>
            <w:r w:rsidRPr="00AB7558">
              <w:t>Fallback Settlement Event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AB7558" w:rsidP="00C57053">
            <w:pPr>
              <w:pStyle w:val="CSBody0"/>
            </w:pPr>
            <w:r w:rsidRPr="00F94B27">
              <w:rPr>
                <w:b/>
              </w:rPr>
              <w:t>[</w:t>
            </w:r>
            <w:r w:rsidRPr="00AB7558">
              <w:t>Ereignis der Alternativen Abwicklung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AB7558" w:rsidP="00C57053">
            <w:pPr>
              <w:pStyle w:val="CSBody0"/>
            </w:pPr>
            <w:r w:rsidRPr="00F94B27">
              <w:rPr>
                <w:b/>
              </w:rPr>
              <w:t>[</w:t>
            </w:r>
            <w:r w:rsidRPr="00AB7558">
              <w:t>Final Redemption Amount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AB7558" w:rsidP="00800429">
            <w:pPr>
              <w:pStyle w:val="CSBody0"/>
            </w:pPr>
            <w:r w:rsidRPr="00F94B27">
              <w:rPr>
                <w:b/>
              </w:rPr>
              <w:t>[</w:t>
            </w:r>
            <w:r w:rsidRPr="00AB7558">
              <w:t>Finaler Rückzahlungsbetrag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AB7558" w:rsidP="00C57053">
            <w:pPr>
              <w:pStyle w:val="CSBody0"/>
            </w:pPr>
            <w:r w:rsidRPr="00F94B27">
              <w:rPr>
                <w:b/>
              </w:rPr>
              <w:t>[</w:t>
            </w:r>
            <w:r w:rsidRPr="00AB7558">
              <w:t>Final Redemption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AB7558" w:rsidP="00C57053">
            <w:pPr>
              <w:pStyle w:val="CSBody0"/>
            </w:pPr>
            <w:r w:rsidRPr="00F94B27">
              <w:rPr>
                <w:b/>
              </w:rPr>
              <w:t>[</w:t>
            </w:r>
            <w:r w:rsidRPr="00AB7558">
              <w:t xml:space="preserve">Finaler Rückzahlungstag </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AB7558" w:rsidP="00C57053">
            <w:pPr>
              <w:pStyle w:val="CSBody0"/>
            </w:pPr>
            <w:r w:rsidRPr="00F94B27">
              <w:rPr>
                <w:b/>
              </w:rPr>
              <w:t>[</w:t>
            </w:r>
            <w:r w:rsidRPr="00AB7558">
              <w:t>Fixed Final Redemption Amount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AB7558" w:rsidP="00C57053">
            <w:pPr>
              <w:pStyle w:val="CSBody0"/>
            </w:pPr>
            <w:r w:rsidRPr="00F94B27">
              <w:rPr>
                <w:b/>
              </w:rPr>
              <w:t>[</w:t>
            </w:r>
            <w:r w:rsidRPr="00AB7558">
              <w:t>Fester Finaler Rückzahlungsbetrag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AB7558" w:rsidP="00C57053">
            <w:pPr>
              <w:pStyle w:val="CSBody0"/>
            </w:pPr>
            <w:r w:rsidRPr="00F94B27">
              <w:rPr>
                <w:b/>
              </w:rPr>
              <w:t>[</w:t>
            </w:r>
            <w:r w:rsidRPr="00AB7558">
              <w:t>Governmental Intervention</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AB7558" w:rsidP="00C57053">
            <w:pPr>
              <w:pStyle w:val="CSBody0"/>
            </w:pPr>
            <w:r w:rsidRPr="00F94B27">
              <w:rPr>
                <w:b/>
              </w:rPr>
              <w:t>[</w:t>
            </w:r>
            <w:r w:rsidRPr="00AB7558">
              <w:t>Staatliche Intervention</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AB7558" w:rsidP="00C57053">
            <w:pPr>
              <w:pStyle w:val="CSBody0"/>
            </w:pPr>
            <w:r w:rsidRPr="00F94B27">
              <w:rPr>
                <w:b/>
              </w:rPr>
              <w:t>[</w:t>
            </w:r>
            <w:r w:rsidRPr="00AB7558">
              <w:t>Interest Determination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AB7558" w:rsidP="00C57053">
            <w:pPr>
              <w:pStyle w:val="CSBody0"/>
            </w:pPr>
            <w:r w:rsidRPr="00F94B27">
              <w:rPr>
                <w:b/>
              </w:rPr>
              <w:t>[</w:t>
            </w:r>
            <w:r w:rsidRPr="00AB7558">
              <w:t>Zinsfeststellungstag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14735" w:rsidP="00C57053">
            <w:pPr>
              <w:pStyle w:val="CSBody0"/>
            </w:pPr>
            <w:r w:rsidRPr="00F94B27">
              <w:rPr>
                <w:b/>
              </w:rPr>
              <w:t>[</w:t>
            </w:r>
            <w:r w:rsidRPr="00314735">
              <w:t>Interest Payment Amount</w:t>
            </w:r>
            <w:r w:rsidRPr="00F94B27">
              <w:rPr>
                <w:b/>
              </w:rPr>
              <w:t>[</w:t>
            </w:r>
            <w:r w:rsidRPr="00314735">
              <w:t>s</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14735" w:rsidP="00C57053">
            <w:pPr>
              <w:pStyle w:val="CSBody0"/>
            </w:pPr>
            <w:r w:rsidRPr="00F94B27">
              <w:rPr>
                <w:b/>
              </w:rPr>
              <w:t>[</w:t>
            </w:r>
            <w:r w:rsidRPr="00314735">
              <w:t>Zinszahlungsbetrag</w:t>
            </w:r>
            <w:r w:rsidRPr="00F94B27">
              <w:rPr>
                <w:b/>
              </w:rPr>
              <w:t>][</w:t>
            </w:r>
            <w:r w:rsidRPr="00314735">
              <w:t>Zinszahlungsbeträge</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14735" w:rsidP="00C57053">
            <w:pPr>
              <w:pStyle w:val="CSBody0"/>
            </w:pPr>
            <w:r w:rsidRPr="00F94B27">
              <w:rPr>
                <w:b/>
              </w:rPr>
              <w:t>[</w:t>
            </w:r>
            <w:r w:rsidRPr="00314735">
              <w:t>Interest Payment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14735" w:rsidP="00C57053">
            <w:pPr>
              <w:pStyle w:val="CSBody0"/>
            </w:pPr>
            <w:r w:rsidRPr="00F94B27">
              <w:rPr>
                <w:b/>
              </w:rPr>
              <w:t>[</w:t>
            </w:r>
            <w:r w:rsidRPr="00314735">
              <w:t>Zinszahlungstag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14735" w:rsidP="00C57053">
            <w:pPr>
              <w:pStyle w:val="CSBody0"/>
            </w:pPr>
            <w:r w:rsidRPr="00F94B27">
              <w:rPr>
                <w:b/>
              </w:rPr>
              <w:t>[</w:t>
            </w:r>
            <w:r w:rsidRPr="00314735">
              <w:t>Interest Rate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14735" w:rsidP="00C57053">
            <w:pPr>
              <w:pStyle w:val="CSBody0"/>
            </w:pPr>
            <w:r w:rsidRPr="00F94B27">
              <w:rPr>
                <w:b/>
              </w:rPr>
              <w:t>[</w:t>
            </w:r>
            <w:r w:rsidRPr="00314735">
              <w:t>Zinssatz</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14735" w:rsidP="00C57053">
            <w:pPr>
              <w:pStyle w:val="CSBody0"/>
            </w:pPr>
            <w:r w:rsidRPr="00F94B27">
              <w:rPr>
                <w:b/>
              </w:rPr>
              <w:t>[</w:t>
            </w:r>
            <w:r w:rsidRPr="00314735">
              <w:t>Lower Barrier</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14735" w:rsidP="00C57053">
            <w:pPr>
              <w:pStyle w:val="CSBody0"/>
            </w:pPr>
            <w:r w:rsidRPr="00F94B27">
              <w:rPr>
                <w:b/>
              </w:rPr>
              <w:t>[</w:t>
            </w:r>
            <w:r w:rsidRPr="00314735">
              <w:t>Untere Barriere</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14735" w:rsidP="00C57053">
            <w:pPr>
              <w:pStyle w:val="CSBody0"/>
            </w:pPr>
            <w:r w:rsidRPr="00F94B27">
              <w:rPr>
                <w:b/>
              </w:rPr>
              <w:t>[</w:t>
            </w:r>
            <w:r w:rsidRPr="00314735">
              <w:t>Maximum Interest Rate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14735" w:rsidP="00C57053">
            <w:pPr>
              <w:pStyle w:val="CSBody0"/>
            </w:pPr>
            <w:r w:rsidRPr="00F94B27">
              <w:rPr>
                <w:b/>
              </w:rPr>
              <w:t>[</w:t>
            </w:r>
            <w:r w:rsidRPr="00314735">
              <w:t>Höchstzinssatz</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14735" w:rsidP="00C57053">
            <w:pPr>
              <w:pStyle w:val="CSBody0"/>
            </w:pPr>
            <w:r w:rsidRPr="00F94B27">
              <w:rPr>
                <w:b/>
              </w:rPr>
              <w:t>[</w:t>
            </w:r>
            <w:r w:rsidRPr="00314735">
              <w:t>Minimum Interest Rate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14735" w:rsidP="00C57053">
            <w:pPr>
              <w:pStyle w:val="CSBody0"/>
            </w:pPr>
            <w:r w:rsidRPr="00F94B27">
              <w:rPr>
                <w:b/>
              </w:rPr>
              <w:t>[</w:t>
            </w:r>
            <w:r w:rsidRPr="00314735">
              <w:t>Mindestzinssatz</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14735" w:rsidP="00C57053">
            <w:pPr>
              <w:pStyle w:val="CSBody0"/>
            </w:pPr>
            <w:r w:rsidRPr="00F94B27">
              <w:rPr>
                <w:b/>
              </w:rPr>
              <w:t>[</w:t>
            </w:r>
            <w:r w:rsidRPr="00314735">
              <w:t>Obligation Acceleration</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14735" w:rsidP="00C57053">
            <w:pPr>
              <w:pStyle w:val="CSBody0"/>
            </w:pPr>
            <w:r w:rsidRPr="00F94B27">
              <w:rPr>
                <w:b/>
              </w:rPr>
              <w:t>[</w:t>
            </w:r>
            <w:r w:rsidRPr="00314735">
              <w:t>Vorfälligkeit einer Verbindlichkeit</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F5A89" w:rsidP="00C57053">
            <w:pPr>
              <w:pStyle w:val="CSBody0"/>
            </w:pPr>
            <w:r w:rsidRPr="00F94B27">
              <w:rPr>
                <w:b/>
              </w:rPr>
              <w:t>[</w:t>
            </w:r>
            <w:r w:rsidRPr="003F5A89">
              <w:t>Participation</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F5A89" w:rsidP="00C57053">
            <w:pPr>
              <w:pStyle w:val="CSBody0"/>
            </w:pPr>
            <w:r w:rsidRPr="00F94B27">
              <w:rPr>
                <w:b/>
              </w:rPr>
              <w:t>[</w:t>
            </w:r>
            <w:r w:rsidRPr="003F5A89">
              <w:t>Partizipation</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F5A89" w:rsidP="00C57053">
            <w:pPr>
              <w:pStyle w:val="CSBody0"/>
            </w:pPr>
            <w:r w:rsidRPr="00F94B27">
              <w:rPr>
                <w:b/>
              </w:rPr>
              <w:t>[</w:t>
            </w:r>
            <w:r w:rsidRPr="003F5A89">
              <w:t>Potential Credit Event Period</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F5A89" w:rsidP="00C57053">
            <w:pPr>
              <w:pStyle w:val="CSBody0"/>
            </w:pPr>
            <w:r w:rsidRPr="00F94B27">
              <w:rPr>
                <w:b/>
              </w:rPr>
              <w:t>[</w:t>
            </w:r>
            <w:r w:rsidRPr="003F5A89">
              <w:t>Zeitraum eines Potenziellen Kreditereignisses</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F5A89" w:rsidP="00C57053">
            <w:pPr>
              <w:pStyle w:val="CSBody0"/>
            </w:pPr>
            <w:r w:rsidRPr="00F94B27">
              <w:rPr>
                <w:b/>
              </w:rPr>
              <w:t>[</w:t>
            </w:r>
            <w:r w:rsidRPr="003F5A89">
              <w:t>Ratio</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F5A89" w:rsidP="00C57053">
            <w:pPr>
              <w:pStyle w:val="CSBody0"/>
            </w:pPr>
            <w:r w:rsidRPr="00F94B27">
              <w:rPr>
                <w:b/>
              </w:rPr>
              <w:t>[</w:t>
            </w:r>
            <w:r w:rsidRPr="003F5A89">
              <w:t>Bezugsverhältnis</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F5A89" w:rsidP="00C57053">
            <w:pPr>
              <w:pStyle w:val="CSBody0"/>
            </w:pPr>
            <w:r w:rsidRPr="00F94B27">
              <w:rPr>
                <w:b/>
              </w:rPr>
              <w:t>[</w:t>
            </w:r>
            <w:r w:rsidRPr="003F5A89">
              <w:t>Redemption Event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F5A89" w:rsidP="00C57053">
            <w:pPr>
              <w:pStyle w:val="CSBody0"/>
            </w:pPr>
            <w:r w:rsidRPr="00F94B27">
              <w:rPr>
                <w:b/>
              </w:rPr>
              <w:t>[</w:t>
            </w:r>
            <w:r w:rsidRPr="003F5A89">
              <w:t>Rückzahlungsereignis</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F5A89" w:rsidP="00C57053">
            <w:pPr>
              <w:pStyle w:val="CSBody0"/>
            </w:pPr>
            <w:r w:rsidRPr="00F94B27">
              <w:rPr>
                <w:b/>
              </w:rPr>
              <w:t>[</w:t>
            </w:r>
            <w:r w:rsidRPr="003F5A89">
              <w:t>Reference Entity</w:t>
            </w:r>
            <w:r w:rsidRPr="00F94B27">
              <w:rPr>
                <w:b/>
              </w:rPr>
              <w:t>]</w:t>
            </w:r>
            <w:r w:rsidRPr="003F5A89">
              <w:t xml:space="preserve"> </w:t>
            </w:r>
            <w:r w:rsidRPr="00F94B27">
              <w:rPr>
                <w:b/>
              </w:rPr>
              <w:t>[</w:t>
            </w:r>
            <w:r w:rsidRPr="003F5A89">
              <w:t>Reference Entities</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F5A89" w:rsidP="00C57053">
            <w:pPr>
              <w:pStyle w:val="CSBody0"/>
            </w:pPr>
            <w:r w:rsidRPr="00F94B27">
              <w:rPr>
                <w:b/>
              </w:rPr>
              <w:t>[</w:t>
            </w:r>
            <w:r w:rsidRPr="003F5A89">
              <w:t>Referenzschuldner</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F5A89" w:rsidP="00C57053">
            <w:pPr>
              <w:pStyle w:val="CSBody0"/>
            </w:pPr>
            <w:r w:rsidRPr="00F94B27">
              <w:rPr>
                <w:b/>
              </w:rPr>
              <w:t>[</w:t>
            </w:r>
            <w:r w:rsidRPr="003F5A89">
              <w:t>Reference Entity Principal Amount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F5A89" w:rsidP="00C57053">
            <w:pPr>
              <w:pStyle w:val="CSBody0"/>
            </w:pPr>
            <w:r w:rsidRPr="00F94B27">
              <w:rPr>
                <w:b/>
              </w:rPr>
              <w:t>[</w:t>
            </w:r>
            <w:r w:rsidRPr="003F5A89">
              <w:t>Referenzschuldner-Nennbetrag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F5A89" w:rsidP="00C57053">
            <w:pPr>
              <w:pStyle w:val="CSBody0"/>
            </w:pPr>
            <w:r w:rsidRPr="00F94B27">
              <w:rPr>
                <w:b/>
              </w:rPr>
              <w:t>[</w:t>
            </w:r>
            <w:r w:rsidRPr="003F5A89">
              <w:t>Reference Obligation</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F5A89" w:rsidP="00C57053">
            <w:pPr>
              <w:pStyle w:val="CSBody0"/>
            </w:pPr>
            <w:r w:rsidRPr="00F94B27">
              <w:rPr>
                <w:b/>
              </w:rPr>
              <w:t>[</w:t>
            </w:r>
            <w:r w:rsidRPr="003F5A89">
              <w:t>Referenzverbindlichkeit</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04197" w:rsidP="00C57053">
            <w:pPr>
              <w:pStyle w:val="CSBody0"/>
            </w:pPr>
            <w:r w:rsidRPr="00F94B27">
              <w:rPr>
                <w:b/>
              </w:rPr>
              <w:t>[</w:t>
            </w:r>
            <w:r w:rsidRPr="00304197">
              <w:t>Reference Rate 1</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04197" w:rsidP="00C57053">
            <w:pPr>
              <w:pStyle w:val="CSBody0"/>
            </w:pPr>
            <w:r w:rsidRPr="00F94B27">
              <w:rPr>
                <w:b/>
              </w:rPr>
              <w:t>[</w:t>
            </w:r>
            <w:r w:rsidRPr="00304197">
              <w:t>Referenzsatz 1</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04197" w:rsidP="00C57053">
            <w:pPr>
              <w:pStyle w:val="CSBody0"/>
            </w:pPr>
            <w:r w:rsidRPr="00F94B27">
              <w:rPr>
                <w:b/>
              </w:rPr>
              <w:t>[</w:t>
            </w:r>
            <w:r w:rsidRPr="00304197">
              <w:t>Reference Rate 2</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04197" w:rsidP="00C57053">
            <w:pPr>
              <w:pStyle w:val="CSBody0"/>
            </w:pPr>
            <w:r w:rsidRPr="00F94B27">
              <w:rPr>
                <w:b/>
              </w:rPr>
              <w:t>[</w:t>
            </w:r>
            <w:r w:rsidRPr="00304197">
              <w:t>Referenzsatz 2</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04197" w:rsidP="00C57053">
            <w:pPr>
              <w:pStyle w:val="CSBody0"/>
            </w:pPr>
            <w:r w:rsidRPr="00F94B27">
              <w:rPr>
                <w:b/>
              </w:rPr>
              <w:t>[</w:t>
            </w:r>
            <w:r w:rsidRPr="00304197">
              <w:t>Reference Rate 3</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04197" w:rsidP="00C57053">
            <w:pPr>
              <w:pStyle w:val="CSBody0"/>
            </w:pPr>
            <w:r w:rsidRPr="00F94B27">
              <w:rPr>
                <w:b/>
              </w:rPr>
              <w:t>[</w:t>
            </w:r>
            <w:r w:rsidRPr="00304197">
              <w:t>Referenzsatz 3</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04197" w:rsidP="00C57053">
            <w:pPr>
              <w:pStyle w:val="CSBody0"/>
            </w:pPr>
            <w:r w:rsidRPr="00F94B27">
              <w:rPr>
                <w:b/>
              </w:rPr>
              <w:t>[</w:t>
            </w:r>
            <w:r w:rsidRPr="00304197">
              <w:t>Reference Rate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04197" w:rsidP="00C57053">
            <w:pPr>
              <w:pStyle w:val="CSBody0"/>
            </w:pPr>
            <w:r w:rsidRPr="00F94B27">
              <w:rPr>
                <w:b/>
              </w:rPr>
              <w:t>[</w:t>
            </w:r>
            <w:r w:rsidRPr="00304197">
              <w:t>Referenzsatz</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04197" w:rsidP="00C57053">
            <w:pPr>
              <w:pStyle w:val="CSBody0"/>
            </w:pPr>
            <w:r w:rsidRPr="00F94B27">
              <w:rPr>
                <w:b/>
              </w:rPr>
              <w:t>[</w:t>
            </w:r>
            <w:r w:rsidRPr="00304197">
              <w:t>Repudiation/Moratorium</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04197" w:rsidP="00800429">
            <w:pPr>
              <w:pStyle w:val="CSBody0"/>
            </w:pPr>
            <w:r w:rsidRPr="00F94B27">
              <w:rPr>
                <w:b/>
              </w:rPr>
              <w:t>[</w:t>
            </w:r>
            <w:r w:rsidRPr="00304197">
              <w:t>Nichtanerkennung/Moratorium</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04197" w:rsidP="00C57053">
            <w:pPr>
              <w:pStyle w:val="CSBody0"/>
            </w:pPr>
            <w:r w:rsidRPr="00F94B27">
              <w:rPr>
                <w:b/>
              </w:rPr>
              <w:t>[</w:t>
            </w:r>
            <w:r w:rsidRPr="00304197">
              <w:t>Restructuring</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04197" w:rsidP="00C57053">
            <w:pPr>
              <w:pStyle w:val="CSBody0"/>
            </w:pPr>
            <w:r w:rsidRPr="00F94B27">
              <w:rPr>
                <w:b/>
              </w:rPr>
              <w:t>[</w:t>
            </w:r>
            <w:r w:rsidRPr="00304197">
              <w:t>Restrukturierung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304197" w:rsidP="00C57053">
            <w:pPr>
              <w:pStyle w:val="CSBody0"/>
            </w:pPr>
            <w:r w:rsidRPr="00F94B27">
              <w:rPr>
                <w:b/>
              </w:rPr>
              <w:t>[</w:t>
            </w:r>
            <w:r w:rsidRPr="00304197">
              <w:t>Scheduled Maturity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304197" w:rsidP="00C57053">
            <w:pPr>
              <w:pStyle w:val="CSBody0"/>
            </w:pPr>
            <w:r w:rsidRPr="00F94B27">
              <w:rPr>
                <w:b/>
              </w:rPr>
              <w:t>[</w:t>
            </w:r>
            <w:r w:rsidRPr="00304197">
              <w:t>Planmässiger Fälligkeitstag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2451A0" w:rsidP="00C57053">
            <w:pPr>
              <w:pStyle w:val="CSBody0"/>
            </w:pPr>
            <w:r w:rsidRPr="00F94B27">
              <w:rPr>
                <w:b/>
              </w:rPr>
              <w:t>[</w:t>
            </w:r>
            <w:r w:rsidRPr="002451A0">
              <w:t>Scheduled Redemption Amount</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2451A0" w:rsidP="00C57053">
            <w:pPr>
              <w:pStyle w:val="CSBody0"/>
            </w:pPr>
            <w:r w:rsidRPr="00F94B27">
              <w:rPr>
                <w:b/>
              </w:rPr>
              <w:t>[</w:t>
            </w:r>
            <w:r w:rsidRPr="002451A0">
              <w:t>Planmässiger Rückzahlungsbetrag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2451A0" w:rsidP="00C57053">
            <w:pPr>
              <w:pStyle w:val="CSBody0"/>
            </w:pPr>
            <w:r w:rsidRPr="00F94B27">
              <w:rPr>
                <w:b/>
              </w:rPr>
              <w:t>[</w:t>
            </w:r>
            <w:r w:rsidRPr="002451A0">
              <w:t>Spread Rate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2451A0" w:rsidP="00C57053">
            <w:pPr>
              <w:pStyle w:val="CSBody0"/>
            </w:pPr>
            <w:r w:rsidRPr="00F94B27">
              <w:rPr>
                <w:b/>
              </w:rPr>
              <w:t>[</w:t>
            </w:r>
            <w:r w:rsidRPr="002451A0">
              <w:t>Spreadsatz</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2451A0" w:rsidP="00C57053">
            <w:pPr>
              <w:pStyle w:val="CSBody0"/>
            </w:pPr>
            <w:r w:rsidRPr="00F94B27">
              <w:rPr>
                <w:b/>
              </w:rPr>
              <w:t>[</w:t>
            </w:r>
            <w:r w:rsidRPr="002451A0">
              <w:t>Suspension Period</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2451A0" w:rsidP="00C57053">
            <w:pPr>
              <w:pStyle w:val="CSBody0"/>
            </w:pPr>
            <w:r w:rsidRPr="00F94B27">
              <w:rPr>
                <w:b/>
              </w:rPr>
              <w:t>[</w:t>
            </w:r>
            <w:r w:rsidRPr="002451A0">
              <w:t>Aussetzungszeitraum</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2451A0" w:rsidP="00C57053">
            <w:pPr>
              <w:pStyle w:val="CSBody0"/>
            </w:pPr>
            <w:r w:rsidRPr="00F94B27">
              <w:rPr>
                <w:b/>
              </w:rPr>
              <w:t>[</w:t>
            </w:r>
            <w:r w:rsidRPr="002451A0">
              <w:t>Upper Barrier</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2451A0" w:rsidP="00C57053">
            <w:pPr>
              <w:pStyle w:val="CSBody0"/>
            </w:pPr>
            <w:r w:rsidRPr="00F94B27">
              <w:rPr>
                <w:b/>
              </w:rPr>
              <w:t>[</w:t>
            </w:r>
            <w:r w:rsidRPr="002451A0">
              <w:t>Obere Barriere</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2451A0" w:rsidP="00C57053">
            <w:pPr>
              <w:pStyle w:val="CSBody0"/>
            </w:pPr>
            <w:r w:rsidRPr="00F94B27">
              <w:rPr>
                <w:b/>
              </w:rPr>
              <w:t>[</w:t>
            </w:r>
            <w:r w:rsidRPr="002451A0">
              <w:t>Valuation Date</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2451A0" w:rsidP="00C57053">
            <w:pPr>
              <w:pStyle w:val="CSBody0"/>
            </w:pPr>
            <w:r w:rsidRPr="00F94B27">
              <w:rPr>
                <w:b/>
              </w:rPr>
              <w:t>[</w:t>
            </w:r>
            <w:r w:rsidRPr="002451A0">
              <w:t>Bewertungstag</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2451A0" w:rsidP="00C57053">
            <w:pPr>
              <w:pStyle w:val="CSBody0"/>
            </w:pPr>
            <w:r w:rsidRPr="00F94B27">
              <w:rPr>
                <w:b/>
              </w:rPr>
              <w:t>[</w:t>
            </w:r>
            <w:r w:rsidRPr="002451A0">
              <w:t>Valuation Obligation</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2451A0" w:rsidP="00C57053">
            <w:pPr>
              <w:pStyle w:val="CSBody0"/>
            </w:pPr>
            <w:r w:rsidRPr="00F94B27">
              <w:rPr>
                <w:b/>
              </w:rPr>
              <w:t>[</w:t>
            </w:r>
            <w:r w:rsidRPr="002451A0">
              <w:t>Bewertungsverbindlichkeit</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1120" w:type="pct"/>
            <w:gridSpan w:val="8"/>
          </w:tcPr>
          <w:p w:rsidR="00C57053" w:rsidRPr="002451A0" w:rsidP="00C57053">
            <w:pPr>
              <w:pStyle w:val="CSBody0"/>
            </w:pPr>
            <w:r w:rsidRPr="00F94B27">
              <w:rPr>
                <w:b/>
              </w:rPr>
              <w:t>[</w:t>
            </w:r>
            <w:r w:rsidRPr="002451A0">
              <w:t>Value of the Reference Obligation</w:t>
            </w:r>
            <w:r w:rsidRPr="00F94B27">
              <w:rPr>
                <w:b/>
              </w:rPr>
              <w:t>]</w:t>
            </w:r>
          </w:p>
        </w:tc>
        <w:tc>
          <w:tcPr>
            <w:tcW w:w="1532" w:type="pct"/>
            <w:gridSpan w:val="7"/>
          </w:tcPr>
          <w:p w:rsidR="00C57053" w:rsidRPr="00157C22" w:rsidP="00C57053">
            <w:pPr>
              <w:pStyle w:val="CSBody0"/>
            </w:pPr>
            <w:r w:rsidRPr="00F94B27">
              <w:rPr>
                <w:b/>
              </w:rPr>
              <w:t>[</w:t>
            </w:r>
            <w:r w:rsidRPr="00C57053">
              <w:rPr>
                <w:b/>
                <w:i/>
              </w:rPr>
              <w:t>insert:</w:t>
            </w:r>
            <w:r w:rsidRPr="00157C22">
              <w:t xml:space="preserve"> </w:t>
            </w:r>
            <w:r w:rsidRPr="00F94B27">
              <w:rPr>
                <w:b/>
              </w:rPr>
              <w:t>[</w:t>
            </w:r>
            <w:r w:rsidR="003857E8">
              <w:rPr>
                <w:rFonts w:ascii="Arial" w:hAnsi="Arial" w:cs="Arial"/>
              </w:rPr>
              <w:t>●</w:t>
            </w:r>
            <w:r w:rsidRPr="00F94B27">
              <w:rPr>
                <w:b/>
              </w:rPr>
              <w:t>]]</w:t>
            </w:r>
          </w:p>
        </w:tc>
        <w:tc>
          <w:tcPr>
            <w:tcW w:w="1464" w:type="pct"/>
            <w:gridSpan w:val="8"/>
          </w:tcPr>
          <w:p w:rsidR="00C57053" w:rsidRPr="002451A0" w:rsidP="00C57053">
            <w:pPr>
              <w:pStyle w:val="CSBody0"/>
            </w:pPr>
            <w:r w:rsidRPr="00F94B27">
              <w:rPr>
                <w:b/>
              </w:rPr>
              <w:t>[</w:t>
            </w:r>
            <w:r w:rsidRPr="002451A0">
              <w:t>Wert der Referenzverbindlichkeit</w:t>
            </w:r>
            <w:r w:rsidRPr="00F94B27">
              <w:rPr>
                <w:b/>
              </w:rPr>
              <w:t>]</w:t>
            </w:r>
          </w:p>
        </w:tc>
        <w:tc>
          <w:tcPr>
            <w:tcW w:w="884" w:type="pct"/>
            <w:gridSpan w:val="5"/>
          </w:tcPr>
          <w:p w:rsidR="00C57053" w:rsidRPr="00157C22" w:rsidP="00C57053">
            <w:pPr>
              <w:pStyle w:val="CSBody0"/>
            </w:pPr>
            <w:r w:rsidRPr="00F94B27">
              <w:rPr>
                <w:b/>
              </w:rPr>
              <w:t>[</w:t>
            </w:r>
            <w:r w:rsidRPr="00C57053">
              <w:rPr>
                <w:b/>
                <w:i/>
              </w:rPr>
              <w:t>einfügen:</w:t>
            </w:r>
            <w:r w:rsidRPr="00157C22">
              <w:t xml:space="preserve"> </w:t>
            </w:r>
            <w:r w:rsidRPr="00F94B27">
              <w:rPr>
                <w:b/>
              </w:rPr>
              <w:t>[</w:t>
            </w:r>
            <w:r w:rsidR="003857E8">
              <w:rPr>
                <w:rFonts w:ascii="Arial" w:hAnsi="Arial" w:cs="Arial"/>
              </w:rPr>
              <w:t>●</w:t>
            </w:r>
            <w:r w:rsidRPr="00F94B27">
              <w:rPr>
                <w:b/>
              </w:rPr>
              <w:t>]]</w:t>
            </w:r>
          </w:p>
        </w:tc>
      </w:tr>
      <w:tr w:rsidTr="002F2BFA">
        <w:tblPrEx>
          <w:tblW w:w="5000" w:type="pct"/>
          <w:tblLayout w:type="fixed"/>
          <w:tblLook w:val="04A0"/>
        </w:tblPrEx>
        <w:tc>
          <w:tcPr>
            <w:tcW w:w="5000" w:type="pct"/>
            <w:gridSpan w:val="28"/>
            <w:tcBorders>
              <w:bottom w:val="single" w:sz="4" w:space="0" w:color="auto"/>
            </w:tcBorders>
          </w:tcPr>
          <w:p w:rsidR="000315A4" w:rsidRPr="00B34C1C" w:rsidP="00B629AC">
            <w:pPr>
              <w:pStyle w:val="CSBody0"/>
              <w:rPr>
                <w:b/>
                <w:i/>
                <w:lang w:val="de-DE"/>
              </w:rPr>
            </w:pPr>
            <w:r w:rsidRPr="00F94B27">
              <w:rPr>
                <w:b/>
                <w:i/>
                <w:lang w:val="de-DE"/>
              </w:rPr>
              <w:t>[</w:t>
            </w:r>
            <w:r w:rsidRPr="00B34C1C">
              <w:rPr>
                <w:b/>
                <w:i/>
                <w:lang w:val="de-DE"/>
              </w:rPr>
              <w:t xml:space="preserve">insert further issue specific definitions: </w:t>
            </w:r>
            <w:r w:rsidRPr="00F94B27">
              <w:rPr>
                <w:b/>
                <w:i/>
                <w:lang w:val="de-DE"/>
              </w:rPr>
              <w:t>[</w:t>
            </w:r>
            <w:r w:rsidRPr="000F4148" w:rsidR="003857E8">
              <w:rPr>
                <w:rFonts w:ascii="Arial" w:hAnsi="Arial" w:cs="Arial"/>
                <w:b/>
                <w:i/>
                <w:lang w:val="de-DE"/>
              </w:rPr>
              <w:t>●</w:t>
            </w:r>
            <w:r w:rsidRPr="00F94B27">
              <w:rPr>
                <w:b/>
                <w:i/>
                <w:lang w:val="de-DE"/>
              </w:rPr>
              <w:t>]</w:t>
            </w:r>
            <w:r w:rsidRPr="00B34C1C">
              <w:rPr>
                <w:b/>
                <w:i/>
                <w:lang w:val="de-DE"/>
              </w:rPr>
              <w:t xml:space="preserve">/ weitere emissionsspezifische Definitionen einfügen: </w:t>
            </w:r>
            <w:r w:rsidRPr="00F94B27">
              <w:rPr>
                <w:b/>
                <w:i/>
                <w:lang w:val="de-DE"/>
              </w:rPr>
              <w:t>[</w:t>
            </w:r>
            <w:r w:rsidRPr="000F4148" w:rsidR="003857E8">
              <w:rPr>
                <w:rFonts w:ascii="Arial" w:hAnsi="Arial" w:cs="Arial"/>
                <w:b/>
                <w:i/>
                <w:lang w:val="de-DE"/>
              </w:rPr>
              <w:t>●</w:t>
            </w:r>
            <w:r w:rsidRPr="00F94B27">
              <w:rPr>
                <w:b/>
                <w:i/>
                <w:lang w:val="de-DE"/>
              </w:rPr>
              <w:t>]</w:t>
            </w:r>
            <w:r w:rsidRPr="00B34C1C">
              <w:rPr>
                <w:b/>
                <w:i/>
                <w:lang w:val="de-DE"/>
              </w:rPr>
              <w:t xml:space="preserve"> </w:t>
            </w:r>
            <w:r w:rsidRPr="00F94B27">
              <w:rPr>
                <w:b/>
                <w:i/>
                <w:lang w:val="de-DE"/>
              </w:rPr>
              <w:t>]</w:t>
            </w:r>
          </w:p>
        </w:tc>
      </w:tr>
      <w:tr w:rsidTr="00942F00">
        <w:tblPrEx>
          <w:tblW w:w="5000" w:type="pct"/>
          <w:tblLayout w:type="fixed"/>
          <w:tblLook w:val="04A0"/>
        </w:tblPrEx>
        <w:tc>
          <w:tcPr>
            <w:tcW w:w="2498" w:type="pct"/>
            <w:gridSpan w:val="13"/>
          </w:tcPr>
          <w:p w:rsidR="00C57053" w:rsidRPr="00AB16EC" w:rsidP="00C57053">
            <w:pPr>
              <w:pStyle w:val="CSBody0"/>
              <w:rPr>
                <w:lang w:val="de-DE"/>
              </w:rPr>
            </w:pPr>
          </w:p>
        </w:tc>
        <w:tc>
          <w:tcPr>
            <w:tcW w:w="2502" w:type="pct"/>
            <w:gridSpan w:val="15"/>
          </w:tcPr>
          <w:p w:rsidR="00C57053" w:rsidRPr="00C57053" w:rsidP="00C57053">
            <w:pPr>
              <w:pStyle w:val="CSBody0"/>
              <w:rPr>
                <w:lang w:val="de-DE"/>
              </w:rPr>
            </w:pPr>
          </w:p>
        </w:tc>
      </w:tr>
      <w:tr w:rsidTr="00942F00">
        <w:tblPrEx>
          <w:tblW w:w="5000" w:type="pct"/>
          <w:tblLayout w:type="fixed"/>
          <w:tblLook w:val="04A0"/>
        </w:tblPrEx>
        <w:tc>
          <w:tcPr>
            <w:tcW w:w="2498" w:type="pct"/>
            <w:gridSpan w:val="13"/>
            <w:tcBorders>
              <w:right w:val="single" w:sz="4" w:space="0" w:color="auto"/>
            </w:tcBorders>
          </w:tcPr>
          <w:p w:rsidR="00906EDA" w:rsidRPr="00AB16EC" w:rsidP="00906EDA">
            <w:pPr>
              <w:pStyle w:val="CSbody0bolditalic"/>
              <w:rPr>
                <w:lang w:val="en-GB"/>
              </w:rPr>
            </w:pPr>
            <w:r w:rsidRPr="00F94B27">
              <w:rPr>
                <w:lang w:val="en-GB"/>
              </w:rPr>
              <w:t>[</w:t>
            </w:r>
            <w:r w:rsidRPr="00AB16EC">
              <w:rPr>
                <w:lang w:val="en-GB"/>
              </w:rPr>
              <w:t>in case of Complex Products with different Maximum Interest Rates:</w:t>
            </w:r>
          </w:p>
        </w:tc>
        <w:tc>
          <w:tcPr>
            <w:tcW w:w="2502" w:type="pct"/>
            <w:gridSpan w:val="15"/>
            <w:tcBorders>
              <w:left w:val="single" w:sz="4" w:space="0" w:color="auto"/>
            </w:tcBorders>
          </w:tcPr>
          <w:p w:rsidR="00906EDA" w:rsidRPr="00906EDA" w:rsidP="00906EDA">
            <w:pPr>
              <w:pStyle w:val="CSbody0bolditalic"/>
            </w:pPr>
            <w:r w:rsidRPr="00F94B27">
              <w:t>[</w:t>
            </w:r>
            <w:r w:rsidRPr="00906EDA">
              <w:t>bei Komplexen Produkten mit unterschiedlichen Höchstzinssätzen</w:t>
            </w:r>
          </w:p>
        </w:tc>
      </w:tr>
      <w:tr w:rsidTr="00942F00">
        <w:tblPrEx>
          <w:tblW w:w="5000" w:type="pct"/>
          <w:tblLayout w:type="fixed"/>
          <w:tblLook w:val="04A0"/>
        </w:tblPrEx>
        <w:tc>
          <w:tcPr>
            <w:tcW w:w="2498" w:type="pct"/>
            <w:gridSpan w:val="13"/>
          </w:tcPr>
          <w:p w:rsidR="00C57053" w:rsidRPr="00906EDA" w:rsidP="00C57053">
            <w:pPr>
              <w:pStyle w:val="CSBody0"/>
              <w:rPr>
                <w:lang w:val="de-DE"/>
              </w:rPr>
            </w:pPr>
          </w:p>
        </w:tc>
        <w:tc>
          <w:tcPr>
            <w:tcW w:w="2502" w:type="pct"/>
            <w:gridSpan w:val="15"/>
          </w:tcPr>
          <w:p w:rsidR="00C57053" w:rsidRPr="00906EDA" w:rsidP="00C57053">
            <w:pPr>
              <w:pStyle w:val="CSBody0"/>
              <w:rPr>
                <w:lang w:val="de-DE"/>
              </w:rPr>
            </w:pPr>
          </w:p>
        </w:tc>
      </w:tr>
      <w:tr w:rsidTr="0070669C">
        <w:tblPrEx>
          <w:tblW w:w="5000" w:type="pct"/>
          <w:tblLayout w:type="fixed"/>
          <w:tblLook w:val="04A0"/>
        </w:tblPrEx>
        <w:tc>
          <w:tcPr>
            <w:tcW w:w="299" w:type="pct"/>
            <w:gridSpan w:val="2"/>
            <w:tcBorders>
              <w:right w:val="single" w:sz="4" w:space="0" w:color="auto"/>
            </w:tcBorders>
          </w:tcPr>
          <w:p w:rsidR="00AB16EC" w:rsidRPr="00906EDA" w:rsidP="00AB16EC">
            <w:pPr>
              <w:pStyle w:val="CSBody0"/>
              <w:rPr>
                <w:lang w:val="de-DE"/>
              </w:rPr>
            </w:pPr>
          </w:p>
        </w:tc>
        <w:tc>
          <w:tcPr>
            <w:tcW w:w="1222" w:type="pct"/>
            <w:gridSpan w:val="9"/>
            <w:tcBorders>
              <w:top w:val="single" w:sz="4" w:space="0" w:color="auto"/>
              <w:left w:val="single" w:sz="4" w:space="0" w:color="auto"/>
              <w:bottom w:val="single" w:sz="4" w:space="0" w:color="auto"/>
              <w:right w:val="single" w:sz="4" w:space="0" w:color="auto"/>
            </w:tcBorders>
          </w:tcPr>
          <w:p w:rsidR="00AB16EC" w:rsidRPr="006D1BC5" w:rsidP="00AB16EC">
            <w:pPr>
              <w:pStyle w:val="CSBody0"/>
            </w:pPr>
            <w:r w:rsidRPr="006D1BC5">
              <w:t xml:space="preserve">Interest Payment Date </w:t>
            </w:r>
          </w:p>
        </w:tc>
        <w:tc>
          <w:tcPr>
            <w:tcW w:w="977" w:type="pct"/>
            <w:gridSpan w:val="2"/>
            <w:tcBorders>
              <w:top w:val="single" w:sz="4" w:space="0" w:color="auto"/>
              <w:left w:val="single" w:sz="4" w:space="0" w:color="auto"/>
              <w:bottom w:val="single" w:sz="4" w:space="0" w:color="auto"/>
              <w:right w:val="single" w:sz="4" w:space="0" w:color="auto"/>
            </w:tcBorders>
          </w:tcPr>
          <w:p w:rsidR="00AB16EC" w:rsidRPr="006D1BC5" w:rsidP="00AB16EC">
            <w:pPr>
              <w:pStyle w:val="CSBody0"/>
            </w:pPr>
            <w:r w:rsidRPr="006D1BC5">
              <w:t xml:space="preserve">Maximum Interest Rate </w:t>
            </w:r>
          </w:p>
        </w:tc>
        <w:tc>
          <w:tcPr>
            <w:tcW w:w="869" w:type="pct"/>
            <w:gridSpan w:val="3"/>
            <w:tcBorders>
              <w:top w:val="single" w:sz="4" w:space="0" w:color="auto"/>
              <w:left w:val="single" w:sz="4" w:space="0" w:color="auto"/>
              <w:bottom w:val="single" w:sz="4" w:space="0" w:color="auto"/>
              <w:right w:val="single" w:sz="4" w:space="0" w:color="auto"/>
            </w:tcBorders>
          </w:tcPr>
          <w:p w:rsidR="00AB16EC" w:rsidRPr="006D1BC5" w:rsidP="00AB16EC">
            <w:pPr>
              <w:pStyle w:val="CSBody0"/>
            </w:pPr>
            <w:r w:rsidRPr="006D1BC5">
              <w:t>Zinszahlungstag</w:t>
            </w:r>
          </w:p>
        </w:tc>
        <w:tc>
          <w:tcPr>
            <w:tcW w:w="1385" w:type="pct"/>
            <w:gridSpan w:val="11"/>
            <w:tcBorders>
              <w:top w:val="single" w:sz="4" w:space="0" w:color="auto"/>
              <w:left w:val="single" w:sz="4" w:space="0" w:color="auto"/>
              <w:bottom w:val="single" w:sz="4" w:space="0" w:color="auto"/>
              <w:right w:val="single" w:sz="4" w:space="0" w:color="auto"/>
            </w:tcBorders>
          </w:tcPr>
          <w:p w:rsidR="00AB16EC" w:rsidRPr="006D1BC5" w:rsidP="00AB16EC">
            <w:pPr>
              <w:pStyle w:val="CSBody0"/>
            </w:pPr>
            <w:r w:rsidRPr="006D1BC5">
              <w:t>Höchstzinssatz</w:t>
            </w:r>
          </w:p>
        </w:tc>
        <w:tc>
          <w:tcPr>
            <w:tcW w:w="248" w:type="pct"/>
            <w:tcBorders>
              <w:left w:val="single" w:sz="4" w:space="0" w:color="auto"/>
            </w:tcBorders>
          </w:tcPr>
          <w:p w:rsidR="00AB16EC" w:rsidRPr="00906EDA" w:rsidP="00AB16EC">
            <w:pPr>
              <w:pStyle w:val="CSBody0"/>
              <w:rPr>
                <w:lang w:val="de-DE"/>
              </w:rPr>
            </w:pPr>
          </w:p>
        </w:tc>
      </w:tr>
      <w:tr w:rsidTr="0070669C">
        <w:tblPrEx>
          <w:tblW w:w="5000" w:type="pct"/>
          <w:tblLayout w:type="fixed"/>
          <w:tblLook w:val="04A0"/>
        </w:tblPrEx>
        <w:tc>
          <w:tcPr>
            <w:tcW w:w="299" w:type="pct"/>
            <w:gridSpan w:val="2"/>
            <w:tcBorders>
              <w:right w:val="single" w:sz="4" w:space="0" w:color="auto"/>
            </w:tcBorders>
          </w:tcPr>
          <w:p w:rsidR="00AB16EC" w:rsidRPr="00906EDA" w:rsidP="00AB16EC">
            <w:pPr>
              <w:pStyle w:val="CSBody0"/>
              <w:rPr>
                <w:lang w:val="de-DE"/>
              </w:rPr>
            </w:pPr>
          </w:p>
        </w:tc>
        <w:tc>
          <w:tcPr>
            <w:tcW w:w="1222" w:type="pct"/>
            <w:gridSpan w:val="9"/>
            <w:tcBorders>
              <w:top w:val="single" w:sz="4" w:space="0" w:color="auto"/>
              <w:left w:val="single" w:sz="4" w:space="0" w:color="auto"/>
              <w:bottom w:val="single" w:sz="4" w:space="0" w:color="auto"/>
              <w:right w:val="single" w:sz="4" w:space="0" w:color="auto"/>
            </w:tcBorders>
          </w:tcPr>
          <w:p w:rsidR="00AB16EC" w:rsidRPr="006D1BC5" w:rsidP="00AB16EC">
            <w:pPr>
              <w:pStyle w:val="CSBody0"/>
            </w:pPr>
            <w:r w:rsidRPr="00F94B27">
              <w:rPr>
                <w:b/>
              </w:rPr>
              <w:t>[</w:t>
            </w:r>
            <w:r w:rsidRPr="006D1BC5">
              <w:rPr>
                <w:rFonts w:ascii="Arial" w:hAnsi="Arial" w:cs="Arial"/>
              </w:rPr>
              <w:t>●</w:t>
            </w:r>
            <w:r w:rsidRPr="00F94B27">
              <w:rPr>
                <w:b/>
              </w:rPr>
              <w:t>]</w:t>
            </w:r>
          </w:p>
        </w:tc>
        <w:tc>
          <w:tcPr>
            <w:tcW w:w="977" w:type="pct"/>
            <w:gridSpan w:val="2"/>
            <w:tcBorders>
              <w:top w:val="single" w:sz="4" w:space="0" w:color="auto"/>
              <w:left w:val="single" w:sz="4" w:space="0" w:color="auto"/>
              <w:bottom w:val="single" w:sz="4" w:space="0" w:color="auto"/>
              <w:right w:val="single" w:sz="4" w:space="0" w:color="auto"/>
            </w:tcBorders>
          </w:tcPr>
          <w:p w:rsidR="00AB16EC" w:rsidRPr="006D1BC5" w:rsidP="00AB16EC">
            <w:pPr>
              <w:pStyle w:val="CSBody0"/>
            </w:pPr>
            <w:r w:rsidRPr="00F94B27">
              <w:rPr>
                <w:b/>
              </w:rPr>
              <w:t>[</w:t>
            </w:r>
            <w:r w:rsidRPr="006D1BC5">
              <w:rPr>
                <w:rFonts w:ascii="Arial" w:hAnsi="Arial" w:cs="Arial"/>
              </w:rPr>
              <w:t>●</w:t>
            </w:r>
            <w:r w:rsidRPr="00F94B27">
              <w:rPr>
                <w:b/>
              </w:rPr>
              <w:t>]</w:t>
            </w:r>
            <w:r w:rsidRPr="006D1BC5">
              <w:t>% per annum</w:t>
            </w:r>
          </w:p>
        </w:tc>
        <w:tc>
          <w:tcPr>
            <w:tcW w:w="869" w:type="pct"/>
            <w:gridSpan w:val="3"/>
            <w:tcBorders>
              <w:top w:val="single" w:sz="4" w:space="0" w:color="auto"/>
              <w:left w:val="single" w:sz="4" w:space="0" w:color="auto"/>
              <w:bottom w:val="single" w:sz="4" w:space="0" w:color="auto"/>
              <w:right w:val="single" w:sz="4" w:space="0" w:color="auto"/>
            </w:tcBorders>
          </w:tcPr>
          <w:p w:rsidR="00AB16EC" w:rsidRPr="006D1BC5" w:rsidP="00AB16EC">
            <w:pPr>
              <w:pStyle w:val="CSBody0"/>
            </w:pPr>
            <w:r w:rsidRPr="00F94B27">
              <w:rPr>
                <w:b/>
              </w:rPr>
              <w:t>[</w:t>
            </w:r>
            <w:r w:rsidRPr="006D1BC5">
              <w:rPr>
                <w:rFonts w:ascii="Arial" w:hAnsi="Arial" w:cs="Arial"/>
              </w:rPr>
              <w:t>●</w:t>
            </w:r>
            <w:r w:rsidRPr="00F94B27">
              <w:rPr>
                <w:b/>
              </w:rPr>
              <w:t>]</w:t>
            </w:r>
          </w:p>
        </w:tc>
        <w:tc>
          <w:tcPr>
            <w:tcW w:w="1385" w:type="pct"/>
            <w:gridSpan w:val="11"/>
            <w:tcBorders>
              <w:top w:val="single" w:sz="4" w:space="0" w:color="auto"/>
              <w:left w:val="single" w:sz="4" w:space="0" w:color="auto"/>
              <w:bottom w:val="single" w:sz="4" w:space="0" w:color="auto"/>
              <w:right w:val="single" w:sz="4" w:space="0" w:color="auto"/>
            </w:tcBorders>
          </w:tcPr>
          <w:p w:rsidR="00AB16EC" w:rsidRPr="006D1BC5" w:rsidP="00AB16EC">
            <w:pPr>
              <w:pStyle w:val="CSBody0"/>
            </w:pPr>
            <w:r w:rsidRPr="00F94B27">
              <w:rPr>
                <w:b/>
              </w:rPr>
              <w:t>[</w:t>
            </w:r>
            <w:r w:rsidRPr="006D1BC5">
              <w:rPr>
                <w:rFonts w:ascii="Arial" w:hAnsi="Arial" w:cs="Arial"/>
              </w:rPr>
              <w:t>●</w:t>
            </w:r>
            <w:r w:rsidRPr="00F94B27">
              <w:rPr>
                <w:b/>
              </w:rPr>
              <w:t>]</w:t>
            </w:r>
            <w:r w:rsidRPr="006D1BC5">
              <w:t>% per annum</w:t>
            </w:r>
          </w:p>
        </w:tc>
        <w:tc>
          <w:tcPr>
            <w:tcW w:w="248" w:type="pct"/>
            <w:tcBorders>
              <w:left w:val="single" w:sz="4" w:space="0" w:color="auto"/>
            </w:tcBorders>
          </w:tcPr>
          <w:p w:rsidR="00AB16EC" w:rsidRPr="00906EDA" w:rsidP="00AB16EC">
            <w:pPr>
              <w:pStyle w:val="CSBody0"/>
              <w:rPr>
                <w:lang w:val="de-DE"/>
              </w:rPr>
            </w:pPr>
          </w:p>
        </w:tc>
      </w:tr>
      <w:tr w:rsidTr="0070669C">
        <w:tblPrEx>
          <w:tblW w:w="5000" w:type="pct"/>
          <w:tblLayout w:type="fixed"/>
          <w:tblLook w:val="04A0"/>
        </w:tblPrEx>
        <w:tc>
          <w:tcPr>
            <w:tcW w:w="299" w:type="pct"/>
            <w:gridSpan w:val="2"/>
            <w:tcBorders>
              <w:right w:val="single" w:sz="4" w:space="0" w:color="auto"/>
            </w:tcBorders>
          </w:tcPr>
          <w:p w:rsidR="00AB16EC" w:rsidRPr="00AB16EC" w:rsidP="00AB16EC">
            <w:pPr>
              <w:pStyle w:val="CSBody0"/>
              <w:rPr>
                <w:i/>
                <w:lang w:val="de-DE"/>
              </w:rPr>
            </w:pPr>
          </w:p>
        </w:tc>
        <w:tc>
          <w:tcPr>
            <w:tcW w:w="1222" w:type="pct"/>
            <w:gridSpan w:val="9"/>
            <w:tcBorders>
              <w:top w:val="single" w:sz="4" w:space="0" w:color="auto"/>
              <w:left w:val="single" w:sz="4" w:space="0" w:color="auto"/>
              <w:bottom w:val="single" w:sz="4" w:space="0" w:color="auto"/>
              <w:right w:val="single" w:sz="4" w:space="0" w:color="auto"/>
            </w:tcBorders>
          </w:tcPr>
          <w:p w:rsidR="00AB16EC" w:rsidRPr="00AB16EC" w:rsidP="00AB16EC">
            <w:pPr>
              <w:pStyle w:val="CSBody0"/>
              <w:rPr>
                <w:i/>
              </w:rPr>
            </w:pPr>
            <w:r w:rsidRPr="00AB16EC">
              <w:rPr>
                <w:i/>
              </w:rPr>
              <w:t>(repeat as applicable)</w:t>
            </w:r>
          </w:p>
        </w:tc>
        <w:tc>
          <w:tcPr>
            <w:tcW w:w="977" w:type="pct"/>
            <w:gridSpan w:val="2"/>
            <w:tcBorders>
              <w:top w:val="single" w:sz="4" w:space="0" w:color="auto"/>
              <w:left w:val="single" w:sz="4" w:space="0" w:color="auto"/>
              <w:bottom w:val="single" w:sz="4" w:space="0" w:color="auto"/>
              <w:right w:val="single" w:sz="4" w:space="0" w:color="auto"/>
            </w:tcBorders>
          </w:tcPr>
          <w:p w:rsidR="00AB16EC" w:rsidRPr="00AB16EC" w:rsidP="00AB16EC">
            <w:pPr>
              <w:pStyle w:val="CSBody0"/>
              <w:rPr>
                <w:i/>
              </w:rPr>
            </w:pPr>
            <w:r w:rsidRPr="00AB16EC">
              <w:rPr>
                <w:i/>
              </w:rPr>
              <w:t>(repeat as applicable)</w:t>
            </w:r>
          </w:p>
        </w:tc>
        <w:tc>
          <w:tcPr>
            <w:tcW w:w="869" w:type="pct"/>
            <w:gridSpan w:val="3"/>
            <w:tcBorders>
              <w:top w:val="single" w:sz="4" w:space="0" w:color="auto"/>
              <w:left w:val="single" w:sz="4" w:space="0" w:color="auto"/>
              <w:bottom w:val="single" w:sz="4" w:space="0" w:color="auto"/>
              <w:right w:val="single" w:sz="4" w:space="0" w:color="auto"/>
            </w:tcBorders>
          </w:tcPr>
          <w:p w:rsidR="00AB16EC" w:rsidRPr="00AB16EC" w:rsidP="00AB16EC">
            <w:pPr>
              <w:pStyle w:val="CSBody0"/>
              <w:rPr>
                <w:i/>
              </w:rPr>
            </w:pPr>
            <w:r w:rsidRPr="00AB16EC">
              <w:rPr>
                <w:i/>
              </w:rPr>
              <w:t>(wiederholen, soweit erforderlich)</w:t>
            </w:r>
          </w:p>
        </w:tc>
        <w:tc>
          <w:tcPr>
            <w:tcW w:w="1385" w:type="pct"/>
            <w:gridSpan w:val="11"/>
            <w:tcBorders>
              <w:top w:val="single" w:sz="4" w:space="0" w:color="auto"/>
              <w:left w:val="single" w:sz="4" w:space="0" w:color="auto"/>
              <w:bottom w:val="single" w:sz="4" w:space="0" w:color="auto"/>
              <w:right w:val="single" w:sz="4" w:space="0" w:color="auto"/>
            </w:tcBorders>
          </w:tcPr>
          <w:p w:rsidR="00AB16EC" w:rsidRPr="00AB16EC" w:rsidP="00AB16EC">
            <w:pPr>
              <w:pStyle w:val="CSBody0"/>
              <w:rPr>
                <w:i/>
              </w:rPr>
            </w:pPr>
            <w:r w:rsidRPr="00AB16EC">
              <w:rPr>
                <w:i/>
              </w:rPr>
              <w:t>(wiederholen, soweit erforderlich)</w:t>
            </w:r>
          </w:p>
        </w:tc>
        <w:tc>
          <w:tcPr>
            <w:tcW w:w="248" w:type="pct"/>
            <w:tcBorders>
              <w:left w:val="single" w:sz="4" w:space="0" w:color="auto"/>
            </w:tcBorders>
          </w:tcPr>
          <w:p w:rsidR="00AB16EC" w:rsidRPr="00AB16EC" w:rsidP="00AB16EC">
            <w:pPr>
              <w:pStyle w:val="CSBody0"/>
              <w:rPr>
                <w:i/>
                <w:lang w:val="de-DE"/>
              </w:rPr>
            </w:pPr>
          </w:p>
        </w:tc>
      </w:tr>
      <w:tr w:rsidTr="0070669C">
        <w:tblPrEx>
          <w:tblW w:w="5000" w:type="pct"/>
          <w:tblLayout w:type="fixed"/>
          <w:tblLook w:val="04A0"/>
        </w:tblPrEx>
        <w:tc>
          <w:tcPr>
            <w:tcW w:w="299" w:type="pct"/>
            <w:gridSpan w:val="2"/>
            <w:tcBorders>
              <w:right w:val="single" w:sz="4" w:space="0" w:color="auto"/>
            </w:tcBorders>
          </w:tcPr>
          <w:p w:rsidR="00800429" w:rsidRPr="00AB16EC" w:rsidP="00AB16EC">
            <w:pPr>
              <w:pStyle w:val="CSBody0"/>
              <w:rPr>
                <w:i/>
                <w:lang w:val="de-DE"/>
              </w:rPr>
            </w:pPr>
          </w:p>
        </w:tc>
        <w:tc>
          <w:tcPr>
            <w:tcW w:w="1222" w:type="pct"/>
            <w:gridSpan w:val="9"/>
            <w:tcBorders>
              <w:top w:val="single" w:sz="4" w:space="0" w:color="auto"/>
              <w:left w:val="single" w:sz="4" w:space="0" w:color="auto"/>
              <w:bottom w:val="single" w:sz="4" w:space="0" w:color="auto"/>
              <w:right w:val="single" w:sz="4" w:space="0" w:color="auto"/>
            </w:tcBorders>
          </w:tcPr>
          <w:p w:rsidR="00800429" w:rsidRPr="006D1BC5" w:rsidP="005E49F4">
            <w:pPr>
              <w:pStyle w:val="CSBody0"/>
            </w:pPr>
            <w:r w:rsidRPr="00F94B27">
              <w:rPr>
                <w:b/>
              </w:rPr>
              <w:t>[</w:t>
            </w:r>
            <w:r w:rsidRPr="006D1BC5">
              <w:t>Final Redemption Date</w:t>
            </w:r>
          </w:p>
        </w:tc>
        <w:tc>
          <w:tcPr>
            <w:tcW w:w="977" w:type="pct"/>
            <w:gridSpan w:val="2"/>
            <w:tcBorders>
              <w:top w:val="single" w:sz="4" w:space="0" w:color="auto"/>
              <w:left w:val="single" w:sz="4" w:space="0" w:color="auto"/>
              <w:bottom w:val="single" w:sz="4" w:space="0" w:color="auto"/>
              <w:right w:val="single" w:sz="4" w:space="0" w:color="auto"/>
            </w:tcBorders>
          </w:tcPr>
          <w:p w:rsidR="00800429" w:rsidRPr="006D1BC5" w:rsidP="005E49F4">
            <w:pPr>
              <w:pStyle w:val="CSBody0"/>
            </w:pPr>
            <w:r w:rsidRPr="00F94B27">
              <w:rPr>
                <w:b/>
              </w:rPr>
              <w:t>[</w:t>
            </w:r>
            <w:r w:rsidRPr="006D1BC5">
              <w:t>Scheduled Maturity Date</w:t>
            </w:r>
          </w:p>
        </w:tc>
        <w:tc>
          <w:tcPr>
            <w:tcW w:w="869" w:type="pct"/>
            <w:gridSpan w:val="3"/>
            <w:tcBorders>
              <w:top w:val="single" w:sz="4" w:space="0" w:color="auto"/>
              <w:left w:val="single" w:sz="4" w:space="0" w:color="auto"/>
              <w:bottom w:val="single" w:sz="4" w:space="0" w:color="auto"/>
              <w:right w:val="single" w:sz="4" w:space="0" w:color="auto"/>
            </w:tcBorders>
          </w:tcPr>
          <w:p w:rsidR="00800429" w:rsidRPr="006D1BC5" w:rsidP="005E49F4">
            <w:pPr>
              <w:pStyle w:val="CSBody0"/>
            </w:pPr>
            <w:r w:rsidRPr="006D1BC5">
              <w:t>Finaler Rückzahlungstag</w:t>
            </w:r>
            <w:r w:rsidRPr="00F94B27" w:rsidR="00F94B27">
              <w:rPr>
                <w:b/>
              </w:rPr>
              <w:t>]</w:t>
            </w:r>
          </w:p>
        </w:tc>
        <w:tc>
          <w:tcPr>
            <w:tcW w:w="1385" w:type="pct"/>
            <w:gridSpan w:val="11"/>
            <w:tcBorders>
              <w:top w:val="single" w:sz="4" w:space="0" w:color="auto"/>
              <w:left w:val="single" w:sz="4" w:space="0" w:color="auto"/>
              <w:bottom w:val="single" w:sz="4" w:space="0" w:color="auto"/>
              <w:right w:val="single" w:sz="4" w:space="0" w:color="auto"/>
            </w:tcBorders>
          </w:tcPr>
          <w:p w:rsidR="00800429" w:rsidRPr="006D1BC5" w:rsidP="005E49F4">
            <w:pPr>
              <w:pStyle w:val="CSBody0"/>
            </w:pPr>
            <w:r w:rsidRPr="006D1BC5">
              <w:t>Planmässiger Fälligkeitstag</w:t>
            </w:r>
            <w:r w:rsidRPr="00F94B27" w:rsidR="00F94B27">
              <w:rPr>
                <w:b/>
              </w:rPr>
              <w:t>]</w:t>
            </w:r>
          </w:p>
        </w:tc>
        <w:tc>
          <w:tcPr>
            <w:tcW w:w="248" w:type="pct"/>
            <w:tcBorders>
              <w:left w:val="single" w:sz="4" w:space="0" w:color="auto"/>
            </w:tcBorders>
          </w:tcPr>
          <w:p w:rsidR="00800429" w:rsidRPr="00AB16EC" w:rsidP="00AB16EC">
            <w:pPr>
              <w:pStyle w:val="CSBody0"/>
              <w:rPr>
                <w:i/>
                <w:lang w:val="de-DE"/>
              </w:rPr>
            </w:pPr>
          </w:p>
        </w:tc>
      </w:tr>
      <w:tr w:rsidTr="0070669C">
        <w:tblPrEx>
          <w:tblW w:w="5000" w:type="pct"/>
          <w:tblLayout w:type="fixed"/>
          <w:tblLook w:val="04A0"/>
        </w:tblPrEx>
        <w:tc>
          <w:tcPr>
            <w:tcW w:w="299" w:type="pct"/>
            <w:gridSpan w:val="2"/>
            <w:tcBorders>
              <w:right w:val="single" w:sz="4" w:space="0" w:color="auto"/>
            </w:tcBorders>
          </w:tcPr>
          <w:p w:rsidR="00800429" w:rsidRPr="00AB16EC" w:rsidP="00AB16EC">
            <w:pPr>
              <w:pStyle w:val="CSBody0"/>
              <w:rPr>
                <w:i/>
                <w:lang w:val="de-DE"/>
              </w:rPr>
            </w:pPr>
          </w:p>
        </w:tc>
        <w:tc>
          <w:tcPr>
            <w:tcW w:w="1222" w:type="pct"/>
            <w:gridSpan w:val="9"/>
            <w:tcBorders>
              <w:top w:val="single" w:sz="4" w:space="0" w:color="auto"/>
              <w:left w:val="single" w:sz="4" w:space="0" w:color="auto"/>
              <w:bottom w:val="single" w:sz="4" w:space="0" w:color="auto"/>
              <w:right w:val="single" w:sz="4" w:space="0" w:color="auto"/>
            </w:tcBorders>
          </w:tcPr>
          <w:p w:rsidR="00800429" w:rsidRPr="006D1BC5" w:rsidP="005E49F4">
            <w:pPr>
              <w:pStyle w:val="CSBody0"/>
            </w:pPr>
            <w:r w:rsidRPr="00F94B27">
              <w:rPr>
                <w:b/>
              </w:rPr>
              <w:t>[</w:t>
            </w:r>
            <w:r w:rsidRPr="006D1BC5">
              <w:rPr>
                <w:rFonts w:ascii="Arial" w:hAnsi="Arial" w:cs="Arial"/>
              </w:rPr>
              <w:t>●</w:t>
            </w:r>
            <w:r w:rsidRPr="00F94B27">
              <w:rPr>
                <w:b/>
              </w:rPr>
              <w:t>]</w:t>
            </w:r>
            <w:r w:rsidRPr="006D1BC5">
              <w:t>% per annum</w:t>
            </w:r>
            <w:r w:rsidRPr="00F94B27">
              <w:rPr>
                <w:b/>
              </w:rPr>
              <w:t>]]</w:t>
            </w:r>
          </w:p>
        </w:tc>
        <w:tc>
          <w:tcPr>
            <w:tcW w:w="977" w:type="pct"/>
            <w:gridSpan w:val="2"/>
            <w:tcBorders>
              <w:top w:val="single" w:sz="4" w:space="0" w:color="auto"/>
              <w:left w:val="single" w:sz="4" w:space="0" w:color="auto"/>
              <w:bottom w:val="single" w:sz="4" w:space="0" w:color="auto"/>
              <w:right w:val="single" w:sz="4" w:space="0" w:color="auto"/>
            </w:tcBorders>
          </w:tcPr>
          <w:p w:rsidR="00800429" w:rsidRPr="006D1BC5" w:rsidP="005E49F4">
            <w:pPr>
              <w:pStyle w:val="CSBody0"/>
            </w:pPr>
            <w:r w:rsidRPr="00F94B27">
              <w:rPr>
                <w:b/>
              </w:rPr>
              <w:t>[</w:t>
            </w:r>
            <w:r w:rsidRPr="006D1BC5">
              <w:rPr>
                <w:rFonts w:ascii="Arial" w:hAnsi="Arial" w:cs="Arial"/>
              </w:rPr>
              <w:t>●</w:t>
            </w:r>
            <w:r w:rsidRPr="00F94B27">
              <w:rPr>
                <w:b/>
              </w:rPr>
              <w:t>]</w:t>
            </w:r>
            <w:r w:rsidRPr="006D1BC5">
              <w:t>% per annum</w:t>
            </w:r>
            <w:r w:rsidRPr="00F94B27">
              <w:rPr>
                <w:b/>
              </w:rPr>
              <w:t>]]</w:t>
            </w:r>
          </w:p>
        </w:tc>
        <w:tc>
          <w:tcPr>
            <w:tcW w:w="869" w:type="pct"/>
            <w:gridSpan w:val="3"/>
            <w:tcBorders>
              <w:top w:val="single" w:sz="4" w:space="0" w:color="auto"/>
              <w:left w:val="single" w:sz="4" w:space="0" w:color="auto"/>
              <w:bottom w:val="single" w:sz="4" w:space="0" w:color="auto"/>
              <w:right w:val="single" w:sz="4" w:space="0" w:color="auto"/>
            </w:tcBorders>
          </w:tcPr>
          <w:p w:rsidR="00800429" w:rsidRPr="006D1BC5" w:rsidP="005E49F4">
            <w:pPr>
              <w:pStyle w:val="CSBody0"/>
            </w:pPr>
            <w:r w:rsidRPr="00F94B27">
              <w:rPr>
                <w:b/>
              </w:rPr>
              <w:t>[</w:t>
            </w:r>
            <w:r w:rsidRPr="006D1BC5">
              <w:rPr>
                <w:rFonts w:ascii="Arial" w:hAnsi="Arial" w:cs="Arial"/>
              </w:rPr>
              <w:t>●</w:t>
            </w:r>
            <w:r w:rsidRPr="00F94B27">
              <w:rPr>
                <w:b/>
              </w:rPr>
              <w:t>]</w:t>
            </w:r>
            <w:r w:rsidRPr="006D1BC5">
              <w:t>% per annum</w:t>
            </w:r>
            <w:r w:rsidRPr="00F94B27">
              <w:rPr>
                <w:b/>
              </w:rPr>
              <w:t>]]</w:t>
            </w:r>
          </w:p>
        </w:tc>
        <w:tc>
          <w:tcPr>
            <w:tcW w:w="1385" w:type="pct"/>
            <w:gridSpan w:val="11"/>
            <w:tcBorders>
              <w:top w:val="single" w:sz="4" w:space="0" w:color="auto"/>
              <w:left w:val="single" w:sz="4" w:space="0" w:color="auto"/>
              <w:bottom w:val="single" w:sz="4" w:space="0" w:color="auto"/>
              <w:right w:val="single" w:sz="4" w:space="0" w:color="auto"/>
            </w:tcBorders>
          </w:tcPr>
          <w:p w:rsidR="00800429" w:rsidP="005E49F4">
            <w:pPr>
              <w:pStyle w:val="CSBody0"/>
            </w:pPr>
            <w:r w:rsidRPr="00F94B27">
              <w:rPr>
                <w:b/>
              </w:rPr>
              <w:t>[</w:t>
            </w:r>
            <w:r w:rsidRPr="006D1BC5">
              <w:rPr>
                <w:rFonts w:ascii="Arial" w:hAnsi="Arial" w:cs="Arial"/>
              </w:rPr>
              <w:t>●</w:t>
            </w:r>
            <w:r w:rsidRPr="00F94B27">
              <w:rPr>
                <w:b/>
              </w:rPr>
              <w:t>]</w:t>
            </w:r>
            <w:r w:rsidRPr="006D1BC5">
              <w:t>% per annum</w:t>
            </w:r>
            <w:r w:rsidRPr="00F94B27">
              <w:rPr>
                <w:b/>
              </w:rPr>
              <w:t>]]</w:t>
            </w:r>
          </w:p>
        </w:tc>
        <w:tc>
          <w:tcPr>
            <w:tcW w:w="248" w:type="pct"/>
            <w:tcBorders>
              <w:left w:val="single" w:sz="4" w:space="0" w:color="auto"/>
            </w:tcBorders>
          </w:tcPr>
          <w:p w:rsidR="00800429" w:rsidRPr="00AB16EC" w:rsidP="00AB16EC">
            <w:pPr>
              <w:pStyle w:val="CSBody0"/>
              <w:rPr>
                <w:i/>
                <w:lang w:val="de-DE"/>
              </w:rPr>
            </w:pPr>
          </w:p>
        </w:tc>
      </w:tr>
      <w:tr w:rsidTr="00942F00">
        <w:tblPrEx>
          <w:tblW w:w="5000" w:type="pct"/>
          <w:tblLayout w:type="fixed"/>
          <w:tblLook w:val="04A0"/>
        </w:tblPrEx>
        <w:tc>
          <w:tcPr>
            <w:tcW w:w="2498" w:type="pct"/>
            <w:gridSpan w:val="13"/>
          </w:tcPr>
          <w:p w:rsidR="00906EDA" w:rsidRPr="00906EDA" w:rsidP="00C57053">
            <w:pPr>
              <w:pStyle w:val="CSBody0"/>
              <w:rPr>
                <w:lang w:val="de-DE"/>
              </w:rPr>
            </w:pPr>
          </w:p>
        </w:tc>
        <w:tc>
          <w:tcPr>
            <w:tcW w:w="2502" w:type="pct"/>
            <w:gridSpan w:val="15"/>
          </w:tcPr>
          <w:p w:rsidR="00906EDA" w:rsidRPr="00906EDA" w:rsidP="00C57053">
            <w:pPr>
              <w:pStyle w:val="CSBody0"/>
              <w:rPr>
                <w:lang w:val="de-DE"/>
              </w:rPr>
            </w:pPr>
          </w:p>
        </w:tc>
      </w:tr>
      <w:tr w:rsidTr="00942F00">
        <w:tblPrEx>
          <w:tblW w:w="5000" w:type="pct"/>
          <w:tblLayout w:type="fixed"/>
          <w:tblLook w:val="04A0"/>
        </w:tblPrEx>
        <w:tc>
          <w:tcPr>
            <w:tcW w:w="2498" w:type="pct"/>
            <w:gridSpan w:val="13"/>
            <w:tcBorders>
              <w:right w:val="single" w:sz="4" w:space="0" w:color="auto"/>
            </w:tcBorders>
          </w:tcPr>
          <w:p w:rsidR="00AB16EC" w:rsidRPr="00AB16EC" w:rsidP="00AB16EC">
            <w:pPr>
              <w:pStyle w:val="CSbody0bolditalic"/>
              <w:rPr>
                <w:lang w:val="en-GB"/>
              </w:rPr>
            </w:pPr>
            <w:r w:rsidRPr="00F94B27">
              <w:rPr>
                <w:lang w:val="en-GB"/>
              </w:rPr>
              <w:t>[</w:t>
            </w:r>
            <w:r w:rsidRPr="00AB16EC">
              <w:rPr>
                <w:lang w:val="en-GB"/>
              </w:rPr>
              <w:t>in case of Complex Products with different Minimum Interest Rates:</w:t>
            </w:r>
          </w:p>
        </w:tc>
        <w:tc>
          <w:tcPr>
            <w:tcW w:w="2502" w:type="pct"/>
            <w:gridSpan w:val="15"/>
            <w:tcBorders>
              <w:left w:val="single" w:sz="4" w:space="0" w:color="auto"/>
            </w:tcBorders>
          </w:tcPr>
          <w:p w:rsidR="00AB16EC" w:rsidRPr="00AB16EC" w:rsidP="00AB16EC">
            <w:pPr>
              <w:pStyle w:val="CSbody0bolditalic"/>
            </w:pPr>
            <w:r w:rsidRPr="00F94B27">
              <w:t>[</w:t>
            </w:r>
            <w:r w:rsidRPr="00AB16EC">
              <w:t>bei Komplexen Produkten mit unterschiedlichen Mindestzinssätzen:</w:t>
            </w:r>
          </w:p>
        </w:tc>
      </w:tr>
      <w:tr w:rsidTr="00942F00">
        <w:tblPrEx>
          <w:tblW w:w="5000" w:type="pct"/>
          <w:tblLayout w:type="fixed"/>
          <w:tblLook w:val="04A0"/>
        </w:tblPrEx>
        <w:tc>
          <w:tcPr>
            <w:tcW w:w="2498" w:type="pct"/>
            <w:gridSpan w:val="13"/>
          </w:tcPr>
          <w:p w:rsidR="00906EDA" w:rsidRPr="00906EDA" w:rsidP="00C57053">
            <w:pPr>
              <w:pStyle w:val="CSBody0"/>
              <w:rPr>
                <w:lang w:val="de-DE"/>
              </w:rPr>
            </w:pPr>
          </w:p>
        </w:tc>
        <w:tc>
          <w:tcPr>
            <w:tcW w:w="2502" w:type="pct"/>
            <w:gridSpan w:val="15"/>
          </w:tcPr>
          <w:p w:rsidR="00906EDA" w:rsidRPr="00906EDA" w:rsidP="00C57053">
            <w:pPr>
              <w:pStyle w:val="CSBody0"/>
              <w:rPr>
                <w:lang w:val="de-DE"/>
              </w:rPr>
            </w:pPr>
          </w:p>
        </w:tc>
      </w:tr>
      <w:tr w:rsidTr="0070669C">
        <w:tblPrEx>
          <w:tblW w:w="5000" w:type="pct"/>
          <w:tblLayout w:type="fixed"/>
          <w:tblLook w:val="04A0"/>
        </w:tblPrEx>
        <w:tc>
          <w:tcPr>
            <w:tcW w:w="299" w:type="pct"/>
            <w:gridSpan w:val="2"/>
            <w:tcBorders>
              <w:right w:val="single" w:sz="4" w:space="0" w:color="auto"/>
            </w:tcBorders>
          </w:tcPr>
          <w:p w:rsidR="00AB16EC" w:rsidRPr="00906EDA" w:rsidP="00AB16EC">
            <w:pPr>
              <w:pStyle w:val="CSBody0"/>
              <w:rPr>
                <w:lang w:val="de-DE"/>
              </w:rPr>
            </w:pPr>
          </w:p>
        </w:tc>
        <w:tc>
          <w:tcPr>
            <w:tcW w:w="1263" w:type="pct"/>
            <w:gridSpan w:val="10"/>
            <w:tcBorders>
              <w:top w:val="single" w:sz="4" w:space="0" w:color="auto"/>
              <w:left w:val="single" w:sz="4" w:space="0" w:color="auto"/>
              <w:bottom w:val="single" w:sz="4" w:space="0" w:color="auto"/>
              <w:right w:val="single" w:sz="4" w:space="0" w:color="auto"/>
            </w:tcBorders>
          </w:tcPr>
          <w:p w:rsidR="00AB16EC" w:rsidRPr="00594F7A" w:rsidP="00AB16EC">
            <w:pPr>
              <w:pStyle w:val="CSBody0"/>
            </w:pPr>
            <w:r w:rsidRPr="00594F7A">
              <w:t>Interest Payment Date</w:t>
            </w:r>
          </w:p>
        </w:tc>
        <w:tc>
          <w:tcPr>
            <w:tcW w:w="936" w:type="pct"/>
            <w:tcBorders>
              <w:top w:val="single" w:sz="4" w:space="0" w:color="auto"/>
              <w:left w:val="single" w:sz="4" w:space="0" w:color="auto"/>
              <w:bottom w:val="single" w:sz="4" w:space="0" w:color="auto"/>
              <w:right w:val="single" w:sz="4" w:space="0" w:color="auto"/>
            </w:tcBorders>
          </w:tcPr>
          <w:p w:rsidR="00AB16EC" w:rsidRPr="00594F7A" w:rsidP="00AB16EC">
            <w:pPr>
              <w:pStyle w:val="CSBody0"/>
            </w:pPr>
            <w:r w:rsidRPr="00594F7A">
              <w:t>Minimum Interest Rate</w:t>
            </w:r>
          </w:p>
        </w:tc>
        <w:tc>
          <w:tcPr>
            <w:tcW w:w="877" w:type="pct"/>
            <w:gridSpan w:val="5"/>
            <w:tcBorders>
              <w:top w:val="single" w:sz="4" w:space="0" w:color="auto"/>
              <w:left w:val="single" w:sz="4" w:space="0" w:color="auto"/>
              <w:bottom w:val="single" w:sz="4" w:space="0" w:color="auto"/>
              <w:right w:val="single" w:sz="4" w:space="0" w:color="auto"/>
            </w:tcBorders>
          </w:tcPr>
          <w:p w:rsidR="00AB16EC" w:rsidRPr="00594F7A" w:rsidP="00AB16EC">
            <w:pPr>
              <w:pStyle w:val="CSBody0"/>
            </w:pPr>
            <w:r w:rsidRPr="00594F7A">
              <w:t>Zinszahlungstag</w:t>
            </w:r>
          </w:p>
        </w:tc>
        <w:tc>
          <w:tcPr>
            <w:tcW w:w="1377" w:type="pct"/>
            <w:gridSpan w:val="9"/>
            <w:tcBorders>
              <w:top w:val="single" w:sz="4" w:space="0" w:color="auto"/>
              <w:left w:val="single" w:sz="4" w:space="0" w:color="auto"/>
              <w:bottom w:val="single" w:sz="4" w:space="0" w:color="auto"/>
              <w:right w:val="single" w:sz="4" w:space="0" w:color="auto"/>
            </w:tcBorders>
          </w:tcPr>
          <w:p w:rsidR="00AB16EC" w:rsidRPr="00594F7A" w:rsidP="00AB16EC">
            <w:pPr>
              <w:pStyle w:val="CSBody0"/>
            </w:pPr>
            <w:r w:rsidRPr="00594F7A">
              <w:t>Mindestzinssatz</w:t>
            </w:r>
          </w:p>
        </w:tc>
        <w:tc>
          <w:tcPr>
            <w:tcW w:w="248" w:type="pct"/>
            <w:tcBorders>
              <w:left w:val="single" w:sz="4" w:space="0" w:color="auto"/>
            </w:tcBorders>
          </w:tcPr>
          <w:p w:rsidR="00AB16EC" w:rsidRPr="00594F7A" w:rsidP="00AB16EC">
            <w:pPr>
              <w:pStyle w:val="CSBody0"/>
            </w:pPr>
          </w:p>
        </w:tc>
      </w:tr>
      <w:tr w:rsidTr="0070669C">
        <w:tblPrEx>
          <w:tblW w:w="5000" w:type="pct"/>
          <w:tblLayout w:type="fixed"/>
          <w:tblLook w:val="04A0"/>
        </w:tblPrEx>
        <w:tc>
          <w:tcPr>
            <w:tcW w:w="299" w:type="pct"/>
            <w:gridSpan w:val="2"/>
            <w:tcBorders>
              <w:right w:val="single" w:sz="4" w:space="0" w:color="auto"/>
            </w:tcBorders>
          </w:tcPr>
          <w:p w:rsidR="00800429" w:rsidRPr="00906EDA" w:rsidP="00AB16EC">
            <w:pPr>
              <w:pStyle w:val="CSBody0"/>
              <w:rPr>
                <w:lang w:val="de-DE"/>
              </w:rPr>
            </w:pPr>
          </w:p>
        </w:tc>
        <w:tc>
          <w:tcPr>
            <w:tcW w:w="1263" w:type="pct"/>
            <w:gridSpan w:val="10"/>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rPr>
                <w:rFonts w:ascii="Arial" w:hAnsi="Arial" w:cs="Arial"/>
              </w:rPr>
              <w:t>●</w:t>
            </w:r>
            <w:r w:rsidRPr="00F94B27">
              <w:rPr>
                <w:b/>
              </w:rPr>
              <w:t>]</w:t>
            </w:r>
          </w:p>
        </w:tc>
        <w:tc>
          <w:tcPr>
            <w:tcW w:w="936" w:type="pct"/>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rPr>
                <w:rFonts w:ascii="Arial" w:hAnsi="Arial" w:cs="Arial"/>
              </w:rPr>
              <w:t>●</w:t>
            </w:r>
            <w:r w:rsidRPr="00F94B27">
              <w:rPr>
                <w:b/>
              </w:rPr>
              <w:t>]</w:t>
            </w:r>
            <w:r w:rsidRPr="00594F7A">
              <w:t>% per annum</w:t>
            </w:r>
          </w:p>
        </w:tc>
        <w:tc>
          <w:tcPr>
            <w:tcW w:w="877" w:type="pct"/>
            <w:gridSpan w:val="5"/>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rPr>
                <w:rFonts w:ascii="Arial" w:hAnsi="Arial" w:cs="Arial"/>
              </w:rPr>
              <w:t>●</w:t>
            </w:r>
            <w:r w:rsidRPr="00F94B27">
              <w:rPr>
                <w:b/>
              </w:rPr>
              <w:t>]</w:t>
            </w:r>
          </w:p>
        </w:tc>
        <w:tc>
          <w:tcPr>
            <w:tcW w:w="1377" w:type="pct"/>
            <w:gridSpan w:val="9"/>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rPr>
                <w:rFonts w:ascii="Arial" w:hAnsi="Arial" w:cs="Arial"/>
              </w:rPr>
              <w:t>●</w:t>
            </w:r>
            <w:r w:rsidRPr="00F94B27">
              <w:rPr>
                <w:b/>
              </w:rPr>
              <w:t>]</w:t>
            </w:r>
            <w:r w:rsidRPr="00594F7A">
              <w:t>% per annum</w:t>
            </w:r>
          </w:p>
        </w:tc>
        <w:tc>
          <w:tcPr>
            <w:tcW w:w="248" w:type="pct"/>
            <w:tcBorders>
              <w:left w:val="single" w:sz="4" w:space="0" w:color="auto"/>
            </w:tcBorders>
          </w:tcPr>
          <w:p w:rsidR="00800429" w:rsidRPr="00594F7A" w:rsidP="00AB16EC">
            <w:pPr>
              <w:pStyle w:val="CSBody0"/>
            </w:pPr>
          </w:p>
        </w:tc>
      </w:tr>
      <w:tr w:rsidTr="0070669C">
        <w:tblPrEx>
          <w:tblW w:w="5000" w:type="pct"/>
          <w:tblLayout w:type="fixed"/>
          <w:tblLook w:val="04A0"/>
        </w:tblPrEx>
        <w:tc>
          <w:tcPr>
            <w:tcW w:w="299" w:type="pct"/>
            <w:gridSpan w:val="2"/>
            <w:tcBorders>
              <w:right w:val="single" w:sz="4" w:space="0" w:color="auto"/>
            </w:tcBorders>
          </w:tcPr>
          <w:p w:rsidR="00800429" w:rsidRPr="00906EDA" w:rsidP="00AB16EC">
            <w:pPr>
              <w:pStyle w:val="CSBody0"/>
              <w:rPr>
                <w:lang w:val="de-DE"/>
              </w:rPr>
            </w:pPr>
          </w:p>
        </w:tc>
        <w:tc>
          <w:tcPr>
            <w:tcW w:w="1263" w:type="pct"/>
            <w:gridSpan w:val="10"/>
            <w:tcBorders>
              <w:top w:val="single" w:sz="4" w:space="0" w:color="auto"/>
              <w:left w:val="single" w:sz="4" w:space="0" w:color="auto"/>
              <w:bottom w:val="single" w:sz="4" w:space="0" w:color="auto"/>
              <w:right w:val="single" w:sz="4" w:space="0" w:color="auto"/>
            </w:tcBorders>
          </w:tcPr>
          <w:p w:rsidR="00800429" w:rsidRPr="00594F7A" w:rsidP="005E49F4">
            <w:pPr>
              <w:pStyle w:val="CSBody0italic"/>
            </w:pPr>
            <w:r w:rsidRPr="00594F7A">
              <w:t>(repeat as applicable)</w:t>
            </w:r>
          </w:p>
        </w:tc>
        <w:tc>
          <w:tcPr>
            <w:tcW w:w="936" w:type="pct"/>
            <w:tcBorders>
              <w:top w:val="single" w:sz="4" w:space="0" w:color="auto"/>
              <w:left w:val="single" w:sz="4" w:space="0" w:color="auto"/>
              <w:bottom w:val="single" w:sz="4" w:space="0" w:color="auto"/>
              <w:right w:val="single" w:sz="4" w:space="0" w:color="auto"/>
            </w:tcBorders>
          </w:tcPr>
          <w:p w:rsidR="00800429" w:rsidRPr="00594F7A" w:rsidP="005E49F4">
            <w:pPr>
              <w:pStyle w:val="CSBody0italic"/>
            </w:pPr>
            <w:r w:rsidRPr="00594F7A">
              <w:t>(repeat as applicable)</w:t>
            </w:r>
          </w:p>
        </w:tc>
        <w:tc>
          <w:tcPr>
            <w:tcW w:w="877" w:type="pct"/>
            <w:gridSpan w:val="5"/>
            <w:tcBorders>
              <w:top w:val="single" w:sz="4" w:space="0" w:color="auto"/>
              <w:left w:val="single" w:sz="4" w:space="0" w:color="auto"/>
              <w:bottom w:val="single" w:sz="4" w:space="0" w:color="auto"/>
              <w:right w:val="single" w:sz="4" w:space="0" w:color="auto"/>
            </w:tcBorders>
          </w:tcPr>
          <w:p w:rsidR="00800429" w:rsidRPr="00594F7A" w:rsidP="005E49F4">
            <w:pPr>
              <w:pStyle w:val="CSBody0italic"/>
            </w:pPr>
            <w:r w:rsidRPr="00594F7A">
              <w:t>(wiederholen, soweit erforderlich)</w:t>
            </w:r>
          </w:p>
        </w:tc>
        <w:tc>
          <w:tcPr>
            <w:tcW w:w="1377" w:type="pct"/>
            <w:gridSpan w:val="9"/>
            <w:tcBorders>
              <w:top w:val="single" w:sz="4" w:space="0" w:color="auto"/>
              <w:left w:val="single" w:sz="4" w:space="0" w:color="auto"/>
              <w:bottom w:val="single" w:sz="4" w:space="0" w:color="auto"/>
              <w:right w:val="single" w:sz="4" w:space="0" w:color="auto"/>
            </w:tcBorders>
          </w:tcPr>
          <w:p w:rsidR="00800429" w:rsidRPr="00594F7A" w:rsidP="005E49F4">
            <w:pPr>
              <w:pStyle w:val="CSBody0italic"/>
            </w:pPr>
            <w:r w:rsidRPr="00594F7A">
              <w:t>(wiederholen, soweit erforderlich)</w:t>
            </w:r>
          </w:p>
        </w:tc>
        <w:tc>
          <w:tcPr>
            <w:tcW w:w="248" w:type="pct"/>
            <w:tcBorders>
              <w:left w:val="single" w:sz="4" w:space="0" w:color="auto"/>
            </w:tcBorders>
          </w:tcPr>
          <w:p w:rsidR="00800429" w:rsidRPr="00594F7A" w:rsidP="00AB16EC">
            <w:pPr>
              <w:pStyle w:val="CSBody0"/>
            </w:pPr>
          </w:p>
        </w:tc>
      </w:tr>
      <w:tr w:rsidTr="0070669C">
        <w:tblPrEx>
          <w:tblW w:w="5000" w:type="pct"/>
          <w:tblLayout w:type="fixed"/>
          <w:tblLook w:val="04A0"/>
        </w:tblPrEx>
        <w:tc>
          <w:tcPr>
            <w:tcW w:w="299" w:type="pct"/>
            <w:gridSpan w:val="2"/>
            <w:tcBorders>
              <w:right w:val="single" w:sz="4" w:space="0" w:color="auto"/>
            </w:tcBorders>
          </w:tcPr>
          <w:p w:rsidR="00800429" w:rsidRPr="00906EDA" w:rsidP="00AB16EC">
            <w:pPr>
              <w:pStyle w:val="CSBody0"/>
              <w:rPr>
                <w:lang w:val="de-DE"/>
              </w:rPr>
            </w:pPr>
          </w:p>
        </w:tc>
        <w:tc>
          <w:tcPr>
            <w:tcW w:w="1263" w:type="pct"/>
            <w:gridSpan w:val="10"/>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t>Final Redemption Date</w:t>
            </w:r>
          </w:p>
        </w:tc>
        <w:tc>
          <w:tcPr>
            <w:tcW w:w="936" w:type="pct"/>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t>Scheduled Maturity Date</w:t>
            </w:r>
          </w:p>
        </w:tc>
        <w:tc>
          <w:tcPr>
            <w:tcW w:w="877" w:type="pct"/>
            <w:gridSpan w:val="5"/>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594F7A">
              <w:t>Finaler Rückzahlungstag</w:t>
            </w:r>
            <w:r w:rsidRPr="00F94B27" w:rsidR="00F94B27">
              <w:rPr>
                <w:b/>
              </w:rPr>
              <w:t>]</w:t>
            </w:r>
          </w:p>
        </w:tc>
        <w:tc>
          <w:tcPr>
            <w:tcW w:w="1377" w:type="pct"/>
            <w:gridSpan w:val="9"/>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594F7A">
              <w:t>Planmässiger Fälligkeitstag</w:t>
            </w:r>
            <w:r w:rsidRPr="00F94B27" w:rsidR="00F94B27">
              <w:rPr>
                <w:b/>
              </w:rPr>
              <w:t>]</w:t>
            </w:r>
          </w:p>
        </w:tc>
        <w:tc>
          <w:tcPr>
            <w:tcW w:w="248" w:type="pct"/>
            <w:tcBorders>
              <w:left w:val="single" w:sz="4" w:space="0" w:color="auto"/>
            </w:tcBorders>
          </w:tcPr>
          <w:p w:rsidR="00800429" w:rsidRPr="00594F7A" w:rsidP="00AB16EC">
            <w:pPr>
              <w:pStyle w:val="CSBody0"/>
            </w:pPr>
          </w:p>
        </w:tc>
      </w:tr>
      <w:tr w:rsidTr="0070669C">
        <w:tblPrEx>
          <w:tblW w:w="5000" w:type="pct"/>
          <w:tblLayout w:type="fixed"/>
          <w:tblLook w:val="04A0"/>
        </w:tblPrEx>
        <w:tc>
          <w:tcPr>
            <w:tcW w:w="299" w:type="pct"/>
            <w:gridSpan w:val="2"/>
            <w:tcBorders>
              <w:right w:val="single" w:sz="4" w:space="0" w:color="auto"/>
            </w:tcBorders>
          </w:tcPr>
          <w:p w:rsidR="00800429" w:rsidRPr="00906EDA" w:rsidP="00AB16EC">
            <w:pPr>
              <w:pStyle w:val="CSBody0"/>
              <w:rPr>
                <w:lang w:val="de-DE"/>
              </w:rPr>
            </w:pPr>
          </w:p>
        </w:tc>
        <w:tc>
          <w:tcPr>
            <w:tcW w:w="1263" w:type="pct"/>
            <w:gridSpan w:val="10"/>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rPr>
                <w:rFonts w:ascii="Arial" w:hAnsi="Arial" w:cs="Arial"/>
              </w:rPr>
              <w:t>●</w:t>
            </w:r>
            <w:r w:rsidRPr="00F94B27">
              <w:rPr>
                <w:b/>
              </w:rPr>
              <w:t>]</w:t>
            </w:r>
            <w:r w:rsidRPr="00594F7A">
              <w:t>% per annum</w:t>
            </w:r>
            <w:r w:rsidRPr="00F94B27">
              <w:rPr>
                <w:b/>
              </w:rPr>
              <w:t>]]</w:t>
            </w:r>
          </w:p>
        </w:tc>
        <w:tc>
          <w:tcPr>
            <w:tcW w:w="936" w:type="pct"/>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rPr>
                <w:rFonts w:ascii="Arial" w:hAnsi="Arial" w:cs="Arial"/>
              </w:rPr>
              <w:t>●</w:t>
            </w:r>
            <w:r w:rsidRPr="00F94B27">
              <w:rPr>
                <w:b/>
              </w:rPr>
              <w:t>]</w:t>
            </w:r>
            <w:r w:rsidRPr="00594F7A">
              <w:t>% per annum</w:t>
            </w:r>
            <w:r w:rsidRPr="00F94B27">
              <w:rPr>
                <w:b/>
              </w:rPr>
              <w:t>]]</w:t>
            </w:r>
          </w:p>
        </w:tc>
        <w:tc>
          <w:tcPr>
            <w:tcW w:w="877" w:type="pct"/>
            <w:gridSpan w:val="5"/>
            <w:tcBorders>
              <w:top w:val="single" w:sz="4" w:space="0" w:color="auto"/>
              <w:left w:val="single" w:sz="4" w:space="0" w:color="auto"/>
              <w:bottom w:val="single" w:sz="4" w:space="0" w:color="auto"/>
              <w:right w:val="single" w:sz="4" w:space="0" w:color="auto"/>
            </w:tcBorders>
          </w:tcPr>
          <w:p w:rsidR="00800429" w:rsidRPr="00594F7A" w:rsidP="005E49F4">
            <w:pPr>
              <w:pStyle w:val="CSBody0"/>
            </w:pPr>
            <w:r w:rsidRPr="00F94B27">
              <w:rPr>
                <w:b/>
              </w:rPr>
              <w:t>[</w:t>
            </w:r>
            <w:r w:rsidRPr="00594F7A">
              <w:rPr>
                <w:rFonts w:ascii="Arial" w:hAnsi="Arial" w:cs="Arial"/>
              </w:rPr>
              <w:t>●</w:t>
            </w:r>
            <w:r w:rsidRPr="00F94B27">
              <w:rPr>
                <w:b/>
              </w:rPr>
              <w:t>]</w:t>
            </w:r>
            <w:r w:rsidRPr="00594F7A">
              <w:t>% per annum</w:t>
            </w:r>
            <w:r w:rsidRPr="00F94B27">
              <w:rPr>
                <w:b/>
              </w:rPr>
              <w:t>]]</w:t>
            </w:r>
          </w:p>
        </w:tc>
        <w:tc>
          <w:tcPr>
            <w:tcW w:w="1377" w:type="pct"/>
            <w:gridSpan w:val="9"/>
            <w:tcBorders>
              <w:top w:val="single" w:sz="4" w:space="0" w:color="auto"/>
              <w:left w:val="single" w:sz="4" w:space="0" w:color="auto"/>
              <w:bottom w:val="single" w:sz="4" w:space="0" w:color="auto"/>
              <w:right w:val="single" w:sz="4" w:space="0" w:color="auto"/>
            </w:tcBorders>
          </w:tcPr>
          <w:p w:rsidR="00800429" w:rsidP="005E49F4">
            <w:pPr>
              <w:pStyle w:val="CSBody0"/>
            </w:pPr>
            <w:r w:rsidRPr="00F94B27">
              <w:rPr>
                <w:b/>
              </w:rPr>
              <w:t>[</w:t>
            </w:r>
            <w:r w:rsidRPr="00594F7A">
              <w:rPr>
                <w:rFonts w:ascii="Arial" w:hAnsi="Arial" w:cs="Arial"/>
              </w:rPr>
              <w:t>●</w:t>
            </w:r>
            <w:r w:rsidRPr="00F94B27">
              <w:rPr>
                <w:b/>
              </w:rPr>
              <w:t>]</w:t>
            </w:r>
            <w:r w:rsidRPr="00594F7A">
              <w:t>% per annum</w:t>
            </w:r>
            <w:r w:rsidRPr="00F94B27">
              <w:rPr>
                <w:b/>
              </w:rPr>
              <w:t>]]</w:t>
            </w:r>
          </w:p>
        </w:tc>
        <w:tc>
          <w:tcPr>
            <w:tcW w:w="248" w:type="pct"/>
            <w:tcBorders>
              <w:left w:val="single" w:sz="4" w:space="0" w:color="auto"/>
            </w:tcBorders>
          </w:tcPr>
          <w:p w:rsidR="00800429" w:rsidRPr="00594F7A" w:rsidP="00AB16EC">
            <w:pPr>
              <w:pStyle w:val="CSBody0"/>
            </w:pPr>
          </w:p>
        </w:tc>
      </w:tr>
      <w:tr w:rsidTr="00942F00">
        <w:tblPrEx>
          <w:tblW w:w="5000" w:type="pct"/>
          <w:tblLayout w:type="fixed"/>
          <w:tblLook w:val="04A0"/>
        </w:tblPrEx>
        <w:tc>
          <w:tcPr>
            <w:tcW w:w="2498" w:type="pct"/>
            <w:gridSpan w:val="13"/>
          </w:tcPr>
          <w:p w:rsidR="00AB16EC" w:rsidRPr="00906EDA" w:rsidP="00C57053">
            <w:pPr>
              <w:pStyle w:val="CSBody0"/>
              <w:rPr>
                <w:lang w:val="de-DE"/>
              </w:rPr>
            </w:pPr>
          </w:p>
        </w:tc>
        <w:tc>
          <w:tcPr>
            <w:tcW w:w="2502" w:type="pct"/>
            <w:gridSpan w:val="15"/>
          </w:tcPr>
          <w:p w:rsidR="00AB16EC" w:rsidRPr="00906EDA" w:rsidP="00C57053">
            <w:pPr>
              <w:pStyle w:val="CSBody0"/>
              <w:rPr>
                <w:lang w:val="de-DE"/>
              </w:rPr>
            </w:pPr>
          </w:p>
        </w:tc>
      </w:tr>
      <w:tr w:rsidTr="00942F00">
        <w:tblPrEx>
          <w:tblW w:w="5000" w:type="pct"/>
          <w:tblLayout w:type="fixed"/>
          <w:tblLook w:val="04A0"/>
        </w:tblPrEx>
        <w:tc>
          <w:tcPr>
            <w:tcW w:w="2498" w:type="pct"/>
            <w:gridSpan w:val="13"/>
            <w:tcBorders>
              <w:right w:val="single" w:sz="4" w:space="0" w:color="auto"/>
            </w:tcBorders>
          </w:tcPr>
          <w:p w:rsidR="000B0E99" w:rsidRPr="00BA5F20" w:rsidP="000B0E99">
            <w:pPr>
              <w:pStyle w:val="CSbody0bolditalic"/>
              <w:rPr>
                <w:lang w:val="en-GB"/>
              </w:rPr>
            </w:pPr>
            <w:r w:rsidRPr="00F94B27">
              <w:rPr>
                <w:lang w:val="en-GB"/>
              </w:rPr>
              <w:t>[</w:t>
            </w:r>
            <w:r w:rsidRPr="00BA5F20">
              <w:rPr>
                <w:lang w:val="en-GB"/>
              </w:rPr>
              <w:t>in case of Cumulative Reverse Floater (Snowball) Notes or Inverse Floating Rate Notes:</w:t>
            </w:r>
          </w:p>
        </w:tc>
        <w:tc>
          <w:tcPr>
            <w:tcW w:w="2502" w:type="pct"/>
            <w:gridSpan w:val="15"/>
            <w:tcBorders>
              <w:left w:val="single" w:sz="4" w:space="0" w:color="auto"/>
            </w:tcBorders>
          </w:tcPr>
          <w:p w:rsidR="000B0E99" w:rsidRPr="00BA5F20" w:rsidP="000B0E99">
            <w:pPr>
              <w:pStyle w:val="CSbody0bolditalic"/>
              <w:rPr>
                <w:lang w:val="en-GB"/>
              </w:rPr>
            </w:pPr>
            <w:r w:rsidRPr="00F94B27">
              <w:rPr>
                <w:lang w:val="en-GB"/>
              </w:rPr>
              <w:t>[</w:t>
            </w:r>
            <w:r w:rsidRPr="00BA5F20">
              <w:rPr>
                <w:lang w:val="en-GB"/>
              </w:rPr>
              <w:t>bei Cumulative Reverse Floater (Snowball) Notes oder Inverse Floating Rate Notes:</w:t>
            </w:r>
          </w:p>
        </w:tc>
      </w:tr>
      <w:tr w:rsidTr="00942F00">
        <w:tblPrEx>
          <w:tblW w:w="5000" w:type="pct"/>
          <w:tblLayout w:type="fixed"/>
          <w:tblLook w:val="04A0"/>
        </w:tblPrEx>
        <w:tc>
          <w:tcPr>
            <w:tcW w:w="2498" w:type="pct"/>
            <w:gridSpan w:val="13"/>
          </w:tcPr>
          <w:p w:rsidR="00AB16EC" w:rsidRPr="000B0E99" w:rsidP="00C57053">
            <w:pPr>
              <w:pStyle w:val="CSBody0"/>
            </w:pPr>
          </w:p>
        </w:tc>
        <w:tc>
          <w:tcPr>
            <w:tcW w:w="2502" w:type="pct"/>
            <w:gridSpan w:val="15"/>
          </w:tcPr>
          <w:p w:rsidR="00AB16EC" w:rsidRPr="000B0E99" w:rsidP="00C57053">
            <w:pPr>
              <w:pStyle w:val="CSBody0"/>
            </w:pPr>
          </w:p>
        </w:tc>
      </w:tr>
      <w:tr w:rsidTr="0070669C">
        <w:tblPrEx>
          <w:tblW w:w="5000" w:type="pct"/>
          <w:tblLayout w:type="fixed"/>
          <w:tblLook w:val="04A0"/>
        </w:tblPrEx>
        <w:tc>
          <w:tcPr>
            <w:tcW w:w="317" w:type="pct"/>
            <w:gridSpan w:val="3"/>
            <w:tcBorders>
              <w:right w:val="single" w:sz="4" w:space="0" w:color="auto"/>
            </w:tcBorders>
          </w:tcPr>
          <w:p w:rsidR="000B0E99" w:rsidRPr="000B0E99" w:rsidP="000B0E99">
            <w:pPr>
              <w:pStyle w:val="CSBody0"/>
            </w:pPr>
          </w:p>
        </w:tc>
        <w:tc>
          <w:tcPr>
            <w:tcW w:w="1245" w:type="pct"/>
            <w:gridSpan w:val="9"/>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BF0DD3">
              <w:t xml:space="preserve">Variable Interest Payment Date </w:t>
            </w:r>
          </w:p>
        </w:tc>
        <w:tc>
          <w:tcPr>
            <w:tcW w:w="936" w:type="pct"/>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BF0DD3">
              <w:t>Spread Rate</w:t>
            </w:r>
          </w:p>
        </w:tc>
        <w:tc>
          <w:tcPr>
            <w:tcW w:w="877" w:type="pct"/>
            <w:gridSpan w:val="5"/>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BF0DD3">
              <w:t>Zinszahlungstag für Variable Zinsen</w:t>
            </w:r>
          </w:p>
        </w:tc>
        <w:tc>
          <w:tcPr>
            <w:tcW w:w="1377" w:type="pct"/>
            <w:gridSpan w:val="9"/>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BF0DD3">
              <w:t>Spreadsatz</w:t>
            </w:r>
          </w:p>
        </w:tc>
        <w:tc>
          <w:tcPr>
            <w:tcW w:w="248" w:type="pct"/>
            <w:tcBorders>
              <w:left w:val="single" w:sz="4" w:space="0" w:color="auto"/>
            </w:tcBorders>
          </w:tcPr>
          <w:p w:rsidR="000B0E99" w:rsidRPr="000B0E99" w:rsidP="000B0E99">
            <w:pPr>
              <w:pStyle w:val="CSBody0"/>
            </w:pPr>
          </w:p>
        </w:tc>
      </w:tr>
      <w:tr w:rsidTr="0070669C">
        <w:tblPrEx>
          <w:tblW w:w="5000" w:type="pct"/>
          <w:tblLayout w:type="fixed"/>
          <w:tblLook w:val="04A0"/>
        </w:tblPrEx>
        <w:tc>
          <w:tcPr>
            <w:tcW w:w="317" w:type="pct"/>
            <w:gridSpan w:val="3"/>
            <w:tcBorders>
              <w:right w:val="single" w:sz="4" w:space="0" w:color="auto"/>
            </w:tcBorders>
          </w:tcPr>
          <w:p w:rsidR="004F3EFD" w:rsidRPr="000B0E99" w:rsidP="000B0E99">
            <w:pPr>
              <w:pStyle w:val="CSBody0"/>
            </w:pPr>
          </w:p>
        </w:tc>
        <w:tc>
          <w:tcPr>
            <w:tcW w:w="1245" w:type="pct"/>
            <w:gridSpan w:val="9"/>
            <w:tcBorders>
              <w:top w:val="single" w:sz="4" w:space="0" w:color="auto"/>
              <w:left w:val="single" w:sz="4" w:space="0" w:color="auto"/>
              <w:bottom w:val="single" w:sz="4" w:space="0" w:color="auto"/>
              <w:right w:val="single" w:sz="4" w:space="0" w:color="auto"/>
            </w:tcBorders>
          </w:tcPr>
          <w:p w:rsidR="004F3EFD" w:rsidRPr="00BF0DD3" w:rsidP="005E49F4">
            <w:pPr>
              <w:pStyle w:val="CSBody0"/>
            </w:pPr>
            <w:r w:rsidRPr="00F94B27">
              <w:rPr>
                <w:b/>
              </w:rPr>
              <w:t>[</w:t>
            </w:r>
            <w:r w:rsidRPr="00BF0DD3">
              <w:rPr>
                <w:rFonts w:ascii="Arial" w:hAnsi="Arial" w:cs="Arial"/>
              </w:rPr>
              <w:t>●</w:t>
            </w:r>
            <w:r w:rsidRPr="00F94B27">
              <w:rPr>
                <w:b/>
              </w:rPr>
              <w:t>]</w:t>
            </w:r>
          </w:p>
        </w:tc>
        <w:tc>
          <w:tcPr>
            <w:tcW w:w="936" w:type="pct"/>
            <w:tcBorders>
              <w:top w:val="single" w:sz="4" w:space="0" w:color="auto"/>
              <w:left w:val="single" w:sz="4" w:space="0" w:color="auto"/>
              <w:bottom w:val="single" w:sz="4" w:space="0" w:color="auto"/>
              <w:right w:val="single" w:sz="4" w:space="0" w:color="auto"/>
            </w:tcBorders>
          </w:tcPr>
          <w:p w:rsidR="004F3EFD" w:rsidRPr="00BF0DD3" w:rsidP="005E49F4">
            <w:pPr>
              <w:pStyle w:val="CSBody0"/>
            </w:pPr>
            <w:r w:rsidRPr="00F94B27">
              <w:rPr>
                <w:b/>
              </w:rPr>
              <w:t>[</w:t>
            </w:r>
            <w:r w:rsidRPr="00BF0DD3">
              <w:rPr>
                <w:rFonts w:ascii="Arial" w:hAnsi="Arial" w:cs="Arial"/>
              </w:rPr>
              <w:t>●</w:t>
            </w:r>
            <w:r w:rsidRPr="00F94B27">
              <w:rPr>
                <w:b/>
              </w:rPr>
              <w:t>]</w:t>
            </w:r>
            <w:r w:rsidRPr="00BF0DD3">
              <w:t>% per annum</w:t>
            </w:r>
          </w:p>
        </w:tc>
        <w:tc>
          <w:tcPr>
            <w:tcW w:w="877" w:type="pct"/>
            <w:gridSpan w:val="5"/>
            <w:tcBorders>
              <w:top w:val="single" w:sz="4" w:space="0" w:color="auto"/>
              <w:left w:val="single" w:sz="4" w:space="0" w:color="auto"/>
              <w:bottom w:val="single" w:sz="4" w:space="0" w:color="auto"/>
              <w:right w:val="single" w:sz="4" w:space="0" w:color="auto"/>
            </w:tcBorders>
          </w:tcPr>
          <w:p w:rsidR="004F3EFD" w:rsidRPr="00BF0DD3" w:rsidP="005E49F4">
            <w:pPr>
              <w:pStyle w:val="CSBody0"/>
            </w:pPr>
            <w:r w:rsidRPr="00F94B27">
              <w:rPr>
                <w:b/>
              </w:rPr>
              <w:t>[</w:t>
            </w:r>
            <w:r w:rsidRPr="00BF0DD3">
              <w:rPr>
                <w:rFonts w:ascii="Arial" w:hAnsi="Arial" w:cs="Arial"/>
              </w:rPr>
              <w:t>●</w:t>
            </w:r>
            <w:r w:rsidRPr="00F94B27">
              <w:rPr>
                <w:b/>
              </w:rPr>
              <w:t>]</w:t>
            </w:r>
          </w:p>
        </w:tc>
        <w:tc>
          <w:tcPr>
            <w:tcW w:w="1377" w:type="pct"/>
            <w:gridSpan w:val="9"/>
            <w:tcBorders>
              <w:top w:val="single" w:sz="4" w:space="0" w:color="auto"/>
              <w:left w:val="single" w:sz="4" w:space="0" w:color="auto"/>
              <w:bottom w:val="single" w:sz="4" w:space="0" w:color="auto"/>
              <w:right w:val="single" w:sz="4" w:space="0" w:color="auto"/>
            </w:tcBorders>
          </w:tcPr>
          <w:p w:rsidR="004F3EFD" w:rsidRPr="00BF0DD3" w:rsidP="005E49F4">
            <w:pPr>
              <w:pStyle w:val="CSBody0"/>
            </w:pPr>
            <w:r w:rsidRPr="00F94B27">
              <w:rPr>
                <w:b/>
              </w:rPr>
              <w:t>[</w:t>
            </w:r>
            <w:r w:rsidRPr="00BF0DD3">
              <w:rPr>
                <w:rFonts w:ascii="Arial" w:hAnsi="Arial" w:cs="Arial"/>
              </w:rPr>
              <w:t>●</w:t>
            </w:r>
            <w:r w:rsidRPr="00F94B27">
              <w:rPr>
                <w:b/>
              </w:rPr>
              <w:t>]</w:t>
            </w:r>
            <w:r w:rsidRPr="00BF0DD3">
              <w:t>% per annum</w:t>
            </w:r>
          </w:p>
        </w:tc>
        <w:tc>
          <w:tcPr>
            <w:tcW w:w="248" w:type="pct"/>
            <w:tcBorders>
              <w:left w:val="single" w:sz="4" w:space="0" w:color="auto"/>
            </w:tcBorders>
          </w:tcPr>
          <w:p w:rsidR="004F3EFD" w:rsidRPr="000B0E99" w:rsidP="000B0E99">
            <w:pPr>
              <w:pStyle w:val="CSBody0"/>
            </w:pPr>
          </w:p>
        </w:tc>
      </w:tr>
      <w:tr w:rsidTr="0070669C">
        <w:tblPrEx>
          <w:tblW w:w="5000" w:type="pct"/>
          <w:tblLayout w:type="fixed"/>
          <w:tblLook w:val="04A0"/>
        </w:tblPrEx>
        <w:tc>
          <w:tcPr>
            <w:tcW w:w="317" w:type="pct"/>
            <w:gridSpan w:val="3"/>
            <w:tcBorders>
              <w:right w:val="single" w:sz="4" w:space="0" w:color="auto"/>
            </w:tcBorders>
          </w:tcPr>
          <w:p w:rsidR="004F3EFD" w:rsidRPr="000B0E99" w:rsidP="000B0E99">
            <w:pPr>
              <w:pStyle w:val="CSBody0"/>
            </w:pPr>
          </w:p>
        </w:tc>
        <w:tc>
          <w:tcPr>
            <w:tcW w:w="1245" w:type="pct"/>
            <w:gridSpan w:val="9"/>
            <w:tcBorders>
              <w:top w:val="single" w:sz="4" w:space="0" w:color="auto"/>
              <w:left w:val="single" w:sz="4" w:space="0" w:color="auto"/>
              <w:bottom w:val="single" w:sz="4" w:space="0" w:color="auto"/>
              <w:right w:val="single" w:sz="4" w:space="0" w:color="auto"/>
            </w:tcBorders>
          </w:tcPr>
          <w:p w:rsidR="004F3EFD" w:rsidRPr="000B0E99" w:rsidP="005E49F4">
            <w:pPr>
              <w:pStyle w:val="CSBody0"/>
              <w:rPr>
                <w:i/>
              </w:rPr>
            </w:pPr>
            <w:r w:rsidRPr="000B0E99">
              <w:rPr>
                <w:i/>
              </w:rPr>
              <w:t>(repeat as applicable)</w:t>
            </w:r>
          </w:p>
        </w:tc>
        <w:tc>
          <w:tcPr>
            <w:tcW w:w="936" w:type="pct"/>
            <w:tcBorders>
              <w:top w:val="single" w:sz="4" w:space="0" w:color="auto"/>
              <w:left w:val="single" w:sz="4" w:space="0" w:color="auto"/>
              <w:bottom w:val="single" w:sz="4" w:space="0" w:color="auto"/>
              <w:right w:val="single" w:sz="4" w:space="0" w:color="auto"/>
            </w:tcBorders>
          </w:tcPr>
          <w:p w:rsidR="004F3EFD" w:rsidRPr="000B0E99" w:rsidP="005E49F4">
            <w:pPr>
              <w:pStyle w:val="CSBody0"/>
              <w:rPr>
                <w:i/>
              </w:rPr>
            </w:pPr>
            <w:r w:rsidRPr="000B0E99">
              <w:rPr>
                <w:i/>
              </w:rPr>
              <w:t>(repeat as applicable)</w:t>
            </w:r>
          </w:p>
        </w:tc>
        <w:tc>
          <w:tcPr>
            <w:tcW w:w="877" w:type="pct"/>
            <w:gridSpan w:val="5"/>
            <w:tcBorders>
              <w:top w:val="single" w:sz="4" w:space="0" w:color="auto"/>
              <w:left w:val="single" w:sz="4" w:space="0" w:color="auto"/>
              <w:bottom w:val="single" w:sz="4" w:space="0" w:color="auto"/>
              <w:right w:val="single" w:sz="4" w:space="0" w:color="auto"/>
            </w:tcBorders>
          </w:tcPr>
          <w:p w:rsidR="004F3EFD" w:rsidRPr="000B0E99" w:rsidP="005E49F4">
            <w:pPr>
              <w:pStyle w:val="CSBody0"/>
              <w:rPr>
                <w:i/>
              </w:rPr>
            </w:pPr>
            <w:r w:rsidRPr="000B0E99">
              <w:rPr>
                <w:i/>
              </w:rPr>
              <w:t>(wiederholen, soweit erforderlich)</w:t>
            </w:r>
          </w:p>
        </w:tc>
        <w:tc>
          <w:tcPr>
            <w:tcW w:w="1377" w:type="pct"/>
            <w:gridSpan w:val="9"/>
            <w:tcBorders>
              <w:top w:val="single" w:sz="4" w:space="0" w:color="auto"/>
              <w:left w:val="single" w:sz="4" w:space="0" w:color="auto"/>
              <w:bottom w:val="single" w:sz="4" w:space="0" w:color="auto"/>
              <w:right w:val="single" w:sz="4" w:space="0" w:color="auto"/>
            </w:tcBorders>
          </w:tcPr>
          <w:p w:rsidR="004F3EFD" w:rsidRPr="000B0E99" w:rsidP="005E49F4">
            <w:pPr>
              <w:pStyle w:val="CSBody0"/>
              <w:rPr>
                <w:i/>
              </w:rPr>
            </w:pPr>
            <w:r w:rsidRPr="000B0E99">
              <w:rPr>
                <w:i/>
              </w:rPr>
              <w:t>(wiederholen, soweit erforderlich)</w:t>
            </w:r>
          </w:p>
        </w:tc>
        <w:tc>
          <w:tcPr>
            <w:tcW w:w="248" w:type="pct"/>
            <w:tcBorders>
              <w:left w:val="single" w:sz="4" w:space="0" w:color="auto"/>
            </w:tcBorders>
          </w:tcPr>
          <w:p w:rsidR="004F3EFD" w:rsidRPr="000B0E99" w:rsidP="000B0E99">
            <w:pPr>
              <w:pStyle w:val="CSBody0"/>
            </w:pPr>
          </w:p>
        </w:tc>
      </w:tr>
      <w:tr w:rsidTr="0070669C">
        <w:tblPrEx>
          <w:tblW w:w="5000" w:type="pct"/>
          <w:tblLayout w:type="fixed"/>
          <w:tblLook w:val="04A0"/>
        </w:tblPrEx>
        <w:tc>
          <w:tcPr>
            <w:tcW w:w="317" w:type="pct"/>
            <w:gridSpan w:val="3"/>
            <w:tcBorders>
              <w:right w:val="single" w:sz="4" w:space="0" w:color="auto"/>
            </w:tcBorders>
          </w:tcPr>
          <w:p w:rsidR="000B0E99" w:rsidRPr="000B0E99" w:rsidP="000B0E99">
            <w:pPr>
              <w:pStyle w:val="CSBody0"/>
            </w:pPr>
          </w:p>
        </w:tc>
        <w:tc>
          <w:tcPr>
            <w:tcW w:w="1245" w:type="pct"/>
            <w:gridSpan w:val="9"/>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F94B27">
              <w:rPr>
                <w:b/>
              </w:rPr>
              <w:t>[</w:t>
            </w:r>
            <w:r w:rsidRPr="00BF0DD3">
              <w:t>Final Redemption Date</w:t>
            </w:r>
          </w:p>
        </w:tc>
        <w:tc>
          <w:tcPr>
            <w:tcW w:w="936" w:type="pct"/>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BF0DD3">
              <w:t>Finaler Rückzahlungstag</w:t>
            </w:r>
            <w:r w:rsidRPr="00F94B27" w:rsidR="00F94B27">
              <w:rPr>
                <w:b/>
              </w:rPr>
              <w:t>]]</w:t>
            </w:r>
          </w:p>
        </w:tc>
        <w:tc>
          <w:tcPr>
            <w:tcW w:w="877" w:type="pct"/>
            <w:gridSpan w:val="5"/>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F94B27">
              <w:rPr>
                <w:b/>
              </w:rPr>
              <w:t>[</w:t>
            </w:r>
            <w:r w:rsidRPr="00BF0DD3">
              <w:t>Scheduled Maturity Date</w:t>
            </w:r>
          </w:p>
        </w:tc>
        <w:tc>
          <w:tcPr>
            <w:tcW w:w="1377" w:type="pct"/>
            <w:gridSpan w:val="9"/>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BF0DD3">
              <w:t>Planmässiger Fälligkeitstag</w:t>
            </w:r>
          </w:p>
        </w:tc>
        <w:tc>
          <w:tcPr>
            <w:tcW w:w="248" w:type="pct"/>
            <w:tcBorders>
              <w:left w:val="single" w:sz="4" w:space="0" w:color="auto"/>
            </w:tcBorders>
          </w:tcPr>
          <w:p w:rsidR="000B0E99" w:rsidRPr="000B0E99" w:rsidP="000B0E99">
            <w:pPr>
              <w:pStyle w:val="CSBody0"/>
            </w:pPr>
          </w:p>
        </w:tc>
      </w:tr>
      <w:tr w:rsidTr="0070669C">
        <w:tblPrEx>
          <w:tblW w:w="5000" w:type="pct"/>
          <w:tblLayout w:type="fixed"/>
          <w:tblLook w:val="04A0"/>
        </w:tblPrEx>
        <w:tc>
          <w:tcPr>
            <w:tcW w:w="317" w:type="pct"/>
            <w:gridSpan w:val="3"/>
            <w:tcBorders>
              <w:right w:val="single" w:sz="4" w:space="0" w:color="auto"/>
            </w:tcBorders>
          </w:tcPr>
          <w:p w:rsidR="000B0E99" w:rsidRPr="000B0E99" w:rsidP="000B0E99">
            <w:pPr>
              <w:pStyle w:val="CSBody0"/>
            </w:pPr>
          </w:p>
        </w:tc>
        <w:tc>
          <w:tcPr>
            <w:tcW w:w="1245" w:type="pct"/>
            <w:gridSpan w:val="9"/>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F94B27">
              <w:rPr>
                <w:b/>
              </w:rPr>
              <w:t>[</w:t>
            </w:r>
            <w:r w:rsidRPr="00BF0DD3">
              <w:rPr>
                <w:rFonts w:ascii="Arial" w:hAnsi="Arial" w:cs="Arial"/>
              </w:rPr>
              <w:t>●</w:t>
            </w:r>
            <w:r w:rsidRPr="00F94B27">
              <w:rPr>
                <w:b/>
              </w:rPr>
              <w:t>]</w:t>
            </w:r>
            <w:r w:rsidRPr="00BF0DD3">
              <w:t>% per annum</w:t>
            </w:r>
            <w:r w:rsidRPr="00F94B27">
              <w:rPr>
                <w:b/>
              </w:rPr>
              <w:t>]]</w:t>
            </w:r>
          </w:p>
        </w:tc>
        <w:tc>
          <w:tcPr>
            <w:tcW w:w="936" w:type="pct"/>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F94B27">
              <w:rPr>
                <w:b/>
              </w:rPr>
              <w:t>[</w:t>
            </w:r>
            <w:r w:rsidRPr="00BF0DD3">
              <w:rPr>
                <w:rFonts w:ascii="Arial" w:hAnsi="Arial" w:cs="Arial"/>
              </w:rPr>
              <w:t>●</w:t>
            </w:r>
            <w:r w:rsidRPr="00F94B27">
              <w:rPr>
                <w:b/>
              </w:rPr>
              <w:t>]</w:t>
            </w:r>
            <w:r w:rsidRPr="00BF0DD3">
              <w:t>% per annum</w:t>
            </w:r>
            <w:r w:rsidRPr="00F94B27">
              <w:rPr>
                <w:b/>
              </w:rPr>
              <w:t>]]</w:t>
            </w:r>
          </w:p>
        </w:tc>
        <w:tc>
          <w:tcPr>
            <w:tcW w:w="877" w:type="pct"/>
            <w:gridSpan w:val="5"/>
            <w:tcBorders>
              <w:top w:val="single" w:sz="4" w:space="0" w:color="auto"/>
              <w:left w:val="single" w:sz="4" w:space="0" w:color="auto"/>
              <w:bottom w:val="single" w:sz="4" w:space="0" w:color="auto"/>
              <w:right w:val="single" w:sz="4" w:space="0" w:color="auto"/>
            </w:tcBorders>
          </w:tcPr>
          <w:p w:rsidR="000B0E99" w:rsidRPr="00BF0DD3" w:rsidP="000B0E99">
            <w:pPr>
              <w:pStyle w:val="CSBody0"/>
            </w:pPr>
            <w:r w:rsidRPr="00F94B27">
              <w:rPr>
                <w:b/>
              </w:rPr>
              <w:t>[</w:t>
            </w:r>
            <w:r w:rsidRPr="00BF0DD3">
              <w:rPr>
                <w:rFonts w:ascii="Arial" w:hAnsi="Arial" w:cs="Arial"/>
              </w:rPr>
              <w:t>●</w:t>
            </w:r>
            <w:r w:rsidRPr="00F94B27">
              <w:rPr>
                <w:b/>
              </w:rPr>
              <w:t>]</w:t>
            </w:r>
            <w:r w:rsidRPr="00BF0DD3">
              <w:t>% per annum</w:t>
            </w:r>
            <w:r w:rsidRPr="00F94B27">
              <w:rPr>
                <w:b/>
              </w:rPr>
              <w:t>]]</w:t>
            </w:r>
          </w:p>
        </w:tc>
        <w:tc>
          <w:tcPr>
            <w:tcW w:w="1377" w:type="pct"/>
            <w:gridSpan w:val="9"/>
            <w:tcBorders>
              <w:top w:val="single" w:sz="4" w:space="0" w:color="auto"/>
              <w:left w:val="single" w:sz="4" w:space="0" w:color="auto"/>
              <w:bottom w:val="single" w:sz="4" w:space="0" w:color="auto"/>
              <w:right w:val="single" w:sz="4" w:space="0" w:color="auto"/>
            </w:tcBorders>
          </w:tcPr>
          <w:p w:rsidR="000B0E99" w:rsidP="000B0E99">
            <w:pPr>
              <w:pStyle w:val="CSBody0"/>
            </w:pPr>
            <w:r w:rsidRPr="00F94B27">
              <w:rPr>
                <w:b/>
              </w:rPr>
              <w:t>[</w:t>
            </w:r>
            <w:r w:rsidRPr="00BF0DD3">
              <w:rPr>
                <w:rFonts w:ascii="Arial" w:hAnsi="Arial" w:cs="Arial"/>
              </w:rPr>
              <w:t>●</w:t>
            </w:r>
            <w:r w:rsidRPr="00F94B27">
              <w:rPr>
                <w:b/>
              </w:rPr>
              <w:t>]</w:t>
            </w:r>
            <w:r w:rsidRPr="00BF0DD3">
              <w:t>% per annum</w:t>
            </w:r>
            <w:r w:rsidRPr="00F94B27">
              <w:rPr>
                <w:b/>
              </w:rPr>
              <w:t>]]</w:t>
            </w:r>
          </w:p>
        </w:tc>
        <w:tc>
          <w:tcPr>
            <w:tcW w:w="248" w:type="pct"/>
            <w:tcBorders>
              <w:left w:val="single" w:sz="4" w:space="0" w:color="auto"/>
            </w:tcBorders>
          </w:tcPr>
          <w:p w:rsidR="000B0E99" w:rsidRPr="000B0E99" w:rsidP="000B0E99">
            <w:pPr>
              <w:pStyle w:val="CSBody0"/>
            </w:pPr>
          </w:p>
        </w:tc>
      </w:tr>
      <w:tr w:rsidTr="00942F00">
        <w:tblPrEx>
          <w:tblW w:w="5000" w:type="pct"/>
          <w:tblLayout w:type="fixed"/>
          <w:tblLook w:val="04A0"/>
        </w:tblPrEx>
        <w:tc>
          <w:tcPr>
            <w:tcW w:w="2498" w:type="pct"/>
            <w:gridSpan w:val="13"/>
          </w:tcPr>
          <w:p w:rsidR="00AB16EC" w:rsidRPr="000B0E99" w:rsidP="00C57053">
            <w:pPr>
              <w:pStyle w:val="CSBody0"/>
            </w:pPr>
          </w:p>
        </w:tc>
        <w:tc>
          <w:tcPr>
            <w:tcW w:w="2502" w:type="pct"/>
            <w:gridSpan w:val="15"/>
          </w:tcPr>
          <w:p w:rsidR="00AB16EC" w:rsidRPr="000B0E99" w:rsidP="00C57053">
            <w:pPr>
              <w:pStyle w:val="CSBody0"/>
            </w:pPr>
          </w:p>
        </w:tc>
      </w:tr>
      <w:tr w:rsidTr="00942F00">
        <w:tblPrEx>
          <w:tblW w:w="5000" w:type="pct"/>
          <w:tblLayout w:type="fixed"/>
          <w:tblLook w:val="04A0"/>
        </w:tblPrEx>
        <w:tc>
          <w:tcPr>
            <w:tcW w:w="2498" w:type="pct"/>
            <w:gridSpan w:val="13"/>
            <w:tcBorders>
              <w:right w:val="single" w:sz="4" w:space="0" w:color="auto"/>
            </w:tcBorders>
          </w:tcPr>
          <w:p w:rsidR="000B0E99" w:rsidRPr="00BA5F20" w:rsidP="000B0E99">
            <w:pPr>
              <w:pStyle w:val="CSbody0bolditalic"/>
              <w:rPr>
                <w:lang w:val="en-GB"/>
              </w:rPr>
            </w:pPr>
            <w:r w:rsidRPr="00F94B27">
              <w:rPr>
                <w:lang w:val="en-GB"/>
              </w:rPr>
              <w:t>[</w:t>
            </w:r>
            <w:r w:rsidRPr="00BA5F20">
              <w:rPr>
                <w:lang w:val="en-GB"/>
              </w:rPr>
              <w:t>in case of Spread Range Accrual Notes or Range Accrual Notes with multiple Interest Payment Dates and Barrier Observation Dates:</w:t>
            </w:r>
          </w:p>
        </w:tc>
        <w:tc>
          <w:tcPr>
            <w:tcW w:w="2502" w:type="pct"/>
            <w:gridSpan w:val="15"/>
            <w:tcBorders>
              <w:left w:val="single" w:sz="4" w:space="0" w:color="auto"/>
            </w:tcBorders>
          </w:tcPr>
          <w:p w:rsidR="000B0E99" w:rsidRPr="000B0E99" w:rsidP="000B0E99">
            <w:pPr>
              <w:pStyle w:val="CSbody0bolditalic"/>
            </w:pPr>
            <w:r w:rsidRPr="00F94B27">
              <w:t>[</w:t>
            </w:r>
            <w:r w:rsidRPr="000B0E99">
              <w:t>bei Spread Range Accrual Notes oder Range Accrual Notes mit mehreren Zinszahlungstagen und Barriere-Beobachtungstagen:</w:t>
            </w:r>
          </w:p>
        </w:tc>
      </w:tr>
      <w:tr w:rsidTr="00942F00">
        <w:tblPrEx>
          <w:tblW w:w="5000" w:type="pct"/>
          <w:tblLayout w:type="fixed"/>
          <w:tblLook w:val="04A0"/>
        </w:tblPrEx>
        <w:tc>
          <w:tcPr>
            <w:tcW w:w="2498" w:type="pct"/>
            <w:gridSpan w:val="13"/>
          </w:tcPr>
          <w:p w:rsidR="00AB16EC" w:rsidRPr="000B0E99" w:rsidP="00C57053">
            <w:pPr>
              <w:pStyle w:val="CSBody0"/>
              <w:rPr>
                <w:lang w:val="de-DE"/>
              </w:rPr>
            </w:pPr>
          </w:p>
        </w:tc>
        <w:tc>
          <w:tcPr>
            <w:tcW w:w="2502" w:type="pct"/>
            <w:gridSpan w:val="15"/>
          </w:tcPr>
          <w:p w:rsidR="00AB16EC" w:rsidRPr="000B0E99" w:rsidP="00C57053">
            <w:pPr>
              <w:pStyle w:val="CSBody0"/>
              <w:rPr>
                <w:lang w:val="de-DE"/>
              </w:rPr>
            </w:pPr>
          </w:p>
        </w:tc>
      </w:tr>
      <w:tr w:rsidTr="00942F00">
        <w:tblPrEx>
          <w:tblW w:w="5000" w:type="pct"/>
          <w:tblLayout w:type="fixed"/>
          <w:tblLook w:val="04A0"/>
        </w:tblPrEx>
        <w:tc>
          <w:tcPr>
            <w:tcW w:w="322" w:type="pct"/>
            <w:gridSpan w:val="4"/>
            <w:tcBorders>
              <w:right w:val="single" w:sz="4" w:space="0" w:color="auto"/>
            </w:tcBorders>
          </w:tcPr>
          <w:p w:rsidR="00BA5F20" w:rsidRPr="000B0E99" w:rsidP="00BA5F20">
            <w:pPr>
              <w:pStyle w:val="CSBody0"/>
              <w:rPr>
                <w:lang w:val="de-DE"/>
              </w:rPr>
            </w:pPr>
          </w:p>
        </w:tc>
        <w:tc>
          <w:tcPr>
            <w:tcW w:w="1168" w:type="pct"/>
            <w:gridSpan w:val="6"/>
            <w:tcBorders>
              <w:top w:val="single" w:sz="4" w:space="0" w:color="auto"/>
              <w:left w:val="single" w:sz="4" w:space="0" w:color="auto"/>
              <w:bottom w:val="single" w:sz="4" w:space="0" w:color="auto"/>
              <w:right w:val="single" w:sz="4" w:space="0" w:color="auto"/>
            </w:tcBorders>
          </w:tcPr>
          <w:p w:rsidR="00BA5F20" w:rsidRPr="006F2687" w:rsidP="00BA5F20">
            <w:pPr>
              <w:pStyle w:val="CSBody0"/>
            </w:pPr>
            <w:r w:rsidRPr="006F2687">
              <w:t>Interest Payment Date</w:t>
            </w:r>
          </w:p>
        </w:tc>
        <w:tc>
          <w:tcPr>
            <w:tcW w:w="1008" w:type="pct"/>
            <w:gridSpan w:val="3"/>
            <w:tcBorders>
              <w:top w:val="single" w:sz="4" w:space="0" w:color="auto"/>
              <w:left w:val="single" w:sz="4" w:space="0" w:color="auto"/>
              <w:bottom w:val="single" w:sz="4" w:space="0" w:color="auto"/>
              <w:right w:val="single" w:sz="4" w:space="0" w:color="auto"/>
            </w:tcBorders>
          </w:tcPr>
          <w:p w:rsidR="00BA5F20" w:rsidRPr="006F2687" w:rsidP="00BA5F20">
            <w:pPr>
              <w:pStyle w:val="CSBody0"/>
            </w:pPr>
            <w:r w:rsidRPr="006F2687">
              <w:t>Barrier Observation Date</w:t>
            </w:r>
          </w:p>
        </w:tc>
        <w:tc>
          <w:tcPr>
            <w:tcW w:w="874" w:type="pct"/>
            <w:gridSpan w:val="4"/>
            <w:tcBorders>
              <w:top w:val="single" w:sz="4" w:space="0" w:color="auto"/>
              <w:left w:val="single" w:sz="4" w:space="0" w:color="auto"/>
              <w:bottom w:val="single" w:sz="4" w:space="0" w:color="auto"/>
              <w:right w:val="single" w:sz="4" w:space="0" w:color="auto"/>
            </w:tcBorders>
          </w:tcPr>
          <w:p w:rsidR="00BA5F20" w:rsidRPr="006F2687" w:rsidP="00BA5F20">
            <w:pPr>
              <w:pStyle w:val="CSBody0"/>
            </w:pPr>
            <w:r w:rsidRPr="006F2687">
              <w:t>Zinszahlungstag</w:t>
            </w:r>
          </w:p>
        </w:tc>
        <w:tc>
          <w:tcPr>
            <w:tcW w:w="1362" w:type="pct"/>
            <w:gridSpan w:val="9"/>
            <w:tcBorders>
              <w:top w:val="single" w:sz="4" w:space="0" w:color="auto"/>
              <w:left w:val="single" w:sz="4" w:space="0" w:color="auto"/>
              <w:bottom w:val="single" w:sz="4" w:space="0" w:color="auto"/>
              <w:right w:val="single" w:sz="4" w:space="0" w:color="auto"/>
            </w:tcBorders>
          </w:tcPr>
          <w:p w:rsidR="00BA5F20" w:rsidRPr="006F2687" w:rsidP="00BA5F20">
            <w:pPr>
              <w:pStyle w:val="CSBody0"/>
            </w:pPr>
            <w:r w:rsidRPr="006F2687">
              <w:t>Barriere-Beobachtungstag</w:t>
            </w:r>
          </w:p>
        </w:tc>
        <w:tc>
          <w:tcPr>
            <w:tcW w:w="266" w:type="pct"/>
            <w:gridSpan w:val="2"/>
            <w:tcBorders>
              <w:left w:val="single" w:sz="4" w:space="0" w:color="auto"/>
            </w:tcBorders>
          </w:tcPr>
          <w:p w:rsidR="00BA5F20" w:rsidRPr="006F2687" w:rsidP="00BA5F20">
            <w:pPr>
              <w:pStyle w:val="CSBody0"/>
            </w:pPr>
          </w:p>
        </w:tc>
      </w:tr>
      <w:tr w:rsidTr="00942F00">
        <w:tblPrEx>
          <w:tblW w:w="5000" w:type="pct"/>
          <w:tblLayout w:type="fixed"/>
          <w:tblLook w:val="04A0"/>
        </w:tblPrEx>
        <w:tc>
          <w:tcPr>
            <w:tcW w:w="326" w:type="pct"/>
            <w:gridSpan w:val="5"/>
            <w:tcBorders>
              <w:right w:val="single" w:sz="4" w:space="0" w:color="auto"/>
            </w:tcBorders>
          </w:tcPr>
          <w:p w:rsidR="00BA5F20" w:rsidRPr="000B0E99" w:rsidP="00BA5F20">
            <w:pPr>
              <w:pStyle w:val="CSBody0"/>
              <w:rPr>
                <w:lang w:val="de-DE"/>
              </w:rPr>
            </w:pPr>
          </w:p>
        </w:tc>
        <w:tc>
          <w:tcPr>
            <w:tcW w:w="1164" w:type="pct"/>
            <w:gridSpan w:val="5"/>
            <w:tcBorders>
              <w:top w:val="single" w:sz="4" w:space="0" w:color="auto"/>
              <w:left w:val="single" w:sz="4" w:space="0" w:color="auto"/>
              <w:bottom w:val="single" w:sz="4" w:space="0" w:color="auto"/>
              <w:right w:val="single" w:sz="4" w:space="0" w:color="auto"/>
            </w:tcBorders>
          </w:tcPr>
          <w:p w:rsidR="00BA5F20" w:rsidRPr="006F2687" w:rsidP="00BA5F20">
            <w:pPr>
              <w:pStyle w:val="CSBody0"/>
            </w:pPr>
            <w:r w:rsidRPr="00F94B27">
              <w:rPr>
                <w:b/>
              </w:rPr>
              <w:t>[</w:t>
            </w:r>
            <w:r w:rsidRPr="006F2687">
              <w:rPr>
                <w:rFonts w:ascii="Arial" w:hAnsi="Arial" w:cs="Arial"/>
              </w:rPr>
              <w:t>●</w:t>
            </w:r>
            <w:r w:rsidRPr="00F94B27">
              <w:rPr>
                <w:b/>
              </w:rPr>
              <w:t>]</w:t>
            </w:r>
          </w:p>
        </w:tc>
        <w:tc>
          <w:tcPr>
            <w:tcW w:w="1008" w:type="pct"/>
            <w:gridSpan w:val="3"/>
            <w:tcBorders>
              <w:top w:val="single" w:sz="4" w:space="0" w:color="auto"/>
              <w:left w:val="single" w:sz="4" w:space="0" w:color="auto"/>
              <w:bottom w:val="single" w:sz="4" w:space="0" w:color="auto"/>
              <w:right w:val="single" w:sz="4" w:space="0" w:color="auto"/>
            </w:tcBorders>
          </w:tcPr>
          <w:p w:rsidR="00BA5F20" w:rsidRPr="006F2687" w:rsidP="00BA5F20">
            <w:pPr>
              <w:pStyle w:val="CSBody0"/>
            </w:pPr>
            <w:r w:rsidRPr="00F94B27">
              <w:rPr>
                <w:b/>
              </w:rPr>
              <w:t>[</w:t>
            </w:r>
            <w:r w:rsidRPr="006F2687">
              <w:rPr>
                <w:rFonts w:ascii="Arial" w:hAnsi="Arial" w:cs="Arial"/>
              </w:rPr>
              <w:t>●</w:t>
            </w:r>
            <w:r w:rsidRPr="00F94B27">
              <w:rPr>
                <w:b/>
              </w:rPr>
              <w:t>]</w:t>
            </w:r>
          </w:p>
        </w:tc>
        <w:tc>
          <w:tcPr>
            <w:tcW w:w="874" w:type="pct"/>
            <w:gridSpan w:val="4"/>
            <w:tcBorders>
              <w:top w:val="single" w:sz="4" w:space="0" w:color="auto"/>
              <w:left w:val="single" w:sz="4" w:space="0" w:color="auto"/>
              <w:bottom w:val="single" w:sz="4" w:space="0" w:color="auto"/>
              <w:right w:val="single" w:sz="4" w:space="0" w:color="auto"/>
            </w:tcBorders>
          </w:tcPr>
          <w:p w:rsidR="00BA5F20" w:rsidRPr="006F2687" w:rsidP="00BA5F20">
            <w:pPr>
              <w:pStyle w:val="CSBody0"/>
            </w:pPr>
            <w:r w:rsidRPr="00F94B27">
              <w:rPr>
                <w:b/>
              </w:rPr>
              <w:t>[</w:t>
            </w:r>
            <w:r w:rsidRPr="006F2687">
              <w:rPr>
                <w:rFonts w:ascii="Arial" w:hAnsi="Arial" w:cs="Arial"/>
              </w:rPr>
              <w:t>●</w:t>
            </w:r>
            <w:r w:rsidRPr="00F94B27">
              <w:rPr>
                <w:b/>
              </w:rPr>
              <w:t>]</w:t>
            </w:r>
          </w:p>
        </w:tc>
        <w:tc>
          <w:tcPr>
            <w:tcW w:w="1362" w:type="pct"/>
            <w:gridSpan w:val="9"/>
            <w:tcBorders>
              <w:top w:val="single" w:sz="4" w:space="0" w:color="auto"/>
              <w:left w:val="single" w:sz="4" w:space="0" w:color="auto"/>
              <w:bottom w:val="single" w:sz="4" w:space="0" w:color="auto"/>
              <w:right w:val="single" w:sz="4" w:space="0" w:color="auto"/>
            </w:tcBorders>
          </w:tcPr>
          <w:p w:rsidR="00BA5F20" w:rsidRPr="006F2687" w:rsidP="00BA5F20">
            <w:pPr>
              <w:pStyle w:val="CSBody0"/>
            </w:pPr>
            <w:r w:rsidRPr="00F94B27">
              <w:rPr>
                <w:b/>
              </w:rPr>
              <w:t>[</w:t>
            </w:r>
            <w:r w:rsidRPr="006F2687">
              <w:rPr>
                <w:rFonts w:ascii="Arial" w:hAnsi="Arial" w:cs="Arial"/>
              </w:rPr>
              <w:t>●</w:t>
            </w:r>
            <w:r w:rsidRPr="00F94B27">
              <w:rPr>
                <w:b/>
              </w:rPr>
              <w:t>]</w:t>
            </w:r>
          </w:p>
        </w:tc>
        <w:tc>
          <w:tcPr>
            <w:tcW w:w="266" w:type="pct"/>
            <w:gridSpan w:val="2"/>
            <w:tcBorders>
              <w:left w:val="single" w:sz="4" w:space="0" w:color="auto"/>
            </w:tcBorders>
          </w:tcPr>
          <w:p w:rsidR="00BA5F20" w:rsidRPr="006F2687" w:rsidP="00BA5F20">
            <w:pPr>
              <w:pStyle w:val="CSBody0"/>
            </w:pPr>
          </w:p>
        </w:tc>
      </w:tr>
      <w:tr w:rsidTr="00942F00">
        <w:tblPrEx>
          <w:tblW w:w="5000" w:type="pct"/>
          <w:tblLayout w:type="fixed"/>
          <w:tblLook w:val="04A0"/>
        </w:tblPrEx>
        <w:tc>
          <w:tcPr>
            <w:tcW w:w="326" w:type="pct"/>
            <w:gridSpan w:val="5"/>
            <w:tcBorders>
              <w:right w:val="single" w:sz="4" w:space="0" w:color="auto"/>
            </w:tcBorders>
          </w:tcPr>
          <w:p w:rsidR="00BA5F20" w:rsidRPr="000B0E99" w:rsidP="00BA5F20">
            <w:pPr>
              <w:pStyle w:val="CSBody0italic"/>
              <w:rPr>
                <w:lang w:val="de-DE"/>
              </w:rPr>
            </w:pPr>
          </w:p>
        </w:tc>
        <w:tc>
          <w:tcPr>
            <w:tcW w:w="1164" w:type="pct"/>
            <w:gridSpan w:val="5"/>
            <w:tcBorders>
              <w:top w:val="single" w:sz="4" w:space="0" w:color="auto"/>
              <w:left w:val="single" w:sz="4" w:space="0" w:color="auto"/>
              <w:bottom w:val="single" w:sz="4" w:space="0" w:color="auto"/>
              <w:right w:val="single" w:sz="4" w:space="0" w:color="auto"/>
            </w:tcBorders>
          </w:tcPr>
          <w:p w:rsidR="00BA5F20" w:rsidRPr="006F2687" w:rsidP="00BA5F20">
            <w:pPr>
              <w:pStyle w:val="CSBody0italic"/>
            </w:pPr>
            <w:r w:rsidRPr="006F2687">
              <w:t>(repeat for each additional Interest Payment Date)</w:t>
            </w:r>
          </w:p>
        </w:tc>
        <w:tc>
          <w:tcPr>
            <w:tcW w:w="1008" w:type="pct"/>
            <w:gridSpan w:val="3"/>
            <w:tcBorders>
              <w:top w:val="single" w:sz="4" w:space="0" w:color="auto"/>
              <w:left w:val="single" w:sz="4" w:space="0" w:color="auto"/>
              <w:bottom w:val="single" w:sz="4" w:space="0" w:color="auto"/>
              <w:right w:val="single" w:sz="4" w:space="0" w:color="auto"/>
            </w:tcBorders>
          </w:tcPr>
          <w:p w:rsidR="00BA5F20" w:rsidRPr="006F2687" w:rsidP="00BA5F20">
            <w:pPr>
              <w:pStyle w:val="CSBody0italic"/>
            </w:pPr>
            <w:r w:rsidRPr="006F2687">
              <w:t>(repeat for each additional Barrier Observation Date)</w:t>
            </w:r>
          </w:p>
        </w:tc>
        <w:tc>
          <w:tcPr>
            <w:tcW w:w="874" w:type="pct"/>
            <w:gridSpan w:val="4"/>
            <w:tcBorders>
              <w:top w:val="single" w:sz="4" w:space="0" w:color="auto"/>
              <w:left w:val="single" w:sz="4" w:space="0" w:color="auto"/>
              <w:bottom w:val="single" w:sz="4" w:space="0" w:color="auto"/>
              <w:right w:val="single" w:sz="4" w:space="0" w:color="auto"/>
            </w:tcBorders>
          </w:tcPr>
          <w:p w:rsidR="00BA5F20" w:rsidRPr="00BA5F20" w:rsidP="00BA5F20">
            <w:pPr>
              <w:pStyle w:val="CSBody0italic"/>
              <w:rPr>
                <w:lang w:val="de-DE"/>
              </w:rPr>
            </w:pPr>
            <w:r w:rsidRPr="00BA5F20">
              <w:rPr>
                <w:lang w:val="de-DE"/>
              </w:rPr>
              <w:t>(für jeden weiteren Zinszahlungstag wiederholen)</w:t>
            </w:r>
          </w:p>
        </w:tc>
        <w:tc>
          <w:tcPr>
            <w:tcW w:w="1362" w:type="pct"/>
            <w:gridSpan w:val="9"/>
            <w:tcBorders>
              <w:top w:val="single" w:sz="4" w:space="0" w:color="auto"/>
              <w:left w:val="single" w:sz="4" w:space="0" w:color="auto"/>
              <w:bottom w:val="single" w:sz="4" w:space="0" w:color="auto"/>
              <w:right w:val="single" w:sz="4" w:space="0" w:color="auto"/>
            </w:tcBorders>
          </w:tcPr>
          <w:p w:rsidR="00BA5F20" w:rsidRPr="00BA5F20" w:rsidP="00BA5F20">
            <w:pPr>
              <w:pStyle w:val="CSBody0italic"/>
              <w:rPr>
                <w:lang w:val="de-DE"/>
              </w:rPr>
            </w:pPr>
            <w:r w:rsidRPr="00BA5F20">
              <w:rPr>
                <w:lang w:val="de-DE"/>
              </w:rPr>
              <w:t>(für jeden weiteren Barriere-Beobachtungstag wiederholen)</w:t>
            </w:r>
            <w:r w:rsidRPr="00F94B27" w:rsidR="00F94B27">
              <w:rPr>
                <w:b/>
                <w:lang w:val="de-DE"/>
              </w:rPr>
              <w:t>]</w:t>
            </w:r>
          </w:p>
        </w:tc>
        <w:tc>
          <w:tcPr>
            <w:tcW w:w="266" w:type="pct"/>
            <w:gridSpan w:val="2"/>
            <w:tcBorders>
              <w:left w:val="single" w:sz="4" w:space="0" w:color="auto"/>
            </w:tcBorders>
          </w:tcPr>
          <w:p w:rsidR="00BA5F20" w:rsidRPr="00BA5F20" w:rsidP="00BA5F20">
            <w:pPr>
              <w:pStyle w:val="CSBody0italic"/>
              <w:rPr>
                <w:lang w:val="de-DE"/>
              </w:rPr>
            </w:pPr>
          </w:p>
        </w:tc>
      </w:tr>
      <w:tr w:rsidTr="00942F00">
        <w:tblPrEx>
          <w:tblW w:w="5000" w:type="pct"/>
          <w:tblLayout w:type="fixed"/>
          <w:tblLook w:val="04A0"/>
        </w:tblPrEx>
        <w:tc>
          <w:tcPr>
            <w:tcW w:w="326" w:type="pct"/>
            <w:gridSpan w:val="5"/>
          </w:tcPr>
          <w:p w:rsidR="00BA5F20" w:rsidRPr="00BA5F20" w:rsidP="00C57053">
            <w:pPr>
              <w:pStyle w:val="CSBody0"/>
              <w:rPr>
                <w:lang w:val="de-DE"/>
              </w:rPr>
            </w:pPr>
          </w:p>
        </w:tc>
        <w:tc>
          <w:tcPr>
            <w:tcW w:w="1164" w:type="pct"/>
            <w:gridSpan w:val="5"/>
            <w:tcBorders>
              <w:top w:val="single" w:sz="4" w:space="0" w:color="auto"/>
            </w:tcBorders>
          </w:tcPr>
          <w:p w:rsidR="00BA5F20" w:rsidRPr="00BA5F20" w:rsidP="00C57053">
            <w:pPr>
              <w:pStyle w:val="CSBody0"/>
              <w:rPr>
                <w:lang w:val="de-DE"/>
              </w:rPr>
            </w:pPr>
          </w:p>
        </w:tc>
        <w:tc>
          <w:tcPr>
            <w:tcW w:w="1008" w:type="pct"/>
            <w:gridSpan w:val="3"/>
            <w:tcBorders>
              <w:top w:val="single" w:sz="4" w:space="0" w:color="auto"/>
            </w:tcBorders>
          </w:tcPr>
          <w:p w:rsidR="00BA5F20" w:rsidRPr="00BA5F20" w:rsidP="00C57053">
            <w:pPr>
              <w:pStyle w:val="CSBody0"/>
              <w:rPr>
                <w:lang w:val="de-DE"/>
              </w:rPr>
            </w:pPr>
          </w:p>
        </w:tc>
        <w:tc>
          <w:tcPr>
            <w:tcW w:w="874" w:type="pct"/>
            <w:gridSpan w:val="4"/>
            <w:tcBorders>
              <w:top w:val="single" w:sz="4" w:space="0" w:color="auto"/>
            </w:tcBorders>
          </w:tcPr>
          <w:p w:rsidR="00BA5F20" w:rsidRPr="00BA5F20" w:rsidP="00C57053">
            <w:pPr>
              <w:pStyle w:val="CSBody0"/>
              <w:rPr>
                <w:lang w:val="de-DE"/>
              </w:rPr>
            </w:pPr>
          </w:p>
        </w:tc>
        <w:tc>
          <w:tcPr>
            <w:tcW w:w="1362" w:type="pct"/>
            <w:gridSpan w:val="9"/>
            <w:tcBorders>
              <w:top w:val="single" w:sz="4" w:space="0" w:color="auto"/>
            </w:tcBorders>
          </w:tcPr>
          <w:p w:rsidR="00BA5F20" w:rsidRPr="00BA5F20" w:rsidP="00C57053">
            <w:pPr>
              <w:pStyle w:val="CSBody0"/>
              <w:rPr>
                <w:lang w:val="de-DE"/>
              </w:rPr>
            </w:pPr>
          </w:p>
        </w:tc>
        <w:tc>
          <w:tcPr>
            <w:tcW w:w="266" w:type="pct"/>
            <w:gridSpan w:val="2"/>
          </w:tcPr>
          <w:p w:rsidR="00BA5F20" w:rsidRPr="00BA5F20" w:rsidP="00C57053">
            <w:pPr>
              <w:pStyle w:val="CSBody0"/>
              <w:rPr>
                <w:lang w:val="de-DE"/>
              </w:rPr>
            </w:pPr>
          </w:p>
        </w:tc>
      </w:tr>
      <w:tr w:rsidTr="00942F00">
        <w:tblPrEx>
          <w:tblW w:w="5000" w:type="pct"/>
          <w:tblLayout w:type="fixed"/>
          <w:tblLook w:val="04A0"/>
        </w:tblPrEx>
        <w:tc>
          <w:tcPr>
            <w:tcW w:w="2498" w:type="pct"/>
            <w:gridSpan w:val="13"/>
            <w:tcBorders>
              <w:right w:val="single" w:sz="4" w:space="0" w:color="auto"/>
            </w:tcBorders>
          </w:tcPr>
          <w:p w:rsidR="00BA5F20" w:rsidRPr="00BA5F20" w:rsidP="00BA5F20">
            <w:pPr>
              <w:pStyle w:val="CSbody0bolditalic"/>
              <w:rPr>
                <w:lang w:val="en-GB"/>
              </w:rPr>
            </w:pPr>
            <w:r w:rsidRPr="00F94B27">
              <w:rPr>
                <w:lang w:val="en-GB"/>
              </w:rPr>
              <w:t>[</w:t>
            </w:r>
            <w:r w:rsidRPr="00BA5F20">
              <w:rPr>
                <w:lang w:val="en-GB"/>
              </w:rPr>
              <w:t>in case of Spread Range Accrual Notes or Range Accrual Notes with multiple Interest Payment Dates and Barrier Observation Periods:</w:t>
            </w:r>
          </w:p>
        </w:tc>
        <w:tc>
          <w:tcPr>
            <w:tcW w:w="2502" w:type="pct"/>
            <w:gridSpan w:val="15"/>
            <w:tcBorders>
              <w:left w:val="single" w:sz="4" w:space="0" w:color="auto"/>
            </w:tcBorders>
          </w:tcPr>
          <w:p w:rsidR="00BA5F20" w:rsidRPr="00BA5F20" w:rsidP="00BA5F20">
            <w:pPr>
              <w:pStyle w:val="CSbody0bolditalic"/>
            </w:pPr>
            <w:r w:rsidRPr="00F94B27">
              <w:t>[</w:t>
            </w:r>
            <w:r w:rsidRPr="00BA5F20">
              <w:t>bei Spread Range Accrual Notes oder Range Accrual Notes mit mehreren Zinszahlungstagen und Barriere-Beobachtungszeiträumen:</w:t>
            </w:r>
          </w:p>
        </w:tc>
      </w:tr>
      <w:tr w:rsidTr="00942F00">
        <w:tblPrEx>
          <w:tblW w:w="5000" w:type="pct"/>
          <w:tblLayout w:type="fixed"/>
          <w:tblLook w:val="04A0"/>
        </w:tblPrEx>
        <w:tc>
          <w:tcPr>
            <w:tcW w:w="2498" w:type="pct"/>
            <w:gridSpan w:val="13"/>
          </w:tcPr>
          <w:p w:rsidR="000B0E99" w:rsidRPr="00BA5F20" w:rsidP="00C57053">
            <w:pPr>
              <w:pStyle w:val="CSBody0"/>
              <w:rPr>
                <w:lang w:val="de-DE"/>
              </w:rPr>
            </w:pPr>
          </w:p>
        </w:tc>
        <w:tc>
          <w:tcPr>
            <w:tcW w:w="2502" w:type="pct"/>
            <w:gridSpan w:val="15"/>
          </w:tcPr>
          <w:p w:rsidR="000B0E99" w:rsidRPr="00BA5F20" w:rsidP="00C57053">
            <w:pPr>
              <w:pStyle w:val="CSBody0"/>
              <w:rPr>
                <w:lang w:val="de-DE"/>
              </w:rPr>
            </w:pPr>
          </w:p>
        </w:tc>
      </w:tr>
      <w:tr w:rsidTr="00942F00">
        <w:tblPrEx>
          <w:tblW w:w="5000" w:type="pct"/>
          <w:tblLayout w:type="fixed"/>
          <w:tblLook w:val="04A0"/>
        </w:tblPrEx>
        <w:tc>
          <w:tcPr>
            <w:tcW w:w="326" w:type="pct"/>
            <w:gridSpan w:val="5"/>
            <w:tcBorders>
              <w:right w:val="single" w:sz="4" w:space="0" w:color="auto"/>
            </w:tcBorders>
          </w:tcPr>
          <w:p w:rsidR="00BA5F20" w:rsidRPr="00BA5F20" w:rsidP="00BA5F20">
            <w:pPr>
              <w:pStyle w:val="CSBody0"/>
              <w:rPr>
                <w:lang w:val="de-DE"/>
              </w:rPr>
            </w:pPr>
          </w:p>
        </w:tc>
        <w:tc>
          <w:tcPr>
            <w:tcW w:w="1164" w:type="pct"/>
            <w:gridSpan w:val="5"/>
            <w:tcBorders>
              <w:top w:val="single" w:sz="4" w:space="0" w:color="auto"/>
              <w:left w:val="single" w:sz="4" w:space="0" w:color="auto"/>
              <w:bottom w:val="single" w:sz="4" w:space="0" w:color="auto"/>
              <w:right w:val="single" w:sz="4" w:space="0" w:color="auto"/>
            </w:tcBorders>
          </w:tcPr>
          <w:p w:rsidR="00BA5F20" w:rsidRPr="004E3C24" w:rsidP="00BA5F20">
            <w:pPr>
              <w:pStyle w:val="CSBody0"/>
            </w:pPr>
            <w:r w:rsidRPr="004E3C24">
              <w:t>Interest Payment Date</w:t>
            </w:r>
          </w:p>
        </w:tc>
        <w:tc>
          <w:tcPr>
            <w:tcW w:w="1008" w:type="pct"/>
            <w:gridSpan w:val="3"/>
            <w:tcBorders>
              <w:top w:val="single" w:sz="4" w:space="0" w:color="auto"/>
              <w:left w:val="single" w:sz="4" w:space="0" w:color="auto"/>
              <w:bottom w:val="single" w:sz="4" w:space="0" w:color="auto"/>
              <w:right w:val="single" w:sz="4" w:space="0" w:color="auto"/>
            </w:tcBorders>
          </w:tcPr>
          <w:p w:rsidR="00BA5F20" w:rsidRPr="004E3C24" w:rsidP="00BA5F20">
            <w:pPr>
              <w:pStyle w:val="CSBody0"/>
            </w:pPr>
            <w:r w:rsidRPr="004E3C24">
              <w:t>Barrier Observation Date</w:t>
            </w:r>
          </w:p>
        </w:tc>
        <w:tc>
          <w:tcPr>
            <w:tcW w:w="869" w:type="pct"/>
            <w:gridSpan w:val="3"/>
            <w:tcBorders>
              <w:top w:val="single" w:sz="4" w:space="0" w:color="auto"/>
              <w:left w:val="single" w:sz="4" w:space="0" w:color="auto"/>
              <w:bottom w:val="single" w:sz="4" w:space="0" w:color="auto"/>
              <w:right w:val="single" w:sz="4" w:space="0" w:color="auto"/>
            </w:tcBorders>
          </w:tcPr>
          <w:p w:rsidR="00BA5F20" w:rsidRPr="004E3C24" w:rsidP="00BA5F20">
            <w:pPr>
              <w:pStyle w:val="CSBody0"/>
            </w:pPr>
            <w:r w:rsidRPr="004E3C24">
              <w:t>Zinszahlungstag</w:t>
            </w:r>
          </w:p>
        </w:tc>
        <w:tc>
          <w:tcPr>
            <w:tcW w:w="1367" w:type="pct"/>
            <w:gridSpan w:val="10"/>
            <w:tcBorders>
              <w:top w:val="single" w:sz="4" w:space="0" w:color="auto"/>
              <w:left w:val="single" w:sz="4" w:space="0" w:color="auto"/>
              <w:bottom w:val="single" w:sz="4" w:space="0" w:color="auto"/>
              <w:right w:val="single" w:sz="4" w:space="0" w:color="auto"/>
            </w:tcBorders>
          </w:tcPr>
          <w:p w:rsidR="00BA5F20" w:rsidRPr="004E3C24" w:rsidP="00BA5F20">
            <w:pPr>
              <w:pStyle w:val="CSBody0"/>
            </w:pPr>
            <w:r w:rsidRPr="004E3C24">
              <w:t>Barriere-Beobachtungszeitraum</w:t>
            </w:r>
          </w:p>
        </w:tc>
        <w:tc>
          <w:tcPr>
            <w:tcW w:w="266" w:type="pct"/>
            <w:gridSpan w:val="2"/>
            <w:tcBorders>
              <w:left w:val="single" w:sz="4" w:space="0" w:color="auto"/>
            </w:tcBorders>
          </w:tcPr>
          <w:p w:rsidR="00BA5F20" w:rsidRPr="00BA5F20" w:rsidP="00BA5F20">
            <w:pPr>
              <w:pStyle w:val="CSBody0"/>
              <w:rPr>
                <w:lang w:val="de-DE"/>
              </w:rPr>
            </w:pPr>
          </w:p>
        </w:tc>
      </w:tr>
      <w:tr w:rsidTr="00942F00">
        <w:tblPrEx>
          <w:tblW w:w="5000" w:type="pct"/>
          <w:tblLayout w:type="fixed"/>
          <w:tblLook w:val="04A0"/>
        </w:tblPrEx>
        <w:tc>
          <w:tcPr>
            <w:tcW w:w="326" w:type="pct"/>
            <w:gridSpan w:val="5"/>
            <w:tcBorders>
              <w:right w:val="single" w:sz="4" w:space="0" w:color="auto"/>
            </w:tcBorders>
          </w:tcPr>
          <w:p w:rsidR="00BA5F20" w:rsidRPr="00BA5F20" w:rsidP="00BA5F20">
            <w:pPr>
              <w:pStyle w:val="CSBody0"/>
              <w:rPr>
                <w:lang w:val="de-DE"/>
              </w:rPr>
            </w:pPr>
          </w:p>
        </w:tc>
        <w:tc>
          <w:tcPr>
            <w:tcW w:w="1164" w:type="pct"/>
            <w:gridSpan w:val="5"/>
            <w:tcBorders>
              <w:top w:val="single" w:sz="4" w:space="0" w:color="auto"/>
              <w:left w:val="single" w:sz="4" w:space="0" w:color="auto"/>
              <w:bottom w:val="single" w:sz="4" w:space="0" w:color="auto"/>
              <w:right w:val="single" w:sz="4" w:space="0" w:color="auto"/>
            </w:tcBorders>
          </w:tcPr>
          <w:p w:rsidR="00BA5F20" w:rsidRPr="004E3C24" w:rsidP="00BA5F20">
            <w:pPr>
              <w:pStyle w:val="CSBody0"/>
            </w:pPr>
            <w:r w:rsidRPr="00F94B27">
              <w:rPr>
                <w:b/>
              </w:rPr>
              <w:t>[</w:t>
            </w:r>
            <w:r w:rsidRPr="004E3C24">
              <w:rPr>
                <w:rFonts w:ascii="Arial" w:hAnsi="Arial" w:cs="Arial"/>
              </w:rPr>
              <w:t>●</w:t>
            </w:r>
            <w:r w:rsidRPr="00F94B27">
              <w:rPr>
                <w:b/>
              </w:rPr>
              <w:t>]</w:t>
            </w:r>
          </w:p>
        </w:tc>
        <w:tc>
          <w:tcPr>
            <w:tcW w:w="1008" w:type="pct"/>
            <w:gridSpan w:val="3"/>
            <w:tcBorders>
              <w:top w:val="single" w:sz="4" w:space="0" w:color="auto"/>
              <w:left w:val="single" w:sz="4" w:space="0" w:color="auto"/>
              <w:bottom w:val="single" w:sz="4" w:space="0" w:color="auto"/>
              <w:right w:val="single" w:sz="4" w:space="0" w:color="auto"/>
            </w:tcBorders>
          </w:tcPr>
          <w:p w:rsidR="00BA5F20" w:rsidRPr="004E3C24" w:rsidP="00BA5F20">
            <w:pPr>
              <w:pStyle w:val="CSBody0"/>
            </w:pPr>
            <w:r w:rsidRPr="00F94B27">
              <w:rPr>
                <w:b/>
              </w:rPr>
              <w:t>[</w:t>
            </w:r>
            <w:r w:rsidRPr="004E3C24">
              <w:rPr>
                <w:rFonts w:ascii="Arial" w:hAnsi="Arial" w:cs="Arial"/>
              </w:rPr>
              <w:t>●</w:t>
            </w:r>
            <w:r w:rsidRPr="00F94B27">
              <w:rPr>
                <w:b/>
              </w:rPr>
              <w:t>]</w:t>
            </w:r>
          </w:p>
        </w:tc>
        <w:tc>
          <w:tcPr>
            <w:tcW w:w="869" w:type="pct"/>
            <w:gridSpan w:val="3"/>
            <w:tcBorders>
              <w:top w:val="single" w:sz="4" w:space="0" w:color="auto"/>
              <w:left w:val="single" w:sz="4" w:space="0" w:color="auto"/>
              <w:bottom w:val="single" w:sz="4" w:space="0" w:color="auto"/>
              <w:right w:val="single" w:sz="4" w:space="0" w:color="auto"/>
            </w:tcBorders>
          </w:tcPr>
          <w:p w:rsidR="00BA5F20" w:rsidRPr="004E3C24" w:rsidP="00BA5F20">
            <w:pPr>
              <w:pStyle w:val="CSBody0"/>
            </w:pPr>
            <w:r w:rsidRPr="00F94B27">
              <w:rPr>
                <w:b/>
              </w:rPr>
              <w:t>[</w:t>
            </w:r>
            <w:r w:rsidRPr="004E3C24">
              <w:rPr>
                <w:rFonts w:ascii="Arial" w:hAnsi="Arial" w:cs="Arial"/>
              </w:rPr>
              <w:t>●</w:t>
            </w:r>
            <w:r w:rsidRPr="00F94B27">
              <w:rPr>
                <w:b/>
              </w:rPr>
              <w:t>]</w:t>
            </w:r>
          </w:p>
        </w:tc>
        <w:tc>
          <w:tcPr>
            <w:tcW w:w="1367" w:type="pct"/>
            <w:gridSpan w:val="10"/>
            <w:tcBorders>
              <w:top w:val="single" w:sz="4" w:space="0" w:color="auto"/>
              <w:left w:val="single" w:sz="4" w:space="0" w:color="auto"/>
              <w:bottom w:val="single" w:sz="4" w:space="0" w:color="auto"/>
              <w:right w:val="single" w:sz="4" w:space="0" w:color="auto"/>
            </w:tcBorders>
          </w:tcPr>
          <w:p w:rsidR="00BA5F20" w:rsidRPr="004E3C24" w:rsidP="00BA5F20">
            <w:pPr>
              <w:pStyle w:val="CSBody0"/>
            </w:pPr>
            <w:r w:rsidRPr="00F94B27">
              <w:rPr>
                <w:b/>
              </w:rPr>
              <w:t>[</w:t>
            </w:r>
            <w:r w:rsidRPr="004E3C24">
              <w:rPr>
                <w:rFonts w:ascii="Arial" w:hAnsi="Arial" w:cs="Arial"/>
              </w:rPr>
              <w:t>●</w:t>
            </w:r>
            <w:r w:rsidRPr="00F94B27">
              <w:rPr>
                <w:b/>
              </w:rPr>
              <w:t>]</w:t>
            </w:r>
          </w:p>
        </w:tc>
        <w:tc>
          <w:tcPr>
            <w:tcW w:w="266" w:type="pct"/>
            <w:gridSpan w:val="2"/>
            <w:tcBorders>
              <w:left w:val="single" w:sz="4" w:space="0" w:color="auto"/>
            </w:tcBorders>
          </w:tcPr>
          <w:p w:rsidR="00BA5F20" w:rsidRPr="00BA5F20" w:rsidP="00BA5F20">
            <w:pPr>
              <w:pStyle w:val="CSBody0"/>
              <w:rPr>
                <w:lang w:val="de-DE"/>
              </w:rPr>
            </w:pPr>
          </w:p>
        </w:tc>
      </w:tr>
      <w:tr w:rsidTr="00942F00">
        <w:tblPrEx>
          <w:tblW w:w="5000" w:type="pct"/>
          <w:tblLayout w:type="fixed"/>
          <w:tblLook w:val="04A0"/>
        </w:tblPrEx>
        <w:tc>
          <w:tcPr>
            <w:tcW w:w="326" w:type="pct"/>
            <w:gridSpan w:val="5"/>
            <w:tcBorders>
              <w:right w:val="single" w:sz="4" w:space="0" w:color="auto"/>
            </w:tcBorders>
          </w:tcPr>
          <w:p w:rsidR="00BA5F20" w:rsidRPr="002F7676" w:rsidP="002F7676">
            <w:pPr>
              <w:pStyle w:val="CSBody0italic"/>
            </w:pPr>
          </w:p>
        </w:tc>
        <w:tc>
          <w:tcPr>
            <w:tcW w:w="1164" w:type="pct"/>
            <w:gridSpan w:val="5"/>
            <w:tcBorders>
              <w:top w:val="single" w:sz="4" w:space="0" w:color="auto"/>
              <w:left w:val="single" w:sz="4" w:space="0" w:color="auto"/>
              <w:bottom w:val="single" w:sz="4" w:space="0" w:color="auto"/>
              <w:right w:val="single" w:sz="4" w:space="0" w:color="auto"/>
            </w:tcBorders>
          </w:tcPr>
          <w:p w:rsidR="00BA5F20" w:rsidRPr="002F7676" w:rsidP="002F7676">
            <w:pPr>
              <w:pStyle w:val="CSBody0italic"/>
            </w:pPr>
            <w:r w:rsidRPr="002F7676">
              <w:t>(repeat for each additional Interest Payment Date)</w:t>
            </w:r>
          </w:p>
        </w:tc>
        <w:tc>
          <w:tcPr>
            <w:tcW w:w="1008" w:type="pct"/>
            <w:gridSpan w:val="3"/>
            <w:tcBorders>
              <w:top w:val="single" w:sz="4" w:space="0" w:color="auto"/>
              <w:left w:val="single" w:sz="4" w:space="0" w:color="auto"/>
              <w:bottom w:val="single" w:sz="4" w:space="0" w:color="auto"/>
              <w:right w:val="single" w:sz="4" w:space="0" w:color="auto"/>
            </w:tcBorders>
          </w:tcPr>
          <w:p w:rsidR="00BA5F20" w:rsidRPr="002F7676" w:rsidP="002F7676">
            <w:pPr>
              <w:pStyle w:val="CSBody0italic"/>
            </w:pPr>
            <w:r w:rsidRPr="002F7676">
              <w:t>(repeat for each additional Barrier Observation Period)</w:t>
            </w:r>
          </w:p>
        </w:tc>
        <w:tc>
          <w:tcPr>
            <w:tcW w:w="869" w:type="pct"/>
            <w:gridSpan w:val="3"/>
            <w:tcBorders>
              <w:top w:val="single" w:sz="4" w:space="0" w:color="auto"/>
              <w:left w:val="single" w:sz="4" w:space="0" w:color="auto"/>
              <w:bottom w:val="single" w:sz="4" w:space="0" w:color="auto"/>
              <w:right w:val="single" w:sz="4" w:space="0" w:color="auto"/>
            </w:tcBorders>
          </w:tcPr>
          <w:p w:rsidR="00BA5F20" w:rsidRPr="00E60ECB" w:rsidP="002F7676">
            <w:pPr>
              <w:pStyle w:val="CSBody0italic"/>
              <w:rPr>
                <w:lang w:val="de-DE"/>
              </w:rPr>
            </w:pPr>
            <w:r w:rsidRPr="00E60ECB">
              <w:rPr>
                <w:lang w:val="de-DE"/>
              </w:rPr>
              <w:t>(für jeden weiteren Zinszahlungstag wiederholen)</w:t>
            </w:r>
          </w:p>
        </w:tc>
        <w:tc>
          <w:tcPr>
            <w:tcW w:w="1367" w:type="pct"/>
            <w:gridSpan w:val="10"/>
            <w:tcBorders>
              <w:top w:val="single" w:sz="4" w:space="0" w:color="auto"/>
              <w:left w:val="single" w:sz="4" w:space="0" w:color="auto"/>
              <w:bottom w:val="single" w:sz="4" w:space="0" w:color="auto"/>
              <w:right w:val="single" w:sz="4" w:space="0" w:color="auto"/>
            </w:tcBorders>
          </w:tcPr>
          <w:p w:rsidR="00BA5F20" w:rsidRPr="00E60ECB" w:rsidP="002F7676">
            <w:pPr>
              <w:pStyle w:val="CSBody0italic"/>
              <w:rPr>
                <w:lang w:val="de-DE"/>
              </w:rPr>
            </w:pPr>
            <w:r w:rsidRPr="00E60ECB">
              <w:rPr>
                <w:lang w:val="de-DE"/>
              </w:rPr>
              <w:t>(für jeden weiteren Barriere-Beobachtungstag wiederholen)</w:t>
            </w:r>
            <w:r w:rsidRPr="00F94B27" w:rsidR="00F94B27">
              <w:rPr>
                <w:b/>
                <w:lang w:val="de-DE"/>
              </w:rPr>
              <w:t>]</w:t>
            </w:r>
          </w:p>
        </w:tc>
        <w:tc>
          <w:tcPr>
            <w:tcW w:w="266" w:type="pct"/>
            <w:gridSpan w:val="2"/>
            <w:tcBorders>
              <w:left w:val="single" w:sz="4" w:space="0" w:color="auto"/>
            </w:tcBorders>
          </w:tcPr>
          <w:p w:rsidR="00BA5F20" w:rsidRPr="00E60ECB" w:rsidP="002F7676">
            <w:pPr>
              <w:pStyle w:val="CSBody0italic"/>
              <w:rPr>
                <w:lang w:val="de-DE"/>
              </w:rPr>
            </w:pPr>
          </w:p>
        </w:tc>
      </w:tr>
      <w:tr w:rsidTr="00942F00">
        <w:tblPrEx>
          <w:tblW w:w="5000" w:type="pct"/>
          <w:tblLayout w:type="fixed"/>
          <w:tblLook w:val="04A0"/>
        </w:tblPrEx>
        <w:tc>
          <w:tcPr>
            <w:tcW w:w="326" w:type="pct"/>
            <w:gridSpan w:val="5"/>
          </w:tcPr>
          <w:p w:rsidR="005E49F4" w:rsidRPr="005707A0" w:rsidP="002F7676">
            <w:pPr>
              <w:pStyle w:val="CSBody0italic"/>
              <w:rPr>
                <w:lang w:val="de-DE"/>
              </w:rPr>
            </w:pPr>
          </w:p>
        </w:tc>
        <w:tc>
          <w:tcPr>
            <w:tcW w:w="1164" w:type="pct"/>
            <w:gridSpan w:val="5"/>
            <w:tcBorders>
              <w:top w:val="single" w:sz="4" w:space="0" w:color="auto"/>
            </w:tcBorders>
          </w:tcPr>
          <w:p w:rsidR="005E49F4" w:rsidRPr="005707A0" w:rsidP="002F7676">
            <w:pPr>
              <w:pStyle w:val="CSBody0italic"/>
              <w:rPr>
                <w:lang w:val="de-DE"/>
              </w:rPr>
            </w:pPr>
          </w:p>
        </w:tc>
        <w:tc>
          <w:tcPr>
            <w:tcW w:w="1008" w:type="pct"/>
            <w:gridSpan w:val="3"/>
            <w:tcBorders>
              <w:top w:val="single" w:sz="4" w:space="0" w:color="auto"/>
            </w:tcBorders>
          </w:tcPr>
          <w:p w:rsidR="005E49F4" w:rsidRPr="005707A0" w:rsidP="002F7676">
            <w:pPr>
              <w:pStyle w:val="CSBody0italic"/>
              <w:rPr>
                <w:lang w:val="de-DE"/>
              </w:rPr>
            </w:pPr>
          </w:p>
        </w:tc>
        <w:tc>
          <w:tcPr>
            <w:tcW w:w="869" w:type="pct"/>
            <w:gridSpan w:val="3"/>
            <w:tcBorders>
              <w:top w:val="single" w:sz="4" w:space="0" w:color="auto"/>
            </w:tcBorders>
          </w:tcPr>
          <w:p w:rsidR="005E49F4" w:rsidRPr="00E60ECB" w:rsidP="002F7676">
            <w:pPr>
              <w:pStyle w:val="CSBody0italic"/>
              <w:rPr>
                <w:lang w:val="de-DE"/>
              </w:rPr>
            </w:pPr>
          </w:p>
        </w:tc>
        <w:tc>
          <w:tcPr>
            <w:tcW w:w="1367" w:type="pct"/>
            <w:gridSpan w:val="10"/>
            <w:tcBorders>
              <w:top w:val="single" w:sz="4" w:space="0" w:color="auto"/>
            </w:tcBorders>
          </w:tcPr>
          <w:p w:rsidR="005E49F4" w:rsidRPr="00E60ECB" w:rsidP="002F7676">
            <w:pPr>
              <w:pStyle w:val="CSBody0italic"/>
              <w:rPr>
                <w:lang w:val="de-DE"/>
              </w:rPr>
            </w:pPr>
          </w:p>
        </w:tc>
        <w:tc>
          <w:tcPr>
            <w:tcW w:w="266" w:type="pct"/>
            <w:gridSpan w:val="2"/>
          </w:tcPr>
          <w:p w:rsidR="005E49F4" w:rsidRPr="00E60ECB" w:rsidP="002F7676">
            <w:pPr>
              <w:pStyle w:val="CSBody0italic"/>
              <w:rPr>
                <w:lang w:val="de-DE"/>
              </w:rPr>
            </w:pPr>
          </w:p>
        </w:tc>
      </w:tr>
      <w:tr w:rsidTr="00942F00">
        <w:tblPrEx>
          <w:tblW w:w="5000" w:type="pct"/>
          <w:tblLayout w:type="fixed"/>
          <w:tblLook w:val="04A0"/>
        </w:tblPrEx>
        <w:tc>
          <w:tcPr>
            <w:tcW w:w="2498" w:type="pct"/>
            <w:gridSpan w:val="13"/>
            <w:tcBorders>
              <w:right w:val="single" w:sz="4" w:space="0" w:color="auto"/>
            </w:tcBorders>
          </w:tcPr>
          <w:p w:rsidR="002F7676" w:rsidRPr="00410222" w:rsidP="002F7676">
            <w:pPr>
              <w:pStyle w:val="CSbody0bold"/>
            </w:pPr>
            <w:r w:rsidRPr="00F94B27">
              <w:t>[</w:t>
            </w:r>
            <w:r w:rsidRPr="00410222">
              <w:t>C.16: Final Redemption Date</w:t>
            </w:r>
            <w:r>
              <w:rPr>
                <w:rStyle w:val="FootnoteReference"/>
              </w:rPr>
              <w:footnoteReference w:id="8"/>
            </w:r>
          </w:p>
        </w:tc>
        <w:tc>
          <w:tcPr>
            <w:tcW w:w="2502" w:type="pct"/>
            <w:gridSpan w:val="15"/>
            <w:tcBorders>
              <w:left w:val="single" w:sz="4" w:space="0" w:color="auto"/>
            </w:tcBorders>
          </w:tcPr>
          <w:p w:rsidR="002F7676" w:rsidRPr="00410222" w:rsidP="002F7676">
            <w:pPr>
              <w:pStyle w:val="CSbody0bold"/>
            </w:pPr>
            <w:r w:rsidRPr="00F94B27">
              <w:t>[</w:t>
            </w:r>
            <w:r>
              <w:t>C.16: Finaler Rückzahlungstag</w:t>
            </w:r>
            <w:r>
              <w:rPr>
                <w:rStyle w:val="FootnoteReference"/>
              </w:rPr>
              <w:footnoteReference w:id="9"/>
            </w:r>
          </w:p>
        </w:tc>
      </w:tr>
      <w:tr w:rsidTr="00942F00">
        <w:tblPrEx>
          <w:tblW w:w="5000" w:type="pct"/>
          <w:tblLayout w:type="fixed"/>
          <w:tblLook w:val="04A0"/>
        </w:tblPrEx>
        <w:tc>
          <w:tcPr>
            <w:tcW w:w="2498" w:type="pct"/>
            <w:gridSpan w:val="13"/>
            <w:tcBorders>
              <w:right w:val="single" w:sz="4" w:space="0" w:color="auto"/>
            </w:tcBorders>
          </w:tcPr>
          <w:p w:rsidR="002F7676" w:rsidRPr="00E60ECB" w:rsidP="002F7676">
            <w:pPr>
              <w:pStyle w:val="CSbody0bolditalic"/>
              <w:rPr>
                <w:lang w:val="en-GB"/>
              </w:rPr>
            </w:pPr>
            <w:r w:rsidRPr="00F94B27">
              <w:rPr>
                <w:lang w:val="en-GB"/>
              </w:rPr>
              <w:t>[</w:t>
            </w:r>
            <w:r w:rsidRPr="00E60ECB">
              <w:rPr>
                <w:lang w:val="en-GB"/>
              </w:rPr>
              <w:t>in case of Complex Products with Fixed Final Redemption Amount:</w:t>
            </w:r>
          </w:p>
        </w:tc>
        <w:tc>
          <w:tcPr>
            <w:tcW w:w="2502" w:type="pct"/>
            <w:gridSpan w:val="15"/>
            <w:tcBorders>
              <w:left w:val="single" w:sz="4" w:space="0" w:color="auto"/>
            </w:tcBorders>
          </w:tcPr>
          <w:p w:rsidR="002F7676" w:rsidRPr="002F7676" w:rsidP="002F7676">
            <w:pPr>
              <w:pStyle w:val="CSbody0bolditalic"/>
            </w:pPr>
            <w:r w:rsidRPr="00F94B27">
              <w:t>[</w:t>
            </w:r>
            <w:r w:rsidRPr="002F7676">
              <w:t>bei Komplexen Produkten mit Festem Finalen Rückzahlungsbetrag:</w:t>
            </w:r>
          </w:p>
        </w:tc>
      </w:tr>
      <w:tr w:rsidTr="00942F00">
        <w:tblPrEx>
          <w:tblW w:w="5000" w:type="pct"/>
          <w:tblLayout w:type="fixed"/>
          <w:tblLook w:val="04A0"/>
        </w:tblPrEx>
        <w:tc>
          <w:tcPr>
            <w:tcW w:w="2498" w:type="pct"/>
            <w:gridSpan w:val="13"/>
            <w:tcBorders>
              <w:right w:val="single" w:sz="4" w:space="0" w:color="auto"/>
            </w:tcBorders>
          </w:tcPr>
          <w:p w:rsidR="002F7676" w:rsidRPr="00410222" w:rsidP="002F7676">
            <w:pPr>
              <w:pStyle w:val="CSBody0"/>
            </w:pPr>
            <w:r w:rsidRPr="00F94B27">
              <w:rPr>
                <w:b/>
              </w:rPr>
              <w:t>[</w:t>
            </w:r>
            <w:r w:rsidR="003857E8">
              <w:rPr>
                <w:rFonts w:ascii="Arial" w:hAnsi="Arial" w:cs="Arial"/>
              </w:rPr>
              <w:t>●</w:t>
            </w:r>
            <w:r w:rsidRPr="00F94B27">
              <w:rPr>
                <w:b/>
              </w:rPr>
              <w:t>]</w:t>
            </w:r>
            <w:r w:rsidRPr="00410222">
              <w:t>, being the date on which each Complex Product will be redeemed at the Final Redemption Amount, unless previously redeemed, repurchased or cancelled.</w:t>
            </w:r>
            <w:r w:rsidRPr="00F94B27">
              <w:rPr>
                <w:b/>
              </w:rPr>
              <w:t>]</w:t>
            </w:r>
          </w:p>
        </w:tc>
        <w:tc>
          <w:tcPr>
            <w:tcW w:w="2502" w:type="pct"/>
            <w:gridSpan w:val="15"/>
            <w:tcBorders>
              <w:left w:val="single" w:sz="4" w:space="0" w:color="auto"/>
            </w:tcBorders>
          </w:tcPr>
          <w:p w:rsidR="002F7676" w:rsidRPr="002F7676" w:rsidP="002F7676">
            <w:pPr>
              <w:pStyle w:val="CSBody0"/>
              <w:rPr>
                <w:lang w:val="de-DE"/>
              </w:rPr>
            </w:pPr>
            <w:r w:rsidRPr="00F94B27">
              <w:rPr>
                <w:b/>
                <w:lang w:val="de-DE"/>
              </w:rPr>
              <w:t>[</w:t>
            </w:r>
            <w:r w:rsidRPr="000F4148" w:rsidR="003857E8">
              <w:rPr>
                <w:rFonts w:ascii="Arial" w:hAnsi="Arial" w:cs="Arial"/>
                <w:lang w:val="de-DE"/>
              </w:rPr>
              <w:t>●</w:t>
            </w:r>
            <w:r w:rsidRPr="00F94B27">
              <w:rPr>
                <w:b/>
                <w:lang w:val="de-DE"/>
              </w:rPr>
              <w:t>]</w:t>
            </w:r>
            <w:r w:rsidRPr="002F7676">
              <w:rPr>
                <w:lang w:val="de-DE"/>
              </w:rPr>
              <w:t>; an diesem Tag wird jedes Komplexe Produkt zum Finalen Rückzahlungsbetrag zurückgezahlt, soweit es nicht bereits zuvor zurückgezahlt, zurückgekauft oder entwertet wurde.</w:t>
            </w:r>
            <w:r w:rsidRP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2F7676" w:rsidRPr="00E60ECB" w:rsidP="002F7676">
            <w:pPr>
              <w:pStyle w:val="CSbody0bolditalic"/>
              <w:rPr>
                <w:lang w:val="en-GB"/>
              </w:rPr>
            </w:pPr>
            <w:r w:rsidRPr="00F94B27">
              <w:rPr>
                <w:lang w:val="en-GB"/>
              </w:rPr>
              <w:t>[</w:t>
            </w:r>
            <w:r w:rsidRPr="00E60ECB">
              <w:rPr>
                <w:lang w:val="en-GB"/>
              </w:rPr>
              <w:t>in case of Credit-Linked Complex Products with Auction Settlement or Credit-Linked Complex Products with Zero-Recovery feature linked to a Basket:</w:t>
            </w:r>
          </w:p>
        </w:tc>
        <w:tc>
          <w:tcPr>
            <w:tcW w:w="2502" w:type="pct"/>
            <w:gridSpan w:val="15"/>
            <w:tcBorders>
              <w:left w:val="single" w:sz="4" w:space="0" w:color="auto"/>
            </w:tcBorders>
          </w:tcPr>
          <w:p w:rsidR="002F7676" w:rsidRPr="002F7676" w:rsidP="002F7676">
            <w:pPr>
              <w:pStyle w:val="CSbody0bolditalic"/>
            </w:pPr>
            <w:r w:rsidRPr="00F94B27">
              <w:t>[</w:t>
            </w:r>
            <w:r w:rsidRPr="002F7676">
              <w:t>bei Kreditbezogenen Komplexen Produkten mit Auktionsabwicklung oder Kreditbezogenen Komplexen Produkten mit Zero-Recovery-Merkmal, die an einen Korb gekoppelt sind:</w:t>
            </w:r>
          </w:p>
        </w:tc>
      </w:tr>
      <w:tr w:rsidTr="00942F00">
        <w:tblPrEx>
          <w:tblW w:w="5000" w:type="pct"/>
          <w:tblLayout w:type="fixed"/>
          <w:tblLook w:val="04A0"/>
        </w:tblPrEx>
        <w:tc>
          <w:tcPr>
            <w:tcW w:w="2498" w:type="pct"/>
            <w:gridSpan w:val="13"/>
            <w:tcBorders>
              <w:right w:val="single" w:sz="4" w:space="0" w:color="auto"/>
            </w:tcBorders>
          </w:tcPr>
          <w:p w:rsidR="002F7676" w:rsidRPr="00410222" w:rsidP="002F7676">
            <w:pPr>
              <w:pStyle w:val="CSBody0"/>
            </w:pPr>
            <w:r w:rsidRPr="00410222">
              <w:t xml:space="preserve">The Scheduled Maturity Date, </w:t>
            </w:r>
            <w:r w:rsidRPr="007E3558" w:rsidR="007E3558">
              <w:rPr>
                <w:i/>
              </w:rPr>
              <w:t>i.e.</w:t>
            </w:r>
            <w:r w:rsidRPr="00410222">
              <w:t xml:space="preserve"> </w:t>
            </w:r>
            <w:r w:rsidRPr="00F94B27" w:rsidR="00F94B27">
              <w:rPr>
                <w:b/>
              </w:rPr>
              <w:t>[</w:t>
            </w:r>
            <w:r w:rsidR="003857E8">
              <w:rPr>
                <w:rFonts w:ascii="Arial" w:hAnsi="Arial" w:cs="Arial"/>
              </w:rPr>
              <w:t>●</w:t>
            </w:r>
            <w:r w:rsidRPr="00F94B27" w:rsidR="00F94B27">
              <w:rPr>
                <w:b/>
              </w:rPr>
              <w:t>]</w:t>
            </w:r>
            <w:r w:rsidRPr="00410222">
              <w:t xml:space="preserve">, being the date on which each Complex Product will be redeemed at the Scheduled Redemption Amount, unless previously redeemed, repurchased or cancelled </w:t>
            </w:r>
            <w:r w:rsidRPr="00F94B27" w:rsidR="00F94B27">
              <w:rPr>
                <w:b/>
              </w:rPr>
              <w:t>[</w:t>
            </w:r>
            <w:r w:rsidRPr="002F7676">
              <w:rPr>
                <w:b/>
                <w:i/>
              </w:rPr>
              <w:t>in the case of Credit-Linked Complex Products without a Basket, insert:</w:t>
            </w:r>
            <w:r w:rsidRPr="00410222">
              <w:t xml:space="preserve"> and so long as (i) no Credit Event Determination Date </w:t>
            </w:r>
            <w:r w:rsidRPr="00F94B27" w:rsidR="00F94B27">
              <w:rPr>
                <w:b/>
              </w:rPr>
              <w:t>[</w:t>
            </w:r>
            <w:r w:rsidRPr="002F7676">
              <w:rPr>
                <w:b/>
                <w:i/>
              </w:rPr>
              <w:t>in the case of Complex Products with N</w:t>
            </w:r>
            <w:r w:rsidRPr="00E80B0C">
              <w:rPr>
                <w:b/>
                <w:i/>
                <w:vertAlign w:val="superscript"/>
              </w:rPr>
              <w:t>th</w:t>
            </w:r>
            <w:r w:rsidRPr="002F7676">
              <w:rPr>
                <w:b/>
                <w:i/>
              </w:rPr>
              <w:t xml:space="preserve">-to-Default structure, insert: with respect to the </w:t>
            </w:r>
            <w:r w:rsidRPr="00F94B27" w:rsidR="00F94B27">
              <w:rPr>
                <w:b/>
                <w:i/>
              </w:rPr>
              <w:t>[</w:t>
            </w:r>
            <w:r w:rsidRPr="002F7676">
              <w:rPr>
                <w:b/>
                <w:i/>
              </w:rPr>
              <w:t>insert relevant number:</w:t>
            </w:r>
            <w:r w:rsidRPr="00410222">
              <w:t xml:space="preserve"> </w:t>
            </w:r>
            <w:r w:rsidRPr="00F94B27" w:rsidR="00F94B27">
              <w:rPr>
                <w:b/>
              </w:rPr>
              <w:t>[</w:t>
            </w:r>
            <w:r w:rsidRPr="00410222">
              <w:t>1st</w:t>
            </w:r>
            <w:r w:rsidRPr="00F94B27" w:rsidR="00F94B27">
              <w:rPr>
                <w:b/>
              </w:rPr>
              <w:t>][</w:t>
            </w:r>
            <w:r w:rsidRPr="00410222">
              <w:t>2nd</w:t>
            </w:r>
            <w:r w:rsidRPr="00F94B27" w:rsidR="00F94B27">
              <w:rPr>
                <w:b/>
              </w:rPr>
              <w:t>][</w:t>
            </w:r>
            <w:r w:rsidRPr="00410222">
              <w:t>3rd</w:t>
            </w:r>
            <w:r w:rsidRPr="00F94B27" w:rsidR="00F94B27">
              <w:rPr>
                <w:b/>
              </w:rPr>
              <w:t>][[</w:t>
            </w:r>
            <w:r w:rsidR="003857E8">
              <w:rPr>
                <w:rFonts w:ascii="Arial" w:hAnsi="Arial" w:cs="Arial"/>
              </w:rPr>
              <w:t>●</w:t>
            </w:r>
            <w:r w:rsidRPr="00F94B27" w:rsidR="00F94B27">
              <w:rPr>
                <w:b/>
              </w:rPr>
              <w:t>]]]</w:t>
            </w:r>
            <w:r w:rsidRPr="00410222">
              <w:t>-to-Default Reference Entity</w:t>
            </w:r>
            <w:r w:rsidRPr="00F94B27" w:rsidR="00F94B27">
              <w:rPr>
                <w:b/>
              </w:rPr>
              <w:t>]</w:t>
            </w:r>
            <w:r w:rsidRPr="00410222">
              <w:t xml:space="preserve"> has occurred on or prior to, and (ii) no Potential Credit Event Period </w:t>
            </w:r>
            <w:r w:rsidRPr="00F94B27" w:rsidR="00F94B27">
              <w:rPr>
                <w:b/>
              </w:rPr>
              <w:t>[</w:t>
            </w:r>
            <w:r w:rsidRPr="002F7676">
              <w:rPr>
                <w:b/>
                <w:i/>
              </w:rPr>
              <w:t>in the case of Complex Products with N</w:t>
            </w:r>
            <w:r w:rsidRPr="00E80B0C">
              <w:rPr>
                <w:b/>
                <w:i/>
                <w:vertAlign w:val="superscript"/>
              </w:rPr>
              <w:t>th</w:t>
            </w:r>
            <w:r w:rsidRPr="002F7676">
              <w:rPr>
                <w:b/>
                <w:i/>
              </w:rPr>
              <w:t xml:space="preserve">-to-Default structure, insert: </w:t>
            </w:r>
            <w:r w:rsidRPr="002F7676">
              <w:t xml:space="preserve">with respect to a Potential </w:t>
            </w:r>
            <w:r w:rsidRPr="00F94B27" w:rsidR="00F94B27">
              <w:rPr>
                <w:b/>
                <w:i/>
              </w:rPr>
              <w:t>[</w:t>
            </w:r>
            <w:r w:rsidRPr="002F7676">
              <w:rPr>
                <w:b/>
                <w:i/>
              </w:rPr>
              <w:t>insert relevant number:</w:t>
            </w:r>
            <w:r w:rsidRPr="00410222">
              <w:t xml:space="preserve"> </w:t>
            </w:r>
            <w:r w:rsidRPr="00F94B27" w:rsidR="00F94B27">
              <w:rPr>
                <w:b/>
              </w:rPr>
              <w:t>[</w:t>
            </w:r>
            <w:r w:rsidRPr="00410222">
              <w:t>1st</w:t>
            </w:r>
            <w:r w:rsidRPr="00F94B27" w:rsidR="00F94B27">
              <w:rPr>
                <w:b/>
              </w:rPr>
              <w:t>][</w:t>
            </w:r>
            <w:r w:rsidRPr="00410222">
              <w:t>2nd</w:t>
            </w:r>
            <w:r w:rsidRPr="00F94B27" w:rsidR="00F94B27">
              <w:rPr>
                <w:b/>
              </w:rPr>
              <w:t>][</w:t>
            </w:r>
            <w:r w:rsidRPr="00410222">
              <w:t>3rd</w:t>
            </w:r>
            <w:r w:rsidRPr="00F94B27" w:rsidR="00F94B27">
              <w:rPr>
                <w:b/>
              </w:rPr>
              <w:t>][[</w:t>
            </w:r>
            <w:r w:rsidR="003857E8">
              <w:rPr>
                <w:rFonts w:ascii="Arial" w:hAnsi="Arial" w:cs="Arial"/>
              </w:rPr>
              <w:t>●</w:t>
            </w:r>
            <w:r w:rsidRPr="00F94B27" w:rsidR="00F94B27">
              <w:rPr>
                <w:b/>
              </w:rPr>
              <w:t>]]]</w:t>
            </w:r>
            <w:r w:rsidRPr="00410222">
              <w:t>-to-Default Reference Entity</w:t>
            </w:r>
            <w:r w:rsidRPr="00F94B27" w:rsidR="00F94B27">
              <w:rPr>
                <w:b/>
              </w:rPr>
              <w:t>]</w:t>
            </w:r>
            <w:r w:rsidRPr="00410222">
              <w:t xml:space="preserve"> has occurred on or prior to, and is continuing on, such date</w:t>
            </w:r>
            <w:r w:rsidRPr="00F94B27" w:rsidR="00F94B27">
              <w:rPr>
                <w:b/>
              </w:rPr>
              <w:t>]</w:t>
            </w:r>
            <w:r w:rsidRPr="00410222">
              <w:t>.</w:t>
            </w:r>
            <w:r w:rsidRPr="00F94B27" w:rsidR="00F94B27">
              <w:rPr>
                <w:b/>
              </w:rPr>
              <w:t>]</w:t>
            </w:r>
          </w:p>
        </w:tc>
        <w:tc>
          <w:tcPr>
            <w:tcW w:w="2502" w:type="pct"/>
            <w:gridSpan w:val="15"/>
            <w:tcBorders>
              <w:left w:val="single" w:sz="4" w:space="0" w:color="auto"/>
            </w:tcBorders>
          </w:tcPr>
          <w:p w:rsidR="002F7676" w:rsidRPr="002F7676" w:rsidP="005E49F4">
            <w:pPr>
              <w:pStyle w:val="CSBody0"/>
              <w:rPr>
                <w:lang w:val="de-DE"/>
              </w:rPr>
            </w:pPr>
            <w:r w:rsidRPr="002F7676">
              <w:rPr>
                <w:lang w:val="de-DE"/>
              </w:rPr>
              <w:t xml:space="preserve">Der Planmässige Fälligkeitstag, d.h. </w:t>
            </w:r>
            <w:r w:rsidRPr="00F94B27" w:rsidR="00F94B27">
              <w:rPr>
                <w:b/>
                <w:lang w:val="de-DE"/>
              </w:rPr>
              <w:t>[</w:t>
            </w:r>
            <w:r w:rsidR="003857E8">
              <w:rPr>
                <w:rFonts w:ascii="Arial" w:hAnsi="Arial" w:cs="Arial"/>
                <w:lang w:val="de-DE"/>
              </w:rPr>
              <w:t>●</w:t>
            </w:r>
            <w:r w:rsidRPr="00F94B27" w:rsidR="00F94B27">
              <w:rPr>
                <w:b/>
                <w:lang w:val="de-DE"/>
              </w:rPr>
              <w:t>]</w:t>
            </w:r>
            <w:r w:rsidRPr="002F7676">
              <w:rPr>
                <w:lang w:val="de-DE"/>
              </w:rPr>
              <w:t>; an diesem Tag wird jedes Komplexe Produkt zum Planm</w:t>
            </w:r>
            <w:r w:rsidRPr="002F7676">
              <w:rPr>
                <w:rFonts w:cs="Credit Suisse Type Light"/>
                <w:lang w:val="de-DE"/>
              </w:rPr>
              <w:t>ä</w:t>
            </w:r>
            <w:r w:rsidRPr="002F7676">
              <w:rPr>
                <w:lang w:val="de-DE"/>
              </w:rPr>
              <w:t>ssigen R</w:t>
            </w:r>
            <w:r w:rsidRPr="002F7676">
              <w:rPr>
                <w:rFonts w:cs="Credit Suisse Type Light"/>
                <w:lang w:val="de-DE"/>
              </w:rPr>
              <w:t>ü</w:t>
            </w:r>
            <w:r w:rsidRPr="002F7676">
              <w:rPr>
                <w:lang w:val="de-DE"/>
              </w:rPr>
              <w:t>ckzahlungsbetrag zur</w:t>
            </w:r>
            <w:r w:rsidRPr="002F7676">
              <w:rPr>
                <w:rFonts w:cs="Credit Suisse Type Light"/>
                <w:lang w:val="de-DE"/>
              </w:rPr>
              <w:t>ü</w:t>
            </w:r>
            <w:r w:rsidRPr="002F7676">
              <w:rPr>
                <w:lang w:val="de-DE"/>
              </w:rPr>
              <w:t xml:space="preserve">ckgezahlt, sofern es nicht bereits zuvor zurückgezahlt, zurückgekauft oder entwertet wurde </w:t>
            </w:r>
            <w:r w:rsidRPr="00F94B27" w:rsidR="00F94B27">
              <w:rPr>
                <w:b/>
                <w:lang w:val="de-DE"/>
              </w:rPr>
              <w:t>[</w:t>
            </w:r>
            <w:r w:rsidRPr="002F7676">
              <w:rPr>
                <w:b/>
                <w:i/>
                <w:lang w:val="de-DE"/>
              </w:rPr>
              <w:t>bei Kreditbezogenen Komplexen Produkten ohne Korb, einfügen:</w:t>
            </w:r>
            <w:r w:rsidRPr="002F7676">
              <w:rPr>
                <w:lang w:val="de-DE"/>
              </w:rPr>
              <w:t xml:space="preserve"> und solange (i) kein Kreditereignis-Feststellungstag </w:t>
            </w:r>
            <w:r w:rsidRPr="00F94B27" w:rsidR="00F94B27">
              <w:rPr>
                <w:b/>
                <w:lang w:val="de-DE"/>
              </w:rPr>
              <w:t>[</w:t>
            </w:r>
            <w:r w:rsidRPr="002F7676">
              <w:rPr>
                <w:b/>
                <w:i/>
                <w:lang w:val="de-DE"/>
              </w:rPr>
              <w:t>bei Komplexen Produkten mit N</w:t>
            </w:r>
            <w:r w:rsidRPr="00E80B0C">
              <w:rPr>
                <w:b/>
                <w:i/>
                <w:vertAlign w:val="superscript"/>
                <w:lang w:val="de-DE"/>
              </w:rPr>
              <w:t>th</w:t>
            </w:r>
            <w:r w:rsidRPr="002F7676">
              <w:rPr>
                <w:b/>
                <w:i/>
                <w:lang w:val="de-DE"/>
              </w:rPr>
              <w:t xml:space="preserve">-to-Default-Struktur einfügen: in Bezug auf den </w:t>
            </w:r>
            <w:r w:rsidRPr="00F94B27" w:rsidR="00F94B27">
              <w:rPr>
                <w:b/>
                <w:i/>
                <w:lang w:val="de-DE"/>
              </w:rPr>
              <w:t>[</w:t>
            </w:r>
            <w:r w:rsidRPr="002F7676">
              <w:rPr>
                <w:b/>
                <w:i/>
                <w:lang w:val="de-DE"/>
              </w:rPr>
              <w:t>jeweilige Zahl einfügen:</w:t>
            </w:r>
            <w:r w:rsidRPr="002F7676">
              <w:rPr>
                <w:lang w:val="de-DE"/>
              </w:rPr>
              <w:t xml:space="preserve"> </w:t>
            </w:r>
            <w:r w:rsidRPr="00F94B27" w:rsidR="00F94B27">
              <w:rPr>
                <w:b/>
                <w:lang w:val="de-DE"/>
              </w:rPr>
              <w:t>[</w:t>
            </w:r>
            <w:r w:rsidRPr="002F7676">
              <w:rPr>
                <w:lang w:val="de-DE"/>
              </w:rPr>
              <w:t>1st</w:t>
            </w:r>
            <w:r w:rsidRPr="00F94B27" w:rsidR="00F94B27">
              <w:rPr>
                <w:b/>
                <w:lang w:val="de-DE"/>
              </w:rPr>
              <w:t>][</w:t>
            </w:r>
            <w:r w:rsidRPr="002F7676">
              <w:rPr>
                <w:lang w:val="de-DE"/>
              </w:rPr>
              <w:t>2nd</w:t>
            </w:r>
            <w:r w:rsidRPr="00F94B27" w:rsidR="00F94B27">
              <w:rPr>
                <w:b/>
                <w:lang w:val="de-DE"/>
              </w:rPr>
              <w:t>][</w:t>
            </w:r>
            <w:r w:rsidRPr="002F7676">
              <w:rPr>
                <w:lang w:val="de-DE"/>
              </w:rPr>
              <w:t>3rd</w:t>
            </w:r>
            <w:r w:rsidRPr="00F94B27" w:rsidR="00F94B27">
              <w:rPr>
                <w:b/>
                <w:lang w:val="de-DE"/>
              </w:rPr>
              <w:t>][[</w:t>
            </w:r>
            <w:r w:rsidRPr="002F7676">
              <w:rPr>
                <w:rFonts w:ascii="Arial" w:hAnsi="Arial" w:cs="Arial"/>
                <w:lang w:val="de-DE"/>
              </w:rPr>
              <w:t>●</w:t>
            </w:r>
            <w:r w:rsidRPr="00F94B27" w:rsidR="00F94B27">
              <w:rPr>
                <w:b/>
                <w:lang w:val="de-DE"/>
              </w:rPr>
              <w:t>]]]</w:t>
            </w:r>
            <w:r w:rsidRPr="002F7676">
              <w:rPr>
                <w:lang w:val="de-DE"/>
              </w:rPr>
              <w:t>-to-Default-Referenzschuldner</w:t>
            </w:r>
            <w:r w:rsidRPr="00F94B27" w:rsidR="00F94B27">
              <w:rPr>
                <w:b/>
                <w:lang w:val="de-DE"/>
              </w:rPr>
              <w:t>]</w:t>
            </w:r>
            <w:r w:rsidRPr="002F7676">
              <w:rPr>
                <w:lang w:val="de-DE"/>
              </w:rPr>
              <w:t xml:space="preserve"> an oder vor dem Planm</w:t>
            </w:r>
            <w:r w:rsidRPr="002F7676">
              <w:rPr>
                <w:rFonts w:cs="Credit Suisse Type Light"/>
                <w:lang w:val="de-DE"/>
              </w:rPr>
              <w:t>ä</w:t>
            </w:r>
            <w:r w:rsidRPr="002F7676">
              <w:rPr>
                <w:lang w:val="de-DE"/>
              </w:rPr>
              <w:t>ssigen F</w:t>
            </w:r>
            <w:r w:rsidRPr="002F7676">
              <w:rPr>
                <w:rFonts w:cs="Credit Suisse Type Light"/>
                <w:lang w:val="de-DE"/>
              </w:rPr>
              <w:t>ä</w:t>
            </w:r>
            <w:r w:rsidRPr="002F7676">
              <w:rPr>
                <w:lang w:val="de-DE"/>
              </w:rPr>
              <w:t xml:space="preserve">lligkeitstag eingetreten ist und (ii) kein Zeitraum eines Potenziellen Kreditereignisses </w:t>
            </w:r>
            <w:r w:rsidRPr="00F94B27" w:rsidR="00F94B27">
              <w:rPr>
                <w:b/>
                <w:lang w:val="de-DE"/>
              </w:rPr>
              <w:t>[</w:t>
            </w:r>
            <w:r w:rsidRPr="002F7676">
              <w:rPr>
                <w:b/>
                <w:i/>
                <w:lang w:val="de-DE"/>
              </w:rPr>
              <w:t>bei Komplexen Produkten mit N</w:t>
            </w:r>
            <w:r w:rsidRPr="00E80B0C">
              <w:rPr>
                <w:b/>
                <w:i/>
                <w:vertAlign w:val="superscript"/>
                <w:lang w:val="de-DE"/>
              </w:rPr>
              <w:t>th</w:t>
            </w:r>
            <w:r w:rsidRPr="002F7676">
              <w:rPr>
                <w:b/>
                <w:i/>
                <w:lang w:val="de-DE"/>
              </w:rPr>
              <w:t>-to-Default-Struktur einf</w:t>
            </w:r>
            <w:r w:rsidRPr="002F7676">
              <w:rPr>
                <w:rFonts w:cs="Credit Suisse Type Light"/>
                <w:b/>
                <w:i/>
                <w:lang w:val="de-DE"/>
              </w:rPr>
              <w:t>ü</w:t>
            </w:r>
            <w:r w:rsidRPr="002F7676">
              <w:rPr>
                <w:b/>
                <w:i/>
                <w:lang w:val="de-DE"/>
              </w:rPr>
              <w:t>gen:</w:t>
            </w:r>
            <w:r w:rsidRPr="002F7676">
              <w:rPr>
                <w:lang w:val="de-DE"/>
              </w:rPr>
              <w:t xml:space="preserve"> in Bezug auf einen Potenziellen </w:t>
            </w:r>
            <w:r w:rsidRPr="00F94B27" w:rsidR="00F94B27">
              <w:rPr>
                <w:b/>
                <w:lang w:val="de-DE"/>
              </w:rPr>
              <w:t>[</w:t>
            </w:r>
            <w:r w:rsidRPr="002F7676">
              <w:rPr>
                <w:b/>
                <w:i/>
                <w:lang w:val="de-DE"/>
              </w:rPr>
              <w:t>jeweilige Zahl einfügen:</w:t>
            </w:r>
            <w:r w:rsidRPr="002F7676">
              <w:rPr>
                <w:lang w:val="de-DE"/>
              </w:rPr>
              <w:t xml:space="preserve"> </w:t>
            </w:r>
            <w:r w:rsidRPr="00F94B27" w:rsidR="00F94B27">
              <w:rPr>
                <w:b/>
                <w:lang w:val="de-DE"/>
              </w:rPr>
              <w:t>[</w:t>
            </w:r>
            <w:r w:rsidRPr="002F7676">
              <w:rPr>
                <w:lang w:val="de-DE"/>
              </w:rPr>
              <w:t>1st</w:t>
            </w:r>
            <w:r w:rsidRPr="00F94B27" w:rsidR="00F94B27">
              <w:rPr>
                <w:b/>
                <w:lang w:val="de-DE"/>
              </w:rPr>
              <w:t>][</w:t>
            </w:r>
            <w:r w:rsidRPr="002F7676">
              <w:rPr>
                <w:lang w:val="de-DE"/>
              </w:rPr>
              <w:t>2nd</w:t>
            </w:r>
            <w:r w:rsidRPr="00F94B27" w:rsidR="00F94B27">
              <w:rPr>
                <w:b/>
                <w:lang w:val="de-DE"/>
              </w:rPr>
              <w:t>][</w:t>
            </w:r>
            <w:r w:rsidRPr="002F767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2F7676">
              <w:rPr>
                <w:lang w:val="de-DE"/>
              </w:rPr>
              <w:t>-to-Default-Referenzschuldner</w:t>
            </w:r>
            <w:r w:rsidRPr="00F94B27" w:rsidR="00F94B27">
              <w:rPr>
                <w:b/>
                <w:lang w:val="de-DE"/>
              </w:rPr>
              <w:t>]</w:t>
            </w:r>
            <w:r w:rsidRPr="002F7676">
              <w:rPr>
                <w:lang w:val="de-DE"/>
              </w:rPr>
              <w:t xml:space="preserve"> an oder vor diesem Tag begonnen hat und an diesem Tag andauert</w:t>
            </w:r>
            <w:r w:rsidRPr="00F94B27" w:rsidR="00F94B27">
              <w:rPr>
                <w:b/>
                <w:lang w:val="de-DE"/>
              </w:rPr>
              <w:t>]</w:t>
            </w:r>
            <w:r w:rsidRPr="002F7676">
              <w:rPr>
                <w:lang w:val="de-DE"/>
              </w:rPr>
              <w:t>.</w:t>
            </w:r>
            <w:r w:rsidRPr="00F94B27" w:rsid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2F7676" w:rsidRPr="00E60ECB" w:rsidP="002F7676">
            <w:pPr>
              <w:pStyle w:val="CSbody0bolditalic"/>
              <w:rPr>
                <w:lang w:val="en-GB"/>
              </w:rPr>
            </w:pPr>
            <w:r w:rsidRPr="00F94B27">
              <w:rPr>
                <w:lang w:val="en-GB"/>
              </w:rPr>
              <w:t>[</w:t>
            </w:r>
            <w:r w:rsidRPr="00E60ECB">
              <w:rPr>
                <w:lang w:val="en-GB"/>
              </w:rPr>
              <w:t>in case of Credit-Linked Complex Products with Simplified Settlement:</w:t>
            </w:r>
          </w:p>
        </w:tc>
        <w:tc>
          <w:tcPr>
            <w:tcW w:w="2502" w:type="pct"/>
            <w:gridSpan w:val="15"/>
            <w:tcBorders>
              <w:left w:val="single" w:sz="4" w:space="0" w:color="auto"/>
            </w:tcBorders>
          </w:tcPr>
          <w:p w:rsidR="002F7676" w:rsidRPr="002F7676" w:rsidP="002F7676">
            <w:pPr>
              <w:pStyle w:val="CSbody0bolditalic"/>
            </w:pPr>
            <w:r w:rsidRPr="00F94B27">
              <w:t>[</w:t>
            </w:r>
            <w:r w:rsidRPr="002F7676">
              <w:t>bei Kreditbezogenen Komplexen Produkten mit vereinfachter Abwicklung:</w:t>
            </w:r>
          </w:p>
        </w:tc>
      </w:tr>
      <w:tr w:rsidTr="00942F00">
        <w:tblPrEx>
          <w:tblW w:w="5000" w:type="pct"/>
          <w:tblLayout w:type="fixed"/>
          <w:tblLook w:val="04A0"/>
        </w:tblPrEx>
        <w:tc>
          <w:tcPr>
            <w:tcW w:w="2498" w:type="pct"/>
            <w:gridSpan w:val="13"/>
            <w:tcBorders>
              <w:right w:val="single" w:sz="4" w:space="0" w:color="auto"/>
            </w:tcBorders>
          </w:tcPr>
          <w:p w:rsidR="002F7676" w:rsidRPr="00305934" w:rsidP="002F7676">
            <w:pPr>
              <w:pStyle w:val="CSBody0"/>
            </w:pPr>
            <w:r w:rsidRPr="00305934">
              <w:t xml:space="preserve">The Scheduled Maturity Date, i.e </w:t>
            </w:r>
            <w:r w:rsidRPr="00F94B27" w:rsidR="00F94B27">
              <w:rPr>
                <w:b/>
              </w:rPr>
              <w:t>[</w:t>
            </w:r>
            <w:r w:rsidR="003857E8">
              <w:rPr>
                <w:rFonts w:ascii="Arial" w:hAnsi="Arial" w:cs="Arial"/>
              </w:rPr>
              <w:t>●</w:t>
            </w:r>
            <w:r w:rsidRPr="00F94B27" w:rsidR="00F94B27">
              <w:rPr>
                <w:b/>
              </w:rPr>
              <w:t>]</w:t>
            </w:r>
            <w:r w:rsidRPr="00305934">
              <w:t>, being the date on which each Complex Product will be redeemed at the Scheduled Redemption Amount, unless previously redeemed, repurchased or cancelled, and so long as (i) no Credit Redemption Event has occurred on or prior to the Scheduled Maturity Date, and (ii) no Suspension Period has occurred on or prior to, and is continuing on, such date.</w:t>
            </w:r>
            <w:r w:rsidRPr="00F94B27" w:rsidR="00F94B27">
              <w:rPr>
                <w:b/>
              </w:rPr>
              <w:t>]]</w:t>
            </w:r>
          </w:p>
        </w:tc>
        <w:tc>
          <w:tcPr>
            <w:tcW w:w="2502" w:type="pct"/>
            <w:gridSpan w:val="15"/>
            <w:tcBorders>
              <w:left w:val="single" w:sz="4" w:space="0" w:color="auto"/>
            </w:tcBorders>
          </w:tcPr>
          <w:p w:rsidR="002F7676" w:rsidRPr="002F7676" w:rsidP="002F7676">
            <w:pPr>
              <w:pStyle w:val="CSBody0"/>
              <w:rPr>
                <w:lang w:val="de-DE"/>
              </w:rPr>
            </w:pPr>
            <w:r w:rsidRPr="002F7676">
              <w:rPr>
                <w:lang w:val="de-DE"/>
              </w:rPr>
              <w:t xml:space="preserve">Der Planmässige Fälligkeitstag, d.h. </w:t>
            </w:r>
            <w:r w:rsidRPr="00F94B27" w:rsidR="00F94B27">
              <w:rPr>
                <w:b/>
                <w:lang w:val="de-DE"/>
              </w:rPr>
              <w:t>[</w:t>
            </w:r>
            <w:r w:rsidR="003857E8">
              <w:rPr>
                <w:rFonts w:ascii="Arial" w:hAnsi="Arial" w:cs="Arial"/>
                <w:lang w:val="de-DE"/>
              </w:rPr>
              <w:t>●</w:t>
            </w:r>
            <w:r w:rsidRPr="00F94B27" w:rsidR="00F94B27">
              <w:rPr>
                <w:b/>
                <w:lang w:val="de-DE"/>
              </w:rPr>
              <w:t>]</w:t>
            </w:r>
            <w:r w:rsidRPr="002F7676">
              <w:rPr>
                <w:lang w:val="de-DE"/>
              </w:rPr>
              <w:t>, an diesem Tag wird jedes Komplexe Produkt zum Planmässigen Rückzahlungsbetrag zurückgezahlt, sofern es nicht bereits zuvor zurückgezahlt, zurückgekauft oder entwertet wurde und solange (i) kein Kredit-Rückzahlungsereignis an oder vor dem Planmässigen Fälligkeitstag eingetreten ist und (ii) kein Aussetzungszeitraum an oder vor dem Planmässigen Fälligkeitstag begonnen hat und an diesem Tag andauert.</w:t>
            </w:r>
            <w:r w:rsidRPr="00F94B27" w:rsid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2F7676" w:rsidRPr="007A3312" w:rsidP="002F7676">
            <w:pPr>
              <w:pStyle w:val="CSbody0bold"/>
            </w:pPr>
            <w:r w:rsidRPr="00F94B27">
              <w:t>[</w:t>
            </w:r>
            <w:r>
              <w:t>C.17: Settlement Procedure</w:t>
            </w:r>
            <w:r>
              <w:rPr>
                <w:rStyle w:val="FootnoteReference"/>
              </w:rPr>
              <w:footnoteReference w:id="10"/>
            </w:r>
          </w:p>
        </w:tc>
        <w:tc>
          <w:tcPr>
            <w:tcW w:w="2502" w:type="pct"/>
            <w:gridSpan w:val="15"/>
            <w:tcBorders>
              <w:left w:val="single" w:sz="4" w:space="0" w:color="auto"/>
            </w:tcBorders>
          </w:tcPr>
          <w:p w:rsidR="002F7676" w:rsidRPr="007A3312" w:rsidP="002F7676">
            <w:pPr>
              <w:pStyle w:val="CSbody0bold"/>
            </w:pPr>
            <w:r w:rsidRPr="00F94B27">
              <w:t>[</w:t>
            </w:r>
            <w:r w:rsidRPr="007A3312">
              <w:t>C.17: Beschre</w:t>
            </w:r>
            <w:r>
              <w:t>ibung des Abrechnungsverfahrens</w:t>
            </w:r>
            <w:r>
              <w:rPr>
                <w:rStyle w:val="FootnoteReference"/>
              </w:rPr>
              <w:footnoteReference w:id="11"/>
            </w:r>
          </w:p>
        </w:tc>
      </w:tr>
      <w:tr w:rsidTr="00942F00">
        <w:tblPrEx>
          <w:tblW w:w="5000" w:type="pct"/>
          <w:tblLayout w:type="fixed"/>
          <w:tblLook w:val="04A0"/>
        </w:tblPrEx>
        <w:tc>
          <w:tcPr>
            <w:tcW w:w="2498" w:type="pct"/>
            <w:gridSpan w:val="13"/>
            <w:tcBorders>
              <w:right w:val="single" w:sz="4" w:space="0" w:color="auto"/>
            </w:tcBorders>
          </w:tcPr>
          <w:p w:rsidR="002F7676" w:rsidRPr="007A3312" w:rsidP="002F7676">
            <w:pPr>
              <w:pStyle w:val="CSBody0"/>
            </w:pPr>
            <w:r w:rsidRPr="007A3312">
              <w:t>The redemption of the Complex Products shall be centralised with the Paying Agent.</w:t>
            </w:r>
            <w:r w:rsidRPr="00F94B27" w:rsidR="00F94B27">
              <w:rPr>
                <w:b/>
              </w:rPr>
              <w:t>]</w:t>
            </w:r>
          </w:p>
        </w:tc>
        <w:tc>
          <w:tcPr>
            <w:tcW w:w="2502" w:type="pct"/>
            <w:gridSpan w:val="15"/>
            <w:tcBorders>
              <w:left w:val="single" w:sz="4" w:space="0" w:color="auto"/>
            </w:tcBorders>
          </w:tcPr>
          <w:p w:rsidR="002F7676" w:rsidRPr="002F7676" w:rsidP="002F7676">
            <w:pPr>
              <w:pStyle w:val="CSBody0"/>
              <w:rPr>
                <w:lang w:val="de-DE"/>
              </w:rPr>
            </w:pPr>
            <w:r w:rsidRPr="002F7676">
              <w:rPr>
                <w:lang w:val="de-DE"/>
              </w:rPr>
              <w:t>Die Rückzahlung der Komplexen Produkte erfolgt zentral durch die Zahlstelle.</w:t>
            </w:r>
            <w:r w:rsidRPr="00F94B27" w:rsid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2F7676" w:rsidRPr="002F7676" w:rsidP="002F7676">
            <w:pPr>
              <w:pStyle w:val="CSbody0bold"/>
              <w:rPr>
                <w:lang w:val="en-GB"/>
              </w:rPr>
            </w:pPr>
            <w:r w:rsidRPr="00F94B27">
              <w:rPr>
                <w:lang w:val="en-GB"/>
              </w:rPr>
              <w:t>[</w:t>
            </w:r>
            <w:r w:rsidRPr="002F7676">
              <w:rPr>
                <w:lang w:val="en-GB"/>
              </w:rPr>
              <w:t>C.18: A description of how the return on derivative securities takes place</w:t>
            </w:r>
            <w:r>
              <w:rPr>
                <w:rStyle w:val="FootnoteReference"/>
                <w:lang w:val="en-GB"/>
              </w:rPr>
              <w:footnoteReference w:id="12"/>
            </w:r>
          </w:p>
        </w:tc>
        <w:tc>
          <w:tcPr>
            <w:tcW w:w="2502" w:type="pct"/>
            <w:gridSpan w:val="15"/>
            <w:tcBorders>
              <w:left w:val="single" w:sz="4" w:space="0" w:color="auto"/>
            </w:tcBorders>
          </w:tcPr>
          <w:p w:rsidR="002F7676" w:rsidRPr="002F7676" w:rsidP="002F7676">
            <w:pPr>
              <w:pStyle w:val="CSbody0bold"/>
            </w:pPr>
            <w:r w:rsidRPr="00F94B27">
              <w:t>[</w:t>
            </w:r>
            <w:r w:rsidRPr="002F7676">
              <w:t xml:space="preserve">C.18: Beschreibung wie die Rückzahlung der </w:t>
            </w:r>
            <w:r>
              <w:t>derivativen Komponente erfolgt</w:t>
            </w:r>
            <w:r>
              <w:rPr>
                <w:rStyle w:val="FootnoteReference"/>
              </w:rPr>
              <w:footnoteReference w:id="13"/>
            </w:r>
          </w:p>
        </w:tc>
      </w:tr>
      <w:tr w:rsidTr="00942F00">
        <w:tblPrEx>
          <w:tblW w:w="5000" w:type="pct"/>
          <w:tblLayout w:type="fixed"/>
          <w:tblLook w:val="04A0"/>
        </w:tblPrEx>
        <w:tc>
          <w:tcPr>
            <w:tcW w:w="2498" w:type="pct"/>
            <w:gridSpan w:val="13"/>
            <w:tcBorders>
              <w:right w:val="single" w:sz="4" w:space="0" w:color="auto"/>
            </w:tcBorders>
          </w:tcPr>
          <w:p w:rsidR="002F7676" w:rsidRPr="00E60ECB" w:rsidP="002F7676">
            <w:pPr>
              <w:pStyle w:val="CSbody0bolditalic"/>
              <w:rPr>
                <w:lang w:val="en-GB"/>
              </w:rPr>
            </w:pPr>
            <w:r w:rsidRPr="00F94B27">
              <w:rPr>
                <w:lang w:val="en-GB"/>
              </w:rPr>
              <w:t>[</w:t>
            </w:r>
            <w:r w:rsidRPr="00E60ECB">
              <w:rPr>
                <w:lang w:val="en-GB"/>
              </w:rPr>
              <w:t>in case of Complex Products with Fixed Final Redemption Amount:</w:t>
            </w:r>
          </w:p>
        </w:tc>
        <w:tc>
          <w:tcPr>
            <w:tcW w:w="2502" w:type="pct"/>
            <w:gridSpan w:val="15"/>
            <w:tcBorders>
              <w:left w:val="single" w:sz="4" w:space="0" w:color="auto"/>
            </w:tcBorders>
          </w:tcPr>
          <w:p w:rsidR="002F7676" w:rsidRPr="002F7676" w:rsidP="002F7676">
            <w:pPr>
              <w:pStyle w:val="CSbody0bolditalic"/>
            </w:pPr>
            <w:r w:rsidRPr="00F94B27">
              <w:t>[</w:t>
            </w:r>
            <w:r w:rsidRPr="002F7676">
              <w:t>bei Komplexen Produkten mit Festem Finalen Rückzahlungsbetrag:</w:t>
            </w:r>
          </w:p>
        </w:tc>
      </w:tr>
      <w:tr w:rsidTr="00942F00">
        <w:tblPrEx>
          <w:tblW w:w="5000" w:type="pct"/>
          <w:tblLayout w:type="fixed"/>
          <w:tblLook w:val="04A0"/>
        </w:tblPrEx>
        <w:tc>
          <w:tcPr>
            <w:tcW w:w="2498" w:type="pct"/>
            <w:gridSpan w:val="13"/>
            <w:tcBorders>
              <w:right w:val="single" w:sz="4" w:space="0" w:color="auto"/>
            </w:tcBorders>
          </w:tcPr>
          <w:p w:rsidR="002F7676" w:rsidRPr="007A3312" w:rsidP="002F7676">
            <w:pPr>
              <w:pStyle w:val="CSBody0"/>
            </w:pPr>
            <w:r w:rsidRPr="007A3312">
              <w:t>Unless previously redeemed, repurchased or cancelled, Credit Suisse will redeem each Complex Product on the Final Redemption Date by payment of a cash amount equal to the Final Redemption Amount to the Holder thereof.</w:t>
            </w:r>
            <w:r w:rsidRPr="00F94B27" w:rsidR="00F94B27">
              <w:rPr>
                <w:b/>
              </w:rPr>
              <w:t>]</w:t>
            </w:r>
          </w:p>
        </w:tc>
        <w:tc>
          <w:tcPr>
            <w:tcW w:w="2502" w:type="pct"/>
            <w:gridSpan w:val="15"/>
            <w:tcBorders>
              <w:left w:val="single" w:sz="4" w:space="0" w:color="auto"/>
            </w:tcBorders>
          </w:tcPr>
          <w:p w:rsidR="002F7676" w:rsidRPr="002F7676" w:rsidP="002F7676">
            <w:pPr>
              <w:pStyle w:val="CSBody0"/>
              <w:rPr>
                <w:lang w:val="de-DE"/>
              </w:rPr>
            </w:pPr>
            <w:r w:rsidRPr="002F7676">
              <w:rPr>
                <w:lang w:val="de-DE"/>
              </w:rPr>
              <w:t>Komplexe Produkte, die nicht bereits zuvor zurückgezahlt, zurückgekauft oder entwertet wurden, werden von der Credit Suisse am Finalen Rückzahlungstag durch Zahlung eines dem Finalen Rückzahlungsbetrag entsprechenden Geldbetrags an den jeweiligen Inhaber getilgt.</w:t>
            </w:r>
            <w:r w:rsidRPr="00F94B27" w:rsid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2F7676" w:rsidRPr="00E60ECB" w:rsidP="002F7676">
            <w:pPr>
              <w:pStyle w:val="CSbody0bolditalic"/>
              <w:rPr>
                <w:lang w:val="en-GB"/>
              </w:rPr>
            </w:pPr>
            <w:r w:rsidRPr="00F94B27">
              <w:rPr>
                <w:lang w:val="en-GB"/>
              </w:rPr>
              <w:t>[</w:t>
            </w:r>
            <w:r w:rsidRPr="00E60ECB">
              <w:rPr>
                <w:lang w:val="en-GB"/>
              </w:rPr>
              <w:t>in case of Credit-Linked Complex Products:</w:t>
            </w:r>
          </w:p>
        </w:tc>
        <w:tc>
          <w:tcPr>
            <w:tcW w:w="2502" w:type="pct"/>
            <w:gridSpan w:val="15"/>
            <w:tcBorders>
              <w:left w:val="single" w:sz="4" w:space="0" w:color="auto"/>
            </w:tcBorders>
          </w:tcPr>
          <w:p w:rsidR="002F7676" w:rsidRPr="007A3312" w:rsidP="002F7676">
            <w:pPr>
              <w:pStyle w:val="CSbody0bolditalic"/>
            </w:pPr>
            <w:r w:rsidRPr="00F94B27">
              <w:t>[</w:t>
            </w:r>
            <w:r w:rsidRPr="007A3312">
              <w:t>bei Kreditbezogenen Komplexen Produkten:</w:t>
            </w:r>
          </w:p>
        </w:tc>
      </w:tr>
      <w:tr w:rsidTr="00942F00">
        <w:tblPrEx>
          <w:tblW w:w="5000" w:type="pct"/>
          <w:tblLayout w:type="fixed"/>
          <w:tblLook w:val="04A0"/>
        </w:tblPrEx>
        <w:tc>
          <w:tcPr>
            <w:tcW w:w="2498" w:type="pct"/>
            <w:gridSpan w:val="13"/>
            <w:tcBorders>
              <w:right w:val="single" w:sz="4" w:space="0" w:color="auto"/>
            </w:tcBorders>
          </w:tcPr>
          <w:p w:rsidR="002F7676" w:rsidRPr="007A3312" w:rsidP="002F7676">
            <w:pPr>
              <w:pStyle w:val="CSBody0"/>
            </w:pPr>
            <w:r w:rsidRPr="007A3312">
              <w:t xml:space="preserve">Unless previously redeemed, repurchased or cancelled, and provided that no </w:t>
            </w:r>
            <w:r w:rsidRPr="00F94B27" w:rsidR="00F94B27">
              <w:rPr>
                <w:b/>
              </w:rPr>
              <w:t>[</w:t>
            </w:r>
            <w:r w:rsidRPr="007A3312">
              <w:t>Credit Event Determination Date</w:t>
            </w:r>
            <w:r w:rsidRPr="00F94B27" w:rsidR="00F94B27">
              <w:rPr>
                <w:b/>
              </w:rPr>
              <w:t>]</w:t>
            </w:r>
            <w:r w:rsidRPr="007A3312">
              <w:t xml:space="preserve"> </w:t>
            </w:r>
            <w:r w:rsidRPr="00F94B27" w:rsidR="00F94B27">
              <w:rPr>
                <w:b/>
              </w:rPr>
              <w:t>[</w:t>
            </w:r>
            <w:r w:rsidRPr="007A3312">
              <w:t>Credit Redemption</w:t>
            </w:r>
            <w:r w:rsidRPr="00F94B27" w:rsidR="00F94B27">
              <w:rPr>
                <w:b/>
              </w:rPr>
              <w:t>]</w:t>
            </w:r>
            <w:r w:rsidRPr="007A3312">
              <w:t xml:space="preserve"> has occurred on or prior to the Scheduled Maturiy Date, Credit Suisse will redeem each Complex Product on the Scheduled Maturity Date by payment of a cash amount equal to the Scheduled Redemption Amount to the Holder thereof.</w:t>
            </w:r>
            <w:r w:rsidRPr="00F94B27" w:rsidR="00F94B27">
              <w:rPr>
                <w:b/>
              </w:rPr>
              <w:t>]]</w:t>
            </w:r>
          </w:p>
        </w:tc>
        <w:tc>
          <w:tcPr>
            <w:tcW w:w="2502" w:type="pct"/>
            <w:gridSpan w:val="15"/>
            <w:tcBorders>
              <w:left w:val="single" w:sz="4" w:space="0" w:color="auto"/>
            </w:tcBorders>
          </w:tcPr>
          <w:p w:rsidR="002F7676" w:rsidRPr="002F7676" w:rsidP="002F7676">
            <w:pPr>
              <w:pStyle w:val="CSBody0"/>
              <w:rPr>
                <w:lang w:val="de-DE"/>
              </w:rPr>
            </w:pPr>
            <w:r w:rsidRPr="002F7676">
              <w:rPr>
                <w:lang w:val="de-DE"/>
              </w:rPr>
              <w:t xml:space="preserve">Komplexe Produkte, die nicht bereits zuvor zurückgezahlt, zurückgekauft oder entwertet wurden, und vorausgesetzt, dass kein </w:t>
            </w:r>
            <w:r w:rsidRPr="00F94B27" w:rsidR="00F94B27">
              <w:rPr>
                <w:b/>
                <w:lang w:val="de-DE"/>
              </w:rPr>
              <w:t>[</w:t>
            </w:r>
            <w:r w:rsidRPr="002F7676">
              <w:rPr>
                <w:lang w:val="de-DE"/>
              </w:rPr>
              <w:t>Kreditereignis-Feststellungstag</w:t>
            </w:r>
            <w:r w:rsidRPr="00F94B27" w:rsidR="00F94B27">
              <w:rPr>
                <w:b/>
                <w:lang w:val="de-DE"/>
              </w:rPr>
              <w:t>]</w:t>
            </w:r>
            <w:r w:rsidRPr="002F7676">
              <w:rPr>
                <w:lang w:val="de-DE"/>
              </w:rPr>
              <w:t xml:space="preserve"> </w:t>
            </w:r>
            <w:r w:rsidRPr="00F94B27" w:rsidR="00F94B27">
              <w:rPr>
                <w:b/>
                <w:lang w:val="de-DE"/>
              </w:rPr>
              <w:t>[</w:t>
            </w:r>
            <w:r w:rsidRPr="002F7676">
              <w:rPr>
                <w:lang w:val="de-DE"/>
              </w:rPr>
              <w:t>Kredit-Rückzahlungsereignis</w:t>
            </w:r>
            <w:r w:rsidRPr="00F94B27" w:rsidR="00F94B27">
              <w:rPr>
                <w:b/>
                <w:lang w:val="de-DE"/>
              </w:rPr>
              <w:t>]</w:t>
            </w:r>
            <w:r w:rsidRPr="002F7676">
              <w:rPr>
                <w:lang w:val="de-DE"/>
              </w:rPr>
              <w:t xml:space="preserve"> am oder vor dem Planmässigen Fälligkeitstag eingetreten ist, werden von der Credit Suisse am Planmässigen Fälligkeitstag durch Zahlung eines dem Planmässigen Fälligkeitssbetrag entsprechenden Geldbetrags an den jeweiligen Inhaber getilgt.</w:t>
            </w:r>
            <w:r w:rsidRPr="00F94B27" w:rsid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2F7676" w:rsidRPr="002F7676" w:rsidP="002F7676">
            <w:pPr>
              <w:pStyle w:val="CSbody0bold"/>
              <w:rPr>
                <w:lang w:val="en-GB"/>
              </w:rPr>
            </w:pPr>
            <w:r w:rsidRPr="00F94B27">
              <w:rPr>
                <w:lang w:val="en-GB"/>
              </w:rPr>
              <w:t>[</w:t>
            </w:r>
            <w:r w:rsidRPr="002F7676">
              <w:rPr>
                <w:lang w:val="en-GB"/>
              </w:rPr>
              <w:t>C.19: The exercise price or the final reference price of the Underlying</w:t>
            </w:r>
            <w:r w:rsidRPr="00F94B27">
              <w:rPr>
                <w:lang w:val="en-GB"/>
              </w:rPr>
              <w:t>[</w:t>
            </w:r>
            <w:r w:rsidRPr="002F7676">
              <w:rPr>
                <w:lang w:val="en-GB"/>
              </w:rPr>
              <w:t>s</w:t>
            </w:r>
            <w:r w:rsidRPr="00F94B27">
              <w:rPr>
                <w:lang w:val="en-GB"/>
              </w:rPr>
              <w:t>]</w:t>
            </w:r>
            <w:r>
              <w:rPr>
                <w:rStyle w:val="FootnoteReference"/>
              </w:rPr>
              <w:footnoteReference w:id="14"/>
            </w:r>
          </w:p>
        </w:tc>
        <w:tc>
          <w:tcPr>
            <w:tcW w:w="2502" w:type="pct"/>
            <w:gridSpan w:val="15"/>
            <w:tcBorders>
              <w:left w:val="single" w:sz="4" w:space="0" w:color="auto"/>
            </w:tcBorders>
          </w:tcPr>
          <w:p w:rsidR="002F7676" w:rsidRPr="002F7676" w:rsidP="002F7676">
            <w:pPr>
              <w:pStyle w:val="CSbody0bold"/>
            </w:pPr>
            <w:r w:rsidRPr="00F94B27">
              <w:t>[</w:t>
            </w:r>
            <w:r w:rsidRPr="002F7676">
              <w:t>C.19: Ausübungspreis oder endgültiger Referenzpreis des</w:t>
            </w:r>
            <w:r>
              <w:t xml:space="preserve"> Basiswerts bzw. der Basiswerte</w:t>
            </w:r>
            <w:r>
              <w:rPr>
                <w:rStyle w:val="FootnoteReference"/>
              </w:rPr>
              <w:footnoteReference w:id="15"/>
            </w:r>
          </w:p>
        </w:tc>
      </w:tr>
      <w:tr w:rsidTr="00942F00">
        <w:tblPrEx>
          <w:tblW w:w="5000" w:type="pct"/>
          <w:tblLayout w:type="fixed"/>
          <w:tblLook w:val="04A0"/>
        </w:tblPrEx>
        <w:tc>
          <w:tcPr>
            <w:tcW w:w="2498" w:type="pct"/>
            <w:gridSpan w:val="13"/>
            <w:tcBorders>
              <w:right w:val="single" w:sz="4" w:space="0" w:color="auto"/>
            </w:tcBorders>
          </w:tcPr>
          <w:p w:rsidR="002F7676" w:rsidRPr="00E60ECB" w:rsidP="002F7676">
            <w:pPr>
              <w:pStyle w:val="CSbody0bolditalic"/>
              <w:rPr>
                <w:lang w:val="en-GB"/>
              </w:rPr>
            </w:pPr>
            <w:r w:rsidRPr="00F94B27">
              <w:rPr>
                <w:lang w:val="en-GB"/>
              </w:rPr>
              <w:t>[</w:t>
            </w:r>
            <w:r w:rsidRPr="00E60ECB">
              <w:rPr>
                <w:lang w:val="en-GB"/>
              </w:rPr>
              <w:t>in case of Credit-Linked Complex Products with auction settlement:</w:t>
            </w:r>
          </w:p>
        </w:tc>
        <w:tc>
          <w:tcPr>
            <w:tcW w:w="2502" w:type="pct"/>
            <w:gridSpan w:val="15"/>
            <w:tcBorders>
              <w:left w:val="single" w:sz="4" w:space="0" w:color="auto"/>
            </w:tcBorders>
          </w:tcPr>
          <w:p w:rsidR="002F7676" w:rsidRPr="002F7676" w:rsidP="002F7676">
            <w:pPr>
              <w:pStyle w:val="CSbody0bolditalic"/>
            </w:pPr>
            <w:r w:rsidRPr="00F94B27">
              <w:t>[</w:t>
            </w:r>
            <w:r w:rsidRPr="002F7676">
              <w:t>bei Kreditbezogenen Komplexen Produkten mit Auktionsabwicklung:</w:t>
            </w:r>
          </w:p>
        </w:tc>
      </w:tr>
      <w:tr w:rsidTr="00942F00">
        <w:tblPrEx>
          <w:tblW w:w="5000" w:type="pct"/>
          <w:tblLayout w:type="fixed"/>
          <w:tblLook w:val="04A0"/>
        </w:tblPrEx>
        <w:tc>
          <w:tcPr>
            <w:tcW w:w="2498" w:type="pct"/>
            <w:gridSpan w:val="13"/>
            <w:tcBorders>
              <w:right w:val="single" w:sz="4" w:space="0" w:color="auto"/>
            </w:tcBorders>
          </w:tcPr>
          <w:p w:rsidR="002F7676" w:rsidRPr="00FF6D70" w:rsidP="00E839F3">
            <w:pPr>
              <w:pStyle w:val="CSBody0"/>
            </w:pPr>
            <w:r w:rsidRPr="00FF6D70">
              <w:t xml:space="preserve">Following the occurrence of a Credit Event Determination Date </w:t>
            </w:r>
            <w:r w:rsidRPr="00F94B27" w:rsidR="00F94B27">
              <w:rPr>
                <w:b/>
              </w:rPr>
              <w:t>[</w:t>
            </w:r>
            <w:r w:rsidRPr="002F7676">
              <w:rPr>
                <w:b/>
                <w:i/>
              </w:rPr>
              <w:t>in case of Complex Products with N</w:t>
            </w:r>
            <w:r w:rsidRPr="00E80B0C">
              <w:rPr>
                <w:b/>
                <w:i/>
                <w:vertAlign w:val="superscript"/>
              </w:rPr>
              <w:t>th</w:t>
            </w:r>
            <w:r w:rsidRPr="002F7676">
              <w:rPr>
                <w:b/>
                <w:i/>
              </w:rPr>
              <w:t>-to-Default structure:</w:t>
            </w:r>
            <w:r w:rsidRPr="00FF6D70">
              <w:t xml:space="preserve"> with respect to the </w:t>
            </w:r>
            <w:r w:rsidRPr="00F94B27" w:rsidR="00F94B27">
              <w:rPr>
                <w:b/>
              </w:rPr>
              <w:t>[</w:t>
            </w:r>
            <w:r w:rsidRPr="002F7676">
              <w:rPr>
                <w:b/>
                <w:i/>
              </w:rPr>
              <w:t>insert relevant number:</w:t>
            </w:r>
            <w:r w:rsidRPr="00FF6D70">
              <w:t xml:space="preserve"> </w:t>
            </w:r>
            <w:r w:rsidRPr="00F94B27" w:rsidR="00F94B27">
              <w:rPr>
                <w:b/>
              </w:rPr>
              <w:t>[</w:t>
            </w:r>
            <w:r w:rsidRPr="00FF6D70">
              <w:t>1st</w:t>
            </w:r>
            <w:r w:rsidRPr="00F94B27" w:rsidR="00F94B27">
              <w:rPr>
                <w:b/>
              </w:rPr>
              <w:t>][</w:t>
            </w:r>
            <w:r w:rsidRPr="00FF6D70">
              <w:t>2nd</w:t>
            </w:r>
            <w:r w:rsidRPr="00F94B27" w:rsidR="00F94B27">
              <w:rPr>
                <w:b/>
              </w:rPr>
              <w:t>][</w:t>
            </w:r>
            <w:r w:rsidRPr="00FF6D70">
              <w:t>3rd</w:t>
            </w:r>
            <w:r w:rsidRPr="00F94B27" w:rsidR="00F94B27">
              <w:rPr>
                <w:b/>
              </w:rPr>
              <w:t>][[</w:t>
            </w:r>
            <w:r w:rsidR="003857E8">
              <w:rPr>
                <w:rFonts w:ascii="Arial" w:hAnsi="Arial" w:cs="Arial"/>
              </w:rPr>
              <w:t>●</w:t>
            </w:r>
            <w:r w:rsidRPr="00F94B27" w:rsidR="00F94B27">
              <w:rPr>
                <w:b/>
              </w:rPr>
              <w:t>]]]</w:t>
            </w:r>
            <w:r w:rsidRPr="00FF6D70">
              <w:t>-to-Default Reference Entity</w:t>
            </w:r>
            <w:r w:rsidRPr="00F94B27" w:rsidR="00F94B27">
              <w:rPr>
                <w:b/>
              </w:rPr>
              <w:t>][</w:t>
            </w:r>
            <w:r w:rsidRPr="00E839F3">
              <w:rPr>
                <w:b/>
                <w:i/>
              </w:rPr>
              <w:t>in case of Complex Products with a Basket:</w:t>
            </w:r>
            <w:r w:rsidRPr="00FF6D70">
              <w:t xml:space="preserve"> with respect to any Reference Entity (due to the occurrence of a Credit Event Determination Date such Reference Entity becomes an Affected Reference Entity)</w:t>
            </w:r>
            <w:r w:rsidRPr="00F94B27" w:rsidR="00F94B27">
              <w:rPr>
                <w:b/>
              </w:rPr>
              <w:t>]</w:t>
            </w:r>
            <w:r w:rsidRPr="00FF6D70">
              <w:t xml:space="preserve"> the </w:t>
            </w:r>
            <w:r w:rsidRPr="00F94B27" w:rsidR="00F94B27">
              <w:rPr>
                <w:b/>
              </w:rPr>
              <w:t>[</w:t>
            </w:r>
            <w:r w:rsidRPr="00FF6D70">
              <w:t>Complex Products</w:t>
            </w:r>
            <w:r w:rsidRPr="00F94B27" w:rsidR="00F94B27">
              <w:rPr>
                <w:b/>
              </w:rPr>
              <w:t>]</w:t>
            </w:r>
            <w:r w:rsidRPr="00FF6D70">
              <w:t xml:space="preserve"> </w:t>
            </w:r>
            <w:r w:rsidRPr="00F94B27" w:rsidR="00F94B27">
              <w:rPr>
                <w:b/>
              </w:rPr>
              <w:t>[</w:t>
            </w:r>
            <w:r w:rsidRPr="00FF6D70">
              <w:t>portion of the Principal Amount of the Complex Product equal to the Reference Entity Principal Amount of the Affected Reference Entity</w:t>
            </w:r>
            <w:r w:rsidRPr="00F94B27" w:rsidR="00F94B27">
              <w:rPr>
                <w:b/>
              </w:rPr>
              <w:t>]</w:t>
            </w:r>
            <w:r w:rsidRPr="00FF6D70">
              <w:t xml:space="preserve"> will be redeemed on the Auction Redemption Date by payment of the Auction Redemption Amount, provided that no Fallback Settlement Event has occurred. In such case, the Calculation Agent will determine the Auction Redemption Amount on the basis of the Auction Final Price of the </w:t>
            </w:r>
            <w:r w:rsidRPr="00F94B27" w:rsidR="00F94B27">
              <w:rPr>
                <w:b/>
              </w:rPr>
              <w:t>[</w:t>
            </w:r>
            <w:r w:rsidRPr="00FF6D70">
              <w:t>Reference Entity</w:t>
            </w:r>
            <w:r w:rsidRPr="00F94B27" w:rsidR="00F94B27">
              <w:rPr>
                <w:b/>
              </w:rPr>
              <w:t>][</w:t>
            </w:r>
            <w:r w:rsidRPr="00FF6D70">
              <w:t xml:space="preserve"> </w:t>
            </w:r>
            <w:r w:rsidRPr="00F94B27" w:rsidR="00F94B27">
              <w:rPr>
                <w:b/>
              </w:rPr>
              <w:t>[</w:t>
            </w:r>
            <w:r w:rsidRPr="00E839F3">
              <w:rPr>
                <w:b/>
                <w:i/>
              </w:rPr>
              <w:t>insert relevant number:</w:t>
            </w:r>
            <w:r w:rsidRPr="00FF6D70">
              <w:t xml:space="preserve"> </w:t>
            </w:r>
            <w:r w:rsidRPr="00F94B27" w:rsidR="00F94B27">
              <w:rPr>
                <w:b/>
              </w:rPr>
              <w:t>[</w:t>
            </w:r>
            <w:r w:rsidRPr="00FF6D70">
              <w:t>1st</w:t>
            </w:r>
            <w:r w:rsidRPr="00F94B27" w:rsidR="00F94B27">
              <w:rPr>
                <w:b/>
              </w:rPr>
              <w:t>][</w:t>
            </w:r>
            <w:r w:rsidRPr="00FF6D70">
              <w:t>2nd</w:t>
            </w:r>
            <w:r w:rsidRPr="00F94B27" w:rsidR="00F94B27">
              <w:rPr>
                <w:b/>
              </w:rPr>
              <w:t>][</w:t>
            </w:r>
            <w:r w:rsidRPr="00FF6D70">
              <w:t>3rd</w:t>
            </w:r>
            <w:r w:rsidRPr="00F94B27" w:rsidR="00F94B27">
              <w:rPr>
                <w:b/>
              </w:rPr>
              <w:t>][[</w:t>
            </w:r>
            <w:r w:rsidR="003857E8">
              <w:rPr>
                <w:rFonts w:ascii="Arial" w:hAnsi="Arial" w:cs="Arial"/>
              </w:rPr>
              <w:t>●</w:t>
            </w:r>
            <w:r w:rsidRPr="00F94B27" w:rsidR="00F94B27">
              <w:rPr>
                <w:b/>
              </w:rPr>
              <w:t>]]]</w:t>
            </w:r>
            <w:r w:rsidRPr="00FF6D70">
              <w:t>-to-Default Reference Entity</w:t>
            </w:r>
            <w:r w:rsidRPr="00F94B27" w:rsidR="00F94B27">
              <w:rPr>
                <w:b/>
              </w:rPr>
              <w:t>][</w:t>
            </w:r>
            <w:r w:rsidRPr="00FF6D70">
              <w:t>Affected Reference Entity</w:t>
            </w:r>
            <w:r w:rsidRPr="00F94B27" w:rsidR="00F94B27">
              <w:rPr>
                <w:b/>
              </w:rPr>
              <w:t>]</w:t>
            </w:r>
            <w:r w:rsidRPr="00FF6D70">
              <w:t xml:space="preserve">. The Auction Final Price of the </w:t>
            </w:r>
            <w:r w:rsidRPr="00F94B27" w:rsidR="00F94B27">
              <w:rPr>
                <w:b/>
              </w:rPr>
              <w:t>[</w:t>
            </w:r>
            <w:r w:rsidRPr="00FF6D70">
              <w:t>Reference Entity</w:t>
            </w:r>
            <w:r w:rsidRPr="00F94B27" w:rsidR="00F94B27">
              <w:rPr>
                <w:b/>
              </w:rPr>
              <w:t>][</w:t>
            </w:r>
            <w:r w:rsidRPr="00FF6D70">
              <w:t xml:space="preserve"> </w:t>
            </w:r>
            <w:r w:rsidRPr="00F94B27" w:rsidR="00F94B27">
              <w:rPr>
                <w:b/>
              </w:rPr>
              <w:t>[</w:t>
            </w:r>
            <w:r w:rsidRPr="00E839F3">
              <w:rPr>
                <w:b/>
                <w:i/>
              </w:rPr>
              <w:t>insert relevant number:</w:t>
            </w:r>
            <w:r w:rsidRPr="00FF6D70">
              <w:t xml:space="preserve"> </w:t>
            </w:r>
            <w:r w:rsidRPr="00F94B27" w:rsidR="00F94B27">
              <w:rPr>
                <w:b/>
              </w:rPr>
              <w:t>[</w:t>
            </w:r>
            <w:r w:rsidRPr="00FF6D70">
              <w:t>1st</w:t>
            </w:r>
            <w:r w:rsidRPr="00F94B27" w:rsidR="00F94B27">
              <w:rPr>
                <w:b/>
              </w:rPr>
              <w:t>][</w:t>
            </w:r>
            <w:r w:rsidRPr="00FF6D70">
              <w:t>2nd</w:t>
            </w:r>
            <w:r w:rsidRPr="00F94B27" w:rsidR="00F94B27">
              <w:rPr>
                <w:b/>
              </w:rPr>
              <w:t>][</w:t>
            </w:r>
            <w:r w:rsidRPr="00FF6D70">
              <w:t>3rd</w:t>
            </w:r>
            <w:r w:rsidRPr="00F94B27" w:rsidR="00F94B27">
              <w:rPr>
                <w:b/>
              </w:rPr>
              <w:t>][[</w:t>
            </w:r>
            <w:r w:rsidR="003857E8">
              <w:rPr>
                <w:rFonts w:ascii="Arial" w:hAnsi="Arial" w:cs="Arial"/>
              </w:rPr>
              <w:t>●</w:t>
            </w:r>
            <w:r w:rsidRPr="00F94B27" w:rsidR="00F94B27">
              <w:rPr>
                <w:b/>
              </w:rPr>
              <w:t>]]]</w:t>
            </w:r>
            <w:r w:rsidRPr="00FF6D70">
              <w:t>-to-Default Reference Entity</w:t>
            </w:r>
            <w:r w:rsidRPr="00F94B27" w:rsidR="00F94B27">
              <w:rPr>
                <w:b/>
              </w:rPr>
              <w:t>][</w:t>
            </w:r>
            <w:r w:rsidRPr="00FF6D70">
              <w:t>Affected Reference Entity</w:t>
            </w:r>
            <w:r w:rsidRPr="00F94B27" w:rsidR="00F94B27">
              <w:rPr>
                <w:b/>
              </w:rPr>
              <w:t>]</w:t>
            </w:r>
            <w:r w:rsidRPr="00FF6D70">
              <w:t>, will be determined by the relevant Credit Derivatives Determinations Committee in accordance with an auction conducted by ISDA.</w:t>
            </w:r>
          </w:p>
        </w:tc>
        <w:tc>
          <w:tcPr>
            <w:tcW w:w="2502" w:type="pct"/>
            <w:gridSpan w:val="15"/>
            <w:tcBorders>
              <w:left w:val="single" w:sz="4" w:space="0" w:color="auto"/>
            </w:tcBorders>
          </w:tcPr>
          <w:p w:rsidR="002F7676" w:rsidRPr="002F7676" w:rsidP="005E49F4">
            <w:pPr>
              <w:pStyle w:val="CSBody0"/>
              <w:rPr>
                <w:lang w:val="de-DE"/>
              </w:rPr>
            </w:pPr>
            <w:r w:rsidRPr="002F7676">
              <w:rPr>
                <w:lang w:val="de-DE"/>
              </w:rPr>
              <w:t xml:space="preserve">Nach Eintritt eines Kreditereignis-Feststellungstags </w:t>
            </w:r>
            <w:r w:rsidRPr="00F94B27" w:rsidR="00F94B27">
              <w:rPr>
                <w:b/>
                <w:lang w:val="de-DE"/>
              </w:rPr>
              <w:t>[</w:t>
            </w:r>
            <w:r w:rsidRPr="002F7676">
              <w:rPr>
                <w:b/>
                <w:i/>
                <w:lang w:val="de-DE"/>
              </w:rPr>
              <w:t>bei Komplexen Produkten mit N</w:t>
            </w:r>
            <w:r w:rsidRPr="00E80B0C">
              <w:rPr>
                <w:b/>
                <w:i/>
                <w:vertAlign w:val="superscript"/>
                <w:lang w:val="de-DE"/>
              </w:rPr>
              <w:t>th</w:t>
            </w:r>
            <w:r w:rsidRPr="002F7676">
              <w:rPr>
                <w:b/>
                <w:i/>
                <w:lang w:val="de-DE"/>
              </w:rPr>
              <w:t>-to-Default-Struktur:</w:t>
            </w:r>
            <w:r w:rsidRPr="002F7676">
              <w:rPr>
                <w:lang w:val="de-DE"/>
              </w:rPr>
              <w:t xml:space="preserve"> in Bezug auf den </w:t>
            </w:r>
            <w:r w:rsidRPr="00F94B27" w:rsidR="00F94B27">
              <w:rPr>
                <w:b/>
                <w:lang w:val="de-DE"/>
              </w:rPr>
              <w:t>[</w:t>
            </w:r>
            <w:r w:rsidRPr="002F7676">
              <w:rPr>
                <w:b/>
                <w:i/>
                <w:lang w:val="de-DE"/>
              </w:rPr>
              <w:t>jeweilige Zahl einfügen:</w:t>
            </w:r>
            <w:r w:rsidRPr="002F7676">
              <w:rPr>
                <w:lang w:val="de-DE"/>
              </w:rPr>
              <w:t xml:space="preserve"> </w:t>
            </w:r>
            <w:r w:rsidRPr="00F94B27" w:rsidR="00F94B27">
              <w:rPr>
                <w:b/>
                <w:lang w:val="de-DE"/>
              </w:rPr>
              <w:t>[</w:t>
            </w:r>
            <w:r w:rsidRPr="002F7676">
              <w:rPr>
                <w:lang w:val="de-DE"/>
              </w:rPr>
              <w:t>1st</w:t>
            </w:r>
            <w:r w:rsidRPr="00F94B27" w:rsidR="00F94B27">
              <w:rPr>
                <w:b/>
                <w:lang w:val="de-DE"/>
              </w:rPr>
              <w:t>][</w:t>
            </w:r>
            <w:r w:rsidRPr="002F7676">
              <w:rPr>
                <w:lang w:val="de-DE"/>
              </w:rPr>
              <w:t>2nd</w:t>
            </w:r>
            <w:r w:rsidRPr="00F94B27" w:rsidR="00F94B27">
              <w:rPr>
                <w:b/>
                <w:lang w:val="de-DE"/>
              </w:rPr>
              <w:t>][</w:t>
            </w:r>
            <w:r w:rsidRPr="002F767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2F7676">
              <w:rPr>
                <w:lang w:val="de-DE"/>
              </w:rPr>
              <w:t>-to-Default-Referenzschuldner</w:t>
            </w:r>
            <w:r w:rsidRPr="00F94B27" w:rsidR="00F94B27">
              <w:rPr>
                <w:b/>
                <w:lang w:val="de-DE"/>
              </w:rPr>
              <w:t>][</w:t>
            </w:r>
            <w:r w:rsidRPr="00E839F3">
              <w:rPr>
                <w:b/>
                <w:i/>
                <w:lang w:val="de-DE"/>
              </w:rPr>
              <w:t>bei Komplexen Produkten mit einem Korb:</w:t>
            </w:r>
            <w:r w:rsidRPr="002F7676">
              <w:rPr>
                <w:lang w:val="de-DE"/>
              </w:rPr>
              <w:t xml:space="preserve"> in Bezug auf einen Referenzschuldner (auf Grund des Eintritts eines Kreditereignis-Feststellungstags wird dieser Referenzschuldner zu einem Betroffenen Referenzschuldner)</w:t>
            </w:r>
            <w:r w:rsidRPr="00F94B27" w:rsidR="00F94B27">
              <w:rPr>
                <w:b/>
                <w:lang w:val="de-DE"/>
              </w:rPr>
              <w:t>]</w:t>
            </w:r>
            <w:r w:rsidRPr="002F7676">
              <w:rPr>
                <w:lang w:val="de-DE"/>
              </w:rPr>
              <w:t xml:space="preserve">, </w:t>
            </w:r>
            <w:r w:rsidRPr="00F94B27" w:rsidR="00F94B27">
              <w:rPr>
                <w:b/>
                <w:lang w:val="de-DE"/>
              </w:rPr>
              <w:t>[</w:t>
            </w:r>
            <w:r w:rsidRPr="002F7676">
              <w:rPr>
                <w:lang w:val="de-DE"/>
              </w:rPr>
              <w:t>werden die Komplexen Produkte</w:t>
            </w:r>
            <w:r w:rsidRPr="00F94B27" w:rsidR="00F94B27">
              <w:rPr>
                <w:b/>
                <w:lang w:val="de-DE"/>
              </w:rPr>
              <w:t>][</w:t>
            </w:r>
            <w:r w:rsidRPr="002F7676">
              <w:rPr>
                <w:lang w:val="de-DE"/>
              </w:rPr>
              <w:t>wird der Teil des Nennbetrags des Komplexen Produkts, der dem Referenzschuldner-Nennbetrag des Betroffenen Referenzschuldners entspricht,</w:t>
            </w:r>
            <w:r w:rsidRPr="00F94B27" w:rsidR="00F94B27">
              <w:rPr>
                <w:b/>
                <w:lang w:val="de-DE"/>
              </w:rPr>
              <w:t>]</w:t>
            </w:r>
            <w:r w:rsidRPr="002F7676">
              <w:rPr>
                <w:lang w:val="de-DE"/>
              </w:rPr>
              <w:t xml:space="preserve"> durch Zahlung des Auktions-Rückzahlungsbetrags am Auktions-Rückzahlungstag zurückgezahlt, vorausgesetzt dass kein Ereignis der Alternativen Abwicklung eingetreten ist. In einem solchen Fall bestimmt die Berechnungsstelle den Auktions-Rückzahlungsbetrag auf der Grundlage des Auktions-Endpreises des </w:t>
            </w:r>
            <w:r w:rsidRPr="00F94B27" w:rsidR="00F94B27">
              <w:rPr>
                <w:b/>
                <w:lang w:val="de-DE"/>
              </w:rPr>
              <w:t>[</w:t>
            </w:r>
            <w:r w:rsidRPr="002F7676">
              <w:rPr>
                <w:lang w:val="de-DE"/>
              </w:rPr>
              <w:t>Referenzschuldners</w:t>
            </w:r>
            <w:r w:rsidRPr="00F94B27" w:rsidR="00F94B27">
              <w:rPr>
                <w:b/>
                <w:lang w:val="de-DE"/>
              </w:rPr>
              <w:t>][[</w:t>
            </w:r>
            <w:r w:rsidRPr="00E839F3">
              <w:rPr>
                <w:b/>
                <w:i/>
                <w:lang w:val="de-DE"/>
              </w:rPr>
              <w:t>jeweilige Zahl einfügen:</w:t>
            </w:r>
            <w:r w:rsidRPr="002F7676">
              <w:rPr>
                <w:lang w:val="de-DE"/>
              </w:rPr>
              <w:t xml:space="preserve"> </w:t>
            </w:r>
            <w:r w:rsidRPr="00F94B27" w:rsidR="00F94B27">
              <w:rPr>
                <w:b/>
                <w:lang w:val="de-DE"/>
              </w:rPr>
              <w:t>[</w:t>
            </w:r>
            <w:r w:rsidRPr="002F7676">
              <w:rPr>
                <w:lang w:val="de-DE"/>
              </w:rPr>
              <w:t>1st</w:t>
            </w:r>
            <w:r w:rsidRPr="00F94B27" w:rsidR="00F94B27">
              <w:rPr>
                <w:b/>
                <w:lang w:val="de-DE"/>
              </w:rPr>
              <w:t>][</w:t>
            </w:r>
            <w:r w:rsidRPr="002F7676">
              <w:rPr>
                <w:lang w:val="de-DE"/>
              </w:rPr>
              <w:t>2nd</w:t>
            </w:r>
            <w:r w:rsidRPr="00F94B27" w:rsidR="00F94B27">
              <w:rPr>
                <w:b/>
                <w:lang w:val="de-DE"/>
              </w:rPr>
              <w:t>][</w:t>
            </w:r>
            <w:r w:rsidRPr="002F767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2F7676">
              <w:rPr>
                <w:lang w:val="de-DE"/>
              </w:rPr>
              <w:t>-to-Default-Referenzschuldners</w:t>
            </w:r>
            <w:r w:rsidRPr="00F94B27" w:rsidR="00F94B27">
              <w:rPr>
                <w:b/>
                <w:lang w:val="de-DE"/>
              </w:rPr>
              <w:t>][</w:t>
            </w:r>
            <w:r w:rsidRPr="002F7676">
              <w:rPr>
                <w:lang w:val="de-DE"/>
              </w:rPr>
              <w:t>des Betroffenen Referenzschuldners</w:t>
            </w:r>
            <w:r w:rsidRPr="00F94B27" w:rsidR="00F94B27">
              <w:rPr>
                <w:b/>
                <w:lang w:val="de-DE"/>
              </w:rPr>
              <w:t>]</w:t>
            </w:r>
            <w:r w:rsidRPr="002F7676">
              <w:rPr>
                <w:lang w:val="de-DE"/>
              </w:rPr>
              <w:t xml:space="preserve">. Der Auktions-Endpreis des </w:t>
            </w:r>
            <w:r w:rsidRPr="00F94B27" w:rsidR="00F94B27">
              <w:rPr>
                <w:b/>
                <w:lang w:val="de-DE"/>
              </w:rPr>
              <w:t>[</w:t>
            </w:r>
            <w:r w:rsidRPr="002F7676">
              <w:rPr>
                <w:lang w:val="de-DE"/>
              </w:rPr>
              <w:t>Referenzschuldners</w:t>
            </w:r>
            <w:r w:rsidRPr="00F94B27" w:rsidR="00F94B27">
              <w:rPr>
                <w:b/>
                <w:lang w:val="de-DE"/>
              </w:rPr>
              <w:t>][[</w:t>
            </w:r>
            <w:r w:rsidRPr="00E839F3">
              <w:rPr>
                <w:b/>
                <w:i/>
                <w:lang w:val="de-DE"/>
              </w:rPr>
              <w:t>jeweilige Zahl einfügen:</w:t>
            </w:r>
            <w:r w:rsidRPr="002F7676">
              <w:rPr>
                <w:lang w:val="de-DE"/>
              </w:rPr>
              <w:t xml:space="preserve"> </w:t>
            </w:r>
            <w:r w:rsidRPr="00F94B27" w:rsidR="00F94B27">
              <w:rPr>
                <w:b/>
                <w:lang w:val="de-DE"/>
              </w:rPr>
              <w:t>[</w:t>
            </w:r>
            <w:r w:rsidRPr="002F7676">
              <w:rPr>
                <w:lang w:val="de-DE"/>
              </w:rPr>
              <w:t>1st</w:t>
            </w:r>
            <w:r w:rsidRPr="00F94B27" w:rsidR="00F94B27">
              <w:rPr>
                <w:b/>
                <w:lang w:val="de-DE"/>
              </w:rPr>
              <w:t>][</w:t>
            </w:r>
            <w:r w:rsidRPr="002F7676">
              <w:rPr>
                <w:lang w:val="de-DE"/>
              </w:rPr>
              <w:t>2nd</w:t>
            </w:r>
            <w:r w:rsidRPr="00F94B27" w:rsidR="00F94B27">
              <w:rPr>
                <w:b/>
                <w:lang w:val="de-DE"/>
              </w:rPr>
              <w:t>][</w:t>
            </w:r>
            <w:r w:rsidRPr="002F767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2F7676">
              <w:rPr>
                <w:lang w:val="de-DE"/>
              </w:rPr>
              <w:t>-to-Default-Referenzschuldners</w:t>
            </w:r>
            <w:r w:rsidRPr="00F94B27" w:rsidR="00F94B27">
              <w:rPr>
                <w:b/>
                <w:lang w:val="de-DE"/>
              </w:rPr>
              <w:t>][</w:t>
            </w:r>
            <w:r w:rsidRPr="002F7676">
              <w:rPr>
                <w:lang w:val="de-DE"/>
              </w:rPr>
              <w:t>Betroffenen Referenzschuldners</w:t>
            </w:r>
            <w:r w:rsidRPr="00F94B27" w:rsidR="00F94B27">
              <w:rPr>
                <w:b/>
                <w:lang w:val="de-DE"/>
              </w:rPr>
              <w:t>]</w:t>
            </w:r>
            <w:r w:rsidRPr="002F7676">
              <w:rPr>
                <w:lang w:val="de-DE"/>
              </w:rPr>
              <w:t xml:space="preserve"> wird von dem zust</w:t>
            </w:r>
            <w:r w:rsidRPr="002F7676">
              <w:rPr>
                <w:rFonts w:cs="Credit Suisse Type Light"/>
                <w:lang w:val="de-DE"/>
              </w:rPr>
              <w:t>ä</w:t>
            </w:r>
            <w:r w:rsidRPr="002F7676">
              <w:rPr>
                <w:lang w:val="de-DE"/>
              </w:rPr>
              <w:t>ndigen Kreditderivate-Feststellungsausschuss nach Massgabe einer von ISDA durchgeführten Auktion berechnet.</w:t>
            </w:r>
          </w:p>
        </w:tc>
      </w:tr>
      <w:tr w:rsidTr="00942F00">
        <w:tblPrEx>
          <w:tblW w:w="5000" w:type="pct"/>
          <w:tblLayout w:type="fixed"/>
          <w:tblLook w:val="04A0"/>
        </w:tblPrEx>
        <w:tc>
          <w:tcPr>
            <w:tcW w:w="2498" w:type="pct"/>
            <w:gridSpan w:val="13"/>
            <w:tcBorders>
              <w:right w:val="single" w:sz="4" w:space="0" w:color="auto"/>
            </w:tcBorders>
          </w:tcPr>
          <w:p w:rsidR="002F7676" w:rsidRPr="00FF6D70" w:rsidP="00E839F3">
            <w:pPr>
              <w:pStyle w:val="CSBody0"/>
            </w:pPr>
            <w:r w:rsidRPr="00FF6D70">
              <w:t xml:space="preserve">Upon the occurrence of a Fallback Settlement Event, the Cash Redemption Amount rather than the Auction Redemption Amount will be payable by the Issuer to the holder of each Complex Product on the Cash Redemption Date. Such amount will be determined based upon one or more quotations for </w:t>
            </w:r>
            <w:r w:rsidRPr="00F94B27" w:rsidR="00F94B27">
              <w:rPr>
                <w:b/>
              </w:rPr>
              <w:t>[</w:t>
            </w:r>
            <w:r w:rsidRPr="00FF6D70">
              <w:t>the Reference Obligation or</w:t>
            </w:r>
            <w:r w:rsidRPr="00F94B27" w:rsidR="00F94B27">
              <w:rPr>
                <w:b/>
              </w:rPr>
              <w:t>]</w:t>
            </w:r>
            <w:r w:rsidRPr="00FF6D70">
              <w:t xml:space="preserve"> a Valuation Obligation selected by the Calculation Agent of the </w:t>
            </w:r>
            <w:r w:rsidRPr="00F94B27" w:rsidR="00F94B27">
              <w:rPr>
                <w:b/>
              </w:rPr>
              <w:t>[</w:t>
            </w:r>
            <w:r w:rsidRPr="00FF6D70">
              <w:t>Reference Entity</w:t>
            </w:r>
            <w:r w:rsidRPr="00F94B27" w:rsidR="00F94B27">
              <w:rPr>
                <w:b/>
              </w:rPr>
              <w:t>][</w:t>
            </w:r>
            <w:r w:rsidRPr="00FF6D70">
              <w:t xml:space="preserve"> </w:t>
            </w:r>
            <w:r w:rsidRPr="00F94B27" w:rsidR="00F94B27">
              <w:rPr>
                <w:b/>
              </w:rPr>
              <w:t>[</w:t>
            </w:r>
            <w:r w:rsidRPr="00E839F3">
              <w:rPr>
                <w:b/>
                <w:i/>
              </w:rPr>
              <w:t>insert relevant number:</w:t>
            </w:r>
            <w:r w:rsidRPr="00FF6D70">
              <w:t xml:space="preserve"> </w:t>
            </w:r>
            <w:r w:rsidRPr="00F94B27" w:rsidR="00F94B27">
              <w:rPr>
                <w:b/>
              </w:rPr>
              <w:t>[</w:t>
            </w:r>
            <w:r w:rsidRPr="00FF6D70">
              <w:t>1st</w:t>
            </w:r>
            <w:r w:rsidRPr="00F94B27" w:rsidR="00F94B27">
              <w:rPr>
                <w:b/>
              </w:rPr>
              <w:t>][</w:t>
            </w:r>
            <w:r w:rsidRPr="00FF6D70">
              <w:t>2nd</w:t>
            </w:r>
            <w:r w:rsidRPr="00F94B27" w:rsidR="00F94B27">
              <w:rPr>
                <w:b/>
              </w:rPr>
              <w:t>][</w:t>
            </w:r>
            <w:r w:rsidRPr="00FF6D70">
              <w:t>3rd</w:t>
            </w:r>
            <w:r w:rsidRPr="00F94B27" w:rsidR="00F94B27">
              <w:rPr>
                <w:b/>
              </w:rPr>
              <w:t>][[</w:t>
            </w:r>
            <w:r w:rsidR="003857E8">
              <w:rPr>
                <w:rFonts w:ascii="Arial" w:hAnsi="Arial" w:cs="Arial"/>
              </w:rPr>
              <w:t>●</w:t>
            </w:r>
            <w:r w:rsidRPr="00F94B27" w:rsidR="00F94B27">
              <w:rPr>
                <w:b/>
              </w:rPr>
              <w:t>]]]</w:t>
            </w:r>
            <w:r w:rsidRPr="00FF6D70">
              <w:t>-to-Default Reference Entity</w:t>
            </w:r>
            <w:r w:rsidRPr="00F94B27" w:rsidR="00F94B27">
              <w:rPr>
                <w:b/>
              </w:rPr>
              <w:t>][</w:t>
            </w:r>
            <w:r w:rsidRPr="00FF6D70">
              <w:t>Affected Reference Entity</w:t>
            </w:r>
            <w:r w:rsidRPr="00F94B27" w:rsidR="00F94B27">
              <w:rPr>
                <w:b/>
              </w:rPr>
              <w:t>]</w:t>
            </w:r>
            <w:r w:rsidRPr="00FF6D70">
              <w:t>, obtained by the Calculation Agent from banks or securities trading firms.</w:t>
            </w:r>
            <w:r w:rsidRPr="00F94B27" w:rsidR="00F94B27">
              <w:rPr>
                <w:b/>
              </w:rPr>
              <w:t>]</w:t>
            </w:r>
          </w:p>
        </w:tc>
        <w:tc>
          <w:tcPr>
            <w:tcW w:w="2502" w:type="pct"/>
            <w:gridSpan w:val="15"/>
            <w:tcBorders>
              <w:left w:val="single" w:sz="4" w:space="0" w:color="auto"/>
            </w:tcBorders>
          </w:tcPr>
          <w:p w:rsidR="002F7676" w:rsidRPr="002F7676" w:rsidP="00E839F3">
            <w:pPr>
              <w:pStyle w:val="CSBody0"/>
              <w:rPr>
                <w:lang w:val="de-DE"/>
              </w:rPr>
            </w:pPr>
            <w:r w:rsidRPr="002F7676">
              <w:rPr>
                <w:lang w:val="de-DE"/>
              </w:rPr>
              <w:t xml:space="preserve">Nach Eintritt eines Ereignisses der Alternativen Abwicklung hat die Emittentin nicht den Auktions-Rückzahlungsbetrag, sondern den Barrückzahlungsbetrag am Barrückzahlungstag an den Inhaber jedes Komplexen Produkts zu zahlen. Dieser Betrag wird auf der Grundlage einer oder mehrerer Quotierungen für </w:t>
            </w:r>
            <w:r w:rsidRPr="00F94B27" w:rsidR="00F94B27">
              <w:rPr>
                <w:b/>
                <w:lang w:val="de-DE"/>
              </w:rPr>
              <w:t>[</w:t>
            </w:r>
            <w:r w:rsidRPr="002F7676">
              <w:rPr>
                <w:lang w:val="de-DE"/>
              </w:rPr>
              <w:t>die Referenzverbindlichkeit oder für</w:t>
            </w:r>
            <w:r w:rsidRPr="00F94B27" w:rsidR="00F94B27">
              <w:rPr>
                <w:b/>
                <w:lang w:val="de-DE"/>
              </w:rPr>
              <w:t>]</w:t>
            </w:r>
            <w:r w:rsidRPr="002F7676">
              <w:rPr>
                <w:lang w:val="de-DE"/>
              </w:rPr>
              <w:t xml:space="preserve"> eine von der Berechnungstelle ausgewählte Bewertungsverbindlichkeit des </w:t>
            </w:r>
            <w:r w:rsidRPr="00F94B27" w:rsidR="00F94B27">
              <w:rPr>
                <w:b/>
                <w:lang w:val="de-DE"/>
              </w:rPr>
              <w:t>[</w:t>
            </w:r>
            <w:r w:rsidRPr="002F7676">
              <w:rPr>
                <w:lang w:val="de-DE"/>
              </w:rPr>
              <w:t>Referenzschuldners</w:t>
            </w:r>
            <w:r w:rsidRPr="00F94B27" w:rsidR="00F94B27">
              <w:rPr>
                <w:b/>
                <w:lang w:val="de-DE"/>
              </w:rPr>
              <w:t>][[</w:t>
            </w:r>
            <w:r w:rsidRPr="00E839F3">
              <w:rPr>
                <w:b/>
                <w:i/>
                <w:lang w:val="de-DE"/>
              </w:rPr>
              <w:t>jeweilige Zahl einfügen:</w:t>
            </w:r>
            <w:r w:rsidRPr="002F7676">
              <w:rPr>
                <w:lang w:val="de-DE"/>
              </w:rPr>
              <w:t xml:space="preserve"> </w:t>
            </w:r>
            <w:r w:rsidRPr="00F94B27" w:rsidR="00F94B27">
              <w:rPr>
                <w:b/>
                <w:lang w:val="de-DE"/>
              </w:rPr>
              <w:t>[</w:t>
            </w:r>
            <w:r w:rsidRPr="002F7676">
              <w:rPr>
                <w:lang w:val="de-DE"/>
              </w:rPr>
              <w:t>1st</w:t>
            </w:r>
            <w:r w:rsidRPr="00F94B27" w:rsidR="00F94B27">
              <w:rPr>
                <w:b/>
                <w:lang w:val="de-DE"/>
              </w:rPr>
              <w:t>][</w:t>
            </w:r>
            <w:r w:rsidRPr="002F7676">
              <w:rPr>
                <w:lang w:val="de-DE"/>
              </w:rPr>
              <w:t>2nd</w:t>
            </w:r>
            <w:r w:rsidRPr="00F94B27" w:rsidR="00F94B27">
              <w:rPr>
                <w:b/>
                <w:lang w:val="de-DE"/>
              </w:rPr>
              <w:t>][</w:t>
            </w:r>
            <w:r w:rsidRPr="002F7676">
              <w:rPr>
                <w:lang w:val="de-DE"/>
              </w:rPr>
              <w:t>3rd</w:t>
            </w:r>
            <w:r w:rsidRPr="00F94B27" w:rsidR="00F94B27">
              <w:rPr>
                <w:b/>
                <w:lang w:val="de-DE"/>
              </w:rPr>
              <w:t>][[</w:t>
            </w:r>
            <w:r w:rsidR="003857E8">
              <w:rPr>
                <w:rFonts w:ascii="Arial" w:hAnsi="Arial" w:cs="Arial"/>
                <w:lang w:val="de-DE"/>
              </w:rPr>
              <w:t>●</w:t>
            </w:r>
            <w:r w:rsidRPr="00F94B27" w:rsidR="00F94B27">
              <w:rPr>
                <w:b/>
                <w:lang w:val="de-DE"/>
              </w:rPr>
              <w:t>]]]</w:t>
            </w:r>
            <w:r w:rsidRPr="002F7676">
              <w:rPr>
                <w:lang w:val="de-DE"/>
              </w:rPr>
              <w:t>-to-Default-Referenzschuldners</w:t>
            </w:r>
            <w:r w:rsidRPr="00F94B27" w:rsidR="00F94B27">
              <w:rPr>
                <w:b/>
                <w:lang w:val="de-DE"/>
              </w:rPr>
              <w:t>][</w:t>
            </w:r>
            <w:r w:rsidRPr="002F7676">
              <w:rPr>
                <w:lang w:val="de-DE"/>
              </w:rPr>
              <w:t>Betroffenen Referenzschuldners</w:t>
            </w:r>
            <w:r w:rsidRPr="00F94B27" w:rsidR="00F94B27">
              <w:rPr>
                <w:b/>
                <w:lang w:val="de-DE"/>
              </w:rPr>
              <w:t>]</w:t>
            </w:r>
            <w:r w:rsidRPr="002F7676">
              <w:rPr>
                <w:lang w:val="de-DE"/>
              </w:rPr>
              <w:t>, die die Berechnungsstelle von Banken oder Wertpapierhandelsunternehmen eingeholt hat, bestimmt.</w:t>
            </w:r>
            <w:r w:rsidRPr="00F94B27" w:rsid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2F7676" w:rsidRPr="00E60ECB" w:rsidP="00E839F3">
            <w:pPr>
              <w:pStyle w:val="CSbody0bolditalic"/>
              <w:rPr>
                <w:lang w:val="en-GB"/>
              </w:rPr>
            </w:pPr>
            <w:r w:rsidRPr="00F94B27">
              <w:rPr>
                <w:lang w:val="en-GB"/>
              </w:rPr>
              <w:t>[</w:t>
            </w:r>
            <w:r w:rsidRPr="00E60ECB">
              <w:rPr>
                <w:lang w:val="en-GB"/>
              </w:rPr>
              <w:t>in case of Credit-Linked Complex Products with Zero-Recovery feature linked to a Basket:</w:t>
            </w:r>
          </w:p>
        </w:tc>
        <w:tc>
          <w:tcPr>
            <w:tcW w:w="2502" w:type="pct"/>
            <w:gridSpan w:val="15"/>
            <w:tcBorders>
              <w:left w:val="single" w:sz="4" w:space="0" w:color="auto"/>
            </w:tcBorders>
          </w:tcPr>
          <w:p w:rsidR="002F7676" w:rsidRPr="002F7676" w:rsidP="00E839F3">
            <w:pPr>
              <w:pStyle w:val="CSbody0bolditalic"/>
            </w:pPr>
            <w:r w:rsidRPr="00F94B27">
              <w:t>[</w:t>
            </w:r>
            <w:r w:rsidRPr="002F7676">
              <w:t>bei Kreditbezogenen Komplexen Produkten mit Zero-Recovery-Merkmal:</w:t>
            </w:r>
          </w:p>
        </w:tc>
      </w:tr>
      <w:tr w:rsidTr="00942F00">
        <w:tblPrEx>
          <w:tblW w:w="5000" w:type="pct"/>
          <w:tblLayout w:type="fixed"/>
          <w:tblLook w:val="04A0"/>
        </w:tblPrEx>
        <w:tc>
          <w:tcPr>
            <w:tcW w:w="2498" w:type="pct"/>
            <w:gridSpan w:val="13"/>
            <w:tcBorders>
              <w:right w:val="single" w:sz="4" w:space="0" w:color="auto"/>
            </w:tcBorders>
          </w:tcPr>
          <w:p w:rsidR="002F7676" w:rsidRPr="00FF6D70" w:rsidP="00E839F3">
            <w:pPr>
              <w:pStyle w:val="CSBody0"/>
            </w:pPr>
            <w:r w:rsidRPr="00FF6D70">
              <w:t>Following the occurrence of a Credit Event Determination Date with respect to any Reference Entity contained in the Basket (</w:t>
            </w:r>
            <w:r w:rsidRPr="007E3558" w:rsidR="007E3558">
              <w:rPr>
                <w:i/>
              </w:rPr>
              <w:t>i.e.</w:t>
            </w:r>
            <w:r w:rsidRPr="00FF6D70">
              <w:t xml:space="preserve"> an Affected Reference Entity) the portion of the Principal Amount of the Complex Product equal to the Reference Entity Principal Amount of the Affected Reference Entity will be written down to zero, thereby reducing the Outstanding Principal Amount of the Complex Products, on the basis of which the Scheduled Redemption Amount of the Complex Products is calculated, and no further payments shall be made in respect of such Reference Entity Principal Amount to the Holders of the Complex Products.</w:t>
            </w:r>
            <w:r w:rsidRPr="00F94B27" w:rsidR="00F94B27">
              <w:rPr>
                <w:b/>
              </w:rPr>
              <w:t>]</w:t>
            </w:r>
          </w:p>
        </w:tc>
        <w:tc>
          <w:tcPr>
            <w:tcW w:w="2502" w:type="pct"/>
            <w:gridSpan w:val="15"/>
            <w:tcBorders>
              <w:left w:val="single" w:sz="4" w:space="0" w:color="auto"/>
            </w:tcBorders>
          </w:tcPr>
          <w:p w:rsidR="002F7676" w:rsidRPr="002F7676" w:rsidP="00E839F3">
            <w:pPr>
              <w:pStyle w:val="CSBody0"/>
              <w:rPr>
                <w:lang w:val="de-DE"/>
              </w:rPr>
            </w:pPr>
            <w:r w:rsidRPr="002F7676">
              <w:rPr>
                <w:lang w:val="de-DE"/>
              </w:rPr>
              <w:t>Nach Eintritt eines Kreditereignis-Feststellungstags in Bezug auf einen im Korb enthaltenen Referenzschuldner (d.h. einen Betroffenen Referenzschuldner)</w:t>
            </w:r>
            <w:r w:rsidRPr="00F94B27" w:rsidR="00F94B27">
              <w:rPr>
                <w:b/>
                <w:lang w:val="de-DE"/>
              </w:rPr>
              <w:t>]</w:t>
            </w:r>
            <w:r w:rsidRPr="002F7676">
              <w:rPr>
                <w:lang w:val="de-DE"/>
              </w:rPr>
              <w:t>, wird der Teil des Nennbetrags der Komplexen Produkte, der dem Referenzschuldner-Nennbetrag des Betroffenen Referenzschuldner entspricht, auf null herab gesetzt, wodurch der Ausstehende Nennbetrag der Komplexen Produkte, auf dessen Basis der Planmässige Rückzahlungsbetrag berechnet wird, reduziert wird und es werden keine weiteren Zahlungen in Bezug auf diesen Referenzschuldner-Nennbetrag mehr an die Inhaber der Komplexen Produkte geleistet.</w:t>
            </w:r>
          </w:p>
        </w:tc>
      </w:tr>
      <w:tr w:rsidTr="00942F00">
        <w:tblPrEx>
          <w:tblW w:w="5000" w:type="pct"/>
          <w:tblLayout w:type="fixed"/>
          <w:tblLook w:val="04A0"/>
        </w:tblPrEx>
        <w:tc>
          <w:tcPr>
            <w:tcW w:w="2498" w:type="pct"/>
            <w:gridSpan w:val="13"/>
            <w:tcBorders>
              <w:right w:val="single" w:sz="4" w:space="0" w:color="auto"/>
            </w:tcBorders>
          </w:tcPr>
          <w:p w:rsidR="002F7676" w:rsidRPr="00E60ECB" w:rsidP="00E839F3">
            <w:pPr>
              <w:pStyle w:val="CSbody0bolditalic"/>
              <w:rPr>
                <w:lang w:val="en-GB"/>
              </w:rPr>
            </w:pPr>
            <w:r w:rsidRPr="00F94B27">
              <w:rPr>
                <w:lang w:val="en-GB"/>
              </w:rPr>
              <w:t>[</w:t>
            </w:r>
            <w:r w:rsidRPr="00E60ECB">
              <w:rPr>
                <w:lang w:val="en-GB"/>
              </w:rPr>
              <w:t>in case of Credit-Linked Complex Products with simplified settlement:</w:t>
            </w:r>
          </w:p>
        </w:tc>
        <w:tc>
          <w:tcPr>
            <w:tcW w:w="2502" w:type="pct"/>
            <w:gridSpan w:val="15"/>
            <w:tcBorders>
              <w:left w:val="single" w:sz="4" w:space="0" w:color="auto"/>
            </w:tcBorders>
          </w:tcPr>
          <w:p w:rsidR="002F7676" w:rsidRPr="002F7676" w:rsidP="00E839F3">
            <w:pPr>
              <w:pStyle w:val="CSbody0bolditalic"/>
            </w:pPr>
            <w:r w:rsidRPr="00F94B27">
              <w:t>[</w:t>
            </w:r>
            <w:r w:rsidRPr="002F7676">
              <w:t>bei Kreditbezogenen Komplexen Produkten mit vereinfachter Abwicklung:</w:t>
            </w:r>
          </w:p>
        </w:tc>
      </w:tr>
      <w:tr w:rsidTr="00942F00">
        <w:tblPrEx>
          <w:tblW w:w="5000" w:type="pct"/>
          <w:tblLayout w:type="fixed"/>
          <w:tblLook w:val="04A0"/>
        </w:tblPrEx>
        <w:tc>
          <w:tcPr>
            <w:tcW w:w="2498" w:type="pct"/>
            <w:gridSpan w:val="13"/>
            <w:tcBorders>
              <w:right w:val="single" w:sz="4" w:space="0" w:color="auto"/>
            </w:tcBorders>
          </w:tcPr>
          <w:p w:rsidR="002F7676" w:rsidRPr="00FF6D70" w:rsidP="00E839F3">
            <w:pPr>
              <w:pStyle w:val="CSBody0"/>
            </w:pPr>
            <w:r w:rsidRPr="00FF6D70">
              <w:t xml:space="preserve">Following the occurrence of a Credit Redemption Event, the Credit Redemption Amount </w:t>
            </w:r>
            <w:r w:rsidRPr="00F94B27" w:rsidR="00F94B27">
              <w:rPr>
                <w:b/>
              </w:rPr>
              <w:t>[</w:t>
            </w:r>
            <w:r w:rsidRPr="00E839F3">
              <w:rPr>
                <w:b/>
                <w:i/>
              </w:rPr>
              <w:t>in case of Complex Products with physical settlement:</w:t>
            </w:r>
            <w:r w:rsidRPr="00FF6D70">
              <w:t xml:space="preserve"> (except in the case of physical settlement, where a Default Event has led to the occurrence of the Credit Redemption Event)</w:t>
            </w:r>
            <w:r w:rsidRPr="00F94B27" w:rsidR="00F94B27">
              <w:rPr>
                <w:b/>
              </w:rPr>
              <w:t>]</w:t>
            </w:r>
            <w:r w:rsidRPr="00FF6D70">
              <w:t xml:space="preserve"> rather than the Scheduled Redemption Amount will be payable by the Issuer to the holder of each Complex Product on the Credit Redemption Date. Such amount will be equal to the greater of zero and the sum of the Value of the Reference Obligation and the Asset Swap Value. The Value of the Reference Obligation will be determined by the Calculation Agent based on quotations obtained from leading banks or securities trading firms of the all</w:t>
            </w:r>
            <w:r w:rsidR="005E49F4">
              <w:t>-</w:t>
            </w:r>
            <w:r w:rsidRPr="00FF6D70">
              <w:t>in bid price at which they would purchase the Reference Obligation on the Valuation Date, and the Asset Swap Value will be determined by the Calculation Agent based on quotations obtained from banks or securities trading firms of the amount of certain payments they would expect to pay to, or receive from, the Counterparty, if such bank or securities trading firm were to enter into an agreement with the Counterparty pursuant to which such bank or securities trading firm would fulfil the rights and obligations of the Counterparty, and the Counterparty would fulfil the rights and obligations of the Issuer, under the Swap Agreement described in the Terms and Conditions.</w:t>
            </w:r>
            <w:r w:rsidRPr="00F94B27" w:rsidR="00F94B27">
              <w:rPr>
                <w:b/>
              </w:rPr>
              <w:t>]</w:t>
            </w:r>
          </w:p>
        </w:tc>
        <w:tc>
          <w:tcPr>
            <w:tcW w:w="2502" w:type="pct"/>
            <w:gridSpan w:val="15"/>
            <w:tcBorders>
              <w:left w:val="single" w:sz="4" w:space="0" w:color="auto"/>
            </w:tcBorders>
          </w:tcPr>
          <w:p w:rsidR="002F7676" w:rsidRPr="002F7676" w:rsidP="00E839F3">
            <w:pPr>
              <w:pStyle w:val="CSBody0"/>
              <w:rPr>
                <w:lang w:val="de-DE"/>
              </w:rPr>
            </w:pPr>
            <w:r w:rsidRPr="002F7676">
              <w:rPr>
                <w:lang w:val="de-DE"/>
              </w:rPr>
              <w:t xml:space="preserve">Nach Eintritt eines Kredit-Rückzahlungsereignisses hat die Emittentin nicht den Planmässigen Rückzahlungsbetrag, sondern den Kredit-Rückzahlungsbetrag </w:t>
            </w:r>
            <w:r w:rsidRPr="00F94B27" w:rsidR="00F94B27">
              <w:rPr>
                <w:b/>
                <w:lang w:val="de-DE"/>
              </w:rPr>
              <w:t>[</w:t>
            </w:r>
            <w:r w:rsidRPr="00E839F3">
              <w:rPr>
                <w:b/>
                <w:i/>
                <w:lang w:val="de-DE"/>
              </w:rPr>
              <w:t>bei Komplexen Produkten mit physischer Abwicklung:</w:t>
            </w:r>
            <w:r w:rsidRPr="002F7676">
              <w:rPr>
                <w:lang w:val="de-DE"/>
              </w:rPr>
              <w:t xml:space="preserve"> (ausser im Fall einer physischen Abwicklung, wenn ein Ausfallereignis zum Eintritt des Kredit-Rückzahlungsereignisses geführt hat)</w:t>
            </w:r>
            <w:r w:rsidRPr="00F94B27" w:rsidR="00F94B27">
              <w:rPr>
                <w:b/>
                <w:lang w:val="de-DE"/>
              </w:rPr>
              <w:t>]</w:t>
            </w:r>
            <w:r w:rsidRPr="002F7676">
              <w:rPr>
                <w:lang w:val="de-DE"/>
              </w:rPr>
              <w:t xml:space="preserve"> am Kreditrückzahlungstag an den Inhaber jedes Komplexen Produkts mit vereinfachter Abwicklung zu leisten; der Kredit</w:t>
            </w:r>
            <w:r w:rsidR="005E49F4">
              <w:rPr>
                <w:lang w:val="de-DE"/>
              </w:rPr>
              <w:t>-</w:t>
            </w:r>
            <w:r w:rsidRPr="002F7676">
              <w:rPr>
                <w:lang w:val="de-DE"/>
              </w:rPr>
              <w:t>Rückzahlungsbetrag entspricht dem höheren der folgenden Beträge: null oder der Summe des Werts der Referenzverbindlichkeit und des Asset-Swap-Werts. Der Wert der Referenzverbindlichkeit wird von der Berechnungsstelle basierend auf von führenden Banken oder Wertpapierhandelsunternehmen eingeholten Quotierungen für den "all-in" Geldkurs ermittelt, zu dem diese die Referenzverbindlichkeit am Bewertungstag kaufen würden, und der Asset-Swap-Wert wird von der Berechnungsstelle basierend auf von Banken oder Wertpapierhandelsunternehmen eingeholten Quotierungen für die Höhe bestimmter Zahlungen ermittelt, die die betreffende Bank oder das betreffende Wertpapierhandelsunternehmen voraussichtlich an den Kontrahenten leisten würde oder von dem Kontrahenten erhalten würde, wenn sie bzw. es eine Vereinbarung mit dem Kontrahenten schliessen würde, nach der sie bzw. es die Rechte und Pflichten des Kontrahenten und der Kontrahent die Rechte und Pflichten der Emittentin aus der Swap-Vereinbarung erfüllen würde, die in den Emissionsbedingungen näher beschrieben ist.</w:t>
            </w:r>
            <w:r w:rsidRPr="00F94B27" w:rsid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E839F3" w:rsidRPr="00E60ECB" w:rsidP="00E839F3">
            <w:pPr>
              <w:pStyle w:val="CSbody0bolditalic"/>
              <w:rPr>
                <w:lang w:val="en-GB"/>
              </w:rPr>
            </w:pPr>
            <w:r w:rsidRPr="00F94B27">
              <w:rPr>
                <w:lang w:val="en-GB"/>
              </w:rPr>
              <w:t>[</w:t>
            </w:r>
            <w:r w:rsidRPr="00E60ECB">
              <w:rPr>
                <w:lang w:val="en-GB"/>
              </w:rPr>
              <w:t>in case of Complex Products with Fixed Final Redemption Amount:</w:t>
            </w:r>
          </w:p>
        </w:tc>
        <w:tc>
          <w:tcPr>
            <w:tcW w:w="2502" w:type="pct"/>
            <w:gridSpan w:val="15"/>
            <w:tcBorders>
              <w:left w:val="single" w:sz="4" w:space="0" w:color="auto"/>
            </w:tcBorders>
          </w:tcPr>
          <w:p w:rsidR="00E839F3" w:rsidRPr="00E839F3" w:rsidP="00E839F3">
            <w:pPr>
              <w:pStyle w:val="CSbody0bolditalic"/>
            </w:pPr>
            <w:r w:rsidRPr="00F94B27">
              <w:t>[</w:t>
            </w:r>
            <w:r w:rsidRPr="00E839F3">
              <w:t>bei Komplexen Produkten mit Festem Finalen Rückzahlungsbetrag:</w:t>
            </w:r>
          </w:p>
        </w:tc>
      </w:tr>
      <w:tr w:rsidTr="00942F00">
        <w:tblPrEx>
          <w:tblW w:w="5000" w:type="pct"/>
          <w:tblLayout w:type="fixed"/>
          <w:tblLook w:val="04A0"/>
        </w:tblPrEx>
        <w:tc>
          <w:tcPr>
            <w:tcW w:w="2498" w:type="pct"/>
            <w:gridSpan w:val="13"/>
            <w:tcBorders>
              <w:right w:val="single" w:sz="4" w:space="0" w:color="auto"/>
            </w:tcBorders>
          </w:tcPr>
          <w:p w:rsidR="00E839F3" w:rsidRPr="002E3A55" w:rsidP="00E839F3">
            <w:pPr>
              <w:pStyle w:val="CSBody0"/>
            </w:pPr>
            <w:r w:rsidRPr="002E3A55">
              <w:t>Not applicable. The Complex Products provide for a fixed Final Redemption Amount, which is not dependent on the performance of an underlying.</w:t>
            </w:r>
            <w:r w:rsidRPr="00F94B27" w:rsidR="00F94B27">
              <w:rPr>
                <w:b/>
              </w:rPr>
              <w:t>]]</w:t>
            </w:r>
          </w:p>
        </w:tc>
        <w:tc>
          <w:tcPr>
            <w:tcW w:w="2502" w:type="pct"/>
            <w:gridSpan w:val="15"/>
            <w:tcBorders>
              <w:left w:val="single" w:sz="4" w:space="0" w:color="auto"/>
            </w:tcBorders>
          </w:tcPr>
          <w:p w:rsidR="00E839F3" w:rsidRPr="00E839F3" w:rsidP="00E839F3">
            <w:pPr>
              <w:pStyle w:val="CSBody0"/>
              <w:rPr>
                <w:lang w:val="de-DE"/>
              </w:rPr>
            </w:pPr>
            <w:r w:rsidRPr="00E839F3">
              <w:rPr>
                <w:lang w:val="de-DE"/>
              </w:rPr>
              <w:t>Nicht anwendbar. Die Komplexen Produkte sehen einen festen Finalen Rückzahlungsbetrag vor, der nicht von der Wertentwicklung eines Basiswerts abhängig ist.</w:t>
            </w:r>
            <w:r w:rsidRPr="00F94B27" w:rsidR="00F94B27">
              <w:rPr>
                <w:b/>
                <w:lang w:val="de-DE"/>
              </w:rPr>
              <w:t>]]</w:t>
            </w:r>
          </w:p>
        </w:tc>
      </w:tr>
      <w:tr w:rsidTr="00942F00">
        <w:tblPrEx>
          <w:tblW w:w="5000" w:type="pct"/>
          <w:tblLayout w:type="fixed"/>
          <w:tblLook w:val="04A0"/>
        </w:tblPrEx>
        <w:tc>
          <w:tcPr>
            <w:tcW w:w="2498" w:type="pct"/>
            <w:gridSpan w:val="13"/>
            <w:tcBorders>
              <w:right w:val="single" w:sz="4" w:space="0" w:color="auto"/>
            </w:tcBorders>
          </w:tcPr>
          <w:p w:rsidR="00E839F3" w:rsidRPr="00E839F3" w:rsidP="00E839F3">
            <w:pPr>
              <w:pStyle w:val="CSbody0bold"/>
              <w:rPr>
                <w:lang w:val="en-GB"/>
              </w:rPr>
            </w:pPr>
            <w:r w:rsidRPr="00F94B27">
              <w:rPr>
                <w:lang w:val="en-GB"/>
              </w:rPr>
              <w:t>[</w:t>
            </w:r>
            <w:r w:rsidRPr="00E839F3">
              <w:rPr>
                <w:lang w:val="en-GB"/>
              </w:rPr>
              <w:t>C.20: Description of the type of the Underlying and where information on the Underlying can be found</w:t>
            </w:r>
            <w:r>
              <w:rPr>
                <w:rStyle w:val="FootnoteReference"/>
                <w:lang w:val="en-GB"/>
              </w:rPr>
              <w:footnoteReference w:id="16"/>
            </w:r>
          </w:p>
        </w:tc>
        <w:tc>
          <w:tcPr>
            <w:tcW w:w="2502" w:type="pct"/>
            <w:gridSpan w:val="15"/>
            <w:tcBorders>
              <w:left w:val="single" w:sz="4" w:space="0" w:color="auto"/>
            </w:tcBorders>
          </w:tcPr>
          <w:p w:rsidR="00E839F3" w:rsidRPr="00E839F3" w:rsidP="00E839F3">
            <w:pPr>
              <w:pStyle w:val="CSbody0bold"/>
            </w:pPr>
            <w:r w:rsidRPr="00F94B27">
              <w:t>[</w:t>
            </w:r>
            <w:r w:rsidRPr="00E839F3">
              <w:t>C.20: Beschreibung der Art des Basiswerts und Angabe wo Informationen übe</w:t>
            </w:r>
            <w:r>
              <w:t>r den Basiswert erhältlich sind</w:t>
            </w:r>
            <w:r>
              <w:rPr>
                <w:rStyle w:val="FootnoteReference"/>
              </w:rPr>
              <w:footnoteReference w:id="17"/>
            </w:r>
          </w:p>
        </w:tc>
      </w:tr>
      <w:tr w:rsidTr="00942F00">
        <w:tblPrEx>
          <w:tblW w:w="5000" w:type="pct"/>
          <w:tblLayout w:type="fixed"/>
          <w:tblLook w:val="04A0"/>
        </w:tblPrEx>
        <w:tc>
          <w:tcPr>
            <w:tcW w:w="2498" w:type="pct"/>
            <w:gridSpan w:val="13"/>
            <w:tcBorders>
              <w:right w:val="single" w:sz="4" w:space="0" w:color="auto"/>
            </w:tcBorders>
          </w:tcPr>
          <w:p w:rsidR="00E839F3" w:rsidRPr="00E60ECB" w:rsidP="00E839F3">
            <w:pPr>
              <w:pStyle w:val="CSbody0bolditalic"/>
              <w:rPr>
                <w:lang w:val="en-GB"/>
              </w:rPr>
            </w:pPr>
            <w:r w:rsidRPr="00F94B27">
              <w:rPr>
                <w:lang w:val="en-GB"/>
              </w:rPr>
              <w:t>[</w:t>
            </w:r>
            <w:r w:rsidRPr="00E60ECB">
              <w:rPr>
                <w:lang w:val="en-GB"/>
              </w:rPr>
              <w:t>in case of Credit-Linked Complex Products or Complex Products linked to a Reference Rate:</w:t>
            </w:r>
          </w:p>
        </w:tc>
        <w:tc>
          <w:tcPr>
            <w:tcW w:w="2502" w:type="pct"/>
            <w:gridSpan w:val="15"/>
            <w:tcBorders>
              <w:left w:val="single" w:sz="4" w:space="0" w:color="auto"/>
            </w:tcBorders>
          </w:tcPr>
          <w:p w:rsidR="00E839F3" w:rsidRPr="00E839F3" w:rsidP="00E839F3">
            <w:pPr>
              <w:pStyle w:val="CSbody0bolditalic"/>
            </w:pPr>
            <w:r w:rsidRPr="00F94B27">
              <w:t>[</w:t>
            </w:r>
            <w:r w:rsidRPr="00E839F3">
              <w:t>bei Kreditbezogenen Komplexen Produkten oder Komplexen Produkten, die an einen Referenzsatz gekoppelt sind:</w:t>
            </w:r>
          </w:p>
        </w:tc>
      </w:tr>
      <w:tr w:rsidTr="00942F00">
        <w:tblPrEx>
          <w:tblW w:w="5000" w:type="pct"/>
          <w:tblLayout w:type="fixed"/>
          <w:tblLook w:val="04A0"/>
        </w:tblPrEx>
        <w:tc>
          <w:tcPr>
            <w:tcW w:w="2498" w:type="pct"/>
            <w:gridSpan w:val="13"/>
            <w:tcBorders>
              <w:right w:val="single" w:sz="4" w:space="0" w:color="auto"/>
            </w:tcBorders>
          </w:tcPr>
          <w:p w:rsidR="00E839F3" w:rsidRPr="002E3A55" w:rsidP="00E839F3">
            <w:pPr>
              <w:pStyle w:val="CSBody0"/>
            </w:pPr>
            <w:r w:rsidRPr="002E3A55">
              <w:t xml:space="preserve">The Complex Products are linked to </w:t>
            </w:r>
            <w:r w:rsidRPr="00F94B27" w:rsidR="00F94B27">
              <w:rPr>
                <w:b/>
              </w:rPr>
              <w:t>[</w:t>
            </w:r>
            <w:r w:rsidRPr="002E3A55">
              <w:t>a Reference Rate</w:t>
            </w:r>
            <w:r w:rsidRPr="00F94B27" w:rsidR="00F94B27">
              <w:rPr>
                <w:b/>
              </w:rPr>
              <w:t>][</w:t>
            </w:r>
            <w:r w:rsidRPr="002E3A55">
              <w:t>Reference Rates</w:t>
            </w:r>
            <w:r w:rsidRPr="00F94B27" w:rsidR="00F94B27">
              <w:rPr>
                <w:b/>
              </w:rPr>
              <w:t>][</w:t>
            </w:r>
            <w:r w:rsidRPr="002E3A55">
              <w:t>and</w:t>
            </w:r>
            <w:r w:rsidRPr="00F94B27" w:rsidR="00F94B27">
              <w:rPr>
                <w:b/>
              </w:rPr>
              <w:t>][</w:t>
            </w:r>
            <w:r w:rsidRPr="002E3A55">
              <w:t>a Reference Entity</w:t>
            </w:r>
            <w:r w:rsidRPr="00F94B27" w:rsidR="00F94B27">
              <w:rPr>
                <w:b/>
              </w:rPr>
              <w:t>][</w:t>
            </w:r>
            <w:r w:rsidRPr="002E3A55">
              <w:t>Reference Entities</w:t>
            </w:r>
            <w:r w:rsidRPr="00F94B27" w:rsidR="00F94B27">
              <w:rPr>
                <w:b/>
              </w:rPr>
              <w:t>]</w:t>
            </w:r>
            <w:r w:rsidRPr="002E3A55">
              <w:t>.</w:t>
            </w:r>
          </w:p>
        </w:tc>
        <w:tc>
          <w:tcPr>
            <w:tcW w:w="2502" w:type="pct"/>
            <w:gridSpan w:val="15"/>
            <w:tcBorders>
              <w:left w:val="single" w:sz="4" w:space="0" w:color="auto"/>
            </w:tcBorders>
          </w:tcPr>
          <w:p w:rsidR="00E839F3" w:rsidRPr="00E839F3" w:rsidP="00E839F3">
            <w:pPr>
              <w:pStyle w:val="CSBody0"/>
              <w:rPr>
                <w:lang w:val="de-DE"/>
              </w:rPr>
            </w:pPr>
            <w:r w:rsidRPr="00E839F3">
              <w:rPr>
                <w:lang w:val="de-DE"/>
              </w:rPr>
              <w:t xml:space="preserve">Die Komplexen Produkte sind an </w:t>
            </w:r>
            <w:r w:rsidRPr="00F94B27" w:rsidR="00F94B27">
              <w:rPr>
                <w:b/>
                <w:lang w:val="de-DE"/>
              </w:rPr>
              <w:t>[</w:t>
            </w:r>
            <w:r w:rsidRPr="00E839F3">
              <w:rPr>
                <w:lang w:val="de-DE"/>
              </w:rPr>
              <w:t>einen Referenzsatz</w:t>
            </w:r>
            <w:r w:rsidRPr="00F94B27" w:rsidR="00F94B27">
              <w:rPr>
                <w:b/>
                <w:lang w:val="de-DE"/>
              </w:rPr>
              <w:t>][</w:t>
            </w:r>
            <w:r w:rsidRPr="00E839F3">
              <w:rPr>
                <w:lang w:val="de-DE"/>
              </w:rPr>
              <w:t>Referenzsätze</w:t>
            </w:r>
            <w:r w:rsidRPr="00F94B27" w:rsidR="00F94B27">
              <w:rPr>
                <w:b/>
                <w:lang w:val="de-DE"/>
              </w:rPr>
              <w:t>][</w:t>
            </w:r>
            <w:r w:rsidRPr="00E839F3">
              <w:rPr>
                <w:lang w:val="de-DE"/>
              </w:rPr>
              <w:t>und</w:t>
            </w:r>
            <w:r w:rsidRPr="00F94B27" w:rsidR="00F94B27">
              <w:rPr>
                <w:b/>
                <w:lang w:val="de-DE"/>
              </w:rPr>
              <w:t>][</w:t>
            </w:r>
            <w:r w:rsidRPr="00E839F3">
              <w:rPr>
                <w:lang w:val="de-DE"/>
              </w:rPr>
              <w:t>einen Referenzschuldner</w:t>
            </w:r>
            <w:r w:rsidRPr="00F94B27" w:rsidR="00F94B27">
              <w:rPr>
                <w:b/>
                <w:lang w:val="de-DE"/>
              </w:rPr>
              <w:t>][</w:t>
            </w:r>
            <w:r w:rsidRPr="00E839F3">
              <w:rPr>
                <w:lang w:val="de-DE"/>
              </w:rPr>
              <w:t>Referenzschuldner</w:t>
            </w:r>
            <w:r w:rsidRPr="00F94B27" w:rsidR="00F94B27">
              <w:rPr>
                <w:b/>
                <w:lang w:val="de-DE"/>
              </w:rPr>
              <w:t>]</w:t>
            </w:r>
            <w:r w:rsidRPr="00E839F3">
              <w:rPr>
                <w:lang w:val="de-DE"/>
              </w:rPr>
              <w:t xml:space="preserve"> gekoppelt.</w:t>
            </w:r>
          </w:p>
        </w:tc>
      </w:tr>
      <w:tr w:rsidTr="00942F00">
        <w:tblPrEx>
          <w:tblW w:w="5000" w:type="pct"/>
          <w:tblLayout w:type="fixed"/>
          <w:tblLook w:val="04A0"/>
        </w:tblPrEx>
        <w:tc>
          <w:tcPr>
            <w:tcW w:w="2498" w:type="pct"/>
            <w:gridSpan w:val="13"/>
            <w:tcBorders>
              <w:right w:val="single" w:sz="4" w:space="0" w:color="auto"/>
            </w:tcBorders>
          </w:tcPr>
          <w:p w:rsidR="00E839F3" w:rsidRPr="00E60ECB" w:rsidP="00E839F3">
            <w:pPr>
              <w:pStyle w:val="CSbody0bolditalic"/>
              <w:rPr>
                <w:lang w:val="en-GB"/>
              </w:rPr>
            </w:pPr>
            <w:r w:rsidRPr="00F94B27">
              <w:rPr>
                <w:lang w:val="en-GB"/>
              </w:rPr>
              <w:t>[</w:t>
            </w:r>
            <w:r w:rsidRPr="00E60ECB">
              <w:rPr>
                <w:lang w:val="en-GB"/>
              </w:rPr>
              <w:t>in case of Credit-Linked Complex Products:</w:t>
            </w:r>
          </w:p>
        </w:tc>
        <w:tc>
          <w:tcPr>
            <w:tcW w:w="2502" w:type="pct"/>
            <w:gridSpan w:val="15"/>
            <w:tcBorders>
              <w:left w:val="single" w:sz="4" w:space="0" w:color="auto"/>
            </w:tcBorders>
          </w:tcPr>
          <w:p w:rsidR="00E839F3" w:rsidP="00E839F3">
            <w:pPr>
              <w:pStyle w:val="CSbody0bolditalic"/>
            </w:pPr>
            <w:r w:rsidRPr="00F94B27">
              <w:t>[</w:t>
            </w:r>
            <w:r w:rsidRPr="002E3A55">
              <w:t>bei Kreditbezogenen Komplexen Produkten:</w:t>
            </w:r>
          </w:p>
        </w:tc>
      </w:tr>
      <w:tr w:rsidTr="0070669C">
        <w:tblPrEx>
          <w:tblW w:w="5000" w:type="pct"/>
          <w:tblLayout w:type="fixed"/>
          <w:tblLook w:val="04A0"/>
        </w:tblPrEx>
        <w:tc>
          <w:tcPr>
            <w:tcW w:w="999" w:type="pct"/>
            <w:gridSpan w:val="7"/>
            <w:tcBorders>
              <w:right w:val="single" w:sz="4" w:space="0" w:color="auto"/>
            </w:tcBorders>
          </w:tcPr>
          <w:p w:rsidR="00E839F3" w:rsidRPr="00E839F3" w:rsidP="00E839F3">
            <w:pPr>
              <w:pStyle w:val="CSBody0"/>
            </w:pPr>
            <w:r w:rsidRPr="00E839F3">
              <w:t>Reference Entity</w:t>
            </w:r>
          </w:p>
        </w:tc>
        <w:tc>
          <w:tcPr>
            <w:tcW w:w="1499" w:type="pct"/>
            <w:gridSpan w:val="6"/>
            <w:tcBorders>
              <w:left w:val="single" w:sz="4" w:space="0" w:color="auto"/>
              <w:right w:val="single" w:sz="4" w:space="0" w:color="auto"/>
            </w:tcBorders>
          </w:tcPr>
          <w:p w:rsidR="00E839F3" w:rsidRPr="00E60ECB" w:rsidP="00E839F3">
            <w:pPr>
              <w:pStyle w:val="CSbody0bolditalic"/>
              <w:rPr>
                <w:lang w:val="en-GB"/>
              </w:rPr>
            </w:pPr>
            <w:r w:rsidRPr="00F94B27">
              <w:rPr>
                <w:lang w:val="en-GB"/>
              </w:rPr>
              <w:t>[</w:t>
            </w:r>
            <w:r w:rsidRPr="00E60ECB">
              <w:rPr>
                <w:lang w:val="en-GB"/>
              </w:rPr>
              <w:t>if no Basket and no N</w:t>
            </w:r>
            <w:r w:rsidRPr="00E80B0C">
              <w:rPr>
                <w:bCs w:val="0"/>
                <w:szCs w:val="22"/>
                <w:vertAlign w:val="superscript"/>
                <w:lang w:val="en-GB"/>
              </w:rPr>
              <w:t>th</w:t>
            </w:r>
            <w:r w:rsidRPr="00E60ECB">
              <w:rPr>
                <w:lang w:val="en-GB"/>
              </w:rPr>
              <w:t xml:space="preserve">-to-Default structure is applicable, insert: </w:t>
            </w:r>
          </w:p>
        </w:tc>
        <w:tc>
          <w:tcPr>
            <w:tcW w:w="1325" w:type="pct"/>
            <w:gridSpan w:val="8"/>
            <w:tcBorders>
              <w:left w:val="single" w:sz="4" w:space="0" w:color="auto"/>
              <w:right w:val="single" w:sz="4" w:space="0" w:color="auto"/>
            </w:tcBorders>
          </w:tcPr>
          <w:p w:rsidR="00E839F3" w:rsidRPr="00E839F3" w:rsidP="00E839F3">
            <w:pPr>
              <w:pStyle w:val="CSBody0"/>
            </w:pPr>
            <w:r w:rsidRPr="00E839F3">
              <w:t>Referenzschuldner</w:t>
            </w:r>
          </w:p>
        </w:tc>
        <w:tc>
          <w:tcPr>
            <w:tcW w:w="1177" w:type="pct"/>
            <w:gridSpan w:val="7"/>
            <w:tcBorders>
              <w:left w:val="single" w:sz="4" w:space="0" w:color="auto"/>
            </w:tcBorders>
          </w:tcPr>
          <w:p w:rsidR="00E839F3" w:rsidRPr="00E839F3" w:rsidP="00E839F3">
            <w:pPr>
              <w:pStyle w:val="CSbody0bolditalic"/>
            </w:pPr>
            <w:r w:rsidRPr="00F94B27">
              <w:t>[</w:t>
            </w:r>
            <w:r w:rsidRPr="00E839F3">
              <w:t>falls kein Korb und keine N</w:t>
            </w:r>
            <w:r w:rsidRPr="00E80B0C">
              <w:rPr>
                <w:bCs w:val="0"/>
                <w:szCs w:val="22"/>
                <w:vertAlign w:val="superscript"/>
              </w:rPr>
              <w:t>th</w:t>
            </w:r>
            <w:r w:rsidRPr="00E839F3">
              <w:t xml:space="preserve">-to-Default-Struktur anwendbar ist, einfügen: </w:t>
            </w:r>
          </w:p>
        </w:tc>
      </w:tr>
      <w:tr w:rsidTr="0070669C">
        <w:tblPrEx>
          <w:tblW w:w="5000" w:type="pct"/>
          <w:tblLayout w:type="fixed"/>
          <w:tblLook w:val="04A0"/>
        </w:tblPrEx>
        <w:tc>
          <w:tcPr>
            <w:tcW w:w="999" w:type="pct"/>
            <w:gridSpan w:val="7"/>
            <w:tcBorders>
              <w:right w:val="single" w:sz="4" w:space="0" w:color="auto"/>
            </w:tcBorders>
          </w:tcPr>
          <w:p w:rsidR="00E839F3" w:rsidRPr="00E60ECB" w:rsidP="00E839F3">
            <w:pPr>
              <w:pStyle w:val="CSBody0"/>
              <w:rPr>
                <w:lang w:val="de-DE"/>
              </w:rPr>
            </w:pPr>
          </w:p>
        </w:tc>
        <w:tc>
          <w:tcPr>
            <w:tcW w:w="1499" w:type="pct"/>
            <w:gridSpan w:val="6"/>
            <w:tcBorders>
              <w:left w:val="single" w:sz="4" w:space="0" w:color="auto"/>
              <w:right w:val="single" w:sz="4" w:space="0" w:color="auto"/>
            </w:tcBorders>
          </w:tcPr>
          <w:p w:rsidR="00E839F3" w:rsidRPr="00E839F3" w:rsidP="00E839F3">
            <w:pPr>
              <w:pStyle w:val="CSBody0"/>
            </w:pPr>
            <w:r w:rsidRPr="00F94B27">
              <w:rPr>
                <w:b/>
              </w:rPr>
              <w:t>[</w:t>
            </w:r>
            <w:r w:rsidR="003857E8">
              <w:rPr>
                <w:rFonts w:ascii="Arial" w:hAnsi="Arial" w:cs="Arial"/>
              </w:rPr>
              <w:t>●</w:t>
            </w:r>
            <w:r w:rsidRPr="00F94B27">
              <w:rPr>
                <w:b/>
              </w:rPr>
              <w:t>]</w:t>
            </w:r>
            <w:r w:rsidRPr="00E839F3">
              <w:t xml:space="preserve"> </w:t>
            </w:r>
            <w:r w:rsidRPr="00F94B27">
              <w:rPr>
                <w:b/>
              </w:rPr>
              <w:t>[</w:t>
            </w:r>
            <w:r w:rsidRPr="00E839F3">
              <w:rPr>
                <w:b/>
                <w:i/>
              </w:rPr>
              <w:t>in the case of Credit-Linked Complex Products with auction settlement, insert:</w:t>
            </w:r>
            <w:r w:rsidRPr="00E839F3">
              <w:t xml:space="preserve"> , subject to the determination of a Sucessor by the Calculation Agent.</w:t>
            </w:r>
            <w:r w:rsidRPr="00F94B27">
              <w:rPr>
                <w:b/>
              </w:rPr>
              <w:t>]</w:t>
            </w:r>
          </w:p>
        </w:tc>
        <w:tc>
          <w:tcPr>
            <w:tcW w:w="1325" w:type="pct"/>
            <w:gridSpan w:val="8"/>
            <w:tcBorders>
              <w:left w:val="single" w:sz="4" w:space="0" w:color="auto"/>
              <w:right w:val="single" w:sz="4" w:space="0" w:color="auto"/>
            </w:tcBorders>
          </w:tcPr>
          <w:p w:rsidR="00E839F3" w:rsidRPr="00E839F3" w:rsidP="00E839F3">
            <w:pPr>
              <w:pStyle w:val="CSBody0"/>
            </w:pPr>
          </w:p>
        </w:tc>
        <w:tc>
          <w:tcPr>
            <w:tcW w:w="1177" w:type="pct"/>
            <w:gridSpan w:val="7"/>
            <w:tcBorders>
              <w:left w:val="single" w:sz="4" w:space="0" w:color="auto"/>
            </w:tcBorders>
          </w:tcPr>
          <w:p w:rsidR="00E839F3" w:rsidRPr="00E839F3">
            <w:pPr>
              <w:pStyle w:val="CSBody0"/>
              <w:rPr>
                <w:lang w:val="de-DE"/>
              </w:rPr>
            </w:pPr>
            <w:r w:rsidRPr="00F94B27">
              <w:rPr>
                <w:b/>
                <w:lang w:val="de-DE"/>
              </w:rPr>
              <w:t>[</w:t>
            </w:r>
            <w:r w:rsidRPr="000F4148" w:rsidR="003857E8">
              <w:rPr>
                <w:rFonts w:ascii="Arial" w:hAnsi="Arial" w:cs="Arial"/>
                <w:lang w:val="de-DE"/>
              </w:rPr>
              <w:t>●</w:t>
            </w:r>
            <w:r w:rsidRPr="00F94B27">
              <w:rPr>
                <w:b/>
                <w:lang w:val="de-DE"/>
              </w:rPr>
              <w:t>]</w:t>
            </w:r>
            <w:r w:rsidRPr="00E839F3">
              <w:rPr>
                <w:lang w:val="de-DE"/>
              </w:rPr>
              <w:t xml:space="preserve"> </w:t>
            </w:r>
            <w:r w:rsidRPr="00F94B27">
              <w:rPr>
                <w:b/>
                <w:lang w:val="de-DE"/>
              </w:rPr>
              <w:t>[</w:t>
            </w:r>
            <w:r w:rsidRPr="00E839F3">
              <w:rPr>
                <w:b/>
                <w:i/>
                <w:lang w:val="de-DE"/>
              </w:rPr>
              <w:t>bei Kreditbezogenen Komplexen Produkten mit Auktionsabwicklung einf</w:t>
            </w:r>
            <w:r w:rsidRPr="00E839F3">
              <w:rPr>
                <w:rFonts w:cs="Credit Suisse Type Light"/>
                <w:b/>
                <w:i/>
                <w:lang w:val="de-DE"/>
              </w:rPr>
              <w:t>ü</w:t>
            </w:r>
            <w:r w:rsidRPr="00E839F3">
              <w:rPr>
                <w:b/>
                <w:i/>
                <w:lang w:val="de-DE"/>
              </w:rPr>
              <w:t>gen:</w:t>
            </w:r>
            <w:r w:rsidRPr="00E839F3">
              <w:rPr>
                <w:lang w:val="de-DE"/>
              </w:rPr>
              <w:t xml:space="preserve">, vorbehaltlich der Bestimmung eines </w:t>
            </w:r>
            <w:r w:rsidR="00636F36">
              <w:rPr>
                <w:lang w:val="de-DE"/>
              </w:rPr>
              <w:t>Rechtsn</w:t>
            </w:r>
            <w:r w:rsidRPr="00E839F3">
              <w:rPr>
                <w:lang w:val="de-DE"/>
              </w:rPr>
              <w:t>achfolgers durch die Berechungsstelle.</w:t>
            </w:r>
            <w:r w:rsidRPr="00F94B27">
              <w:rPr>
                <w:b/>
                <w:lang w:val="de-DE"/>
              </w:rPr>
              <w:t>]</w:t>
            </w:r>
          </w:p>
        </w:tc>
      </w:tr>
      <w:tr w:rsidTr="0070669C">
        <w:tblPrEx>
          <w:tblW w:w="5000" w:type="pct"/>
          <w:tblLayout w:type="fixed"/>
          <w:tblLook w:val="04A0"/>
        </w:tblPrEx>
        <w:tc>
          <w:tcPr>
            <w:tcW w:w="999" w:type="pct"/>
            <w:gridSpan w:val="7"/>
            <w:tcBorders>
              <w:right w:val="single" w:sz="4" w:space="0" w:color="auto"/>
            </w:tcBorders>
          </w:tcPr>
          <w:p w:rsidR="00E839F3" w:rsidRPr="00E839F3" w:rsidP="00E839F3">
            <w:pPr>
              <w:pStyle w:val="CSBody0"/>
              <w:rPr>
                <w:lang w:val="de-DE"/>
              </w:rPr>
            </w:pPr>
          </w:p>
        </w:tc>
        <w:tc>
          <w:tcPr>
            <w:tcW w:w="1499" w:type="pct"/>
            <w:gridSpan w:val="6"/>
            <w:tcBorders>
              <w:left w:val="single" w:sz="4" w:space="0" w:color="auto"/>
              <w:right w:val="single" w:sz="4" w:space="0" w:color="auto"/>
            </w:tcBorders>
          </w:tcPr>
          <w:p w:rsidR="00E839F3" w:rsidRPr="00E60ECB" w:rsidP="00E839F3">
            <w:pPr>
              <w:pStyle w:val="CSbody0bolditalic"/>
              <w:rPr>
                <w:lang w:val="en-GB"/>
              </w:rPr>
            </w:pPr>
            <w:r w:rsidRPr="00F94B27">
              <w:rPr>
                <w:lang w:val="en-GB"/>
              </w:rPr>
              <w:t>[</w:t>
            </w:r>
            <w:r w:rsidRPr="00E60ECB">
              <w:rPr>
                <w:lang w:val="en-GB"/>
              </w:rPr>
              <w:t>if a Basket or a N</w:t>
            </w:r>
            <w:r w:rsidRPr="00E80B0C">
              <w:rPr>
                <w:bCs w:val="0"/>
                <w:szCs w:val="22"/>
                <w:vertAlign w:val="superscript"/>
                <w:lang w:val="en-GB"/>
              </w:rPr>
              <w:t>th</w:t>
            </w:r>
            <w:r w:rsidRPr="00E60ECB">
              <w:rPr>
                <w:lang w:val="en-GB"/>
              </w:rPr>
              <w:t>-to-Default structure is applicable, insert:</w:t>
            </w:r>
          </w:p>
        </w:tc>
        <w:tc>
          <w:tcPr>
            <w:tcW w:w="1325" w:type="pct"/>
            <w:gridSpan w:val="8"/>
            <w:tcBorders>
              <w:left w:val="single" w:sz="4" w:space="0" w:color="auto"/>
              <w:right w:val="single" w:sz="4" w:space="0" w:color="auto"/>
            </w:tcBorders>
          </w:tcPr>
          <w:p w:rsidR="00E839F3" w:rsidRPr="00E839F3" w:rsidP="00E839F3">
            <w:pPr>
              <w:pStyle w:val="CSBody0"/>
            </w:pPr>
          </w:p>
        </w:tc>
        <w:tc>
          <w:tcPr>
            <w:tcW w:w="1177" w:type="pct"/>
            <w:gridSpan w:val="7"/>
            <w:tcBorders>
              <w:left w:val="single" w:sz="4" w:space="0" w:color="auto"/>
            </w:tcBorders>
          </w:tcPr>
          <w:p w:rsidR="00E839F3" w:rsidRPr="00E839F3" w:rsidP="00E839F3">
            <w:pPr>
              <w:pStyle w:val="CSbody0bolditalic"/>
            </w:pPr>
            <w:r w:rsidRPr="00F94B27">
              <w:t>[</w:t>
            </w:r>
            <w:r w:rsidRPr="00E839F3">
              <w:t>falls ein Korb oder eine N</w:t>
            </w:r>
            <w:r w:rsidRPr="00E80B0C">
              <w:rPr>
                <w:bCs w:val="0"/>
                <w:szCs w:val="22"/>
                <w:vertAlign w:val="superscript"/>
              </w:rPr>
              <w:t>th</w:t>
            </w:r>
            <w:r w:rsidRPr="00E839F3">
              <w:t>-to-Default-Struktur anwendbar ist, einfügen:</w:t>
            </w:r>
          </w:p>
        </w:tc>
      </w:tr>
      <w:tr w:rsidTr="0070669C">
        <w:tblPrEx>
          <w:tblW w:w="5000" w:type="pct"/>
          <w:tblLayout w:type="fixed"/>
          <w:tblLook w:val="04A0"/>
        </w:tblPrEx>
        <w:tc>
          <w:tcPr>
            <w:tcW w:w="999" w:type="pct"/>
            <w:gridSpan w:val="7"/>
            <w:tcBorders>
              <w:right w:val="single" w:sz="4" w:space="0" w:color="auto"/>
            </w:tcBorders>
          </w:tcPr>
          <w:p w:rsidR="00E839F3" w:rsidRPr="00E60ECB" w:rsidP="00E839F3">
            <w:pPr>
              <w:pStyle w:val="CSBody0"/>
              <w:rPr>
                <w:lang w:val="de-DE"/>
              </w:rPr>
            </w:pPr>
          </w:p>
        </w:tc>
        <w:tc>
          <w:tcPr>
            <w:tcW w:w="1499" w:type="pct"/>
            <w:gridSpan w:val="6"/>
            <w:tcBorders>
              <w:left w:val="single" w:sz="4" w:space="0" w:color="auto"/>
              <w:right w:val="single" w:sz="4" w:space="0" w:color="auto"/>
            </w:tcBorders>
          </w:tcPr>
          <w:p w:rsidR="00E839F3" w:rsidRPr="00E839F3" w:rsidP="00E839F3">
            <w:pPr>
              <w:pStyle w:val="CSBody0"/>
            </w:pPr>
            <w:r w:rsidRPr="00E839F3">
              <w:t>each Reference Entity specified in the below table, subject to the determination of a Sucessor by the Calculation Agent.</w:t>
            </w:r>
          </w:p>
        </w:tc>
        <w:tc>
          <w:tcPr>
            <w:tcW w:w="1325" w:type="pct"/>
            <w:gridSpan w:val="8"/>
            <w:tcBorders>
              <w:left w:val="single" w:sz="4" w:space="0" w:color="auto"/>
              <w:right w:val="single" w:sz="4" w:space="0" w:color="auto"/>
            </w:tcBorders>
          </w:tcPr>
          <w:p w:rsidR="00E839F3" w:rsidRPr="00E839F3" w:rsidP="00E839F3">
            <w:pPr>
              <w:pStyle w:val="CSBody0"/>
            </w:pPr>
          </w:p>
        </w:tc>
        <w:tc>
          <w:tcPr>
            <w:tcW w:w="1177" w:type="pct"/>
            <w:gridSpan w:val="7"/>
            <w:tcBorders>
              <w:left w:val="single" w:sz="4" w:space="0" w:color="auto"/>
            </w:tcBorders>
          </w:tcPr>
          <w:p w:rsidR="00E839F3" w:rsidRPr="00E60ECB" w:rsidP="00E839F3">
            <w:pPr>
              <w:pStyle w:val="CSBody0"/>
              <w:rPr>
                <w:lang w:val="de-DE"/>
              </w:rPr>
            </w:pPr>
            <w:r w:rsidRPr="00E60ECB">
              <w:rPr>
                <w:lang w:val="de-DE"/>
              </w:rPr>
              <w:t xml:space="preserve">jeder in der nachstehenden Tabelle bezeichnete Referenzschuldner, vorbehaltlich der Bestimmung eines </w:t>
            </w:r>
            <w:r w:rsidR="00636F36">
              <w:rPr>
                <w:lang w:val="de-DE"/>
              </w:rPr>
              <w:t>Rechtsn</w:t>
            </w:r>
            <w:r w:rsidRPr="00E60ECB">
              <w:rPr>
                <w:lang w:val="de-DE"/>
              </w:rPr>
              <w:t>achfolgers durch die Berechungsstelle.</w:t>
            </w:r>
          </w:p>
        </w:tc>
      </w:tr>
    </w:tbl>
    <w:tbl>
      <w:tblPr>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
      <w:tblGrid>
        <w:gridCol w:w="4931"/>
        <w:gridCol w:w="4936"/>
      </w:tblGrid>
      <w:tr w:rsidTr="00B00E57">
        <w:tblPrEx>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Ex>
        <w:tc>
          <w:tcPr>
            <w:tcW w:w="4931" w:type="dxa"/>
            <w:tcBorders>
              <w:top w:val="nil"/>
              <w:left w:val="nil"/>
              <w:bottom w:val="nil"/>
            </w:tcBorders>
            <w:shd w:val="clear" w:color="auto" w:fill="auto"/>
          </w:tcPr>
          <w:p w:rsidR="00942F00" w:rsidRPr="00312CFF" w:rsidP="00B00E57">
            <w:pPr>
              <w:pStyle w:val="CSBody8ptbolditalics"/>
            </w:pPr>
            <w:r w:rsidRPr="00792D61">
              <w:t>[</w:t>
            </w:r>
            <w:r>
              <w:t xml:space="preserve">in case of Credit-Linked Complex Products, where </w:t>
            </w:r>
            <w:r w:rsidRPr="00312CFF">
              <w:t xml:space="preserve">a Basket </w:t>
            </w:r>
            <w:r>
              <w:t xml:space="preserve">of Reference Entities </w:t>
            </w:r>
            <w:r w:rsidRPr="00312CFF">
              <w:t xml:space="preserve">or a Nth-to-Default structure is applicable, </w:t>
            </w:r>
            <w:r>
              <w:t xml:space="preserve">other than Credit-Linked Complex Products with LPN Reference Obligation, </w:t>
            </w:r>
            <w:r w:rsidRPr="00312CFF">
              <w:t>insert Table A:</w:t>
            </w:r>
          </w:p>
        </w:tc>
        <w:tc>
          <w:tcPr>
            <w:tcW w:w="4936" w:type="dxa"/>
            <w:tcBorders>
              <w:top w:val="nil"/>
              <w:bottom w:val="nil"/>
              <w:right w:val="nil"/>
            </w:tcBorders>
            <w:shd w:val="clear" w:color="auto" w:fill="auto"/>
          </w:tcPr>
          <w:p w:rsidR="00942F00" w:rsidRPr="00CB33B4" w:rsidP="00B00E57">
            <w:pPr>
              <w:pStyle w:val="CSBody8ptbolditalics"/>
              <w:rPr>
                <w:lang w:val="de-DE"/>
              </w:rPr>
            </w:pPr>
            <w:r w:rsidRPr="00792D61">
              <w:rPr>
                <w:lang w:val="de-DE"/>
              </w:rPr>
              <w:t>[</w:t>
            </w:r>
            <w:r>
              <w:rPr>
                <w:lang w:val="de-DE"/>
              </w:rPr>
              <w:t xml:space="preserve">bei Kreditbezogenen Komplexen Produkten, bei denen </w:t>
            </w:r>
            <w:r w:rsidRPr="00CB33B4">
              <w:rPr>
                <w:lang w:val="de-DE"/>
              </w:rPr>
              <w:t xml:space="preserve">ein Korb </w:t>
            </w:r>
            <w:r>
              <w:rPr>
                <w:lang w:val="de-DE"/>
              </w:rPr>
              <w:t xml:space="preserve">von Referenzschuldnern </w:t>
            </w:r>
            <w:r w:rsidRPr="00CB33B4">
              <w:rPr>
                <w:lang w:val="de-DE"/>
              </w:rPr>
              <w:t>oder eine Nth-to-Default-Struktur anwendbar ist,</w:t>
            </w:r>
            <w:r>
              <w:rPr>
                <w:lang w:val="de-DE"/>
              </w:rPr>
              <w:t xml:space="preserve"> ausser Kreditbezogenen Komplexen Produkten mit LPN-Referenzverbindlichkeit,</w:t>
            </w:r>
            <w:r w:rsidRPr="00CB33B4">
              <w:rPr>
                <w:lang w:val="de-DE"/>
              </w:rPr>
              <w:t xml:space="preserve"> Tabelle A einfügen:</w:t>
            </w:r>
            <w:r w:rsidRPr="00792D61">
              <w:rPr>
                <w:lang w:val="de-DE"/>
              </w:rPr>
              <w:t>]</w:t>
            </w:r>
          </w:p>
        </w:tc>
      </w:tr>
    </w:tbl>
    <w:p w:rsidR="00942F00" w:rsidRPr="00BD6E0D">
      <w:pPr>
        <w:rPr>
          <w:lang w:val="de-DE"/>
        </w:rPr>
      </w:pPr>
    </w:p>
    <w:tbl>
      <w:tblPr>
        <w:tblStyle w:val="TableGrid"/>
        <w:tblW w:w="5000" w:type="pct"/>
        <w:tblBorders>
          <w:top w:val="nil"/>
          <w:left w:val="nil"/>
          <w:bottom w:val="nil"/>
          <w:right w:val="nil"/>
          <w:insideH w:val="nil"/>
          <w:insideV w:val="nil"/>
        </w:tblBorders>
        <w:tblLayout w:type="fixed"/>
        <w:tblLook w:val="04A0"/>
      </w:tblPr>
      <w:tblGrid>
        <w:gridCol w:w="373"/>
        <w:gridCol w:w="12"/>
        <w:gridCol w:w="1110"/>
        <w:gridCol w:w="1549"/>
        <w:gridCol w:w="1880"/>
        <w:gridCol w:w="1478"/>
        <w:gridCol w:w="1537"/>
        <w:gridCol w:w="1425"/>
        <w:gridCol w:w="491"/>
      </w:tblGrid>
      <w:tr w:rsidTr="00942F00">
        <w:tblPrEx>
          <w:tblW w:w="5000" w:type="pct"/>
          <w:tblBorders>
            <w:top w:val="nil"/>
            <w:left w:val="nil"/>
            <w:bottom w:val="nil"/>
            <w:right w:val="nil"/>
            <w:insideH w:val="nil"/>
            <w:insideV w:val="nil"/>
          </w:tblBorders>
          <w:tblLayout w:type="fixed"/>
          <w:tblLook w:val="04A0"/>
        </w:tblPrEx>
        <w:tc>
          <w:tcPr>
            <w:tcW w:w="195" w:type="pct"/>
            <w:gridSpan w:val="2"/>
          </w:tcPr>
          <w:p w:rsidR="00BF2081" w:rsidRPr="00587F86" w:rsidP="00E60ECB">
            <w:pPr>
              <w:pStyle w:val="CSBody0boldcentre"/>
              <w:rPr>
                <w:lang w:val="de-DE"/>
              </w:rPr>
            </w:pPr>
          </w:p>
        </w:tc>
        <w:tc>
          <w:tcPr>
            <w:tcW w:w="2303" w:type="pct"/>
            <w:gridSpan w:val="3"/>
          </w:tcPr>
          <w:p w:rsidR="00BF2081" w:rsidRPr="00BB4E69" w:rsidP="00E60ECB">
            <w:pPr>
              <w:pStyle w:val="CSBody0boldcentre"/>
              <w:rPr>
                <w:lang w:val="de-DE"/>
              </w:rPr>
            </w:pPr>
          </w:p>
        </w:tc>
        <w:tc>
          <w:tcPr>
            <w:tcW w:w="2253" w:type="pct"/>
            <w:gridSpan w:val="3"/>
          </w:tcPr>
          <w:p w:rsidR="00BF2081" w:rsidRPr="00BB4E69" w:rsidP="00E60ECB">
            <w:pPr>
              <w:pStyle w:val="CSBody0boldcentre"/>
              <w:rPr>
                <w:lang w:val="de-DE"/>
              </w:rPr>
            </w:pPr>
          </w:p>
        </w:tc>
        <w:tc>
          <w:tcPr>
            <w:tcW w:w="249" w:type="pct"/>
          </w:tcPr>
          <w:p w:rsidR="00BF2081" w:rsidRPr="00BB4E69" w:rsidP="00E60ECB">
            <w:pPr>
              <w:pStyle w:val="CSBody0boldcentre"/>
              <w:rPr>
                <w:lang w:val="de-DE"/>
              </w:rPr>
            </w:pPr>
          </w:p>
        </w:tc>
      </w:tr>
      <w:tr w:rsidTr="00942F00">
        <w:tblPrEx>
          <w:tblW w:w="5000" w:type="pct"/>
          <w:tblLayout w:type="fixed"/>
          <w:tblLook w:val="04A0"/>
        </w:tblPrEx>
        <w:tc>
          <w:tcPr>
            <w:tcW w:w="195" w:type="pct"/>
            <w:gridSpan w:val="2"/>
            <w:tcBorders>
              <w:right w:val="single" w:sz="4" w:space="0" w:color="auto"/>
            </w:tcBorders>
          </w:tcPr>
          <w:p w:rsidR="003D5075" w:rsidRPr="00587F86" w:rsidP="00E60ECB">
            <w:pPr>
              <w:pStyle w:val="CSBody0boldcentre"/>
              <w:rPr>
                <w:lang w:val="de-DE"/>
              </w:rPr>
            </w:pPr>
          </w:p>
        </w:tc>
        <w:tc>
          <w:tcPr>
            <w:tcW w:w="2303" w:type="pct"/>
            <w:gridSpan w:val="3"/>
            <w:tcBorders>
              <w:top w:val="single" w:sz="4" w:space="0" w:color="auto"/>
              <w:left w:val="single" w:sz="4" w:space="0" w:color="auto"/>
              <w:right w:val="single" w:sz="4" w:space="0" w:color="auto"/>
            </w:tcBorders>
          </w:tcPr>
          <w:p w:rsidR="003D5075" w:rsidRPr="00E60ECB" w:rsidP="00E60ECB">
            <w:pPr>
              <w:pStyle w:val="CSBody0boldcentre"/>
            </w:pPr>
            <w:r w:rsidRPr="00E60ECB">
              <w:t>Table A</w:t>
            </w:r>
          </w:p>
        </w:tc>
        <w:tc>
          <w:tcPr>
            <w:tcW w:w="2253" w:type="pct"/>
            <w:gridSpan w:val="3"/>
            <w:tcBorders>
              <w:top w:val="single" w:sz="4" w:space="0" w:color="auto"/>
              <w:left w:val="single" w:sz="4" w:space="0" w:color="auto"/>
              <w:right w:val="single" w:sz="4" w:space="0" w:color="auto"/>
            </w:tcBorders>
          </w:tcPr>
          <w:p w:rsidR="003D5075" w:rsidRPr="00E60ECB" w:rsidP="00E60ECB">
            <w:pPr>
              <w:pStyle w:val="CSBody0boldcentre"/>
            </w:pPr>
            <w:r w:rsidRPr="00E60ECB">
              <w:t>Tabelle A</w:t>
            </w:r>
          </w:p>
        </w:tc>
        <w:tc>
          <w:tcPr>
            <w:tcW w:w="249" w:type="pct"/>
            <w:tcBorders>
              <w:left w:val="single" w:sz="4" w:space="0" w:color="auto"/>
            </w:tcBorders>
          </w:tcPr>
          <w:p w:rsidR="003D5075" w:rsidRPr="00E60ECB" w:rsidP="00E60ECB">
            <w:pPr>
              <w:pStyle w:val="CSBody0boldcentre"/>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0ECB" w:rsidRPr="008D12CC" w:rsidP="00E60ECB">
            <w:pPr>
              <w:pStyle w:val="CSBody8pt"/>
            </w:pPr>
            <w:r w:rsidRPr="008D12CC">
              <w:t>Reference Entetites</w:t>
            </w:r>
          </w:p>
        </w:tc>
        <w:tc>
          <w:tcPr>
            <w:tcW w:w="78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0ECB" w:rsidRPr="008D12CC" w:rsidP="00E60ECB">
            <w:pPr>
              <w:pStyle w:val="CSBody8pt"/>
            </w:pPr>
            <w:r w:rsidRPr="00F94B27">
              <w:rPr>
                <w:b/>
              </w:rPr>
              <w:t>[</w:t>
            </w:r>
            <w:r w:rsidRPr="008D12CC">
              <w:t>Non-Standard Reference Obligations</w:t>
            </w:r>
          </w:p>
        </w:tc>
        <w:tc>
          <w:tcPr>
            <w:tcW w:w="954"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0ECB" w:rsidRPr="008D12CC" w:rsidP="00E60ECB">
            <w:pPr>
              <w:pStyle w:val="CSBody8pt"/>
            </w:pPr>
            <w:r w:rsidRPr="00F94B27">
              <w:rPr>
                <w:b/>
              </w:rPr>
              <w:t>[</w:t>
            </w:r>
            <w:r w:rsidR="001D2309">
              <w:t>Weighting</w:t>
            </w:r>
            <w:r w:rsidRPr="00F94B27">
              <w:rPr>
                <w:b/>
              </w:rPr>
              <w:t>]</w:t>
            </w:r>
            <w:r>
              <w:rPr>
                <w:rStyle w:val="FootnoteReference"/>
              </w:rPr>
              <w:footnoteReference w:id="18"/>
            </w:r>
          </w:p>
        </w:tc>
        <w:tc>
          <w:tcPr>
            <w:tcW w:w="75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0ECB" w:rsidRPr="008D12CC" w:rsidP="00E60ECB">
            <w:pPr>
              <w:pStyle w:val="CSBody8pt"/>
            </w:pPr>
            <w:r w:rsidRPr="008D12CC">
              <w:t>Referenz</w:t>
            </w:r>
            <w:r>
              <w:t>schuldne</w:t>
            </w:r>
          </w:p>
        </w:tc>
        <w:tc>
          <w:tcPr>
            <w:tcW w:w="78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0ECB" w:rsidRPr="008D12CC" w:rsidP="00E60ECB">
            <w:pPr>
              <w:pStyle w:val="CSBody8pt"/>
            </w:pPr>
            <w:r w:rsidRPr="00F94B27">
              <w:rPr>
                <w:b/>
              </w:rPr>
              <w:t>[</w:t>
            </w:r>
            <w:r w:rsidRPr="008D12CC">
              <w:t>Nicht-Standard-Referenzverbindlichkeiten</w:t>
            </w:r>
          </w:p>
        </w:tc>
        <w:tc>
          <w:tcPr>
            <w:tcW w:w="72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0ECB" w:rsidRPr="008D12CC" w:rsidP="00E60ECB">
            <w:pPr>
              <w:pStyle w:val="CSBody8pt"/>
            </w:pPr>
            <w:r w:rsidRPr="00F94B27">
              <w:rPr>
                <w:b/>
              </w:rPr>
              <w:t>[</w:t>
            </w:r>
            <w:r w:rsidR="001D2309">
              <w:t>Gewichtung</w:t>
            </w:r>
            <w:r w:rsidRPr="00F94B27">
              <w:rPr>
                <w:b/>
              </w:rPr>
              <w:t>]</w:t>
            </w:r>
            <w:r>
              <w:rPr>
                <w:rStyle w:val="FootnoteReference"/>
              </w:rPr>
              <w:footnoteReference w:id="19"/>
            </w: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E60ECB" w:rsidRPr="008D12CC" w:rsidP="00D63808">
            <w:pPr>
              <w:pStyle w:val="CSBody8pt"/>
            </w:pPr>
            <w:r w:rsidRPr="00F94B27">
              <w:rPr>
                <w:b/>
              </w:rPr>
              <w:t>[</w:t>
            </w:r>
            <w:r w:rsidR="003857E8">
              <w:rPr>
                <w:rFonts w:ascii="Arial" w:hAnsi="Arial" w:cs="Arial"/>
              </w:rPr>
              <w:t>●</w:t>
            </w:r>
            <w:r w:rsidRPr="00F94B27">
              <w:rPr>
                <w:b/>
              </w:rPr>
              <w:t>]</w:t>
            </w:r>
          </w:p>
        </w:tc>
        <w:tc>
          <w:tcPr>
            <w:tcW w:w="786"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954"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50"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0"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23"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6"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F94B27">
              <w:rPr>
                <w:b/>
              </w:rPr>
              <w:t>[</w:t>
            </w:r>
            <w:r w:rsidR="003857E8">
              <w:rPr>
                <w:rFonts w:ascii="Arial" w:hAnsi="Arial" w:cs="Arial"/>
              </w:rPr>
              <w:t>●</w:t>
            </w:r>
            <w:r w:rsidRPr="00F94B27">
              <w:rPr>
                <w:b/>
              </w:rPr>
              <w:t>]</w:t>
            </w:r>
          </w:p>
        </w:tc>
        <w:tc>
          <w:tcPr>
            <w:tcW w:w="954"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F94B27">
              <w:rPr>
                <w:b/>
              </w:rPr>
              <w:t>[[</w:t>
            </w:r>
            <w:r w:rsidR="003857E8">
              <w:rPr>
                <w:rFonts w:ascii="Arial" w:hAnsi="Arial" w:cs="Arial"/>
              </w:rPr>
              <w:t>●</w:t>
            </w:r>
            <w:r w:rsidRPr="00F94B27">
              <w:rPr>
                <w:b/>
              </w:rPr>
              <w:t>]</w:t>
            </w:r>
            <w:r w:rsidRPr="008D12CC">
              <w:t>%</w:t>
            </w:r>
            <w:r w:rsidRPr="00F94B27">
              <w:rPr>
                <w:b/>
              </w:rPr>
              <w:t>]</w:t>
            </w:r>
          </w:p>
        </w:tc>
        <w:tc>
          <w:tcPr>
            <w:tcW w:w="750"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F94B27">
              <w:rPr>
                <w:b/>
              </w:rPr>
              <w:t>[</w:t>
            </w:r>
            <w:r w:rsidR="003857E8">
              <w:rPr>
                <w:rFonts w:ascii="Arial" w:hAnsi="Arial" w:cs="Arial"/>
              </w:rPr>
              <w:t>●</w:t>
            </w:r>
            <w:r w:rsidRPr="00F94B27">
              <w:rPr>
                <w:b/>
              </w:rPr>
              <w:t>]</w:t>
            </w:r>
          </w:p>
        </w:tc>
        <w:tc>
          <w:tcPr>
            <w:tcW w:w="780"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F94B27">
              <w:rPr>
                <w:b/>
              </w:rPr>
              <w:t>[</w:t>
            </w:r>
            <w:r w:rsidR="003857E8">
              <w:rPr>
                <w:rFonts w:ascii="Arial" w:hAnsi="Arial" w:cs="Arial"/>
              </w:rPr>
              <w:t>●</w:t>
            </w:r>
            <w:r w:rsidRPr="00F94B27">
              <w:rPr>
                <w:b/>
              </w:rPr>
              <w:t>]</w:t>
            </w:r>
          </w:p>
        </w:tc>
        <w:tc>
          <w:tcPr>
            <w:tcW w:w="723"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F94B27">
              <w:rPr>
                <w:b/>
              </w:rPr>
              <w:t>[[</w:t>
            </w:r>
            <w:r w:rsidR="003857E8">
              <w:rPr>
                <w:rFonts w:ascii="Arial" w:hAnsi="Arial" w:cs="Arial"/>
              </w:rPr>
              <w:t>●</w:t>
            </w:r>
            <w:r w:rsidRPr="00F94B27">
              <w:rPr>
                <w:b/>
              </w:rPr>
              <w:t>]</w:t>
            </w:r>
            <w:r w:rsidRPr="008D12CC">
              <w:t>%</w:t>
            </w:r>
            <w:r w:rsidRPr="00F94B27">
              <w:rPr>
                <w:b/>
              </w:rPr>
              <w:t>]</w:t>
            </w: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6"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Primary Obligor: </w:t>
            </w:r>
            <w:r w:rsidRPr="00F94B27" w:rsidR="00F94B27">
              <w:rPr>
                <w:b/>
              </w:rPr>
              <w:t>[</w:t>
            </w:r>
            <w:r w:rsidR="003857E8">
              <w:rPr>
                <w:rFonts w:ascii="Arial" w:hAnsi="Arial" w:cs="Arial"/>
              </w:rPr>
              <w:t>●</w:t>
            </w:r>
            <w:r w:rsidRPr="00F94B27" w:rsidR="00F94B27">
              <w:rPr>
                <w:b/>
              </w:rPr>
              <w:t>]</w:t>
            </w:r>
          </w:p>
        </w:tc>
        <w:tc>
          <w:tcPr>
            <w:tcW w:w="954"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50"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0"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Hauptschuldner: </w:t>
            </w:r>
            <w:r w:rsidRPr="00F94B27" w:rsidR="00F94B27">
              <w:rPr>
                <w:b/>
              </w:rPr>
              <w:t>[</w:t>
            </w:r>
            <w:r w:rsidR="003857E8">
              <w:rPr>
                <w:rFonts w:ascii="Arial" w:hAnsi="Arial" w:cs="Arial"/>
              </w:rPr>
              <w:t>●</w:t>
            </w:r>
            <w:r w:rsidRPr="00F94B27" w:rsidR="00F94B27">
              <w:rPr>
                <w:b/>
              </w:rPr>
              <w:t>]</w:t>
            </w:r>
          </w:p>
        </w:tc>
        <w:tc>
          <w:tcPr>
            <w:tcW w:w="723"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6"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Guarantor: </w:t>
            </w:r>
            <w:r w:rsidRPr="00F94B27" w:rsidR="00F94B27">
              <w:rPr>
                <w:b/>
              </w:rPr>
              <w:t>[</w:t>
            </w:r>
            <w:r w:rsidR="003857E8">
              <w:rPr>
                <w:rFonts w:ascii="Arial" w:hAnsi="Arial" w:cs="Arial"/>
              </w:rPr>
              <w:t>●</w:t>
            </w:r>
            <w:r w:rsidRPr="00F94B27" w:rsidR="00F94B27">
              <w:rPr>
                <w:b/>
              </w:rPr>
              <w:t>]</w:t>
            </w:r>
          </w:p>
        </w:tc>
        <w:tc>
          <w:tcPr>
            <w:tcW w:w="954"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50"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0"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Garanitegeber: </w:t>
            </w:r>
            <w:r w:rsidRPr="00F94B27" w:rsidR="00F94B27">
              <w:rPr>
                <w:b/>
              </w:rPr>
              <w:t>[</w:t>
            </w:r>
            <w:r w:rsidR="003857E8">
              <w:rPr>
                <w:rFonts w:ascii="Arial" w:hAnsi="Arial" w:cs="Arial"/>
              </w:rPr>
              <w:t>●</w:t>
            </w:r>
            <w:r w:rsidRPr="00F94B27" w:rsidR="00F94B27">
              <w:rPr>
                <w:b/>
              </w:rPr>
              <w:t>]</w:t>
            </w:r>
          </w:p>
        </w:tc>
        <w:tc>
          <w:tcPr>
            <w:tcW w:w="723"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6"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Maturity: </w:t>
            </w:r>
            <w:r w:rsidRPr="00F94B27" w:rsidR="00F94B27">
              <w:rPr>
                <w:b/>
              </w:rPr>
              <w:t>[</w:t>
            </w:r>
            <w:r w:rsidR="003857E8">
              <w:rPr>
                <w:rFonts w:ascii="Arial" w:hAnsi="Arial" w:cs="Arial"/>
              </w:rPr>
              <w:t>●</w:t>
            </w:r>
            <w:r w:rsidRPr="00F94B27" w:rsidR="00F94B27">
              <w:rPr>
                <w:b/>
              </w:rPr>
              <w:t>]</w:t>
            </w:r>
          </w:p>
        </w:tc>
        <w:tc>
          <w:tcPr>
            <w:tcW w:w="954"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50"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0"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Fälligkeit: </w:t>
            </w:r>
            <w:r w:rsidRPr="00F94B27" w:rsidR="00F94B27">
              <w:rPr>
                <w:b/>
              </w:rPr>
              <w:t>[</w:t>
            </w:r>
            <w:r w:rsidR="003857E8">
              <w:rPr>
                <w:rFonts w:ascii="Arial" w:hAnsi="Arial" w:cs="Arial"/>
              </w:rPr>
              <w:t>●</w:t>
            </w:r>
            <w:r w:rsidRPr="00F94B27" w:rsidR="00F94B27">
              <w:rPr>
                <w:b/>
              </w:rPr>
              <w:t>]</w:t>
            </w:r>
          </w:p>
        </w:tc>
        <w:tc>
          <w:tcPr>
            <w:tcW w:w="723"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6"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Coupon: </w:t>
            </w:r>
            <w:r w:rsidRPr="00F94B27" w:rsidR="00F94B27">
              <w:rPr>
                <w:b/>
              </w:rPr>
              <w:t>[</w:t>
            </w:r>
            <w:r w:rsidR="003857E8">
              <w:rPr>
                <w:rFonts w:ascii="Arial" w:hAnsi="Arial" w:cs="Arial"/>
              </w:rPr>
              <w:t>●</w:t>
            </w:r>
            <w:r w:rsidRPr="00F94B27" w:rsidR="00F94B27">
              <w:rPr>
                <w:b/>
              </w:rPr>
              <w:t>]</w:t>
            </w:r>
          </w:p>
        </w:tc>
        <w:tc>
          <w:tcPr>
            <w:tcW w:w="954"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50"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0"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Coupon: </w:t>
            </w:r>
            <w:r w:rsidRPr="00F94B27" w:rsidR="00F94B27">
              <w:rPr>
                <w:b/>
              </w:rPr>
              <w:t>[</w:t>
            </w:r>
            <w:r w:rsidR="003857E8">
              <w:rPr>
                <w:rFonts w:ascii="Arial" w:hAnsi="Arial" w:cs="Arial"/>
              </w:rPr>
              <w:t>●</w:t>
            </w:r>
            <w:r w:rsidRPr="00F94B27" w:rsidR="00F94B27">
              <w:rPr>
                <w:b/>
              </w:rPr>
              <w:t>]</w:t>
            </w:r>
          </w:p>
        </w:tc>
        <w:tc>
          <w:tcPr>
            <w:tcW w:w="723"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6"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Obligation Currency: </w:t>
            </w:r>
            <w:r w:rsidRPr="00F94B27" w:rsidR="00F94B27">
              <w:rPr>
                <w:b/>
              </w:rPr>
              <w:t>[</w:t>
            </w:r>
            <w:r w:rsidR="003857E8">
              <w:rPr>
                <w:rFonts w:ascii="Arial" w:hAnsi="Arial" w:cs="Arial"/>
              </w:rPr>
              <w:t>●</w:t>
            </w:r>
            <w:r w:rsidRPr="00F94B27" w:rsidR="00F94B27">
              <w:rPr>
                <w:b/>
              </w:rPr>
              <w:t>]</w:t>
            </w:r>
          </w:p>
        </w:tc>
        <w:tc>
          <w:tcPr>
            <w:tcW w:w="954"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50"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0"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Verbindlichkeitenwährung: </w:t>
            </w:r>
            <w:r w:rsidRPr="00F94B27" w:rsidR="00F94B27">
              <w:rPr>
                <w:b/>
              </w:rPr>
              <w:t>[</w:t>
            </w:r>
            <w:r w:rsidR="003857E8">
              <w:rPr>
                <w:rFonts w:ascii="Arial" w:hAnsi="Arial" w:cs="Arial"/>
              </w:rPr>
              <w:t>●</w:t>
            </w:r>
            <w:r w:rsidRPr="00F94B27" w:rsidR="00F94B27">
              <w:rPr>
                <w:b/>
              </w:rPr>
              <w:t>]</w:t>
            </w:r>
          </w:p>
        </w:tc>
        <w:tc>
          <w:tcPr>
            <w:tcW w:w="723"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E60ECB"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6"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ISIN: </w:t>
            </w:r>
            <w:r w:rsidRPr="00F94B27" w:rsidR="00F94B27">
              <w:rPr>
                <w:b/>
              </w:rPr>
              <w:t>[</w:t>
            </w:r>
            <w:r w:rsidR="003857E8">
              <w:rPr>
                <w:rFonts w:ascii="Arial" w:hAnsi="Arial" w:cs="Arial"/>
              </w:rPr>
              <w:t>●</w:t>
            </w:r>
            <w:r w:rsidRPr="00F94B27" w:rsidR="00F94B27">
              <w:rPr>
                <w:b/>
              </w:rPr>
              <w:t>]</w:t>
            </w:r>
          </w:p>
        </w:tc>
        <w:tc>
          <w:tcPr>
            <w:tcW w:w="954"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50"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780" w:type="pct"/>
            <w:tcBorders>
              <w:top w:val="single" w:sz="4" w:space="0" w:color="auto"/>
              <w:left w:val="single" w:sz="4" w:space="0" w:color="auto"/>
              <w:bottom w:val="single" w:sz="4" w:space="0" w:color="auto"/>
              <w:right w:val="single" w:sz="4" w:space="0" w:color="auto"/>
            </w:tcBorders>
          </w:tcPr>
          <w:p w:rsidR="00E60ECB" w:rsidRPr="008D12CC" w:rsidP="003D5075">
            <w:pPr>
              <w:pStyle w:val="CSBody8pt"/>
            </w:pPr>
            <w:r w:rsidRPr="008D12CC">
              <w:t xml:space="preserve">ISIN: </w:t>
            </w:r>
            <w:r w:rsidRPr="00F94B27" w:rsidR="00F94B27">
              <w:rPr>
                <w:b/>
              </w:rPr>
              <w:t>[</w:t>
            </w:r>
            <w:r w:rsidR="003857E8">
              <w:rPr>
                <w:rFonts w:ascii="Arial" w:hAnsi="Arial" w:cs="Arial"/>
              </w:rPr>
              <w:t>●</w:t>
            </w:r>
            <w:r w:rsidRPr="00F94B27" w:rsidR="00F94B27">
              <w:rPr>
                <w:b/>
              </w:rPr>
              <w:t>]</w:t>
            </w:r>
          </w:p>
        </w:tc>
        <w:tc>
          <w:tcPr>
            <w:tcW w:w="723" w:type="pct"/>
            <w:tcBorders>
              <w:top w:val="single" w:sz="4" w:space="0" w:color="auto"/>
              <w:left w:val="single" w:sz="4" w:space="0" w:color="auto"/>
              <w:bottom w:val="single" w:sz="4" w:space="0" w:color="auto"/>
              <w:right w:val="single" w:sz="4" w:space="0" w:color="auto"/>
            </w:tcBorders>
          </w:tcPr>
          <w:p w:rsidR="00E60ECB" w:rsidRPr="008D12CC" w:rsidP="00E60ECB">
            <w:pPr>
              <w:pStyle w:val="CSBody8pt"/>
            </w:pPr>
          </w:p>
        </w:tc>
        <w:tc>
          <w:tcPr>
            <w:tcW w:w="249" w:type="pct"/>
            <w:tcBorders>
              <w:left w:val="single" w:sz="4" w:space="0" w:color="auto"/>
            </w:tcBorders>
          </w:tcPr>
          <w:p w:rsidR="00E60ECB" w:rsidRPr="00BA5F20" w:rsidP="00E60ECB">
            <w:pPr>
              <w:pStyle w:val="CSBody8pt"/>
              <w:rPr>
                <w:lang w:val="de-DE"/>
              </w:rPr>
            </w:pPr>
          </w:p>
        </w:tc>
      </w:tr>
      <w:tr w:rsidTr="00942F00">
        <w:tblPrEx>
          <w:tblW w:w="5000" w:type="pct"/>
          <w:tblLayout w:type="fixed"/>
          <w:tblLook w:val="04A0"/>
        </w:tblPrEx>
        <w:tc>
          <w:tcPr>
            <w:tcW w:w="189" w:type="pct"/>
            <w:tcBorders>
              <w:right w:val="single" w:sz="4" w:space="0" w:color="auto"/>
            </w:tcBorders>
          </w:tcPr>
          <w:p w:rsidR="00AF511D" w:rsidRPr="00BA5F20" w:rsidP="00E60ECB">
            <w:pPr>
              <w:pStyle w:val="CSBody8pt"/>
              <w:rPr>
                <w:lang w:val="de-DE"/>
              </w:rPr>
            </w:pPr>
          </w:p>
        </w:tc>
        <w:tc>
          <w:tcPr>
            <w:tcW w:w="569" w:type="pct"/>
            <w:gridSpan w:val="2"/>
            <w:tcBorders>
              <w:top w:val="single" w:sz="4" w:space="0" w:color="auto"/>
              <w:left w:val="single" w:sz="4" w:space="0" w:color="auto"/>
              <w:bottom w:val="single" w:sz="4" w:space="0" w:color="auto"/>
              <w:right w:val="single" w:sz="4" w:space="0" w:color="auto"/>
            </w:tcBorders>
          </w:tcPr>
          <w:p w:rsidR="00AF511D" w:rsidRPr="008D12CC" w:rsidP="00E60ECB">
            <w:pPr>
              <w:pStyle w:val="CSBody8pt"/>
            </w:pPr>
          </w:p>
        </w:tc>
        <w:tc>
          <w:tcPr>
            <w:tcW w:w="786" w:type="pct"/>
            <w:tcBorders>
              <w:top w:val="single" w:sz="4" w:space="0" w:color="auto"/>
              <w:left w:val="single" w:sz="4" w:space="0" w:color="auto"/>
              <w:bottom w:val="single" w:sz="4" w:space="0" w:color="auto"/>
              <w:right w:val="single" w:sz="4" w:space="0" w:color="auto"/>
            </w:tcBorders>
          </w:tcPr>
          <w:p w:rsidR="00AF511D" w:rsidRPr="008D12CC" w:rsidP="003D5075">
            <w:pPr>
              <w:pStyle w:val="CSBody8pt"/>
            </w:pPr>
            <w:r w:rsidRPr="00F94B27">
              <w:rPr>
                <w:b/>
              </w:rPr>
              <w:t>[</w:t>
            </w:r>
            <w:r w:rsidR="003857E8">
              <w:rPr>
                <w:rFonts w:ascii="Arial" w:hAnsi="Arial" w:cs="Arial"/>
              </w:rPr>
              <w:t>●</w:t>
            </w:r>
            <w:r w:rsidRPr="00F94B27">
              <w:rPr>
                <w:b/>
              </w:rPr>
              <w:t>]</w:t>
            </w:r>
          </w:p>
        </w:tc>
        <w:tc>
          <w:tcPr>
            <w:tcW w:w="954" w:type="pct"/>
            <w:tcBorders>
              <w:top w:val="single" w:sz="4" w:space="0" w:color="auto"/>
              <w:left w:val="single" w:sz="4" w:space="0" w:color="auto"/>
              <w:bottom w:val="single" w:sz="4" w:space="0" w:color="auto"/>
              <w:right w:val="single" w:sz="4" w:space="0" w:color="auto"/>
            </w:tcBorders>
          </w:tcPr>
          <w:p w:rsidR="00AF511D" w:rsidRPr="008D12CC" w:rsidP="00E60ECB">
            <w:pPr>
              <w:pStyle w:val="CSBody8pt"/>
            </w:pPr>
          </w:p>
        </w:tc>
        <w:tc>
          <w:tcPr>
            <w:tcW w:w="750" w:type="pct"/>
            <w:tcBorders>
              <w:top w:val="single" w:sz="4" w:space="0" w:color="auto"/>
              <w:left w:val="single" w:sz="4" w:space="0" w:color="auto"/>
              <w:bottom w:val="single" w:sz="4" w:space="0" w:color="auto"/>
              <w:right w:val="single" w:sz="4" w:space="0" w:color="auto"/>
            </w:tcBorders>
          </w:tcPr>
          <w:p w:rsidR="00AF511D" w:rsidRPr="008D12CC" w:rsidP="00E60ECB">
            <w:pPr>
              <w:pStyle w:val="CSBody8pt"/>
            </w:pPr>
          </w:p>
        </w:tc>
        <w:tc>
          <w:tcPr>
            <w:tcW w:w="780" w:type="pct"/>
            <w:tcBorders>
              <w:top w:val="single" w:sz="4" w:space="0" w:color="auto"/>
              <w:left w:val="single" w:sz="4" w:space="0" w:color="auto"/>
              <w:bottom w:val="single" w:sz="4" w:space="0" w:color="auto"/>
              <w:right w:val="single" w:sz="4" w:space="0" w:color="auto"/>
            </w:tcBorders>
          </w:tcPr>
          <w:p w:rsidR="00AF511D" w:rsidRPr="008D12CC" w:rsidP="003D5075">
            <w:pPr>
              <w:pStyle w:val="CSBody8pt"/>
            </w:pPr>
            <w:r w:rsidRPr="00F94B27">
              <w:rPr>
                <w:b/>
              </w:rPr>
              <w:t>[</w:t>
            </w:r>
            <w:r w:rsidR="003857E8">
              <w:rPr>
                <w:rFonts w:ascii="Arial" w:hAnsi="Arial" w:cs="Arial"/>
              </w:rPr>
              <w:t>●</w:t>
            </w:r>
            <w:r w:rsidRPr="00F94B27">
              <w:rPr>
                <w:b/>
              </w:rPr>
              <w:t>]</w:t>
            </w:r>
          </w:p>
        </w:tc>
        <w:tc>
          <w:tcPr>
            <w:tcW w:w="723" w:type="pct"/>
            <w:tcBorders>
              <w:top w:val="single" w:sz="4" w:space="0" w:color="auto"/>
              <w:left w:val="single" w:sz="4" w:space="0" w:color="auto"/>
              <w:bottom w:val="single" w:sz="4" w:space="0" w:color="auto"/>
              <w:right w:val="single" w:sz="4" w:space="0" w:color="auto"/>
            </w:tcBorders>
          </w:tcPr>
          <w:p w:rsidR="00AF511D" w:rsidRPr="008D12CC" w:rsidP="00E60ECB">
            <w:pPr>
              <w:pStyle w:val="CSBody8pt"/>
            </w:pPr>
          </w:p>
        </w:tc>
        <w:tc>
          <w:tcPr>
            <w:tcW w:w="249" w:type="pct"/>
            <w:tcBorders>
              <w:left w:val="single" w:sz="4" w:space="0" w:color="auto"/>
            </w:tcBorders>
          </w:tcPr>
          <w:p w:rsidR="00AF511D" w:rsidRPr="00BA5F20" w:rsidP="00E60ECB">
            <w:pPr>
              <w:pStyle w:val="CSBody8pt"/>
              <w:rPr>
                <w:lang w:val="de-DE"/>
              </w:rPr>
            </w:pPr>
          </w:p>
        </w:tc>
      </w:tr>
    </w:tbl>
    <w:p w:rsidR="00942F00">
      <w:pPr>
        <w:rPr>
          <w:b/>
        </w:rPr>
      </w:pPr>
      <w:r>
        <w:rPr>
          <w:b/>
        </w:rPr>
        <w:t>]</w:t>
      </w:r>
    </w:p>
    <w:p w:rsidR="00942F00" w:rsidRPr="00942F00">
      <w:pPr>
        <w:rPr>
          <w:b/>
        </w:rPr>
      </w:pPr>
    </w:p>
    <w:tbl>
      <w:tblPr>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
      <w:tblGrid>
        <w:gridCol w:w="540"/>
        <w:gridCol w:w="1273"/>
        <w:gridCol w:w="1560"/>
        <w:gridCol w:w="1558"/>
        <w:gridCol w:w="1416"/>
        <w:gridCol w:w="1701"/>
        <w:gridCol w:w="1276"/>
        <w:gridCol w:w="543"/>
      </w:tblGrid>
      <w:tr w:rsidTr="00B00E57">
        <w:tblPrEx>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Ex>
        <w:tc>
          <w:tcPr>
            <w:tcW w:w="4931" w:type="dxa"/>
            <w:gridSpan w:val="4"/>
            <w:tcBorders>
              <w:top w:val="nil"/>
              <w:left w:val="nil"/>
              <w:bottom w:val="nil"/>
            </w:tcBorders>
            <w:shd w:val="clear" w:color="auto" w:fill="auto"/>
          </w:tcPr>
          <w:p w:rsidR="00942F00" w:rsidRPr="00312CFF" w:rsidP="00B00E57">
            <w:pPr>
              <w:pStyle w:val="CSBody8ptbolditalics"/>
            </w:pPr>
            <w:r w:rsidRPr="00792D61">
              <w:t>[</w:t>
            </w:r>
            <w:r>
              <w:t>in case of Credit-Linked Complex Products with LPN Reference Obligation,</w:t>
            </w:r>
            <w:r w:rsidRPr="00976875">
              <w:rPr>
                <w:b w:val="0"/>
                <w:i w:val="0"/>
                <w:sz w:val="22"/>
              </w:rPr>
              <w:t xml:space="preserve"> </w:t>
            </w:r>
            <w:r w:rsidRPr="00976875">
              <w:t>where a Basket of Reference Entities or a Nth-to-Default structure is applicable, insert Table A:</w:t>
            </w:r>
            <w:r>
              <w:t xml:space="preserve"> </w:t>
            </w:r>
          </w:p>
        </w:tc>
        <w:tc>
          <w:tcPr>
            <w:tcW w:w="4936" w:type="dxa"/>
            <w:gridSpan w:val="4"/>
            <w:tcBorders>
              <w:top w:val="nil"/>
              <w:bottom w:val="nil"/>
              <w:right w:val="nil"/>
            </w:tcBorders>
            <w:shd w:val="clear" w:color="auto" w:fill="auto"/>
          </w:tcPr>
          <w:p w:rsidR="00942F00" w:rsidRPr="00CB33B4" w:rsidP="00B00E57">
            <w:pPr>
              <w:pStyle w:val="CSBody8ptbolditalics"/>
              <w:rPr>
                <w:lang w:val="de-DE"/>
              </w:rPr>
            </w:pPr>
            <w:r w:rsidRPr="00792D61">
              <w:rPr>
                <w:lang w:val="de-DE"/>
              </w:rPr>
              <w:t>[</w:t>
            </w:r>
            <w:r>
              <w:rPr>
                <w:lang w:val="de-DE"/>
              </w:rPr>
              <w:t xml:space="preserve">bei Kreditbezogenen Komplexen Produkten mit LPN-Referenzverbindlichkeit, bei denen </w:t>
            </w:r>
            <w:r w:rsidRPr="00CB33B4">
              <w:rPr>
                <w:lang w:val="de-DE"/>
              </w:rPr>
              <w:t xml:space="preserve">ein Korb </w:t>
            </w:r>
            <w:r>
              <w:rPr>
                <w:lang w:val="de-DE"/>
              </w:rPr>
              <w:t xml:space="preserve">von Referenzschuldnern </w:t>
            </w:r>
            <w:r w:rsidRPr="00CB33B4">
              <w:rPr>
                <w:lang w:val="de-DE"/>
              </w:rPr>
              <w:t>oder eine Nth-to-Default-Struktur anwendbar ist,</w:t>
            </w:r>
            <w:r>
              <w:rPr>
                <w:lang w:val="de-DE"/>
              </w:rPr>
              <w:t xml:space="preserve"> </w:t>
            </w:r>
            <w:r w:rsidRPr="00CB33B4">
              <w:rPr>
                <w:lang w:val="de-DE"/>
              </w:rPr>
              <w:t>Tabelle A einfügen:</w:t>
            </w:r>
          </w:p>
        </w:tc>
      </w:tr>
      <w:tr w:rsidTr="00B00E57">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942F00" w:rsidRPr="00CB33B4" w:rsidP="00B00E57">
            <w:pPr>
              <w:pStyle w:val="CSBody8pt"/>
              <w:rPr>
                <w:lang w:val="de-DE"/>
              </w:rPr>
            </w:pPr>
          </w:p>
        </w:tc>
        <w:tc>
          <w:tcPr>
            <w:tcW w:w="4391" w:type="dxa"/>
            <w:gridSpan w:val="3"/>
            <w:tcBorders>
              <w:top w:val="single" w:sz="4" w:space="0" w:color="auto"/>
              <w:left w:val="nil"/>
              <w:bottom w:val="single" w:sz="4" w:space="0" w:color="auto"/>
            </w:tcBorders>
            <w:shd w:val="clear" w:color="auto" w:fill="auto"/>
          </w:tcPr>
          <w:p w:rsidR="00942F00" w:rsidRPr="00541515" w:rsidP="00B00E57">
            <w:pPr>
              <w:pStyle w:val="CSBody8pt"/>
              <w:jc w:val="center"/>
              <w:rPr>
                <w:b/>
                <w:lang w:val="de-DE"/>
              </w:rPr>
            </w:pPr>
            <w:r w:rsidRPr="00541515">
              <w:rPr>
                <w:b/>
                <w:lang w:val="de-DE"/>
              </w:rPr>
              <w:t>Table A</w:t>
            </w:r>
          </w:p>
        </w:tc>
        <w:tc>
          <w:tcPr>
            <w:tcW w:w="4393" w:type="dxa"/>
            <w:gridSpan w:val="3"/>
            <w:tcBorders>
              <w:top w:val="single" w:sz="4" w:space="0" w:color="auto"/>
              <w:bottom w:val="single" w:sz="4" w:space="0" w:color="auto"/>
              <w:right w:val="nil"/>
            </w:tcBorders>
            <w:shd w:val="clear" w:color="auto" w:fill="auto"/>
          </w:tcPr>
          <w:p w:rsidR="00942F00" w:rsidRPr="00541515" w:rsidP="00B00E57">
            <w:pPr>
              <w:pStyle w:val="CSBody8pt"/>
              <w:jc w:val="center"/>
              <w:rPr>
                <w:b/>
                <w:bCs/>
                <w:lang w:val="de-DE"/>
              </w:rPr>
            </w:pPr>
            <w:r w:rsidRPr="00541515">
              <w:rPr>
                <w:b/>
                <w:bCs/>
                <w:lang w:val="de-DE"/>
              </w:rPr>
              <w:t>TabelleA</w:t>
            </w:r>
          </w:p>
        </w:tc>
        <w:tc>
          <w:tcPr>
            <w:tcW w:w="543" w:type="dxa"/>
            <w:tcBorders>
              <w:top w:val="nil"/>
              <w:bottom w:val="nil"/>
              <w:right w:val="nil"/>
            </w:tcBorders>
            <w:shd w:val="clear" w:color="auto" w:fill="auto"/>
          </w:tcPr>
          <w:p w:rsidR="00942F00" w:rsidRPr="00CB33B4" w:rsidP="00B00E57">
            <w:pPr>
              <w:pStyle w:val="CSBody8pt"/>
              <w:rPr>
                <w:bCs/>
                <w:lang w:val="de-DE"/>
              </w:rPr>
            </w:pPr>
          </w:p>
        </w:tc>
      </w:tr>
      <w:tr w:rsidTr="00B00E57">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942F00" w:rsidRPr="00CB33B4" w:rsidP="00B00E57">
            <w:pPr>
              <w:pStyle w:val="CSBody8pt"/>
              <w:rPr>
                <w:lang w:val="de-DE"/>
              </w:rPr>
            </w:pPr>
          </w:p>
        </w:tc>
        <w:tc>
          <w:tcPr>
            <w:tcW w:w="1273" w:type="dxa"/>
            <w:tcBorders>
              <w:top w:val="single" w:sz="4" w:space="0" w:color="auto"/>
              <w:left w:val="nil"/>
              <w:bottom w:val="single" w:sz="4" w:space="0" w:color="auto"/>
            </w:tcBorders>
            <w:shd w:val="clear" w:color="auto" w:fill="D9D9D9" w:themeFill="background1" w:themeFillShade="D9"/>
          </w:tcPr>
          <w:p w:rsidR="00942F00" w:rsidRPr="00C96636" w:rsidP="00B00E57">
            <w:pPr>
              <w:pStyle w:val="CSBody8pt"/>
            </w:pPr>
            <w:r w:rsidRPr="00C96636">
              <w:t>Reference Entities</w:t>
            </w:r>
          </w:p>
        </w:tc>
        <w:tc>
          <w:tcPr>
            <w:tcW w:w="1560" w:type="dxa"/>
            <w:tcBorders>
              <w:top w:val="single" w:sz="4" w:space="0" w:color="auto"/>
              <w:left w:val="nil"/>
              <w:bottom w:val="single" w:sz="4" w:space="0" w:color="auto"/>
            </w:tcBorders>
            <w:shd w:val="clear" w:color="auto" w:fill="D9D9D9" w:themeFill="background1" w:themeFillShade="D9"/>
          </w:tcPr>
          <w:p w:rsidR="00942F00" w:rsidRPr="00976875" w:rsidP="00B00E57">
            <w:pPr>
              <w:pStyle w:val="CSBody8pt"/>
              <w:rPr>
                <w:b/>
              </w:rPr>
            </w:pPr>
            <w:r w:rsidRPr="00792D61">
              <w:rPr>
                <w:b/>
              </w:rPr>
              <w:t>[</w:t>
            </w:r>
            <w:r>
              <w:rPr>
                <w:b/>
                <w:i/>
              </w:rPr>
              <w:t xml:space="preserve">if specific Reference Obligations are to be included, insert: </w:t>
            </w:r>
            <w:r w:rsidRPr="00C96636">
              <w:t>Reference Obligations</w:t>
            </w:r>
            <w:r>
              <w:rPr>
                <w:b/>
              </w:rPr>
              <w:t>]</w:t>
            </w:r>
          </w:p>
        </w:tc>
        <w:tc>
          <w:tcPr>
            <w:tcW w:w="1558" w:type="dxa"/>
            <w:tcBorders>
              <w:top w:val="single" w:sz="4" w:space="0" w:color="auto"/>
              <w:left w:val="nil"/>
              <w:bottom w:val="single" w:sz="4" w:space="0" w:color="auto"/>
            </w:tcBorders>
            <w:shd w:val="clear" w:color="auto" w:fill="D9D9D9" w:themeFill="background1" w:themeFillShade="D9"/>
          </w:tcPr>
          <w:p w:rsidR="00942F00" w:rsidRPr="00C96636" w:rsidP="00B00E57">
            <w:pPr>
              <w:pStyle w:val="CSBody8pt"/>
            </w:pPr>
            <w:r w:rsidRPr="00792D61">
              <w:rPr>
                <w:b/>
              </w:rPr>
              <w:t>[</w:t>
            </w:r>
            <w:r>
              <w:t>Weighting</w:t>
            </w:r>
            <w:r w:rsidRPr="00792D61">
              <w:rPr>
                <w:b/>
              </w:rPr>
              <w:t>]</w:t>
            </w:r>
            <w:r>
              <w:rPr>
                <w:rStyle w:val="FootnoteReference"/>
              </w:rPr>
              <w:footnoteReference w:id="20"/>
            </w:r>
          </w:p>
        </w:tc>
        <w:tc>
          <w:tcPr>
            <w:tcW w:w="1416" w:type="dxa"/>
            <w:tcBorders>
              <w:top w:val="single" w:sz="4" w:space="0" w:color="auto"/>
              <w:bottom w:val="single" w:sz="4" w:space="0" w:color="auto"/>
              <w:right w:val="nil"/>
            </w:tcBorders>
            <w:shd w:val="clear" w:color="auto" w:fill="D9D9D9" w:themeFill="background1" w:themeFillShade="D9"/>
          </w:tcPr>
          <w:p w:rsidR="00942F00" w:rsidRPr="00C96636" w:rsidP="00B00E57">
            <w:pPr>
              <w:pStyle w:val="CSBody8pt"/>
            </w:pPr>
            <w:r w:rsidRPr="00C96636">
              <w:t>Referenzschuldner</w:t>
            </w:r>
          </w:p>
        </w:tc>
        <w:tc>
          <w:tcPr>
            <w:tcW w:w="1701" w:type="dxa"/>
            <w:tcBorders>
              <w:top w:val="single" w:sz="4" w:space="0" w:color="auto"/>
              <w:bottom w:val="single" w:sz="4" w:space="0" w:color="auto"/>
              <w:right w:val="nil"/>
            </w:tcBorders>
            <w:shd w:val="clear" w:color="auto" w:fill="D9D9D9" w:themeFill="background1" w:themeFillShade="D9"/>
          </w:tcPr>
          <w:p w:rsidR="00942F00" w:rsidRPr="009D08E0" w:rsidP="00B00E57">
            <w:pPr>
              <w:pStyle w:val="CSBody8pt"/>
              <w:rPr>
                <w:b/>
                <w:lang w:val="de-DE"/>
              </w:rPr>
            </w:pPr>
            <w:r w:rsidRPr="009D08E0">
              <w:rPr>
                <w:b/>
                <w:lang w:val="de-DE"/>
              </w:rPr>
              <w:t>[</w:t>
            </w:r>
            <w:r w:rsidRPr="009D08E0">
              <w:rPr>
                <w:b/>
                <w:i/>
                <w:lang w:val="de-DE"/>
              </w:rPr>
              <w:t xml:space="preserve">falls bestimmte Referenzverbindlichkeiten aufgenommen werden sollen, einfügen: </w:t>
            </w:r>
            <w:r w:rsidRPr="009D08E0">
              <w:rPr>
                <w:lang w:val="de-DE"/>
              </w:rPr>
              <w:t>Referenzverbindlichkeiten</w:t>
            </w:r>
            <w:r w:rsidRPr="009D08E0">
              <w:rPr>
                <w:b/>
                <w:lang w:val="de-DE"/>
              </w:rPr>
              <w:t>]</w:t>
            </w:r>
          </w:p>
        </w:tc>
        <w:tc>
          <w:tcPr>
            <w:tcW w:w="1276" w:type="dxa"/>
            <w:tcBorders>
              <w:top w:val="single" w:sz="4" w:space="0" w:color="auto"/>
              <w:bottom w:val="single" w:sz="4" w:space="0" w:color="auto"/>
              <w:right w:val="nil"/>
            </w:tcBorders>
            <w:shd w:val="clear" w:color="auto" w:fill="D9D9D9" w:themeFill="background1" w:themeFillShade="D9"/>
          </w:tcPr>
          <w:p w:rsidR="00942F00" w:rsidP="00B00E57">
            <w:pPr>
              <w:pStyle w:val="CSBody8pt"/>
            </w:pPr>
            <w:r w:rsidRPr="00792D61">
              <w:rPr>
                <w:b/>
              </w:rPr>
              <w:t>[</w:t>
            </w:r>
            <w:r>
              <w:t>Gewichtung</w:t>
            </w:r>
            <w:r w:rsidRPr="00792D61">
              <w:rPr>
                <w:b/>
              </w:rPr>
              <w:t>]</w:t>
            </w:r>
            <w:r>
              <w:rPr>
                <w:rStyle w:val="FootnoteReference"/>
              </w:rPr>
              <w:footnoteReference w:id="21"/>
            </w:r>
          </w:p>
        </w:tc>
        <w:tc>
          <w:tcPr>
            <w:tcW w:w="543" w:type="dxa"/>
            <w:tcBorders>
              <w:top w:val="nil"/>
              <w:bottom w:val="nil"/>
              <w:right w:val="nil"/>
            </w:tcBorders>
            <w:shd w:val="clear" w:color="auto" w:fill="auto"/>
          </w:tcPr>
          <w:p w:rsidR="00942F00" w:rsidRPr="00CB33B4" w:rsidP="00B00E57">
            <w:pPr>
              <w:pStyle w:val="CSBody8pt"/>
              <w:rPr>
                <w:bCs/>
                <w:lang w:val="de-DE"/>
              </w:rPr>
            </w:pPr>
          </w:p>
        </w:tc>
      </w:tr>
      <w:tr w:rsidTr="00B00E57">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942F00" w:rsidRPr="00CB33B4" w:rsidP="00B00E57">
            <w:pPr>
              <w:pStyle w:val="CSBody8pt"/>
              <w:rPr>
                <w:lang w:val="de-DE"/>
              </w:rPr>
            </w:pPr>
          </w:p>
        </w:tc>
        <w:tc>
          <w:tcPr>
            <w:tcW w:w="1273" w:type="dxa"/>
            <w:tcBorders>
              <w:top w:val="single" w:sz="4" w:space="0" w:color="auto"/>
              <w:left w:val="nil"/>
              <w:bottom w:val="single" w:sz="4" w:space="0" w:color="auto"/>
            </w:tcBorders>
            <w:shd w:val="clear" w:color="auto" w:fill="auto"/>
          </w:tcPr>
          <w:p w:rsidR="00942F00" w:rsidRPr="00317541" w:rsidP="00B00E57">
            <w:pPr>
              <w:pStyle w:val="CSBody8pt"/>
            </w:pPr>
            <w:r w:rsidRPr="00792D61">
              <w:rPr>
                <w:b/>
              </w:rPr>
              <w:t>[</w:t>
            </w:r>
            <w:r>
              <w:rPr>
                <w:rFonts w:ascii="Arial" w:hAnsi="Arial" w:cs="Arial"/>
              </w:rPr>
              <w:t>●</w:t>
            </w:r>
            <w:r w:rsidRPr="00792D61">
              <w:rPr>
                <w:b/>
              </w:rPr>
              <w:t>]</w:t>
            </w:r>
          </w:p>
        </w:tc>
        <w:tc>
          <w:tcPr>
            <w:tcW w:w="1560" w:type="dxa"/>
            <w:tcBorders>
              <w:top w:val="single" w:sz="4" w:space="0" w:color="auto"/>
              <w:left w:val="nil"/>
              <w:bottom w:val="single" w:sz="4" w:space="0" w:color="auto"/>
            </w:tcBorders>
            <w:shd w:val="clear" w:color="auto" w:fill="auto"/>
          </w:tcPr>
          <w:p w:rsidR="00942F00" w:rsidRPr="00317541" w:rsidP="00B00E57">
            <w:pPr>
              <w:pStyle w:val="CSBody8pt"/>
            </w:pPr>
            <w:r w:rsidRPr="00792D61">
              <w:rPr>
                <w:b/>
              </w:rPr>
              <w:t>[</w:t>
            </w:r>
            <w:r>
              <w:rPr>
                <w:b/>
                <w:i/>
              </w:rPr>
              <w:t xml:space="preserve">insert details of Reference Obligations for each Reference Entity, if included in Table A: </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942F00" w:rsidRPr="00317541" w:rsidP="00B00E57">
            <w:pPr>
              <w:pStyle w:val="CSBody8pt"/>
            </w:pPr>
            <w:r w:rsidRPr="00792D61">
              <w:rPr>
                <w:b/>
              </w:rPr>
              <w:t>[[</w:t>
            </w:r>
            <w:r>
              <w:rPr>
                <w:rFonts w:ascii="Arial" w:hAnsi="Arial" w:cs="Arial"/>
              </w:rPr>
              <w:t>●</w:t>
            </w:r>
            <w:r w:rsidRPr="00792D61">
              <w:rPr>
                <w:b/>
              </w:rPr>
              <w:t>]</w:t>
            </w:r>
            <w:r>
              <w:t>%</w:t>
            </w:r>
            <w:r w:rsidRPr="00792D61">
              <w:rPr>
                <w:b/>
              </w:rPr>
              <w:t>]</w:t>
            </w:r>
          </w:p>
        </w:tc>
        <w:tc>
          <w:tcPr>
            <w:tcW w:w="1416" w:type="dxa"/>
            <w:tcBorders>
              <w:top w:val="single" w:sz="4" w:space="0" w:color="auto"/>
              <w:bottom w:val="single" w:sz="4" w:space="0" w:color="auto"/>
              <w:right w:val="nil"/>
            </w:tcBorders>
            <w:shd w:val="clear" w:color="auto" w:fill="auto"/>
          </w:tcPr>
          <w:p w:rsidR="00942F00" w:rsidRPr="00317541" w:rsidP="00B00E57">
            <w:pPr>
              <w:pStyle w:val="CSBody8pt"/>
            </w:pPr>
            <w:r w:rsidRPr="00792D61">
              <w:rPr>
                <w:b/>
              </w:rPr>
              <w:t>[</w:t>
            </w:r>
            <w:r>
              <w:rPr>
                <w:rFonts w:ascii="Arial" w:hAnsi="Arial" w:cs="Arial"/>
              </w:rPr>
              <w:t>●</w:t>
            </w:r>
            <w:r w:rsidRPr="00792D61">
              <w:rPr>
                <w:b/>
              </w:rPr>
              <w:t>]</w:t>
            </w:r>
          </w:p>
        </w:tc>
        <w:tc>
          <w:tcPr>
            <w:tcW w:w="1701" w:type="dxa"/>
            <w:tcBorders>
              <w:top w:val="single" w:sz="4" w:space="0" w:color="auto"/>
              <w:bottom w:val="single" w:sz="4" w:space="0" w:color="auto"/>
              <w:right w:val="nil"/>
            </w:tcBorders>
            <w:shd w:val="clear" w:color="auto" w:fill="auto"/>
          </w:tcPr>
          <w:p w:rsidR="00942F00" w:rsidRPr="009D08E0" w:rsidP="00B00E57">
            <w:pPr>
              <w:pStyle w:val="CSBody8pt"/>
              <w:rPr>
                <w:lang w:val="de-DE"/>
              </w:rPr>
            </w:pPr>
            <w:r w:rsidRPr="009D08E0">
              <w:rPr>
                <w:b/>
                <w:lang w:val="de-DE"/>
              </w:rPr>
              <w:t>[</w:t>
            </w:r>
            <w:r w:rsidRPr="009D08E0">
              <w:rPr>
                <w:b/>
                <w:i/>
                <w:lang w:val="de-DE"/>
              </w:rPr>
              <w:t xml:space="preserve">Einzelheiten zu den Referenzverbindlichkeiten jedes Referenzschuldners aufnehmen, falls solche Referenzverbindlichkeiten in Tabelle A aufgenommen werden: </w:t>
            </w:r>
            <w:r w:rsidRPr="009D08E0">
              <w:rPr>
                <w:b/>
                <w:lang w:val="de-DE"/>
              </w:rPr>
              <w:t>[</w:t>
            </w:r>
            <w:r>
              <w:rPr>
                <w:rFonts w:ascii="Wingdings" w:hAnsi="Wingdings"/>
                <w:b/>
              </w:rPr>
              <w:sym w:font="Wingdings" w:char="F06C"/>
            </w:r>
            <w:r w:rsidRPr="009D08E0">
              <w:rPr>
                <w:b/>
                <w:lang w:val="de-DE"/>
              </w:rPr>
              <w:t>]]</w:t>
            </w:r>
          </w:p>
        </w:tc>
        <w:tc>
          <w:tcPr>
            <w:tcW w:w="1276" w:type="dxa"/>
            <w:tcBorders>
              <w:top w:val="single" w:sz="4" w:space="0" w:color="auto"/>
              <w:bottom w:val="single" w:sz="4" w:space="0" w:color="auto"/>
              <w:right w:val="nil"/>
            </w:tcBorders>
            <w:shd w:val="clear" w:color="auto" w:fill="auto"/>
          </w:tcPr>
          <w:p w:rsidR="00942F00" w:rsidRPr="00317541" w:rsidP="00B00E57">
            <w:pPr>
              <w:pStyle w:val="CSBody8pt"/>
            </w:pPr>
            <w:r w:rsidRPr="00792D61">
              <w:rPr>
                <w:b/>
              </w:rPr>
              <w:t>[[</w:t>
            </w:r>
            <w:r>
              <w:rPr>
                <w:rFonts w:ascii="Arial" w:hAnsi="Arial" w:cs="Arial"/>
              </w:rPr>
              <w:t>●</w:t>
            </w:r>
            <w:r w:rsidRPr="00792D61">
              <w:rPr>
                <w:b/>
              </w:rPr>
              <w:t>]</w:t>
            </w:r>
            <w:r>
              <w:t>%</w:t>
            </w:r>
            <w:r w:rsidRPr="00792D61">
              <w:rPr>
                <w:b/>
              </w:rPr>
              <w:t>]</w:t>
            </w:r>
          </w:p>
        </w:tc>
        <w:tc>
          <w:tcPr>
            <w:tcW w:w="543" w:type="dxa"/>
            <w:tcBorders>
              <w:top w:val="nil"/>
              <w:bottom w:val="nil"/>
              <w:right w:val="nil"/>
            </w:tcBorders>
            <w:shd w:val="clear" w:color="auto" w:fill="auto"/>
          </w:tcPr>
          <w:p w:rsidR="00942F00" w:rsidRPr="00CB33B4" w:rsidP="00B00E57">
            <w:pPr>
              <w:pStyle w:val="CSBody8pt"/>
              <w:rPr>
                <w:bCs/>
                <w:lang w:val="de-DE"/>
              </w:rPr>
            </w:pPr>
          </w:p>
        </w:tc>
      </w:tr>
    </w:tbl>
    <w:p w:rsidR="00942F00" w:rsidRPr="00942F00" w:rsidP="00942F00">
      <w:pPr>
        <w:rPr>
          <w:b/>
        </w:rPr>
      </w:pPr>
      <w:r>
        <w:rPr>
          <w:b/>
        </w:rPr>
        <w:t>]</w:t>
      </w:r>
    </w:p>
    <w:tbl>
      <w:tblPr>
        <w:tblStyle w:val="TableGrid"/>
        <w:tblW w:w="5000" w:type="pct"/>
        <w:tblBorders>
          <w:top w:val="nil"/>
          <w:left w:val="nil"/>
          <w:bottom w:val="nil"/>
          <w:right w:val="nil"/>
          <w:insideH w:val="nil"/>
          <w:insideV w:val="nil"/>
        </w:tblBorders>
        <w:tblLayout w:type="fixed"/>
        <w:tblLook w:val="04A0"/>
      </w:tblPr>
      <w:tblGrid>
        <w:gridCol w:w="4892"/>
        <w:gridCol w:w="4963"/>
      </w:tblGrid>
      <w:tr w:rsidTr="00942F00">
        <w:tblPrEx>
          <w:tblW w:w="5000" w:type="pct"/>
          <w:tblBorders>
            <w:top w:val="nil"/>
            <w:left w:val="nil"/>
            <w:bottom w:val="nil"/>
            <w:right w:val="nil"/>
            <w:insideH w:val="nil"/>
            <w:insideV w:val="nil"/>
          </w:tblBorders>
          <w:tblLayout w:type="fixed"/>
          <w:tblLook w:val="04A0"/>
        </w:tblPrEx>
        <w:tc>
          <w:tcPr>
            <w:tcW w:w="2482" w:type="pct"/>
          </w:tcPr>
          <w:p w:rsidR="00AF511D" w:rsidRPr="00963ACB" w:rsidP="00AF511D">
            <w:pPr>
              <w:pStyle w:val="CSBody0"/>
            </w:pPr>
            <w:r w:rsidRPr="00F94B27">
              <w:rPr>
                <w:b/>
              </w:rPr>
              <w:t>[</w:t>
            </w:r>
            <w:r w:rsidRPr="00963ACB">
              <w:t>For more information see www.</w:t>
            </w:r>
            <w:r w:rsidRPr="00F94B27">
              <w:rPr>
                <w:b/>
              </w:rPr>
              <w:t>[</w:t>
            </w:r>
            <w:r w:rsidR="003857E8">
              <w:rPr>
                <w:rFonts w:ascii="Arial" w:hAnsi="Arial" w:cs="Arial"/>
              </w:rPr>
              <w:t>●</w:t>
            </w:r>
            <w:r w:rsidRPr="00F94B27">
              <w:rPr>
                <w:b/>
              </w:rPr>
              <w:t>]]]</w:t>
            </w:r>
          </w:p>
        </w:tc>
        <w:tc>
          <w:tcPr>
            <w:tcW w:w="2518" w:type="pct"/>
          </w:tcPr>
          <w:p w:rsidR="00AF511D" w:rsidRPr="00AF511D" w:rsidP="00AF511D">
            <w:pPr>
              <w:pStyle w:val="CSBody0"/>
              <w:rPr>
                <w:lang w:val="de-DE"/>
              </w:rPr>
            </w:pPr>
            <w:r w:rsidRPr="00F94B27">
              <w:rPr>
                <w:b/>
                <w:lang w:val="de-DE"/>
              </w:rPr>
              <w:t>[</w:t>
            </w:r>
            <w:r w:rsidRPr="00AF511D">
              <w:rPr>
                <w:lang w:val="de-DE"/>
              </w:rPr>
              <w:t>Für weitere Informationen siehe www.</w:t>
            </w:r>
            <w:r w:rsidRPr="00F94B27">
              <w:rPr>
                <w:b/>
                <w:lang w:val="de-DE"/>
              </w:rPr>
              <w:t>[</w:t>
            </w:r>
            <w:r w:rsidRPr="000F4148" w:rsidR="003857E8">
              <w:rPr>
                <w:rFonts w:ascii="Arial" w:hAnsi="Arial" w:cs="Arial"/>
                <w:lang w:val="de-DE"/>
              </w:rPr>
              <w:t>●</w:t>
            </w:r>
            <w:r w:rsidRPr="00F94B27">
              <w:rPr>
                <w:b/>
                <w:lang w:val="de-DE"/>
              </w:rPr>
              <w:t>]]]</w:t>
            </w:r>
          </w:p>
        </w:tc>
      </w:tr>
      <w:tr w:rsidTr="00942F00">
        <w:tblPrEx>
          <w:tblW w:w="5000" w:type="pct"/>
          <w:tblLayout w:type="fixed"/>
          <w:tblLook w:val="04A0"/>
        </w:tblPrEx>
        <w:tc>
          <w:tcPr>
            <w:tcW w:w="2482" w:type="pct"/>
            <w:tcBorders>
              <w:right w:val="single" w:sz="4" w:space="0" w:color="auto"/>
            </w:tcBorders>
          </w:tcPr>
          <w:p w:rsidR="00AF511D" w:rsidRPr="00587F86" w:rsidP="00AF511D">
            <w:pPr>
              <w:pStyle w:val="CSbody0bolditalic"/>
              <w:rPr>
                <w:lang w:val="en-GB"/>
              </w:rPr>
            </w:pPr>
            <w:r w:rsidRPr="00F94B27">
              <w:rPr>
                <w:lang w:val="en-GB"/>
              </w:rPr>
              <w:t>[</w:t>
            </w:r>
            <w:r w:rsidRPr="00587F86">
              <w:rPr>
                <w:lang w:val="en-GB"/>
              </w:rPr>
              <w:t>in case of Complex Products linked to an a Reference Rate:</w:t>
            </w:r>
          </w:p>
        </w:tc>
        <w:tc>
          <w:tcPr>
            <w:tcW w:w="2518" w:type="pct"/>
            <w:tcBorders>
              <w:left w:val="single" w:sz="4" w:space="0" w:color="auto"/>
            </w:tcBorders>
          </w:tcPr>
          <w:p w:rsidR="00AF511D" w:rsidRPr="00AF511D" w:rsidP="00AF511D">
            <w:pPr>
              <w:pStyle w:val="CSbody0bolditalic"/>
            </w:pPr>
            <w:r w:rsidRPr="00F94B27">
              <w:t>[</w:t>
            </w:r>
            <w:r w:rsidRPr="00AF511D">
              <w:t>bei Komplexen Produkten, die an einen Referenzsatz gekoppelt sind:</w:t>
            </w:r>
          </w:p>
        </w:tc>
      </w:tr>
      <w:tr w:rsidTr="00942F00">
        <w:tblPrEx>
          <w:tblW w:w="5000" w:type="pct"/>
          <w:tblLayout w:type="fixed"/>
          <w:tblLook w:val="04A0"/>
        </w:tblPrEx>
        <w:tc>
          <w:tcPr>
            <w:tcW w:w="2482" w:type="pct"/>
            <w:tcBorders>
              <w:right w:val="single" w:sz="4" w:space="0" w:color="auto"/>
            </w:tcBorders>
          </w:tcPr>
          <w:p w:rsidR="00AF511D" w:rsidRPr="00587F86" w:rsidP="00AF511D">
            <w:pPr>
              <w:pStyle w:val="CSbody0bolditalic"/>
              <w:rPr>
                <w:lang w:val="en-GB"/>
              </w:rPr>
            </w:pPr>
            <w:r w:rsidRPr="00F94B27">
              <w:rPr>
                <w:lang w:val="en-GB"/>
              </w:rPr>
              <w:t>[</w:t>
            </w:r>
            <w:r w:rsidRPr="00587F86">
              <w:rPr>
                <w:lang w:val="en-GB"/>
              </w:rPr>
              <w:t>insert for each Reference Rate:</w:t>
            </w:r>
          </w:p>
        </w:tc>
        <w:tc>
          <w:tcPr>
            <w:tcW w:w="2518" w:type="pct"/>
            <w:tcBorders>
              <w:left w:val="single" w:sz="4" w:space="0" w:color="auto"/>
            </w:tcBorders>
          </w:tcPr>
          <w:p w:rsidR="00AF511D" w:rsidRPr="00963ACB" w:rsidP="00AF511D">
            <w:pPr>
              <w:pStyle w:val="CSbody0bolditalic"/>
            </w:pPr>
            <w:r w:rsidRPr="00F94B27">
              <w:t>[</w:t>
            </w:r>
            <w:r w:rsidRPr="00963ACB">
              <w:t>für jeden Referenzsatz einfügen:</w:t>
            </w:r>
          </w:p>
        </w:tc>
      </w:tr>
      <w:tr w:rsidTr="00942F00">
        <w:tblPrEx>
          <w:tblW w:w="5000" w:type="pct"/>
          <w:tblLayout w:type="fixed"/>
          <w:tblLook w:val="04A0"/>
        </w:tblPrEx>
        <w:tc>
          <w:tcPr>
            <w:tcW w:w="2482" w:type="pct"/>
            <w:tcBorders>
              <w:right w:val="single" w:sz="4" w:space="0" w:color="auto"/>
            </w:tcBorders>
          </w:tcPr>
          <w:p w:rsidR="00AF511D" w:rsidRPr="00963ACB" w:rsidP="00AF511D">
            <w:pPr>
              <w:pStyle w:val="CSBody0"/>
            </w:pPr>
            <w:r w:rsidRPr="00963ACB">
              <w:t xml:space="preserve">Name of the Reference Rate: </w:t>
            </w:r>
            <w:r w:rsidRPr="00F94B27" w:rsidR="00F94B27">
              <w:rPr>
                <w:b/>
              </w:rPr>
              <w:t>[</w:t>
            </w:r>
            <w:r w:rsidR="003857E8">
              <w:rPr>
                <w:rFonts w:ascii="Arial" w:hAnsi="Arial" w:cs="Arial"/>
              </w:rPr>
              <w:t>●</w:t>
            </w:r>
            <w:r w:rsidRPr="00F94B27" w:rsidR="00F94B27">
              <w:rPr>
                <w:b/>
              </w:rPr>
              <w:t>]</w:t>
            </w:r>
          </w:p>
        </w:tc>
        <w:tc>
          <w:tcPr>
            <w:tcW w:w="2518" w:type="pct"/>
            <w:tcBorders>
              <w:left w:val="single" w:sz="4" w:space="0" w:color="auto"/>
            </w:tcBorders>
          </w:tcPr>
          <w:p w:rsidR="00AF511D" w:rsidRPr="00963ACB" w:rsidP="00AF511D">
            <w:pPr>
              <w:pStyle w:val="CSBody0"/>
            </w:pPr>
            <w:r w:rsidRPr="00963ACB">
              <w:t xml:space="preserve">Name des Referenzsatzes: </w:t>
            </w:r>
            <w:r w:rsidRPr="00F94B27" w:rsidR="00F94B27">
              <w:rPr>
                <w:b/>
              </w:rPr>
              <w:t>[</w:t>
            </w:r>
            <w:r w:rsidR="003857E8">
              <w:rPr>
                <w:rFonts w:ascii="Arial" w:hAnsi="Arial" w:cs="Arial"/>
              </w:rPr>
              <w:t>●</w:t>
            </w:r>
            <w:r w:rsidRPr="00F94B27" w:rsidR="00F94B27">
              <w:rPr>
                <w:b/>
              </w:rPr>
              <w:t>]</w:t>
            </w:r>
          </w:p>
        </w:tc>
      </w:tr>
      <w:tr w:rsidTr="00942F00">
        <w:tblPrEx>
          <w:tblW w:w="5000" w:type="pct"/>
          <w:tblLayout w:type="fixed"/>
          <w:tblLook w:val="04A0"/>
        </w:tblPrEx>
        <w:tc>
          <w:tcPr>
            <w:tcW w:w="2482" w:type="pct"/>
            <w:tcBorders>
              <w:right w:val="single" w:sz="4" w:space="0" w:color="auto"/>
            </w:tcBorders>
          </w:tcPr>
          <w:p w:rsidR="00AF511D" w:rsidRPr="00963ACB" w:rsidP="00AF511D">
            <w:pPr>
              <w:pStyle w:val="CSBody0"/>
            </w:pPr>
            <w:r w:rsidRPr="00F94B27">
              <w:rPr>
                <w:b/>
              </w:rPr>
              <w:t>[</w:t>
            </w:r>
            <w:r w:rsidRPr="00963ACB">
              <w:t xml:space="preserve">Security Codes: </w:t>
            </w:r>
            <w:r w:rsidRPr="00F94B27">
              <w:rPr>
                <w:b/>
              </w:rPr>
              <w:t>[</w:t>
            </w:r>
            <w:r w:rsidR="003857E8">
              <w:rPr>
                <w:rFonts w:ascii="Arial" w:hAnsi="Arial" w:cs="Arial"/>
              </w:rPr>
              <w:t>●</w:t>
            </w:r>
            <w:r w:rsidRPr="00F94B27">
              <w:rPr>
                <w:b/>
              </w:rPr>
              <w:t>]]</w:t>
            </w:r>
          </w:p>
        </w:tc>
        <w:tc>
          <w:tcPr>
            <w:tcW w:w="2518" w:type="pct"/>
            <w:tcBorders>
              <w:left w:val="single" w:sz="4" w:space="0" w:color="auto"/>
            </w:tcBorders>
          </w:tcPr>
          <w:p w:rsidR="00AF511D" w:rsidRPr="00963ACB" w:rsidP="00AF511D">
            <w:pPr>
              <w:pStyle w:val="CSBody0"/>
            </w:pPr>
            <w:r w:rsidRPr="00F94B27">
              <w:rPr>
                <w:b/>
              </w:rPr>
              <w:t>[</w:t>
            </w:r>
            <w:r w:rsidRPr="00963ACB">
              <w:t xml:space="preserve">Kennnummern: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2482" w:type="pct"/>
            <w:tcBorders>
              <w:right w:val="single" w:sz="4" w:space="0" w:color="auto"/>
            </w:tcBorders>
          </w:tcPr>
          <w:p w:rsidR="00AF511D" w:rsidRPr="00963ACB" w:rsidP="00AF511D">
            <w:pPr>
              <w:pStyle w:val="CSBody0"/>
            </w:pPr>
            <w:r w:rsidRPr="00F94B27">
              <w:rPr>
                <w:b/>
              </w:rPr>
              <w:t>[</w:t>
            </w:r>
            <w:r w:rsidRPr="00963ACB">
              <w:t>For more information see www.</w:t>
            </w:r>
            <w:r w:rsidRPr="00F94B27">
              <w:rPr>
                <w:b/>
              </w:rPr>
              <w:t>[</w:t>
            </w:r>
            <w:r w:rsidR="003857E8">
              <w:rPr>
                <w:rFonts w:ascii="Arial" w:hAnsi="Arial" w:cs="Arial"/>
              </w:rPr>
              <w:t>●</w:t>
            </w:r>
            <w:r w:rsidRPr="00F94B27">
              <w:rPr>
                <w:b/>
              </w:rPr>
              <w:t>]]]</w:t>
            </w:r>
          </w:p>
        </w:tc>
        <w:tc>
          <w:tcPr>
            <w:tcW w:w="2518" w:type="pct"/>
            <w:tcBorders>
              <w:left w:val="single" w:sz="4" w:space="0" w:color="auto"/>
            </w:tcBorders>
          </w:tcPr>
          <w:p w:rsidR="00AF511D" w:rsidP="00AF511D">
            <w:pPr>
              <w:pStyle w:val="CSBody0"/>
            </w:pPr>
            <w:r w:rsidRPr="00F94B27">
              <w:rPr>
                <w:b/>
                <w:lang w:val="de-DE"/>
              </w:rPr>
              <w:t>[</w:t>
            </w:r>
            <w:r w:rsidRPr="00AF511D">
              <w:rPr>
                <w:lang w:val="de-DE"/>
              </w:rPr>
              <w:t xml:space="preserve">Für weitere Informationen siehe www. </w:t>
            </w:r>
            <w:r w:rsidRPr="00F94B27">
              <w:rPr>
                <w:b/>
              </w:rPr>
              <w:t>[</w:t>
            </w:r>
            <w:r w:rsidR="003857E8">
              <w:rPr>
                <w:rFonts w:ascii="Arial" w:hAnsi="Arial" w:cs="Arial"/>
              </w:rPr>
              <w:t>●</w:t>
            </w:r>
            <w:r w:rsidRPr="00F94B27">
              <w:rPr>
                <w:b/>
              </w:rPr>
              <w:t>]]]</w:t>
            </w:r>
          </w:p>
        </w:tc>
      </w:tr>
      <w:tr w:rsidTr="00942F00">
        <w:tblPrEx>
          <w:tblW w:w="5000" w:type="pct"/>
          <w:tblLayout w:type="fixed"/>
          <w:tblLook w:val="04A0"/>
        </w:tblPrEx>
        <w:tc>
          <w:tcPr>
            <w:tcW w:w="2482" w:type="pct"/>
            <w:tcBorders>
              <w:right w:val="single" w:sz="4" w:space="0" w:color="auto"/>
            </w:tcBorders>
          </w:tcPr>
          <w:p w:rsidR="00AF511D" w:rsidRPr="00587F86" w:rsidP="005E49F4">
            <w:pPr>
              <w:pStyle w:val="CSbody0bolditalic"/>
              <w:rPr>
                <w:lang w:val="en-GB"/>
              </w:rPr>
            </w:pPr>
            <w:r w:rsidRPr="00F94B27">
              <w:rPr>
                <w:lang w:val="en-GB"/>
              </w:rPr>
              <w:t>[</w:t>
            </w:r>
            <w:r w:rsidRPr="00587F86">
              <w:rPr>
                <w:lang w:val="en-GB"/>
              </w:rPr>
              <w:t>in case of Complex Products with Fixed Final Redemption Amount and no Reference Rate:</w:t>
            </w:r>
          </w:p>
        </w:tc>
        <w:tc>
          <w:tcPr>
            <w:tcW w:w="2518" w:type="pct"/>
            <w:tcBorders>
              <w:left w:val="single" w:sz="4" w:space="0" w:color="auto"/>
            </w:tcBorders>
          </w:tcPr>
          <w:p w:rsidR="00AF511D" w:rsidRPr="00AF511D" w:rsidP="00AF511D">
            <w:pPr>
              <w:pStyle w:val="CSbody0bolditalic"/>
            </w:pPr>
            <w:r w:rsidRPr="00F94B27">
              <w:t>[</w:t>
            </w:r>
            <w:r w:rsidRPr="00AF511D">
              <w:t>bei Komplexen Produkten mit Festem Finalen Rückzahlungsbetrag und keinem Referenzsatz:</w:t>
            </w:r>
          </w:p>
        </w:tc>
      </w:tr>
      <w:tr w:rsidTr="00942F00">
        <w:tblPrEx>
          <w:tblW w:w="5000" w:type="pct"/>
          <w:tblLayout w:type="fixed"/>
          <w:tblLook w:val="04A0"/>
        </w:tblPrEx>
        <w:tc>
          <w:tcPr>
            <w:tcW w:w="2482" w:type="pct"/>
            <w:tcBorders>
              <w:right w:val="single" w:sz="4" w:space="0" w:color="auto"/>
            </w:tcBorders>
          </w:tcPr>
          <w:p w:rsidR="00AF511D" w:rsidRPr="003314CB" w:rsidP="00AF511D">
            <w:pPr>
              <w:pStyle w:val="CSBody0"/>
            </w:pPr>
            <w:r w:rsidRPr="003314CB">
              <w:t>Not applicable. The Complex Products are not linked to an underlying.</w:t>
            </w:r>
            <w:r w:rsidRPr="00F94B27" w:rsidR="00F94B27">
              <w:rPr>
                <w:b/>
              </w:rPr>
              <w:t>]]</w:t>
            </w:r>
          </w:p>
        </w:tc>
        <w:tc>
          <w:tcPr>
            <w:tcW w:w="2518" w:type="pct"/>
            <w:tcBorders>
              <w:left w:val="single" w:sz="4" w:space="0" w:color="auto"/>
            </w:tcBorders>
          </w:tcPr>
          <w:p w:rsidR="00AF511D" w:rsidRPr="00AF511D" w:rsidP="00AF511D">
            <w:pPr>
              <w:pStyle w:val="CSBody0"/>
              <w:rPr>
                <w:lang w:val="de-DE"/>
              </w:rPr>
            </w:pPr>
            <w:r w:rsidRPr="00AF511D">
              <w:rPr>
                <w:lang w:val="de-DE"/>
              </w:rPr>
              <w:t>Nicht anwendbar. Die Komplexen Produkte sind nicht an einen Basiswert gekoppelt.</w:t>
            </w:r>
            <w:r w:rsidRPr="00F94B27" w:rsidR="00F94B27">
              <w:rPr>
                <w:b/>
                <w:lang w:val="de-DE"/>
              </w:rPr>
              <w:t>]]</w:t>
            </w:r>
          </w:p>
        </w:tc>
      </w:tr>
      <w:tr w:rsidTr="00942F00">
        <w:tblPrEx>
          <w:tblW w:w="5000" w:type="pct"/>
          <w:tblLayout w:type="fixed"/>
          <w:tblLook w:val="04A0"/>
        </w:tblPrEx>
        <w:tc>
          <w:tcPr>
            <w:tcW w:w="2482" w:type="pct"/>
            <w:tcBorders>
              <w:right w:val="single" w:sz="4" w:space="0" w:color="auto"/>
            </w:tcBorders>
          </w:tcPr>
          <w:p w:rsidR="00AF511D" w:rsidRPr="00846AC7" w:rsidP="00AF511D">
            <w:pPr>
              <w:pStyle w:val="CSbody0bold"/>
            </w:pPr>
            <w:r w:rsidRPr="00846AC7">
              <w:t>Section D — Risks</w:t>
            </w:r>
          </w:p>
        </w:tc>
        <w:tc>
          <w:tcPr>
            <w:tcW w:w="2518" w:type="pct"/>
            <w:tcBorders>
              <w:left w:val="single" w:sz="4" w:space="0" w:color="auto"/>
            </w:tcBorders>
          </w:tcPr>
          <w:p w:rsidR="00AF511D" w:rsidRPr="00846AC7" w:rsidP="00AF511D">
            <w:pPr>
              <w:pStyle w:val="CSbody0bold"/>
            </w:pPr>
            <w:r w:rsidRPr="00846AC7">
              <w:t>Abschnitt D — Risiken</w:t>
            </w:r>
          </w:p>
        </w:tc>
      </w:tr>
    </w:tbl>
    <w:tbl>
      <w:tblPr>
        <w:tblW w:w="5011" w:type="pct"/>
        <w:tblInd w:w="-1" w:type="dxa"/>
        <w:tblLayout w:type="fixed"/>
        <w:tblLook w:val="00A0"/>
      </w:tblPr>
      <w:tblGrid>
        <w:gridCol w:w="4924"/>
        <w:gridCol w:w="4937"/>
        <w:gridCol w:w="16"/>
      </w:tblGrid>
      <w:tr w:rsidTr="004C1EBA">
        <w:tblPrEx>
          <w:tblW w:w="5011" w:type="pct"/>
          <w:tblInd w:w="-1" w:type="dxa"/>
          <w:tblLayout w:type="fixed"/>
          <w:tblLook w:val="00A0"/>
        </w:tblPrEx>
        <w:trPr>
          <w:gridAfter w:val="1"/>
          <w:wAfter w:w="8" w:type="dxa"/>
        </w:trPr>
        <w:tc>
          <w:tcPr>
            <w:tcW w:w="2493" w:type="pct"/>
            <w:tcBorders>
              <w:right w:val="single" w:sz="4" w:space="0" w:color="auto"/>
            </w:tcBorders>
          </w:tcPr>
          <w:p w:rsidR="00815842" w:rsidRPr="002B2A24" w:rsidP="004C1EBA">
            <w:pPr>
              <w:pStyle w:val="CSBody0"/>
              <w:rPr>
                <w:b/>
              </w:rPr>
            </w:pPr>
            <w:r w:rsidRPr="002B2A24">
              <w:rPr>
                <w:b/>
              </w:rPr>
              <w:t xml:space="preserve">D.2: Key risks regarding the Issuer </w:t>
            </w:r>
          </w:p>
        </w:tc>
        <w:tc>
          <w:tcPr>
            <w:tcW w:w="2499" w:type="pct"/>
            <w:tcBorders>
              <w:left w:val="single" w:sz="4" w:space="0" w:color="auto"/>
            </w:tcBorders>
          </w:tcPr>
          <w:p w:rsidR="00815842" w:rsidRPr="002B2A24" w:rsidP="004C1EBA">
            <w:pPr>
              <w:pStyle w:val="CSBody0"/>
              <w:rPr>
                <w:b/>
                <w:iCs/>
                <w:lang w:val="de-DE"/>
              </w:rPr>
            </w:pPr>
            <w:r w:rsidRPr="002B2A24">
              <w:rPr>
                <w:b/>
                <w:iCs/>
                <w:lang w:val="de-DE"/>
              </w:rPr>
              <w:t xml:space="preserve">D.2: Zentrale Risiken in Bezug auf die Emittentin </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In purchasing Complex Products, investors assume the risk that the Issuer may become insolvent or otherwise be unable to make all payments due in respect of the Complex Products. There is a wide range of factors which individually or together could result in the Issuer becoming unable to make all payments due in respect of the Complex Products. It is not possible to identify all such factors or to determine which factors are most likely to occur, as the Issuer may not be aware of all relevant factors and certain factors which it currently deems not to be material may become material as a result of the occurrence of events outside the control of the Issuer. The Issuer has identified a number of factors which could materially adversely affect its businesses and ability to make payments due under the Complex Products, including as follows:</w:t>
            </w:r>
          </w:p>
        </w:tc>
        <w:tc>
          <w:tcPr>
            <w:tcW w:w="2507" w:type="pct"/>
            <w:gridSpan w:val="2"/>
            <w:tcBorders>
              <w:left w:val="single" w:sz="4" w:space="0" w:color="auto"/>
            </w:tcBorders>
          </w:tcPr>
          <w:p w:rsidR="00815842" w:rsidRPr="00554B67" w:rsidP="004C1EBA">
            <w:pPr>
              <w:pStyle w:val="CSBody0"/>
            </w:pPr>
            <w:r w:rsidRPr="0094066C">
              <w:rPr>
                <w:iCs/>
                <w:lang w:val="de-DE"/>
              </w:rPr>
              <w:t>Mit dem Erwerb von Komplexen Produkten gehen Anleger das Risiko ein, dass die Emittentin insolvent wird oder in sonstiger Weise nicht in der Lage ist, alle in Bezug auf die Komplexen Produkte fälligen Zahlungen zu leisten. Es gibt eine Reihe von Faktoren, die einzeln oder zusammengenommen dazu führen könnten, dass die Emittentin nicht in der Lage ist, alle in Bezug auf die Komplexen Produkte fälligen Zahlungen zu leisten. Es ist nicht möglich, alle diese Faktoren zu ermitteln oder zu bestimmen, der Eintritt welcher Faktoren am wahrscheinlichsten ist, da der Emittentin unter Umständen nicht alle relevanten Faktoren bekannt sind und bestimmte Faktoren, die sie derzeit als unwesentlich erachtet, infolge von ausserhalb ihres Einflussbereichs liegenden Ereignissen zu einem wesentlichen Faktor werden können. Die Emittentin hat eine Reihe von Faktoren ermittelt, die sich in wesentlicher Hinsicht negativ auf ihre Geschäftstätigkeit sowie ihre Fähigkeit zur Leistung von im Rahmen der Komplexen Produkte fälligen Zahlungen auswirken könnten. Hierzu zählen die folgenden Faktoren: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 xml:space="preserve">Credit Suisse is exposed to a variety of risks that could adversely affect its results of operations and financial condition, including, among others, those described below. </w:t>
            </w:r>
            <w:r>
              <w:t>A</w:t>
            </w:r>
            <w:r w:rsidRPr="00873FBE">
              <w:t xml:space="preserve">ll references to Credit Suisse in the following risk factors are </w:t>
            </w:r>
            <w:r>
              <w:t xml:space="preserve">also </w:t>
            </w:r>
            <w:r w:rsidRPr="00873FBE">
              <w:t>related to the consolidated businesses carried on by CSG and its subsidiaries (including Credit Suisse) and therefore should also be read as references to CSG</w:t>
            </w:r>
            <w:r>
              <w:t xml:space="preserve">. </w:t>
            </w:r>
          </w:p>
        </w:tc>
        <w:tc>
          <w:tcPr>
            <w:tcW w:w="2507" w:type="pct"/>
            <w:gridSpan w:val="2"/>
            <w:tcBorders>
              <w:left w:val="single" w:sz="4" w:space="0" w:color="auto"/>
            </w:tcBorders>
          </w:tcPr>
          <w:p w:rsidR="00815842" w:rsidRPr="00873FBE" w:rsidP="004C1EBA">
            <w:pPr>
              <w:pStyle w:val="CSBody0"/>
              <w:rPr>
                <w:lang w:val="de-DE"/>
              </w:rPr>
            </w:pPr>
            <w:r w:rsidRPr="0094066C">
              <w:rPr>
                <w:iCs/>
                <w:lang w:val="de-DE"/>
              </w:rPr>
              <w:t xml:space="preserve">Die Credit Suisse ist einer Vielzahl verschiedener Risiken ausgesetzt, die sich ungünstig auf ihr Geschäftsergebnis und ihre finanzielle Lage auswirken könnten. </w:t>
            </w:r>
            <w:r w:rsidRPr="00873FBE">
              <w:rPr>
                <w:iCs/>
                <w:lang w:val="de-DE"/>
              </w:rPr>
              <w:t>Einige dieser Risiken sind im Folgenden beschrieben.</w:t>
            </w:r>
            <w:r w:rsidRPr="00873FBE">
              <w:rPr>
                <w:rFonts w:eastAsia="Times New Roman"/>
                <w:bCs/>
                <w:lang w:val="de-DE"/>
              </w:rPr>
              <w:t xml:space="preserve"> </w:t>
            </w:r>
            <w:r w:rsidRPr="00873FBE">
              <w:rPr>
                <w:iCs/>
                <w:lang w:val="de-DE"/>
              </w:rPr>
              <w:t xml:space="preserve">Alle Bezugnahmen auf Credit Suisse in den </w:t>
            </w:r>
            <w:r>
              <w:rPr>
                <w:iCs/>
                <w:lang w:val="de-DE"/>
              </w:rPr>
              <w:t>folgenden</w:t>
            </w:r>
            <w:r w:rsidRPr="00873FBE">
              <w:rPr>
                <w:iCs/>
                <w:lang w:val="de-DE"/>
              </w:rPr>
              <w:t xml:space="preserve"> Risikofaktoren stehen</w:t>
            </w:r>
            <w:r>
              <w:rPr>
                <w:iCs/>
                <w:lang w:val="de-DE"/>
              </w:rPr>
              <w:t xml:space="preserve"> auch</w:t>
            </w:r>
            <w:r w:rsidRPr="00873FBE">
              <w:rPr>
                <w:iCs/>
                <w:lang w:val="de-DE"/>
              </w:rPr>
              <w:t xml:space="preserve"> im Zusammenhang mit der konsolidierten Geschäftstätigkeit der CSG und ihrer Tochtergesellschaften (einschliesslich der Credit Suisse) und sind somit auch als Bezugnahmen auf die CSG zu verstehen.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Liquidity risk:</w:t>
            </w:r>
          </w:p>
        </w:tc>
        <w:tc>
          <w:tcPr>
            <w:tcW w:w="2507" w:type="pct"/>
            <w:gridSpan w:val="2"/>
            <w:tcBorders>
              <w:left w:val="single" w:sz="4" w:space="0" w:color="auto"/>
            </w:tcBorders>
          </w:tcPr>
          <w:p w:rsidR="00815842" w:rsidRPr="00554B67" w:rsidP="004C1EBA">
            <w:pPr>
              <w:pStyle w:val="CSBody0"/>
            </w:pPr>
            <w:r w:rsidRPr="0094066C">
              <w:rPr>
                <w:iCs/>
                <w:lang w:val="de-DE"/>
              </w:rPr>
              <w:t>Liquiditätsrisiko:</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Suisse's liquidity could be impaired if it is unable to access the capital markets or sell its assets, and Credit Suisse expects its liquidity costs to increase.</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pPr>
            <w:r w:rsidRPr="0094066C">
              <w:rPr>
                <w:lang w:val="de-DE"/>
              </w:rPr>
              <w:t>Die Liquidität der Credit Suisse könnte beeinträchtigt werden, fall sie nicht in der Lage ist, Zugang zu den Kapitalmärkten zu erhalten oder ihre Vermögenswerte zu verkaufen. Zudem geht die Credit Suisse von steigenden Liquiditätskosten aus.</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Suisse's businesses rely significantly on its deposit base for funding.</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Geschäftsbereiche der Credit Suisse verlassen sich zu Refinanzierungszwecken stark auf ihre Einlagen.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 xml:space="preserve">Changes in Credit Suisse's ratings may adversely affect its business. </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 xml:space="preserve">Änderungen der Ratings der Credit Suisse könnten ihre Tätigkeit beeinträchtigen. </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Market risk:</w:t>
            </w:r>
          </w:p>
        </w:tc>
        <w:tc>
          <w:tcPr>
            <w:tcW w:w="2507" w:type="pct"/>
            <w:gridSpan w:val="2"/>
            <w:tcBorders>
              <w:left w:val="single" w:sz="4" w:space="0" w:color="auto"/>
            </w:tcBorders>
          </w:tcPr>
          <w:p w:rsidR="00815842" w:rsidRPr="00554B67" w:rsidP="004C1EBA">
            <w:pPr>
              <w:pStyle w:val="CSBody0"/>
            </w:pPr>
            <w:r w:rsidRPr="0094066C">
              <w:rPr>
                <w:iCs/>
                <w:lang w:val="de-DE"/>
              </w:rPr>
              <w:t>Marktrisiko:</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may incur significant losses on its trading and investment activities due to market fluctuations and volatility.</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Der Credit Suisse könnten aufgrund von Marktschwankungen und Volatilität in ihrer Handels- und Anlagetätigkeit erhebliche Verluste entstehen.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Suisse's businesses are subject to the risk of loss from adverse market conditions and unfavourable economic, monetary, political, legal and other developments in the countries it operates in around the world.</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Geschäftsbereiche der Credit Suisse sind einem Verlustrisiko ausgesetzt, das sich aus widrigen Marktbedingungen und ungünstigen wirtschaftlichen, geldpolitischen, politischen, rechtlichen oder sonstigen Entwicklungen in den Ländern ergibt, in denen die Credit Suisse weltweit tätig ist.</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may incur significant losses in the real estate sector.</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könnte erhebliche Verluste im Immobiliensektor erleiden.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Holding large and concentrated positions may expose Credit Suisse to large losses.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Das Halten grosser und konzentrierter Positionen könnte die Credit Suisse anfällig für hohe Verluste machen.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Suisse's hedging strategies may not prevent losses.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Es ist möglich, dass die Hedging-Strategien der Credit Suisse Verluste nicht verhindern.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Market risk may increase the other risks that Credit Suisse faces.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Marktrisiken könnten die übrigen Risiken, denen die Credit Suisse ausgesetzt ist, erhöhen.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Credit risk:</w:t>
            </w:r>
          </w:p>
        </w:tc>
        <w:tc>
          <w:tcPr>
            <w:tcW w:w="2507" w:type="pct"/>
            <w:gridSpan w:val="2"/>
            <w:tcBorders>
              <w:left w:val="single" w:sz="4" w:space="0" w:color="auto"/>
            </w:tcBorders>
          </w:tcPr>
          <w:p w:rsidR="00815842" w:rsidRPr="00554B67" w:rsidP="004C1EBA">
            <w:pPr>
              <w:pStyle w:val="CSBody0"/>
            </w:pPr>
            <w:r w:rsidRPr="0094066C">
              <w:rPr>
                <w:iCs/>
                <w:lang w:val="de-DE"/>
              </w:rPr>
              <w:t>Kreditrisiko:</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may suffer significant losses from its credit exposures.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könnte durch ihre Kreditengagements erhebliche Verluste erleiden.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 xml:space="preserve">Defaults by a large financial institution could adversely affect financial markets generally and Credit Suisse specifically. </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Zahlungsausfälle eines grossen Finanzinstituts könnten sich ungünstig auf die Finanzmärkte im Allgemeinen und auf die Credit Suisse im Besonderen auswirken.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The information that Credit Suisse uses to manage its credit risk may be inaccurate or incomplete.</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von der Credit Suisse zur Bewirtschaftung ihres Kreditrisikos verwendeten Informationen könnten unrichtig oder unvollständig sein.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Risks from estimates and valuations:</w:t>
            </w:r>
          </w:p>
        </w:tc>
        <w:tc>
          <w:tcPr>
            <w:tcW w:w="2507" w:type="pct"/>
            <w:gridSpan w:val="2"/>
            <w:tcBorders>
              <w:left w:val="single" w:sz="4" w:space="0" w:color="auto"/>
            </w:tcBorders>
          </w:tcPr>
          <w:p w:rsidR="00815842" w:rsidRPr="00554B67" w:rsidP="004C1EBA">
            <w:pPr>
              <w:pStyle w:val="CSBody0"/>
            </w:pPr>
            <w:r w:rsidRPr="0094066C">
              <w:rPr>
                <w:lang w:val="de-DE"/>
              </w:rPr>
              <w:t>Schätzungs- und Bewertungsrisiken: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Estimates are based upon judgment and available information, and Credit Suisse's actual results may differ materially from these estimates.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Schätzungen sind Ermessenssache und beruhen auf den verfügbaren Informationen. Die tatsächlichen Resultate der Credit Suisse können wesentlich von diesen Schätzungen abweichen.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To the extent Credit Suisse's models and processes become less predictive due to unforeseen market conditions, illiquidity or volatility, Credit Suisse's ability to make accurate estimates and valuations could be adversely affected.</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Falls die verwendeten Modelle und Verfahren der Credit Suisse aufgrund unvorhergesehener Marktbedingungen, Illiquidität oder Volatilität an Aussagekraft verlieren, könnte die Fähigkeit der Credit Suisse zu korrekten Schätzungen und Bewertungen negativ beeinflusst werden.</w:t>
            </w:r>
          </w:p>
        </w:tc>
      </w:tr>
      <w:tr w:rsidTr="004C1EBA">
        <w:tblPrEx>
          <w:tblW w:w="5011" w:type="pct"/>
          <w:tblInd w:w="-1" w:type="dxa"/>
          <w:tblLayout w:type="fixed"/>
          <w:tblLook w:val="00A0"/>
        </w:tblPrEx>
        <w:tc>
          <w:tcPr>
            <w:tcW w:w="2493" w:type="pct"/>
            <w:tcBorders>
              <w:right w:val="single" w:sz="4" w:space="0" w:color="auto"/>
            </w:tcBorders>
          </w:tcPr>
          <w:p w:rsidR="00815842" w:rsidRPr="0094066C" w:rsidP="004C1EBA">
            <w:pPr>
              <w:pStyle w:val="CSBody0"/>
            </w:pPr>
            <w:r>
              <w:t>Risks relating to off-balance sheet entities</w:t>
            </w:r>
          </w:p>
        </w:tc>
        <w:tc>
          <w:tcPr>
            <w:tcW w:w="2507" w:type="pct"/>
            <w:gridSpan w:val="2"/>
            <w:tcBorders>
              <w:left w:val="single" w:sz="4" w:space="0" w:color="auto"/>
            </w:tcBorders>
          </w:tcPr>
          <w:p w:rsidR="00815842" w:rsidRPr="006749F0" w:rsidP="004C1EBA">
            <w:pPr>
              <w:pStyle w:val="CSBody0"/>
              <w:rPr>
                <w:lang w:val="de-DE"/>
              </w:rPr>
            </w:pPr>
            <w:r w:rsidRPr="006749F0">
              <w:rPr>
                <w:lang w:val="de-DE"/>
              </w:rPr>
              <w:t xml:space="preserve">Risiken im Zusammenhang mit </w:t>
            </w:r>
            <w:r w:rsidRPr="00716763">
              <w:rPr>
                <w:lang w:val="de-DE"/>
              </w:rPr>
              <w:t>ausserbilanziellen</w:t>
            </w:r>
            <w:r>
              <w:rPr>
                <w:lang w:val="de-DE"/>
              </w:rPr>
              <w:t xml:space="preserve"> Gesellschaften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If Credit Suisse is required to consolidate a special purpose entity, its assets and liabilities would be recorded on its consolidated balance sheets and it would recognise related gains and losses in its consolidated statements of operations, and this could have an adverse impact on its results of operations and capital and leverage ratios.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 xml:space="preserve">Falls die Credit Suisse eine </w:t>
            </w:r>
            <w:r>
              <w:rPr>
                <w:lang w:val="de-DE"/>
              </w:rPr>
              <w:t>Zweckgesellschaft (</w:t>
            </w:r>
            <w:r>
              <w:rPr>
                <w:i/>
                <w:lang w:val="de-DE"/>
              </w:rPr>
              <w:t>Special Purpose Entity)</w:t>
            </w:r>
            <w:r>
              <w:rPr>
                <w:lang w:val="de-DE"/>
              </w:rPr>
              <w:t xml:space="preserve"> </w:t>
            </w:r>
            <w:r w:rsidRPr="0094066C">
              <w:rPr>
                <w:lang w:val="de-DE"/>
              </w:rPr>
              <w:t>zu konsolidieren hat, würden deren Aktiven und Verbindlichkeiten in ihrer konsolidierten Bilanz ausgewiesen, während die entsprechenden Gewinne und Verluste in ihrer konsolidierten Erfolgsrechnung erfasst würden. Dieser Vorgang könnte sich negativ auf ihr Geschäftsergebnis und ihre Eigenkapitalquote sowie das Verhältnis von Fremd- zu Eigenmitteln auswirken.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 xml:space="preserve">Cross-border and </w:t>
            </w:r>
            <w:r>
              <w:t>currency</w:t>
            </w:r>
            <w:r w:rsidRPr="0094066C">
              <w:t xml:space="preserve"> exchange risks:</w:t>
            </w:r>
          </w:p>
        </w:tc>
        <w:tc>
          <w:tcPr>
            <w:tcW w:w="2507" w:type="pct"/>
            <w:gridSpan w:val="2"/>
            <w:tcBorders>
              <w:left w:val="single" w:sz="4" w:space="0" w:color="auto"/>
            </w:tcBorders>
          </w:tcPr>
          <w:p w:rsidR="00815842" w:rsidRPr="00554B67" w:rsidP="004C1EBA">
            <w:pPr>
              <w:pStyle w:val="CSBody0"/>
            </w:pPr>
            <w:r w:rsidRPr="0094066C">
              <w:rPr>
                <w:iCs/>
                <w:lang w:val="de-DE"/>
              </w:rPr>
              <w:t xml:space="preserve">Grenzüberschreitende Risiken und </w:t>
            </w:r>
            <w:r>
              <w:rPr>
                <w:iCs/>
                <w:lang w:val="de-DE"/>
              </w:rPr>
              <w:t>Wechselkurs</w:t>
            </w:r>
            <w:r w:rsidRPr="0094066C">
              <w:rPr>
                <w:iCs/>
                <w:lang w:val="de-DE"/>
              </w:rPr>
              <w:t>risiken: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Cross-border risks may increase market and credit risks Credit Suisse faces.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Grenzüberschreitende Risiken könnten die Markt- und Kreditrisiken der Credit Suisse erhöhen.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may face significant losses in emerging markets.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könnte erhebliche Verluste in den Emerging Markets erleiden.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Currency fluctuations may adversely affect Credit Suisse's results of operations.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Wechselkursschwankungen könnten sich ungünstig auf das Geschäftsergebnis der Credit Suisse auswirken.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Operational risk:</w:t>
            </w:r>
          </w:p>
        </w:tc>
        <w:tc>
          <w:tcPr>
            <w:tcW w:w="2507" w:type="pct"/>
            <w:gridSpan w:val="2"/>
            <w:tcBorders>
              <w:left w:val="single" w:sz="4" w:space="0" w:color="auto"/>
            </w:tcBorders>
          </w:tcPr>
          <w:p w:rsidR="00815842" w:rsidRPr="00554B67" w:rsidP="004C1EBA">
            <w:pPr>
              <w:pStyle w:val="CSBody0"/>
            </w:pPr>
            <w:r w:rsidRPr="0094066C">
              <w:rPr>
                <w:iCs/>
                <w:lang w:val="de-DE"/>
              </w:rPr>
              <w:t>Operationelles Risiko:</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is exposed to a wide variety of operational risks, including information technology risk.</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ist einer breiten Vielfalt an operationellen Risiken einschliesslich Informationstechnologierisiken ausgesetzt.</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may suffer losses due to employee misconduct.</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könnte durch Fehlverhalten von Mitarbeitenden Verluste erleiden.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Suisse's risk management procedures and policies may not always be effective.</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Es ist möglich, dass die Risikomanagement</w:t>
            </w:r>
            <w:r w:rsidRPr="0094066C">
              <w:rPr>
                <w:lang w:val="de-DE"/>
              </w:rPr>
              <w:softHyphen/>
              <w:t>techniken und -richtlinien der Credit Suisse nicht immer wirksam sind.</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Legal and regulatory risks:</w:t>
            </w:r>
          </w:p>
        </w:tc>
        <w:tc>
          <w:tcPr>
            <w:tcW w:w="2507" w:type="pct"/>
            <w:gridSpan w:val="2"/>
            <w:tcBorders>
              <w:left w:val="single" w:sz="4" w:space="0" w:color="auto"/>
            </w:tcBorders>
          </w:tcPr>
          <w:p w:rsidR="00815842" w:rsidRPr="00554B67" w:rsidP="004C1EBA">
            <w:pPr>
              <w:pStyle w:val="CSBody0"/>
            </w:pPr>
            <w:r w:rsidRPr="0094066C">
              <w:rPr>
                <w:iCs/>
                <w:lang w:val="de-DE"/>
              </w:rPr>
              <w:t>Rechtliche und regulatorische Risiken: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Suisse's exposure to legal liability is significant.</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ist erheblichen rechtlichen Haftungs</w:t>
            </w:r>
            <w:r w:rsidRPr="0094066C">
              <w:rPr>
                <w:lang w:val="de-DE"/>
              </w:rPr>
              <w:softHyphen/>
              <w:t>risiken ausgesetzt.</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Regulatory changes may adversely affect Credit Suisse's business and ability to execute its strategic plans.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Regulatorische Änderungen könnten die Geschäftstätigkeit der Credit Suisse und ihre Fähigkeit zur Umsetzung strategischer Vorhaben beeinträchtigen.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t xml:space="preserve">Swiss resolution proceedings may affect CSG's </w:t>
            </w:r>
            <w:r w:rsidRPr="00731743">
              <w:t xml:space="preserve">and Credit Suisse’s </w:t>
            </w:r>
            <w:r>
              <w:t>shareholders and creditors.</w:t>
            </w:r>
          </w:p>
        </w:tc>
        <w:tc>
          <w:tcPr>
            <w:tcW w:w="2507" w:type="pct"/>
            <w:gridSpan w:val="2"/>
            <w:tcBorders>
              <w:left w:val="single" w:sz="4" w:space="0" w:color="auto"/>
            </w:tcBorders>
          </w:tcPr>
          <w:p w:rsidR="00815842" w:rsidRPr="00462733" w:rsidP="00815842">
            <w:pPr>
              <w:pStyle w:val="CSBullet63"/>
              <w:numPr>
                <w:ilvl w:val="0"/>
                <w:numId w:val="18"/>
              </w:numPr>
              <w:suppressAutoHyphens/>
              <w:ind w:left="714" w:hanging="357"/>
              <w:rPr>
                <w:lang w:val="de-DE"/>
              </w:rPr>
            </w:pPr>
            <w:r w:rsidRPr="00E02607">
              <w:rPr>
                <w:lang w:val="de-DE"/>
              </w:rPr>
              <w:t xml:space="preserve">Schweizer Sanierungs- und Abwicklungsverfahren können </w:t>
            </w:r>
            <w:r>
              <w:rPr>
                <w:lang w:val="de-DE"/>
              </w:rPr>
              <w:t xml:space="preserve">Auswirkungen auf </w:t>
            </w:r>
            <w:r w:rsidRPr="00E02607">
              <w:rPr>
                <w:lang w:val="de-DE"/>
              </w:rPr>
              <w:t xml:space="preserve">die Aktionäre und Gläubiger der CSG </w:t>
            </w:r>
            <w:r>
              <w:rPr>
                <w:lang w:val="de-DE"/>
              </w:rPr>
              <w:t>und der Credit Suisse haben.</w:t>
            </w:r>
          </w:p>
        </w:tc>
      </w:tr>
      <w:tr w:rsidTr="004C1EBA">
        <w:tblPrEx>
          <w:tblW w:w="5011" w:type="pct"/>
          <w:tblInd w:w="-1" w:type="dxa"/>
          <w:tblLayout w:type="fixed"/>
          <w:tblLook w:val="00A0"/>
        </w:tblPrEx>
        <w:tc>
          <w:tcPr>
            <w:tcW w:w="2493" w:type="pct"/>
            <w:tcBorders>
              <w:right w:val="single" w:sz="4" w:space="0" w:color="auto"/>
            </w:tcBorders>
          </w:tcPr>
          <w:p w:rsidR="00815842" w:rsidRPr="0094066C" w:rsidP="00815842">
            <w:pPr>
              <w:pStyle w:val="CSBullet63"/>
              <w:numPr>
                <w:ilvl w:val="0"/>
                <w:numId w:val="18"/>
              </w:numPr>
              <w:suppressAutoHyphens/>
              <w:ind w:left="714" w:hanging="357"/>
            </w:pPr>
            <w:r w:rsidRPr="0094066C">
              <w:t>Changes in monetary policy are beyond Credit Suisse's control and difficult to predict.</w:t>
            </w:r>
          </w:p>
        </w:tc>
        <w:tc>
          <w:tcPr>
            <w:tcW w:w="2507" w:type="pct"/>
            <w:gridSpan w:val="2"/>
            <w:tcBorders>
              <w:left w:val="single" w:sz="4" w:space="0" w:color="auto"/>
            </w:tcBorders>
          </w:tcPr>
          <w:p w:rsidR="00815842" w:rsidRPr="0094066C" w:rsidP="00815842">
            <w:pPr>
              <w:pStyle w:val="CSBullet63"/>
              <w:numPr>
                <w:ilvl w:val="0"/>
                <w:numId w:val="18"/>
              </w:numPr>
              <w:suppressAutoHyphens/>
              <w:ind w:left="714" w:hanging="357"/>
              <w:rPr>
                <w:lang w:val="de-DE"/>
              </w:rPr>
            </w:pPr>
            <w:r w:rsidRPr="0094066C">
              <w:rPr>
                <w:lang w:val="de-DE"/>
              </w:rPr>
              <w:t>Geldpolitische Änderungen entziehen sich der Kontrolle der Credit Suisse und lassen sich kaum voraussagen.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Legal restrictions on its clients may reduce the demand for Credit Suisse's services.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Rechtliche Einschränkungen bei ihren Kunden könnten die Nachfrage nach Dienstleistungen der Credit Suisse reduzieren.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4C1EBA">
            <w:pPr>
              <w:pStyle w:val="CSBody0"/>
            </w:pPr>
            <w:r w:rsidRPr="0094066C">
              <w:t>Competition risk:</w:t>
            </w:r>
          </w:p>
        </w:tc>
        <w:tc>
          <w:tcPr>
            <w:tcW w:w="2507" w:type="pct"/>
            <w:gridSpan w:val="2"/>
            <w:tcBorders>
              <w:left w:val="single" w:sz="4" w:space="0" w:color="auto"/>
            </w:tcBorders>
          </w:tcPr>
          <w:p w:rsidR="00815842" w:rsidRPr="00554B67" w:rsidP="004C1EBA">
            <w:pPr>
              <w:pStyle w:val="CSBody0"/>
            </w:pPr>
            <w:r w:rsidRPr="0094066C">
              <w:rPr>
                <w:iCs/>
                <w:lang w:val="de-DE"/>
              </w:rPr>
              <w:t>Wettbewerbsrisiko:</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faces intense competition in all financial services markets and for the products and services it offers.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ist in allen Finanzdienstleistungsmärkten mit den von ihr angebotenen Produkten und Dienstleistungen einem starken Wettbewerb ausgesetzt.</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Suisse's competitive position could be harmed if its reputation is damaged.</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Wettbewerbsfähigkeit der Credit Suisse könnte durch eine Rufschädigung beeinträchtigt werden.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must recruit and retain highly skilled employees.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muss gut ausgebildete Mitarbeitende rekrutieren und binden.</w:t>
            </w:r>
          </w:p>
        </w:tc>
      </w:tr>
      <w:tr w:rsidTr="004C1EBA">
        <w:tblPrEx>
          <w:tblW w:w="5011" w:type="pct"/>
          <w:tblInd w:w="-1" w:type="dxa"/>
          <w:tblLayout w:type="fixed"/>
          <w:tblLook w:val="00A0"/>
        </w:tblPrEx>
        <w:tc>
          <w:tcPr>
            <w:tcW w:w="2493" w:type="pct"/>
            <w:tcBorders>
              <w:right w:val="single" w:sz="4" w:space="0" w:color="auto"/>
            </w:tcBorders>
          </w:tcPr>
          <w:p w:rsidR="00815842" w:rsidRPr="00554B67" w:rsidP="00815842">
            <w:pPr>
              <w:pStyle w:val="CSBullet63"/>
              <w:numPr>
                <w:ilvl w:val="0"/>
                <w:numId w:val="18"/>
              </w:numPr>
              <w:suppressAutoHyphens/>
              <w:ind w:left="714" w:hanging="357"/>
            </w:pPr>
            <w:r w:rsidRPr="0094066C">
              <w:t>Credit Suisse faces competition from new trading technologies.</w:t>
            </w:r>
          </w:p>
        </w:tc>
        <w:tc>
          <w:tcPr>
            <w:tcW w:w="2507" w:type="pct"/>
            <w:gridSpan w:val="2"/>
            <w:tcBorders>
              <w:left w:val="single" w:sz="4" w:space="0" w:color="auto"/>
            </w:tcBorders>
          </w:tcPr>
          <w:p w:rsidR="00815842" w:rsidRPr="00554B67" w:rsidP="00815842">
            <w:pPr>
              <w:pStyle w:val="CSBullet63"/>
              <w:numPr>
                <w:ilvl w:val="0"/>
                <w:numId w:val="18"/>
              </w:numPr>
              <w:suppressAutoHyphens/>
              <w:ind w:left="714" w:hanging="357"/>
              <w:rPr>
                <w:lang w:val="de-DE"/>
              </w:rPr>
            </w:pPr>
            <w:r w:rsidRPr="0094066C">
              <w:rPr>
                <w:lang w:val="de-DE"/>
              </w:rPr>
              <w:t>Die Credit Suisse ist mit Konkurrenz durch neue Handelstechnologien konfrontiert.</w:t>
            </w:r>
          </w:p>
        </w:tc>
      </w:tr>
      <w:tr w:rsidTr="004C1EBA">
        <w:tblPrEx>
          <w:tblW w:w="5011" w:type="pct"/>
          <w:tblInd w:w="-1" w:type="dxa"/>
          <w:tblLayout w:type="fixed"/>
          <w:tblLook w:val="00A0"/>
        </w:tblPrEx>
        <w:tc>
          <w:tcPr>
            <w:tcW w:w="2493" w:type="pct"/>
            <w:tcBorders>
              <w:right w:val="single" w:sz="4" w:space="0" w:color="auto"/>
            </w:tcBorders>
          </w:tcPr>
          <w:p w:rsidR="00815842" w:rsidRPr="008757CF" w:rsidP="004C1EBA">
            <w:pPr>
              <w:pStyle w:val="CSBody0"/>
              <w:keepNext/>
            </w:pPr>
            <w:r w:rsidRPr="008757CF">
              <w:t>Risks relating to Credit Suisse's strategy:</w:t>
            </w:r>
          </w:p>
        </w:tc>
        <w:tc>
          <w:tcPr>
            <w:tcW w:w="2507" w:type="pct"/>
            <w:gridSpan w:val="2"/>
            <w:tcBorders>
              <w:left w:val="single" w:sz="4" w:space="0" w:color="auto"/>
            </w:tcBorders>
          </w:tcPr>
          <w:p w:rsidR="00815842" w:rsidRPr="008757CF" w:rsidP="004C1EBA">
            <w:pPr>
              <w:pStyle w:val="CSBody0"/>
              <w:keepNext/>
              <w:rPr>
                <w:iCs/>
                <w:lang w:val="de-DE"/>
              </w:rPr>
            </w:pPr>
            <w:r w:rsidRPr="008757CF">
              <w:rPr>
                <w:lang w:val="de-DE"/>
              </w:rPr>
              <w:t>Risiken in Bezug auf die Strategie der Credit Suisse:</w:t>
            </w:r>
          </w:p>
        </w:tc>
      </w:tr>
      <w:tr w:rsidTr="004C1EBA">
        <w:tblPrEx>
          <w:tblW w:w="5011" w:type="pct"/>
          <w:tblInd w:w="-1" w:type="dxa"/>
          <w:tblLayout w:type="fixed"/>
          <w:tblLook w:val="00A0"/>
        </w:tblPrEx>
        <w:tc>
          <w:tcPr>
            <w:tcW w:w="2493" w:type="pct"/>
            <w:tcBorders>
              <w:right w:val="single" w:sz="4" w:space="0" w:color="auto"/>
            </w:tcBorders>
          </w:tcPr>
          <w:p w:rsidR="00815842" w:rsidRPr="008757CF" w:rsidP="00815842">
            <w:pPr>
              <w:pStyle w:val="CSBullet63"/>
              <w:numPr>
                <w:ilvl w:val="0"/>
                <w:numId w:val="18"/>
              </w:numPr>
              <w:suppressAutoHyphens/>
              <w:ind w:left="714" w:hanging="357"/>
            </w:pPr>
            <w:r w:rsidRPr="008757CF">
              <w:t>Credit Suisse may not achieve all of the expected benefits of its strategic initiatives.</w:t>
            </w:r>
          </w:p>
        </w:tc>
        <w:tc>
          <w:tcPr>
            <w:tcW w:w="2507" w:type="pct"/>
            <w:gridSpan w:val="2"/>
            <w:tcBorders>
              <w:left w:val="single" w:sz="4" w:space="0" w:color="auto"/>
            </w:tcBorders>
          </w:tcPr>
          <w:p w:rsidR="00815842" w:rsidRPr="008757CF" w:rsidP="00815842">
            <w:pPr>
              <w:pStyle w:val="CSBullet63"/>
              <w:numPr>
                <w:ilvl w:val="0"/>
                <w:numId w:val="18"/>
              </w:numPr>
              <w:suppressAutoHyphens/>
              <w:ind w:left="714" w:hanging="357"/>
              <w:rPr>
                <w:lang w:val="de-DE"/>
              </w:rPr>
            </w:pPr>
            <w:r w:rsidRPr="008757CF">
              <w:rPr>
                <w:iCs/>
                <w:lang w:val="de-DE"/>
              </w:rPr>
              <w:t>Die Credit Suisse kann möglicherweise die erwarteten Vorteile aus ihren strategischen Initiativen nicht vollumfänglich nutzen.</w:t>
            </w:r>
          </w:p>
        </w:tc>
      </w:tr>
      <w:tr w:rsidTr="004C1EBA">
        <w:tblPrEx>
          <w:tblW w:w="5011" w:type="pct"/>
          <w:tblInd w:w="-1" w:type="dxa"/>
          <w:tblLayout w:type="fixed"/>
          <w:tblLook w:val="00A0"/>
        </w:tblPrEx>
        <w:tc>
          <w:tcPr>
            <w:tcW w:w="2493" w:type="pct"/>
            <w:tcBorders>
              <w:right w:val="single" w:sz="4" w:space="0" w:color="auto"/>
            </w:tcBorders>
          </w:tcPr>
          <w:p w:rsidR="00815842" w:rsidRPr="008757CF" w:rsidP="00815842">
            <w:pPr>
              <w:pStyle w:val="CSBullet63"/>
              <w:numPr>
                <w:ilvl w:val="0"/>
                <w:numId w:val="18"/>
              </w:numPr>
              <w:suppressAutoHyphens/>
              <w:ind w:left="714" w:hanging="357"/>
            </w:pPr>
            <w:r w:rsidRPr="008757CF">
              <w:t>CSG has announced a plan to evolve its legal entity structure and cannot predict its final form or potential effects.</w:t>
            </w:r>
          </w:p>
        </w:tc>
        <w:tc>
          <w:tcPr>
            <w:tcW w:w="2507" w:type="pct"/>
            <w:gridSpan w:val="2"/>
            <w:tcBorders>
              <w:left w:val="single" w:sz="4" w:space="0" w:color="auto"/>
            </w:tcBorders>
          </w:tcPr>
          <w:p w:rsidR="00815842" w:rsidRPr="008757CF" w:rsidP="00815842">
            <w:pPr>
              <w:pStyle w:val="CSBullet63"/>
              <w:numPr>
                <w:ilvl w:val="0"/>
                <w:numId w:val="18"/>
              </w:numPr>
              <w:suppressAutoHyphens/>
              <w:ind w:left="714" w:hanging="357"/>
              <w:rPr>
                <w:lang w:val="de-DE"/>
              </w:rPr>
            </w:pPr>
            <w:r w:rsidRPr="008757CF">
              <w:rPr>
                <w:lang w:val="de-DE"/>
              </w:rPr>
              <w:t>Die CSG hat ein Programm zur Entwicklung ihrer Rechtsstruktur bekannt gegeben und kann deren endgütlige Ausgestaltung oder potenziellen Auswirkungen nicht abschätzen</w:t>
            </w:r>
          </w:p>
        </w:tc>
      </w:tr>
    </w:tbl>
    <w:tbl>
      <w:tblPr>
        <w:tblStyle w:val="TableGrid"/>
        <w:tblW w:w="5000" w:type="pct"/>
        <w:tblLayout w:type="fixed"/>
        <w:tblLook w:val="04A0"/>
      </w:tblPr>
      <w:tblGrid>
        <w:gridCol w:w="4896"/>
        <w:gridCol w:w="4959"/>
      </w:tblGrid>
      <w:tr w:rsidTr="001527CB">
        <w:tblPrEx>
          <w:tblW w:w="5000" w:type="pct"/>
          <w:tblLayout w:type="fixed"/>
          <w:tblLook w:val="04A0"/>
        </w:tblPrEx>
        <w:tc>
          <w:tcPr>
            <w:tcW w:w="2484" w:type="pct"/>
            <w:tcBorders>
              <w:top w:val="nil"/>
              <w:left w:val="nil"/>
              <w:bottom w:val="nil"/>
              <w:right w:val="single" w:sz="4" w:space="0" w:color="auto"/>
            </w:tcBorders>
          </w:tcPr>
          <w:p w:rsidR="00587F86" w:rsidRPr="00587F86" w:rsidP="00587F86">
            <w:pPr>
              <w:pStyle w:val="CSbody0bold"/>
              <w:rPr>
                <w:lang w:val="en-GB"/>
              </w:rPr>
            </w:pPr>
            <w:r w:rsidRPr="00587F86">
              <w:rPr>
                <w:lang w:val="en-GB"/>
              </w:rPr>
              <w:t>D.</w:t>
            </w:r>
            <w:r w:rsidRPr="00F94B27" w:rsidR="00F94B27">
              <w:rPr>
                <w:lang w:val="en-GB"/>
              </w:rPr>
              <w:t>[</w:t>
            </w:r>
            <w:r w:rsidRPr="00587F86">
              <w:rPr>
                <w:lang w:val="en-GB"/>
              </w:rPr>
              <w:t>3</w:t>
            </w:r>
            <w:r w:rsidRPr="00F94B27" w:rsidR="00F94B27">
              <w:rPr>
                <w:lang w:val="en-GB"/>
              </w:rPr>
              <w:t>]</w:t>
            </w:r>
            <w:r>
              <w:rPr>
                <w:rStyle w:val="FootnoteReference"/>
              </w:rPr>
              <w:footnoteReference w:id="22"/>
            </w:r>
            <w:r w:rsidRPr="00F94B27" w:rsidR="00F94B27">
              <w:rPr>
                <w:lang w:val="en-GB"/>
              </w:rPr>
              <w:t>[</w:t>
            </w:r>
            <w:r w:rsidRPr="00587F86">
              <w:rPr>
                <w:lang w:val="en-GB"/>
              </w:rPr>
              <w:t>6</w:t>
            </w:r>
            <w:r w:rsidRPr="00F94B27" w:rsidR="00F94B27">
              <w:rPr>
                <w:lang w:val="en-GB"/>
              </w:rPr>
              <w:t>]</w:t>
            </w:r>
            <w:r>
              <w:rPr>
                <w:rStyle w:val="FootnoteReference"/>
                <w:lang w:val="en-GB"/>
              </w:rPr>
              <w:footnoteReference w:id="23"/>
            </w:r>
            <w:r w:rsidRPr="00587F86">
              <w:rPr>
                <w:lang w:val="en-GB"/>
              </w:rPr>
              <w:t>: Important risks relating to the Complex Products</w:t>
            </w:r>
          </w:p>
        </w:tc>
        <w:tc>
          <w:tcPr>
            <w:tcW w:w="2516" w:type="pct"/>
            <w:tcBorders>
              <w:top w:val="nil"/>
              <w:left w:val="single" w:sz="4" w:space="0" w:color="auto"/>
              <w:bottom w:val="nil"/>
              <w:right w:val="nil"/>
            </w:tcBorders>
          </w:tcPr>
          <w:p w:rsidR="00587F86" w:rsidRPr="00587F86" w:rsidP="00587F86">
            <w:pPr>
              <w:pStyle w:val="CSbody0bold"/>
            </w:pPr>
            <w:r w:rsidRPr="00587F86">
              <w:t>D.</w:t>
            </w:r>
            <w:r w:rsidRPr="00F94B27" w:rsidR="00F94B27">
              <w:t>[</w:t>
            </w:r>
            <w:r w:rsidRPr="00587F86">
              <w:t>3</w:t>
            </w:r>
            <w:r w:rsidRPr="00F94B27" w:rsidR="00F94B27">
              <w:t>]</w:t>
            </w:r>
            <w:r>
              <w:rPr>
                <w:rStyle w:val="FootnoteReference"/>
              </w:rPr>
              <w:footnoteReference w:id="24"/>
            </w:r>
            <w:r w:rsidRPr="00F94B27" w:rsidR="00F94B27">
              <w:t>[</w:t>
            </w:r>
            <w:r w:rsidRPr="00587F86">
              <w:t>6</w:t>
            </w:r>
            <w:r w:rsidRPr="00F94B27" w:rsidR="00F94B27">
              <w:t>]</w:t>
            </w:r>
            <w:r>
              <w:rPr>
                <w:rStyle w:val="FootnoteReference"/>
              </w:rPr>
              <w:footnoteReference w:id="25"/>
            </w:r>
            <w:r w:rsidRPr="00587F86">
              <w:t>: Zentrale Risiken in Bezug auf die Komplexen Produkte</w:t>
            </w:r>
          </w:p>
        </w:tc>
      </w:tr>
      <w:tr w:rsidTr="001527CB">
        <w:tblPrEx>
          <w:tblW w:w="5000" w:type="pct"/>
          <w:tblLayout w:type="fixed"/>
          <w:tblLook w:val="04A0"/>
        </w:tblPrEx>
        <w:tc>
          <w:tcPr>
            <w:tcW w:w="2484" w:type="pct"/>
            <w:tcBorders>
              <w:top w:val="nil"/>
              <w:left w:val="nil"/>
              <w:bottom w:val="nil"/>
              <w:right w:val="single" w:sz="4" w:space="0" w:color="auto"/>
            </w:tcBorders>
          </w:tcPr>
          <w:p w:rsidR="00587F86" w:rsidRPr="00405F43" w:rsidP="00587F86">
            <w:pPr>
              <w:pStyle w:val="CSBody0"/>
            </w:pPr>
            <w:r w:rsidRPr="00587F86">
              <w:rPr>
                <w:b/>
              </w:rPr>
              <w:t>Complex Products involve substantial risks and potential investors must have the knowledge and experience necessary to enable them to evaluate the risks and merits of an investment in Complex Products.</w:t>
            </w:r>
            <w:r w:rsidRPr="00405F43">
              <w:t xml:space="preserve"> Complex Products involve substantial risks and are suitable only for investors who have the knowledge and experience in financial and business matters necessary to enable them to evaluate the risks and merits of an investment in Complex Products. Prospective investors should ensure that they understand the nature of the risks posed by, and the extent of their exposure under, the relevant Complex Products. Prospective investors should make all pertinent inquiries they deem necessary without relying on the Issuer or any of its affiliates or officers or employees. Prospective investors should consider the suitability and appropriateness of the relevant Complex Products as an investment in light of their own circumstances, investment objectives, tax position and financial condition. Prospective investors should consider carefully all the information set forth in this Document (including any documents incorporated by reference herein). Prospective investors in Complex Products should consult their own legal, tax, accounting, financial and other professional advisors to assist them in determining the suitability of Complex Products for them as an investment.</w:t>
            </w:r>
          </w:p>
        </w:tc>
        <w:tc>
          <w:tcPr>
            <w:tcW w:w="2516" w:type="pct"/>
            <w:tcBorders>
              <w:top w:val="nil"/>
              <w:left w:val="single" w:sz="4" w:space="0" w:color="auto"/>
              <w:bottom w:val="nil"/>
              <w:right w:val="nil"/>
            </w:tcBorders>
          </w:tcPr>
          <w:p w:rsidR="00587F86" w:rsidRPr="00587F86" w:rsidP="00587F86">
            <w:pPr>
              <w:pStyle w:val="CSBody0"/>
              <w:rPr>
                <w:lang w:val="de-DE"/>
              </w:rPr>
            </w:pPr>
            <w:r w:rsidRPr="00587F86">
              <w:rPr>
                <w:b/>
                <w:lang w:val="de-DE"/>
              </w:rPr>
              <w:t>Die Komplexen Produkte sind mit erheblichen Risiken verbunden, und potenzielle Anleger müssen über die notwendigen Kenntnisse und Erfahrungen verfügen, um die Chancen und Risiken einer Anlage in Komplexe Produkte bewerten zu können.</w:t>
            </w:r>
            <w:r w:rsidRPr="00587F86">
              <w:rPr>
                <w:lang w:val="de-DE"/>
              </w:rPr>
              <w:t xml:space="preserve"> Komplexe Produkte sind mit erheblichen Risiken verbunden und nur für Anleger geeignet, die über die notwendigen Kenntnisse und Erfahrungen in Finanz- und Geschäftsangelegenheiten verfügen, um die Chancen und Risiken einer Anlage in Komplexe Produkte bewerten zu können. Potenzielle Anleger sollten sicherstellen, dass sie die Art der mit den jeweiligen Komplexen Produkten verbundenen Risiken sowie das Ausmass, in welchem sie diesen Risiken ausgesetzt sind, richtig beurteilen können. Sie sollten alle ihnen erforderlich erscheinenden Erkundigungen einziehen und sich dabei nicht auf Auskünfte der Emittentin oder deren verbundener Unternehmen, Führungskräfte oder Mitarbeiter verlassen. Sie sollten die Eignung und Angemessenheit der jeweiligen Komplexen Produkte als Anlageform vor dem Hintergrund ihrer persönlichen Verhältnisse, ihrer Anlageziele, ihrer steuerlichen Situation und ihrer Finanzlage prüfen. Sie sollten alle in diesem Dokument (und allen gegebenenfalls durch Verweis einbezogenen Dokumenten) enthaltenen Angaben sorgfältig prüfen. Potenzielle Anleger in Komplexe Produkte sollten ihre persönlichen Rechts-, Steuer- und Finanzberater, Wirtschaftsprüfer und sonstigen kompetenten Berater konsultieren und mit ihrer Hilfe prüfen, ob die Komplexen Produkte für sie eine geeignete Anlageform darstellen.</w:t>
            </w:r>
          </w:p>
        </w:tc>
      </w:tr>
      <w:tr w:rsidTr="001527CB">
        <w:tblPrEx>
          <w:tblW w:w="5000" w:type="pct"/>
          <w:tblLayout w:type="fixed"/>
          <w:tblLook w:val="04A0"/>
        </w:tblPrEx>
        <w:tc>
          <w:tcPr>
            <w:tcW w:w="2484" w:type="pct"/>
            <w:tcBorders>
              <w:top w:val="nil"/>
              <w:left w:val="nil"/>
              <w:bottom w:val="nil"/>
              <w:right w:val="single" w:sz="4" w:space="0" w:color="auto"/>
            </w:tcBorders>
          </w:tcPr>
          <w:p w:rsidR="00587F86" w:rsidRPr="00960E67" w:rsidP="00587F86">
            <w:pPr>
              <w:pStyle w:val="CSbody0bolditalic"/>
              <w:rPr>
                <w:lang w:val="en-GB"/>
              </w:rPr>
            </w:pPr>
            <w:r w:rsidRPr="00F94B27">
              <w:rPr>
                <w:lang w:val="en-GB"/>
              </w:rPr>
              <w:t>[</w:t>
            </w:r>
            <w:r w:rsidRPr="00960E67">
              <w:rPr>
                <w:lang w:val="en-GB"/>
              </w:rPr>
              <w:t>in case of Credit-Linked Complex Products with auctions settlement:</w:t>
            </w:r>
          </w:p>
        </w:tc>
        <w:tc>
          <w:tcPr>
            <w:tcW w:w="2516" w:type="pct"/>
            <w:tcBorders>
              <w:top w:val="nil"/>
              <w:left w:val="single" w:sz="4" w:space="0" w:color="auto"/>
              <w:bottom w:val="nil"/>
              <w:right w:val="nil"/>
            </w:tcBorders>
          </w:tcPr>
          <w:p w:rsidR="00587F86" w:rsidRPr="00587F86" w:rsidP="00587F86">
            <w:pPr>
              <w:pStyle w:val="CSbody0bolditalic"/>
            </w:pPr>
            <w:r w:rsidRPr="00F94B27">
              <w:t>[</w:t>
            </w:r>
            <w:r w:rsidRPr="00587F86">
              <w:t>bei Kreditbezogenen Komplexen Produkten mit Auktionsabwicklung:</w:t>
            </w:r>
          </w:p>
        </w:tc>
      </w:tr>
      <w:tr w:rsidTr="001527CB">
        <w:tblPrEx>
          <w:tblW w:w="5000" w:type="pct"/>
          <w:tblLayout w:type="fixed"/>
          <w:tblLook w:val="04A0"/>
        </w:tblPrEx>
        <w:tc>
          <w:tcPr>
            <w:tcW w:w="2484" w:type="pct"/>
            <w:tcBorders>
              <w:top w:val="nil"/>
              <w:left w:val="nil"/>
              <w:bottom w:val="nil"/>
              <w:right w:val="single" w:sz="4" w:space="0" w:color="auto"/>
            </w:tcBorders>
          </w:tcPr>
          <w:p w:rsidR="00587F86" w:rsidRPr="00960E67" w:rsidP="00587F86">
            <w:pPr>
              <w:pStyle w:val="CSbody0bold"/>
              <w:rPr>
                <w:lang w:val="en-GB"/>
              </w:rPr>
            </w:pPr>
            <w:r w:rsidRPr="00960E67">
              <w:rPr>
                <w:lang w:val="en-GB"/>
              </w:rPr>
              <w:t>Credit-Linked Complex Products with auction settlement are linked to the creditworthiness of one or more Reference Entities</w:t>
            </w:r>
          </w:p>
        </w:tc>
        <w:tc>
          <w:tcPr>
            <w:tcW w:w="2516" w:type="pct"/>
            <w:tcBorders>
              <w:top w:val="nil"/>
              <w:left w:val="single" w:sz="4" w:space="0" w:color="auto"/>
              <w:bottom w:val="nil"/>
              <w:right w:val="nil"/>
            </w:tcBorders>
          </w:tcPr>
          <w:p w:rsidR="00587F86" w:rsidRPr="00587F86" w:rsidP="00587F86">
            <w:pPr>
              <w:pStyle w:val="CSbody0bold"/>
            </w:pPr>
            <w:r w:rsidRPr="00587F86">
              <w:t>Kreditbezogene Komplexe Produkte mit Auktionsabwicklung sind an die Bonität eines Referenzschuldners bzw. mehrerer Referenzschuldner gebunden</w:t>
            </w:r>
          </w:p>
        </w:tc>
      </w:tr>
      <w:tr w:rsidTr="001527CB">
        <w:tblPrEx>
          <w:tblW w:w="5000" w:type="pct"/>
          <w:tblLayout w:type="fixed"/>
          <w:tblLook w:val="04A0"/>
        </w:tblPrEx>
        <w:tc>
          <w:tcPr>
            <w:tcW w:w="2484" w:type="pct"/>
            <w:tcBorders>
              <w:top w:val="nil"/>
              <w:left w:val="nil"/>
              <w:bottom w:val="nil"/>
              <w:right w:val="single" w:sz="4" w:space="0" w:color="auto"/>
            </w:tcBorders>
          </w:tcPr>
          <w:p w:rsidR="00587F86" w:rsidRPr="00405F43" w:rsidP="00587F86">
            <w:pPr>
              <w:pStyle w:val="CSBody0"/>
            </w:pPr>
            <w:r w:rsidRPr="00405F43">
              <w:t>The payment of interest on, and the redemption of, Credit-Linked Complex Products with auction settlement are dependent upon whether certain events (</w:t>
            </w:r>
            <w:r w:rsidRPr="007E3558" w:rsidR="007E3558">
              <w:rPr>
                <w:i/>
              </w:rPr>
              <w:t>i.e.</w:t>
            </w:r>
            <w:r w:rsidRPr="00405F43">
              <w:t xml:space="preserve">, "Credit Events") have occurred with respect to one or more Reference Entities and, if so, on the value of certain specified obligations of such Reference Entity/Entities. Investors in such Complex Products should be aware that, depending on the applicable Terms and Conditions, (i) they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investors may thus lose all or a substantial portion of their investment. As Credit-Linked Complex Products with auction settlement are </w:t>
            </w:r>
            <w:r w:rsidRPr="00587F86">
              <w:rPr>
                <w:b/>
              </w:rPr>
              <w:t>not capital protected</w:t>
            </w:r>
            <w:r w:rsidRPr="00405F43">
              <w:t xml:space="preserve"> it is not possible to predict the return of such a Complex Product at the time of issuance.</w:t>
            </w:r>
          </w:p>
        </w:tc>
        <w:tc>
          <w:tcPr>
            <w:tcW w:w="2516" w:type="pct"/>
            <w:tcBorders>
              <w:top w:val="nil"/>
              <w:left w:val="single" w:sz="4" w:space="0" w:color="auto"/>
              <w:bottom w:val="nil"/>
              <w:right w:val="nil"/>
            </w:tcBorders>
          </w:tcPr>
          <w:p w:rsidR="00587F86" w:rsidRPr="00587F86" w:rsidP="00587F86">
            <w:pPr>
              <w:pStyle w:val="CSBody0"/>
              <w:rPr>
                <w:lang w:val="de-DE"/>
              </w:rPr>
            </w:pPr>
            <w:r w:rsidRPr="00587F86">
              <w:rPr>
                <w:lang w:val="de-DE"/>
              </w:rPr>
              <w:t xml:space="preserve">Die Zahlung von Zinsen auf Kreditbezogene Komplexe Produkte mit Auktionsabwicklung sowie die Rückzahlung dieser Komplexen Produkte hängen davon ab, ob bestimmte Ereignisse (sog. "Kreditereignisse") in Bezug auf einen oder mehrere Referenzschuldner eingetreten sind und, soweit dies der Fall ist, vom Wert bestimmter festgelegter Verbindlichkeiten dieses Referenzschuldners bzw. dieser Referenzschuldner. Anleger in diese Komplexen Produkte sollten sich bewusst sein, dass, jeweils abhängig von den anwendbaren Emissionsbedingungen, (i) sie unter Umständen nur der Höhe nach begrenzte oder gar keine Zinszahlungen auf diese Komplexen Produkte erhalten, (ii) die Zahlung des Rückzahlungsbetrags oder der Zinsen zu einem anderen Termin als erwartet erfolgen kann und (iii) der Rückzahlungsbetrag erheblich unter dem anfänglichen Nennbetrag der Komplexen Produkte liegen kann und Investoren daher einen Totalverlust ihres eingesetzten Kapitals erleiden können oder einen erheblichen Teil dieses Kapitals verlieren können. Da Kreditbezogene Komplexe Produkte mit Auktionsabwicklung </w:t>
            </w:r>
            <w:r w:rsidRPr="00587F86">
              <w:rPr>
                <w:b/>
                <w:lang w:val="de-DE"/>
              </w:rPr>
              <w:t>nicht kapitalgeschützt</w:t>
            </w:r>
            <w:r w:rsidRPr="00587F86">
              <w:rPr>
                <w:lang w:val="de-DE"/>
              </w:rPr>
              <w:t xml:space="preserve"> sind, ist es nicht möglich, die Erträge eines solchen Komplexen Produkts zum Zeitpunkt seiner Ausgabe vorherzusagen.</w:t>
            </w:r>
          </w:p>
        </w:tc>
      </w:tr>
      <w:tr w:rsidTr="001527CB">
        <w:tblPrEx>
          <w:tblW w:w="5000" w:type="pct"/>
          <w:tblLayout w:type="fixed"/>
          <w:tblLook w:val="04A0"/>
        </w:tblPrEx>
        <w:tc>
          <w:tcPr>
            <w:tcW w:w="2484" w:type="pct"/>
            <w:tcBorders>
              <w:top w:val="nil"/>
              <w:left w:val="nil"/>
              <w:bottom w:val="nil"/>
              <w:right w:val="single" w:sz="4" w:space="0" w:color="auto"/>
            </w:tcBorders>
          </w:tcPr>
          <w:p w:rsidR="00587F86" w:rsidRPr="00F54F08" w:rsidP="00587F86">
            <w:pPr>
              <w:pStyle w:val="CSBody0"/>
            </w:pPr>
            <w:r w:rsidRPr="00F54F08">
              <w:t>The likelihood of the occurrence of a Credit Event Determination Date with respect to a Reference Entity will generally fluctuate with, among other things, the financial condition and other characteristics of such Reference Entity, general economic conditions, the condition of certain financial markets, political events, developments or trends in any particular industry and changes in prevailing interest rates. Potential investors should perform a thorough review of the Reference Entity/Entities with respect to and conduct their own investigation and analysis with respect to the creditworthiness of, and the likelihood of the occurrence of a Credit Event Determination Date with respect to, such Reference Entity/Entities. Actions of the Reference Entity/Entities (for example, merger or demerger or the repayment or transfer of indebtedness) may adversely affect the value of Credit-Linked Complex Products with auction settlement. Potential investors in such Complex Products should be aware that the Reference Entity/Entities to which such Complex Products are linked, and the terms of such linkage, may change over the term of such Complex Products.</w:t>
            </w:r>
          </w:p>
        </w:tc>
        <w:tc>
          <w:tcPr>
            <w:tcW w:w="2516" w:type="pct"/>
            <w:tcBorders>
              <w:top w:val="nil"/>
              <w:left w:val="single" w:sz="4" w:space="0" w:color="auto"/>
              <w:bottom w:val="nil"/>
              <w:right w:val="nil"/>
            </w:tcBorders>
          </w:tcPr>
          <w:p w:rsidR="00587F86" w:rsidRPr="00587F86" w:rsidP="00587F86">
            <w:pPr>
              <w:pStyle w:val="CSBody0"/>
              <w:rPr>
                <w:lang w:val="de-DE"/>
              </w:rPr>
            </w:pPr>
            <w:r w:rsidRPr="00587F86">
              <w:rPr>
                <w:lang w:val="de-DE"/>
              </w:rPr>
              <w:t>Die Wahrscheinlichkeit, dass in Bezug auf einen Referenzschuldner ein Kreditereignis-Feststellungstag eintritt, variiert in der Regel aufgrund der Finanzlage und anderer Kenndaten des betreffenden Referenzschuldners, der allgemeinen Konjunktur, der Lage an bestimmten Finanzmärkten sowie aufgrund von politischen Ereignissen, Entwicklungen oder Tendenzen in bestimmten Branchen, Änderungen der geltenden Zinssätze und weiteren Faktoren. Potenzielle Anleger sollten eine eingehende Prüfung des Referenzschuldners bzw. der Referenzschuldner vornehmen sowie eigene Nachforschungen und Analysen hinsichtlich der Bonität des Referenzschuldners bzw. der Referenzschuldner sowie der Wahrscheinlichkeit des Eintritts eines Kreditereignis-Feststellungstags in Bezug auf den bzw. die Referenzschuldner vornehmen. Massnahmen des Referenzschuldners bzw. der Referenzschuldner (wie beispielsweise ein Zusammenschluss oder eine Abspaltung oder die Rückzahlung oder Übertragung von Verbindlichkeiten) können sich nachteilig auf den Wert der Kreditbezogenen Komplexen Produkte mit Auktionsabwicklung auswirken. Potenzielle Anleger in diese Komplexen Produkte sollten sich darüber im Klaren sein, dass sich der/die Referenzschuldner, auf den/die diese Komplexen Produkte bezogen sind, und die Bedingungen dieser Beziehung während der Laufzeit dieser Komplexen Produkte ändern können.</w:t>
            </w:r>
          </w:p>
        </w:tc>
      </w:tr>
      <w:tr w:rsidTr="001527CB">
        <w:tblPrEx>
          <w:tblW w:w="5000" w:type="pct"/>
          <w:tblLayout w:type="fixed"/>
          <w:tblLook w:val="04A0"/>
        </w:tblPrEx>
        <w:tc>
          <w:tcPr>
            <w:tcW w:w="2484" w:type="pct"/>
            <w:tcBorders>
              <w:top w:val="nil"/>
              <w:left w:val="nil"/>
              <w:bottom w:val="nil"/>
              <w:right w:val="single" w:sz="4" w:space="0" w:color="auto"/>
            </w:tcBorders>
          </w:tcPr>
          <w:p w:rsidR="00587F86" w:rsidRPr="00960E67" w:rsidP="00587F86">
            <w:pPr>
              <w:pStyle w:val="CSbody0bold"/>
              <w:rPr>
                <w:lang w:val="en-GB"/>
              </w:rPr>
            </w:pPr>
            <w:r w:rsidRPr="00960E67">
              <w:rPr>
                <w:lang w:val="en-GB"/>
              </w:rPr>
              <w:t>Risk of a total or near total loss of the funds invested and a total loss of any interest payments</w:t>
            </w:r>
          </w:p>
        </w:tc>
        <w:tc>
          <w:tcPr>
            <w:tcW w:w="2516" w:type="pct"/>
            <w:tcBorders>
              <w:top w:val="nil"/>
              <w:left w:val="single" w:sz="4" w:space="0" w:color="auto"/>
              <w:bottom w:val="nil"/>
              <w:right w:val="nil"/>
            </w:tcBorders>
          </w:tcPr>
          <w:p w:rsidR="00587F86" w:rsidRPr="00587F86" w:rsidP="00587F86">
            <w:pPr>
              <w:pStyle w:val="CSbody0bold"/>
            </w:pPr>
            <w:r w:rsidRPr="00587F86">
              <w:t>Risiko eines Totalverlusts oder nahezu vollständigen Verlusts der angelegten Gelder und eines Totalverlusts von Zinszahlungen</w:t>
            </w:r>
          </w:p>
        </w:tc>
      </w:tr>
      <w:tr w:rsidTr="001527CB">
        <w:tblPrEx>
          <w:tblW w:w="5000" w:type="pct"/>
          <w:tblLayout w:type="fixed"/>
          <w:tblLook w:val="04A0"/>
        </w:tblPrEx>
        <w:tc>
          <w:tcPr>
            <w:tcW w:w="2484" w:type="pct"/>
            <w:tcBorders>
              <w:top w:val="nil"/>
              <w:left w:val="nil"/>
              <w:bottom w:val="nil"/>
              <w:right w:val="single" w:sz="4" w:space="0" w:color="auto"/>
            </w:tcBorders>
          </w:tcPr>
          <w:p w:rsidR="00587F86" w:rsidRPr="00960E67" w:rsidP="00587F86">
            <w:pPr>
              <w:pStyle w:val="CSbody0bolditalic"/>
              <w:rPr>
                <w:lang w:val="en-GB"/>
              </w:rPr>
            </w:pPr>
            <w:r w:rsidRPr="00F94B27">
              <w:rPr>
                <w:lang w:val="en-GB"/>
              </w:rPr>
              <w:t>[</w:t>
            </w:r>
            <w:r w:rsidRPr="00960E67">
              <w:rPr>
                <w:lang w:val="en-GB"/>
              </w:rPr>
              <w:t>in case of Complex Products linked to a single Reference Entity:</w:t>
            </w:r>
          </w:p>
        </w:tc>
        <w:tc>
          <w:tcPr>
            <w:tcW w:w="2516" w:type="pct"/>
            <w:tcBorders>
              <w:top w:val="nil"/>
              <w:left w:val="single" w:sz="4" w:space="0" w:color="auto"/>
              <w:bottom w:val="nil"/>
              <w:right w:val="nil"/>
            </w:tcBorders>
          </w:tcPr>
          <w:p w:rsidR="00587F86" w:rsidRPr="00587F86" w:rsidP="00587F86">
            <w:pPr>
              <w:pStyle w:val="CSbody0bolditalic"/>
            </w:pPr>
            <w:r w:rsidRPr="00F94B27">
              <w:t>[</w:t>
            </w:r>
            <w:r w:rsidRPr="00587F86">
              <w:t>bei Komplexen Produkten, die an einen einzelnen Referenzschuldner gekoppelt sind:</w:t>
            </w:r>
          </w:p>
        </w:tc>
      </w:tr>
      <w:tr w:rsidTr="001527CB">
        <w:tblPrEx>
          <w:tblW w:w="5000" w:type="pct"/>
          <w:tblLayout w:type="fixed"/>
          <w:tblLook w:val="04A0"/>
        </w:tblPrEx>
        <w:tc>
          <w:tcPr>
            <w:tcW w:w="2484" w:type="pct"/>
            <w:tcBorders>
              <w:top w:val="nil"/>
              <w:left w:val="nil"/>
              <w:bottom w:val="nil"/>
              <w:right w:val="single" w:sz="4" w:space="0" w:color="auto"/>
            </w:tcBorders>
          </w:tcPr>
          <w:p w:rsidR="00587F86" w:rsidRPr="00F54F08" w:rsidP="004E38C7">
            <w:pPr>
              <w:pStyle w:val="CSBody0"/>
            </w:pPr>
            <w:r w:rsidRPr="00F54F08">
              <w:t xml:space="preserve">In the case of a Credit-Linked Complex Product with auction settlement that is linked to a single Reference Entity, upon the occurrence of a Credit Event Determination Date on or prior to the Scheduled Maturity Date (subject to extension if a Potential Credit Event Period is in effect on the Scheduled Maturity Date), instead of being redeemed at the Scheduled Redemption Amount on the Scheduled Maturity Date, such Complex Product will be redeemed by payment of a cash amount to the holder thereof equal to the Auction Redemption Amount on the Auction Redemption Date (or, in the case of a Fallback Settlement Event, equal to the Cash Redemption Amount on the Cash Redemption Date), which amount will generally be considerably less than such holder's initial investment in such Complex Product. In addition, any accrued and unpaid interest on such Complex Product as of the date on which such Credit Event Determination Date has occurred will be cancelled and not be paid to the holder thereof. </w:t>
            </w:r>
            <w:r w:rsidRPr="004E38C7">
              <w:rPr>
                <w:b/>
              </w:rPr>
              <w:t>In the worst case scenario</w:t>
            </w:r>
            <w:r w:rsidRPr="00F54F08">
              <w:t>, (i) a Credit Event Determination Date occurs prior to the first Interest Payment Date, which means that no interest payments on the relevant Complex Products will be made, and (ii) the Auction Redemption Amount or Cash Redemption Amount, as the case may be, is determined to be zero. In such case, the investor would suffer a total loss of its initial investment.</w:t>
            </w:r>
            <w:r w:rsidRPr="00F94B27" w:rsidR="00F94B27">
              <w:rPr>
                <w:b/>
              </w:rPr>
              <w:t>]</w:t>
            </w:r>
          </w:p>
        </w:tc>
        <w:tc>
          <w:tcPr>
            <w:tcW w:w="2516" w:type="pct"/>
            <w:tcBorders>
              <w:top w:val="nil"/>
              <w:left w:val="single" w:sz="4" w:space="0" w:color="auto"/>
              <w:bottom w:val="nil"/>
              <w:right w:val="nil"/>
            </w:tcBorders>
          </w:tcPr>
          <w:p w:rsidR="00587F86" w:rsidRPr="00587F86" w:rsidP="00587F86">
            <w:pPr>
              <w:pStyle w:val="CSBody0"/>
              <w:rPr>
                <w:lang w:val="de-DE"/>
              </w:rPr>
            </w:pPr>
            <w:r w:rsidRPr="00587F86">
              <w:rPr>
                <w:lang w:val="de-DE"/>
              </w:rPr>
              <w:t xml:space="preserve">Tritt bei einem Kreditbezogenen Komplexen Produkt mit Auktionsabwicklung, das an einen einzelnen Referenzschuldner gekoppelt ist, an oder vor dem Planmässigen Fälligkeitstag (vorbehaltlich einer Verlängerung im Fall dass ein Zeitraum eines Potenziellen Kreditereignisses am Planmässigen Fälligkeitstag besteht) ein Kreditereignis-Feststellungstag ein, so wird dieses Komplexe Produkt nicht zum Planmässigen Rückzahlungsbetrag am Planmässigen Fälligkeitstag an den Inhaber zurückgezahlt, sondern durch Zahlung eines Barbetrags in Höhe des Auktions-Rückzahlungsbetrags am Auktions-Rückzahlungstag (oder, im Fall eines Ereignisses der Alternativen Abwicklung, in Höhe des Barrückzahlungsbetrags am Barrückzahlungstag); dieser Betrag ist in der Regel wesentlich geringer als der von dem Inhaber ursprünglich eingesetzte Kapitalbetrag. Darüber hinaus verfallen etwaige zum Termin des Eintritts dieses Kreditereignis-Feststellungstags auf dieses Komplexe Produkt aufgelaufene und noch nicht gezahlte Zinsen und werden nicht an den Inhaber des Komplexen Produkts geleistet. </w:t>
            </w:r>
            <w:r w:rsidRPr="004E38C7">
              <w:rPr>
                <w:b/>
                <w:lang w:val="de-DE"/>
              </w:rPr>
              <w:t>Im schlimmsten Fall</w:t>
            </w:r>
            <w:r w:rsidRPr="00587F86">
              <w:rPr>
                <w:lang w:val="de-DE"/>
              </w:rPr>
              <w:t xml:space="preserve"> (i) tritt vor dem ersten Zinszahlungstag ein Kreditereignis-Feststellungstag ein, </w:t>
            </w:r>
            <w:r w:rsidR="007E3558">
              <w:rPr>
                <w:lang w:val="de-DE"/>
              </w:rPr>
              <w:t>d.h.</w:t>
            </w:r>
            <w:r w:rsidRPr="00587F86">
              <w:rPr>
                <w:lang w:val="de-DE"/>
              </w:rPr>
              <w:t xml:space="preserve"> es erfolgen keine Zinszahlungen auf das betreffende Komplexe Produkt, und (ii) wird festgestellt, dass der Auktions-Rückzahlungsbetrag bzw. der Barrückzahlungsbetrag null ist. In diesem Fall würde der Anleger einen Totalverlust seines ursprünglich eingesetzten Kapitals erleiden.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960E67" w:rsidP="00B135C0">
            <w:pPr>
              <w:pStyle w:val="CSbody0bolditalic"/>
              <w:rPr>
                <w:lang w:val="en-GB"/>
              </w:rPr>
            </w:pPr>
            <w:r w:rsidRPr="00F94B27">
              <w:rPr>
                <w:lang w:val="en-GB"/>
              </w:rPr>
              <w:t>[</w:t>
            </w:r>
            <w:r w:rsidRPr="00960E67">
              <w:rPr>
                <w:lang w:val="en-GB"/>
              </w:rPr>
              <w:t>in case of Complex Products linked to a Basket of Reference Entities:</w:t>
            </w:r>
          </w:p>
        </w:tc>
        <w:tc>
          <w:tcPr>
            <w:tcW w:w="2516" w:type="pct"/>
            <w:tcBorders>
              <w:top w:val="nil"/>
              <w:left w:val="single" w:sz="4" w:space="0" w:color="auto"/>
              <w:bottom w:val="nil"/>
              <w:right w:val="nil"/>
            </w:tcBorders>
          </w:tcPr>
          <w:p w:rsidR="00B135C0" w:rsidRPr="00B135C0" w:rsidP="00B135C0">
            <w:pPr>
              <w:pStyle w:val="CSbody0bolditalic"/>
            </w:pPr>
            <w:r w:rsidRPr="00F94B27">
              <w:t>[</w:t>
            </w:r>
            <w:r w:rsidRPr="00B135C0">
              <w:t>bei Komplexen Produkten, die an einen Korb von Referenzschuldnern gekoppelt sind:</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450FC7" w:rsidP="00B135C0">
            <w:pPr>
              <w:pStyle w:val="CSBody0"/>
            </w:pPr>
            <w:r w:rsidRPr="00450FC7">
              <w:t xml:space="preserve">In the case of a Credit-Linked Complex Product with auction settlement that is linked to a Basket of Reference Entities, upon the occurrence of a Credit Event Determination Date with respect to any Reference Entity that is not an Affected Reference Entity (due to the occurrence of a Credit Event Determination Date such Reference Entity becomes an Affected Reference Entity) on or prior to the Scheduled Maturity Date (subject to extension if a Potential Credit Event Period is in effect on the Scheduled Maturity), the portion of the Principal Amount of the Complex Products equal to the Reference Entity Principal Amount of such Affected Reference Entity will (i) cease to bear interest and any accrued and unpaid interest on such Reference Entity Principal Amount as of the date on which such Credit Event Determination Date has occurred will be cancelled and not be paid to the Holder thereof on the </w:t>
            </w:r>
            <w:r w:rsidRPr="00F94B27" w:rsidR="00F94B27">
              <w:rPr>
                <w:b/>
              </w:rPr>
              <w:t>[</w:t>
            </w:r>
            <w:r w:rsidRPr="00450FC7">
              <w:t>relevant</w:t>
            </w:r>
            <w:r w:rsidRPr="00F94B27" w:rsidR="00F94B27">
              <w:rPr>
                <w:b/>
              </w:rPr>
              <w:t>]</w:t>
            </w:r>
            <w:r w:rsidRPr="00450FC7">
              <w:t xml:space="preserve"> Interest Payment Date and (ii) be redeemed by payment of a cash amount to the Holder thereof equal to the relevant Auction Redemption Amount on the Auction Redemption Date (provided that no Fallback Settlement Event has occurred). Furthermore, the Outstanding Principal Amount, on the basis of which the Scheduled Redemption Amount of the Complex Products is calculated, will be reduced in the amount of the Reference Entity Principal Amount of the Affected Reference Entity. The Calculation Agent will determine the Auction Redemption Amount on the basis of the Auction Final Price of the Affected Reference Entity. The Auction Final Price of the Affected Reference Entity will be determined by the relevant Credit Derivatives Determinations Committee in accordance with an auction conducted by ISDA. Alternatively, if a Fallback Settlement Event has occurred, the Cash Redemption Amount rather than the Auction Redemption Amount will be payable per Complex Product by the Issuer to the Holder thereof on the Cash Redemption Date. Such amount will be determined based upon one or more quotations for </w:t>
            </w:r>
            <w:r w:rsidRPr="00F94B27" w:rsidR="00F94B27">
              <w:rPr>
                <w:b/>
              </w:rPr>
              <w:t>[</w:t>
            </w:r>
            <w:r w:rsidRPr="00450FC7">
              <w:t>the Reference Obligation or for</w:t>
            </w:r>
            <w:r w:rsidRPr="00F94B27" w:rsidR="00F94B27">
              <w:rPr>
                <w:b/>
              </w:rPr>
              <w:t>]</w:t>
            </w:r>
            <w:r w:rsidRPr="00450FC7">
              <w:t xml:space="preserve"> a Valuation Obligation selected by the Calculation Agent of the Affected Reference Entity, obtained by the Calculation Agent from banks or securities trading firms.Any such Auction Redemption Amount or Cash Redemption Amount, as applicable, will generally be considerably less than the Reference Entity Principal Amount by which the Outstanding Principal Amount and consequently the Scheduled Redemption Amount is so reduced and may in certain circumstances be equal to zero. In such case, the greater the number of Reference Entities with respect to which a Credit Event Determination Date occurs on or prior to the Scheduled Maturity Date, the greater the reduction of the Scheduled Redemption Amount will be. Furthermore, the smaller the applicable Auction Redemption Amount or Cash Redemption Amount, as the case may be, the greater the loss suffered by the investor will be. In the worst case scenario, (i) a Credit Event Determination Date with respect to each Reference Entity occurs prior to the </w:t>
            </w:r>
            <w:r w:rsidRPr="00F94B27" w:rsidR="00F94B27">
              <w:rPr>
                <w:b/>
              </w:rPr>
              <w:t>[</w:t>
            </w:r>
            <w:r w:rsidRPr="00450FC7">
              <w:t>first</w:t>
            </w:r>
            <w:r w:rsidRPr="00F94B27" w:rsidR="00F94B27">
              <w:rPr>
                <w:b/>
              </w:rPr>
              <w:t>]</w:t>
            </w:r>
            <w:r w:rsidRPr="00450FC7">
              <w:t xml:space="preserve"> Interest Payment Date, which means that no interest payments on the relevant Complex Products will be made, and (ii) the Auction Redemption Amount or Cash Redemption Amount, as the case may be, in relation to each such Reference Entity is determined to be zero. In such case, the investor would suffer a total loss of its initial investment.</w:t>
            </w:r>
            <w:r w:rsidRPr="00F94B27" w:rsidR="00F94B27">
              <w:rPr>
                <w:b/>
              </w:rPr>
              <w:t>]</w:t>
            </w:r>
          </w:p>
        </w:tc>
        <w:tc>
          <w:tcPr>
            <w:tcW w:w="2516" w:type="pct"/>
            <w:tcBorders>
              <w:top w:val="nil"/>
              <w:left w:val="single" w:sz="4" w:space="0" w:color="auto"/>
              <w:bottom w:val="nil"/>
              <w:right w:val="nil"/>
            </w:tcBorders>
          </w:tcPr>
          <w:p w:rsidR="00B135C0" w:rsidRPr="00B135C0" w:rsidP="00633E4C">
            <w:pPr>
              <w:pStyle w:val="CSBody0"/>
              <w:rPr>
                <w:lang w:val="de-DE"/>
              </w:rPr>
            </w:pPr>
            <w:r w:rsidRPr="00B135C0">
              <w:rPr>
                <w:lang w:val="de-DE"/>
              </w:rPr>
              <w:t xml:space="preserve">Tritt bei einem an einen Korb von Referenzschuldnern gekoppelten Kreditbezogenen Komplexen Produkt mit Auktionsabwicklung an oder vor dem Planmässigen Fälligkeitstag (vorbehaltlich einer Verlängerung im Fall, dass ein Zeitraum eines Potenziellen Kreditereignisses am Planmässigen Fälligkeitstag besteht) ein Kreditereignis-Feststellungstag in Bezug auf einen Referenzschuldner, bei dem es sich nicht um einen Betroffenen Referenzschuldner handelt, ein (auf Grund des Eintritts eines Kreditereignis-Feststellungstags wird dieser Referenzschuldner zu einem Betroffenen Referenzschuldner), so (i) endet die Verzinsung des Teils des Nennbetrags der Komplexen Produkte, der dem Referenzschuldner-Nennbetrag dieses Betroffenen Referenzschuldners entspricht, und etwaige zum Termin des Eintritts des Kreditereignis-Feststellungstags auf den Referenzschuldner-Nennbetrag aufgelaufene und noch nicht gezahlte Zinsen verfallen und werden nicht am </w:t>
            </w:r>
            <w:r w:rsidRPr="00F94B27" w:rsidR="00F94B27">
              <w:rPr>
                <w:b/>
                <w:lang w:val="de-DE"/>
              </w:rPr>
              <w:t>[</w:t>
            </w:r>
            <w:r w:rsidRPr="00B135C0">
              <w:rPr>
                <w:lang w:val="de-DE"/>
              </w:rPr>
              <w:t>jeweiligen</w:t>
            </w:r>
            <w:r w:rsidRPr="00F94B27" w:rsidR="00F94B27">
              <w:rPr>
                <w:b/>
                <w:lang w:val="de-DE"/>
              </w:rPr>
              <w:t>]</w:t>
            </w:r>
            <w:r w:rsidRPr="00B135C0">
              <w:rPr>
                <w:lang w:val="de-DE"/>
              </w:rPr>
              <w:t xml:space="preserve"> Zinszahlungstag an den Inhaber dieses Komplexen Produkts gezahlt und (ii) wird der Referenzschuldner-Nennbetrag des Betroffenen Referenzschuldners durch Zahlung eines Barbetrags in Höhe des jeweiligen Auktions</w:t>
            </w:r>
            <w:r w:rsidR="008F1293">
              <w:rPr>
                <w:lang w:val="de-DE"/>
              </w:rPr>
              <w:t>-</w:t>
            </w:r>
            <w:r w:rsidRPr="00B135C0">
              <w:rPr>
                <w:lang w:val="de-DE"/>
              </w:rPr>
              <w:t xml:space="preserve">Rückzahlungsbetrags am Auktions-Rückzahlungstag (vorausgesetzt, dass kein Ereignis der Alternativen Abwicklung eingetreten ist) an den Inhaber des Komplexen Produkts zurückgezahlt. Darüber hinaus wird der Ausstehende Nennbetrag, auf dessen Basis des Planmässige Rückzahlungsbetrag der Komplexen Produkte berechnet wird, durch einen Betrag in Höhe des Referenzschuldner-Nennbetrags des Betroffenen Referenzschuldners reduziert. Die Berechnungsstelle bestimmt den Auktions-Rückzahlungsbetrag auf der Grundlage des Auktions-Endpreises des Betroffenen Referenzschuldners. Der Auktions-Endpreis des Betroffenen Referenzschuldners wird von dem zuständigen Kreditderivate-Feststellungsausschuss nach Massgabe einer von ISDA durchgeführten Auktion berechnet. Falls dagegen ein Ereignis der Alternativen Abwicklung eingetreten ist, hat die Emittentin nicht den Auktions-Rückzahlungsbetrag, sondern den Barrückzahlungsbetrag je Komplexes Produkt am Barrückzahlungstag an den Inhaber zu zahlen. Dieser Betrag wird auf der Grundlage einer oder mehrerer Quotierungen für </w:t>
            </w:r>
            <w:r w:rsidRPr="00F94B27" w:rsidR="00F94B27">
              <w:rPr>
                <w:b/>
                <w:lang w:val="de-DE"/>
              </w:rPr>
              <w:t>[</w:t>
            </w:r>
            <w:r w:rsidRPr="00B135C0">
              <w:rPr>
                <w:lang w:val="de-DE"/>
              </w:rPr>
              <w:t>die Referenzverbindlichkeit oder für</w:t>
            </w:r>
            <w:r w:rsidRPr="00F94B27" w:rsidR="00F94B27">
              <w:rPr>
                <w:b/>
                <w:lang w:val="de-DE"/>
              </w:rPr>
              <w:t>]</w:t>
            </w:r>
            <w:r w:rsidRPr="00B135C0">
              <w:rPr>
                <w:lang w:val="de-DE"/>
              </w:rPr>
              <w:t xml:space="preserve"> eine von der Berechnungstelle ausgewählte Bewertungsverbindlichkeit des Betroffenen Referenzschuldners, die die Berechnungsstelle von Banken oder Wertpapierhandelsunternehmen eingeholt hat, bestimmt. Ein solcher Auktions-Rückzahlungsbetrag bzw. Barrückzahlungsbetrag wird in der Regel wesentlich geringer sein als der Referenzschuldner-Nennbetrag, um den sich der Ausstehende Nennbetrag und folglich der Planmässige Rückzahlungsbetrag verringert, und in bestimmten Fällen kann dieser Betrag null sein. In diesem Fall gilt: je mehr Referenzschuldner, in Bezug auf die an oder vor dem Planmässigen Fälligkeitstag ein Kreditereignis-Feststellungstag eintritt, umso geringer der Planmässige Rückzahlungsbetrag. Ferner gilt: je geringer der jeweilige Auktions-Rückzahlungsbetrag bzw. Barrückzahlungsbetrag, umso höher ist der von dem Anleger erlittene Verlust. Im schlimmsten Fall (i) tritt vor dem </w:t>
            </w:r>
            <w:r w:rsidRPr="00F94B27" w:rsidR="00F94B27">
              <w:rPr>
                <w:b/>
                <w:lang w:val="de-DE"/>
              </w:rPr>
              <w:t>[</w:t>
            </w:r>
            <w:r w:rsidRPr="00B135C0">
              <w:rPr>
                <w:lang w:val="de-DE"/>
              </w:rPr>
              <w:t>ersten</w:t>
            </w:r>
            <w:r w:rsidRPr="00F94B27" w:rsidR="00F94B27">
              <w:rPr>
                <w:b/>
                <w:lang w:val="de-DE"/>
              </w:rPr>
              <w:t>]</w:t>
            </w:r>
            <w:r w:rsidRPr="00B135C0">
              <w:rPr>
                <w:lang w:val="de-DE"/>
              </w:rPr>
              <w:t xml:space="preserve"> Zinszahlungstag ein Kreditereignis-Feststellungstag in Bezug auf jeden Referenzschuldner ein, </w:t>
            </w:r>
            <w:r w:rsidR="007E3558">
              <w:rPr>
                <w:lang w:val="de-DE"/>
              </w:rPr>
              <w:t>d.h.</w:t>
            </w:r>
            <w:r w:rsidRPr="00B135C0">
              <w:rPr>
                <w:lang w:val="de-DE"/>
              </w:rPr>
              <w:t xml:space="preserve"> es erfolgen keine Zinszahlungen auf die betreffenden Komplexen Produkte, und (ii) wird festgestellt, dass der Auktions-Rückzahlungsbetrag bzw. Barrückzahlungsbetrag in Bezug auf jeden dieser Referenzschuldner null ist. In diesem Fall würde der Anleger einen Totalverlust seines ursprünglich eingesetzten Kapitals erleiden.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960E67" w:rsidP="00B135C0">
            <w:pPr>
              <w:pStyle w:val="CSbody0bolditalic"/>
              <w:rPr>
                <w:lang w:val="en-GB"/>
              </w:rPr>
            </w:pPr>
            <w:r w:rsidRPr="00F94B27">
              <w:rPr>
                <w:lang w:val="en-GB"/>
              </w:rPr>
              <w:t>[</w:t>
            </w:r>
            <w:r w:rsidRPr="00960E67">
              <w:rPr>
                <w:lang w:val="en-GB"/>
              </w:rPr>
              <w:t>in case of Complex Products with N</w:t>
            </w:r>
            <w:r w:rsidRPr="00E80B0C">
              <w:rPr>
                <w:bCs w:val="0"/>
                <w:szCs w:val="22"/>
                <w:vertAlign w:val="superscript"/>
                <w:lang w:val="en-GB"/>
              </w:rPr>
              <w:t>th</w:t>
            </w:r>
            <w:r w:rsidRPr="00960E67">
              <w:rPr>
                <w:lang w:val="en-GB"/>
              </w:rPr>
              <w:t>-to-Default structure:</w:t>
            </w:r>
          </w:p>
        </w:tc>
        <w:tc>
          <w:tcPr>
            <w:tcW w:w="2516" w:type="pct"/>
            <w:tcBorders>
              <w:top w:val="nil"/>
              <w:left w:val="single" w:sz="4" w:space="0" w:color="auto"/>
              <w:bottom w:val="nil"/>
              <w:right w:val="nil"/>
            </w:tcBorders>
          </w:tcPr>
          <w:p w:rsidR="00B135C0" w:rsidRPr="00B135C0" w:rsidP="00B135C0">
            <w:pPr>
              <w:pStyle w:val="CSbody0bolditalic"/>
            </w:pPr>
            <w:r w:rsidRPr="00F94B27">
              <w:t>[</w:t>
            </w:r>
            <w:r w:rsidRPr="00B135C0">
              <w:t>bei Komplexen Produkten mit N</w:t>
            </w:r>
            <w:r w:rsidRPr="00E80B0C">
              <w:rPr>
                <w:bCs w:val="0"/>
                <w:szCs w:val="22"/>
                <w:vertAlign w:val="superscript"/>
              </w:rPr>
              <w:t>th</w:t>
            </w:r>
            <w:r w:rsidRPr="00B135C0">
              <w:t>-to-Default-Struktur:</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450FC7" w:rsidP="00B135C0">
            <w:pPr>
              <w:pStyle w:val="CSBody0"/>
            </w:pPr>
            <w:r w:rsidRPr="00450FC7">
              <w:t>In the case of a Credit-Linked Complex Product with auction settlement and an N</w:t>
            </w:r>
            <w:r w:rsidRPr="003E788D">
              <w:rPr>
                <w:vertAlign w:val="superscript"/>
              </w:rPr>
              <w:t>th</w:t>
            </w:r>
            <w:r w:rsidRPr="00450FC7">
              <w:t>-to-Default structure, upon the occurrence of a Credit Event Determination Date with respect to the N</w:t>
            </w:r>
            <w:r w:rsidRPr="00E80B0C">
              <w:rPr>
                <w:b/>
                <w:i/>
                <w:vertAlign w:val="superscript"/>
              </w:rPr>
              <w:t>th</w:t>
            </w:r>
            <w:r w:rsidRPr="00450FC7">
              <w:t>-to-Default Reference Entity as specified in the applicable Terms and Conditions on or prior to the Scheduled Maturity Date (subject to extension if a Potential Credit Event Period is in effect on the Scheduled Maturity Date), instead of being redeemed at the Scheduled Redemption Amount on the Scheduled Maturity Date, such Complex Product will be redeemed by payment of a cash amount to the holder thereof equal to the Auction Redemption Amount with respect to the N</w:t>
            </w:r>
            <w:r w:rsidRPr="003E788D">
              <w:rPr>
                <w:vertAlign w:val="superscript"/>
              </w:rPr>
              <w:t>th</w:t>
            </w:r>
            <w:r w:rsidRPr="00450FC7">
              <w:t>-to-Default Reference Entity on the Auction Redemption Date (or, in the case of a Fallback Settlement Event, equal to the Cash Redemption Amount with respect to the N</w:t>
            </w:r>
            <w:r w:rsidRPr="003E788D">
              <w:rPr>
                <w:vertAlign w:val="superscript"/>
              </w:rPr>
              <w:t>th</w:t>
            </w:r>
            <w:r w:rsidRPr="00450FC7">
              <w:t xml:space="preserve">-to-Default Reference Entity on the Cash Redemption Date), which amount will generally be considerably less than such holder's initial investment in such Complex Product. In addition, any accrued and </w:t>
            </w:r>
            <w:r w:rsidRPr="00B135C0">
              <w:rPr>
                <w:i/>
              </w:rPr>
              <w:t>unpaid</w:t>
            </w:r>
            <w:r w:rsidRPr="00450FC7">
              <w:t xml:space="preserve"> interest on such Complex Product as of the date on which such Credit Event Determination Date has occurred will be cancelled and not be paid to the holder thereof. </w:t>
            </w:r>
            <w:r w:rsidRPr="00B135C0">
              <w:rPr>
                <w:b/>
              </w:rPr>
              <w:t>In the worst case scenario</w:t>
            </w:r>
            <w:r w:rsidRPr="00450FC7">
              <w:t>, (i) a Credit Event Determination Date with respect to the N</w:t>
            </w:r>
            <w:r w:rsidRPr="003E788D">
              <w:rPr>
                <w:vertAlign w:val="superscript"/>
              </w:rPr>
              <w:t>th</w:t>
            </w:r>
            <w:r w:rsidRPr="00450FC7">
              <w:t>-to-Default Reference Entity occurs prior to the first Interest Payment Date, which means that no interest payments on the relevant Complex Products will be made, and (ii) the Auction Redemption Amount or Cash Redemption Amount, as the case may be, is determined to be zero. In such case, the investor would suffer a total loss of its initial investment.</w:t>
            </w:r>
            <w:r w:rsidRPr="00F94B27" w:rsidR="00F94B27">
              <w:rPr>
                <w:b/>
              </w:rPr>
              <w:t>]</w:t>
            </w:r>
          </w:p>
        </w:tc>
        <w:tc>
          <w:tcPr>
            <w:tcW w:w="2516" w:type="pct"/>
            <w:tcBorders>
              <w:top w:val="nil"/>
              <w:left w:val="single" w:sz="4" w:space="0" w:color="auto"/>
              <w:bottom w:val="nil"/>
              <w:right w:val="nil"/>
            </w:tcBorders>
          </w:tcPr>
          <w:p w:rsidR="00B135C0" w:rsidRPr="00B135C0" w:rsidP="00B135C0">
            <w:pPr>
              <w:pStyle w:val="CSBody0"/>
              <w:rPr>
                <w:lang w:val="de-DE"/>
              </w:rPr>
            </w:pPr>
            <w:r w:rsidRPr="00B135C0">
              <w:rPr>
                <w:lang w:val="de-DE"/>
              </w:rPr>
              <w:t>Tritt bei einem Kreditbezogenen Komplexen Produkt mit Auktionsabwicklung und N</w:t>
            </w:r>
            <w:r w:rsidRPr="003E788D">
              <w:rPr>
                <w:vertAlign w:val="superscript"/>
                <w:lang w:val="de-DE"/>
              </w:rPr>
              <w:t>th</w:t>
            </w:r>
            <w:r w:rsidRPr="00B135C0">
              <w:rPr>
                <w:lang w:val="de-DE"/>
              </w:rPr>
              <w:t>-to-Default-Struktur in Bezug auf den in den anwendbaren Emissionsbedingungen festgelegten N</w:t>
            </w:r>
            <w:r w:rsidRPr="003E788D">
              <w:rPr>
                <w:vertAlign w:val="superscript"/>
                <w:lang w:val="de-DE"/>
              </w:rPr>
              <w:t>th</w:t>
            </w:r>
            <w:r w:rsidRPr="00B135C0">
              <w:rPr>
                <w:lang w:val="de-DE"/>
              </w:rPr>
              <w:t>-to-Default-Referenzschuldner an oder vor dem Planmässigen Fälligkeitstag (vorbehaltlich einer Verlängerung im Fall dass ein Zeitraum eines Potenziellen Kreditereignisses am Planmässigen Fälligkeitstag besteht) ein Kreditereignis-Feststellungstag ein, so wird dieses Komplexe Produkt nicht zum Planmässigen Rückzahlungsbetrag am Planmässigen Fälligkeitstag an den Inhaber zurückgezahlt, sondern durch Zahlung eines Barbetrags in Höhe des Auktions-Rückzahlungsbetrags in Bezug auf den N</w:t>
            </w:r>
            <w:r w:rsidRPr="00E80B0C">
              <w:rPr>
                <w:b/>
                <w:i/>
                <w:vertAlign w:val="superscript"/>
                <w:lang w:val="de-DE"/>
              </w:rPr>
              <w:t>th</w:t>
            </w:r>
            <w:r w:rsidRPr="00B135C0">
              <w:rPr>
                <w:lang w:val="de-DE"/>
              </w:rPr>
              <w:t>-to-Default-Referenzschuldner am Auktions-Rückzahlungstag (oder, im Fall eines Ereignisses der Alternativen Abwicklung, in Höhe des Barrückzahlungsbetrags in Bezug auf den N</w:t>
            </w:r>
            <w:r w:rsidRPr="003E788D">
              <w:rPr>
                <w:vertAlign w:val="superscript"/>
                <w:lang w:val="de-DE"/>
              </w:rPr>
              <w:t>th</w:t>
            </w:r>
            <w:r w:rsidRPr="00B135C0">
              <w:rPr>
                <w:lang w:val="de-DE"/>
              </w:rPr>
              <w:t xml:space="preserve">-to-Default-Referenzschuldner am Barrückzahlungstag); dieser Betrag ist in der Regel wesentlich geringer als der von dem Inhaber ursprünglich eingesetzte Kapitalbetrag. Darüber hinaus verfallen etwaige zum Tag des Eintritts dieses Kreditereignis-Feststellungstags auf dieses Komplexe Produkt aufgelaufene und </w:t>
            </w:r>
            <w:r w:rsidRPr="00B135C0">
              <w:rPr>
                <w:i/>
                <w:lang w:val="de-DE"/>
              </w:rPr>
              <w:t>noch nicht gezahlte</w:t>
            </w:r>
            <w:r w:rsidRPr="00B135C0">
              <w:rPr>
                <w:lang w:val="de-DE"/>
              </w:rPr>
              <w:t xml:space="preserve"> Zinsen und werden nicht an den Inhaber des Komplexen Produkts geleistet. </w:t>
            </w:r>
            <w:r w:rsidRPr="00B135C0">
              <w:rPr>
                <w:b/>
                <w:lang w:val="de-DE"/>
              </w:rPr>
              <w:t>Im schlimmsten Fall</w:t>
            </w:r>
            <w:r w:rsidRPr="00B135C0">
              <w:rPr>
                <w:lang w:val="de-DE"/>
              </w:rPr>
              <w:t xml:space="preserve"> (i) tritt vor dem ersten Zinszahlungstag ein Kreditereignis-Feststellungstag in Bezug auf den N</w:t>
            </w:r>
            <w:r w:rsidRPr="003E788D">
              <w:rPr>
                <w:vertAlign w:val="superscript"/>
                <w:lang w:val="de-DE"/>
              </w:rPr>
              <w:t>th</w:t>
            </w:r>
            <w:r w:rsidRPr="00B135C0">
              <w:rPr>
                <w:lang w:val="de-DE"/>
              </w:rPr>
              <w:t xml:space="preserve">-to-Default-Referenzschuldner ein, </w:t>
            </w:r>
            <w:r w:rsidR="007E3558">
              <w:rPr>
                <w:lang w:val="de-DE"/>
              </w:rPr>
              <w:t>d.h.</w:t>
            </w:r>
            <w:r w:rsidRPr="00B135C0">
              <w:rPr>
                <w:lang w:val="de-DE"/>
              </w:rPr>
              <w:t xml:space="preserve"> es erfolgen keine Zinszahlungen auf das betreffende Komplexe Produkt, und (ii) wird festgestellt, dass der Auktions-Rückzahlungsbetrag bzw. Barrückzahlungsbetrag null ist. In diesem Fall würde der Anleger einen Totalverlust seines ursprünglich eingesetzten Kapitals erleiden.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960E67" w:rsidP="00B135C0">
            <w:pPr>
              <w:pStyle w:val="CSbody0bolditalic"/>
              <w:rPr>
                <w:lang w:val="en-GB"/>
              </w:rPr>
            </w:pPr>
            <w:r w:rsidRPr="00F94B27">
              <w:rPr>
                <w:lang w:val="en-GB"/>
              </w:rPr>
              <w:t>[</w:t>
            </w:r>
            <w:r w:rsidRPr="00960E67">
              <w:rPr>
                <w:lang w:val="en-GB"/>
              </w:rPr>
              <w:t>in case of Complex Products linked to a single Reference Entity that provide for payment of the Auction Redemption Amount and the Cash Redemption Amount, as the case may be, not before the Scheduled Maturity Date:</w:t>
            </w:r>
          </w:p>
        </w:tc>
        <w:tc>
          <w:tcPr>
            <w:tcW w:w="2516" w:type="pct"/>
            <w:tcBorders>
              <w:top w:val="nil"/>
              <w:left w:val="single" w:sz="4" w:space="0" w:color="auto"/>
              <w:bottom w:val="nil"/>
              <w:right w:val="nil"/>
            </w:tcBorders>
          </w:tcPr>
          <w:p w:rsidR="00B135C0" w:rsidRPr="00B135C0" w:rsidP="00B135C0">
            <w:pPr>
              <w:pStyle w:val="CSbody0bolditalic"/>
            </w:pPr>
            <w:r w:rsidRPr="00F94B27">
              <w:t>[</w:t>
            </w:r>
            <w:r w:rsidRPr="00B135C0">
              <w:t>bei Komplexen Produkten, die an einen einzelnen Referenzschuldner gekoppelt sind, welche die Zahlung des Auktions-Rückzahlungsbetrags bzw. des Barrückzahlungsbetrags nicht vor dem Planmässigen Fälligkeitstag vorsehen:</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295C35" w:rsidP="00B135C0">
            <w:pPr>
              <w:pStyle w:val="CSBody0"/>
            </w:pPr>
            <w:r w:rsidRPr="00295C35">
              <w:t>Investors should note that upon occurrence of a Credit Event Determination Date, the Auction Redemption Date (or, in the case of a Fallback Settlement Event, the Cash Redemption Date) of the Complex Products will not occur prior to the Scheduled Maturity Date irrespective of when such Credit Event Determination Date occurs. Consequently, investors will only receive the Auction Redemption Amount or the Cash Redemption Amount, as applicable, on the Scheduled Maturity Date or such later date as determined pursuant to the definition of Auction Redemption Date or Cash Redemption Date, as applicable. Investors should note that they will not receive any interest payments on the Complex Products after the occurrence of a Credit Event Determination Date and they will receive no other payment in respect of the Complex Product other than the Auction Redemption Amount on the Auction Redemption Date or the Cash Redemption Amount on the Cash Redemption Date, as applicable.</w:t>
            </w:r>
            <w:r w:rsidRPr="00F94B27" w:rsidR="00F94B27">
              <w:rPr>
                <w:b/>
              </w:rPr>
              <w:t>]]</w:t>
            </w:r>
          </w:p>
        </w:tc>
        <w:tc>
          <w:tcPr>
            <w:tcW w:w="2516" w:type="pct"/>
            <w:tcBorders>
              <w:top w:val="nil"/>
              <w:left w:val="single" w:sz="4" w:space="0" w:color="auto"/>
              <w:bottom w:val="nil"/>
              <w:right w:val="nil"/>
            </w:tcBorders>
          </w:tcPr>
          <w:p w:rsidR="00B135C0" w:rsidRPr="00B135C0" w:rsidP="00B135C0">
            <w:pPr>
              <w:pStyle w:val="CSBody0"/>
              <w:rPr>
                <w:lang w:val="de-DE"/>
              </w:rPr>
            </w:pPr>
            <w:r w:rsidRPr="00B135C0">
              <w:rPr>
                <w:lang w:val="de-DE"/>
              </w:rPr>
              <w:t>Anleger sollten zur Kenntnis nehmen, dass bei Kreditbezogenen Komplexen Produkten mit Auktionsabwicklung bei Eintritt eines Kreditereignis-Feststellungstags der Auktions-Rückzahlungstag (oder, im Fall eines Ereignisses der Alternativen Abwicklung, der Barrückzahlungstag) der Komplexen Produkte nicht vor dem Planmässigen Fälligkeitstag eintritt, unabhängig davon, wann der Kreditereignis-Feststellungstag eintritt. Folglich erhalten Anleger nur den Auktions-Rückzahlungsbetrag bzw. den Barrückzahlungsbetrag am Planmässigen Fälligkeitstag oder dem späteren Tag, der sich aus der Definition von Auktions-Rückzahlungstag bzw. Barrückzahlungstag ergibt. Anleger sollten zur Kenntnis nehmen, dass sie nach Eintritt eines Kreditereignis-Feststellungstags keine Zinszahlungen auf die Komplexen Produkte erhalten und dass sie ausser dem Auktions-Rückzahlungsbetrag am Auktions-Rückzahlungstag bzw. dem Barrückzahlungsbetrag am Barrückzahlungstag keine andere Zahlung bezüglich der Komplexen Produkte erhalten.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960E67" w:rsidP="00B135C0">
            <w:pPr>
              <w:pStyle w:val="CSbody0bolditalic"/>
              <w:rPr>
                <w:lang w:val="en-GB"/>
              </w:rPr>
            </w:pPr>
            <w:r w:rsidRPr="00F94B27">
              <w:rPr>
                <w:lang w:val="en-GB"/>
              </w:rPr>
              <w:t>[</w:t>
            </w:r>
            <w:r w:rsidRPr="00960E67">
              <w:rPr>
                <w:lang w:val="en-GB"/>
              </w:rPr>
              <w:t>in case of Credit-Linked Complex Products with Zero-Recovery feature linked to a Basket:</w:t>
            </w:r>
          </w:p>
        </w:tc>
        <w:tc>
          <w:tcPr>
            <w:tcW w:w="2516" w:type="pct"/>
            <w:tcBorders>
              <w:top w:val="nil"/>
              <w:left w:val="single" w:sz="4" w:space="0" w:color="auto"/>
              <w:bottom w:val="nil"/>
              <w:right w:val="nil"/>
            </w:tcBorders>
          </w:tcPr>
          <w:p w:rsidR="00B135C0" w:rsidRPr="00B135C0" w:rsidP="00B135C0">
            <w:pPr>
              <w:pStyle w:val="CSbody0bolditalic"/>
            </w:pPr>
            <w:r w:rsidRPr="00F94B27">
              <w:t>[</w:t>
            </w:r>
            <w:r w:rsidRPr="00B135C0">
              <w:t>bei Kreditbezogenen Komplexen Produkten mit Zero-Recovery-Merkmal, die an einen Korb gekoppelt sind:</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3A1EDD" w:rsidP="00B135C0">
            <w:pPr>
              <w:pStyle w:val="CSBody0"/>
            </w:pPr>
            <w:r w:rsidRPr="003A1EDD">
              <w:t xml:space="preserve">Credit-Linked Complex Products with Zero-Recovery feature linked to a Basket are linked to the creditworthiness of a basket of Reference Entities. By investing in Credit-Linked Complex Products with Zero-Recovery feature linked to a Basket, Holders are exposed to this credit risk relating to such Reference Entities. Different from Credit-Linked Complex Products with Auction Settlement linked to a Basket, upon the occurrence of a Credit Event with respect to a Reference Entity contained in the Basket that is not an Affected Reference Entity (due to the occurrence of a Credit Event Determination Date such Reference Entity becomes an Affected Reference Entity), investors will not receive any redemption amount for the portion of the Principal Amount of the Complex Products equal to the Reference Entity Principal Amount of such Affected Reference Entity, that is, the recovery amount for such Affected Reference Entity will be equal to zero. For the assumption of such credit risk, Holders will receive compensation in the form of increased interest payments. As Credit-Linked Complex Products with Zero-Recovery feature linked to a Basket are </w:t>
            </w:r>
            <w:r w:rsidRPr="00B135C0">
              <w:rPr>
                <w:b/>
              </w:rPr>
              <w:t>not capital protected</w:t>
            </w:r>
            <w:r w:rsidRPr="003A1EDD">
              <w:t xml:space="preserve"> it is not possible to predict the return on such a Complex Product at the time of issuance.</w:t>
            </w:r>
          </w:p>
        </w:tc>
        <w:tc>
          <w:tcPr>
            <w:tcW w:w="2516" w:type="pct"/>
            <w:tcBorders>
              <w:top w:val="nil"/>
              <w:left w:val="single" w:sz="4" w:space="0" w:color="auto"/>
              <w:bottom w:val="nil"/>
              <w:right w:val="nil"/>
            </w:tcBorders>
          </w:tcPr>
          <w:p w:rsidR="00B135C0" w:rsidRPr="00B135C0" w:rsidP="00B135C0">
            <w:pPr>
              <w:pStyle w:val="CSBody0"/>
              <w:rPr>
                <w:lang w:val="de-DE"/>
              </w:rPr>
            </w:pPr>
            <w:r w:rsidRPr="00B135C0">
              <w:rPr>
                <w:lang w:val="de-DE"/>
              </w:rPr>
              <w:t xml:space="preserve">Kreditbezogene Komplexe Produkte mit Zero-Recovery-Merkmal, die an einen Korb gekoppelt sind, sind an die Bonität eines Korbs von Referenzschuldnern gekoppelt. Durch eine Anlage in Kreditbezogene Komplexe Produkte mit Zero-Recovery-Merkmal, die an einen Korb gekoppelt sind, sind die Inhaber dem Kreditrisiko dieser Referenzschuldner ausgesetzt. Im Unterschied zu Kreditbezogenen Komplexen Produkten mit Auktionsabwicklung, die an einen Korb gekoppelt sind, erhalten Anleger bei Eintritt eines Kreditereignisses in Bezug auf einen im Korb enthaltenen Referenzschuldner, bei dem es sich nicht um einen Betroffenen Referenzschuldner handelt (auf Grund des Eintritts eines Kreditereignis-Feststellungstags wird dieser Referenzschuldner zu einem Betroffenen Referenzschuldner), keinen Rückzahlungsbetrag für den Teil des Nennbetrags der Komplexen Produkte, der dem Referenzschuldner-Nennbetrag des Betroffenen Referenzschuldner entspricht, d.h. der Ausgleichsbetrag für den Betroffenen Referenzschuldner ist gleich null. Für die Übernahme dieses Kreditrisikos erhalten Inhaber eine Gegenleistung in Form von erhöhten Zinszahlungen. Da Kreditbezogene Komplexe Produkte mit Zero-Recovery-Merkmal, die an einen Korb gekoppelt sind, </w:t>
            </w:r>
            <w:r w:rsidRPr="00B135C0">
              <w:rPr>
                <w:b/>
                <w:lang w:val="de-DE"/>
              </w:rPr>
              <w:t>nicht kapitalgeschützt</w:t>
            </w:r>
            <w:r w:rsidRPr="00B135C0">
              <w:rPr>
                <w:lang w:val="de-DE"/>
              </w:rPr>
              <w:t xml:space="preserve"> sind, ist es nicht möglich, die Erträge solcher Komplexen Produkte zum Zeitpunkt ihrer Ausgabe vorherzusagen.</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3A1EDD" w:rsidP="00B135C0">
            <w:pPr>
              <w:pStyle w:val="CSBody0"/>
            </w:pPr>
            <w:r w:rsidRPr="003A1EDD">
              <w:t>The likelihood of the occurrence of a Credit Event Determination Date with respect to a Reference Entity will generally fluctuate with, among other things, the financial condition and other characteristics of such Reference Entity, general economic conditions, the condition of certain financial markets, political events, developments or trends in any particular industry and changes in prevailing interest rates. Actions of the Reference Entities (for example, merger or demerger or the repayment or transfer of indebtedness) may adversely affect the value of Credit-Linked Complex Products. Furthermore, the Reference Entities to which such Complex Products are linked, and the terms of such linkage, may change over the term of such Complex Products.</w:t>
            </w:r>
          </w:p>
        </w:tc>
        <w:tc>
          <w:tcPr>
            <w:tcW w:w="2516" w:type="pct"/>
            <w:tcBorders>
              <w:top w:val="nil"/>
              <w:left w:val="single" w:sz="4" w:space="0" w:color="auto"/>
              <w:bottom w:val="nil"/>
              <w:right w:val="nil"/>
            </w:tcBorders>
          </w:tcPr>
          <w:p w:rsidR="00B135C0" w:rsidRPr="00B135C0" w:rsidP="00B135C0">
            <w:pPr>
              <w:pStyle w:val="CSBody0"/>
              <w:rPr>
                <w:lang w:val="de-DE"/>
              </w:rPr>
            </w:pPr>
            <w:r w:rsidRPr="00B135C0">
              <w:rPr>
                <w:lang w:val="de-DE"/>
              </w:rPr>
              <w:t>Die Wahrscheinlichkeit, dass in Bezug auf einen Referenzschuldner ein Kreditereignis-Feststellungstag eintritt, variiert in der Regel aufgrund der Finanzlage und anderer Kenndaten des betreffenden Referenzschuldners, der allgemeinen Konjunktur, der Lage an bestimmten Finanzmärkten sowie aufgrund von politischen Ereignissen, Entwicklungen oder Tendenzen in bestimmten Branchen, Änderungen der geltenden Zinssätze und weiteren Faktoren. Massnahmen des der Referenzschuldner (wie beispielsweise ein Zusammenschluss oder eine Abspaltung oder die Rückzahlung oder Übertragung von Verbindlichkeiten) können sich nachteilig auf den Wert der Kreditbezogenen Komplexen Produkte auswirken. Darüber hinaus können sich die Referenzschuldner, auf die diese Komplexen Produkte bezogen sind, und die Bedingungen dieser Beziehung während der Laufzeit dieser Komplexen Produkte ändern.</w:t>
            </w:r>
          </w:p>
        </w:tc>
      </w:tr>
      <w:tr w:rsidTr="001527CB">
        <w:tblPrEx>
          <w:tblW w:w="5000" w:type="pct"/>
          <w:tblLayout w:type="fixed"/>
          <w:tblLook w:val="04A0"/>
        </w:tblPrEx>
        <w:tc>
          <w:tcPr>
            <w:tcW w:w="2484" w:type="pct"/>
            <w:tcBorders>
              <w:top w:val="nil"/>
              <w:left w:val="nil"/>
              <w:bottom w:val="nil"/>
              <w:right w:val="single" w:sz="4" w:space="0" w:color="auto"/>
            </w:tcBorders>
          </w:tcPr>
          <w:p w:rsidR="00B135C0" w:rsidRPr="003A1EDD" w:rsidP="00B135C0">
            <w:pPr>
              <w:pStyle w:val="CSBody0"/>
            </w:pPr>
            <w:r w:rsidRPr="00B135C0">
              <w:rPr>
                <w:b/>
              </w:rPr>
              <w:t>Upon the occurrence of a Credit Event Determination Date</w:t>
            </w:r>
            <w:r w:rsidRPr="003A1EDD">
              <w:t xml:space="preserve"> with respect to any Reference Entity that is not an Affected Reference Entity (due to the occurrence of a Credit Event Determination Date such Reference Entity becomes an Affected Reference Entity) on or prior to the Scheduled Maturity Date (subject to extension if a Potential Credit Event Period is in effect on the Scheduled Maturity Date in respect of such Reference Entity), the portion of the Principal Amount of the Complex Products equal to the Reference Entity Principal Amount of such Affected Reference Entity will (i) cease to bear interest and any accrued and unpaid interest on such Reference Entity Principal Amount as of the date on which such Credit Event Determination Date has occurred will be cancelled and not be paid to the Holder thereof on the relevant Interest Payment Date, and (ii) be written down to zero, thereby reducing the Outstanding Principal Amount, on the basis of which the Scheduled Redemption Amount of the Complex Products is calculated and no further payments shall be made in respect of such Reference Entity Principal Amount to the Holders of the Complex Products. In such case, the greater the number of Reference Entities with respect to which a Credit Event Determination Date occurs on or prior to the Scheduled Maturity Date, the greater the loss suffered by the investor will be. </w:t>
            </w:r>
            <w:r w:rsidRPr="00B135C0">
              <w:rPr>
                <w:b/>
              </w:rPr>
              <w:t>In the worst case scenario</w:t>
            </w:r>
            <w:r w:rsidRPr="003A1EDD">
              <w:t>, (i) a Credit Event Determination Date with respect to each Reference Entity occurs prior to the first Interest Payment Date, which means that no interest payments on the relevant Complex Products will be made, and the Scheduled Redemption Amount will be equal to zero. In such case, the investor would suffer a total loss of its initial investment.</w:t>
            </w:r>
            <w:r w:rsidRPr="00F94B27" w:rsidR="00F94B27">
              <w:rPr>
                <w:b/>
              </w:rPr>
              <w:t>]</w:t>
            </w:r>
          </w:p>
        </w:tc>
        <w:tc>
          <w:tcPr>
            <w:tcW w:w="2516" w:type="pct"/>
            <w:tcBorders>
              <w:top w:val="nil"/>
              <w:left w:val="single" w:sz="4" w:space="0" w:color="auto"/>
              <w:bottom w:val="nil"/>
              <w:right w:val="nil"/>
            </w:tcBorders>
          </w:tcPr>
          <w:p w:rsidR="00B135C0" w:rsidRPr="00B135C0">
            <w:pPr>
              <w:pStyle w:val="CSBody0"/>
              <w:rPr>
                <w:lang w:val="de-DE"/>
              </w:rPr>
            </w:pPr>
            <w:r w:rsidRPr="00B135C0">
              <w:rPr>
                <w:b/>
                <w:lang w:val="de-DE"/>
              </w:rPr>
              <w:t>Tritt</w:t>
            </w:r>
            <w:r w:rsidRPr="00B135C0">
              <w:rPr>
                <w:lang w:val="de-DE"/>
              </w:rPr>
              <w:t xml:space="preserve"> in Bezug auf einen Referenzschuldner an oder vor dem Planmässigen Fälligkeitstag (vorbehaltlich einer Verlängerung im Fall dass ein Zeitraum eines Potenziellen Kreditereignisses am Planmässigen Fälligkeitstag in Bezug auf diesen Referenzschuldner besteht) </w:t>
            </w:r>
            <w:r w:rsidRPr="00B135C0">
              <w:rPr>
                <w:b/>
                <w:lang w:val="de-DE"/>
              </w:rPr>
              <w:t>ein Kreditereignis-Feststellungstag</w:t>
            </w:r>
            <w:r w:rsidRPr="00B135C0">
              <w:rPr>
                <w:lang w:val="de-DE"/>
              </w:rPr>
              <w:t xml:space="preserve"> in Bezug auf einen Referenzschuldner, bei dem es sich nicht um einen Betroffenen Referenzschuldner handelt, ein (auf Grund des Eintritts eines Kreditereignis-Feststellungstags wird dieser Referenzschuldner zu einem Betroffenen Referenzschuldner), so (i) endet die Verzinsung des Teils des Nennbetrags der Komplexen Produkte, der dem Referenzschuldner-Nennbetrag dieses Betroffenen Referenzschuldners entspricht und etwaige zum Termin des Eintritts des Kreditereignis-Feststellungstags auf den Referenzschuldner</w:t>
            </w:r>
            <w:r w:rsidR="0036261D">
              <w:rPr>
                <w:lang w:val="de-DE"/>
              </w:rPr>
              <w:t>-N</w:t>
            </w:r>
            <w:r w:rsidRPr="00B135C0">
              <w:rPr>
                <w:lang w:val="de-DE"/>
              </w:rPr>
              <w:t xml:space="preserve">ennbetrag aufgelaufene und noch nicht gezahlte Zinsen verfallen und werden nicht am jeweiligen Zinszahlungstag an den Inhaber dieses Komplexen Produkts gezahlt und (ii) wird der Teil des Nennbetrags der Komplexen Produkte, der dem Referenzschuldner-Nennbetrag des Betroffenen Referenzschuldner entspricht, auf null herab gesetzt, wodurch der Ausstehende Nennbetrag, auf dessen Basis der Planmässige Rückzahlungsbetrags berechnet wird, reduziert wird und es werden keine weiteren Zahlungen in Bezug auf diesen Referenzschuldner-Nennbetrag mehr an die Inhaber der Komplexen Produkte geleistet. In diesem Fall gilt: je mehr Referenzschuldner, in Bezug auf die an oder vor dem Planmässigen Fälligkeitstag ein Kreditereignis-Feststellungstag eintritt, umso grösser ist der Verlust, den der Anleger erleidet. </w:t>
            </w:r>
            <w:r w:rsidRPr="00B135C0">
              <w:rPr>
                <w:b/>
                <w:lang w:val="de-DE"/>
              </w:rPr>
              <w:t>Im schlimmsten Fall</w:t>
            </w:r>
            <w:r w:rsidRPr="00B135C0">
              <w:rPr>
                <w:lang w:val="de-DE"/>
              </w:rPr>
              <w:t xml:space="preserve"> (i) tritt vor dem ersten Zinszahlungstag ein Kreditereignis-Feststellungstag in Bezug auf jeden Referenzschuldner ein, </w:t>
            </w:r>
            <w:r w:rsidR="007E3558">
              <w:rPr>
                <w:lang w:val="de-DE"/>
              </w:rPr>
              <w:t>d.h.</w:t>
            </w:r>
            <w:r w:rsidRPr="00B135C0">
              <w:rPr>
                <w:lang w:val="de-DE"/>
              </w:rPr>
              <w:t xml:space="preserve"> es erfolgen keine Zinszahlungen auf die betreffenden Komplexen Produkte, und der Planmässige Rückzahlungsbetrag ist gleich null. In diesem Fall würde der Anleger einen Totalverlust seines ursprünglich eingesetzten Kapitals erleiden.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960E67" w:rsidP="00A7133B">
            <w:pPr>
              <w:pStyle w:val="CSbody0bolditalic"/>
              <w:rPr>
                <w:lang w:val="en-GB"/>
              </w:rPr>
            </w:pPr>
            <w:r w:rsidRPr="00F94B27">
              <w:rPr>
                <w:lang w:val="en-GB"/>
              </w:rPr>
              <w:t>[</w:t>
            </w:r>
            <w:r w:rsidRPr="00960E67">
              <w:rPr>
                <w:lang w:val="en-GB"/>
              </w:rPr>
              <w:t>in case of Credit-Linked Complex Products with simplified settlement:</w:t>
            </w:r>
          </w:p>
        </w:tc>
        <w:tc>
          <w:tcPr>
            <w:tcW w:w="2516" w:type="pct"/>
            <w:tcBorders>
              <w:top w:val="nil"/>
              <w:left w:val="single" w:sz="4" w:space="0" w:color="auto"/>
              <w:bottom w:val="nil"/>
              <w:right w:val="nil"/>
            </w:tcBorders>
          </w:tcPr>
          <w:p w:rsidR="00A7133B" w:rsidRPr="00A7133B" w:rsidP="00A7133B">
            <w:pPr>
              <w:pStyle w:val="CSbody0bolditalic"/>
            </w:pPr>
            <w:r w:rsidRPr="00F94B27">
              <w:t>[</w:t>
            </w:r>
            <w:r w:rsidRPr="00A7133B">
              <w:t>bei Kreditbezogenen Komplexen Produkten mit vereinfachter Abwicklung:</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960E67" w:rsidP="00A7133B">
            <w:pPr>
              <w:pStyle w:val="CSbody0bold"/>
              <w:rPr>
                <w:lang w:val="en-GB"/>
              </w:rPr>
            </w:pPr>
            <w:r w:rsidRPr="00960E67">
              <w:rPr>
                <w:lang w:val="en-GB"/>
              </w:rPr>
              <w:t>Credit-Linked Complex Products with simplified settlement are linked to the creditworthiness of the Reference Entity</w:t>
            </w:r>
          </w:p>
        </w:tc>
        <w:tc>
          <w:tcPr>
            <w:tcW w:w="2516" w:type="pct"/>
            <w:tcBorders>
              <w:top w:val="nil"/>
              <w:left w:val="single" w:sz="4" w:space="0" w:color="auto"/>
              <w:bottom w:val="nil"/>
              <w:right w:val="nil"/>
            </w:tcBorders>
          </w:tcPr>
          <w:p w:rsidR="00A7133B" w:rsidRPr="00A7133B" w:rsidP="00A7133B">
            <w:pPr>
              <w:pStyle w:val="CSbody0bold"/>
            </w:pPr>
            <w:r w:rsidRPr="00A7133B">
              <w:t>Kreditbezogene Komplexe Produkte mit vereinfachter Abwicklung sind an die Bonität eines oder mehrerer Referenzschuldner gebunden</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9346A6" w:rsidP="00A7133B">
            <w:pPr>
              <w:pStyle w:val="CSBody0"/>
            </w:pPr>
            <w:r w:rsidRPr="009346A6">
              <w:t>The payment of interest on, and the redemption of, Credit-Linked Complex Products with simplified settlement are dependent upon whether a Credit Redemption Event (</w:t>
            </w:r>
            <w:r w:rsidRPr="007E3558" w:rsidR="007E3558">
              <w:rPr>
                <w:i/>
              </w:rPr>
              <w:t>i.e.</w:t>
            </w:r>
            <w:r w:rsidRPr="009346A6">
              <w:t xml:space="preserve">, a Default Event or a Redemption Event) with respect to the Reference Entity to which the Complex Products are linked to have occurred and, if so, on the value of certain specified obligations of such Reference Entity. Investors in such Complex Products should be aware that if a Credit Redemption Event occurs with respect to the Reference Entity to which the Complex Products are linked and depending on the applicable Terms and Conditions, (i) they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they may lose all or a substantial portion of their investment. As Credit-Linked Complex Products with simplified settlement are </w:t>
            </w:r>
            <w:r w:rsidRPr="00A7133B">
              <w:rPr>
                <w:b/>
              </w:rPr>
              <w:t>not capital protected</w:t>
            </w:r>
            <w:r w:rsidRPr="009346A6">
              <w:t xml:space="preserve"> it is not possible to predict the return on such a Complex Product at the time of issuance.</w:t>
            </w:r>
          </w:p>
        </w:tc>
        <w:tc>
          <w:tcPr>
            <w:tcW w:w="2516" w:type="pct"/>
            <w:tcBorders>
              <w:top w:val="nil"/>
              <w:left w:val="single" w:sz="4" w:space="0" w:color="auto"/>
              <w:bottom w:val="nil"/>
              <w:right w:val="nil"/>
            </w:tcBorders>
          </w:tcPr>
          <w:p w:rsidR="00A7133B" w:rsidRPr="00A7133B" w:rsidP="00A7133B">
            <w:pPr>
              <w:pStyle w:val="CSBody0"/>
              <w:rPr>
                <w:lang w:val="de-DE"/>
              </w:rPr>
            </w:pPr>
            <w:r w:rsidRPr="00A7133B">
              <w:rPr>
                <w:lang w:val="de-DE"/>
              </w:rPr>
              <w:t xml:space="preserve">Die Zahlung von Zinsen auf Komplexe Produkte mit vereinfachter Abwicklung sowie die Rückzahlung dieser Komplexen Produkte hängen davon ab, ob ein Kredit-Rückzahlungsereignis (d.h. ein Ausfallereignis oder ein Rückzahlungsereignis) in Bezug auf den Referenzschuldner, an welchen die Komplexen Produkte gekoppelt sind, eingetreten sind und, soweit dies der Fall ist, vom Wert bestimmter festgelegter Verbindlichkeiten dieses Referenzschuldners. Anleger in diese Komplexen Produkte sollten sich bewusst sein, dass wenn ein Kredit-Rückzahlungsereignis in Bezug auf den Referenzschuldner, an welchen die Komplexen Produkte gekoppelt sind, (i) sie unter Umständen nur der Höhe nach begrenzte oder gar keine Zinszahlungen auf diese Komplexen Produkte erhalten, (ii) die Leistung des Rückzahlungsbetrags oder der Zinsen zu einem anderen Termin als erwartet erfolgen kann und (iii) der Rückzahlungsbetrag erheblich unter dem anfänglichen Nennbetrag der Komplexen Produkte liegen kann und sie einen Totalverlust ihres eingesetzten Kapitals erleiden können oder einen erheblichen Teil dieses Kapitals verlieren können, jeweils abhängig von den anwendbaren Emissionsbedingungen. Da Kreditbezogenen Komplexen Produkte mit vereinfachter Abwicklung </w:t>
            </w:r>
            <w:r w:rsidRPr="00A7133B">
              <w:rPr>
                <w:b/>
                <w:lang w:val="de-DE"/>
              </w:rPr>
              <w:t>nicht kapitalgeschützt</w:t>
            </w:r>
            <w:r w:rsidRPr="00A7133B">
              <w:rPr>
                <w:lang w:val="de-DE"/>
              </w:rPr>
              <w:t xml:space="preserve"> sind, ist es nicht möglich, die Erträge eines solchen Komplexen Produkts zum Zeitpunkt seiner Ausgabe vorherzusagen.</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9346A6" w:rsidP="00A7133B">
            <w:pPr>
              <w:pStyle w:val="CSBody0"/>
            </w:pPr>
            <w:r w:rsidRPr="009346A6">
              <w:t>The likelihood of the occurrence of a Credit Redemption Event will generally fluctuate with, among other things, the financial condition and other characteristics of the Reference Entity, general economic conditions, the condition of certain financial markets, political events, developments or trends in any particular industry and changes in prevailing interest rates. Potential investors should perform a thorough review of the Reference Entity and conduct their own investigation and analysis with respect to the creditworthiness of, and the likelihood of the occurrence of a Credit Redemption Event with respect to, the Reference Entity. Actions of the Reference Entity (for example, merger or demerger or the repayment or transfer of indebtedness) may adversely affect the value of Credit-Linked Complex Products with simplified settlement.</w:t>
            </w:r>
          </w:p>
        </w:tc>
        <w:tc>
          <w:tcPr>
            <w:tcW w:w="2516" w:type="pct"/>
            <w:tcBorders>
              <w:top w:val="nil"/>
              <w:left w:val="single" w:sz="4" w:space="0" w:color="auto"/>
              <w:bottom w:val="nil"/>
              <w:right w:val="nil"/>
            </w:tcBorders>
          </w:tcPr>
          <w:p w:rsidR="00A7133B" w:rsidRPr="00A7133B" w:rsidP="00A7133B">
            <w:pPr>
              <w:pStyle w:val="CSBody0"/>
              <w:rPr>
                <w:lang w:val="de-DE"/>
              </w:rPr>
            </w:pPr>
            <w:r w:rsidRPr="00A7133B">
              <w:rPr>
                <w:lang w:val="de-DE"/>
              </w:rPr>
              <w:t>Die Wahrscheinlichkeit, dass ein Kredit-Rückzahlungsereignis eintritt, variiert in der Regel aufgrund der Finanzlage und anderer Kenndaten des Referenzschuldners, der allgemeinen Konjunktur, der Lage an bestimmten Finanzmärkten sowie aufgrund von politischen Ereignissen, Entwicklungen oder Tendenzen in bestimmten Branchen, Änderungen der geltenden Zinssätze und weiteren Faktoren. Potenzielle Anleger sollten eine eingehende Prüfung des Referenzschuldners sowie eigene Nachforschungen und Analysen hinsichtlich der Bonität des Referenzschuldners sowie der Wahrscheinlichkeit des Eintritts eines Kredit-Rückzahlungsereignisses in Bezug auf den Referenzschuldner vornehmen. Massnahmen des Referenzschuldners (wie beispielsweise ein Zusammenschluss oder eine Abspaltung oder die Rückzahlung oder Übertragung von Verbindlichkeiten) können sich nachteilig auf den Wert der Kreditbezogenen Komplexen Produkte mit vereinfachter Abwicklung auswirken.</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960E67" w:rsidP="00A7133B">
            <w:pPr>
              <w:pStyle w:val="CSbody0bold"/>
              <w:rPr>
                <w:lang w:val="en-GB"/>
              </w:rPr>
            </w:pPr>
            <w:r w:rsidRPr="00960E67">
              <w:rPr>
                <w:lang w:val="en-GB"/>
              </w:rPr>
              <w:t>Risk of a total or near total loss of the funds invested and a total loss of any interest payments</w:t>
            </w:r>
          </w:p>
        </w:tc>
        <w:tc>
          <w:tcPr>
            <w:tcW w:w="2516" w:type="pct"/>
            <w:tcBorders>
              <w:top w:val="nil"/>
              <w:left w:val="single" w:sz="4" w:space="0" w:color="auto"/>
              <w:bottom w:val="nil"/>
              <w:right w:val="nil"/>
            </w:tcBorders>
          </w:tcPr>
          <w:p w:rsidR="00A7133B" w:rsidRPr="00A7133B" w:rsidP="00A7133B">
            <w:pPr>
              <w:pStyle w:val="CSbody0bold"/>
            </w:pPr>
            <w:r w:rsidRPr="00A7133B">
              <w:t>Risiko eines Totalverlusts oder nahezu vollständigen Verlusts der angelegten Gelder und eines Totalverlusts von Zinszahlungen</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EC4651" w:rsidP="00A7133B">
            <w:pPr>
              <w:pStyle w:val="CSBody0"/>
            </w:pPr>
            <w:r w:rsidRPr="00EC4651">
              <w:t xml:space="preserve">Upon the occurrence of a Credit Redemption Event on or prior to the Scheduled Maturity Date (subject to extension if a Suspension Period is in effect on the Scheduled Maturity Date), instead of being redeemed at the Scheduled Redemption Amount on the Scheduled Maturity Date, a Credit-Linked Complex Product with simplified settlement will be redeemed by payment of a cash amount equal to the Credit Redemption Amount (or, if specified in the applicable Terms and Conditions, by delivery of the number of Reference Obligations in the Ratio) to the holder thereof, which amount (or value of such Reference Obligations) will generally be considerably less than such holder's initial investment in such Complex Product. In addition, any accrued and unpaid interest on such Complex Product as of the date on which such Credit Redemption Event has occurred will be cancelled and not be paid to the holder thereof. </w:t>
            </w:r>
            <w:r w:rsidRPr="00A7133B">
              <w:rPr>
                <w:b/>
              </w:rPr>
              <w:t>In the worst case scenario</w:t>
            </w:r>
            <w:r w:rsidRPr="00EC4651">
              <w:t>, (i) a Credit Redemption Event occurs prior to the first Interest Payment Date, which means that no interest payments on the relevant Complex Products will be made, and (ii) the Credit Redemption Amount will be determined to be zero or, if applicable, the Reference Obligations to be delivered on the Credit Redemption Date will be worthless. In such case, the investor would suffer a total loss of its initial investment.</w:t>
            </w:r>
            <w:r w:rsidRPr="00F94B27" w:rsidR="00F94B27">
              <w:rPr>
                <w:b/>
              </w:rPr>
              <w:t>]</w:t>
            </w:r>
          </w:p>
        </w:tc>
        <w:tc>
          <w:tcPr>
            <w:tcW w:w="2516" w:type="pct"/>
            <w:tcBorders>
              <w:top w:val="nil"/>
              <w:left w:val="single" w:sz="4" w:space="0" w:color="auto"/>
              <w:bottom w:val="nil"/>
              <w:right w:val="nil"/>
            </w:tcBorders>
          </w:tcPr>
          <w:p w:rsidR="00A7133B" w:rsidRPr="00A7133B" w:rsidP="00A7133B">
            <w:pPr>
              <w:pStyle w:val="CSBody0"/>
              <w:rPr>
                <w:lang w:val="de-DE"/>
              </w:rPr>
            </w:pPr>
            <w:r w:rsidRPr="00A7133B">
              <w:rPr>
                <w:lang w:val="de-DE"/>
              </w:rPr>
              <w:t xml:space="preserve">Tritt an oder vor dem Planmässigen Fälligkeitstag (vorbehaltlich einer Verlängerung im Fall dass ein Aussetzungszeitraum am Planmässigen Fälligkeitstag besteht) ein Kredit-Rückzahlungsereignis ein, so wird ein Kreditbezogenes Komplexes Produkt mit vereinfachter Abwicklung nicht zum Planmässigen Rückzahlungsbetrag am Planmässigen Fälligkeitstag an den Inhaber zurückgezahlt, sondern durch Zahlung eines Barbetrags in Höhe des Kredit-Rückzahlungsbetrags (oder, falls die anwendbaren Emissionsbedingungen dies vorsehen, durch Lieferung der in dem Bezugsverhältnis angegebenen Anzahl von Referenzverbindlichkeiten), wobei dieser Betrag (oder der Wert dieser Referenzverbindlichkeiten) in der Regel wesentlich geringer ist als der ursprüngliche von diesen Inhabern in dieses Komplexe Produkt investierte Kapitalbetrag. Darüber hinaus verfallen etwaige zum Tag des Eintritts dieses Kredit-Rückzahlungsereignisses auf dieses Komplexe Produkt aufgelaufene und noch nicht gezahlte Zinsen und werden nicht an den Inhaber des Komplexen Produkts geleistet. </w:t>
            </w:r>
            <w:r w:rsidRPr="00A7133B">
              <w:rPr>
                <w:b/>
                <w:lang w:val="de-DE"/>
              </w:rPr>
              <w:t>Im schlimmsten Fall</w:t>
            </w:r>
            <w:r w:rsidRPr="00A7133B">
              <w:rPr>
                <w:lang w:val="de-DE"/>
              </w:rPr>
              <w:t xml:space="preserve"> (i) tritt vor dem ersten Zinszahlungstag ein Kredit-Rückzahlungsereignis ein, </w:t>
            </w:r>
            <w:r w:rsidR="007E3558">
              <w:rPr>
                <w:lang w:val="de-DE"/>
              </w:rPr>
              <w:t>d.h.</w:t>
            </w:r>
            <w:r w:rsidRPr="00A7133B">
              <w:rPr>
                <w:lang w:val="de-DE"/>
              </w:rPr>
              <w:t xml:space="preserve"> es erfolgen keine Zinszahlungen auf die betreffenden Komplexen Produkte, und (ii) wird festgestellt, dass der Kredit-Rückzahlungsbetrag null ist oder, falls anwendbar, dass die am Kredit-Rückzahlungstag zu liefernden Referenzverbindlichkeiten wertlos sein werden. In diesem Fall würde der Anleger einen Totalverlust seines ursprünglich eingesetzten Kapitals erleiden.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960E67" w:rsidP="00A7133B">
            <w:pPr>
              <w:pStyle w:val="CSbody0bolditalic"/>
              <w:rPr>
                <w:lang w:val="en-GB"/>
              </w:rPr>
            </w:pPr>
            <w:r w:rsidRPr="00F94B27">
              <w:rPr>
                <w:lang w:val="en-GB"/>
              </w:rPr>
              <w:t>[</w:t>
            </w:r>
            <w:r w:rsidRPr="00960E67">
              <w:rPr>
                <w:lang w:val="en-GB"/>
              </w:rPr>
              <w:t>in case of Complex Products with Fixed Final Redemption Amount:</w:t>
            </w:r>
          </w:p>
        </w:tc>
        <w:tc>
          <w:tcPr>
            <w:tcW w:w="2516" w:type="pct"/>
            <w:tcBorders>
              <w:top w:val="nil"/>
              <w:left w:val="single" w:sz="4" w:space="0" w:color="auto"/>
              <w:bottom w:val="nil"/>
              <w:right w:val="nil"/>
            </w:tcBorders>
          </w:tcPr>
          <w:p w:rsidR="00A7133B" w:rsidRPr="00A7133B" w:rsidP="00A7133B">
            <w:pPr>
              <w:pStyle w:val="CSbody0bolditalic"/>
            </w:pPr>
            <w:r w:rsidRPr="00F94B27">
              <w:t>[</w:t>
            </w:r>
            <w:r w:rsidRPr="00A7133B">
              <w:t>bei Komplexen Produkten mit Festem Finalen Rückzahlungsbetrag:</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960E67" w:rsidP="00A7133B">
            <w:pPr>
              <w:pStyle w:val="CSbody0bold"/>
              <w:rPr>
                <w:lang w:val="en-GB"/>
              </w:rPr>
            </w:pPr>
            <w:r w:rsidRPr="00960E67">
              <w:rPr>
                <w:lang w:val="en-GB"/>
              </w:rPr>
              <w:t xml:space="preserve">Although the Complex Products provide for a fixed Final Redemption Amount, investors may lose a part or all of their investment therein. </w:t>
            </w:r>
          </w:p>
        </w:tc>
        <w:tc>
          <w:tcPr>
            <w:tcW w:w="2516" w:type="pct"/>
            <w:tcBorders>
              <w:top w:val="nil"/>
              <w:left w:val="single" w:sz="4" w:space="0" w:color="auto"/>
              <w:bottom w:val="nil"/>
              <w:right w:val="nil"/>
            </w:tcBorders>
          </w:tcPr>
          <w:p w:rsidR="00A7133B" w:rsidRPr="00A7133B" w:rsidP="00A7133B">
            <w:pPr>
              <w:pStyle w:val="CSbody0bold"/>
            </w:pPr>
            <w:r w:rsidRPr="00A7133B">
              <w:t xml:space="preserve">Obwohl die Komplexen Produkte einen Festen Finalen Rückzahlungstag vorsehen, ist es möglich, dass Anleger den investierten Betrag ganz oder teilweise verlieren können. </w:t>
            </w:r>
          </w:p>
        </w:tc>
      </w:tr>
      <w:tr w:rsidTr="001527CB">
        <w:tblPrEx>
          <w:tblW w:w="5000" w:type="pct"/>
          <w:tblLayout w:type="fixed"/>
          <w:tblLook w:val="04A0"/>
        </w:tblPrEx>
        <w:tc>
          <w:tcPr>
            <w:tcW w:w="2484" w:type="pct"/>
            <w:tcBorders>
              <w:top w:val="nil"/>
              <w:left w:val="nil"/>
              <w:bottom w:val="nil"/>
              <w:right w:val="single" w:sz="4" w:space="0" w:color="auto"/>
            </w:tcBorders>
          </w:tcPr>
          <w:p w:rsidR="00A7133B" w:rsidRPr="00D62BB7" w:rsidP="00A7133B">
            <w:pPr>
              <w:pStyle w:val="CSBody0"/>
            </w:pPr>
            <w:r w:rsidRPr="00D62BB7">
              <w:t>The Complex Products provide for a fixed redemption amount equal to the percentage of the Denomination specified in the applicable Terms and Conditions (</w:t>
            </w:r>
            <w:r w:rsidRPr="007E3558" w:rsidR="007E3558">
              <w:rPr>
                <w:i/>
              </w:rPr>
              <w:t>i.e.</w:t>
            </w:r>
            <w:r w:rsidRPr="00D62BB7">
              <w:t xml:space="preserve">, the Final Redemption Amount), which investors in such Complex Products will receive on the Final Redemption Date (so long as not early redeemed). Accordingly (but subject to the immediately succeeding sentence), an investor's risk of loss is limited to the difference between the Issue Price (or, if different, the price such investor paid for the relevant Complex Product) and the Final Redemption Amount. </w:t>
            </w:r>
            <w:r w:rsidRPr="00C3407D">
              <w:rPr>
                <w:b/>
              </w:rPr>
              <w:t>Nevertheless, investors in such Complex Products may lose some or all of their investment therein (including the Final Redemption Amount), in particular if Credit Suisse were to become insolvent or otherwise unable to fulfil all or part of its obligations under such Complex Products.</w:t>
            </w:r>
            <w:r w:rsidRPr="00D62BB7">
              <w:t xml:space="preserve"> In addition, if an investor acquires such a Complex Product at a price that is higher than the Final Redemption Amount, such investor should be aware that the Final Redemption Amount does not fluctuate with the purchase price paid for the Complex Product. Furthermore, even though such Complex Products provide for a fixed Final Redemption Amount, this does not mean that the market value of such a Complex Product will ever be, or that an investor in such a Complex Product will ever be able to sell such Complex Product for an amount, equal to or above the Final Redemption Amount.</w:t>
            </w:r>
          </w:p>
        </w:tc>
        <w:tc>
          <w:tcPr>
            <w:tcW w:w="2516" w:type="pct"/>
            <w:tcBorders>
              <w:top w:val="nil"/>
              <w:left w:val="single" w:sz="4" w:space="0" w:color="auto"/>
              <w:bottom w:val="nil"/>
              <w:right w:val="nil"/>
            </w:tcBorders>
          </w:tcPr>
          <w:p w:rsidR="00A7133B" w:rsidRPr="00A7133B" w:rsidP="00A7133B">
            <w:pPr>
              <w:pStyle w:val="CSBody0"/>
              <w:rPr>
                <w:lang w:val="de-DE"/>
              </w:rPr>
            </w:pPr>
            <w:r w:rsidRPr="00A7133B">
              <w:rPr>
                <w:lang w:val="de-DE"/>
              </w:rPr>
              <w:t>Die Komplexen Produkte sehen einen festen Rückzahlungsbetrag in Höhe des in den anwendbaren Emissionsbedingungen angegebenen prozentualen Anteils der Stückelung vor (</w:t>
            </w:r>
            <w:r w:rsidR="007E3558">
              <w:rPr>
                <w:lang w:val="de-DE"/>
              </w:rPr>
              <w:t>d.h.</w:t>
            </w:r>
            <w:r w:rsidRPr="00A7133B">
              <w:rPr>
                <w:lang w:val="de-DE"/>
              </w:rPr>
              <w:t xml:space="preserve">, den Finalen Rückzahlungsbetrag), den Anleger in diese Komplexen Produkte am Finalen Rückzahlungstag erhalten (solange die Komplexen Produkte nicht vorzeitig zurückbezahlt werden). Das Verlustrisiko des Anlegers ist somit (allerdings vorbehaltlich des unmittelbar folgenden Satzes) auf die Differenz zwischen dem Emissionspreis (bzw., falls abweichend, dem Preis, den der jeweilige Anleger für das betreffende Komplexe Produkt gezahlt hat) und dem Finalen Rückzahlungsbetrag beschränkt. </w:t>
            </w:r>
            <w:r w:rsidRPr="00C3407D">
              <w:rPr>
                <w:b/>
                <w:lang w:val="de-DE"/>
              </w:rPr>
              <w:t>Anleger in diese Komplexen Produkte können jedoch insbesondere im Falle einer Insolvenz der Credit Suisse, oder falls die Credit Suisse ihre Verpflichtungen aus diesen Komplexen Produkten anderweitig nicht oder nur teilweise erfüllen kann, trotzdem den in Komplexe Produkte investierten Betrag (einschliesslich des Finalen Rückzahlungsbetrags) ganz oder teilweise verlieren.</w:t>
            </w:r>
            <w:r w:rsidRPr="00A7133B">
              <w:rPr>
                <w:lang w:val="de-DE"/>
              </w:rPr>
              <w:t xml:space="preserve"> Des Weiteren sollte ein Anleger, falls er ein solches Komplexes Produkt zu einem Preis erwirbt, der über dem Finalen Rückzahlungsbetrag liegt, sich bewusst sein, dass der Finale Rückzahlungsbetrag sich nicht analog zu Schwankungen des für das Komplexe Produkt gezahlten Preises ändert. Darüber hinaus bedeutet die Tatsache, dass diese Komplexen Produkte einen festen Finalen Rückzahlungsbetrag vorsehen, nicht, dass der Marktwert eines solchen Komplexen Produkts zu irgendeinem Zeitpunkt dem Finalen Rückzahlungsbetrag entspricht oder diesen überschreitet oder dass ein Anleger in ein solches Komplexes Produkt zu irgendeinem Zeitpunkt in der Lage sein wird, das Komplexe Produkt zu einem Betrag zu verkaufen, der dem Finalen Rückzahlungsbetrag entspricht oder diesen überschreitet.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E00E7B" w:rsidP="00C3407D">
            <w:pPr>
              <w:pStyle w:val="CSBody0"/>
            </w:pPr>
            <w:r w:rsidRPr="00F94B27">
              <w:rPr>
                <w:b/>
              </w:rPr>
              <w:t>[</w:t>
            </w:r>
            <w:r w:rsidRPr="00C3407D">
              <w:rPr>
                <w:b/>
                <w:i/>
              </w:rPr>
              <w:t>where the fixed Final Redemption Amount is less than 100% of the Denomination:</w:t>
            </w:r>
            <w:r w:rsidRPr="00E00E7B">
              <w:t xml:space="preserve"> As the Terms and Conditions provide for a fixed Final Redemption Amount that is less than 100% of the Denomination, the sum of the Final Redemption Amount and the Interest Payment Amount(s), if any, may be lower than the Issue Price (or, if different, the price the relevant investor paid for such Complex Product). In such case, the investor in such Complex Product would suffer a partial loss on its investment.</w:t>
            </w:r>
            <w:r w:rsidRPr="00F94B27">
              <w:rPr>
                <w:b/>
              </w:rPr>
              <w:t>]</w:t>
            </w:r>
          </w:p>
        </w:tc>
        <w:tc>
          <w:tcPr>
            <w:tcW w:w="2516" w:type="pct"/>
            <w:tcBorders>
              <w:top w:val="nil"/>
              <w:left w:val="single" w:sz="4" w:space="0" w:color="auto"/>
              <w:bottom w:val="nil"/>
              <w:right w:val="nil"/>
            </w:tcBorders>
          </w:tcPr>
          <w:p w:rsidR="00C3407D" w:rsidRPr="00C3407D" w:rsidP="00C3407D">
            <w:pPr>
              <w:pStyle w:val="CSBody0"/>
              <w:rPr>
                <w:lang w:val="de-DE"/>
              </w:rPr>
            </w:pPr>
            <w:r w:rsidRPr="00F94B27">
              <w:rPr>
                <w:b/>
                <w:lang w:val="de-DE"/>
              </w:rPr>
              <w:t>[</w:t>
            </w:r>
            <w:r w:rsidRPr="00C3407D">
              <w:rPr>
                <w:b/>
                <w:i/>
                <w:lang w:val="de-DE"/>
              </w:rPr>
              <w:t>falls der feste Finale Rückzahlungsbetrag weniger als 100% der Stückelung beträgt:</w:t>
            </w:r>
            <w:r w:rsidRPr="00C3407D">
              <w:rPr>
                <w:lang w:val="de-DE"/>
              </w:rPr>
              <w:t xml:space="preserve"> Da die Emissionsbedingungen einen festen Finalen Rückzahlungsbetrag von weniger als 100% der Stückelung vorsehen, kann die Summe aus dem Finalen Rückzahlungsbetrag und einem oder mehreren etwaigen Zinszahlungsbeträgen unter dem Emissionspreis (bzw., falls abweichend, dem Preis, den der jeweilige Anleger für das betreffende Komplexe Produkt gezahlt hat) liegen. In diesem Fall würde ein Anleger in solche Komplexen Produkte einen Teilverlust seines angelegten Kapitals erleiden.</w:t>
            </w:r>
            <w:r w:rsidRP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E00E7B" w:rsidP="00C3407D">
            <w:pPr>
              <w:pStyle w:val="CSBody0"/>
            </w:pPr>
            <w:r w:rsidRPr="00E00E7B">
              <w:t>Investors should also be aware that the Final Redemption Amount is only payable by the Issuer on the Final Redemption Date. If such Complex Products are early redeemed, investors may receive a redemption amount that is considerably lower than the Final Redemption Amount that would have otherwise been received.</w:t>
            </w:r>
            <w:r w:rsidRPr="00F94B27" w:rsidR="00F94B27">
              <w:rPr>
                <w:b/>
              </w:rPr>
              <w:t>]</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Anleger sollten sich auch bewusst sein, dass der Finale Rückzahlungsbetrag erst am Finalen Rückzahlungstag durch die Emittentin zu zahlen ist. Falls solche Komplexen Produkte vorzeitig zurückbezahlt werden, erhalten Anleger unter Umständen einen Rückzahlungsbetrag, der erheblich unter dem Finalen Rückzahlungsbetrag liegt, den sie anderenfalls erhalten hätten.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italic"/>
              <w:rPr>
                <w:lang w:val="en-GB"/>
              </w:rPr>
            </w:pPr>
            <w:r w:rsidRPr="00F94B27">
              <w:rPr>
                <w:lang w:val="en-GB"/>
              </w:rPr>
              <w:t>[</w:t>
            </w:r>
            <w:r w:rsidRPr="00960E67">
              <w:rPr>
                <w:lang w:val="en-GB"/>
              </w:rPr>
              <w:t>in case of Complex Products with floating rate interest payments:</w:t>
            </w:r>
          </w:p>
        </w:tc>
        <w:tc>
          <w:tcPr>
            <w:tcW w:w="2516" w:type="pct"/>
            <w:tcBorders>
              <w:top w:val="nil"/>
              <w:left w:val="single" w:sz="4" w:space="0" w:color="auto"/>
              <w:bottom w:val="nil"/>
              <w:right w:val="nil"/>
            </w:tcBorders>
          </w:tcPr>
          <w:p w:rsidR="00C3407D" w:rsidRPr="00C3407D" w:rsidP="00C3407D">
            <w:pPr>
              <w:pStyle w:val="CSbody0bolditalic"/>
            </w:pPr>
            <w:r w:rsidRPr="00F94B27">
              <w:t>[</w:t>
            </w:r>
            <w:r w:rsidRPr="00C3407D">
              <w:t>bei Komplexen Produkten mit variablen Zinszahlungen:</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There are specific risks with regard to Complex Products with Interest Payment Amounts based on a floating interest rate</w:t>
            </w:r>
          </w:p>
        </w:tc>
        <w:tc>
          <w:tcPr>
            <w:tcW w:w="2516" w:type="pct"/>
            <w:tcBorders>
              <w:top w:val="nil"/>
              <w:left w:val="single" w:sz="4" w:space="0" w:color="auto"/>
              <w:bottom w:val="nil"/>
              <w:right w:val="nil"/>
            </w:tcBorders>
          </w:tcPr>
          <w:p w:rsidR="00C3407D" w:rsidRPr="00C3407D" w:rsidP="00C3407D">
            <w:pPr>
              <w:pStyle w:val="CSbody0bold"/>
            </w:pPr>
            <w:r w:rsidRPr="00C3407D">
              <w:t>Komplexe Produkte mit an einen variablen Zinssatz gekoppelten Zinszahlungsbeträgen sind mit besonderen Risiken verbunden</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287618" w:rsidP="00C3407D">
            <w:pPr>
              <w:pStyle w:val="CSBody0"/>
            </w:pPr>
            <w:r w:rsidRPr="00287618">
              <w:t>The Complex Products provide for the payment of one or more Interest Payment Amounts based on a floating rate. A key difference between Complex Products with one or more Interest Payment Amounts based on a floating rate ("</w:t>
            </w:r>
            <w:r w:rsidRPr="00C3407D">
              <w:rPr>
                <w:b/>
              </w:rPr>
              <w:t>Floating Rate Products</w:t>
            </w:r>
            <w:r w:rsidRPr="00287618">
              <w:t>") and Complex Products with Interest Payment Amounts based only on a fixed rate ("</w:t>
            </w:r>
            <w:r w:rsidRPr="00C3407D">
              <w:rPr>
                <w:b/>
              </w:rPr>
              <w:t>Fixed Rate Products</w:t>
            </w:r>
            <w:r w:rsidRPr="00287618">
              <w:t>") is that the amount of Interest Payment Amounts based on a floating rate cannot be anticipated prior to the relevant date on which such amounts are calculated pursuant to the applicable Terms and Conditions. Due to varying interest rates, investors are not able to determine a definite yield at the time they purchase Floating Rate Products, which means that their return on investment cannot be compared to that of investments having fixed interest periods. If the applicable Terms and Conditions of Floating Rate Products provide for frequent Interest Payment Dates based on a floating rate, investors in such Complex Products are exposed to reinvestment risk if market interest rates decline. In other words, investors in Floating Rate Products may reinvest the interest income paid to them only at the thenprevailing relevant interest rates. In addition, the Issuer's ability to issue Fixed Rate Products may affect the market value and secondary market (if any) of the Floating Rate Products (and vice versa).</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Die Kompl</w:t>
            </w:r>
            <w:r w:rsidR="00B8307C">
              <w:rPr>
                <w:lang w:val="de-DE"/>
              </w:rPr>
              <w:t>e</w:t>
            </w:r>
            <w:r w:rsidRPr="00C3407D">
              <w:rPr>
                <w:lang w:val="de-DE"/>
              </w:rPr>
              <w:t>xen Produkte sehen einen oder mehrere Zinszahlungsbeträge auf der Basis eines variablen Zinssatzes vor. Ein wesentlicher Unterschied zwischen Komplexen Produkten mit an einen variablen Zinssatz gekoppelten Zinszahlungsbeträgen ("</w:t>
            </w:r>
            <w:r w:rsidRPr="00C3407D">
              <w:rPr>
                <w:b/>
                <w:lang w:val="de-DE"/>
              </w:rPr>
              <w:t>Variabel Verzinsliche Produkte</w:t>
            </w:r>
            <w:r w:rsidRPr="00C3407D">
              <w:rPr>
                <w:lang w:val="de-DE"/>
              </w:rPr>
              <w:t>") und Komplexen Produkten mit an einen Festzinssatz gekoppelten Zinszahlungsbeträgen ("</w:t>
            </w:r>
            <w:r w:rsidRPr="00C3407D">
              <w:rPr>
                <w:b/>
                <w:lang w:val="de-DE"/>
              </w:rPr>
              <w:t>Festzinsprodukte</w:t>
            </w:r>
            <w:r w:rsidRPr="00C3407D">
              <w:rPr>
                <w:lang w:val="de-DE"/>
              </w:rPr>
              <w:t xml:space="preserve">") besteht darin, dass die Höhe der auf Variabel Verzinsliche Produkte zu zahlenden Zinszahlungsbeträge vor dem Tag, an dem diese Beträge nach Massgabe der anwendbaren Emissionsbedingungen berechnet werden, nicht vorhersehbar ist. Aufgrund von Schwankungen der Zinssätze können Anleger im Zeitpunkt des Erwerbs Variabel Verzinslicher Produkte keine feste Rendite ermitteln, </w:t>
            </w:r>
            <w:r w:rsidR="007E3558">
              <w:rPr>
                <w:lang w:val="de-DE"/>
              </w:rPr>
              <w:t>d.h.</w:t>
            </w:r>
            <w:r w:rsidRPr="00C3407D">
              <w:rPr>
                <w:lang w:val="de-DE"/>
              </w:rPr>
              <w:t xml:space="preserve"> die Anlagerendite kann nicht mit der auf andere Anlageformen mit Festzinsperioden zu erzielenden Rendite verglichen werden. Wenn die anwendbaren Emissionsbedingungen der Komplexen Produkte häufige Zinszahlungstage vorsehen, sind Anleger in Variabel Verzinsliche Produkte bei fallenden Marktzinsen einem Wiederanlagerisiko ausgesetzt. Mit anderen Worten, Anleger in Variabel Verzinsliche Produkte können die an sie ausgezahlten Zinserträge nur zu den zu dem betreffenden Zeitpunkt jeweils gültigen Zinssätzen wiederanlegen. Darüber hinaus kann sich die Fähigkeit der Emittentin, Festzinsprodukte zu emittieren, nachteilig auf den Marktwert von Variabel Verzinslichen Produkten sowie einen gegebenenfalls für diese bestehenden Sekundärmarkt auswirken (und umgekehrt).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The market value of and interest payments on Floating Rate Products are dependent upon the level of the Reference Rate(s), and factors affecting the performance of the Reference Rate(s) may adversely affect the market value of, and return (if any) on, Floating Rate Products</w:t>
            </w:r>
          </w:p>
        </w:tc>
        <w:tc>
          <w:tcPr>
            <w:tcW w:w="2516" w:type="pct"/>
            <w:tcBorders>
              <w:top w:val="nil"/>
              <w:left w:val="single" w:sz="4" w:space="0" w:color="auto"/>
              <w:bottom w:val="nil"/>
              <w:right w:val="nil"/>
            </w:tcBorders>
          </w:tcPr>
          <w:p w:rsidR="00C3407D" w:rsidRPr="00C3407D" w:rsidP="00C3407D">
            <w:pPr>
              <w:pStyle w:val="CSbody0bold"/>
            </w:pPr>
            <w:r w:rsidRPr="00C3407D">
              <w:t>Der Marktwert und Zinszahlungen von Variabel Verzinslichen Produkten sind vom Stand des Referenzsatzes bzw. der Referenzsätze abhängig, und Faktoren, die sich auf die Entwicklung des Referenzsatzes bzw. der Referenzsätze auswirken, können sich nachteilig auf den Marktwert und eine etwaige Rendite der Variabel Verzinslichen Produkten auswirken</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287618" w:rsidP="00C3407D">
            <w:pPr>
              <w:pStyle w:val="CSBody0"/>
            </w:pPr>
            <w:r w:rsidRPr="00287618">
              <w:t>Each Complex Product with one or more Interest Payment Amounts based on a floating rate will represent an investment linked to the performance of one or more Reference Rates and potential investors should note that any amount payable under such a Complex Product will generally depend upon the performance of such Reference Rate(s).</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 xml:space="preserve">Jedes Komplexe Produkt mit an einen variablen Zinssatz gekoppelten Zinszahlungsbeträgen stellt eine Anlage dar, die an die Entwicklung eines oder mehrerer Referenzsätze gekoppelt ist, und potenzielle Anleger sollten zur Kenntnis nehmen, dass etwaige auf ein Komplexes Produkt zahlbare Beträge in der Regel von der Wertentwicklung dieses Referenzsatzes bzw. dieser Referenzsätze abhängig sind. </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287618" w:rsidP="00C3407D">
            <w:pPr>
              <w:pStyle w:val="CSBody0"/>
            </w:pPr>
            <w:r w:rsidRPr="00287618">
              <w:t xml:space="preserve">Reference Rates are mainly dependent upon the supply and demand for credit in the money market, </w:t>
            </w:r>
            <w:r w:rsidRPr="007E3558" w:rsidR="007E3558">
              <w:rPr>
                <w:i/>
              </w:rPr>
              <w:t>i.e.</w:t>
            </w:r>
            <w:r w:rsidRPr="00287618">
              <w:t>, the rates of interest paid on investments, determined by the interaction of supply of and demand for funds in the money market. The supply and demand in the money market on the other hand is dependent upon macroeconomic factors, such as interest and price levels on the capital markets, currency developments and political factors, or upon other factors, depending on the specific type of Reference Rate. Such factors affecting the performance of a Reference Rate may adversely affect the market value of, and return (if any) on, Floating Rate Products.</w:t>
            </w:r>
          </w:p>
        </w:tc>
        <w:tc>
          <w:tcPr>
            <w:tcW w:w="2516" w:type="pct"/>
            <w:tcBorders>
              <w:top w:val="nil"/>
              <w:left w:val="single" w:sz="4" w:space="0" w:color="auto"/>
              <w:bottom w:val="nil"/>
              <w:right w:val="nil"/>
            </w:tcBorders>
          </w:tcPr>
          <w:p w:rsidR="00C3407D" w:rsidRPr="00C3407D" w:rsidP="008F1293">
            <w:pPr>
              <w:pStyle w:val="CSBody0"/>
              <w:rPr>
                <w:lang w:val="de-DE"/>
              </w:rPr>
            </w:pPr>
            <w:r w:rsidRPr="00C3407D">
              <w:rPr>
                <w:lang w:val="de-DE"/>
              </w:rPr>
              <w:t>Referenzsätze sind im Wesentlichen von der Nachfrage- und Angebotssituation für Kredite auf dem Geldmarkt abhängig, d.h. den für Anlagen gezahlten Zinssätzen, die durch das Zusammenwirken des Angebots an Finanzmitteln und der Nachfrage danach auf dem Geldmarkt bestimmt werden. Angebot und Nachfrage auf dem Geldmarkt sind wiederum von makroökonomischen Faktoren abhängig wie beispielsweise dem Zins- und Kursniveau auf den Kapitalmärkten, Wechselkursentwicklungen, politischen Faktoren und anderen für den jeweiligen Referenzsatz spezifischen Faktoren. Diese Faktoren, die die Entwicklung eines Referenzsatzes beeinflussen, können sich nachteilig auf den Marktwert und eine etwaige Rendite der Variabel Verzinslichen Produkte auswirken.</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The interest rate applicable to all or some of the interest periods for Floating Rate Products is not certain, and may be zero or very low</w:t>
            </w:r>
          </w:p>
        </w:tc>
        <w:tc>
          <w:tcPr>
            <w:tcW w:w="2516" w:type="pct"/>
            <w:tcBorders>
              <w:top w:val="nil"/>
              <w:left w:val="single" w:sz="4" w:space="0" w:color="auto"/>
              <w:bottom w:val="nil"/>
              <w:right w:val="nil"/>
            </w:tcBorders>
          </w:tcPr>
          <w:p w:rsidR="00C3407D" w:rsidRPr="00C3407D" w:rsidP="00C3407D">
            <w:pPr>
              <w:pStyle w:val="CSbody0bold"/>
            </w:pPr>
            <w:r w:rsidRPr="00C3407D">
              <w:t>Der für alle oder einige Zinsperioden für Variabel Verzinsliche Produkte geltende Zinssatz steht nicht fest und kann null betragen oder sehr gering sein</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B63DF2" w:rsidP="00C3407D">
            <w:pPr>
              <w:pStyle w:val="CSBody0"/>
            </w:pPr>
            <w:r w:rsidRPr="00B63DF2">
              <w:t>Depending upon the development of the Reference Rate(s), it is possible that the applicable interest rate for one or more interest periods during the term of Floating Rate Products may be equal to zero, or, even if the interest rate is above zero, it may be substantially lower than the interest rate that would be applicable to conventional fixed rate debt securities of the Issuer with a comparable term.</w:t>
            </w:r>
            <w:r w:rsidRPr="00F94B27" w:rsidR="00F94B27">
              <w:rPr>
                <w:b/>
              </w:rPr>
              <w:t>]</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Je nach der Entwicklung des Referenzsatzes bzw. der Referenzsätze besteht die Möglichkeit, dass der Zinssatz für eine oder mehrere Zinsperioden während der Laufzeit der Variabel Verzinslichen Produkte null betragen kann oder selbst dann, wenn der Zinssatz grösser als null ist, wesentlich geringer sein kann als der Zinssatz, der für herkömmliche festverzinsliche Schuldtitel der Emittentin mit vergleichbarer Laufzeit gelten würde.</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italic"/>
              <w:rPr>
                <w:lang w:val="en-GB"/>
              </w:rPr>
            </w:pPr>
            <w:r w:rsidRPr="00F94B27">
              <w:rPr>
                <w:lang w:val="en-GB"/>
              </w:rPr>
              <w:t>[</w:t>
            </w:r>
            <w:r w:rsidRPr="00960E67">
              <w:rPr>
                <w:lang w:val="en-GB"/>
              </w:rPr>
              <w:t>in case of Floating Rate Notes:</w:t>
            </w:r>
          </w:p>
        </w:tc>
        <w:tc>
          <w:tcPr>
            <w:tcW w:w="2516" w:type="pct"/>
            <w:tcBorders>
              <w:top w:val="nil"/>
              <w:left w:val="single" w:sz="4" w:space="0" w:color="auto"/>
              <w:bottom w:val="nil"/>
              <w:right w:val="nil"/>
            </w:tcBorders>
          </w:tcPr>
          <w:p w:rsidR="00C3407D" w:rsidRPr="00B63DF2" w:rsidP="00C3407D">
            <w:pPr>
              <w:pStyle w:val="CSbody0bolditalic"/>
            </w:pPr>
            <w:r w:rsidRPr="00F94B27">
              <w:t>[</w:t>
            </w:r>
            <w:r w:rsidRPr="00B63DF2">
              <w:t>bei Floating Rate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Risks in connection with Floating Rate Notes</w:t>
            </w:r>
          </w:p>
        </w:tc>
        <w:tc>
          <w:tcPr>
            <w:tcW w:w="2516" w:type="pct"/>
            <w:tcBorders>
              <w:top w:val="nil"/>
              <w:left w:val="single" w:sz="4" w:space="0" w:color="auto"/>
              <w:bottom w:val="nil"/>
              <w:right w:val="nil"/>
            </w:tcBorders>
          </w:tcPr>
          <w:p w:rsidR="00C3407D" w:rsidRPr="00C3407D" w:rsidP="00C3407D">
            <w:pPr>
              <w:pStyle w:val="CSbody0bold"/>
            </w:pPr>
            <w:r w:rsidRPr="00C3407D">
              <w:t>Risiken im Zusammenhang mit Floating Rate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B63DF2" w:rsidP="00C3407D">
            <w:pPr>
              <w:pStyle w:val="CSBody0"/>
            </w:pPr>
            <w:r w:rsidRPr="00B63DF2">
              <w:t>In case of Floating Rate Notes, the Interest Rate on the basis of which the Interest Payment Amount</w:t>
            </w:r>
            <w:r w:rsidRPr="00F94B27" w:rsidR="00F94B27">
              <w:rPr>
                <w:b/>
              </w:rPr>
              <w:t>[</w:t>
            </w:r>
            <w:r w:rsidRPr="00B63DF2">
              <w:t>s</w:t>
            </w:r>
            <w:r w:rsidRPr="00F94B27" w:rsidR="00F94B27">
              <w:rPr>
                <w:b/>
              </w:rPr>
              <w:t>]</w:t>
            </w:r>
            <w:r w:rsidRPr="00B63DF2">
              <w:t xml:space="preserve"> </w:t>
            </w:r>
            <w:r w:rsidRPr="00F94B27" w:rsidR="00F94B27">
              <w:rPr>
                <w:b/>
              </w:rPr>
              <w:t>[</w:t>
            </w:r>
            <w:r w:rsidRPr="00B63DF2">
              <w:t>is</w:t>
            </w:r>
            <w:r w:rsidRPr="00F94B27" w:rsidR="00F94B27">
              <w:rPr>
                <w:b/>
              </w:rPr>
              <w:t>][</w:t>
            </w:r>
            <w:r w:rsidRPr="00B63DF2">
              <w:t>are</w:t>
            </w:r>
            <w:r w:rsidRPr="00F94B27" w:rsidR="00F94B27">
              <w:rPr>
                <w:b/>
              </w:rPr>
              <w:t>]</w:t>
            </w:r>
            <w:r w:rsidRPr="00B63DF2">
              <w:t xml:space="preserve"> calculated will be equal to the </w:t>
            </w:r>
            <w:r w:rsidRPr="00F94B27" w:rsidR="00F94B27">
              <w:rPr>
                <w:b/>
              </w:rPr>
              <w:t>[</w:t>
            </w:r>
            <w:r w:rsidRPr="00B63DF2">
              <w:t>Reference Rate (</w:t>
            </w:r>
            <w:r w:rsidRPr="007E3558" w:rsidR="007E3558">
              <w:rPr>
                <w:i/>
              </w:rPr>
              <w:t>i.e.</w:t>
            </w:r>
            <w:r w:rsidRPr="00B63DF2">
              <w:t xml:space="preserve">, a variable rate of interest) on the </w:t>
            </w:r>
            <w:r w:rsidRPr="00F94B27" w:rsidR="00F94B27">
              <w:rPr>
                <w:b/>
              </w:rPr>
              <w:t>[</w:t>
            </w:r>
            <w:r w:rsidRPr="00B63DF2">
              <w:t>relevant</w:t>
            </w:r>
            <w:r w:rsidRPr="00F94B27" w:rsidR="00F94B27">
              <w:rPr>
                <w:b/>
              </w:rPr>
              <w:t>]</w:t>
            </w:r>
            <w:r w:rsidRPr="00B63DF2">
              <w:t xml:space="preserve"> Interest Determination Date</w:t>
            </w:r>
            <w:r w:rsidRPr="00F94B27" w:rsidR="00F94B27">
              <w:rPr>
                <w:b/>
              </w:rPr>
              <w:t>]</w:t>
            </w:r>
            <w:r w:rsidRPr="00B63DF2">
              <w:t xml:space="preserve"> </w:t>
            </w:r>
            <w:r w:rsidRPr="00F94B27" w:rsidR="00F94B27">
              <w:rPr>
                <w:b/>
              </w:rPr>
              <w:t>[</w:t>
            </w:r>
            <w:r w:rsidRPr="00B63DF2">
              <w:t>sum of the Reference Rate (</w:t>
            </w:r>
            <w:r w:rsidRPr="007E3558" w:rsidR="007E3558">
              <w:rPr>
                <w:i/>
              </w:rPr>
              <w:t>i.e.</w:t>
            </w:r>
            <w:r w:rsidRPr="00B63DF2">
              <w:t xml:space="preserve">, a variable rate of interest) on the </w:t>
            </w:r>
            <w:r w:rsidRPr="00F94B27" w:rsidR="00F94B27">
              <w:rPr>
                <w:b/>
              </w:rPr>
              <w:t>[</w:t>
            </w:r>
            <w:r w:rsidRPr="00B63DF2">
              <w:t>relevant</w:t>
            </w:r>
            <w:r w:rsidRPr="00F94B27" w:rsidR="00F94B27">
              <w:rPr>
                <w:b/>
              </w:rPr>
              <w:t>]</w:t>
            </w:r>
            <w:r w:rsidRPr="00B63DF2">
              <w:t xml:space="preserve"> Interest Determination Date and </w:t>
            </w:r>
            <w:r w:rsidRPr="00F94B27" w:rsidR="00F94B27">
              <w:rPr>
                <w:b/>
              </w:rPr>
              <w:t>[</w:t>
            </w:r>
            <w:r w:rsidR="003857E8">
              <w:rPr>
                <w:rFonts w:ascii="Arial" w:hAnsi="Arial" w:cs="Arial"/>
              </w:rPr>
              <w:t>●</w:t>
            </w:r>
            <w:r w:rsidRPr="00F94B27" w:rsidR="00F94B27">
              <w:rPr>
                <w:b/>
              </w:rPr>
              <w:t>]</w:t>
            </w:r>
            <w:r w:rsidRPr="00B63DF2">
              <w:t>% per annum</w:t>
            </w:r>
            <w:r w:rsidRPr="00F94B27" w:rsidR="00F94B27">
              <w:rPr>
                <w:b/>
              </w:rPr>
              <w:t>]</w:t>
            </w:r>
            <w:r w:rsidRPr="00B63DF2">
              <w:t>. As the Reference Rate is subject to fluctuations, the Interest Payment Amount</w:t>
            </w:r>
            <w:r w:rsidRPr="00F94B27" w:rsidR="00F94B27">
              <w:rPr>
                <w:b/>
              </w:rPr>
              <w:t>[</w:t>
            </w:r>
            <w:r w:rsidRPr="00B63DF2">
              <w:t>s</w:t>
            </w:r>
            <w:r w:rsidRPr="00F94B27" w:rsidR="00F94B27">
              <w:rPr>
                <w:b/>
              </w:rPr>
              <w:t>]</w:t>
            </w:r>
            <w:r w:rsidRPr="00B63DF2">
              <w:t xml:space="preserve"> payable in respect of Floating Rate Notes </w:t>
            </w:r>
            <w:r w:rsidRPr="00F94B27" w:rsidR="00F94B27">
              <w:rPr>
                <w:b/>
              </w:rPr>
              <w:t>[</w:t>
            </w:r>
            <w:r w:rsidRPr="00B63DF2">
              <w:t>is</w:t>
            </w:r>
            <w:r w:rsidRPr="00F94B27" w:rsidR="00F94B27">
              <w:rPr>
                <w:b/>
              </w:rPr>
              <w:t>][</w:t>
            </w:r>
            <w:r w:rsidRPr="00B63DF2">
              <w:t>are</w:t>
            </w:r>
            <w:r w:rsidRPr="00F94B27" w:rsidR="00F94B27">
              <w:rPr>
                <w:b/>
              </w:rPr>
              <w:t>]</w:t>
            </w:r>
            <w:r w:rsidRPr="00B63DF2">
              <w:t xml:space="preserve"> uncertain and may be substantially lower than the interest payment amounts that would be payable under conventional fixed rate debt securities of the Issuer with a comparable term.</w:t>
            </w:r>
            <w:r w:rsidRPr="00F94B27" w:rsidR="00F94B27">
              <w:rPr>
                <w:b/>
              </w:rPr>
              <w:t>]</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 xml:space="preserve">Bei Floating Rate Notes entspricht der Zinssatz, auf dessen Grundlage </w:t>
            </w:r>
            <w:r w:rsidRPr="00F94B27" w:rsidR="00F94B27">
              <w:rPr>
                <w:b/>
                <w:lang w:val="de-DE"/>
              </w:rPr>
              <w:t>[</w:t>
            </w:r>
            <w:r w:rsidRPr="00C3407D">
              <w:rPr>
                <w:lang w:val="de-DE"/>
              </w:rPr>
              <w:t>der Zinszahlungsbetrag</w:t>
            </w:r>
            <w:r w:rsidRPr="00F94B27" w:rsidR="00F94B27">
              <w:rPr>
                <w:b/>
                <w:lang w:val="de-DE"/>
              </w:rPr>
              <w:t>]</w:t>
            </w:r>
            <w:r w:rsidRPr="00C3407D">
              <w:rPr>
                <w:lang w:val="de-DE"/>
              </w:rPr>
              <w:t xml:space="preserve"> </w:t>
            </w:r>
            <w:r w:rsidRPr="00F94B27" w:rsidR="00F94B27">
              <w:rPr>
                <w:b/>
                <w:lang w:val="de-DE"/>
              </w:rPr>
              <w:t>[</w:t>
            </w:r>
            <w:r w:rsidRPr="00C3407D">
              <w:rPr>
                <w:lang w:val="de-DE"/>
              </w:rPr>
              <w:t>die Zinszahlungsbeträge</w:t>
            </w:r>
            <w:r w:rsidRPr="00F94B27" w:rsidR="00F94B27">
              <w:rPr>
                <w:b/>
                <w:lang w:val="de-DE"/>
              </w:rPr>
              <w:t>]</w:t>
            </w:r>
            <w:r w:rsidRPr="00C3407D">
              <w:rPr>
                <w:lang w:val="de-DE"/>
              </w:rPr>
              <w:t xml:space="preserve"> berechnet </w:t>
            </w:r>
            <w:r w:rsidRPr="00F94B27" w:rsidR="00F94B27">
              <w:rPr>
                <w:b/>
                <w:lang w:val="de-DE"/>
              </w:rPr>
              <w:t>[</w:t>
            </w:r>
            <w:r w:rsidRPr="00C3407D">
              <w:rPr>
                <w:lang w:val="de-DE"/>
              </w:rPr>
              <w:t>wird</w:t>
            </w:r>
            <w:r w:rsidRPr="00F94B27" w:rsidR="00F94B27">
              <w:rPr>
                <w:b/>
                <w:lang w:val="de-DE"/>
              </w:rPr>
              <w:t>]</w:t>
            </w:r>
            <w:r w:rsidRPr="00C3407D">
              <w:rPr>
                <w:lang w:val="de-DE"/>
              </w:rPr>
              <w:t xml:space="preserve"> </w:t>
            </w:r>
            <w:r w:rsidRPr="00F94B27" w:rsidR="00F94B27">
              <w:rPr>
                <w:b/>
                <w:lang w:val="de-DE"/>
              </w:rPr>
              <w:t>[</w:t>
            </w:r>
            <w:r w:rsidRPr="00C3407D">
              <w:rPr>
                <w:lang w:val="de-DE"/>
              </w:rPr>
              <w:t>werden</w:t>
            </w:r>
            <w:r w:rsidRPr="00F94B27" w:rsidR="00F94B27">
              <w:rPr>
                <w:b/>
                <w:lang w:val="de-DE"/>
              </w:rPr>
              <w:t>]</w:t>
            </w:r>
            <w:r w:rsidRPr="00C3407D">
              <w:rPr>
                <w:lang w:val="de-DE"/>
              </w:rPr>
              <w:t xml:space="preserve">, </w:t>
            </w:r>
            <w:r w:rsidRPr="00F94B27" w:rsidR="00F94B27">
              <w:rPr>
                <w:b/>
                <w:lang w:val="de-DE"/>
              </w:rPr>
              <w:t>[</w:t>
            </w:r>
            <w:r w:rsidRPr="00C3407D">
              <w:rPr>
                <w:lang w:val="de-DE"/>
              </w:rPr>
              <w:t xml:space="preserve">dem Referenzsatz (d.h. einem variablen Zinssatz) am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Zinsfeststellungstag</w:t>
            </w:r>
            <w:r w:rsidRPr="00F94B27" w:rsidR="00F94B27">
              <w:rPr>
                <w:b/>
                <w:lang w:val="de-DE"/>
              </w:rPr>
              <w:t>]</w:t>
            </w:r>
            <w:r w:rsidRPr="00C3407D">
              <w:rPr>
                <w:lang w:val="de-DE"/>
              </w:rPr>
              <w:t xml:space="preserve"> </w:t>
            </w:r>
            <w:r w:rsidRPr="00F94B27" w:rsidR="00F94B27">
              <w:rPr>
                <w:b/>
                <w:lang w:val="de-DE"/>
              </w:rPr>
              <w:t>[</w:t>
            </w:r>
            <w:r w:rsidRPr="00C3407D">
              <w:rPr>
                <w:lang w:val="de-DE"/>
              </w:rPr>
              <w:t xml:space="preserve">der Summe aus dem Referenzsatz (d.h. einem variablen Zinssatz) am jeweiligen Zinsfeststellungstag und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per annum</w:t>
            </w:r>
            <w:r w:rsidRPr="00F94B27" w:rsidR="00F94B27">
              <w:rPr>
                <w:b/>
                <w:lang w:val="de-DE"/>
              </w:rPr>
              <w:t>]</w:t>
            </w:r>
            <w:r w:rsidRPr="00C3407D">
              <w:rPr>
                <w:lang w:val="de-DE"/>
              </w:rPr>
              <w:t xml:space="preserve">. Da der Referenzsatz Schwankungen unterliegt, ist die Höhe </w:t>
            </w:r>
            <w:r w:rsidRPr="00F94B27" w:rsidR="00F94B27">
              <w:rPr>
                <w:b/>
                <w:lang w:val="de-DE"/>
              </w:rPr>
              <w:t>[</w:t>
            </w:r>
            <w:r w:rsidRPr="00C3407D">
              <w:rPr>
                <w:lang w:val="de-DE"/>
              </w:rPr>
              <w:t>des in Bezug auf Floating Rating Notes zahlbaren Zinszahlungsbetrags</w:t>
            </w:r>
            <w:r w:rsidRPr="00F94B27" w:rsidR="00F94B27">
              <w:rPr>
                <w:b/>
                <w:lang w:val="de-DE"/>
              </w:rPr>
              <w:t>]</w:t>
            </w:r>
            <w:r w:rsidRPr="00C3407D">
              <w:rPr>
                <w:lang w:val="de-DE"/>
              </w:rPr>
              <w:t xml:space="preserve"> </w:t>
            </w:r>
            <w:r w:rsidRPr="00F94B27" w:rsidR="00F94B27">
              <w:rPr>
                <w:b/>
                <w:lang w:val="de-DE"/>
              </w:rPr>
              <w:t>[</w:t>
            </w:r>
            <w:r w:rsidRPr="00C3407D">
              <w:rPr>
                <w:lang w:val="de-DE"/>
              </w:rPr>
              <w:t>der in Bezug auf Floating Rate Notes zahlbaren Zinszahlungsbeträge</w:t>
            </w:r>
            <w:r w:rsidRPr="00F94B27" w:rsidR="00F94B27">
              <w:rPr>
                <w:b/>
                <w:lang w:val="de-DE"/>
              </w:rPr>
              <w:t>]</w:t>
            </w:r>
            <w:r w:rsidRPr="00C3407D">
              <w:rPr>
                <w:lang w:val="de-DE"/>
              </w:rPr>
              <w:t xml:space="preserve"> ungewiss und kann wesentlich niedriger sein als die Zinszahlungsbeträge, die für herkömmliche festverzinsliche Schuldtitel der Emittentin mit vergleichbarer Laufzeit gezahlt würden.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italic"/>
              <w:rPr>
                <w:lang w:val="en-GB"/>
              </w:rPr>
            </w:pPr>
            <w:r w:rsidRPr="00F94B27">
              <w:rPr>
                <w:lang w:val="en-GB"/>
              </w:rPr>
              <w:t>[</w:t>
            </w:r>
            <w:r w:rsidRPr="00960E67">
              <w:rPr>
                <w:lang w:val="en-GB"/>
              </w:rPr>
              <w:t>in case of Fixed to Floating Rate Notes:</w:t>
            </w:r>
          </w:p>
        </w:tc>
        <w:tc>
          <w:tcPr>
            <w:tcW w:w="2516" w:type="pct"/>
            <w:tcBorders>
              <w:top w:val="nil"/>
              <w:left w:val="single" w:sz="4" w:space="0" w:color="auto"/>
              <w:bottom w:val="nil"/>
              <w:right w:val="nil"/>
            </w:tcBorders>
          </w:tcPr>
          <w:p w:rsidR="00C3407D" w:rsidRPr="00960E67" w:rsidP="00C3407D">
            <w:pPr>
              <w:pStyle w:val="CSbody0bolditalic"/>
              <w:rPr>
                <w:lang w:val="en-GB"/>
              </w:rPr>
            </w:pPr>
            <w:r w:rsidRPr="00F94B27">
              <w:rPr>
                <w:lang w:val="en-GB"/>
              </w:rPr>
              <w:t>[</w:t>
            </w:r>
            <w:r w:rsidRPr="00960E67">
              <w:rPr>
                <w:lang w:val="en-GB"/>
              </w:rPr>
              <w:t>bei Fixed to Floating Rate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Risks in connection with Fixed to Floating Rate Notes</w:t>
            </w:r>
          </w:p>
        </w:tc>
        <w:tc>
          <w:tcPr>
            <w:tcW w:w="2516" w:type="pct"/>
            <w:tcBorders>
              <w:top w:val="nil"/>
              <w:left w:val="single" w:sz="4" w:space="0" w:color="auto"/>
              <w:bottom w:val="nil"/>
              <w:right w:val="nil"/>
            </w:tcBorders>
          </w:tcPr>
          <w:p w:rsidR="00C3407D" w:rsidRPr="00C3407D" w:rsidP="00C3407D">
            <w:pPr>
              <w:pStyle w:val="CSbody0bold"/>
            </w:pPr>
            <w:r w:rsidRPr="00C3407D">
              <w:t>Risiken im Zusammenhang mit Fixed to Floating Rate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5E5B23" w:rsidP="00C3407D">
            <w:pPr>
              <w:pStyle w:val="CSBody0"/>
            </w:pPr>
            <w:r w:rsidRPr="005E5B23">
              <w:t xml:space="preserve">In case of Fixed to Floating Rate Notes, the Interest Rate on the basis of which the Interest Payment Amounts are calculated on the </w:t>
            </w:r>
            <w:r w:rsidRPr="00F94B27" w:rsidR="00F94B27">
              <w:rPr>
                <w:b/>
              </w:rPr>
              <w:t>[</w:t>
            </w:r>
            <w:r w:rsidRPr="00C3407D">
              <w:rPr>
                <w:b/>
                <w:i/>
              </w:rPr>
              <w:t>insert number of Interest Payment Date, on which the Interest Rate will be switched from a fixed to a variable rate per annum:</w:t>
            </w:r>
            <w:r w:rsidRPr="005E5B23">
              <w:t xml:space="preserve"> </w:t>
            </w:r>
            <w:r w:rsidRPr="00F94B27" w:rsidR="00F94B27">
              <w:rPr>
                <w:b/>
              </w:rPr>
              <w:t>[</w:t>
            </w:r>
            <w:r w:rsidR="003857E8">
              <w:rPr>
                <w:rFonts w:ascii="Arial" w:hAnsi="Arial" w:cs="Arial"/>
              </w:rPr>
              <w:t>●</w:t>
            </w:r>
            <w:r w:rsidRPr="00F94B27" w:rsidR="00F94B27">
              <w:rPr>
                <w:b/>
              </w:rPr>
              <w:t>]]</w:t>
            </w:r>
            <w:r w:rsidRPr="005E5B23">
              <w:t xml:space="preserve"> Interest Payment Date </w:t>
            </w:r>
            <w:r w:rsidRPr="00F94B27" w:rsidR="00F94B27">
              <w:rPr>
                <w:b/>
              </w:rPr>
              <w:t>[</w:t>
            </w:r>
            <w:r w:rsidRPr="005E5B23">
              <w:t>and any following Interest Payment Date</w:t>
            </w:r>
            <w:r w:rsidRPr="00F94B27" w:rsidR="00F94B27">
              <w:rPr>
                <w:b/>
              </w:rPr>
              <w:t>]</w:t>
            </w:r>
            <w:r w:rsidRPr="005E5B23">
              <w:t xml:space="preserve"> will be a variable Interest Rate. On </w:t>
            </w:r>
            <w:r w:rsidRPr="00F94B27" w:rsidR="00F94B27">
              <w:rPr>
                <w:b/>
              </w:rPr>
              <w:t>[</w:t>
            </w:r>
            <w:r w:rsidRPr="005E5B23">
              <w:t>the</w:t>
            </w:r>
            <w:r w:rsidRPr="00F94B27" w:rsidR="00F94B27">
              <w:rPr>
                <w:b/>
              </w:rPr>
              <w:t>][</w:t>
            </w:r>
            <w:r w:rsidRPr="005E5B23">
              <w:t>each</w:t>
            </w:r>
            <w:r w:rsidRPr="00F94B27" w:rsidR="00F94B27">
              <w:rPr>
                <w:b/>
              </w:rPr>
              <w:t>]</w:t>
            </w:r>
            <w:r w:rsidRPr="005E5B23">
              <w:t xml:space="preserve"> Interest Payment Date, on which a variable Interest Rate is applicable, such variable rate will be equal to the </w:t>
            </w:r>
            <w:r w:rsidRPr="00F94B27" w:rsidR="00F94B27">
              <w:rPr>
                <w:b/>
              </w:rPr>
              <w:t>[</w:t>
            </w:r>
            <w:r w:rsidRPr="005E5B23">
              <w:t>Reference Rate (</w:t>
            </w:r>
            <w:r w:rsidRPr="007E3558" w:rsidR="007E3558">
              <w:rPr>
                <w:i/>
              </w:rPr>
              <w:t>i.e.</w:t>
            </w:r>
            <w:r w:rsidRPr="005E5B23">
              <w:t xml:space="preserve">, a variable rate of interest) on the </w:t>
            </w:r>
            <w:r w:rsidRPr="00F94B27" w:rsidR="00F94B27">
              <w:rPr>
                <w:b/>
              </w:rPr>
              <w:t>[</w:t>
            </w:r>
            <w:r w:rsidRPr="005E5B23">
              <w:t>relevant</w:t>
            </w:r>
            <w:r w:rsidRPr="00F94B27" w:rsidR="00F94B27">
              <w:rPr>
                <w:b/>
              </w:rPr>
              <w:t>]</w:t>
            </w:r>
            <w:r w:rsidRPr="005E5B23">
              <w:t xml:space="preserve"> Interest Determination Date</w:t>
            </w:r>
            <w:r w:rsidRPr="00F94B27" w:rsidR="00F94B27">
              <w:rPr>
                <w:b/>
              </w:rPr>
              <w:t>]</w:t>
            </w:r>
            <w:r w:rsidRPr="005E5B23">
              <w:t xml:space="preserve"> </w:t>
            </w:r>
            <w:r w:rsidRPr="00F94B27" w:rsidR="00F94B27">
              <w:rPr>
                <w:b/>
              </w:rPr>
              <w:t>[</w:t>
            </w:r>
            <w:r w:rsidRPr="005E5B23">
              <w:t>sum of the Reference Rate (</w:t>
            </w:r>
            <w:r w:rsidRPr="007E3558" w:rsidR="007E3558">
              <w:rPr>
                <w:i/>
              </w:rPr>
              <w:t>i.e.</w:t>
            </w:r>
            <w:r w:rsidRPr="005E5B23">
              <w:t xml:space="preserve">, a variable rate of interest) on the </w:t>
            </w:r>
            <w:r w:rsidRPr="00F94B27" w:rsidR="00F94B27">
              <w:rPr>
                <w:b/>
              </w:rPr>
              <w:t>[</w:t>
            </w:r>
            <w:r w:rsidRPr="005E5B23">
              <w:t>relevant</w:t>
            </w:r>
            <w:r w:rsidRPr="00F94B27" w:rsidR="00F94B27">
              <w:rPr>
                <w:b/>
              </w:rPr>
              <w:t>]</w:t>
            </w:r>
            <w:r w:rsidRPr="005E5B23">
              <w:t xml:space="preserve"> Interest Determination Date and </w:t>
            </w:r>
            <w:r w:rsidRPr="00F94B27" w:rsidR="00F94B27">
              <w:rPr>
                <w:b/>
              </w:rPr>
              <w:t>[</w:t>
            </w:r>
            <w:r w:rsidR="003857E8">
              <w:rPr>
                <w:rFonts w:ascii="Arial" w:hAnsi="Arial" w:cs="Arial"/>
              </w:rPr>
              <w:t>●</w:t>
            </w:r>
            <w:r w:rsidRPr="00F94B27" w:rsidR="00F94B27">
              <w:rPr>
                <w:b/>
              </w:rPr>
              <w:t>]</w:t>
            </w:r>
            <w:r w:rsidRPr="005E5B23">
              <w:t>% per annum</w:t>
            </w:r>
            <w:r w:rsidRPr="00F94B27" w:rsidR="00F94B27">
              <w:rPr>
                <w:b/>
              </w:rPr>
              <w:t>]</w:t>
            </w:r>
            <w:r w:rsidRPr="005E5B23">
              <w:t xml:space="preserve">. As the Reference Rate is subject to fluctuations, the </w:t>
            </w:r>
            <w:r w:rsidRPr="00F94B27" w:rsidR="00F94B27">
              <w:rPr>
                <w:b/>
              </w:rPr>
              <w:t>[</w:t>
            </w:r>
            <w:r w:rsidRPr="005E5B23">
              <w:t>relevant</w:t>
            </w:r>
            <w:r w:rsidRPr="00F94B27" w:rsidR="00F94B27">
              <w:rPr>
                <w:b/>
              </w:rPr>
              <w:t>]</w:t>
            </w:r>
            <w:r w:rsidRPr="005E5B23">
              <w:t xml:space="preserve"> Interest Payment Amount payable on </w:t>
            </w:r>
            <w:r w:rsidRPr="00F94B27" w:rsidR="00F94B27">
              <w:rPr>
                <w:b/>
              </w:rPr>
              <w:t>[</w:t>
            </w:r>
            <w:r w:rsidRPr="005E5B23">
              <w:t>the</w:t>
            </w:r>
            <w:r w:rsidRPr="00F94B27" w:rsidR="00F94B27">
              <w:rPr>
                <w:b/>
              </w:rPr>
              <w:t>]</w:t>
            </w:r>
            <w:r w:rsidRPr="005E5B23">
              <w:t xml:space="preserve"> </w:t>
            </w:r>
            <w:r w:rsidRPr="00F94B27" w:rsidR="00F94B27">
              <w:rPr>
                <w:b/>
              </w:rPr>
              <w:t>[</w:t>
            </w:r>
            <w:r w:rsidRPr="005E5B23">
              <w:t>each</w:t>
            </w:r>
            <w:r w:rsidRPr="00F94B27" w:rsidR="00F94B27">
              <w:rPr>
                <w:b/>
              </w:rPr>
              <w:t>]</w:t>
            </w:r>
            <w:r w:rsidRPr="005E5B23">
              <w:t xml:space="preserve"> Interest Payment Date, in respect of which a variable rate of interest is applicable, is uncertain and may be substantially lower than the interest payment amounts that would be payable under conventional fixed rate debt securities of the Issuer with a comparable term.</w:t>
            </w:r>
            <w:r w:rsidRPr="00F94B27" w:rsidR="00F94B27">
              <w:rPr>
                <w:b/>
              </w:rPr>
              <w:t>]</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 xml:space="preserve">Bei Fixed to Floating Rate Notes entspricht der Zinssatz, auf dessen Grundlage die Zinszahlungsbeträge berechnet werden, am </w:t>
            </w:r>
            <w:r w:rsidRPr="00F94B27" w:rsidR="00F94B27">
              <w:rPr>
                <w:b/>
                <w:lang w:val="de-DE"/>
              </w:rPr>
              <w:t>[</w:t>
            </w:r>
            <w:r w:rsidRPr="00C3407D">
              <w:rPr>
                <w:b/>
                <w:i/>
                <w:lang w:val="de-DE"/>
              </w:rPr>
              <w:t>Zahl des Zinszahlungstags einfügen, an dem der Zinssatz von einem Festsatz zu einem variablen Satz per annum gewechselt wird:</w:t>
            </w:r>
            <w:r w:rsidRPr="00C3407D">
              <w:rPr>
                <w:lang w:val="de-DE"/>
              </w:rPr>
              <w:t xml:space="preserve">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xml:space="preserve"> Zinszahlungstag </w:t>
            </w:r>
            <w:r w:rsidRPr="00F94B27" w:rsidR="00F94B27">
              <w:rPr>
                <w:b/>
                <w:lang w:val="de-DE"/>
              </w:rPr>
              <w:t>[</w:t>
            </w:r>
            <w:r w:rsidRPr="00C3407D">
              <w:rPr>
                <w:lang w:val="de-DE"/>
              </w:rPr>
              <w:t>und jeden folgenden Zinszahlungstag</w:t>
            </w:r>
            <w:r w:rsidRPr="00F94B27" w:rsidR="00F94B27">
              <w:rPr>
                <w:b/>
                <w:lang w:val="de-DE"/>
              </w:rPr>
              <w:t>]</w:t>
            </w:r>
            <w:r w:rsidRPr="00C3407D">
              <w:rPr>
                <w:lang w:val="de-DE"/>
              </w:rPr>
              <w:t xml:space="preserve"> einem variablen Zinssatz. An </w:t>
            </w:r>
            <w:r w:rsidRPr="00F94B27" w:rsidR="00F94B27">
              <w:rPr>
                <w:b/>
                <w:lang w:val="de-DE"/>
              </w:rPr>
              <w:t>[</w:t>
            </w:r>
            <w:r w:rsidRPr="00C3407D">
              <w:rPr>
                <w:lang w:val="de-DE"/>
              </w:rPr>
              <w:t>dem</w:t>
            </w:r>
            <w:r w:rsidRPr="00F94B27" w:rsidR="00F94B27">
              <w:rPr>
                <w:b/>
                <w:lang w:val="de-DE"/>
              </w:rPr>
              <w:t>]</w:t>
            </w:r>
            <w:r w:rsidRPr="00C3407D">
              <w:rPr>
                <w:lang w:val="de-DE"/>
              </w:rPr>
              <w:t xml:space="preserve"> </w:t>
            </w:r>
            <w:r w:rsidRPr="00F94B27" w:rsidR="00F94B27">
              <w:rPr>
                <w:b/>
                <w:lang w:val="de-DE"/>
              </w:rPr>
              <w:t>[</w:t>
            </w:r>
            <w:r w:rsidRPr="00C3407D">
              <w:rPr>
                <w:lang w:val="de-DE"/>
              </w:rPr>
              <w:t>jedem</w:t>
            </w:r>
            <w:r w:rsidRPr="00F94B27" w:rsidR="00F94B27">
              <w:rPr>
                <w:b/>
                <w:lang w:val="de-DE"/>
              </w:rPr>
              <w:t>]</w:t>
            </w:r>
            <w:r w:rsidRPr="00C3407D">
              <w:rPr>
                <w:lang w:val="de-DE"/>
              </w:rPr>
              <w:t xml:space="preserve"> Zinszahlungstag, an dem ein variabler Zinssatz Anwendung findet, entspricht dieser variable Zinssatz </w:t>
            </w:r>
            <w:r w:rsidRPr="00F94B27" w:rsidR="00F94B27">
              <w:rPr>
                <w:b/>
                <w:lang w:val="de-DE"/>
              </w:rPr>
              <w:t>[</w:t>
            </w:r>
            <w:r w:rsidRPr="00C3407D">
              <w:rPr>
                <w:lang w:val="de-DE"/>
              </w:rPr>
              <w:t xml:space="preserve">dem Referenzsatz (d.h. einem variablen Zinssatz) am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Zinsfeststellungstag</w:t>
            </w:r>
            <w:r w:rsidRPr="00F94B27" w:rsidR="00F94B27">
              <w:rPr>
                <w:b/>
                <w:lang w:val="de-DE"/>
              </w:rPr>
              <w:t>]</w:t>
            </w:r>
            <w:r w:rsidRPr="00C3407D">
              <w:rPr>
                <w:lang w:val="de-DE"/>
              </w:rPr>
              <w:t xml:space="preserve"> </w:t>
            </w:r>
            <w:r w:rsidRPr="00F94B27" w:rsidR="00F94B27">
              <w:rPr>
                <w:b/>
                <w:lang w:val="de-DE"/>
              </w:rPr>
              <w:t>[</w:t>
            </w:r>
            <w:r w:rsidRPr="00C3407D">
              <w:rPr>
                <w:lang w:val="de-DE"/>
              </w:rPr>
              <w:t xml:space="preserve">der Summe aus dem Referenzsatz (d.h. einem variablen Zinssatz) am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Zinsfeststellungstag und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per annum</w:t>
            </w:r>
            <w:r w:rsidRPr="00F94B27" w:rsidR="00F94B27">
              <w:rPr>
                <w:b/>
                <w:lang w:val="de-DE"/>
              </w:rPr>
              <w:t>]</w:t>
            </w:r>
            <w:r w:rsidRPr="00C3407D">
              <w:rPr>
                <w:lang w:val="de-DE"/>
              </w:rPr>
              <w:t xml:space="preserve">. Da der Referenzsatz Schwankungen unterliegt, ist der </w:t>
            </w:r>
            <w:r w:rsidRPr="00F94B27" w:rsidR="00F94B27">
              <w:rPr>
                <w:b/>
                <w:lang w:val="de-DE"/>
              </w:rPr>
              <w:t>[</w:t>
            </w:r>
            <w:r w:rsidRPr="00C3407D">
              <w:rPr>
                <w:lang w:val="de-DE"/>
              </w:rPr>
              <w:t>jeweilige</w:t>
            </w:r>
            <w:r w:rsidRPr="00F94B27" w:rsidR="00F94B27">
              <w:rPr>
                <w:b/>
                <w:lang w:val="de-DE"/>
              </w:rPr>
              <w:t>]</w:t>
            </w:r>
            <w:r w:rsidRPr="00C3407D">
              <w:rPr>
                <w:lang w:val="de-DE"/>
              </w:rPr>
              <w:t xml:space="preserve"> Zinszahlungsbetrag, der an </w:t>
            </w:r>
            <w:r w:rsidRPr="00F94B27" w:rsidR="00F94B27">
              <w:rPr>
                <w:b/>
                <w:lang w:val="de-DE"/>
              </w:rPr>
              <w:t>[</w:t>
            </w:r>
            <w:r w:rsidRPr="00C3407D">
              <w:rPr>
                <w:lang w:val="de-DE"/>
              </w:rPr>
              <w:t>dem</w:t>
            </w:r>
            <w:r w:rsidRPr="00F94B27" w:rsidR="00F94B27">
              <w:rPr>
                <w:b/>
                <w:lang w:val="de-DE"/>
              </w:rPr>
              <w:t>]</w:t>
            </w:r>
            <w:r w:rsidRPr="00C3407D">
              <w:rPr>
                <w:lang w:val="de-DE"/>
              </w:rPr>
              <w:t xml:space="preserve"> </w:t>
            </w:r>
            <w:r w:rsidRPr="00F94B27" w:rsidR="00F94B27">
              <w:rPr>
                <w:b/>
                <w:lang w:val="de-DE"/>
              </w:rPr>
              <w:t>[</w:t>
            </w:r>
            <w:r w:rsidRPr="00C3407D">
              <w:rPr>
                <w:lang w:val="de-DE"/>
              </w:rPr>
              <w:t>jedem</w:t>
            </w:r>
            <w:r w:rsidRPr="00F94B27" w:rsidR="00F94B27">
              <w:rPr>
                <w:b/>
                <w:lang w:val="de-DE"/>
              </w:rPr>
              <w:t>]</w:t>
            </w:r>
            <w:r w:rsidRPr="00C3407D">
              <w:rPr>
                <w:lang w:val="de-DE"/>
              </w:rPr>
              <w:t xml:space="preserve"> Zinszahlungstag, an dem ein variabler Zinssatz anwendbar ist, zahlbar ist, ungewiss und kann wesentlich niedriger sein als die Zinszahlungsbeträge, die für herkömmliche festverzinsliche Schuldtitel der Emittentin mit vergleichbarer Laufzeit gezahlt würden.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italic"/>
              <w:rPr>
                <w:lang w:val="en-GB"/>
              </w:rPr>
            </w:pPr>
            <w:r w:rsidRPr="00F94B27">
              <w:rPr>
                <w:lang w:val="en-GB"/>
              </w:rPr>
              <w:t>[</w:t>
            </w:r>
            <w:r w:rsidRPr="00960E67">
              <w:rPr>
                <w:lang w:val="en-GB"/>
              </w:rPr>
              <w:t>in case of Spread-Linked Notes:</w:t>
            </w:r>
          </w:p>
        </w:tc>
        <w:tc>
          <w:tcPr>
            <w:tcW w:w="2516" w:type="pct"/>
            <w:tcBorders>
              <w:top w:val="nil"/>
              <w:left w:val="single" w:sz="4" w:space="0" w:color="auto"/>
              <w:bottom w:val="nil"/>
              <w:right w:val="nil"/>
            </w:tcBorders>
          </w:tcPr>
          <w:p w:rsidR="00C3407D" w:rsidRPr="005E5B23" w:rsidP="00C3407D">
            <w:pPr>
              <w:pStyle w:val="CSbody0bolditalic"/>
            </w:pPr>
            <w:r w:rsidRPr="00F94B27">
              <w:t>[</w:t>
            </w:r>
            <w:r w:rsidRPr="005E5B23">
              <w:t>bei Spread-Linked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Risks in connection with Spread-Linked Notes</w:t>
            </w:r>
          </w:p>
        </w:tc>
        <w:tc>
          <w:tcPr>
            <w:tcW w:w="2516" w:type="pct"/>
            <w:tcBorders>
              <w:top w:val="nil"/>
              <w:left w:val="single" w:sz="4" w:space="0" w:color="auto"/>
              <w:bottom w:val="nil"/>
              <w:right w:val="nil"/>
            </w:tcBorders>
          </w:tcPr>
          <w:p w:rsidR="00C3407D" w:rsidRPr="00C3407D" w:rsidP="00C3407D">
            <w:pPr>
              <w:pStyle w:val="CSbody0bold"/>
            </w:pPr>
            <w:r w:rsidRPr="00C3407D">
              <w:t>Risiken im Zusammenhang mit Spread-Linked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A61CBF" w:rsidP="00C3407D">
            <w:pPr>
              <w:pStyle w:val="CSBody0"/>
            </w:pPr>
            <w:r w:rsidRPr="00A61CBF">
              <w:t>In case of Spread-Linked Notes, potential investors should be aware that the Interest Rate on the basis of which the Interest Payment Amount</w:t>
            </w:r>
            <w:r w:rsidRPr="00F94B27" w:rsidR="00F94B27">
              <w:rPr>
                <w:b/>
              </w:rPr>
              <w:t>[</w:t>
            </w:r>
            <w:r w:rsidRPr="00A61CBF">
              <w:t>s</w:t>
            </w:r>
            <w:r w:rsidRPr="00F94B27" w:rsidR="00F94B27">
              <w:rPr>
                <w:b/>
              </w:rPr>
              <w:t>]</w:t>
            </w:r>
            <w:r w:rsidRPr="00A61CBF">
              <w:t xml:space="preserve"> </w:t>
            </w:r>
            <w:r w:rsidRPr="00F94B27" w:rsidR="00F94B27">
              <w:rPr>
                <w:b/>
              </w:rPr>
              <w:t>[</w:t>
            </w:r>
            <w:r w:rsidRPr="00A61CBF">
              <w:t>is</w:t>
            </w:r>
            <w:r w:rsidRPr="00F94B27" w:rsidR="00F94B27">
              <w:rPr>
                <w:b/>
              </w:rPr>
              <w:t>][</w:t>
            </w:r>
            <w:r w:rsidRPr="00A61CBF">
              <w:t>are</w:t>
            </w:r>
            <w:r w:rsidRPr="00F94B27" w:rsidR="00F94B27">
              <w:rPr>
                <w:b/>
              </w:rPr>
              <w:t>]</w:t>
            </w:r>
            <w:r w:rsidRPr="00A61CBF">
              <w:t xml:space="preserve"> calculated will be equal to a variable Interest Rate </w:t>
            </w:r>
            <w:r w:rsidRPr="00F94B27" w:rsidR="00F94B27">
              <w:rPr>
                <w:b/>
              </w:rPr>
              <w:t>[</w:t>
            </w:r>
            <w:r w:rsidRPr="00C3407D">
              <w:rPr>
                <w:b/>
                <w:i/>
              </w:rPr>
              <w:t xml:space="preserve">in case of Complex Products with one or more Fixed Interest Payment Dates: on the </w:t>
            </w:r>
            <w:r w:rsidRPr="00F94B27" w:rsidR="00F94B27">
              <w:rPr>
                <w:b/>
                <w:i/>
              </w:rPr>
              <w:t>[</w:t>
            </w:r>
            <w:r w:rsidRPr="00C3407D">
              <w:rPr>
                <w:b/>
                <w:i/>
              </w:rPr>
              <w:t>insert number of Interest Payment Date, from which the Interest Rate will be a variable rate per annum:</w:t>
            </w:r>
            <w:r w:rsidRPr="00A61CBF">
              <w:t xml:space="preserve"> </w:t>
            </w:r>
            <w:r w:rsidRPr="00F94B27" w:rsidR="00F94B27">
              <w:rPr>
                <w:b/>
              </w:rPr>
              <w:t>[</w:t>
            </w:r>
            <w:r w:rsidR="003857E8">
              <w:rPr>
                <w:rFonts w:ascii="Arial" w:hAnsi="Arial" w:cs="Arial"/>
              </w:rPr>
              <w:t>●</w:t>
            </w:r>
            <w:r w:rsidRPr="00F94B27" w:rsidR="00F94B27">
              <w:rPr>
                <w:b/>
              </w:rPr>
              <w:t>]]</w:t>
            </w:r>
            <w:r w:rsidRPr="00A61CBF">
              <w:t xml:space="preserve"> Interest Payment Date </w:t>
            </w:r>
            <w:r w:rsidRPr="00F94B27" w:rsidR="00F94B27">
              <w:rPr>
                <w:b/>
              </w:rPr>
              <w:t>[</w:t>
            </w:r>
            <w:r w:rsidRPr="00A61CBF">
              <w:t>and any following Interest Payment Date</w:t>
            </w:r>
            <w:r w:rsidRPr="00F94B27" w:rsidR="00F94B27">
              <w:rPr>
                <w:b/>
              </w:rPr>
              <w:t>]</w:t>
            </w:r>
            <w:r w:rsidRPr="00A61CBF">
              <w:t xml:space="preserve">. Such variable Interest Rate will be dependent upon the difference between the value of Reference Rate 1 and the value of Reference Rate 2 as determined by the Calculation Agent on the </w:t>
            </w:r>
            <w:r w:rsidRPr="00F94B27" w:rsidR="00F94B27">
              <w:rPr>
                <w:b/>
              </w:rPr>
              <w:t>[</w:t>
            </w:r>
            <w:r w:rsidRPr="00A61CBF">
              <w:t>relevant</w:t>
            </w:r>
            <w:r w:rsidRPr="00F94B27" w:rsidR="00F94B27">
              <w:rPr>
                <w:b/>
              </w:rPr>
              <w:t>]</w:t>
            </w:r>
            <w:r w:rsidRPr="00A61CBF">
              <w:t xml:space="preserve"> Interest Determination Date. For the determination of the </w:t>
            </w:r>
            <w:r w:rsidRPr="00F94B27" w:rsidR="00F94B27">
              <w:rPr>
                <w:b/>
              </w:rPr>
              <w:t>[</w:t>
            </w:r>
            <w:r w:rsidRPr="00A61CBF">
              <w:t>applicable</w:t>
            </w:r>
            <w:r w:rsidRPr="00F94B27" w:rsidR="00F94B27">
              <w:rPr>
                <w:b/>
              </w:rPr>
              <w:t>]</w:t>
            </w:r>
            <w:r w:rsidRPr="00A61CBF">
              <w:t xml:space="preserve"> Interest Rate such difference is </w:t>
            </w:r>
            <w:r w:rsidRPr="00F94B27" w:rsidR="00F94B27">
              <w:rPr>
                <w:b/>
              </w:rPr>
              <w:t>[</w:t>
            </w:r>
            <w:r w:rsidRPr="00A61CBF">
              <w:t>multiplied by the Participation</w:t>
            </w:r>
            <w:r w:rsidRPr="00F94B27" w:rsidR="00F94B27">
              <w:rPr>
                <w:b/>
              </w:rPr>
              <w:t>]</w:t>
            </w:r>
            <w:r w:rsidRPr="00A61CBF">
              <w:t xml:space="preserve"> </w:t>
            </w:r>
            <w:r w:rsidRPr="00F94B27" w:rsidR="00F94B27">
              <w:rPr>
                <w:b/>
              </w:rPr>
              <w:t>[</w:t>
            </w:r>
            <w:r w:rsidRPr="00A61CBF">
              <w:t xml:space="preserve">added to </w:t>
            </w:r>
            <w:r w:rsidRPr="00F94B27" w:rsidR="00F94B27">
              <w:rPr>
                <w:b/>
              </w:rPr>
              <w:t>[</w:t>
            </w:r>
            <w:r w:rsidR="003857E8">
              <w:rPr>
                <w:rFonts w:ascii="Arial" w:hAnsi="Arial" w:cs="Arial"/>
              </w:rPr>
              <w:t>●</w:t>
            </w:r>
            <w:r w:rsidRPr="00F94B27" w:rsidR="00F94B27">
              <w:rPr>
                <w:b/>
              </w:rPr>
              <w:t>]</w:t>
            </w:r>
            <w:r w:rsidRPr="00A61CBF">
              <w:t>% per annum</w:t>
            </w:r>
            <w:r w:rsidRPr="00F94B27" w:rsidR="00F94B27">
              <w:rPr>
                <w:b/>
              </w:rPr>
              <w:t>]</w:t>
            </w:r>
            <w:r w:rsidRPr="00A61CBF">
              <w:t xml:space="preserve">. Consequently, the greater the positive difference between Reference Rate 1 and Reference Rate 2 is, the higher the </w:t>
            </w:r>
            <w:r w:rsidRPr="00F94B27" w:rsidR="00F94B27">
              <w:rPr>
                <w:b/>
              </w:rPr>
              <w:t>[</w:t>
            </w:r>
            <w:r w:rsidRPr="00A61CBF">
              <w:t>applicable</w:t>
            </w:r>
            <w:r w:rsidRPr="00F94B27" w:rsidR="00F94B27">
              <w:rPr>
                <w:b/>
              </w:rPr>
              <w:t>]</w:t>
            </w:r>
            <w:r w:rsidRPr="00A61CBF">
              <w:t xml:space="preserve"> Interest Rate and resulting Interest Payment Amount will be. If, however, the Reference Rates converge or if the value of Reference Rate 2 is above the value of Reference Rate 1, the </w:t>
            </w:r>
            <w:r w:rsidRPr="00F94B27" w:rsidR="00F94B27">
              <w:rPr>
                <w:b/>
              </w:rPr>
              <w:t>[</w:t>
            </w:r>
            <w:r w:rsidRPr="00A61CBF">
              <w:t>applicable</w:t>
            </w:r>
            <w:r w:rsidRPr="00F94B27" w:rsidR="00F94B27">
              <w:rPr>
                <w:b/>
              </w:rPr>
              <w:t>]</w:t>
            </w:r>
            <w:r w:rsidRPr="00A61CBF">
              <w:t xml:space="preserve"> Interest Rate may be equal to zero. Depending on the actual difference between the values of the two Reference Rates, the </w:t>
            </w:r>
            <w:r w:rsidRPr="00F94B27" w:rsidR="00F94B27">
              <w:rPr>
                <w:b/>
              </w:rPr>
              <w:t>[</w:t>
            </w:r>
            <w:r w:rsidRPr="00A61CBF">
              <w:t>applicable</w:t>
            </w:r>
            <w:r w:rsidRPr="00F94B27" w:rsidR="00F94B27">
              <w:rPr>
                <w:b/>
              </w:rPr>
              <w:t>]</w:t>
            </w:r>
            <w:r w:rsidRPr="00A61CBF">
              <w:t xml:space="preserve"> Interest Rate and resulting Interest Payment Amount may be very low even if both Reference Rates develop positively over the relevant interest period.</w:t>
            </w:r>
            <w:r w:rsidRPr="00F94B27" w:rsidR="00F94B27">
              <w:rPr>
                <w:b/>
              </w:rPr>
              <w:t>]</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 xml:space="preserve">Bei Spread-Linked Notes sollten sich Potenzielle Anleger bewusst sein, dass der Zinssatz, auf dessen Grundlage </w:t>
            </w:r>
            <w:r w:rsidRPr="00F94B27" w:rsidR="00F94B27">
              <w:rPr>
                <w:b/>
                <w:lang w:val="de-DE"/>
              </w:rPr>
              <w:t>[</w:t>
            </w:r>
            <w:r w:rsidRPr="00C3407D">
              <w:rPr>
                <w:lang w:val="de-DE"/>
              </w:rPr>
              <w:t>der Zinszahlungsbetrag</w:t>
            </w:r>
            <w:r w:rsidRPr="00F94B27" w:rsidR="00F94B27">
              <w:rPr>
                <w:b/>
                <w:lang w:val="de-DE"/>
              </w:rPr>
              <w:t>]</w:t>
            </w:r>
            <w:r w:rsidRPr="00C3407D">
              <w:rPr>
                <w:lang w:val="de-DE"/>
              </w:rPr>
              <w:t xml:space="preserve"> </w:t>
            </w:r>
            <w:r w:rsidRPr="00F94B27" w:rsidR="00F94B27">
              <w:rPr>
                <w:b/>
                <w:lang w:val="de-DE"/>
              </w:rPr>
              <w:t>[</w:t>
            </w:r>
            <w:r w:rsidRPr="00C3407D">
              <w:rPr>
                <w:lang w:val="de-DE"/>
              </w:rPr>
              <w:t>die Zinszahlungsbeträge</w:t>
            </w:r>
            <w:r w:rsidRPr="00F94B27" w:rsidR="00F94B27">
              <w:rPr>
                <w:b/>
                <w:lang w:val="de-DE"/>
              </w:rPr>
              <w:t>]</w:t>
            </w:r>
            <w:r w:rsidRPr="00C3407D">
              <w:rPr>
                <w:lang w:val="de-DE"/>
              </w:rPr>
              <w:t xml:space="preserve"> berechnet </w:t>
            </w:r>
            <w:r w:rsidRPr="00F94B27" w:rsidR="00F94B27">
              <w:rPr>
                <w:b/>
                <w:lang w:val="de-DE"/>
              </w:rPr>
              <w:t>[</w:t>
            </w:r>
            <w:r w:rsidRPr="00C3407D">
              <w:rPr>
                <w:lang w:val="de-DE"/>
              </w:rPr>
              <w:t>wird</w:t>
            </w:r>
            <w:r w:rsidRPr="00F94B27" w:rsidR="00F94B27">
              <w:rPr>
                <w:b/>
                <w:lang w:val="de-DE"/>
              </w:rPr>
              <w:t>]</w:t>
            </w:r>
            <w:r w:rsidRPr="00C3407D">
              <w:rPr>
                <w:lang w:val="de-DE"/>
              </w:rPr>
              <w:t xml:space="preserve"> </w:t>
            </w:r>
            <w:r w:rsidRPr="00F94B27" w:rsidR="00F94B27">
              <w:rPr>
                <w:b/>
                <w:lang w:val="de-DE"/>
              </w:rPr>
              <w:t>[</w:t>
            </w:r>
            <w:r w:rsidRPr="00C3407D">
              <w:rPr>
                <w:lang w:val="de-DE"/>
              </w:rPr>
              <w:t>werden</w:t>
            </w:r>
            <w:r w:rsidRPr="00F94B27" w:rsidR="00F94B27">
              <w:rPr>
                <w:b/>
                <w:lang w:val="de-DE"/>
              </w:rPr>
              <w:t>]</w:t>
            </w:r>
            <w:r w:rsidRPr="00C3407D">
              <w:rPr>
                <w:lang w:val="de-DE"/>
              </w:rPr>
              <w:t xml:space="preserve">, </w:t>
            </w:r>
            <w:r w:rsidRPr="00F94B27" w:rsidR="00F94B27">
              <w:rPr>
                <w:b/>
                <w:lang w:val="de-DE"/>
              </w:rPr>
              <w:t>[</w:t>
            </w:r>
            <w:r w:rsidRPr="00C3407D">
              <w:rPr>
                <w:b/>
                <w:i/>
                <w:lang w:val="de-DE"/>
              </w:rPr>
              <w:t>bei Kompl</w:t>
            </w:r>
            <w:r w:rsidR="00B8307C">
              <w:rPr>
                <w:b/>
                <w:i/>
                <w:lang w:val="de-DE"/>
              </w:rPr>
              <w:t>e</w:t>
            </w:r>
            <w:r w:rsidRPr="00C3407D">
              <w:rPr>
                <w:b/>
                <w:i/>
                <w:lang w:val="de-DE"/>
              </w:rPr>
              <w:t xml:space="preserve">xen Produkten mit einem oder mehreren Zahlungstagen für Festzinsen: am </w:t>
            </w:r>
            <w:r w:rsidRPr="00F94B27" w:rsidR="00F94B27">
              <w:rPr>
                <w:b/>
                <w:i/>
                <w:lang w:val="de-DE"/>
              </w:rPr>
              <w:t>[</w:t>
            </w:r>
            <w:r w:rsidRPr="00C3407D">
              <w:rPr>
                <w:b/>
                <w:i/>
                <w:lang w:val="de-DE"/>
              </w:rPr>
              <w:t>Zahl des Zinszahlungstags einfügen, von dem an der Zinssatz ein variabler Satz per annum sein wird:</w:t>
            </w:r>
            <w:r w:rsidRPr="00C3407D">
              <w:rPr>
                <w:lang w:val="de-DE"/>
              </w:rPr>
              <w:t xml:space="preserve">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xml:space="preserve"> Zinszahlungstag </w:t>
            </w:r>
            <w:r w:rsidRPr="00F94B27" w:rsidR="00F94B27">
              <w:rPr>
                <w:b/>
                <w:lang w:val="de-DE"/>
              </w:rPr>
              <w:t>[</w:t>
            </w:r>
            <w:r w:rsidRPr="00C3407D">
              <w:rPr>
                <w:lang w:val="de-DE"/>
              </w:rPr>
              <w:t>und jeden folgenden Zinszahlungstag</w:t>
            </w:r>
            <w:r w:rsidRPr="00F94B27" w:rsidR="00F94B27">
              <w:rPr>
                <w:b/>
                <w:lang w:val="de-DE"/>
              </w:rPr>
              <w:t>]]</w:t>
            </w:r>
            <w:r w:rsidRPr="00C3407D">
              <w:rPr>
                <w:lang w:val="de-DE"/>
              </w:rPr>
              <w:t xml:space="preserve"> einem variablen Zinssatz entspricht. Dieser variable Zinssatz hängt von der Differenz aus dem Wert des Referenzsatzes 1 und dem Wert des Referenzsatzes 2 ab, die von der Berechnungsstelle am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Zinsfeststellungstag festgestellt wird. Für die Feststellung des anwendbaren Zinsssatzes wird diese Differenz </w:t>
            </w:r>
            <w:r w:rsidRPr="00F94B27" w:rsidR="00F94B27">
              <w:rPr>
                <w:b/>
                <w:lang w:val="de-DE"/>
              </w:rPr>
              <w:t>[</w:t>
            </w:r>
            <w:r w:rsidRPr="00C3407D">
              <w:rPr>
                <w:lang w:val="de-DE"/>
              </w:rPr>
              <w:t>mit der Partizipation multipliziert</w:t>
            </w:r>
            <w:r w:rsidRPr="00F94B27" w:rsidR="00F94B27">
              <w:rPr>
                <w:b/>
                <w:lang w:val="de-DE"/>
              </w:rPr>
              <w:t>]</w:t>
            </w:r>
            <w:r w:rsidRPr="00C3407D">
              <w:rPr>
                <w:lang w:val="de-DE"/>
              </w:rPr>
              <w:t xml:space="preserve"> </w:t>
            </w:r>
            <w:r w:rsidRPr="00F94B27" w:rsidR="00F94B27">
              <w:rPr>
                <w:b/>
                <w:lang w:val="de-DE"/>
              </w:rPr>
              <w:t>[</w:t>
            </w:r>
            <w:r w:rsidRPr="00C3407D">
              <w:rPr>
                <w:lang w:val="de-DE"/>
              </w:rPr>
              <w:t xml:space="preserve">zu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per annum addiert</w:t>
            </w:r>
            <w:r w:rsidRPr="00F94B27" w:rsidR="00F94B27">
              <w:rPr>
                <w:b/>
                <w:lang w:val="de-DE"/>
              </w:rPr>
              <w:t>]</w:t>
            </w:r>
            <w:r w:rsidRPr="00C3407D">
              <w:rPr>
                <w:lang w:val="de-DE"/>
              </w:rPr>
              <w:t xml:space="preserve">. Folglich gilt: je grösser die positive Differenz zwischen Referenzsatz 1 und Referenzsatz 2 ist, desto höher ist der anwendbare Zinssatz und der resultierende Zinszahlungsbetrag. Falls sich allerdings die Referenzsätze annähern oder falls der Wert von Referenzsatz 2 über dem Wert von Referenzsatz 1 liegt, kann der </w:t>
            </w:r>
            <w:r w:rsidRPr="00F94B27" w:rsidR="00F94B27">
              <w:rPr>
                <w:b/>
                <w:lang w:val="de-DE"/>
              </w:rPr>
              <w:t>[</w:t>
            </w:r>
            <w:r w:rsidRPr="00C3407D">
              <w:rPr>
                <w:lang w:val="de-DE"/>
              </w:rPr>
              <w:t>anwendbare</w:t>
            </w:r>
            <w:r w:rsidRPr="00F94B27" w:rsidR="00F94B27">
              <w:rPr>
                <w:b/>
                <w:lang w:val="de-DE"/>
              </w:rPr>
              <w:t>]</w:t>
            </w:r>
            <w:r w:rsidRPr="00C3407D">
              <w:rPr>
                <w:lang w:val="de-DE"/>
              </w:rPr>
              <w:t xml:space="preserve"> Zinssatz null entsprechen. In Abhängigkeit von der tatsächlichen Differenz zwischen den Werten der beiden Referenzsätze kann der </w:t>
            </w:r>
            <w:r w:rsidRPr="00F94B27" w:rsidR="00F94B27">
              <w:rPr>
                <w:b/>
                <w:lang w:val="de-DE"/>
              </w:rPr>
              <w:t>[</w:t>
            </w:r>
            <w:r w:rsidRPr="00C3407D">
              <w:rPr>
                <w:lang w:val="de-DE"/>
              </w:rPr>
              <w:t>anwendbare</w:t>
            </w:r>
            <w:r w:rsidRPr="00F94B27" w:rsidR="00F94B27">
              <w:rPr>
                <w:b/>
                <w:lang w:val="de-DE"/>
              </w:rPr>
              <w:t>]</w:t>
            </w:r>
            <w:r w:rsidRPr="00C3407D">
              <w:rPr>
                <w:lang w:val="de-DE"/>
              </w:rPr>
              <w:t xml:space="preserve"> Zinssatz und der resultierende Zinszahlungsbetrag selbst dann sehr gering sein, wenn sich beide Referenzsätze während der jeweiligen Zinsperiode positiv entwickeln.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italic"/>
              <w:rPr>
                <w:lang w:val="en-GB"/>
              </w:rPr>
            </w:pPr>
            <w:r w:rsidRPr="00F94B27">
              <w:rPr>
                <w:lang w:val="en-GB"/>
              </w:rPr>
              <w:t>[</w:t>
            </w:r>
            <w:r w:rsidRPr="00960E67">
              <w:rPr>
                <w:lang w:val="en-GB"/>
              </w:rPr>
              <w:t>in case of Spread Range Accrual Notes:</w:t>
            </w:r>
          </w:p>
        </w:tc>
        <w:tc>
          <w:tcPr>
            <w:tcW w:w="2516" w:type="pct"/>
            <w:tcBorders>
              <w:top w:val="nil"/>
              <w:left w:val="single" w:sz="4" w:space="0" w:color="auto"/>
              <w:bottom w:val="nil"/>
              <w:right w:val="nil"/>
            </w:tcBorders>
          </w:tcPr>
          <w:p w:rsidR="00C3407D" w:rsidRPr="00960E67" w:rsidP="00C3407D">
            <w:pPr>
              <w:pStyle w:val="CSbody0bolditalic"/>
              <w:rPr>
                <w:lang w:val="en-GB"/>
              </w:rPr>
            </w:pPr>
            <w:r w:rsidRPr="00F94B27">
              <w:rPr>
                <w:lang w:val="en-GB"/>
              </w:rPr>
              <w:t>[</w:t>
            </w:r>
            <w:r w:rsidRPr="00960E67">
              <w:rPr>
                <w:lang w:val="en-GB"/>
              </w:rPr>
              <w:t>bei Spread Range Accrual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Risks in connection with Spread Range Accrual Notes</w:t>
            </w:r>
          </w:p>
        </w:tc>
        <w:tc>
          <w:tcPr>
            <w:tcW w:w="2516" w:type="pct"/>
            <w:tcBorders>
              <w:top w:val="nil"/>
              <w:left w:val="single" w:sz="4" w:space="0" w:color="auto"/>
              <w:bottom w:val="nil"/>
              <w:right w:val="nil"/>
            </w:tcBorders>
          </w:tcPr>
          <w:p w:rsidR="00C3407D" w:rsidRPr="00C3407D" w:rsidP="00C3407D">
            <w:pPr>
              <w:pStyle w:val="CSbody0bold"/>
            </w:pPr>
            <w:r w:rsidRPr="00C3407D">
              <w:t>Risiken im Zusammenhang mit Spread Range Accrual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A61CBF" w:rsidP="00A950C6">
            <w:pPr>
              <w:pStyle w:val="CSBody0"/>
            </w:pPr>
            <w:r w:rsidRPr="00A61CBF">
              <w:t>In case of Spread Range Accrual Notes, potential investors should be aware that the the Interest Rate on the basis of which the Interest Payment Amount</w:t>
            </w:r>
            <w:r w:rsidRPr="00F94B27" w:rsidR="00F94B27">
              <w:rPr>
                <w:b/>
              </w:rPr>
              <w:t>[</w:t>
            </w:r>
            <w:r w:rsidRPr="00A61CBF">
              <w:t>s</w:t>
            </w:r>
            <w:r w:rsidRPr="00F94B27" w:rsidR="00F94B27">
              <w:rPr>
                <w:b/>
              </w:rPr>
              <w:t>]</w:t>
            </w:r>
            <w:r w:rsidRPr="00A61CBF">
              <w:t xml:space="preserve"> </w:t>
            </w:r>
            <w:r w:rsidRPr="00F94B27" w:rsidR="00F94B27">
              <w:rPr>
                <w:b/>
              </w:rPr>
              <w:t>[</w:t>
            </w:r>
            <w:r w:rsidRPr="00A61CBF">
              <w:t>is</w:t>
            </w:r>
            <w:r w:rsidRPr="00F94B27" w:rsidR="00F94B27">
              <w:rPr>
                <w:b/>
              </w:rPr>
              <w:t>][</w:t>
            </w:r>
            <w:r w:rsidRPr="00A61CBF">
              <w:t>are</w:t>
            </w:r>
            <w:r w:rsidRPr="00F94B27" w:rsidR="00F94B27">
              <w:rPr>
                <w:b/>
              </w:rPr>
              <w:t>]</w:t>
            </w:r>
            <w:r w:rsidRPr="00A61CBF">
              <w:t xml:space="preserve"> calculated will be dependent upon the number of Barrier Observation Dates during the </w:t>
            </w:r>
            <w:r w:rsidRPr="00F94B27" w:rsidR="00F94B27">
              <w:rPr>
                <w:b/>
              </w:rPr>
              <w:t>[</w:t>
            </w:r>
            <w:r w:rsidRPr="00A61CBF">
              <w:t>relevant</w:t>
            </w:r>
            <w:r w:rsidRPr="00F94B27" w:rsidR="00F94B27">
              <w:rPr>
                <w:b/>
              </w:rPr>
              <w:t>]</w:t>
            </w:r>
            <w:r w:rsidRPr="00A61CBF">
              <w:t xml:space="preserve"> interest period on which the difference between the value of Reference Rate 2 and the value of Reference Rate 3 (</w:t>
            </w:r>
            <w:r w:rsidRPr="007E3558" w:rsidR="007E3558">
              <w:rPr>
                <w:i/>
              </w:rPr>
              <w:t>i.e.</w:t>
            </w:r>
            <w:r w:rsidRPr="00A61CBF">
              <w:t xml:space="preserve">, the diference between two variable interes rates) breaches </w:t>
            </w:r>
            <w:r w:rsidRPr="00F94B27" w:rsidR="00F94B27">
              <w:rPr>
                <w:b/>
              </w:rPr>
              <w:t>[</w:t>
            </w:r>
            <w:r w:rsidRPr="00A61CBF">
              <w:t>or reaches</w:t>
            </w:r>
            <w:r w:rsidRPr="00F94B27" w:rsidR="00F94B27">
              <w:rPr>
                <w:b/>
              </w:rPr>
              <w:t>]</w:t>
            </w:r>
            <w:r w:rsidRPr="00A61CBF">
              <w:t xml:space="preserve"> the </w:t>
            </w:r>
            <w:r w:rsidRPr="00F94B27" w:rsidR="00F94B27">
              <w:rPr>
                <w:b/>
              </w:rPr>
              <w:t>[</w:t>
            </w:r>
            <w:r w:rsidRPr="00A61CBF">
              <w:t>Barrier</w:t>
            </w:r>
            <w:r w:rsidRPr="00F94B27" w:rsidR="00F94B27">
              <w:rPr>
                <w:b/>
              </w:rPr>
              <w:t>]</w:t>
            </w:r>
            <w:r w:rsidRPr="00A61CBF">
              <w:t xml:space="preserve"> </w:t>
            </w:r>
            <w:r w:rsidRPr="00F94B27" w:rsidR="00F94B27">
              <w:rPr>
                <w:b/>
              </w:rPr>
              <w:t>[</w:t>
            </w:r>
            <w:r w:rsidRPr="00A61CBF">
              <w:t>Lower Barrier or Upper Barrier</w:t>
            </w:r>
            <w:r w:rsidRPr="00F94B27" w:rsidR="00F94B27">
              <w:rPr>
                <w:b/>
              </w:rPr>
              <w:t>]</w:t>
            </w:r>
            <w:r w:rsidRPr="00A61CBF">
              <w:t xml:space="preserve">. The </w:t>
            </w:r>
            <w:r w:rsidRPr="00F94B27" w:rsidR="00F94B27">
              <w:rPr>
                <w:b/>
              </w:rPr>
              <w:t>[</w:t>
            </w:r>
            <w:r w:rsidRPr="00A61CBF">
              <w:t>applicable</w:t>
            </w:r>
            <w:r w:rsidRPr="00F94B27" w:rsidR="00F94B27">
              <w:rPr>
                <w:b/>
              </w:rPr>
              <w:t>]</w:t>
            </w:r>
            <w:r w:rsidRPr="00A61CBF">
              <w:t xml:space="preserve"> Interest Rate of Spread Range Accrual Notes will then be determined by multiplying (i) the number of Barrier Observation Dates on which such </w:t>
            </w:r>
            <w:r w:rsidRPr="00F94B27" w:rsidR="00F94B27">
              <w:rPr>
                <w:b/>
              </w:rPr>
              <w:t>[</w:t>
            </w:r>
            <w:r w:rsidRPr="00A61CBF">
              <w:t>Barrier was not</w:t>
            </w:r>
            <w:r w:rsidRPr="00F94B27" w:rsidR="00F94B27">
              <w:rPr>
                <w:b/>
              </w:rPr>
              <w:t>]</w:t>
            </w:r>
            <w:r w:rsidRPr="00A61CBF">
              <w:t xml:space="preserve"> </w:t>
            </w:r>
            <w:r w:rsidRPr="00F94B27" w:rsidR="00F94B27">
              <w:rPr>
                <w:b/>
              </w:rPr>
              <w:t>[</w:t>
            </w:r>
            <w:r w:rsidRPr="00A61CBF">
              <w:t>Lower Barrier or Upper Barrier were not</w:t>
            </w:r>
            <w:r w:rsidRPr="00F94B27" w:rsidR="00F94B27">
              <w:rPr>
                <w:b/>
              </w:rPr>
              <w:t>]</w:t>
            </w:r>
            <w:r w:rsidRPr="00A61CBF">
              <w:t xml:space="preserve"> breached </w:t>
            </w:r>
            <w:r w:rsidRPr="00F94B27" w:rsidR="00F94B27">
              <w:rPr>
                <w:b/>
              </w:rPr>
              <w:t>[</w:t>
            </w:r>
            <w:r w:rsidRPr="00A61CBF">
              <w:t>or reached</w:t>
            </w:r>
            <w:r w:rsidRPr="00F94B27" w:rsidR="00F94B27">
              <w:rPr>
                <w:b/>
              </w:rPr>
              <w:t>]</w:t>
            </w:r>
            <w:r w:rsidRPr="00A61CBF">
              <w:t xml:space="preserve"> during the </w:t>
            </w:r>
            <w:r w:rsidRPr="00F94B27" w:rsidR="00F94B27">
              <w:rPr>
                <w:b/>
              </w:rPr>
              <w:t>[</w:t>
            </w:r>
            <w:r w:rsidRPr="00A61CBF">
              <w:t>relevant</w:t>
            </w:r>
            <w:r w:rsidRPr="00F94B27" w:rsidR="00F94B27">
              <w:rPr>
                <w:b/>
              </w:rPr>
              <w:t>]</w:t>
            </w:r>
            <w:r w:rsidRPr="00A61CBF">
              <w:t xml:space="preserve"> interest period, divided by the total number of Barrier Observation Dates during such interest period, by (ii) the sum of the value of Reference Rate 1 on the Interest Determination Date and </w:t>
            </w:r>
            <w:r w:rsidRPr="00F94B27" w:rsidR="00F94B27">
              <w:rPr>
                <w:b/>
              </w:rPr>
              <w:t>[</w:t>
            </w:r>
            <w:r w:rsidR="003857E8">
              <w:rPr>
                <w:rFonts w:ascii="Arial" w:hAnsi="Arial" w:cs="Arial"/>
              </w:rPr>
              <w:t>●</w:t>
            </w:r>
            <w:r w:rsidRPr="00F94B27" w:rsidR="00F94B27">
              <w:rPr>
                <w:b/>
              </w:rPr>
              <w:t>]</w:t>
            </w:r>
            <w:r w:rsidRPr="00A61CBF">
              <w:t xml:space="preserve">% per annum. Consequently, not only is the Interest Rate dependent upon the value of Reference Rate 1 on the </w:t>
            </w:r>
            <w:r w:rsidRPr="00F94B27" w:rsidR="00F94B27">
              <w:rPr>
                <w:b/>
              </w:rPr>
              <w:t>[</w:t>
            </w:r>
            <w:r w:rsidRPr="00A61CBF">
              <w:t>relevant</w:t>
            </w:r>
            <w:r w:rsidRPr="00F94B27" w:rsidR="00F94B27">
              <w:rPr>
                <w:b/>
              </w:rPr>
              <w:t>]</w:t>
            </w:r>
            <w:r w:rsidRPr="00A61CBF">
              <w:t xml:space="preserve"> Interest Determination Date, but the greater the number of Barrier Observation Dates on which such </w:t>
            </w:r>
            <w:r w:rsidRPr="00F94B27" w:rsidR="00F94B27">
              <w:rPr>
                <w:b/>
              </w:rPr>
              <w:t>[</w:t>
            </w:r>
            <w:r w:rsidRPr="00A61CBF">
              <w:t>Barrier</w:t>
            </w:r>
            <w:r w:rsidRPr="00F94B27" w:rsidR="00F94B27">
              <w:rPr>
                <w:b/>
              </w:rPr>
              <w:t>]</w:t>
            </w:r>
            <w:r w:rsidRPr="00A61CBF">
              <w:t xml:space="preserve"> </w:t>
            </w:r>
            <w:r w:rsidRPr="00F94B27" w:rsidR="00F94B27">
              <w:rPr>
                <w:b/>
              </w:rPr>
              <w:t>[</w:t>
            </w:r>
            <w:r w:rsidRPr="00A61CBF">
              <w:t>Lower Barrier or Upper Barrier</w:t>
            </w:r>
            <w:r w:rsidRPr="00F94B27" w:rsidR="00F94B27">
              <w:rPr>
                <w:b/>
              </w:rPr>
              <w:t>]</w:t>
            </w:r>
            <w:r w:rsidRPr="00A61CBF">
              <w:t xml:space="preserve"> is breached </w:t>
            </w:r>
            <w:r w:rsidRPr="00F94B27" w:rsidR="00F94B27">
              <w:rPr>
                <w:b/>
              </w:rPr>
              <w:t>[</w:t>
            </w:r>
            <w:r w:rsidRPr="00A61CBF">
              <w:t>or</w:t>
            </w:r>
            <w:r w:rsidR="00A950C6">
              <w:t xml:space="preserve"> reached</w:t>
            </w:r>
            <w:r w:rsidRPr="00F94B27" w:rsidR="00F94B27">
              <w:rPr>
                <w:b/>
              </w:rPr>
              <w:t>]</w:t>
            </w:r>
            <w:r w:rsidR="00A950C6">
              <w:t xml:space="preserve">, the lower the </w:t>
            </w:r>
            <w:r w:rsidRPr="00F94B27" w:rsidR="00F94B27">
              <w:rPr>
                <w:b/>
              </w:rPr>
              <w:t>[</w:t>
            </w:r>
            <w:r w:rsidR="00A950C6">
              <w:t>appli</w:t>
            </w:r>
            <w:r w:rsidRPr="00A61CBF">
              <w:t>cable</w:t>
            </w:r>
            <w:r w:rsidRPr="00F94B27" w:rsidR="00F94B27">
              <w:rPr>
                <w:b/>
              </w:rPr>
              <w:t>]</w:t>
            </w:r>
            <w:r w:rsidRPr="00A61CBF">
              <w:t xml:space="preserve"> Interest Rate will be. If the </w:t>
            </w:r>
            <w:r w:rsidRPr="00F94B27" w:rsidR="00F94B27">
              <w:rPr>
                <w:b/>
              </w:rPr>
              <w:t>[</w:t>
            </w:r>
            <w:r w:rsidRPr="00A61CBF">
              <w:t>Barrier</w:t>
            </w:r>
            <w:r w:rsidRPr="00F94B27" w:rsidR="00F94B27">
              <w:rPr>
                <w:b/>
              </w:rPr>
              <w:t>]</w:t>
            </w:r>
            <w:r w:rsidRPr="00A61CBF">
              <w:t xml:space="preserve"> </w:t>
            </w:r>
            <w:r w:rsidRPr="00F94B27" w:rsidR="00F94B27">
              <w:rPr>
                <w:b/>
              </w:rPr>
              <w:t>[</w:t>
            </w:r>
            <w:r w:rsidRPr="00A61CBF">
              <w:t>Lower Barrier or Upper Barrier</w:t>
            </w:r>
            <w:r w:rsidRPr="00F94B27" w:rsidR="00F94B27">
              <w:rPr>
                <w:b/>
              </w:rPr>
              <w:t>]</w:t>
            </w:r>
            <w:r w:rsidRPr="00A61CBF">
              <w:t xml:space="preserve"> is breached </w:t>
            </w:r>
            <w:r w:rsidRPr="00F94B27" w:rsidR="00F94B27">
              <w:rPr>
                <w:b/>
              </w:rPr>
              <w:t>[</w:t>
            </w:r>
            <w:r w:rsidRPr="00A61CBF">
              <w:t>or reached</w:t>
            </w:r>
            <w:r w:rsidRPr="00F94B27" w:rsidR="00F94B27">
              <w:rPr>
                <w:b/>
              </w:rPr>
              <w:t>]</w:t>
            </w:r>
            <w:r w:rsidRPr="00A61CBF">
              <w:t xml:space="preserve"> on each Barrier Observation Date, the Interest Rate, and the resulting Interest Payment Amount, will be zero.</w:t>
            </w:r>
            <w:r w:rsidRPr="00F94B27" w:rsidR="00F94B27">
              <w:rPr>
                <w:b/>
              </w:rPr>
              <w:t>]</w:t>
            </w:r>
          </w:p>
        </w:tc>
        <w:tc>
          <w:tcPr>
            <w:tcW w:w="2516" w:type="pct"/>
            <w:tcBorders>
              <w:top w:val="nil"/>
              <w:left w:val="single" w:sz="4" w:space="0" w:color="auto"/>
              <w:bottom w:val="nil"/>
              <w:right w:val="nil"/>
            </w:tcBorders>
          </w:tcPr>
          <w:p w:rsidR="00C3407D" w:rsidRPr="00C3407D" w:rsidP="00A950C6">
            <w:pPr>
              <w:pStyle w:val="CSBody0"/>
              <w:rPr>
                <w:lang w:val="de-DE"/>
              </w:rPr>
            </w:pPr>
            <w:r w:rsidRPr="00C3407D">
              <w:rPr>
                <w:lang w:val="de-DE"/>
              </w:rPr>
              <w:t xml:space="preserve">Bei Spread Range Accrual Notes sollten sich Potenzielle Anleger bewusst sein, dass der Zinssatz, auf dessen Grundlage </w:t>
            </w:r>
            <w:r w:rsidRPr="00F94B27" w:rsidR="00F94B27">
              <w:rPr>
                <w:b/>
                <w:lang w:val="de-DE"/>
              </w:rPr>
              <w:t>[</w:t>
            </w:r>
            <w:r w:rsidRPr="00C3407D">
              <w:rPr>
                <w:lang w:val="de-DE"/>
              </w:rPr>
              <w:t>der Zinszahlungsbetrag</w:t>
            </w:r>
            <w:r w:rsidRPr="00F94B27" w:rsidR="00F94B27">
              <w:rPr>
                <w:b/>
                <w:lang w:val="de-DE"/>
              </w:rPr>
              <w:t>][</w:t>
            </w:r>
            <w:r w:rsidRPr="00C3407D">
              <w:rPr>
                <w:lang w:val="de-DE"/>
              </w:rPr>
              <w:t>die Zinszahlungsbeträge</w:t>
            </w:r>
            <w:r w:rsidRPr="00F94B27" w:rsidR="00F94B27">
              <w:rPr>
                <w:b/>
                <w:lang w:val="de-DE"/>
              </w:rPr>
              <w:t>]</w:t>
            </w:r>
            <w:r w:rsidRPr="00C3407D">
              <w:rPr>
                <w:lang w:val="de-DE"/>
              </w:rPr>
              <w:t xml:space="preserve"> berechnet </w:t>
            </w:r>
            <w:r w:rsidRPr="00F94B27" w:rsidR="00F94B27">
              <w:rPr>
                <w:b/>
                <w:lang w:val="de-DE"/>
              </w:rPr>
              <w:t>[</w:t>
            </w:r>
            <w:r w:rsidRPr="00C3407D">
              <w:rPr>
                <w:lang w:val="de-DE"/>
              </w:rPr>
              <w:t>wird</w:t>
            </w:r>
            <w:r w:rsidRPr="00F94B27" w:rsidR="00F94B27">
              <w:rPr>
                <w:b/>
                <w:lang w:val="de-DE"/>
              </w:rPr>
              <w:t>][</w:t>
            </w:r>
            <w:r w:rsidRPr="00C3407D">
              <w:rPr>
                <w:lang w:val="de-DE"/>
              </w:rPr>
              <w:t>werden</w:t>
            </w:r>
            <w:r w:rsidRPr="00F94B27" w:rsidR="00F94B27">
              <w:rPr>
                <w:b/>
                <w:lang w:val="de-DE"/>
              </w:rPr>
              <w:t>]</w:t>
            </w:r>
            <w:r w:rsidRPr="00C3407D">
              <w:rPr>
                <w:lang w:val="de-DE"/>
              </w:rPr>
              <w:t xml:space="preserve">, von der Anzahl der Barriere-Beobachtungstage während der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Zinsperiode abhängt, an denen die Differenz aus dem Wert des Referenzsatzes 2 und dem Wert des Referenzsatzes 3 (d.d. die Differenz aus zwei variablen Zinssätzen) die </w:t>
            </w:r>
            <w:r w:rsidRPr="00F94B27" w:rsidR="00F94B27">
              <w:rPr>
                <w:b/>
                <w:lang w:val="de-DE"/>
              </w:rPr>
              <w:t>[</w:t>
            </w:r>
            <w:r w:rsidRPr="00C3407D">
              <w:rPr>
                <w:lang w:val="de-DE"/>
              </w:rPr>
              <w:t>Barriere</w:t>
            </w:r>
            <w:r w:rsidRPr="00F94B27" w:rsidR="00F94B27">
              <w:rPr>
                <w:b/>
                <w:lang w:val="de-DE"/>
              </w:rPr>
              <w:t>]</w:t>
            </w:r>
            <w:r w:rsidRPr="00C3407D">
              <w:rPr>
                <w:lang w:val="de-DE"/>
              </w:rPr>
              <w:t xml:space="preserve"> </w:t>
            </w:r>
            <w:r w:rsidRPr="00F94B27" w:rsidR="00F94B27">
              <w:rPr>
                <w:b/>
                <w:lang w:val="de-DE"/>
              </w:rPr>
              <w:t>[</w:t>
            </w:r>
            <w:r w:rsidRPr="00C3407D">
              <w:rPr>
                <w:lang w:val="de-DE"/>
              </w:rPr>
              <w:t>Untere Barriere bzw. Obere Barriere</w:t>
            </w:r>
            <w:r w:rsidRPr="00F94B27" w:rsidR="00F94B27">
              <w:rPr>
                <w:b/>
                <w:lang w:val="de-DE"/>
              </w:rPr>
              <w:t>]</w:t>
            </w:r>
            <w:r w:rsidRPr="00C3407D">
              <w:rPr>
                <w:lang w:val="de-DE"/>
              </w:rPr>
              <w:t xml:space="preserve"> verletzt </w:t>
            </w:r>
            <w:r w:rsidRPr="00F94B27" w:rsidR="00F94B27">
              <w:rPr>
                <w:b/>
                <w:lang w:val="de-DE"/>
              </w:rPr>
              <w:t>[</w:t>
            </w:r>
            <w:r w:rsidRPr="00C3407D">
              <w:rPr>
                <w:lang w:val="de-DE"/>
              </w:rPr>
              <w:t>oder diese erreicht</w:t>
            </w:r>
            <w:r w:rsidRPr="00F94B27" w:rsidR="00F94B27">
              <w:rPr>
                <w:b/>
                <w:lang w:val="de-DE"/>
              </w:rPr>
              <w:t>]</w:t>
            </w:r>
            <w:r w:rsidRPr="00C3407D">
              <w:rPr>
                <w:lang w:val="de-DE"/>
              </w:rPr>
              <w:t xml:space="preserve">. Der </w:t>
            </w:r>
            <w:r w:rsidRPr="00F94B27" w:rsidR="00F94B27">
              <w:rPr>
                <w:b/>
                <w:lang w:val="de-DE"/>
              </w:rPr>
              <w:t>[</w:t>
            </w:r>
            <w:r w:rsidRPr="00C3407D">
              <w:rPr>
                <w:lang w:val="de-DE"/>
              </w:rPr>
              <w:t>anwendbare</w:t>
            </w:r>
            <w:r w:rsidRPr="00F94B27" w:rsidR="00F94B27">
              <w:rPr>
                <w:b/>
                <w:lang w:val="de-DE"/>
              </w:rPr>
              <w:t>]</w:t>
            </w:r>
            <w:r w:rsidRPr="00C3407D">
              <w:rPr>
                <w:lang w:val="de-DE"/>
              </w:rPr>
              <w:t xml:space="preserve"> Zinssatz dieser Spread Range Accrual Notes wird dann bestimmt, indem (i) die Anzahl der Barriere-Beobachtungstage, an denen die </w:t>
            </w:r>
            <w:r w:rsidRPr="00F94B27" w:rsidR="00F94B27">
              <w:rPr>
                <w:b/>
                <w:lang w:val="de-DE"/>
              </w:rPr>
              <w:t>[</w:t>
            </w:r>
            <w:r w:rsidRPr="00C3407D">
              <w:rPr>
                <w:lang w:val="de-DE"/>
              </w:rPr>
              <w:t>Barriere</w:t>
            </w:r>
            <w:r w:rsidRPr="00F94B27" w:rsidR="00F94B27">
              <w:rPr>
                <w:b/>
                <w:lang w:val="de-DE"/>
              </w:rPr>
              <w:t>]</w:t>
            </w:r>
            <w:r w:rsidRPr="00C3407D">
              <w:rPr>
                <w:lang w:val="de-DE"/>
              </w:rPr>
              <w:t xml:space="preserve"> </w:t>
            </w:r>
            <w:r w:rsidRPr="00F94B27" w:rsidR="00F94B27">
              <w:rPr>
                <w:b/>
                <w:lang w:val="de-DE"/>
              </w:rPr>
              <w:t>[</w:t>
            </w:r>
            <w:r w:rsidRPr="00C3407D">
              <w:rPr>
                <w:lang w:val="de-DE"/>
              </w:rPr>
              <w:t>Untere Barriere bzw. Obere Barriere</w:t>
            </w:r>
            <w:r w:rsidRPr="00F94B27" w:rsidR="00F94B27">
              <w:rPr>
                <w:b/>
                <w:lang w:val="de-DE"/>
              </w:rPr>
              <w:t>]</w:t>
            </w:r>
            <w:r w:rsidRPr="00C3407D">
              <w:rPr>
                <w:lang w:val="de-DE"/>
              </w:rPr>
              <w:t xml:space="preserve"> während der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Zinsperiode nicht verletzt wurde </w:t>
            </w:r>
            <w:r w:rsidRPr="00F94B27" w:rsidR="00F94B27">
              <w:rPr>
                <w:b/>
                <w:lang w:val="de-DE"/>
              </w:rPr>
              <w:t>[</w:t>
            </w:r>
            <w:r w:rsidRPr="00C3407D">
              <w:rPr>
                <w:lang w:val="de-DE"/>
              </w:rPr>
              <w:t>oder nicht erreicht wurde</w:t>
            </w:r>
            <w:r w:rsidRPr="00F94B27" w:rsidR="00F94B27">
              <w:rPr>
                <w:b/>
                <w:lang w:val="de-DE"/>
              </w:rPr>
              <w:t>]</w:t>
            </w:r>
            <w:r w:rsidRPr="00C3407D">
              <w:rPr>
                <w:lang w:val="de-DE"/>
              </w:rPr>
              <w:t xml:space="preserve">, dividiert durch die Anzahl der Barriere-Beobachtungstage während dieser Zinsperiode, mit (ii) der Summe aus dem Wert des Referenzsatzes 1 am Zinsfeststellungstag und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xml:space="preserve">% per annum multipliziert wird. Folglich hängt der Zinssatz nicht nur vom Wert des Referenzsatzes 1 am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Zinsfeststellungstag ab, sondern je grösser die Anzahl der Barriere-Beobachtungstage ist, an denen die </w:t>
            </w:r>
            <w:r w:rsidRPr="00F94B27" w:rsidR="00F94B27">
              <w:rPr>
                <w:b/>
                <w:lang w:val="de-DE"/>
              </w:rPr>
              <w:t>[</w:t>
            </w:r>
            <w:r w:rsidRPr="00C3407D">
              <w:rPr>
                <w:lang w:val="de-DE"/>
              </w:rPr>
              <w:t>Barriere</w:t>
            </w:r>
            <w:r w:rsidRPr="00F94B27" w:rsidR="00F94B27">
              <w:rPr>
                <w:b/>
                <w:lang w:val="de-DE"/>
              </w:rPr>
              <w:t>]</w:t>
            </w:r>
            <w:r w:rsidRPr="00C3407D">
              <w:rPr>
                <w:lang w:val="de-DE"/>
              </w:rPr>
              <w:t xml:space="preserve"> </w:t>
            </w:r>
            <w:r w:rsidRPr="00F94B27" w:rsidR="00F94B27">
              <w:rPr>
                <w:b/>
                <w:lang w:val="de-DE"/>
              </w:rPr>
              <w:t>[</w:t>
            </w:r>
            <w:r w:rsidRPr="00C3407D">
              <w:rPr>
                <w:lang w:val="de-DE"/>
              </w:rPr>
              <w:t>Untere Barriere bzw. Obere Barriere</w:t>
            </w:r>
            <w:r w:rsidRPr="00F94B27" w:rsidR="00F94B27">
              <w:rPr>
                <w:b/>
                <w:lang w:val="de-DE"/>
              </w:rPr>
              <w:t>]</w:t>
            </w:r>
            <w:r w:rsidRPr="00C3407D">
              <w:rPr>
                <w:lang w:val="de-DE"/>
              </w:rPr>
              <w:t xml:space="preserve"> verletzt </w:t>
            </w:r>
            <w:r w:rsidRPr="00F94B27" w:rsidR="00F94B27">
              <w:rPr>
                <w:b/>
                <w:lang w:val="de-DE"/>
              </w:rPr>
              <w:t>[</w:t>
            </w:r>
            <w:r w:rsidRPr="00C3407D">
              <w:rPr>
                <w:lang w:val="de-DE"/>
              </w:rPr>
              <w:t>(oder erreicht)</w:t>
            </w:r>
            <w:r w:rsidRPr="00F94B27" w:rsidR="00F94B27">
              <w:rPr>
                <w:b/>
                <w:lang w:val="de-DE"/>
              </w:rPr>
              <w:t>]</w:t>
            </w:r>
            <w:r w:rsidRPr="00C3407D">
              <w:rPr>
                <w:lang w:val="de-DE"/>
              </w:rPr>
              <w:t xml:space="preserve"> wurde, desto niedriger ist der </w:t>
            </w:r>
            <w:r w:rsidRPr="00F94B27" w:rsidR="00F94B27">
              <w:rPr>
                <w:b/>
                <w:lang w:val="de-DE"/>
              </w:rPr>
              <w:t>[</w:t>
            </w:r>
            <w:r w:rsidRPr="00C3407D">
              <w:rPr>
                <w:lang w:val="de-DE"/>
              </w:rPr>
              <w:t>anwendbare</w:t>
            </w:r>
            <w:r w:rsidRPr="00F94B27" w:rsidR="00F94B27">
              <w:rPr>
                <w:b/>
                <w:lang w:val="de-DE"/>
              </w:rPr>
              <w:t>]</w:t>
            </w:r>
            <w:r w:rsidRPr="00C3407D">
              <w:rPr>
                <w:lang w:val="de-DE"/>
              </w:rPr>
              <w:t xml:space="preserve"> Zinssatz. Wird die </w:t>
            </w:r>
            <w:r w:rsidRPr="00F94B27" w:rsidR="00F94B27">
              <w:rPr>
                <w:b/>
                <w:lang w:val="de-DE"/>
              </w:rPr>
              <w:t>[</w:t>
            </w:r>
            <w:r w:rsidRPr="00C3407D">
              <w:rPr>
                <w:lang w:val="de-DE"/>
              </w:rPr>
              <w:t>Barriere</w:t>
            </w:r>
            <w:r w:rsidRPr="00F94B27" w:rsidR="00F94B27">
              <w:rPr>
                <w:b/>
                <w:lang w:val="de-DE"/>
              </w:rPr>
              <w:t>]</w:t>
            </w:r>
            <w:r w:rsidRPr="00C3407D">
              <w:rPr>
                <w:lang w:val="de-DE"/>
              </w:rPr>
              <w:t xml:space="preserve"> </w:t>
            </w:r>
            <w:r w:rsidRPr="00F94B27" w:rsidR="00F94B27">
              <w:rPr>
                <w:b/>
                <w:lang w:val="de-DE"/>
              </w:rPr>
              <w:t>[</w:t>
            </w:r>
            <w:r w:rsidRPr="00C3407D">
              <w:rPr>
                <w:lang w:val="de-DE"/>
              </w:rPr>
              <w:t>Untere Barriere bzw. Obere Barriere</w:t>
            </w:r>
            <w:r w:rsidRPr="00F94B27" w:rsidR="00F94B27">
              <w:rPr>
                <w:b/>
                <w:lang w:val="de-DE"/>
              </w:rPr>
              <w:t>]</w:t>
            </w:r>
            <w:r w:rsidRPr="00C3407D">
              <w:rPr>
                <w:lang w:val="de-DE"/>
              </w:rPr>
              <w:t xml:space="preserve"> an jedem Barriere-Beobachtungstag verletzt </w:t>
            </w:r>
            <w:r w:rsidRPr="00F94B27" w:rsidR="00F94B27">
              <w:rPr>
                <w:b/>
                <w:lang w:val="de-DE"/>
              </w:rPr>
              <w:t>[</w:t>
            </w:r>
            <w:r w:rsidRPr="00C3407D">
              <w:rPr>
                <w:lang w:val="de-DE"/>
              </w:rPr>
              <w:t>oder erreicht</w:t>
            </w:r>
            <w:r w:rsidRPr="00F94B27" w:rsidR="00F94B27">
              <w:rPr>
                <w:b/>
                <w:lang w:val="de-DE"/>
              </w:rPr>
              <w:t>]</w:t>
            </w:r>
            <w:r w:rsidRPr="00C3407D">
              <w:rPr>
                <w:lang w:val="de-DE"/>
              </w:rPr>
              <w:t>, so betragen der Zinssatz und der resultierende Zinszahlungsbetrag null.</w:t>
            </w:r>
            <w:r w:rsidRPr="00F94B27" w:rsidR="00F94B27">
              <w:rPr>
                <w:b/>
                <w:lang w:val="de-DE"/>
              </w:rPr>
              <w:t>]</w:t>
            </w:r>
            <w:r w:rsidRPr="00C3407D">
              <w:rPr>
                <w:lang w:val="de-DE"/>
              </w:rPr>
              <w:t xml:space="preserve"> </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italic"/>
              <w:rPr>
                <w:lang w:val="en-GB"/>
              </w:rPr>
            </w:pPr>
            <w:r w:rsidRPr="00F94B27">
              <w:rPr>
                <w:lang w:val="en-GB"/>
              </w:rPr>
              <w:t>[</w:t>
            </w:r>
            <w:r w:rsidRPr="00960E67">
              <w:rPr>
                <w:lang w:val="en-GB"/>
              </w:rPr>
              <w:t>in case of Range Accrual Notes:</w:t>
            </w:r>
          </w:p>
        </w:tc>
        <w:tc>
          <w:tcPr>
            <w:tcW w:w="2516" w:type="pct"/>
            <w:tcBorders>
              <w:top w:val="nil"/>
              <w:left w:val="single" w:sz="4" w:space="0" w:color="auto"/>
              <w:bottom w:val="nil"/>
              <w:right w:val="nil"/>
            </w:tcBorders>
          </w:tcPr>
          <w:p w:rsidR="00C3407D" w:rsidRPr="00A61CBF" w:rsidP="00C3407D">
            <w:pPr>
              <w:pStyle w:val="CSbody0bolditalic"/>
            </w:pPr>
            <w:r w:rsidRPr="00F94B27">
              <w:t>[</w:t>
            </w:r>
            <w:r w:rsidRPr="00A61CBF">
              <w:t>bei Range Accrual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Risks in connection with Range Accrual Notes</w:t>
            </w:r>
          </w:p>
        </w:tc>
        <w:tc>
          <w:tcPr>
            <w:tcW w:w="2516" w:type="pct"/>
            <w:tcBorders>
              <w:top w:val="nil"/>
              <w:left w:val="single" w:sz="4" w:space="0" w:color="auto"/>
              <w:bottom w:val="nil"/>
              <w:right w:val="nil"/>
            </w:tcBorders>
          </w:tcPr>
          <w:p w:rsidR="00C3407D" w:rsidRPr="00C3407D" w:rsidP="00C3407D">
            <w:pPr>
              <w:pStyle w:val="CSbody0bold"/>
            </w:pPr>
            <w:r w:rsidRPr="00C3407D">
              <w:t>Risiken im Zusammenhang mit Range Accrual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4C1B96" w:rsidP="00C3407D">
            <w:pPr>
              <w:pStyle w:val="CSBody0"/>
            </w:pPr>
            <w:r w:rsidRPr="004C1B96">
              <w:t>In case of Range Accrual Notes, potential investors should be aware that the Interest Rate on the basis of which the Interest Payment Amount</w:t>
            </w:r>
            <w:r w:rsidRPr="00F94B27" w:rsidR="00F94B27">
              <w:rPr>
                <w:b/>
              </w:rPr>
              <w:t>[</w:t>
            </w:r>
            <w:r w:rsidRPr="004C1B96">
              <w:t>s</w:t>
            </w:r>
            <w:r w:rsidRPr="00F94B27" w:rsidR="00F94B27">
              <w:rPr>
                <w:b/>
              </w:rPr>
              <w:t>]</w:t>
            </w:r>
            <w:r w:rsidRPr="004C1B96">
              <w:t xml:space="preserve"> </w:t>
            </w:r>
            <w:r w:rsidRPr="00F94B27" w:rsidR="00F94B27">
              <w:rPr>
                <w:b/>
              </w:rPr>
              <w:t>[</w:t>
            </w:r>
            <w:r w:rsidRPr="004C1B96">
              <w:t>is</w:t>
            </w:r>
            <w:r w:rsidRPr="00F94B27" w:rsidR="00F94B27">
              <w:rPr>
                <w:b/>
              </w:rPr>
              <w:t>][</w:t>
            </w:r>
            <w:r w:rsidRPr="004C1B96">
              <w:t>are</w:t>
            </w:r>
            <w:r w:rsidRPr="00F94B27" w:rsidR="00F94B27">
              <w:rPr>
                <w:b/>
              </w:rPr>
              <w:t>]</w:t>
            </w:r>
            <w:r w:rsidRPr="004C1B96">
              <w:t xml:space="preserve"> calculated will be dependent upon the number of Barrier Observation Dates during the </w:t>
            </w:r>
            <w:r w:rsidRPr="00F94B27" w:rsidR="00F94B27">
              <w:rPr>
                <w:b/>
              </w:rPr>
              <w:t>[</w:t>
            </w:r>
            <w:r w:rsidRPr="004C1B96">
              <w:t>relevant</w:t>
            </w:r>
            <w:r w:rsidRPr="00F94B27" w:rsidR="00F94B27">
              <w:rPr>
                <w:b/>
              </w:rPr>
              <w:t>]</w:t>
            </w:r>
            <w:r w:rsidRPr="004C1B96">
              <w:t xml:space="preserve"> interest period on which the value of the Reference Rate (</w:t>
            </w:r>
            <w:r w:rsidRPr="007E3558" w:rsidR="007E3558">
              <w:rPr>
                <w:i/>
              </w:rPr>
              <w:t>i.e.</w:t>
            </w:r>
            <w:r w:rsidRPr="004C1B96">
              <w:t xml:space="preserve">, a variable rate of interest) breaches </w:t>
            </w:r>
            <w:r w:rsidRPr="00F94B27" w:rsidR="00F94B27">
              <w:rPr>
                <w:b/>
              </w:rPr>
              <w:t>[</w:t>
            </w:r>
            <w:r w:rsidRPr="004C1B96">
              <w:t>or reaches</w:t>
            </w:r>
            <w:r w:rsidRPr="00F94B27" w:rsidR="00F94B27">
              <w:rPr>
                <w:b/>
              </w:rPr>
              <w:t>]</w:t>
            </w:r>
            <w:r w:rsidRPr="004C1B96">
              <w:t xml:space="preserve"> the </w:t>
            </w:r>
            <w:r w:rsidRPr="00F94B27" w:rsidR="00F94B27">
              <w:rPr>
                <w:b/>
              </w:rPr>
              <w:t>[</w:t>
            </w:r>
            <w:r w:rsidRPr="004C1B96">
              <w:t>Barrier</w:t>
            </w:r>
            <w:r w:rsidRPr="00F94B27" w:rsidR="00F94B27">
              <w:rPr>
                <w:b/>
              </w:rPr>
              <w:t>]</w:t>
            </w:r>
            <w:r w:rsidRPr="004C1B96">
              <w:t xml:space="preserve"> </w:t>
            </w:r>
            <w:r w:rsidRPr="00F94B27" w:rsidR="00F94B27">
              <w:rPr>
                <w:b/>
              </w:rPr>
              <w:t>[</w:t>
            </w:r>
            <w:r w:rsidRPr="004C1B96">
              <w:t>Lower Barrier or Upper Barrier</w:t>
            </w:r>
            <w:r w:rsidRPr="00F94B27" w:rsidR="00F94B27">
              <w:rPr>
                <w:b/>
              </w:rPr>
              <w:t>]</w:t>
            </w:r>
            <w:r w:rsidRPr="004C1B96">
              <w:t xml:space="preserve">, as specified in the Terms and Conditions. The </w:t>
            </w:r>
            <w:r w:rsidRPr="00F94B27" w:rsidR="00F94B27">
              <w:rPr>
                <w:b/>
              </w:rPr>
              <w:t>[</w:t>
            </w:r>
            <w:r w:rsidRPr="004C1B96">
              <w:t>applicable</w:t>
            </w:r>
            <w:r w:rsidRPr="00F94B27" w:rsidR="00F94B27">
              <w:rPr>
                <w:b/>
              </w:rPr>
              <w:t>]</w:t>
            </w:r>
            <w:r w:rsidRPr="004C1B96">
              <w:t xml:space="preserve"> Interest Rate will then be determined by multiplying (i) the number of Barrier Observation Dates during the </w:t>
            </w:r>
            <w:r w:rsidRPr="00F94B27" w:rsidR="00F94B27">
              <w:rPr>
                <w:b/>
              </w:rPr>
              <w:t>[</w:t>
            </w:r>
            <w:r w:rsidRPr="004C1B96">
              <w:t>relevant</w:t>
            </w:r>
            <w:r w:rsidRPr="00F94B27" w:rsidR="00F94B27">
              <w:rPr>
                <w:b/>
              </w:rPr>
              <w:t>]</w:t>
            </w:r>
            <w:r w:rsidRPr="004C1B96">
              <w:t xml:space="preserve"> interest period on which such </w:t>
            </w:r>
            <w:r w:rsidRPr="00F94B27" w:rsidR="00F94B27">
              <w:rPr>
                <w:b/>
              </w:rPr>
              <w:t>[</w:t>
            </w:r>
            <w:r w:rsidRPr="004C1B96">
              <w:t>Barrier was not</w:t>
            </w:r>
            <w:r w:rsidRPr="00F94B27" w:rsidR="00F94B27">
              <w:rPr>
                <w:b/>
              </w:rPr>
              <w:t>]</w:t>
            </w:r>
            <w:r w:rsidRPr="004C1B96">
              <w:t xml:space="preserve"> </w:t>
            </w:r>
            <w:r w:rsidRPr="00F94B27" w:rsidR="00F94B27">
              <w:rPr>
                <w:b/>
              </w:rPr>
              <w:t>[</w:t>
            </w:r>
            <w:r w:rsidRPr="004C1B96">
              <w:t>Lower Barrier or Upper Barrier were not</w:t>
            </w:r>
            <w:r w:rsidRPr="00F94B27" w:rsidR="00F94B27">
              <w:rPr>
                <w:b/>
              </w:rPr>
              <w:t>]</w:t>
            </w:r>
            <w:r w:rsidRPr="004C1B96">
              <w:t xml:space="preserve"> breached </w:t>
            </w:r>
            <w:r w:rsidRPr="00F94B27" w:rsidR="00F94B27">
              <w:rPr>
                <w:b/>
              </w:rPr>
              <w:t>[</w:t>
            </w:r>
            <w:r w:rsidRPr="004C1B96">
              <w:t>or reached</w:t>
            </w:r>
            <w:r w:rsidRPr="00F94B27" w:rsidR="00F94B27">
              <w:rPr>
                <w:b/>
              </w:rPr>
              <w:t>]</w:t>
            </w:r>
            <w:r w:rsidRPr="004C1B96">
              <w:t xml:space="preserve">, divided by the total number of Barrier Observation Dates during such interest period, by (ii) </w:t>
            </w:r>
            <w:r w:rsidRPr="00F94B27" w:rsidR="00F94B27">
              <w:rPr>
                <w:b/>
              </w:rPr>
              <w:t>[</w:t>
            </w:r>
            <w:r w:rsidR="003857E8">
              <w:rPr>
                <w:rFonts w:ascii="Arial" w:hAnsi="Arial" w:cs="Arial"/>
              </w:rPr>
              <w:t>●</w:t>
            </w:r>
            <w:r w:rsidRPr="00F94B27" w:rsidR="00F94B27">
              <w:rPr>
                <w:b/>
              </w:rPr>
              <w:t>]</w:t>
            </w:r>
            <w:r w:rsidRPr="004C1B96">
              <w:t xml:space="preserve">% per annum. Consequently, the greater the number of Barrier Observation Dates on which such </w:t>
            </w:r>
            <w:r w:rsidRPr="00F94B27" w:rsidR="00F94B27">
              <w:rPr>
                <w:b/>
              </w:rPr>
              <w:t>[</w:t>
            </w:r>
            <w:r w:rsidRPr="004C1B96">
              <w:t>Barrier</w:t>
            </w:r>
            <w:r w:rsidRPr="00F94B27" w:rsidR="00F94B27">
              <w:rPr>
                <w:b/>
              </w:rPr>
              <w:t>]</w:t>
            </w:r>
            <w:r w:rsidRPr="004C1B96">
              <w:t xml:space="preserve"> </w:t>
            </w:r>
            <w:r w:rsidRPr="00F94B27" w:rsidR="00F94B27">
              <w:rPr>
                <w:b/>
              </w:rPr>
              <w:t>[</w:t>
            </w:r>
            <w:r w:rsidRPr="004C1B96">
              <w:t>Lower Barrier or Upper Barrier</w:t>
            </w:r>
            <w:r w:rsidRPr="00F94B27" w:rsidR="00F94B27">
              <w:rPr>
                <w:b/>
              </w:rPr>
              <w:t>]</w:t>
            </w:r>
            <w:r w:rsidRPr="004C1B96">
              <w:t xml:space="preserve"> is breached </w:t>
            </w:r>
            <w:r w:rsidRPr="00F94B27" w:rsidR="00F94B27">
              <w:rPr>
                <w:b/>
              </w:rPr>
              <w:t>[</w:t>
            </w:r>
            <w:r w:rsidRPr="004C1B96">
              <w:t>or, reached</w:t>
            </w:r>
            <w:r w:rsidRPr="00F94B27" w:rsidR="00F94B27">
              <w:rPr>
                <w:b/>
              </w:rPr>
              <w:t>]</w:t>
            </w:r>
            <w:r w:rsidRPr="004C1B96">
              <w:t xml:space="preserve">, the lower the </w:t>
            </w:r>
            <w:r w:rsidRPr="00F94B27" w:rsidR="00F94B27">
              <w:rPr>
                <w:b/>
              </w:rPr>
              <w:t>[</w:t>
            </w:r>
            <w:r w:rsidRPr="004C1B96">
              <w:t>applicable</w:t>
            </w:r>
            <w:r w:rsidRPr="00F94B27" w:rsidR="00F94B27">
              <w:rPr>
                <w:b/>
              </w:rPr>
              <w:t>]</w:t>
            </w:r>
            <w:r w:rsidRPr="004C1B96">
              <w:t xml:space="preserve"> Interest Rate and resulting Interest Payment Amount will be. If such </w:t>
            </w:r>
            <w:r w:rsidRPr="00F94B27" w:rsidR="00F94B27">
              <w:rPr>
                <w:b/>
              </w:rPr>
              <w:t>[</w:t>
            </w:r>
            <w:r w:rsidRPr="004C1B96">
              <w:t>Barrier</w:t>
            </w:r>
            <w:r w:rsidRPr="00F94B27" w:rsidR="00F94B27">
              <w:rPr>
                <w:b/>
              </w:rPr>
              <w:t>]</w:t>
            </w:r>
            <w:r w:rsidRPr="004C1B96">
              <w:t xml:space="preserve"> </w:t>
            </w:r>
            <w:r w:rsidRPr="00F94B27" w:rsidR="00F94B27">
              <w:rPr>
                <w:b/>
              </w:rPr>
              <w:t>[</w:t>
            </w:r>
            <w:r w:rsidRPr="004C1B96">
              <w:t>Lower Barrier or Upper Barrier</w:t>
            </w:r>
            <w:r w:rsidRPr="00F94B27" w:rsidR="00F94B27">
              <w:rPr>
                <w:b/>
              </w:rPr>
              <w:t>]</w:t>
            </w:r>
            <w:r w:rsidRPr="004C1B96">
              <w:t xml:space="preserve"> is breached </w:t>
            </w:r>
            <w:r w:rsidRPr="00F94B27" w:rsidR="00F94B27">
              <w:rPr>
                <w:b/>
              </w:rPr>
              <w:t>[</w:t>
            </w:r>
            <w:r w:rsidRPr="004C1B96">
              <w:t>or, reached</w:t>
            </w:r>
            <w:r w:rsidRPr="00F94B27" w:rsidR="00F94B27">
              <w:rPr>
                <w:b/>
              </w:rPr>
              <w:t>]</w:t>
            </w:r>
            <w:r w:rsidRPr="004C1B96">
              <w:t xml:space="preserve"> on each Barrier Observation Date, the Interest Rate and the resulting Interest Payment Amount, will be zero.</w:t>
            </w:r>
            <w:r w:rsidRPr="00F94B27" w:rsidR="00F94B27">
              <w:rPr>
                <w:b/>
              </w:rPr>
              <w:t>]</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 xml:space="preserve">Bei Range Accrual Notes sollten sich Potenzielle Anleger bewusst sein, dass der Zinssatz, auf dessen Grundlage </w:t>
            </w:r>
            <w:r w:rsidRPr="00F94B27" w:rsidR="00F94B27">
              <w:rPr>
                <w:b/>
                <w:lang w:val="de-DE"/>
              </w:rPr>
              <w:t>[</w:t>
            </w:r>
            <w:r w:rsidRPr="00C3407D">
              <w:rPr>
                <w:lang w:val="de-DE"/>
              </w:rPr>
              <w:t>der Zinszahlungsbetrag</w:t>
            </w:r>
            <w:r w:rsidRPr="00F94B27" w:rsidR="00F94B27">
              <w:rPr>
                <w:b/>
                <w:lang w:val="de-DE"/>
              </w:rPr>
              <w:t>][</w:t>
            </w:r>
            <w:r w:rsidRPr="00C3407D">
              <w:rPr>
                <w:lang w:val="de-DE"/>
              </w:rPr>
              <w:t>die Zinszahlungsbeträge</w:t>
            </w:r>
            <w:r w:rsidRPr="00F94B27" w:rsidR="00F94B27">
              <w:rPr>
                <w:b/>
                <w:lang w:val="de-DE"/>
              </w:rPr>
              <w:t>]</w:t>
            </w:r>
            <w:r w:rsidRPr="00C3407D">
              <w:rPr>
                <w:lang w:val="de-DE"/>
              </w:rPr>
              <w:t xml:space="preserve"> berechnet </w:t>
            </w:r>
            <w:r w:rsidRPr="00F94B27" w:rsidR="00F94B27">
              <w:rPr>
                <w:b/>
                <w:lang w:val="de-DE"/>
              </w:rPr>
              <w:t>[</w:t>
            </w:r>
            <w:r w:rsidRPr="00C3407D">
              <w:rPr>
                <w:lang w:val="de-DE"/>
              </w:rPr>
              <w:t>wird</w:t>
            </w:r>
            <w:r w:rsidRPr="00F94B27" w:rsidR="00F94B27">
              <w:rPr>
                <w:b/>
                <w:lang w:val="de-DE"/>
              </w:rPr>
              <w:t>][</w:t>
            </w:r>
            <w:r w:rsidRPr="00C3407D">
              <w:rPr>
                <w:lang w:val="de-DE"/>
              </w:rPr>
              <w:t>werden</w:t>
            </w:r>
            <w:r w:rsidRPr="00F94B27" w:rsidR="00F94B27">
              <w:rPr>
                <w:b/>
                <w:lang w:val="de-DE"/>
              </w:rPr>
              <w:t>]</w:t>
            </w:r>
            <w:r w:rsidRPr="00C3407D">
              <w:rPr>
                <w:lang w:val="de-DE"/>
              </w:rPr>
              <w:t xml:space="preserve">, von der Anzahl der Barriere-Beobachtungstage während der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Zinsperiode abhängt, an denen der Wert des Referenzsatzes (d.h. eines variablen Zinssatzes) die in den Emissionsbedingungen angegebene </w:t>
            </w:r>
            <w:r w:rsidRPr="00F94B27" w:rsidR="00F94B27">
              <w:rPr>
                <w:b/>
                <w:lang w:val="de-DE"/>
              </w:rPr>
              <w:t>[</w:t>
            </w:r>
            <w:r w:rsidRPr="00C3407D">
              <w:rPr>
                <w:lang w:val="de-DE"/>
              </w:rPr>
              <w:t>Barriere</w:t>
            </w:r>
            <w:r w:rsidRPr="00F94B27" w:rsidR="00F94B27">
              <w:rPr>
                <w:b/>
                <w:lang w:val="de-DE"/>
              </w:rPr>
              <w:t>]</w:t>
            </w:r>
            <w:r w:rsidRPr="00C3407D">
              <w:rPr>
                <w:lang w:val="de-DE"/>
              </w:rPr>
              <w:t xml:space="preserve"> </w:t>
            </w:r>
            <w:r w:rsidRPr="00F94B27" w:rsidR="00F94B27">
              <w:rPr>
                <w:b/>
                <w:lang w:val="de-DE"/>
              </w:rPr>
              <w:t>[</w:t>
            </w:r>
            <w:r w:rsidRPr="00C3407D">
              <w:rPr>
                <w:lang w:val="de-DE"/>
              </w:rPr>
              <w:t>Untere Barriere bzw. Obere Barriere</w:t>
            </w:r>
            <w:r w:rsidRPr="00F94B27" w:rsidR="00F94B27">
              <w:rPr>
                <w:b/>
                <w:lang w:val="de-DE"/>
              </w:rPr>
              <w:t>]</w:t>
            </w:r>
            <w:r w:rsidRPr="00C3407D">
              <w:rPr>
                <w:lang w:val="de-DE"/>
              </w:rPr>
              <w:t xml:space="preserve"> verletzt </w:t>
            </w:r>
            <w:r w:rsidRPr="00F94B27" w:rsidR="00F94B27">
              <w:rPr>
                <w:b/>
                <w:lang w:val="de-DE"/>
              </w:rPr>
              <w:t>[</w:t>
            </w:r>
            <w:r w:rsidRPr="00C3407D">
              <w:rPr>
                <w:lang w:val="de-DE"/>
              </w:rPr>
              <w:t>oder diese erreicht</w:t>
            </w:r>
            <w:r w:rsidRPr="00F94B27" w:rsidR="00F94B27">
              <w:rPr>
                <w:b/>
                <w:lang w:val="de-DE"/>
              </w:rPr>
              <w:t>]</w:t>
            </w:r>
            <w:r w:rsidRPr="00C3407D">
              <w:rPr>
                <w:lang w:val="de-DE"/>
              </w:rPr>
              <w:t xml:space="preserve">. Der </w:t>
            </w:r>
            <w:r w:rsidRPr="00F94B27" w:rsidR="00F94B27">
              <w:rPr>
                <w:b/>
                <w:lang w:val="de-DE"/>
              </w:rPr>
              <w:t>[</w:t>
            </w:r>
            <w:r w:rsidRPr="00C3407D">
              <w:rPr>
                <w:lang w:val="de-DE"/>
              </w:rPr>
              <w:t>anwendbare</w:t>
            </w:r>
            <w:r w:rsidRPr="00F94B27" w:rsidR="00F94B27">
              <w:rPr>
                <w:b/>
                <w:lang w:val="de-DE"/>
              </w:rPr>
              <w:t>]</w:t>
            </w:r>
            <w:r w:rsidRPr="00C3407D">
              <w:rPr>
                <w:lang w:val="de-DE"/>
              </w:rPr>
              <w:t xml:space="preserve"> Zinssatz wird dann bestimmt, indem (i) die Anzahl der Barriere-Beobachtungstage während der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Zinsperiode, an denen die </w:t>
            </w:r>
            <w:r w:rsidRPr="00F94B27" w:rsidR="00F94B27">
              <w:rPr>
                <w:b/>
                <w:lang w:val="de-DE"/>
              </w:rPr>
              <w:t>[</w:t>
            </w:r>
            <w:r w:rsidRPr="00C3407D">
              <w:rPr>
                <w:lang w:val="de-DE"/>
              </w:rPr>
              <w:t>Barriere</w:t>
            </w:r>
            <w:r w:rsidRPr="00F94B27" w:rsidR="00F94B27">
              <w:rPr>
                <w:b/>
                <w:lang w:val="de-DE"/>
              </w:rPr>
              <w:t>]</w:t>
            </w:r>
            <w:r w:rsidRPr="00C3407D">
              <w:rPr>
                <w:lang w:val="de-DE"/>
              </w:rPr>
              <w:t xml:space="preserve"> </w:t>
            </w:r>
            <w:r w:rsidRPr="00F94B27" w:rsidR="00F94B27">
              <w:rPr>
                <w:b/>
                <w:lang w:val="de-DE"/>
              </w:rPr>
              <w:t>[</w:t>
            </w:r>
            <w:r w:rsidRPr="00C3407D">
              <w:rPr>
                <w:lang w:val="de-DE"/>
              </w:rPr>
              <w:t>Untere Barriere bzw. Obere Barriere</w:t>
            </w:r>
            <w:r w:rsidRPr="00F94B27" w:rsidR="00F94B27">
              <w:rPr>
                <w:b/>
                <w:lang w:val="de-DE"/>
              </w:rPr>
              <w:t>]</w:t>
            </w:r>
            <w:r w:rsidRPr="00C3407D">
              <w:rPr>
                <w:lang w:val="de-DE"/>
              </w:rPr>
              <w:t xml:space="preserve"> nicht verletzt wurde </w:t>
            </w:r>
            <w:r w:rsidRPr="00F94B27" w:rsidR="00F94B27">
              <w:rPr>
                <w:b/>
                <w:lang w:val="de-DE"/>
              </w:rPr>
              <w:t>[</w:t>
            </w:r>
            <w:r w:rsidRPr="00C3407D">
              <w:rPr>
                <w:lang w:val="de-DE"/>
              </w:rPr>
              <w:t>(oder nicht erreicht wurde)</w:t>
            </w:r>
            <w:r w:rsidRPr="00F94B27" w:rsidR="00F94B27">
              <w:rPr>
                <w:b/>
                <w:lang w:val="de-DE"/>
              </w:rPr>
              <w:t>]</w:t>
            </w:r>
            <w:r w:rsidRPr="00C3407D">
              <w:rPr>
                <w:lang w:val="de-DE"/>
              </w:rPr>
              <w:t xml:space="preserve">, dividiert durch die Gesamtzahl der Barriere-Beobachtungstage während dieser Zinsperiode, mit (ii)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xml:space="preserve">% per annum multipliziert wird. Folglich gilt: je grösser die Anzahl der Barriere-Beobachtungstage ist, an denen die </w:t>
            </w:r>
            <w:r w:rsidRPr="00F94B27" w:rsidR="00F94B27">
              <w:rPr>
                <w:b/>
                <w:lang w:val="de-DE"/>
              </w:rPr>
              <w:t>[</w:t>
            </w:r>
            <w:r w:rsidRPr="00C3407D">
              <w:rPr>
                <w:lang w:val="de-DE"/>
              </w:rPr>
              <w:t>Barriere</w:t>
            </w:r>
            <w:r w:rsidRPr="00F94B27" w:rsidR="00F94B27">
              <w:rPr>
                <w:b/>
                <w:lang w:val="de-DE"/>
              </w:rPr>
              <w:t>]</w:t>
            </w:r>
            <w:r w:rsidRPr="00C3407D">
              <w:rPr>
                <w:lang w:val="de-DE"/>
              </w:rPr>
              <w:t xml:space="preserve"> </w:t>
            </w:r>
            <w:r w:rsidRPr="00F94B27" w:rsidR="00F94B27">
              <w:rPr>
                <w:b/>
                <w:lang w:val="de-DE"/>
              </w:rPr>
              <w:t>[</w:t>
            </w:r>
            <w:r w:rsidRPr="00C3407D">
              <w:rPr>
                <w:lang w:val="de-DE"/>
              </w:rPr>
              <w:t>Untere Barriere bzw. Obere Barriere</w:t>
            </w:r>
            <w:r w:rsidRPr="00F94B27" w:rsidR="00F94B27">
              <w:rPr>
                <w:b/>
                <w:lang w:val="de-DE"/>
              </w:rPr>
              <w:t>]</w:t>
            </w:r>
            <w:r w:rsidRPr="00C3407D">
              <w:rPr>
                <w:lang w:val="de-DE"/>
              </w:rPr>
              <w:t xml:space="preserve"> verletzt wurde </w:t>
            </w:r>
            <w:r w:rsidRPr="00F94B27" w:rsidR="00F94B27">
              <w:rPr>
                <w:b/>
                <w:lang w:val="de-DE"/>
              </w:rPr>
              <w:t>[</w:t>
            </w:r>
            <w:r w:rsidRPr="00C3407D">
              <w:rPr>
                <w:lang w:val="de-DE"/>
              </w:rPr>
              <w:t>oder erreicht wurde</w:t>
            </w:r>
            <w:r w:rsidRPr="00F94B27" w:rsidR="00F94B27">
              <w:rPr>
                <w:b/>
                <w:lang w:val="de-DE"/>
              </w:rPr>
              <w:t>]</w:t>
            </w:r>
            <w:r w:rsidRPr="00C3407D">
              <w:rPr>
                <w:lang w:val="de-DE"/>
              </w:rPr>
              <w:t xml:space="preserve">, desto niedriger ist der anwendbare Zinssatz und der resultierende Zinszahlungsbetrag. Wird die </w:t>
            </w:r>
            <w:r w:rsidRPr="00F94B27" w:rsidR="00F94B27">
              <w:rPr>
                <w:b/>
                <w:lang w:val="de-DE"/>
              </w:rPr>
              <w:t>[</w:t>
            </w:r>
            <w:r w:rsidRPr="00C3407D">
              <w:rPr>
                <w:lang w:val="de-DE"/>
              </w:rPr>
              <w:t>Barriere</w:t>
            </w:r>
            <w:r w:rsidRPr="00F94B27" w:rsidR="00F94B27">
              <w:rPr>
                <w:b/>
                <w:lang w:val="de-DE"/>
              </w:rPr>
              <w:t>]</w:t>
            </w:r>
            <w:r w:rsidRPr="00C3407D">
              <w:rPr>
                <w:lang w:val="de-DE"/>
              </w:rPr>
              <w:t xml:space="preserve"> </w:t>
            </w:r>
            <w:r w:rsidRPr="00F94B27" w:rsidR="00F94B27">
              <w:rPr>
                <w:b/>
                <w:lang w:val="de-DE"/>
              </w:rPr>
              <w:t>[</w:t>
            </w:r>
            <w:r w:rsidRPr="00C3407D">
              <w:rPr>
                <w:lang w:val="de-DE"/>
              </w:rPr>
              <w:t>Untere Barriere bzw. Obere Barriere</w:t>
            </w:r>
            <w:r w:rsidRPr="00F94B27" w:rsidR="00F94B27">
              <w:rPr>
                <w:b/>
                <w:lang w:val="de-DE"/>
              </w:rPr>
              <w:t>]</w:t>
            </w:r>
            <w:r w:rsidRPr="00C3407D">
              <w:rPr>
                <w:lang w:val="de-DE"/>
              </w:rPr>
              <w:t xml:space="preserve"> an jedem Barriere-Beobachtungstag verletzt </w:t>
            </w:r>
            <w:r w:rsidRPr="00F94B27" w:rsidR="00F94B27">
              <w:rPr>
                <w:b/>
                <w:lang w:val="de-DE"/>
              </w:rPr>
              <w:t>[</w:t>
            </w:r>
            <w:r w:rsidRPr="00C3407D">
              <w:rPr>
                <w:lang w:val="de-DE"/>
              </w:rPr>
              <w:t>(oder erreicht)</w:t>
            </w:r>
            <w:r w:rsidRPr="00F94B27" w:rsidR="00F94B27">
              <w:rPr>
                <w:b/>
                <w:lang w:val="de-DE"/>
              </w:rPr>
              <w:t>]</w:t>
            </w:r>
            <w:r w:rsidRPr="00C3407D">
              <w:rPr>
                <w:lang w:val="de-DE"/>
              </w:rPr>
              <w:t>, so betragen der Zinssatz und der resultierende Zinszahlungsbetrag null.</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italic"/>
              <w:rPr>
                <w:lang w:val="en-GB"/>
              </w:rPr>
            </w:pPr>
            <w:r w:rsidRPr="00F94B27">
              <w:rPr>
                <w:lang w:val="en-GB"/>
              </w:rPr>
              <w:t>[</w:t>
            </w:r>
            <w:r w:rsidRPr="00960E67">
              <w:rPr>
                <w:lang w:val="en-GB"/>
              </w:rPr>
              <w:t>in case of Cumulative Reverse Floater Notes:</w:t>
            </w:r>
          </w:p>
        </w:tc>
        <w:tc>
          <w:tcPr>
            <w:tcW w:w="2516" w:type="pct"/>
            <w:tcBorders>
              <w:top w:val="nil"/>
              <w:left w:val="single" w:sz="4" w:space="0" w:color="auto"/>
              <w:bottom w:val="nil"/>
              <w:right w:val="nil"/>
            </w:tcBorders>
          </w:tcPr>
          <w:p w:rsidR="00C3407D" w:rsidRPr="004C1B96" w:rsidP="00C3407D">
            <w:pPr>
              <w:pStyle w:val="CSbody0bolditalic"/>
            </w:pPr>
            <w:r w:rsidRPr="00F94B27">
              <w:t>[</w:t>
            </w:r>
            <w:r w:rsidRPr="004C1B96">
              <w:t>bei Cumulative Reverse Floater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Risks in connection Cumulative Reverse Floater Notes</w:t>
            </w:r>
          </w:p>
        </w:tc>
        <w:tc>
          <w:tcPr>
            <w:tcW w:w="2516" w:type="pct"/>
            <w:tcBorders>
              <w:top w:val="nil"/>
              <w:left w:val="single" w:sz="4" w:space="0" w:color="auto"/>
              <w:bottom w:val="nil"/>
              <w:right w:val="nil"/>
            </w:tcBorders>
          </w:tcPr>
          <w:p w:rsidR="00C3407D" w:rsidRPr="00C3407D" w:rsidP="00C3407D">
            <w:pPr>
              <w:pStyle w:val="CSbody0bold"/>
            </w:pPr>
            <w:r w:rsidRPr="00C3407D">
              <w:t>Risiken im Zusammenhang mit Cumulative Reverse Floater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4C1B96" w:rsidP="00C3407D">
            <w:pPr>
              <w:pStyle w:val="CSBody0"/>
            </w:pPr>
            <w:r w:rsidRPr="004C1B96">
              <w:t xml:space="preserve">In case of Cumulative Reverse Floater Notes, potential investors should be aware that the Interest Payment Amount on the </w:t>
            </w:r>
            <w:r w:rsidRPr="00F94B27" w:rsidR="00F94B27">
              <w:rPr>
                <w:b/>
                <w:i/>
              </w:rPr>
              <w:t>[</w:t>
            </w:r>
            <w:r w:rsidRPr="00C3407D">
              <w:rPr>
                <w:b/>
                <w:i/>
              </w:rPr>
              <w:t>insert number of Interest Payment Date, from which the Interest Rate will be a variable rate per annum:</w:t>
            </w:r>
            <w:r w:rsidRPr="004C1B96">
              <w:t xml:space="preserve"> </w:t>
            </w:r>
            <w:r w:rsidRPr="00F94B27" w:rsidR="00F94B27">
              <w:rPr>
                <w:b/>
              </w:rPr>
              <w:t>[</w:t>
            </w:r>
            <w:r w:rsidR="003857E8">
              <w:rPr>
                <w:rFonts w:ascii="Arial" w:hAnsi="Arial" w:cs="Arial"/>
              </w:rPr>
              <w:t>●</w:t>
            </w:r>
            <w:r w:rsidRPr="00F94B27" w:rsidR="00F94B27">
              <w:rPr>
                <w:b/>
              </w:rPr>
              <w:t>]]</w:t>
            </w:r>
            <w:r w:rsidRPr="004C1B96">
              <w:t xml:space="preserve"> Interest Payment Date </w:t>
            </w:r>
            <w:r w:rsidRPr="00F94B27" w:rsidR="00F94B27">
              <w:rPr>
                <w:b/>
              </w:rPr>
              <w:t>[</w:t>
            </w:r>
            <w:r w:rsidRPr="004C1B96">
              <w:t>and any following Interest Payment Date</w:t>
            </w:r>
            <w:r w:rsidRPr="00F94B27" w:rsidR="00F94B27">
              <w:rPr>
                <w:b/>
              </w:rPr>
              <w:t>]</w:t>
            </w:r>
            <w:r w:rsidRPr="004C1B96">
              <w:t xml:space="preserve"> will be calculated on the basis of a variable Interest Rate. Such variable Interest Rate applicable on the </w:t>
            </w:r>
            <w:r w:rsidRPr="00F94B27" w:rsidR="00F94B27">
              <w:rPr>
                <w:b/>
              </w:rPr>
              <w:t>[</w:t>
            </w:r>
            <w:r w:rsidRPr="004C1B96">
              <w:t>relevant</w:t>
            </w:r>
            <w:r w:rsidRPr="00F94B27" w:rsidR="00F94B27">
              <w:rPr>
                <w:b/>
              </w:rPr>
              <w:t>]</w:t>
            </w:r>
            <w:r w:rsidRPr="004C1B96">
              <w:t xml:space="preserve"> Interest Payment Date will be equal to the sum of (i) the Interest Rate applicable to the immediately preceding Interest Payment Date, and (ii) the relevant Spread Rate (</w:t>
            </w:r>
            <w:r w:rsidRPr="007E3558" w:rsidR="007E3558">
              <w:rPr>
                <w:i/>
              </w:rPr>
              <w:t>i.e.</w:t>
            </w:r>
            <w:r w:rsidRPr="004C1B96">
              <w:t xml:space="preserve">, a fixed rate per annum) less (iii) the </w:t>
            </w:r>
            <w:r w:rsidRPr="00F94B27" w:rsidR="00F94B27">
              <w:rPr>
                <w:b/>
              </w:rPr>
              <w:t>[</w:t>
            </w:r>
            <w:r w:rsidRPr="004C1B96">
              <w:t>value of the Reference Rate (</w:t>
            </w:r>
            <w:r w:rsidRPr="007E3558" w:rsidR="007E3558">
              <w:rPr>
                <w:i/>
              </w:rPr>
              <w:t>i.e.</w:t>
            </w:r>
            <w:r w:rsidRPr="004C1B96">
              <w:t xml:space="preserve">, a variable rate of interest) on the </w:t>
            </w:r>
            <w:r w:rsidRPr="00F94B27" w:rsidR="00F94B27">
              <w:rPr>
                <w:b/>
              </w:rPr>
              <w:t>[</w:t>
            </w:r>
            <w:r w:rsidRPr="004C1B96">
              <w:t>relevant</w:t>
            </w:r>
            <w:r w:rsidRPr="00F94B27" w:rsidR="00F94B27">
              <w:rPr>
                <w:b/>
              </w:rPr>
              <w:t>]</w:t>
            </w:r>
            <w:r w:rsidRPr="004C1B96">
              <w:t xml:space="preserve"> Interest Determination Date</w:t>
            </w:r>
            <w:r w:rsidRPr="00F94B27" w:rsidR="00F94B27">
              <w:rPr>
                <w:b/>
              </w:rPr>
              <w:t>]</w:t>
            </w:r>
            <w:r w:rsidRPr="004C1B96">
              <w:t xml:space="preserve"> </w:t>
            </w:r>
            <w:r w:rsidRPr="00F94B27" w:rsidR="00F94B27">
              <w:rPr>
                <w:b/>
              </w:rPr>
              <w:t>[</w:t>
            </w:r>
            <w:r w:rsidRPr="004C1B96">
              <w:t>sum of the Reference Rate (</w:t>
            </w:r>
            <w:r w:rsidRPr="007E3558" w:rsidR="007E3558">
              <w:rPr>
                <w:i/>
              </w:rPr>
              <w:t>i.e.</w:t>
            </w:r>
            <w:r w:rsidRPr="004C1B96">
              <w:t xml:space="preserve">, a variable rate of interest) on the </w:t>
            </w:r>
            <w:r w:rsidRPr="00F94B27" w:rsidR="00F94B27">
              <w:rPr>
                <w:b/>
              </w:rPr>
              <w:t>[</w:t>
            </w:r>
            <w:r w:rsidRPr="004C1B96">
              <w:t>relevant</w:t>
            </w:r>
            <w:r w:rsidRPr="00F94B27" w:rsidR="00F94B27">
              <w:rPr>
                <w:b/>
              </w:rPr>
              <w:t>]</w:t>
            </w:r>
            <w:r w:rsidRPr="004C1B96">
              <w:t xml:space="preserve"> Interest Determination Date and </w:t>
            </w:r>
            <w:r w:rsidRPr="00F94B27" w:rsidR="00F94B27">
              <w:rPr>
                <w:b/>
              </w:rPr>
              <w:t>[</w:t>
            </w:r>
            <w:r w:rsidR="003857E8">
              <w:rPr>
                <w:rFonts w:ascii="Arial" w:hAnsi="Arial" w:cs="Arial"/>
              </w:rPr>
              <w:t>●</w:t>
            </w:r>
            <w:r w:rsidRPr="00F94B27" w:rsidR="00F94B27">
              <w:rPr>
                <w:b/>
              </w:rPr>
              <w:t>]</w:t>
            </w:r>
            <w:r w:rsidRPr="004C1B96">
              <w:t>% per annum</w:t>
            </w:r>
            <w:r w:rsidRPr="00F94B27" w:rsidR="00F94B27">
              <w:rPr>
                <w:b/>
              </w:rPr>
              <w:t>]</w:t>
            </w:r>
            <w:r w:rsidRPr="004C1B96">
              <w:t xml:space="preserve">. Consequently, the higher the value of the Reference Rate on the Interest Determination Date </w:t>
            </w:r>
            <w:r w:rsidRPr="00F94B27" w:rsidR="00F94B27">
              <w:rPr>
                <w:b/>
              </w:rPr>
              <w:t>[</w:t>
            </w:r>
            <w:r w:rsidRPr="004C1B96">
              <w:t xml:space="preserve">plus </w:t>
            </w:r>
            <w:r w:rsidRPr="00F94B27" w:rsidR="00F94B27">
              <w:rPr>
                <w:b/>
              </w:rPr>
              <w:t>[</w:t>
            </w:r>
            <w:r w:rsidR="003857E8">
              <w:rPr>
                <w:rFonts w:ascii="Arial" w:hAnsi="Arial" w:cs="Arial"/>
              </w:rPr>
              <w:t>●</w:t>
            </w:r>
            <w:r w:rsidRPr="00F94B27" w:rsidR="00F94B27">
              <w:rPr>
                <w:b/>
              </w:rPr>
              <w:t>]</w:t>
            </w:r>
            <w:r w:rsidRPr="004C1B96">
              <w:t>% per annum</w:t>
            </w:r>
            <w:r w:rsidRPr="00F94B27" w:rsidR="00F94B27">
              <w:rPr>
                <w:b/>
              </w:rPr>
              <w:t>]</w:t>
            </w:r>
            <w:r w:rsidRPr="004C1B96">
              <w:t xml:space="preserve"> is in comparison to the relevant Spread Rate, the lower the applicable Interest Rate and resulting Interest Payment Amount will be. If the value of the Reference Rate on </w:t>
            </w:r>
            <w:r w:rsidRPr="00F94B27" w:rsidR="00F94B27">
              <w:rPr>
                <w:b/>
              </w:rPr>
              <w:t>[</w:t>
            </w:r>
            <w:r w:rsidRPr="004C1B96">
              <w:t>the</w:t>
            </w:r>
            <w:r w:rsidRPr="00F94B27" w:rsidR="00F94B27">
              <w:rPr>
                <w:b/>
              </w:rPr>
              <w:t>]</w:t>
            </w:r>
            <w:r w:rsidRPr="004C1B96">
              <w:t xml:space="preserve"> </w:t>
            </w:r>
            <w:r w:rsidRPr="00F94B27" w:rsidR="00F94B27">
              <w:rPr>
                <w:b/>
              </w:rPr>
              <w:t>[</w:t>
            </w:r>
            <w:r w:rsidRPr="004C1B96">
              <w:t>each</w:t>
            </w:r>
            <w:r w:rsidRPr="00F94B27" w:rsidR="00F94B27">
              <w:rPr>
                <w:b/>
              </w:rPr>
              <w:t>]</w:t>
            </w:r>
            <w:r w:rsidRPr="004C1B96">
              <w:t xml:space="preserve"> Interest Determination Date </w:t>
            </w:r>
            <w:r w:rsidRPr="00F94B27" w:rsidR="00F94B27">
              <w:rPr>
                <w:b/>
              </w:rPr>
              <w:t>[</w:t>
            </w:r>
            <w:r w:rsidRPr="004C1B96">
              <w:t xml:space="preserve">plus </w:t>
            </w:r>
            <w:r w:rsidRPr="00F94B27" w:rsidR="00F94B27">
              <w:rPr>
                <w:b/>
              </w:rPr>
              <w:t>[</w:t>
            </w:r>
            <w:r w:rsidR="003857E8">
              <w:rPr>
                <w:rFonts w:ascii="Arial" w:hAnsi="Arial" w:cs="Arial"/>
              </w:rPr>
              <w:t>●</w:t>
            </w:r>
            <w:r w:rsidRPr="00F94B27" w:rsidR="00F94B27">
              <w:rPr>
                <w:b/>
              </w:rPr>
              <w:t>]</w:t>
            </w:r>
            <w:r w:rsidRPr="004C1B96">
              <w:t>% per annum</w:t>
            </w:r>
            <w:r w:rsidRPr="00F94B27" w:rsidR="00F94B27">
              <w:rPr>
                <w:b/>
              </w:rPr>
              <w:t>]</w:t>
            </w:r>
            <w:r w:rsidRPr="004C1B96">
              <w:t xml:space="preserve"> is equal to or above the relevant Spread Rate (</w:t>
            </w:r>
            <w:r w:rsidRPr="007E3558" w:rsidR="007E3558">
              <w:rPr>
                <w:i/>
              </w:rPr>
              <w:t>i.e.</w:t>
            </w:r>
            <w:r w:rsidRPr="004C1B96">
              <w:t xml:space="preserve">, if the difference between the relevant Spread Rate and the Reference Rate </w:t>
            </w:r>
            <w:r w:rsidRPr="00F94B27" w:rsidR="00F94B27">
              <w:rPr>
                <w:b/>
              </w:rPr>
              <w:t>[</w:t>
            </w:r>
            <w:r w:rsidRPr="004C1B96">
              <w:t xml:space="preserve">plus </w:t>
            </w:r>
            <w:r w:rsidRPr="00F94B27" w:rsidR="00F94B27">
              <w:rPr>
                <w:b/>
              </w:rPr>
              <w:t>[</w:t>
            </w:r>
            <w:r w:rsidR="003857E8">
              <w:rPr>
                <w:rFonts w:ascii="Arial" w:hAnsi="Arial" w:cs="Arial"/>
              </w:rPr>
              <w:t>●</w:t>
            </w:r>
            <w:r w:rsidRPr="00F94B27" w:rsidR="00F94B27">
              <w:rPr>
                <w:b/>
              </w:rPr>
              <w:t>]</w:t>
            </w:r>
            <w:r w:rsidRPr="004C1B96">
              <w:t>% per annum</w:t>
            </w:r>
            <w:r w:rsidRPr="00F94B27" w:rsidR="00F94B27">
              <w:rPr>
                <w:b/>
              </w:rPr>
              <w:t>]</w:t>
            </w:r>
            <w:r w:rsidRPr="004C1B96">
              <w:t xml:space="preserve"> is equal to zero or a negative amount), the applicable Interest Rate for </w:t>
            </w:r>
            <w:r w:rsidRPr="00F94B27" w:rsidR="00F94B27">
              <w:rPr>
                <w:b/>
              </w:rPr>
              <w:t>[</w:t>
            </w:r>
            <w:r w:rsidRPr="004C1B96">
              <w:t>the</w:t>
            </w:r>
            <w:r w:rsidRPr="00F94B27" w:rsidR="00F94B27">
              <w:rPr>
                <w:b/>
              </w:rPr>
              <w:t>]</w:t>
            </w:r>
            <w:r w:rsidRPr="004C1B96">
              <w:t xml:space="preserve"> </w:t>
            </w:r>
            <w:r w:rsidRPr="00F94B27" w:rsidR="00F94B27">
              <w:rPr>
                <w:b/>
              </w:rPr>
              <w:t>[</w:t>
            </w:r>
            <w:r w:rsidRPr="004C1B96">
              <w:t>each</w:t>
            </w:r>
            <w:r w:rsidRPr="00F94B27" w:rsidR="00F94B27">
              <w:rPr>
                <w:b/>
              </w:rPr>
              <w:t>]</w:t>
            </w:r>
            <w:r w:rsidRPr="004C1B96">
              <w:t xml:space="preserve"> Interest Payment Date will be below the fixed rate per annum applicable to the </w:t>
            </w:r>
            <w:r w:rsidRPr="00F94B27" w:rsidR="00F94B27">
              <w:rPr>
                <w:b/>
              </w:rPr>
              <w:t>[</w:t>
            </w:r>
            <w:r w:rsidRPr="004C1B96">
              <w:t>first</w:t>
            </w:r>
            <w:r w:rsidRPr="00F94B27" w:rsidR="00F94B27">
              <w:rPr>
                <w:b/>
              </w:rPr>
              <w:t>]</w:t>
            </w:r>
            <w:r w:rsidRPr="004C1B96">
              <w:t xml:space="preserve"> </w:t>
            </w:r>
            <w:r w:rsidRPr="00F94B27" w:rsidR="00F94B27">
              <w:rPr>
                <w:b/>
              </w:rPr>
              <w:t>[</w:t>
            </w:r>
            <w:r w:rsidRPr="004C1B96">
              <w:t xml:space="preserve">first </w:t>
            </w:r>
            <w:r w:rsidRPr="00F94B27" w:rsidR="00F94B27">
              <w:rPr>
                <w:b/>
              </w:rPr>
              <w:t>[</w:t>
            </w:r>
            <w:r w:rsidRPr="00C3407D">
              <w:rPr>
                <w:b/>
                <w:i/>
              </w:rPr>
              <w:t>insert number of Interest Payment Dates, on which a fixed rate per annum is applicable:</w:t>
            </w:r>
            <w:r w:rsidRPr="004C1B96">
              <w:t xml:space="preserve"> </w:t>
            </w:r>
            <w:r w:rsidRPr="00F94B27" w:rsidR="00F94B27">
              <w:rPr>
                <w:b/>
              </w:rPr>
              <w:t>[</w:t>
            </w:r>
            <w:r w:rsidR="003857E8">
              <w:rPr>
                <w:rFonts w:ascii="Arial" w:hAnsi="Arial" w:cs="Arial"/>
              </w:rPr>
              <w:t>●</w:t>
            </w:r>
            <w:r w:rsidRPr="00F94B27" w:rsidR="00F94B27">
              <w:rPr>
                <w:b/>
              </w:rPr>
              <w:t>]]</w:t>
            </w:r>
            <w:r w:rsidRPr="004C1B96">
              <w:t xml:space="preserve"> Interest Payment Date</w:t>
            </w:r>
            <w:r w:rsidRPr="00F94B27" w:rsidR="00F94B27">
              <w:rPr>
                <w:b/>
              </w:rPr>
              <w:t>[</w:t>
            </w:r>
            <w:r w:rsidRPr="004C1B96">
              <w:t>s</w:t>
            </w:r>
            <w:r w:rsidRPr="00F94B27" w:rsidR="00F94B27">
              <w:rPr>
                <w:b/>
              </w:rPr>
              <w:t>]</w:t>
            </w:r>
            <w:r w:rsidRPr="004C1B96">
              <w:t xml:space="preserve"> and may be equal to </w:t>
            </w:r>
            <w:r w:rsidRPr="00F94B27" w:rsidR="00F94B27">
              <w:rPr>
                <w:b/>
              </w:rPr>
              <w:t>[</w:t>
            </w:r>
            <w:r w:rsidRPr="004C1B96">
              <w:t>zero</w:t>
            </w:r>
            <w:r w:rsidRPr="00F94B27" w:rsidR="00F94B27">
              <w:rPr>
                <w:b/>
              </w:rPr>
              <w:t>]</w:t>
            </w:r>
            <w:r w:rsidRPr="004C1B96">
              <w:t xml:space="preserve"> </w:t>
            </w:r>
            <w:r w:rsidRPr="00F94B27" w:rsidR="00F94B27">
              <w:rPr>
                <w:b/>
              </w:rPr>
              <w:t>[</w:t>
            </w:r>
            <w:r w:rsidRPr="004C1B96">
              <w:t>the Minimum Interest Rate</w:t>
            </w:r>
            <w:r w:rsidRPr="00F94B27" w:rsidR="00F94B27">
              <w:rPr>
                <w:b/>
              </w:rPr>
              <w:t>]</w:t>
            </w:r>
            <w:r w:rsidRPr="004C1B96">
              <w:t>.</w:t>
            </w:r>
          </w:p>
        </w:tc>
        <w:tc>
          <w:tcPr>
            <w:tcW w:w="2516" w:type="pct"/>
            <w:tcBorders>
              <w:top w:val="nil"/>
              <w:left w:val="single" w:sz="4" w:space="0" w:color="auto"/>
              <w:bottom w:val="nil"/>
              <w:right w:val="nil"/>
            </w:tcBorders>
          </w:tcPr>
          <w:p w:rsidR="00C3407D" w:rsidRPr="00C3407D" w:rsidP="00C3407D">
            <w:pPr>
              <w:pStyle w:val="CSBody0"/>
              <w:rPr>
                <w:lang w:val="de-DE"/>
              </w:rPr>
            </w:pPr>
            <w:r w:rsidRPr="00C3407D">
              <w:rPr>
                <w:lang w:val="de-DE"/>
              </w:rPr>
              <w:t xml:space="preserve">Bei Cumulative Reverse Floater Notes sollten sich Potenzielle Anleger bewusst sein, dass der Zinszahlungsbetrag am </w:t>
            </w:r>
            <w:r w:rsidRPr="00F94B27" w:rsidR="00F94B27">
              <w:rPr>
                <w:b/>
                <w:lang w:val="de-DE"/>
              </w:rPr>
              <w:t>[</w:t>
            </w:r>
            <w:r w:rsidRPr="00C3407D">
              <w:rPr>
                <w:b/>
                <w:i/>
                <w:lang w:val="de-DE"/>
              </w:rPr>
              <w:t>Zahl des Zinszahlungstags einfügen, von dem an der Zinssatz ein variabler Satz per annum sein wird:</w:t>
            </w:r>
            <w:r w:rsidRPr="00C3407D">
              <w:rPr>
                <w:lang w:val="de-DE"/>
              </w:rPr>
              <w:t xml:space="preserve">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xml:space="preserve"> Zinszahlungstag </w:t>
            </w:r>
            <w:r w:rsidRPr="00F94B27" w:rsidR="00F94B27">
              <w:rPr>
                <w:b/>
                <w:lang w:val="de-DE"/>
              </w:rPr>
              <w:t>[</w:t>
            </w:r>
            <w:r w:rsidRPr="00C3407D">
              <w:rPr>
                <w:lang w:val="de-DE"/>
              </w:rPr>
              <w:t>und jeden folgenden Zinszahlungstag</w:t>
            </w:r>
            <w:r w:rsidRPr="00F94B27" w:rsidR="00F94B27">
              <w:rPr>
                <w:b/>
                <w:lang w:val="de-DE"/>
              </w:rPr>
              <w:t>]</w:t>
            </w:r>
            <w:r w:rsidRPr="00C3407D">
              <w:rPr>
                <w:lang w:val="de-DE"/>
              </w:rPr>
              <w:t xml:space="preserve"> </w:t>
            </w:r>
            <w:r w:rsidRPr="00F94B27" w:rsidR="00F94B27">
              <w:rPr>
                <w:b/>
                <w:lang w:val="de-DE"/>
              </w:rPr>
              <w:t>[</w:t>
            </w:r>
            <w:r w:rsidRPr="00C3407D">
              <w:rPr>
                <w:lang w:val="de-DE"/>
              </w:rPr>
              <w:t>wird</w:t>
            </w:r>
            <w:r w:rsidRPr="00F94B27" w:rsidR="00F94B27">
              <w:rPr>
                <w:b/>
                <w:lang w:val="de-DE"/>
              </w:rPr>
              <w:t>]</w:t>
            </w:r>
            <w:r w:rsidRPr="00C3407D">
              <w:rPr>
                <w:lang w:val="de-DE"/>
              </w:rPr>
              <w:t xml:space="preserve"> </w:t>
            </w:r>
            <w:r w:rsidRPr="00F94B27" w:rsidR="00F94B27">
              <w:rPr>
                <w:b/>
                <w:lang w:val="de-DE"/>
              </w:rPr>
              <w:t>[</w:t>
            </w:r>
            <w:r w:rsidRPr="00C3407D">
              <w:rPr>
                <w:lang w:val="de-DE"/>
              </w:rPr>
              <w:t>werden</w:t>
            </w:r>
            <w:r w:rsidRPr="00F94B27" w:rsidR="00F94B27">
              <w:rPr>
                <w:b/>
                <w:lang w:val="de-DE"/>
              </w:rPr>
              <w:t>]</w:t>
            </w:r>
            <w:r w:rsidRPr="00C3407D">
              <w:rPr>
                <w:lang w:val="de-DE"/>
              </w:rPr>
              <w:t xml:space="preserve"> </w:t>
            </w:r>
            <w:r w:rsidRPr="00F94B27" w:rsidR="00F94B27">
              <w:rPr>
                <w:b/>
                <w:lang w:val="de-DE"/>
              </w:rPr>
              <w:t>[</w:t>
            </w:r>
            <w:r w:rsidRPr="00C3407D">
              <w:rPr>
                <w:lang w:val="de-DE"/>
              </w:rPr>
              <w:t>der Zinszahlungsbetrag</w:t>
            </w:r>
            <w:r w:rsidRPr="00F94B27" w:rsidR="00F94B27">
              <w:rPr>
                <w:b/>
                <w:lang w:val="de-DE"/>
              </w:rPr>
              <w:t>]</w:t>
            </w:r>
            <w:r w:rsidRPr="00C3407D">
              <w:rPr>
                <w:lang w:val="de-DE"/>
              </w:rPr>
              <w:t xml:space="preserve"> </w:t>
            </w:r>
            <w:r w:rsidRPr="00F94B27" w:rsidR="00F94B27">
              <w:rPr>
                <w:b/>
                <w:lang w:val="de-DE"/>
              </w:rPr>
              <w:t>[</w:t>
            </w:r>
            <w:r w:rsidRPr="00C3407D">
              <w:rPr>
                <w:lang w:val="de-DE"/>
              </w:rPr>
              <w:t>die Zinszahlungsbeträge</w:t>
            </w:r>
            <w:r w:rsidRPr="00F94B27" w:rsidR="00F94B27">
              <w:rPr>
                <w:b/>
                <w:lang w:val="de-DE"/>
              </w:rPr>
              <w:t>]</w:t>
            </w:r>
            <w:r w:rsidRPr="00C3407D">
              <w:rPr>
                <w:lang w:val="de-DE"/>
              </w:rPr>
              <w:t xml:space="preserve"> auf der Grundlage eines variablen Zinssatzes berechnet wird. Dieser variable Zinssatz, der am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Zinszalungstag anwendbar ist, entspricht der Summe aus (i) dem Zinssatz, der für den unmittelbar vorangegangenen Zinszahlungstag Anwendung gefunden hat und (ii) dem jeweiligen Spreadsatz (d.h., einem Festsatz per annum) abzüglich (iii) </w:t>
            </w:r>
            <w:r w:rsidRPr="00F94B27" w:rsidR="00F94B27">
              <w:rPr>
                <w:b/>
                <w:lang w:val="de-DE"/>
              </w:rPr>
              <w:t>[</w:t>
            </w:r>
            <w:r w:rsidRPr="00C3407D">
              <w:rPr>
                <w:lang w:val="de-DE"/>
              </w:rPr>
              <w:t xml:space="preserve">des Werts des Referenzsatzes (d.h. einem variablen Zinssatz) am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Zinsfeststellungstag</w:t>
            </w:r>
            <w:r w:rsidRPr="00F94B27" w:rsidR="00F94B27">
              <w:rPr>
                <w:b/>
                <w:lang w:val="de-DE"/>
              </w:rPr>
              <w:t>]</w:t>
            </w:r>
            <w:r w:rsidRPr="00C3407D">
              <w:rPr>
                <w:lang w:val="de-DE"/>
              </w:rPr>
              <w:t xml:space="preserve"> </w:t>
            </w:r>
            <w:r w:rsidRPr="00F94B27" w:rsidR="00F94B27">
              <w:rPr>
                <w:b/>
                <w:lang w:val="de-DE"/>
              </w:rPr>
              <w:t>[</w:t>
            </w:r>
            <w:r w:rsidRPr="00C3407D">
              <w:rPr>
                <w:lang w:val="de-DE"/>
              </w:rPr>
              <w:t xml:space="preserve">der Summe aus dem Referenzsatz (d.h. einem variablen Zinssatz) am </w:t>
            </w:r>
            <w:r w:rsidRPr="00F94B27" w:rsidR="00F94B27">
              <w:rPr>
                <w:b/>
                <w:lang w:val="de-DE"/>
              </w:rPr>
              <w:t>[</w:t>
            </w:r>
            <w:r w:rsidRPr="00C3407D">
              <w:rPr>
                <w:lang w:val="de-DE"/>
              </w:rPr>
              <w:t>jeweiligen</w:t>
            </w:r>
            <w:r w:rsidRPr="00F94B27" w:rsidR="00F94B27">
              <w:rPr>
                <w:b/>
                <w:lang w:val="de-DE"/>
              </w:rPr>
              <w:t>]</w:t>
            </w:r>
            <w:r w:rsidRPr="00C3407D">
              <w:rPr>
                <w:lang w:val="de-DE"/>
              </w:rPr>
              <w:t xml:space="preserve"> Zinsfeststellungstag und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per annum</w:t>
            </w:r>
            <w:r w:rsidRPr="00F94B27" w:rsidR="00F94B27">
              <w:rPr>
                <w:b/>
                <w:lang w:val="de-DE"/>
              </w:rPr>
              <w:t>]</w:t>
            </w:r>
            <w:r w:rsidRPr="00C3407D">
              <w:rPr>
                <w:lang w:val="de-DE"/>
              </w:rPr>
              <w:t xml:space="preserve">. Folglich gilt: je höher der Wert des Referenzsatzes am Zinsfeststellungstag </w:t>
            </w:r>
            <w:r w:rsidRPr="00F94B27" w:rsidR="00F94B27">
              <w:rPr>
                <w:b/>
                <w:lang w:val="de-DE"/>
              </w:rPr>
              <w:t>[</w:t>
            </w:r>
            <w:r w:rsidRPr="00C3407D">
              <w:rPr>
                <w:lang w:val="de-DE"/>
              </w:rPr>
              <w:t xml:space="preserve">zuzüglich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per annum</w:t>
            </w:r>
            <w:r w:rsidRPr="00F94B27" w:rsidR="00F94B27">
              <w:rPr>
                <w:b/>
                <w:lang w:val="de-DE"/>
              </w:rPr>
              <w:t>]</w:t>
            </w:r>
            <w:r w:rsidRPr="00C3407D">
              <w:rPr>
                <w:lang w:val="de-DE"/>
              </w:rPr>
              <w:t xml:space="preserve"> im Vergleich zum jeweiligen Spreadsatz ist, desto niedriger fällt der anwendbare Zinssatz und der resultierende Zinszahlungsbetrag aus. Falls der Wert des Referenzsatzes </w:t>
            </w:r>
            <w:r w:rsidRPr="00F94B27" w:rsidR="00F94B27">
              <w:rPr>
                <w:b/>
                <w:lang w:val="de-DE"/>
              </w:rPr>
              <w:t>[</w:t>
            </w:r>
            <w:r w:rsidRPr="00C3407D">
              <w:rPr>
                <w:lang w:val="de-DE"/>
              </w:rPr>
              <w:t>am</w:t>
            </w:r>
            <w:r w:rsidRPr="00F94B27" w:rsidR="00F94B27">
              <w:rPr>
                <w:b/>
                <w:lang w:val="de-DE"/>
              </w:rPr>
              <w:t>]</w:t>
            </w:r>
            <w:r w:rsidRPr="00C3407D">
              <w:rPr>
                <w:lang w:val="de-DE"/>
              </w:rPr>
              <w:t xml:space="preserve"> </w:t>
            </w:r>
            <w:r w:rsidRPr="00F94B27" w:rsidR="00F94B27">
              <w:rPr>
                <w:b/>
                <w:lang w:val="de-DE"/>
              </w:rPr>
              <w:t>[</w:t>
            </w:r>
            <w:r w:rsidRPr="00C3407D">
              <w:rPr>
                <w:lang w:val="de-DE"/>
              </w:rPr>
              <w:t>an jedem</w:t>
            </w:r>
            <w:r w:rsidRPr="00F94B27" w:rsidR="00F94B27">
              <w:rPr>
                <w:b/>
                <w:lang w:val="de-DE"/>
              </w:rPr>
              <w:t>]</w:t>
            </w:r>
            <w:r w:rsidRPr="00C3407D">
              <w:rPr>
                <w:lang w:val="de-DE"/>
              </w:rPr>
              <w:t xml:space="preserve"> Zinsfeststellungstag </w:t>
            </w:r>
            <w:r w:rsidRPr="00F94B27" w:rsidR="00F94B27">
              <w:rPr>
                <w:b/>
                <w:lang w:val="de-DE"/>
              </w:rPr>
              <w:t>[</w:t>
            </w:r>
            <w:r w:rsidRPr="00C3407D">
              <w:rPr>
                <w:lang w:val="de-DE"/>
              </w:rPr>
              <w:t xml:space="preserve">zuzüglich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per annum</w:t>
            </w:r>
            <w:r w:rsidRPr="00F94B27" w:rsidR="00F94B27">
              <w:rPr>
                <w:b/>
                <w:lang w:val="de-DE"/>
              </w:rPr>
              <w:t>]</w:t>
            </w:r>
            <w:r w:rsidRPr="00C3407D">
              <w:rPr>
                <w:lang w:val="de-DE"/>
              </w:rPr>
              <w:t xml:space="preserve"> dem Spreadsatz entspricht oder über diesem liegt (d.h., falls die Differenz zwischen dem jeweiligen Spreadsatz und dem Referenzsatz </w:t>
            </w:r>
            <w:r w:rsidRPr="00F94B27" w:rsidR="00F94B27">
              <w:rPr>
                <w:b/>
                <w:lang w:val="de-DE"/>
              </w:rPr>
              <w:t>[</w:t>
            </w:r>
            <w:r w:rsidRPr="00C3407D">
              <w:rPr>
                <w:lang w:val="de-DE"/>
              </w:rPr>
              <w:t xml:space="preserve">zuzüglich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per annum</w:t>
            </w:r>
            <w:r w:rsidRPr="00F94B27" w:rsidR="00F94B27">
              <w:rPr>
                <w:b/>
                <w:lang w:val="de-DE"/>
              </w:rPr>
              <w:t>]</w:t>
            </w:r>
            <w:r w:rsidRPr="00C3407D">
              <w:rPr>
                <w:lang w:val="de-DE"/>
              </w:rPr>
              <w:t xml:space="preserve"> null oder einem negativen Betrag entspricht), wird der anwendbare Zinssatz für </w:t>
            </w:r>
            <w:r w:rsidRPr="00F94B27" w:rsidR="00F94B27">
              <w:rPr>
                <w:b/>
                <w:lang w:val="de-DE"/>
              </w:rPr>
              <w:t>[</w:t>
            </w:r>
            <w:r w:rsidRPr="00C3407D">
              <w:rPr>
                <w:lang w:val="de-DE"/>
              </w:rPr>
              <w:t>den</w:t>
            </w:r>
            <w:r w:rsidRPr="00F94B27" w:rsidR="00F94B27">
              <w:rPr>
                <w:b/>
                <w:lang w:val="de-DE"/>
              </w:rPr>
              <w:t>]</w:t>
            </w:r>
            <w:r w:rsidRPr="00C3407D">
              <w:rPr>
                <w:lang w:val="de-DE"/>
              </w:rPr>
              <w:t xml:space="preserve"> </w:t>
            </w:r>
            <w:r w:rsidRPr="00F94B27" w:rsidR="00F94B27">
              <w:rPr>
                <w:b/>
                <w:lang w:val="de-DE"/>
              </w:rPr>
              <w:t>[</w:t>
            </w:r>
            <w:r w:rsidRPr="00C3407D">
              <w:rPr>
                <w:lang w:val="de-DE"/>
              </w:rPr>
              <w:t>jeden</w:t>
            </w:r>
            <w:r w:rsidRPr="00F94B27" w:rsidR="00F94B27">
              <w:rPr>
                <w:b/>
                <w:lang w:val="de-DE"/>
              </w:rPr>
              <w:t>]</w:t>
            </w:r>
            <w:r w:rsidRPr="00C3407D">
              <w:rPr>
                <w:lang w:val="de-DE"/>
              </w:rPr>
              <w:t xml:space="preserve"> Zinszahlungstag unter dem Festzsatz per annum für </w:t>
            </w:r>
            <w:r w:rsidRPr="00F94B27" w:rsidR="00F94B27">
              <w:rPr>
                <w:b/>
                <w:lang w:val="de-DE"/>
              </w:rPr>
              <w:t>[</w:t>
            </w:r>
            <w:r w:rsidRPr="00C3407D">
              <w:rPr>
                <w:lang w:val="de-DE"/>
              </w:rPr>
              <w:t>den ersten</w:t>
            </w:r>
            <w:r w:rsidRPr="00F94B27" w:rsidR="00F94B27">
              <w:rPr>
                <w:b/>
                <w:lang w:val="de-DE"/>
              </w:rPr>
              <w:t>]</w:t>
            </w:r>
            <w:r w:rsidRPr="00C3407D">
              <w:rPr>
                <w:lang w:val="de-DE"/>
              </w:rPr>
              <w:t xml:space="preserve"> </w:t>
            </w:r>
            <w:r w:rsidRPr="00F94B27" w:rsidR="00F94B27">
              <w:rPr>
                <w:b/>
                <w:lang w:val="de-DE"/>
              </w:rPr>
              <w:t>[</w:t>
            </w:r>
            <w:r w:rsidRPr="00C3407D">
              <w:rPr>
                <w:lang w:val="de-DE"/>
              </w:rPr>
              <w:t xml:space="preserve">die ersten </w:t>
            </w:r>
            <w:r w:rsidRPr="00F94B27" w:rsidR="00F94B27">
              <w:rPr>
                <w:b/>
                <w:lang w:val="de-DE"/>
              </w:rPr>
              <w:t>[</w:t>
            </w:r>
            <w:r w:rsidRPr="00C3407D">
              <w:rPr>
                <w:b/>
                <w:i/>
                <w:lang w:val="de-DE"/>
              </w:rPr>
              <w:t>Anzahl der Zinszahlungstage einfügen, an denen ein Festsatz per annum anwendbar ist:</w:t>
            </w:r>
            <w:r w:rsidRPr="00C3407D">
              <w:rPr>
                <w:lang w:val="de-DE"/>
              </w:rPr>
              <w:t xml:space="preserve"> </w:t>
            </w:r>
            <w:r w:rsidRPr="00F94B27" w:rsidR="00F94B27">
              <w:rPr>
                <w:b/>
                <w:lang w:val="de-DE"/>
              </w:rPr>
              <w:t>[</w:t>
            </w:r>
            <w:r w:rsidRPr="000F4148" w:rsidR="003857E8">
              <w:rPr>
                <w:rFonts w:ascii="Arial" w:hAnsi="Arial" w:cs="Arial"/>
                <w:lang w:val="de-DE"/>
              </w:rPr>
              <w:t>●</w:t>
            </w:r>
            <w:r w:rsidRPr="00F94B27" w:rsidR="00F94B27">
              <w:rPr>
                <w:b/>
                <w:lang w:val="de-DE"/>
              </w:rPr>
              <w:t>]]</w:t>
            </w:r>
            <w:r w:rsidRPr="00C3407D">
              <w:rPr>
                <w:lang w:val="de-DE"/>
              </w:rPr>
              <w:t xml:space="preserve"> Zinszahlungstag</w:t>
            </w:r>
            <w:r w:rsidRPr="00F94B27" w:rsidR="00F94B27">
              <w:rPr>
                <w:b/>
                <w:lang w:val="de-DE"/>
              </w:rPr>
              <w:t>[</w:t>
            </w:r>
            <w:r w:rsidRPr="00C3407D">
              <w:rPr>
                <w:lang w:val="de-DE"/>
              </w:rPr>
              <w:t>e</w:t>
            </w:r>
            <w:r w:rsidRPr="00F94B27" w:rsidR="00F94B27">
              <w:rPr>
                <w:b/>
                <w:lang w:val="de-DE"/>
              </w:rPr>
              <w:t>]</w:t>
            </w:r>
            <w:r w:rsidRPr="00C3407D">
              <w:rPr>
                <w:lang w:val="de-DE"/>
              </w:rPr>
              <w:t xml:space="preserve"> liegen und kann </w:t>
            </w:r>
            <w:r w:rsidRPr="00F94B27" w:rsidR="00F94B27">
              <w:rPr>
                <w:b/>
                <w:lang w:val="de-DE"/>
              </w:rPr>
              <w:t>[</w:t>
            </w:r>
            <w:r w:rsidRPr="00C3407D">
              <w:rPr>
                <w:lang w:val="de-DE"/>
              </w:rPr>
              <w:t>null</w:t>
            </w:r>
            <w:r w:rsidRPr="00F94B27" w:rsidR="00F94B27">
              <w:rPr>
                <w:b/>
                <w:lang w:val="de-DE"/>
              </w:rPr>
              <w:t>]</w:t>
            </w:r>
            <w:r w:rsidRPr="00C3407D">
              <w:rPr>
                <w:lang w:val="de-DE"/>
              </w:rPr>
              <w:t xml:space="preserve"> </w:t>
            </w:r>
            <w:r w:rsidRPr="00F94B27" w:rsidR="00F94B27">
              <w:rPr>
                <w:b/>
                <w:lang w:val="de-DE"/>
              </w:rPr>
              <w:t>[</w:t>
            </w:r>
            <w:r w:rsidRPr="00C3407D">
              <w:rPr>
                <w:lang w:val="de-DE"/>
              </w:rPr>
              <w:t>dem Mindestzinssatz</w:t>
            </w:r>
            <w:r w:rsidRPr="00F94B27" w:rsidR="00F94B27">
              <w:rPr>
                <w:b/>
                <w:lang w:val="de-DE"/>
              </w:rPr>
              <w:t>]</w:t>
            </w:r>
            <w:r w:rsidRPr="00C3407D">
              <w:rPr>
                <w:lang w:val="de-DE"/>
              </w:rPr>
              <w:t xml:space="preserve"> entsprechen.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italic"/>
              <w:rPr>
                <w:lang w:val="en-GB"/>
              </w:rPr>
            </w:pPr>
            <w:r w:rsidRPr="00F94B27">
              <w:rPr>
                <w:lang w:val="en-GB"/>
              </w:rPr>
              <w:t>[</w:t>
            </w:r>
            <w:r w:rsidRPr="00960E67">
              <w:rPr>
                <w:lang w:val="en-GB"/>
              </w:rPr>
              <w:t>in case of Inverse Floating Rate Notes:</w:t>
            </w:r>
          </w:p>
        </w:tc>
        <w:tc>
          <w:tcPr>
            <w:tcW w:w="2516" w:type="pct"/>
            <w:tcBorders>
              <w:top w:val="nil"/>
              <w:left w:val="single" w:sz="4" w:space="0" w:color="auto"/>
              <w:bottom w:val="nil"/>
              <w:right w:val="nil"/>
            </w:tcBorders>
          </w:tcPr>
          <w:p w:rsidR="00C3407D" w:rsidRPr="00960E67" w:rsidP="00C3407D">
            <w:pPr>
              <w:pStyle w:val="CSbody0bolditalic"/>
              <w:rPr>
                <w:lang w:val="en-GB"/>
              </w:rPr>
            </w:pPr>
            <w:r w:rsidRPr="00F94B27">
              <w:rPr>
                <w:lang w:val="en-GB"/>
              </w:rPr>
              <w:t>[</w:t>
            </w:r>
            <w:r w:rsidRPr="00960E67">
              <w:rPr>
                <w:lang w:val="en-GB"/>
              </w:rPr>
              <w:t>bei Inverse Floating Rate Notes:</w:t>
            </w:r>
          </w:p>
        </w:tc>
      </w:tr>
      <w:tr w:rsidTr="001527CB">
        <w:tblPrEx>
          <w:tblW w:w="5000" w:type="pct"/>
          <w:tblLayout w:type="fixed"/>
          <w:tblLook w:val="04A0"/>
        </w:tblPrEx>
        <w:tc>
          <w:tcPr>
            <w:tcW w:w="2484" w:type="pct"/>
            <w:tcBorders>
              <w:top w:val="nil"/>
              <w:left w:val="nil"/>
              <w:bottom w:val="nil"/>
              <w:right w:val="single" w:sz="4" w:space="0" w:color="auto"/>
            </w:tcBorders>
          </w:tcPr>
          <w:p w:rsidR="00C3407D" w:rsidRPr="00960E67" w:rsidP="00C3407D">
            <w:pPr>
              <w:pStyle w:val="CSbody0bold"/>
              <w:rPr>
                <w:lang w:val="en-GB"/>
              </w:rPr>
            </w:pPr>
            <w:r w:rsidRPr="00960E67">
              <w:rPr>
                <w:lang w:val="en-GB"/>
              </w:rPr>
              <w:t>Risks in connection with Inverse Floating Rate Notes</w:t>
            </w:r>
          </w:p>
        </w:tc>
        <w:tc>
          <w:tcPr>
            <w:tcW w:w="2516" w:type="pct"/>
            <w:tcBorders>
              <w:top w:val="nil"/>
              <w:left w:val="single" w:sz="4" w:space="0" w:color="auto"/>
              <w:bottom w:val="nil"/>
              <w:right w:val="nil"/>
            </w:tcBorders>
          </w:tcPr>
          <w:p w:rsidR="00C3407D" w:rsidRPr="00C3407D" w:rsidP="00C3407D">
            <w:pPr>
              <w:pStyle w:val="CSbody0bold"/>
            </w:pPr>
            <w:r w:rsidRPr="00C3407D">
              <w:t>Risiken im Zusammenhang mit Inverse Floating Rate Notes</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A61664" w:rsidP="007F4413">
            <w:pPr>
              <w:pStyle w:val="CSBody0"/>
            </w:pPr>
            <w:r w:rsidRPr="00A61664">
              <w:t>In case of Inverse Floating Rate Notes, potential investors should be aware that the Interest Rate on the basis of which the Interest Payment Amount</w:t>
            </w:r>
            <w:r w:rsidRPr="00F94B27" w:rsidR="00F94B27">
              <w:rPr>
                <w:b/>
              </w:rPr>
              <w:t>[</w:t>
            </w:r>
            <w:r w:rsidRPr="00A61664">
              <w:t>s</w:t>
            </w:r>
            <w:r w:rsidRPr="00F94B27" w:rsidR="00F94B27">
              <w:rPr>
                <w:b/>
              </w:rPr>
              <w:t>]</w:t>
            </w:r>
            <w:r w:rsidRPr="00A61664">
              <w:t xml:space="preserve"> </w:t>
            </w:r>
            <w:r w:rsidRPr="00F94B27" w:rsidR="00F94B27">
              <w:rPr>
                <w:b/>
              </w:rPr>
              <w:t>[</w:t>
            </w:r>
            <w:r w:rsidRPr="00A61664">
              <w:t>is</w:t>
            </w:r>
            <w:r w:rsidRPr="00F94B27" w:rsidR="00F94B27">
              <w:rPr>
                <w:b/>
              </w:rPr>
              <w:t>][</w:t>
            </w:r>
            <w:r w:rsidRPr="00A61664">
              <w:t>are</w:t>
            </w:r>
            <w:r w:rsidRPr="00F94B27" w:rsidR="00F94B27">
              <w:rPr>
                <w:b/>
              </w:rPr>
              <w:t>]</w:t>
            </w:r>
            <w:r w:rsidRPr="00A61664">
              <w:t xml:space="preserve"> calculated will be equal to a variable Interest Rate </w:t>
            </w:r>
            <w:r w:rsidRPr="00F94B27" w:rsidR="00F94B27">
              <w:rPr>
                <w:b/>
              </w:rPr>
              <w:t>[</w:t>
            </w:r>
            <w:r w:rsidRPr="007F4413">
              <w:rPr>
                <w:b/>
                <w:i/>
              </w:rPr>
              <w:t xml:space="preserve">in case of Complex Products with one or more Fixed Interest Payment Dates: on the </w:t>
            </w:r>
            <w:r w:rsidRPr="00F94B27" w:rsidR="00F94B27">
              <w:rPr>
                <w:b/>
                <w:i/>
              </w:rPr>
              <w:t>[</w:t>
            </w:r>
            <w:r w:rsidRPr="007F4413">
              <w:rPr>
                <w:b/>
                <w:i/>
              </w:rPr>
              <w:t>insert number of Interest Payment Date, from which the Interest Rate will be a variable rate per annum:</w:t>
            </w:r>
            <w:r w:rsidRPr="00A61664">
              <w:t xml:space="preserve"> </w:t>
            </w:r>
            <w:r w:rsidRPr="00F94B27" w:rsidR="00F94B27">
              <w:rPr>
                <w:b/>
              </w:rPr>
              <w:t>[</w:t>
            </w:r>
            <w:r w:rsidR="003857E8">
              <w:rPr>
                <w:rFonts w:ascii="Arial" w:hAnsi="Arial" w:cs="Arial"/>
              </w:rPr>
              <w:t>●</w:t>
            </w:r>
            <w:r w:rsidRPr="00F94B27" w:rsidR="00F94B27">
              <w:rPr>
                <w:b/>
              </w:rPr>
              <w:t>]]</w:t>
            </w:r>
            <w:r w:rsidRPr="00A61664">
              <w:t xml:space="preserve"> Interest Payment Date </w:t>
            </w:r>
            <w:r w:rsidRPr="00F94B27" w:rsidR="00F94B27">
              <w:rPr>
                <w:b/>
              </w:rPr>
              <w:t>[</w:t>
            </w:r>
            <w:r w:rsidRPr="00A61664">
              <w:t>and any following Interest Payment Date</w:t>
            </w:r>
            <w:r w:rsidRPr="00F94B27" w:rsidR="00F94B27">
              <w:rPr>
                <w:b/>
              </w:rPr>
              <w:t>]]</w:t>
            </w:r>
            <w:r w:rsidRPr="00A61664">
              <w:t>. Such variable Interest Rate will be equal to the Spread Rate (</w:t>
            </w:r>
            <w:r w:rsidRPr="007E3558" w:rsidR="007E3558">
              <w:rPr>
                <w:i/>
              </w:rPr>
              <w:t>i.e.</w:t>
            </w:r>
            <w:r w:rsidRPr="00A61664">
              <w:t xml:space="preserve">, a fixed rate per annum) less the </w:t>
            </w:r>
            <w:r w:rsidRPr="00F94B27" w:rsidR="00F94B27">
              <w:rPr>
                <w:b/>
              </w:rPr>
              <w:t>[</w:t>
            </w:r>
            <w:r w:rsidRPr="00A61664">
              <w:t>Reference Rate (i.e, a variable rate of interest) on the relevant Interest Determination Date</w:t>
            </w:r>
            <w:r w:rsidRPr="00F94B27" w:rsidR="00F94B27">
              <w:rPr>
                <w:b/>
              </w:rPr>
              <w:t>]</w:t>
            </w:r>
            <w:r w:rsidRPr="00A61664">
              <w:t xml:space="preserve"> </w:t>
            </w:r>
            <w:r w:rsidRPr="00F94B27" w:rsidR="00F94B27">
              <w:rPr>
                <w:b/>
              </w:rPr>
              <w:t>[</w:t>
            </w:r>
            <w:r w:rsidRPr="00A61664">
              <w:t xml:space="preserve">sum of the Reference Rate (i.e, a variable rate of interest) on the relevant Interest Determination Date and </w:t>
            </w:r>
            <w:r w:rsidRPr="00F94B27" w:rsidR="00F94B27">
              <w:rPr>
                <w:b/>
              </w:rPr>
              <w:t>[</w:t>
            </w:r>
            <w:r w:rsidR="003857E8">
              <w:rPr>
                <w:rFonts w:ascii="Arial" w:hAnsi="Arial" w:cs="Arial"/>
              </w:rPr>
              <w:t>●</w:t>
            </w:r>
            <w:r w:rsidRPr="00F94B27" w:rsidR="00F94B27">
              <w:rPr>
                <w:b/>
              </w:rPr>
              <w:t>]</w:t>
            </w:r>
            <w:r w:rsidRPr="00A61664">
              <w:t>% per annum</w:t>
            </w:r>
            <w:r w:rsidRPr="00F94B27" w:rsidR="00F94B27">
              <w:rPr>
                <w:b/>
              </w:rPr>
              <w:t>]</w:t>
            </w:r>
            <w:r w:rsidRPr="00A61664">
              <w:t xml:space="preserve">. Consequently, the closer the value of the Reference Rate </w:t>
            </w:r>
            <w:r w:rsidRPr="00F94B27" w:rsidR="00F94B27">
              <w:rPr>
                <w:b/>
              </w:rPr>
              <w:t>[</w:t>
            </w:r>
            <w:r w:rsidRPr="00A61664">
              <w:t xml:space="preserve">plus </w:t>
            </w:r>
            <w:r w:rsidRPr="00F94B27" w:rsidR="00F94B27">
              <w:rPr>
                <w:b/>
              </w:rPr>
              <w:t>[</w:t>
            </w:r>
            <w:r w:rsidR="003857E8">
              <w:rPr>
                <w:rFonts w:ascii="Arial" w:hAnsi="Arial" w:cs="Arial"/>
              </w:rPr>
              <w:t>●</w:t>
            </w:r>
            <w:r w:rsidRPr="00F94B27" w:rsidR="00F94B27">
              <w:rPr>
                <w:b/>
              </w:rPr>
              <w:t>]</w:t>
            </w:r>
            <w:r w:rsidRPr="00A61664">
              <w:t>% per annum</w:t>
            </w:r>
            <w:r w:rsidRPr="00F94B27" w:rsidR="00F94B27">
              <w:rPr>
                <w:b/>
              </w:rPr>
              <w:t>]</w:t>
            </w:r>
            <w:r w:rsidRPr="00A61664">
              <w:t xml:space="preserve"> on the relevant Interest Determination Date is to the relevant Spread Rate or if such value </w:t>
            </w:r>
            <w:r w:rsidRPr="00F94B27" w:rsidR="00F94B27">
              <w:rPr>
                <w:b/>
              </w:rPr>
              <w:t>[</w:t>
            </w:r>
            <w:r w:rsidRPr="00A61664">
              <w:t xml:space="preserve">plus </w:t>
            </w:r>
            <w:r w:rsidRPr="00F94B27" w:rsidR="00F94B27">
              <w:rPr>
                <w:b/>
              </w:rPr>
              <w:t>[</w:t>
            </w:r>
            <w:r w:rsidR="003857E8">
              <w:rPr>
                <w:rFonts w:ascii="Arial" w:hAnsi="Arial" w:cs="Arial"/>
              </w:rPr>
              <w:t>●</w:t>
            </w:r>
            <w:r w:rsidRPr="00F94B27" w:rsidR="00F94B27">
              <w:rPr>
                <w:b/>
              </w:rPr>
              <w:t>]</w:t>
            </w:r>
            <w:r w:rsidRPr="00A61664">
              <w:t>% per annum</w:t>
            </w:r>
            <w:r w:rsidRPr="00F94B27" w:rsidR="00F94B27">
              <w:rPr>
                <w:b/>
              </w:rPr>
              <w:t>]</w:t>
            </w:r>
            <w:r w:rsidRPr="00A61664">
              <w:t xml:space="preserve"> exceeds the relevant Spread Rate, the lower the applicable interest rate and resulting Interest Payment Amount will be. If the value of the Reference Rate on each Interest Determination Date </w:t>
            </w:r>
            <w:r w:rsidRPr="00F94B27" w:rsidR="00F94B27">
              <w:rPr>
                <w:b/>
              </w:rPr>
              <w:t>[</w:t>
            </w:r>
            <w:r w:rsidRPr="00A61664">
              <w:t xml:space="preserve">plus </w:t>
            </w:r>
            <w:r w:rsidRPr="00F94B27" w:rsidR="00F94B27">
              <w:rPr>
                <w:b/>
              </w:rPr>
              <w:t>[</w:t>
            </w:r>
            <w:r w:rsidR="003857E8">
              <w:rPr>
                <w:rFonts w:ascii="Arial" w:hAnsi="Arial" w:cs="Arial"/>
              </w:rPr>
              <w:t>●</w:t>
            </w:r>
            <w:r w:rsidRPr="00F94B27" w:rsidR="00F94B27">
              <w:rPr>
                <w:b/>
              </w:rPr>
              <w:t>]</w:t>
            </w:r>
            <w:r w:rsidRPr="00A61664">
              <w:t>% per annum</w:t>
            </w:r>
            <w:r w:rsidRPr="00F94B27" w:rsidR="00F94B27">
              <w:rPr>
                <w:b/>
              </w:rPr>
              <w:t>]</w:t>
            </w:r>
            <w:r w:rsidRPr="00A61664">
              <w:t xml:space="preserve"> is equal to or above the relevant Spread Rate, the applicable Interest Rate will be equal to </w:t>
            </w:r>
            <w:r w:rsidRPr="00F94B27" w:rsidR="00F94B27">
              <w:rPr>
                <w:b/>
              </w:rPr>
              <w:t>[</w:t>
            </w:r>
            <w:r w:rsidRPr="00A61664">
              <w:t>zero</w:t>
            </w:r>
            <w:r w:rsidRPr="00F94B27" w:rsidR="00F94B27">
              <w:rPr>
                <w:b/>
              </w:rPr>
              <w:t>]</w:t>
            </w:r>
            <w:r w:rsidRPr="00A61664">
              <w:t xml:space="preserve"> </w:t>
            </w:r>
            <w:r w:rsidRPr="00F94B27" w:rsidR="00F94B27">
              <w:rPr>
                <w:b/>
              </w:rPr>
              <w:t>[</w:t>
            </w:r>
            <w:r w:rsidRPr="00A61664">
              <w:t>the Minimum Interest Rate</w:t>
            </w:r>
            <w:r w:rsidRPr="00F94B27" w:rsidR="00F94B27">
              <w:rPr>
                <w:b/>
              </w:rPr>
              <w:t>]</w:t>
            </w:r>
            <w:r w:rsidRPr="00A61664">
              <w:t xml:space="preserve"> for each Interest Payment Date </w:t>
            </w:r>
            <w:r w:rsidRPr="00F94B27" w:rsidR="00F94B27">
              <w:rPr>
                <w:b/>
              </w:rPr>
              <w:t>[</w:t>
            </w:r>
            <w:r w:rsidRPr="007F4413">
              <w:rPr>
                <w:b/>
                <w:i/>
              </w:rPr>
              <w:t>in case of Complex Products without Minimum Interest Rate:</w:t>
            </w:r>
            <w:r w:rsidRPr="00A61664">
              <w:t xml:space="preserve"> and, consequently, investors will not receive any interest on the Complex Products</w:t>
            </w:r>
            <w:r w:rsidRPr="00F94B27" w:rsidR="00F94B27">
              <w:rPr>
                <w:b/>
              </w:rPr>
              <w:t>]</w:t>
            </w:r>
            <w:r w:rsidRPr="00A61664">
              <w:t>.</w:t>
            </w:r>
            <w:r w:rsidRPr="00F94B27" w:rsidR="00F94B27">
              <w:rPr>
                <w:b/>
              </w:rPr>
              <w:t>]</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lang w:val="de-DE"/>
              </w:rPr>
              <w:t xml:space="preserve">Bei Inverse Floating Rate Notes sollten sich Potenzielle Anleger bewusst sein, dass der Zinssatz, auf dessen Grundlage </w:t>
            </w:r>
            <w:r w:rsidRPr="00F94B27" w:rsidR="00F94B27">
              <w:rPr>
                <w:b/>
                <w:lang w:val="de-DE"/>
              </w:rPr>
              <w:t>[</w:t>
            </w:r>
            <w:r w:rsidRPr="007F4413">
              <w:rPr>
                <w:lang w:val="de-DE"/>
              </w:rPr>
              <w:t>der Zinszahlungsbetrag</w:t>
            </w:r>
            <w:r w:rsidRPr="00F94B27" w:rsidR="00F94B27">
              <w:rPr>
                <w:b/>
                <w:lang w:val="de-DE"/>
              </w:rPr>
              <w:t>]</w:t>
            </w:r>
            <w:r w:rsidRPr="007F4413">
              <w:rPr>
                <w:lang w:val="de-DE"/>
              </w:rPr>
              <w:t xml:space="preserve"> </w:t>
            </w:r>
            <w:r w:rsidRPr="00F94B27" w:rsidR="00F94B27">
              <w:rPr>
                <w:b/>
                <w:lang w:val="de-DE"/>
              </w:rPr>
              <w:t>[</w:t>
            </w:r>
            <w:r w:rsidRPr="007F4413">
              <w:rPr>
                <w:lang w:val="de-DE"/>
              </w:rPr>
              <w:t>die Zinszahlungsbeträge</w:t>
            </w:r>
            <w:r w:rsidRPr="00F94B27" w:rsidR="00F94B27">
              <w:rPr>
                <w:b/>
                <w:lang w:val="de-DE"/>
              </w:rPr>
              <w:t>]</w:t>
            </w:r>
            <w:r w:rsidRPr="007F4413">
              <w:rPr>
                <w:lang w:val="de-DE"/>
              </w:rPr>
              <w:t xml:space="preserve"> berechnet </w:t>
            </w:r>
            <w:r w:rsidRPr="00F94B27" w:rsidR="00F94B27">
              <w:rPr>
                <w:b/>
                <w:lang w:val="de-DE"/>
              </w:rPr>
              <w:t>[</w:t>
            </w:r>
            <w:r w:rsidRPr="007F4413">
              <w:rPr>
                <w:lang w:val="de-DE"/>
              </w:rPr>
              <w:t>wird</w:t>
            </w:r>
            <w:r w:rsidRPr="00F94B27" w:rsidR="00F94B27">
              <w:rPr>
                <w:b/>
                <w:lang w:val="de-DE"/>
              </w:rPr>
              <w:t>]</w:t>
            </w:r>
            <w:r w:rsidRPr="007F4413">
              <w:rPr>
                <w:lang w:val="de-DE"/>
              </w:rPr>
              <w:t xml:space="preserve"> </w:t>
            </w:r>
            <w:r w:rsidRPr="00F94B27" w:rsidR="00F94B27">
              <w:rPr>
                <w:b/>
                <w:lang w:val="de-DE"/>
              </w:rPr>
              <w:t>[</w:t>
            </w:r>
            <w:r w:rsidRPr="007F4413">
              <w:rPr>
                <w:lang w:val="de-DE"/>
              </w:rPr>
              <w:t>werden</w:t>
            </w:r>
            <w:r w:rsidRPr="00F94B27" w:rsidR="00F94B27">
              <w:rPr>
                <w:b/>
                <w:lang w:val="de-DE"/>
              </w:rPr>
              <w:t>]</w:t>
            </w:r>
            <w:r w:rsidRPr="007F4413">
              <w:rPr>
                <w:lang w:val="de-DE"/>
              </w:rPr>
              <w:t xml:space="preserve">, </w:t>
            </w:r>
            <w:r w:rsidRPr="00F94B27" w:rsidR="00F94B27">
              <w:rPr>
                <w:b/>
                <w:lang w:val="de-DE"/>
              </w:rPr>
              <w:t>[</w:t>
            </w:r>
            <w:r w:rsidRPr="007F4413">
              <w:rPr>
                <w:b/>
                <w:i/>
                <w:lang w:val="de-DE"/>
              </w:rPr>
              <w:t xml:space="preserve">bei Komplexen Produkten mit einem oder mehreren Zahlungstagen für Festzinsen:  am </w:t>
            </w:r>
            <w:r w:rsidRPr="00F94B27" w:rsidR="00F94B27">
              <w:rPr>
                <w:b/>
                <w:i/>
                <w:lang w:val="de-DE"/>
              </w:rPr>
              <w:t>[</w:t>
            </w:r>
            <w:r w:rsidRPr="007F4413">
              <w:rPr>
                <w:b/>
                <w:i/>
                <w:lang w:val="de-DE"/>
              </w:rPr>
              <w:t>Zahl des Zinszahlungstags einfügen, von dem an der Zinssatz ein variabler Satz per annum sein wird:</w:t>
            </w:r>
            <w:r w:rsidRPr="007F4413">
              <w:rPr>
                <w:lang w:val="de-DE"/>
              </w:rPr>
              <w:t xml:space="preserve">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xml:space="preserve"> Zinszahlungstag </w:t>
            </w:r>
            <w:r w:rsidRPr="00F94B27" w:rsidR="00F94B27">
              <w:rPr>
                <w:b/>
                <w:lang w:val="de-DE"/>
              </w:rPr>
              <w:t>[</w:t>
            </w:r>
            <w:r w:rsidRPr="007F4413">
              <w:rPr>
                <w:lang w:val="de-DE"/>
              </w:rPr>
              <w:t>und jeden folgenden Zinszahlungstag</w:t>
            </w:r>
            <w:r w:rsidRPr="00F94B27" w:rsidR="00F94B27">
              <w:rPr>
                <w:b/>
                <w:lang w:val="de-DE"/>
              </w:rPr>
              <w:t>]]</w:t>
            </w:r>
            <w:r w:rsidRPr="007F4413">
              <w:rPr>
                <w:lang w:val="de-DE"/>
              </w:rPr>
              <w:t xml:space="preserve"> einem variablen Zinssatz entspricht. Dieser variable Zinssatz entspricht dem betreffenden Spreadsatz (</w:t>
            </w:r>
            <w:r w:rsidR="007E3558">
              <w:rPr>
                <w:lang w:val="de-DE"/>
              </w:rPr>
              <w:t>d.h.</w:t>
            </w:r>
            <w:r w:rsidRPr="007F4413">
              <w:rPr>
                <w:lang w:val="de-DE"/>
              </w:rPr>
              <w:t xml:space="preserve"> einem Festsatz per annum) abzüglich des Referenzsatzes (d.h. einem variablen Zinssatz) am jeweiligen Zinsfeststellungstag</w:t>
            </w:r>
            <w:r w:rsidRPr="00F94B27" w:rsidR="00F94B27">
              <w:rPr>
                <w:b/>
                <w:lang w:val="de-DE"/>
              </w:rPr>
              <w:t>]</w:t>
            </w:r>
            <w:r w:rsidRPr="007F4413">
              <w:rPr>
                <w:lang w:val="de-DE"/>
              </w:rPr>
              <w:t xml:space="preserve"> </w:t>
            </w:r>
            <w:r w:rsidRPr="00F94B27" w:rsidR="00F94B27">
              <w:rPr>
                <w:b/>
                <w:lang w:val="de-DE"/>
              </w:rPr>
              <w:t>[</w:t>
            </w:r>
            <w:r w:rsidRPr="007F4413">
              <w:rPr>
                <w:lang w:val="de-DE"/>
              </w:rPr>
              <w:t xml:space="preserve">der Summe aus dem Referenzsatz (d.h. einem variablen Zinssatz) am jeweiligen Zinsfeststellungstag und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per annum</w:t>
            </w:r>
            <w:r w:rsidRPr="00F94B27" w:rsidR="00F94B27">
              <w:rPr>
                <w:b/>
                <w:lang w:val="de-DE"/>
              </w:rPr>
              <w:t>]</w:t>
            </w:r>
            <w:r w:rsidRPr="007F4413">
              <w:rPr>
                <w:lang w:val="de-DE"/>
              </w:rPr>
              <w:t xml:space="preserve"> entspricht. Folglich sind der jeweilige Zinssatz und der resultierende Zahlungsbetrag umso geringer, je näher der Wert des Referenzsatzes </w:t>
            </w:r>
            <w:r w:rsidRPr="00F94B27" w:rsidR="00F94B27">
              <w:rPr>
                <w:b/>
                <w:lang w:val="de-DE"/>
              </w:rPr>
              <w:t>[</w:t>
            </w:r>
            <w:r w:rsidRPr="007F4413">
              <w:rPr>
                <w:lang w:val="de-DE"/>
              </w:rPr>
              <w:t xml:space="preserve">zuzüglich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per annum</w:t>
            </w:r>
            <w:r w:rsidRPr="00F94B27" w:rsidR="00F94B27">
              <w:rPr>
                <w:b/>
                <w:lang w:val="de-DE"/>
              </w:rPr>
              <w:t>]</w:t>
            </w:r>
            <w:r w:rsidRPr="007F4413">
              <w:rPr>
                <w:lang w:val="de-DE"/>
              </w:rPr>
              <w:t xml:space="preserve"> am Zinsfeststellungstag bei dem betreffenden Spreadsatz liegt oder wenn dieser Wert </w:t>
            </w:r>
            <w:r w:rsidRPr="00F94B27" w:rsidR="00F94B27">
              <w:rPr>
                <w:b/>
                <w:lang w:val="de-DE"/>
              </w:rPr>
              <w:t>[</w:t>
            </w:r>
            <w:r w:rsidRPr="007F4413">
              <w:rPr>
                <w:lang w:val="de-DE"/>
              </w:rPr>
              <w:t xml:space="preserve">zuzüglich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per annum</w:t>
            </w:r>
            <w:r w:rsidRPr="00F94B27" w:rsidR="00F94B27">
              <w:rPr>
                <w:b/>
                <w:lang w:val="de-DE"/>
              </w:rPr>
              <w:t>]</w:t>
            </w:r>
            <w:r w:rsidRPr="007F4413">
              <w:rPr>
                <w:lang w:val="de-DE"/>
              </w:rPr>
              <w:t xml:space="preserve"> den betreffenden Spreadsatz überschreitet. Falls der Wert des Referenzsatzes an jedem Zinsfeststellungstag </w:t>
            </w:r>
            <w:r w:rsidRPr="00F94B27" w:rsidR="00F94B27">
              <w:rPr>
                <w:b/>
                <w:lang w:val="de-DE"/>
              </w:rPr>
              <w:t>[</w:t>
            </w:r>
            <w:r w:rsidRPr="007F4413">
              <w:rPr>
                <w:lang w:val="de-DE"/>
              </w:rPr>
              <w:t xml:space="preserve">zuzüglich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per annum</w:t>
            </w:r>
            <w:r w:rsidRPr="00F94B27" w:rsidR="00F94B27">
              <w:rPr>
                <w:b/>
                <w:lang w:val="de-DE"/>
              </w:rPr>
              <w:t>]</w:t>
            </w:r>
            <w:r w:rsidRPr="007F4413">
              <w:rPr>
                <w:lang w:val="de-DE"/>
              </w:rPr>
              <w:t xml:space="preserve"> dem jeweiligen Spreadsatz entspricht oder über diesem liegt, wird der anwendbare Zinssatz an jedem Zinszahlungstag </w:t>
            </w:r>
            <w:r w:rsidRPr="00F94B27" w:rsidR="00F94B27">
              <w:rPr>
                <w:b/>
                <w:lang w:val="de-DE"/>
              </w:rPr>
              <w:t>[</w:t>
            </w:r>
            <w:r w:rsidRPr="007F4413">
              <w:rPr>
                <w:lang w:val="de-DE"/>
              </w:rPr>
              <w:t>null</w:t>
            </w:r>
            <w:r w:rsidRPr="00F94B27" w:rsidR="00F94B27">
              <w:rPr>
                <w:b/>
                <w:lang w:val="de-DE"/>
              </w:rPr>
              <w:t>]</w:t>
            </w:r>
            <w:r w:rsidRPr="007F4413">
              <w:rPr>
                <w:lang w:val="de-DE"/>
              </w:rPr>
              <w:t xml:space="preserve"> </w:t>
            </w:r>
            <w:r w:rsidRPr="00F94B27" w:rsidR="00F94B27">
              <w:rPr>
                <w:b/>
                <w:lang w:val="de-DE"/>
              </w:rPr>
              <w:t>[</w:t>
            </w:r>
            <w:r w:rsidRPr="007F4413">
              <w:rPr>
                <w:lang w:val="de-DE"/>
              </w:rPr>
              <w:t>dem Mindestzinssatz</w:t>
            </w:r>
            <w:r w:rsidRPr="00F94B27" w:rsidR="00F94B27">
              <w:rPr>
                <w:b/>
                <w:lang w:val="de-DE"/>
              </w:rPr>
              <w:t>]</w:t>
            </w:r>
            <w:r w:rsidRPr="007F4413">
              <w:rPr>
                <w:lang w:val="de-DE"/>
              </w:rPr>
              <w:t xml:space="preserve"> entsprechen </w:t>
            </w:r>
            <w:r w:rsidRPr="00F94B27" w:rsidR="00F94B27">
              <w:rPr>
                <w:b/>
                <w:lang w:val="de-DE"/>
              </w:rPr>
              <w:t>[</w:t>
            </w:r>
            <w:r w:rsidRPr="007F4413">
              <w:rPr>
                <w:b/>
                <w:i/>
                <w:lang w:val="de-DE"/>
              </w:rPr>
              <w:t>bei Komplexen Produkten ohne Mindestzinssatz:</w:t>
            </w:r>
            <w:r w:rsidRPr="007F4413">
              <w:rPr>
                <w:lang w:val="de-DE"/>
              </w:rPr>
              <w:t xml:space="preserve"> und folglich erhalten Anleger keine Zinsen auf die Komplexen Produkte</w:t>
            </w:r>
            <w:r w:rsidRPr="00F94B27" w:rsidR="00F94B27">
              <w:rPr>
                <w:b/>
                <w:lang w:val="de-DE"/>
              </w:rPr>
              <w:t>]</w:t>
            </w:r>
            <w:r w:rsidRPr="007F4413">
              <w:rPr>
                <w:lang w:val="de-DE"/>
              </w:rPr>
              <w:t>.</w:t>
            </w:r>
            <w:r w:rsidRPr="00F94B27" w:rsidR="00F94B27">
              <w:rPr>
                <w:b/>
                <w:lang w:val="de-DE"/>
              </w:rPr>
              <w:t>]</w:t>
            </w:r>
            <w:r w:rsidRPr="007F4413">
              <w:rPr>
                <w:lang w:val="de-DE"/>
              </w:rPr>
              <w:t xml:space="preserve"> </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960E67" w:rsidP="007F4413">
            <w:pPr>
              <w:pStyle w:val="CSbody0bolditalic"/>
              <w:rPr>
                <w:lang w:val="en-GB"/>
              </w:rPr>
            </w:pPr>
            <w:r w:rsidRPr="00F94B27">
              <w:rPr>
                <w:lang w:val="en-GB"/>
              </w:rPr>
              <w:t>[</w:t>
            </w:r>
            <w:r w:rsidRPr="00960E67">
              <w:rPr>
                <w:lang w:val="en-GB"/>
              </w:rPr>
              <w:t xml:space="preserve">in case of Stairway Notes: </w:t>
            </w:r>
          </w:p>
        </w:tc>
        <w:tc>
          <w:tcPr>
            <w:tcW w:w="2516" w:type="pct"/>
            <w:tcBorders>
              <w:top w:val="nil"/>
              <w:left w:val="single" w:sz="4" w:space="0" w:color="auto"/>
              <w:bottom w:val="nil"/>
              <w:right w:val="nil"/>
            </w:tcBorders>
          </w:tcPr>
          <w:p w:rsidR="007F4413" w:rsidRPr="00A61664" w:rsidP="007F4413">
            <w:pPr>
              <w:pStyle w:val="CSbody0bolditalic"/>
            </w:pPr>
            <w:r w:rsidRPr="00F94B27">
              <w:t>[</w:t>
            </w:r>
            <w:r w:rsidRPr="00A61664">
              <w:t xml:space="preserve">bei Stairway Notes sind:  </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960E67" w:rsidP="007F4413">
            <w:pPr>
              <w:pStyle w:val="CSbody0bold"/>
              <w:rPr>
                <w:lang w:val="en-GB"/>
              </w:rPr>
            </w:pPr>
            <w:r w:rsidRPr="00960E67">
              <w:rPr>
                <w:lang w:val="en-GB"/>
              </w:rPr>
              <w:t>Risks in connection with Stairway Notes</w:t>
            </w:r>
          </w:p>
        </w:tc>
        <w:tc>
          <w:tcPr>
            <w:tcW w:w="2516" w:type="pct"/>
            <w:tcBorders>
              <w:top w:val="nil"/>
              <w:left w:val="single" w:sz="4" w:space="0" w:color="auto"/>
              <w:bottom w:val="nil"/>
              <w:right w:val="nil"/>
            </w:tcBorders>
          </w:tcPr>
          <w:p w:rsidR="007F4413" w:rsidRPr="007F4413" w:rsidP="007F4413">
            <w:pPr>
              <w:pStyle w:val="CSbody0bold"/>
            </w:pPr>
            <w:r w:rsidRPr="007F4413">
              <w:t>Risiken im Zusammenhang mit Stairway Notes</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A61664" w:rsidP="007F4413">
            <w:pPr>
              <w:pStyle w:val="CSBody0"/>
            </w:pPr>
            <w:r w:rsidRPr="00A61664">
              <w:t xml:space="preserve">In case of Stairway Notes, potential investors should be aware that the Interest Payment Amount on the </w:t>
            </w:r>
            <w:r w:rsidRPr="00F94B27" w:rsidR="00F94B27">
              <w:rPr>
                <w:b/>
              </w:rPr>
              <w:t>[</w:t>
            </w:r>
            <w:r w:rsidRPr="007F4413">
              <w:rPr>
                <w:b/>
                <w:i/>
              </w:rPr>
              <w:t>insert number of Interest Payment Date, from which the Interest Rate will be a variable rate per annum:</w:t>
            </w:r>
            <w:r w:rsidRPr="00A61664">
              <w:t xml:space="preserve"> </w:t>
            </w:r>
            <w:r w:rsidRPr="00F94B27" w:rsidR="00F94B27">
              <w:rPr>
                <w:b/>
              </w:rPr>
              <w:t>[</w:t>
            </w:r>
            <w:r w:rsidR="003857E8">
              <w:rPr>
                <w:rFonts w:ascii="Arial" w:hAnsi="Arial" w:cs="Arial"/>
              </w:rPr>
              <w:t>●</w:t>
            </w:r>
            <w:r w:rsidRPr="00F94B27" w:rsidR="00F94B27">
              <w:rPr>
                <w:b/>
              </w:rPr>
              <w:t>]]</w:t>
            </w:r>
            <w:r w:rsidRPr="00A61664">
              <w:t xml:space="preserve"> Interest Payment Date </w:t>
            </w:r>
            <w:r w:rsidRPr="00F94B27" w:rsidR="00F94B27">
              <w:rPr>
                <w:b/>
              </w:rPr>
              <w:t>[</w:t>
            </w:r>
            <w:r w:rsidRPr="00A61664">
              <w:t>and any following Interest Payment Date</w:t>
            </w:r>
            <w:r w:rsidRPr="00F94B27" w:rsidR="00F94B27">
              <w:rPr>
                <w:b/>
              </w:rPr>
              <w:t>]</w:t>
            </w:r>
            <w:r w:rsidRPr="00A61664">
              <w:t xml:space="preserve"> will be calculated on the basis of a variable Interest Rate. Such variable Interest Rate will be equal to the lesser of (i) the relevant Maximum Interest Rate (which is equal to the Interest Rate applicable to the immediately preceding Interest Payment Date, plus </w:t>
            </w:r>
            <w:r w:rsidRPr="00F94B27" w:rsidR="00F94B27">
              <w:rPr>
                <w:b/>
              </w:rPr>
              <w:t>[</w:t>
            </w:r>
            <w:r w:rsidR="003857E8">
              <w:rPr>
                <w:rFonts w:ascii="Arial" w:hAnsi="Arial" w:cs="Arial"/>
              </w:rPr>
              <w:t>●</w:t>
            </w:r>
            <w:r w:rsidRPr="00F94B27" w:rsidR="00F94B27">
              <w:rPr>
                <w:b/>
              </w:rPr>
              <w:t>]</w:t>
            </w:r>
            <w:r w:rsidRPr="00A61664">
              <w:t xml:space="preserve">% per annum) and (ii) the greater of (a) the </w:t>
            </w:r>
            <w:r w:rsidRPr="00F94B27" w:rsidR="00F94B27">
              <w:rPr>
                <w:b/>
              </w:rPr>
              <w:t>[</w:t>
            </w:r>
            <w:r w:rsidRPr="00A61664">
              <w:t>Reference Rate (</w:t>
            </w:r>
            <w:r w:rsidRPr="007E3558" w:rsidR="007E3558">
              <w:rPr>
                <w:i/>
              </w:rPr>
              <w:t>i.e.</w:t>
            </w:r>
            <w:r w:rsidRPr="00A61664">
              <w:t>, a variable rate of interest) on the relevant Interest Determination Date</w:t>
            </w:r>
            <w:r w:rsidRPr="00F94B27" w:rsidR="00F94B27">
              <w:rPr>
                <w:b/>
              </w:rPr>
              <w:t>]</w:t>
            </w:r>
            <w:r w:rsidRPr="00A61664">
              <w:t xml:space="preserve"> </w:t>
            </w:r>
            <w:r w:rsidRPr="00F94B27" w:rsidR="00F94B27">
              <w:rPr>
                <w:b/>
              </w:rPr>
              <w:t>[</w:t>
            </w:r>
            <w:r w:rsidRPr="00A61664">
              <w:t>sum of the Reference Rate (</w:t>
            </w:r>
            <w:r w:rsidRPr="007E3558" w:rsidR="007E3558">
              <w:rPr>
                <w:i/>
              </w:rPr>
              <w:t>i.e.</w:t>
            </w:r>
            <w:r w:rsidRPr="00A61664">
              <w:t xml:space="preserve">, a variable rate of interest) on the relevant Interest Determination Date and </w:t>
            </w:r>
            <w:r w:rsidRPr="00F94B27" w:rsidR="00F94B27">
              <w:rPr>
                <w:b/>
              </w:rPr>
              <w:t>[</w:t>
            </w:r>
            <w:r w:rsidR="003857E8">
              <w:rPr>
                <w:rFonts w:ascii="Arial" w:hAnsi="Arial" w:cs="Arial"/>
              </w:rPr>
              <w:t>●</w:t>
            </w:r>
            <w:r w:rsidRPr="00F94B27" w:rsidR="00F94B27">
              <w:rPr>
                <w:b/>
              </w:rPr>
              <w:t>]</w:t>
            </w:r>
            <w:r w:rsidRPr="00A61664">
              <w:t>% per annum</w:t>
            </w:r>
            <w:r w:rsidRPr="00F94B27" w:rsidR="00F94B27">
              <w:rPr>
                <w:b/>
              </w:rPr>
              <w:t>]</w:t>
            </w:r>
            <w:r w:rsidRPr="00A61664">
              <w:t xml:space="preserve">, and (b) the relevant Minimum Interest Rate (which is equal to the Interest Rate applicable to the immediately preceding Interest Payment Date </w:t>
            </w:r>
            <w:r w:rsidRPr="00F94B27" w:rsidR="00F94B27">
              <w:rPr>
                <w:b/>
              </w:rPr>
              <w:t>[</w:t>
            </w:r>
            <w:r w:rsidRPr="00A61664">
              <w:t xml:space="preserve">plus </w:t>
            </w:r>
            <w:r w:rsidRPr="00F94B27" w:rsidR="00F94B27">
              <w:rPr>
                <w:b/>
              </w:rPr>
              <w:t>[</w:t>
            </w:r>
            <w:r w:rsidR="003857E8">
              <w:rPr>
                <w:rFonts w:ascii="Arial" w:hAnsi="Arial" w:cs="Arial"/>
              </w:rPr>
              <w:t>●</w:t>
            </w:r>
            <w:r w:rsidRPr="00F94B27" w:rsidR="00F94B27">
              <w:rPr>
                <w:b/>
              </w:rPr>
              <w:t>]</w:t>
            </w:r>
            <w:r w:rsidRPr="00A61664">
              <w:t>% per annum</w:t>
            </w:r>
            <w:r w:rsidRPr="00F94B27" w:rsidR="00F94B27">
              <w:rPr>
                <w:b/>
              </w:rPr>
              <w:t>]</w:t>
            </w:r>
            <w:r w:rsidRPr="00A61664">
              <w:t>). Consequently, an increase in the Referene Rate will generally result in a higher variable Interest Rate, but will in no event exceed the Maximum Interest Rate, while a decrease in the Reference Rate will generally result in a lower variable Interest Rate, but in no event falling below the Minimum Interest Rate. Consequently, the profit potential in relation to such Floating Rate Products is capped.</w:t>
            </w:r>
            <w:r w:rsidRPr="00F94B27" w:rsidR="00F94B27">
              <w:rPr>
                <w:b/>
              </w:rPr>
              <w:t>]</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lang w:val="de-DE"/>
              </w:rPr>
              <w:t xml:space="preserve">Bei Stairway Notes sollten sich </w:t>
            </w:r>
            <w:r w:rsidRPr="007F4413">
              <w:rPr>
                <w:b/>
                <w:i/>
                <w:lang w:val="de-DE"/>
              </w:rPr>
              <w:t xml:space="preserve">Potenzielle Anleger bewusst sein, dass der Zinszahlungsbetrag am </w:t>
            </w:r>
            <w:r w:rsidRPr="00F94B27" w:rsidR="00F94B27">
              <w:rPr>
                <w:b/>
                <w:i/>
                <w:lang w:val="de-DE"/>
              </w:rPr>
              <w:t>[</w:t>
            </w:r>
            <w:r w:rsidRPr="007F4413">
              <w:rPr>
                <w:b/>
                <w:i/>
                <w:lang w:val="de-DE"/>
              </w:rPr>
              <w:t>Zahl des Zinszahlungstags einfügen, von dem an der Zinssatz ein variabler Satz per annum sein wird:</w:t>
            </w:r>
            <w:r w:rsidRPr="007F4413">
              <w:rPr>
                <w:lang w:val="de-DE"/>
              </w:rPr>
              <w:t xml:space="preserve">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xml:space="preserve"> Zinszahlungstag </w:t>
            </w:r>
            <w:r w:rsidRPr="00F94B27" w:rsidR="00F94B27">
              <w:rPr>
                <w:b/>
                <w:lang w:val="de-DE"/>
              </w:rPr>
              <w:t>[</w:t>
            </w:r>
            <w:r w:rsidRPr="007F4413">
              <w:rPr>
                <w:lang w:val="de-DE"/>
              </w:rPr>
              <w:t>und jeden folgenden Zinszahlungstag</w:t>
            </w:r>
            <w:r w:rsidRPr="00F94B27" w:rsidR="00F94B27">
              <w:rPr>
                <w:b/>
                <w:lang w:val="de-DE"/>
              </w:rPr>
              <w:t>]</w:t>
            </w:r>
            <w:r w:rsidRPr="007F4413">
              <w:rPr>
                <w:lang w:val="de-DE"/>
              </w:rPr>
              <w:t xml:space="preserve"> auf der Grundlage eines variablen Zinssatzes berechnet wird. Dieser variable Zinssatz entspricht dem jeweils kleineren der folgenden Beträge: (i) dem jeweiligen Höchstzinssatz (der dem für den jeweils unmittelbar vorhergehenden Zinszahlungstag geltenden Zinssatz, zuzüglich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xml:space="preserve">% per annum entspricht) und (ii) dem jeweils grösseren der folgenden Beträge (a) </w:t>
            </w:r>
            <w:r w:rsidRPr="00F94B27" w:rsidR="00F94B27">
              <w:rPr>
                <w:b/>
                <w:lang w:val="de-DE"/>
              </w:rPr>
              <w:t>[</w:t>
            </w:r>
            <w:r w:rsidRPr="007F4413">
              <w:rPr>
                <w:lang w:val="de-DE"/>
              </w:rPr>
              <w:t>der Referenzsatz (d.h. ein variabler Zinssatz) am jeweiligen Zinsfeststellungstag</w:t>
            </w:r>
            <w:r w:rsidRPr="00F94B27" w:rsidR="00F94B27">
              <w:rPr>
                <w:b/>
                <w:lang w:val="de-DE"/>
              </w:rPr>
              <w:t>]</w:t>
            </w:r>
            <w:r w:rsidRPr="007F4413">
              <w:rPr>
                <w:lang w:val="de-DE"/>
              </w:rPr>
              <w:t xml:space="preserve"> </w:t>
            </w:r>
            <w:r w:rsidRPr="00F94B27" w:rsidR="00F94B27">
              <w:rPr>
                <w:b/>
                <w:lang w:val="de-DE"/>
              </w:rPr>
              <w:t>[</w:t>
            </w:r>
            <w:r w:rsidRPr="007F4413">
              <w:rPr>
                <w:lang w:val="de-DE"/>
              </w:rPr>
              <w:t xml:space="preserve">die Summe aus dem Referenzsatz (d.h. ein variabler Zinssatz) am jeweiligen Zinsfeststellungstag und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per annum</w:t>
            </w:r>
            <w:r w:rsidRPr="00F94B27" w:rsidR="00F94B27">
              <w:rPr>
                <w:b/>
                <w:lang w:val="de-DE"/>
              </w:rPr>
              <w:t>]</w:t>
            </w:r>
            <w:r w:rsidRPr="007F4413">
              <w:rPr>
                <w:lang w:val="de-DE"/>
              </w:rPr>
              <w:t xml:space="preserve">, und (b) der jeweilige Mindestzinssatz (der dem Zinssatz entspricht, der am unmittelbar vorangegangenen Zinszahlungstag Anwendung gefunden hat </w:t>
            </w:r>
            <w:r w:rsidRPr="00F94B27" w:rsidR="00F94B27">
              <w:rPr>
                <w:b/>
                <w:lang w:val="de-DE"/>
              </w:rPr>
              <w:t>[</w:t>
            </w:r>
            <w:r w:rsidRPr="007F4413">
              <w:rPr>
                <w:lang w:val="de-DE"/>
              </w:rPr>
              <w:t xml:space="preserve">, zuzüglich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per annum</w:t>
            </w:r>
            <w:r w:rsidRPr="00F94B27" w:rsidR="00F94B27">
              <w:rPr>
                <w:b/>
                <w:lang w:val="de-DE"/>
              </w:rPr>
              <w:t>]</w:t>
            </w:r>
            <w:r w:rsidRPr="007F4413">
              <w:rPr>
                <w:lang w:val="de-DE"/>
              </w:rPr>
              <w:t>. Folglich führt ein Ansteigen des Referenzsatzes regelmässig zu einem höheren variablen Zinssatz, der aber in keinem Fall über den Höchstzinssatz steigen kann. Umgekehrt führt ein Absinken des Referenzsatzes regelmässig zu einem variablen Zinssatz, der aber keinem Fall unter den Mindestzinssatz fallen kann. Folglich ist das Gewinnpotenzial bei diesen Variabel Verzinslichen Produkten nach oben hin begrenzt.</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960E67" w:rsidP="007F4413">
            <w:pPr>
              <w:pStyle w:val="CSbody0bolditalic"/>
              <w:rPr>
                <w:lang w:val="en-GB"/>
              </w:rPr>
            </w:pPr>
            <w:r w:rsidRPr="00F94B27">
              <w:rPr>
                <w:lang w:val="en-GB"/>
              </w:rPr>
              <w:t>[</w:t>
            </w:r>
            <w:r w:rsidRPr="00960E67">
              <w:rPr>
                <w:lang w:val="en-GB"/>
              </w:rPr>
              <w:t xml:space="preserve">in case of Inflation Index-Linked Notes:  </w:t>
            </w:r>
          </w:p>
        </w:tc>
        <w:tc>
          <w:tcPr>
            <w:tcW w:w="2516" w:type="pct"/>
            <w:tcBorders>
              <w:top w:val="nil"/>
              <w:left w:val="single" w:sz="4" w:space="0" w:color="auto"/>
              <w:bottom w:val="nil"/>
              <w:right w:val="nil"/>
            </w:tcBorders>
          </w:tcPr>
          <w:p w:rsidR="007F4413" w:rsidRPr="00A61664" w:rsidP="007F4413">
            <w:pPr>
              <w:pStyle w:val="CSbody0bolditalic"/>
            </w:pPr>
            <w:r w:rsidRPr="00F94B27">
              <w:t>[</w:t>
            </w:r>
            <w:r w:rsidRPr="00A61664">
              <w:t xml:space="preserve">bei Inflation Index-Linked Notes:  </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A61664" w:rsidP="007F4413">
            <w:pPr>
              <w:pStyle w:val="CSBody0"/>
            </w:pPr>
            <w:r w:rsidRPr="00A61664">
              <w:t>In case of Inflation Index-Linked Notes the Interest Rate on the basis of which the Interest Payment Amount</w:t>
            </w:r>
            <w:r w:rsidRPr="00F94B27" w:rsidR="00F94B27">
              <w:rPr>
                <w:b/>
              </w:rPr>
              <w:t>[</w:t>
            </w:r>
            <w:r w:rsidRPr="00A61664">
              <w:t>s</w:t>
            </w:r>
            <w:r w:rsidRPr="00F94B27" w:rsidR="00F94B27">
              <w:rPr>
                <w:b/>
              </w:rPr>
              <w:t>]</w:t>
            </w:r>
            <w:r w:rsidRPr="00A61664">
              <w:t xml:space="preserve"> </w:t>
            </w:r>
            <w:r w:rsidRPr="00F94B27" w:rsidR="00F94B27">
              <w:rPr>
                <w:b/>
              </w:rPr>
              <w:t>[</w:t>
            </w:r>
            <w:r w:rsidRPr="00A61664">
              <w:t>is</w:t>
            </w:r>
            <w:r w:rsidRPr="00F94B27" w:rsidR="00F94B27">
              <w:rPr>
                <w:b/>
              </w:rPr>
              <w:t>][</w:t>
            </w:r>
            <w:r w:rsidRPr="00A61664">
              <w:t>are</w:t>
            </w:r>
            <w:r w:rsidRPr="00F94B27" w:rsidR="00F94B27">
              <w:rPr>
                <w:b/>
              </w:rPr>
              <w:t>]</w:t>
            </w:r>
            <w:r w:rsidRPr="00A61664">
              <w:t xml:space="preserve"> calculated </w:t>
            </w:r>
            <w:r w:rsidRPr="00F94B27" w:rsidR="00F94B27">
              <w:rPr>
                <w:b/>
                <w:i/>
              </w:rPr>
              <w:t>[</w:t>
            </w:r>
            <w:r w:rsidRPr="007F4413">
              <w:rPr>
                <w:b/>
                <w:i/>
              </w:rPr>
              <w:t xml:space="preserve">in case of Complex Products with one or more Fixed Interest Payment Dates: on the </w:t>
            </w:r>
            <w:r w:rsidRPr="00F94B27" w:rsidR="00F94B27">
              <w:rPr>
                <w:b/>
                <w:i/>
              </w:rPr>
              <w:t>[</w:t>
            </w:r>
            <w:r w:rsidRPr="007F4413">
              <w:rPr>
                <w:b/>
                <w:i/>
              </w:rPr>
              <w:t xml:space="preserve">insert number of Interest Payment Date, from which the Interest Rate will be a variable rate per annum: </w:t>
            </w:r>
            <w:r w:rsidRPr="00F94B27" w:rsidR="00F94B27">
              <w:rPr>
                <w:b/>
              </w:rPr>
              <w:t>[</w:t>
            </w:r>
            <w:r w:rsidR="003857E8">
              <w:rPr>
                <w:rFonts w:ascii="Arial" w:hAnsi="Arial" w:cs="Arial"/>
              </w:rPr>
              <w:t>●</w:t>
            </w:r>
            <w:r w:rsidRPr="00F94B27" w:rsidR="00F94B27">
              <w:rPr>
                <w:b/>
              </w:rPr>
              <w:t>]]</w:t>
            </w:r>
            <w:r w:rsidRPr="00A61664">
              <w:t xml:space="preserve"> Interest Payment Date </w:t>
            </w:r>
            <w:r w:rsidRPr="00F94B27" w:rsidR="00F94B27">
              <w:rPr>
                <w:b/>
              </w:rPr>
              <w:t>[</w:t>
            </w:r>
            <w:r w:rsidRPr="00A61664">
              <w:t>and any following Interest Payment Date</w:t>
            </w:r>
            <w:r w:rsidRPr="00F94B27" w:rsidR="00F94B27">
              <w:rPr>
                <w:b/>
              </w:rPr>
              <w:t>]]</w:t>
            </w:r>
            <w:r w:rsidRPr="00A61664">
              <w:t xml:space="preserve"> will be equal to a variable Interest Rate depending upon the performance of a Reference Rate in the form of an Inflation Index. The performance of the Reference Rate will be measured by comparing its value for one Inflation Fixing Month to its value for another Inflation Fixing Month. If the Inflation Index stagnates or if the Inflation Index develops negatively on an Interest Payment Date, the applicable Interest Rate may be equal to zero.</w:t>
            </w:r>
            <w:r w:rsidRPr="00F94B27" w:rsidR="00F94B27">
              <w:rPr>
                <w:b/>
              </w:rPr>
              <w:t>]</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lang w:val="de-DE"/>
              </w:rPr>
              <w:t xml:space="preserve">Bei Inflation Index-Linked Notes entspricht der Zinssatz, auf dessen Grundlage </w:t>
            </w:r>
            <w:r w:rsidRPr="00F94B27" w:rsidR="00F94B27">
              <w:rPr>
                <w:b/>
                <w:lang w:val="de-DE"/>
              </w:rPr>
              <w:t>[</w:t>
            </w:r>
            <w:r w:rsidRPr="007F4413">
              <w:rPr>
                <w:lang w:val="de-DE"/>
              </w:rPr>
              <w:t>der Zinszahlungsbetrag</w:t>
            </w:r>
            <w:r w:rsidRPr="00F94B27" w:rsidR="00F94B27">
              <w:rPr>
                <w:b/>
                <w:lang w:val="de-DE"/>
              </w:rPr>
              <w:t>]</w:t>
            </w:r>
            <w:r w:rsidRPr="007F4413">
              <w:rPr>
                <w:lang w:val="de-DE"/>
              </w:rPr>
              <w:t xml:space="preserve"> </w:t>
            </w:r>
            <w:r w:rsidRPr="00F94B27" w:rsidR="00F94B27">
              <w:rPr>
                <w:b/>
                <w:lang w:val="de-DE"/>
              </w:rPr>
              <w:t>[</w:t>
            </w:r>
            <w:r w:rsidRPr="007F4413">
              <w:rPr>
                <w:lang w:val="de-DE"/>
              </w:rPr>
              <w:t>die Zinszahlungsbeträge</w:t>
            </w:r>
            <w:r w:rsidRPr="00F94B27" w:rsidR="00F94B27">
              <w:rPr>
                <w:b/>
                <w:lang w:val="de-DE"/>
              </w:rPr>
              <w:t>]</w:t>
            </w:r>
            <w:r w:rsidRPr="007F4413">
              <w:rPr>
                <w:lang w:val="de-DE"/>
              </w:rPr>
              <w:t xml:space="preserve"> </w:t>
            </w:r>
            <w:r w:rsidRPr="00F94B27" w:rsidR="00F94B27">
              <w:rPr>
                <w:b/>
                <w:lang w:val="de-DE"/>
              </w:rPr>
              <w:t>[</w:t>
            </w:r>
            <w:r w:rsidRPr="007F4413">
              <w:rPr>
                <w:b/>
                <w:i/>
                <w:lang w:val="de-DE"/>
              </w:rPr>
              <w:t xml:space="preserve">bei Komplexen Produkten mit einem oder mehreren Zahlungstagen für Festzinsen: am </w:t>
            </w:r>
            <w:r w:rsidRPr="00F94B27" w:rsidR="00F94B27">
              <w:rPr>
                <w:b/>
                <w:i/>
                <w:lang w:val="de-DE"/>
              </w:rPr>
              <w:t>[</w:t>
            </w:r>
            <w:r w:rsidRPr="007F4413">
              <w:rPr>
                <w:b/>
                <w:i/>
                <w:lang w:val="de-DE"/>
              </w:rPr>
              <w:t>Zahl des Zinszahlungstags einfügen, von dem an der Zinssatz ein variabler Satz per annum sein wird:</w:t>
            </w:r>
            <w:r w:rsidRPr="007F4413">
              <w:rPr>
                <w:lang w:val="de-DE"/>
              </w:rPr>
              <w:t xml:space="preserve"> </w:t>
            </w:r>
            <w:r w:rsidRPr="00F94B27" w:rsidR="00F94B27">
              <w:rPr>
                <w:b/>
                <w:lang w:val="de-DE"/>
              </w:rPr>
              <w:t>[</w:t>
            </w:r>
            <w:r w:rsidRPr="000F4148" w:rsidR="003857E8">
              <w:rPr>
                <w:rFonts w:ascii="Arial" w:hAnsi="Arial" w:cs="Arial"/>
                <w:lang w:val="de-DE"/>
              </w:rPr>
              <w:t>●</w:t>
            </w:r>
            <w:r w:rsidRPr="00F94B27" w:rsidR="00F94B27">
              <w:rPr>
                <w:b/>
                <w:lang w:val="de-DE"/>
              </w:rPr>
              <w:t>]]</w:t>
            </w:r>
            <w:r w:rsidRPr="007F4413">
              <w:rPr>
                <w:lang w:val="de-DE"/>
              </w:rPr>
              <w:t xml:space="preserve"> Zinszahlungstag </w:t>
            </w:r>
            <w:r w:rsidRPr="00F94B27" w:rsidR="00F94B27">
              <w:rPr>
                <w:b/>
                <w:lang w:val="de-DE"/>
              </w:rPr>
              <w:t>[</w:t>
            </w:r>
            <w:r w:rsidRPr="007F4413">
              <w:rPr>
                <w:lang w:val="de-DE"/>
              </w:rPr>
              <w:t>und jeden folgenden Zinszahlungstag</w:t>
            </w:r>
            <w:r w:rsidRPr="00F94B27" w:rsidR="00F94B27">
              <w:rPr>
                <w:b/>
                <w:lang w:val="de-DE"/>
              </w:rPr>
              <w:t>]]</w:t>
            </w:r>
            <w:r w:rsidRPr="007F4413">
              <w:rPr>
                <w:lang w:val="de-DE"/>
              </w:rPr>
              <w:t xml:space="preserve"> berechnet </w:t>
            </w:r>
            <w:r w:rsidRPr="00F94B27" w:rsidR="00F94B27">
              <w:rPr>
                <w:b/>
                <w:lang w:val="de-DE"/>
              </w:rPr>
              <w:t>[</w:t>
            </w:r>
            <w:r w:rsidRPr="007F4413">
              <w:rPr>
                <w:lang w:val="de-DE"/>
              </w:rPr>
              <w:t>wird</w:t>
            </w:r>
            <w:r w:rsidRPr="00F94B27" w:rsidR="00F94B27">
              <w:rPr>
                <w:b/>
                <w:lang w:val="de-DE"/>
              </w:rPr>
              <w:t>]</w:t>
            </w:r>
            <w:r w:rsidRPr="007F4413">
              <w:rPr>
                <w:lang w:val="de-DE"/>
              </w:rPr>
              <w:t xml:space="preserve"> </w:t>
            </w:r>
            <w:r w:rsidRPr="00F94B27" w:rsidR="00F94B27">
              <w:rPr>
                <w:b/>
                <w:lang w:val="de-DE"/>
              </w:rPr>
              <w:t>[</w:t>
            </w:r>
            <w:r w:rsidRPr="007F4413">
              <w:rPr>
                <w:lang w:val="de-DE"/>
              </w:rPr>
              <w:t>werden</w:t>
            </w:r>
            <w:r w:rsidRPr="00F94B27" w:rsidR="00F94B27">
              <w:rPr>
                <w:b/>
                <w:lang w:val="de-DE"/>
              </w:rPr>
              <w:t>]</w:t>
            </w:r>
            <w:r w:rsidRPr="007F4413">
              <w:rPr>
                <w:lang w:val="de-DE"/>
              </w:rPr>
              <w:t>, einem variablen Zinssatz, der von der Wertentwicklung eines Referenzsatzes in Form eines Inflationsindexes abhängig ist. Die Wertentwicklung des Referenzsatzes wird auf Grundlage eines Vergleichs des Werts des Referenzsatzes für einen Inflations-Feststellungsmonat mit dem Wert des Referenzsatzes für einen anderen Inflations-Feststellungsmonat gemessen. Falls der Inflationsindex stagniert oder sich an einem Zinszahlungstag negativ entwickelt, kann der anwendbare Zinssatz null entsprechen.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960E67" w:rsidP="007F4413">
            <w:pPr>
              <w:pStyle w:val="CSbody0bolditalic"/>
              <w:rPr>
                <w:lang w:val="en-GB"/>
              </w:rPr>
            </w:pPr>
            <w:r w:rsidRPr="00F94B27">
              <w:rPr>
                <w:lang w:val="en-GB"/>
              </w:rPr>
              <w:t>[</w:t>
            </w:r>
            <w:r w:rsidRPr="00960E67">
              <w:rPr>
                <w:lang w:val="en-GB"/>
              </w:rPr>
              <w:t xml:space="preserve">in case of Complex Products with an Issuer call option:  </w:t>
            </w:r>
          </w:p>
        </w:tc>
        <w:tc>
          <w:tcPr>
            <w:tcW w:w="2516" w:type="pct"/>
            <w:tcBorders>
              <w:top w:val="nil"/>
              <w:left w:val="single" w:sz="4" w:space="0" w:color="auto"/>
              <w:bottom w:val="nil"/>
              <w:right w:val="nil"/>
            </w:tcBorders>
          </w:tcPr>
          <w:p w:rsidR="007F4413" w:rsidRPr="007F4413" w:rsidP="007F4413">
            <w:pPr>
              <w:pStyle w:val="CSbody0bolditalic"/>
            </w:pPr>
            <w:r w:rsidRPr="00F94B27">
              <w:t>[</w:t>
            </w:r>
            <w:r w:rsidRPr="007F4413">
              <w:t>bei Komplexen Produkten mit einem Kündigungsrecht der Emittentin: :</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960E67" w:rsidP="007F4413">
            <w:pPr>
              <w:pStyle w:val="CSbody0bold"/>
              <w:rPr>
                <w:lang w:val="en-GB"/>
              </w:rPr>
            </w:pPr>
            <w:r w:rsidRPr="00960E67">
              <w:rPr>
                <w:lang w:val="en-GB"/>
              </w:rPr>
              <w:t>Risks associated with an Issuer's call option</w:t>
            </w:r>
          </w:p>
        </w:tc>
        <w:tc>
          <w:tcPr>
            <w:tcW w:w="2516" w:type="pct"/>
            <w:tcBorders>
              <w:top w:val="nil"/>
              <w:left w:val="single" w:sz="4" w:space="0" w:color="auto"/>
              <w:bottom w:val="nil"/>
              <w:right w:val="nil"/>
            </w:tcBorders>
          </w:tcPr>
          <w:p w:rsidR="007F4413" w:rsidRPr="007F4413" w:rsidP="007F4413">
            <w:pPr>
              <w:pStyle w:val="CSbody0bold"/>
            </w:pPr>
            <w:r w:rsidRPr="007F4413">
              <w:t>Mit einem Kündigungsrecht der Emittentin verbundene Risiken</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A9605E" w:rsidP="007F4413">
            <w:pPr>
              <w:pStyle w:val="CSBody0"/>
            </w:pPr>
            <w:r w:rsidRPr="00A9605E">
              <w:t>The Complex Products provide for an Issuer's call option. In such case, the Issuer is entitled to redeem the Complex Products in whole but not in part prior to the Final Redemption Date. The Issuer is likely to early redeem such Complex Products when its cost of borrowing is lower than the yield on such Complex Products. As a result, (i) the market value of such Complex Products generally will not rise substantially above the Optional Early Redemption Price, and (ii) investors in such Complex Products may incur additional transaction costs as a consequence of reinvesting proceeds received upon early redemption and the conditions for such a reinvestment may be less favourable than the relevant investor's initial investment in the Complex Products. If the Issuer exercises its call option, investors should note that no Interest Payment Amounts that would otherwise have been due after the date of such early redemption will be paid and, if so specified in the applicable Terms and Conditions, no accrued and unpaid interest as of the date of such early redemption will be paid.</w:t>
            </w:r>
            <w:r w:rsidRPr="00F94B27" w:rsidR="00F94B27">
              <w:rPr>
                <w:b/>
              </w:rPr>
              <w:t>]</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lang w:val="de-DE"/>
              </w:rPr>
              <w:t>Die Komplexen Produkten sehen ein Kündigungsrecht der Emittentin vor, d.h. die Emittentin ist berechtigt, die Komplexen Produkte vor dem Finalen Rückzahlungstag ganz, jedoch nicht teilweise zurückzuzahlen. Eine vorzeitige Rückzahlung dieser Komplexen Produkte durch die Emittentin wird dann wahrscheinlich, wenn ihre Kosten der Kreditaufnahme niedriger sind als die Rendite auf diese Komplexen Produkte. Dies führt dazu, dass (i) der Marktwert dieser Komplexen Produkte in der Regel nicht wesentlich über den Rückzahlungsbetrag bei Ausübung des Kündigungsrechts steigen wird, und (ii) Anlegern in diese Komplexen Produkte unter Umständen zusätzliche Transaktionskosten für die Wiederanlage der bei vorzeitiger Rückzahlung ausgekehrten Beträge entstehen, wobei die Konditionen einer solchen Wiederanlage unter Umständen ungünstiger sein können als die ursprüngliche Anlage des Anlegers in die Komplexen Produkte. Übt die Emittentin ihr Kündigungsrecht aus, sollten die Anleger beachten, dass Zinszahlungsbeträge, die ansonsten nach dem Tag der vorzeitigen Rückzahlung fällig gewesen wären, nicht gezahlt werden und, sofern die anwendbaren Emissionsbedingungen dies vorsehen, keine zum Tag der vorzeitigen Rückzahlung aufgelaufenen, aber ungezahlten Zinsen gezahlt werden.</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A9605E" w:rsidP="007F4413">
            <w:pPr>
              <w:pStyle w:val="CSBody0"/>
            </w:pPr>
            <w:r w:rsidRPr="007F4413">
              <w:rPr>
                <w:b/>
              </w:rPr>
              <w:t>FINMA's broad statutory powers in the case of a restructuring proceeding in relation to Credit Suisse.</w:t>
            </w:r>
            <w:r w:rsidRPr="00A9605E">
              <w:t xml:space="preserve"> Rights of the holders of Complex Products may be adversely affected by the Swiss Financial Market Supervisory Authority FINMA's broad statutory powers in the case of a restructuring proceeding in relation to Credit Suisse, including its power to convert the Complex Products into equity and/or partially or fully write-down the Complex Products.</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b/>
                <w:lang w:val="de-DE"/>
              </w:rPr>
              <w:t>Weitreichende gesetzliche Befugnisse der Eidgenössischen Finanzmarktaufsicht (FINMA) im Falle eines Sanierungsverfahrens in Bezug auf die Credit Suisse.</w:t>
            </w:r>
            <w:r w:rsidRPr="007F4413">
              <w:rPr>
                <w:lang w:val="de-DE"/>
              </w:rPr>
              <w:t xml:space="preserve"> Die Rechte der Inhaber von Komplexen Produkten können im Falle eines Sanierungsverfahrens in Bezug auf die Credit Suisse durch die weitreichenden gesetzlichen Befugnisse der Eidgenössischen Finanzmarktaufsicht (FINMA), einschliesslich der Befugnis zur Umwandlung der Komplexen Produkte in Eigenkapital und/oder zur teilweisen oder vollständigen Abschreibung der Komplexen Produkte, beeinträchtigt werden.</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A9605E" w:rsidP="007F4413">
            <w:pPr>
              <w:pStyle w:val="CSBody0"/>
            </w:pPr>
            <w:r w:rsidRPr="007F4413">
              <w:rPr>
                <w:b/>
              </w:rPr>
              <w:t>The profit potential of Complex Products may be capped.</w:t>
            </w:r>
            <w:r w:rsidRPr="00A9605E">
              <w:t xml:space="preserve"> Investors in Complex Products should be aware that the profit potential in relation thereto may be capped.</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b/>
                <w:lang w:val="de-DE"/>
              </w:rPr>
              <w:t>Das Gewinnpotenzial der Komplexen Produkte kann nach oben hin begrenzt sein.</w:t>
            </w:r>
            <w:r w:rsidRPr="007F4413">
              <w:rPr>
                <w:lang w:val="de-DE"/>
              </w:rPr>
              <w:t xml:space="preserve"> Anleger in Komplexe Produkte sollten sich bewusst sein, dass das diesbezügliche Gewinnpotenzial nach oben hin begrenzt sein kann.</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960E67" w:rsidP="007F4413">
            <w:pPr>
              <w:pStyle w:val="CSbody0bolditalic"/>
              <w:rPr>
                <w:lang w:val="en-GB"/>
              </w:rPr>
            </w:pPr>
            <w:r w:rsidRPr="00F94B27">
              <w:rPr>
                <w:lang w:val="en-GB"/>
              </w:rPr>
              <w:t>[</w:t>
            </w:r>
            <w:r w:rsidRPr="00960E67">
              <w:rPr>
                <w:lang w:val="en-GB"/>
              </w:rPr>
              <w:t>in case of Credit-Linked Complex Products:</w:t>
            </w:r>
          </w:p>
        </w:tc>
        <w:tc>
          <w:tcPr>
            <w:tcW w:w="2516" w:type="pct"/>
            <w:tcBorders>
              <w:top w:val="nil"/>
              <w:left w:val="single" w:sz="4" w:space="0" w:color="auto"/>
              <w:bottom w:val="nil"/>
              <w:right w:val="nil"/>
            </w:tcBorders>
          </w:tcPr>
          <w:p w:rsidR="007F4413" w:rsidP="007F4413">
            <w:pPr>
              <w:pStyle w:val="CSbody0bolditalic"/>
            </w:pPr>
            <w:r w:rsidRPr="00F94B27">
              <w:t>[</w:t>
            </w:r>
            <w:r w:rsidRPr="00A9605E">
              <w:t>bei Kreditbezogenen Komplexen Produkten:</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1403C8" w:rsidP="007F4413">
            <w:pPr>
              <w:pStyle w:val="CSBody0"/>
            </w:pPr>
            <w:r w:rsidRPr="007F4413">
              <w:rPr>
                <w:b/>
              </w:rPr>
              <w:t>The market value of, and expected return on, Complex Products may be influenced by many factors, some or all of which may be unpredictable.</w:t>
            </w:r>
            <w:r w:rsidRPr="001403C8">
              <w:t xml:space="preserve"> The market value of, and expected return on, Complex Products may be influenced by a number of factors, some or all of which may be unpredictable (and which may offset or magnify each other), such as (i) supply and demand for Complex Products, (ii) the creditworthiness of any Reference Entity or the value and volatility of the Reference Rate(s), as applicable, (iii) economic, financial, political and regulatory or judicial events that affect Credit Suisse, any Reference Entity, the Reference Rate(s) or financial markets generally, (iv) interest and yield rates in the market generally, (v) the time remaining until the Scheduled Maturity Date and (vi) Credit Suisse's creditworthiness.</w:t>
            </w:r>
            <w:r w:rsidRPr="00F94B27" w:rsidR="00F94B27">
              <w:rPr>
                <w:b/>
              </w:rPr>
              <w:t>]</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b/>
                <w:lang w:val="de-DE"/>
              </w:rPr>
              <w:t>Der Marktwert Komplexer Produkte und die mit den Komplexen Produkten erwartete Rendite können von zahlreichen Faktoren beeinflusst werden, die insgesamt oder teilweise nicht vorhersehbar sein können.</w:t>
            </w:r>
            <w:r w:rsidRPr="007F4413">
              <w:rPr>
                <w:lang w:val="de-DE"/>
              </w:rPr>
              <w:t xml:space="preserve"> Der Marktwert der Komplexen Produkte und die auf die Komplexen Produkte erwartete Rendite können von zahlreichen Faktoren beeinflusst werden, die insgesamt oder teilweise nicht vorhersehbar sein können (und die sich möglicherweise gegenseitig aufheben oder verstärken), wie beispielsweise (i) die Angebots- und Nachfragesituation bei den Komplexen Produkten, (ii) die Bonität eines Referenzschuldners und der Wert und die Volatilität des Referenzsatzes bzw. der Referenzsätze, (iii) konjunkturelle, finanzielle, politische und aufsichtsrechtliche Umstände oder Ereignisse oder Gerichtsentscheidungen, die die Credit Suisse, einen Referenzschuldner, den Referenzsatz bzw. die Referenzsätze oder die Finanzmärkte im Allgemeinen betreffen, (iv) Marktzinssätze und -renditen allgemein, (v) die Restlaufzeit bis zum Planmässigen Fälligkeitstag und (vi) die Bonität der Credit Suisse.</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960E67" w:rsidP="007F4413">
            <w:pPr>
              <w:pStyle w:val="CSbody0bolditalic"/>
              <w:rPr>
                <w:lang w:val="en-GB"/>
              </w:rPr>
            </w:pPr>
            <w:r w:rsidRPr="00F94B27">
              <w:rPr>
                <w:lang w:val="en-GB"/>
              </w:rPr>
              <w:t>[</w:t>
            </w:r>
            <w:r w:rsidRPr="00960E67">
              <w:rPr>
                <w:lang w:val="en-GB"/>
              </w:rPr>
              <w:t>in case of Complex Products with Fixed Final Redempton Amount:</w:t>
            </w:r>
          </w:p>
        </w:tc>
        <w:tc>
          <w:tcPr>
            <w:tcW w:w="2516" w:type="pct"/>
            <w:tcBorders>
              <w:top w:val="nil"/>
              <w:left w:val="single" w:sz="4" w:space="0" w:color="auto"/>
              <w:bottom w:val="nil"/>
              <w:right w:val="nil"/>
            </w:tcBorders>
          </w:tcPr>
          <w:p w:rsidR="007F4413" w:rsidRPr="007F4413" w:rsidP="007F4413">
            <w:pPr>
              <w:pStyle w:val="CSbody0bolditalic"/>
            </w:pPr>
            <w:r w:rsidRPr="00F94B27">
              <w:t>[</w:t>
            </w:r>
            <w:r w:rsidRPr="007F4413">
              <w:t>bei Komplexen Produkten mit Festem Finalen Rückzahlungsbetrag:</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1403C8" w:rsidP="007F4413">
            <w:pPr>
              <w:pStyle w:val="CSBody0"/>
            </w:pPr>
            <w:r w:rsidRPr="007F4413">
              <w:rPr>
                <w:b/>
              </w:rPr>
              <w:t>The market value of, and expected return on, Complex Products may be influenced by many factors, some or all of which may be unpredictable.</w:t>
            </w:r>
            <w:r w:rsidRPr="001403C8">
              <w:t xml:space="preserve"> The market value of, and expected return on, Complex Products may be influenced by a number of factors, some or all of which may be unpredictable (and which may offset or magnify each other), such as (i) supply and demand for Complex Products, (ii) economic, financial, political and regulatory or judicial events that affect Credit Suisse or financial markets generally, (iii) interest and yield rates in the market generally, (iv) the time remaining until the Final Redemption Date and (v) Credit Suisse's creditworthiness.</w:t>
            </w:r>
            <w:r w:rsidRPr="00F94B27" w:rsidR="00F94B27">
              <w:rPr>
                <w:b/>
              </w:rPr>
              <w:t>]</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b/>
                <w:lang w:val="de-DE"/>
              </w:rPr>
              <w:t>Der Marktwert Komplexer Produkte und die mit den Komplexen Produkten erwartete Rendite können von zahlreichen Faktoren beeinflusst werden, die insgesamt oder teilweise nicht vorhersehbar sein können.</w:t>
            </w:r>
            <w:r w:rsidRPr="007F4413">
              <w:rPr>
                <w:lang w:val="de-DE"/>
              </w:rPr>
              <w:t xml:space="preserve"> Der Marktwert der Komplexen Produkte und die auf die Komplexen Produkte erwartete Rendite können von zahlreichen Faktoren beeinflusst werden, die insgesamt oder teilweise nicht vorhersehbar sein können (und die sich möglicherweise gegenseitig aufheben oder verstärken), wie beispielsweise (i) die Angebots- und Nachfragesituation bei den Komplexen Produkten, (ii) konjunkturelle, finanzielle, politische und aufsichtsrechtliche Umstände oder Ereignisse oder Gerichtsentscheidungen, die die Credit Suisse oder die Finanzmärkte im Allgemeinen betreffen, (iii) Marktzinssätze und -renditen allgemein, (iv) die Restlaufzeit bis zum Finalen und (vi) die Bonität der Credit Suisse.</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1403C8" w:rsidP="007F4413">
            <w:pPr>
              <w:pStyle w:val="CSBody0"/>
            </w:pPr>
            <w:r w:rsidRPr="007F4413">
              <w:rPr>
                <w:b/>
              </w:rPr>
              <w:t>The trading market for Complex Products may not be very liquid or may never develop at all.</w:t>
            </w:r>
            <w:r w:rsidRPr="001403C8">
              <w:t xml:space="preserve"> The trading market for Complex Products may be limited, or may never develop at all, which may adversely impact the market value of such Complex Products or the ability of the holder thereof to sell such Complex Products.</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b/>
                <w:lang w:val="de-DE"/>
              </w:rPr>
              <w:t xml:space="preserve">Der Markt für Komplexe Produkte ist unter Umständen nicht sehr liquide oder ein solcher Markt kommt überhaupt nicht zustande. </w:t>
            </w:r>
            <w:r w:rsidRPr="007F4413">
              <w:rPr>
                <w:lang w:val="de-DE"/>
              </w:rPr>
              <w:t>Der Markt für Komplexe Produkte ist unter Umständen eingeschränkt oder ein solcher Markt kommt überhaupt nicht zustande, was sich nachteilig auf den Marktwert der betreffenden Komplexen Produkte bzw. die Möglichkeit für den Inhaber dieser Komplexen Produkte auswirken kann, diese Komplexen Produkte zu verkaufen.</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1403C8" w:rsidP="007F4413">
            <w:pPr>
              <w:pStyle w:val="CSBody0"/>
            </w:pPr>
            <w:r w:rsidRPr="007F4413">
              <w:rPr>
                <w:b/>
              </w:rPr>
              <w:t>Investors in Complex Products may be exposed to exchange rate risks.</w:t>
            </w:r>
            <w:r w:rsidRPr="001403C8">
              <w:t xml:space="preserve"> The Issue Currency or, if applicable, the Settlement Currency of a Complex Product may not be the currency of the home jurisdiction of the investor therein. Exchange rates between currencies are determined by factors of supply and demand in the international currency markets, which are in particular influenced by macro economic factors, speculation and central bank and government intervention (including the imposition of currency controls and restrictions). Therefore, fluctuations in exchange rates may adversely affect the market value of a Complex Product.</w:t>
            </w:r>
          </w:p>
        </w:tc>
        <w:tc>
          <w:tcPr>
            <w:tcW w:w="2516" w:type="pct"/>
            <w:tcBorders>
              <w:top w:val="nil"/>
              <w:left w:val="single" w:sz="4" w:space="0" w:color="auto"/>
              <w:bottom w:val="nil"/>
              <w:right w:val="nil"/>
            </w:tcBorders>
          </w:tcPr>
          <w:p w:rsidR="007F4413" w:rsidRPr="007F4413" w:rsidP="007F4413">
            <w:pPr>
              <w:pStyle w:val="CSBody0"/>
              <w:rPr>
                <w:lang w:val="de-DE"/>
              </w:rPr>
            </w:pPr>
            <w:r w:rsidRPr="007F4413">
              <w:rPr>
                <w:b/>
                <w:lang w:val="de-DE"/>
              </w:rPr>
              <w:t>Anleger in Komplexe Produkte können Wechselkursrisiken ausgesetzt sein.</w:t>
            </w:r>
            <w:r w:rsidRPr="007F4413">
              <w:rPr>
                <w:lang w:val="de-DE"/>
              </w:rPr>
              <w:t xml:space="preserve"> Die Emissionswährung bzw. die Abwicklungswährung eines Komplexen Produkts kann eine andere Währung sein als die Währung des Heimatlandes des Anlegers in das Komplexe Produkt. Wechselkurse zwischen Währungen bestimmen sich durch Angebot und Nachfrage an den internationalen Devisenmärkten, die insbesondere Einflüssen durch makroökonomische Faktoren, Spekulationsgeschäfte sowie Eingriffe durch Zentralbanken und Regierungen (darunter die Einführung von Devisenkontrollbestimmungen und -beschränkungen) unterliegen. Wechselkursschwankungen können sich daher nachteilig auf den Marktwert eines Komplexen Produkts auswirken.</w:t>
            </w:r>
          </w:p>
        </w:tc>
      </w:tr>
      <w:tr w:rsidTr="001527CB">
        <w:tblPrEx>
          <w:tblW w:w="5000" w:type="pct"/>
          <w:tblLayout w:type="fixed"/>
          <w:tblLook w:val="04A0"/>
        </w:tblPrEx>
        <w:tc>
          <w:tcPr>
            <w:tcW w:w="2484" w:type="pct"/>
            <w:tcBorders>
              <w:top w:val="nil"/>
              <w:left w:val="nil"/>
              <w:bottom w:val="nil"/>
              <w:right w:val="single" w:sz="4" w:space="0" w:color="auto"/>
            </w:tcBorders>
          </w:tcPr>
          <w:p w:rsidR="007F4413" w:rsidRPr="001403C8" w:rsidP="007F4413">
            <w:pPr>
              <w:pStyle w:val="CSBody0"/>
            </w:pPr>
            <w:r w:rsidRPr="00F94B27">
              <w:rPr>
                <w:b/>
              </w:rPr>
              <w:t>[</w:t>
            </w:r>
            <w:r w:rsidRPr="007F4413">
              <w:rPr>
                <w:b/>
                <w:i/>
              </w:rPr>
              <w:t>in case of Complex Products without COSI feature:</w:t>
            </w:r>
            <w:r w:rsidRPr="007F4413">
              <w:rPr>
                <w:b/>
              </w:rPr>
              <w:t xml:space="preserve"> Complex Products without a COSI feature are unsecured obligations.</w:t>
            </w:r>
            <w:r w:rsidRPr="001403C8">
              <w:t xml:space="preserve"> Complex Products without a COSI feature are direct, unconditional, unsecured and unsubordinated obligations of Credit Suisse and are not covered by any compensation or insurance scheme (such as a bank deposit protection scheme). If Credit Suisse were to become insolvent, claims of investors in Complex Products without a COSI feature would rank equally in right of payment with all other unsecured and unsubordinated obligations of Credit Suisse, except such obligations given priority by law. In such a case, investors in Complex Products without a COSI feature may suffer a loss of all or a portion of their investment therein, irrespective of any favourable development of the other value determining factors, such as, in the case of Credit-Linked Complex Products without a COSI feature, the performance of the Reference Entity/Entities.</w:t>
            </w:r>
            <w:r w:rsidRPr="00F94B27">
              <w:rPr>
                <w:b/>
              </w:rPr>
              <w:t>]</w:t>
            </w:r>
          </w:p>
        </w:tc>
        <w:tc>
          <w:tcPr>
            <w:tcW w:w="2516" w:type="pct"/>
            <w:tcBorders>
              <w:top w:val="nil"/>
              <w:left w:val="single" w:sz="4" w:space="0" w:color="auto"/>
              <w:bottom w:val="nil"/>
              <w:right w:val="nil"/>
            </w:tcBorders>
          </w:tcPr>
          <w:p w:rsidR="007F4413" w:rsidRPr="007F4413" w:rsidP="007F4413">
            <w:pPr>
              <w:pStyle w:val="CSBody0"/>
              <w:rPr>
                <w:lang w:val="de-DE"/>
              </w:rPr>
            </w:pPr>
            <w:r w:rsidRPr="00F94B27">
              <w:rPr>
                <w:b/>
                <w:lang w:val="de-DE"/>
              </w:rPr>
              <w:t>[</w:t>
            </w:r>
            <w:r w:rsidRPr="007F4413">
              <w:rPr>
                <w:b/>
                <w:i/>
                <w:lang w:val="de-DE"/>
              </w:rPr>
              <w:t>bei Komplexen Produkten ohne COSI Merkmal:</w:t>
            </w:r>
            <w:r w:rsidRPr="007F4413">
              <w:rPr>
                <w:b/>
                <w:lang w:val="de-DE"/>
              </w:rPr>
              <w:t xml:space="preserve"> Die Komplexen Produkte ohne COSI Merkmal sind unbesicherte Verbindlichkeiten.</w:t>
            </w:r>
            <w:r w:rsidRPr="007F4413">
              <w:rPr>
                <w:lang w:val="de-DE"/>
              </w:rPr>
              <w:t xml:space="preserve"> Bei den Komplexen Produkten ohne COSI Merkmal handelt es sich um direkte, unbedingte, nicht besicherte und nicht nachrangige Verbindlichkeiten der Credit Suisse, die nicht durch ein Schadenausgleichs- oder Versicherungssystem (wie beispielsweise ein Einlagensicherungssystem) geschützt sind. Im Fall einer Insolvenz der Credit Suisse wären die Forderungen der Anleger in Komplexe Produkte ohne COSI Merkmal im Hinblick auf das Recht auf Zahlung gleichrangig mit allen anderen nicht besicherten und nicht nachrangigen Verbindlichkeiten der Credit Suisse, mit Ausnahme solcher Verbindlichkeiten, die über einen gesetzlichen Vorrang verfügen. In einem solchen Fall könnten Anleger in Komplexe Produkte ohne COSI Merkmal das angelegte Kapital ganz oder teilweise verlieren, selbst wenn sich die übrigen wertbestimmenden Parameter, wie beispielsweise im Falle von Kreditbezogenen Komplexen Produkten ohne COSI Merkmal, die Wertentwicklung des Referenzschuldners bzw. der Referenzschuldner, günstig entwickeln.</w:t>
            </w:r>
            <w:r w:rsidRP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487521" w:rsidP="00BC3F47">
            <w:pPr>
              <w:pStyle w:val="CSBody0"/>
            </w:pPr>
            <w:r w:rsidRPr="00BC3F47">
              <w:rPr>
                <w:b/>
              </w:rPr>
              <w:t>Broad Discretionary Authority of the Calculation Agent.</w:t>
            </w:r>
            <w:r w:rsidRPr="00487521">
              <w:t xml:space="preserve"> The Calculation Agent has broad discretionary authority to make various determinations and adjustments under Complex Products, any of which may have an adverse effect on the market value thereof or amounts payable or other benefits to be received thereunder. Any such discretion exercised by, or any calculation made by, the Calculation Agent (in the absence of manifest error) shall be binding on Credit Suisse and all Holders of the Complex Products.</w:t>
            </w:r>
          </w:p>
        </w:tc>
        <w:tc>
          <w:tcPr>
            <w:tcW w:w="2516" w:type="pct"/>
            <w:tcBorders>
              <w:top w:val="nil"/>
              <w:left w:val="single" w:sz="4" w:space="0" w:color="auto"/>
              <w:bottom w:val="nil"/>
              <w:right w:val="nil"/>
            </w:tcBorders>
          </w:tcPr>
          <w:p w:rsidR="00BC3F47" w:rsidRPr="00BC3F47" w:rsidP="00BC3F47">
            <w:pPr>
              <w:pStyle w:val="CSBody0"/>
              <w:rPr>
                <w:lang w:val="de-DE"/>
              </w:rPr>
            </w:pPr>
            <w:r w:rsidRPr="00BC3F47">
              <w:rPr>
                <w:b/>
                <w:lang w:val="de-DE"/>
              </w:rPr>
              <w:t>Weitreichende Ermessensbefugnisse der Berechnungsstelle.</w:t>
            </w:r>
            <w:r w:rsidRPr="00BC3F47">
              <w:rPr>
                <w:lang w:val="de-DE"/>
              </w:rPr>
              <w:t xml:space="preserve"> Die Berechnungsstelle hat in Bezug auf verschiedene Festlegungen und Anpassungen im Rahmen der Komplexen Produkte weitreichende Ermessensbefugnisse, die sich nachteilig auf den Marktwert der Komplexen Produkte oder die darauf zahlbaren Beträge oder sonstige darauf zu erbringende Leistungen auswirken können. Solche Ermessensentscheidungen der Berechnungsstelle sind ebenso wie von ihr vorgenommene Berechnungen (ausser im Fall eines offensichtlichen Irrtums) für die Emittentin und alle Inhaber der betreffenden Komplexen Produkte bindend.</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487521" w:rsidP="00BC3F47">
            <w:pPr>
              <w:pStyle w:val="CSbody0bold"/>
            </w:pPr>
            <w:r w:rsidRPr="00487521">
              <w:t>Section E — Offer</w:t>
            </w:r>
          </w:p>
        </w:tc>
        <w:tc>
          <w:tcPr>
            <w:tcW w:w="2516" w:type="pct"/>
            <w:tcBorders>
              <w:top w:val="nil"/>
              <w:left w:val="single" w:sz="4" w:space="0" w:color="auto"/>
              <w:bottom w:val="nil"/>
              <w:right w:val="nil"/>
            </w:tcBorders>
          </w:tcPr>
          <w:p w:rsidR="00BC3F47" w:rsidRPr="00487521" w:rsidP="00BC3F47">
            <w:pPr>
              <w:pStyle w:val="CSbody0bold"/>
            </w:pPr>
            <w:r w:rsidRPr="00487521">
              <w:t>Abschnitt E — Angebot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960E67" w:rsidP="00BC3F47">
            <w:pPr>
              <w:pStyle w:val="CSbody0bold"/>
              <w:rPr>
                <w:lang w:val="en-GB"/>
              </w:rPr>
            </w:pPr>
            <w:r w:rsidRPr="00960E67">
              <w:rPr>
                <w:lang w:val="en-GB"/>
              </w:rPr>
              <w:t>E.2b: Use of proceeds</w:t>
            </w:r>
          </w:p>
        </w:tc>
        <w:tc>
          <w:tcPr>
            <w:tcW w:w="2516" w:type="pct"/>
            <w:tcBorders>
              <w:top w:val="nil"/>
              <w:left w:val="single" w:sz="4" w:space="0" w:color="auto"/>
              <w:bottom w:val="nil"/>
              <w:right w:val="nil"/>
            </w:tcBorders>
          </w:tcPr>
          <w:p w:rsidR="00BC3F47" w:rsidRPr="00BC3F47" w:rsidP="00BC3F47">
            <w:pPr>
              <w:pStyle w:val="CSbody0bold"/>
            </w:pPr>
            <w:r w:rsidRPr="00BC3F47">
              <w:t>E.2b: Gründe für das Angebot und Zweckbestimmung der Erlöse</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487521" w:rsidP="00BC3F47">
            <w:pPr>
              <w:pStyle w:val="CSBody0"/>
            </w:pPr>
            <w:r w:rsidRPr="00F94B27">
              <w:rPr>
                <w:b/>
              </w:rPr>
              <w:t>[</w:t>
            </w:r>
            <w:r w:rsidRPr="00487521">
              <w:t>The net proceeds from each issue of Complex Products will be applied by the Issuer for its general corporate purposes, which include making a profit.</w:t>
            </w:r>
            <w:r w:rsidRPr="00F94B27">
              <w:rPr>
                <w:b/>
              </w:rPr>
              <w:t>][</w:t>
            </w:r>
            <w:r w:rsidRPr="00487521">
              <w:t xml:space="preserve"> The net proceeds from Complex Products issued by Credit Suisse, acting through its </w:t>
            </w:r>
            <w:r w:rsidRPr="00F94B27">
              <w:rPr>
                <w:b/>
              </w:rPr>
              <w:t>[</w:t>
            </w:r>
            <w:r w:rsidR="003857E8">
              <w:rPr>
                <w:rFonts w:ascii="Arial" w:hAnsi="Arial" w:cs="Arial"/>
              </w:rPr>
              <w:t>●</w:t>
            </w:r>
            <w:r w:rsidRPr="00F94B27">
              <w:rPr>
                <w:b/>
              </w:rPr>
              <w:t>]</w:t>
            </w:r>
            <w:r w:rsidRPr="00487521">
              <w:t xml:space="preserve"> Branch, will be received and applied outside Switzerland, unless use in Switzerland is permitted under the Swiss taxation laws in force from time to time without payments in respect of the Complex Products becoming subject to withholding or deduction for Swiss withholding tax as a consequence of such use of proceeds in Switzerland.</w:t>
            </w:r>
            <w:r w:rsidRPr="00F94B27">
              <w:rPr>
                <w:b/>
              </w:rPr>
              <w:t>][</w:t>
            </w:r>
            <w:r w:rsidR="003857E8">
              <w:rPr>
                <w:rFonts w:ascii="Arial" w:hAnsi="Arial" w:cs="Arial"/>
              </w:rPr>
              <w:t>●</w:t>
            </w:r>
            <w:r w:rsidRPr="00F94B27">
              <w:rPr>
                <w:b/>
              </w:rPr>
              <w:t>]</w:t>
            </w:r>
          </w:p>
        </w:tc>
        <w:tc>
          <w:tcPr>
            <w:tcW w:w="2516" w:type="pct"/>
            <w:tcBorders>
              <w:top w:val="nil"/>
              <w:left w:val="single" w:sz="4" w:space="0" w:color="auto"/>
              <w:bottom w:val="nil"/>
              <w:right w:val="nil"/>
            </w:tcBorders>
          </w:tcPr>
          <w:p w:rsidR="00BC3F47" w:rsidRPr="00BC3F47" w:rsidP="00BC3F47">
            <w:pPr>
              <w:pStyle w:val="CSBody0"/>
              <w:rPr>
                <w:lang w:val="de-DE"/>
              </w:rPr>
            </w:pPr>
            <w:r w:rsidRPr="00F94B27">
              <w:rPr>
                <w:b/>
                <w:lang w:val="de-DE"/>
              </w:rPr>
              <w:t>[</w:t>
            </w:r>
            <w:r w:rsidRPr="00BC3F47">
              <w:rPr>
                <w:lang w:val="de-DE"/>
              </w:rPr>
              <w:t>Der mit jeder Emission von Komplexen Produkten erzielte Nettoerlös wird von der Emittentin für allgemeine Unternehmenszwecke verwendet, zu denen auch die Erzielung von Gewinnen gehört.</w:t>
            </w:r>
            <w:r w:rsidRPr="00F94B27">
              <w:rPr>
                <w:b/>
                <w:lang w:val="de-DE"/>
              </w:rPr>
              <w:t>][</w:t>
            </w:r>
            <w:r w:rsidRPr="00BC3F47">
              <w:rPr>
                <w:lang w:val="de-DE"/>
              </w:rPr>
              <w:t xml:space="preserve">Der mit der Begebung von Komplexen Produkten durch die Credit Suisse, handelnd durch die Niderlassung </w:t>
            </w:r>
            <w:r w:rsidRPr="00F94B27">
              <w:rPr>
                <w:b/>
                <w:lang w:val="de-DE"/>
              </w:rPr>
              <w:t>[</w:t>
            </w:r>
            <w:r w:rsidRPr="000F4148" w:rsidR="003857E8">
              <w:rPr>
                <w:rFonts w:ascii="Arial" w:hAnsi="Arial" w:cs="Arial"/>
                <w:lang w:val="de-DE"/>
              </w:rPr>
              <w:t>●</w:t>
            </w:r>
            <w:r w:rsidRPr="00F94B27">
              <w:rPr>
                <w:b/>
                <w:lang w:val="de-DE"/>
              </w:rPr>
              <w:t>]</w:t>
            </w:r>
            <w:r w:rsidRPr="00BC3F47">
              <w:rPr>
                <w:lang w:val="de-DE"/>
              </w:rPr>
              <w:t>, erzielte Nettoerlös wird ausserhalb der Schweiz erhalten und wird für Zwecke ausserhalb der Schweiz verwendet, es sei denn, die Verwendung ist nach dem jeweils geltenden Schweizer Steuerrecht erlaubt, ohne dass Zahlungen in Bezug auf die Komplexen Produkte als Konsequenz aus dieser Erlösverwendung in der Schweiz einem Einbehalt oder Abzug nach Schweizer Verrechnungssteuer unterliegen würden.</w:t>
            </w:r>
            <w:r w:rsidRPr="00F94B27">
              <w:rPr>
                <w:b/>
                <w:lang w:val="de-DE"/>
              </w:rPr>
              <w:t>][</w:t>
            </w:r>
            <w:r w:rsidRPr="000F4148" w:rsidR="003857E8">
              <w:rPr>
                <w:rFonts w:ascii="Arial" w:hAnsi="Arial" w:cs="Arial"/>
                <w:lang w:val="de-DE"/>
              </w:rPr>
              <w:t>●</w:t>
            </w:r>
            <w:r w:rsidRP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960E67" w:rsidP="00DE4711">
            <w:pPr>
              <w:pStyle w:val="CSbody0bold"/>
              <w:rPr>
                <w:lang w:val="en-GB"/>
              </w:rPr>
            </w:pPr>
            <w:r w:rsidRPr="00960E67">
              <w:rPr>
                <w:lang w:val="en-GB"/>
              </w:rPr>
              <w:t>E.3: Terms and conditions of the offer</w:t>
            </w:r>
          </w:p>
        </w:tc>
        <w:tc>
          <w:tcPr>
            <w:tcW w:w="2516" w:type="pct"/>
            <w:tcBorders>
              <w:top w:val="nil"/>
              <w:left w:val="single" w:sz="4" w:space="0" w:color="auto"/>
              <w:bottom w:val="nil"/>
              <w:right w:val="nil"/>
            </w:tcBorders>
          </w:tcPr>
          <w:p w:rsidR="00BC3F47" w:rsidRPr="007C6F31" w:rsidP="00DE4711">
            <w:pPr>
              <w:pStyle w:val="CSbody0bold"/>
            </w:pPr>
            <w:r w:rsidRPr="007C6F31">
              <w:t>E.3: Beschreibung der Angebotskonditionen</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7C6F31" w:rsidP="00DE4711">
            <w:pPr>
              <w:pStyle w:val="CSBody0"/>
            </w:pPr>
            <w:r w:rsidRPr="007C6F31">
              <w:t xml:space="preserve">Issue Size </w:t>
            </w:r>
            <w:r w:rsidRPr="00F94B27" w:rsidR="00F94B27">
              <w:rPr>
                <w:b/>
              </w:rPr>
              <w:t>[</w:t>
            </w:r>
            <w:r w:rsidRPr="007C6F31">
              <w:t>/ Offer Size</w:t>
            </w:r>
            <w:r w:rsidRPr="00F94B27" w:rsidR="00F94B27">
              <w:rPr>
                <w:b/>
              </w:rPr>
              <w:t>]</w:t>
            </w:r>
            <w:r w:rsidRPr="007C6F31">
              <w:t xml:space="preserve">: </w:t>
            </w:r>
            <w:r w:rsidRPr="00F94B27" w:rsidR="00F94B27">
              <w:rPr>
                <w:b/>
              </w:rPr>
              <w:t>[</w:t>
            </w:r>
            <w:r w:rsidR="003857E8">
              <w:rPr>
                <w:rFonts w:ascii="Arial" w:hAnsi="Arial" w:cs="Arial"/>
              </w:rPr>
              <w:t>●</w:t>
            </w:r>
            <w:r w:rsidRPr="00F94B27" w:rsidR="00F94B27">
              <w:rPr>
                <w:b/>
              </w:rPr>
              <w:t>]</w:t>
            </w:r>
          </w:p>
        </w:tc>
        <w:tc>
          <w:tcPr>
            <w:tcW w:w="2516" w:type="pct"/>
            <w:tcBorders>
              <w:top w:val="nil"/>
              <w:left w:val="single" w:sz="4" w:space="0" w:color="auto"/>
              <w:bottom w:val="nil"/>
              <w:right w:val="nil"/>
            </w:tcBorders>
          </w:tcPr>
          <w:p w:rsidR="00BC3F47" w:rsidRPr="007C6F31" w:rsidP="00DE4711">
            <w:pPr>
              <w:pStyle w:val="CSBody0"/>
            </w:pPr>
            <w:r w:rsidRPr="007C6F31">
              <w:t xml:space="preserve">Emissionsvolumen </w:t>
            </w:r>
            <w:r w:rsidRPr="00F94B27" w:rsidR="00F94B27">
              <w:rPr>
                <w:b/>
              </w:rPr>
              <w:t>[</w:t>
            </w:r>
            <w:r w:rsidRPr="007C6F31">
              <w:t>/ Angebotsvolumen</w:t>
            </w:r>
            <w:r w:rsidRPr="00F94B27" w:rsidR="00F94B27">
              <w:rPr>
                <w:b/>
              </w:rPr>
              <w:t>]</w:t>
            </w:r>
            <w:r w:rsidRPr="007C6F31">
              <w:t xml:space="preserve">: </w:t>
            </w:r>
            <w:r w:rsidRPr="00F94B27" w:rsidR="00F94B27">
              <w:rPr>
                <w:b/>
              </w:rPr>
              <w:t>[</w:t>
            </w:r>
            <w:r w:rsidR="003857E8">
              <w:rPr>
                <w:rFonts w:ascii="Arial" w:hAnsi="Arial" w:cs="Arial"/>
              </w:rPr>
              <w:t>●</w:t>
            </w:r>
            <w:r w:rsidRPr="00F94B27" w:rsidR="00F94B27">
              <w:rPr>
                <w:b/>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7C6F31" w:rsidP="00DE4711">
            <w:pPr>
              <w:pStyle w:val="CSBody0"/>
            </w:pPr>
            <w:r w:rsidRPr="007C6F31">
              <w:t xml:space="preserve">Denomination: </w:t>
            </w:r>
            <w:r w:rsidRPr="00F94B27" w:rsidR="00F94B27">
              <w:rPr>
                <w:b/>
              </w:rPr>
              <w:t>[</w:t>
            </w:r>
            <w:r w:rsidR="003857E8">
              <w:rPr>
                <w:rFonts w:ascii="Arial" w:hAnsi="Arial" w:cs="Arial"/>
              </w:rPr>
              <w:t>●</w:t>
            </w:r>
            <w:r w:rsidRPr="00F94B27" w:rsidR="00F94B27">
              <w:rPr>
                <w:b/>
              </w:rPr>
              <w:t>]</w:t>
            </w:r>
          </w:p>
        </w:tc>
        <w:tc>
          <w:tcPr>
            <w:tcW w:w="2516" w:type="pct"/>
            <w:tcBorders>
              <w:top w:val="nil"/>
              <w:left w:val="single" w:sz="4" w:space="0" w:color="auto"/>
              <w:bottom w:val="nil"/>
              <w:right w:val="nil"/>
            </w:tcBorders>
          </w:tcPr>
          <w:p w:rsidR="00BC3F47" w:rsidRPr="007C6F31" w:rsidP="00DE4711">
            <w:pPr>
              <w:pStyle w:val="CSBody0"/>
            </w:pPr>
            <w:r w:rsidRPr="007C6F31">
              <w:t xml:space="preserve">Stückelung: </w:t>
            </w:r>
            <w:r w:rsidRPr="00F94B27" w:rsidR="00F94B27">
              <w:rPr>
                <w:b/>
              </w:rPr>
              <w:t>[</w:t>
            </w:r>
            <w:r w:rsidR="003857E8">
              <w:rPr>
                <w:rFonts w:ascii="Arial" w:hAnsi="Arial" w:cs="Arial"/>
              </w:rPr>
              <w:t>●</w:t>
            </w:r>
            <w:r w:rsidRPr="00F94B27" w:rsidR="00F94B27">
              <w:rPr>
                <w:b/>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7C6F31" w:rsidP="00DE4711">
            <w:pPr>
              <w:pStyle w:val="CSBody0"/>
            </w:pPr>
            <w:r w:rsidRPr="007C6F31">
              <w:t xml:space="preserve">Issue Price </w:t>
            </w:r>
            <w:r w:rsidRPr="00F94B27" w:rsidR="00F94B27">
              <w:rPr>
                <w:b/>
              </w:rPr>
              <w:t>[</w:t>
            </w:r>
            <w:r w:rsidRPr="007C6F31">
              <w:t>/ Offer Price</w:t>
            </w:r>
            <w:r w:rsidRPr="00F94B27" w:rsidR="00F94B27">
              <w:rPr>
                <w:b/>
              </w:rPr>
              <w:t>]</w:t>
            </w:r>
            <w:r w:rsidRPr="007C6F31">
              <w:t xml:space="preserve">: </w:t>
            </w:r>
            <w:r w:rsidRPr="00F94B27" w:rsidR="00F94B27">
              <w:rPr>
                <w:b/>
              </w:rPr>
              <w:t>[</w:t>
            </w:r>
            <w:r w:rsidR="003857E8">
              <w:rPr>
                <w:rFonts w:ascii="Arial" w:hAnsi="Arial" w:cs="Arial"/>
              </w:rPr>
              <w:t>●</w:t>
            </w:r>
            <w:r w:rsidRPr="00F94B27" w:rsidR="00F94B27">
              <w:rPr>
                <w:b/>
              </w:rPr>
              <w:t>]</w:t>
            </w:r>
          </w:p>
        </w:tc>
        <w:tc>
          <w:tcPr>
            <w:tcW w:w="2516" w:type="pct"/>
            <w:tcBorders>
              <w:top w:val="nil"/>
              <w:left w:val="single" w:sz="4" w:space="0" w:color="auto"/>
              <w:bottom w:val="nil"/>
              <w:right w:val="nil"/>
            </w:tcBorders>
          </w:tcPr>
          <w:p w:rsidR="00BC3F47" w:rsidRPr="007C6F31" w:rsidP="00DE4711">
            <w:pPr>
              <w:pStyle w:val="CSBody0"/>
            </w:pPr>
            <w:r w:rsidRPr="007C6F31">
              <w:t xml:space="preserve">Emissionspreis </w:t>
            </w:r>
            <w:r w:rsidRPr="00F94B27" w:rsidR="00F94B27">
              <w:rPr>
                <w:b/>
              </w:rPr>
              <w:t>[</w:t>
            </w:r>
            <w:r w:rsidRPr="007C6F31">
              <w:t>/ Angebotspreis</w:t>
            </w:r>
            <w:r w:rsidRPr="00F94B27" w:rsidR="00F94B27">
              <w:rPr>
                <w:b/>
              </w:rPr>
              <w:t>]</w:t>
            </w:r>
            <w:r w:rsidRPr="007C6F31">
              <w:t xml:space="preserve">: </w:t>
            </w:r>
            <w:r w:rsidRPr="00F94B27" w:rsidR="00F94B27">
              <w:rPr>
                <w:b/>
              </w:rPr>
              <w:t>[</w:t>
            </w:r>
            <w:r w:rsidR="003857E8">
              <w:rPr>
                <w:rFonts w:ascii="Arial" w:hAnsi="Arial" w:cs="Arial"/>
              </w:rPr>
              <w:t>●</w:t>
            </w:r>
            <w:r w:rsidRPr="00F94B27" w:rsidR="00F94B27">
              <w:rPr>
                <w:b/>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7C6F31" w:rsidP="00DE4711">
            <w:pPr>
              <w:pStyle w:val="CSBody0"/>
            </w:pPr>
            <w:r w:rsidRPr="007C6F31">
              <w:t xml:space="preserve">Subscription Period: </w:t>
            </w:r>
            <w:r w:rsidRPr="00F94B27" w:rsidR="00F94B27">
              <w:rPr>
                <w:b/>
              </w:rPr>
              <w:t>[</w:t>
            </w:r>
            <w:r w:rsidR="003857E8">
              <w:rPr>
                <w:rFonts w:ascii="Arial" w:hAnsi="Arial" w:cs="Arial"/>
              </w:rPr>
              <w:t>●</w:t>
            </w:r>
            <w:r w:rsidRPr="00F94B27" w:rsidR="00F94B27">
              <w:rPr>
                <w:b/>
              </w:rPr>
              <w:t>]</w:t>
            </w:r>
          </w:p>
        </w:tc>
        <w:tc>
          <w:tcPr>
            <w:tcW w:w="2516" w:type="pct"/>
            <w:tcBorders>
              <w:top w:val="nil"/>
              <w:left w:val="single" w:sz="4" w:space="0" w:color="auto"/>
              <w:bottom w:val="nil"/>
              <w:right w:val="nil"/>
            </w:tcBorders>
          </w:tcPr>
          <w:p w:rsidR="00BC3F47" w:rsidRPr="007C6F31" w:rsidP="00DE4711">
            <w:pPr>
              <w:pStyle w:val="CSBody0"/>
            </w:pPr>
            <w:r w:rsidRPr="007C6F31">
              <w:t xml:space="preserve">Zeichnungsfrist: </w:t>
            </w:r>
            <w:r w:rsidRPr="00F94B27" w:rsidR="00F94B27">
              <w:rPr>
                <w:b/>
              </w:rPr>
              <w:t>[</w:t>
            </w:r>
            <w:r w:rsidR="003857E8">
              <w:rPr>
                <w:rFonts w:ascii="Arial" w:hAnsi="Arial" w:cs="Arial"/>
              </w:rPr>
              <w:t>●</w:t>
            </w:r>
            <w:r w:rsidRPr="00F94B27" w:rsidR="00F94B27">
              <w:rPr>
                <w:b/>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7C6F31" w:rsidP="00DE4711">
            <w:pPr>
              <w:pStyle w:val="CSBody0"/>
            </w:pPr>
            <w:r w:rsidRPr="007C6F31">
              <w:t xml:space="preserve">Issue Date / Payment Date: </w:t>
            </w:r>
            <w:r w:rsidRPr="00F94B27" w:rsidR="00F94B27">
              <w:rPr>
                <w:b/>
              </w:rPr>
              <w:t>[</w:t>
            </w:r>
            <w:r w:rsidR="003857E8">
              <w:rPr>
                <w:rFonts w:ascii="Arial" w:hAnsi="Arial" w:cs="Arial"/>
              </w:rPr>
              <w:t>●</w:t>
            </w:r>
            <w:r w:rsidRPr="00F94B27" w:rsidR="00F94B27">
              <w:rPr>
                <w:b/>
              </w:rPr>
              <w:t>]</w:t>
            </w:r>
          </w:p>
        </w:tc>
        <w:tc>
          <w:tcPr>
            <w:tcW w:w="2516" w:type="pct"/>
            <w:tcBorders>
              <w:top w:val="nil"/>
              <w:left w:val="single" w:sz="4" w:space="0" w:color="auto"/>
              <w:bottom w:val="nil"/>
              <w:right w:val="nil"/>
            </w:tcBorders>
          </w:tcPr>
          <w:p w:rsidR="00BC3F47" w:rsidRPr="007C6F31" w:rsidP="00DE4711">
            <w:pPr>
              <w:pStyle w:val="CSBody0"/>
            </w:pPr>
            <w:r w:rsidRPr="007C6F31">
              <w:t xml:space="preserve">Emissionstag/ Zahlungstag: </w:t>
            </w:r>
            <w:r w:rsidRPr="00F94B27" w:rsidR="00F94B27">
              <w:rPr>
                <w:b/>
              </w:rPr>
              <w:t>[</w:t>
            </w:r>
            <w:r w:rsidR="003857E8">
              <w:rPr>
                <w:rFonts w:ascii="Arial" w:hAnsi="Arial" w:cs="Arial"/>
              </w:rPr>
              <w:t>●</w:t>
            </w:r>
            <w:r w:rsidRPr="00F94B27" w:rsidR="00F94B27">
              <w:rPr>
                <w:b/>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7C6F31" w:rsidP="00DE4711">
            <w:pPr>
              <w:pStyle w:val="CSBody0"/>
            </w:pPr>
            <w:r w:rsidRPr="00F94B27">
              <w:rPr>
                <w:b/>
              </w:rPr>
              <w:t>[</w:t>
            </w:r>
            <w:r w:rsidRPr="007C6F31">
              <w:t xml:space="preserve">Trade Date: </w:t>
            </w:r>
            <w:r w:rsidRPr="00F94B27">
              <w:rPr>
                <w:b/>
              </w:rPr>
              <w:t>[</w:t>
            </w:r>
            <w:r w:rsidR="003857E8">
              <w:rPr>
                <w:rFonts w:ascii="Arial" w:hAnsi="Arial" w:cs="Arial"/>
              </w:rPr>
              <w:t>●</w:t>
            </w:r>
            <w:r w:rsidRPr="00F94B27">
              <w:rPr>
                <w:b/>
              </w:rPr>
              <w:t>]]</w:t>
            </w:r>
          </w:p>
        </w:tc>
        <w:tc>
          <w:tcPr>
            <w:tcW w:w="2516" w:type="pct"/>
            <w:tcBorders>
              <w:top w:val="nil"/>
              <w:left w:val="single" w:sz="4" w:space="0" w:color="auto"/>
              <w:bottom w:val="nil"/>
              <w:right w:val="nil"/>
            </w:tcBorders>
          </w:tcPr>
          <w:p w:rsidR="00BC3F47" w:rsidRPr="007C6F31" w:rsidP="00DE4711">
            <w:pPr>
              <w:pStyle w:val="CSBody0"/>
            </w:pPr>
            <w:r w:rsidRPr="00F94B27">
              <w:rPr>
                <w:b/>
              </w:rPr>
              <w:t>[</w:t>
            </w:r>
            <w:r w:rsidRPr="007C6F31">
              <w:t xml:space="preserve">Abschlusstag: </w:t>
            </w:r>
            <w:r w:rsidRPr="00F94B27">
              <w:rPr>
                <w:b/>
              </w:rPr>
              <w:t>[</w:t>
            </w:r>
            <w:r w:rsidR="003857E8">
              <w:rPr>
                <w:rFonts w:ascii="Arial" w:hAnsi="Arial" w:cs="Arial"/>
              </w:rPr>
              <w:t>●</w:t>
            </w:r>
            <w:r w:rsidRPr="00F94B27">
              <w:rPr>
                <w:b/>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BC3F47" w:rsidRPr="007C6F31" w:rsidP="00DE4711">
            <w:pPr>
              <w:pStyle w:val="CSBody0"/>
            </w:pPr>
            <w:r w:rsidRPr="007C6F31">
              <w:t xml:space="preserve">Last Trading Date: </w:t>
            </w:r>
            <w:r w:rsidRPr="00F94B27" w:rsidR="00F94B27">
              <w:rPr>
                <w:b/>
              </w:rPr>
              <w:t>[</w:t>
            </w:r>
            <w:r w:rsidR="003857E8">
              <w:rPr>
                <w:rFonts w:ascii="Arial" w:hAnsi="Arial" w:cs="Arial"/>
              </w:rPr>
              <w:t>●</w:t>
            </w:r>
            <w:r w:rsidRPr="00F94B27" w:rsidR="00F94B27">
              <w:rPr>
                <w:b/>
              </w:rPr>
              <w:t>]</w:t>
            </w:r>
          </w:p>
        </w:tc>
        <w:tc>
          <w:tcPr>
            <w:tcW w:w="2516" w:type="pct"/>
            <w:tcBorders>
              <w:top w:val="nil"/>
              <w:left w:val="single" w:sz="4" w:space="0" w:color="auto"/>
              <w:bottom w:val="nil"/>
              <w:right w:val="nil"/>
            </w:tcBorders>
          </w:tcPr>
          <w:p w:rsidR="00BC3F47" w:rsidP="00DE4711">
            <w:pPr>
              <w:pStyle w:val="CSBody0"/>
            </w:pPr>
            <w:r w:rsidRPr="007C6F31">
              <w:t xml:space="preserve">Letzter Handelstag: </w:t>
            </w:r>
            <w:r w:rsidRPr="00F94B27" w:rsidR="00F94B27">
              <w:rPr>
                <w:b/>
              </w:rPr>
              <w:t>[</w:t>
            </w:r>
            <w:r w:rsidR="003857E8">
              <w:rPr>
                <w:rFonts w:ascii="Arial" w:hAnsi="Arial" w:cs="Arial"/>
              </w:rPr>
              <w:t>●</w:t>
            </w:r>
            <w:r w:rsidRPr="00F94B27" w:rsidR="00F94B27">
              <w:rPr>
                <w:b/>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960E67" w:rsidP="00DE4711">
            <w:pPr>
              <w:pStyle w:val="CSbody0bolditalic"/>
              <w:rPr>
                <w:lang w:val="en-GB"/>
              </w:rPr>
            </w:pPr>
            <w:r w:rsidRPr="00F94B27">
              <w:rPr>
                <w:lang w:val="en-GB"/>
              </w:rPr>
              <w:t>[</w:t>
            </w:r>
            <w:r w:rsidRPr="00960E67">
              <w:rPr>
                <w:lang w:val="en-GB"/>
              </w:rPr>
              <w:t xml:space="preserve">insert additional terms of the offer: </w:t>
            </w:r>
            <w:r w:rsidRPr="00F94B27">
              <w:rPr>
                <w:lang w:val="en-GB"/>
              </w:rPr>
              <w:t>[</w:t>
            </w:r>
            <w:r w:rsidRPr="000F4148" w:rsidR="003857E8">
              <w:rPr>
                <w:rFonts w:ascii="Arial" w:hAnsi="Arial" w:cs="Arial"/>
                <w:lang w:val="en-GB"/>
              </w:rPr>
              <w:t>●</w:t>
            </w:r>
            <w:r w:rsidRPr="00F94B27">
              <w:rPr>
                <w:lang w:val="en-GB"/>
              </w:rPr>
              <w:t>]]</w:t>
            </w:r>
          </w:p>
        </w:tc>
        <w:tc>
          <w:tcPr>
            <w:tcW w:w="2516" w:type="pct"/>
            <w:tcBorders>
              <w:top w:val="nil"/>
              <w:left w:val="single" w:sz="4" w:space="0" w:color="auto"/>
              <w:bottom w:val="nil"/>
              <w:right w:val="nil"/>
            </w:tcBorders>
          </w:tcPr>
          <w:p w:rsidR="00DE4711" w:rsidRPr="00151A11" w:rsidP="00DE4711">
            <w:pPr>
              <w:pStyle w:val="CSbody0bolditalic"/>
            </w:pPr>
            <w:r w:rsidRPr="00F94B27">
              <w:t>[</w:t>
            </w:r>
            <w:r w:rsidRPr="00151A11">
              <w:t xml:space="preserve">zusätzliche Angebotsbedingungen aufnehmen: </w:t>
            </w:r>
            <w:r w:rsidRPr="00F94B27">
              <w:t>[</w:t>
            </w:r>
            <w:r w:rsidR="003857E8">
              <w:rPr>
                <w:rFonts w:ascii="Arial" w:hAnsi="Arial" w:cs="Arial"/>
              </w:rPr>
              <w:t>●</w:t>
            </w:r>
            <w:r w:rsidRPr="00F94B27">
              <w:t>]]</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960E67" w:rsidP="00DE4711">
            <w:pPr>
              <w:pStyle w:val="CSbody0bold"/>
              <w:rPr>
                <w:lang w:val="en-GB"/>
              </w:rPr>
            </w:pPr>
            <w:r w:rsidRPr="00960E67">
              <w:rPr>
                <w:lang w:val="en-GB"/>
              </w:rPr>
              <w:t>E.4: A description of any interest that is material to the issue/offer including conflicting interests</w:t>
            </w:r>
          </w:p>
        </w:tc>
        <w:tc>
          <w:tcPr>
            <w:tcW w:w="2516" w:type="pct"/>
            <w:tcBorders>
              <w:top w:val="nil"/>
              <w:left w:val="single" w:sz="4" w:space="0" w:color="auto"/>
              <w:bottom w:val="nil"/>
              <w:right w:val="nil"/>
            </w:tcBorders>
          </w:tcPr>
          <w:p w:rsidR="00DE4711" w:rsidRPr="00DE4711" w:rsidP="00DE4711">
            <w:pPr>
              <w:pStyle w:val="CSbody0bold"/>
            </w:pPr>
            <w:r w:rsidRPr="00DE4711">
              <w:t>E.4: Beschreibung aller Interessen, die für die Emission/das Angebot von wesentlicher Bedeutung sind, einschliesslich Interessenskonflikte</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151A11" w:rsidP="00DE4711">
            <w:pPr>
              <w:pStyle w:val="CSbody0bold"/>
            </w:pPr>
            <w:r w:rsidRPr="00F94B27">
              <w:t>[</w:t>
            </w:r>
            <w:r w:rsidRPr="00151A11">
              <w:t>Potential conflicts of interest</w:t>
            </w:r>
          </w:p>
        </w:tc>
        <w:tc>
          <w:tcPr>
            <w:tcW w:w="2516" w:type="pct"/>
            <w:tcBorders>
              <w:top w:val="nil"/>
              <w:left w:val="single" w:sz="4" w:space="0" w:color="auto"/>
              <w:bottom w:val="nil"/>
              <w:right w:val="nil"/>
            </w:tcBorders>
          </w:tcPr>
          <w:p w:rsidR="00DE4711" w:rsidP="00DE4711">
            <w:pPr>
              <w:pStyle w:val="CSbody0bold"/>
            </w:pPr>
            <w:r w:rsidRPr="00F94B27">
              <w:t>[</w:t>
            </w:r>
            <w:r w:rsidRPr="00151A11">
              <w:t>Potenzielle Interessenkonflikte</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6C2F91" w:rsidP="00DE4711">
            <w:pPr>
              <w:pStyle w:val="CSBody0"/>
            </w:pPr>
            <w:r w:rsidRPr="00F94B27">
              <w:rPr>
                <w:b/>
              </w:rPr>
              <w:t>[</w:t>
            </w:r>
            <w:r w:rsidRPr="00DE4711">
              <w:rPr>
                <w:b/>
                <w:i/>
              </w:rPr>
              <w:t>in case of Creditlined Complex Products:</w:t>
            </w:r>
            <w:r w:rsidRPr="006C2F91">
              <w:t xml:space="preserve"> Each of the Issuer, the dealer(s) and their respective affiliates may from time to time be engaged in transactions involving, among other things, the Reference Entities or Reference Obligations to which Credit-Linked Complex Products are linked, which may affect the market value or liquidity of such Complex Products and which could be deemed to be adverse to the interests of the investors in such Complex Products.</w:t>
            </w:r>
            <w:r w:rsidRPr="00F94B27">
              <w:rPr>
                <w:b/>
              </w:rPr>
              <w:t>]</w:t>
            </w:r>
          </w:p>
        </w:tc>
        <w:tc>
          <w:tcPr>
            <w:tcW w:w="2516" w:type="pct"/>
            <w:tcBorders>
              <w:top w:val="nil"/>
              <w:left w:val="single" w:sz="4" w:space="0" w:color="auto"/>
              <w:bottom w:val="nil"/>
              <w:right w:val="nil"/>
            </w:tcBorders>
          </w:tcPr>
          <w:p w:rsidR="00DE4711" w:rsidRPr="00DE4711" w:rsidP="00DE4711">
            <w:pPr>
              <w:pStyle w:val="CSBody0"/>
              <w:rPr>
                <w:lang w:val="de-DE"/>
              </w:rPr>
            </w:pPr>
            <w:r w:rsidRPr="00F94B27">
              <w:rPr>
                <w:b/>
                <w:lang w:val="de-DE"/>
              </w:rPr>
              <w:t>[</w:t>
            </w:r>
            <w:r w:rsidRPr="002F2BFA">
              <w:rPr>
                <w:b/>
                <w:i/>
                <w:lang w:val="de-DE"/>
              </w:rPr>
              <w:t>bei Kreditbezogenen Komplexen Produkten:</w:t>
            </w:r>
            <w:r w:rsidRPr="00DE4711">
              <w:rPr>
                <w:lang w:val="de-DE"/>
              </w:rPr>
              <w:t xml:space="preserve"> Die Emittentin, der/die Platzeur(e) und ihre jeweiligen verbundenen Unternehmen können von Zeit zu Zeit Transaktionen eingehen, die sich unter anderem auf die Referenzschuldner oder Referenzverbindlichkeiten, an welche Kreditbezogene Komplexe Produkte gekoppelt sind; diese Transaktionen können sich auf den Marktwert oder die Liquidität der betreffenden Komplexen Produkte auswirken und könnten als den Interessen der Anleger in die betreffenden Komplexen Produkte zuwiderlaufend eingestuft werden.</w:t>
            </w:r>
            <w:r w:rsidRP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6C2F91" w:rsidP="002F2BFA">
            <w:pPr>
              <w:pStyle w:val="CSBody0"/>
            </w:pPr>
            <w:r w:rsidRPr="006C2F91">
              <w:t>Credit Suisse or one of its affiliates will be the Calculation Agent with respect to each Complex Product. In performing its duties in its capacity as Calculation Agent, Credit Suisse (or such affiliate) may have interests adverse to the interests of the investors in the relevant Complex Products, which may affect such investors' return on such Complex Products, particularly where the Calculation Agent is entitled to exercise discretion.</w:t>
            </w:r>
          </w:p>
        </w:tc>
        <w:tc>
          <w:tcPr>
            <w:tcW w:w="2516" w:type="pct"/>
            <w:tcBorders>
              <w:top w:val="nil"/>
              <w:left w:val="single" w:sz="4" w:space="0" w:color="auto"/>
              <w:bottom w:val="nil"/>
              <w:right w:val="nil"/>
            </w:tcBorders>
          </w:tcPr>
          <w:p w:rsidR="00DE4711" w:rsidRPr="00DE4711" w:rsidP="002F2BFA">
            <w:pPr>
              <w:pStyle w:val="CSBody0"/>
              <w:rPr>
                <w:lang w:val="de-DE"/>
              </w:rPr>
            </w:pPr>
            <w:r w:rsidRPr="00DE4711">
              <w:rPr>
                <w:lang w:val="de-DE"/>
              </w:rPr>
              <w:t>Die Credit Suisse oder eines ihrer verbundenen Unternehmen fungiert als Berechnungsstelle für alle Komplexen Produkte. Im Rahmen der Wahrnehmung ihrer Aufgaben als Berechnungsstelle können bei der Credit Suisse (oder dem verbundenen Unternehmen) unter Umständen Interessen bestehen, die den Interessen der Anleger in die betreffenden Komplexen Produkte zuwiderlaufen. Dies kann die von den Anlegern mit den Komplexen Produkten erzielte Rendite beeinflussen, insbesondere dann, wenn der Berechnungsstelle Ermessensbefugnisse zustehen.</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960E67" w:rsidP="002F2BFA">
            <w:pPr>
              <w:pStyle w:val="CSbody0bolditalic"/>
              <w:rPr>
                <w:lang w:val="en-GB"/>
              </w:rPr>
            </w:pPr>
            <w:r w:rsidRPr="00F94B27">
              <w:rPr>
                <w:lang w:val="en-GB"/>
              </w:rPr>
              <w:t>[</w:t>
            </w:r>
            <w:r w:rsidRPr="00960E67">
              <w:rPr>
                <w:lang w:val="en-GB"/>
              </w:rPr>
              <w:t>in case of Complex Products linked to one or more Reference Rates: Credit Suisse is a major participant in the reference rate markets and is subject to conflicts of interest</w:t>
            </w:r>
          </w:p>
        </w:tc>
        <w:tc>
          <w:tcPr>
            <w:tcW w:w="2516" w:type="pct"/>
            <w:tcBorders>
              <w:top w:val="nil"/>
              <w:left w:val="single" w:sz="4" w:space="0" w:color="auto"/>
              <w:bottom w:val="nil"/>
              <w:right w:val="nil"/>
            </w:tcBorders>
          </w:tcPr>
          <w:p w:rsidR="00DE4711" w:rsidRPr="00DE4711" w:rsidP="002F2BFA">
            <w:pPr>
              <w:pStyle w:val="CSbody0bolditalic"/>
            </w:pPr>
            <w:r w:rsidRPr="00F94B27">
              <w:t>[</w:t>
            </w:r>
            <w:r w:rsidRPr="00DE4711">
              <w:t>bei Komplexen Produkten, die an einen oder mehrere Referenzsätze gekoppelt sind: Die Credit Suisse spielt eine wichtige Rolle auf den Referenzsatzmärkten und unterliegt dadurch Interessenkonflikten</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6C2F91" w:rsidP="002F2BFA">
            <w:pPr>
              <w:pStyle w:val="CSBody0"/>
            </w:pPr>
            <w:r w:rsidRPr="006C2F91">
              <w:t>Potential investors should note that certain Credit Suisse affiliates are regular participants in the reference rate markets and in the ordinary course of their business may effect transactions for their own account or for the account of their customers and make investments relating to Reference Rate(s) and related derivatives. Such transactions may affect the Reference Rate</w:t>
            </w:r>
            <w:r w:rsidRPr="00F94B27" w:rsidR="00F94B27">
              <w:rPr>
                <w:b/>
              </w:rPr>
              <w:t>[</w:t>
            </w:r>
            <w:r w:rsidRPr="006C2F91">
              <w:t>s</w:t>
            </w:r>
            <w:r w:rsidRPr="00F94B27" w:rsidR="00F94B27">
              <w:rPr>
                <w:b/>
              </w:rPr>
              <w:t>]</w:t>
            </w:r>
            <w:r w:rsidRPr="006C2F91">
              <w:t>, the market value or liquidity of the relevant Complex Products and could be adverse to the interests of the investors in such Complex Products. No Credit Suisse affiliate has any duty to enter into such transactions in a manner which is favourable to investors in Complex Products.</w:t>
            </w:r>
            <w:r w:rsidRPr="00F94B27" w:rsidR="00F94B27">
              <w:rPr>
                <w:b/>
              </w:rPr>
              <w:t>]</w:t>
            </w:r>
          </w:p>
        </w:tc>
        <w:tc>
          <w:tcPr>
            <w:tcW w:w="2516" w:type="pct"/>
            <w:tcBorders>
              <w:top w:val="nil"/>
              <w:left w:val="single" w:sz="4" w:space="0" w:color="auto"/>
              <w:bottom w:val="nil"/>
              <w:right w:val="nil"/>
            </w:tcBorders>
          </w:tcPr>
          <w:p w:rsidR="00DE4711" w:rsidRPr="00DE4711" w:rsidP="002F2BFA">
            <w:pPr>
              <w:pStyle w:val="CSBody0"/>
              <w:rPr>
                <w:lang w:val="de-DE"/>
              </w:rPr>
            </w:pPr>
            <w:r w:rsidRPr="00DE4711">
              <w:rPr>
                <w:lang w:val="de-DE"/>
              </w:rPr>
              <w:t>Potenzielle Anleger sollten sich bewusst sein, dass bestimmte verbundene Unternehmen der Credit Suisse regelmässig auf den Referenzsatzmärkten tätig sind und im Rahmen ihrer gewöhnlichen Geschäftstätigkeit Transaktionen auf eigene Rechnung oder auf Rechnung ihrer Kunden abschliessen und Anlagen in Bezug auf einen Referenzsatz oder mehrere Referenzsätze sowie in damit verbundene Derivate tätigen. Solche Transaktionen können sich auf den betreffenden Referenzssatz bzw. die betreffenden Referenzsätze sowie den Marktwert oder die Liquidität der jeweiligen Komplexen Produkte auswirken und könnten den Interessen der Anleger in die Komplexen Produkte zuwiderlaufen. Kein verbundenes Unternehmen der Credit Suisse ist verpflichtet, solche Transaktionen in einer Weise abzuschliessen, die den Interessen der Anleger in Komplexe Produkte förderlich ist.</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960E67" w:rsidP="002F2BFA">
            <w:pPr>
              <w:pStyle w:val="CSbody0bold"/>
              <w:rPr>
                <w:lang w:val="en-GB"/>
              </w:rPr>
            </w:pPr>
            <w:r w:rsidRPr="00960E67">
              <w:rPr>
                <w:lang w:val="en-GB"/>
              </w:rPr>
              <w:t>Potential conflicts of interest relating to distributors</w:t>
            </w:r>
          </w:p>
        </w:tc>
        <w:tc>
          <w:tcPr>
            <w:tcW w:w="2516" w:type="pct"/>
            <w:tcBorders>
              <w:top w:val="nil"/>
              <w:left w:val="single" w:sz="4" w:space="0" w:color="auto"/>
              <w:bottom w:val="nil"/>
              <w:right w:val="nil"/>
            </w:tcBorders>
          </w:tcPr>
          <w:p w:rsidR="00DE4711" w:rsidRPr="00DE4711" w:rsidP="002F2BFA">
            <w:pPr>
              <w:pStyle w:val="CSbody0bold"/>
            </w:pPr>
            <w:r w:rsidRPr="00DE4711">
              <w:t>Potenzielle Interessenkonflikte in Bezug auf Vertriebsstellen</w:t>
            </w:r>
          </w:p>
        </w:tc>
      </w:tr>
      <w:tr w:rsidTr="001527CB">
        <w:tblPrEx>
          <w:tblW w:w="5000" w:type="pct"/>
          <w:tblLayout w:type="fixed"/>
          <w:tblLook w:val="04A0"/>
        </w:tblPrEx>
        <w:tc>
          <w:tcPr>
            <w:tcW w:w="2484" w:type="pct"/>
            <w:tcBorders>
              <w:top w:val="nil"/>
              <w:left w:val="nil"/>
              <w:bottom w:val="nil"/>
              <w:right w:val="single" w:sz="4" w:space="0" w:color="auto"/>
            </w:tcBorders>
          </w:tcPr>
          <w:p w:rsidR="00DE4711" w:rsidRPr="006C2F91" w:rsidP="002F2BFA">
            <w:pPr>
              <w:pStyle w:val="CSBody0"/>
            </w:pPr>
            <w:r w:rsidRPr="006C2F91">
              <w:t>Potential conflicts of interest may arise in connection with the Complex Products if a distributor placing such Complex Products (or other entity involved in the offering or listing of such Complex Products) is acting pursuant to a mandate granted by the Issuer and/or the manager(s) or receives commissions and/or fees based on the services performed in connection with, or related to the outcome of, the offering or listing of the Complex Products.</w:t>
            </w:r>
            <w:r w:rsidRPr="00F94B27" w:rsidR="00F94B27">
              <w:rPr>
                <w:b/>
              </w:rPr>
              <w:t>][</w:t>
            </w:r>
            <w:r w:rsidR="003857E8">
              <w:rPr>
                <w:rFonts w:ascii="Arial" w:hAnsi="Arial" w:cs="Arial"/>
              </w:rPr>
              <w:t>●</w:t>
            </w:r>
            <w:r w:rsidRPr="00F94B27" w:rsidR="00F94B27">
              <w:rPr>
                <w:b/>
              </w:rPr>
              <w:t>]</w:t>
            </w:r>
          </w:p>
        </w:tc>
        <w:tc>
          <w:tcPr>
            <w:tcW w:w="2516" w:type="pct"/>
            <w:tcBorders>
              <w:top w:val="nil"/>
              <w:left w:val="single" w:sz="4" w:space="0" w:color="auto"/>
              <w:bottom w:val="nil"/>
              <w:right w:val="nil"/>
            </w:tcBorders>
          </w:tcPr>
          <w:p w:rsidR="00DE4711" w:rsidRPr="00DE4711" w:rsidP="002F2BFA">
            <w:pPr>
              <w:pStyle w:val="CSBody0"/>
              <w:rPr>
                <w:lang w:val="de-DE"/>
              </w:rPr>
            </w:pPr>
            <w:r w:rsidRPr="00DE4711">
              <w:rPr>
                <w:lang w:val="de-DE"/>
              </w:rPr>
              <w:t>Potenzielle Interessenkonflikte können im Zusammenhang mit den Komplexen Produkten entstehen, wenn eine Vertriebsstelle die Komplexen Produkte platziert (oder eine andere Stelle, die an dem Angebot oder die Notierung der Komplexen Produkte beteiligt ist) im Rahmen eines von der Emittentin oder der bzw. den Managern erteilten Auftrags handelt und Provisionen und/oder Gebühren auf Basis der erbrachten Leistungen im Zusammenhang mit oder in Bezug auf das Ergebnis, das Angebot oder die Notierung der Komplexen Produkten erhält.</w:t>
            </w:r>
            <w:r w:rsidRPr="00F94B27" w:rsidR="00F94B27">
              <w:rPr>
                <w:b/>
                <w:lang w:val="de-DE"/>
              </w:rPr>
              <w:t>][</w:t>
            </w:r>
            <w:r w:rsidRPr="000F4148" w:rsidR="003857E8">
              <w:rPr>
                <w:rFonts w:ascii="Arial" w:hAnsi="Arial" w:cs="Arial"/>
                <w:lang w:val="de-DE"/>
              </w:rPr>
              <w:t>●</w:t>
            </w:r>
            <w:r w:rsidRPr="00F94B27" w:rsid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2F2BFA" w:rsidRPr="00960E67" w:rsidP="002F2BFA">
            <w:pPr>
              <w:pStyle w:val="CSbody0bold"/>
              <w:rPr>
                <w:lang w:val="en-GB"/>
              </w:rPr>
            </w:pPr>
            <w:r w:rsidRPr="00960E67">
              <w:rPr>
                <w:lang w:val="en-GB"/>
              </w:rPr>
              <w:t>E.7: Expenses charged to the investor by the issuer or the offeror</w:t>
            </w:r>
          </w:p>
        </w:tc>
        <w:tc>
          <w:tcPr>
            <w:tcW w:w="2516" w:type="pct"/>
            <w:tcBorders>
              <w:top w:val="nil"/>
              <w:left w:val="single" w:sz="4" w:space="0" w:color="auto"/>
              <w:bottom w:val="nil"/>
              <w:right w:val="nil"/>
            </w:tcBorders>
          </w:tcPr>
          <w:p w:rsidR="002F2BFA" w:rsidRPr="002F2BFA" w:rsidP="002F2BFA">
            <w:pPr>
              <w:pStyle w:val="CSbody0bold"/>
            </w:pPr>
            <w:r w:rsidRPr="002F2BFA">
              <w:t>E.7: Schätzung der Ausgaben, die dem Anleger von der Emittentin oder vom Anbieter in Rechnung gestellt werden</w:t>
            </w:r>
          </w:p>
        </w:tc>
      </w:tr>
      <w:tr w:rsidTr="001527CB">
        <w:tblPrEx>
          <w:tblW w:w="5000" w:type="pct"/>
          <w:tblLayout w:type="fixed"/>
          <w:tblLook w:val="04A0"/>
        </w:tblPrEx>
        <w:tc>
          <w:tcPr>
            <w:tcW w:w="2484" w:type="pct"/>
            <w:tcBorders>
              <w:top w:val="nil"/>
              <w:left w:val="nil"/>
              <w:bottom w:val="nil"/>
              <w:right w:val="single" w:sz="4" w:space="0" w:color="auto"/>
            </w:tcBorders>
          </w:tcPr>
          <w:p w:rsidR="002F2BFA" w:rsidRPr="002A58E1" w:rsidP="002F2BFA">
            <w:pPr>
              <w:pStyle w:val="CSBody0"/>
            </w:pPr>
            <w:r w:rsidRPr="00F94B27">
              <w:rPr>
                <w:b/>
              </w:rPr>
              <w:t>[</w:t>
            </w:r>
            <w:r w:rsidRPr="002A58E1">
              <w:t>Not applicable; the investor or the offeror will not charge any expenses to the offeror</w:t>
            </w:r>
            <w:r w:rsidRPr="00F94B27">
              <w:rPr>
                <w:b/>
              </w:rPr>
              <w:t>]</w:t>
            </w:r>
          </w:p>
        </w:tc>
        <w:tc>
          <w:tcPr>
            <w:tcW w:w="2516" w:type="pct"/>
            <w:tcBorders>
              <w:top w:val="nil"/>
              <w:left w:val="single" w:sz="4" w:space="0" w:color="auto"/>
              <w:bottom w:val="nil"/>
              <w:right w:val="nil"/>
            </w:tcBorders>
          </w:tcPr>
          <w:p w:rsidR="002F2BFA" w:rsidRPr="002F2BFA" w:rsidP="002F2BFA">
            <w:pPr>
              <w:pStyle w:val="CSBody0"/>
              <w:rPr>
                <w:lang w:val="de-DE"/>
              </w:rPr>
            </w:pPr>
            <w:r w:rsidRPr="00F94B27">
              <w:rPr>
                <w:b/>
                <w:lang w:val="de-DE"/>
              </w:rPr>
              <w:t>[</w:t>
            </w:r>
            <w:r w:rsidRPr="002F2BFA">
              <w:rPr>
                <w:lang w:val="de-DE"/>
              </w:rPr>
              <w:t>Entfällt; dem Anleger werden von der Emittentin oder vom Anbieter keine Ausgaben in Rechnung gestellt</w:t>
            </w:r>
            <w:r w:rsidRP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2F2BFA" w:rsidRPr="002A58E1" w:rsidP="002F2BFA">
            <w:pPr>
              <w:pStyle w:val="CSBody0"/>
            </w:pPr>
            <w:r w:rsidRPr="00F94B27">
              <w:rPr>
                <w:b/>
              </w:rPr>
              <w:t>[</w:t>
            </w:r>
            <w:r w:rsidRPr="002A58E1">
              <w:t xml:space="preserve">Underwriting and Placement Fees: </w:t>
            </w:r>
            <w:r w:rsidRPr="00F94B27">
              <w:rPr>
                <w:b/>
              </w:rPr>
              <w:t>[</w:t>
            </w:r>
            <w:r w:rsidR="003857E8">
              <w:rPr>
                <w:rFonts w:ascii="Arial" w:hAnsi="Arial" w:cs="Arial"/>
              </w:rPr>
              <w:t>●</w:t>
            </w:r>
            <w:r w:rsidRPr="00F94B27">
              <w:rPr>
                <w:b/>
              </w:rPr>
              <w:t>]]</w:t>
            </w:r>
          </w:p>
        </w:tc>
        <w:tc>
          <w:tcPr>
            <w:tcW w:w="2516" w:type="pct"/>
            <w:tcBorders>
              <w:top w:val="nil"/>
              <w:left w:val="single" w:sz="4" w:space="0" w:color="auto"/>
              <w:bottom w:val="nil"/>
              <w:right w:val="nil"/>
            </w:tcBorders>
          </w:tcPr>
          <w:p w:rsidR="002F2BFA" w:rsidRPr="002A58E1" w:rsidP="002F2BFA">
            <w:pPr>
              <w:pStyle w:val="CSBody0"/>
            </w:pPr>
            <w:r w:rsidRPr="00F94B27">
              <w:rPr>
                <w:b/>
              </w:rPr>
              <w:t>[</w:t>
            </w:r>
            <w:r w:rsidRPr="002A58E1">
              <w:t xml:space="preserve">Übernahme- und Platzierungsgebühren: </w:t>
            </w:r>
            <w:r w:rsidRPr="00F94B27">
              <w:rPr>
                <w:b/>
              </w:rPr>
              <w:t>[</w:t>
            </w:r>
            <w:r w:rsidR="003857E8">
              <w:rPr>
                <w:rFonts w:ascii="Arial" w:hAnsi="Arial" w:cs="Arial"/>
              </w:rPr>
              <w:t>●</w:t>
            </w:r>
            <w:r w:rsidRPr="00F94B27">
              <w:rPr>
                <w:b/>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F27949" w:rsidRPr="002A58E1" w:rsidP="00F27949">
            <w:pPr>
              <w:pStyle w:val="CSBody0"/>
            </w:pPr>
            <w:r w:rsidRPr="00F94B27">
              <w:rPr>
                <w:b/>
              </w:rPr>
              <w:t>[[</w:t>
            </w:r>
            <w:r>
              <w:t>Subscription Fee</w:t>
            </w:r>
            <w:r w:rsidRPr="00F94B27">
              <w:rPr>
                <w:b/>
              </w:rPr>
              <w:t>]</w:t>
            </w:r>
            <w:r w:rsidRPr="00B6005D" w:rsidR="00B6005D">
              <w:t xml:space="preserve"> </w:t>
            </w:r>
            <w:r w:rsidRPr="00F94B27">
              <w:rPr>
                <w:b/>
              </w:rPr>
              <w:t>[</w:t>
            </w:r>
            <w:r w:rsidRPr="002A58E1" w:rsidR="002F2BFA">
              <w:t>Sales Fee</w:t>
            </w:r>
            <w:r w:rsidR="00FA4BE6">
              <w:rPr>
                <w:b/>
              </w:rPr>
              <w:t>]</w:t>
            </w:r>
            <w:r w:rsidRPr="002A58E1" w:rsidR="002F2BFA">
              <w:t xml:space="preserve">: </w:t>
            </w:r>
            <w:r w:rsidRPr="00F94B27">
              <w:rPr>
                <w:b/>
              </w:rPr>
              <w:t>[</w:t>
            </w:r>
            <w:r w:rsidRPr="002A58E1" w:rsidR="002F2BFA">
              <w:t>up to</w:t>
            </w:r>
            <w:r w:rsidRPr="00F94B27">
              <w:rPr>
                <w:b/>
              </w:rPr>
              <w:t>]</w:t>
            </w:r>
            <w:r w:rsidRPr="002A58E1" w:rsidR="002F2BFA">
              <w:t xml:space="preserve"> </w:t>
            </w:r>
            <w:r w:rsidRPr="00F94B27">
              <w:rPr>
                <w:b/>
              </w:rPr>
              <w:t>[</w:t>
            </w:r>
            <w:r w:rsidR="003857E8">
              <w:rPr>
                <w:rFonts w:ascii="Arial" w:hAnsi="Arial" w:cs="Arial"/>
              </w:rPr>
              <w:t>●</w:t>
            </w:r>
            <w:r w:rsidRPr="00F94B27">
              <w:rPr>
                <w:b/>
              </w:rPr>
              <w:t>]</w:t>
            </w:r>
            <w:r w:rsidRPr="002A58E1" w:rsidR="002F2BFA">
              <w:t xml:space="preserve">, being the amount charged at issuance by </w:t>
            </w:r>
            <w:r w:rsidRPr="00F94B27">
              <w:rPr>
                <w:b/>
              </w:rPr>
              <w:t>[</w:t>
            </w:r>
            <w:r w:rsidRPr="002A58E1" w:rsidR="002F2BFA">
              <w:t>the distributor</w:t>
            </w:r>
            <w:r w:rsidRPr="00F94B27">
              <w:rPr>
                <w:b/>
              </w:rPr>
              <w:t>][[</w:t>
            </w:r>
            <w:r w:rsidR="003857E8">
              <w:rPr>
                <w:rFonts w:ascii="Arial" w:hAnsi="Arial" w:cs="Arial"/>
              </w:rPr>
              <w:t>●</w:t>
            </w:r>
            <w:r w:rsidRPr="00F94B27">
              <w:rPr>
                <w:b/>
              </w:rPr>
              <w:t>]]</w:t>
            </w:r>
            <w:r w:rsidRPr="002A58E1" w:rsidR="002F2BFA">
              <w:t xml:space="preserve"> per Complex Product to the relevant Holder upon purchase.</w:t>
            </w:r>
            <w:r w:rsidRPr="00F94B27">
              <w:rPr>
                <w:b/>
              </w:rPr>
              <w:t>]</w:t>
            </w:r>
            <w:r w:rsidRPr="002A58E1" w:rsidR="002F2BFA">
              <w:t xml:space="preserve"> </w:t>
            </w:r>
            <w:r w:rsidRPr="00F94B27">
              <w:rPr>
                <w:b/>
              </w:rPr>
              <w:t>[</w:t>
            </w:r>
            <w:r w:rsidR="003857E8">
              <w:rPr>
                <w:rFonts w:ascii="Arial" w:hAnsi="Arial" w:cs="Arial"/>
              </w:rPr>
              <w:t>●</w:t>
            </w:r>
            <w:r w:rsidRPr="00F94B27">
              <w:rPr>
                <w:b/>
              </w:rPr>
              <w:t>]</w:t>
            </w:r>
          </w:p>
        </w:tc>
        <w:tc>
          <w:tcPr>
            <w:tcW w:w="2516" w:type="pct"/>
            <w:tcBorders>
              <w:top w:val="nil"/>
              <w:left w:val="single" w:sz="4" w:space="0" w:color="auto"/>
              <w:bottom w:val="nil"/>
              <w:right w:val="nil"/>
            </w:tcBorders>
          </w:tcPr>
          <w:p w:rsidR="00F27949" w:rsidRPr="002F2BFA">
            <w:pPr>
              <w:pStyle w:val="CSBody0"/>
              <w:rPr>
                <w:lang w:val="de-DE"/>
              </w:rPr>
            </w:pPr>
            <w:r w:rsidRPr="00F94B27">
              <w:rPr>
                <w:b/>
                <w:lang w:val="de-DE"/>
              </w:rPr>
              <w:t>[[</w:t>
            </w:r>
            <w:r w:rsidRPr="00C80BD7" w:rsidR="00C80BD7">
              <w:rPr>
                <w:lang w:val="de-DE"/>
              </w:rPr>
              <w:t>Zeichnungsgebühr</w:t>
            </w:r>
            <w:r w:rsidRPr="00F94B27">
              <w:rPr>
                <w:b/>
                <w:lang w:val="de-DE"/>
              </w:rPr>
              <w:t>]</w:t>
            </w:r>
            <w:r w:rsidRPr="00C80BD7" w:rsidR="00C80BD7">
              <w:rPr>
                <w:lang w:val="de-DE"/>
              </w:rPr>
              <w:t xml:space="preserve"> </w:t>
            </w:r>
            <w:r w:rsidRPr="00F94B27">
              <w:rPr>
                <w:b/>
                <w:lang w:val="de-DE"/>
              </w:rPr>
              <w:t>[</w:t>
            </w:r>
            <w:r w:rsidRPr="00C80BD7" w:rsidR="00C80BD7">
              <w:rPr>
                <w:lang w:val="de-DE"/>
              </w:rPr>
              <w:t>Ausgabeaufschlag</w:t>
            </w:r>
            <w:r w:rsidRPr="00F94B27">
              <w:rPr>
                <w:b/>
                <w:lang w:val="de-DE"/>
              </w:rPr>
              <w:t>]</w:t>
            </w:r>
            <w:r w:rsidRPr="002F2BFA" w:rsidR="002F2BFA">
              <w:rPr>
                <w:lang w:val="de-DE"/>
              </w:rPr>
              <w:t xml:space="preserve">: </w:t>
            </w:r>
            <w:r w:rsidRPr="00F94B27">
              <w:rPr>
                <w:b/>
                <w:lang w:val="de-DE"/>
              </w:rPr>
              <w:t>[</w:t>
            </w:r>
            <w:r w:rsidRPr="002F2BFA" w:rsidR="002F2BFA">
              <w:rPr>
                <w:lang w:val="de-DE"/>
              </w:rPr>
              <w:t>bis zu</w:t>
            </w:r>
            <w:r w:rsidRPr="00F94B27">
              <w:rPr>
                <w:b/>
                <w:lang w:val="de-DE"/>
              </w:rPr>
              <w:t>]</w:t>
            </w:r>
            <w:r w:rsidRPr="002F2BFA" w:rsidR="002F2BFA">
              <w:rPr>
                <w:lang w:val="de-DE"/>
              </w:rPr>
              <w:t xml:space="preserve"> </w:t>
            </w:r>
            <w:r w:rsidRPr="00F94B27">
              <w:rPr>
                <w:b/>
                <w:lang w:val="de-DE"/>
              </w:rPr>
              <w:t>[</w:t>
            </w:r>
            <w:r w:rsidRPr="000F4148" w:rsidR="003857E8">
              <w:rPr>
                <w:rFonts w:ascii="Arial" w:hAnsi="Arial" w:cs="Arial"/>
                <w:lang w:val="de-DE"/>
              </w:rPr>
              <w:t>●</w:t>
            </w:r>
            <w:r w:rsidRPr="00F94B27">
              <w:rPr>
                <w:b/>
                <w:lang w:val="de-DE"/>
              </w:rPr>
              <w:t>]</w:t>
            </w:r>
            <w:r w:rsidRPr="002F2BFA" w:rsidR="002F2BFA">
              <w:rPr>
                <w:lang w:val="de-DE"/>
              </w:rPr>
              <w:t xml:space="preserve">; hierbei handelt es sich um den Betrag je Komplexes Produkt, den </w:t>
            </w:r>
            <w:r w:rsidRPr="00F94B27">
              <w:rPr>
                <w:b/>
                <w:lang w:val="de-DE"/>
              </w:rPr>
              <w:t>[</w:t>
            </w:r>
            <w:r w:rsidRPr="002F2BFA" w:rsidR="002F2BFA">
              <w:rPr>
                <w:lang w:val="de-DE"/>
              </w:rPr>
              <w:t>die Vertriebsstelle</w:t>
            </w:r>
            <w:r w:rsidRPr="00F94B27">
              <w:rPr>
                <w:b/>
                <w:lang w:val="de-DE"/>
              </w:rPr>
              <w:t>][[</w:t>
            </w:r>
            <w:r w:rsidRPr="000F4148" w:rsidR="003857E8">
              <w:rPr>
                <w:rFonts w:ascii="Arial" w:hAnsi="Arial" w:cs="Arial"/>
                <w:lang w:val="de-DE"/>
              </w:rPr>
              <w:t>●</w:t>
            </w:r>
            <w:r w:rsidRPr="00F94B27">
              <w:rPr>
                <w:b/>
                <w:lang w:val="de-DE"/>
              </w:rPr>
              <w:t>]]</w:t>
            </w:r>
            <w:r w:rsidRPr="002F2BFA" w:rsidR="002F2BFA">
              <w:rPr>
                <w:lang w:val="de-DE"/>
              </w:rPr>
              <w:t xml:space="preserve"> dem jeweiligen Inhaber bei der Emission für den Kauf in Rechnung stellt.</w:t>
            </w:r>
            <w:r w:rsidRPr="00F94B27">
              <w:rPr>
                <w:b/>
                <w:lang w:val="de-DE"/>
              </w:rPr>
              <w:t>]</w:t>
            </w:r>
            <w:r w:rsidRPr="002F2BFA" w:rsidR="002F2BFA">
              <w:rPr>
                <w:lang w:val="de-DE"/>
              </w:rPr>
              <w:t xml:space="preserve"> </w:t>
            </w:r>
            <w:r w:rsidRPr="00F94B27">
              <w:rPr>
                <w:b/>
                <w:lang w:val="de-DE"/>
              </w:rPr>
              <w:t>[</w:t>
            </w:r>
            <w:r w:rsidRPr="00883D2F" w:rsidR="003857E8">
              <w:rPr>
                <w:rFonts w:ascii="Arial" w:hAnsi="Arial" w:cs="Arial"/>
                <w:lang w:val="de-DE"/>
              </w:rPr>
              <w:t>●</w:t>
            </w:r>
            <w:r w:rsidRP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F27949" w:rsidRPr="00B6005D">
            <w:pPr>
              <w:pStyle w:val="CSBody0"/>
            </w:pPr>
            <w:r w:rsidRPr="00F94B27">
              <w:rPr>
                <w:b/>
              </w:rPr>
              <w:t>[</w:t>
            </w:r>
            <w:r w:rsidRPr="00C80BD7" w:rsidR="00C80BD7">
              <w:t xml:space="preserve">Distribution Fee: </w:t>
            </w:r>
            <w:r w:rsidRPr="00F94B27">
              <w:rPr>
                <w:b/>
              </w:rPr>
              <w:t>[[</w:t>
            </w:r>
            <w:r w:rsidRPr="00C80BD7" w:rsidR="00C80BD7">
              <w:t>up to</w:t>
            </w:r>
            <w:r w:rsidRPr="00F94B27">
              <w:rPr>
                <w:b/>
              </w:rPr>
              <w:t>]</w:t>
            </w:r>
            <w:r w:rsidRPr="00C80BD7" w:rsidR="00C80BD7">
              <w:t xml:space="preserve"> </w:t>
            </w:r>
            <w:r w:rsidRPr="00F94B27">
              <w:rPr>
                <w:b/>
              </w:rPr>
              <w:t>[</w:t>
            </w:r>
            <w:r w:rsidRPr="00C80BD7" w:rsidR="00C80BD7">
              <w:rPr>
                <w:rFonts w:ascii="Arial" w:hAnsi="Arial" w:cs="Arial"/>
              </w:rPr>
              <w:t>●</w:t>
            </w:r>
            <w:r w:rsidRPr="00F94B27">
              <w:rPr>
                <w:b/>
              </w:rPr>
              <w:t>]</w:t>
            </w:r>
            <w:r w:rsidRPr="00C80BD7" w:rsidR="00C80BD7">
              <w:t xml:space="preserve"> (in percent of the Denomination and included in the Issue Price)</w:t>
            </w:r>
            <w:r w:rsidRPr="00F94B27">
              <w:rPr>
                <w:b/>
              </w:rPr>
              <w:t>]</w:t>
            </w:r>
            <w:r w:rsidRPr="00C80BD7" w:rsidR="00C80BD7">
              <w:t xml:space="preserve"> </w:t>
            </w:r>
            <w:r w:rsidRPr="00F94B27">
              <w:rPr>
                <w:b/>
              </w:rPr>
              <w:t>[</w:t>
            </w:r>
            <w:r w:rsidRPr="00C80BD7" w:rsidR="00C80BD7">
              <w:rPr>
                <w:rFonts w:ascii="Arial" w:hAnsi="Arial" w:cs="Arial"/>
              </w:rPr>
              <w:t>●</w:t>
            </w:r>
            <w:r w:rsidRPr="00F94B27">
              <w:rPr>
                <w:b/>
              </w:rPr>
              <w:t>]</w:t>
            </w:r>
            <w:r w:rsidRPr="00C80BD7" w:rsidR="00C80BD7">
              <w:t>.</w:t>
            </w:r>
            <w:r w:rsidRPr="00F94B27">
              <w:rPr>
                <w:b/>
              </w:rPr>
              <w:t>]</w:t>
            </w:r>
          </w:p>
        </w:tc>
        <w:tc>
          <w:tcPr>
            <w:tcW w:w="2516" w:type="pct"/>
            <w:tcBorders>
              <w:top w:val="nil"/>
              <w:left w:val="single" w:sz="4" w:space="0" w:color="auto"/>
              <w:bottom w:val="nil"/>
              <w:right w:val="nil"/>
            </w:tcBorders>
          </w:tcPr>
          <w:p w:rsidR="00F27949" w:rsidRPr="002F2BFA">
            <w:pPr>
              <w:pStyle w:val="CSBody0"/>
              <w:rPr>
                <w:lang w:val="de-DE"/>
              </w:rPr>
            </w:pPr>
            <w:r w:rsidRPr="00F94B27">
              <w:rPr>
                <w:b/>
                <w:lang w:val="de-DE"/>
              </w:rPr>
              <w:t>[</w:t>
            </w:r>
            <w:r w:rsidRPr="00C80BD7" w:rsidR="00C80BD7">
              <w:rPr>
                <w:lang w:val="de-DE"/>
              </w:rPr>
              <w:t xml:space="preserve">Vertriebsgebühr: </w:t>
            </w:r>
            <w:r w:rsidRPr="00FA4BE6" w:rsidR="00FA4BE6">
              <w:rPr>
                <w:b/>
                <w:lang w:val="de-DE"/>
              </w:rPr>
              <w:t>[[</w:t>
            </w:r>
            <w:r w:rsidRPr="00BD6E0D" w:rsidR="00FA4BE6">
              <w:rPr>
                <w:lang w:val="de-DE"/>
              </w:rPr>
              <w:t>bis zu</w:t>
            </w:r>
            <w:r w:rsidRPr="00FA4BE6" w:rsidR="00FA4BE6">
              <w:rPr>
                <w:b/>
                <w:lang w:val="de-DE"/>
              </w:rPr>
              <w:t>]</w:t>
            </w:r>
            <w:r w:rsidRPr="00BD6E0D" w:rsidR="00FA4BE6">
              <w:rPr>
                <w:lang w:val="de-DE"/>
              </w:rPr>
              <w:t xml:space="preserve"> </w:t>
            </w:r>
            <w:r w:rsidRPr="00F94B27" w:rsidR="00FA4BE6">
              <w:rPr>
                <w:b/>
                <w:lang w:val="de-DE"/>
              </w:rPr>
              <w:t>[</w:t>
            </w:r>
            <w:r w:rsidRPr="00883D2F" w:rsidR="00FA4BE6">
              <w:rPr>
                <w:rFonts w:ascii="Arial" w:hAnsi="Arial" w:cs="Arial"/>
                <w:lang w:val="de-DE"/>
              </w:rPr>
              <w:t>●</w:t>
            </w:r>
            <w:r w:rsidRPr="00F94B27" w:rsidR="00FA4BE6">
              <w:rPr>
                <w:b/>
                <w:lang w:val="de-DE"/>
              </w:rPr>
              <w:t>]</w:t>
            </w:r>
            <w:r w:rsidRPr="00BD6E0D" w:rsidR="00FA4BE6">
              <w:rPr>
                <w:lang w:val="de-DE"/>
              </w:rPr>
              <w:t xml:space="preserve"> </w:t>
            </w:r>
            <w:r w:rsidR="00FA4BE6">
              <w:rPr>
                <w:lang w:val="de-DE"/>
              </w:rPr>
              <w:t>(ausgedrückt in Prozent der Stü</w:t>
            </w:r>
            <w:r w:rsidRPr="00BD6E0D" w:rsidR="00FA4BE6">
              <w:rPr>
                <w:lang w:val="de-DE"/>
              </w:rPr>
              <w:t>ckelung und im Emissionspreis enthalten)</w:t>
            </w:r>
            <w:r w:rsidRPr="00FA4BE6" w:rsidR="00FA4BE6">
              <w:rPr>
                <w:b/>
                <w:lang w:val="de-DE"/>
              </w:rPr>
              <w:t>]</w:t>
            </w:r>
            <w:r w:rsidRPr="00BD6E0D" w:rsidR="00FA4BE6">
              <w:rPr>
                <w:lang w:val="de-DE"/>
              </w:rPr>
              <w:t xml:space="preserve"> </w:t>
            </w:r>
            <w:r w:rsidRPr="00F94B27" w:rsidR="00FA4BE6">
              <w:rPr>
                <w:b/>
                <w:lang w:val="de-DE"/>
              </w:rPr>
              <w:t>[</w:t>
            </w:r>
            <w:r w:rsidRPr="00883D2F" w:rsidR="00FA4BE6">
              <w:rPr>
                <w:rFonts w:ascii="Arial" w:hAnsi="Arial" w:cs="Arial"/>
                <w:lang w:val="de-DE"/>
              </w:rPr>
              <w:t>●</w:t>
            </w:r>
            <w:r w:rsidRPr="00F94B27" w:rsidR="00FA4BE6">
              <w:rPr>
                <w:b/>
                <w:lang w:val="de-DE"/>
              </w:rPr>
              <w:t>]</w:t>
            </w:r>
            <w:r w:rsidRPr="00BD6E0D" w:rsidR="00FA4BE6">
              <w:rPr>
                <w:lang w:val="de-DE"/>
              </w:rPr>
              <w:t>.</w:t>
            </w:r>
            <w:r w:rsidRPr="00FA4BE6" w:rsidR="00FA4BE6">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2F2BFA" w:rsidRPr="002A58E1" w:rsidP="002F2BFA">
            <w:pPr>
              <w:pStyle w:val="CSBody0"/>
            </w:pPr>
            <w:r w:rsidRPr="00F94B27">
              <w:rPr>
                <w:b/>
              </w:rPr>
              <w:t>[</w:t>
            </w:r>
            <w:r w:rsidRPr="002F2BFA">
              <w:rPr>
                <w:b/>
                <w:i/>
              </w:rPr>
              <w:t>insert in the case of an offer in Italy:</w:t>
            </w:r>
            <w:r w:rsidRPr="002A58E1">
              <w:t xml:space="preserve"> Expenses/Taxes Specifically charged to the Subscriber or Purchaser: </w:t>
            </w:r>
            <w:r w:rsidRPr="00F94B27">
              <w:rPr>
                <w:b/>
              </w:rPr>
              <w:t>[</w:t>
            </w:r>
            <w:r w:rsidR="003857E8">
              <w:rPr>
                <w:rFonts w:ascii="Arial" w:hAnsi="Arial" w:cs="Arial"/>
              </w:rPr>
              <w:t>●</w:t>
            </w:r>
            <w:r w:rsidRPr="00F94B27">
              <w:rPr>
                <w:b/>
              </w:rPr>
              <w:t>]]</w:t>
            </w:r>
          </w:p>
        </w:tc>
        <w:tc>
          <w:tcPr>
            <w:tcW w:w="2516" w:type="pct"/>
            <w:tcBorders>
              <w:top w:val="nil"/>
              <w:left w:val="single" w:sz="4" w:space="0" w:color="auto"/>
              <w:bottom w:val="nil"/>
              <w:right w:val="nil"/>
            </w:tcBorders>
          </w:tcPr>
          <w:p w:rsidR="002F2BFA" w:rsidRPr="002F2BFA" w:rsidP="002F2BFA">
            <w:pPr>
              <w:pStyle w:val="CSBody0"/>
              <w:rPr>
                <w:lang w:val="de-DE"/>
              </w:rPr>
            </w:pPr>
            <w:r w:rsidRPr="00F94B27">
              <w:rPr>
                <w:b/>
                <w:lang w:val="de-DE"/>
              </w:rPr>
              <w:t>[</w:t>
            </w:r>
            <w:r w:rsidRPr="002F2BFA">
              <w:rPr>
                <w:b/>
                <w:i/>
                <w:lang w:val="de-DE"/>
              </w:rPr>
              <w:t>Einfügen bei einem Angebot in Italien:</w:t>
            </w:r>
            <w:r w:rsidRPr="002F2BFA">
              <w:rPr>
                <w:lang w:val="de-DE"/>
              </w:rPr>
              <w:t xml:space="preserve"> Aufwendungen/Steuern, die dem Zeichner bzw. dem Käufer gesondert belastet werden: </w:t>
            </w:r>
            <w:r w:rsidRPr="00F94B27">
              <w:rPr>
                <w:b/>
                <w:lang w:val="de-DE"/>
              </w:rPr>
              <w:t>[</w:t>
            </w:r>
            <w:r w:rsidRPr="000F4148" w:rsidR="003857E8">
              <w:rPr>
                <w:rFonts w:ascii="Arial" w:hAnsi="Arial" w:cs="Arial"/>
                <w:lang w:val="de-DE"/>
              </w:rPr>
              <w:t>●</w:t>
            </w:r>
            <w:r w:rsidRP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2F2BFA" w:rsidRPr="002A58E1" w:rsidP="002F2BFA">
            <w:pPr>
              <w:pStyle w:val="CSBody0"/>
            </w:pPr>
            <w:r w:rsidRPr="00F94B27">
              <w:rPr>
                <w:b/>
              </w:rPr>
              <w:t>[</w:t>
            </w:r>
            <w:r w:rsidRPr="002A58E1">
              <w:t>Expenses/Fees Charged by the Issuer to the Holders Post</w:t>
            </w:r>
            <w:r w:rsidR="008F1293">
              <w:t>-</w:t>
            </w:r>
            <w:r w:rsidRPr="002A58E1">
              <w:t xml:space="preserve">Issuance: </w:t>
            </w:r>
            <w:r w:rsidRPr="00F94B27">
              <w:rPr>
                <w:b/>
              </w:rPr>
              <w:t>[</w:t>
            </w:r>
            <w:r w:rsidRPr="002A58E1">
              <w:t>None</w:t>
            </w:r>
            <w:r w:rsidRPr="00F94B27">
              <w:rPr>
                <w:b/>
              </w:rPr>
              <w:t>][[</w:t>
            </w:r>
            <w:r w:rsidR="003857E8">
              <w:rPr>
                <w:rFonts w:ascii="Arial" w:hAnsi="Arial" w:cs="Arial"/>
              </w:rPr>
              <w:t>●</w:t>
            </w:r>
            <w:r w:rsidRPr="00F94B27">
              <w:rPr>
                <w:b/>
              </w:rPr>
              <w:t>]]</w:t>
            </w:r>
          </w:p>
        </w:tc>
        <w:tc>
          <w:tcPr>
            <w:tcW w:w="2516" w:type="pct"/>
            <w:tcBorders>
              <w:top w:val="nil"/>
              <w:left w:val="single" w:sz="4" w:space="0" w:color="auto"/>
              <w:bottom w:val="nil"/>
              <w:right w:val="nil"/>
            </w:tcBorders>
          </w:tcPr>
          <w:p w:rsidR="002F2BFA" w:rsidRPr="002F2BFA" w:rsidP="002F2BFA">
            <w:pPr>
              <w:pStyle w:val="CSBody0"/>
              <w:rPr>
                <w:lang w:val="de-DE"/>
              </w:rPr>
            </w:pPr>
            <w:r w:rsidRPr="00F94B27">
              <w:rPr>
                <w:b/>
                <w:lang w:val="de-DE"/>
              </w:rPr>
              <w:t>[</w:t>
            </w:r>
            <w:r w:rsidRPr="002F2BFA">
              <w:rPr>
                <w:lang w:val="de-DE"/>
              </w:rPr>
              <w:t xml:space="preserve">Aufwendungen/Gebühren, die den Inhabern nach der Emission von der Emittentin in Rechnung gestellt werden: </w:t>
            </w:r>
            <w:r w:rsidRPr="00F94B27">
              <w:rPr>
                <w:b/>
                <w:lang w:val="de-DE"/>
              </w:rPr>
              <w:t>[</w:t>
            </w:r>
            <w:r w:rsidRPr="002F2BFA">
              <w:rPr>
                <w:lang w:val="de-DE"/>
              </w:rPr>
              <w:t>Keine</w:t>
            </w:r>
            <w:r w:rsidRPr="00F94B27">
              <w:rPr>
                <w:b/>
                <w:lang w:val="de-DE"/>
              </w:rPr>
              <w:t>][[</w:t>
            </w:r>
            <w:r w:rsidRPr="000F4148" w:rsidR="003857E8">
              <w:rPr>
                <w:rFonts w:ascii="Arial" w:hAnsi="Arial" w:cs="Arial"/>
                <w:lang w:val="de-DE"/>
              </w:rPr>
              <w:t>●</w:t>
            </w:r>
            <w:r w:rsidRPr="00F94B27">
              <w:rPr>
                <w:b/>
                <w:lang w:val="de-DE"/>
              </w:rPr>
              <w:t>]]</w:t>
            </w:r>
          </w:p>
        </w:tc>
      </w:tr>
      <w:tr w:rsidTr="001527CB">
        <w:tblPrEx>
          <w:tblW w:w="5000" w:type="pct"/>
          <w:tblLayout w:type="fixed"/>
          <w:tblLook w:val="04A0"/>
        </w:tblPrEx>
        <w:tc>
          <w:tcPr>
            <w:tcW w:w="2484" w:type="pct"/>
            <w:tcBorders>
              <w:top w:val="nil"/>
              <w:left w:val="nil"/>
              <w:bottom w:val="nil"/>
              <w:right w:val="single" w:sz="4" w:space="0" w:color="auto"/>
            </w:tcBorders>
          </w:tcPr>
          <w:p w:rsidR="002F2BFA" w:rsidRPr="002F2BFA" w:rsidP="002F2BFA">
            <w:pPr>
              <w:pStyle w:val="CSbody0bolditalic"/>
              <w:rPr>
                <w:lang w:val="en-GB"/>
              </w:rPr>
            </w:pPr>
            <w:r w:rsidRPr="00F94B27">
              <w:rPr>
                <w:lang w:val="en-GB"/>
              </w:rPr>
              <w:t>[</w:t>
            </w:r>
            <w:r w:rsidRPr="002F2BFA">
              <w:rPr>
                <w:lang w:val="en-GB"/>
              </w:rPr>
              <w:t xml:space="preserve">insert any additional fees charged to the Investor, Subscriber or Purchaser: </w:t>
            </w:r>
            <w:r w:rsidRPr="00F94B27">
              <w:rPr>
                <w:i w:val="0"/>
                <w:lang w:val="en-GB"/>
              </w:rPr>
              <w:t>[</w:t>
            </w:r>
            <w:r w:rsidRPr="000F4148" w:rsidR="003857E8">
              <w:rPr>
                <w:rFonts w:ascii="Arial" w:hAnsi="Arial" w:cs="Arial"/>
                <w:i w:val="0"/>
                <w:lang w:val="en-GB"/>
              </w:rPr>
              <w:t>●</w:t>
            </w:r>
            <w:r w:rsidRPr="00F94B27">
              <w:rPr>
                <w:i w:val="0"/>
                <w:lang w:val="en-GB"/>
              </w:rPr>
              <w:t>]]</w:t>
            </w:r>
          </w:p>
        </w:tc>
        <w:tc>
          <w:tcPr>
            <w:tcW w:w="2516" w:type="pct"/>
            <w:tcBorders>
              <w:top w:val="nil"/>
              <w:left w:val="single" w:sz="4" w:space="0" w:color="auto"/>
              <w:bottom w:val="nil"/>
              <w:right w:val="nil"/>
            </w:tcBorders>
          </w:tcPr>
          <w:p w:rsidR="002F2BFA" w:rsidRPr="002F2BFA" w:rsidP="002F2BFA">
            <w:pPr>
              <w:pStyle w:val="CSbody0bolditalic"/>
            </w:pPr>
            <w:r w:rsidRPr="00F94B27">
              <w:t>[</w:t>
            </w:r>
            <w:r w:rsidRPr="002F2BFA">
              <w:t xml:space="preserve">etwaige zusätzliche Gebühren einfügen, die dem Investor, Zeichner bzw. dem Käufer in Rechnung gestellt werden: </w:t>
            </w:r>
            <w:r w:rsidRPr="00F94B27">
              <w:rPr>
                <w:i w:val="0"/>
              </w:rPr>
              <w:t>[</w:t>
            </w:r>
            <w:r w:rsidR="003857E8">
              <w:rPr>
                <w:rFonts w:ascii="Arial" w:hAnsi="Arial" w:cs="Arial"/>
                <w:i w:val="0"/>
              </w:rPr>
              <w:t>●</w:t>
            </w:r>
            <w:r w:rsidRPr="00F94B27">
              <w:rPr>
                <w:i w:val="0"/>
              </w:rPr>
              <w:t>]]</w:t>
            </w:r>
          </w:p>
        </w:tc>
      </w:tr>
    </w:tbl>
    <w:p w:rsidR="00C57053" w:rsidRPr="00960E67" w:rsidP="009C6D81">
      <w:pPr>
        <w:pStyle w:val="CSBody0"/>
        <w:rPr>
          <w:lang w:val="de-DE"/>
        </w:rPr>
      </w:pPr>
    </w:p>
    <w:p w:rsidR="006D1220" w:rsidRPr="00960E67">
      <w:pPr>
        <w:spacing w:after="200" w:line="276" w:lineRule="auto"/>
        <w:jc w:val="left"/>
        <w:rPr>
          <w:rFonts w:asciiTheme="minorHAnsi" w:hAnsiTheme="minorHAnsi"/>
          <w:sz w:val="18"/>
          <w:lang w:val="de-DE"/>
        </w:rPr>
      </w:pPr>
      <w:r w:rsidRPr="00960E67">
        <w:rPr>
          <w:lang w:val="de-DE"/>
        </w:rPr>
        <w:br w:type="page"/>
      </w:r>
    </w:p>
    <w:tbl>
      <w:tblPr>
        <w:tblW w:w="5000" w:type="pct"/>
        <w:tblLook w:val="00A0"/>
      </w:tblPr>
      <w:tblGrid>
        <w:gridCol w:w="4927"/>
        <w:gridCol w:w="4928"/>
      </w:tblGrid>
      <w:tr w:rsidTr="004668CF">
        <w:tblPrEx>
          <w:tblW w:w="5000" w:type="pct"/>
          <w:tblLook w:val="00A0"/>
        </w:tblPrEx>
        <w:tc>
          <w:tcPr>
            <w:tcW w:w="2500" w:type="pct"/>
            <w:tcBorders>
              <w:right w:val="single" w:sz="4" w:space="0" w:color="auto"/>
            </w:tcBorders>
          </w:tcPr>
          <w:p w:rsidR="004668CF" w:rsidRPr="00CE44D1" w:rsidP="00942F00">
            <w:pPr>
              <w:pStyle w:val="CSHeading1EN"/>
            </w:pPr>
            <w:bookmarkStart w:id="4" w:name="_Toc349943022"/>
            <w:bookmarkStart w:id="5" w:name="_Toc349943242"/>
            <w:bookmarkStart w:id="6" w:name="_Toc349943660"/>
            <w:bookmarkStart w:id="7" w:name="_Toc422862189"/>
            <w:bookmarkStart w:id="8" w:name="_Toc438227510"/>
            <w:r w:rsidRPr="00CE44D1">
              <w:t>R</w:t>
            </w:r>
            <w:r>
              <w:t>ISK</w:t>
            </w:r>
            <w:r w:rsidRPr="00CE44D1">
              <w:t xml:space="preserve"> F</w:t>
            </w:r>
            <w:bookmarkEnd w:id="4"/>
            <w:bookmarkEnd w:id="5"/>
            <w:bookmarkEnd w:id="6"/>
            <w:r>
              <w:t>ACTORS</w:t>
            </w:r>
            <w:bookmarkEnd w:id="7"/>
            <w:bookmarkEnd w:id="8"/>
          </w:p>
        </w:tc>
        <w:tc>
          <w:tcPr>
            <w:tcW w:w="2500" w:type="pct"/>
            <w:tcBorders>
              <w:left w:val="single" w:sz="4" w:space="0" w:color="auto"/>
            </w:tcBorders>
          </w:tcPr>
          <w:p w:rsidR="004668CF" w:rsidRPr="00942F00" w:rsidP="00942F00">
            <w:pPr>
              <w:pStyle w:val="CSHeading1DE"/>
            </w:pPr>
            <w:bookmarkStart w:id="9" w:name="_Toc349943126"/>
            <w:bookmarkStart w:id="10" w:name="_Toc350504723"/>
            <w:bookmarkStart w:id="11" w:name="_Toc422862242"/>
            <w:bookmarkStart w:id="12" w:name="_Toc438160258"/>
            <w:r w:rsidRPr="00942F00">
              <w:t>R</w:t>
            </w:r>
            <w:bookmarkEnd w:id="9"/>
            <w:bookmarkEnd w:id="10"/>
            <w:r w:rsidRPr="00942F00">
              <w:t>ISIKOFAKTOREN</w:t>
            </w:r>
            <w:bookmarkEnd w:id="11"/>
            <w:bookmarkEnd w:id="12"/>
          </w:p>
        </w:tc>
      </w:tr>
      <w:tr w:rsidTr="004668CF">
        <w:tblPrEx>
          <w:tblW w:w="5000" w:type="pct"/>
          <w:tblLook w:val="00A0"/>
        </w:tblPrEx>
        <w:tc>
          <w:tcPr>
            <w:tcW w:w="2500" w:type="pct"/>
            <w:tcBorders>
              <w:right w:val="single" w:sz="4" w:space="0" w:color="auto"/>
            </w:tcBorders>
          </w:tcPr>
          <w:p w:rsidR="004668CF" w:rsidRPr="00CE44D1" w:rsidP="004C1EBA">
            <w:pPr>
              <w:pStyle w:val="CSBody0italic"/>
            </w:pPr>
            <w:r w:rsidRPr="00CE44D1">
              <w:t>An investment in Complex Products is subject to a number of risks that may affect the market value of, and any expected return on, Complex Products or the ability of the Issuer to fulfil its obligations thereunder. Prospective investors should carefully consider the risks described below, together with all the other information contained in this Document (including any documents incorporated by reference herein), before making a decision to invest in Complex Products. The risks described below are not the only risks an investor in Complex Products may face. Additional risks and uncertainties not currently known to Credit Suisse or that Credit Suisse currently deems to be immaterial may also materially and adversely affect an investment in Complex Products. In such case, or if any of the following risks occur, investors in Complex Products could lose all or part of their investment in, and any expected return on, Complex Products.</w:t>
            </w:r>
          </w:p>
        </w:tc>
        <w:tc>
          <w:tcPr>
            <w:tcW w:w="2500" w:type="pct"/>
            <w:tcBorders>
              <w:left w:val="single" w:sz="4" w:space="0" w:color="auto"/>
            </w:tcBorders>
          </w:tcPr>
          <w:p w:rsidR="004668CF" w:rsidRPr="00CE44D1" w:rsidP="004C1EBA">
            <w:pPr>
              <w:pStyle w:val="CSBody0italic"/>
              <w:rPr>
                <w:lang w:val="de-DE"/>
              </w:rPr>
            </w:pPr>
            <w:r w:rsidRPr="00CE44D1">
              <w:rPr>
                <w:lang w:val="de-DE"/>
              </w:rPr>
              <w:t>Eine Anlage in Komplexe Produkte ist mit einer Reihe von Risiken verbunden, die den Marktwert sowie die zu erwartende Rendite der Komplexen Produkte oder die Fähigkeit der Emittentin zur Erfüllung ihrer Verpflichtungen darunter beeinträchtigen können. Potenzielle Anleger sollten vor einer Anlageentscheidung betreffend Komplexe Produkte die nachfolgend beschriebenen Risiken zusammen mit allen sonstigen in diesem Dokument (und allen gegebenenfalls durch Verweis darin einbezogenen Dokumenten) enthaltenen Angaben sorgfältig prüfen. Die nachfolgend beschriebenen Risiken sind nicht die einzigen, mit welchen ein Anleger in Komplexe Produkte unter Umständen konfrontiert ist. Weitere Risiken und Unsicherheiten, die der Credit Suisse derzeit nicht bekannt sind oder die die Credit Suisse derzeit als unwesentlich einstuft, können ebenfalls substantielle und nachteilige Auswirkungen auf eine Anlage in Komplexe Produkte haben. In einem solchen Fall oder bei Verwirklichung eines der nachstehend genannten Risiken könnten Anleger in Komplexe Produkte ihr gesamtes investiertes Kapital oder einen Teil davon sowie eine allfällig darauf erwartete Rendite verlieren.</w:t>
            </w:r>
          </w:p>
        </w:tc>
      </w:tr>
      <w:tr w:rsidTr="004668CF">
        <w:tblPrEx>
          <w:tblW w:w="5000" w:type="pct"/>
          <w:tblLook w:val="00A0"/>
        </w:tblPrEx>
        <w:tc>
          <w:tcPr>
            <w:tcW w:w="2500" w:type="pct"/>
            <w:tcBorders>
              <w:right w:val="single" w:sz="4" w:space="0" w:color="auto"/>
            </w:tcBorders>
          </w:tcPr>
          <w:p w:rsidR="004668CF" w:rsidRPr="00CE44D1" w:rsidP="004C1EBA">
            <w:pPr>
              <w:pStyle w:val="CSBody0italic"/>
              <w:rPr>
                <w:lang w:val="nl-NL"/>
              </w:rPr>
            </w:pPr>
            <w:r w:rsidRPr="00CE44D1">
              <w:rPr>
                <w:lang w:val="nl-NL"/>
              </w:rPr>
              <w:t>Capitalised terms used but not defined in this Risk Factors section shall have the meanings assigned to such terms elsewhere in this Document.</w:t>
            </w:r>
          </w:p>
        </w:tc>
        <w:tc>
          <w:tcPr>
            <w:tcW w:w="2500" w:type="pct"/>
            <w:tcBorders>
              <w:left w:val="single" w:sz="4" w:space="0" w:color="auto"/>
            </w:tcBorders>
          </w:tcPr>
          <w:p w:rsidR="004668CF" w:rsidRPr="00CE44D1" w:rsidP="004C1EBA">
            <w:pPr>
              <w:pStyle w:val="CSBody0italic"/>
              <w:rPr>
                <w:lang w:val="de-DE"/>
              </w:rPr>
            </w:pPr>
            <w:r w:rsidRPr="00CE44D1">
              <w:rPr>
                <w:lang w:val="de-DE"/>
              </w:rPr>
              <w:t xml:space="preserve">Begriffe, die in diesem Abschnitt </w:t>
            </w:r>
            <w:r>
              <w:rPr>
                <w:lang w:val="de-DE"/>
              </w:rPr>
              <w:t>"</w:t>
            </w:r>
            <w:r w:rsidRPr="00CE44D1">
              <w:rPr>
                <w:lang w:val="de-DE"/>
              </w:rPr>
              <w:t>Risikofaktoren</w:t>
            </w:r>
            <w:r>
              <w:rPr>
                <w:lang w:val="de-DE"/>
              </w:rPr>
              <w:t>"</w:t>
            </w:r>
            <w:r w:rsidRPr="00CE44D1">
              <w:rPr>
                <w:lang w:val="de-DE"/>
              </w:rPr>
              <w:t xml:space="preserve"> verwendet, aber nicht definiert sind, haben die ihnen jeweils an anderer Stelle in diesem Dokument zugewiesene Bedeutung.</w:t>
            </w:r>
          </w:p>
        </w:tc>
      </w:tr>
      <w:tr w:rsidTr="004668CF">
        <w:tblPrEx>
          <w:tblW w:w="5000" w:type="pct"/>
          <w:tblLook w:val="00A0"/>
        </w:tblPrEx>
        <w:tc>
          <w:tcPr>
            <w:tcW w:w="2500" w:type="pct"/>
            <w:tcBorders>
              <w:right w:val="single" w:sz="4" w:space="0" w:color="auto"/>
            </w:tcBorders>
          </w:tcPr>
          <w:p w:rsidR="004668CF" w:rsidRPr="00CE44D1" w:rsidP="00942F00">
            <w:pPr>
              <w:pStyle w:val="CSHeading2EN"/>
              <w:rPr>
                <w:lang w:val="nl-NL"/>
              </w:rPr>
            </w:pPr>
            <w:bookmarkStart w:id="13" w:name="_Toc349844973"/>
            <w:bookmarkStart w:id="14" w:name="_Toc349845133"/>
            <w:bookmarkStart w:id="15" w:name="_Toc349943243"/>
            <w:bookmarkStart w:id="16" w:name="_Toc349943661"/>
            <w:bookmarkStart w:id="17" w:name="_Toc422862190"/>
            <w:bookmarkStart w:id="18" w:name="_Toc438227511"/>
            <w:r w:rsidRPr="00CE44D1">
              <w:rPr>
                <w:lang w:val="nl-NL"/>
              </w:rPr>
              <w:t>General</w:t>
            </w:r>
            <w:bookmarkEnd w:id="13"/>
            <w:bookmarkEnd w:id="14"/>
            <w:bookmarkEnd w:id="15"/>
            <w:bookmarkEnd w:id="16"/>
            <w:bookmarkEnd w:id="17"/>
            <w:bookmarkEnd w:id="18"/>
          </w:p>
        </w:tc>
        <w:tc>
          <w:tcPr>
            <w:tcW w:w="2500" w:type="pct"/>
            <w:tcBorders>
              <w:left w:val="single" w:sz="4" w:space="0" w:color="auto"/>
            </w:tcBorders>
          </w:tcPr>
          <w:p w:rsidR="004668CF" w:rsidRPr="00CE44D1" w:rsidP="00942F00">
            <w:pPr>
              <w:pStyle w:val="CSHeading2DE"/>
              <w:rPr>
                <w:lang w:val="de-DE"/>
              </w:rPr>
            </w:pPr>
            <w:bookmarkStart w:id="19" w:name="_Toc349943127"/>
            <w:bookmarkStart w:id="20" w:name="_Toc350504724"/>
            <w:bookmarkStart w:id="21" w:name="_Toc422862243"/>
            <w:bookmarkStart w:id="22" w:name="_Toc438160259"/>
            <w:r w:rsidRPr="00CE44D1">
              <w:rPr>
                <w:lang w:val="de-DE"/>
              </w:rPr>
              <w:t>Allgemeines</w:t>
            </w:r>
            <w:bookmarkEnd w:id="19"/>
            <w:bookmarkEnd w:id="20"/>
            <w:bookmarkEnd w:id="21"/>
            <w:bookmarkEnd w:id="22"/>
          </w:p>
        </w:tc>
      </w:tr>
      <w:tr w:rsidTr="004668CF">
        <w:tblPrEx>
          <w:tblW w:w="5000" w:type="pct"/>
          <w:tblLook w:val="00A0"/>
        </w:tblPrEx>
        <w:tc>
          <w:tcPr>
            <w:tcW w:w="2500" w:type="pct"/>
            <w:tcBorders>
              <w:right w:val="single" w:sz="4" w:space="0" w:color="auto"/>
            </w:tcBorders>
          </w:tcPr>
          <w:p w:rsidR="004668CF" w:rsidRPr="00CE44D1" w:rsidP="004C1EBA">
            <w:pPr>
              <w:pStyle w:val="CSBody63"/>
              <w:rPr>
                <w:lang w:val="nl-NL"/>
              </w:rPr>
            </w:pPr>
            <w:r w:rsidRPr="00CE44D1">
              <w:rPr>
                <w:lang w:val="nl-NL"/>
              </w:rPr>
              <w:t>Complex Products involve substantial risks and are suitable only for investors who have the knowledge and experience in financial and business matters necessary to enable them to evaluate the risks and merits of an investment in Complex Products. Prospective investors should ensure that they understand the nature of the risks posed by, and the extent of their exposure under, the relevant Complex Products.</w:t>
            </w:r>
          </w:p>
        </w:tc>
        <w:tc>
          <w:tcPr>
            <w:tcW w:w="2500" w:type="pct"/>
            <w:tcBorders>
              <w:left w:val="single" w:sz="4" w:space="0" w:color="auto"/>
            </w:tcBorders>
          </w:tcPr>
          <w:p w:rsidR="004668CF" w:rsidRPr="00CE44D1" w:rsidP="004C1EBA">
            <w:pPr>
              <w:pStyle w:val="CSBody63"/>
              <w:rPr>
                <w:lang w:val="de-DE"/>
              </w:rPr>
            </w:pPr>
            <w:r w:rsidRPr="00CE44D1">
              <w:rPr>
                <w:lang w:val="de-DE"/>
              </w:rPr>
              <w:t>Komplexe Produkte sind mit erheblichen Risiken verbunden und nur für Anleger geeignet, die über die notwendige Sachkenntnis und Erfahrung in Finanz- und Geschäftsangelegenheiten verfügen, um die Chancen und Risiken einer Anlage in Komplexe Produkte bewerten zu können. Potenzielle Anleger sollten sicherstellen, dass sie die Art der mit den jeweiligen Komplexen Produkten verbundenen Risiken sowie das Ausmass, in welchem sie diesen Risiken ausgesetzt sind, richtig beurteilen können.</w:t>
            </w:r>
          </w:p>
        </w:tc>
      </w:tr>
      <w:tr w:rsidTr="00B00E57">
        <w:tblPrEx>
          <w:tblW w:w="5000" w:type="pct"/>
          <w:tblLook w:val="00A0"/>
        </w:tblPrEx>
        <w:tc>
          <w:tcPr>
            <w:tcW w:w="2500" w:type="pct"/>
            <w:tcBorders>
              <w:right w:val="single" w:sz="4" w:space="0" w:color="auto"/>
            </w:tcBorders>
          </w:tcPr>
          <w:p w:rsidR="008757CF" w:rsidRPr="002F7880" w:rsidP="00B00E57">
            <w:pPr>
              <w:pStyle w:val="CSBody63bold"/>
            </w:pPr>
            <w:r w:rsidRPr="002F7880">
              <w:t>Although Complex Products (other than Credit-Linked Complex Products) provide for a fixed Final Redemption Amount (</w:t>
            </w:r>
            <w:r w:rsidRPr="002F7880">
              <w:rPr>
                <w:i/>
              </w:rPr>
              <w:t>i.e.</w:t>
            </w:r>
            <w:r w:rsidRPr="002F7880">
              <w:t>, the Final Redemption Amount may be equal to, less than or higher than the Denomination, whichever is specified in the applicable Terms and Conditions), investors may still lose some or all of their investment therein (including the Final Redemption Amount), in particular if Credit Suisse were to become insolvent or otherwise unable to fulfil all or part of its obligations under such Complex Products.</w:t>
            </w:r>
          </w:p>
        </w:tc>
        <w:tc>
          <w:tcPr>
            <w:tcW w:w="2500" w:type="pct"/>
            <w:tcBorders>
              <w:left w:val="single" w:sz="4" w:space="0" w:color="auto"/>
            </w:tcBorders>
            <w:shd w:val="clear" w:color="auto" w:fill="FFFFFF" w:themeFill="background1"/>
          </w:tcPr>
          <w:p w:rsidR="008757CF" w:rsidRPr="00A14D92" w:rsidP="00B00E57">
            <w:pPr>
              <w:pStyle w:val="CSBody63bold"/>
            </w:pPr>
            <w:r>
              <w:t xml:space="preserve">Obwohl </w:t>
            </w:r>
            <w:r w:rsidRPr="00A14D92">
              <w:t xml:space="preserve">Komplexe Produkte </w:t>
            </w:r>
            <w:r>
              <w:t>(ausser Kreditbezogene Komplexe Produkte) einen festen Finalen Rück</w:t>
            </w:r>
            <w:r>
              <w:softHyphen/>
              <w:t>zahlungsbetrag vorsehen (d.h. der Finale Rück</w:t>
            </w:r>
            <w:r>
              <w:softHyphen/>
              <w:t xml:space="preserve">zahlungsbetrag kann </w:t>
            </w:r>
            <w:r w:rsidRPr="00A14D92">
              <w:t>gleich hoch, niedriger oder hö</w:t>
            </w:r>
            <w:r>
              <w:t>her als die Stückelung sein</w:t>
            </w:r>
            <w:r w:rsidRPr="00A14D92">
              <w:t>, je nachdem, w</w:t>
            </w:r>
            <w:r>
              <w:t>as in den anwendbaren Emissions</w:t>
            </w:r>
            <w:r w:rsidRPr="00A14D92">
              <w:t>bedingungen vorgesehen ist)</w:t>
            </w:r>
            <w:r>
              <w:t>, können Anleger dennoch</w:t>
            </w:r>
            <w:r w:rsidRPr="00A14D92">
              <w:t xml:space="preserve"> den von ihnen investierten Betrag (einschliesslich des </w:t>
            </w:r>
            <w:r>
              <w:t>Finalen</w:t>
            </w:r>
            <w:r w:rsidRPr="00A14D92">
              <w:t xml:space="preserve"> Rückzahlungsbetrags)</w:t>
            </w:r>
            <w:r>
              <w:t xml:space="preserve"> ganz oder teilweise verlieren</w:t>
            </w:r>
            <w:r w:rsidRPr="00A14D92">
              <w:t>, insbesondere im Falle einer Insolvenz der Credit Suisse, oder falls die Credit Suisse ihre Verpflichtungen aus diesen Komplexen Produkten anderweitig nicht oder nur teilweise erfüllen kann.</w:t>
            </w:r>
          </w:p>
        </w:tc>
      </w:tr>
      <w:tr w:rsidTr="004668CF">
        <w:tblPrEx>
          <w:tblW w:w="5000" w:type="pct"/>
          <w:tblLook w:val="00A0"/>
        </w:tblPrEx>
        <w:tc>
          <w:tcPr>
            <w:tcW w:w="2500" w:type="pct"/>
            <w:tcBorders>
              <w:right w:val="single" w:sz="4" w:space="0" w:color="auto"/>
            </w:tcBorders>
          </w:tcPr>
          <w:p w:rsidR="004668CF" w:rsidRPr="00CE44D1" w:rsidP="004C1EBA">
            <w:pPr>
              <w:pStyle w:val="CSBody63"/>
              <w:rPr>
                <w:lang w:val="nl-NL"/>
              </w:rPr>
            </w:pPr>
            <w:r w:rsidRPr="00CE44D1">
              <w:rPr>
                <w:lang w:val="nl-NL"/>
              </w:rPr>
              <w:t xml:space="preserve">Prospective investors should make all pertinent inquiries they deem necessary in addition to the information provided in this Base Prospectus without relying on the Issuer or any of its affiliates, officers or employees. Prospective investors should consider the suitability </w:t>
            </w:r>
            <w:r>
              <w:rPr>
                <w:lang w:val="nl-NL"/>
              </w:rPr>
              <w:t xml:space="preserve">and </w:t>
            </w:r>
            <w:r w:rsidRPr="0015196D">
              <w:rPr>
                <w:lang w:val="nl-NL"/>
              </w:rPr>
              <w:t>appropriateness</w:t>
            </w:r>
            <w:r>
              <w:rPr>
                <w:lang w:val="nl-NL"/>
              </w:rPr>
              <w:t xml:space="preserve"> </w:t>
            </w:r>
            <w:r w:rsidRPr="00CE44D1">
              <w:rPr>
                <w:lang w:val="nl-NL"/>
              </w:rPr>
              <w:t>of the relevant Complex Products as an investment in light of their own circumstances, investment objectives, tax position and financial condition.</w:t>
            </w:r>
          </w:p>
        </w:tc>
        <w:tc>
          <w:tcPr>
            <w:tcW w:w="2500" w:type="pct"/>
            <w:tcBorders>
              <w:left w:val="single" w:sz="4" w:space="0" w:color="auto"/>
            </w:tcBorders>
          </w:tcPr>
          <w:p w:rsidR="004668CF" w:rsidRPr="00CE44D1" w:rsidP="004C1EBA">
            <w:pPr>
              <w:pStyle w:val="CSBody63"/>
              <w:rPr>
                <w:lang w:val="de-DE"/>
              </w:rPr>
            </w:pPr>
            <w:r w:rsidRPr="00CE44D1">
              <w:rPr>
                <w:lang w:val="de-DE"/>
              </w:rPr>
              <w:t xml:space="preserve">Potenzielle Anleger sollten alle Erkundigungen einholen, die sie zusätzlich zu den in diesem Basisprospekt zur Verfügung gestellten Informationen für erforderlich halten, und sich dabei nicht auf die Emittentin oder deren verbundene Unternehmen, Führungskräfte oder Mitarbeiter verlassen. Sie sollten die Eignung </w:t>
            </w:r>
            <w:r>
              <w:rPr>
                <w:lang w:val="de-DE"/>
              </w:rPr>
              <w:t xml:space="preserve">und Angemessenheit </w:t>
            </w:r>
            <w:r w:rsidRPr="00CE44D1">
              <w:rPr>
                <w:lang w:val="de-DE"/>
              </w:rPr>
              <w:t>der jeweiligen Komplexen Produkte als Anlageform vor dem Hintergrund ihrer persönlichen Verhältnisse, ihrer Anlageziele, ihrer steuerlichen Situation und ihrer Finanzlage prüfen.</w:t>
            </w:r>
          </w:p>
        </w:tc>
      </w:tr>
      <w:tr w:rsidTr="004668CF">
        <w:tblPrEx>
          <w:tblW w:w="5000" w:type="pct"/>
          <w:tblLook w:val="00A0"/>
        </w:tblPrEx>
        <w:tc>
          <w:tcPr>
            <w:tcW w:w="2500" w:type="pct"/>
            <w:tcBorders>
              <w:right w:val="single" w:sz="4" w:space="0" w:color="auto"/>
            </w:tcBorders>
          </w:tcPr>
          <w:p w:rsidR="004668CF" w:rsidRPr="00CE44D1">
            <w:pPr>
              <w:pStyle w:val="CSBody63"/>
              <w:rPr>
                <w:b/>
                <w:bCs w:val="0"/>
                <w:lang w:val="nl-NL"/>
              </w:rPr>
            </w:pPr>
            <w:r w:rsidRPr="00CE44D1">
              <w:rPr>
                <w:lang w:val="nl-NL"/>
              </w:rPr>
              <w:t xml:space="preserve">Prospective investors should consider carefully all the information set forth in this Document (including any documents incorporated by reference herein). Prospective investors should pay particular attention to this </w:t>
            </w:r>
            <w:r>
              <w:rPr>
                <w:lang w:val="nl-NL"/>
              </w:rPr>
              <w:t>"</w:t>
            </w:r>
            <w:r w:rsidRPr="00CE44D1">
              <w:rPr>
                <w:lang w:val="nl-NL"/>
              </w:rPr>
              <w:t>Risk Factors</w:t>
            </w:r>
            <w:r>
              <w:rPr>
                <w:lang w:val="nl-NL"/>
              </w:rPr>
              <w:t>"</w:t>
            </w:r>
            <w:r w:rsidRPr="00CE44D1">
              <w:rPr>
                <w:lang w:val="nl-NL"/>
              </w:rPr>
              <w:t xml:space="preserve"> section, however, this Document cannot disclose all of the risks and other significant aspects of Complex Products</w:t>
            </w:r>
            <w:r>
              <w:rPr>
                <w:lang w:val="nl-NL"/>
              </w:rPr>
              <w:t xml:space="preserve"> that could be of particular importance to the individual investor when taking into account his personal situation</w:t>
            </w:r>
            <w:r w:rsidRPr="00CE44D1">
              <w:rPr>
                <w:lang w:val="nl-NL"/>
              </w:rPr>
              <w:t xml:space="preserve">. Prospective investors in Complex Products should </w:t>
            </w:r>
            <w:r>
              <w:rPr>
                <w:lang w:val="nl-NL"/>
              </w:rPr>
              <w:t xml:space="preserve">therefore </w:t>
            </w:r>
            <w:r w:rsidRPr="00CE44D1">
              <w:rPr>
                <w:lang w:val="nl-NL"/>
              </w:rPr>
              <w:t>consult their own legal, tax, accounting, financial and other professional advisors to assist them in determining the suitability of Complex Products for them as an investment.</w:t>
            </w:r>
          </w:p>
        </w:tc>
        <w:tc>
          <w:tcPr>
            <w:tcW w:w="2500" w:type="pct"/>
            <w:tcBorders>
              <w:left w:val="single" w:sz="4" w:space="0" w:color="auto"/>
            </w:tcBorders>
          </w:tcPr>
          <w:p w:rsidR="004668CF" w:rsidRPr="00CE44D1" w:rsidP="004C1EBA">
            <w:pPr>
              <w:pStyle w:val="CSBody63"/>
              <w:rPr>
                <w:lang w:val="de-DE"/>
              </w:rPr>
            </w:pPr>
            <w:r w:rsidRPr="00CE44D1">
              <w:rPr>
                <w:lang w:val="de-DE"/>
              </w:rPr>
              <w:t xml:space="preserve">Potenzielle Anleger sollten alle in diesem Dokument (und allen gegebenenfalls durch Verweis darin einbezogenen Dokumenten) enthaltenen Angaben sorgfältig prüfen. Sie sollten insbesondere diesen Abschnitt </w:t>
            </w:r>
            <w:r>
              <w:rPr>
                <w:lang w:val="de-DE"/>
              </w:rPr>
              <w:t>"</w:t>
            </w:r>
            <w:r w:rsidRPr="00CE44D1">
              <w:rPr>
                <w:lang w:val="de-DE"/>
              </w:rPr>
              <w:t>Risikofaktoren</w:t>
            </w:r>
            <w:r>
              <w:rPr>
                <w:lang w:val="de-DE"/>
              </w:rPr>
              <w:t>"</w:t>
            </w:r>
            <w:r w:rsidRPr="00CE44D1">
              <w:rPr>
                <w:lang w:val="de-DE"/>
              </w:rPr>
              <w:t xml:space="preserve"> aufmerksam lesen. Jedoch können in diesem Dokument nicht alle Risiken und sonstigen wesentlichen Aspekte der Komplexen Produkte</w:t>
            </w:r>
            <w:r>
              <w:rPr>
                <w:lang w:val="de-DE"/>
              </w:rPr>
              <w:t>, die für den einzelnen Anleger unter besonderer Berücksichtigung seiner persönlichen Verhältnisse besonders wichtig erscheinen,</w:t>
            </w:r>
            <w:r w:rsidRPr="00CE44D1">
              <w:rPr>
                <w:lang w:val="de-DE"/>
              </w:rPr>
              <w:t xml:space="preserve"> dargelegt werden. Potenzielle Anleger in Komplexe Produkte sollten </w:t>
            </w:r>
            <w:r>
              <w:rPr>
                <w:lang w:val="de-DE"/>
              </w:rPr>
              <w:t xml:space="preserve">daher </w:t>
            </w:r>
            <w:r w:rsidRPr="00CE44D1">
              <w:rPr>
                <w:lang w:val="de-DE"/>
              </w:rPr>
              <w:t>ihre persönlichen Rechts-, Steuer- und Finanzberater, Wirtschaftsprüfer und sonstigen Fachberater konsultieren und mit ihrer Hilfe prüfen, ob die Komplexen Produkte als Anlageform für sie geeignet sind.</w:t>
            </w:r>
          </w:p>
        </w:tc>
      </w:tr>
      <w:tr w:rsidTr="004668CF">
        <w:tblPrEx>
          <w:tblW w:w="5000" w:type="pct"/>
          <w:tblLook w:val="00A0"/>
        </w:tblPrEx>
        <w:tc>
          <w:tcPr>
            <w:tcW w:w="2500" w:type="pct"/>
            <w:tcBorders>
              <w:right w:val="single" w:sz="4" w:space="0" w:color="auto"/>
            </w:tcBorders>
          </w:tcPr>
          <w:p w:rsidR="004668CF" w:rsidRPr="002B2A24" w:rsidP="00942F00">
            <w:pPr>
              <w:pStyle w:val="CSHeading2EN"/>
            </w:pPr>
            <w:bookmarkStart w:id="23" w:name="_Toc368067745"/>
            <w:bookmarkStart w:id="24" w:name="_Toc388983391"/>
            <w:bookmarkStart w:id="25" w:name="_Toc422862191"/>
            <w:bookmarkStart w:id="26" w:name="_Toc438227512"/>
            <w:r w:rsidRPr="002B2A24">
              <w:t>Risk factors that may affect the ability of Credit Suisse to fulfil its obligations under Complex Products</w:t>
            </w:r>
            <w:bookmarkEnd w:id="23"/>
            <w:bookmarkEnd w:id="24"/>
            <w:bookmarkEnd w:id="25"/>
            <w:bookmarkEnd w:id="26"/>
            <w:r w:rsidRPr="002B2A24">
              <w:t xml:space="preserve"> </w:t>
            </w:r>
          </w:p>
        </w:tc>
        <w:tc>
          <w:tcPr>
            <w:tcW w:w="2500" w:type="pct"/>
            <w:tcBorders>
              <w:left w:val="single" w:sz="4" w:space="0" w:color="auto"/>
            </w:tcBorders>
          </w:tcPr>
          <w:p w:rsidR="004668CF" w:rsidRPr="002B2A24" w:rsidP="00942F00">
            <w:pPr>
              <w:pStyle w:val="CSHeading2DE"/>
              <w:rPr>
                <w:lang w:val="de-DE"/>
              </w:rPr>
            </w:pPr>
            <w:bookmarkStart w:id="27" w:name="_Toc368067849"/>
            <w:bookmarkStart w:id="28" w:name="_Toc388983476"/>
            <w:bookmarkStart w:id="29" w:name="_Toc422862244"/>
            <w:bookmarkStart w:id="30" w:name="_Toc438160260"/>
            <w:r w:rsidRPr="002B2A24">
              <w:rPr>
                <w:lang w:val="de-DE"/>
              </w:rPr>
              <w:t>Risikofaktoren, die die Fähigkeit der Credit Suisse zur Erfüllung ihrer Verpflichtungen aus Komplexen Produkten beeinträchtigen können</w:t>
            </w:r>
            <w:bookmarkEnd w:id="27"/>
            <w:bookmarkEnd w:id="28"/>
            <w:bookmarkEnd w:id="29"/>
            <w:bookmarkEnd w:id="30"/>
            <w:r w:rsidRPr="002B2A24">
              <w:rPr>
                <w:lang w:val="de-DE"/>
              </w:rPr>
              <w:t xml:space="preserve"> </w:t>
            </w:r>
          </w:p>
        </w:tc>
      </w:tr>
      <w:tr w:rsidTr="004668CF">
        <w:tblPrEx>
          <w:tblW w:w="5000" w:type="pct"/>
          <w:tblLook w:val="00A0"/>
        </w:tblPrEx>
        <w:tc>
          <w:tcPr>
            <w:tcW w:w="2500" w:type="pct"/>
            <w:tcBorders>
              <w:right w:val="single" w:sz="4" w:space="0" w:color="auto"/>
            </w:tcBorders>
          </w:tcPr>
          <w:p w:rsidR="004668CF" w:rsidRPr="005E76D1" w:rsidP="004C1EBA">
            <w:pPr>
              <w:pStyle w:val="CSBody63"/>
            </w:pPr>
            <w:r w:rsidRPr="005E76D1">
              <w:t>Credit Suisse is exposed to a variety of risks that could adversely affect its results of operations or financial condition and has described any such risks that it believes to be material. In such case, the Issuer may not be able to fulfil all or a part of its obligations under Complex Products and investors in Complex Products could lose all or a part of their investment in, and any expected return on, Complex Products.</w:t>
            </w:r>
            <w:r>
              <w:t xml:space="preserve"> </w:t>
            </w:r>
            <w:r w:rsidRPr="00716763">
              <w:t xml:space="preserve">All references to Credit Suisse in the risk factors set out in this section </w:t>
            </w:r>
            <w:r>
              <w:t>"</w:t>
            </w:r>
            <w:r w:rsidRPr="00E02607">
              <w:t>II. Risk factors that may affect the ability of Credit Suisse to fulfil its obligations under Complex Products</w:t>
            </w:r>
            <w:r>
              <w:t>"</w:t>
            </w:r>
            <w:r w:rsidRPr="00716763">
              <w:t xml:space="preserve"> are also related to the consolidated businesses carried on by CSG and its subsidiaries (including Credit Suisse) and therefore should also be read as references to CSG.</w:t>
            </w:r>
            <w:r>
              <w:t xml:space="preserve"> Likewise, a</w:t>
            </w:r>
            <w:r w:rsidRPr="000F641B">
              <w:t>ll references to CSG in the risk factors set out in this section "II. Risk factors that may affect the ability of Credit Suisse to fulfil its obligations under Complex Products"</w:t>
            </w:r>
            <w:r>
              <w:t xml:space="preserve"> are related to </w:t>
            </w:r>
            <w:r w:rsidRPr="000F641B">
              <w:t>the consolidated businesses carried on by CSG and its subsidiaries and therefore should be read as applying equally to CSG and Credit Suisse.</w:t>
            </w:r>
          </w:p>
        </w:tc>
        <w:tc>
          <w:tcPr>
            <w:tcW w:w="2500" w:type="pct"/>
            <w:tcBorders>
              <w:left w:val="single" w:sz="4" w:space="0" w:color="auto"/>
            </w:tcBorders>
            <w:shd w:val="clear" w:color="auto" w:fill="auto"/>
          </w:tcPr>
          <w:p w:rsidR="004668CF" w:rsidRPr="005E76D1" w:rsidP="004C1EBA">
            <w:pPr>
              <w:pStyle w:val="CSBody63"/>
              <w:rPr>
                <w:lang w:val="de-CH"/>
              </w:rPr>
            </w:pPr>
            <w:r w:rsidRPr="005E76D1">
              <w:rPr>
                <w:lang w:val="de-CH"/>
              </w:rPr>
              <w:t>Die Credit Suisse ist einer Vielzahl von Risiken ausgesetzt, die sich ungünstig auf ihr Geschäftsergebnis oder ihre finanzielle Lage auswirken könnten. Die Credit Suisse hat diese Risiken, die sie als wesentlich erachtet, beschrieben. In einem solchen Fall kann die Emittentin ihre Verpflichtungen aus Komplexen Produkten unter Umständen nicht oder nur teilweise erfüllen, und Anleger in Komplexe Produkte könnten ihr gesamtes in Komplexe Produkte angelegtes Kapital oder einen Teil davon sowie eine allfällig darauf erwartete Rendite verlieren.</w:t>
            </w:r>
            <w:r>
              <w:rPr>
                <w:lang w:val="de-CH"/>
              </w:rPr>
              <w:t xml:space="preserve"> </w:t>
            </w:r>
            <w:r w:rsidRPr="00716763">
              <w:rPr>
                <w:lang w:val="de-CH"/>
              </w:rPr>
              <w:t xml:space="preserve">Alle Bezugnahmen auf Credit Suisse in den in diesem Abschnitt </w:t>
            </w:r>
            <w:r>
              <w:rPr>
                <w:lang w:val="de-CH"/>
              </w:rPr>
              <w:t>"</w:t>
            </w:r>
            <w:r w:rsidRPr="00E02607">
              <w:rPr>
                <w:lang w:val="de-CH"/>
              </w:rPr>
              <w:t>II. Risikofaktoren, die die Fähigkeit der Credit Suisse zur Erfüllung ihrer Verpflichtungen aus Komplexen Produkten beeinträchtigen können</w:t>
            </w:r>
            <w:r>
              <w:rPr>
                <w:lang w:val="de-CH"/>
              </w:rPr>
              <w:t>"</w:t>
            </w:r>
            <w:r w:rsidRPr="00E02607">
              <w:rPr>
                <w:lang w:val="de-CH"/>
              </w:rPr>
              <w:t xml:space="preserve"> </w:t>
            </w:r>
            <w:r w:rsidRPr="00716763">
              <w:rPr>
                <w:lang w:val="de-CH"/>
              </w:rPr>
              <w:t>beschriebenen Risikofaktoren stehen auch im Zusammenhang mit der konsolidierten Geschäftstätigkeit der CSG und ihrer Tochtergesellschaften (einschliesslich der Credit Suisse) und sind somit auch als Bezugnahmen auf die CSG zu verstehen.</w:t>
            </w:r>
            <w:r w:rsidRPr="000F641B">
              <w:rPr>
                <w:rFonts w:eastAsiaTheme="minorHAnsi"/>
                <w:bCs w:val="0"/>
                <w:szCs w:val="22"/>
                <w:lang w:val="de-DE" w:eastAsia="en-US"/>
              </w:rPr>
              <w:t xml:space="preserve"> </w:t>
            </w:r>
            <w:r>
              <w:rPr>
                <w:rFonts w:eastAsiaTheme="minorHAnsi"/>
                <w:bCs w:val="0"/>
                <w:szCs w:val="22"/>
                <w:lang w:val="de-DE" w:eastAsia="en-US"/>
              </w:rPr>
              <w:t>Gleichfalls stehen a</w:t>
            </w:r>
            <w:r w:rsidRPr="000F641B">
              <w:rPr>
                <w:lang w:val="de-DE"/>
              </w:rPr>
              <w:t xml:space="preserve">lle Bezugnahmen auf die CSG </w:t>
            </w:r>
            <w:r w:rsidRPr="000F641B">
              <w:rPr>
                <w:lang w:val="de-CH"/>
              </w:rPr>
              <w:t>in den in diesem Abschnitt "II. Risikofaktoren, die die Fähigkeit der Credit Suisse zur Erfüllung ihrer Verpflichtungen aus Komplexen Produkten beeinträchtigen können" beschriebenen Risikofaktoren im Zusammenhang mit der konsolidierten Geschäftstätigkeit der CSG und ihrer Tochtergesellschaften und</w:t>
            </w:r>
            <w:r w:rsidRPr="00505A9E">
              <w:rPr>
                <w:rFonts w:eastAsiaTheme="minorHAnsi"/>
                <w:bCs w:val="0"/>
                <w:szCs w:val="22"/>
                <w:lang w:val="de-DE" w:eastAsia="en-US"/>
              </w:rPr>
              <w:t xml:space="preserve"> </w:t>
            </w:r>
            <w:r w:rsidRPr="00505A9E">
              <w:rPr>
                <w:lang w:val="de-DE"/>
              </w:rPr>
              <w:t>sind somit als Bezugnahmen auf die CSG und die Credit Suisse zu verstehen</w:t>
            </w:r>
            <w:r w:rsidRPr="000F641B">
              <w:rPr>
                <w:lang w:val="de-DE"/>
              </w:rPr>
              <w:t>.</w:t>
            </w:r>
          </w:p>
        </w:tc>
      </w:tr>
      <w:tr w:rsidTr="004668CF">
        <w:tblPrEx>
          <w:tblW w:w="5000" w:type="pct"/>
          <w:tblLook w:val="00A0"/>
        </w:tblPrEx>
        <w:tc>
          <w:tcPr>
            <w:tcW w:w="2500" w:type="pct"/>
            <w:tcBorders>
              <w:right w:val="single" w:sz="4" w:space="0" w:color="auto"/>
            </w:tcBorders>
          </w:tcPr>
          <w:p w:rsidR="004668CF" w:rsidRPr="005E76D1" w:rsidP="004C1EBA">
            <w:pPr>
              <w:pStyle w:val="CSBody63"/>
            </w:pPr>
            <w:bookmarkStart w:id="31" w:name="III"/>
            <w:bookmarkStart w:id="32" w:name="_Toc355692098"/>
            <w:r w:rsidRPr="005E76D1">
              <w:t>Some of the following risk factors contain references to certain sections of the Credit Suisse Annual Report 201</w:t>
            </w:r>
            <w:r>
              <w:t>4</w:t>
            </w:r>
            <w:r w:rsidR="00033B30">
              <w:t>, the Credit Suisse Financial Report 1Q15, the Credit Suisse Financial Report 2Q15</w:t>
            </w:r>
            <w:r w:rsidRPr="005E76D1">
              <w:t xml:space="preserve"> and the Credit Suisse Financial Report </w:t>
            </w:r>
            <w:r>
              <w:t>3</w:t>
            </w:r>
            <w:r w:rsidRPr="005E76D1">
              <w:t>Q1</w:t>
            </w:r>
            <w:r>
              <w:t>5</w:t>
            </w:r>
            <w:r w:rsidRPr="005E76D1">
              <w:t>. Such references are only meant to provide background information to the interested investor and do not contain any risks additional to the risks set out in this section that Credit Suisse considers to be material.</w:t>
            </w:r>
          </w:p>
        </w:tc>
        <w:tc>
          <w:tcPr>
            <w:tcW w:w="2500" w:type="pct"/>
            <w:tcBorders>
              <w:left w:val="single" w:sz="4" w:space="0" w:color="auto"/>
            </w:tcBorders>
            <w:shd w:val="clear" w:color="auto" w:fill="auto"/>
          </w:tcPr>
          <w:p w:rsidR="004668CF" w:rsidRPr="002A6FFA">
            <w:pPr>
              <w:pStyle w:val="CSBody63"/>
              <w:rPr>
                <w:lang w:val="de-CH"/>
              </w:rPr>
            </w:pPr>
            <w:r w:rsidRPr="00E02607">
              <w:rPr>
                <w:lang w:val="de-CH"/>
              </w:rPr>
              <w:t>Einige der folgenden Risikofaktoren enthalten Bezugnahmen auf bestimmte Abschnitte des Geschäftsberichts der Credit Suisse für das Jahr 2014</w:t>
            </w:r>
            <w:r w:rsidR="00033B30">
              <w:rPr>
                <w:lang w:val="de-CH"/>
              </w:rPr>
              <w:t xml:space="preserve">, </w:t>
            </w:r>
            <w:r w:rsidR="003D05AA">
              <w:rPr>
                <w:lang w:val="de-CH"/>
              </w:rPr>
              <w:t xml:space="preserve">des </w:t>
            </w:r>
            <w:r w:rsidRPr="00033B30" w:rsidR="00033B30">
              <w:rPr>
                <w:lang w:val="de-CH"/>
              </w:rPr>
              <w:t xml:space="preserve">Finanzberichts </w:t>
            </w:r>
            <w:r w:rsidR="00033B30">
              <w:rPr>
                <w:lang w:val="de-CH"/>
              </w:rPr>
              <w:t>1</w:t>
            </w:r>
            <w:r w:rsidRPr="00033B30" w:rsidR="00033B30">
              <w:rPr>
                <w:lang w:val="de-CH"/>
              </w:rPr>
              <w:t>Q15</w:t>
            </w:r>
            <w:r w:rsidR="00033B30">
              <w:rPr>
                <w:lang w:val="de-CH"/>
              </w:rPr>
              <w:t>, des</w:t>
            </w:r>
            <w:r w:rsidRPr="00033B30" w:rsidR="00033B30">
              <w:rPr>
                <w:lang w:val="de-CH"/>
              </w:rPr>
              <w:t xml:space="preserve"> Finanzberichts </w:t>
            </w:r>
            <w:r w:rsidR="00033B30">
              <w:rPr>
                <w:lang w:val="de-CH"/>
              </w:rPr>
              <w:t>2</w:t>
            </w:r>
            <w:r w:rsidRPr="00033B30" w:rsidR="00033B30">
              <w:rPr>
                <w:lang w:val="de-CH"/>
              </w:rPr>
              <w:t xml:space="preserve">Q15 </w:t>
            </w:r>
            <w:r w:rsidRPr="00E02607">
              <w:rPr>
                <w:lang w:val="de-CH"/>
              </w:rPr>
              <w:t xml:space="preserve">und des Finanzberichts </w:t>
            </w:r>
            <w:r>
              <w:rPr>
                <w:lang w:val="de-CH"/>
              </w:rPr>
              <w:t>3</w:t>
            </w:r>
            <w:r w:rsidRPr="00E02607">
              <w:rPr>
                <w:lang w:val="de-CH"/>
              </w:rPr>
              <w:t>Q15 der Credit Suisse. Diese Bezugnahmen sind nur dazu gedacht, interessierten Anlegern Hintergrundinformationen zur Verfügung zu stellen; sie enthalten über die in diesem Abschnitt beschriebenen Risiken hinaus keine zusätzlichen Risiken, welche die Credit Suisse für wesentlich erachten würde</w:t>
            </w:r>
            <w:r w:rsidRPr="005E76D1">
              <w:rPr>
                <w:lang w:val="de-CH"/>
              </w:rPr>
              <w:t>.</w:t>
            </w:r>
          </w:p>
        </w:tc>
      </w:tr>
      <w:tr w:rsidTr="004668CF">
        <w:tblPrEx>
          <w:tblW w:w="5000" w:type="pct"/>
          <w:tblLook w:val="00A0"/>
        </w:tblPrEx>
        <w:tc>
          <w:tcPr>
            <w:tcW w:w="2500" w:type="pct"/>
            <w:tcBorders>
              <w:right w:val="single" w:sz="4" w:space="0" w:color="auto"/>
            </w:tcBorders>
          </w:tcPr>
          <w:p w:rsidR="004668CF" w:rsidRPr="009808B7" w:rsidP="004668CF">
            <w:pPr>
              <w:pStyle w:val="CSNum1EN"/>
              <w:numPr>
                <w:ilvl w:val="1"/>
                <w:numId w:val="21"/>
              </w:numPr>
              <w:rPr>
                <w:szCs w:val="18"/>
              </w:rPr>
            </w:pPr>
            <w:r w:rsidRPr="009808B7">
              <w:rPr>
                <w:bCs/>
                <w:szCs w:val="18"/>
              </w:rPr>
              <w:t>Liquidity risk</w:t>
            </w:r>
          </w:p>
        </w:tc>
        <w:tc>
          <w:tcPr>
            <w:tcW w:w="2500" w:type="pct"/>
            <w:tcBorders>
              <w:left w:val="single" w:sz="4" w:space="0" w:color="auto"/>
            </w:tcBorders>
            <w:shd w:val="clear" w:color="auto" w:fill="auto"/>
          </w:tcPr>
          <w:p w:rsidR="004668CF" w:rsidRPr="00263045" w:rsidP="004668CF">
            <w:pPr>
              <w:pStyle w:val="CSNum1DE"/>
              <w:numPr>
                <w:ilvl w:val="0"/>
                <w:numId w:val="17"/>
              </w:numPr>
              <w:ind w:left="357" w:hanging="357"/>
            </w:pPr>
            <w:r w:rsidRPr="009808B7">
              <w:rPr>
                <w:lang w:val="de-CH"/>
              </w:rPr>
              <w:t>Liquiditätsrisiko</w:t>
            </w:r>
          </w:p>
        </w:tc>
      </w:tr>
      <w:tr w:rsidTr="004668CF">
        <w:tblPrEx>
          <w:tblW w:w="5000" w:type="pct"/>
          <w:tblLook w:val="00A0"/>
        </w:tblPrEx>
        <w:tc>
          <w:tcPr>
            <w:tcW w:w="2500" w:type="pct"/>
            <w:tcBorders>
              <w:right w:val="single" w:sz="4" w:space="0" w:color="auto"/>
            </w:tcBorders>
          </w:tcPr>
          <w:p w:rsidR="004668CF" w:rsidRPr="00DD6F3F">
            <w:pPr>
              <w:pStyle w:val="CSBody63"/>
              <w:rPr>
                <w:b/>
              </w:rPr>
            </w:pPr>
            <w:r w:rsidRPr="00B20C7C">
              <w:t>Liquidity, or ready access to funds, is essential to C</w:t>
            </w:r>
            <w:r>
              <w:t>redit Suisse'</w:t>
            </w:r>
            <w:r w:rsidRPr="00B20C7C">
              <w:t>s business</w:t>
            </w:r>
            <w:r>
              <w:t>es</w:t>
            </w:r>
            <w:r w:rsidRPr="00B20C7C">
              <w:t>, particularly C</w:t>
            </w:r>
            <w:r>
              <w:t>redit Suisse</w:t>
            </w:r>
            <w:r w:rsidRPr="00B20C7C">
              <w:t>’s Investment Banking business. C</w:t>
            </w:r>
            <w:r>
              <w:t>redit Suisse</w:t>
            </w:r>
            <w:r w:rsidRPr="00B20C7C">
              <w:t xml:space="preserve"> maintains available liquidity to meet its obligations in a stressed liquidity environment. For information on C</w:t>
            </w:r>
            <w:r>
              <w:t>redit Suisse</w:t>
            </w:r>
            <w:r w:rsidRPr="00B20C7C">
              <w:t xml:space="preserve">’s </w:t>
            </w:r>
            <w:r>
              <w:t>liquidity management, refer to "</w:t>
            </w:r>
            <w:r w:rsidRPr="00B20C7C">
              <w:rPr>
                <w:i/>
              </w:rPr>
              <w:t>III—Treasury, Risk, Bal</w:t>
            </w:r>
            <w:r>
              <w:rPr>
                <w:i/>
              </w:rPr>
              <w:t>ance sheet and Off-balance sheet</w:t>
            </w:r>
            <w:r>
              <w:t>"</w:t>
            </w:r>
            <w:r w:rsidRPr="00B20C7C">
              <w:t xml:space="preserve"> in the Credit Suisse Annual Report </w:t>
            </w:r>
            <w:r>
              <w:t>2014</w:t>
            </w:r>
            <w:r w:rsidRPr="003D6855">
              <w:t xml:space="preserve"> and </w:t>
            </w:r>
            <w:r>
              <w:t>"</w:t>
            </w:r>
            <w:r w:rsidRPr="00B014C9">
              <w:rPr>
                <w:i/>
              </w:rPr>
              <w:t xml:space="preserve">II—Treasury, Risk, Balance sheet and </w:t>
            </w:r>
            <w:r w:rsidR="00033B30">
              <w:rPr>
                <w:i/>
              </w:rPr>
              <w:t>o</w:t>
            </w:r>
            <w:r w:rsidRPr="00B014C9" w:rsidR="00033B30">
              <w:rPr>
                <w:i/>
              </w:rPr>
              <w:t>ff</w:t>
            </w:r>
            <w:r w:rsidRPr="00B014C9">
              <w:rPr>
                <w:i/>
              </w:rPr>
              <w:t>-balance sheet</w:t>
            </w:r>
            <w:r>
              <w:t>"</w:t>
            </w:r>
            <w:r w:rsidRPr="003D6855">
              <w:t xml:space="preserve"> in the Credit Suisse Financial Re</w:t>
            </w:r>
            <w:r>
              <w:t>port</w:t>
            </w:r>
            <w:r w:rsidRPr="003D6855">
              <w:t xml:space="preserve"> </w:t>
            </w:r>
            <w:r>
              <w:t>3Q15</w:t>
            </w:r>
            <w:r w:rsidRPr="00B20C7C">
              <w:t>.</w:t>
            </w:r>
          </w:p>
        </w:tc>
        <w:tc>
          <w:tcPr>
            <w:tcW w:w="2500" w:type="pct"/>
            <w:tcBorders>
              <w:left w:val="single" w:sz="4" w:space="0" w:color="auto"/>
            </w:tcBorders>
            <w:shd w:val="clear" w:color="auto" w:fill="auto"/>
          </w:tcPr>
          <w:p w:rsidR="004668CF" w:rsidRPr="00293F90" w:rsidP="004C1EBA">
            <w:pPr>
              <w:pStyle w:val="CSBody63"/>
              <w:rPr>
                <w:b/>
                <w:lang w:val="de-DE"/>
              </w:rPr>
            </w:pPr>
            <w:r w:rsidRPr="00E02607">
              <w:rPr>
                <w:lang w:val="de-CH"/>
              </w:rPr>
              <w:t>Die Liquidität oder der schnelle Zugang zu finanziellen Mitteln ist für die Tätigkeit</w:t>
            </w:r>
            <w:r>
              <w:rPr>
                <w:lang w:val="de-CH"/>
              </w:rPr>
              <w:t>en</w:t>
            </w:r>
            <w:r w:rsidRPr="00E02607">
              <w:rPr>
                <w:lang w:val="de-CH"/>
              </w:rPr>
              <w:t xml:space="preserve"> der Credit Suisse, und insbesondere ihr Investment Banking, von entscheidender Bedeutung. Die Credit Suisse hält flüssige Mittel bereit, um ihren Verpflichtungen auch unter angespannten Liquiditätsbedingungen nach</w:t>
            </w:r>
            <w:r w:rsidRPr="00E02607">
              <w:rPr>
                <w:lang w:val="de-CH"/>
              </w:rPr>
              <w:softHyphen/>
              <w:t>zukommen. Informationen zur Liquiditäts</w:t>
            </w:r>
            <w:r w:rsidRPr="00E02607">
              <w:rPr>
                <w:lang w:val="de-CH"/>
              </w:rPr>
              <w:softHyphen/>
              <w:t xml:space="preserve">bewirtschaftung der Credit Suisse finden sich in dem Abschnitt </w:t>
            </w:r>
            <w:r>
              <w:rPr>
                <w:lang w:val="de-CH"/>
              </w:rPr>
              <w:t>"</w:t>
            </w:r>
            <w:r w:rsidRPr="00E02607">
              <w:rPr>
                <w:i/>
                <w:lang w:val="de-CH"/>
              </w:rPr>
              <w:t>III—Treasury, Risiko, Bilanz und Ausserbilanz</w:t>
            </w:r>
            <w:r>
              <w:rPr>
                <w:i/>
                <w:lang w:val="de-CH"/>
              </w:rPr>
              <w:t>"</w:t>
            </w:r>
            <w:r w:rsidRPr="00E02607">
              <w:rPr>
                <w:lang w:val="de-CH"/>
              </w:rPr>
              <w:t xml:space="preserve"> des Geschäftsberichts der Credit Suisse für das Jahr 2014 und </w:t>
            </w:r>
            <w:r>
              <w:rPr>
                <w:lang w:val="de-CH"/>
              </w:rPr>
              <w:t>"</w:t>
            </w:r>
            <w:r w:rsidRPr="00E02607">
              <w:rPr>
                <w:i/>
                <w:lang w:val="de-CH"/>
              </w:rPr>
              <w:t>II—Treasury, Risiko, Bilanz und Ausserbilanz</w:t>
            </w:r>
            <w:r>
              <w:rPr>
                <w:lang w:val="de-CH"/>
              </w:rPr>
              <w:t>"</w:t>
            </w:r>
            <w:r w:rsidRPr="00E02607">
              <w:rPr>
                <w:lang w:val="de-CH"/>
              </w:rPr>
              <w:t xml:space="preserve"> des Finanzberichts </w:t>
            </w:r>
            <w:r>
              <w:rPr>
                <w:lang w:val="de-CH"/>
              </w:rPr>
              <w:t>3</w:t>
            </w:r>
            <w:r w:rsidRPr="00E02607">
              <w:rPr>
                <w:lang w:val="de-CH"/>
              </w:rPr>
              <w:t>Q15 der Credit Suisse</w:t>
            </w:r>
            <w:r w:rsidRPr="002A6FFA">
              <w:rPr>
                <w:lang w:val="de-CH"/>
              </w:rPr>
              <w:t>.</w:t>
            </w:r>
          </w:p>
        </w:tc>
      </w:tr>
      <w:tr w:rsidTr="004668CF">
        <w:tblPrEx>
          <w:tblW w:w="5000" w:type="pct"/>
          <w:tblLook w:val="00A0"/>
        </w:tblPrEx>
        <w:tc>
          <w:tcPr>
            <w:tcW w:w="2500" w:type="pct"/>
            <w:tcBorders>
              <w:right w:val="single" w:sz="4" w:space="0" w:color="auto"/>
            </w:tcBorders>
          </w:tcPr>
          <w:p w:rsidR="004668CF" w:rsidRPr="00DD6F3F" w:rsidP="004C1EBA">
            <w:pPr>
              <w:pStyle w:val="CSBody63"/>
              <w:rPr>
                <w:b/>
              </w:rPr>
            </w:pPr>
            <w:r w:rsidRPr="003869A7">
              <w:rPr>
                <w:b/>
              </w:rPr>
              <w:t xml:space="preserve">Credit Suisse’s liquidity could be impaired if </w:t>
            </w:r>
            <w:r>
              <w:rPr>
                <w:b/>
              </w:rPr>
              <w:t xml:space="preserve">it </w:t>
            </w:r>
            <w:r w:rsidRPr="003869A7">
              <w:rPr>
                <w:b/>
              </w:rPr>
              <w:t>is unable to access the capital markets or sell its assets</w:t>
            </w:r>
            <w:r>
              <w:rPr>
                <w:b/>
              </w:rPr>
              <w:t>,</w:t>
            </w:r>
            <w:r w:rsidRPr="003869A7">
              <w:rPr>
                <w:b/>
              </w:rPr>
              <w:t xml:space="preserve"> and Credit Suisse expects its liquidity costs to increase</w:t>
            </w:r>
          </w:p>
        </w:tc>
        <w:tc>
          <w:tcPr>
            <w:tcW w:w="2500" w:type="pct"/>
            <w:tcBorders>
              <w:left w:val="single" w:sz="4" w:space="0" w:color="auto"/>
            </w:tcBorders>
            <w:shd w:val="clear" w:color="auto" w:fill="auto"/>
          </w:tcPr>
          <w:p w:rsidR="004668CF" w:rsidRPr="009808B7" w:rsidP="004C1EBA">
            <w:pPr>
              <w:pStyle w:val="CSBody63"/>
              <w:rPr>
                <w:b/>
                <w:lang w:val="de-DE"/>
              </w:rPr>
            </w:pPr>
            <w:r w:rsidRPr="00C72686">
              <w:rPr>
                <w:b/>
                <w:lang w:val="de-CH"/>
              </w:rPr>
              <w:t>Die Liquidität der Credit Suisse könnte beeinträchtigt werden, falls sie nicht in der Lage ist, Zugang zu den Kapitalmärkten zu erhalten oder ihre Vermögenswerte zu verkaufen. Zudem geht die Credit Suisse von steigenden Liquiditätskosten aus</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19496F">
              <w:t xml:space="preserve">Credit Suisse’s ability to borrow on a secured or unsecured basis and the cost of doing so can be affected by increases in interest rates or credit spreads, the availability of credit, regulatory requirements relating to liquidity or the market perceptions of risk relating to Credit Suisse or the banking sector, including Credit Suisse’s perceived or actual creditworthiness. An inability to obtain financing in the unsecured long-term or short-term </w:t>
            </w:r>
            <w:r w:rsidRPr="00473673">
              <w:t xml:space="preserve">debt capital markets, or to access the secured lending markets, could have a substantial adverse effect on Credit Suisse’s liquidity. In challenging credit markets, Credit Suisse’s funding costs may increase or it may be unable to raise funds to support or expand its businesses, adversely affecting </w:t>
            </w:r>
            <w:r>
              <w:t>its</w:t>
            </w:r>
            <w:r w:rsidRPr="00473673">
              <w:t xml:space="preserve"> results of operations. </w:t>
            </w:r>
            <w:r w:rsidRPr="0019496F">
              <w:t xml:space="preserve">Following the financial crisis in 2008 and 2009 its costs of liquidity have </w:t>
            </w:r>
            <w:r>
              <w:t>been significant</w:t>
            </w:r>
            <w:r w:rsidRPr="0019496F">
              <w:t xml:space="preserve"> and C</w:t>
            </w:r>
            <w:r>
              <w:t xml:space="preserve">redit </w:t>
            </w:r>
            <w:r w:rsidRPr="0019496F">
              <w:t>S</w:t>
            </w:r>
            <w:r>
              <w:t>uisse</w:t>
            </w:r>
            <w:r w:rsidRPr="0019496F">
              <w:t xml:space="preserve"> expects to incur additional costs as a result of regulatory requirements for increased liquidity and the </w:t>
            </w:r>
            <w:r>
              <w:t xml:space="preserve">continued </w:t>
            </w:r>
            <w:r w:rsidRPr="0019496F">
              <w:t>challenging economic environment in Europe, the United States and elsewhere.</w:t>
            </w:r>
          </w:p>
        </w:tc>
        <w:tc>
          <w:tcPr>
            <w:tcW w:w="2500" w:type="pct"/>
            <w:tcBorders>
              <w:left w:val="single" w:sz="4" w:space="0" w:color="auto"/>
            </w:tcBorders>
            <w:shd w:val="clear" w:color="auto" w:fill="auto"/>
          </w:tcPr>
          <w:p w:rsidR="004668CF" w:rsidRPr="009808B7" w:rsidP="004C1EBA">
            <w:pPr>
              <w:pStyle w:val="CSBody63"/>
              <w:rPr>
                <w:b/>
                <w:lang w:val="de-DE"/>
              </w:rPr>
            </w:pPr>
            <w:r w:rsidRPr="00E02607">
              <w:rPr>
                <w:lang w:val="de-CH"/>
              </w:rPr>
              <w:t>Die Möglichkeiten der Credit Suisse zur Aufnahme gedeckter oder ungedeckter Kredite und die Kosten hierfür können beeinflusst werden durch den Anstieg der Zinsen, die Ausweitung der Kreditrisikoprämien, die Verfügbarkeit von Krediten, das Vorliegen von die Liquidität betreffenden Anforderungen oder die Einschätzung des Risikos in Bezug auf die Credit Suisse oder das Bankengewerbe durch den Markt, einschliesslich der tatsächlichen oder vermeintlichen Bonität der Credit Suisse. Ist an den Debt Capital Markets für ungedeckte lang- oder kurzfristige Finanzierungen keine Mittelaufnahme möglich oder besteht kein Zugang zu den Märkten für gedeckte Kredite, so könnte dies die Liquidität der Credit Suisse erheblich beeinträchtigen. Unter schwierigen Kreditmarktbedingungen ist es möglich, dass die Finanzierungskosten der Credit Suisse steigen oder dass die Credit Suisse die zur Unterstützung oder Erweiterung ihrer Tätigkeit benötigten Mittel nicht aufnehmen kann und dass sich diese Tatsache ungünstig auf ihr Geschäftsergebnis auswirkt. Seit der Finanzkrise 2008 und 2009 sind ihre Kosten für die Liquidität beträchtlich. Ausserdem geht die Credit Suisse davon aus, dass aufgrund der höheren regulatorischen Liquiditätsanforderungen und der weiterhin schwierigen wirtschaftlichen Rahmenbedingungen in Europa, den USA und in anderen Ländern mit steigenden Kosten zu rechnen ist</w:t>
            </w:r>
            <w:r w:rsidRPr="00C72686">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473673">
              <w:t>If Credit Suisse is unable to raise needed funds in the capital markets, it may need to liquidate unencumbered assets to meet its liabilities. In a time of reduced liquidity, Credit Suisse may be unable to sell some of its assets, or it may need to sell assets at depressed prices, which in either case could adversely affect its results of operations and financial condition.</w:t>
            </w:r>
          </w:p>
        </w:tc>
        <w:tc>
          <w:tcPr>
            <w:tcW w:w="2500" w:type="pct"/>
            <w:tcBorders>
              <w:left w:val="single" w:sz="4" w:space="0" w:color="auto"/>
            </w:tcBorders>
            <w:shd w:val="clear" w:color="auto" w:fill="auto"/>
          </w:tcPr>
          <w:p w:rsidR="004668CF" w:rsidRPr="009808B7" w:rsidP="004C1EBA">
            <w:pPr>
              <w:pStyle w:val="CSBody63"/>
              <w:rPr>
                <w:b/>
                <w:lang w:val="de-DE"/>
              </w:rPr>
            </w:pPr>
            <w:r w:rsidRPr="002A6FFA">
              <w:rPr>
                <w:lang w:val="de-CH"/>
              </w:rPr>
              <w:t>Sollte die Credit Suisse benötigte Mittel an den Kapitalmärkten nicht aufnehmen können, ist es möglich, dass sie unbelastete Vermögens</w:t>
            </w:r>
            <w:r w:rsidRPr="002A6FFA">
              <w:rPr>
                <w:lang w:val="de-CH"/>
              </w:rPr>
              <w:softHyphen/>
              <w:t>werte liquidieren muss, um ihren Verpflichtungen nachzu</w:t>
            </w:r>
            <w:r w:rsidRPr="002A6FFA">
              <w:rPr>
                <w:lang w:val="de-CH"/>
              </w:rPr>
              <w:softHyphen/>
              <w:t>kommen. Herrscht Liquiditätsknappheit, ist es möglich, dass die Credit Suisse bestimmte ihrer Vermögenswerte nicht oder nur zu niedrigeren Preisen verkaufen kann, was sich beides ungünstig auf ihr Geschäftsergebnis und ihre finanzielle Lage auswirken könnte.</w:t>
            </w:r>
          </w:p>
        </w:tc>
      </w:tr>
      <w:tr w:rsidTr="004668CF">
        <w:tblPrEx>
          <w:tblW w:w="5000" w:type="pct"/>
          <w:tblLook w:val="00A0"/>
        </w:tblPrEx>
        <w:tc>
          <w:tcPr>
            <w:tcW w:w="2500" w:type="pct"/>
            <w:tcBorders>
              <w:right w:val="single" w:sz="4" w:space="0" w:color="auto"/>
            </w:tcBorders>
          </w:tcPr>
          <w:p w:rsidR="004668CF" w:rsidRPr="009808B7" w:rsidP="004C1EBA">
            <w:pPr>
              <w:pStyle w:val="CSBody63"/>
              <w:rPr>
                <w:b/>
              </w:rPr>
            </w:pPr>
            <w:r w:rsidRPr="003F17D0">
              <w:rPr>
                <w:b/>
              </w:rPr>
              <w:t>Credit Suisse’s businesses rely significantly on its deposit base for funding</w:t>
            </w:r>
          </w:p>
        </w:tc>
        <w:tc>
          <w:tcPr>
            <w:tcW w:w="2500" w:type="pct"/>
            <w:tcBorders>
              <w:left w:val="single" w:sz="4" w:space="0" w:color="auto"/>
            </w:tcBorders>
            <w:shd w:val="clear" w:color="auto" w:fill="auto"/>
          </w:tcPr>
          <w:p w:rsidR="004668CF" w:rsidRPr="009808B7" w:rsidP="004C1EBA">
            <w:pPr>
              <w:pStyle w:val="CSBody63"/>
              <w:rPr>
                <w:b/>
                <w:lang w:val="de-DE"/>
              </w:rPr>
            </w:pPr>
            <w:r w:rsidRPr="002A6FFA">
              <w:rPr>
                <w:b/>
                <w:lang w:val="de-CH"/>
              </w:rPr>
              <w:t>Die Geschäftsbereiche der Credit Suisse verlassen sich zu Finanzierungszwecken stark auf ihre Einlagen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3F17D0">
              <w:t>Credit Suisse’s businesses benefit from short-term funding sources, including primarily demand deposits, inter-bank loans, time deposits and cash bonds. Although deposits have been, over time, a stable source of funding, this may not continue. In that case, Credit Suisse’s liquidity position could be adversely affected and it might be unable to meet deposit withdrawals on demand or at their contractual maturity, to repay borrowings as they mature or to fund new loans, investments and businesses.</w:t>
            </w:r>
          </w:p>
        </w:tc>
        <w:tc>
          <w:tcPr>
            <w:tcW w:w="2500" w:type="pct"/>
            <w:tcBorders>
              <w:left w:val="single" w:sz="4" w:space="0" w:color="auto"/>
            </w:tcBorders>
            <w:shd w:val="clear" w:color="auto" w:fill="auto"/>
          </w:tcPr>
          <w:p w:rsidR="004668CF" w:rsidRPr="009808B7" w:rsidP="004C1EBA">
            <w:pPr>
              <w:pStyle w:val="CSBody63"/>
              <w:rPr>
                <w:b/>
                <w:lang w:val="de-DE"/>
              </w:rPr>
            </w:pPr>
            <w:r w:rsidRPr="002A6FFA">
              <w:rPr>
                <w:lang w:val="de-CH"/>
              </w:rPr>
              <w:t>Die Geschäftsbereiche der Credit Suisse nutzen kurzfristige Finanzierungsquellen. Dazu zählen primär Sichteinlagen, Inter-Bank-Kredite, Termingelder und Kassa-Anleihen. Obwohl die Einlagen langfristig eine stabile Finanzierungsquelle dargestellt haben, kann dies nicht als selbstverständlich vorausgesetzt werden. Sollte sich daran etwas ändern, könnte die Liquidität der Credit Suisse beeinträchtigt werden, und die Credit Suisse wäre unter Umständen nicht in der Lage, Einlagerückzahlungen auf Verlangen oder bei ihrer vertraglichen Fälligkeit nachzukommen, Kredite bei Fälligkeit zu tilgen oder neue Kredite, Anlagen und Geschäfte zu finanzieren.</w:t>
            </w:r>
          </w:p>
        </w:tc>
      </w:tr>
      <w:tr w:rsidTr="004668CF">
        <w:tblPrEx>
          <w:tblW w:w="5000" w:type="pct"/>
          <w:tblLook w:val="00A0"/>
        </w:tblPrEx>
        <w:tc>
          <w:tcPr>
            <w:tcW w:w="2500" w:type="pct"/>
            <w:tcBorders>
              <w:right w:val="single" w:sz="4" w:space="0" w:color="auto"/>
            </w:tcBorders>
          </w:tcPr>
          <w:p w:rsidR="004668CF" w:rsidRPr="009808B7" w:rsidP="004C1EBA">
            <w:pPr>
              <w:pStyle w:val="CSBody63"/>
              <w:keepNext/>
              <w:rPr>
                <w:b/>
              </w:rPr>
            </w:pPr>
            <w:r w:rsidRPr="003F17D0">
              <w:rPr>
                <w:b/>
              </w:rPr>
              <w:t>Changes in Credit Suisse’s ratings may adversely affect its business</w:t>
            </w:r>
          </w:p>
        </w:tc>
        <w:tc>
          <w:tcPr>
            <w:tcW w:w="2500" w:type="pct"/>
            <w:tcBorders>
              <w:left w:val="single" w:sz="4" w:space="0" w:color="auto"/>
            </w:tcBorders>
            <w:shd w:val="clear" w:color="auto" w:fill="auto"/>
          </w:tcPr>
          <w:p w:rsidR="004668CF" w:rsidRPr="009808B7" w:rsidP="004C1EBA">
            <w:pPr>
              <w:pStyle w:val="CSBody63"/>
              <w:keepNext/>
              <w:rPr>
                <w:b/>
                <w:lang w:val="de-DE"/>
              </w:rPr>
            </w:pPr>
            <w:r w:rsidRPr="002A6FFA">
              <w:rPr>
                <w:b/>
                <w:lang w:val="de-CH"/>
              </w:rPr>
              <w:t>Änderungen der Ratings der Credit Suisse könnten ihre Tätigkeit beeinträchtigen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3F17D0">
              <w:t xml:space="preserve">Ratings are assigned by rating agencies. They may lower, indicate their intention to lower or withdraw their ratings at any time. The major rating agencies remain focused on the financial services industry, particularly on uncertainties as to whether firms that pose systemic risk would receive government or central bank support in a financial or credit crisis, and on such firms’ potential vulnerability to market sentiment and confidence, particularly during periods of severe economic stress. </w:t>
            </w:r>
            <w:r>
              <w:t>Any</w:t>
            </w:r>
            <w:r w:rsidRPr="003F17D0">
              <w:t xml:space="preserve"> downgrades in C</w:t>
            </w:r>
            <w:r>
              <w:t xml:space="preserve">redit </w:t>
            </w:r>
            <w:r w:rsidRPr="003F17D0">
              <w:t>S</w:t>
            </w:r>
            <w:r>
              <w:t>uisse</w:t>
            </w:r>
            <w:r w:rsidRPr="003F17D0">
              <w:t>’</w:t>
            </w:r>
            <w:r>
              <w:t>s</w:t>
            </w:r>
            <w:r w:rsidRPr="003F17D0">
              <w:t xml:space="preserve"> assigned ratings, including in particular </w:t>
            </w:r>
            <w:r>
              <w:t>its</w:t>
            </w:r>
            <w:r w:rsidRPr="003F17D0">
              <w:t xml:space="preserve"> </w:t>
            </w:r>
            <w:r>
              <w:t>credit ratings, could increase its</w:t>
            </w:r>
            <w:r w:rsidRPr="003F17D0">
              <w:t xml:space="preserve"> borrowing costs, limit </w:t>
            </w:r>
            <w:r>
              <w:t>its</w:t>
            </w:r>
            <w:r w:rsidRPr="003F17D0">
              <w:t xml:space="preserve"> access to capital markets, increase </w:t>
            </w:r>
            <w:r>
              <w:t>its</w:t>
            </w:r>
            <w:r w:rsidRPr="003F17D0">
              <w:t xml:space="preserve"> cost of capital and adversely affect the ability of </w:t>
            </w:r>
            <w:r>
              <w:t>its</w:t>
            </w:r>
            <w:r w:rsidRPr="003F17D0">
              <w:t xml:space="preserve"> businesses to sell or market </w:t>
            </w:r>
            <w:r>
              <w:t>its</w:t>
            </w:r>
            <w:r w:rsidRPr="003F17D0">
              <w:t xml:space="preserve"> products, engage in business transactions – particularly longer-term and derivatives transactions – and retain </w:t>
            </w:r>
            <w:r>
              <w:t>its</w:t>
            </w:r>
            <w:r w:rsidRPr="003F17D0">
              <w:t xml:space="preserve"> clients.</w:t>
            </w:r>
          </w:p>
        </w:tc>
        <w:tc>
          <w:tcPr>
            <w:tcW w:w="2500" w:type="pct"/>
            <w:tcBorders>
              <w:left w:val="single" w:sz="4" w:space="0" w:color="auto"/>
            </w:tcBorders>
            <w:shd w:val="clear" w:color="auto" w:fill="auto"/>
          </w:tcPr>
          <w:p w:rsidR="004668CF" w:rsidRPr="009808B7" w:rsidP="004C1EBA">
            <w:pPr>
              <w:pStyle w:val="CSBody63"/>
              <w:rPr>
                <w:b/>
                <w:lang w:val="de-DE"/>
              </w:rPr>
            </w:pPr>
            <w:r w:rsidRPr="00E02607">
              <w:rPr>
                <w:lang w:val="de-CH"/>
              </w:rPr>
              <w:t xml:space="preserve">Die Ratings werden von Ratingagenturen vergeben, die ihre Ratings jederzeit herabsetzen, ihre Herabsetzungsabsicht andeuten oder die Ratings zurückziehen können. Die grossen Ratingagenturen konzentrieren sich nach wie vor auf die Finanzdienstleistungsbranche und insbesondere auf die offene Frage, ob Unternehmen, die ein systemisches Risiko darstellen, in einer Finanz- beziehungsweise Kreditkrise Unterstützung seitens des Staates oder der Notenbanken erhalten würden, sowie auf die potentielle Anfälligkeit solcher Unternehmen gegenüber der Stimmung am Markt und dem Vertrauen des Marktes, insbesondere in wirtschaftlich extrem angespannten Zeiten. Herabsetzungen der der Credit Suisse verliehenen Ratings, insbesondere ihrer Kreditratings, könnte </w:t>
            </w:r>
            <w:r>
              <w:rPr>
                <w:lang w:val="de-CH"/>
              </w:rPr>
              <w:t>ihre</w:t>
            </w:r>
            <w:r w:rsidRPr="00E02607">
              <w:rPr>
                <w:lang w:val="de-CH"/>
              </w:rPr>
              <w:t xml:space="preserve"> Fremdkapitalkosten erhöhen, ihren Zugang zu den Kapitalmärkten einschränken, ihre Kapitalkosten steigern und die Fähigkeit ihrer Geschäftsbereiche zum Verkauf oder zur Vermarktung ihrer Produkte, zum Abschluss von Geschäftstransaktionen – insbesondere längerfristiger und derivativer Transaktionen – und zur Bindung von Kunden beeinträchtigen</w:t>
            </w:r>
            <w:r w:rsidRPr="002A6FFA">
              <w:rPr>
                <w:lang w:val="de-CH"/>
              </w:rPr>
              <w:t>.</w:t>
            </w:r>
          </w:p>
        </w:tc>
      </w:tr>
      <w:tr w:rsidTr="004668CF">
        <w:tblPrEx>
          <w:tblW w:w="5000" w:type="pct"/>
          <w:tblLook w:val="00A0"/>
        </w:tblPrEx>
        <w:tc>
          <w:tcPr>
            <w:tcW w:w="2500" w:type="pct"/>
            <w:tcBorders>
              <w:right w:val="single" w:sz="4" w:space="0" w:color="auto"/>
            </w:tcBorders>
          </w:tcPr>
          <w:p w:rsidR="004668CF" w:rsidRPr="009808B7" w:rsidP="004668CF">
            <w:pPr>
              <w:pStyle w:val="CSNum1EN"/>
              <w:numPr>
                <w:ilvl w:val="1"/>
                <w:numId w:val="21"/>
              </w:numPr>
              <w:rPr>
                <w:lang w:val="de-DE"/>
              </w:rPr>
            </w:pPr>
            <w:r w:rsidRPr="000F76EC">
              <w:rPr>
                <w:bCs/>
              </w:rPr>
              <w:t>Market risk</w:t>
            </w:r>
          </w:p>
        </w:tc>
        <w:tc>
          <w:tcPr>
            <w:tcW w:w="2500" w:type="pct"/>
            <w:tcBorders>
              <w:left w:val="single" w:sz="4" w:space="0" w:color="auto"/>
            </w:tcBorders>
            <w:shd w:val="clear" w:color="auto" w:fill="auto"/>
          </w:tcPr>
          <w:p w:rsidR="004668CF" w:rsidRPr="009808B7" w:rsidP="004668CF">
            <w:pPr>
              <w:pStyle w:val="CSNum1DE"/>
              <w:numPr>
                <w:ilvl w:val="0"/>
                <w:numId w:val="17"/>
              </w:numPr>
              <w:ind w:left="357" w:hanging="357"/>
              <w:rPr>
                <w:lang w:val="de-DE"/>
              </w:rPr>
            </w:pPr>
            <w:r w:rsidRPr="000F76EC">
              <w:rPr>
                <w:lang w:val="de-CH"/>
              </w:rPr>
              <w:t>Marktrisiko</w:t>
            </w:r>
          </w:p>
        </w:tc>
      </w:tr>
      <w:tr w:rsidTr="004668CF">
        <w:tblPrEx>
          <w:tblW w:w="5000" w:type="pct"/>
          <w:tblLook w:val="00A0"/>
        </w:tblPrEx>
        <w:tc>
          <w:tcPr>
            <w:tcW w:w="2500" w:type="pct"/>
            <w:tcBorders>
              <w:right w:val="single" w:sz="4" w:space="0" w:color="auto"/>
            </w:tcBorders>
          </w:tcPr>
          <w:p w:rsidR="004668CF" w:rsidRPr="000F76EC" w:rsidP="004C1EBA">
            <w:pPr>
              <w:pStyle w:val="CSBody63"/>
              <w:rPr>
                <w:b/>
              </w:rPr>
            </w:pPr>
            <w:r w:rsidRPr="005C231D">
              <w:rPr>
                <w:b/>
              </w:rPr>
              <w:t>Credit Suisse may incur significant losses on its trading and investment activities due to market fluctuations and volatility</w:t>
            </w:r>
          </w:p>
        </w:tc>
        <w:tc>
          <w:tcPr>
            <w:tcW w:w="2500" w:type="pct"/>
            <w:tcBorders>
              <w:left w:val="single" w:sz="4" w:space="0" w:color="auto"/>
            </w:tcBorders>
            <w:shd w:val="clear" w:color="auto" w:fill="auto"/>
          </w:tcPr>
          <w:p w:rsidR="004668CF" w:rsidRPr="000F76EC" w:rsidP="004C1EBA">
            <w:pPr>
              <w:pStyle w:val="CSBody63"/>
              <w:rPr>
                <w:b/>
                <w:lang w:val="de-DE"/>
              </w:rPr>
            </w:pPr>
            <w:r w:rsidRPr="002A6FFA">
              <w:rPr>
                <w:b/>
                <w:lang w:val="de-CH"/>
              </w:rPr>
              <w:t>Der Credit Suisse könnten aufgrund von Markt</w:t>
            </w:r>
            <w:r w:rsidRPr="002A6FFA">
              <w:rPr>
                <w:b/>
                <w:lang w:val="de-CH"/>
              </w:rPr>
              <w:softHyphen/>
              <w:t>schwankungen und Volatilität in ihrer Handels- und Anlagetätigkeit erhebliche Verluste entstehen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CE09BA">
              <w:t xml:space="preserve">Although Credit Suisse continued to </w:t>
            </w:r>
            <w:r>
              <w:t xml:space="preserve">strive to </w:t>
            </w:r>
            <w:r w:rsidRPr="00CE09BA">
              <w:t xml:space="preserve">reduce its balance sheet and </w:t>
            </w:r>
            <w:r>
              <w:t>made significant progress in executing</w:t>
            </w:r>
            <w:r w:rsidRPr="00CE09BA">
              <w:t xml:space="preserve"> its client-focused, capital-efficient strategy in </w:t>
            </w:r>
            <w:r>
              <w:t>2014</w:t>
            </w:r>
            <w:r w:rsidRPr="00CE09BA">
              <w:t>, Credit Suisse continues to maintain large trading and investment positions and hedges in the debt, currency and equity markets, and in private equity, hedge funds, real estate and other assets. These positions could be adversely affected by volatility in financial and other markets, that is, the degree to which prices fluctuate over a particular period in a particular market, regardless of market levels. To the extent that Credit Suisse owns assets, or has net long positions, in any of those markets, a downturn in those markets could result in losses from a decline in the value of Credit Suisse’s net long positions. Conversely, to the extent that Credit Suisse has sold assets that it does not own or has net short positions in any of those markets, an upturn in those markets could expose Credit Suisse to potentially significant losses as it attempts to cover its net short positions by acquiring assets in a rising market. Market fluctuations, downturns and volatility can adversely affect the fair value of Credit Suisse’s positions and its results of operations. Adverse market or economic conditions or trends have caused, and in the future</w:t>
            </w:r>
            <w:r>
              <w:t xml:space="preserve"> may</w:t>
            </w:r>
            <w:r w:rsidRPr="00CE09BA">
              <w:t xml:space="preserve"> cause, a significant decline in Credit Suisse’s net revenues and profitability.</w:t>
            </w:r>
          </w:p>
        </w:tc>
        <w:tc>
          <w:tcPr>
            <w:tcW w:w="2500" w:type="pct"/>
            <w:tcBorders>
              <w:left w:val="single" w:sz="4" w:space="0" w:color="auto"/>
            </w:tcBorders>
            <w:shd w:val="clear" w:color="auto" w:fill="auto"/>
          </w:tcPr>
          <w:p w:rsidR="004668CF" w:rsidRPr="000F76EC" w:rsidP="004C1EBA">
            <w:pPr>
              <w:pStyle w:val="CSBody63"/>
              <w:rPr>
                <w:b/>
                <w:lang w:val="de-DE"/>
              </w:rPr>
            </w:pPr>
            <w:r w:rsidRPr="00E02607">
              <w:rPr>
                <w:lang w:val="de-CH"/>
              </w:rPr>
              <w:t>Obwohl die Credit Suisse ihre Bilanz weiter zu reduzieren versuchte und bei der Umsetzung ihrer kundenzentrierten und kapitaleffizienten Strategie im Jahr 2014 bedeutende Fortschritte erzielt hat, hält sie nach wie vor grosse Handels- und Anlagepositionen sowie Absicherungen in den Kredit-, Devisen- und Aktienmärkten wie auch in Private Equity, Hedge-Fonds, Immobilien und anderen Vermögenswerten. Diese Positionen könnten durch die Volatilität der Finanz- und anderer Märkte – das heisst durch das Ausmass von Preisschwankungen über einen bestimmten Zeitraum in einem bestimmten Markt, ganz unabhängig vom Markt</w:t>
            </w:r>
            <w:r w:rsidRPr="00E02607">
              <w:rPr>
                <w:lang w:val="de-CH"/>
              </w:rPr>
              <w:softHyphen/>
              <w:t>niveau – beeinträchtigt werden. Insofern als die Credit Suisse in diesem Märkten Vermögenswerte besitzt oder Netto-Longpositionen hält, könnte ein entsprechender Marktrückgang Verluste aufgrund eines Wertrückgangs der von der Credit Suisse gehaltenen Netto-Longpositionen zur Folge haben. Umgekehrt könnte, insofern als die Credit Suisse in entsprechenden Märkten Vermögenswerte, die sie nicht besitzt, verkauft hat oder Netto-Shortpositionen hält, ein entsprechender Marktaufschwung potenziell erhebliche Verluste einbringen, wenn die Credit Suisse ihre Netto-Shortpositionen durch den Kauf von Vermögenswerten in einem steigenden Markt zu decken versucht. Marktschwankungen, Kursrückgänge und Volatilität können den Fair Value der Positionen der Credit Suisse und ihr Geschäfts</w:t>
            </w:r>
            <w:r w:rsidRPr="00E02607">
              <w:rPr>
                <w:lang w:val="de-CH"/>
              </w:rPr>
              <w:softHyphen/>
              <w:t>ergebnis ungünstig beeinflussen. Die negativen Markt- und Wirtschaftslagen beziehungsweise -trends haben in der Vergangenheit zu einem ausgeprägten Rückgang des Reingewinns und der Rentabilität der Credit Suisse geführt. Dies könnte auch in Zukunft der Fall sein</w:t>
            </w:r>
            <w:r w:rsidRPr="002A6FFA">
              <w:rPr>
                <w:lang w:val="de-CH"/>
              </w:rPr>
              <w:t>.</w:t>
            </w:r>
          </w:p>
        </w:tc>
      </w:tr>
      <w:tr w:rsidTr="004668CF">
        <w:tblPrEx>
          <w:tblW w:w="5000" w:type="pct"/>
          <w:tblLook w:val="00A0"/>
        </w:tblPrEx>
        <w:tc>
          <w:tcPr>
            <w:tcW w:w="2500" w:type="pct"/>
            <w:tcBorders>
              <w:right w:val="single" w:sz="4" w:space="0" w:color="auto"/>
            </w:tcBorders>
          </w:tcPr>
          <w:p w:rsidR="004668CF" w:rsidRPr="000F76EC" w:rsidP="004C1EBA">
            <w:pPr>
              <w:pStyle w:val="CSBody63"/>
              <w:rPr>
                <w:b/>
              </w:rPr>
            </w:pPr>
            <w:r w:rsidRPr="002C39C4">
              <w:rPr>
                <w:b/>
              </w:rPr>
              <w:t>Credit Suisse’s businesses are subject to the risk of loss from adverse market conditions and unfavo</w:t>
            </w:r>
            <w:r>
              <w:rPr>
                <w:b/>
              </w:rPr>
              <w:t>u</w:t>
            </w:r>
            <w:r w:rsidRPr="002C39C4">
              <w:rPr>
                <w:b/>
              </w:rPr>
              <w:t>rable economic, monetary, political, legal and other developments in the countries it operates in around the world</w:t>
            </w:r>
          </w:p>
        </w:tc>
        <w:tc>
          <w:tcPr>
            <w:tcW w:w="2500" w:type="pct"/>
            <w:tcBorders>
              <w:left w:val="single" w:sz="4" w:space="0" w:color="auto"/>
            </w:tcBorders>
            <w:shd w:val="clear" w:color="auto" w:fill="auto"/>
          </w:tcPr>
          <w:p w:rsidR="004668CF" w:rsidRPr="000F76EC" w:rsidP="004C1EBA">
            <w:pPr>
              <w:pStyle w:val="CSBody63"/>
              <w:rPr>
                <w:b/>
                <w:lang w:val="de-DE"/>
              </w:rPr>
            </w:pPr>
            <w:r w:rsidRPr="00E02607">
              <w:rPr>
                <w:b/>
                <w:lang w:val="de-CH"/>
              </w:rPr>
              <w:t>Die Geschäftsbereiche der Credit Suisse sind einem Verlustrisiko ausgesetzt, das sich aus widrigen Marktbedingungen und ungünstigen wirtschaftlichen, geldpolitischen, politischen, rechtlichen oder sonstigen Entwicklungen in den Ländern ergibt, in denen die Credit Suisse weltweit tätig ist</w:t>
            </w:r>
            <w:r w:rsidRPr="00C72686">
              <w:rPr>
                <w:b/>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8B1597">
              <w:t>As a global financial services company, C</w:t>
            </w:r>
            <w:r>
              <w:t xml:space="preserve">redit </w:t>
            </w:r>
            <w:r w:rsidRPr="008B1597">
              <w:t>S</w:t>
            </w:r>
            <w:r>
              <w:t>uisse</w:t>
            </w:r>
            <w:r w:rsidRPr="008B1597">
              <w:t xml:space="preserve">’s businesses are materially affected by conditions in the financial markets and economic conditions generally in Europe, the United States and elsewhere around the world. The recovery from the economic crisis of 2008 and 2009 continues to be sluggish in several key developed markets. Additionally, the European sovereign debt crisis, as well as concerns over the United States’ debt levels and the federal budget process that led to the downgrade of United States sovereign debt in </w:t>
            </w:r>
            <w:r w:rsidRPr="007B7F81">
              <w:t>2011 and the temporary shutdown of many federal governmental operations in 2013</w:t>
            </w:r>
            <w:r w:rsidRPr="008B1597">
              <w:t>, have not been permanently resolved. C</w:t>
            </w:r>
            <w:r>
              <w:t xml:space="preserve">redit </w:t>
            </w:r>
            <w:r w:rsidRPr="008B1597">
              <w:t>S</w:t>
            </w:r>
            <w:r>
              <w:t>uisse</w:t>
            </w:r>
            <w:r w:rsidRPr="008B1597">
              <w:t>’s financial condition and results of operations could be materially adversely affected if these conditions do not improve, or if they stagnate or worsen. Further, various countries in which C</w:t>
            </w:r>
            <w:r>
              <w:t xml:space="preserve">redit </w:t>
            </w:r>
            <w:r w:rsidRPr="008B1597">
              <w:t>S</w:t>
            </w:r>
            <w:r>
              <w:t>uisse</w:t>
            </w:r>
            <w:r w:rsidRPr="008B1597">
              <w:t xml:space="preserve"> operates or invests have experienced severe economic disruptions particular to that country or region, including extreme currency fluctuations, high inflation, or low or negative growth, among other negative conditions. </w:t>
            </w:r>
            <w:r>
              <w:t>C</w:t>
            </w:r>
            <w:r w:rsidRPr="008B1597">
              <w:t>oncerns about weaknesses in the economic and fiscal condition of certain European countries continued, especially with regard to how such weaknesses might affect other economies as well as financial institutions (including C</w:t>
            </w:r>
            <w:r>
              <w:t xml:space="preserve">redit </w:t>
            </w:r>
            <w:r w:rsidRPr="008B1597">
              <w:t>S</w:t>
            </w:r>
            <w:r>
              <w:t>uisse</w:t>
            </w:r>
            <w:r w:rsidRPr="008B1597">
              <w:t xml:space="preserve">) which lent funds to or did business with or in those countries. </w:t>
            </w:r>
            <w:r>
              <w:t xml:space="preserve">For example, sanctions have been imposed on certain individuals and companies in Russia due to the conflict in the Ukraine. In addition, recent events in Greece have led to renewed concerns about its economic and financial stability and the effects that it could have on the eurozone. </w:t>
            </w:r>
            <w:r w:rsidRPr="008B1597">
              <w:t xml:space="preserve">Continued concern about European </w:t>
            </w:r>
            <w:r>
              <w:t>economies</w:t>
            </w:r>
            <w:r w:rsidRPr="008B1597">
              <w:t xml:space="preserve"> could cause disruptions in market conditions in Europe and around the world. </w:t>
            </w:r>
            <w:r>
              <w:t>E</w:t>
            </w:r>
            <w:r w:rsidRPr="008B1597">
              <w:t>conomic disruption in other countries, even in countries in which C</w:t>
            </w:r>
            <w:r>
              <w:t xml:space="preserve">redit </w:t>
            </w:r>
            <w:r w:rsidRPr="008B1597">
              <w:t>S</w:t>
            </w:r>
            <w:r>
              <w:t>uisse</w:t>
            </w:r>
            <w:r w:rsidRPr="008B1597">
              <w:t xml:space="preserve"> does not currently conduct business or have operations, </w:t>
            </w:r>
            <w:r>
              <w:t>could</w:t>
            </w:r>
            <w:r w:rsidRPr="008B1597">
              <w:t xml:space="preserve"> adversely affect its businesses and results.</w:t>
            </w:r>
          </w:p>
        </w:tc>
        <w:tc>
          <w:tcPr>
            <w:tcW w:w="2500" w:type="pct"/>
            <w:tcBorders>
              <w:left w:val="single" w:sz="4" w:space="0" w:color="auto"/>
            </w:tcBorders>
            <w:shd w:val="clear" w:color="auto" w:fill="auto"/>
          </w:tcPr>
          <w:p w:rsidR="004668CF" w:rsidRPr="000F76EC" w:rsidP="004668CF">
            <w:pPr>
              <w:pStyle w:val="CSBody63"/>
              <w:rPr>
                <w:b/>
                <w:lang w:val="de-DE"/>
              </w:rPr>
            </w:pPr>
            <w:r w:rsidRPr="007B58AF">
              <w:rPr>
                <w:lang w:val="de-CH"/>
              </w:rPr>
              <w:t>Als weltweit tätiges Finanzdienstleistungsunter</w:t>
            </w:r>
            <w:r w:rsidRPr="007B58AF">
              <w:rPr>
                <w:lang w:val="de-CH"/>
              </w:rPr>
              <w:softHyphen/>
              <w:t>nehmen ist die Credit Suisse mit ihren Geschäfts</w:t>
            </w:r>
            <w:r w:rsidRPr="007B58AF">
              <w:rPr>
                <w:lang w:val="de-CH"/>
              </w:rPr>
              <w:softHyphen/>
              <w:t>bereichen von den Bedingungen an den Finanz</w:t>
            </w:r>
            <w:r w:rsidRPr="007B58AF">
              <w:rPr>
                <w:lang w:val="de-CH"/>
              </w:rPr>
              <w:softHyphen/>
              <w:t>märkten und von den allgemeinen Wirtschafts</w:t>
            </w:r>
            <w:r w:rsidRPr="007B58AF">
              <w:rPr>
                <w:lang w:val="de-CH"/>
              </w:rPr>
              <w:softHyphen/>
              <w:t xml:space="preserve">bedingungen in Europa, den USA und anderen Ländern auf der ganzen Welt stark abhängig. Die Erholung von der Wirtschaftskrise der Jahre 2008 und 2009 kommt in einigen wichtigen Industrieländern nach wie vor nur langsam voran. Ausserdem wurden die europäische Staatsschuldenkrise wie auch die Besorgnis um das Schuldenniveau und das nationale Budgetverfahren in den USA, </w:t>
            </w:r>
            <w:r w:rsidRPr="007B58AF">
              <w:rPr>
                <w:lang w:val="de-DE"/>
              </w:rPr>
              <w:t>was 2011 zur Herabstufung von US-Staatsanleihen und im Jahr 2013 zur vorübergehenden Einstellung der Tätigkeit zahlreicher Bundesregierungsbehörden (</w:t>
            </w:r>
            <w:r w:rsidRPr="007B58AF">
              <w:rPr>
                <w:i/>
                <w:lang w:val="de-DE"/>
              </w:rPr>
              <w:t>Government Shutdown</w:t>
            </w:r>
            <w:r w:rsidRPr="007B58AF">
              <w:rPr>
                <w:lang w:val="de-DE"/>
              </w:rPr>
              <w:t>) führte</w:t>
            </w:r>
            <w:r w:rsidRPr="007B58AF">
              <w:rPr>
                <w:lang w:val="de-CH"/>
              </w:rPr>
              <w:t>, noch nicht nachhaltig überwunden. Die Finanzlage und das Betriebsergebnis der Credit Suisse könnten sich im Falle einer ausbleibenden Verbesserung, einer Stagnation oder Verschlechterung der Rahmenbedingungen deutlich zum Negativen verändern. Ausserdem haben zahlreiche Länder, in denen die Credit Suisse tätig ist bzw. investiert, schwerwiegende konjunkturelle Einbrüche aufgrund besonderer Umstände in dem jeweiligen Land bzw. in der jeweiligen Region erlebt, einschliesslich extremer Wechselkursschwankungen, hoher Inflation oder langsamem bzw. negativem Wachstum, um nur einige dieser negativen Rahmenbedingungen zu nennen. Die Sorgen wegen der schwachen Wirtschafts- und Finanzlage bestimmter europäischer Länder hielten weiter an. Sie drehten sich insbesondere darum, wie sich diese Schwäche auf andere Volkswirtschaften und Finanzinstitute (einschliesslich der Credit Suisse) auswirken könnte, die diesen Ländern Geld geliehen oder mit oder in diesen Ländern Geschäfte getätigt haben. Beispielsweise wurden aufgrund des Konflikts in der Ukraine Sanktionen gegen bestimmte Personen und Unternehmen in Russland erlassen. Zudem haben die jüngsten Ereignisse in Griechenland erneute Besorgnis über die wirtschaftliche und finanzielle Stabilität des Landes sowie die Auswirkungen, die diese auf die Eurozone haben könnten, geweckt. Eine anhaltende Besorgnis über die europäischen Volkswirtschaften könnte eine Störung der Marktbedingungen in Europa und dem Rest der Welt hervorrufen. Konjunkturelle Einbrüche in anderen Ländern könnten sich negativ auf die Geschäfte und Ergebnisse der Credit Suisse auswirken, selbst dann, wenn die Credit Suisse dort gerade keine Geschäfte durchführt bzw. dort nicht tätig ist</w:t>
            </w:r>
            <w:r w:rsidRPr="002A6FFA">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D0124A">
              <w:t xml:space="preserve">Adverse market and economic conditions continue to create a challenging operating environment for financial services companies. In particular, the impact of interest and currency exchange rates, the risk of geopolitical events, fluctuations in commodity prices, </w:t>
            </w:r>
            <w:r>
              <w:t>particularly the recent significant decrease in energy prices, European stagnation and renewed concern over Greece's position in the eurozone</w:t>
            </w:r>
            <w:r w:rsidRPr="00D0124A">
              <w:t xml:space="preserve"> have affected financial markets and the economy. In recent years, </w:t>
            </w:r>
            <w:r>
              <w:t>the low</w:t>
            </w:r>
            <w:r w:rsidRPr="00D0124A">
              <w:t xml:space="preserve"> interest </w:t>
            </w:r>
            <w:r w:rsidRPr="007B7F81">
              <w:t>rate environment</w:t>
            </w:r>
            <w:r>
              <w:t>, including current negative short-term interest rates in Credit Suisse</w:t>
            </w:r>
            <w:r w:rsidRPr="00D0124A">
              <w:t>’</w:t>
            </w:r>
            <w:r>
              <w:t>s home market,</w:t>
            </w:r>
            <w:r w:rsidRPr="007B7F81">
              <w:t xml:space="preserve"> has adversely</w:t>
            </w:r>
            <w:r w:rsidRPr="00D0124A">
              <w:t xml:space="preserve"> affected C</w:t>
            </w:r>
            <w:r>
              <w:t xml:space="preserve">redit </w:t>
            </w:r>
            <w:r w:rsidRPr="00D0124A">
              <w:t>S</w:t>
            </w:r>
            <w:r>
              <w:t>uisse</w:t>
            </w:r>
            <w:r w:rsidRPr="00D0124A">
              <w:t>’s net interest income and the value of its trading and non-trading fixed income portfolios. In addition, movements in equity markets have affected the value of C</w:t>
            </w:r>
            <w:r>
              <w:t>redit Suisse</w:t>
            </w:r>
            <w:r w:rsidRPr="00D0124A">
              <w:t xml:space="preserve">’s trading and non-trading equity portfolios, while the </w:t>
            </w:r>
            <w:r>
              <w:t xml:space="preserve">historical </w:t>
            </w:r>
            <w:r w:rsidRPr="00D0124A">
              <w:t xml:space="preserve">strength of the </w:t>
            </w:r>
            <w:r>
              <w:t>Swiss franc</w:t>
            </w:r>
            <w:r w:rsidRPr="00D0124A">
              <w:t xml:space="preserve"> has adversely affected C</w:t>
            </w:r>
            <w:r>
              <w:t>redit Suisse</w:t>
            </w:r>
            <w:r w:rsidRPr="00D0124A">
              <w:t>’s revenues and net income.</w:t>
            </w:r>
          </w:p>
        </w:tc>
        <w:tc>
          <w:tcPr>
            <w:tcW w:w="2500" w:type="pct"/>
            <w:tcBorders>
              <w:left w:val="single" w:sz="4" w:space="0" w:color="auto"/>
            </w:tcBorders>
            <w:shd w:val="clear" w:color="auto" w:fill="auto"/>
          </w:tcPr>
          <w:p w:rsidR="004668CF" w:rsidRPr="000F76EC" w:rsidP="004C1EBA">
            <w:pPr>
              <w:pStyle w:val="CSBody63"/>
              <w:rPr>
                <w:b/>
                <w:lang w:val="de-DE"/>
              </w:rPr>
            </w:pPr>
            <w:r w:rsidRPr="007B58AF">
              <w:rPr>
                <w:lang w:val="de-CH"/>
              </w:rPr>
              <w:t>Ungünstige Markt- und Wirtschaftsbedingungen stellen die Finanzdienstleister weiterhin vor grosse geschäftliche Herausforderungen. Namentlich der Einfluss der Zinssätze und der Wechselkurse und die mit weltpolitischen Ereignissen verbundenen Risiken, die Schwankungen der Rohstoffpreise, insbesondere der jüngste starke Rückgang der Energiepreise, die europäische Stagnation und erneute Besorgnis über die Position Griechenlands in der Eurozone wirkten sich auf die Finanzmärkte und die Wirtschaft aus. In den letzten Jahren beeinträchtigte das Tiefzinsumfeld, einschliesslich der derzeitigen negativen Zinsen im kurzfristigen Bereich im Heimatmarkt der Credit Suisse, den Zinserfolg der Credit Suisse und den Wert ihrer Handels- und Anlagebestände im festverzinslichen Bereich. Zusätzlich haben Kursschwankungen an den Aktienmärkten den Wert der Handels- und Anlagebestände der Credit Suisse im Aktienbereich beeinträchtigt, während die historische Stärke des Schweizer Franken die Erträge und den Nettogewinn der Credit Suisse belastet hat</w:t>
            </w:r>
            <w:r w:rsidRPr="002A6FFA">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021F34">
              <w:t>Such adverse market or economic conditions may reduce the number and size of investment banking transactions in which C</w:t>
            </w:r>
            <w:r>
              <w:t xml:space="preserve">redit </w:t>
            </w:r>
            <w:r w:rsidRPr="00021F34">
              <w:t>S</w:t>
            </w:r>
            <w:r>
              <w:t>uisse</w:t>
            </w:r>
            <w:r w:rsidRPr="00021F34">
              <w:t xml:space="preserve"> provides underwriting, mergers and acquisitions advice or other services and, therefore, may adversely affect its financial advisory and underwriting fees. Such conditions may adversely affect the types and volu</w:t>
            </w:r>
            <w:r>
              <w:t xml:space="preserve">mes of securities trades that Credit Suisse </w:t>
            </w:r>
            <w:r w:rsidRPr="00021F34">
              <w:t>executes for customers and may adversely affect the net revenues it receives from commissions and spreads. In addition, several of C</w:t>
            </w:r>
            <w:r>
              <w:t>redit Suisse</w:t>
            </w:r>
            <w:r w:rsidRPr="00021F34">
              <w:t>’s businesses engage in transactions with, or trade in obligations of, governmental entities, including super-national, national, state, provincial, municipal and local authorities. These activities can expose C</w:t>
            </w:r>
            <w:r>
              <w:t xml:space="preserve">redit </w:t>
            </w:r>
            <w:r w:rsidRPr="00021F34">
              <w:t>S</w:t>
            </w:r>
            <w:r>
              <w:t>uisse</w:t>
            </w:r>
            <w:r w:rsidRPr="00021F34">
              <w:t xml:space="preserve"> to enhanced sovereign, credit-related, operational and reputational risks, including the risks that a governmental entity may default on or restructure its obligations or may claim that actions taken by government officials were beyond the legal authority of those officials, which could adversely affect C</w:t>
            </w:r>
            <w:r>
              <w:t>redit Suisse</w:t>
            </w:r>
            <w:r w:rsidRPr="00021F34">
              <w:t>’s financial condition and results of operations.</w:t>
            </w:r>
          </w:p>
        </w:tc>
        <w:tc>
          <w:tcPr>
            <w:tcW w:w="2500" w:type="pct"/>
            <w:tcBorders>
              <w:left w:val="single" w:sz="4" w:space="0" w:color="auto"/>
            </w:tcBorders>
            <w:shd w:val="clear" w:color="auto" w:fill="auto"/>
          </w:tcPr>
          <w:p w:rsidR="004668CF" w:rsidRPr="000F76EC" w:rsidP="004C1EBA">
            <w:pPr>
              <w:pStyle w:val="CSBody63"/>
              <w:rPr>
                <w:b/>
                <w:lang w:val="de-DE"/>
              </w:rPr>
            </w:pPr>
            <w:r w:rsidRPr="00C72686">
              <w:rPr>
                <w:lang w:val="de-CH"/>
              </w:rPr>
              <w:t xml:space="preserve">Solch ungünstige Markt- oder Wirtschaftsbedingungen können die Zahl und den Umfang der Investment-Banking-Transaktionen einschränken, bei welchen die </w:t>
            </w:r>
            <w:r w:rsidRPr="002A6FFA">
              <w:rPr>
                <w:lang w:val="de-CH"/>
              </w:rPr>
              <w:t>Credit Suisse Emissions</w:t>
            </w:r>
            <w:r w:rsidRPr="002A6FFA">
              <w:rPr>
                <w:lang w:val="de-CH"/>
              </w:rPr>
              <w:noBreakHyphen/>
              <w:t>, Fusions- und Übernahmeberatungen oder andere Dienstleistungen erbringt, und sich daher ungünstig auf ihre Finanzberatungshonorare und Übernahmeprovisionen auswirken. Diese Entwicklungen können sich sowohl in der Art als auch im Umfang der von der Credit Suisse für Kunden getätigten Wertpapiergeschäfte niederschlagen und ihren Nettoertrag aus Kommissionen und Spreads belasten. Ausserdem beteiligen sich zahlreiche Geschäftsbereiche der Credit Suisse an Transaktionen mit bzw. handeln mit Anleihen von staatlichen Stellen, u.a. mit internationalen, nationalen, staatlichen, regionalen, kommunalen oder lokalen Behörden. Diese Aktivitäten können die Credit Suisse verschärften länder- und kreditbezogenen, operationellen und Reputationsrisiken aussetzen, einschliesslich des Risikos, dass eine staatliche Stelle ihre finanziellen Verpflichtungen nicht erfüllt bzw. neu ordnet oder behauptet, von Beamten ergriffene Massnahmen lägen ausserhalb des Zuständigkeitsbereichs dieser Beamten, wodurch die finanzielle Lage und das Geschäftsergebnis der Credit Suisse beeinträchtigt werden könnten.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C23D0F">
              <w:t>Unfavourable market or economic conditions have affected C</w:t>
            </w:r>
            <w:r>
              <w:t xml:space="preserve">redit </w:t>
            </w:r>
            <w:r w:rsidRPr="00C23D0F">
              <w:t>S</w:t>
            </w:r>
            <w:r>
              <w:t>uisse</w:t>
            </w:r>
            <w:r w:rsidRPr="00C23D0F">
              <w:t xml:space="preserve">’s businesses over the last years, including the low interest rate environment, continued cautious investor behaviour and </w:t>
            </w:r>
            <w:r>
              <w:t>changes in market structure, particularly in Credit Suisse</w:t>
            </w:r>
            <w:r w:rsidRPr="00D0124A">
              <w:t>’</w:t>
            </w:r>
            <w:r>
              <w:t>s macro businesses</w:t>
            </w:r>
            <w:r w:rsidRPr="00C23D0F">
              <w:t>. These negative factors have been reflected in lower commissions and fees from C</w:t>
            </w:r>
            <w:r>
              <w:t xml:space="preserve">redit </w:t>
            </w:r>
            <w:r w:rsidRPr="00C23D0F">
              <w:t>S</w:t>
            </w:r>
            <w:r>
              <w:t>uisse</w:t>
            </w:r>
            <w:r w:rsidRPr="00C23D0F">
              <w:t>’s client-flow sales and trading and asset management activities, including commissions and fees that are based on the value of C</w:t>
            </w:r>
            <w:r>
              <w:t xml:space="preserve">redit </w:t>
            </w:r>
            <w:r w:rsidRPr="00C23D0F">
              <w:t>S</w:t>
            </w:r>
            <w:r>
              <w:t>uisse</w:t>
            </w:r>
            <w:r w:rsidRPr="00C23D0F">
              <w:t xml:space="preserve">’s clients’ portfolios. Investment performance that is below that of competitors or asset management benchmarks could result in a decline in assets under management and related fees and make it harder to attract new clients. </w:t>
            </w:r>
            <w:r>
              <w:t>T</w:t>
            </w:r>
            <w:r w:rsidRPr="00C23D0F">
              <w:t>here has been a fundamental shift in client demand away from more complex products and significant client deleveraging, and C</w:t>
            </w:r>
            <w:r>
              <w:t xml:space="preserve">redit </w:t>
            </w:r>
            <w:r w:rsidRPr="00C23D0F">
              <w:t>S</w:t>
            </w:r>
            <w:r>
              <w:t>uisse</w:t>
            </w:r>
            <w:r w:rsidRPr="00C23D0F">
              <w:t>’s Private Banking &amp; Wealth Management division’s results of operations have been and could continue to be adversely affected as long as this continues.</w:t>
            </w:r>
          </w:p>
        </w:tc>
        <w:tc>
          <w:tcPr>
            <w:tcW w:w="2500" w:type="pct"/>
            <w:tcBorders>
              <w:left w:val="single" w:sz="4" w:space="0" w:color="auto"/>
            </w:tcBorders>
            <w:shd w:val="clear" w:color="auto" w:fill="auto"/>
          </w:tcPr>
          <w:p w:rsidR="004668CF" w:rsidRPr="000F76EC" w:rsidP="004C1EBA">
            <w:pPr>
              <w:pStyle w:val="CSBody63"/>
              <w:rPr>
                <w:b/>
                <w:lang w:val="de-DE"/>
              </w:rPr>
            </w:pPr>
            <w:r w:rsidRPr="007B58AF">
              <w:rPr>
                <w:lang w:val="de-CH"/>
              </w:rPr>
              <w:t>Ungünstige Markt- oder Wirtschaftsbedingungen haben die Geschäftsbereiche der Credit Suisse in den letzten Jahren beeinträchtigt. Dazu gehören das durch niedrige Zinssätze gekennzeichnete Umfeld, das immer noch vorsichtige Agieren der Anleger sowie Änderungen der Marktstruktur, insbesondere im Makrogeschäft der Credit Suisse. Geringere Kommissions- und Gebührenerträge aus kundenbezogenen Geschäften der Credit Suisse im Handels- und Vermögensverwaltungsbereich (einschliesslich Kommissions- und Gebührenerträge, die vom Wert der Kundenportfolios der Credit Suisse abhängen) spiegeln den Einfluss dieser negativen Faktoren wider. Eine Anlageperformance, die unter derjenigen der Konkurrenz oder unter den Vermögensverwaltungs-Benchmarks liegt, könnte einen Rückgang der verwalteten Vermögen und der entsprechenden Gebühren zur Folge haben und die Gewinnung von Neukunden erschweren. Die Kunden haben ihre Nachfrage eindeutig zu Ungunsten der komplexen Produkte verlagert und in grossem Stil Fremdmittel abgebaut. Solange sich dieser Trend fortsetzt, sind negative Auswirkungen auf das Geschäftsergebnis der Division Private Banking &amp; Wealth Management der Credit Suisse nicht auszuschliessen, wie die Vergangenheit gezeigt hat</w:t>
            </w:r>
            <w:r w:rsidRPr="002A6FFA">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C23D0F">
              <w:t>Adverse market or economic conditions have also negatively affected C</w:t>
            </w:r>
            <w:r>
              <w:t>redit Suisse</w:t>
            </w:r>
            <w:r w:rsidRPr="00C23D0F">
              <w:t>’s private equity investments since, if a private equity investment substantially declines in value, C</w:t>
            </w:r>
            <w:r>
              <w:t xml:space="preserve">redit </w:t>
            </w:r>
            <w:r w:rsidRPr="00C23D0F">
              <w:t>S</w:t>
            </w:r>
            <w:r>
              <w:t>uisse</w:t>
            </w:r>
            <w:r w:rsidRPr="00C23D0F">
              <w:t xml:space="preserve"> may not receive any increased share of the income and gains from such investment (to which C</w:t>
            </w:r>
            <w:r>
              <w:t xml:space="preserve">redit </w:t>
            </w:r>
            <w:r w:rsidRPr="00C23D0F">
              <w:t>S</w:t>
            </w:r>
            <w:r>
              <w:t>uisse</w:t>
            </w:r>
            <w:r w:rsidRPr="00C23D0F">
              <w:t xml:space="preserve"> is entitled in certain cases when the return on such investment exceeds certain threshold returns), may be obligated to return to investors previously received excess carried interest payments and may lose its pro rata share of the capital invested. In addition, it could become more difficult to dispose of the investment, as even investments that are performing well may prove difficult to exit.</w:t>
            </w:r>
          </w:p>
        </w:tc>
        <w:tc>
          <w:tcPr>
            <w:tcW w:w="2500" w:type="pct"/>
            <w:tcBorders>
              <w:left w:val="single" w:sz="4" w:space="0" w:color="auto"/>
            </w:tcBorders>
            <w:shd w:val="clear" w:color="auto" w:fill="auto"/>
          </w:tcPr>
          <w:p w:rsidR="004668CF" w:rsidRPr="000F76EC" w:rsidP="004C1EBA">
            <w:pPr>
              <w:pStyle w:val="CSBody63"/>
              <w:rPr>
                <w:b/>
                <w:lang w:val="de-DE"/>
              </w:rPr>
            </w:pPr>
            <w:r w:rsidRPr="002A6FFA">
              <w:rPr>
                <w:lang w:val="de-CH"/>
              </w:rPr>
              <w:t>Weiter wirkten sich die ungünstigen Markt- oder Wirtschaftsbedingungen auch negativ auf die Private-Equity-Beteiligungen der Credit Suisse aus. Wenn nämlich ein Private-Equity-Investment erheblich an Wert einbüsst, ist es möglich, dass die Credit Suisse keine höhere Beteiligung an den Erträgen und Gewinnen der betreffenden Anlage erhalten (auf die sie in bestimmten Fällen Anspruch hat, wenn der Ertrag entsprechender Anlagen eine bestimmte Ertragsschwelle übersteigt), dass sie zuvor entgegen</w:t>
            </w:r>
            <w:r w:rsidRPr="002A6FFA">
              <w:rPr>
                <w:lang w:val="de-CH"/>
              </w:rPr>
              <w:softHyphen/>
              <w:t>genommene Carried-Interest-Überschusszahlungen an Investoren rückerstatten muss und dass sie ihren Pro-Rata-Anteil am investierten Kapital verliert. Ausserdem könnte es schwieriger werden, die Anlage abzustossen, da auch gut abschneidende Anlagen schwer veräusserbar sein können.</w:t>
            </w:r>
          </w:p>
        </w:tc>
      </w:tr>
      <w:tr w:rsidTr="004668CF">
        <w:tblPrEx>
          <w:tblW w:w="5000" w:type="pct"/>
          <w:tblLook w:val="00A0"/>
        </w:tblPrEx>
        <w:tc>
          <w:tcPr>
            <w:tcW w:w="2500" w:type="pct"/>
            <w:tcBorders>
              <w:right w:val="single" w:sz="4" w:space="0" w:color="auto"/>
            </w:tcBorders>
          </w:tcPr>
          <w:p w:rsidR="004668CF" w:rsidRPr="000F76EC" w:rsidP="004C1EBA">
            <w:pPr>
              <w:pStyle w:val="CSBody63"/>
              <w:rPr>
                <w:b/>
              </w:rPr>
            </w:pPr>
            <w:r w:rsidRPr="00C23D0F">
              <w:t>In addition to the macroeconomic factors discussed above, other events beyond C</w:t>
            </w:r>
            <w:r>
              <w:t xml:space="preserve">redit </w:t>
            </w:r>
            <w:r w:rsidRPr="00C23D0F">
              <w:t>S</w:t>
            </w:r>
            <w:r>
              <w:t>uisse</w:t>
            </w:r>
            <w:r w:rsidRPr="00C23D0F">
              <w:t>’s control, including terrorist attacks</w:t>
            </w:r>
            <w:r>
              <w:t xml:space="preserve"> (such as the recent attacks in Paris)</w:t>
            </w:r>
            <w:r w:rsidRPr="00C23D0F">
              <w:t>, military conflicts, economic or political sanctions, disease pandemics, political unrest or natural disasters could have a material adverse effect on economic and market conditions, market volatility and financial activity, with a potential related effect on C</w:t>
            </w:r>
            <w:r>
              <w:t xml:space="preserve">redit </w:t>
            </w:r>
            <w:r w:rsidRPr="00C23D0F">
              <w:t>S</w:t>
            </w:r>
            <w:r>
              <w:t>uisse</w:t>
            </w:r>
            <w:r w:rsidRPr="00C23D0F">
              <w:t>’s businesses and results.</w:t>
            </w:r>
          </w:p>
        </w:tc>
        <w:tc>
          <w:tcPr>
            <w:tcW w:w="2500" w:type="pct"/>
            <w:tcBorders>
              <w:left w:val="single" w:sz="4" w:space="0" w:color="auto"/>
            </w:tcBorders>
            <w:shd w:val="clear" w:color="auto" w:fill="auto"/>
          </w:tcPr>
          <w:p w:rsidR="004668CF" w:rsidRPr="00582F86" w:rsidP="004C1EBA">
            <w:pPr>
              <w:pStyle w:val="CSBody63"/>
              <w:rPr>
                <w:lang w:val="de-CH"/>
              </w:rPr>
            </w:pPr>
            <w:r w:rsidRPr="002A6FFA">
              <w:rPr>
                <w:lang w:val="de-CH"/>
              </w:rPr>
              <w:t>Zusätzlich zu den vorstehend angesprochenen makroökonomischen Faktoren könnten andere Ereignisse, auf welche die Credit Suisse keinen Einfluss hat, wie z.B. Terroranschläge</w:t>
            </w:r>
            <w:r>
              <w:rPr>
                <w:lang w:val="de-CH"/>
              </w:rPr>
              <w:t xml:space="preserve"> (wie beispielsweise die jüngsten Anschläge in Paris)</w:t>
            </w:r>
            <w:r w:rsidRPr="002A6FFA">
              <w:rPr>
                <w:lang w:val="de-CH"/>
              </w:rPr>
              <w:t>, militärische Konflikte sowie Wirtschafts- oder politische Sanktionen, Pandemien, politische Unruhen oder Naturkatastrophen erhebliche ungünstige Auswirkungen auf die Wirtschafts- und Marktbedingungen, die Marktvolatilität und die finanziellen Aktivitäten haben und sich auch in den Geschäftsbereichen und Ergebnissen der Credit Suisse niederschlagen.</w:t>
            </w:r>
          </w:p>
        </w:tc>
      </w:tr>
      <w:tr w:rsidTr="004668CF">
        <w:tblPrEx>
          <w:tblW w:w="5000" w:type="pct"/>
          <w:tblLook w:val="00A0"/>
        </w:tblPrEx>
        <w:tc>
          <w:tcPr>
            <w:tcW w:w="2500" w:type="pct"/>
            <w:tcBorders>
              <w:right w:val="single" w:sz="4" w:space="0" w:color="auto"/>
            </w:tcBorders>
          </w:tcPr>
          <w:p w:rsidR="004668CF" w:rsidRPr="000F76EC" w:rsidP="004C1EBA">
            <w:pPr>
              <w:pStyle w:val="CSBody63"/>
              <w:rPr>
                <w:b/>
              </w:rPr>
            </w:pPr>
            <w:r w:rsidRPr="00B831E1">
              <w:rPr>
                <w:b/>
              </w:rPr>
              <w:t>Credit Suisse may incur significant losses in the real estate sector</w:t>
            </w:r>
          </w:p>
        </w:tc>
        <w:tc>
          <w:tcPr>
            <w:tcW w:w="2500" w:type="pct"/>
            <w:tcBorders>
              <w:left w:val="single" w:sz="4" w:space="0" w:color="auto"/>
            </w:tcBorders>
            <w:shd w:val="clear" w:color="auto" w:fill="auto"/>
          </w:tcPr>
          <w:p w:rsidR="004668CF" w:rsidRPr="000F76EC" w:rsidP="004C1EBA">
            <w:pPr>
              <w:pStyle w:val="CSBody63"/>
              <w:rPr>
                <w:b/>
                <w:lang w:val="de-DE"/>
              </w:rPr>
            </w:pPr>
            <w:r w:rsidRPr="002A6FFA">
              <w:rPr>
                <w:b/>
                <w:lang w:val="de-CH"/>
              </w:rPr>
              <w:t>Die Credit Suisse könnte erhebliche Verluste im Immobiliensektor erleiden</w:t>
            </w:r>
          </w:p>
        </w:tc>
      </w:tr>
      <w:tr w:rsidTr="004668CF">
        <w:tblPrEx>
          <w:tblW w:w="5000" w:type="pct"/>
          <w:tblLook w:val="00A0"/>
        </w:tblPrEx>
        <w:tc>
          <w:tcPr>
            <w:tcW w:w="2500" w:type="pct"/>
            <w:tcBorders>
              <w:right w:val="single" w:sz="4" w:space="0" w:color="auto"/>
            </w:tcBorders>
          </w:tcPr>
          <w:p w:rsidR="004668CF" w:rsidRPr="00293F90">
            <w:pPr>
              <w:pStyle w:val="CSBody63"/>
              <w:rPr>
                <w:b/>
              </w:rPr>
            </w:pPr>
            <w:r w:rsidRPr="00B831E1">
              <w:t>C</w:t>
            </w:r>
            <w:r>
              <w:t xml:space="preserve">redit </w:t>
            </w:r>
            <w:r w:rsidRPr="00B831E1">
              <w:t>S</w:t>
            </w:r>
            <w:r>
              <w:t>uisse</w:t>
            </w:r>
            <w:r w:rsidRPr="00B831E1">
              <w:t xml:space="preserve"> finances and acquires principal positions in a number of real estate and real estate-related products, primarily for clients</w:t>
            </w:r>
            <w:r>
              <w:t>,</w:t>
            </w:r>
            <w:r w:rsidRPr="00B831E1">
              <w:t xml:space="preserve"> and originates loans, secured by commercial and re</w:t>
            </w:r>
            <w:r>
              <w:t>sidential properties. As of 31</w:t>
            </w:r>
            <w:r w:rsidRPr="00B831E1">
              <w:t xml:space="preserve"> December </w:t>
            </w:r>
            <w:r>
              <w:t>2014</w:t>
            </w:r>
            <w:r w:rsidRPr="00B831E1">
              <w:t xml:space="preserve">, </w:t>
            </w:r>
            <w:r>
              <w:t>Credit Suisse</w:t>
            </w:r>
            <w:r w:rsidRPr="00B831E1">
              <w:t>’s real estate loans (as reported to the Swiss National Bank</w:t>
            </w:r>
            <w:r>
              <w:t xml:space="preserve"> (the </w:t>
            </w:r>
            <w:r w:rsidR="003B00F3">
              <w:t>"</w:t>
            </w:r>
            <w:r>
              <w:rPr>
                <w:b/>
              </w:rPr>
              <w:t>SNB</w:t>
            </w:r>
            <w:r w:rsidR="00BF7214">
              <w:t>"</w:t>
            </w:r>
            <w:r w:rsidRPr="00B831E1">
              <w:t xml:space="preserve">) totalled approximately CHF </w:t>
            </w:r>
            <w:r>
              <w:t>146</w:t>
            </w:r>
            <w:r w:rsidRPr="00B831E1">
              <w:t xml:space="preserve"> billion. C</w:t>
            </w:r>
            <w:r>
              <w:t>redit Suisse</w:t>
            </w:r>
            <w:r w:rsidRPr="00B831E1">
              <w:t xml:space="preserve"> also securitises and trades in commercial and residential real estate and real estate-related whole loans, mortgages, and other real estate and commercial assets and products, including commercial </w:t>
            </w:r>
            <w:r>
              <w:t xml:space="preserve">mortgage-backed securities </w:t>
            </w:r>
            <w:r w:rsidRPr="00B831E1">
              <w:t>and residential mortgage-backed securities</w:t>
            </w:r>
            <w:r>
              <w:t xml:space="preserve"> </w:t>
            </w:r>
            <w:r w:rsidRPr="00223D5D">
              <w:t>(</w:t>
            </w:r>
            <w:r>
              <w:t>"</w:t>
            </w:r>
            <w:r w:rsidRPr="007B58AF">
              <w:rPr>
                <w:b/>
              </w:rPr>
              <w:t>RMBS</w:t>
            </w:r>
            <w:r>
              <w:t>"</w:t>
            </w:r>
            <w:r w:rsidRPr="00223D5D">
              <w:t>)</w:t>
            </w:r>
            <w:r w:rsidRPr="00B831E1">
              <w:t>. C</w:t>
            </w:r>
            <w:r>
              <w:t xml:space="preserve">redit </w:t>
            </w:r>
            <w:r w:rsidRPr="00B831E1">
              <w:t>S</w:t>
            </w:r>
            <w:r>
              <w:t>uisse</w:t>
            </w:r>
            <w:r w:rsidRPr="00B831E1">
              <w:t xml:space="preserve">’s real estate-related businesses and risk exposures could continue to be adversely affected by </w:t>
            </w:r>
            <w:r>
              <w:t>any</w:t>
            </w:r>
            <w:r w:rsidRPr="00B831E1">
              <w:t xml:space="preserve"> downturn in real estate markets, other sectors and the economy as a whole. In particular, the risk of potential price corrections in the real estate market in certain areas of Switzerland could have a material adverse effect on C</w:t>
            </w:r>
            <w:r>
              <w:t xml:space="preserve">redit </w:t>
            </w:r>
            <w:r w:rsidRPr="00B831E1">
              <w:t>S</w:t>
            </w:r>
            <w:r>
              <w:t>uisse</w:t>
            </w:r>
            <w:r w:rsidRPr="00B831E1">
              <w:t>’s real estate-related businesses.</w:t>
            </w:r>
          </w:p>
        </w:tc>
        <w:tc>
          <w:tcPr>
            <w:tcW w:w="2500" w:type="pct"/>
            <w:tcBorders>
              <w:left w:val="single" w:sz="4" w:space="0" w:color="auto"/>
            </w:tcBorders>
            <w:shd w:val="clear" w:color="auto" w:fill="auto"/>
          </w:tcPr>
          <w:p w:rsidR="004668CF" w:rsidRPr="000F76EC" w:rsidP="004C1EBA">
            <w:pPr>
              <w:pStyle w:val="CSBody63"/>
              <w:rPr>
                <w:b/>
                <w:lang w:val="de-DE"/>
              </w:rPr>
            </w:pPr>
            <w:r w:rsidRPr="007B58AF">
              <w:rPr>
                <w:lang w:val="de-CH"/>
              </w:rPr>
              <w:t>Die Credit Suisse finanziert und erwirbt in erster Linie für Kunden Positionen in verschiedenen Immobilien- und damit verbundenen Produkten und stellt Darlehen bereit, die durch Geschäfts- und Wohnimmobilien besichert sind. Per 31. Dezember 2014 beliefen sich die (der Schweizerischen Nationalbank</w:t>
            </w:r>
            <w:r>
              <w:rPr>
                <w:lang w:val="de-CH"/>
              </w:rPr>
              <w:t xml:space="preserve"> (die </w:t>
            </w:r>
            <w:r w:rsidR="003B00F3">
              <w:rPr>
                <w:lang w:val="de-CH"/>
              </w:rPr>
              <w:t>"</w:t>
            </w:r>
            <w:r>
              <w:rPr>
                <w:b/>
                <w:lang w:val="de-CH"/>
              </w:rPr>
              <w:t>SNB</w:t>
            </w:r>
            <w:r w:rsidR="003B00F3">
              <w:rPr>
                <w:lang w:val="de-CH"/>
              </w:rPr>
              <w:t>"</w:t>
            </w:r>
            <w:r>
              <w:rPr>
                <w:lang w:val="de-CH"/>
              </w:rPr>
              <w:t>)</w:t>
            </w:r>
            <w:r w:rsidRPr="007B58AF">
              <w:rPr>
                <w:lang w:val="de-CH"/>
              </w:rPr>
              <w:t xml:space="preserve"> gemeldeten) Immobilienausleihungen der Credit Suisse auf insgesamt rund CHF 146 Mrd. Weiter verbrieft und handelt die Credit Suisse mit Immobilien und Immobiliendarlehen und Hypotheken im Bereich Geschäfts- und Wohnimmobilien sowie mit anderen –Vermögenswerten und Produkten im Immobilien- und Geschäftsbereich, einschliesslich durch Hypotheken auf Geschäftsimmobilien besicherter Wertpapiere (</w:t>
            </w:r>
            <w:r w:rsidRPr="007B58AF">
              <w:rPr>
                <w:i/>
                <w:lang w:val="de-CH"/>
              </w:rPr>
              <w:t>Commercial Mortgage-backed Securities</w:t>
            </w:r>
            <w:r w:rsidRPr="007B58AF">
              <w:rPr>
                <w:lang w:val="de-CH"/>
              </w:rPr>
              <w:t>) und durch Hypotheken auf Wohnimmobilien besicherter Wertpapiere (</w:t>
            </w:r>
            <w:r w:rsidRPr="007B58AF">
              <w:rPr>
                <w:i/>
                <w:lang w:val="de-CH"/>
              </w:rPr>
              <w:t>Residential Mortgage-backed Securities</w:t>
            </w:r>
            <w:r w:rsidRPr="007B58AF">
              <w:rPr>
                <w:lang w:val="de-CH"/>
              </w:rPr>
              <w:t xml:space="preserve">; </w:t>
            </w:r>
            <w:r>
              <w:rPr>
                <w:lang w:val="de-CH"/>
              </w:rPr>
              <w:t>"</w:t>
            </w:r>
            <w:r w:rsidRPr="007B58AF">
              <w:rPr>
                <w:b/>
                <w:lang w:val="de-CH"/>
              </w:rPr>
              <w:t>RMBS</w:t>
            </w:r>
            <w:r>
              <w:rPr>
                <w:lang w:val="de-CH"/>
              </w:rPr>
              <w:t>"</w:t>
            </w:r>
            <w:r w:rsidRPr="007B58AF">
              <w:rPr>
                <w:lang w:val="de-CH"/>
              </w:rPr>
              <w:t>). Es ist nicht auszuschliessen, dass die immobilienbezogenen Geschäfte der Credit Suisse und ihre Risikopositionen auch weiterhin unter einer Baisse der Immobilienmärkte, anderer Sektoren und dem allgemeinen Konjunktur</w:t>
            </w:r>
            <w:r w:rsidRPr="007B58AF">
              <w:rPr>
                <w:lang w:val="de-CH"/>
              </w:rPr>
              <w:softHyphen/>
              <w:t>rückgang leiden. Namentlich könnte das Risiko möglicher Preiskorrekturen im Immobilienmarkt in bestimmten Regionen der Schweiz die immobilienbezogenen Geschäfte der Credit Suisse erheblich beeinträchtigen</w:t>
            </w:r>
            <w:r w:rsidRPr="002A6FFA">
              <w:rPr>
                <w:lang w:val="de-CH"/>
              </w:rPr>
              <w:t>.</w:t>
            </w:r>
          </w:p>
        </w:tc>
      </w:tr>
      <w:tr w:rsidTr="004668CF">
        <w:tblPrEx>
          <w:tblW w:w="5000" w:type="pct"/>
          <w:tblLook w:val="00A0"/>
        </w:tblPrEx>
        <w:tc>
          <w:tcPr>
            <w:tcW w:w="2500" w:type="pct"/>
            <w:tcBorders>
              <w:right w:val="single" w:sz="4" w:space="0" w:color="auto"/>
            </w:tcBorders>
          </w:tcPr>
          <w:p w:rsidR="004668CF" w:rsidRPr="000F76EC" w:rsidP="004C1EBA">
            <w:pPr>
              <w:pStyle w:val="CSBody63"/>
              <w:rPr>
                <w:b/>
              </w:rPr>
            </w:pPr>
            <w:r w:rsidRPr="00537B08">
              <w:rPr>
                <w:b/>
              </w:rPr>
              <w:t>Holding large and concentrated positions may expose Credit Suisse to large losses</w:t>
            </w:r>
          </w:p>
        </w:tc>
        <w:tc>
          <w:tcPr>
            <w:tcW w:w="2500" w:type="pct"/>
            <w:tcBorders>
              <w:left w:val="single" w:sz="4" w:space="0" w:color="auto"/>
            </w:tcBorders>
            <w:shd w:val="clear" w:color="auto" w:fill="auto"/>
          </w:tcPr>
          <w:p w:rsidR="004668CF" w:rsidRPr="000F76EC" w:rsidP="004C1EBA">
            <w:pPr>
              <w:pStyle w:val="CSBody63"/>
              <w:rPr>
                <w:b/>
                <w:lang w:val="de-DE"/>
              </w:rPr>
            </w:pPr>
            <w:r w:rsidRPr="002A6FFA">
              <w:rPr>
                <w:b/>
                <w:lang w:val="de-CH"/>
              </w:rPr>
              <w:t>Das Halten grosser und konzentrierter Positionen könnte die Credit Suisse anfällig für hohe Verluste machen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537B08">
              <w:t>Concentrations of risk could increase losses, given that C</w:t>
            </w:r>
            <w:r>
              <w:t xml:space="preserve">redit </w:t>
            </w:r>
            <w:r w:rsidRPr="00537B08">
              <w:t>S</w:t>
            </w:r>
            <w:r>
              <w:t>uisse</w:t>
            </w:r>
            <w:r w:rsidRPr="00537B08">
              <w:t xml:space="preserve"> has sizeable loans to, and securities holdings in, certain customers, industries or countries. Decreasing economic growth in any sector in which C</w:t>
            </w:r>
            <w:r>
              <w:t xml:space="preserve">redit </w:t>
            </w:r>
            <w:r w:rsidRPr="00537B08">
              <w:t>S</w:t>
            </w:r>
            <w:r>
              <w:t>uisse</w:t>
            </w:r>
            <w:r w:rsidRPr="00537B08">
              <w:t xml:space="preserve"> makes significant commitments, for example, through underwriting, lending or advisory services, could also negatively affect C</w:t>
            </w:r>
            <w:r>
              <w:t xml:space="preserve">redit </w:t>
            </w:r>
            <w:r w:rsidRPr="00537B08">
              <w:t>S</w:t>
            </w:r>
            <w:r>
              <w:t>uisse</w:t>
            </w:r>
            <w:r w:rsidRPr="00537B08">
              <w:t>’s net revenues.</w:t>
            </w:r>
          </w:p>
        </w:tc>
        <w:tc>
          <w:tcPr>
            <w:tcW w:w="2500" w:type="pct"/>
            <w:tcBorders>
              <w:left w:val="single" w:sz="4" w:space="0" w:color="auto"/>
            </w:tcBorders>
            <w:shd w:val="clear" w:color="auto" w:fill="auto"/>
          </w:tcPr>
          <w:p w:rsidR="004668CF" w:rsidRPr="000F76EC" w:rsidP="004C1EBA">
            <w:pPr>
              <w:pStyle w:val="CSBody63"/>
              <w:rPr>
                <w:b/>
                <w:lang w:val="de-DE"/>
              </w:rPr>
            </w:pPr>
            <w:r w:rsidRPr="002A6FFA">
              <w:rPr>
                <w:lang w:val="de-CH"/>
              </w:rPr>
              <w:t>Risikokonzentrationen könnten Verluste erhöhen, da die Credit Suisse umfangreiche Kredite an und Wertpapierbestände von bestimmten Kunden, Branchen oder Ländern aufweist. Der Nettogewinn der Credit Suisse könnte auch von einem rückläufigen Wirtschaftswachstum in Sektoren, in denen sie etwa durch die Zeichnung von Finanzinstrumenten, Kreditvergaben oder Beratungsdienstleistungen hochgradig engagiert ist, in Mitleidenschaft gezogen werden.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537B08">
              <w:t>C</w:t>
            </w:r>
            <w:r>
              <w:t xml:space="preserve">redit </w:t>
            </w:r>
            <w:r w:rsidRPr="00537B08">
              <w:t>S</w:t>
            </w:r>
            <w:r>
              <w:t>uisse</w:t>
            </w:r>
            <w:r w:rsidRPr="00537B08">
              <w:t xml:space="preserve"> has significant risk concentration in the financial services industry as a result of the large volume of transactions </w:t>
            </w:r>
            <w:r>
              <w:t xml:space="preserve">it </w:t>
            </w:r>
            <w:r w:rsidRPr="00537B08">
              <w:t>routinely conduct</w:t>
            </w:r>
            <w:r>
              <w:t>s</w:t>
            </w:r>
            <w:r w:rsidRPr="00537B08">
              <w:t xml:space="preserve"> with broker-dealers, banks, funds and other financial institutions, and in the ordinary conduct of C</w:t>
            </w:r>
            <w:r>
              <w:t>redit Suisse</w:t>
            </w:r>
            <w:r w:rsidRPr="00537B08">
              <w:t>’s business it may be subject to risk concentration with a particular counterparty. C</w:t>
            </w:r>
            <w:r>
              <w:t>redit Suisse</w:t>
            </w:r>
            <w:r w:rsidRPr="00537B08">
              <w:t>, like other financial institutions, continues to adapt its practices and operations in consultation with its regulators to better address an evolving understanding of its exposure to, and management of, systemic risk and risk concentration to financial institutions. Regulators continue to focus on these risks, and there are numerous new regulations and government proposals, and significant ongoing regulatory uncertainty, about how best to address them. There can be no assurance that the changes in C</w:t>
            </w:r>
            <w:r>
              <w:t xml:space="preserve">redit </w:t>
            </w:r>
            <w:r w:rsidRPr="00537B08">
              <w:t>S</w:t>
            </w:r>
            <w:r>
              <w:t>uisse</w:t>
            </w:r>
            <w:r w:rsidRPr="00537B08">
              <w:t>’s industry</w:t>
            </w:r>
            <w:r>
              <w:t>,</w:t>
            </w:r>
            <w:r w:rsidRPr="00537B08">
              <w:t xml:space="preserve"> operations, practices and regulation will be effective in managing this risk. For further information, refer to </w:t>
            </w:r>
            <w:r>
              <w:t>"</w:t>
            </w:r>
            <w:r w:rsidRPr="00537B08">
              <w:rPr>
                <w:i/>
              </w:rPr>
              <w:t>I—Information on the Company—Regulation and supervision</w:t>
            </w:r>
            <w:r>
              <w:t>"</w:t>
            </w:r>
            <w:r w:rsidRPr="00537B08">
              <w:t xml:space="preserve"> in the Credit Suisse Annual Report </w:t>
            </w:r>
            <w:r>
              <w:t>2014 and "</w:t>
            </w:r>
            <w:r w:rsidRPr="0005793F">
              <w:rPr>
                <w:i/>
              </w:rPr>
              <w:t xml:space="preserve">II — Treasury, </w:t>
            </w:r>
            <w:r>
              <w:rPr>
                <w:i/>
              </w:rPr>
              <w:t>R</w:t>
            </w:r>
            <w:r w:rsidRPr="0005793F">
              <w:rPr>
                <w:i/>
              </w:rPr>
              <w:t xml:space="preserve">isk, </w:t>
            </w:r>
            <w:r>
              <w:rPr>
                <w:i/>
              </w:rPr>
              <w:t>B</w:t>
            </w:r>
            <w:r w:rsidRPr="0005793F">
              <w:rPr>
                <w:i/>
              </w:rPr>
              <w:t xml:space="preserve">alance sheet and </w:t>
            </w:r>
            <w:r>
              <w:rPr>
                <w:i/>
              </w:rPr>
              <w:t>O</w:t>
            </w:r>
            <w:r w:rsidRPr="0005793F">
              <w:rPr>
                <w:i/>
              </w:rPr>
              <w:t xml:space="preserve">ff-balance sheet </w:t>
            </w:r>
            <w:r>
              <w:rPr>
                <w:i/>
              </w:rPr>
              <w:t>-</w:t>
            </w:r>
            <w:r w:rsidRPr="0005793F">
              <w:rPr>
                <w:i/>
              </w:rPr>
              <w:t xml:space="preserve"> Capital Management </w:t>
            </w:r>
            <w:r>
              <w:rPr>
                <w:i/>
              </w:rPr>
              <w:t>-</w:t>
            </w:r>
            <w:r w:rsidRPr="0005793F">
              <w:rPr>
                <w:i/>
              </w:rPr>
              <w:t xml:space="preserve"> Regulatory Capital Framework</w:t>
            </w:r>
            <w:r>
              <w:t>"</w:t>
            </w:r>
            <w:r w:rsidRPr="003D6855">
              <w:t xml:space="preserve"> in the Credit Suisse Financial Report </w:t>
            </w:r>
            <w:r>
              <w:t>3Q15</w:t>
            </w:r>
            <w:r w:rsidRPr="00537B08">
              <w:t>.</w:t>
            </w:r>
          </w:p>
        </w:tc>
        <w:tc>
          <w:tcPr>
            <w:tcW w:w="2500" w:type="pct"/>
            <w:tcBorders>
              <w:left w:val="single" w:sz="4" w:space="0" w:color="auto"/>
            </w:tcBorders>
            <w:shd w:val="clear" w:color="auto" w:fill="auto"/>
          </w:tcPr>
          <w:p w:rsidR="004668CF" w:rsidRPr="000F76EC" w:rsidP="004C1EBA">
            <w:pPr>
              <w:pStyle w:val="CSBody63"/>
              <w:rPr>
                <w:b/>
                <w:lang w:val="de-DE"/>
              </w:rPr>
            </w:pPr>
            <w:r w:rsidRPr="007B58AF">
              <w:rPr>
                <w:lang w:val="de-CH"/>
              </w:rPr>
              <w:t xml:space="preserve">Durch das grosse Transaktionsvolumen, das die Credit Suisse routinemässig mit Broker-Dealern, Banken, Fonds und anderen Finanzinstituten abwickelt, weist sie bedeutende Risikokonzentrationen im Finanzdienstleistungssektor auf. Auch kann die Credit Suisse durch ihre normale Geschäftstätigkeit eine Risikokonzentration bezüglich einer bestimmten Gegenpartei aufweisen. Wie andere Häuser auch passt die Credit Suisse in Abstimmung mit den für sie zuständigen Aufsichtsbehörden ihre Verfahren und ihre Geschäftstätigkeit laufend an die neuen Einsichten in die eingegangenen systemischen Risiken und Klumpenrisiken bei Finanzinstituten sowie den Umgang mit diesen Risiken an. Die Aufsichtsbehörden konzentrieren sich nach wie vor auf diese Risiken, und es liegen zahlreiche neue Regeln und Vorschläge von staatlicher Seite hinsichtlich des Umgangs mit diesen Risiken vor, wobei weiterhin beträchtliche Unsicherheit über den einzuschlagenden Weg besteht. Es können keine Zusagen gemacht werden, dass die Anpassungen der Geschäftstätigkeit der Credit Suisse beziehungsweise der Finanzbranche sowie der Verfahren und entsprechenden Vorschriften sich im Management dieser Risiken als effizient erweisen. Weitere Angaben finden sich in Abschnitt </w:t>
            </w:r>
            <w:r>
              <w:rPr>
                <w:lang w:val="de-CH"/>
              </w:rPr>
              <w:t>"</w:t>
            </w:r>
            <w:r w:rsidRPr="007B58AF">
              <w:rPr>
                <w:i/>
                <w:lang w:val="de-CH"/>
              </w:rPr>
              <w:t>I—Informationen zum Unternehmen—Gesetzgebung und Aufsichtsbehörden</w:t>
            </w:r>
            <w:r>
              <w:rPr>
                <w:lang w:val="de-CH"/>
              </w:rPr>
              <w:t>"</w:t>
            </w:r>
            <w:r w:rsidRPr="007B58AF">
              <w:rPr>
                <w:lang w:val="de-CH"/>
              </w:rPr>
              <w:t xml:space="preserve"> des Geschäfts</w:t>
            </w:r>
            <w:r w:rsidRPr="007B58AF">
              <w:rPr>
                <w:lang w:val="de-CH"/>
              </w:rPr>
              <w:softHyphen/>
              <w:t xml:space="preserve">berichts der Credit Suisse für das Jahr 2014 und </w:t>
            </w:r>
            <w:r>
              <w:rPr>
                <w:lang w:val="de-CH"/>
              </w:rPr>
              <w:t>"</w:t>
            </w:r>
            <w:r w:rsidRPr="007B58AF">
              <w:rPr>
                <w:i/>
                <w:lang w:val="de-CH"/>
              </w:rPr>
              <w:t>II—Treasury, Risiko, Bilanz und Ausserbilanz—Kapitalbewirtschaftung—Aufsichtsrechtliche Eigenkapitalanforderungen</w:t>
            </w:r>
            <w:r>
              <w:rPr>
                <w:lang w:val="de-CH"/>
              </w:rPr>
              <w:t>"</w:t>
            </w:r>
            <w:r w:rsidRPr="007B58AF">
              <w:rPr>
                <w:lang w:val="de-CH"/>
              </w:rPr>
              <w:t xml:space="preserve"> des Finanzberichts </w:t>
            </w:r>
            <w:r>
              <w:rPr>
                <w:lang w:val="de-CH"/>
              </w:rPr>
              <w:t>3</w:t>
            </w:r>
            <w:r w:rsidRPr="007B58AF">
              <w:rPr>
                <w:lang w:val="de-CH"/>
              </w:rPr>
              <w:t>Q15 der Credit Suisse</w:t>
            </w:r>
            <w:r w:rsidRPr="002A6FFA">
              <w:rPr>
                <w:lang w:val="de-CH"/>
              </w:rPr>
              <w:t>.</w:t>
            </w:r>
          </w:p>
        </w:tc>
      </w:tr>
      <w:tr w:rsidTr="004668CF">
        <w:tblPrEx>
          <w:tblW w:w="5000" w:type="pct"/>
          <w:tblLook w:val="00A0"/>
        </w:tblPrEx>
        <w:tc>
          <w:tcPr>
            <w:tcW w:w="2500" w:type="pct"/>
            <w:tcBorders>
              <w:right w:val="single" w:sz="4" w:space="0" w:color="auto"/>
            </w:tcBorders>
          </w:tcPr>
          <w:p w:rsidR="004668CF" w:rsidRPr="006C2975" w:rsidP="004C1EBA">
            <w:pPr>
              <w:pStyle w:val="CSBody63"/>
              <w:rPr>
                <w:b/>
              </w:rPr>
            </w:pPr>
            <w:r w:rsidRPr="00401714">
              <w:t>Risk concentration may cause C</w:t>
            </w:r>
            <w:r>
              <w:t xml:space="preserve">redit Suisse </w:t>
            </w:r>
            <w:r w:rsidRPr="00401714">
              <w:t>to suffer losses even when economic and market conditions are generally favourable for others in its industry.</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lang w:val="de-CH"/>
              </w:rPr>
              <w:t>Eine Risikokonzentration kann dazu führen, dass die Credit Suisse Verluste erleidet, auch wenn die Wirtschafts- und Marktbedingungen für andere Vertreter ihrer Branche generell günstig sind.</w:t>
            </w:r>
          </w:p>
        </w:tc>
      </w:tr>
      <w:tr w:rsidTr="004668CF">
        <w:tblPrEx>
          <w:tblW w:w="5000" w:type="pct"/>
          <w:tblLook w:val="00A0"/>
        </w:tblPrEx>
        <w:tc>
          <w:tcPr>
            <w:tcW w:w="2500" w:type="pct"/>
            <w:tcBorders>
              <w:right w:val="single" w:sz="4" w:space="0" w:color="auto"/>
            </w:tcBorders>
          </w:tcPr>
          <w:p w:rsidR="004668CF" w:rsidRPr="006C2975" w:rsidP="004C1EBA">
            <w:pPr>
              <w:pStyle w:val="CSBody63"/>
              <w:rPr>
                <w:b/>
              </w:rPr>
            </w:pPr>
            <w:r w:rsidRPr="00401714">
              <w:rPr>
                <w:b/>
              </w:rPr>
              <w:t>Credit Suisse’s hedging strategies may not prevent losses</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b/>
                <w:lang w:val="de-CH"/>
              </w:rPr>
              <w:t>Es ist möglich, dass die Hedging-Strategien der Credit Suisse Verluste nicht verhindern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401714">
              <w:t>If any of the variety of instruments and strategies C</w:t>
            </w:r>
            <w:r>
              <w:t xml:space="preserve">redit </w:t>
            </w:r>
            <w:r w:rsidRPr="00401714">
              <w:t>S</w:t>
            </w:r>
            <w:r>
              <w:t>uisse</w:t>
            </w:r>
            <w:r w:rsidRPr="00401714">
              <w:t xml:space="preserve"> uses to hedge its exposure to various types of risk in its businesses is not effective, it may incur losses. C</w:t>
            </w:r>
            <w:r>
              <w:t xml:space="preserve">redit </w:t>
            </w:r>
            <w:r w:rsidRPr="00401714">
              <w:t>S</w:t>
            </w:r>
            <w:r>
              <w:t>uisse</w:t>
            </w:r>
            <w:r w:rsidRPr="00401714">
              <w:t xml:space="preserve"> may be unable to purchase hedges or be only partially hedged, or its hedging strategies may not be fully effective in mitigating C</w:t>
            </w:r>
            <w:r>
              <w:t xml:space="preserve">redit </w:t>
            </w:r>
            <w:r w:rsidRPr="00401714">
              <w:t>S</w:t>
            </w:r>
            <w:r>
              <w:t>uisse</w:t>
            </w:r>
            <w:r w:rsidRPr="00401714">
              <w:t>’s risk exposure in all market environments or against all types of risk.</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lang w:val="de-CH"/>
              </w:rPr>
              <w:t>Falls einzelne der vielfältigen Instrumente und Strategien, die die Credit Suisse zur Absicherung ihrer Engagements gegenüber verschiedenen Arten von Risiken im Rahmen ihrer Tätigkeit einsetzt, nicht wirksam sind, kann das für die Credit Suisse Verluste zur Folge haben. Möglicherweise kann die Credit Suisse dann keine Absicherungen erwerben oder ist nur teilweise abgesichert, oder ihre Hedging-Strategien können ihre Wirkung nicht voll entfalten, um die Risikoexponierung der Credit Suisse in allen Marktumgebungen oder gegenüber allen Arten von Risiken zu verringern.</w:t>
            </w:r>
          </w:p>
        </w:tc>
      </w:tr>
      <w:tr w:rsidTr="004668CF">
        <w:tblPrEx>
          <w:tblW w:w="5000" w:type="pct"/>
          <w:tblLook w:val="00A0"/>
        </w:tblPrEx>
        <w:tc>
          <w:tcPr>
            <w:tcW w:w="2500" w:type="pct"/>
            <w:tcBorders>
              <w:right w:val="single" w:sz="4" w:space="0" w:color="auto"/>
            </w:tcBorders>
          </w:tcPr>
          <w:p w:rsidR="004668CF" w:rsidRPr="006C2975" w:rsidP="004C1EBA">
            <w:pPr>
              <w:pStyle w:val="CSBody63"/>
              <w:rPr>
                <w:b/>
              </w:rPr>
            </w:pPr>
            <w:r w:rsidRPr="00945CCA">
              <w:rPr>
                <w:b/>
              </w:rPr>
              <w:t>Market risk may increase the other risks that Credit Suisse faces</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b/>
                <w:lang w:val="de-CH"/>
              </w:rPr>
              <w:t>Marktrisiken könnten die übrigen Risiken, denen die Credit Suisse ausgesetzt ist, erhöhen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945CCA">
              <w:t>In addition to the potentially adverse effects on C</w:t>
            </w:r>
            <w:r>
              <w:t xml:space="preserve">redit </w:t>
            </w:r>
            <w:r w:rsidRPr="00945CCA">
              <w:t>S</w:t>
            </w:r>
            <w:r>
              <w:t>uisse</w:t>
            </w:r>
            <w:r w:rsidRPr="00945CCA">
              <w:t>’s businesses described above, market risk could exacerbate the other risks that C</w:t>
            </w:r>
            <w:r>
              <w:t xml:space="preserve">redit </w:t>
            </w:r>
            <w:r w:rsidRPr="00945CCA">
              <w:t>S</w:t>
            </w:r>
            <w:r>
              <w:t>uisse</w:t>
            </w:r>
            <w:r w:rsidRPr="00945CCA">
              <w:t xml:space="preserve"> faces. For example, if C</w:t>
            </w:r>
            <w:r>
              <w:t xml:space="preserve">redit </w:t>
            </w:r>
            <w:r w:rsidRPr="00945CCA">
              <w:t>S</w:t>
            </w:r>
            <w:r>
              <w:t>uisse</w:t>
            </w:r>
            <w:r w:rsidRPr="00945CCA">
              <w:t xml:space="preserve"> were to incur substantial trading losses, its need for liquidity could rise sharply while its access to liquidity could be impaired. In conjunction with another market downturn, C</w:t>
            </w:r>
            <w:r>
              <w:t xml:space="preserve">redit </w:t>
            </w:r>
            <w:r w:rsidRPr="00945CCA">
              <w:t>S</w:t>
            </w:r>
            <w:r>
              <w:t>uisse</w:t>
            </w:r>
            <w:r w:rsidRPr="00945CCA">
              <w:t>’s customers and counterparties could also incur substantial losses of their own, thereby weakening their financial condition and increasing C</w:t>
            </w:r>
            <w:r>
              <w:t xml:space="preserve">redit </w:t>
            </w:r>
            <w:r w:rsidRPr="00945CCA">
              <w:t>S</w:t>
            </w:r>
            <w:r>
              <w:t>uisse</w:t>
            </w:r>
            <w:r w:rsidRPr="00945CCA">
              <w:t>’s credit and counterparty risk exposure to them.</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lang w:val="de-CH"/>
              </w:rPr>
              <w:t>Neben den oben beschriebenen potenziell ungünstigen Auswirkungen auf die Tätigkeit der Credit Suisse könnte das Marktrisiko die übrigen Risiken, denen sie ausgesetzt ist, noch verschlimmern. Sollte die Credit Suisse beispielsweise erhebliche Handelsverluste erleiden, könnte ihr Liquiditätsbedarf stark zunehmen, während ihr Zugang zu flüssigen Mitteln beeinträchtigt sein könnte. Im Falle eines weiteren Marktrückgangs könnten zudem auch Kunden und Gegenparteien der Credit Suisse wiederum erhebliche Verluste erleiden, so dass deren finanzielle Lage geschwächt und das mit ihnen eingegangene Kredit- und Gegenparteirisiko der Credit Suisse dadurch erhöht würde.</w:t>
            </w:r>
          </w:p>
        </w:tc>
      </w:tr>
      <w:tr w:rsidTr="004668CF">
        <w:tblPrEx>
          <w:tblW w:w="5000" w:type="pct"/>
          <w:tblLook w:val="00A0"/>
        </w:tblPrEx>
        <w:tc>
          <w:tcPr>
            <w:tcW w:w="2500" w:type="pct"/>
            <w:tcBorders>
              <w:right w:val="single" w:sz="4" w:space="0" w:color="auto"/>
            </w:tcBorders>
          </w:tcPr>
          <w:p w:rsidR="004668CF" w:rsidRPr="006C2975" w:rsidP="004668CF">
            <w:pPr>
              <w:pStyle w:val="CSNum1EN"/>
              <w:keepNext/>
              <w:numPr>
                <w:ilvl w:val="1"/>
                <w:numId w:val="21"/>
              </w:numPr>
              <w:rPr>
                <w:lang w:val="de-DE"/>
              </w:rPr>
            </w:pPr>
            <w:r w:rsidRPr="006C2975">
              <w:rPr>
                <w:bCs/>
              </w:rPr>
              <w:t>Credit risk</w:t>
            </w:r>
          </w:p>
        </w:tc>
        <w:tc>
          <w:tcPr>
            <w:tcW w:w="2500" w:type="pct"/>
            <w:tcBorders>
              <w:left w:val="single" w:sz="4" w:space="0" w:color="auto"/>
            </w:tcBorders>
            <w:shd w:val="clear" w:color="auto" w:fill="auto"/>
          </w:tcPr>
          <w:p w:rsidR="004668CF" w:rsidRPr="006C2975" w:rsidP="004668CF">
            <w:pPr>
              <w:pStyle w:val="CSNum1DE"/>
              <w:keepNext/>
              <w:numPr>
                <w:ilvl w:val="0"/>
                <w:numId w:val="17"/>
              </w:numPr>
              <w:ind w:left="357" w:hanging="357"/>
              <w:rPr>
                <w:lang w:val="de-DE"/>
              </w:rPr>
            </w:pPr>
            <w:r w:rsidRPr="006C2975">
              <w:rPr>
                <w:lang w:val="de-CH"/>
              </w:rPr>
              <w:t>Kreditrisiko</w:t>
            </w:r>
          </w:p>
        </w:tc>
      </w:tr>
      <w:tr w:rsidTr="004668CF">
        <w:tblPrEx>
          <w:tblW w:w="5000" w:type="pct"/>
          <w:tblLook w:val="00A0"/>
        </w:tblPrEx>
        <w:tc>
          <w:tcPr>
            <w:tcW w:w="2500" w:type="pct"/>
            <w:tcBorders>
              <w:right w:val="single" w:sz="4" w:space="0" w:color="auto"/>
            </w:tcBorders>
          </w:tcPr>
          <w:p w:rsidR="004668CF" w:rsidRPr="006C2975" w:rsidP="004C1EBA">
            <w:pPr>
              <w:pStyle w:val="CSBody63"/>
              <w:rPr>
                <w:b/>
              </w:rPr>
            </w:pPr>
            <w:r w:rsidRPr="007F3FEE">
              <w:rPr>
                <w:b/>
              </w:rPr>
              <w:t>Credit Suisse may suffer significant losses from its credit exposures</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b/>
                <w:lang w:val="de-CH"/>
              </w:rPr>
              <w:t>Die Credit Suisse könnte durch ihre Kredit</w:t>
            </w:r>
            <w:r w:rsidRPr="002A6FFA">
              <w:rPr>
                <w:b/>
                <w:lang w:val="de-CH"/>
              </w:rPr>
              <w:softHyphen/>
              <w:t>engagements erhebliche Verluste erleiden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7F3FEE">
              <w:t>C</w:t>
            </w:r>
            <w:r>
              <w:t>redit Suisse</w:t>
            </w:r>
            <w:r w:rsidRPr="007F3FEE">
              <w:t>’s businesses are subject to the fundamental risk that borrowers and other counterparties will be unable to perform their obligations. C</w:t>
            </w:r>
            <w:r>
              <w:t>redit Suisse</w:t>
            </w:r>
            <w:r w:rsidRPr="007F3FEE">
              <w:t xml:space="preserve">’s credit exposures exist across a wide range of transactions that it engages in with a large number of clients and counterparties, including lending relationships, commitments and letters of credit, as well as derivative, </w:t>
            </w:r>
            <w:r>
              <w:t>currency</w:t>
            </w:r>
            <w:r w:rsidRPr="007F3FEE">
              <w:t xml:space="preserve"> exchange and other transactions. C</w:t>
            </w:r>
            <w:r>
              <w:t>redit Suisse</w:t>
            </w:r>
            <w:r w:rsidRPr="007F3FEE">
              <w:t>’s exposure to credit risk can be exacerbated by adverse economic or market trends, as well as increased volatility in relevant markets or instruments. In addition, disruptions in the liquidity or transparency of the financial markets may result in C</w:t>
            </w:r>
            <w:r>
              <w:t>redit Suisse</w:t>
            </w:r>
            <w:r w:rsidRPr="007F3FEE">
              <w:t>’s inability to sell, syndicate or realise the value of its positions, thereby leading to increased concentrations. Any inability to reduce these positions may not only increase the market and credit risks associated with such positions, but also increase the level of risk-weighted assets</w:t>
            </w:r>
            <w:r>
              <w:t xml:space="preserve"> (</w:t>
            </w:r>
            <w:r w:rsidR="003B00F3">
              <w:t>"</w:t>
            </w:r>
            <w:r w:rsidRPr="005C5842">
              <w:rPr>
                <w:b/>
              </w:rPr>
              <w:t>RWAs</w:t>
            </w:r>
            <w:r w:rsidR="00BF7214">
              <w:t>"</w:t>
            </w:r>
            <w:r>
              <w:t>)</w:t>
            </w:r>
            <w:r w:rsidRPr="007F3FEE">
              <w:t xml:space="preserve"> on C</w:t>
            </w:r>
            <w:r>
              <w:t>redit Suisse</w:t>
            </w:r>
            <w:r w:rsidRPr="007F3FEE">
              <w:t xml:space="preserve">’s balance sheet, thereby increasing its capital requirements, all of which could adversely affect its businesses. For information on management of credit risk, refer to </w:t>
            </w:r>
            <w:r>
              <w:t>"</w:t>
            </w:r>
            <w:r w:rsidRPr="007F3FEE">
              <w:rPr>
                <w:i/>
              </w:rPr>
              <w:t>III—Treasury, Risk, Balance sheet and Off-balance sheet—Risk management</w:t>
            </w:r>
            <w:r>
              <w:t>"</w:t>
            </w:r>
            <w:r w:rsidRPr="007F3FEE">
              <w:t xml:space="preserve"> in the Credit Suisse Annual Report </w:t>
            </w:r>
            <w:r>
              <w:t>2014</w:t>
            </w:r>
            <w:r w:rsidRPr="000A65E1">
              <w:t xml:space="preserve"> and </w:t>
            </w:r>
            <w:r>
              <w:t>"</w:t>
            </w:r>
            <w:r w:rsidRPr="0005793F">
              <w:rPr>
                <w:i/>
              </w:rPr>
              <w:t>II</w:t>
            </w:r>
            <w:r>
              <w:rPr>
                <w:i/>
              </w:rPr>
              <w:t xml:space="preserve"> - </w:t>
            </w:r>
            <w:r w:rsidRPr="0005793F">
              <w:rPr>
                <w:i/>
              </w:rPr>
              <w:t>Treasury, Risk, Balance sheet and Off</w:t>
            </w:r>
            <w:r>
              <w:rPr>
                <w:i/>
              </w:rPr>
              <w:t>-</w:t>
            </w:r>
            <w:r w:rsidRPr="0005793F">
              <w:rPr>
                <w:i/>
              </w:rPr>
              <w:t>balance sheet</w:t>
            </w:r>
            <w:r>
              <w:rPr>
                <w:i/>
              </w:rPr>
              <w:t xml:space="preserve"> </w:t>
            </w:r>
            <w:r w:rsidRPr="009A1903">
              <w:rPr>
                <w:i/>
              </w:rPr>
              <w:t>–Risk Management</w:t>
            </w:r>
            <w:r>
              <w:t>"</w:t>
            </w:r>
            <w:r w:rsidRPr="000A65E1">
              <w:t xml:space="preserve"> in the Credit Suisse Financial Re</w:t>
            </w:r>
            <w:r>
              <w:t>port</w:t>
            </w:r>
            <w:r w:rsidRPr="000A65E1">
              <w:t xml:space="preserve"> </w:t>
            </w:r>
            <w:r>
              <w:t>3Q15</w:t>
            </w:r>
            <w:r w:rsidRPr="007F3FEE">
              <w:t>.</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lang w:val="de-CH"/>
              </w:rPr>
              <w:t>Für die Geschäftsbereiche der Credit Suisse besteht das grundsätzliche Risiko, dass ihre Schuldner und andere Gegenparteien nicht in der Lage sein könnten, ihren Verpflichtungen nachzukommen. Die Kreditrisiken der Credit Suisse bestehen über eine breite Palette von Transaktionen hinweg, die sie mit einer Vielzahl von Kunden und Gegenparteien abschliesst, einschliesslich von Kreditbeziehungen, Engagements und Akkreditiven ebenso wie von Derivat-, Devisen- und anderen Transaktionen. Die Kreditrisiken der Credit Suisse können durch ungünstige Konjunktur- oder Markttendenzen sowie eine gesteigerte Volatilität an den jeweiligen Märkten bzw. der jeweiligen Instrumente verschärft werden. Zusätzlich können Störungen der Liquidität oder Transparenz der Finanzmärkte dazu führen, dass die Credit Suisse nicht in der Lage ist, ihre Positionen zu veräussern, zu syndizieren oder glattzustellen und damit verstärkte Konzentrationen verursachen. Ist eine Reduzierung solcher Positionen nicht möglich, kann dies nicht nur die mit solchen Positionen einhergehenden Markt- und Kreditrisiken erhöhen, sondern auch den Anteil der risikogewichteten Aktiva</w:t>
            </w:r>
            <w:r>
              <w:rPr>
                <w:lang w:val="de-CH"/>
              </w:rPr>
              <w:t xml:space="preserve"> (</w:t>
            </w:r>
            <w:r w:rsidR="003B00F3">
              <w:rPr>
                <w:lang w:val="de-CH"/>
              </w:rPr>
              <w:t>"</w:t>
            </w:r>
            <w:r>
              <w:rPr>
                <w:b/>
                <w:lang w:val="de-CH"/>
              </w:rPr>
              <w:t>RWA</w:t>
            </w:r>
            <w:r w:rsidR="003B00F3">
              <w:rPr>
                <w:lang w:val="de-CH"/>
              </w:rPr>
              <w:t>"</w:t>
            </w:r>
            <w:r>
              <w:rPr>
                <w:lang w:val="de-CH"/>
              </w:rPr>
              <w:t>)</w:t>
            </w:r>
            <w:r w:rsidRPr="002A6FFA">
              <w:rPr>
                <w:lang w:val="de-CH"/>
              </w:rPr>
              <w:t xml:space="preserve"> in der Bilanz der Credit Suisse und damit ihren Eigenkapitalbedarf erhöhen – Umstände, die sich allesamt negativ auf ihre Geschäfte auswirken könnten. </w:t>
            </w:r>
            <w:r w:rsidRPr="007B58AF">
              <w:rPr>
                <w:lang w:val="de-CH"/>
              </w:rPr>
              <w:t xml:space="preserve">Weitere Informationen zur Bewirtschaftung von Kreditrisiken finden sich in dem Abschnitt </w:t>
            </w:r>
            <w:r>
              <w:rPr>
                <w:lang w:val="de-CH"/>
              </w:rPr>
              <w:t>"</w:t>
            </w:r>
            <w:r w:rsidRPr="007B58AF">
              <w:rPr>
                <w:i/>
                <w:lang w:val="de-CH"/>
              </w:rPr>
              <w:t>III—Treasury, Risiko, Bilanz und Ausserbilanz—Risikomanagement</w:t>
            </w:r>
            <w:r>
              <w:rPr>
                <w:lang w:val="de-CH"/>
              </w:rPr>
              <w:t>"</w:t>
            </w:r>
            <w:r w:rsidRPr="007B58AF">
              <w:rPr>
                <w:lang w:val="de-CH"/>
              </w:rPr>
              <w:t xml:space="preserve"> des Geschäfts</w:t>
            </w:r>
            <w:r w:rsidRPr="007B58AF">
              <w:rPr>
                <w:lang w:val="de-CH"/>
              </w:rPr>
              <w:softHyphen/>
              <w:t xml:space="preserve">berichts der Credit Suisse für das Jahr 2014 und </w:t>
            </w:r>
            <w:r>
              <w:rPr>
                <w:lang w:val="de-CH"/>
              </w:rPr>
              <w:t>"</w:t>
            </w:r>
            <w:r w:rsidRPr="007B58AF">
              <w:rPr>
                <w:i/>
                <w:lang w:val="de-CH"/>
              </w:rPr>
              <w:t>II—Treasury, Risiko, Bilanz und Ausserbilanz —Risikomanagement</w:t>
            </w:r>
            <w:r>
              <w:rPr>
                <w:lang w:val="de-CH"/>
              </w:rPr>
              <w:t>"</w:t>
            </w:r>
            <w:r w:rsidRPr="007B58AF">
              <w:rPr>
                <w:lang w:val="de-CH"/>
              </w:rPr>
              <w:t xml:space="preserve"> des Finanzberichts </w:t>
            </w:r>
            <w:r>
              <w:rPr>
                <w:lang w:val="de-CH"/>
              </w:rPr>
              <w:t>3</w:t>
            </w:r>
            <w:r w:rsidRPr="007B58AF">
              <w:rPr>
                <w:lang w:val="de-CH"/>
              </w:rPr>
              <w:t>Q15 der Credit Suisse</w:t>
            </w:r>
            <w:r w:rsidRPr="002A6FFA">
              <w:rPr>
                <w:lang w:val="de-CH"/>
              </w:rPr>
              <w:t>.</w:t>
            </w:r>
          </w:p>
        </w:tc>
      </w:tr>
      <w:tr w:rsidTr="004668CF">
        <w:tblPrEx>
          <w:tblW w:w="5000" w:type="pct"/>
          <w:tblLook w:val="00A0"/>
        </w:tblPrEx>
        <w:tc>
          <w:tcPr>
            <w:tcW w:w="2500" w:type="pct"/>
            <w:tcBorders>
              <w:right w:val="single" w:sz="4" w:space="0" w:color="auto"/>
            </w:tcBorders>
          </w:tcPr>
          <w:p w:rsidR="004668CF" w:rsidRPr="007F3FEE" w:rsidP="004C1EBA">
            <w:pPr>
              <w:pStyle w:val="CSBody63"/>
            </w:pPr>
            <w:r w:rsidRPr="009A1903">
              <w:t>Credit Suisse’s regular review of the creditworthiness of clients and counterparties for credit losses does not depend on the accounting treatment of the asset or commitment. Changes in creditworthiness of loans and loan commitments that are fair valued are reflected in trading revenues.</w:t>
            </w:r>
          </w:p>
        </w:tc>
        <w:tc>
          <w:tcPr>
            <w:tcW w:w="2500" w:type="pct"/>
            <w:tcBorders>
              <w:left w:val="single" w:sz="4" w:space="0" w:color="auto"/>
            </w:tcBorders>
            <w:shd w:val="clear" w:color="auto" w:fill="auto"/>
          </w:tcPr>
          <w:p w:rsidR="004668CF" w:rsidRPr="009A1903" w:rsidP="004C1EBA">
            <w:pPr>
              <w:pStyle w:val="CSBody63"/>
              <w:rPr>
                <w:lang w:val="de-DE"/>
              </w:rPr>
            </w:pPr>
            <w:r w:rsidRPr="009A1903">
              <w:rPr>
                <w:lang w:val="de-DE"/>
              </w:rPr>
              <w:t>Die Credit Suisse prüft die Bonität von Kunden und Gegenparteien im Hinblick auf Kreditverluste regelmässig. Diese Prüfung hängt nicht von der Bilanzierung des Assets oder Engagements ab. Änderungen der Bonität von Krediten und Kreditengagements, die zum Fair Value bewertet sind, werden in den Erträgen aus Finanzgeschäften ausgewiesen.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7F3FEE">
              <w:t>C</w:t>
            </w:r>
            <w:r>
              <w:t>redit Suisse</w:t>
            </w:r>
            <w:r w:rsidRPr="007F3FEE">
              <w:t xml:space="preserve"> management’s determination of the provision for loan losses is subject to significant judgment. C</w:t>
            </w:r>
            <w:r>
              <w:t>redit Suisse</w:t>
            </w:r>
            <w:r w:rsidRPr="007F3FEE">
              <w:t xml:space="preserve">’s banking businesses may need to increase their provisions for loan losses or may record losses in excess of the previously determined provisions if its original estimates of loss prove inadequate, which could have a material adverse effect on its results of operations. </w:t>
            </w:r>
            <w:r w:rsidRPr="007B58AF">
              <w:t xml:space="preserve">For information on provisions for loan losses and related risk mitigation refer to </w:t>
            </w:r>
            <w:r>
              <w:t>"</w:t>
            </w:r>
            <w:r w:rsidRPr="007B58AF">
              <w:rPr>
                <w:i/>
              </w:rPr>
              <w:t>III—Treasury, Risk, Balance sheet and Off-balance sheet—Risk management</w:t>
            </w:r>
            <w:r>
              <w:t>"</w:t>
            </w:r>
            <w:r w:rsidRPr="007B58AF">
              <w:t xml:space="preserve"> and </w:t>
            </w:r>
            <w:r>
              <w:t>"</w:t>
            </w:r>
            <w:r w:rsidRPr="007B58AF">
              <w:rPr>
                <w:i/>
              </w:rPr>
              <w:t>Note 1–Summary of significant accounting policies</w:t>
            </w:r>
            <w:r>
              <w:t>"</w:t>
            </w:r>
            <w:r w:rsidRPr="007B58AF">
              <w:rPr>
                <w:i/>
              </w:rPr>
              <w:t xml:space="preserve">, </w:t>
            </w:r>
            <w:r>
              <w:t>"</w:t>
            </w:r>
            <w:r w:rsidRPr="007B58AF">
              <w:rPr>
                <w:i/>
              </w:rPr>
              <w:t>Note 10–Provision for credit losses</w:t>
            </w:r>
            <w:r>
              <w:t>"</w:t>
            </w:r>
            <w:r w:rsidRPr="007B58AF">
              <w:rPr>
                <w:i/>
              </w:rPr>
              <w:t xml:space="preserve"> and </w:t>
            </w:r>
            <w:r>
              <w:t>"</w:t>
            </w:r>
            <w:r w:rsidRPr="007B58AF">
              <w:rPr>
                <w:i/>
              </w:rPr>
              <w:t>Note 18–Loans, allowance for loan losses and credit quality</w:t>
            </w:r>
            <w:r>
              <w:t>"</w:t>
            </w:r>
            <w:r w:rsidRPr="007B58AF">
              <w:rPr>
                <w:i/>
              </w:rPr>
              <w:t xml:space="preserve">, </w:t>
            </w:r>
            <w:r w:rsidRPr="007B58AF">
              <w:t>each in</w:t>
            </w:r>
            <w:r w:rsidRPr="007B58AF">
              <w:rPr>
                <w:i/>
              </w:rPr>
              <w:t xml:space="preserve"> </w:t>
            </w:r>
            <w:r>
              <w:t>"</w:t>
            </w:r>
            <w:r w:rsidRPr="007B58AF">
              <w:rPr>
                <w:i/>
              </w:rPr>
              <w:t>V–Consolidated financial statements—Credit Suisse Group</w:t>
            </w:r>
            <w:r>
              <w:t>"</w:t>
            </w:r>
            <w:r w:rsidRPr="007B58AF">
              <w:t xml:space="preserve"> in the Credit Suisse Annual Report 2014 and </w:t>
            </w:r>
            <w:r>
              <w:t>"</w:t>
            </w:r>
            <w:r w:rsidRPr="007B58AF">
              <w:rPr>
                <w:i/>
              </w:rPr>
              <w:t>II—Treasury, Risk, Balance sheet and Off-balance sheet—Risk Management</w:t>
            </w:r>
            <w:r>
              <w:t>"</w:t>
            </w:r>
            <w:r w:rsidRPr="007B58AF">
              <w:t xml:space="preserve"> and </w:t>
            </w:r>
            <w:r>
              <w:t>"</w:t>
            </w:r>
            <w:r w:rsidRPr="007B58AF">
              <w:rPr>
                <w:i/>
              </w:rPr>
              <w:t>Note 10—Provision for credit losses</w:t>
            </w:r>
            <w:r>
              <w:t>"</w:t>
            </w:r>
            <w:r w:rsidRPr="007B58AF">
              <w:t xml:space="preserve"> and </w:t>
            </w:r>
            <w:r>
              <w:t>"</w:t>
            </w:r>
            <w:r w:rsidRPr="007B58AF">
              <w:rPr>
                <w:i/>
              </w:rPr>
              <w:t>Note 16—Loans, allowance for loan losses and credit quality</w:t>
            </w:r>
            <w:r>
              <w:t>"</w:t>
            </w:r>
            <w:r w:rsidRPr="007B58AF">
              <w:t xml:space="preserve">, each in </w:t>
            </w:r>
            <w:r>
              <w:t>"</w:t>
            </w:r>
            <w:r w:rsidRPr="007B58AF">
              <w:rPr>
                <w:i/>
              </w:rPr>
              <w:t>III—Condensed consolidated financial statements—unaudited</w:t>
            </w:r>
            <w:r>
              <w:t>"</w:t>
            </w:r>
            <w:r w:rsidRPr="007B58AF">
              <w:t xml:space="preserve"> in the Credit Suisse Financial Report </w:t>
            </w:r>
            <w:r>
              <w:t>3</w:t>
            </w:r>
            <w:r w:rsidRPr="007B58AF">
              <w:t>Q15</w:t>
            </w:r>
            <w:r w:rsidRPr="007F3FEE">
              <w:t>.</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lang w:val="de-CH"/>
              </w:rPr>
              <w:t xml:space="preserve">Die Festlegung der Rückstellungen für Kreditverluste durch die Geschäftsleitung der Credit Suisse ist in hohem Masse eine Ermessensfrage. Es ist möglich, dass die einzelnen Geschäftsbereiche ihre Rückstellungen für Kreditverluste erhöhen müssen oder dass sie Verluste verzeichnen, welche die vorgenommenen Rückstellungen übersteigen, sofern sich die ursprünglichen Verlustschätzungen der Credit Suisse als inadäquat erweisen sollten. Dies könnte das Geschäftsergebnis der Credit Suisse erheblich beeinträchtigen. </w:t>
            </w:r>
            <w:r w:rsidRPr="007B58AF">
              <w:rPr>
                <w:lang w:val="de-CH"/>
              </w:rPr>
              <w:t>Weitere Informationen zu Rück</w:t>
            </w:r>
            <w:r w:rsidRPr="007B58AF">
              <w:rPr>
                <w:lang w:val="de-CH"/>
              </w:rPr>
              <w:softHyphen/>
              <w:t xml:space="preserve">stellungen für Kreditverluste und zur entsprechenden Risikominderung finden sich in Abschnitt </w:t>
            </w:r>
            <w:r>
              <w:rPr>
                <w:lang w:val="de-CH"/>
              </w:rPr>
              <w:t>"</w:t>
            </w:r>
            <w:r w:rsidRPr="007B58AF">
              <w:rPr>
                <w:i/>
                <w:lang w:val="de-CH"/>
              </w:rPr>
              <w:t>III—Treasury, Risiko, Bilanz und Ausserbilanz—Risikomanagement</w:t>
            </w:r>
            <w:r>
              <w:rPr>
                <w:lang w:val="de-CH"/>
              </w:rPr>
              <w:t>"</w:t>
            </w:r>
            <w:r w:rsidRPr="007B58AF">
              <w:rPr>
                <w:lang w:val="de-CH"/>
              </w:rPr>
              <w:t xml:space="preserve"> und in </w:t>
            </w:r>
            <w:r>
              <w:rPr>
                <w:lang w:val="de-CH"/>
              </w:rPr>
              <w:t>"</w:t>
            </w:r>
            <w:r w:rsidRPr="007B58AF">
              <w:rPr>
                <w:i/>
                <w:lang w:val="de-CH"/>
              </w:rPr>
              <w:t>Anhang 1–Zusammenfassung wichtiger Rechnungslegungsgrundsätze</w:t>
            </w:r>
            <w:r>
              <w:rPr>
                <w:i/>
                <w:lang w:val="de-CH"/>
              </w:rPr>
              <w:t>"</w:t>
            </w:r>
            <w:r w:rsidRPr="007B58AF">
              <w:rPr>
                <w:lang w:val="de-CH"/>
              </w:rPr>
              <w:t>,</w:t>
            </w:r>
            <w:r w:rsidRPr="007B58AF">
              <w:rPr>
                <w:i/>
                <w:lang w:val="de-CH"/>
              </w:rPr>
              <w:t xml:space="preserve"> </w:t>
            </w:r>
            <w:r>
              <w:rPr>
                <w:i/>
                <w:lang w:val="de-CH"/>
              </w:rPr>
              <w:t>"</w:t>
            </w:r>
            <w:r w:rsidRPr="007B58AF">
              <w:rPr>
                <w:i/>
                <w:lang w:val="de-CH"/>
              </w:rPr>
              <w:t>Anhang 10–Rückstellungen für Kreditrisiken</w:t>
            </w:r>
            <w:r>
              <w:rPr>
                <w:i/>
                <w:lang w:val="de-CH"/>
              </w:rPr>
              <w:t>"</w:t>
            </w:r>
            <w:r w:rsidRPr="007B58AF">
              <w:rPr>
                <w:i/>
                <w:lang w:val="de-CH"/>
              </w:rPr>
              <w:t xml:space="preserve"> </w:t>
            </w:r>
            <w:r w:rsidRPr="007B58AF">
              <w:rPr>
                <w:lang w:val="de-CH"/>
              </w:rPr>
              <w:t>und</w:t>
            </w:r>
            <w:r w:rsidRPr="007B58AF">
              <w:rPr>
                <w:i/>
                <w:lang w:val="de-CH"/>
              </w:rPr>
              <w:t xml:space="preserve"> </w:t>
            </w:r>
            <w:r>
              <w:rPr>
                <w:i/>
                <w:lang w:val="de-CH"/>
              </w:rPr>
              <w:t>"</w:t>
            </w:r>
            <w:r w:rsidRPr="007B58AF">
              <w:rPr>
                <w:i/>
                <w:lang w:val="de-CH"/>
              </w:rPr>
              <w:t>Anhang 18–Ausleihungen, Wertberichtigung für Kreditverluste und Kreditqualität</w:t>
            </w:r>
            <w:r>
              <w:rPr>
                <w:i/>
                <w:lang w:val="de-CH"/>
              </w:rPr>
              <w:t>"</w:t>
            </w:r>
            <w:r w:rsidRPr="007B58AF">
              <w:rPr>
                <w:i/>
                <w:lang w:val="de-CH"/>
              </w:rPr>
              <w:t xml:space="preserve"> </w:t>
            </w:r>
            <w:r w:rsidRPr="007B58AF">
              <w:rPr>
                <w:lang w:val="de-CH"/>
              </w:rPr>
              <w:t>des Abschnitts</w:t>
            </w:r>
            <w:r w:rsidRPr="007B58AF">
              <w:rPr>
                <w:i/>
                <w:lang w:val="de-CH"/>
              </w:rPr>
              <w:t xml:space="preserve"> </w:t>
            </w:r>
            <w:r>
              <w:rPr>
                <w:i/>
                <w:lang w:val="de-CH"/>
              </w:rPr>
              <w:t>"</w:t>
            </w:r>
            <w:r w:rsidRPr="007B58AF">
              <w:rPr>
                <w:i/>
                <w:lang w:val="de-CH"/>
              </w:rPr>
              <w:t>V–Konsolidierte Jahresrechnung—Credit Suisse Group</w:t>
            </w:r>
            <w:r>
              <w:rPr>
                <w:lang w:val="de-CH"/>
              </w:rPr>
              <w:t>"</w:t>
            </w:r>
            <w:r w:rsidRPr="007B58AF">
              <w:rPr>
                <w:lang w:val="de-CH"/>
              </w:rPr>
              <w:t xml:space="preserve"> des Geschäftsberichts der Credit Suisse für das Jahr</w:t>
            </w:r>
            <w:r>
              <w:rPr>
                <w:lang w:val="de-CH"/>
              </w:rPr>
              <w:t xml:space="preserve"> </w:t>
            </w:r>
            <w:r w:rsidRPr="007B58AF">
              <w:rPr>
                <w:lang w:val="de-CH"/>
              </w:rPr>
              <w:t xml:space="preserve">2014, </w:t>
            </w:r>
            <w:r>
              <w:rPr>
                <w:lang w:val="de-CH"/>
              </w:rPr>
              <w:t>"</w:t>
            </w:r>
            <w:r w:rsidRPr="007B58AF">
              <w:rPr>
                <w:i/>
                <w:lang w:val="de-CH"/>
              </w:rPr>
              <w:t>II—Treasury, Risiko, Bilanz und Ausserbilanz—Risikomanagement</w:t>
            </w:r>
            <w:r>
              <w:rPr>
                <w:lang w:val="de-CH"/>
              </w:rPr>
              <w:t>"</w:t>
            </w:r>
            <w:r w:rsidRPr="007B58AF">
              <w:rPr>
                <w:lang w:val="de-CH"/>
              </w:rPr>
              <w:t xml:space="preserve"> und </w:t>
            </w:r>
            <w:r>
              <w:rPr>
                <w:lang w:val="de-CH"/>
              </w:rPr>
              <w:t>"</w:t>
            </w:r>
            <w:r w:rsidRPr="007B58AF">
              <w:rPr>
                <w:i/>
                <w:lang w:val="de-CH"/>
              </w:rPr>
              <w:t>Anhang 10–Rückstellungen für Kreditrisiken</w:t>
            </w:r>
            <w:r>
              <w:rPr>
                <w:lang w:val="de-CH"/>
              </w:rPr>
              <w:t>"</w:t>
            </w:r>
            <w:r w:rsidRPr="007B58AF">
              <w:rPr>
                <w:lang w:val="de-CH"/>
              </w:rPr>
              <w:t xml:space="preserve"> und </w:t>
            </w:r>
            <w:r>
              <w:rPr>
                <w:lang w:val="de-CH"/>
              </w:rPr>
              <w:t>"</w:t>
            </w:r>
            <w:r w:rsidRPr="007B58AF">
              <w:rPr>
                <w:i/>
                <w:lang w:val="de-CH"/>
              </w:rPr>
              <w:t>Anhang 16–Ausleihungen, Wertberichtigung für Kreditverluste und Kreditqualität</w:t>
            </w:r>
            <w:r>
              <w:rPr>
                <w:lang w:val="de-CH"/>
              </w:rPr>
              <w:t>"</w:t>
            </w:r>
            <w:r w:rsidRPr="007B58AF">
              <w:rPr>
                <w:lang w:val="de-CH"/>
              </w:rPr>
              <w:t xml:space="preserve"> des Abschnitts </w:t>
            </w:r>
            <w:r>
              <w:rPr>
                <w:lang w:val="de-CH"/>
              </w:rPr>
              <w:t>"</w:t>
            </w:r>
            <w:r w:rsidRPr="007B58AF">
              <w:rPr>
                <w:i/>
                <w:lang w:val="de-CH"/>
              </w:rPr>
              <w:t>III–gekürzte konsolidierte Jahresrechnung—ungeprüft</w:t>
            </w:r>
            <w:r>
              <w:rPr>
                <w:lang w:val="de-CH"/>
              </w:rPr>
              <w:t>"</w:t>
            </w:r>
            <w:r w:rsidRPr="007B58AF">
              <w:rPr>
                <w:lang w:val="de-CH"/>
              </w:rPr>
              <w:t xml:space="preserve"> des Finanzberichts </w:t>
            </w:r>
            <w:r>
              <w:rPr>
                <w:lang w:val="de-CH"/>
              </w:rPr>
              <w:t>3</w:t>
            </w:r>
            <w:r w:rsidRPr="007B58AF">
              <w:rPr>
                <w:lang w:val="de-CH"/>
              </w:rPr>
              <w:t>Q15 der Credit Suisse</w:t>
            </w:r>
            <w:r w:rsidRPr="002A6FFA">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7F3FEE">
              <w:t>C</w:t>
            </w:r>
            <w:r>
              <w:t>redit Suisse</w:t>
            </w:r>
            <w:r w:rsidRPr="007F3FEE">
              <w:t xml:space="preserve"> has experienced in the past, and may in the future experience, </w:t>
            </w:r>
            <w:r w:rsidRPr="00766B96">
              <w:t xml:space="preserve">competitive </w:t>
            </w:r>
            <w:r w:rsidRPr="007F3FEE">
              <w:t>pressure to assume longer-term credit risk, extend credit against less liquid collateral and price derivative instruments more aggressively based on the credit risks that it takes. C</w:t>
            </w:r>
            <w:r>
              <w:t>redit Suisse</w:t>
            </w:r>
            <w:r w:rsidRPr="007F3FEE">
              <w:t xml:space="preserve"> expects its capital and liquidity requirements, and those of the financial services industry, to increase as a result of these risks.</w:t>
            </w:r>
          </w:p>
        </w:tc>
        <w:tc>
          <w:tcPr>
            <w:tcW w:w="2500" w:type="pct"/>
            <w:tcBorders>
              <w:left w:val="single" w:sz="4" w:space="0" w:color="auto"/>
            </w:tcBorders>
            <w:shd w:val="clear" w:color="auto" w:fill="auto"/>
          </w:tcPr>
          <w:p w:rsidR="004668CF" w:rsidRPr="006C2975" w:rsidP="004C1EBA">
            <w:pPr>
              <w:pStyle w:val="CSBody63"/>
              <w:rPr>
                <w:b/>
                <w:lang w:val="de-DE"/>
              </w:rPr>
            </w:pPr>
            <w:r w:rsidRPr="002A6FFA">
              <w:rPr>
                <w:lang w:val="de-CH"/>
              </w:rPr>
              <w:t xml:space="preserve">Die Credit Suisse war in der Vergangenheit </w:t>
            </w:r>
            <w:r>
              <w:rPr>
                <w:lang w:val="de-CH"/>
              </w:rPr>
              <w:t>aufgrund des Wettbewerbsdrucks</w:t>
            </w:r>
            <w:r w:rsidRPr="002A6FFA">
              <w:rPr>
                <w:lang w:val="de-CH"/>
              </w:rPr>
              <w:t xml:space="preserve"> gezwungen, längerfristige Kreditrisiken einzugehen, Kredite gegen weniger liquide Sicherheiten bereitzustellen und für derivative Instrumente eine aggressivere Bepreisung hinsichtlich der von ihr übernommenen Kreditrisiken zu verfolgen. Dies könnte auch in der Zukunft der Fall sein. Die Credit Suisse geht davon aus, dass diese Risiken eine Erhöhung der Eigenkapital- und Liquiditätsanforderungen bei ihr selbst sowie in der gesamten Finanzdienstleistungsbranche zur Folge haben werden.</w:t>
            </w:r>
          </w:p>
        </w:tc>
      </w:tr>
      <w:tr w:rsidTr="004668CF">
        <w:tblPrEx>
          <w:tblW w:w="5000" w:type="pct"/>
          <w:tblLook w:val="00A0"/>
        </w:tblPrEx>
        <w:tc>
          <w:tcPr>
            <w:tcW w:w="2500" w:type="pct"/>
            <w:tcBorders>
              <w:right w:val="single" w:sz="4" w:space="0" w:color="auto"/>
            </w:tcBorders>
          </w:tcPr>
          <w:p w:rsidR="004668CF" w:rsidRPr="006C2975" w:rsidP="004C1EBA">
            <w:pPr>
              <w:pStyle w:val="CSBody63"/>
              <w:rPr>
                <w:b/>
              </w:rPr>
            </w:pPr>
            <w:r w:rsidRPr="007F3FEE">
              <w:rPr>
                <w:b/>
              </w:rPr>
              <w:t>Defaults by a large financial institution could adversely affect financial markets generally and Credit Suisse specifically</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Zahlungsausfälle eines grossen Finanzinstituts könnten sich ungünstig auf die Finanzmärkte im Allgemeinen und auf die Credit Suisse im Besonderen auswirken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7F3FEE">
              <w:t xml:space="preserve">Concerns, or even rumours, about, or a default by, one institution could lead to significant liquidity problems, losses or defaults by other institutions because the commercial soundness of many financial institutions may be closely related as a result of credit, trading, clearing or other relationships between institutions. This risk is sometimes referred to as systemic risk. Concerns about defaults by and failures of many financial institutions, particularly those with significant exposure to the eurozone, continued in </w:t>
            </w:r>
            <w:r>
              <w:t>2014</w:t>
            </w:r>
            <w:r w:rsidRPr="007F3FEE">
              <w:t xml:space="preserve"> and could continue to lead to losses or defaults by financial institutions and financial intermediaries, with which C</w:t>
            </w:r>
            <w:r>
              <w:t>redit Suisse</w:t>
            </w:r>
            <w:r w:rsidRPr="007F3FEE">
              <w:t xml:space="preserve"> interacts on a daily basis, such as clearing agencies, clearing houses, banks, securities firms and exchanges. C</w:t>
            </w:r>
            <w:r>
              <w:t>redit Suisse</w:t>
            </w:r>
            <w:r w:rsidRPr="007F3FEE">
              <w:t>’s credit risk exposure will also increase if the collateral it holds cannot be realised upon or can only be liquidated at prices insufficient to cover the full amount of exposure.</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 xml:space="preserve">Befürchtungen oder auch blosse entsprechende Gerüchte oder tatsächliche Zahlungsausfälle eines Finanzinstituts könnten zu erheblichen Liquiditätsproblemen, Verlusten oder Zahlungsausfällen auch anderer Institute führen, da die Bonität vieler Finanzinstitute aufgrund ihrer gegenseitigen Kredit-, Handels-, Clearing- und anderen Beziehungen eng miteinander verbunden ist. Dieses Risiko wird auch als systemisches Risiko bezeichnet. Die Befürchtungen betreffend Zahlungsausfällen und Konkursen von vielen Finanzinstituten, namentlich derer, die den Risiken der Eurozone stark ausgesetzt sind, bestanden auch im Jahr </w:t>
            </w:r>
            <w:r>
              <w:rPr>
                <w:lang w:val="de-CH"/>
              </w:rPr>
              <w:t>2014</w:t>
            </w:r>
            <w:r w:rsidRPr="002A6FFA">
              <w:rPr>
                <w:lang w:val="de-CH"/>
              </w:rPr>
              <w:t xml:space="preserve"> weiter und könnten weiterhin Verluste oder Zahlungsausfälle von Finanzinstituten und Finanzintermediären wie Clearing-Stellen und Clearing-Häusern, Banken, Wertpapierfirmen und Börsen zur Folge haben, mit denen die Credit Suisse im Tagesgeschäft verbunden ist. Das Kreditrisiko der Credit Suisse nimmt ausserdem zu, wenn sich die von ihr gehaltenen Sicherheiten nicht realisieren lassen oder nur zu Preisen realisiert werden können, welche die eingegangenen Risiken nicht vollumfänglich decken.</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7F3FEE">
              <w:rPr>
                <w:b/>
              </w:rPr>
              <w:t>The information that Credit Suisse uses to manage its credit risk may be inaccurate or incomplete</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Die von der Credit Suisse zur Bewirtschaftung ihres Kreditrisikos verwendeten Informationen könnten unrichtig oder unvollständig sein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7F3FEE">
              <w:t>Although Credit Suisse regularly reviews its credit exposure to specific clients and counterparties and to specific industries, countries and regions that it believes may present credit concerns, default risk may arise from events or circumstances that are difficult to foresee or detect, such as fraud. Credit Suisse may also fail to receive full information with respect to the credit or trading risks of a counterparty.</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Obwohl die Credit Suisse ihre Kreditengagements gegenüber spezifischen Kunden und Gegenparteien wie auch gegenüber spezifischen Branchen, Ländern und Regionen, die ihres Erachtens Kreditprobleme in sich bergen könnten, regelmässig überprüft, könnten Ausfallrisiken aufgrund von Ereignissen oder Umständen entstehen, die schwer vorauszusehen oder zu erkennen sind, wie etwa Betrug. Auch ist es möglich, dass die Credit Suisse keine vollständigen Informationen über die Kredit- oder Handelsrisiken einer Gegenpartei erhält.</w:t>
            </w:r>
          </w:p>
        </w:tc>
      </w:tr>
      <w:tr w:rsidTr="004668CF">
        <w:tblPrEx>
          <w:tblW w:w="5000" w:type="pct"/>
          <w:tblLook w:val="00A0"/>
        </w:tblPrEx>
        <w:tc>
          <w:tcPr>
            <w:tcW w:w="2500" w:type="pct"/>
            <w:tcBorders>
              <w:right w:val="single" w:sz="4" w:space="0" w:color="auto"/>
            </w:tcBorders>
          </w:tcPr>
          <w:p w:rsidR="004668CF" w:rsidRPr="008B0576" w:rsidP="004668CF">
            <w:pPr>
              <w:pStyle w:val="CSNum1EN"/>
              <w:numPr>
                <w:ilvl w:val="1"/>
                <w:numId w:val="21"/>
              </w:numPr>
            </w:pPr>
            <w:r w:rsidRPr="008B0576">
              <w:rPr>
                <w:bCs/>
              </w:rPr>
              <w:t>Risks from estimates and valuations</w:t>
            </w:r>
          </w:p>
        </w:tc>
        <w:tc>
          <w:tcPr>
            <w:tcW w:w="2500" w:type="pct"/>
            <w:tcBorders>
              <w:left w:val="single" w:sz="4" w:space="0" w:color="auto"/>
            </w:tcBorders>
            <w:shd w:val="clear" w:color="auto" w:fill="auto"/>
          </w:tcPr>
          <w:p w:rsidR="004668CF" w:rsidRPr="008B0576" w:rsidP="004668CF">
            <w:pPr>
              <w:pStyle w:val="CSNum1DE"/>
              <w:numPr>
                <w:ilvl w:val="0"/>
                <w:numId w:val="17"/>
              </w:numPr>
              <w:ind w:left="357" w:hanging="357"/>
            </w:pPr>
            <w:r w:rsidRPr="008B0576">
              <w:rPr>
                <w:lang w:val="de-CH"/>
              </w:rPr>
              <w:t>Schätzungs- und Bewertungsrisiken</w:t>
            </w:r>
          </w:p>
        </w:tc>
      </w:tr>
      <w:tr w:rsidTr="004668CF">
        <w:tblPrEx>
          <w:tblW w:w="5000" w:type="pct"/>
          <w:tblLook w:val="00A0"/>
        </w:tblPrEx>
        <w:tc>
          <w:tcPr>
            <w:tcW w:w="2500" w:type="pct"/>
            <w:tcBorders>
              <w:right w:val="single" w:sz="4" w:space="0" w:color="auto"/>
            </w:tcBorders>
          </w:tcPr>
          <w:p w:rsidR="004668CF" w:rsidRPr="008B0576" w:rsidP="00714D55">
            <w:pPr>
              <w:pStyle w:val="CSBody63"/>
              <w:rPr>
                <w:b/>
              </w:rPr>
            </w:pPr>
            <w:r w:rsidRPr="007F3FEE">
              <w:t>Credit Suisse</w:t>
            </w:r>
            <w:r w:rsidRPr="00223D5D">
              <w:t xml:space="preserve"> makes estimates and valuations that affect its reported results, including measuring the fair value of certain assets and liabilities, establishing provisions for contingencies and losses for loans, litigation and regulatory proceedings, accounting for goodwill and intangible asset impairments, evaluating its ability to realise deferred tax assets, valuing equity based compensation awards</w:t>
            </w:r>
            <w:r w:rsidRPr="00766B96">
              <w:t xml:space="preserve">, modelling </w:t>
            </w:r>
            <w:r>
              <w:t>its</w:t>
            </w:r>
            <w:r w:rsidRPr="00766B96">
              <w:t xml:space="preserve"> risk exposure</w:t>
            </w:r>
            <w:r w:rsidRPr="00223D5D">
              <w:t xml:space="preserve"> and calculating expenses and liabilities associated with its pension plans. These estimates are based upon judgement and available information, and </w:t>
            </w:r>
            <w:r w:rsidRPr="007F3FEE">
              <w:t>Credit Suisse</w:t>
            </w:r>
            <w:r w:rsidRPr="00223D5D">
              <w:t xml:space="preserve">’s actual results may differ materially from these estimates. For information on these estimates and valuations, refer to </w:t>
            </w:r>
            <w:r>
              <w:t>"</w:t>
            </w:r>
            <w:r w:rsidRPr="00365BB2">
              <w:rPr>
                <w:i/>
              </w:rPr>
              <w:t>II—Operating and financial review—Critical accounting estimates</w:t>
            </w:r>
            <w:r>
              <w:t>"</w:t>
            </w:r>
            <w:r w:rsidRPr="00365BB2">
              <w:t xml:space="preserve"> and </w:t>
            </w:r>
            <w:r>
              <w:t>"</w:t>
            </w:r>
            <w:r w:rsidRPr="00365BB2">
              <w:rPr>
                <w:i/>
              </w:rPr>
              <w:t>Note 1—Summary of significant accounting policies</w:t>
            </w:r>
            <w:r>
              <w:t>"</w:t>
            </w:r>
            <w:r w:rsidRPr="00365BB2">
              <w:rPr>
                <w:i/>
              </w:rPr>
              <w:t xml:space="preserve"> </w:t>
            </w:r>
            <w:r w:rsidRPr="00365BB2">
              <w:t>in</w:t>
            </w:r>
            <w:r w:rsidRPr="00365BB2">
              <w:rPr>
                <w:i/>
              </w:rPr>
              <w:t xml:space="preserve"> </w:t>
            </w:r>
            <w:r>
              <w:t>"</w:t>
            </w:r>
            <w:r w:rsidRPr="00365BB2">
              <w:rPr>
                <w:i/>
              </w:rPr>
              <w:t>V—Consolidated financial statements—Credit Suisse Group</w:t>
            </w:r>
            <w:r>
              <w:t>"</w:t>
            </w:r>
            <w:r w:rsidRPr="00365BB2">
              <w:t xml:space="preserve"> in the Credit Suisse Annual Report 2014</w:t>
            </w:r>
            <w:r>
              <w:t xml:space="preserve"> and to </w:t>
            </w:r>
            <w:r w:rsidR="003B00F3">
              <w:t>"</w:t>
            </w:r>
            <w:r>
              <w:rPr>
                <w:i/>
              </w:rPr>
              <w:t>Note 1 - Summary of significant accounting policies</w:t>
            </w:r>
            <w:r w:rsidR="00BF7214">
              <w:rPr>
                <w:i/>
              </w:rPr>
              <w:t>"</w:t>
            </w:r>
            <w:r>
              <w:rPr>
                <w:i/>
              </w:rPr>
              <w:t xml:space="preserve"> </w:t>
            </w:r>
            <w:r>
              <w:t xml:space="preserve">in </w:t>
            </w:r>
            <w:r w:rsidR="003B00F3">
              <w:t>"</w:t>
            </w:r>
            <w:r>
              <w:rPr>
                <w:i/>
              </w:rPr>
              <w:t>III- Condensed consolidated financial statements – unaudited</w:t>
            </w:r>
            <w:r w:rsidR="00BF7214">
              <w:rPr>
                <w:i/>
              </w:rPr>
              <w:t>"</w:t>
            </w:r>
            <w:r>
              <w:t xml:space="preserve"> </w:t>
            </w:r>
            <w:r w:rsidRPr="001B3692">
              <w:t>in the Credit Suisse Financial Report 3Q15</w:t>
            </w:r>
            <w:r w:rsidRPr="00223D5D">
              <w:t>.</w:t>
            </w:r>
          </w:p>
        </w:tc>
        <w:tc>
          <w:tcPr>
            <w:tcW w:w="2500" w:type="pct"/>
            <w:tcBorders>
              <w:left w:val="single" w:sz="4" w:space="0" w:color="auto"/>
            </w:tcBorders>
            <w:shd w:val="clear" w:color="auto" w:fill="auto"/>
          </w:tcPr>
          <w:p w:rsidR="004668CF" w:rsidRPr="00293F90" w:rsidP="004C1EBA">
            <w:pPr>
              <w:pStyle w:val="CSBody63"/>
              <w:rPr>
                <w:b/>
                <w:lang w:val="de-DE"/>
              </w:rPr>
            </w:pPr>
            <w:r w:rsidRPr="002A6FFA">
              <w:rPr>
                <w:lang w:val="de-CH"/>
              </w:rPr>
              <w:t>Die Credit Suisse nimmt Schätzungen und Bewertungen vor, die einen Einfluss auf ihre ausgewiesenen Ergebnisse haben. Dazu gehören die Schätzung des Fair Value bestimmter Vermögenswerte und Verbindlichkeiten, die Vornahme von Rückstellungen für Erfolgsunsicherheiten und für Verluste im Zusammenhang mit Ausleihungen, Rechtsstreitigkeiten und regulatorischen Verfahren, die Verbuchung von Wertberichtigungen auf Goodwill und immaterielle Vermögenswerte, die Beurteilung ihrer Möglichkeiten zur Realisierung latenter Steuerguthaben, die Bewertung aktien</w:t>
            </w:r>
            <w:r w:rsidRPr="002A6FFA">
              <w:rPr>
                <w:lang w:val="de-CH"/>
              </w:rPr>
              <w:softHyphen/>
              <w:t>basierter Mitarbeiterentschädigungen</w:t>
            </w:r>
            <w:r>
              <w:rPr>
                <w:lang w:val="de-CH"/>
              </w:rPr>
              <w:t>, die Modellierung ihrer Risikoexponierung</w:t>
            </w:r>
            <w:r w:rsidRPr="002A6FFA">
              <w:rPr>
                <w:lang w:val="de-CH"/>
              </w:rPr>
              <w:t xml:space="preserve"> sowie die Berechnung der Aufwendungen und Verbindlichkeiten im Zusammenhang mit ihren Pensionsplänen. Diese Schätzungen sind Ermessensentscheidungen und beruhen auf den verfügbaren Informationen. Die tatsächlichen Resultate der Credit Suisse können wesentlich von diesen Schätzungen abweichen. Weitere Informationen zu diesen Schätzungen und Bewertungen finden sich in Abschnitt </w:t>
            </w:r>
            <w:r>
              <w:rPr>
                <w:lang w:val="de-CH"/>
              </w:rPr>
              <w:t>"</w:t>
            </w:r>
            <w:r w:rsidRPr="002A6FFA">
              <w:rPr>
                <w:i/>
                <w:lang w:val="de-CH"/>
              </w:rPr>
              <w:t>II—Kommentar zu den Resultaten—Kritische Bewertungen in der Rechnungslegung</w:t>
            </w:r>
            <w:r>
              <w:rPr>
                <w:lang w:val="de-CH"/>
              </w:rPr>
              <w:t>"</w:t>
            </w:r>
            <w:r w:rsidRPr="002A6FFA">
              <w:rPr>
                <w:lang w:val="de-CH"/>
              </w:rPr>
              <w:t xml:space="preserve"> sowie in </w:t>
            </w:r>
            <w:r>
              <w:rPr>
                <w:lang w:val="de-CH"/>
              </w:rPr>
              <w:t>"</w:t>
            </w:r>
            <w:r w:rsidRPr="002A6FFA">
              <w:rPr>
                <w:i/>
                <w:lang w:val="de-CH"/>
              </w:rPr>
              <w:t>Anhang 1—Zusammenfassung wichtiger Rechnungslegungsgrundsätze</w:t>
            </w:r>
            <w:r>
              <w:rPr>
                <w:i/>
                <w:lang w:val="de-CH"/>
              </w:rPr>
              <w:t>"</w:t>
            </w:r>
            <w:r w:rsidRPr="002A6FFA">
              <w:rPr>
                <w:i/>
                <w:lang w:val="de-CH"/>
              </w:rPr>
              <w:t xml:space="preserve"> </w:t>
            </w:r>
            <w:r w:rsidRPr="002A6FFA">
              <w:rPr>
                <w:lang w:val="de-CH"/>
              </w:rPr>
              <w:t>des Abschnitts</w:t>
            </w:r>
            <w:r w:rsidRPr="002A6FFA">
              <w:rPr>
                <w:i/>
                <w:lang w:val="de-CH"/>
              </w:rPr>
              <w:t xml:space="preserve"> </w:t>
            </w:r>
            <w:r>
              <w:rPr>
                <w:i/>
                <w:lang w:val="de-CH"/>
              </w:rPr>
              <w:t>"</w:t>
            </w:r>
            <w:r w:rsidRPr="002A6FFA">
              <w:rPr>
                <w:i/>
                <w:lang w:val="de-CH"/>
              </w:rPr>
              <w:t>V—Konsolidierte Jahresrechnung—Credit Suisse Group</w:t>
            </w:r>
            <w:r>
              <w:rPr>
                <w:lang w:val="de-CH"/>
              </w:rPr>
              <w:t>"</w:t>
            </w:r>
            <w:r w:rsidRPr="002A6FFA">
              <w:rPr>
                <w:lang w:val="de-CH"/>
              </w:rPr>
              <w:t xml:space="preserve"> des Geschäftsberichts der Credit Suisse für das Jahr </w:t>
            </w:r>
            <w:r>
              <w:rPr>
                <w:lang w:val="de-CH"/>
              </w:rPr>
              <w:t xml:space="preserve">2014 und </w:t>
            </w:r>
            <w:r w:rsidRPr="00DA5615">
              <w:rPr>
                <w:lang w:val="de-CH"/>
              </w:rPr>
              <w:t>"</w:t>
            </w:r>
            <w:r w:rsidRPr="00DA5615">
              <w:rPr>
                <w:i/>
                <w:lang w:val="de-CH"/>
              </w:rPr>
              <w:t xml:space="preserve">Anhang 1—Zusammenfassung wichtiger Rechnungslegungsgrundsätze" </w:t>
            </w:r>
            <w:r w:rsidRPr="00DA5615">
              <w:rPr>
                <w:lang w:val="de-CH"/>
              </w:rPr>
              <w:t>des Abschnitts</w:t>
            </w:r>
            <w:r w:rsidRPr="00DA5615">
              <w:rPr>
                <w:i/>
                <w:lang w:val="de-CH"/>
              </w:rPr>
              <w:t xml:space="preserve"> "</w:t>
            </w:r>
            <w:r>
              <w:rPr>
                <w:i/>
                <w:lang w:val="de-CH"/>
              </w:rPr>
              <w:t>III</w:t>
            </w:r>
            <w:r w:rsidRPr="00DA5615">
              <w:rPr>
                <w:i/>
                <w:lang w:val="de-CH"/>
              </w:rPr>
              <w:t>—</w:t>
            </w:r>
            <w:r w:rsidRPr="00DA5615">
              <w:rPr>
                <w:rFonts w:eastAsiaTheme="minorHAnsi"/>
                <w:bCs w:val="0"/>
                <w:i/>
                <w:szCs w:val="22"/>
                <w:lang w:val="de-CH" w:eastAsia="en-US"/>
              </w:rPr>
              <w:t xml:space="preserve"> </w:t>
            </w:r>
            <w:r w:rsidRPr="00DA5615">
              <w:rPr>
                <w:i/>
                <w:lang w:val="de-CH"/>
              </w:rPr>
              <w:t>gekürzte konsolidierte Jahresrechnung—ungeprüft" des Finanzberichts 3Q15 der Credit Suisse</w:t>
            </w:r>
            <w:r w:rsidRPr="002A6FFA">
              <w:rPr>
                <w:lang w:val="de-CH"/>
              </w:rPr>
              <w:t>.</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223D5D">
              <w:t>Credit Suisse’s estimates and valuations rely on models and processes to predict economic conditions and market or other events that might affect the ability of counterparties to perform their obligations to Credit Suisse or impact the value of assets. To the extent Credit Suisse’s models and processes become less predictive due to unforeseen market conditions, illiquidity or volatility, its ability to make accurate estimates and valuations could be adversely affected.</w:t>
            </w:r>
          </w:p>
        </w:tc>
        <w:tc>
          <w:tcPr>
            <w:tcW w:w="2500" w:type="pct"/>
            <w:tcBorders>
              <w:left w:val="single" w:sz="4" w:space="0" w:color="auto"/>
            </w:tcBorders>
            <w:shd w:val="clear" w:color="auto" w:fill="auto"/>
          </w:tcPr>
          <w:p w:rsidR="004668CF" w:rsidRPr="00293F90" w:rsidP="004C1EBA">
            <w:pPr>
              <w:pStyle w:val="CSBody63"/>
              <w:rPr>
                <w:b/>
                <w:lang w:val="de-DE"/>
              </w:rPr>
            </w:pPr>
            <w:r w:rsidRPr="002A6FFA">
              <w:rPr>
                <w:lang w:val="de-CH"/>
              </w:rPr>
              <w:t>Die von der Credit Suisse verwendeten Schätzungen und Bewertungen beruhen auf Modellen und Verfahren zur Prognose von wirtschaftlichen Bedingungen und Markt- beziehungsweise sonstigen Ereignissen, welche die Fähigkeit von Gegenparteien zur Erfüllung ihrer Verpflichtungen gegenüber der Credit Suisse oder auch den Wert der Vermögens</w:t>
            </w:r>
            <w:r w:rsidRPr="002A6FFA">
              <w:rPr>
                <w:lang w:val="de-CH"/>
              </w:rPr>
              <w:softHyphen/>
              <w:t>werte beeinflussen könnten. Falls die von der Credit Suisse verwendeten Modelle und Verfahren aufgrund unvorhergesehener Marktbedingungen, Illiquidität oder Volatilität an Aussagekraft verlieren, könnte die Fähigkeit der Credit Suisse zu korrekten Schätzungen und Bewertungen negativ beeinflusst werden.</w:t>
            </w:r>
          </w:p>
        </w:tc>
      </w:tr>
      <w:tr w:rsidTr="004668CF">
        <w:tblPrEx>
          <w:tblW w:w="5000" w:type="pct"/>
          <w:tblLook w:val="00A0"/>
        </w:tblPrEx>
        <w:tc>
          <w:tcPr>
            <w:tcW w:w="2500" w:type="pct"/>
            <w:tcBorders>
              <w:right w:val="single" w:sz="4" w:space="0" w:color="auto"/>
            </w:tcBorders>
          </w:tcPr>
          <w:p w:rsidR="004668CF" w:rsidRPr="008B0576" w:rsidP="004668CF">
            <w:pPr>
              <w:pStyle w:val="CSNum1EN"/>
              <w:numPr>
                <w:ilvl w:val="1"/>
                <w:numId w:val="21"/>
              </w:numPr>
            </w:pPr>
            <w:r w:rsidRPr="008B0576">
              <w:rPr>
                <w:bCs/>
              </w:rPr>
              <w:t>Risks relating to off-balance sheet entities</w:t>
            </w:r>
          </w:p>
        </w:tc>
        <w:tc>
          <w:tcPr>
            <w:tcW w:w="2500" w:type="pct"/>
            <w:tcBorders>
              <w:left w:val="single" w:sz="4" w:space="0" w:color="auto"/>
            </w:tcBorders>
            <w:shd w:val="clear" w:color="auto" w:fill="auto"/>
          </w:tcPr>
          <w:p w:rsidR="004668CF" w:rsidRPr="008B0576" w:rsidP="004668CF">
            <w:pPr>
              <w:pStyle w:val="CSNum1DE"/>
              <w:numPr>
                <w:ilvl w:val="0"/>
                <w:numId w:val="17"/>
              </w:numPr>
              <w:ind w:left="357" w:hanging="357"/>
              <w:rPr>
                <w:lang w:val="de-DE"/>
              </w:rPr>
            </w:pPr>
            <w:r w:rsidRPr="008B0576">
              <w:rPr>
                <w:lang w:val="de-CH"/>
              </w:rPr>
              <w:t>Risiken im Zusammenhang mit ausserbilanziellen Gesellschaften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223D5D">
              <w:t>Credit Suisse enters into transactions with special purpose entities (</w:t>
            </w:r>
            <w:r>
              <w:t>"</w:t>
            </w:r>
            <w:r w:rsidRPr="00223D5D">
              <w:rPr>
                <w:b/>
              </w:rPr>
              <w:t>SPEs</w:t>
            </w:r>
            <w:r>
              <w:t>"</w:t>
            </w:r>
            <w:r w:rsidRPr="00223D5D">
              <w:t xml:space="preserve">) in its normal course of business, and certain SPEs with which Credit Suisse transacts business are not consolidated and their assets and liabilities are off-balance sheet. </w:t>
            </w:r>
            <w:r w:rsidRPr="00766B96">
              <w:t>Credit Suisse may have to exercise significant management judgement in applying relevant</w:t>
            </w:r>
            <w:r w:rsidRPr="00223D5D">
              <w:t xml:space="preserve"> accounting consolidation</w:t>
            </w:r>
            <w:r>
              <w:t xml:space="preserve"> </w:t>
            </w:r>
            <w:r w:rsidRPr="00766B96">
              <w:t>standards</w:t>
            </w:r>
            <w:r w:rsidRPr="00223D5D">
              <w:t xml:space="preserve">, </w:t>
            </w:r>
            <w:r w:rsidRPr="00766B96">
              <w:t xml:space="preserve">either </w:t>
            </w:r>
            <w:r w:rsidRPr="00223D5D">
              <w:t xml:space="preserve">initially </w:t>
            </w:r>
            <w:r w:rsidRPr="00766B96">
              <w:t>or after the occurrence of</w:t>
            </w:r>
            <w:r w:rsidRPr="00223D5D">
              <w:t xml:space="preserve"> certain events that </w:t>
            </w:r>
            <w:r>
              <w:t xml:space="preserve">may </w:t>
            </w:r>
            <w:r w:rsidRPr="00223D5D">
              <w:t xml:space="preserve">require Credit Suisse to reassess whether consolidation is required. Accounting standards relating to consolidation, </w:t>
            </w:r>
            <w:r>
              <w:t>and</w:t>
            </w:r>
            <w:r w:rsidRPr="00223D5D">
              <w:t xml:space="preserve"> their interpretation, have changed and may continue to change. If Credit Suisse is required to consolidate an SPE, its assets and liabilities would be recorded on its consolidated balance sheets and Credit Suisse would recognise related gains and losses in its consolidated statements of operations, and this could have an adverse impact on its results of operations and capital and leverage ratios. For information on Credit Suisse’s transactions with and commitments to SPEs, refer to </w:t>
            </w:r>
            <w:r>
              <w:t>"</w:t>
            </w:r>
            <w:r w:rsidRPr="00365BB2">
              <w:rPr>
                <w:i/>
              </w:rPr>
              <w:t>III—Treasury, Risk, Balance sheet and Off-balance sheet—Balance sheet, off-balance sheet and other contractual obligations—Off-balance sheet</w:t>
            </w:r>
            <w:r>
              <w:t>"</w:t>
            </w:r>
            <w:r w:rsidRPr="00365BB2">
              <w:t xml:space="preserve"> in the Credit Suisse Annual Report 2014 and </w:t>
            </w:r>
            <w:r>
              <w:t>"</w:t>
            </w:r>
            <w:r w:rsidRPr="00365BB2">
              <w:rPr>
                <w:i/>
              </w:rPr>
              <w:t>II—Treasury, Risk, Balance sheet and Off-balance sheet—Balance sheet and off-balance sheet—Off-balance sheet</w:t>
            </w:r>
            <w:r>
              <w:t>"</w:t>
            </w:r>
            <w:r w:rsidRPr="00365BB2">
              <w:t xml:space="preserve"> in the Credit Suisse Financial Report </w:t>
            </w:r>
            <w:r>
              <w:t>3</w:t>
            </w:r>
            <w:r w:rsidRPr="00365BB2">
              <w:t>Q15</w:t>
            </w:r>
            <w:r w:rsidRPr="00223D5D">
              <w:t>.</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 xml:space="preserve">Die Credit Suisse geht im Rahmen ihrer normalen Geschäftstätigkeit Geschäfte mit Zweckgesellschaften (Special Purpose Entities, </w:t>
            </w:r>
            <w:r>
              <w:rPr>
                <w:lang w:val="de-CH"/>
              </w:rPr>
              <w:t>"</w:t>
            </w:r>
            <w:r w:rsidRPr="002A6FFA">
              <w:rPr>
                <w:b/>
                <w:lang w:val="de-CH"/>
              </w:rPr>
              <w:t>SPEs</w:t>
            </w:r>
            <w:r>
              <w:rPr>
                <w:b/>
                <w:lang w:val="de-CH"/>
              </w:rPr>
              <w:t>"</w:t>
            </w:r>
            <w:r w:rsidRPr="002A6FFA">
              <w:rPr>
                <w:lang w:val="de-CH"/>
              </w:rPr>
              <w:t xml:space="preserve">) ein, wobei bestimmte SPEs, mit denen die Credit Suisse Geschäfte abschliesst, nicht zum Konsolidierungskreis gehören. Ihre Aktiven und Verbindlichkeiten sind somit ausserbilanzieller Art. </w:t>
            </w:r>
            <w:r>
              <w:rPr>
                <w:lang w:val="de-CH"/>
              </w:rPr>
              <w:t xml:space="preserve">Die Anwendung von Rechnungslegungsvorschriften für die Konsolidierung − entweder </w:t>
            </w:r>
            <w:r w:rsidRPr="002A6FFA">
              <w:rPr>
                <w:lang w:val="de-CH"/>
              </w:rPr>
              <w:t xml:space="preserve">zu Beginn </w:t>
            </w:r>
            <w:r>
              <w:rPr>
                <w:lang w:val="de-CH"/>
              </w:rPr>
              <w:t>oder</w:t>
            </w:r>
            <w:r w:rsidRPr="002A6FFA">
              <w:rPr>
                <w:lang w:val="de-CH"/>
              </w:rPr>
              <w:t xml:space="preserve"> </w:t>
            </w:r>
            <w:r>
              <w:rPr>
                <w:lang w:val="de-CH"/>
              </w:rPr>
              <w:t>nach dem</w:t>
            </w:r>
            <w:r w:rsidRPr="002A6FFA">
              <w:rPr>
                <w:lang w:val="de-CH"/>
              </w:rPr>
              <w:t xml:space="preserve"> Eintreten bestimmter Ereignisse</w:t>
            </w:r>
            <w:r>
              <w:rPr>
                <w:lang w:val="de-CH"/>
              </w:rPr>
              <w:t xml:space="preserve">, die die Credit Suisse unter Umständen dazu verpflichten zu überprüfen, ob eine Konsolidierung angebracht ist − ist gegebenenfalls </w:t>
            </w:r>
            <w:r w:rsidRPr="002A6FFA">
              <w:rPr>
                <w:lang w:val="de-CH"/>
              </w:rPr>
              <w:t>wesentlich von Ermessensentscheidungen des Managements abhängig. Die Rechnungslegungsvorschriften betreffend die Konsolidierung und deren Auslegung haben sich geändert; weitere Änderungen sind nicht auszuschliessen. Falls die Credit Suisse eine SPE zu konsolidieren hat, würden deren Aktiven und Verbindlichkeiten in ihrer konsolidierten Bilanz ausgewiesen, während die entsprechenden Gewinne und Verluste in ihrer konsolidierten Erfolgsrechnung erfasst würden. Dieser Vorgang könnte sich negativ auf das Geschäfts</w:t>
            </w:r>
            <w:r w:rsidRPr="002A6FFA">
              <w:rPr>
                <w:lang w:val="de-CH"/>
              </w:rPr>
              <w:softHyphen/>
              <w:t xml:space="preserve">ergebnis und die Eigenkapitalquote der Credit Suisse sowie das Verhältnis Fremd- zu Eigenmitteln auswirken. Informationen zu den Geschäften der Credit Suisse mit SPEs und ihren Verbindlichkeiten solchen Gesellschaften gegenüber finden sich in Abschnitt </w:t>
            </w:r>
            <w:r>
              <w:rPr>
                <w:lang w:val="de-CH"/>
              </w:rPr>
              <w:t>"</w:t>
            </w:r>
            <w:r w:rsidRPr="00365BB2">
              <w:rPr>
                <w:i/>
                <w:lang w:val="de-CH"/>
              </w:rPr>
              <w:t>III—Treasury, Risiko, Bilanz und Ausserbilanz—Bilanzielle, ausserbilanzielle und sonstige vertragliche Verpflichtungen—Ausserbilanz</w:t>
            </w:r>
            <w:r>
              <w:rPr>
                <w:lang w:val="de-CH"/>
              </w:rPr>
              <w:t>"</w:t>
            </w:r>
            <w:r w:rsidRPr="00365BB2">
              <w:rPr>
                <w:lang w:val="de-CH"/>
              </w:rPr>
              <w:t xml:space="preserve"> des Geschäftsberichts der Credit Suisse für das Jahr 2014 und </w:t>
            </w:r>
            <w:r>
              <w:rPr>
                <w:lang w:val="de-CH"/>
              </w:rPr>
              <w:t>"</w:t>
            </w:r>
            <w:r w:rsidRPr="00365BB2">
              <w:rPr>
                <w:i/>
                <w:lang w:val="de-CH"/>
              </w:rPr>
              <w:t>II—Treasury, Risiko, Bilanz und Ausserbilanz—Ausserbilanz</w:t>
            </w:r>
            <w:r>
              <w:rPr>
                <w:lang w:val="de-CH"/>
              </w:rPr>
              <w:t>"</w:t>
            </w:r>
            <w:r w:rsidRPr="00365BB2">
              <w:rPr>
                <w:lang w:val="de-CH"/>
              </w:rPr>
              <w:t xml:space="preserve"> des Finanzberichts </w:t>
            </w:r>
            <w:r>
              <w:rPr>
                <w:lang w:val="de-CH"/>
              </w:rPr>
              <w:t>3</w:t>
            </w:r>
            <w:r w:rsidRPr="00365BB2">
              <w:rPr>
                <w:lang w:val="de-CH"/>
              </w:rPr>
              <w:t>Q15 der Credit Suisse</w:t>
            </w:r>
            <w:r w:rsidRPr="002A6FFA">
              <w:rPr>
                <w:lang w:val="de-CH"/>
              </w:rPr>
              <w:t>.</w:t>
            </w:r>
          </w:p>
        </w:tc>
      </w:tr>
      <w:tr w:rsidTr="004668CF">
        <w:tblPrEx>
          <w:tblW w:w="5000" w:type="pct"/>
          <w:tblLook w:val="00A0"/>
        </w:tblPrEx>
        <w:tc>
          <w:tcPr>
            <w:tcW w:w="2500" w:type="pct"/>
            <w:tcBorders>
              <w:right w:val="single" w:sz="4" w:space="0" w:color="auto"/>
            </w:tcBorders>
          </w:tcPr>
          <w:p w:rsidR="004668CF" w:rsidRPr="008B0576" w:rsidP="004668CF">
            <w:pPr>
              <w:pStyle w:val="CSNum1EN"/>
              <w:numPr>
                <w:ilvl w:val="1"/>
                <w:numId w:val="21"/>
              </w:numPr>
            </w:pPr>
            <w:r w:rsidRPr="008B0576">
              <w:rPr>
                <w:bCs/>
              </w:rPr>
              <w:t>Cross</w:t>
            </w:r>
            <w:r>
              <w:rPr>
                <w:bCs/>
              </w:rPr>
              <w:t>-</w:t>
            </w:r>
            <w:r w:rsidRPr="008B0576">
              <w:rPr>
                <w:bCs/>
              </w:rPr>
              <w:t xml:space="preserve">border and </w:t>
            </w:r>
            <w:r>
              <w:rPr>
                <w:bCs/>
              </w:rPr>
              <w:t>currency</w:t>
            </w:r>
            <w:r w:rsidRPr="008B0576">
              <w:rPr>
                <w:bCs/>
              </w:rPr>
              <w:t xml:space="preserve"> exchange risk</w:t>
            </w:r>
          </w:p>
        </w:tc>
        <w:tc>
          <w:tcPr>
            <w:tcW w:w="2500" w:type="pct"/>
            <w:tcBorders>
              <w:left w:val="single" w:sz="4" w:space="0" w:color="auto"/>
            </w:tcBorders>
            <w:shd w:val="clear" w:color="auto" w:fill="auto"/>
          </w:tcPr>
          <w:p w:rsidR="004668CF" w:rsidRPr="008B0576" w:rsidP="004668CF">
            <w:pPr>
              <w:pStyle w:val="CSNum1DE"/>
              <w:numPr>
                <w:ilvl w:val="0"/>
                <w:numId w:val="17"/>
              </w:numPr>
              <w:ind w:left="357" w:hanging="357"/>
            </w:pPr>
            <w:r w:rsidRPr="008B0576">
              <w:rPr>
                <w:lang w:val="de-CH"/>
              </w:rPr>
              <w:t xml:space="preserve">Grenzüberschreitende und </w:t>
            </w:r>
            <w:r>
              <w:rPr>
                <w:lang w:val="de-CH"/>
              </w:rPr>
              <w:t>Wechselkurs</w:t>
            </w:r>
            <w:r w:rsidRPr="008B0576">
              <w:rPr>
                <w:lang w:val="de-CH"/>
              </w:rPr>
              <w:t>risiken</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96486A">
              <w:rPr>
                <w:b/>
              </w:rPr>
              <w:t>Cross</w:t>
            </w:r>
            <w:r>
              <w:rPr>
                <w:b/>
              </w:rPr>
              <w:t>-</w:t>
            </w:r>
            <w:r w:rsidRPr="0096486A">
              <w:rPr>
                <w:b/>
              </w:rPr>
              <w:t>border risks may increase market and credit risks Credit Suisse faces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Grenzüberschreitende Risiken könnten die Markt- und Kreditrisiken der Credit Suisse erhöhen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96486A">
              <w:t xml:space="preserve">Country, regional and political risks are components of market and credit risk. Financial markets and economic conditions generally have been and may </w:t>
            </w:r>
            <w:r w:rsidRPr="00766B96">
              <w:t xml:space="preserve">in the future </w:t>
            </w:r>
            <w:r w:rsidRPr="0096486A">
              <w:t xml:space="preserve">be materially affected by such risks. Economic or political pressures in a country or region, including those arising from local market disruptions, currency crises, monetary controls or other factors, may adversely affect the ability of clients or counterparties located in that country or region to obtain foreign currency or credit and, therefore, to perform their obligations to </w:t>
            </w:r>
            <w:r w:rsidRPr="00223D5D">
              <w:t>Credit Suisse</w:t>
            </w:r>
            <w:r w:rsidRPr="0096486A">
              <w:t xml:space="preserve">, which in turn may have an adverse impact on </w:t>
            </w:r>
            <w:r w:rsidRPr="00223D5D">
              <w:t>Credit Suisse</w:t>
            </w:r>
            <w:r w:rsidRPr="0096486A">
              <w:t>’s results of operations.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Länder-, Regions- und politische Risiken sind Bestandteile des Markt- und Kreditrisikos. Die Finanzmärkte und allgemeinen Wirtschafts</w:t>
            </w:r>
            <w:r w:rsidRPr="002A6FFA">
              <w:rPr>
                <w:lang w:val="de-CH"/>
              </w:rPr>
              <w:softHyphen/>
              <w:t xml:space="preserve">bedingungen waren immer schon von entsprechenden Risiken betroffen und können dies </w:t>
            </w:r>
            <w:r>
              <w:rPr>
                <w:lang w:val="de-CH"/>
              </w:rPr>
              <w:t xml:space="preserve">in der Zukunft </w:t>
            </w:r>
            <w:r w:rsidRPr="002A6FFA">
              <w:rPr>
                <w:lang w:val="de-CH"/>
              </w:rPr>
              <w:t>jederzeit wieder sein. Der wirtschaftliche oder politische Druck in einem Land oder einer Region, der beispiels</w:t>
            </w:r>
            <w:r w:rsidRPr="002A6FFA">
              <w:rPr>
                <w:lang w:val="de-CH"/>
              </w:rPr>
              <w:softHyphen/>
              <w:t>weise infolge lokaler Marktstörungen, Währungskrisen, geldpolitischer Kontrollen oder anderer Faktoren entstehen kann, kann sich ungünstig auf die Fähigkeit von Kunden oder Gegenparteien im betreffenden Land oder in der betreffenden Region zur Beschaffung von ausländischen Währungen oder Krediten und somit zur Erfüllung ihrer Verpflichtungen gegenüber der Credit Suisse auswirken. Dies wiederum kann ungünstige Auswirkungen auf das Geschäftsergebnis der Credit Suisse haben.</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C71586">
              <w:rPr>
                <w:b/>
              </w:rPr>
              <w:t>Credit Suisse may face significant losses in emerging markets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Die Credit Suisse könnte erhebliche Verluste in den Emerging Markets erleiden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C71586">
              <w:t xml:space="preserve">As a global financial services company doing business in emerging markets, </w:t>
            </w:r>
            <w:r w:rsidRPr="00223D5D">
              <w:t>Credit Suisse</w:t>
            </w:r>
            <w:r w:rsidRPr="00C71586">
              <w:t xml:space="preserve"> is exposed to economic instability in emerging market countries. </w:t>
            </w:r>
            <w:r w:rsidRPr="00223D5D">
              <w:t>Credit Suisse</w:t>
            </w:r>
            <w:r w:rsidRPr="00C71586">
              <w:t xml:space="preserve"> monitors these risks, seeks diversity in the sectors in which it invests and emphasises client-driven business. </w:t>
            </w:r>
            <w:r w:rsidRPr="00223D5D">
              <w:t>Credit Suisse</w:t>
            </w:r>
            <w:r w:rsidRPr="00C71586">
              <w:t>’s efforts at limiting emerging market risk, however, may not always succeed.</w:t>
            </w:r>
            <w:r>
              <w:t xml:space="preserve"> In addition, various emerging market countries have experienced and may continue to experience severe economic and financial disruptions. The possible effects of any such disruptions may include an adverse impact on Credit Suisse</w:t>
            </w:r>
            <w:r w:rsidRPr="00945CCA">
              <w:t>’</w:t>
            </w:r>
            <w:r>
              <w:t>s businesses and increased volatility in financial markets generally.</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 xml:space="preserve">Als weltweit tätiges Finanzdienstleistungsunternehmen, das </w:t>
            </w:r>
            <w:r w:rsidRPr="00C72686">
              <w:rPr>
                <w:lang w:val="de-CH"/>
              </w:rPr>
              <w:t>Geschäfte</w:t>
            </w:r>
            <w:r w:rsidRPr="002A6FFA">
              <w:rPr>
                <w:lang w:val="de-CH"/>
              </w:rPr>
              <w:t xml:space="preserve"> in den Emerging Markets </w:t>
            </w:r>
            <w:r w:rsidRPr="00C72686">
              <w:rPr>
                <w:lang w:val="de-CH"/>
              </w:rPr>
              <w:t>tätigt</w:t>
            </w:r>
            <w:r w:rsidRPr="002A6FFA">
              <w:rPr>
                <w:lang w:val="de-CH"/>
              </w:rPr>
              <w:t>, ist die Credit Suisse der wirtschaftlichen Instabilität, die in Schwellenländern herrschen kann, ausgesetzt. Die Credit Suisse überwacht diese Risiken, strebt eine Diversifizierung in den Branchen, in die sie investiert, an und stellt das kundenbezogene Geschäft in den Mittelpunkt. Trotzdem ist es jedoch möglich, dass die Bestrebungen der Credit Suisse zur Begrenzung des Emerging-Market-Risikos nicht immer erfolgreich sind.</w:t>
            </w:r>
            <w:r w:rsidRPr="00365BB2">
              <w:rPr>
                <w:lang w:val="de-CH"/>
              </w:rPr>
              <w:t xml:space="preserve"> Darüber hinaus haben verschiedene Schwellenländer starke wirtschaftliche und finanzielle Verwerfungen erfahren und dürften dies noch weiterhin tun. Dies könnte unter anderem nachteilige Auswirkungen für das Geschäft der Credit Suisse haben und zu einer erhöhten Volatilität an den Finanzmärkten allgemein führen</w:t>
            </w:r>
            <w:r>
              <w:rPr>
                <w:lang w:val="de-CH"/>
              </w:rPr>
              <w:t>.</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B050DA">
              <w:rPr>
                <w:b/>
              </w:rPr>
              <w:t>Currency fluctuations may adversely affect Credit Suisse’s results of operations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Wechselkursschwankungen könnten sich ungünstig auf das Geschäftsergebnis der Credit Suisse auswirken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B050DA">
              <w:t xml:space="preserve">Credit Suisse is exposed to risk from fluctuations in exchange rates for currencies, particularly the U.S. dollar. In particular, a substantial portion of Credit Suisse’s assets and liabilities are denominated in currencies other than the Swiss franc, which is the primary currency of its financial reporting. Credit Suisse’s capital is also stated in Swiss francs and it does not fully hedge its capital position against changes in currency exchange rates. </w:t>
            </w:r>
            <w:r>
              <w:t>Despite some weakening, t</w:t>
            </w:r>
            <w:r w:rsidRPr="00B050DA">
              <w:t xml:space="preserve">he Swiss franc remained strong against the U.S. dollar and euro in </w:t>
            </w:r>
            <w:r>
              <w:t>2014</w:t>
            </w:r>
            <w:r w:rsidRPr="00B050DA">
              <w:t>. The appreciation of the Swiss franc in particular and exchange rate volatility in general have had an adverse impact on Credit Suisse’s results of operations and capital position in recent years and may have such an effect in the future.</w:t>
            </w:r>
          </w:p>
        </w:tc>
        <w:tc>
          <w:tcPr>
            <w:tcW w:w="2500" w:type="pct"/>
            <w:tcBorders>
              <w:left w:val="single" w:sz="4" w:space="0" w:color="auto"/>
            </w:tcBorders>
            <w:shd w:val="clear" w:color="auto" w:fill="auto"/>
          </w:tcPr>
          <w:p w:rsidR="004668CF" w:rsidRPr="008B0576" w:rsidP="004C1EBA">
            <w:pPr>
              <w:pStyle w:val="CSBody63"/>
              <w:rPr>
                <w:b/>
                <w:lang w:val="de-DE"/>
              </w:rPr>
            </w:pPr>
            <w:r w:rsidRPr="00365BB2">
              <w:rPr>
                <w:lang w:val="de-CH"/>
              </w:rPr>
              <w:t>Die Credit Suisse ist Risiken ausgesetzt, die mit Wechselkursschwankungen verbunden sind, vor allem gegenüber dem US-Dollar. Vor allem ist ein bedeutender Anteil der Aktiven und Verbindlichkeiten der Credit Suisse in anderen Währungen als dem Schweizer Franken denominiert, während ihre finanzielle Berichterstattung primär in Schweizer Franken erfolgt. Auch das Gesellschaftskapital der Credit Suisse ist in Schweizer Franken denominiert, und sie verfügt nicht über eine vollständige Absicherung ihrer Kapitalausstattung gegenüber Wechselkursveränderungen. Der Schweizer Franken blieb 2014 trotz einer gewissen Schwächung gegenüber dem US-Dollar und dem Euro stark. Wechselkurs</w:t>
            </w:r>
            <w:r w:rsidRPr="00365BB2">
              <w:rPr>
                <w:lang w:val="de-CH"/>
              </w:rPr>
              <w:softHyphen/>
              <w:t>schwankungen im Allgemeinen und der Anstieg des Schweizer Franken im Besonderen haben sich in den letzten Jahren ungünstig auf das Geschäftsergebnis und die Kapitalausstattung der Credit Suisse ausgewirkt. Dies könnte in der Zukunft weiterhin der Fall sein</w:t>
            </w:r>
            <w:r w:rsidRPr="002A6FFA">
              <w:rPr>
                <w:lang w:val="de-CH"/>
              </w:rPr>
              <w:t>.</w:t>
            </w:r>
          </w:p>
        </w:tc>
      </w:tr>
      <w:tr w:rsidTr="004668CF">
        <w:tblPrEx>
          <w:tblW w:w="5000" w:type="pct"/>
          <w:tblLook w:val="00A0"/>
        </w:tblPrEx>
        <w:tc>
          <w:tcPr>
            <w:tcW w:w="2500" w:type="pct"/>
            <w:tcBorders>
              <w:right w:val="single" w:sz="4" w:space="0" w:color="auto"/>
            </w:tcBorders>
          </w:tcPr>
          <w:p w:rsidR="004668CF" w:rsidRPr="00B050DA" w:rsidP="004C1EBA">
            <w:pPr>
              <w:pStyle w:val="CSBody63"/>
            </w:pPr>
            <w:r>
              <w:t xml:space="preserve">In addition, on 15 January 2015, the </w:t>
            </w:r>
            <w:r w:rsidRPr="005C5842">
              <w:t>SNB</w:t>
            </w:r>
            <w:r w:rsidRPr="00365BB2">
              <w:t xml:space="preserve"> </w:t>
            </w:r>
            <w:r>
              <w:t>decided to discontinue the minimum exchange rate of CHF 1.20 per euro. As Credit Suisse incurs a significant part of its expenses in Swiss francs while it generates a large proportion of its revenues in other currencies, its earnings are sensitive to changes in the exchange rates between the Swiss franc and other major currencies. Had the SNB taken this action at the beginning of 2014, Credit Suisse</w:t>
            </w:r>
            <w:r w:rsidRPr="00945CCA">
              <w:t>’</w:t>
            </w:r>
            <w:r>
              <w:t>s 2014 results would have been adversely affected. Although Credit Suisse is implementing a number of measures designed to offset the impact of recent exchange rate fluctuations on its results of operations, the continuing strength and further appreciation of the Swiss franc could have a material adverse impact on Credit Suisse</w:t>
            </w:r>
            <w:r w:rsidRPr="00945CCA">
              <w:t>’</w:t>
            </w:r>
            <w:r>
              <w:t>s results.</w:t>
            </w:r>
          </w:p>
        </w:tc>
        <w:tc>
          <w:tcPr>
            <w:tcW w:w="2500" w:type="pct"/>
            <w:tcBorders>
              <w:left w:val="single" w:sz="4" w:space="0" w:color="auto"/>
            </w:tcBorders>
            <w:shd w:val="clear" w:color="auto" w:fill="auto"/>
          </w:tcPr>
          <w:p w:rsidR="004668CF" w:rsidRPr="00365BB2" w:rsidP="004C1EBA">
            <w:pPr>
              <w:pStyle w:val="CSBody63"/>
              <w:rPr>
                <w:lang w:val="de-DE"/>
              </w:rPr>
            </w:pPr>
            <w:r w:rsidRPr="00365BB2">
              <w:rPr>
                <w:lang w:val="de-DE"/>
              </w:rPr>
              <w:t xml:space="preserve">Ausserdem beschloss die </w:t>
            </w:r>
            <w:r>
              <w:rPr>
                <w:lang w:val="de-DE"/>
              </w:rPr>
              <w:t>SNB</w:t>
            </w:r>
            <w:r w:rsidRPr="00365BB2">
              <w:rPr>
                <w:lang w:val="de-DE"/>
              </w:rPr>
              <w:t xml:space="preserve"> am 15. Januar 2015, den Mindestkurs von CHF 1,20 pro Euro aufzuheben. Da ein bedeutender Teil des Aufwands der Credit Suisse in Schweizer Franken anfällt, während sie einen Grossteil ihrer Einnahmen in anderen Währungen erwirtschaftet, sind ihre Erträge empfindlich gegenüber Wechselkursveränderungen zwischen dem Schweizer Franken und anderen Hauptwährungen. Hätte die SNB diesen Schritt Anfang 2014 ergriffen, wären die Ergebnisse der Credit Suisse für 2014 negativ betroffen gewesen. Obwohl die Credit Suisse eine Reihe von Massnahmen ergreift, um die Auswirkungen der jüngsten Wechselkursschwankungen auf ihr Geschäftsergebnis wettzumachen, könnte sich eine anhaltende Stärke und weitere Aufwertung des Schweizer Frankens deutlich negativ auf ihre Ergebnisse auswirken</w:t>
            </w:r>
            <w:r>
              <w:rPr>
                <w:lang w:val="de-DE"/>
              </w:rPr>
              <w:t>.</w:t>
            </w:r>
          </w:p>
        </w:tc>
      </w:tr>
      <w:tr w:rsidTr="004668CF">
        <w:tblPrEx>
          <w:tblW w:w="5000" w:type="pct"/>
          <w:tblLook w:val="00A0"/>
        </w:tblPrEx>
        <w:tc>
          <w:tcPr>
            <w:tcW w:w="2500" w:type="pct"/>
            <w:tcBorders>
              <w:right w:val="single" w:sz="4" w:space="0" w:color="auto"/>
            </w:tcBorders>
          </w:tcPr>
          <w:p w:rsidR="004668CF" w:rsidRPr="008B0576" w:rsidP="004668CF">
            <w:pPr>
              <w:pStyle w:val="CSNum1EN"/>
              <w:numPr>
                <w:ilvl w:val="1"/>
                <w:numId w:val="21"/>
              </w:numPr>
              <w:rPr>
                <w:lang w:val="de-DE"/>
              </w:rPr>
            </w:pPr>
            <w:r w:rsidRPr="008B0576">
              <w:rPr>
                <w:bCs/>
              </w:rPr>
              <w:t>Operational risk</w:t>
            </w:r>
          </w:p>
        </w:tc>
        <w:tc>
          <w:tcPr>
            <w:tcW w:w="2500" w:type="pct"/>
            <w:tcBorders>
              <w:left w:val="single" w:sz="4" w:space="0" w:color="auto"/>
            </w:tcBorders>
            <w:shd w:val="clear" w:color="auto" w:fill="auto"/>
          </w:tcPr>
          <w:p w:rsidR="004668CF" w:rsidRPr="008B0576" w:rsidP="004668CF">
            <w:pPr>
              <w:pStyle w:val="CSNum1DE"/>
              <w:numPr>
                <w:ilvl w:val="0"/>
                <w:numId w:val="17"/>
              </w:numPr>
              <w:ind w:left="357" w:hanging="357"/>
              <w:rPr>
                <w:lang w:val="de-DE"/>
              </w:rPr>
            </w:pPr>
            <w:r w:rsidRPr="008B0576">
              <w:rPr>
                <w:lang w:val="de-CH"/>
              </w:rPr>
              <w:t>Operationelles Risiko</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490A91">
              <w:rPr>
                <w:b/>
              </w:rPr>
              <w:t>Credit Suisse is exposed to a wide variety of operational risks, including information technology risk</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Die Credit Suisse ist einer breiten Vielfalt an operationellen Risiken</w:t>
            </w:r>
            <w:r w:rsidRPr="00C72686">
              <w:rPr>
                <w:b/>
                <w:lang w:val="de-CH"/>
              </w:rPr>
              <w:t xml:space="preserve"> einschliesslich</w:t>
            </w:r>
            <w:r>
              <w:rPr>
                <w:b/>
                <w:lang w:val="de-CH"/>
              </w:rPr>
              <w:t xml:space="preserve"> </w:t>
            </w:r>
            <w:r w:rsidRPr="002A6FFA">
              <w:rPr>
                <w:b/>
                <w:lang w:val="de-CH"/>
              </w:rPr>
              <w:t>Informationstechnologierisiken ausgesetzt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58137D">
              <w:t>Operational risk is the risk of loss resulting from inadequate or failed internal processes, people and systems or from external events. In general, although it has business continuity plans, Credit Suisse’s businesses face a wide variety of operational risks, including technology risk that stems from dependencies on information technology, third-party suppliers and the telecommunications infrastructure. As a global financial services company, Credit Suisse relies heavily on its financial, accounting and other data processing systems, which are varied and complex. Credit Suisse’s business depends on its ability to process a large volume of diverse and complex transactions, including derivatives transactions, which have increased in volume and complexity. Credit Suisse is exposed to operational risk arising from errors made in the execution, confirmation or settlement of transactions or in transactions not being properly recorded or accounted for. Regulatory requirements in this area have increased and are expected to increase further.</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Das operationelle Risiko ist das Risiko von Verlusten, die durch ungeeignete oder mangelhafte interne Prozesse, Personen und Systeme oder durch externe Ereignisse entstehen. Obwohl die Credit Suisse über Pläne zur Gewährleistung der Geschäftskontinuität verfügt, sind ihre Geschäftsbereiche im Allgemeinen mit einer breiten Vielfalt an operationellen Risiken konfrontiert. Dazu gehören Technologierisiken, die durch Abhängigkeiten von Informationstechnologien, unabhängigen Zulieferern und der Telekommunikationsinfrastruktur entstehen. Als weltweit tätiges Finanzdienstleistungsunternehmen verlässt die Credit Suisse sich in hohem Masse auf ihre Finanz-, Buchführungs- und sonstigen EDV-Systeme, die vielseitig und komplex sind. Die Credit Suisse ist bei ihrer Geschäftstätigkeit darauf angewiesen, grosse Volumina unterschiedlichster und komplexer Transaktionen (einschliesslich Derivatetransaktionen) verarbeiten zu können, deren Volumina und Komplexität zugenommen haben. Die Credit Suisse ist operationellen Risiken ausgesetzt, die aus Fehlern in der Ausführung, Bestätigung oder Abrechnung von Transaktionen oder aufgrund der nicht ordnungsgemässen Aufzeichnung und Verbuchung von Transaktionen stammen, und die aufsichtsrechtlichen Anforderungen in diesem Bereich sind verschärft worden und werden voraussichtlich noch weiter verschärft werden.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58137D">
              <w:t>Information security, data confidentiality and integrity are of critical importance to Credit Suisse’s businesses. Despite Credit Suisse’s wide array of security measures to protect the confidentiality, integrity and availability of its systems and information, it is not always possible to anticipate the evolving threat landscape and mitigate all risks to its systems and information. Credit Suisse could also be affected by risks to the systems and information of clients, vendors, service providers, counterparties and other third parties.</w:t>
            </w:r>
            <w:r>
              <w:t xml:space="preserve"> In addition, Credit Suisse may introduce new products or services or change processes, resulting in new operational risk that Credit Suisse may not fully appreciate or identify.</w:t>
            </w:r>
          </w:p>
        </w:tc>
        <w:tc>
          <w:tcPr>
            <w:tcW w:w="2500" w:type="pct"/>
            <w:tcBorders>
              <w:left w:val="single" w:sz="4" w:space="0" w:color="auto"/>
            </w:tcBorders>
            <w:shd w:val="clear" w:color="auto" w:fill="auto"/>
          </w:tcPr>
          <w:p w:rsidR="004668CF" w:rsidRPr="008B0576" w:rsidP="004C1EBA">
            <w:pPr>
              <w:pStyle w:val="CSBody63"/>
              <w:rPr>
                <w:b/>
                <w:lang w:val="de-DE"/>
              </w:rPr>
            </w:pPr>
            <w:r w:rsidRPr="00365BB2">
              <w:rPr>
                <w:lang w:val="de-CH"/>
              </w:rPr>
              <w:t>Informationssicherheit, Datenvertraulichkeit und –integrität sind für die Geschäftsbereiche der Credit Suisse von wesentlicher Bedeutung. Der Credit Suisse stehen eine Vielzahl von Sicherheitsmassnahmen zum Schutz der Vertraulichkeit, der Sicherheit und der Verfügbarkeit ihrer Systeme und Informationen zur Verfügung. Dennoch ist es nicht immer möglich, den sich stets wandelnden Bedrohungen zuvorzukommen und alle für ihre Systeme und Informationen bestehenden Risiken zu minimieren. Die Credit Suisse könnte auch von Risiken betroffen sein, denen die Systeme und Informationen von Kunden, Verkäufern, Dienstleistern, Gegenparteien oder sonstigen Dritten ausgesetzt sind. Auch könnten die Einführung neuer Produkte oder Dienstleistungen oder die Änderung von Prozessen durch die Credit Suisse neue operationelle Risiken mit sich bringen, die die Credit Suisse unter Umständen nicht vollständig abschätzen oder identifizieren kann</w:t>
            </w:r>
            <w:r w:rsidRPr="002A6FFA">
              <w:rPr>
                <w:lang w:val="de-CH"/>
              </w:rPr>
              <w:t>.</w:t>
            </w:r>
          </w:p>
        </w:tc>
      </w:tr>
      <w:tr w:rsidTr="004668CF">
        <w:tblPrEx>
          <w:tblW w:w="5000" w:type="pct"/>
          <w:tblLook w:val="00A0"/>
        </w:tblPrEx>
        <w:tc>
          <w:tcPr>
            <w:tcW w:w="2500" w:type="pct"/>
            <w:tcBorders>
              <w:right w:val="single" w:sz="4" w:space="0" w:color="auto"/>
            </w:tcBorders>
          </w:tcPr>
          <w:p w:rsidR="004668CF" w:rsidRPr="0058137D" w:rsidP="004C1EBA">
            <w:pPr>
              <w:pStyle w:val="CSBody63"/>
            </w:pPr>
            <w:r w:rsidRPr="006527EC">
              <w:t xml:space="preserve">These threats may derive from human error, fraud or malice, or may result from accidental technological failure. There may also be attempts to fraudulently induce employees, clients, third parties or other users of </w:t>
            </w:r>
            <w:r>
              <w:t>Credit Suisse</w:t>
            </w:r>
            <w:r w:rsidRPr="006527EC">
              <w:t xml:space="preserve">’s systems to disclose sensitive information in order to gain access to </w:t>
            </w:r>
            <w:r>
              <w:t>Credit Suisse</w:t>
            </w:r>
            <w:r w:rsidRPr="006527EC">
              <w:t>’s data or that of its clients.</w:t>
            </w:r>
          </w:p>
        </w:tc>
        <w:tc>
          <w:tcPr>
            <w:tcW w:w="2500" w:type="pct"/>
            <w:tcBorders>
              <w:left w:val="single" w:sz="4" w:space="0" w:color="auto"/>
            </w:tcBorders>
            <w:shd w:val="clear" w:color="auto" w:fill="auto"/>
          </w:tcPr>
          <w:p w:rsidR="004668CF" w:rsidRPr="00365BB2" w:rsidP="004C1EBA">
            <w:pPr>
              <w:pStyle w:val="CSBody63"/>
              <w:rPr>
                <w:lang w:val="de-DE"/>
              </w:rPr>
            </w:pPr>
            <w:r w:rsidRPr="00365BB2">
              <w:rPr>
                <w:lang w:val="de-DE"/>
              </w:rPr>
              <w:t>Diese Bedrohungen können durch menschliches Versagen, Betrug oder Böswilligkeit entstehen oder die Folge von unbeabsichtigten technischen Fehlern sein. Auch kann es zu betrügerischen Versuchen kommen, Mitarbeitende, Kunden, Dritte oder andere Nutzer der Systeme der Credit Suisse dazu zu veranlassen, sensible Informationen offenzulegen, um Zugriff auf Daten der Credit Suisse oder die Daten ihrer Kunden zu erhalten</w:t>
            </w:r>
          </w:p>
        </w:tc>
      </w:tr>
      <w:tr w:rsidTr="004668CF">
        <w:tblPrEx>
          <w:tblW w:w="5000" w:type="pct"/>
          <w:tblLook w:val="00A0"/>
        </w:tblPrEx>
        <w:tc>
          <w:tcPr>
            <w:tcW w:w="2500" w:type="pct"/>
            <w:tcBorders>
              <w:right w:val="single" w:sz="4" w:space="0" w:color="auto"/>
            </w:tcBorders>
          </w:tcPr>
          <w:p w:rsidR="004668CF" w:rsidRPr="00084A3D" w:rsidP="004C1EBA">
            <w:pPr>
              <w:pStyle w:val="CSBody63"/>
              <w:rPr>
                <w:lang w:val="en-US"/>
              </w:rPr>
            </w:pPr>
            <w:r w:rsidRPr="006527EC">
              <w:t xml:space="preserve">Given </w:t>
            </w:r>
            <w:r>
              <w:t>Credit Suisse</w:t>
            </w:r>
            <w:r w:rsidRPr="006527EC">
              <w:t xml:space="preserve">’s global footprint and the high volume of transactions </w:t>
            </w:r>
            <w:r>
              <w:t xml:space="preserve">Credit Suisse </w:t>
            </w:r>
            <w:r w:rsidRPr="006527EC">
              <w:t xml:space="preserve">processes, the large number of clients, partners and counterparties with which </w:t>
            </w:r>
            <w:r>
              <w:t xml:space="preserve">Credit Suisse </w:t>
            </w:r>
            <w:r w:rsidRPr="006527EC">
              <w:t xml:space="preserve">does business, and the increasing sophistication of cyber-attacks, a cyber-attack could occur without detection for an extended period of time. In addition, </w:t>
            </w:r>
            <w:r>
              <w:t>Credit Suisse</w:t>
            </w:r>
            <w:r w:rsidRPr="006527EC">
              <w:t xml:space="preserve"> expects that any investigation of a cyber-attack will be inherently unpredictable and it may take time before any investigation is complete. During such time, </w:t>
            </w:r>
            <w:r>
              <w:t>Credit Suisse</w:t>
            </w:r>
            <w:r w:rsidRPr="006527EC">
              <w:t xml:space="preserve"> may not know the extent of the harm or how best to remediate it and certain errors or actions may be repeated or compounded before they are discovered and rectified, all or any of which would further increase the costs and consequences of a cyber-attack.</w:t>
            </w:r>
          </w:p>
        </w:tc>
        <w:tc>
          <w:tcPr>
            <w:tcW w:w="2500" w:type="pct"/>
            <w:tcBorders>
              <w:left w:val="single" w:sz="4" w:space="0" w:color="auto"/>
            </w:tcBorders>
            <w:shd w:val="clear" w:color="auto" w:fill="auto"/>
          </w:tcPr>
          <w:p w:rsidR="004668CF" w:rsidRPr="00365BB2" w:rsidP="004C1EBA">
            <w:pPr>
              <w:pStyle w:val="CSBody63"/>
              <w:rPr>
                <w:lang w:val="de-DE"/>
              </w:rPr>
            </w:pPr>
            <w:r w:rsidRPr="00365BB2">
              <w:rPr>
                <w:lang w:val="de-DE"/>
              </w:rPr>
              <w:t>Angesichts der weltweiten Präsenz der Credit Suisse, des grossen Volumens der von ihr verarbeiteten Transaktionen, der grossen Anzahl von Kunden, Partnern und Gegenparteien, mit denen sie Geschäfte tätigt, sowie der zunehmenden Raffiniertheit von Cyber-Attacken könnte eine solche Cyber-Attacke stattfinden und längere Zeit unentdeckt bleiben. Ausserdem geht die Credit Suisse davon aus, dass jede Untersuchung eines Cyber-Angriffs notgedrungen schwer einschätzbar ist und dass einige Zeit bis zu deren Abschluss verstreichen könnte. Möglicherweise wüsste die Credit Suisse während dieser Zeit nicht, wie umfangreich der Schaden ist oder wie er am besten zu beheben wäre. Manche Fehler oder Aktionen können sich wiederholen oder verstärken, bevor sie entdeckt und behoben werden. All dies würde die Kosten und sonstigen Folgen eines Cyber-Angriffs zusätzlich erhöhen</w:t>
            </w:r>
            <w:r>
              <w:rPr>
                <w:lang w:val="de-DE"/>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58137D">
              <w:t>If any of Credit Suisse’s systems do not operate properly or are compromised as a result of cyber-attacks, security breaches, unauthorised access, loss or destruction of data, unavailability of service, computer viruses or other events that could have an adverse security impact, Credit Suisse could be subject to litigation or suffer financial loss not covered by insurance, a disruption of its businesses, liability to its clients, regulatory intervention or reputational damage. Any such event could also require Credit Suisse to expend significant additional resources to modify its protective measures or to investigate and remediate vulnerabilities or other exposures.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 xml:space="preserve">Falls Systeme der Credit Suisse infolge einer Cyber-Attacke, eines Verstosses gegen die Sicherheitsvorschriften, eines nicht genehmigten Zugriffes, eines Datenverlusts bzw. einer Datenlöschung, eines unmöglichen Zugriffs, eines Computer-Virus oder sonstiger Ereignisse, welche die Sicherheit beeinträchtigen könnten, nicht oder nur beschränkt ordnungsgemäss funktionieren, könnte die Credit Suisse Rechtsstreitigkeiten, </w:t>
            </w:r>
            <w:r w:rsidRPr="00C72686">
              <w:rPr>
                <w:lang w:val="de-CH"/>
              </w:rPr>
              <w:t xml:space="preserve">nicht versicherten </w:t>
            </w:r>
            <w:r w:rsidRPr="002A6FFA">
              <w:rPr>
                <w:lang w:val="de-CH"/>
              </w:rPr>
              <w:t>finanziellen Verlusten, Geschäftsunterbrechungen, Schadenersatz</w:t>
            </w:r>
            <w:r w:rsidRPr="002A6FFA">
              <w:rPr>
                <w:lang w:val="de-CH"/>
              </w:rPr>
              <w:softHyphen/>
              <w:t>forderungen seitens ihrer Kunden, Interventionen der Aufsichtsbehörden oder einer Rufschädigung ausgesetzt sein. Zudem könnte sich die Credit Suisse aufgrund eines solchen Ereignisses gezwungen sehen, zusätzliche Ressourcen in beachtlicher Höhe einzusetzen, um ihre Sicherheitsmassnahmen anzupassen oder um nach weiteren Anfälligkeiten oder Risiken zu suchen und diese zu beheben.</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A762E2">
              <w:rPr>
                <w:b/>
              </w:rPr>
              <w:t>Credit Suisse may suffer losses due to employee misconduct</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Die Credit Suisse könnte durch Fehlverhalten von Mitarbeitern Verluste erleiden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58137D">
              <w:t>Credit Suisse</w:t>
            </w:r>
            <w:r w:rsidRPr="00A762E2">
              <w:t xml:space="preserve">’s businesses are exposed to risk from potential non-compliance with policies, employee misconduct or negligence and fraud, which could result in regulatory sanctions and serious reputational or financial harm. In recent years, a number of multinational financial institutions have suffered material losses due to the actions of </w:t>
            </w:r>
            <w:r>
              <w:t>"</w:t>
            </w:r>
            <w:r w:rsidRPr="00A762E2">
              <w:t>rogue traders</w:t>
            </w:r>
            <w:r>
              <w:t>"</w:t>
            </w:r>
            <w:r w:rsidRPr="00A762E2">
              <w:t xml:space="preserve"> or other employees. It is not always possible to deter employee misconduct, and the precautions </w:t>
            </w:r>
            <w:r w:rsidRPr="0058137D">
              <w:t>Credit Suisse</w:t>
            </w:r>
            <w:r w:rsidRPr="00A762E2">
              <w:t xml:space="preserve"> takes to prevent and detect this activity may not always be effective.</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Die Geschäftsbereiche der Credit Suisse sind Risiken ausgesetzt, die durch mögliche Nichteinhaltung von Richtlinien, Fehlverhalten von Mitarbeitern, Fahr</w:t>
            </w:r>
            <w:r w:rsidRPr="002A6FFA">
              <w:rPr>
                <w:lang w:val="de-CH"/>
              </w:rPr>
              <w:softHyphen/>
              <w:t xml:space="preserve">lässigkeit oder Betrug entstehen könnten und sowohl Sanktionen der Aufsichtsbehörden als auch schwerwiegende Rufschädigungen und finanzielle Verluste nach sich ziehen könnten. In den letzten Jahren haben </w:t>
            </w:r>
            <w:r>
              <w:rPr>
                <w:lang w:val="de-CH"/>
              </w:rPr>
              <w:t>"</w:t>
            </w:r>
            <w:r w:rsidRPr="002A6FFA">
              <w:rPr>
                <w:lang w:val="de-CH"/>
              </w:rPr>
              <w:t>Schurkenhändler</w:t>
            </w:r>
            <w:r>
              <w:rPr>
                <w:lang w:val="de-CH"/>
              </w:rPr>
              <w:t>"</w:t>
            </w:r>
            <w:r w:rsidRPr="002A6FFA">
              <w:rPr>
                <w:lang w:val="de-CH"/>
              </w:rPr>
              <w:t xml:space="preserve"> oder andere Mitarbeiter einigen multinationalen Finanzinstituten erhebliche Verluste verursacht. Ein Fehlverhalten von Mitarbeitern lässt sich nicht immer verhindern, und es ist möglich, dass die von der Credit Suisse ergriffenen Vorsichtsmassnahmen zur Verhinderung und Erkennung entsprechender Aktivitäten nicht immer wirksam sind.</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lang w:val="de-DE"/>
              </w:rPr>
            </w:pPr>
            <w:r w:rsidRPr="00A762E2">
              <w:rPr>
                <w:b/>
              </w:rPr>
              <w:t>Risk management</w:t>
            </w:r>
          </w:p>
        </w:tc>
        <w:tc>
          <w:tcPr>
            <w:tcW w:w="2500" w:type="pct"/>
            <w:tcBorders>
              <w:left w:val="single" w:sz="4" w:space="0" w:color="auto"/>
            </w:tcBorders>
            <w:shd w:val="clear" w:color="auto" w:fill="auto"/>
          </w:tcPr>
          <w:p w:rsidR="004668CF" w:rsidRPr="008B0576" w:rsidP="004C1EBA">
            <w:pPr>
              <w:pStyle w:val="CSBody63"/>
              <w:rPr>
                <w:b/>
                <w:lang w:val="de-DE"/>
              </w:rPr>
            </w:pPr>
            <w:r w:rsidRPr="00C72686">
              <w:rPr>
                <w:b/>
                <w:lang w:val="de-CH"/>
              </w:rPr>
              <w:t>Risikomanagement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58137D">
              <w:t>Credit Suisse</w:t>
            </w:r>
            <w:r w:rsidRPr="00A762E2">
              <w:t xml:space="preserve"> has risk management procedures and policies designed to manage its risk. These techniques and policies, however, may not always be effective, particularly in highly volatile markets. </w:t>
            </w:r>
            <w:r w:rsidRPr="0058137D">
              <w:t>Credit Suisse</w:t>
            </w:r>
            <w:r w:rsidRPr="00A762E2">
              <w:t xml:space="preserve"> continues to adapt its risk management techniques, in particular value-at-risk and economic capital, which rely on historical data, to reflect changes in the financial and credit markets. No risk management procedures can anticipate every market development or event, and </w:t>
            </w:r>
            <w:r w:rsidRPr="0058137D">
              <w:t>Credit Suisse</w:t>
            </w:r>
            <w:r w:rsidRPr="00A762E2">
              <w:t xml:space="preserve">’s risk management procedures and hedging strategies, and the judgements behind them, may not fully mitigate its risk exposure in all markets or against all types of risk. </w:t>
            </w:r>
            <w:r w:rsidRPr="00365BB2">
              <w:t xml:space="preserve">For information on Credit Suisse’s risk management, refer to </w:t>
            </w:r>
            <w:r>
              <w:t>"</w:t>
            </w:r>
            <w:r w:rsidRPr="00365BB2">
              <w:rPr>
                <w:i/>
              </w:rPr>
              <w:t>III—Treasury, Risk, Balance sheet and Off-balance sheet—Risk management</w:t>
            </w:r>
            <w:r>
              <w:t>"</w:t>
            </w:r>
            <w:r w:rsidRPr="00365BB2">
              <w:t xml:space="preserve"> in the Credit Suisse Annual Report 2014 and </w:t>
            </w:r>
            <w:r>
              <w:t>"</w:t>
            </w:r>
            <w:r w:rsidRPr="00365BB2">
              <w:rPr>
                <w:i/>
              </w:rPr>
              <w:t>II—Treasury, Risk, Balance sheet and Off-balance sheet—Risk Management</w:t>
            </w:r>
            <w:r>
              <w:t>"</w:t>
            </w:r>
            <w:r w:rsidRPr="00365BB2">
              <w:t xml:space="preserve"> in the Credit Suisse Financial Report </w:t>
            </w:r>
            <w:r>
              <w:t>3</w:t>
            </w:r>
            <w:r w:rsidRPr="00365BB2">
              <w:t>Q15</w:t>
            </w:r>
            <w:r w:rsidRPr="00A762E2">
              <w:t>.</w:t>
            </w:r>
          </w:p>
        </w:tc>
        <w:tc>
          <w:tcPr>
            <w:tcW w:w="2500" w:type="pct"/>
            <w:tcBorders>
              <w:left w:val="single" w:sz="4" w:space="0" w:color="auto"/>
            </w:tcBorders>
            <w:shd w:val="clear" w:color="auto" w:fill="auto"/>
          </w:tcPr>
          <w:p w:rsidR="004668CF" w:rsidRPr="008B0576" w:rsidP="004C1EBA">
            <w:pPr>
              <w:pStyle w:val="CSBody63"/>
              <w:rPr>
                <w:b/>
                <w:lang w:val="de-DE"/>
              </w:rPr>
            </w:pPr>
            <w:r w:rsidRPr="00C72686">
              <w:rPr>
                <w:lang w:val="de-CH"/>
              </w:rPr>
              <w:t>Die Credit Suisse verfügt über Risiko</w:t>
            </w:r>
            <w:r w:rsidRPr="00C72686">
              <w:rPr>
                <w:lang w:val="de-CH"/>
              </w:rPr>
              <w:softHyphen/>
              <w:t>management</w:t>
            </w:r>
            <w:r w:rsidRPr="00C72686">
              <w:rPr>
                <w:lang w:val="de-CH"/>
              </w:rPr>
              <w:softHyphen/>
              <w:t>techniken und Richtlinien zur Bewirtschaftung ihrer Risiken. Es ist jedoch möglich, dass diese Techniken und Richtlinien, insbesondere in hoch volatilen Märkten, nicht immer wirksam sind. Die Credit Suisse passt ihre Risikomanagementtechniken laufend an die Änderungen in den Finanz- und Kreditmärkten an. Diese Anpassungen betreffen in erster Linie die Value-at-Risk- und die Economic-Capital-Berechnung, welche auf historischen Daten beruh</w:t>
            </w:r>
            <w:r>
              <w:rPr>
                <w:lang w:val="de-CH"/>
              </w:rPr>
              <w:t>en</w:t>
            </w:r>
            <w:r w:rsidRPr="00C72686">
              <w:rPr>
                <w:lang w:val="de-CH"/>
              </w:rPr>
              <w:t>. Risikomanagementprozesse können niemals alle Marktentwicklungen oder -ereignisse voraus</w:t>
            </w:r>
            <w:r w:rsidRPr="002A6FFA">
              <w:rPr>
                <w:lang w:val="de-CH"/>
              </w:rPr>
              <w:softHyphen/>
              <w:t>sagen. Deshalb ist es möglich, dass die Risiko</w:t>
            </w:r>
            <w:r w:rsidRPr="002A6FFA">
              <w:rPr>
                <w:lang w:val="de-CH"/>
              </w:rPr>
              <w:softHyphen/>
              <w:t>management</w:t>
            </w:r>
            <w:r w:rsidRPr="002A6FFA">
              <w:rPr>
                <w:lang w:val="de-CH"/>
              </w:rPr>
              <w:softHyphen/>
              <w:t xml:space="preserve">prozesse und Absicherungsstrategien der Credit Suisse, ebenso wie die ihnen zugrunde liegenden Beurteilungen, nicht ausreichend sind, die Risikoexponierung der Credit Suisse in allen Märkten und gegenüber allen Arten von Risiken vollständig zu mindern. </w:t>
            </w:r>
            <w:r w:rsidRPr="00365BB2">
              <w:rPr>
                <w:lang w:val="de-CH"/>
              </w:rPr>
              <w:t>Weitere Informationen zum Risiko</w:t>
            </w:r>
            <w:r w:rsidRPr="00365BB2">
              <w:rPr>
                <w:lang w:val="de-CH"/>
              </w:rPr>
              <w:softHyphen/>
              <w:t xml:space="preserve">management der Credit Suisse finden sich in Abschnitt </w:t>
            </w:r>
            <w:r>
              <w:rPr>
                <w:lang w:val="de-CH"/>
              </w:rPr>
              <w:t>"</w:t>
            </w:r>
            <w:r w:rsidRPr="00365BB2">
              <w:rPr>
                <w:i/>
                <w:lang w:val="de-CH"/>
              </w:rPr>
              <w:t>III—Treasury, Risiko, Bilanz und Ausserbilanz—Risikomanagement</w:t>
            </w:r>
            <w:r>
              <w:rPr>
                <w:lang w:val="de-CH"/>
              </w:rPr>
              <w:t>"</w:t>
            </w:r>
            <w:r w:rsidRPr="00365BB2">
              <w:rPr>
                <w:lang w:val="de-CH"/>
              </w:rPr>
              <w:t xml:space="preserve"> des Geschäftsberichts der Credit Suisse für das Jahr 2014 und </w:t>
            </w:r>
            <w:r>
              <w:rPr>
                <w:lang w:val="de-CH"/>
              </w:rPr>
              <w:t>"</w:t>
            </w:r>
            <w:r w:rsidRPr="00365BB2">
              <w:rPr>
                <w:i/>
                <w:lang w:val="de-CH"/>
              </w:rPr>
              <w:t>II—Treasury, Risiko, Bilanz und Ausserbilanz—Risikomanagement</w:t>
            </w:r>
            <w:r>
              <w:rPr>
                <w:lang w:val="de-CH"/>
              </w:rPr>
              <w:t>"</w:t>
            </w:r>
            <w:r w:rsidRPr="00365BB2">
              <w:rPr>
                <w:lang w:val="de-CH"/>
              </w:rPr>
              <w:t xml:space="preserve"> des Finanzberichts </w:t>
            </w:r>
            <w:r>
              <w:rPr>
                <w:lang w:val="de-CH"/>
              </w:rPr>
              <w:t>3</w:t>
            </w:r>
            <w:r w:rsidRPr="00365BB2">
              <w:rPr>
                <w:lang w:val="de-CH"/>
              </w:rPr>
              <w:t>Q15 der Credit Suisse</w:t>
            </w:r>
            <w:r w:rsidRPr="002A6FFA">
              <w:rPr>
                <w:lang w:val="de-CH"/>
              </w:rPr>
              <w:t>.</w:t>
            </w:r>
          </w:p>
        </w:tc>
      </w:tr>
      <w:tr w:rsidTr="004668CF">
        <w:tblPrEx>
          <w:tblW w:w="5000" w:type="pct"/>
          <w:tblLook w:val="00A0"/>
        </w:tblPrEx>
        <w:tc>
          <w:tcPr>
            <w:tcW w:w="2500" w:type="pct"/>
            <w:tcBorders>
              <w:right w:val="single" w:sz="4" w:space="0" w:color="auto"/>
            </w:tcBorders>
          </w:tcPr>
          <w:p w:rsidR="004668CF" w:rsidRPr="008B0576" w:rsidP="004668CF">
            <w:pPr>
              <w:pStyle w:val="CSNum1EN"/>
              <w:numPr>
                <w:ilvl w:val="1"/>
                <w:numId w:val="21"/>
              </w:numPr>
              <w:rPr>
                <w:lang w:val="de-DE"/>
              </w:rPr>
            </w:pPr>
            <w:r w:rsidRPr="008B0576">
              <w:rPr>
                <w:bCs/>
              </w:rPr>
              <w:t>Legal and regulatory risks</w:t>
            </w:r>
          </w:p>
        </w:tc>
        <w:tc>
          <w:tcPr>
            <w:tcW w:w="2500" w:type="pct"/>
            <w:tcBorders>
              <w:left w:val="single" w:sz="4" w:space="0" w:color="auto"/>
            </w:tcBorders>
            <w:shd w:val="clear" w:color="auto" w:fill="auto"/>
          </w:tcPr>
          <w:p w:rsidR="004668CF" w:rsidRPr="008B0576" w:rsidP="004668CF">
            <w:pPr>
              <w:pStyle w:val="CSNum1DE"/>
              <w:numPr>
                <w:ilvl w:val="0"/>
                <w:numId w:val="17"/>
              </w:numPr>
              <w:ind w:left="357" w:hanging="357"/>
              <w:rPr>
                <w:lang w:val="de-DE"/>
              </w:rPr>
            </w:pPr>
            <w:r w:rsidRPr="008B0576">
              <w:rPr>
                <w:lang w:val="de-CH"/>
              </w:rPr>
              <w:t>Rechtliche und regulatorische Risiken</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4A5DAD">
              <w:rPr>
                <w:b/>
              </w:rPr>
              <w:t>Credit Suisse’s exposure to legal liability is significant</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Credit Suisse ist erheblichen rechtlichen Haftungs</w:t>
            </w:r>
            <w:r w:rsidRPr="002A6FFA">
              <w:rPr>
                <w:b/>
                <w:lang w:val="de-CH"/>
              </w:rPr>
              <w:softHyphen/>
              <w:t>risiken ausgesetzt</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A762E2">
              <w:t>Credit Suisse</w:t>
            </w:r>
            <w:r>
              <w:t xml:space="preserve"> </w:t>
            </w:r>
            <w:r w:rsidRPr="00A762E2">
              <w:t>faces significant legal risks in its businesses, and the volume and amount of damages claimed in litigation, regulatory proceedings and other adversarial proceedings against financial services firms are increasing.</w:t>
            </w:r>
          </w:p>
        </w:tc>
        <w:tc>
          <w:tcPr>
            <w:tcW w:w="2500" w:type="pct"/>
            <w:tcBorders>
              <w:left w:val="single" w:sz="4" w:space="0" w:color="auto"/>
            </w:tcBorders>
            <w:shd w:val="clear" w:color="auto" w:fill="auto"/>
          </w:tcPr>
          <w:p w:rsidR="004668CF" w:rsidRPr="00293F90" w:rsidP="004C1EBA">
            <w:pPr>
              <w:pStyle w:val="CSBody63"/>
              <w:rPr>
                <w:b/>
                <w:lang w:val="de-DE"/>
              </w:rPr>
            </w:pPr>
            <w:r w:rsidRPr="002A6FFA">
              <w:rPr>
                <w:lang w:val="de-CH"/>
              </w:rPr>
              <w:t>Die Credit Suisse ist erheblichen rechtlichen Risiken ausgesetzt. Der Umfang und die Zahl der in Gerichtsverfahren, regulatorischen Verfahren und anderen Rechtsstreiten gegen Finanzdienstleistungsunternehmen erhobenen Schadenersatzforderungen sind in Zunahme begriffen.</w:t>
            </w:r>
          </w:p>
        </w:tc>
      </w:tr>
      <w:tr w:rsidTr="004668CF">
        <w:tblPrEx>
          <w:tblW w:w="5000" w:type="pct"/>
          <w:tblLook w:val="00A0"/>
        </w:tblPrEx>
        <w:tc>
          <w:tcPr>
            <w:tcW w:w="2500" w:type="pct"/>
            <w:tcBorders>
              <w:right w:val="single" w:sz="4" w:space="0" w:color="auto"/>
            </w:tcBorders>
          </w:tcPr>
          <w:p w:rsidR="004668CF" w:rsidRPr="008757CF" w:rsidP="004C1EBA">
            <w:pPr>
              <w:pStyle w:val="CSBody63"/>
              <w:rPr>
                <w:b/>
              </w:rPr>
            </w:pPr>
            <w:r w:rsidRPr="008757CF">
              <w:t>Credit Suisse and its subsidiaries are subject to a number of material legal proceedings, regulatory actions and investigations, and an adverse result in one or more of these proceedings could have a material adverse effect on Credit Suisse’s operating results for any particular period, depending, in part, upon its results for such period. For information relating to these and other legal and regulatory proceedings involving Credit Suisse’s Investment Banking and other businesses, refer to "</w:t>
            </w:r>
            <w:r w:rsidRPr="008757CF">
              <w:rPr>
                <w:i/>
              </w:rPr>
              <w:t>Note 38—Litigation</w:t>
            </w:r>
            <w:r w:rsidRPr="008757CF">
              <w:t>" in</w:t>
            </w:r>
            <w:r w:rsidRPr="008757CF">
              <w:rPr>
                <w:i/>
              </w:rPr>
              <w:t xml:space="preserve"> </w:t>
            </w:r>
            <w:r w:rsidRPr="008757CF">
              <w:t>"</w:t>
            </w:r>
            <w:r w:rsidRPr="008757CF">
              <w:rPr>
                <w:i/>
              </w:rPr>
              <w:t>V—Consolidated Financial Statements–Credit Suisse Group</w:t>
            </w:r>
            <w:r w:rsidRPr="008757CF">
              <w:t>" in the Credit Suisse Annual Report 2014 and "</w:t>
            </w:r>
            <w:r w:rsidRPr="008757CF">
              <w:rPr>
                <w:i/>
              </w:rPr>
              <w:t>Note 29—Litigation</w:t>
            </w:r>
            <w:r w:rsidRPr="008757CF">
              <w:t>" in "</w:t>
            </w:r>
            <w:r w:rsidRPr="008757CF">
              <w:rPr>
                <w:i/>
              </w:rPr>
              <w:t>III—Condensed consolidated financial statements – unaudited</w:t>
            </w:r>
            <w:r w:rsidRPr="008757CF">
              <w:t xml:space="preserve">" in the </w:t>
            </w:r>
            <w:r w:rsidRPr="00157B69" w:rsidR="00157B69">
              <w:t xml:space="preserve">Credit Suisse Financial Report 1Q15, Credit Suisse Financial Report 2Q15 and </w:t>
            </w:r>
            <w:r w:rsidRPr="008757CF">
              <w:t>Credit Suisse Financial Report 3Q15.</w:t>
            </w:r>
          </w:p>
        </w:tc>
        <w:tc>
          <w:tcPr>
            <w:tcW w:w="2500" w:type="pct"/>
            <w:tcBorders>
              <w:left w:val="single" w:sz="4" w:space="0" w:color="auto"/>
            </w:tcBorders>
            <w:shd w:val="clear" w:color="auto" w:fill="auto"/>
          </w:tcPr>
          <w:p w:rsidR="004668CF" w:rsidRPr="00293F90">
            <w:pPr>
              <w:pStyle w:val="CSBody63"/>
              <w:rPr>
                <w:b/>
                <w:lang w:val="de-DE"/>
              </w:rPr>
            </w:pPr>
            <w:r w:rsidRPr="008757CF">
              <w:rPr>
                <w:lang w:val="de-CH"/>
              </w:rPr>
              <w:t>Die Credit Suisse und ihre Tochtergesellschaften sind einer Reihe wichtiger rechtlicher Verfahren, regulatorischer Massnahmen und Untersuchungen ausgesetzt. Unvorteilhafte Ergebnisse einzelner oder mehrerer dieser Verfahren könnten erhebliche Auswirkungen auf das Geschäftsergebnis der Credit Suisse für einen bestimmten Zeitraum haben, deren Umfang teilweise von den in dem betreffenden Zeitraum erzielten Ergebnissen abhängig ist. Weitere Informationen zu diesen und anderen rechtlichen und regulatorischen Verfahren, die das Investment Banking und die übrigen Geschäftsbereiche der Credit Suisse betreffen, finden sich in "</w:t>
            </w:r>
            <w:r w:rsidRPr="008757CF">
              <w:rPr>
                <w:i/>
                <w:lang w:val="de-CH"/>
              </w:rPr>
              <w:t xml:space="preserve">Anhang 38—Rechtsstreitigkeiten" </w:t>
            </w:r>
            <w:r w:rsidRPr="008757CF">
              <w:rPr>
                <w:lang w:val="de-CH"/>
              </w:rPr>
              <w:t>des Abschnitts</w:t>
            </w:r>
            <w:r w:rsidRPr="008757CF">
              <w:rPr>
                <w:i/>
                <w:lang w:val="de-CH"/>
              </w:rPr>
              <w:t xml:space="preserve"> </w:t>
            </w:r>
            <w:r w:rsidRPr="008757CF">
              <w:rPr>
                <w:lang w:val="de-CH"/>
              </w:rPr>
              <w:t>"</w:t>
            </w:r>
            <w:r w:rsidRPr="008757CF">
              <w:rPr>
                <w:i/>
                <w:lang w:val="de-CH"/>
              </w:rPr>
              <w:t>V—Konsolidierte Jahresrechnung–Credit Suisse Group</w:t>
            </w:r>
            <w:r w:rsidRPr="008757CF">
              <w:rPr>
                <w:lang w:val="de-CH"/>
              </w:rPr>
              <w:t>" des Geschäftsberichts der Credit Suisse für das Jahr 2014 und "</w:t>
            </w:r>
            <w:r w:rsidRPr="008757CF">
              <w:rPr>
                <w:i/>
                <w:lang w:val="de-CH"/>
              </w:rPr>
              <w:t>Anhang 29—Rechtsstreitigkeiten</w:t>
            </w:r>
            <w:r w:rsidRPr="008757CF">
              <w:rPr>
                <w:lang w:val="de-CH"/>
              </w:rPr>
              <w:t>" des Abschnitts "</w:t>
            </w:r>
            <w:r w:rsidRPr="008757CF">
              <w:rPr>
                <w:i/>
                <w:lang w:val="de-CH"/>
              </w:rPr>
              <w:t>III—Gekürzte konsolidierte Jahresrechnung – ungeprüft</w:t>
            </w:r>
            <w:r w:rsidRPr="008757CF">
              <w:rPr>
                <w:lang w:val="de-CH"/>
              </w:rPr>
              <w:t>" des</w:t>
            </w:r>
            <w:r w:rsidRPr="00157B69" w:rsidR="00157B69">
              <w:rPr>
                <w:rFonts w:eastAsiaTheme="minorHAnsi"/>
                <w:bCs w:val="0"/>
                <w:sz w:val="22"/>
                <w:szCs w:val="22"/>
                <w:lang w:val="de-CH" w:eastAsia="en-US"/>
              </w:rPr>
              <w:t xml:space="preserve"> </w:t>
            </w:r>
            <w:r w:rsidRPr="00157B69" w:rsidR="00157B69">
              <w:rPr>
                <w:lang w:val="de-CH"/>
              </w:rPr>
              <w:t xml:space="preserve">Finanzberichts </w:t>
            </w:r>
            <w:r w:rsidR="00157B69">
              <w:rPr>
                <w:lang w:val="de-CH"/>
              </w:rPr>
              <w:t>1</w:t>
            </w:r>
            <w:r w:rsidRPr="00157B69" w:rsidR="00157B69">
              <w:rPr>
                <w:lang w:val="de-CH"/>
              </w:rPr>
              <w:t>Q15</w:t>
            </w:r>
            <w:r w:rsidR="00157B69">
              <w:rPr>
                <w:lang w:val="de-CH"/>
              </w:rPr>
              <w:t>, des</w:t>
            </w:r>
            <w:r w:rsidRPr="00157B69" w:rsidR="00157B69">
              <w:rPr>
                <w:lang w:val="de-CH"/>
              </w:rPr>
              <w:t xml:space="preserve"> Finanzberichts </w:t>
            </w:r>
            <w:r w:rsidR="00157B69">
              <w:rPr>
                <w:lang w:val="de-CH"/>
              </w:rPr>
              <w:t>2</w:t>
            </w:r>
            <w:r w:rsidRPr="00157B69" w:rsidR="00157B69">
              <w:rPr>
                <w:lang w:val="de-CH"/>
              </w:rPr>
              <w:t>Q15</w:t>
            </w:r>
            <w:r w:rsidR="00157B69">
              <w:rPr>
                <w:lang w:val="de-CH"/>
              </w:rPr>
              <w:t xml:space="preserve"> und</w:t>
            </w:r>
            <w:r w:rsidRPr="00157B69" w:rsidR="00157B69">
              <w:rPr>
                <w:lang w:val="de-CH"/>
              </w:rPr>
              <w:t xml:space="preserve"> </w:t>
            </w:r>
            <w:r w:rsidR="00157B69">
              <w:rPr>
                <w:lang w:val="de-CH"/>
              </w:rPr>
              <w:t>des</w:t>
            </w:r>
            <w:r w:rsidRPr="008757CF">
              <w:rPr>
                <w:lang w:val="de-CH"/>
              </w:rPr>
              <w:t xml:space="preserve"> Finanzberichts 3Q15 der Credit Suisse.</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A762E2">
              <w:t xml:space="preserve">It is inherently difficult to predict the outcome of many of the legal, regulatory and other adversarial proceedings involving Credit Suisse’s businesses, particularly those cases in which the matters are brought on behalf of various classes of claimants, seek damages of unspecified or indeterminate amounts or involve novel legal claims. Credit Suisse’s management is required to establish, increase or release reserves for losses that are probable and reasonably estimable in connection with these matters. For more information, refer to </w:t>
            </w:r>
            <w:r>
              <w:t>"</w:t>
            </w:r>
            <w:r w:rsidRPr="00A762E2">
              <w:rPr>
                <w:i/>
              </w:rPr>
              <w:t>II—Operating and financial review—Critical accounting estimates</w:t>
            </w:r>
            <w:r>
              <w:t>"</w:t>
            </w:r>
            <w:r w:rsidRPr="00A762E2">
              <w:t xml:space="preserve"> and </w:t>
            </w:r>
            <w:r>
              <w:t>"</w:t>
            </w:r>
            <w:r w:rsidRPr="00A762E2">
              <w:rPr>
                <w:i/>
              </w:rPr>
              <w:t>Note 1—Summary of significant accounting policies</w:t>
            </w:r>
            <w:r>
              <w:t>"</w:t>
            </w:r>
            <w:r w:rsidRPr="00A762E2">
              <w:rPr>
                <w:i/>
              </w:rPr>
              <w:t xml:space="preserve"> </w:t>
            </w:r>
            <w:r w:rsidRPr="002377C5">
              <w:t>in</w:t>
            </w:r>
            <w:r w:rsidRPr="00A762E2">
              <w:rPr>
                <w:i/>
              </w:rPr>
              <w:t xml:space="preserve"> </w:t>
            </w:r>
            <w:r>
              <w:t>"</w:t>
            </w:r>
            <w:r w:rsidRPr="00A762E2">
              <w:rPr>
                <w:i/>
              </w:rPr>
              <w:t>V—Consolidated financial statements—Credit Suisse Group</w:t>
            </w:r>
            <w:r>
              <w:t>"</w:t>
            </w:r>
            <w:r w:rsidRPr="00A762E2">
              <w:t xml:space="preserve"> in the Credit Suisse Annual Report </w:t>
            </w:r>
            <w:r>
              <w:t>2014</w:t>
            </w:r>
            <w:r w:rsidRPr="00116563">
              <w:rPr>
                <w:rFonts w:eastAsiaTheme="minorHAnsi"/>
                <w:bCs w:val="0"/>
                <w:szCs w:val="22"/>
                <w:lang w:eastAsia="en-US"/>
              </w:rPr>
              <w:t xml:space="preserve"> </w:t>
            </w:r>
            <w:r w:rsidRPr="00116563">
              <w:t xml:space="preserve">and </w:t>
            </w:r>
            <w:r w:rsidR="003B00F3">
              <w:t>"</w:t>
            </w:r>
            <w:r w:rsidRPr="00116563">
              <w:rPr>
                <w:i/>
              </w:rPr>
              <w:t>Note 1 - Summary of significant accounting policies</w:t>
            </w:r>
            <w:r w:rsidR="00BF7214">
              <w:rPr>
                <w:i/>
              </w:rPr>
              <w:t>"</w:t>
            </w:r>
            <w:r w:rsidRPr="00116563">
              <w:rPr>
                <w:i/>
              </w:rPr>
              <w:t xml:space="preserve"> </w:t>
            </w:r>
            <w:r w:rsidRPr="00116563">
              <w:t xml:space="preserve">in </w:t>
            </w:r>
            <w:r w:rsidR="003B00F3">
              <w:t>"</w:t>
            </w:r>
            <w:r w:rsidRPr="00116563">
              <w:rPr>
                <w:i/>
              </w:rPr>
              <w:t>III- Condensed consolidated financial statements – unaudited</w:t>
            </w:r>
            <w:r w:rsidR="00BF7214">
              <w:rPr>
                <w:i/>
              </w:rPr>
              <w:t>"</w:t>
            </w:r>
            <w:r w:rsidRPr="00116563">
              <w:t xml:space="preserve"> in the Credit Suisse Financial Report 3Q15</w:t>
            </w:r>
            <w:r w:rsidRPr="00A762E2">
              <w:t>.</w:t>
            </w:r>
          </w:p>
        </w:tc>
        <w:tc>
          <w:tcPr>
            <w:tcW w:w="2500" w:type="pct"/>
            <w:tcBorders>
              <w:left w:val="single" w:sz="4" w:space="0" w:color="auto"/>
            </w:tcBorders>
            <w:shd w:val="clear" w:color="auto" w:fill="auto"/>
          </w:tcPr>
          <w:p w:rsidR="004668CF" w:rsidRPr="00293F90" w:rsidP="004C1EBA">
            <w:pPr>
              <w:pStyle w:val="CSBody63"/>
              <w:rPr>
                <w:b/>
                <w:lang w:val="de-DE"/>
              </w:rPr>
            </w:pPr>
            <w:r w:rsidRPr="002A6FFA">
              <w:rPr>
                <w:lang w:val="de-CH"/>
              </w:rPr>
              <w:t>Die Ergebnisse vieler rechtlicher, regulatorischer und sonstiger Streitverfahren, in die die Geschäftsbereiche der Credit Suisse involviert sind, lassen sich schwer abschätzen. Das gilt insbesondere für Fälle, in denen Forderungen durch verschiedene Klägerkategorien erhoben werden, in denen Schadenersatz in unbestimmter Höhe oder für nicht feststellbare Beträge gefordert wird oder die neuartige rechtliche Forderungen betreffen. Das Management der Credit Suisse ist im Zusammenhang mit diesen Angelegen</w:t>
            </w:r>
            <w:r w:rsidRPr="002A6FFA">
              <w:rPr>
                <w:lang w:val="de-CH"/>
              </w:rPr>
              <w:softHyphen/>
              <w:t xml:space="preserve">heiten verpflichtet, Reserven für Verluste, die wahrscheinlich sind und angemessen abgeschätzt werden können, zu bilden, zu erhöhen oder freizugeben. Weitere Informationen finden sich in Abschnitt </w:t>
            </w:r>
            <w:r>
              <w:rPr>
                <w:lang w:val="de-CH"/>
              </w:rPr>
              <w:t>"</w:t>
            </w:r>
            <w:r w:rsidRPr="002A6FFA">
              <w:rPr>
                <w:i/>
                <w:lang w:val="de-CH"/>
              </w:rPr>
              <w:t>II—Kommentar zu den Resultaten—Kritische Bewertungen in der Rechnungslegung</w:t>
            </w:r>
            <w:r>
              <w:rPr>
                <w:lang w:val="de-CH"/>
              </w:rPr>
              <w:t>"</w:t>
            </w:r>
            <w:r w:rsidRPr="002A6FFA">
              <w:rPr>
                <w:lang w:val="de-CH"/>
              </w:rPr>
              <w:t xml:space="preserve"> und in </w:t>
            </w:r>
            <w:r>
              <w:rPr>
                <w:lang w:val="de-CH"/>
              </w:rPr>
              <w:t>"</w:t>
            </w:r>
            <w:r w:rsidRPr="002A6FFA">
              <w:rPr>
                <w:i/>
                <w:lang w:val="de-CH"/>
              </w:rPr>
              <w:t>Anhang 1—Zusammenfassung wichtiger Rechnungslegungs</w:t>
            </w:r>
            <w:r w:rsidRPr="002A6FFA">
              <w:rPr>
                <w:i/>
                <w:lang w:val="de-CH"/>
              </w:rPr>
              <w:softHyphen/>
              <w:t>grundsätze</w:t>
            </w:r>
            <w:r>
              <w:rPr>
                <w:i/>
                <w:lang w:val="de-CH"/>
              </w:rPr>
              <w:t>"</w:t>
            </w:r>
            <w:r w:rsidRPr="002A6FFA">
              <w:rPr>
                <w:i/>
                <w:lang w:val="de-CH"/>
              </w:rPr>
              <w:t xml:space="preserve"> </w:t>
            </w:r>
            <w:r w:rsidRPr="006C2E8E">
              <w:rPr>
                <w:lang w:val="de-CH"/>
              </w:rPr>
              <w:t>in</w:t>
            </w:r>
            <w:r w:rsidRPr="002A6FFA">
              <w:rPr>
                <w:i/>
                <w:lang w:val="de-CH"/>
              </w:rPr>
              <w:t xml:space="preserve"> </w:t>
            </w:r>
            <w:r>
              <w:rPr>
                <w:i/>
                <w:lang w:val="de-CH"/>
              </w:rPr>
              <w:t>"</w:t>
            </w:r>
            <w:r w:rsidRPr="002A6FFA">
              <w:rPr>
                <w:i/>
                <w:lang w:val="de-CH"/>
              </w:rPr>
              <w:t>V—Konsolidierte Jahresrechnung—Credit Suisse Group</w:t>
            </w:r>
            <w:r>
              <w:rPr>
                <w:lang w:val="de-CH"/>
              </w:rPr>
              <w:t>"</w:t>
            </w:r>
            <w:r w:rsidRPr="002A6FFA">
              <w:rPr>
                <w:lang w:val="de-CH"/>
              </w:rPr>
              <w:t xml:space="preserve"> des Geschäftsberichts der Credit Suisse für das Jahr </w:t>
            </w:r>
            <w:r>
              <w:rPr>
                <w:lang w:val="de-CH"/>
              </w:rPr>
              <w:t xml:space="preserve">2014 </w:t>
            </w:r>
            <w:r w:rsidRPr="00116563">
              <w:rPr>
                <w:lang w:val="de-CH"/>
              </w:rPr>
              <w:t xml:space="preserve">und </w:t>
            </w:r>
            <w:r w:rsidR="003B00F3">
              <w:rPr>
                <w:lang w:val="de-CH"/>
              </w:rPr>
              <w:t>"</w:t>
            </w:r>
            <w:r w:rsidRPr="00116563">
              <w:rPr>
                <w:i/>
                <w:lang w:val="de-CH"/>
              </w:rPr>
              <w:t>Anhang 1—Zusammenfassung wicht</w:t>
            </w:r>
            <w:r>
              <w:rPr>
                <w:i/>
                <w:lang w:val="de-CH"/>
              </w:rPr>
              <w:t>iger Rechnungslegungsgrundsätze</w:t>
            </w:r>
            <w:r w:rsidR="003B00F3">
              <w:rPr>
                <w:i/>
                <w:lang w:val="de-CH"/>
              </w:rPr>
              <w:t>"</w:t>
            </w:r>
            <w:r w:rsidRPr="00116563">
              <w:rPr>
                <w:i/>
                <w:lang w:val="de-CH"/>
              </w:rPr>
              <w:t xml:space="preserve"> </w:t>
            </w:r>
            <w:r w:rsidRPr="00116563">
              <w:rPr>
                <w:lang w:val="de-CH"/>
              </w:rPr>
              <w:t>des Abschnitts</w:t>
            </w:r>
            <w:r>
              <w:rPr>
                <w:i/>
                <w:lang w:val="de-CH"/>
              </w:rPr>
              <w:t xml:space="preserve"> </w:t>
            </w:r>
            <w:r w:rsidR="003B00F3">
              <w:rPr>
                <w:i/>
                <w:lang w:val="de-CH"/>
              </w:rPr>
              <w:t>"</w:t>
            </w:r>
            <w:r w:rsidRPr="00116563">
              <w:rPr>
                <w:i/>
                <w:lang w:val="de-CH"/>
              </w:rPr>
              <w:t>III— gekürzte konsoli</w:t>
            </w:r>
            <w:r>
              <w:rPr>
                <w:i/>
                <w:lang w:val="de-CH"/>
              </w:rPr>
              <w:t>dierte Jahresrechnung—ungeprüft</w:t>
            </w:r>
            <w:r w:rsidR="003B00F3">
              <w:rPr>
                <w:i/>
                <w:lang w:val="de-CH"/>
              </w:rPr>
              <w:t>"</w:t>
            </w:r>
            <w:r w:rsidRPr="00116563">
              <w:rPr>
                <w:i/>
                <w:lang w:val="de-CH"/>
              </w:rPr>
              <w:t xml:space="preserve"> des Finanzberichts 3Q15 der Credit Suisse</w:t>
            </w:r>
            <w:r w:rsidRPr="002A6FFA">
              <w:rPr>
                <w:lang w:val="de-CH"/>
              </w:rPr>
              <w:t>.</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A762E2">
              <w:rPr>
                <w:b/>
                <w:lang w:val="en-US"/>
              </w:rPr>
              <w:t>Regulatory changes may adversely affect Credit Suisse’s business and ability to execute its strategic plans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Regulatorische Änderungen könnten die Geschäftstätigkeit der Credit Suisse und ihre Fähigkeit zur Umsetzung strategischer Vorhaben beeinträchtigen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A762E2">
              <w:t>As a participant in the financial services industry, Credit Suisse is subject to extensive regulation by governmental agencies, supervisory authorities, and self-regulatory organisations in Switzerland, the European Union, the United Kingdom</w:t>
            </w:r>
            <w:r>
              <w:t>,</w:t>
            </w:r>
            <w:r w:rsidRPr="00A762E2">
              <w:t xml:space="preserve"> the United States and other jurisdictions in which Credit Suisse operates around the world. Such regulation is increasingly more extensive and complex and, in recent years, costs related to its compliance with these requirements and the penalties and fines sought and imposed on the financial services industry by regulatory authorities have all increased significantly</w:t>
            </w:r>
            <w:r>
              <w:t xml:space="preserve"> </w:t>
            </w:r>
            <w:r w:rsidRPr="00A43081">
              <w:t>and may increase further</w:t>
            </w:r>
            <w:r w:rsidRPr="00A762E2">
              <w:t>. These regulations often serve to limit Credit Suisse’s activities, including through the application of increased capital</w:t>
            </w:r>
            <w:r w:rsidRPr="00A43081">
              <w:t>, leverage and liquidity</w:t>
            </w:r>
            <w:r w:rsidRPr="00A762E2">
              <w:t xml:space="preserve"> requirements, customer protection and market conduct regulations and direct or indirect restrictions on the businesses in which Credit Suisse may operate or invest. Such limitations can have a negative effect on Credit Suisse’s business and its ability to implement strategic initiatives. To the extent Credit Suisse is required to divest certain businesses, it could incur losses, as it may be forced to sell such businesses at a discount, which in certain instances could be substantial, as a result of both the constrained timing of such sales and the possibility that other financial institutions are liquidating similar investments at the same time.</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Als Akteur innerhalb der Finanzdienstleistungsbranche untersteht die Credit Suisse umfassenden Regulierungen durch staatliche Stellen, Aufsichts</w:t>
            </w:r>
            <w:r w:rsidRPr="002A6FFA">
              <w:rPr>
                <w:lang w:val="de-CH"/>
              </w:rPr>
              <w:softHyphen/>
              <w:t xml:space="preserve">behörden und Selbstregulierungsorganisationen in der Schweiz, </w:t>
            </w:r>
            <w:r w:rsidRPr="00C72686">
              <w:rPr>
                <w:lang w:val="de-CH"/>
              </w:rPr>
              <w:t xml:space="preserve">in </w:t>
            </w:r>
            <w:r w:rsidRPr="002A6FFA">
              <w:rPr>
                <w:lang w:val="de-CH"/>
              </w:rPr>
              <w:t xml:space="preserve">der Europäischen Union, </w:t>
            </w:r>
            <w:r w:rsidRPr="00C72686">
              <w:rPr>
                <w:lang w:val="de-CH"/>
              </w:rPr>
              <w:t xml:space="preserve">in </w:t>
            </w:r>
            <w:r w:rsidRPr="002A6FFA">
              <w:rPr>
                <w:lang w:val="de-CH"/>
              </w:rPr>
              <w:t>dem Vereinigten Königreich</w:t>
            </w:r>
            <w:r w:rsidRPr="00C72686">
              <w:rPr>
                <w:lang w:val="de-CH"/>
              </w:rPr>
              <w:t xml:space="preserve">, </w:t>
            </w:r>
            <w:r w:rsidRPr="002A6FFA">
              <w:rPr>
                <w:lang w:val="de-CH"/>
              </w:rPr>
              <w:t>in den USA und in anderen Rechtsgebieten auf der ganzen Welt, in denen sie tätig ist. Diese Regulierungen werden immer umfangreicher und komplexer. Die Kosten der Einhaltung dieser Anforderungen für die Credit Suisse sowie die von den Aufsichtsbehörden beantragten und verhängten Strafen und Geldbussen für die Finanzdienstleistungsindustrie haben in den letzten paar Jahren deutlich zugenommen</w:t>
            </w:r>
            <w:r>
              <w:rPr>
                <w:lang w:val="de-CH"/>
              </w:rPr>
              <w:t xml:space="preserve"> und könnten weiter zunehmen</w:t>
            </w:r>
            <w:r w:rsidRPr="002A6FFA">
              <w:rPr>
                <w:lang w:val="de-CH"/>
              </w:rPr>
              <w:t>. Oft dienen sie dazu, die Tätigkeit der Credit Suisse einzuschränken, was unter anderem durch die Anwendung erhöhter Anforderungen an die Kapital-, Fremdmittel- und Liquiditätsausstattung, durch Vorschriften bezüglich Kundenschutz und Marktverhalten wie auch durch unmittelbar oder mittelbar greifende Einschränkungen bezüglich der Tätigkeitsbereiche, in denen sie operieren und investieren darf, erfolgt. Solche Einschränkungen können die Geschäftstätigkeit der Credit Suisse und ihre Fähigkeit zur Umsetzung strategischer Initiativen beeinträchtigen.</w:t>
            </w:r>
            <w:r w:rsidRPr="00C72686">
              <w:rPr>
                <w:lang w:val="de-CH"/>
              </w:rPr>
              <w:t xml:space="preserve"> </w:t>
            </w:r>
            <w:r w:rsidRPr="002A6FFA">
              <w:rPr>
                <w:lang w:val="de-CH"/>
              </w:rPr>
              <w:t>So</w:t>
            </w:r>
            <w:r w:rsidRPr="00C72686">
              <w:rPr>
                <w:lang w:val="de-CH"/>
              </w:rPr>
              <w:t>llte</w:t>
            </w:r>
            <w:r w:rsidRPr="002A6FFA">
              <w:rPr>
                <w:lang w:val="de-CH"/>
              </w:rPr>
              <w:t xml:space="preserve"> die Credit Suisse bestimmte Geschäftsbereiche veräussern </w:t>
            </w:r>
            <w:r w:rsidRPr="00C72686">
              <w:rPr>
                <w:lang w:val="de-CH"/>
              </w:rPr>
              <w:t>müssen</w:t>
            </w:r>
            <w:r w:rsidRPr="002A6FFA">
              <w:rPr>
                <w:lang w:val="de-CH"/>
              </w:rPr>
              <w:t xml:space="preserve">, könnten ihr Verluste entstehen, </w:t>
            </w:r>
            <w:r w:rsidRPr="00C72686">
              <w:rPr>
                <w:lang w:val="de-CH"/>
              </w:rPr>
              <w:t xml:space="preserve">wenn sie sich </w:t>
            </w:r>
            <w:r w:rsidRPr="002A6FFA">
              <w:rPr>
                <w:lang w:val="de-CH"/>
              </w:rPr>
              <w:t xml:space="preserve">gezwungen </w:t>
            </w:r>
            <w:r w:rsidRPr="00C72686">
              <w:rPr>
                <w:lang w:val="de-CH"/>
              </w:rPr>
              <w:t>sehen würde</w:t>
            </w:r>
            <w:r w:rsidRPr="002A6FFA">
              <w:rPr>
                <w:lang w:val="de-CH"/>
              </w:rPr>
              <w:t xml:space="preserve">, </w:t>
            </w:r>
            <w:r w:rsidRPr="00C72686">
              <w:rPr>
                <w:lang w:val="de-CH"/>
              </w:rPr>
              <w:t>entsprechende Geschäftsb</w:t>
            </w:r>
            <w:r w:rsidRPr="002A6FFA">
              <w:rPr>
                <w:lang w:val="de-CH"/>
              </w:rPr>
              <w:t xml:space="preserve">ereiche mit einem Abschlag zu verkaufen, der </w:t>
            </w:r>
            <w:r w:rsidRPr="00C72686">
              <w:rPr>
                <w:lang w:val="de-CH"/>
              </w:rPr>
              <w:t xml:space="preserve">unter gewissen Umständen </w:t>
            </w:r>
            <w:r w:rsidRPr="002A6FFA">
              <w:rPr>
                <w:lang w:val="de-CH"/>
              </w:rPr>
              <w:t xml:space="preserve">erheblich sein </w:t>
            </w:r>
            <w:r w:rsidRPr="00C72686">
              <w:rPr>
                <w:lang w:val="de-CH"/>
              </w:rPr>
              <w:t xml:space="preserve">könnte. Gründe für einen Abschlag könnten Zeitvorgaben für entsprechende Veräusserungen sein oder aber die Möglichkeit, dass andere </w:t>
            </w:r>
            <w:r w:rsidRPr="002A6FFA">
              <w:rPr>
                <w:lang w:val="de-CH"/>
              </w:rPr>
              <w:t xml:space="preserve">Finanzinstitute </w:t>
            </w:r>
            <w:r w:rsidRPr="00C72686">
              <w:rPr>
                <w:lang w:val="de-CH"/>
              </w:rPr>
              <w:t>vergleichbare Investitionen zum gleichen Zeitpunkt liquidieren müssten</w:t>
            </w:r>
            <w:r w:rsidRPr="002A6FFA">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B40027">
              <w:t>Since 2008, regulators and governments have focused on the reform of the financial services industry, including enhanced capital, leverage and liquidity requirements, changes in compensation practices (including tax levies) and measures to address systemic risk</w:t>
            </w:r>
            <w:r w:rsidRPr="00A43081">
              <w:t>, including potentially ring-fencing certain activities and operations within specific legal entities</w:t>
            </w:r>
            <w:r w:rsidRPr="00B40027">
              <w:t xml:space="preserve">. </w:t>
            </w:r>
            <w:r w:rsidRPr="00A762E2">
              <w:t>Credit Suisse</w:t>
            </w:r>
            <w:r w:rsidRPr="00B40027">
              <w:t xml:space="preserve"> is already subject to extensive regulation in many areas of its business and expects to face increased regulation and regulatory scrutiny and enforcement. </w:t>
            </w:r>
            <w:r w:rsidRPr="00AE4FA1">
              <w:t>These various regulations and requirements could require CSG to reduce assets held in certain subsidiaries, inject capital into or otherwise change its operations or the structure of its subsidiaries. Credit Suisse expect</w:t>
            </w:r>
            <w:r w:rsidRPr="00B40027">
              <w:t xml:space="preserve">s such increased regulation to continue to increase its costs, including but not limited to, costs related to compliance, systems and operations, as well as affecting its ability to conduct certain businesses, which could adversely affect its profitability and competitive position. Variations in the details and implementation of such regulations may further negatively affect </w:t>
            </w:r>
            <w:r w:rsidRPr="00A762E2">
              <w:t>Credit Suisse</w:t>
            </w:r>
            <w:r w:rsidRPr="00B40027">
              <w:t>, as certain requirements currently are not expected to apply equally to all of its competitors or to be implemented uniformly across jurisdictions.</w:t>
            </w:r>
          </w:p>
        </w:tc>
        <w:tc>
          <w:tcPr>
            <w:tcW w:w="2500" w:type="pct"/>
            <w:tcBorders>
              <w:left w:val="single" w:sz="4" w:space="0" w:color="auto"/>
            </w:tcBorders>
            <w:shd w:val="clear" w:color="auto" w:fill="auto"/>
          </w:tcPr>
          <w:p w:rsidR="004668CF" w:rsidRPr="008B0576" w:rsidP="004C1EBA">
            <w:pPr>
              <w:pStyle w:val="CSBody63"/>
              <w:rPr>
                <w:b/>
                <w:lang w:val="de-DE"/>
              </w:rPr>
            </w:pPr>
            <w:r w:rsidRPr="00365BB2">
              <w:rPr>
                <w:lang w:val="de-CH"/>
              </w:rPr>
              <w:t>Seit 2008 setzen die Aufsichtsbehörden und Regierungen in ihrer Tätigkeit einen Schwerpunkt bei der Reform der Finanzdienstleistungsbranche und erweiterten unter anderem ihre Anforderungen an die Kapital-, Fremdmittel- und Liquiditätsausstattung, setzten Veränderungen in der Vergütungspraxis (einschliesslich steuerlicher Aspekte) sowie Massnahmen zur Minderung des systemischen Risikos durch, einschliesslich einer möglichen Abschirmung von Risiken von bestimmten Aktivitäten und Geschäftstätigkeiten innerhalb bestimmter Rechtseinheiten. Die Credit Suisse unterliegt bereits einer umfangreichen Regulierung in vielen ihrer Geschäftsfelder und rechnet mit zunehmenden Regulierungen und Überprüfungen sowie Massnahmen zur Durchsetzung der betreffenden Vorschriften. Diese verschiedenen Regulierungen und Vorschriften könnten bewirken, dass die CSG Vermögenswerte in verschiedenen Tochtergesellschaften reduzieren, Kapital einschiessen oder anderweitig ihr Geschäft oder die Struktur ihrer Tochtergesellschaften verändern muss. Die Credit Suisse geht davon aus, dass diese Entwicklung ihre Kosten weiter erhöhen wird, beispielsweise ihre Kosten im Zusammenhang mit Compliance, Systems and Operations und ihre Fähigkeit zur Durchführung bestimmter Geschäftstätigkeiten beeinflussen wird. Dies könnte ihre Profitabilität und ihre Wettbewerbsposition negativ beeinflussen. Abweichungen bezüglich der Einzelheiten und der Umsetzung entsprechender Regulierungen könnten für die Credit Suisse weitere negative Auswirkungen haben, da derzeit davon auszugehen ist, dass bestimmte Anforderungen nicht für alle ihre Mitbewerber gleich anwendbar sein oder in allen Rechtsgebieten einheitlich umgesetzt werden dürften</w:t>
            </w:r>
            <w:r w:rsidRPr="00C72686">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AC62FD">
              <w:t xml:space="preserve">For example, the additional requirements related to minimum regulatory capital, leverage ratios and liquidity measures imposed by Basel III, together with more stringent requirements imposed by the Swiss </w:t>
            </w:r>
            <w:r>
              <w:t>"</w:t>
            </w:r>
            <w:r w:rsidRPr="00AC62FD">
              <w:t>Too Big To Fail</w:t>
            </w:r>
            <w:r>
              <w:t>"</w:t>
            </w:r>
            <w:r w:rsidRPr="00AC62FD">
              <w:t xml:space="preserve"> legislation and its implementing ordinances and related actions by Credit Suisse’s regulators, have contributed to Credit Suisse’s decision to reduce </w:t>
            </w:r>
            <w:r>
              <w:t>RWAs</w:t>
            </w:r>
            <w:r w:rsidRPr="00AC62FD">
              <w:t xml:space="preserve"> and the size of its balance sheet, and could potentially impact its access to capital markets and increase its funding costs. In addition, the ongoing implementation in the United States of the provisions of the Dodd-Frank Wall Street Reform and Consumer Protection Act (the </w:t>
            </w:r>
            <w:r>
              <w:t>"</w:t>
            </w:r>
            <w:r w:rsidRPr="00AC62FD">
              <w:rPr>
                <w:b/>
              </w:rPr>
              <w:t>Dodd-Frank Act</w:t>
            </w:r>
            <w:r>
              <w:t>"</w:t>
            </w:r>
            <w:r w:rsidRPr="00AC62FD">
              <w:t xml:space="preserve">), including the </w:t>
            </w:r>
            <w:r>
              <w:t>"</w:t>
            </w:r>
            <w:r w:rsidRPr="00AC62FD">
              <w:t>Volcker Rule</w:t>
            </w:r>
            <w:r>
              <w:t>"</w:t>
            </w:r>
            <w:r w:rsidRPr="00AC62FD">
              <w:t xml:space="preserve">, derivatives regulation and other regulatory developments described in </w:t>
            </w:r>
            <w:r>
              <w:t>"</w:t>
            </w:r>
            <w:r w:rsidRPr="00AC62FD">
              <w:rPr>
                <w:i/>
              </w:rPr>
              <w:t>I–Information on the company–Regulation and supervision</w:t>
            </w:r>
            <w:r>
              <w:t xml:space="preserve">" </w:t>
            </w:r>
            <w:r w:rsidRPr="00AC62FD">
              <w:t xml:space="preserve">in the Credit Suisse Annual Report 2014 and in </w:t>
            </w:r>
            <w:r>
              <w:t>"</w:t>
            </w:r>
            <w:r w:rsidRPr="00AC62FD">
              <w:rPr>
                <w:i/>
              </w:rPr>
              <w:t>II—Treasury, Risk, Balance sheet and Off-balance sheet—Capital Management-Regulatory Capital Framework</w:t>
            </w:r>
            <w:r>
              <w:rPr>
                <w:i/>
              </w:rPr>
              <w:t>"</w:t>
            </w:r>
            <w:r w:rsidRPr="00AC62FD">
              <w:t xml:space="preserve"> in the Credit Suisse Financial Report </w:t>
            </w:r>
            <w:r>
              <w:t>3</w:t>
            </w:r>
            <w:r w:rsidRPr="00AC62FD">
              <w:t>Q15, have imposed, and will continue to impose, new regulatory burdens on certain of Credit Suisse’s operations. These requirements have contributed to its decision to exit certain businesses (including a number of its private equity businesses) and may lead it to exit other businesses. New Commodity Futures Trading Commission and the U.S. Securities and Exchange Commission (</w:t>
            </w:r>
            <w:r>
              <w:t>"</w:t>
            </w:r>
            <w:r w:rsidRPr="00AC62FD">
              <w:rPr>
                <w:b/>
              </w:rPr>
              <w:t>SEC</w:t>
            </w:r>
            <w:r>
              <w:t>"</w:t>
            </w:r>
            <w:r w:rsidRPr="00AC62FD">
              <w:t xml:space="preserve">) </w:t>
            </w:r>
            <w:r w:rsidRPr="00140246">
              <w:t>rules could materially increase the operating costs, including compliance, information technology and related costs, associated with its derivatives businesses with United States persons</w:t>
            </w:r>
            <w:r>
              <w:t xml:space="preserve"> </w:t>
            </w:r>
            <w:r w:rsidRPr="008420FC">
              <w:t>while at the same time making it more difficult for Credit Suisse to transact derivatives business outside the US</w:t>
            </w:r>
            <w:r w:rsidRPr="00140246">
              <w:t xml:space="preserve">. Further, in </w:t>
            </w:r>
            <w:r w:rsidRPr="008420FC">
              <w:t>February 2014</w:t>
            </w:r>
            <w:r w:rsidRPr="00140246">
              <w:t xml:space="preserve">, the United States Federal Reserve </w:t>
            </w:r>
            <w:r>
              <w:t>adopted</w:t>
            </w:r>
            <w:r w:rsidRPr="008420FC">
              <w:t xml:space="preserve"> a final </w:t>
            </w:r>
            <w:r w:rsidRPr="00140246">
              <w:t>rule under the Dodd-Frank Act that create</w:t>
            </w:r>
            <w:r>
              <w:t>d</w:t>
            </w:r>
            <w:r w:rsidRPr="00140246">
              <w:t xml:space="preserve"> a new framework for regulation of the United States operations of foreign banking organisations such as Credit Suisse. Although the final impact of the </w:t>
            </w:r>
            <w:r>
              <w:t>new rule</w:t>
            </w:r>
            <w:r w:rsidRPr="00140246">
              <w:t xml:space="preserve"> cannot be </w:t>
            </w:r>
            <w:r>
              <w:t xml:space="preserve">fully </w:t>
            </w:r>
            <w:r w:rsidRPr="00140246">
              <w:t xml:space="preserve">predicted at this time, </w:t>
            </w:r>
            <w:r>
              <w:t>it is expected to</w:t>
            </w:r>
            <w:r w:rsidRPr="00140246">
              <w:t xml:space="preserve"> result in Credit Suisse incurring additional costs and </w:t>
            </w:r>
            <w:r>
              <w:t>to affect</w:t>
            </w:r>
            <w:r w:rsidRPr="00140246">
              <w:t xml:space="preserve"> the way it conducts its business in the United States</w:t>
            </w:r>
            <w:r w:rsidRPr="008420FC">
              <w:t>, including by requiring it to create a single US intermediate holding company</w:t>
            </w:r>
            <w:r w:rsidRPr="00140246">
              <w:t>.</w:t>
            </w:r>
          </w:p>
        </w:tc>
        <w:tc>
          <w:tcPr>
            <w:tcW w:w="2500" w:type="pct"/>
            <w:tcBorders>
              <w:left w:val="single" w:sz="4" w:space="0" w:color="auto"/>
            </w:tcBorders>
            <w:shd w:val="clear" w:color="auto" w:fill="auto"/>
          </w:tcPr>
          <w:p w:rsidR="004668CF" w:rsidRPr="008B0576" w:rsidP="002F1DA0">
            <w:pPr>
              <w:pStyle w:val="CSBody63"/>
              <w:rPr>
                <w:b/>
                <w:lang w:val="de-DE"/>
              </w:rPr>
            </w:pPr>
            <w:r w:rsidRPr="00365BB2">
              <w:rPr>
                <w:lang w:val="de-CH"/>
              </w:rPr>
              <w:t xml:space="preserve">So haben die zusätzlichen Anforderungen an das regulatorische Mindestkapital, die Leverage Ratios und die Liquiditätsmassnahmen gemäss Basel III, zusammen mit den strengeren Anforderungen gemäss der Schweizer </w:t>
            </w:r>
            <w:r>
              <w:rPr>
                <w:lang w:val="de-CH"/>
              </w:rPr>
              <w:t>"</w:t>
            </w:r>
            <w:r w:rsidRPr="00365BB2">
              <w:rPr>
                <w:lang w:val="de-CH"/>
              </w:rPr>
              <w:t>Too Big To Fail</w:t>
            </w:r>
            <w:r>
              <w:rPr>
                <w:lang w:val="de-CH"/>
              </w:rPr>
              <w:t>"</w:t>
            </w:r>
            <w:r w:rsidRPr="00365BB2">
              <w:rPr>
                <w:lang w:val="de-CH"/>
              </w:rPr>
              <w:t xml:space="preserve">-Gesetzgebung und der Ausführungsverordnungen sowie den damit verbundenen Massnahmen der für die Credit Suisse zuständigen Aufsichtsbehörden, zu dem Entscheid der Credit Suisse beigetragen, die </w:t>
            </w:r>
            <w:r>
              <w:rPr>
                <w:lang w:val="de-CH"/>
              </w:rPr>
              <w:t>RWAs</w:t>
            </w:r>
            <w:r w:rsidRPr="00365BB2">
              <w:rPr>
                <w:lang w:val="de-CH"/>
              </w:rPr>
              <w:t xml:space="preserve"> zu reduzieren und ihre Bilanz zu verkürzen, und könnten sich möglicherweise auf ihren Zugang zu den Kapitalmärkten auswirken und ihre Finanzierungskosten erhöhen. Zudem haben die laufende Umsetzung der Vorschriften im Dodd-Frank Wall Street Reform and Consumer Protection Act (das </w:t>
            </w:r>
            <w:r w:rsidR="003B00F3">
              <w:rPr>
                <w:lang w:val="de-CH"/>
              </w:rPr>
              <w:t>"</w:t>
            </w:r>
            <w:r w:rsidRPr="00365BB2">
              <w:rPr>
                <w:b/>
                <w:lang w:val="de-CH"/>
              </w:rPr>
              <w:t>Dodd-Frank-Gesetz</w:t>
            </w:r>
            <w:r>
              <w:rPr>
                <w:lang w:val="de-CH"/>
              </w:rPr>
              <w:t>"</w:t>
            </w:r>
            <w:r w:rsidRPr="00365BB2">
              <w:rPr>
                <w:lang w:val="de-CH"/>
              </w:rPr>
              <w:t xml:space="preserve">) in den USA, einschliesslich der </w:t>
            </w:r>
            <w:r>
              <w:rPr>
                <w:lang w:val="de-CH"/>
              </w:rPr>
              <w:t>"</w:t>
            </w:r>
            <w:r w:rsidRPr="00365BB2">
              <w:rPr>
                <w:lang w:val="de-CH"/>
              </w:rPr>
              <w:t>Volcker Rule</w:t>
            </w:r>
            <w:r>
              <w:rPr>
                <w:lang w:val="de-CH"/>
              </w:rPr>
              <w:t>"</w:t>
            </w:r>
            <w:r w:rsidRPr="00365BB2">
              <w:rPr>
                <w:lang w:val="de-CH"/>
              </w:rPr>
              <w:t xml:space="preserve">, und die Regulierung von Derivaten sowie andere regulatorische Entwicklungen, die im Geschäftsbericht der Credit Suisse für das Geschäftsjahr 2014 unter </w:t>
            </w:r>
            <w:r>
              <w:rPr>
                <w:lang w:val="de-CH"/>
              </w:rPr>
              <w:t>"</w:t>
            </w:r>
            <w:r w:rsidRPr="00365BB2">
              <w:rPr>
                <w:i/>
                <w:lang w:val="de-CH"/>
              </w:rPr>
              <w:t>I–Informationen zum Unternehmen – Gesetzgebung und</w:t>
            </w:r>
            <w:r w:rsidR="002F1DA0">
              <w:rPr>
                <w:i/>
                <w:lang w:val="de-CH"/>
              </w:rPr>
              <w:t xml:space="preserve"> Aufsichtsbehörden</w:t>
            </w:r>
            <w:r w:rsidR="003D05AA">
              <w:rPr>
                <w:i/>
                <w:lang w:val="de-CH"/>
              </w:rPr>
              <w:t>"</w:t>
            </w:r>
            <w:r>
              <w:rPr>
                <w:lang w:val="de-CH"/>
              </w:rPr>
              <w:t xml:space="preserve"> und </w:t>
            </w:r>
            <w:r w:rsidRPr="00365BB2">
              <w:rPr>
                <w:lang w:val="de-CH"/>
              </w:rPr>
              <w:t xml:space="preserve">im Finanzbericht </w:t>
            </w:r>
            <w:r>
              <w:rPr>
                <w:lang w:val="de-CH"/>
              </w:rPr>
              <w:t>3</w:t>
            </w:r>
            <w:r w:rsidRPr="00365BB2">
              <w:rPr>
                <w:lang w:val="de-CH"/>
              </w:rPr>
              <w:t xml:space="preserve">Q15 der Credit Suisse unter </w:t>
            </w:r>
            <w:r>
              <w:rPr>
                <w:lang w:val="de-CH"/>
              </w:rPr>
              <w:t>"</w:t>
            </w:r>
            <w:r w:rsidRPr="00365BB2">
              <w:rPr>
                <w:i/>
                <w:lang w:val="de-CH"/>
              </w:rPr>
              <w:t>II—Treasury, Risiko, Bilanz und Ausserbilanz — Kapitalbewirtschaftung—Aufsichtsrechtliche Eigenkapitalanforderungen</w:t>
            </w:r>
            <w:r>
              <w:rPr>
                <w:lang w:val="de-CH"/>
              </w:rPr>
              <w:t>"</w:t>
            </w:r>
            <w:r w:rsidRPr="00365BB2">
              <w:rPr>
                <w:lang w:val="de-CH"/>
              </w:rPr>
              <w:t xml:space="preserve"> beschrieben sind, bestimmten Aktivitäten der Credit Suisse neue regulatorische Bürden auferlegt und werden dies weiterhin tun. Diese Anforderungen haben zu ihrem Entscheid beigetragen, aus bestimmten Geschäftsbereichen (einschliesslich einiger ihrer Private-Equity-Bereiche) auszusteigen, und könnten dazu führen, dass sie auch noch weitere Bereiche aufgibt. Neue Regelungen der US-Aufsichtsbehörde für den Warenterminhandel (</w:t>
            </w:r>
            <w:r w:rsidRPr="00365BB2">
              <w:rPr>
                <w:i/>
                <w:lang w:val="de-CH"/>
              </w:rPr>
              <w:t>Commodity Futures Trading Commission</w:t>
            </w:r>
            <w:r w:rsidRPr="00365BB2">
              <w:rPr>
                <w:lang w:val="de-CH"/>
              </w:rPr>
              <w:t>) und der US-Börsenaufsichtsbehörde Securities and Exchange Commission (</w:t>
            </w:r>
            <w:r w:rsidR="003B00F3">
              <w:rPr>
                <w:lang w:val="de-CH"/>
              </w:rPr>
              <w:t>"</w:t>
            </w:r>
            <w:r w:rsidRPr="00365BB2">
              <w:rPr>
                <w:b/>
                <w:lang w:val="de-CH"/>
              </w:rPr>
              <w:t>SEC</w:t>
            </w:r>
            <w:r>
              <w:rPr>
                <w:lang w:val="de-CH"/>
              </w:rPr>
              <w:t>"</w:t>
            </w:r>
            <w:r w:rsidRPr="00365BB2">
              <w:rPr>
                <w:lang w:val="de-CH"/>
              </w:rPr>
              <w:t>) könnten die Betriebskosten, einschliesslich Compliance-, Informationstechnologie- und damit verbundener Kosten, im Zusammenhang mit ihrem Derivategeschäft mit US-Personen stark erhöhen und es der Credit Suisse gleichzeitig erschweren, Derivategeschäfte ausserhalb der USA durchzuführen. Ferner verabschiedete die US-Notenbank im Februar 2014 eine endgültige Vorschrift im Rahmen des Dodd-Frank-Gesetzes, mit der ein neuer Rahmen zur Regulierung des US-Geschäfts ausländischer Bankinstitute wie der Credit Suisse geschaffen wurde. Obwohl die endgültigen Auswirkungen der neuen Vorschrift derzeit noch nicht gänzlich voraussehbar sind, dürfte sie dazu führen, dass der Credit Suisse zusätzliche Kosten entstehen, und die Art, wie sie ihre Tätigkeit in den USA ausübt, beeinflusst wird, unter anderem durch das Erfordernis, eine einzige US-amerikanische Zwischenholding zu gründen</w:t>
            </w:r>
            <w:r w:rsidRPr="00140246">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140246">
              <w:t xml:space="preserve">Similarly, recently enacted and possible future cross-border tax regulation with extraterritorial effect, such as the U.S. Foreign Account Tax Compliance Act, bilateral tax treaties, such as Switzerland’s treaties with the United Kingdom and Austria, </w:t>
            </w:r>
            <w:r>
              <w:t xml:space="preserve">and agreements on the automatic exchange of information in tax matters, </w:t>
            </w:r>
            <w:r w:rsidRPr="00140246">
              <w:t xml:space="preserve">impose detailed reporting obligations and increased compliance and systems-related costs on Credit Suisse’s businesses. </w:t>
            </w:r>
            <w:r>
              <w:t>Additionally</w:t>
            </w:r>
            <w:r w:rsidRPr="00140246">
              <w:t xml:space="preserve">, implementation of the European Market Infrastructure Regulation </w:t>
            </w:r>
            <w:r w:rsidRPr="008420FC">
              <w:t>(</w:t>
            </w:r>
            <w:r>
              <w:t>"</w:t>
            </w:r>
            <w:r w:rsidRPr="008420FC">
              <w:rPr>
                <w:b/>
              </w:rPr>
              <w:t>EMIR</w:t>
            </w:r>
            <w:r>
              <w:t>"</w:t>
            </w:r>
            <w:r w:rsidRPr="008420FC">
              <w:t xml:space="preserve">), the </w:t>
            </w:r>
            <w:r w:rsidRPr="001D1F9A">
              <w:t>Capital Requirement Directive IV and Capital Requirements Regulation (</w:t>
            </w:r>
            <w:r>
              <w:t>"</w:t>
            </w:r>
            <w:r w:rsidRPr="001D1F9A">
              <w:rPr>
                <w:b/>
              </w:rPr>
              <w:t>CRD IV</w:t>
            </w:r>
            <w:r>
              <w:t>"</w:t>
            </w:r>
            <w:r w:rsidRPr="001D1F9A">
              <w:t>)</w:t>
            </w:r>
            <w:r>
              <w:t xml:space="preserve"> </w:t>
            </w:r>
            <w:r w:rsidRPr="00140246">
              <w:t xml:space="preserve">and the proposed revisions to the </w:t>
            </w:r>
            <w:r>
              <w:t xml:space="preserve">revised </w:t>
            </w:r>
            <w:r w:rsidRPr="00140246">
              <w:t xml:space="preserve">Markets in Financial Instruments Directive </w:t>
            </w:r>
            <w:r w:rsidRPr="008420FC">
              <w:t>(</w:t>
            </w:r>
            <w:r>
              <w:t>"</w:t>
            </w:r>
            <w:r w:rsidRPr="008420FC">
              <w:rPr>
                <w:b/>
              </w:rPr>
              <w:t>MiFID II</w:t>
            </w:r>
            <w:r>
              <w:t>"</w:t>
            </w:r>
            <w:r w:rsidRPr="008420FC">
              <w:t>)</w:t>
            </w:r>
            <w:r>
              <w:t xml:space="preserve"> </w:t>
            </w:r>
            <w:r w:rsidRPr="00140246">
              <w:t xml:space="preserve">may negatively affect Credit Suisse’s business activities. If Switzerland does not pass legislation that is deemed equivalent to </w:t>
            </w:r>
            <w:r w:rsidRPr="008420FC">
              <w:t>EMIR and MiFID II</w:t>
            </w:r>
            <w:r w:rsidRPr="00140246">
              <w:t xml:space="preserve"> in a timely manner, Swiss banks, including Credit Suisse, may be limited from participating in businesses regulated by such laws.</w:t>
            </w:r>
            <w:r>
              <w:t xml:space="preserve"> Finally, new total loss-absorbing capacity requirements may increase </w:t>
            </w:r>
            <w:r w:rsidRPr="00A762E2">
              <w:t>Credit Suisse’s</w:t>
            </w:r>
            <w:r>
              <w:t xml:space="preserve"> funding costs or limit the availability of funding.</w:t>
            </w:r>
          </w:p>
        </w:tc>
        <w:tc>
          <w:tcPr>
            <w:tcW w:w="2500" w:type="pct"/>
            <w:tcBorders>
              <w:left w:val="single" w:sz="4" w:space="0" w:color="auto"/>
            </w:tcBorders>
            <w:shd w:val="clear" w:color="auto" w:fill="auto"/>
          </w:tcPr>
          <w:p w:rsidR="004668CF" w:rsidRPr="008B0576" w:rsidP="004C1EBA">
            <w:pPr>
              <w:pStyle w:val="CSBody63"/>
              <w:rPr>
                <w:b/>
                <w:lang w:val="de-DE"/>
              </w:rPr>
            </w:pPr>
            <w:r w:rsidRPr="00AC62FD">
              <w:rPr>
                <w:lang w:val="de-CH"/>
              </w:rPr>
              <w:t>In ähnlicher Weise führen kürzlich erlassene und mögliche zukünftige grenzüberschreitende Steuerregulierungen mit extraterritorialer Wirkung, wie etwa der US Foreign Account Tax Compliance Act (das US-Gesetz zur Regelung des US-Steuerreportings ausländischer Finanzinstitute), bilaterale Steuerabkommen, wie sie die Schweiz mit dem Vereinigten Königreich und Österreich abgeschlossen hat, sowie Vereinbarungen über den automatischen Informationsaustausch in Steuersachen, zu detaillierten Berichtspflichten sowie höheren Compliance- und Systemkosten für die Geschäftsbereiche der Credit Suisse. Ausserdem können sich die Umsetzung der Europäischen Marktinfrastrukturverordnung (</w:t>
            </w:r>
            <w:r>
              <w:rPr>
                <w:lang w:val="de-DE"/>
              </w:rPr>
              <w:t>"</w:t>
            </w:r>
            <w:r w:rsidRPr="00AC62FD">
              <w:rPr>
                <w:b/>
                <w:lang w:val="de-DE"/>
              </w:rPr>
              <w:t>EMIR</w:t>
            </w:r>
            <w:r>
              <w:rPr>
                <w:lang w:val="de-DE"/>
              </w:rPr>
              <w:t>"</w:t>
            </w:r>
            <w:r w:rsidRPr="00AC62FD">
              <w:rPr>
                <w:lang w:val="de-DE"/>
              </w:rPr>
              <w:t>), der Eigenkapitalrichtlinie IV und der Eigenkapitalverordnung (</w:t>
            </w:r>
            <w:r>
              <w:rPr>
                <w:lang w:val="de-DE"/>
              </w:rPr>
              <w:t>"</w:t>
            </w:r>
            <w:r w:rsidRPr="00AC62FD">
              <w:rPr>
                <w:b/>
                <w:lang w:val="de-DE"/>
              </w:rPr>
              <w:t>CRD IV</w:t>
            </w:r>
            <w:r>
              <w:rPr>
                <w:lang w:val="de-DE"/>
              </w:rPr>
              <w:t>"</w:t>
            </w:r>
            <w:r w:rsidRPr="00AC62FD">
              <w:rPr>
                <w:lang w:val="de-DE"/>
              </w:rPr>
              <w:t xml:space="preserve">) </w:t>
            </w:r>
            <w:r w:rsidRPr="00AC62FD">
              <w:rPr>
                <w:lang w:val="de-CH"/>
              </w:rPr>
              <w:t xml:space="preserve">und die vorgeschlagenen Änderungen der Richtlinie über Märkte für Finanzinstrumente </w:t>
            </w:r>
            <w:r w:rsidRPr="00AC62FD">
              <w:rPr>
                <w:lang w:val="de-DE"/>
              </w:rPr>
              <w:t>(</w:t>
            </w:r>
            <w:r>
              <w:rPr>
                <w:lang w:val="de-DE"/>
              </w:rPr>
              <w:t>"</w:t>
            </w:r>
            <w:r w:rsidRPr="00AC62FD">
              <w:rPr>
                <w:b/>
                <w:lang w:val="de-DE"/>
              </w:rPr>
              <w:t>MiFID II</w:t>
            </w:r>
            <w:r>
              <w:rPr>
                <w:lang w:val="de-DE"/>
              </w:rPr>
              <w:t>"</w:t>
            </w:r>
            <w:r w:rsidRPr="00AC62FD">
              <w:rPr>
                <w:lang w:val="de-DE"/>
              </w:rPr>
              <w:t xml:space="preserve">) </w:t>
            </w:r>
            <w:r w:rsidRPr="00AC62FD">
              <w:rPr>
                <w:lang w:val="de-CH"/>
              </w:rPr>
              <w:t>negativ auf die Geschäftsaktivitäten der Credit Suisse auswirken. Führt die Schweiz nicht zeitnah gesetzliche Regelungen ein, die als der EMIR und der MiFID II ebenbürtig erachtet werden, könnten Schweizer Banken wie die Credit Suisse in ihrer Beteiligung an von solchen Regelungen betroffenen Geschäften eingeschränkt werden. Schliesslich können neue Vorschriften bezüglich der Verlustabsorptionsfähigkeit (</w:t>
            </w:r>
            <w:r w:rsidRPr="00AC62FD">
              <w:rPr>
                <w:i/>
                <w:lang w:val="de-CH"/>
              </w:rPr>
              <w:t>total loss-absorbing capacity</w:t>
            </w:r>
            <w:r w:rsidRPr="00AC62FD">
              <w:rPr>
                <w:lang w:val="de-CH"/>
              </w:rPr>
              <w:t>) die Finanzierungskosten der Credit Suisse erhöhen oder die Verfügbarkeit von Finanzierungsmitteln einschränken</w:t>
            </w:r>
            <w:r w:rsidRPr="00140246">
              <w:rPr>
                <w:lang w:val="de-CH"/>
              </w:rPr>
              <w: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A762E2">
              <w:t>Credit Suisse</w:t>
            </w:r>
            <w:r w:rsidRPr="0060563B">
              <w:t xml:space="preserve"> expects the financial services industry, including </w:t>
            </w:r>
            <w:r w:rsidRPr="00A762E2">
              <w:t>Credit Suisse</w:t>
            </w:r>
            <w:r w:rsidRPr="0060563B">
              <w:t xml:space="preserve">, to continue to be affected by the significant uncertainty over the scope and content of regulatory reform in </w:t>
            </w:r>
            <w:r>
              <w:t>2015</w:t>
            </w:r>
            <w:r w:rsidRPr="0060563B">
              <w:t xml:space="preserve"> and beyond. Changes in laws, rules or regulations, or in their interpretation or enforcement, or the implementation of new laws, rules or regulations, may adversely affect </w:t>
            </w:r>
            <w:r w:rsidRPr="00A762E2">
              <w:t>Credit Suisse</w:t>
            </w:r>
            <w:r w:rsidRPr="0060563B">
              <w:t>’s results of operations.</w:t>
            </w:r>
          </w:p>
        </w:tc>
        <w:tc>
          <w:tcPr>
            <w:tcW w:w="2500" w:type="pct"/>
            <w:tcBorders>
              <w:left w:val="single" w:sz="4" w:space="0" w:color="auto"/>
            </w:tcBorders>
            <w:shd w:val="clear" w:color="auto" w:fill="auto"/>
          </w:tcPr>
          <w:p w:rsidR="004668CF" w:rsidRPr="008B0576" w:rsidP="004C1EBA">
            <w:pPr>
              <w:pStyle w:val="CSBody63"/>
              <w:rPr>
                <w:b/>
                <w:lang w:val="de-DE"/>
              </w:rPr>
            </w:pPr>
            <w:r w:rsidRPr="00C72686">
              <w:rPr>
                <w:lang w:val="de-CH"/>
              </w:rPr>
              <w:t xml:space="preserve">Die Credit Suisse geht davon aus, dass sie – wie die gesamte Finanzdienstleistungsbranche – auch im Jahr </w:t>
            </w:r>
            <w:r>
              <w:rPr>
                <w:lang w:val="de-CH"/>
              </w:rPr>
              <w:t>2015</w:t>
            </w:r>
            <w:r w:rsidRPr="00C72686">
              <w:rPr>
                <w:lang w:val="de-CH"/>
              </w:rPr>
              <w:t xml:space="preserve"> und darüber hinaus mit einer beträchtlichen Unsicherheit über den Umfang und Inhalt der regulatorischen Reformen zu rechnen ha</w:t>
            </w:r>
            <w:r>
              <w:rPr>
                <w:lang w:val="de-CH"/>
              </w:rPr>
              <w:t>t</w:t>
            </w:r>
            <w:r w:rsidRPr="00C72686">
              <w:rPr>
                <w:lang w:val="de-CH"/>
              </w:rPr>
              <w:t>. Änderungen von Gesetzen, Vorschriften und Regulierungen, von deren Auslegung und Durchsetzung wie auch die Einführung neuer Gesetz</w:t>
            </w:r>
            <w:r>
              <w:rPr>
                <w:lang w:val="de-CH"/>
              </w:rPr>
              <w:t>e</w:t>
            </w:r>
            <w:r w:rsidRPr="00C72686">
              <w:rPr>
                <w:lang w:val="de-CH"/>
              </w:rPr>
              <w:t>, Vorschriften und Regulierungen können sich negativ auf die Geschäftsergebnisse der Credit Suisse auswirken.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60563B">
              <w:t xml:space="preserve">Despite </w:t>
            </w:r>
            <w:r w:rsidRPr="00A762E2">
              <w:t>Credit Suisse</w:t>
            </w:r>
            <w:r w:rsidRPr="0060563B">
              <w:t xml:space="preserve">’s best efforts to comply with applicable regulations, a number of risks remain, particularly in areas where applicable regulations may be unclear or inconsistent among jurisdictions or where regulators revise their previous guidance or courts overturn previous rulings. Authorities in many jurisdictions have the power to bring administrative or judicial proceedings against </w:t>
            </w:r>
            <w:r w:rsidRPr="00A762E2">
              <w:t>Credit Suisse</w:t>
            </w:r>
            <w:r w:rsidRPr="0060563B">
              <w:t xml:space="preserve">, which could result in, among other things, suspension or revocation of its licences, cease and desist orders, fines, civil penalties, criminal penalties or other disciplinary action which could materially adversely affect </w:t>
            </w:r>
            <w:r w:rsidRPr="00A762E2">
              <w:t>Credit Suisse</w:t>
            </w:r>
            <w:r w:rsidRPr="0060563B">
              <w:t>’s results of operations and seriously harm its reputation.</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 xml:space="preserve">Trotz den besten Bemühungen der Credit Suisse um Einhaltung der geltenden Vorschriften bleiben verschiedene Risiken bestehen. Das gilt insbesondere für Bereiche, in denen die geltenden Vorschriften unklar oder in den verschiedenen </w:t>
            </w:r>
            <w:r>
              <w:rPr>
                <w:lang w:val="de-CH"/>
              </w:rPr>
              <w:t>Rechtsordnungen</w:t>
            </w:r>
            <w:r w:rsidRPr="002A6FFA">
              <w:rPr>
                <w:lang w:val="de-CH"/>
              </w:rPr>
              <w:t xml:space="preserve"> uneinheitlich sind, in denen die Aufsichtsbehörden ihre bisherigen Richtlinien überarbeiten oder in denen die Gerichte frühere Urteile revidieren. In vielen Rechtsgebieten sind die Behörden berechtigt, Verwaltungs- und Gerichtsverfahren gegen die Credit Suisse anzustrengen, die unter anderem zur Suspendierung oder dem Widerruf ihrer Konzessionen, zu Unterlassungsverfügungen, Bussen, zivil- oder strafrechtlichen Strafen oder anderen Disziplinarmassnahmen führen könnten, die sich äusserst ungünstig auf das Geschäftsergebnis der Credit Suisse auswirken und ihren Ruf schwerwiegend schädigen könnten.</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60563B">
              <w:t xml:space="preserve">For a description of </w:t>
            </w:r>
            <w:r w:rsidRPr="00A762E2">
              <w:t>Credit Suisse</w:t>
            </w:r>
            <w:r w:rsidRPr="0060563B">
              <w:t xml:space="preserve">’s regulatory regime and a summary of some of the significant regulatory and government reform proposals affecting the financial services industry, refer to </w:t>
            </w:r>
            <w:r>
              <w:t>"</w:t>
            </w:r>
            <w:r w:rsidRPr="00AC62FD">
              <w:rPr>
                <w:i/>
              </w:rPr>
              <w:t>I—Information on the company—Regulation and supervision</w:t>
            </w:r>
            <w:r>
              <w:t>"</w:t>
            </w:r>
            <w:r w:rsidRPr="00AC62FD">
              <w:t xml:space="preserve"> in the Credit Suisse Annual Report 2014. For information regarding Credit Suisse’s current regulatory framework and expected changes to this framework affecting capital and liquidity standards, refer to </w:t>
            </w:r>
            <w:r>
              <w:t>"</w:t>
            </w:r>
            <w:r w:rsidRPr="00AC62FD">
              <w:rPr>
                <w:i/>
              </w:rPr>
              <w:t>III – Treasury, Risk, Balance Sheet and Off-balance sheet – Liquidity and funding management</w:t>
            </w:r>
            <w:r>
              <w:t>"</w:t>
            </w:r>
            <w:r w:rsidRPr="00AC62FD">
              <w:t xml:space="preserve"> and </w:t>
            </w:r>
            <w:r>
              <w:t>"</w:t>
            </w:r>
            <w:r w:rsidRPr="00AC62FD">
              <w:rPr>
                <w:i/>
              </w:rPr>
              <w:t>III — Treasury, Risk, Balance Sheet and Off-balance sheet – Capital management</w:t>
            </w:r>
            <w:r>
              <w:t>"</w:t>
            </w:r>
            <w:r w:rsidRPr="00AC62FD">
              <w:t xml:space="preserve"> in the Credit Suisse Annual Report 2014 and </w:t>
            </w:r>
            <w:r>
              <w:t>"</w:t>
            </w:r>
            <w:r w:rsidRPr="00AC62FD">
              <w:rPr>
                <w:i/>
              </w:rPr>
              <w:t>II — Treasury, Risk, Balance sheet and Off-balance sheet – Liquidity and funding management</w:t>
            </w:r>
            <w:r>
              <w:t xml:space="preserve">" </w:t>
            </w:r>
            <w:r w:rsidRPr="00987F7E">
              <w:t xml:space="preserve">in the Credit Suisse Financial Report </w:t>
            </w:r>
            <w:r>
              <w:t>3</w:t>
            </w:r>
            <w:r w:rsidRPr="007B5E25">
              <w:t>Q1</w:t>
            </w:r>
            <w:r>
              <w:t>5</w:t>
            </w:r>
            <w:r w:rsidRPr="007B5E25">
              <w:t>.</w:t>
            </w:r>
          </w:p>
        </w:tc>
        <w:tc>
          <w:tcPr>
            <w:tcW w:w="2500" w:type="pct"/>
            <w:tcBorders>
              <w:left w:val="single" w:sz="4" w:space="0" w:color="auto"/>
            </w:tcBorders>
            <w:shd w:val="clear" w:color="auto" w:fill="auto"/>
          </w:tcPr>
          <w:p w:rsidR="004668CF" w:rsidRPr="008B0576" w:rsidP="004C1EBA">
            <w:pPr>
              <w:pStyle w:val="CSBody63"/>
              <w:rPr>
                <w:b/>
                <w:lang w:val="de-DE"/>
              </w:rPr>
            </w:pPr>
            <w:r w:rsidRPr="00AC62FD">
              <w:rPr>
                <w:lang w:val="de-CH"/>
              </w:rPr>
              <w:t>Eine Beschreibung des regulatorischen Systems, dem die Credit Suisse unterliegt, und eine Zusammen</w:t>
            </w:r>
            <w:r w:rsidRPr="00AC62FD">
              <w:rPr>
                <w:lang w:val="de-CH"/>
              </w:rPr>
              <w:softHyphen/>
              <w:t>fassung einiger der bedeutenden regulatorischen und gesetzgeberischen Reformvorschläge für die Finanz</w:t>
            </w:r>
            <w:r w:rsidRPr="00AC62FD">
              <w:rPr>
                <w:lang w:val="de-CH"/>
              </w:rPr>
              <w:softHyphen/>
              <w:t xml:space="preserve">industrie finden sich in Abschnitt </w:t>
            </w:r>
            <w:r>
              <w:rPr>
                <w:lang w:val="de-CH"/>
              </w:rPr>
              <w:t>"</w:t>
            </w:r>
            <w:r w:rsidRPr="00AC62FD">
              <w:rPr>
                <w:i/>
                <w:lang w:val="de-CH"/>
              </w:rPr>
              <w:t>I—Informationen zum Unternehmen—Gesetzgebung und Aufsichtsbehörden</w:t>
            </w:r>
            <w:r>
              <w:rPr>
                <w:lang w:val="de-CH"/>
              </w:rPr>
              <w:t>"</w:t>
            </w:r>
            <w:r w:rsidRPr="00AC62FD">
              <w:rPr>
                <w:lang w:val="de-CH"/>
              </w:rPr>
              <w:t xml:space="preserve"> des Geschäftsberichts der Credit Suisse für das Jahr 2014. In </w:t>
            </w:r>
            <w:r>
              <w:rPr>
                <w:lang w:val="de-CH"/>
              </w:rPr>
              <w:t>"</w:t>
            </w:r>
            <w:r w:rsidRPr="00AC62FD">
              <w:rPr>
                <w:i/>
                <w:lang w:val="de-CH"/>
              </w:rPr>
              <w:t>III — Treasury, Risiko, Bilanz und Ausserbilanz – Management von Liquidität und Refinanzierung</w:t>
            </w:r>
            <w:r>
              <w:rPr>
                <w:lang w:val="de-CH"/>
              </w:rPr>
              <w:t>"</w:t>
            </w:r>
            <w:r w:rsidRPr="00AC62FD">
              <w:rPr>
                <w:lang w:val="de-CH"/>
              </w:rPr>
              <w:t xml:space="preserve"> und </w:t>
            </w:r>
            <w:r>
              <w:rPr>
                <w:lang w:val="de-CH"/>
              </w:rPr>
              <w:t>"</w:t>
            </w:r>
            <w:r w:rsidRPr="00AC62FD">
              <w:rPr>
                <w:i/>
                <w:lang w:val="de-CH"/>
              </w:rPr>
              <w:t>III — Treasury, Risiko, Bilanz und Ausserbilanz – Kapitalbewirtschaftung</w:t>
            </w:r>
            <w:r>
              <w:rPr>
                <w:lang w:val="de-CH"/>
              </w:rPr>
              <w:t>"</w:t>
            </w:r>
            <w:r w:rsidRPr="00AC62FD">
              <w:rPr>
                <w:lang w:val="de-CH"/>
              </w:rPr>
              <w:t xml:space="preserve"> des Geschäftsberichts der Credit Suisse für das Jahr 2014 sowie in </w:t>
            </w:r>
            <w:r>
              <w:rPr>
                <w:lang w:val="de-CH"/>
              </w:rPr>
              <w:t>"</w:t>
            </w:r>
            <w:r w:rsidRPr="00AC62FD">
              <w:rPr>
                <w:i/>
                <w:lang w:val="de-CH"/>
              </w:rPr>
              <w:t xml:space="preserve">II — Treasury, Risiko, Bilanz und Ausserbilanz — </w:t>
            </w:r>
            <w:r w:rsidRPr="00AC62FD">
              <w:rPr>
                <w:i/>
                <w:lang w:val="de-DE"/>
              </w:rPr>
              <w:t>Management von Liquidität und Refinanzierung</w:t>
            </w:r>
            <w:r>
              <w:rPr>
                <w:lang w:val="de-CH"/>
              </w:rPr>
              <w:t xml:space="preserve">" </w:t>
            </w:r>
            <w:r w:rsidRPr="00AC62FD">
              <w:rPr>
                <w:lang w:val="de-CH"/>
              </w:rPr>
              <w:t xml:space="preserve">des Finanzberichts </w:t>
            </w:r>
            <w:r>
              <w:rPr>
                <w:lang w:val="de-CH"/>
              </w:rPr>
              <w:t>3</w:t>
            </w:r>
            <w:r w:rsidRPr="00AC62FD">
              <w:rPr>
                <w:lang w:val="de-CH"/>
              </w:rPr>
              <w:t xml:space="preserve">Q15 der Credit Suisse finden sich </w:t>
            </w:r>
            <w:r w:rsidRPr="00AC62FD">
              <w:rPr>
                <w:lang w:val="de-DE"/>
              </w:rPr>
              <w:t>Informationen über den derzeit für die Credit Suisse geltenden regulatorischen Rahmen und erwartete Änderungen dieses Rahmens, die sich auf die Kapital- und Liquiditätsstandards auswirken</w:t>
            </w:r>
            <w:r w:rsidRPr="007B5E25">
              <w:rPr>
                <w:lang w:val="de-CH"/>
              </w:rPr>
              <w:t>.</w:t>
            </w:r>
          </w:p>
        </w:tc>
      </w:tr>
      <w:tr w:rsidTr="004668CF">
        <w:tblPrEx>
          <w:tblW w:w="5000" w:type="pct"/>
          <w:tblLook w:val="00A0"/>
        </w:tblPrEx>
        <w:tc>
          <w:tcPr>
            <w:tcW w:w="2500" w:type="pct"/>
            <w:tcBorders>
              <w:right w:val="single" w:sz="4" w:space="0" w:color="auto"/>
            </w:tcBorders>
          </w:tcPr>
          <w:p w:rsidR="004668CF" w:rsidP="004C1EBA">
            <w:pPr>
              <w:pStyle w:val="CSBody63"/>
              <w:keepNext/>
            </w:pPr>
            <w:r w:rsidRPr="008F0441">
              <w:rPr>
                <w:b/>
              </w:rPr>
              <w:t>Swiss resolution proceedings may affect CSG’s shareholders and creditors</w:t>
            </w:r>
            <w:r>
              <w:rPr>
                <w:b/>
              </w:rPr>
              <w:t xml:space="preserve"> </w:t>
            </w:r>
          </w:p>
        </w:tc>
        <w:tc>
          <w:tcPr>
            <w:tcW w:w="2500" w:type="pct"/>
            <w:tcBorders>
              <w:left w:val="single" w:sz="4" w:space="0" w:color="auto"/>
            </w:tcBorders>
            <w:shd w:val="clear" w:color="auto" w:fill="auto"/>
          </w:tcPr>
          <w:p w:rsidR="004668CF" w:rsidRPr="00AC62FD" w:rsidP="004C1EBA">
            <w:pPr>
              <w:pStyle w:val="CSBody63"/>
              <w:rPr>
                <w:lang w:val="de-DE"/>
              </w:rPr>
            </w:pPr>
            <w:r w:rsidRPr="00AC62FD">
              <w:rPr>
                <w:b/>
                <w:lang w:val="de-DE"/>
              </w:rPr>
              <w:t xml:space="preserve">Schweizer Sanierungs- und Abwicklungsverfahren können Auswirkungen auf die Aktionäre und Gläubiger der </w:t>
            </w:r>
            <w:r>
              <w:rPr>
                <w:b/>
                <w:lang w:val="de-DE"/>
              </w:rPr>
              <w:t>CSG</w:t>
            </w:r>
            <w:r w:rsidRPr="00AC62FD">
              <w:rPr>
                <w:b/>
                <w:lang w:val="de-DE"/>
              </w:rPr>
              <w:t xml:space="preserve"> haben</w:t>
            </w:r>
          </w:p>
        </w:tc>
      </w:tr>
      <w:tr w:rsidTr="004668CF">
        <w:tblPrEx>
          <w:tblW w:w="5000" w:type="pct"/>
          <w:tblLook w:val="00A0"/>
        </w:tblPrEx>
        <w:tc>
          <w:tcPr>
            <w:tcW w:w="2500" w:type="pct"/>
            <w:tcBorders>
              <w:right w:val="single" w:sz="4" w:space="0" w:color="auto"/>
            </w:tcBorders>
          </w:tcPr>
          <w:p w:rsidR="004668CF" w:rsidRPr="0060563B" w:rsidP="004C1EBA">
            <w:pPr>
              <w:pStyle w:val="CSBody63"/>
            </w:pPr>
            <w:r>
              <w:t xml:space="preserve">Once the amendments to the Swiss banking laws become effective on 1 January 2016, the Swiss bank resolution regime that currently applies to Credit Suisse will apply to CSG, which means that FINMA will be able to exercise its resolution powers thereunder to, among other things, cancel CSG’s outstanding equity, convert debt instruments and other liabilities of CSG into equity and cancel such liabilities in whole or in part in restructuring proceedings. For a description of the resolution regime under Swiss banking laws and regulations as it currently applies to Credit Suisse and the various restructuring tools available to FINMA, see </w:t>
            </w:r>
            <w:r w:rsidRPr="00AC62FD">
              <w:rPr>
                <w:i/>
              </w:rPr>
              <w:t>-Recent regulatory developments and proposals–Switzerland</w:t>
            </w:r>
            <w:r>
              <w:t xml:space="preserve">" and </w:t>
            </w:r>
            <w:r w:rsidR="003B00F3">
              <w:t>"</w:t>
            </w:r>
            <w:r w:rsidRPr="00CF7916">
              <w:t>–</w:t>
            </w:r>
            <w:r w:rsidRPr="005C5842">
              <w:rPr>
                <w:i/>
              </w:rPr>
              <w:t>Regulatory framework</w:t>
            </w:r>
            <w:r w:rsidRPr="00CF7916">
              <w:t>–</w:t>
            </w:r>
            <w:r w:rsidRPr="005C5842">
              <w:rPr>
                <w:i/>
              </w:rPr>
              <w:t>Switzerland</w:t>
            </w:r>
            <w:r w:rsidRPr="00CF7916">
              <w:t>–</w:t>
            </w:r>
            <w:r w:rsidRPr="005C5842">
              <w:rPr>
                <w:i/>
              </w:rPr>
              <w:t>Resolution regime</w:t>
            </w:r>
            <w:r w:rsidR="00BF7214">
              <w:t>"</w:t>
            </w:r>
            <w:r>
              <w:t xml:space="preserve"> under </w:t>
            </w:r>
            <w:r w:rsidR="003B00F3">
              <w:t>"</w:t>
            </w:r>
            <w:r w:rsidRPr="005C5842">
              <w:rPr>
                <w:i/>
              </w:rPr>
              <w:t>I–Information on the company–Regulation</w:t>
            </w:r>
            <w:r>
              <w:t xml:space="preserve"> </w:t>
            </w:r>
            <w:r w:rsidRPr="00AC62FD">
              <w:rPr>
                <w:i/>
              </w:rPr>
              <w:t>and supervision</w:t>
            </w:r>
            <w:r>
              <w:t>"</w:t>
            </w:r>
            <w:r w:rsidRPr="00AC62FD">
              <w:t xml:space="preserve"> </w:t>
            </w:r>
            <w:r>
              <w:t>in the Credit Suisse Annual Report 2014.</w:t>
            </w:r>
          </w:p>
        </w:tc>
        <w:tc>
          <w:tcPr>
            <w:tcW w:w="2500" w:type="pct"/>
            <w:tcBorders>
              <w:left w:val="single" w:sz="4" w:space="0" w:color="auto"/>
            </w:tcBorders>
            <w:shd w:val="clear" w:color="auto" w:fill="auto"/>
          </w:tcPr>
          <w:p w:rsidR="004668CF" w:rsidRPr="00AC62FD" w:rsidP="004C1EBA">
            <w:pPr>
              <w:pStyle w:val="CSBody63"/>
              <w:rPr>
                <w:lang w:val="de-DE"/>
              </w:rPr>
            </w:pPr>
            <w:r>
              <w:rPr>
                <w:lang w:val="de-DE"/>
              </w:rPr>
              <w:t>Sobald die Änderungen zu den</w:t>
            </w:r>
            <w:r w:rsidRPr="00AC62FD">
              <w:rPr>
                <w:lang w:val="de-DE"/>
              </w:rPr>
              <w:t xml:space="preserve"> Schweizer Bankengesetze</w:t>
            </w:r>
            <w:r>
              <w:rPr>
                <w:lang w:val="de-DE"/>
              </w:rPr>
              <w:t>n am 1. Januar 2016 wirksam werden,</w:t>
            </w:r>
            <w:r w:rsidRPr="00AC62FD">
              <w:rPr>
                <w:lang w:val="de-DE"/>
              </w:rPr>
              <w:t xml:space="preserve"> </w:t>
            </w:r>
            <w:r>
              <w:rPr>
                <w:lang w:val="de-DE"/>
              </w:rPr>
              <w:t>werden</w:t>
            </w:r>
            <w:r w:rsidRPr="00AC62FD">
              <w:rPr>
                <w:lang w:val="de-DE"/>
              </w:rPr>
              <w:t xml:space="preserve"> die derzeit für die Credit Suisse geltenden Sanierungs- und Abwicklungsverfahren</w:t>
            </w:r>
            <w:r>
              <w:rPr>
                <w:lang w:val="de-DE"/>
              </w:rPr>
              <w:t xml:space="preserve"> betreffend Schweizer Banken</w:t>
            </w:r>
            <w:r w:rsidRPr="00AC62FD">
              <w:rPr>
                <w:lang w:val="de-DE"/>
              </w:rPr>
              <w:t xml:space="preserve"> für die CSG gelten, </w:t>
            </w:r>
            <w:r>
              <w:rPr>
                <w:lang w:val="de-DE"/>
              </w:rPr>
              <w:t xml:space="preserve">was bedeutet, dass </w:t>
            </w:r>
            <w:r w:rsidRPr="00AC62FD">
              <w:rPr>
                <w:lang w:val="de-DE"/>
              </w:rPr>
              <w:t>die FINMA aufgrund ihrer Sanierungs- und Abwicklungsbefugnisse im Rahmen eines Sanierungsverfahrens unter anderem ausstehende Aktien der CSG herabsetzen, Schuldinstrumente und andere Schuldtitel der CSG in Eigenkapital umwandeln sowie diese Schuldtitel vollständig oder teilweise herabsetzen</w:t>
            </w:r>
            <w:r>
              <w:rPr>
                <w:lang w:val="de-DE"/>
              </w:rPr>
              <w:t xml:space="preserve"> wird</w:t>
            </w:r>
            <w:r w:rsidRPr="00AC62FD">
              <w:rPr>
                <w:lang w:val="de-DE"/>
              </w:rPr>
              <w:t xml:space="preserve">. Eine Beschreibung des auf die Credit Suisse </w:t>
            </w:r>
            <w:r>
              <w:rPr>
                <w:lang w:val="de-DE"/>
              </w:rPr>
              <w:t xml:space="preserve">aktuell </w:t>
            </w:r>
            <w:r w:rsidRPr="00AC62FD">
              <w:rPr>
                <w:lang w:val="de-DE"/>
              </w:rPr>
              <w:t>anwendbaren Sanierungs- und Abwicklungsverfahrens gemäss Schweizer Bankengesetzen</w:t>
            </w:r>
            <w:r>
              <w:rPr>
                <w:lang w:val="de-DE"/>
              </w:rPr>
              <w:t xml:space="preserve"> und Vorschriften</w:t>
            </w:r>
            <w:r w:rsidRPr="00AC62FD">
              <w:rPr>
                <w:lang w:val="de-DE"/>
              </w:rPr>
              <w:t xml:space="preserve"> </w:t>
            </w:r>
            <w:r>
              <w:rPr>
                <w:lang w:val="de-DE"/>
              </w:rPr>
              <w:t xml:space="preserve">sowie der verschiedenen Restrukturieungsinstrumente der FINMA </w:t>
            </w:r>
            <w:r w:rsidRPr="00AC62FD">
              <w:rPr>
                <w:lang w:val="de-DE"/>
              </w:rPr>
              <w:t xml:space="preserve">findet sich in </w:t>
            </w:r>
            <w:r w:rsidRPr="00AC62FD">
              <w:rPr>
                <w:i/>
                <w:lang w:val="de-DE"/>
              </w:rPr>
              <w:t>Jüngste regulatorische Entwicklungen und Vorschläge – Schweiz</w:t>
            </w:r>
            <w:r>
              <w:rPr>
                <w:lang w:val="de-DE"/>
              </w:rPr>
              <w:t>"</w:t>
            </w:r>
            <w:r w:rsidRPr="00AC62FD">
              <w:rPr>
                <w:lang w:val="de-DE"/>
              </w:rPr>
              <w:t xml:space="preserve"> und </w:t>
            </w:r>
            <w:r>
              <w:rPr>
                <w:lang w:val="de-DE"/>
              </w:rPr>
              <w:t>"</w:t>
            </w:r>
            <w:r w:rsidRPr="00AC62FD">
              <w:rPr>
                <w:i/>
                <w:lang w:val="de-DE"/>
              </w:rPr>
              <w:t> Regulatorischer Rahmen – Schweiz – Insolvenzregime</w:t>
            </w:r>
            <w:r>
              <w:rPr>
                <w:lang w:val="de-DE"/>
              </w:rPr>
              <w:t>"</w:t>
            </w:r>
            <w:r w:rsidRPr="00AC62FD">
              <w:rPr>
                <w:lang w:val="de-DE"/>
              </w:rPr>
              <w:t xml:space="preserve"> im Abschnitt </w:t>
            </w:r>
            <w:r>
              <w:rPr>
                <w:lang w:val="de-DE"/>
              </w:rPr>
              <w:t>"I</w:t>
            </w:r>
            <w:r w:rsidRPr="00D754A8">
              <w:rPr>
                <w:lang w:val="de-DE"/>
              </w:rPr>
              <w:t>—</w:t>
            </w:r>
            <w:r>
              <w:rPr>
                <w:lang w:val="de-DE"/>
              </w:rPr>
              <w:t>Informationen zur Unternehmensregulierung und Aufsicht"</w:t>
            </w:r>
            <w:r w:rsidRPr="00AC62FD">
              <w:rPr>
                <w:lang w:val="de-DE"/>
              </w:rPr>
              <w:t xml:space="preserve"> des Geschäftsberichts der Credit Suisse für das Jahr 2014</w:t>
            </w:r>
            <w:r>
              <w:rPr>
                <w:lang w:val="de-DE"/>
              </w:rPr>
              <w:t>.</w:t>
            </w:r>
          </w:p>
        </w:tc>
      </w:tr>
      <w:tr w:rsidTr="004668CF">
        <w:tblPrEx>
          <w:tblW w:w="5000" w:type="pct"/>
          <w:tblLook w:val="00A0"/>
        </w:tblPrEx>
        <w:tc>
          <w:tcPr>
            <w:tcW w:w="2500" w:type="pct"/>
            <w:tcBorders>
              <w:right w:val="single" w:sz="4" w:space="0" w:color="auto"/>
            </w:tcBorders>
          </w:tcPr>
          <w:p w:rsidR="004668CF" w:rsidRPr="008B0576" w:rsidP="004C1EBA">
            <w:pPr>
              <w:pStyle w:val="CSBody63"/>
              <w:keepNext/>
              <w:rPr>
                <w:b/>
              </w:rPr>
            </w:pPr>
            <w:r w:rsidRPr="00493C58">
              <w:rPr>
                <w:b/>
              </w:rPr>
              <w:t>Changes in monetary policy are beyond Credit Suisse's control and difficult to predict</w:t>
            </w:r>
          </w:p>
        </w:tc>
        <w:tc>
          <w:tcPr>
            <w:tcW w:w="2500" w:type="pct"/>
            <w:tcBorders>
              <w:left w:val="single" w:sz="4" w:space="0" w:color="auto"/>
            </w:tcBorders>
            <w:shd w:val="clear" w:color="auto" w:fill="auto"/>
          </w:tcPr>
          <w:p w:rsidR="004668CF" w:rsidRPr="008B0576" w:rsidP="004C1EBA">
            <w:pPr>
              <w:pStyle w:val="CSBody63"/>
              <w:keepNext/>
              <w:rPr>
                <w:b/>
                <w:lang w:val="de-DE"/>
              </w:rPr>
            </w:pPr>
            <w:r w:rsidRPr="002A6FFA">
              <w:rPr>
                <w:b/>
                <w:lang w:val="de-CH"/>
              </w:rPr>
              <w:t>Geldpolitische Änderungen entziehen sich der Kontrolle der Credit Suisse und lassen sich kaum voraussagen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60563B">
              <w:t>Credit Suisse</w:t>
            </w:r>
            <w:r w:rsidRPr="00493C58">
              <w:t xml:space="preserve"> is affected by the monetary policies adopted by the central banks and regulatory authorities of Switzerland, the United States and other countries. The actions of the </w:t>
            </w:r>
            <w:r>
              <w:t>SNB</w:t>
            </w:r>
            <w:r w:rsidRPr="00493C58">
              <w:t xml:space="preserve"> and other central banking authorities directly impact </w:t>
            </w:r>
            <w:r w:rsidRPr="0060563B">
              <w:t>Credit Suisse</w:t>
            </w:r>
            <w:r w:rsidRPr="00493C58">
              <w:t xml:space="preserve">’s cost of funds for lending, capital raising and investment activities and may impact the value of financial instruments </w:t>
            </w:r>
            <w:r w:rsidRPr="0060563B">
              <w:t>Credit Suisse</w:t>
            </w:r>
            <w:r w:rsidRPr="00493C58">
              <w:t xml:space="preserve"> holds and the competitive and operating environment for the financial services industry. Many central banks have implemented significant changes to their monetary policy. </w:t>
            </w:r>
            <w:r w:rsidRPr="0060563B">
              <w:t>Credit Suisse</w:t>
            </w:r>
            <w:r w:rsidRPr="00493C58">
              <w:t xml:space="preserve"> cannot predict whether these changes will have a material adverse effect on it or its operations. In addition, changes in monetary policy may affect the credit quality of its customers. Any changes in monetary policy are beyond </w:t>
            </w:r>
            <w:r w:rsidRPr="0060563B">
              <w:t>Credit Suisse</w:t>
            </w:r>
            <w:r w:rsidRPr="00493C58">
              <w:t>’s control and difficult to predict.</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Die Geldpolitik der Zentralbanken und Aufsichts</w:t>
            </w:r>
            <w:r w:rsidRPr="002A6FFA">
              <w:rPr>
                <w:lang w:val="de-CH"/>
              </w:rPr>
              <w:softHyphen/>
              <w:t xml:space="preserve">behörden in der Schweiz, den USA und weiteren Ländern beeinflussen die Arbeit der Credit Suisse. Die Massnahmen der </w:t>
            </w:r>
            <w:r w:rsidRPr="00AC62FD">
              <w:rPr>
                <w:lang w:val="de-CH"/>
              </w:rPr>
              <w:t>SNB</w:t>
            </w:r>
            <w:r w:rsidRPr="002A6FFA">
              <w:rPr>
                <w:lang w:val="de-CH"/>
              </w:rPr>
              <w:t xml:space="preserve"> und anderer Zentralbanken schlagen sich direkt in den Kapital</w:t>
            </w:r>
            <w:r w:rsidRPr="002A6FFA">
              <w:rPr>
                <w:lang w:val="de-CH"/>
              </w:rPr>
              <w:softHyphen/>
              <w:t>kosten der Credit Suisse für Mittel zur Kredit</w:t>
            </w:r>
            <w:r w:rsidRPr="002A6FFA">
              <w:rPr>
                <w:lang w:val="de-CH"/>
              </w:rPr>
              <w:softHyphen/>
              <w:t>gewährung, für die Kapitalbeschaffung, sowie für Anlagen nieder. Zudem können sie den Wert von Finanzinstrumenten im Besitz der Credit Suisse sowie das Wettbewerbs- und Betriebsumfeld in der Finanz</w:t>
            </w:r>
            <w:r w:rsidRPr="002A6FFA">
              <w:rPr>
                <w:lang w:val="de-CH"/>
              </w:rPr>
              <w:softHyphen/>
              <w:t>dienstleistungsbranche beeinflussen. Viele Zentralbanken haben ihre Geldpolitik in wesentlichen Aspekten umgestellt. Die Credit Suisse kann nicht vorhersagen, ob diese Änderungen sie oder ihre Geschäftstätigkeit erheblich beeinträchtigen werden. Änderungen der Geldpolitik üben möglicherweise auch einen Einfluss auf die Bonität ihrer Kunden aus. Sämtliche geldpolitischen Änderungen entziehen sich der Kontrolle der Credit Suisse und lassen sich kaum vorhersagen.</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493C58">
              <w:rPr>
                <w:b/>
                <w:iCs/>
              </w:rPr>
              <w:t>Legal restrictions on its clients may reduce the demand for Credit Suisse’s services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Rechtliche Einschränkungen bei ihren Kunden könnten die Nachfrage nach Dienstleistungen der Credit Suisse reduzieren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60563B">
              <w:t>Credit Suisse</w:t>
            </w:r>
            <w:r w:rsidRPr="00493C58">
              <w:t xml:space="preserve"> may be materially affected not only by regulations applicable to it as a financial services company, but also by regulations and changes in enforcement practices</w:t>
            </w:r>
            <w:r>
              <w:t xml:space="preserve"> </w:t>
            </w:r>
            <w:r w:rsidRPr="00036EC2">
              <w:t xml:space="preserve">applicable to </w:t>
            </w:r>
            <w:r>
              <w:t>its</w:t>
            </w:r>
            <w:r w:rsidRPr="00036EC2">
              <w:t xml:space="preserve"> clients</w:t>
            </w:r>
            <w:r w:rsidRPr="00493C58">
              <w:t xml:space="preserve">. </w:t>
            </w:r>
            <w:r w:rsidRPr="0060563B">
              <w:t>Credit Suisse</w:t>
            </w:r>
            <w:r w:rsidRPr="00493C58">
              <w:t xml:space="preserve">’s business could be affected by, among other things, existing and proposed tax legislation, antitrust and competition policies, corporate governance initiatives and other governmental regulations and policies and changes in the interpretation or enforcement of existing laws and rules that affect business and the financial markets. For example, focus on tax compliance and changes in enforcement practices could lead to </w:t>
            </w:r>
            <w:r>
              <w:t xml:space="preserve">further </w:t>
            </w:r>
            <w:r w:rsidRPr="00493C58">
              <w:t xml:space="preserve">asset outflows from </w:t>
            </w:r>
            <w:r w:rsidRPr="0060563B">
              <w:t>Credit Suisse</w:t>
            </w:r>
            <w:r w:rsidRPr="00493C58">
              <w:t>’s Wealth Management Clients business.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 xml:space="preserve">Die Credit Suisse könnte nicht nur durch Vorschriften, denen sie als Finanzdienstleistungsunternehmen untersteht, erheblich beeinträchtigt werden, sondern auch durch Vorschriften sowie </w:t>
            </w:r>
            <w:r w:rsidRPr="00C72686">
              <w:rPr>
                <w:lang w:val="de-CH"/>
              </w:rPr>
              <w:t xml:space="preserve">durch </w:t>
            </w:r>
            <w:r w:rsidRPr="002A6FFA">
              <w:rPr>
                <w:lang w:val="de-CH"/>
              </w:rPr>
              <w:t xml:space="preserve">Änderungen bei der </w:t>
            </w:r>
            <w:r w:rsidRPr="00C72686">
              <w:rPr>
                <w:lang w:val="de-CH"/>
              </w:rPr>
              <w:t>Vollzugs</w:t>
            </w:r>
            <w:r w:rsidRPr="002A6FFA">
              <w:rPr>
                <w:lang w:val="de-CH"/>
              </w:rPr>
              <w:t>pra</w:t>
            </w:r>
            <w:r w:rsidRPr="00C72686">
              <w:rPr>
                <w:lang w:val="de-CH"/>
              </w:rPr>
              <w:t>xis</w:t>
            </w:r>
            <w:r>
              <w:rPr>
                <w:lang w:val="de-CH"/>
              </w:rPr>
              <w:t>, die ihre Kunden betreffen</w:t>
            </w:r>
            <w:r w:rsidRPr="002A6FFA">
              <w:rPr>
                <w:lang w:val="de-CH"/>
              </w:rPr>
              <w:t xml:space="preserve">. Die Geschäfte der Credit Suisse könnten unter anderem durch bestehende und vorgeschlagene Steuergesetze, Kartell- und Wettbewerbsrichtlinien, Corporate-Governance-Initiativen und andere staatliche Vorschriften oder Richtlinien beeinträchtigt werden oder durch Änderungen in der Auslegung oder Durchsetzung bestehender Gesetze und Vorschriften, die sich auf die Geschäfte und die Finanzmärkte auswirken. </w:t>
            </w:r>
            <w:r w:rsidRPr="00AC62FD">
              <w:rPr>
                <w:rFonts w:eastAsia="Calibri"/>
                <w:lang w:val="de-CH" w:eastAsia="en-US"/>
              </w:rPr>
              <w:t>Beispielsweise könnten die Ausrichtung auf die Steuergesetzeskonformität und Änderungen in der Vollzugspraxis zu weiteren Mittelabflüssen aus dem Bereich Wealth Management Clients der Credit Suisse führen</w:t>
            </w:r>
            <w:r w:rsidRPr="00C72686">
              <w:rPr>
                <w:rFonts w:eastAsia="Calibri"/>
                <w:lang w:val="de-CH" w:eastAsia="en-US"/>
              </w:rPr>
              <w:t>.</w:t>
            </w:r>
            <w:r>
              <w:rPr>
                <w:rFonts w:eastAsia="Calibri"/>
                <w:lang w:val="de-CH" w:eastAsia="en-US"/>
              </w:rPr>
              <w:t xml:space="preserve"> </w:t>
            </w:r>
          </w:p>
        </w:tc>
      </w:tr>
      <w:tr w:rsidTr="004668CF">
        <w:tblPrEx>
          <w:tblW w:w="5000" w:type="pct"/>
          <w:tblLook w:val="00A0"/>
        </w:tblPrEx>
        <w:tc>
          <w:tcPr>
            <w:tcW w:w="2500" w:type="pct"/>
            <w:tcBorders>
              <w:right w:val="single" w:sz="4" w:space="0" w:color="auto"/>
            </w:tcBorders>
          </w:tcPr>
          <w:p w:rsidR="004668CF" w:rsidRPr="008B0576" w:rsidP="004668CF">
            <w:pPr>
              <w:pStyle w:val="CSNum1EN"/>
              <w:numPr>
                <w:ilvl w:val="1"/>
                <w:numId w:val="21"/>
              </w:numPr>
              <w:rPr>
                <w:lang w:val="de-DE"/>
              </w:rPr>
            </w:pPr>
            <w:r w:rsidRPr="008B0576">
              <w:rPr>
                <w:bCs/>
                <w:iCs/>
              </w:rPr>
              <w:t>Competition</w:t>
            </w:r>
          </w:p>
        </w:tc>
        <w:tc>
          <w:tcPr>
            <w:tcW w:w="2500" w:type="pct"/>
            <w:tcBorders>
              <w:left w:val="single" w:sz="4" w:space="0" w:color="auto"/>
            </w:tcBorders>
            <w:shd w:val="clear" w:color="auto" w:fill="auto"/>
          </w:tcPr>
          <w:p w:rsidR="004668CF" w:rsidRPr="008B0576" w:rsidP="004668CF">
            <w:pPr>
              <w:pStyle w:val="CSNum1DE"/>
              <w:numPr>
                <w:ilvl w:val="0"/>
                <w:numId w:val="17"/>
              </w:numPr>
              <w:ind w:left="357" w:hanging="357"/>
              <w:rPr>
                <w:lang w:val="de-DE"/>
              </w:rPr>
            </w:pPr>
            <w:r w:rsidRPr="008B0576">
              <w:rPr>
                <w:lang w:val="de-CH"/>
              </w:rPr>
              <w:t>Wettbewerb</w:t>
            </w:r>
          </w:p>
        </w:tc>
      </w:tr>
      <w:tr w:rsidTr="004668CF">
        <w:tblPrEx>
          <w:tblW w:w="5000" w:type="pct"/>
          <w:tblLook w:val="00A0"/>
        </w:tblPrEx>
        <w:tc>
          <w:tcPr>
            <w:tcW w:w="2500" w:type="pct"/>
            <w:tcBorders>
              <w:right w:val="single" w:sz="4" w:space="0" w:color="auto"/>
            </w:tcBorders>
          </w:tcPr>
          <w:p w:rsidR="004668CF" w:rsidRPr="00BB46EF" w:rsidP="004C1EBA">
            <w:pPr>
              <w:pStyle w:val="CSBody63"/>
              <w:rPr>
                <w:b/>
                <w:lang w:val="fr-FR"/>
              </w:rPr>
            </w:pPr>
            <w:r w:rsidRPr="00493C58">
              <w:rPr>
                <w:b/>
                <w:lang w:val="fr-CH"/>
              </w:rPr>
              <w:t>Credit Suisse</w:t>
            </w:r>
            <w:r w:rsidRPr="00493C58">
              <w:rPr>
                <w:rFonts w:cs="Dutch801BT-BoldItalic"/>
                <w:b/>
                <w:iCs/>
                <w:lang w:val="fr-CH"/>
              </w:rPr>
              <w:t xml:space="preserve"> faces intense competition</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Die Credit Suisse steht in heftigem Konkurrenzdruck</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60563B">
              <w:t>Credit Suisse</w:t>
            </w:r>
            <w:r w:rsidRPr="00493C58">
              <w:t xml:space="preserve"> faces intense competition in all financial services markets and for the products and services it offers. Consolidation, through mergers</w:t>
            </w:r>
            <w:r>
              <w:t>,</w:t>
            </w:r>
            <w:r w:rsidRPr="00493C58">
              <w:t xml:space="preserve"> acquisitions, alliances and cooperation, including as a result of financial distress, </w:t>
            </w:r>
            <w:r>
              <w:t>has</w:t>
            </w:r>
            <w:r w:rsidRPr="00493C58">
              <w:t xml:space="preserve"> </w:t>
            </w:r>
            <w:r>
              <w:t>increased</w:t>
            </w:r>
            <w:r w:rsidRPr="00493C58">
              <w:t xml:space="preserve"> competitive pressures. Competition is based on many factors, including the products and services offered, pricing, distribution systems, customer service, brand recognition, perceived financial strength and the willingness to use capital to serve client needs. Consolidation has created a number of firms that, like </w:t>
            </w:r>
            <w:r w:rsidRPr="0060563B">
              <w:t>Credit Suisse</w:t>
            </w:r>
            <w:r w:rsidRPr="00493C58">
              <w:t xml:space="preserve">, have the ability to offer a wide range of products, from loans and deposit-taking to brokerage, investment banking and asset management services. Some of these firms may be able to offer a broader range of products than </w:t>
            </w:r>
            <w:r w:rsidRPr="0060563B">
              <w:t>Credit Suisse</w:t>
            </w:r>
            <w:r w:rsidRPr="00493C58">
              <w:t xml:space="preserve"> does, or offer such products at more competitive prices. Current market conditions have resulted in significant changes in the competitive landscape in </w:t>
            </w:r>
            <w:r w:rsidRPr="0060563B">
              <w:t>Credit Suisse</w:t>
            </w:r>
            <w:r w:rsidRPr="00493C58">
              <w:t xml:space="preserve">’s industry as many institutions have merged, altered the scope of their business, declared bankruptcy, received government assistance or changed their regulatory status, which will affect how they conduct their business. In addition, current market conditions have had a fundamental impact on client demand for products and services. </w:t>
            </w:r>
            <w:r>
              <w:t>Credit Suisse</w:t>
            </w:r>
            <w:r w:rsidRPr="00493C58">
              <w:t xml:space="preserve"> can give no assurance that its results of operations will not be adversely affected.</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Die Credit Suisse ist in allen Finanzdienst</w:t>
            </w:r>
            <w:r w:rsidRPr="002A6FFA">
              <w:rPr>
                <w:lang w:val="de-CH"/>
              </w:rPr>
              <w:softHyphen/>
              <w:t>leistungs</w:t>
            </w:r>
            <w:r w:rsidRPr="002A6FFA">
              <w:rPr>
                <w:lang w:val="de-CH"/>
              </w:rPr>
              <w:softHyphen/>
              <w:t>märkten mit den von ihr angebotenen Produkten und Dienstleistungen einem heftigen Wettbewerb ausgesetzt. Konsolidierungen durch Fusionen, Übernahmen, Allianzen und Zusammenarbeits</w:t>
            </w:r>
            <w:r w:rsidRPr="002A6FFA">
              <w:rPr>
                <w:lang w:val="de-CH"/>
              </w:rPr>
              <w:softHyphen/>
              <w:t>vereinbarungen, unter anderem ausgelöst durch finanzielle Schwierigkeiten, sorgen für zunehmenden Wettbewerbsdruck. Dieser betrifft viele Faktoren: die angebotenen Produkte und Dienstleistungen, die Preissetzung, die Vertriebssysteme, den Kundendienst, die Markenerkennung, die wahrgenommene Finanzkraft sowie die Bereitschaft zum Kapitaleinsatz zwecks Abdeckung von Kundenbedürfnissen. Durch Konsolidierungen sind verschiedene Unternehmen entstanden, die wie die Credit Suisse die Fähigkeit besitzen, eine breite Produktpalette anzubieten, die sich von Krediten und Einlagen über Brokerage- und Investmentbanking--Dienstleistungen bis zur Vermögensverwaltung erstreckt. Manche dieser Unternehmen mögen in der Lage sein, eine breitere Produktpalette anzubieten als die Credit Suisse oder entsprechende Produkte zu konkurrenzfähigeren Preisen anzubieten. Unter den aktuellen Marktbedingungen hat sich die Wettbewerbslandschaft für die Finanzdienstleister einschneidend verändert, da zahlreiche Finanz</w:t>
            </w:r>
            <w:r w:rsidRPr="002A6FFA">
              <w:rPr>
                <w:lang w:val="de-CH"/>
              </w:rPr>
              <w:softHyphen/>
              <w:t xml:space="preserve">institute sich zusammengeschlossen haben, den Umfang ihrer </w:t>
            </w:r>
            <w:r w:rsidRPr="00C72686">
              <w:rPr>
                <w:lang w:val="de-CH"/>
              </w:rPr>
              <w:t xml:space="preserve">Aktivitäten </w:t>
            </w:r>
            <w:r w:rsidRPr="002A6FFA">
              <w:rPr>
                <w:lang w:val="de-CH"/>
              </w:rPr>
              <w:t xml:space="preserve">geändert haben, Konkurs anmeldeten, staatliche Unterstützung erhielten oder ihren regulatorischen Status gewechselt haben, was ihre Geschäftstätigkeit beeinflusst. Zudem wirkt sich die heutige Marktlage grundsätzlich auf die Nachfrage der Kunden nach Produkten und Dienstleistungen aus. </w:t>
            </w:r>
            <w:r>
              <w:rPr>
                <w:lang w:val="de-CH"/>
              </w:rPr>
              <w:t>Credit Suisse</w:t>
            </w:r>
            <w:r w:rsidRPr="002A6FFA">
              <w:rPr>
                <w:lang w:val="de-CH"/>
              </w:rPr>
              <w:t xml:space="preserve"> kann keine Zusicherung abgeben, dass ihr Geschäfts</w:t>
            </w:r>
            <w:r w:rsidRPr="002A6FFA">
              <w:rPr>
                <w:lang w:val="de-CH"/>
              </w:rPr>
              <w:softHyphen/>
              <w:t>ergebnis nicht negativ beeinflusst wird.</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493C58">
              <w:rPr>
                <w:b/>
                <w:iCs/>
              </w:rPr>
              <w:t>Credit Suisse’s competitive position could be harmed if its reputation is damaged</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Die Wettbewerbsfähigkeit der Credit Suisse könnte durch eine Rufschädigung beeinträchtigt werden</w:t>
            </w:r>
          </w:p>
        </w:tc>
      </w:tr>
      <w:tr w:rsidTr="004668CF">
        <w:tblPrEx>
          <w:tblW w:w="5000" w:type="pct"/>
          <w:tblLook w:val="00A0"/>
        </w:tblPrEx>
        <w:tc>
          <w:tcPr>
            <w:tcW w:w="2500" w:type="pct"/>
            <w:tcBorders>
              <w:right w:val="single" w:sz="4" w:space="0" w:color="auto"/>
            </w:tcBorders>
          </w:tcPr>
          <w:p w:rsidR="004668CF" w:rsidRPr="00293F90" w:rsidP="00157B69">
            <w:pPr>
              <w:pStyle w:val="CSBody63"/>
              <w:rPr>
                <w:b/>
              </w:rPr>
            </w:pPr>
            <w:r w:rsidRPr="00493C58">
              <w:t xml:space="preserve">In the highly competitive environment arising from globalisation and convergence in the financial services industry, a reputation for financial strength and integrity is critical to </w:t>
            </w:r>
            <w:r w:rsidRPr="0060563B">
              <w:t>Credit Suisse</w:t>
            </w:r>
            <w:r w:rsidRPr="00493C58">
              <w:t xml:space="preserve">’s performance, including its ability to attract and maintain clients and employees. </w:t>
            </w:r>
            <w:r w:rsidRPr="0060563B">
              <w:t>Credit Suisse</w:t>
            </w:r>
            <w:r w:rsidRPr="00493C58">
              <w:t xml:space="preserve">’s reputation could be harmed if its comprehensive procedures and controls fail, or appear to fail, to address conflicts of interest, prevent employee misconduct, produce materially accurate and complete financial and other information or prevent adverse legal or regulatory actions. For further information, refer to </w:t>
            </w:r>
            <w:r>
              <w:t>"</w:t>
            </w:r>
            <w:r w:rsidRPr="00493C58">
              <w:rPr>
                <w:i/>
              </w:rPr>
              <w:t>III—Treasury, Risk, Balance Sheet and Off-balance sheet—Risk management</w:t>
            </w:r>
            <w:r w:rsidR="00157B69">
              <w:rPr>
                <w:i/>
              </w:rPr>
              <w:t xml:space="preserve"> - Reputational Risk</w:t>
            </w:r>
            <w:r>
              <w:t>"</w:t>
            </w:r>
            <w:r w:rsidRPr="00493C58">
              <w:t xml:space="preserve"> in the Credit Suisse Annual Report </w:t>
            </w:r>
            <w:r>
              <w:t>2014</w:t>
            </w:r>
            <w:r w:rsidR="00BF7214">
              <w:rPr>
                <w:i/>
              </w:rPr>
              <w:t>"</w:t>
            </w:r>
            <w:r w:rsidRPr="00493C58">
              <w:t>.</w:t>
            </w:r>
          </w:p>
        </w:tc>
        <w:tc>
          <w:tcPr>
            <w:tcW w:w="2500" w:type="pct"/>
            <w:tcBorders>
              <w:left w:val="single" w:sz="4" w:space="0" w:color="auto"/>
            </w:tcBorders>
            <w:shd w:val="clear" w:color="auto" w:fill="auto"/>
          </w:tcPr>
          <w:p w:rsidR="004668CF" w:rsidRPr="008B0576" w:rsidP="00157B69">
            <w:pPr>
              <w:pStyle w:val="CSBody63"/>
              <w:rPr>
                <w:b/>
                <w:lang w:val="de-DE"/>
              </w:rPr>
            </w:pPr>
            <w:r w:rsidRPr="002A6FFA">
              <w:rPr>
                <w:lang w:val="de-CH"/>
              </w:rPr>
              <w:t xml:space="preserve">Im hart umkämpften Umfeld, das sich aus der Globalisierung und der Konvergenz innerhalb der Finanzdienstleistungsbranche ergibt, ist der Ruf hinsichtlich einer hohen Finanzkraft und Integrität entscheidend für die Leistungsfähigkeit der Credit Suisse, damit sie unter anderem Kunden und Mitarbeiter gewinnen und binden kann. Der Ruf der Credit Suisse könnte in Frage gestellt werden, falls es ihr mittels ihrer umfassenden Verfahren und Kontrollen nicht gelingt oder nicht zu gelingen scheint, Interessenkonflikte auszuschliessen, Fehlverhalten von Mitarbeitern zu verhindern, im Wesentlichen präzise und vollständige Finanz- und andere Informationen zu liefern oder nachteilige rechtliche oder regulatorische Massnahmen zu vermeiden. Weitere Informationen finden sich in Abschnitt </w:t>
            </w:r>
            <w:r>
              <w:rPr>
                <w:lang w:val="de-CH"/>
              </w:rPr>
              <w:t>"</w:t>
            </w:r>
            <w:r w:rsidRPr="002A6FFA">
              <w:rPr>
                <w:i/>
                <w:lang w:val="de-CH"/>
              </w:rPr>
              <w:t>III—Treasury, Risiko, Bilanz und Ausserbilanz—Risikomanagement—Reputationsrisiken</w:t>
            </w:r>
            <w:r>
              <w:rPr>
                <w:lang w:val="de-CH"/>
              </w:rPr>
              <w:t>"</w:t>
            </w:r>
            <w:r w:rsidRPr="002A6FFA">
              <w:rPr>
                <w:lang w:val="de-CH"/>
              </w:rPr>
              <w:t xml:space="preserve"> des Geschäftsberichts der Credit Suisse für das Jahr </w:t>
            </w:r>
            <w:r>
              <w:rPr>
                <w:lang w:val="de-CH"/>
              </w:rPr>
              <w:t>2014</w:t>
            </w:r>
            <w:r w:rsidRPr="002A6FFA">
              <w:rPr>
                <w:lang w:val="de-CH"/>
              </w:rPr>
              <w:t>.</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493C58">
              <w:rPr>
                <w:b/>
                <w:iCs/>
              </w:rPr>
              <w:t>Credit Suisse must recruit and retain highly skilled employees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Die Credit Suisse muss gut ausgebildete Mitarbeiter rekrutieren und binden</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493C58">
              <w:t>Credit Suisse’s performance is largely dependent on the talents and efforts of highly skilled individuals. Competition for qualified employees is intense. Credit Suisse has devoted considerable resources to recruiting, training and compensating employees. Credit Suisse’s continued ability to compete effectively in its businesses depends on its ability to attract new employees and to retain and motivate its existing employees. The continued public focus on compensation practices in the financial services industry, and related regulatory changes, may have an adverse impact on Credit Suisse’s ability to attract and retain highly skilled employees.</w:t>
            </w:r>
            <w:r>
              <w:t xml:space="preserve"> </w:t>
            </w:r>
            <w:r w:rsidRPr="00036EC2">
              <w:t xml:space="preserve">In particular, new limits on the amount and form of executive compensation imposed by recent regulatory initiatives, including the </w:t>
            </w:r>
            <w:r>
              <w:t xml:space="preserve">Ordinance Against Excessive </w:t>
            </w:r>
            <w:r w:rsidRPr="00036EC2">
              <w:t>Compensation</w:t>
            </w:r>
            <w:r w:rsidR="00157B69">
              <w:t xml:space="preserve"> </w:t>
            </w:r>
            <w:r w:rsidRPr="00036EC2">
              <w:t xml:space="preserve">in Switzerland and the implementation of </w:t>
            </w:r>
            <w:r w:rsidRPr="007B5E25">
              <w:t>CRD IV in the UK, could potentially have an adverse impact on Credit Suisse’s ability to retain certain of its most highly</w:t>
            </w:r>
            <w:r w:rsidRPr="00036EC2">
              <w:t xml:space="preserve"> skilled employees and hire new qualified employees in certain businesses.</w:t>
            </w:r>
          </w:p>
        </w:tc>
        <w:tc>
          <w:tcPr>
            <w:tcW w:w="2500" w:type="pct"/>
            <w:tcBorders>
              <w:left w:val="single" w:sz="4" w:space="0" w:color="auto"/>
            </w:tcBorders>
            <w:shd w:val="clear" w:color="auto" w:fill="auto"/>
          </w:tcPr>
          <w:p w:rsidR="004668CF" w:rsidRPr="008B0576" w:rsidP="004668CF">
            <w:pPr>
              <w:pStyle w:val="CSBody63"/>
              <w:rPr>
                <w:b/>
                <w:lang w:val="de-DE"/>
              </w:rPr>
            </w:pPr>
            <w:r w:rsidRPr="002A6FFA">
              <w:rPr>
                <w:lang w:val="de-CH"/>
              </w:rPr>
              <w:t>Der Leistungsfähigkeit der Credit Suisse ist zu einem grossen Teil von der Kompetenz und dem Engagement gut ausgebildeter Mitarbeiterinnen und Mitarbeiter abhängig. Qualifizierte Mitarbeiter werden hart umworben. Die Credit Suisse hat bedeutende Ressourcen für die Rekrutierung, Fortbildung und Entlohnung ihrer Mitarbeiter eingesetzt. Damit die Credit Suisse sich weiterhin auf ihren Gebieten erfolgreich behaupten kann, muss sie in der Lage sein, neue Mitarbeiter zu gewinnen und die bestehenden Mitarbeiter zu behalten und zu motivieren. Die Vergütungspraxis in der Finanzindustrie erregt bei der Öffentlichkeit nach wie vor ausgeprägtes Interesse und ist Anlass für regulatorische Änderungen. Diese Entwicklungen könnten es der Credit Suisse erschweren, gut ausgebildete Mitarbeiter zu rekrutieren und an sich zu binden.</w:t>
            </w:r>
            <w:r>
              <w:rPr>
                <w:lang w:val="de-CH"/>
              </w:rPr>
              <w:t xml:space="preserve"> </w:t>
            </w:r>
            <w:r w:rsidRPr="00B21060">
              <w:rPr>
                <w:rFonts w:eastAsia="Calibri" w:cs="CreditSuisseType-Light"/>
                <w:lang w:val="de-DE" w:eastAsia="en-GB"/>
              </w:rPr>
              <w:t xml:space="preserve">Insbesondere könnten neue Einschränkungen betreffend die Höhe und die Art der Vergütung von leitenden Angestellten – unter anderem aufgrund jüngster regulatorischer Initiativen wie der </w:t>
            </w:r>
            <w:r>
              <w:rPr>
                <w:rFonts w:eastAsia="Calibri" w:cs="CreditSuisseType-Light"/>
                <w:lang w:val="de-DE" w:eastAsia="en-GB"/>
              </w:rPr>
              <w:t>Verordnung gegen übermässige Vergütungen</w:t>
            </w:r>
            <w:r w:rsidRPr="00B21060">
              <w:rPr>
                <w:rFonts w:eastAsia="Calibri" w:cs="CreditSuisseType-Light"/>
                <w:lang w:val="de-DE" w:eastAsia="en-GB"/>
              </w:rPr>
              <w:t xml:space="preserve"> in der Schweiz und der Einführung der CRD IV in Grossbritannien – die Fähigkeit der Credit Suisse beeinträchtigen, bestimmte hochqualifizierte Mitarbeiter zu halten und neue qualifizierte Mitarbeiter für bestimmte Geschäftsbereiche einzustellen</w:t>
            </w:r>
            <w:r w:rsidRPr="00673825">
              <w:rPr>
                <w:lang w:val="de-DE"/>
              </w:rPr>
              <w:t>.</w:t>
            </w:r>
          </w:p>
        </w:tc>
      </w:tr>
      <w:tr w:rsidTr="004668CF">
        <w:tblPrEx>
          <w:tblW w:w="5000" w:type="pct"/>
          <w:tblLook w:val="00A0"/>
        </w:tblPrEx>
        <w:tc>
          <w:tcPr>
            <w:tcW w:w="2500" w:type="pct"/>
            <w:tcBorders>
              <w:right w:val="single" w:sz="4" w:space="0" w:color="auto"/>
            </w:tcBorders>
          </w:tcPr>
          <w:p w:rsidR="004668CF" w:rsidRPr="008B0576" w:rsidP="004C1EBA">
            <w:pPr>
              <w:pStyle w:val="CSBody63"/>
              <w:rPr>
                <w:b/>
              </w:rPr>
            </w:pPr>
            <w:r w:rsidRPr="00493C58">
              <w:rPr>
                <w:b/>
                <w:iCs/>
              </w:rPr>
              <w:t>Credit Suisse faces competition from new trading technologies</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b/>
                <w:lang w:val="de-CH"/>
              </w:rPr>
              <w:t>Die Credit Suisse ist mit Konkurrenz durch neue Handelstechnologien konfrontiert</w:t>
            </w:r>
          </w:p>
        </w:tc>
      </w:tr>
      <w:tr w:rsidTr="004668CF">
        <w:tblPrEx>
          <w:tblW w:w="5000" w:type="pct"/>
          <w:tblLook w:val="00A0"/>
        </w:tblPrEx>
        <w:tc>
          <w:tcPr>
            <w:tcW w:w="2500" w:type="pct"/>
            <w:tcBorders>
              <w:right w:val="single" w:sz="4" w:space="0" w:color="auto"/>
            </w:tcBorders>
          </w:tcPr>
          <w:p w:rsidR="004668CF" w:rsidRPr="00293F90" w:rsidP="004C1EBA">
            <w:pPr>
              <w:pStyle w:val="CSBody63"/>
              <w:rPr>
                <w:b/>
              </w:rPr>
            </w:pPr>
            <w:r w:rsidRPr="00493C58">
              <w:t>Credit Suisse’s businesses face competitive challenges from new trading technologies, which may adversely affect its commission and trading revenues, exclude its businesses from certain transaction flows, reduce its participation in the trading markets and the associated access to market information and lead to the creation of new and stronger competitors. Credit Suisse has made, and may continue to be required to make, significant additional expenditures to develop and support new trading systems or otherwise invest in technology to maintain its competitive position.</w:t>
            </w:r>
          </w:p>
        </w:tc>
        <w:tc>
          <w:tcPr>
            <w:tcW w:w="2500" w:type="pct"/>
            <w:tcBorders>
              <w:left w:val="single" w:sz="4" w:space="0" w:color="auto"/>
            </w:tcBorders>
            <w:shd w:val="clear" w:color="auto" w:fill="auto"/>
          </w:tcPr>
          <w:p w:rsidR="004668CF" w:rsidRPr="008B0576" w:rsidP="004C1EBA">
            <w:pPr>
              <w:pStyle w:val="CSBody63"/>
              <w:rPr>
                <w:b/>
                <w:lang w:val="de-DE"/>
              </w:rPr>
            </w:pPr>
            <w:r w:rsidRPr="002A6FFA">
              <w:rPr>
                <w:lang w:val="de-CH"/>
              </w:rPr>
              <w:t>Die Geschäftsfelder der Credit Suisse stehen unter Wettbewerbsdruck durch neue Handelstechnologien, die ihre Kommissions- und Handelserträge sinken lassen, ihre Geschäftsfelder von bestimmten Transaktionen ausschliessen, ihre Beteiligung an den Handelsmärkten einschränken und den damit verbundenen Zugang zu Markt</w:t>
            </w:r>
            <w:r w:rsidRPr="002A6FFA">
              <w:rPr>
                <w:lang w:val="de-CH"/>
              </w:rPr>
              <w:softHyphen/>
              <w:t>informationen verringern sowie zum Aufkommen neuer und stärkerer Konkurrenten führen könnten. Die Credit Suisse hat bereits und muss unter Umständen weiterhin zusätzliche Aufwendungen in beachtlicher Höhe für die Entwicklung und Förderung neuer Handelssysteme vornehmen oder in sonstiger Weise in Technologien investieren, um konkurrenzfähig zu bleiben.</w:t>
            </w:r>
          </w:p>
        </w:tc>
      </w:tr>
      <w:tr w:rsidTr="004668CF">
        <w:tblPrEx>
          <w:tblW w:w="5000" w:type="pct"/>
          <w:tblLook w:val="00A0"/>
        </w:tblPrEx>
        <w:tc>
          <w:tcPr>
            <w:tcW w:w="2500" w:type="pct"/>
            <w:tcBorders>
              <w:right w:val="single" w:sz="4" w:space="0" w:color="auto"/>
            </w:tcBorders>
          </w:tcPr>
          <w:p w:rsidR="004668CF" w:rsidRPr="008757CF" w:rsidP="004668CF">
            <w:pPr>
              <w:pStyle w:val="CSNum1EN"/>
              <w:numPr>
                <w:ilvl w:val="1"/>
                <w:numId w:val="21"/>
              </w:numPr>
            </w:pPr>
            <w:r w:rsidRPr="008757CF">
              <w:rPr>
                <w:bCs/>
                <w:iCs/>
              </w:rPr>
              <w:t>Risks relating to Credit Suisse's strategy</w:t>
            </w:r>
          </w:p>
        </w:tc>
        <w:tc>
          <w:tcPr>
            <w:tcW w:w="2500" w:type="pct"/>
            <w:tcBorders>
              <w:left w:val="single" w:sz="4" w:space="0" w:color="auto"/>
            </w:tcBorders>
            <w:shd w:val="clear" w:color="auto" w:fill="auto"/>
          </w:tcPr>
          <w:p w:rsidR="004668CF" w:rsidRPr="008757CF" w:rsidP="004668CF">
            <w:pPr>
              <w:pStyle w:val="CSNum1DE"/>
              <w:numPr>
                <w:ilvl w:val="0"/>
                <w:numId w:val="17"/>
              </w:numPr>
              <w:ind w:left="357" w:hanging="357"/>
              <w:rPr>
                <w:lang w:val="de-DE"/>
              </w:rPr>
            </w:pPr>
            <w:r w:rsidRPr="008757CF">
              <w:rPr>
                <w:lang w:val="de-CH"/>
              </w:rPr>
              <w:t>Risiken im Zusammenhang mit der Strategie der Credit Suisse</w:t>
            </w:r>
          </w:p>
        </w:tc>
      </w:tr>
      <w:tr w:rsidTr="004668CF">
        <w:tblPrEx>
          <w:tblW w:w="5000" w:type="pct"/>
          <w:tblLook w:val="00A0"/>
        </w:tblPrEx>
        <w:tc>
          <w:tcPr>
            <w:tcW w:w="2500" w:type="pct"/>
            <w:tcBorders>
              <w:right w:val="single" w:sz="4" w:space="0" w:color="auto"/>
            </w:tcBorders>
          </w:tcPr>
          <w:p w:rsidR="004668CF" w:rsidRPr="008757CF" w:rsidP="004C1EBA">
            <w:pPr>
              <w:pStyle w:val="CSBody63"/>
              <w:rPr>
                <w:b/>
              </w:rPr>
            </w:pPr>
            <w:r w:rsidRPr="008757CF">
              <w:rPr>
                <w:b/>
                <w:lang w:val="en-US"/>
              </w:rPr>
              <w:t>Credit Suisse may not achieve all of the expected benefits of its strategic initiatives</w:t>
            </w:r>
          </w:p>
        </w:tc>
        <w:tc>
          <w:tcPr>
            <w:tcW w:w="2500" w:type="pct"/>
            <w:tcBorders>
              <w:left w:val="single" w:sz="4" w:space="0" w:color="auto"/>
            </w:tcBorders>
            <w:shd w:val="clear" w:color="auto" w:fill="auto"/>
          </w:tcPr>
          <w:p w:rsidR="004668CF" w:rsidRPr="008757CF" w:rsidP="004C1EBA">
            <w:pPr>
              <w:pStyle w:val="CSBody63"/>
              <w:rPr>
                <w:b/>
                <w:lang w:val="de-DE"/>
              </w:rPr>
            </w:pPr>
            <w:r w:rsidRPr="008757CF">
              <w:rPr>
                <w:b/>
                <w:lang w:val="de-CH"/>
              </w:rPr>
              <w:t>Die Credit Suisse könnte unter Umständen die erhofften Vorteile aus ihren strategischen Initiativen nicht vollumfänglich nutzen</w:t>
            </w:r>
          </w:p>
        </w:tc>
      </w:tr>
      <w:tr w:rsidTr="004668CF">
        <w:tblPrEx>
          <w:tblW w:w="5000" w:type="pct"/>
          <w:tblLook w:val="00A0"/>
        </w:tblPrEx>
        <w:tc>
          <w:tcPr>
            <w:tcW w:w="2500" w:type="pct"/>
            <w:tcBorders>
              <w:right w:val="single" w:sz="4" w:space="0" w:color="auto"/>
            </w:tcBorders>
          </w:tcPr>
          <w:p w:rsidR="004668CF" w:rsidRPr="008757CF">
            <w:pPr>
              <w:pStyle w:val="CSBody63"/>
              <w:rPr>
                <w:lang w:val="en-US"/>
              </w:rPr>
            </w:pPr>
            <w:r w:rsidRPr="008757CF">
              <w:rPr>
                <w:lang w:val="en-US"/>
              </w:rPr>
              <w:t xml:space="preserve">In October 2015, CSG announced a comprehensive new strategic direction, structure and organisation of </w:t>
            </w:r>
            <w:r w:rsidRPr="008757CF">
              <w:t xml:space="preserve">CSG and its subsidiaries including Credit Suisse (together, the </w:t>
            </w:r>
            <w:r w:rsidRPr="008757CF">
              <w:rPr>
                <w:b/>
              </w:rPr>
              <w:t>"Group"</w:t>
            </w:r>
            <w:r w:rsidRPr="008757CF">
              <w:t>)</w:t>
            </w:r>
            <w:r w:rsidRPr="008757CF">
              <w:rPr>
                <w:lang w:val="en-US"/>
              </w:rPr>
              <w:t>. CSG’s ability to implement its new strategic direction, structure and organization is based on a number of key assumptions regarding the future economic environment, the economic growth of certain geographic regions, the regulatory landscape, CSG’s ability to meet certain growth targets, anticipated interest rates and central bank action. If any of these assumptions (including but not limited to CSG’s ability to meet certain targets) prove inaccurate in whole or in part, CSG’s ability to achieve some or all of the expected benefits of this strategy could be limited. Factors beyond CSG’s control, including but not limited to the market and economic conditions, changes in laws, rules or regulations, execution risk and other challenges and risk factors discussed in this Base Prospectus, could limit its ability to achieve some or all of the expected benefits of this strategy. The breadth of the changes that CSG announced increases the execution risk of its new strategy as it seeks to change the strategic direction of the Group while also embarking on a reorganisation of the Group’s business division. If CSG is unable to implement this strategy successfully in whole or in part or should the components of the strategy that are implemented fail to produce the expected benefits, CSG’s and CS’s</w:t>
            </w:r>
            <w:r w:rsidR="00556D08">
              <w:rPr>
                <w:lang w:val="en-US"/>
              </w:rPr>
              <w:t xml:space="preserve"> </w:t>
            </w:r>
            <w:r w:rsidRPr="008757CF">
              <w:rPr>
                <w:lang w:val="en-US"/>
              </w:rPr>
              <w:t xml:space="preserve">financial results may be materially and adversely affected. For further information on CSG’s new strategic direction, refer to </w:t>
            </w:r>
            <w:r w:rsidRPr="006A142F" w:rsidR="00BF7214">
              <w:rPr>
                <w:lang w:val="en-US"/>
              </w:rPr>
              <w:t>"</w:t>
            </w:r>
            <w:r w:rsidRPr="008757CF">
              <w:rPr>
                <w:i/>
                <w:lang w:val="en-US"/>
              </w:rPr>
              <w:t>I—Credit Suisse results-</w:t>
            </w:r>
            <w:r w:rsidR="00556D08">
              <w:rPr>
                <w:i/>
                <w:lang w:val="en-US"/>
              </w:rPr>
              <w:t>Credit Suisse-</w:t>
            </w:r>
            <w:r w:rsidRPr="008757CF">
              <w:rPr>
                <w:i/>
                <w:lang w:val="en-US"/>
              </w:rPr>
              <w:t>Strategy announcement and investor day</w:t>
            </w:r>
            <w:r w:rsidR="00BF7214">
              <w:rPr>
                <w:i/>
                <w:lang w:val="en-US"/>
              </w:rPr>
              <w:t>"</w:t>
            </w:r>
            <w:r w:rsidRPr="008757CF">
              <w:rPr>
                <w:i/>
                <w:lang w:val="en-US"/>
              </w:rPr>
              <w:t xml:space="preserve"> </w:t>
            </w:r>
            <w:r w:rsidRPr="008757CF">
              <w:rPr>
                <w:lang w:val="en-US"/>
              </w:rPr>
              <w:t>in the Credit Suisse Financial Report 3Q15.</w:t>
            </w:r>
          </w:p>
        </w:tc>
        <w:tc>
          <w:tcPr>
            <w:tcW w:w="2500" w:type="pct"/>
            <w:tcBorders>
              <w:left w:val="single" w:sz="4" w:space="0" w:color="auto"/>
            </w:tcBorders>
            <w:shd w:val="clear" w:color="auto" w:fill="auto"/>
          </w:tcPr>
          <w:p w:rsidR="004668CF" w:rsidRPr="008757CF" w:rsidP="00BD6E0D">
            <w:pPr>
              <w:pStyle w:val="CSBody63"/>
              <w:rPr>
                <w:lang w:val="de-CH"/>
              </w:rPr>
            </w:pPr>
            <w:r w:rsidRPr="008757CF">
              <w:rPr>
                <w:lang w:val="de-CH"/>
              </w:rPr>
              <w:t xml:space="preserve">Im Oktober 2015 hat die CSG eine umfassende strategische, strukturelle und organisatorische Neuausrichtung </w:t>
            </w:r>
            <w:r w:rsidRPr="008757CF">
              <w:rPr>
                <w:lang w:val="de-DE"/>
              </w:rPr>
              <w:t xml:space="preserve">der CSG und ihrer Tochtergesellschaften einschliesslich der Credit Suisse (zusammen die </w:t>
            </w:r>
            <w:r w:rsidRPr="008757CF">
              <w:rPr>
                <w:b/>
                <w:lang w:val="de-DE"/>
              </w:rPr>
              <w:t>"Gruppe"</w:t>
            </w:r>
            <w:r w:rsidRPr="008757CF">
              <w:rPr>
                <w:lang w:val="de-DE"/>
              </w:rPr>
              <w:t>)</w:t>
            </w:r>
            <w:r w:rsidRPr="008757CF">
              <w:rPr>
                <w:lang w:val="de-CH"/>
              </w:rPr>
              <w:t xml:space="preserve"> angekündigt. CSG’s Fähigkeit zur Umsetzung ihrer strategischen, strukturellen und organisatorischen Neuausrichtung basiert auf einer Reihe wesentlicher Annahmen in Bezug auf das zukünftige wirtschaftliche Umfeld, das Wirtschaftswachstum bestimmter geographischer Regionen, die aufsichtsrechtlichen Rahmenbedingungen, CSG‘s Fähigkeit zur Erreichung bestimmter Wachstumsziele, erwartete Zinssätze und </w:t>
            </w:r>
            <w:r w:rsidRPr="008757CF" w:rsidR="008757CF">
              <w:rPr>
                <w:lang w:val="de-CH"/>
              </w:rPr>
              <w:t xml:space="preserve">Zentralbank </w:t>
            </w:r>
            <w:r w:rsidRPr="008757CF">
              <w:rPr>
                <w:lang w:val="de-CH"/>
              </w:rPr>
              <w:t xml:space="preserve">Massnahmen. Sollten sich diese Annahmen (insbesondere in Bezug auf CSG’s Fähigkeit , bestimmte Ziele zu erreichen) insgesamt oder teilweise als unzutreffend erweisen, so könnte dies CSG‘s Fähigkeit zur Ausschöpfung einiger oder aller erwarteten Vorteile aus dieser Strategie beschränken. Ausserhalb CSG‘s Einflussbereich liegende Faktoren, wie beispielsweise die Umstände am Markt und das wirtschaftliche Umfeld, Änderungen von Gesetzen, Vorschriften und Bestimmungen, Umsetzungsrisiken und sonstige in diesem Basisprospekt erörterte Herausforderungen und Risikofaktoren, könnten ihre Fähigkeit zur Ausschöpfung einiger oder aller erwarteten Vorteile aus dieser Strategie beschränken. Die angekündigten Änderungen sind tiefgreifend und erhöhen somit das Umsetzungsrisiko der neuen CSG Strategie, da sie anstrebt, die Gruppe strategisch neu auszurichten und gleichzeitig </w:t>
            </w:r>
            <w:r w:rsidRPr="008757CF" w:rsidR="008757CF">
              <w:rPr>
                <w:lang w:val="de-CH"/>
              </w:rPr>
              <w:t>die Geschäftsverteilung der Gruppe zu reorganisieren</w:t>
            </w:r>
            <w:r w:rsidRPr="008757CF">
              <w:rPr>
                <w:lang w:val="de-CH"/>
              </w:rPr>
              <w:t xml:space="preserve">. Für den Fall, dass die CSG nicht in der Lage ist, diese Strategie ganz oder teilweise erfolgreich umzusetzen oder die umgesetzten Komponenten der Strategie nicht die erwarteten Vorteile bringen, könnte sich dies wesentlich nachteilig auf CSG’s und CS‘s Ergebnisse auswirken. Weitere Angaben zur strategischen Neuausrichtung der CSG sind dem Abschnitt </w:t>
            </w:r>
            <w:r w:rsidR="003B00F3">
              <w:rPr>
                <w:lang w:val="de-CH"/>
              </w:rPr>
              <w:t>"</w:t>
            </w:r>
            <w:r w:rsidRPr="008757CF">
              <w:rPr>
                <w:i/>
                <w:lang w:val="de-CH"/>
              </w:rPr>
              <w:t xml:space="preserve">I—Ergebnisse der Credit Suisse </w:t>
            </w:r>
            <w:r w:rsidR="00556D08">
              <w:rPr>
                <w:i/>
                <w:lang w:val="de-CH"/>
              </w:rPr>
              <w:t>– Credit Suisse-</w:t>
            </w:r>
            <w:r w:rsidRPr="008757CF">
              <w:rPr>
                <w:i/>
                <w:lang w:val="de-CH"/>
              </w:rPr>
              <w:t>Strategie Bekanntgebung und Investor day</w:t>
            </w:r>
            <w:r w:rsidR="00BF7214">
              <w:rPr>
                <w:i/>
                <w:lang w:val="de-CH"/>
              </w:rPr>
              <w:t>"</w:t>
            </w:r>
            <w:r w:rsidRPr="008757CF">
              <w:rPr>
                <w:i/>
                <w:lang w:val="de-CH"/>
              </w:rPr>
              <w:t xml:space="preserve"> des Finanzberichts 3Q15 der Credit Suisse</w:t>
            </w:r>
            <w:r w:rsidR="003B00F3">
              <w:rPr>
                <w:lang w:val="de-CH"/>
              </w:rPr>
              <w:t>"</w:t>
            </w:r>
            <w:r w:rsidRPr="008757CF">
              <w:rPr>
                <w:lang w:val="de-DE"/>
              </w:rPr>
              <w:t xml:space="preserve"> </w:t>
            </w:r>
            <w:r w:rsidRPr="008757CF">
              <w:rPr>
                <w:lang w:val="de-CH"/>
              </w:rPr>
              <w:t>zu entnehmen.</w:t>
            </w:r>
          </w:p>
        </w:tc>
      </w:tr>
      <w:tr w:rsidTr="004668CF">
        <w:tblPrEx>
          <w:tblW w:w="5000" w:type="pct"/>
          <w:tblLook w:val="00A0"/>
        </w:tblPrEx>
        <w:tc>
          <w:tcPr>
            <w:tcW w:w="2500" w:type="pct"/>
            <w:tcBorders>
              <w:right w:val="single" w:sz="4" w:space="0" w:color="auto"/>
            </w:tcBorders>
          </w:tcPr>
          <w:p w:rsidR="004668CF" w:rsidRPr="008757CF" w:rsidP="00942F00">
            <w:pPr>
              <w:pStyle w:val="CSBody63"/>
              <w:rPr>
                <w:lang w:val="en-US"/>
              </w:rPr>
            </w:pPr>
            <w:r w:rsidRPr="008757CF">
              <w:rPr>
                <w:lang w:val="en-US"/>
              </w:rPr>
              <w:t>Additionally, part of CSG’s strategy involves a change in focus within certain areas of its business, which may have unanticipated negative effects in other areas of the business and may result in an adverse eff</w:t>
            </w:r>
            <w:r w:rsidR="00942F00">
              <w:rPr>
                <w:lang w:val="en-US"/>
              </w:rPr>
              <w:t>ect on its business as a whole.</w:t>
            </w:r>
          </w:p>
        </w:tc>
        <w:tc>
          <w:tcPr>
            <w:tcW w:w="2500" w:type="pct"/>
            <w:tcBorders>
              <w:left w:val="single" w:sz="4" w:space="0" w:color="auto"/>
            </w:tcBorders>
            <w:shd w:val="clear" w:color="auto" w:fill="auto"/>
          </w:tcPr>
          <w:p w:rsidR="004668CF" w:rsidRPr="008757CF" w:rsidP="004C1EBA">
            <w:pPr>
              <w:pStyle w:val="CSBody63"/>
              <w:rPr>
                <w:lang w:val="de-CH"/>
              </w:rPr>
            </w:pPr>
            <w:r w:rsidRPr="008757CF">
              <w:rPr>
                <w:lang w:val="de-CH"/>
              </w:rPr>
              <w:t>Darüber hinaus sieht CSG‘s Strategie unter anderem eine Neuausrichtung des Schwerpunktes bestimmter ihrer Geschäftsbereiche vor, die sich möglicherweise unerwartet negativ auf andere Geschäftsbereiche und nachteilig auf ihr Gesamtgeschäft niederschlägt.</w:t>
            </w:r>
          </w:p>
        </w:tc>
      </w:tr>
      <w:tr w:rsidTr="004668CF">
        <w:tblPrEx>
          <w:tblW w:w="5000" w:type="pct"/>
          <w:tblLook w:val="00A0"/>
        </w:tblPrEx>
        <w:tc>
          <w:tcPr>
            <w:tcW w:w="2500" w:type="pct"/>
            <w:tcBorders>
              <w:right w:val="single" w:sz="4" w:space="0" w:color="auto"/>
            </w:tcBorders>
          </w:tcPr>
          <w:p w:rsidR="004668CF" w:rsidRPr="008757CF" w:rsidP="00942F00">
            <w:pPr>
              <w:pStyle w:val="CSBody63"/>
              <w:rPr>
                <w:lang w:val="en-US"/>
              </w:rPr>
            </w:pPr>
            <w:r w:rsidRPr="008757CF">
              <w:rPr>
                <w:lang w:val="en-US"/>
              </w:rPr>
              <w:t>The implementation of CSG’s strategy may increase its exposure to certain risks, including but not limited to, credit risks, market risks, operational risks and regulatory risks. CSG also seeks to achieve certain cost savings, which may or may not be successful. CSG has announced our intention to conduct an initial pulic offering (</w:t>
            </w:r>
            <w:r w:rsidR="003B00F3">
              <w:rPr>
                <w:lang w:val="en-US"/>
              </w:rPr>
              <w:t>"</w:t>
            </w:r>
            <w:r w:rsidRPr="008757CF">
              <w:rPr>
                <w:b/>
                <w:lang w:val="en-US"/>
              </w:rPr>
              <w:t>IPO</w:t>
            </w:r>
            <w:r w:rsidR="00BF7214">
              <w:rPr>
                <w:lang w:val="en-US"/>
              </w:rPr>
              <w:t>"</w:t>
            </w:r>
            <w:r w:rsidRPr="008757CF">
              <w:rPr>
                <w:lang w:val="en-US"/>
              </w:rPr>
              <w:t>) by the end of 2017 currently estimated to be between 20% and 30% of the legal entity Credit Suisse (Schweiz) AG. There is no guarantee that it will be able to conduct such an IPO by such time, in such form or at all. Finally, changes to the organisational structure of CSG’s business may lead to temporary instability of its operations.</w:t>
            </w:r>
          </w:p>
        </w:tc>
        <w:tc>
          <w:tcPr>
            <w:tcW w:w="2500" w:type="pct"/>
            <w:tcBorders>
              <w:left w:val="single" w:sz="4" w:space="0" w:color="auto"/>
            </w:tcBorders>
            <w:shd w:val="clear" w:color="auto" w:fill="auto"/>
          </w:tcPr>
          <w:p w:rsidR="004668CF" w:rsidRPr="008757CF" w:rsidP="004C1EBA">
            <w:pPr>
              <w:pStyle w:val="CSBody63"/>
              <w:rPr>
                <w:lang w:val="de-CH"/>
              </w:rPr>
            </w:pPr>
            <w:r w:rsidRPr="008757CF">
              <w:rPr>
                <w:lang w:val="de-CH"/>
              </w:rPr>
              <w:t>Die Umsetzung von CSG‘s Strategie erhöht möglicherweise bestimmte Risiken, u. a. Kreditrisiken, Marktrisiken, operationelle Risiken und aufsichtsrechtliche Risiken. Des Weiteren strebt die CSG bestimmte Kosteneinsparungen an, die zielführend sein können, aber nicht müssen. Die CSG hat angekündigt, mit der Credit Suisse (Schweiz) AG bis Ende 2017 im derzeit geschätzten Umfang von 20 % bis 30 % einen Börsengang durchführen zu wollen. Es gibt keine Garantie, dass sie in der Lage sein werden, bis zu diesem Zeitpunkt, in dieser Form bzw. überhaupt einen Börsengang durchzuführen. Ferner führt die organisatorische Neuausrichtung des Geschäfts der CSG unter Umständen zu einer zeitweiligen Instabilität ihrer Aktivitäten.</w:t>
            </w:r>
          </w:p>
        </w:tc>
      </w:tr>
      <w:tr w:rsidTr="004668CF">
        <w:tblPrEx>
          <w:tblW w:w="5000" w:type="pct"/>
          <w:tblLook w:val="00A0"/>
        </w:tblPrEx>
        <w:tc>
          <w:tcPr>
            <w:tcW w:w="2500" w:type="pct"/>
            <w:tcBorders>
              <w:right w:val="single" w:sz="4" w:space="0" w:color="auto"/>
            </w:tcBorders>
          </w:tcPr>
          <w:p w:rsidR="004668CF" w:rsidRPr="008757CF" w:rsidP="008757CF">
            <w:pPr>
              <w:pStyle w:val="CSBody63"/>
              <w:rPr>
                <w:lang w:val="en-US"/>
              </w:rPr>
            </w:pPr>
            <w:r w:rsidRPr="008757CF">
              <w:rPr>
                <w:lang w:val="en-US"/>
              </w:rPr>
              <w:t>In addition, acquisitions and other similar transactions it undertakes as part of its strategy subject CSG to certain risks.  Even though CSG reviews the records of companies it plans to acquire, it is generally not feasible for it to review all such records in detail.  Even an in</w:t>
            </w:r>
            <w:r w:rsidRPr="008757CF">
              <w:rPr>
                <w:lang w:val="en-US"/>
              </w:rPr>
              <w:noBreakHyphen/>
              <w:t>depth review of records may not reveal existing or potential problems or permit CSG to become familiar enough with a business to assess fully its capabilities and deficiencies. As a result, CSG may assume unanticipated liabilities (including legal and compliance issues), or an acquired business may not perform as well as expected. CSG also faces the risk that it will not be able to integrate acquisitions into its existing operations effectively as a result of, among other things, differing procedures, business practices and technology systems, as well as difficulties in adapting an acquired company into its organisational structure. CSG faces the risk that the returns on acquisitions will not support the expenditures or indebtedness incurred to acquire such businesses or the capital expenditures nee</w:t>
            </w:r>
            <w:r w:rsidR="008757CF">
              <w:rPr>
                <w:lang w:val="en-US"/>
              </w:rPr>
              <w:t>ded to develop such businesses.</w:t>
            </w:r>
          </w:p>
        </w:tc>
        <w:tc>
          <w:tcPr>
            <w:tcW w:w="2500" w:type="pct"/>
            <w:tcBorders>
              <w:left w:val="single" w:sz="4" w:space="0" w:color="auto"/>
            </w:tcBorders>
            <w:shd w:val="clear" w:color="auto" w:fill="auto"/>
          </w:tcPr>
          <w:p w:rsidR="004668CF" w:rsidRPr="008757CF" w:rsidP="004C1EBA">
            <w:pPr>
              <w:pStyle w:val="CSBody63"/>
              <w:rPr>
                <w:lang w:val="de-CH"/>
              </w:rPr>
            </w:pPr>
            <w:r w:rsidRPr="008757CF">
              <w:rPr>
                <w:lang w:val="de-CH"/>
              </w:rPr>
              <w:t>Ausserdem setzen Akquisitionen und weitere ähnliche Transaktionen, die sie im Rahmen ihrer Strategie durchführen, die CSG bestimmten Risiken aus. Obwohl die CSG die Unterlagen von Unternehmen, deren Übernahme sie plant, prüft, ist es ihr im Allgemeinen nicht möglich, alle entsprechenden Aufzeichnungen im Detail zu analysieren. Auch mit einer gründlichen Überprüfung der Aufzeichnungen bleiben bestehende oder potenzielle Probleme eventuell unerkannt oder die CSG kann sich nicht genügend mit einem Unternehmen vertraut machen, um seine Stärken und Schwächen vollständig zu erfassen. Deshalb ist nicht auszuschliessen, dass die CSG unerwartete Verbindlichkeiten (einschliesslich Streitpunkte im Zusammenhang mit Rechts- und Compliance-Fragen) übernehmen oder dass eine übernommene Gesellschaft sich nicht erwartungsgemäss entwickelt. Auch besteht für die CSG das Risiko, dass Akquisitionen sich nicht effektiv in ihre bestehende Tätigkeit einbinden lassen, weil unter anderem unterschiedliche Abläufe, Geschäftspraktiken und technologische Systeme vorliegen oder weil bei der Anpassung einer übernommenen Gesellschaft an ihre Organisationsstruktur Schwierigkeiten auftreten. Es besteht das Risiko, dass die Erträge aus Akquisitionen die durch die betreffenden Akquisitionen entstandenen Kosten oder Verschuldungen oder die zur Weiterentwicklung der betreffenden Unternehmen erforderlichen Investitionsausgaben nicht ausgleichen.</w:t>
            </w:r>
          </w:p>
        </w:tc>
      </w:tr>
      <w:tr w:rsidTr="004668CF">
        <w:tblPrEx>
          <w:tblW w:w="5000" w:type="pct"/>
          <w:tblLook w:val="00A0"/>
        </w:tblPrEx>
        <w:tc>
          <w:tcPr>
            <w:tcW w:w="2500" w:type="pct"/>
            <w:tcBorders>
              <w:right w:val="single" w:sz="4" w:space="0" w:color="auto"/>
            </w:tcBorders>
          </w:tcPr>
          <w:p w:rsidR="004668CF" w:rsidRPr="008757CF" w:rsidP="008757CF">
            <w:pPr>
              <w:pStyle w:val="CSBody63"/>
            </w:pPr>
            <w:r w:rsidRPr="008757CF">
              <w:rPr>
                <w:lang w:val="en-US"/>
              </w:rPr>
              <w:t>CSG may also seek to engage in new joint ventures and strategic alliances. Although it endeavor to identify appropriate partners, CSG’s joint venture efforts may prove unsuccessful or may not justify its investment and other commitments.</w:t>
            </w:r>
          </w:p>
        </w:tc>
        <w:tc>
          <w:tcPr>
            <w:tcW w:w="2500" w:type="pct"/>
            <w:tcBorders>
              <w:left w:val="single" w:sz="4" w:space="0" w:color="auto"/>
            </w:tcBorders>
            <w:shd w:val="clear" w:color="auto" w:fill="auto"/>
          </w:tcPr>
          <w:p w:rsidR="004668CF" w:rsidRPr="008757CF" w:rsidP="004C1EBA">
            <w:pPr>
              <w:pStyle w:val="CSBody63"/>
              <w:rPr>
                <w:lang w:val="de-CH"/>
              </w:rPr>
            </w:pPr>
            <w:r w:rsidRPr="008757CF">
              <w:rPr>
                <w:lang w:val="de-CH"/>
              </w:rPr>
              <w:t>Es besteht die Möglichkeit, dass die CSG neue Joint Ventures und strategische Allianzen eingeht. Obwohl sie sich bemüht, geeignete Partner zu finden, kann nicht ausgeschlossen werden, dass CSG‘s Joint-Venture-Bestrebungen sich als erfolglos erweisen und ihre Investitionen und sonstigen Verpflichtungen nicht rechtfertigen.</w:t>
            </w:r>
          </w:p>
        </w:tc>
      </w:tr>
      <w:tr w:rsidTr="004668CF">
        <w:tblPrEx>
          <w:tblW w:w="5000" w:type="pct"/>
          <w:tblLook w:val="00A0"/>
        </w:tblPrEx>
        <w:tc>
          <w:tcPr>
            <w:tcW w:w="2500" w:type="pct"/>
            <w:tcBorders>
              <w:right w:val="single" w:sz="4" w:space="0" w:color="auto"/>
            </w:tcBorders>
          </w:tcPr>
          <w:p w:rsidR="004668CF" w:rsidRPr="002341EE" w:rsidP="004C1EBA">
            <w:pPr>
              <w:pStyle w:val="CSBody63"/>
              <w:rPr>
                <w:b/>
              </w:rPr>
            </w:pPr>
            <w:r>
              <w:rPr>
                <w:b/>
              </w:rPr>
              <w:t>CSG</w:t>
            </w:r>
            <w:r w:rsidRPr="002341EE">
              <w:rPr>
                <w:b/>
              </w:rPr>
              <w:t xml:space="preserve"> has announced a program</w:t>
            </w:r>
            <w:r>
              <w:rPr>
                <w:b/>
              </w:rPr>
              <w:t>me</w:t>
            </w:r>
            <w:r w:rsidRPr="002341EE">
              <w:rPr>
                <w:b/>
              </w:rPr>
              <w:t xml:space="preserve"> to evolve its legal entity structure and cannot predict its final form or potential effects</w:t>
            </w:r>
          </w:p>
        </w:tc>
        <w:tc>
          <w:tcPr>
            <w:tcW w:w="2500" w:type="pct"/>
            <w:tcBorders>
              <w:left w:val="single" w:sz="4" w:space="0" w:color="auto"/>
            </w:tcBorders>
            <w:shd w:val="clear" w:color="auto" w:fill="auto"/>
          </w:tcPr>
          <w:p w:rsidR="004668CF" w:rsidRPr="00673825" w:rsidP="004C1EBA">
            <w:pPr>
              <w:pStyle w:val="CSBody63"/>
              <w:rPr>
                <w:b/>
                <w:lang w:val="de-DE"/>
              </w:rPr>
            </w:pPr>
            <w:r w:rsidRPr="00673825">
              <w:rPr>
                <w:b/>
                <w:lang w:val="de-DE"/>
              </w:rPr>
              <w:t xml:space="preserve">Die </w:t>
            </w:r>
            <w:r>
              <w:rPr>
                <w:b/>
                <w:lang w:val="de-DE"/>
              </w:rPr>
              <w:t>CSG</w:t>
            </w:r>
            <w:r w:rsidRPr="00673825">
              <w:rPr>
                <w:b/>
                <w:lang w:val="de-DE"/>
              </w:rPr>
              <w:t xml:space="preserve"> hat ein Programm für die Anpassung ihrer Rechtsstruktur bekannt gegeben und kann deren endgültige Ausgestaltung oder potenzielle Auswirkungen nicht abschätzen</w:t>
            </w:r>
          </w:p>
        </w:tc>
      </w:tr>
      <w:tr w:rsidTr="004668CF">
        <w:tblPrEx>
          <w:tblW w:w="5000" w:type="pct"/>
          <w:tblLook w:val="00A0"/>
        </w:tblPrEx>
        <w:tc>
          <w:tcPr>
            <w:tcW w:w="2500" w:type="pct"/>
            <w:tcBorders>
              <w:right w:val="single" w:sz="4" w:space="0" w:color="auto"/>
            </w:tcBorders>
          </w:tcPr>
          <w:p w:rsidR="004668CF" w:rsidRPr="00B00AA8">
            <w:pPr>
              <w:pStyle w:val="CSBody63"/>
            </w:pPr>
            <w:r w:rsidRPr="002341EE">
              <w:t xml:space="preserve">In 2013, </w:t>
            </w:r>
            <w:r>
              <w:t>CSG</w:t>
            </w:r>
            <w:r w:rsidRPr="002341EE">
              <w:t xml:space="preserve"> announced key components of its program</w:t>
            </w:r>
            <w:r>
              <w:t>me</w:t>
            </w:r>
            <w:r w:rsidRPr="002341EE">
              <w:t xml:space="preserve"> to evolve its legal entity structure. The program</w:t>
            </w:r>
            <w:r>
              <w:t>me</w:t>
            </w:r>
            <w:r w:rsidRPr="002341EE">
              <w:t xml:space="preserve"> is designed to meet developing and future regulatory requirements. Subject to further analysis and approval by FINMA</w:t>
            </w:r>
            <w:r>
              <w:t xml:space="preserve"> and other regulators</w:t>
            </w:r>
            <w:r w:rsidRPr="002341EE">
              <w:t>, implementation of the program</w:t>
            </w:r>
            <w:r>
              <w:t>me</w:t>
            </w:r>
            <w:r w:rsidRPr="002341EE">
              <w:t xml:space="preserve"> is underway, with a number of key components expected to be implemented </w:t>
            </w:r>
            <w:r>
              <w:t>throughout</w:t>
            </w:r>
            <w:r w:rsidRPr="002341EE">
              <w:t xml:space="preserve"> 2015</w:t>
            </w:r>
            <w:r>
              <w:t xml:space="preserve"> and 2016</w:t>
            </w:r>
            <w:r w:rsidRPr="002341EE">
              <w:t>. This program</w:t>
            </w:r>
            <w:r>
              <w:t>me</w:t>
            </w:r>
            <w:r w:rsidRPr="002341EE">
              <w:t xml:space="preserve"> remains subject to a number of uncertainties that may affect its feasibility, scope and timing. In addition, significant legal and regulatory changes affecting Credit Suisse and its operations may require it to make further changes in its legal structure. The implementation of these changes will require significant time and resources and may potentially increase operational, capital, funding and tax costs as well as Credit Suisse’s counterparties’ credit risk. For further information</w:t>
            </w:r>
            <w:r>
              <w:t xml:space="preserve"> on Credit Suisse’s legal entity structure</w:t>
            </w:r>
            <w:r w:rsidRPr="002341EE">
              <w:t xml:space="preserve">, refer to </w:t>
            </w:r>
            <w:r>
              <w:t>"</w:t>
            </w:r>
            <w:r w:rsidRPr="002341EE">
              <w:rPr>
                <w:i/>
              </w:rPr>
              <w:t>II – Operating and financial review – Credit Suisse – Information and developments – Evolution of legal entity structure</w:t>
            </w:r>
            <w:r>
              <w:t>"</w:t>
            </w:r>
            <w:r w:rsidRPr="002341EE">
              <w:t xml:space="preserve"> in the Credit Suisse Annual Report 201</w:t>
            </w:r>
            <w:r>
              <w:t>4</w:t>
            </w:r>
            <w:r w:rsidRPr="00E6737A">
              <w:rPr>
                <w:rFonts w:ascii="Times New Roman" w:hAnsi="Times New Roman" w:eastAsiaTheme="minorEastAsia" w:cstheme="minorBidi"/>
                <w:bCs w:val="0"/>
                <w:iCs/>
                <w:sz w:val="20"/>
                <w:szCs w:val="22"/>
                <w:lang w:val="en-US" w:eastAsia="zh-CN"/>
              </w:rPr>
              <w:t xml:space="preserve"> </w:t>
            </w:r>
            <w:r w:rsidRPr="00E6737A">
              <w:rPr>
                <w:iCs/>
                <w:lang w:val="en-US"/>
              </w:rPr>
              <w:t xml:space="preserve">and </w:t>
            </w:r>
            <w:r w:rsidRPr="00E6737A">
              <w:rPr>
                <w:lang w:val="en-US"/>
              </w:rPr>
              <w:t>"</w:t>
            </w:r>
            <w:r w:rsidRPr="00E6737A">
              <w:rPr>
                <w:i/>
                <w:lang w:val="en-US"/>
              </w:rPr>
              <w:t>I – Credit Suisse Results – Credit Suisse –</w:t>
            </w:r>
            <w:r w:rsidR="00556D08">
              <w:t xml:space="preserve"> </w:t>
            </w:r>
            <w:r w:rsidRPr="00556D08" w:rsidR="00556D08">
              <w:rPr>
                <w:i/>
                <w:lang w:val="en-US"/>
              </w:rPr>
              <w:t>Information and developments</w:t>
            </w:r>
            <w:r w:rsidR="00556D08">
              <w:rPr>
                <w:i/>
                <w:lang w:val="en-US"/>
              </w:rPr>
              <w:t xml:space="preserve"> </w:t>
            </w:r>
            <w:r w:rsidRPr="00556D08" w:rsidR="00556D08">
              <w:rPr>
                <w:i/>
                <w:lang w:val="en-US"/>
              </w:rPr>
              <w:t>-</w:t>
            </w:r>
            <w:r w:rsidRPr="00E6737A">
              <w:rPr>
                <w:i/>
                <w:lang w:val="en-US"/>
              </w:rPr>
              <w:t xml:space="preserve"> Evolution of legal entity structure</w:t>
            </w:r>
            <w:r w:rsidRPr="00E6737A">
              <w:rPr>
                <w:lang w:val="en-US"/>
              </w:rPr>
              <w:t>"</w:t>
            </w:r>
            <w:r w:rsidRPr="00E6737A">
              <w:rPr>
                <w:i/>
                <w:lang w:val="en-US"/>
              </w:rPr>
              <w:t xml:space="preserve"> </w:t>
            </w:r>
            <w:r w:rsidRPr="00E6737A">
              <w:rPr>
                <w:iCs/>
                <w:lang w:val="en-US"/>
              </w:rPr>
              <w:t>in the Credit Suisse 2Q15 Financial Report</w:t>
            </w:r>
            <w:r w:rsidRPr="002341EE">
              <w:t>.</w:t>
            </w:r>
          </w:p>
        </w:tc>
        <w:tc>
          <w:tcPr>
            <w:tcW w:w="2500" w:type="pct"/>
            <w:tcBorders>
              <w:left w:val="single" w:sz="4" w:space="0" w:color="auto"/>
            </w:tcBorders>
            <w:shd w:val="clear" w:color="auto" w:fill="auto"/>
          </w:tcPr>
          <w:p w:rsidR="004668CF" w:rsidRPr="00673825">
            <w:pPr>
              <w:pStyle w:val="CSBody63"/>
              <w:rPr>
                <w:lang w:val="de-DE"/>
              </w:rPr>
            </w:pPr>
            <w:r w:rsidRPr="00B21060">
              <w:rPr>
                <w:rFonts w:eastAsia="Calibri" w:cs="CreditSuisseType-Light"/>
                <w:lang w:val="de-DE" w:eastAsia="en-GB"/>
              </w:rPr>
              <w:t xml:space="preserve">Im Jahr 2013 hat die CSG Hauptelemente ihres Programms zur Anpassung ihrer Rechtsstruktur bekannt gegeben. Das Programm adressiert die sich abzeichnenden künftigen regulatorischen Anforderungen. Vorbehaltlich weiterer Analysen und der Zustimmung der FINMA und anderer Regulatoren wird die Umsetzung des Programms bereits ausgeführt und die Umsetzung der wichtigsten Punkte des Programms dürfte in den Jahren 2015 und 2016 erfolgen. Es bestehen mehrere Unsicherheiten, die sich auf die Umsetzbarkeit, den Umfang und den zeitlichen Rahmen des Programms auswirken können. Zudem können aufgrund wesentlicher gesetzlicher und aufsichtsrechtlicher Veränderungen, die die Credit Suisse und ihre Geschäftstätigkeit betreffen, weitere Anpassungen ihrer Rechtsstruktur erforderlich sein. Die Umsetzung dieser Änderungen wird mit einem erheblichen Zeit- und Ressourcenaufwand verbunden sein und könnte die Betriebs-, Kapital-, Refinanzierungs- und Steueraufwendungen sowie das Kreditrisiko der Gegenparteien der Credit Suisse erhöhen. Weitere Angaben </w:t>
            </w:r>
            <w:r>
              <w:rPr>
                <w:rFonts w:eastAsia="Calibri" w:cs="CreditSuisseType-Light"/>
                <w:lang w:val="de-DE" w:eastAsia="en-GB"/>
              </w:rPr>
              <w:t>zur Rechtsstruktur der Credit Suisse</w:t>
            </w:r>
            <w:r w:rsidRPr="00B21060">
              <w:rPr>
                <w:rFonts w:eastAsia="Calibri" w:cs="CreditSuisseType-Light"/>
                <w:lang w:val="de-DE" w:eastAsia="en-GB"/>
              </w:rPr>
              <w:t xml:space="preserve"> sind dem Abschnitt </w:t>
            </w:r>
            <w:r>
              <w:rPr>
                <w:rFonts w:eastAsia="Calibri" w:cs="CreditSuisseType-Light"/>
                <w:lang w:val="de-DE" w:eastAsia="en-GB"/>
              </w:rPr>
              <w:t>"</w:t>
            </w:r>
            <w:r w:rsidRPr="00B21060">
              <w:rPr>
                <w:rFonts w:eastAsia="Calibri" w:cs="CreditSuisseType-Light"/>
                <w:i/>
                <w:lang w:val="de-DE" w:eastAsia="en-GB"/>
              </w:rPr>
              <w:t>II – Kommentar zu den Resultaten – Credit Suisse – Informationen und Entwicklungen – Entwicklung der Rechtsstruktur</w:t>
            </w:r>
            <w:r>
              <w:rPr>
                <w:rFonts w:eastAsia="Calibri" w:cs="CreditSuisseType-Light"/>
                <w:lang w:val="de-DE" w:eastAsia="en-GB"/>
              </w:rPr>
              <w:t>"</w:t>
            </w:r>
            <w:r w:rsidRPr="00B21060">
              <w:rPr>
                <w:rFonts w:eastAsia="Calibri" w:cs="CreditSuisseType-Light"/>
                <w:lang w:val="de-DE" w:eastAsia="en-GB"/>
              </w:rPr>
              <w:t xml:space="preserve"> des Geschäftsberichts der Credit Suisse für das Jahr 2014 </w:t>
            </w:r>
            <w:r>
              <w:rPr>
                <w:rFonts w:eastAsia="Calibri" w:cs="CreditSuisseType-Light"/>
                <w:lang w:val="de-DE" w:eastAsia="en-GB"/>
              </w:rPr>
              <w:t xml:space="preserve">und </w:t>
            </w:r>
            <w:r w:rsidRPr="00E6737A">
              <w:rPr>
                <w:rFonts w:eastAsia="Calibri" w:cs="CreditSuisseType-Light"/>
                <w:lang w:val="de-CH" w:eastAsia="en-GB"/>
              </w:rPr>
              <w:t>"</w:t>
            </w:r>
            <w:r w:rsidRPr="00E6737A">
              <w:rPr>
                <w:rFonts w:eastAsia="Calibri" w:cs="CreditSuisseType-Light"/>
                <w:i/>
                <w:lang w:val="de-CH" w:eastAsia="en-GB"/>
              </w:rPr>
              <w:t>I—</w:t>
            </w:r>
            <w:r w:rsidRPr="005C5842">
              <w:rPr>
                <w:rFonts w:eastAsiaTheme="minorHAnsi"/>
                <w:bCs w:val="0"/>
                <w:i/>
                <w:szCs w:val="22"/>
                <w:lang w:val="de-DE" w:eastAsia="en-US"/>
              </w:rPr>
              <w:t xml:space="preserve"> </w:t>
            </w:r>
            <w:r w:rsidRPr="005C5842">
              <w:rPr>
                <w:rFonts w:eastAsia="Calibri" w:cs="CreditSuisseType-Light"/>
                <w:i/>
                <w:lang w:val="de-DE" w:eastAsia="en-GB"/>
              </w:rPr>
              <w:t xml:space="preserve">Credit Suisse Results – Credit Suisse – </w:t>
            </w:r>
            <w:r w:rsidRPr="00BD6E0D" w:rsidR="00556D08">
              <w:rPr>
                <w:rFonts w:eastAsia="Calibri" w:cs="CreditSuisseType-Light"/>
                <w:i/>
                <w:lang w:val="de-DE" w:eastAsia="en-GB"/>
              </w:rPr>
              <w:t xml:space="preserve">Information and developments - </w:t>
            </w:r>
            <w:r w:rsidRPr="005C5842">
              <w:rPr>
                <w:rFonts w:eastAsia="Calibri" w:cs="CreditSuisseType-Light"/>
                <w:i/>
                <w:lang w:val="de-DE" w:eastAsia="en-GB"/>
              </w:rPr>
              <w:t>Evolution of legal entity structure</w:t>
            </w:r>
            <w:r w:rsidRPr="00E6737A">
              <w:rPr>
                <w:rFonts w:eastAsia="Calibri" w:cs="CreditSuisseType-Light"/>
                <w:lang w:val="de-CH" w:eastAsia="en-GB"/>
              </w:rPr>
              <w:t>" des Finanzbericht</w:t>
            </w:r>
            <w:r>
              <w:rPr>
                <w:rFonts w:eastAsia="Calibri" w:cs="CreditSuisseType-Light"/>
                <w:lang w:val="de-CH" w:eastAsia="en-GB"/>
              </w:rPr>
              <w:t>s</w:t>
            </w:r>
            <w:r w:rsidRPr="00E6737A">
              <w:rPr>
                <w:rFonts w:eastAsia="Calibri" w:cs="CreditSuisseType-Light"/>
                <w:lang w:val="de-CH" w:eastAsia="en-GB"/>
              </w:rPr>
              <w:t xml:space="preserve"> </w:t>
            </w:r>
            <w:r>
              <w:rPr>
                <w:rFonts w:eastAsia="Calibri" w:cs="CreditSuisseType-Light"/>
                <w:lang w:val="de-CH" w:eastAsia="en-GB"/>
              </w:rPr>
              <w:t>2</w:t>
            </w:r>
            <w:r w:rsidRPr="00E6737A">
              <w:rPr>
                <w:rFonts w:eastAsia="Calibri" w:cs="CreditSuisseType-Light"/>
                <w:lang w:val="de-CH" w:eastAsia="en-GB"/>
              </w:rPr>
              <w:t>Q15 der Credit Suisse</w:t>
            </w:r>
            <w:r w:rsidRPr="00E6737A">
              <w:rPr>
                <w:rFonts w:eastAsia="Calibri" w:cs="CreditSuisseType-Light"/>
                <w:lang w:val="de-DE" w:eastAsia="en-GB"/>
              </w:rPr>
              <w:t xml:space="preserve"> </w:t>
            </w:r>
            <w:r w:rsidRPr="00B21060">
              <w:rPr>
                <w:rFonts w:eastAsia="Calibri" w:cs="CreditSuisseType-Light"/>
                <w:lang w:val="de-DE" w:eastAsia="en-GB"/>
              </w:rPr>
              <w:t>zu entnehmen</w:t>
            </w:r>
            <w:r w:rsidRPr="00673825">
              <w:rPr>
                <w:lang w:val="de-DE"/>
              </w:rPr>
              <w:t>.</w:t>
            </w:r>
          </w:p>
        </w:tc>
      </w:tr>
    </w:tbl>
    <w:tbl>
      <w:tblPr>
        <w:tblStyle w:val="TableGrid"/>
        <w:tblW w:w="5000" w:type="pct"/>
        <w:tblBorders>
          <w:top w:val="nil"/>
          <w:left w:val="nil"/>
          <w:bottom w:val="nil"/>
          <w:right w:val="nil"/>
          <w:insideH w:val="nil"/>
        </w:tblBorders>
        <w:tblLook w:val="04A0"/>
      </w:tblPr>
      <w:tblGrid>
        <w:gridCol w:w="4927"/>
        <w:gridCol w:w="4928"/>
      </w:tblGrid>
      <w:tr w:rsidTr="002F2BFA">
        <w:tblPrEx>
          <w:tblW w:w="5000" w:type="pct"/>
          <w:tblBorders>
            <w:top w:val="nil"/>
            <w:left w:val="nil"/>
            <w:bottom w:val="nil"/>
            <w:right w:val="nil"/>
            <w:insideH w:val="nil"/>
          </w:tblBorders>
          <w:tblLook w:val="04A0"/>
        </w:tblPrEx>
        <w:tc>
          <w:tcPr>
            <w:tcW w:w="4927" w:type="dxa"/>
          </w:tcPr>
          <w:p w:rsidR="00F675E9" w:rsidP="00942F00">
            <w:pPr>
              <w:pStyle w:val="CSHeading2EN"/>
            </w:pPr>
            <w:bookmarkStart w:id="33" w:name="_Toc438227513"/>
            <w:bookmarkEnd w:id="31"/>
            <w:bookmarkEnd w:id="32"/>
            <w:r w:rsidRPr="00F675E9">
              <w:t>Risk factors relating to Complex Products</w:t>
            </w:r>
            <w:bookmarkEnd w:id="33"/>
          </w:p>
        </w:tc>
        <w:tc>
          <w:tcPr>
            <w:tcW w:w="4928" w:type="dxa"/>
          </w:tcPr>
          <w:p w:rsidR="00F675E9" w:rsidRPr="00B34C1C" w:rsidP="00942F00">
            <w:pPr>
              <w:pStyle w:val="CSHeading2DE"/>
              <w:rPr>
                <w:lang w:val="de-DE"/>
              </w:rPr>
            </w:pPr>
            <w:bookmarkStart w:id="34" w:name="_Toc438160261"/>
            <w:r w:rsidRPr="00B34C1C">
              <w:rPr>
                <w:lang w:val="de-DE"/>
              </w:rPr>
              <w:t>Risikofaktoren in Bezug auf Komplexe Produkte</w:t>
            </w:r>
            <w:bookmarkEnd w:id="34"/>
          </w:p>
        </w:tc>
      </w:tr>
      <w:tr w:rsidTr="002F2BFA">
        <w:tblPrEx>
          <w:tblW w:w="5000" w:type="pct"/>
          <w:tblLook w:val="04A0"/>
        </w:tblPrEx>
        <w:tc>
          <w:tcPr>
            <w:tcW w:w="4927" w:type="dxa"/>
          </w:tcPr>
          <w:p w:rsidR="00F675E9" w:rsidP="00D82500">
            <w:pPr>
              <w:pStyle w:val="CSHeading3EN"/>
            </w:pPr>
            <w:bookmarkStart w:id="35" w:name="_Toc438227514"/>
            <w:r w:rsidRPr="00F675E9">
              <w:t>Risk factors that are applicable to all Complex Products</w:t>
            </w:r>
            <w:bookmarkEnd w:id="35"/>
          </w:p>
        </w:tc>
        <w:tc>
          <w:tcPr>
            <w:tcW w:w="4928" w:type="dxa"/>
          </w:tcPr>
          <w:p w:rsidR="00F675E9" w:rsidRPr="00B34C1C" w:rsidP="00D82500">
            <w:pPr>
              <w:pStyle w:val="CSHeading3DE"/>
              <w:rPr>
                <w:lang w:val="de-DE"/>
              </w:rPr>
            </w:pPr>
            <w:bookmarkStart w:id="36" w:name="_Toc438160262"/>
            <w:r w:rsidRPr="00B34C1C">
              <w:rPr>
                <w:lang w:val="de-DE"/>
              </w:rPr>
              <w:t>Risikofaktoren, die für alle Komplexen Produkte gelten</w:t>
            </w:r>
            <w:bookmarkEnd w:id="36"/>
          </w:p>
        </w:tc>
      </w:tr>
      <w:tr w:rsidTr="002F2BFA">
        <w:tblPrEx>
          <w:tblW w:w="5000" w:type="pct"/>
          <w:tblLook w:val="04A0"/>
        </w:tblPrEx>
        <w:tc>
          <w:tcPr>
            <w:tcW w:w="4927" w:type="dxa"/>
          </w:tcPr>
          <w:p w:rsidR="00F675E9" w:rsidRPr="00A036A4" w:rsidP="00376749">
            <w:pPr>
              <w:pStyle w:val="CSbody0bold"/>
            </w:pPr>
            <w:r w:rsidRPr="00A036A4">
              <w:t>General</w:t>
            </w:r>
          </w:p>
        </w:tc>
        <w:tc>
          <w:tcPr>
            <w:tcW w:w="4928" w:type="dxa"/>
          </w:tcPr>
          <w:p w:rsidR="00F675E9" w:rsidP="00376749">
            <w:pPr>
              <w:pStyle w:val="CSbody0bold"/>
            </w:pPr>
            <w:r w:rsidRPr="00A036A4">
              <w:t>Allgemeines</w:t>
            </w:r>
          </w:p>
        </w:tc>
      </w:tr>
      <w:tr w:rsidTr="002F2BFA">
        <w:tblPrEx>
          <w:tblW w:w="5000" w:type="pct"/>
          <w:tblLook w:val="04A0"/>
        </w:tblPrEx>
        <w:tc>
          <w:tcPr>
            <w:tcW w:w="4927" w:type="dxa"/>
          </w:tcPr>
          <w:p w:rsidR="00376749" w:rsidRPr="00F74E5E" w:rsidP="00376749">
            <w:pPr>
              <w:pStyle w:val="CSBody0"/>
            </w:pPr>
            <w:r w:rsidRPr="00F74E5E">
              <w:t>An investment in Complex Products entails certain risks, which vary depending on the specific type and structure of the relevant Complex Products. See "</w:t>
            </w:r>
            <w:r w:rsidRPr="00376749">
              <w:rPr>
                <w:i/>
              </w:rPr>
              <w:t>— B. Risks associated with different categories of Complex Products</w:t>
            </w:r>
            <w:r w:rsidRPr="00F74E5E">
              <w:t>", and "</w:t>
            </w:r>
            <w:r w:rsidRPr="00376749">
              <w:rPr>
                <w:i/>
              </w:rPr>
              <w:t>— C. Risks associated with Complex Products that include certain features</w:t>
            </w:r>
            <w:r w:rsidRPr="00F74E5E">
              <w:t>" below for the risks associated with different types and structures of Complex Products to be issued under this Document.</w:t>
            </w:r>
          </w:p>
        </w:tc>
        <w:tc>
          <w:tcPr>
            <w:tcW w:w="4928" w:type="dxa"/>
          </w:tcPr>
          <w:p w:rsidR="00376749" w:rsidRPr="00376749" w:rsidP="00376749">
            <w:pPr>
              <w:pStyle w:val="CSBody0"/>
              <w:rPr>
                <w:lang w:val="de-DE"/>
              </w:rPr>
            </w:pPr>
            <w:r w:rsidRPr="00376749">
              <w:rPr>
                <w:lang w:val="de-DE"/>
              </w:rPr>
              <w:t>Eine Anlage in Komplexe Produkte ist mit bestimmten Risiken verbunden, die sich in Abhängigkeit von Typ und Struktur der jeweilige</w:t>
            </w:r>
            <w:r>
              <w:rPr>
                <w:lang w:val="de-DE"/>
              </w:rPr>
              <w:t>n Komplexen Produkte unterschei</w:t>
            </w:r>
            <w:r w:rsidRPr="00376749">
              <w:rPr>
                <w:lang w:val="de-DE"/>
              </w:rPr>
              <w:t>den können. Angaben zu Risiken, die mit unterschiedlichen Typen und Strukturen von Komplexen Produkten, die unter diesem Dokument begeben werden, verbunden sind, sind den nachstehenden Abschnitten "</w:t>
            </w:r>
            <w:r w:rsidRPr="00376749">
              <w:rPr>
                <w:i/>
                <w:lang w:val="de-DE"/>
              </w:rPr>
              <w:t>— B. Mit unterschiedlichen Kategorien von Komplexen Produkten verbundene Risiken</w:t>
            </w:r>
            <w:r w:rsidRPr="00376749">
              <w:rPr>
                <w:lang w:val="de-DE"/>
              </w:rPr>
              <w:t>" und "</w:t>
            </w:r>
            <w:r w:rsidRPr="00376749">
              <w:rPr>
                <w:i/>
                <w:lang w:val="de-DE"/>
              </w:rPr>
              <w:t>— C. Mit Komplexen Produkten mit bestimmten Merkmalen verbundene Risiken</w:t>
            </w:r>
            <w:r w:rsidRPr="00376749">
              <w:rPr>
                <w:lang w:val="de-DE"/>
              </w:rPr>
              <w:t>" zu entnehmen.</w:t>
            </w:r>
          </w:p>
        </w:tc>
      </w:tr>
      <w:tr w:rsidTr="002F2BFA">
        <w:tblPrEx>
          <w:tblW w:w="5000" w:type="pct"/>
          <w:tblLook w:val="04A0"/>
        </w:tblPrEx>
        <w:tc>
          <w:tcPr>
            <w:tcW w:w="4927" w:type="dxa"/>
          </w:tcPr>
          <w:p w:rsidR="00376749" w:rsidRPr="00F74E5E" w:rsidP="00376749">
            <w:pPr>
              <w:pStyle w:val="CSBody0"/>
            </w:pPr>
            <w:r w:rsidRPr="00F74E5E">
              <w:t>An investment in Complex Products requires a thorough understanding of the nature of Complex Products. Potential investors in Complex Products should be exper</w:t>
            </w:r>
            <w:r>
              <w:t>i</w:t>
            </w:r>
            <w:r w:rsidRPr="00F74E5E">
              <w:t>enced with respect to an investment in complex financial instruments and be aware of the related risks.</w:t>
            </w:r>
          </w:p>
        </w:tc>
        <w:tc>
          <w:tcPr>
            <w:tcW w:w="4928" w:type="dxa"/>
          </w:tcPr>
          <w:p w:rsidR="00376749" w:rsidRPr="00376749" w:rsidP="00376749">
            <w:pPr>
              <w:pStyle w:val="CSBody0"/>
              <w:rPr>
                <w:lang w:val="de-DE"/>
              </w:rPr>
            </w:pPr>
            <w:r w:rsidRPr="00376749">
              <w:rPr>
                <w:lang w:val="de-DE"/>
              </w:rPr>
              <w:t>Eine Anlage in Komplexe</w:t>
            </w:r>
            <w:r>
              <w:rPr>
                <w:lang w:val="de-DE"/>
              </w:rPr>
              <w:t xml:space="preserve"> Produkte erfordert ein gründli</w:t>
            </w:r>
            <w:r w:rsidRPr="00376749">
              <w:rPr>
                <w:lang w:val="de-DE"/>
              </w:rPr>
              <w:t>ches Verständnis der Eigenschaften der Komplexen Produkte. Potenzielle Anleger in Komplexe Produkte sollten über Erfahrungen mit Anlagen in komplexe Finanzinstrumente verfügen und sich der damit verbundenen Risiken bewusst sein.</w:t>
            </w:r>
          </w:p>
        </w:tc>
      </w:tr>
      <w:tr w:rsidTr="002F2BFA">
        <w:tblPrEx>
          <w:tblW w:w="5000" w:type="pct"/>
          <w:tblLook w:val="04A0"/>
        </w:tblPrEx>
        <w:tc>
          <w:tcPr>
            <w:tcW w:w="4927" w:type="dxa"/>
          </w:tcPr>
          <w:p w:rsidR="00376749" w:rsidRPr="00F74E5E" w:rsidP="00376749">
            <w:pPr>
              <w:pStyle w:val="CSBody0"/>
            </w:pPr>
            <w:r w:rsidRPr="00F74E5E">
              <w:t>A potential investor in Complex Products should determine the suitability of such an investment in light of such investor's particular circumstances. In particular, a potential investor in Complex Products should:</w:t>
            </w:r>
          </w:p>
        </w:tc>
        <w:tc>
          <w:tcPr>
            <w:tcW w:w="4928" w:type="dxa"/>
          </w:tcPr>
          <w:p w:rsidR="00376749" w:rsidP="00376749">
            <w:pPr>
              <w:pStyle w:val="CSBody0"/>
            </w:pPr>
            <w:r w:rsidRPr="00376749">
              <w:rPr>
                <w:lang w:val="de-DE"/>
              </w:rPr>
              <w:t xml:space="preserve">Ein potenzieller Anleger in Komplexe Produkte sollte die Eignung einer solchen Anlage vor dem Hintergrund seiner persönlichen Verhältnisse prüfen. </w:t>
            </w:r>
            <w:r w:rsidRPr="00F74E5E">
              <w:t>Insbesondere sollte ein potenzieller Anleger in Komplexe Produkte:</w:t>
            </w:r>
          </w:p>
        </w:tc>
      </w:tr>
      <w:tr w:rsidTr="002F2BFA">
        <w:tblPrEx>
          <w:tblW w:w="5000" w:type="pct"/>
          <w:tblLook w:val="04A0"/>
        </w:tblPrEx>
        <w:tc>
          <w:tcPr>
            <w:tcW w:w="4927" w:type="dxa"/>
          </w:tcPr>
          <w:p w:rsidR="00F675E9" w:rsidP="00212F14">
            <w:pPr>
              <w:pStyle w:val="CSBullet63"/>
            </w:pPr>
            <w:r w:rsidRPr="00212F14">
              <w:t>have sufficient knowledge and experience to make a meaningful evaluation of Complex Products, the merits and risks of investing in Complex Products and the information contained in, or incorporated by reference into, the Base Prospectus and the applicable Terms and Conditions;</w:t>
            </w:r>
          </w:p>
        </w:tc>
        <w:tc>
          <w:tcPr>
            <w:tcW w:w="4928" w:type="dxa"/>
          </w:tcPr>
          <w:p w:rsidR="00F675E9" w:rsidRPr="00212F14" w:rsidP="00212F14">
            <w:pPr>
              <w:pStyle w:val="CSBullet63"/>
              <w:rPr>
                <w:lang w:val="de-DE"/>
              </w:rPr>
            </w:pPr>
            <w:r w:rsidRPr="00212F14">
              <w:rPr>
                <w:lang w:val="de-DE"/>
              </w:rPr>
              <w:t>über ausreichende Kenntnisse und Erfahrungen verfügen, um eine sinnvolle Bewertung der Komplexen Produkte, der Vorteile und Risiken einer Anlage in Komplexe Produkte sowie der in diesem Basisprospekt (einschliesslich der durch Verweis einbezogenen Dokumente) und den anwendbaren Emissionsbedingungen enthaltenen Informationen vorzunehmen;</w:t>
            </w:r>
          </w:p>
        </w:tc>
      </w:tr>
      <w:tr w:rsidTr="002F2BFA">
        <w:tblPrEx>
          <w:tblW w:w="5000" w:type="pct"/>
          <w:tblLook w:val="04A0"/>
        </w:tblPrEx>
        <w:tc>
          <w:tcPr>
            <w:tcW w:w="4927" w:type="dxa"/>
          </w:tcPr>
          <w:p w:rsidR="00F675E9" w:rsidP="00212F14">
            <w:pPr>
              <w:pStyle w:val="CSBullet63"/>
            </w:pPr>
            <w:r w:rsidRPr="00212F14">
              <w:t>have access to, and knowledge of, appropriate analytical tools to evaluate, in the context of such investor's particular financial situation, an investment in Complex Products and the impact the relevant Complex Products will have on such investor's overall investment portfolio;</w:t>
            </w:r>
          </w:p>
        </w:tc>
        <w:tc>
          <w:tcPr>
            <w:tcW w:w="4928" w:type="dxa"/>
          </w:tcPr>
          <w:p w:rsidR="00F675E9" w:rsidRPr="00212F14" w:rsidP="00613497">
            <w:pPr>
              <w:pStyle w:val="CSBullet63"/>
              <w:rPr>
                <w:lang w:val="de-DE"/>
              </w:rPr>
            </w:pPr>
            <w:r w:rsidRPr="00212F14">
              <w:rPr>
                <w:lang w:val="de-DE"/>
              </w:rPr>
              <w:t>Zugang zu geeigneten Analyseinstrumenten haben und mit deren Handhabung vertraut sein, um eine Anlage in Komplexe Produkte sowie die Auswirkungen der jeweiligen Komplexen Produkte auf sein Gesamtanlageportfolio unter Berücksichtigung seiner persönlichen Vermögenslage bewerten zu können;</w:t>
            </w:r>
          </w:p>
        </w:tc>
      </w:tr>
      <w:tr w:rsidTr="002F2BFA">
        <w:tblPrEx>
          <w:tblW w:w="5000" w:type="pct"/>
          <w:tblLook w:val="04A0"/>
        </w:tblPrEx>
        <w:tc>
          <w:tcPr>
            <w:tcW w:w="4927" w:type="dxa"/>
          </w:tcPr>
          <w:p w:rsidR="00F675E9" w:rsidP="00212F14">
            <w:pPr>
              <w:pStyle w:val="CSBullet63"/>
            </w:pPr>
            <w:r w:rsidRPr="00212F14">
              <w:t>have sufficient financial resources to bear all the risks of an investment in the relevant Complex Products;</w:t>
            </w:r>
          </w:p>
        </w:tc>
        <w:tc>
          <w:tcPr>
            <w:tcW w:w="4928" w:type="dxa"/>
          </w:tcPr>
          <w:p w:rsidR="00F675E9" w:rsidRPr="00212F14" w:rsidP="00212F14">
            <w:pPr>
              <w:pStyle w:val="CSBullet63"/>
              <w:rPr>
                <w:lang w:val="de-DE"/>
              </w:rPr>
            </w:pPr>
            <w:r w:rsidRPr="00212F14">
              <w:rPr>
                <w:lang w:val="de-DE"/>
              </w:rPr>
              <w:t>über ausreichende finanzielle Mittel verfügen, um alle Risiken einer Anlage in die jeweiligen Komplexen Produkte tragen zu können;</w:t>
            </w:r>
          </w:p>
        </w:tc>
      </w:tr>
      <w:tr w:rsidTr="002F2BFA">
        <w:tblPrEx>
          <w:tblW w:w="5000" w:type="pct"/>
          <w:tblLook w:val="04A0"/>
        </w:tblPrEx>
        <w:tc>
          <w:tcPr>
            <w:tcW w:w="4927" w:type="dxa"/>
          </w:tcPr>
          <w:p w:rsidR="00F675E9" w:rsidP="00212F14">
            <w:pPr>
              <w:pStyle w:val="CSBullet63"/>
            </w:pPr>
            <w:r w:rsidRPr="00212F14">
              <w:t>understand thoroughly the Terms and Conditions applicable to the relevant Complex Products and be familiar with the behaviour of the relevant factors affecting the market value of such Complex Products and financial markets;</w:t>
            </w:r>
          </w:p>
        </w:tc>
        <w:tc>
          <w:tcPr>
            <w:tcW w:w="4928" w:type="dxa"/>
          </w:tcPr>
          <w:p w:rsidR="00F675E9" w:rsidRPr="00212F14" w:rsidP="00212F14">
            <w:pPr>
              <w:pStyle w:val="CSBullet63"/>
              <w:rPr>
                <w:lang w:val="de-DE"/>
              </w:rPr>
            </w:pPr>
            <w:r w:rsidRPr="00212F14">
              <w:rPr>
                <w:lang w:val="de-DE"/>
              </w:rPr>
              <w:t>die für die jeweiligen Komplexen Produkte geltenden Emissionsbedingungen im Einzelnen verstehen und mit der Entwicklung der jeweiligen Faktoren, die sich auf den Marktwert dieser Komplexen Produkte auswirken, und der Finanzmärkte vertraut sein;</w:t>
            </w:r>
          </w:p>
        </w:tc>
      </w:tr>
      <w:tr w:rsidTr="002F2BFA">
        <w:tblPrEx>
          <w:tblW w:w="5000" w:type="pct"/>
          <w:tblLook w:val="04A0"/>
        </w:tblPrEx>
        <w:tc>
          <w:tcPr>
            <w:tcW w:w="4927" w:type="dxa"/>
          </w:tcPr>
          <w:p w:rsidR="00F675E9" w:rsidP="00212F14">
            <w:pPr>
              <w:pStyle w:val="CSBullet63"/>
            </w:pPr>
            <w:r w:rsidRPr="00212F14">
              <w:t>be able to evaluate (either alone or with the help of a financial adviser) possible scenarios for economic and other factors that may affect such investor's investment and ability to bear the applicable risks of an investment in Complex Products until their redemption; and</w:t>
            </w:r>
          </w:p>
        </w:tc>
        <w:tc>
          <w:tcPr>
            <w:tcW w:w="4928" w:type="dxa"/>
          </w:tcPr>
          <w:p w:rsidR="00F675E9" w:rsidRPr="00212F14" w:rsidP="00212F14">
            <w:pPr>
              <w:pStyle w:val="CSBullet63"/>
              <w:rPr>
                <w:lang w:val="de-DE"/>
              </w:rPr>
            </w:pPr>
            <w:r w:rsidRPr="00212F14">
              <w:rPr>
                <w:lang w:val="de-DE"/>
              </w:rPr>
              <w:t>entweder selbst oder mit Hilfe eines Finanzberaters in der Lage sein, mögliche Entwicklungen in Bezug auf die wirtschaftlichen und sonstigen Faktoren zu beurteilen, die sich auf seine Anlage und seine Fähigkeit auswirken können, die mit einer Anlage in Komplexe Produkte verbundenen Risiken bis zum jeweiligen Rückzahlungstag zu tragen; und</w:t>
            </w:r>
          </w:p>
        </w:tc>
      </w:tr>
      <w:tr w:rsidTr="002F2BFA">
        <w:tblPrEx>
          <w:tblW w:w="5000" w:type="pct"/>
          <w:tblLook w:val="04A0"/>
        </w:tblPrEx>
        <w:tc>
          <w:tcPr>
            <w:tcW w:w="4927" w:type="dxa"/>
          </w:tcPr>
          <w:p w:rsidR="00F675E9" w:rsidP="00212F14">
            <w:pPr>
              <w:pStyle w:val="CSBullet63"/>
            </w:pPr>
            <w:r w:rsidRPr="00212F14">
              <w:t>recognise that it may not be possible to dispose of Complex Products for a substantial period of time, if at all, before their redemption.</w:t>
            </w:r>
          </w:p>
        </w:tc>
        <w:tc>
          <w:tcPr>
            <w:tcW w:w="4928" w:type="dxa"/>
          </w:tcPr>
          <w:p w:rsidR="00F675E9" w:rsidRPr="00212F14" w:rsidP="00613497">
            <w:pPr>
              <w:pStyle w:val="CSBullet63"/>
              <w:rPr>
                <w:lang w:val="de-DE"/>
              </w:rPr>
            </w:pPr>
            <w:r w:rsidRPr="00212F14">
              <w:rPr>
                <w:lang w:val="de-DE"/>
              </w:rPr>
              <w:t>sich bewusst sein, dass eine Veräusserung der Komplexen Produkte vor dem jeweiligen Rückzahlungstag unter Umständen über einen längeren Zeitraum hinweg oder auch überhaupt nicht möglich ist.</w:t>
            </w:r>
          </w:p>
        </w:tc>
      </w:tr>
      <w:tr w:rsidTr="002F2BFA">
        <w:tblPrEx>
          <w:tblW w:w="5000" w:type="pct"/>
          <w:tblLook w:val="04A0"/>
        </w:tblPrEx>
        <w:tc>
          <w:tcPr>
            <w:tcW w:w="4927" w:type="dxa"/>
          </w:tcPr>
          <w:p w:rsidR="00A3083E" w:rsidRPr="005F7E27" w:rsidP="00A3083E">
            <w:pPr>
              <w:pStyle w:val="CSBody63EN"/>
            </w:pPr>
            <w:r w:rsidRPr="005F7E27">
              <w:t>The trading market for securities, such as Complex Products, may be volatile and may be adversely impacted by many events.</w:t>
            </w:r>
          </w:p>
        </w:tc>
        <w:tc>
          <w:tcPr>
            <w:tcW w:w="4928" w:type="dxa"/>
          </w:tcPr>
          <w:p w:rsidR="00A3083E" w:rsidRPr="00A3083E" w:rsidP="00613497">
            <w:pPr>
              <w:pStyle w:val="CSBody63DE"/>
              <w:rPr>
                <w:lang w:val="de-DE"/>
              </w:rPr>
            </w:pPr>
            <w:r w:rsidRPr="00A3083E">
              <w:rPr>
                <w:lang w:val="de-DE"/>
              </w:rPr>
              <w:t>Der Markt für den Handel in Wertpapieren wie den Komplexen Produkten kann volatil sein und durch zahlreiche Ereignisse nachteilig beeinflusst werden.</w:t>
            </w:r>
          </w:p>
        </w:tc>
      </w:tr>
      <w:tr w:rsidTr="002F2BFA">
        <w:tblPrEx>
          <w:tblW w:w="5000" w:type="pct"/>
          <w:tblLook w:val="04A0"/>
        </w:tblPrEx>
        <w:tc>
          <w:tcPr>
            <w:tcW w:w="4927" w:type="dxa"/>
          </w:tcPr>
          <w:p w:rsidR="00A3083E" w:rsidRPr="005F7E27" w:rsidP="00613497">
            <w:pPr>
              <w:pStyle w:val="CSBody63EN"/>
            </w:pPr>
            <w:r w:rsidRPr="005F7E27">
              <w:t>Complex Products are complex financial instruments. Potential investors generally purchase complex financial instruments as a way to enhance yield with an understood, measured, appropriate addition of risk to their overall investment portfolios. A potential investor should not invest in Complex Products unless such investor has the expertise (either alone or with the help of a financial adviser) to evaluate how the relevant Complex Products will perform under changing conditions, the resulting effects on the market value of the relevant Complex Products and the impact such an investment will have on such investor’s overall investment portfolio.</w:t>
            </w:r>
          </w:p>
        </w:tc>
        <w:tc>
          <w:tcPr>
            <w:tcW w:w="4928" w:type="dxa"/>
          </w:tcPr>
          <w:p w:rsidR="00A3083E" w:rsidRPr="00A3083E" w:rsidP="00613497">
            <w:pPr>
              <w:pStyle w:val="CSBody63DE"/>
              <w:rPr>
                <w:lang w:val="de-DE"/>
              </w:rPr>
            </w:pPr>
            <w:r w:rsidRPr="00A3083E">
              <w:rPr>
                <w:lang w:val="de-DE"/>
              </w:rPr>
              <w:t>Bei den Komplexen Produkten handelt es sich um komplexe Finanzinstrumente. In der Regel erwerben Anleger komplexe Finanzinstrumente zur Renditesteigerung und gehen durch die Beimischung dieser Finanzinstrumente zu ihrem Gesamtportfolio ein bewusst kalkuliertes, ausgewogenes und angemessenes zusätzliches Risiko ein. Potenzielle Anleger sollten nur dann in Komplexe Produkte investieren, wenn sie (selbst oder mit Hilfe eines Finanzberaters) über die erforderliche Sachkenntnis verfügen, um beurteilen zu können, wie sich der Wert der jeweiligen Komplexen Produkte unter sich ändernden Bedingungen entwickeln wird, welche Folgen dies für den Marktwert der jeweiligen Komplexen Produkte haben wird und wie sich eine solche Anlage auf ihr Gesamtanlageportfolio auswirken wird.</w:t>
            </w:r>
          </w:p>
        </w:tc>
      </w:tr>
      <w:tr w:rsidTr="002F2BFA">
        <w:tblPrEx>
          <w:tblW w:w="5000" w:type="pct"/>
          <w:tblLook w:val="04A0"/>
        </w:tblPrEx>
        <w:tc>
          <w:tcPr>
            <w:tcW w:w="4927" w:type="dxa"/>
          </w:tcPr>
          <w:p w:rsidR="00A3083E" w:rsidRPr="0058409A" w:rsidP="00A3083E">
            <w:pPr>
              <w:pStyle w:val="CSBody63ENbold"/>
            </w:pPr>
            <w:r w:rsidRPr="0058409A">
              <w:t>Rights of the holders of Complex Products may be adversely affected by FINMA's broad statutory powers in the case of a restructuring proceeding in relation to Credit Suisse, including its power to convert the Complex Products into equity and/or partially or fully write-down the Complex Products</w:t>
            </w:r>
          </w:p>
        </w:tc>
        <w:tc>
          <w:tcPr>
            <w:tcW w:w="4928" w:type="dxa"/>
          </w:tcPr>
          <w:p w:rsidR="00A3083E" w:rsidRPr="00A3083E" w:rsidP="00A3083E">
            <w:pPr>
              <w:pStyle w:val="CSBody63DEbold"/>
              <w:rPr>
                <w:lang w:val="de-DE"/>
              </w:rPr>
            </w:pPr>
            <w:r w:rsidRPr="00A3083E">
              <w:rPr>
                <w:lang w:val="de-DE"/>
              </w:rPr>
              <w:t>Die Rechte der Inhaber von Komplexen Produkten können im Falle eines Sanierungsverfahrens in Bezug auf die Credit Suisse durch die weitreichenden gesetzlichen Befugnisse der FINMA, einschliesslich der Befugnis zur Umwandlung der Komplexen Produkte in Eigenkapital und/oder zur teilweisen oder vollständigen Abschreibung der Komplexen Produkte, beeinträchtigt werden.</w:t>
            </w:r>
          </w:p>
        </w:tc>
      </w:tr>
      <w:tr w:rsidTr="002F2BFA">
        <w:tblPrEx>
          <w:tblW w:w="5000" w:type="pct"/>
          <w:tblLook w:val="04A0"/>
        </w:tblPrEx>
        <w:tc>
          <w:tcPr>
            <w:tcW w:w="4927" w:type="dxa"/>
          </w:tcPr>
          <w:p w:rsidR="00A3083E" w:rsidRPr="009C6F28" w:rsidP="00A3083E">
            <w:pPr>
              <w:pStyle w:val="CSBody63EN"/>
            </w:pPr>
            <w:r w:rsidRPr="009C6F28">
              <w:t xml:space="preserve">Swiss banking laws provide FINMA with broad powers and discretion in the case of resolution procedures with respect to Swiss banks such as Credit Suisse. In such resolution procedures, FINMA may require the conversion of Complex Products into equity and/or a partial or full write-off of Complex Products. In such case, holders of Complex Products would lose all or some of their investment in such Complex Products. Where FINMA orders the conversion of Complex Products into equity, the securities received may be worth significantly less than the Complex Products and may have a significantly different risk profile. For a description of the current regime under Swiss banking laws as it applies to Credit Suisse, see </w:t>
            </w:r>
            <w:r w:rsidR="00116653">
              <w:t>"</w:t>
            </w:r>
            <w:r w:rsidRPr="00A3083E">
              <w:rPr>
                <w:i/>
              </w:rPr>
              <w:t>Recent regulatory developments and proposals – Switzerland</w:t>
            </w:r>
            <w:r w:rsidR="00116653">
              <w:t>"</w:t>
            </w:r>
            <w:r w:rsidRPr="009C6F28">
              <w:t xml:space="preserve"> and </w:t>
            </w:r>
            <w:r w:rsidR="00116653">
              <w:t>"</w:t>
            </w:r>
            <w:r w:rsidRPr="00A3083E">
              <w:rPr>
                <w:i/>
              </w:rPr>
              <w:t>Regulatory Framework – Switzerland – Resolution regime</w:t>
            </w:r>
            <w:r w:rsidR="00116653">
              <w:t>"</w:t>
            </w:r>
            <w:r w:rsidRPr="009C6F28">
              <w:t xml:space="preserve"> under </w:t>
            </w:r>
            <w:r w:rsidR="00116653">
              <w:t>"</w:t>
            </w:r>
            <w:r w:rsidRPr="00A3083E">
              <w:rPr>
                <w:i/>
              </w:rPr>
              <w:t>Information on the Company – Regulation and Supervision</w:t>
            </w:r>
            <w:r w:rsidR="00116653">
              <w:t>"</w:t>
            </w:r>
            <w:r w:rsidRPr="009C6F28">
              <w:t xml:space="preserve"> of the Credit Suisse Annual Report 2014.</w:t>
            </w:r>
          </w:p>
        </w:tc>
        <w:tc>
          <w:tcPr>
            <w:tcW w:w="4928" w:type="dxa"/>
          </w:tcPr>
          <w:p w:rsidR="00A3083E" w:rsidRPr="00A3083E" w:rsidP="00613497">
            <w:pPr>
              <w:pStyle w:val="CSBody63DE"/>
              <w:rPr>
                <w:lang w:val="de-DE"/>
              </w:rPr>
            </w:pPr>
            <w:r w:rsidRPr="00A3083E">
              <w:rPr>
                <w:lang w:val="de-DE"/>
              </w:rPr>
              <w:t>Nach dem Schweizer Bankenrecht besitzt die FINMA weitreichende Befugnisse und Ermessensspielräume im Falle eines Sanierungsverfahrens in Bezug auf Banken wie die Credit Suisse. In einem solchen Sanierungsverfahren kann die FINMA eine Umwandlung der Komplexen Produkte in Eigenkapital und/oder eine teilweise oder vollständige Abschreibung der Komplexen Produkte verlangen. In diesem Fall würden Inhaber von Komplexen Produkten einen Teil- oder Totalverlust des in die Komplexen Produkte angelegten Kapitals erleiden. Falls die FINMA die Umwandlung der Komplexen Produkte in Eigenkapital anordnet, können die Wertpapiere, die der Anleger erhält, erheblich weniger wert sein als die Komplexen Produkte und ein ganz anderes Risikoprofil aufweisen. Eine Beschreibung der aktuellen, für die Credit Suisse geltenden Regelungen gemäss dem Schweizer Bankengesetz findet sich unter "</w:t>
            </w:r>
            <w:r w:rsidRPr="00A3083E">
              <w:rPr>
                <w:i/>
                <w:lang w:val="de-DE"/>
              </w:rPr>
              <w:t>Jüngste regulatorische Entwicklungen und Vorschläge – Schweiz</w:t>
            </w:r>
            <w:r w:rsidRPr="00A3083E">
              <w:rPr>
                <w:lang w:val="de-DE"/>
              </w:rPr>
              <w:t xml:space="preserve">" und " </w:t>
            </w:r>
            <w:r w:rsidRPr="00A3083E">
              <w:rPr>
                <w:i/>
                <w:lang w:val="de-DE"/>
              </w:rPr>
              <w:t>Regulatorischer Rahmen – Schweiz – Insolvenzregime</w:t>
            </w:r>
            <w:r w:rsidRPr="00A3083E">
              <w:rPr>
                <w:lang w:val="de-DE"/>
              </w:rPr>
              <w:t>" im Abschnitt "</w:t>
            </w:r>
            <w:r w:rsidRPr="00A3083E">
              <w:rPr>
                <w:i/>
                <w:lang w:val="de-DE"/>
              </w:rPr>
              <w:t>Informationen zum Unternehmen – Gesetzgebung und Aufsichtsbehörden</w:t>
            </w:r>
            <w:r w:rsidRPr="00A3083E">
              <w:rPr>
                <w:lang w:val="de-DE"/>
              </w:rPr>
              <w:t>" des Geschäftsberichts für das Jahr 2014.</w:t>
            </w:r>
          </w:p>
        </w:tc>
      </w:tr>
      <w:tr w:rsidTr="002F2BFA">
        <w:tblPrEx>
          <w:tblW w:w="5000" w:type="pct"/>
          <w:tblLook w:val="04A0"/>
        </w:tblPrEx>
        <w:tc>
          <w:tcPr>
            <w:tcW w:w="4927" w:type="dxa"/>
          </w:tcPr>
          <w:p w:rsidR="00A3083E" w:rsidRPr="009C6F28" w:rsidP="00A3083E">
            <w:pPr>
              <w:pStyle w:val="CSBody63ENbold"/>
            </w:pPr>
            <w:r w:rsidRPr="009C6F28">
              <w:t>Complex Products without a COSI feature are unsecured obligations</w:t>
            </w:r>
          </w:p>
        </w:tc>
        <w:tc>
          <w:tcPr>
            <w:tcW w:w="4928" w:type="dxa"/>
          </w:tcPr>
          <w:p w:rsidR="00A3083E" w:rsidRPr="00A3083E" w:rsidP="00A3083E">
            <w:pPr>
              <w:pStyle w:val="CSBody63DEbold"/>
              <w:rPr>
                <w:lang w:val="de-DE"/>
              </w:rPr>
            </w:pPr>
            <w:r w:rsidRPr="00A3083E">
              <w:rPr>
                <w:lang w:val="de-DE"/>
              </w:rPr>
              <w:t>Komplexe Produkte ohne COSI Merkmal sind unbesicherte Verbindlichkeiten</w:t>
            </w:r>
          </w:p>
        </w:tc>
      </w:tr>
      <w:tr w:rsidTr="002F2BFA">
        <w:tblPrEx>
          <w:tblW w:w="5000" w:type="pct"/>
          <w:tblLook w:val="04A0"/>
        </w:tblPrEx>
        <w:tc>
          <w:tcPr>
            <w:tcW w:w="4927" w:type="dxa"/>
          </w:tcPr>
          <w:p w:rsidR="00A3083E" w:rsidRPr="009532E3" w:rsidP="00613497">
            <w:pPr>
              <w:pStyle w:val="CSBody63EN"/>
            </w:pPr>
            <w:r w:rsidRPr="009532E3">
              <w:t xml:space="preserve">Complex Products without a COSI feature are direct, unconditional, unsecured and unsubordinated obligations of Credit Suisse. If Credit Suisse were to become insolvent, claims of investors in Complex Products without a COSI feature will rank equally in right of payment with all other unsecured and unsubordinated obligations of Credit Suisse, except such obligations given priority by law. In such a case, investors in Complex Products without a COSI feature may suffer a loss of all or a portion of their investment therein, irrespective of any favourable development of the other value determining factors, such as, in the case of Credit-Linked Complex Products with a COSI feature, the performance of the Reference Entity/Entities. </w:t>
            </w:r>
          </w:p>
        </w:tc>
        <w:tc>
          <w:tcPr>
            <w:tcW w:w="4928" w:type="dxa"/>
          </w:tcPr>
          <w:p w:rsidR="00A3083E" w:rsidRPr="00A3083E" w:rsidP="00613497">
            <w:pPr>
              <w:pStyle w:val="CSBody63DE"/>
              <w:rPr>
                <w:lang w:val="de-DE"/>
              </w:rPr>
            </w:pPr>
            <w:r w:rsidRPr="00A3083E">
              <w:rPr>
                <w:lang w:val="de-DE"/>
              </w:rPr>
              <w:t>Komplexe Produkte ohne COSI Merkmal sind direkte, unbedingte, nicht besicherte und nicht nachrangige Verbindlichkeiten von Credit Suisse. Im Fall einer Insolvenz der Credit Suisse sind die Forderungen der Anleger in Komplexe Produkte ohne COSI Merkmal im Hinblick auf das Recht auf Zahlung gleichrangig mit allen anderen nicht besicherten und nicht nachrangigen Verbindlichkeiten der Credit Suisse, mit Ausnahme solcher Verbindlichkeiten, die über einen gesetzlichen Vorrang verfügen. In einem solchen Fall könnten Anleger in Komplexe Produkte ohne COSI Merkmal das angelegte Kapital ganz oder teilweise verlieren, selbst wenn sich die übrigen wertbestimmenden Parameter, wie beispielsweise im Falle von Kreditbezogenen Komplexen Produkten ohne COSI Merkmal, die Wertentwicklung des Referenzschuldners bzw. der Referenzschuldner, günstig entwickeln.</w:t>
            </w:r>
          </w:p>
        </w:tc>
      </w:tr>
      <w:tr w:rsidTr="002F2BFA">
        <w:tblPrEx>
          <w:tblW w:w="5000" w:type="pct"/>
          <w:tblLook w:val="04A0"/>
        </w:tblPrEx>
        <w:tc>
          <w:tcPr>
            <w:tcW w:w="4927" w:type="dxa"/>
          </w:tcPr>
          <w:p w:rsidR="00A3083E" w:rsidRPr="009532E3" w:rsidP="00A3083E">
            <w:pPr>
              <w:pStyle w:val="CSBody63ENbold"/>
            </w:pPr>
            <w:r w:rsidRPr="009532E3">
              <w:t>Complex Products are not covered by any government compensation or insurance scheme and do not have the benefit of any government guarantee</w:t>
            </w:r>
          </w:p>
        </w:tc>
        <w:tc>
          <w:tcPr>
            <w:tcW w:w="4928" w:type="dxa"/>
          </w:tcPr>
          <w:p w:rsidR="00A3083E" w:rsidRPr="00A3083E" w:rsidP="00A3083E">
            <w:pPr>
              <w:pStyle w:val="CSBody63DEbold"/>
              <w:rPr>
                <w:lang w:val="de-DE"/>
              </w:rPr>
            </w:pPr>
            <w:r w:rsidRPr="00A3083E">
              <w:rPr>
                <w:lang w:val="de-DE"/>
              </w:rPr>
              <w:t>Die Komplexen Produkte sind weder durch ein staatliches Schadenausgleichs- oder Versicherungssystem geschützt noch durch eine staatliche Garantie besichert</w:t>
            </w:r>
          </w:p>
        </w:tc>
      </w:tr>
      <w:tr w:rsidTr="002F2BFA">
        <w:tblPrEx>
          <w:tblW w:w="5000" w:type="pct"/>
          <w:tblLook w:val="04A0"/>
        </w:tblPrEx>
        <w:tc>
          <w:tcPr>
            <w:tcW w:w="4927" w:type="dxa"/>
          </w:tcPr>
          <w:p w:rsidR="00A3083E" w:rsidRPr="009532E3" w:rsidP="00A3083E">
            <w:pPr>
              <w:pStyle w:val="CSBody63EN"/>
            </w:pPr>
            <w:r w:rsidRPr="009532E3">
              <w:t>An investment in Complex Products will not be covered by any compensation or insurance scheme (such as a bank deposit protection scheme) of any government agency of Switzerland or any other jurisdiction and Complex Products do not have the benefit of any government guarantee. Complex Products are the obligations of the Issuer only and holders of Complex Products must look solely to the Issuer for the performance of the Issuer's obligations under such Complex Products. In the event of the insolvency of Credit Suisse, an investor in Complex Products may lose all or some of its investment therein. See "</w:t>
            </w:r>
            <w:r w:rsidRPr="00A3083E">
              <w:rPr>
                <w:i/>
              </w:rPr>
              <w:t>— II. Risk factors that may affect the ability of Credit Suisse to fulfil its obligations under Complex Products</w:t>
            </w:r>
            <w:r w:rsidRPr="009532E3">
              <w:t>" above.</w:t>
            </w:r>
          </w:p>
        </w:tc>
        <w:tc>
          <w:tcPr>
            <w:tcW w:w="4928" w:type="dxa"/>
          </w:tcPr>
          <w:p w:rsidR="00A3083E" w:rsidRPr="00A3083E" w:rsidP="00613497">
            <w:pPr>
              <w:pStyle w:val="CSBody63DE"/>
              <w:rPr>
                <w:lang w:val="de-DE"/>
              </w:rPr>
            </w:pPr>
            <w:r w:rsidRPr="00A3083E">
              <w:rPr>
                <w:lang w:val="de-DE"/>
              </w:rPr>
              <w:t>Eine Anlage in Komplexe Produkte ist nicht durch ein Schadenausgleichs- oder Versicherungssystem (wie beispielsweise ein Einlagensicherungssystem) einer staatlichen Behörde der Schweiz oder einer anderen Rechtsordnung geschützt und nicht durch eine staatliche Garantie besichert. Die Komplexen Produkte stellen ausschliesslich Verbindlichkeiten der Emittentin dar, und die Inhaber der Komplexen Produkte können sich bezüglich der Erfüllung der Verpflichtungen der Emittentin aus den Komplexen Produkten nur an die Emittentin wenden. Im Fall einer Insolvenz der Credit Suisse kann ein Anleger in Komplexe Produkte das eingesetzte Kapital unter Umständen ganz oder teilweise verlieren. Siehe dazu den vorstehenden Abschnitt "</w:t>
            </w:r>
            <w:r w:rsidRPr="00A3083E">
              <w:rPr>
                <w:i/>
                <w:lang w:val="de-DE"/>
              </w:rPr>
              <w:t>— II. Risikofaktoren, die die Fähigkeit der Credit Suisse zur Erfüllung ihrer Verpflichtungen aus Komplexen Produkten beeinträchtigen können</w:t>
            </w:r>
            <w:r w:rsidRPr="00A3083E">
              <w:rPr>
                <w:lang w:val="de-DE"/>
              </w:rPr>
              <w:t>".</w:t>
            </w:r>
          </w:p>
        </w:tc>
      </w:tr>
      <w:tr w:rsidTr="002F2BFA">
        <w:tblPrEx>
          <w:tblW w:w="5000" w:type="pct"/>
          <w:tblLook w:val="04A0"/>
        </w:tblPrEx>
        <w:tc>
          <w:tcPr>
            <w:tcW w:w="4927" w:type="dxa"/>
          </w:tcPr>
          <w:p w:rsidR="00A3083E" w:rsidRPr="00D55BA8" w:rsidP="00A3083E">
            <w:pPr>
              <w:pStyle w:val="CSBody63ENbold"/>
            </w:pPr>
            <w:r w:rsidRPr="00D55BA8">
              <w:t xml:space="preserve">Complex Products are not subject to authorisation </w:t>
            </w:r>
            <w:r w:rsidR="00E8568F">
              <w:t xml:space="preserve">or supervision </w:t>
            </w:r>
            <w:r w:rsidRPr="00D55BA8">
              <w:t xml:space="preserve">by FINMA </w:t>
            </w:r>
          </w:p>
        </w:tc>
        <w:tc>
          <w:tcPr>
            <w:tcW w:w="4928" w:type="dxa"/>
          </w:tcPr>
          <w:p w:rsidR="00A3083E" w:rsidRPr="00A3083E" w:rsidP="00AA0733">
            <w:pPr>
              <w:pStyle w:val="CSBody63ENbold"/>
              <w:rPr>
                <w:lang w:val="de-DE"/>
              </w:rPr>
            </w:pPr>
            <w:r w:rsidRPr="00A3083E">
              <w:rPr>
                <w:lang w:val="de-DE"/>
              </w:rPr>
              <w:t xml:space="preserve">Die Komplexen Produkte unterliegen nicht der Bewilligung </w:t>
            </w:r>
            <w:r w:rsidR="00E8568F">
              <w:rPr>
                <w:lang w:val="de-DE"/>
              </w:rPr>
              <w:t xml:space="preserve">oder Ausicht </w:t>
            </w:r>
            <w:r w:rsidRPr="00A3083E">
              <w:rPr>
                <w:lang w:val="de-DE"/>
              </w:rPr>
              <w:t>durch die FINMA</w:t>
            </w:r>
          </w:p>
        </w:tc>
      </w:tr>
      <w:tr w:rsidTr="002F2BFA">
        <w:tblPrEx>
          <w:tblW w:w="5000" w:type="pct"/>
          <w:tblLook w:val="04A0"/>
        </w:tblPrEx>
        <w:tc>
          <w:tcPr>
            <w:tcW w:w="4927" w:type="dxa"/>
          </w:tcPr>
          <w:p w:rsidR="00A3083E" w:rsidRPr="00D55BA8">
            <w:pPr>
              <w:pStyle w:val="CSBody63EN"/>
            </w:pPr>
            <w:r w:rsidRPr="00D55BA8">
              <w:t xml:space="preserve">A Complex Product does not constitute a collective investment scheme within the meaning of the CISA. Therefore, Complex Products are not subject to authorisation </w:t>
            </w:r>
            <w:r w:rsidR="00E8568F">
              <w:t xml:space="preserve"> or supervision by FINMA. Investors bear the Issuer risk</w:t>
            </w:r>
            <w:r w:rsidRPr="00D55BA8">
              <w:t>. Prospective investors should therefore be aware that they are exposed to the credit risk of the Issuer. See "</w:t>
            </w:r>
            <w:r w:rsidRPr="00A3083E">
              <w:rPr>
                <w:i/>
              </w:rPr>
              <w:t>— II. Risk factors that may affect the ability of Credit Suisse to fulfil its obligations under Complex Products</w:t>
            </w:r>
            <w:r w:rsidRPr="00D55BA8">
              <w:t>" above.</w:t>
            </w:r>
          </w:p>
        </w:tc>
        <w:tc>
          <w:tcPr>
            <w:tcW w:w="4928" w:type="dxa"/>
          </w:tcPr>
          <w:p w:rsidR="00A3083E" w:rsidRPr="00A3083E">
            <w:pPr>
              <w:pStyle w:val="CSBody63DE"/>
              <w:rPr>
                <w:lang w:val="de-DE"/>
              </w:rPr>
            </w:pPr>
            <w:r w:rsidRPr="00A3083E">
              <w:rPr>
                <w:lang w:val="de-DE"/>
              </w:rPr>
              <w:t xml:space="preserve">Ein Komplexes Produkt ist keine kollektive Kapitalanlage im Sinne des KAG. Die Komplexen Produkte unterliegen daher nicht der Bewilligung </w:t>
            </w:r>
            <w:r w:rsidR="00E8568F">
              <w:rPr>
                <w:lang w:val="de-DE"/>
              </w:rPr>
              <w:t xml:space="preserve">oder Aufischt </w:t>
            </w:r>
            <w:r w:rsidRPr="00A3083E">
              <w:rPr>
                <w:lang w:val="de-DE"/>
              </w:rPr>
              <w:t xml:space="preserve">durch die FINMA. </w:t>
            </w:r>
            <w:r w:rsidR="00E8568F">
              <w:rPr>
                <w:lang w:val="de-DE"/>
              </w:rPr>
              <w:t xml:space="preserve"> Anleger tragen das Emittentenrisiko</w:t>
            </w:r>
            <w:r w:rsidRPr="00A3083E">
              <w:rPr>
                <w:lang w:val="de-DE"/>
              </w:rPr>
              <w:t>. Potenzielle Anleger sollten sich also bewusst sein, dass sie dem Kreditrisiko der Emittentin ausgesetzt sind. Siehe dazu den vorstehenden Abschnitt "</w:t>
            </w:r>
            <w:r w:rsidRPr="00A3083E">
              <w:rPr>
                <w:i/>
                <w:lang w:val="de-DE"/>
              </w:rPr>
              <w:t>— II. Risikofaktoren, die die Fähigkeit der Credit Suisse zur Erfüllung ihrer Verpflichtungen aus Komplexen Produkten beeinträchtigen können</w:t>
            </w:r>
            <w:r w:rsidRPr="00A3083E">
              <w:rPr>
                <w:lang w:val="de-DE"/>
              </w:rPr>
              <w:t>".</w:t>
            </w:r>
          </w:p>
        </w:tc>
      </w:tr>
      <w:tr w:rsidTr="002F2BFA">
        <w:tblPrEx>
          <w:tblW w:w="5000" w:type="pct"/>
          <w:tblLook w:val="04A0"/>
        </w:tblPrEx>
        <w:tc>
          <w:tcPr>
            <w:tcW w:w="4927" w:type="dxa"/>
          </w:tcPr>
          <w:p w:rsidR="00A3083E" w:rsidRPr="00D55BA8" w:rsidP="00AA0733">
            <w:pPr>
              <w:pStyle w:val="CSBody63ENbold"/>
            </w:pPr>
            <w:r w:rsidRPr="00D55BA8">
              <w:t>The Issue Price of a Complex Product may be more than the market value of such Complex Product as at the Issue Date</w:t>
            </w:r>
          </w:p>
        </w:tc>
        <w:tc>
          <w:tcPr>
            <w:tcW w:w="4928" w:type="dxa"/>
          </w:tcPr>
          <w:p w:rsidR="00A3083E" w:rsidRPr="00A3083E" w:rsidP="00AA0733">
            <w:pPr>
              <w:pStyle w:val="CSBody63DEbold"/>
              <w:rPr>
                <w:lang w:val="de-DE"/>
              </w:rPr>
            </w:pPr>
            <w:r w:rsidRPr="00A3083E">
              <w:rPr>
                <w:lang w:val="de-DE"/>
              </w:rPr>
              <w:t>Der Emissionspreis eines Komplexen Produkts kann über dessen Marktwert am Emissionstag liegen</w:t>
            </w:r>
          </w:p>
        </w:tc>
      </w:tr>
      <w:tr w:rsidTr="002F2BFA">
        <w:tblPrEx>
          <w:tblW w:w="5000" w:type="pct"/>
          <w:tblLook w:val="04A0"/>
        </w:tblPrEx>
        <w:tc>
          <w:tcPr>
            <w:tcW w:w="4927" w:type="dxa"/>
          </w:tcPr>
          <w:p w:rsidR="00A3083E" w:rsidRPr="00D55BA8" w:rsidP="00613497">
            <w:pPr>
              <w:pStyle w:val="CSBody63EN"/>
            </w:pPr>
            <w:r w:rsidRPr="00D55BA8">
              <w:t>The Issue Price of a Complex Product may be more than the market value of such Complex Product as at the Issue Date (as determined by reference to proprietary pricing models based upon well recognised financial principles used by the Issuer and/or the Calculation Agent). In particular, the Issue Price may include fees (including, without limitation, subscription fees, placement fees, direction fees and structuring fe</w:t>
            </w:r>
            <w:r w:rsidR="00AA0733">
              <w:t>es), embedded commis</w:t>
            </w:r>
            <w:r w:rsidRPr="00D55BA8">
              <w:t>sions and other additional costs payable to the relevant dealer(s) and/or distributor(s).</w:t>
            </w:r>
          </w:p>
        </w:tc>
        <w:tc>
          <w:tcPr>
            <w:tcW w:w="4928" w:type="dxa"/>
          </w:tcPr>
          <w:p w:rsidR="00A3083E" w:rsidRPr="00A3083E" w:rsidP="00613497">
            <w:pPr>
              <w:pStyle w:val="CSBody63DE"/>
              <w:rPr>
                <w:lang w:val="de-DE"/>
              </w:rPr>
            </w:pPr>
            <w:r w:rsidRPr="00A3083E">
              <w:rPr>
                <w:lang w:val="de-DE"/>
              </w:rPr>
              <w:t>Der Emissionspreis eines Komplexen Produkts kann über dessen Marktwert am Emissionstag (ermittelt unter Anwendung eigener Preisfestsetzungsmodelle, die auf von der Emittentin und/oder der Berechnungsstelle verwendeten anerkannten Finanzgrundsätzen basieren) liegen. Insbesondere können im Emissionspreis Gebühren (einschliesslich Zeichnungsgebühren, Platzierungsgebühren, Anweisungsgebühren und Strukturierungsgebühren), eingebettete Provisionen und weitere Zusatzkosten enthalten sein, die an den/die jeweiligen Platzeur(e) und/oder eine oder mehrere Vertriebsgesellschaften zu zahlen sind.</w:t>
            </w:r>
          </w:p>
        </w:tc>
      </w:tr>
      <w:tr w:rsidTr="002F2BFA">
        <w:tblPrEx>
          <w:tblW w:w="5000" w:type="pct"/>
          <w:tblLook w:val="04A0"/>
        </w:tblPrEx>
        <w:tc>
          <w:tcPr>
            <w:tcW w:w="4927" w:type="dxa"/>
          </w:tcPr>
          <w:p w:rsidR="00AA0733" w:rsidRPr="00985833" w:rsidP="00AA0733">
            <w:pPr>
              <w:pStyle w:val="CSBody63EN"/>
            </w:pPr>
            <w:r w:rsidRPr="00985833">
              <w:t>Any such difference between the Issue Price and the market value of a Complex Product on the Issue Date may have an adverse effect on the value of such Complex Product, particularly during the period immediately after the Issue Date when any such fees, commissions and/or costs may be deducted from the price at which such Complex Products can be sold by the initial investor in the secondary market.</w:t>
            </w:r>
          </w:p>
        </w:tc>
        <w:tc>
          <w:tcPr>
            <w:tcW w:w="4928" w:type="dxa"/>
          </w:tcPr>
          <w:p w:rsidR="00AA0733" w:rsidRPr="00AA0733" w:rsidP="00613497">
            <w:pPr>
              <w:pStyle w:val="CSBody63DE"/>
              <w:rPr>
                <w:lang w:val="de-DE"/>
              </w:rPr>
            </w:pPr>
            <w:r w:rsidRPr="00AA0733">
              <w:rPr>
                <w:lang w:val="de-DE"/>
              </w:rPr>
              <w:t>Eine solche Differenz zwischen dem Emissionspreis und dem Marktwert eines Komplexen Produkts am Emissionstag kann sich nachteilig auf den Wert dieses Komplexen Produkts auswirken, insbesondere während des Zeitraums unmittelbar nach dem Emissionstag; in diesem Fall werden diese Gebühren, Kommissionen und/oder Kosten möglicherweise von dem Preis abgezogen, zu dem die betreffenden Komplexen Produkte vom ursprünglichen Anleger am Sekundärmarkt verkauft werden können.</w:t>
            </w:r>
          </w:p>
        </w:tc>
      </w:tr>
      <w:tr w:rsidTr="002F2BFA">
        <w:tblPrEx>
          <w:tblW w:w="5000" w:type="pct"/>
          <w:tblLook w:val="04A0"/>
        </w:tblPrEx>
        <w:tc>
          <w:tcPr>
            <w:tcW w:w="4927" w:type="dxa"/>
          </w:tcPr>
          <w:p w:rsidR="00AA0733" w:rsidRPr="00FE5A1A" w:rsidP="00AA0733">
            <w:pPr>
              <w:pStyle w:val="CSBody63ENbold"/>
            </w:pPr>
            <w:r w:rsidRPr="00FE5A1A">
              <w:t>The market value of Complex Products is expected to be affected by the credit rating of Credit Suisse</w:t>
            </w:r>
          </w:p>
        </w:tc>
        <w:tc>
          <w:tcPr>
            <w:tcW w:w="4928" w:type="dxa"/>
          </w:tcPr>
          <w:p w:rsidR="00AA0733" w:rsidRPr="00AA0733" w:rsidP="00AA0733">
            <w:pPr>
              <w:pStyle w:val="CSBody63DEbold"/>
              <w:rPr>
                <w:lang w:val="de-DE"/>
              </w:rPr>
            </w:pPr>
            <w:r w:rsidRPr="00AA0733">
              <w:rPr>
                <w:lang w:val="de-DE"/>
              </w:rPr>
              <w:t>Es ist davon auszugehen, dass der Marktwert der Komplexen Produkte durch das Kreditrating der Credit Suisse beeinflusst wird</w:t>
            </w:r>
          </w:p>
        </w:tc>
      </w:tr>
      <w:tr w:rsidTr="002F2BFA">
        <w:tblPrEx>
          <w:tblW w:w="5000" w:type="pct"/>
          <w:tblLook w:val="04A0"/>
        </w:tblPrEx>
        <w:tc>
          <w:tcPr>
            <w:tcW w:w="4927" w:type="dxa"/>
          </w:tcPr>
          <w:p w:rsidR="00AA0733" w:rsidRPr="002B721A" w:rsidP="00613497">
            <w:pPr>
              <w:pStyle w:val="CSBody63EN"/>
            </w:pPr>
            <w:r w:rsidRPr="002B721A">
              <w:t>The market value of Complex Products is expected to be affected, in part, by investors' general appraisal of the creditworthiness of Credit Suisse. Such perception may be influenced by the ratings assigned to outstanding securities of Credit Suisse by wellrecognised rating agencies. A reduction in any rating assigned to outstanding securities of Credit Suisse by one of these rating agencies could result in a reduction in the market value of Complex Products. See also "</w:t>
            </w:r>
            <w:r w:rsidRPr="00AA0733">
              <w:rPr>
                <w:i/>
              </w:rPr>
              <w:t>— II. Risk factors that may affect the ability of Credit Suisse to fulfil its obligations under Complex Products</w:t>
            </w:r>
            <w:r w:rsidRPr="002B721A">
              <w:t>" above.</w:t>
            </w:r>
          </w:p>
        </w:tc>
        <w:tc>
          <w:tcPr>
            <w:tcW w:w="4928" w:type="dxa"/>
          </w:tcPr>
          <w:p w:rsidR="00AA0733" w:rsidRPr="00AA0733" w:rsidP="00613497">
            <w:pPr>
              <w:pStyle w:val="CSBody63DE"/>
              <w:rPr>
                <w:lang w:val="de-DE"/>
              </w:rPr>
            </w:pPr>
            <w:r w:rsidRPr="00AA0733">
              <w:rPr>
                <w:lang w:val="de-DE"/>
              </w:rPr>
              <w:t>Es ist davon auszugehen, dass der Marktwert der Komplexen Produkte teilweise durch die allgemeine Beurteilung der Bonität der Credit Suisse durch Anleger beeinflusst wird. Diese Wahrnehmung kann durch die Ratings beeinflusst werden, mit welchen anerkannte Ratingagenturen die im Umlauf befindlichen Wertpapiere der Credit Suisse bewerten. Eine Herabstufung eines Ratings der im Umlauf befindlichen Wertpapiere der Credit Suisse durch eine dieser Ratingagenturen kann zu einem Rückgang des Marktwerts der Komplexen Produkte führen. Siehe dazu den vorstehenden Abschnitt "</w:t>
            </w:r>
            <w:r w:rsidRPr="00AA0733">
              <w:rPr>
                <w:i/>
                <w:lang w:val="de-DE"/>
              </w:rPr>
              <w:t>— II. Risikofaktoren, die die Fähigkeit der Credit Suisse zur Erfüllung ihrer Verpflichtungen aus Komplexen Produkten beeinträchtigen können</w:t>
            </w:r>
            <w:r w:rsidRPr="00AA0733">
              <w:rPr>
                <w:lang w:val="de-DE"/>
              </w:rPr>
              <w:t>".</w:t>
            </w:r>
          </w:p>
        </w:tc>
      </w:tr>
      <w:tr w:rsidTr="002F2BFA">
        <w:tblPrEx>
          <w:tblW w:w="5000" w:type="pct"/>
          <w:tblLook w:val="04A0"/>
        </w:tblPrEx>
        <w:tc>
          <w:tcPr>
            <w:tcW w:w="4927" w:type="dxa"/>
          </w:tcPr>
          <w:p w:rsidR="00AA0733" w:rsidRPr="00334636" w:rsidP="00AA0733">
            <w:pPr>
              <w:pStyle w:val="CSBody63ENbold"/>
            </w:pPr>
            <w:r w:rsidRPr="00334636">
              <w:t>Calculation Agent's discretion</w:t>
            </w:r>
          </w:p>
        </w:tc>
        <w:tc>
          <w:tcPr>
            <w:tcW w:w="4928" w:type="dxa"/>
          </w:tcPr>
          <w:p w:rsidR="00AA0733" w:rsidP="00AA0733">
            <w:pPr>
              <w:pStyle w:val="CSBody63DEbold"/>
            </w:pPr>
            <w:r w:rsidRPr="00334636">
              <w:t>Ermessensbefugnisse der Berechnungsstelle</w:t>
            </w:r>
          </w:p>
        </w:tc>
      </w:tr>
      <w:tr w:rsidTr="002F2BFA">
        <w:tblPrEx>
          <w:tblW w:w="5000" w:type="pct"/>
          <w:tblLook w:val="04A0"/>
        </w:tblPrEx>
        <w:tc>
          <w:tcPr>
            <w:tcW w:w="4927" w:type="dxa"/>
          </w:tcPr>
          <w:p w:rsidR="00AA0733" w:rsidRPr="00AD4B8F" w:rsidP="00613497">
            <w:pPr>
              <w:pStyle w:val="CSBody63EN"/>
            </w:pPr>
            <w:r w:rsidRPr="00AD4B8F">
              <w:t>The Calculation Agent has broad discretionary authority to make various determinations and adjustments under Complex Products, any of which may have an adverse effect on the market value thereof or amounts payable or other benefits to be received thereunder. Any such discretion exercised by, or any calculation made by, the Calculation Agent (in the absence of manifest error) shall be binding on the Issuer and all holders of the relevant Complex Products.</w:t>
            </w:r>
          </w:p>
        </w:tc>
        <w:tc>
          <w:tcPr>
            <w:tcW w:w="4928" w:type="dxa"/>
          </w:tcPr>
          <w:p w:rsidR="00AA0733" w:rsidRPr="00AA0733" w:rsidP="00613497">
            <w:pPr>
              <w:pStyle w:val="CSBody63DE"/>
              <w:rPr>
                <w:lang w:val="de-DE"/>
              </w:rPr>
            </w:pPr>
            <w:r w:rsidRPr="00AA0733">
              <w:rPr>
                <w:lang w:val="de-DE"/>
              </w:rPr>
              <w:t>Die Berechnungsstelle hat in Bezug auf verschiedene Festlegungen und Anpassungen im Rahmen der Komplexen Produkte weitreichende Ermessensbefugnisse, die sich nachteilig auf den Marktwert der Komplexen Produkte oder die darauf zahlbaren Beträge oder sonstige darauf zu erbringende Leistungen auswirken können. Solche Ermessensentscheidungen der Berechnungsstelle sind ebenso wie von ihr vorgenommene Berechnungen (ausser im Fall eines offensichtlichen Irrtums) für die Emittentin und alle Inhaber der betreffenden Komplexen Produkte bindend.</w:t>
            </w:r>
          </w:p>
        </w:tc>
      </w:tr>
      <w:tr w:rsidTr="002F2BFA">
        <w:tblPrEx>
          <w:tblW w:w="5000" w:type="pct"/>
          <w:tblLook w:val="04A0"/>
        </w:tblPrEx>
        <w:tc>
          <w:tcPr>
            <w:tcW w:w="4927" w:type="dxa"/>
          </w:tcPr>
          <w:p w:rsidR="00AA0733" w:rsidRPr="00482E8F" w:rsidP="00AA0733">
            <w:pPr>
              <w:pStyle w:val="CSBody63ENbold"/>
            </w:pPr>
            <w:r w:rsidRPr="00482E8F">
              <w:t>Potential conflicts of interest</w:t>
            </w:r>
          </w:p>
        </w:tc>
        <w:tc>
          <w:tcPr>
            <w:tcW w:w="4928" w:type="dxa"/>
          </w:tcPr>
          <w:p w:rsidR="00AA0733" w:rsidP="00AA0733">
            <w:pPr>
              <w:pStyle w:val="CSBody63DEbold"/>
            </w:pPr>
            <w:r w:rsidRPr="00482E8F">
              <w:t>Potenzielle Interessenkonflikte</w:t>
            </w:r>
          </w:p>
        </w:tc>
      </w:tr>
      <w:tr w:rsidTr="002F2BFA">
        <w:tblPrEx>
          <w:tblW w:w="5000" w:type="pct"/>
          <w:tblLook w:val="04A0"/>
        </w:tblPrEx>
        <w:tc>
          <w:tcPr>
            <w:tcW w:w="4927" w:type="dxa"/>
          </w:tcPr>
          <w:p w:rsidR="00AA0733" w:rsidRPr="004E2161" w:rsidP="00AA0733">
            <w:pPr>
              <w:pStyle w:val="CSBody63EN"/>
            </w:pPr>
            <w:r w:rsidRPr="004E2161">
              <w:t>Each of the Issuer, the dealer(s) and their respective affiliates may from time to time be engaged in transactions involving, among other things, the Reference Entities or Reference Obligations to which Credit-Linked Complex Products are linked, which may affect the market value or liquidity of such Complex Products and which could be deemed to be adverse to the interests of the investors in such Complex Products.</w:t>
            </w:r>
          </w:p>
        </w:tc>
        <w:tc>
          <w:tcPr>
            <w:tcW w:w="4928" w:type="dxa"/>
          </w:tcPr>
          <w:p w:rsidR="00AA0733" w:rsidRPr="00AA0733" w:rsidP="00AA0733">
            <w:pPr>
              <w:pStyle w:val="CSBody63DE"/>
              <w:rPr>
                <w:lang w:val="de-DE"/>
              </w:rPr>
            </w:pPr>
            <w:r w:rsidRPr="00AA0733">
              <w:rPr>
                <w:lang w:val="de-DE"/>
              </w:rPr>
              <w:t>Die Emittentin, der/die Platzeur(e) und ihre jeweiligen verbundenen Unternehmen können von Zeit zu Zeit Transaktionen eingehen, die sich unter anderem auf die Referenzschuldner oder Referenzverbindlichkeiten, an welche Kreditbezogene Komplexe Produkte gekoppelt sind; diese Transaktionen können sich auf den Marktwert oder die Liquidität der betreffenden Komplexen Produkte auswirken und könnten als den Interessen der Anleger in die betreffenden Komplexen Produkte zuwiderlaufend eingestuft werden.</w:t>
            </w:r>
          </w:p>
        </w:tc>
      </w:tr>
      <w:tr w:rsidTr="002F2BFA">
        <w:tblPrEx>
          <w:tblW w:w="5000" w:type="pct"/>
          <w:tblLook w:val="04A0"/>
        </w:tblPrEx>
        <w:tc>
          <w:tcPr>
            <w:tcW w:w="4927" w:type="dxa"/>
          </w:tcPr>
          <w:p w:rsidR="00AA0733" w:rsidRPr="00D64800" w:rsidP="00613497">
            <w:pPr>
              <w:pStyle w:val="CSBody63EN"/>
            </w:pPr>
            <w:r w:rsidRPr="00D64800">
              <w:t>Credit Suisse or one of its affiliates will be the Calculation Agent with respect to each Complex Product. In performing its duties in its capacity as Calculation Agent, Credit Suisse (or such affiliate) may have interests adverse to the interests of the investors in the relevant Complex Products, which may affect such investors' return on such Complex Products, particularly where the Calculation Agent is entitled to exercise discretion.</w:t>
            </w:r>
          </w:p>
        </w:tc>
        <w:tc>
          <w:tcPr>
            <w:tcW w:w="4928" w:type="dxa"/>
          </w:tcPr>
          <w:p w:rsidR="00AA0733" w:rsidRPr="00AA0733" w:rsidP="00613497">
            <w:pPr>
              <w:pStyle w:val="CSBody63DE"/>
              <w:rPr>
                <w:lang w:val="de-DE"/>
              </w:rPr>
            </w:pPr>
            <w:r w:rsidRPr="00AA0733">
              <w:rPr>
                <w:lang w:val="de-DE"/>
              </w:rPr>
              <w:t>Die Credit Suisse oder eines ihrer verbundenen Unternehmen fungiert als Berechnungsstelle für alle Komplexen Produkte. Im Rahmen der Wahrnehmung ihrer Aufgaben als Berechnungsstelle können bei der Credit Suisse (oder dem verbundenen Unternehmen) unter Umständen Interessen bestehen, die den Interessen der Anleger in die betreffenden Komplexen Produkte zuwiderlaufen. Dies kann die von den Anlegern mit den Komplexen Produkten erzielte Rendite beeinflussen, insbesondere dann, wenn der Berechnungsstelle Ermessensbefugnisse zustehen.</w:t>
            </w:r>
          </w:p>
        </w:tc>
      </w:tr>
      <w:tr w:rsidTr="002F2BFA">
        <w:tblPrEx>
          <w:tblW w:w="5000" w:type="pct"/>
          <w:tblLook w:val="04A0"/>
        </w:tblPrEx>
        <w:tc>
          <w:tcPr>
            <w:tcW w:w="4927" w:type="dxa"/>
          </w:tcPr>
          <w:p w:rsidR="00AA0733" w:rsidRPr="00EA1010" w:rsidP="00AA0733">
            <w:pPr>
              <w:pStyle w:val="CSBody63ENbold"/>
            </w:pPr>
            <w:r w:rsidRPr="00EA1010">
              <w:t>Potential conflicts of interest relating to distributors or other entities involved in the offering or listing of Complex Products</w:t>
            </w:r>
          </w:p>
        </w:tc>
        <w:tc>
          <w:tcPr>
            <w:tcW w:w="4928" w:type="dxa"/>
          </w:tcPr>
          <w:p w:rsidR="00AA0733" w:rsidRPr="00AA0733" w:rsidP="00AA0733">
            <w:pPr>
              <w:pStyle w:val="CSBody63DEbold"/>
              <w:rPr>
                <w:lang w:val="de-DE"/>
              </w:rPr>
            </w:pPr>
            <w:r w:rsidRPr="00AA0733">
              <w:rPr>
                <w:lang w:val="de-DE"/>
              </w:rPr>
              <w:t xml:space="preserve">Potenzielle Interessenkonflikte in Bezug auf Vertriebsstellen oder anderer Stellen die an dem Angebot oder dem Listing der Komplexen Produkte beteiligt sind </w:t>
            </w:r>
          </w:p>
        </w:tc>
      </w:tr>
      <w:tr w:rsidTr="002F2BFA">
        <w:tblPrEx>
          <w:tblW w:w="5000" w:type="pct"/>
          <w:tblLook w:val="04A0"/>
        </w:tblPrEx>
        <w:tc>
          <w:tcPr>
            <w:tcW w:w="4927" w:type="dxa"/>
          </w:tcPr>
          <w:p w:rsidR="00AA0733" w:rsidRPr="00035311" w:rsidP="00613497">
            <w:pPr>
              <w:pStyle w:val="CSBody63EN"/>
            </w:pPr>
            <w:r w:rsidRPr="00035311">
              <w:t>Potential conflicts of interest may arise in connection with Complex Products if a distributor placing such Complex Products (or other entity involved in the offering or listing of such Complex Products) is acting pursuant to a mandate granted by the Iss</w:t>
            </w:r>
            <w:r>
              <w:t>uer and/or the manager(s) or re</w:t>
            </w:r>
            <w:r w:rsidRPr="00035311">
              <w:t>ceives commissions and/or fees based on the services performed in connection with, or related to the outcome of, the offering or listing of Complex Products.</w:t>
            </w:r>
          </w:p>
        </w:tc>
        <w:tc>
          <w:tcPr>
            <w:tcW w:w="4928" w:type="dxa"/>
          </w:tcPr>
          <w:p w:rsidR="00AA0733" w:rsidRPr="00AA0733" w:rsidP="00AA0733">
            <w:pPr>
              <w:pStyle w:val="CSBody63DE"/>
              <w:rPr>
                <w:lang w:val="de-DE"/>
              </w:rPr>
            </w:pPr>
            <w:r w:rsidRPr="00AA0733">
              <w:rPr>
                <w:lang w:val="de-DE"/>
              </w:rPr>
              <w:t>Potenzielle Interessenkonflikte können im Zusammenhang mit den Komplexen Produkten entstehen, wenn eine Vertriebsstelle, welche die Komplexen Produkte platziert (oder eine andere Stelle, die an dem Angebot oder dem Listing der Komplexen Produkte beteiligt ist), im Rahmen eines von der Emittentin und/oder dem Manager bzw. den Managern erteilten Auftrags handelt oder Provisionen und/oder Gebühren auf Basis der erbrachten Leistungen im Zusammenhang mit dem Angebot oder dem Listing der Komplexen Produkten erhält oder solche Provisionen und/oder Gebühren in Bezug auf das Ergebnis des Angebots oder des Listings erhält.</w:t>
            </w:r>
          </w:p>
        </w:tc>
      </w:tr>
      <w:tr w:rsidTr="002F2BFA">
        <w:tblPrEx>
          <w:tblW w:w="5000" w:type="pct"/>
          <w:tblLook w:val="04A0"/>
        </w:tblPrEx>
        <w:tc>
          <w:tcPr>
            <w:tcW w:w="4927" w:type="dxa"/>
          </w:tcPr>
          <w:p w:rsidR="00AA0733" w:rsidRPr="00FF4145" w:rsidP="00AA0733">
            <w:pPr>
              <w:pStyle w:val="CSBody63ENbold"/>
            </w:pPr>
            <w:r w:rsidRPr="00FF4145">
              <w:t>Credit Spread Risk</w:t>
            </w:r>
          </w:p>
        </w:tc>
        <w:tc>
          <w:tcPr>
            <w:tcW w:w="4928" w:type="dxa"/>
          </w:tcPr>
          <w:p w:rsidR="00AA0733" w:rsidRPr="00AA0733" w:rsidP="00AA0733">
            <w:pPr>
              <w:pStyle w:val="CSBody63DEbold"/>
              <w:rPr>
                <w:lang w:val="de-DE"/>
              </w:rPr>
            </w:pPr>
            <w:r w:rsidRPr="00AA0733">
              <w:rPr>
                <w:lang w:val="de-DE"/>
              </w:rPr>
              <w:t>Mit dem Kreditspread der Emittentin verbundenes Risiko</w:t>
            </w:r>
          </w:p>
        </w:tc>
      </w:tr>
      <w:tr w:rsidTr="002F2BFA">
        <w:tblPrEx>
          <w:tblW w:w="5000" w:type="pct"/>
          <w:tblLook w:val="04A0"/>
        </w:tblPrEx>
        <w:tc>
          <w:tcPr>
            <w:tcW w:w="4927" w:type="dxa"/>
          </w:tcPr>
          <w:p w:rsidR="00AA0733" w:rsidRPr="00FF4145" w:rsidP="00AA0733">
            <w:pPr>
              <w:pStyle w:val="CSBody63EN"/>
            </w:pPr>
            <w:r w:rsidRPr="00FF4145">
              <w:t>Potential investors in Complex Products are exposed to the risk that the credit spread of the Issuer widens, which would result in a decrease in the market value of such Complex Products.</w:t>
            </w:r>
          </w:p>
        </w:tc>
        <w:tc>
          <w:tcPr>
            <w:tcW w:w="4928" w:type="dxa"/>
          </w:tcPr>
          <w:p w:rsidR="00AA0733" w:rsidRPr="00AA0733" w:rsidP="00613497">
            <w:pPr>
              <w:pStyle w:val="CSBody63DE"/>
              <w:rPr>
                <w:lang w:val="de-DE"/>
              </w:rPr>
            </w:pPr>
            <w:r w:rsidRPr="00AA0733">
              <w:rPr>
                <w:lang w:val="de-DE"/>
              </w:rPr>
              <w:t>Anleger in Komplexe Produkte sind dem Risiko ausgesetzt, dass sich der Kreditspread der Emittentin ausweitet, was zu einem Rückgang im Marktwert der Komplexen Produkte führen würde.</w:t>
            </w:r>
          </w:p>
        </w:tc>
      </w:tr>
      <w:tr w:rsidTr="002F2BFA">
        <w:tblPrEx>
          <w:tblW w:w="5000" w:type="pct"/>
          <w:tblLook w:val="04A0"/>
        </w:tblPrEx>
        <w:tc>
          <w:tcPr>
            <w:tcW w:w="4927" w:type="dxa"/>
          </w:tcPr>
          <w:p w:rsidR="00AA0733" w:rsidRPr="00FF4145" w:rsidP="00613497">
            <w:pPr>
              <w:pStyle w:val="CSBody63EN"/>
            </w:pPr>
            <w:r w:rsidRPr="00FF4145">
              <w:t>A credit spread is the margin payable by an issuer to an investor as a premium for the assumed credit risk. Credit spreads are offered and sold as premiums on current riskfree interest rates or as discounts on the price.</w:t>
            </w:r>
          </w:p>
        </w:tc>
        <w:tc>
          <w:tcPr>
            <w:tcW w:w="4928" w:type="dxa"/>
          </w:tcPr>
          <w:p w:rsidR="00AA0733" w:rsidRPr="00AA0733" w:rsidP="00613497">
            <w:pPr>
              <w:pStyle w:val="CSBody63DE"/>
              <w:rPr>
                <w:lang w:val="de-DE"/>
              </w:rPr>
            </w:pPr>
            <w:r w:rsidRPr="00AA0733">
              <w:rPr>
                <w:lang w:val="de-DE"/>
              </w:rPr>
              <w:t>Der Kreditspread ist die Renditedifferenz, die ein Emittent einem Anleger als Prämie für das übernommene Kreditrisiko zahlen muss. Kreditspreads werden als Risikoaufschläge auf die aktuelle Verzinsung risikoloser Anlagen oder als Preisabschläge angeboten und verkauft.</w:t>
            </w:r>
          </w:p>
        </w:tc>
      </w:tr>
      <w:tr w:rsidTr="002F2BFA">
        <w:tblPrEx>
          <w:tblW w:w="5000" w:type="pct"/>
          <w:tblLook w:val="04A0"/>
        </w:tblPrEx>
        <w:tc>
          <w:tcPr>
            <w:tcW w:w="4927" w:type="dxa"/>
          </w:tcPr>
          <w:p w:rsidR="00AA0733" w:rsidRPr="00FF4145" w:rsidP="00AA0733">
            <w:pPr>
              <w:pStyle w:val="CSBody63EN"/>
            </w:pPr>
            <w:r w:rsidRPr="00FF4145">
              <w:t>Factors influencing the credit spread of the Issuer include, among other things, the creditworthiness and rating of the Issuer, probability of default of the Issuer, estimated recovery rate in liquidation and remaining term to the Final Redemption Date or Scheduled Maturity Date, as applicable, of the relevant Complex Product. The liquidity situation, the general level of interest rates, overall economic, national and international political and financial regulatory developments, and the currency in which the relevant Complex Product is denominated may also have a negative effect on the credit spread of the Issuer.</w:t>
            </w:r>
          </w:p>
        </w:tc>
        <w:tc>
          <w:tcPr>
            <w:tcW w:w="4928" w:type="dxa"/>
          </w:tcPr>
          <w:p w:rsidR="00AA0733" w:rsidRPr="00AA0733" w:rsidP="00613497">
            <w:pPr>
              <w:pStyle w:val="CSBody63DE"/>
              <w:rPr>
                <w:lang w:val="de-DE"/>
              </w:rPr>
            </w:pPr>
            <w:r w:rsidRPr="00AA0733">
              <w:rPr>
                <w:lang w:val="de-DE"/>
              </w:rPr>
              <w:t xml:space="preserve">Zu den Faktoren, die sich auf den Kreditspread der Emittentin auswirken, zählen unter anderem die Bonität und das Rating der Emittentin, die Wahrscheinlichkeit eines Ausfalls der Emittentin, die geschätzte Verwertungsquote im Falle einer Liquidation und die Restlaufzeit bis zum Finalen Rückzahlungstag bzw. Planmässigen Fälligkeitstag des jeweiligen Komplexen Produkts. Die Liquiditätssituation, das allgemeine Zinsniveau, die wirtschaftliche, innen- und aussenpolitische sowie finanzregulatorische Entwicklung insgesamt sowie die Währung, auf die das betreffende Komplexe Produkt lautet, können sich ebenfalls nachteilig auf den </w:t>
            </w:r>
            <w:r>
              <w:rPr>
                <w:lang w:val="de-DE"/>
              </w:rPr>
              <w:t>Kreditspread der Emittentin aus</w:t>
            </w:r>
            <w:r w:rsidRPr="00AA0733">
              <w:rPr>
                <w:lang w:val="de-DE"/>
              </w:rPr>
              <w:t>wirken.</w:t>
            </w:r>
          </w:p>
        </w:tc>
      </w:tr>
      <w:tr w:rsidTr="002F2BFA">
        <w:tblPrEx>
          <w:tblW w:w="5000" w:type="pct"/>
          <w:tblLook w:val="04A0"/>
        </w:tblPrEx>
        <w:tc>
          <w:tcPr>
            <w:tcW w:w="4927" w:type="dxa"/>
          </w:tcPr>
          <w:p w:rsidR="00AA0733" w:rsidRPr="00220408" w:rsidP="00AA0733">
            <w:pPr>
              <w:pStyle w:val="CSBody63ENbold"/>
            </w:pPr>
            <w:r w:rsidRPr="00220408">
              <w:t>Interest rate risk</w:t>
            </w:r>
          </w:p>
        </w:tc>
        <w:tc>
          <w:tcPr>
            <w:tcW w:w="4928" w:type="dxa"/>
          </w:tcPr>
          <w:p w:rsidR="00AA0733" w:rsidRPr="00220408" w:rsidP="00AA0733">
            <w:pPr>
              <w:pStyle w:val="CSBody63DEbold"/>
            </w:pPr>
            <w:r w:rsidRPr="00220408">
              <w:t>Zinsrisiko</w:t>
            </w:r>
          </w:p>
        </w:tc>
      </w:tr>
      <w:tr w:rsidTr="002F2BFA">
        <w:tblPrEx>
          <w:tblW w:w="5000" w:type="pct"/>
          <w:tblLook w:val="04A0"/>
        </w:tblPrEx>
        <w:tc>
          <w:tcPr>
            <w:tcW w:w="4927" w:type="dxa"/>
          </w:tcPr>
          <w:p w:rsidR="00AA0733" w:rsidRPr="00220408" w:rsidP="00AA0733">
            <w:pPr>
              <w:pStyle w:val="CSBody63EN"/>
            </w:pPr>
            <w:r w:rsidRPr="00220408">
              <w:t>Prospective investors in Complex Products should be aware that an investment in Complex Products involves interest rate risk since the intrinsic value of a Complex Product is sensitive to fluctuations in interest rates.</w:t>
            </w:r>
          </w:p>
        </w:tc>
        <w:tc>
          <w:tcPr>
            <w:tcW w:w="4928" w:type="dxa"/>
          </w:tcPr>
          <w:p w:rsidR="00AA0733" w:rsidRPr="00AA0733" w:rsidP="00AA0733">
            <w:pPr>
              <w:pStyle w:val="CSBody63DE"/>
              <w:rPr>
                <w:lang w:val="de-DE"/>
              </w:rPr>
            </w:pPr>
            <w:r w:rsidRPr="00AA0733">
              <w:rPr>
                <w:lang w:val="de-DE"/>
              </w:rPr>
              <w:t>Potenzielle Anleger in Komplexe Produkte sollten sich bewusst sein, dass Anlagen in Komplexe Produkte mit einem Zinsrisiko verbunden sind, weil Schwankungen des Zinsniveaus sich auf den inneren Wert eines Komplexen Produkts auswirken können.</w:t>
            </w:r>
          </w:p>
        </w:tc>
      </w:tr>
      <w:tr w:rsidTr="002F2BFA">
        <w:tblPrEx>
          <w:tblW w:w="5000" w:type="pct"/>
          <w:tblLook w:val="04A0"/>
        </w:tblPrEx>
        <w:tc>
          <w:tcPr>
            <w:tcW w:w="4927" w:type="dxa"/>
          </w:tcPr>
          <w:p w:rsidR="00AA0733" w:rsidRPr="00220408" w:rsidP="00AA0733">
            <w:pPr>
              <w:pStyle w:val="CSBody63EN"/>
            </w:pPr>
            <w:r w:rsidRPr="00220408">
              <w:t>Interest rates are determined by factors of supply and demand in the international money markets, which are in particular governed by macro economic factors, complex political factors, speculation, central bank and government intervention and other market forces. Fluctuations in short term or long term interest rates may affect the market value of Complex Products. Fluctuations in interest rates of the currency in which a Complex Product is denominated may also affect the market value of such Complex Product.</w:t>
            </w:r>
          </w:p>
        </w:tc>
        <w:tc>
          <w:tcPr>
            <w:tcW w:w="4928" w:type="dxa"/>
          </w:tcPr>
          <w:p w:rsidR="00AA0733" w:rsidRPr="00AA0733" w:rsidP="00613497">
            <w:pPr>
              <w:pStyle w:val="CSBody63DE"/>
              <w:rPr>
                <w:lang w:val="de-DE"/>
              </w:rPr>
            </w:pPr>
            <w:r w:rsidRPr="00AA0733">
              <w:rPr>
                <w:lang w:val="de-DE"/>
              </w:rPr>
              <w:t>Zinssätze bestimmen sich durch Angebot und Nachfrage auf den internationalen Geldmärkten, die Einflüssen insbesondere durch makroökonomische Faktoren, komplexe politische Faktoren, Spekulationsgeschäfte, Eingriffe von Zentralbanken und Regierungen und anderen Marktkräften ausgesetzt sind. Schwankungen der kurz oder langfristigen Zinssätze können sich auf den Marktwert der Komplexen Produkte auswirken. Schwankungen der Zinssätze für Beträge in der Währung, auf welche ein Komplexes Produkt lautet, können sich ebenfalls auf den Marktwert des Komplexen Produkts auswirken.</w:t>
            </w:r>
          </w:p>
        </w:tc>
      </w:tr>
      <w:tr w:rsidTr="002F2BFA">
        <w:tblPrEx>
          <w:tblW w:w="5000" w:type="pct"/>
          <w:tblLook w:val="04A0"/>
        </w:tblPrEx>
        <w:tc>
          <w:tcPr>
            <w:tcW w:w="4927" w:type="dxa"/>
          </w:tcPr>
          <w:p w:rsidR="00AA0733" w:rsidRPr="00220408" w:rsidP="00AA0733">
            <w:pPr>
              <w:pStyle w:val="CSBody63EN"/>
            </w:pPr>
            <w:r w:rsidRPr="00220408">
              <w:t>With respect to risks relating to Complex Products with Interest Payment Amounts based on a floating rate, see "</w:t>
            </w:r>
            <w:r w:rsidRPr="00AA0733">
              <w:rPr>
                <w:i/>
              </w:rPr>
              <w:t>— C. Risks associated with Complex Products that include certain features</w:t>
            </w:r>
            <w:r w:rsidRPr="00220408">
              <w:t xml:space="preserve">" below. </w:t>
            </w:r>
          </w:p>
        </w:tc>
        <w:tc>
          <w:tcPr>
            <w:tcW w:w="4928" w:type="dxa"/>
          </w:tcPr>
          <w:p w:rsidR="00AA0733" w:rsidRPr="00AA0733" w:rsidP="00613497">
            <w:pPr>
              <w:pStyle w:val="CSBody63DE"/>
              <w:rPr>
                <w:lang w:val="de-DE"/>
              </w:rPr>
            </w:pPr>
            <w:r w:rsidRPr="00AA0733">
              <w:rPr>
                <w:lang w:val="de-DE"/>
              </w:rPr>
              <w:t>Angaben zu den Risiken, die mit Komplexen Produkten verbunden sind, die Zinszahlungsbeträge auf Basis eines variablen Satzes vorsehen, sind dem nachstehenden Abschnitt "</w:t>
            </w:r>
            <w:r w:rsidRPr="00AA0733">
              <w:rPr>
                <w:i/>
                <w:lang w:val="de-DE"/>
              </w:rPr>
              <w:t>— C. Mit Komplexen Produkten mit bestimmten Merkmalen verbundene Risiken</w:t>
            </w:r>
            <w:r w:rsidRPr="00AA0733">
              <w:rPr>
                <w:lang w:val="de-DE"/>
              </w:rPr>
              <w:t>" zu entnehmen.</w:t>
            </w:r>
          </w:p>
        </w:tc>
      </w:tr>
      <w:tr w:rsidTr="002F2BFA">
        <w:tblPrEx>
          <w:tblW w:w="5000" w:type="pct"/>
          <w:tblLook w:val="04A0"/>
        </w:tblPrEx>
        <w:tc>
          <w:tcPr>
            <w:tcW w:w="4927" w:type="dxa"/>
          </w:tcPr>
          <w:p w:rsidR="00CE677D" w:rsidRPr="000E0961" w:rsidP="00CE677D">
            <w:pPr>
              <w:pStyle w:val="CSBody63ENbold"/>
            </w:pPr>
            <w:r w:rsidRPr="000E0961">
              <w:t>Potential investors in Complex Products may be exposed to exchange rate risks</w:t>
            </w:r>
          </w:p>
        </w:tc>
        <w:tc>
          <w:tcPr>
            <w:tcW w:w="4928" w:type="dxa"/>
          </w:tcPr>
          <w:p w:rsidR="00CE677D" w:rsidRPr="00CE677D" w:rsidP="00CE677D">
            <w:pPr>
              <w:pStyle w:val="CSBody63DEbold"/>
              <w:rPr>
                <w:lang w:val="de-DE"/>
              </w:rPr>
            </w:pPr>
            <w:r w:rsidRPr="00CE677D">
              <w:rPr>
                <w:lang w:val="de-DE"/>
              </w:rPr>
              <w:t>Anleger in Komplexe Produkte können Wechselkursrisiken ausgesetzt sein</w:t>
            </w:r>
          </w:p>
        </w:tc>
      </w:tr>
      <w:tr w:rsidTr="002F2BFA">
        <w:tblPrEx>
          <w:tblW w:w="5000" w:type="pct"/>
          <w:tblLook w:val="04A0"/>
        </w:tblPrEx>
        <w:tc>
          <w:tcPr>
            <w:tcW w:w="4927" w:type="dxa"/>
          </w:tcPr>
          <w:p w:rsidR="00CE677D" w:rsidRPr="000E0961" w:rsidP="00613497">
            <w:pPr>
              <w:pStyle w:val="CSBody63EN"/>
            </w:pPr>
            <w:r w:rsidRPr="000E0961">
              <w:t>The Issue Currency or, if applicable, the Settlement Currency of a Complex Product may not be the currency of the home jurisdiction of the investor therein. Exchange rates between currencies are determined by factors of supply and demand in the international currency markets, which are in particular influenced by macro economic factors, speculation and central bank and government intervention (including the imposition of currency controls and restrictions). Therefore, fluctuations in exchange rates may adversely affect the market value of a Complex Product.</w:t>
            </w:r>
          </w:p>
        </w:tc>
        <w:tc>
          <w:tcPr>
            <w:tcW w:w="4928" w:type="dxa"/>
          </w:tcPr>
          <w:p w:rsidR="00CE677D" w:rsidRPr="00CE677D" w:rsidP="00613497">
            <w:pPr>
              <w:pStyle w:val="CSBody63DE"/>
              <w:rPr>
                <w:lang w:val="de-DE"/>
              </w:rPr>
            </w:pPr>
            <w:r w:rsidRPr="00CE677D">
              <w:rPr>
                <w:lang w:val="de-DE"/>
              </w:rPr>
              <w:t>Die Emissionswährung oder, falls anwendbar, die Abwicklungswährung eines Komplexen Produkts kann auf eine andere Währung lauten als die Währung des Heimatlandes des betreffenden Anlegers. Devisenkurse zwischen Währungen bestimmen sich durch Angebot und Nachfrage auf den internationalen Devisenmärkten, die insbesondere Einflüssen durch makroökonomische Faktoren, Spekulationsgeschäfte sowie Eingriffe durch Zentralbanken und Regierungen (darunter die Einführung von Devisenkontrollbestimmungen und -beschränkungen) ausgesetzt sind. Wechselkursschwankungen können sich daher nachteilig auf den Marktwert eines Komplexen Produkts auswirken.</w:t>
            </w:r>
          </w:p>
        </w:tc>
      </w:tr>
      <w:tr w:rsidTr="002F2BFA">
        <w:tblPrEx>
          <w:tblW w:w="5000" w:type="pct"/>
          <w:tblLook w:val="04A0"/>
        </w:tblPrEx>
        <w:tc>
          <w:tcPr>
            <w:tcW w:w="4927" w:type="dxa"/>
          </w:tcPr>
          <w:p w:rsidR="00CE677D" w:rsidRPr="000E0961" w:rsidP="00613497">
            <w:pPr>
              <w:pStyle w:val="CSBody63EN"/>
            </w:pPr>
            <w:r w:rsidRPr="000E0961">
              <w:t>Where the calculation of any amount payable under a Complex Product involves a currency conversion, fluctuations in the relevant exchange rate will directly affect the market value of such Complex Product.</w:t>
            </w:r>
          </w:p>
        </w:tc>
        <w:tc>
          <w:tcPr>
            <w:tcW w:w="4928" w:type="dxa"/>
          </w:tcPr>
          <w:p w:rsidR="00CE677D" w:rsidRPr="00CE677D" w:rsidP="00613497">
            <w:pPr>
              <w:pStyle w:val="CSBody63DE"/>
              <w:rPr>
                <w:lang w:val="de-DE"/>
              </w:rPr>
            </w:pPr>
            <w:r w:rsidRPr="00CE677D">
              <w:rPr>
                <w:lang w:val="de-DE"/>
              </w:rPr>
              <w:t>Soweit bei der Berechnung von auf ein Komplexes Produkt zahlbaren Beträgen eine Währungsumrechnung vorgenommen werden muss, wirken sich Schwankungen des betreffenden Devisenkurses unmittelbar auf den Marktwert des Komplexen Produkts aus.</w:t>
            </w:r>
          </w:p>
        </w:tc>
      </w:tr>
      <w:tr w:rsidTr="002F2BFA">
        <w:tblPrEx>
          <w:tblW w:w="5000" w:type="pct"/>
          <w:tblLook w:val="04A0"/>
        </w:tblPrEx>
        <w:tc>
          <w:tcPr>
            <w:tcW w:w="4927" w:type="dxa"/>
          </w:tcPr>
          <w:p w:rsidR="00CE677D" w:rsidRPr="00297340" w:rsidP="00CE677D">
            <w:pPr>
              <w:pStyle w:val="CSBody63ENbold"/>
            </w:pPr>
            <w:r w:rsidRPr="00297340">
              <w:t xml:space="preserve">Inflation risk </w:t>
            </w:r>
          </w:p>
        </w:tc>
        <w:tc>
          <w:tcPr>
            <w:tcW w:w="4928" w:type="dxa"/>
          </w:tcPr>
          <w:p w:rsidR="00CE677D" w:rsidRPr="00297340" w:rsidP="00CE677D">
            <w:pPr>
              <w:pStyle w:val="CSBody63DEbold"/>
            </w:pPr>
            <w:r w:rsidRPr="00297340">
              <w:t>Inflationsrisiko</w:t>
            </w:r>
          </w:p>
        </w:tc>
      </w:tr>
      <w:tr w:rsidTr="002F2BFA">
        <w:tblPrEx>
          <w:tblW w:w="5000" w:type="pct"/>
          <w:tblLook w:val="04A0"/>
        </w:tblPrEx>
        <w:tc>
          <w:tcPr>
            <w:tcW w:w="4927" w:type="dxa"/>
          </w:tcPr>
          <w:p w:rsidR="00CE677D" w:rsidRPr="00297340" w:rsidP="00613497">
            <w:pPr>
              <w:pStyle w:val="CSBody63EN"/>
            </w:pPr>
            <w:r w:rsidRPr="00297340">
              <w:t>Inflation risk is the risk of future money depreciation. The real yield on an investment is reduced by inflation. Consequently, the higher the rate of inflation, the lower the real yield on a Complex Product will be. If the inflation rate is equal to or higher than the yield under a Complex Product, the real yield on such Complex Product will be zero or even negative.</w:t>
            </w:r>
          </w:p>
        </w:tc>
        <w:tc>
          <w:tcPr>
            <w:tcW w:w="4928" w:type="dxa"/>
          </w:tcPr>
          <w:p w:rsidR="00CE677D" w:rsidRPr="00CE677D" w:rsidP="00613497">
            <w:pPr>
              <w:pStyle w:val="CSBody63DE"/>
              <w:rPr>
                <w:lang w:val="de-DE"/>
              </w:rPr>
            </w:pPr>
            <w:r w:rsidRPr="00CE677D">
              <w:rPr>
                <w:lang w:val="de-DE"/>
              </w:rPr>
              <w:t>Bei dem Inflationsrisiko handelt es sich um das Risiko einer zukünftigen Geldentwertung. Die reale Rendite auf eine Kapitalanlage wird durch die Inflation verringert. Je höher die Inflationsrate, umso niedriger ist somit die reale Rendite auf ein Komplexes Produkt. Entspricht die Inflationsrate der Rendite eines Komplexen Produkts oder liegt sie darüber, so ist die mit dem betreffenden Komplexen Produkt erzielte reale Rendite null oder sogar negativ.</w:t>
            </w:r>
          </w:p>
        </w:tc>
      </w:tr>
      <w:tr w:rsidTr="002F2BFA">
        <w:tblPrEx>
          <w:tblW w:w="5000" w:type="pct"/>
          <w:tblLook w:val="04A0"/>
        </w:tblPrEx>
        <w:tc>
          <w:tcPr>
            <w:tcW w:w="4927" w:type="dxa"/>
          </w:tcPr>
          <w:p w:rsidR="00CE677D" w:rsidRPr="00297340" w:rsidP="00613497">
            <w:pPr>
              <w:pStyle w:val="CSBody63EN"/>
            </w:pPr>
            <w:r w:rsidRPr="00297340">
              <w:t>Further, the real economic value of the Final Redemption Amount or the Scheduled Redemption Amount, as applicable, will be influenced by the rate of inflation and the term of such Complex Products. Consequently, the higher the rate of inflation and the longer the term of such Complex Products, the lower the real economic value of the Final Redemption</w:t>
            </w:r>
            <w:r>
              <w:t xml:space="preserve"> Amount or the Scheduled Redemp</w:t>
            </w:r>
            <w:r w:rsidRPr="00297340">
              <w:t>tion Amount, as applicable, will be.</w:t>
            </w:r>
          </w:p>
        </w:tc>
        <w:tc>
          <w:tcPr>
            <w:tcW w:w="4928" w:type="dxa"/>
          </w:tcPr>
          <w:p w:rsidR="00CE677D" w:rsidRPr="00CE677D" w:rsidP="00613497">
            <w:pPr>
              <w:pStyle w:val="CSBody63DE"/>
              <w:rPr>
                <w:lang w:val="de-DE"/>
              </w:rPr>
            </w:pPr>
            <w:r w:rsidRPr="00CE677D">
              <w:rPr>
                <w:lang w:val="de-DE"/>
              </w:rPr>
              <w:t>Darüber hinaus ist der reale wirtschaftliche Wert des Finalen Rückzahlungsbetrags bzw. des Planmässigen Rückzahlungsbetrags abhängig von der Inflationsrate und der Laufzeit dieser Komplexen Produkte. Je höher die Inflationsrate und je länger die Laufzeit dieser Komplexen Produkte, desto geringer ist also der reale wirtschaftliche Wert des Finalen Rückzahlungsbetrags bzw. des Planmässigen Rückzahlungsbetrags.</w:t>
            </w:r>
          </w:p>
        </w:tc>
      </w:tr>
      <w:tr w:rsidTr="002F2BFA">
        <w:tblPrEx>
          <w:tblW w:w="5000" w:type="pct"/>
          <w:tblLook w:val="04A0"/>
        </w:tblPrEx>
        <w:tc>
          <w:tcPr>
            <w:tcW w:w="4927" w:type="dxa"/>
          </w:tcPr>
          <w:p w:rsidR="00CE677D" w:rsidRPr="00414462" w:rsidP="00CE677D">
            <w:pPr>
              <w:pStyle w:val="CSBody63ENbold"/>
            </w:pPr>
            <w:r w:rsidRPr="00414462">
              <w:t>Taxation</w:t>
            </w:r>
          </w:p>
        </w:tc>
        <w:tc>
          <w:tcPr>
            <w:tcW w:w="4928" w:type="dxa"/>
          </w:tcPr>
          <w:p w:rsidR="00CE677D" w:rsidRPr="00414462" w:rsidP="00CE677D">
            <w:pPr>
              <w:pStyle w:val="CSBody63DEbold"/>
            </w:pPr>
            <w:r w:rsidRPr="00414462">
              <w:t>Besteuerung</w:t>
            </w:r>
          </w:p>
        </w:tc>
      </w:tr>
      <w:tr w:rsidTr="002F2BFA">
        <w:tblPrEx>
          <w:tblW w:w="5000" w:type="pct"/>
          <w:tblLook w:val="04A0"/>
        </w:tblPrEx>
        <w:tc>
          <w:tcPr>
            <w:tcW w:w="4927" w:type="dxa"/>
          </w:tcPr>
          <w:p w:rsidR="00CE677D" w:rsidRPr="00414462" w:rsidP="00613497">
            <w:pPr>
              <w:pStyle w:val="CSBody63EN"/>
            </w:pPr>
            <w:r w:rsidRPr="00414462">
              <w:t xml:space="preserve">All payments in respect of Complex Products are subject to any applicable fiscal or other laws, regulations and directives. </w:t>
            </w:r>
          </w:p>
        </w:tc>
        <w:tc>
          <w:tcPr>
            <w:tcW w:w="4928" w:type="dxa"/>
          </w:tcPr>
          <w:p w:rsidR="00CE677D" w:rsidRPr="00CE677D" w:rsidP="00CE677D">
            <w:pPr>
              <w:pStyle w:val="CSBody63DE"/>
              <w:rPr>
                <w:lang w:val="de-DE"/>
              </w:rPr>
            </w:pPr>
            <w:r w:rsidRPr="00CE677D">
              <w:rPr>
                <w:lang w:val="de-DE"/>
              </w:rPr>
              <w:t>Alle Zahlungen auf Komplexe Produkte unterliegen den geltenden steuerrechtlichen und sonstigen gesetzlichen Bestimmungen und Richtlinien.</w:t>
            </w:r>
          </w:p>
        </w:tc>
      </w:tr>
      <w:tr w:rsidTr="002F2BFA">
        <w:tblPrEx>
          <w:tblW w:w="5000" w:type="pct"/>
          <w:tblLook w:val="04A0"/>
        </w:tblPrEx>
        <w:tc>
          <w:tcPr>
            <w:tcW w:w="4927" w:type="dxa"/>
          </w:tcPr>
          <w:p w:rsidR="00CE677D" w:rsidRPr="00414462" w:rsidP="00613497">
            <w:pPr>
              <w:pStyle w:val="CSBody63EN"/>
            </w:pPr>
            <w:r w:rsidRPr="00414462">
              <w:t>Potential investors in Complex Products should be aware that they may be required to pay taxes or other documentary charges or duties in accordance with the laws and practices of the countries to and from which such Complex Products are transferred, the country in which the investor is resident or other applicable jurisdictions. In some jurisdictions, no official statements of the tax authorities or court decisions may be available for financial instruments such as Complex Products. Potential investors are advised not to rely upon the tax summary contained in this Document but to ask for their own tax adviser's advice on their individual taxation with respect to the acquisition, sale and redemption of, and other events in relation to, Complex Products. Only these advisers are in a position to duly consider the specific situation of the potential investor. The tax treatment of Complex Products depends on the individual tax situation of the relevant investor and may be subject to change.</w:t>
            </w:r>
          </w:p>
        </w:tc>
        <w:tc>
          <w:tcPr>
            <w:tcW w:w="4928" w:type="dxa"/>
          </w:tcPr>
          <w:p w:rsidR="00CE677D" w:rsidRPr="00CE677D" w:rsidP="00613497">
            <w:pPr>
              <w:pStyle w:val="CSBody63DE"/>
              <w:rPr>
                <w:lang w:val="de-DE"/>
              </w:rPr>
            </w:pPr>
            <w:r w:rsidRPr="00CE677D">
              <w:rPr>
                <w:lang w:val="de-DE"/>
              </w:rPr>
              <w:t>Potenzielle Anleger in Komplexe Produkte sollten sich bewusst sein, dass sie nach Massgabe der Gesetze und Praktiken der Länder, in die und von denen aus die Komplexen Produkte übertragen werden, des Landes, in dem der Anleger seinen Wohnsitz hat, oder einer anderen massgeblichen Rechtsordnung unter Umständen zur Zahlung von Steuern oder sonstigen Dokumentationsabgaben verpflichtet sind. In einigen Rechtsordnungen liegen für Finanzinstrumente wie die Komplexen Produkte möglicherweise keine offiziellen Stellungnahmen der Steuerbehörden oder Gerichtsurteile vor. Potenziellen Anlegern wird daher empfohlen, sich nicht auf die zusammenfassende Darstellung der steuerlichen Behandlung in diesem Dokument zu stützen, sondern den Rat ihrer Steuerberater bezüglich ihrer persönlichen Besteuerung im Zusammenhang mit dem Verkauf und der Rückzahlung Komplexer Produkte sowie sonstigen diese betreffenden Ereignissen einzuholen. Nur ein Steuerberater ist in der Lage, die spezifische Situation des einzelnen potenziellen Anlegers hinreichend zu berücksichtigen. Die steuerliche Behandlung der Komplexen Produkte ist von der individuellen Steuersituation des jeweiligen Anlegers abhängig und kann Änderungen unterliegen.</w:t>
            </w:r>
          </w:p>
        </w:tc>
      </w:tr>
      <w:tr w:rsidTr="002F2BFA">
        <w:tblPrEx>
          <w:tblW w:w="5000" w:type="pct"/>
          <w:tblLook w:val="04A0"/>
        </w:tblPrEx>
        <w:tc>
          <w:tcPr>
            <w:tcW w:w="4927" w:type="dxa"/>
          </w:tcPr>
          <w:p w:rsidR="00931EEF" w:rsidRPr="003D5B8F" w:rsidP="00931EEF">
            <w:pPr>
              <w:pStyle w:val="CSBody63ENbold"/>
            </w:pPr>
            <w:r w:rsidRPr="003D5B8F">
              <w:t xml:space="preserve">Foreign Account Tax Compliance Act withholding may affect payments with respect to the Complex Products </w:t>
            </w:r>
          </w:p>
        </w:tc>
        <w:tc>
          <w:tcPr>
            <w:tcW w:w="4928" w:type="dxa"/>
          </w:tcPr>
          <w:p w:rsidR="00931EEF" w:rsidRPr="00931EEF" w:rsidP="00931EEF">
            <w:pPr>
              <w:pStyle w:val="CSBody63DEbold"/>
              <w:rPr>
                <w:lang w:val="de-DE"/>
              </w:rPr>
            </w:pPr>
            <w:r w:rsidRPr="00931EEF">
              <w:rPr>
                <w:lang w:val="de-DE"/>
              </w:rPr>
              <w:t xml:space="preserve">Ein Steuereinbehalt nach FATCA kann sich auf die Zahlungen in Bezug auf die Komplexen Produkte auswirken </w:t>
            </w:r>
          </w:p>
        </w:tc>
      </w:tr>
      <w:tr w:rsidTr="002F2BFA">
        <w:tblPrEx>
          <w:tblW w:w="5000" w:type="pct"/>
          <w:tblLook w:val="04A0"/>
        </w:tblPrEx>
        <w:tc>
          <w:tcPr>
            <w:tcW w:w="4927" w:type="dxa"/>
          </w:tcPr>
          <w:p w:rsidR="00931EEF" w:rsidRPr="005F7A1B" w:rsidP="00613497">
            <w:pPr>
              <w:pStyle w:val="CSBody63EN"/>
            </w:pPr>
            <w:r w:rsidRPr="005F7A1B">
              <w:t>Sections 1471 through 1474 of the U.S. Internal Revenue Code of 1986 ("</w:t>
            </w:r>
            <w:r w:rsidRPr="00931EEF">
              <w:rPr>
                <w:b/>
              </w:rPr>
              <w:t>FATCA</w:t>
            </w:r>
            <w:r w:rsidRPr="005F7A1B">
              <w:t xml:space="preserve">") impose a new reporting regime and, potentially, a 30 per cent. withholding tax with respect to (i) certain payments from sources within the United States, (ii) </w:t>
            </w:r>
            <w:r w:rsidR="00116653">
              <w:t>"</w:t>
            </w:r>
            <w:r w:rsidRPr="005F7A1B">
              <w:t>foreign passthru payments</w:t>
            </w:r>
            <w:r w:rsidR="00116653">
              <w:t>"</w:t>
            </w:r>
            <w:r w:rsidRPr="005F7A1B">
              <w:t xml:space="preserve"> made to certain non-U.S. financial institutions that do not comply with this new reporting regime, and (iii) payments to certain investors that do not provide identification information with respect to interests issued by a participating non-U.S. financial institution. Whilst the Complex Products are in global form and held within the clearing systems in all but the most remote circumstances, it is not expected that FATCA will affect the amount of any payment received by the clearing systems. However, FATCA may affect payments made to custodians or intermediaries in the subsequent payment chain leading to the ultimate investor if any such custodian or intermediary generally is unable to receive payments free of FATCA withholding. It also may affect payment to any ultimate investor that is a financial institution that is not entitled to receive payments free of withholding under FATCA, or an ultimate investor that fails to provide its broker (or other custodian or intermediary from which it receives payment) with any information, forms, other documentation or consents that may be necessary for the payments to be made free of FATCA withholding. Investors should choose the custodians or intermediaries with care (to ensure each is compliant with FATCA or other laws or agreements related to FATCA) and provide each custodian or intermediary with any information, forms, other documentation or consents that may be necessary for such custodian or intermediary to make a payment free of FATCA withholding. The Issuer’s obligations under the Complex Products are discharged once it has made payment to, or to the order of, the clearing systems and the Issuer has therefore no responsibility for any amount thereafter transmitted through the clearing systems and custodians or intermediaries. Further, foreign financial institutions in a jurisdiction which has entered into an intergovernmental agreement with the United States (an </w:t>
            </w:r>
            <w:r w:rsidR="00116653">
              <w:t>"</w:t>
            </w:r>
            <w:r w:rsidRPr="00931EEF">
              <w:rPr>
                <w:b/>
              </w:rPr>
              <w:t>IGA</w:t>
            </w:r>
            <w:r w:rsidR="00116653">
              <w:t>"</w:t>
            </w:r>
            <w:r w:rsidRPr="005F7A1B">
              <w:t xml:space="preserve">) are generally not expected to be required to withhold under FATCA or an IGA (or any law implementing an IGA) from payments they make. Prospective investors should refer to the section </w:t>
            </w:r>
            <w:r w:rsidR="00116653">
              <w:t>"</w:t>
            </w:r>
            <w:r w:rsidRPr="00931EEF">
              <w:rPr>
                <w:i/>
              </w:rPr>
              <w:t xml:space="preserve">Taxation </w:t>
            </w:r>
            <w:r w:rsidRPr="00613497" w:rsidR="00613497">
              <w:rPr>
                <w:i/>
              </w:rPr>
              <w:t>—</w:t>
            </w:r>
            <w:r w:rsidRPr="00931EEF">
              <w:rPr>
                <w:i/>
              </w:rPr>
              <w:t xml:space="preserve"> Foreign Account Tax Compliance Act</w:t>
            </w:r>
            <w:r w:rsidR="00116653">
              <w:t>"</w:t>
            </w:r>
            <w:r w:rsidRPr="005F7A1B">
              <w:t>.</w:t>
            </w:r>
          </w:p>
        </w:tc>
        <w:tc>
          <w:tcPr>
            <w:tcW w:w="4928" w:type="dxa"/>
          </w:tcPr>
          <w:p w:rsidR="00931EEF" w:rsidRPr="00931EEF" w:rsidP="008757CF">
            <w:pPr>
              <w:pStyle w:val="CSBody63DE"/>
              <w:rPr>
                <w:lang w:val="de-DE"/>
              </w:rPr>
            </w:pPr>
            <w:r w:rsidRPr="00931EEF">
              <w:rPr>
                <w:lang w:val="de-DE"/>
              </w:rPr>
              <w:t>Mit Sections 1471 bis 1474 des US-amerikanischen Steuergesetzes (</w:t>
            </w:r>
            <w:r w:rsidRPr="00931EEF">
              <w:rPr>
                <w:i/>
                <w:lang w:val="de-DE"/>
              </w:rPr>
              <w:t>U.S. Internal Revenue Code</w:t>
            </w:r>
            <w:r w:rsidRPr="00931EEF">
              <w:rPr>
                <w:lang w:val="de-DE"/>
              </w:rPr>
              <w:t>) von 1986 ("</w:t>
            </w:r>
            <w:r w:rsidRPr="00931EEF">
              <w:rPr>
                <w:b/>
                <w:lang w:val="de-DE"/>
              </w:rPr>
              <w:t>FATCA</w:t>
            </w:r>
            <w:r w:rsidRPr="00931EEF">
              <w:rPr>
                <w:lang w:val="de-DE"/>
              </w:rPr>
              <w:t>") wird ein neues Steuermeldesystem und eine potenzielle Quellensteuer in Höhe von 30% auf (i) bestimmte Zahlungen aus Quellen innerhalb der Vereinigten Staaten, (ii) "ausländische durchgeleitete Zahlungen" (</w:t>
            </w:r>
            <w:r w:rsidRPr="00931EEF">
              <w:rPr>
                <w:i/>
                <w:lang w:val="de-DE"/>
              </w:rPr>
              <w:t>foreign passthru payments</w:t>
            </w:r>
            <w:r w:rsidRPr="00931EEF">
              <w:rPr>
                <w:lang w:val="de-DE"/>
              </w:rPr>
              <w:t>) an bestimmte Nicht-US-Finanzinstitute, die an dem neuen Steuermeldesystem nicht teilnehmen, sowie (iii) Zahlungen an bestimmte Anleger, die keinen Identitätsnachweis in Bezug auf die von einem teilnehmenden Nicht-US-Finanzinstitut ausgegebenen Instrumente erbracht haben, eingeführt. Solange die Komplexen Produkte in Globalurkunden verbrieft sind und in den Clearingsystemen gehalten werden, wird sich FATCA aller Voraussicht nach nicht auf die Höhe der bei den Clearingsystemen eingehenden Zahlungen auswirken. FATCA kann sich jedoch anschlie</w:t>
            </w:r>
            <w:r w:rsidR="001E4CCF">
              <w:rPr>
                <w:lang w:val="de-DE"/>
              </w:rPr>
              <w:t>ss</w:t>
            </w:r>
            <w:r w:rsidRPr="00931EEF">
              <w:rPr>
                <w:lang w:val="de-DE"/>
              </w:rPr>
              <w:t>end in der zum Endanleger führenden Zahlungskette auf an Depotstellen oder Finanzintermediäre geleistete Zahlungen auswirken, wenn solche Depotstellen oder Finanzintermediäre grundsätzlich nicht in der Lage sind, Zahlungen ohne Abzug der FATCA-Quellensteuer zu erhalten. FATCA kann sich auch auf Zahlungen an Endanleger auswirken, bei denen es sich um Finanzinstitute handelt, die nicht zum Erhalt von Zahlungen ohne Abzug der FATCA-Quellensteuer berechtigt sind, oder auf Zahlungen an Endanleger, die es versäumen, ihren Brokern (oder sonstigen Depotstellen oder Finanzintermediären, die Zahlungen an sie leisten) Informationen, Formulare, sonstige Unterlagen oder Einwilligungen vorzulegen, die zur Leistung von Zahlungen ohne Abzug der FATCA-Quellensteuer möglicherweise notwendig sind. Anleger sollten Depotstellen oder Finanzintermediäre mit Bedacht auswählen (um sicherzustellen, dass diese die FATCA-Vorgaben bzw. sonstige mit FATCA verbundenen Gesetze oder Vereinbarungen beachten) und sämtlichen Depotstellen oder Finanzintermediären alle Informationen, Formulare, sonstigen Unterlagen oder Einwilligungen vorlegen, die diese möglicherweise benötigen, um Zahlungen ohne Abzug der FATCA-Quellensteuer leisten zu können. Mit Zahlung an die Clearingsysteme oder an deren Order durch die Emittentin sind die Pflichten der Emittentin aus den Komplexen Produkten erfüllt und sie ist somit für anschlie</w:t>
            </w:r>
            <w:r w:rsidR="001E4CCF">
              <w:rPr>
                <w:lang w:val="de-DE"/>
              </w:rPr>
              <w:t>ss</w:t>
            </w:r>
            <w:r w:rsidRPr="00931EEF">
              <w:rPr>
                <w:lang w:val="de-DE"/>
              </w:rPr>
              <w:t>end durch die Clearingsysteme und die Depotstellen bzw. Finanzintermediäre weitergeleitete Zahlungen nicht verantwortlich. Darüber hinaus sind ausländische Finanzinstitute in einem Staat, der eine zwi</w:t>
            </w:r>
            <w:r w:rsidR="00613497">
              <w:rPr>
                <w:lang w:val="de-DE"/>
              </w:rPr>
              <w:t>s</w:t>
            </w:r>
            <w:r w:rsidRPr="00931EEF">
              <w:rPr>
                <w:lang w:val="de-DE"/>
              </w:rPr>
              <w:t>chenstaatliche Vereinbarung mit den Vereinigten Staaten (</w:t>
            </w:r>
            <w:r w:rsidRPr="00931EEF">
              <w:rPr>
                <w:i/>
                <w:lang w:val="de-DE"/>
              </w:rPr>
              <w:t>intergovernmental agreement</w:t>
            </w:r>
            <w:r w:rsidRPr="00931EEF">
              <w:rPr>
                <w:lang w:val="de-DE"/>
              </w:rPr>
              <w:t>; "</w:t>
            </w:r>
            <w:r w:rsidRPr="00931EEF">
              <w:rPr>
                <w:b/>
                <w:lang w:val="de-DE"/>
              </w:rPr>
              <w:t>IGA</w:t>
            </w:r>
            <w:r w:rsidRPr="00931EEF">
              <w:rPr>
                <w:lang w:val="de-DE"/>
              </w:rPr>
              <w:t>") abgeschlossen hat, aller Voraussicht nach grundsätzlich nicht verpflichtet, auf von ihnen geleistete Zahlungen einen Einbehalt nach FATCA oder nach einem IGA (oder einem Gesetz zur Umsetzung eines IGA) vorzunehmen. Potenziellen Anlegern wird empfohlen, den Abschnitt "</w:t>
            </w:r>
            <w:r w:rsidRPr="00931EEF">
              <w:rPr>
                <w:i/>
                <w:lang w:val="de-DE"/>
              </w:rPr>
              <w:t xml:space="preserve">Besteuerung – Foreign Account Tax Compliance </w:t>
            </w:r>
            <w:r w:rsidRPr="008757CF">
              <w:rPr>
                <w:i/>
                <w:lang w:val="de-DE"/>
              </w:rPr>
              <w:t>Act</w:t>
            </w:r>
            <w:r w:rsidRPr="008757CF">
              <w:rPr>
                <w:lang w:val="de-DE"/>
              </w:rPr>
              <w:t>" zu lesen.</w:t>
            </w:r>
          </w:p>
        </w:tc>
      </w:tr>
      <w:tr w:rsidTr="002F2BFA">
        <w:tblPrEx>
          <w:tblW w:w="5000" w:type="pct"/>
          <w:tblLook w:val="04A0"/>
        </w:tblPrEx>
        <w:tc>
          <w:tcPr>
            <w:tcW w:w="4927" w:type="dxa"/>
          </w:tcPr>
          <w:p w:rsidR="00931EEF" w:rsidRPr="0051282C" w:rsidP="00931EEF">
            <w:pPr>
              <w:pStyle w:val="CSBody63ENbold"/>
            </w:pPr>
            <w:r w:rsidRPr="0051282C">
              <w:t>Hiring Incentives to Restore Employment Act with-holding may affect payments on the Complex Products</w:t>
            </w:r>
          </w:p>
        </w:tc>
        <w:tc>
          <w:tcPr>
            <w:tcW w:w="4928" w:type="dxa"/>
          </w:tcPr>
          <w:p w:rsidR="00931EEF" w:rsidRPr="00931EEF" w:rsidP="007A2014">
            <w:pPr>
              <w:pStyle w:val="CSBody63DEbold"/>
              <w:rPr>
                <w:lang w:val="de-DE"/>
              </w:rPr>
            </w:pPr>
            <w:r w:rsidRPr="00931EEF">
              <w:rPr>
                <w:lang w:val="de-DE"/>
              </w:rPr>
              <w:t>Einbehalt nach dem Gesetz über Beschäftigungsanreize kann Auswirkungen auf Zahlungen auf die Komplexen Produkte haben</w:t>
            </w:r>
          </w:p>
        </w:tc>
      </w:tr>
      <w:tr w:rsidTr="002F2BFA">
        <w:tblPrEx>
          <w:tblW w:w="5000" w:type="pct"/>
          <w:tblLook w:val="04A0"/>
        </w:tblPrEx>
        <w:tc>
          <w:tcPr>
            <w:tcW w:w="4927" w:type="dxa"/>
          </w:tcPr>
          <w:p w:rsidR="00931EEF" w:rsidRPr="0051282C">
            <w:pPr>
              <w:pStyle w:val="CSBody63EN"/>
            </w:pPr>
            <w:r w:rsidRPr="0051282C">
              <w:t xml:space="preserve">The U.S. Hiring Incentives to Restore Employment Act imposes a 30 per cent. withholding tax on amounts attributable to U.S. source dividends that are paid or "deemed paid" under certain financial instruments if certain conditions are met. </w:t>
            </w:r>
            <w:r w:rsidR="00A84B22">
              <w:t>I</w:t>
            </w:r>
            <w:r w:rsidRPr="0051282C">
              <w:t>f the Issuer or any withholding agent determines that withholding is required, neither the Issuer nor any withholding agent will be required to pay any additional amounts with respect to amounts so withheld. Prospective investors should refer to the section "</w:t>
            </w:r>
            <w:r w:rsidRPr="00931EEF">
              <w:rPr>
                <w:i/>
              </w:rPr>
              <w:t>Taxation – Hiring Incentives to Restore Employment Act</w:t>
            </w:r>
            <w:r w:rsidRPr="0051282C">
              <w:t>."</w:t>
            </w:r>
          </w:p>
        </w:tc>
        <w:tc>
          <w:tcPr>
            <w:tcW w:w="4928" w:type="dxa"/>
          </w:tcPr>
          <w:p w:rsidR="00931EEF" w:rsidRPr="00931EEF" w:rsidP="001D167E">
            <w:pPr>
              <w:pStyle w:val="CSBody63DE"/>
              <w:rPr>
                <w:lang w:val="de-DE"/>
              </w:rPr>
            </w:pPr>
            <w:r w:rsidRPr="00931EEF">
              <w:rPr>
                <w:lang w:val="de-DE"/>
              </w:rPr>
              <w:t>Durch das US-amerikanische Gesetz über Beschäftigungsanreize (</w:t>
            </w:r>
            <w:r w:rsidRPr="00931EEF">
              <w:rPr>
                <w:i/>
                <w:lang w:val="de-DE"/>
              </w:rPr>
              <w:t>Hiring Incentives to Restore Employment Act</w:t>
            </w:r>
            <w:r w:rsidRPr="00931EEF">
              <w:rPr>
                <w:lang w:val="de-DE"/>
              </w:rPr>
              <w:t xml:space="preserve">) wird unter bestimmten Umständen ein Steuereinbehalt in Höhe von 30 % auf Beträge erhoben, die Dividenden aus US-amerikanischen Quellen zuzurechnen sind, die auf bestimmte Finanzinstrumente gezahlt werden bzw. "als gezahlt gelten".  </w:t>
            </w:r>
            <w:r w:rsidR="00A84B22">
              <w:rPr>
                <w:lang w:val="de-DE"/>
              </w:rPr>
              <w:t xml:space="preserve">Bei </w:t>
            </w:r>
            <w:r w:rsidRPr="00931EEF">
              <w:rPr>
                <w:lang w:val="de-DE"/>
              </w:rPr>
              <w:t>Feststellung des Erfordernisses eines Steuereinbehalts durch die Emittentin oder einen Abzugsverpflichteten (</w:t>
            </w:r>
            <w:r w:rsidRPr="00931EEF">
              <w:rPr>
                <w:i/>
                <w:lang w:val="de-DE"/>
              </w:rPr>
              <w:t>withholding agent</w:t>
            </w:r>
            <w:r w:rsidRPr="00931EEF">
              <w:rPr>
                <w:lang w:val="de-DE"/>
              </w:rPr>
              <w:t xml:space="preserve">) </w:t>
            </w:r>
            <w:r w:rsidR="001D167E">
              <w:rPr>
                <w:lang w:val="de-DE"/>
              </w:rPr>
              <w:t xml:space="preserve">ist </w:t>
            </w:r>
            <w:r w:rsidRPr="00931EEF">
              <w:rPr>
                <w:lang w:val="de-DE"/>
              </w:rPr>
              <w:t>weder die Emittentin noch ein Abzugsverpflichteter zur Zahlung von Zusatzbeträgen für die einbehaltenen Beträge verpflichtet. Potenziellen Anlegern wird empfohlen, den Abschnitt "</w:t>
            </w:r>
            <w:r w:rsidRPr="00BD6E0D">
              <w:rPr>
                <w:lang w:val="de-DE"/>
              </w:rPr>
              <w:t>Besteuerung – Gesetz über Beschäftigungsanreize</w:t>
            </w:r>
            <w:r w:rsidRPr="00931EEF">
              <w:rPr>
                <w:lang w:val="de-DE"/>
              </w:rPr>
              <w:t xml:space="preserve">" </w:t>
            </w:r>
            <w:r w:rsidRPr="00BD6E0D" w:rsidR="001D167E">
              <w:rPr>
                <w:i/>
                <w:lang w:val="de-DE"/>
              </w:rPr>
              <w:t>(Taxation – Hiring Incentives to Restore Employment Act)</w:t>
            </w:r>
            <w:r w:rsidR="001D167E">
              <w:rPr>
                <w:lang w:val="de-DE"/>
              </w:rPr>
              <w:t xml:space="preserve"> </w:t>
            </w:r>
            <w:r w:rsidRPr="00931EEF">
              <w:rPr>
                <w:lang w:val="de-DE"/>
              </w:rPr>
              <w:t>zu lesen.</w:t>
            </w:r>
          </w:p>
        </w:tc>
      </w:tr>
      <w:tr w:rsidTr="002F2BFA">
        <w:tblPrEx>
          <w:tblW w:w="5000" w:type="pct"/>
          <w:tblLook w:val="04A0"/>
        </w:tblPrEx>
        <w:tc>
          <w:tcPr>
            <w:tcW w:w="4927" w:type="dxa"/>
          </w:tcPr>
          <w:p w:rsidR="00931EEF" w:rsidRPr="005C2E7F" w:rsidP="00931EEF">
            <w:pPr>
              <w:pStyle w:val="CSBody63ENbold"/>
            </w:pPr>
            <w:r w:rsidRPr="005C2E7F">
              <w:t>Reinvestment risk</w:t>
            </w:r>
          </w:p>
        </w:tc>
        <w:tc>
          <w:tcPr>
            <w:tcW w:w="4928" w:type="dxa"/>
          </w:tcPr>
          <w:p w:rsidR="00931EEF" w:rsidRPr="005C2E7F" w:rsidP="00931EEF">
            <w:pPr>
              <w:pStyle w:val="CSBody63DEbold"/>
            </w:pPr>
            <w:r w:rsidRPr="005C2E7F">
              <w:t>Wiederanlagerisiko</w:t>
            </w:r>
          </w:p>
        </w:tc>
      </w:tr>
      <w:tr w:rsidTr="002F2BFA">
        <w:tblPrEx>
          <w:tblW w:w="5000" w:type="pct"/>
          <w:tblLook w:val="04A0"/>
        </w:tblPrEx>
        <w:tc>
          <w:tcPr>
            <w:tcW w:w="4927" w:type="dxa"/>
          </w:tcPr>
          <w:p w:rsidR="00931EEF" w:rsidRPr="005C2E7F" w:rsidP="00931EEF">
            <w:pPr>
              <w:pStyle w:val="CSBody63EN"/>
            </w:pPr>
            <w:r w:rsidRPr="005C2E7F">
              <w:t>Potential investors in Complex Products may be exposed to risks connected to the reinvestment of cash resources freed from any Complex Product, in particular as the result of an early redemption of such Complex Product. The return an investor in Complex Products will receive depends not only on the market value of, and payments (or other benefits) to be received under, such Complex Products, but also on whether or not such payments (or other benefits) can be reinvested on the same or similar terms as provided for in such Complex Product.</w:t>
            </w:r>
          </w:p>
        </w:tc>
        <w:tc>
          <w:tcPr>
            <w:tcW w:w="4928" w:type="dxa"/>
          </w:tcPr>
          <w:p w:rsidR="00931EEF" w:rsidRPr="00931EEF" w:rsidP="00933EAC">
            <w:pPr>
              <w:pStyle w:val="CSBody63DE"/>
              <w:rPr>
                <w:lang w:val="de-DE"/>
              </w:rPr>
            </w:pPr>
            <w:r w:rsidRPr="00931EEF">
              <w:rPr>
                <w:lang w:val="de-DE"/>
              </w:rPr>
              <w:t>Anleger in Komplexe Produkte sind unter Umständen e</w:t>
            </w:r>
            <w:r w:rsidR="00933EAC">
              <w:rPr>
                <w:lang w:val="de-DE"/>
              </w:rPr>
              <w:t>i</w:t>
            </w:r>
            <w:r w:rsidRPr="00931EEF">
              <w:rPr>
                <w:lang w:val="de-DE"/>
              </w:rPr>
              <w:t>nem Risiko im Zusammenhang mit der Wiederanlage der aus einem Komplexen Produkt frei werdenden Barmittel ausgesetzt, insbesondere infolge einer vorzeitigen Rückzahlung des betreffenden Komplexen Produkts. Die Rendite, die ein Anleger in Komplexe Produkte erzielt, ist nicht nur vom Marktwert dieser Komplexen Produkte und den zu vereinnahmenden Zahlungen (oder sonstigen Leistungen) abhängig, sondern auch davon, ob solche Zahlungen (oder sonstige Leistungen) zu gleichen oder ähnlichen Bedingungen wie die der Anlage in Komplexe Produkte wiederangelegt werden können.</w:t>
            </w:r>
          </w:p>
        </w:tc>
      </w:tr>
      <w:tr w:rsidTr="002F2BFA">
        <w:tblPrEx>
          <w:tblW w:w="5000" w:type="pct"/>
          <w:tblLook w:val="04A0"/>
        </w:tblPrEx>
        <w:tc>
          <w:tcPr>
            <w:tcW w:w="4927" w:type="dxa"/>
          </w:tcPr>
          <w:p w:rsidR="003E43BB" w:rsidRPr="00A362A8" w:rsidP="003E43BB">
            <w:pPr>
              <w:pStyle w:val="CSBody63ENbold"/>
            </w:pPr>
            <w:r w:rsidRPr="00A362A8">
              <w:t xml:space="preserve">Purchase on credit </w:t>
            </w:r>
            <w:r w:rsidRPr="00933EAC" w:rsidR="00933EAC">
              <w:rPr>
                <w:i/>
              </w:rPr>
              <w:t>—</w:t>
            </w:r>
            <w:r w:rsidRPr="00A362A8">
              <w:t xml:space="preserve"> debt financing</w:t>
            </w:r>
          </w:p>
        </w:tc>
        <w:tc>
          <w:tcPr>
            <w:tcW w:w="4928" w:type="dxa"/>
          </w:tcPr>
          <w:p w:rsidR="003E43BB" w:rsidRPr="00A362A8" w:rsidP="003E43BB">
            <w:pPr>
              <w:pStyle w:val="CSBody63DEbold"/>
            </w:pPr>
            <w:r w:rsidRPr="00A362A8">
              <w:t xml:space="preserve">Kauf auf Kredit </w:t>
            </w:r>
            <w:r w:rsidRPr="00EE2FB6" w:rsidR="00933EAC">
              <w:rPr>
                <w:i/>
                <w:lang w:val="de-DE"/>
              </w:rPr>
              <w:t>—</w:t>
            </w:r>
            <w:r w:rsidRPr="00A362A8">
              <w:t xml:space="preserve"> Fremdfinanzierung</w:t>
            </w:r>
          </w:p>
        </w:tc>
      </w:tr>
      <w:tr w:rsidTr="002F2BFA">
        <w:tblPrEx>
          <w:tblW w:w="5000" w:type="pct"/>
          <w:tblLook w:val="04A0"/>
        </w:tblPrEx>
        <w:tc>
          <w:tcPr>
            <w:tcW w:w="4927" w:type="dxa"/>
          </w:tcPr>
          <w:p w:rsidR="003E43BB" w:rsidRPr="00A362A8" w:rsidP="003E43BB">
            <w:pPr>
              <w:pStyle w:val="CSBody63EN"/>
            </w:pPr>
            <w:r w:rsidRPr="00A362A8">
              <w:t>If a loan is used to finance an investor's acquisition of Complex Products and Credit Suisse subsequently goes into default, or if the market value of such Complex Products diminishes significantly, such investor may not only face a potential loss on his or her investment, but will also have to repay the loan and pay any interest thereon. Accordingly, any such loan may significantly increase the risk of a loss. Potential investors in Complex Products should not assume that they will be able to repay any such loan or pay any interest thereon from the profits on such Complex Products. Instead, potential investors should assess their financial situation prior to such an investment, whether they are able to pay interest on the loan and repay the loan on demand, and be aware that they may suffer losses instead of realising gains on such Complex Products.</w:t>
            </w:r>
          </w:p>
        </w:tc>
        <w:tc>
          <w:tcPr>
            <w:tcW w:w="4928" w:type="dxa"/>
          </w:tcPr>
          <w:p w:rsidR="003E43BB" w:rsidRPr="003E43BB" w:rsidP="00933EAC">
            <w:pPr>
              <w:pStyle w:val="CSBody63DE"/>
              <w:rPr>
                <w:lang w:val="de-DE"/>
              </w:rPr>
            </w:pPr>
            <w:r w:rsidRPr="003E43BB">
              <w:rPr>
                <w:lang w:val="de-DE"/>
              </w:rPr>
              <w:t>Nimmt ein Anleger ein Darlehen auf, um den Kauf Komplexer Produkte zu finanzieren, und kommt es dann zu einem Ausfall der Credit Suisse oder fällt der Marktpreis der Komplexen Produkte erheblich, so droht dem Anleger nicht nur der Verlust des angelegten Kapitals, sondern er muss zusätzlich auch das Darlehen tilgen und Zinsen darauf zahlen. Durch eine solche Darlehensaufnahme kann sich das Verlustrisiko also signifikant erhöhen. Potenzielle Anleger in Komplexe Produkte sollten nicht davon ausgehen, dass sie die Tilgung eines solchen Darlehens oder die Zahlung der darauf anfallenden Zinsen aus dem mit den Komplexen Produkten erzielten Gewinn finanzieren können. Vielmehr sollten potenzielle Anleger ihre Finanzlage vor einer solchen Anlage daraufhin analysieren, ob sie in der Lage sind, die Zins- und Tilgungszahlungen für das Darlehen jederzeit zu leisten, und sich bewusst sein, dass sie, anstatt einen Gewinn zu erzielen, unter Umständen einen Verlust hinsichtlich solcher Komplexen Produkte erleiden werden.</w:t>
            </w:r>
          </w:p>
        </w:tc>
      </w:tr>
      <w:tr w:rsidTr="002F2BFA">
        <w:tblPrEx>
          <w:tblW w:w="5000" w:type="pct"/>
          <w:tblLook w:val="04A0"/>
        </w:tblPrEx>
        <w:tc>
          <w:tcPr>
            <w:tcW w:w="4927" w:type="dxa"/>
          </w:tcPr>
          <w:p w:rsidR="003E43BB" w:rsidRPr="00BD2178" w:rsidP="003E43BB">
            <w:pPr>
              <w:pStyle w:val="CSBody63ENbold"/>
            </w:pPr>
            <w:r w:rsidRPr="00BD2178">
              <w:t>Transaction costs/charges</w:t>
            </w:r>
          </w:p>
        </w:tc>
        <w:tc>
          <w:tcPr>
            <w:tcW w:w="4928" w:type="dxa"/>
          </w:tcPr>
          <w:p w:rsidR="003E43BB" w:rsidRPr="00BD2178" w:rsidP="003E43BB">
            <w:pPr>
              <w:pStyle w:val="CSBody63DEbold"/>
            </w:pPr>
            <w:r w:rsidRPr="00BD2178">
              <w:t>Transaktionskosten/-gebühren</w:t>
            </w:r>
          </w:p>
        </w:tc>
      </w:tr>
      <w:tr w:rsidTr="002F2BFA">
        <w:tblPrEx>
          <w:tblW w:w="5000" w:type="pct"/>
          <w:tblLook w:val="04A0"/>
        </w:tblPrEx>
        <w:tc>
          <w:tcPr>
            <w:tcW w:w="4927" w:type="dxa"/>
          </w:tcPr>
          <w:p w:rsidR="003E43BB" w:rsidRPr="00BD2178" w:rsidP="00933EAC">
            <w:pPr>
              <w:pStyle w:val="CSBody63EN"/>
            </w:pPr>
            <w:r w:rsidRPr="00BD2178">
              <w:t>When Complex Products are purchased or sold, several types of incidental costs (including transaction fees and commissions) are incurred in addition to the purchase or sale price of such Complex Products. These incidental costs may significantly reduce or eliminate any profit from holding such Complex Products, in particular if the transaction value is low. Credit institutions as a rule charge commissions that are either fixed minimum commissions or pro rata commissions, depending on the order value. To the extent that additional – domestic or foreign – parties are involved in the execution of an order, including, but not limited to, domestic dealers or brokers in foreign markets, investors in Complex Products may also be charged for the brokerage fees, commissions and other fees and expenses of such parties (third party costs).</w:t>
            </w:r>
          </w:p>
        </w:tc>
        <w:tc>
          <w:tcPr>
            <w:tcW w:w="4928" w:type="dxa"/>
          </w:tcPr>
          <w:p w:rsidR="003E43BB" w:rsidRPr="003E43BB" w:rsidP="00933EAC">
            <w:pPr>
              <w:pStyle w:val="CSBody63DE"/>
              <w:rPr>
                <w:lang w:val="de-DE"/>
              </w:rPr>
            </w:pPr>
            <w:r w:rsidRPr="003E43BB">
              <w:rPr>
                <w:lang w:val="de-DE"/>
              </w:rPr>
              <w:t>Beim Kauf oder Verkauf Komplexer Produkte fallen zusätzlich zum Kauf- oder Verkaufspreis der Komplexen Produkte Nebenkosten unterschiedlicher Art (darunter Transaktionsgebühren und Provisionen) an. Diese Nebenkosten können den Gewinn aus dem Halten Komplexer Produkte erheblich schmälern oder ganz aufzehren, insbesondere bei einem geringen Transaktionswert. In Abhängigkeit vom Orderwert berechnen Kreditinstitute in der Regel Provisionen entweder in Form einer festgesetzten Mindestprovision oder einer prozentualen Provision. Sind weitere (in</w:t>
            </w:r>
            <w:r w:rsidR="00A951EE">
              <w:rPr>
                <w:lang w:val="de-DE"/>
              </w:rPr>
              <w:t>-</w:t>
            </w:r>
            <w:r w:rsidRPr="003E43BB">
              <w:rPr>
                <w:lang w:val="de-DE"/>
              </w:rPr>
              <w:t xml:space="preserve"> oder ausländische) Parteien (</w:t>
            </w:r>
            <w:r w:rsidR="007E3558">
              <w:rPr>
                <w:lang w:val="de-DE"/>
              </w:rPr>
              <w:t>z.B.</w:t>
            </w:r>
            <w:r w:rsidRPr="003E43BB">
              <w:rPr>
                <w:lang w:val="de-DE"/>
              </w:rPr>
              <w:t xml:space="preserve"> inländische Händler oder Broker auf ausländischen Märkten) an der Orderausführung beteiligt, werden den Anlegern in Komplexe Produkte unter Umständen auch die Brokergebühren, Provisionen und sonstigen Gebühren und Auslagen dieser Beteiligten berechnet (Drittkosten).</w:t>
            </w:r>
          </w:p>
        </w:tc>
      </w:tr>
      <w:tr w:rsidTr="002F2BFA">
        <w:tblPrEx>
          <w:tblW w:w="5000" w:type="pct"/>
          <w:tblLook w:val="04A0"/>
        </w:tblPrEx>
        <w:tc>
          <w:tcPr>
            <w:tcW w:w="4927" w:type="dxa"/>
          </w:tcPr>
          <w:p w:rsidR="003E43BB" w:rsidRPr="00BD2178" w:rsidP="00933EAC">
            <w:pPr>
              <w:pStyle w:val="CSBody63EN"/>
            </w:pPr>
            <w:r w:rsidRPr="00BD2178">
              <w:t>In addition to such costs directly related to the purchase of securities (direct costs), potential investors in Complex Products must also take into account any follow-up costs (such as custody fees). Potential investors should inform themselves about any additional costs incurred in connection with the purchase, custody or sale of Complex Products before investing in such Complex Products.</w:t>
            </w:r>
          </w:p>
        </w:tc>
        <w:tc>
          <w:tcPr>
            <w:tcW w:w="4928" w:type="dxa"/>
          </w:tcPr>
          <w:p w:rsidR="003E43BB" w:rsidRPr="003E43BB" w:rsidP="00933EAC">
            <w:pPr>
              <w:pStyle w:val="CSBody63DE"/>
              <w:rPr>
                <w:lang w:val="de-DE"/>
              </w:rPr>
            </w:pPr>
            <w:r w:rsidRPr="003E43BB">
              <w:rPr>
                <w:lang w:val="de-DE"/>
              </w:rPr>
              <w:t>Zusätzlich zu den unmittelbar mit dem Kauf von Wertpapieren verbundenen Kosten (direkte Kosten) müssen potenzielle Anleger in Komplexe Produkte auch etwaige Folgekosten (wie Depotgebühren) berücksichtigen. Potenzielle Anleger sollten sich vor einer Anlage in Komplexe Produkte über etwaige im Zusammenhang mit dem Kauf, der Verwahrung oder dem Verkauf dieser Komplexen Produkte anfallende Zusatzkosten informieren.</w:t>
            </w:r>
          </w:p>
        </w:tc>
      </w:tr>
      <w:tr w:rsidTr="002F2BFA">
        <w:tblPrEx>
          <w:tblW w:w="5000" w:type="pct"/>
          <w:tblLook w:val="04A0"/>
        </w:tblPrEx>
        <w:tc>
          <w:tcPr>
            <w:tcW w:w="4927" w:type="dxa"/>
          </w:tcPr>
          <w:p w:rsidR="001B1705" w:rsidRPr="005B1001" w:rsidP="001B1705">
            <w:pPr>
              <w:pStyle w:val="CSBody63ENbold"/>
            </w:pPr>
            <w:r w:rsidRPr="005B1001">
              <w:t>Risks associated with the clearing and settlement of Complex Products</w:t>
            </w:r>
          </w:p>
        </w:tc>
        <w:tc>
          <w:tcPr>
            <w:tcW w:w="4928" w:type="dxa"/>
          </w:tcPr>
          <w:p w:rsidR="001B1705" w:rsidRPr="001B1705" w:rsidP="001B1705">
            <w:pPr>
              <w:pStyle w:val="CSBody63DEbold"/>
              <w:rPr>
                <w:lang w:val="de-DE"/>
              </w:rPr>
            </w:pPr>
            <w:r w:rsidRPr="001B1705">
              <w:rPr>
                <w:lang w:val="de-DE"/>
              </w:rPr>
              <w:t>Mit dem Clearing und der Abwicklung Komplexer Produkte verbundene Risiken</w:t>
            </w:r>
          </w:p>
        </w:tc>
      </w:tr>
      <w:tr w:rsidTr="002F2BFA">
        <w:tblPrEx>
          <w:tblW w:w="5000" w:type="pct"/>
          <w:tblLook w:val="04A0"/>
        </w:tblPrEx>
        <w:tc>
          <w:tcPr>
            <w:tcW w:w="4927" w:type="dxa"/>
          </w:tcPr>
          <w:p w:rsidR="001B1705" w:rsidRPr="005B1001" w:rsidP="00933EAC">
            <w:pPr>
              <w:pStyle w:val="CSBody63EN"/>
            </w:pPr>
            <w:r w:rsidRPr="005B1001">
              <w:t>Because Complex Products may be held by or on behalf of Euroclear, Clearstream Frankfurt, Clearstream Luxembourg and/or SIX SIS Ltd or by or on behalf of any other relevant clearing system, holders of such Complex Products will have to rely on the procedures of the relevant clearing system(s) for transfer, payment and communication with the Issuer. The Issuer shall not be held liable under any circumstances for any acts and omissions of Euroclear, Clearstream Frankfurt, Clearstream Luxembourg, SIX SIS Ltd or any other relevant clearing system or for any losses incur</w:t>
            </w:r>
            <w:r>
              <w:t>red by a holder of Complex Prod</w:t>
            </w:r>
            <w:r w:rsidRPr="005B1001">
              <w:t>ucts as a result of such acts or omissions.</w:t>
            </w:r>
          </w:p>
        </w:tc>
        <w:tc>
          <w:tcPr>
            <w:tcW w:w="4928" w:type="dxa"/>
          </w:tcPr>
          <w:p w:rsidR="001B1705" w:rsidRPr="001B1705" w:rsidP="001B1705">
            <w:pPr>
              <w:pStyle w:val="CSBody63DE"/>
              <w:rPr>
                <w:lang w:val="de-DE"/>
              </w:rPr>
            </w:pPr>
            <w:r w:rsidRPr="001B1705">
              <w:rPr>
                <w:lang w:val="de-DE"/>
              </w:rPr>
              <w:t xml:space="preserve">Da die Komplexen Produkte von oder für Euroclear, Clearstream Frankfurt, Clearstream Luxemburg und/oder SIX SIS AG oder einem anderen massgeblichen Clearingsystem gehalten werden können, sind die Inhaber der Komplexen Produkte in Bezug auf Übertragungen, Zahlungen und die Kommunikation mit der Emittentin auf die Verfahren des jeweiligen Clearingsystems bzw. der jeweiligen Clearingsysteme angewiesen. Die Emittentin haftet unter keinen Umständen für Handlungen oder Unterlassungen von Euroclear, Clearstream Frankfurt, Clearstream Luxemburg, SIX SIS AG oder einem anderen massgeblichen Clearingsystem oder für Verluste, die einem Inhaber Komplexer Produkte infolge solcher Handlungen oder Unterlassungen entstehen. </w:t>
            </w:r>
          </w:p>
        </w:tc>
      </w:tr>
      <w:tr w:rsidTr="002F2BFA">
        <w:tblPrEx>
          <w:tblW w:w="5000" w:type="pct"/>
          <w:tblLook w:val="04A0"/>
        </w:tblPrEx>
        <w:tc>
          <w:tcPr>
            <w:tcW w:w="4927" w:type="dxa"/>
          </w:tcPr>
          <w:p w:rsidR="001B1705" w:rsidRPr="006A7167" w:rsidP="001B1705">
            <w:pPr>
              <w:pStyle w:val="CSBody63ENbold"/>
            </w:pPr>
            <w:r w:rsidRPr="006A7167">
              <w:t>The secondary market generally</w:t>
            </w:r>
          </w:p>
        </w:tc>
        <w:tc>
          <w:tcPr>
            <w:tcW w:w="4928" w:type="dxa"/>
          </w:tcPr>
          <w:p w:rsidR="001B1705" w:rsidRPr="006A7167" w:rsidP="001B1705">
            <w:pPr>
              <w:pStyle w:val="CSBody63DEbold"/>
            </w:pPr>
            <w:r w:rsidRPr="006A7167">
              <w:t>Der Sekundärmarkt im Allgemeinen</w:t>
            </w:r>
          </w:p>
        </w:tc>
      </w:tr>
      <w:tr w:rsidTr="002F2BFA">
        <w:tblPrEx>
          <w:tblW w:w="5000" w:type="pct"/>
          <w:tblLook w:val="04A0"/>
        </w:tblPrEx>
        <w:tc>
          <w:tcPr>
            <w:tcW w:w="4927" w:type="dxa"/>
          </w:tcPr>
          <w:p w:rsidR="001B1705" w:rsidRPr="006A7167" w:rsidP="00933EAC">
            <w:pPr>
              <w:pStyle w:val="CSBody63EN"/>
            </w:pPr>
            <w:r w:rsidRPr="006A7167">
              <w:t>Complex Products may have no established trading market when issued and one may never develop. If a market does develop, it may not be liquid. Therefore, investors may not be able to sell their Complex Products easily or at prices reasonably acceptable to them. This is particularly the case for Complex Products that are especially sensitive to interest rate, currency or market risks, are designed for specific investment objectives or strategies or have been structured to meet the investment requirements of limited categories of investors. These types of Complex Products will generally have a more limited secondary market and experience a higher price volatility than conventional debt securities. Furthermore, there may also be less liquidity in the secondary market for Complex Products if Complex Products are not listed on a regulated or unregulated market or other trading venue and, depending upon the particular structure of such Complex Products, if such Complex Products are exclusively offered to retail investors without any offer to institutional investors. Illiquidity may have a material adverse effect on the market value of Complex Products.</w:t>
            </w:r>
          </w:p>
        </w:tc>
        <w:tc>
          <w:tcPr>
            <w:tcW w:w="4928" w:type="dxa"/>
          </w:tcPr>
          <w:p w:rsidR="001B1705" w:rsidRPr="001B1705">
            <w:pPr>
              <w:pStyle w:val="CSBody63DE"/>
              <w:rPr>
                <w:lang w:val="de-DE"/>
              </w:rPr>
            </w:pPr>
            <w:r w:rsidRPr="001B1705">
              <w:rPr>
                <w:lang w:val="de-DE"/>
              </w:rPr>
              <w:t>Unter Umständen hat sich bei der Begebung der Komplexen Produkte noch kein Markt für diese gebildet, und möglicherweise kommt ein solcher Markt auch niemals zustande. Falls ein Markt zustande kommt, ist er unter Umständen nicht liquide. Daher sind Anleger unter Umständen nicht in der Lage, ihre Komplexen Produkte problemlos oder zu einem für sie hinreichend annehmbaren Preis zu verkaufen. Dies ist vor allem bei Komplexen Produkten der Fall, die besonders anfällig für Zins-, Währungs- oder Marktrisiken sind, bestimmten Anlagezielen oder -strategien dienen oder deren Struktur den Anlagebedürfnissen eines begrenzten Anlegerkreises entspricht. Bei diesen Arten von Komplexen Produkten ist der Sekundärmarkt in der Regel eingeschränkter und sind die Kursschwankungen grösser als bei herkömmlichen Schuldtiteln. Darüber hinaus könnte der Sekundärmarkt für Komplexe Produkte weniger liquide sein, wenn diese nicht an einem regulierten oder unregulierten Markt oder sonstigen Handelsplatz notiert sind oder, wenn die Komplexen Produkte, abhängig von der konkreten Struktur der Komplexen Produkte, ausschliesslich Privatanlegern angeboten werden, ohne dass ein Angebot an instiutionelle Anleger erfolgt. Illiquidität kann sich in hohem Masse nachteilig auf den Marktwert der Komplexen Produkte auswirken.</w:t>
            </w:r>
          </w:p>
        </w:tc>
      </w:tr>
      <w:tr w:rsidTr="002F2BFA">
        <w:tblPrEx>
          <w:tblW w:w="5000" w:type="pct"/>
          <w:tblLook w:val="04A0"/>
        </w:tblPrEx>
        <w:tc>
          <w:tcPr>
            <w:tcW w:w="4927" w:type="dxa"/>
          </w:tcPr>
          <w:p w:rsidR="001B1705" w:rsidRPr="006A7167" w:rsidP="001B1705">
            <w:pPr>
              <w:pStyle w:val="CSBody63EN"/>
            </w:pPr>
            <w:r w:rsidRPr="006A7167">
              <w:t>The appointment of an entity acting in the secondary market (</w:t>
            </w:r>
            <w:r w:rsidRPr="007E3558" w:rsidR="007E3558">
              <w:rPr>
                <w:i/>
              </w:rPr>
              <w:t>e.g.</w:t>
            </w:r>
            <w:r w:rsidRPr="006A7167">
              <w:t>, appointed to provide a secondary market or appointed as a liquidity provider or specialist) with respect to Complex Products may, under certain circumstances, have an impact on the price of such Complex Product in the secondary market.</w:t>
            </w:r>
          </w:p>
        </w:tc>
        <w:tc>
          <w:tcPr>
            <w:tcW w:w="4928" w:type="dxa"/>
          </w:tcPr>
          <w:p w:rsidR="001B1705" w:rsidRPr="001B1705" w:rsidP="00933EAC">
            <w:pPr>
              <w:pStyle w:val="CSBody63DE"/>
              <w:rPr>
                <w:lang w:val="de-DE"/>
              </w:rPr>
            </w:pPr>
            <w:r w:rsidRPr="001B1705">
              <w:rPr>
                <w:lang w:val="de-DE"/>
              </w:rPr>
              <w:t>Die Beauftragung eines am Sekundärmarkt handelnden Unternehmens (z.B. beauftragt als Market-Maker oder beauftragt als Liquidity Provider oder Spezialist) in Bezug auf die Komplexen Produkte könnte sich unter bestimmten Umständen auf den Preis der Komplexen Produkte am Sekundärmarkt auswirken.</w:t>
            </w:r>
          </w:p>
        </w:tc>
      </w:tr>
      <w:tr w:rsidTr="002F2BFA">
        <w:tblPrEx>
          <w:tblW w:w="5000" w:type="pct"/>
          <w:tblLook w:val="04A0"/>
        </w:tblPrEx>
        <w:tc>
          <w:tcPr>
            <w:tcW w:w="4927" w:type="dxa"/>
          </w:tcPr>
          <w:p w:rsidR="001B1705" w:rsidRPr="009A2AF8" w:rsidP="001B1705">
            <w:pPr>
              <w:pStyle w:val="CSBody63ENbold"/>
            </w:pPr>
            <w:r w:rsidRPr="009A2AF8">
              <w:t>No obligation to make a market</w:t>
            </w:r>
          </w:p>
        </w:tc>
        <w:tc>
          <w:tcPr>
            <w:tcW w:w="4928" w:type="dxa"/>
          </w:tcPr>
          <w:p w:rsidR="001B1705" w:rsidRPr="009A2AF8" w:rsidP="001B1705">
            <w:pPr>
              <w:pStyle w:val="CSBody63DEbold"/>
            </w:pPr>
            <w:r w:rsidRPr="009A2AF8">
              <w:t>Keine Verpflichtung zur Preisstellung</w:t>
            </w:r>
          </w:p>
        </w:tc>
      </w:tr>
      <w:tr w:rsidTr="002F2BFA">
        <w:tblPrEx>
          <w:tblW w:w="5000" w:type="pct"/>
          <w:tblLook w:val="04A0"/>
        </w:tblPrEx>
        <w:tc>
          <w:tcPr>
            <w:tcW w:w="4927" w:type="dxa"/>
          </w:tcPr>
          <w:p w:rsidR="001B1705" w:rsidRPr="009A2AF8" w:rsidP="00933EAC">
            <w:pPr>
              <w:pStyle w:val="CSBody63EN"/>
            </w:pPr>
            <w:r w:rsidRPr="009A2AF8">
              <w:t>Under normal market circumstances, the Issuer will endeavour to provide a secondary market for Complex Products, but is under no legal obligation to do so, except, in the case of Complex Products with COSI feature, to the extent required pursuant to the Framework Agreement. Upon investor demand, the Issuer will endeavour to provide bid/offer prices for Complex Products, depending on actual market conditions. There will be a price difference between bid and offer prices (spread).</w:t>
            </w:r>
          </w:p>
        </w:tc>
        <w:tc>
          <w:tcPr>
            <w:tcW w:w="4928" w:type="dxa"/>
          </w:tcPr>
          <w:p w:rsidR="001B1705" w:rsidRPr="001B1705" w:rsidP="00933EAC">
            <w:pPr>
              <w:pStyle w:val="CSBody63DE"/>
              <w:rPr>
                <w:lang w:val="de-DE"/>
              </w:rPr>
            </w:pPr>
            <w:r w:rsidRPr="001B1705">
              <w:rPr>
                <w:lang w:val="de-DE"/>
              </w:rPr>
              <w:t>Unter normalen Marktbedingungen wird sich die Emittentin bemühen, einen Sekundärmarkt für Komplexe Produkte zu stellen, wobei sie hierzu rechtlich nicht verpflichtet ist, ausser – bei Komplexen Produkten mit COSI Merkmal – soweit nach dem Rahmenvertrag vorgeschrieben. Auf Verlangen der Anleger wird sich die Emittentin bemühen, in Abhängigkeit von den jeweiligen Marktbedingungen Geld- und Briefkurse für Komplexe Produkte zu stellen. Zwischen den Geld- und Briefkursen wird eine Differenz (Spread) bestehen.</w:t>
            </w:r>
          </w:p>
        </w:tc>
      </w:tr>
      <w:tr w:rsidTr="002F2BFA">
        <w:tblPrEx>
          <w:tblW w:w="5000" w:type="pct"/>
          <w:tblLook w:val="04A0"/>
        </w:tblPrEx>
        <w:tc>
          <w:tcPr>
            <w:tcW w:w="4927" w:type="dxa"/>
          </w:tcPr>
          <w:p w:rsidR="001B1705" w:rsidRPr="00994F22" w:rsidP="001B1705">
            <w:pPr>
              <w:pStyle w:val="CSBody63ENbold"/>
            </w:pPr>
            <w:r w:rsidRPr="00994F22">
              <w:t>Listing</w:t>
            </w:r>
          </w:p>
        </w:tc>
        <w:tc>
          <w:tcPr>
            <w:tcW w:w="4928" w:type="dxa"/>
          </w:tcPr>
          <w:p w:rsidR="001B1705" w:rsidRPr="00994F22" w:rsidP="001B1705">
            <w:pPr>
              <w:pStyle w:val="CSBody63DEbold"/>
            </w:pPr>
            <w:r w:rsidRPr="00994F22">
              <w:t>Börsennotierung</w:t>
            </w:r>
          </w:p>
        </w:tc>
      </w:tr>
      <w:tr w:rsidTr="002F2BFA">
        <w:tblPrEx>
          <w:tblW w:w="5000" w:type="pct"/>
          <w:tblLook w:val="04A0"/>
        </w:tblPrEx>
        <w:tc>
          <w:tcPr>
            <w:tcW w:w="4927" w:type="dxa"/>
          </w:tcPr>
          <w:p w:rsidR="001B1705" w:rsidRPr="00994F22" w:rsidP="00933EAC">
            <w:pPr>
              <w:pStyle w:val="CSBody63EN"/>
            </w:pPr>
            <w:r w:rsidRPr="00994F22">
              <w:t>Complex Products may be, but are not required to be, listed on an exchange. Because other dealers or market participants are not likely to make a secondary market for listed or non-listed Complex Products, the price at which a holder of Complex Products may be able to trade listed or non-listed Complex Products is likely to depend on the bid and offer prices, if any, at which the Issuer or the Calculation Agent is willing to trade such Complex Products.</w:t>
            </w:r>
          </w:p>
        </w:tc>
        <w:tc>
          <w:tcPr>
            <w:tcW w:w="4928" w:type="dxa"/>
          </w:tcPr>
          <w:p w:rsidR="001B1705" w:rsidRPr="001B1705" w:rsidP="00933EAC">
            <w:pPr>
              <w:pStyle w:val="CSBody63DE"/>
              <w:rPr>
                <w:lang w:val="de-DE"/>
              </w:rPr>
            </w:pPr>
            <w:r w:rsidRPr="001B1705">
              <w:rPr>
                <w:lang w:val="de-DE"/>
              </w:rPr>
              <w:t>Komplexe Produkte können, müssen jedoch nicht an einer Börse notiert sein. Da es unwahrscheinlich ist, dass andere Händler oder Marktteilnehmer einen Sekundärmarkt für börsennotierte oder nicht börsennotierte Komplexe Produkte schaffen werden, wird der Preis, zu dem ein Inhaber Komplexer Produkte börsennotierte oder nicht börsennotierte Komplexe Produkte handeln kann, voraussichtlich von etwaigen Geld- und Briefkursen abhängig sein, zu welchen die Emittentin oder die Berechnungsstelle bereit ist, solche Komplexen Produkte zu handeln.</w:t>
            </w:r>
          </w:p>
        </w:tc>
      </w:tr>
      <w:tr w:rsidTr="002F2BFA">
        <w:tblPrEx>
          <w:tblW w:w="5000" w:type="pct"/>
          <w:tblLook w:val="04A0"/>
        </w:tblPrEx>
        <w:tc>
          <w:tcPr>
            <w:tcW w:w="4927" w:type="dxa"/>
          </w:tcPr>
          <w:p w:rsidR="001B1705" w:rsidRPr="005F365B" w:rsidP="001B1705">
            <w:pPr>
              <w:pStyle w:val="CSBody63ENbold"/>
            </w:pPr>
            <w:r w:rsidRPr="005F365B">
              <w:t>Certain considerations relating to public offerings of the Complex Products</w:t>
            </w:r>
          </w:p>
        </w:tc>
        <w:tc>
          <w:tcPr>
            <w:tcW w:w="4928" w:type="dxa"/>
          </w:tcPr>
          <w:p w:rsidR="001B1705" w:rsidRPr="001B1705" w:rsidP="001B1705">
            <w:pPr>
              <w:pStyle w:val="CSBody63DEbold"/>
              <w:rPr>
                <w:lang w:val="de-DE"/>
              </w:rPr>
            </w:pPr>
            <w:r w:rsidRPr="001B1705">
              <w:rPr>
                <w:lang w:val="de-DE"/>
              </w:rPr>
              <w:t>Bestimmte Überlegungen in Bezug auf öffentliche Angebote der Komplexen Produkte</w:t>
            </w:r>
          </w:p>
        </w:tc>
      </w:tr>
      <w:tr w:rsidTr="002F2BFA">
        <w:tblPrEx>
          <w:tblW w:w="5000" w:type="pct"/>
          <w:tblLook w:val="04A0"/>
        </w:tblPrEx>
        <w:tc>
          <w:tcPr>
            <w:tcW w:w="4927" w:type="dxa"/>
          </w:tcPr>
          <w:p w:rsidR="001B1705" w:rsidRPr="005F365B" w:rsidP="00933EAC">
            <w:pPr>
              <w:pStyle w:val="CSBody63EN"/>
            </w:pPr>
            <w:r w:rsidRPr="005F365B">
              <w:t>If Complex Products are distributed by means of a public offer, the applicable Terms and Conditions may provide that, the Issuer and/or the other entities specified in the applicable Terms and Conditions, have the right to withdraw or revoke the offer, and that upon such withdrawal or revocation the offer will be deemed to be null and void in accordance with the terms of the applicable Terms and Conditions.</w:t>
            </w:r>
          </w:p>
        </w:tc>
        <w:tc>
          <w:tcPr>
            <w:tcW w:w="4928" w:type="dxa"/>
          </w:tcPr>
          <w:p w:rsidR="001B1705" w:rsidRPr="001B1705" w:rsidP="00933EAC">
            <w:pPr>
              <w:pStyle w:val="CSBody63DE"/>
              <w:rPr>
                <w:lang w:val="de-DE"/>
              </w:rPr>
            </w:pPr>
            <w:r w:rsidRPr="001B1705">
              <w:rPr>
                <w:lang w:val="de-DE"/>
              </w:rPr>
              <w:t>Werden Komplexe Produkte im Wege eines öffentlichen Angebots vertrieben, sehen die anwendbaren Emissionsbedingungen möglicherweise vor, dass die Emittentin und/oder die sonstigen in den anwendbaren Emissionsbedingungen angegebenen Unternehmen berechtigt sind, das Angebot zurückzuziehen bzw. zu widerrufen, woraufhin das Angebot in Übereinstimmung mit den Bestimmungen der anwendbaren Emissionsbedingungen als ungültig und wirkungslos zu betrachten ist.</w:t>
            </w:r>
          </w:p>
        </w:tc>
      </w:tr>
      <w:tr w:rsidTr="002F2BFA">
        <w:tblPrEx>
          <w:tblW w:w="5000" w:type="pct"/>
          <w:tblLook w:val="04A0"/>
        </w:tblPrEx>
        <w:tc>
          <w:tcPr>
            <w:tcW w:w="4927" w:type="dxa"/>
          </w:tcPr>
          <w:p w:rsidR="001B1705" w:rsidRPr="005F365B" w:rsidP="001B1705">
            <w:pPr>
              <w:pStyle w:val="CSBody63EN"/>
            </w:pPr>
            <w:r w:rsidRPr="005F365B">
              <w:t>If Complex Products are distributed by means of a public offer, the applicable Terms and Conditions may further provide that the Issuer and/or the other entities specified in the applicable Terms and Conditions may have the right to terminate the offer early by (i) immediately suspending the acceptance of additional subscriptions or subscription requests and (ii) publishing a notice in accordance with the applicable Terms and Conditions. Any such termination may occur, even if the maximum amount for subscription in relation to that offer (as specified in the applicable Terms and Conditions), has not been reached and, in such circumstances, the early termination of the offer may have an impact on the aggregate number of Complex Products issued and, therefore, an adverse effect on the liquidity of the Complex Products.</w:t>
            </w:r>
          </w:p>
        </w:tc>
        <w:tc>
          <w:tcPr>
            <w:tcW w:w="4928" w:type="dxa"/>
          </w:tcPr>
          <w:p w:rsidR="001B1705" w:rsidRPr="001B1705" w:rsidP="00933EAC">
            <w:pPr>
              <w:pStyle w:val="CSBody63DE"/>
              <w:rPr>
                <w:lang w:val="de-DE"/>
              </w:rPr>
            </w:pPr>
            <w:r w:rsidRPr="001B1705">
              <w:rPr>
                <w:lang w:val="de-DE"/>
              </w:rPr>
              <w:t>Werden Komplexe Produkte im Wege eines öffentlichen Angebots vertrieben, sehen die anwendbaren Emissionsbedingungen möglicherweise zudem vor, dass die Emittentin und/oder die sonstigen in den anwendbaren Emissionsbedingungen angegebenen Unternehmen berechtigt sind, das Angebot vorzeitig zu beenden indem sie (i) eine sofortige Aussetzung der Annahme weiterer Zeichnungen oder Zeichnungsanträge sowie (ii) eine Veröffentlichung einer Mitteilung in Übereinstimmung mit den anwendbaren Emissionsbedingungen vornehmen. Das Angebot kann auch dann eingestellt werden, wenn der zur Zeichnung vorgesehene Höchstbetrag für dieses Angebot (wie jeweils in den anwendbaren Emissionsbedingungen angegeben) noch nicht erreicht ist, und unter diesen Umständen kann sich die vorzeitige Beendigung des Angebots auf die Zahl der insgesamt begebenen Komplexen Produkte auswirken und somit möglicherweise deren Liquidität beeinträchtigen.</w:t>
            </w:r>
          </w:p>
        </w:tc>
      </w:tr>
      <w:tr w:rsidTr="002F2BFA">
        <w:tblPrEx>
          <w:tblW w:w="5000" w:type="pct"/>
          <w:tblLook w:val="04A0"/>
        </w:tblPrEx>
        <w:tc>
          <w:tcPr>
            <w:tcW w:w="4927" w:type="dxa"/>
          </w:tcPr>
          <w:p w:rsidR="001B1705" w:rsidRPr="005F365B" w:rsidP="000553DF">
            <w:pPr>
              <w:pStyle w:val="CSBody63EN"/>
            </w:pPr>
            <w:r w:rsidRPr="005F365B">
              <w:t>In the case of a public offering of Complex Products, the applicable Terms and Conditions may provide the Issuer and/or the other entities specified therein with the right to extend the applicable offer period. If the Issuer and/or such other entity elects to</w:t>
            </w:r>
            <w:r w:rsidR="00933EAC">
              <w:t xml:space="preserve"> extend the applicable offer pe</w:t>
            </w:r>
            <w:r w:rsidRPr="005F365B">
              <w:t xml:space="preserve">riod, such decision will be published in accordance with the applicable Terms and Conditions. In the event that the Issuer publishes a supplement to the Base Prospectus in accordance with </w:t>
            </w:r>
            <w:r w:rsidR="00674A5A">
              <w:t>§ </w:t>
            </w:r>
            <w:r w:rsidRPr="005F365B">
              <w:t>16 WpPG and article</w:t>
            </w:r>
            <w:r w:rsidR="000553DF">
              <w:t> </w:t>
            </w:r>
            <w:r w:rsidRPr="005F365B">
              <w:t>16 of the Prospectus Directive, the Issuer may also postpone the Issue Date/Payment Date, the Initial Fixing Date and/or other dates provided for in the Terms and Conditions.</w:t>
            </w:r>
          </w:p>
        </w:tc>
        <w:tc>
          <w:tcPr>
            <w:tcW w:w="4928" w:type="dxa"/>
          </w:tcPr>
          <w:p w:rsidR="001B1705" w:rsidRPr="001B1705" w:rsidP="00933EAC">
            <w:pPr>
              <w:pStyle w:val="CSBody63DE"/>
              <w:rPr>
                <w:lang w:val="de-DE"/>
              </w:rPr>
            </w:pPr>
            <w:r w:rsidRPr="001B1705">
              <w:rPr>
                <w:lang w:val="de-DE"/>
              </w:rPr>
              <w:t xml:space="preserve">Im Fall eines öffentlichen Angebots von Komplexen Produkten können die anwendbaren Emissionsbedingungen ein Recht der Emittentin und/oder der sonstigen in den anwendbaren Emissionsbedingungen angegebenen Unternehmen vorsehen, die massgebliche Angebotsfrist zu verlängern. Falls die Emittentin und/oder ein solches anderes Unternehmen sich entschliessen sollte, die massgebliche Angebotsfrist zu verlängern, wird dies in Übereinstimmung mit den Bestimmungen der anwendbaren Emissionsbedingungen veröffentlicht. In dem Fall, dass die Emittentin einen Nachtrag zum Basisprospekt gemäss </w:t>
            </w:r>
            <w:r w:rsidR="00674A5A">
              <w:rPr>
                <w:lang w:val="de-DE"/>
              </w:rPr>
              <w:t>§ </w:t>
            </w:r>
            <w:r w:rsidRPr="001B1705">
              <w:rPr>
                <w:lang w:val="de-DE"/>
              </w:rPr>
              <w:t>16 WpPG und Artikel</w:t>
            </w:r>
            <w:r w:rsidR="000553DF">
              <w:rPr>
                <w:lang w:val="de-DE"/>
              </w:rPr>
              <w:t> </w:t>
            </w:r>
            <w:r w:rsidRPr="001B1705">
              <w:rPr>
                <w:lang w:val="de-DE"/>
              </w:rPr>
              <w:t>16 Prospektrichtlinie veröffentlicht, kann die Emittentin zudem den Emissionstag/Zahlungstag, den Anfänglichen Festlgungstag und/oder weitere in den Emissionsbedingungen enthaltene Daten ändern.</w:t>
            </w:r>
          </w:p>
        </w:tc>
      </w:tr>
      <w:tr w:rsidTr="002F2BFA">
        <w:tblPrEx>
          <w:tblW w:w="5000" w:type="pct"/>
          <w:tblLook w:val="04A0"/>
        </w:tblPrEx>
        <w:tc>
          <w:tcPr>
            <w:tcW w:w="4927" w:type="dxa"/>
          </w:tcPr>
          <w:p w:rsidR="000553DF" w:rsidRPr="000957D4" w:rsidP="000553DF">
            <w:pPr>
              <w:pStyle w:val="CSBody63ENbold"/>
            </w:pPr>
            <w:r w:rsidRPr="000957D4">
              <w:t>Effect of hedging transactions by the Issuer on Complex Products</w:t>
            </w:r>
          </w:p>
        </w:tc>
        <w:tc>
          <w:tcPr>
            <w:tcW w:w="4928" w:type="dxa"/>
          </w:tcPr>
          <w:p w:rsidR="000553DF" w:rsidRPr="000553DF" w:rsidP="000553DF">
            <w:pPr>
              <w:pStyle w:val="CSBody63DEbold"/>
              <w:rPr>
                <w:lang w:val="de-DE"/>
              </w:rPr>
            </w:pPr>
            <w:r w:rsidRPr="000553DF">
              <w:rPr>
                <w:lang w:val="de-DE"/>
              </w:rPr>
              <w:t>Auswirkungen von Hedging-Geschäften der Emittentin auf die Komplexen Produkte</w:t>
            </w:r>
          </w:p>
        </w:tc>
      </w:tr>
      <w:tr w:rsidTr="002F2BFA">
        <w:tblPrEx>
          <w:tblW w:w="5000" w:type="pct"/>
          <w:tblLook w:val="04A0"/>
        </w:tblPrEx>
        <w:tc>
          <w:tcPr>
            <w:tcW w:w="4927" w:type="dxa"/>
          </w:tcPr>
          <w:p w:rsidR="000553DF" w:rsidRPr="000957D4" w:rsidP="00933EAC">
            <w:pPr>
              <w:pStyle w:val="CSBody63EN"/>
            </w:pPr>
            <w:r w:rsidRPr="000957D4">
              <w:t>The Issuer may use a portion of the total proceeds from the sale of Complex Products for transactions to hedge the risks of the Issuer relating to such Complex Products. In such case, the Issuer or one of its affiliates may conclude transactions that correspond to the obligations of the Issuer under such Complex Products. As a general rule, such transactions are concluded on or prior to the Issue Date of such Complex Products, but may also occur thereafter. On or before any date on which certain determinations pursuant to the Terms and Conditions applicable to Complex Products will be made, the Issuer or one of its affiliates may take the steps necessary for closing out any such hedging transactions. It cannot, however, be ruled out that such determinations will be influenced by such hedging transactions in individual cases.</w:t>
            </w:r>
          </w:p>
        </w:tc>
        <w:tc>
          <w:tcPr>
            <w:tcW w:w="4928" w:type="dxa"/>
          </w:tcPr>
          <w:p w:rsidR="000553DF" w:rsidRPr="000553DF" w:rsidP="00933EAC">
            <w:pPr>
              <w:pStyle w:val="CSBody63DE"/>
              <w:rPr>
                <w:lang w:val="de-DE"/>
              </w:rPr>
            </w:pPr>
            <w:r w:rsidRPr="000553DF">
              <w:rPr>
                <w:lang w:val="de-DE"/>
              </w:rPr>
              <w:t xml:space="preserve">Die Emittentin kann einen Teil des Gesamterlöses aus dem Verkauf Komplexer Produkte für Geschäfte zur Absicherung ihrer Risiken im Zusammenhang mit diesen Komplexen Produkten verwenden. In diesem Fall kann die Emittentin oder eines ihrer verbundenen Unternehmen Geschäfte abschliessen, die den Verpflichtungen der Emittentin aus den betreffenden Komplexen Produkten entsprechen. In der Regel werden solche Geschäfte an oder vor dem Emissionstag der betreffenden Komplexen Produkte abgeschlossen, ein nachträglicher Abschluss ist jedoch ebenfalls möglich. An oder vor einem Tag, an dem bestimmte Feststellungen gemäss den Emissionsbedingungen der Komplexen Produkte erfolgen, kann die Emittentin oder eines ihrer verbundenen Unternehmen die für die Glattstellung solcher Hedging-Geschäfte erforderlichen Schritte unternehmen. Es kann jedoch nicht ausgeschlossen werden, dass diese Feststellungen in Einzelfällen von solchen Hedging-Geschäften beeinflusst werden. </w:t>
            </w:r>
          </w:p>
        </w:tc>
      </w:tr>
      <w:tr w:rsidTr="002F2BFA">
        <w:tblPrEx>
          <w:tblW w:w="5000" w:type="pct"/>
          <w:tblLook w:val="04A0"/>
        </w:tblPrEx>
        <w:tc>
          <w:tcPr>
            <w:tcW w:w="4927" w:type="dxa"/>
          </w:tcPr>
          <w:p w:rsidR="000553DF" w:rsidRPr="000957D4" w:rsidP="00933EAC">
            <w:pPr>
              <w:pStyle w:val="CSBody63EN"/>
            </w:pPr>
            <w:r w:rsidRPr="000957D4">
              <w:t>Further, to the extent the Issuer is unable to conclude the above described hedging transactions, or such hedging transactions are difficult to conclude, the spread between the bid and offer prices relating to the relevant Complex Products may be temporarily expanded or the provision of such bid and offer prices may be temporarily suspended, in each case in order to limit the economic risks to the Issuer. Consequently, holders of such Complex Products may be unable to sell their Complex Products or, if able to sell their Complex Products on an exchange or on the over-the-counter market, may only be able to sell their Complex Products at a price that is substantially lower than their actual value at the time of such sale, which may lead to losses to those holders.</w:t>
            </w:r>
          </w:p>
        </w:tc>
        <w:tc>
          <w:tcPr>
            <w:tcW w:w="4928" w:type="dxa"/>
          </w:tcPr>
          <w:p w:rsidR="000553DF" w:rsidRPr="000553DF" w:rsidP="00933EAC">
            <w:pPr>
              <w:pStyle w:val="CSBody63DE"/>
              <w:rPr>
                <w:lang w:val="de-DE"/>
              </w:rPr>
            </w:pPr>
            <w:r w:rsidRPr="000553DF">
              <w:rPr>
                <w:lang w:val="de-DE"/>
              </w:rPr>
              <w:t>Ist die Emittentin nicht in der Lage, die vorstehend beschriebenen Hedging-Geschäfte abzuschliessen, oder sind diese nur unter Schwierigkeiten abzuschliessen, so kann darüber hinaus zeitweilig der Spread zwischen den Geld- und Briefkursen für die betreffenden Komplexen Produkte ausgeweitet oder die Stellung von Geld- und Briefkursen ausgesetzt werden, um jeweils die wirtschaftlichen Risiken für die Emittentin zu begrenzen. Folglich kann es für die Inhaber solcher Komplexen Produkte unter Umständen unmöglich sein, ihre Komplexen Produkte zu verkaufen, bzw. sofern ein Verkauf an einer Börse oder ausserbörslich möglich ist, kann dabei möglicherweise nur ein Preis erzielt werden, der deutlich unter dem eigentlichen Wert der betreffenden Komplexen Produkte im Zeitpunkt des Verkaufs liegt, was zu einem Verlust für die Inhaber führen kann.</w:t>
            </w:r>
          </w:p>
        </w:tc>
      </w:tr>
      <w:tr w:rsidTr="002F2BFA">
        <w:tblPrEx>
          <w:tblW w:w="5000" w:type="pct"/>
          <w:tblLook w:val="04A0"/>
        </w:tblPrEx>
        <w:tc>
          <w:tcPr>
            <w:tcW w:w="4927" w:type="dxa"/>
          </w:tcPr>
          <w:p w:rsidR="000553DF" w:rsidRPr="0024590C" w:rsidP="000553DF">
            <w:pPr>
              <w:pStyle w:val="CSBody63ENbold"/>
            </w:pPr>
            <w:r w:rsidRPr="0024590C">
              <w:t>Change of Law</w:t>
            </w:r>
          </w:p>
        </w:tc>
        <w:tc>
          <w:tcPr>
            <w:tcW w:w="4928" w:type="dxa"/>
          </w:tcPr>
          <w:p w:rsidR="000553DF" w:rsidRPr="0024590C" w:rsidP="000553DF">
            <w:pPr>
              <w:pStyle w:val="CSBody63DEbold"/>
            </w:pPr>
            <w:r w:rsidRPr="0024590C">
              <w:t>Gesetzesänderungen</w:t>
            </w:r>
          </w:p>
        </w:tc>
      </w:tr>
      <w:tr w:rsidTr="002F2BFA">
        <w:tblPrEx>
          <w:tblW w:w="5000" w:type="pct"/>
          <w:tblLook w:val="04A0"/>
        </w:tblPrEx>
        <w:tc>
          <w:tcPr>
            <w:tcW w:w="4927" w:type="dxa"/>
          </w:tcPr>
          <w:p w:rsidR="000553DF" w:rsidRPr="0024590C" w:rsidP="00933EAC">
            <w:pPr>
              <w:pStyle w:val="CSBody63EN"/>
            </w:pPr>
            <w:r w:rsidRPr="0024590C">
              <w:t>Complex Products will be governed by Swiss law in effect from time to time. No assurance can be given as to the impact of any possible judicial decision or change to Swiss law (or other law applicable in Switzerland) or administrative practice after the relevant Issue Date.</w:t>
            </w:r>
          </w:p>
        </w:tc>
        <w:tc>
          <w:tcPr>
            <w:tcW w:w="4928" w:type="dxa"/>
          </w:tcPr>
          <w:p w:rsidR="000553DF" w:rsidRPr="000553DF" w:rsidP="000553DF">
            <w:pPr>
              <w:pStyle w:val="CSBody63DE"/>
              <w:rPr>
                <w:lang w:val="de-DE"/>
              </w:rPr>
            </w:pPr>
            <w:r w:rsidRPr="000553DF">
              <w:rPr>
                <w:lang w:val="de-DE"/>
              </w:rPr>
              <w:t xml:space="preserve">Die Komplexen Produkte unterliegen dem Schweizer Recht wie jeweils in Kraft. Es kann keine Gewähr hinsichtlich der Auswirkungen möglicher gerichtlicher Entscheidungen oder Änderungen des Schweizer Rechts (oder </w:t>
            </w:r>
            <w:r>
              <w:rPr>
                <w:lang w:val="de-DE"/>
              </w:rPr>
              <w:t>sonstigen in der Schweiz anwend</w:t>
            </w:r>
            <w:r w:rsidRPr="000553DF">
              <w:rPr>
                <w:lang w:val="de-DE"/>
              </w:rPr>
              <w:t>baren Rechts) oder der Verwaltungspraxis nach dem betreffenden Emissionstag gegeben werden.</w:t>
            </w:r>
          </w:p>
        </w:tc>
      </w:tr>
      <w:tr w:rsidTr="002F2BFA">
        <w:tblPrEx>
          <w:tblW w:w="5000" w:type="pct"/>
          <w:tblLook w:val="04A0"/>
        </w:tblPrEx>
        <w:tc>
          <w:tcPr>
            <w:tcW w:w="4927" w:type="dxa"/>
          </w:tcPr>
          <w:p w:rsidR="000553DF" w:rsidRPr="00622982" w:rsidP="000553DF">
            <w:pPr>
              <w:pStyle w:val="CSBody63ENbold"/>
            </w:pPr>
            <w:r w:rsidRPr="00622982">
              <w:t>Extraordinary Events</w:t>
            </w:r>
          </w:p>
        </w:tc>
        <w:tc>
          <w:tcPr>
            <w:tcW w:w="4928" w:type="dxa"/>
          </w:tcPr>
          <w:p w:rsidR="000553DF" w:rsidRPr="00622982" w:rsidP="000553DF">
            <w:pPr>
              <w:pStyle w:val="CSBody63DEbold"/>
            </w:pPr>
            <w:r w:rsidRPr="00622982">
              <w:t>Aussergewöhnliche Ereignisse</w:t>
            </w:r>
          </w:p>
        </w:tc>
      </w:tr>
      <w:tr w:rsidTr="002F2BFA">
        <w:tblPrEx>
          <w:tblW w:w="5000" w:type="pct"/>
          <w:tblLook w:val="04A0"/>
        </w:tblPrEx>
        <w:tc>
          <w:tcPr>
            <w:tcW w:w="4927" w:type="dxa"/>
          </w:tcPr>
          <w:p w:rsidR="000553DF" w:rsidRPr="00622982" w:rsidP="00933EAC">
            <w:pPr>
              <w:pStyle w:val="CSBody63EN"/>
            </w:pPr>
            <w:r w:rsidRPr="00622982">
              <w:t>Upon the occurrence of an Extraordinary Event, the Calculation Agent and the Issuer, acting together, have the right to, among other things, early redeem the relevant Complex Products in accordance with the procedures set by the Calculation Agent and the Issuer. In the event an Extraordinary Event occurs and the Issuer exercises such early redemption right, the holders of the relevant Complex Products will thereafter no longer be able to realise any expectations for a gain in the value of such Complex Products.</w:t>
            </w:r>
          </w:p>
        </w:tc>
        <w:tc>
          <w:tcPr>
            <w:tcW w:w="4928" w:type="dxa"/>
          </w:tcPr>
          <w:p w:rsidR="000553DF" w:rsidRPr="000553DF" w:rsidP="00933EAC">
            <w:pPr>
              <w:pStyle w:val="CSBody63DE"/>
              <w:rPr>
                <w:lang w:val="de-DE"/>
              </w:rPr>
            </w:pPr>
            <w:r w:rsidRPr="000553DF">
              <w:rPr>
                <w:lang w:val="de-DE"/>
              </w:rPr>
              <w:t xml:space="preserve">Bei Eintritt eines Aussergewöhnlichen Ereignisses sind die Berechnungsstelle und die Emittentin unter anderem berechtigt, gemeinsam die betreffenden Komplexen Produkte gemäss den von der Berechnungsstelle und der Emittentin festgelegten Verfahren vorzeitig zurückzuzahlen. Tritt ein Aussergewöhnliches Ereignis ein und übt die Emittentin dieses vorzeitige Rückzahlungsrecht aus, so können die Inhaber der betreffenden Komplexen Produkte danach den von ihnen erwarteten Wertzuwachs bei den Komplexen Produkten nicht mehr erzielen. </w:t>
            </w:r>
          </w:p>
        </w:tc>
      </w:tr>
      <w:tr w:rsidTr="002F2BFA">
        <w:tblPrEx>
          <w:tblW w:w="5000" w:type="pct"/>
          <w:tblLook w:val="04A0"/>
        </w:tblPrEx>
        <w:tc>
          <w:tcPr>
            <w:tcW w:w="4927" w:type="dxa"/>
          </w:tcPr>
          <w:p w:rsidR="000553DF" w:rsidRPr="00622982" w:rsidP="00933EAC">
            <w:pPr>
              <w:pStyle w:val="CSBody63EN"/>
            </w:pPr>
            <w:r w:rsidRPr="00622982">
              <w:t>If the Calculation Agent and Issuer, acting together, exercise the early redemption right, investors should be aware that the early redemption price may be considerably lower than the Issue Price (or, if different, the price the relevant investor paid for such Complex Product) and/or the Final Redemption Amount or the Scheduled Redemption Amount, as applicable, and no Interest Payment Amounts that would otherwise have been due after the date of such early redemption will be paid.</w:t>
            </w:r>
          </w:p>
        </w:tc>
        <w:tc>
          <w:tcPr>
            <w:tcW w:w="4928" w:type="dxa"/>
          </w:tcPr>
          <w:p w:rsidR="000553DF" w:rsidRPr="000553DF" w:rsidP="00933EAC">
            <w:pPr>
              <w:pStyle w:val="CSBody63DE"/>
              <w:rPr>
                <w:lang w:val="de-DE"/>
              </w:rPr>
            </w:pPr>
            <w:r w:rsidRPr="000553DF">
              <w:rPr>
                <w:lang w:val="de-DE"/>
              </w:rPr>
              <w:t>Wenn die Berechnungsstelle und die Emittentin gemeinsam dieses Recht der vorzeitigen Kündigung ausüben, sollten Anleger sich bewusst sein, dass der vorzeitige Rückzahlungsbetrag erheblich unter dem Emissionspreis (bzw., falls abweichend, dem Preis, den der jeweilige Anleger für das betreffende Komplexe Produkt gezahlt hat) und/oder dem Finalen Rückzahlungsbetrag bzw. dem Planmässigen Rückzahlungsbetrag liegen kann, und dass Zinszahlungsbeträge, die ansonsten nach dem Tag der vorzeitigen Rückzahlung fällig gewesen wären, nicht gezahlt werden.</w:t>
            </w:r>
          </w:p>
        </w:tc>
      </w:tr>
      <w:tr w:rsidTr="002F2BFA">
        <w:tblPrEx>
          <w:tblW w:w="5000" w:type="pct"/>
          <w:tblLook w:val="04A0"/>
        </w:tblPrEx>
        <w:tc>
          <w:tcPr>
            <w:tcW w:w="4927" w:type="dxa"/>
          </w:tcPr>
          <w:p w:rsidR="00D433E6" w:rsidRPr="00F26A81" w:rsidP="00D82500">
            <w:pPr>
              <w:pStyle w:val="CSHeading3EN"/>
            </w:pPr>
            <w:bookmarkStart w:id="37" w:name="_Toc438227515"/>
            <w:r w:rsidRPr="00D433E6">
              <w:t>Risks associated with different categories of Complex Products</w:t>
            </w:r>
            <w:bookmarkEnd w:id="37"/>
          </w:p>
        </w:tc>
        <w:tc>
          <w:tcPr>
            <w:tcW w:w="4928" w:type="dxa"/>
          </w:tcPr>
          <w:p w:rsidR="00D433E6" w:rsidRPr="00B34C1C" w:rsidP="00933EAC">
            <w:pPr>
              <w:pStyle w:val="CSHeading3DE"/>
              <w:rPr>
                <w:lang w:val="de-DE"/>
              </w:rPr>
            </w:pPr>
            <w:bookmarkStart w:id="38" w:name="_Toc438160263"/>
            <w:r w:rsidRPr="00B34C1C">
              <w:rPr>
                <w:lang w:val="de-DE"/>
              </w:rPr>
              <w:t>Mit unterschiedlichen Kategorien von Komplexen Produkten verbundene Risiken</w:t>
            </w:r>
            <w:bookmarkEnd w:id="38"/>
          </w:p>
        </w:tc>
      </w:tr>
      <w:tr w:rsidTr="002F2BFA">
        <w:tblPrEx>
          <w:tblW w:w="5000" w:type="pct"/>
          <w:tblLook w:val="04A0"/>
        </w:tblPrEx>
        <w:tc>
          <w:tcPr>
            <w:tcW w:w="4927" w:type="dxa"/>
          </w:tcPr>
          <w:p w:rsidR="000553DF" w:rsidRPr="00E73F2D" w:rsidP="000553DF">
            <w:pPr>
              <w:pStyle w:val="CSBody63EN"/>
            </w:pPr>
            <w:r w:rsidRPr="00E73F2D">
              <w:t>Complex Products that may be issued hereunder fall into one of the following categories: (i) Credit-Linked Complex Products with auction settlement, (ii) Credit-Linked Complex Products with simplified settlement, and (iii) Complex Products with Fixed Final Redemption Amount.</w:t>
            </w:r>
          </w:p>
        </w:tc>
        <w:tc>
          <w:tcPr>
            <w:tcW w:w="4928" w:type="dxa"/>
          </w:tcPr>
          <w:p w:rsidR="000553DF" w:rsidRPr="000553DF" w:rsidP="00933EAC">
            <w:pPr>
              <w:pStyle w:val="CSBody63DE"/>
              <w:rPr>
                <w:lang w:val="de-DE"/>
              </w:rPr>
            </w:pPr>
            <w:r w:rsidRPr="000553DF">
              <w:rPr>
                <w:lang w:val="de-DE"/>
              </w:rPr>
              <w:t xml:space="preserve">Die Komplexen Produkte, die im Rahmen dieses Dokuments begeben werden können, lassen sich in die folgenden Kategorien einteilen: (i) Kreditbezogene Komplexe Produkte mit Auktionsabwicklung, (ii) Kreditbezogene Komplexe Produkte mit vereinfachter Abwicklung und (iii) Komplexe Produkte mit Festem Finalen Rückzahlungsbetrag. </w:t>
            </w:r>
          </w:p>
        </w:tc>
      </w:tr>
      <w:tr w:rsidTr="002F2BFA">
        <w:tblPrEx>
          <w:tblW w:w="5000" w:type="pct"/>
          <w:tblLook w:val="04A0"/>
        </w:tblPrEx>
        <w:tc>
          <w:tcPr>
            <w:tcW w:w="4927" w:type="dxa"/>
          </w:tcPr>
          <w:p w:rsidR="000553DF" w:rsidRPr="00E73F2D" w:rsidP="00933EAC">
            <w:pPr>
              <w:pStyle w:val="CSBody63EN"/>
            </w:pPr>
            <w:r w:rsidRPr="00E73F2D">
              <w:t>The risks described under "</w:t>
            </w:r>
            <w:r w:rsidRPr="000553DF">
              <w:rPr>
                <w:i/>
              </w:rPr>
              <w:t>— A. Risk factors that are applicable to all Complex Products</w:t>
            </w:r>
            <w:r w:rsidRPr="00E73F2D">
              <w:t xml:space="preserve">" above are applicable to all categories of Complex Products. However, certain additional risks are applicable to each individual category of Complex Products as described below. Potential investors in Complex Products should note that Complex Products may have features in addition to the standard characteristics of the applicable category of Complex Products. Further, if the </w:t>
            </w:r>
            <w:r>
              <w:t>classification number for a Com</w:t>
            </w:r>
            <w:r w:rsidRPr="00E73F2D">
              <w:t>plex Product as assigned by the Swiss Structured Products Association ("</w:t>
            </w:r>
            <w:r w:rsidRPr="000553DF">
              <w:rPr>
                <w:b/>
              </w:rPr>
              <w:t>SSPA</w:t>
            </w:r>
            <w:r w:rsidRPr="00E73F2D">
              <w:t>") is marked with a star "*" in the Terms and Conditions, the characteristics of such Complex Product differ slightly from the standard characteristics of the SSPA product category to which it belongs. The complete and definitive legally binding terms and conditions of Complex Products are set forth in the applicable Terms and Conditions.</w:t>
            </w:r>
          </w:p>
        </w:tc>
        <w:tc>
          <w:tcPr>
            <w:tcW w:w="4928" w:type="dxa"/>
          </w:tcPr>
          <w:p w:rsidR="000553DF" w:rsidRPr="000553DF" w:rsidP="00933EAC">
            <w:pPr>
              <w:pStyle w:val="CSBody63DE"/>
              <w:rPr>
                <w:lang w:val="de-DE"/>
              </w:rPr>
            </w:pPr>
            <w:r w:rsidRPr="000553DF">
              <w:rPr>
                <w:lang w:val="de-DE"/>
              </w:rPr>
              <w:t>Die in dem vorstehenden Abschnitt "</w:t>
            </w:r>
            <w:r w:rsidRPr="000553DF">
              <w:rPr>
                <w:i/>
                <w:lang w:val="de-DE"/>
              </w:rPr>
              <w:t>—</w:t>
            </w:r>
            <w:r w:rsidR="00933EAC">
              <w:rPr>
                <w:i/>
                <w:lang w:val="de-DE"/>
              </w:rPr>
              <w:t xml:space="preserve"> </w:t>
            </w:r>
            <w:r w:rsidRPr="000553DF">
              <w:rPr>
                <w:i/>
                <w:lang w:val="de-DE"/>
              </w:rPr>
              <w:t>A. Risikofaktoren, die für alle Komplexen Produkte gelten</w:t>
            </w:r>
            <w:r w:rsidRPr="000553DF">
              <w:rPr>
                <w:lang w:val="de-DE"/>
              </w:rPr>
              <w:t>" beschriebenen Risiken gelten für alle Kategorien von Komplexen Produkten. Darüber hinaus sind in Bezug auf jede einzelne Kategorie Komplexer Produkte jedoch zusätzlich die nachstehend beschriebenen Risiken zu berücksichtigen. Anleger in Komplexe Produkte sollten zur Kenntnis nehmen, dass Komplexe Produkte über die Standardmerkmale der betreffenden Kategorie von Komplexen Produkten hinaus noch weitere Merkmale aufweisen können. Des Weiteren gilt: Ist die einem Komplexen Produkt von dem Schweizerischen Verband für Strukturierte Produkte ("</w:t>
            </w:r>
            <w:r w:rsidRPr="000553DF">
              <w:rPr>
                <w:b/>
                <w:lang w:val="de-DE"/>
              </w:rPr>
              <w:t>SVSP</w:t>
            </w:r>
            <w:r w:rsidRPr="000553DF">
              <w:rPr>
                <w:lang w:val="de-DE"/>
              </w:rPr>
              <w:t>") zugewiesene Klassifizierungsnummer in den Emissionsbedingungen mit einem Stern "*" gekennzeichnet, so unterscheiden sich die Merkmale des betreffenden Komplexen Produkts geringfügig von den Standardmerkmalen derjenigen SVSP-Produktkategorie, der es angehört. Die vollständigen und rechtsverbindlichen Emissionsbedingungen der Komplexen Produkte sind in den anwendbaren Emissionsbedingungen enthalten.</w:t>
            </w:r>
          </w:p>
        </w:tc>
      </w:tr>
      <w:tr w:rsidTr="002F2BFA">
        <w:tblPrEx>
          <w:tblW w:w="5000" w:type="pct"/>
          <w:tblLook w:val="04A0"/>
        </w:tblPrEx>
        <w:tc>
          <w:tcPr>
            <w:tcW w:w="4927" w:type="dxa"/>
          </w:tcPr>
          <w:p w:rsidR="00035DE1" w:rsidRPr="00E130C2" w:rsidP="00035DE1">
            <w:pPr>
              <w:pStyle w:val="CSBody63ENbold"/>
            </w:pPr>
            <w:r w:rsidRPr="00E130C2">
              <w:t>Risk of total loss in case of Credit-Linked Complex Products</w:t>
            </w:r>
          </w:p>
        </w:tc>
        <w:tc>
          <w:tcPr>
            <w:tcW w:w="4928" w:type="dxa"/>
          </w:tcPr>
          <w:p w:rsidR="00035DE1" w:rsidRPr="00035DE1" w:rsidP="00035DE1">
            <w:pPr>
              <w:pStyle w:val="CSBody63DEbold"/>
              <w:rPr>
                <w:lang w:val="de-DE"/>
              </w:rPr>
            </w:pPr>
            <w:r w:rsidRPr="00035DE1">
              <w:rPr>
                <w:lang w:val="de-DE"/>
              </w:rPr>
              <w:t>Risiko eines Totalverlusts bei Kreditbezogenen Komplexen Produkten</w:t>
            </w:r>
          </w:p>
        </w:tc>
      </w:tr>
      <w:tr w:rsidTr="002F2BFA">
        <w:tblPrEx>
          <w:tblW w:w="5000" w:type="pct"/>
          <w:tblLook w:val="04A0"/>
        </w:tblPrEx>
        <w:tc>
          <w:tcPr>
            <w:tcW w:w="4927" w:type="dxa"/>
          </w:tcPr>
          <w:p w:rsidR="00035DE1" w:rsidRPr="00E130C2" w:rsidP="00035DE1">
            <w:pPr>
              <w:pStyle w:val="CSBody63EN"/>
            </w:pPr>
            <w:r w:rsidRPr="00E130C2">
              <w:t>Credit-Linked Complex Products involve a high degree of risk, and prospective investors in Credit-Linked Products should recognise that, under certain circumstances, Credit-Linked Complex Products may have a redemption value of zero and any amounts scheduled to be paid thereunder may not be paid. Prospective investors in Credit-Linked Complex Products should therefore be prepared to sustain a partial or total loss of the amount of their investment therein.</w:t>
            </w:r>
          </w:p>
        </w:tc>
        <w:tc>
          <w:tcPr>
            <w:tcW w:w="4928" w:type="dxa"/>
          </w:tcPr>
          <w:p w:rsidR="00035DE1" w:rsidRPr="00035DE1" w:rsidP="00035DE1">
            <w:pPr>
              <w:pStyle w:val="CSBody63DE"/>
              <w:rPr>
                <w:lang w:val="de-DE"/>
              </w:rPr>
            </w:pPr>
            <w:r w:rsidRPr="00035DE1">
              <w:rPr>
                <w:lang w:val="de-DE"/>
              </w:rPr>
              <w:t>Kreditbezogene Komplexe Produkte sind mit einem hohem Risiko verbunden, und potenzielle Anleger in Kreditbezogene Komplexe Produkte sollten sich bewusst sein, dass der Rückzahlungsbetrag bei Kreditbezogenen Komplexen Produkten unter bestimmten Umständen auf null fallen kann und dass Beträge, die planmässig auf die Kreditbezogenen Komplexen Produkte zu zahlen sind, möglicherweise nicht gezahlt werden. Potenzielle Anleger in Kreditbezogene Komplexe Produkte sollten sich daher darauf einstellen, dass sie einen Teil- oder Totalverlust des angelegten Kapitals erleiden können.</w:t>
            </w:r>
          </w:p>
        </w:tc>
      </w:tr>
      <w:tr w:rsidTr="002F2BFA">
        <w:tblPrEx>
          <w:tblW w:w="5000" w:type="pct"/>
          <w:tblLook w:val="04A0"/>
        </w:tblPrEx>
        <w:tc>
          <w:tcPr>
            <w:tcW w:w="4927" w:type="dxa"/>
          </w:tcPr>
          <w:p w:rsidR="00035DE1" w:rsidRPr="00E130C2" w:rsidP="00035DE1">
            <w:pPr>
              <w:pStyle w:val="CSBody63ENbold"/>
            </w:pPr>
            <w:r w:rsidRPr="00E130C2">
              <w:t>Risks associated with Credit-Linked Complex Products with auction settlement</w:t>
            </w:r>
          </w:p>
        </w:tc>
        <w:tc>
          <w:tcPr>
            <w:tcW w:w="4928" w:type="dxa"/>
          </w:tcPr>
          <w:p w:rsidR="00035DE1" w:rsidRPr="003A2D2C" w:rsidP="00035DE1">
            <w:pPr>
              <w:pStyle w:val="CSBody63DEbold"/>
              <w:rPr>
                <w:lang w:val="de-DE"/>
              </w:rPr>
            </w:pPr>
            <w:r w:rsidRPr="003A2D2C">
              <w:rPr>
                <w:lang w:val="de-DE"/>
              </w:rPr>
              <w:t>Mit Kreditbezogenen Komplexen Produkten mit Auktionsabwicklung verbundene Risiken</w:t>
            </w:r>
          </w:p>
        </w:tc>
      </w:tr>
      <w:tr w:rsidTr="002F2BFA">
        <w:tblPrEx>
          <w:tblW w:w="5000" w:type="pct"/>
          <w:tblLook w:val="04A0"/>
        </w:tblPrEx>
        <w:tc>
          <w:tcPr>
            <w:tcW w:w="4927" w:type="dxa"/>
          </w:tcPr>
          <w:p w:rsidR="00035DE1" w:rsidRPr="00E130C2" w:rsidP="00035DE1">
            <w:pPr>
              <w:pStyle w:val="CSBody63ENbold"/>
            </w:pPr>
            <w:r w:rsidRPr="00E130C2">
              <w:t>Credit-Linked Complex Products with auction settlement are linked to the creditworthiness of one or more Reference Entities</w:t>
            </w:r>
          </w:p>
        </w:tc>
        <w:tc>
          <w:tcPr>
            <w:tcW w:w="4928" w:type="dxa"/>
          </w:tcPr>
          <w:p w:rsidR="00035DE1" w:rsidRPr="003A2D2C" w:rsidP="00933EAC">
            <w:pPr>
              <w:pStyle w:val="CSBody63DEbold"/>
              <w:rPr>
                <w:lang w:val="de-DE"/>
              </w:rPr>
            </w:pPr>
            <w:r w:rsidRPr="003A2D2C">
              <w:rPr>
                <w:lang w:val="de-DE"/>
              </w:rPr>
              <w:t>Kreditbezogene Komplexe Produkte mit Auktionsabwicklung sind an die Bonität eines Referenzschuldners bzw. mehrerer Referenzschuldner gebunden</w:t>
            </w:r>
          </w:p>
        </w:tc>
      </w:tr>
      <w:tr w:rsidTr="002F2BFA">
        <w:tblPrEx>
          <w:tblW w:w="5000" w:type="pct"/>
          <w:tblLook w:val="04A0"/>
        </w:tblPrEx>
        <w:tc>
          <w:tcPr>
            <w:tcW w:w="4927" w:type="dxa"/>
          </w:tcPr>
          <w:p w:rsidR="00035DE1" w:rsidRPr="00A16022" w:rsidP="00933EAC">
            <w:pPr>
              <w:pStyle w:val="CSBody63EN"/>
            </w:pPr>
            <w:r w:rsidRPr="00A16022">
              <w:t>The payment of interest on, and the redemption of, Credit-Linked Complex Products with auction settlement are dependent upon whether certain events (</w:t>
            </w:r>
            <w:r w:rsidRPr="007E3558" w:rsidR="007E3558">
              <w:rPr>
                <w:i/>
              </w:rPr>
              <w:t>i.e.</w:t>
            </w:r>
            <w:r w:rsidRPr="00A16022">
              <w:t>, "</w:t>
            </w:r>
            <w:r w:rsidRPr="00CF6C81">
              <w:rPr>
                <w:b/>
              </w:rPr>
              <w:t>Credit Events</w:t>
            </w:r>
            <w:r w:rsidRPr="00A16022">
              <w:t>") have occurred with respect to one or more Reference Entities and, if so, on the value of certain specified obligations of such Reference Entity/Entities. Investors in such Complex Products should be aware that, depending on the applicable Terms and Conditions, (i) they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investors may thus lose all or a substantial portion of their investment. As Credit-Linked Complex Products with auction</w:t>
            </w:r>
            <w:r>
              <w:t xml:space="preserve"> settlement are </w:t>
            </w:r>
            <w:r w:rsidRPr="00035DE1">
              <w:rPr>
                <w:b/>
              </w:rPr>
              <w:t>not capital protected</w:t>
            </w:r>
            <w:r w:rsidRPr="00A16022">
              <w:t xml:space="preserve"> it is not possible to predict the return of such a Complex Product at the time of issuance.</w:t>
            </w:r>
          </w:p>
        </w:tc>
        <w:tc>
          <w:tcPr>
            <w:tcW w:w="4928" w:type="dxa"/>
          </w:tcPr>
          <w:p w:rsidR="00035DE1" w:rsidRPr="00035DE1" w:rsidP="005323C0">
            <w:pPr>
              <w:pStyle w:val="CSBody63DE"/>
              <w:rPr>
                <w:lang w:val="de-DE"/>
              </w:rPr>
            </w:pPr>
            <w:r w:rsidRPr="00035DE1">
              <w:rPr>
                <w:lang w:val="de-DE"/>
              </w:rPr>
              <w:t>Die Zahlung von Zinsen auf Kreditbezogene Komplexe Produkte mit Auktionsabwicklung sowie die Rückzahlung dieser Komplexen Produkte hängen davon ab, ob bestimmte Ereignisse (sog. "</w:t>
            </w:r>
            <w:r w:rsidRPr="00CF6C81">
              <w:rPr>
                <w:b/>
                <w:lang w:val="de-DE"/>
              </w:rPr>
              <w:t>Kreditereignisse</w:t>
            </w:r>
            <w:r w:rsidRPr="00035DE1">
              <w:rPr>
                <w:lang w:val="de-DE"/>
              </w:rPr>
              <w:t xml:space="preserve">") in Bezug auf einen oder mehrere Referenzschuldner eingetreten sind und, soweit dies der Fall ist, vom Wert bestimmter festgelegter Verbindlichkeiten dieses Referenzschuldners bzw. dieser Referenzschuldner. Anleger in diese Komplexen Produkte sollten sich bewusst sein, dass, jeweils abhängig von den anwendbaren Emissionsbedingungen, (i) sie unter Umständen nur der Höhe nach begrenzte oder gar keine Zinszahlungen auf diese Komplexen Produkte erhalten, (ii) die Zahlung des Rückzahlungsbetrags oder der Zinsen zu einem anderen Termin als erwartet erfolgen kann und (iii) der Rückzahlungsbetrag erheblich unter dem anfänglichen Nennbetrag der Komplexen Produkte liegen kann und Investoren daher einen Totalverlust ihres eingesetzten Kapitals erleiden können oder einen erheblichen Teil dieses Kapitals verlieren können. Da Kreditbezogene Komplexe Produkte mit Auktionsabwicklung </w:t>
            </w:r>
            <w:r w:rsidRPr="00CF6C81">
              <w:rPr>
                <w:b/>
                <w:lang w:val="de-DE"/>
              </w:rPr>
              <w:t>nicht kapitalgeschützt</w:t>
            </w:r>
            <w:r w:rsidRPr="00035DE1">
              <w:rPr>
                <w:lang w:val="de-DE"/>
              </w:rPr>
              <w:t xml:space="preserve"> sind, ist es nicht möglich, die Erträge eines solchen Komplexen Produkts zum Zeitpunkt seiner Ausgabe vorherzusagen.</w:t>
            </w:r>
          </w:p>
        </w:tc>
      </w:tr>
      <w:tr w:rsidTr="002F2BFA">
        <w:tblPrEx>
          <w:tblW w:w="5000" w:type="pct"/>
          <w:tblLook w:val="04A0"/>
        </w:tblPrEx>
        <w:tc>
          <w:tcPr>
            <w:tcW w:w="4927" w:type="dxa"/>
          </w:tcPr>
          <w:p w:rsidR="00035DE1" w:rsidRPr="00A16022" w:rsidP="005323C0">
            <w:pPr>
              <w:pStyle w:val="CSBody63EN"/>
            </w:pPr>
            <w:r w:rsidRPr="00A16022">
              <w:t>Potential investors should note that Credit-Linked Complex Products with auction settlement differ from ordinary debt securities since the amount of principal and interest payable by the Issuer thereunder depends on whether a Credit Event Determination Date with respect to the relevant Reference Entity has occurred on or prior to the Scheduled Maturity (subject to extension if a Potential Credit Event Period is in effect on the Scheduled Maturity Date). In turn, a Credit Event Determination Date can only be triggered by a Credit Event, which can be a Bankruptcy, a Failure to Pay, a Governmental Intervention, an Obligation Acceleration, a Repudiation/ Moratorium or a Restructuring, as specified in the applicable Terms and Conditions. Potential investors in Credit-Linked Complex Products with auction settlement should be aware that a Credit Event may occur even if the relevant Reference Entity has not defaulted on any payment obligation.</w:t>
            </w:r>
          </w:p>
        </w:tc>
        <w:tc>
          <w:tcPr>
            <w:tcW w:w="4928" w:type="dxa"/>
          </w:tcPr>
          <w:p w:rsidR="00035DE1" w:rsidRPr="00035DE1" w:rsidP="005323C0">
            <w:pPr>
              <w:pStyle w:val="CSBody63DE"/>
              <w:rPr>
                <w:lang w:val="de-DE"/>
              </w:rPr>
            </w:pPr>
            <w:r w:rsidRPr="00035DE1">
              <w:rPr>
                <w:lang w:val="de-DE"/>
              </w:rPr>
              <w:t>Potenzielle Anleger sollten zur Kenntnis nehmen, dass sich Kreditbezogene Komplexe Produkte mit Auktionsabwicklung von herkömmlichen Schuldtiteln unterscheiden, da die Höhe des von der Emittentin im Zusammenhang mit diesen Produkten zahlbaren Kapital- und Zinsbetrags davon abhängt, ob an oder vor dem Planmässigen Fälligkeitstag (vorbehaltlich einer Verlängerung im Fall dass ein Zeitraum eines Potenziellen Kreditereignisses am Planmässigen Fälligkeitstag besteht) ein Kreditereignis-Feststellungstag in Bezug auf den betreffenden Referenzschuldner eingetreten ist. Ein Kreditereignis-Feststellungstag wiederum kann nur durch ein Kreditereignis ausgelöst werden; dabei kann es sich um eine Insolvenz, eine Nichtzahlung, eine Staatliche Intervention, eine Vorfälligkeit einer Verbindlichkeit, eine Nichtanerkennung/ein Moratorium oder um eine Restrukturierung handeln, wie in den anwendbaren Emissionsbedingungen angegeben. Potenzielle Anleger in Kreditbezogene Komplexe Produkte mit Auktionsabwicklung sollten sich darüber im Klaren sein, dass ein Kreditereignis selbst dann eintreten kann, wenn sich der betreffende Referenzschuldner mit seinen Zahlungsverpflichtungen nicht in Verzug befindet.</w:t>
            </w:r>
          </w:p>
        </w:tc>
      </w:tr>
      <w:tr w:rsidTr="002F2BFA">
        <w:tblPrEx>
          <w:tblW w:w="5000" w:type="pct"/>
          <w:tblLook w:val="04A0"/>
        </w:tblPrEx>
        <w:tc>
          <w:tcPr>
            <w:tcW w:w="4927" w:type="dxa"/>
          </w:tcPr>
          <w:p w:rsidR="00035DE1" w:rsidRPr="00A16022" w:rsidP="00035DE1">
            <w:pPr>
              <w:pStyle w:val="CSBody63EN"/>
            </w:pPr>
            <w:r w:rsidRPr="00A16022">
              <w:t>In the case of a Credit-Linked Complex Product with auction settlement that is linked to a single Reference Entity, if a Credit Event Determination Date with respect to such Reference Entity occurs on or prior to the Scheduled Maturity Date (subject to extension if a Potential Credit Event Period is in effect on the Scheduled Maturity Date), such Complex Product will (i) cease to bear interest and (ii) instead of being redeemed at the Scheduled Redemption Amount on the Scheduled Maturity Date, be redeemed at the Auction Redemption Amount on the Auction Redemption Date (or, in the case of a Fallback Settlement Event, at the Cash Redemption Amount on the Cash Redemption Date), which amount will generally be considerably less than the initial principal amount of such Complex Product and may in certain circumstances be equal to zero.</w:t>
            </w:r>
          </w:p>
        </w:tc>
        <w:tc>
          <w:tcPr>
            <w:tcW w:w="4928" w:type="dxa"/>
          </w:tcPr>
          <w:p w:rsidR="00035DE1" w:rsidRPr="00035DE1" w:rsidP="005323C0">
            <w:pPr>
              <w:pStyle w:val="CSBody63DE"/>
              <w:rPr>
                <w:lang w:val="de-DE"/>
              </w:rPr>
            </w:pPr>
            <w:r w:rsidRPr="00035DE1">
              <w:rPr>
                <w:lang w:val="de-DE"/>
              </w:rPr>
              <w:t>Tritt bei einem Kreditbezogenen Komplexen Produkt mit Auktionsabwicklung, das an einen einzelnen Referenzschuldner gekoppelt ist, ein Kreditereignis-Feststellungstag in Bezug auf diesen Referenzschuldner am oder vor dem Planmässigen Fälligkeitstag (vorbehaltlich einer Verlängerung im Fall dass ein Zeitraum eines Potenziellen Kreditereignisses am Planmässigen Fälligkeitstag besteht) ein, so (i) endet die Verzinsung dieses Komplexen Produkts und (ii) wird dieses Komplexe Produkt nicht zum Planmässigen Rückzahlungsbetrag am Planmässigen Fälligkeitstag zurückgezahlt, sondern zum Auktions-Rückzahlungsbetrag am Auktions-Rückzahlungstag (oder, im Fall eines Ereignisses der Alternativen Abwicklung, zum Barrückzahlungsbetrag am Barrückzahlungstag), wobei dieser Betrag in der Regel wesentlich geringer ist als der anfängliche Nennbetrag dieser Komplexen Produkte und in bestimmten Fällen null sein kann.</w:t>
            </w:r>
          </w:p>
        </w:tc>
      </w:tr>
      <w:tr w:rsidTr="002F2BFA">
        <w:tblPrEx>
          <w:tblW w:w="5000" w:type="pct"/>
          <w:tblLook w:val="04A0"/>
        </w:tblPrEx>
        <w:tc>
          <w:tcPr>
            <w:tcW w:w="4927" w:type="dxa"/>
          </w:tcPr>
          <w:p w:rsidR="00CF6C81" w:rsidRPr="005E0964" w:rsidP="005323C0">
            <w:pPr>
              <w:pStyle w:val="CSBody63EN"/>
            </w:pPr>
            <w:r w:rsidRPr="005E0964">
              <w:t>In the case of a Credit-Linked Complex Product with auction settlement and an N</w:t>
            </w:r>
            <w:r w:rsidRPr="00CF6C81">
              <w:rPr>
                <w:vertAlign w:val="superscript"/>
              </w:rPr>
              <w:t>th</w:t>
            </w:r>
            <w:r w:rsidRPr="005E0964">
              <w:t>-to-Default structure, such Complex Product is linked to multiple Reference Entities and the applicable Terms and Conditions will specify the number of Reference Entities (</w:t>
            </w:r>
            <w:r w:rsidRPr="007E3558" w:rsidR="007E3558">
              <w:rPr>
                <w:i/>
              </w:rPr>
              <w:t>i.e.</w:t>
            </w:r>
            <w:r w:rsidRPr="005E0964">
              <w:t>, "N" Reference Entities) with respect to which a Credit Event Determination Date must occur in order to determine which Reference Entity is the "</w:t>
            </w:r>
            <w:r w:rsidRPr="00CF6C81">
              <w:rPr>
                <w:b/>
              </w:rPr>
              <w:t>N</w:t>
            </w:r>
            <w:r w:rsidRPr="00CF6C81">
              <w:rPr>
                <w:b/>
                <w:vertAlign w:val="superscript"/>
              </w:rPr>
              <w:t>th</w:t>
            </w:r>
            <w:r w:rsidRPr="00CF6C81">
              <w:rPr>
                <w:b/>
              </w:rPr>
              <w:t>-to-Default Reference Entity</w:t>
            </w:r>
            <w:r w:rsidRPr="005E0964">
              <w:t>" (for the avoidance of doubt, a Credit Event Determination Date may only occur once with respect to each Reference Entity). Once a Credit Event Determination Date with respect to the number "N" Reference Entities specified in the applicable Terms and Conditions (</w:t>
            </w:r>
            <w:r w:rsidRPr="007E3558" w:rsidR="007E3558">
              <w:rPr>
                <w:i/>
              </w:rPr>
              <w:t>i.e.</w:t>
            </w:r>
            <w:r w:rsidRPr="005E0964">
              <w:t>, with respect to the N</w:t>
            </w:r>
            <w:r w:rsidRPr="00CF6C81">
              <w:rPr>
                <w:vertAlign w:val="superscript"/>
              </w:rPr>
              <w:t>th</w:t>
            </w:r>
            <w:r w:rsidRPr="005E0964">
              <w:t>-to-Default Reference Entity) has occurred on or prior to the Scheduled Maturity Date (subject to extension if a Potential Credit Event Period is in effect on the Scheduled Maturity Date), each Complex Product will (i) cease to bear interest and (ii) instead of being redeemed at the Scheduled Redemption Amount on the Scheduled Maturity Date, be redeemed at the Auction Redemption Amount on the Auction Redemption Date (or, in the case of a Fallback Settlement Event, at the Cash Redemption Amount on the Cash Redemption Date), which amount will generally be considerably less than the initial principal amount of such Complex Product and may in certain circumstances be equal to zero. For example, the applicable Terms and Conditions may specify that N is equal to one, which means that upon the occurrence of a Credit Event Determination Date with respect to only one of the Reference Entities (such N</w:t>
            </w:r>
            <w:r w:rsidRPr="00CF6C81">
              <w:rPr>
                <w:vertAlign w:val="superscript"/>
              </w:rPr>
              <w:t>th</w:t>
            </w:r>
            <w:r w:rsidRPr="005E0964">
              <w:t>-to-Default Reference Entity, the "</w:t>
            </w:r>
            <w:r w:rsidRPr="00CF6C81">
              <w:rPr>
                <w:b/>
              </w:rPr>
              <w:t>1</w:t>
            </w:r>
            <w:r w:rsidRPr="00CF6C81">
              <w:rPr>
                <w:b/>
                <w:vertAlign w:val="superscript"/>
              </w:rPr>
              <w:t>st</w:t>
            </w:r>
            <w:r w:rsidRPr="00CF6C81">
              <w:rPr>
                <w:b/>
              </w:rPr>
              <w:t>-to-default Reference Entity</w:t>
            </w:r>
            <w:r w:rsidRPr="005E0964">
              <w:t>"), each Complex Product will already cease to bear interest as of the date on which such Credit Event Determination Date occurred and be redeemed on the Auction Redemption Date or Cash Redemption Date, as the case may be (any such Complex Product being referred to as a Complex Product with "first-to-default" structure). Alternatively, the applicable Terms and Conditions may specify that N is equal to two, three or some other number, which means that upon the occurrence of a Credit Event Determination Date with respect to two, three or such other number, respectively, of Reference Entities (</w:t>
            </w:r>
            <w:r w:rsidRPr="007E3558" w:rsidR="007E3558">
              <w:rPr>
                <w:i/>
              </w:rPr>
              <w:t>i.e.</w:t>
            </w:r>
            <w:r w:rsidRPr="005E0964">
              <w:t>, such 2nd, 3rd or other Nth Reference Entity being the N</w:t>
            </w:r>
            <w:r w:rsidRPr="00CF6C81">
              <w:rPr>
                <w:vertAlign w:val="superscript"/>
              </w:rPr>
              <w:t>th</w:t>
            </w:r>
            <w:r w:rsidRPr="005E0964">
              <w:t>-to-Default Entity and, for the avoidance of doubt, such two, three or other number of Credit Event Determination Dates occurring on different days or the same day and in any order), the Complex Product will cease to bear interest as of the date on which a Credit Event Determination Date with respect to such 2nd-, 3rd- or other N</w:t>
            </w:r>
            <w:r w:rsidRPr="00CF6C81">
              <w:rPr>
                <w:vertAlign w:val="superscript"/>
              </w:rPr>
              <w:t>th</w:t>
            </w:r>
            <w:r w:rsidRPr="005E0964">
              <w:t>-to-Default Reference Entity occurred and will be redeemed on the Auction Redemption Date or Cash Redemption Date, as the case may be.</w:t>
            </w:r>
          </w:p>
        </w:tc>
        <w:tc>
          <w:tcPr>
            <w:tcW w:w="4928" w:type="dxa"/>
          </w:tcPr>
          <w:p w:rsidR="00CF6C81" w:rsidRPr="00CF6C81" w:rsidP="005323C0">
            <w:pPr>
              <w:pStyle w:val="CSBody63DE"/>
              <w:rPr>
                <w:lang w:val="de-DE"/>
              </w:rPr>
            </w:pPr>
            <w:r w:rsidRPr="00CF6C81">
              <w:rPr>
                <w:lang w:val="de-DE"/>
              </w:rPr>
              <w:t>Bei einem Kreditbezogenen Komplexen Produkt mit Auktionsabwicklung und N</w:t>
            </w:r>
            <w:r w:rsidRPr="00CF6C81">
              <w:rPr>
                <w:vertAlign w:val="superscript"/>
                <w:lang w:val="de-DE"/>
              </w:rPr>
              <w:t>th</w:t>
            </w:r>
            <w:r w:rsidRPr="00CF6C81">
              <w:rPr>
                <w:lang w:val="de-DE"/>
              </w:rPr>
              <w:t>-to-Default-Struktur ist das Komplexe Produkt an mehrere Referenzschuldner gekoppelt und die anwendbaren Emissionsbedingungen legen die Anzahl der Referenzschuldner fest (d.h. "N" Referenzschuldner), in Bezug auf welche ein Kreditereignis-Feststellungstag eintreten muss, um festzustellen, welcher Referenzschuldner der "</w:t>
            </w:r>
            <w:r w:rsidRPr="00CF6C81">
              <w:rPr>
                <w:b/>
                <w:lang w:val="de-DE"/>
              </w:rPr>
              <w:t>N</w:t>
            </w:r>
            <w:r w:rsidRPr="00CF6C81">
              <w:rPr>
                <w:b/>
                <w:vertAlign w:val="superscript"/>
                <w:lang w:val="de-DE"/>
              </w:rPr>
              <w:t>th</w:t>
            </w:r>
            <w:r w:rsidRPr="00CF6C81">
              <w:rPr>
                <w:b/>
                <w:lang w:val="de-DE"/>
              </w:rPr>
              <w:t>-to-Default-Referenzschuldner</w:t>
            </w:r>
            <w:r w:rsidRPr="00CF6C81">
              <w:rPr>
                <w:lang w:val="de-DE"/>
              </w:rPr>
              <w:t>" ist (zur Klarstellung: ein Ereignisfeststellungstag kann in Bezug auf einen Referenzschuldner nur einmal eintreten). Sobald ein Kreditereignis-Feststellungstag in Bezug auf die in den anwendbaren Emissionsbedingungen angegebene Zahl "N" von Referenzschuldnern (also in Bezug auf den N</w:t>
            </w:r>
            <w:r w:rsidRPr="00CF6C81">
              <w:rPr>
                <w:vertAlign w:val="superscript"/>
                <w:lang w:val="de-DE"/>
              </w:rPr>
              <w:t>th</w:t>
            </w:r>
            <w:r w:rsidRPr="00CF6C81">
              <w:rPr>
                <w:lang w:val="de-DE"/>
              </w:rPr>
              <w:t>-to-Default-Referenzschuldner) am oder vor dem Planmässigen Fälligkeitstag (vorbehaltlich einer Verlängerung im Fall dass ein Zeitraum eines Potenziellen Kreditereignisses am Planmässigen Fälligkeitstag besteht) eingetreten ist, so (i) endet die Verzinsung des Komplexen Produkts und (ii) es wird nicht zum Planmässigen Rückzahlungsbetrag am Planmässigen Fälligkeitstag, sondern zum Auktions-Rückzahlungsbetrag am Auktions-Rückzahlungstag (oder, im Fall eines Ereignisses der Alternativen Abwicklung, zum Barrückzahlungsbetrag am Barrückzahlungstag) zurückgezahlt, wobei dieser Betrag in der Regel wesentlich geringer ist als der anfängliche Nennbetrag des Komplexen Produkts und in bestimmten Fällen null sein kann. Die anwendbaren Emissionsbedingungen können beispielsweise vorsehen, dass N eins entspricht, so dass bei Eintritt eines Kreditereignis-Feststellungstags in Bezug auf nur einen der Referenzschuldner (dieser N</w:t>
            </w:r>
            <w:r w:rsidRPr="00CF6C81">
              <w:rPr>
                <w:vertAlign w:val="superscript"/>
                <w:lang w:val="de-DE"/>
              </w:rPr>
              <w:t>th</w:t>
            </w:r>
            <w:r w:rsidRPr="00CF6C81">
              <w:rPr>
                <w:lang w:val="de-DE"/>
              </w:rPr>
              <w:t>-to-Default-Referenzschuldn</w:t>
            </w:r>
            <w:r>
              <w:rPr>
                <w:lang w:val="de-DE"/>
              </w:rPr>
              <w:t>er der "</w:t>
            </w:r>
            <w:r w:rsidRPr="00CF6C81">
              <w:rPr>
                <w:b/>
                <w:lang w:val="de-DE"/>
              </w:rPr>
              <w:t>1</w:t>
            </w:r>
            <w:r w:rsidRPr="00CF6C81">
              <w:rPr>
                <w:b/>
                <w:vertAlign w:val="superscript"/>
                <w:lang w:val="de-DE"/>
              </w:rPr>
              <w:t>st</w:t>
            </w:r>
            <w:r w:rsidRPr="00CF6C81">
              <w:rPr>
                <w:b/>
                <w:lang w:val="de-DE"/>
              </w:rPr>
              <w:t>-to-Default-Referenzschuldner</w:t>
            </w:r>
            <w:r w:rsidRPr="00CF6C81">
              <w:rPr>
                <w:lang w:val="de-DE"/>
              </w:rPr>
              <w:t>") bereits die Verzinsung jedes Komplexen Produkts ab diesem Tag endet und die Rückzahlung am Auktions-Rückzahlungstag bzw. am Barrückzahlungstag erfolgt (ein solches Komplexes Produkt ein Komplexes Produkt mit "first-to-default" Struktur). Die anwendbaren Emissionsbedingungen können stattdessen auch vorsehen, dass N der Zahl zwei, drei oder einer a</w:t>
            </w:r>
            <w:r w:rsidR="005323C0">
              <w:rPr>
                <w:lang w:val="de-DE"/>
              </w:rPr>
              <w:t>n</w:t>
            </w:r>
            <w:r w:rsidRPr="00CF6C81">
              <w:rPr>
                <w:lang w:val="de-DE"/>
              </w:rPr>
              <w:t>deren Zahl entspricht, so dass bei Eintritt eines Kreditereignis-Feststellungstags in Bezug auf zwei, drei oder die jeweils angegebene andere Zahl von Referenzschuldnern (d.h. dieser zweite, dritte oder Nte Referenzschuldner entspricht dem N</w:t>
            </w:r>
            <w:r w:rsidRPr="00CF6C81">
              <w:rPr>
                <w:vertAlign w:val="superscript"/>
                <w:lang w:val="de-DE"/>
              </w:rPr>
              <w:t>th</w:t>
            </w:r>
            <w:r w:rsidRPr="00CF6C81">
              <w:rPr>
                <w:lang w:val="de-DE"/>
              </w:rPr>
              <w:t>-to-Default-Referenzschuldner und, zur Klarstellung, diese zwei, drei oder andere Zahl von Kreditereignis-Feststellungstagen kann an unterschiedlichen Tagen oder am selben Tag und in beliebiger Reihenfolge eintreten), die Verzinsung des Komplexen Produkts ab dem Tag, an dem ein Kreditereignis-Feststellungstag in Bezug auf den 2nd-, 3rd- oder anderen N</w:t>
            </w:r>
            <w:r w:rsidRPr="00CF6C81">
              <w:rPr>
                <w:vertAlign w:val="superscript"/>
                <w:lang w:val="de-DE"/>
              </w:rPr>
              <w:t>th</w:t>
            </w:r>
            <w:r w:rsidRPr="00CF6C81">
              <w:rPr>
                <w:lang w:val="de-DE"/>
              </w:rPr>
              <w:t>-to Default-Referenzschuldner eintritt, endet und die Rückzahlung am Auktions-Rückzahlungstag oder am Barrückzahlungstag erfolgt.</w:t>
            </w:r>
          </w:p>
        </w:tc>
      </w:tr>
      <w:tr w:rsidTr="002F2BFA">
        <w:tblPrEx>
          <w:tblW w:w="5000" w:type="pct"/>
          <w:tblLook w:val="04A0"/>
        </w:tblPrEx>
        <w:tc>
          <w:tcPr>
            <w:tcW w:w="4927" w:type="dxa"/>
          </w:tcPr>
          <w:p w:rsidR="00CF6C81" w:rsidRPr="005E0964" w:rsidP="005323C0">
            <w:pPr>
              <w:pStyle w:val="CSBody63EN"/>
            </w:pPr>
            <w:r w:rsidRPr="005E0964">
              <w:t>In the case of a Credit-Linked Complex Product with auction settlement that is linked to a Basket of Reference Entities, if a Credit Event Determination Date with respect to any Reference Entity that is not an Affected Referene Entity (due to the occurrence of a Credit Event Determination Date such Reference Entity becomes an "Affected Reference Entity") occurs on or before the Scheduled Maturity Date (subject to extension if a Potential Credit Event Period is in effect on the Scheduled Maturity Date), the portion of the Principal Amount of the Complex Products equal to the Reference Entity Principal Amount of such Affected Reference Entity will (i) cease to bear interest and (ii) be redeemed at the relevant Auction Redemption Amount on the Auction Redemption Date (or, in the case of a Fallback Settlement Event, at the relevant Cash Redemption Amount on the Cash Redemption Date). Investors should be aware that any such Auction Redemption Amount or Cash Redemption Amount, as applicable, will generally be considerably less than the Reference Entity Principal Amount by which the Scheduled Redemption Amount is so reduced and may in certain circumstances be equal to zero.</w:t>
            </w:r>
          </w:p>
        </w:tc>
        <w:tc>
          <w:tcPr>
            <w:tcW w:w="4928" w:type="dxa"/>
          </w:tcPr>
          <w:p w:rsidR="00CF6C81" w:rsidRPr="00CF6C81">
            <w:pPr>
              <w:pStyle w:val="CSBody63DE"/>
              <w:rPr>
                <w:lang w:val="de-DE"/>
              </w:rPr>
            </w:pPr>
            <w:r w:rsidRPr="00CF6C81">
              <w:rPr>
                <w:lang w:val="de-DE"/>
              </w:rPr>
              <w:t>Tritt bei einem Kreditbezogenen Komplexen Produkt mit Auktionsabwicklung, das an einen Korb von Referenzschuldnern gekoppelt ist, an oder vor dem Planmässigen Fälligkeitstag (vorbehaltlich einer Verlängerung im Fall dass ein Zeitraum eines Potenziellen Kreditereignisses am Planmässigen Fälligkeitstag b</w:t>
            </w:r>
            <w:r>
              <w:rPr>
                <w:lang w:val="de-DE"/>
              </w:rPr>
              <w:t>esteht) ein Kreditereignis-Fest</w:t>
            </w:r>
            <w:r w:rsidRPr="00CF6C81">
              <w:rPr>
                <w:lang w:val="de-DE"/>
              </w:rPr>
              <w:t>stellungstag in Bezug auf einen Referenzschuldner, bei dem es sich nicht um einen Betroffenen Referenzschuldner handelt, ein (auf Grund des Eintritts eines Kreditereignis-Feststellungstags wird dieser Referenzschuldner ein "Betroffener Referenzschuldner"), so (i) endet die Verzinsung des Teils des Nennbetrags der Komplexen Produkte, der dem Referenzschuldner-Nennbetrag dieses Betroffenen Referenzschuldners en</w:t>
            </w:r>
            <w:r w:rsidR="009F4053">
              <w:rPr>
                <w:lang w:val="de-DE"/>
              </w:rPr>
              <w:t>t</w:t>
            </w:r>
            <w:r w:rsidRPr="00CF6C81">
              <w:rPr>
                <w:lang w:val="de-DE"/>
              </w:rPr>
              <w:t>spricht,, und (ii) dieser Teil des Nennbetrags des Komplexen Produkts, der dem Referenzschuldner-Nennbetrag des Betroffenen Referenzschuldner entspricht, wird zum jeweiligen Auktions-Rückzahlungsbetrag am Auktions-Rückzahlungstag (oder, im Fall eines Ereignisses der Alternativen Abwicklung, zum Barrückzahlungsbetrag am Barrückzahlungstag) zurückgezahlt. Anleger sollten sich darüber bewusst sein, dass ein solcher Auktions-Rückzahlungsbetrag bzw. Barrückzahlungsbetrag in der Regel wesentlich geringer ist als der Referenzschuldner</w:t>
            </w:r>
            <w:r w:rsidR="0036261D">
              <w:rPr>
                <w:lang w:val="de-DE"/>
              </w:rPr>
              <w:t>-N</w:t>
            </w:r>
            <w:r w:rsidRPr="00CF6C81">
              <w:rPr>
                <w:lang w:val="de-DE"/>
              </w:rPr>
              <w:t>ennbetrag, um den sich der Planmässige Rückzahlungsbetrag verringert, und in bestimmten Fällen null sein kann.</w:t>
            </w:r>
          </w:p>
        </w:tc>
      </w:tr>
      <w:tr w:rsidTr="002F2BFA">
        <w:tblPrEx>
          <w:tblW w:w="5000" w:type="pct"/>
          <w:tblLook w:val="04A0"/>
        </w:tblPrEx>
        <w:tc>
          <w:tcPr>
            <w:tcW w:w="4927" w:type="dxa"/>
          </w:tcPr>
          <w:p w:rsidR="00CF6C81" w:rsidRPr="005E0964" w:rsidP="009F4053">
            <w:pPr>
              <w:pStyle w:val="CSBody63EN"/>
            </w:pPr>
            <w:r w:rsidRPr="005E0964">
              <w:t>Thus, the basic structure of Credit-Linked Complex Products with auction settlement is that the Issuer will only pay interest and redeem such Complex Products on the Scheduled Maturity Date at the Scheduled Redemption Amount if, on the basis of the procedures described in the applicable Terms and Conditions, no Credit Event Determination Date with respect to (i) in the case of Complex Products that are linked to a single Reference Entity, such Reference Entity, (ii) in the case of Complex Products that are linked to a Basket of Reference Entities, all of the Reference Entities, or (iii) in the case of Complex Products with an N</w:t>
            </w:r>
            <w:r w:rsidRPr="00CF6C81">
              <w:rPr>
                <w:vertAlign w:val="superscript"/>
              </w:rPr>
              <w:t>th</w:t>
            </w:r>
            <w:r w:rsidRPr="005E0964">
              <w:t>-to-Default structure, the N</w:t>
            </w:r>
            <w:r w:rsidRPr="00CF6C81">
              <w:rPr>
                <w:vertAlign w:val="superscript"/>
              </w:rPr>
              <w:t>th</w:t>
            </w:r>
            <w:r w:rsidRPr="005E0964">
              <w:t>-to-Default Reference Entity, has occurred on or prior to the Scheduled Maturity Date (subject to extension if a Potential Credit Event Period is in effect on the Scheduled Maturity Date). For this reason, potential investors in such Complex Products should be prepared to sustain a total or partial loss of their investment therein.</w:t>
            </w:r>
          </w:p>
        </w:tc>
        <w:tc>
          <w:tcPr>
            <w:tcW w:w="4928" w:type="dxa"/>
          </w:tcPr>
          <w:p w:rsidR="00CF6C81" w:rsidRPr="00CF6C81" w:rsidP="009F4053">
            <w:pPr>
              <w:pStyle w:val="CSBody63DE"/>
              <w:rPr>
                <w:lang w:val="de-DE"/>
              </w:rPr>
            </w:pPr>
            <w:r w:rsidRPr="00CF6C81">
              <w:rPr>
                <w:lang w:val="de-DE"/>
              </w:rPr>
              <w:t>Die Grundstruktur vo</w:t>
            </w:r>
            <w:r w:rsidR="009F4053">
              <w:rPr>
                <w:lang w:val="de-DE"/>
              </w:rPr>
              <w:t>n Kreditbezogenen Komplexen Pro</w:t>
            </w:r>
            <w:r w:rsidRPr="00CF6C81">
              <w:rPr>
                <w:lang w:val="de-DE"/>
              </w:rPr>
              <w:t>dukten mit Auktionsabwicklung sieht also vor, dass die Emittentin nur dann Zinsen zahlt und diese Komplexen Produkte am Planmässigen Fälligkeitstag zum Planmässigen Rückzahlungsbetrag zurückzahlt, wenn nach den in den anwendbaren Emissionsbedingungen beschriebenen Verfahren (i) bei Komplexen Produkten, die an einen einzelnen Referenzschuldner gekoppelt sind, in Bezug auf diesen Referenzschuldner, (ii) bei Komplexen Produkten, die an einen Korb von Referenzschuldnern gekoppelt sind, in Bezug auf alle Referenzschuldner und (iii) bei Komplexen Produkten, die an mehrere Referenzschuldner gekoppelt sind, mit N</w:t>
            </w:r>
            <w:r w:rsidRPr="00CF6C81">
              <w:rPr>
                <w:vertAlign w:val="superscript"/>
                <w:lang w:val="de-DE"/>
              </w:rPr>
              <w:t>th</w:t>
            </w:r>
            <w:r w:rsidRPr="00CF6C81">
              <w:rPr>
                <w:lang w:val="de-DE"/>
              </w:rPr>
              <w:t>-to-Default-Struktur, in Bezug auf den N</w:t>
            </w:r>
            <w:r w:rsidRPr="00CF6C81">
              <w:rPr>
                <w:vertAlign w:val="superscript"/>
                <w:lang w:val="de-DE"/>
              </w:rPr>
              <w:t>th</w:t>
            </w:r>
            <w:r w:rsidRPr="00CF6C81">
              <w:rPr>
                <w:lang w:val="de-DE"/>
              </w:rPr>
              <w:t>-to-Default-Referenzschuldner kein Kreditereignis-Feststellungstag an oder vor dem Planmässigen Fälligkeitstag (vorbehaltlich einer Verlängerung im Fall dass ein Zeitraum eines Potenziellen Kreditereignisses am Planmässigen Fälligkeitstag besteht) eingetreten ist. Daher sollten sich potenzielle Anleger in diese Komplexen Produkte darauf einstellen, dass sie einen Teil- oder Totalverlust ihres eingesetzten Kapitals erleiden können.</w:t>
            </w:r>
          </w:p>
        </w:tc>
      </w:tr>
      <w:tr w:rsidTr="002F2BFA">
        <w:tblPrEx>
          <w:tblW w:w="5000" w:type="pct"/>
          <w:tblLook w:val="04A0"/>
        </w:tblPrEx>
        <w:tc>
          <w:tcPr>
            <w:tcW w:w="4927" w:type="dxa"/>
          </w:tcPr>
          <w:p w:rsidR="00CF6C81" w:rsidRPr="006A26F4" w:rsidP="009F4053">
            <w:pPr>
              <w:pStyle w:val="CSBody63EN"/>
            </w:pPr>
            <w:r w:rsidRPr="006A26F4">
              <w:t>The likelihood of the occurrence of a Credit Event Determination Date with respect to a Reference Entity will generally fluctuate with, among other things, the financial condition and other characteristics of such Reference Entity, general economic conditions, the condition of certain financial markets, political events, developments or trends in any particular industry and changes in prevailing interest rates. Potential investors should perform a thorough review of the Reference Entity/Entities with respect to and conduct their own investigation and analysis with respect to the creditworthiness of, and the likelihood of the occurrence of a Credit Event Determination Date with respect to, such Reference Entity/Entities. Actions of the Reference Entity/Entities (for example, merger or demerger or the repayment or transfer of indebtedness) may adversely affect the value of Credit-Linked Complex Products with auction settlement. Potential investors in such Complex Products should be aware that the Reference Entity/Entities to which such Complex Products are linked, and the terms of such linkage, may change over the term of such Complex Products (see "</w:t>
            </w:r>
            <w:r w:rsidRPr="00CF6C81">
              <w:rPr>
                <w:i/>
              </w:rPr>
              <w:t>— B. Risks relating to the replacement of the Reference Entity/Entities and/or the Reference Obligation/Obligations</w:t>
            </w:r>
            <w:r w:rsidRPr="006A26F4">
              <w:t>" below).</w:t>
            </w:r>
          </w:p>
        </w:tc>
        <w:tc>
          <w:tcPr>
            <w:tcW w:w="4928" w:type="dxa"/>
          </w:tcPr>
          <w:p w:rsidR="00CF6C81" w:rsidRPr="00CF6C81" w:rsidP="009F4053">
            <w:pPr>
              <w:pStyle w:val="CSBody63DE"/>
              <w:rPr>
                <w:lang w:val="de-DE"/>
              </w:rPr>
            </w:pPr>
            <w:r w:rsidRPr="00CF6C81">
              <w:rPr>
                <w:lang w:val="de-DE"/>
              </w:rPr>
              <w:t>Die Wahrscheinlichkeit, dass in Bezug auf einen Referenzschuldner ein Kreditereignis-Feststellungstag eintritt, variiert in der Regel aufgrund der Finanzlage und anderer Kenndaten des betreffenden Referenzschuldners, der allgemeinen Konjunktur, der Lage an bestimmten Finanzmärkten sowie aufgrund von politischen Ereignissen, Entwicklungen oder Tendenzen in bestimmten Branchen, Änderungen der geltenden Zinssätze und weiteren Faktoren. Potenzielle Anleger sollten eine eingehende Prüfung des Referenzschuldners bzw. der Referenzschuldner vo</w:t>
            </w:r>
            <w:r w:rsidR="009F4053">
              <w:rPr>
                <w:lang w:val="de-DE"/>
              </w:rPr>
              <w:t>r</w:t>
            </w:r>
            <w:r w:rsidRPr="00CF6C81">
              <w:rPr>
                <w:lang w:val="de-DE"/>
              </w:rPr>
              <w:t>nehmen sowie eigene Nachforschungen und Analysen hinsichtlich der Bonität des Referenzschuldners bzw. der Referenzschuldner sowie der Wahrscheinlichkeit des Eintritts eines Kreditereignis-Feststellungstags in Bezug auf den bzw. die Referenzschuldner vornehmen. Massnahmen des Referenzschuldners bzw. der Referenzschuldner (wie beispielsweise ein Zusammenschluss oder eine Abspaltung oder die Rückzahlung oder Übertragung von Verbindlichkeiten) können sich nachteilig auf den Wert der Kreditbezogenen Komplexen Produkte mit Auktionsabwicklung auswirken. Potenzielle Anleger in diese Komplexen Produkte sollten sich darüber im Klaren sein, dass sich der/die Referenzschuldner, auf den/die diese Komplexen Produkte bezogen sind, und die Bedingungen dieser Beziehung während der Laufzeit dieser Komplexen Produkte ändern können (siehe dazu den nachstehenden Abschnitt "</w:t>
            </w:r>
            <w:r w:rsidRPr="00CF6C81">
              <w:rPr>
                <w:i/>
                <w:lang w:val="de-DE"/>
              </w:rPr>
              <w:t>— B. Risiken in Bezug auf die Ersetzung des Referenzschuldners bzw. der Referenzschuldner und/oder der Referenzverbindlichkeit bzw. der Referenzverbindlichkeiten</w:t>
            </w:r>
            <w:r w:rsidRPr="00CF6C81">
              <w:rPr>
                <w:lang w:val="de-DE"/>
              </w:rPr>
              <w:t>").</w:t>
            </w:r>
          </w:p>
        </w:tc>
      </w:tr>
      <w:tr w:rsidTr="002F2BFA">
        <w:tblPrEx>
          <w:tblW w:w="5000" w:type="pct"/>
          <w:tblLook w:val="04A0"/>
        </w:tblPrEx>
        <w:tc>
          <w:tcPr>
            <w:tcW w:w="4927" w:type="dxa"/>
          </w:tcPr>
          <w:p w:rsidR="00CF6C81" w:rsidRPr="0043442B" w:rsidP="00CF6C81">
            <w:pPr>
              <w:pStyle w:val="CSBody63ENbold"/>
            </w:pPr>
            <w:r w:rsidRPr="0043442B">
              <w:t>Risk of a total or near total loss of the funds invested and a total loss of any interest payments</w:t>
            </w:r>
          </w:p>
        </w:tc>
        <w:tc>
          <w:tcPr>
            <w:tcW w:w="4928" w:type="dxa"/>
          </w:tcPr>
          <w:p w:rsidR="00CF6C81" w:rsidRPr="00CF6C81" w:rsidP="00CF6C81">
            <w:pPr>
              <w:pStyle w:val="CSBody63DEbold"/>
              <w:rPr>
                <w:lang w:val="de-DE"/>
              </w:rPr>
            </w:pPr>
            <w:r w:rsidRPr="00CF6C81">
              <w:rPr>
                <w:lang w:val="de-DE"/>
              </w:rPr>
              <w:t>Risiko eines Totalverlusts oder nahezu vollständigen Verlusts der angelegten Gelder und eines Totalverlusts von Zinszahlungen</w:t>
            </w:r>
          </w:p>
        </w:tc>
      </w:tr>
      <w:tr w:rsidTr="002F2BFA">
        <w:tblPrEx>
          <w:tblW w:w="5000" w:type="pct"/>
          <w:tblLook w:val="04A0"/>
        </w:tblPrEx>
        <w:tc>
          <w:tcPr>
            <w:tcW w:w="4927" w:type="dxa"/>
          </w:tcPr>
          <w:p w:rsidR="00CF6C81" w:rsidRPr="0043442B" w:rsidP="009F4053">
            <w:pPr>
              <w:pStyle w:val="CSBody63EN"/>
            </w:pPr>
            <w:r w:rsidRPr="0043442B">
              <w:t>In the case of a Credit-Linked Complex Product with auction settlement that is linked to a single Reference Entity, upon the occurrence of a Credit Event Determination Date on or prior to the Scheduled Maturity Date (subject to extension if a Potential Credit Event Period is in effect on the Scheduled Maturity Date), instead of being redeemed at the Scheduled Redemption Amount on the Scheduled Maturity Date, such Complex Product will be redeemed by payment of a cash amount to the holder thereof equal to the Auction Redemption Amount on the Auction Redemption Date (or, in the case of a Fallback Settlement Event, equal to the Cash Redemption Amount on the Cash Redemption Date), which amount will generally be considerably less than such holder's initial investment in such Complex Product. In addition, any accrued and unpaid interest on such Complex Product as of the date on which such Credit Event Determination Date has occurred will be cancelled and not be paid to the holder thereof. In the worst case scenario, (i) a Credit Event Determination Date occurs prior to the first Interest Payment Date, which means that no interest payments on the relevant Complex Products will be made, and (ii) the Auction Redemption Amount or Cash Redemption Amount, as the case may be, is determined to be zero. In such case, the investor would suffer a total loss of its initial investment.</w:t>
            </w:r>
          </w:p>
        </w:tc>
        <w:tc>
          <w:tcPr>
            <w:tcW w:w="4928" w:type="dxa"/>
          </w:tcPr>
          <w:p w:rsidR="00CF6C81" w:rsidRPr="00CF6C81" w:rsidP="009F4053">
            <w:pPr>
              <w:pStyle w:val="CSBody63DE"/>
              <w:rPr>
                <w:lang w:val="de-DE"/>
              </w:rPr>
            </w:pPr>
            <w:r w:rsidRPr="00CF6C81">
              <w:rPr>
                <w:lang w:val="de-DE"/>
              </w:rPr>
              <w:t>Tritt bei einem Kreditbezogenen Komplexen Produkt mit Auktionsabwicklung, das an einen einzelnen Referenzschuldner gekoppelt ist, an oder vor dem Planmässigen Fälligkeitstag (vorbehaltlich einer Verlängerung im Fall dass ein Zei</w:t>
            </w:r>
            <w:r w:rsidR="00E50311">
              <w:rPr>
                <w:lang w:val="de-DE"/>
              </w:rPr>
              <w:t>traum eines Potenziellen Kredit</w:t>
            </w:r>
            <w:r w:rsidRPr="00CF6C81">
              <w:rPr>
                <w:lang w:val="de-DE"/>
              </w:rPr>
              <w:t>ereignisses am Planmässigen Fälligkeitstag besteht) ein Kreditereignis-Feststellungstag ein, so wird dieses Komplexe Produkt nicht zum Planmässigen Rückzahlungsbetrag am Planmässigen Fälligkeitstag an den Inhaber zurückgezahlt, sondern durch Zahlung eines Barbetrags in Höhe des Auktions-Rückzahlungsbetrags am Auktions-Rückzahlungstag (oder, im Fall eines Ereignisses der Alternativen Abwicklung, in Höhe des Barrückzahlungsb</w:t>
            </w:r>
            <w:r w:rsidR="00E50311">
              <w:rPr>
                <w:lang w:val="de-DE"/>
              </w:rPr>
              <w:t>etrags am Ba</w:t>
            </w:r>
            <w:r w:rsidRPr="00CF6C81">
              <w:rPr>
                <w:lang w:val="de-DE"/>
              </w:rPr>
              <w:t xml:space="preserve">rückzahlungstag); dieser Betrag ist in der Regel wesentlich geringer als der von dem Inhaber ursprünglich eingesetzte Kapitalbetrag. Darüber hinaus verfallen etwaige zum Termin des Eintritts dieses Kreditereignis-Feststellungstags auf dieses Komplexe Produkt aufgelaufene und noch nicht gezahlte Zinsen und werden nicht an den Inhaber des Komplexen Produkts geleistet. Im schlimmsten Fall (i) tritt vor dem ersten Zinszahlungstag ein Kreditereignis-Feststellungstag ein, </w:t>
            </w:r>
            <w:r w:rsidR="007E3558">
              <w:rPr>
                <w:lang w:val="de-DE"/>
              </w:rPr>
              <w:t>d.h.</w:t>
            </w:r>
            <w:r w:rsidRPr="00CF6C81">
              <w:rPr>
                <w:lang w:val="de-DE"/>
              </w:rPr>
              <w:t xml:space="preserve"> es erfolgen keine Zinszahlungen auf das betreffende Komplexe Produkt, und (ii) wird festgestellt, dass der Auktions-Rückzahlungsbetrag bzw. der Barrückzahlungsbetrag null ist. In diesem Fall würde der Anleger einen Totalverlust seines ursprünglich eingesetzten Kapitals erleiden.</w:t>
            </w:r>
          </w:p>
        </w:tc>
      </w:tr>
      <w:tr w:rsidTr="002F2BFA">
        <w:tblPrEx>
          <w:tblW w:w="5000" w:type="pct"/>
          <w:tblLook w:val="04A0"/>
        </w:tblPrEx>
        <w:tc>
          <w:tcPr>
            <w:tcW w:w="4927" w:type="dxa"/>
          </w:tcPr>
          <w:p w:rsidR="00CF6C81" w:rsidRPr="0043442B" w:rsidP="009F4053">
            <w:pPr>
              <w:pStyle w:val="CSBody63EN"/>
            </w:pPr>
            <w:r w:rsidRPr="0043442B">
              <w:t>In the case of a Credit-Linked Complex Product with auction settlement that is linked to a Basket of Reference Entities, upon the occurrence of a Credit Event Determination Date with respect to any Reference Entity (</w:t>
            </w:r>
            <w:r w:rsidRPr="007E3558" w:rsidR="007E3558">
              <w:rPr>
                <w:i/>
              </w:rPr>
              <w:t>i.e.</w:t>
            </w:r>
            <w:r w:rsidRPr="0043442B">
              <w:t>, an "Affected Reference Entity") on or prior to the Scheduled Maturity Date (subject to extension if a Potential Credit Event Period is in effect on the Scheduled Maturity Date), the portion of the Principal Amount of the Complex Products equal to the Reference Entity Principal Amount of such Affected Reference Entity will (i) cease to bear interest and any accrued and unpaid interest on such Reference Entity Principal Amount as of the date on which such Credit Event Determination Date has occurred will be cancelled and not be paid to the Holder thereof on the relevant Interest Payment Date and (ii) be redeemed by payment of a cash amount to the Holder thereof equal to the relevant Auction Redemption Amount on the Auction Redemption Date (provided that no Fallback Settlement Event has occurred). Furthermore, the Outstanding Principal Amount, on the basis of which the Scheduled Redemption Amount of the Complex Products is calculated, will be reduced in the amount of the Reference Entity Principal Amount of the Affected Reference Entity. The Calculation Agent will determine the Auction Redemption Amount on the basis of the Auction Final Price of the Affected Reference Entity. The Auction Final Price of the Affected Reference Entity will be determined by the relevant Credit Derivatives Determinations Committee in accordance with an auction conducted by ISDA. Alternatively, if a Fallback Settlement Event has occurred, the Cash Redemption Amount rather than the Auction Redemption Amount will be payable per Complex Product by the Issuer to the Holder thereof on the Cash Redemption Date. Such amount will be deter-mined based upon one or more quotations for the Refer-ence Obligation or for a Valuation Obligation selected by the Calculation Agent of the Affected Reference Entity, obtained by the Calculation Agent from banks or securities trading firms.Any such Auction Redemption Amount or Cash Redemption Amount, as applicable, will generally be considerably less than the Reference Entity Principal Amount by which the Outstanding Principal Amount and consequently the Scheduled Redemption Amount is so reduced and may in certain circumstances be equal to zero. In such case, the greater the number of Reference Entities with respect to which a Credit Event Determination Date occurs on or prior to the Scheduled Maturity Date, the greater the reduction of the Scheduled Redemption Amount will be. Furthermore, the smaller the applicable Auction Redemption Amount or Cash Redemption Amount, as the case may be, the greater the loss suffered by the investor will be. In the worst case scenario, (i) a Credit Event Determination Date with respect to each Reference Entity occurs prior to the first Interest Payment Date, which means that no interest payments on the relevant Complex Products will be made, and (ii) the Auction Redemption Amount or Cash Redemption Amount, as the case may be, in relation to each such Reference Entity is determined to be zero. In such case, the investor would suffer a total loss of its initial investment.</w:t>
            </w:r>
          </w:p>
        </w:tc>
        <w:tc>
          <w:tcPr>
            <w:tcW w:w="4928" w:type="dxa"/>
          </w:tcPr>
          <w:p w:rsidR="00CF6C81" w:rsidRPr="00CF6C81">
            <w:pPr>
              <w:pStyle w:val="CSBody63DE"/>
              <w:rPr>
                <w:lang w:val="de-DE"/>
              </w:rPr>
            </w:pPr>
            <w:r w:rsidRPr="00CF6C81">
              <w:rPr>
                <w:lang w:val="de-DE"/>
              </w:rPr>
              <w:t>Tritt bei einem an einen Korb von Referenzschuldnern gekoppelten Kreditbezogenen Komplexen Produkt mit Auktionsabwicklung an oder vor dem Planmässigen Fäl-ligkeitstag (vorbehaltlich einer Verlängerung im Fall dass ein Zei</w:t>
            </w:r>
            <w:r w:rsidR="00E50311">
              <w:rPr>
                <w:lang w:val="de-DE"/>
              </w:rPr>
              <w:t>traum eines Potenziellen Kredit</w:t>
            </w:r>
            <w:r w:rsidRPr="00CF6C81">
              <w:rPr>
                <w:lang w:val="de-DE"/>
              </w:rPr>
              <w:t>ereignisses am Planmässigen Fälligkeitstag besteht) ein Kreditereignis-Feststellungstag in Bezug auf einen Referenzschuldner ein (ein "Betroffener Referenzschuldner"), so (i) endet die Verzinsung des Teils des Nennbetrags der Komplexen Produkte, der dem Referenzschuldner-Nennbetrag dieses Betroffenen Referenzschuldners entspricht, und etwaige zum Termin des Eintritts des Kreditereignis-Feststellungstags auf den Referenzschuldner-Nennbetrag aufgelaufene und noch nicht gezahlte Zinsen verfallen und werden nicht am jeweiligen Zinszahlungstag an den Inhaber dieses Komplexen Produkts gezahlt und (ii) wird der Referenzschuldner-Nennbetrag des Betroffenen Referenzschuldners durch Zahlung eines Barbetrags in Höhe des jeweiligen Auktions-Rückzahlungsbetrags am Auktions-Rückzahlungstag (vorausgesetzt, dass kein Ereignis der Alternativen Abwicklung eingetreten ist) an den Inhaber des Komplexen Produkts zurückgezahlt. Darüber hinaus wird der Ausstehende Nennbetrag, auf dessen Basis des Planmässige Rückzahlungsbetrag der Komplexen Produkte berechnet wird, durch einen Betrag in Höhe des Referenzschuldner-Nennbetrags des Betroffenen Referenzschuldners reduziert. Die Berechnungsstelle bestimmt den Auktions-Rückzahlungsbetrag auf der Grundlage des Auktions-Endpreises des Betroffenen Referenzschuldners. Der Auktions-Endpreis des Betroffenen Referenzschuldners wird von dem zuständigen Kreditderivate-Feststellungsausschuss nach Massgabe einer von ISDA durchgeführten Auktion berechnet. Falls dagegen ein Ereignis der Alternativen Ab-wicklung eingetreten ist, hat die Emittentin nicht den Auktions-Rückzahlungsbetrag, sondern den Barrückzahlungsbetrag je Komplexes Produkt am Barrückzahlungstag an den Inhaber zu zahlen. Dieser Betrag wird auf der Grundlage einer oder mehrerer Quotierungen für die Referenzverbindlichkeit oder für eine von der Berechnungs</w:t>
            </w:r>
            <w:r w:rsidR="00E50311">
              <w:rPr>
                <w:lang w:val="de-DE"/>
              </w:rPr>
              <w:t>telle ausgewählte Bewertungsver</w:t>
            </w:r>
            <w:r w:rsidRPr="00CF6C81">
              <w:rPr>
                <w:lang w:val="de-DE"/>
              </w:rPr>
              <w:t xml:space="preserve">bindlichkeit des Betroffenen Referenzschuldners, die die Berechnungsstelle von Banken oder Wertpapierhandelsunternehmen einge-holt hat, bestimmt. Ein solcher Auktions-Rückzahlungsbetrag bzw. Barrückzahlungsbetrag wird in der Regel wesentlich geringer sein als der Referenzschuldner-Nennbetrag, um den sich der Ausstehende Nennbetrag und folglich der Planmässige Rückzahlungsbetrag verringert, und in bestimmten Fällen kann dieser Betrag null sein. In diesem Fall gilt: je mehr Referenzschuldner, in Bezug auf die an oder vor dem Planmässigen Fälligkeitstag ein Kreditereignis-Feststellungstag eintritt, umso geringer der Planmässige Rückzahlungsbetrag. Ferner gilt: je geringer der jeweilige Auktions-Rückzahlungsbetrag bzw. Barrückzahlungsbetrag, umso höher ist der von dem Anleger erlittene Verlust. Im schlimmsten Fall (i) tritt vor dem ersten Zinszahlungstag ein Kreditereignis-Feststellungstag in Bezug auf jeden Referenzschuldner ein, </w:t>
            </w:r>
            <w:r w:rsidR="007E3558">
              <w:rPr>
                <w:lang w:val="de-DE"/>
              </w:rPr>
              <w:t>d.h.</w:t>
            </w:r>
            <w:r w:rsidRPr="00CF6C81">
              <w:rPr>
                <w:lang w:val="de-DE"/>
              </w:rPr>
              <w:t xml:space="preserve"> es erfolgen keine Zinszahlungen auf die betreffenden Komplexen Produkte, und (ii) wird festgestellt, dass der Auktions-Rückzahlungsbetrag bzw. Barrückzahlungsbetrag in Bezug auf jeden dieser Referenzschuldner null ist. In diesem Fall würde der Anleger einen Totalverlust seines ursprünglich eingesetzten Kapitals erleiden.</w:t>
            </w:r>
          </w:p>
        </w:tc>
      </w:tr>
      <w:tr w:rsidTr="002F2BFA">
        <w:tblPrEx>
          <w:tblW w:w="5000" w:type="pct"/>
          <w:tblLook w:val="04A0"/>
        </w:tblPrEx>
        <w:tc>
          <w:tcPr>
            <w:tcW w:w="4927" w:type="dxa"/>
          </w:tcPr>
          <w:p w:rsidR="00CF6C81" w:rsidRPr="0043442B">
            <w:pPr>
              <w:pStyle w:val="CSBody63EN"/>
            </w:pPr>
            <w:r w:rsidRPr="0043442B">
              <w:t>In the case of a Credit-Linked Complex Product with auction settlement and an N</w:t>
            </w:r>
            <w:r w:rsidRPr="00E50311">
              <w:rPr>
                <w:vertAlign w:val="superscript"/>
              </w:rPr>
              <w:t>th</w:t>
            </w:r>
            <w:r w:rsidRPr="0043442B">
              <w:t>-to-Default structure, upon the occurrence of a Credit Event Determination Date with respect to the N</w:t>
            </w:r>
            <w:r w:rsidRPr="00E50311">
              <w:rPr>
                <w:vertAlign w:val="superscript"/>
              </w:rPr>
              <w:t>th</w:t>
            </w:r>
            <w:r w:rsidRPr="0043442B">
              <w:t>-to-Default Reference Entity as specified in the applicable Terms and Conditions on or prior to the Scheduled Maturity Date (subject to extension if a Poten-tial Credit Event Period is in effect on the Scheduled Maturity Date), instead of being redeemed at the Scheduled Redemption Amount on the Scheduled Maturity Date, such Complex Product will be redeemed by payment of a cash amount to the holder thereof equal to the Auction Redemption Amount with respect to the N</w:t>
            </w:r>
            <w:r w:rsidRPr="00E50311">
              <w:rPr>
                <w:vertAlign w:val="superscript"/>
              </w:rPr>
              <w:t>th</w:t>
            </w:r>
            <w:r w:rsidRPr="0043442B">
              <w:t>-to-Default Reference Entity on the Auction Redemption Date (or, in the case of a Fallback Settlement Event, equal to the Cash Redemption Amount with respect to the N</w:t>
            </w:r>
            <w:r w:rsidRPr="00E50311">
              <w:rPr>
                <w:vertAlign w:val="superscript"/>
              </w:rPr>
              <w:t>th</w:t>
            </w:r>
            <w:r w:rsidRPr="0043442B">
              <w:t>-to-Default Reference Entity on the Cash Redemption Date), which amount will generally be considerably less than such holder's initial investment in such Complex Product. In addition, any accrued and unpaid interest on such Complex Product as of the date on which such Credit Event Determination Date has occurred will be cancelled and not be paid to the holder thereof. In the worst case scenario, (i) a Credit Event Determination Date with respect to the N</w:t>
            </w:r>
            <w:r w:rsidRPr="00E50311">
              <w:rPr>
                <w:vertAlign w:val="superscript"/>
              </w:rPr>
              <w:t>th</w:t>
            </w:r>
            <w:r w:rsidRPr="0043442B">
              <w:t>-to-Default Reference Entity occurs prior to the first Interest Payment Date, which means that no interest payments on the relevant Complex Products will be made, and (ii), the Auction Redemption Amount or Cash Redemption Amount, as the case may be, is determined to be zero. In such case, the investor would suffer a total loss of its initial investment.</w:t>
            </w:r>
          </w:p>
        </w:tc>
        <w:tc>
          <w:tcPr>
            <w:tcW w:w="4928" w:type="dxa"/>
          </w:tcPr>
          <w:p w:rsidR="00CF6C81" w:rsidRPr="00CF6C81">
            <w:pPr>
              <w:pStyle w:val="CSBody63DE"/>
              <w:rPr>
                <w:lang w:val="de-DE"/>
              </w:rPr>
            </w:pPr>
            <w:r w:rsidRPr="00CF6C81">
              <w:rPr>
                <w:lang w:val="de-DE"/>
              </w:rPr>
              <w:t>Tritt bei einem Kreditbezogenen Komplexen Produkt mit Auktionsabwicklung und N</w:t>
            </w:r>
            <w:r w:rsidRPr="00E50311">
              <w:rPr>
                <w:vertAlign w:val="superscript"/>
                <w:lang w:val="de-DE"/>
              </w:rPr>
              <w:t>th</w:t>
            </w:r>
            <w:r w:rsidRPr="00CF6C81">
              <w:rPr>
                <w:lang w:val="de-DE"/>
              </w:rPr>
              <w:t>-to-Default-Struktur in Bezug auf den in den anwendbaren Emissionsbedingungen festgelegten N</w:t>
            </w:r>
            <w:r w:rsidRPr="00E50311">
              <w:rPr>
                <w:vertAlign w:val="superscript"/>
                <w:lang w:val="de-DE"/>
              </w:rPr>
              <w:t>th</w:t>
            </w:r>
            <w:r w:rsidRPr="00CF6C81">
              <w:rPr>
                <w:lang w:val="de-DE"/>
              </w:rPr>
              <w:t>-to-Default-Referenzschuldner an oder vor dem Planmässigen Fälligkeitstag (vorbehaltlich einer Verlängerung im Fall dass ein Zeitraum eines Potenziellen Kreditereignisses am Planmässigen Fälligkeitstag besteht) ein Kreditereignis-Feststellungstag ein, so wird dieses Komplexe Produkt nicht zum Planmässigen Rückzahlungsbetrag am Planmässigen Fälligkeitstag an den Inhaber zurückgezahlt, sondern durch Zahlung eines Barbetrags in Höhe des Auktions-Rückzahlungsbetrags in Bezug auf den N</w:t>
            </w:r>
            <w:r w:rsidRPr="00E50311">
              <w:rPr>
                <w:vertAlign w:val="superscript"/>
                <w:lang w:val="de-DE"/>
              </w:rPr>
              <w:t>th</w:t>
            </w:r>
            <w:r w:rsidRPr="00CF6C81">
              <w:rPr>
                <w:lang w:val="de-DE"/>
              </w:rPr>
              <w:t>-to-Default-Referenzschuldner am Auktions-Rückzahlungstag (oder, im Fall eines Ereignisses der Alternativen Abwicklung, in Höhe des Barrückzahlungsbetrags in Bezug auf den N</w:t>
            </w:r>
            <w:r w:rsidRPr="00E50311">
              <w:rPr>
                <w:vertAlign w:val="superscript"/>
                <w:lang w:val="de-DE"/>
              </w:rPr>
              <w:t>th</w:t>
            </w:r>
            <w:r w:rsidRPr="00CF6C81">
              <w:rPr>
                <w:lang w:val="de-DE"/>
              </w:rPr>
              <w:t>-to-Default-Referenzschuldner am Barrückzahlungstag); dieser Betrag ist in der Regel wesentlich geringer als der von dem Inhaber ursprünglich eingesetzte Kapitalbetrag. Darüber hinaus verfallen etwaige zum Tag des Eintritts dieses Kreditereignis-Feststellungstags auf dieses Komplexe Produkt aufgelaufene und noch nicht gezahlte Zinsen und werden nicht an den Inhaber des Komplexen Produkts geleistet. Im schlimmsten Fall (i) tritt vor dem ersten Zinszahlungstag ein Kreditereignis-Feststellungstag in Bezug auf den N</w:t>
            </w:r>
            <w:r w:rsidRPr="00E50311">
              <w:rPr>
                <w:vertAlign w:val="superscript"/>
                <w:lang w:val="de-DE"/>
              </w:rPr>
              <w:t>th</w:t>
            </w:r>
            <w:r w:rsidRPr="00CF6C81">
              <w:rPr>
                <w:lang w:val="de-DE"/>
              </w:rPr>
              <w:t>-to-Default-Referenzschuldner ein, d.h. es erfolgen keine Zinszahlungen auf das betreffende Komplexe Produkt, und (ii) wird festgestellt, dass der Auktions-Rückzahlun</w:t>
            </w:r>
            <w:r w:rsidR="00E50311">
              <w:rPr>
                <w:lang w:val="de-DE"/>
              </w:rPr>
              <w:t>gsbetrag bzw. Barrückzahlungsbe</w:t>
            </w:r>
            <w:r w:rsidRPr="00CF6C81">
              <w:rPr>
                <w:lang w:val="de-DE"/>
              </w:rPr>
              <w:t>trag null ist. In diesem Fall würde der Anleger einen Totalverlust seines ursprünglich eingesetzten Kapitals erlei-den.</w:t>
            </w:r>
          </w:p>
        </w:tc>
      </w:tr>
      <w:tr w:rsidTr="002F2BFA">
        <w:tblPrEx>
          <w:tblW w:w="5000" w:type="pct"/>
          <w:tblLook w:val="04A0"/>
        </w:tblPrEx>
        <w:tc>
          <w:tcPr>
            <w:tcW w:w="4927" w:type="dxa"/>
          </w:tcPr>
          <w:p w:rsidR="00E50311" w:rsidRPr="002F5078" w:rsidP="00E50311">
            <w:pPr>
              <w:pStyle w:val="CSBody63ENbold"/>
            </w:pPr>
            <w:r w:rsidRPr="002F5078">
              <w:t>Risks relating to Credit-Linked Complex Products with Zero-Recovery feature linked to a Basket</w:t>
            </w:r>
          </w:p>
        </w:tc>
        <w:tc>
          <w:tcPr>
            <w:tcW w:w="4928" w:type="dxa"/>
          </w:tcPr>
          <w:p w:rsidR="00E50311" w:rsidRPr="00E50311" w:rsidP="00E50311">
            <w:pPr>
              <w:pStyle w:val="CSBody63DEbold"/>
              <w:rPr>
                <w:lang w:val="de-DE"/>
              </w:rPr>
            </w:pPr>
            <w:r w:rsidRPr="00E50311">
              <w:rPr>
                <w:lang w:val="de-DE"/>
              </w:rPr>
              <w:t>Mit Kreditbezogenen Komplexen Produkten mit Zero-Recovery-Merkmal verbundene Risiken</w:t>
            </w:r>
          </w:p>
        </w:tc>
      </w:tr>
      <w:tr w:rsidTr="002F2BFA">
        <w:tblPrEx>
          <w:tblW w:w="5000" w:type="pct"/>
          <w:tblLook w:val="04A0"/>
        </w:tblPrEx>
        <w:tc>
          <w:tcPr>
            <w:tcW w:w="4927" w:type="dxa"/>
          </w:tcPr>
          <w:p w:rsidR="00E50311" w:rsidRPr="00CB113C" w:rsidP="009F4053">
            <w:pPr>
              <w:pStyle w:val="CSBody63EN"/>
            </w:pPr>
            <w:r w:rsidRPr="00CB113C">
              <w:t xml:space="preserve">Credit-Linked Complex Products with Zero-Recovery feature linked to a Basket are linked to the creditworthiness of a basket of Reference Entities. By investing in Credit-Linked Complex Products with Zero-Recovery feature linked to a Basket, Holders are exposed to this credit risk relating to such Reference Entities. Different from Credit-Linked Complex Products with Auction Settlement linked to a Basket, upon the occurrence of a Credit Event with respect to a Reference Entity contained in the Basket that is not an Affected Reference Entity (due to the occurrence of a Credit Event Determination Date such Reference Entity becomes an Affected Reference Entity), investors will not receive any redemption amount for the portion of the Principal Amount of the Complex Products equal to the Reference Entity Principal Amount of such Affected Reference Entity, that is, the recovery amount for such Affected Reference Entity will be equal to zero. </w:t>
            </w:r>
          </w:p>
        </w:tc>
        <w:tc>
          <w:tcPr>
            <w:tcW w:w="4928" w:type="dxa"/>
          </w:tcPr>
          <w:p w:rsidR="00E50311" w:rsidRPr="00E50311" w:rsidP="009F4053">
            <w:pPr>
              <w:pStyle w:val="CSBody63DE"/>
              <w:rPr>
                <w:lang w:val="de-DE"/>
              </w:rPr>
            </w:pPr>
            <w:r w:rsidRPr="00E50311">
              <w:rPr>
                <w:lang w:val="de-DE"/>
              </w:rPr>
              <w:t xml:space="preserve">Kreditbezogene Komplexe Produkte mit Zero-Recovery-Merkmal, die an einen Korb gekoppelt sind, sind an die Bonität eines Korbs von Referenzschuldnern gekoppelt. Durch eine Anlage in Kreditbezogene Komplexe Produkte mit Zero-Recovery-Merkmal, die an einen Korb gekoppelt sind, sind die Inhaber dem Kreditrisiko dieser Referenzschuldner ausgesetzt. Im Unterschied zu Kreditbezogenen Komplexen Produkten mit Auktionsabwicklung, die an einen Korb gekoppelt sind, erhalten Anleger bei Eintritt eines Kreditereignisses in Bezug auf einen im Korb enthaltenen Referenzschuldner, bei dem es sich nicht um einen Betroffenen Referenzschuldner handelt (auf Grund des Eintritts eines Kreditereignis-Feststellungstags wird dieser Referenzschuldner zu einem Betroffenen Referenzschuldner), keinen Rückzahlungsbetrag für den Teil des Nennbetrags der Komplexen Produkte, der dem Referenzschuldner-Nennbetrag des Betroffenen Referenzschuldner entspricht, d.h. der Ausgleichsbetrag für den Betroffenen Referenzschuldner ist gleich null. </w:t>
            </w:r>
          </w:p>
        </w:tc>
      </w:tr>
      <w:tr w:rsidTr="002F2BFA">
        <w:tblPrEx>
          <w:tblW w:w="5000" w:type="pct"/>
          <w:tblLook w:val="04A0"/>
        </w:tblPrEx>
        <w:tc>
          <w:tcPr>
            <w:tcW w:w="4927" w:type="dxa"/>
          </w:tcPr>
          <w:p w:rsidR="00E50311" w:rsidRPr="00CB113C" w:rsidP="009F4053">
            <w:pPr>
              <w:pStyle w:val="CSBody63EN"/>
            </w:pPr>
            <w:r w:rsidRPr="00CB113C">
              <w:t xml:space="preserve">The payment of interest on, and the redemption of, such Complex Products is dependent upon whether a Credit Event Determination Date with respect to one or more Reference Entities has occurred. In turn, a Credit Event Determination Date can only be triggered by a Credit Event, which can be a Bankruptcy, a Failure to Pay, a Governmental Intervention, an Obligation Acceleration, a Repudiation/ Moratorium or a Restructuring, as specified in the applicable Terms and Conditions. Potential investors in Credit-Linked Complex Products with auction settlement should be aware that a Credit Event may occur even if the relevant Reference Entity has not defaulted on any payment obligation. Investors should note that a Credit Event may occur even if the relevant Reference Entity has not defaulted on any payment obligation. Further, upon the occurrence of a Credit Event Determination Date with respect to one or more Reference Entities contained in the Basket (i) investors in such Complex Products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investors may thus lose all or a substantial portion of their investment. </w:t>
            </w:r>
          </w:p>
        </w:tc>
        <w:tc>
          <w:tcPr>
            <w:tcW w:w="4928" w:type="dxa"/>
          </w:tcPr>
          <w:p w:rsidR="00E50311" w:rsidRPr="00E50311" w:rsidP="009F4053">
            <w:pPr>
              <w:pStyle w:val="CSBody63DE"/>
              <w:rPr>
                <w:lang w:val="de-DE"/>
              </w:rPr>
            </w:pPr>
            <w:r w:rsidRPr="00E50311">
              <w:rPr>
                <w:lang w:val="de-DE"/>
              </w:rPr>
              <w:t>Die Zahlung von Zinsen auf derartige Komplexe Produkte sowie die Rückzahlung dieser Komplexen Produkte hängen davon ab, ob ein Kreditereignis-Feststellungstag in Bezug auf einen oder mehrere Referenzschuldner eingetreten ist. Ein Kreditereignis-Feststellungstag wiederum kann nur durch ein Kreditereignis ausgelöst werden; dabei kann es sich um eine Insolvenz, eine Nichtzahlung, eine Staatliche Intervention, eine Vorfälligkeit ein</w:t>
            </w:r>
            <w:r>
              <w:rPr>
                <w:lang w:val="de-DE"/>
              </w:rPr>
              <w:t>er Verbindlichkeit, eine Nicht</w:t>
            </w:r>
            <w:r w:rsidRPr="00E50311">
              <w:rPr>
                <w:lang w:val="de-DE"/>
              </w:rPr>
              <w:t xml:space="preserve">anerkennung/ein Moratorium oder um eine Restrukturierung handeln, wie in den anwendbaren Emissionsbedingungen angegeben. Anleger sollten sich darüber im Klaren sein, dass ein Kreditereignis selbst dann eintreten kann, wenn sich der betreffende Referenzschuldner mit seinen Zahlungsverpflichtungen nicht in Verzug befindet. Darüber hinaus gilt bei Eintritt eines Kreditereignis-Feststellungstags in Bezug auf einen oder mehrere im Korb enthaltene Referenzschuldner: (i) Anleger in die betreffenden Komplexen Produkte erhalten unter Umständen nur der Höhe nach begrenzte oder gar keine Zinszahlungen auf diese Komplexen </w:t>
            </w:r>
            <w:r>
              <w:rPr>
                <w:lang w:val="de-DE"/>
              </w:rPr>
              <w:t>Pro</w:t>
            </w:r>
            <w:r w:rsidRPr="00E50311">
              <w:rPr>
                <w:lang w:val="de-DE"/>
              </w:rPr>
              <w:t xml:space="preserve">dukte, (ii) die Zahlung des Rückzahlungsbetrags oder der Zinsen kann zu einem anderen Termin als erwartet erfolgen und (iii) der Rückzahlungsbetrag kann erheblich unter dem anfänglichen Nennbetrag der Komplexen Produkte liegen und Investoren können daher einen Totalverlust ihres eingesetzten Kapitals erleiden oder einen erheblichen Teil dieses Kapitals verlieren. </w:t>
            </w:r>
          </w:p>
        </w:tc>
      </w:tr>
      <w:tr w:rsidTr="002F2BFA">
        <w:tblPrEx>
          <w:tblW w:w="5000" w:type="pct"/>
          <w:tblLook w:val="04A0"/>
        </w:tblPrEx>
        <w:tc>
          <w:tcPr>
            <w:tcW w:w="4927" w:type="dxa"/>
          </w:tcPr>
          <w:p w:rsidR="00E50311" w:rsidRPr="00CB113C" w:rsidP="009F4053">
            <w:pPr>
              <w:pStyle w:val="CSBody63EN"/>
            </w:pPr>
            <w:r w:rsidRPr="00CB113C">
              <w:t>The likelihood of the occurrence of a Credit Event Determination Date with respect to a Reference Entity will generally fluctuate with, among other things, the financial condition and other characteristics of such Reference En</w:t>
            </w:r>
            <w:r w:rsidR="009F4053">
              <w:t>t</w:t>
            </w:r>
            <w:r w:rsidRPr="00CB113C">
              <w:t>ity, general economic conditions, the condition of certain financial markets, political events, developments or trends in any particular industry and changes in prevailing interest rates. Actions of the Reference Entities (for example, merger or demerger or the repayment or transfer of indebtedness) may adversely affect the value of Credit-Linked Complex Products. Furthermore, the Reference Entities to which such Complex Products are linked, and the terms of such linkage, may change over the term of such Complex Products.</w:t>
            </w:r>
          </w:p>
        </w:tc>
        <w:tc>
          <w:tcPr>
            <w:tcW w:w="4928" w:type="dxa"/>
          </w:tcPr>
          <w:p w:rsidR="00E50311" w:rsidRPr="00E50311" w:rsidP="009F4053">
            <w:pPr>
              <w:pStyle w:val="CSBody63DE"/>
              <w:rPr>
                <w:lang w:val="de-DE"/>
              </w:rPr>
            </w:pPr>
            <w:r w:rsidRPr="00E50311">
              <w:rPr>
                <w:lang w:val="de-DE"/>
              </w:rPr>
              <w:t>Die Wahrscheinlichkeit, dass in Bezug auf einen Referenzschuldner ein Kreditereignis-Feststellungstag eintritt, variiert in der Regel aufgrund der Finanzlage und anderer Kenn</w:t>
            </w:r>
            <w:r>
              <w:rPr>
                <w:lang w:val="de-DE"/>
              </w:rPr>
              <w:t>daten des betreffenden Referenz</w:t>
            </w:r>
            <w:r w:rsidRPr="00E50311">
              <w:rPr>
                <w:lang w:val="de-DE"/>
              </w:rPr>
              <w:t>schuldners, der allgemeinen Konjunktur, der Lage an bestimmten Finanz</w:t>
            </w:r>
            <w:r w:rsidR="009F4053">
              <w:rPr>
                <w:lang w:val="de-DE"/>
              </w:rPr>
              <w:t>m</w:t>
            </w:r>
            <w:r w:rsidRPr="00E50311">
              <w:rPr>
                <w:lang w:val="de-DE"/>
              </w:rPr>
              <w:t>ärkten sowie aufgrund von politischen Ereignissen, Entwicklungen oder Tendenzen in bestimmten Branchen, Änderungen der geltenden Zinssätze und weiteren Faktoren. Massnahmen des der Referenzschuldner (wie beispielsweise ein Zusammenschluss oder eine Abspaltung oder die Rückzahlung oder Übertragung von Verbindlichkeiten) können sich nachteilig auf den Wert der Kreditbezogenen Komplexen Produkte auswirken. Darüber hinaus können sich die Referenzschuldner, auf die diese Komplexen Produkte bezogen sind, und die Bedingungen dieser Beziehung während der Laufzeit dieser Komplexen Produkte ändern.</w:t>
            </w:r>
          </w:p>
        </w:tc>
      </w:tr>
      <w:tr w:rsidTr="002F2BFA">
        <w:tblPrEx>
          <w:tblW w:w="5000" w:type="pct"/>
          <w:tblLook w:val="04A0"/>
        </w:tblPrEx>
        <w:tc>
          <w:tcPr>
            <w:tcW w:w="4927" w:type="dxa"/>
          </w:tcPr>
          <w:p w:rsidR="00E50311" w:rsidRPr="00CB113C" w:rsidP="009F4053">
            <w:pPr>
              <w:pStyle w:val="CSBody63EN"/>
            </w:pPr>
            <w:r w:rsidRPr="00CB113C">
              <w:t>Upon the occurrence of a Credit Event Determination Date with respect to any Reference Entity that is not an Affected Reference Entity (due to the occurrence of a Credit Event Determination Date such Reference Entity becomes an Affected Reference Entity) on or prior to the Scheduled Maturity Date (subject to extension if a Potential Credit Event Period is in effect on the Scheduled Maturity Date in respect of such Reference Entity), the portion of the Principal Amount of the Complex Products equal to the Reference Entity Principal Amount of such Affected Reference Entity will (i) cease to bear interest and any accrued and unpaid interest on such Reference Entity Principal Amount as of the date on which such Credit Event Determination Date has occurred will be cancelled and not be paid to the Holder thereof on the relevant Interest Payment Date, and (ii) be written down to zero, thereby reducing the Outstanding Principal Amount, on the basis of which the Scheduled Redemption Amount of the Complex Products is calculated and no further payments shall be made in respect of such Reference Entity Principal Amount to the Holders of the Complex Products. In such case, the greater the number of Reference Entities with respect to which a Credit Event Determination Date occurs on or prior to the Scheduled Maturity Date, the greater the loss suffered by the investor will be. In the worst case scenario, (i) a Credit Event Determination Date with respect to each Reference Entity occurs prior to the first Interest Payment Date, which means that no interest payments on the relevant Complex Products will be made, and the Scheduled Redemption Amount will be equal to zero. In such case, the investor would suffer a total loss of its initial investment.</w:t>
            </w:r>
          </w:p>
        </w:tc>
        <w:tc>
          <w:tcPr>
            <w:tcW w:w="4928" w:type="dxa"/>
          </w:tcPr>
          <w:p w:rsidR="00E50311" w:rsidRPr="00E50311">
            <w:pPr>
              <w:pStyle w:val="CSBody63DE"/>
              <w:rPr>
                <w:lang w:val="de-DE"/>
              </w:rPr>
            </w:pPr>
            <w:r>
              <w:rPr>
                <w:lang w:val="de-DE"/>
              </w:rPr>
              <w:t>Tritt an oder vor dem Plan</w:t>
            </w:r>
            <w:r w:rsidRPr="00E50311">
              <w:rPr>
                <w:lang w:val="de-DE"/>
              </w:rPr>
              <w:t>mässigen Fälligkeitstag (vorbehaltlich einer Verlängerung im Fall dass ein Zeitraum eines Potenziellen Kreditereignisses am Planmässigen Fälligkeitstag in Bezug auf diesen Betroffenen Referenzschuldner besteht) ein Kreditereignis-Feststellungstag in Bezug auf einen Referenzschuldner, bei dem es sich nicht um einen Betroffenen Referenzschuldner handelt, ein (auf Grund des Eintritts eines Kreditereignis-Feststellungstags wird dieser Referenzschuldner zu einem Betroffenen Referenzschuldner), so (i) endet die Verzinsung des Teils des Nennbetrags der Komplexen Produkte, der dem Referenzschuldner-Nennbetrag dieses Betroffenen Referenzschuldners entspricht und etwaige zum Termin des Eintritts des Kreditereignis-Feststellungstags auf den Referenzschuldner</w:t>
            </w:r>
            <w:r w:rsidR="0036261D">
              <w:rPr>
                <w:lang w:val="de-DE"/>
              </w:rPr>
              <w:t>-N</w:t>
            </w:r>
            <w:r w:rsidRPr="00E50311">
              <w:rPr>
                <w:lang w:val="de-DE"/>
              </w:rPr>
              <w:t xml:space="preserve">ennbetrag aufgelaufene und noch nicht gezahlte Zinsen verfallen und werden nicht am jeweiligen Zinszahlungstag an den Inhaber dieses Komplexen Produkts gezahlt und (ii) wird der Teil des Nennbetrags der Komplexen Produkte, der dem Referenzschuldner-Nennbetrag des Betroffenen Referenzschuldner entspricht, auf null herab gesetzt, wodurch der Ausstehende Nennbetrag, auf dessen Basis der Planmässige Rückzahlungsbetrags berechnet wird, reduziert wird und es werden keine weiteren Zahlungen in Bezug auf diesen Referenzschuldner-Nennbetrag mehr an die Inhaber der Komplexen Produkte geleistet. In diesem Fall gilt: je mehr Referenzschuldner, in Bezug auf die an oder vor dem Planmässigen Fälligkeitstag ein Kreditereignis-Feststellungstag eintritt, umso grösser ist der Verlust, den der Anleger erleidet. Im schlimmsten Fall (i) tritt vor dem ersten Zinszahlungstag ein Kreditereignis-Feststellungstag in Bezug auf jeden Referenzschuldner ein, </w:t>
            </w:r>
            <w:r w:rsidR="007E3558">
              <w:rPr>
                <w:lang w:val="de-DE"/>
              </w:rPr>
              <w:t>d.h.</w:t>
            </w:r>
            <w:r w:rsidRPr="00E50311">
              <w:rPr>
                <w:lang w:val="de-DE"/>
              </w:rPr>
              <w:t xml:space="preserve"> es erfolgen keine Zinszahlungen auf die betreffenden Komplexen Produkte, und der Planmässige Rückzahlungsbetrag ist gleich null. In diesem Fall würde der Anleger einen Totalverlust seines ursprünglich eingesetzten Kapitals erleiden.</w:t>
            </w:r>
          </w:p>
        </w:tc>
      </w:tr>
      <w:tr w:rsidTr="002F2BFA">
        <w:tblPrEx>
          <w:tblW w:w="5000" w:type="pct"/>
          <w:tblLook w:val="04A0"/>
        </w:tblPrEx>
        <w:tc>
          <w:tcPr>
            <w:tcW w:w="4927" w:type="dxa"/>
          </w:tcPr>
          <w:p w:rsidR="00E50311" w:rsidRPr="00A964CA" w:rsidP="00E50311">
            <w:pPr>
              <w:pStyle w:val="CSBody63ENbold"/>
            </w:pPr>
            <w:r w:rsidRPr="00A964CA">
              <w:t>A Credit Event may occur even if the Issuer does not suffer any loss</w:t>
            </w:r>
          </w:p>
        </w:tc>
        <w:tc>
          <w:tcPr>
            <w:tcW w:w="4928" w:type="dxa"/>
          </w:tcPr>
          <w:p w:rsidR="00E50311" w:rsidRPr="00E50311" w:rsidP="00E50311">
            <w:pPr>
              <w:pStyle w:val="CSBody63DEbold"/>
              <w:rPr>
                <w:lang w:val="de-DE"/>
              </w:rPr>
            </w:pPr>
            <w:r w:rsidRPr="00E50311">
              <w:rPr>
                <w:lang w:val="de-DE"/>
              </w:rPr>
              <w:t>Ein Kreditereignis kann selbst dann eintreten, wenn die Emittentin keine Verluste erleidet</w:t>
            </w:r>
          </w:p>
        </w:tc>
      </w:tr>
      <w:tr w:rsidTr="002F2BFA">
        <w:tblPrEx>
          <w:tblW w:w="5000" w:type="pct"/>
          <w:tblLook w:val="04A0"/>
        </w:tblPrEx>
        <w:tc>
          <w:tcPr>
            <w:tcW w:w="4927" w:type="dxa"/>
          </w:tcPr>
          <w:p w:rsidR="00E50311" w:rsidRPr="00A964CA" w:rsidP="009F4053">
            <w:pPr>
              <w:pStyle w:val="CSBody63EN"/>
            </w:pPr>
            <w:r w:rsidRPr="00A964CA">
              <w:t>The Issuer's obligations with respect to Credit-Linked Complex Products with auction settlement are independent of the existence or amount of the Issuer's and/or any of its affiliates' credit exposure to a Reference Entity and the Issuer and/or any of its affiliates need not suffer any loss or provide evidence of any loss as a result of the occurrence of a Credit Event.</w:t>
            </w:r>
          </w:p>
        </w:tc>
        <w:tc>
          <w:tcPr>
            <w:tcW w:w="4928" w:type="dxa"/>
          </w:tcPr>
          <w:p w:rsidR="00E50311" w:rsidRPr="00E50311" w:rsidP="009F4053">
            <w:pPr>
              <w:pStyle w:val="CSBody63DE"/>
              <w:rPr>
                <w:lang w:val="de-DE"/>
              </w:rPr>
            </w:pPr>
            <w:r w:rsidRPr="00E50311">
              <w:rPr>
                <w:lang w:val="de-DE"/>
              </w:rPr>
              <w:t>Die Verpflichtungen der Emittentin in Bezug auf Kredit</w:t>
            </w:r>
            <w:r w:rsidR="009F4053">
              <w:rPr>
                <w:lang w:val="de-DE"/>
              </w:rPr>
              <w:t>b</w:t>
            </w:r>
            <w:r w:rsidRPr="00E50311">
              <w:rPr>
                <w:lang w:val="de-DE"/>
              </w:rPr>
              <w:t>ezogene Komplexe Produkte mit Auktionsabwicklung sind unabhängig von dem Bestehen oder der Höhe eines Kreditengagements der Emittentin und/oder eines mit ihr verbundenen Unternehmens in Bezug auf einen Referenzschuldner, und die Emittentin und/oder ein mit ihr verbundenes Unternehmen müssen infolge des Eintritts eines Kreditereignisses keinen Verlust erleiden oder Verlustnachweise erbringen.</w:t>
            </w:r>
          </w:p>
        </w:tc>
      </w:tr>
      <w:tr w:rsidTr="002F2BFA">
        <w:tblPrEx>
          <w:tblW w:w="5000" w:type="pct"/>
          <w:tblLook w:val="04A0"/>
        </w:tblPrEx>
        <w:tc>
          <w:tcPr>
            <w:tcW w:w="4927" w:type="dxa"/>
          </w:tcPr>
          <w:p w:rsidR="00E50311" w:rsidRPr="009F60C9" w:rsidP="00E50311">
            <w:pPr>
              <w:pStyle w:val="CSBody63ENbold"/>
            </w:pPr>
            <w:r w:rsidRPr="009F60C9">
              <w:t>There may be increased risks associated with Credit-Linked Complex Products with an Nth-to-Default structure</w:t>
            </w:r>
          </w:p>
        </w:tc>
        <w:tc>
          <w:tcPr>
            <w:tcW w:w="4928" w:type="dxa"/>
          </w:tcPr>
          <w:p w:rsidR="00E50311" w:rsidRPr="00E50311" w:rsidP="00E50311">
            <w:pPr>
              <w:pStyle w:val="CSBody63DEbold"/>
              <w:rPr>
                <w:lang w:val="de-DE"/>
              </w:rPr>
            </w:pPr>
            <w:r w:rsidRPr="00E50311">
              <w:rPr>
                <w:lang w:val="de-DE"/>
              </w:rPr>
              <w:t>Im Zusammenhang mit Kreditbezogenen Komplexen Produkten mit Nth-to-Default-Struktur können erhöhte Risiken bestehen</w:t>
            </w:r>
          </w:p>
        </w:tc>
      </w:tr>
      <w:tr w:rsidTr="002F2BFA">
        <w:tblPrEx>
          <w:tblW w:w="5000" w:type="pct"/>
          <w:tblLook w:val="04A0"/>
        </w:tblPrEx>
        <w:tc>
          <w:tcPr>
            <w:tcW w:w="4927" w:type="dxa"/>
          </w:tcPr>
          <w:p w:rsidR="00E50311" w:rsidRPr="009F60C9" w:rsidP="009F4053">
            <w:pPr>
              <w:pStyle w:val="CSBody63EN"/>
            </w:pPr>
            <w:r w:rsidRPr="009F60C9">
              <w:t>In the case of Credit-Linked Complex Products with auction settlement and an N</w:t>
            </w:r>
            <w:r w:rsidRPr="00E50311">
              <w:rPr>
                <w:vertAlign w:val="superscript"/>
              </w:rPr>
              <w:t>th</w:t>
            </w:r>
            <w:r w:rsidRPr="009F60C9">
              <w:t>-to-Default structure, the Complex Products will be subject to a redemption scenario pursuant to which the redemption amount may be considerably less than the initial principal amount of the Complex Products as described under "— B. Risk of a total or near total loss of the funds invested and a total loss of any interest payments" above upon the occurrence of a Credit Event Determination Date with respect to the N</w:t>
            </w:r>
            <w:r w:rsidRPr="00E50311">
              <w:rPr>
                <w:vertAlign w:val="superscript"/>
              </w:rPr>
              <w:t>th</w:t>
            </w:r>
            <w:r w:rsidRPr="009F60C9">
              <w:t>-to-Default Reference Entity as specified in the applicable Terms and Conditions (for example the first Reference Entity with respect to which a Credit Event Determination Date occurs, in the case of a Complex Product with a "first-to-default" structure, or the fifth Reference Entity with respect to which a Credit Event Determination Date occurs, in the case of a Complex Product with a "fifth-to-default" structure or any other "Nth" Reference Entity specified in the applicable Terms and Conditions).</w:t>
            </w:r>
          </w:p>
        </w:tc>
        <w:tc>
          <w:tcPr>
            <w:tcW w:w="4928" w:type="dxa"/>
          </w:tcPr>
          <w:p w:rsidR="00E50311" w:rsidRPr="00E50311" w:rsidP="009F4053">
            <w:pPr>
              <w:pStyle w:val="CSBody63DE"/>
              <w:rPr>
                <w:lang w:val="de-DE"/>
              </w:rPr>
            </w:pPr>
            <w:r w:rsidRPr="00E50311">
              <w:rPr>
                <w:lang w:val="de-DE"/>
              </w:rPr>
              <w:t>Bei Kreditbezogenen Komplexen Produkten mit Auktionsabwicklung und N</w:t>
            </w:r>
            <w:r w:rsidRPr="00E50311">
              <w:rPr>
                <w:vertAlign w:val="superscript"/>
                <w:lang w:val="de-DE"/>
              </w:rPr>
              <w:t>th</w:t>
            </w:r>
            <w:r w:rsidRPr="00E50311">
              <w:rPr>
                <w:lang w:val="de-DE"/>
              </w:rPr>
              <w:t>-to-Default-Struktur erfolgt in Bezug auf die Komplexen Produkte bei Eintritt eines Kreditereignis-Feststellungstags in Bezug auf den in den anwendbaren Emissionsbedingungen festgelegten Nth-to-Default-Referenzschuldner (z.B. den ersten Referenzschuldner, in Bezug auf den ein Kreditereignis-Feststellungstag eintritt, bei einem Komplexen Produkt mit "First-to-Default"-Struktur, oder den fünften Referenzschuldner, bei einem Komplexen Produkt mit "Fifth-to-Default"-Struktur oder einen anderen in den anwendbaren Emissionsbedingungen bezeichneten "N</w:t>
            </w:r>
            <w:r w:rsidRPr="00E50311">
              <w:rPr>
                <w:vertAlign w:val="superscript"/>
                <w:lang w:val="de-DE"/>
              </w:rPr>
              <w:t>th</w:t>
            </w:r>
            <w:r w:rsidRPr="00E50311">
              <w:rPr>
                <w:lang w:val="de-DE"/>
              </w:rPr>
              <w:t xml:space="preserve">" Referenzschuldner) eine Rückzahlung, gemäss der der Rückzahlungsbetrag wesentlich geringer als der anfängliche Nennbetrag dieser Komplexen Produkte sein kann, wie unter </w:t>
            </w:r>
            <w:r w:rsidRPr="00E50311">
              <w:rPr>
                <w:i/>
                <w:lang w:val="de-DE"/>
              </w:rPr>
              <w:t>"— B. Risiko eines Totalverlusts oder nahezu vollständigen Verlusts der angelegten Gelder und eines Totalverlusts von Zinszahlungen</w:t>
            </w:r>
            <w:r w:rsidRPr="00E50311">
              <w:rPr>
                <w:lang w:val="de-DE"/>
              </w:rPr>
              <w:t>" vorstehend beschrieben.</w:t>
            </w:r>
          </w:p>
        </w:tc>
      </w:tr>
      <w:tr w:rsidTr="002F2BFA">
        <w:tblPrEx>
          <w:tblW w:w="5000" w:type="pct"/>
          <w:tblLook w:val="04A0"/>
        </w:tblPrEx>
        <w:tc>
          <w:tcPr>
            <w:tcW w:w="4927" w:type="dxa"/>
          </w:tcPr>
          <w:p w:rsidR="00E50311" w:rsidRPr="009F60C9" w:rsidP="009F4053">
            <w:pPr>
              <w:pStyle w:val="CSBody63EN"/>
            </w:pPr>
            <w:r w:rsidRPr="009F60C9">
              <w:t>In the case of Complex Products with a "first-to-default" structure, a Credit Event Determination Date only needs to occur with respect to one Reference Entity out of all the Reference Entities in order to trigger the abovedescribed redemption. Consequently, potential investors in a Credit-Linked Complex Product with "first-to-default" structure should be aware that generally there is a significantly increased risk (which risk is typically the higher the higher the number of Reference Entities linked to such Complex Product is) that (i) such Complex Product will cease to bear interest at some point prior to the Scheduled Maturity Date and (ii) instead of being redeemed at the Scheduled Redemption Amount on the Scheduled Maturity Date, such Complex Product will be redeemed at the relevant Auction Redemption Amount on the Auction Redemption Date (or, in the case of a Fallback Settlement Event, at the relevant Cash Redemption Amount on the Cash Redemption Date), which amount will generally be considerable less than the initial principal amount of such Complex Product and may in certain circumstances be equal to zero.</w:t>
            </w:r>
          </w:p>
        </w:tc>
        <w:tc>
          <w:tcPr>
            <w:tcW w:w="4928" w:type="dxa"/>
          </w:tcPr>
          <w:p w:rsidR="00E50311" w:rsidRPr="00E50311" w:rsidP="009F4053">
            <w:pPr>
              <w:pStyle w:val="CSBody63DE"/>
              <w:rPr>
                <w:lang w:val="de-DE"/>
              </w:rPr>
            </w:pPr>
            <w:r w:rsidRPr="00E50311">
              <w:rPr>
                <w:lang w:val="de-DE"/>
              </w:rPr>
              <w:t>Bei Komplexen Produkten mit "First-to-Default"-Struktur muss nur in Bezug auf einen Referenzschuldner aus der Gesamtheit der Referenzschuldner ein Kreditereignis-Feststellungstag eintreten, damit die vorstehend beschriebene Rückzahlung ausgelöst wird. Potenzielle Anleger in ein Kreditbezogenes Komplexes Produkt mit "First-to-Default"-Struktur sollten sich bewusst sein, dass im Allgemeinen ein wesentlich höheres Risiko besteht (wobei das Risiko typischerweise umso grösser ist, je grösser die Anzahl der Referenzschuldner ist), dass (i) die Verzinsung eines solchen Komplexen Produkts vor der Planmässigen Fälligkeit endet und (ii) dieses Komplexen Produkt nicht zum Planmässigen Rückzahlungsbetrag zur Planmässigen Fälligkeit, sondern zum relevanten Auktions-Rückzahlungsbetrag am Auktions-Rückzahlungstag zurückgezahlt wird (oder, im Fall eines Ereignisses der Alternativen Abwicklung, zum Barrückzahlungsbetrag am Barrückzahlungstag), einem Betrag der in der Regel wesentlich geringer ist als der anfängliche Nennbetrag dieser Komplexen Produkte und in bestimmten Fällen null sein kann.</w:t>
            </w:r>
          </w:p>
        </w:tc>
      </w:tr>
      <w:tr w:rsidTr="002F2BFA">
        <w:tblPrEx>
          <w:tblW w:w="5000" w:type="pct"/>
          <w:tblLook w:val="04A0"/>
        </w:tblPrEx>
        <w:tc>
          <w:tcPr>
            <w:tcW w:w="4927" w:type="dxa"/>
          </w:tcPr>
          <w:p w:rsidR="00E50311" w:rsidRPr="009F60C9" w:rsidP="009F4053">
            <w:pPr>
              <w:pStyle w:val="CSBody63EN"/>
            </w:pPr>
            <w:r w:rsidRPr="009F60C9">
              <w:t>In the case of Complex Products without a "first-to-default" structure, the credit risk to investors in such Complex Products may be increased as a result of, among other things, the concentration of the Reference Entities in a particular industry sector or geographic area or the exposure of the Reference Entities to similar financial or other risks, so that, if such risks manifest themselves, the likelihood increases that a Credit Event Determination Event with respect to more than one Reference Entity will occur during the term of the Complex Products and that such Complex Products will be redeemed as described above.</w:t>
            </w:r>
          </w:p>
        </w:tc>
        <w:tc>
          <w:tcPr>
            <w:tcW w:w="4928" w:type="dxa"/>
          </w:tcPr>
          <w:p w:rsidR="00E50311" w:rsidRPr="00E50311" w:rsidP="009F4053">
            <w:pPr>
              <w:pStyle w:val="CSBody63DE"/>
              <w:rPr>
                <w:lang w:val="de-DE"/>
              </w:rPr>
            </w:pPr>
            <w:r w:rsidRPr="00E50311">
              <w:rPr>
                <w:lang w:val="de-DE"/>
              </w:rPr>
              <w:t>Bei Komplexen Produkten ohne "First-to-Default"-Struktur kann sich das Kreditrisiko der Anleger in diese Komplexen Produkte unter anderem aufgrund der Konzentration der Referenzschuldner in einer bestimmten Branche oder einem bestimmten geographischen Gebiet oder aufgrund der Tatsache erhöhen, dass die Referenzschuldner ähnlichen finanziellen oder anderen Risiken ausgesetzt sind, so dass sich bei einer Verwirklichung dieser Risiken die Wahrscheinlichkeit erhöht, dass ein Kreditereignis-Feststellungstag in Bezug auf mehr als einen Referenzschuldner während der Laufzeit der Komplexen Produkte eintreten wird und dass diese Komplexen Produkte wie vorstehend beschrieben zurückgezahlt werden.</w:t>
            </w:r>
          </w:p>
        </w:tc>
      </w:tr>
      <w:tr w:rsidTr="002F2BFA">
        <w:tblPrEx>
          <w:tblW w:w="5000" w:type="pct"/>
          <w:tblLook w:val="04A0"/>
        </w:tblPrEx>
        <w:tc>
          <w:tcPr>
            <w:tcW w:w="4927" w:type="dxa"/>
          </w:tcPr>
          <w:p w:rsidR="00E50311" w:rsidRPr="004C7A57" w:rsidP="00E50311">
            <w:pPr>
              <w:pStyle w:val="CSBody63ENbold"/>
            </w:pPr>
            <w:r w:rsidRPr="004C7A57">
              <w:t>Additional risks relating to Credit-Linked Complex Products with auction settlement linked to a Basket of Reference Entities</w:t>
            </w:r>
          </w:p>
        </w:tc>
        <w:tc>
          <w:tcPr>
            <w:tcW w:w="4928" w:type="dxa"/>
          </w:tcPr>
          <w:p w:rsidR="00E50311" w:rsidRPr="00E50311" w:rsidP="00E50311">
            <w:pPr>
              <w:pStyle w:val="CSBody63DEbold"/>
              <w:rPr>
                <w:lang w:val="de-DE"/>
              </w:rPr>
            </w:pPr>
            <w:r w:rsidRPr="00E50311">
              <w:rPr>
                <w:lang w:val="de-DE"/>
              </w:rPr>
              <w:t>Zusätzliche Risiken in Bezug auf an einen Korb von Referenzschuldnern gekoppelte Kreditbezogene Komplexe Produkte mit Auktionsabwicklung</w:t>
            </w:r>
          </w:p>
        </w:tc>
      </w:tr>
      <w:tr w:rsidTr="002F2BFA">
        <w:tblPrEx>
          <w:tblW w:w="5000" w:type="pct"/>
          <w:tblLook w:val="04A0"/>
        </w:tblPrEx>
        <w:tc>
          <w:tcPr>
            <w:tcW w:w="4927" w:type="dxa"/>
          </w:tcPr>
          <w:p w:rsidR="00E50311" w:rsidRPr="004C7A57" w:rsidP="009F4053">
            <w:pPr>
              <w:pStyle w:val="CSBody63EN"/>
            </w:pPr>
            <w:r w:rsidRPr="004C7A57">
              <w:t>Potential investors in Credit-Linked Complex Products with auction settlement that are linked to a Basket of Reference Entities will be exposed to the credit risks of the Reference Entities contained in the Basket since the redemption amount and the interest payments depend on whether a Credit Event Determination Date occurs with respect to the Reference Entities contained in the Basket. The applicable Terms and Conditions will specify a weighting for each Reference Entity contained in the Basket, which will be expressed as a percentage of the principal amount of such Complex Products and may be different for each such Reference Entity. If there is any difference in the weightings of the Reference Entities, the occurrence of a Credit Event Determination Date with respect to each Reference Entity will affect the value of such Complex Products (and amounts payable thereunder) to varying degrees. The greater the weighting of a Reference Entity, the greater the potential negative effect the occurrence of a Credit Event Determination Date with respect to such Reference Entity will have on such Complex Products. If, on the other hand, the Reference Entities are equally weighted, the occurrence of a Credit Event Determination Date with respect to one Reference Entity will typically affect the value of such Complex Products (and amounts payable thereunder) to the same degree as the occurrence of a Credit Event Determination Date with respect to any other Reference Entity contained in the Basket.</w:t>
            </w:r>
          </w:p>
        </w:tc>
        <w:tc>
          <w:tcPr>
            <w:tcW w:w="4928" w:type="dxa"/>
          </w:tcPr>
          <w:p w:rsidR="00E50311" w:rsidRPr="00E50311" w:rsidP="009F4053">
            <w:pPr>
              <w:pStyle w:val="CSBody63DE"/>
              <w:rPr>
                <w:lang w:val="de-DE"/>
              </w:rPr>
            </w:pPr>
            <w:r w:rsidRPr="00E50311">
              <w:rPr>
                <w:lang w:val="de-DE"/>
              </w:rPr>
              <w:t>Potenzielle Anleger in Kreditbezogene Komplexe Produkte mit Auktionsabwicklung, die an einen Korb von Referenzschuldnern gekoppelt sind, sind den Kreditrisiken der in dem Korb enthaltenen Referenzschuldner ausgesetzt, da der Rückzahlungsbetrag und die Zinszahlungen davon abhängen, ob in Bezug auf die in dem Korb enthaltenen Referenzschuldner ein Kreditereignis-Feststellungstag eintritt. In den anwendbaren Emissionsbedingungen wird für jeden in dem Korb enthaltenen Referenzschuldner eine als Prozentsatz des Nennbetrags dieser Komplexen Produkte ausgedrückte Gewichtung angegeben, die für jeden dieser Referenzschuldner unterschiedlich sein kann. Bei unterschiedlichen Gewichtungen der Referenzschuldner wirkt sich der Eintritt eines Kreditereignis-Feststellungstags in Bezug auf die einzelnen Referenzschuldner in unterschiedlichem Masse auf den Wert dieses Komplexen Produkts (und im Rahmen dieses Komplexen Produkts zahlbarer Beträge) aus. Je höher die Gewichtung eines Referenzschuldners ist, umso stärker ist die mögliche nachteilige Wirkung, die der Eintritt eines Kreditereignis-Feststellungstags in Bezug auf den betreffenden Referenzschuldner auf diese Komplexen Produkte hat. Falls die Referenzschuldner hingegen die gleiche Gewichtung haben, wirkt sich der Eintritt eines Kreditereignis-Feststellungstags in Bezug auf einen Referenzschuldner in der Regel in gleichem Masse auf diese Komplexen Produkte (und die im Rahmen dieser Kom</w:t>
            </w:r>
            <w:r w:rsidR="009F4053">
              <w:rPr>
                <w:lang w:val="de-DE"/>
              </w:rPr>
              <w:t>p</w:t>
            </w:r>
            <w:r w:rsidRPr="00E50311">
              <w:rPr>
                <w:lang w:val="de-DE"/>
              </w:rPr>
              <w:t>lexen Produkte zahlbaren Beträge) aus wie der Eintritt eines Kreditereignis-Feststellungstags in Bezug auf jeden anderen in dem Korb enthaltenen Referenzschuldner.</w:t>
            </w:r>
          </w:p>
        </w:tc>
      </w:tr>
      <w:tr w:rsidTr="002F2BFA">
        <w:tblPrEx>
          <w:tblW w:w="5000" w:type="pct"/>
          <w:tblLook w:val="04A0"/>
        </w:tblPrEx>
        <w:tc>
          <w:tcPr>
            <w:tcW w:w="4927" w:type="dxa"/>
          </w:tcPr>
          <w:p w:rsidR="00E50311" w:rsidRPr="004C7A57" w:rsidP="009F4053">
            <w:pPr>
              <w:pStyle w:val="CSBody63EN"/>
            </w:pPr>
            <w:r w:rsidRPr="004C7A57">
              <w:t>In addition, in the case of Complex Products with auction settlement that are linked to a Basket of Reference Entities, the credit risk to investors in such Complex Products may be increased as a result of, among other things, the concentration of the Reference Entities in a particular industry sector or geographic area or the exposure of the Reference Entities to similar financial or other risks.</w:t>
            </w:r>
          </w:p>
        </w:tc>
        <w:tc>
          <w:tcPr>
            <w:tcW w:w="4928" w:type="dxa"/>
          </w:tcPr>
          <w:p w:rsidR="00E50311" w:rsidRPr="00E50311" w:rsidP="009F4053">
            <w:pPr>
              <w:pStyle w:val="CSBody63DE"/>
              <w:rPr>
                <w:lang w:val="de-DE"/>
              </w:rPr>
            </w:pPr>
            <w:r w:rsidRPr="00E50311">
              <w:rPr>
                <w:lang w:val="de-DE"/>
              </w:rPr>
              <w:t>Darüber hinaus kann sich das Kreditrisiko bei Anlegern in an einen Korb von Referenzschuldnern gekoppelte Komplexe Produkte mit Auktionsabwicklung unter anderem aufgrund der Konzentration der Referenzschuldner in einer bestimmten Branche oder einem bestimmten geographischen Gebiet oder aufgrund der Tatsache erhöhen, dass die Referenzschuldner ähnlichen finanziellen oder anderen Risiken ausgesetzt sind.</w:t>
            </w:r>
          </w:p>
        </w:tc>
      </w:tr>
      <w:tr w:rsidTr="002F2BFA">
        <w:tblPrEx>
          <w:tblW w:w="5000" w:type="pct"/>
          <w:tblLook w:val="04A0"/>
        </w:tblPrEx>
        <w:tc>
          <w:tcPr>
            <w:tcW w:w="4927" w:type="dxa"/>
          </w:tcPr>
          <w:p w:rsidR="0021277E" w:rsidRPr="0098179A" w:rsidP="009F4053">
            <w:pPr>
              <w:pStyle w:val="CSBody63ENbold"/>
            </w:pPr>
            <w:r w:rsidRPr="0098179A">
              <w:t>Additional risks in case of Complex Products linked to one Reference Entity that provide for payment of the Auction Redemption Amount and the Cash Redemption Amount, as the case may be, not before the Scheduled Maturity Date</w:t>
            </w:r>
          </w:p>
        </w:tc>
        <w:tc>
          <w:tcPr>
            <w:tcW w:w="4928" w:type="dxa"/>
          </w:tcPr>
          <w:p w:rsidR="0021277E" w:rsidRPr="0021277E" w:rsidP="0021277E">
            <w:pPr>
              <w:pStyle w:val="CSBody63DEbold"/>
              <w:rPr>
                <w:lang w:val="de-DE"/>
              </w:rPr>
            </w:pPr>
            <w:r w:rsidRPr="0021277E">
              <w:rPr>
                <w:lang w:val="de-DE"/>
              </w:rPr>
              <w:t>Zusätzliche Risiken bei Komplexen Produkten, die an einen Referenzschuldner gekoppelt sind, welche die Zahlung des Auktions-Rückzahlungsbetrags bzw. des Barrückzahlungsbetrags nicht vor dem Planmässigen Fälligkeitstag vorsehen</w:t>
            </w:r>
          </w:p>
        </w:tc>
      </w:tr>
      <w:tr w:rsidTr="002F2BFA">
        <w:tblPrEx>
          <w:tblW w:w="5000" w:type="pct"/>
          <w:tblLook w:val="04A0"/>
        </w:tblPrEx>
        <w:tc>
          <w:tcPr>
            <w:tcW w:w="4927" w:type="dxa"/>
          </w:tcPr>
          <w:p w:rsidR="0021277E" w:rsidRPr="0098179A" w:rsidP="0021277E">
            <w:pPr>
              <w:pStyle w:val="CSBody63EN"/>
            </w:pPr>
            <w:r w:rsidRPr="0098179A">
              <w:t>The applicable Terms and Conditions may provide that upon occurrence of a Credit Event Determination Date, the Auction Redemption Date (or, in the case of a Fallback Settlement Event, the Cash Redemption Date) of the Complex Products will not occur prior to the Scheduled Maturity Date irrespective of when such Credit Event Determination Date occurs. Consequently, investors will only receive the Auction Redemption Amount or the Cash Redemption Amount, as applicable, on the Scheduled Maturity Date or such later date as determined pursuant to the definition of Auction Redemption Date or Cash Redemption Date, as applicable. Investors should note that they will not receive any interest payments on the Complex Products after the occurrence of a Credit Event Determination Date and they will receive no other payment in respect of the Complex Product other than the Auction Redemption Amount on the Auction Redemption Date or the Cash Redemption Amount on the Cash Redemption Date, as applicable.</w:t>
            </w:r>
          </w:p>
        </w:tc>
        <w:tc>
          <w:tcPr>
            <w:tcW w:w="4928" w:type="dxa"/>
          </w:tcPr>
          <w:p w:rsidR="0021277E" w:rsidRPr="0021277E" w:rsidP="009F4053">
            <w:pPr>
              <w:pStyle w:val="CSBody63DE"/>
              <w:rPr>
                <w:lang w:val="de-DE"/>
              </w:rPr>
            </w:pPr>
            <w:r w:rsidRPr="0021277E">
              <w:rPr>
                <w:lang w:val="de-DE"/>
              </w:rPr>
              <w:t>Die anwendbaren Emissionsbedingungen können vorsehen, dass bei Eintritt eines Kreditereignis-Feststellungstags der Auktions-Rückzahlungstag (oder, im Fall eines Ereignisses der Alternativen Abwicklung, der Barrückzahlungstag) der Komplexen Produkte nicht vor dem Planmässigen Fälligkeitstag eintritt, unabhängig davon, wann der Kreditereignis-Feststellungstag eintritt. Folglich erhalten Anleger nur den Auktions-Rückzahlungsbetrag bzw. den Barrückzahlungsbetrag am Planmässigen Fälligkeitstag oder dem späteren Tag, der sich aus der Definition von Auktions-Rückzahlungstag bzw. Barrückzahlungstag ergibt. Anleger sollten zur Kenntnis nehmen, dass sie nach Eintritt eines Kreditereignis-Feststellungstags keine Zinszahlungen auf die Komplexen Produkte erhalten und dass sie ausser dem Auktions-Rückzahlungsbetrag am Auktions-Rückzahlungstag bzw. dem Barrückzahlungsbetrag am Barrückzahlungstag keine andere Zahlung bezüglich der Komplexen Produkte erhalten.</w:t>
            </w:r>
          </w:p>
        </w:tc>
      </w:tr>
      <w:tr w:rsidTr="002F2BFA">
        <w:tblPrEx>
          <w:tblW w:w="5000" w:type="pct"/>
          <w:tblLook w:val="04A0"/>
        </w:tblPrEx>
        <w:tc>
          <w:tcPr>
            <w:tcW w:w="4927" w:type="dxa"/>
          </w:tcPr>
          <w:p w:rsidR="0021277E" w:rsidRPr="000560A8" w:rsidP="0021277E">
            <w:pPr>
              <w:pStyle w:val="CSBody63ENbold"/>
            </w:pPr>
            <w:r w:rsidRPr="000560A8">
              <w:t>Risks relating to the calculation of the Auction Redemption Amount, the Auction Final Price and the Issuer's ability to influence the Auction Final Price</w:t>
            </w:r>
          </w:p>
        </w:tc>
        <w:tc>
          <w:tcPr>
            <w:tcW w:w="4928" w:type="dxa"/>
          </w:tcPr>
          <w:p w:rsidR="0021277E" w:rsidRPr="0021277E" w:rsidP="0021277E">
            <w:pPr>
              <w:pStyle w:val="CSBody63DEbold"/>
              <w:rPr>
                <w:lang w:val="de-DE"/>
              </w:rPr>
            </w:pPr>
            <w:r w:rsidRPr="0021277E">
              <w:rPr>
                <w:lang w:val="de-DE"/>
              </w:rPr>
              <w:t>Risiken in Bezug auf die Berechnung des Auktions-Rückzahlungsbetrags, des Auktions-Endpreises und die Möglichkeit einer Beeinflussung des Auktions-Endpreises durch die Emittentin</w:t>
            </w:r>
          </w:p>
        </w:tc>
      </w:tr>
      <w:tr w:rsidTr="002F2BFA">
        <w:tblPrEx>
          <w:tblW w:w="5000" w:type="pct"/>
          <w:tblLook w:val="04A0"/>
        </w:tblPrEx>
        <w:tc>
          <w:tcPr>
            <w:tcW w:w="4927" w:type="dxa"/>
          </w:tcPr>
          <w:p w:rsidR="0021277E" w:rsidRPr="000560A8" w:rsidP="009F4053">
            <w:pPr>
              <w:pStyle w:val="CSBody63EN"/>
            </w:pPr>
            <w:r w:rsidRPr="000560A8">
              <w:t>The Auction Redemption Amount payable by the Issuer to the holders of Credit-Linked Complex Products with auction settlement on the Auction Redemption Date following the occurrence of a Credit Event Determination Date with respect to (i) in the case of Complex Products that are linked to a single Reference Entity, such Reference Entity, (ii) in the case of Complex Products with an Nth-to-Default structure, the Nth-to-Default Reference Entity, or (iii) in the case of Complex Products that are linked to a Basket of Reference Entities, any Reference Entity, will be determined by the Calculation Agent in accordance with the applicable Terms and Conditions on the basis of the Auction Final Price of (i) in the case of Complex Products that are linked to a single Reference Entity, such Reference Entity, (ii) in the case of Complex Products with an Nth-to-Default structure, the Nth-to-Default Reference Entity, or (iii) in the case of Complex Products that are linked to a Basket of Reference Entities, the Affected Reference Entity.</w:t>
            </w:r>
          </w:p>
        </w:tc>
        <w:tc>
          <w:tcPr>
            <w:tcW w:w="4928" w:type="dxa"/>
          </w:tcPr>
          <w:p w:rsidR="0021277E" w:rsidRPr="0021277E" w:rsidP="009F4053">
            <w:pPr>
              <w:pStyle w:val="CSBody63DE"/>
              <w:rPr>
                <w:lang w:val="de-DE"/>
              </w:rPr>
            </w:pPr>
            <w:r w:rsidRPr="0021277E">
              <w:rPr>
                <w:lang w:val="de-DE"/>
              </w:rPr>
              <w:t>Der Auktions-Rückzahlungsbetrag, der von der Emittentin nach Eintritt eines Kreditereignis-Feststellungstags (i) bei Kreditbezogenen Komplexen Produkten mit Auktionsabwicklung, die an einen einzelnen Referenzschuldner gekoppelt sind, in Bezug auf diesen Referenzschuldner oder (ii) bei Komplexen Produkten mit Nth-to-Default-Struktur, in Bezug auf den Nth-to-Default-Referenzschuldner, oder (iii) bei Komplexen Produkten, die an einen Korb von Referenzschuldnern gekoppelt sind, in Bezug auf einen Referenzschuldner, an dem Auktions-Rückzahlungstag an die Inhaber dieser Komplexen Produkte zu zahlen ist, wird von der Berechnungsstelle gemäss den anwendbaren Emissionsbedingungen auf der Grundlage des Auktions-Endpreises (i) bei Komplexen Produkten, die an einen einzelnen Referenzschuldner gekoppelt sind, dieses Referenzschuldners oder, (ii) bei Komplexen Produkten mit Nth-to-Default-Struktur, in Bezug auf den Nth-to-Default-Referenzschuldner, oder, (iii) bei Komplexen Produkten, die an einen Korb von Referenzschuldnern gekoppelt sind, in Bezug auf den Betroffenen Referenzschuldner berechnet.</w:t>
            </w:r>
          </w:p>
        </w:tc>
      </w:tr>
      <w:tr w:rsidTr="002F2BFA">
        <w:tblPrEx>
          <w:tblW w:w="5000" w:type="pct"/>
          <w:tblLook w:val="04A0"/>
        </w:tblPrEx>
        <w:tc>
          <w:tcPr>
            <w:tcW w:w="4927" w:type="dxa"/>
          </w:tcPr>
          <w:p w:rsidR="0021277E" w:rsidRPr="000560A8" w:rsidP="007315E3">
            <w:pPr>
              <w:pStyle w:val="CSBody63EN"/>
            </w:pPr>
            <w:r w:rsidRPr="000560A8">
              <w:t>The Auction Final Price of (i) in the case of Complex Products that are linked to a single Reference Entity, such Reference Entity, (ii) in the case of Complex Products with an Nth-to-Default structure, the Nth-to-Default Reference Entity, or (iii) in the case of such Complex Products that are linked to a Basket of Reference Entities, the Affected Reference Entity, will be determined by the relevant Credit Derivatives Determinations Committee in accordance with an auction conducted by ISDA. The relevant Credit Derivatives Determinations Committee makes decisions on critical issues such as whether a Credit Event has occurred, which obligations are to be valued and whether an auction should take place. The Issuer and certain affiliates of the Issuer are members of ISDA and similar industry associations. In such capacity, the Issuer and such affiliates may be involved in the pricing and valuation process.</w:t>
            </w:r>
          </w:p>
        </w:tc>
        <w:tc>
          <w:tcPr>
            <w:tcW w:w="4928" w:type="dxa"/>
          </w:tcPr>
          <w:p w:rsidR="0021277E" w:rsidRPr="0021277E" w:rsidP="007315E3">
            <w:pPr>
              <w:pStyle w:val="CSBody63DE"/>
              <w:rPr>
                <w:lang w:val="de-DE"/>
              </w:rPr>
            </w:pPr>
            <w:r w:rsidRPr="0021277E">
              <w:rPr>
                <w:lang w:val="de-DE"/>
              </w:rPr>
              <w:t xml:space="preserve">Der Auktions-Endpreis (i) bei Komplexen Produkten, die an einen einzelnen Referenzschuldner gekoppelt sind, dieses Referenzschuldners oder, (ii) bei Komplexen Produkten mit Nth-to-Default-Struktur, des Nth-to-Default-Referenzschuldners oder, (iii) bei Komplexen Produkten, die an einen Korb von Referenzschuldnern gekoppelt sind, des Betroffenen Referenzschuldners, wird von dem zuständigen Kreditderivate-Feststellungsausschuss nach Massgabe einer von ISDA durchgeführten Auktion berechnet. Der zuständige Kreditderivate-Feststellungsausschuss trifft Entscheidungen zu wichtigen Fragen, wie </w:t>
            </w:r>
            <w:r w:rsidR="007E3558">
              <w:rPr>
                <w:lang w:val="de-DE"/>
              </w:rPr>
              <w:t>z.B.</w:t>
            </w:r>
            <w:r w:rsidRPr="0021277E">
              <w:rPr>
                <w:lang w:val="de-DE"/>
              </w:rPr>
              <w:t xml:space="preserve"> zu den Fragen, ob ein Kreditereignis eingetreten ist, welche Verbindlichkeiten zu bewerten sind und ob eine Auktion durchzuführen ist. Die Emittentin und bestimmte mit der Emittentin verbundene Unternehmen sind Mitglied der ISDA und ähnlicher Branchenverbände. In dieser Eigenschaft können die Emittentin und die betreffenden verbundenen Unternehmen am Preisfeststellungs- und Bewertungsprozess beteiligt sein.</w:t>
            </w:r>
          </w:p>
        </w:tc>
      </w:tr>
      <w:tr w:rsidTr="002F2BFA">
        <w:tblPrEx>
          <w:tblW w:w="5000" w:type="pct"/>
          <w:tblLook w:val="04A0"/>
        </w:tblPrEx>
        <w:tc>
          <w:tcPr>
            <w:tcW w:w="4927" w:type="dxa"/>
          </w:tcPr>
          <w:p w:rsidR="0021277E" w:rsidRPr="000560A8" w:rsidP="007315E3">
            <w:pPr>
              <w:pStyle w:val="CSBody63EN"/>
            </w:pPr>
            <w:r w:rsidRPr="000560A8">
              <w:t>There is a probability that the Issuer or the Calculation Agent (or one of their respective affiliates) would participate as bidders in an auction used to determine the Auction Final Price of, (i) in the case of Complex Products that are linked to a single Reference Entity, such Reference Entity, (ii) in the case of Complex Products with an Nth-to-Default structure, the Nth-to-Default Reference Entity, or (iii) in the case of such Complex Products that are linked to a Basket of Reference Entities, the Affected Reference Entity, and, therefore, their actions at such an auction may influence the Auction Final Price. In deciding whether to participate as bidders in such an auction or in taking any action with respect to such an auction, none of the Issuer, the Calculation Agent or any of their affiliates will be under an obligation to consider the interests of the potential investors.</w:t>
            </w:r>
          </w:p>
        </w:tc>
        <w:tc>
          <w:tcPr>
            <w:tcW w:w="4928" w:type="dxa"/>
          </w:tcPr>
          <w:p w:rsidR="0021277E" w:rsidRPr="0021277E" w:rsidP="007315E3">
            <w:pPr>
              <w:pStyle w:val="CSBody63DE"/>
              <w:rPr>
                <w:lang w:val="de-DE"/>
              </w:rPr>
            </w:pPr>
            <w:r w:rsidRPr="0021277E">
              <w:rPr>
                <w:lang w:val="de-DE"/>
              </w:rPr>
              <w:t>Es besteht die Wahrscheinlichkeit, dass die Emittentin oder die Berechnungsstelle (oder ein mit der Emittentin oder der Berechnungsstelle verbundenes Unternehmen) als Bieter an einer zur Feststellung des Auktions-Endpreises (i) bei Komplexen Produkten, die an einen einzelnen Referenzschuldner gekoppelt sind, dieses Referenzschuldners oder, (ii) bei Komplexen Produkten mit Nth-to-Default-Struktur, des Nth-to-Default-Referenzschuldners oder, (iii) bei Komplexen Produkten, die an einen Korb von Referenzschuldnern gekoppelt sind, des Betroffenen Referenzschuldners durchgeführten Auktion teilnimmt, und die von ihnen auf dieser Auktion vorgenommenen Handlungen somit den Auktions-Endpreis beeinflussen können. Bei der Entscheidung, ob sie als Bieter an einer solchen Auktion teilnehmen oder Massnahmen in Bezug auf eine solche Auktion ergreifen, sind weder die Emittentin noch die Berechnungsstelle oder ein mit der Emittentin oder der Berechnungsstelle verbundenes Unternehmen verpflichtet, die Interessen der potenziellen Anleger zu berücksichtigen.</w:t>
            </w:r>
          </w:p>
        </w:tc>
      </w:tr>
      <w:tr w:rsidTr="002F2BFA">
        <w:tblPrEx>
          <w:tblW w:w="5000" w:type="pct"/>
          <w:tblLook w:val="04A0"/>
        </w:tblPrEx>
        <w:tc>
          <w:tcPr>
            <w:tcW w:w="4927" w:type="dxa"/>
          </w:tcPr>
          <w:p w:rsidR="0021277E" w:rsidRPr="00DC1C4D" w:rsidP="0021277E">
            <w:pPr>
              <w:pStyle w:val="CSBody63ENbold"/>
            </w:pPr>
            <w:r w:rsidRPr="00DC1C4D">
              <w:t>Risks relating to the calculation of the Cash Redemption Amount</w:t>
            </w:r>
          </w:p>
        </w:tc>
        <w:tc>
          <w:tcPr>
            <w:tcW w:w="4928" w:type="dxa"/>
          </w:tcPr>
          <w:p w:rsidR="0021277E" w:rsidRPr="0021277E" w:rsidP="0021277E">
            <w:pPr>
              <w:pStyle w:val="CSBody63DEbold"/>
              <w:rPr>
                <w:lang w:val="de-DE"/>
              </w:rPr>
            </w:pPr>
            <w:r w:rsidRPr="0021277E">
              <w:rPr>
                <w:lang w:val="de-DE"/>
              </w:rPr>
              <w:t>Risiken in Bezug auf die Berechnung des Barrückzahlungsbetrags</w:t>
            </w:r>
          </w:p>
        </w:tc>
      </w:tr>
      <w:tr w:rsidTr="002F2BFA">
        <w:tblPrEx>
          <w:tblW w:w="5000" w:type="pct"/>
          <w:tblLook w:val="04A0"/>
        </w:tblPrEx>
        <w:tc>
          <w:tcPr>
            <w:tcW w:w="4927" w:type="dxa"/>
          </w:tcPr>
          <w:p w:rsidR="0021277E" w:rsidRPr="00DC1C4D" w:rsidP="007315E3">
            <w:pPr>
              <w:pStyle w:val="CSBody63EN"/>
            </w:pPr>
            <w:r w:rsidRPr="00DC1C4D">
              <w:t>Upon the occurrence of a Fallback Settlement Event, the Cash Redemption Amount rather than the Auction Redemption Amount will be payable by the Issuer to the holder of each Complex Product on the Cash Redemption Date, which means that the amount payable as a result of the occurrence of a Credit Event Determination Date with respect to which (i) in the case of Complex Products that are linked to a single Reference Entity, such Reference Entity, (ii) in the case of Complex Products with an Nth-to-Default structure, the Nth-to-Default Reference Entity, or (iii) in the case of Complex Products that are linked to a Basket of Reference Entities, any Reference Entity, will not be based on a determination by a Credit Derivatives Determinations Committee, but instead on one or more quotations for the Reference Obligation or for a Valuation Obligation selected by the Calculation Agent of (i) in the case of Complex Products that are linked to a single Reference Entity, such Reference Entity, (ii) in the case of Complex Products with an Nth-to-Default structure, the Nth-to-Default Reference Entity, or (iii) in the case of Complex Products that are linked to a Basket of Reference Entities, the Affected Reference Entity, obtained by the Calculation Agent from banks or securities trading firms. There is a risk that these quotations will be below the actual market value of such Reference Obligation or Valuation Obligaton, as the case may be. Moreover, the quotations may be lower than the Auction Final Price that would have been determined in a potential auction for obligations ranking pari passu with such Reference Obligation. Any quotations used in the calculation of the Cash Redemption Amount may be affected by factors other than the occurrence of the relevant Credit Event. Such quotations may vary widely from bank to bank and securities trading firm to securities trading firm. The obligations selected may be illiquid and such illiquidity may be expected to be more pronounced following the occurrence of a Credit Event, thereby adversely affecting any determination of the value of such obligation which in turn will impact on the Cash Redemption Amount payable to a potential investor.</w:t>
            </w:r>
          </w:p>
        </w:tc>
        <w:tc>
          <w:tcPr>
            <w:tcW w:w="4928" w:type="dxa"/>
          </w:tcPr>
          <w:p w:rsidR="0021277E" w:rsidRPr="0021277E" w:rsidP="007315E3">
            <w:pPr>
              <w:pStyle w:val="CSBody63DE"/>
              <w:rPr>
                <w:lang w:val="de-DE"/>
              </w:rPr>
            </w:pPr>
            <w:r w:rsidRPr="0021277E">
              <w:rPr>
                <w:lang w:val="de-DE"/>
              </w:rPr>
              <w:t xml:space="preserve">Nach Eintritt eines Ereignisses der Alternativen Abwicklung hat die Emittentin nicht den Auktions-Rückzahlungsbetrag, sondern den Barrückzahlungsbetrag am Barrückzahlungstag an den Inhaber jedes Komplexen Produkts zu zahlen, </w:t>
            </w:r>
            <w:r w:rsidR="007E3558">
              <w:rPr>
                <w:lang w:val="de-DE"/>
              </w:rPr>
              <w:t>d.h.</w:t>
            </w:r>
            <w:r w:rsidRPr="0021277E">
              <w:rPr>
                <w:lang w:val="de-DE"/>
              </w:rPr>
              <w:t xml:space="preserve"> der aufgrund des Eintritts eines Kreditereignis-Feststellungstags (i) bei Komplexen Produkten, die an einen einzelnen Referenzschuldner gekoppelt sind, in Bezug auf diesen Referenzschuldner oder, (ii) bei Komplexen Produkten mit Nth-to-Default-Struktur, in Bezug auf den Nth-to-Default-Referenzschuldner oder, (iii) bei Komplexen Produkten, die an einen Korb von Referenzschuldnern gekoppelt sind, in Bezug auf einen Referenzschuldner zahlbare Betrag basiert nicht auf einer Feststellung durch einen Kreditderivate-Feststellungsausschuss, sondern vielmehr auf einer oder mehreren Quotierungen für die Referenzverbindlichkeit oder für eine von der Berechnungstelle ausgewählte Bewertungsverbindlichkeit (i) bei Komplexen Produkten, die an einen einzelnen Referenzschuldner gekoppelt sind, dieses Referenzschuldners oder, (ii) bei Komplexen Produkten mit Nth-to-Default-Struktur, des Nth-to-Default-Referenzschuldners oder, (iii) bei Komplexen Produkten, die an einen Korb von Referenzschuldnern gekoppelt sind, des Betroffenen Referenzschuldners, die die Berechnungsstelle von Banken oder Wertpapierhandelsunternehmen eingeholt hat. Es besteht das Risiko, dass diese Quotierungen unter dem tatsächlichen Marktwert dieser Referenzverbindlichkeit bzw. Bewertungsverbindlichkeiten liegen. Darüber hinaus können die Quotierungen unter dem Auktions-Endpreis liegen, der im Rahmen einer möglichen Auktion für mit dieser Referenzverbindlichkeit gleichrangige Verbindlichkeiten festgestellt worden wäre. Bei der Berechnung des Barrückzahlungsbetrags verwendete Quotierungen können durch andere Faktoren als den Eintritt des betreffenden Kreditereignisses beeinflusst werden. Diese Quotierungen können von Bank zu Bank und von Wertpapierhandelsunternehmen zu Wertpapierhandelsunternehmen stark variieren. Die ausgewählten Verbindlichkeiten können illiquide sein, wobei diese Illiquidität nach Eintritt eines Kreditereignisses voraussichtlich noch ausgeprägter sein kann, wodurch eine Feststellung des Werts dieser Verbindlichkeit nachteilig beeinflusst wird, was sich wiederum auf den an einen potenziellen Anleger zahlbaren Barrückzahlungsbetrag auswirkt.</w:t>
            </w:r>
          </w:p>
        </w:tc>
      </w:tr>
      <w:tr w:rsidTr="002F2BFA">
        <w:tblPrEx>
          <w:tblW w:w="5000" w:type="pct"/>
          <w:tblLook w:val="04A0"/>
        </w:tblPrEx>
        <w:tc>
          <w:tcPr>
            <w:tcW w:w="4927" w:type="dxa"/>
          </w:tcPr>
          <w:p w:rsidR="0021277E" w:rsidRPr="0038231B" w:rsidP="0021277E">
            <w:pPr>
              <w:pStyle w:val="CSBody63ENbold"/>
            </w:pPr>
            <w:r w:rsidRPr="0038231B">
              <w:t>Risks relating to determinations by Credit Derivatives Determinations Committees</w:t>
            </w:r>
          </w:p>
        </w:tc>
        <w:tc>
          <w:tcPr>
            <w:tcW w:w="4928" w:type="dxa"/>
          </w:tcPr>
          <w:p w:rsidR="0021277E" w:rsidRPr="0021277E" w:rsidP="007315E3">
            <w:pPr>
              <w:pStyle w:val="CSBody63DEbold"/>
              <w:rPr>
                <w:lang w:val="de-DE"/>
              </w:rPr>
            </w:pPr>
            <w:r w:rsidRPr="0021277E">
              <w:rPr>
                <w:lang w:val="de-DE"/>
              </w:rPr>
              <w:t>Risiken in Bezug auf Feststellungen von Kreditderivate-Feststellungsausschüssen</w:t>
            </w:r>
          </w:p>
        </w:tc>
      </w:tr>
      <w:tr w:rsidTr="002F2BFA">
        <w:tblPrEx>
          <w:tblW w:w="5000" w:type="pct"/>
          <w:tblLook w:val="04A0"/>
        </w:tblPrEx>
        <w:tc>
          <w:tcPr>
            <w:tcW w:w="4927" w:type="dxa"/>
          </w:tcPr>
          <w:p w:rsidR="0021277E" w:rsidRPr="0038231B" w:rsidP="007315E3">
            <w:pPr>
              <w:pStyle w:val="CSBody63EN"/>
            </w:pPr>
            <w:r w:rsidRPr="0038231B">
              <w:t>Potential investors in Credit-Linked Complex Products with auction settlement should note that Credit Derivatives Determinations Committees make decisions on critical issues such as whether a Credit Event has occurred, which obligations are to be valued and whether an auction should take place. In accordance with the applicable Terms and Conditions, holders of such Complex Products will be bound by any such decisions and will have no recourse against the Issuer, the Calculation Agent or any institutions serving on Credit Derivatives Determinations Committees in the event of any loss under such Complex Products arising directly or indirectly from any action, determination or resolution taken or made by any Credit De</w:t>
            </w:r>
            <w:r w:rsidR="007315E3">
              <w:t>r</w:t>
            </w:r>
            <w:r w:rsidRPr="0038231B">
              <w:t>ivatives Determinations Committee.</w:t>
            </w:r>
          </w:p>
        </w:tc>
        <w:tc>
          <w:tcPr>
            <w:tcW w:w="4928" w:type="dxa"/>
          </w:tcPr>
          <w:p w:rsidR="0021277E" w:rsidRPr="0021277E" w:rsidP="007315E3">
            <w:pPr>
              <w:pStyle w:val="CSBody63DE"/>
              <w:rPr>
                <w:lang w:val="de-DE"/>
              </w:rPr>
            </w:pPr>
            <w:r w:rsidRPr="0021277E">
              <w:rPr>
                <w:lang w:val="de-DE"/>
              </w:rPr>
              <w:t xml:space="preserve">Potenzielle Anleger in Kreditbezogene Komplexe Produkte mit Auktionsabwicklung sollten zur Kenntnis nehmen, dass die zuständigen Kreditderivate-Feststellungsausschüsse Entscheidungen zu wichtigen Fragen treffen, wie </w:t>
            </w:r>
            <w:r w:rsidR="007E3558">
              <w:rPr>
                <w:lang w:val="de-DE"/>
              </w:rPr>
              <w:t>z.B.</w:t>
            </w:r>
            <w:r w:rsidRPr="0021277E">
              <w:rPr>
                <w:lang w:val="de-DE"/>
              </w:rPr>
              <w:t xml:space="preserve"> zu den Fragen, ob ein Kreditereignis eingetreten ist, welche Verbindlichkeiten zu bewerten sind und ob eine Auktion durchzuführen ist. Gemäss den anwendbaren Emissionsbedingungen sind die Inhaber dieser Komplexen Produkte an sämtliche dieser Entscheidungen gebunden und bei Verlusten aus diesen Komplexen Produkten, die sich unmittelbar oder mittelbar aufgrund einer Massnahme oder Feststellung oder eines Beschlusses eines Kreditderivate-Feststellungsausschusses ergeben, steht ihnen kein Rückgriffsrecht gegen die Emittentin, die Berechnungsstelle oder gegen Institute zu, die in dem Kreditderivate-Feststellungsausschuss mitwirken.</w:t>
            </w:r>
          </w:p>
        </w:tc>
      </w:tr>
      <w:tr w:rsidTr="002F2BFA">
        <w:tblPrEx>
          <w:tblW w:w="5000" w:type="pct"/>
          <w:tblLook w:val="04A0"/>
        </w:tblPrEx>
        <w:tc>
          <w:tcPr>
            <w:tcW w:w="4927" w:type="dxa"/>
          </w:tcPr>
          <w:p w:rsidR="001D0BFD" w:rsidRPr="004A037A" w:rsidP="001D0BFD">
            <w:pPr>
              <w:pStyle w:val="CSBody63ENbold"/>
            </w:pPr>
            <w:r w:rsidRPr="004A037A">
              <w:t>Potential investors will have no role in the composition of Credit Derivatives Determinations Committees and the Issuer or the Calculation Agent (or one of their affiliates) may act as voting members on such committees</w:t>
            </w:r>
          </w:p>
        </w:tc>
        <w:tc>
          <w:tcPr>
            <w:tcW w:w="4928" w:type="dxa"/>
          </w:tcPr>
          <w:p w:rsidR="001D0BFD" w:rsidRPr="001D0BFD" w:rsidP="007315E3">
            <w:pPr>
              <w:pStyle w:val="CSBody63DEbold"/>
              <w:rPr>
                <w:lang w:val="de-DE"/>
              </w:rPr>
            </w:pPr>
            <w:r w:rsidRPr="001D0BFD">
              <w:rPr>
                <w:lang w:val="de-DE"/>
              </w:rPr>
              <w:t>Potenzielle Anleger haben keinen Einfluss auf die Zusammensetzung von Kreditderivate-Feststellungsausschüssen und die Emittentin oder die Berechnungsstelle (oder ein mit der Emittentin oder der Berechnungsstelle verbundenes Unternehmen) kann als stimmberechtigtes Mitglied solcher Ausschüsse fungieren</w:t>
            </w:r>
          </w:p>
        </w:tc>
      </w:tr>
      <w:tr w:rsidTr="002F2BFA">
        <w:tblPrEx>
          <w:tblW w:w="5000" w:type="pct"/>
          <w:tblLook w:val="04A0"/>
        </w:tblPrEx>
        <w:tc>
          <w:tcPr>
            <w:tcW w:w="4927" w:type="dxa"/>
          </w:tcPr>
          <w:p w:rsidR="001D0BFD" w:rsidRPr="004A037A" w:rsidP="007315E3">
            <w:pPr>
              <w:pStyle w:val="CSBody63EN"/>
            </w:pPr>
            <w:r w:rsidRPr="004A037A">
              <w:t>Separate criteria apply with respect to the selection of dealer and non-dealer institutions to serve on Credit Derivatives Determinations Committees and holders of Credit-Linked Complex Products with auction settlement will have no role in establishing such criteria. In addition, the composition of Credit Derivatives Determinations Committees will change from time to time, as the term of a member institution may expire or a member institution may be required to be replaced. Holders of such Complex Products will have no control over the process for selecting institutions to participate on Credit Derivatives Determinations Committees and, to the extent provided for in the applicable Terms and Conditions, will be bound by the determinations made by such selected institutions.</w:t>
            </w:r>
          </w:p>
        </w:tc>
        <w:tc>
          <w:tcPr>
            <w:tcW w:w="4928" w:type="dxa"/>
          </w:tcPr>
          <w:p w:rsidR="001D0BFD" w:rsidRPr="001D0BFD" w:rsidP="007315E3">
            <w:pPr>
              <w:pStyle w:val="CSBody63DE"/>
              <w:rPr>
                <w:lang w:val="de-DE"/>
              </w:rPr>
            </w:pPr>
            <w:r w:rsidRPr="001D0BFD">
              <w:rPr>
                <w:lang w:val="de-DE"/>
              </w:rPr>
              <w:t>Hinsichtlich der Auswahl von Händlern und Nicht-Händler-Instituten für die Mitwirkung in Kreditderivate-Feststellungsausschüssen gelten jeweils gesonderte Kri</w:t>
            </w:r>
            <w:r w:rsidR="007315E3">
              <w:rPr>
                <w:lang w:val="de-DE"/>
              </w:rPr>
              <w:t>t</w:t>
            </w:r>
            <w:r w:rsidRPr="001D0BFD">
              <w:rPr>
                <w:lang w:val="de-DE"/>
              </w:rPr>
              <w:t>erien, und Inhaber von Kreditbezogenen Komplexen Produkten mit Auktionsabwicklung haben keinen Einfluss auf die Aufstellung dieser Kriterien. Ferner ändert sich die Zusammensetzung von Kreditderivate-Feststellungsausschüssen im Laufe der Zeit, da die Amtszeit eines als Mitglied fungierenden Instituts ablaufen kann oder ein solches Institut unter Umständen ersetzt werden muss. Inhaber dieser Komplexen Produkte können das Verfahren zur Auswahl der bei Kreditderivate-Feststellungsausschüssen mitwirkenden Institute nicht steuern und sind durch die von diesen ausgewählten Instituten getroffenen Feststellungen gebunden, soweit die anwendbaren Emissionsbedingungen dies vorsehen.</w:t>
            </w:r>
          </w:p>
        </w:tc>
      </w:tr>
      <w:tr w:rsidTr="002F2BFA">
        <w:tblPrEx>
          <w:tblW w:w="5000" w:type="pct"/>
          <w:tblLook w:val="04A0"/>
        </w:tblPrEx>
        <w:tc>
          <w:tcPr>
            <w:tcW w:w="4927" w:type="dxa"/>
          </w:tcPr>
          <w:p w:rsidR="001D0BFD" w:rsidRPr="004A037A" w:rsidP="007315E3">
            <w:pPr>
              <w:pStyle w:val="CSBody63EN"/>
            </w:pPr>
            <w:r w:rsidRPr="004A037A">
              <w:t>The Issuer or the Calculation Agent (or one of their affiliates) may act as voting members on a Credit Derivatives Determinations Committee. As a consequence, they may take certain actions that may influence the process and outcome of decisions of such Credit Derivatives Determinations Committee. Such actions may be adverse to the interests of holders of Credit-Linked Complex Products with auction settlement and may result in an economic benefit accruing to the Issuer or the Calculation Agent or their respective affiliates, as the case may be. In taking action relating to Credit Derivatives Determinations Committees or performing any duty in connection with an auction process, the Issuer or Calculation Agent or one of their affiliates, as the case may be, shall have no obligation to consider the interests of the holders of such Complex Products and may ignore any conflict of interest arising due to their responsibilities under such Complex Products.</w:t>
            </w:r>
          </w:p>
        </w:tc>
        <w:tc>
          <w:tcPr>
            <w:tcW w:w="4928" w:type="dxa"/>
          </w:tcPr>
          <w:p w:rsidR="001D0BFD" w:rsidRPr="001D0BFD" w:rsidP="007315E3">
            <w:pPr>
              <w:pStyle w:val="CSBody63DE"/>
              <w:rPr>
                <w:lang w:val="de-DE"/>
              </w:rPr>
            </w:pPr>
            <w:r w:rsidRPr="001D0BFD">
              <w:rPr>
                <w:lang w:val="de-DE"/>
              </w:rPr>
              <w:t>Die Emittentin oder die Berechnungsstelle (oder ein ver</w:t>
            </w:r>
            <w:r w:rsidR="00204557">
              <w:rPr>
                <w:lang w:val="de-DE"/>
              </w:rPr>
              <w:t>b</w:t>
            </w:r>
            <w:r w:rsidRPr="001D0BFD">
              <w:rPr>
                <w:lang w:val="de-DE"/>
              </w:rPr>
              <w:t>undenes Unternehmen der Emittentin oder der Berechnungsstelle) kann als stimmberechtigtes Mitglied eines Kreditderivate-Feststellungsausschusses fungieren. Folglich können sie bestimmte Massnahmen ergreifen, die den Entscheidungsprozess und das Ergebnis von Ent</w:t>
            </w:r>
            <w:r w:rsidR="00204557">
              <w:rPr>
                <w:lang w:val="de-DE"/>
              </w:rPr>
              <w:t>s</w:t>
            </w:r>
            <w:r w:rsidRPr="001D0BFD">
              <w:rPr>
                <w:lang w:val="de-DE"/>
              </w:rPr>
              <w:t>cheidungen eines solchen Kreditderivate-Feststellungsausschusses beeinflussen können. Diese Massnahmen können sich nachteilig auf die Inhaber von Kreditbezogenen Komplexen Produkten mit Auktionsabwicklung auswirken und dazu führen, dass der Emittentin oder der Berechnungsstelle bzw. einem ihrer verbundenen Unternehmen ein wirtschaftlicher Vorteil entsteht. Bei der Ergreifung von Massnahmen in Bezug auf Kreditderivate-Feststellungsausschüsse oder der Erfüllung von Pflichten im Zusammenhang mit dem Auktionsverfahren ist die Emittentin oder die Berechnungsstelle bzw. ein mit der Emittentin oder der Berechnungsstelle verbundenes Unternehmen nicht verpflichtet, die Interessen der Inhaber dieser Komplexen Produkte zu berücksichtigen und kann alle Interessenkonflikte ausser Acht lassen, die sich aufgrund ihrer bzw. seiner Verpflichtungen im Rahmen der Komplexen Produkte ergeben.</w:t>
            </w:r>
          </w:p>
        </w:tc>
      </w:tr>
      <w:tr w:rsidTr="002F2BFA">
        <w:tblPrEx>
          <w:tblW w:w="5000" w:type="pct"/>
          <w:tblLook w:val="04A0"/>
        </w:tblPrEx>
        <w:tc>
          <w:tcPr>
            <w:tcW w:w="4927" w:type="dxa"/>
          </w:tcPr>
          <w:p w:rsidR="00663A55" w:rsidRPr="00EE5E55" w:rsidP="00663A55">
            <w:pPr>
              <w:pStyle w:val="CSBody63ENbold"/>
            </w:pPr>
            <w:r w:rsidRPr="00EE5E55">
              <w:t>Holders of Credit-Linked Complex Products with auction settlement will not be able to refer questions to Credit Derivatives Determinations Committees</w:t>
            </w:r>
          </w:p>
        </w:tc>
        <w:tc>
          <w:tcPr>
            <w:tcW w:w="4928" w:type="dxa"/>
          </w:tcPr>
          <w:p w:rsidR="00663A55" w:rsidRPr="00663A55" w:rsidP="00663A55">
            <w:pPr>
              <w:pStyle w:val="CSBody63DEbold"/>
              <w:rPr>
                <w:lang w:val="de-DE"/>
              </w:rPr>
            </w:pPr>
            <w:r w:rsidRPr="00663A55">
              <w:rPr>
                <w:lang w:val="de-DE"/>
              </w:rPr>
              <w:t>Inhaber von Kreditbezogenen Komplexen Produkten mit Auktionsabwicklung können keine Fragen an Kreditderivate-Feststellungsausschüsse richten</w:t>
            </w:r>
          </w:p>
        </w:tc>
      </w:tr>
      <w:tr w:rsidTr="002F2BFA">
        <w:tblPrEx>
          <w:tblW w:w="5000" w:type="pct"/>
          <w:tblLook w:val="04A0"/>
        </w:tblPrEx>
        <w:tc>
          <w:tcPr>
            <w:tcW w:w="4927" w:type="dxa"/>
          </w:tcPr>
          <w:p w:rsidR="00663A55" w:rsidRPr="00EE5E55" w:rsidP="007315E3">
            <w:pPr>
              <w:pStyle w:val="CSBody63EN"/>
            </w:pPr>
            <w:r w:rsidRPr="00EE5E55">
              <w:t>Holders of Credit-Linked Complex Products with auction settlement will not have the ability to refer questions to a Credit Derivatives Determinations Committee because such Complex Products are not credit default swap transactions. As a result, potential investors will be dependent on other market participants to refer specific questions to Credit Derivatives Determinations Committees that may be relevant to the potential investors. Neither the Issuer nor the Calculation Agent nor any of their affiliates has any duty to the potential investors to refer specific questions to Credit Derivatives Determinations Committees.</w:t>
            </w:r>
          </w:p>
        </w:tc>
        <w:tc>
          <w:tcPr>
            <w:tcW w:w="4928" w:type="dxa"/>
          </w:tcPr>
          <w:p w:rsidR="00663A55" w:rsidRPr="00663A55" w:rsidP="00663A55">
            <w:pPr>
              <w:pStyle w:val="CSBody63DE"/>
              <w:rPr>
                <w:lang w:val="de-DE"/>
              </w:rPr>
            </w:pPr>
            <w:r w:rsidRPr="00663A55">
              <w:rPr>
                <w:lang w:val="de-DE"/>
              </w:rPr>
              <w:t>Inhaber von Kreditbezogenen Komplexen Produkten mit Auktionsabwicklung sind nicht berechtigt, Fragen an einen Kreditderivate-Feststellungsausschuss zu richten, da es sich bei diesen Komplexen Produkten nicht um Credit Default Swaps handelt. Daher sind potenzielle Anleger auf andere Marktteilnehmer angewiesen, wenn es darum geht, bestimmte Fragen an Kreditderivate-Feststellungsausschüsse zu richten, die für die potenziellen Anleger relevant sein können. Weder die Emittentin noch die Berechnungsstelle oder ein mit der Emittentin oder der Berechnungsstelle verbundenes Unternehmen sind gegenüber den potenziellen Anlegern verpflichtet, bestimmte Fragen an Kreditderivate-Feststellungsausschüsse zu richten.</w:t>
            </w:r>
          </w:p>
        </w:tc>
      </w:tr>
      <w:tr w:rsidTr="002F2BFA">
        <w:tblPrEx>
          <w:tblW w:w="5000" w:type="pct"/>
          <w:tblLook w:val="04A0"/>
        </w:tblPrEx>
        <w:tc>
          <w:tcPr>
            <w:tcW w:w="4927" w:type="dxa"/>
          </w:tcPr>
          <w:p w:rsidR="00663A55" w:rsidRPr="00C75E45" w:rsidP="00663A55">
            <w:pPr>
              <w:pStyle w:val="CSBody63ENbold"/>
            </w:pPr>
            <w:r w:rsidRPr="00C75E45">
              <w:t xml:space="preserve">Risks relating to the Calculation Agent's discretion as to whether or not to give a Credit Event Notice </w:t>
            </w:r>
          </w:p>
        </w:tc>
        <w:tc>
          <w:tcPr>
            <w:tcW w:w="4928" w:type="dxa"/>
          </w:tcPr>
          <w:p w:rsidR="00663A55" w:rsidRPr="00663A55" w:rsidP="00663A55">
            <w:pPr>
              <w:pStyle w:val="CSBody63DEbold"/>
              <w:rPr>
                <w:lang w:val="de-DE"/>
              </w:rPr>
            </w:pPr>
            <w:r w:rsidRPr="00663A55">
              <w:rPr>
                <w:lang w:val="de-DE"/>
              </w:rPr>
              <w:t xml:space="preserve">Risiken in Bezug auf das Ermessen der Berechnungsstelle in Bezug auf die Vornahme oder Nicht-Vornahme einer Kreditereignismitteilung </w:t>
            </w:r>
          </w:p>
        </w:tc>
      </w:tr>
      <w:tr w:rsidTr="002F2BFA">
        <w:tblPrEx>
          <w:tblW w:w="5000" w:type="pct"/>
          <w:tblLook w:val="04A0"/>
        </w:tblPrEx>
        <w:tc>
          <w:tcPr>
            <w:tcW w:w="4927" w:type="dxa"/>
          </w:tcPr>
          <w:p w:rsidR="00663A55" w:rsidRPr="00C75E45" w:rsidP="00663A55">
            <w:pPr>
              <w:pStyle w:val="CSBody63EN"/>
            </w:pPr>
            <w:r w:rsidRPr="00C75E45">
              <w:t>If neither a DC Credit Event Announcement nor a DC No Credit Event Announcement has occurred, in order for a Credit Event Determination Date to be deemed to have occurred, among other things, the Calculation Agent must give a Credit Event Notice with respect to the relevant Credit Event. However, the Calculation Agent is not obligated to give such notice, and may wait to give a Credit Event Notice until the occurrence of a subsequent Credit Event. If a Credit Event occurs, but the Calculation Agent chooses to wait until the occurrence of another Credit Event to give a Credit Event Notice, the Cash Redemption Amount relating to the subsequent Credit Event may be lower than the Cash Redemption Amount would have been if it had been determined with respect to the initial Credit Event. Similarly, the holders of such Complex Products are not entitled to deliver a Credit Event Notice themselves in order to benefit from a potentially higher Auction Final Price.</w:t>
            </w:r>
          </w:p>
        </w:tc>
        <w:tc>
          <w:tcPr>
            <w:tcW w:w="4928" w:type="dxa"/>
          </w:tcPr>
          <w:p w:rsidR="00663A55" w:rsidRPr="00663A55" w:rsidP="00B376AF">
            <w:pPr>
              <w:pStyle w:val="CSBody63DE"/>
              <w:rPr>
                <w:lang w:val="de-DE"/>
              </w:rPr>
            </w:pPr>
            <w:r w:rsidRPr="00663A55">
              <w:rPr>
                <w:lang w:val="de-DE"/>
              </w:rPr>
              <w:t>Wenn weder eine Bekanntgabe eines Kreditereignisbeschlusses noch eine Bekanntgabe des Nichtvorliegens eines Kreditereignisses stattgefunden hat, muss die Berechnungsstelle unter anderem eine Kreditereignismitteilung in Bezug auf das jeweilige Kreditereignis vornehmen, damit ein Kreditereignis-Feststellungstag als eingetreten gilt. Die Berechnungsstelle ist jedoch nicht zur Vornahme einer solchen Mitteilung verpflichtet, und kann damit bis zum Eintritt eines nachfolgenden Kreditereignisses warten. Falls ein Kreditereignis eintritt und die Berechnungsstelle entscheidet, mit der Kreditereignismitteilung bis zum Eintritt eines weiteren Kreditereignisses zu warten, ist der Barrückzahlungsbetrag in Bezug auf das nachfolgende Kreditereignis möglicherweise geringer als der Barrückzahlungsbetrag, der in Bezug auf das ursprüngliche Kreditereignis festgestellt worden wäre. Die Inhaber dieser Komplexen Produkte sind ferner nicht berechtigt, eine Kreditereignismitteilung selbst zu übermitteln, um einen möglicherweise höheren Auktions-Endpreis zu erhalten.</w:t>
            </w:r>
          </w:p>
        </w:tc>
      </w:tr>
      <w:tr w:rsidTr="002F2BFA">
        <w:tblPrEx>
          <w:tblW w:w="5000" w:type="pct"/>
          <w:tblLook w:val="04A0"/>
        </w:tblPrEx>
        <w:tc>
          <w:tcPr>
            <w:tcW w:w="4927" w:type="dxa"/>
          </w:tcPr>
          <w:p w:rsidR="00663A55" w:rsidRPr="00943D33" w:rsidP="00663A55">
            <w:pPr>
              <w:pStyle w:val="CSBody63EN"/>
            </w:pPr>
            <w:r w:rsidRPr="00943D33">
              <w:t>Neither the Issuer nor the Calculation Agent will have any liability to any holder of Credit-Linked Complex Products with auction settlement or any other person as a result of giving (or not giving) a Credit Event Notice with respect to any such Complex Product.</w:t>
            </w:r>
          </w:p>
        </w:tc>
        <w:tc>
          <w:tcPr>
            <w:tcW w:w="4928" w:type="dxa"/>
          </w:tcPr>
          <w:p w:rsidR="00663A55" w:rsidRPr="00663A55" w:rsidP="00B376AF">
            <w:pPr>
              <w:pStyle w:val="CSBody63DE"/>
              <w:rPr>
                <w:lang w:val="de-DE"/>
              </w:rPr>
            </w:pPr>
            <w:r w:rsidRPr="00663A55">
              <w:rPr>
                <w:lang w:val="de-DE"/>
              </w:rPr>
              <w:t>Weder die Emittentin noch die Berechnungsstelle sind gegenüber einem Inhaber von Kreditbezogenen Komplexen Produkten mit Auktionsabwicklung oder einer anderen Person aufgrund einer erfolgenden (oder nicht erfolgenden) Kreditereignismitteilung in Bezug auf ein Komplexes Produkt haftbar.</w:t>
            </w:r>
          </w:p>
        </w:tc>
      </w:tr>
      <w:tr w:rsidTr="002F2BFA">
        <w:tblPrEx>
          <w:tblW w:w="5000" w:type="pct"/>
          <w:tblLook w:val="04A0"/>
        </w:tblPrEx>
        <w:tc>
          <w:tcPr>
            <w:tcW w:w="4927" w:type="dxa"/>
          </w:tcPr>
          <w:p w:rsidR="00663A55" w:rsidRPr="005E6578" w:rsidP="00663A55">
            <w:pPr>
              <w:pStyle w:val="CSBody63ENbold"/>
            </w:pPr>
            <w:r w:rsidRPr="005E6578">
              <w:t>Risks relating to the extension of the period during which a Credit Event can be determined and post-ponement of principal and interest payments</w:t>
            </w:r>
          </w:p>
        </w:tc>
        <w:tc>
          <w:tcPr>
            <w:tcW w:w="4928" w:type="dxa"/>
          </w:tcPr>
          <w:p w:rsidR="00663A55" w:rsidRPr="00663A55" w:rsidP="00663A55">
            <w:pPr>
              <w:pStyle w:val="CSBody63DEbold"/>
              <w:rPr>
                <w:lang w:val="de-DE"/>
              </w:rPr>
            </w:pPr>
            <w:r w:rsidRPr="00663A55">
              <w:rPr>
                <w:lang w:val="de-DE"/>
              </w:rPr>
              <w:t>Risiken in Bezug auf die Verlängerung des Zeitraums, während dessen ein Kreditereignis festgestellt werden kann, und die Verschiebung von Kapital- und Zinszahlungen</w:t>
            </w:r>
          </w:p>
        </w:tc>
      </w:tr>
      <w:tr w:rsidTr="002F2BFA">
        <w:tblPrEx>
          <w:tblW w:w="5000" w:type="pct"/>
          <w:tblLook w:val="04A0"/>
        </w:tblPrEx>
        <w:tc>
          <w:tcPr>
            <w:tcW w:w="4927" w:type="dxa"/>
          </w:tcPr>
          <w:p w:rsidR="00663A55" w:rsidRPr="005E6578" w:rsidP="00B376AF">
            <w:pPr>
              <w:pStyle w:val="CSBody63EN"/>
            </w:pPr>
            <w:r w:rsidRPr="005E6578">
              <w:t>The Issuer will redeem Credit-Linked Complex Products with auction settlement on the Scheduled Maturity Date by payment of a cash amount equal to the Scheduled Redemption Amount, provided that no Credit Event Determination Date with respect to (i) in the case of Complex Products that are linked to a single Reference Entity, such Reference Entity, (ii) in the case of Complex Products with an Nth-to-Default structure, the Nth-to-Default Reference Entity, or (iii) in the case of Complex Products that are linked to a Basket of Reference Entities, any Reference Entity, has occurred on or prior to the Scheduled Maturity Date.</w:t>
            </w:r>
          </w:p>
        </w:tc>
        <w:tc>
          <w:tcPr>
            <w:tcW w:w="4928" w:type="dxa"/>
          </w:tcPr>
          <w:p w:rsidR="00663A55" w:rsidRPr="00663A55">
            <w:pPr>
              <w:pStyle w:val="CSBody63DE"/>
              <w:rPr>
                <w:lang w:val="de-DE"/>
              </w:rPr>
            </w:pPr>
            <w:r w:rsidRPr="00663A55">
              <w:rPr>
                <w:lang w:val="de-DE"/>
              </w:rPr>
              <w:t>Die Emittentin wird Kreditbezogene Komplexe Produkte mit Auktionsabwicklung am Planmässigen Fälligkeitstag durch Zahlung eines Barbetrags in Höhe des Planmässigen Rückzahlungsbetrags zurückzahlen, vorausgesetzt, dass kein Kreditereignis-Feststellungsag (i) bei Komplexen Produkten, die an einen einzelnen Referenzschuldner gekoppelt sind, in Bezug auf diesen Referenzschuldner oder, (ii) bei Komplexen Produkten mit Nth-to-Default-Struktur, in Bezug auf den Nth-to-Default-Referenzschuldner oder, (iii) bei Komplexen Produkten, die an einen Korb von Referenzschuldnern gekoppelt sind, in Bezug auf einen der Referenzschuldner, an oder vor dem Planmässigen Fälligkeitstag eingetreten ist.</w:t>
            </w:r>
          </w:p>
        </w:tc>
      </w:tr>
      <w:tr w:rsidTr="002F2BFA">
        <w:tblPrEx>
          <w:tblW w:w="5000" w:type="pct"/>
          <w:tblLook w:val="04A0"/>
        </w:tblPrEx>
        <w:tc>
          <w:tcPr>
            <w:tcW w:w="4927" w:type="dxa"/>
          </w:tcPr>
          <w:p w:rsidR="00663A55" w:rsidRPr="005E6578" w:rsidP="00B376AF">
            <w:pPr>
              <w:pStyle w:val="CSBody63EN"/>
            </w:pPr>
            <w:r w:rsidRPr="005E6578">
              <w:t>If no such Credit Event Determination Date has occurred on or prior to the Scheduled Maturity Date, but a Potential Credit Event Period with respect to (i) in the case of Complex Products that are linked to a single Reference Entity, such Reference Entity, (ii) in the case of Complex Products with an Nth-to-Default structure, any Potential Nth-to-Default Reference Entity, or (iii) in the case of Complex Products that are linked to a Basket of Reference Entities, any Reference Entity that is not an Affected Reference Entity, has occurred on or prior to, and is continuing on, the Scheduled Maturity Date, the Scheduled Maturity Date and any payments of principal and interest in respect of such Complex Products otherwise scheduled to be made on such date (or, in the case of Complex Products linked to a Basket of Reference Entities, any payments of principal and interest in respect of the portion of the Principal Amount of the Complex Products equal to the Reference Entity Principal Amount of such  Affected Reference Entity) will be postponed to a Business Day shortly after the last day of the Potential Credit Event Period.</w:t>
            </w:r>
          </w:p>
        </w:tc>
        <w:tc>
          <w:tcPr>
            <w:tcW w:w="4928" w:type="dxa"/>
          </w:tcPr>
          <w:p w:rsidR="00663A55" w:rsidRPr="00663A55" w:rsidP="00B376AF">
            <w:pPr>
              <w:pStyle w:val="CSBody63DE"/>
              <w:rPr>
                <w:lang w:val="de-DE"/>
              </w:rPr>
            </w:pPr>
            <w:r w:rsidRPr="00663A55">
              <w:rPr>
                <w:lang w:val="de-DE"/>
              </w:rPr>
              <w:t>Wenn zwar kein Kreditereignis-Feststellungstag an oder vor dem Planmässigen Fälligkeitstag eingetreten ist, aber ein Zeitraum eines Potenziellen Kreditereignisses an oder vor dem Planmässigen Fälligkeitstag eingetreten ist und am Planmässigen Fälligkeitstag andauert (i) bei Komplexen Produkten, die an einen einzelnen Referenzschuldner gekoppelt sind, in Bezug auf diesen Referenzschuldner, oder (ii) bei Komplexen Produkten mit Nth-to-Default-Struktur, in Bezug auf irgendeinen Potenziellen Nth-to-Default-Referenzschuldner, oder (iii) bei Komplexen Produkten, die an einen Korb von Referenzschuldnern gekoppelt sind, in Bezug auf einen Referenzschuldner, bei dem es sich nicht um einen Betroffenen Referenzschuldner handelt, wird der Planmässige Fälligkeitstag und alle Zahlungen in Bezug auf Zinsen und Kapital, die andernfalls an diesem Tag in Bezug auf die Komplexen Produkte gemacht werden würden (oder bei Komplexen Produkten, die an einen Korb von Referenzschuldnern gekoppelt sind, alle Zahlungen von Kapital und Zinsen in Bezug auf den Teil des Nennbetrags der Komplexen Produkte, der dem Referenzschuldner-Nennbetrag dieses Betroffenen Referenzschuldners entspricht) auf einen Geschäftstag kurz nach dem letzten Tag dieses Zeitraums eines Potenziellen Kreditereignisses verschoben.</w:t>
            </w:r>
          </w:p>
        </w:tc>
      </w:tr>
      <w:tr w:rsidTr="002F2BFA">
        <w:tblPrEx>
          <w:tblW w:w="5000" w:type="pct"/>
          <w:tblLook w:val="04A0"/>
        </w:tblPrEx>
        <w:tc>
          <w:tcPr>
            <w:tcW w:w="4927" w:type="dxa"/>
          </w:tcPr>
          <w:p w:rsidR="00663A55" w:rsidRPr="005E6578" w:rsidP="00663A55">
            <w:pPr>
              <w:pStyle w:val="CSBody63EN"/>
            </w:pPr>
            <w:r w:rsidRPr="005E6578">
              <w:t>However, if during such Potential Credit Event Period the relevant Potential Failure to Pay (or, if provided for in the applicable Terms and Conditions, the relevant Potential Repudiation/Moratorium) or a DC Pending Request, as applicable, has resulted in the occurrence of a Credit Event Determination Date with respect to (i) in the case of Complex Products that are linked to a single Reference Entity, such Reference Entity, (ii) in the case of Complex Products with an Nth-to-Default structure, the Nth-to-Default Reference Entity, or (iii) in the case of Complex Products that are linked to a Basket of Reference Entities, any Reference Entity that is not an Affected Reference Entity, the Issuer will redeem such Complex Products (or, in the case of Complex Products linked to a Basket of Reference Entities, the portion of the Principal Amount of the Complex Products equal to the Reference Entity Principal Amount of the Affected Reference Entity) at the Auction Redemption Amount or Cash Redemption Amount, as applicable, as described under "</w:t>
            </w:r>
            <w:r w:rsidRPr="00663A55">
              <w:rPr>
                <w:i/>
              </w:rPr>
              <w:t>— B. Risk of a total or near total loss of the funds invested and a total loss of any interest payments</w:t>
            </w:r>
            <w:r w:rsidRPr="005E6578">
              <w:t>" above, which means that potential investors may sustain a total or partial loss of their investment.</w:t>
            </w:r>
          </w:p>
        </w:tc>
        <w:tc>
          <w:tcPr>
            <w:tcW w:w="4928" w:type="dxa"/>
          </w:tcPr>
          <w:p w:rsidR="00663A55" w:rsidRPr="00663A55" w:rsidP="00FE770D">
            <w:pPr>
              <w:pStyle w:val="CSBody63DE"/>
              <w:rPr>
                <w:lang w:val="de-DE"/>
              </w:rPr>
            </w:pPr>
            <w:r w:rsidRPr="00663A55">
              <w:rPr>
                <w:lang w:val="de-DE"/>
              </w:rPr>
              <w:t>Falls jedoch während dieses Zeitraums eines Potenziellen Kreditereignisses die jeweilige Potenzielle Nichtzahlung (oder, falls die anwendbaren Emissionsbedingungen dies vorsehen, die jeweilige Potenzielle Nichtanerkennung/das jeweilige Potenzielle Moratorium) oder ein Ausstehender Antrag zum Eintritt eines Kreditereignis-Feststellungstags geführt hat, jeweils in Bezug auf (i) bei Komplexen Produkten, die an einen einzelnen Referenzschuldner gekoppelt sind, diesen Referenzschuldner, oder (ii) bei Komplexen Produkten mit Nth-to-Default-Struktur den Nth-to-Default-Referenzschuldner, oder (iii) bei Komplexen Produkten, die an einen Korb von Referenzschuldnern gekoppelt sind, einen Referenzschuldner, bei dem es sich nicht um einen Betroffenen Referenzschuldner handelt, zahlt die Emittentin diese Komplexen Produkte (oder, bei Komplexen Produkten, die an einen Korb von Referenzschuldnern gekoppelt sind, den Teil des Nennbetrags der Komplexen Produkte, der dem Referenzschuldner-Nennbetrag des Betroffenen Referenzschuldners entspricht) zum Auktions-Rückzahlungsbetrag bzw. zum Barrückzahlungsbetrag wie im vorstehenden Abschnitt "</w:t>
            </w:r>
            <w:r w:rsidRPr="00663A55">
              <w:rPr>
                <w:i/>
                <w:lang w:val="de-DE"/>
              </w:rPr>
              <w:t>— B. Risiko eines Totalverlusts oder nahezu vollständigen Verlusts der angelegten Gelder und eines Totalverlusts von Zinszahlungen</w:t>
            </w:r>
            <w:r w:rsidRPr="00663A55">
              <w:rPr>
                <w:lang w:val="de-DE"/>
              </w:rPr>
              <w:t xml:space="preserve">" beschrieben zurück, </w:t>
            </w:r>
            <w:r w:rsidR="007E3558">
              <w:rPr>
                <w:lang w:val="de-DE"/>
              </w:rPr>
              <w:t>d.h.</w:t>
            </w:r>
            <w:r w:rsidRPr="00663A55">
              <w:rPr>
                <w:lang w:val="de-DE"/>
              </w:rPr>
              <w:t>, dass potenzielle Anleger einen Teil- oder Totalverlust des eingesetzten Kapitals erleiden können.</w:t>
            </w:r>
          </w:p>
        </w:tc>
      </w:tr>
      <w:tr w:rsidTr="002F2BFA">
        <w:tblPrEx>
          <w:tblW w:w="5000" w:type="pct"/>
          <w:tblLook w:val="04A0"/>
        </w:tblPrEx>
        <w:tc>
          <w:tcPr>
            <w:tcW w:w="4927" w:type="dxa"/>
          </w:tcPr>
          <w:p w:rsidR="00663A55" w:rsidRPr="00A1305C" w:rsidP="00663A55">
            <w:pPr>
              <w:pStyle w:val="CSBody63EN"/>
            </w:pPr>
            <w:r w:rsidRPr="00A1305C">
              <w:t>Potential investors should also be aware that due to the mechanism used to determine the Auction Redemption Amount or the Cash Redemption Amount, as applicable, a considerable period of time following the occurrence of a Credit Event Determination Date may pass before Credit-Linked Complex Products with auction settlement are in fact redeemed.</w:t>
            </w:r>
          </w:p>
        </w:tc>
        <w:tc>
          <w:tcPr>
            <w:tcW w:w="4928" w:type="dxa"/>
          </w:tcPr>
          <w:p w:rsidR="00663A55" w:rsidRPr="00663A55" w:rsidP="008B338A">
            <w:pPr>
              <w:pStyle w:val="CSBody63DE"/>
              <w:rPr>
                <w:lang w:val="de-DE"/>
              </w:rPr>
            </w:pPr>
            <w:r w:rsidRPr="00663A55">
              <w:rPr>
                <w:lang w:val="de-DE"/>
              </w:rPr>
              <w:t>Potenzielle Anleger sollten sich auch darüber im Klaren sein, dass aufgrund des Mechanismus zur Feststellung des Auktions-Rückzahlungsbetrags bzw. Barrückzahlungsbetrags nach dem Eintritt eines Kreditereignis-Feststellungstag beträchtliche Zeit vergehen kann, bevor Kreditbezogene Komplexe Produkte mit Auktionsabwicklung tatsächlich zurückgezahlt werden.</w:t>
            </w:r>
          </w:p>
        </w:tc>
      </w:tr>
      <w:tr w:rsidTr="002F2BFA">
        <w:tblPrEx>
          <w:tblW w:w="5000" w:type="pct"/>
          <w:tblLook w:val="04A0"/>
        </w:tblPrEx>
        <w:tc>
          <w:tcPr>
            <w:tcW w:w="4927" w:type="dxa"/>
          </w:tcPr>
          <w:p w:rsidR="00663A55" w:rsidRPr="00A1305C" w:rsidP="008B338A">
            <w:pPr>
              <w:pStyle w:val="CSBody63EN"/>
            </w:pPr>
            <w:r w:rsidRPr="00A1305C">
              <w:t>In addition, if a Potential Credit Event Period with respect to (i) in the case of Complex Products that are linked to a single Reference Entity, such Reference Entity, (ii) in the case of Complex Products with an Nth-to-Default structure, any Potential Nth-to-Default Reference Entity, or (iii) in the case of Complex Products that are linked to a Basket of Reference Entities, any Reference Entity that is not an Affected Reference Entity, has occurred on or prior to, and is continuing on, an Interest Payment Date, the payment of the relevant Interest Payment Amount (or, in the case of Complex Products that are linked to a Basket of Reference Entities, the portion of the relevant Interest Payment Amount in respect of the portion of the Principal Amount of the Complex Products equal to the Reference Entity Principal Amount of such Affected Reference Entity ) will be postponed to a Business Day shortly after the last day of the Potential Credit Event Period. The Issuer will not be liable to the holders of the Complex Products for additional interest or other payments by reason of any such delayed interest payment. However, if during such Potential Credit Event Period the relevant Potential Failure to Pay (or, if provided for in the applicable Terms and Conditions, the relevant Potential Repudiation/Moratorium) or a DC Pending Request, as applicable, has resulted in the occurrence of a Credit Event Determination Date, with respect to (i) in the case of Complex Products that are linked to a single Reference Entity, such Reference Entity, (ii) in the case of Complex Products with an Nth-to-Default structure, the Nth-to-Default Reference Entity, or (iii) in the case of Complex Products that are linked to a Basket of Reference Entities, the relevant Reference Entity, occurs, the Issuer will not pay the relevant Interest Payment Amount.</w:t>
            </w:r>
          </w:p>
        </w:tc>
        <w:tc>
          <w:tcPr>
            <w:tcW w:w="4928" w:type="dxa"/>
          </w:tcPr>
          <w:p w:rsidR="00663A55" w:rsidRPr="00663A55" w:rsidP="008B338A">
            <w:pPr>
              <w:pStyle w:val="CSBody63DE"/>
              <w:rPr>
                <w:lang w:val="de-DE"/>
              </w:rPr>
            </w:pPr>
            <w:r w:rsidRPr="00663A55">
              <w:rPr>
                <w:lang w:val="de-DE"/>
              </w:rPr>
              <w:t>Darüber hinaus wird auch, falls ein Zeitraum eines Potenziellen Kreditereignisses, (i) bei Komplexen Produkten, die an einen einzelnen Referenzschuldner gekoppelt sind, in Bezug auf diesen Referenzschuldner, oder (ii) bei Komplexen Produkten mit Nth-to-Default-Struktur, in Bezug auf irgendeinen Potenziellen Nth-to-Default-Referenzschuldner, oder (iii) bei Komplexen Produkten, die an einen Korb von Referenzschuldnern gekoppelt sind, in Bezug auf einen Referenzschuldner, bei dem es sich nicht um einen Betroffenen Referenzschuldner handelt, an oder vor einem Zinszahlungstag eingetreten ist und an diesem Tag andauert, die Zahlung des jeweiligen Zinsbetrags (oder bei Komplexen Produkten, die an einen Korb von Referenzschuldnern gekoppelt sind, der Teil des jeweiligen Zinszahlungsbetrags in Bezug auf den Teil des Nennbetrags der Komplexen Produkte, der dem Referenzschuldner-Nennbetrag des Betroffenen Referenzschuldners entspricht) auf einen Geschäftstag kurz nach dem letzten Tag eines solchen Zeitraums eines Potenziellen Kreditereignisses verschoben. Die Emittentin schuldet den Inhabern der Komplexen Produkte keine zusätzlichen Zins- oder sonstige Zahlungen aufgrund einer solchen verzögerten Zinszahlung. Falls jedoch während dieses Zeitraums eines Potenziellen Kreditereignisses die jeweilige Potenzielle Nichtzahlung (oder, falls die anwendbaren Emissionsbedingungen dies vorsehen, die jeweilige Potenzielle Nichtanerkennung/das jeweilige Potenzielle Moratorium) oder ein Ausstehender Antrag zum Eintritt eines Kreditereignis-Feststellungstags geführt hat, jeweils in Bezug auf, (i) bei Komplexen Produkten, die an einen einzelnen Referenzschuldner gekoppelt sind, diesen Referenzschuldner, oder (ii) bei Komplexen Produkten mit Nth-to-Default-Struktur, den Nth-to-Default-Referenzschuldner, oder (iii) bei Komplexen Produkten, die an einen Korb von Referenzschuldnern gekoppelt sind, einen Referenzschuldner, bei dem es sich nicht um einen Betroffenen Referenzschuldner handelt, so wird die Emittentin den relevanten Zinszahlungsbetrag nicht zahlen.</w:t>
            </w:r>
          </w:p>
        </w:tc>
      </w:tr>
      <w:tr w:rsidTr="002F2BFA">
        <w:tblPrEx>
          <w:tblW w:w="5000" w:type="pct"/>
          <w:tblLook w:val="04A0"/>
        </w:tblPrEx>
        <w:tc>
          <w:tcPr>
            <w:tcW w:w="4927" w:type="dxa"/>
          </w:tcPr>
          <w:p w:rsidR="00636B15" w:rsidRPr="00382F4A" w:rsidP="00636B15">
            <w:pPr>
              <w:pStyle w:val="CSBody63ENbold"/>
            </w:pPr>
            <w:r w:rsidRPr="00382F4A">
              <w:t>Holders may be affected by Credit Events that occur prior to the Issue Date or the Trade Date</w:t>
            </w:r>
          </w:p>
        </w:tc>
        <w:tc>
          <w:tcPr>
            <w:tcW w:w="4928" w:type="dxa"/>
          </w:tcPr>
          <w:p w:rsidR="00636B15" w:rsidRPr="00636B15" w:rsidP="00636B15">
            <w:pPr>
              <w:pStyle w:val="CSBody63DEbold"/>
              <w:rPr>
                <w:lang w:val="de-DE"/>
              </w:rPr>
            </w:pPr>
            <w:r w:rsidRPr="00636B15">
              <w:rPr>
                <w:lang w:val="de-DE"/>
              </w:rPr>
              <w:t>Inhaber können von vor dem Emissionstag oder Abschlusstag eintretenden Kreditereignissen betroffen sein</w:t>
            </w:r>
          </w:p>
        </w:tc>
      </w:tr>
      <w:tr w:rsidTr="002F2BFA">
        <w:tblPrEx>
          <w:tblW w:w="5000" w:type="pct"/>
          <w:tblLook w:val="04A0"/>
        </w:tblPrEx>
        <w:tc>
          <w:tcPr>
            <w:tcW w:w="4927" w:type="dxa"/>
          </w:tcPr>
          <w:p w:rsidR="00636B15" w:rsidRPr="00382F4A" w:rsidP="008B338A">
            <w:pPr>
              <w:pStyle w:val="CSBody63EN"/>
            </w:pPr>
            <w:r w:rsidRPr="00382F4A">
              <w:t>Holders of Credit-Linked Complex Products with auction settlement or Credit-Linked Complex Products with Zero-Recovery feature linked to a Basket may suffer a loss of some or all of their investment if one or more Credit Events occur on or after the Credit Event Backstop Date, which may fall prior to the Issue Date or the Trade Date, as specified in the applicable Terms and Conditions. Neither the Calculation Agent nor the Issuer nor any of their respective affiliates has any responsibility to avoid or mitigate the effects of a Credit Event that has taken place prior to the Issue Date or the Trade Date, as the case may be.</w:t>
            </w:r>
          </w:p>
        </w:tc>
        <w:tc>
          <w:tcPr>
            <w:tcW w:w="4928" w:type="dxa"/>
          </w:tcPr>
          <w:p w:rsidR="00636B15" w:rsidRPr="00636B15" w:rsidP="008B338A">
            <w:pPr>
              <w:pStyle w:val="CSBody63DE"/>
              <w:rPr>
                <w:lang w:val="de-DE"/>
              </w:rPr>
            </w:pPr>
            <w:r w:rsidRPr="00636B15">
              <w:rPr>
                <w:lang w:val="de-DE"/>
              </w:rPr>
              <w:t>Inhaber von Kreditbezogenen Komplexen Produkten mit Auktionsabwicklung oder Kreditbezogenen Komplexen Produkten mit Zero-Recovery-Merkmal, die an einen Korb gekoppelt sind, können einen Teil- oder Totalverlust ihres eingesetzten Kapitals erleiden, wenn an oder nach dem Kreditereignis-Rückschau-Stichtag, der auch vor dem Emissionstag oder dem Abschlusstag (wie in den anwendbaren Emissionsbedingungen angegeben) liegen kann, ein oder mehrere Kreditereignisse eintreten. Weder die Berechnungsstelle noch die Emittentin oder ein verbundenes Unternehmen der Berechnungsstelle oder der Emittentin sind dafür verantwortlich, die Auswirkungen eines Kreditereignisses, das vor dem Emissionstag bzw. dem Abschlusstag eingetreten ist, zu vermeiden oder zu mildern.</w:t>
            </w:r>
          </w:p>
        </w:tc>
      </w:tr>
      <w:tr w:rsidTr="002F2BFA">
        <w:tblPrEx>
          <w:tblW w:w="5000" w:type="pct"/>
          <w:tblLook w:val="04A0"/>
        </w:tblPrEx>
        <w:tc>
          <w:tcPr>
            <w:tcW w:w="4927" w:type="dxa"/>
          </w:tcPr>
          <w:p w:rsidR="00636B15" w:rsidRPr="000B720B" w:rsidP="00636B15">
            <w:pPr>
              <w:pStyle w:val="CSBody63ENbold"/>
            </w:pPr>
            <w:r w:rsidRPr="000B720B">
              <w:t>Risks relating to the replacement of the Reference Entity/Entities and/or the Reference Obligation/ Obligations</w:t>
            </w:r>
          </w:p>
        </w:tc>
        <w:tc>
          <w:tcPr>
            <w:tcW w:w="4928" w:type="dxa"/>
          </w:tcPr>
          <w:p w:rsidR="00636B15" w:rsidRPr="00636B15">
            <w:pPr>
              <w:pStyle w:val="CSBody63DEbold"/>
              <w:rPr>
                <w:lang w:val="de-DE"/>
              </w:rPr>
            </w:pPr>
            <w:r w:rsidRPr="00636B15">
              <w:rPr>
                <w:lang w:val="de-DE"/>
              </w:rPr>
              <w:t>Risiken in Bezug auf die Ersetzung des Referenzschuldners bzw. der Referenzschuldner und/oder der Referenzverbindlichkeit bzw. der Referenz-verbindlichkeiten</w:t>
            </w:r>
          </w:p>
        </w:tc>
      </w:tr>
      <w:tr w:rsidTr="002F2BFA">
        <w:tblPrEx>
          <w:tblW w:w="5000" w:type="pct"/>
          <w:tblLook w:val="04A0"/>
        </w:tblPrEx>
        <w:tc>
          <w:tcPr>
            <w:tcW w:w="4927" w:type="dxa"/>
          </w:tcPr>
          <w:p w:rsidR="00636B15" w:rsidRPr="000B720B" w:rsidP="00442267">
            <w:pPr>
              <w:pStyle w:val="CSBody63EN"/>
            </w:pPr>
            <w:r w:rsidRPr="000B720B">
              <w:t>Potential investors should note that the Reference Entity/Entities may change from time to time as set out in a Successor Notice from the Issuer to the Holders and the Calculation Agent and, if more than one Reference Entity is to be succeeded pursuant to such Successor Notice, the applicable Terms and Conditions of the relevant Credit-Linked Complex Products with auction settlement will be amended without the consent of the potential investors to reflect such additional Reference Entities. The Calculation Agent will determine the Successor(s) pursuant to the definition of "Reference Entity" in Section 1.1 of the Terms and Conditions or pursuant to a DC Resolution in respect of a Successor Resolution Request Date which is publicly announced by the DC Secretary. Any succession to a Reference Entity may result in an increase in the likelihood of the occurrence of a Credit Event with respect to the substitute Reference Entity/Entities, which may adversely affect the value of such Complex Products.</w:t>
            </w:r>
          </w:p>
        </w:tc>
        <w:tc>
          <w:tcPr>
            <w:tcW w:w="4928" w:type="dxa"/>
          </w:tcPr>
          <w:p w:rsidR="00636B15" w:rsidRPr="00636B15" w:rsidP="00EB3FD4">
            <w:pPr>
              <w:pStyle w:val="CSBody63DE"/>
              <w:rPr>
                <w:lang w:val="de-DE"/>
              </w:rPr>
            </w:pPr>
            <w:r w:rsidRPr="00636B15">
              <w:rPr>
                <w:lang w:val="de-DE"/>
              </w:rPr>
              <w:t>Potenzielle Anleger sollten zur Kenntnis nehmen, dass sich der bzw. die Referenzschuldner zu gegebener Zeit in Bezug auf diesen bzw. diese Referenzschuldner ändern kann bzw. können, wie in der</w:t>
            </w:r>
            <w:r w:rsidR="00EB3FD4">
              <w:rPr>
                <w:lang w:val="de-DE"/>
              </w:rPr>
              <w:t xml:space="preserve"> Rechtsn</w:t>
            </w:r>
            <w:r w:rsidRPr="00636B15">
              <w:rPr>
                <w:lang w:val="de-DE"/>
              </w:rPr>
              <w:t>achfolge</w:t>
            </w:r>
            <w:r w:rsidR="00EB3FD4">
              <w:rPr>
                <w:lang w:val="de-DE"/>
              </w:rPr>
              <w:t>-M</w:t>
            </w:r>
            <w:r w:rsidRPr="00636B15">
              <w:rPr>
                <w:lang w:val="de-DE"/>
              </w:rPr>
              <w:t xml:space="preserve">itteilung der Emittentin an die Inhaber und die Berechnungsstelle beschrieben, und dass, falls gemäss einer solchen </w:t>
            </w:r>
            <w:r w:rsidR="00636F36">
              <w:rPr>
                <w:lang w:val="de-DE"/>
              </w:rPr>
              <w:t>Rechtsn</w:t>
            </w:r>
            <w:r w:rsidRPr="00636B15">
              <w:rPr>
                <w:lang w:val="de-DE"/>
              </w:rPr>
              <w:t>achfolge</w:t>
            </w:r>
            <w:r w:rsidR="00EB3FD4">
              <w:rPr>
                <w:lang w:val="de-DE"/>
              </w:rPr>
              <w:t>-M</w:t>
            </w:r>
            <w:r w:rsidRPr="00636B15" w:rsidR="00EB3FD4">
              <w:rPr>
                <w:lang w:val="de-DE"/>
              </w:rPr>
              <w:t xml:space="preserve">itteilung </w:t>
            </w:r>
            <w:r w:rsidRPr="00636B15">
              <w:rPr>
                <w:lang w:val="de-DE"/>
              </w:rPr>
              <w:t xml:space="preserve">mehr als ein Referenschulnder ersetzt werden soll, die anwendbaren Emissionsbedingungen des jeweiligen Kreditbezogenen Komplexen Produkts mit Auktionsabwicklung ohne die Zustimmung der potenziellen Anleger geändert werden, um diesen zusätzlichen Referenzschuldnern Rechnung zu tragen. Die Berechnungsstelle bestimmt den bzw. die </w:t>
            </w:r>
            <w:r w:rsidR="00636F36">
              <w:rPr>
                <w:lang w:val="de-DE"/>
              </w:rPr>
              <w:t>Rechtsn</w:t>
            </w:r>
            <w:r w:rsidRPr="00636B15">
              <w:rPr>
                <w:lang w:val="de-DE"/>
              </w:rPr>
              <w:t>achfolger gemäss der Definition "Referenzschuldner" in Abschnitt 1.1 der Emissionsbedingungen oder unter Bezugnahme auf einen Feststellungsausschussbeschluss in Bezug auf ein</w:t>
            </w:r>
            <w:r w:rsidR="00636F36">
              <w:rPr>
                <w:lang w:val="de-DE"/>
              </w:rPr>
              <w:t xml:space="preserve"> Rechtsnachfolgebeschluss-Antragsdatum </w:t>
            </w:r>
            <w:r w:rsidRPr="00636B15">
              <w:rPr>
                <w:lang w:val="de-DE"/>
              </w:rPr>
              <w:t>, der vom Secretary öffentlich bekanntgegeben wird. Jede Ersetzung eines Referenzschuldners kann die Wahrscheinlichkeit des Eintritts eines Kreditereignisses in Bezug auf den bzw. die Ersatz-Referenzschuldner erhöhen, was sich nachteilig auf den Wert dieser Komplexen Produkte auswirken kann.</w:t>
            </w:r>
          </w:p>
        </w:tc>
      </w:tr>
      <w:tr w:rsidTr="002F2BFA">
        <w:tblPrEx>
          <w:tblW w:w="5000" w:type="pct"/>
          <w:tblLook w:val="04A0"/>
        </w:tblPrEx>
        <w:tc>
          <w:tcPr>
            <w:tcW w:w="4927" w:type="dxa"/>
          </w:tcPr>
          <w:p w:rsidR="00636B15" w:rsidRPr="000B720B" w:rsidP="008B338A">
            <w:pPr>
              <w:pStyle w:val="CSBody63EN"/>
            </w:pPr>
            <w:r w:rsidRPr="000B720B">
              <w:t>Furthermore, a replacement of the Reference Entity/Entities may, in case of Complex Products with one or more Reference Obligation, lead to the replacement of the Reference Obligation/Obligations by another Reference Obligation. Such replacement may adversely affect the redemption amount payable to potential investors should a Credit Event occur and/or the value of Credit-Linked Complex Products with auction settlement.</w:t>
            </w:r>
          </w:p>
        </w:tc>
        <w:tc>
          <w:tcPr>
            <w:tcW w:w="4928" w:type="dxa"/>
          </w:tcPr>
          <w:p w:rsidR="00636B15" w:rsidRPr="00636B15" w:rsidP="008B338A">
            <w:pPr>
              <w:pStyle w:val="CSBody63DE"/>
              <w:rPr>
                <w:lang w:val="de-DE"/>
              </w:rPr>
            </w:pPr>
            <w:r w:rsidRPr="00636B15">
              <w:rPr>
                <w:lang w:val="de-DE"/>
              </w:rPr>
              <w:t>Darüber hinaus können Ersetzungen des Referenzschuldners bzw. der Referenzschuldner bei Komplexen Produkten mit einer oder mehreren Referenzverbindlichkeiten zu einer Ersetzung der Referenzverbindlichkeit bzw. der Referenzverbindlichkeiten durch eine andere Referenzverbindlichkeit führen. Diese Ersetzung kann sich nachteilig auf den im Falle des Eintritts eines Kreditereignisses an potenzielle Anleger zahlbaren Rückzahlungsbe</w:t>
            </w:r>
            <w:r w:rsidR="008B338A">
              <w:rPr>
                <w:lang w:val="de-DE"/>
              </w:rPr>
              <w:t>t</w:t>
            </w:r>
            <w:r w:rsidRPr="00636B15">
              <w:rPr>
                <w:lang w:val="de-DE"/>
              </w:rPr>
              <w:t>rag und/oder den Wert von Kreditbezogenen Komplexen Produkten mit Auktionsabwicklung auswirken.</w:t>
            </w:r>
          </w:p>
        </w:tc>
      </w:tr>
      <w:tr w:rsidTr="002F2BFA">
        <w:tblPrEx>
          <w:tblW w:w="5000" w:type="pct"/>
          <w:tblLook w:val="04A0"/>
        </w:tblPrEx>
        <w:tc>
          <w:tcPr>
            <w:tcW w:w="4927" w:type="dxa"/>
          </w:tcPr>
          <w:p w:rsidR="00636B15" w:rsidRPr="008B19B1" w:rsidP="00636B15">
            <w:pPr>
              <w:pStyle w:val="CSBody63ENbold"/>
            </w:pPr>
            <w:r w:rsidRPr="008B19B1">
              <w:t>Risks associated with Credit-Linked Complex Products with simplified settlement</w:t>
            </w:r>
          </w:p>
        </w:tc>
        <w:tc>
          <w:tcPr>
            <w:tcW w:w="4928" w:type="dxa"/>
          </w:tcPr>
          <w:p w:rsidR="00636B15" w:rsidRPr="00636B15" w:rsidP="00636B15">
            <w:pPr>
              <w:pStyle w:val="CSBody63DEbold"/>
              <w:rPr>
                <w:lang w:val="de-DE"/>
              </w:rPr>
            </w:pPr>
            <w:r w:rsidRPr="00636B15">
              <w:rPr>
                <w:lang w:val="de-DE"/>
              </w:rPr>
              <w:t>Mit Kreditbezogenen Komplexen Produkten mit vereinfachter Abwicklung verbundene Risiken</w:t>
            </w:r>
          </w:p>
        </w:tc>
      </w:tr>
      <w:tr w:rsidTr="002F2BFA">
        <w:tblPrEx>
          <w:tblW w:w="5000" w:type="pct"/>
          <w:tblLook w:val="04A0"/>
        </w:tblPrEx>
        <w:tc>
          <w:tcPr>
            <w:tcW w:w="4927" w:type="dxa"/>
          </w:tcPr>
          <w:p w:rsidR="00636B15" w:rsidRPr="008B19B1" w:rsidP="00636B15">
            <w:pPr>
              <w:pStyle w:val="CSBody63ENbold"/>
            </w:pPr>
            <w:r w:rsidRPr="008B19B1">
              <w:t>Credit-Linked Complex Products with simplified settlement are linked to the creditworthiness of the Reference Entity</w:t>
            </w:r>
          </w:p>
        </w:tc>
        <w:tc>
          <w:tcPr>
            <w:tcW w:w="4928" w:type="dxa"/>
          </w:tcPr>
          <w:p w:rsidR="00636B15" w:rsidRPr="00636B15" w:rsidP="008B338A">
            <w:pPr>
              <w:pStyle w:val="CSBody63DEbold"/>
              <w:rPr>
                <w:lang w:val="de-DE"/>
              </w:rPr>
            </w:pPr>
            <w:r w:rsidRPr="00636B15">
              <w:rPr>
                <w:lang w:val="de-DE"/>
              </w:rPr>
              <w:t>Kreditbezogene Komplexe Produkte mit vereinfachter Abwicklung sind an die Bonität eines oder mehrerer Referenzschuldner gebunden</w:t>
            </w:r>
          </w:p>
        </w:tc>
      </w:tr>
      <w:tr w:rsidTr="002F2BFA">
        <w:tblPrEx>
          <w:tblW w:w="5000" w:type="pct"/>
          <w:tblLook w:val="04A0"/>
        </w:tblPrEx>
        <w:tc>
          <w:tcPr>
            <w:tcW w:w="4927" w:type="dxa"/>
          </w:tcPr>
          <w:p w:rsidR="00636B15" w:rsidRPr="0047385C" w:rsidP="00636B15">
            <w:pPr>
              <w:pStyle w:val="CSBody63EN"/>
            </w:pPr>
            <w:r w:rsidRPr="0047385C">
              <w:t>The payment of interest on, and the redemption of, Credit-Linked Complex Products with simplified settlement are dependent upon whether a Credit Redemption Event (</w:t>
            </w:r>
            <w:r w:rsidRPr="007E3558" w:rsidR="007E3558">
              <w:rPr>
                <w:i/>
              </w:rPr>
              <w:t>i.e.</w:t>
            </w:r>
            <w:r w:rsidRPr="0047385C">
              <w:t xml:space="preserve">, a Default Event or a Redemption Event) with respect to the Reference Entity to which the Complex Products are linked to have occurred and, if so, on the value of certain specified obligations of such Reference Entity. Investors in such Complex Products should be aware that if a Credit Redemption Event occurs with respect to the Reference Entity to which the Complex Products are linked and depending on the applicable Terms and Conditions, (i) they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they may lose all or a substantial portion of their investment. As Credit-Linked Complex Products with simplified settlement are </w:t>
            </w:r>
            <w:r w:rsidRPr="00636B15">
              <w:rPr>
                <w:b/>
              </w:rPr>
              <w:t>not capital protected</w:t>
            </w:r>
            <w:r w:rsidRPr="0047385C">
              <w:t xml:space="preserve"> it is not possible to predict the return on such a Complex Product at the time of issuance.</w:t>
            </w:r>
          </w:p>
        </w:tc>
        <w:tc>
          <w:tcPr>
            <w:tcW w:w="4928" w:type="dxa"/>
          </w:tcPr>
          <w:p w:rsidR="00636B15" w:rsidRPr="00636B15" w:rsidP="008B338A">
            <w:pPr>
              <w:pStyle w:val="CSBody63DE"/>
              <w:rPr>
                <w:lang w:val="de-DE"/>
              </w:rPr>
            </w:pPr>
            <w:r w:rsidRPr="00636B15">
              <w:rPr>
                <w:lang w:val="de-DE"/>
              </w:rPr>
              <w:t xml:space="preserve">Die Zahlung von Zinsen auf Komplexe Produkte mit vereinfachter Abwicklung sowie die Rückzahlung dieser Komplexen Produkte hängen davon ab, ob ein Kredit-Rückzahlungsereignis (d.h. ein Ausfallereignis oder ein Rückzahlungsereignis) in Bezug auf den Referenzschuldner, an welchen die Komplexen Produkte gekoppelt sind, eingetreten sind und, soweit dies der Fall ist, vom Wert bestimmter festgelegter Verbindlichkeiten dieses Referenzschuldners. Anleger in diese Komplexen Produkte sollten sich bewusst sein, dass wenn ein Kredit-Rückzahlungsereignis in Bezug auf den Referenzschuldner, an welchen die Komplexen Produkte gekoppelt sind, (i) sie unter Umständen nur der Höhe nach begrenzte oder gar keine Zinszahlungen auf diese Komplexen Produkte erhalten, (ii) die Leistung des Rückzahlungsbetrags oder der Zinsen zu einem anderen Termin als erwartet erfolgen kann und (iii) der Rückzahlungsbetrag erheblich unter dem anfänglichen Nennbetrag der Komplexen Produkte liegen kann und sie einen Totalverlust ihres eingesetzten Kapitals erleiden können oder einen erheblichen Teil dieses Kapitals verlieren können, jeweils abhängig von den anwendbaren Emissionsbedingungen. Da Kreditbezogenen Komplexen Produkte mit vereinfachter Abwicklung </w:t>
            </w:r>
            <w:r w:rsidRPr="00636B15">
              <w:rPr>
                <w:b/>
                <w:lang w:val="de-DE"/>
              </w:rPr>
              <w:t>nicht kapitalgeschützt</w:t>
            </w:r>
            <w:r w:rsidRPr="00636B15">
              <w:rPr>
                <w:lang w:val="de-DE"/>
              </w:rPr>
              <w:t xml:space="preserve"> sind, ist es nicht möglich, die Erträge eines solchen Komplexen Produkts zum Zeitpunkt seiner Ausgabe vorherzusagen. </w:t>
            </w:r>
          </w:p>
        </w:tc>
      </w:tr>
      <w:tr w:rsidTr="002F2BFA">
        <w:tblPrEx>
          <w:tblW w:w="5000" w:type="pct"/>
          <w:tblLook w:val="04A0"/>
        </w:tblPrEx>
        <w:tc>
          <w:tcPr>
            <w:tcW w:w="4927" w:type="dxa"/>
          </w:tcPr>
          <w:p w:rsidR="00636B15" w:rsidRPr="0047385C" w:rsidP="008B338A">
            <w:pPr>
              <w:pStyle w:val="CSBody63EN"/>
            </w:pPr>
            <w:r w:rsidRPr="0047385C">
              <w:t>Potential investors should note that Credit-Linked Complex Products with simplified settlement differ from ordinary debt securities since the amount of principal and interest payable by the Issuer thereunder depends on whether a Credit Redemption Event with respect to the Reference Entity specified in the applicable Terms and Conditions has occurred on or prior to the Scheduled Maturity Date (subject to extension if a Suspension Period is in effect on the Scheduled Maturity Date). A Credit Redemption Event shall be deemed to have occurred if the Calculation Agent determines in its discretion that a Default Event or a Redemption Event has occurred with respect to the Reference Entity. Potential investors in Credit-Linked Complex Products with simplified settlement should be aware that a Credit Redemption Event may occur even if the Reference Entity has not defaulted on any payment obligation. In the case of a Credit-Linked Complex Product with simplified settlement, if a Credit Redemption Event occurs on or prior to the Scheduled Maturity Date (subject to extension if a Suspension Period is in effect on the Scheduled Maturity Date), such Complex Product will (i) cease to bear interest and (ii) instead of being redeemed at the Scheduled Redemption Amount on the Scheduled Maturity Date, be redeemed at the Credit Redemption Amount (or, if specified in the applicable Terms and Conditions, by delivery of the number of Reference Obligations in the Ratio) on the Credit Redemption Date, which amount (or value of such Reference Obligations) will generally be considerably less than the initial principal amount of such Complex Product and may in certain circumstances be equal to zero. Thus, the basic structure of Credit-Linked Complex Products with simplified settlement is that the Issuer will only pay interest and redeem such Complex Products on the Scheduled Maturity Date at the Scheduled Redemption Amount if, on the basis of the procedures described in the applicable Terms and Conditions, no Credit Redemption Event with respect to the Reference Entity has occurred on or prior to the Scheduled Maturity Date (subject to extension if a Suspension Period is in effect on the Scheduled Maturity Date). For this reason, potential investors in such Complex Products should be prepared to sustain a total or partial loss of their investment therein.</w:t>
            </w:r>
          </w:p>
        </w:tc>
        <w:tc>
          <w:tcPr>
            <w:tcW w:w="4928" w:type="dxa"/>
          </w:tcPr>
          <w:p w:rsidR="00636B15" w:rsidRPr="00636B15" w:rsidP="008B338A">
            <w:pPr>
              <w:pStyle w:val="CSBody63DE"/>
              <w:rPr>
                <w:lang w:val="de-DE"/>
              </w:rPr>
            </w:pPr>
            <w:r w:rsidRPr="00636B15">
              <w:rPr>
                <w:lang w:val="de-DE"/>
              </w:rPr>
              <w:t>Potenzielle Anleger sollten zur Kenntnis nehmen, dass sich Kreditbezogene Komplexe Produkte mit vereinfachter Abwicklung von herkömmlichen Schuldtiteln unterscheiden, da die Höhe des von der Emittentin im Zusammenhang mit diesen Produkten zahlbaren Kapital- und Zinsbetrags davon abhängt, ob an oder vor dem Planmässigen Fälligkeitstag (vorbehaltlich einer Verlängerung im Fall dass ein Aussetzungszeitraum am Planmässigen Fälligkeitstag besteht) ein Kredit-Rückzahlungsereignis in Bezug auf den in den anwendbaren Emissionsbedingungen festgelegten Referenzschuldner eingetreten ist. Ein Kredit-Rückzahlungsereignis gilt als eingetreten, wenn die Berechnungsstelle nach ihrem Ermessen feststellt, dass ein Ausfallereignis oder ein Rückzahlungsereignis in Bezug auf den Referenzschuldner eingetreten ist. Potenzielle Anleger in Kreditbezogene Komplexe Produkte mit vereinfachter Abwicklung sollten sich darüber im Klaren sein, dass ein Kredit-Rückzahlungsereignis selbst dann eintreten kann, wenn sich der Referenzschuldner mit seinen Zahlungsverpflichtungen nicht in Verzug befindet. Tritt bei einem Kreditbezogenen Komplexen Produkt mit vereinfachter Abwicklung ein Kredit-Rückzahlungsereignis vor dem Planmässigen Fälligkeitstag (vorbehaltlich einer Verlängerung im Fall dass ein Aussetzungszeitraum am Planmässigen Fälligkeitstag besteht) ein, so (i) endet die Verzinsung dieses Komplexen Produkts und (ii) wird dieses Komplexe Produkt nicht zum Planmässigen Rückzahlungsbetrag am Planmässigen Fälligkeitstag zurückgezahlt, sondern zum Kredit-Rückzahlungsbetrag (oder, falls die anwendbaren Emissionsbedingungen dies vorsehen, durch Lieferung der in dem Bezugsverhältnis angegebenen Anzahl von Referenzverbindlichkeiten) am Kredit-Rückzahlungstag, wobei dieser Betrag (oder der Wert dieser Referenzverbindlichkeiten) in der Regel wesentlich geringer ist als der anfängliche Nennbetrag dieser Komplexen Produkte und in bestimmten Fällen null sein kann. Die Grundstruktur von Kreditbezogenen Komplexen Produkten mit vereinfachter Abwicklung sieht also vor, dass die Emittentin nur dann Zinsen leistet und diese Komplexen Produkte am Planmässigen Fälligkeitstag zum Planmässigen Rückzahlungsbetrag zurückzahlt, wenn nach den in den anwendbaren Emissionsbedingungen beschriebenen Verfahren an oder vor dem Planmässigen Fälligkeitstag (vorbehaltlich einer Verlängerung im Fall dass ein Aussetzungszeitraum am Planmässigen Fälligkeitstag besteht) kein Kredit-Rückzahlungsereignis in Bezug auf den Referenzschuldner eingetreten ist. Daher sollten sich potenzielle Anleger in diese Komplexen Produkte darauf einstellen, dass sie einen Teil- oder Totalverlust ihres eingesetzten Kapitals erleiden können.</w:t>
            </w:r>
          </w:p>
        </w:tc>
      </w:tr>
      <w:tr w:rsidTr="002F2BFA">
        <w:tblPrEx>
          <w:tblW w:w="5000" w:type="pct"/>
          <w:tblLook w:val="04A0"/>
        </w:tblPrEx>
        <w:tc>
          <w:tcPr>
            <w:tcW w:w="4927" w:type="dxa"/>
          </w:tcPr>
          <w:p w:rsidR="00636B15" w:rsidRPr="00F137A4" w:rsidP="008B338A">
            <w:pPr>
              <w:pStyle w:val="CSBody63EN"/>
            </w:pPr>
            <w:r w:rsidRPr="00F137A4">
              <w:t>The likelihood of the occurrence of a Credit Redemption Event will generally fluctuate with, among other things, the financial condition and other characteristics of the Reference Entity, general economic conditions, the condition of certain financial markets, political events, developments or trends in any particular industry and changes in prevailing interest rates. Potential investors should perform a thorough review of the Reference Entity and conduct their own investigation and analysis with respect to the creditworthiness of, and the likelihood of the occurrence of a Credit Redemption Event with respect to, the Reference Entity. Actions of the Reference Entity (for example, merger or demerger or the repayment or transfer of indebtedness) may adversely affect the value of Credit-Linked Complex Products with simplified settlement.</w:t>
            </w:r>
          </w:p>
        </w:tc>
        <w:tc>
          <w:tcPr>
            <w:tcW w:w="4928" w:type="dxa"/>
          </w:tcPr>
          <w:p w:rsidR="00636B15" w:rsidRPr="00636B15" w:rsidP="008B338A">
            <w:pPr>
              <w:pStyle w:val="CSBody63DE"/>
              <w:rPr>
                <w:lang w:val="de-DE"/>
              </w:rPr>
            </w:pPr>
            <w:r w:rsidRPr="00636B15">
              <w:rPr>
                <w:lang w:val="de-DE"/>
              </w:rPr>
              <w:t>Die Wahrscheinlichkeit, dass ein Kredit-Rückzahlungsereignis eintritt, variiert in der Regel aufgrund der Finanzlage und anderer Kenndaten des Referenzschuldners, der allgemeinen Konjunktur, der Lage an bestimmten Finanzmärkten sowie aufgrund von politischen Ereignissen, Entwicklungen oder Tendenzen in bestimmten Branchen, Änderungen der geltenden Zinssätze und weiteren Faktoren. Potenzielle Anleger sollten eine eingehende Prüfung des Referenzschuldners sowie eigene Nachforschungen und Analysen hinsichtlich der Bonität des Referenzschuldners sowie der Wahrscheinlichkeit des Eintritts eines Kredit-Rückzahlungsereignisses in Bezug auf den Referenzschuldner vornehmen. Massnahmen des Referenzschuldners (wie beispielsweise ein Zusammenschluss oder eine Abspaltung oder die Rückzahlung oder Übertragung von Verbindlichkeiten) können sich nachteilig auf den Wert der Kreditbezogenen Komplexen Produkte mit vereinfachter Abwicklung auswirken.</w:t>
            </w:r>
          </w:p>
        </w:tc>
      </w:tr>
      <w:tr w:rsidTr="002F2BFA">
        <w:tblPrEx>
          <w:tblW w:w="5000" w:type="pct"/>
          <w:tblLook w:val="04A0"/>
        </w:tblPrEx>
        <w:tc>
          <w:tcPr>
            <w:tcW w:w="4927" w:type="dxa"/>
          </w:tcPr>
          <w:p w:rsidR="00636B15" w:rsidRPr="004C7EBF" w:rsidP="00636B15">
            <w:pPr>
              <w:pStyle w:val="CSBody63ENbold"/>
            </w:pPr>
            <w:r w:rsidRPr="004C7EBF">
              <w:t>Risk of a total or near total loss of the funds invested and a total loss of any interest payments</w:t>
            </w:r>
          </w:p>
        </w:tc>
        <w:tc>
          <w:tcPr>
            <w:tcW w:w="4928" w:type="dxa"/>
          </w:tcPr>
          <w:p w:rsidR="00636B15" w:rsidRPr="00636B15" w:rsidP="00636B15">
            <w:pPr>
              <w:pStyle w:val="CSBody63DEbold"/>
              <w:rPr>
                <w:lang w:val="de-DE"/>
              </w:rPr>
            </w:pPr>
            <w:r w:rsidRPr="00636B15">
              <w:rPr>
                <w:lang w:val="de-DE"/>
              </w:rPr>
              <w:t>Risiko eines Totalverlusts oder nahezu vollständigen Verlusts der angelegten Gelder und eines Totalverlusts von Zinszahlungen</w:t>
            </w:r>
          </w:p>
        </w:tc>
      </w:tr>
      <w:tr w:rsidTr="002F2BFA">
        <w:tblPrEx>
          <w:tblW w:w="5000" w:type="pct"/>
          <w:tblLook w:val="04A0"/>
        </w:tblPrEx>
        <w:tc>
          <w:tcPr>
            <w:tcW w:w="4927" w:type="dxa"/>
          </w:tcPr>
          <w:p w:rsidR="00636B15" w:rsidRPr="004C7EBF" w:rsidP="00636B15">
            <w:pPr>
              <w:pStyle w:val="CSBody63EN"/>
            </w:pPr>
            <w:r w:rsidRPr="004C7EBF">
              <w:t>Upon the occurrence of a Credit Redemption Event on or prior to the Scheduled Maturity Date (subject to extension if a Suspension Period is in effect on the Scheduled Maturity Date), instead</w:t>
            </w:r>
            <w:r w:rsidR="008B338A">
              <w:t xml:space="preserve"> of being redeemed at the Sched</w:t>
            </w:r>
            <w:r w:rsidRPr="004C7EBF">
              <w:t>uled Redemption Amount on the Scheduled Maturity Date, a Credit-Linked Complex Product with simplified settlement will be redeemed by payment of a cash amount equal to the Credit Redemption Amount (or, if specified in the applicable Terms and Conditions, by delivery of the number of Reference Obligations in the Ratio) to the holder thereof, which amount (or value of such Reference Obligations) will generally be considerably less than such holder's initial investment in such Complex Product. In addition, any accrued and unpaid interest on such Complex Product as of the date on which such Credit Redemption Event has occurred will be cancelled and not be paid to the holder thereof. In the worst case scenario, (i) a Credit Redemption Event occurs prior to the first Interest Payment Date, which means that no interest payments on the relevant Complex Products will be made, and (ii) the Credit Redemption Amount will be determined to be zero or, if applicable, the Reference Obligations to be delivered on the Credit Redemption Date will be worthless. In such case, the investor would suffer a total loss of its initial investment.</w:t>
            </w:r>
          </w:p>
        </w:tc>
        <w:tc>
          <w:tcPr>
            <w:tcW w:w="4928" w:type="dxa"/>
          </w:tcPr>
          <w:p w:rsidR="00636B15" w:rsidRPr="00636B15" w:rsidP="008B338A">
            <w:pPr>
              <w:pStyle w:val="CSBody63DE"/>
              <w:rPr>
                <w:lang w:val="de-DE"/>
              </w:rPr>
            </w:pPr>
            <w:r w:rsidRPr="00636B15">
              <w:rPr>
                <w:lang w:val="de-DE"/>
              </w:rPr>
              <w:t xml:space="preserve">Tritt an oder vor dem Planmässigen Fälligkeitstag (vorbehaltlich einer Verlängerung im Fall dass ein Aussetzungszeitraum am Planmässigen Fälligkeitstag besteht) ein Kredit-Rückzahlungsereignis ein, so wird ein Kreditbezogenes Komplexes Produkt mit vereinfachter Abwicklung nicht zum Planmässigen Rückzahlungsbetrag am Planmässigen Fälligkeitstag an den Inhaber zurückgezahlt, sondern durch Zahlung eines Barbetrags in Höhe des Kredit-Rückzahlungsbetrags (oder, falls die anwendbaren Emissionsbedingungen dies vorsehen, durch Lieferung der in dem Bezugsverhältnis angegebenen Anzahl von Referenzverbindlichkeiten), wobei dieser Betrag (oder der Wert dieser Referenzverbindlichkeiten) in der Regel wesentlich geringer ist als der ursprüngliche von diesen Inhabern in dieses Komplexe Produkt investierte Kapitalbetrag. Darüber hinaus verfallen etwaige zum Tag des Eintritts dieses Kredit-Rückzahlungsereignisses auf dieses Komplexe Produkt aufgelaufene und noch nicht gezahlte Zinsen und werden nicht an den Inhaber des Komplexen Produkts geleistet. Im schlimmsten Fall (i) tritt vor dem ersten Zinszahlungstag ein Kredit-Rückzahlungsereignis ein, </w:t>
            </w:r>
            <w:r w:rsidR="007E3558">
              <w:rPr>
                <w:lang w:val="de-DE"/>
              </w:rPr>
              <w:t>d.h.</w:t>
            </w:r>
            <w:r w:rsidRPr="00636B15">
              <w:rPr>
                <w:lang w:val="de-DE"/>
              </w:rPr>
              <w:t xml:space="preserve"> es erfolgen keine Zinszahlungen auf die betreffenden Komplexen Produkte, und (ii) wird festgestellt, dass der Kredit-Rückzahlungsbetrag null ist oder, falls anwendbar, dass die am Kredit-Rückzahlungstag zu liefernden Referenzverbindlichkeiten wertlos sein werden. In diesem Fall würde der Anleger einen Totalverlust seines ursprünglich eingesetzten Kapitals erleiden.</w:t>
            </w:r>
          </w:p>
        </w:tc>
      </w:tr>
      <w:tr w:rsidTr="002F2BFA">
        <w:tblPrEx>
          <w:tblW w:w="5000" w:type="pct"/>
          <w:tblLook w:val="04A0"/>
        </w:tblPrEx>
        <w:tc>
          <w:tcPr>
            <w:tcW w:w="4927" w:type="dxa"/>
          </w:tcPr>
          <w:p w:rsidR="00636B15" w:rsidRPr="008E58F5" w:rsidP="00636B15">
            <w:pPr>
              <w:pStyle w:val="CSBody63ENbold"/>
            </w:pPr>
            <w:r w:rsidRPr="008E58F5">
              <w:t>Risks relating to the calculation of the Credit Redemption Amount</w:t>
            </w:r>
          </w:p>
        </w:tc>
        <w:tc>
          <w:tcPr>
            <w:tcW w:w="4928" w:type="dxa"/>
          </w:tcPr>
          <w:p w:rsidR="00636B15" w:rsidRPr="00636B15" w:rsidP="00636B15">
            <w:pPr>
              <w:pStyle w:val="CSBody63DEbold"/>
              <w:rPr>
                <w:lang w:val="de-DE"/>
              </w:rPr>
            </w:pPr>
            <w:r w:rsidRPr="00636B15">
              <w:rPr>
                <w:lang w:val="de-DE"/>
              </w:rPr>
              <w:t>Risiken in Bezug auf die Berechnung des Kredit-Rückzahlungsbetrags</w:t>
            </w:r>
          </w:p>
        </w:tc>
      </w:tr>
      <w:tr w:rsidTr="002F2BFA">
        <w:tblPrEx>
          <w:tblW w:w="5000" w:type="pct"/>
          <w:tblLook w:val="04A0"/>
        </w:tblPrEx>
        <w:tc>
          <w:tcPr>
            <w:tcW w:w="4927" w:type="dxa"/>
          </w:tcPr>
          <w:p w:rsidR="00636B15" w:rsidRPr="008E58F5" w:rsidP="008B338A">
            <w:pPr>
              <w:pStyle w:val="CSBody63EN"/>
            </w:pPr>
            <w:r w:rsidRPr="008E58F5">
              <w:t>Upon the occurrence of a Credit Redemption Event on or prior to the Scheduled Maturity Date (subject to extension if a Suspension Period is in effect on the Scheduled Maturity Date), the Credit Redemption Amount (except in the case of physical settlement) rather than the Scheduled Redemption Amount will be payable by the Issuer to the holder of each Credit-Linked Complex Product with simplified settlement on the Credit Redemption Date, which amount will be equal to the greater of zero and the sum of the Value of the Reference Obligation and the Asset Swap Value. The Value of the Reference Obligation will be determined by the Calculation Agent based on quotations obtained from leading banks or securities trading firms of the "all-in" bid price at which they would purchase the Reference Obligation on the Valuation Date, and the Asset Swap Value will be determined by the Cal</w:t>
            </w:r>
            <w:r w:rsidR="008B338A">
              <w:t>c</w:t>
            </w:r>
            <w:r w:rsidRPr="008E58F5">
              <w:t>ulation Agent based on quotations obtained from banks or securities trading firms of the amount of certain payments they would expect to pay to, or receive from, the Counterparty, if such bank or securities trading firm were to enter into an agreement with the Counterparty pursuant to which such bank or securities trading firm would fulfil the rights and obligations of the Counterparty, and the Counterparty would fulfil the rights and obligations of the Issuer, under the Swap Agreement described in the applicable Terms and Conditions. There is a risk that these quotations will be below the actual market value of the Reference Obligation or the amount that such bank or securities trading firm would actually pay to or receive from the Counterparty in order to enter such an agreement, respectively. Any quotations used in the calculation of the Credit Redemption Amount may be affected by factors other than the occurrence of the relevant Credit Redemption Event. Such quotations may vary widely from bank to bank or securities trading firm to securities trading firm.</w:t>
            </w:r>
          </w:p>
        </w:tc>
        <w:tc>
          <w:tcPr>
            <w:tcW w:w="4928" w:type="dxa"/>
          </w:tcPr>
          <w:p w:rsidR="00636B15" w:rsidRPr="00636B15" w:rsidP="008B338A">
            <w:pPr>
              <w:pStyle w:val="CSBody63DE"/>
              <w:rPr>
                <w:lang w:val="de-DE"/>
              </w:rPr>
            </w:pPr>
            <w:r w:rsidRPr="00636B15">
              <w:rPr>
                <w:lang w:val="de-DE"/>
              </w:rPr>
              <w:t>Nach Eintritt eines Kredit-Rückzahlungsereignisses an oder vor dem Planmässigen Fälligkeitstag (vorbehaltlich einer Verlängerung im Fall dass ein Aussetzungszeitraum am Planmässigen Fälligkeitstag besteht) hat die Emittentin nicht den Planmässigen Rückzahlungsbetrag, sondern den Kredit-Rückzahlungsbetrag (ausser im Fall einer physischen Abwicklung) am Kreditrückzahlungstag an den Inhaber jedes Komplexen Produkts mit vereinfachter Abwicklung zu leisten; der Kredit-Rückzahlungsbetrag entspricht dem höheren der folgenden Beträge: null oder der Summe des Werts der Referenzverbindlichkeit und des Asset-Swap-Werts. Der Wert der Referenzverbindlichkeit wird von der Berechnungsstelle basierend auf von führenden Banken oder Wertpapierhandelsunternehmen eingeholten Quotierungen für den "all-in" Geldkurs ermittelt, zu dem diese die Referenzverbindlichkeit am Bewertungstag kaufen würden, und der Asset-Swap-Wert wird von der Berechnungsstelle basierend auf von Banken oder Wertpapierhandelsunternehmen eingeholten Quotierungen für die Höhe bestimmter Zahlungen ermittelt, die die betreffende Bank oder das betreffende Wertpapierhandelsunternehmen voraussichtlich an den Kontrahenten leisten würde oder von dem Kontrahenten erhalten würde, wenn sie bzw. es eine Vereinbarung mit dem Kontrahenten schliessen würde, nach der sie bzw. es die Rechte und Pflichten des Kontrahenten und der Kontrahent die Rechte und Pflichten der Emittentin aus der Swap-Vereinbarung erfüllen würde, die in den anwendbaren Emissionsbedingungen näher beschrieben ist. Es besteht das Risiko, dass diese Quotierungen niedriger sind als der tatsächliche Marktwert der Referenzverbindlichkeit oder die Beträge, die die betreffende Bank oder das betreffende Wertpapierhandelsunternehmen tatsächlich an den Kontrahenten leisten bzw. von dem Kontrahenten erhalten würde, um eine solche Vereinbarung abzuschliessen. Bei der Berechnung des Kredit-Rückzahlungsbetrags verwendete Quotierungen können durch andere Faktoren als den Eintritt des betreffenden Kredit-Rückzahlungsereignisses beeinflusst werden. Diese Quotierungen können von Bank zu Bank oder von Wertpapierhandelsunternehmen zu Wertpapierhandelsunternehmen stark variieren.</w:t>
            </w:r>
          </w:p>
        </w:tc>
      </w:tr>
      <w:tr w:rsidTr="002F2BFA">
        <w:tblPrEx>
          <w:tblW w:w="5000" w:type="pct"/>
          <w:tblLook w:val="04A0"/>
        </w:tblPrEx>
        <w:tc>
          <w:tcPr>
            <w:tcW w:w="4927" w:type="dxa"/>
          </w:tcPr>
          <w:p w:rsidR="00636B15" w:rsidRPr="001738A9" w:rsidP="00636B15">
            <w:pPr>
              <w:pStyle w:val="CSBody63ENbold"/>
            </w:pPr>
            <w:r w:rsidRPr="001738A9">
              <w:t>Risks relating to Credit-Linked Complex Products with simplified settlement that include the possibility of physical settlement</w:t>
            </w:r>
          </w:p>
        </w:tc>
        <w:tc>
          <w:tcPr>
            <w:tcW w:w="4928" w:type="dxa"/>
          </w:tcPr>
          <w:p w:rsidR="00636B15" w:rsidRPr="00636B15" w:rsidP="00636B15">
            <w:pPr>
              <w:pStyle w:val="CSBody63DEbold"/>
              <w:rPr>
                <w:lang w:val="de-DE"/>
              </w:rPr>
            </w:pPr>
            <w:r w:rsidRPr="00636B15">
              <w:rPr>
                <w:lang w:val="de-DE"/>
              </w:rPr>
              <w:t>Risiken im Zusammenhang mit Kreditbezogenen Komplexen Produkten mit vereinfachter Abwicklung, die die Möglichkeit einer physischen Abwicklung vorsehen</w:t>
            </w:r>
          </w:p>
        </w:tc>
      </w:tr>
      <w:tr w:rsidTr="002F2BFA">
        <w:tblPrEx>
          <w:tblW w:w="5000" w:type="pct"/>
          <w:tblLook w:val="04A0"/>
        </w:tblPrEx>
        <w:tc>
          <w:tcPr>
            <w:tcW w:w="4927" w:type="dxa"/>
          </w:tcPr>
          <w:p w:rsidR="00636B15" w:rsidRPr="001738A9" w:rsidP="00636B15">
            <w:pPr>
              <w:pStyle w:val="CSBody63EN"/>
            </w:pPr>
            <w:r w:rsidRPr="001738A9">
              <w:t>The applicable Terms and Conditions of Credit-Linked Complex Products with simplified settlement may specify that the redemption of such Complex Products upon the occurrence of a Credit Redemption Event that is a Default Event will be physically settled. This means that, upon the occurrence of a Credit Redemption Event that is a Default Event on or prior to the Scheduled Maturity Date (subject to extension if a Suspension Period is in effect on the Scheduled Maturity Date), the Issuer will redeem such Complex Products on the Credit Redemption Date by delivery of the number of Reference Obligations specified in the Ratio per Complex Product to the holder thereof. Since the delivery of such Reference Obligation(s) will be made on the Credit Redemption Date (or the first Reference Obligation Delivery Day thereafter), rather than on the Valuation Date, an investor in any such Complex Products will be exposed to the risk that the value of such Reference Obligation(s) will decline between the date of their valuation and the time of their delivery. In addition, after receipt of such Reference Obligation(s), an investor in such Complex Products should not assume that he or she will be able to sell any such Reference Obligation(s) for a specific price (in particular, not for a price corresponding to the amount of capital such investor used to purchase such Complex Products). Furthermore, if the investor does not sell such Reference Obligation(s), they may decrease in value or may even become worthless and, in such case, the investor runs the risk of losing all the capital such investor used to purchase such Complex Products (including any associated transaction costs). Upon receipt of such Reference Obligation(s), the investor will be exposed to the risks relating to the Reference Entity. Investors in such Complex Products may also be subject to certain documentary, turnover or stamp taxes in relation to the delivery and/or disposal of any Reference Obligation(s) to be delivered thereunder.</w:t>
            </w:r>
          </w:p>
        </w:tc>
        <w:tc>
          <w:tcPr>
            <w:tcW w:w="4928" w:type="dxa"/>
          </w:tcPr>
          <w:p w:rsidR="00636B15" w:rsidRPr="00636B15" w:rsidP="008B338A">
            <w:pPr>
              <w:pStyle w:val="CSBody63DE"/>
              <w:rPr>
                <w:lang w:val="de-DE"/>
              </w:rPr>
            </w:pPr>
            <w:r w:rsidRPr="00636B15">
              <w:rPr>
                <w:lang w:val="de-DE"/>
              </w:rPr>
              <w:t>Die anwendbaren Emissionsbedingungen der Kreditbezogenen Komplexen Produkte mit vereinfachter Abwicklung können vorsehen, dass die Rückzahlung der Komplexen Produkte nach Eintritt eines Kredit-Rückzahlungsereignisses, das ein Ausfallereignis darstellt, durch physische Abwicklung erfolgt. Das bedeutet, dass die Emittentin diese Komplexen Produkte nach Eintritt eines Kredit-Rückzahlungsereignisses, das ein Ausfallereignis darstellt, an oder vor dem Planmässigen Fälligkeitstag (vorbehaltlich einer Verlängerung im Fall dass ein Aussetzungszeitraum am Planmässigen Fälligkeitstag besteht) am Kredit-Rückzahlungstag durch Lieferung der in dem Bezugsverhältnis angegebenen Anzahl von Referenzverbindlichkeiten je Komplexes Produkt an den jeweiligen Inhaber zurückzahlt. Da die Lieferung der jeweiligen Referenzverbindlichkeit bzw. Referenzverbindlichkeiten am Kredit-Rückzahlungstag (oder am ersten darauffolgenden Referenzverbindlichkeit-Liefertag) erfolgt, und nicht am Bewertungstag, trägt ein Anleger in diese Komplexen Produkte das Risiko, dass sich der Wert der Referenzverbindlichkeit bzw. Referenzverbindlichkeiten zwischen dem Tag ihrer Bewertung und dem Zeitpunkt ihrer Lieferung verringert. Darüber hinaus sollten Anleger in diese Komplexen Produkte nicht davon ausgehen, dass sie nach Erhalt der Referenzverbindlichkeit bzw. Referenzverbindlichkeiten in der Lage sein werden, diese zu einem bestimmten Preis verkaufen zu können (insbesondere nicht zu einem Preis, der dem von dem Anleger zum Kauf der Komplexen Produkte eingesetzten Kapitalbetrag entspricht). Wenn der Anleger die Referenzverbindlichkeit bzw. die Referenzverbindlichkeiten nicht verkauft, kann bzw. können diese ausserdem im Wert sinken oder sogar völlig wertlos werden, und in diesem Fall ist der Anleger dem Risiko eines Totalverlusts des zum Kauf der Komplexen Produkte eingesetzten Kapitals (einschliesslich der damit gegebenenfalls verbundenen Transaktionskosten) ausgesetzt. Nach Erhalt der Referenzverbindlichkeit bzw. Referenzverbindlichkeiten ist der Anleger den mit dem Referenzschuldner verbundenen Risiken ausgesetzt. Anleger in solche Komplexen Produkte können darüber hinaus im Zusammenhang mit der Lieferung und/oder dem Verkauf einer oder mehrerer auf diese Komplexen Produkte zu liefernder Referenzverbindlichkeiten zur Zahlung bestimmter Dokumentations-, Umsatz- oder Stempelsteuern verpflichtet sein.</w:t>
            </w:r>
          </w:p>
        </w:tc>
      </w:tr>
      <w:tr w:rsidTr="002F2BFA">
        <w:tblPrEx>
          <w:tblW w:w="5000" w:type="pct"/>
          <w:tblLook w:val="04A0"/>
        </w:tblPrEx>
        <w:tc>
          <w:tcPr>
            <w:tcW w:w="4927" w:type="dxa"/>
          </w:tcPr>
          <w:p w:rsidR="00636B15" w:rsidRPr="00D95BED" w:rsidP="00636B15">
            <w:pPr>
              <w:pStyle w:val="CSBody63EN"/>
            </w:pPr>
            <w:r w:rsidRPr="00D95BED">
              <w:t>Investors should also be aware that, if the applicable Terms and Conditions provide for a physical settlement upon the occurrence of a Default Event and the Issuer is not in a position to deliver the Reference Obligation(s), then the Issuer is entitled to effect a cash settlement instead.</w:t>
            </w:r>
          </w:p>
        </w:tc>
        <w:tc>
          <w:tcPr>
            <w:tcW w:w="4928" w:type="dxa"/>
          </w:tcPr>
          <w:p w:rsidR="00636B15" w:rsidRPr="00636B15" w:rsidP="008B338A">
            <w:pPr>
              <w:pStyle w:val="CSBody63DE"/>
              <w:rPr>
                <w:lang w:val="de-DE"/>
              </w:rPr>
            </w:pPr>
            <w:r w:rsidRPr="00636B15">
              <w:rPr>
                <w:lang w:val="de-DE"/>
              </w:rPr>
              <w:t>Anleger sollten sich ferner bewusst sein, dass die Emit</w:t>
            </w:r>
            <w:r w:rsidR="008B338A">
              <w:rPr>
                <w:lang w:val="de-DE"/>
              </w:rPr>
              <w:t>t</w:t>
            </w:r>
            <w:r w:rsidRPr="00636B15">
              <w:rPr>
                <w:lang w:val="de-DE"/>
              </w:rPr>
              <w:t>entin in dem Fall, dass die anwendbaren Emissionsbedingungen nach Eintritt eines Ausfallereignisses eine physische Abwicklung vorsehen, sie aber zur Lieferung der jeweiligen Referenzverbindlichkeit bzw. der jeweiligen Referenzverbindlichkeiten nicht in der Lage ist, das Recht hat, ersatzweise eine Barabwicklung vorzunehmen.</w:t>
            </w:r>
          </w:p>
        </w:tc>
      </w:tr>
      <w:tr w:rsidTr="002F2BFA">
        <w:tblPrEx>
          <w:tblW w:w="5000" w:type="pct"/>
          <w:tblLook w:val="04A0"/>
        </w:tblPrEx>
        <w:tc>
          <w:tcPr>
            <w:tcW w:w="4927" w:type="dxa"/>
          </w:tcPr>
          <w:p w:rsidR="00636B15" w:rsidRPr="0046480D" w:rsidP="00636B15">
            <w:pPr>
              <w:pStyle w:val="CSBody63EN"/>
            </w:pPr>
            <w:r w:rsidRPr="0046480D">
              <w:t>Risks relating to the extension of the period during which a Default Event or Redemption Event can be determined and postponement of principal and interest payments</w:t>
            </w:r>
          </w:p>
        </w:tc>
        <w:tc>
          <w:tcPr>
            <w:tcW w:w="4928" w:type="dxa"/>
          </w:tcPr>
          <w:p w:rsidR="00636B15" w:rsidRPr="00636B15" w:rsidP="008B338A">
            <w:pPr>
              <w:pStyle w:val="CSBody63DE"/>
              <w:rPr>
                <w:lang w:val="de-DE"/>
              </w:rPr>
            </w:pPr>
            <w:r w:rsidRPr="00636B15">
              <w:rPr>
                <w:lang w:val="de-DE"/>
              </w:rPr>
              <w:t>Risiken in Bezug auf die Verlängerung des Zeitraums, während dessen ein Ausfallereignis oder ein Rückzahlungsereignis festgestellt werden kann, und die Verschiebung von Kapital- und Zinszahlungen</w:t>
            </w:r>
          </w:p>
        </w:tc>
      </w:tr>
      <w:tr w:rsidTr="002F2BFA">
        <w:tblPrEx>
          <w:tblW w:w="5000" w:type="pct"/>
          <w:tblLook w:val="04A0"/>
        </w:tblPrEx>
        <w:tc>
          <w:tcPr>
            <w:tcW w:w="4927" w:type="dxa"/>
          </w:tcPr>
          <w:p w:rsidR="00636B15" w:rsidRPr="0046480D" w:rsidP="00636B15">
            <w:pPr>
              <w:pStyle w:val="CSBody63EN"/>
            </w:pPr>
            <w:r w:rsidRPr="0046480D">
              <w:t>The Issuer will redeem Credit-Linked Complex Products with simplified settlement on the Scheduled Maturity Date by payment of a cash amount equal to the Scheduled Redemption Amount, provided that no Credit Redemption Event has occurred on or prior to the Scheduled Maturity Date. However, if no Credit Redemption Event has occurred on or prior to the Scheduled Maturity Date, but a Suspension Period has occurred on or prior to, and is continuing on, the Scheduled Maturity Date, the Scheduled Maturity Date (and any payments of principal and interest in respect of such Complex Products otherwise scheduled to be made on such date) will be postponed to a Business Day shortly after the last day of the Suspension Period.</w:t>
            </w:r>
          </w:p>
        </w:tc>
        <w:tc>
          <w:tcPr>
            <w:tcW w:w="4928" w:type="dxa"/>
          </w:tcPr>
          <w:p w:rsidR="00636B15" w:rsidRPr="00636B15" w:rsidP="008B338A">
            <w:pPr>
              <w:pStyle w:val="CSBody63DE"/>
              <w:rPr>
                <w:lang w:val="de-DE"/>
              </w:rPr>
            </w:pPr>
            <w:r w:rsidRPr="00636B15">
              <w:rPr>
                <w:lang w:val="de-DE"/>
              </w:rPr>
              <w:t>Die Emittentin wird Kreditbezogene Komplexe Produkte mit vereinfachter Abwicklung am Planmässigen Fälligkeitstag durch Zahlung eines Barbetrags in Höhe des Planmässigen Rückzahlungsbetrags zurückzahlen, vorausgesetzt, dass an oder vor dem Planmässigen Fälligkeitstag kein Kredit-Rückzahlungsereignis eingetreten ist. Wenn zwar kein Kreditereignis-Feststellungstag vor dem Planmässigen Fälligkeitstag eingetreten ist, aber ein Aussetzungszeitraum a</w:t>
            </w:r>
            <w:r w:rsidR="008B338A">
              <w:rPr>
                <w:lang w:val="de-DE"/>
              </w:rPr>
              <w:t>n oder vor dem Planmässigen Fäl</w:t>
            </w:r>
            <w:r w:rsidRPr="00636B15">
              <w:rPr>
                <w:lang w:val="de-DE"/>
              </w:rPr>
              <w:t>ligkeitstag eingetreten ist und am Planmässigen Fälligkeitstag andauert, wird der Planmässige Fälligkeitstag (und alle Zahlungen in Bezug auf Zinsen und Kapital, die andernfalls an diesem Tag in Bezug auf die Komplexen Produkte gemacht werden würden) auf einen Geschäftstag kurz nach dem letzten Tag dieses Aussetzungszeitraums verschoben.</w:t>
            </w:r>
          </w:p>
        </w:tc>
      </w:tr>
      <w:tr w:rsidTr="002F2BFA">
        <w:tblPrEx>
          <w:tblW w:w="5000" w:type="pct"/>
          <w:tblLook w:val="04A0"/>
        </w:tblPrEx>
        <w:tc>
          <w:tcPr>
            <w:tcW w:w="4927" w:type="dxa"/>
          </w:tcPr>
          <w:p w:rsidR="00636B15" w:rsidRPr="00677B3A" w:rsidP="008B338A">
            <w:pPr>
              <w:pStyle w:val="CSBody63EN"/>
            </w:pPr>
            <w:r w:rsidRPr="00677B3A">
              <w:t xml:space="preserve">However, if during such Suspension Period, a Credit Redemption Event with respect to the Reference Entity occurs, the Issuer will redeem Credit-Linked Complex Products with simplified settlement as described under </w:t>
            </w:r>
            <w:r w:rsidRPr="00636B15">
              <w:rPr>
                <w:i/>
              </w:rPr>
              <w:t>"— B. Risk of a total or near total loss of the funds invested and a total loss of any interest payments</w:t>
            </w:r>
            <w:r w:rsidRPr="00677B3A">
              <w:t>" above, which means that potential investors may sustain a total or partial loss of their investment.</w:t>
            </w:r>
          </w:p>
        </w:tc>
        <w:tc>
          <w:tcPr>
            <w:tcW w:w="4928" w:type="dxa"/>
          </w:tcPr>
          <w:p w:rsidR="00636B15" w:rsidRPr="00636B15" w:rsidP="008B338A">
            <w:pPr>
              <w:pStyle w:val="CSBody63DE"/>
              <w:rPr>
                <w:lang w:val="de-DE"/>
              </w:rPr>
            </w:pPr>
            <w:r w:rsidRPr="00636B15">
              <w:rPr>
                <w:lang w:val="de-DE"/>
              </w:rPr>
              <w:t xml:space="preserve">Falls jedoch während dieses Aussetzungszeitraums ein Kredit-Rückzahlungsereignis in Bezug auf den Referenzschuldner eintritt, zahlt die Emittentin die Kreditbezogenen Komplexen Produkte mit vereinfachter Abwicklung wie im vorstehenden Abschnitt </w:t>
            </w:r>
            <w:r w:rsidRPr="00636B15">
              <w:rPr>
                <w:i/>
                <w:lang w:val="de-DE"/>
              </w:rPr>
              <w:t>"— B. Risiko eines Totalverlusts oder nahezu vollständigen Verlusts der angelegten Gelder und eines Totalverlusts von Zinszahlungen</w:t>
            </w:r>
            <w:r w:rsidRPr="00636B15">
              <w:rPr>
                <w:lang w:val="de-DE"/>
              </w:rPr>
              <w:t xml:space="preserve">" beschrieben zurück, </w:t>
            </w:r>
            <w:r w:rsidR="007E3558">
              <w:rPr>
                <w:lang w:val="de-DE"/>
              </w:rPr>
              <w:t>d.h.</w:t>
            </w:r>
            <w:r w:rsidRPr="00636B15">
              <w:rPr>
                <w:lang w:val="de-DE"/>
              </w:rPr>
              <w:t>, dass potenzielle Anleger einen Teil- oder Totalverlust des eingesetzten Kapitals erleiden können.</w:t>
            </w:r>
          </w:p>
        </w:tc>
      </w:tr>
      <w:tr w:rsidTr="002F2BFA">
        <w:tblPrEx>
          <w:tblW w:w="5000" w:type="pct"/>
          <w:tblLook w:val="04A0"/>
        </w:tblPrEx>
        <w:tc>
          <w:tcPr>
            <w:tcW w:w="4927" w:type="dxa"/>
          </w:tcPr>
          <w:p w:rsidR="00636B15" w:rsidRPr="00677B3A" w:rsidP="008B338A">
            <w:pPr>
              <w:pStyle w:val="CSBody63EN"/>
            </w:pPr>
            <w:r w:rsidRPr="00677B3A">
              <w:t>In addition, the Issuer is entitled to postpone the payment of the relevant Interest Payment Amount if a Suspension Period with respect to the Reference Entity has occurred prior to, and is continuing on, the relevant Interest Payment Date. The Issuer will not owe additional interest or other payments to the holders of the Complex Products by reason of any such delayed interest payment. However, if during such Suspension Period, a Credit Redemption Event with respect to the Reference Entity occurs, the Issuer will not pay the relevant Interest Payment Amount.</w:t>
            </w:r>
          </w:p>
        </w:tc>
        <w:tc>
          <w:tcPr>
            <w:tcW w:w="4928" w:type="dxa"/>
          </w:tcPr>
          <w:p w:rsidR="00636B15" w:rsidRPr="00636B15" w:rsidP="008B338A">
            <w:pPr>
              <w:pStyle w:val="CSBody63DE"/>
              <w:rPr>
                <w:lang w:val="de-DE"/>
              </w:rPr>
            </w:pPr>
            <w:r w:rsidRPr="00636B15">
              <w:rPr>
                <w:lang w:val="de-DE"/>
              </w:rPr>
              <w:t>Darüber hinaus ist die Emittentin berechtigt, die Zahlung des jeweiligen Zinszahlungsbetrags zu verschieben, wenn ein Aussetzungszeitraum in Bezug auf den Referenzschuldner vor dem Zinszahlungstag eingetreten ist und an diesem Tag andauert. Die Emittentin schuldet den Inhabern keine zusätzlichen Zins- oder sonstige Zahlungen aufgrund der verzögerten Zinszahlung. Tritt allerdings während des Aussetzungszeitraums ein Kredit-Rückzahlungsereignis in Bezug auf den Referenzschuldner ein, so wird die Emittentin den jeweiligen Zinszahlungsbetrag nicht zahlen.</w:t>
            </w:r>
          </w:p>
        </w:tc>
      </w:tr>
      <w:tr w:rsidTr="002F2BFA">
        <w:tblPrEx>
          <w:tblW w:w="5000" w:type="pct"/>
          <w:tblLook w:val="04A0"/>
        </w:tblPrEx>
        <w:tc>
          <w:tcPr>
            <w:tcW w:w="4927" w:type="dxa"/>
          </w:tcPr>
          <w:p w:rsidR="00636B15" w:rsidRPr="00D4002D" w:rsidP="00636B15">
            <w:pPr>
              <w:pStyle w:val="CSBody63ENbold"/>
            </w:pPr>
            <w:r w:rsidRPr="00D4002D">
              <w:t>Additional Risks associated with Credit-Linked Complex Products</w:t>
            </w:r>
          </w:p>
        </w:tc>
        <w:tc>
          <w:tcPr>
            <w:tcW w:w="4928" w:type="dxa"/>
          </w:tcPr>
          <w:p w:rsidR="00636B15" w:rsidRPr="00636B15" w:rsidP="00636B15">
            <w:pPr>
              <w:pStyle w:val="CSBody63DEbold"/>
              <w:rPr>
                <w:lang w:val="de-DE"/>
              </w:rPr>
            </w:pPr>
            <w:r w:rsidRPr="00636B15">
              <w:rPr>
                <w:lang w:val="de-DE"/>
              </w:rPr>
              <w:t>Weitere mit Kreditbezogenen Komplexen Produkten verbundene Risiken</w:t>
            </w:r>
          </w:p>
        </w:tc>
      </w:tr>
      <w:tr w:rsidTr="002F2BFA">
        <w:tblPrEx>
          <w:tblW w:w="5000" w:type="pct"/>
          <w:tblLook w:val="04A0"/>
        </w:tblPrEx>
        <w:tc>
          <w:tcPr>
            <w:tcW w:w="4927" w:type="dxa"/>
          </w:tcPr>
          <w:p w:rsidR="00636B15" w:rsidRPr="00D4002D" w:rsidP="00636B15">
            <w:pPr>
              <w:pStyle w:val="CSBody63ENbold"/>
            </w:pPr>
            <w:r w:rsidRPr="00D4002D">
              <w:t>The market value of, and expected return on, Credit-Linked Complex Products may be influenced by many factors, some or all of which may be unpredictable</w:t>
            </w:r>
          </w:p>
        </w:tc>
        <w:tc>
          <w:tcPr>
            <w:tcW w:w="4928" w:type="dxa"/>
          </w:tcPr>
          <w:p w:rsidR="00636B15" w:rsidRPr="00636B15" w:rsidP="00636B15">
            <w:pPr>
              <w:pStyle w:val="CSBody63DEbold"/>
              <w:rPr>
                <w:lang w:val="de-DE"/>
              </w:rPr>
            </w:pPr>
            <w:r w:rsidRPr="00636B15">
              <w:rPr>
                <w:lang w:val="de-DE"/>
              </w:rPr>
              <w:t>Der Marktwert der Kreditbezogenen Komplexen Produkte und die mit den Kreditbezogenen Komplexen Produkten erwartete Rendite kann von zahlreichen Faktoren beeinflusst werden, die insgesamt oder teilweise nicht vorhersehbar sein können</w:t>
            </w:r>
          </w:p>
        </w:tc>
      </w:tr>
      <w:tr w:rsidTr="002F2BFA">
        <w:tblPrEx>
          <w:tblW w:w="5000" w:type="pct"/>
          <w:tblLook w:val="04A0"/>
        </w:tblPrEx>
        <w:tc>
          <w:tcPr>
            <w:tcW w:w="4927" w:type="dxa"/>
          </w:tcPr>
          <w:p w:rsidR="00636B15" w:rsidRPr="00494B35" w:rsidP="008B338A">
            <w:pPr>
              <w:pStyle w:val="CSBody63EN"/>
            </w:pPr>
            <w:r w:rsidRPr="00494B35">
              <w:t>During the term of a Credit-Linked Complex Product, the market value of, and the expected return on, such Complex Product may be influenced by many factors, some or all of which may be unpredictable. Many economic and market factors will influence the market value of such a Complex Product.</w:t>
            </w:r>
          </w:p>
        </w:tc>
        <w:tc>
          <w:tcPr>
            <w:tcW w:w="4928" w:type="dxa"/>
          </w:tcPr>
          <w:p w:rsidR="00636B15" w:rsidRPr="00636B15" w:rsidP="00636B15">
            <w:pPr>
              <w:pStyle w:val="CSBody63DE"/>
              <w:rPr>
                <w:lang w:val="de-DE"/>
              </w:rPr>
            </w:pPr>
            <w:r w:rsidRPr="00636B15">
              <w:rPr>
                <w:lang w:val="de-DE"/>
              </w:rPr>
              <w:t xml:space="preserve">Während der Laufzeit eines Kreditbezogenen Komplexen Produkts kann dessen Marktwert und die mit diesen Komplexen Produkten erwartete Rendite von zahlreichen Faktoren beeinflusst werden, die insgesamt oder teilweise nicht vorhersehbar sein können. Viele wirtschaftliche und marktbezogene Faktoren wirken sich auf den Marktwert eines Komplexen Produkts aus. </w:t>
            </w:r>
          </w:p>
        </w:tc>
      </w:tr>
      <w:tr w:rsidTr="002F2BFA">
        <w:tblPrEx>
          <w:tblW w:w="5000" w:type="pct"/>
          <w:tblLook w:val="04A0"/>
        </w:tblPrEx>
        <w:tc>
          <w:tcPr>
            <w:tcW w:w="4927" w:type="dxa"/>
          </w:tcPr>
          <w:p w:rsidR="00636B15" w:rsidRPr="00494B35" w:rsidP="008B338A">
            <w:pPr>
              <w:pStyle w:val="CSBody63EN"/>
            </w:pPr>
            <w:r w:rsidRPr="00494B35">
              <w:t>The Issuer expects that, generally, the creditworthiness of the Reference Entity/Entities on any day will affect the market value of Credit-Linked Complex Products more than any other single factor. However, a potential investor should not expect the market value of such a Complex Product in the secondary market to vary in proportion to changes in creditworthiness of the Reference Entity/Entities. The return on such a Complex Product (if any) may bear little relation to, and may be much less than, the return that the investor therein might have achieved if such investor had invested directly in, or securities issued by, the Reference Entity/Entities.</w:t>
            </w:r>
          </w:p>
        </w:tc>
        <w:tc>
          <w:tcPr>
            <w:tcW w:w="4928" w:type="dxa"/>
          </w:tcPr>
          <w:p w:rsidR="00636B15" w:rsidRPr="00636B15" w:rsidP="008B338A">
            <w:pPr>
              <w:pStyle w:val="CSBody63DE"/>
              <w:rPr>
                <w:lang w:val="de-DE"/>
              </w:rPr>
            </w:pPr>
            <w:r w:rsidRPr="00636B15">
              <w:rPr>
                <w:lang w:val="de-DE"/>
              </w:rPr>
              <w:t>Die Emittentin geht davon aus, dass die Bonität des Referenzschuldners/der Referenzschuldner den Marktwert der Kreditbezogenen Komplexen Produkte in der Regel an jedem beliebigen Tag stärker beeinflussen wird als jeder andere Einzelfaktor. Potenzielle Anleger sollten jedoch nicht erwarten, dass sich der Marktwert eines Komplexen Produkts im Sekundärmarkt proportional zu Änderungen der Bonität des Referenzschuldners/der Referenzschuldner entwickelt. Eine etwaige Rendite auf ein Komplexes Produkt steht unter Umständen in keinem Verhältnis zu der Rendite, die der Anleger durch eine Direktanlage in den bzw. die Referenzschuldner oder von diesem bzw. diesen begebene Wertpapiere hätte erzielen können, und kann viel geringer als diese ausfallen.</w:t>
            </w:r>
          </w:p>
        </w:tc>
      </w:tr>
      <w:tr w:rsidTr="002F2BFA">
        <w:tblPrEx>
          <w:tblW w:w="5000" w:type="pct"/>
          <w:tblLook w:val="04A0"/>
        </w:tblPrEx>
        <w:tc>
          <w:tcPr>
            <w:tcW w:w="4927" w:type="dxa"/>
          </w:tcPr>
          <w:p w:rsidR="00636B15" w:rsidRPr="00D52AF4" w:rsidP="00636B15">
            <w:pPr>
              <w:pStyle w:val="CSBody63EN"/>
            </w:pPr>
            <w:r w:rsidRPr="00D52AF4">
              <w:t>The market value of, and return (if any) on, a Credit-Linked Complex Product will be affected by a number of other factors, which may be unpredictable or beyond the Issuer's control, and which may offset or magnify each other, including, without limitation:</w:t>
            </w:r>
          </w:p>
        </w:tc>
        <w:tc>
          <w:tcPr>
            <w:tcW w:w="4928" w:type="dxa"/>
          </w:tcPr>
          <w:p w:rsidR="00636B15" w:rsidRPr="008B338A" w:rsidP="008B338A">
            <w:pPr>
              <w:pStyle w:val="CSBody63DE"/>
              <w:rPr>
                <w:lang w:val="de-DE"/>
              </w:rPr>
            </w:pPr>
            <w:r w:rsidRPr="00636B15">
              <w:rPr>
                <w:lang w:val="de-DE"/>
              </w:rPr>
              <w:t xml:space="preserve">Der Marktwert eines Kreditbezogenen Komplexen Produkts und die gegebenenfalls damit zu erzielende Rendite unterliegen einer Reihe anderer Einflussfaktoren, die unvorhersehbar sein können oder sich der Einflussmöglichkeit der Emittentin entziehen können, und die sich gegenseitig aufheben oder verstärken können. </w:t>
            </w:r>
            <w:r w:rsidRPr="008B338A">
              <w:rPr>
                <w:lang w:val="de-DE"/>
              </w:rPr>
              <w:t>Hierzu gehören unter anderem:</w:t>
            </w:r>
          </w:p>
        </w:tc>
      </w:tr>
      <w:tr w:rsidTr="002F2BFA">
        <w:tblPrEx>
          <w:tblW w:w="5000" w:type="pct"/>
          <w:tblLook w:val="04A0"/>
        </w:tblPrEx>
        <w:tc>
          <w:tcPr>
            <w:tcW w:w="4927" w:type="dxa"/>
          </w:tcPr>
          <w:p w:rsidR="00636B15" w:rsidRPr="00636B15" w:rsidP="00061F5E">
            <w:pPr>
              <w:pStyle w:val="CSBullet63"/>
            </w:pPr>
            <w:r w:rsidRPr="00636B15">
              <w:t>supply and demand for such Complex Product, including inventory positions of any other market maker;</w:t>
            </w:r>
          </w:p>
        </w:tc>
        <w:tc>
          <w:tcPr>
            <w:tcW w:w="4928" w:type="dxa"/>
          </w:tcPr>
          <w:p w:rsidR="00636B15" w:rsidRPr="00636B15" w:rsidP="008B338A">
            <w:pPr>
              <w:pStyle w:val="CSBullet63"/>
              <w:rPr>
                <w:lang w:val="de-DE"/>
              </w:rPr>
            </w:pPr>
            <w:r w:rsidRPr="00636B15">
              <w:rPr>
                <w:lang w:val="de-DE"/>
              </w:rPr>
              <w:t>Angebot und Nachfrage in Bezug auf das betreffende Komplexe Produkt und die Bestandspositionen anderer Market Maker;</w:t>
            </w:r>
          </w:p>
        </w:tc>
      </w:tr>
      <w:tr w:rsidTr="002F2BFA">
        <w:tblPrEx>
          <w:tblW w:w="5000" w:type="pct"/>
          <w:tblLook w:val="04A0"/>
        </w:tblPrEx>
        <w:tc>
          <w:tcPr>
            <w:tcW w:w="4927" w:type="dxa"/>
          </w:tcPr>
          <w:p w:rsidR="00636B15" w:rsidRPr="00636B15" w:rsidP="00061F5E">
            <w:pPr>
              <w:pStyle w:val="CSBullet63"/>
            </w:pPr>
            <w:r w:rsidRPr="00636B15">
              <w:t>the expected frequency and magnitude of changes in the creditworthiness of the Reference Entity/Entities (volatility);</w:t>
            </w:r>
          </w:p>
        </w:tc>
        <w:tc>
          <w:tcPr>
            <w:tcW w:w="4928" w:type="dxa"/>
          </w:tcPr>
          <w:p w:rsidR="00636B15" w:rsidRPr="00636B15" w:rsidP="00061F5E">
            <w:pPr>
              <w:pStyle w:val="CSBullet63"/>
              <w:rPr>
                <w:lang w:val="de-DE"/>
              </w:rPr>
            </w:pPr>
            <w:r w:rsidRPr="00636B15">
              <w:rPr>
                <w:lang w:val="de-DE"/>
              </w:rPr>
              <w:t>die erwartete Häufigkeit und das erwartete Ausmass von Änderungen der Bonität des Referenzschuldners bzw. der Referenzschuldner (Volatilität);</w:t>
            </w:r>
          </w:p>
        </w:tc>
      </w:tr>
      <w:tr w:rsidTr="002F2BFA">
        <w:tblPrEx>
          <w:tblW w:w="5000" w:type="pct"/>
          <w:tblLook w:val="04A0"/>
        </w:tblPrEx>
        <w:tc>
          <w:tcPr>
            <w:tcW w:w="4927" w:type="dxa"/>
          </w:tcPr>
          <w:p w:rsidR="00636B15" w:rsidRPr="00636B15" w:rsidP="00061F5E">
            <w:pPr>
              <w:pStyle w:val="CSBullet63"/>
            </w:pPr>
            <w:r w:rsidRPr="00636B15">
              <w:t>economic, financial, political or regulatory events or judicial decisions that affect Credit Suisse, the Reference Entity/Entities or the financial markets generally;</w:t>
            </w:r>
          </w:p>
        </w:tc>
        <w:tc>
          <w:tcPr>
            <w:tcW w:w="4928" w:type="dxa"/>
          </w:tcPr>
          <w:p w:rsidR="00636B15" w:rsidRPr="00636B15" w:rsidP="008B338A">
            <w:pPr>
              <w:pStyle w:val="CSBullet63"/>
              <w:rPr>
                <w:lang w:val="de-DE"/>
              </w:rPr>
            </w:pPr>
            <w:r w:rsidRPr="00636B15">
              <w:rPr>
                <w:lang w:val="de-DE"/>
              </w:rPr>
              <w:t>konjunkturelle, finanzielle, politische oder aufsichtsrechtliche Ereignisse oder Gerichtsentscheidungen, die die Credit Suisse, den bzw. die Referenzschuldner oder die Finanzmärkte im Allgemeinen betreffen;</w:t>
            </w:r>
          </w:p>
        </w:tc>
      </w:tr>
      <w:tr w:rsidTr="002F2BFA">
        <w:tblPrEx>
          <w:tblW w:w="5000" w:type="pct"/>
          <w:tblLook w:val="04A0"/>
        </w:tblPrEx>
        <w:tc>
          <w:tcPr>
            <w:tcW w:w="4927" w:type="dxa"/>
          </w:tcPr>
          <w:p w:rsidR="00636B15" w:rsidRPr="00636B15" w:rsidP="00061F5E">
            <w:pPr>
              <w:pStyle w:val="CSBullet63"/>
            </w:pPr>
            <w:r w:rsidRPr="00636B15">
              <w:t>interest and yield rates in the market generally;</w:t>
            </w:r>
          </w:p>
        </w:tc>
        <w:tc>
          <w:tcPr>
            <w:tcW w:w="4928" w:type="dxa"/>
          </w:tcPr>
          <w:p w:rsidR="00636B15" w:rsidRPr="00636B15" w:rsidP="00061F5E">
            <w:pPr>
              <w:pStyle w:val="CSBullet63"/>
            </w:pPr>
            <w:r w:rsidRPr="00636B15">
              <w:t>Marktzinssätze und -renditen allgemein;</w:t>
            </w:r>
          </w:p>
        </w:tc>
      </w:tr>
      <w:tr w:rsidTr="002F2BFA">
        <w:tblPrEx>
          <w:tblW w:w="5000" w:type="pct"/>
          <w:tblLook w:val="04A0"/>
        </w:tblPrEx>
        <w:tc>
          <w:tcPr>
            <w:tcW w:w="4927" w:type="dxa"/>
          </w:tcPr>
          <w:p w:rsidR="00636B15" w:rsidRPr="00636B15" w:rsidP="00061F5E">
            <w:pPr>
              <w:pStyle w:val="CSBullet63"/>
            </w:pPr>
            <w:r w:rsidRPr="00636B15">
              <w:t>the time remaining until the Scheduled Maturity Date; and</w:t>
            </w:r>
          </w:p>
        </w:tc>
        <w:tc>
          <w:tcPr>
            <w:tcW w:w="4928" w:type="dxa"/>
          </w:tcPr>
          <w:p w:rsidR="00636B15" w:rsidRPr="00636B15" w:rsidP="008B338A">
            <w:pPr>
              <w:pStyle w:val="CSBullet63"/>
              <w:rPr>
                <w:lang w:val="de-DE"/>
              </w:rPr>
            </w:pPr>
            <w:r w:rsidRPr="00636B15">
              <w:rPr>
                <w:lang w:val="de-DE"/>
              </w:rPr>
              <w:t>die Restlaufzeit bis zum Planmässigen Rückzahlungstag; und</w:t>
            </w:r>
          </w:p>
        </w:tc>
      </w:tr>
      <w:tr w:rsidTr="002F2BFA">
        <w:tblPrEx>
          <w:tblW w:w="5000" w:type="pct"/>
          <w:tblLook w:val="04A0"/>
        </w:tblPrEx>
        <w:tc>
          <w:tcPr>
            <w:tcW w:w="4927" w:type="dxa"/>
          </w:tcPr>
          <w:p w:rsidR="00636B15" w:rsidRPr="00636B15" w:rsidP="00061F5E">
            <w:pPr>
              <w:pStyle w:val="CSBullet63"/>
            </w:pPr>
            <w:r w:rsidRPr="00636B15">
              <w:t>Credit Suisse’s creditworthiness, including actual or anticipated downgrades in Credit Suisse’s credit ratings.</w:t>
            </w:r>
          </w:p>
        </w:tc>
        <w:tc>
          <w:tcPr>
            <w:tcW w:w="4928" w:type="dxa"/>
          </w:tcPr>
          <w:p w:rsidR="00636B15" w:rsidRPr="00636B15" w:rsidP="00061F5E">
            <w:pPr>
              <w:pStyle w:val="CSBullet63"/>
              <w:rPr>
                <w:lang w:val="de-DE"/>
              </w:rPr>
            </w:pPr>
            <w:r w:rsidRPr="00636B15">
              <w:rPr>
                <w:lang w:val="de-DE"/>
              </w:rPr>
              <w:t>die Bonität der Credit Suisse sowie tatsächliche oder erwartete Herabstufungen des Kreditratings der Credit Suisse.</w:t>
            </w:r>
          </w:p>
        </w:tc>
      </w:tr>
      <w:tr w:rsidTr="002F2BFA">
        <w:tblPrEx>
          <w:tblW w:w="5000" w:type="pct"/>
          <w:tblLook w:val="04A0"/>
        </w:tblPrEx>
        <w:tc>
          <w:tcPr>
            <w:tcW w:w="4927" w:type="dxa"/>
          </w:tcPr>
          <w:p w:rsidR="00061F5E" w:rsidRPr="009A65ED" w:rsidP="00061F5E">
            <w:pPr>
              <w:pStyle w:val="CSBody63EN"/>
            </w:pPr>
            <w:r w:rsidRPr="009A65ED">
              <w:t>Some or all of these factors may have a negative impact on the price of a Credit-Linked Complex Product. The impact of any of the factors set forth above may enhance or offset some or all of any change resulting from another factor or factors.</w:t>
            </w:r>
          </w:p>
        </w:tc>
        <w:tc>
          <w:tcPr>
            <w:tcW w:w="4928" w:type="dxa"/>
          </w:tcPr>
          <w:p w:rsidR="00061F5E" w:rsidRPr="00061F5E" w:rsidP="00E73644">
            <w:pPr>
              <w:pStyle w:val="CSBody63DE"/>
              <w:rPr>
                <w:lang w:val="de-DE"/>
              </w:rPr>
            </w:pPr>
            <w:r w:rsidRPr="00061F5E">
              <w:rPr>
                <w:lang w:val="de-DE"/>
              </w:rPr>
              <w:t>Einige oder alle dieser Faktoren können sich nachteilig auf den Preis eines Kreditbezogenen Komplexen Produkts auswirken. Die vorstehend aufgeführten Faktoren können sich verstärkend oder ausgleichend auf sämtliche oder einzelne der durch einen oder mehrere andere Faktoren ausgelösten Veränderungen auswirken.</w:t>
            </w:r>
          </w:p>
        </w:tc>
      </w:tr>
      <w:tr w:rsidTr="002F2BFA">
        <w:tblPrEx>
          <w:tblW w:w="5000" w:type="pct"/>
          <w:tblLook w:val="04A0"/>
        </w:tblPrEx>
        <w:tc>
          <w:tcPr>
            <w:tcW w:w="4927" w:type="dxa"/>
          </w:tcPr>
          <w:p w:rsidR="00061F5E" w:rsidRPr="009A65ED" w:rsidP="00E73644">
            <w:pPr>
              <w:pStyle w:val="CSBody63EN"/>
            </w:pPr>
            <w:r w:rsidRPr="009A65ED">
              <w:t>In addition, certain built-in costs are likely to adversely affect the market value of Credit-Linked Complex Products. The price at which the Issuer will be willing to purchase such Complex Products from a holder in secondary market transactions, if at all, will likely be lower than the original Issue Price.</w:t>
            </w:r>
          </w:p>
        </w:tc>
        <w:tc>
          <w:tcPr>
            <w:tcW w:w="4928" w:type="dxa"/>
          </w:tcPr>
          <w:p w:rsidR="00061F5E" w:rsidRPr="00061F5E" w:rsidP="00E73644">
            <w:pPr>
              <w:pStyle w:val="CSBody63DE"/>
              <w:rPr>
                <w:lang w:val="de-DE"/>
              </w:rPr>
            </w:pPr>
            <w:r w:rsidRPr="00061F5E">
              <w:rPr>
                <w:lang w:val="de-DE"/>
              </w:rPr>
              <w:t>Im Weiteren werden sich bestimmte eingepreiste Kosten voraussichtlich nachteilig auf den Marktwert der Kreditbezogenen Komplexen Produkte auswirken. Der Preis, zu dem die Emittentin zum Rückkauf Komplexer Produkte von einem Inhaber im Rahmen einer Sekundärmarkttransaktion bereit ist, wird voraussichtlich unter dem ursprünglichen Emissionspreis liegen.</w:t>
            </w:r>
          </w:p>
        </w:tc>
      </w:tr>
      <w:tr w:rsidTr="002F2BFA">
        <w:tblPrEx>
          <w:tblW w:w="5000" w:type="pct"/>
          <w:tblLook w:val="04A0"/>
        </w:tblPrEx>
        <w:tc>
          <w:tcPr>
            <w:tcW w:w="4927" w:type="dxa"/>
          </w:tcPr>
          <w:p w:rsidR="00061F5E" w:rsidRPr="004575C8" w:rsidP="00061F5E">
            <w:pPr>
              <w:pStyle w:val="CSBody63ENbold"/>
            </w:pPr>
            <w:r w:rsidRPr="004575C8">
              <w:t>Changes in credit risk</w:t>
            </w:r>
          </w:p>
        </w:tc>
        <w:tc>
          <w:tcPr>
            <w:tcW w:w="4928" w:type="dxa"/>
          </w:tcPr>
          <w:p w:rsidR="00061F5E" w:rsidRPr="004575C8" w:rsidP="00061F5E">
            <w:pPr>
              <w:pStyle w:val="CSBody63DEbold"/>
            </w:pPr>
            <w:r w:rsidRPr="004575C8">
              <w:t>Veränderungen des Kreditrisikos</w:t>
            </w:r>
          </w:p>
        </w:tc>
      </w:tr>
      <w:tr w:rsidTr="002F2BFA">
        <w:tblPrEx>
          <w:tblW w:w="5000" w:type="pct"/>
          <w:tblLook w:val="04A0"/>
        </w:tblPrEx>
        <w:tc>
          <w:tcPr>
            <w:tcW w:w="4927" w:type="dxa"/>
          </w:tcPr>
          <w:p w:rsidR="00061F5E" w:rsidRPr="004575C8" w:rsidP="00E73644">
            <w:pPr>
              <w:pStyle w:val="CSBody63EN"/>
            </w:pPr>
            <w:r w:rsidRPr="004575C8">
              <w:t>Credit risk valuation at the time of purchase of a Credit-Linked Complex Product is not an indication of the future probability of the occurrence of a Credit Event or Credit Redemption Event, as applicable. Changes in the creditworthiness of the Reference Entity or any of the Reference Entities, as applicable, may affect the trading price of such Complex Products, and it is impossible to predict whether such creditworthiness will improve or deteriorate.</w:t>
            </w:r>
          </w:p>
        </w:tc>
        <w:tc>
          <w:tcPr>
            <w:tcW w:w="4928" w:type="dxa"/>
          </w:tcPr>
          <w:p w:rsidR="00061F5E" w:rsidRPr="00061F5E" w:rsidP="00061F5E">
            <w:pPr>
              <w:pStyle w:val="CSBody63DE"/>
              <w:rPr>
                <w:lang w:val="de-DE"/>
              </w:rPr>
            </w:pPr>
            <w:r w:rsidRPr="00061F5E">
              <w:rPr>
                <w:lang w:val="de-DE"/>
              </w:rPr>
              <w:t>Die Bewertung des Kreditrisikos im Zeitpunkt des Erwerbs eines Kreditbezogenen Komplexen Produkts lässt keinen Rückschluss auf die Wahrscheinlichkeit des Eintritts eines Kreditereignisses bzw. eines Kredit-Rückzahlungsereignisses in der Zukunft zu. Verändert sich die Bonität des bzw. eines Referenzschuldners, so kann sich dies auf den Preis auswirken, zu dem das betreffende Komplexe Produkt gehandelt wird, und es ist nicht vorhersehbar, ob sich die Bonität verbessern oder verschlechtern wird.</w:t>
            </w:r>
          </w:p>
        </w:tc>
      </w:tr>
      <w:tr w:rsidTr="002F2BFA">
        <w:tblPrEx>
          <w:tblW w:w="5000" w:type="pct"/>
          <w:tblLook w:val="04A0"/>
        </w:tblPrEx>
        <w:tc>
          <w:tcPr>
            <w:tcW w:w="4927" w:type="dxa"/>
          </w:tcPr>
          <w:p w:rsidR="00061F5E" w:rsidRPr="003E0894" w:rsidP="00E73644">
            <w:pPr>
              <w:pStyle w:val="CSBody63EN"/>
            </w:pPr>
            <w:r w:rsidRPr="003E0894">
              <w:t>A deterioration in the credit rating of the Reference Entity or any of the Reference Entities, as applicable, will most likely have a negative impact on the market value of Credit-Linked Complex Products. The market value of such Complex Products will fall significantly if a Credit Event or Credit Redemption Event, as applicable, with respect to the Reference Entity or any of the Reference Entities, as applicable, has occurred, or if there is a market perception that such an event is likely to occur.</w:t>
            </w:r>
          </w:p>
        </w:tc>
        <w:tc>
          <w:tcPr>
            <w:tcW w:w="4928" w:type="dxa"/>
          </w:tcPr>
          <w:p w:rsidR="00061F5E" w:rsidRPr="00061F5E" w:rsidP="00E73644">
            <w:pPr>
              <w:pStyle w:val="CSBody63DE"/>
              <w:rPr>
                <w:lang w:val="de-DE"/>
              </w:rPr>
            </w:pPr>
            <w:r w:rsidRPr="00061F5E">
              <w:rPr>
                <w:lang w:val="de-DE"/>
              </w:rPr>
              <w:t>Verschlechtert sich das Rating des bzw. eines Referenzschuldners, so wirkt sich dies höchstwahrscheinlich negativ auf den Marktwert der Kreditbezogenen Komplexen Produkte aus. Der Marktwert dieser Komplexen Produkte sinkt erheblich, wenn ein Kreditereignis bzw. ein Kredit-Rückzahlungsereignis in Bezug auf den bzw. einen Referenzschuldner eingetreten ist oder nach Ansicht des Marktes wahrscheinlich eintreten wird.</w:t>
            </w:r>
          </w:p>
        </w:tc>
      </w:tr>
      <w:tr w:rsidTr="002F2BFA">
        <w:tblPrEx>
          <w:tblW w:w="5000" w:type="pct"/>
          <w:tblLook w:val="04A0"/>
        </w:tblPrEx>
        <w:tc>
          <w:tcPr>
            <w:tcW w:w="4927" w:type="dxa"/>
          </w:tcPr>
          <w:p w:rsidR="00061F5E" w:rsidRPr="003E0894" w:rsidP="00061F5E">
            <w:pPr>
              <w:pStyle w:val="CSBody63ENbold"/>
            </w:pPr>
            <w:r w:rsidRPr="003E0894">
              <w:t>No claim or right whatsoever against the Reference Entity/Entities</w:t>
            </w:r>
          </w:p>
        </w:tc>
        <w:tc>
          <w:tcPr>
            <w:tcW w:w="4928" w:type="dxa"/>
          </w:tcPr>
          <w:p w:rsidR="00061F5E" w:rsidRPr="00061F5E" w:rsidP="00061F5E">
            <w:pPr>
              <w:pStyle w:val="CSBody63DEbold"/>
              <w:rPr>
                <w:lang w:val="de-DE"/>
              </w:rPr>
            </w:pPr>
            <w:r w:rsidRPr="00061F5E">
              <w:rPr>
                <w:lang w:val="de-DE"/>
              </w:rPr>
              <w:t>Keinerlei Ansprüche oder Rechte gegenüber dem Referenzschuldner/den Referenzschuldnern</w:t>
            </w:r>
          </w:p>
        </w:tc>
      </w:tr>
      <w:tr w:rsidTr="002F2BFA">
        <w:tblPrEx>
          <w:tblW w:w="5000" w:type="pct"/>
          <w:tblLook w:val="04A0"/>
        </w:tblPrEx>
        <w:tc>
          <w:tcPr>
            <w:tcW w:w="4927" w:type="dxa"/>
          </w:tcPr>
          <w:p w:rsidR="00061F5E" w:rsidRPr="003E0894" w:rsidP="00E73644">
            <w:pPr>
              <w:pStyle w:val="CSBody63EN"/>
            </w:pPr>
            <w:r w:rsidRPr="003E0894">
              <w:t>A Credit-Linked Complex Product does not represent a claim against the Reference Entity/Entities, and, in the event of any loss under such Complex Product, a potential investor will have no right of recourse against the Reference Entity/Entities, nor shall a potential investor have any legal, beneficial or other interest whatsoever in the Reference Obligation/Obligations. The Reference Entity/Entities is/are not involved in the issuance of such Complex Products in any way and has/have no obligation to consider the interests of the potential investors. The Reference Entity/Entities may, and is/are entitled to, take actions that will adversely affect the value of such Complex Products. Potential investors will not have any voting rights in the Reference Entity/Entities or rights to receive dividends from the Reference Entity/Entities, or any other rights (such as rights to receive interest payments) that holders of debt obligations of the Reference Entity/Entities may have.</w:t>
            </w:r>
          </w:p>
        </w:tc>
        <w:tc>
          <w:tcPr>
            <w:tcW w:w="4928" w:type="dxa"/>
          </w:tcPr>
          <w:p w:rsidR="00061F5E" w:rsidRPr="00061F5E" w:rsidP="00E73644">
            <w:pPr>
              <w:pStyle w:val="CSBody63DE"/>
              <w:rPr>
                <w:lang w:val="de-DE"/>
              </w:rPr>
            </w:pPr>
            <w:r w:rsidRPr="00061F5E">
              <w:rPr>
                <w:lang w:val="de-DE"/>
              </w:rPr>
              <w:t>Ein Kreditbezogenes Komplexes Produkt begründet keinen Anspruch gegen den bzw. die Referenzschuldner, und ein potenzieller Anleger hat im Falle eines Verlusts aus dem Komplexen Produkt kein Rückgriffsrecht gegenüber dem Referenzschuldner/den Referenzschuldnern; ebenso wenig hat ein potenzieller Anleger rechtliche, wirtschaftliche oder sonstige Eigentumsrechte an der Referenzverbindlichkeit/den Referenzverbindlichkeiten. Der bzw. die Referenzschuldner ist bzw. sind in keiner Weise an der Begebung der Komplexen Produkte beteiligt und nicht verpflichtet, die Interessen potenzieller Anleger zu berücksichtigen. Der bzw. die Referenzschuldner ist bzw. sind berechtigt und kann bzw. können Massnahmen ergreifen, die sich nachteilig auf den Wert der Komplexen Produkte auswirken. Potenzielle Anleger haben keine Stimmrechte bezüglich des Referenzschuldners / der Referenzschuldner oder Dividendenansprüche gegenüber dem Referenzschuldner / den Referenzschuldners oder sonstige Rechte (wie beispielsweise ein Recht auf Zinszahlungen), die den Gläubigern von Schuldtiteln des Referenzschuldners / der Referenzschuldner gegebenenfalls zustehen.</w:t>
            </w:r>
          </w:p>
        </w:tc>
      </w:tr>
      <w:tr w:rsidTr="002F2BFA">
        <w:tblPrEx>
          <w:tblW w:w="5000" w:type="pct"/>
          <w:tblLook w:val="04A0"/>
        </w:tblPrEx>
        <w:tc>
          <w:tcPr>
            <w:tcW w:w="4927" w:type="dxa"/>
          </w:tcPr>
          <w:p w:rsidR="00061F5E" w:rsidRPr="006031A1" w:rsidP="00061F5E">
            <w:pPr>
              <w:pStyle w:val="CSBody63ENbold"/>
            </w:pPr>
            <w:r w:rsidRPr="006031A1">
              <w:t>The performance of Credit-Linked Complex Products may differ significantly from a direct investment in the Reference Entity/Entities or in debt obligations issued by the Reference Entity/Entities</w:t>
            </w:r>
          </w:p>
        </w:tc>
        <w:tc>
          <w:tcPr>
            <w:tcW w:w="4928" w:type="dxa"/>
          </w:tcPr>
          <w:p w:rsidR="00061F5E" w:rsidRPr="00061F5E" w:rsidP="00061F5E">
            <w:pPr>
              <w:pStyle w:val="CSBody63DEbold"/>
              <w:rPr>
                <w:lang w:val="de-DE"/>
              </w:rPr>
            </w:pPr>
            <w:r w:rsidRPr="00061F5E">
              <w:rPr>
                <w:lang w:val="de-DE"/>
              </w:rPr>
              <w:t>Die Wertentwicklung Kreditbezogener Komplexer Produkte kann gegenüber einer Direktanlage in den Referenzschuldner / die Referenzschuldner oder in Schuldtitel des Referenzschuldners / der Referenzschuldner erheblich abweichen</w:t>
            </w:r>
          </w:p>
        </w:tc>
      </w:tr>
      <w:tr w:rsidTr="002F2BFA">
        <w:tblPrEx>
          <w:tblW w:w="5000" w:type="pct"/>
          <w:tblLook w:val="04A0"/>
        </w:tblPrEx>
        <w:tc>
          <w:tcPr>
            <w:tcW w:w="4927" w:type="dxa"/>
          </w:tcPr>
          <w:p w:rsidR="00061F5E" w:rsidRPr="006031A1" w:rsidP="00E73644">
            <w:pPr>
              <w:pStyle w:val="CSBody63EN"/>
            </w:pPr>
            <w:r w:rsidRPr="006031A1">
              <w:t>An investment in Credit-Linked Complex Products is not comparable to a direct investment in the Reference Entity/Entities or in a debt obligation issued by the Reference Entity/Entities (including the Reference Obligation/Obligations of the Reference Entity/Entities). Changes in the value of the Reference Entity or any of the Reference Entities, as applicable, or the Reference Obligation/Obligations of the Reference Entity or any of the Reference Entities, as applicable, may not necessarily lead to a comparable change in the market value of such Complex Products. As a result, the performance of such Complex Products may differ significantly from a direct investment in the Reference Entity /Entities or in debt obligations issued by the Reference Entity/Entities.</w:t>
            </w:r>
          </w:p>
        </w:tc>
        <w:tc>
          <w:tcPr>
            <w:tcW w:w="4928" w:type="dxa"/>
          </w:tcPr>
          <w:p w:rsidR="00061F5E" w:rsidRPr="00061F5E" w:rsidP="00E73644">
            <w:pPr>
              <w:pStyle w:val="CSBody63DE"/>
              <w:rPr>
                <w:lang w:val="de-DE"/>
              </w:rPr>
            </w:pPr>
            <w:r w:rsidRPr="00061F5E">
              <w:rPr>
                <w:lang w:val="de-DE"/>
              </w:rPr>
              <w:t>Eine Anlage in Kreditbezogene Komplexe Produkte ist nicht mit einer Direktanlage in den bzw. die Referenzschuldner oder von diesem bzw. diesen begebene Schuldtitel (einschliesslich der Referenzverbindlichkeit / Referenzverbindlichkeiten des Referenzschuldners / der Referenzschuldner) vergleichbar. Ändert sich der Wert des bzw. eines Referenzschuldners oder der Referenzverbindlichkeit / Referenzverbindlichkeiten des bzw. eines Referenzschuldners, so führt dies nicht zwangsläufig zu einer entsprechenden Veränderung des Marktwerts der Komplexen Produkte. Daher kann die Wertentwicklung der Komplexen Produkte gegenüber einer Direktanlage in den Referenzschuldner / die Referenzschuldner oder in Schuldtitel des Referenzschuldners bzw. der Referenzschuldner erheblich abweichen.</w:t>
            </w:r>
          </w:p>
        </w:tc>
      </w:tr>
      <w:tr w:rsidTr="002F2BFA">
        <w:tblPrEx>
          <w:tblW w:w="5000" w:type="pct"/>
          <w:tblLook w:val="04A0"/>
        </w:tblPrEx>
        <w:tc>
          <w:tcPr>
            <w:tcW w:w="4927" w:type="dxa"/>
          </w:tcPr>
          <w:p w:rsidR="00061F5E" w:rsidRPr="00874180" w:rsidP="00061F5E">
            <w:pPr>
              <w:pStyle w:val="CSBody63ENbold"/>
            </w:pPr>
            <w:r w:rsidRPr="00874180">
              <w:t>The credit risk of the Reference Entity/Entities may be influenced by external factors</w:t>
            </w:r>
          </w:p>
        </w:tc>
        <w:tc>
          <w:tcPr>
            <w:tcW w:w="4928" w:type="dxa"/>
          </w:tcPr>
          <w:p w:rsidR="00061F5E" w:rsidRPr="00061F5E" w:rsidP="00061F5E">
            <w:pPr>
              <w:pStyle w:val="CSBody63DEbold"/>
              <w:rPr>
                <w:lang w:val="de-DE"/>
              </w:rPr>
            </w:pPr>
            <w:r w:rsidRPr="00061F5E">
              <w:rPr>
                <w:lang w:val="de-DE"/>
              </w:rPr>
              <w:t>Das Kreditrisiko des Referenzschuldners / der Referenzschuldner kann von externen Faktoren beeinflusst werden</w:t>
            </w:r>
          </w:p>
        </w:tc>
      </w:tr>
      <w:tr w:rsidTr="002F2BFA">
        <w:tblPrEx>
          <w:tblW w:w="5000" w:type="pct"/>
          <w:tblLook w:val="04A0"/>
        </w:tblPrEx>
        <w:tc>
          <w:tcPr>
            <w:tcW w:w="4927" w:type="dxa"/>
          </w:tcPr>
          <w:p w:rsidR="00061F5E" w:rsidRPr="00874180" w:rsidP="00E73644">
            <w:pPr>
              <w:pStyle w:val="CSBody63EN"/>
            </w:pPr>
            <w:r w:rsidRPr="00874180">
              <w:t>The Reference Entity/Entities linked to a Credit-Linked Complex Product will be companies or sovereign nations. In the case of a Reference Entity that is a company, its credit risk is not only expected to be significantly influenced by company-specific conditions, but also by external national and international economic developments relating to the company's industry sector and political developments. The credit risk of a Reference Entity that is a sovereign nation will be particularly influenced by the stability or instability of such sovereign nation’s political and economic systems.</w:t>
            </w:r>
          </w:p>
        </w:tc>
        <w:tc>
          <w:tcPr>
            <w:tcW w:w="4928" w:type="dxa"/>
          </w:tcPr>
          <w:p w:rsidR="00061F5E" w:rsidRPr="00061F5E" w:rsidP="00E73644">
            <w:pPr>
              <w:pStyle w:val="CSBody63DE"/>
              <w:rPr>
                <w:lang w:val="de-DE"/>
              </w:rPr>
            </w:pPr>
            <w:r w:rsidRPr="00061F5E">
              <w:rPr>
                <w:lang w:val="de-DE"/>
              </w:rPr>
              <w:t>Der bzw. die Referenzschuldner, an den bzw. die ein Kreditbezogenes Komplexes Produkt gekoppelt ist, sind Unternehmen oder Staaten. Im Falle eines Unternehmens als Referenzschuldner ist davon auszugehen, dass sein Kreditrisiko nicht nur erheblich von unternehmensspezifischen Faktoren beeinflusst wird, sondern auch von externen nationalen und internationalen wirtschaftlichen Entwicklungen im Hinblick auf die Branche des Unternehmens sowie politischen Entwicklungen. Das Kreditrisiko eines Staates als Referenzschuldner wird insbesondere von der Stabilität bzw. Instabilität des politischen Systems und des Wirtschaftssystems dieses Staates beeinflusst.</w:t>
            </w:r>
          </w:p>
        </w:tc>
      </w:tr>
      <w:tr w:rsidTr="002F2BFA">
        <w:tblPrEx>
          <w:tblW w:w="5000" w:type="pct"/>
          <w:tblLook w:val="04A0"/>
        </w:tblPrEx>
        <w:tc>
          <w:tcPr>
            <w:tcW w:w="4927" w:type="dxa"/>
          </w:tcPr>
          <w:p w:rsidR="00D37428" w:rsidRPr="00CF6CBC" w:rsidP="00E73644">
            <w:pPr>
              <w:pStyle w:val="CSBody63EN"/>
            </w:pPr>
            <w:r w:rsidRPr="00CF6CBC">
              <w:t>When a Credit-Linked Complex Product is linked to one or more emerging market Reference Entities, investors in such Complex Product should be aware that the political and economic situation in countries with emerging economies or stock markets may be undergoing significant evolution and rapid development, and such countries may lack the social, political and economic stability characteristics of more developed countries, including a significant risk of currency value fluctuation. Such instability may re</w:t>
            </w:r>
            <w:r w:rsidR="00E73644">
              <w:t>s</w:t>
            </w:r>
            <w:r w:rsidRPr="00CF6CBC">
              <w:t>ult from, among other things, authoritarian governments, or military involvement in political and economic decisionmaking, including changes or attempted changes in governments through extraconstitutional means, popular unrest associated with demands for improved political, economic or social conditions, internal insurgencies, hostile relations with neighbouring countries, and ethnic, religious and racial disaffections or conflict. Certain of such countries may have in the past failed to recognise private property rights and have at times nationalised or expropriated the assets of private companies. As a result, the risks from investing in those countries, including the risks of nationalisation or expropriation of assets, may be heightened. In addition, unanticipated political or social developments may affect Reference Entities in those countries. The small size and inexperience of the securities markets in certain countries and the limited volume of trading in securities may make the relevant Reference Obligation illiquid and more volatile than investments in more established markets. There may be little financial or accounting information available with respect to Reference Entities, and it may be difficult as a result to assess the value or prospects of such Reference Entities.</w:t>
            </w:r>
          </w:p>
        </w:tc>
        <w:tc>
          <w:tcPr>
            <w:tcW w:w="4928" w:type="dxa"/>
          </w:tcPr>
          <w:p w:rsidR="00D37428" w:rsidRPr="00D37428" w:rsidP="00E73644">
            <w:pPr>
              <w:pStyle w:val="CSBody63DE"/>
              <w:rPr>
                <w:lang w:val="de-DE"/>
              </w:rPr>
            </w:pPr>
            <w:r w:rsidRPr="00D37428">
              <w:rPr>
                <w:lang w:val="de-DE"/>
              </w:rPr>
              <w:t>Ist ein Kreditbezogenes Komplexes Produkt an einen oder mehrere Referenzschuldner aus einem Schwellenland gekoppelt, sollten sich die Anleger in dieses Komplexe Produkt bewusst sein, dass die politische und wirtschaftliche Lage in Ländern, deren Volkswirtschaften oder Aktienmärkte sich noch in einem Entwicklungsstadium befinden, erheblichen Veränderungen und rasanten Entwicklungen unterworfen sein können, und dass in diesen Ländern unter Umständen nicht die soziale, politische und wirtschaftliche Stabilität wie in weiter entwickelten Ländern besteht. Dies kann auch ein erhebliches Risiko von Wechselkursschwankungen beinhalten. Eine derartige Instabilität kann unter anderem durch folgende Faktoren begründet sein: autoritäre Regierungen, militärische Einflussnahme auf politische und wirtschaftliche Entscheidungsprozesse unter anderem auch durch Regierungswechsel oder versuchte Regierungswechsel durch nicht verfassungsmässige Mittel, öffentliche Unruhen im Zusammenhang mit Forderungen nach einer Verbesserung der politischen, wirtschaftlichen oder sozialen Bedingungen, Aufstände in dem betreffenden Land selbst, Auseinandersetzungen mit Nachbarstaaten sowie Spannungen und Konflikte zwischen Angehörigen unterschiedlicher Ethnien, Religionen oder Rassen. In der Vergangenheit können in manchen dieser Länder private Eigentumsrechte nicht anerkannt worden sein, und es kann zu Verstaatlichungen oder Enteignungen privater Unternehmen gekommen sein. Folglich kann eine Anlage in diesen Ländern mit höheren Risiken verbunden sein, darunter auch Risiken einer Verstaatlichung oder Enteignung. Darüber hinaus können sich unerwartete politische oder soziale Entwicklungen auf Referenzschuldner in einem solchen Land auswirken. Die geringe Grösse der Wertpapiermärkte in bestimmten Ländern und die fehlende Erfahrung der dortigen Marktteilnehmer sowie das geringe Wertpapierhandelsvolumen können zu einer Illiquidität und höheren Volatilität der jeweiligen Referenzverbindlichkeit im Vergleich zu Anlagen in weiter entwickelten Märkten führen. Unter Umständen sind über die Finanz- und Bilanzlage der dortigen Referenzschuldner nur wenige Informationen verfügbar, und infolgedessen kann die Beurteilung des Werts und der Aussichten für diese Referenzschuldner schwierig sein.</w:t>
            </w:r>
          </w:p>
        </w:tc>
      </w:tr>
      <w:tr w:rsidTr="002F2BFA">
        <w:tblPrEx>
          <w:tblW w:w="5000" w:type="pct"/>
          <w:tblLook w:val="04A0"/>
        </w:tblPrEx>
        <w:tc>
          <w:tcPr>
            <w:tcW w:w="4927" w:type="dxa"/>
          </w:tcPr>
          <w:p w:rsidR="00D37428" w:rsidRPr="003D7DE9" w:rsidP="00D37428">
            <w:pPr>
              <w:pStyle w:val="CSBody63ENbold"/>
            </w:pPr>
            <w:r w:rsidRPr="003D7DE9">
              <w:t>Liquidity risk with respect to the Reference Obligation/Obligations</w:t>
            </w:r>
          </w:p>
        </w:tc>
        <w:tc>
          <w:tcPr>
            <w:tcW w:w="4928" w:type="dxa"/>
          </w:tcPr>
          <w:p w:rsidR="00D37428" w:rsidRPr="00D37428" w:rsidP="00D37428">
            <w:pPr>
              <w:pStyle w:val="CSBody63DEbold"/>
              <w:rPr>
                <w:lang w:val="de-DE"/>
              </w:rPr>
            </w:pPr>
            <w:r w:rsidRPr="00D37428">
              <w:rPr>
                <w:lang w:val="de-DE"/>
              </w:rPr>
              <w:t>Liquiditätsrisiko in Bezug auf die Referenz-verbindlichkeit / die Referenzverbindlichkeiten</w:t>
            </w:r>
          </w:p>
        </w:tc>
      </w:tr>
      <w:tr w:rsidTr="002F2BFA">
        <w:tblPrEx>
          <w:tblW w:w="5000" w:type="pct"/>
          <w:tblLook w:val="04A0"/>
        </w:tblPrEx>
        <w:tc>
          <w:tcPr>
            <w:tcW w:w="4927" w:type="dxa"/>
          </w:tcPr>
          <w:p w:rsidR="00D37428" w:rsidRPr="003D7DE9" w:rsidP="00E73644">
            <w:pPr>
              <w:pStyle w:val="CSBody63EN"/>
            </w:pPr>
            <w:r w:rsidRPr="003D7DE9">
              <w:t>The Reference Obligation/Obligations may have no, or only a limited, trading market. The liquidity of a Reference Obligation will generally fluctuate with, among other things, the underlying liquidity of the loan and bond markets, general economic conditions, domestic and international political events, developments or trends in a particular industry and the financial condition of such Reference Entity. Financial markets have experienced periods of volatility and reduced liquidity that may re</w:t>
            </w:r>
            <w:r w:rsidR="00420CF0">
              <w:t>-</w:t>
            </w:r>
            <w:r w:rsidRPr="003D7DE9">
              <w:t>occur and reduce the market value of the Reference Obligation/Obligations. If a Credit Event or a Credit Redemption Event, as applicable, occurs with respect to the Reference Entity or one of the Reference Entities, as applicable, any resulting diminution in the market value of the related Reference Obligation/Obligations could be further magnified by reason of such limited liquidity for such Reference Obligation/Obligation.</w:t>
            </w:r>
          </w:p>
        </w:tc>
        <w:tc>
          <w:tcPr>
            <w:tcW w:w="4928" w:type="dxa"/>
          </w:tcPr>
          <w:p w:rsidR="00D37428" w:rsidRPr="00D37428" w:rsidP="00E73644">
            <w:pPr>
              <w:pStyle w:val="CSBody63DE"/>
              <w:rPr>
                <w:lang w:val="de-DE"/>
              </w:rPr>
            </w:pPr>
            <w:r w:rsidRPr="00D37428">
              <w:rPr>
                <w:lang w:val="de-DE"/>
              </w:rPr>
              <w:t>Für den Handel mit der Referenzverbindlichkeit / den Referenzverbindlichkeiten besteht möglicherweise kein oder nur ein beschränkter Markt. Die Liquidität einer Referenzverbindlichkeit schwankt in der Regel aufgrund der zugrunde liegenden Liquidität an den Kredit- und Anleihemärkten, der allgemeinen Konjunktur, aufgrund von politischen Ereignissen im In- und Ausland, Entwicklungen oder Tendenzen in bestimmten Branchen und der Finanzlage des betreffenden Referenzschuldners. An den Finanzmärkten gab es bereits Phasen mit einer ausgeprägten Volatilität und einer verringerten Liquidität; diese können sich wiederholen und dazu führen, dass der Marktwert der Referenzverbindlichkeit / Referenzverbindlichkeiten sinkt. Tritt in Bezug auf den bzw. einen Referenzschuldner ein Kreditereignis bzw. ein Kredit-Rückzahlungsereignis ein, so kann eine dadurch verursachte Verringerung des Marktwerts der entsprechenden Referenzverbindlichkeit bzw. Referenzverbindlichkeiten infolge dieser beschränkten Liquidität für die Referenzverbindlichkeit bzw. Referenzverbindlichkeiten weiter verstärkt werden.</w:t>
            </w:r>
          </w:p>
        </w:tc>
      </w:tr>
      <w:tr w:rsidTr="002F2BFA">
        <w:tblPrEx>
          <w:tblW w:w="5000" w:type="pct"/>
          <w:tblLook w:val="04A0"/>
        </w:tblPrEx>
        <w:tc>
          <w:tcPr>
            <w:tcW w:w="4927" w:type="dxa"/>
          </w:tcPr>
          <w:p w:rsidR="00D37428" w:rsidRPr="00BE0189" w:rsidP="00D37428">
            <w:pPr>
              <w:pStyle w:val="CSBody63ENbold"/>
            </w:pPr>
            <w:r w:rsidRPr="00BE0189">
              <w:t>Risks relating to determinations by the Calculation Agent</w:t>
            </w:r>
          </w:p>
        </w:tc>
        <w:tc>
          <w:tcPr>
            <w:tcW w:w="4928" w:type="dxa"/>
          </w:tcPr>
          <w:p w:rsidR="00D37428" w:rsidRPr="00D37428" w:rsidP="00D37428">
            <w:pPr>
              <w:pStyle w:val="CSBody63DEbold"/>
              <w:rPr>
                <w:lang w:val="de-DE"/>
              </w:rPr>
            </w:pPr>
            <w:r w:rsidRPr="00D37428">
              <w:rPr>
                <w:lang w:val="de-DE"/>
              </w:rPr>
              <w:t>Risiken im Zusammenhang mit Feststellungen durch die Berechnungsstelle</w:t>
            </w:r>
          </w:p>
        </w:tc>
      </w:tr>
      <w:tr w:rsidTr="002F2BFA">
        <w:tblPrEx>
          <w:tblW w:w="5000" w:type="pct"/>
          <w:tblLook w:val="04A0"/>
        </w:tblPrEx>
        <w:tc>
          <w:tcPr>
            <w:tcW w:w="4927" w:type="dxa"/>
          </w:tcPr>
          <w:p w:rsidR="00D37428" w:rsidRPr="00BE0189" w:rsidP="00E73644">
            <w:pPr>
              <w:pStyle w:val="CSBody63EN"/>
            </w:pPr>
            <w:r w:rsidRPr="00BE0189">
              <w:t>The determination by the Calculation Agent of any amount or of any state of affairs, circumstance, event or other matter, or the formation of any opinion or the exercise of any discretion required or permitted to be determined, formed or exercised by the Calculation Agent with respect to any Credit-Linked Complex Products shall (in the absence of manifest error) be final and binding on the Issuer and the holders of such Complex Products. In performing its duties pursuant to such Complex Products, the Calculation Agent shall act in its discretion. In making determinations expressed to be made by it, for example, in the case of Credit-Linked Complex Products with auction settlement, as to Substitute Reference Obligations or Successors, the Calculation Agent is under no obligation to consider the interests of the issuer or the holders of such Complex Products.</w:t>
            </w:r>
          </w:p>
        </w:tc>
        <w:tc>
          <w:tcPr>
            <w:tcW w:w="4928" w:type="dxa"/>
          </w:tcPr>
          <w:p w:rsidR="00D37428" w:rsidRPr="00D37428" w:rsidP="00D37428">
            <w:pPr>
              <w:pStyle w:val="CSBody63DE"/>
              <w:rPr>
                <w:lang w:val="de-DE"/>
              </w:rPr>
            </w:pPr>
            <w:r w:rsidRPr="00D37428">
              <w:rPr>
                <w:lang w:val="de-DE"/>
              </w:rPr>
              <w:t xml:space="preserve">Alle Bestimmungen von Beträgen durch die Berechnungsstelle, alle Feststellungen hinsichtlich Umständen, Vorgängen, Ereignissen oder anderen Angelegenheiten, jede Meinungsbildung und jede Ausübung von Ermessensbefugnissen, die die Berechnungsstelle im Zusammenhang mit den Kreditbezogenen Komplexen Produkten vornehmen muss oder darf, sind (ausser im Fall eines offensichtlichen Irrtums) für die Emittentin und die Inhaber dieser Komplexen Produkte bindend. Bei der Erfüllung ihrer Pflichten im Rahmen der Komplexen Produkte handelt die Berechnungsstelle in ihrem Ermessen. Wenn sie die von ihr vorzunehmenden Bestimmungen und Feststellungen, </w:t>
            </w:r>
            <w:r w:rsidR="007E3558">
              <w:rPr>
                <w:lang w:val="de-DE"/>
              </w:rPr>
              <w:t>z.B.</w:t>
            </w:r>
            <w:r w:rsidRPr="00D37428">
              <w:rPr>
                <w:lang w:val="de-DE"/>
              </w:rPr>
              <w:t xml:space="preserve">, im Falle von Kreditbezogenen Komplexen Produkten mit Auktionsabwicklung, zu Ersatz-Referenzverbindlichkeiten und </w:t>
            </w:r>
            <w:r w:rsidR="00636F36">
              <w:rPr>
                <w:lang w:val="de-DE"/>
              </w:rPr>
              <w:t>Rechtsn</w:t>
            </w:r>
            <w:r w:rsidRPr="00D37428">
              <w:rPr>
                <w:lang w:val="de-DE"/>
              </w:rPr>
              <w:t>achfolgern, trifft, ist die Berechnungsstelle nicht verpflichtet, die Interessen der Emittentin oder der Inhaber der Komplexen Produkte zu berücksichtigen.</w:t>
            </w:r>
          </w:p>
        </w:tc>
      </w:tr>
      <w:tr w:rsidTr="002F2BFA">
        <w:tblPrEx>
          <w:tblW w:w="5000" w:type="pct"/>
          <w:tblLook w:val="04A0"/>
        </w:tblPrEx>
        <w:tc>
          <w:tcPr>
            <w:tcW w:w="4927" w:type="dxa"/>
          </w:tcPr>
          <w:p w:rsidR="00D37428" w:rsidRPr="00DE5949" w:rsidP="00D37428">
            <w:pPr>
              <w:pStyle w:val="CSBody63ENbold"/>
            </w:pPr>
            <w:r w:rsidRPr="00DE5949">
              <w:t>No representation or warranty; provision of information</w:t>
            </w:r>
          </w:p>
        </w:tc>
        <w:tc>
          <w:tcPr>
            <w:tcW w:w="4928" w:type="dxa"/>
          </w:tcPr>
          <w:p w:rsidR="00D37428" w:rsidRPr="00D37428" w:rsidP="00D37428">
            <w:pPr>
              <w:pStyle w:val="CSBody63DEbold"/>
              <w:rPr>
                <w:lang w:val="de-DE"/>
              </w:rPr>
            </w:pPr>
            <w:r w:rsidRPr="00D37428">
              <w:rPr>
                <w:lang w:val="de-DE"/>
              </w:rPr>
              <w:t>Keine Zusicherungen oder Gewährleistungen; Bereitstellung von Informationen</w:t>
            </w:r>
          </w:p>
        </w:tc>
      </w:tr>
      <w:tr w:rsidTr="002F2BFA">
        <w:tblPrEx>
          <w:tblW w:w="5000" w:type="pct"/>
          <w:tblLook w:val="04A0"/>
        </w:tblPrEx>
        <w:tc>
          <w:tcPr>
            <w:tcW w:w="4927" w:type="dxa"/>
          </w:tcPr>
          <w:p w:rsidR="00D37428" w:rsidRPr="00DE5949" w:rsidP="00E73644">
            <w:pPr>
              <w:pStyle w:val="CSBody63EN"/>
            </w:pPr>
            <w:r w:rsidRPr="00DE5949">
              <w:t>Neither the Issuer nor any of its affiliates makes or has made any representation with respect to the Reference Entity/Entities, any debt obligation issued by the Reference Entity/Entities or the Reference Obligation/Obligations on which potential investors may rely or may be entitled to rely. Potential investors should obtain and evaluate the same information concerning the Reference Entity/Entities as they would if they were investing directly in the relevant Reference Obligation/Obligations.</w:t>
            </w:r>
          </w:p>
        </w:tc>
        <w:tc>
          <w:tcPr>
            <w:tcW w:w="4928" w:type="dxa"/>
          </w:tcPr>
          <w:p w:rsidR="00D37428" w:rsidRPr="00D37428" w:rsidP="00E73644">
            <w:pPr>
              <w:pStyle w:val="CSBody63DE"/>
              <w:rPr>
                <w:lang w:val="de-DE"/>
              </w:rPr>
            </w:pPr>
            <w:r w:rsidRPr="00D37428">
              <w:rPr>
                <w:lang w:val="de-DE"/>
              </w:rPr>
              <w:t>Weder die Emittentin noch die mit ihr verbundenen Unternehmen geben oder gaben Zusicherungen im Hinblick auf den bzw. die Referenzschuldner, die von dem Referenzschuldner / den Referenzschuldnern begebenen Schuldtitel oder die Referenzverbindlichkeit / Referenzverbindlichkeiten ab, auf die sich potenzielle Anleger verlassen können oder dürfen. Potenzielle Anleger sollten dieselben Informationen über den bzw. die Referenzschuldner einholen und bewerten, wie sie dies im Falle einer Direktanlage in die betreffende Referenzverbindlichkeit /die betreffenden Referenzverbindlichkeiten tun würden.</w:t>
            </w:r>
          </w:p>
        </w:tc>
      </w:tr>
      <w:tr w:rsidTr="002F2BFA">
        <w:tblPrEx>
          <w:tblW w:w="5000" w:type="pct"/>
          <w:tblLook w:val="04A0"/>
        </w:tblPrEx>
        <w:tc>
          <w:tcPr>
            <w:tcW w:w="4927" w:type="dxa"/>
          </w:tcPr>
          <w:p w:rsidR="00D37428" w:rsidRPr="00F73B40" w:rsidP="00D37428">
            <w:pPr>
              <w:pStyle w:val="CSBody63ENbold"/>
            </w:pPr>
            <w:r w:rsidRPr="00F73B40">
              <w:t>Transactions with and/or via the Reference Entity/Entities</w:t>
            </w:r>
          </w:p>
        </w:tc>
        <w:tc>
          <w:tcPr>
            <w:tcW w:w="4928" w:type="dxa"/>
          </w:tcPr>
          <w:p w:rsidR="00D37428" w:rsidRPr="00D37428" w:rsidP="00D37428">
            <w:pPr>
              <w:pStyle w:val="CSBody63DEbold"/>
              <w:rPr>
                <w:lang w:val="de-DE"/>
              </w:rPr>
            </w:pPr>
            <w:r w:rsidRPr="00D37428">
              <w:rPr>
                <w:lang w:val="de-DE"/>
              </w:rPr>
              <w:t>Transaktionen mit und/oder über den bzw. die Referenzschuldner</w:t>
            </w:r>
          </w:p>
        </w:tc>
      </w:tr>
      <w:tr w:rsidTr="002F2BFA">
        <w:tblPrEx>
          <w:tblW w:w="5000" w:type="pct"/>
          <w:tblLook w:val="04A0"/>
        </w:tblPrEx>
        <w:tc>
          <w:tcPr>
            <w:tcW w:w="4927" w:type="dxa"/>
          </w:tcPr>
          <w:p w:rsidR="00D37428" w:rsidRPr="00F73B40" w:rsidP="00E73644">
            <w:pPr>
              <w:pStyle w:val="CSBody63EN"/>
            </w:pPr>
            <w:r w:rsidRPr="00F73B40">
              <w:t>The Issuer and its affiliates may enter into, for their own account or for the account of funds under their management, transactions with and/or via the Reference Entity or some or all of the Reference Entities, as applicable, linked to a Credit-Linked Complex Product. Such transactions may have a positive or negative effect on the credit risks of the Reference Entity/Entities and, consequently, on the value of such Credit-Linked Complex Product.</w:t>
            </w:r>
          </w:p>
        </w:tc>
        <w:tc>
          <w:tcPr>
            <w:tcW w:w="4928" w:type="dxa"/>
          </w:tcPr>
          <w:p w:rsidR="00D37428" w:rsidRPr="00D37428" w:rsidP="00D37428">
            <w:pPr>
              <w:pStyle w:val="CSBody63DE"/>
              <w:rPr>
                <w:lang w:val="de-DE"/>
              </w:rPr>
            </w:pPr>
            <w:r w:rsidRPr="00D37428">
              <w:rPr>
                <w:lang w:val="de-DE"/>
              </w:rPr>
              <w:t>Die Emittentin und die mit ihr verbundenen Unternehmen können für eigene Rechnung oder für Rechnung des von ihnen verwalteten Vermögens mit dem Referenzschuldner bzw. einigen oder allen Referenzschuldnern, an den bzw. die ein Kreditbezogenes Komplexes Produkt gekoppelt ist, und/oder über diesen bzw. diese Referenzschuldner Transaktionen abschliessen. Solche Transaktionen können sich positiv oder negativ auf die Kreditrisiken des Referenzschuldners/der Referenzschuldner und somit auch auf den Wert des Kreditbezogenen Komplexen Produkts auswirken.</w:t>
            </w:r>
          </w:p>
        </w:tc>
      </w:tr>
      <w:tr w:rsidTr="002F2BFA">
        <w:tblPrEx>
          <w:tblW w:w="5000" w:type="pct"/>
          <w:tblLook w:val="04A0"/>
        </w:tblPrEx>
        <w:tc>
          <w:tcPr>
            <w:tcW w:w="4927" w:type="dxa"/>
          </w:tcPr>
          <w:p w:rsidR="00D37428" w:rsidRPr="0043170A" w:rsidP="00D37428">
            <w:pPr>
              <w:pStyle w:val="CSBody63ENbold"/>
            </w:pPr>
            <w:r w:rsidRPr="0043170A">
              <w:t>Issuer acting in other capacities</w:t>
            </w:r>
          </w:p>
        </w:tc>
        <w:tc>
          <w:tcPr>
            <w:tcW w:w="4928" w:type="dxa"/>
          </w:tcPr>
          <w:p w:rsidR="00D37428" w:rsidRPr="00D37428" w:rsidP="00D37428">
            <w:pPr>
              <w:pStyle w:val="CSBody63DEbold"/>
              <w:rPr>
                <w:lang w:val="de-DE"/>
              </w:rPr>
            </w:pPr>
            <w:r w:rsidRPr="00D37428">
              <w:rPr>
                <w:lang w:val="de-DE"/>
              </w:rPr>
              <w:t>Die Emittentin übt auch andere Funktionen aus</w:t>
            </w:r>
          </w:p>
        </w:tc>
      </w:tr>
      <w:tr w:rsidTr="002F2BFA">
        <w:tblPrEx>
          <w:tblW w:w="5000" w:type="pct"/>
          <w:tblLook w:val="04A0"/>
        </w:tblPrEx>
        <w:tc>
          <w:tcPr>
            <w:tcW w:w="4927" w:type="dxa"/>
          </w:tcPr>
          <w:p w:rsidR="00D37428" w:rsidRPr="0043170A" w:rsidP="00D37428">
            <w:pPr>
              <w:pStyle w:val="CSBody63EN"/>
            </w:pPr>
            <w:r w:rsidRPr="0043170A">
              <w:t>The Issuer and its affiliates may from time to time act in other capacities with respect to Credit-Linked Complex Products, such as assuming the role of Calculation Agent. If acting in the capacity as Calculation Agent, the Issuer or any such affiliate may, among other things, be responsible for deciding whether a Credit Event or Credit Redemption Event, as applicable, has occurred; or (in the case of Credit-Linked Complex Products with auction settlement) for determining a Successor or the Cash Redemption Amount, or (in the case of Credit-Linked Complex Products with simplified settlement) determining the Credit Redemption Amount. Any failure by the Issuer or any such affiliate to meet its obligations in its capacity as Calculation Agent or in any other capacity with respect to such Complex Products is likely to have a negative impact on such Complex Products. In particular, any such failure may result in delays concerning the determinations, calculations, and/or payments with respect to such Complex Products.</w:t>
            </w:r>
          </w:p>
        </w:tc>
        <w:tc>
          <w:tcPr>
            <w:tcW w:w="4928" w:type="dxa"/>
          </w:tcPr>
          <w:p w:rsidR="00D37428" w:rsidRPr="00D37428">
            <w:pPr>
              <w:pStyle w:val="CSBody63DE"/>
              <w:rPr>
                <w:lang w:val="de-DE"/>
              </w:rPr>
            </w:pPr>
            <w:r w:rsidRPr="00D37428">
              <w:rPr>
                <w:lang w:val="de-DE"/>
              </w:rPr>
              <w:t xml:space="preserve">Die Emittentin und die mit ihr verbundenen Unternehmen können im Hinblick auf die Kreditbezogenen Komplexen Produkte auch in anderen Funktionen tätig werden, </w:t>
            </w:r>
            <w:r w:rsidR="007E3558">
              <w:rPr>
                <w:lang w:val="de-DE"/>
              </w:rPr>
              <w:t>z.B.</w:t>
            </w:r>
            <w:r w:rsidRPr="00D37428">
              <w:rPr>
                <w:lang w:val="de-DE"/>
              </w:rPr>
              <w:t xml:space="preserve"> in der Eigenschaft als Berechnungsstelle. Wenn sie in der Eigenschaft als Berechnungsstelle handeln, können die Emittentin und die mit ihr verbundenen Unternehmen unter anderem für Folgendes verantwortlich sein: für die Entscheidung, ob ein Kreditereignis bzw. ein Kredit-Rückzahlungsereignis eingetreten ist; oder (bei Kreditbezogenen Komplexen Produkten mit Auktionsabwicklung) für die Feststellung eines </w:t>
            </w:r>
            <w:r w:rsidR="00636F36">
              <w:rPr>
                <w:lang w:val="de-DE"/>
              </w:rPr>
              <w:t>Rechtsn</w:t>
            </w:r>
            <w:r w:rsidRPr="00D37428">
              <w:rPr>
                <w:lang w:val="de-DE"/>
              </w:rPr>
              <w:t>achfolgers oder für die Bestimmung des Barrückzahlungsbetrags; oder (bei Kreditbezogenen Komplexen Produkten mit vereinfachter Abwicklung) für die Bestimmung des Kredit-Rückzahlungsbetrags. Erfüllt die Emittentin oder ein mit ihr verbundenes Unternehmen die jeweiligen Pflichten in der Eigenschaft als Berechnungsstelle oder in einer anderen Funktion im Hinblick auf die Komplexen Produkte nicht, so wirkt sich dies voraussichtlich nachteilig auf die Komplexen Produkte aus. Eine solche Nichterfüllung kann insbesondere zu Verzögerungen bei Feststellungen, Berechnungen und/oder Zahlungen im Zusammenhang mit den Komplexen Produkten führen.</w:t>
            </w:r>
          </w:p>
        </w:tc>
      </w:tr>
      <w:tr w:rsidTr="002F2BFA">
        <w:tblPrEx>
          <w:tblW w:w="5000" w:type="pct"/>
          <w:tblLook w:val="04A0"/>
        </w:tblPrEx>
        <w:tc>
          <w:tcPr>
            <w:tcW w:w="4927" w:type="dxa"/>
          </w:tcPr>
          <w:p w:rsidR="00D37428" w:rsidRPr="00A344EE" w:rsidP="00D37428">
            <w:pPr>
              <w:pStyle w:val="CSBody63ENbold"/>
            </w:pPr>
            <w:r w:rsidRPr="00A344EE">
              <w:t>Issuance of further derivative instruments with respect to the Reference Entity/Entities</w:t>
            </w:r>
          </w:p>
        </w:tc>
        <w:tc>
          <w:tcPr>
            <w:tcW w:w="4928" w:type="dxa"/>
          </w:tcPr>
          <w:p w:rsidR="00D37428" w:rsidRPr="00D37428" w:rsidP="00D37428">
            <w:pPr>
              <w:pStyle w:val="CSBody63DEbold"/>
              <w:rPr>
                <w:lang w:val="de-DE"/>
              </w:rPr>
            </w:pPr>
            <w:r w:rsidRPr="00D37428">
              <w:rPr>
                <w:lang w:val="de-DE"/>
              </w:rPr>
              <w:t>Begebung weiterer derivativer Instrumente im Hinblick auf den bzw. die Referenzschuldner</w:t>
            </w:r>
          </w:p>
        </w:tc>
      </w:tr>
      <w:tr w:rsidTr="002F2BFA">
        <w:tblPrEx>
          <w:tblW w:w="5000" w:type="pct"/>
          <w:tblLook w:val="04A0"/>
        </w:tblPrEx>
        <w:tc>
          <w:tcPr>
            <w:tcW w:w="4927" w:type="dxa"/>
          </w:tcPr>
          <w:p w:rsidR="00D37428" w:rsidRPr="00A344EE" w:rsidP="00D37428">
            <w:pPr>
              <w:pStyle w:val="CSBody63EN"/>
            </w:pPr>
            <w:r w:rsidRPr="00A344EE">
              <w:t>The Issuer and its affiliates may issue additional derivative instruments relating to the Reference Entity/Entities linked to any Credit-Linked Complex Products, the issuance of which may negatively affect the value of such Credit-Linked Complex Products.</w:t>
            </w:r>
          </w:p>
        </w:tc>
        <w:tc>
          <w:tcPr>
            <w:tcW w:w="4928" w:type="dxa"/>
          </w:tcPr>
          <w:p w:rsidR="00D37428" w:rsidRPr="00D37428" w:rsidP="00D37428">
            <w:pPr>
              <w:pStyle w:val="CSBody63DE"/>
              <w:rPr>
                <w:lang w:val="de-DE"/>
              </w:rPr>
            </w:pPr>
            <w:r w:rsidRPr="00D37428">
              <w:rPr>
                <w:lang w:val="de-DE"/>
              </w:rPr>
              <w:t>Die Emittentin und die mit ihr verbundenen Unternehmen können weitere derivative Instrumente mit Bezug zu dem Referenzschuldner / den Referenzschuldnern begeben, an den bzw. die die Kreditbezogenen Komplexen Produkte gekoppelt sind, und die Begebung dieser Instrumente kann sich nachteilig auf den Wert der Kreditbezogenen Komplexen Produkte auswirken.</w:t>
            </w:r>
          </w:p>
        </w:tc>
      </w:tr>
      <w:tr w:rsidTr="002F2BFA">
        <w:tblPrEx>
          <w:tblW w:w="5000" w:type="pct"/>
          <w:tblLook w:val="04A0"/>
        </w:tblPrEx>
        <w:tc>
          <w:tcPr>
            <w:tcW w:w="4927" w:type="dxa"/>
          </w:tcPr>
          <w:p w:rsidR="00D37428" w:rsidRPr="00D2226D" w:rsidP="00D37428">
            <w:pPr>
              <w:pStyle w:val="CSBody63ENbold"/>
            </w:pPr>
            <w:r w:rsidRPr="00D2226D">
              <w:t>Neither the Issuer nor the Calculation Agent have a duty to disclose use of non-public information with respect to any Reference Entity</w:t>
            </w:r>
          </w:p>
        </w:tc>
        <w:tc>
          <w:tcPr>
            <w:tcW w:w="4928" w:type="dxa"/>
          </w:tcPr>
          <w:p w:rsidR="00D37428" w:rsidRPr="00D37428" w:rsidP="00D37428">
            <w:pPr>
              <w:pStyle w:val="CSBody63DEbold"/>
              <w:rPr>
                <w:lang w:val="de-DE"/>
              </w:rPr>
            </w:pPr>
            <w:r w:rsidRPr="00D37428">
              <w:rPr>
                <w:lang w:val="de-DE"/>
              </w:rPr>
              <w:t>Weder die Emittentin noch die Berechnungsstelle sind verpflichtet, die Nutzung nicht-öffentlicher Informationen in Bezug auf einen Referenzschuldner offenzulegen</w:t>
            </w:r>
          </w:p>
        </w:tc>
      </w:tr>
      <w:tr w:rsidTr="002F2BFA">
        <w:tblPrEx>
          <w:tblW w:w="5000" w:type="pct"/>
          <w:tblLook w:val="04A0"/>
        </w:tblPrEx>
        <w:tc>
          <w:tcPr>
            <w:tcW w:w="4927" w:type="dxa"/>
          </w:tcPr>
          <w:p w:rsidR="00D37428" w:rsidRPr="00D2226D" w:rsidP="00E73644">
            <w:pPr>
              <w:pStyle w:val="CSBody63EN"/>
            </w:pPr>
            <w:r w:rsidRPr="00D2226D">
              <w:t>The Issuer, the Calculation Agent or any of their respective affiliates may have acquired, or during the term of any Credit-Linked Complex Products may acquire non-public information with respect to the Reference Entity/Entities that they may not disclose. Potential investors in any such Complex Products must therefore make an investment decision based upon their own due diligence and purchase any such Complex Products with the knowledge that any non-public information that the Issuer, the Calculation Agent or any of their respective affiliates may have will not be disclosed to them. None of the Issuer, the Calculation Agent or any of their respective affiliates is under any obligation to (i) review on the behalf of holders of Credit-Linked Complex Products, the business, financial conditions, prospects, creditworthiness, status or affairs of the Reference Entity/Entities or conduct any investigation or due diligence into the Reference Entity/Entities or (ii) other than as may be required by applicable rules and regulations relating to any Credit-Linked Complex Products, make available (a) any information relating to such Complex Products or (b) any non-public information they may possess with respect to the Reference Entity/Entities. It is expected, however, that, in the case of Credit-Linked Complex Products with auction settlement, certain resolutions of the relevant Credit Derivatives Determinations Committee with regard to the determination of Credit Events or Successors will be announced on ISDA’s website at www.isda.org from time to time. Any failure on the part of investors in Credit-Linked Complex Products with auction settlement to make themselves aware of any such resolutions will have no effect on the Issuer's rights and obligations under such Complex Products, and potential investors are solely responsible for obtaining any such information.</w:t>
            </w:r>
          </w:p>
        </w:tc>
        <w:tc>
          <w:tcPr>
            <w:tcW w:w="4928" w:type="dxa"/>
          </w:tcPr>
          <w:p w:rsidR="00D37428" w:rsidRPr="00D37428">
            <w:pPr>
              <w:pStyle w:val="CSBody63DE"/>
              <w:rPr>
                <w:lang w:val="de-DE"/>
              </w:rPr>
            </w:pPr>
            <w:r w:rsidRPr="00D37428">
              <w:rPr>
                <w:lang w:val="de-DE"/>
              </w:rPr>
              <w:t xml:space="preserve">Die Emittentin, die Berechnungsstelle oder die mit ihnen verbundenen Unternehmen können in den Besitz nicht öffentlich zugänglicher Informationen in Bezug auf den bzw. die Referenzschuldner gelangt sein oder während der Laufzeit Kreditbezogener Komplexer Produkte in den Besitz solcher Informationen gelangen und legen diese Informationen möglicherweise nicht offen. Potenzielle Anleger in diese Komplexen Produkte müssen daher eine Anlageentscheidung auf Grundlage ihrer eigenen Prüfung treffen und beim Erwerb Komplexer Produkte beachten, dass nicht öffentlich zugängliche Informationen, die die Emittentin, die Berechnungsstelle oder die mit ihnen verbundenen Unternehmen besitzen, ihnen gegenüber nicht offengelegt werden. Die Emittentin, die Berechnungsstelle und die mit ihnen verbundenen Unternehmen sind nicht verpflichtet, (i) für die Inhaber Kreditbezogener Komplexer Produkte den Geschäftsbetrieb, die Finanzlage, die Aussichten, die Bonität, den Status oder die Angelegenheiten des Referenzschuldners / der Referenzschuldner zu prüfen oder Untersuchungen oder Due-Diligence-Prüfungen im Hinblick auf den bzw. die Referenzschuldner durchzuführen oder (ii) – ausser soweit gemäss anwendbaren Regeln und Vorschriften zu Kreditbezogenen Komplexen Produkten erforderlich – (a) Informationen über diese Komplexen Produkte oder (b) nicht öffentlich zugängliche Informationen, die sie in Bezug auf den bzw. die Referenzschuldner besitzen, zugänglich zu machen. Im Fall von Kreditbezogenen Komplexen Produkten mit Auktionsabwicklung werden jedoch voraussichtlich bestimmte Beschlüsse des jeweiligen Kreditderivate-Feststellungsausschusses im Hinblick auf die Feststellung von Kreditereignissen oder </w:t>
            </w:r>
            <w:r w:rsidR="00636F36">
              <w:rPr>
                <w:lang w:val="de-DE"/>
              </w:rPr>
              <w:t>Rechtsn</w:t>
            </w:r>
            <w:r w:rsidRPr="00D37428">
              <w:rPr>
                <w:lang w:val="de-DE"/>
              </w:rPr>
              <w:t>achfolgern auf der Website der ISDA unter www.isda.org bekannt gegeben. Versäumt es ein Anleger, der Kreditbezogene Komplexe Produkte mit Auktionsabwicklung erworben hat, sich über solche Beschlüsse zu informieren, so hat dies keinerlei Auswirkungen auf die Rechte und Pflichten der Emittentin aus den Komplexen Produkten; potenzielle Anleger sind allein dafür verantwortlich, solche Informationen einzuholen.</w:t>
            </w:r>
          </w:p>
        </w:tc>
      </w:tr>
      <w:tr w:rsidTr="002F2BFA">
        <w:tblPrEx>
          <w:tblW w:w="5000" w:type="pct"/>
          <w:tblLook w:val="04A0"/>
        </w:tblPrEx>
        <w:tc>
          <w:tcPr>
            <w:tcW w:w="4927" w:type="dxa"/>
          </w:tcPr>
          <w:p w:rsidR="00D37428" w:rsidRPr="003C25AD" w:rsidP="00D37428">
            <w:pPr>
              <w:pStyle w:val="CSBody63ENbold"/>
            </w:pPr>
            <w:r w:rsidRPr="003C25AD">
              <w:t>Risks associated with Complex Products with Fixed Final Redemption Amount</w:t>
            </w:r>
          </w:p>
        </w:tc>
        <w:tc>
          <w:tcPr>
            <w:tcW w:w="4928" w:type="dxa"/>
          </w:tcPr>
          <w:p w:rsidR="00D37428" w:rsidRPr="00D37428" w:rsidP="00D37428">
            <w:pPr>
              <w:pStyle w:val="CSBody63DEbold"/>
              <w:rPr>
                <w:lang w:val="de-DE"/>
              </w:rPr>
            </w:pPr>
            <w:r w:rsidRPr="00D37428">
              <w:rPr>
                <w:lang w:val="de-DE"/>
              </w:rPr>
              <w:t>Mit Kreditbezogenen Komplexen Produkten mit Festem Finalen Rückzahlungsbetrag verbundene Risiken</w:t>
            </w:r>
          </w:p>
        </w:tc>
      </w:tr>
      <w:tr w:rsidTr="002F2BFA">
        <w:tblPrEx>
          <w:tblW w:w="5000" w:type="pct"/>
          <w:tblLook w:val="04A0"/>
        </w:tblPrEx>
        <w:tc>
          <w:tcPr>
            <w:tcW w:w="4927" w:type="dxa"/>
          </w:tcPr>
          <w:p w:rsidR="00D37428" w:rsidRPr="003C25AD" w:rsidP="00D37428">
            <w:pPr>
              <w:pStyle w:val="CSBody63ENbold"/>
            </w:pPr>
            <w:r w:rsidRPr="003C25AD">
              <w:t>The market value of, and expected return on, Complex Products with Fixed Final Redemption Amount may be influenced by many factors, some or all of which may be unpredictable</w:t>
            </w:r>
          </w:p>
        </w:tc>
        <w:tc>
          <w:tcPr>
            <w:tcW w:w="4928" w:type="dxa"/>
          </w:tcPr>
          <w:p w:rsidR="00D37428" w:rsidRPr="00D37428" w:rsidP="00D37428">
            <w:pPr>
              <w:pStyle w:val="CSBody63DEbold"/>
              <w:rPr>
                <w:lang w:val="de-DE"/>
              </w:rPr>
            </w:pPr>
            <w:r w:rsidRPr="00D37428">
              <w:rPr>
                <w:lang w:val="de-DE"/>
              </w:rPr>
              <w:t>Der Marktwert Komplexer Produkte mit Festem Finalen Rückzahlungsbetrag und die mit diesen Komplexen Produkten erwartete Rendite kann von zahlreichen Faktoren beeinflusst werden, die insgesamt oder teilweise nicht vorhersehbar sein können</w:t>
            </w:r>
          </w:p>
        </w:tc>
      </w:tr>
      <w:tr w:rsidTr="002F2BFA">
        <w:tblPrEx>
          <w:tblW w:w="5000" w:type="pct"/>
          <w:tblLook w:val="04A0"/>
        </w:tblPrEx>
        <w:tc>
          <w:tcPr>
            <w:tcW w:w="4927" w:type="dxa"/>
          </w:tcPr>
          <w:p w:rsidR="00D37428" w:rsidRPr="003C25AD" w:rsidP="00E73644">
            <w:pPr>
              <w:pStyle w:val="CSBody63EN"/>
            </w:pPr>
            <w:r w:rsidRPr="003C25AD">
              <w:t xml:space="preserve">During the term of a Complex Product with Fixed Final Redemption Amount, the market value of, and the expected return on, such Complex Product may be influenced by many factors, some or all of which may be unpredictable. Many economic and market factors will influence the market value of such a Complex Product. </w:t>
            </w:r>
          </w:p>
        </w:tc>
        <w:tc>
          <w:tcPr>
            <w:tcW w:w="4928" w:type="dxa"/>
          </w:tcPr>
          <w:p w:rsidR="00D37428" w:rsidRPr="00D37428" w:rsidP="00E73644">
            <w:pPr>
              <w:pStyle w:val="CSBody63DE"/>
              <w:rPr>
                <w:lang w:val="de-DE"/>
              </w:rPr>
            </w:pPr>
            <w:r w:rsidRPr="00D37428">
              <w:rPr>
                <w:lang w:val="de-DE"/>
              </w:rPr>
              <w:t xml:space="preserve">Während der Laufzeit eines Komplexen Produkts mit Festem Finalen Rückzahlungsbetrag kann dessen Marktwert und die mit diesen Komplexen Produkten erwartete Rendite von zahlreichen Faktoren beeinflusst werden, die insgesamt oder teilweise nicht vorhersehbar sein können. Viele wirtschaftliche und marktbezogene Faktoren wirken sich auf den Marktwert eines Komplexen Produkts aus. </w:t>
            </w:r>
          </w:p>
        </w:tc>
      </w:tr>
      <w:tr w:rsidTr="002F2BFA">
        <w:tblPrEx>
          <w:tblW w:w="5000" w:type="pct"/>
          <w:tblLook w:val="04A0"/>
        </w:tblPrEx>
        <w:tc>
          <w:tcPr>
            <w:tcW w:w="4927" w:type="dxa"/>
          </w:tcPr>
          <w:p w:rsidR="00D37428" w:rsidRPr="00403EDF" w:rsidP="00E73644">
            <w:pPr>
              <w:pStyle w:val="CSBody63EN"/>
            </w:pPr>
            <w:r w:rsidRPr="00403EDF">
              <w:t>With respect to Complex Products with Fixed Final Redemption Amount and interest payments dependent upon the level of the Reference Rate(s), the Issuer expects that, generally, the value and volatility of the Reference Rate(s) on any day will affect the market value of such Complex Products more than any other single factor. However, a potential investor should not expect the market value of such a Complex Product in the secondary market to vary in proportion to changes in the Reference Rate(s). The return on such a Complex Product (if any) may bear little relation to, and may be much less than, the return that the investor therein might have achieved if such investor had invested directly in the Reference Rate(s).</w:t>
            </w:r>
          </w:p>
        </w:tc>
        <w:tc>
          <w:tcPr>
            <w:tcW w:w="4928" w:type="dxa"/>
          </w:tcPr>
          <w:p w:rsidR="00D37428" w:rsidRPr="00D37428" w:rsidP="00E73644">
            <w:pPr>
              <w:pStyle w:val="CSBody63DE"/>
              <w:rPr>
                <w:lang w:val="de-DE"/>
              </w:rPr>
            </w:pPr>
            <w:r w:rsidRPr="00D37428">
              <w:rPr>
                <w:lang w:val="de-DE"/>
              </w:rPr>
              <w:t>Bei Komplexen Produkten mit Festem Finalen Rückzahlungsbetrag und Zinszahlungen, die vom Stand des Referenzsatzes bzw. der Referenzsätze abhängig sind, geht die Emittentin davon aus, dass der Wert und die Volatilität des Referenzsatzes bzw. der Referenzsätze den Marktwert dieses Komplexen Produkts in der Regel an jedem beliebigen Tag stärker beeinflussen werden als jeder andere Einzelfaktor. Potenzielle Anleger sollten jedoch nicht erwarten, dass sich der Marktwert eines Komplexen Produkts im Sekundärmarkt proportional zu Änderungen des Referenzsatzes bzw. der Referenzsätze entwickelt. Eine etwaige Rendite auf ein Komplexes Produkt steht unter Umständen in keinem Verhältnis zu der Rendite, die der Anleger durch eine Direktanlage in den Referenzsatz bzw. die Referenzsätze hätte erzielen können, und kann viel geringer als diese ausfallen.</w:t>
            </w:r>
          </w:p>
        </w:tc>
      </w:tr>
      <w:tr w:rsidTr="002F2BFA">
        <w:tblPrEx>
          <w:tblW w:w="5000" w:type="pct"/>
          <w:tblLook w:val="04A0"/>
        </w:tblPrEx>
        <w:tc>
          <w:tcPr>
            <w:tcW w:w="4927" w:type="dxa"/>
          </w:tcPr>
          <w:p w:rsidR="00D37428" w:rsidRPr="00403EDF" w:rsidP="00E73644">
            <w:pPr>
              <w:pStyle w:val="CSBody63EN"/>
            </w:pPr>
            <w:r w:rsidRPr="00403EDF">
              <w:t>The market value of, and return (if any) on, a Complex Product with Fixed Final Redemption Amount will be affected by a number of other factors, which may be unpredictable or beyond the Issuer's control, and which may offset or magnify each other, including, without limitation:</w:t>
            </w:r>
          </w:p>
        </w:tc>
        <w:tc>
          <w:tcPr>
            <w:tcW w:w="4928" w:type="dxa"/>
          </w:tcPr>
          <w:p w:rsidR="00D37428" w:rsidRPr="00E73644" w:rsidP="00E73644">
            <w:pPr>
              <w:pStyle w:val="CSBody63DE"/>
              <w:rPr>
                <w:lang w:val="de-DE"/>
              </w:rPr>
            </w:pPr>
            <w:r w:rsidRPr="00D37428">
              <w:rPr>
                <w:lang w:val="de-DE"/>
              </w:rPr>
              <w:t xml:space="preserve">Der Marktwert eines Komplexen Produkts mit Festem Finalen Rückzahlungsbetrag und die gegebenenfalls damit zu erzielende Rendite unterliegen einer Reihe anderer Einflussfaktoren, die unvorhersehbar sein können oder sich der Einflussmöglichkeit der Emittentin entziehen können, und die sich gegenseitig aufheben oder verstärken können. </w:t>
            </w:r>
            <w:r w:rsidRPr="00E73644">
              <w:rPr>
                <w:lang w:val="de-DE"/>
              </w:rPr>
              <w:t>Hierzu gehören unter anderem:</w:t>
            </w:r>
          </w:p>
        </w:tc>
      </w:tr>
      <w:tr w:rsidTr="002F2BFA">
        <w:tblPrEx>
          <w:tblW w:w="5000" w:type="pct"/>
          <w:tblLook w:val="04A0"/>
        </w:tblPrEx>
        <w:tc>
          <w:tcPr>
            <w:tcW w:w="4927" w:type="dxa"/>
          </w:tcPr>
          <w:p w:rsidR="00F93C0A" w:rsidRPr="00C52ABB" w:rsidP="00F93C0A">
            <w:pPr>
              <w:pStyle w:val="CSBullet63"/>
            </w:pPr>
            <w:r w:rsidRPr="00C52ABB">
              <w:t>supply and demand for such Complex Product, including inventory positions of any other market maker;</w:t>
            </w:r>
          </w:p>
        </w:tc>
        <w:tc>
          <w:tcPr>
            <w:tcW w:w="4928" w:type="dxa"/>
          </w:tcPr>
          <w:p w:rsidR="00F93C0A" w:rsidRPr="00F93C0A" w:rsidP="00F93C0A">
            <w:pPr>
              <w:pStyle w:val="CSBullet63"/>
              <w:rPr>
                <w:lang w:val="de-DE"/>
              </w:rPr>
            </w:pPr>
            <w:r w:rsidRPr="00F93C0A">
              <w:rPr>
                <w:lang w:val="de-DE"/>
              </w:rPr>
              <w:t>Angebot und Nachfrage in Bezug auf das betreffende Komplexe Produkt und die Bestandspositionen anderer Market Maker;</w:t>
            </w:r>
          </w:p>
        </w:tc>
      </w:tr>
      <w:tr w:rsidTr="002F2BFA">
        <w:tblPrEx>
          <w:tblW w:w="5000" w:type="pct"/>
          <w:tblLook w:val="04A0"/>
        </w:tblPrEx>
        <w:tc>
          <w:tcPr>
            <w:tcW w:w="4927" w:type="dxa"/>
          </w:tcPr>
          <w:p w:rsidR="00061F5E" w:rsidRPr="00D37428" w:rsidP="009E0318">
            <w:pPr>
              <w:pStyle w:val="CSBullet63"/>
            </w:pPr>
            <w:r w:rsidRPr="00D37428">
              <w:t>the expected frequency and magnitude of changes in the market value of the Reference Rate(s) (volatility), if applicable;</w:t>
            </w:r>
          </w:p>
        </w:tc>
        <w:tc>
          <w:tcPr>
            <w:tcW w:w="4928" w:type="dxa"/>
          </w:tcPr>
          <w:p w:rsidR="00061F5E" w:rsidRPr="00D37428" w:rsidP="009E0318">
            <w:pPr>
              <w:pStyle w:val="CSBullet63"/>
              <w:rPr>
                <w:lang w:val="de-DE"/>
              </w:rPr>
            </w:pPr>
            <w:r w:rsidRPr="00D37428">
              <w:rPr>
                <w:lang w:val="de-DE"/>
              </w:rPr>
              <w:t>die erwartete Häufigkeit und das erwartete Ausmass von Änderungen des Marktwerts des Referenzsatzes bzw. der Referenzsätze (Volatilität);</w:t>
            </w:r>
          </w:p>
        </w:tc>
      </w:tr>
      <w:tr w:rsidTr="002F2BFA">
        <w:tblPrEx>
          <w:tblW w:w="5000" w:type="pct"/>
          <w:tblLook w:val="04A0"/>
        </w:tblPrEx>
        <w:tc>
          <w:tcPr>
            <w:tcW w:w="4927" w:type="dxa"/>
          </w:tcPr>
          <w:p w:rsidR="00061F5E" w:rsidRPr="00D37428" w:rsidP="009E0318">
            <w:pPr>
              <w:pStyle w:val="CSBullet63"/>
            </w:pPr>
            <w:r w:rsidRPr="00D37428">
              <w:t>economic, financial, political or regulatory events or judicial decisions that affect Credit Suisse, the Reference Rate(s) or the financial markets generally;</w:t>
            </w:r>
          </w:p>
        </w:tc>
        <w:tc>
          <w:tcPr>
            <w:tcW w:w="4928" w:type="dxa"/>
          </w:tcPr>
          <w:p w:rsidR="00061F5E" w:rsidRPr="009E0318">
            <w:pPr>
              <w:pStyle w:val="CSBullet63"/>
              <w:rPr>
                <w:lang w:val="de-DE"/>
              </w:rPr>
            </w:pPr>
            <w:r w:rsidRPr="009E0318">
              <w:rPr>
                <w:lang w:val="de-DE"/>
              </w:rPr>
              <w:t>konjunkturelle, finanzielle, politische oder aufsichtsrechtliche Ereignisse oder Gerichtsentscheidungen, die die Credit Suisse, den Referenzsatz bzw. die Referenzsätze oder die Finanzmärkte im Allgemeinen betreffen;</w:t>
            </w:r>
          </w:p>
        </w:tc>
      </w:tr>
      <w:tr w:rsidTr="002F2BFA">
        <w:tblPrEx>
          <w:tblW w:w="5000" w:type="pct"/>
          <w:tblLook w:val="04A0"/>
        </w:tblPrEx>
        <w:tc>
          <w:tcPr>
            <w:tcW w:w="4927" w:type="dxa"/>
          </w:tcPr>
          <w:p w:rsidR="00D37428" w:rsidRPr="00D37428" w:rsidP="009E0318">
            <w:pPr>
              <w:pStyle w:val="CSBullet63"/>
            </w:pPr>
            <w:r w:rsidRPr="00D37428">
              <w:t>interest and yield rates in the market generally;</w:t>
            </w:r>
          </w:p>
        </w:tc>
        <w:tc>
          <w:tcPr>
            <w:tcW w:w="4928" w:type="dxa"/>
          </w:tcPr>
          <w:p w:rsidR="00D37428" w:rsidRPr="00D37428" w:rsidP="009E0318">
            <w:pPr>
              <w:pStyle w:val="CSBullet63"/>
            </w:pPr>
            <w:r w:rsidRPr="009E0318">
              <w:t>Marktzinssätze und -renditen allgemein;</w:t>
            </w:r>
          </w:p>
        </w:tc>
      </w:tr>
      <w:tr w:rsidTr="002F2BFA">
        <w:tblPrEx>
          <w:tblW w:w="5000" w:type="pct"/>
          <w:tblLook w:val="04A0"/>
        </w:tblPrEx>
        <w:tc>
          <w:tcPr>
            <w:tcW w:w="4927" w:type="dxa"/>
          </w:tcPr>
          <w:p w:rsidR="00D37428" w:rsidRPr="00D37428" w:rsidP="009E0318">
            <w:pPr>
              <w:pStyle w:val="CSBullet63"/>
            </w:pPr>
            <w:r w:rsidRPr="00D37428">
              <w:t>the time remaining until the Final Redemption Date; and</w:t>
            </w:r>
          </w:p>
        </w:tc>
        <w:tc>
          <w:tcPr>
            <w:tcW w:w="4928" w:type="dxa"/>
          </w:tcPr>
          <w:p w:rsidR="00D37428" w:rsidRPr="009E0318" w:rsidP="009E0318">
            <w:pPr>
              <w:pStyle w:val="CSBullet63"/>
              <w:rPr>
                <w:lang w:val="de-DE"/>
              </w:rPr>
            </w:pPr>
            <w:r w:rsidRPr="009E0318">
              <w:rPr>
                <w:lang w:val="de-DE"/>
              </w:rPr>
              <w:t>die Restlaufzeit bis zum Finalen Rückzahlungstag; und</w:t>
            </w:r>
          </w:p>
        </w:tc>
      </w:tr>
      <w:tr w:rsidTr="002F2BFA">
        <w:tblPrEx>
          <w:tblW w:w="5000" w:type="pct"/>
          <w:tblLook w:val="04A0"/>
        </w:tblPrEx>
        <w:tc>
          <w:tcPr>
            <w:tcW w:w="4927" w:type="dxa"/>
          </w:tcPr>
          <w:p w:rsidR="00D37428" w:rsidRPr="00D37428" w:rsidP="009E0318">
            <w:pPr>
              <w:pStyle w:val="CSBullet63"/>
            </w:pPr>
            <w:r w:rsidRPr="00D37428">
              <w:t>Credit Suisse’s creditworthiness, including actual or anticipated downgrades in Credit Suisse’s credit ratings.</w:t>
            </w:r>
          </w:p>
        </w:tc>
        <w:tc>
          <w:tcPr>
            <w:tcW w:w="4928" w:type="dxa"/>
          </w:tcPr>
          <w:p w:rsidR="00D37428" w:rsidRPr="009E0318" w:rsidP="009E0318">
            <w:pPr>
              <w:pStyle w:val="CSBullet63"/>
              <w:rPr>
                <w:lang w:val="de-DE"/>
              </w:rPr>
            </w:pPr>
            <w:r w:rsidRPr="009E0318">
              <w:rPr>
                <w:lang w:val="de-DE"/>
              </w:rPr>
              <w:t>die Bonität der Credit Suisse sowie tatsächliche oder erwartete Herabstufungen des Kreditratings der Credit Suisse.</w:t>
            </w:r>
          </w:p>
        </w:tc>
      </w:tr>
      <w:tr w:rsidTr="002F2BFA">
        <w:tblPrEx>
          <w:tblW w:w="5000" w:type="pct"/>
          <w:tblLook w:val="04A0"/>
        </w:tblPrEx>
        <w:tc>
          <w:tcPr>
            <w:tcW w:w="4927" w:type="dxa"/>
          </w:tcPr>
          <w:p w:rsidR="00BE4E3C" w:rsidRPr="004D6BC1" w:rsidP="00E73644">
            <w:pPr>
              <w:pStyle w:val="CSBody63EN"/>
            </w:pPr>
            <w:r w:rsidRPr="004D6BC1">
              <w:t>Some or all of these factors may influence the price of a Complex Product with Fixed Final Redemption Amount. The impact of any of the factors set forth above may enhance or offset some or all of any change resulting from another factor or factors.</w:t>
            </w:r>
          </w:p>
        </w:tc>
        <w:tc>
          <w:tcPr>
            <w:tcW w:w="4928" w:type="dxa"/>
          </w:tcPr>
          <w:p w:rsidR="00BE4E3C" w:rsidRPr="00BE4E3C" w:rsidP="00E73644">
            <w:pPr>
              <w:pStyle w:val="CSBody63DE"/>
              <w:rPr>
                <w:lang w:val="de-DE"/>
              </w:rPr>
            </w:pPr>
            <w:r w:rsidRPr="00BE4E3C">
              <w:rPr>
                <w:lang w:val="de-DE"/>
              </w:rPr>
              <w:t>Einige oder alle dieser Faktoren können den Preis eines Komplexen Produkts mit Festem Finalen Rückzahlungsbetrag beeinflussen. Die vorstehend aufgeführten Faktoren können sich verstärkend oder ausgleichend auf sämtliche oder einzelne der durch einen oder mehrere andere Faktoren ausgelösten Veränderungen auswirken.</w:t>
            </w:r>
          </w:p>
        </w:tc>
      </w:tr>
      <w:tr w:rsidTr="002F2BFA">
        <w:tblPrEx>
          <w:tblW w:w="5000" w:type="pct"/>
          <w:tblLook w:val="04A0"/>
        </w:tblPrEx>
        <w:tc>
          <w:tcPr>
            <w:tcW w:w="4927" w:type="dxa"/>
          </w:tcPr>
          <w:p w:rsidR="00BE4E3C" w:rsidRPr="004D6BC1" w:rsidP="00E73644">
            <w:pPr>
              <w:pStyle w:val="CSBody63EN"/>
            </w:pPr>
            <w:r w:rsidRPr="004D6BC1">
              <w:t>In addition, certain built-in costs are likely to adversely affect the market value of Complex Products with Fixed Final Redemption Amount. The price at which the Issuer will be willing to purchase such Complex Products from a holder in secondary market transactions, if at all, will likely be lower than the original Issue Price.</w:t>
            </w:r>
          </w:p>
        </w:tc>
        <w:tc>
          <w:tcPr>
            <w:tcW w:w="4928" w:type="dxa"/>
          </w:tcPr>
          <w:p w:rsidR="00BE4E3C" w:rsidRPr="00BE4E3C" w:rsidP="00E73644">
            <w:pPr>
              <w:pStyle w:val="CSBody63DE"/>
              <w:rPr>
                <w:lang w:val="de-DE"/>
              </w:rPr>
            </w:pPr>
            <w:r w:rsidRPr="00BE4E3C">
              <w:rPr>
                <w:lang w:val="de-DE"/>
              </w:rPr>
              <w:t xml:space="preserve">Im Weiteren werden sich bestimmte eingepreiste Kosten voraussichtlich nachteilig auf den Marktwert der Komplexen Produkte mit Festem Finalen Rückzahlungsbetrag auswirken. Der Preis, zu dem die Emittentin zum Rückkauf Komplexer Produkte von einem Inhaber im Rahmen einer Sekundärmarkttransaktion bereit ist, wird voraussichtlich unter dem ursprünglichen Emissionspreis liegen. </w:t>
            </w:r>
          </w:p>
        </w:tc>
      </w:tr>
      <w:tr w:rsidTr="002F2BFA">
        <w:tblPrEx>
          <w:tblW w:w="5000" w:type="pct"/>
          <w:tblLook w:val="04A0"/>
        </w:tblPrEx>
        <w:tc>
          <w:tcPr>
            <w:tcW w:w="4927" w:type="dxa"/>
          </w:tcPr>
          <w:p w:rsidR="00BE4E3C" w:rsidRPr="00042123" w:rsidP="00BE4E3C">
            <w:pPr>
              <w:pStyle w:val="CSBody63ENbold"/>
            </w:pPr>
            <w:r w:rsidRPr="00042123">
              <w:t>Although Complex Products with Fixed Final Redemption Amount provide for a fixed Final Redemption Amount, investors may lose a part or all of their investment therein.</w:t>
            </w:r>
          </w:p>
        </w:tc>
        <w:tc>
          <w:tcPr>
            <w:tcW w:w="4928" w:type="dxa"/>
          </w:tcPr>
          <w:p w:rsidR="00BE4E3C" w:rsidRPr="00BE4E3C" w:rsidP="00BE4E3C">
            <w:pPr>
              <w:pStyle w:val="CSBody63DEbold"/>
              <w:rPr>
                <w:lang w:val="de-DE"/>
              </w:rPr>
            </w:pPr>
            <w:r w:rsidRPr="00BE4E3C">
              <w:rPr>
                <w:lang w:val="de-DE"/>
              </w:rPr>
              <w:t>Obwohl Komplexe Produkte mit Festem Finalen Rückzahlungsbetrag einen Festen Finalen Rückzahlungsbetrag vorsehen, ist es möglich, dass Anleger den investierten Betrag ganz oder teilweise verlieren können.</w:t>
            </w:r>
          </w:p>
        </w:tc>
      </w:tr>
      <w:tr w:rsidTr="002F2BFA">
        <w:tblPrEx>
          <w:tblW w:w="5000" w:type="pct"/>
          <w:tblLook w:val="04A0"/>
        </w:tblPrEx>
        <w:tc>
          <w:tcPr>
            <w:tcW w:w="4927" w:type="dxa"/>
          </w:tcPr>
          <w:p w:rsidR="00BE4E3C" w:rsidRPr="00042123" w:rsidP="00E73644">
            <w:pPr>
              <w:pStyle w:val="CSBody63EN"/>
            </w:pPr>
            <w:r w:rsidRPr="00042123">
              <w:t>Complex Products with Fixed Final Redemption Amount provide for a fixed redemption amount equal to the percentage of the Denomination specified in the applicable Terms and Conditions (</w:t>
            </w:r>
            <w:r w:rsidRPr="007E3558" w:rsidR="007E3558">
              <w:rPr>
                <w:i/>
              </w:rPr>
              <w:t>i.e.</w:t>
            </w:r>
            <w:r w:rsidRPr="00042123">
              <w:t xml:space="preserve">, the Final Redemption Amount), which investors in such Complex Products will receive on the Final Redemption Date (so long as not early redeemed). Accordingly (but subject to the immediately succeeding sentence), an investor's risk of loss is limited to the difference between the Issue Price (or, if different, the price such investor paid for the relevant Complex Product) and the Final Redemption Amount. </w:t>
            </w:r>
            <w:r w:rsidRPr="00BE4E3C">
              <w:rPr>
                <w:b/>
              </w:rPr>
              <w:t>Nevertheless, investors in such Complex Products may lose some or all of their investment therein (including the Final Redemption Amount), in particular if Credit Suisse were to become insolvent or otherwise unable to fulfil all or part of its obligations under such Complex Products.</w:t>
            </w:r>
            <w:r w:rsidRPr="00042123">
              <w:t xml:space="preserve"> In addition, if an investor acquires such a Complex Product at a price that is higher than the Final Redemption Amount, such investor should be aware that the Final Redemption Amount does not fluctuate with the purchase price paid for such Complex Product. Furthermore, even though such Complex Products provide for a fixed Final Redemption Amount, this does not mean that the market value of such a Complex Product will ever be, or that an investor in such a Complex Product will ever be able to sell such Complex Product for an amount, equal to or above the Final Redemption Amount.</w:t>
            </w:r>
          </w:p>
        </w:tc>
        <w:tc>
          <w:tcPr>
            <w:tcW w:w="4928" w:type="dxa"/>
          </w:tcPr>
          <w:p w:rsidR="00BE4E3C" w:rsidRPr="00BE4E3C" w:rsidP="00E73644">
            <w:pPr>
              <w:pStyle w:val="CSBody63DE"/>
              <w:rPr>
                <w:lang w:val="de-DE"/>
              </w:rPr>
            </w:pPr>
            <w:r w:rsidRPr="00BE4E3C">
              <w:rPr>
                <w:lang w:val="de-DE"/>
              </w:rPr>
              <w:t>Komplexe Produkte mit Festem Finalen Rückzahlungsbetrag sehen einen festen Rückzahlungsbetrag in Höhe des in den anwendbaren Emissionsbedingungen angegebenen prozentualen Anteils der Stückelung vor (</w:t>
            </w:r>
            <w:r w:rsidR="007E3558">
              <w:rPr>
                <w:lang w:val="de-DE"/>
              </w:rPr>
              <w:t>d.h.</w:t>
            </w:r>
            <w:r w:rsidRPr="00BE4E3C">
              <w:rPr>
                <w:lang w:val="de-DE"/>
              </w:rPr>
              <w:t xml:space="preserve">, den Finalen Rückzahlungsbetrag), den Anleger in Komplexe Produkte am Finalen Rückzahlungstag erhalten (solange die Komplexen Produkte nicht vorzeitig zurückbezahlt werden). Das Verlustrisiko des Anlegers ist somit (allerdings vorbehaltlich des unmittelbar folgenden Satzes) auf die Differenz zwischen dem Emissionspreis (bzw., falls abweichend, dem Preis, den der jeweilige Anleger für das betreffende Komplexe Produkt gezahlt hat) und dem Finalen Rückzahlungsbetrag beschränkt. </w:t>
            </w:r>
            <w:r w:rsidRPr="00BE4E3C">
              <w:rPr>
                <w:b/>
                <w:lang w:val="de-DE"/>
              </w:rPr>
              <w:t>Anleger in Komplexe Produkte können jedoch insbesondere im Falle einer Insolvenz der Credit Suisse, oder falls die Credit Suisse ihre Verpflichtungen aus diesen Komplexen Produkten andersweitig nicht oder nur teilweise erfüllen kann, trotzdem den in Komplexe Produkte investierten Betrag (einschliesslich des Finalen Rückzahlungsbetrags) ganz oder teilweise verlieren.</w:t>
            </w:r>
            <w:r w:rsidRPr="00BE4E3C">
              <w:rPr>
                <w:lang w:val="de-DE"/>
              </w:rPr>
              <w:t xml:space="preserve"> Des Weiteren sollte ein Anleger, falls er ein Komplexes Produkt zu einem Preis erwirbt, der über dem Finalen Rückzahlungsbetrag liegt, sich bewusst sein, dass der Finale Rückzahlungsbetrag sich nicht analog zu Schwankungen des für das Komplexe Produkt gezahlten Preises ändert. Darüber hinaus bedeutet die Tatsache, dass Komplexe Produkte einen Finalen Rückzahlungsbetrag vorsehen, nicht, dass der Marktwert eines Komplexen Produkts zu irgendeinem Zeitpunkt dem Geschützten Rückzahlungsbetrag entspricht oder diesen überschreitet oder dass ein Anleger in ein Komplexes Produkt zu irgendeinem Zeitpunkt in der Lage sein wird, das Komplexe Produkt zu einem Betrag zu verkaufen, der dem Finalen Rückzahlungsbetrag entspricht oder diesen überschreitet.</w:t>
            </w:r>
          </w:p>
        </w:tc>
      </w:tr>
      <w:tr w:rsidTr="002F2BFA">
        <w:tblPrEx>
          <w:tblW w:w="5000" w:type="pct"/>
          <w:tblLook w:val="04A0"/>
        </w:tblPrEx>
        <w:tc>
          <w:tcPr>
            <w:tcW w:w="4927" w:type="dxa"/>
          </w:tcPr>
          <w:p w:rsidR="00BE4E3C" w:rsidRPr="00163E24" w:rsidP="00E73644">
            <w:pPr>
              <w:pStyle w:val="CSBody63EN"/>
            </w:pPr>
            <w:r w:rsidRPr="00163E24">
              <w:t>A Complex Product may provide for a Final Redemption Amount that is less than 100% of the Denomination. With respect to any such Complex Product, the sum of the Final Redemption Amount and the Interest Payment Amount(s), if any, may be lower than the Issue Price (or, if different, the price the relevant investor paid for such Complex Product). In such case, the investor in such Complex Product would suffer a partial loss on its investment.</w:t>
            </w:r>
          </w:p>
        </w:tc>
        <w:tc>
          <w:tcPr>
            <w:tcW w:w="4928" w:type="dxa"/>
          </w:tcPr>
          <w:p w:rsidR="00BE4E3C" w:rsidRPr="00BE4E3C" w:rsidP="00E73644">
            <w:pPr>
              <w:pStyle w:val="CSBody63DE"/>
              <w:rPr>
                <w:lang w:val="de-DE"/>
              </w:rPr>
            </w:pPr>
            <w:r w:rsidRPr="00BE4E3C">
              <w:rPr>
                <w:lang w:val="de-DE"/>
              </w:rPr>
              <w:t>Bei Komplexen Produkten kann ein Finaler Rückzahlungsbetrag von weniger als 100% der Stückelung vorgesehen sein. Bei solchen Komplexen Produkten kann die Summe aus dem Finalen Rückzahlungsbetrag und einem oder mehreren etwaigen Zinszahlungsbeträgen unter dem Emissionspreis (bzw., falls abweichend, dem Preis, den der jeweilige Anleger für das betreffende Komplexe Produkt gezahlt hat) liegen. In diesem Fall würde ein Anleger in solche Komplexen Produkte einen Teilverlust seines angelegten Kapitals erleiden.</w:t>
            </w:r>
          </w:p>
        </w:tc>
      </w:tr>
      <w:tr w:rsidTr="002F2BFA">
        <w:tblPrEx>
          <w:tblW w:w="5000" w:type="pct"/>
          <w:tblLook w:val="04A0"/>
        </w:tblPrEx>
        <w:tc>
          <w:tcPr>
            <w:tcW w:w="4927" w:type="dxa"/>
          </w:tcPr>
          <w:p w:rsidR="00BE4E3C" w:rsidRPr="00163E24" w:rsidP="00E73644">
            <w:pPr>
              <w:pStyle w:val="CSBody63EN"/>
            </w:pPr>
            <w:r w:rsidRPr="00163E24">
              <w:t>Investors should be aware that the Final Redemption Amount is only payable by the Issuer on the Final Redemption Date. If Complex Products with Fixed Final Redemption Amount are early redeemed, investors may receive a redemption amount that is considerably less than the Final Redemption Amount that would have otherwise been received.</w:t>
            </w:r>
          </w:p>
        </w:tc>
        <w:tc>
          <w:tcPr>
            <w:tcW w:w="4928" w:type="dxa"/>
          </w:tcPr>
          <w:p w:rsidR="00BE4E3C" w:rsidRPr="00BE4E3C" w:rsidP="00E73644">
            <w:pPr>
              <w:pStyle w:val="CSBody63DE"/>
              <w:rPr>
                <w:lang w:val="de-DE"/>
              </w:rPr>
            </w:pPr>
            <w:r w:rsidRPr="00BE4E3C">
              <w:rPr>
                <w:lang w:val="de-DE"/>
              </w:rPr>
              <w:t>Anleger sollten sich bewusst sein, dass der Finale Rückzahlungsbetrag erst am Finalen Rückzahlungstag durch die Emittentin zu zahlen ist. Falls Komplexe Produkte mit Festem Finalen Rückzahlungsbetrag vorzeitig zurückbezahlt werden, erhalten Anleger unter Umständen einen Rückzahlungsbetrag, der erheblich unter dem Finalen Rückzahlungsbetrag liegt, den sie ansonsten erhalten hätten.</w:t>
            </w:r>
          </w:p>
        </w:tc>
      </w:tr>
      <w:tr w:rsidTr="002F2BFA">
        <w:tblPrEx>
          <w:tblW w:w="5000" w:type="pct"/>
          <w:tblLook w:val="04A0"/>
        </w:tblPrEx>
        <w:tc>
          <w:tcPr>
            <w:tcW w:w="4927" w:type="dxa"/>
          </w:tcPr>
          <w:p w:rsidR="00D433E6" w:rsidP="00D82500">
            <w:pPr>
              <w:pStyle w:val="CSHeading3EN"/>
            </w:pPr>
            <w:bookmarkStart w:id="39" w:name="_Toc438227516"/>
            <w:r w:rsidRPr="00D433E6">
              <w:t>Risks associated with Complex Products that include certain features</w:t>
            </w:r>
            <w:bookmarkEnd w:id="39"/>
          </w:p>
        </w:tc>
        <w:tc>
          <w:tcPr>
            <w:tcW w:w="4928" w:type="dxa"/>
          </w:tcPr>
          <w:p w:rsidR="00D433E6" w:rsidRPr="00B34C1C" w:rsidP="00E73644">
            <w:pPr>
              <w:pStyle w:val="CSHeading3DE"/>
              <w:rPr>
                <w:lang w:val="de-DE"/>
              </w:rPr>
            </w:pPr>
            <w:bookmarkStart w:id="40" w:name="_Toc438160264"/>
            <w:r w:rsidRPr="00B34C1C">
              <w:rPr>
                <w:lang w:val="de-DE"/>
              </w:rPr>
              <w:t>Mit Komplexen Produkten mit bestimmten Merkmalen verbundene Risiken</w:t>
            </w:r>
            <w:bookmarkEnd w:id="40"/>
          </w:p>
        </w:tc>
      </w:tr>
      <w:tr w:rsidTr="002F2BFA">
        <w:tblPrEx>
          <w:tblW w:w="5000" w:type="pct"/>
          <w:tblLook w:val="04A0"/>
        </w:tblPrEx>
        <w:tc>
          <w:tcPr>
            <w:tcW w:w="4927" w:type="dxa"/>
          </w:tcPr>
          <w:p w:rsidR="0019606A" w:rsidRPr="00ED4D67" w:rsidP="0019606A">
            <w:pPr>
              <w:pStyle w:val="CSBody63ENbold"/>
            </w:pPr>
            <w:r w:rsidRPr="00ED4D67">
              <w:t>There are specific risks with regard to Complex Products with Interest Payment Amounts based on a floating interest rate</w:t>
            </w:r>
          </w:p>
        </w:tc>
        <w:tc>
          <w:tcPr>
            <w:tcW w:w="4928" w:type="dxa"/>
          </w:tcPr>
          <w:p w:rsidR="0019606A" w:rsidRPr="0019606A" w:rsidP="0019606A">
            <w:pPr>
              <w:pStyle w:val="CSBody63DEbold"/>
              <w:rPr>
                <w:lang w:val="de-DE"/>
              </w:rPr>
            </w:pPr>
            <w:r w:rsidRPr="0019606A">
              <w:rPr>
                <w:lang w:val="de-DE"/>
              </w:rPr>
              <w:t>Komplexe Produkte mit an einen variablen Zinssatz gekoppelten Zinszahlungsbeträgen sind mit besonderen Risiken verbunden</w:t>
            </w:r>
          </w:p>
        </w:tc>
      </w:tr>
      <w:tr w:rsidTr="002F2BFA">
        <w:tblPrEx>
          <w:tblW w:w="5000" w:type="pct"/>
          <w:tblLook w:val="04A0"/>
        </w:tblPrEx>
        <w:tc>
          <w:tcPr>
            <w:tcW w:w="4927" w:type="dxa"/>
          </w:tcPr>
          <w:p w:rsidR="0019606A" w:rsidRPr="00ED4D67" w:rsidP="00E73644">
            <w:pPr>
              <w:pStyle w:val="CSBody63EN"/>
            </w:pPr>
            <w:r w:rsidRPr="00ED4D67">
              <w:t>A key difference between Complex Products with one or more Interest Payment Amounts based on a floating rate ("</w:t>
            </w:r>
            <w:r w:rsidRPr="0019606A">
              <w:rPr>
                <w:b/>
              </w:rPr>
              <w:t>Floating Rate Products</w:t>
            </w:r>
            <w:r w:rsidRPr="00ED4D67">
              <w:t>") and Complex Products with Interest Payment Amounts based only on a fixed rate ("</w:t>
            </w:r>
            <w:r w:rsidRPr="0019606A">
              <w:rPr>
                <w:b/>
              </w:rPr>
              <w:t>Fixed Rate Products</w:t>
            </w:r>
            <w:r w:rsidRPr="00ED4D67">
              <w:t>") is that the amount of Interest Payment Amounts based on a floating rate cannot be anticipated prior to the relevant date on which such amounts are calculated pursuant to the applicable Terms and Conditions. Due to varying interest rates, investors are not able to determine a definite yield at the time they purchase Floating Rate Products, which means that their return on investment cannot be compared to that of investments having fixed interest periods. If the applicable Terms and Conditions of Floating Rate Products provide for frequent Interest Payment Dates based on a floating rate, investors in such Complex Products are exposed to reinvestment risk if market interest rates decline. In other words, investors in Floating Rate Products may reinvest the interest income paid to them only at the then-prevailing relevant interest rates. In addition, the Issuer's ability to issue Fixed Rate Products may affect the market value and secondary market (if any) of the Floating Rate Products (and vice versa).</w:t>
            </w:r>
          </w:p>
        </w:tc>
        <w:tc>
          <w:tcPr>
            <w:tcW w:w="4928" w:type="dxa"/>
          </w:tcPr>
          <w:p w:rsidR="0019606A" w:rsidRPr="0019606A" w:rsidP="00E73644">
            <w:pPr>
              <w:pStyle w:val="CSBody63DE"/>
              <w:rPr>
                <w:lang w:val="de-DE"/>
              </w:rPr>
            </w:pPr>
            <w:r w:rsidRPr="0019606A">
              <w:rPr>
                <w:lang w:val="de-DE"/>
              </w:rPr>
              <w:t>Ein wesentlicher Unterschied zwischen Komplexen Produkten mit an einen variablen Zinssatz gekoppelten Zinszahlungsbeträgen ("</w:t>
            </w:r>
            <w:r w:rsidRPr="0019606A">
              <w:rPr>
                <w:b/>
                <w:lang w:val="de-DE"/>
              </w:rPr>
              <w:t>Variabel Verzinsliche Produkte</w:t>
            </w:r>
            <w:r w:rsidRPr="0019606A">
              <w:rPr>
                <w:lang w:val="de-DE"/>
              </w:rPr>
              <w:t>") und Komplexen Produkten mit an einen Festzinssatz gekoppelten Zinszahlungsbeträgen ("</w:t>
            </w:r>
            <w:r w:rsidRPr="0019606A">
              <w:rPr>
                <w:b/>
                <w:lang w:val="de-DE"/>
              </w:rPr>
              <w:t>Festzinsprodukte</w:t>
            </w:r>
            <w:r w:rsidRPr="0019606A">
              <w:rPr>
                <w:lang w:val="de-DE"/>
              </w:rPr>
              <w:t xml:space="preserve">") besteht darin, dass die Höhe der auf Variabel Verzinsliche Produkte zu zahlenden Zinszahlungsbeträge vor dem Tag, an dem diese Beträge nach Massgabe der anwendbaren Emissionsbedingungen berechnet werden, nicht vorhersehbar ist. Aufgrund von Schwankungen der Zinssätze können Anleger im Zeitpunkt des Erwerbs Variabel Verzinslicher Produkte keine feste Rendite ermitteln, </w:t>
            </w:r>
            <w:r w:rsidR="007E3558">
              <w:rPr>
                <w:lang w:val="de-DE"/>
              </w:rPr>
              <w:t>d.h.</w:t>
            </w:r>
            <w:r w:rsidRPr="0019606A">
              <w:rPr>
                <w:lang w:val="de-DE"/>
              </w:rPr>
              <w:t xml:space="preserve"> die Anlagerendite kann nicht mit der auf andere Anlageformen mit Festzinsperioden zu erzielenden Rendite verglichen werden. Wenn die anwendbaren Emissionsbedingungen der Komplexen Produkte häufige Zinszahlungstage vorsehen, sind Anleger in Variabel Verzinsliche Produkte bei fallenden Marktzinsen einem Wiederanlagerisiko ausgesetzt. Mit anderen Worten, Anleger in Variabel Verzinsliche Produkte können die an sie ausgezahlten Zinserträge nur zu den zu dem betreffenden Zeitpunkt jeweils gültigen Zinssätzen wiederanlegen. Darüber hinaus kann sich die Fähigkeit der Emittentin, Festzinsprodukte zu emittieren, nachteilig auf den Marktwert von Variabel Verzinslichen Produkten sowie einen gegebenenfalls für diese bestehenden Sekundärmarkt auswirken (und umgekehrt).</w:t>
            </w:r>
          </w:p>
        </w:tc>
      </w:tr>
      <w:tr w:rsidTr="002F2BFA">
        <w:tblPrEx>
          <w:tblW w:w="5000" w:type="pct"/>
          <w:tblLook w:val="04A0"/>
        </w:tblPrEx>
        <w:tc>
          <w:tcPr>
            <w:tcW w:w="4927" w:type="dxa"/>
          </w:tcPr>
          <w:p w:rsidR="0019606A" w:rsidRPr="000F67E9" w:rsidP="0019606A">
            <w:pPr>
              <w:pStyle w:val="CSBody63ENbold"/>
            </w:pPr>
            <w:r w:rsidRPr="000F67E9">
              <w:t>The market value of and interest payments on Floating Rate Products are dependent upon the level of the Reference Rate(s), and factors affecting the performance of the Reference Rate(s) may adversely affect the market value of, and return (if any) on, Floating Rate Products</w:t>
            </w:r>
          </w:p>
        </w:tc>
        <w:tc>
          <w:tcPr>
            <w:tcW w:w="4928" w:type="dxa"/>
          </w:tcPr>
          <w:p w:rsidR="0019606A" w:rsidRPr="0019606A" w:rsidP="0019606A">
            <w:pPr>
              <w:pStyle w:val="CSBody63DEbold"/>
              <w:rPr>
                <w:lang w:val="de-DE"/>
              </w:rPr>
            </w:pPr>
            <w:r w:rsidRPr="0019606A">
              <w:rPr>
                <w:lang w:val="de-DE"/>
              </w:rPr>
              <w:t>Der Marktwert und Zinszahlungen von Variabel Verzinslichen Produkten sind vom Stand des Referenzsatzes bzw. der Referenzsätze abhängig, und Faktoren, die sich auf die Entwicklung des Referenzsatzes bzw. der Referenzsätze auswirken, können sich nachteilig auf den Marktwert und eine etwaige Rendite der Variabel Verzinslichen Produkten auswirken</w:t>
            </w:r>
          </w:p>
        </w:tc>
      </w:tr>
      <w:tr w:rsidTr="002F2BFA">
        <w:tblPrEx>
          <w:tblW w:w="5000" w:type="pct"/>
          <w:tblLook w:val="04A0"/>
        </w:tblPrEx>
        <w:tc>
          <w:tcPr>
            <w:tcW w:w="4927" w:type="dxa"/>
          </w:tcPr>
          <w:p w:rsidR="0019606A" w:rsidRPr="000F67E9" w:rsidP="00E73644">
            <w:pPr>
              <w:pStyle w:val="CSBody63EN"/>
            </w:pPr>
            <w:r w:rsidRPr="000F67E9">
              <w:t>Each Complex Product with one or more Interest Payment Amounts based on a floating rate will represent an investment linked to the performance of one or more Reference Rates and potential investors should note that any amount payable under such a Complex Product will generally depend upon the performance of such Reference Rate(s).</w:t>
            </w:r>
          </w:p>
        </w:tc>
        <w:tc>
          <w:tcPr>
            <w:tcW w:w="4928" w:type="dxa"/>
          </w:tcPr>
          <w:p w:rsidR="0019606A" w:rsidRPr="0019606A" w:rsidP="0019606A">
            <w:pPr>
              <w:pStyle w:val="CSBody63DE"/>
              <w:rPr>
                <w:lang w:val="de-DE"/>
              </w:rPr>
            </w:pPr>
            <w:r w:rsidRPr="0019606A">
              <w:rPr>
                <w:lang w:val="de-DE"/>
              </w:rPr>
              <w:t xml:space="preserve">Jedes Komplexe Produkt mit an einen variablen Zinssatz gekoppelten Zinszahlungsbeträgen stellt eine Anlage dar, die an die Entwicklung eines oder mehrerer Referenzsätze gekoppelt ist, und potenzielle Anleger sollten zur Kenntnis nehmen, dass etwaige auf ein Komplexes Produkt zahlbare Beträge in der Regel von der Wertentwicklung dieses Referenzsatzes bzw. dieser Referenzsätze abhängig sind. </w:t>
            </w:r>
          </w:p>
        </w:tc>
      </w:tr>
      <w:tr w:rsidTr="002F2BFA">
        <w:tblPrEx>
          <w:tblW w:w="5000" w:type="pct"/>
          <w:tblLook w:val="04A0"/>
        </w:tblPrEx>
        <w:tc>
          <w:tcPr>
            <w:tcW w:w="4927" w:type="dxa"/>
          </w:tcPr>
          <w:p w:rsidR="0019606A" w:rsidRPr="000F67E9" w:rsidP="00E73644">
            <w:pPr>
              <w:pStyle w:val="CSBody63EN"/>
            </w:pPr>
            <w:r w:rsidRPr="000F67E9">
              <w:t xml:space="preserve">Reference Rates are mainly dependent upon the supply and demand for credit in the money market, </w:t>
            </w:r>
            <w:r w:rsidRPr="007E3558" w:rsidR="007E3558">
              <w:rPr>
                <w:i/>
              </w:rPr>
              <w:t>i.e.</w:t>
            </w:r>
            <w:r w:rsidRPr="000F67E9">
              <w:t>, the rates of interest paid on investments, determined by the interaction of supply of and demand for funds in the money market. The supply and demand in the money market on the other hand is dependent upon macroeconomic factors, such as interest and price levels on the capital markets, currency developments and political factors, or upon other factors, depending on the specific type of Reference Rate. Such factors affecting the performance of a Reference Rate may adversely affect the market value of, and return (if any) on, Floating Rate Products.</w:t>
            </w:r>
          </w:p>
        </w:tc>
        <w:tc>
          <w:tcPr>
            <w:tcW w:w="4928" w:type="dxa"/>
          </w:tcPr>
          <w:p w:rsidR="0019606A" w:rsidRPr="0019606A" w:rsidP="0019606A">
            <w:pPr>
              <w:pStyle w:val="CSBody63DE"/>
              <w:rPr>
                <w:lang w:val="de-DE"/>
              </w:rPr>
            </w:pPr>
            <w:r w:rsidRPr="0019606A">
              <w:rPr>
                <w:lang w:val="de-DE"/>
              </w:rPr>
              <w:t>Referenzsätze sind im Wesentlichen von der Nachfrage- und Angebotssituation für Kredite auf dem Geldmarkt abhängig, d.h. den für Anlagen gezahlten Zinssätzen, die durch das Zusammenwirken des Angebots an Finanzmitteln und der Nachfrage danach auf dem Geldmarkt bestimmt werden. Angebot und Nachfrage auf dem Geldmarkt sind wiederum von makroökonomischen Faktoren abhängig wie beispielsweise dem Zins- und Kursniveau auf den Kapitalmärkten, Wechselkursentwicklungen, politischen Faktoren und anderen für den jeweiligen Referenzsatz spezifischen Faktoren. Diese Faktoren, die die Entwicklung eines Referenzsatzes beeinflussen, können sich nachteilig auf den Marktwert und eine etwaige Rendite der Variabel Verzinslichen Produkte auswirken.</w:t>
            </w:r>
          </w:p>
        </w:tc>
      </w:tr>
      <w:tr w:rsidTr="002F2BFA">
        <w:tblPrEx>
          <w:tblW w:w="5000" w:type="pct"/>
          <w:tblLook w:val="04A0"/>
        </w:tblPrEx>
        <w:tc>
          <w:tcPr>
            <w:tcW w:w="4927" w:type="dxa"/>
          </w:tcPr>
          <w:p w:rsidR="0019606A" w:rsidRPr="004C275D" w:rsidP="0019606A">
            <w:pPr>
              <w:pStyle w:val="CSBody63ENbold"/>
            </w:pPr>
            <w:r w:rsidRPr="004C275D">
              <w:t>The interest rate applicable to all or some of the interest periods for Floating Rate Products is not certain, and may be zero or very low</w:t>
            </w:r>
          </w:p>
        </w:tc>
        <w:tc>
          <w:tcPr>
            <w:tcW w:w="4928" w:type="dxa"/>
          </w:tcPr>
          <w:p w:rsidR="0019606A" w:rsidRPr="0019606A" w:rsidP="0019606A">
            <w:pPr>
              <w:pStyle w:val="CSBody63DEbold"/>
              <w:rPr>
                <w:lang w:val="de-DE"/>
              </w:rPr>
            </w:pPr>
            <w:r w:rsidRPr="0019606A">
              <w:rPr>
                <w:lang w:val="de-DE"/>
              </w:rPr>
              <w:t>Der für alle oder einige Zinsperioden für Variabel Verzinsliche Produkte geltende Zinssatz steht nicht fest und kann null betragen oder sehr gering sein</w:t>
            </w:r>
          </w:p>
        </w:tc>
      </w:tr>
      <w:tr w:rsidTr="002F2BFA">
        <w:tblPrEx>
          <w:tblW w:w="5000" w:type="pct"/>
          <w:tblLook w:val="04A0"/>
        </w:tblPrEx>
        <w:tc>
          <w:tcPr>
            <w:tcW w:w="4927" w:type="dxa"/>
          </w:tcPr>
          <w:p w:rsidR="0019606A" w:rsidRPr="00A81E19" w:rsidP="00E73644">
            <w:pPr>
              <w:pStyle w:val="CSBody63EN"/>
            </w:pPr>
            <w:r w:rsidRPr="00A81E19">
              <w:t>Depending upon the development of the Reference Rate(s), it is possible that the applicable interest rate for one or more interest periods during the term of Floating Rate Products may be equal to zero, or, even if the interest rate is above zero, it may be substantially lower than the interest rate that would be applicable to conventional fixed rate debt securities of the Issuer with a comparable term.</w:t>
            </w:r>
          </w:p>
        </w:tc>
        <w:tc>
          <w:tcPr>
            <w:tcW w:w="4928" w:type="dxa"/>
          </w:tcPr>
          <w:p w:rsidR="0019606A" w:rsidRPr="0019606A" w:rsidP="0019606A">
            <w:pPr>
              <w:pStyle w:val="CSBody63DE"/>
              <w:rPr>
                <w:lang w:val="de-DE"/>
              </w:rPr>
            </w:pPr>
            <w:r w:rsidRPr="0019606A">
              <w:rPr>
                <w:lang w:val="de-DE"/>
              </w:rPr>
              <w:t>Je nach der Entwicklung des Referenzsatzes bzw. der Referenzsätze besteht die Möglichkeit, dass der Zinssatz für eine oder mehrere Zinsperioden während der Laufzeit der Variabel Verzinslichen Produkte null betragen kann oder selbst dann, wenn der Zinssatz grösser als null ist, wesentlich geringer sein kann als der Zinssatz, der für herkömmliche festverzinsliche Schuldtitel der Emittentin mit vergleichbarer Laufzeit gelten würde.</w:t>
            </w:r>
          </w:p>
        </w:tc>
      </w:tr>
      <w:tr w:rsidTr="002F2BFA">
        <w:tblPrEx>
          <w:tblW w:w="5000" w:type="pct"/>
          <w:tblLook w:val="04A0"/>
        </w:tblPrEx>
        <w:tc>
          <w:tcPr>
            <w:tcW w:w="4927" w:type="dxa"/>
          </w:tcPr>
          <w:p w:rsidR="0019606A" w:rsidRPr="00A81E19" w:rsidP="00E73644">
            <w:pPr>
              <w:pStyle w:val="CSBody63EN"/>
            </w:pPr>
            <w:r w:rsidRPr="00A81E19">
              <w:t>With respect to Floating Rate Products that are Spread-Linked Notes, potential investors should be aware that the interest rate for one or more interest periods during the term of such Complex Products will be dependent upon the difference between the value of Reference Rate 1 and the value of Reference Rate 2, in each case, on the Interest Determination Date, as determined by the Calculation Agent on the relevant Interest Determination Date. Depending on the actual difference between the value of the two Reference Rates, such interest rate may be very low even if both reference rates develop positively over the relevant interest period. Furthermore, investors should note that unless otherwise specified in the applicable Terms and Conditions, if the difference between the value of Reference Rate 1 and the value of Reference Rate 2 is equal to zero or negative, the applicable interest rate will be zero.</w:t>
            </w:r>
          </w:p>
        </w:tc>
        <w:tc>
          <w:tcPr>
            <w:tcW w:w="4928" w:type="dxa"/>
          </w:tcPr>
          <w:p w:rsidR="0019606A" w:rsidRPr="0019606A" w:rsidP="00E73644">
            <w:pPr>
              <w:pStyle w:val="CSBody63DE"/>
              <w:rPr>
                <w:lang w:val="de-DE"/>
              </w:rPr>
            </w:pPr>
            <w:r w:rsidRPr="0019606A">
              <w:rPr>
                <w:lang w:val="de-DE"/>
              </w:rPr>
              <w:t>Im Fall von Variabel Verzinslichen Produkten, bei denen es sich um Spread-Linked Notes handelt, sollten sich Potenzielle Anleger bewusst sein, dass der Zinssatz für eine oder mehrere Zinsperioden während der Laufzeit dieser Komplexen Produkte von der Differenz aus dem Wert des Referenzsatzes 1 und dem Wert des Referenzsatzes 2, jeweils am Zinsfeststellungstag, abhängt, wie von der Berechnungsstelle am massgeblichen Zinsfeststellungstag festgestellt. Abhängig von der tatsächlichen Differenz zwischen dem Wert der beiden Referenzsätze kann dieser Zinssatz selbst dann sehr gering sein kann, wenn sich beide Referenzsätze während der betreffenden Zinsperiode positiv entwickeln. Anleger sollten darüber hinaus beachten, dass, falls in den anwendbaren Emissionsbedingungen nicht anderweitig geregelt, für den Fall, dass die Differenz aus dem Wert des Referenzsatzes 1 und dem Wert des Referenzsatzes 2 null oder einem negativen Betrag entspricht, der anwendbare Zinssatz null ist.</w:t>
            </w:r>
          </w:p>
        </w:tc>
      </w:tr>
      <w:tr w:rsidTr="002F2BFA">
        <w:tblPrEx>
          <w:tblW w:w="5000" w:type="pct"/>
          <w:tblLook w:val="04A0"/>
        </w:tblPrEx>
        <w:tc>
          <w:tcPr>
            <w:tcW w:w="4927" w:type="dxa"/>
          </w:tcPr>
          <w:p w:rsidR="0019606A" w:rsidRPr="00F47C63" w:rsidP="00E73644">
            <w:pPr>
              <w:pStyle w:val="CSBody63EN"/>
            </w:pPr>
            <w:r w:rsidRPr="00F47C63">
              <w:t>With respect to Floating Rate Products that are Spread Range Accrual Notes, potential investors should be aware that the interest rate for one or more interest periods will be dependent upon the number of Barrier Observation Dates on which the difference between the value of Reference Rate 2 and the value of Reference Rate 3, as determined by the Calculation Agent, breaches (or, if specified in the applicable Terms and Conditions, reaches) the Barrier or the Lower or Upper Barrier, as applicable. A breach of the Barrier or the Lower or Upper Barrier, as applicable, will be deemed to have occurred if the difference between the value of Reference Rate 2 and the value of Reference Rate 3 is</w:t>
            </w:r>
            <w:r w:rsidR="00E73644">
              <w:t xml:space="preserve"> above or below (which</w:t>
            </w:r>
            <w:r w:rsidRPr="00F47C63">
              <w:t>ever is specified in the applicable Terms and Conditions) the relevant barrier. The Barrier or the Lower or Upper Barrier, as applicable, will be reached if the difference between the value of Reference Rate 2 and the value of Reference Rate 3 is equal to the Barrier, Lower Barrier or Upper Barrier, as applicable. The relevant interest rate of such Complex Products will then be determined by multiplying (i) the number of Barrier Observation Dates on which such Barrier was not, or such Lower or Upper Barrier were not, breached (or, if specified in the applicable Terms and Conditions, reached), divided by the number of Barrier Observation Dates, by (ii) the sum of the value of Reference Rate 1 on the Interest Determination Date and a fixed rate per annum specified in the applicable Terms and Conditions. Consequently, not only is the relevant interest rate dependent upon the value of Reference Rate 1 on the Interest Determination Date, but the greater the number of Barrier Observation Dates on which such Barrier is, or such Lower or Upper Barrier are, breached (or, if specified in the applicable Terms and Conditions, reached), the lower the applicable interest rate will be. If such Barrier is, or such Lower or Upper Barrier are, breached (or, if specified in the applicable Terms and Conditions, reached) on each Barrier Observation Date, the relevant interest rate, and the resulting Interest Payment Amount, will be zero.</w:t>
            </w:r>
          </w:p>
        </w:tc>
        <w:tc>
          <w:tcPr>
            <w:tcW w:w="4928" w:type="dxa"/>
          </w:tcPr>
          <w:p w:rsidR="0019606A" w:rsidRPr="0019606A" w:rsidP="00E73644">
            <w:pPr>
              <w:pStyle w:val="CSBody63DE"/>
              <w:rPr>
                <w:lang w:val="de-DE"/>
              </w:rPr>
            </w:pPr>
            <w:r w:rsidRPr="0019606A">
              <w:rPr>
                <w:lang w:val="de-DE"/>
              </w:rPr>
              <w:t>Im Fall von Variabel Verzinslichen Produkten, bei denen es sich um Spread Range Accrual Notes handelt, sollten sich Potenzielle Anleger bewusst sein, dass der Zinssatz für eine oder mehrere Zinsperioden von der Anzahl der Barriere-Beobachtungstage abhängt, an denen die Differenz aus dem Wert des Referenzsatzes 2 und dem Wert des Referenzsatzes 3, wie von der Berechnungsstelle festgestellt, die Barriere oder die Untere bzw. Obere Barriere verletzt (oder diese erreicht, wenn dies in den anwendbaren Emissionsbedingungen vorgesehen ist). Ein Verletzen der Barriere bzw. der Unteren oder der Oberen Barriere liegt vor, wenn die Differenz aus dem Wert des Referenzsatzes 2 und dem Wert des Referenzsatzes 3 oberhalb oder unterhalb (je nachdem, was in den anwendbaren Emissionsbedingungen vorgesehen ist) der massgeblichen Barriere liegt. Ein Erreichen der Barriere bzw. der Unteren oder der Oberen Barriere liegt vor, wenn die Differenz aus dem Wert des Referenzsatzes 2 und dem Wert des Referenzsatzes 3 der massgeblichen Barriere entspricht. Der massgebliche Zinssatz dieser Komplexen Produkte wird dann bestimmt, indem (i) die Anzahl der Barriere-Beobachtungstage, an denen die Barriere oder die Untere bzw. Obere Barriere nicht verletzt wurde (oder nicht erreicht wurde, wenn dies in den anwendbaren Emissions</w:t>
            </w:r>
            <w:r w:rsidR="00E73644">
              <w:rPr>
                <w:lang w:val="de-DE"/>
              </w:rPr>
              <w:t>bedingungen vorgesehen ist), di</w:t>
            </w:r>
            <w:r w:rsidRPr="0019606A">
              <w:rPr>
                <w:lang w:val="de-DE"/>
              </w:rPr>
              <w:t>vidiert durch die Anzahl der Barriere-Beobachtungstage, mit (ii) der Summe aus dem Wert des Referenzsatzes 1 am Zinsfeststellungstag und einem in den anwendbaren Emissionsbedingungen angegebenen Festsatz per annum multipliziert wird. Folglich hängt der massgebliche Zinssatz nicht nur vom Wert des Referenzsatzes 1 am Zinsfeststellungstag ab, sondern der jeweilige Zinssatz ist auch umso geringer, je grösser die Anzahl der Barriere-Beobachtungstage ist, an denen die Barriere oder die Untere bzw. Obere Barriere verletzt wurde (oder erreicht wurde, wenn dies in den anwendbaren Emissionsbedingungen vorgesehen ist). Wird die Barriere oder die Untere bzw. Obere Barriere an jedem Barriere-Beobachtungstag verletzt (oder erreicht, wenn dies in den anwendbaren Emissionsbedingungen vorgesehen ist), so betragen der massgebliche Zinssatz und der resultierende Zinszahlungsbetrag null.</w:t>
            </w:r>
          </w:p>
        </w:tc>
      </w:tr>
      <w:tr w:rsidTr="002F2BFA">
        <w:tblPrEx>
          <w:tblW w:w="5000" w:type="pct"/>
          <w:tblLook w:val="04A0"/>
        </w:tblPrEx>
        <w:tc>
          <w:tcPr>
            <w:tcW w:w="4927" w:type="dxa"/>
          </w:tcPr>
          <w:p w:rsidR="0019606A" w:rsidRPr="00F47C63" w:rsidP="00E73644">
            <w:pPr>
              <w:pStyle w:val="CSBody63EN"/>
            </w:pPr>
            <w:r w:rsidRPr="00F47C63">
              <w:t>With respect to Floating Rate Products that are Range Accrual Notes, potential investors should be aware that the interest rate for one or more interest periods will be dependent upon the number of Barrier Observation Dates on which the value of the Reference Rate, as determined by the Calculation Agent, breaches (or, if specified in the applicable Terms and Conditions, reaches) the Barrier or the Lower or Upper Barrier, as applicable. A breach of the Barrier or the Lower or Upper Barrier, as applicable, will be deemed to have occurred if the Reference Rate is above or below (whichever is specified in the applicable Terms and Conditions) the relevant barrier. The Barrier or the Lower or Upper Barrier, as applicable, will be reached if the Reference Rate is equal to the Barrier, Lower Barrier or Upper Barrier, as applicable. The relevant interest rate of such Complex Products will then be determined by multiplying (i) the number of Barrier Observation Dates on which such Barrier was not, or such Lower or Upper Barrier were not, breached (or, if specified in the applicable Terms and Conditions, reached), divided by the number of Barrier Observation Dates, by (ii) a fixed rate per annum specified in the applicable Terms and Conditions. Consequently, the greater the number of Barrier Observation Dates on which such Barrier is, or such Lower or Upper Barrier are, breached (or, if specified in the applicable Terms and Conditions, reached), the lower the applicable interest rate will be. If such Barrier is, or such Lower or Upper Barrier are, breached (or, if specified in the applicable Terms and Conditions, reached) on each Barrier Observation Date, the relevant interest rate, and the resulting Interest Payment Amount, will be zero.</w:t>
            </w:r>
          </w:p>
        </w:tc>
        <w:tc>
          <w:tcPr>
            <w:tcW w:w="4928" w:type="dxa"/>
          </w:tcPr>
          <w:p w:rsidR="0019606A" w:rsidRPr="0019606A" w:rsidP="00E73644">
            <w:pPr>
              <w:pStyle w:val="CSBody63DE"/>
              <w:rPr>
                <w:lang w:val="de-DE"/>
              </w:rPr>
            </w:pPr>
            <w:r w:rsidRPr="0019606A">
              <w:rPr>
                <w:lang w:val="de-DE"/>
              </w:rPr>
              <w:t>Im Fall von Variabel Verzinslichen Produkten, bei denen es sich um Range Accrual Notes handelt, sollten sich Potenzielle Anleger bewusst sein, dass der Zinssatz für eine oder mehrere Zinsperioden von der Anzahl der Barriere-Beobachtungstage abhängt, an denen der Wert des Referenzsatzes, wie von der Berechnungsstelle festgestellt, die Barriere oder die Untere bzw. Obere Barriere verletzt (oder diese erreicht, wenn dies in den anwendbaren Emissionsbedingungen vorgesehen ist). Ein Verletzen der Barriere bzw. der Unteren oder der Oberen Barriere liegt vor, wenn der Referenzsatz oberhalb oder unterhalb (je nachdem, was in den anwendbaren Emissionsbedingungen vorgesehen ist) der massgeblichen Barriere liegt. Ein Erreichen der Barriere bzw. der Unteren oder der Oberen Barriere liegt vor, wenn der Referenzsatz der massgeblichen Barriere entspricht. Der massgebliche Zinssatz dieser Komplexen Produkte wird dann bestimmt, indem (i) die Anzahl der Barriere-Beobachtungstage, an denen die Barriere oder die Untere bzw. Obere Barriere nicht verletzt wurde (oder nicht erreicht wurde, wenn dies in den anwendbaren Emissionsbedingungen vorgesehen ist), dividiert durch die Anzahl der Barriere-Beobachtungstage, mit (ii) einem in den anwendbaren Emissionsbedingungen angegebenen Festsatz per annum multipliziert wird. Folglich ist der jeweilige Zinssatz umso geringer, je grösser die Anzahl der Barriere-Beobachtungstage ist, an denen die Barriere oder die Untere bzw. Obere Barriere verletzt wurde (oder erreicht wurde, wenn dies in den anwendbaren Emissionsbedingungen vorgesehen ist). Wird die Barriere oder die Untere bzw. Obere Barriere an jedem Barriere-Beobachtungstag verletzt (oder erreicht, wenn dies in den anwendbaren Emissionsbedingungen vorgesehen ist), so betragen der massgebliche Zinssatz und der resultierende Zinszahlungsbetrag null.</w:t>
            </w:r>
          </w:p>
        </w:tc>
      </w:tr>
      <w:tr w:rsidTr="002F2BFA">
        <w:tblPrEx>
          <w:tblW w:w="5000" w:type="pct"/>
          <w:tblLook w:val="04A0"/>
        </w:tblPrEx>
        <w:tc>
          <w:tcPr>
            <w:tcW w:w="4927" w:type="dxa"/>
          </w:tcPr>
          <w:p w:rsidR="0019606A" w:rsidRPr="00141EB7" w:rsidP="00E73644">
            <w:pPr>
              <w:pStyle w:val="CSBody63EN"/>
            </w:pPr>
            <w:r w:rsidRPr="00141EB7">
              <w:t>With respect to Floating Rate Notes that are Cumulative Reverse Floater Notes, potential investors should be aware that with respect to any Variable Interest Payment Date, the applicable Variable Interest Rate will be equal to the sum of (i) the Int</w:t>
            </w:r>
            <w:r w:rsidR="00E73644">
              <w:t>erest Rate applicable to the im</w:t>
            </w:r>
            <w:r w:rsidRPr="00141EB7">
              <w:t>mediately preceding Interest Payment Date, and (ii) the relevant Spread Rate (</w:t>
            </w:r>
            <w:r w:rsidRPr="007E3558" w:rsidR="007E3558">
              <w:rPr>
                <w:i/>
              </w:rPr>
              <w:t>i.e.</w:t>
            </w:r>
            <w:r w:rsidRPr="00141EB7">
              <w:t>, a fixed rate per annum specified in the applicable Terms and Conditions) less the value of the Reference Rate on the relevant Interest Determination Date or, if so specified in the applicable Terms and Conditions, less the sum of the Reference Rate on the relevant Interest Determination Date and the fixed rate per annum specified in the Terms and Conditions. Consequently, the closer the value of the Reference Rate (if applicable, plus the fixed rate per annum specified in the applicable Terms and Conditions) on the Interest Determination Date is to the relevant Spread Rate or if such value (if applicable, plus the fixed rate per annum specified in the applicable Terms and Conditions) exceeds the relevant Spread Rate, the lower the applicable interest rate and resulting Variable Interest Payment Amount will be. If the value of the Reference Rate (if applicable, plus the fixed rate per annum specified in the applicable Terms and Conditions) on each Interest Determination Date is equal to or above the relevant Spread Rate (</w:t>
            </w:r>
            <w:r w:rsidRPr="007E3558" w:rsidR="007E3558">
              <w:rPr>
                <w:i/>
              </w:rPr>
              <w:t>i.e.</w:t>
            </w:r>
            <w:r w:rsidRPr="00141EB7">
              <w:t>, if the difference between the relevant Spread Rate and the Reference Rate (if applicable, plus the fixed rate per annum specified in the applicable Terms and Conditions) is equal to zero or a negative amount), the interest rate for each Interest Period will be below the initial fixed rate of interest set for the first interest period and may be equal to zero, subject to a minimum interest rate if provided for in the applicable Terms and Conditions.</w:t>
            </w:r>
          </w:p>
        </w:tc>
        <w:tc>
          <w:tcPr>
            <w:tcW w:w="4928" w:type="dxa"/>
          </w:tcPr>
          <w:p w:rsidR="0019606A" w:rsidRPr="0019606A" w:rsidP="00E73644">
            <w:pPr>
              <w:pStyle w:val="CSBody63DE"/>
              <w:rPr>
                <w:lang w:val="de-DE"/>
              </w:rPr>
            </w:pPr>
            <w:r w:rsidRPr="0019606A">
              <w:rPr>
                <w:lang w:val="de-DE"/>
              </w:rPr>
              <w:t>Im Fall von Variabel Verzinslichen Produkten, bei denen es sich um Cumulative Reverse Floater Notes handelt, sollten sich Potenzielle Anleger bewusst sein, dass der jeweilige Variable Zinssatz in Bezug auf einen Zahlungstag für Variable Zinsen der Summe aus (i) dem für den unmittelbar vorhergehenden Zinszahlungstag geltenden Zinssatz und (ii) dem Spreadsatz (</w:t>
            </w:r>
            <w:r w:rsidR="007E3558">
              <w:rPr>
                <w:lang w:val="de-DE"/>
              </w:rPr>
              <w:t>d.h.</w:t>
            </w:r>
            <w:r w:rsidRPr="0019606A">
              <w:rPr>
                <w:lang w:val="de-DE"/>
              </w:rPr>
              <w:t xml:space="preserve"> einem in den anwendbaren Emissionsbedingungen angegebenen Festsatz per annum) abzüglich des Werts des Referenzsatzes oder, falls dies in den anwendbaren Emissionsbedingungen vorgesehen ist, abzüglich der Summe aus dem Referenzsatz und dem in den anwendbaren Emissionsbedingungen angegebenen Festsatz per annum (wie jeweils am betreffenden Zinsfeststellungstag festgestellt), entspricht. Folglich sind der jeweilige Zinssatz und der resultierende Zahlungsbetrag für Variable Zinsen umso geringer, je näher der Wert des Referenzsatzes (gegebenenfalls zuzüglich des in den anwendbaren Emissionsbedingungen angegebenen Festsatzes per annum) am Zinsfeststellungstag bei dem betreffenden Spreadsatz liegt oder wenn dieser Wert (gegebenenfalls zuzüglich des in den anwendbaren Emissionsbedingungen angegebenen Festsatzes per annum) den betreffenden Spreadsatz überschreitet. Ist der Wert des Referenzsatzes (gegebenenfalls zuzüglich des in den anwendbaren Emissionsbedingungen angegebenen Festsatzes per annum) an jedem Zinsfeststellungstag so gross wie oder grösser als der betreffende Spreadsatz (d.h. für den Fall, dass die Differenz zwischen dem betreffenden Spreadsatz und dem Referenzsatz (gegebenenfalls zuzüglich des in den anwendbaren Emissionsbedingungen angegebenen Festsatzes per annum) null oder einem negativen Betrag entspricht), so liegt der Zinssatz für jede Zinsperiode unter dem anfänglichen Zinssatz, der für die erste Zinsperiode festgelegt wurde, und kann, vorbehaltlich eines gegebenenfalls in den anwendbaren Emissionsbedingungen vorgesehenen Mindestzinssatzes, null entsprechen.</w:t>
            </w:r>
          </w:p>
        </w:tc>
      </w:tr>
      <w:tr w:rsidTr="002F2BFA">
        <w:tblPrEx>
          <w:tblW w:w="5000" w:type="pct"/>
          <w:tblLook w:val="04A0"/>
        </w:tblPrEx>
        <w:tc>
          <w:tcPr>
            <w:tcW w:w="4927" w:type="dxa"/>
          </w:tcPr>
          <w:p w:rsidR="0019606A" w:rsidRPr="00B50231" w:rsidP="00E73644">
            <w:pPr>
              <w:pStyle w:val="CSBody63EN"/>
            </w:pPr>
            <w:r w:rsidRPr="00B50231">
              <w:t>With respect to Floating Rate Products that are Inverse Floating Rate Notes, potential investors should be aware that with respect to any Variable Interest Payment Date (or, in the case of no Fixed Interest Payment Amounts, any Interest Payment Date), the applicable Variable Interest Rate (or Interest Rate, as applicable) will be equal to the relevant Spread Rate (</w:t>
            </w:r>
            <w:r w:rsidRPr="007E3558" w:rsidR="007E3558">
              <w:rPr>
                <w:i/>
              </w:rPr>
              <w:t>i.e.</w:t>
            </w:r>
            <w:r w:rsidRPr="00B50231">
              <w:t>, a fixed rate per annum specified in the applicable Terms and Conditions) less the Reference Rate on the relevant Interest Determination Date or, if so specified in the applicable Terms and Conditions, less the sum of the Reference Rate on the relevant Interest Determination Date and the fixed rate per annum specified in the Terms and Conditions. Consequently, the closer the value of the Reference Rate (if applicable, plus the fixed rate per annum specified in the applicable Terms and Conditions) on the Interest Determination Date is to the relevant Spread Rate or if such value (if applicable, plus the fixed rate per annum specified in the applicable Terms and Conditions) exceeds the relevant Spread Rate, the lower the applicable interest rate and resulting Variable Interest Payment Amount (or Interest Payment Amount, as applicable) will be. If the value of the Reference Rate (if applicable, plus the fixed rate per annum specified in the applicable Terms and Conditions) on each Interest Determination Date is equal to or above the relevant Spread Rate, the interest rate and related Variable Interest Payment Amount (or Interest Payment Amount, as applicable) for each interest period will be zero.</w:t>
            </w:r>
          </w:p>
        </w:tc>
        <w:tc>
          <w:tcPr>
            <w:tcW w:w="4928" w:type="dxa"/>
          </w:tcPr>
          <w:p w:rsidR="0019606A" w:rsidRPr="0019606A" w:rsidP="00E73644">
            <w:pPr>
              <w:pStyle w:val="CSBody63DE"/>
              <w:rPr>
                <w:lang w:val="de-DE"/>
              </w:rPr>
            </w:pPr>
            <w:r w:rsidRPr="0019606A">
              <w:rPr>
                <w:lang w:val="de-DE"/>
              </w:rPr>
              <w:t>Im Fall von Variabel Verzinslichen Produkten, bei denen es sich um Inverse Floating Rate Notes handelt, sollten sich Potenzielle Anleger bewusst sein, dass der jeweilige Variable Zinssatz (bzw. der jeweilige Zinssatz) in Bezug auf einen Zahlungstag für Variable Zinsen (bzw. Zinszahlungstag, wenn keine Zinszahlungsbeträge für Festzinsen vorgesehen sind) dem betreffenden Spreadsatz (</w:t>
            </w:r>
            <w:r w:rsidR="007E3558">
              <w:rPr>
                <w:lang w:val="de-DE"/>
              </w:rPr>
              <w:t>d.h.</w:t>
            </w:r>
            <w:r w:rsidRPr="0019606A">
              <w:rPr>
                <w:lang w:val="de-DE"/>
              </w:rPr>
              <w:t xml:space="preserve"> einem in den anwendbaren Emissionsbedingungen angegebenen Festsatz per annum) abzüglich des Referenzsatzes oder, falls dies in den anwendbaren Emissionsbedingungen vorgesehen ist, abzüglich der Summe aus dem Referenzsatz und dem in den anwendbaren Emissionsbedingungen angegebenen Festsatz per annum (wie jeweils am betreffenden Zinsfeststellungstag festgestellt), entspricht. Folglich sind der jeweilige Zinssatz und der resultierende Zahlungsbetrag für Variable Zinsen (bzw. Zinszahlungsbetrag) umso geringer, je näher der Wert des Referenzsatzes (gegebenenfalls zuzüglich des in den anwendbaren Emissionsbedingungen angegebenen Festsatzes per annum) am Zinsfeststellungstag bei dem betreffenden Spreadsatz liegt oder wenn dieser Wert (gegebenenfalls zuzüglich des in den anwendbaren Emissionsbedingungen angegebenen Festsatzes per annum) den betreffenden Spreadsatz überschreitet. Ist der Wert des Referenzsatzes (gegebenenfalls zuzüglich des in den anwendbaren Emissionsbedingungen angegebenen Festsatzes per annum) an jedem Zinsfeststellungstag so gross wie oder grösser als der betreffende Spreadsatz, so betragen der Zinssatz und der entsprechende Zahlungsbetrag für Variable Zinsen (bzw. Zinszahlungsbetrag) für jede Zinsperiode null.</w:t>
            </w:r>
          </w:p>
        </w:tc>
      </w:tr>
      <w:tr w:rsidTr="002F2BFA">
        <w:tblPrEx>
          <w:tblW w:w="5000" w:type="pct"/>
          <w:tblLook w:val="04A0"/>
        </w:tblPrEx>
        <w:tc>
          <w:tcPr>
            <w:tcW w:w="4927" w:type="dxa"/>
          </w:tcPr>
          <w:p w:rsidR="0019606A" w:rsidRPr="00B50231" w:rsidP="00832685">
            <w:pPr>
              <w:pStyle w:val="CSBody63EN"/>
            </w:pPr>
            <w:r w:rsidRPr="00B50231">
              <w:t>With respect to Floating Rate Products that are Stairway Notes, potential investors should be aware that with respect to any Variable Interest Payment Date, the applicable Variable Interest Rate will be equal to the lesser of (i) the relevant Maximum Interest Rate (which is equal to the Interest Rate applicable to the immediately preceding Interest Payment Date, plus a fixed rate per annum specified in the applicable Terms and Conditions) and (ii) the greater of (a) the Reference Rate on the relevant Interest Determination Date or, if so specified in the applicable Terms and Conditions, the sum of the Reference Rate on the relevant Interest Determination Date and the fixed interest rate per annum specified in the Terms and Conditions, and (b) the relevant Minimum Interest Rate (which is equal to the Interest Rate applicable to the immediately preceding Interest Payment Date, plus, if so specified in the applicable Terms and Conditions, a specified fixed rate per annum). Consequently, the profit potential in relation to such Floating Rate Products is capped.</w:t>
            </w:r>
          </w:p>
        </w:tc>
        <w:tc>
          <w:tcPr>
            <w:tcW w:w="4928" w:type="dxa"/>
          </w:tcPr>
          <w:p w:rsidR="0019606A" w:rsidRPr="0019606A" w:rsidP="00832685">
            <w:pPr>
              <w:pStyle w:val="CSBody63DE"/>
              <w:rPr>
                <w:lang w:val="de-DE"/>
              </w:rPr>
            </w:pPr>
            <w:r w:rsidRPr="0019606A">
              <w:rPr>
                <w:lang w:val="de-DE"/>
              </w:rPr>
              <w:t>Im Fall von Variabel Verzinslichen Produkten, bei denen es sich um Stairway Notes handelt, sollten sich Potenzielle Anleger bewusst sein, dass der jeweilige Variable Zinssatz in Bezug auf einen Zahlungstag für Variable Zinsen dem jeweils kleineren der folgenden Beträge entspricht: (i) dem jeweiligen Höchstzinssatz (der dem für den jeweils unmittelbar vorhergehenden Zinszahlungstag geltenden Zinssatz, zuzüglich eines in den anwendbaren Emissionsbedingungen angegebenen Festsatzes per annum, entspricht) und (ii) dem jeweils grösseren der folgenden Beträge (a) dem Referenzsatz am betreffenden Zinsfeststellungstag oder, falls dies in den anwendbaren Emissionsbedingungen vorgesehen ist, der Summe aus dem Referenzsatz am betreffenden Zinsfeststellungstag und dem in den anwendbaren Emissionsbedingungen angegebenen Festsatz per annum, und (b) dem jeweiligen Mindestzinssatz (der dem für den jeweils unmittelbar vorhergehenden Zinszahlungstag geltenden Zinssatz, gegebenenfalls – sofern in den anwendbaren Emissionsbedingungen angegeben – zuzüglich eines Festsatzes per annum entspricht). Folglich ist das Gewinnpotenzial bei diesen Variabel Verzinslichen Produkten nach oben hin begrenzt.</w:t>
            </w:r>
          </w:p>
        </w:tc>
      </w:tr>
      <w:tr w:rsidTr="002F2BFA">
        <w:tblPrEx>
          <w:tblW w:w="5000" w:type="pct"/>
          <w:tblLook w:val="04A0"/>
        </w:tblPrEx>
        <w:tc>
          <w:tcPr>
            <w:tcW w:w="4927" w:type="dxa"/>
          </w:tcPr>
          <w:p w:rsidR="0019606A" w:rsidRPr="00004527" w:rsidP="0019606A">
            <w:pPr>
              <w:pStyle w:val="CSBody63ENbold"/>
            </w:pPr>
            <w:r w:rsidRPr="00004527">
              <w:t xml:space="preserve">A methodological change or discontinuance of the determination of the Reference Rate(s) may adversely affect the market value of, and return (if any) on, Floating Rate Products </w:t>
            </w:r>
          </w:p>
        </w:tc>
        <w:tc>
          <w:tcPr>
            <w:tcW w:w="4928" w:type="dxa"/>
          </w:tcPr>
          <w:p w:rsidR="0019606A" w:rsidRPr="0019606A" w:rsidP="0019606A">
            <w:pPr>
              <w:pStyle w:val="CSBody63DEbold"/>
              <w:rPr>
                <w:lang w:val="de-DE"/>
              </w:rPr>
            </w:pPr>
            <w:r w:rsidRPr="0019606A">
              <w:rPr>
                <w:lang w:val="de-DE"/>
              </w:rPr>
              <w:t>Eine Änderung der Methodik für die Ermittlung des Referenzsatzes bzw. der Referenzsätze bzw. die Einstellung der Ermittlung könnte sich nachteilig auf den Marktwert und eine etwaige Rendite der Variable Verzinslichen Produkte auswirken</w:t>
            </w:r>
          </w:p>
        </w:tc>
      </w:tr>
      <w:tr w:rsidTr="002F2BFA">
        <w:tblPrEx>
          <w:tblW w:w="5000" w:type="pct"/>
          <w:tblLook w:val="04A0"/>
        </w:tblPrEx>
        <w:tc>
          <w:tcPr>
            <w:tcW w:w="4927" w:type="dxa"/>
          </w:tcPr>
          <w:p w:rsidR="0019606A" w:rsidRPr="007C4600" w:rsidP="00832685">
            <w:pPr>
              <w:pStyle w:val="CSBody63EN"/>
            </w:pPr>
            <w:r w:rsidRPr="007C4600">
              <w:t>In principle, the Issuer and the Calculation Agent have no influence on the determination of the Reference Rate(s). Reference Rates are generally calculated by an independent organization or a governmental authority, often based on information provided by market participants. The entity publishing a Reference Rate (</w:t>
            </w:r>
            <w:r w:rsidRPr="007E3558" w:rsidR="007E3558">
              <w:rPr>
                <w:i/>
              </w:rPr>
              <w:t>i.e.</w:t>
            </w:r>
            <w:r w:rsidRPr="007C4600">
              <w:t>, the Rate Source, as defined in the applicable Terms and Conditions) can modify the calculation method for determining such Reference Rate or make other methodological changes that could affect the value of the Reference Rate. The Rate Source may also alter, discontinue or suspend calculation or dissemination of such Reference Rate. The Rate Source is not involved in the offer and sale of the Complex Products and has no obligation to invest therein. The Rate Source may take any actions in respect of such Reference Rate without regard to the interests of the investors in Complex Products, and any of these actions could adversely affect the market value of such Complex Products.</w:t>
            </w:r>
          </w:p>
        </w:tc>
        <w:tc>
          <w:tcPr>
            <w:tcW w:w="4928" w:type="dxa"/>
          </w:tcPr>
          <w:p w:rsidR="0019606A" w:rsidRPr="0019606A">
            <w:pPr>
              <w:pStyle w:val="CSBody63DE"/>
              <w:rPr>
                <w:lang w:val="de-DE"/>
              </w:rPr>
            </w:pPr>
            <w:r w:rsidRPr="0019606A">
              <w:rPr>
                <w:lang w:val="de-DE"/>
              </w:rPr>
              <w:t>Grundsätzlich haben die Emittentin und die Berechnungsstelle keinen Einfluss auf die Ermittlung des Referenzsatzes bzw. der Referenzsätze. Diese werden in der Regel von einer unabhängigen Organisation oder einer staatlichen Behörde ermittelt, häufig auf der Grundlage von durch die Marktteilnehmer bereitgestellten Informationen. Die Person, die einen Referenzsatz veröffentlicht (d.h. die Kursquelle, wie in den anwendbaren Emissionsbedingungen definiert), kann die Berechnungsmethode zur Ermittlung des betreffenden Referenzsatzes ändern oder sonstige Änderungen der Methodik vornehmen, die sich auf den Wert des Referenzsatzes auswirken könnten. Die Kursquelle kann darüber hinaus die Berechnung des Referenzsatzes oder die Veröffentlichung von Informationen über den Referenzsatz ändern, einstellen oder aussetzen. Die Kursquelle ist nicht an dem Angebot und Verkauf der Komplexen Produkte beteiligt und nicht verpflichtet, darin zu investieren. Die Kursquelle kann Handlungen in Bezug auf den betreffenden Referenzsatz vornehmen, ohne dabei die Interessen der Anleger in Komplexe Produkte zu berücksichtigen, und jede solche Handlung könnte den Marktwert dieser Komplexen Produkte nachteilig beeinflussen.</w:t>
            </w:r>
          </w:p>
        </w:tc>
      </w:tr>
      <w:tr w:rsidTr="002F2BFA">
        <w:tblPrEx>
          <w:tblW w:w="5000" w:type="pct"/>
          <w:tblLook w:val="04A0"/>
        </w:tblPrEx>
        <w:tc>
          <w:tcPr>
            <w:tcW w:w="4927" w:type="dxa"/>
          </w:tcPr>
          <w:p w:rsidR="008C7CF2" w:rsidRPr="00C711EF" w:rsidP="008C7CF2">
            <w:pPr>
              <w:pStyle w:val="CSBody63ENbold"/>
            </w:pPr>
            <w:r w:rsidRPr="00C711EF">
              <w:t>For certain types of Complex Products, the interest rate applicable to the initial interest period may not be indicative of the interest rate that will be applicable during any subsequent interest period</w:t>
            </w:r>
          </w:p>
        </w:tc>
        <w:tc>
          <w:tcPr>
            <w:tcW w:w="4928" w:type="dxa"/>
          </w:tcPr>
          <w:p w:rsidR="008C7CF2" w:rsidRPr="008C7CF2" w:rsidP="008C7CF2">
            <w:pPr>
              <w:pStyle w:val="CSBody63DEbold"/>
              <w:rPr>
                <w:lang w:val="de-DE"/>
              </w:rPr>
            </w:pPr>
            <w:r w:rsidRPr="008C7CF2">
              <w:rPr>
                <w:lang w:val="de-DE"/>
              </w:rPr>
              <w:t>Bei bestimmten Arten von Komplexen Produkten lässt der für die erste Zinsperiode geltende Zinssatz möglicherweise keinen Rückschluss auf den während späterer Zinsperioden geltenden Zinssatz zu</w:t>
            </w:r>
          </w:p>
        </w:tc>
      </w:tr>
      <w:tr w:rsidTr="002F2BFA">
        <w:tblPrEx>
          <w:tblW w:w="5000" w:type="pct"/>
          <w:tblLook w:val="04A0"/>
        </w:tblPrEx>
        <w:tc>
          <w:tcPr>
            <w:tcW w:w="4927" w:type="dxa"/>
          </w:tcPr>
          <w:p w:rsidR="008C7CF2" w:rsidRPr="00C711EF">
            <w:pPr>
              <w:pStyle w:val="CSBody63EN"/>
            </w:pPr>
            <w:r w:rsidRPr="00C711EF">
              <w:t>If specified in the applicable Terms and Conditions, the interest rate applicable to the initial interest period may be based on a different rate than the interest rate that will be applicable during any subsequent interest periods. In particular, during the interest period(s) where a fixed rate of interest applies, this fixed rate of interest may be higher than the floating rate of interest that will be applicable during any subsequent interest period(s). The interest rate during any interest period where a floating rate of interest is applicable is uncertain and could be as little as zero.</w:t>
            </w:r>
          </w:p>
        </w:tc>
        <w:tc>
          <w:tcPr>
            <w:tcW w:w="4928" w:type="dxa"/>
          </w:tcPr>
          <w:p w:rsidR="008C7CF2" w:rsidRPr="008C7CF2" w:rsidP="003D0406">
            <w:pPr>
              <w:pStyle w:val="CSBody63DE"/>
              <w:rPr>
                <w:lang w:val="de-DE"/>
              </w:rPr>
            </w:pPr>
            <w:r w:rsidRPr="008C7CF2">
              <w:rPr>
                <w:lang w:val="de-DE"/>
              </w:rPr>
              <w:t>Wenn die anwendbaren Emissionsbedingungen dies vorsehen, kann der für die erste Zinsperiode geltende Zinssatz auf einem anderen Satz basieren als der während späterer Zinsperioden geltende Zinssatz. So kann insbesondere während einer oder mehrerer Zinsperioden, in denen ein fester Zinssatz gilt, dieser feste Zinssatz höher sein als der während einer oder mehrerer späterer Zinsperioden geltende variable Zinssatz. Der Zinssatz während Zinsperioden, in denen ein variabler Zinssatz gilt, steht nicht fest; er kann sehr gering sein oder gar null betragen.</w:t>
            </w:r>
          </w:p>
        </w:tc>
      </w:tr>
      <w:tr w:rsidTr="002F2BFA">
        <w:tblPrEx>
          <w:tblW w:w="5000" w:type="pct"/>
          <w:tblLook w:val="04A0"/>
        </w:tblPrEx>
        <w:tc>
          <w:tcPr>
            <w:tcW w:w="4927" w:type="dxa"/>
          </w:tcPr>
          <w:p w:rsidR="008C7CF2" w:rsidRPr="009254FB" w:rsidP="008C7CF2">
            <w:pPr>
              <w:pStyle w:val="CSBody63ENbold"/>
            </w:pPr>
            <w:r w:rsidRPr="009254FB">
              <w:t>Credit Suisse is a major participant in the reference rate markets and is subject to conflicts of interest</w:t>
            </w:r>
          </w:p>
        </w:tc>
        <w:tc>
          <w:tcPr>
            <w:tcW w:w="4928" w:type="dxa"/>
          </w:tcPr>
          <w:p w:rsidR="008C7CF2" w:rsidRPr="008C7CF2" w:rsidP="008C7CF2">
            <w:pPr>
              <w:pStyle w:val="CSBody63DEbold"/>
              <w:rPr>
                <w:lang w:val="de-DE"/>
              </w:rPr>
            </w:pPr>
            <w:r w:rsidRPr="008C7CF2">
              <w:rPr>
                <w:lang w:val="de-DE"/>
              </w:rPr>
              <w:t>Die Credit Suisse spielt eine wichtige Rolle auf den Referenzsatzmärkten und unterliegt dadurch Interessenkonflikten</w:t>
            </w:r>
          </w:p>
        </w:tc>
      </w:tr>
      <w:tr w:rsidTr="002F2BFA">
        <w:tblPrEx>
          <w:tblW w:w="5000" w:type="pct"/>
          <w:tblLook w:val="04A0"/>
        </w:tblPrEx>
        <w:tc>
          <w:tcPr>
            <w:tcW w:w="4927" w:type="dxa"/>
          </w:tcPr>
          <w:p w:rsidR="008C7CF2" w:rsidRPr="009254FB" w:rsidP="00832685">
            <w:pPr>
              <w:pStyle w:val="CSBody63EN"/>
            </w:pPr>
            <w:r w:rsidRPr="009254FB">
              <w:t xml:space="preserve">Potential investors should note that Credit Suisse and certain Credit Suisse affiliates are regular participants in the reference rate markets and in the ordinary course of their business may effect transactions for their own account or for the account of their customers and make investments relating to Reference Rate(s) and related derivatives. Such transactions may affect the relevant Reference Rate(s), the market value or liquidity of the relevant Complex Products and could be adverse to the interests of the investors in such Complex Products. Neither Credit Suisse nor any Credit Suisse affiliate has any duty to enter into such transactions in a manner which is favourable to investors in Complex Products. </w:t>
            </w:r>
          </w:p>
        </w:tc>
        <w:tc>
          <w:tcPr>
            <w:tcW w:w="4928" w:type="dxa"/>
          </w:tcPr>
          <w:p w:rsidR="008C7CF2" w:rsidRPr="008C7CF2" w:rsidP="00832685">
            <w:pPr>
              <w:pStyle w:val="CSBody63DE"/>
              <w:rPr>
                <w:lang w:val="de-DE"/>
              </w:rPr>
            </w:pPr>
            <w:r w:rsidRPr="008C7CF2">
              <w:rPr>
                <w:lang w:val="de-DE"/>
              </w:rPr>
              <w:t xml:space="preserve">Potenzielle Anleger sollten sich bewusst sein, dass Credit Suisse und bestimmte verbundene Unternehmen der Credit Suisse regelmässig auf den Referenzsatzmärkten tätig sind und im Rahmen ihrer gewöhnlichen Geschäftstätigkeit Transaktionen auf eigene Rechnung oder auf Rechnung ihrer Kunden abschliessen und Anlagen in Bezug auf einen Referenzsatz oder mehrere Referenzsätze sowie in damit verbundene Derivate tätigen. Solche Transaktionen können sich auf den betreffenden Referenzssatz bzw. die betreffenden Referenzsätze sowie den Marktwert oder die Liquidität der jeweiligen Komplexen Produkte auswirken und könnten den Interessen der Anleger in die Komplexen Produkte zuwiderlaufen. Weder Credit Suisse noch irgendein verbundenes Unternehmen der Credit Suisse ist verpflichtet, solche Transaktionen in einer Weise abzuschliessen, die den Interessen der Anleger in Komplexe Produkte förderlich ist. </w:t>
            </w:r>
          </w:p>
        </w:tc>
      </w:tr>
      <w:tr w:rsidTr="002F2BFA">
        <w:tblPrEx>
          <w:tblW w:w="5000" w:type="pct"/>
          <w:tblLook w:val="04A0"/>
        </w:tblPrEx>
        <w:tc>
          <w:tcPr>
            <w:tcW w:w="4927" w:type="dxa"/>
          </w:tcPr>
          <w:p w:rsidR="008C7CF2" w:rsidRPr="001D54B1" w:rsidP="008C7CF2">
            <w:pPr>
              <w:pStyle w:val="CSBody63ENbold"/>
            </w:pPr>
            <w:r w:rsidRPr="001D54B1">
              <w:t>Historical levels of the Reference Rate(s) should not be taken as an indication of the future levels of such Reference Rate(s)</w:t>
            </w:r>
          </w:p>
        </w:tc>
        <w:tc>
          <w:tcPr>
            <w:tcW w:w="4928" w:type="dxa"/>
          </w:tcPr>
          <w:p w:rsidR="008C7CF2" w:rsidRPr="008C7CF2" w:rsidP="008C7CF2">
            <w:pPr>
              <w:pStyle w:val="CSBody63DEbold"/>
              <w:rPr>
                <w:lang w:val="de-DE"/>
              </w:rPr>
            </w:pPr>
            <w:r w:rsidRPr="008C7CF2">
              <w:rPr>
                <w:lang w:val="de-DE"/>
              </w:rPr>
              <w:t>Aus den historischen Ständen des Referenzsatzes bzw. der Referenzsätze lassen sich keine Rückschlüsse auf die zukünftigen Stände des Referenzsatzes bzw. der Referenzsätze ziehen</w:t>
            </w:r>
          </w:p>
        </w:tc>
      </w:tr>
      <w:tr w:rsidTr="002F2BFA">
        <w:tblPrEx>
          <w:tblW w:w="5000" w:type="pct"/>
          <w:tblLook w:val="04A0"/>
        </w:tblPrEx>
        <w:tc>
          <w:tcPr>
            <w:tcW w:w="4927" w:type="dxa"/>
          </w:tcPr>
          <w:p w:rsidR="008C7CF2" w:rsidRPr="001D54B1" w:rsidP="00832685">
            <w:pPr>
              <w:pStyle w:val="CSBody63EN"/>
            </w:pPr>
            <w:r w:rsidRPr="001D54B1">
              <w:t>With respect to Floating Rate Products, the historical performance of the Reference Rate(s) should not be taken as an indication of the future performance of such Reference Rate(s) during the term of the Floating Rate Products. Changes in the level of the Reference Rate(s) will affect the trading price of the Floating Rate Products, but it is impossible to predict whether the level of the Reference Rate(s) will rise or fall.</w:t>
            </w:r>
          </w:p>
        </w:tc>
        <w:tc>
          <w:tcPr>
            <w:tcW w:w="4928" w:type="dxa"/>
          </w:tcPr>
          <w:p w:rsidR="008C7CF2" w:rsidRPr="008C7CF2" w:rsidP="00832685">
            <w:pPr>
              <w:pStyle w:val="CSBody63DE"/>
              <w:rPr>
                <w:lang w:val="de-DE"/>
              </w:rPr>
            </w:pPr>
            <w:r w:rsidRPr="008C7CF2">
              <w:rPr>
                <w:lang w:val="de-DE"/>
              </w:rPr>
              <w:t>Bei Variabel Verzinslichen Produkten lassen sich aus der historischen Wertentwicklung des Referenzsatzes bzw. der Referenzsätze keine Rückschlüsse auf die zukünftige Wertentwicklung des Referenzsatzes bzw. der Referenzsätze während der Laufzeit der Variabel Verzinslichen Produkte ziehen. Verändert sich der Stand des Referenzsatzes bzw. der Referenzsätze, so wirkt sich dies auf den Preis aus, zu dem die Variabel Verzinslichen Produkte gehandelt werden, es ist allerdings nicht vorhersehbar, ob der Stand des Referenzsatzes bzw. der Referenzsätze steigen oder fallen wird.</w:t>
            </w:r>
          </w:p>
        </w:tc>
      </w:tr>
      <w:tr w:rsidTr="002F2BFA">
        <w:tblPrEx>
          <w:tblW w:w="5000" w:type="pct"/>
          <w:tblLook w:val="04A0"/>
        </w:tblPrEx>
        <w:tc>
          <w:tcPr>
            <w:tcW w:w="4927" w:type="dxa"/>
          </w:tcPr>
          <w:p w:rsidR="008C7CF2" w:rsidRPr="008C6A5E" w:rsidP="008C7CF2">
            <w:pPr>
              <w:pStyle w:val="CSBody63ENbold"/>
            </w:pPr>
            <w:r w:rsidRPr="008C6A5E">
              <w:t>Risks related to Complex Products linked to a Reference Rate in the form of an inflation index</w:t>
            </w:r>
          </w:p>
        </w:tc>
        <w:tc>
          <w:tcPr>
            <w:tcW w:w="4928" w:type="dxa"/>
          </w:tcPr>
          <w:p w:rsidR="008C7CF2" w:rsidRPr="008C7CF2" w:rsidP="008C7CF2">
            <w:pPr>
              <w:pStyle w:val="CSBody63DEbold"/>
              <w:rPr>
                <w:lang w:val="de-DE"/>
              </w:rPr>
            </w:pPr>
            <w:r w:rsidRPr="008C7CF2">
              <w:rPr>
                <w:lang w:val="de-DE"/>
              </w:rPr>
              <w:t>Risiken bei Komplexen Produkten bezogen auf einen Referenzsatz in Form eines Inflationsindexes</w:t>
            </w:r>
          </w:p>
        </w:tc>
      </w:tr>
      <w:tr w:rsidTr="002F2BFA">
        <w:tblPrEx>
          <w:tblW w:w="5000" w:type="pct"/>
          <w:tblLook w:val="04A0"/>
        </w:tblPrEx>
        <w:tc>
          <w:tcPr>
            <w:tcW w:w="4927" w:type="dxa"/>
          </w:tcPr>
          <w:p w:rsidR="008C7CF2" w:rsidRPr="008C6A5E" w:rsidP="008C7CF2">
            <w:pPr>
              <w:pStyle w:val="CSBody63EN"/>
            </w:pPr>
            <w:r w:rsidRPr="008C6A5E">
              <w:t>Potential investors should note that a Reference Rate in the form of an inflation index is merely one measure for calculating inflation and will generally not be fully in line with the price fluctuations experienced by investors in Complex Products. An inflation index may be subject to considerable fluctuations that do not correlate with the performance of other, comparable indices.</w:t>
            </w:r>
          </w:p>
        </w:tc>
        <w:tc>
          <w:tcPr>
            <w:tcW w:w="4928" w:type="dxa"/>
          </w:tcPr>
          <w:p w:rsidR="008C7CF2" w:rsidRPr="008C7CF2" w:rsidP="00832685">
            <w:pPr>
              <w:pStyle w:val="CSBody63DE"/>
              <w:rPr>
                <w:lang w:val="de-DE"/>
              </w:rPr>
            </w:pPr>
            <w:r w:rsidRPr="008C7CF2">
              <w:rPr>
                <w:lang w:val="de-DE"/>
              </w:rPr>
              <w:t>Potenzielle Anleger sollten beachten, dass ein Referenzsatz in Form eines Inflationsindexes nur ein Massstab für die Berechnung der Inflation ist, der regelmässig nicht vollständig mit den Preisveränderungen übereinstimmt, denen der Anleger in Komplexe Produkte ausgesetzt ist. Der Inflationsindex kann erheblichen Schwankungen unterliegen, die nicht mit der Entwicklung vergleichbarer anderer Indizes korrelieren.</w:t>
            </w:r>
          </w:p>
        </w:tc>
      </w:tr>
      <w:tr w:rsidTr="002F2BFA">
        <w:tblPrEx>
          <w:tblW w:w="5000" w:type="pct"/>
          <w:tblLook w:val="04A0"/>
        </w:tblPrEx>
        <w:tc>
          <w:tcPr>
            <w:tcW w:w="4927" w:type="dxa"/>
          </w:tcPr>
          <w:p w:rsidR="00DB21EC" w:rsidRPr="00787754" w:rsidP="00832685">
            <w:pPr>
              <w:pStyle w:val="CSBody63EN"/>
            </w:pPr>
            <w:r w:rsidRPr="00787754">
              <w:t>An inflation index will generally be calculated and published with a timing delay. Consequently, the calculation of the interest rate applicable for one or more interest periods will be performed on the basis of the level of the inflation index determined at a specific time prior to the interest payment as specified in the applicable Terms and Conditions. This may result in the inflation so determined on the basis of the calculated inflation index deviating from the actual inflation on the date of the interest payment.</w:t>
            </w:r>
          </w:p>
        </w:tc>
        <w:tc>
          <w:tcPr>
            <w:tcW w:w="4928" w:type="dxa"/>
          </w:tcPr>
          <w:p w:rsidR="00DB21EC" w:rsidRPr="00DB21EC" w:rsidP="00832685">
            <w:pPr>
              <w:pStyle w:val="CSBody63DE"/>
              <w:rPr>
                <w:lang w:val="de-DE"/>
              </w:rPr>
            </w:pPr>
            <w:r w:rsidRPr="00DB21EC">
              <w:rPr>
                <w:lang w:val="de-DE"/>
              </w:rPr>
              <w:t>Ein Inflationsindex wird regelmässig mit einer Zeitverzögerung berechnet und veröffentlicht. Deshalb erfolgt die Berechnung des für eine oder mehrere Zinsperioden massgeblichen Zinssatzes auf Grundlage des Stands des Inflationsindexes zu einem Zeitpunkt vor der Zinszahlung, wie in den anwendbaren Emissionsbedingungen angegeben. Dies kann zu Abweichungen zwischen dem auf diese Weise auf Basis des berechneten Inflationsindexes ermittelten Inflation und der tatsächlichen Inflation zum Zeitpunkt der Zinszahlung führen.</w:t>
            </w:r>
          </w:p>
        </w:tc>
      </w:tr>
      <w:tr w:rsidTr="002F2BFA">
        <w:tblPrEx>
          <w:tblW w:w="5000" w:type="pct"/>
          <w:tblLook w:val="04A0"/>
        </w:tblPrEx>
        <w:tc>
          <w:tcPr>
            <w:tcW w:w="4927" w:type="dxa"/>
          </w:tcPr>
          <w:p w:rsidR="00DB21EC" w:rsidRPr="00787754" w:rsidP="00832685">
            <w:pPr>
              <w:pStyle w:val="CSBody63EN"/>
            </w:pPr>
            <w:r w:rsidRPr="00787754">
              <w:t>In addition, investors should note that upon the occurrence of an Additional Adjustment Event, the Calculation Agent may make such adjustment to the calculation or definition of the Reference Rate in the form of an inflation index or any amount payable under the Complex Products (which may include the substitution of such Reference Rate with a different reference rate or reference rates, irrespective of whether such reference rate or reference rates are then currently used for the purposes of the calculation of amounts payable under the Complex Products) as it may determine to be appropriate. If it determines that it is unable to make such an adjustment, the Issuer may early terminate the Complex Products, in whole but not in part, on such day as the Issuer shall select in its discretion by giving notice to Holders in accordance with the applicable Terms and Conditions, and redeem the Complex Products on such day at an amount determined by the Calculation Agent as representing their fair market value on such day.</w:t>
            </w:r>
          </w:p>
        </w:tc>
        <w:tc>
          <w:tcPr>
            <w:tcW w:w="4928" w:type="dxa"/>
          </w:tcPr>
          <w:p w:rsidR="00DB21EC" w:rsidRPr="00DB21EC" w:rsidP="00832685">
            <w:pPr>
              <w:pStyle w:val="CSBody63DE"/>
              <w:rPr>
                <w:lang w:val="de-DE"/>
              </w:rPr>
            </w:pPr>
            <w:r w:rsidRPr="00DB21EC">
              <w:rPr>
                <w:lang w:val="de-DE"/>
              </w:rPr>
              <w:t>Darüber hinaus sollten Anleger beachten, dass im Fall des Eintritts eines Weiteren Anpassungsereignisses die Berechnungsstelle ausserdem eine von ihr als zweckmässig erachtete Anpassung der Berechnung oder Def</w:t>
            </w:r>
            <w:r w:rsidR="00832685">
              <w:rPr>
                <w:lang w:val="de-DE"/>
              </w:rPr>
              <w:t>i</w:t>
            </w:r>
            <w:r w:rsidRPr="00DB21EC">
              <w:rPr>
                <w:lang w:val="de-DE"/>
              </w:rPr>
              <w:t>nition des Referenzsatzes in Form eines Inflationsindexes oder eines in Bezug auf die Komplexen Produkte zahlbaren Betrags vornehmen kann (einschliesslich etwa der Ersetzung dieses Referenzsatzes durch einen anderen Referenzsatz oder andere Referenzsätze, unabhängig davon, ob dieser Referenzsatz oder diese Referenzsätze zu dem betreffenden Zeitpunkt gerade für die Zwecke der Berechnung von in Bezug auf die Komplexen Produkte zahlbaren Beträgen herangezogen wird bzw. werden). Stellt sie fest, dass sie zu einer solchen Anpassung nicht in der Lage ist, so kann die Emittentin die Komplexen Produkte insgesamt, jedoch nicht teilweise, an einem von der Emittentin nach ihrem Ermessen ausgewählten Tag durch Mitteilung gemä</w:t>
            </w:r>
            <w:r w:rsidR="001E4CCF">
              <w:rPr>
                <w:lang w:val="de-DE"/>
              </w:rPr>
              <w:t>ss</w:t>
            </w:r>
            <w:r w:rsidRPr="00DB21EC">
              <w:rPr>
                <w:lang w:val="de-DE"/>
              </w:rPr>
              <w:t xml:space="preserve"> den anwendbaren Emissionsbedingungen vorzeitig kündigen und die Komplexen Produkte zu einem Betrag an diesem Tag zurückzahlen, der nach Feststellung der Berechnungsstelle dem fairen Marktwert an diesem Tag entspricht.</w:t>
            </w:r>
          </w:p>
        </w:tc>
      </w:tr>
      <w:tr w:rsidTr="002F2BFA">
        <w:tblPrEx>
          <w:tblW w:w="5000" w:type="pct"/>
          <w:tblLook w:val="04A0"/>
        </w:tblPrEx>
        <w:tc>
          <w:tcPr>
            <w:tcW w:w="4927" w:type="dxa"/>
          </w:tcPr>
          <w:p w:rsidR="00DB21EC" w:rsidRPr="003F02EE" w:rsidP="00DB21EC">
            <w:pPr>
              <w:pStyle w:val="CSBody63EN"/>
            </w:pPr>
            <w:r w:rsidRPr="003F02EE">
              <w:t>Further, upon the occurrence of a Jurisdictional Event (which may occur in any jurisdiction the Issuer determines to be relevant to the Complex Products), the Calculation Agent may reduce any amounts to be paid to Holders in order to take into account the adverse effects of such Jurisdictional Event on the hedging arrangements of the Issuer.</w:t>
            </w:r>
          </w:p>
        </w:tc>
        <w:tc>
          <w:tcPr>
            <w:tcW w:w="4928" w:type="dxa"/>
          </w:tcPr>
          <w:p w:rsidR="00DB21EC" w:rsidRPr="00DB21EC" w:rsidP="00832685">
            <w:pPr>
              <w:pStyle w:val="CSBody63DE"/>
              <w:rPr>
                <w:lang w:val="de-DE"/>
              </w:rPr>
            </w:pPr>
            <w:r w:rsidRPr="00DB21EC">
              <w:rPr>
                <w:lang w:val="de-DE"/>
              </w:rPr>
              <w:t>Die Berechnungsstelle kann schlie</w:t>
            </w:r>
            <w:r w:rsidR="001E4CCF">
              <w:rPr>
                <w:lang w:val="de-DE"/>
              </w:rPr>
              <w:t>ss</w:t>
            </w:r>
            <w:r w:rsidRPr="00DB21EC">
              <w:rPr>
                <w:lang w:val="de-DE"/>
              </w:rPr>
              <w:t>lich bei Eintritt eines Rechtsordnungsbezogenen Ereignisses (das in jeder Rechtsordnung eintreten kann, die nach Festlegung der Emittentin für die Komplexen Produkte massgeblich ist), etwaige an die Inhaber zahlbare Beträge herabsetzen, um den nachteiligen Auswirkungen dieses Rechtsordnungsbezogenen Ereignisses auf die Hedging-Vereinbarungen der Emittentin Rechnung zu tragen.</w:t>
            </w:r>
          </w:p>
        </w:tc>
      </w:tr>
      <w:tr w:rsidTr="002F2BFA">
        <w:tblPrEx>
          <w:tblW w:w="5000" w:type="pct"/>
          <w:tblLook w:val="04A0"/>
        </w:tblPrEx>
        <w:tc>
          <w:tcPr>
            <w:tcW w:w="4927" w:type="dxa"/>
          </w:tcPr>
          <w:p w:rsidR="00DB21EC" w:rsidRPr="00D51D0E" w:rsidP="00DB21EC">
            <w:pPr>
              <w:pStyle w:val="CSBody63ENbold"/>
            </w:pPr>
            <w:r w:rsidRPr="00D51D0E">
              <w:t>The profit potential of Complex Products may be capped</w:t>
            </w:r>
          </w:p>
        </w:tc>
        <w:tc>
          <w:tcPr>
            <w:tcW w:w="4928" w:type="dxa"/>
          </w:tcPr>
          <w:p w:rsidR="00DB21EC" w:rsidRPr="00DB21EC" w:rsidP="00DB21EC">
            <w:pPr>
              <w:pStyle w:val="CSBody63DEbold"/>
              <w:rPr>
                <w:lang w:val="de-DE"/>
              </w:rPr>
            </w:pPr>
            <w:r w:rsidRPr="00DB21EC">
              <w:rPr>
                <w:lang w:val="de-DE"/>
              </w:rPr>
              <w:t>Das Gewinnpotenzial der Komplexen Produkte kann nach oben hin begrenzt sein</w:t>
            </w:r>
          </w:p>
        </w:tc>
      </w:tr>
      <w:tr w:rsidTr="002F2BFA">
        <w:tblPrEx>
          <w:tblW w:w="5000" w:type="pct"/>
          <w:tblLook w:val="04A0"/>
        </w:tblPrEx>
        <w:tc>
          <w:tcPr>
            <w:tcW w:w="4927" w:type="dxa"/>
          </w:tcPr>
          <w:p w:rsidR="00DB21EC" w:rsidRPr="00D51D0E" w:rsidP="00832685">
            <w:pPr>
              <w:pStyle w:val="CSBody63EN"/>
            </w:pPr>
            <w:r w:rsidRPr="00D51D0E">
              <w:t>Investors in Complex Products that are capped (</w:t>
            </w:r>
            <w:r w:rsidRPr="007E3558" w:rsidR="007E3558">
              <w:rPr>
                <w:i/>
              </w:rPr>
              <w:t>e.g.</w:t>
            </w:r>
            <w:r w:rsidRPr="00D51D0E">
              <w:t>, Fixed Rate Products or Complex Products with a Maximum Interest Rate) should be aware that the profit potential in relation thereto is capped.</w:t>
            </w:r>
          </w:p>
        </w:tc>
        <w:tc>
          <w:tcPr>
            <w:tcW w:w="4928" w:type="dxa"/>
          </w:tcPr>
          <w:p w:rsidR="00DB21EC" w:rsidRPr="00DB21EC" w:rsidP="00DB21EC">
            <w:pPr>
              <w:pStyle w:val="CSBody63DE"/>
              <w:rPr>
                <w:lang w:val="de-DE"/>
              </w:rPr>
            </w:pPr>
            <w:r w:rsidRPr="00DB21EC">
              <w:rPr>
                <w:lang w:val="de-DE"/>
              </w:rPr>
              <w:t>Anleger in Komplexe Produkte, die mit einer Obergrenze versehen sind (z.B. Festzinsprodukte oder Komplexe Produkte mit einem Höchstzinssatz), sollten sich bewusst sein, dass das Gewinnpotenzial bei diesen Produkten nach oben hin begrenzt ist.</w:t>
            </w:r>
          </w:p>
        </w:tc>
      </w:tr>
      <w:tr w:rsidTr="002F2BFA">
        <w:tblPrEx>
          <w:tblW w:w="5000" w:type="pct"/>
          <w:tblLook w:val="04A0"/>
        </w:tblPrEx>
        <w:tc>
          <w:tcPr>
            <w:tcW w:w="4927" w:type="dxa"/>
          </w:tcPr>
          <w:p w:rsidR="00DB21EC" w:rsidRPr="001C67E7" w:rsidP="00DB21EC">
            <w:pPr>
              <w:pStyle w:val="CSBody63ENbold"/>
            </w:pPr>
            <w:r w:rsidRPr="001C67E7">
              <w:t>Risks associated with an Issuer's call option</w:t>
            </w:r>
          </w:p>
        </w:tc>
        <w:tc>
          <w:tcPr>
            <w:tcW w:w="4928" w:type="dxa"/>
          </w:tcPr>
          <w:p w:rsidR="00DB21EC" w:rsidRPr="00DB21EC" w:rsidP="00DB21EC">
            <w:pPr>
              <w:pStyle w:val="CSBody63DEbold"/>
              <w:rPr>
                <w:lang w:val="de-DE"/>
              </w:rPr>
            </w:pPr>
            <w:r w:rsidRPr="00DB21EC">
              <w:rPr>
                <w:lang w:val="de-DE"/>
              </w:rPr>
              <w:t>Mit einem Kündigungsrecht der Emittentin verbundene Risiken</w:t>
            </w:r>
          </w:p>
        </w:tc>
      </w:tr>
      <w:tr w:rsidTr="002F2BFA">
        <w:tblPrEx>
          <w:tblW w:w="5000" w:type="pct"/>
          <w:tblLook w:val="04A0"/>
        </w:tblPrEx>
        <w:tc>
          <w:tcPr>
            <w:tcW w:w="4927" w:type="dxa"/>
          </w:tcPr>
          <w:p w:rsidR="00DB21EC" w:rsidRPr="001C67E7" w:rsidP="00832685">
            <w:pPr>
              <w:pStyle w:val="CSBody63EN"/>
            </w:pPr>
            <w:r w:rsidRPr="001C67E7">
              <w:t>In the case of Complex Products with an Issuer's call option, the Issuer is entitled to redeem the Complex Products in whole but not in part prior to the Final Redemption Date. The Issuer is likely to early redeem such Complex Products when its cost of borrowing is lower than the yield on such Complex Products. As a result, (i) the market value of such Complex Products generally will not rise substantially above the Optional Early Redemption Price, and (ii) investors in such Complex Products may incur additional transaction costs as a consequence of reinvesting proceeds received upon early redemption and the conditions for such a reinvestment may be less favourable than the relevant investor's initial investment in the Complex Products. If the Issuer exercises its call option, investors should note that no Interest Payment Amounts that would otherwise have been due after the date of such early redemption will be paid and, if so specified in the applicable Terms and Conditions, no accrued and unpaid interest as of the date of such early redemption will be paid.</w:t>
            </w:r>
          </w:p>
        </w:tc>
        <w:tc>
          <w:tcPr>
            <w:tcW w:w="4928" w:type="dxa"/>
          </w:tcPr>
          <w:p w:rsidR="00DB21EC" w:rsidRPr="00DB21EC" w:rsidP="00DB21EC">
            <w:pPr>
              <w:pStyle w:val="CSBody63DE"/>
              <w:rPr>
                <w:lang w:val="de-DE"/>
              </w:rPr>
            </w:pPr>
            <w:r w:rsidRPr="00DB21EC">
              <w:rPr>
                <w:lang w:val="de-DE"/>
              </w:rPr>
              <w:t>Bei Komplexen Produkten mit einem Kündigungsrecht der Emittentin ist die Emittentin berechtigt, die Komplexen Produkte vor dem Finalen Rückzahlungstag ganz, jedoch nicht teilweise zurückzuzahlen. Eine vorzeitige Rückzahlung dieser Komplexen Produkte durch die Emittentin wird dann wahrscheinlich, wenn ihre Kosten der Kreditaufnahme niedriger sind als die Rendite auf diese Komplexen Produkte. Dies führt dazu, dass (i) der Marktwert dieser Komplexen Produkte in der Regel nicht wesentlich über den Rückzahlungsbetrag bei Ausübung des Kündigungsrechts steigen wird, und (ii) Anlegern in diese Komplexen Produkte unter Umständen zusätzliche Transaktionskosten für die Wiederanlage der bei vorzeitiger Rückzahlung ausgekehrten Beträge entstehen, wobei die Konditionen einer solchen Wiederanlage unter Umständen ungünstiger sein können als die ursprüngliche Anlage des Anlegers in die Komplexen Produkte. Übt die Emittentin ihr Kündigungsrecht aus, sollten die Anleger beachten, dass Zinszahlungsbeträge, die ansonsten nach dem Tag der vorzeitigen Rückzahlung fällig gewesen wären, nicht gezahlt werden und, sofern die anwendbaren Emissionsbedingungen dies vorsehen, keine zum Tag der vorzeitigen Rückzahlung aufgelaufenen, aber ungezahlten Zinsen gezahlt werden.</w:t>
            </w:r>
          </w:p>
        </w:tc>
      </w:tr>
      <w:tr w:rsidTr="002F2BFA">
        <w:tblPrEx>
          <w:tblW w:w="5000" w:type="pct"/>
          <w:tblLook w:val="04A0"/>
        </w:tblPrEx>
        <w:tc>
          <w:tcPr>
            <w:tcW w:w="4927" w:type="dxa"/>
          </w:tcPr>
          <w:p w:rsidR="00DB21EC" w:rsidRPr="006A1935" w:rsidP="00DB21EC">
            <w:pPr>
              <w:pStyle w:val="CSBody63ENbold"/>
            </w:pPr>
            <w:r w:rsidRPr="006A1935">
              <w:t>Risks associated with the Collateralization of Complex Products with COSI feature</w:t>
            </w:r>
          </w:p>
        </w:tc>
        <w:tc>
          <w:tcPr>
            <w:tcW w:w="4928" w:type="dxa"/>
          </w:tcPr>
          <w:p w:rsidR="00DB21EC" w:rsidRPr="00DB21EC" w:rsidP="00DB21EC">
            <w:pPr>
              <w:pStyle w:val="CSBody63DEbold"/>
              <w:rPr>
                <w:lang w:val="de-DE"/>
              </w:rPr>
            </w:pPr>
            <w:r w:rsidRPr="00DB21EC">
              <w:rPr>
                <w:lang w:val="de-DE"/>
              </w:rPr>
              <w:t xml:space="preserve">Risiken im Zusammenhang mit Komplexen Produkten mit COSI Merkmal </w:t>
            </w:r>
          </w:p>
        </w:tc>
      </w:tr>
      <w:tr w:rsidTr="002F2BFA">
        <w:tblPrEx>
          <w:tblW w:w="5000" w:type="pct"/>
          <w:tblLook w:val="04A0"/>
        </w:tblPrEx>
        <w:tc>
          <w:tcPr>
            <w:tcW w:w="4927" w:type="dxa"/>
          </w:tcPr>
          <w:p w:rsidR="00DB21EC" w:rsidRPr="006A1935" w:rsidP="00832685">
            <w:pPr>
              <w:pStyle w:val="CSBody63EN"/>
            </w:pPr>
            <w:r w:rsidRPr="006A1935">
              <w:t>Collateralization eliminates the issuer default risk only to the extent that the proceeds from the liquidation of collateral upon occurrence of a Liquidation Event (less the costs of liquidation and payout) are able to meet the investors' claims. The investor bears the following risks, among others: (i) the Collateral Provider is unable to supply the additionally required collateral if the value of the CS COSI Securities rises or the value of the collateral decreases; (ii) in a Liquidation Event, the collateral cannot be liquidated immediately by SIX Swiss Exchange because of factual hindrances or because the collateral must be handed over to the executory authorities for liquidation; (iii) the market risk associated with the collateral results in insufficient liquidation proceeds or, in extreme circumstances, the collateral might lose its value entirely until the liquidation can take place; (iv) the maturity of CS COSI Securities in a foreign currency according to the Framework Agreement may result in losses for the investor because the Current Value (determinant for the investor's claim against the issuer) is set in the foreign currency, while payment of the pro rata share of net liquidation proceeds (determinant for the extent to which the investor's claim against the issuer is satisfied) is made in Swiss francs; (v) the collateralization is challenged according to the laws governing debt enforcement and bankruptcy, so that the collateral cannot be liquidated according to the terms of the Framework Agreement for the benefit of the investors in CS COSI Securities.</w:t>
            </w:r>
          </w:p>
        </w:tc>
        <w:tc>
          <w:tcPr>
            <w:tcW w:w="4928" w:type="dxa"/>
          </w:tcPr>
          <w:p w:rsidR="00DB21EC" w:rsidRPr="00DB21EC" w:rsidP="00832685">
            <w:pPr>
              <w:pStyle w:val="CSBody63DE"/>
              <w:rPr>
                <w:lang w:val="de-DE"/>
              </w:rPr>
            </w:pPr>
            <w:r w:rsidRPr="00DB21EC">
              <w:rPr>
                <w:lang w:val="de-DE"/>
              </w:rPr>
              <w:t>Die Besicherung eliminiert das Ausfallrisiko des Emittenten nur in dem Masse, als die Erlöse aus der Verwertung der Sicherheiten bei Eintritt eines Verwertungsfalles (abzüglich der Kosten für die Verwertung und Auszahlung) die Ansprüche der Anleger zu decken vermögen. Der Anleger trägt unter anderem folgende Risiken: (i) der Sicherungsgeber kann bei steigendem Wert der CS COSI Wertpapiere oder bei sinkendem Wert der Sicherheiten die zusätzlich erforderlichen Sicherheiten nicht liefern; (ii) die Sicherheiten können in einem Verwertungsfall nicht sogleich durch SIX Swiss Exchange verwertet werden, weil tatsächliche Hindernisse entgegenstehen oder die Sicherheiten der Zwangsvollstreckungsbehörde zur Ver</w:t>
            </w:r>
            <w:r w:rsidR="00442267">
              <w:rPr>
                <w:lang w:val="de-DE"/>
              </w:rPr>
              <w:t>w</w:t>
            </w:r>
            <w:r w:rsidRPr="00DB21EC">
              <w:rPr>
                <w:lang w:val="de-DE"/>
              </w:rPr>
              <w:t>ertung übergeben werden müssen; (iii) das mit den Sicherheiten verbundene Marktrisiko führt zu einem ungenügenden Verwertungserlös oder die Sicherheiten können unter ausserordentlichen Umständen ihren Wert bis zum Zeitpunkt der tatsächlichen Verwertung gänzlich verlieren; (iv) die Fälligkeit nach dem Rahmenvertrag von CS COSI Wertpapieren in einer ausländischen Währung kann beim Anleger Verluste verursachen, weil der Aktuelle Wert (massgeblich für den Anspruch des Anlegers gegenüber dem Emittenten) in der ausländischen Währung festgelegt wird, wogegen die Auszahlung des anteilsmässigen Netto-Verwertungserlöses (massgeblich für den Umfang, in welchem der Anspruch des Anlegers gegenüber dem Emittenten erlischt) in Schweizer Franken erfolgt; (v) die Besicherung wird nach den Regeln des Zwangsvollstreckungsrechts angefochten, sodass die Sicherheiten nicht gemäss den Bestimmungen des Rahmenvertrages zu Gunsten der Anleger in CS COSI Wertpapiere verwertet werden können.</w:t>
            </w:r>
          </w:p>
        </w:tc>
      </w:tr>
      <w:tr w:rsidTr="002F2BFA">
        <w:tblPrEx>
          <w:tblW w:w="5000" w:type="pct"/>
          <w:tblLook w:val="04A0"/>
        </w:tblPrEx>
        <w:tc>
          <w:tcPr>
            <w:tcW w:w="4927" w:type="dxa"/>
          </w:tcPr>
          <w:p w:rsidR="00DB21EC" w:rsidRPr="009B276B" w:rsidP="00DB21EC">
            <w:pPr>
              <w:pStyle w:val="CSBody63EN"/>
            </w:pPr>
            <w:r w:rsidRPr="009B276B">
              <w:t>The costs for the service provided by SIX Swiss Exchange with respect to the collateralization of CS COSI Securities may be taken into account in pricing CS COSI Securities and may therefore be borne by the investors, as the case may be. With regard to the payment of the pro rata share of the Net Realization Proceeds the investor shall bear the solvency risks of SIX Swiss Exchange and the financial intermediaries along the payout chain. The payment to the investors may be delayed for factual or legal reasons. To the extent the calculation of the Current Value of CS COSI Securities proves to be incorrect, the collateral provided for CS COSI Securities may be insufficient.</w:t>
            </w:r>
          </w:p>
        </w:tc>
        <w:tc>
          <w:tcPr>
            <w:tcW w:w="4928" w:type="dxa"/>
          </w:tcPr>
          <w:p w:rsidR="00DB21EC" w:rsidRPr="00DB21EC" w:rsidP="00DB21EC">
            <w:pPr>
              <w:pStyle w:val="CSBody63DE"/>
              <w:rPr>
                <w:lang w:val="de-DE"/>
              </w:rPr>
            </w:pPr>
            <w:r w:rsidRPr="00DB21EC">
              <w:rPr>
                <w:lang w:val="de-DE"/>
              </w:rPr>
              <w:t>Die Kosten für die Dienstleistung der SIX Swiss Exchange zur Besicherung von CS COSI Wertpapieren können in die Preisfindung für CS COSI Wertpapiere einfliessen und sind daher allenfalls vom Anleger zu tragen. Der Anleger unterliegt hinsichtlich der Auszahlung des anteilsmässigen Netto-Verwertungserlöses den Bonitätsrisiken der SIX Swiss Exchange und der Finanzintermediäre entlang der Auszahlungskette. Die Auszahlung an die Anleger kann sich aus tatsächlichen oder rechtlichen Gründen verzögern. Sofern sich die Berechnung des Aktuellen Wertes eines CS COSI Wertpapiers als fehlerhaft erweist, kann die Besicherung der CS COSI Wertpapiere ungenügend sein.</w:t>
            </w:r>
          </w:p>
        </w:tc>
      </w:tr>
      <w:tr w:rsidTr="002F2BFA">
        <w:tblPrEx>
          <w:tblW w:w="5000" w:type="pct"/>
          <w:tblLook w:val="04A0"/>
        </w:tblPrEx>
        <w:tc>
          <w:tcPr>
            <w:tcW w:w="4927" w:type="dxa"/>
          </w:tcPr>
          <w:p w:rsidR="00DB21EC" w:rsidRPr="009B276B" w:rsidP="00DB21EC">
            <w:pPr>
              <w:pStyle w:val="CSBody63EN"/>
            </w:pPr>
            <w:r w:rsidRPr="009B276B">
              <w:t>Terms used in the two paragraphs above shall have the meaning assigned to them in the Section "Collateralization of Complex Products with COSI feature", if any meaning is so assigned.</w:t>
            </w:r>
          </w:p>
        </w:tc>
        <w:tc>
          <w:tcPr>
            <w:tcW w:w="4928" w:type="dxa"/>
          </w:tcPr>
          <w:p w:rsidR="00DB21EC" w:rsidRPr="00DB21EC" w:rsidP="00832685">
            <w:pPr>
              <w:pStyle w:val="CSBody63DE"/>
              <w:rPr>
                <w:lang w:val="de-DE"/>
              </w:rPr>
            </w:pPr>
            <w:r w:rsidRPr="00DB21EC">
              <w:rPr>
                <w:lang w:val="de-DE"/>
              </w:rPr>
              <w:t>In den beiden vorstehenden Absätzen verwendete Begriffe haben die ihnen im Abschnitt "Besicherung von Komplexen Produkten mit COSI Merkmal" zugewiesene Bedeutung, soweit eine Bedeutung zugewiesen wird.</w:t>
            </w:r>
          </w:p>
        </w:tc>
      </w:tr>
    </w:tbl>
    <w:p w:rsidR="00D433E6" w:rsidRPr="00B34C1C" w:rsidP="009C6D81">
      <w:pPr>
        <w:pStyle w:val="CSBody0"/>
        <w:rPr>
          <w:lang w:val="de-DE"/>
        </w:rPr>
      </w:pPr>
    </w:p>
    <w:p w:rsidR="00D433E6" w:rsidRPr="00B34C1C" w:rsidP="009C6D81">
      <w:pPr>
        <w:pStyle w:val="CSBody0"/>
        <w:rPr>
          <w:lang w:val="de-DE"/>
        </w:rPr>
        <w:sectPr w:rsidSect="00280A57">
          <w:headerReference w:type="default" r:id="rId15"/>
          <w:footerReference w:type="default" r:id="rId16"/>
          <w:headerReference w:type="first" r:id="rId17"/>
          <w:footerReference w:type="first" r:id="rId18"/>
          <w:pgSz w:w="11907" w:h="16839"/>
          <w:pgMar w:top="1440" w:right="1134" w:bottom="1440" w:left="1134" w:header="709" w:footer="363" w:gutter="0"/>
          <w:cols w:space="708"/>
          <w:docGrid w:linePitch="360"/>
        </w:sectPr>
      </w:pPr>
    </w:p>
    <w:tbl>
      <w:tblPr>
        <w:tblStyle w:val="TableGrid"/>
        <w:tblW w:w="5000" w:type="pct"/>
        <w:tblBorders>
          <w:top w:val="nil"/>
          <w:left w:val="nil"/>
          <w:bottom w:val="nil"/>
          <w:right w:val="nil"/>
          <w:insideH w:val="nil"/>
        </w:tblBorders>
        <w:tblLayout w:type="fixed"/>
        <w:tblLook w:val="04A0"/>
      </w:tblPr>
      <w:tblGrid>
        <w:gridCol w:w="4928"/>
        <w:gridCol w:w="4927"/>
      </w:tblGrid>
      <w:tr w:rsidTr="00456E6B">
        <w:tblPrEx>
          <w:tblW w:w="5000" w:type="pct"/>
          <w:tblBorders>
            <w:top w:val="nil"/>
            <w:left w:val="nil"/>
            <w:bottom w:val="nil"/>
            <w:right w:val="nil"/>
            <w:insideH w:val="nil"/>
          </w:tblBorders>
          <w:tblLayout w:type="fixed"/>
          <w:tblLook w:val="04A0"/>
        </w:tblPrEx>
        <w:tc>
          <w:tcPr>
            <w:tcW w:w="4928" w:type="dxa"/>
          </w:tcPr>
          <w:p w:rsidR="00D433E6" w:rsidP="00D82500">
            <w:pPr>
              <w:pStyle w:val="CSHeading1EN"/>
            </w:pPr>
            <w:bookmarkStart w:id="41" w:name="_Toc438227517"/>
            <w:r w:rsidRPr="00D433E6">
              <w:t>GENERAL INFORMATION ABOUT THIS DOCUMENT</w:t>
            </w:r>
            <w:bookmarkEnd w:id="41"/>
          </w:p>
        </w:tc>
        <w:tc>
          <w:tcPr>
            <w:tcW w:w="4927" w:type="dxa"/>
          </w:tcPr>
          <w:p w:rsidR="00D433E6" w:rsidRPr="00B34C1C" w:rsidP="00D82500">
            <w:pPr>
              <w:pStyle w:val="CSHeading1DE"/>
              <w:rPr>
                <w:lang w:val="de-DE"/>
              </w:rPr>
            </w:pPr>
            <w:bookmarkStart w:id="42" w:name="_Toc438160265"/>
            <w:r w:rsidRPr="00B34C1C">
              <w:rPr>
                <w:lang w:val="de-DE"/>
              </w:rPr>
              <w:t>ALLGEMEINE INFORMATIONEN ZU DIESEM DOKUMENT</w:t>
            </w:r>
            <w:bookmarkEnd w:id="42"/>
          </w:p>
        </w:tc>
      </w:tr>
      <w:tr w:rsidTr="00456E6B">
        <w:tblPrEx>
          <w:tblW w:w="5000" w:type="pct"/>
          <w:tblLayout w:type="fixed"/>
          <w:tblLook w:val="04A0"/>
        </w:tblPrEx>
        <w:tc>
          <w:tcPr>
            <w:tcW w:w="4928" w:type="dxa"/>
          </w:tcPr>
          <w:p w:rsidR="00D433E6" w:rsidRPr="00DA1AC9" w:rsidP="00D82500">
            <w:pPr>
              <w:pStyle w:val="CSNum1EN"/>
            </w:pPr>
            <w:r w:rsidRPr="00DA1AC9">
              <w:t>The Base Prospectus, Final Terms, Terms and Conditions and Supplements</w:t>
            </w:r>
          </w:p>
        </w:tc>
        <w:tc>
          <w:tcPr>
            <w:tcW w:w="4927" w:type="dxa"/>
          </w:tcPr>
          <w:p w:rsidR="00D433E6" w:rsidRPr="00B34C1C" w:rsidP="00D82500">
            <w:pPr>
              <w:pStyle w:val="CSNum1DE"/>
              <w:rPr>
                <w:lang w:val="de-DE"/>
              </w:rPr>
            </w:pPr>
            <w:r w:rsidRPr="00B34C1C">
              <w:rPr>
                <w:lang w:val="de-DE"/>
              </w:rPr>
              <w:t>Basisprospekt, Endgültige Bedingungen, Emissionsbedingungen und Nachträge</w:t>
            </w:r>
          </w:p>
        </w:tc>
      </w:tr>
      <w:tr w:rsidTr="00456E6B">
        <w:tblPrEx>
          <w:tblW w:w="5000" w:type="pct"/>
          <w:tblLayout w:type="fixed"/>
          <w:tblLook w:val="04A0"/>
        </w:tblPrEx>
        <w:tc>
          <w:tcPr>
            <w:tcW w:w="4928" w:type="dxa"/>
          </w:tcPr>
          <w:p w:rsidR="00A71813" w:rsidRPr="00001617" w:rsidP="00832685">
            <w:pPr>
              <w:pStyle w:val="CSBody63EN"/>
            </w:pPr>
            <w:r w:rsidRPr="00001617">
              <w:t xml:space="preserve">This Base Prospectus is published in accordance with </w:t>
            </w:r>
            <w:r w:rsidR="00674A5A">
              <w:t>§ </w:t>
            </w:r>
            <w:r w:rsidRPr="00001617">
              <w:t>6 of the German Securities Prospectus Act (</w:t>
            </w:r>
            <w:r w:rsidRPr="00832685">
              <w:rPr>
                <w:i/>
              </w:rPr>
              <w:t>Wertpapierprospektgesetz</w:t>
            </w:r>
            <w:r w:rsidRPr="00001617">
              <w:t>, "</w:t>
            </w:r>
            <w:r w:rsidRPr="00DB6466">
              <w:rPr>
                <w:b/>
              </w:rPr>
              <w:t>WpPG</w:t>
            </w:r>
            <w:r w:rsidRPr="00001617">
              <w:t>") without the final terms. The final terms relevant for an issue of Complex Products under this Base Prospectus (the "</w:t>
            </w:r>
            <w:r w:rsidRPr="00DB6466">
              <w:rPr>
                <w:b/>
              </w:rPr>
              <w:t>Final Terms</w:t>
            </w:r>
            <w:r w:rsidRPr="00001617">
              <w:t>") will be set out in a separate document entitled "Final Terms" prepared on the basis of the Form of Final Terms (refer to the following Section entitled "Form of Final Terms"). The Final Terms will contain the final terms of the offer and the terms and conditions applicable to the relevant issue of Complex Products (the "</w:t>
            </w:r>
            <w:r w:rsidRPr="00DB6466">
              <w:rPr>
                <w:b/>
              </w:rPr>
              <w:t>Terms and Conditions</w:t>
            </w:r>
            <w:r w:rsidRPr="00001617">
              <w:t xml:space="preserve">") drawn up by inserting the missing information indicated by placeholders and by replicating certain information described in the section entitled "Terms and Conditions" in this Base Prospectus. The information or instructions included in square brackets in the section entitled "Terms and Conditions" in this Base Prospectus may be omitted in the Final Terms if this information or these instructions are not relevant for the issue of the relevant Complex Product. The Final Terms (including the applicable Terms and Conditions) will be prepared not earlier than in the context of the relevant issue of Complex Products and will be published in accordance with </w:t>
            </w:r>
            <w:r w:rsidR="00674A5A">
              <w:t>§ </w:t>
            </w:r>
            <w:r w:rsidRPr="00001617">
              <w:t xml:space="preserve">6 WpPG in conjunction with </w:t>
            </w:r>
            <w:r w:rsidR="00674A5A">
              <w:t>§ </w:t>
            </w:r>
            <w:r w:rsidRPr="00001617">
              <w:t>14 WpPG.</w:t>
            </w:r>
          </w:p>
        </w:tc>
        <w:tc>
          <w:tcPr>
            <w:tcW w:w="4927" w:type="dxa"/>
          </w:tcPr>
          <w:p w:rsidR="00A71813" w:rsidRPr="00A71813" w:rsidP="00832685">
            <w:pPr>
              <w:pStyle w:val="CSBody63DE"/>
              <w:rPr>
                <w:lang w:val="de-DE"/>
              </w:rPr>
            </w:pPr>
            <w:r w:rsidRPr="00A71813">
              <w:rPr>
                <w:lang w:val="de-DE"/>
              </w:rPr>
              <w:t xml:space="preserve">Dieser Basisprospekt wird gemäss </w:t>
            </w:r>
            <w:r w:rsidR="00674A5A">
              <w:rPr>
                <w:lang w:val="de-DE"/>
              </w:rPr>
              <w:t>§ </w:t>
            </w:r>
            <w:r w:rsidRPr="00A71813">
              <w:rPr>
                <w:lang w:val="de-DE"/>
              </w:rPr>
              <w:t>6 des deutschen Wertpapierprospektgesetzes ("</w:t>
            </w:r>
            <w:r w:rsidRPr="00DB6466">
              <w:rPr>
                <w:b/>
                <w:lang w:val="de-DE"/>
              </w:rPr>
              <w:t>WpPG</w:t>
            </w:r>
            <w:r w:rsidRPr="00A71813">
              <w:rPr>
                <w:lang w:val="de-DE"/>
              </w:rPr>
              <w:t>") ohne die endgültigen Bedingungen veröffentlicht. Die für eine Emission Komplexer Produkte im Rahmen dieses Basisprospekts massgeblichen endgültigen Bedingungen (die "</w:t>
            </w:r>
            <w:r w:rsidRPr="00DB6466">
              <w:rPr>
                <w:b/>
                <w:lang w:val="de-DE"/>
              </w:rPr>
              <w:t>Endgültigen Bedingungen</w:t>
            </w:r>
            <w:r w:rsidRPr="00A71813">
              <w:rPr>
                <w:lang w:val="de-DE"/>
              </w:rPr>
              <w:t>") werden in einem separaten Dokument mit dem Titel "Endgültige Bedingungen" veröffentlicht, welches auf Basis des Musters der Endgültigen Bedingungen (siehe den nachfolgenden Abschnitt "Muster der Endgültigen Bedingungen") erstellt wird. Die Endgültigen Bedingungen enthalten die endgültigen Bedingungen des Angebots und die für die betreffende Emission von Komplexen Produkten geltenden Emissionsbedingungen (die "</w:t>
            </w:r>
            <w:r w:rsidRPr="00DB6466">
              <w:rPr>
                <w:b/>
                <w:lang w:val="de-DE"/>
              </w:rPr>
              <w:t>Emissionsbedingungen</w:t>
            </w:r>
            <w:r w:rsidRPr="00A71813">
              <w:rPr>
                <w:lang w:val="de-DE"/>
              </w:rPr>
              <w:t xml:space="preserve">"), die durch Einfügen der im Abschnitt "Emissionsbedingungen" in diesem Basisprospekt fehlenden und durch Platzhalter markierten Angaben sowie durch Wiederholung bestimmter Angaben im Abschnitt "Emissionsbedingungen" in diesem Basisprospekt erstellt werden. Die Angaben oder Anweisungen, die im Abschnitt "Emissionsbedingungen" in diesem Basisprospekt in eckige Klammern gesetzt sind, können in den Endgültigen Bedingungen entfallen, sofern diese Angaben oder Anweisungen für die Emission des jeweiligen Komplexen Produkts nicht massgeblich sind. Die Endgültigen Bedingungen (mit den jeweils anwendbaren Emissionsbedingungen) werden erst im Zusammenhang mit der betreffenden Emission Komplexer Produkte erstellt und gemäss </w:t>
            </w:r>
            <w:r w:rsidR="00674A5A">
              <w:rPr>
                <w:lang w:val="de-DE"/>
              </w:rPr>
              <w:t>§ </w:t>
            </w:r>
            <w:r w:rsidRPr="00A71813">
              <w:rPr>
                <w:lang w:val="de-DE"/>
              </w:rPr>
              <w:t xml:space="preserve">6 WpPG i.V.m </w:t>
            </w:r>
            <w:r w:rsidR="00674A5A">
              <w:rPr>
                <w:lang w:val="de-DE"/>
              </w:rPr>
              <w:t>§ </w:t>
            </w:r>
            <w:r w:rsidRPr="00A71813">
              <w:rPr>
                <w:lang w:val="de-DE"/>
              </w:rPr>
              <w:t>14 WpPG veröffentlicht.</w:t>
            </w:r>
          </w:p>
        </w:tc>
      </w:tr>
      <w:tr w:rsidTr="00456E6B">
        <w:tblPrEx>
          <w:tblW w:w="5000" w:type="pct"/>
          <w:tblLayout w:type="fixed"/>
          <w:tblLook w:val="04A0"/>
        </w:tblPrEx>
        <w:tc>
          <w:tcPr>
            <w:tcW w:w="4928" w:type="dxa"/>
          </w:tcPr>
          <w:p w:rsidR="00A71813" w:rsidRPr="00001617" w:rsidP="00832685">
            <w:pPr>
              <w:pStyle w:val="CSBody63EN"/>
            </w:pPr>
            <w:r w:rsidRPr="00001617">
              <w:t xml:space="preserve">Following the publication of the Base Prospectus, a supplement may be prepared by the Issuer in accordance with </w:t>
            </w:r>
            <w:r w:rsidR="00674A5A">
              <w:t>§ </w:t>
            </w:r>
            <w:r w:rsidRPr="00001617">
              <w:t xml:space="preserve">16 WpPG and approved by the BaFin and other competent authorities. Any such supplement will, after its approval by BaFin, be published in accordance with </w:t>
            </w:r>
            <w:r w:rsidR="00674A5A">
              <w:t>§ </w:t>
            </w:r>
            <w:r w:rsidRPr="00001617">
              <w:t>16 WpPG in conjunction</w:t>
            </w:r>
            <w:r w:rsidR="00832685">
              <w:t xml:space="preserve"> with </w:t>
            </w:r>
            <w:r w:rsidR="00674A5A">
              <w:t>§ </w:t>
            </w:r>
            <w:r w:rsidR="00832685">
              <w:t>14 WpPG. Statements con</w:t>
            </w:r>
            <w:r w:rsidRPr="00001617">
              <w:t>tained in any such supplement (or contained in any document incorporated by reference therein) shall, to the extent applicable (whether expressly, by implication or otherwise), be deemed to modify or supersede statements contained in the Base Prospectus (including any document incorporated by reference therein). Any statement so modified or superseded shall not, except as so modified or superseded, constitute a part of the Base Prospectus.</w:t>
            </w:r>
          </w:p>
        </w:tc>
        <w:tc>
          <w:tcPr>
            <w:tcW w:w="4927" w:type="dxa"/>
          </w:tcPr>
          <w:p w:rsidR="00A71813" w:rsidRPr="00A71813" w:rsidP="00832685">
            <w:pPr>
              <w:pStyle w:val="CSBody63DE"/>
              <w:rPr>
                <w:lang w:val="de-DE"/>
              </w:rPr>
            </w:pPr>
            <w:r w:rsidRPr="00A71813">
              <w:rPr>
                <w:lang w:val="de-DE"/>
              </w:rPr>
              <w:t xml:space="preserve">Nach der Veröffentlichung des Basisprospekts kann die Emittentin gemäss </w:t>
            </w:r>
            <w:r w:rsidR="00674A5A">
              <w:rPr>
                <w:lang w:val="de-DE"/>
              </w:rPr>
              <w:t>§ </w:t>
            </w:r>
            <w:r w:rsidRPr="00A71813">
              <w:rPr>
                <w:lang w:val="de-DE"/>
              </w:rPr>
              <w:t xml:space="preserve">16 WpPG einen Nachtrag erstellen und diesen von der BaFin und anderen zuständigen Behörden billigen lassen. Nach der Billigung durch die BaFin wird jeder solche Nachtrag gemäss </w:t>
            </w:r>
            <w:r w:rsidR="00674A5A">
              <w:rPr>
                <w:lang w:val="de-DE"/>
              </w:rPr>
              <w:t>§ </w:t>
            </w:r>
            <w:r w:rsidRPr="00A71813">
              <w:rPr>
                <w:lang w:val="de-DE"/>
              </w:rPr>
              <w:t xml:space="preserve">16 WpPG i.V.m. </w:t>
            </w:r>
            <w:r w:rsidR="00674A5A">
              <w:rPr>
                <w:lang w:val="de-DE"/>
              </w:rPr>
              <w:t>§ </w:t>
            </w:r>
            <w:r w:rsidRPr="00A71813">
              <w:rPr>
                <w:lang w:val="de-DE"/>
              </w:rPr>
              <w:t>14 WpPG veröffentlicht. Die in einem solchen Nachtrag (oder in einem darin durch Verweis einbezogenen Dokument) enthaltenen Angaben ändern oder ersetzen (ausdrücklich, stillschweigend oder in anderer Form), soweit jeweils zutreffend, die im Basisprospekt (einschliesslich in einem darin durch Verweis einbezogenen Dokument) enthaltenen Angaben. Eine in dieser Weise geänderte oder ersetzte Angabe gilt sodann nur noch in ihrer geänderten bzw. neuen Fassung als Teil des Basisprospekts.</w:t>
            </w:r>
          </w:p>
        </w:tc>
      </w:tr>
      <w:tr w:rsidTr="00456E6B">
        <w:tblPrEx>
          <w:tblW w:w="5000" w:type="pct"/>
          <w:tblLayout w:type="fixed"/>
          <w:tblLook w:val="04A0"/>
        </w:tblPrEx>
        <w:tc>
          <w:tcPr>
            <w:tcW w:w="4928" w:type="dxa"/>
          </w:tcPr>
          <w:p w:rsidR="00D433E6" w:rsidRPr="00DA1AC9" w:rsidP="00D82500">
            <w:pPr>
              <w:pStyle w:val="CSNum1EN"/>
            </w:pPr>
            <w:r w:rsidRPr="00DA1AC9">
              <w:t>Contents of this Document</w:t>
            </w:r>
          </w:p>
        </w:tc>
        <w:tc>
          <w:tcPr>
            <w:tcW w:w="4927" w:type="dxa"/>
          </w:tcPr>
          <w:p w:rsidR="00D433E6" w:rsidRPr="00B4095C" w:rsidP="00D82500">
            <w:pPr>
              <w:pStyle w:val="CSNum1DE"/>
            </w:pPr>
            <w:r w:rsidRPr="00B4095C">
              <w:t>Inhalt dieses Dokuments</w:t>
            </w:r>
          </w:p>
        </w:tc>
      </w:tr>
      <w:tr w:rsidTr="00456E6B">
        <w:tblPrEx>
          <w:tblW w:w="5000" w:type="pct"/>
          <w:tblLayout w:type="fixed"/>
          <w:tblLook w:val="04A0"/>
        </w:tblPrEx>
        <w:tc>
          <w:tcPr>
            <w:tcW w:w="4928" w:type="dxa"/>
          </w:tcPr>
          <w:p w:rsidR="00DB6466" w:rsidRPr="009E168B" w:rsidP="00DB6466">
            <w:pPr>
              <w:pStyle w:val="CSBody63EN"/>
            </w:pPr>
            <w:r w:rsidRPr="009E168B">
              <w:t>This Document shall be read and construed together with any supplement hereto and any document incorporated by reference herein or therein. The Final Terms together with the Base Prospectus constitute the complete listing prospectus within the meaning of the Additional Rules for the Listing of Derivatives of SIX Swiss Exchange.</w:t>
            </w:r>
          </w:p>
        </w:tc>
        <w:tc>
          <w:tcPr>
            <w:tcW w:w="4927" w:type="dxa"/>
          </w:tcPr>
          <w:p w:rsidR="00DB6466" w:rsidRPr="00DB6466" w:rsidP="00832685">
            <w:pPr>
              <w:pStyle w:val="CSBody63DE"/>
              <w:rPr>
                <w:lang w:val="de-DE"/>
              </w:rPr>
            </w:pPr>
            <w:r w:rsidRPr="00DB6466">
              <w:rPr>
                <w:lang w:val="de-DE"/>
              </w:rPr>
              <w:t>Dieses Dokument ist zusammen mit jedem etwaigen Nachtrag dazu sowie allen durch Verweis einbezogenen Dokumenten zu lesen und auszulegen. Die Endgültigen Bedingungen stellen zusammen mit dem Basisprospekt den vollständigen Kotierungsprospekt im Sinne des Zusatzreglements für die Kotierung von Derivaten der SIX Swiss Exchange dar.</w:t>
            </w:r>
          </w:p>
        </w:tc>
      </w:tr>
      <w:tr w:rsidTr="00456E6B">
        <w:tblPrEx>
          <w:tblW w:w="5000" w:type="pct"/>
          <w:tblLayout w:type="fixed"/>
          <w:tblLook w:val="04A0"/>
        </w:tblPrEx>
        <w:tc>
          <w:tcPr>
            <w:tcW w:w="4928" w:type="dxa"/>
          </w:tcPr>
          <w:p w:rsidR="00DB6466" w:rsidRPr="009E168B" w:rsidP="00832685">
            <w:pPr>
              <w:pStyle w:val="CSBody63EN"/>
            </w:pPr>
            <w:r w:rsidRPr="009E168B">
              <w:t xml:space="preserve">Any information regarding the Underlying(s) contained in this Document consists only of a summary of certain publicly available information. Any such summary does not purport to be a complete summary of all material information about such Underlying(s) contained in the relevant publicly available information. </w:t>
            </w:r>
          </w:p>
        </w:tc>
        <w:tc>
          <w:tcPr>
            <w:tcW w:w="4927" w:type="dxa"/>
          </w:tcPr>
          <w:p w:rsidR="00DB6466" w:rsidRPr="00DB6466" w:rsidP="00832685">
            <w:pPr>
              <w:pStyle w:val="CSBody63DE"/>
              <w:rPr>
                <w:lang w:val="de-DE"/>
              </w:rPr>
            </w:pPr>
            <w:r w:rsidRPr="00DB6466">
              <w:rPr>
                <w:lang w:val="de-DE"/>
              </w:rPr>
              <w:t xml:space="preserve">Die in diesem Dokument enthaltenen Angaben zum Basiswert bzw. zu den Basiswerten, auf den bzw. die sich ein Komplexes Produkt bezieht, beschränken sich auf eine zusammenfassende Darstellung bestimmter öffentlich verfügbarer Informationen. Eine solche Darstellung erhebt keinen Anspruch darauf, eine vollständige Zusammenfassung aller in den einschlägigen öffentlich verfügbaren Informationsmaterialien enthaltenen wesentlichen Angaben zum Basiswert bzw. zu den betreffenden Basiswerten zu sein. </w:t>
            </w:r>
          </w:p>
        </w:tc>
      </w:tr>
      <w:tr w:rsidTr="00456E6B">
        <w:tblPrEx>
          <w:tblW w:w="5000" w:type="pct"/>
          <w:tblLayout w:type="fixed"/>
          <w:tblLook w:val="04A0"/>
        </w:tblPrEx>
        <w:tc>
          <w:tcPr>
            <w:tcW w:w="4928" w:type="dxa"/>
          </w:tcPr>
          <w:p w:rsidR="00DB6466" w:rsidRPr="009E168B" w:rsidP="00DB6466">
            <w:pPr>
              <w:pStyle w:val="CSBody63EN"/>
            </w:pPr>
            <w:r w:rsidRPr="009E168B">
              <w:t>No person is authorised to give any information or make any representation in connection with the Issuer, other than any such information or representation contained in this Document. Nevertheless, if any such information or representation has been given or made, it must not be relied upon as having been authorised by the Issuer.</w:t>
            </w:r>
          </w:p>
        </w:tc>
        <w:tc>
          <w:tcPr>
            <w:tcW w:w="4927" w:type="dxa"/>
          </w:tcPr>
          <w:p w:rsidR="00DB6466" w:rsidRPr="00DB6466" w:rsidP="00832685">
            <w:pPr>
              <w:pStyle w:val="CSBody63DE"/>
              <w:rPr>
                <w:lang w:val="de-DE"/>
              </w:rPr>
            </w:pPr>
            <w:r w:rsidRPr="00DB6466">
              <w:rPr>
                <w:lang w:val="de-DE"/>
              </w:rPr>
              <w:t>Niemand ist zur Erteilung von Informationen oder zur Abgabe von Zusicherungen im Zusammenhang mit der Emittentin über die in diesem Dokument enthaltenen Informationen oder Zusicherungen hinaus berechtigt. Werden solche Informationen dennoch erteilt bzw. Zusicherungen abgegeben, so darf auf diese nicht als von der Emittentin autorisierte Informationen bzw. Zusicherungen vertraut werden.</w:t>
            </w:r>
          </w:p>
        </w:tc>
      </w:tr>
      <w:tr w:rsidTr="00456E6B">
        <w:tblPrEx>
          <w:tblW w:w="5000" w:type="pct"/>
          <w:tblLayout w:type="fixed"/>
          <w:tblLook w:val="04A0"/>
        </w:tblPrEx>
        <w:tc>
          <w:tcPr>
            <w:tcW w:w="4928" w:type="dxa"/>
          </w:tcPr>
          <w:p w:rsidR="00D433E6" w:rsidRPr="00DA1AC9" w:rsidP="00D82500">
            <w:pPr>
              <w:pStyle w:val="CSNum1EN"/>
            </w:pPr>
            <w:r w:rsidRPr="00DA1AC9">
              <w:t>Distribution and use of this Document</w:t>
            </w:r>
          </w:p>
        </w:tc>
        <w:tc>
          <w:tcPr>
            <w:tcW w:w="4927" w:type="dxa"/>
          </w:tcPr>
          <w:p w:rsidR="00D433E6" w:rsidRPr="00B34C1C" w:rsidP="00D82500">
            <w:pPr>
              <w:pStyle w:val="CSNum1DE"/>
              <w:rPr>
                <w:lang w:val="de-DE"/>
              </w:rPr>
            </w:pPr>
            <w:r w:rsidRPr="00B34C1C">
              <w:rPr>
                <w:lang w:val="de-DE"/>
              </w:rPr>
              <w:t>Verbreitung und Verwendung dieses Dokuments</w:t>
            </w:r>
          </w:p>
        </w:tc>
      </w:tr>
      <w:tr w:rsidTr="00456E6B">
        <w:tblPrEx>
          <w:tblW w:w="5000" w:type="pct"/>
          <w:tblLayout w:type="fixed"/>
          <w:tblLook w:val="04A0"/>
        </w:tblPrEx>
        <w:tc>
          <w:tcPr>
            <w:tcW w:w="4928" w:type="dxa"/>
          </w:tcPr>
          <w:p w:rsidR="00DB6466" w:rsidRPr="003061EA" w:rsidP="00832685">
            <w:pPr>
              <w:pStyle w:val="CSBody63EN"/>
            </w:pPr>
            <w:r w:rsidRPr="003061EA">
              <w:t>This Document is issued solely for information purposes and for the recipient's sole use. The Issuer has no obligation to issue Complex Products. The information and views contained in this Document are those of the Issuer and/or are derived from sources believed to be reliable.</w:t>
            </w:r>
          </w:p>
        </w:tc>
        <w:tc>
          <w:tcPr>
            <w:tcW w:w="4927" w:type="dxa"/>
          </w:tcPr>
          <w:p w:rsidR="00DB6466" w:rsidRPr="00DB6466" w:rsidP="00832685">
            <w:pPr>
              <w:pStyle w:val="CSBody63DE"/>
              <w:rPr>
                <w:lang w:val="de-DE"/>
              </w:rPr>
            </w:pPr>
            <w:r w:rsidRPr="00DB6466">
              <w:rPr>
                <w:lang w:val="de-DE"/>
              </w:rPr>
              <w:t>Dieses Dokument wird ausschliesslich zu Informationszwecken und zur alleinigen Verwendung durch den Empfänger erstellt. Die Emittentin ist nicht zur Begebung Komplexer Produkte verpflichtet. Die in diesem Dokument enthaltenen Angaben und Ansichten sind Angaben und Ansichten der Emittentin und/oder entstammen als zuverlässig erachteten Quellen.</w:t>
            </w:r>
          </w:p>
        </w:tc>
      </w:tr>
      <w:tr w:rsidTr="00456E6B">
        <w:tblPrEx>
          <w:tblW w:w="5000" w:type="pct"/>
          <w:tblLayout w:type="fixed"/>
          <w:tblLook w:val="04A0"/>
        </w:tblPrEx>
        <w:tc>
          <w:tcPr>
            <w:tcW w:w="4928" w:type="dxa"/>
          </w:tcPr>
          <w:p w:rsidR="00DB6466" w:rsidRPr="003061EA" w:rsidP="00832685">
            <w:pPr>
              <w:pStyle w:val="CSBody63EN"/>
            </w:pPr>
            <w:r w:rsidRPr="003061EA">
              <w:t>This Document does not constitute an offer or a solicitation of or on behalf of the Issuer to make an offer or to subscribe Complex Products. The distribution of this Document may be prohibited under the laws of certain jurisdictions. The Issuer does not give any assurance on the legality of the distribution of this Document or the offer of Complex Products in any jurisdiction. In addition, the Issuer does not assume any responsibility for the distribution of this Document or any offer to be procured. Accordingly, Complex Products may not be directly or indirectly offered or sold in any jurisdiction and, likewise, no promotion or other offering documentation may be distributed or published in any jurisdiction, in each case, unless in accordance with applicable law. Therefore, persons in possession of this Document must inform themselves of and observe the applicable restrictions. See also "Selling Restrictions".</w:t>
            </w:r>
          </w:p>
        </w:tc>
        <w:tc>
          <w:tcPr>
            <w:tcW w:w="4927" w:type="dxa"/>
          </w:tcPr>
          <w:p w:rsidR="00DB6466" w:rsidP="00832685">
            <w:pPr>
              <w:pStyle w:val="CSBody63DE"/>
            </w:pPr>
            <w:r w:rsidRPr="00DB6466">
              <w:rPr>
                <w:lang w:val="de-DE"/>
              </w:rPr>
              <w:t xml:space="preserve">Dieses Dokument stellt kein Angebot und keine Aufforderung seitens oder im Namen der Emittentin zur Abgabe eines Angebots oder zur Zeichnung Komplexer Produkte dar. Die Verbreitung dieses Dokuments kann in bestimmten Rechtsordnungen untersagt sein. Die Emittentin übernimmt keine Gewähr dahingehend, dass die Verbreitung dieses Dokuments oder das Angebot Komplexer Produkte in irgendeiner Rechtsordnung rechtmässig ist. Des Weiteren übernimmt die Emittentin keine Verantwortung für die Verbreitung dieses Dokuments oder für die Einholung irgendeines Angebots. Ausser in Übereinstimmung mit dem jeweils geltenden Recht dürfen Komplexe Produkte folglich in keiner Rechtsordnung direkt oder indirekt angeboten oder verkauft werden und Werbe- oder sonstige Angebotsunterlagen dürfen in keiner Rechtsordnung verbreitet oder veröffentlicht werden. Personen, die sich im Besitz dieses Dokuments befinden, müssen sich daher über die geltenden Beschränkungen informieren und diese beachten. </w:t>
            </w:r>
            <w:r w:rsidRPr="003061EA">
              <w:t>Siehe auch "Verkaufsbeschränkungen".</w:t>
            </w:r>
          </w:p>
        </w:tc>
      </w:tr>
      <w:tr w:rsidTr="00456E6B">
        <w:tblPrEx>
          <w:tblW w:w="5000" w:type="pct"/>
          <w:tblLayout w:type="fixed"/>
          <w:tblLook w:val="04A0"/>
        </w:tblPrEx>
        <w:tc>
          <w:tcPr>
            <w:tcW w:w="4928" w:type="dxa"/>
          </w:tcPr>
          <w:p w:rsidR="00D433E6" w:rsidRPr="00DA1AC9" w:rsidP="00D82500">
            <w:pPr>
              <w:pStyle w:val="CSNum1EN"/>
            </w:pPr>
            <w:r w:rsidRPr="00DA1AC9">
              <w:t>Documents available</w:t>
            </w:r>
          </w:p>
        </w:tc>
        <w:tc>
          <w:tcPr>
            <w:tcW w:w="4927" w:type="dxa"/>
          </w:tcPr>
          <w:p w:rsidR="00D433E6" w:rsidRPr="00B4095C" w:rsidP="00D82500">
            <w:pPr>
              <w:pStyle w:val="CSNum1DE"/>
            </w:pPr>
            <w:r w:rsidRPr="00B4095C">
              <w:t>Verfügbare Dokumente</w:t>
            </w:r>
          </w:p>
        </w:tc>
      </w:tr>
      <w:tr w:rsidTr="00456E6B">
        <w:tblPrEx>
          <w:tblW w:w="5000" w:type="pct"/>
          <w:tblLayout w:type="fixed"/>
          <w:tblLook w:val="04A0"/>
        </w:tblPrEx>
        <w:tc>
          <w:tcPr>
            <w:tcW w:w="4928" w:type="dxa"/>
          </w:tcPr>
          <w:p w:rsidR="00AD2E3F" w:rsidRPr="00AD2E3F" w:rsidP="00AD2E3F">
            <w:pPr>
              <w:pStyle w:val="CSBody63EN"/>
            </w:pPr>
            <w:r w:rsidRPr="00AD2E3F">
              <w:t>Copies of this Base Prospectus (including any supplement to this Base Prospectus), the documents incorporated by reference into this Base Prospectus (including any supplement to this Base Prospectus), the Final Terms applicable to each issue of Complex Products and the articles of association of Credit Suisse can during the validity period of this Base Prospectus be obtained from and will be delivered upon request by the Paying Agent at Credit Suisse AG, ZUGG 3, Transaction Advisory Group, 8070 Zurich, Switzerland, or, in case of Complex Products offered in or into Germany or included to trading on the Open Market (Freiverkehr) of the Frankfurt Stock Exchange, at Credit Suisse Securities (Europe) Limited, Niederlassung Frankfurt am Main, Junghofstrasse 16, 60311 Frankfurt a. M., Germany, in each case free of charge. Copies of this Base Prospectus (including any supplement to this Base Prospectus), the documents incorporated by reference into this Base Prospectus (including any supplement to this Base Prospectus) and the Final Terms applicable to each issue of Complex Products, other than the Final Terms relating to Complex Products which are solely offered or listed in Switzerland, are also available on the website of Credit Suisse (</w:t>
            </w:r>
            <w:r w:rsidRPr="00AD2E3F">
              <w:rPr>
                <w:b/>
                <w:color w:val="7898B3"/>
              </w:rPr>
              <w:t>www.credit-suisse.com</w:t>
            </w:r>
            <w:r w:rsidR="00E55441">
              <w:rPr>
                <w:b/>
                <w:color w:val="7898B3"/>
              </w:rPr>
              <w:t>/derivatives</w:t>
            </w:r>
            <w:r w:rsidRPr="00AD2E3F">
              <w:t>).</w:t>
            </w:r>
          </w:p>
        </w:tc>
        <w:tc>
          <w:tcPr>
            <w:tcW w:w="4927" w:type="dxa"/>
          </w:tcPr>
          <w:p w:rsidR="00AD2E3F" w:rsidRPr="00AD2E3F" w:rsidP="00AD2E3F">
            <w:pPr>
              <w:pStyle w:val="CSBody63DE"/>
              <w:rPr>
                <w:lang w:val="de-DE"/>
              </w:rPr>
            </w:pPr>
            <w:r w:rsidRPr="00AD2E3F">
              <w:rPr>
                <w:lang w:val="de-DE"/>
              </w:rPr>
              <w:t>Dieser Basisprospekt (einschliesslich etwaiger Nachträge zum Basisprospekt), die durch Verweis in diesen Basisprospekt (oder etwaige Nachträge zum Basisprospekt) einbezogenen Dokumente, die für die einzelnen Emissionen Komplexer Produkte geltenden Endgültigen Bedingungen und die Statuten der Credit Suisse sind während der Gültigkeitsdauer dieses Basisprospekts kostenlos bei der Zahlstelle unter der Anschrift Credit Suisse AG, ZUGG 3, Transaction Advisory Group, 8070 Zürich, Schweiz, oder (bei Komplexen Produkten, die in Deutschland oder dorthin angeboten oder in den Handel im Freiverkehr der Frankfurter Wertpapierbörse einbezogen sind) bei der Credit Suisse Securities (Europe) Limited, Niederlassung Frankfurt am Main, Junghofstrasse 16, 60311 Frankfurt a. M., Deutschland erhältlich und werden auf Anfrage kostenlos versandt. Kopien dieses Basisprospekts (einschliesslich etwaiger Nachträge zum Basisprospekt), die durch Verweis in diesen Basisprospekt (oder etwaige Nachträge zum Basisprospekt) einbezogenen Dokumente und die für die einzelnen Emissionen Komplexer Produkte geltenden Endgültigen Bedingungen sind, mit Ausnahme von Endgültigen Bedingungen für Komplexe Produkte, die ausschliesslich in der Schweiz angeboten oder notiert werden, darüber hinaus auch erhältlich auf der Internetseite der Credit Suisse (</w:t>
            </w:r>
            <w:r w:rsidRPr="00AD2E3F">
              <w:rPr>
                <w:b/>
                <w:color w:val="7898B3"/>
                <w:lang w:val="de-DE"/>
              </w:rPr>
              <w:t>www.credit-suisse.com</w:t>
            </w:r>
            <w:r w:rsidR="00E55441">
              <w:rPr>
                <w:b/>
                <w:color w:val="7898B3"/>
                <w:lang w:val="de-DE"/>
              </w:rPr>
              <w:t>/derivatives</w:t>
            </w:r>
            <w:r w:rsidRPr="00AD2E3F">
              <w:rPr>
                <w:lang w:val="de-DE"/>
              </w:rPr>
              <w:t>).</w:t>
            </w:r>
          </w:p>
        </w:tc>
      </w:tr>
      <w:tr w:rsidTr="00456E6B">
        <w:tblPrEx>
          <w:tblW w:w="5000" w:type="pct"/>
          <w:tblLayout w:type="fixed"/>
          <w:tblLook w:val="04A0"/>
        </w:tblPrEx>
        <w:tc>
          <w:tcPr>
            <w:tcW w:w="4928" w:type="dxa"/>
          </w:tcPr>
          <w:p w:rsidR="00AD2E3F" w:rsidRPr="001201FD" w:rsidP="00AD2E3F">
            <w:pPr>
              <w:pStyle w:val="CSBody63EN"/>
            </w:pPr>
            <w:r w:rsidRPr="001201FD">
              <w:t xml:space="preserve">A copy of the documents filed by Credit Suisse with the SEC may be obtained either on the SEC’s website at www.sec.gov, at the SEC’s public reference room or on the website of Credit Suisse at </w:t>
            </w:r>
            <w:r w:rsidRPr="00AD2E3F">
              <w:rPr>
                <w:b/>
                <w:color w:val="7898B3"/>
              </w:rPr>
              <w:t>www.credit-suisse.com/ch/en/about-us/investor-relations/information/financial-reports.html.</w:t>
            </w:r>
          </w:p>
        </w:tc>
        <w:tc>
          <w:tcPr>
            <w:tcW w:w="4927" w:type="dxa"/>
          </w:tcPr>
          <w:p w:rsidR="00AD2E3F" w:rsidRPr="00AD2E3F">
            <w:pPr>
              <w:pStyle w:val="CSBody63DE"/>
              <w:rPr>
                <w:lang w:val="de-DE"/>
              </w:rPr>
            </w:pPr>
            <w:r w:rsidRPr="00AD2E3F">
              <w:rPr>
                <w:lang w:val="de-DE"/>
              </w:rPr>
              <w:t>Die von der Credit Suisse bei der SEC eingereichten Dokumente sind entweder auf der Internetseite der SEC (www.sec.gov), im Lesesaal der SEC oder auf der Internetseite der Credit Suisse (</w:t>
            </w:r>
            <w:r w:rsidRPr="00AD2E3F">
              <w:rPr>
                <w:b/>
                <w:color w:val="7898B3"/>
                <w:lang w:val="de-DE"/>
              </w:rPr>
              <w:t>www.credit-suisse.com/ch/en/about-us/investor-relations/information/financial-reports.html) erhältlich</w:t>
            </w:r>
            <w:r w:rsidRPr="00AD2E3F">
              <w:rPr>
                <w:lang w:val="de-DE"/>
              </w:rPr>
              <w:t>.</w:t>
            </w:r>
          </w:p>
        </w:tc>
      </w:tr>
      <w:tr w:rsidTr="00456E6B">
        <w:tblPrEx>
          <w:tblW w:w="5000" w:type="pct"/>
          <w:tblLayout w:type="fixed"/>
          <w:tblLook w:val="04A0"/>
        </w:tblPrEx>
        <w:tc>
          <w:tcPr>
            <w:tcW w:w="4928" w:type="dxa"/>
          </w:tcPr>
          <w:p w:rsidR="00AD2E3F" w:rsidRPr="008F2B33" w:rsidP="00AD2E3F">
            <w:pPr>
              <w:pStyle w:val="CSBody63EN"/>
            </w:pPr>
            <w:r w:rsidRPr="008F2B33">
              <w:t>Information contained on the website of Credit Suisse is not, and documents filed by Credit Suisse with the SEC (unless otherwise specified in this Base Prospectus) are not, incorporated by reference into this Base Prospectus.</w:t>
            </w:r>
          </w:p>
        </w:tc>
        <w:tc>
          <w:tcPr>
            <w:tcW w:w="4927" w:type="dxa"/>
          </w:tcPr>
          <w:p w:rsidR="00AD2E3F" w:rsidRPr="00AD2E3F" w:rsidP="00832685">
            <w:pPr>
              <w:pStyle w:val="CSBody63DE"/>
              <w:rPr>
                <w:lang w:val="de-DE"/>
              </w:rPr>
            </w:pPr>
            <w:r w:rsidRPr="00AD2E3F">
              <w:rPr>
                <w:lang w:val="de-DE"/>
              </w:rPr>
              <w:t>Soweit in diesem Basisprospekt nicht etwas Anderes angegeben ist, sind weder die auf der Internetseite der Credit Suisse enthaltenen Informationen noch die von der Credit Suisse bei der SEC eingereichten Dokumente durch Verweis in diesen Basisprospekt einbezogen.</w:t>
            </w:r>
          </w:p>
        </w:tc>
      </w:tr>
      <w:tr w:rsidTr="00456E6B">
        <w:tblPrEx>
          <w:tblW w:w="5000" w:type="pct"/>
          <w:tblLayout w:type="fixed"/>
          <w:tblLook w:val="04A0"/>
        </w:tblPrEx>
        <w:tc>
          <w:tcPr>
            <w:tcW w:w="4928" w:type="dxa"/>
          </w:tcPr>
          <w:p w:rsidR="00AD2E3F" w:rsidRPr="008F2B33" w:rsidP="00AD2E3F">
            <w:pPr>
              <w:pStyle w:val="CSBody63EN"/>
            </w:pPr>
            <w:r w:rsidRPr="008F2B33">
              <w:t>Investors may obtain a copy of the "Framework Agreement for Collateral Secured Instruments" dated 23 June 2015, between SIX Swiss Exchange, SIX SIS and Credit Suisse in its original German version or as an English translation, free of charge from the head office of Credit Suisse in Zurich via telephone at: +41 44 333 21 44 or facsimile at: +41 44 333 84 03.</w:t>
            </w:r>
          </w:p>
        </w:tc>
        <w:tc>
          <w:tcPr>
            <w:tcW w:w="4927" w:type="dxa"/>
          </w:tcPr>
          <w:p w:rsidR="00AD2E3F" w:rsidRPr="00832685" w:rsidP="00832685">
            <w:pPr>
              <w:pStyle w:val="CSBody63DE"/>
              <w:rPr>
                <w:lang w:val="de-DE"/>
              </w:rPr>
            </w:pPr>
            <w:r w:rsidRPr="00AD2E3F">
              <w:rPr>
                <w:lang w:val="de-DE"/>
              </w:rPr>
              <w:t xml:space="preserve">Den Anlegern wird eine Kopie des "Rahmenvertrages für Pfandbesicherte Zertifikate" vom 23. Juni 2015 zwischen der SIX Swiss Exchange, SIX SIS und Credit Suisse in der ursprünglichen deutschen Fassung oder in englischer Übersetzung kostenlos zur Verfügung gestellt. Der Rahmenvertrag kann bezogen werden beim Hauptsitz der Credit Suisse in Zürich und kann telefonisch oder per Fax unter den folgenden Nummern angefordert werden: +41 44 333 21 44 (Telefon) bzw. </w:t>
            </w:r>
            <w:r w:rsidRPr="00832685">
              <w:rPr>
                <w:lang w:val="de-DE"/>
              </w:rPr>
              <w:t>+41 44 333 84 03 (Fax).</w:t>
            </w:r>
          </w:p>
        </w:tc>
      </w:tr>
      <w:tr w:rsidTr="00456E6B">
        <w:tblPrEx>
          <w:tblW w:w="5000" w:type="pct"/>
          <w:tblLayout w:type="fixed"/>
          <w:tblLook w:val="04A0"/>
        </w:tblPrEx>
        <w:tc>
          <w:tcPr>
            <w:tcW w:w="4928" w:type="dxa"/>
          </w:tcPr>
          <w:p w:rsidR="000D4CE4" w:rsidRPr="007E22AF" w:rsidP="00832685">
            <w:pPr>
              <w:pStyle w:val="CSBody63EN"/>
            </w:pPr>
            <w:r w:rsidRPr="007E22AF">
              <w:t>Amendments to any Terms and Conditions will be published in accordance with Section 9 of such Terms and Conditions.</w:t>
            </w:r>
          </w:p>
        </w:tc>
        <w:tc>
          <w:tcPr>
            <w:tcW w:w="4927" w:type="dxa"/>
          </w:tcPr>
          <w:p w:rsidR="000D4CE4" w:rsidRPr="000D4CE4" w:rsidP="000D4CE4">
            <w:pPr>
              <w:pStyle w:val="CSBody63DE"/>
              <w:rPr>
                <w:lang w:val="de-DE"/>
              </w:rPr>
            </w:pPr>
            <w:r w:rsidRPr="000D4CE4">
              <w:rPr>
                <w:lang w:val="de-DE"/>
              </w:rPr>
              <w:t>Änderungen der Emissionsbedingungen werden gemäss Ziffer 9 der Emissionsbedingungen veröffentlicht.</w:t>
            </w:r>
          </w:p>
        </w:tc>
      </w:tr>
      <w:tr w:rsidTr="00456E6B">
        <w:tblPrEx>
          <w:tblW w:w="5000" w:type="pct"/>
          <w:tblLayout w:type="fixed"/>
          <w:tblLook w:val="04A0"/>
        </w:tblPrEx>
        <w:tc>
          <w:tcPr>
            <w:tcW w:w="4928" w:type="dxa"/>
          </w:tcPr>
          <w:p w:rsidR="00D433E6" w:rsidRPr="00DA1AC9" w:rsidP="00D82500">
            <w:pPr>
              <w:pStyle w:val="CSNum1EN"/>
            </w:pPr>
            <w:r w:rsidRPr="00DA1AC9">
              <w:t>Cautionary statement regarding forward-looking statements</w:t>
            </w:r>
          </w:p>
        </w:tc>
        <w:tc>
          <w:tcPr>
            <w:tcW w:w="4927" w:type="dxa"/>
          </w:tcPr>
          <w:p w:rsidR="00D433E6" w:rsidP="00D82500">
            <w:pPr>
              <w:pStyle w:val="CSNum1DE"/>
            </w:pPr>
            <w:r w:rsidRPr="00B4095C">
              <w:t>Warnhinweis bezüglich zukunftsgerichteter Aussagen</w:t>
            </w:r>
          </w:p>
        </w:tc>
      </w:tr>
      <w:tr w:rsidTr="00456E6B">
        <w:tblPrEx>
          <w:tblW w:w="5000" w:type="pct"/>
          <w:tblLayout w:type="fixed"/>
          <w:tblLook w:val="04A0"/>
        </w:tblPrEx>
        <w:tc>
          <w:tcPr>
            <w:tcW w:w="4928" w:type="dxa"/>
          </w:tcPr>
          <w:p w:rsidR="00AD2E3F" w:rsidRPr="00302F8B" w:rsidP="00995EC7">
            <w:pPr>
              <w:pStyle w:val="CSBody63EN"/>
            </w:pPr>
            <w:r w:rsidRPr="00302F8B">
              <w:t>This Document contains or incorporates by reference statements that constitute forward-looking statements. In addition, in the future, Credit Suisse, and others on its behalf, may make statements that constitute forward-looking statements. Such forward-looking statements may include, without limitation, statements relating to Credit Suisse’s plans, objectives or goals; Credit Suisse’s future economic performance or prospects; the potential effect on Credit Suisse’s future performance of certain contingencies; and assumptions underlying any such statements.</w:t>
            </w:r>
          </w:p>
        </w:tc>
        <w:tc>
          <w:tcPr>
            <w:tcW w:w="4927" w:type="dxa"/>
          </w:tcPr>
          <w:p w:rsidR="00AD2E3F" w:rsidRPr="00AD2E3F" w:rsidP="00995EC7">
            <w:pPr>
              <w:pStyle w:val="CSBody63DE"/>
              <w:rPr>
                <w:lang w:val="de-DE"/>
              </w:rPr>
            </w:pPr>
            <w:r w:rsidRPr="00AD2E3F">
              <w:rPr>
                <w:lang w:val="de-DE"/>
              </w:rPr>
              <w:t>Dieses Dokument enthält zukunftsgerichtete Aussagen bzw. es sind zukunftsgerichtete Aussagen durch Verweis einbezogen. Darüber hinaus können die Credit Suisse und Dritte in deren Namen auch künftig zukunftsgerichtete Aussagen abgeben. Solche zukunftsgerichteten Aussagen können sich unter anderem auf die Pläne, Absichten oder Ziele der Credit Suisse, den künftigen wirtschaftlichen Erfolg oder die künftigen wirtschaftlichen Aussichten der Credit Suisse, die möglichen Auswirkungen des Eintritts bestimmter potenzieller Ereignisse auf den künftigen wirtschaftlichen Erfolg der Credit Suisse sowie auf die diesen Aussagen zugrunde liegenden Annahmen beziehen.</w:t>
            </w:r>
          </w:p>
        </w:tc>
      </w:tr>
      <w:tr w:rsidTr="00456E6B">
        <w:tblPrEx>
          <w:tblW w:w="5000" w:type="pct"/>
          <w:tblLayout w:type="fixed"/>
          <w:tblLook w:val="04A0"/>
        </w:tblPrEx>
        <w:tc>
          <w:tcPr>
            <w:tcW w:w="4928" w:type="dxa"/>
          </w:tcPr>
          <w:p w:rsidR="00AD2E3F" w:rsidRPr="00233121" w:rsidP="00832685">
            <w:pPr>
              <w:pStyle w:val="CSBody63EN"/>
            </w:pPr>
            <w:r w:rsidRPr="00233121">
              <w:t>Words such as "believes", "anticipates", "expects", "intends" and "plans" and similar expressions are intended to identify forward-looking statements but are not the exclusive means of identifying such statements. Credit Suisse does not intend to update these forward-looking statements except as may be required by applicable securities laws.</w:t>
            </w:r>
          </w:p>
        </w:tc>
        <w:tc>
          <w:tcPr>
            <w:tcW w:w="4927" w:type="dxa"/>
          </w:tcPr>
          <w:p w:rsidR="00AD2E3F" w:rsidRPr="00AD2E3F" w:rsidP="00832685">
            <w:pPr>
              <w:pStyle w:val="CSBody63DE"/>
              <w:rPr>
                <w:lang w:val="de-DE"/>
              </w:rPr>
            </w:pPr>
            <w:r w:rsidRPr="00AD2E3F">
              <w:rPr>
                <w:lang w:val="de-DE"/>
              </w:rPr>
              <w:t>Worte wie "glaubt", "erwartet", "geht davon aus", "beabsichtigt" und "plant" oder Ähnliches zeigen an, dass eine Aussage zukunftsgerichtet ist, sind aber nicht die einzigen Indikatoren dafür. Die Credit Suisse beabsichtigt nicht, diese zukunftsgerichteten Aussagen zu aktualisieren, es sei denn es bestehe eine gesetzliche Verpflichtung hierzu.</w:t>
            </w:r>
          </w:p>
        </w:tc>
      </w:tr>
      <w:tr w:rsidTr="00456E6B">
        <w:tblPrEx>
          <w:tblW w:w="5000" w:type="pct"/>
          <w:tblLayout w:type="fixed"/>
          <w:tblLook w:val="04A0"/>
        </w:tblPrEx>
        <w:tc>
          <w:tcPr>
            <w:tcW w:w="4928" w:type="dxa"/>
          </w:tcPr>
          <w:p w:rsidR="00AD2E3F" w:rsidRPr="00233121" w:rsidP="00995EC7">
            <w:pPr>
              <w:pStyle w:val="CSBody63EN"/>
            </w:pPr>
            <w:r w:rsidRPr="00233121">
              <w:t xml:space="preserve">By their very nature, forward-looking statements involve inherent risks and uncertainties, both general and specific, and risks exist that predictions, forecasts, projections and other outcomes described or implied in forward-looking statements will not be achieved. A number of important factors could cause results to differ materially from the plans, objectives, expectations, estimates and intentions expressed in such forward-looking statements. These factors include: (i) the ability to maintain sufficient liquidity and access capital markets; (ii) market </w:t>
            </w:r>
            <w:r w:rsidR="003E3A70">
              <w:t xml:space="preserve">volatility </w:t>
            </w:r>
            <w:r w:rsidRPr="00233121">
              <w:t xml:space="preserve">and interest rate fluctuations and </w:t>
            </w:r>
            <w:r w:rsidR="003E3A70">
              <w:t xml:space="preserve">developments affecting </w:t>
            </w:r>
            <w:r w:rsidRPr="00233121">
              <w:t xml:space="preserve">interest rate levels; (iii) the strength of the global economy in general and the strength of the economies of the countries in which Credit Suisse conducts </w:t>
            </w:r>
            <w:r w:rsidR="00995EC7">
              <w:t xml:space="preserve">its </w:t>
            </w:r>
            <w:r w:rsidRPr="00233121">
              <w:t xml:space="preserve">operations, in particular the risk of continued slow economic recovery or downturn in the U.S. or other developed countries </w:t>
            </w:r>
            <w:r w:rsidRPr="00442267">
              <w:t>in 201</w:t>
            </w:r>
            <w:r w:rsidRPr="00442267" w:rsidR="00995EC7">
              <w:t>5</w:t>
            </w:r>
            <w:r w:rsidRPr="00233121">
              <w:t xml:space="preserve"> and beyond; (iv) the direct and indirect impacts of deterioration or slow recovery in residential and commercial real estate markets; (v) adverse rating actions by credit rating agencies in respect of </w:t>
            </w:r>
            <w:r w:rsidR="003E3A70">
              <w:t xml:space="preserve">Credit Suisse, </w:t>
            </w:r>
            <w:r w:rsidRPr="00233121">
              <w:t>sovereign issuers, structured credit products or other credit</w:t>
            </w:r>
            <w:r w:rsidR="00556D08">
              <w:t xml:space="preserve"> </w:t>
            </w:r>
            <w:r w:rsidRPr="00233121">
              <w:t xml:space="preserve">related exposures; (vi) the ability of to achieve </w:t>
            </w:r>
            <w:r w:rsidRPr="00233121" w:rsidR="00995EC7">
              <w:t>Credit Suisse</w:t>
            </w:r>
            <w:r w:rsidR="00995EC7">
              <w:t>’s</w:t>
            </w:r>
            <w:r w:rsidRPr="00233121" w:rsidR="00995EC7">
              <w:t xml:space="preserve"> </w:t>
            </w:r>
            <w:r w:rsidRPr="00233121">
              <w:t xml:space="preserve">strategic objectives, including improved performance, reduced risks, lower costs and more efficient use of capital; (vii) the ability of counterparties to meet their obligations to Credit Suisse; (viii) the effects of, and changes in, fiscal, monetary, </w:t>
            </w:r>
            <w:r w:rsidR="003E3A70">
              <w:t xml:space="preserve">exchange rate, </w:t>
            </w:r>
            <w:r w:rsidRPr="00233121">
              <w:t xml:space="preserve">trade and tax policies, </w:t>
            </w:r>
            <w:r w:rsidR="008B67FA">
              <w:t>as well as</w:t>
            </w:r>
            <w:r w:rsidRPr="00233121" w:rsidR="008B67FA">
              <w:t xml:space="preserve"> </w:t>
            </w:r>
            <w:r w:rsidRPr="00233121">
              <w:t>currency fluctuations; (ix) political and</w:t>
            </w:r>
            <w:r w:rsidR="00832685">
              <w:t xml:space="preserve"> social dev</w:t>
            </w:r>
            <w:r w:rsidRPr="00233121">
              <w:t xml:space="preserve">elopments, including war, civil unrest or terrorist activity; (x) the possibility of foreign exchange controls, expropriation, nationalisation or confiscation of assets in countries in which Credit Suisse conducts </w:t>
            </w:r>
            <w:r w:rsidR="00995EC7">
              <w:t xml:space="preserve">its </w:t>
            </w:r>
            <w:r w:rsidRPr="00233121">
              <w:t>operations; (xi) operational factors such as systems failure, human error, or the failure to implement procedures properly; (xii) actions taken by regulators with respect to Credit Suisse</w:t>
            </w:r>
            <w:r w:rsidR="008B67FA">
              <w:t>’s</w:t>
            </w:r>
            <w:r w:rsidRPr="00233121">
              <w:t xml:space="preserve"> business and practices </w:t>
            </w:r>
            <w:r w:rsidR="008B67FA">
              <w:t xml:space="preserve">and possible resulting changes to </w:t>
            </w:r>
            <w:r w:rsidR="00995EC7">
              <w:t>its</w:t>
            </w:r>
            <w:r w:rsidR="008B67FA">
              <w:t xml:space="preserve"> business organisation, practices and policies in</w:t>
            </w:r>
            <w:r w:rsidRPr="00233121">
              <w:t xml:space="preserve"> countries in which </w:t>
            </w:r>
            <w:r w:rsidR="00995EC7">
              <w:t>it</w:t>
            </w:r>
            <w:r w:rsidRPr="00233121">
              <w:t xml:space="preserve"> conducts </w:t>
            </w:r>
            <w:r w:rsidR="00995EC7">
              <w:t xml:space="preserve">its </w:t>
            </w:r>
            <w:r w:rsidRPr="00233121">
              <w:t>operations; (xiii) the effects of changes in laws, regulations or accounting policies or practices</w:t>
            </w:r>
            <w:r w:rsidR="008B67FA">
              <w:t xml:space="preserve"> in countries in which </w:t>
            </w:r>
            <w:r w:rsidR="00995EC7">
              <w:t>Credit Suisse</w:t>
            </w:r>
            <w:r w:rsidR="008B67FA">
              <w:t xml:space="preserve"> condu</w:t>
            </w:r>
            <w:r w:rsidR="00995EC7">
              <w:t>c</w:t>
            </w:r>
            <w:r w:rsidR="008B67FA">
              <w:t xml:space="preserve">ts </w:t>
            </w:r>
            <w:r w:rsidR="00995EC7">
              <w:t xml:space="preserve">its </w:t>
            </w:r>
            <w:r w:rsidR="008B67FA">
              <w:t>operations</w:t>
            </w:r>
            <w:r w:rsidRPr="00233121">
              <w:t xml:space="preserve">; (xiv) competition </w:t>
            </w:r>
            <w:r w:rsidR="008B67FA">
              <w:t xml:space="preserve">or changes in Credit Suisse’s competitive position </w:t>
            </w:r>
            <w:r w:rsidRPr="00233121">
              <w:t xml:space="preserve">in geographic and business areas in which </w:t>
            </w:r>
            <w:r w:rsidR="00995EC7">
              <w:t>it</w:t>
            </w:r>
            <w:r w:rsidRPr="00233121">
              <w:t xml:space="preserve"> conducts operations; (xv) the ability to retain and recruit qualified personnel; (xvi) the ability to maintain Credit Suisse’s reputation and promote Credit Suisse’s brand; (xvii) the ability to increase market share and control expenses; (xviii) technological changes; (xix) the timely development and acceptance of Credit Suisse’s new products and services and the perceived overall value of these products and services by users; (xx) acquisitions, including the ability to integrate acquired businesses successfully, and divestitures, including the ability to sell non-core assets; (xxi) the adverse resolution of litigation</w:t>
            </w:r>
            <w:r w:rsidR="008B67FA">
              <w:t>, regulatory proceedings</w:t>
            </w:r>
            <w:r w:rsidRPr="00233121">
              <w:t xml:space="preserve"> and other contingencies; (xxii) the ability to achieve Credit Suisse</w:t>
            </w:r>
            <w:r w:rsidR="00995EC7">
              <w:t>’s</w:t>
            </w:r>
            <w:r w:rsidRPr="00233121">
              <w:t xml:space="preserve"> cost efficiency goals and cost targets; and (xxiii) Credit Suisse’s success at managing the risks involved in the foregoing.</w:t>
            </w:r>
          </w:p>
        </w:tc>
        <w:tc>
          <w:tcPr>
            <w:tcW w:w="4927" w:type="dxa"/>
          </w:tcPr>
          <w:p w:rsidR="00AD2E3F" w:rsidRPr="00AD2E3F" w:rsidP="00714D55">
            <w:pPr>
              <w:pStyle w:val="CSBody63DE"/>
              <w:rPr>
                <w:lang w:val="de-DE"/>
              </w:rPr>
            </w:pPr>
            <w:r w:rsidRPr="00AD2E3F">
              <w:rPr>
                <w:lang w:val="de-DE"/>
              </w:rPr>
              <w:t>Zukunftsgerichtete Aussagen sind naturgemäss mit allgemeinen und spezifischen Risiken und Unwägbarkeiten behaftet, und es besteht das Risiko, dass Vorhersagen, Plan- oder Hochrechnungen oder sonstige in zukunftsgerichteten Aussagen beschriebene oder implizierte Ergebnisse nicht eintreten bzw. nicht erreicht werden. Zahlreiche wichtige Faktoren könnten zu beträchtlichen Abweichungen von den in den zukunftsgerichteten Aussagen genannten Plänen, Zielen, Erwartungen, Schätzungen und Absichten führen. Dazu zählen unter anderem: (i) die Fähigkeit, in ausreichendem Mass Liquidität vorzuhalten und Zugang zu den Kapitalmärkten zu gewährleisten; (ii) Markt</w:t>
            </w:r>
            <w:r w:rsidR="008B67FA">
              <w:rPr>
                <w:lang w:val="de-DE"/>
              </w:rPr>
              <w:t>volatilität</w:t>
            </w:r>
            <w:r w:rsidRPr="00AD2E3F">
              <w:rPr>
                <w:lang w:val="de-DE"/>
              </w:rPr>
              <w:t xml:space="preserve"> und Zinsschwankungen</w:t>
            </w:r>
            <w:r w:rsidR="008B67FA">
              <w:rPr>
                <w:lang w:val="de-DE"/>
              </w:rPr>
              <w:t>sowie Entwicklungen mit Einfluss auf die Höhe der Zinssätze</w:t>
            </w:r>
            <w:r w:rsidRPr="00AD2E3F">
              <w:rPr>
                <w:lang w:val="de-DE"/>
              </w:rPr>
              <w:t xml:space="preserve">; (iii) die Stärke der Weltwirtschaft im Allgemeinen und die Stärke der Wirtschaft in den Ländern, in welchen die Credit Suisse tätig ist, und im Besonderen das Risiko eines </w:t>
            </w:r>
            <w:r w:rsidRPr="00442267">
              <w:rPr>
                <w:lang w:val="de-DE"/>
              </w:rPr>
              <w:t>auch 201</w:t>
            </w:r>
            <w:r w:rsidRPr="00442267" w:rsidR="00995EC7">
              <w:rPr>
                <w:lang w:val="de-DE"/>
              </w:rPr>
              <w:t>5</w:t>
            </w:r>
            <w:r w:rsidRPr="00AD2E3F">
              <w:rPr>
                <w:lang w:val="de-DE"/>
              </w:rPr>
              <w:t xml:space="preserve"> und darüber hinaus andauernden langsamen Wirtschaftsaufschwungs oder Wirtschaftsabschwungs in den USA oder anderen entwickelten Ländern; (iv) die direkten und indirekten Auswirkungen einer Verschlechterung oder langsamen Erholung im Markt für Wohneigentum und Geschäftsimmobilien; (v) nachteilige Ratingmassnahmen von Kreditratingagenturen in Bezug auf </w:t>
            </w:r>
            <w:r w:rsidR="008B67FA">
              <w:rPr>
                <w:lang w:val="de-DE"/>
              </w:rPr>
              <w:t xml:space="preserve">die Credit Suisse, </w:t>
            </w:r>
            <w:r w:rsidRPr="00AD2E3F">
              <w:rPr>
                <w:lang w:val="de-DE"/>
              </w:rPr>
              <w:t xml:space="preserve">staatliche Emittenten, strukturierte Kreditprodukte oder sonstige kreditbezogene Risiken; (vi) die Fähigkeit, die strategischen Ziele </w:t>
            </w:r>
            <w:r w:rsidRPr="00AD2E3F" w:rsidR="00995EC7">
              <w:rPr>
                <w:lang w:val="de-DE"/>
              </w:rPr>
              <w:t xml:space="preserve">der Credit Suisse </w:t>
            </w:r>
            <w:r w:rsidRPr="00AD2E3F">
              <w:rPr>
                <w:lang w:val="de-DE"/>
              </w:rPr>
              <w:t>zu erreichen, einschliesslich einer verbesserten Leistung, reduzierte Risiken, niedrigere Kosten und eine effizientere Nutzung des Kapitals; (vii) die Fähigkeit von Vertragspartnern, ihre Verpflichtungen gegenüber der Credit Suisse zu erfüllen; (viii) Auswirkungen</w:t>
            </w:r>
            <w:r w:rsidR="008B67FA">
              <w:rPr>
                <w:lang w:val="de-DE"/>
              </w:rPr>
              <w:t xml:space="preserve"> sowie Veränderungen finanzhaushalts-, geld-, wechselkurs-, handels- und steuerpolitischer Massnahmen sowie von Währungsschwankungen</w:t>
            </w:r>
            <w:r w:rsidRPr="00AD2E3F">
              <w:rPr>
                <w:lang w:val="de-DE"/>
              </w:rPr>
              <w:t xml:space="preserve">; (ix) politische und gesellschaftliche Entwicklungen, darunter auch Kriege, Unruhen oder terroristische Anschläge; (x) die Möglichkeit der Einführung von Devisenkontrollen oder einer Enteignung, Verstaatlichung oder Einziehung von Vermögenswerten in Ländern, in welchen die Credit Suisse tätig ist; (xi) operationelle Faktoren wie Systemausfälle, menschliches Versagen oder die nicht ordnungsgemässe Umsetzung von Prozessen; (xii) Massnahmen von Aufsichtsbehörden </w:t>
            </w:r>
            <w:r w:rsidR="008B67FA">
              <w:rPr>
                <w:lang w:val="de-DE"/>
              </w:rPr>
              <w:t xml:space="preserve">in Bezug auf </w:t>
            </w:r>
            <w:r w:rsidRPr="00AD2E3F">
              <w:rPr>
                <w:lang w:val="de-DE"/>
              </w:rPr>
              <w:t>das Geschäft und die Praktiken der Credit Suisse</w:t>
            </w:r>
            <w:r w:rsidR="008B67FA">
              <w:rPr>
                <w:lang w:val="de-DE"/>
              </w:rPr>
              <w:t xml:space="preserve"> sowie mögliche daraus resultierende Änderungen </w:t>
            </w:r>
            <w:r w:rsidR="00995EC7">
              <w:rPr>
                <w:lang w:val="de-DE"/>
              </w:rPr>
              <w:t>ihrer</w:t>
            </w:r>
            <w:r w:rsidR="008B67FA">
              <w:rPr>
                <w:lang w:val="de-DE"/>
              </w:rPr>
              <w:t xml:space="preserve"> Geschäftsorganisation, Praktiken und Richtlinien in Ländern, in denen </w:t>
            </w:r>
            <w:r w:rsidRPr="00AD2E3F">
              <w:rPr>
                <w:lang w:val="de-DE"/>
              </w:rPr>
              <w:t xml:space="preserve">die Credit Suisse tätig ist; (xiii) die Auswirkungen von Änderungen der gesetzlichen Bestimmungen oder Bilanzierungsrichtlinien oder </w:t>
            </w:r>
            <w:r w:rsidR="00CB43C0">
              <w:rPr>
                <w:lang w:val="de-DE"/>
              </w:rPr>
              <w:t>–</w:t>
            </w:r>
            <w:r w:rsidRPr="00AD2E3F">
              <w:rPr>
                <w:lang w:val="de-DE"/>
              </w:rPr>
              <w:t>praktiken</w:t>
            </w:r>
            <w:r w:rsidR="00CB43C0">
              <w:rPr>
                <w:lang w:val="de-DE"/>
              </w:rPr>
              <w:t xml:space="preserve"> in Ländern, in denen die Credit Suisse tätig ist</w:t>
            </w:r>
            <w:r w:rsidRPr="00AD2E3F">
              <w:rPr>
                <w:lang w:val="de-DE"/>
              </w:rPr>
              <w:t xml:space="preserve">; (xiv) der Wettbewerb </w:t>
            </w:r>
            <w:r w:rsidR="00CB43C0">
              <w:rPr>
                <w:lang w:val="de-DE"/>
              </w:rPr>
              <w:t xml:space="preserve">oder Veränderungen der Wettbewerbsstellung der Credit Suisse </w:t>
            </w:r>
            <w:r w:rsidRPr="00AD2E3F">
              <w:rPr>
                <w:lang w:val="de-DE"/>
              </w:rPr>
              <w:t xml:space="preserve">in Regionen oder Geschäftsbereichen, in </w:t>
            </w:r>
            <w:r w:rsidR="00CB43C0">
              <w:rPr>
                <w:lang w:val="de-DE"/>
              </w:rPr>
              <w:t>denen</w:t>
            </w:r>
            <w:r w:rsidRPr="00AD2E3F" w:rsidR="00CB43C0">
              <w:rPr>
                <w:lang w:val="de-DE"/>
              </w:rPr>
              <w:t xml:space="preserve"> </w:t>
            </w:r>
            <w:r w:rsidRPr="00AD2E3F">
              <w:rPr>
                <w:lang w:val="de-DE"/>
              </w:rPr>
              <w:t>die Credit Suisse tätig ist; (xv) die Fähigkeit, gut ausgebildete Mitarbeiter zu gewinnen und zu halten; (xvi) die Fähigkeit, den Ruf der Credit Suisse aufrechtzuerhalten und die Marke der Credit Suisse zu stärken; (xvii) die Fähigkeit zur Erhöhung von Marktanteilen und zu</w:t>
            </w:r>
            <w:r w:rsidR="00FB111C">
              <w:rPr>
                <w:lang w:val="de-DE"/>
              </w:rPr>
              <w:t>r Kostenkontrolle; (xviii) Ände</w:t>
            </w:r>
            <w:r w:rsidRPr="00AD2E3F">
              <w:rPr>
                <w:lang w:val="de-DE"/>
              </w:rPr>
              <w:t xml:space="preserve">rungen im technologischen Bereich; (xix) die rechtzeitige Entwicklung neuer Produkte und Dienstleistungen durch die Credit Suisse Gruppe und deren Akzeptanz sowie deren durch die Nutzer wahrgenommener Gesamtnutzen; (xx) Übernahmen und die Fähigkeit, übernommene Unternehmen erfolgreich zu integrieren, sowie Veräusserungen von Unternehmensteilen und die Fähigkeit, nicht zum Kerngeschäft gehörige Vermögenswerte zu veräussern; (xxi) </w:t>
            </w:r>
            <w:r w:rsidR="00CB43C0">
              <w:rPr>
                <w:lang w:val="de-DE"/>
              </w:rPr>
              <w:t>der</w:t>
            </w:r>
            <w:r w:rsidRPr="00AD2E3F" w:rsidR="00CB43C0">
              <w:rPr>
                <w:lang w:val="de-DE"/>
              </w:rPr>
              <w:t xml:space="preserve"> </w:t>
            </w:r>
            <w:r w:rsidRPr="00AD2E3F">
              <w:rPr>
                <w:lang w:val="de-DE"/>
              </w:rPr>
              <w:t>ungünstige Ausgang von Rechtsstreitigkeiten</w:t>
            </w:r>
            <w:r w:rsidR="00CB43C0">
              <w:rPr>
                <w:lang w:val="de-DE"/>
              </w:rPr>
              <w:t>, aufsichtbehördlichen Verfahren und anderen Unwägbarkeiten</w:t>
            </w:r>
            <w:r w:rsidRPr="00AD2E3F">
              <w:rPr>
                <w:lang w:val="de-DE"/>
              </w:rPr>
              <w:t>; (xxii) die Fähigkeit, die Kosteneffizienzziele der Credit Suisse sowie Kostenziele zu erreichen; und (xxiii) eine erfolgreiche Steuerung der mit dem Vorstehenden verbundenen Risiken durch die Credit Suisse.</w:t>
            </w:r>
          </w:p>
        </w:tc>
      </w:tr>
      <w:tr w:rsidTr="00456E6B">
        <w:tblPrEx>
          <w:tblW w:w="5000" w:type="pct"/>
          <w:tblLayout w:type="fixed"/>
          <w:tblLook w:val="04A0"/>
        </w:tblPrEx>
        <w:tc>
          <w:tcPr>
            <w:tcW w:w="4928" w:type="dxa"/>
          </w:tcPr>
          <w:p w:rsidR="00AD2E3F" w:rsidRPr="00691415" w:rsidP="00995EC7">
            <w:pPr>
              <w:pStyle w:val="CSBody63EN"/>
            </w:pPr>
            <w:r w:rsidRPr="00691415">
              <w:t>The foregoing list of important factors is not exclusive</w:t>
            </w:r>
            <w:r w:rsidR="00995EC7">
              <w:t>.</w:t>
            </w:r>
            <w:r w:rsidRPr="00691415">
              <w:t xml:space="preserve"> </w:t>
            </w:r>
            <w:r w:rsidR="00995EC7">
              <w:t>W</w:t>
            </w:r>
            <w:r w:rsidRPr="00691415">
              <w:t>hen evaluating forward-looking statements, investors should carefully consider the foregoing factors and other uncertainties and events, as well as the other risks identified in this Document (including any documents incorporated by reference herein).</w:t>
            </w:r>
          </w:p>
        </w:tc>
        <w:tc>
          <w:tcPr>
            <w:tcW w:w="4927" w:type="dxa"/>
          </w:tcPr>
          <w:p w:rsidR="00AD2E3F" w:rsidRPr="00AD2E3F" w:rsidP="00995EC7">
            <w:pPr>
              <w:pStyle w:val="CSBody63DE"/>
              <w:rPr>
                <w:lang w:val="de-DE"/>
              </w:rPr>
            </w:pPr>
            <w:r w:rsidRPr="00AD2E3F">
              <w:rPr>
                <w:lang w:val="de-DE"/>
              </w:rPr>
              <w:t>Die vorstehende Aufstellung wichtiger Faktoren erhebt keinen Anspruch auf Vollständigkeit</w:t>
            </w:r>
            <w:r w:rsidR="00995EC7">
              <w:rPr>
                <w:lang w:val="de-DE"/>
              </w:rPr>
              <w:t>.</w:t>
            </w:r>
            <w:r w:rsidRPr="00AD2E3F">
              <w:rPr>
                <w:lang w:val="de-DE"/>
              </w:rPr>
              <w:t xml:space="preserve"> </w:t>
            </w:r>
            <w:r w:rsidR="00995EC7">
              <w:rPr>
                <w:lang w:val="de-DE"/>
              </w:rPr>
              <w:t>B</w:t>
            </w:r>
            <w:r w:rsidRPr="00AD2E3F">
              <w:rPr>
                <w:lang w:val="de-DE"/>
              </w:rPr>
              <w:t>ei der Bewertung zukunftsgerichteter Aussagen sollten Anleger die aufgeführten Faktoren, aber auch sonstige Unwägbarkeiten und Ereignisse sowie die übrigen in diesem Dokument (und etwaigen durch Verweis einbezogenen Dokumenten) genannten Risiken sorgfältig prüfen.</w:t>
            </w:r>
          </w:p>
        </w:tc>
      </w:tr>
      <w:tr w:rsidTr="00456E6B">
        <w:tblPrEx>
          <w:tblW w:w="5000" w:type="pct"/>
          <w:tblLayout w:type="fixed"/>
          <w:tblLook w:val="04A0"/>
        </w:tblPrEx>
        <w:tc>
          <w:tcPr>
            <w:tcW w:w="4928" w:type="dxa"/>
          </w:tcPr>
          <w:p w:rsidR="00456E6B" w:rsidRPr="002B17B6" w:rsidP="00456E6B">
            <w:pPr>
              <w:pStyle w:val="CSNum1EN"/>
            </w:pPr>
            <w:r w:rsidRPr="00456E6B">
              <w:t>Consent to the use of the Base Prospectus</w:t>
            </w:r>
          </w:p>
        </w:tc>
        <w:tc>
          <w:tcPr>
            <w:tcW w:w="4927" w:type="dxa"/>
          </w:tcPr>
          <w:p w:rsidR="00456E6B" w:rsidRPr="00456E6B" w:rsidP="00456E6B">
            <w:pPr>
              <w:pStyle w:val="CSNum1DE"/>
              <w:rPr>
                <w:lang w:val="de-DE"/>
              </w:rPr>
            </w:pPr>
            <w:r w:rsidRPr="00456E6B">
              <w:rPr>
                <w:lang w:val="de-DE"/>
              </w:rPr>
              <w:t>Zustimmung zur Verwendung des Basisprospekts</w:t>
            </w:r>
          </w:p>
        </w:tc>
      </w:tr>
      <w:tr w:rsidTr="00456E6B">
        <w:tblPrEx>
          <w:tblW w:w="5000" w:type="pct"/>
          <w:tblLayout w:type="fixed"/>
          <w:tblLook w:val="04A0"/>
        </w:tblPrEx>
        <w:tc>
          <w:tcPr>
            <w:tcW w:w="4928" w:type="dxa"/>
          </w:tcPr>
          <w:p w:rsidR="00456E6B" w:rsidRPr="002B17B6" w:rsidP="00456E6B">
            <w:pPr>
              <w:pStyle w:val="CSBody63ENbold"/>
            </w:pPr>
            <w:r w:rsidRPr="002B17B6">
              <w:t>In case of an offer of Complex Products in the EEA the following information shall be inserted in the Final Terms:</w:t>
            </w:r>
          </w:p>
        </w:tc>
        <w:tc>
          <w:tcPr>
            <w:tcW w:w="4927" w:type="dxa"/>
          </w:tcPr>
          <w:p w:rsidR="00456E6B" w:rsidRPr="00456E6B" w:rsidP="00456E6B">
            <w:pPr>
              <w:pStyle w:val="CSBody63DEbold"/>
              <w:rPr>
                <w:lang w:val="de-DE"/>
              </w:rPr>
            </w:pPr>
            <w:r w:rsidRPr="00456E6B">
              <w:rPr>
                <w:lang w:val="de-DE"/>
              </w:rPr>
              <w:t>Bei einem Angebot von Komplexen Produkten im EWR werden die folgenden Informationen in den Endgültigen Bedingungen eingefügt:</w:t>
            </w:r>
          </w:p>
        </w:tc>
      </w:tr>
      <w:tr w:rsidTr="00456E6B">
        <w:tblPrEx>
          <w:tblW w:w="5000" w:type="pct"/>
          <w:tblLayout w:type="fixed"/>
          <w:tblLook w:val="04A0"/>
        </w:tblPrEx>
        <w:tc>
          <w:tcPr>
            <w:tcW w:w="4928" w:type="dxa"/>
          </w:tcPr>
          <w:p w:rsidR="00456E6B" w:rsidRPr="008A64F8" w:rsidP="00FB111C">
            <w:pPr>
              <w:pStyle w:val="CSBody63EN"/>
            </w:pPr>
            <w:r w:rsidRPr="00F94B27">
              <w:rPr>
                <w:b/>
              </w:rPr>
              <w:t>[</w:t>
            </w:r>
            <w:r w:rsidRPr="008A64F8">
              <w:t xml:space="preserve">Subject to the following conditions, the Issuer consents to the use of the Base Prospectus and these Final Terms in connection with a subsequent resale or final placement of the Complex Products by all financial intermediaries (general consent) during the time of the validity of the Base Prospectus. The Issuer accepts responsibility for the content of the Base Prospectus and these Final Terms also with respect to a subsequent resale or final placement of Complex Products by any financial intermediary which was given consent to use the Base Prospectus and these Final Terms. The general consent to use the Base Prospectus and these Final Terms is granted in respect of the subsequent resale or final placement of the Complex Products in </w:t>
            </w:r>
            <w:r w:rsidRPr="00F94B27">
              <w:rPr>
                <w:b/>
              </w:rPr>
              <w:t>[</w:t>
            </w:r>
            <w:r w:rsidRPr="008A64F8">
              <w:t>Germany</w:t>
            </w:r>
            <w:r w:rsidRPr="00F94B27">
              <w:rPr>
                <w:b/>
              </w:rPr>
              <w:t>][</w:t>
            </w:r>
            <w:r w:rsidRPr="008A64F8">
              <w:t>,</w:t>
            </w:r>
            <w:r w:rsidRPr="00F94B27">
              <w:rPr>
                <w:b/>
              </w:rPr>
              <w:t>][</w:t>
            </w:r>
            <w:r w:rsidRPr="008A64F8">
              <w:t>and</w:t>
            </w:r>
            <w:r w:rsidRPr="00F94B27">
              <w:rPr>
                <w:b/>
              </w:rPr>
              <w:t>][</w:t>
            </w:r>
            <w:r w:rsidRPr="008A64F8">
              <w:t>Austria</w:t>
            </w:r>
            <w:r w:rsidRPr="00F94B27">
              <w:rPr>
                <w:b/>
              </w:rPr>
              <w:t>][</w:t>
            </w:r>
            <w:r w:rsidRPr="008A64F8">
              <w:t>,</w:t>
            </w:r>
            <w:r w:rsidRPr="00F94B27">
              <w:rPr>
                <w:b/>
              </w:rPr>
              <w:t>][</w:t>
            </w:r>
            <w:r w:rsidRPr="008A64F8">
              <w:t>and</w:t>
            </w:r>
            <w:r w:rsidRPr="00F94B27">
              <w:rPr>
                <w:b/>
              </w:rPr>
              <w:t>][</w:t>
            </w:r>
            <w:r w:rsidRPr="008A64F8">
              <w:t>Italy</w:t>
            </w:r>
            <w:r w:rsidRPr="00F94B27">
              <w:rPr>
                <w:b/>
              </w:rPr>
              <w:t>][</w:t>
            </w:r>
            <w:r w:rsidRPr="008A64F8">
              <w:t>,</w:t>
            </w:r>
            <w:r w:rsidRPr="00F94B27">
              <w:rPr>
                <w:b/>
              </w:rPr>
              <w:t>][</w:t>
            </w:r>
            <w:r w:rsidRPr="008A64F8">
              <w:t>and</w:t>
            </w:r>
            <w:r w:rsidRPr="00F94B27">
              <w:rPr>
                <w:b/>
              </w:rPr>
              <w:t>][</w:t>
            </w:r>
            <w:r w:rsidRPr="008A64F8">
              <w:t>Liechtenstein</w:t>
            </w:r>
            <w:r w:rsidRPr="00F94B27">
              <w:rPr>
                <w:b/>
              </w:rPr>
              <w:t>][</w:t>
            </w:r>
            <w:r w:rsidRPr="008A64F8">
              <w:t>,</w:t>
            </w:r>
            <w:r w:rsidRPr="00F94B27">
              <w:rPr>
                <w:b/>
              </w:rPr>
              <w:t>][</w:t>
            </w:r>
            <w:r w:rsidRPr="008A64F8">
              <w:t>and</w:t>
            </w:r>
            <w:r w:rsidRPr="00F94B27">
              <w:rPr>
                <w:b/>
              </w:rPr>
              <w:t>][</w:t>
            </w:r>
            <w:r w:rsidRPr="008A64F8">
              <w:t>Luxembourg</w:t>
            </w:r>
            <w:r w:rsidRPr="00F94B27">
              <w:rPr>
                <w:b/>
              </w:rPr>
              <w:t>][</w:t>
            </w:r>
            <w:r w:rsidRPr="008A64F8">
              <w:t>and</w:t>
            </w:r>
            <w:r w:rsidRPr="00F94B27">
              <w:rPr>
                <w:b/>
              </w:rPr>
              <w:t>][</w:t>
            </w:r>
            <w:r w:rsidRPr="008A64F8">
              <w:t>the Netherlands</w:t>
            </w:r>
            <w:r w:rsidRPr="00F94B27">
              <w:rPr>
                <w:b/>
              </w:rPr>
              <w:t>][</w:t>
            </w:r>
            <w:r w:rsidRPr="008A64F8">
              <w:t>and</w:t>
            </w:r>
            <w:r w:rsidRPr="00F94B27">
              <w:rPr>
                <w:b/>
              </w:rPr>
              <w:t>][</w:t>
            </w:r>
            <w:r w:rsidRPr="008A64F8">
              <w:t>the United Kingdom</w:t>
            </w:r>
            <w:r w:rsidRPr="00F94B27">
              <w:rPr>
                <w:b/>
              </w:rPr>
              <w:t>]</w:t>
            </w:r>
            <w:r w:rsidRPr="008A64F8">
              <w:t>.</w:t>
            </w:r>
            <w:r w:rsidRPr="00F94B27">
              <w:rPr>
                <w:b/>
              </w:rPr>
              <w:t>]</w:t>
            </w:r>
          </w:p>
        </w:tc>
        <w:tc>
          <w:tcPr>
            <w:tcW w:w="4927" w:type="dxa"/>
          </w:tcPr>
          <w:p w:rsidR="00456E6B" w:rsidRPr="00456E6B" w:rsidP="00FB111C">
            <w:pPr>
              <w:pStyle w:val="CSBody63DE"/>
              <w:rPr>
                <w:lang w:val="de-DE"/>
              </w:rPr>
            </w:pPr>
            <w:r w:rsidRPr="00F94B27">
              <w:rPr>
                <w:b/>
                <w:lang w:val="de-DE"/>
              </w:rPr>
              <w:t>[</w:t>
            </w:r>
            <w:r w:rsidRPr="00456E6B">
              <w:rPr>
                <w:lang w:val="de-DE"/>
              </w:rPr>
              <w:t xml:space="preserve">Vorbehaltlich der nachfolgenden Bedingungen stimmt die Emittentin der Verwendung des Basisprospekts und dieser Endgültigen Bedingungen während der Gültigkeitsdauer des Basisprospekts durch sämtliche Finanzintermediäre im Zusammenhang mit einer späteren Weiterveräusserung oder endgültigen Platzierung der Komplexen Produkte zu (generelle Zustimmung). Die Emittentin übernimmt die Verantwortung für den Inhalt des Basisprospekts und dieser Endgültigen Bedingungen auch hinsichtlich einer späteren Weiterveräusserung oder endgültigen Platzierung der Komplexen Produkte durch Finanzintermediäre, die die Zustimmung zur Verwendung des Basisprospekts und dieser Endgültigen Bedingungen erhalten haben. Die generelle Zustimmung zur Verwendung des Basisprospekts und dieser Endgültigen Bedingungen wird bezüglich der späteren Weiterveräusserung oder endgültigen Platzierung der Komplexen Produkte </w:t>
            </w:r>
            <w:r w:rsidRPr="00F94B27">
              <w:rPr>
                <w:b/>
                <w:lang w:val="de-DE"/>
              </w:rPr>
              <w:t>[</w:t>
            </w:r>
            <w:r w:rsidRPr="00456E6B">
              <w:rPr>
                <w:lang w:val="de-DE"/>
              </w:rPr>
              <w:t>in</w:t>
            </w:r>
            <w:r w:rsidRPr="00F94B27">
              <w:rPr>
                <w:b/>
                <w:lang w:val="de-DE"/>
              </w:rPr>
              <w:t>]</w:t>
            </w:r>
            <w:r w:rsidRPr="00456E6B">
              <w:rPr>
                <w:lang w:val="de-DE"/>
              </w:rPr>
              <w:t xml:space="preserve"> </w:t>
            </w:r>
            <w:r w:rsidRPr="00F94B27">
              <w:rPr>
                <w:b/>
                <w:lang w:val="de-DE"/>
              </w:rPr>
              <w:t>[</w:t>
            </w:r>
            <w:r w:rsidRPr="00456E6B">
              <w:rPr>
                <w:lang w:val="de-DE"/>
              </w:rPr>
              <w:t>Deutschland</w:t>
            </w:r>
            <w:r w:rsidRPr="00F94B27">
              <w:rPr>
                <w:b/>
                <w:lang w:val="de-DE"/>
              </w:rPr>
              <w:t>][</w:t>
            </w:r>
            <w:r w:rsidRPr="00456E6B">
              <w:rPr>
                <w:lang w:val="de-DE"/>
              </w:rPr>
              <w:t>,</w:t>
            </w:r>
            <w:r w:rsidRPr="00F94B27">
              <w:rPr>
                <w:b/>
                <w:lang w:val="de-DE"/>
              </w:rPr>
              <w:t>][</w:t>
            </w:r>
            <w:r w:rsidRPr="00456E6B">
              <w:rPr>
                <w:lang w:val="de-DE"/>
              </w:rPr>
              <w:t>und</w:t>
            </w:r>
            <w:r w:rsidRPr="00F94B27">
              <w:rPr>
                <w:b/>
                <w:lang w:val="de-DE"/>
              </w:rPr>
              <w:t>][</w:t>
            </w:r>
            <w:r w:rsidRPr="00456E6B">
              <w:rPr>
                <w:lang w:val="de-DE"/>
              </w:rPr>
              <w:t>Österreich</w:t>
            </w:r>
            <w:r w:rsidRPr="00F94B27">
              <w:rPr>
                <w:b/>
                <w:lang w:val="de-DE"/>
              </w:rPr>
              <w:t>][</w:t>
            </w:r>
            <w:r w:rsidRPr="00456E6B">
              <w:rPr>
                <w:lang w:val="de-DE"/>
              </w:rPr>
              <w:t>,</w:t>
            </w:r>
            <w:r w:rsidRPr="00F94B27">
              <w:rPr>
                <w:b/>
                <w:lang w:val="de-DE"/>
              </w:rPr>
              <w:t>][</w:t>
            </w:r>
            <w:r w:rsidRPr="00456E6B">
              <w:rPr>
                <w:lang w:val="de-DE"/>
              </w:rPr>
              <w:t>und</w:t>
            </w:r>
            <w:r w:rsidRPr="00F94B27">
              <w:rPr>
                <w:b/>
                <w:lang w:val="de-DE"/>
              </w:rPr>
              <w:t>][</w:t>
            </w:r>
            <w:r w:rsidRPr="00456E6B">
              <w:rPr>
                <w:lang w:val="de-DE"/>
              </w:rPr>
              <w:t>Italien</w:t>
            </w:r>
            <w:r w:rsidRPr="00F94B27">
              <w:rPr>
                <w:b/>
                <w:lang w:val="de-DE"/>
              </w:rPr>
              <w:t>][</w:t>
            </w:r>
            <w:r w:rsidRPr="00456E6B">
              <w:rPr>
                <w:lang w:val="de-DE"/>
              </w:rPr>
              <w:t>,</w:t>
            </w:r>
            <w:r w:rsidRPr="00F94B27">
              <w:rPr>
                <w:b/>
                <w:lang w:val="de-DE"/>
              </w:rPr>
              <w:t>][</w:t>
            </w:r>
            <w:r w:rsidRPr="00456E6B">
              <w:rPr>
                <w:lang w:val="de-DE"/>
              </w:rPr>
              <w:t>und</w:t>
            </w:r>
            <w:r w:rsidRPr="00F94B27">
              <w:rPr>
                <w:b/>
                <w:lang w:val="de-DE"/>
              </w:rPr>
              <w:t>][</w:t>
            </w:r>
            <w:r w:rsidRPr="00456E6B">
              <w:rPr>
                <w:lang w:val="de-DE"/>
              </w:rPr>
              <w:t>Liechtenstein</w:t>
            </w:r>
            <w:r w:rsidRPr="00F94B27">
              <w:rPr>
                <w:b/>
                <w:lang w:val="de-DE"/>
              </w:rPr>
              <w:t>][</w:t>
            </w:r>
            <w:r w:rsidRPr="00456E6B">
              <w:rPr>
                <w:lang w:val="de-DE"/>
              </w:rPr>
              <w:t>,</w:t>
            </w:r>
            <w:r w:rsidRPr="00F94B27">
              <w:rPr>
                <w:b/>
                <w:lang w:val="de-DE"/>
              </w:rPr>
              <w:t>][</w:t>
            </w:r>
            <w:r w:rsidRPr="00456E6B">
              <w:rPr>
                <w:lang w:val="de-DE"/>
              </w:rPr>
              <w:t>und</w:t>
            </w:r>
            <w:r w:rsidRPr="00F94B27">
              <w:rPr>
                <w:b/>
                <w:lang w:val="de-DE"/>
              </w:rPr>
              <w:t>][</w:t>
            </w:r>
            <w:r w:rsidRPr="00456E6B">
              <w:rPr>
                <w:lang w:val="de-DE"/>
              </w:rPr>
              <w:t>Luxemburg</w:t>
            </w:r>
            <w:r w:rsidRPr="00F94B27">
              <w:rPr>
                <w:b/>
                <w:lang w:val="de-DE"/>
              </w:rPr>
              <w:t>][</w:t>
            </w:r>
            <w:r w:rsidRPr="00456E6B">
              <w:rPr>
                <w:lang w:val="de-DE"/>
              </w:rPr>
              <w:t>und</w:t>
            </w:r>
            <w:r w:rsidRPr="00F94B27">
              <w:rPr>
                <w:b/>
                <w:lang w:val="de-DE"/>
              </w:rPr>
              <w:t>][</w:t>
            </w:r>
            <w:r w:rsidRPr="00456E6B">
              <w:rPr>
                <w:lang w:val="de-DE"/>
              </w:rPr>
              <w:t>den Niederlanden</w:t>
            </w:r>
            <w:r w:rsidRPr="00F94B27">
              <w:rPr>
                <w:b/>
                <w:lang w:val="de-DE"/>
              </w:rPr>
              <w:t>][</w:t>
            </w:r>
            <w:r w:rsidRPr="00456E6B">
              <w:rPr>
                <w:lang w:val="de-DE"/>
              </w:rPr>
              <w:t>und</w:t>
            </w:r>
            <w:r w:rsidRPr="00F94B27">
              <w:rPr>
                <w:b/>
                <w:lang w:val="de-DE"/>
              </w:rPr>
              <w:t>][</w:t>
            </w:r>
            <w:r w:rsidRPr="00456E6B">
              <w:rPr>
                <w:lang w:val="de-DE"/>
              </w:rPr>
              <w:t>im Vereinigten Königreich</w:t>
            </w:r>
            <w:r w:rsidRPr="00F94B27">
              <w:rPr>
                <w:b/>
                <w:lang w:val="de-DE"/>
              </w:rPr>
              <w:t>]</w:t>
            </w:r>
            <w:r w:rsidRPr="00456E6B">
              <w:rPr>
                <w:lang w:val="de-DE"/>
              </w:rPr>
              <w:t xml:space="preserve"> erteilt.</w:t>
            </w:r>
            <w:r w:rsidRPr="00F94B27">
              <w:rPr>
                <w:b/>
                <w:lang w:val="de-DE"/>
              </w:rPr>
              <w:t>]</w:t>
            </w:r>
          </w:p>
        </w:tc>
      </w:tr>
      <w:tr w:rsidTr="00456E6B">
        <w:tblPrEx>
          <w:tblW w:w="5000" w:type="pct"/>
          <w:tblLayout w:type="fixed"/>
          <w:tblLook w:val="04A0"/>
        </w:tblPrEx>
        <w:tc>
          <w:tcPr>
            <w:tcW w:w="4928" w:type="dxa"/>
          </w:tcPr>
          <w:p w:rsidR="00456E6B" w:rsidRPr="008A64F8" w:rsidP="00FB111C">
            <w:pPr>
              <w:pStyle w:val="CSBody63EN"/>
            </w:pPr>
            <w:r w:rsidRPr="00F94B27">
              <w:rPr>
                <w:b/>
              </w:rPr>
              <w:t>[</w:t>
            </w:r>
            <w:r w:rsidRPr="008A64F8">
              <w:t xml:space="preserve">Subject to the following conditions, the Issuer consents to the use of the Base Prospectus and these Final Terms in connection with a subsequent resale or final placement of the Complex Products by the following financial intermediaries (individual consent) during the validity of the Base Prospectus: </w:t>
            </w:r>
            <w:r w:rsidRPr="00F94B27">
              <w:rPr>
                <w:b/>
              </w:rPr>
              <w:t>[</w:t>
            </w:r>
            <w:r w:rsidRPr="00163051">
              <w:rPr>
                <w:b/>
                <w:i/>
              </w:rPr>
              <w:t>insert name and address of such intermediaries:</w:t>
            </w:r>
            <w:r w:rsidRPr="008A64F8">
              <w:t xml:space="preserve"> </w:t>
            </w:r>
            <w:r w:rsidRPr="00F94B27">
              <w:rPr>
                <w:b/>
              </w:rPr>
              <w:t>[</w:t>
            </w:r>
            <w:r w:rsidR="003857E8">
              <w:rPr>
                <w:rFonts w:ascii="Arial" w:hAnsi="Arial" w:cs="Arial"/>
              </w:rPr>
              <w:t>●</w:t>
            </w:r>
            <w:r w:rsidRPr="00F94B27">
              <w:rPr>
                <w:b/>
              </w:rPr>
              <w:t>]]</w:t>
            </w:r>
            <w:r w:rsidRPr="008A64F8">
              <w:t xml:space="preserve">. The Issuer accepts responsibility for the content of the Base Prospectus and these Final Terms also with respect to a subsequent resale or final placement of Complex Products by any financial intermediary which was given consent to use the Base Prospectus. The individual consent to use the Base Prospectus and these Final Terms is granted in respect of the subsequent resale or final placement of the Complex Products in </w:t>
            </w:r>
            <w:r w:rsidRPr="00F94B27">
              <w:rPr>
                <w:b/>
              </w:rPr>
              <w:t>[</w:t>
            </w:r>
            <w:r w:rsidRPr="008A64F8">
              <w:t>Germany</w:t>
            </w:r>
            <w:r w:rsidRPr="00F94B27">
              <w:rPr>
                <w:b/>
              </w:rPr>
              <w:t>][</w:t>
            </w:r>
            <w:r w:rsidRPr="008A64F8">
              <w:t>,</w:t>
            </w:r>
            <w:r w:rsidRPr="00F94B27">
              <w:rPr>
                <w:b/>
              </w:rPr>
              <w:t>][</w:t>
            </w:r>
            <w:r w:rsidRPr="008A64F8">
              <w:t>and</w:t>
            </w:r>
            <w:r w:rsidRPr="00F94B27">
              <w:rPr>
                <w:b/>
              </w:rPr>
              <w:t>][</w:t>
            </w:r>
            <w:r w:rsidRPr="008A64F8">
              <w:t>Austria</w:t>
            </w:r>
            <w:r w:rsidRPr="00F94B27">
              <w:rPr>
                <w:b/>
              </w:rPr>
              <w:t>][</w:t>
            </w:r>
            <w:r w:rsidRPr="008A64F8">
              <w:t>,</w:t>
            </w:r>
            <w:r w:rsidRPr="00F94B27">
              <w:rPr>
                <w:b/>
              </w:rPr>
              <w:t>][</w:t>
            </w:r>
            <w:r w:rsidRPr="008A64F8">
              <w:t>and</w:t>
            </w:r>
            <w:r w:rsidRPr="00F94B27">
              <w:rPr>
                <w:b/>
              </w:rPr>
              <w:t>][</w:t>
            </w:r>
            <w:r w:rsidRPr="008A64F8">
              <w:t>Italy</w:t>
            </w:r>
            <w:r w:rsidRPr="00F94B27">
              <w:rPr>
                <w:b/>
              </w:rPr>
              <w:t>][</w:t>
            </w:r>
            <w:r w:rsidRPr="008A64F8">
              <w:t>,</w:t>
            </w:r>
            <w:r w:rsidRPr="00F94B27">
              <w:rPr>
                <w:b/>
              </w:rPr>
              <w:t>][</w:t>
            </w:r>
            <w:r w:rsidRPr="008A64F8">
              <w:t>and</w:t>
            </w:r>
            <w:r w:rsidRPr="00F94B27">
              <w:rPr>
                <w:b/>
              </w:rPr>
              <w:t>][</w:t>
            </w:r>
            <w:r w:rsidRPr="008A64F8">
              <w:t>Liechtenstein</w:t>
            </w:r>
            <w:r w:rsidRPr="00F94B27">
              <w:rPr>
                <w:b/>
              </w:rPr>
              <w:t>][</w:t>
            </w:r>
            <w:r w:rsidRPr="008A64F8">
              <w:t>,</w:t>
            </w:r>
            <w:r w:rsidRPr="00F94B27">
              <w:rPr>
                <w:b/>
              </w:rPr>
              <w:t>][</w:t>
            </w:r>
            <w:r w:rsidRPr="008A64F8">
              <w:t>and</w:t>
            </w:r>
            <w:r w:rsidRPr="00F94B27">
              <w:rPr>
                <w:b/>
              </w:rPr>
              <w:t>][</w:t>
            </w:r>
            <w:r w:rsidRPr="008A64F8">
              <w:t>Luxembourg</w:t>
            </w:r>
            <w:r w:rsidRPr="00F94B27">
              <w:rPr>
                <w:b/>
              </w:rPr>
              <w:t>][</w:t>
            </w:r>
            <w:r w:rsidRPr="008A64F8">
              <w:t>and</w:t>
            </w:r>
            <w:r w:rsidRPr="00F94B27">
              <w:rPr>
                <w:b/>
              </w:rPr>
              <w:t>][</w:t>
            </w:r>
            <w:r w:rsidRPr="008A64F8">
              <w:t>the Netherlands</w:t>
            </w:r>
            <w:r w:rsidRPr="00F94B27">
              <w:rPr>
                <w:b/>
              </w:rPr>
              <w:t>][</w:t>
            </w:r>
            <w:r w:rsidRPr="008A64F8">
              <w:t>and</w:t>
            </w:r>
            <w:r w:rsidRPr="00F94B27">
              <w:rPr>
                <w:b/>
              </w:rPr>
              <w:t>][</w:t>
            </w:r>
            <w:r w:rsidRPr="008A64F8">
              <w:t>the United Kingdom</w:t>
            </w:r>
            <w:r w:rsidRPr="00F94B27">
              <w:rPr>
                <w:b/>
              </w:rPr>
              <w:t>]</w:t>
            </w:r>
            <w:r w:rsidRPr="008A64F8">
              <w:t>.</w:t>
            </w:r>
            <w:r w:rsidRPr="00F94B27">
              <w:rPr>
                <w:b/>
              </w:rPr>
              <w:t>]</w:t>
            </w:r>
          </w:p>
        </w:tc>
        <w:tc>
          <w:tcPr>
            <w:tcW w:w="4927" w:type="dxa"/>
          </w:tcPr>
          <w:p w:rsidR="00456E6B" w:rsidRPr="00456E6B" w:rsidP="00FB111C">
            <w:pPr>
              <w:pStyle w:val="CSBody63DE"/>
              <w:rPr>
                <w:lang w:val="de-DE"/>
              </w:rPr>
            </w:pPr>
            <w:r w:rsidRPr="00F94B27">
              <w:rPr>
                <w:b/>
                <w:lang w:val="de-DE"/>
              </w:rPr>
              <w:t>[</w:t>
            </w:r>
            <w:r w:rsidRPr="00456E6B">
              <w:rPr>
                <w:lang w:val="de-DE"/>
              </w:rPr>
              <w:t xml:space="preserve">Vorbehaltlich der nachfolgenden Bedingungen stimmt die Emittentin der Verwendung des Basisprospekts und dieser Endgültigen Bedingungen während der Gültigkeitsdauer des Basisprospekts durch die folgenden Finanzintermediäre (individuelle Zustimmung) im Zusammenhang mit einer späteren Weiterveräusserung oder endgültigen Platzierung der Komplexen Produkte zu: </w:t>
            </w:r>
            <w:r w:rsidRPr="00F94B27">
              <w:rPr>
                <w:b/>
                <w:lang w:val="de-DE"/>
              </w:rPr>
              <w:t>[</w:t>
            </w:r>
            <w:r w:rsidRPr="00163051">
              <w:rPr>
                <w:b/>
                <w:i/>
                <w:lang w:val="de-DE"/>
              </w:rPr>
              <w:t>Name und Adresse der Finanzintermediäre einfügen:</w:t>
            </w:r>
            <w:r w:rsidRPr="00456E6B">
              <w:rPr>
                <w:lang w:val="de-DE"/>
              </w:rPr>
              <w:t xml:space="preserve"> </w:t>
            </w:r>
            <w:r w:rsidRPr="00F94B27">
              <w:rPr>
                <w:b/>
                <w:lang w:val="de-DE"/>
              </w:rPr>
              <w:t>[</w:t>
            </w:r>
            <w:r w:rsidRPr="000F4148" w:rsidR="003857E8">
              <w:rPr>
                <w:rFonts w:ascii="Arial" w:hAnsi="Arial" w:cs="Arial"/>
                <w:lang w:val="de-DE"/>
              </w:rPr>
              <w:t>●</w:t>
            </w:r>
            <w:r w:rsidRPr="00F94B27">
              <w:rPr>
                <w:b/>
                <w:lang w:val="de-DE"/>
              </w:rPr>
              <w:t>]]</w:t>
            </w:r>
            <w:r w:rsidRPr="00456E6B">
              <w:rPr>
                <w:lang w:val="de-DE"/>
              </w:rPr>
              <w:t xml:space="preserve">. Die Emittentin übernimmt die Verantwortung für den Inhalt des Basisprospekts und dieser Endgültigen Bedingungen auch hinsichtlich einer späteren Weiterveräusserung oder endgültigen Platzierung der Komplexen Produkte durch Finanzintermediäre, die die Zustimmung zur Verwendung des Basisprospekts und dieser Endgültigen Bedingungen erhalten haben. Die individuelle Zustimmung zur Verwendung des Basisprospekts und dieser Endgültigen Bedingungen wird bezüglich der späteren Weiterveräusserung oder endgültigen Platzierung der Komplexen Produkte </w:t>
            </w:r>
            <w:r w:rsidRPr="00F94B27">
              <w:rPr>
                <w:b/>
                <w:lang w:val="de-DE"/>
              </w:rPr>
              <w:t>[</w:t>
            </w:r>
            <w:r w:rsidRPr="00456E6B">
              <w:rPr>
                <w:lang w:val="de-DE"/>
              </w:rPr>
              <w:t>in</w:t>
            </w:r>
            <w:r w:rsidRPr="00F94B27">
              <w:rPr>
                <w:b/>
                <w:lang w:val="de-DE"/>
              </w:rPr>
              <w:t>]</w:t>
            </w:r>
            <w:r w:rsidRPr="00456E6B">
              <w:rPr>
                <w:lang w:val="de-DE"/>
              </w:rPr>
              <w:t xml:space="preserve"> </w:t>
            </w:r>
            <w:r w:rsidRPr="00F94B27">
              <w:rPr>
                <w:b/>
                <w:lang w:val="de-DE"/>
              </w:rPr>
              <w:t>[</w:t>
            </w:r>
            <w:r w:rsidRPr="00456E6B">
              <w:rPr>
                <w:lang w:val="de-DE"/>
              </w:rPr>
              <w:t>Deutschland</w:t>
            </w:r>
            <w:r w:rsidRPr="00F94B27">
              <w:rPr>
                <w:b/>
                <w:lang w:val="de-DE"/>
              </w:rPr>
              <w:t>][</w:t>
            </w:r>
            <w:r w:rsidRPr="00456E6B">
              <w:rPr>
                <w:lang w:val="de-DE"/>
              </w:rPr>
              <w:t>,</w:t>
            </w:r>
            <w:r w:rsidRPr="00F94B27">
              <w:rPr>
                <w:b/>
                <w:lang w:val="de-DE"/>
              </w:rPr>
              <w:t>][</w:t>
            </w:r>
            <w:r w:rsidRPr="00456E6B">
              <w:rPr>
                <w:lang w:val="de-DE"/>
              </w:rPr>
              <w:t>und</w:t>
            </w:r>
            <w:r w:rsidRPr="00F94B27">
              <w:rPr>
                <w:b/>
                <w:lang w:val="de-DE"/>
              </w:rPr>
              <w:t>][</w:t>
            </w:r>
            <w:r w:rsidRPr="00456E6B">
              <w:rPr>
                <w:lang w:val="de-DE"/>
              </w:rPr>
              <w:t>Österreich</w:t>
            </w:r>
            <w:r w:rsidRPr="00F94B27">
              <w:rPr>
                <w:b/>
                <w:lang w:val="de-DE"/>
              </w:rPr>
              <w:t>][</w:t>
            </w:r>
            <w:r w:rsidRPr="00456E6B">
              <w:rPr>
                <w:lang w:val="de-DE"/>
              </w:rPr>
              <w:t>,</w:t>
            </w:r>
            <w:r w:rsidRPr="00F94B27">
              <w:rPr>
                <w:b/>
                <w:lang w:val="de-DE"/>
              </w:rPr>
              <w:t>][</w:t>
            </w:r>
            <w:r w:rsidRPr="00456E6B">
              <w:rPr>
                <w:lang w:val="de-DE"/>
              </w:rPr>
              <w:t>und</w:t>
            </w:r>
            <w:r w:rsidRPr="00F94B27">
              <w:rPr>
                <w:b/>
                <w:lang w:val="de-DE"/>
              </w:rPr>
              <w:t>][</w:t>
            </w:r>
            <w:r w:rsidRPr="00456E6B">
              <w:rPr>
                <w:lang w:val="de-DE"/>
              </w:rPr>
              <w:t>Italien</w:t>
            </w:r>
            <w:r w:rsidRPr="00F94B27">
              <w:rPr>
                <w:b/>
                <w:lang w:val="de-DE"/>
              </w:rPr>
              <w:t>][</w:t>
            </w:r>
            <w:r w:rsidRPr="00456E6B">
              <w:rPr>
                <w:lang w:val="de-DE"/>
              </w:rPr>
              <w:t>,</w:t>
            </w:r>
            <w:r w:rsidRPr="00F94B27">
              <w:rPr>
                <w:b/>
                <w:lang w:val="de-DE"/>
              </w:rPr>
              <w:t>][</w:t>
            </w:r>
            <w:r w:rsidRPr="00456E6B">
              <w:rPr>
                <w:lang w:val="de-DE"/>
              </w:rPr>
              <w:t>und</w:t>
            </w:r>
            <w:r w:rsidRPr="00F94B27">
              <w:rPr>
                <w:b/>
                <w:lang w:val="de-DE"/>
              </w:rPr>
              <w:t>][</w:t>
            </w:r>
            <w:r w:rsidRPr="00456E6B">
              <w:rPr>
                <w:lang w:val="de-DE"/>
              </w:rPr>
              <w:t>Liechtenstein</w:t>
            </w:r>
            <w:r w:rsidRPr="00F94B27">
              <w:rPr>
                <w:b/>
                <w:lang w:val="de-DE"/>
              </w:rPr>
              <w:t>][</w:t>
            </w:r>
            <w:r w:rsidRPr="00456E6B">
              <w:rPr>
                <w:lang w:val="de-DE"/>
              </w:rPr>
              <w:t>,</w:t>
            </w:r>
            <w:r w:rsidRPr="00F94B27">
              <w:rPr>
                <w:b/>
                <w:lang w:val="de-DE"/>
              </w:rPr>
              <w:t>][</w:t>
            </w:r>
            <w:r w:rsidRPr="00456E6B">
              <w:rPr>
                <w:lang w:val="de-DE"/>
              </w:rPr>
              <w:t>und</w:t>
            </w:r>
            <w:r w:rsidRPr="00F94B27">
              <w:rPr>
                <w:b/>
                <w:lang w:val="de-DE"/>
              </w:rPr>
              <w:t>][</w:t>
            </w:r>
            <w:r w:rsidRPr="00456E6B">
              <w:rPr>
                <w:lang w:val="de-DE"/>
              </w:rPr>
              <w:t>Luxemburg</w:t>
            </w:r>
            <w:r w:rsidRPr="00F94B27">
              <w:rPr>
                <w:b/>
                <w:lang w:val="de-DE"/>
              </w:rPr>
              <w:t>][</w:t>
            </w:r>
            <w:r w:rsidRPr="00456E6B">
              <w:rPr>
                <w:lang w:val="de-DE"/>
              </w:rPr>
              <w:t>und</w:t>
            </w:r>
            <w:r w:rsidRPr="00F94B27">
              <w:rPr>
                <w:b/>
                <w:lang w:val="de-DE"/>
              </w:rPr>
              <w:t>][</w:t>
            </w:r>
            <w:r w:rsidRPr="00456E6B">
              <w:rPr>
                <w:lang w:val="de-DE"/>
              </w:rPr>
              <w:t>den Niederlanden</w:t>
            </w:r>
            <w:r w:rsidRPr="00F94B27">
              <w:rPr>
                <w:b/>
                <w:lang w:val="de-DE"/>
              </w:rPr>
              <w:t>]</w:t>
            </w:r>
            <w:r w:rsidRPr="00456E6B">
              <w:rPr>
                <w:lang w:val="de-DE"/>
              </w:rPr>
              <w:t xml:space="preserve"> </w:t>
            </w:r>
            <w:r w:rsidRPr="00F94B27">
              <w:rPr>
                <w:b/>
                <w:lang w:val="de-DE"/>
              </w:rPr>
              <w:t>[</w:t>
            </w:r>
            <w:r w:rsidRPr="00456E6B">
              <w:rPr>
                <w:lang w:val="de-DE"/>
              </w:rPr>
              <w:t>und</w:t>
            </w:r>
            <w:r w:rsidRPr="00F94B27">
              <w:rPr>
                <w:b/>
                <w:lang w:val="de-DE"/>
              </w:rPr>
              <w:t>][</w:t>
            </w:r>
            <w:r w:rsidRPr="00456E6B">
              <w:rPr>
                <w:lang w:val="de-DE"/>
              </w:rPr>
              <w:t>im Vereinigten Königreich</w:t>
            </w:r>
            <w:r w:rsidRPr="00F94B27">
              <w:rPr>
                <w:b/>
                <w:lang w:val="de-DE"/>
              </w:rPr>
              <w:t>]</w:t>
            </w:r>
            <w:r w:rsidRPr="00456E6B">
              <w:rPr>
                <w:lang w:val="de-DE"/>
              </w:rPr>
              <w:t xml:space="preserve"> erteilt.</w:t>
            </w:r>
            <w:r w:rsidRPr="00F94B27">
              <w:rPr>
                <w:b/>
                <w:lang w:val="de-DE"/>
              </w:rPr>
              <w:t>]</w:t>
            </w:r>
          </w:p>
        </w:tc>
      </w:tr>
      <w:tr w:rsidTr="00456E6B">
        <w:tblPrEx>
          <w:tblW w:w="5000" w:type="pct"/>
          <w:tblLayout w:type="fixed"/>
          <w:tblLook w:val="04A0"/>
        </w:tblPrEx>
        <w:tc>
          <w:tcPr>
            <w:tcW w:w="4928" w:type="dxa"/>
          </w:tcPr>
          <w:p w:rsidR="009D6972" w:rsidRPr="00E37A1B" w:rsidP="00FB111C">
            <w:pPr>
              <w:pStyle w:val="CSBody63EN"/>
            </w:pPr>
            <w:r w:rsidRPr="00F94B27">
              <w:rPr>
                <w:b/>
              </w:rPr>
              <w:t>[</w:t>
            </w:r>
            <w:r w:rsidRPr="00E37A1B">
              <w:t xml:space="preserve">The Issuer’s consent is subject to the fulfillment of the following additional conditions by the financial </w:t>
            </w:r>
            <w:r w:rsidRPr="00F94B27">
              <w:rPr>
                <w:b/>
              </w:rPr>
              <w:t>[</w:t>
            </w:r>
            <w:r w:rsidRPr="00E37A1B">
              <w:t>intermediary</w:t>
            </w:r>
            <w:r w:rsidRPr="00F94B27">
              <w:rPr>
                <w:b/>
              </w:rPr>
              <w:t>][</w:t>
            </w:r>
            <w:r w:rsidRPr="00E37A1B">
              <w:t>intermediaries</w:t>
            </w:r>
            <w:r w:rsidRPr="00F94B27">
              <w:rPr>
                <w:b/>
              </w:rPr>
              <w:t>]</w:t>
            </w:r>
            <w:r w:rsidRPr="00E37A1B">
              <w:t xml:space="preserve">: </w:t>
            </w:r>
            <w:r w:rsidRPr="00F94B27">
              <w:rPr>
                <w:b/>
              </w:rPr>
              <w:t>[</w:t>
            </w:r>
            <w:r w:rsidR="003857E8">
              <w:rPr>
                <w:rFonts w:ascii="Arial" w:hAnsi="Arial" w:cs="Arial"/>
              </w:rPr>
              <w:t>●</w:t>
            </w:r>
            <w:r w:rsidRPr="00F94B27">
              <w:rPr>
                <w:b/>
              </w:rPr>
              <w:t>]</w:t>
            </w:r>
            <w:r w:rsidRPr="00E37A1B">
              <w:t>.</w:t>
            </w:r>
            <w:r w:rsidRPr="00F94B27">
              <w:rPr>
                <w:b/>
              </w:rPr>
              <w:t>]</w:t>
            </w:r>
          </w:p>
        </w:tc>
        <w:tc>
          <w:tcPr>
            <w:tcW w:w="4927" w:type="dxa"/>
          </w:tcPr>
          <w:p w:rsidR="009D6972" w:rsidRPr="009D6972" w:rsidP="00FB111C">
            <w:pPr>
              <w:pStyle w:val="CSBody63DE"/>
              <w:rPr>
                <w:lang w:val="de-DE"/>
              </w:rPr>
            </w:pPr>
            <w:r w:rsidRPr="00F94B27">
              <w:rPr>
                <w:b/>
                <w:lang w:val="de-DE"/>
              </w:rPr>
              <w:t>[</w:t>
            </w:r>
            <w:r w:rsidRPr="009D6972">
              <w:rPr>
                <w:lang w:val="de-DE"/>
              </w:rPr>
              <w:t xml:space="preserve">Die Zustimmung der Emittentin gilt nur unter Einhaltung der folgenden zusätzlichen Bedingungen durch </w:t>
            </w:r>
            <w:r w:rsidRPr="00F94B27">
              <w:rPr>
                <w:b/>
                <w:lang w:val="de-DE"/>
              </w:rPr>
              <w:t>[</w:t>
            </w:r>
            <w:r w:rsidRPr="009D6972">
              <w:rPr>
                <w:lang w:val="de-DE"/>
              </w:rPr>
              <w:t>den Finanzintermediär</w:t>
            </w:r>
            <w:r w:rsidRPr="00F94B27">
              <w:rPr>
                <w:b/>
                <w:lang w:val="de-DE"/>
              </w:rPr>
              <w:t>][</w:t>
            </w:r>
            <w:r w:rsidRPr="009D6972">
              <w:rPr>
                <w:lang w:val="de-DE"/>
              </w:rPr>
              <w:t>die Finanzintermediäre</w:t>
            </w:r>
            <w:r w:rsidRPr="00F94B27">
              <w:rPr>
                <w:b/>
                <w:lang w:val="de-DE"/>
              </w:rPr>
              <w:t>]</w:t>
            </w:r>
            <w:r w:rsidRPr="009D6972">
              <w:rPr>
                <w:lang w:val="de-DE"/>
              </w:rPr>
              <w:t xml:space="preserve">: </w:t>
            </w:r>
            <w:r w:rsidRPr="00F94B27">
              <w:rPr>
                <w:b/>
                <w:lang w:val="de-DE"/>
              </w:rPr>
              <w:t>[</w:t>
            </w:r>
            <w:r w:rsidR="003857E8">
              <w:rPr>
                <w:rFonts w:ascii="Arial" w:hAnsi="Arial" w:cs="Arial"/>
                <w:lang w:val="de-DE"/>
              </w:rPr>
              <w:t>●</w:t>
            </w:r>
            <w:r w:rsidRPr="00F94B27">
              <w:rPr>
                <w:b/>
                <w:lang w:val="de-DE"/>
              </w:rPr>
              <w:t>]</w:t>
            </w:r>
            <w:r w:rsidRPr="009D6972">
              <w:rPr>
                <w:lang w:val="de-DE"/>
              </w:rPr>
              <w:t>.</w:t>
            </w:r>
            <w:r w:rsidRPr="00F94B27">
              <w:rPr>
                <w:b/>
                <w:lang w:val="de-DE"/>
              </w:rPr>
              <w:t>]</w:t>
            </w:r>
          </w:p>
        </w:tc>
      </w:tr>
      <w:tr w:rsidTr="00456E6B">
        <w:tblPrEx>
          <w:tblW w:w="5000" w:type="pct"/>
          <w:tblLayout w:type="fixed"/>
          <w:tblLook w:val="04A0"/>
        </w:tblPrEx>
        <w:tc>
          <w:tcPr>
            <w:tcW w:w="4928" w:type="dxa"/>
          </w:tcPr>
          <w:p w:rsidR="009D6972" w:rsidRPr="00E37A1B" w:rsidP="009D6972">
            <w:pPr>
              <w:pStyle w:val="CSBody63EN"/>
            </w:pPr>
            <w:r w:rsidRPr="00E37A1B">
              <w:t xml:space="preserve">The subsequent resale or final placement of the Complex Products by the financial </w:t>
            </w:r>
            <w:r w:rsidRPr="00F94B27" w:rsidR="00F94B27">
              <w:rPr>
                <w:b/>
              </w:rPr>
              <w:t>[</w:t>
            </w:r>
            <w:r w:rsidRPr="00E37A1B">
              <w:t>intermediary</w:t>
            </w:r>
            <w:r w:rsidRPr="00F94B27" w:rsidR="00F94B27">
              <w:rPr>
                <w:b/>
              </w:rPr>
              <w:t>][</w:t>
            </w:r>
            <w:r w:rsidRPr="00E37A1B">
              <w:t>intermediaries</w:t>
            </w:r>
            <w:r w:rsidRPr="00F94B27" w:rsidR="00F94B27">
              <w:rPr>
                <w:b/>
              </w:rPr>
              <w:t>]</w:t>
            </w:r>
            <w:r w:rsidRPr="00E37A1B">
              <w:t xml:space="preserve"> may take place </w:t>
            </w:r>
            <w:r w:rsidRPr="00F94B27" w:rsidR="00F94B27">
              <w:rPr>
                <w:b/>
              </w:rPr>
              <w:t>[</w:t>
            </w:r>
            <w:r w:rsidRPr="00E37A1B">
              <w:t>during the time of the validity of the Base Prospectus</w:t>
            </w:r>
            <w:r w:rsidRPr="00F94B27" w:rsidR="00F94B27">
              <w:rPr>
                <w:b/>
              </w:rPr>
              <w:t>][</w:t>
            </w:r>
            <w:r w:rsidR="003857E8">
              <w:rPr>
                <w:rFonts w:ascii="Arial" w:hAnsi="Arial" w:cs="Arial"/>
              </w:rPr>
              <w:t>●</w:t>
            </w:r>
            <w:r w:rsidRPr="00F94B27" w:rsidR="00F94B27">
              <w:rPr>
                <w:b/>
              </w:rPr>
              <w:t>]</w:t>
            </w:r>
            <w:r w:rsidRPr="00E37A1B">
              <w:t>.</w:t>
            </w:r>
            <w:r w:rsidRPr="00F94B27" w:rsidR="00F94B27">
              <w:rPr>
                <w:b/>
              </w:rPr>
              <w:t>]</w:t>
            </w:r>
          </w:p>
        </w:tc>
        <w:tc>
          <w:tcPr>
            <w:tcW w:w="4927" w:type="dxa"/>
          </w:tcPr>
          <w:p w:rsidR="009D6972" w:rsidRPr="009D6972" w:rsidP="00FB111C">
            <w:pPr>
              <w:pStyle w:val="CSBody63DE"/>
              <w:rPr>
                <w:lang w:val="de-DE"/>
              </w:rPr>
            </w:pPr>
            <w:r w:rsidRPr="009D6972">
              <w:rPr>
                <w:lang w:val="de-DE"/>
              </w:rPr>
              <w:t xml:space="preserve">Die spätere Weiterveräusserung oder endgültige Platzierung der Komplexen Produkte durch </w:t>
            </w:r>
            <w:r w:rsidRPr="00F94B27" w:rsidR="00F94B27">
              <w:rPr>
                <w:b/>
                <w:lang w:val="de-DE"/>
              </w:rPr>
              <w:t>[</w:t>
            </w:r>
            <w:r w:rsidRPr="009D6972">
              <w:rPr>
                <w:lang w:val="de-DE"/>
              </w:rPr>
              <w:t>den Finanzintermediär</w:t>
            </w:r>
            <w:r w:rsidRPr="00F94B27" w:rsidR="00F94B27">
              <w:rPr>
                <w:b/>
                <w:lang w:val="de-DE"/>
              </w:rPr>
              <w:t>][</w:t>
            </w:r>
            <w:r w:rsidRPr="009D6972">
              <w:rPr>
                <w:lang w:val="de-DE"/>
              </w:rPr>
              <w:t>die Finanzintermediäre</w:t>
            </w:r>
            <w:r w:rsidRPr="00F94B27" w:rsidR="00F94B27">
              <w:rPr>
                <w:b/>
                <w:lang w:val="de-DE"/>
              </w:rPr>
              <w:t>]</w:t>
            </w:r>
            <w:r w:rsidRPr="009D6972">
              <w:rPr>
                <w:lang w:val="de-DE"/>
              </w:rPr>
              <w:t xml:space="preserve"> kann </w:t>
            </w:r>
            <w:r w:rsidRPr="00F94B27" w:rsidR="00F94B27">
              <w:rPr>
                <w:b/>
                <w:lang w:val="de-DE"/>
              </w:rPr>
              <w:t>[</w:t>
            </w:r>
            <w:r w:rsidRPr="009D6972">
              <w:rPr>
                <w:lang w:val="de-DE"/>
              </w:rPr>
              <w:t>während der Gültigkeitsdauer des Basisprospekts</w:t>
            </w:r>
            <w:r w:rsidRPr="00F94B27" w:rsidR="00F94B27">
              <w:rPr>
                <w:b/>
                <w:lang w:val="de-DE"/>
              </w:rPr>
              <w:t>][</w:t>
            </w:r>
            <w:r w:rsidR="003857E8">
              <w:rPr>
                <w:rFonts w:ascii="Arial" w:hAnsi="Arial" w:cs="Arial"/>
                <w:lang w:val="de-DE"/>
              </w:rPr>
              <w:t>●</w:t>
            </w:r>
            <w:r w:rsidRPr="00F94B27" w:rsidR="00F94B27">
              <w:rPr>
                <w:b/>
                <w:lang w:val="de-DE"/>
              </w:rPr>
              <w:t>]</w:t>
            </w:r>
            <w:r w:rsidRPr="009D6972">
              <w:rPr>
                <w:lang w:val="de-DE"/>
              </w:rPr>
              <w:t xml:space="preserve"> erfolgen.</w:t>
            </w:r>
            <w:r w:rsidRPr="00F94B27" w:rsidR="00F94B27">
              <w:rPr>
                <w:b/>
                <w:lang w:val="de-DE"/>
              </w:rPr>
              <w:t>]</w:t>
            </w:r>
          </w:p>
        </w:tc>
      </w:tr>
      <w:tr w:rsidTr="00456E6B">
        <w:tblPrEx>
          <w:tblW w:w="5000" w:type="pct"/>
          <w:tblLayout w:type="fixed"/>
          <w:tblLook w:val="04A0"/>
        </w:tblPrEx>
        <w:tc>
          <w:tcPr>
            <w:tcW w:w="4928" w:type="dxa"/>
          </w:tcPr>
          <w:p w:rsidR="00BB6D86" w:rsidRPr="00AE35E4" w:rsidP="00FB111C">
            <w:pPr>
              <w:pStyle w:val="CSBody63ENbold"/>
            </w:pPr>
            <w:r w:rsidRPr="00AE35E4">
              <w:t>In the event that an offer of Complex Products is being made by a financial intermediary such financial intermediary shall provide information on the terms and conditions of the offer to potential investors at the time the offer is made.</w:t>
            </w:r>
          </w:p>
        </w:tc>
        <w:tc>
          <w:tcPr>
            <w:tcW w:w="4927" w:type="dxa"/>
          </w:tcPr>
          <w:p w:rsidR="00BB6D86" w:rsidRPr="00BB6D86" w:rsidP="00FB111C">
            <w:pPr>
              <w:pStyle w:val="CSBody63DEbold"/>
              <w:rPr>
                <w:lang w:val="de-DE"/>
              </w:rPr>
            </w:pPr>
            <w:r w:rsidRPr="00BB6D86">
              <w:rPr>
                <w:lang w:val="de-DE"/>
              </w:rPr>
              <w:t>Für den Fall, dass ein Finanzintermediär ein Angebot von Komplexen Produkten macht, hat dieser Finanzintermediär potenziellen Anlegern zum Zeitpunkt des Angebots Informationen über die Bedingungen des Angebots zur Verfügung zu stellen.</w:t>
            </w:r>
          </w:p>
        </w:tc>
      </w:tr>
      <w:tr w:rsidTr="00456E6B">
        <w:tblPrEx>
          <w:tblW w:w="5000" w:type="pct"/>
          <w:tblLayout w:type="fixed"/>
          <w:tblLook w:val="04A0"/>
        </w:tblPrEx>
        <w:tc>
          <w:tcPr>
            <w:tcW w:w="4928" w:type="dxa"/>
          </w:tcPr>
          <w:p w:rsidR="00BB6D86" w:rsidRPr="00AE35E4" w:rsidP="00FB111C">
            <w:pPr>
              <w:pStyle w:val="CSBody63ENbold"/>
            </w:pPr>
            <w:r w:rsidRPr="00F94B27">
              <w:t>[</w:t>
            </w:r>
            <w:r w:rsidRPr="003E15CF">
              <w:rPr>
                <w:i/>
              </w:rPr>
              <w:t>If the applicable Final Terms provide for a consent of the Issuer to the use of the Base Prospectus and the applicable Final Terms by all financial intermediaries (general consent), insert:</w:t>
            </w:r>
            <w:r w:rsidRPr="00AE35E4">
              <w:t xml:space="preserve"> Each financial intermediary shall publish on its website a statement to the effect that it uses the Base Prospectus and these Final Terms with the consent of the Issuer and in accordance with the conditions applying to such consent.</w:t>
            </w:r>
            <w:r w:rsidRPr="00F94B27">
              <w:t>]</w:t>
            </w:r>
          </w:p>
        </w:tc>
        <w:tc>
          <w:tcPr>
            <w:tcW w:w="4927" w:type="dxa"/>
          </w:tcPr>
          <w:p w:rsidR="00BB6D86" w:rsidRPr="00BB6D86" w:rsidP="00BB6D86">
            <w:pPr>
              <w:pStyle w:val="CSBody63DEbold"/>
              <w:rPr>
                <w:lang w:val="de-DE"/>
              </w:rPr>
            </w:pPr>
            <w:r w:rsidRPr="00F94B27">
              <w:rPr>
                <w:lang w:val="de-DE"/>
              </w:rPr>
              <w:t>[</w:t>
            </w:r>
            <w:r w:rsidRPr="00BB6D86">
              <w:rPr>
                <w:i/>
                <w:lang w:val="de-DE"/>
              </w:rPr>
              <w:t>Falls die anwendbaren Endgültigen Bedingungen eine Zustimmung der Emittentin zur Verwendung des Basisprospekts und der anwendbaren Endgültigen Bedingungen gegenüber sämtlichen Finanzintermediären vorsehen (generelle Zustimmung), einfügen:</w:t>
            </w:r>
            <w:r w:rsidRPr="00BB6D86">
              <w:rPr>
                <w:lang w:val="de-DE"/>
              </w:rPr>
              <w:t xml:space="preserve"> Jeder Finanzintermediär hat auf seiner Website eine Erklärung des Inhalts zu veröffentlichen, dass er den Basisprospekt und diese Endgültigen Bedingungen mit Zustimmung der Emittentin und in Übereinstimmung mit den für diese Zustimmung geltenden Bedingungen verwendet.</w:t>
            </w:r>
            <w:r w:rsidRPr="00F94B27">
              <w:rPr>
                <w:lang w:val="de-DE"/>
              </w:rPr>
              <w:t>]</w:t>
            </w:r>
          </w:p>
        </w:tc>
      </w:tr>
      <w:tr w:rsidTr="00456E6B">
        <w:tblPrEx>
          <w:tblW w:w="5000" w:type="pct"/>
          <w:tblLayout w:type="fixed"/>
          <w:tblLook w:val="04A0"/>
        </w:tblPrEx>
        <w:tc>
          <w:tcPr>
            <w:tcW w:w="4928" w:type="dxa"/>
          </w:tcPr>
          <w:p w:rsidR="00BB6D86" w:rsidRPr="00AE35E4" w:rsidP="00FB111C">
            <w:pPr>
              <w:pStyle w:val="CSBody63ENbold"/>
            </w:pPr>
            <w:r w:rsidRPr="00F94B27">
              <w:t>[</w:t>
            </w:r>
            <w:r w:rsidRPr="003E15CF">
              <w:rPr>
                <w:i/>
              </w:rPr>
              <w:t>If the applicable Final Terms provide for a consent of the Issuer to the use of the Base Prospectus by one or several financial intermediaries and the applicable Final Terms (individual consent), insert:</w:t>
            </w:r>
            <w:r w:rsidRPr="00AE35E4">
              <w:t xml:space="preserve"> Any new information regarding financial intermediaries unknown at the time of approval of the Base Prospectus or the filing of these Final Terms, as the case may be, will be published on the following website: </w:t>
            </w:r>
            <w:r w:rsidRPr="003E15CF">
              <w:rPr>
                <w:color w:val="7898B3"/>
              </w:rPr>
              <w:t>www.credit-suisse.com</w:t>
            </w:r>
            <w:r w:rsidR="003E1C85">
              <w:rPr>
                <w:color w:val="7898B3"/>
              </w:rPr>
              <w:t>/derivatives</w:t>
            </w:r>
            <w:r w:rsidRPr="00AE35E4">
              <w:t>.</w:t>
            </w:r>
            <w:r w:rsidRPr="00F94B27">
              <w:t>]]</w:t>
            </w:r>
          </w:p>
        </w:tc>
        <w:tc>
          <w:tcPr>
            <w:tcW w:w="4927" w:type="dxa"/>
          </w:tcPr>
          <w:p w:rsidR="00BB6D86" w:rsidRPr="00BB6D86" w:rsidP="00BB6D86">
            <w:pPr>
              <w:pStyle w:val="CSBody63DEbold"/>
              <w:rPr>
                <w:lang w:val="de-DE"/>
              </w:rPr>
            </w:pPr>
            <w:r w:rsidRPr="00F94B27">
              <w:rPr>
                <w:lang w:val="de-DE"/>
              </w:rPr>
              <w:t>[</w:t>
            </w:r>
            <w:r w:rsidRPr="003E15CF">
              <w:rPr>
                <w:i/>
                <w:lang w:val="de-DE"/>
              </w:rPr>
              <w:t>Falls die anwendbaren Endgültigen Bedingungen eine Zustimmung der Emittentin zur Verwendung des Basisprospekts und der anwendbaren Endgültigen Bedingungen gegenüber einem oder mehreren Finanzintermediären vorsehen (individuelle Zustimmung), einfügen:</w:t>
            </w:r>
            <w:r w:rsidRPr="00BB6D86">
              <w:rPr>
                <w:lang w:val="de-DE"/>
              </w:rPr>
              <w:t xml:space="preserve"> Jede neue Information zu Finanzintermediären, die zum Zeitpunkt der Billigung des Basisprospekts bzw. der Hinterlegung dieser Endgültigen Bedingungen nicht bekannt war, wird auf der folgenden Website veröffentlicht: </w:t>
            </w:r>
            <w:r w:rsidRPr="003E15CF">
              <w:rPr>
                <w:color w:val="7898B3"/>
                <w:lang w:val="de-DE"/>
              </w:rPr>
              <w:t>www.credit-suisse.com</w:t>
            </w:r>
            <w:r w:rsidR="003E1C85">
              <w:rPr>
                <w:color w:val="7898B3"/>
                <w:lang w:val="de-DE"/>
              </w:rPr>
              <w:t>/derivatives</w:t>
            </w:r>
            <w:r w:rsidRPr="00BB6D86">
              <w:rPr>
                <w:lang w:val="de-DE"/>
              </w:rPr>
              <w:t>.</w:t>
            </w:r>
            <w:r w:rsidRPr="00F94B27">
              <w:rPr>
                <w:lang w:val="de-DE"/>
              </w:rPr>
              <w:t>]]</w:t>
            </w:r>
          </w:p>
        </w:tc>
      </w:tr>
    </w:tbl>
    <w:p w:rsidR="00D71AF2" w:rsidRPr="00AD2E3F" w:rsidP="00D71AF2">
      <w:pPr>
        <w:pStyle w:val="CSBody0"/>
        <w:rPr>
          <w:lang w:val="de-DE"/>
        </w:rPr>
      </w:pPr>
    </w:p>
    <w:p w:rsidR="00D71AF2" w:rsidRPr="00AD2E3F" w:rsidP="00D71AF2">
      <w:pPr>
        <w:pStyle w:val="CSBody0"/>
        <w:rPr>
          <w:lang w:val="de-DE"/>
        </w:rPr>
      </w:pPr>
    </w:p>
    <w:p w:rsidR="00D71AF2" w:rsidRPr="00AD2E3F" w:rsidP="00D71AF2">
      <w:pPr>
        <w:pStyle w:val="CSBody0"/>
        <w:rPr>
          <w:lang w:val="de-DE"/>
        </w:rPr>
        <w:sectPr w:rsidSect="00E22A75">
          <w:headerReference w:type="default" r:id="rId19"/>
          <w:footerReference w:type="default" r:id="rId20"/>
          <w:headerReference w:type="first" r:id="rId21"/>
          <w:footerReference w:type="first" r:id="rId22"/>
          <w:pgSz w:w="11907" w:h="16839"/>
          <w:pgMar w:top="1440" w:right="1134" w:bottom="1440" w:left="1134" w:header="720" w:footer="720" w:gutter="0"/>
          <w:cols w:space="708"/>
          <w:docGrid w:linePitch="360"/>
        </w:sectPr>
      </w:pPr>
    </w:p>
    <w:tbl>
      <w:tblPr>
        <w:tblStyle w:val="TableGrid"/>
        <w:tblW w:w="5000" w:type="pct"/>
        <w:tblBorders>
          <w:top w:val="nil"/>
          <w:left w:val="nil"/>
          <w:bottom w:val="nil"/>
          <w:right w:val="nil"/>
          <w:insideH w:val="nil"/>
        </w:tblBorders>
        <w:tblLook w:val="04A0"/>
      </w:tblPr>
      <w:tblGrid>
        <w:gridCol w:w="4927"/>
        <w:gridCol w:w="4928"/>
      </w:tblGrid>
      <w:tr w:rsidTr="0025745A">
        <w:tblPrEx>
          <w:tblW w:w="5000" w:type="pct"/>
          <w:tblBorders>
            <w:top w:val="nil"/>
            <w:left w:val="nil"/>
            <w:bottom w:val="nil"/>
            <w:right w:val="nil"/>
            <w:insideH w:val="nil"/>
          </w:tblBorders>
          <w:tblLook w:val="04A0"/>
        </w:tblPrEx>
        <w:tc>
          <w:tcPr>
            <w:tcW w:w="4927" w:type="dxa"/>
          </w:tcPr>
          <w:p w:rsidR="00D71AF2" w:rsidRPr="00D0775E" w:rsidP="00D82500">
            <w:pPr>
              <w:pStyle w:val="CSHeading1EN"/>
            </w:pPr>
            <w:bookmarkStart w:id="43" w:name="_Toc438227518"/>
            <w:r w:rsidRPr="00D0775E">
              <w:t>FORM OF FINAL TERMS</w:t>
            </w:r>
            <w:bookmarkEnd w:id="43"/>
          </w:p>
        </w:tc>
        <w:tc>
          <w:tcPr>
            <w:tcW w:w="4928" w:type="dxa"/>
          </w:tcPr>
          <w:p w:rsidR="00D71AF2" w:rsidP="00D82500">
            <w:pPr>
              <w:pStyle w:val="CSHeading1DE"/>
            </w:pPr>
            <w:bookmarkStart w:id="44" w:name="_Toc438160266"/>
            <w:r w:rsidRPr="00D0775E">
              <w:t>MUSTER DER ENDGÜLTIGEN BEDINGUNGEN</w:t>
            </w:r>
            <w:bookmarkEnd w:id="44"/>
          </w:p>
        </w:tc>
      </w:tr>
      <w:tr w:rsidTr="0025745A">
        <w:tblPrEx>
          <w:tblW w:w="5000" w:type="pct"/>
          <w:tblLook w:val="04A0"/>
        </w:tblPrEx>
        <w:tc>
          <w:tcPr>
            <w:tcW w:w="4927" w:type="dxa"/>
          </w:tcPr>
          <w:p w:rsidR="0025745A" w:rsidRPr="004B2658" w:rsidP="004B2658">
            <w:pPr>
              <w:pStyle w:val="CSbody0bold"/>
              <w:rPr>
                <w:lang w:val="en-GB"/>
              </w:rPr>
            </w:pPr>
            <w:r w:rsidRPr="004B2658">
              <w:rPr>
                <w:lang w:val="en-GB"/>
              </w:rPr>
              <w:t xml:space="preserve">Final Terms for the issuance of </w:t>
            </w:r>
            <w:r w:rsidRPr="00F94B27" w:rsidR="00F94B27">
              <w:rPr>
                <w:lang w:val="en-GB"/>
              </w:rPr>
              <w:t>[</w:t>
            </w:r>
            <w:r w:rsidRPr="004B2658">
              <w:rPr>
                <w:i/>
                <w:lang w:val="en-GB"/>
              </w:rPr>
              <w:t>insert technical name for the fixed income product to be issued:</w:t>
            </w:r>
            <w:r w:rsidRPr="004B2658">
              <w:rPr>
                <w:lang w:val="en-GB"/>
              </w:rPr>
              <w:t xml:space="preserve"> </w:t>
            </w:r>
            <w:r w:rsidRPr="00F94B27" w:rsidR="00F94B27">
              <w:rPr>
                <w:lang w:val="en-GB"/>
              </w:rPr>
              <w:t>[</w:t>
            </w:r>
            <w:r w:rsidRPr="000F4148" w:rsidR="003857E8">
              <w:rPr>
                <w:rFonts w:ascii="Arial" w:hAnsi="Arial" w:cs="Arial"/>
                <w:lang w:val="en-GB"/>
              </w:rPr>
              <w:t>●</w:t>
            </w:r>
            <w:r w:rsidRPr="00F94B27" w:rsidR="00F94B27">
              <w:rPr>
                <w:lang w:val="en-GB"/>
              </w:rPr>
              <w:t>]]</w:t>
            </w:r>
            <w:r w:rsidRPr="004B2658">
              <w:rPr>
                <w:lang w:val="en-GB"/>
              </w:rPr>
              <w:t xml:space="preserve"> </w:t>
            </w:r>
          </w:p>
        </w:tc>
        <w:tc>
          <w:tcPr>
            <w:tcW w:w="4928" w:type="dxa"/>
          </w:tcPr>
          <w:p w:rsidR="0025745A" w:rsidRPr="0025745A" w:rsidP="00FB111C">
            <w:pPr>
              <w:pStyle w:val="CSbody0bold"/>
            </w:pPr>
            <w:r w:rsidRPr="0025745A">
              <w:t xml:space="preserve">Endgültige Bedingungen für die Emission von </w:t>
            </w:r>
            <w:r w:rsidRPr="00F94B27" w:rsidR="00F94B27">
              <w:t>[</w:t>
            </w:r>
            <w:r w:rsidRPr="004B2658">
              <w:rPr>
                <w:i/>
              </w:rPr>
              <w:t>technische Bezeichnung des zu emittierenden Fixed-Income-Produkts einfügen:</w:t>
            </w:r>
            <w:r w:rsidRPr="0025745A">
              <w:t xml:space="preserve"> </w:t>
            </w:r>
            <w:r w:rsidRPr="00F94B27" w:rsidR="00F94B27">
              <w:t>[</w:t>
            </w:r>
            <w:r w:rsidR="003857E8">
              <w:rPr>
                <w:rFonts w:ascii="Arial" w:hAnsi="Arial" w:cs="Arial"/>
              </w:rPr>
              <w:t>●</w:t>
            </w:r>
            <w:r w:rsidRPr="00F94B27" w:rsidR="00F94B27">
              <w:t>]]</w:t>
            </w:r>
          </w:p>
        </w:tc>
      </w:tr>
      <w:tr w:rsidTr="0025745A">
        <w:tblPrEx>
          <w:tblW w:w="5000" w:type="pct"/>
          <w:tblLook w:val="04A0"/>
        </w:tblPrEx>
        <w:tc>
          <w:tcPr>
            <w:tcW w:w="4927" w:type="dxa"/>
          </w:tcPr>
          <w:p w:rsidR="0025745A" w:rsidRPr="007830D9" w:rsidP="00714D55">
            <w:pPr>
              <w:pStyle w:val="CSBody0"/>
            </w:pPr>
            <w:r w:rsidRPr="007830D9">
              <w:t>This document (this "</w:t>
            </w:r>
            <w:r w:rsidRPr="004B2658">
              <w:rPr>
                <w:b/>
              </w:rPr>
              <w:t>Document</w:t>
            </w:r>
            <w:r w:rsidRPr="007830D9">
              <w:t>" or the "</w:t>
            </w:r>
            <w:r w:rsidRPr="004B2658">
              <w:rPr>
                <w:b/>
              </w:rPr>
              <w:t>Final Terms</w:t>
            </w:r>
            <w:r w:rsidRPr="007830D9">
              <w:t>") constitutes the Final Terms for the fixed income products listed above (the "</w:t>
            </w:r>
            <w:r w:rsidRPr="004B2658">
              <w:rPr>
                <w:b/>
              </w:rPr>
              <w:t>Complex Products</w:t>
            </w:r>
            <w:r w:rsidRPr="007830D9">
              <w:t xml:space="preserve">") </w:t>
            </w:r>
            <w:r w:rsidRPr="00F94B27" w:rsidR="00F94B27">
              <w:rPr>
                <w:b/>
              </w:rPr>
              <w:t>[</w:t>
            </w:r>
            <w:r w:rsidRPr="004B2658">
              <w:rPr>
                <w:b/>
                <w:i/>
              </w:rPr>
              <w:t>insert in case of a public offer in the EEA:</w:t>
            </w:r>
            <w:r w:rsidRPr="007830D9">
              <w:t xml:space="preserve"> within the meaning of art. 22 (4) of the Commission Regulation (EC) No. 809|2004 as amended, and </w:t>
            </w:r>
            <w:r w:rsidR="00674A5A">
              <w:t>§ </w:t>
            </w:r>
            <w:r w:rsidRPr="007830D9">
              <w:t>6 (3) of the German Securities Prospectus Act (</w:t>
            </w:r>
            <w:r w:rsidRPr="00FB111C">
              <w:rPr>
                <w:i/>
              </w:rPr>
              <w:t>Wertpapierprospektgesetz</w:t>
            </w:r>
            <w:r w:rsidRPr="007830D9">
              <w:t>, "</w:t>
            </w:r>
            <w:r w:rsidRPr="004B2658">
              <w:rPr>
                <w:b/>
              </w:rPr>
              <w:t>WpPG</w:t>
            </w:r>
            <w:r w:rsidRPr="007830D9">
              <w:t>")</w:t>
            </w:r>
            <w:r w:rsidRPr="00F94B27" w:rsidR="00F94B27">
              <w:rPr>
                <w:b/>
              </w:rPr>
              <w:t>]</w:t>
            </w:r>
            <w:r w:rsidRPr="007830D9">
              <w:t xml:space="preserve"> to the Base Prospectus for the issuance of Fixed Income Products of Credit Suisse AG (</w:t>
            </w:r>
            <w:r w:rsidRPr="00F94B27" w:rsidR="00F94B27">
              <w:rPr>
                <w:b/>
              </w:rPr>
              <w:t>[</w:t>
            </w:r>
            <w:r w:rsidRPr="007830D9">
              <w:t>English</w:t>
            </w:r>
            <w:r w:rsidRPr="00F94B27" w:rsidR="00F94B27">
              <w:rPr>
                <w:b/>
              </w:rPr>
              <w:t>][</w:t>
            </w:r>
            <w:r w:rsidRPr="007830D9">
              <w:t>German</w:t>
            </w:r>
            <w:r w:rsidRPr="00F94B27" w:rsidR="00F94B27">
              <w:rPr>
                <w:b/>
              </w:rPr>
              <w:t>]</w:t>
            </w:r>
            <w:r w:rsidRPr="007830D9">
              <w:t xml:space="preserve"> language version) dated</w:t>
            </w:r>
            <w:r w:rsidR="009C405B">
              <w:t xml:space="preserve"> 21</w:t>
            </w:r>
            <w:r w:rsidRPr="007830D9" w:rsidR="006E3537">
              <w:t xml:space="preserve"> </w:t>
            </w:r>
            <w:r w:rsidR="005A78B7">
              <w:t>December</w:t>
            </w:r>
            <w:r w:rsidRPr="007830D9">
              <w:t xml:space="preserve"> 2015</w:t>
            </w:r>
            <w:r w:rsidRPr="00F94B27" w:rsidR="00F94B27">
              <w:rPr>
                <w:b/>
              </w:rPr>
              <w:t>[</w:t>
            </w:r>
            <w:r w:rsidRPr="007830D9">
              <w:t xml:space="preserve">, as last amended by supplement No. </w:t>
            </w:r>
            <w:r w:rsidRPr="00F94B27" w:rsidR="00F94B27">
              <w:rPr>
                <w:b/>
              </w:rPr>
              <w:t>[</w:t>
            </w:r>
            <w:r w:rsidR="003857E8">
              <w:rPr>
                <w:rFonts w:ascii="Arial" w:hAnsi="Arial" w:cs="Arial"/>
              </w:rPr>
              <w:t>●</w:t>
            </w:r>
            <w:r w:rsidRPr="00F94B27" w:rsidR="00F94B27">
              <w:rPr>
                <w:b/>
              </w:rPr>
              <w:t>]</w:t>
            </w:r>
            <w:r w:rsidRPr="007830D9">
              <w:t xml:space="preserve"> dated </w:t>
            </w:r>
            <w:r w:rsidRPr="00F94B27" w:rsidR="00F94B27">
              <w:rPr>
                <w:b/>
              </w:rPr>
              <w:t>[</w:t>
            </w:r>
            <w:r w:rsidR="003857E8">
              <w:rPr>
                <w:rFonts w:ascii="Arial" w:hAnsi="Arial" w:cs="Arial"/>
              </w:rPr>
              <w:t>●</w:t>
            </w:r>
            <w:r w:rsidRPr="00F94B27" w:rsidR="00F94B27">
              <w:rPr>
                <w:b/>
              </w:rPr>
              <w:t>]]</w:t>
            </w:r>
            <w:r w:rsidRPr="007830D9">
              <w:t xml:space="preserve"> (the "</w:t>
            </w:r>
            <w:r w:rsidRPr="004B2658">
              <w:rPr>
                <w:b/>
              </w:rPr>
              <w:t>Base Prospectus</w:t>
            </w:r>
            <w:r w:rsidRPr="007830D9">
              <w:t>").</w:t>
            </w:r>
          </w:p>
        </w:tc>
        <w:tc>
          <w:tcPr>
            <w:tcW w:w="4928" w:type="dxa"/>
          </w:tcPr>
          <w:p w:rsidR="0025745A" w:rsidRPr="0025745A" w:rsidP="00714D55">
            <w:pPr>
              <w:pStyle w:val="CSBody0"/>
              <w:rPr>
                <w:lang w:val="de-DE"/>
              </w:rPr>
            </w:pPr>
            <w:r w:rsidRPr="0025745A">
              <w:rPr>
                <w:lang w:val="de-DE"/>
              </w:rPr>
              <w:t>Dieses Dokument (das "</w:t>
            </w:r>
            <w:r w:rsidRPr="004B2658">
              <w:rPr>
                <w:b/>
                <w:lang w:val="de-DE"/>
              </w:rPr>
              <w:t>Dokument</w:t>
            </w:r>
            <w:r w:rsidRPr="0025745A">
              <w:rPr>
                <w:lang w:val="de-DE"/>
              </w:rPr>
              <w:t>" oder die "</w:t>
            </w:r>
            <w:r w:rsidRPr="004B2658">
              <w:rPr>
                <w:b/>
                <w:lang w:val="de-DE"/>
              </w:rPr>
              <w:t>Endgültigen Bedingungen</w:t>
            </w:r>
            <w:r w:rsidRPr="0025745A">
              <w:rPr>
                <w:lang w:val="de-DE"/>
              </w:rPr>
              <w:t>") stellt die Endgültigen Bedingungen für die vorstehend aufgeführten Fixed-Income-Produkte (die "</w:t>
            </w:r>
            <w:r w:rsidRPr="004B2658">
              <w:rPr>
                <w:b/>
                <w:lang w:val="de-DE"/>
              </w:rPr>
              <w:t>Komplexen Produkte</w:t>
            </w:r>
            <w:r w:rsidRPr="0025745A">
              <w:rPr>
                <w:lang w:val="de-DE"/>
              </w:rPr>
              <w:t xml:space="preserve">") </w:t>
            </w:r>
            <w:r w:rsidRPr="00F94B27" w:rsidR="00F94B27">
              <w:rPr>
                <w:b/>
                <w:lang w:val="de-DE"/>
              </w:rPr>
              <w:t>[</w:t>
            </w:r>
            <w:r w:rsidRPr="004B2658">
              <w:rPr>
                <w:b/>
                <w:i/>
                <w:lang w:val="de-DE"/>
              </w:rPr>
              <w:t>bei einem öffentlichen Angebot im EWR-Raum einfügen:</w:t>
            </w:r>
            <w:r w:rsidRPr="0025745A">
              <w:rPr>
                <w:lang w:val="de-DE"/>
              </w:rPr>
              <w:t xml:space="preserve"> im Sinne von Art.</w:t>
            </w:r>
            <w:r w:rsidR="004B2658">
              <w:rPr>
                <w:lang w:val="de-DE"/>
              </w:rPr>
              <w:t> </w:t>
            </w:r>
            <w:r w:rsidRPr="0025745A">
              <w:rPr>
                <w:lang w:val="de-DE"/>
              </w:rPr>
              <w:t xml:space="preserve">22 (4) der Verordnung (EG) Nr. 809|2004 der Kommission in der jeweils geltenden Fassung und </w:t>
            </w:r>
            <w:r w:rsidR="00674A5A">
              <w:rPr>
                <w:lang w:val="de-DE"/>
              </w:rPr>
              <w:t>§ </w:t>
            </w:r>
            <w:r w:rsidRPr="0025745A">
              <w:rPr>
                <w:lang w:val="de-DE"/>
              </w:rPr>
              <w:t>6</w:t>
            </w:r>
            <w:r w:rsidR="004B2658">
              <w:rPr>
                <w:lang w:val="de-DE"/>
              </w:rPr>
              <w:t> </w:t>
            </w:r>
            <w:r w:rsidRPr="0025745A">
              <w:rPr>
                <w:lang w:val="de-DE"/>
              </w:rPr>
              <w:t>Abs. 3 des deutschen Wertpapierprospektgesetzes ("</w:t>
            </w:r>
            <w:r w:rsidRPr="004B2658">
              <w:rPr>
                <w:b/>
                <w:lang w:val="de-DE"/>
              </w:rPr>
              <w:t>WpPG</w:t>
            </w:r>
            <w:r w:rsidRPr="0025745A">
              <w:rPr>
                <w:lang w:val="de-DE"/>
              </w:rPr>
              <w:t>")</w:t>
            </w:r>
            <w:r w:rsidRPr="00F94B27" w:rsidR="00F94B27">
              <w:rPr>
                <w:b/>
                <w:lang w:val="de-DE"/>
              </w:rPr>
              <w:t>]</w:t>
            </w:r>
            <w:r w:rsidRPr="0025745A">
              <w:rPr>
                <w:lang w:val="de-DE"/>
              </w:rPr>
              <w:t xml:space="preserve"> zum Basisprospekt für die Emission von Fixed-Income-Produkten der Credit Suisse AG (</w:t>
            </w:r>
            <w:r w:rsidRPr="00F94B27" w:rsidR="00F94B27">
              <w:rPr>
                <w:b/>
                <w:lang w:val="de-DE"/>
              </w:rPr>
              <w:t>[</w:t>
            </w:r>
            <w:r w:rsidRPr="0025745A">
              <w:rPr>
                <w:lang w:val="de-DE"/>
              </w:rPr>
              <w:t>englischsprachige</w:t>
            </w:r>
            <w:r w:rsidRPr="00F94B27" w:rsidR="00F94B27">
              <w:rPr>
                <w:b/>
                <w:lang w:val="de-DE"/>
              </w:rPr>
              <w:t>][</w:t>
            </w:r>
            <w:r w:rsidRPr="0025745A">
              <w:rPr>
                <w:lang w:val="de-DE"/>
              </w:rPr>
              <w:t>deutschsprachige</w:t>
            </w:r>
            <w:r w:rsidRPr="00F94B27" w:rsidR="00F94B27">
              <w:rPr>
                <w:b/>
                <w:lang w:val="de-DE"/>
              </w:rPr>
              <w:t>]</w:t>
            </w:r>
            <w:r w:rsidRPr="0025745A">
              <w:rPr>
                <w:lang w:val="de-DE"/>
              </w:rPr>
              <w:t xml:space="preserve"> Fassung) vom</w:t>
            </w:r>
            <w:r w:rsidR="009C405B">
              <w:rPr>
                <w:lang w:val="de-DE"/>
              </w:rPr>
              <w:t xml:space="preserve"> 21</w:t>
            </w:r>
            <w:r w:rsidR="00714D55">
              <w:rPr>
                <w:lang w:val="de-DE"/>
              </w:rPr>
              <w:t>.</w:t>
            </w:r>
            <w:r w:rsidRPr="0025745A" w:rsidR="006E3537">
              <w:rPr>
                <w:lang w:val="de-DE"/>
              </w:rPr>
              <w:t xml:space="preserve"> </w:t>
            </w:r>
            <w:r w:rsidR="005A78B7">
              <w:rPr>
                <w:lang w:val="de-DE"/>
              </w:rPr>
              <w:t>Dezember</w:t>
            </w:r>
            <w:r w:rsidRPr="0025745A">
              <w:rPr>
                <w:lang w:val="de-DE"/>
              </w:rPr>
              <w:t xml:space="preserve"> 2015</w:t>
            </w:r>
            <w:r w:rsidRPr="00F94B27" w:rsidR="00F94B27">
              <w:rPr>
                <w:b/>
                <w:lang w:val="de-DE"/>
              </w:rPr>
              <w:t>[</w:t>
            </w:r>
            <w:r w:rsidRPr="0025745A">
              <w:rPr>
                <w:lang w:val="de-DE"/>
              </w:rPr>
              <w:t xml:space="preserve">, zuletzt geändert durch Nachtrag Nr. </w:t>
            </w:r>
            <w:r w:rsidRPr="00F94B27" w:rsidR="00F94B27">
              <w:rPr>
                <w:b/>
                <w:lang w:val="de-DE"/>
              </w:rPr>
              <w:t>[</w:t>
            </w:r>
            <w:r w:rsidRPr="000F4148" w:rsidR="003857E8">
              <w:rPr>
                <w:rFonts w:ascii="Arial" w:hAnsi="Arial" w:cs="Arial"/>
                <w:lang w:val="de-DE"/>
              </w:rPr>
              <w:t>●</w:t>
            </w:r>
            <w:r w:rsidRPr="00F94B27" w:rsidR="00F94B27">
              <w:rPr>
                <w:b/>
                <w:lang w:val="de-DE"/>
              </w:rPr>
              <w:t>]</w:t>
            </w:r>
            <w:r w:rsidRPr="0025745A">
              <w:rPr>
                <w:lang w:val="de-DE"/>
              </w:rPr>
              <w:t xml:space="preserve"> vom</w:t>
            </w:r>
            <w:r w:rsidRPr="00F94B27" w:rsidR="00F94B27">
              <w:rPr>
                <w:b/>
                <w:lang w:val="de-DE"/>
              </w:rPr>
              <w:t>[</w:t>
            </w:r>
            <w:r w:rsidRPr="000F4148" w:rsidR="003857E8">
              <w:rPr>
                <w:rFonts w:ascii="Arial" w:hAnsi="Arial" w:cs="Arial"/>
                <w:lang w:val="de-DE"/>
              </w:rPr>
              <w:t>●</w:t>
            </w:r>
            <w:r w:rsidRPr="00F94B27" w:rsidR="00F94B27">
              <w:rPr>
                <w:b/>
                <w:lang w:val="de-DE"/>
              </w:rPr>
              <w:t>]]</w:t>
            </w:r>
            <w:r w:rsidRPr="0025745A">
              <w:rPr>
                <w:lang w:val="de-DE"/>
              </w:rPr>
              <w:t xml:space="preserve"> (der "</w:t>
            </w:r>
            <w:r w:rsidRPr="004B2658">
              <w:rPr>
                <w:b/>
                <w:lang w:val="de-DE"/>
              </w:rPr>
              <w:t>Basisprospekt</w:t>
            </w:r>
            <w:r w:rsidRPr="0025745A">
              <w:rPr>
                <w:lang w:val="de-DE"/>
              </w:rPr>
              <w:t>") dar.</w:t>
            </w:r>
          </w:p>
        </w:tc>
      </w:tr>
      <w:tr w:rsidTr="0025745A">
        <w:tblPrEx>
          <w:tblW w:w="5000" w:type="pct"/>
          <w:tblLook w:val="04A0"/>
        </w:tblPrEx>
        <w:tc>
          <w:tcPr>
            <w:tcW w:w="4927" w:type="dxa"/>
          </w:tcPr>
          <w:p w:rsidR="0025745A" w:rsidRPr="007830D9" w:rsidP="004B2658">
            <w:pPr>
              <w:pStyle w:val="CSBody0"/>
            </w:pPr>
            <w:r w:rsidRPr="007830D9">
              <w:t>Credit Suisse AG, a corporation with limited liability under the laws of Switzerland ("</w:t>
            </w:r>
            <w:r w:rsidRPr="004B2658">
              <w:rPr>
                <w:b/>
              </w:rPr>
              <w:t>Credit Suisse</w:t>
            </w:r>
            <w:r w:rsidRPr="007830D9">
              <w:t xml:space="preserve">"), acting through its </w:t>
            </w:r>
            <w:r w:rsidRPr="00F94B27" w:rsidR="00F94B27">
              <w:rPr>
                <w:b/>
              </w:rPr>
              <w:t>[</w:t>
            </w:r>
            <w:r w:rsidRPr="007830D9">
              <w:t>head office</w:t>
            </w:r>
            <w:r w:rsidRPr="00F94B27" w:rsidR="00F94B27">
              <w:rPr>
                <w:b/>
              </w:rPr>
              <w:t>][[</w:t>
            </w:r>
            <w:r w:rsidR="003857E8">
              <w:rPr>
                <w:rFonts w:ascii="Arial" w:hAnsi="Arial" w:cs="Arial"/>
              </w:rPr>
              <w:t>●</w:t>
            </w:r>
            <w:r w:rsidRPr="00F94B27" w:rsidR="00F94B27">
              <w:rPr>
                <w:b/>
              </w:rPr>
              <w:t>]</w:t>
            </w:r>
            <w:r w:rsidRPr="007830D9">
              <w:t xml:space="preserve"> Branch</w:t>
            </w:r>
            <w:r w:rsidRPr="00F94B27" w:rsidR="00F94B27">
              <w:rPr>
                <w:b/>
              </w:rPr>
              <w:t>]</w:t>
            </w:r>
            <w:r w:rsidRPr="007830D9">
              <w:t xml:space="preserve"> (the "</w:t>
            </w:r>
            <w:r w:rsidRPr="004B2658">
              <w:rPr>
                <w:b/>
              </w:rPr>
              <w:t>Issuer</w:t>
            </w:r>
            <w:r w:rsidRPr="007830D9">
              <w:t xml:space="preserve">"), will issue the Complex Products in </w:t>
            </w:r>
            <w:r w:rsidRPr="00F94B27" w:rsidR="00F94B27">
              <w:rPr>
                <w:b/>
              </w:rPr>
              <w:t>[</w:t>
            </w:r>
            <w:r w:rsidRPr="007830D9">
              <w:t>bearer</w:t>
            </w:r>
            <w:r w:rsidRPr="00F94B27" w:rsidR="00F94B27">
              <w:rPr>
                <w:b/>
              </w:rPr>
              <w:t>][</w:t>
            </w:r>
            <w:r w:rsidRPr="007830D9">
              <w:t>uncertificated</w:t>
            </w:r>
            <w:r w:rsidRPr="00F94B27" w:rsidR="00F94B27">
              <w:rPr>
                <w:b/>
              </w:rPr>
              <w:t>]</w:t>
            </w:r>
            <w:r w:rsidRPr="007830D9">
              <w:t xml:space="preserve"> form.</w:t>
            </w:r>
          </w:p>
        </w:tc>
        <w:tc>
          <w:tcPr>
            <w:tcW w:w="4928" w:type="dxa"/>
          </w:tcPr>
          <w:p w:rsidR="0025745A" w:rsidRPr="0025745A" w:rsidP="00FB111C">
            <w:pPr>
              <w:pStyle w:val="CSBody0"/>
              <w:rPr>
                <w:lang w:val="de-DE"/>
              </w:rPr>
            </w:pPr>
            <w:r w:rsidRPr="0025745A">
              <w:rPr>
                <w:lang w:val="de-DE"/>
              </w:rPr>
              <w:t>Credit Suisse AG, eine nach Schweizer Recht organisierte Aktiengesellschaft (die "</w:t>
            </w:r>
            <w:r w:rsidRPr="004B2658">
              <w:rPr>
                <w:b/>
                <w:lang w:val="de-DE"/>
              </w:rPr>
              <w:t>Credit Suisse</w:t>
            </w:r>
            <w:r w:rsidRPr="0025745A">
              <w:rPr>
                <w:lang w:val="de-DE"/>
              </w:rPr>
              <w:t xml:space="preserve">"), handelnd durch </w:t>
            </w:r>
            <w:r w:rsidRPr="00F94B27" w:rsidR="00F94B27">
              <w:rPr>
                <w:b/>
                <w:lang w:val="de-DE"/>
              </w:rPr>
              <w:t>[</w:t>
            </w:r>
            <w:r w:rsidRPr="0025745A">
              <w:rPr>
                <w:lang w:val="de-DE"/>
              </w:rPr>
              <w:t>ihren Hauptsitz</w:t>
            </w:r>
            <w:r w:rsidRPr="00F94B27" w:rsidR="00F94B27">
              <w:rPr>
                <w:b/>
                <w:lang w:val="de-DE"/>
              </w:rPr>
              <w:t>][</w:t>
            </w:r>
            <w:r w:rsidRPr="0025745A">
              <w:rPr>
                <w:lang w:val="de-DE"/>
              </w:rPr>
              <w:t xml:space="preserve">die Niederlassung </w:t>
            </w:r>
            <w:r w:rsidRPr="00F94B27" w:rsidR="00F94B27">
              <w:rPr>
                <w:b/>
                <w:lang w:val="de-DE"/>
              </w:rPr>
              <w:t>[</w:t>
            </w:r>
            <w:r w:rsidRPr="000F4148" w:rsidR="003857E8">
              <w:rPr>
                <w:rFonts w:ascii="Arial" w:hAnsi="Arial" w:cs="Arial"/>
                <w:lang w:val="de-DE"/>
              </w:rPr>
              <w:t>●</w:t>
            </w:r>
            <w:r w:rsidRPr="00F94B27" w:rsidR="00F94B27">
              <w:rPr>
                <w:b/>
                <w:lang w:val="de-DE"/>
              </w:rPr>
              <w:t>]]</w:t>
            </w:r>
            <w:r w:rsidRPr="0025745A">
              <w:rPr>
                <w:lang w:val="de-DE"/>
              </w:rPr>
              <w:t xml:space="preserve"> (die "</w:t>
            </w:r>
            <w:r w:rsidRPr="004B2658">
              <w:rPr>
                <w:b/>
                <w:lang w:val="de-DE"/>
              </w:rPr>
              <w:t>Emittentin</w:t>
            </w:r>
            <w:r w:rsidRPr="0025745A">
              <w:rPr>
                <w:lang w:val="de-DE"/>
              </w:rPr>
              <w:t xml:space="preserve">"), wird die Komplexen Produkte </w:t>
            </w:r>
            <w:r w:rsidRPr="00F94B27" w:rsidR="00F94B27">
              <w:rPr>
                <w:b/>
                <w:lang w:val="de-DE"/>
              </w:rPr>
              <w:t>[</w:t>
            </w:r>
            <w:r w:rsidRPr="0025745A">
              <w:rPr>
                <w:lang w:val="de-DE"/>
              </w:rPr>
              <w:t>als Inhaberpapiere</w:t>
            </w:r>
            <w:r w:rsidRPr="00F94B27" w:rsidR="00F94B27">
              <w:rPr>
                <w:b/>
                <w:lang w:val="de-DE"/>
              </w:rPr>
              <w:t>][</w:t>
            </w:r>
            <w:r w:rsidRPr="0025745A">
              <w:rPr>
                <w:lang w:val="de-DE"/>
              </w:rPr>
              <w:t>in unverbriefter Form</w:t>
            </w:r>
            <w:r w:rsidRPr="00F94B27" w:rsidR="00F94B27">
              <w:rPr>
                <w:b/>
                <w:lang w:val="de-DE"/>
              </w:rPr>
              <w:t>]</w:t>
            </w:r>
            <w:r w:rsidRPr="0025745A">
              <w:rPr>
                <w:lang w:val="de-DE"/>
              </w:rPr>
              <w:t xml:space="preserve"> begeben.</w:t>
            </w:r>
          </w:p>
        </w:tc>
      </w:tr>
      <w:tr w:rsidTr="0025745A">
        <w:tblPrEx>
          <w:tblW w:w="5000" w:type="pct"/>
          <w:tblLook w:val="04A0"/>
        </w:tblPrEx>
        <w:tc>
          <w:tcPr>
            <w:tcW w:w="4927" w:type="dxa"/>
          </w:tcPr>
          <w:p w:rsidR="0025745A" w:rsidRPr="007830D9">
            <w:pPr>
              <w:pStyle w:val="CSBody0"/>
            </w:pPr>
            <w:r w:rsidRPr="007830D9">
              <w:t xml:space="preserve">These Final Terms must be read in conjunction with all information set out in the Base Prospectus </w:t>
            </w:r>
            <w:r w:rsidR="003E1C85">
              <w:t xml:space="preserve">and any supplements to the Base Prospectus (including any information incorporated by reference therein) </w:t>
            </w:r>
            <w:r w:rsidRPr="007830D9">
              <w:t>in order to obtain all necessary information required for an assessment of the Issuer and the Complex Products.</w:t>
            </w:r>
            <w:r w:rsidR="003E1C85">
              <w:t xml:space="preserve"> </w:t>
            </w:r>
            <w:r w:rsidRPr="00F94B27" w:rsidR="003E1C85">
              <w:rPr>
                <w:b/>
              </w:rPr>
              <w:t>[</w:t>
            </w:r>
            <w:r w:rsidRPr="005A78B7" w:rsidR="003E1C85">
              <w:t>An issue specific summary is attached to the Final Terms.</w:t>
            </w:r>
            <w:r w:rsidRPr="00F94B27" w:rsidR="003E1C85">
              <w:rPr>
                <w:b/>
              </w:rPr>
              <w:t>]</w:t>
            </w:r>
          </w:p>
        </w:tc>
        <w:tc>
          <w:tcPr>
            <w:tcW w:w="4928" w:type="dxa"/>
          </w:tcPr>
          <w:p w:rsidR="0025745A" w:rsidRPr="0025745A" w:rsidP="005A78B7">
            <w:pPr>
              <w:pStyle w:val="CSBody0"/>
              <w:rPr>
                <w:lang w:val="de-DE"/>
              </w:rPr>
            </w:pPr>
            <w:r w:rsidRPr="0025745A">
              <w:rPr>
                <w:lang w:val="de-DE"/>
              </w:rPr>
              <w:t xml:space="preserve">Diese Endgültigen Bedingungen müssen in Verbindung mit den Informationen im Basisprospekt </w:t>
            </w:r>
            <w:r w:rsidR="003E1C85">
              <w:rPr>
                <w:lang w:val="de-DE"/>
              </w:rPr>
              <w:t xml:space="preserve">und allen etwaigen Nachträgen zum Basisprospekt </w:t>
            </w:r>
            <w:r w:rsidRPr="0025745A">
              <w:rPr>
                <w:lang w:val="de-DE"/>
              </w:rPr>
              <w:t xml:space="preserve">(einschliesslich aller darin </w:t>
            </w:r>
            <w:r w:rsidR="005A78B7">
              <w:rPr>
                <w:lang w:val="de-DE"/>
              </w:rPr>
              <w:t xml:space="preserve">jeweils </w:t>
            </w:r>
            <w:r w:rsidRPr="0025745A">
              <w:rPr>
                <w:lang w:val="de-DE"/>
              </w:rPr>
              <w:t>per Verweis einbezogenen Informationen) gelesen werden um sämtliche für die Beurteilung der Emittentin und der Komplexen Produkte erforderlichen Angaben zu erhalten.</w:t>
            </w:r>
            <w:r w:rsidR="003E1C85">
              <w:rPr>
                <w:lang w:val="de-DE"/>
              </w:rPr>
              <w:t xml:space="preserve"> </w:t>
            </w:r>
            <w:r w:rsidRPr="005A78B7" w:rsidR="003E1C85">
              <w:rPr>
                <w:b/>
                <w:lang w:val="de-DE"/>
              </w:rPr>
              <w:t>[</w:t>
            </w:r>
            <w:r w:rsidRPr="005A78B7" w:rsidR="003E1C85">
              <w:rPr>
                <w:lang w:val="de-DE"/>
              </w:rPr>
              <w:t>Den Endgültigen Bedingungen ist eine emissionsspezifische Zusammenfassung beigefügt.</w:t>
            </w:r>
            <w:r w:rsidRPr="005A78B7" w:rsidR="003E1C85">
              <w:rPr>
                <w:b/>
                <w:lang w:val="de-DE"/>
              </w:rPr>
              <w:t>]</w:t>
            </w:r>
          </w:p>
        </w:tc>
      </w:tr>
      <w:tr w:rsidTr="0025745A">
        <w:tblPrEx>
          <w:tblW w:w="5000" w:type="pct"/>
          <w:tblLook w:val="04A0"/>
        </w:tblPrEx>
        <w:tc>
          <w:tcPr>
            <w:tcW w:w="4927" w:type="dxa"/>
          </w:tcPr>
          <w:p w:rsidR="0025745A" w:rsidRPr="008E18E5" w:rsidP="00FB111C">
            <w:pPr>
              <w:pStyle w:val="CSBody0"/>
            </w:pPr>
            <w:r w:rsidRPr="00F94B27">
              <w:rPr>
                <w:b/>
              </w:rPr>
              <w:t>[</w:t>
            </w:r>
            <w:r w:rsidRPr="004B2658">
              <w:rPr>
                <w:b/>
                <w:i/>
              </w:rPr>
              <w:t>insert in case of a public offer in the EEA:</w:t>
            </w:r>
            <w:r w:rsidRPr="008E18E5">
              <w:t xml:space="preserve"> This Document, which contains the completed Terms and Conditions of the Complex Products (the "</w:t>
            </w:r>
            <w:r w:rsidRPr="004B2658">
              <w:rPr>
                <w:b/>
              </w:rPr>
              <w:t>Terms and Conditions</w:t>
            </w:r>
            <w:r w:rsidRPr="008E18E5">
              <w:t xml:space="preserve">"), has been prepared on the basis of the Base Prospectus, which was filed as a base prospectus within the meaning of </w:t>
            </w:r>
            <w:r w:rsidR="00674A5A">
              <w:t>§ </w:t>
            </w:r>
            <w:r w:rsidRPr="008E18E5">
              <w:t xml:space="preserve">6 WpPG with the </w:t>
            </w:r>
            <w:r w:rsidRPr="00FB111C">
              <w:rPr>
                <w:i/>
              </w:rPr>
              <w:t>Bundesanstalt für Finanzdienstleistungsaufsicht</w:t>
            </w:r>
            <w:r w:rsidRPr="008E18E5">
              <w:t xml:space="preserve"> ("</w:t>
            </w:r>
            <w:r w:rsidRPr="004B2658">
              <w:rPr>
                <w:b/>
              </w:rPr>
              <w:t>BaFin</w:t>
            </w:r>
            <w:r w:rsidRPr="008E18E5">
              <w:t>") in its capacity as competent authority under the WpPG, which implements the EU Directive 2003/71/EC, as amended (the "</w:t>
            </w:r>
            <w:r w:rsidRPr="004B2658">
              <w:rPr>
                <w:b/>
              </w:rPr>
              <w:t>Prospectus Directive</w:t>
            </w:r>
            <w:r w:rsidRPr="008E18E5">
              <w:t>") into German law.</w:t>
            </w:r>
            <w:r w:rsidRPr="00F94B27">
              <w:rPr>
                <w:b/>
              </w:rPr>
              <w:t>]</w:t>
            </w:r>
          </w:p>
        </w:tc>
        <w:tc>
          <w:tcPr>
            <w:tcW w:w="4928" w:type="dxa"/>
          </w:tcPr>
          <w:p w:rsidR="0025745A" w:rsidRPr="0025745A" w:rsidP="00FB111C">
            <w:pPr>
              <w:pStyle w:val="CSBody0"/>
              <w:rPr>
                <w:lang w:val="de-DE"/>
              </w:rPr>
            </w:pPr>
            <w:r w:rsidRPr="00F94B27">
              <w:rPr>
                <w:b/>
                <w:lang w:val="de-DE"/>
              </w:rPr>
              <w:t>[</w:t>
            </w:r>
            <w:r w:rsidRPr="004B2658">
              <w:rPr>
                <w:b/>
                <w:i/>
                <w:lang w:val="de-DE"/>
              </w:rPr>
              <w:t>bei einem öffentlichen Angebot im EWR-Raum einfü-gen:</w:t>
            </w:r>
            <w:r w:rsidRPr="0025745A">
              <w:rPr>
                <w:lang w:val="de-DE"/>
              </w:rPr>
              <w:t xml:space="preserve"> Dieses Dokument, das die vervollständigten Emissionsbedingungen der Komplexen Produkte (die "</w:t>
            </w:r>
            <w:r w:rsidRPr="004B2658">
              <w:rPr>
                <w:b/>
                <w:lang w:val="de-DE"/>
              </w:rPr>
              <w:t>Emissionsbedingungen</w:t>
            </w:r>
            <w:r w:rsidRPr="0025745A">
              <w:rPr>
                <w:lang w:val="de-DE"/>
              </w:rPr>
              <w:t xml:space="preserve">") enthält, wurde auf der Grundlage des Basisprospekts erstellt, der als Basisprospekt im Sinne von </w:t>
            </w:r>
            <w:r w:rsidR="00674A5A">
              <w:rPr>
                <w:lang w:val="de-DE"/>
              </w:rPr>
              <w:t>§ </w:t>
            </w:r>
            <w:r w:rsidRPr="0025745A">
              <w:rPr>
                <w:lang w:val="de-DE"/>
              </w:rPr>
              <w:t>6 WpPG bei der Bundesanstalt für Finanzdienstleistungsaufsicht ("</w:t>
            </w:r>
            <w:r w:rsidRPr="004B2658">
              <w:rPr>
                <w:b/>
                <w:lang w:val="de-DE"/>
              </w:rPr>
              <w:t>BaFin</w:t>
            </w:r>
            <w:r w:rsidRPr="0025745A">
              <w:rPr>
                <w:lang w:val="de-DE"/>
              </w:rPr>
              <w:t>") in ihrer Eigenschaft als zuständige Behörde im Sinne des WpPG, mit dem die EU-Richtlinie 2003/71/EG in der jeweils geltenden Fassung (die "</w:t>
            </w:r>
            <w:r w:rsidRPr="004B2658">
              <w:rPr>
                <w:b/>
                <w:lang w:val="de-DE"/>
              </w:rPr>
              <w:t>Prospektrichtlinie</w:t>
            </w:r>
            <w:r w:rsidRPr="0025745A">
              <w:rPr>
                <w:lang w:val="de-DE"/>
              </w:rPr>
              <w:t>") in deutsches Recht umgesetzt wurde, hinterlegt wurde.</w:t>
            </w:r>
            <w:r w:rsidRPr="00F94B27">
              <w:rPr>
                <w:b/>
                <w:lang w:val="de-DE"/>
              </w:rPr>
              <w:t>]</w:t>
            </w:r>
          </w:p>
        </w:tc>
      </w:tr>
      <w:tr w:rsidTr="0025745A">
        <w:tblPrEx>
          <w:tblW w:w="5000" w:type="pct"/>
          <w:tblLook w:val="04A0"/>
        </w:tblPrEx>
        <w:tc>
          <w:tcPr>
            <w:tcW w:w="4927" w:type="dxa"/>
          </w:tcPr>
          <w:p w:rsidR="0025745A" w:rsidRPr="008E18E5" w:rsidP="00FB111C">
            <w:pPr>
              <w:pStyle w:val="CSBody0"/>
            </w:pPr>
            <w:r w:rsidRPr="00F94B27">
              <w:rPr>
                <w:b/>
              </w:rPr>
              <w:t>[</w:t>
            </w:r>
            <w:r w:rsidRPr="004B2658">
              <w:rPr>
                <w:b/>
                <w:i/>
              </w:rPr>
              <w:t>insert in case of a listing on the SIX Swiss Exchange:</w:t>
            </w:r>
            <w:r w:rsidRPr="008E18E5">
              <w:t xml:space="preserve"> This Document constitutes the Final Terms for the Complex Products within the meaning of the Additional Rules for the Listing of Derivatives of the SIX Swiss Exchange Ltd (the "</w:t>
            </w:r>
            <w:r w:rsidRPr="004B2658">
              <w:rPr>
                <w:b/>
              </w:rPr>
              <w:t>SIX Swiss Exchange</w:t>
            </w:r>
            <w:r w:rsidRPr="008E18E5">
              <w:t>") where the SIX Swiss Exchange has only reviewed the Terms and Conditions set out in the Base Prospectus. The Final Terms together with the Base Prospectus constitute the complete listing prospectus within the meaning of the Additional Rules for the Listing of Derivatives of SIX Swiss Exchange.</w:t>
            </w:r>
            <w:r w:rsidRPr="00F94B27">
              <w:rPr>
                <w:b/>
              </w:rPr>
              <w:t>]</w:t>
            </w:r>
          </w:p>
        </w:tc>
        <w:tc>
          <w:tcPr>
            <w:tcW w:w="4928" w:type="dxa"/>
          </w:tcPr>
          <w:p w:rsidR="0025745A" w:rsidRPr="0025745A" w:rsidP="00FB111C">
            <w:pPr>
              <w:pStyle w:val="CSBody0"/>
              <w:rPr>
                <w:lang w:val="de-DE"/>
              </w:rPr>
            </w:pPr>
            <w:r w:rsidRPr="00F94B27">
              <w:rPr>
                <w:b/>
                <w:lang w:val="de-DE"/>
              </w:rPr>
              <w:t>[</w:t>
            </w:r>
            <w:r w:rsidRPr="004B2658">
              <w:rPr>
                <w:b/>
                <w:i/>
                <w:lang w:val="de-DE"/>
              </w:rPr>
              <w:t>im Falle einer Kotierung an der SIX Swiss Exchange einfügen:</w:t>
            </w:r>
            <w:r w:rsidRPr="0025745A">
              <w:rPr>
                <w:lang w:val="de-DE"/>
              </w:rPr>
              <w:t xml:space="preserve"> Dieses Dokument stellt die Endgültigen Bedingungen für die Komplexen Produkte im Sinne des Zusatzreglements für die Kotierung von Derivaten der SIX Swiss Exchange AG (die "</w:t>
            </w:r>
            <w:r w:rsidRPr="004B2658">
              <w:rPr>
                <w:b/>
                <w:lang w:val="de-DE"/>
              </w:rPr>
              <w:t>SIX Swiss Exchange</w:t>
            </w:r>
            <w:r w:rsidRPr="0025745A">
              <w:rPr>
                <w:lang w:val="de-DE"/>
              </w:rPr>
              <w:t>") dar, wobei die SIX Swiss Exchange nur die im Basisprospekt enthaltenen Emissionsbedingungen geprüft hat. Die Endgültigen Bedingungen stellen zusammen mit dem Basisprospekt den vollständigen Kotierungsprospekt im Sinne des Zusatzreglements für die Kotierung von Derivaten der SIX Swiss Exchange dar.</w:t>
            </w:r>
            <w:r w:rsidRPr="00F94B27">
              <w:rPr>
                <w:b/>
                <w:lang w:val="de-DE"/>
              </w:rPr>
              <w:t>]</w:t>
            </w:r>
          </w:p>
        </w:tc>
      </w:tr>
      <w:tr w:rsidTr="0025745A">
        <w:tblPrEx>
          <w:tblW w:w="5000" w:type="pct"/>
          <w:tblLook w:val="04A0"/>
        </w:tblPrEx>
        <w:tc>
          <w:tcPr>
            <w:tcW w:w="4927" w:type="dxa"/>
          </w:tcPr>
          <w:p w:rsidR="0025745A" w:rsidRPr="00D67AF6">
            <w:pPr>
              <w:pStyle w:val="CSbody0bold"/>
              <w:rPr>
                <w:lang w:val="en-GB"/>
              </w:rPr>
            </w:pPr>
            <w:r w:rsidRPr="00F94B27">
              <w:rPr>
                <w:lang w:val="en-GB"/>
              </w:rPr>
              <w:t>[</w:t>
            </w:r>
            <w:r w:rsidRPr="00D67AF6">
              <w:rPr>
                <w:i/>
                <w:lang w:val="en-GB"/>
              </w:rPr>
              <w:t>in case of an offer of Complex Products in or from Switzerland insert:</w:t>
            </w:r>
            <w:r w:rsidRPr="00D67AF6">
              <w:rPr>
                <w:lang w:val="en-GB"/>
              </w:rPr>
              <w:t xml:space="preserve"> A Complex Product does not constitute a collective investment scheme within the meaning of the Swiss Federal Act on Collective Investment Schemes ("CISA"). Therefore, it is not subject to authorisation </w:t>
            </w:r>
            <w:r w:rsidR="00815D0A">
              <w:rPr>
                <w:lang w:val="en-GB"/>
              </w:rPr>
              <w:t xml:space="preserve">or supervision </w:t>
            </w:r>
            <w:r w:rsidRPr="00D67AF6">
              <w:rPr>
                <w:lang w:val="en-GB"/>
              </w:rPr>
              <w:t xml:space="preserve">by the Swiss Financial Market Supervisory Authority FINMA ("FINMA") </w:t>
            </w:r>
            <w:r w:rsidR="00815D0A">
              <w:rPr>
                <w:lang w:val="en-GB"/>
              </w:rPr>
              <w:t>.Investors bear the issuer risk</w:t>
            </w:r>
            <w:r w:rsidRPr="00D67AF6">
              <w:rPr>
                <w:lang w:val="en-GB"/>
              </w:rPr>
              <w:t>.</w:t>
            </w:r>
            <w:r w:rsidRPr="00F94B27">
              <w:rPr>
                <w:lang w:val="en-GB"/>
              </w:rPr>
              <w:t>]</w:t>
            </w:r>
          </w:p>
        </w:tc>
        <w:tc>
          <w:tcPr>
            <w:tcW w:w="4928" w:type="dxa"/>
          </w:tcPr>
          <w:p w:rsidR="0025745A" w:rsidRPr="0025745A">
            <w:pPr>
              <w:pStyle w:val="CSbody0bold"/>
            </w:pPr>
            <w:r w:rsidRPr="00F94B27">
              <w:t>[</w:t>
            </w:r>
            <w:r w:rsidRPr="004B2658">
              <w:rPr>
                <w:i/>
              </w:rPr>
              <w:t>bei einem Angebot von Komplexen Produkten, das in der Schweiz oder von der Schweiz aus erfolgt, einfü</w:t>
            </w:r>
            <w:r w:rsidR="00FB111C">
              <w:rPr>
                <w:i/>
              </w:rPr>
              <w:t>g</w:t>
            </w:r>
            <w:r w:rsidRPr="004B2658">
              <w:rPr>
                <w:i/>
              </w:rPr>
              <w:t>en:</w:t>
            </w:r>
            <w:r w:rsidRPr="0025745A">
              <w:t xml:space="preserve"> Ein Komplexes Produkt stellt keine kollektive Kapitalanlage im Sinne des Schweizerischen Bundesgesetzes über die kollektiven Kapitalanlagen ("KAG") dar. Es unterliegt daher nicht der Bewilligung</w:t>
            </w:r>
            <w:r w:rsidR="00815D0A">
              <w:t xml:space="preserve"> oder Aufsicht</w:t>
            </w:r>
            <w:r w:rsidRPr="0025745A">
              <w:t xml:space="preserve"> durch die Eidgenössische Finanzmarktaufsicht FINMA ("FINMA").</w:t>
            </w:r>
            <w:r w:rsidR="00815D0A">
              <w:t xml:space="preserve"> Anleger tragen das Emittentenrisiko</w:t>
            </w:r>
            <w:r w:rsidRPr="00F94B27">
              <w:t>]</w:t>
            </w:r>
          </w:p>
        </w:tc>
      </w:tr>
      <w:tr w:rsidTr="0025745A">
        <w:tblPrEx>
          <w:tblW w:w="5000" w:type="pct"/>
          <w:tblLook w:val="04A0"/>
        </w:tblPrEx>
        <w:tc>
          <w:tcPr>
            <w:tcW w:w="4927" w:type="dxa"/>
          </w:tcPr>
          <w:p w:rsidR="0025745A" w:rsidRPr="000D5A0E" w:rsidP="00FB111C">
            <w:pPr>
              <w:pStyle w:val="CSBody0"/>
            </w:pPr>
            <w:r w:rsidRPr="00F94B27">
              <w:rPr>
                <w:b/>
              </w:rPr>
              <w:t>[</w:t>
            </w:r>
            <w:r w:rsidRPr="000D5A0E">
              <w:t>The English language version of this Document shall be controlling and binding. The German language translation of this Document is provided for convenience only.</w:t>
            </w:r>
            <w:r w:rsidRPr="00F94B27">
              <w:rPr>
                <w:b/>
              </w:rPr>
              <w:t>][</w:t>
            </w:r>
            <w:r w:rsidRPr="000D5A0E">
              <w:t>The German language version of this Document shall be controlling and binding. The English language translation of this Document is provided for convenience only.</w:t>
            </w:r>
            <w:r w:rsidRPr="00F94B27">
              <w:rPr>
                <w:b/>
              </w:rPr>
              <w:t>]</w:t>
            </w:r>
          </w:p>
        </w:tc>
        <w:tc>
          <w:tcPr>
            <w:tcW w:w="4928" w:type="dxa"/>
          </w:tcPr>
          <w:p w:rsidR="0025745A" w:rsidRPr="00FB111C" w:rsidP="00FB111C">
            <w:pPr>
              <w:pStyle w:val="CSBody0"/>
              <w:rPr>
                <w:lang w:val="de-DE"/>
              </w:rPr>
            </w:pPr>
            <w:r w:rsidRPr="00F94B27">
              <w:rPr>
                <w:b/>
                <w:lang w:val="de-DE"/>
              </w:rPr>
              <w:t>[</w:t>
            </w:r>
            <w:r w:rsidRPr="0025745A">
              <w:rPr>
                <w:lang w:val="de-DE"/>
              </w:rPr>
              <w:t>Die englischsprachige Fassung dieses Dokuments ist massgeblich und verbindlich. Die deutsche Übersetzung dieses Dokuments dient lediglich Informationszwecken.</w:t>
            </w:r>
            <w:r w:rsidRPr="00F94B27">
              <w:rPr>
                <w:b/>
                <w:lang w:val="de-DE"/>
              </w:rPr>
              <w:t>][</w:t>
            </w:r>
            <w:r w:rsidRPr="0025745A">
              <w:rPr>
                <w:lang w:val="de-DE"/>
              </w:rPr>
              <w:t xml:space="preserve">Die deutschsprachige Fassung dieses Dokuments ist massgeblich und verbindlich. </w:t>
            </w:r>
            <w:r w:rsidRPr="00FB111C">
              <w:rPr>
                <w:lang w:val="de-DE"/>
              </w:rPr>
              <w:t>Die englische Übersetzung dieses Dokuments dient lediglich Informationszwecken.</w:t>
            </w:r>
            <w:r w:rsidRPr="00F94B27">
              <w:rPr>
                <w:b/>
                <w:lang w:val="de-DE"/>
              </w:rPr>
              <w:t>]</w:t>
            </w:r>
          </w:p>
        </w:tc>
      </w:tr>
      <w:tr w:rsidTr="0025745A">
        <w:tblPrEx>
          <w:tblW w:w="5000" w:type="pct"/>
          <w:tblLook w:val="04A0"/>
        </w:tblPrEx>
        <w:tc>
          <w:tcPr>
            <w:tcW w:w="4927" w:type="dxa"/>
          </w:tcPr>
          <w:p w:rsidR="0025745A" w:rsidRPr="00D67AF6" w:rsidP="00FB111C">
            <w:pPr>
              <w:pStyle w:val="CSBody6ptbold"/>
              <w:rPr>
                <w:lang w:val="en-GB"/>
              </w:rPr>
            </w:pPr>
            <w:r w:rsidRPr="00D67AF6">
              <w:rPr>
                <w:lang w:val="en-GB"/>
              </w:rPr>
              <w:t>Complex Products and, in certain cases, the securities (if any) to be delivered when Complex Products are redeemed, have not been, and will not be, registered under the U.S. Securities Act of 1933, as amended (the "Securities Act"), or with any securities regulatory authority of any state or other jurisdiction of the United States, and trading in Complex Products has not been approved by the U.S. Commodity Futures Trading Commission (the "CFTC") under the U.S. Commodity Exchange Act of 1936, as amended (the "CEA"), or by the U.S. Securities Exchange Commission (the "SEC"). No Complex Products, or interests therein, may at any time be offered, sold, resold or delivered, directly or indirectly, within the United States or to, or for the account or benefit of, any U.S. person (as defined herein) or to others for offer, sale, resale, or delivery, directly or indirectly, within the United States or to, or for the account or benefit of, any U.S. person (as defined herein). Terms used in this paragraph and not otherwise defined herein have the meaning given to them by Regulation S under the Securities Act.</w:t>
            </w:r>
          </w:p>
        </w:tc>
        <w:tc>
          <w:tcPr>
            <w:tcW w:w="4928" w:type="dxa"/>
          </w:tcPr>
          <w:p w:rsidR="0025745A" w:rsidRPr="0025745A" w:rsidP="00FB111C">
            <w:pPr>
              <w:pStyle w:val="CSBody6ptbold"/>
            </w:pPr>
            <w:r w:rsidRPr="0025745A">
              <w:t>Die Komplexen Produkte sowie in bestimmten Fällen die Wertpapiere, die gegebenenfalls bei Rückzahlung der Komplexen Produkte geliefert werden, wurden und werden nicht gemäss dem Wertpapiergesetz der Vereinigten Staaten von 1933 (U.S. Securities Act of 1933) in der geltenden Fassung (das "Wertpapiergesetz") oder bei einer Wertpapieraufsichtsbehörde eines Bundesstaats oder eines sonstigen Hoheitsgebiets der Vereinigten Staaten registriert, und das Handeln mit Komplexen Produkten ist weder durch die U.S. Commodity Futures Trading Commission ("CFTC") gemäss dem Warenbörsengesetz der Vereinigten Staaten von 1936 (U.S. Commodity Exchange Act of 1936) in der geltenden Fassung ("CEA") noch von der U.S. Securities Exchange Commission ("SEC") genehmigt worden. Komplexe Pro-dukte oder Rechte daran dürfen zu keinem Zeitpunkt direkt oder indirekt innerhalb der Vereinigten Staaten oder an, für Rechnung von oder zugunsten von US-Personen (wie hierin definiert) zum Verkauf angeboten, verkauft, weiter verkauft oder abgegeben werden. Das Gleiche gilt für das Angebot, den Verkauf, den Weiterverkauf oder die Abgabe an andere Personen zum Zweck des Angebots, Verkaufs, Weiterverkaufs oder der Abgabe innerhalb der Vereinigten Staaten oder an, für Rechnung von oder zugunsten von US-Personen (wie hierin definiert). Die in diesem Absatz verwendeten und nicht anderweitig definierten Begriffe haben jeweils die ihnen in Regulation S des Wertpapiergesetzes zugewiesene Bedeutung.</w:t>
            </w:r>
          </w:p>
        </w:tc>
      </w:tr>
      <w:tr w:rsidTr="0025745A">
        <w:tblPrEx>
          <w:tblW w:w="5000" w:type="pct"/>
          <w:tblLook w:val="04A0"/>
        </w:tblPrEx>
        <w:tc>
          <w:tcPr>
            <w:tcW w:w="4927" w:type="dxa"/>
          </w:tcPr>
          <w:p w:rsidR="0025745A" w:rsidRPr="00D67AF6" w:rsidP="004B2658">
            <w:pPr>
              <w:pStyle w:val="CSBody6ptbold"/>
              <w:rPr>
                <w:lang w:val="en-GB"/>
              </w:rPr>
            </w:pPr>
            <w:r w:rsidRPr="00D67AF6">
              <w:rPr>
                <w:lang w:val="en-GB"/>
              </w:rPr>
              <w:t xml:space="preserve">An offer or sale of Complex Products, or interests therein, directly or indirectly, within the United States, or for the account or benefit of, U.S. persons (as defined herein) may violate the registration requirements of the Securities Act and/or the securities laws of U.S. states or territories. In addition, in the absence of relief from the CFTC, offers, sales, resales, trades or deliveries of Complex Products, or interests therein, directly or indirectly, in the United States or to, or for the account or benefit of, U.S. persons, may constitute a violation of United States law governing commodities trading. </w:t>
            </w:r>
          </w:p>
        </w:tc>
        <w:tc>
          <w:tcPr>
            <w:tcW w:w="4928" w:type="dxa"/>
          </w:tcPr>
          <w:p w:rsidR="0025745A" w:rsidRPr="0025745A" w:rsidP="00FB111C">
            <w:pPr>
              <w:pStyle w:val="CSBody6ptbold"/>
            </w:pPr>
            <w:r w:rsidRPr="0025745A">
              <w:t>Das direkte oder indirekte Angebot oder der direkte oder indirekte Verkauf Komplexer Produkte oder von Rechten daran innerhalb der Vereinigten Staaten oder an, für Rechnung von oder zugunsten von US-Personen (wie hierin definiert) kann einen Verstoss gegen die Registrierungserfordernisse des Wertpapiergesetzes und/oder wertpapierrechtlicher Bestimmungen von US-Bundesstaaten oder -Territorien darstellen. Darüber hinaus können direkte oder indirekte Angebote, Verkäufe, Weiterverkäufe, Handelstransaktionen oder die direkte oder indirekte Abgabe von Komplexen Produkten oder von Rechten daran innerhalb der Vereinigten Staaten oder an, für Rechnung von oder zugunsten von US-Personen ohne Genehmigung der CFTC einen Verstoss gegen die auf den Warenhandel anwendbaren Gesetze der Vereinigten Staaten darstellen.</w:t>
            </w:r>
          </w:p>
        </w:tc>
      </w:tr>
      <w:tr w:rsidTr="0025745A">
        <w:tblPrEx>
          <w:tblW w:w="5000" w:type="pct"/>
          <w:tblLook w:val="04A0"/>
        </w:tblPrEx>
        <w:tc>
          <w:tcPr>
            <w:tcW w:w="4927" w:type="dxa"/>
          </w:tcPr>
          <w:p w:rsidR="0025745A" w:rsidRPr="00D67AF6" w:rsidP="00FB111C">
            <w:pPr>
              <w:pStyle w:val="CSBody6ptbold"/>
              <w:rPr>
                <w:lang w:val="en-GB"/>
              </w:rPr>
            </w:pPr>
            <w:r w:rsidRPr="00D67AF6">
              <w:rPr>
                <w:lang w:val="en-GB"/>
              </w:rPr>
              <w:t>An offer, transfer or sale of Complex Products, or interests therein, directly or indirectly, within the United States, or for the account or benefit of, U.S. persons (as defined herein) which violates the registration requirements of the Securities Act and/or the securities laws of U.S. states or territories or United States law governing commodities trading will not be recognised. Further, prior to a redemption of Complex Products by way of physical delivery, the holder may be required to represent that (i) it is not a U.S. person, (ii) the Complex Products are not redeemed on behalf of a U.S. person, and (iii) no assets will be delivered within the U.S. or to or for the account or benefit of a U.S. person.</w:t>
            </w:r>
          </w:p>
        </w:tc>
        <w:tc>
          <w:tcPr>
            <w:tcW w:w="4928" w:type="dxa"/>
          </w:tcPr>
          <w:p w:rsidR="0025745A" w:rsidRPr="0025745A" w:rsidP="00FB111C">
            <w:pPr>
              <w:pStyle w:val="CSBody6ptbold"/>
            </w:pPr>
            <w:r w:rsidRPr="0025745A">
              <w:t>Direkte oder indirekte Angebote, Übertragungen oder Verkäufe Komplexer Produkte oder von Rechten daran innerhalb der Vereinigten Staaten oder an, für Rechnung von oder zugunsten von US-Personen (wie hierin definiert), die einen Verstoss gegen die Registrierungserfordernisse des Wertpapiergesetzes und/oder wertpapierrechtlicher Bestimmungen von US-Bundesstaaten oder -Territorien oder der auf den Warenhandel anwendbaren Gesetze der Vereinigten Staaten darstellen, werden nicht anerkannt. Ferner kann vor einer Rückzahlung von Komplexen Produkten durch physische Lieferung von dem Inhaber eine Zusicherung verlangt werden, dass (i) er keine US-Person ist, (ii) die Komplexen Produkte nicht für eine US-Person zurückgezahlt werden und (iii) keine Vermögenswerte innerhalb der USA oder an eine US-Person bzw. für deren Rechnung oder zu deren Gunsten geliefert werden.</w:t>
            </w:r>
          </w:p>
        </w:tc>
      </w:tr>
      <w:tr w:rsidTr="0025745A">
        <w:tblPrEx>
          <w:tblW w:w="5000" w:type="pct"/>
          <w:tblLook w:val="04A0"/>
        </w:tblPrEx>
        <w:tc>
          <w:tcPr>
            <w:tcW w:w="4927" w:type="dxa"/>
          </w:tcPr>
          <w:p w:rsidR="0025745A" w:rsidRPr="00D67AF6" w:rsidP="00FB111C">
            <w:pPr>
              <w:pStyle w:val="CSBody6ptbold"/>
              <w:rPr>
                <w:lang w:val="en-GB"/>
              </w:rPr>
            </w:pPr>
            <w:r w:rsidRPr="00D67AF6">
              <w:rPr>
                <w:lang w:val="en-GB"/>
              </w:rPr>
              <w:t>Neither this Document nor any copy hereof may be sent, taken into or distributed in the United States or to any U.S. person (as defined herein) or in any other jurisdiction except under circumstances that will result in compliance with the applicable laws thereof. This Document may not be reproduced either in whole or in part, without the written permission of the Issuer.</w:t>
            </w:r>
          </w:p>
        </w:tc>
        <w:tc>
          <w:tcPr>
            <w:tcW w:w="4928" w:type="dxa"/>
          </w:tcPr>
          <w:p w:rsidR="0025745A" w:rsidRPr="0025745A" w:rsidP="004B2658">
            <w:pPr>
              <w:pStyle w:val="CSBody6ptbold"/>
            </w:pPr>
            <w:r w:rsidRPr="0025745A">
              <w:t>Weder dieses Dokument noch eine Kopie davon darf in die Vereinigten Staaten bzw. an eine US-Person (wie hierin definiert) oder in eine andere Rechtsordnung übermittelt werden; Gleiches gilt für eine Mitnahme dieses Dokuments oder einer Kopie davon in die Vereinigten Staaten bzw. zu einer US-Person oder in eine andere Rechtsordnung oder eine Verbreitung dieses Dokuments oder einer Kopie davon in den Vereinigten Staaten bzw. an eine US-Person oder in eine andere Rechtsordnung, es sei denn, dies erfolgt unter Einhaltung der dort anwendbaren Gesetze. Dieses Dokument darf ohne die schriftliche Genehmigung der Emittentin weder ganz noch in Teilen vervielfältigt werden.</w:t>
            </w:r>
          </w:p>
        </w:tc>
      </w:tr>
      <w:tr w:rsidTr="0025745A">
        <w:tblPrEx>
          <w:tblW w:w="5000" w:type="pct"/>
          <w:tblLook w:val="04A0"/>
        </w:tblPrEx>
        <w:tc>
          <w:tcPr>
            <w:tcW w:w="4927" w:type="dxa"/>
          </w:tcPr>
          <w:p w:rsidR="0025745A" w:rsidRPr="00D67AF6" w:rsidP="00FB111C">
            <w:pPr>
              <w:pStyle w:val="CSBody6ptbold"/>
              <w:rPr>
                <w:lang w:val="en-GB"/>
              </w:rPr>
            </w:pPr>
            <w:r w:rsidRPr="00D67AF6">
              <w:rPr>
                <w:lang w:val="en-GB"/>
              </w:rPr>
              <w:t>As used herein, "U.S. person" means a person that is any one or more of the following: (1) a "U.S. person" as defined in Regulation S under the Securites Act, (2) a "U.S. person" as defined in the Interpretive Guidance and Policy Statement Regarding Compliance with Certain Swap Regulations promulgated by the CFTC, as amended, modified or supplemented from time to time, under the CEA, and (3) a person other than a "Non-United States person" as defined in CFTC Rule 4.7.</w:t>
            </w:r>
          </w:p>
        </w:tc>
        <w:tc>
          <w:tcPr>
            <w:tcW w:w="4928" w:type="dxa"/>
          </w:tcPr>
          <w:p w:rsidR="0025745A" w:rsidRPr="0025745A" w:rsidP="00FB111C">
            <w:pPr>
              <w:pStyle w:val="CSBody6ptbold"/>
            </w:pPr>
            <w:r w:rsidRPr="0025745A">
              <w:t xml:space="preserve">In diesem Dokument bezeichnet "US-Person" eine Person, die eine oder mehrere der folgenden Voraussetzungen erfüllt: (1) sie ist eine "US-Person" im Sinne der Definition in Regulation S zum Wertpapiergesetz, (2) sie ist eine "US-Person" im Sinne der Definition in dem von der CFTC nach dem CEA veröffentlichten </w:t>
            </w:r>
            <w:r w:rsidRPr="00FB111C">
              <w:rPr>
                <w:i/>
              </w:rPr>
              <w:t>Interpretive Guidance and Policy Statement Regarding Compliance with Certain Swap Regulations</w:t>
            </w:r>
            <w:r w:rsidRPr="0025745A">
              <w:t xml:space="preserve"> in der jeweils geänderten, angepassten oder ergänzten Fassung und (3) sie ist eine Person, bei der es sich nicht um eine "Nicht-US-Person" im Sinne der Definition in CFTC Rule 4.7 handelt.</w:t>
            </w:r>
          </w:p>
        </w:tc>
      </w:tr>
      <w:tr w:rsidTr="0025745A">
        <w:tblPrEx>
          <w:tblW w:w="5000" w:type="pct"/>
          <w:tblLook w:val="04A0"/>
        </w:tblPrEx>
        <w:tc>
          <w:tcPr>
            <w:tcW w:w="4927" w:type="dxa"/>
          </w:tcPr>
          <w:p w:rsidR="0025745A" w:rsidRPr="004B2658" w:rsidP="004B2658">
            <w:pPr>
              <w:pStyle w:val="CSbody0bold"/>
              <w:rPr>
                <w:lang w:val="en-GB"/>
              </w:rPr>
            </w:pPr>
            <w:r w:rsidRPr="004B2658">
              <w:rPr>
                <w:lang w:val="en-GB"/>
              </w:rPr>
              <w:t xml:space="preserve">Date: </w:t>
            </w:r>
            <w:r w:rsidRPr="00F94B27" w:rsidR="00F94B27">
              <w:rPr>
                <w:lang w:val="en-GB"/>
              </w:rPr>
              <w:t>[</w:t>
            </w:r>
            <w:r w:rsidRPr="004B2658">
              <w:rPr>
                <w:lang w:val="en-GB"/>
              </w:rPr>
              <w:t xml:space="preserve">insert date of Final Terms: </w:t>
            </w:r>
            <w:r w:rsidRPr="00F94B27" w:rsidR="00F94B27">
              <w:rPr>
                <w:lang w:val="en-GB"/>
              </w:rPr>
              <w:t>[</w:t>
            </w:r>
            <w:r w:rsidRPr="000F4148" w:rsidR="003857E8">
              <w:rPr>
                <w:rFonts w:ascii="Arial" w:hAnsi="Arial" w:cs="Arial"/>
                <w:lang w:val="en-GB"/>
              </w:rPr>
              <w:t>●</w:t>
            </w:r>
            <w:r w:rsidRPr="00F94B27" w:rsidR="00F94B27">
              <w:rPr>
                <w:lang w:val="en-GB"/>
              </w:rPr>
              <w:t>]]</w:t>
            </w:r>
          </w:p>
        </w:tc>
        <w:tc>
          <w:tcPr>
            <w:tcW w:w="4928" w:type="dxa"/>
          </w:tcPr>
          <w:p w:rsidR="0025745A" w:rsidRPr="0025745A" w:rsidP="004B2658">
            <w:pPr>
              <w:pStyle w:val="CSbody0bold"/>
            </w:pPr>
            <w:r w:rsidRPr="0025745A">
              <w:t xml:space="preserve">Datum: </w:t>
            </w:r>
            <w:r w:rsidRPr="00F94B27" w:rsidR="00F94B27">
              <w:t>[</w:t>
            </w:r>
            <w:r w:rsidRPr="0025745A">
              <w:t xml:space="preserve">Datum der Endgültigen Bedingungen einfügen: </w:t>
            </w:r>
            <w:r w:rsidRPr="00F94B27" w:rsidR="00F94B27">
              <w:t>[</w:t>
            </w:r>
            <w:r w:rsidR="003857E8">
              <w:rPr>
                <w:rFonts w:ascii="Arial" w:hAnsi="Arial" w:cs="Arial"/>
              </w:rPr>
              <w:t>●</w:t>
            </w:r>
            <w:r w:rsidRPr="00F94B27" w:rsidR="00F94B27">
              <w:t>]]</w:t>
            </w:r>
          </w:p>
        </w:tc>
      </w:tr>
      <w:tr w:rsidTr="0025745A">
        <w:tblPrEx>
          <w:tblW w:w="5000" w:type="pct"/>
          <w:tblLook w:val="04A0"/>
        </w:tblPrEx>
        <w:tc>
          <w:tcPr>
            <w:tcW w:w="4927" w:type="dxa"/>
          </w:tcPr>
          <w:p w:rsidR="0025745A" w:rsidRPr="00936745" w:rsidP="004B2658">
            <w:pPr>
              <w:pStyle w:val="CSbody0bold"/>
            </w:pPr>
            <w:r w:rsidRPr="00936745">
              <w:t>Documents available</w:t>
            </w:r>
          </w:p>
        </w:tc>
        <w:tc>
          <w:tcPr>
            <w:tcW w:w="4928" w:type="dxa"/>
          </w:tcPr>
          <w:p w:rsidR="0025745A" w:rsidRPr="00936745" w:rsidP="004B2658">
            <w:pPr>
              <w:pStyle w:val="CSbody0bold"/>
            </w:pPr>
            <w:r w:rsidRPr="00936745">
              <w:t>Verfügbare Dokumente</w:t>
            </w:r>
          </w:p>
        </w:tc>
      </w:tr>
      <w:tr w:rsidTr="0025745A">
        <w:tblPrEx>
          <w:tblW w:w="5000" w:type="pct"/>
          <w:tblLook w:val="04A0"/>
        </w:tblPrEx>
        <w:tc>
          <w:tcPr>
            <w:tcW w:w="4927" w:type="dxa"/>
          </w:tcPr>
          <w:p w:rsidR="0025745A" w:rsidRPr="00936745" w:rsidP="00FB111C">
            <w:pPr>
              <w:pStyle w:val="CSBody0"/>
            </w:pPr>
            <w:r w:rsidRPr="00936745">
              <w:t xml:space="preserve">Copies of the Base Prospectus (including any supplement to the Base Prospectus), the documents incorporated by reference into the Base Prospectus (including any supplement to the Base Prospectus), these Final Terms and the articles of association of Credit Suisse can during the validity period of the Base Prospectus be obtained from and will be delivered upon request by the Paying Agent at Credit Suisse AG, </w:t>
            </w:r>
            <w:r w:rsidRPr="00F94B27" w:rsidR="00F94B27">
              <w:rPr>
                <w:b/>
              </w:rPr>
              <w:t>[</w:t>
            </w:r>
            <w:r w:rsidRPr="00936745">
              <w:t>ZUGG 3</w:t>
            </w:r>
            <w:r w:rsidRPr="00F94B27" w:rsidR="00F94B27">
              <w:rPr>
                <w:b/>
              </w:rPr>
              <w:t>][</w:t>
            </w:r>
            <w:r w:rsidRPr="004B2658">
              <w:rPr>
                <w:b/>
                <w:i/>
              </w:rPr>
              <w:t>insert relevant department:</w:t>
            </w:r>
            <w:r w:rsidRPr="00936745">
              <w:t xml:space="preserve"> </w:t>
            </w:r>
            <w:r w:rsidRPr="00F94B27" w:rsidR="00F94B27">
              <w:rPr>
                <w:b/>
              </w:rPr>
              <w:t>[</w:t>
            </w:r>
            <w:r w:rsidR="003857E8">
              <w:rPr>
                <w:rFonts w:ascii="Arial" w:hAnsi="Arial" w:cs="Arial"/>
              </w:rPr>
              <w:t>●</w:t>
            </w:r>
            <w:r w:rsidRPr="00F94B27" w:rsidR="00F94B27">
              <w:rPr>
                <w:b/>
              </w:rPr>
              <w:t>]]</w:t>
            </w:r>
            <w:r w:rsidRPr="00936745">
              <w:t xml:space="preserve">, Transaction Advisory Group, 8070 Zurich, Switzerland, </w:t>
            </w:r>
            <w:r w:rsidRPr="00F94B27" w:rsidR="00F94B27">
              <w:rPr>
                <w:b/>
              </w:rPr>
              <w:t>[</w:t>
            </w:r>
            <w:r w:rsidRPr="004B2658">
              <w:rPr>
                <w:b/>
                <w:i/>
              </w:rPr>
              <w:t>insert in case of Complex Products offered in or into Germany or included to trading on the Open Market (Freiverkehr) of the Frankfurt Stock Exchange:</w:t>
            </w:r>
            <w:r w:rsidRPr="00936745">
              <w:t xml:space="preserve"> or at Credit Suisse Securities (Europe) Limited, Niederlassung Frankfurt am Main, Junghofstrasse 16, 60311 Frankfurt a. M., Germany, in each case</w:t>
            </w:r>
            <w:r w:rsidRPr="00F94B27" w:rsidR="00F94B27">
              <w:rPr>
                <w:b/>
              </w:rPr>
              <w:t>]</w:t>
            </w:r>
            <w:r w:rsidRPr="00936745">
              <w:t xml:space="preserve"> free of charge. Copies of </w:t>
            </w:r>
            <w:r w:rsidRPr="00F94B27" w:rsidR="00F94B27">
              <w:rPr>
                <w:b/>
              </w:rPr>
              <w:t>[</w:t>
            </w:r>
            <w:r w:rsidRPr="004B2658">
              <w:rPr>
                <w:b/>
                <w:i/>
              </w:rPr>
              <w:t>insert in case of a public offer in the EEA:</w:t>
            </w:r>
            <w:r w:rsidRPr="00936745">
              <w:t xml:space="preserve"> these Final Terms, </w:t>
            </w:r>
            <w:r w:rsidRPr="00F94B27" w:rsidR="00F94B27">
              <w:rPr>
                <w:b/>
              </w:rPr>
              <w:t>]</w:t>
            </w:r>
            <w:r w:rsidRPr="00936745">
              <w:t>the Base Prospectus (including any supplement to the Base Prospectus) and the documents incorporated by reference into the Base Prospectus (including any supplement to the Base Prospectus) are also available on the website of Credit Suisse (</w:t>
            </w:r>
            <w:r w:rsidRPr="004B2658">
              <w:rPr>
                <w:b/>
                <w:color w:val="7898B3"/>
              </w:rPr>
              <w:t>www.credit-suisse.com</w:t>
            </w:r>
            <w:r w:rsidR="00815D0A">
              <w:rPr>
                <w:b/>
                <w:color w:val="7898B3"/>
              </w:rPr>
              <w:t>/derivatives</w:t>
            </w:r>
            <w:r w:rsidRPr="00936745">
              <w:t>).</w:t>
            </w:r>
          </w:p>
        </w:tc>
        <w:tc>
          <w:tcPr>
            <w:tcW w:w="4928" w:type="dxa"/>
          </w:tcPr>
          <w:p w:rsidR="0025745A" w:rsidRPr="0025745A" w:rsidP="004B2658">
            <w:pPr>
              <w:pStyle w:val="CSBody0"/>
              <w:rPr>
                <w:lang w:val="de-DE"/>
              </w:rPr>
            </w:pPr>
            <w:r w:rsidRPr="0025745A">
              <w:rPr>
                <w:lang w:val="de-DE"/>
              </w:rPr>
              <w:t xml:space="preserve">Der Basisprospekt (einschliesslich etwaiger Nachträge zum Basisprospekt), die durch Verweis in den Basisprospekt (oder etwaige Nachträge zum Basisprospekt) einbezogenen Dokumente, diese Endgültigen Bedingungen und die Statuten der Credit Suisse sind während der Gültigkeitsdauer des Basisprospekts kostenlos bei der Zahlstelle unter der Anschrift Credit Suisse AG, </w:t>
            </w:r>
            <w:r w:rsidRPr="00F94B27" w:rsidR="00F94B27">
              <w:rPr>
                <w:b/>
                <w:lang w:val="de-DE"/>
              </w:rPr>
              <w:t>[</w:t>
            </w:r>
            <w:r w:rsidRPr="0025745A">
              <w:rPr>
                <w:lang w:val="de-DE"/>
              </w:rPr>
              <w:t>ZUGG 3</w:t>
            </w:r>
            <w:r w:rsidRPr="00F94B27" w:rsidR="00F94B27">
              <w:rPr>
                <w:b/>
                <w:lang w:val="de-DE"/>
              </w:rPr>
              <w:t>][</w:t>
            </w:r>
            <w:r w:rsidRPr="004B2658">
              <w:rPr>
                <w:b/>
                <w:i/>
                <w:lang w:val="de-DE"/>
              </w:rPr>
              <w:t>relevante Abteilung einfügen:</w:t>
            </w:r>
            <w:r w:rsidRPr="0025745A">
              <w:rPr>
                <w:lang w:val="de-DE"/>
              </w:rPr>
              <w:t xml:space="preserve"> </w:t>
            </w:r>
            <w:r w:rsidRPr="00F94B27" w:rsidR="00F94B27">
              <w:rPr>
                <w:b/>
                <w:lang w:val="de-DE"/>
              </w:rPr>
              <w:t>[</w:t>
            </w:r>
            <w:r w:rsidRPr="000F4148" w:rsidR="003857E8">
              <w:rPr>
                <w:rFonts w:ascii="Arial" w:hAnsi="Arial" w:cs="Arial"/>
                <w:lang w:val="de-DE"/>
              </w:rPr>
              <w:t>●</w:t>
            </w:r>
            <w:r w:rsidRPr="00F94B27" w:rsidR="00F94B27">
              <w:rPr>
                <w:b/>
                <w:lang w:val="de-DE"/>
              </w:rPr>
              <w:t>]]</w:t>
            </w:r>
            <w:r w:rsidRPr="0025745A">
              <w:rPr>
                <w:lang w:val="de-DE"/>
              </w:rPr>
              <w:t xml:space="preserve">, Transaction Advisory Group, 8070 Zürich, Schweiz, </w:t>
            </w:r>
            <w:r w:rsidRPr="00F94B27" w:rsidR="00F94B27">
              <w:rPr>
                <w:b/>
                <w:lang w:val="de-DE"/>
              </w:rPr>
              <w:t>[</w:t>
            </w:r>
            <w:r w:rsidRPr="004B2658">
              <w:rPr>
                <w:b/>
                <w:i/>
                <w:lang w:val="de-DE"/>
              </w:rPr>
              <w:t>bei Komplexen Produkten, die in Deutschland oder dorthin angeboten oder in den Handel im Freiverkehr der Frankfurter Wertpapierbörse einbezogen sind, einfügen:</w:t>
            </w:r>
            <w:r w:rsidRPr="0025745A">
              <w:rPr>
                <w:lang w:val="de-DE"/>
              </w:rPr>
              <w:t xml:space="preserve"> oder bei der Credit Suisse Securities (Europe) Limited, Niederlassung Frankfurt am Main, Junghofstrasse 16, 60311 Frankfurt a. M., Deutschland</w:t>
            </w:r>
            <w:r w:rsidRPr="00F94B27" w:rsidR="00F94B27">
              <w:rPr>
                <w:b/>
                <w:lang w:val="de-DE"/>
              </w:rPr>
              <w:t>]</w:t>
            </w:r>
            <w:r w:rsidRPr="0025745A">
              <w:rPr>
                <w:lang w:val="de-DE"/>
              </w:rPr>
              <w:t xml:space="preserve"> erhältlich und werden auf Anfrage kostenlos versandt. Kopien </w:t>
            </w:r>
            <w:r w:rsidRPr="00F94B27" w:rsidR="00F94B27">
              <w:rPr>
                <w:b/>
                <w:lang w:val="de-DE"/>
              </w:rPr>
              <w:t>[</w:t>
            </w:r>
            <w:r w:rsidRPr="004B2658">
              <w:rPr>
                <w:b/>
                <w:i/>
                <w:lang w:val="de-DE"/>
              </w:rPr>
              <w:t>bei einem öffentlichen Angebot im EWR-Raum einfügen:</w:t>
            </w:r>
            <w:r w:rsidRPr="0025745A">
              <w:rPr>
                <w:lang w:val="de-DE"/>
              </w:rPr>
              <w:t xml:space="preserve"> dieser Endgültigen Bedingungen, </w:t>
            </w:r>
            <w:r w:rsidRPr="00F94B27" w:rsidR="00F94B27">
              <w:rPr>
                <w:b/>
                <w:lang w:val="de-DE"/>
              </w:rPr>
              <w:t>]</w:t>
            </w:r>
            <w:r w:rsidRPr="0025745A">
              <w:rPr>
                <w:lang w:val="de-DE"/>
              </w:rPr>
              <w:t>des Basisprospekts (einschliesslich etwaiger Nachträge zum Basisprospekt) und die durch Verweis in den Basisprospekt (oder etwaige Nachträge zum Basisprospekt) einbezogenen Dokumente sind darüber hinaus auch erhältlich auf der Internetseite der Credit Suisse (</w:t>
            </w:r>
            <w:r w:rsidRPr="004B2658">
              <w:rPr>
                <w:b/>
                <w:color w:val="7898B3"/>
                <w:lang w:val="de-DE"/>
              </w:rPr>
              <w:t>www.credit-suisse.com</w:t>
            </w:r>
            <w:r w:rsidR="00815D0A">
              <w:rPr>
                <w:b/>
                <w:color w:val="7898B3"/>
                <w:lang w:val="de-DE"/>
              </w:rPr>
              <w:t>/derivatives</w:t>
            </w:r>
            <w:r w:rsidRPr="0025745A">
              <w:rPr>
                <w:lang w:val="de-DE"/>
              </w:rPr>
              <w:t>).</w:t>
            </w:r>
          </w:p>
        </w:tc>
      </w:tr>
      <w:tr w:rsidTr="0025745A">
        <w:tblPrEx>
          <w:tblW w:w="5000" w:type="pct"/>
          <w:tblLook w:val="04A0"/>
        </w:tblPrEx>
        <w:tc>
          <w:tcPr>
            <w:tcW w:w="4927" w:type="dxa"/>
          </w:tcPr>
          <w:p w:rsidR="00ED46B4" w:rsidRPr="00FC1ED5" w:rsidP="00F02884">
            <w:pPr>
              <w:pStyle w:val="CSbody0bold"/>
            </w:pPr>
            <w:r w:rsidRPr="00FC1ED5">
              <w:t>Terms and Conditions</w:t>
            </w:r>
          </w:p>
        </w:tc>
        <w:tc>
          <w:tcPr>
            <w:tcW w:w="4928" w:type="dxa"/>
          </w:tcPr>
          <w:p w:rsidR="00ED46B4" w:rsidRPr="00FC1ED5" w:rsidP="00F02884">
            <w:pPr>
              <w:pStyle w:val="CSbody0bold"/>
            </w:pPr>
            <w:r w:rsidRPr="00FC1ED5">
              <w:t>Emissionsbedingungen</w:t>
            </w:r>
          </w:p>
        </w:tc>
      </w:tr>
      <w:tr w:rsidTr="0025745A">
        <w:tblPrEx>
          <w:tblW w:w="5000" w:type="pct"/>
          <w:tblLook w:val="04A0"/>
        </w:tblPrEx>
        <w:tc>
          <w:tcPr>
            <w:tcW w:w="4927" w:type="dxa"/>
          </w:tcPr>
          <w:p w:rsidR="00ED46B4" w:rsidRPr="00D67AF6" w:rsidP="00F02884">
            <w:pPr>
              <w:pStyle w:val="CSbody0bold"/>
              <w:rPr>
                <w:lang w:val="en-GB"/>
              </w:rPr>
            </w:pPr>
            <w:r w:rsidRPr="00F94B27">
              <w:rPr>
                <w:lang w:val="en-GB"/>
              </w:rPr>
              <w:t>[</w:t>
            </w:r>
            <w:r w:rsidRPr="00D67AF6">
              <w:rPr>
                <w:i/>
                <w:lang w:val="en-GB"/>
              </w:rPr>
              <w:t>insert Terms and Conditions for the relevant Complex Product as set out in the section entitled "Terms and Conditions" and as completed for the relevant issue of Complex Products</w:t>
            </w:r>
            <w:r w:rsidRPr="00F94B27">
              <w:rPr>
                <w:lang w:val="en-GB"/>
              </w:rPr>
              <w:t>]</w:t>
            </w:r>
          </w:p>
        </w:tc>
        <w:tc>
          <w:tcPr>
            <w:tcW w:w="4928" w:type="dxa"/>
          </w:tcPr>
          <w:p w:rsidR="00ED46B4" w:rsidRPr="00ED46B4" w:rsidP="00FB111C">
            <w:pPr>
              <w:pStyle w:val="CSbody0bold"/>
            </w:pPr>
            <w:r w:rsidRPr="00F94B27">
              <w:t>[</w:t>
            </w:r>
            <w:r w:rsidRPr="00F02884">
              <w:rPr>
                <w:i/>
              </w:rPr>
              <w:t>Emissionsbedingungen für das betreffende Komplexe Produkt einfügen, wie im Abschnitt "Emissionsbedingungen" dargestellt und für das betreffende Komplexe Produkt vervollständigt</w:t>
            </w:r>
            <w:r w:rsidRPr="00F94B27">
              <w:t>]</w:t>
            </w:r>
          </w:p>
        </w:tc>
      </w:tr>
      <w:tr w:rsidTr="0025745A">
        <w:tblPrEx>
          <w:tblW w:w="5000" w:type="pct"/>
          <w:tblLook w:val="04A0"/>
        </w:tblPrEx>
        <w:tc>
          <w:tcPr>
            <w:tcW w:w="4927" w:type="dxa"/>
          </w:tcPr>
          <w:p w:rsidR="00ED46B4" w:rsidRPr="00D67AF6" w:rsidP="00F02884">
            <w:pPr>
              <w:pStyle w:val="CSbody0bold"/>
              <w:rPr>
                <w:lang w:val="en-GB"/>
              </w:rPr>
            </w:pPr>
            <w:r w:rsidRPr="00F94B27">
              <w:rPr>
                <w:lang w:val="en-GB"/>
              </w:rPr>
              <w:t>[</w:t>
            </w:r>
            <w:r w:rsidRPr="00D67AF6">
              <w:rPr>
                <w:i/>
                <w:lang w:val="en-GB"/>
              </w:rPr>
              <w:t>insert in case of an issue not limited to Switzerland:</w:t>
            </w:r>
          </w:p>
        </w:tc>
        <w:tc>
          <w:tcPr>
            <w:tcW w:w="4928" w:type="dxa"/>
          </w:tcPr>
          <w:p w:rsidR="00ED46B4" w:rsidRPr="00ED46B4" w:rsidP="00F02884">
            <w:pPr>
              <w:pStyle w:val="CSbody0bold"/>
            </w:pPr>
            <w:r w:rsidRPr="00F94B27">
              <w:t>[</w:t>
            </w:r>
            <w:r w:rsidRPr="00F02884">
              <w:rPr>
                <w:i/>
              </w:rPr>
              <w:t>einfügen, sofern es sich um eine nicht auf die Schweiz beschränkte Emission handelt:</w:t>
            </w:r>
          </w:p>
        </w:tc>
      </w:tr>
      <w:tr w:rsidTr="0025745A">
        <w:tblPrEx>
          <w:tblW w:w="5000" w:type="pct"/>
          <w:tblLook w:val="04A0"/>
        </w:tblPrEx>
        <w:tc>
          <w:tcPr>
            <w:tcW w:w="4927" w:type="dxa"/>
          </w:tcPr>
          <w:p w:rsidR="00ED46B4" w:rsidRPr="00D67AF6" w:rsidP="00F02884">
            <w:pPr>
              <w:pStyle w:val="CSbody0bold"/>
              <w:rPr>
                <w:lang w:val="en-GB"/>
              </w:rPr>
            </w:pPr>
            <w:r w:rsidRPr="00D67AF6">
              <w:rPr>
                <w:lang w:val="en-GB"/>
              </w:rPr>
              <w:t>Consent to the use of the Base Prospectus</w:t>
            </w:r>
          </w:p>
        </w:tc>
        <w:tc>
          <w:tcPr>
            <w:tcW w:w="4928" w:type="dxa"/>
          </w:tcPr>
          <w:p w:rsidR="00ED46B4" w:rsidRPr="00ED46B4" w:rsidP="00F02884">
            <w:pPr>
              <w:pStyle w:val="CSbody0bold"/>
            </w:pPr>
            <w:r w:rsidRPr="00ED46B4">
              <w:t>Zustimmung zur Verwendung des Basisprospekts</w:t>
            </w:r>
          </w:p>
        </w:tc>
      </w:tr>
      <w:tr w:rsidTr="0025745A">
        <w:tblPrEx>
          <w:tblW w:w="5000" w:type="pct"/>
          <w:tblLook w:val="04A0"/>
        </w:tblPrEx>
        <w:tc>
          <w:tcPr>
            <w:tcW w:w="4927" w:type="dxa"/>
          </w:tcPr>
          <w:p w:rsidR="00ED46B4" w:rsidRPr="00D67AF6" w:rsidP="00FB111C">
            <w:pPr>
              <w:pStyle w:val="CSbody0bold"/>
              <w:rPr>
                <w:lang w:val="en-GB"/>
              </w:rPr>
            </w:pPr>
            <w:r w:rsidRPr="00D67AF6">
              <w:rPr>
                <w:i/>
                <w:lang w:val="en-GB"/>
              </w:rPr>
              <w:t>Insert applicable information from the section "GENERAL INFORMATION ABOUT THIS DOCUMENT", subsection "Consent to the use of the Base Prospectus".</w:t>
            </w:r>
            <w:r w:rsidRPr="00F94B27" w:rsidR="00F94B27">
              <w:rPr>
                <w:lang w:val="en-GB"/>
              </w:rPr>
              <w:t>]</w:t>
            </w:r>
          </w:p>
        </w:tc>
        <w:tc>
          <w:tcPr>
            <w:tcW w:w="4928" w:type="dxa"/>
          </w:tcPr>
          <w:p w:rsidR="00ED46B4" w:rsidRPr="00ED46B4" w:rsidP="00FB111C">
            <w:pPr>
              <w:pStyle w:val="CSbody0bold"/>
            </w:pPr>
            <w:r w:rsidRPr="00F02884">
              <w:rPr>
                <w:i/>
              </w:rPr>
              <w:t>Anwendbare Informationen aus dem Abschnitt "ALLGEMEINE INFORMATIONEN ZU DIESEM DOKUMENT", Unterabschnitt "Zustimmung zur Verwendung des Basisprospekts" einfügen.</w:t>
            </w:r>
            <w:r w:rsidRPr="00F94B27" w:rsidR="00F94B27">
              <w:t>]</w:t>
            </w:r>
          </w:p>
        </w:tc>
      </w:tr>
    </w:tbl>
    <w:p w:rsidR="00EB4A6B" w:rsidRPr="0025745A" w:rsidP="00EB4A6B">
      <w:pPr>
        <w:pStyle w:val="CSBody0"/>
        <w:rPr>
          <w:lang w:val="de-DE"/>
        </w:rPr>
      </w:pPr>
    </w:p>
    <w:p w:rsidR="00EB4A6B" w:rsidRPr="0025745A" w:rsidP="00EB4A6B">
      <w:pPr>
        <w:pStyle w:val="CSBody0"/>
        <w:rPr>
          <w:lang w:val="de-DE"/>
        </w:rPr>
      </w:pPr>
    </w:p>
    <w:p w:rsidR="00EB4A6B" w:rsidRPr="0025745A" w:rsidP="00EB4A6B">
      <w:pPr>
        <w:pStyle w:val="CSBody0"/>
        <w:rPr>
          <w:lang w:val="de-DE"/>
        </w:rPr>
      </w:pPr>
    </w:p>
    <w:p w:rsidR="00EB4A6B" w:rsidRPr="0025745A" w:rsidP="00EB4A6B">
      <w:pPr>
        <w:pStyle w:val="CSBody0"/>
        <w:rPr>
          <w:lang w:val="de-DE"/>
        </w:rPr>
        <w:sectPr w:rsidSect="008A24E8">
          <w:headerReference w:type="default" r:id="rId23"/>
          <w:footerReference w:type="default" r:id="rId24"/>
          <w:headerReference w:type="first" r:id="rId25"/>
          <w:footerReference w:type="first" r:id="rId26"/>
          <w:pgSz w:w="11907" w:h="16839"/>
          <w:pgMar w:top="1440" w:right="1134" w:bottom="1440" w:left="1134" w:header="720" w:footer="720" w:gutter="0"/>
          <w:cols w:space="708"/>
          <w:docGrid w:linePitch="360"/>
        </w:sectPr>
      </w:pPr>
    </w:p>
    <w:tbl>
      <w:tblPr>
        <w:tblStyle w:val="TableGrid"/>
        <w:tblW w:w="5000" w:type="pct"/>
        <w:tblBorders>
          <w:top w:val="nil"/>
          <w:left w:val="nil"/>
          <w:bottom w:val="nil"/>
          <w:right w:val="nil"/>
          <w:insideH w:val="nil"/>
        </w:tblBorders>
        <w:tblLook w:val="04A0"/>
      </w:tblPr>
      <w:tblGrid>
        <w:gridCol w:w="4927"/>
        <w:gridCol w:w="4928"/>
      </w:tblGrid>
      <w:tr w:rsidTr="00ED46B4">
        <w:tblPrEx>
          <w:tblW w:w="5000" w:type="pct"/>
          <w:tblBorders>
            <w:top w:val="nil"/>
            <w:left w:val="nil"/>
            <w:bottom w:val="nil"/>
            <w:right w:val="nil"/>
            <w:insideH w:val="nil"/>
          </w:tblBorders>
          <w:tblLook w:val="04A0"/>
        </w:tblPrEx>
        <w:tc>
          <w:tcPr>
            <w:tcW w:w="4927" w:type="dxa"/>
          </w:tcPr>
          <w:p w:rsidR="00EB4A6B" w:rsidRPr="001617A1" w:rsidP="00D82500">
            <w:pPr>
              <w:pStyle w:val="CSHeading1EN"/>
            </w:pPr>
            <w:bookmarkStart w:id="45" w:name="_Toc438227519"/>
            <w:r w:rsidRPr="001617A1">
              <w:t>ISSUE SPECIFIC SUMMARY</w:t>
            </w:r>
            <w:bookmarkEnd w:id="45"/>
          </w:p>
        </w:tc>
        <w:tc>
          <w:tcPr>
            <w:tcW w:w="4928" w:type="dxa"/>
          </w:tcPr>
          <w:p w:rsidR="00EB4A6B" w:rsidP="00D82500">
            <w:pPr>
              <w:pStyle w:val="CSHeading1DE"/>
            </w:pPr>
            <w:bookmarkStart w:id="46" w:name="_Toc438160267"/>
            <w:r w:rsidRPr="001617A1">
              <w:t>EMISSIONSSPEZIFISCHE ZUSAMMENFASSUNG</w:t>
            </w:r>
            <w:bookmarkEnd w:id="46"/>
          </w:p>
        </w:tc>
      </w:tr>
      <w:tr w:rsidTr="00ED46B4">
        <w:tblPrEx>
          <w:tblW w:w="5000" w:type="pct"/>
          <w:tblLook w:val="04A0"/>
        </w:tblPrEx>
        <w:tc>
          <w:tcPr>
            <w:tcW w:w="4927" w:type="dxa"/>
          </w:tcPr>
          <w:p w:rsidR="00ED46B4" w:rsidRPr="00D67AF6" w:rsidP="00F02884">
            <w:pPr>
              <w:pStyle w:val="CSbody0bold"/>
              <w:rPr>
                <w:lang w:val="en-GB"/>
              </w:rPr>
            </w:pPr>
            <w:r w:rsidRPr="00F94B27">
              <w:rPr>
                <w:lang w:val="en-GB"/>
              </w:rPr>
              <w:t>[</w:t>
            </w:r>
            <w:r w:rsidRPr="00D67AF6">
              <w:rPr>
                <w:i/>
                <w:lang w:val="en-GB"/>
              </w:rPr>
              <w:t>insert in case of Complex Products publicly offered in the EEA:</w:t>
            </w:r>
          </w:p>
        </w:tc>
        <w:tc>
          <w:tcPr>
            <w:tcW w:w="4928" w:type="dxa"/>
          </w:tcPr>
          <w:p w:rsidR="00ED46B4" w:rsidRPr="00ED46B4" w:rsidP="00FB111C">
            <w:pPr>
              <w:pStyle w:val="CSbody0bold"/>
            </w:pPr>
            <w:r w:rsidRPr="00F94B27">
              <w:t>[</w:t>
            </w:r>
            <w:r w:rsidRPr="00D67AF6">
              <w:rPr>
                <w:i/>
              </w:rPr>
              <w:t>Einfügen bei Komplexen Produkten, die im EWRRaum öffentlich angeboten werden:</w:t>
            </w:r>
          </w:p>
        </w:tc>
      </w:tr>
      <w:tr w:rsidTr="00ED46B4">
        <w:tblPrEx>
          <w:tblW w:w="5000" w:type="pct"/>
          <w:tblLook w:val="04A0"/>
        </w:tblPrEx>
        <w:tc>
          <w:tcPr>
            <w:tcW w:w="4927" w:type="dxa"/>
          </w:tcPr>
          <w:p w:rsidR="00ED46B4" w:rsidRPr="00720425" w:rsidP="00F02884">
            <w:pPr>
              <w:pStyle w:val="CSbody0bold"/>
            </w:pPr>
            <w:r w:rsidRPr="00F94B27">
              <w:t>[</w:t>
            </w:r>
            <w:r w:rsidRPr="00D67AF6">
              <w:rPr>
                <w:i/>
              </w:rPr>
              <w:t>insert issue specific summary</w:t>
            </w:r>
            <w:r w:rsidRPr="00F94B27">
              <w:t>]]</w:t>
            </w:r>
          </w:p>
        </w:tc>
        <w:tc>
          <w:tcPr>
            <w:tcW w:w="4928" w:type="dxa"/>
          </w:tcPr>
          <w:p w:rsidR="00ED46B4" w:rsidP="00F02884">
            <w:pPr>
              <w:pStyle w:val="CSbody0bold"/>
            </w:pPr>
            <w:r w:rsidRPr="00F94B27">
              <w:t>[</w:t>
            </w:r>
            <w:r w:rsidRPr="00D67AF6">
              <w:rPr>
                <w:i/>
              </w:rPr>
              <w:t>Emissionsspezifische Zusammenfassung einfügen</w:t>
            </w:r>
            <w:r w:rsidRPr="00F94B27">
              <w:t>]]</w:t>
            </w:r>
          </w:p>
        </w:tc>
      </w:tr>
    </w:tbl>
    <w:p w:rsidR="00EB4A6B" w:rsidP="00B629AC">
      <w:pPr>
        <w:pStyle w:val="CSBody0"/>
      </w:pPr>
    </w:p>
    <w:p w:rsidR="00EB4A6B" w:rsidP="00EB4A6B">
      <w:pPr>
        <w:pStyle w:val="CSBody0"/>
      </w:pPr>
    </w:p>
    <w:p w:rsidR="00EB4A6B" w:rsidP="00EB4A6B">
      <w:pPr>
        <w:pStyle w:val="CSBody0"/>
        <w:sectPr w:rsidSect="008A24E8">
          <w:headerReference w:type="default" r:id="rId27"/>
          <w:footerReference w:type="default" r:id="rId28"/>
          <w:headerReference w:type="first" r:id="rId29"/>
          <w:footerReference w:type="first" r:id="rId30"/>
          <w:pgSz w:w="11907" w:h="16839"/>
          <w:pgMar w:top="1440" w:right="1134" w:bottom="1440" w:left="1134" w:header="720" w:footer="720" w:gutter="0"/>
          <w:cols w:space="708"/>
          <w:docGrid w:linePitch="360"/>
        </w:sectPr>
      </w:pPr>
    </w:p>
    <w:tbl>
      <w:tblPr>
        <w:tblStyle w:val="TableGrid"/>
        <w:tblW w:w="5000" w:type="pct"/>
        <w:tblBorders>
          <w:top w:val="nil"/>
          <w:left w:val="nil"/>
          <w:bottom w:val="nil"/>
          <w:right w:val="nil"/>
          <w:insideH w:val="nil"/>
        </w:tblBorders>
        <w:tblLook w:val="04A0"/>
      </w:tblPr>
      <w:tblGrid>
        <w:gridCol w:w="4927"/>
        <w:gridCol w:w="4928"/>
      </w:tblGrid>
      <w:tr w:rsidTr="00ED46B4">
        <w:tblPrEx>
          <w:tblW w:w="5000" w:type="pct"/>
          <w:tblBorders>
            <w:top w:val="nil"/>
            <w:left w:val="nil"/>
            <w:bottom w:val="nil"/>
            <w:right w:val="nil"/>
            <w:insideH w:val="nil"/>
          </w:tblBorders>
          <w:tblLook w:val="04A0"/>
        </w:tblPrEx>
        <w:tc>
          <w:tcPr>
            <w:tcW w:w="4927" w:type="dxa"/>
          </w:tcPr>
          <w:p w:rsidR="00EB4A6B" w:rsidRPr="00B26335" w:rsidP="00D82500">
            <w:pPr>
              <w:pStyle w:val="CSHeading1EN"/>
            </w:pPr>
            <w:bookmarkStart w:id="47" w:name="_Toc438227520"/>
            <w:r w:rsidRPr="00B26335">
              <w:t>ADDITIONAL INFORMATION IN CASE OF FINAL TERMS FOR A LISTING ON THE SIX SWISS EXCHANGE</w:t>
            </w:r>
            <w:bookmarkEnd w:id="47"/>
          </w:p>
        </w:tc>
        <w:tc>
          <w:tcPr>
            <w:tcW w:w="4928" w:type="dxa"/>
          </w:tcPr>
          <w:p w:rsidR="00EB4A6B" w:rsidRPr="00B34C1C" w:rsidP="00D82500">
            <w:pPr>
              <w:pStyle w:val="CSHeading1DE"/>
              <w:rPr>
                <w:lang w:val="de-DE"/>
              </w:rPr>
            </w:pPr>
            <w:bookmarkStart w:id="48" w:name="_Toc438160268"/>
            <w:r w:rsidRPr="00B34C1C">
              <w:rPr>
                <w:lang w:val="de-DE"/>
              </w:rPr>
              <w:t>ZUSATZINFORMATIONEN BEI ENDGÜLTIGEN BEDINGUNGEN FÜR EIN LISTING AN DER SIX SWISS EXCHANGE</w:t>
            </w:r>
            <w:bookmarkEnd w:id="48"/>
          </w:p>
        </w:tc>
      </w:tr>
      <w:tr w:rsidTr="00ED46B4">
        <w:tblPrEx>
          <w:tblW w:w="5000" w:type="pct"/>
          <w:tblLook w:val="04A0"/>
        </w:tblPrEx>
        <w:tc>
          <w:tcPr>
            <w:tcW w:w="4927" w:type="dxa"/>
          </w:tcPr>
          <w:p w:rsidR="00ED46B4" w:rsidRPr="00D67AF6" w:rsidP="00D67AF6">
            <w:pPr>
              <w:pStyle w:val="CSbody0bolditalic"/>
              <w:rPr>
                <w:lang w:val="en-GB"/>
              </w:rPr>
            </w:pPr>
            <w:r w:rsidRPr="00F94B27">
              <w:rPr>
                <w:lang w:val="en-GB"/>
              </w:rPr>
              <w:t>[</w:t>
            </w:r>
            <w:r w:rsidRPr="00D67AF6">
              <w:rPr>
                <w:lang w:val="en-GB"/>
              </w:rPr>
              <w:t xml:space="preserve">in case of Final Terms for Complex Products listed on the SIX Swiss Exchange insert: </w:t>
            </w:r>
          </w:p>
        </w:tc>
        <w:tc>
          <w:tcPr>
            <w:tcW w:w="4928" w:type="dxa"/>
          </w:tcPr>
          <w:p w:rsidR="00ED46B4" w:rsidRPr="00ED46B4" w:rsidP="00FB111C">
            <w:pPr>
              <w:pStyle w:val="CSbody0bolditalic"/>
            </w:pPr>
            <w:r w:rsidRPr="00F94B27">
              <w:t>[</w:t>
            </w:r>
            <w:r w:rsidRPr="00ED46B4">
              <w:t>bei Endgültigen Bedingungen für Komplexe Produkte, die an der SIX Swiss Exchange notiert werden, einfügen:</w:t>
            </w:r>
          </w:p>
        </w:tc>
      </w:tr>
      <w:tr w:rsidTr="00ED46B4">
        <w:tblPrEx>
          <w:tblW w:w="5000" w:type="pct"/>
          <w:tblLook w:val="04A0"/>
        </w:tblPrEx>
        <w:tc>
          <w:tcPr>
            <w:tcW w:w="4927" w:type="dxa"/>
          </w:tcPr>
          <w:p w:rsidR="00ED46B4" w:rsidRPr="00D67AF6" w:rsidP="00FB111C">
            <w:pPr>
              <w:pStyle w:val="CSbody0bolditalic"/>
              <w:rPr>
                <w:lang w:val="en-GB"/>
              </w:rPr>
            </w:pPr>
            <w:r w:rsidRPr="00F94B27">
              <w:rPr>
                <w:lang w:val="en-GB"/>
              </w:rPr>
              <w:t>[</w:t>
            </w:r>
            <w:r w:rsidRPr="00D67AF6">
              <w:rPr>
                <w:lang w:val="en-GB"/>
              </w:rPr>
              <w:t>in case of Final Terms that are not deposited with BaFin, insert:</w:t>
            </w:r>
          </w:p>
        </w:tc>
        <w:tc>
          <w:tcPr>
            <w:tcW w:w="4928" w:type="dxa"/>
          </w:tcPr>
          <w:p w:rsidR="00ED46B4" w:rsidRPr="00ED46B4" w:rsidP="00D67AF6">
            <w:pPr>
              <w:pStyle w:val="CSbody0bolditalic"/>
            </w:pPr>
            <w:r w:rsidRPr="00F94B27">
              <w:t>[</w:t>
            </w:r>
            <w:r w:rsidRPr="00ED46B4">
              <w:t>bei Endgültigen Bedingungen, die nicht bei der BaFin hinterlegt werden, einfügen:</w:t>
            </w:r>
          </w:p>
        </w:tc>
      </w:tr>
      <w:tr w:rsidTr="00ED46B4">
        <w:tblPrEx>
          <w:tblW w:w="5000" w:type="pct"/>
          <w:tblLook w:val="04A0"/>
        </w:tblPrEx>
        <w:tc>
          <w:tcPr>
            <w:tcW w:w="4927" w:type="dxa"/>
          </w:tcPr>
          <w:p w:rsidR="00ED46B4" w:rsidRPr="00452BF8" w:rsidP="00DE754F">
            <w:pPr>
              <w:pStyle w:val="CSBody0"/>
            </w:pPr>
            <w:r w:rsidRPr="00452BF8">
              <w:t xml:space="preserve">This Document does not constitute final terms of the offer within the meaning of art. 22 (4) of the Commission Regulation (EC) No. 809|2004 and </w:t>
            </w:r>
            <w:r w:rsidR="00674A5A">
              <w:t>§ </w:t>
            </w:r>
            <w:r w:rsidRPr="00452BF8">
              <w:t>6 (3) of the German Securities Prospectus Act (</w:t>
            </w:r>
            <w:r w:rsidRPr="00D67AF6">
              <w:rPr>
                <w:i/>
              </w:rPr>
              <w:t>Wertpapierprospektgesetz</w:t>
            </w:r>
            <w:r w:rsidRPr="00452BF8">
              <w:t>, "</w:t>
            </w:r>
            <w:r w:rsidRPr="00D67AF6">
              <w:rPr>
                <w:b/>
              </w:rPr>
              <w:t>WpPG</w:t>
            </w:r>
            <w:r w:rsidRPr="00452BF8">
              <w:t>"), in each case as amended, and has not been deposited with the Bundesanstalt für Finanzdienstleistungsaufsicht ("BaFin").</w:t>
            </w:r>
            <w:r w:rsidRPr="00F94B27" w:rsidR="00F94B27">
              <w:rPr>
                <w:b/>
              </w:rPr>
              <w:t>]</w:t>
            </w:r>
          </w:p>
        </w:tc>
        <w:tc>
          <w:tcPr>
            <w:tcW w:w="4928" w:type="dxa"/>
          </w:tcPr>
          <w:p w:rsidR="00ED46B4" w:rsidRPr="00ED46B4" w:rsidP="00DE754F">
            <w:pPr>
              <w:pStyle w:val="CSBody0"/>
              <w:rPr>
                <w:lang w:val="de-DE"/>
              </w:rPr>
            </w:pPr>
            <w:r w:rsidRPr="00ED46B4">
              <w:rPr>
                <w:lang w:val="de-DE"/>
              </w:rPr>
              <w:t xml:space="preserve">Dieses Dokument stellt keine endgültigen Bedingungen des Angebots im Sinne von Art. 22 (4) der Verordnung (EG) Nr. 809|2004 der Kommission und von </w:t>
            </w:r>
            <w:r w:rsidR="00674A5A">
              <w:rPr>
                <w:lang w:val="de-DE"/>
              </w:rPr>
              <w:t>§ </w:t>
            </w:r>
            <w:r w:rsidRPr="00ED46B4">
              <w:rPr>
                <w:lang w:val="de-DE"/>
              </w:rPr>
              <w:t>6 Abs. 3 des deutschen Wertpapierprospektgesetzes ("</w:t>
            </w:r>
            <w:r w:rsidRPr="00D67AF6">
              <w:rPr>
                <w:b/>
                <w:lang w:val="de-DE"/>
              </w:rPr>
              <w:t>WpPG</w:t>
            </w:r>
            <w:r w:rsidRPr="00ED46B4">
              <w:rPr>
                <w:lang w:val="de-DE"/>
              </w:rPr>
              <w:t>"), beide in der jeweils geltenden Fassung, dar und wurde nicht bei der Bundesanstalt für Finanzdienstleistungsaufsicht ("</w:t>
            </w:r>
            <w:r w:rsidRPr="00D67AF6">
              <w:rPr>
                <w:b/>
                <w:lang w:val="de-DE"/>
              </w:rPr>
              <w:t>BaFin</w:t>
            </w:r>
            <w:r w:rsidRPr="00ED46B4">
              <w:rPr>
                <w:lang w:val="de-DE"/>
              </w:rPr>
              <w:t>") hinterlegt.</w:t>
            </w:r>
            <w:r w:rsidRPr="00F94B27" w:rsidR="00F94B27">
              <w:rPr>
                <w:b/>
                <w:lang w:val="de-DE"/>
              </w:rPr>
              <w:t>]</w:t>
            </w:r>
          </w:p>
        </w:tc>
      </w:tr>
      <w:tr w:rsidTr="00ED46B4">
        <w:tblPrEx>
          <w:tblW w:w="5000" w:type="pct"/>
          <w:tblLook w:val="04A0"/>
        </w:tblPrEx>
        <w:tc>
          <w:tcPr>
            <w:tcW w:w="4927" w:type="dxa"/>
          </w:tcPr>
          <w:p w:rsidR="00ED46B4" w:rsidRPr="00452BF8" w:rsidP="00D67AF6">
            <w:pPr>
              <w:pStyle w:val="CSbody0bold"/>
            </w:pPr>
            <w:r w:rsidRPr="00452BF8">
              <w:t>Significant or Material Change</w:t>
            </w:r>
          </w:p>
        </w:tc>
        <w:tc>
          <w:tcPr>
            <w:tcW w:w="4928" w:type="dxa"/>
          </w:tcPr>
          <w:p w:rsidR="00ED46B4" w:rsidRPr="00452BF8" w:rsidP="00D67AF6">
            <w:pPr>
              <w:pStyle w:val="CSbody0bold"/>
            </w:pPr>
            <w:r w:rsidRPr="00452BF8">
              <w:t>Bedeutende oder wesentliche Änderungen</w:t>
            </w:r>
          </w:p>
        </w:tc>
      </w:tr>
      <w:tr w:rsidTr="00ED46B4">
        <w:tblPrEx>
          <w:tblW w:w="5000" w:type="pct"/>
          <w:tblLook w:val="04A0"/>
        </w:tblPrEx>
        <w:tc>
          <w:tcPr>
            <w:tcW w:w="4927" w:type="dxa"/>
          </w:tcPr>
          <w:p w:rsidR="00ED46B4" w:rsidRPr="00452BF8" w:rsidP="0036588F">
            <w:pPr>
              <w:pStyle w:val="CSBody0"/>
            </w:pPr>
            <w:r w:rsidRPr="00452BF8">
              <w:t xml:space="preserve">There has been no significant change in the financial or trading position of Credit Suisse (including its </w:t>
            </w:r>
            <w:r w:rsidR="00815D0A">
              <w:t>consolidated</w:t>
            </w:r>
            <w:r w:rsidR="0036588F">
              <w:t xml:space="preserve"> subsidiaries) since 30</w:t>
            </w:r>
            <w:r w:rsidRPr="00452BF8">
              <w:t xml:space="preserve"> </w:t>
            </w:r>
            <w:r w:rsidR="0036588F">
              <w:t>September</w:t>
            </w:r>
            <w:r w:rsidRPr="00452BF8">
              <w:t xml:space="preserve"> 2015, and there has been no material adverse change in the prospects of Credit Suisse (including its </w:t>
            </w:r>
            <w:r w:rsidR="00815D0A">
              <w:t>consolidated</w:t>
            </w:r>
            <w:r w:rsidRPr="00452BF8">
              <w:t xml:space="preserve"> subsidiaries) since 31 December 2014.</w:t>
            </w:r>
            <w:r w:rsidRPr="00F94B27" w:rsidR="00F94B27">
              <w:rPr>
                <w:b/>
              </w:rPr>
              <w:t>]</w:t>
            </w:r>
          </w:p>
        </w:tc>
        <w:tc>
          <w:tcPr>
            <w:tcW w:w="4928" w:type="dxa"/>
          </w:tcPr>
          <w:p w:rsidR="00ED46B4" w:rsidRPr="00ED46B4" w:rsidP="0036588F">
            <w:pPr>
              <w:pStyle w:val="CSBody0"/>
              <w:rPr>
                <w:lang w:val="de-DE"/>
              </w:rPr>
            </w:pPr>
            <w:r>
              <w:rPr>
                <w:lang w:val="de-DE"/>
              </w:rPr>
              <w:t>Es ist seit dem 30</w:t>
            </w:r>
            <w:r w:rsidRPr="00ED46B4">
              <w:rPr>
                <w:lang w:val="de-DE"/>
              </w:rPr>
              <w:t xml:space="preserve">. </w:t>
            </w:r>
            <w:r>
              <w:rPr>
                <w:lang w:val="de-DE"/>
              </w:rPr>
              <w:t>September</w:t>
            </w:r>
            <w:r w:rsidRPr="00ED46B4">
              <w:rPr>
                <w:lang w:val="de-DE"/>
              </w:rPr>
              <w:t xml:space="preserve"> 2015 keine wesentliche Veränderung in der Finanzlage bzw. der Handelsposition der Credit Suisse (einschliesslich ihrer </w:t>
            </w:r>
            <w:r w:rsidR="00815D0A">
              <w:rPr>
                <w:lang w:val="de-DE"/>
              </w:rPr>
              <w:t xml:space="preserve">konsolidierte </w:t>
            </w:r>
            <w:r w:rsidRPr="00ED46B4">
              <w:rPr>
                <w:lang w:val="de-DE"/>
              </w:rPr>
              <w:t xml:space="preserve">Tochtergesellschaften) eingetreten und seit dem 31. Dezember 2014 keine wesentliche negative Veränderung in den Aussichten der Credit Suisse (einschliesslich ihrer </w:t>
            </w:r>
            <w:r w:rsidR="00815D0A">
              <w:rPr>
                <w:lang w:val="de-DE"/>
              </w:rPr>
              <w:t xml:space="preserve">konsolidierten </w:t>
            </w:r>
            <w:r w:rsidRPr="00ED46B4">
              <w:rPr>
                <w:lang w:val="de-DE"/>
              </w:rPr>
              <w:t>Tochtergesellschaften) eingetreten.</w:t>
            </w:r>
            <w:r w:rsidRPr="00F94B27" w:rsidR="00F94B27">
              <w:rPr>
                <w:b/>
                <w:lang w:val="de-DE"/>
              </w:rPr>
              <w:t>]</w:t>
            </w:r>
          </w:p>
        </w:tc>
      </w:tr>
      <w:tr w:rsidTr="00ED46B4">
        <w:tblPrEx>
          <w:tblW w:w="5000" w:type="pct"/>
          <w:tblLook w:val="04A0"/>
        </w:tblPrEx>
        <w:tc>
          <w:tcPr>
            <w:tcW w:w="4927" w:type="dxa"/>
          </w:tcPr>
          <w:p w:rsidR="00ED46B4" w:rsidRPr="00DE754F" w:rsidP="00FB111C">
            <w:pPr>
              <w:pStyle w:val="CSbody0bolditalic"/>
              <w:rPr>
                <w:lang w:val="en-GB"/>
              </w:rPr>
            </w:pPr>
            <w:r w:rsidRPr="00F94B27">
              <w:rPr>
                <w:lang w:val="en-GB"/>
              </w:rPr>
              <w:t>[</w:t>
            </w:r>
            <w:r w:rsidRPr="00DE754F">
              <w:rPr>
                <w:lang w:val="en-GB"/>
              </w:rPr>
              <w:t>in case of Final Terms for Complex Products listed on the SIX Swiss Exchange, insert the paragraphs "Representative" and "Responsibility Statement", as set out in the sections entitled "Additional Information" and "Responsibility Statement and Signature Page" below</w:t>
            </w:r>
            <w:r w:rsidRPr="00F94B27">
              <w:rPr>
                <w:lang w:val="en-GB"/>
              </w:rPr>
              <w:t>]</w:t>
            </w:r>
          </w:p>
        </w:tc>
        <w:tc>
          <w:tcPr>
            <w:tcW w:w="4928" w:type="dxa"/>
          </w:tcPr>
          <w:p w:rsidR="00ED46B4" w:rsidRPr="00ED46B4" w:rsidP="00D67AF6">
            <w:pPr>
              <w:pStyle w:val="CSbody0bolditalic"/>
            </w:pPr>
            <w:r w:rsidRPr="00F94B27">
              <w:t>[</w:t>
            </w:r>
            <w:r w:rsidRPr="00ED46B4">
              <w:t>bei Endgültigen Bedingungen für Komplexe Produkte, die an der SIX Swiss Exchange notiert werden, sind die Absätze "Vertreter" und "Verantwortlichkeitserklärung" wie in den Abschnitten "Zusätzliche Informationen" und "Verantwortlichkeitserklärung und Unterschriftenseite" unten dargestellt einzufügen</w:t>
            </w:r>
            <w:r w:rsidRPr="00F94B27">
              <w:t>]</w:t>
            </w:r>
          </w:p>
        </w:tc>
      </w:tr>
    </w:tbl>
    <w:p w:rsidR="00EB4A6B" w:rsidRPr="00B34C1C" w:rsidP="00EB4A6B">
      <w:pPr>
        <w:pStyle w:val="CSBody0"/>
        <w:rPr>
          <w:lang w:val="de-DE"/>
        </w:rPr>
      </w:pPr>
    </w:p>
    <w:p w:rsidR="00EB4A6B" w:rsidRPr="00B34C1C" w:rsidP="00EB4A6B">
      <w:pPr>
        <w:pStyle w:val="CSBody0"/>
        <w:rPr>
          <w:lang w:val="de-DE"/>
        </w:rPr>
      </w:pPr>
    </w:p>
    <w:p w:rsidR="00EB4A6B" w:rsidRPr="00B34C1C" w:rsidP="00EB4A6B">
      <w:pPr>
        <w:pStyle w:val="CSBody0"/>
        <w:rPr>
          <w:lang w:val="de-DE"/>
        </w:rPr>
        <w:sectPr w:rsidSect="008A24E8">
          <w:headerReference w:type="default" r:id="rId31"/>
          <w:footerReference w:type="default" r:id="rId32"/>
          <w:headerReference w:type="first" r:id="rId33"/>
          <w:footerReference w:type="first" r:id="rId34"/>
          <w:pgSz w:w="11907" w:h="16839"/>
          <w:pgMar w:top="1440" w:right="1134" w:bottom="1440" w:left="1134" w:header="720" w:footer="720" w:gutter="0"/>
          <w:cols w:space="708"/>
          <w:docGrid w:linePitch="360"/>
        </w:sectPr>
      </w:pPr>
    </w:p>
    <w:tbl>
      <w:tblPr>
        <w:tblW w:w="5000" w:type="pct"/>
        <w:tblLook w:val="00A0"/>
      </w:tblPr>
      <w:tblGrid>
        <w:gridCol w:w="4926"/>
        <w:gridCol w:w="4929"/>
      </w:tblGrid>
      <w:tr w:rsidTr="005A78B7">
        <w:tblPrEx>
          <w:tblW w:w="5000" w:type="pct"/>
          <w:tblLook w:val="00A0"/>
        </w:tblPrEx>
        <w:tc>
          <w:tcPr>
            <w:tcW w:w="2499" w:type="pct"/>
            <w:tcBorders>
              <w:right w:val="single" w:sz="4" w:space="0" w:color="auto"/>
            </w:tcBorders>
          </w:tcPr>
          <w:p w:rsidR="003D2192" w:rsidRPr="002B2A24" w:rsidP="00942F00">
            <w:pPr>
              <w:pStyle w:val="CSHeading1EN"/>
            </w:pPr>
            <w:bookmarkStart w:id="49" w:name="_Toc357606505"/>
            <w:bookmarkStart w:id="50" w:name="_Toc388983402"/>
            <w:bookmarkStart w:id="51" w:name="_Toc422862202"/>
            <w:bookmarkStart w:id="52" w:name="_Toc438227521"/>
            <w:r w:rsidRPr="002B2A24">
              <w:t>DOCUMENTS INCORPORATED BY REFERENCE</w:t>
            </w:r>
            <w:bookmarkEnd w:id="49"/>
            <w:bookmarkEnd w:id="50"/>
            <w:bookmarkEnd w:id="51"/>
            <w:bookmarkEnd w:id="52"/>
          </w:p>
        </w:tc>
        <w:tc>
          <w:tcPr>
            <w:tcW w:w="2501" w:type="pct"/>
            <w:tcBorders>
              <w:left w:val="single" w:sz="4" w:space="0" w:color="auto"/>
            </w:tcBorders>
            <w:shd w:val="clear" w:color="auto" w:fill="auto"/>
          </w:tcPr>
          <w:p w:rsidR="003D2192" w:rsidRPr="002B2A24" w:rsidP="00942F00">
            <w:pPr>
              <w:pStyle w:val="CSHeading1DE"/>
              <w:rPr>
                <w:lang w:val="de-DE"/>
              </w:rPr>
            </w:pPr>
            <w:bookmarkStart w:id="53" w:name="_Toc221434524"/>
            <w:bookmarkStart w:id="54" w:name="_Toc221498535"/>
            <w:bookmarkStart w:id="55" w:name="_Ref234319574"/>
            <w:bookmarkStart w:id="56" w:name="_Toc357606546"/>
            <w:bookmarkStart w:id="57" w:name="_Toc388983487"/>
            <w:bookmarkStart w:id="58" w:name="_Toc422862255"/>
            <w:bookmarkStart w:id="59" w:name="_Toc438160269"/>
            <w:r w:rsidRPr="002B2A24">
              <w:rPr>
                <w:lang w:val="de-DE"/>
              </w:rPr>
              <w:t>DURCH VERWEIS EINBEZOGENE DOKUMENTE</w:t>
            </w:r>
            <w:bookmarkEnd w:id="53"/>
            <w:bookmarkEnd w:id="54"/>
            <w:bookmarkEnd w:id="55"/>
            <w:bookmarkEnd w:id="56"/>
            <w:bookmarkEnd w:id="57"/>
            <w:bookmarkEnd w:id="58"/>
            <w:bookmarkEnd w:id="59"/>
            <w:r w:rsidRPr="002B2A24">
              <w:rPr>
                <w:lang w:val="de-DE"/>
              </w:rPr>
              <w:t xml:space="preserve"> </w:t>
            </w:r>
          </w:p>
        </w:tc>
      </w:tr>
      <w:tr w:rsidTr="005A78B7">
        <w:tblPrEx>
          <w:tblW w:w="5000" w:type="pct"/>
          <w:tblLook w:val="00A0"/>
        </w:tblPrEx>
        <w:tc>
          <w:tcPr>
            <w:tcW w:w="2499" w:type="pct"/>
            <w:tcBorders>
              <w:right w:val="single" w:sz="4" w:space="0" w:color="auto"/>
            </w:tcBorders>
          </w:tcPr>
          <w:p w:rsidR="003D2192" w:rsidRPr="00B8302C">
            <w:pPr>
              <w:pStyle w:val="CSBody0"/>
            </w:pPr>
            <w:r w:rsidRPr="00B8302C">
              <w:t xml:space="preserve">For the purpose of providing information in respect of Credit Suisse, the following documents (see nos. (1) to </w:t>
            </w:r>
            <w:r w:rsidR="004876A3">
              <w:t>(</w:t>
            </w:r>
            <w:r w:rsidR="00090525">
              <w:t>13</w:t>
            </w:r>
            <w:r w:rsidR="004876A3">
              <w:t>)</w:t>
            </w:r>
            <w:r w:rsidRPr="00B8302C">
              <w:t xml:space="preserve"> below), all of which have been previously published and filed with the Commission de Surveillance du Secteur Financier in its capacity as competent authority under the Luxembourg Act of 10 July 2005 on prospectuses for securities within the context of a procedure for the approval of the base prospectus for the Euro Medium Term Note Programme of Credit Suisse dated 13 May 2015, may during the validity period of the Base Prospectus be obtained, free of charge, (i) from the Paying Agent at Credit Suisse AG, ZUGG 3, Transaction Advisory Group, 8070 Zurich, Switzerland, (ii) in case of Complex Products offered in or into Germany or included to trading on the Open Market </w:t>
            </w:r>
            <w:r w:rsidRPr="00B8302C">
              <w:rPr>
                <w:lang w:val="en-US"/>
              </w:rPr>
              <w:t>(</w:t>
            </w:r>
            <w:r w:rsidRPr="00B8302C">
              <w:rPr>
                <w:i/>
                <w:lang w:val="en-US"/>
              </w:rPr>
              <w:t>Freiverkehr</w:t>
            </w:r>
            <w:r w:rsidRPr="00B8302C">
              <w:t>) of the Frankfurt Stock Exchange, at Credit Suisse Securities (Europe) Limited,</w:t>
            </w:r>
            <w:r w:rsidRPr="00B8302C">
              <w:rPr>
                <w:lang w:val="en-US"/>
              </w:rPr>
              <w:t xml:space="preserve"> Niederlassung</w:t>
            </w:r>
            <w:r w:rsidRPr="00B8302C">
              <w:t xml:space="preserve"> Frankfurt am Main,</w:t>
            </w:r>
            <w:r w:rsidRPr="00B8302C">
              <w:rPr>
                <w:lang w:val="en-US"/>
              </w:rPr>
              <w:t xml:space="preserve"> Junghofstrasse</w:t>
            </w:r>
            <w:r w:rsidRPr="00B8302C">
              <w:t xml:space="preserve"> 16, 60311 Frankfurt a. M., Germany, and on the website of Credit Suisse (</w:t>
            </w:r>
            <w:r>
              <w:fldChar w:fldCharType="begin"/>
            </w:r>
            <w:r>
              <w:instrText xml:space="preserve"> HYPERLINK "http://www.credit-suisse.com" </w:instrText>
            </w:r>
            <w:r>
              <w:fldChar w:fldCharType="separate"/>
            </w:r>
            <w:r w:rsidRPr="00BE7C9A">
              <w:rPr>
                <w:rStyle w:val="Hyperlink"/>
                <w:b/>
                <w:color w:val="7898B3"/>
              </w:rPr>
              <w:t>www.credit-suisse.com</w:t>
            </w:r>
            <w:r>
              <w:fldChar w:fldCharType="end"/>
            </w:r>
            <w:r w:rsidRPr="00BE7C9A">
              <w:rPr>
                <w:rStyle w:val="Hyperlink"/>
                <w:b/>
                <w:color w:val="7898B3"/>
              </w:rPr>
              <w:t>/derivatives</w:t>
            </w:r>
            <w:r w:rsidRPr="00B8302C">
              <w:t>).</w:t>
            </w:r>
          </w:p>
        </w:tc>
        <w:tc>
          <w:tcPr>
            <w:tcW w:w="2501" w:type="pct"/>
            <w:tcBorders>
              <w:left w:val="single" w:sz="4" w:space="0" w:color="auto"/>
            </w:tcBorders>
            <w:shd w:val="clear" w:color="auto" w:fill="auto"/>
          </w:tcPr>
          <w:p w:rsidR="003D2192" w:rsidRPr="007C236F">
            <w:pPr>
              <w:pStyle w:val="CSBody0"/>
              <w:rPr>
                <w:b/>
                <w:lang w:val="de-DE"/>
              </w:rPr>
            </w:pPr>
            <w:r w:rsidRPr="00B8302C">
              <w:rPr>
                <w:lang w:val="de-CH"/>
              </w:rPr>
              <w:t xml:space="preserve">Zum Zwecke der Bereitstellung von Informationen hinsichtlich der Credit Suisse sind die folgenden Dokumente (siehe Ziffer (1) bis </w:t>
            </w:r>
            <w:r w:rsidR="004876A3">
              <w:rPr>
                <w:lang w:val="de-CH"/>
              </w:rPr>
              <w:t>(</w:t>
            </w:r>
            <w:r w:rsidR="00090525">
              <w:rPr>
                <w:lang w:val="de-CH"/>
              </w:rPr>
              <w:t>13</w:t>
            </w:r>
            <w:r w:rsidR="004876A3">
              <w:rPr>
                <w:lang w:val="de-CH"/>
              </w:rPr>
              <w:t>)</w:t>
            </w:r>
            <w:r w:rsidRPr="00B8302C">
              <w:rPr>
                <w:lang w:val="de-CH"/>
              </w:rPr>
              <w:t xml:space="preserve"> unten), die sämtlich bereits veröffentlicht und im Rahmen des Prüfungsverfahrens für die Billigung des Basisprospekts für das Euro Medium Term Note Programme der Credit Suisse vom </w:t>
            </w:r>
            <w:r w:rsidRPr="0059212E">
              <w:rPr>
                <w:lang w:val="de-CH"/>
              </w:rPr>
              <w:t>13</w:t>
            </w:r>
            <w:r w:rsidRPr="00B8302C">
              <w:rPr>
                <w:lang w:val="de-CH"/>
              </w:rPr>
              <w:t>. Mai 2015 bei der Commission de Surveillance du Secteur Financier als zuständige Behörde gemäss dem Luxemburger Gesetz vom 10. Juli 2005 über Wertpapierprospekte hinterlegt wurden, während der Gültigkeitsdauer des Basisprospekts kostenlos (i) bei der Zahlstelle unter der Anschrift Credit Suisse AG, ZUGG 3, Transaction Advisory Group, 8070 Zürich, Schweiz, (ii) bei Komplexen Produkten, die in Deutschland bzw. dorthin angeboten oder in den Freiverkehr der Frankfurter Wertpapierbörse einbezogen werden, bei der Credit Suisse Securities (Europe) Limited, Niederlassung Frankfurt am Main, Junghofstrasse 16, 60311 Frankfurt a. M., Deutschland, und auf der Internetseite der Credit Suisse (</w:t>
            </w:r>
            <w:r>
              <w:fldChar w:fldCharType="begin"/>
            </w:r>
            <w:r>
              <w:instrText xml:space="preserve"> HYPERLINK "http://www.credit-suisse.com" </w:instrText>
            </w:r>
            <w:r>
              <w:fldChar w:fldCharType="separate"/>
            </w:r>
            <w:r w:rsidRPr="00BE7C9A">
              <w:rPr>
                <w:rStyle w:val="Hyperlink"/>
                <w:b/>
                <w:color w:val="7898B3"/>
                <w:lang w:val="de-DE"/>
              </w:rPr>
              <w:t>www.credit-suisse.com</w:t>
            </w:r>
            <w:r>
              <w:fldChar w:fldCharType="end"/>
            </w:r>
            <w:r w:rsidRPr="00BE7C9A">
              <w:rPr>
                <w:rStyle w:val="Hyperlink"/>
                <w:b/>
                <w:color w:val="7898B3"/>
                <w:lang w:val="de-DE"/>
              </w:rPr>
              <w:t>/derivatives</w:t>
            </w:r>
            <w:r w:rsidRPr="00B8302C">
              <w:rPr>
                <w:lang w:val="de-CH"/>
              </w:rPr>
              <w:t>) erhältlich.</w:t>
            </w:r>
          </w:p>
        </w:tc>
      </w:tr>
      <w:tr w:rsidTr="005A78B7">
        <w:tblPrEx>
          <w:tblW w:w="5000" w:type="pct"/>
          <w:tblLook w:val="00A0"/>
        </w:tblPrEx>
        <w:tc>
          <w:tcPr>
            <w:tcW w:w="2499" w:type="pct"/>
            <w:tcBorders>
              <w:right w:val="single" w:sz="4" w:space="0" w:color="auto"/>
            </w:tcBorders>
          </w:tcPr>
          <w:p w:rsidR="003D2192" w:rsidRPr="00442267" w:rsidP="005A78B7">
            <w:pPr>
              <w:pStyle w:val="CSManNum9pt0"/>
              <w:rPr>
                <w:sz w:val="18"/>
                <w:lang w:val="en-GB"/>
              </w:rPr>
            </w:pPr>
            <w:r w:rsidRPr="00442267">
              <w:rPr>
                <w:sz w:val="18"/>
                <w:lang w:val="en-GB"/>
              </w:rPr>
              <w:t>(1)</w:t>
            </w:r>
            <w:r w:rsidRPr="00442267">
              <w:rPr>
                <w:sz w:val="18"/>
                <w:lang w:val="en-GB"/>
              </w:rPr>
              <w:tab/>
              <w:t>All of the information in the English version of the Credit Suisse Annual Report 2014 on Form 20-F (the "</w:t>
            </w:r>
            <w:r w:rsidRPr="00442267">
              <w:rPr>
                <w:b/>
                <w:sz w:val="18"/>
                <w:lang w:val="en-GB"/>
              </w:rPr>
              <w:t>Credit Suisse Annual Report 2014</w:t>
            </w:r>
            <w:r w:rsidRPr="00442267">
              <w:rPr>
                <w:sz w:val="18"/>
                <w:lang w:val="en-GB"/>
              </w:rPr>
              <w:t xml:space="preserve">") (which contains audited consolidated financial statements for Credit Suisse Group AG and Credit Suisse AG, as of 31 December 2014 and 2013, and for each of the years in the three-year period ended 31 December 2014, and audited financial statements for Credit Suisse Group AG and Credit Suisse AG as of and for the year ended 31 December 2014 and the auditors’ reports in respect thereof) – with the </w:t>
            </w:r>
            <w:r w:rsidRPr="00442267">
              <w:rPr>
                <w:sz w:val="18"/>
                <w:lang w:val="en-US"/>
              </w:rPr>
              <w:t xml:space="preserve">exception of the information on pages 5 to 9 of </w:t>
            </w:r>
            <w:r w:rsidRPr="00442267">
              <w:rPr>
                <w:sz w:val="18"/>
                <w:lang w:val="en-GB"/>
              </w:rPr>
              <w:t>the Annual Report 2014 of Credit Suisse Group AG and Credit Suisse AG</w:t>
            </w:r>
            <w:r w:rsidRPr="00442267">
              <w:rPr>
                <w:sz w:val="18"/>
                <w:lang w:val="en-US"/>
              </w:rPr>
              <w:t xml:space="preserve"> under "Message from the Chairman and the Chief Executive Officer" </w:t>
            </w:r>
            <w:r w:rsidRPr="00442267">
              <w:rPr>
                <w:sz w:val="18"/>
                <w:lang w:val="en-GB"/>
              </w:rPr>
              <w:t>and the information on pages A-10 and A-11 under the headings "Share data", Share performance", Ticker symbols / stock exchange listings", and "Bond ratings" – is incorporated into, and forms part of the Base Prospectus. The information, which is not incorporated into the Base Prospectus, as set out in the previous sentence,</w:t>
            </w:r>
            <w:r w:rsidRPr="00442267">
              <w:rPr>
                <w:sz w:val="18"/>
                <w:lang w:val="en-GB"/>
              </w:rPr>
              <w:t xml:space="preserve"> </w:t>
            </w:r>
            <w:r w:rsidRPr="00442267">
              <w:rPr>
                <w:sz w:val="18"/>
                <w:lang w:val="en-GB"/>
              </w:rPr>
              <w:t>is either not relevant for investors or covered elsewhere in the Base Prospectus.</w:t>
            </w:r>
          </w:p>
        </w:tc>
        <w:tc>
          <w:tcPr>
            <w:tcW w:w="2501" w:type="pct"/>
            <w:tcBorders>
              <w:left w:val="single" w:sz="4" w:space="0" w:color="auto"/>
            </w:tcBorders>
            <w:shd w:val="clear" w:color="auto" w:fill="auto"/>
          </w:tcPr>
          <w:p w:rsidR="003D2192" w:rsidRPr="00442267" w:rsidP="005A78B7">
            <w:pPr>
              <w:pStyle w:val="CSManNum9pt0"/>
              <w:rPr>
                <w:sz w:val="18"/>
              </w:rPr>
            </w:pPr>
            <w:r w:rsidRPr="00442267">
              <w:rPr>
                <w:sz w:val="18"/>
              </w:rPr>
              <w:t>(1)</w:t>
            </w:r>
            <w:r w:rsidRPr="00442267">
              <w:rPr>
                <w:sz w:val="18"/>
              </w:rPr>
              <w:tab/>
              <w:t xml:space="preserve">Sämtliche in der englischen Fassung des Geschäftsberichts der Credit Suisse für das Geschäftsjahr 2014 auf Formular 20-F (der </w:t>
            </w:r>
            <w:r w:rsidR="003B00F3">
              <w:rPr>
                <w:sz w:val="18"/>
              </w:rPr>
              <w:t>"</w:t>
            </w:r>
            <w:r w:rsidRPr="00442267">
              <w:rPr>
                <w:b/>
                <w:sz w:val="18"/>
              </w:rPr>
              <w:t>Geschäftsbericht der Credit Suisse für das Geschäftsjahr 2014</w:t>
            </w:r>
            <w:r w:rsidRPr="00442267">
              <w:rPr>
                <w:sz w:val="18"/>
              </w:rPr>
              <w:t>") (der die geprüften konsolidierten Jahresrechnungen der Credit Suisse Group AG und der Credit Suisse AG und die geprüften Jahresrechnungen der Credit Suisse Group AG und der Credit Suisse AG zum und für das am 31. Dezember 2014 und 31. Dezember 2013 endende Geschäftsjahr sowie für jedes Jahr des am 31. Dezember 2014 endenden Dreijahreszeitraums, sowie die entsprechenden Prüfungsberichte enthält) angegebenen Informationen, – mit Ausnahme der Informationen auf den Seiten 5 bis 9 des Geschäftsberichts für das Jahr 2014 der Credit Suisse Group AG und der Credit Suisse AG unter "Message from the Chairman and the Chief Executive Officer" und der Informationen auf den Seiten A-10 und A-11 unter den Überschriften "Share data", Share performance", Ticker symbols / stock exchange listings" und "Bond ratings" – sind in den Basisprospekt per Verweis einbezogen und werden zu dessen Bestandteil. Informationen, die, wie im vorangegangenen Satz beschrieben, nicht in den Basisprospekt einbezogen werden, sind für Anleger entweder nicht relevant oder bereits an anderer Stelle im Basisprospekt erfasst.</w:t>
            </w:r>
          </w:p>
        </w:tc>
      </w:tr>
      <w:tr w:rsidTr="005A78B7">
        <w:tblPrEx>
          <w:tblW w:w="5000" w:type="pct"/>
          <w:tblLook w:val="00A0"/>
        </w:tblPrEx>
        <w:tc>
          <w:tcPr>
            <w:tcW w:w="2499" w:type="pct"/>
            <w:tcBorders>
              <w:right w:val="single" w:sz="4" w:space="0" w:color="auto"/>
            </w:tcBorders>
          </w:tcPr>
          <w:p w:rsidR="003D2192" w:rsidRPr="00442267" w:rsidP="005A78B7">
            <w:pPr>
              <w:pStyle w:val="CSManNum9pt0"/>
              <w:rPr>
                <w:b/>
                <w:sz w:val="18"/>
                <w:lang w:val="en-GB"/>
              </w:rPr>
            </w:pPr>
            <w:r w:rsidRPr="00442267">
              <w:rPr>
                <w:sz w:val="18"/>
                <w:lang w:val="en-GB"/>
              </w:rPr>
              <w:t>(2)</w:t>
            </w:r>
            <w:r w:rsidRPr="00442267">
              <w:rPr>
                <w:sz w:val="18"/>
                <w:lang w:val="en-GB"/>
              </w:rPr>
              <w:tab/>
              <w:t>The Form 6-K dated 21 April 2015, which contains selected unaudited condensed consolidated financial information for Credit Suisse AG and includes as an exhibit thereto the Credit Suisse Earnings Release 1Q15 (which contains selected unaudited condensed consolidated financial information for Credit Suisse Group AG as of 31 March 2015 and 2014 and for the three-month periods then ended) (the "</w:t>
            </w:r>
            <w:r w:rsidRPr="00442267">
              <w:rPr>
                <w:b/>
                <w:sz w:val="18"/>
                <w:lang w:val="en-GB"/>
              </w:rPr>
              <w:t>Form 6-K dated 21 April 2015</w:t>
            </w:r>
            <w:r w:rsidRPr="00442267">
              <w:rPr>
                <w:sz w:val="18"/>
                <w:lang w:val="en-GB"/>
              </w:rPr>
              <w:t>").</w:t>
            </w:r>
          </w:p>
        </w:tc>
        <w:tc>
          <w:tcPr>
            <w:tcW w:w="2501" w:type="pct"/>
            <w:tcBorders>
              <w:left w:val="single" w:sz="4" w:space="0" w:color="auto"/>
            </w:tcBorders>
            <w:shd w:val="clear" w:color="auto" w:fill="auto"/>
          </w:tcPr>
          <w:p w:rsidR="003D2192" w:rsidRPr="00442267" w:rsidP="005A78B7">
            <w:pPr>
              <w:pStyle w:val="CSManNum9pt0"/>
              <w:rPr>
                <w:b/>
                <w:sz w:val="18"/>
              </w:rPr>
            </w:pPr>
            <w:r w:rsidRPr="00442267">
              <w:rPr>
                <w:sz w:val="18"/>
              </w:rPr>
              <w:t>(2)</w:t>
            </w:r>
            <w:r w:rsidRPr="00442267">
              <w:rPr>
                <w:sz w:val="18"/>
              </w:rPr>
              <w:tab/>
              <w:t>Das Formular 6-K vom 21. April 2015, das ausgewählte ungeprüfte zusammengefasste und konsolidierte Finanzkennzahlen der Credit Suisse AG enthält, und dem als Anlage die Medienmitteilung zum Finanzergebnis für das 1. Quartal der Credit Suisse (die ausgewählte ungeprüfte zusammengefasste und konsolidierte Finanzkennzahlen für Credit Suisse Group AG zum 31. März 2015 und 2014 und für die dann endenden Dreimonatsperioden enthält) (das "</w:t>
            </w:r>
            <w:r w:rsidRPr="00442267">
              <w:rPr>
                <w:b/>
                <w:sz w:val="18"/>
              </w:rPr>
              <w:t>Formular 6-K vom 21. April 2015</w:t>
            </w:r>
            <w:r w:rsidRPr="00442267">
              <w:rPr>
                <w:sz w:val="18"/>
              </w:rPr>
              <w:t>") beigefügt ist.</w:t>
            </w:r>
          </w:p>
        </w:tc>
      </w:tr>
      <w:tr w:rsidTr="005A78B7">
        <w:tblPrEx>
          <w:tblW w:w="5000" w:type="pct"/>
          <w:tblLook w:val="00A0"/>
        </w:tblPrEx>
        <w:tc>
          <w:tcPr>
            <w:tcW w:w="2499" w:type="pct"/>
            <w:tcBorders>
              <w:right w:val="single" w:sz="4" w:space="0" w:color="auto"/>
            </w:tcBorders>
          </w:tcPr>
          <w:p w:rsidR="003D2192" w:rsidRPr="007C236F" w:rsidP="005A78B7">
            <w:pPr>
              <w:pStyle w:val="CSBody0"/>
              <w:rPr>
                <w:b/>
              </w:rPr>
            </w:pPr>
            <w:r w:rsidRPr="009269DF">
              <w:t xml:space="preserve">All of the information in the Form 6-K dated 21 April 2015 – with the </w:t>
            </w:r>
            <w:r w:rsidRPr="009269DF">
              <w:rPr>
                <w:lang w:val="en-US"/>
              </w:rPr>
              <w:t xml:space="preserve">exception of the information on pages 3 to 5 of </w:t>
            </w:r>
            <w:r w:rsidRPr="009269DF">
              <w:t>the 2015 First Quarter Earnings Release of Credit Suisse AG</w:t>
            </w:r>
            <w:r w:rsidRPr="009269DF">
              <w:rPr>
                <w:lang w:val="en-US"/>
              </w:rPr>
              <w:t xml:space="preserve"> under </w:t>
            </w:r>
            <w:r>
              <w:rPr>
                <w:lang w:val="en-US"/>
              </w:rPr>
              <w:t>"</w:t>
            </w:r>
            <w:r w:rsidRPr="009269DF">
              <w:rPr>
                <w:lang w:val="en-US"/>
              </w:rPr>
              <w:t>Dear Shareholders</w:t>
            </w:r>
            <w:r>
              <w:rPr>
                <w:lang w:val="en-US"/>
              </w:rPr>
              <w:t>"</w:t>
            </w:r>
            <w:r w:rsidRPr="009269DF">
              <w:rPr>
                <w:lang w:val="en-US"/>
              </w:rPr>
              <w:t xml:space="preserve"> </w:t>
            </w:r>
            <w:r w:rsidRPr="009269DF">
              <w:t>– is incorporated into, and for</w:t>
            </w:r>
            <w:r>
              <w:t>ms part of the Base Prospectus</w:t>
            </w:r>
            <w:r w:rsidRPr="009269DF">
              <w:t>. The information, which is not incorpo</w:t>
            </w:r>
            <w:r>
              <w:t>rated into the Base Prospectus</w:t>
            </w:r>
            <w:r w:rsidRPr="009269DF">
              <w:t>, as set out in the previous sentence,</w:t>
            </w:r>
            <w:r w:rsidRPr="009269DF">
              <w:t xml:space="preserve"> </w:t>
            </w:r>
            <w:r w:rsidRPr="009269DF">
              <w:t>is not relevant for investors</w:t>
            </w:r>
            <w:r>
              <w:t>.</w:t>
            </w:r>
          </w:p>
        </w:tc>
        <w:tc>
          <w:tcPr>
            <w:tcW w:w="2501" w:type="pct"/>
            <w:tcBorders>
              <w:left w:val="single" w:sz="4" w:space="0" w:color="auto"/>
            </w:tcBorders>
            <w:shd w:val="clear" w:color="auto" w:fill="auto"/>
          </w:tcPr>
          <w:p w:rsidR="003D2192" w:rsidRPr="007C236F" w:rsidP="005A78B7">
            <w:pPr>
              <w:pStyle w:val="CSBody0"/>
              <w:rPr>
                <w:b/>
                <w:lang w:val="de-DE"/>
              </w:rPr>
            </w:pPr>
            <w:r w:rsidRPr="009269DF">
              <w:rPr>
                <w:lang w:val="de-DE"/>
              </w:rPr>
              <w:t xml:space="preserve">Sämtliche im Formular 6-K vom 21. April 2015 enthaltenen Informationen – mit Ausnahme der Informationen auf den Seiten 3 bis 5 der Medienmitteilung zum Finanzergebnis für das 1. Quartal 2015 der Credit Suisse AG unter </w:t>
            </w:r>
            <w:r>
              <w:rPr>
                <w:lang w:val="de-DE"/>
              </w:rPr>
              <w:t>"</w:t>
            </w:r>
            <w:r w:rsidRPr="009269DF">
              <w:rPr>
                <w:lang w:val="de-DE"/>
              </w:rPr>
              <w:t>Dear Shareholders</w:t>
            </w:r>
            <w:r>
              <w:rPr>
                <w:lang w:val="de-DE"/>
              </w:rPr>
              <w:t>"</w:t>
            </w:r>
            <w:r w:rsidRPr="009269DF">
              <w:rPr>
                <w:lang w:val="de-DE"/>
              </w:rPr>
              <w:t xml:space="preserve"> – werden in </w:t>
            </w:r>
            <w:r>
              <w:rPr>
                <w:lang w:val="de-DE"/>
              </w:rPr>
              <w:t xml:space="preserve">den </w:t>
            </w:r>
            <w:r w:rsidRPr="009269DF">
              <w:rPr>
                <w:lang w:val="de-DE"/>
              </w:rPr>
              <w:t xml:space="preserve">Basisprospekt einbezogen und werden zu </w:t>
            </w:r>
            <w:r>
              <w:rPr>
                <w:lang w:val="de-DE"/>
              </w:rPr>
              <w:t>dessen</w:t>
            </w:r>
            <w:r w:rsidRPr="009269DF">
              <w:rPr>
                <w:lang w:val="de-DE"/>
              </w:rPr>
              <w:t xml:space="preserve"> Bestandteil. Informationen, die, wie im vorangegangenen Satz beschrieben, nicht in </w:t>
            </w:r>
            <w:r>
              <w:rPr>
                <w:lang w:val="de-DE"/>
              </w:rPr>
              <w:t>den</w:t>
            </w:r>
            <w:r w:rsidRPr="009269DF">
              <w:rPr>
                <w:lang w:val="de-DE"/>
              </w:rPr>
              <w:t xml:space="preserve"> Basisprospekt einbezogen werden, sind für Anleger nicht relevant</w:t>
            </w:r>
            <w:r>
              <w:rPr>
                <w:lang w:val="de-DE"/>
              </w:rPr>
              <w:t>.</w:t>
            </w:r>
          </w:p>
        </w:tc>
      </w:tr>
      <w:tr w:rsidTr="005A78B7">
        <w:tblPrEx>
          <w:tblW w:w="5000" w:type="pct"/>
          <w:tblBorders>
            <w:insideV w:val="single" w:sz="4" w:space="0" w:color="auto"/>
          </w:tblBorders>
          <w:tblLook w:val="00A0"/>
        </w:tblPrEx>
        <w:tc>
          <w:tcPr>
            <w:tcW w:w="2499" w:type="pct"/>
            <w:tcBorders>
              <w:right w:val="single" w:sz="4" w:space="0" w:color="auto"/>
            </w:tcBorders>
          </w:tcPr>
          <w:p w:rsidR="003D2192" w:rsidRPr="00442267" w:rsidP="005A78B7">
            <w:pPr>
              <w:pStyle w:val="CSManNum9pt0"/>
              <w:rPr>
                <w:sz w:val="18"/>
                <w:lang w:val="en-GB"/>
              </w:rPr>
            </w:pPr>
            <w:r w:rsidRPr="00442267">
              <w:rPr>
                <w:sz w:val="18"/>
                <w:lang w:val="en-GB"/>
              </w:rPr>
              <w:t>(3)</w:t>
            </w:r>
            <w:r w:rsidRPr="00442267">
              <w:rPr>
                <w:sz w:val="18"/>
                <w:lang w:val="en-GB"/>
              </w:rPr>
              <w:tab/>
              <w:t>The Form 6-K of Credit Suisse Group AG and Credit Suisse AG dated 24 April 2015 (the "</w:t>
            </w:r>
            <w:r w:rsidRPr="00442267">
              <w:rPr>
                <w:b/>
                <w:sz w:val="18"/>
                <w:lang w:val="en-GB"/>
              </w:rPr>
              <w:t>Form 6-K dated 24 April 2015</w:t>
            </w:r>
            <w:r w:rsidRPr="00442267">
              <w:rPr>
                <w:sz w:val="18"/>
                <w:lang w:val="en-GB"/>
              </w:rPr>
              <w:t>")</w:t>
            </w:r>
            <w:r w:rsidRPr="00442267">
              <w:rPr>
                <w:rFonts w:ascii="Times New Roman" w:eastAsia="Calibri" w:hAnsi="Times New Roman"/>
                <w:sz w:val="18"/>
                <w:lang w:val="en-GB"/>
              </w:rPr>
              <w:t xml:space="preserve"> </w:t>
            </w:r>
            <w:r w:rsidRPr="00442267">
              <w:rPr>
                <w:sz w:val="18"/>
                <w:lang w:val="en-GB"/>
              </w:rPr>
              <w:t>which contains a media release.</w:t>
            </w:r>
          </w:p>
        </w:tc>
        <w:tc>
          <w:tcPr>
            <w:tcW w:w="2501" w:type="pct"/>
            <w:tcBorders>
              <w:left w:val="single" w:sz="4" w:space="0" w:color="auto"/>
            </w:tcBorders>
            <w:shd w:val="clear" w:color="auto" w:fill="auto"/>
          </w:tcPr>
          <w:p w:rsidR="003D2192" w:rsidRPr="00442267" w:rsidP="005A78B7">
            <w:pPr>
              <w:pStyle w:val="CSManNum9pt0"/>
              <w:rPr>
                <w:sz w:val="18"/>
              </w:rPr>
            </w:pPr>
            <w:r w:rsidRPr="00442267">
              <w:rPr>
                <w:sz w:val="18"/>
              </w:rPr>
              <w:t>(3)</w:t>
            </w:r>
            <w:r w:rsidRPr="00442267">
              <w:rPr>
                <w:sz w:val="18"/>
              </w:rPr>
              <w:tab/>
              <w:t>Das Formular 6-K der Credit Suisse Group AG und der Credit Suisse AG vom 24. April 2015 (das "</w:t>
            </w:r>
            <w:r w:rsidRPr="00442267">
              <w:rPr>
                <w:b/>
                <w:sz w:val="18"/>
              </w:rPr>
              <w:t>Formular 6-K vom 24. April 2015</w:t>
            </w:r>
            <w:r w:rsidRPr="00442267">
              <w:rPr>
                <w:sz w:val="18"/>
              </w:rPr>
              <w:t>"),</w:t>
            </w:r>
            <w:r w:rsidRPr="00442267">
              <w:rPr>
                <w:rFonts w:ascii="Times New Roman" w:eastAsia="SimSun" w:hAnsi="Times New Roman"/>
                <w:sz w:val="18"/>
              </w:rPr>
              <w:t xml:space="preserve"> </w:t>
            </w:r>
            <w:r w:rsidRPr="00442267">
              <w:rPr>
                <w:sz w:val="18"/>
              </w:rPr>
              <w:t>das eine Medienmitteilung enthält.</w:t>
            </w:r>
          </w:p>
        </w:tc>
      </w:tr>
      <w:tr w:rsidTr="005A78B7">
        <w:tblPrEx>
          <w:tblW w:w="5000" w:type="pct"/>
          <w:tblBorders>
            <w:insideV w:val="single" w:sz="4" w:space="0" w:color="auto"/>
          </w:tblBorders>
          <w:tblLook w:val="00A0"/>
        </w:tblPrEx>
        <w:tc>
          <w:tcPr>
            <w:tcW w:w="2499" w:type="pct"/>
            <w:tcBorders>
              <w:right w:val="single" w:sz="4" w:space="0" w:color="auto"/>
            </w:tcBorders>
          </w:tcPr>
          <w:p w:rsidR="003D2192" w:rsidRPr="003124C5" w:rsidP="005A78B7">
            <w:pPr>
              <w:pStyle w:val="CSBody0"/>
            </w:pPr>
            <w:r w:rsidRPr="009269DF">
              <w:t xml:space="preserve">All of the information in the Form 6-K dated 24 April 2015 – with the exception of the information on page 1 of the media release </w:t>
            </w:r>
            <w:r w:rsidRPr="00C12A1A">
              <w:t xml:space="preserve">in the third paragraph </w:t>
            </w:r>
            <w:r w:rsidRPr="009269DF">
              <w:t xml:space="preserve">under </w:t>
            </w:r>
            <w:r>
              <w:t>"</w:t>
            </w:r>
            <w:r w:rsidRPr="009269DF">
              <w:t>Distribution against Reserves from Capital Contributions</w:t>
            </w:r>
            <w:r>
              <w:t>"</w:t>
            </w:r>
            <w:r w:rsidRPr="009269DF">
              <w:t xml:space="preserve">, the information on page 2 of the media release under </w:t>
            </w:r>
            <w:r>
              <w:t>"</w:t>
            </w:r>
            <w:r w:rsidRPr="009269DF">
              <w:t>Statements by Urs Rohner, Chairman of the Board of Directors</w:t>
            </w:r>
            <w:r>
              <w:t>"</w:t>
            </w:r>
            <w:r w:rsidRPr="009269DF">
              <w:t xml:space="preserve">, the information on page 3 of the media release under </w:t>
            </w:r>
            <w:r>
              <w:t>"</w:t>
            </w:r>
            <w:r w:rsidRPr="009269DF">
              <w:t>Voting Results</w:t>
            </w:r>
            <w:r>
              <w:t>"</w:t>
            </w:r>
            <w:r w:rsidRPr="009269DF">
              <w:t xml:space="preserve"> and </w:t>
            </w:r>
            <w:r>
              <w:t>"</w:t>
            </w:r>
            <w:r w:rsidRPr="009269DF">
              <w:t>Information</w:t>
            </w:r>
            <w:r>
              <w:t>"</w:t>
            </w:r>
            <w:r w:rsidRPr="009269DF">
              <w:t xml:space="preserve"> and the second paragraph on page 3 under </w:t>
            </w:r>
            <w:r>
              <w:t>"</w:t>
            </w:r>
            <w:r w:rsidRPr="009269DF">
              <w:t>Credit Suisse AG</w:t>
            </w:r>
            <w:r>
              <w:t>"</w:t>
            </w:r>
            <w:r w:rsidRPr="009269DF">
              <w:t xml:space="preserve"> – is incorporated into, and forms part of the Base Prospectus. The information, which is not incorporated into the Base Pro</w:t>
            </w:r>
            <w:r>
              <w:t>spectus</w:t>
            </w:r>
            <w:r w:rsidRPr="009269DF">
              <w:t>, as set out in the previous sentence,</w:t>
            </w:r>
            <w:r w:rsidRPr="009269DF">
              <w:t xml:space="preserve"> </w:t>
            </w:r>
            <w:r w:rsidRPr="009269DF">
              <w:t>is not relevant for investors</w:t>
            </w:r>
            <w:r w:rsidRPr="009956C1">
              <w:t>.</w:t>
            </w:r>
          </w:p>
        </w:tc>
        <w:tc>
          <w:tcPr>
            <w:tcW w:w="2501" w:type="pct"/>
            <w:tcBorders>
              <w:left w:val="single" w:sz="4" w:space="0" w:color="auto"/>
            </w:tcBorders>
            <w:shd w:val="clear" w:color="auto" w:fill="auto"/>
          </w:tcPr>
          <w:p w:rsidR="003D2192" w:rsidRPr="009956C1" w:rsidP="005A78B7">
            <w:pPr>
              <w:pStyle w:val="CSBody0"/>
              <w:rPr>
                <w:lang w:val="de-DE"/>
              </w:rPr>
            </w:pPr>
            <w:r w:rsidRPr="009269DF">
              <w:rPr>
                <w:lang w:val="de-DE"/>
              </w:rPr>
              <w:t xml:space="preserve">Sämtliche im Formular 6-K vom 24. April 2015 enthaltenen Informationen – mit Ausnahme der Informationen auf Seite 1 der Medienmitteilung </w:t>
            </w:r>
            <w:r w:rsidRPr="00C12A1A">
              <w:rPr>
                <w:lang w:val="de-DE"/>
              </w:rPr>
              <w:t xml:space="preserve">im dritten Absatz </w:t>
            </w:r>
            <w:r w:rsidRPr="009269DF">
              <w:rPr>
                <w:lang w:val="de-DE"/>
              </w:rPr>
              <w:t xml:space="preserve">unter </w:t>
            </w:r>
            <w:r>
              <w:rPr>
                <w:lang w:val="de-DE"/>
              </w:rPr>
              <w:t>"</w:t>
            </w:r>
            <w:r w:rsidRPr="009269DF">
              <w:rPr>
                <w:lang w:val="de-DE"/>
              </w:rPr>
              <w:t>Distribution against Reserves from Capital Contributions</w:t>
            </w:r>
            <w:r>
              <w:rPr>
                <w:lang w:val="de-DE"/>
              </w:rPr>
              <w:t>"</w:t>
            </w:r>
            <w:r w:rsidRPr="009269DF">
              <w:rPr>
                <w:lang w:val="de-DE"/>
              </w:rPr>
              <w:t xml:space="preserve">, der Informationen auf Seite 2 der Medienmitteilung unter </w:t>
            </w:r>
            <w:r>
              <w:rPr>
                <w:lang w:val="de-DE"/>
              </w:rPr>
              <w:t>"</w:t>
            </w:r>
            <w:r w:rsidRPr="009269DF">
              <w:rPr>
                <w:lang w:val="de-DE"/>
              </w:rPr>
              <w:t>Statements by Urs Rohner, Chairman of the Board of Directors</w:t>
            </w:r>
            <w:r>
              <w:rPr>
                <w:lang w:val="de-DE"/>
              </w:rPr>
              <w:t>"</w:t>
            </w:r>
            <w:r w:rsidRPr="009269DF">
              <w:rPr>
                <w:lang w:val="de-DE"/>
              </w:rPr>
              <w:t xml:space="preserve">, der Informationen auf Seite 3 der Medienmitteilung unter </w:t>
            </w:r>
            <w:r>
              <w:rPr>
                <w:lang w:val="de-DE"/>
              </w:rPr>
              <w:t>"</w:t>
            </w:r>
            <w:r w:rsidRPr="009269DF">
              <w:rPr>
                <w:lang w:val="de-DE"/>
              </w:rPr>
              <w:t>Voting Results</w:t>
            </w:r>
            <w:r>
              <w:rPr>
                <w:lang w:val="de-DE"/>
              </w:rPr>
              <w:t>"</w:t>
            </w:r>
            <w:r w:rsidRPr="009269DF">
              <w:rPr>
                <w:lang w:val="de-DE"/>
              </w:rPr>
              <w:t xml:space="preserve"> und </w:t>
            </w:r>
            <w:r>
              <w:rPr>
                <w:lang w:val="de-DE"/>
              </w:rPr>
              <w:t>"</w:t>
            </w:r>
            <w:r w:rsidRPr="009269DF">
              <w:rPr>
                <w:lang w:val="de-DE"/>
              </w:rPr>
              <w:t>Information</w:t>
            </w:r>
            <w:r>
              <w:rPr>
                <w:lang w:val="de-DE"/>
              </w:rPr>
              <w:t>"</w:t>
            </w:r>
            <w:r w:rsidRPr="009269DF">
              <w:rPr>
                <w:lang w:val="de-DE"/>
              </w:rPr>
              <w:t xml:space="preserve"> und des zweiten Absatzes auf Seite 3 der Medienmitteilung unter </w:t>
            </w:r>
            <w:r>
              <w:rPr>
                <w:lang w:val="de-DE"/>
              </w:rPr>
              <w:t>"</w:t>
            </w:r>
            <w:r w:rsidRPr="009269DF">
              <w:rPr>
                <w:lang w:val="de-DE"/>
              </w:rPr>
              <w:t>Credit Suisse AG</w:t>
            </w:r>
            <w:r>
              <w:rPr>
                <w:lang w:val="de-DE"/>
              </w:rPr>
              <w:t xml:space="preserve">" </w:t>
            </w:r>
            <w:r w:rsidRPr="009269DF">
              <w:rPr>
                <w:lang w:val="de-DE"/>
              </w:rPr>
              <w:t xml:space="preserve">– werden in </w:t>
            </w:r>
            <w:r>
              <w:rPr>
                <w:lang w:val="de-DE"/>
              </w:rPr>
              <w:t>den</w:t>
            </w:r>
            <w:r w:rsidRPr="009269DF">
              <w:rPr>
                <w:lang w:val="de-DE"/>
              </w:rPr>
              <w:t xml:space="preserve"> Ba</w:t>
            </w:r>
            <w:r>
              <w:rPr>
                <w:lang w:val="de-DE"/>
              </w:rPr>
              <w:t>sisprospekt</w:t>
            </w:r>
            <w:r w:rsidRPr="009269DF">
              <w:rPr>
                <w:lang w:val="de-DE"/>
              </w:rPr>
              <w:t xml:space="preserve"> einbezogen und werden zu </w:t>
            </w:r>
            <w:r>
              <w:rPr>
                <w:lang w:val="de-DE"/>
              </w:rPr>
              <w:t>dessen</w:t>
            </w:r>
            <w:r w:rsidRPr="009269DF">
              <w:rPr>
                <w:lang w:val="de-DE"/>
              </w:rPr>
              <w:t xml:space="preserve"> Bestandteil. Informationen, die, wie im vorangegangenen Satz beschrieben, nicht in </w:t>
            </w:r>
            <w:r>
              <w:rPr>
                <w:lang w:val="de-DE"/>
              </w:rPr>
              <w:t>den</w:t>
            </w:r>
            <w:r w:rsidRPr="009269DF">
              <w:rPr>
                <w:lang w:val="de-DE"/>
              </w:rPr>
              <w:t xml:space="preserve"> Basisprospekt einbezogen werden, sind für Anleger nicht relevant</w:t>
            </w:r>
            <w:r w:rsidRPr="009956C1">
              <w:rPr>
                <w:lang w:val="de-DE"/>
              </w:rPr>
              <w:t>.</w:t>
            </w:r>
          </w:p>
        </w:tc>
      </w:tr>
      <w:tr w:rsidTr="005A78B7">
        <w:tblPrEx>
          <w:tblW w:w="5000" w:type="pct"/>
          <w:tblLook w:val="00A0"/>
        </w:tblPrEx>
        <w:tc>
          <w:tcPr>
            <w:tcW w:w="2499" w:type="pct"/>
            <w:tcBorders>
              <w:right w:val="single" w:sz="4" w:space="0" w:color="auto"/>
            </w:tcBorders>
          </w:tcPr>
          <w:p w:rsidR="003D2192" w:rsidRPr="00442267" w:rsidP="005A78B7">
            <w:pPr>
              <w:pStyle w:val="CSManNum9pt0"/>
              <w:rPr>
                <w:sz w:val="18"/>
                <w:lang w:val="en-GB"/>
              </w:rPr>
            </w:pPr>
            <w:r w:rsidRPr="00442267">
              <w:rPr>
                <w:sz w:val="18"/>
                <w:lang w:val="en-GB"/>
              </w:rPr>
              <w:t>(4)</w:t>
            </w:r>
            <w:r w:rsidRPr="00442267">
              <w:rPr>
                <w:sz w:val="18"/>
                <w:lang w:val="en-GB"/>
              </w:rPr>
              <w:tab/>
              <w:t>The Form 6-K dated 30 April 2015, including the Credit Suisse Financial Report 1Q15 exhibited thereto (which contains the unaudited condensed consolidated financial statements of Credit Suisse Group AG as of 31 March 2015 and 2014 and for the three-month periods then ended) (the "</w:t>
            </w:r>
            <w:r w:rsidRPr="00442267">
              <w:rPr>
                <w:b/>
                <w:sz w:val="18"/>
                <w:lang w:val="en-GB"/>
              </w:rPr>
              <w:t>Form 6-K dated 30 April 2015</w:t>
            </w:r>
            <w:r w:rsidRPr="00442267">
              <w:rPr>
                <w:sz w:val="18"/>
                <w:lang w:val="en-GB"/>
              </w:rPr>
              <w:t>").</w:t>
            </w:r>
          </w:p>
        </w:tc>
        <w:tc>
          <w:tcPr>
            <w:tcW w:w="2501" w:type="pct"/>
            <w:tcBorders>
              <w:left w:val="single" w:sz="4" w:space="0" w:color="auto"/>
            </w:tcBorders>
            <w:shd w:val="clear" w:color="auto" w:fill="auto"/>
          </w:tcPr>
          <w:p w:rsidR="003D2192" w:rsidRPr="00442267" w:rsidP="005A78B7">
            <w:pPr>
              <w:pStyle w:val="CSManNum9pt0"/>
              <w:rPr>
                <w:sz w:val="18"/>
              </w:rPr>
            </w:pPr>
            <w:r w:rsidRPr="00442267">
              <w:rPr>
                <w:sz w:val="18"/>
              </w:rPr>
              <w:t>(4)</w:t>
            </w:r>
            <w:r w:rsidRPr="00442267">
              <w:rPr>
                <w:sz w:val="18"/>
              </w:rPr>
              <w:tab/>
              <w:t>Das Formular 6-K vom 30. April 2015, dem als Anlage der Finanzbericht für das erste Quartal der Credit Suisse Group AG beigefügt ist</w:t>
            </w:r>
            <w:r w:rsidRPr="00442267">
              <w:rPr>
                <w:sz w:val="18"/>
              </w:rPr>
              <w:t xml:space="preserve"> </w:t>
            </w:r>
            <w:r w:rsidRPr="00442267">
              <w:rPr>
                <w:sz w:val="18"/>
              </w:rPr>
              <w:t>(der die ungeprüften zusammengefassten und konsolidierten Abschlüsse der Credit Suisse Group AG zum 31. März 2015 und 2014 und für die dann endenden Dreimonatsperioden enthält) (das "</w:t>
            </w:r>
            <w:r w:rsidRPr="00442267">
              <w:rPr>
                <w:b/>
                <w:sz w:val="18"/>
              </w:rPr>
              <w:t>Formular 6-K vom 30. April 2015</w:t>
            </w:r>
            <w:r w:rsidRPr="00442267">
              <w:rPr>
                <w:sz w:val="18"/>
              </w:rPr>
              <w:t>").</w:t>
            </w:r>
          </w:p>
        </w:tc>
      </w:tr>
      <w:tr w:rsidTr="005A78B7">
        <w:tblPrEx>
          <w:tblW w:w="5000" w:type="pct"/>
          <w:tblLook w:val="00A0"/>
        </w:tblPrEx>
        <w:tc>
          <w:tcPr>
            <w:tcW w:w="2499" w:type="pct"/>
            <w:tcBorders>
              <w:right w:val="single" w:sz="4" w:space="0" w:color="auto"/>
            </w:tcBorders>
          </w:tcPr>
          <w:p w:rsidR="003D2192" w:rsidRPr="007C236F" w:rsidP="005A78B7">
            <w:pPr>
              <w:pStyle w:val="CSBody0"/>
              <w:rPr>
                <w:b/>
              </w:rPr>
            </w:pPr>
            <w:r w:rsidRPr="00022A5D">
              <w:t xml:space="preserve">All of the information in the Form 6-K dated 30 April 2015 – with the exception of the information at the </w:t>
            </w:r>
            <w:r w:rsidRPr="001050CB">
              <w:t xml:space="preserve">beginning of the 1Q15 Financial Report of Credit Suisse Group AG under </w:t>
            </w:r>
            <w:r>
              <w:t>"</w:t>
            </w:r>
            <w:r w:rsidRPr="001050CB">
              <w:t>Dear Shareholders</w:t>
            </w:r>
            <w:r>
              <w:t>"</w:t>
            </w:r>
            <w:r w:rsidRPr="001050CB">
              <w:t xml:space="preserve"> </w:t>
            </w:r>
            <w:r w:rsidRPr="00C12A1A">
              <w:t xml:space="preserve">and the section </w:t>
            </w:r>
            <w:r>
              <w:t>"</w:t>
            </w:r>
            <w:r w:rsidRPr="00C12A1A">
              <w:t>Investor Information</w:t>
            </w:r>
            <w:r>
              <w:t>"</w:t>
            </w:r>
            <w:r w:rsidRPr="00C12A1A">
              <w:t xml:space="preserve"> on page 159 of the 1Q15 Financial Report </w:t>
            </w:r>
            <w:r w:rsidRPr="001050CB">
              <w:t>– is incorporated into, and for</w:t>
            </w:r>
            <w:r>
              <w:t>ms part of the Base Prospectus</w:t>
            </w:r>
            <w:r w:rsidRPr="001050CB">
              <w:t>. The information, which is not incorporated into the Base Prospectus, as set out in the previous sentence,</w:t>
            </w:r>
            <w:r w:rsidRPr="001050CB">
              <w:t xml:space="preserve"> </w:t>
            </w:r>
            <w:r w:rsidRPr="001050CB">
              <w:t xml:space="preserve">is </w:t>
            </w:r>
            <w:r>
              <w:t xml:space="preserve">either </w:t>
            </w:r>
            <w:r w:rsidRPr="001050CB">
              <w:t>not relevant for investors</w:t>
            </w:r>
            <w:r>
              <w:t xml:space="preserve"> </w:t>
            </w:r>
            <w:r w:rsidRPr="00C12A1A">
              <w:t>or covered elsewhere in the Base Prospectus.</w:t>
            </w:r>
          </w:p>
        </w:tc>
        <w:tc>
          <w:tcPr>
            <w:tcW w:w="2501" w:type="pct"/>
            <w:tcBorders>
              <w:left w:val="single" w:sz="4" w:space="0" w:color="auto"/>
            </w:tcBorders>
            <w:shd w:val="clear" w:color="auto" w:fill="auto"/>
          </w:tcPr>
          <w:p w:rsidR="003D2192" w:rsidRPr="007C236F" w:rsidP="005A78B7">
            <w:pPr>
              <w:pStyle w:val="CSBody0"/>
              <w:rPr>
                <w:b/>
                <w:lang w:val="de-DE"/>
              </w:rPr>
            </w:pPr>
            <w:r w:rsidRPr="001050CB">
              <w:rPr>
                <w:lang w:val="de-DE"/>
              </w:rPr>
              <w:t xml:space="preserve">Sämtliche im Formular 6-K vom 30. April 2015 enthaltenen Informationen – mit Ausnahme der Informationen am Anfang des Finanzberichts 1Q15 der Credit Suisse Group AG unter </w:t>
            </w:r>
            <w:r>
              <w:rPr>
                <w:lang w:val="de-DE"/>
              </w:rPr>
              <w:t>"</w:t>
            </w:r>
            <w:r w:rsidRPr="001050CB">
              <w:rPr>
                <w:lang w:val="de-DE"/>
              </w:rPr>
              <w:t>Dear Shareholders</w:t>
            </w:r>
            <w:r>
              <w:rPr>
                <w:lang w:val="de-DE"/>
              </w:rPr>
              <w:t>"</w:t>
            </w:r>
            <w:r w:rsidRPr="003434E6">
              <w:rPr>
                <w:lang w:val="de-DE"/>
              </w:rPr>
              <w:t xml:space="preserve"> und der Informationen im Abschnitt </w:t>
            </w:r>
            <w:r>
              <w:rPr>
                <w:lang w:val="de-DE"/>
              </w:rPr>
              <w:t>"</w:t>
            </w:r>
            <w:r w:rsidRPr="003434E6">
              <w:rPr>
                <w:lang w:val="de-DE"/>
              </w:rPr>
              <w:t>Investor Information</w:t>
            </w:r>
            <w:r>
              <w:rPr>
                <w:lang w:val="de-DE"/>
              </w:rPr>
              <w:t>"</w:t>
            </w:r>
            <w:r w:rsidRPr="003434E6">
              <w:rPr>
                <w:lang w:val="de-DE"/>
              </w:rPr>
              <w:t xml:space="preserve"> auf</w:t>
            </w:r>
            <w:r>
              <w:rPr>
                <w:lang w:val="de-DE"/>
              </w:rPr>
              <w:t xml:space="preserve"> S. 159 des Finanzberichts 1Q15</w:t>
            </w:r>
            <w:r w:rsidRPr="001050CB">
              <w:rPr>
                <w:lang w:val="de-DE"/>
              </w:rPr>
              <w:t xml:space="preserve"> – werden in </w:t>
            </w:r>
            <w:r>
              <w:rPr>
                <w:lang w:val="de-DE"/>
              </w:rPr>
              <w:t>den</w:t>
            </w:r>
            <w:r w:rsidRPr="001050CB">
              <w:rPr>
                <w:lang w:val="de-DE"/>
              </w:rPr>
              <w:t xml:space="preserve"> Basisprospekt einbezogen und werden zu </w:t>
            </w:r>
            <w:r>
              <w:rPr>
                <w:lang w:val="de-DE"/>
              </w:rPr>
              <w:t>dessen</w:t>
            </w:r>
            <w:r w:rsidRPr="001050CB">
              <w:rPr>
                <w:lang w:val="de-DE"/>
              </w:rPr>
              <w:t xml:space="preserve"> Bestandteil. Informationen, die, wie im vorangegangenen Satz beschrieben, nicht in </w:t>
            </w:r>
            <w:r>
              <w:rPr>
                <w:lang w:val="de-DE"/>
              </w:rPr>
              <w:t xml:space="preserve">den </w:t>
            </w:r>
            <w:r w:rsidRPr="001050CB">
              <w:rPr>
                <w:lang w:val="de-DE"/>
              </w:rPr>
              <w:t xml:space="preserve">Basisprospekt einbezogen werden, sind für Anleger </w:t>
            </w:r>
            <w:r>
              <w:rPr>
                <w:lang w:val="de-DE"/>
              </w:rPr>
              <w:t xml:space="preserve">entweder </w:t>
            </w:r>
            <w:r w:rsidRPr="001050CB">
              <w:rPr>
                <w:lang w:val="de-DE"/>
              </w:rPr>
              <w:t>nicht relevan</w:t>
            </w:r>
            <w:r>
              <w:rPr>
                <w:lang w:val="de-DE"/>
              </w:rPr>
              <w:t>t oder bereits an anderer Stelle im Basisprospekt erfasst.</w:t>
            </w:r>
          </w:p>
        </w:tc>
      </w:tr>
      <w:tr w:rsidTr="005A78B7">
        <w:tblPrEx>
          <w:tblW w:w="5000" w:type="pct"/>
          <w:tblLook w:val="00A0"/>
        </w:tblPrEx>
        <w:tc>
          <w:tcPr>
            <w:tcW w:w="2499" w:type="pct"/>
            <w:tcBorders>
              <w:right w:val="single" w:sz="4" w:space="0" w:color="auto"/>
            </w:tcBorders>
          </w:tcPr>
          <w:p w:rsidR="003D2192" w:rsidRPr="00442267" w:rsidP="00442267">
            <w:pPr>
              <w:pStyle w:val="CSManNum9pt0"/>
              <w:rPr>
                <w:sz w:val="18"/>
                <w:lang w:val="en-GB"/>
              </w:rPr>
            </w:pPr>
            <w:r>
              <w:rPr>
                <w:sz w:val="18"/>
                <w:lang w:val="en-GB"/>
              </w:rPr>
              <w:t>(5)</w:t>
            </w:r>
            <w:r>
              <w:rPr>
                <w:sz w:val="18"/>
                <w:lang w:val="en-GB"/>
              </w:rPr>
              <w:tab/>
            </w:r>
            <w:r w:rsidRPr="00442267">
              <w:rPr>
                <w:sz w:val="18"/>
                <w:lang w:val="en-GB"/>
              </w:rPr>
              <w:t>The Form 6-K dated 23 July 2015, which contains selected unaudited condensed consolidated financial information for Credit Suisse AG and includes as an exhibit thereto the Credit Suisse Earnings Release 2Q15 (which contains selected unaudited condensed consolidated financial information for Credit Suisse Group AG as of 30 June 2015 and 2014 and for the three-month periods then ended) (the "</w:t>
            </w:r>
            <w:r w:rsidRPr="00442267">
              <w:rPr>
                <w:b/>
                <w:sz w:val="18"/>
                <w:lang w:val="en-GB"/>
              </w:rPr>
              <w:t>Form 6-K dated 23 July 2015</w:t>
            </w:r>
            <w:r w:rsidRPr="00442267">
              <w:rPr>
                <w:sz w:val="18"/>
                <w:lang w:val="en-GB"/>
              </w:rPr>
              <w:t xml:space="preserve">"). </w:t>
            </w:r>
          </w:p>
        </w:tc>
        <w:tc>
          <w:tcPr>
            <w:tcW w:w="2501" w:type="pct"/>
            <w:tcBorders>
              <w:left w:val="single" w:sz="4" w:space="0" w:color="auto"/>
            </w:tcBorders>
            <w:shd w:val="clear" w:color="auto" w:fill="auto"/>
          </w:tcPr>
          <w:p w:rsidR="003D2192" w:rsidRPr="00442267" w:rsidP="005A78B7">
            <w:pPr>
              <w:pStyle w:val="CSManNum9pt0"/>
              <w:rPr>
                <w:sz w:val="18"/>
              </w:rPr>
            </w:pPr>
            <w:r w:rsidRPr="00442267">
              <w:rPr>
                <w:sz w:val="18"/>
              </w:rPr>
              <w:t>(5) Das Formular 6-K vom 23. Juli 2015, das ausgewählte ungeprüfte zusammengefasste und konsolidierte Finanzkennzahlen der Credit Suisse AG enthält, und dem als Anlage die Medienmitteilung zum Finanzergebnis für das 2. Quartal der Credit Suisse (die ausgewählte ungeprüfte zusammengefasste und konsolidierte Finanzkennzahlen für Credit Suisse Group AG zum 30. Juni 2015 und 2014 und für die dann endenden Dreimonatsperioden enthält) (das "</w:t>
            </w:r>
            <w:r w:rsidRPr="00442267">
              <w:rPr>
                <w:b/>
                <w:sz w:val="18"/>
              </w:rPr>
              <w:t>Formular 6-K vom 23. Juli 2015</w:t>
            </w:r>
            <w:r w:rsidRPr="00442267">
              <w:rPr>
                <w:sz w:val="18"/>
              </w:rPr>
              <w:t>") beigefügt ist.</w:t>
            </w:r>
          </w:p>
        </w:tc>
      </w:tr>
      <w:tr w:rsidTr="005A78B7">
        <w:tblPrEx>
          <w:tblW w:w="5000" w:type="pct"/>
          <w:tblLook w:val="00A0"/>
        </w:tblPrEx>
        <w:tc>
          <w:tcPr>
            <w:tcW w:w="2499" w:type="pct"/>
            <w:tcBorders>
              <w:right w:val="single" w:sz="4" w:space="0" w:color="auto"/>
            </w:tcBorders>
          </w:tcPr>
          <w:p w:rsidR="003D2192" w:rsidRPr="00BB57B6" w:rsidP="005A78B7">
            <w:pPr>
              <w:pStyle w:val="CSBody0"/>
            </w:pPr>
            <w:r w:rsidRPr="00BB57B6">
              <w:t xml:space="preserve">All of the information in the Form 6-K dated 23 July 2015 – with the </w:t>
            </w:r>
            <w:r w:rsidRPr="00525202">
              <w:t xml:space="preserve">exception of the information on pages 3 to 5 of </w:t>
            </w:r>
            <w:r w:rsidRPr="00BB57B6">
              <w:t xml:space="preserve">the </w:t>
            </w:r>
            <w:r>
              <w:t>2Q15</w:t>
            </w:r>
            <w:r w:rsidRPr="00BB57B6">
              <w:t xml:space="preserve"> Earnings Release of Credit Suisse Group AG</w:t>
            </w:r>
            <w:r w:rsidRPr="00525202">
              <w:t xml:space="preserve"> under "Dear Shareholders" </w:t>
            </w:r>
            <w:r w:rsidRPr="00BB57B6">
              <w:t>– is incorporated into, and for</w:t>
            </w:r>
            <w:r w:rsidRPr="00034571">
              <w:t>ms part of the Base Prospectus</w:t>
            </w:r>
            <w:r w:rsidRPr="00BB57B6">
              <w:t>. The information that is not incorporated into the Base Prospectus, as set out in the previous sentence,</w:t>
            </w:r>
            <w:r w:rsidRPr="00BB57B6">
              <w:t xml:space="preserve"> </w:t>
            </w:r>
            <w:r w:rsidRPr="00BB57B6">
              <w:t xml:space="preserve">is </w:t>
            </w:r>
            <w:r>
              <w:t xml:space="preserve">either </w:t>
            </w:r>
            <w:r w:rsidRPr="00BB57B6">
              <w:t>not relevant for investors</w:t>
            </w:r>
            <w:r>
              <w:t xml:space="preserve"> or covered elsewhere in the Base Prospectus. </w:t>
            </w:r>
          </w:p>
          <w:p w:rsidR="003D2192" w:rsidRPr="00034571" w:rsidP="005A78B7">
            <w:pPr>
              <w:pStyle w:val="CSBody0"/>
            </w:pPr>
          </w:p>
        </w:tc>
        <w:tc>
          <w:tcPr>
            <w:tcW w:w="2501" w:type="pct"/>
            <w:tcBorders>
              <w:left w:val="single" w:sz="4" w:space="0" w:color="auto"/>
            </w:tcBorders>
            <w:shd w:val="clear" w:color="auto" w:fill="auto"/>
          </w:tcPr>
          <w:p w:rsidR="003D2192" w:rsidRPr="00525202" w:rsidP="005A78B7">
            <w:pPr>
              <w:pStyle w:val="CSBody0"/>
              <w:rPr>
                <w:lang w:val="de-DE"/>
              </w:rPr>
            </w:pPr>
            <w:r w:rsidRPr="00525202">
              <w:rPr>
                <w:lang w:val="de-DE"/>
              </w:rPr>
              <w:t xml:space="preserve">Sämtliche im Formular 6-K vom 23. Juli 2015 enthaltenen Informationen – mit Ausnahme der Informationen auf den Seiten 3 bis 5 der Medienmitteilung zum Finanzergebnis für das 2. Quartal 2015 der Credit Suisse Group AG unter "Dear Shareholders" – werden in den Basisprospekt einbezogen und werden zu </w:t>
            </w:r>
            <w:r>
              <w:rPr>
                <w:lang w:val="de-DE"/>
              </w:rPr>
              <w:t>dessen</w:t>
            </w:r>
            <w:r w:rsidRPr="00525202">
              <w:rPr>
                <w:lang w:val="de-DE"/>
              </w:rPr>
              <w:t xml:space="preserve"> Bestandteil. Informationen, die, wie im vorangegangenen Satz beschrieben, nicht in den Basisprospekt einbezogen werden, sind für Anleger entweder nicht relevant oder bereits an anderer Stelle im Basisprospekt erfasst.</w:t>
            </w:r>
          </w:p>
        </w:tc>
      </w:tr>
      <w:tr w:rsidTr="005A78B7">
        <w:tblPrEx>
          <w:tblW w:w="5000" w:type="pct"/>
          <w:tblLook w:val="00A0"/>
        </w:tblPrEx>
        <w:tc>
          <w:tcPr>
            <w:tcW w:w="2499" w:type="pct"/>
            <w:tcBorders>
              <w:right w:val="single" w:sz="4" w:space="0" w:color="auto"/>
            </w:tcBorders>
          </w:tcPr>
          <w:p w:rsidR="003D2192" w:rsidRPr="00442267" w:rsidP="005A78B7">
            <w:pPr>
              <w:pStyle w:val="CSManNum9pt0"/>
              <w:rPr>
                <w:sz w:val="18"/>
                <w:lang w:val="en-GB"/>
              </w:rPr>
            </w:pPr>
            <w:r w:rsidRPr="00442267">
              <w:rPr>
                <w:sz w:val="18"/>
                <w:lang w:val="en-GB"/>
              </w:rPr>
              <w:t>(6)</w:t>
            </w:r>
            <w:r w:rsidRPr="00442267">
              <w:rPr>
                <w:sz w:val="18"/>
                <w:lang w:val="en-GB"/>
              </w:rPr>
              <w:tab/>
              <w:t xml:space="preserve"> The Form 6-K dated 31 July 2015, including the Credit Suisse Financial Report 2Q15 (which contains the unaudited condensed consolidated financial statements of Credit Suisse Group AG as of 30 June 2015 and 2014 and for the three-month periods then ended) and the Financial Statements 6M15 of Credit Suisse AG as an exhibit thereto (which contain unaudited information for Credit Suisse AG for the six months ended 30 June 2015) (the "</w:t>
            </w:r>
            <w:r w:rsidRPr="00442267">
              <w:rPr>
                <w:b/>
                <w:sz w:val="18"/>
                <w:lang w:val="en-GB"/>
              </w:rPr>
              <w:t>Form 6-K dated 31 July 2015</w:t>
            </w:r>
            <w:r w:rsidRPr="00442267">
              <w:rPr>
                <w:sz w:val="18"/>
                <w:lang w:val="en-GB"/>
              </w:rPr>
              <w:t>").</w:t>
            </w:r>
          </w:p>
        </w:tc>
        <w:tc>
          <w:tcPr>
            <w:tcW w:w="2501" w:type="pct"/>
            <w:tcBorders>
              <w:left w:val="single" w:sz="4" w:space="0" w:color="auto"/>
            </w:tcBorders>
            <w:shd w:val="clear" w:color="auto" w:fill="auto"/>
          </w:tcPr>
          <w:p w:rsidR="003D2192" w:rsidRPr="00442267" w:rsidP="005A78B7">
            <w:pPr>
              <w:pStyle w:val="CSManNum9pt0"/>
              <w:rPr>
                <w:sz w:val="18"/>
              </w:rPr>
            </w:pPr>
            <w:r w:rsidRPr="00442267">
              <w:rPr>
                <w:sz w:val="18"/>
              </w:rPr>
              <w:t>(6)</w:t>
            </w:r>
            <w:r w:rsidRPr="00442267">
              <w:rPr>
                <w:sz w:val="18"/>
              </w:rPr>
              <w:tab/>
              <w:t>Das Formular 6-K vom 31. Juli 2015, dem als Anlage der Finanzbericht 2Q15 der Credit Suisse Group AG (der die ungeprüften zusammengefassten und konsolidierten Abschlüsse der Credit Suisse Group AG zum 30. Juni 2015 und 2014 und für die dann endenden Dreimonatsperioden enthält) sowie der Halbjahresbericht 6M15 der Credit Suisse AG beigefügt ist (in diesem Halbjahresbericht sind ungeprüfte Informationen über die Credit Suisse AG für die am 30. Juni 2015 endenden sechs Monate enthalten) (das "</w:t>
            </w:r>
            <w:r w:rsidRPr="00442267">
              <w:rPr>
                <w:b/>
                <w:sz w:val="18"/>
              </w:rPr>
              <w:t>Formular 6-K vom 31. Juli 2015</w:t>
            </w:r>
            <w:r w:rsidRPr="00442267">
              <w:rPr>
                <w:sz w:val="18"/>
              </w:rPr>
              <w:t>").</w:t>
            </w:r>
          </w:p>
        </w:tc>
      </w:tr>
      <w:tr w:rsidTr="005A78B7">
        <w:tblPrEx>
          <w:tblW w:w="5000" w:type="pct"/>
          <w:tblLook w:val="00A0"/>
        </w:tblPrEx>
        <w:tc>
          <w:tcPr>
            <w:tcW w:w="2499" w:type="pct"/>
            <w:tcBorders>
              <w:right w:val="single" w:sz="4" w:space="0" w:color="auto"/>
            </w:tcBorders>
          </w:tcPr>
          <w:p w:rsidR="003D2192" w:rsidRPr="00F07DD5" w:rsidP="005A78B7">
            <w:pPr>
              <w:pStyle w:val="CSBody0"/>
            </w:pPr>
            <w:r w:rsidRPr="00F07DD5">
              <w:t xml:space="preserve">All of the information in the Form 6-K dated 31 July 2015 – with the </w:t>
            </w:r>
            <w:r w:rsidRPr="000150A0">
              <w:t xml:space="preserve">exception of the information contained in exhibit 2 </w:t>
            </w:r>
            <w:r w:rsidRPr="00F07DD5">
              <w:t xml:space="preserve">"Letter regarding unaudited financial information from the Independent Registered Public Accounting Firm" (Exhibit No. 23.1), exhibit 5 "Interactive data files (XBRL-related documents) – Credit Suisse AG" (Exhibit No. 101.1), in section "Dear Shareholders" at the beginning of the Financial Report 2Q15 and in section </w:t>
            </w:r>
            <w:r w:rsidR="003B00F3">
              <w:t>"</w:t>
            </w:r>
            <w:r w:rsidRPr="00F07DD5">
              <w:t>Investor Information</w:t>
            </w:r>
            <w:r w:rsidR="00BF7214">
              <w:t>"</w:t>
            </w:r>
            <w:r w:rsidRPr="00F07DD5">
              <w:t xml:space="preserve"> on page 175 of the Financial Report 2Q15 – is incorporated into,</w:t>
            </w:r>
            <w:r>
              <w:t xml:space="preserve"> </w:t>
            </w:r>
            <w:r w:rsidRPr="000150A0">
              <w:t>and forms part of the Base Prospectus. The information that is not incorporated into the Base Prospectus, as set out in the previous sentence,</w:t>
            </w:r>
            <w:r w:rsidRPr="000150A0">
              <w:t xml:space="preserve"> </w:t>
            </w:r>
            <w:r w:rsidRPr="000150A0">
              <w:t>is either not relevant for investors or covered elsewhere in the Base Prospectus.</w:t>
            </w:r>
          </w:p>
        </w:tc>
        <w:tc>
          <w:tcPr>
            <w:tcW w:w="2501" w:type="pct"/>
            <w:tcBorders>
              <w:left w:val="single" w:sz="4" w:space="0" w:color="auto"/>
            </w:tcBorders>
            <w:shd w:val="clear" w:color="auto" w:fill="auto"/>
          </w:tcPr>
          <w:p w:rsidR="003D2192" w:rsidRPr="000150A0" w:rsidP="005A78B7">
            <w:pPr>
              <w:pStyle w:val="CSBody0"/>
              <w:rPr>
                <w:lang w:val="de-DE"/>
              </w:rPr>
            </w:pPr>
            <w:r w:rsidRPr="000150A0">
              <w:rPr>
                <w:lang w:val="de-DE"/>
              </w:rPr>
              <w:t>Sämtliche im Formular 6-K vom 31. Juli 2015 enthaltenen Informationen – mit Ausnahme der Informationen, die in Anlage 2 "Letter regarding unaudited financial information from the Independent Registered Public Accounting Firm" (Exhibit No. 23.1), in Anlage 5 "Interactive data files (XBRL-related documents) – Credit Suisse AG" (Exhibit No. 101.1) sowie im Abschnitt "Dear Shareholders" am Anfang des Finanzberichts 2Q15 und im Abschnitt "Investor Information</w:t>
            </w:r>
            <w:r w:rsidR="003B00F3">
              <w:rPr>
                <w:lang w:val="de-DE"/>
              </w:rPr>
              <w:t>"</w:t>
            </w:r>
            <w:r w:rsidRPr="000150A0">
              <w:rPr>
                <w:lang w:val="de-DE"/>
              </w:rPr>
              <w:t xml:space="preserve"> auf Seite 175 des Finanzberichts 2Q15 enthalten sind – werden in den Basisprospekt einbezogen und werden zu </w:t>
            </w:r>
            <w:r w:rsidRPr="00F37B5A">
              <w:rPr>
                <w:lang w:val="de-DE"/>
              </w:rPr>
              <w:t>dessen Bestandteil</w:t>
            </w:r>
            <w:r w:rsidRPr="000150A0">
              <w:rPr>
                <w:lang w:val="de-DE"/>
              </w:rPr>
              <w:t>. Informationen, die, wie im vorangegangenen Satz beschrieben, nicht in den Basisprospekt einbezogen werden, sind für Anleger entweder nicht relevant oder bereits an anderer Stelle im Basisprospekt erfasst.</w:t>
            </w:r>
          </w:p>
        </w:tc>
      </w:tr>
      <w:tr w:rsidTr="005A78B7">
        <w:tblPrEx>
          <w:tblW w:w="5000" w:type="pct"/>
          <w:tblLook w:val="00A0"/>
        </w:tblPrEx>
        <w:tc>
          <w:tcPr>
            <w:tcW w:w="2499" w:type="pct"/>
            <w:tcBorders>
              <w:right w:val="single" w:sz="4" w:space="0" w:color="auto"/>
            </w:tcBorders>
          </w:tcPr>
          <w:p w:rsidR="003D2192" w:rsidRPr="00442267" w:rsidP="005A78B7">
            <w:pPr>
              <w:pStyle w:val="CSManNum9pt0"/>
              <w:rPr>
                <w:b/>
                <w:sz w:val="18"/>
                <w:lang w:val="en-GB"/>
              </w:rPr>
            </w:pPr>
            <w:r w:rsidRPr="00442267">
              <w:rPr>
                <w:sz w:val="18"/>
                <w:lang w:val="en-GB"/>
              </w:rPr>
              <w:t>(7)</w:t>
            </w:r>
            <w:r w:rsidRPr="00442267">
              <w:rPr>
                <w:sz w:val="18"/>
                <w:lang w:val="en-GB"/>
              </w:rPr>
              <w:tab/>
            </w:r>
            <w:r w:rsidRPr="00442267">
              <w:rPr>
                <w:sz w:val="18"/>
                <w:lang w:val="en-GB"/>
              </w:rPr>
              <w:t>The Form 6-K dated 21 October 2015, which contains selected unaudited condensed consolidated financial information for Credit Suisse AG and includes as an exhibit thereto the Credit Suisse Earnings Release 3Q15 (which contains selected unaudited condensed consolidated financial information for Credit Suisse Group AG as of 30 September 2015 and 2014 and for the three-month periods then ended) (the "</w:t>
            </w:r>
            <w:r w:rsidRPr="00442267">
              <w:rPr>
                <w:b/>
                <w:sz w:val="18"/>
                <w:lang w:val="en-GB"/>
              </w:rPr>
              <w:t>First Form 6-K dated 21 October 2015</w:t>
            </w:r>
            <w:r w:rsidRPr="00442267">
              <w:rPr>
                <w:sz w:val="18"/>
                <w:lang w:val="en-GB"/>
              </w:rPr>
              <w:t>").</w:t>
            </w:r>
          </w:p>
        </w:tc>
        <w:tc>
          <w:tcPr>
            <w:tcW w:w="2501" w:type="pct"/>
            <w:tcBorders>
              <w:left w:val="single" w:sz="4" w:space="0" w:color="auto"/>
            </w:tcBorders>
            <w:shd w:val="clear" w:color="auto" w:fill="auto"/>
          </w:tcPr>
          <w:p w:rsidR="003D2192" w:rsidRPr="00442267" w:rsidP="005A78B7">
            <w:pPr>
              <w:pStyle w:val="CSManNum9pt0"/>
              <w:rPr>
                <w:sz w:val="18"/>
              </w:rPr>
            </w:pPr>
            <w:r w:rsidRPr="00442267">
              <w:rPr>
                <w:sz w:val="18"/>
              </w:rPr>
              <w:t>(7)</w:t>
            </w:r>
            <w:r w:rsidRPr="00442267">
              <w:rPr>
                <w:sz w:val="18"/>
              </w:rPr>
              <w:tab/>
              <w:t>Das Formular 6-K vom 21. Oktober 2015, das ausgewählte ungeprüfte zusammengefasste und konsolidierte Finanzkennzahlen der Credit Suisse AG enthält, und dem als Anlage die Medienmitteilung zum Finanzergebnis für das 3. Quartal der Credit Suisse (die ausgewählte ungeprüfte zusammengefasste und konsolidierte Finanzkennzahlen für Credit Suisse Group AG zum 30. September 2015 und 2014 und für die dann endenden Dreimonatsperioden enthält) (das "</w:t>
            </w:r>
            <w:r w:rsidRPr="00442267">
              <w:rPr>
                <w:b/>
                <w:sz w:val="18"/>
              </w:rPr>
              <w:t>Erste</w:t>
            </w:r>
            <w:r w:rsidRPr="00442267">
              <w:rPr>
                <w:sz w:val="18"/>
              </w:rPr>
              <w:t xml:space="preserve"> </w:t>
            </w:r>
            <w:r w:rsidRPr="00442267">
              <w:rPr>
                <w:b/>
                <w:sz w:val="18"/>
              </w:rPr>
              <w:t>Formular 6-K vom 21. Oktober 2015</w:t>
            </w:r>
            <w:r w:rsidRPr="00442267">
              <w:rPr>
                <w:sz w:val="18"/>
              </w:rPr>
              <w:t>") beigefügt ist.</w:t>
            </w:r>
          </w:p>
        </w:tc>
      </w:tr>
      <w:tr w:rsidTr="005A78B7">
        <w:tblPrEx>
          <w:tblW w:w="5000" w:type="pct"/>
          <w:tblLook w:val="00A0"/>
        </w:tblPrEx>
        <w:tc>
          <w:tcPr>
            <w:tcW w:w="2499" w:type="pct"/>
            <w:tcBorders>
              <w:right w:val="single" w:sz="4" w:space="0" w:color="auto"/>
            </w:tcBorders>
          </w:tcPr>
          <w:p w:rsidR="003D2192" w:rsidRPr="007D1D1D" w:rsidP="003D0406">
            <w:pPr>
              <w:pStyle w:val="CSBody0"/>
            </w:pPr>
            <w:r w:rsidRPr="00597747">
              <w:t xml:space="preserve">All of the information in the </w:t>
            </w:r>
            <w:r>
              <w:t xml:space="preserve">First </w:t>
            </w:r>
            <w:r w:rsidRPr="00597747">
              <w:t>Form 6-K dated 21 October 2015 is incorporated into, and forms part of the Base Prospectus.</w:t>
            </w:r>
          </w:p>
        </w:tc>
        <w:tc>
          <w:tcPr>
            <w:tcW w:w="2501" w:type="pct"/>
            <w:tcBorders>
              <w:left w:val="single" w:sz="4" w:space="0" w:color="auto"/>
            </w:tcBorders>
            <w:shd w:val="clear" w:color="auto" w:fill="auto"/>
          </w:tcPr>
          <w:p w:rsidR="003D2192" w:rsidRPr="00597747" w:rsidP="005A78B7">
            <w:pPr>
              <w:pStyle w:val="CSBody0"/>
              <w:rPr>
                <w:lang w:val="de-DE"/>
              </w:rPr>
            </w:pPr>
            <w:r w:rsidRPr="00597747">
              <w:rPr>
                <w:lang w:val="de-DE"/>
              </w:rPr>
              <w:t xml:space="preserve">Sämtliche im </w:t>
            </w:r>
            <w:r>
              <w:rPr>
                <w:lang w:val="de-DE"/>
              </w:rPr>
              <w:t xml:space="preserve">Ersten </w:t>
            </w:r>
            <w:r w:rsidRPr="00597747">
              <w:rPr>
                <w:lang w:val="de-DE"/>
              </w:rPr>
              <w:t xml:space="preserve">Formular 6-K vom 21. Oktober 2015 enthaltenen Informationen werden in den Basisprospekt einbezogen und werden zu </w:t>
            </w:r>
            <w:r w:rsidRPr="00F37B5A">
              <w:rPr>
                <w:lang w:val="de-DE"/>
              </w:rPr>
              <w:t>dessen Bestandteil</w:t>
            </w:r>
            <w:r w:rsidRPr="00597747">
              <w:rPr>
                <w:lang w:val="de-DE"/>
              </w:rPr>
              <w:t>.</w:t>
            </w:r>
          </w:p>
        </w:tc>
      </w:tr>
      <w:tr w:rsidTr="005A78B7">
        <w:tblPrEx>
          <w:tblW w:w="5000" w:type="pct"/>
          <w:tblLook w:val="00A0"/>
        </w:tblPrEx>
        <w:tc>
          <w:tcPr>
            <w:tcW w:w="2499" w:type="pct"/>
            <w:tcBorders>
              <w:right w:val="single" w:sz="4" w:space="0" w:color="auto"/>
            </w:tcBorders>
          </w:tcPr>
          <w:p w:rsidR="003D2192" w:rsidRPr="00442267" w:rsidP="005A78B7">
            <w:pPr>
              <w:pStyle w:val="CSManNum9pt0"/>
              <w:rPr>
                <w:sz w:val="18"/>
                <w:lang w:val="en-GB"/>
              </w:rPr>
            </w:pPr>
            <w:r w:rsidRPr="00442267">
              <w:rPr>
                <w:sz w:val="18"/>
                <w:lang w:val="en-GB"/>
              </w:rPr>
              <w:t>(8)</w:t>
            </w:r>
            <w:r w:rsidRPr="00442267">
              <w:rPr>
                <w:sz w:val="18"/>
                <w:lang w:val="en-GB"/>
              </w:rPr>
              <w:tab/>
            </w:r>
            <w:r w:rsidRPr="00442267">
              <w:rPr>
                <w:sz w:val="18"/>
                <w:lang w:val="en-GB"/>
              </w:rPr>
              <w:tab/>
              <w:t>The Form 6-K dated 21 October 2015, which contains a media release announcing changes in strategy, structure and organisation, including a change to the composition of the Executive Board of Credit Suisse (the "</w:t>
            </w:r>
            <w:r w:rsidRPr="00442267">
              <w:rPr>
                <w:b/>
                <w:sz w:val="18"/>
                <w:lang w:val="en-GB"/>
              </w:rPr>
              <w:t>Second Form 6-K dated 21 October 2015</w:t>
            </w:r>
            <w:r w:rsidRPr="00442267">
              <w:rPr>
                <w:sz w:val="18"/>
                <w:lang w:val="en-GB"/>
              </w:rPr>
              <w:t>").</w:t>
            </w:r>
          </w:p>
        </w:tc>
        <w:tc>
          <w:tcPr>
            <w:tcW w:w="2501" w:type="pct"/>
            <w:tcBorders>
              <w:left w:val="single" w:sz="4" w:space="0" w:color="auto"/>
            </w:tcBorders>
            <w:shd w:val="clear" w:color="auto" w:fill="auto"/>
          </w:tcPr>
          <w:p w:rsidR="003D2192" w:rsidRPr="00442267" w:rsidP="005A78B7">
            <w:pPr>
              <w:pStyle w:val="CSManNum9pt0"/>
              <w:rPr>
                <w:sz w:val="18"/>
              </w:rPr>
            </w:pPr>
            <w:r w:rsidRPr="00442267">
              <w:rPr>
                <w:sz w:val="18"/>
              </w:rPr>
              <w:t>(8)</w:t>
            </w:r>
            <w:r w:rsidRPr="00442267">
              <w:rPr>
                <w:sz w:val="18"/>
              </w:rPr>
              <w:tab/>
              <w:t>Das Formular 6-K vom 21. Oktober 2015, das eine Medienmitteilung zu Änderungen der Strategie, Struktur und Organisation, einschliesslich einer Änderung der Zusammensetzung der Geschäftsführung der Credit Suisse enthält (das "</w:t>
            </w:r>
            <w:r w:rsidRPr="00442267">
              <w:rPr>
                <w:b/>
                <w:sz w:val="18"/>
              </w:rPr>
              <w:t xml:space="preserve">Zweite Formular 6-K vom 21. </w:t>
            </w:r>
            <w:r w:rsidRPr="00442267">
              <w:rPr>
                <w:b/>
                <w:sz w:val="18"/>
                <w:lang w:val="en-GB"/>
              </w:rPr>
              <w:t>Oktober 2015</w:t>
            </w:r>
            <w:r w:rsidRPr="00442267">
              <w:rPr>
                <w:sz w:val="18"/>
                <w:lang w:val="en-GB"/>
              </w:rPr>
              <w:t>").</w:t>
            </w:r>
          </w:p>
        </w:tc>
      </w:tr>
      <w:tr w:rsidTr="005A78B7">
        <w:tblPrEx>
          <w:tblW w:w="5000" w:type="pct"/>
          <w:tblLook w:val="00A0"/>
        </w:tblPrEx>
        <w:tc>
          <w:tcPr>
            <w:tcW w:w="2499" w:type="pct"/>
            <w:tcBorders>
              <w:right w:val="single" w:sz="4" w:space="0" w:color="auto"/>
            </w:tcBorders>
          </w:tcPr>
          <w:p w:rsidR="003D2192" w:rsidRPr="00A6035F" w:rsidP="000221B7">
            <w:pPr>
              <w:pStyle w:val="CSBody0"/>
            </w:pPr>
            <w:r w:rsidRPr="00A6035F">
              <w:t xml:space="preserve">All of the information in the </w:t>
            </w:r>
            <w:r>
              <w:t>Second</w:t>
            </w:r>
            <w:r w:rsidRPr="00A6035F">
              <w:t xml:space="preserve"> Form 6-K dated 21 October 2015 is incorporated into, and forms part of the Base Prospectus.</w:t>
            </w:r>
          </w:p>
        </w:tc>
        <w:tc>
          <w:tcPr>
            <w:tcW w:w="2501" w:type="pct"/>
            <w:tcBorders>
              <w:left w:val="single" w:sz="4" w:space="0" w:color="auto"/>
            </w:tcBorders>
            <w:shd w:val="clear" w:color="auto" w:fill="auto"/>
          </w:tcPr>
          <w:p w:rsidR="003D2192" w:rsidRPr="00A6035F" w:rsidP="005A78B7">
            <w:pPr>
              <w:pStyle w:val="CSBody0"/>
              <w:rPr>
                <w:lang w:val="de-DE"/>
              </w:rPr>
            </w:pPr>
            <w:r w:rsidRPr="00A6035F">
              <w:rPr>
                <w:lang w:val="de-DE"/>
              </w:rPr>
              <w:t xml:space="preserve">Sämtliche im </w:t>
            </w:r>
            <w:r>
              <w:rPr>
                <w:lang w:val="de-DE"/>
              </w:rPr>
              <w:t>Zweiten</w:t>
            </w:r>
            <w:r w:rsidRPr="00A6035F">
              <w:rPr>
                <w:lang w:val="de-DE"/>
              </w:rPr>
              <w:t xml:space="preserve"> Formular 6-K vom 21. Oktober 2015 enthaltenen Informationen werden in den Basisprospekt einbezogen und werden zu </w:t>
            </w:r>
            <w:r w:rsidRPr="00F37B5A">
              <w:rPr>
                <w:lang w:val="de-DE"/>
              </w:rPr>
              <w:t>dessen Bestandteil</w:t>
            </w:r>
            <w:r w:rsidRPr="00A6035F">
              <w:rPr>
                <w:lang w:val="de-DE"/>
              </w:rPr>
              <w:t>.</w:t>
            </w:r>
          </w:p>
        </w:tc>
      </w:tr>
      <w:tr w:rsidTr="005A78B7">
        <w:tblPrEx>
          <w:tblW w:w="5000" w:type="pct"/>
          <w:tblLook w:val="00A0"/>
        </w:tblPrEx>
        <w:tc>
          <w:tcPr>
            <w:tcW w:w="2499" w:type="pct"/>
            <w:tcBorders>
              <w:right w:val="single" w:sz="4" w:space="0" w:color="auto"/>
            </w:tcBorders>
          </w:tcPr>
          <w:p w:rsidR="003D2192" w:rsidRPr="00442267" w:rsidP="00442267">
            <w:pPr>
              <w:pStyle w:val="CSManNum9pt0"/>
              <w:rPr>
                <w:sz w:val="18"/>
                <w:lang w:val="en-GB"/>
              </w:rPr>
            </w:pPr>
            <w:r w:rsidRPr="00442267">
              <w:rPr>
                <w:sz w:val="18"/>
                <w:lang w:val="en-GB"/>
              </w:rPr>
              <w:t>(9)</w:t>
            </w:r>
            <w:r w:rsidRPr="00442267">
              <w:rPr>
                <w:sz w:val="18"/>
                <w:lang w:val="en-GB"/>
              </w:rPr>
              <w:tab/>
            </w:r>
            <w:r w:rsidRPr="00442267">
              <w:rPr>
                <w:sz w:val="18"/>
                <w:szCs w:val="18"/>
                <w:lang w:val="en-GB"/>
              </w:rPr>
              <w:t xml:space="preserve">The Form 6-K dated 30 October 2015, including the Credit Suisse Financial Report 3Q15 exhibited thereto (which contains the unaudited condensed consolidated financial statements of Credit Suisse Group AG as of 30 September 2015 and 2014 and </w:t>
            </w:r>
            <w:r w:rsidRPr="00BD6E0D">
              <w:rPr>
                <w:sz w:val="18"/>
                <w:szCs w:val="18"/>
                <w:lang w:val="en-GB"/>
              </w:rPr>
              <w:t>for</w:t>
            </w:r>
            <w:r w:rsidRPr="00442267">
              <w:rPr>
                <w:sz w:val="18"/>
                <w:szCs w:val="18"/>
                <w:lang w:val="en-GB"/>
              </w:rPr>
              <w:t xml:space="preserve"> the three-month periods then ended) (the "</w:t>
            </w:r>
            <w:r w:rsidRPr="00442267">
              <w:rPr>
                <w:b/>
                <w:sz w:val="18"/>
                <w:szCs w:val="18"/>
                <w:lang w:val="en-GB"/>
              </w:rPr>
              <w:t>Form 6-K dated 30 October 2015</w:t>
            </w:r>
            <w:r w:rsidRPr="00442267">
              <w:rPr>
                <w:sz w:val="18"/>
                <w:szCs w:val="18"/>
                <w:lang w:val="en-GB"/>
              </w:rPr>
              <w:t>").</w:t>
            </w:r>
          </w:p>
        </w:tc>
        <w:tc>
          <w:tcPr>
            <w:tcW w:w="2501" w:type="pct"/>
            <w:tcBorders>
              <w:left w:val="single" w:sz="4" w:space="0" w:color="auto"/>
            </w:tcBorders>
            <w:shd w:val="clear" w:color="auto" w:fill="auto"/>
          </w:tcPr>
          <w:p w:rsidR="003D2192" w:rsidRPr="00442267" w:rsidP="005A78B7">
            <w:pPr>
              <w:pStyle w:val="CSManNum9pt0"/>
              <w:rPr>
                <w:bCs/>
                <w:sz w:val="18"/>
                <w:lang w:val="en-GB"/>
              </w:rPr>
            </w:pPr>
            <w:r w:rsidRPr="00442267">
              <w:rPr>
                <w:sz w:val="18"/>
              </w:rPr>
              <w:t>(9)</w:t>
            </w:r>
            <w:r w:rsidRPr="00442267">
              <w:rPr>
                <w:sz w:val="18"/>
              </w:rPr>
              <w:tab/>
              <w:t>Das Formular 6-K vom 30. October 2015, dem als Anlage der Finanzbericht für das 3. Quartal der Credit Suisse Group AG beigefügt ist</w:t>
            </w:r>
            <w:r w:rsidRPr="00442267">
              <w:rPr>
                <w:sz w:val="18"/>
              </w:rPr>
              <w:t xml:space="preserve"> </w:t>
            </w:r>
            <w:r w:rsidRPr="00442267">
              <w:rPr>
                <w:sz w:val="18"/>
              </w:rPr>
              <w:t>(der die ungeprüften zusammengefassten und konsolidierten Abschlüsse der Credit Suisse Group AG zum 30. September 2015 und 2014 und für die dann endenden Dreimonatsperioden enthält) (das "</w:t>
            </w:r>
            <w:r w:rsidRPr="00442267">
              <w:rPr>
                <w:b/>
                <w:sz w:val="18"/>
              </w:rPr>
              <w:t>Formular 6-K vom 30. </w:t>
            </w:r>
            <w:r w:rsidRPr="00442267">
              <w:rPr>
                <w:b/>
                <w:sz w:val="18"/>
                <w:lang w:val="en-GB"/>
              </w:rPr>
              <w:t>October 2015</w:t>
            </w:r>
            <w:r w:rsidRPr="00442267">
              <w:rPr>
                <w:sz w:val="18"/>
                <w:lang w:val="en-GB"/>
              </w:rPr>
              <w:t>").</w:t>
            </w:r>
          </w:p>
        </w:tc>
      </w:tr>
      <w:tr w:rsidTr="005A78B7">
        <w:tblPrEx>
          <w:tblW w:w="5000" w:type="pct"/>
          <w:tblLook w:val="00A0"/>
        </w:tblPrEx>
        <w:tc>
          <w:tcPr>
            <w:tcW w:w="2499" w:type="pct"/>
            <w:tcBorders>
              <w:right w:val="single" w:sz="4" w:space="0" w:color="auto"/>
            </w:tcBorders>
          </w:tcPr>
          <w:p w:rsidR="003D2192" w:rsidRPr="0030637D" w:rsidP="005A78B7">
            <w:pPr>
              <w:pStyle w:val="CSBody0"/>
            </w:pPr>
            <w:r w:rsidRPr="002470AF">
              <w:t xml:space="preserve">All of the information in the Form 6-K dated 30 October 2015 – with the exception of the information contained (i) in section "Dear Shareholders" at the beginning of the Financial Report 3Q15, (ii) in section </w:t>
            </w:r>
            <w:r w:rsidR="003B00F3">
              <w:t>"</w:t>
            </w:r>
            <w:r w:rsidRPr="002470AF">
              <w:t>Investor Information</w:t>
            </w:r>
            <w:r w:rsidR="00BF7214">
              <w:t>"</w:t>
            </w:r>
            <w:r w:rsidRPr="002470AF">
              <w:t xml:space="preserve"> on page 173 of the Financial Report 3Q15 and (iii) in section </w:t>
            </w:r>
            <w:r w:rsidR="003B00F3">
              <w:t>"</w:t>
            </w:r>
            <w:r w:rsidRPr="002470AF">
              <w:t>Financial calendar and contacts</w:t>
            </w:r>
            <w:r w:rsidR="00BF7214">
              <w:t>"</w:t>
            </w:r>
            <w:r w:rsidRPr="002470AF">
              <w:t xml:space="preserve"> on page 174 of the Financial Report 3Q15 – is incorporated into, and for</w:t>
            </w:r>
            <w:r>
              <w:t>ms part of the Base Prospectus</w:t>
            </w:r>
            <w:r w:rsidRPr="002470AF">
              <w:t>. The information that is not incorporated into the Base Prospectus, as set out in the previous sentence,</w:t>
            </w:r>
            <w:r w:rsidRPr="002470AF">
              <w:t xml:space="preserve"> </w:t>
            </w:r>
            <w:r w:rsidRPr="002470AF">
              <w:t>is either not relevant for investors or covered elsewhere in the Base Prospectus.</w:t>
            </w:r>
          </w:p>
        </w:tc>
        <w:tc>
          <w:tcPr>
            <w:tcW w:w="2501" w:type="pct"/>
            <w:tcBorders>
              <w:left w:val="single" w:sz="4" w:space="0" w:color="auto"/>
            </w:tcBorders>
            <w:shd w:val="clear" w:color="auto" w:fill="auto"/>
          </w:tcPr>
          <w:p w:rsidR="003D2192" w:rsidRPr="002470AF" w:rsidP="005A78B7">
            <w:pPr>
              <w:pStyle w:val="CSBody0"/>
              <w:rPr>
                <w:lang w:val="de-DE"/>
              </w:rPr>
            </w:pPr>
            <w:r w:rsidRPr="002470AF">
              <w:rPr>
                <w:lang w:val="de-DE"/>
              </w:rPr>
              <w:t>Sämtliche im Formular 6-K vom 30. Oktober 2015 enthaltenen Informationen – mit Ausnahme der Informationen, die (i) im Abschnitt "Dear Shareholders" am Anfang des Finanzberichts 3Q15, (ii) im Abschnitt "Investor Information</w:t>
            </w:r>
            <w:r w:rsidR="003B00F3">
              <w:rPr>
                <w:lang w:val="de-DE"/>
              </w:rPr>
              <w:t>"</w:t>
            </w:r>
            <w:r w:rsidRPr="002470AF">
              <w:rPr>
                <w:lang w:val="de-DE"/>
              </w:rPr>
              <w:t xml:space="preserve"> auf Seite 173 des Finanzberichts 3Q15 und (iii) im Abschnitt </w:t>
            </w:r>
            <w:r w:rsidR="003B00F3">
              <w:rPr>
                <w:lang w:val="de-DE"/>
              </w:rPr>
              <w:t>"</w:t>
            </w:r>
            <w:r w:rsidRPr="002470AF">
              <w:rPr>
                <w:lang w:val="de-DE"/>
              </w:rPr>
              <w:t>Financial calendar and contacts</w:t>
            </w:r>
            <w:r w:rsidR="003B00F3">
              <w:rPr>
                <w:lang w:val="de-DE"/>
              </w:rPr>
              <w:t>"</w:t>
            </w:r>
            <w:r w:rsidRPr="002470AF">
              <w:rPr>
                <w:lang w:val="de-DE"/>
              </w:rPr>
              <w:t xml:space="preserve"> auf Seite 174 des Finanzberichts 3Q15 enthalten sind – werden in </w:t>
            </w:r>
            <w:r>
              <w:rPr>
                <w:lang w:val="de-DE"/>
              </w:rPr>
              <w:t xml:space="preserve">den </w:t>
            </w:r>
            <w:r w:rsidRPr="002470AF">
              <w:rPr>
                <w:lang w:val="de-DE"/>
              </w:rPr>
              <w:t xml:space="preserve">Basisprospekt einbezogen und werden zu </w:t>
            </w:r>
            <w:r w:rsidRPr="00F37B5A">
              <w:rPr>
                <w:lang w:val="de-DE"/>
              </w:rPr>
              <w:t>dessen Bestandteil</w:t>
            </w:r>
            <w:r w:rsidRPr="002470AF">
              <w:rPr>
                <w:lang w:val="de-DE"/>
              </w:rPr>
              <w:t>. Informationen, die, wie im vorangegangenen Satz beschrieben, nicht in den Basisprospekt einbezogen werden, sind für Anleger entweder nicht relevant oder bereits an anderer Stelle im Basisprospekt erfasst.</w:t>
            </w:r>
          </w:p>
        </w:tc>
      </w:tr>
      <w:tr w:rsidTr="005A78B7">
        <w:tblPrEx>
          <w:tblW w:w="5000" w:type="pct"/>
          <w:tblLook w:val="00A0"/>
        </w:tblPrEx>
        <w:tc>
          <w:tcPr>
            <w:tcW w:w="2499" w:type="pct"/>
            <w:tcBorders>
              <w:right w:val="single" w:sz="4" w:space="0" w:color="auto"/>
            </w:tcBorders>
          </w:tcPr>
          <w:p w:rsidR="00B070C4" w:rsidRPr="004D682C" w:rsidP="00BD6E0D">
            <w:pPr>
              <w:pStyle w:val="CSManNum9pt0"/>
              <w:rPr>
                <w:lang w:val="en-GB"/>
              </w:rPr>
            </w:pPr>
            <w:r>
              <w:rPr>
                <w:sz w:val="18"/>
                <w:lang w:val="en-GB"/>
              </w:rPr>
              <w:t>(10) T</w:t>
            </w:r>
            <w:r w:rsidRPr="00B070C4">
              <w:rPr>
                <w:sz w:val="18"/>
                <w:lang w:val="en-GB"/>
              </w:rPr>
              <w:t xml:space="preserve">he Form 6-K dated 19 November 2015 </w:t>
            </w:r>
            <w:r>
              <w:rPr>
                <w:sz w:val="18"/>
                <w:lang w:val="en-GB"/>
              </w:rPr>
              <w:t xml:space="preserve">including a media release </w:t>
            </w:r>
            <w:r w:rsidRPr="00B070C4">
              <w:rPr>
                <w:sz w:val="18"/>
                <w:lang w:val="en-GB"/>
              </w:rPr>
              <w:t>regarding the approval by the shareholders of Credit Suisse Group AG of two proposed capital increases</w:t>
            </w:r>
            <w:r>
              <w:rPr>
                <w:sz w:val="18"/>
                <w:lang w:val="en-GB"/>
              </w:rPr>
              <w:t xml:space="preserve"> (the </w:t>
            </w:r>
            <w:r w:rsidRPr="00BD6E0D">
              <w:rPr>
                <w:b/>
                <w:sz w:val="18"/>
                <w:lang w:val="en-GB"/>
              </w:rPr>
              <w:t>"Form 6-K dated 19 November 2015"</w:t>
            </w:r>
            <w:r w:rsidRPr="00B070C4">
              <w:rPr>
                <w:sz w:val="18"/>
                <w:lang w:val="en-GB"/>
              </w:rPr>
              <w:t>).</w:t>
            </w:r>
          </w:p>
        </w:tc>
        <w:tc>
          <w:tcPr>
            <w:tcW w:w="2501" w:type="pct"/>
            <w:tcBorders>
              <w:left w:val="single" w:sz="4" w:space="0" w:color="auto"/>
            </w:tcBorders>
            <w:shd w:val="clear" w:color="auto" w:fill="auto"/>
          </w:tcPr>
          <w:p w:rsidR="00B070C4" w:rsidRPr="002470AF">
            <w:pPr>
              <w:pStyle w:val="CSBody0"/>
              <w:rPr>
                <w:lang w:val="de-DE"/>
              </w:rPr>
            </w:pPr>
            <w:r w:rsidRPr="00BD6E0D">
              <w:rPr>
                <w:lang w:val="de-DE"/>
              </w:rPr>
              <w:t>(10)</w:t>
            </w:r>
            <w:r w:rsidRPr="00BD6E0D" w:rsidR="00F767D7">
              <w:rPr>
                <w:lang w:val="de-DE"/>
              </w:rPr>
              <w:t xml:space="preserve"> Das Formular 6-K vom 19. November 2015, das eine Medienmitteilung </w:t>
            </w:r>
            <w:r w:rsidRPr="00BD6E0D">
              <w:rPr>
                <w:lang w:val="de-DE"/>
              </w:rPr>
              <w:t xml:space="preserve">bezüglich der Genehmigung durch die Aktionäre der Credit Suisse Group AG von zwei geplanten Kapitalerhöhungen </w:t>
            </w:r>
            <w:r w:rsidRPr="00BD6E0D" w:rsidR="00F767D7">
              <w:rPr>
                <w:lang w:val="de-DE"/>
              </w:rPr>
              <w:t>enthält (das "</w:t>
            </w:r>
            <w:r w:rsidRPr="00BD6E0D" w:rsidR="00F767D7">
              <w:rPr>
                <w:b/>
                <w:lang w:val="de-DE"/>
              </w:rPr>
              <w:t xml:space="preserve">Formular 6-K vom </w:t>
            </w:r>
            <w:r w:rsidRPr="00BD6E0D" w:rsidR="0069750F">
              <w:rPr>
                <w:b/>
                <w:lang w:val="de-DE"/>
              </w:rPr>
              <w:t>19</w:t>
            </w:r>
            <w:r w:rsidRPr="00BD6E0D" w:rsidR="00F767D7">
              <w:rPr>
                <w:b/>
                <w:lang w:val="de-DE"/>
              </w:rPr>
              <w:t xml:space="preserve">. </w:t>
            </w:r>
            <w:r w:rsidRPr="00F767D7" w:rsidR="00F767D7">
              <w:rPr>
                <w:b/>
              </w:rPr>
              <w:t>November 2015</w:t>
            </w:r>
            <w:r w:rsidRPr="00F767D7" w:rsidR="00F767D7">
              <w:t>")</w:t>
            </w:r>
            <w:r w:rsidR="00F767D7">
              <w:t>.</w:t>
            </w:r>
          </w:p>
        </w:tc>
      </w:tr>
      <w:tr w:rsidTr="0069750F">
        <w:tblPrEx>
          <w:tblW w:w="5000" w:type="pct"/>
          <w:tblLook w:val="00A0"/>
        </w:tblPrEx>
        <w:tc>
          <w:tcPr>
            <w:tcW w:w="2499" w:type="pct"/>
            <w:tcBorders>
              <w:right w:val="single" w:sz="4" w:space="0" w:color="auto"/>
            </w:tcBorders>
          </w:tcPr>
          <w:p w:rsidR="0069750F">
            <w:pPr>
              <w:pStyle w:val="CSBody0"/>
            </w:pPr>
            <w:r w:rsidRPr="00F37B5A">
              <w:t xml:space="preserve">All of the information in the Form 6-K dated </w:t>
            </w:r>
            <w:r>
              <w:t>19</w:t>
            </w:r>
            <w:r w:rsidRPr="00F37B5A">
              <w:t xml:space="preserve"> November 2015 </w:t>
            </w:r>
            <w:r w:rsidRPr="00F37B5A">
              <w:rPr>
                <w:lang w:val="en-US"/>
              </w:rPr>
              <w:t>is incorporated into,</w:t>
            </w:r>
            <w:r>
              <w:rPr>
                <w:lang w:val="en-US"/>
              </w:rPr>
              <w:t xml:space="preserve"> </w:t>
            </w:r>
            <w:r w:rsidRPr="00F37B5A">
              <w:rPr>
                <w:lang w:val="en-US"/>
              </w:rPr>
              <w:t>and forms part of the Base Prospectus.</w:t>
            </w:r>
          </w:p>
        </w:tc>
        <w:tc>
          <w:tcPr>
            <w:tcW w:w="2501" w:type="pct"/>
            <w:tcBorders>
              <w:left w:val="single" w:sz="4" w:space="0" w:color="auto"/>
            </w:tcBorders>
            <w:shd w:val="clear" w:color="auto" w:fill="auto"/>
          </w:tcPr>
          <w:p w:rsidR="0069750F" w:rsidRPr="00F37B5A">
            <w:pPr>
              <w:pStyle w:val="CSBody0"/>
              <w:rPr>
                <w:lang w:val="de-DE"/>
              </w:rPr>
            </w:pPr>
            <w:r w:rsidRPr="00F37B5A">
              <w:rPr>
                <w:lang w:val="de-DE"/>
              </w:rPr>
              <w:t xml:space="preserve">Sämtliche im Formular 6-K vom </w:t>
            </w:r>
            <w:r>
              <w:rPr>
                <w:lang w:val="de-DE"/>
              </w:rPr>
              <w:t>19</w:t>
            </w:r>
            <w:r w:rsidRPr="00F37B5A">
              <w:rPr>
                <w:lang w:val="de-DE"/>
              </w:rPr>
              <w:t>. November 2015 enthalt</w:t>
            </w:r>
            <w:r>
              <w:rPr>
                <w:lang w:val="de-DE"/>
              </w:rPr>
              <w:t>enen Informationen werden in den</w:t>
            </w:r>
            <w:r w:rsidRPr="00F37B5A">
              <w:rPr>
                <w:lang w:val="de-DE"/>
              </w:rPr>
              <w:t xml:space="preserve"> </w:t>
            </w:r>
            <w:r>
              <w:rPr>
                <w:lang w:val="de-DE"/>
              </w:rPr>
              <w:t>Basisprospekt</w:t>
            </w:r>
            <w:r w:rsidRPr="00F37B5A">
              <w:rPr>
                <w:lang w:val="de-DE"/>
              </w:rPr>
              <w:t xml:space="preserve"> einbezogen</w:t>
            </w:r>
            <w:r>
              <w:rPr>
                <w:lang w:val="de-DE"/>
              </w:rPr>
              <w:t xml:space="preserve"> </w:t>
            </w:r>
            <w:r w:rsidRPr="00F37B5A">
              <w:rPr>
                <w:lang w:val="de-DE"/>
              </w:rPr>
              <w:t>und werden zu dessen Bestandteil.</w:t>
            </w:r>
          </w:p>
        </w:tc>
      </w:tr>
      <w:tr w:rsidTr="005A78B7">
        <w:tblPrEx>
          <w:tblW w:w="5000" w:type="pct"/>
          <w:tblLook w:val="00A0"/>
        </w:tblPrEx>
        <w:tc>
          <w:tcPr>
            <w:tcW w:w="2499" w:type="pct"/>
            <w:tcBorders>
              <w:right w:val="single" w:sz="4" w:space="0" w:color="auto"/>
            </w:tcBorders>
          </w:tcPr>
          <w:p w:rsidR="003D2192" w:rsidRPr="00442267">
            <w:pPr>
              <w:pStyle w:val="CSManNum9pt0"/>
              <w:rPr>
                <w:sz w:val="18"/>
                <w:lang w:val="en-GB"/>
              </w:rPr>
            </w:pPr>
            <w:r w:rsidRPr="00442267">
              <w:rPr>
                <w:sz w:val="18"/>
                <w:lang w:val="en-GB"/>
              </w:rPr>
              <w:t>(</w:t>
            </w:r>
            <w:r w:rsidRPr="00442267" w:rsidR="00F767D7">
              <w:rPr>
                <w:sz w:val="18"/>
                <w:lang w:val="en-GB"/>
              </w:rPr>
              <w:t>1</w:t>
            </w:r>
            <w:r w:rsidR="00F767D7">
              <w:rPr>
                <w:sz w:val="18"/>
                <w:lang w:val="en-GB"/>
              </w:rPr>
              <w:t>1</w:t>
            </w:r>
            <w:r w:rsidRPr="00442267">
              <w:rPr>
                <w:sz w:val="18"/>
                <w:lang w:val="en-GB"/>
              </w:rPr>
              <w:t>) The Form 6-K dated 23 November 2015, including a media release regarding the outcome of a private placement by Credit Suisse Group AG (the "</w:t>
            </w:r>
            <w:r w:rsidRPr="00442267">
              <w:rPr>
                <w:b/>
                <w:sz w:val="18"/>
                <w:lang w:val="en-GB"/>
              </w:rPr>
              <w:t>Form 6-K dated 23 November 2015</w:t>
            </w:r>
            <w:r w:rsidRPr="00442267">
              <w:rPr>
                <w:sz w:val="18"/>
                <w:lang w:val="en-GB"/>
              </w:rPr>
              <w:t>").</w:t>
            </w:r>
          </w:p>
        </w:tc>
        <w:tc>
          <w:tcPr>
            <w:tcW w:w="2501" w:type="pct"/>
            <w:tcBorders>
              <w:left w:val="single" w:sz="4" w:space="0" w:color="auto"/>
            </w:tcBorders>
            <w:shd w:val="clear" w:color="auto" w:fill="auto"/>
          </w:tcPr>
          <w:p w:rsidR="003D2192" w:rsidRPr="00442267">
            <w:pPr>
              <w:pStyle w:val="CSManNum9pt0"/>
              <w:rPr>
                <w:sz w:val="18"/>
              </w:rPr>
            </w:pPr>
            <w:r w:rsidRPr="00442267">
              <w:rPr>
                <w:sz w:val="18"/>
              </w:rPr>
              <w:t>(</w:t>
            </w:r>
            <w:r w:rsidRPr="00442267" w:rsidR="00F767D7">
              <w:rPr>
                <w:sz w:val="18"/>
              </w:rPr>
              <w:t>1</w:t>
            </w:r>
            <w:r w:rsidR="00F767D7">
              <w:rPr>
                <w:sz w:val="18"/>
              </w:rPr>
              <w:t>1</w:t>
            </w:r>
            <w:r w:rsidRPr="00442267">
              <w:rPr>
                <w:sz w:val="18"/>
              </w:rPr>
              <w:t>)</w:t>
            </w:r>
            <w:r w:rsidRPr="00442267">
              <w:rPr>
                <w:sz w:val="18"/>
              </w:rPr>
              <w:tab/>
              <w:t>Das Formular 6-K vom 23. November 2015, das eine Medienmitteilung in Bezug auf das Ergebnis einer Privatplatzierung von Credit Suisse Group AG enthält (das "</w:t>
            </w:r>
            <w:r w:rsidRPr="00442267">
              <w:rPr>
                <w:b/>
                <w:sz w:val="18"/>
              </w:rPr>
              <w:t xml:space="preserve">Formular 6-K vom 23. </w:t>
            </w:r>
            <w:r w:rsidRPr="00442267">
              <w:rPr>
                <w:b/>
                <w:sz w:val="18"/>
                <w:lang w:val="en-GB"/>
              </w:rPr>
              <w:t>November 2015</w:t>
            </w:r>
            <w:r w:rsidRPr="00442267">
              <w:rPr>
                <w:sz w:val="18"/>
                <w:lang w:val="en-GB"/>
              </w:rPr>
              <w:t>").</w:t>
            </w:r>
          </w:p>
        </w:tc>
      </w:tr>
      <w:tr w:rsidTr="005A78B7">
        <w:tblPrEx>
          <w:tblW w:w="5000" w:type="pct"/>
          <w:tblLook w:val="00A0"/>
        </w:tblPrEx>
        <w:tc>
          <w:tcPr>
            <w:tcW w:w="2499" w:type="pct"/>
            <w:tcBorders>
              <w:right w:val="single" w:sz="4" w:space="0" w:color="auto"/>
            </w:tcBorders>
          </w:tcPr>
          <w:p w:rsidR="003D2192">
            <w:pPr>
              <w:pStyle w:val="CSBody0"/>
            </w:pPr>
            <w:r w:rsidRPr="00F37B5A">
              <w:t xml:space="preserve">All of the information in the Form 6-K dated 23 November 2015 </w:t>
            </w:r>
            <w:r w:rsidRPr="00F37B5A">
              <w:rPr>
                <w:lang w:val="en-US"/>
              </w:rPr>
              <w:t>is incorporated into,</w:t>
            </w:r>
            <w:r>
              <w:rPr>
                <w:lang w:val="en-US"/>
              </w:rPr>
              <w:t xml:space="preserve"> </w:t>
            </w:r>
            <w:r w:rsidRPr="00F37B5A">
              <w:rPr>
                <w:lang w:val="en-US"/>
              </w:rPr>
              <w:t>and forms part of the Base Prospectus.</w:t>
            </w:r>
          </w:p>
        </w:tc>
        <w:tc>
          <w:tcPr>
            <w:tcW w:w="2501" w:type="pct"/>
            <w:tcBorders>
              <w:left w:val="single" w:sz="4" w:space="0" w:color="auto"/>
            </w:tcBorders>
            <w:shd w:val="clear" w:color="auto" w:fill="auto"/>
          </w:tcPr>
          <w:p w:rsidR="003D2192" w:rsidRPr="00F37B5A">
            <w:pPr>
              <w:pStyle w:val="CSBody0"/>
              <w:rPr>
                <w:lang w:val="de-DE"/>
              </w:rPr>
            </w:pPr>
            <w:r w:rsidRPr="00F37B5A">
              <w:rPr>
                <w:lang w:val="de-DE"/>
              </w:rPr>
              <w:t>Sämtliche im Formular 6-K vom 23. November 2015 enthalt</w:t>
            </w:r>
            <w:r>
              <w:rPr>
                <w:lang w:val="de-DE"/>
              </w:rPr>
              <w:t>enen Informationen werden in den</w:t>
            </w:r>
            <w:r w:rsidRPr="00F37B5A">
              <w:rPr>
                <w:lang w:val="de-DE"/>
              </w:rPr>
              <w:t xml:space="preserve"> </w:t>
            </w:r>
            <w:r>
              <w:rPr>
                <w:lang w:val="de-DE"/>
              </w:rPr>
              <w:t>Basisprospekt</w:t>
            </w:r>
            <w:r w:rsidRPr="00F37B5A">
              <w:rPr>
                <w:lang w:val="de-DE"/>
              </w:rPr>
              <w:t xml:space="preserve"> einbezogen</w:t>
            </w:r>
            <w:r>
              <w:rPr>
                <w:lang w:val="de-DE"/>
              </w:rPr>
              <w:t xml:space="preserve"> </w:t>
            </w:r>
            <w:r w:rsidRPr="00F37B5A">
              <w:rPr>
                <w:lang w:val="de-DE"/>
              </w:rPr>
              <w:t>und werden zu dessen Bestandteil.</w:t>
            </w:r>
          </w:p>
        </w:tc>
      </w:tr>
      <w:tr w:rsidTr="0069750F">
        <w:tblPrEx>
          <w:tblW w:w="5000" w:type="pct"/>
          <w:tblLook w:val="00A0"/>
        </w:tblPrEx>
        <w:tc>
          <w:tcPr>
            <w:tcW w:w="2499" w:type="pct"/>
            <w:tcBorders>
              <w:right w:val="single" w:sz="4" w:space="0" w:color="auto"/>
            </w:tcBorders>
          </w:tcPr>
          <w:p w:rsidR="0069750F" w:rsidRPr="00BD6E0D">
            <w:pPr>
              <w:pStyle w:val="CSManNum9pt0"/>
              <w:rPr>
                <w:lang w:val="en-GB"/>
              </w:rPr>
            </w:pPr>
            <w:r>
              <w:rPr>
                <w:sz w:val="18"/>
                <w:lang w:val="en-GB"/>
              </w:rPr>
              <w:t>(12) T</w:t>
            </w:r>
            <w:r w:rsidRPr="00B070C4">
              <w:rPr>
                <w:sz w:val="18"/>
                <w:lang w:val="en-GB"/>
              </w:rPr>
              <w:t xml:space="preserve">he Form 6-K dated </w:t>
            </w:r>
            <w:r>
              <w:rPr>
                <w:sz w:val="18"/>
                <w:lang w:val="en-GB"/>
              </w:rPr>
              <w:t>3 December</w:t>
            </w:r>
            <w:r w:rsidRPr="00B070C4">
              <w:rPr>
                <w:sz w:val="18"/>
                <w:lang w:val="en-GB"/>
              </w:rPr>
              <w:t xml:space="preserve"> 2015 </w:t>
            </w:r>
            <w:r>
              <w:rPr>
                <w:sz w:val="18"/>
                <w:lang w:val="en-GB"/>
              </w:rPr>
              <w:t xml:space="preserve">including a media release </w:t>
            </w:r>
            <w:r w:rsidRPr="0069750F">
              <w:rPr>
                <w:sz w:val="18"/>
                <w:lang w:val="en-GB"/>
              </w:rPr>
              <w:t xml:space="preserve">regarding the results of the capital increase of Credit Suisse Group AG by way of a rights offering </w:t>
            </w:r>
            <w:r>
              <w:rPr>
                <w:sz w:val="18"/>
                <w:lang w:val="en-GB"/>
              </w:rPr>
              <w:t xml:space="preserve">(the </w:t>
            </w:r>
            <w:r w:rsidRPr="00917D6F">
              <w:rPr>
                <w:b/>
                <w:sz w:val="18"/>
                <w:lang w:val="en-GB"/>
              </w:rPr>
              <w:t xml:space="preserve">"Form 6-K dated </w:t>
            </w:r>
            <w:r w:rsidR="001D031A">
              <w:rPr>
                <w:b/>
                <w:sz w:val="18"/>
                <w:lang w:val="en-GB"/>
              </w:rPr>
              <w:t>3</w:t>
            </w:r>
            <w:r w:rsidRPr="00917D6F">
              <w:rPr>
                <w:b/>
                <w:sz w:val="18"/>
                <w:lang w:val="en-GB"/>
              </w:rPr>
              <w:t xml:space="preserve"> </w:t>
            </w:r>
            <w:r w:rsidR="001D031A">
              <w:rPr>
                <w:b/>
                <w:sz w:val="18"/>
                <w:lang w:val="en-GB"/>
              </w:rPr>
              <w:t>Dec</w:t>
            </w:r>
            <w:r w:rsidRPr="00917D6F">
              <w:rPr>
                <w:b/>
                <w:sz w:val="18"/>
                <w:lang w:val="en-GB"/>
              </w:rPr>
              <w:t>ember 2015"</w:t>
            </w:r>
            <w:r w:rsidRPr="00B070C4">
              <w:rPr>
                <w:sz w:val="18"/>
                <w:lang w:val="en-GB"/>
              </w:rPr>
              <w:t>).</w:t>
            </w:r>
          </w:p>
        </w:tc>
        <w:tc>
          <w:tcPr>
            <w:tcW w:w="2501" w:type="pct"/>
            <w:tcBorders>
              <w:left w:val="single" w:sz="4" w:space="0" w:color="auto"/>
            </w:tcBorders>
            <w:shd w:val="clear" w:color="auto" w:fill="auto"/>
          </w:tcPr>
          <w:p w:rsidR="0069750F" w:rsidRPr="002470AF">
            <w:pPr>
              <w:pStyle w:val="CSBody0"/>
              <w:rPr>
                <w:lang w:val="de-DE"/>
              </w:rPr>
            </w:pPr>
            <w:r w:rsidRPr="00BD6E0D">
              <w:rPr>
                <w:lang w:val="de-DE"/>
              </w:rPr>
              <w:t>(12) Das Formular 6-K vom 3. Dezember 2015, das eine Medienmitteilung in Bezug auf das Ergebnis der Kapitalerhöhung der Credit Suisse Group AG im Wege eines Bezugsrechtsangebots enthält (das "</w:t>
            </w:r>
            <w:r w:rsidRPr="00BD6E0D">
              <w:rPr>
                <w:b/>
                <w:lang w:val="de-DE"/>
              </w:rPr>
              <w:t xml:space="preserve">Formular 6-K vom </w:t>
            </w:r>
            <w:r w:rsidRPr="00BD6E0D" w:rsidR="001D031A">
              <w:rPr>
                <w:b/>
                <w:lang w:val="de-DE"/>
              </w:rPr>
              <w:t xml:space="preserve">3. </w:t>
            </w:r>
            <w:r w:rsidR="001D031A">
              <w:rPr>
                <w:b/>
              </w:rPr>
              <w:t>Dez</w:t>
            </w:r>
            <w:r w:rsidRPr="00F767D7">
              <w:rPr>
                <w:b/>
              </w:rPr>
              <w:t>ember 2015</w:t>
            </w:r>
            <w:r w:rsidRPr="00F767D7">
              <w:t>")</w:t>
            </w:r>
            <w:r>
              <w:t>.</w:t>
            </w:r>
          </w:p>
        </w:tc>
      </w:tr>
      <w:tr w:rsidTr="0069750F">
        <w:tblPrEx>
          <w:tblW w:w="5000" w:type="pct"/>
          <w:tblLook w:val="00A0"/>
        </w:tblPrEx>
        <w:tc>
          <w:tcPr>
            <w:tcW w:w="2499" w:type="pct"/>
            <w:tcBorders>
              <w:right w:val="single" w:sz="4" w:space="0" w:color="auto"/>
            </w:tcBorders>
          </w:tcPr>
          <w:p w:rsidR="0069750F">
            <w:pPr>
              <w:pStyle w:val="CSBody0"/>
            </w:pPr>
            <w:r w:rsidRPr="00F37B5A">
              <w:t>All of the information in the Form 6-K dated 3 </w:t>
            </w:r>
            <w:r w:rsidR="007B65A0">
              <w:t>Dec</w:t>
            </w:r>
            <w:r w:rsidRPr="00F37B5A">
              <w:t xml:space="preserve">ember 2015 </w:t>
            </w:r>
            <w:r w:rsidRPr="00F37B5A">
              <w:rPr>
                <w:lang w:val="en-US"/>
              </w:rPr>
              <w:t>is incorporated into,</w:t>
            </w:r>
            <w:r>
              <w:rPr>
                <w:lang w:val="en-US"/>
              </w:rPr>
              <w:t xml:space="preserve"> </w:t>
            </w:r>
            <w:r w:rsidRPr="00F37B5A">
              <w:rPr>
                <w:lang w:val="en-US"/>
              </w:rPr>
              <w:t>and forms part of the Base Prospectus.</w:t>
            </w:r>
          </w:p>
        </w:tc>
        <w:tc>
          <w:tcPr>
            <w:tcW w:w="2501" w:type="pct"/>
            <w:tcBorders>
              <w:left w:val="single" w:sz="4" w:space="0" w:color="auto"/>
            </w:tcBorders>
            <w:shd w:val="clear" w:color="auto" w:fill="auto"/>
          </w:tcPr>
          <w:p w:rsidR="0069750F" w:rsidRPr="00F37B5A">
            <w:pPr>
              <w:pStyle w:val="CSBody0"/>
              <w:rPr>
                <w:lang w:val="de-DE"/>
              </w:rPr>
            </w:pPr>
            <w:r w:rsidRPr="00F37B5A">
              <w:rPr>
                <w:lang w:val="de-DE"/>
              </w:rPr>
              <w:t xml:space="preserve">Sämtliche im Formular 6-K vom </w:t>
            </w:r>
            <w:r w:rsidR="00090525">
              <w:rPr>
                <w:lang w:val="de-DE"/>
              </w:rPr>
              <w:t>3</w:t>
            </w:r>
            <w:r w:rsidRPr="00F37B5A">
              <w:rPr>
                <w:lang w:val="de-DE"/>
              </w:rPr>
              <w:t xml:space="preserve">. </w:t>
            </w:r>
            <w:r w:rsidR="00090525">
              <w:rPr>
                <w:lang w:val="de-DE"/>
              </w:rPr>
              <w:t>Dezember</w:t>
            </w:r>
            <w:r w:rsidRPr="00F37B5A">
              <w:rPr>
                <w:lang w:val="de-DE"/>
              </w:rPr>
              <w:t xml:space="preserve"> 2015 enthalt</w:t>
            </w:r>
            <w:r>
              <w:rPr>
                <w:lang w:val="de-DE"/>
              </w:rPr>
              <w:t>enen Informationen werden in den</w:t>
            </w:r>
            <w:r w:rsidRPr="00F37B5A">
              <w:rPr>
                <w:lang w:val="de-DE"/>
              </w:rPr>
              <w:t xml:space="preserve"> </w:t>
            </w:r>
            <w:r>
              <w:rPr>
                <w:lang w:val="de-DE"/>
              </w:rPr>
              <w:t>Basisprospekt</w:t>
            </w:r>
            <w:r w:rsidRPr="00F37B5A">
              <w:rPr>
                <w:lang w:val="de-DE"/>
              </w:rPr>
              <w:t xml:space="preserve"> einbezogen</w:t>
            </w:r>
            <w:r>
              <w:rPr>
                <w:lang w:val="de-DE"/>
              </w:rPr>
              <w:t xml:space="preserve"> </w:t>
            </w:r>
            <w:r w:rsidRPr="00F37B5A">
              <w:rPr>
                <w:lang w:val="de-DE"/>
              </w:rPr>
              <w:t>und werden zu dessen Bestandteil.</w:t>
            </w:r>
          </w:p>
        </w:tc>
      </w:tr>
      <w:tr w:rsidTr="005A78B7">
        <w:tblPrEx>
          <w:tblW w:w="5000" w:type="pct"/>
          <w:tblLook w:val="00A0"/>
        </w:tblPrEx>
        <w:tc>
          <w:tcPr>
            <w:tcW w:w="2499" w:type="pct"/>
            <w:tcBorders>
              <w:right w:val="single" w:sz="4" w:space="0" w:color="auto"/>
            </w:tcBorders>
          </w:tcPr>
          <w:p w:rsidR="003D2192" w:rsidRPr="00442267">
            <w:pPr>
              <w:pStyle w:val="CSManNum9pt0"/>
              <w:rPr>
                <w:sz w:val="18"/>
                <w:lang w:val="en-GB"/>
              </w:rPr>
            </w:pPr>
            <w:r w:rsidRPr="00442267">
              <w:rPr>
                <w:sz w:val="18"/>
                <w:lang w:val="en-GB"/>
              </w:rPr>
              <w:t>(</w:t>
            </w:r>
            <w:r w:rsidRPr="00442267" w:rsidR="00090525">
              <w:rPr>
                <w:sz w:val="18"/>
                <w:lang w:val="en-GB"/>
              </w:rPr>
              <w:t>1</w:t>
            </w:r>
            <w:r w:rsidR="00090525">
              <w:rPr>
                <w:sz w:val="18"/>
                <w:lang w:val="en-GB"/>
              </w:rPr>
              <w:t>3</w:t>
            </w:r>
            <w:r w:rsidRPr="00442267">
              <w:rPr>
                <w:sz w:val="18"/>
                <w:lang w:val="en-GB"/>
              </w:rPr>
              <w:t>)</w:t>
            </w:r>
            <w:r w:rsidRPr="00442267">
              <w:rPr>
                <w:sz w:val="18"/>
                <w:lang w:val="en-GB"/>
              </w:rPr>
              <w:tab/>
              <w:t xml:space="preserve">The articles of association of Credit Suisse (in the original German language version and an English translation thereof) are incorporated by reference in, and form part of, the Base Prospectus and are available on the website at </w:t>
            </w:r>
            <w:r>
              <w:fldChar w:fldCharType="begin"/>
            </w:r>
            <w:r>
              <w:instrText xml:space="preserve"> HYPERLINK "http://www.credit-suisse.com/ch/en/about-us/governance/standards-policies/articles-of-association.html" </w:instrText>
            </w:r>
            <w:r>
              <w:fldChar w:fldCharType="separate"/>
            </w:r>
            <w:r w:rsidRPr="00442267">
              <w:rPr>
                <w:rStyle w:val="Hyperlink"/>
                <w:b/>
                <w:color w:val="7898B3"/>
                <w:sz w:val="18"/>
                <w:szCs w:val="18"/>
                <w:lang w:val="en-GB"/>
              </w:rPr>
              <w:t>www.credit-suisse.com/ch/en/about-us/governance/standards-policies/articles-of-association.html</w:t>
            </w:r>
            <w:r>
              <w:fldChar w:fldCharType="end"/>
            </w:r>
            <w:r w:rsidRPr="00442267">
              <w:rPr>
                <w:sz w:val="18"/>
                <w:lang w:val="en-GB"/>
              </w:rPr>
              <w:t>.</w:t>
            </w:r>
          </w:p>
        </w:tc>
        <w:tc>
          <w:tcPr>
            <w:tcW w:w="2501" w:type="pct"/>
            <w:tcBorders>
              <w:left w:val="single" w:sz="4" w:space="0" w:color="auto"/>
            </w:tcBorders>
            <w:shd w:val="clear" w:color="auto" w:fill="auto"/>
          </w:tcPr>
          <w:p w:rsidR="003D2192" w:rsidRPr="00442267">
            <w:pPr>
              <w:pStyle w:val="CSManNum9pt0"/>
              <w:rPr>
                <w:b/>
                <w:sz w:val="18"/>
              </w:rPr>
            </w:pPr>
            <w:r w:rsidRPr="00442267">
              <w:rPr>
                <w:sz w:val="18"/>
              </w:rPr>
              <w:t>(</w:t>
            </w:r>
            <w:r w:rsidRPr="00442267" w:rsidR="00090525">
              <w:rPr>
                <w:sz w:val="18"/>
              </w:rPr>
              <w:t>1</w:t>
            </w:r>
            <w:r w:rsidR="00090525">
              <w:rPr>
                <w:sz w:val="18"/>
              </w:rPr>
              <w:t>3</w:t>
            </w:r>
            <w:r w:rsidRPr="00442267">
              <w:rPr>
                <w:sz w:val="18"/>
              </w:rPr>
              <w:t>)</w:t>
            </w:r>
            <w:r w:rsidRPr="00442267">
              <w:rPr>
                <w:sz w:val="18"/>
              </w:rPr>
              <w:tab/>
              <w:t xml:space="preserve">Die Statuten der Credit Suisse (in der deutschen Originalfassung und eine englische Übersetzung davon) sind in den Basisprospekt per Verweis einbezogen und werden zu dessen Bestandteil und sind auf der Internetseite </w:t>
            </w:r>
            <w:r>
              <w:fldChar w:fldCharType="begin"/>
            </w:r>
            <w:r>
              <w:instrText xml:space="preserve"> HYPERLINK "http://www.credit-suisse.com/ch/en/about-us/governance/standards-policies/articles-of-association.html" </w:instrText>
            </w:r>
            <w:r>
              <w:fldChar w:fldCharType="separate"/>
            </w:r>
            <w:r w:rsidRPr="00442267">
              <w:rPr>
                <w:rStyle w:val="Hyperlink"/>
                <w:b/>
                <w:color w:val="7898B3"/>
                <w:sz w:val="18"/>
                <w:szCs w:val="18"/>
              </w:rPr>
              <w:t>www.credit-suisse.com/ch/en/about-us/governance/standards-policies/articles-of-association.html</w:t>
            </w:r>
            <w:r>
              <w:fldChar w:fldCharType="end"/>
            </w:r>
            <w:r w:rsidRPr="00442267">
              <w:rPr>
                <w:sz w:val="18"/>
              </w:rPr>
              <w:t xml:space="preserve"> erhältlich.</w:t>
            </w:r>
          </w:p>
        </w:tc>
      </w:tr>
      <w:tr w:rsidTr="005A78B7">
        <w:tblPrEx>
          <w:tblW w:w="5000" w:type="pct"/>
          <w:tblLook w:val="00A0"/>
        </w:tblPrEx>
        <w:tc>
          <w:tcPr>
            <w:tcW w:w="2499" w:type="pct"/>
            <w:tcBorders>
              <w:right w:val="single" w:sz="4" w:space="0" w:color="auto"/>
            </w:tcBorders>
          </w:tcPr>
          <w:p w:rsidR="003D2192" w:rsidRPr="007C236F" w:rsidP="005A78B7">
            <w:pPr>
              <w:pStyle w:val="CSBody0"/>
            </w:pPr>
            <w:r w:rsidRPr="007C236F">
              <w:t>In addition, for convenience, investors may obtain a copy of the German version of the Credit Suisse Annual Report 201</w:t>
            </w:r>
            <w:r>
              <w:t>4</w:t>
            </w:r>
            <w:r w:rsidRPr="007C236F">
              <w:t>, free of charge, on the website of Credit Suisse (</w:t>
            </w:r>
            <w:r>
              <w:fldChar w:fldCharType="begin"/>
            </w:r>
            <w:r>
              <w:instrText xml:space="preserve"> HYPERLINK "http://www.credit-suisse.com/ch/de/about-us/investor-relations/information/financial-reports/2014.html" </w:instrText>
            </w:r>
            <w:r>
              <w:fldChar w:fldCharType="separate"/>
            </w:r>
            <w:r w:rsidRPr="0050242D">
              <w:rPr>
                <w:rStyle w:val="Hyperlink"/>
                <w:b/>
                <w:color w:val="7898B3"/>
              </w:rPr>
              <w:t>www.credit-suisse.com/ch/de/about-us/investor-relations/information/financial-reports/2014.html</w:t>
            </w:r>
            <w:r>
              <w:fldChar w:fldCharType="end"/>
            </w:r>
            <w:r w:rsidRPr="007C236F">
              <w:t>).</w:t>
            </w:r>
          </w:p>
        </w:tc>
        <w:tc>
          <w:tcPr>
            <w:tcW w:w="2501" w:type="pct"/>
            <w:tcBorders>
              <w:left w:val="single" w:sz="4" w:space="0" w:color="auto"/>
            </w:tcBorders>
            <w:shd w:val="clear" w:color="auto" w:fill="auto"/>
          </w:tcPr>
          <w:p w:rsidR="003D2192" w:rsidRPr="007C236F" w:rsidP="005A78B7">
            <w:pPr>
              <w:pStyle w:val="CSBody0"/>
              <w:rPr>
                <w:b/>
                <w:lang w:val="de-DE"/>
              </w:rPr>
            </w:pPr>
            <w:r w:rsidRPr="007C236F">
              <w:rPr>
                <w:lang w:val="de-DE"/>
              </w:rPr>
              <w:t>Zu Informationszwecken können Anleger zudem die deutsche Fassung des Geschäftsberichts der Credit Suisse für das Geschäftsjahr 201</w:t>
            </w:r>
            <w:r>
              <w:rPr>
                <w:lang w:val="de-DE"/>
              </w:rPr>
              <w:t>4</w:t>
            </w:r>
            <w:r w:rsidRPr="007C236F">
              <w:rPr>
                <w:lang w:val="de-DE"/>
              </w:rPr>
              <w:t xml:space="preserve"> kostenlos auf der Internetseite der Credit Suisse (</w:t>
            </w:r>
            <w:r>
              <w:fldChar w:fldCharType="begin"/>
            </w:r>
            <w:r>
              <w:instrText xml:space="preserve"> HYPERLINK "http://www.credit-suisse.com/ch/de/about-us/investor-relations/information/financial-reports/2014.html" </w:instrText>
            </w:r>
            <w:r>
              <w:fldChar w:fldCharType="separate"/>
            </w:r>
            <w:r w:rsidRPr="0050242D">
              <w:rPr>
                <w:rStyle w:val="Hyperlink"/>
                <w:b/>
                <w:color w:val="7898B3"/>
                <w:lang w:val="de-DE"/>
              </w:rPr>
              <w:t>www.credit-suisse.com/ch/de/about-us/investor-relations/information/financial-reports/2014.html</w:t>
            </w:r>
            <w:r>
              <w:fldChar w:fldCharType="end"/>
            </w:r>
            <w:r w:rsidRPr="007C236F">
              <w:rPr>
                <w:lang w:val="de-DE"/>
              </w:rPr>
              <w:t>) abrufen.</w:t>
            </w:r>
          </w:p>
        </w:tc>
      </w:tr>
      <w:tr w:rsidTr="005A78B7">
        <w:tblPrEx>
          <w:tblW w:w="5000" w:type="pct"/>
          <w:tblLook w:val="00A0"/>
        </w:tblPrEx>
        <w:tc>
          <w:tcPr>
            <w:tcW w:w="2499" w:type="pct"/>
            <w:tcBorders>
              <w:right w:val="single" w:sz="4" w:space="0" w:color="auto"/>
            </w:tcBorders>
          </w:tcPr>
          <w:p w:rsidR="003D2192" w:rsidRPr="007C236F">
            <w:pPr>
              <w:pStyle w:val="CSBody0"/>
            </w:pPr>
            <w:r w:rsidRPr="007C236F">
              <w:t xml:space="preserve">A copy of the documents filed by Credit Suisse with the SEC may be obtained either on the SEC’s website at </w:t>
            </w:r>
            <w:r>
              <w:fldChar w:fldCharType="begin"/>
            </w:r>
            <w:r>
              <w:instrText xml:space="preserve"> HYPERLINK "http://www.sec.gov" </w:instrText>
            </w:r>
            <w:r>
              <w:fldChar w:fldCharType="separate"/>
            </w:r>
            <w:r w:rsidRPr="0050242D">
              <w:rPr>
                <w:rStyle w:val="Hyperlink"/>
                <w:b/>
                <w:color w:val="7898B3"/>
              </w:rPr>
              <w:t>www.sec.gov</w:t>
            </w:r>
            <w:r>
              <w:fldChar w:fldCharType="end"/>
            </w:r>
            <w:r w:rsidRPr="007C236F">
              <w:t xml:space="preserve">, at the SEC’s public reference room or on the website of Credit Suisse at </w:t>
            </w:r>
            <w:r w:rsidRPr="00BD6E0D" w:rsidR="00090525">
              <w:rPr>
                <w:rStyle w:val="Hyperlink"/>
                <w:b/>
                <w:color w:val="7898B3"/>
              </w:rPr>
              <w:t>www.credit-suisse.com/ch/en/about-us/investor-relations/financial-disclosures/financial-reports.html</w:t>
            </w:r>
            <w:r w:rsidRPr="007C236F">
              <w:t>.</w:t>
            </w:r>
          </w:p>
        </w:tc>
        <w:tc>
          <w:tcPr>
            <w:tcW w:w="2501" w:type="pct"/>
            <w:tcBorders>
              <w:left w:val="single" w:sz="4" w:space="0" w:color="auto"/>
            </w:tcBorders>
            <w:shd w:val="clear" w:color="auto" w:fill="auto"/>
          </w:tcPr>
          <w:p w:rsidR="003D2192" w:rsidRPr="007C236F">
            <w:pPr>
              <w:pStyle w:val="CSBody0"/>
              <w:rPr>
                <w:lang w:val="de-DE"/>
              </w:rPr>
            </w:pPr>
            <w:r w:rsidRPr="007C236F">
              <w:rPr>
                <w:lang w:val="de-DE"/>
              </w:rPr>
              <w:t>Die von der Credit Suisse bei der SEC eingereichten Dokumente sind auf der Internetseite der SEC (</w:t>
            </w:r>
            <w:r>
              <w:fldChar w:fldCharType="begin"/>
            </w:r>
            <w:r>
              <w:instrText xml:space="preserve"> HYPERLINK "http://www.sec.gov" </w:instrText>
            </w:r>
            <w:r>
              <w:fldChar w:fldCharType="separate"/>
            </w:r>
            <w:r w:rsidRPr="0050242D">
              <w:rPr>
                <w:rStyle w:val="Hyperlink"/>
                <w:b/>
                <w:color w:val="7898B3"/>
                <w:lang w:val="de-DE"/>
              </w:rPr>
              <w:t>www.sec.gov</w:t>
            </w:r>
            <w:r>
              <w:fldChar w:fldCharType="end"/>
            </w:r>
            <w:r w:rsidRPr="007C236F">
              <w:rPr>
                <w:lang w:val="de-DE"/>
              </w:rPr>
              <w:t>), im öffentlichen Lesesaal der SEC und auf der Internetseite der Credit Suisse (</w:t>
            </w:r>
            <w:r w:rsidRPr="00BD6E0D" w:rsidR="00090525">
              <w:rPr>
                <w:b/>
                <w:u w:val="single"/>
                <w:lang w:val="de-DE"/>
              </w:rPr>
              <w:t>www.credit-suisse.com/ch/en/about-us/investor-relations/financial-disclosures/financial-reports.</w:t>
            </w:r>
            <w:r w:rsidRPr="007C236F">
              <w:rPr>
                <w:lang w:val="de-DE"/>
              </w:rPr>
              <w:t>) erhältlich.</w:t>
            </w:r>
          </w:p>
        </w:tc>
      </w:tr>
      <w:tr w:rsidTr="005A78B7">
        <w:tblPrEx>
          <w:tblW w:w="5000" w:type="pct"/>
          <w:tblLook w:val="00A0"/>
        </w:tblPrEx>
        <w:tc>
          <w:tcPr>
            <w:tcW w:w="2499" w:type="pct"/>
            <w:tcBorders>
              <w:right w:val="single" w:sz="4" w:space="0" w:color="auto"/>
            </w:tcBorders>
          </w:tcPr>
          <w:p w:rsidR="003D2192" w:rsidRPr="007C236F" w:rsidP="005A78B7">
            <w:pPr>
              <w:pStyle w:val="CSBody0"/>
            </w:pPr>
            <w:r w:rsidRPr="007C236F">
              <w:t>Information contained on the website of Credit Suisse (including the German version of the Credit Suisse Annual Report 201</w:t>
            </w:r>
            <w:r>
              <w:t>4</w:t>
            </w:r>
            <w:r w:rsidRPr="007C236F">
              <w:t>) is not, and documents filed by Credit Suisse with the SEC (unless otherwise specified in the Base Prospectus or any supplement thereto) are not, incorporated by reference in the Base Prospectus.</w:t>
            </w:r>
          </w:p>
        </w:tc>
        <w:tc>
          <w:tcPr>
            <w:tcW w:w="2501" w:type="pct"/>
            <w:tcBorders>
              <w:left w:val="single" w:sz="4" w:space="0" w:color="auto"/>
            </w:tcBorders>
            <w:shd w:val="clear" w:color="auto" w:fill="auto"/>
          </w:tcPr>
          <w:p w:rsidR="003D2192" w:rsidRPr="007C236F" w:rsidP="005A78B7">
            <w:pPr>
              <w:pStyle w:val="CSBody0"/>
              <w:rPr>
                <w:b/>
                <w:lang w:val="de-DE"/>
              </w:rPr>
            </w:pPr>
            <w:r w:rsidRPr="007C236F">
              <w:rPr>
                <w:lang w:val="de-DE"/>
              </w:rPr>
              <w:t xml:space="preserve">Informationen, die auf der Internetseite der Credit Suisse </w:t>
            </w:r>
            <w:r w:rsidRPr="007C236F">
              <w:rPr>
                <w:lang w:val="de-CH"/>
              </w:rPr>
              <w:t>(einschliesslich</w:t>
            </w:r>
            <w:r w:rsidRPr="007C236F">
              <w:rPr>
                <w:lang w:val="de-DE"/>
              </w:rPr>
              <w:t xml:space="preserve"> der deutschen Fassung des Geschäftsberichts der Credit Suisse für das Geschäftsjahr 201</w:t>
            </w:r>
            <w:r>
              <w:rPr>
                <w:lang w:val="de-DE"/>
              </w:rPr>
              <w:t>4</w:t>
            </w:r>
            <w:r w:rsidRPr="007C236F">
              <w:rPr>
                <w:lang w:val="de-DE"/>
              </w:rPr>
              <w:t>) enthalten sind, sowie Dokumente, die die Credit Suisse bei der SEC eingereicht hat, sind (soweit nichts anderes im Basisprospekt oder in etwaigen Nachträgen angegeben ist) nicht durch Verweis in den Basisprospekt einbezogen.</w:t>
            </w:r>
          </w:p>
        </w:tc>
      </w:tr>
    </w:tbl>
    <w:p w:rsidR="008A6EC9" w:rsidRPr="003D4711" w:rsidP="008A6EC9">
      <w:pPr>
        <w:pStyle w:val="CSBody0"/>
        <w:rPr>
          <w:lang w:val="de-DE"/>
        </w:rPr>
      </w:pPr>
    </w:p>
    <w:p w:rsidR="00980FCD" w:rsidRPr="003D4711" w:rsidP="009C6D81">
      <w:pPr>
        <w:pStyle w:val="CSBody0"/>
        <w:rPr>
          <w:lang w:val="de-DE"/>
        </w:rPr>
        <w:sectPr w:rsidSect="00E22A75">
          <w:headerReference w:type="default" r:id="rId35"/>
          <w:footerReference w:type="default" r:id="rId36"/>
          <w:headerReference w:type="first" r:id="rId37"/>
          <w:footerReference w:type="first" r:id="rId38"/>
          <w:pgSz w:w="11907" w:h="16839"/>
          <w:pgMar w:top="1440" w:right="1134" w:bottom="1440" w:left="1134" w:header="720" w:footer="720" w:gutter="0"/>
          <w:cols w:space="708"/>
          <w:docGrid w:linePitch="360"/>
        </w:sectPr>
      </w:pPr>
    </w:p>
    <w:tbl>
      <w:tblPr>
        <w:tblW w:w="5002" w:type="pct"/>
        <w:tblLayout w:type="fixed"/>
        <w:tblLook w:val="00A0"/>
      </w:tblPr>
      <w:tblGrid>
        <w:gridCol w:w="1639"/>
        <w:gridCol w:w="674"/>
        <w:gridCol w:w="136"/>
        <w:gridCol w:w="826"/>
        <w:gridCol w:w="1652"/>
        <w:gridCol w:w="8"/>
        <w:gridCol w:w="1644"/>
        <w:gridCol w:w="12"/>
        <w:gridCol w:w="386"/>
        <w:gridCol w:w="434"/>
        <w:gridCol w:w="219"/>
        <w:gridCol w:w="590"/>
        <w:gridCol w:w="1639"/>
      </w:tblGrid>
      <w:tr w:rsidTr="004C1EBA">
        <w:tblPrEx>
          <w:tblW w:w="5002" w:type="pct"/>
          <w:tblLayout w:type="fixed"/>
          <w:tblLook w:val="00A0"/>
        </w:tblPrEx>
        <w:tc>
          <w:tcPr>
            <w:tcW w:w="2499" w:type="pct"/>
            <w:gridSpan w:val="5"/>
            <w:tcBorders>
              <w:right w:val="single" w:sz="4" w:space="0" w:color="auto"/>
            </w:tcBorders>
          </w:tcPr>
          <w:p w:rsidR="004C1EBA" w:rsidRPr="002B2A24" w:rsidP="00942F00">
            <w:pPr>
              <w:pStyle w:val="CSHeading1EN"/>
            </w:pPr>
            <w:r w:rsidRPr="002B2A24">
              <w:rPr>
                <w:lang w:val="de-DE"/>
              </w:rPr>
              <w:br w:type="page"/>
            </w:r>
            <w:bookmarkStart w:id="60" w:name="_Toc221434529"/>
            <w:bookmarkStart w:id="61" w:name="_Toc221498540"/>
            <w:bookmarkStart w:id="62" w:name="_Toc357606506"/>
            <w:bookmarkStart w:id="63" w:name="_Toc374620380"/>
            <w:bookmarkStart w:id="64" w:name="_Toc388983403"/>
            <w:bookmarkStart w:id="65" w:name="_Toc422862203"/>
            <w:bookmarkStart w:id="66" w:name="_Toc438227522"/>
            <w:r w:rsidRPr="002B2A24">
              <w:t>DESCRIPTION OF THE ISSUER</w:t>
            </w:r>
            <w:bookmarkEnd w:id="60"/>
            <w:bookmarkEnd w:id="61"/>
            <w:bookmarkEnd w:id="62"/>
            <w:bookmarkEnd w:id="63"/>
            <w:bookmarkEnd w:id="64"/>
            <w:bookmarkEnd w:id="65"/>
            <w:bookmarkEnd w:id="66"/>
            <w:r w:rsidRPr="002B2A24">
              <w:t xml:space="preserve"> </w:t>
            </w:r>
          </w:p>
        </w:tc>
        <w:tc>
          <w:tcPr>
            <w:tcW w:w="2501" w:type="pct"/>
            <w:gridSpan w:val="8"/>
            <w:tcBorders>
              <w:left w:val="single" w:sz="4" w:space="0" w:color="auto"/>
            </w:tcBorders>
            <w:shd w:val="clear" w:color="auto" w:fill="auto"/>
          </w:tcPr>
          <w:p w:rsidR="004C1EBA" w:rsidRPr="002B2A24" w:rsidP="00942F00">
            <w:pPr>
              <w:pStyle w:val="CSHeading1DE"/>
              <w:rPr>
                <w:lang w:val="de-DE"/>
              </w:rPr>
            </w:pPr>
            <w:bookmarkStart w:id="67" w:name="_Toc221434530"/>
            <w:bookmarkStart w:id="68" w:name="_Toc221498541"/>
            <w:bookmarkStart w:id="69" w:name="_Toc357606547"/>
            <w:bookmarkStart w:id="70" w:name="_Toc374620255"/>
            <w:bookmarkStart w:id="71" w:name="_Toc388983488"/>
            <w:bookmarkStart w:id="72" w:name="_Toc422862256"/>
            <w:bookmarkStart w:id="73" w:name="_Toc438160270"/>
            <w:r w:rsidRPr="002B2A24">
              <w:rPr>
                <w:lang w:val="de-DE"/>
              </w:rPr>
              <w:t>BESCHREIBUNG DER EMITTENTIN</w:t>
            </w:r>
            <w:bookmarkEnd w:id="67"/>
            <w:bookmarkEnd w:id="68"/>
            <w:bookmarkEnd w:id="69"/>
            <w:bookmarkEnd w:id="70"/>
            <w:bookmarkEnd w:id="71"/>
            <w:bookmarkEnd w:id="72"/>
            <w:bookmarkEnd w:id="73"/>
            <w:r w:rsidRPr="002B2A24">
              <w:rPr>
                <w:lang w:val="de-DE"/>
              </w:rPr>
              <w:t xml:space="preserve"> </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10ptbold"/>
            </w:pPr>
            <w:r w:rsidRPr="0083513B">
              <w:t>History and Structure</w:t>
            </w:r>
          </w:p>
        </w:tc>
        <w:tc>
          <w:tcPr>
            <w:tcW w:w="2501" w:type="pct"/>
            <w:gridSpan w:val="8"/>
            <w:tcBorders>
              <w:left w:val="single" w:sz="4" w:space="0" w:color="auto"/>
            </w:tcBorders>
            <w:shd w:val="clear" w:color="auto" w:fill="auto"/>
          </w:tcPr>
          <w:p w:rsidR="004C1EBA" w:rsidRPr="0083513B" w:rsidP="004C1EBA">
            <w:pPr>
              <w:pStyle w:val="CSBody10ptbold"/>
            </w:pPr>
            <w:r w:rsidRPr="0083513B">
              <w:t>Geschichte und Struktur</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
              <w:rPr>
                <w:b/>
              </w:rPr>
            </w:pPr>
            <w:r w:rsidRPr="0083513B">
              <w:t>The history of Credit Suisse dates back to the formation of</w:t>
            </w:r>
            <w:r w:rsidRPr="0083513B">
              <w:rPr>
                <w:lang w:val="en-US"/>
              </w:rPr>
              <w:t xml:space="preserve"> Schweizerische Kreditanstalt</w:t>
            </w:r>
            <w:r w:rsidRPr="0083513B">
              <w:t>, founded in 1856. The first branch opened in Basel in 1905 and the first branch outside of Switzerland opened in New York in 1940.</w:t>
            </w:r>
          </w:p>
        </w:tc>
        <w:tc>
          <w:tcPr>
            <w:tcW w:w="2501" w:type="pct"/>
            <w:gridSpan w:val="8"/>
            <w:tcBorders>
              <w:left w:val="single" w:sz="4" w:space="0" w:color="auto"/>
            </w:tcBorders>
            <w:shd w:val="clear" w:color="auto" w:fill="auto"/>
          </w:tcPr>
          <w:p w:rsidR="004C1EBA" w:rsidRPr="0083513B" w:rsidP="004C1EBA">
            <w:pPr>
              <w:pStyle w:val="CSBody0"/>
              <w:rPr>
                <w:lang w:val="de-DE"/>
              </w:rPr>
            </w:pPr>
            <w:r w:rsidRPr="0083513B">
              <w:rPr>
                <w:lang w:val="de-CH"/>
              </w:rPr>
              <w:t>Die Geschichte der Credit Suisse geht zurück auf die Gründung der Schweizerischen Kreditanstalt im Jahr 1856. Die erste Zweigniederlassung wurde 1905 in Basel eröffnet und die erste Zweigniederlassung ausserhalb der Schweiz 1940 in New York.</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
              <w:rPr>
                <w:b/>
              </w:rPr>
            </w:pPr>
            <w:r w:rsidRPr="0083513B">
              <w:rPr>
                <w:spacing w:val="-4"/>
                <w:lang w:val="en-US"/>
              </w:rPr>
              <w:t xml:space="preserve">On 13 May 2005, the two Swiss bank legal entities Credit Suisse and Credit Suisse First Boston merged. The merged bank, Credit Suisse AG, is a Swiss bank and joint stock corporation established under Swiss law and is a wholly-owned subsidiary of Credit Suisse Group </w:t>
            </w:r>
            <w:r>
              <w:rPr>
                <w:spacing w:val="-4"/>
                <w:lang w:val="en-US"/>
              </w:rPr>
              <w:t xml:space="preserve">AG </w:t>
            </w:r>
            <w:r w:rsidRPr="0083513B">
              <w:rPr>
                <w:spacing w:val="-4"/>
                <w:lang w:val="en-US"/>
              </w:rPr>
              <w:t>(</w:t>
            </w:r>
            <w:r>
              <w:rPr>
                <w:spacing w:val="-4"/>
                <w:lang w:val="en-US"/>
              </w:rPr>
              <w:t>"</w:t>
            </w:r>
            <w:r w:rsidRPr="0083513B">
              <w:rPr>
                <w:b/>
                <w:spacing w:val="-4"/>
                <w:lang w:val="en-US"/>
              </w:rPr>
              <w:t>CSG</w:t>
            </w:r>
            <w:r>
              <w:rPr>
                <w:spacing w:val="-4"/>
                <w:lang w:val="en-US"/>
              </w:rPr>
              <w:t>"</w:t>
            </w:r>
            <w:r w:rsidRPr="0083513B">
              <w:rPr>
                <w:spacing w:val="-4"/>
                <w:lang w:val="en-US"/>
              </w:rPr>
              <w:t xml:space="preserve">), which is the holding company of the Credit Suisse group companies. The structure of Credit Suisse </w:t>
            </w:r>
            <w:r>
              <w:rPr>
                <w:spacing w:val="-4"/>
                <w:lang w:val="en-US"/>
              </w:rPr>
              <w:t xml:space="preserve">and CSG </w:t>
            </w:r>
            <w:r w:rsidRPr="0083513B">
              <w:rPr>
                <w:spacing w:val="-4"/>
                <w:lang w:val="en-US"/>
              </w:rPr>
              <w:t xml:space="preserve">is described below under </w:t>
            </w:r>
            <w:r>
              <w:t>"</w:t>
            </w:r>
            <w:r>
              <w:rPr>
                <w:i/>
                <w:spacing w:val="-4"/>
                <w:lang w:val="en-US"/>
              </w:rPr>
              <w:t>Organisational Structure</w:t>
            </w:r>
            <w:r>
              <w:t>"</w:t>
            </w:r>
            <w:r w:rsidRPr="0083513B">
              <w:rPr>
                <w:spacing w:val="-4"/>
                <w:lang w:val="en-US"/>
              </w:rPr>
              <w:t>.</w:t>
            </w:r>
          </w:p>
        </w:tc>
        <w:tc>
          <w:tcPr>
            <w:tcW w:w="2501" w:type="pct"/>
            <w:gridSpan w:val="8"/>
            <w:tcBorders>
              <w:left w:val="single" w:sz="4" w:space="0" w:color="auto"/>
            </w:tcBorders>
            <w:shd w:val="clear" w:color="auto" w:fill="auto"/>
          </w:tcPr>
          <w:p w:rsidR="004C1EBA" w:rsidRPr="0083513B">
            <w:pPr>
              <w:pStyle w:val="CSBody0"/>
              <w:rPr>
                <w:lang w:val="de-DE"/>
              </w:rPr>
            </w:pPr>
            <w:r w:rsidRPr="0083513B">
              <w:rPr>
                <w:spacing w:val="-4"/>
                <w:lang w:val="de-CH"/>
              </w:rPr>
              <w:t>Am 13. Mai 2005 erfolgte der Zusammenschluss der zwei Schweizerischen Kreditinstitute Credit Suisse und Credit Suisse First Boston. Die fusionierte Bank</w:t>
            </w:r>
            <w:r>
              <w:rPr>
                <w:spacing w:val="-4"/>
                <w:lang w:val="de-CH"/>
              </w:rPr>
              <w:t>,</w:t>
            </w:r>
            <w:r w:rsidRPr="0083513B">
              <w:rPr>
                <w:spacing w:val="-4"/>
                <w:lang w:val="de-CH"/>
              </w:rPr>
              <w:t xml:space="preserve"> Credit Suisse AG</w:t>
            </w:r>
            <w:r>
              <w:rPr>
                <w:spacing w:val="-4"/>
                <w:lang w:val="de-CH"/>
              </w:rPr>
              <w:t>,</w:t>
            </w:r>
            <w:r w:rsidRPr="0083513B">
              <w:rPr>
                <w:spacing w:val="-4"/>
                <w:lang w:val="de-CH"/>
              </w:rPr>
              <w:t xml:space="preserve"> ist eine Schweizer Bank und Aktiengesellschaft nach Schweizer Recht und ist eine 100-prozentige Tochtergesellschaft der Credit Suisse Group</w:t>
            </w:r>
            <w:r>
              <w:rPr>
                <w:spacing w:val="-4"/>
                <w:lang w:val="de-CH"/>
              </w:rPr>
              <w:t xml:space="preserve"> AG</w:t>
            </w:r>
            <w:r w:rsidRPr="0083513B">
              <w:rPr>
                <w:spacing w:val="-4"/>
                <w:lang w:val="de-CH"/>
              </w:rPr>
              <w:t xml:space="preserve"> (</w:t>
            </w:r>
            <w:r>
              <w:rPr>
                <w:spacing w:val="-4"/>
                <w:lang w:val="de-CH"/>
              </w:rPr>
              <w:t>"</w:t>
            </w:r>
            <w:r w:rsidRPr="0083513B">
              <w:rPr>
                <w:b/>
                <w:spacing w:val="-4"/>
                <w:lang w:val="de-CH"/>
              </w:rPr>
              <w:t>CSG</w:t>
            </w:r>
            <w:r>
              <w:rPr>
                <w:spacing w:val="-4"/>
                <w:lang w:val="de-CH"/>
              </w:rPr>
              <w:t>"</w:t>
            </w:r>
            <w:r w:rsidRPr="0083513B">
              <w:rPr>
                <w:spacing w:val="-4"/>
                <w:lang w:val="de-CH"/>
              </w:rPr>
              <w:t>), der Konzernobergesellschaft der Credit Suisse Unternehmensgruppe. Die Struktur der Credit Suisse</w:t>
            </w:r>
            <w:r>
              <w:rPr>
                <w:spacing w:val="-4"/>
                <w:lang w:val="de-CH"/>
              </w:rPr>
              <w:t xml:space="preserve"> und der CSG</w:t>
            </w:r>
            <w:r w:rsidRPr="0083513B">
              <w:rPr>
                <w:spacing w:val="-4"/>
                <w:lang w:val="de-CH"/>
              </w:rPr>
              <w:t xml:space="preserve"> wird im nachfolgenden Abschnitt </w:t>
            </w:r>
            <w:r>
              <w:rPr>
                <w:spacing w:val="-4"/>
                <w:lang w:val="de-CH"/>
              </w:rPr>
              <w:t>"</w:t>
            </w:r>
            <w:r>
              <w:rPr>
                <w:i/>
                <w:spacing w:val="-4"/>
                <w:lang w:val="de-CH"/>
              </w:rPr>
              <w:t>Organisationsstruktur</w:t>
            </w:r>
            <w:r>
              <w:rPr>
                <w:spacing w:val="-4"/>
                <w:lang w:val="de-CH"/>
              </w:rPr>
              <w:t>"</w:t>
            </w:r>
            <w:r w:rsidRPr="0083513B">
              <w:rPr>
                <w:spacing w:val="-4"/>
                <w:lang w:val="de-CH"/>
              </w:rPr>
              <w:t xml:space="preserve"> beschrieben. </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
              <w:rPr>
                <w:spacing w:val="-4"/>
                <w:lang w:val="en-US"/>
              </w:rPr>
            </w:pPr>
            <w:r>
              <w:t>For further information regarding the evolution of the</w:t>
            </w:r>
            <w:r w:rsidRPr="006527EC">
              <w:t xml:space="preserve"> legal entity structure</w:t>
            </w:r>
            <w:r>
              <w:t xml:space="preserve"> of CSG and Credit Suisse, </w:t>
            </w:r>
            <w:r w:rsidRPr="006527EC">
              <w:t xml:space="preserve">refer to </w:t>
            </w:r>
            <w:r>
              <w:t>"</w:t>
            </w:r>
            <w:r w:rsidRPr="006527EC">
              <w:rPr>
                <w:i/>
              </w:rPr>
              <w:t>II – Operating and financial review – Credit Suisse – Information and developments – Evolution of legal entity structure</w:t>
            </w:r>
            <w:r>
              <w:t>"</w:t>
            </w:r>
            <w:r w:rsidRPr="006527EC">
              <w:rPr>
                <w:i/>
              </w:rPr>
              <w:t xml:space="preserve"> </w:t>
            </w:r>
            <w:r w:rsidRPr="006527EC">
              <w:rPr>
                <w:iCs/>
              </w:rPr>
              <w:t>in the Credit Suisse Annual Report 2014</w:t>
            </w:r>
            <w:r w:rsidRPr="00251FD9">
              <w:rPr>
                <w:iCs/>
                <w:lang w:val="en-US"/>
              </w:rPr>
              <w:t xml:space="preserve"> and "</w:t>
            </w:r>
            <w:r w:rsidRPr="00251FD9">
              <w:rPr>
                <w:i/>
                <w:iCs/>
                <w:lang w:val="en-US"/>
              </w:rPr>
              <w:t>II – Credit Suisse Results – Credit Suisse – Evolution of legal entity structure</w:t>
            </w:r>
            <w:r w:rsidRPr="00251FD9">
              <w:rPr>
                <w:iCs/>
                <w:lang w:val="en-US"/>
              </w:rPr>
              <w:t>"</w:t>
            </w:r>
            <w:r w:rsidRPr="00251FD9">
              <w:rPr>
                <w:i/>
                <w:iCs/>
                <w:lang w:val="en-US"/>
              </w:rPr>
              <w:t xml:space="preserve"> </w:t>
            </w:r>
            <w:r w:rsidRPr="00251FD9">
              <w:rPr>
                <w:iCs/>
                <w:lang w:val="en-US"/>
              </w:rPr>
              <w:t>in the Credit Suisse 2Q15 Financial Report</w:t>
            </w:r>
            <w:r w:rsidRPr="006527EC">
              <w:t>.</w:t>
            </w:r>
          </w:p>
        </w:tc>
        <w:tc>
          <w:tcPr>
            <w:tcW w:w="2501" w:type="pct"/>
            <w:gridSpan w:val="8"/>
            <w:tcBorders>
              <w:left w:val="single" w:sz="4" w:space="0" w:color="auto"/>
            </w:tcBorders>
            <w:shd w:val="clear" w:color="auto" w:fill="auto"/>
          </w:tcPr>
          <w:p w:rsidR="004C1EBA" w:rsidRPr="001437BB" w:rsidP="004C1EBA">
            <w:pPr>
              <w:pStyle w:val="CSBody0"/>
              <w:rPr>
                <w:spacing w:val="-4"/>
                <w:lang w:val="de-DE"/>
              </w:rPr>
            </w:pPr>
            <w:r w:rsidRPr="001437BB">
              <w:rPr>
                <w:spacing w:val="-4"/>
                <w:lang w:val="de-DE"/>
              </w:rPr>
              <w:t xml:space="preserve">Weitere Angaben zur Entwicklung der Rechtsstruktur der CSG und der Credit Suisse sind dem Abschnitt </w:t>
            </w:r>
            <w:r>
              <w:rPr>
                <w:spacing w:val="-4"/>
                <w:lang w:val="de-DE"/>
              </w:rPr>
              <w:t>"</w:t>
            </w:r>
            <w:r w:rsidRPr="001437BB">
              <w:rPr>
                <w:i/>
                <w:spacing w:val="-4"/>
                <w:lang w:val="de-DE"/>
              </w:rPr>
              <w:t>II–Kommentar zu den Resultaten – Credit Suisse – Informationen und Entwicklungen – Entwicklung der Rechtsstruktur</w:t>
            </w:r>
            <w:r>
              <w:rPr>
                <w:spacing w:val="-4"/>
                <w:lang w:val="de-DE"/>
              </w:rPr>
              <w:t>"</w:t>
            </w:r>
            <w:r w:rsidRPr="001437BB">
              <w:rPr>
                <w:spacing w:val="-4"/>
                <w:lang w:val="de-DE"/>
              </w:rPr>
              <w:t xml:space="preserve"> des Geschäftsberichts der Credit Suisse für das Jahr 2014</w:t>
            </w:r>
            <w:r w:rsidRPr="00251FD9">
              <w:rPr>
                <w:rFonts w:eastAsia="Calibri" w:cs="CreditSuisseType-Light"/>
                <w:lang w:val="de-DE" w:eastAsia="en-GB"/>
              </w:rPr>
              <w:t xml:space="preserve"> </w:t>
            </w:r>
            <w:r w:rsidRPr="00251FD9">
              <w:rPr>
                <w:spacing w:val="-4"/>
                <w:lang w:val="de-DE"/>
              </w:rPr>
              <w:t xml:space="preserve">und </w:t>
            </w:r>
            <w:r w:rsidRPr="00251FD9">
              <w:rPr>
                <w:spacing w:val="-4"/>
                <w:lang w:val="de-CH"/>
              </w:rPr>
              <w:t>"</w:t>
            </w:r>
            <w:r w:rsidRPr="00251FD9">
              <w:rPr>
                <w:i/>
                <w:spacing w:val="-4"/>
                <w:lang w:val="de-CH"/>
              </w:rPr>
              <w:t>II—</w:t>
            </w:r>
            <w:r w:rsidRPr="005C5842">
              <w:rPr>
                <w:i/>
                <w:spacing w:val="-4"/>
                <w:lang w:val="de-DE"/>
              </w:rPr>
              <w:t xml:space="preserve"> Credit Suisse Results – Credit Suisse – Evolution of legal entity structure</w:t>
            </w:r>
            <w:r w:rsidRPr="00251FD9">
              <w:rPr>
                <w:spacing w:val="-4"/>
                <w:lang w:val="de-CH"/>
              </w:rPr>
              <w:t>" des Finanzberichts 2Q15 der Credit Suisse</w:t>
            </w:r>
            <w:r w:rsidRPr="001437BB">
              <w:rPr>
                <w:spacing w:val="-4"/>
                <w:lang w:val="de-DE"/>
              </w:rPr>
              <w:t xml:space="preserve"> zu entnehmen</w:t>
            </w:r>
            <w:r>
              <w:rPr>
                <w:spacing w:val="-4"/>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
              <w:rPr>
                <w:b/>
              </w:rPr>
            </w:pPr>
            <w:r w:rsidRPr="0083513B">
              <w:rPr>
                <w:spacing w:val="-4"/>
              </w:rPr>
              <w:t>A list of the significant subsidiaries of CSG is set out in Note 39 to the consolidated financial statements of CSG (pages 3</w:t>
            </w:r>
            <w:r>
              <w:rPr>
                <w:spacing w:val="-4"/>
              </w:rPr>
              <w:t>60</w:t>
            </w:r>
            <w:r w:rsidRPr="0083513B">
              <w:rPr>
                <w:spacing w:val="-4"/>
              </w:rPr>
              <w:t xml:space="preserve"> through 3</w:t>
            </w:r>
            <w:r>
              <w:rPr>
                <w:spacing w:val="-4"/>
              </w:rPr>
              <w:t>62</w:t>
            </w:r>
            <w:r w:rsidRPr="0083513B">
              <w:rPr>
                <w:spacing w:val="-4"/>
              </w:rPr>
              <w:t xml:space="preserve"> of the English language Credit Suisse Annual Report 201</w:t>
            </w:r>
            <w:r>
              <w:rPr>
                <w:spacing w:val="-4"/>
              </w:rPr>
              <w:t>4</w:t>
            </w:r>
            <w:r w:rsidRPr="0083513B">
              <w:rPr>
                <w:spacing w:val="-4"/>
              </w:rPr>
              <w:t>).</w:t>
            </w:r>
          </w:p>
        </w:tc>
        <w:tc>
          <w:tcPr>
            <w:tcW w:w="2501" w:type="pct"/>
            <w:gridSpan w:val="8"/>
            <w:tcBorders>
              <w:left w:val="single" w:sz="4" w:space="0" w:color="auto"/>
            </w:tcBorders>
            <w:shd w:val="clear" w:color="auto" w:fill="auto"/>
          </w:tcPr>
          <w:p w:rsidR="004C1EBA" w:rsidRPr="0083513B" w:rsidP="004C1EBA">
            <w:pPr>
              <w:pStyle w:val="CSBody0"/>
              <w:rPr>
                <w:lang w:val="de-DE"/>
              </w:rPr>
            </w:pPr>
            <w:r w:rsidRPr="001437BB">
              <w:rPr>
                <w:spacing w:val="-4"/>
                <w:lang w:val="de-DE"/>
              </w:rPr>
              <w:t>Eine Aufzählung der wesentlichen Tochtergesellschaften der CSG erfolgt in Anhang 39 zu den konsolidierten Jahresrechnungen der CSG (Seiten 360 bis 362 der englischen Fassung des Geschäftsberichts der Credit Suisse für das Geschäftsjahr 2014</w:t>
            </w:r>
            <w:r w:rsidRPr="0083513B">
              <w:rPr>
                <w:spacing w:val="-4"/>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
              <w:rPr>
                <w:b/>
              </w:rPr>
            </w:pPr>
            <w:r w:rsidRPr="0083513B">
              <w:rPr>
                <w:spacing w:val="-4"/>
              </w:rPr>
              <w:t>Credit Suisse is not dependent upon other members of its group.</w:t>
            </w:r>
          </w:p>
        </w:tc>
        <w:tc>
          <w:tcPr>
            <w:tcW w:w="2501" w:type="pct"/>
            <w:gridSpan w:val="8"/>
            <w:tcBorders>
              <w:left w:val="single" w:sz="4" w:space="0" w:color="auto"/>
            </w:tcBorders>
            <w:shd w:val="clear" w:color="auto" w:fill="auto"/>
          </w:tcPr>
          <w:p w:rsidR="004C1EBA" w:rsidRPr="0083513B" w:rsidP="004C1EBA">
            <w:pPr>
              <w:pStyle w:val="CSBody0"/>
              <w:rPr>
                <w:lang w:val="de-DE"/>
              </w:rPr>
            </w:pPr>
            <w:r w:rsidRPr="0083513B">
              <w:rPr>
                <w:spacing w:val="-4"/>
                <w:lang w:val="de-DE"/>
              </w:rPr>
              <w:t>Credit Suisse ist nicht von anderen Unternehmen ihrer Gruppe abhängig.</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10ptbold"/>
              <w:rPr>
                <w:lang w:val="de-DE"/>
              </w:rPr>
            </w:pPr>
            <w:r w:rsidRPr="0083513B">
              <w:t>Business</w:t>
            </w:r>
          </w:p>
        </w:tc>
        <w:tc>
          <w:tcPr>
            <w:tcW w:w="2501" w:type="pct"/>
            <w:gridSpan w:val="8"/>
            <w:tcBorders>
              <w:left w:val="single" w:sz="4" w:space="0" w:color="auto"/>
            </w:tcBorders>
            <w:shd w:val="clear" w:color="auto" w:fill="auto"/>
          </w:tcPr>
          <w:p w:rsidR="004C1EBA" w:rsidRPr="0083513B" w:rsidP="004C1EBA">
            <w:pPr>
              <w:pStyle w:val="CSBody10ptbold"/>
              <w:rPr>
                <w:lang w:val="de-DE"/>
              </w:rPr>
            </w:pPr>
            <w:r w:rsidRPr="0083513B">
              <w:rPr>
                <w:lang w:val="de-DE"/>
              </w:rPr>
              <w:t>Geschäftstätigkeit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
              <w:rPr>
                <w:b/>
              </w:rPr>
            </w:pPr>
            <w:r w:rsidRPr="0083513B">
              <w:rPr>
                <w:rFonts w:cs="Dutch801BT-Roman"/>
              </w:rPr>
              <w:t>CSG</w:t>
            </w:r>
            <w:r w:rsidRPr="0083513B">
              <w:t xml:space="preserve"> is a global financial services company domiciled in Switzerland. Credit Suisse is a wholly-owned subsidiary of CSG, and its business is substantially the same as that of CSG, except where specificially stated otherwise. </w:t>
            </w:r>
          </w:p>
        </w:tc>
        <w:tc>
          <w:tcPr>
            <w:tcW w:w="2501" w:type="pct"/>
            <w:gridSpan w:val="8"/>
            <w:tcBorders>
              <w:left w:val="single" w:sz="4" w:space="0" w:color="auto"/>
            </w:tcBorders>
            <w:shd w:val="clear" w:color="auto" w:fill="auto"/>
          </w:tcPr>
          <w:p w:rsidR="004C1EBA" w:rsidRPr="0083513B" w:rsidP="004C1EBA">
            <w:pPr>
              <w:pStyle w:val="CSBody0"/>
              <w:rPr>
                <w:lang w:val="de-DE"/>
              </w:rPr>
            </w:pPr>
            <w:r w:rsidRPr="0083513B">
              <w:rPr>
                <w:lang w:val="de-CH"/>
              </w:rPr>
              <w:t>Die CSG ist ein weltweit tätiges Finanzdienst</w:t>
            </w:r>
            <w:r w:rsidRPr="0083513B">
              <w:rPr>
                <w:lang w:val="de-CH"/>
              </w:rPr>
              <w:softHyphen/>
              <w:t>leistungsunternehmen mit Sitz in der Schweiz. Die Credit Suisse ist eine 100-prozentige Tochtergesellschaft der CSG und ihre Geschäftstätigkeit ist im Wesentlichen mit jener der CSG gleichzusetzen</w:t>
            </w:r>
            <w:r>
              <w:rPr>
                <w:lang w:val="de-CH"/>
              </w:rPr>
              <w:t>, soweit nicht ausdrücklich etwas anderes angegeben ist.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
            </w:pPr>
            <w:r w:rsidRPr="0083513B">
              <w:t xml:space="preserve">All references to CSG in the description of the business set out below are describing the consolidated businesses carried on by CSG and its subsidiaries and therefore should be read as applying equally to CSG and Credit Suisse, except where specifically stated otherwise. </w:t>
            </w:r>
            <w:r w:rsidRPr="006527EC">
              <w:t>For more information on the differences between CSG and C</w:t>
            </w:r>
            <w:r>
              <w:t xml:space="preserve">redit </w:t>
            </w:r>
            <w:r w:rsidRPr="006527EC">
              <w:t>S</w:t>
            </w:r>
            <w:r>
              <w:t>uisse, refer to "</w:t>
            </w:r>
            <w:r w:rsidRPr="006527EC">
              <w:rPr>
                <w:i/>
              </w:rPr>
              <w:t>II—Operating and Financial review—Credit Suisse—Differences between Group and Bank</w:t>
            </w:r>
            <w:r>
              <w:t>"</w:t>
            </w:r>
            <w:r w:rsidRPr="006527EC">
              <w:t xml:space="preserve"> in the Credit Suisse Annual Report 2014.</w:t>
            </w:r>
          </w:p>
        </w:tc>
        <w:tc>
          <w:tcPr>
            <w:tcW w:w="2501" w:type="pct"/>
            <w:gridSpan w:val="8"/>
            <w:tcBorders>
              <w:left w:val="single" w:sz="4" w:space="0" w:color="auto"/>
            </w:tcBorders>
            <w:shd w:val="clear" w:color="auto" w:fill="auto"/>
          </w:tcPr>
          <w:p w:rsidR="004C1EBA" w:rsidRPr="0083513B" w:rsidP="004C1EBA">
            <w:pPr>
              <w:pStyle w:val="CSBody0"/>
              <w:rPr>
                <w:szCs w:val="19"/>
                <w:lang w:val="de-CH"/>
              </w:rPr>
            </w:pPr>
            <w:r w:rsidRPr="001437BB">
              <w:rPr>
                <w:lang w:val="de-DE"/>
              </w:rPr>
              <w:t xml:space="preserve">Alle Bezugnahmen auf die CSG in der nachfolgenden Beschreibung der Geschäftstätigkeit beschreiben die konsolidierte Geschäftstätigkeit der CSG und ihrer Tochtergesellschaften und sind somit </w:t>
            </w:r>
            <w:r w:rsidRPr="00EF4435">
              <w:rPr>
                <w:lang w:val="de-DE"/>
              </w:rPr>
              <w:t>auch</w:t>
            </w:r>
            <w:r w:rsidRPr="001437BB">
              <w:rPr>
                <w:lang w:val="de-DE"/>
              </w:rPr>
              <w:t xml:space="preserve"> als Bezugnahmen auf die CSG und die Credit Suisse zu verstehen, soweit nicht ausdrücklich etwas anderes angegeben ist. Weitere Angaben zu den Unterschieden zwischen der CSG und der Credit Suisse sind dem Abschnitt </w:t>
            </w:r>
            <w:r>
              <w:rPr>
                <w:lang w:val="de-DE"/>
              </w:rPr>
              <w:t>"</w:t>
            </w:r>
            <w:r w:rsidRPr="001437BB">
              <w:rPr>
                <w:i/>
                <w:lang w:val="de-DE"/>
              </w:rPr>
              <w:t>II—Kommentar zu den Resultaten—Credit Suisse—Unterschiede zwischen der Gruppe und der Bank</w:t>
            </w:r>
            <w:r>
              <w:rPr>
                <w:i/>
                <w:lang w:val="de-DE"/>
              </w:rPr>
              <w:t>"</w:t>
            </w:r>
            <w:r w:rsidRPr="001437BB">
              <w:rPr>
                <w:lang w:val="de-DE"/>
              </w:rPr>
              <w:t xml:space="preserve"> des Geschäftsberichts der Credit Suisse für das Jahr 2014 zu entnehmen.</w:t>
            </w:r>
            <w:r w:rsidRPr="0083513B">
              <w:rPr>
                <w:lang w:val="de-DE"/>
              </w:rPr>
              <w:t xml:space="preserve"> </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
            </w:pPr>
            <w:r w:rsidRPr="00F87142">
              <w:t>As one of the world’s leading financial services providers, CSG is committed to delivering its combined financial experience and expertise to corporate, institutional and government clients, ultra</w:t>
            </w:r>
            <w:r w:rsidRPr="00F87142">
              <w:noBreakHyphen/>
              <w:t>high</w:t>
            </w:r>
            <w:r w:rsidRPr="00F87142">
              <w:noBreakHyphen/>
              <w:t>net</w:t>
            </w:r>
            <w:r w:rsidRPr="00F87142">
              <w:noBreakHyphen/>
              <w:t>worth and high</w:t>
            </w:r>
            <w:r w:rsidRPr="00F87142">
              <w:noBreakHyphen/>
              <w:t>net</w:t>
            </w:r>
            <w:r w:rsidRPr="00F87142">
              <w:noBreakHyphen/>
              <w:t>worth individuals worldwide, as well as affluent and retail clients in Switzerland.  Founded in 1856, today it has a global reach with operations in over 50 countries and 48,100 employees from over 150 different nations.  CSG’s broad footprint helps it to generate a geographically balanced stream of revenues and net new assets and allows it to capture growth opportunities around the world.  It serves its clients through its divisions, which cooperate closely to provide holistic financial solutions, including innovative products and specially tailored advice.</w:t>
            </w:r>
          </w:p>
        </w:tc>
        <w:tc>
          <w:tcPr>
            <w:tcW w:w="2501" w:type="pct"/>
            <w:gridSpan w:val="8"/>
            <w:tcBorders>
              <w:left w:val="single" w:sz="4" w:space="0" w:color="auto"/>
            </w:tcBorders>
            <w:shd w:val="clear" w:color="auto" w:fill="auto"/>
          </w:tcPr>
          <w:p w:rsidR="004C1EBA" w:rsidRPr="001437BB" w:rsidP="004C1EBA">
            <w:pPr>
              <w:pStyle w:val="CSBody0"/>
              <w:rPr>
                <w:lang w:val="de-DE"/>
              </w:rPr>
            </w:pPr>
            <w:r>
              <w:rPr>
                <w:lang w:val="de-DE"/>
              </w:rPr>
              <w:t>Als eines der weltweit führenden Finanzdienstleistungsunter</w:t>
            </w:r>
            <w:r>
              <w:rPr>
                <w:lang w:val="de-DE"/>
              </w:rPr>
              <w:softHyphen/>
              <w:t>nehmen bietet die CSG ihre Erfahrung und Fachkompetenz im Finanzsektor Unternehmen, institutionellen Investoren, staat</w:t>
            </w:r>
            <w:r>
              <w:rPr>
                <w:lang w:val="de-DE"/>
              </w:rPr>
              <w:softHyphen/>
              <w:t>lichen Körperschaften wie auch äusserst vermögenden und sehr vermögenden Privatpersonen auf der ganzen Welt sowie wohlhabenden und Retail-Kunden in der Schweiz an. Die 1856 gegründete Credit Suisse besitzt heute eine globale Reichweite mit Geschäftsaktivitäten in über 50 Ländern und mit 48.100 Mitarbeitenden aus über 150 verschiedenen Nationen. Diese weltweite Präsenz ermöglicht es der CSG, geografisch ausgewogene Ertragsströme und Netto-Neugeld</w:t>
            </w:r>
            <w:r>
              <w:rPr>
                <w:lang w:val="de-DE"/>
              </w:rPr>
              <w:softHyphen/>
              <w:t>zuflüsse zu generieren sowie Wachstumschancen weltweit zu nutzen. Sie bedient ihre Kundschaft über ihre Divisionen, die eng zusammenarbeiten, um Gesamtlösungen auf der Basis innovativer Produkte und einer massgeschneiderten Beratung anzubieten.</w:t>
            </w:r>
          </w:p>
        </w:tc>
      </w:tr>
      <w:tr w:rsidTr="004C1EBA">
        <w:tblPrEx>
          <w:tblW w:w="5002" w:type="pct"/>
          <w:tblLayout w:type="fixed"/>
          <w:tblLook w:val="00A0"/>
        </w:tblPrEx>
        <w:tc>
          <w:tcPr>
            <w:tcW w:w="2499" w:type="pct"/>
            <w:gridSpan w:val="5"/>
            <w:tcBorders>
              <w:right w:val="single" w:sz="4" w:space="0" w:color="auto"/>
            </w:tcBorders>
          </w:tcPr>
          <w:p w:rsidR="004C1EBA" w:rsidRPr="00F87142" w:rsidP="004C1EBA">
            <w:pPr>
              <w:pStyle w:val="CSBody0"/>
            </w:pPr>
            <w:r w:rsidRPr="00F87142">
              <w:rPr>
                <w:lang w:val="en-US"/>
              </w:rPr>
              <w:t>On 21 October 2015, CSG announced a comprehensive package of measures setting its new strategic direction, structure and organisation.</w:t>
            </w:r>
          </w:p>
        </w:tc>
        <w:tc>
          <w:tcPr>
            <w:tcW w:w="2501" w:type="pct"/>
            <w:gridSpan w:val="8"/>
            <w:tcBorders>
              <w:left w:val="single" w:sz="4" w:space="0" w:color="auto"/>
            </w:tcBorders>
            <w:shd w:val="clear" w:color="auto" w:fill="auto"/>
          </w:tcPr>
          <w:p w:rsidR="004C1EBA" w:rsidRPr="001437BB" w:rsidP="004C1EBA">
            <w:pPr>
              <w:pStyle w:val="CSBody0"/>
              <w:rPr>
                <w:lang w:val="de-DE"/>
              </w:rPr>
            </w:pPr>
            <w:r>
              <w:rPr>
                <w:lang w:val="de-DE"/>
              </w:rPr>
              <w:t>Am 21. Oktober 2015 gab die CSG ein umfasssendes Massnahmenpaket zur Umsetzung einer strategischen, strukturellen und organisatorischen Neuausrichtung bekannt.</w:t>
            </w:r>
          </w:p>
        </w:tc>
      </w:tr>
      <w:tr w:rsidTr="004C1EBA">
        <w:tblPrEx>
          <w:tblW w:w="5002" w:type="pct"/>
          <w:tblLayout w:type="fixed"/>
          <w:tblLook w:val="00A0"/>
        </w:tblPrEx>
        <w:tc>
          <w:tcPr>
            <w:tcW w:w="2499" w:type="pct"/>
            <w:gridSpan w:val="5"/>
            <w:tcBorders>
              <w:right w:val="single" w:sz="4" w:space="0" w:color="auto"/>
            </w:tcBorders>
          </w:tcPr>
          <w:p w:rsidR="004C1EBA" w:rsidRPr="005C5842" w:rsidP="004C1EBA">
            <w:pPr>
              <w:pStyle w:val="CSBody0"/>
            </w:pPr>
            <w:r w:rsidRPr="004876A3">
              <w:rPr>
                <w:lang w:val="en-US"/>
              </w:rPr>
              <w:t>CSG’s strategy is now focused on three fundamental objectives:</w:t>
            </w:r>
          </w:p>
        </w:tc>
        <w:tc>
          <w:tcPr>
            <w:tcW w:w="2501" w:type="pct"/>
            <w:gridSpan w:val="8"/>
            <w:tcBorders>
              <w:left w:val="single" w:sz="4" w:space="0" w:color="auto"/>
            </w:tcBorders>
            <w:shd w:val="clear" w:color="auto" w:fill="auto"/>
          </w:tcPr>
          <w:p w:rsidR="004C1EBA" w:rsidRPr="001437BB">
            <w:pPr>
              <w:pStyle w:val="CSBody0"/>
              <w:rPr>
                <w:lang w:val="de-DE"/>
              </w:rPr>
            </w:pPr>
            <w:r>
              <w:rPr>
                <w:lang w:val="de-DE"/>
              </w:rPr>
              <w:t>Die Strategie der CSG konzentriert sich nunmehr auf drei grundlegende Ziele:</w:t>
            </w:r>
          </w:p>
        </w:tc>
      </w:tr>
      <w:tr w:rsidTr="004C1EBA">
        <w:tblPrEx>
          <w:tblW w:w="5002" w:type="pct"/>
          <w:tblLayout w:type="fixed"/>
          <w:tblLook w:val="00A0"/>
        </w:tblPrEx>
        <w:tc>
          <w:tcPr>
            <w:tcW w:w="2499" w:type="pct"/>
            <w:gridSpan w:val="5"/>
            <w:tcBorders>
              <w:right w:val="single" w:sz="4" w:space="0" w:color="auto"/>
            </w:tcBorders>
          </w:tcPr>
          <w:p w:rsidR="004C1EBA" w:rsidRPr="005C5842" w:rsidP="004C1EBA">
            <w:pPr>
              <w:pStyle w:val="CSBody0"/>
              <w:numPr>
                <w:ilvl w:val="0"/>
                <w:numId w:val="30"/>
              </w:numPr>
            </w:pPr>
            <w:r w:rsidRPr="00F87142">
              <w:t>To expand profitably CSG’s position in its home market by growing a Swiss Universal Bank division that aims to become the bank of choice for Swiss private, corporate and institutional clients. The development of an efficient, integrated banking platform combined with a planned IPO by the end of 2017, market conditions permitting and currently estimated to be between 20% and 30% of the legal entity Credit Suisse (Schweiz) AG, is expected to offer CSG an opportunity to participate in domestic consolidation opportunities. Any such IPO would be subject to, among other things, all necessary approvals and would be intended to generate/raise additional capital for Credit Suisse</w:t>
            </w:r>
            <w:r>
              <w:t xml:space="preserve"> or Credit Suisse (Schweiz) AG.</w:t>
            </w:r>
          </w:p>
        </w:tc>
        <w:tc>
          <w:tcPr>
            <w:tcW w:w="2501" w:type="pct"/>
            <w:gridSpan w:val="8"/>
            <w:tcBorders>
              <w:left w:val="single" w:sz="4" w:space="0" w:color="auto"/>
            </w:tcBorders>
            <w:shd w:val="clear" w:color="auto" w:fill="auto"/>
          </w:tcPr>
          <w:p w:rsidR="004C1EBA" w:rsidRPr="001437BB" w:rsidP="004C1EBA">
            <w:pPr>
              <w:pStyle w:val="CSBody0"/>
              <w:numPr>
                <w:ilvl w:val="0"/>
                <w:numId w:val="30"/>
              </w:numPr>
              <w:rPr>
                <w:lang w:val="de-DE"/>
              </w:rPr>
            </w:pPr>
            <w:r>
              <w:rPr>
                <w:lang w:val="de-DE"/>
              </w:rPr>
              <w:t>Profitable Entwicklung der Position der CSG in ihrem Heimmarkt durch den Ausbau der Division Universalbank Schweiz, die sich zur bevorzugten Bank von Privatkunden, Firmen</w:t>
            </w:r>
            <w:r>
              <w:rPr>
                <w:lang w:val="de-DE"/>
              </w:rPr>
              <w:softHyphen/>
              <w:t>kunden und institutionellen Kunden in der Schweiz entwickeln will. Die Entwicklung einer effizienten, integrierten Bankplattform in Kombination mit einem, vorbehaltlich eines günstigen Markumfelds, für Ende 2017 vorgesehenen Börsengang, der nach jetziger Schätzung zwischen 20% und 30% des Rechtsträgers Credit Suisse (Schweiz) AG umfassen wird, soll der CSG die Möglichkeit bieten, von der Branchenkonsolidierung in ihrem Heimmarkt zu profitieren. Durch einen solchen Börsengang, der unter anderem unter dem Vorbehalt der Erteilung aller erforderlichen Genehmigungen steht, soll zusätzliches Kapital für die Credit Suisse bzw. die Credit Suisse (Schweiz) AG generiert/aufgenommen werden.</w:t>
            </w:r>
          </w:p>
        </w:tc>
      </w:tr>
      <w:tr w:rsidTr="004C1EBA">
        <w:tblPrEx>
          <w:tblW w:w="5002" w:type="pct"/>
          <w:tblLayout w:type="fixed"/>
          <w:tblLook w:val="00A0"/>
        </w:tblPrEx>
        <w:tc>
          <w:tcPr>
            <w:tcW w:w="2499" w:type="pct"/>
            <w:gridSpan w:val="5"/>
            <w:tcBorders>
              <w:right w:val="single" w:sz="4" w:space="0" w:color="auto"/>
            </w:tcBorders>
          </w:tcPr>
          <w:p w:rsidR="004C1EBA" w:rsidRPr="005C5842" w:rsidP="004C1EBA">
            <w:pPr>
              <w:pStyle w:val="CSBody0"/>
              <w:numPr>
                <w:ilvl w:val="0"/>
                <w:numId w:val="30"/>
              </w:numPr>
            </w:pPr>
            <w:r w:rsidRPr="00F87142">
              <w:t xml:space="preserve">To scale up CSG’s private banking and wealth management franchise in the attractive markets of Asia, Eastern Europe, the Middle East, Latin America and Africa. CSG aims to accelerate its growth in Asia Pacific by allocating more capital to serve the wealthy entrepreneurs of this region via a dedicated, integrated Asia Pacific division. In other emerging markets, a newly established International Wealth Management division is designed to replicate the successful </w:t>
            </w:r>
            <w:r w:rsidR="003B00F3">
              <w:t>"</w:t>
            </w:r>
            <w:r w:rsidRPr="00F87142">
              <w:t>Bank for Entrepreneurs</w:t>
            </w:r>
            <w:r w:rsidR="00BF7214">
              <w:t>"</w:t>
            </w:r>
            <w:r w:rsidRPr="00F87142">
              <w:t xml:space="preserve"> Asia Pacific model.</w:t>
            </w:r>
          </w:p>
        </w:tc>
        <w:tc>
          <w:tcPr>
            <w:tcW w:w="2501" w:type="pct"/>
            <w:gridSpan w:val="8"/>
            <w:tcBorders>
              <w:left w:val="single" w:sz="4" w:space="0" w:color="auto"/>
            </w:tcBorders>
            <w:shd w:val="clear" w:color="auto" w:fill="auto"/>
          </w:tcPr>
          <w:p w:rsidR="004C1EBA" w:rsidRPr="001437BB" w:rsidP="004C1EBA">
            <w:pPr>
              <w:pStyle w:val="CSBody0"/>
              <w:numPr>
                <w:ilvl w:val="0"/>
                <w:numId w:val="30"/>
              </w:numPr>
              <w:rPr>
                <w:lang w:val="de-DE"/>
              </w:rPr>
            </w:pPr>
            <w:r>
              <w:rPr>
                <w:lang w:val="de-DE"/>
              </w:rPr>
              <w:t>Ausbau des Private-Banking- und Vermögens</w:t>
            </w:r>
            <w:r>
              <w:rPr>
                <w:lang w:val="de-DE"/>
              </w:rPr>
              <w:softHyphen/>
              <w:t>verwaltungsangebots der CSG in den attraktiven Märkten Asiens, Osteuropas, des Nahen Ostens, Lateinamerikas und Afrikas. Die CSG will ihr Wachstum in der Region Asien-Pazifik beschleunigen und dazu mit einer spezialisierten, integrierten Division Asien-Pazifik mehr Kapital für die Betreuung von vermögenden Unternehmerinnen und Unter</w:t>
            </w:r>
            <w:r>
              <w:rPr>
                <w:lang w:val="de-DE"/>
              </w:rPr>
              <w:softHyphen/>
              <w:t>nehmern dieser Region zur Verfügung stellen. In anderen Schwellenländern wird die neue Division International Wealth Management das erfolgreiche Modell einer "Bank für Unternehmen" von der Region Asien-Pazifik übernehmen.</w:t>
            </w:r>
          </w:p>
        </w:tc>
      </w:tr>
      <w:tr w:rsidTr="004C1EBA">
        <w:tblPrEx>
          <w:tblW w:w="5002" w:type="pct"/>
          <w:tblLayout w:type="fixed"/>
          <w:tblLook w:val="00A0"/>
        </w:tblPrEx>
        <w:tc>
          <w:tcPr>
            <w:tcW w:w="2499" w:type="pct"/>
            <w:gridSpan w:val="5"/>
            <w:tcBorders>
              <w:right w:val="single" w:sz="4" w:space="0" w:color="auto"/>
            </w:tcBorders>
          </w:tcPr>
          <w:p w:rsidR="004C1EBA" w:rsidRPr="00F87142" w:rsidP="004C1EBA">
            <w:pPr>
              <w:pStyle w:val="CSBody0"/>
              <w:numPr>
                <w:ilvl w:val="0"/>
                <w:numId w:val="30"/>
              </w:numPr>
            </w:pPr>
            <w:r w:rsidRPr="00F87142">
              <w:t>To right-size the Investment Banking division by focusing on its superior capabilities that best support wealth management client needs. This is expected to result in higher profitability with lower capital usage and lower volatility in earnings. The measures include a programme to lower the capital allocated to investment banking activities, particularly through a significant reduction of risk-weighted assets and leverage exposures in CSG’s macro and prime services businesses.</w:t>
            </w:r>
          </w:p>
        </w:tc>
        <w:tc>
          <w:tcPr>
            <w:tcW w:w="2501" w:type="pct"/>
            <w:gridSpan w:val="8"/>
            <w:tcBorders>
              <w:left w:val="single" w:sz="4" w:space="0" w:color="auto"/>
            </w:tcBorders>
            <w:shd w:val="clear" w:color="auto" w:fill="auto"/>
          </w:tcPr>
          <w:p w:rsidR="004C1EBA" w:rsidRPr="00900B97" w:rsidP="004C1EBA">
            <w:pPr>
              <w:pStyle w:val="CSBody0"/>
              <w:numPr>
                <w:ilvl w:val="0"/>
                <w:numId w:val="30"/>
              </w:numPr>
              <w:rPr>
                <w:lang w:val="de-DE"/>
              </w:rPr>
            </w:pPr>
            <w:r>
              <w:rPr>
                <w:lang w:val="de-DE"/>
              </w:rPr>
              <w:t>Redimensionierung der Division Investment Banking durch Ausrichtung auf diejenigen Kompetenzen, die den Bedürfnissen der Vermögensverwaltungskunden am besten entsprechen. Dadurch soll sich die Profitabilität erhöhen, der Kapitalbedarf sinken und sich die Ertragsvolatilität verringern.</w:t>
            </w:r>
            <w:r w:rsidRPr="00900B97">
              <w:rPr>
                <w:lang w:val="de-DE"/>
              </w:rPr>
              <w:t xml:space="preserve"> Die Ma</w:t>
            </w:r>
            <w:r>
              <w:rPr>
                <w:lang w:val="de-DE"/>
              </w:rPr>
              <w:t>ss</w:t>
            </w:r>
            <w:r>
              <w:rPr>
                <w:lang w:val="de-DE"/>
              </w:rPr>
              <w:softHyphen/>
            </w:r>
            <w:r w:rsidRPr="00900B97">
              <w:rPr>
                <w:lang w:val="de-DE"/>
              </w:rPr>
              <w:t>nahmen sehen unter anderem ein Programm zur Reduzierung der dem Investmentbanking-Geschäft zugewiesenen Kapitalmittel vor, insbesondere durch eine deutliche Verringerung der risikogewichteten Aktiva sowie de</w:t>
            </w:r>
            <w:r>
              <w:rPr>
                <w:lang w:val="de-DE"/>
              </w:rPr>
              <w:t>s Leverage Exposure</w:t>
            </w:r>
            <w:r w:rsidRPr="00900B97">
              <w:rPr>
                <w:lang w:val="de-DE"/>
              </w:rPr>
              <w:t xml:space="preserve"> der CSG im Makro</w:t>
            </w:r>
            <w:r>
              <w:rPr>
                <w:lang w:val="de-DE"/>
              </w:rPr>
              <w:t>-G</w:t>
            </w:r>
            <w:r w:rsidRPr="00900B97">
              <w:rPr>
                <w:lang w:val="de-DE"/>
              </w:rPr>
              <w:t>eschäft und im Bereich Prime Services.</w:t>
            </w:r>
          </w:p>
        </w:tc>
      </w:tr>
      <w:tr w:rsidTr="004C1EBA">
        <w:tblPrEx>
          <w:tblW w:w="5002" w:type="pct"/>
          <w:tblLayout w:type="fixed"/>
          <w:tblLook w:val="00A0"/>
        </w:tblPrEx>
        <w:tc>
          <w:tcPr>
            <w:tcW w:w="2499" w:type="pct"/>
            <w:gridSpan w:val="5"/>
            <w:tcBorders>
              <w:right w:val="single" w:sz="4" w:space="0" w:color="auto"/>
            </w:tcBorders>
          </w:tcPr>
          <w:p w:rsidR="004C1EBA" w:rsidRPr="005C5842" w:rsidP="004C1EBA">
            <w:pPr>
              <w:pStyle w:val="CSBody0"/>
              <w:rPr>
                <w:b/>
              </w:rPr>
            </w:pPr>
            <w:bookmarkStart w:id="74" w:name="_Toc433929592"/>
            <w:r w:rsidRPr="00F87142">
              <w:rPr>
                <w:b/>
              </w:rPr>
              <w:t>Organisational structure</w:t>
            </w:r>
            <w:bookmarkEnd w:id="74"/>
          </w:p>
        </w:tc>
        <w:tc>
          <w:tcPr>
            <w:tcW w:w="2501" w:type="pct"/>
            <w:gridSpan w:val="8"/>
            <w:tcBorders>
              <w:left w:val="single" w:sz="4" w:space="0" w:color="auto"/>
            </w:tcBorders>
            <w:shd w:val="clear" w:color="auto" w:fill="auto"/>
          </w:tcPr>
          <w:p w:rsidR="004C1EBA" w:rsidRPr="005C5842" w:rsidP="004C1EBA">
            <w:pPr>
              <w:pStyle w:val="CSBody0"/>
              <w:rPr>
                <w:b/>
                <w:lang w:val="de-DE"/>
              </w:rPr>
            </w:pPr>
            <w:r>
              <w:rPr>
                <w:b/>
                <w:lang w:val="de-DE"/>
              </w:rPr>
              <w:t>Organisationsstruktur</w:t>
            </w:r>
          </w:p>
        </w:tc>
      </w:tr>
      <w:tr w:rsidTr="004C1EBA">
        <w:tblPrEx>
          <w:tblW w:w="5002" w:type="pct"/>
          <w:tblLayout w:type="fixed"/>
          <w:tblLook w:val="00A0"/>
        </w:tblPrEx>
        <w:tc>
          <w:tcPr>
            <w:tcW w:w="2499" w:type="pct"/>
            <w:gridSpan w:val="5"/>
            <w:tcBorders>
              <w:right w:val="single" w:sz="4" w:space="0" w:color="auto"/>
            </w:tcBorders>
          </w:tcPr>
          <w:p w:rsidR="004C1EBA" w:rsidRPr="00F87142" w:rsidP="004C1EBA">
            <w:pPr>
              <w:pStyle w:val="CSBody0"/>
            </w:pPr>
            <w:r w:rsidRPr="00F87142">
              <w:t>To support the execution of the strategy, CSG is simplifying its organisation, which has historically been a matrix of two business divisions (Private Banking &amp; Wealth Management and Investment Banking), each with co-heads, and four regions. CSG is restructuring and creating three new, regionally focused divisions: Swiss Universal Bank, Asia Pacific and International Wealth Management serving Western Europe, Central and Eastern Europe, Latin America and Africa.</w:t>
            </w:r>
          </w:p>
        </w:tc>
        <w:tc>
          <w:tcPr>
            <w:tcW w:w="2501" w:type="pct"/>
            <w:gridSpan w:val="8"/>
            <w:tcBorders>
              <w:left w:val="single" w:sz="4" w:space="0" w:color="auto"/>
            </w:tcBorders>
            <w:shd w:val="clear" w:color="auto" w:fill="auto"/>
          </w:tcPr>
          <w:p w:rsidR="004C1EBA" w:rsidRPr="001437BB" w:rsidP="004C1EBA">
            <w:pPr>
              <w:pStyle w:val="CSBody0"/>
              <w:rPr>
                <w:lang w:val="de-DE"/>
              </w:rPr>
            </w:pPr>
            <w:r>
              <w:rPr>
                <w:lang w:val="de-DE"/>
              </w:rPr>
              <w:t>Zur Umsetzung der Strategie vereinfacht die CSG ihre Organisationsstruktur, die bisher eine Matrix mit zwei Geschäftsdivisionen (Private Banking &amp; Wealth Management und Investment Banking), jede mit Co-Leitern, und vier Regionen darstellte. Mit der Restrukturierung werden drei neue, regional ausgerichtete Divisionen geschaffen: Universal</w:t>
            </w:r>
            <w:r>
              <w:rPr>
                <w:lang w:val="de-DE"/>
              </w:rPr>
              <w:softHyphen/>
              <w:t>bank Schweiz, Asien-Pazifik und International Wealth Management, das auf Westeuropa, Zentral- und Osteuropa sowie Lateinamerika und Afrika ausgerichtet ist.</w:t>
            </w:r>
          </w:p>
        </w:tc>
      </w:tr>
      <w:tr w:rsidTr="004C1EBA">
        <w:tblPrEx>
          <w:tblW w:w="5002" w:type="pct"/>
          <w:tblLayout w:type="fixed"/>
          <w:tblLook w:val="00A0"/>
        </w:tblPrEx>
        <w:tc>
          <w:tcPr>
            <w:tcW w:w="2499" w:type="pct"/>
            <w:gridSpan w:val="5"/>
            <w:tcBorders>
              <w:right w:val="single" w:sz="4" w:space="0" w:color="auto"/>
            </w:tcBorders>
          </w:tcPr>
          <w:p w:rsidR="004C1EBA" w:rsidRPr="00F87142" w:rsidP="004C1EBA">
            <w:pPr>
              <w:pStyle w:val="CSBody0"/>
            </w:pPr>
            <w:r w:rsidRPr="00F87142">
              <w:t>Two other divisions – Global Markets as well as Investment Banking and Capital Markets – will sit alongside these regional businesses. These operating businesses will be supported by a number of focused functions at the Group Executive Board level, including a newly established position of Chief Operating Officer, tasked with driving the transformation of Credit Suisse into a more decentralized organisation, and a new position of Chief Compliance and Regulatory Affairs Officer, who will coordinate CSG’s strategic and increasingly important relationships with regulators across the world.</w:t>
            </w:r>
          </w:p>
        </w:tc>
        <w:tc>
          <w:tcPr>
            <w:tcW w:w="2501" w:type="pct"/>
            <w:gridSpan w:val="8"/>
            <w:tcBorders>
              <w:left w:val="single" w:sz="4" w:space="0" w:color="auto"/>
            </w:tcBorders>
            <w:shd w:val="clear" w:color="auto" w:fill="auto"/>
          </w:tcPr>
          <w:p w:rsidR="004C1EBA" w:rsidRPr="001437BB" w:rsidP="004C1EBA">
            <w:pPr>
              <w:pStyle w:val="CSBody0"/>
              <w:rPr>
                <w:lang w:val="de-DE"/>
              </w:rPr>
            </w:pPr>
            <w:r>
              <w:rPr>
                <w:lang w:val="de-DE"/>
              </w:rPr>
              <w:t>Zwei weitere Divisionen – Global Markets und Investment Banking and Capital Markets – werden diese regionalen Geschäftsbereiche unterstützen. Die beiden Divisionen werden von verschiedenen speziellen Funktionsbereichen auf der Ebene des Group Executive Board unterstützt. So gibt es die neue Funktion eines Chief Operating Officer, dessen Aufgabe es ist, die Umwandlung der Credit Suisse in eine dezentralere Organisation voranzutreiben, und die neue Funktion eines Chief Compliance and Regulatory Affairs Officer, der die strategischen und immer wichtigeren Beziehungen der CSG zu den Regulatoren weltweit koordiniert.</w:t>
            </w:r>
          </w:p>
        </w:tc>
      </w:tr>
      <w:tr w:rsidTr="004C1EBA">
        <w:tblPrEx>
          <w:tblW w:w="5002" w:type="pct"/>
          <w:tblLayout w:type="fixed"/>
          <w:tblLook w:val="00A0"/>
        </w:tblPrEx>
        <w:tc>
          <w:tcPr>
            <w:tcW w:w="2499" w:type="pct"/>
            <w:gridSpan w:val="5"/>
            <w:tcBorders>
              <w:right w:val="single" w:sz="4" w:space="0" w:color="auto"/>
            </w:tcBorders>
          </w:tcPr>
          <w:p w:rsidR="004C1EBA" w:rsidRPr="0060354A" w:rsidP="004C1EBA">
            <w:pPr>
              <w:pStyle w:val="CSBody0"/>
            </w:pPr>
            <w:r w:rsidRPr="0060354A">
              <w:t>In addition, CSG will form a Strategic Resolution Unit (</w:t>
            </w:r>
            <w:r w:rsidR="003B00F3">
              <w:t>"</w:t>
            </w:r>
            <w:r w:rsidRPr="0060354A">
              <w:rPr>
                <w:b/>
              </w:rPr>
              <w:t>SRU</w:t>
            </w:r>
            <w:r w:rsidR="00BF7214">
              <w:t>"</w:t>
            </w:r>
            <w:r w:rsidRPr="0060354A">
              <w:t>) with accountability, governance and reporting that will oversee the wind-down of Credit Suisse’s portfolios that do not fit CSG’s strategic direction, including those in the current non-strategic units. Specifically, it will facilitate the right-sizing of the Investment Banking division and focus on the wind-down of non-core assets, take over exposures that do not fit in the parameters of the right-sized Investment Banking division or strategic goals of other business divisions and provide a platform for the restructuring of client centric and strategic but capital inefficient businesses.</w:t>
            </w:r>
          </w:p>
        </w:tc>
        <w:tc>
          <w:tcPr>
            <w:tcW w:w="2501" w:type="pct"/>
            <w:gridSpan w:val="8"/>
            <w:tcBorders>
              <w:left w:val="single" w:sz="4" w:space="0" w:color="auto"/>
            </w:tcBorders>
            <w:shd w:val="clear" w:color="auto" w:fill="auto"/>
          </w:tcPr>
          <w:p w:rsidR="004C1EBA" w:rsidRPr="00F97BD5" w:rsidP="004C1EBA">
            <w:pPr>
              <w:pStyle w:val="CSBody0"/>
              <w:rPr>
                <w:lang w:val="de-DE"/>
              </w:rPr>
            </w:pPr>
            <w:r w:rsidRPr="0060354A">
              <w:rPr>
                <w:lang w:val="de-DE"/>
              </w:rPr>
              <w:t>Darüber hinaus wird die CSG eine strategische Abwicklungseinheit (</w:t>
            </w:r>
            <w:r w:rsidRPr="0060354A">
              <w:rPr>
                <w:i/>
                <w:lang w:val="de-DE"/>
              </w:rPr>
              <w:t>Strategic Resolution Unit</w:t>
            </w:r>
            <w:r w:rsidRPr="0060354A">
              <w:rPr>
                <w:lang w:val="de-DE"/>
              </w:rPr>
              <w:t>; "</w:t>
            </w:r>
            <w:r w:rsidRPr="0060354A">
              <w:rPr>
                <w:b/>
                <w:lang w:val="de-DE"/>
              </w:rPr>
              <w:t>SRU</w:t>
            </w:r>
            <w:r w:rsidRPr="0060354A">
              <w:rPr>
                <w:lang w:val="de-DE"/>
              </w:rPr>
              <w:t>") mit Rechnungslegung, Unternehmensführung und Berichtswesen schaffen, die für die Abwicklung derjenigen Portfolios der Credit Suisse zuständig ist, die nicht in die strategische Ausrichtung der CSG passen, darunter auch die Portfolios in den nicht strategischen Einheiten. Konkret wird die Einheit bei der Redimensionierung der Division Investment Banking mitwirken und sich auf die Abwicklung von nicht zum Kernvermögen gehörenden Vermögenswerten konzentrieren, Risiken übernehmen, die nicht zu d</w:t>
            </w:r>
            <w:r w:rsidRPr="005C5842">
              <w:rPr>
                <w:lang w:val="de-DE"/>
              </w:rPr>
              <w:t>en für die Redimensionierung der Division</w:t>
            </w:r>
            <w:r w:rsidRPr="0060354A">
              <w:rPr>
                <w:lang w:val="de-DE"/>
              </w:rPr>
              <w:t xml:space="preserve"> Investment Banking angesetzten Parametern oder den strategischen Zielen der übrigen Geschäftsdivisionen passen, und eine Plattform für die Restrukturierung von Geschäftsbereichen bieten, die zwar kundenzentriert und strategisch bedeutsam sind, aber einen ineffizienten Kapitaleinsatz verzeichnen.</w:t>
            </w:r>
          </w:p>
        </w:tc>
      </w:tr>
      <w:tr w:rsidTr="004C1EBA">
        <w:tblPrEx>
          <w:tblW w:w="5002" w:type="pct"/>
          <w:tblLayout w:type="fixed"/>
          <w:tblLook w:val="00A0"/>
        </w:tblPrEx>
        <w:tc>
          <w:tcPr>
            <w:tcW w:w="2499" w:type="pct"/>
            <w:gridSpan w:val="5"/>
            <w:tcBorders>
              <w:right w:val="single" w:sz="4" w:space="0" w:color="auto"/>
            </w:tcBorders>
          </w:tcPr>
          <w:p w:rsidR="004C1EBA" w:rsidRPr="0060354A" w:rsidP="004C1EBA">
            <w:pPr>
              <w:pStyle w:val="CSBody0"/>
            </w:pPr>
            <w:r w:rsidRPr="0060354A">
              <w:t>Reflecting the new management structure, beginning in the fourth quarter 2015, CSG’s financial reporting will be presented as six reporting segments, including the new SRU. A simplified Corporate Center will be presented inclusive of overall costs of shared services, providing transparency of the pre- and post-allocated view of these costs. Residual Corporate Center financial results will primarily comprise the central corporate costs, the legal entity programme and a modest amount of accounting asymmetry.</w:t>
            </w:r>
          </w:p>
        </w:tc>
        <w:tc>
          <w:tcPr>
            <w:tcW w:w="2501" w:type="pct"/>
            <w:gridSpan w:val="8"/>
            <w:tcBorders>
              <w:left w:val="single" w:sz="4" w:space="0" w:color="auto"/>
            </w:tcBorders>
            <w:shd w:val="clear" w:color="auto" w:fill="auto"/>
          </w:tcPr>
          <w:p w:rsidR="004C1EBA" w:rsidRPr="00230BD1" w:rsidP="004C1EBA">
            <w:pPr>
              <w:pStyle w:val="CSBody0"/>
              <w:rPr>
                <w:lang w:val="de-DE"/>
              </w:rPr>
            </w:pPr>
            <w:r w:rsidRPr="00203B0E">
              <w:rPr>
                <w:lang w:val="de-DE"/>
              </w:rPr>
              <w:t>In Umsetzung der neuen Managementstruktur wird das Finanzreporting der CSG ab dem vierten Quartal 2015 in sechs Berichtssegmenten</w:t>
            </w:r>
            <w:r w:rsidRPr="007F2E0F">
              <w:rPr>
                <w:lang w:val="de-DE"/>
              </w:rPr>
              <w:t xml:space="preserve">, darunter </w:t>
            </w:r>
            <w:r w:rsidRPr="005C5842">
              <w:rPr>
                <w:lang w:val="de-DE"/>
              </w:rPr>
              <w:t>auch die neue SRU, dargestellt. Das Corporate Center wird vereinfacht präsentiert unter Einbeziehung der Gesamtkosten der Shared Services, wodurch eine transparente Darstellung dieser Kosten vor und nach Umlage ermöglicht wird. In die verbleibenden Finanzergebnisse des Corporate Center fliessen hauptsächlich die zentralen Kosten des Unternehmens, das Programm zur Anpassung der Rechtsstruktur sowie in geringem Umfang Rechnungslegungsasymmetrien ein.</w:t>
            </w:r>
          </w:p>
        </w:tc>
      </w:tr>
      <w:tr w:rsidTr="004C1EBA">
        <w:tblPrEx>
          <w:tblW w:w="5002" w:type="pct"/>
          <w:tblLayout w:type="fixed"/>
          <w:tblLook w:val="00A0"/>
        </w:tblPrEx>
        <w:tc>
          <w:tcPr>
            <w:tcW w:w="2499" w:type="pct"/>
            <w:gridSpan w:val="5"/>
            <w:tcBorders>
              <w:right w:val="single" w:sz="4" w:space="0" w:color="auto"/>
            </w:tcBorders>
          </w:tcPr>
          <w:p w:rsidR="004C1EBA" w:rsidRPr="00F87142" w:rsidP="004C1EBA">
            <w:pPr>
              <w:pStyle w:val="CSBody0"/>
            </w:pPr>
            <w:r w:rsidRPr="00F87142">
              <w:t xml:space="preserve">Much of what is disclosed and incorporated by reference into this Document is historical financial and operational information (including detailed descriptions of our former business divisions) that does not reflect the comprehensive changes in CSG’s strategic direction and organizational structure described above. </w:t>
            </w:r>
          </w:p>
        </w:tc>
        <w:tc>
          <w:tcPr>
            <w:tcW w:w="2501" w:type="pct"/>
            <w:gridSpan w:val="8"/>
            <w:tcBorders>
              <w:left w:val="single" w:sz="4" w:space="0" w:color="auto"/>
            </w:tcBorders>
            <w:shd w:val="clear" w:color="auto" w:fill="auto"/>
          </w:tcPr>
          <w:p w:rsidR="004C1EBA" w:rsidRPr="005640C7" w:rsidP="004C1EBA">
            <w:pPr>
              <w:pStyle w:val="CSBody0"/>
              <w:rPr>
                <w:lang w:val="de-DE"/>
              </w:rPr>
            </w:pPr>
            <w:r>
              <w:rPr>
                <w:lang w:val="de-DE"/>
              </w:rPr>
              <w:t>Ein Grossteil der in diesem Dokument offengelegten bzw. durch Verweis darin einbezogenen Angaben sind historische finanzielle und operationelle Informationen (einschliesslich der detaillierten Beschreibungen unserer früheren Geschäftsdivisionen), in denen die vorstehend beschriebenen umfassenden Änderungen in der strategischen Ausrichtung und Organi</w:t>
            </w:r>
            <w:r>
              <w:rPr>
                <w:lang w:val="de-DE"/>
              </w:rPr>
              <w:softHyphen/>
              <w:t xml:space="preserve">sationsstruktur der CSG nicht berücksichtigt sind. </w:t>
            </w:r>
          </w:p>
        </w:tc>
      </w:tr>
      <w:tr w:rsidTr="004C1EBA">
        <w:tblPrEx>
          <w:tblW w:w="5002" w:type="pct"/>
          <w:tblLayout w:type="fixed"/>
          <w:tblLook w:val="00A0"/>
        </w:tblPrEx>
        <w:tc>
          <w:tcPr>
            <w:tcW w:w="2499" w:type="pct"/>
            <w:gridSpan w:val="5"/>
            <w:tcBorders>
              <w:right w:val="single" w:sz="4" w:space="0" w:color="auto"/>
            </w:tcBorders>
          </w:tcPr>
          <w:p w:rsidR="00782654" w:rsidRPr="00BD6E0D" w:rsidP="004C1EBA">
            <w:pPr>
              <w:pStyle w:val="CSBody0"/>
              <w:rPr>
                <w:b/>
              </w:rPr>
            </w:pPr>
            <w:r>
              <w:rPr>
                <w:b/>
              </w:rPr>
              <w:t xml:space="preserve">CSG </w:t>
            </w:r>
            <w:r>
              <w:rPr>
                <w:b/>
              </w:rPr>
              <w:t>Capital Increase</w:t>
            </w:r>
            <w:r>
              <w:rPr>
                <w:b/>
              </w:rPr>
              <w:t>s</w:t>
            </w:r>
          </w:p>
        </w:tc>
        <w:tc>
          <w:tcPr>
            <w:tcW w:w="2501" w:type="pct"/>
            <w:gridSpan w:val="8"/>
            <w:tcBorders>
              <w:left w:val="single" w:sz="4" w:space="0" w:color="auto"/>
            </w:tcBorders>
            <w:shd w:val="clear" w:color="auto" w:fill="auto"/>
          </w:tcPr>
          <w:p w:rsidR="00782654" w:rsidRPr="00BD6E0D" w:rsidP="004C1EBA">
            <w:pPr>
              <w:pStyle w:val="CSBody0"/>
              <w:rPr>
                <w:b/>
                <w:lang w:val="de-DE"/>
              </w:rPr>
            </w:pPr>
            <w:r>
              <w:rPr>
                <w:b/>
                <w:lang w:val="de-DE"/>
              </w:rPr>
              <w:t>CSG-</w:t>
            </w:r>
            <w:r>
              <w:rPr>
                <w:b/>
                <w:lang w:val="de-DE"/>
              </w:rPr>
              <w:t>Kapitalerhöhung</w:t>
            </w:r>
            <w:r>
              <w:rPr>
                <w:b/>
                <w:lang w:val="de-DE"/>
              </w:rPr>
              <w:t>en</w:t>
            </w:r>
          </w:p>
        </w:tc>
      </w:tr>
      <w:tr w:rsidTr="004C1EBA">
        <w:tblPrEx>
          <w:tblW w:w="5002" w:type="pct"/>
          <w:tblLayout w:type="fixed"/>
          <w:tblLook w:val="00A0"/>
        </w:tblPrEx>
        <w:tc>
          <w:tcPr>
            <w:tcW w:w="2499" w:type="pct"/>
            <w:gridSpan w:val="5"/>
            <w:tcBorders>
              <w:right w:val="single" w:sz="4" w:space="0" w:color="auto"/>
            </w:tcBorders>
          </w:tcPr>
          <w:p w:rsidR="00782654" w:rsidRPr="00F87142" w:rsidP="004C1EBA">
            <w:pPr>
              <w:pStyle w:val="CSBody0"/>
            </w:pPr>
            <w:r w:rsidRPr="00A328C9">
              <w:t xml:space="preserve">On 19 November 2015, CSG’s shareholders approved at an extraordinary general meeting the two ordinary share capital increases (the </w:t>
            </w:r>
            <w:r w:rsidR="00ED5E9C">
              <w:t>"</w:t>
            </w:r>
            <w:r w:rsidRPr="00A328C9">
              <w:t>Capital Increases</w:t>
            </w:r>
            <w:r w:rsidR="00BF7214">
              <w:t>"</w:t>
            </w:r>
            <w:r w:rsidRPr="00A328C9">
              <w:t xml:space="preserve">) with respect to (i) an ordinary capital increase by way of a private placement of newly issued shares to a number of qualified investors and (ii) an ordinary capital increase by way of a rights offering of newly issued shares to existing shareholders (the </w:t>
            </w:r>
            <w:r w:rsidR="00ED5E9C">
              <w:t>"</w:t>
            </w:r>
            <w:r w:rsidRPr="006A142F">
              <w:rPr>
                <w:b/>
              </w:rPr>
              <w:t>Rights Offering</w:t>
            </w:r>
            <w:r w:rsidR="00BF7214">
              <w:t>"</w:t>
            </w:r>
            <w:r w:rsidRPr="00A328C9">
              <w:t>). CSG intends to use the net proceeds from the Rights Offering to increase the CET1 capital of Credit Suisse.</w:t>
            </w:r>
          </w:p>
        </w:tc>
        <w:tc>
          <w:tcPr>
            <w:tcW w:w="2501" w:type="pct"/>
            <w:gridSpan w:val="8"/>
            <w:tcBorders>
              <w:left w:val="single" w:sz="4" w:space="0" w:color="auto"/>
            </w:tcBorders>
            <w:shd w:val="clear" w:color="auto" w:fill="auto"/>
          </w:tcPr>
          <w:p w:rsidR="00782654">
            <w:pPr>
              <w:pStyle w:val="CSBody0"/>
              <w:rPr>
                <w:lang w:val="de-DE"/>
              </w:rPr>
            </w:pPr>
            <w:r w:rsidRPr="00A328C9">
              <w:rPr>
                <w:lang w:val="de-DE"/>
              </w:rPr>
              <w:t>Am 19. November 2015 genehmigten die Aktionäre der CSG bei einer ausserordentlichen Generalversammlung die zwei folgenden ordentlichen Kapitalerhöhungen (die "</w:t>
            </w:r>
            <w:r w:rsidRPr="006A142F">
              <w:rPr>
                <w:b/>
                <w:lang w:val="de-DE"/>
              </w:rPr>
              <w:t>Kapitalerhöhungen</w:t>
            </w:r>
            <w:r w:rsidRPr="00A328C9">
              <w:rPr>
                <w:lang w:val="de-DE"/>
              </w:rPr>
              <w:t>"): (i) eine ordentliche Kapitalerhöhung im Wege einer Privatplatzierung neu ausgegebener Aktien bei einigen qualifizierten Investoren sowie (ii) eine ordentliche Kapitalerhöhung durch ein Bezugsrechtsangebot über neu ausgegebene Aktien an bestehende Aktionäre (das "</w:t>
            </w:r>
            <w:r w:rsidRPr="006A142F">
              <w:rPr>
                <w:b/>
                <w:lang w:val="de-DE"/>
              </w:rPr>
              <w:t>Bezugsrechtsangebot</w:t>
            </w:r>
            <w:r w:rsidRPr="00A328C9">
              <w:rPr>
                <w:lang w:val="de-DE"/>
              </w:rPr>
              <w:t>"). Die CSG beabsichtigt, den Nettoerlös aus dem Bezugsrechtsangebot zur Stärkung des harten Kernkapitals (CET1) der Credit Suisse zu verwenden.</w:t>
            </w:r>
          </w:p>
        </w:tc>
      </w:tr>
      <w:tr w:rsidTr="004C1EBA">
        <w:tblPrEx>
          <w:tblW w:w="5002" w:type="pct"/>
          <w:tblLayout w:type="fixed"/>
          <w:tblLook w:val="00A0"/>
        </w:tblPrEx>
        <w:tc>
          <w:tcPr>
            <w:tcW w:w="2499" w:type="pct"/>
            <w:gridSpan w:val="5"/>
            <w:tcBorders>
              <w:right w:val="single" w:sz="4" w:space="0" w:color="auto"/>
            </w:tcBorders>
          </w:tcPr>
          <w:p w:rsidR="00782654" w:rsidRPr="00F87142" w:rsidP="004C1EBA">
            <w:pPr>
              <w:pStyle w:val="CSBody0"/>
            </w:pPr>
            <w:r w:rsidRPr="00A328C9">
              <w:t>On 20 November 2015, CSG completed the capital increase described in clause (i) in the paragraph above by way of a private placement of 58,000,000 newly-issued shares to a number of qualified investors, which were listed and admitted for trading on the SIX Swiss Exchange as of 23 November 2015. On 3 December 2015, CSG completed the capital increase described in clause (ii) in the paragraph above.</w:t>
            </w:r>
          </w:p>
        </w:tc>
        <w:tc>
          <w:tcPr>
            <w:tcW w:w="2501" w:type="pct"/>
            <w:gridSpan w:val="8"/>
            <w:tcBorders>
              <w:left w:val="single" w:sz="4" w:space="0" w:color="auto"/>
            </w:tcBorders>
            <w:shd w:val="clear" w:color="auto" w:fill="auto"/>
          </w:tcPr>
          <w:p w:rsidR="00782654">
            <w:pPr>
              <w:pStyle w:val="CSBody0"/>
              <w:rPr>
                <w:lang w:val="de-DE"/>
              </w:rPr>
            </w:pPr>
            <w:r w:rsidRPr="00A328C9">
              <w:rPr>
                <w:lang w:val="de-DE"/>
              </w:rPr>
              <w:t>Am 20. November 2015 führte die CSG die im vorstehenden Absatz in Ziffer (i) näher bezeichnete Kapitalerhöhung in Form einer Privatplatzierung von 58.000.000 neu ausgegebenen Aktien, die zum 23. November 2015 an der SIX Swiss Exchange notiert und zum Handel zugelassen wurden, bei einigen qualifizierten Investoren durch. Am 3. Dezember 2015 führte die CSG die im vorstehenden Absatz unter Ziffer (ii) näher bezeichnete Kapitalerhöhung durch.</w:t>
            </w:r>
          </w:p>
        </w:tc>
      </w:tr>
      <w:tr w:rsidTr="004C1EBA">
        <w:tblPrEx>
          <w:tblW w:w="5002" w:type="pct"/>
          <w:tblLayout w:type="fixed"/>
          <w:tblLook w:val="00A0"/>
        </w:tblPrEx>
        <w:tc>
          <w:tcPr>
            <w:tcW w:w="2499" w:type="pct"/>
            <w:gridSpan w:val="5"/>
            <w:tcBorders>
              <w:right w:val="single" w:sz="4" w:space="0" w:color="auto"/>
            </w:tcBorders>
          </w:tcPr>
          <w:p w:rsidR="00A328C9" w:rsidRPr="00F87142" w:rsidP="004C1EBA">
            <w:pPr>
              <w:pStyle w:val="CSBody0"/>
            </w:pPr>
            <w:r w:rsidRPr="00A328C9">
              <w:t>On 3 December 2015, CSG announced the results of the Rights Offering. By the end of the exercise period related to the Rights Offering on 3 December 2015, 12:00 CET, 99.0% of the rights had been exercised and thus 258,445,328 newly issued shares were subscribed. The 2,538,570 new shares that were not subscribed were sold in the market. The newly issued shares from the Rights Offering were listed and admitted for trading on the SIX Swiss Exchange as of 4 December 2015.</w:t>
            </w:r>
          </w:p>
        </w:tc>
        <w:tc>
          <w:tcPr>
            <w:tcW w:w="2501" w:type="pct"/>
            <w:gridSpan w:val="8"/>
            <w:tcBorders>
              <w:left w:val="single" w:sz="4" w:space="0" w:color="auto"/>
            </w:tcBorders>
            <w:shd w:val="clear" w:color="auto" w:fill="auto"/>
          </w:tcPr>
          <w:p w:rsidR="00A328C9" w:rsidP="004C1EBA">
            <w:pPr>
              <w:pStyle w:val="CSBody0"/>
              <w:rPr>
                <w:lang w:val="de-DE"/>
              </w:rPr>
            </w:pPr>
            <w:r w:rsidRPr="00A328C9">
              <w:rPr>
                <w:lang w:val="de-DE"/>
              </w:rPr>
              <w:t>Am 3. Dezember 2015 gab die CSG das Ergebnis des Bezugsrechtsangebots bekannt. Bis zum Ende der Ausübungsfrist für die Bezugsrechte am 3. Dezember 2015 um 12:00 Uhr MEZ wurden 99,0 % der Bezugsrechte ausgeübt und somit 258.445.328 neu ausgegebene Aktien gezeichnet. Die nicht gezeichneten 2.538.570 neuen Aktien wurden am Markt verkauft. Die aus dem Bezugsrechtsangebot hervorgegangenen neu ausgegebenen Aktien wurden zum 4. Dezember 2015 an der SIX Swiss Exchange notiert und zum Handel zugelassen.</w:t>
            </w:r>
          </w:p>
        </w:tc>
      </w:tr>
      <w:tr w:rsidTr="004C1EBA">
        <w:tblPrEx>
          <w:tblW w:w="5002" w:type="pct"/>
          <w:tblBorders>
            <w:bottom w:val="single" w:sz="4" w:space="0" w:color="auto"/>
            <w:insideV w:val="single" w:sz="4" w:space="0" w:color="auto"/>
          </w:tblBorders>
          <w:tblLayout w:type="fixed"/>
          <w:tblLook w:val="00A0"/>
        </w:tblPrEx>
        <w:tc>
          <w:tcPr>
            <w:tcW w:w="2499" w:type="pct"/>
            <w:gridSpan w:val="5"/>
          </w:tcPr>
          <w:p w:rsidR="004C1EBA" w:rsidRPr="0083513B" w:rsidP="004C1EBA">
            <w:pPr>
              <w:pStyle w:val="CSBody10ptbold"/>
            </w:pPr>
            <w:r w:rsidRPr="0083513B">
              <w:t>Management</w:t>
            </w:r>
          </w:p>
        </w:tc>
        <w:tc>
          <w:tcPr>
            <w:tcW w:w="2501" w:type="pct"/>
            <w:gridSpan w:val="8"/>
            <w:shd w:val="clear" w:color="auto" w:fill="auto"/>
          </w:tcPr>
          <w:p w:rsidR="004C1EBA" w:rsidRPr="0083513B" w:rsidP="004C1EBA">
            <w:pPr>
              <w:pStyle w:val="CSBody10ptbold"/>
              <w:rPr>
                <w:lang w:val="de-CH"/>
              </w:rPr>
            </w:pPr>
            <w:r w:rsidRPr="0083513B">
              <w:rPr>
                <w:lang w:val="de-CH"/>
              </w:rPr>
              <w:t>Management</w:t>
            </w:r>
          </w:p>
        </w:tc>
      </w:tr>
      <w:tr w:rsidTr="004C1EBA">
        <w:tblPrEx>
          <w:tblW w:w="5002" w:type="pct"/>
          <w:tblBorders>
            <w:bottom w:val="single" w:sz="4" w:space="0" w:color="auto"/>
            <w:insideV w:val="single" w:sz="4" w:space="0" w:color="auto"/>
          </w:tblBorders>
          <w:tblLayout w:type="fixed"/>
          <w:tblLook w:val="00A0"/>
        </w:tblPrEx>
        <w:tc>
          <w:tcPr>
            <w:tcW w:w="2499" w:type="pct"/>
            <w:gridSpan w:val="5"/>
          </w:tcPr>
          <w:p w:rsidR="004C1EBA" w:rsidRPr="0083513B" w:rsidP="004C1EBA">
            <w:pPr>
              <w:pStyle w:val="CSBodyBold0"/>
            </w:pPr>
            <w:r w:rsidRPr="0083513B">
              <w:t>Board of Directors of Credit Suisse</w:t>
            </w:r>
          </w:p>
        </w:tc>
        <w:tc>
          <w:tcPr>
            <w:tcW w:w="2501" w:type="pct"/>
            <w:gridSpan w:val="8"/>
            <w:shd w:val="clear" w:color="auto" w:fill="auto"/>
          </w:tcPr>
          <w:p w:rsidR="004C1EBA" w:rsidRPr="0083513B" w:rsidP="004C1EBA">
            <w:pPr>
              <w:pStyle w:val="CSBodyBold0"/>
              <w:rPr>
                <w:lang w:val="de-CH"/>
              </w:rPr>
            </w:pPr>
            <w:r w:rsidRPr="0083513B">
              <w:rPr>
                <w:lang w:val="de-CH"/>
              </w:rPr>
              <w:t>Verwaltungsrat der Credit Suisse</w:t>
            </w:r>
          </w:p>
        </w:tc>
      </w:tr>
      <w:tr w:rsidTr="004C1EBA">
        <w:tblPrEx>
          <w:tblW w:w="5002" w:type="pct"/>
          <w:tblBorders>
            <w:bottom w:val="single" w:sz="4" w:space="0" w:color="auto"/>
            <w:insideV w:val="single" w:sz="4" w:space="0" w:color="auto"/>
          </w:tblBorders>
          <w:tblLayout w:type="fixed"/>
          <w:tblLook w:val="00A0"/>
        </w:tblPrEx>
        <w:tc>
          <w:tcPr>
            <w:tcW w:w="2499" w:type="pct"/>
            <w:gridSpan w:val="5"/>
          </w:tcPr>
          <w:p w:rsidR="004C1EBA" w:rsidRPr="0083513B">
            <w:pPr>
              <w:pStyle w:val="CSBody0"/>
              <w:jc w:val="left"/>
            </w:pPr>
            <w:r w:rsidRPr="0083513B">
              <w:t xml:space="preserve">As of </w:t>
            </w:r>
            <w:r w:rsidR="006E3537">
              <w:rPr>
                <w:rFonts w:cs="Dutch801BT-Roman"/>
              </w:rPr>
              <w:t>21</w:t>
            </w:r>
            <w:r w:rsidRPr="00F41F66" w:rsidR="006E3537">
              <w:rPr>
                <w:rFonts w:cs="Dutch801BT-Roman"/>
              </w:rPr>
              <w:t> </w:t>
            </w:r>
            <w:r>
              <w:rPr>
                <w:rFonts w:cs="Dutch801BT-Roman"/>
              </w:rPr>
              <w:t>December</w:t>
            </w:r>
            <w:r w:rsidRPr="0083513B">
              <w:t>, 201</w:t>
            </w:r>
            <w:r>
              <w:t>5</w:t>
            </w:r>
            <w:r w:rsidRPr="0083513B">
              <w:t>, the members of the Board of D</w:t>
            </w:r>
            <w:r>
              <w:t>irectors of Credit Suisse (the "</w:t>
            </w:r>
            <w:r w:rsidRPr="0083513B">
              <w:rPr>
                <w:b/>
              </w:rPr>
              <w:t>Board</w:t>
            </w:r>
            <w:r>
              <w:t>"</w:t>
            </w:r>
            <w:r w:rsidRPr="0083513B">
              <w:t xml:space="preserve">) are: </w:t>
            </w:r>
          </w:p>
        </w:tc>
        <w:tc>
          <w:tcPr>
            <w:tcW w:w="2501" w:type="pct"/>
            <w:gridSpan w:val="8"/>
            <w:shd w:val="clear" w:color="auto" w:fill="auto"/>
          </w:tcPr>
          <w:p w:rsidR="004C1EBA" w:rsidRPr="00190CFF">
            <w:pPr>
              <w:pStyle w:val="CSBody0"/>
              <w:rPr>
                <w:lang w:val="de-DE"/>
              </w:rPr>
            </w:pPr>
            <w:r w:rsidRPr="001437BB">
              <w:rPr>
                <w:lang w:val="de-DE"/>
              </w:rPr>
              <w:t xml:space="preserve">Zum </w:t>
            </w:r>
            <w:r w:rsidR="006E3537">
              <w:rPr>
                <w:lang w:val="de-DE"/>
              </w:rPr>
              <w:t>21.</w:t>
            </w:r>
            <w:r w:rsidRPr="00B55BCC" w:rsidR="006E3537">
              <w:rPr>
                <w:lang w:val="de-DE"/>
              </w:rPr>
              <w:t> </w:t>
            </w:r>
            <w:r>
              <w:rPr>
                <w:lang w:val="de-DE"/>
              </w:rPr>
              <w:t>Dezember</w:t>
            </w:r>
            <w:r w:rsidRPr="001437BB">
              <w:rPr>
                <w:lang w:val="de-DE"/>
              </w:rPr>
              <w:t xml:space="preserve"> 2015 gehören folgende Personen dem Verwaltungsrat der Credit Suisse (der </w:t>
            </w:r>
            <w:r>
              <w:rPr>
                <w:lang w:val="de-DE"/>
              </w:rPr>
              <w:t>"</w:t>
            </w:r>
            <w:r w:rsidRPr="001437BB">
              <w:rPr>
                <w:b/>
                <w:lang w:val="de-DE"/>
              </w:rPr>
              <w:t>Verwaltungsrat</w:t>
            </w:r>
            <w:r>
              <w:rPr>
                <w:lang w:val="de-DE"/>
              </w:rPr>
              <w:t>"</w:t>
            </w:r>
            <w:r w:rsidRPr="001437BB">
              <w:rPr>
                <w:lang w:val="de-DE"/>
              </w:rPr>
              <w:t xml:space="preserve">) </w:t>
            </w:r>
            <w:r w:rsidRPr="00190CFF">
              <w:rPr>
                <w:lang w:val="de-DE"/>
              </w:rPr>
              <w:t xml:space="preserve">an: </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de-DE"/>
              </w:rPr>
            </w:pPr>
            <w:r w:rsidRPr="0083513B">
              <w:rPr>
                <w:lang w:val="de-DE"/>
              </w:rPr>
              <w:t>Name</w:t>
            </w:r>
          </w:p>
        </w:tc>
        <w:tc>
          <w:tcPr>
            <w:tcW w:w="1257" w:type="pct"/>
            <w:gridSpan w:val="2"/>
          </w:tcPr>
          <w:p w:rsidR="004C1EBA" w:rsidRPr="0083513B" w:rsidP="004C1EBA">
            <w:pPr>
              <w:pStyle w:val="csbody00"/>
              <w:rPr>
                <w:lang w:val="de-DE"/>
              </w:rPr>
            </w:pPr>
            <w:r w:rsidRPr="0083513B">
              <w:rPr>
                <w:lang w:val="de-DE"/>
              </w:rPr>
              <w:t>Business address/Geschäfts-adresse</w:t>
            </w:r>
          </w:p>
        </w:tc>
        <w:tc>
          <w:tcPr>
            <w:tcW w:w="1260" w:type="pct"/>
            <w:gridSpan w:val="5"/>
            <w:shd w:val="clear" w:color="auto" w:fill="auto"/>
          </w:tcPr>
          <w:p w:rsidR="004C1EBA" w:rsidRPr="0083513B" w:rsidP="004C1EBA">
            <w:pPr>
              <w:pStyle w:val="csbody00"/>
              <w:rPr>
                <w:lang w:val="de-DE"/>
              </w:rPr>
            </w:pPr>
            <w:r w:rsidRPr="0083513B">
              <w:rPr>
                <w:lang w:val="de-DE"/>
              </w:rPr>
              <w:t>Position held</w:t>
            </w:r>
          </w:p>
        </w:tc>
        <w:tc>
          <w:tcPr>
            <w:tcW w:w="1242" w:type="pct"/>
            <w:gridSpan w:val="3"/>
            <w:shd w:val="clear" w:color="auto" w:fill="auto"/>
          </w:tcPr>
          <w:p w:rsidR="004C1EBA" w:rsidRPr="0083513B" w:rsidP="004C1EBA">
            <w:pPr>
              <w:pStyle w:val="csbody00"/>
              <w:rPr>
                <w:lang w:val="de-DE"/>
              </w:rPr>
            </w:pPr>
            <w:r w:rsidRPr="0083513B">
              <w:rPr>
                <w:lang w:val="de-DE"/>
              </w:rPr>
              <w:t>Ausgeübte Funktion</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r w:rsidRPr="00324233">
              <w:rPr>
                <w:lang w:val="de-CH"/>
              </w:rPr>
              <w:t>Urs Rohner</w:t>
            </w:r>
          </w:p>
        </w:tc>
        <w:tc>
          <w:tcPr>
            <w:tcW w:w="1257" w:type="pct"/>
            <w:gridSpan w:val="2"/>
          </w:tcPr>
          <w:p w:rsidR="004C1EBA" w:rsidRPr="00324233" w:rsidP="004C1EBA">
            <w:pPr>
              <w:pStyle w:val="csbody00"/>
              <w:jc w:val="left"/>
              <w:rPr>
                <w:lang w:val="de-CH"/>
              </w:rPr>
            </w:pPr>
            <w:r w:rsidRPr="00324233">
              <w:rPr>
                <w:lang w:val="de-CH"/>
              </w:rPr>
              <w:t>Credit Suisse AG</w:t>
            </w:r>
            <w:r w:rsidRPr="00324233">
              <w:rPr>
                <w:lang w:val="de-CH"/>
              </w:rPr>
              <w:br/>
              <w:t>Paradeplatz 8</w:t>
            </w:r>
            <w:r w:rsidRPr="00324233">
              <w:rPr>
                <w:lang w:val="de-CH"/>
              </w:rPr>
              <w:br/>
              <w:t>8001 Zurich</w:t>
            </w:r>
            <w:r>
              <w:rPr>
                <w:lang w:val="de-CH"/>
              </w:rPr>
              <w:br/>
            </w:r>
            <w:r w:rsidRPr="002B7A3C">
              <w:rPr>
                <w:lang w:val="de-CH"/>
              </w:rP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pPr>
            <w:r w:rsidRPr="000B6820">
              <w:rPr>
                <w:bCs/>
                <w:lang w:val="en-US" w:eastAsia="de-CH"/>
              </w:rPr>
              <w:t xml:space="preserve">2004–present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7733D5" w:rsidP="004C1EBA">
            <w:pPr>
              <w:pStyle w:val="csbody00"/>
            </w:pPr>
            <w:r w:rsidRPr="00013FD4">
              <w:rPr>
                <w:bCs/>
                <w:lang w:val="de-DE" w:eastAsia="de-CH"/>
              </w:rPr>
              <w:t>2004 bis heute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A00CF5" w:rsidP="004C1EBA">
            <w:pPr>
              <w:pStyle w:val="csbody00"/>
              <w:ind w:left="720"/>
              <w:rPr>
                <w:b/>
                <w:bCs/>
                <w:lang w:val="en-US" w:eastAsia="de-CH"/>
              </w:rPr>
            </w:pPr>
            <w:r w:rsidRPr="00A00CF5">
              <w:rPr>
                <w:bCs/>
                <w:lang w:val="en-US" w:eastAsia="de-CH"/>
              </w:rPr>
              <w:t>Credit</w:t>
            </w:r>
            <w:r w:rsidRPr="00A00CF5">
              <w:rPr>
                <w:color w:val="000000"/>
                <w:lang w:val="en-US" w:eastAsia="en-GB"/>
              </w:rPr>
              <w:t xml:space="preserve"> </w:t>
            </w:r>
            <w:r w:rsidRPr="00A00CF5">
              <w:rPr>
                <w:bCs/>
                <w:lang w:val="en-US" w:eastAsia="de-CH"/>
              </w:rPr>
              <w:t>Suisse</w:t>
            </w:r>
            <w:r w:rsidRPr="00A00CF5">
              <w:rPr>
                <w:bCs/>
                <w:i/>
                <w:lang w:val="en-US" w:eastAsia="de-CH"/>
              </w:rPr>
              <w:t xml:space="preserve"> </w:t>
            </w:r>
          </w:p>
        </w:tc>
        <w:tc>
          <w:tcPr>
            <w:tcW w:w="1242" w:type="pct"/>
            <w:gridSpan w:val="3"/>
            <w:shd w:val="clear" w:color="auto" w:fill="auto"/>
          </w:tcPr>
          <w:p w:rsidR="004C1EBA" w:rsidRPr="00013FD4" w:rsidP="004C1EBA">
            <w:pPr>
              <w:pStyle w:val="csbody00"/>
              <w:ind w:left="720"/>
              <w:rPr>
                <w:b/>
                <w:bCs/>
                <w:lang w:val="de-DE" w:eastAsia="de-CH"/>
              </w:rPr>
            </w:pPr>
            <w:r w:rsidRPr="00A00CF5">
              <w:rPr>
                <w:bCs/>
                <w:lang w:val="de-DE" w:eastAsia="de-CH"/>
              </w:rPr>
              <w:t>Credit</w:t>
            </w:r>
            <w:r w:rsidRPr="00A00CF5">
              <w:rPr>
                <w:color w:val="000000"/>
                <w:lang w:val="de-DE" w:eastAsia="en-GB"/>
              </w:rPr>
              <w:t xml:space="preserve"> </w:t>
            </w:r>
            <w:r w:rsidRPr="00A00CF5">
              <w:rPr>
                <w:bCs/>
                <w:lang w:val="de-DE" w:eastAsia="de-CH"/>
              </w:rPr>
              <w:t>Suisse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
                <w:bCs/>
                <w:lang w:val="en-US" w:eastAsia="de-CH"/>
              </w:rPr>
            </w:pPr>
            <w:r w:rsidRPr="000B6820">
              <w:rPr>
                <w:bCs/>
                <w:lang w:val="en-US" w:eastAsia="de-CH"/>
              </w:rPr>
              <w:t>Chairman of the Board and the Chairman‘s and Governance</w:t>
            </w:r>
            <w:r w:rsidR="00D622A6">
              <w:rPr>
                <w:bCs/>
                <w:lang w:val="en-US" w:eastAsia="de-CH"/>
              </w:rPr>
              <w:t xml:space="preserve"> </w:t>
            </w:r>
            <w:r w:rsidRPr="000B6820" w:rsidR="00D622A6">
              <w:rPr>
                <w:bCs/>
                <w:lang w:val="en-US" w:eastAsia="de-CH"/>
              </w:rPr>
              <w:t>Committee (2011–present)</w:t>
            </w:r>
          </w:p>
        </w:tc>
        <w:tc>
          <w:tcPr>
            <w:tcW w:w="1242" w:type="pct"/>
            <w:gridSpan w:val="3"/>
            <w:shd w:val="clear" w:color="auto" w:fill="auto"/>
          </w:tcPr>
          <w:p w:rsidR="004C1EBA" w:rsidRPr="00144049" w:rsidP="004C1EBA">
            <w:pPr>
              <w:pStyle w:val="csbody00"/>
              <w:ind w:left="720"/>
              <w:rPr>
                <w:b/>
                <w:bCs/>
                <w:lang w:val="de-DE" w:eastAsia="de-CH"/>
              </w:rPr>
            </w:pPr>
            <w:r w:rsidRPr="00013FD4">
              <w:rPr>
                <w:bCs/>
                <w:lang w:val="de-DE" w:eastAsia="de-CH"/>
              </w:rPr>
              <w:t xml:space="preserve">Präsident des Verwaltungsrats und Vorsitzender des Chairman‘s and Governance </w:t>
            </w:r>
            <w:r w:rsidRPr="00D622A6" w:rsidR="00D622A6">
              <w:rPr>
                <w:bCs/>
                <w:lang w:val="de-DE" w:eastAsia="de-CH"/>
              </w:rPr>
              <w:t>Committee (2011 bis heute)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Vice-Chair of the Board and member of the Chairman‘s and Governance Committee (2009–2011)</w:t>
            </w:r>
          </w:p>
        </w:tc>
        <w:tc>
          <w:tcPr>
            <w:tcW w:w="1242" w:type="pct"/>
            <w:gridSpan w:val="3"/>
            <w:shd w:val="clear" w:color="auto" w:fill="auto"/>
          </w:tcPr>
          <w:p w:rsidR="004C1EBA" w:rsidRPr="003E6647" w:rsidP="004C1EBA">
            <w:pPr>
              <w:pStyle w:val="csbody00"/>
              <w:ind w:left="720"/>
              <w:rPr>
                <w:bCs/>
                <w:lang w:val="de-DE" w:eastAsia="de-CH"/>
              </w:rPr>
            </w:pPr>
            <w:r w:rsidRPr="00013FD4">
              <w:rPr>
                <w:bCs/>
                <w:lang w:val="de-DE" w:eastAsia="de-CH"/>
              </w:rPr>
              <w:t xml:space="preserve">Vize-Präsident des Verwaltungsrats und Mitglied des Chairman‘s and Governance Committee </w:t>
            </w:r>
            <w:r w:rsidRPr="003E6647">
              <w:rPr>
                <w:bCs/>
                <w:lang w:val="de-DE" w:eastAsia="de-CH"/>
              </w:rPr>
              <w:t>(2009–2011)</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Member of the Risk Committee (2009–2011)</w:t>
            </w:r>
          </w:p>
        </w:tc>
        <w:tc>
          <w:tcPr>
            <w:tcW w:w="1242" w:type="pct"/>
            <w:gridSpan w:val="3"/>
            <w:shd w:val="clear" w:color="auto" w:fill="auto"/>
          </w:tcPr>
          <w:p w:rsidR="004C1EBA" w:rsidRPr="00013FD4" w:rsidP="004C1EBA">
            <w:pPr>
              <w:pStyle w:val="csbody00"/>
              <w:ind w:left="720"/>
              <w:rPr>
                <w:bCs/>
                <w:lang w:val="de-DE" w:eastAsia="de-CH"/>
              </w:rPr>
            </w:pPr>
            <w:r>
              <w:rPr>
                <w:bCs/>
                <w:lang w:val="en-US" w:eastAsia="de-CH"/>
              </w:rPr>
              <w:t xml:space="preserve">Mitglied des </w:t>
            </w:r>
            <w:r w:rsidRPr="000B6820">
              <w:rPr>
                <w:bCs/>
                <w:lang w:val="en-US" w:eastAsia="de-CH"/>
              </w:rPr>
              <w:t>Risk Committee (2009–2011)</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pPr>
              <w:pStyle w:val="csbody00"/>
              <w:ind w:left="720"/>
              <w:rPr>
                <w:bCs/>
                <w:lang w:val="en-US" w:eastAsia="de-CH"/>
              </w:rPr>
            </w:pPr>
            <w:r w:rsidRPr="000B6820">
              <w:rPr>
                <w:bCs/>
                <w:lang w:val="en-US" w:eastAsia="de-CH"/>
              </w:rPr>
              <w:t>COO of C</w:t>
            </w:r>
            <w:r>
              <w:rPr>
                <w:bCs/>
                <w:lang w:val="en-US" w:eastAsia="de-CH"/>
              </w:rPr>
              <w:t xml:space="preserve">redit </w:t>
            </w:r>
            <w:r w:rsidRPr="000B6820">
              <w:rPr>
                <w:bCs/>
                <w:lang w:val="en-US" w:eastAsia="de-CH"/>
              </w:rPr>
              <w:t>S</w:t>
            </w:r>
            <w:r>
              <w:rPr>
                <w:bCs/>
                <w:lang w:val="en-US" w:eastAsia="de-CH"/>
              </w:rPr>
              <w:t>uisse</w:t>
            </w:r>
            <w:r w:rsidRPr="000B6820">
              <w:rPr>
                <w:bCs/>
                <w:lang w:val="en-US" w:eastAsia="de-CH"/>
              </w:rPr>
              <w:t xml:space="preserve"> (2006–2009)</w:t>
            </w:r>
          </w:p>
        </w:tc>
        <w:tc>
          <w:tcPr>
            <w:tcW w:w="1242" w:type="pct"/>
            <w:gridSpan w:val="3"/>
            <w:shd w:val="clear" w:color="auto" w:fill="auto"/>
          </w:tcPr>
          <w:p w:rsidR="004C1EBA" w:rsidRPr="003E6647">
            <w:pPr>
              <w:pStyle w:val="csbody00"/>
              <w:ind w:left="720"/>
              <w:rPr>
                <w:bCs/>
                <w:lang w:val="de-DE" w:eastAsia="de-CH"/>
              </w:rPr>
            </w:pPr>
            <w:r w:rsidRPr="000B6820">
              <w:rPr>
                <w:bCs/>
                <w:lang w:val="en-US" w:eastAsia="de-CH"/>
              </w:rPr>
              <w:t xml:space="preserve">COO </w:t>
            </w:r>
            <w:r>
              <w:rPr>
                <w:bCs/>
                <w:lang w:val="en-US" w:eastAsia="de-CH"/>
              </w:rPr>
              <w:t>der</w:t>
            </w:r>
            <w:r w:rsidRPr="000B6820">
              <w:rPr>
                <w:bCs/>
                <w:lang w:val="en-US" w:eastAsia="de-CH"/>
              </w:rPr>
              <w:t xml:space="preserve"> C</w:t>
            </w:r>
            <w:r>
              <w:rPr>
                <w:bCs/>
                <w:lang w:val="en-US" w:eastAsia="de-CH"/>
              </w:rPr>
              <w:t xml:space="preserve">redit </w:t>
            </w:r>
            <w:r w:rsidRPr="000B6820">
              <w:rPr>
                <w:bCs/>
                <w:lang w:val="en-US" w:eastAsia="de-CH"/>
              </w:rPr>
              <w:t>S</w:t>
            </w:r>
            <w:r>
              <w:rPr>
                <w:bCs/>
                <w:lang w:val="en-US" w:eastAsia="de-CH"/>
              </w:rPr>
              <w:t>uisse</w:t>
            </w:r>
            <w:r w:rsidRPr="000B6820">
              <w:rPr>
                <w:bCs/>
                <w:lang w:val="en-US" w:eastAsia="de-CH"/>
              </w:rPr>
              <w:t xml:space="preserve"> (2006–2009)</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pPr>
              <w:pStyle w:val="csbody00"/>
              <w:ind w:left="720"/>
              <w:rPr>
                <w:bCs/>
                <w:lang w:val="en-US" w:eastAsia="de-CH"/>
              </w:rPr>
            </w:pPr>
            <w:r w:rsidRPr="000B6820">
              <w:rPr>
                <w:bCs/>
                <w:lang w:val="en-US" w:eastAsia="de-CH"/>
              </w:rPr>
              <w:t>General Counsel of C</w:t>
            </w:r>
            <w:r>
              <w:rPr>
                <w:bCs/>
                <w:lang w:val="en-US" w:eastAsia="de-CH"/>
              </w:rPr>
              <w:t xml:space="preserve">redit </w:t>
            </w:r>
            <w:r w:rsidRPr="000B6820">
              <w:rPr>
                <w:bCs/>
                <w:lang w:val="en-US" w:eastAsia="de-CH"/>
              </w:rPr>
              <w:t>S</w:t>
            </w:r>
            <w:r>
              <w:rPr>
                <w:bCs/>
                <w:lang w:val="en-US" w:eastAsia="de-CH"/>
              </w:rPr>
              <w:t>uisse</w:t>
            </w:r>
            <w:r w:rsidRPr="000B6820">
              <w:rPr>
                <w:bCs/>
                <w:lang w:val="en-US" w:eastAsia="de-CH"/>
              </w:rPr>
              <w:t xml:space="preserve"> (2005–2009)</w:t>
            </w:r>
          </w:p>
        </w:tc>
        <w:tc>
          <w:tcPr>
            <w:tcW w:w="1242" w:type="pct"/>
            <w:gridSpan w:val="3"/>
            <w:shd w:val="clear" w:color="auto" w:fill="auto"/>
          </w:tcPr>
          <w:p w:rsidR="004C1EBA" w:rsidRPr="00144049">
            <w:pPr>
              <w:pStyle w:val="csbody00"/>
              <w:ind w:left="720"/>
              <w:rPr>
                <w:bCs/>
                <w:lang w:eastAsia="de-CH"/>
              </w:rPr>
            </w:pPr>
            <w:r w:rsidRPr="000B6820">
              <w:rPr>
                <w:bCs/>
                <w:lang w:val="en-US" w:eastAsia="de-CH"/>
              </w:rPr>
              <w:t xml:space="preserve">General Counsel </w:t>
            </w:r>
            <w:r>
              <w:rPr>
                <w:bCs/>
                <w:lang w:val="en-US" w:eastAsia="de-CH"/>
              </w:rPr>
              <w:t>der</w:t>
            </w:r>
            <w:r w:rsidRPr="000B6820">
              <w:rPr>
                <w:bCs/>
                <w:lang w:val="en-US" w:eastAsia="de-CH"/>
              </w:rPr>
              <w:t xml:space="preserve"> C</w:t>
            </w:r>
            <w:r>
              <w:rPr>
                <w:bCs/>
                <w:lang w:val="en-US" w:eastAsia="de-CH"/>
              </w:rPr>
              <w:t xml:space="preserve">redit </w:t>
            </w:r>
            <w:r w:rsidRPr="000B6820">
              <w:rPr>
                <w:bCs/>
                <w:lang w:val="en-US" w:eastAsia="de-CH"/>
              </w:rPr>
              <w:t>S</w:t>
            </w:r>
            <w:r>
              <w:rPr>
                <w:bCs/>
                <w:lang w:val="en-US" w:eastAsia="de-CH"/>
              </w:rPr>
              <w:t>uisse</w:t>
            </w:r>
            <w:r w:rsidRPr="000B6820">
              <w:rPr>
                <w:bCs/>
                <w:lang w:val="en-US" w:eastAsia="de-CH"/>
              </w:rPr>
              <w:t xml:space="preserve"> (2005–2009)</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pPr>
          </w:p>
        </w:tc>
        <w:tc>
          <w:tcPr>
            <w:tcW w:w="1257" w:type="pct"/>
            <w:gridSpan w:val="2"/>
          </w:tcPr>
          <w:p w:rsidR="004C1EBA" w:rsidRPr="00144049" w:rsidP="004C1EBA">
            <w:pPr>
              <w:pStyle w:val="csbody00"/>
            </w:pPr>
          </w:p>
        </w:tc>
        <w:tc>
          <w:tcPr>
            <w:tcW w:w="1260" w:type="pct"/>
            <w:gridSpan w:val="5"/>
          </w:tcPr>
          <w:p w:rsidR="004C1EBA" w:rsidRPr="000B6820">
            <w:pPr>
              <w:pStyle w:val="csbody00"/>
              <w:ind w:left="720"/>
              <w:rPr>
                <w:bCs/>
                <w:lang w:val="en-US" w:eastAsia="de-CH"/>
              </w:rPr>
            </w:pPr>
            <w:r w:rsidRPr="000B6820">
              <w:rPr>
                <w:bCs/>
                <w:lang w:val="en-US" w:eastAsia="de-CH"/>
              </w:rPr>
              <w:t>General Counsel of CSG (2004–2009)</w:t>
            </w:r>
          </w:p>
        </w:tc>
        <w:tc>
          <w:tcPr>
            <w:tcW w:w="1242" w:type="pct"/>
            <w:gridSpan w:val="3"/>
            <w:shd w:val="clear" w:color="auto" w:fill="auto"/>
          </w:tcPr>
          <w:p w:rsidR="004C1EBA" w:rsidRPr="000B6820">
            <w:pPr>
              <w:pStyle w:val="csbody00"/>
              <w:ind w:left="720"/>
              <w:rPr>
                <w:bCs/>
                <w:lang w:val="en-US" w:eastAsia="de-CH"/>
              </w:rPr>
            </w:pPr>
            <w:r w:rsidRPr="00013FD4">
              <w:rPr>
                <w:bCs/>
                <w:lang w:val="de-DE" w:eastAsia="de-CH"/>
              </w:rPr>
              <w:t>General Counsel der CSG (2004–2009)</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pPr>
              <w:pStyle w:val="csbody00"/>
              <w:ind w:left="720"/>
              <w:rPr>
                <w:bCs/>
                <w:lang w:val="en-US" w:eastAsia="de-CH"/>
              </w:rPr>
            </w:pPr>
            <w:r w:rsidRPr="000B6820">
              <w:rPr>
                <w:bCs/>
                <w:lang w:val="en-US" w:eastAsia="de-CH"/>
              </w:rPr>
              <w:t>Member of the C</w:t>
            </w:r>
            <w:r>
              <w:rPr>
                <w:bCs/>
                <w:lang w:val="en-US" w:eastAsia="de-CH"/>
              </w:rPr>
              <w:t xml:space="preserve">redit </w:t>
            </w:r>
            <w:r w:rsidRPr="000B6820">
              <w:rPr>
                <w:bCs/>
                <w:lang w:val="en-US" w:eastAsia="de-CH"/>
              </w:rPr>
              <w:t>S</w:t>
            </w:r>
            <w:r>
              <w:rPr>
                <w:bCs/>
                <w:lang w:val="en-US" w:eastAsia="de-CH"/>
              </w:rPr>
              <w:t>uisse</w:t>
            </w:r>
            <w:r w:rsidRPr="000B6820">
              <w:rPr>
                <w:bCs/>
                <w:lang w:val="en-US" w:eastAsia="de-CH"/>
              </w:rPr>
              <w:t xml:space="preserve"> Executive Board (2005–2009)</w:t>
            </w:r>
          </w:p>
        </w:tc>
        <w:tc>
          <w:tcPr>
            <w:tcW w:w="1242" w:type="pct"/>
            <w:gridSpan w:val="3"/>
            <w:shd w:val="clear" w:color="auto" w:fill="auto"/>
          </w:tcPr>
          <w:p w:rsidR="004C1EBA" w:rsidRPr="00013FD4">
            <w:pPr>
              <w:pStyle w:val="csbody00"/>
              <w:ind w:left="720"/>
              <w:rPr>
                <w:bCs/>
                <w:lang w:val="de-DE" w:eastAsia="de-CH"/>
              </w:rPr>
            </w:pPr>
            <w:r w:rsidRPr="00013FD4">
              <w:rPr>
                <w:bCs/>
                <w:lang w:val="de-DE" w:eastAsia="de-CH"/>
              </w:rPr>
              <w:t>Mitglied der Geschäftsleitung der Credit Suisse (2005–2009)</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pPr>
              <w:pStyle w:val="csbody00"/>
              <w:ind w:left="720"/>
              <w:rPr>
                <w:bCs/>
                <w:lang w:val="en-US" w:eastAsia="de-CH"/>
              </w:rPr>
            </w:pPr>
            <w:r w:rsidRPr="000B6820">
              <w:rPr>
                <w:bCs/>
                <w:lang w:val="en-US" w:eastAsia="de-CH"/>
              </w:rPr>
              <w:t>Member of the CSG Executive Board (2004–2009)</w:t>
            </w:r>
          </w:p>
        </w:tc>
        <w:tc>
          <w:tcPr>
            <w:tcW w:w="1242" w:type="pct"/>
            <w:gridSpan w:val="3"/>
            <w:shd w:val="clear" w:color="auto" w:fill="auto"/>
          </w:tcPr>
          <w:p w:rsidR="004C1EBA" w:rsidRPr="00013FD4">
            <w:pPr>
              <w:pStyle w:val="csbody00"/>
              <w:ind w:left="720"/>
              <w:rPr>
                <w:bCs/>
                <w:lang w:val="de-DE" w:eastAsia="de-CH"/>
              </w:rPr>
            </w:pPr>
            <w:r w:rsidRPr="00013FD4">
              <w:rPr>
                <w:bCs/>
                <w:lang w:val="de-DE" w:eastAsia="de-CH"/>
              </w:rPr>
              <w:t>Mitglied der Geschäftsleitung der CSG (2004–2009)</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bCs/>
                <w:lang w:val="en-US" w:eastAsia="de-CH"/>
              </w:rPr>
              <w:t xml:space="preserve">2000–2004 </w:t>
            </w:r>
          </w:p>
        </w:tc>
        <w:tc>
          <w:tcPr>
            <w:tcW w:w="1242" w:type="pct"/>
            <w:gridSpan w:val="3"/>
            <w:shd w:val="clear" w:color="auto" w:fill="auto"/>
          </w:tcPr>
          <w:p w:rsidR="004C1EBA" w:rsidRPr="00013FD4" w:rsidP="004C1EBA">
            <w:pPr>
              <w:pStyle w:val="csbody00"/>
              <w:rPr>
                <w:bCs/>
                <w:lang w:val="de-DE" w:eastAsia="de-CH"/>
              </w:rPr>
            </w:pPr>
            <w:r w:rsidRPr="00013FD4">
              <w:rPr>
                <w:bCs/>
                <w:lang w:val="de-DE" w:eastAsia="de-CH"/>
              </w:rPr>
              <w:t xml:space="preserve">2000–2004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ProSiebenSat.1 Media AG,</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ProSiebenSat.1 Media AG,</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Chairman of the Executive Board and CEO</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Vorstandsvorsitzender und CEO</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bCs/>
                <w:lang w:val="en-US" w:eastAsia="de-CH"/>
              </w:rPr>
              <w:t xml:space="preserve">1983–1999 </w:t>
            </w:r>
          </w:p>
        </w:tc>
        <w:tc>
          <w:tcPr>
            <w:tcW w:w="1242" w:type="pct"/>
            <w:gridSpan w:val="3"/>
            <w:shd w:val="clear" w:color="auto" w:fill="auto"/>
          </w:tcPr>
          <w:p w:rsidR="004C1EBA" w:rsidRPr="00013FD4" w:rsidP="004C1EBA">
            <w:pPr>
              <w:pStyle w:val="csbody00"/>
              <w:rPr>
                <w:bCs/>
                <w:lang w:val="de-DE" w:eastAsia="de-CH"/>
              </w:rPr>
            </w:pPr>
            <w:r w:rsidRPr="00013FD4">
              <w:rPr>
                <w:bCs/>
                <w:lang w:val="de-DE" w:eastAsia="de-CH"/>
              </w:rPr>
              <w:t xml:space="preserve">1983–1999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Lenz &amp; Staehelin</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Lenz &amp; Staehelin</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Partner (1992–1999)</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Partner (1992–1999)</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Attorney (1983–1988; 1990</w:t>
            </w:r>
            <w:r>
              <w:rPr>
                <w:bCs/>
                <w:lang w:val="en-US" w:eastAsia="de-CH"/>
              </w:rPr>
              <w:t>-</w:t>
            </w:r>
            <w:r w:rsidRPr="000B6820">
              <w:rPr>
                <w:bCs/>
                <w:lang w:val="en-US" w:eastAsia="de-CH"/>
              </w:rPr>
              <w:t>1992)</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Anwalt (1983–1988; 1990–1992)</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bCs/>
                <w:lang w:val="en-US" w:eastAsia="de-CH"/>
              </w:rPr>
              <w:t xml:space="preserve">1988–1989 </w:t>
            </w:r>
          </w:p>
        </w:tc>
        <w:tc>
          <w:tcPr>
            <w:tcW w:w="1242" w:type="pct"/>
            <w:gridSpan w:val="3"/>
            <w:shd w:val="clear" w:color="auto" w:fill="auto"/>
          </w:tcPr>
          <w:p w:rsidR="004C1EBA" w:rsidRPr="00013FD4" w:rsidP="004C1EBA">
            <w:pPr>
              <w:pStyle w:val="csbody00"/>
              <w:rPr>
                <w:bCs/>
                <w:lang w:val="de-DE" w:eastAsia="de-CH"/>
              </w:rPr>
            </w:pPr>
            <w:r w:rsidRPr="00013FD4">
              <w:rPr>
                <w:bCs/>
                <w:lang w:val="de-DE" w:eastAsia="de-CH"/>
              </w:rPr>
              <w:t xml:space="preserve">1988–1989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Sullivan &amp;</w:t>
            </w:r>
            <w:r>
              <w:rPr>
                <w:bCs/>
                <w:lang w:val="en-US" w:eastAsia="de-CH"/>
              </w:rPr>
              <w:t xml:space="preserve"> </w:t>
            </w:r>
            <w:r w:rsidRPr="000B6820">
              <w:rPr>
                <w:bCs/>
                <w:lang w:val="en-US" w:eastAsia="de-CH"/>
              </w:rPr>
              <w:t>Cromwell LLP, New York, attorney</w:t>
            </w:r>
          </w:p>
        </w:tc>
        <w:tc>
          <w:tcPr>
            <w:tcW w:w="1242" w:type="pct"/>
            <w:gridSpan w:val="3"/>
            <w:shd w:val="clear" w:color="auto" w:fill="auto"/>
          </w:tcPr>
          <w:p w:rsidR="004C1EBA" w:rsidRPr="003E6647" w:rsidP="004C1EBA">
            <w:pPr>
              <w:pStyle w:val="csbody00"/>
              <w:ind w:left="720"/>
              <w:rPr>
                <w:bCs/>
                <w:lang w:eastAsia="de-CH"/>
              </w:rPr>
            </w:pPr>
            <w:r w:rsidRPr="003E6647">
              <w:rPr>
                <w:bCs/>
                <w:lang w:eastAsia="de-CH"/>
              </w:rPr>
              <w:t>Sullivan &amp; Cromwell LLP, New York, Anwalt</w:t>
            </w:r>
          </w:p>
        </w:tc>
      </w:tr>
      <w:tr w:rsidTr="00682578">
        <w:tblPrEx>
          <w:tblW w:w="5002" w:type="pct"/>
          <w:tblBorders>
            <w:insideV w:val="single" w:sz="4" w:space="0" w:color="auto"/>
          </w:tblBorders>
          <w:tblLayout w:type="fixed"/>
          <w:tblLook w:val="00A0"/>
        </w:tblPrEx>
        <w:tc>
          <w:tcPr>
            <w:tcW w:w="1242" w:type="pct"/>
            <w:gridSpan w:val="3"/>
          </w:tcPr>
          <w:p w:rsidR="004C1EBA" w:rsidRPr="003E6647" w:rsidP="004C1EBA">
            <w:pPr>
              <w:pStyle w:val="csbody00"/>
            </w:pPr>
          </w:p>
        </w:tc>
        <w:tc>
          <w:tcPr>
            <w:tcW w:w="1257" w:type="pct"/>
            <w:gridSpan w:val="2"/>
          </w:tcPr>
          <w:p w:rsidR="004C1EBA" w:rsidRPr="003E6647" w:rsidP="004C1EBA">
            <w:pPr>
              <w:pStyle w:val="csbody00"/>
            </w:pPr>
          </w:p>
        </w:tc>
        <w:tc>
          <w:tcPr>
            <w:tcW w:w="1260" w:type="pct"/>
            <w:gridSpan w:val="5"/>
          </w:tcPr>
          <w:p w:rsidR="004C1EBA" w:rsidRPr="000B6820" w:rsidP="004C1EBA">
            <w:pPr>
              <w:pStyle w:val="csbody00"/>
              <w:rPr>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D826C3" w:rsidP="004C1EBA">
            <w:pPr>
              <w:pStyle w:val="csbody00"/>
              <w:rPr>
                <w:b/>
                <w:bCs/>
              </w:rPr>
            </w:pPr>
            <w:r w:rsidRPr="00D826C3">
              <w:rPr>
                <w:b/>
                <w:lang w:val="de-DE"/>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3E6647" w:rsidP="004C1EBA">
            <w:pPr>
              <w:pStyle w:val="csbody00"/>
            </w:pPr>
          </w:p>
        </w:tc>
        <w:tc>
          <w:tcPr>
            <w:tcW w:w="1257" w:type="pct"/>
            <w:gridSpan w:val="2"/>
          </w:tcPr>
          <w:p w:rsidR="004C1EBA" w:rsidRPr="003E6647" w:rsidP="004C1EBA">
            <w:pPr>
              <w:pStyle w:val="csbody00"/>
            </w:pPr>
          </w:p>
        </w:tc>
        <w:tc>
          <w:tcPr>
            <w:tcW w:w="1260" w:type="pct"/>
            <w:gridSpan w:val="5"/>
          </w:tcPr>
          <w:p w:rsidR="004C1EBA" w:rsidRPr="000B6820" w:rsidP="004C1EBA">
            <w:pPr>
              <w:pStyle w:val="csbody00"/>
              <w:ind w:left="720"/>
              <w:rPr>
                <w:b/>
                <w:bCs/>
                <w:lang w:val="en-US" w:eastAsia="de-CH"/>
              </w:rPr>
            </w:pPr>
            <w:r w:rsidRPr="000B6820">
              <w:rPr>
                <w:bCs/>
                <w:lang w:val="en-US" w:eastAsia="de-CH"/>
              </w:rPr>
              <w:t>1990 Admission to the bar of the State of New York</w:t>
            </w:r>
          </w:p>
        </w:tc>
        <w:tc>
          <w:tcPr>
            <w:tcW w:w="1242" w:type="pct"/>
            <w:gridSpan w:val="3"/>
            <w:shd w:val="clear" w:color="auto" w:fill="auto"/>
          </w:tcPr>
          <w:p w:rsidR="004C1EBA" w:rsidRPr="00144049" w:rsidP="004C1EBA">
            <w:pPr>
              <w:pStyle w:val="csbody00"/>
              <w:ind w:left="720"/>
              <w:rPr>
                <w:b/>
                <w:lang w:val="de-DE"/>
              </w:rPr>
            </w:pPr>
            <w:r w:rsidRPr="003E6647">
              <w:rPr>
                <w:lang w:val="de-DE"/>
              </w:rPr>
              <w:t xml:space="preserve">1990 Zulassung als </w:t>
            </w:r>
            <w:r w:rsidRPr="007733D5">
              <w:rPr>
                <w:lang w:val="de-DE"/>
              </w:rPr>
              <w:t>Rechtsanwalt im Bundesstaat New York</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144049" w:rsidP="004C1EBA">
            <w:pPr>
              <w:pStyle w:val="csbody00"/>
              <w:rPr>
                <w:lang w:val="de-DE"/>
              </w:rPr>
            </w:pPr>
          </w:p>
        </w:tc>
        <w:tc>
          <w:tcPr>
            <w:tcW w:w="1260" w:type="pct"/>
            <w:gridSpan w:val="5"/>
          </w:tcPr>
          <w:p w:rsidR="004C1EBA" w:rsidRPr="000B6820" w:rsidP="004C1EBA">
            <w:pPr>
              <w:pStyle w:val="csbody00"/>
              <w:ind w:left="720"/>
              <w:rPr>
                <w:bCs/>
                <w:lang w:val="en-US" w:eastAsia="de-CH"/>
              </w:rPr>
            </w:pPr>
            <w:r w:rsidRPr="000B6820">
              <w:rPr>
                <w:bCs/>
                <w:lang w:val="en-US" w:eastAsia="de-CH"/>
              </w:rPr>
              <w:t>1986 Admission to the bar of the Canton of Zurich</w:t>
            </w:r>
          </w:p>
        </w:tc>
        <w:tc>
          <w:tcPr>
            <w:tcW w:w="1242" w:type="pct"/>
            <w:gridSpan w:val="3"/>
            <w:shd w:val="clear" w:color="auto" w:fill="auto"/>
          </w:tcPr>
          <w:p w:rsidR="004C1EBA" w:rsidRPr="003E6647" w:rsidP="004C1EBA">
            <w:pPr>
              <w:pStyle w:val="csbody00"/>
              <w:ind w:left="720"/>
              <w:rPr>
                <w:lang w:val="de-DE"/>
              </w:rPr>
            </w:pPr>
            <w:r w:rsidRPr="007733D5">
              <w:rPr>
                <w:lang w:val="de-DE"/>
              </w:rPr>
              <w:t>1986 Zulassung als Rechtsanwalt im Kanton Zürich</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144049" w:rsidP="004C1EBA">
            <w:pPr>
              <w:pStyle w:val="csbody00"/>
              <w:rPr>
                <w:lang w:val="de-DE"/>
              </w:rPr>
            </w:pPr>
          </w:p>
        </w:tc>
        <w:tc>
          <w:tcPr>
            <w:tcW w:w="1260" w:type="pct"/>
            <w:gridSpan w:val="5"/>
          </w:tcPr>
          <w:p w:rsidR="004C1EBA" w:rsidRPr="000B6820" w:rsidP="004C1EBA">
            <w:pPr>
              <w:pStyle w:val="csbody00"/>
              <w:ind w:left="720"/>
              <w:rPr>
                <w:bCs/>
                <w:lang w:val="en-US" w:eastAsia="de-CH"/>
              </w:rPr>
            </w:pPr>
            <w:r w:rsidRPr="000B6820">
              <w:rPr>
                <w:bCs/>
                <w:lang w:val="en-US" w:eastAsia="de-CH"/>
              </w:rPr>
              <w:t>1983 Degree in Law, University of Zurich, Switzerland</w:t>
            </w:r>
          </w:p>
        </w:tc>
        <w:tc>
          <w:tcPr>
            <w:tcW w:w="1242" w:type="pct"/>
            <w:gridSpan w:val="3"/>
            <w:shd w:val="clear" w:color="auto" w:fill="auto"/>
          </w:tcPr>
          <w:p w:rsidR="004C1EBA" w:rsidRPr="007733D5" w:rsidP="004C1EBA">
            <w:pPr>
              <w:pStyle w:val="csbody00"/>
              <w:ind w:left="720"/>
              <w:rPr>
                <w:lang w:val="de-DE"/>
              </w:rPr>
            </w:pPr>
            <w:r w:rsidRPr="007733D5">
              <w:rPr>
                <w:lang w:val="de-DE"/>
              </w:rPr>
              <w:t>1983 Hochschulab</w:t>
            </w:r>
            <w:r>
              <w:rPr>
                <w:lang w:val="de-DE"/>
              </w:rPr>
              <w:t>-</w:t>
            </w:r>
            <w:r w:rsidRPr="007733D5">
              <w:rPr>
                <w:lang w:val="de-DE"/>
              </w:rPr>
              <w:t>schluss in Rechtswissen</w:t>
            </w:r>
            <w:r>
              <w:rPr>
                <w:lang w:val="de-DE"/>
              </w:rPr>
              <w:t>-</w:t>
            </w:r>
            <w:r w:rsidRPr="007733D5">
              <w:rPr>
                <w:lang w:val="de-DE"/>
              </w:rPr>
              <w:t>schaften, Universität Zürich</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144049" w:rsidP="004C1EBA">
            <w:pPr>
              <w:pStyle w:val="csbody00"/>
              <w:rPr>
                <w:lang w:val="de-DE"/>
              </w:rPr>
            </w:pPr>
          </w:p>
        </w:tc>
        <w:tc>
          <w:tcPr>
            <w:tcW w:w="1260" w:type="pct"/>
            <w:gridSpan w:val="5"/>
          </w:tcPr>
          <w:p w:rsidR="004C1EBA" w:rsidRPr="000B6820" w:rsidP="004C1EBA">
            <w:pPr>
              <w:pStyle w:val="csbody00"/>
              <w:rPr>
                <w:bCs/>
                <w:lang w:val="en-US" w:eastAsia="de-CH"/>
              </w:rPr>
            </w:pPr>
            <w:r w:rsidRPr="000B6820">
              <w:rPr>
                <w:rFonts w:eastAsia="MS Mincho"/>
                <w:b/>
                <w:bCs/>
                <w:lang w:val="en-US" w:eastAsia="de-CH"/>
              </w:rPr>
              <w:t xml:space="preserve">Other </w:t>
            </w:r>
            <w:r w:rsidRPr="00D826C3">
              <w:rPr>
                <w:b/>
                <w:bCs/>
                <w:lang w:val="en-US" w:eastAsia="de-CH"/>
              </w:rPr>
              <w:t>activities</w:t>
            </w:r>
            <w:r w:rsidRPr="000B6820">
              <w:rPr>
                <w:rFonts w:eastAsia="MS Mincho"/>
                <w:b/>
                <w:bCs/>
                <w:lang w:val="en-US" w:eastAsia="de-CH"/>
              </w:rPr>
              <w:t xml:space="preserve"> and functions</w:t>
            </w:r>
          </w:p>
        </w:tc>
        <w:tc>
          <w:tcPr>
            <w:tcW w:w="1242" w:type="pct"/>
            <w:gridSpan w:val="3"/>
            <w:shd w:val="clear" w:color="auto" w:fill="auto"/>
          </w:tcPr>
          <w:p w:rsidR="004C1EBA" w:rsidRPr="007733D5" w:rsidP="004C1EBA">
            <w:pPr>
              <w:pStyle w:val="csbody00"/>
              <w:rPr>
                <w:lang w:val="de-DE"/>
              </w:rPr>
            </w:pPr>
            <w:r w:rsidRPr="007733D5">
              <w:rPr>
                <w:b/>
                <w:lang w:val="de-DE"/>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3E6647" w:rsidP="004C1EBA">
            <w:pPr>
              <w:pStyle w:val="csbody00"/>
            </w:pPr>
          </w:p>
        </w:tc>
        <w:tc>
          <w:tcPr>
            <w:tcW w:w="1257" w:type="pct"/>
            <w:gridSpan w:val="2"/>
          </w:tcPr>
          <w:p w:rsidR="004C1EBA" w:rsidRPr="003E6647" w:rsidP="004C1EBA">
            <w:pPr>
              <w:pStyle w:val="csbody00"/>
            </w:pPr>
          </w:p>
        </w:tc>
        <w:tc>
          <w:tcPr>
            <w:tcW w:w="1260" w:type="pct"/>
            <w:gridSpan w:val="5"/>
          </w:tcPr>
          <w:p w:rsidR="004C1EBA" w:rsidRPr="000B6820" w:rsidP="004C1EBA">
            <w:pPr>
              <w:pStyle w:val="csbody00"/>
              <w:rPr>
                <w:b/>
                <w:bCs/>
                <w:lang w:val="en-US" w:eastAsia="de-CH"/>
              </w:rPr>
            </w:pPr>
            <w:r w:rsidRPr="000B6820">
              <w:rPr>
                <w:bCs/>
                <w:lang w:val="en-US" w:eastAsia="de-CH"/>
              </w:rPr>
              <w:t>GlaxoSmithKline plc, board member</w:t>
            </w:r>
          </w:p>
        </w:tc>
        <w:tc>
          <w:tcPr>
            <w:tcW w:w="1242" w:type="pct"/>
            <w:gridSpan w:val="3"/>
            <w:shd w:val="clear" w:color="auto" w:fill="auto"/>
          </w:tcPr>
          <w:p w:rsidR="004C1EBA" w:rsidRPr="007733D5" w:rsidP="004C1EBA">
            <w:pPr>
              <w:pStyle w:val="csbody00"/>
              <w:rPr>
                <w:b/>
                <w:lang w:val="de-DE"/>
              </w:rPr>
            </w:pPr>
            <w:r w:rsidRPr="007733D5">
              <w:rPr>
                <w:lang w:val="de-DE"/>
              </w:rPr>
              <w:t>GlaxoSmithKline plc,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144049" w:rsidP="004C1EBA">
            <w:pPr>
              <w:pStyle w:val="csbody00"/>
              <w:rPr>
                <w:lang w:val="de-DE"/>
              </w:rPr>
            </w:pPr>
          </w:p>
        </w:tc>
        <w:tc>
          <w:tcPr>
            <w:tcW w:w="1260" w:type="pct"/>
            <w:gridSpan w:val="5"/>
          </w:tcPr>
          <w:p w:rsidR="004C1EBA" w:rsidRPr="000B6820" w:rsidP="004C1EBA">
            <w:pPr>
              <w:pStyle w:val="csbody00"/>
              <w:rPr>
                <w:bCs/>
                <w:lang w:val="en-US" w:eastAsia="de-CH"/>
              </w:rPr>
            </w:pPr>
            <w:r w:rsidRPr="000B6820">
              <w:rPr>
                <w:bCs/>
                <w:lang w:val="en-US" w:eastAsia="de-CH"/>
              </w:rPr>
              <w:t xml:space="preserve">University of Zurich Department of Economics, chairman of the advisory board </w:t>
            </w:r>
          </w:p>
        </w:tc>
        <w:tc>
          <w:tcPr>
            <w:tcW w:w="1242" w:type="pct"/>
            <w:gridSpan w:val="3"/>
            <w:shd w:val="clear" w:color="auto" w:fill="auto"/>
          </w:tcPr>
          <w:p w:rsidR="004C1EBA" w:rsidRPr="00CD4970" w:rsidP="004C1EBA">
            <w:pPr>
              <w:pStyle w:val="csbody00"/>
              <w:rPr>
                <w:lang w:val="de-DE"/>
              </w:rPr>
            </w:pPr>
            <w:r w:rsidRPr="007733D5">
              <w:rPr>
                <w:lang w:val="de-DE"/>
              </w:rPr>
              <w:t>Institut für Volkswirtschaftslehre der Universität Zürich, Vorsitzender des Beirats</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144049" w:rsidP="004C1EBA">
            <w:pPr>
              <w:pStyle w:val="csbody00"/>
              <w:rPr>
                <w:lang w:val="de-DE"/>
              </w:rPr>
            </w:pPr>
          </w:p>
        </w:tc>
        <w:tc>
          <w:tcPr>
            <w:tcW w:w="1260" w:type="pct"/>
            <w:gridSpan w:val="5"/>
          </w:tcPr>
          <w:p w:rsidR="004C1EBA" w:rsidRPr="000B6820" w:rsidP="004C1EBA">
            <w:pPr>
              <w:pStyle w:val="csbody00"/>
              <w:rPr>
                <w:bCs/>
                <w:lang w:val="en-US" w:eastAsia="de-CH"/>
              </w:rPr>
            </w:pPr>
            <w:r w:rsidRPr="003434E6">
              <w:rPr>
                <w:bCs/>
                <w:lang w:val="en-US" w:eastAsia="de-CH"/>
              </w:rPr>
              <w:t>International Institute for Management Development (IMD) foundation, board of trustees member</w:t>
            </w:r>
          </w:p>
        </w:tc>
        <w:tc>
          <w:tcPr>
            <w:tcW w:w="1242" w:type="pct"/>
            <w:gridSpan w:val="3"/>
            <w:shd w:val="clear" w:color="auto" w:fill="auto"/>
          </w:tcPr>
          <w:p w:rsidR="004C1EBA" w:rsidRPr="00B55BCC" w:rsidP="004C1EBA">
            <w:pPr>
              <w:pStyle w:val="csbody00"/>
            </w:pPr>
            <w:r w:rsidRPr="003434E6">
              <w:rPr>
                <w:lang w:val="de-DE"/>
              </w:rPr>
              <w:t>International Institute for Management Development (IMD) Foundation, Mitglied des Stiftungsrats</w:t>
            </w:r>
          </w:p>
        </w:tc>
      </w:tr>
      <w:tr w:rsidTr="00682578">
        <w:tblPrEx>
          <w:tblW w:w="5002" w:type="pct"/>
          <w:tblBorders>
            <w:insideV w:val="single" w:sz="4" w:space="0" w:color="auto"/>
          </w:tblBorders>
          <w:tblLayout w:type="fixed"/>
          <w:tblLook w:val="00A0"/>
        </w:tblPrEx>
        <w:tc>
          <w:tcPr>
            <w:tcW w:w="1242" w:type="pct"/>
            <w:gridSpan w:val="3"/>
          </w:tcPr>
          <w:p w:rsidR="004C1EBA" w:rsidRPr="00B55BCC" w:rsidP="004C1EBA">
            <w:pPr>
              <w:pStyle w:val="csbody00"/>
            </w:pPr>
          </w:p>
        </w:tc>
        <w:tc>
          <w:tcPr>
            <w:tcW w:w="1257" w:type="pct"/>
            <w:gridSpan w:val="2"/>
          </w:tcPr>
          <w:p w:rsidR="004C1EBA" w:rsidRPr="00B55BCC" w:rsidP="004C1EBA">
            <w:pPr>
              <w:pStyle w:val="csbody00"/>
            </w:pPr>
          </w:p>
        </w:tc>
        <w:tc>
          <w:tcPr>
            <w:tcW w:w="1260" w:type="pct"/>
            <w:gridSpan w:val="5"/>
          </w:tcPr>
          <w:p w:rsidR="004C1EBA" w:rsidRPr="000B6820" w:rsidP="004C1EBA">
            <w:pPr>
              <w:pStyle w:val="csbody00"/>
              <w:rPr>
                <w:bCs/>
                <w:lang w:val="en-US" w:eastAsia="de-CH"/>
              </w:rPr>
            </w:pPr>
            <w:r w:rsidRPr="000B6820">
              <w:rPr>
                <w:bCs/>
                <w:lang w:val="en-US" w:eastAsia="de-CH"/>
              </w:rPr>
              <w:t>Swiss University Sports Foundation, board of trustees member</w:t>
            </w:r>
          </w:p>
        </w:tc>
        <w:tc>
          <w:tcPr>
            <w:tcW w:w="1242" w:type="pct"/>
            <w:gridSpan w:val="3"/>
            <w:shd w:val="clear" w:color="auto" w:fill="auto"/>
          </w:tcPr>
          <w:p w:rsidR="004C1EBA" w:rsidRPr="00144049" w:rsidP="004C1EBA">
            <w:pPr>
              <w:pStyle w:val="csbody00"/>
              <w:rPr>
                <w:lang w:val="de-DE"/>
              </w:rPr>
            </w:pPr>
            <w:r w:rsidRPr="007733D5">
              <w:rPr>
                <w:lang w:val="de-DE"/>
              </w:rPr>
              <w:t>Swiss University Sports Foundation, Mitglied des Stiftungsrats</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144049" w:rsidP="004C1EBA">
            <w:pPr>
              <w:pStyle w:val="csbody00"/>
              <w:rPr>
                <w:lang w:val="de-DE"/>
              </w:rPr>
            </w:pPr>
          </w:p>
        </w:tc>
        <w:tc>
          <w:tcPr>
            <w:tcW w:w="1260" w:type="pct"/>
            <w:gridSpan w:val="5"/>
          </w:tcPr>
          <w:p w:rsidR="004C1EBA" w:rsidRPr="000B6820" w:rsidP="004C1EBA">
            <w:pPr>
              <w:pStyle w:val="csbody00"/>
              <w:rPr>
                <w:bCs/>
                <w:lang w:val="en-US" w:eastAsia="de-CH"/>
              </w:rPr>
            </w:pPr>
            <w:r w:rsidRPr="000B6820">
              <w:rPr>
                <w:bCs/>
                <w:lang w:val="en-US" w:eastAsia="de-CH"/>
              </w:rPr>
              <w:t xml:space="preserve">Mr. Rohner serves as a board, advisory board or board of trustees member in the following organisations in his capacity as Chairman of </w:t>
            </w:r>
            <w:r>
              <w:rPr>
                <w:bCs/>
                <w:lang w:val="en-US" w:eastAsia="de-CH"/>
              </w:rPr>
              <w:t>CSG</w:t>
            </w:r>
            <w:r w:rsidRPr="000B6820">
              <w:rPr>
                <w:bCs/>
                <w:lang w:val="en-US" w:eastAsia="de-CH"/>
              </w:rPr>
              <w:t>: Swiss Bankers Association</w:t>
            </w:r>
            <w:r>
              <w:rPr>
                <w:bCs/>
                <w:lang w:val="en-US" w:eastAsia="de-CH"/>
              </w:rPr>
              <w:t xml:space="preserve"> (Vice-Chairman)</w:t>
            </w:r>
            <w:r w:rsidRPr="000B6820">
              <w:rPr>
                <w:bCs/>
                <w:lang w:val="en-US" w:eastAsia="de-CH"/>
              </w:rPr>
              <w:t>, Swiss Finance Council, Economiesuisse, Avenir Suisse, Alfred Escher Foundation, Lucerne Festival, European Banking Group,</w:t>
            </w:r>
            <w:r w:rsidRPr="006C347A">
              <w:rPr>
                <w:bCs/>
                <w:lang w:val="en-US" w:eastAsia="de-CH"/>
              </w:rPr>
              <w:t xml:space="preserve"> European Financial Services Round Table, Institute</w:t>
            </w:r>
            <w:r>
              <w:rPr>
                <w:bCs/>
                <w:lang w:val="en-US" w:eastAsia="de-CH"/>
              </w:rPr>
              <w:t xml:space="preserve"> </w:t>
            </w:r>
            <w:r w:rsidRPr="000B6820">
              <w:rPr>
                <w:bCs/>
                <w:lang w:val="en-US" w:eastAsia="de-CH"/>
              </w:rPr>
              <w:t>International d’Etudes</w:t>
            </w:r>
            <w:r>
              <w:rPr>
                <w:bCs/>
                <w:lang w:val="en-US" w:eastAsia="de-CH"/>
              </w:rPr>
              <w:t xml:space="preserve"> </w:t>
            </w:r>
            <w:r w:rsidRPr="000B6820">
              <w:rPr>
                <w:bCs/>
                <w:lang w:val="en-US" w:eastAsia="de-CH"/>
              </w:rPr>
              <w:t>Bancaires, Institute</w:t>
            </w:r>
            <w:r>
              <w:rPr>
                <w:bCs/>
                <w:lang w:val="en-US" w:eastAsia="de-CH"/>
              </w:rPr>
              <w:t xml:space="preserve"> o</w:t>
            </w:r>
            <w:r w:rsidRPr="000B6820">
              <w:rPr>
                <w:bCs/>
                <w:lang w:val="en-US" w:eastAsia="de-CH"/>
              </w:rPr>
              <w:t>f International Finance (IIF) and International Business Leaders Advisory Council of the Mayor of Beijing.</w:t>
            </w:r>
          </w:p>
        </w:tc>
        <w:tc>
          <w:tcPr>
            <w:tcW w:w="1242" w:type="pct"/>
            <w:gridSpan w:val="3"/>
            <w:shd w:val="clear" w:color="auto" w:fill="auto"/>
          </w:tcPr>
          <w:p w:rsidR="004C1EBA" w:rsidRPr="00144049" w:rsidP="004C1EBA">
            <w:pPr>
              <w:pStyle w:val="csbody00"/>
              <w:rPr>
                <w:lang w:val="de-DE"/>
              </w:rPr>
            </w:pPr>
            <w:r w:rsidRPr="007733D5">
              <w:rPr>
                <w:lang w:val="de-DE"/>
              </w:rPr>
              <w:t xml:space="preserve">Als Verwaltungsratspräsident der </w:t>
            </w:r>
            <w:r>
              <w:rPr>
                <w:lang w:val="de-DE"/>
              </w:rPr>
              <w:t>CSG</w:t>
            </w:r>
            <w:r w:rsidRPr="007733D5">
              <w:rPr>
                <w:lang w:val="de-DE"/>
              </w:rPr>
              <w:t xml:space="preserve"> übt Urs Rohner in den folgenden Organisationen Funktionen als Mitglied des Verwaltungsrats, Beirats bzw. Stiftungsrats aus: Schweizerische Bankiervereinigung</w:t>
            </w:r>
            <w:r>
              <w:rPr>
                <w:lang w:val="de-DE"/>
              </w:rPr>
              <w:t xml:space="preserve"> (Stellvertretender Vorsitzender)</w:t>
            </w:r>
            <w:r w:rsidRPr="007733D5">
              <w:rPr>
                <w:lang w:val="de-DE"/>
              </w:rPr>
              <w:t>, Swiss Finance Council, Economiesuisse, Avenir Suisse,</w:t>
            </w:r>
            <w:r w:rsidRPr="00D826C3">
              <w:rPr>
                <w:lang w:val="de-DE"/>
              </w:rPr>
              <w:t xml:space="preserve"> Alfred-Escher-Stiftung, Lucerne Festival, European Banking Group, European Financial Services Round Table, Institut International d’Etudes Bancaires, Institute of International Finance (IIF) sowie International Business Leaders Advisory Council des Bürgermeisters von Peking.</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r w:rsidRPr="007B0DFE">
              <w:t>Jassim Bin Hamad J.J.</w:t>
            </w:r>
            <w:r w:rsidRPr="007B0DFE">
              <w:br/>
              <w:t>Al Thani</w:t>
            </w:r>
          </w:p>
        </w:tc>
        <w:tc>
          <w:tcPr>
            <w:tcW w:w="1257" w:type="pct"/>
            <w:gridSpan w:val="2"/>
          </w:tcPr>
          <w:p w:rsidR="004C1EBA" w:rsidRPr="007B0DFE" w:rsidP="004C1EBA">
            <w:pPr>
              <w:pStyle w:val="csbody00"/>
              <w:jc w:val="left"/>
              <w:rPr>
                <w:lang w:val="de-CH"/>
              </w:rPr>
            </w:pPr>
            <w:r w:rsidRPr="007B0DFE">
              <w:rPr>
                <w:lang w:val="de-CH"/>
              </w:rPr>
              <w:t>Credit Suisse AG</w:t>
            </w:r>
            <w:r w:rsidRPr="007B0DFE">
              <w:rPr>
                <w:lang w:val="de-CH"/>
              </w:rPr>
              <w:br/>
              <w:t>Paradeplatz 8</w:t>
            </w:r>
            <w:r w:rsidRPr="007B0DFE">
              <w:rPr>
                <w:lang w:val="de-CH"/>
              </w:rPr>
              <w:br/>
              <w:t>8001 Zurich</w:t>
            </w:r>
            <w:r w:rsidRPr="007B0DFE">
              <w:rPr>
                <w:lang w:val="de-CH"/>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RPr="007B0DFE" w:rsidP="004C1EBA">
            <w:pPr>
              <w:pStyle w:val="csbody00"/>
            </w:pPr>
            <w:r w:rsidRPr="000B6820">
              <w:rPr>
                <w:bCs/>
                <w:lang w:val="en-US" w:eastAsia="de-CH"/>
              </w:rPr>
              <w:t xml:space="preserve">2010–present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83513B" w:rsidP="004C1EBA">
            <w:pPr>
              <w:pStyle w:val="csbody00"/>
              <w:rPr>
                <w:lang w:val="de-CH"/>
              </w:rPr>
            </w:pPr>
            <w:r w:rsidRPr="00013FD4">
              <w:rPr>
                <w:bCs/>
                <w:lang w:val="de-DE" w:eastAsia="de-CH"/>
              </w:rPr>
              <w:t>2010 bis heute</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ind w:left="720"/>
              <w:rPr>
                <w:b/>
                <w:bCs/>
                <w:lang w:val="en-US" w:eastAsia="de-CH"/>
              </w:rPr>
            </w:pPr>
            <w:r w:rsidRPr="000B6820">
              <w:rPr>
                <w:bCs/>
                <w:lang w:val="en-US" w:eastAsia="de-CH"/>
              </w:rPr>
              <w:t>Credit Suisse</w:t>
            </w:r>
          </w:p>
        </w:tc>
        <w:tc>
          <w:tcPr>
            <w:tcW w:w="1242" w:type="pct"/>
            <w:gridSpan w:val="3"/>
            <w:shd w:val="clear" w:color="auto" w:fill="auto"/>
          </w:tcPr>
          <w:p w:rsidR="004C1EBA" w:rsidRPr="00013FD4" w:rsidP="004C1EBA">
            <w:pPr>
              <w:pStyle w:val="csbody00"/>
              <w:ind w:left="720"/>
              <w:rPr>
                <w:b/>
                <w:bCs/>
                <w:lang w:val="de-DE" w:eastAsia="de-CH"/>
              </w:rPr>
            </w:pPr>
            <w:r w:rsidRPr="00013FD4">
              <w:rPr>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Member of the Board</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bCs/>
                <w:lang w:val="en-US" w:eastAsia="de-CH"/>
              </w:rPr>
              <w:t>2004–present</w:t>
            </w:r>
          </w:p>
        </w:tc>
        <w:tc>
          <w:tcPr>
            <w:tcW w:w="1242" w:type="pct"/>
            <w:gridSpan w:val="3"/>
            <w:shd w:val="clear" w:color="auto" w:fill="auto"/>
          </w:tcPr>
          <w:p w:rsidR="004C1EBA" w:rsidRPr="00013FD4" w:rsidP="004C1EBA">
            <w:pPr>
              <w:pStyle w:val="csbody00"/>
              <w:rPr>
                <w:bCs/>
                <w:lang w:val="de-DE" w:eastAsia="de-CH"/>
              </w:rPr>
            </w:pPr>
            <w:r w:rsidRPr="00013FD4">
              <w:rPr>
                <w:bCs/>
                <w:lang w:val="de-DE" w:eastAsia="de-CH"/>
              </w:rPr>
              <w:t>2004 bis heute</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Qatar Islamic Bank</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Qatar Islamic Bank</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Chairman of the board (2005–present)</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Präsident des Verwaltungsrats (2005 bis heute)</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Member of the board (2004–present)</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Mitglied des Verwaltungsrats (2004 bis heute)</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bCs/>
                <w:lang w:val="en-US" w:eastAsia="de-CH"/>
              </w:rPr>
              <w:t xml:space="preserve">1998–present </w:t>
            </w:r>
          </w:p>
        </w:tc>
        <w:tc>
          <w:tcPr>
            <w:tcW w:w="1242" w:type="pct"/>
            <w:gridSpan w:val="3"/>
            <w:shd w:val="clear" w:color="auto" w:fill="auto"/>
          </w:tcPr>
          <w:p w:rsidR="004C1EBA" w:rsidRPr="00013FD4" w:rsidP="004C1EBA">
            <w:pPr>
              <w:pStyle w:val="csbody00"/>
              <w:rPr>
                <w:bCs/>
                <w:lang w:val="de-DE" w:eastAsia="de-CH"/>
              </w:rPr>
            </w:pPr>
            <w:r w:rsidRPr="00013FD4">
              <w:rPr>
                <w:bCs/>
                <w:lang w:val="de-DE" w:eastAsia="de-CH"/>
              </w:rPr>
              <w:t>1998 bis heute</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7B0DFE" w:rsidP="004C1EBA">
            <w:pPr>
              <w:pStyle w:val="csbody00"/>
              <w:rPr>
                <w:lang w:val="de-CH"/>
              </w:rPr>
            </w:pPr>
          </w:p>
        </w:tc>
        <w:tc>
          <w:tcPr>
            <w:tcW w:w="1260" w:type="pct"/>
            <w:gridSpan w:val="5"/>
          </w:tcPr>
          <w:p w:rsidR="004C1EBA" w:rsidRPr="005A78B7" w:rsidP="004C1EBA">
            <w:pPr>
              <w:pStyle w:val="csbody00"/>
              <w:spacing w:after="0"/>
              <w:ind w:left="720"/>
              <w:rPr>
                <w:bCs/>
                <w:lang w:val="es-ES" w:eastAsia="de-CH"/>
              </w:rPr>
            </w:pPr>
            <w:r w:rsidRPr="005A78B7">
              <w:rPr>
                <w:bCs/>
                <w:lang w:val="es-ES" w:eastAsia="de-CH"/>
              </w:rPr>
              <w:t xml:space="preserve">Al Mirqab Capital LLC </w:t>
            </w:r>
          </w:p>
          <w:p w:rsidR="004C1EBA" w:rsidRPr="005A78B7" w:rsidP="004C1EBA">
            <w:pPr>
              <w:pStyle w:val="csbody00"/>
              <w:spacing w:after="0"/>
              <w:ind w:left="720"/>
              <w:rPr>
                <w:bCs/>
                <w:lang w:val="es-ES" w:eastAsia="de-CH"/>
              </w:rPr>
            </w:pPr>
            <w:r w:rsidRPr="005A78B7">
              <w:rPr>
                <w:bCs/>
                <w:lang w:val="es-ES" w:eastAsia="de-CH"/>
              </w:rPr>
              <w:t>CEO (2007–present)</w:t>
            </w:r>
          </w:p>
        </w:tc>
        <w:tc>
          <w:tcPr>
            <w:tcW w:w="1242" w:type="pct"/>
            <w:gridSpan w:val="3"/>
            <w:shd w:val="clear" w:color="auto" w:fill="auto"/>
          </w:tcPr>
          <w:p w:rsidR="004C1EBA" w:rsidRPr="003D7FB1" w:rsidP="004C1EBA">
            <w:pPr>
              <w:pStyle w:val="csbody00"/>
              <w:spacing w:after="0"/>
              <w:ind w:left="720"/>
              <w:rPr>
                <w:bCs/>
                <w:lang w:val="de-DE" w:eastAsia="de-CH"/>
              </w:rPr>
            </w:pPr>
            <w:r w:rsidRPr="00013FD4">
              <w:rPr>
                <w:bCs/>
                <w:lang w:val="de-DE" w:eastAsia="de-CH"/>
              </w:rPr>
              <w:t xml:space="preserve">Al Mirqab Capital </w:t>
            </w:r>
            <w:r w:rsidRPr="003D7FB1">
              <w:rPr>
                <w:bCs/>
                <w:lang w:val="de-DE" w:eastAsia="de-CH"/>
              </w:rPr>
              <w:t xml:space="preserve">LLC </w:t>
            </w:r>
          </w:p>
          <w:p w:rsidR="004C1EBA" w:rsidRPr="00013FD4" w:rsidP="004C1EBA">
            <w:pPr>
              <w:pStyle w:val="csbody00"/>
              <w:spacing w:after="0"/>
              <w:ind w:left="720"/>
              <w:rPr>
                <w:bCs/>
                <w:lang w:val="de-DE" w:eastAsia="de-CH"/>
              </w:rPr>
            </w:pPr>
            <w:r w:rsidRPr="003D7FB1">
              <w:rPr>
                <w:bCs/>
                <w:lang w:val="de-DE" w:eastAsia="de-CH"/>
              </w:rPr>
              <w:t>Präsident</w:t>
            </w:r>
            <w:r w:rsidRPr="00013FD4">
              <w:rPr>
                <w:bCs/>
                <w:lang w:val="de-DE" w:eastAsia="de-CH"/>
              </w:rPr>
              <w:t xml:space="preserve"> des Verwaltungsrats </w:t>
            </w:r>
            <w:r w:rsidRPr="00A67FAC">
              <w:rPr>
                <w:bCs/>
                <w:lang w:val="de-DE" w:eastAsia="de-CH"/>
              </w:rPr>
              <w:t>(2007 bis heute)</w:t>
            </w:r>
          </w:p>
        </w:tc>
      </w:tr>
      <w:tr w:rsidTr="00682578">
        <w:tblPrEx>
          <w:tblW w:w="5002" w:type="pct"/>
          <w:tblBorders>
            <w:insideV w:val="single" w:sz="4" w:space="0" w:color="auto"/>
          </w:tblBorders>
          <w:tblLayout w:type="fixed"/>
          <w:tblLook w:val="00A0"/>
        </w:tblPrEx>
        <w:tc>
          <w:tcPr>
            <w:tcW w:w="1242" w:type="pct"/>
            <w:gridSpan w:val="3"/>
          </w:tcPr>
          <w:p w:rsidR="004C1EBA" w:rsidRPr="00D826C3" w:rsidP="004C1EBA">
            <w:pPr>
              <w:pStyle w:val="csbody00"/>
              <w:rPr>
                <w:lang w:val="de-DE"/>
              </w:rPr>
            </w:pPr>
          </w:p>
        </w:tc>
        <w:tc>
          <w:tcPr>
            <w:tcW w:w="1257" w:type="pct"/>
            <w:gridSpan w:val="2"/>
          </w:tcPr>
          <w:p w:rsidR="004C1EBA" w:rsidRPr="007B0DFE" w:rsidP="004C1EBA">
            <w:pPr>
              <w:pStyle w:val="csbody00"/>
              <w:rPr>
                <w:lang w:val="de-CH"/>
              </w:rPr>
            </w:pPr>
          </w:p>
        </w:tc>
        <w:tc>
          <w:tcPr>
            <w:tcW w:w="1260" w:type="pct"/>
            <w:gridSpan w:val="5"/>
          </w:tcPr>
          <w:p w:rsidR="004C1EBA" w:rsidRPr="00D826C3" w:rsidP="004C1EBA">
            <w:pPr>
              <w:pStyle w:val="csbody00"/>
              <w:ind w:left="735"/>
              <w:rPr>
                <w:bCs/>
                <w:lang w:val="de-DE" w:eastAsia="de-CH"/>
              </w:rPr>
            </w:pPr>
            <w:r w:rsidRPr="000B6820">
              <w:rPr>
                <w:bCs/>
                <w:lang w:val="en-US" w:eastAsia="de-CH"/>
              </w:rPr>
              <w:t>Member of senior management (1998–2007)</w:t>
            </w:r>
          </w:p>
        </w:tc>
        <w:tc>
          <w:tcPr>
            <w:tcW w:w="1242" w:type="pct"/>
            <w:gridSpan w:val="3"/>
            <w:shd w:val="clear" w:color="auto" w:fill="auto"/>
          </w:tcPr>
          <w:p w:rsidR="004C1EBA" w:rsidRPr="00013FD4" w:rsidP="004C1EBA">
            <w:pPr>
              <w:pStyle w:val="csbody00"/>
              <w:ind w:left="673"/>
              <w:rPr>
                <w:bCs/>
                <w:lang w:val="de-DE" w:eastAsia="de-CH"/>
              </w:rPr>
            </w:pPr>
            <w:r w:rsidRPr="00013FD4">
              <w:rPr>
                <w:bCs/>
                <w:lang w:val="de-DE" w:eastAsia="de-CH"/>
              </w:rPr>
              <w:t>Mitglied des Führungsstabs (1998 bis 2007)</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BB3A82" w:rsidP="004C1EBA">
            <w:pPr>
              <w:pStyle w:val="csbody00"/>
              <w:rPr>
                <w:b/>
                <w:bCs/>
                <w:lang w:val="de-DE"/>
              </w:rPr>
            </w:pPr>
            <w:r w:rsidRPr="00BB3A82">
              <w:rPr>
                <w:b/>
                <w:bCs/>
                <w:lang w:val="de-DE"/>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rPr>
                <w:b/>
                <w:bCs/>
                <w:lang w:val="en-US" w:eastAsia="de-CH"/>
              </w:rPr>
            </w:pPr>
            <w:r w:rsidRPr="000B6820">
              <w:rPr>
                <w:bCs/>
                <w:lang w:val="en-US" w:eastAsia="de-CH"/>
              </w:rPr>
              <w:t>1998 Graduated as an Officer Cadet from the</w:t>
            </w:r>
            <w:r>
              <w:rPr>
                <w:bCs/>
                <w:lang w:val="en-US" w:eastAsia="de-CH"/>
              </w:rPr>
              <w:t xml:space="preserve"> </w:t>
            </w:r>
            <w:r w:rsidRPr="000B6820">
              <w:rPr>
                <w:bCs/>
                <w:lang w:val="en-US" w:eastAsia="de-CH"/>
              </w:rPr>
              <w:t>Royal Military Academy in England</w:t>
            </w:r>
          </w:p>
        </w:tc>
        <w:tc>
          <w:tcPr>
            <w:tcW w:w="1242" w:type="pct"/>
            <w:gridSpan w:val="3"/>
            <w:shd w:val="clear" w:color="auto" w:fill="auto"/>
          </w:tcPr>
          <w:p w:rsidR="004C1EBA" w:rsidRPr="00A67FAC" w:rsidP="004C1EBA">
            <w:pPr>
              <w:pStyle w:val="csbody00"/>
              <w:rPr>
                <w:b/>
                <w:bCs/>
                <w:lang w:eastAsia="de-CH"/>
              </w:rPr>
            </w:pPr>
            <w:r w:rsidRPr="00CD4970">
              <w:rPr>
                <w:bCs/>
                <w:lang w:eastAsia="de-CH"/>
              </w:rPr>
              <w:t>1998 Abschluss als Officer Cadet der Royal Military Academy in England</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A67FAC" w:rsidP="004C1EBA">
            <w:pPr>
              <w:pStyle w:val="csbody00"/>
            </w:pPr>
          </w:p>
        </w:tc>
        <w:tc>
          <w:tcPr>
            <w:tcW w:w="1260" w:type="pct"/>
            <w:gridSpan w:val="5"/>
          </w:tcPr>
          <w:p w:rsidR="004C1EBA" w:rsidRPr="00F13C59" w:rsidP="004C1EBA">
            <w:pPr>
              <w:pStyle w:val="csbody00"/>
              <w:rPr>
                <w:rFonts w:eastAsia="MS Mincho"/>
                <w:b/>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A67FAC" w:rsidP="004C1EBA">
            <w:pPr>
              <w:pStyle w:val="csbody00"/>
              <w:rPr>
                <w:bCs/>
              </w:rPr>
            </w:pPr>
            <w:r w:rsidRPr="00A67FAC">
              <w:rPr>
                <w:bCs/>
                <w:lang w:val="de-DE"/>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A67FAC" w:rsidP="004C1EBA">
            <w:pPr>
              <w:pStyle w:val="csbody00"/>
            </w:pPr>
          </w:p>
        </w:tc>
        <w:tc>
          <w:tcPr>
            <w:tcW w:w="1260" w:type="pct"/>
            <w:gridSpan w:val="5"/>
          </w:tcPr>
          <w:p w:rsidR="004C1EBA" w:rsidRPr="000B6820" w:rsidP="004C1EBA">
            <w:pPr>
              <w:pStyle w:val="csbody00"/>
              <w:rPr>
                <w:b/>
                <w:bCs/>
                <w:lang w:val="en-US" w:eastAsia="de-CH"/>
              </w:rPr>
            </w:pPr>
            <w:r w:rsidRPr="000B6820">
              <w:rPr>
                <w:bCs/>
                <w:lang w:val="en-US" w:eastAsia="de-CH"/>
              </w:rPr>
              <w:t>Q-RE LLC, chairman</w:t>
            </w:r>
          </w:p>
        </w:tc>
        <w:tc>
          <w:tcPr>
            <w:tcW w:w="1242" w:type="pct"/>
            <w:gridSpan w:val="3"/>
            <w:shd w:val="clear" w:color="auto" w:fill="auto"/>
          </w:tcPr>
          <w:p w:rsidR="004C1EBA" w:rsidRPr="00013FD4" w:rsidP="004C1EBA">
            <w:pPr>
              <w:pStyle w:val="csbody00"/>
              <w:rPr>
                <w:b/>
                <w:bCs/>
                <w:lang w:val="de-DE" w:eastAsia="de-CH"/>
              </w:rPr>
            </w:pPr>
            <w:r w:rsidRPr="00CD4970">
              <w:rPr>
                <w:bCs/>
                <w:lang w:val="de-DE" w:eastAsia="de-CH"/>
              </w:rPr>
              <w:t>Q-RE LLC, Präsident</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A67FAC" w:rsidP="004C1EBA">
            <w:pPr>
              <w:pStyle w:val="csbody00"/>
            </w:pPr>
          </w:p>
        </w:tc>
        <w:tc>
          <w:tcPr>
            <w:tcW w:w="1260" w:type="pct"/>
            <w:gridSpan w:val="5"/>
          </w:tcPr>
          <w:p w:rsidR="004C1EBA" w:rsidRPr="000B6820" w:rsidP="004C1EBA">
            <w:pPr>
              <w:pStyle w:val="csbody00"/>
              <w:rPr>
                <w:bCs/>
                <w:lang w:val="en-US" w:eastAsia="de-CH"/>
              </w:rPr>
            </w:pPr>
            <w:r w:rsidRPr="000B6820">
              <w:rPr>
                <w:bCs/>
                <w:lang w:val="en-US" w:eastAsia="de-CH"/>
              </w:rPr>
              <w:t>Damaan Islamic Insurance Co. (BEEMA), chairman</w:t>
            </w:r>
          </w:p>
        </w:tc>
        <w:tc>
          <w:tcPr>
            <w:tcW w:w="1242" w:type="pct"/>
            <w:gridSpan w:val="3"/>
            <w:shd w:val="clear" w:color="auto" w:fill="auto"/>
          </w:tcPr>
          <w:p w:rsidR="004C1EBA" w:rsidRPr="00A67FAC" w:rsidP="004C1EBA">
            <w:pPr>
              <w:pStyle w:val="csbody00"/>
              <w:rPr>
                <w:bCs/>
                <w:lang w:eastAsia="de-CH"/>
              </w:rPr>
            </w:pPr>
            <w:r w:rsidRPr="000B6820">
              <w:rPr>
                <w:bCs/>
                <w:lang w:val="en-US" w:eastAsia="de-CH"/>
              </w:rPr>
              <w:t xml:space="preserve">Damaan Islamic Insurance </w:t>
            </w:r>
            <w:r w:rsidRPr="00A67FAC">
              <w:rPr>
                <w:bCs/>
                <w:lang w:eastAsia="de-CH"/>
              </w:rPr>
              <w:t>Co. (BEEMA), Präsident</w:t>
            </w:r>
          </w:p>
        </w:tc>
      </w:tr>
      <w:tr w:rsidTr="00682578">
        <w:tblPrEx>
          <w:tblW w:w="5002" w:type="pct"/>
          <w:tblBorders>
            <w:insideV w:val="single" w:sz="4" w:space="0" w:color="auto"/>
          </w:tblBorders>
          <w:tblLayout w:type="fixed"/>
          <w:tblLook w:val="00A0"/>
        </w:tblPrEx>
        <w:tc>
          <w:tcPr>
            <w:tcW w:w="1242" w:type="pct"/>
            <w:gridSpan w:val="3"/>
          </w:tcPr>
          <w:p w:rsidR="004C1EBA" w:rsidRPr="007B0DFE" w:rsidP="004C1EBA">
            <w:pPr>
              <w:pStyle w:val="csbody00"/>
            </w:pPr>
          </w:p>
        </w:tc>
        <w:tc>
          <w:tcPr>
            <w:tcW w:w="1257" w:type="pct"/>
            <w:gridSpan w:val="2"/>
          </w:tcPr>
          <w:p w:rsidR="004C1EBA" w:rsidRPr="00A67FAC" w:rsidP="004C1EBA">
            <w:pPr>
              <w:pStyle w:val="csbody00"/>
            </w:pPr>
          </w:p>
        </w:tc>
        <w:tc>
          <w:tcPr>
            <w:tcW w:w="1260" w:type="pct"/>
            <w:gridSpan w:val="5"/>
          </w:tcPr>
          <w:p w:rsidR="004C1EBA" w:rsidRPr="000B6820" w:rsidP="004C1EBA">
            <w:pPr>
              <w:pStyle w:val="csbody00"/>
              <w:rPr>
                <w:b/>
                <w:bCs/>
                <w:lang w:val="en-US" w:eastAsia="de-CH"/>
              </w:rPr>
            </w:pPr>
            <w:r w:rsidRPr="000B6820">
              <w:rPr>
                <w:bCs/>
                <w:lang w:val="en-US" w:eastAsia="de-CH"/>
              </w:rPr>
              <w:t>QInvest, chairman</w:t>
            </w:r>
          </w:p>
        </w:tc>
        <w:tc>
          <w:tcPr>
            <w:tcW w:w="1242" w:type="pct"/>
            <w:gridSpan w:val="3"/>
            <w:shd w:val="clear" w:color="auto" w:fill="auto"/>
          </w:tcPr>
          <w:p w:rsidR="004C1EBA" w:rsidRPr="00013FD4" w:rsidP="004C1EBA">
            <w:pPr>
              <w:pStyle w:val="csbody00"/>
              <w:rPr>
                <w:b/>
                <w:bCs/>
                <w:lang w:val="de-DE" w:eastAsia="de-CH"/>
              </w:rPr>
            </w:pPr>
            <w:r w:rsidRPr="00013FD4">
              <w:rPr>
                <w:bCs/>
                <w:lang w:val="de-DE" w:eastAsia="de-CH"/>
              </w:rPr>
              <w:t>QInvest, Präsident</w:t>
            </w: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rPr>
                <w:b/>
                <w:bCs/>
                <w:lang w:val="en-US" w:eastAsia="de-CH"/>
              </w:rPr>
            </w:pPr>
            <w:r w:rsidRPr="000B6820">
              <w:rPr>
                <w:bCs/>
                <w:lang w:val="en-US" w:eastAsia="de-CH"/>
              </w:rPr>
              <w:t>Qatar Insurance Company,</w:t>
            </w:r>
            <w:r>
              <w:rPr>
                <w:bCs/>
                <w:lang w:val="en-US" w:eastAsia="de-CH"/>
              </w:rPr>
              <w:t xml:space="preserve"> </w:t>
            </w:r>
            <w:r w:rsidRPr="000B6820">
              <w:rPr>
                <w:bCs/>
                <w:lang w:val="en-US" w:eastAsia="de-CH"/>
              </w:rPr>
              <w:t>board member</w:t>
            </w:r>
          </w:p>
        </w:tc>
        <w:tc>
          <w:tcPr>
            <w:tcW w:w="1242" w:type="pct"/>
            <w:gridSpan w:val="3"/>
            <w:shd w:val="clear" w:color="auto" w:fill="auto"/>
          </w:tcPr>
          <w:p w:rsidR="004C1EBA" w:rsidRPr="00013FD4" w:rsidP="004C1EBA">
            <w:pPr>
              <w:pStyle w:val="csbody00"/>
              <w:rPr>
                <w:b/>
                <w:bCs/>
                <w:lang w:val="de-DE" w:eastAsia="de-CH"/>
              </w:rPr>
            </w:pPr>
            <w:r w:rsidRPr="00013FD4">
              <w:rPr>
                <w:bCs/>
                <w:lang w:val="de-DE" w:eastAsia="de-CH"/>
              </w:rPr>
              <w:t>Qatar Insurance Company, Verwaltungsratsmitglied</w:t>
            </w:r>
          </w:p>
        </w:tc>
      </w:tr>
      <w:tr w:rsidTr="00682578">
        <w:tblPrEx>
          <w:tblW w:w="5002" w:type="pct"/>
          <w:tblBorders>
            <w:insideV w:val="single" w:sz="4" w:space="0" w:color="auto"/>
          </w:tblBorders>
          <w:tblLayout w:type="fixed"/>
          <w:tblLook w:val="00A0"/>
        </w:tblPrEx>
        <w:tc>
          <w:tcPr>
            <w:tcW w:w="1242" w:type="pct"/>
            <w:gridSpan w:val="3"/>
          </w:tcPr>
          <w:p w:rsidR="004C1EBA" w:rsidRPr="00CD4970" w:rsidP="004C1EBA">
            <w:pPr>
              <w:pStyle w:val="csbody00"/>
              <w:rPr>
                <w:lang w:val="de-DE"/>
              </w:rPr>
            </w:pPr>
          </w:p>
        </w:tc>
        <w:tc>
          <w:tcPr>
            <w:tcW w:w="1257" w:type="pct"/>
            <w:gridSpan w:val="2"/>
          </w:tcPr>
          <w:p w:rsidR="004C1EBA" w:rsidRPr="007B0DFE" w:rsidP="004C1EBA">
            <w:pPr>
              <w:pStyle w:val="csbody00"/>
              <w:rPr>
                <w:lang w:val="de-CH"/>
              </w:rPr>
            </w:pPr>
          </w:p>
        </w:tc>
        <w:tc>
          <w:tcPr>
            <w:tcW w:w="1260" w:type="pct"/>
            <w:gridSpan w:val="5"/>
          </w:tcPr>
          <w:p w:rsidR="004C1EBA" w:rsidRPr="000B6820" w:rsidP="004C1EBA">
            <w:pPr>
              <w:pStyle w:val="csbody00"/>
              <w:rPr>
                <w:bCs/>
                <w:lang w:val="en-US"/>
              </w:rPr>
            </w:pPr>
            <w:r w:rsidRPr="000B6820">
              <w:rPr>
                <w:lang w:val="en-US"/>
              </w:rPr>
              <w:t>Qatar Navigation Company, board member</w:t>
            </w:r>
          </w:p>
        </w:tc>
        <w:tc>
          <w:tcPr>
            <w:tcW w:w="1242" w:type="pct"/>
            <w:gridSpan w:val="3"/>
            <w:shd w:val="clear" w:color="auto" w:fill="auto"/>
          </w:tcPr>
          <w:p w:rsidR="004C1EBA" w:rsidRPr="00013FD4" w:rsidP="004C1EBA">
            <w:pPr>
              <w:pStyle w:val="csbody00"/>
              <w:rPr>
                <w:bCs/>
                <w:lang w:val="de-DE"/>
              </w:rPr>
            </w:pPr>
            <w:r w:rsidRPr="000B6820">
              <w:rPr>
                <w:lang w:val="en-US"/>
              </w:rPr>
              <w:t xml:space="preserve">Qatar Navigation Company, </w:t>
            </w:r>
            <w:r>
              <w:rPr>
                <w:lang w:val="en-US"/>
              </w:rPr>
              <w:t>Verwaltungsratsmitglied</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de-CH"/>
              </w:rPr>
            </w:pPr>
            <w:r w:rsidRPr="0083513B">
              <w:rPr>
                <w:lang w:val="en-US"/>
              </w:rPr>
              <w:t>Iris Bohnet</w:t>
            </w:r>
          </w:p>
        </w:tc>
        <w:tc>
          <w:tcPr>
            <w:tcW w:w="1257" w:type="pct"/>
            <w:gridSpan w:val="2"/>
          </w:tcPr>
          <w:p w:rsidR="004C1EBA" w:rsidRPr="005C5842" w:rsidP="004C1EBA">
            <w:pPr>
              <w:pStyle w:val="csbody00"/>
              <w:jc w:val="left"/>
              <w:rPr>
                <w:lang w:val="de-DE"/>
              </w:rPr>
            </w:pPr>
            <w:r w:rsidRPr="007B0DFE">
              <w:rPr>
                <w:lang w:val="de-CH"/>
              </w:rPr>
              <w:t>Credit Suisse</w:t>
            </w:r>
            <w:r>
              <w:rPr>
                <w:lang w:val="de-CH"/>
              </w:rPr>
              <w:t xml:space="preserve"> </w:t>
            </w:r>
            <w:r w:rsidRPr="007B0DFE">
              <w:rPr>
                <w:lang w:val="de-CH"/>
              </w:rPr>
              <w:t>AG</w:t>
            </w:r>
            <w:r w:rsidRPr="007B0DFE">
              <w:rPr>
                <w:lang w:val="de-CH"/>
              </w:rPr>
              <w:br/>
              <w:t>Paradeplatz 8</w:t>
            </w:r>
            <w:r w:rsidRPr="007B0DFE">
              <w:rPr>
                <w:lang w:val="de-CH"/>
              </w:rPr>
              <w:br/>
              <w:t>8001 Zurich</w:t>
            </w:r>
            <w:r w:rsidRPr="007B0DFE">
              <w:rPr>
                <w:lang w:val="de-CH"/>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RPr="0083513B" w:rsidP="004C1EBA">
            <w:pPr>
              <w:pStyle w:val="csbody00"/>
              <w:rPr>
                <w:lang w:val="en-US"/>
              </w:rPr>
            </w:pPr>
            <w:r w:rsidRPr="000B6820">
              <w:rPr>
                <w:bCs/>
                <w:lang w:val="en-US" w:eastAsia="de-CH"/>
              </w:rPr>
              <w:t xml:space="preserve">2012–present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7733D5" w:rsidP="004C1EBA">
            <w:pPr>
              <w:pStyle w:val="csbody00"/>
            </w:pPr>
            <w:r w:rsidRPr="00013FD4">
              <w:rPr>
                <w:bCs/>
                <w:lang w:val="de-DE" w:eastAsia="de-CH"/>
              </w:rPr>
              <w:t xml:space="preserve">2012 bis heute </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992877" w:rsidP="004C1EBA">
            <w:pPr>
              <w:pStyle w:val="csbody00"/>
              <w:ind w:left="720"/>
              <w:rPr>
                <w:b/>
                <w:bCs/>
                <w:lang w:val="en-US" w:eastAsia="de-CH"/>
              </w:rPr>
            </w:pPr>
            <w:r w:rsidRPr="00992877">
              <w:rPr>
                <w:bCs/>
                <w:lang w:val="en-US" w:eastAsia="de-CH"/>
              </w:rPr>
              <w:t>Credit Suisse</w:t>
            </w:r>
          </w:p>
        </w:tc>
        <w:tc>
          <w:tcPr>
            <w:tcW w:w="1242" w:type="pct"/>
            <w:gridSpan w:val="3"/>
            <w:shd w:val="clear" w:color="auto" w:fill="auto"/>
          </w:tcPr>
          <w:p w:rsidR="004C1EBA" w:rsidRPr="00A67FAC" w:rsidP="004C1EBA">
            <w:pPr>
              <w:pStyle w:val="csbody00"/>
              <w:ind w:left="720"/>
              <w:rPr>
                <w:b/>
                <w:bCs/>
                <w:lang w:eastAsia="de-CH"/>
              </w:rPr>
            </w:pPr>
            <w:r w:rsidRPr="00992877">
              <w:rPr>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BD6217" w:rsidP="004C1EBA">
            <w:pPr>
              <w:pStyle w:val="csbody00"/>
              <w:ind w:left="720"/>
              <w:rPr>
                <w:bCs/>
                <w:lang w:val="en-US" w:eastAsia="de-CH"/>
              </w:rPr>
            </w:pPr>
            <w:r w:rsidRPr="000B6820">
              <w:rPr>
                <w:bCs/>
                <w:lang w:val="en-US" w:eastAsia="de-CH"/>
              </w:rPr>
              <w:t>Member of the Compensation Committee (2012–present)</w:t>
            </w:r>
          </w:p>
        </w:tc>
        <w:tc>
          <w:tcPr>
            <w:tcW w:w="1242" w:type="pct"/>
            <w:gridSpan w:val="3"/>
            <w:shd w:val="clear" w:color="auto" w:fill="auto"/>
          </w:tcPr>
          <w:p w:rsidR="004C1EBA" w:rsidRPr="00A67FAC" w:rsidP="004C1EBA">
            <w:pPr>
              <w:pStyle w:val="csbody00"/>
              <w:ind w:left="720"/>
              <w:rPr>
                <w:bCs/>
                <w:lang w:val="de-DE" w:eastAsia="de-CH"/>
              </w:rPr>
            </w:pPr>
            <w:r w:rsidRPr="00013FD4">
              <w:rPr>
                <w:bCs/>
                <w:lang w:val="de-DE" w:eastAsia="de-CH"/>
              </w:rPr>
              <w:t>Mitglied des Vergütungsaus</w:t>
            </w:r>
            <w:r>
              <w:rPr>
                <w:bCs/>
                <w:lang w:val="de-DE" w:eastAsia="de-CH"/>
              </w:rPr>
              <w:t>-</w:t>
            </w:r>
            <w:r w:rsidRPr="00013FD4">
              <w:rPr>
                <w:bCs/>
                <w:lang w:val="de-DE" w:eastAsia="de-CH"/>
              </w:rPr>
              <w:t>schusses (2012 bis heute)</w:t>
            </w: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A67FAC" w:rsidP="004C1EBA">
            <w:pPr>
              <w:pStyle w:val="csbody00"/>
              <w:rPr>
                <w:lang w:val="de-DE"/>
              </w:rPr>
            </w:pPr>
          </w:p>
        </w:tc>
        <w:tc>
          <w:tcPr>
            <w:tcW w:w="1260" w:type="pct"/>
            <w:gridSpan w:val="5"/>
          </w:tcPr>
          <w:p w:rsidR="004C1EBA" w:rsidRPr="000B6820" w:rsidP="004C1EBA">
            <w:pPr>
              <w:pStyle w:val="csbody00"/>
              <w:rPr>
                <w:bCs/>
                <w:lang w:val="en-US" w:eastAsia="de-CH"/>
              </w:rPr>
            </w:pPr>
            <w:r w:rsidRPr="000B6820">
              <w:rPr>
                <w:bCs/>
                <w:lang w:val="en-US" w:eastAsia="de-CH"/>
              </w:rPr>
              <w:t xml:space="preserve">1998–present </w:t>
            </w:r>
          </w:p>
        </w:tc>
        <w:tc>
          <w:tcPr>
            <w:tcW w:w="1242" w:type="pct"/>
            <w:gridSpan w:val="3"/>
            <w:shd w:val="clear" w:color="auto" w:fill="auto"/>
          </w:tcPr>
          <w:p w:rsidR="004C1EBA" w:rsidRPr="00013FD4" w:rsidP="004C1EBA">
            <w:pPr>
              <w:pStyle w:val="csbody00"/>
              <w:rPr>
                <w:bCs/>
                <w:lang w:val="de-DE" w:eastAsia="de-CH"/>
              </w:rPr>
            </w:pPr>
            <w:r w:rsidRPr="00013FD4">
              <w:rPr>
                <w:bCs/>
                <w:lang w:val="de-DE" w:eastAsia="de-CH"/>
              </w:rPr>
              <w:t>1998 bis heute</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ind w:left="720"/>
              <w:rPr>
                <w:bCs/>
                <w:lang w:val="en-US" w:eastAsia="de-CH"/>
              </w:rPr>
            </w:pPr>
            <w:r w:rsidRPr="000B6820">
              <w:rPr>
                <w:bCs/>
                <w:lang w:val="en-US" w:eastAsia="de-CH"/>
              </w:rPr>
              <w:t>Harvard Kennedy School</w:t>
            </w:r>
          </w:p>
        </w:tc>
        <w:tc>
          <w:tcPr>
            <w:tcW w:w="1242" w:type="pct"/>
            <w:gridSpan w:val="3"/>
            <w:shd w:val="clear" w:color="auto" w:fill="auto"/>
          </w:tcPr>
          <w:p w:rsidR="004C1EBA" w:rsidRPr="00013FD4" w:rsidP="004C1EBA">
            <w:pPr>
              <w:pStyle w:val="csbody00"/>
              <w:ind w:left="720"/>
              <w:rPr>
                <w:bCs/>
                <w:lang w:val="de-DE" w:eastAsia="de-CH"/>
              </w:rPr>
            </w:pPr>
            <w:r w:rsidRPr="00A67FAC">
              <w:rPr>
                <w:bCs/>
                <w:lang w:val="en-US" w:eastAsia="de-CH"/>
              </w:rPr>
              <w:t>Harvard Kennedy School</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ind w:left="720"/>
              <w:rPr>
                <w:bCs/>
                <w:lang w:val="en-US" w:eastAsia="de-CH"/>
              </w:rPr>
            </w:pPr>
            <w:r w:rsidRPr="000B6820">
              <w:rPr>
                <w:bCs/>
                <w:lang w:val="en-US" w:eastAsia="de-CH"/>
              </w:rPr>
              <w:t>Director of the Women and Public Policy Program (2008–present)</w:t>
            </w:r>
          </w:p>
        </w:tc>
        <w:tc>
          <w:tcPr>
            <w:tcW w:w="1242" w:type="pct"/>
            <w:gridSpan w:val="3"/>
            <w:shd w:val="clear" w:color="auto" w:fill="auto"/>
          </w:tcPr>
          <w:p w:rsidR="004C1EBA" w:rsidRPr="00A67FAC" w:rsidP="004C1EBA">
            <w:pPr>
              <w:pStyle w:val="csbody00"/>
              <w:ind w:left="720"/>
              <w:rPr>
                <w:bCs/>
                <w:lang w:val="en-US" w:eastAsia="de-CH"/>
              </w:rPr>
            </w:pPr>
            <w:r w:rsidRPr="00A67FAC">
              <w:rPr>
                <w:bCs/>
                <w:lang w:val="de-DE" w:eastAsia="de-CH"/>
              </w:rPr>
              <w:t>Direktorin des Women and Public Policy Program (2008 bis heute)</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ind w:left="720"/>
              <w:rPr>
                <w:bCs/>
                <w:lang w:val="en-US" w:eastAsia="de-CH"/>
              </w:rPr>
            </w:pPr>
            <w:r w:rsidRPr="000B6820">
              <w:rPr>
                <w:bCs/>
                <w:lang w:val="en-US" w:eastAsia="de-CH"/>
              </w:rPr>
              <w:t>Professor of public policy (2006–present)</w:t>
            </w:r>
          </w:p>
        </w:tc>
        <w:tc>
          <w:tcPr>
            <w:tcW w:w="1242" w:type="pct"/>
            <w:gridSpan w:val="3"/>
            <w:shd w:val="clear" w:color="auto" w:fill="auto"/>
          </w:tcPr>
          <w:p w:rsidR="004C1EBA" w:rsidRPr="00A67FAC" w:rsidP="004C1EBA">
            <w:pPr>
              <w:pStyle w:val="csbody00"/>
              <w:ind w:left="720"/>
              <w:rPr>
                <w:bCs/>
                <w:lang w:val="de-DE" w:eastAsia="de-CH"/>
              </w:rPr>
            </w:pPr>
            <w:r w:rsidRPr="00A67FAC">
              <w:rPr>
                <w:bCs/>
                <w:lang w:val="de-DE" w:eastAsia="de-CH"/>
              </w:rPr>
              <w:t>Professorin für Public Policy (2006 bis heute)</w:t>
            </w:r>
          </w:p>
        </w:tc>
      </w:tr>
      <w:tr w:rsidTr="00682578">
        <w:tblPrEx>
          <w:tblW w:w="5002" w:type="pct"/>
          <w:tblBorders>
            <w:insideV w:val="single" w:sz="4" w:space="0" w:color="auto"/>
          </w:tblBorders>
          <w:tblLayout w:type="fixed"/>
          <w:tblLook w:val="00A0"/>
        </w:tblPrEx>
        <w:tc>
          <w:tcPr>
            <w:tcW w:w="1242" w:type="pct"/>
            <w:gridSpan w:val="3"/>
          </w:tcPr>
          <w:p w:rsidR="004C1EBA" w:rsidRPr="00144049" w:rsidP="004C1EBA">
            <w:pPr>
              <w:pStyle w:val="csbody00"/>
              <w:rPr>
                <w:lang w:val="de-DE"/>
              </w:rPr>
            </w:pPr>
          </w:p>
        </w:tc>
        <w:tc>
          <w:tcPr>
            <w:tcW w:w="1257" w:type="pct"/>
            <w:gridSpan w:val="2"/>
          </w:tcPr>
          <w:p w:rsidR="004C1EBA" w:rsidRPr="00144049" w:rsidP="004C1EBA">
            <w:pPr>
              <w:pStyle w:val="csbody00"/>
              <w:rPr>
                <w:lang w:val="de-DE"/>
              </w:rPr>
            </w:pPr>
          </w:p>
        </w:tc>
        <w:tc>
          <w:tcPr>
            <w:tcW w:w="1260" w:type="pct"/>
            <w:gridSpan w:val="5"/>
          </w:tcPr>
          <w:p w:rsidR="004C1EBA" w:rsidRPr="000B6820" w:rsidP="004C1EBA">
            <w:pPr>
              <w:pStyle w:val="csbody00"/>
              <w:ind w:left="720"/>
              <w:rPr>
                <w:bCs/>
                <w:lang w:val="en-US" w:eastAsia="de-CH"/>
              </w:rPr>
            </w:pPr>
            <w:r w:rsidRPr="000B6820">
              <w:rPr>
                <w:bCs/>
                <w:lang w:val="en-US" w:eastAsia="de-CH"/>
              </w:rPr>
              <w:t>Academic dean (2011–2014)</w:t>
            </w:r>
          </w:p>
        </w:tc>
        <w:tc>
          <w:tcPr>
            <w:tcW w:w="1242" w:type="pct"/>
            <w:gridSpan w:val="3"/>
            <w:shd w:val="clear" w:color="auto" w:fill="auto"/>
          </w:tcPr>
          <w:p w:rsidR="004C1EBA" w:rsidRPr="00A67FAC" w:rsidP="004C1EBA">
            <w:pPr>
              <w:pStyle w:val="csbody00"/>
              <w:ind w:left="720"/>
              <w:rPr>
                <w:bCs/>
                <w:lang w:val="de-DE" w:eastAsia="de-CH"/>
              </w:rPr>
            </w:pPr>
            <w:r w:rsidRPr="000B6820">
              <w:rPr>
                <w:bCs/>
                <w:lang w:val="en-US" w:eastAsia="de-CH"/>
              </w:rPr>
              <w:t xml:space="preserve">Academic </w:t>
            </w:r>
            <w:r>
              <w:rPr>
                <w:bCs/>
                <w:lang w:val="en-US" w:eastAsia="de-CH"/>
              </w:rPr>
              <w:t>D</w:t>
            </w:r>
            <w:r w:rsidRPr="000B6820">
              <w:rPr>
                <w:bCs/>
                <w:lang w:val="en-US" w:eastAsia="de-CH"/>
              </w:rPr>
              <w:t>ean (2011–2014)</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ind w:left="720"/>
              <w:rPr>
                <w:bCs/>
                <w:lang w:val="en-US" w:eastAsia="de-CH"/>
              </w:rPr>
            </w:pPr>
            <w:r w:rsidRPr="000B6820">
              <w:rPr>
                <w:bCs/>
                <w:lang w:val="en-US" w:eastAsia="de-CH"/>
              </w:rPr>
              <w:t>Associate professor of public policy (2003–2006)</w:t>
            </w:r>
          </w:p>
        </w:tc>
        <w:tc>
          <w:tcPr>
            <w:tcW w:w="1242" w:type="pct"/>
            <w:gridSpan w:val="3"/>
            <w:shd w:val="clear" w:color="auto" w:fill="auto"/>
          </w:tcPr>
          <w:p w:rsidR="004C1EBA" w:rsidRPr="000B6820" w:rsidP="004C1EBA">
            <w:pPr>
              <w:pStyle w:val="csbody00"/>
              <w:ind w:left="720"/>
              <w:rPr>
                <w:bCs/>
                <w:lang w:val="en-US" w:eastAsia="de-CH"/>
              </w:rPr>
            </w:pPr>
            <w:r w:rsidRPr="000B6820">
              <w:rPr>
                <w:bCs/>
                <w:lang w:val="en-US" w:eastAsia="de-CH"/>
              </w:rPr>
              <w:t xml:space="preserve">Associate </w:t>
            </w:r>
            <w:r>
              <w:rPr>
                <w:bCs/>
                <w:lang w:val="en-US" w:eastAsia="de-CH"/>
              </w:rPr>
              <w:t>P</w:t>
            </w:r>
            <w:r w:rsidRPr="000B6820">
              <w:rPr>
                <w:bCs/>
                <w:lang w:val="en-US" w:eastAsia="de-CH"/>
              </w:rPr>
              <w:t xml:space="preserve">rofessor </w:t>
            </w:r>
            <w:r>
              <w:rPr>
                <w:bCs/>
                <w:lang w:val="en-US" w:eastAsia="de-CH"/>
              </w:rPr>
              <w:t>für P</w:t>
            </w:r>
            <w:r w:rsidRPr="000B6820">
              <w:rPr>
                <w:bCs/>
                <w:lang w:val="en-US" w:eastAsia="de-CH"/>
              </w:rPr>
              <w:t xml:space="preserve">ublic </w:t>
            </w:r>
            <w:r>
              <w:rPr>
                <w:bCs/>
                <w:lang w:val="en-US" w:eastAsia="de-CH"/>
              </w:rPr>
              <w:t>P</w:t>
            </w:r>
            <w:r w:rsidRPr="000B6820">
              <w:rPr>
                <w:bCs/>
                <w:lang w:val="en-US" w:eastAsia="de-CH"/>
              </w:rPr>
              <w:t>olicy (2003–2006)</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ind w:left="720"/>
              <w:rPr>
                <w:bCs/>
                <w:lang w:val="en-US" w:eastAsia="de-CH"/>
              </w:rPr>
            </w:pPr>
            <w:r w:rsidRPr="000B6820">
              <w:rPr>
                <w:bCs/>
                <w:lang w:val="en-US" w:eastAsia="de-CH"/>
              </w:rPr>
              <w:t>Assistant professor of public policy (1998–2003)</w:t>
            </w:r>
          </w:p>
        </w:tc>
        <w:tc>
          <w:tcPr>
            <w:tcW w:w="1242" w:type="pct"/>
            <w:gridSpan w:val="3"/>
            <w:shd w:val="clear" w:color="auto" w:fill="auto"/>
          </w:tcPr>
          <w:p w:rsidR="004C1EBA" w:rsidRPr="000B6820" w:rsidP="004C1EBA">
            <w:pPr>
              <w:pStyle w:val="csbody00"/>
              <w:ind w:left="720"/>
              <w:rPr>
                <w:bCs/>
                <w:lang w:val="en-US" w:eastAsia="de-CH"/>
              </w:rPr>
            </w:pPr>
            <w:r w:rsidRPr="000B6820">
              <w:rPr>
                <w:bCs/>
                <w:lang w:val="en-US" w:eastAsia="de-CH"/>
              </w:rPr>
              <w:t xml:space="preserve">Assistant </w:t>
            </w:r>
            <w:r>
              <w:rPr>
                <w:bCs/>
                <w:lang w:val="en-US" w:eastAsia="de-CH"/>
              </w:rPr>
              <w:t>P</w:t>
            </w:r>
            <w:r w:rsidRPr="000B6820">
              <w:rPr>
                <w:bCs/>
                <w:lang w:val="en-US" w:eastAsia="de-CH"/>
              </w:rPr>
              <w:t xml:space="preserve">rofessor </w:t>
            </w:r>
            <w:r>
              <w:rPr>
                <w:bCs/>
                <w:lang w:val="en-US" w:eastAsia="de-CH"/>
              </w:rPr>
              <w:t>für</w:t>
            </w:r>
            <w:r w:rsidRPr="000B6820">
              <w:rPr>
                <w:bCs/>
                <w:lang w:val="en-US" w:eastAsia="de-CH"/>
              </w:rPr>
              <w:t xml:space="preserve"> </w:t>
            </w:r>
            <w:r>
              <w:rPr>
                <w:bCs/>
                <w:lang w:val="en-US" w:eastAsia="de-CH"/>
              </w:rPr>
              <w:t>P</w:t>
            </w:r>
            <w:r w:rsidRPr="000B6820">
              <w:rPr>
                <w:bCs/>
                <w:lang w:val="en-US" w:eastAsia="de-CH"/>
              </w:rPr>
              <w:t xml:space="preserve">ublic </w:t>
            </w:r>
            <w:r>
              <w:rPr>
                <w:bCs/>
                <w:lang w:val="en-US" w:eastAsia="de-CH"/>
              </w:rPr>
              <w:t>P</w:t>
            </w:r>
            <w:r w:rsidRPr="000B6820">
              <w:rPr>
                <w:bCs/>
                <w:lang w:val="en-US" w:eastAsia="de-CH"/>
              </w:rPr>
              <w:t>olicy (1998–2003)</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rPr>
                <w:bCs/>
                <w:lang w:val="en-US" w:eastAsia="de-CH"/>
              </w:rPr>
            </w:pPr>
            <w:r w:rsidRPr="000B6820">
              <w:rPr>
                <w:bCs/>
                <w:lang w:val="en-US" w:eastAsia="de-CH"/>
              </w:rPr>
              <w:t xml:space="preserve">1997–1998 </w:t>
            </w:r>
          </w:p>
        </w:tc>
        <w:tc>
          <w:tcPr>
            <w:tcW w:w="1242" w:type="pct"/>
            <w:gridSpan w:val="3"/>
            <w:shd w:val="clear" w:color="auto" w:fill="auto"/>
          </w:tcPr>
          <w:p w:rsidR="004C1EBA" w:rsidRPr="000B6820" w:rsidP="004C1EBA">
            <w:pPr>
              <w:pStyle w:val="csbody00"/>
              <w:rPr>
                <w:lang w:val="en-US" w:eastAsia="de-CH"/>
              </w:rPr>
            </w:pPr>
            <w:r w:rsidRPr="000B6820">
              <w:rPr>
                <w:bCs/>
                <w:lang w:val="en-US" w:eastAsia="de-CH"/>
              </w:rPr>
              <w:t xml:space="preserve">1997–1998 </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ind w:left="720"/>
              <w:rPr>
                <w:bCs/>
                <w:lang w:val="en-US" w:eastAsia="de-CH"/>
              </w:rPr>
            </w:pPr>
            <w:r w:rsidRPr="000B6820">
              <w:rPr>
                <w:bCs/>
                <w:lang w:val="en-US" w:eastAsia="de-CH"/>
              </w:rPr>
              <w:t>Haas School of Business, University of California at Berkeley,</w:t>
            </w:r>
            <w:r>
              <w:rPr>
                <w:bCs/>
                <w:lang w:val="en-US" w:eastAsia="de-CH"/>
              </w:rPr>
              <w:t xml:space="preserve"> </w:t>
            </w:r>
            <w:r w:rsidRPr="000B6820">
              <w:rPr>
                <w:bCs/>
                <w:lang w:val="en-US" w:eastAsia="de-CH"/>
              </w:rPr>
              <w:t>visiting scholar</w:t>
            </w:r>
          </w:p>
        </w:tc>
        <w:tc>
          <w:tcPr>
            <w:tcW w:w="1242" w:type="pct"/>
            <w:gridSpan w:val="3"/>
            <w:shd w:val="clear" w:color="auto" w:fill="auto"/>
          </w:tcPr>
          <w:p w:rsidR="004C1EBA" w:rsidRPr="000B6820" w:rsidP="004C1EBA">
            <w:pPr>
              <w:pStyle w:val="csbody00"/>
              <w:ind w:left="720"/>
              <w:rPr>
                <w:bCs/>
                <w:lang w:val="en-US" w:eastAsia="de-CH"/>
              </w:rPr>
            </w:pPr>
            <w:r>
              <w:rPr>
                <w:lang w:val="en-US" w:eastAsia="de-CH"/>
              </w:rPr>
              <w:t xml:space="preserve">Gastwissenschaftlerin an der </w:t>
            </w:r>
            <w:r w:rsidRPr="000B6820">
              <w:rPr>
                <w:lang w:val="en-US" w:eastAsia="de-CH"/>
              </w:rPr>
              <w:t>Haas School of Business, University of California at Berkeley</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rPr>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B6820" w:rsidP="004C1EBA">
            <w:pPr>
              <w:pStyle w:val="csbody00"/>
              <w:rPr>
                <w:bCs/>
                <w:lang w:val="en-US" w:eastAsia="de-CH"/>
              </w:rPr>
            </w:pPr>
            <w:r w:rsidRPr="00013FD4">
              <w:rPr>
                <w:rFonts w:eastAsia="MS Mincho"/>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rPr>
                <w:lang w:val="en-US"/>
              </w:rPr>
            </w:pPr>
          </w:p>
        </w:tc>
        <w:tc>
          <w:tcPr>
            <w:tcW w:w="1257" w:type="pct"/>
            <w:gridSpan w:val="2"/>
          </w:tcPr>
          <w:p w:rsidR="004C1EBA" w:rsidRPr="0083513B" w:rsidP="004C1EBA">
            <w:pPr>
              <w:pStyle w:val="csbody00"/>
              <w:rPr>
                <w:lang w:val="en-US"/>
              </w:rPr>
            </w:pPr>
          </w:p>
        </w:tc>
        <w:tc>
          <w:tcPr>
            <w:tcW w:w="1260" w:type="pct"/>
            <w:gridSpan w:val="5"/>
          </w:tcPr>
          <w:p w:rsidR="004C1EBA" w:rsidRPr="000B6820" w:rsidP="004C1EBA">
            <w:pPr>
              <w:pStyle w:val="csbody00"/>
              <w:rPr>
                <w:lang w:val="en-US"/>
              </w:rPr>
            </w:pPr>
            <w:r w:rsidRPr="000B6820">
              <w:rPr>
                <w:lang w:val="en-US"/>
              </w:rPr>
              <w:t xml:space="preserve">1997 Doctorate in </w:t>
            </w:r>
            <w:r w:rsidRPr="00DF728B">
              <w:rPr>
                <w:lang w:val="en-US"/>
              </w:rPr>
              <w:t>Economics, University of Zurich, Switzerland</w:t>
            </w:r>
          </w:p>
        </w:tc>
        <w:tc>
          <w:tcPr>
            <w:tcW w:w="1242" w:type="pct"/>
            <w:gridSpan w:val="3"/>
            <w:shd w:val="clear" w:color="auto" w:fill="auto"/>
          </w:tcPr>
          <w:p w:rsidR="004C1EBA" w:rsidRPr="00013FD4" w:rsidP="004C1EBA">
            <w:pPr>
              <w:pStyle w:val="csbody00"/>
              <w:rPr>
                <w:lang w:val="de-DE"/>
              </w:rPr>
            </w:pPr>
            <w:r w:rsidRPr="00013FD4">
              <w:rPr>
                <w:lang w:val="de-DE"/>
              </w:rPr>
              <w:t>1997 Doktorabschluss in Wirtschaftswissenschaften, Universität Zürich</w:t>
            </w: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A67FAC" w:rsidP="004C1EBA">
            <w:pPr>
              <w:pStyle w:val="csbody00"/>
              <w:rPr>
                <w:lang w:val="de-DE"/>
              </w:rPr>
            </w:pPr>
          </w:p>
        </w:tc>
        <w:tc>
          <w:tcPr>
            <w:tcW w:w="1260" w:type="pct"/>
            <w:gridSpan w:val="5"/>
          </w:tcPr>
          <w:p w:rsidR="004C1EBA" w:rsidRPr="00BD6217" w:rsidP="004C1EBA">
            <w:pPr>
              <w:pStyle w:val="csbody00"/>
              <w:rPr>
                <w:lang w:val="en-US"/>
              </w:rPr>
            </w:pPr>
            <w:r w:rsidRPr="000B6820">
              <w:rPr>
                <w:lang w:val="en-US"/>
              </w:rPr>
              <w:t>1992 Master’s degree in Economic History, Economics and Political Science, University of Zurich, Switzerland</w:t>
            </w:r>
          </w:p>
        </w:tc>
        <w:tc>
          <w:tcPr>
            <w:tcW w:w="1242" w:type="pct"/>
            <w:gridSpan w:val="3"/>
            <w:shd w:val="clear" w:color="auto" w:fill="auto"/>
          </w:tcPr>
          <w:p w:rsidR="004C1EBA" w:rsidRPr="00144049" w:rsidP="004C1EBA">
            <w:pPr>
              <w:pStyle w:val="csbody00"/>
              <w:rPr>
                <w:lang w:val="de-DE"/>
              </w:rPr>
            </w:pPr>
            <w:r w:rsidRPr="00013FD4">
              <w:rPr>
                <w:lang w:val="de-DE"/>
              </w:rPr>
              <w:t>1992 Masterabschluss in Wirtschaftsgeschichte, Wirtschaftswissenschaften und Politikwissenschaft, Universität Zürich</w:t>
            </w: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A67FAC" w:rsidP="004C1EBA">
            <w:pPr>
              <w:pStyle w:val="csbody00"/>
              <w:rPr>
                <w:lang w:val="de-DE"/>
              </w:rPr>
            </w:pPr>
          </w:p>
        </w:tc>
        <w:tc>
          <w:tcPr>
            <w:tcW w:w="1260" w:type="pct"/>
            <w:gridSpan w:val="5"/>
          </w:tcPr>
          <w:p w:rsidR="004C1EBA" w:rsidRPr="00AA3048" w:rsidP="004C1EBA">
            <w:pPr>
              <w:pStyle w:val="csbody00"/>
              <w:rPr>
                <w:lang w:val="de-DE"/>
              </w:rPr>
            </w:pPr>
          </w:p>
        </w:tc>
        <w:tc>
          <w:tcPr>
            <w:tcW w:w="1242" w:type="pct"/>
            <w:gridSpan w:val="3"/>
            <w:shd w:val="clear" w:color="auto" w:fill="auto"/>
          </w:tcPr>
          <w:p w:rsidR="004C1EBA" w:rsidRPr="00013FD4" w:rsidP="004C1EBA">
            <w:pPr>
              <w:pStyle w:val="csbody00"/>
              <w:rPr>
                <w:lang w:val="de-DE"/>
              </w:rPr>
            </w:pP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A67FAC" w:rsidP="004C1EBA">
            <w:pPr>
              <w:pStyle w:val="csbody00"/>
              <w:rPr>
                <w:lang w:val="de-DE"/>
              </w:rPr>
            </w:pPr>
          </w:p>
        </w:tc>
        <w:tc>
          <w:tcPr>
            <w:tcW w:w="1260" w:type="pct"/>
            <w:gridSpan w:val="5"/>
          </w:tcPr>
          <w:p w:rsidR="004C1EBA" w:rsidRPr="000B6820" w:rsidP="004C1EBA">
            <w:pPr>
              <w:pStyle w:val="csbody00"/>
              <w:rPr>
                <w:lang w:val="en-US"/>
              </w:rPr>
            </w:pPr>
            <w:r w:rsidRPr="000B6820">
              <w:rPr>
                <w:b/>
                <w:lang w:val="en-US"/>
              </w:rPr>
              <w:t>Other activities and functions</w:t>
            </w:r>
          </w:p>
        </w:tc>
        <w:tc>
          <w:tcPr>
            <w:tcW w:w="1242" w:type="pct"/>
            <w:gridSpan w:val="3"/>
            <w:shd w:val="clear" w:color="auto" w:fill="auto"/>
          </w:tcPr>
          <w:p w:rsidR="004C1EBA" w:rsidRPr="00DF728B" w:rsidP="004C1EBA">
            <w:pPr>
              <w:pStyle w:val="csbody00"/>
            </w:pPr>
            <w:r w:rsidRPr="00013FD4">
              <w:rPr>
                <w:b/>
                <w:lang w:val="de-DE"/>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A67FAC" w:rsidP="004C1EBA">
            <w:pPr>
              <w:pStyle w:val="csbody00"/>
              <w:rPr>
                <w:lang w:val="de-DE"/>
              </w:rPr>
            </w:pPr>
          </w:p>
        </w:tc>
        <w:tc>
          <w:tcPr>
            <w:tcW w:w="1260" w:type="pct"/>
            <w:gridSpan w:val="5"/>
          </w:tcPr>
          <w:p w:rsidR="004C1EBA" w:rsidRPr="000B6820" w:rsidP="004C1EBA">
            <w:pPr>
              <w:pStyle w:val="csbody00"/>
              <w:rPr>
                <w:b/>
                <w:lang w:val="en-US"/>
              </w:rPr>
            </w:pPr>
            <w:r w:rsidRPr="000B6820">
              <w:rPr>
                <w:lang w:val="en-US"/>
              </w:rPr>
              <w:t>University of Lucerne, board member</w:t>
            </w:r>
          </w:p>
        </w:tc>
        <w:tc>
          <w:tcPr>
            <w:tcW w:w="1242" w:type="pct"/>
            <w:gridSpan w:val="3"/>
            <w:shd w:val="clear" w:color="auto" w:fill="auto"/>
          </w:tcPr>
          <w:p w:rsidR="004C1EBA" w:rsidRPr="00F36E74" w:rsidP="004C1EBA">
            <w:pPr>
              <w:pStyle w:val="csbody00"/>
              <w:rPr>
                <w:b/>
                <w:lang w:val="de-DE"/>
              </w:rPr>
            </w:pPr>
            <w:r w:rsidRPr="00013FD4">
              <w:rPr>
                <w:lang w:val="de-DE"/>
              </w:rPr>
              <w:t>Universität Luzern, Mitglied des Universitätsrats</w:t>
            </w: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A67FAC" w:rsidP="004C1EBA">
            <w:pPr>
              <w:pStyle w:val="csbody00"/>
              <w:rPr>
                <w:lang w:val="de-DE"/>
              </w:rPr>
            </w:pPr>
          </w:p>
        </w:tc>
        <w:tc>
          <w:tcPr>
            <w:tcW w:w="1260" w:type="pct"/>
            <w:gridSpan w:val="5"/>
          </w:tcPr>
          <w:p w:rsidR="004C1EBA" w:rsidRPr="000B6820" w:rsidP="004C1EBA">
            <w:pPr>
              <w:pStyle w:val="csbody00"/>
              <w:rPr>
                <w:lang w:val="en-US"/>
              </w:rPr>
            </w:pPr>
            <w:r w:rsidRPr="000B6820">
              <w:rPr>
                <w:lang w:val="en-US"/>
              </w:rPr>
              <w:t>Vienna University of Economics and Business Administration, advisory board member</w:t>
            </w:r>
          </w:p>
        </w:tc>
        <w:tc>
          <w:tcPr>
            <w:tcW w:w="1242" w:type="pct"/>
            <w:gridSpan w:val="3"/>
            <w:shd w:val="clear" w:color="auto" w:fill="auto"/>
          </w:tcPr>
          <w:p w:rsidR="004C1EBA" w:rsidRPr="00D826C3" w:rsidP="004C1EBA">
            <w:pPr>
              <w:pStyle w:val="csbody00"/>
              <w:rPr>
                <w:lang w:val="de-DE"/>
              </w:rPr>
            </w:pPr>
            <w:r w:rsidRPr="00013FD4">
              <w:rPr>
                <w:lang w:val="de-DE"/>
              </w:rPr>
              <w:t>Wirtschaftsuniversität Wien, Mitglied des Beirats</w:t>
            </w: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A67FAC" w:rsidP="004C1EBA">
            <w:pPr>
              <w:pStyle w:val="csbody00"/>
              <w:rPr>
                <w:lang w:val="de-DE"/>
              </w:rPr>
            </w:pPr>
          </w:p>
        </w:tc>
        <w:tc>
          <w:tcPr>
            <w:tcW w:w="1260" w:type="pct"/>
            <w:gridSpan w:val="5"/>
          </w:tcPr>
          <w:p w:rsidR="004C1EBA" w:rsidRPr="000B6820" w:rsidP="004C1EBA">
            <w:pPr>
              <w:pStyle w:val="csbody00"/>
              <w:rPr>
                <w:lang w:val="en-US"/>
              </w:rPr>
            </w:pPr>
            <w:r w:rsidRPr="000B6820">
              <w:rPr>
                <w:lang w:val="en-US"/>
              </w:rPr>
              <w:t>Decision Making and Negotiations Journal, advisory board member</w:t>
            </w:r>
          </w:p>
        </w:tc>
        <w:tc>
          <w:tcPr>
            <w:tcW w:w="1242" w:type="pct"/>
            <w:gridSpan w:val="3"/>
            <w:shd w:val="clear" w:color="auto" w:fill="auto"/>
          </w:tcPr>
          <w:p w:rsidR="004C1EBA" w:rsidRPr="00E46D75" w:rsidP="004C1EBA">
            <w:pPr>
              <w:pStyle w:val="csbody00"/>
            </w:pPr>
            <w:r w:rsidRPr="00E46D75">
              <w:t>Decision Making and Negotiations Journal, Mitglied des Beirats</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rPr>
                <w:lang w:val="en-US"/>
              </w:rPr>
            </w:pPr>
            <w:r w:rsidRPr="000B6820">
              <w:rPr>
                <w:lang w:val="en-US"/>
              </w:rPr>
              <w:t>Negotiations Center, University of Texas at Dallas, board member</w:t>
            </w:r>
          </w:p>
        </w:tc>
        <w:tc>
          <w:tcPr>
            <w:tcW w:w="1242" w:type="pct"/>
            <w:gridSpan w:val="3"/>
            <w:shd w:val="clear" w:color="auto" w:fill="auto"/>
          </w:tcPr>
          <w:p w:rsidR="004C1EBA" w:rsidRPr="00F36E74" w:rsidP="004C1EBA">
            <w:pPr>
              <w:pStyle w:val="csbody00"/>
              <w:rPr>
                <w:lang w:val="de-DE"/>
              </w:rPr>
            </w:pPr>
            <w:r w:rsidRPr="00013FD4">
              <w:rPr>
                <w:lang w:val="de-DE"/>
              </w:rPr>
              <w:t>Negotiations Center der Universität Texas in Dallas,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A67FAC" w:rsidP="004C1EBA">
            <w:pPr>
              <w:pStyle w:val="csbody00"/>
              <w:rPr>
                <w:lang w:val="de-DE"/>
              </w:rPr>
            </w:pPr>
          </w:p>
        </w:tc>
        <w:tc>
          <w:tcPr>
            <w:tcW w:w="1257" w:type="pct"/>
            <w:gridSpan w:val="2"/>
          </w:tcPr>
          <w:p w:rsidR="004C1EBA" w:rsidRPr="00A67FAC" w:rsidP="004C1EBA">
            <w:pPr>
              <w:pStyle w:val="csbody00"/>
              <w:rPr>
                <w:lang w:val="de-DE"/>
              </w:rPr>
            </w:pPr>
          </w:p>
        </w:tc>
        <w:tc>
          <w:tcPr>
            <w:tcW w:w="1260" w:type="pct"/>
            <w:gridSpan w:val="5"/>
          </w:tcPr>
          <w:p w:rsidR="004C1EBA" w:rsidRPr="000B6820" w:rsidP="004C1EBA">
            <w:pPr>
              <w:pStyle w:val="csbody00"/>
              <w:rPr>
                <w:lang w:val="en-US"/>
              </w:rPr>
            </w:pPr>
            <w:r w:rsidRPr="000B6820">
              <w:rPr>
                <w:lang w:val="en-US"/>
              </w:rPr>
              <w:t>Global Agenda Council on Behavior, member</w:t>
            </w:r>
          </w:p>
        </w:tc>
        <w:tc>
          <w:tcPr>
            <w:tcW w:w="1242" w:type="pct"/>
            <w:gridSpan w:val="3"/>
            <w:shd w:val="clear" w:color="auto" w:fill="auto"/>
          </w:tcPr>
          <w:p w:rsidR="004C1EBA" w:rsidRPr="00E46D75" w:rsidP="004C1EBA">
            <w:pPr>
              <w:pStyle w:val="csbody00"/>
            </w:pPr>
            <w:r w:rsidRPr="000B6820">
              <w:rPr>
                <w:lang w:val="en-US"/>
              </w:rPr>
              <w:t>Global Agenda Council on Behavior,</w:t>
            </w:r>
            <w:r>
              <w:rPr>
                <w:lang w:val="en-US"/>
              </w:rPr>
              <w:t xml:space="preserve"> Mitglied</w:t>
            </w:r>
          </w:p>
        </w:tc>
      </w:tr>
      <w:tr w:rsidTr="00682578">
        <w:tblPrEx>
          <w:tblW w:w="5002" w:type="pct"/>
          <w:tblBorders>
            <w:insideV w:val="single" w:sz="4" w:space="0" w:color="auto"/>
          </w:tblBorders>
          <w:tblLayout w:type="fixed"/>
          <w:tblLook w:val="00A0"/>
        </w:tblPrEx>
        <w:tc>
          <w:tcPr>
            <w:tcW w:w="1242" w:type="pct"/>
            <w:gridSpan w:val="3"/>
          </w:tcPr>
          <w:p w:rsidR="004C1EBA" w:rsidRPr="00E46D75" w:rsidP="004C1EBA">
            <w:pPr>
              <w:pStyle w:val="csbody00"/>
            </w:pPr>
          </w:p>
        </w:tc>
        <w:tc>
          <w:tcPr>
            <w:tcW w:w="1257" w:type="pct"/>
            <w:gridSpan w:val="2"/>
          </w:tcPr>
          <w:p w:rsidR="004C1EBA" w:rsidRPr="00E46D75" w:rsidP="004C1EBA">
            <w:pPr>
              <w:pStyle w:val="csbody00"/>
            </w:pPr>
          </w:p>
        </w:tc>
        <w:tc>
          <w:tcPr>
            <w:tcW w:w="1260" w:type="pct"/>
            <w:gridSpan w:val="5"/>
          </w:tcPr>
          <w:p w:rsidR="004C1EBA" w:rsidRPr="000B6820" w:rsidP="004C1EBA">
            <w:pPr>
              <w:pStyle w:val="csbody00"/>
              <w:rPr>
                <w:lang w:val="en-US"/>
              </w:rPr>
            </w:pPr>
            <w:r w:rsidRPr="000B6820">
              <w:rPr>
                <w:lang w:val="en-US"/>
              </w:rPr>
              <w:t>Economic Dividends for Gender Equality (EDGE), advisory board member</w:t>
            </w:r>
          </w:p>
        </w:tc>
        <w:tc>
          <w:tcPr>
            <w:tcW w:w="1242" w:type="pct"/>
            <w:gridSpan w:val="3"/>
            <w:shd w:val="clear" w:color="auto" w:fill="auto"/>
          </w:tcPr>
          <w:p w:rsidR="004C1EBA" w:rsidRPr="00D826C3" w:rsidP="004C1EBA">
            <w:pPr>
              <w:pStyle w:val="csbody00"/>
              <w:rPr>
                <w:lang w:val="en-US"/>
              </w:rPr>
            </w:pPr>
            <w:r w:rsidRPr="000B6820">
              <w:rPr>
                <w:lang w:val="en-US"/>
              </w:rPr>
              <w:t xml:space="preserve">Economic Dividends for Gender Equality (EDGE), </w:t>
            </w:r>
            <w:r>
              <w:rPr>
                <w:lang w:val="en-US"/>
              </w:rPr>
              <w:t>Mitglied des Beirats</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r w:rsidRPr="00324233">
              <w:t>Noreen Doyle</w:t>
            </w:r>
          </w:p>
        </w:tc>
        <w:tc>
          <w:tcPr>
            <w:tcW w:w="1257" w:type="pct"/>
            <w:gridSpan w:val="2"/>
          </w:tcPr>
          <w:p w:rsidR="004C1EBA" w:rsidRPr="00324233" w:rsidP="004C1EBA">
            <w:pPr>
              <w:pStyle w:val="csbody00"/>
              <w:jc w:val="left"/>
              <w:rPr>
                <w:lang w:val="de-CH"/>
              </w:rPr>
            </w:pPr>
            <w:r w:rsidRPr="00324233">
              <w:rPr>
                <w:lang w:val="de-CH"/>
              </w:rPr>
              <w:t>Credit Suisse AG</w:t>
            </w:r>
            <w:r w:rsidRPr="00324233">
              <w:rPr>
                <w:lang w:val="de-CH"/>
              </w:rPr>
              <w:br/>
              <w:t>Paradeplatz 8</w:t>
            </w:r>
            <w:r w:rsidRPr="00324233">
              <w:rPr>
                <w:lang w:val="de-CH"/>
              </w:rPr>
              <w:br/>
              <w:t>8001 Zurich</w:t>
            </w:r>
            <w:r w:rsidRPr="00324233">
              <w:rPr>
                <w:lang w:val="de-CH"/>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RPr="00324233" w:rsidP="004C1EBA">
            <w:pPr>
              <w:pStyle w:val="csbody00"/>
              <w:rPr>
                <w:lang w:val="en-US"/>
              </w:rPr>
            </w:pPr>
            <w:r w:rsidRPr="000B6820">
              <w:rPr>
                <w:bCs/>
                <w:lang w:val="en-US" w:eastAsia="de-CH"/>
              </w:rPr>
              <w:t>2004–present</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83513B" w:rsidP="004C1EBA">
            <w:pPr>
              <w:pStyle w:val="csbody00"/>
            </w:pPr>
            <w:r w:rsidRPr="00013FD4">
              <w:rPr>
                <w:bCs/>
                <w:lang w:val="de-DE" w:eastAsia="de-CH"/>
              </w:rPr>
              <w:t>2004 bis heute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
                <w:bCs/>
                <w:lang w:val="en-US" w:eastAsia="de-CH"/>
              </w:rPr>
            </w:pPr>
            <w:r w:rsidRPr="000B6820">
              <w:rPr>
                <w:bCs/>
                <w:lang w:val="en-US" w:eastAsia="de-CH"/>
              </w:rPr>
              <w:t xml:space="preserve">Credit Suisse </w:t>
            </w:r>
          </w:p>
        </w:tc>
        <w:tc>
          <w:tcPr>
            <w:tcW w:w="1242" w:type="pct"/>
            <w:gridSpan w:val="3"/>
            <w:shd w:val="clear" w:color="auto" w:fill="auto"/>
          </w:tcPr>
          <w:p w:rsidR="004C1EBA" w:rsidRPr="00DA1C1C" w:rsidP="004C1EBA">
            <w:pPr>
              <w:pStyle w:val="csbody00"/>
              <w:ind w:left="720"/>
              <w:rPr>
                <w:rFonts w:eastAsia="MS Mincho"/>
                <w:b/>
                <w:bCs/>
                <w:lang w:eastAsia="de-CH"/>
              </w:rPr>
            </w:pPr>
            <w:r w:rsidRPr="00013FD4">
              <w:rPr>
                <w:bCs/>
                <w:lang w:val="de-DE" w:eastAsia="de-CH"/>
              </w:rPr>
              <w:t xml:space="preserve">Credit Suisse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Vice-Chair and Lead Independent Director of the Board (2014–present)</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Vize-Präsidentin und Lead Independent Director des Verwaltungsrats (2014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Member of the Chairman’s and Governance Committee (2014–present)</w:t>
            </w:r>
          </w:p>
        </w:tc>
        <w:tc>
          <w:tcPr>
            <w:tcW w:w="1242" w:type="pct"/>
            <w:gridSpan w:val="3"/>
            <w:shd w:val="clear" w:color="auto" w:fill="auto"/>
          </w:tcPr>
          <w:p w:rsidR="004C1EBA" w:rsidRPr="00DA1C1C" w:rsidP="004C1EBA">
            <w:pPr>
              <w:pStyle w:val="csbody00"/>
              <w:ind w:left="720"/>
              <w:rPr>
                <w:bCs/>
                <w:lang w:eastAsia="de-CH"/>
              </w:rPr>
            </w:pPr>
            <w:r w:rsidRPr="000B6820">
              <w:rPr>
                <w:bCs/>
                <w:lang w:val="en-US" w:eastAsia="de-CH"/>
              </w:rPr>
              <w:t>M</w:t>
            </w:r>
            <w:r>
              <w:rPr>
                <w:bCs/>
                <w:lang w:val="en-US" w:eastAsia="de-CH"/>
              </w:rPr>
              <w:t xml:space="preserve">itglied des </w:t>
            </w:r>
            <w:r w:rsidRPr="000B6820">
              <w:rPr>
                <w:bCs/>
                <w:lang w:val="en-US" w:eastAsia="de-CH"/>
              </w:rPr>
              <w:t>Chairman’s and Governance Committee (2014</w:t>
            </w:r>
            <w:r>
              <w:rPr>
                <w:bCs/>
                <w:lang w:val="en-US" w:eastAsia="de-CH"/>
              </w:rPr>
              <w:t xml:space="preserve"> bis heute</w:t>
            </w:r>
            <w:r w:rsidRPr="000B6820">
              <w:rPr>
                <w:bCs/>
                <w:lang w:val="en-US" w:eastAsia="de-CH"/>
              </w:rPr>
              <w:t>)</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DA1C1C" w:rsidP="004C1EBA">
            <w:pPr>
              <w:pStyle w:val="csbody00"/>
            </w:pPr>
          </w:p>
        </w:tc>
        <w:tc>
          <w:tcPr>
            <w:tcW w:w="1260" w:type="pct"/>
            <w:gridSpan w:val="5"/>
          </w:tcPr>
          <w:p w:rsidR="004C1EBA" w:rsidRPr="00BD6217" w:rsidP="004C1EBA">
            <w:pPr>
              <w:pStyle w:val="csbody00"/>
              <w:ind w:left="720"/>
              <w:rPr>
                <w:bCs/>
                <w:lang w:val="en-US" w:eastAsia="de-CH"/>
              </w:rPr>
            </w:pPr>
            <w:r w:rsidRPr="000B6820">
              <w:rPr>
                <w:bCs/>
                <w:lang w:val="en-US" w:eastAsia="de-CH"/>
              </w:rPr>
              <w:t>Member of the Audit Committee (2014–present)</w:t>
            </w:r>
          </w:p>
        </w:tc>
        <w:tc>
          <w:tcPr>
            <w:tcW w:w="1242" w:type="pct"/>
            <w:gridSpan w:val="3"/>
            <w:shd w:val="clear" w:color="auto" w:fill="auto"/>
          </w:tcPr>
          <w:p w:rsidR="004C1EBA" w:rsidRPr="00BA5014" w:rsidP="004C1EBA">
            <w:pPr>
              <w:pStyle w:val="csbody00"/>
              <w:ind w:left="720"/>
              <w:rPr>
                <w:bCs/>
                <w:lang w:val="de-DE" w:eastAsia="de-CH"/>
              </w:rPr>
            </w:pPr>
            <w:r w:rsidRPr="00013FD4">
              <w:rPr>
                <w:bCs/>
                <w:lang w:val="de-DE" w:eastAsia="de-CH"/>
              </w:rPr>
              <w:t>Mitglied des Audit Committee (2014 bis heute)</w:t>
            </w:r>
          </w:p>
        </w:tc>
      </w:tr>
      <w:tr w:rsidTr="00682578">
        <w:tblPrEx>
          <w:tblW w:w="5002" w:type="pct"/>
          <w:tblBorders>
            <w:insideV w:val="single" w:sz="4" w:space="0" w:color="auto"/>
          </w:tblBorders>
          <w:tblLayout w:type="fixed"/>
          <w:tblLook w:val="00A0"/>
        </w:tblPrEx>
        <w:tc>
          <w:tcPr>
            <w:tcW w:w="1242" w:type="pct"/>
            <w:gridSpan w:val="3"/>
          </w:tcPr>
          <w:p w:rsidR="004C1EBA" w:rsidRPr="00BA501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BD6217" w:rsidP="004C1EBA">
            <w:pPr>
              <w:pStyle w:val="csbody00"/>
              <w:ind w:left="720"/>
              <w:rPr>
                <w:bCs/>
                <w:lang w:val="en-US" w:eastAsia="de-CH"/>
              </w:rPr>
            </w:pPr>
            <w:r w:rsidRPr="000B6820">
              <w:rPr>
                <w:bCs/>
                <w:lang w:val="en-US" w:eastAsia="de-CH"/>
              </w:rPr>
              <w:t xml:space="preserve">Non-executive director of Credit Suisse International </w:t>
            </w:r>
            <w:r w:rsidRPr="00DA1C1C">
              <w:rPr>
                <w:bCs/>
                <w:lang w:val="en-US" w:eastAsia="de-CH"/>
              </w:rPr>
              <w:t>and Credit Suisse Securities (Europe) Limited (two of CSG’s UK subsidiaries) (2011–present); chair of the</w:t>
            </w:r>
            <w:r w:rsidRPr="000B6820">
              <w:rPr>
                <w:bCs/>
                <w:lang w:val="en-US" w:eastAsia="de-CH"/>
              </w:rPr>
              <w:t xml:space="preserve"> boards (2013–present); and chair of the audit committees (2011–2012)</w:t>
            </w:r>
            <w:r>
              <w:rPr>
                <w:bCs/>
                <w:lang w:val="en-US" w:eastAsia="de-CH"/>
              </w:rPr>
              <w:t xml:space="preserve"> </w:t>
            </w:r>
          </w:p>
        </w:tc>
        <w:tc>
          <w:tcPr>
            <w:tcW w:w="1242" w:type="pct"/>
            <w:gridSpan w:val="3"/>
            <w:shd w:val="clear" w:color="auto" w:fill="auto"/>
          </w:tcPr>
          <w:p w:rsidR="004C1EBA" w:rsidRPr="00DA1C1C" w:rsidP="004C1EBA">
            <w:pPr>
              <w:pStyle w:val="csbody00"/>
              <w:ind w:left="720"/>
              <w:rPr>
                <w:bCs/>
                <w:lang w:val="de-DE" w:eastAsia="de-CH"/>
              </w:rPr>
            </w:pPr>
            <w:r w:rsidRPr="00013FD4">
              <w:rPr>
                <w:bCs/>
                <w:lang w:val="de-DE" w:eastAsia="de-CH"/>
              </w:rPr>
              <w:t>Nicht</w:t>
            </w:r>
            <w:r>
              <w:rPr>
                <w:bCs/>
                <w:lang w:val="de-DE" w:eastAsia="de-CH"/>
              </w:rPr>
              <w:t>-</w:t>
            </w:r>
            <w:r w:rsidRPr="00013FD4">
              <w:rPr>
                <w:bCs/>
                <w:lang w:val="de-DE" w:eastAsia="de-CH"/>
              </w:rPr>
              <w:t>exekutives Mitglied des Verwaltungsrats der Credit Suisse International und der Credit Suisse</w:t>
            </w:r>
            <w:r>
              <w:rPr>
                <w:bCs/>
                <w:lang w:val="de-DE" w:eastAsia="de-CH"/>
              </w:rPr>
              <w:t xml:space="preserve"> </w:t>
            </w:r>
            <w:r w:rsidRPr="00013FD4">
              <w:rPr>
                <w:bCs/>
                <w:lang w:val="de-DE" w:eastAsia="de-CH"/>
              </w:rPr>
              <w:t>Securities (Europe) Limited (zwei britische Tochtergesellschaften der CSG) (2011 bis heute); Vorsitz in den Verwaltungsräten (2013 bis heute); Vorsitz in den Audit Committees (2011–2012)</w:t>
            </w:r>
            <w:r>
              <w:rPr>
                <w:bCs/>
                <w:lang w:val="de-DE" w:eastAsia="de-CH"/>
              </w:rPr>
              <w:t xml:space="preserve"> </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Member of the Risk Committee (2009–2014; 2004–2007)</w:t>
            </w:r>
          </w:p>
        </w:tc>
        <w:tc>
          <w:tcPr>
            <w:tcW w:w="1242" w:type="pct"/>
            <w:gridSpan w:val="3"/>
            <w:shd w:val="clear" w:color="auto" w:fill="auto"/>
          </w:tcPr>
          <w:p w:rsidR="004C1EBA" w:rsidRPr="00DA1C1C" w:rsidP="004C1EBA">
            <w:pPr>
              <w:pStyle w:val="csbody00"/>
              <w:ind w:left="720"/>
              <w:rPr>
                <w:bCs/>
                <w:lang w:eastAsia="de-CH"/>
              </w:rPr>
            </w:pPr>
            <w:r w:rsidRPr="00013FD4">
              <w:rPr>
                <w:bCs/>
                <w:lang w:val="de-DE" w:eastAsia="de-CH"/>
              </w:rPr>
              <w:t>Mitglied des Risk Committee (2009–2014; 2004–2007)</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Member of the Audit Committee (2007–2009)</w:t>
            </w:r>
          </w:p>
        </w:tc>
        <w:tc>
          <w:tcPr>
            <w:tcW w:w="1242" w:type="pct"/>
            <w:gridSpan w:val="3"/>
            <w:shd w:val="clear" w:color="auto" w:fill="auto"/>
          </w:tcPr>
          <w:p w:rsidR="004C1EBA" w:rsidRPr="009769D5" w:rsidP="004C1EBA">
            <w:pPr>
              <w:pStyle w:val="csbody00"/>
              <w:ind w:left="720"/>
              <w:rPr>
                <w:bCs/>
                <w:lang w:eastAsia="de-CH"/>
              </w:rPr>
            </w:pPr>
            <w:r w:rsidRPr="00013FD4">
              <w:rPr>
                <w:bCs/>
                <w:lang w:val="de-DE" w:eastAsia="de-CH"/>
              </w:rPr>
              <w:t>Mitglied des Audit Committee (2007–2009)</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bCs/>
                <w:lang w:val="en-US" w:eastAsia="de-CH"/>
              </w:rPr>
              <w:t xml:space="preserve">1992–2005 </w:t>
            </w:r>
          </w:p>
        </w:tc>
        <w:tc>
          <w:tcPr>
            <w:tcW w:w="1242" w:type="pct"/>
            <w:gridSpan w:val="3"/>
            <w:shd w:val="clear" w:color="auto" w:fill="auto"/>
          </w:tcPr>
          <w:p w:rsidR="004C1EBA" w:rsidRPr="00013FD4" w:rsidP="004C1EBA">
            <w:pPr>
              <w:pStyle w:val="csbody00"/>
              <w:rPr>
                <w:bCs/>
                <w:lang w:val="de-DE" w:eastAsia="de-CH"/>
              </w:rPr>
            </w:pPr>
            <w:r w:rsidRPr="00013FD4">
              <w:rPr>
                <w:bCs/>
                <w:lang w:val="de-DE" w:eastAsia="de-CH"/>
              </w:rPr>
              <w:t xml:space="preserve">1992–2005 </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European Bank for Reconstruction and Development (EBRD)</w:t>
            </w:r>
          </w:p>
        </w:tc>
        <w:tc>
          <w:tcPr>
            <w:tcW w:w="1242" w:type="pct"/>
            <w:gridSpan w:val="3"/>
            <w:shd w:val="clear" w:color="auto" w:fill="auto"/>
          </w:tcPr>
          <w:p w:rsidR="004C1EBA" w:rsidRPr="00013FD4" w:rsidP="004C1EBA">
            <w:pPr>
              <w:pStyle w:val="csbody00"/>
              <w:ind w:left="720"/>
              <w:rPr>
                <w:bCs/>
                <w:lang w:val="de-DE" w:eastAsia="de-CH"/>
              </w:rPr>
            </w:pPr>
            <w:r w:rsidRPr="00013FD4">
              <w:rPr>
                <w:bCs/>
                <w:lang w:val="de-DE" w:eastAsia="de-CH"/>
              </w:rPr>
              <w:t>Europäische Bank für Wiederaufbau und Entwicklung (EBRD)</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First vice president and head of banking (2001–2005)</w:t>
            </w:r>
          </w:p>
        </w:tc>
        <w:tc>
          <w:tcPr>
            <w:tcW w:w="1242" w:type="pct"/>
            <w:gridSpan w:val="3"/>
            <w:shd w:val="clear" w:color="auto" w:fill="auto"/>
          </w:tcPr>
          <w:p w:rsidR="004C1EBA" w:rsidRPr="00F36E74" w:rsidP="004C1EBA">
            <w:pPr>
              <w:pStyle w:val="csbody00"/>
              <w:ind w:left="720"/>
              <w:rPr>
                <w:bCs/>
                <w:lang w:eastAsia="de-CH"/>
              </w:rPr>
            </w:pPr>
            <w:r w:rsidRPr="000B6820">
              <w:rPr>
                <w:bCs/>
                <w:lang w:val="en-US" w:eastAsia="de-CH"/>
              </w:rPr>
              <w:t xml:space="preserve">First </w:t>
            </w:r>
            <w:r>
              <w:rPr>
                <w:bCs/>
                <w:lang w:val="en-US" w:eastAsia="de-CH"/>
              </w:rPr>
              <w:t>V</w:t>
            </w:r>
            <w:r w:rsidRPr="000B6820">
              <w:rPr>
                <w:bCs/>
                <w:lang w:val="en-US" w:eastAsia="de-CH"/>
              </w:rPr>
              <w:t xml:space="preserve">ice </w:t>
            </w:r>
            <w:r>
              <w:rPr>
                <w:bCs/>
                <w:lang w:val="en-US" w:eastAsia="de-CH"/>
              </w:rPr>
              <w:t>P</w:t>
            </w:r>
            <w:r w:rsidRPr="000B6820">
              <w:rPr>
                <w:bCs/>
                <w:lang w:val="en-US" w:eastAsia="de-CH"/>
              </w:rPr>
              <w:t xml:space="preserve">resident </w:t>
            </w:r>
            <w:r>
              <w:rPr>
                <w:bCs/>
                <w:lang w:val="en-US" w:eastAsia="de-CH"/>
              </w:rPr>
              <w:t>u</w:t>
            </w:r>
            <w:r w:rsidRPr="000B6820">
              <w:rPr>
                <w:bCs/>
                <w:lang w:val="en-US" w:eastAsia="de-CH"/>
              </w:rPr>
              <w:t xml:space="preserve">nd </w:t>
            </w:r>
            <w:r>
              <w:rPr>
                <w:bCs/>
                <w:lang w:val="en-US" w:eastAsia="de-CH"/>
              </w:rPr>
              <w:t>H</w:t>
            </w:r>
            <w:r w:rsidRPr="000B6820">
              <w:rPr>
                <w:bCs/>
                <w:lang w:val="en-US" w:eastAsia="de-CH"/>
              </w:rPr>
              <w:t xml:space="preserve">ead of </w:t>
            </w:r>
            <w:r>
              <w:rPr>
                <w:bCs/>
                <w:lang w:val="en-US" w:eastAsia="de-CH"/>
              </w:rPr>
              <w:t>B</w:t>
            </w:r>
            <w:r w:rsidRPr="000B6820">
              <w:rPr>
                <w:bCs/>
                <w:lang w:val="en-US" w:eastAsia="de-CH"/>
              </w:rPr>
              <w:t>anking (2001–2005)</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ind w:left="720"/>
              <w:rPr>
                <w:bCs/>
                <w:lang w:val="en-US" w:eastAsia="de-CH"/>
              </w:rPr>
            </w:pPr>
            <w:r w:rsidRPr="000B6820">
              <w:rPr>
                <w:bCs/>
                <w:lang w:val="en-US" w:eastAsia="de-CH"/>
              </w:rPr>
              <w:t>Deputy vice president finance and director of risk management (1997–2001)</w:t>
            </w:r>
          </w:p>
        </w:tc>
        <w:tc>
          <w:tcPr>
            <w:tcW w:w="1242" w:type="pct"/>
            <w:gridSpan w:val="3"/>
            <w:shd w:val="clear" w:color="auto" w:fill="auto"/>
          </w:tcPr>
          <w:p w:rsidR="004C1EBA" w:rsidRPr="000B6820" w:rsidP="004C1EBA">
            <w:pPr>
              <w:pStyle w:val="csbody00"/>
              <w:ind w:left="720"/>
              <w:rPr>
                <w:bCs/>
                <w:lang w:val="en-US" w:eastAsia="de-CH"/>
              </w:rPr>
            </w:pPr>
            <w:r w:rsidRPr="000B6820">
              <w:rPr>
                <w:bCs/>
                <w:lang w:val="en-US" w:eastAsia="de-CH"/>
              </w:rPr>
              <w:t xml:space="preserve">Deputy </w:t>
            </w:r>
            <w:r>
              <w:rPr>
                <w:bCs/>
                <w:lang w:val="en-US" w:eastAsia="de-CH"/>
              </w:rPr>
              <w:t>V</w:t>
            </w:r>
            <w:r w:rsidRPr="000B6820">
              <w:rPr>
                <w:bCs/>
                <w:lang w:val="en-US" w:eastAsia="de-CH"/>
              </w:rPr>
              <w:t xml:space="preserve">ice </w:t>
            </w:r>
            <w:r>
              <w:rPr>
                <w:bCs/>
                <w:lang w:val="en-US" w:eastAsia="de-CH"/>
              </w:rPr>
              <w:t>P</w:t>
            </w:r>
            <w:r w:rsidRPr="000B6820">
              <w:rPr>
                <w:bCs/>
                <w:lang w:val="en-US" w:eastAsia="de-CH"/>
              </w:rPr>
              <w:t xml:space="preserve">resident </w:t>
            </w:r>
            <w:r>
              <w:rPr>
                <w:bCs/>
                <w:lang w:val="en-US" w:eastAsia="de-CH"/>
              </w:rPr>
              <w:t>F</w:t>
            </w:r>
            <w:r w:rsidRPr="000B6820">
              <w:rPr>
                <w:bCs/>
                <w:lang w:val="en-US" w:eastAsia="de-CH"/>
              </w:rPr>
              <w:t xml:space="preserve">inance </w:t>
            </w:r>
            <w:r>
              <w:rPr>
                <w:bCs/>
                <w:lang w:val="en-US" w:eastAsia="de-CH"/>
              </w:rPr>
              <w:t>u</w:t>
            </w:r>
            <w:r w:rsidRPr="000B6820">
              <w:rPr>
                <w:bCs/>
                <w:lang w:val="en-US" w:eastAsia="de-CH"/>
              </w:rPr>
              <w:t xml:space="preserve">nd </w:t>
            </w:r>
            <w:r>
              <w:rPr>
                <w:bCs/>
                <w:lang w:val="en-US" w:eastAsia="de-CH"/>
              </w:rPr>
              <w:t>D</w:t>
            </w:r>
            <w:r w:rsidRPr="000B6820">
              <w:rPr>
                <w:bCs/>
                <w:lang w:val="en-US" w:eastAsia="de-CH"/>
              </w:rPr>
              <w:t xml:space="preserve">irector </w:t>
            </w:r>
            <w:r>
              <w:rPr>
                <w:bCs/>
                <w:lang w:val="en-US" w:eastAsia="de-CH"/>
              </w:rPr>
              <w:t>Risikomanagement</w:t>
            </w:r>
            <w:r w:rsidRPr="000B6820">
              <w:rPr>
                <w:bCs/>
                <w:lang w:val="en-US" w:eastAsia="de-CH"/>
              </w:rPr>
              <w:t xml:space="preserve"> (1997–2001)</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ind w:left="720"/>
              <w:rPr>
                <w:bCs/>
                <w:lang w:val="en-US" w:eastAsia="de-CH"/>
              </w:rPr>
            </w:pPr>
            <w:r w:rsidRPr="000B6820">
              <w:rPr>
                <w:bCs/>
                <w:lang w:val="en-US" w:eastAsia="de-CH"/>
              </w:rPr>
              <w:t>Chief credit officer and director of syndications (1994–1997)</w:t>
            </w:r>
          </w:p>
        </w:tc>
        <w:tc>
          <w:tcPr>
            <w:tcW w:w="1242" w:type="pct"/>
            <w:gridSpan w:val="3"/>
            <w:shd w:val="clear" w:color="auto" w:fill="auto"/>
          </w:tcPr>
          <w:p w:rsidR="004C1EBA" w:rsidRPr="000B6820" w:rsidP="004C1EBA">
            <w:pPr>
              <w:pStyle w:val="csbody00"/>
              <w:ind w:left="720"/>
              <w:rPr>
                <w:bCs/>
                <w:lang w:val="en-US" w:eastAsia="de-CH"/>
              </w:rPr>
            </w:pPr>
            <w:r w:rsidRPr="00013FD4">
              <w:rPr>
                <w:bCs/>
                <w:lang w:val="de-DE" w:eastAsia="de-CH"/>
              </w:rPr>
              <w:t>Chief Credit Officer und Director Syndikatsgeschäfte (1994–1997)</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P="004C1EBA">
            <w:pPr>
              <w:pStyle w:val="csbody00"/>
              <w:ind w:left="720"/>
              <w:rPr>
                <w:bCs/>
                <w:lang w:val="en-US" w:eastAsia="de-CH"/>
              </w:rPr>
            </w:pPr>
            <w:r w:rsidRPr="000B6820">
              <w:rPr>
                <w:bCs/>
                <w:lang w:val="en-US" w:eastAsia="de-CH"/>
              </w:rPr>
              <w:t>Head of syndications (1992–1994)</w:t>
            </w:r>
          </w:p>
        </w:tc>
        <w:tc>
          <w:tcPr>
            <w:tcW w:w="1242" w:type="pct"/>
            <w:gridSpan w:val="3"/>
            <w:shd w:val="clear" w:color="auto" w:fill="auto"/>
          </w:tcPr>
          <w:p w:rsidR="004C1EBA" w:rsidRPr="00BA5014" w:rsidP="004C1EBA">
            <w:pPr>
              <w:pStyle w:val="csbody00"/>
              <w:ind w:left="720"/>
              <w:rPr>
                <w:bCs/>
                <w:lang w:eastAsia="de-CH"/>
              </w:rPr>
            </w:pPr>
            <w:r w:rsidRPr="00BA5014">
              <w:rPr>
                <w:bCs/>
                <w:lang w:eastAsia="de-CH"/>
              </w:rPr>
              <w:t>Leiterin Syndikatsgeschäfte (1992–1994)</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bCs/>
                <w:lang w:val="en-US" w:eastAsia="de-CH"/>
              </w:rPr>
              <w:t xml:space="preserve">1974–1992 </w:t>
            </w:r>
          </w:p>
        </w:tc>
        <w:tc>
          <w:tcPr>
            <w:tcW w:w="1242" w:type="pct"/>
            <w:gridSpan w:val="3"/>
            <w:shd w:val="clear" w:color="auto" w:fill="auto"/>
          </w:tcPr>
          <w:p w:rsidR="004C1EBA" w:rsidRPr="00BA5014" w:rsidP="004C1EBA">
            <w:pPr>
              <w:pStyle w:val="csbody00"/>
              <w:rPr>
                <w:bCs/>
                <w:lang w:eastAsia="de-CH"/>
              </w:rPr>
            </w:pPr>
            <w:r w:rsidRPr="000B6820">
              <w:rPr>
                <w:bCs/>
                <w:lang w:val="en-US" w:eastAsia="de-CH"/>
              </w:rPr>
              <w:t xml:space="preserve">1974–1992 </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bCs/>
                <w:lang w:val="en-US" w:eastAsia="de-CH"/>
              </w:rPr>
            </w:pPr>
            <w:r w:rsidRPr="000B6820">
              <w:rPr>
                <w:bCs/>
                <w:lang w:val="en-US" w:eastAsia="de-CH"/>
              </w:rPr>
              <w:t>Bankers Trust Company, Houston, New York and London</w:t>
            </w:r>
          </w:p>
        </w:tc>
        <w:tc>
          <w:tcPr>
            <w:tcW w:w="1242" w:type="pct"/>
            <w:gridSpan w:val="3"/>
            <w:shd w:val="clear" w:color="auto" w:fill="auto"/>
          </w:tcPr>
          <w:p w:rsidR="004C1EBA" w:rsidRPr="000B6820" w:rsidP="004C1EBA">
            <w:pPr>
              <w:pStyle w:val="csbody00"/>
              <w:ind w:left="720"/>
              <w:rPr>
                <w:bCs/>
                <w:lang w:val="en-US" w:eastAsia="de-CH"/>
              </w:rPr>
            </w:pPr>
            <w:r w:rsidRPr="000B6820">
              <w:rPr>
                <w:bCs/>
                <w:lang w:val="en-US" w:eastAsia="de-CH"/>
              </w:rPr>
              <w:t xml:space="preserve">Bankers Trust Company, Houston, New York </w:t>
            </w:r>
            <w:r>
              <w:rPr>
                <w:bCs/>
                <w:lang w:val="en-US" w:eastAsia="de-CH"/>
              </w:rPr>
              <w:t>u</w:t>
            </w:r>
            <w:r w:rsidRPr="000B6820">
              <w:rPr>
                <w:bCs/>
                <w:lang w:val="en-US" w:eastAsia="de-CH"/>
              </w:rPr>
              <w:t>nd London</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ind w:left="720"/>
              <w:rPr>
                <w:bCs/>
                <w:lang w:val="en-US" w:eastAsia="de-CH"/>
              </w:rPr>
            </w:pPr>
            <w:r w:rsidRPr="000B6820">
              <w:rPr>
                <w:bCs/>
                <w:lang w:val="en-US" w:eastAsia="de-CH"/>
              </w:rPr>
              <w:t>Managing director, European Structured Sales (1990–1992)</w:t>
            </w:r>
          </w:p>
        </w:tc>
        <w:tc>
          <w:tcPr>
            <w:tcW w:w="1242" w:type="pct"/>
            <w:gridSpan w:val="3"/>
            <w:shd w:val="clear" w:color="auto" w:fill="auto"/>
          </w:tcPr>
          <w:p w:rsidR="004C1EBA" w:rsidRPr="000B6820" w:rsidP="004C1EBA">
            <w:pPr>
              <w:pStyle w:val="csbody00"/>
              <w:ind w:left="720"/>
              <w:rPr>
                <w:bCs/>
                <w:lang w:val="en-US" w:eastAsia="de-CH"/>
              </w:rPr>
            </w:pPr>
            <w:r w:rsidRPr="000B6820">
              <w:rPr>
                <w:bCs/>
                <w:lang w:val="en-US" w:eastAsia="de-CH"/>
              </w:rPr>
              <w:t>Ma</w:t>
            </w:r>
            <w:r>
              <w:rPr>
                <w:bCs/>
                <w:lang w:val="en-US" w:eastAsia="de-CH"/>
              </w:rPr>
              <w:t>naging Di</w:t>
            </w:r>
            <w:r w:rsidRPr="000B6820">
              <w:rPr>
                <w:bCs/>
                <w:lang w:val="en-US" w:eastAsia="de-CH"/>
              </w:rPr>
              <w:t>rector, European Structured Sales (1990–1992)</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ind w:left="720"/>
              <w:rPr>
                <w:bCs/>
                <w:lang w:val="en-US" w:eastAsia="de-CH"/>
              </w:rPr>
            </w:pPr>
            <w:r w:rsidRPr="000B6820">
              <w:rPr>
                <w:bCs/>
                <w:lang w:val="en-US" w:eastAsia="de-CH"/>
              </w:rPr>
              <w:t>Managing director, Structured Sales group (1986–1990)</w:t>
            </w:r>
          </w:p>
        </w:tc>
        <w:tc>
          <w:tcPr>
            <w:tcW w:w="1242" w:type="pct"/>
            <w:gridSpan w:val="3"/>
            <w:shd w:val="clear" w:color="auto" w:fill="auto"/>
          </w:tcPr>
          <w:p w:rsidR="004C1EBA" w:rsidRPr="000B6820" w:rsidP="004C1EBA">
            <w:pPr>
              <w:pStyle w:val="csbody00"/>
              <w:ind w:left="720"/>
              <w:rPr>
                <w:bCs/>
                <w:lang w:val="en-US" w:eastAsia="de-CH"/>
              </w:rPr>
            </w:pPr>
            <w:r w:rsidRPr="000B6820">
              <w:rPr>
                <w:bCs/>
                <w:lang w:val="en-US" w:eastAsia="de-CH"/>
              </w:rPr>
              <w:t xml:space="preserve">Managing </w:t>
            </w:r>
            <w:r>
              <w:rPr>
                <w:bCs/>
                <w:lang w:val="en-US" w:eastAsia="de-CH"/>
              </w:rPr>
              <w:t>Director, Structured Sales G</w:t>
            </w:r>
            <w:r w:rsidRPr="000B6820">
              <w:rPr>
                <w:bCs/>
                <w:lang w:val="en-US" w:eastAsia="de-CH"/>
              </w:rPr>
              <w:t>roup (1986–1990)</w:t>
            </w:r>
          </w:p>
        </w:tc>
      </w:tr>
      <w:tr w:rsidTr="00682578">
        <w:tblPrEx>
          <w:tblW w:w="5002" w:type="pct"/>
          <w:tblBorders>
            <w:insideV w:val="single" w:sz="4" w:space="0" w:color="auto"/>
          </w:tblBorders>
          <w:tblLayout w:type="fixed"/>
          <w:tblLook w:val="00A0"/>
        </w:tblPrEx>
        <w:tc>
          <w:tcPr>
            <w:tcW w:w="1242" w:type="pct"/>
            <w:gridSpan w:val="3"/>
          </w:tcPr>
          <w:p w:rsidR="004C1EBA" w:rsidRPr="00BA5014" w:rsidP="004C1EBA">
            <w:pPr>
              <w:pStyle w:val="csbody00"/>
            </w:pPr>
          </w:p>
        </w:tc>
        <w:tc>
          <w:tcPr>
            <w:tcW w:w="1257" w:type="pct"/>
            <w:gridSpan w:val="2"/>
          </w:tcPr>
          <w:p w:rsidR="004C1EBA" w:rsidRPr="00BA5014" w:rsidP="004C1EBA">
            <w:pPr>
              <w:pStyle w:val="csbody00"/>
            </w:pPr>
          </w:p>
        </w:tc>
        <w:tc>
          <w:tcPr>
            <w:tcW w:w="1260" w:type="pct"/>
            <w:gridSpan w:val="5"/>
          </w:tcPr>
          <w:p w:rsidR="004C1EBA" w:rsidRPr="000B6820" w:rsidP="004C1EBA">
            <w:pPr>
              <w:pStyle w:val="csbody00"/>
              <w:ind w:left="720"/>
              <w:rPr>
                <w:bCs/>
                <w:lang w:val="en-US" w:eastAsia="de-CH"/>
              </w:rPr>
            </w:pPr>
            <w:r w:rsidRPr="000B6820">
              <w:rPr>
                <w:bCs/>
                <w:lang w:val="en-US" w:eastAsia="de-CH"/>
              </w:rPr>
              <w:t>Division manager, Energy Finance group (1983–1986)</w:t>
            </w:r>
          </w:p>
        </w:tc>
        <w:tc>
          <w:tcPr>
            <w:tcW w:w="1242" w:type="pct"/>
            <w:gridSpan w:val="3"/>
            <w:shd w:val="clear" w:color="auto" w:fill="auto"/>
          </w:tcPr>
          <w:p w:rsidR="004C1EBA" w:rsidRPr="000B6820" w:rsidP="004C1EBA">
            <w:pPr>
              <w:pStyle w:val="csbody00"/>
              <w:ind w:left="720"/>
              <w:rPr>
                <w:bCs/>
                <w:lang w:val="en-US" w:eastAsia="de-CH"/>
              </w:rPr>
            </w:pPr>
            <w:r w:rsidRPr="000B6820">
              <w:rPr>
                <w:bCs/>
                <w:lang w:val="en-US" w:eastAsia="de-CH"/>
              </w:rPr>
              <w:t xml:space="preserve">Division </w:t>
            </w:r>
            <w:r>
              <w:rPr>
                <w:bCs/>
                <w:lang w:val="en-US" w:eastAsia="de-CH"/>
              </w:rPr>
              <w:t>M</w:t>
            </w:r>
            <w:r w:rsidRPr="000B6820">
              <w:rPr>
                <w:bCs/>
                <w:lang w:val="en-US" w:eastAsia="de-CH"/>
              </w:rPr>
              <w:t xml:space="preserve">anager, Energy Finance </w:t>
            </w:r>
            <w:r>
              <w:rPr>
                <w:bCs/>
                <w:lang w:val="en-US" w:eastAsia="de-CH"/>
              </w:rPr>
              <w:t>G</w:t>
            </w:r>
            <w:r w:rsidRPr="000B6820">
              <w:rPr>
                <w:bCs/>
                <w:lang w:val="en-US" w:eastAsia="de-CH"/>
              </w:rPr>
              <w:t>roup (1983–1986)</w:t>
            </w:r>
          </w:p>
        </w:tc>
      </w:tr>
      <w:tr w:rsidTr="00682578">
        <w:tblPrEx>
          <w:tblW w:w="5002" w:type="pct"/>
          <w:tblBorders>
            <w:insideV w:val="single" w:sz="4" w:space="0" w:color="auto"/>
          </w:tblBorders>
          <w:tblLayout w:type="fixed"/>
          <w:tblLook w:val="00A0"/>
        </w:tblPrEx>
        <w:tc>
          <w:tcPr>
            <w:tcW w:w="1242" w:type="pct"/>
            <w:gridSpan w:val="3"/>
          </w:tcPr>
          <w:p w:rsidR="004C1EBA" w:rsidRPr="00BA5014" w:rsidP="004C1EBA">
            <w:pPr>
              <w:pStyle w:val="csbody00"/>
            </w:pPr>
          </w:p>
        </w:tc>
        <w:tc>
          <w:tcPr>
            <w:tcW w:w="1257" w:type="pct"/>
            <w:gridSpan w:val="2"/>
          </w:tcPr>
          <w:p w:rsidR="004C1EBA" w:rsidRPr="00BA5014" w:rsidP="004C1EBA">
            <w:pPr>
              <w:pStyle w:val="csbody00"/>
            </w:pPr>
          </w:p>
        </w:tc>
        <w:tc>
          <w:tcPr>
            <w:tcW w:w="1260" w:type="pct"/>
            <w:gridSpan w:val="5"/>
          </w:tcPr>
          <w:p w:rsidR="004C1EBA" w:rsidRPr="000B6820" w:rsidP="004C1EBA">
            <w:pPr>
              <w:pStyle w:val="csbody00"/>
              <w:ind w:left="720"/>
              <w:rPr>
                <w:bCs/>
                <w:lang w:val="en-US" w:eastAsia="de-CH"/>
              </w:rPr>
            </w:pPr>
            <w:r w:rsidRPr="000B6820">
              <w:rPr>
                <w:bCs/>
                <w:lang w:val="en-US" w:eastAsia="de-CH"/>
              </w:rPr>
              <w:t>Various positions in New York and Houston (1974–1983)</w:t>
            </w:r>
          </w:p>
        </w:tc>
        <w:tc>
          <w:tcPr>
            <w:tcW w:w="1242" w:type="pct"/>
            <w:gridSpan w:val="3"/>
            <w:shd w:val="clear" w:color="auto" w:fill="auto"/>
          </w:tcPr>
          <w:p w:rsidR="004C1EBA" w:rsidRPr="005A78B7" w:rsidP="004C1EBA">
            <w:pPr>
              <w:pStyle w:val="csbody00"/>
              <w:ind w:left="720"/>
              <w:rPr>
                <w:bCs/>
                <w:lang w:val="de-DE" w:eastAsia="de-CH"/>
              </w:rPr>
            </w:pPr>
            <w:r w:rsidRPr="00013FD4">
              <w:rPr>
                <w:bCs/>
                <w:lang w:val="de-DE" w:eastAsia="de-CH"/>
              </w:rPr>
              <w:t xml:space="preserve">Verschiedene Positionen in New York und Houston </w:t>
            </w:r>
            <w:r w:rsidRPr="00BA5014">
              <w:rPr>
                <w:bCs/>
                <w:lang w:val="de-DE" w:eastAsia="de-CH"/>
              </w:rPr>
              <w:t>(1974–1983)</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13FD4" w:rsidP="004C1EBA">
            <w:pPr>
              <w:pStyle w:val="csbody00"/>
              <w:rPr>
                <w:bCs/>
                <w:lang w:val="de-DE" w:eastAsia="de-CH"/>
              </w:rPr>
            </w:pPr>
            <w:r w:rsidRPr="009769D5">
              <w:rPr>
                <w:rFonts w:eastAsia="MS Mincho"/>
                <w:b/>
                <w:bCs/>
                <w:lang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DA1C1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bCs/>
                <w:lang w:val="en-US" w:eastAsia="de-CH"/>
              </w:rPr>
            </w:pPr>
            <w:r w:rsidRPr="000B6820">
              <w:rPr>
                <w:bCs/>
                <w:lang w:val="en-US" w:eastAsia="de-CH"/>
              </w:rPr>
              <w:t>1974 MBA in Finance, Tuck at Dartmouth College, New Hampshire</w:t>
            </w:r>
          </w:p>
        </w:tc>
        <w:tc>
          <w:tcPr>
            <w:tcW w:w="1242" w:type="pct"/>
            <w:gridSpan w:val="3"/>
            <w:shd w:val="clear" w:color="auto" w:fill="auto"/>
          </w:tcPr>
          <w:p w:rsidR="004C1EBA" w:rsidRPr="009769D5" w:rsidP="004C1EBA">
            <w:pPr>
              <w:pStyle w:val="csbody00"/>
              <w:rPr>
                <w:bCs/>
                <w:lang w:eastAsia="de-CH"/>
              </w:rPr>
            </w:pPr>
            <w:r w:rsidRPr="000B6820">
              <w:rPr>
                <w:bCs/>
                <w:lang w:val="en-US" w:eastAsia="de-CH"/>
              </w:rPr>
              <w:t>1974 MBA in Finance, Tuck at Dartmouth College, New Hampshire</w:t>
            </w:r>
          </w:p>
        </w:tc>
      </w:tr>
      <w:tr w:rsidTr="00682578">
        <w:tblPrEx>
          <w:tblW w:w="5002" w:type="pct"/>
          <w:tblBorders>
            <w:insideV w:val="single" w:sz="4" w:space="0" w:color="auto"/>
          </w:tblBorders>
          <w:tblLayout w:type="fixed"/>
          <w:tblLook w:val="00A0"/>
        </w:tblPrEx>
        <w:tc>
          <w:tcPr>
            <w:tcW w:w="1242" w:type="pct"/>
            <w:gridSpan w:val="3"/>
          </w:tcPr>
          <w:p w:rsidR="004C1EBA" w:rsidRPr="003C5773" w:rsidP="004C1EBA">
            <w:pPr>
              <w:pStyle w:val="csbody00"/>
            </w:pPr>
          </w:p>
        </w:tc>
        <w:tc>
          <w:tcPr>
            <w:tcW w:w="1257" w:type="pct"/>
            <w:gridSpan w:val="2"/>
          </w:tcPr>
          <w:p w:rsidR="004C1EBA" w:rsidRPr="003C5773" w:rsidP="004C1EBA">
            <w:pPr>
              <w:pStyle w:val="csbody00"/>
            </w:pPr>
          </w:p>
        </w:tc>
        <w:tc>
          <w:tcPr>
            <w:tcW w:w="1260" w:type="pct"/>
            <w:gridSpan w:val="5"/>
          </w:tcPr>
          <w:p w:rsidR="004C1EBA" w:rsidRPr="000B6820" w:rsidP="004C1EBA">
            <w:pPr>
              <w:pStyle w:val="csbody00"/>
              <w:rPr>
                <w:bCs/>
                <w:lang w:val="en-US" w:eastAsia="de-CH"/>
              </w:rPr>
            </w:pPr>
            <w:r w:rsidRPr="000B6820">
              <w:rPr>
                <w:bCs/>
                <w:lang w:val="en-US" w:eastAsia="de-CH"/>
              </w:rPr>
              <w:t>1971 BA in Mathematics, The College of Mount Saint Vincent, New York</w:t>
            </w:r>
          </w:p>
        </w:tc>
        <w:tc>
          <w:tcPr>
            <w:tcW w:w="1242" w:type="pct"/>
            <w:gridSpan w:val="3"/>
            <w:shd w:val="clear" w:color="auto" w:fill="auto"/>
          </w:tcPr>
          <w:p w:rsidR="004C1EBA" w:rsidRPr="000B6820" w:rsidP="004C1EBA">
            <w:pPr>
              <w:pStyle w:val="csbody00"/>
              <w:rPr>
                <w:bCs/>
                <w:lang w:val="en-US" w:eastAsia="de-CH"/>
              </w:rPr>
            </w:pPr>
            <w:r w:rsidRPr="000B6820">
              <w:rPr>
                <w:bCs/>
                <w:lang w:val="en-US" w:eastAsia="de-CH"/>
              </w:rPr>
              <w:t>1971 BA in Mathemati</w:t>
            </w:r>
            <w:r>
              <w:rPr>
                <w:bCs/>
                <w:lang w:val="en-US" w:eastAsia="de-CH"/>
              </w:rPr>
              <w:t>k</w:t>
            </w:r>
            <w:r w:rsidRPr="000B6820">
              <w:rPr>
                <w:bCs/>
                <w:lang w:val="en-US" w:eastAsia="de-CH"/>
              </w:rPr>
              <w:t>, The College of Mount Saint Vincent, New York</w:t>
            </w:r>
          </w:p>
        </w:tc>
      </w:tr>
      <w:tr w:rsidTr="00682578">
        <w:tblPrEx>
          <w:tblW w:w="5002" w:type="pct"/>
          <w:tblBorders>
            <w:insideV w:val="single" w:sz="4" w:space="0" w:color="auto"/>
          </w:tblBorders>
          <w:tblLayout w:type="fixed"/>
          <w:tblLook w:val="00A0"/>
        </w:tblPrEx>
        <w:tc>
          <w:tcPr>
            <w:tcW w:w="1242" w:type="pct"/>
            <w:gridSpan w:val="3"/>
          </w:tcPr>
          <w:p w:rsidR="004C1EBA" w:rsidRPr="003C5773" w:rsidP="004C1EBA">
            <w:pPr>
              <w:pStyle w:val="csbody00"/>
            </w:pPr>
          </w:p>
        </w:tc>
        <w:tc>
          <w:tcPr>
            <w:tcW w:w="1257" w:type="pct"/>
            <w:gridSpan w:val="2"/>
          </w:tcPr>
          <w:p w:rsidR="004C1EBA" w:rsidRPr="003C5773" w:rsidP="004C1EBA">
            <w:pPr>
              <w:pStyle w:val="csbody00"/>
            </w:pPr>
          </w:p>
        </w:tc>
        <w:tc>
          <w:tcPr>
            <w:tcW w:w="1260" w:type="pct"/>
            <w:gridSpan w:val="5"/>
          </w:tcPr>
          <w:p w:rsidR="004C1EBA" w:rsidRPr="000B6820" w:rsidP="004C1EBA">
            <w:pPr>
              <w:pStyle w:val="csbody00"/>
              <w:rPr>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0B6820" w:rsidP="004C1EBA">
            <w:pPr>
              <w:pStyle w:val="csbody00"/>
              <w:rPr>
                <w:bCs/>
                <w:lang w:val="en-US" w:eastAsia="de-CH"/>
              </w:rPr>
            </w:pPr>
            <w:r w:rsidRPr="00013FD4">
              <w:rPr>
                <w:rFonts w:eastAsia="MS Mincho"/>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3C5773" w:rsidP="004C1EBA">
            <w:pPr>
              <w:pStyle w:val="csbody00"/>
            </w:pPr>
          </w:p>
        </w:tc>
        <w:tc>
          <w:tcPr>
            <w:tcW w:w="1257" w:type="pct"/>
            <w:gridSpan w:val="2"/>
          </w:tcPr>
          <w:p w:rsidR="004C1EBA" w:rsidRPr="003C5773" w:rsidP="004C1EBA">
            <w:pPr>
              <w:pStyle w:val="csbody00"/>
            </w:pPr>
          </w:p>
        </w:tc>
        <w:tc>
          <w:tcPr>
            <w:tcW w:w="1260" w:type="pct"/>
            <w:gridSpan w:val="5"/>
          </w:tcPr>
          <w:p w:rsidR="004C1EBA" w:rsidRPr="000B6820" w:rsidP="004C1EBA">
            <w:pPr>
              <w:pStyle w:val="csbody00"/>
              <w:rPr>
                <w:bCs/>
                <w:lang w:val="en-US" w:eastAsia="de-CH"/>
              </w:rPr>
            </w:pPr>
            <w:r>
              <w:rPr>
                <w:bCs/>
                <w:lang w:val="en-US" w:eastAsia="de-CH"/>
              </w:rPr>
              <w:t>British Bankers' Association BBA, chair</w:t>
            </w:r>
          </w:p>
        </w:tc>
        <w:tc>
          <w:tcPr>
            <w:tcW w:w="1242" w:type="pct"/>
            <w:gridSpan w:val="3"/>
            <w:shd w:val="clear" w:color="auto" w:fill="auto"/>
          </w:tcPr>
          <w:p w:rsidR="004C1EBA" w:rsidRPr="00013FD4">
            <w:pPr>
              <w:pStyle w:val="csbody00"/>
              <w:rPr>
                <w:bCs/>
                <w:lang w:val="de-DE" w:eastAsia="de-CH"/>
              </w:rPr>
            </w:pPr>
            <w:r>
              <w:rPr>
                <w:bCs/>
                <w:lang w:val="de-DE" w:eastAsia="de-CH"/>
              </w:rPr>
              <w:t>Britische Bankiervereinigung BBA, Vorsitzende</w:t>
            </w:r>
          </w:p>
        </w:tc>
      </w:tr>
      <w:tr w:rsidTr="00682578">
        <w:tblPrEx>
          <w:tblW w:w="5002" w:type="pct"/>
          <w:tblBorders>
            <w:insideV w:val="single" w:sz="4" w:space="0" w:color="auto"/>
          </w:tblBorders>
          <w:tblLayout w:type="fixed"/>
          <w:tblLook w:val="00A0"/>
        </w:tblPrEx>
        <w:tc>
          <w:tcPr>
            <w:tcW w:w="1242" w:type="pct"/>
            <w:gridSpan w:val="3"/>
          </w:tcPr>
          <w:p w:rsidR="004C1EBA" w:rsidRPr="003C5773" w:rsidP="004C1EBA">
            <w:pPr>
              <w:pStyle w:val="csbody00"/>
            </w:pPr>
          </w:p>
        </w:tc>
        <w:tc>
          <w:tcPr>
            <w:tcW w:w="1257" w:type="pct"/>
            <w:gridSpan w:val="2"/>
          </w:tcPr>
          <w:p w:rsidR="004C1EBA" w:rsidRPr="003C5773" w:rsidP="004C1EBA">
            <w:pPr>
              <w:pStyle w:val="csbody00"/>
            </w:pPr>
          </w:p>
        </w:tc>
        <w:tc>
          <w:tcPr>
            <w:tcW w:w="1260" w:type="pct"/>
            <w:gridSpan w:val="5"/>
          </w:tcPr>
          <w:p w:rsidR="004C1EBA" w:rsidRPr="000B6820" w:rsidP="004C1EBA">
            <w:pPr>
              <w:pStyle w:val="csbody00"/>
              <w:rPr>
                <w:rFonts w:eastAsia="MS Mincho"/>
                <w:b/>
                <w:bCs/>
                <w:lang w:val="en-US" w:eastAsia="de-CH"/>
              </w:rPr>
            </w:pPr>
            <w:r w:rsidRPr="000B6820">
              <w:rPr>
                <w:bCs/>
                <w:lang w:val="en-US" w:eastAsia="de-CH"/>
              </w:rPr>
              <w:t>Newmont Mining Corporation, board member</w:t>
            </w:r>
          </w:p>
        </w:tc>
        <w:tc>
          <w:tcPr>
            <w:tcW w:w="1242" w:type="pct"/>
            <w:gridSpan w:val="3"/>
            <w:shd w:val="clear" w:color="auto" w:fill="auto"/>
          </w:tcPr>
          <w:p w:rsidR="004C1EBA" w:rsidRPr="00F36E74" w:rsidP="004C1EBA">
            <w:pPr>
              <w:pStyle w:val="csbody00"/>
              <w:rPr>
                <w:rFonts w:eastAsia="MS Mincho"/>
                <w:b/>
                <w:bCs/>
                <w:lang w:val="de-DE" w:eastAsia="de-CH"/>
              </w:rPr>
            </w:pPr>
            <w:r w:rsidRPr="00013FD4">
              <w:rPr>
                <w:bCs/>
                <w:lang w:val="de-DE" w:eastAsia="de-CH"/>
              </w:rPr>
              <w:t>Newmont Mining Corporation,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bCs/>
                <w:lang w:val="en-US" w:eastAsia="de-CH"/>
              </w:rPr>
            </w:pPr>
            <w:r w:rsidRPr="000B6820">
              <w:rPr>
                <w:bCs/>
                <w:lang w:val="en-US" w:eastAsia="de-CH"/>
              </w:rPr>
              <w:t>Macquarie Infrastructure Funds, advisory panel member</w:t>
            </w:r>
          </w:p>
        </w:tc>
        <w:tc>
          <w:tcPr>
            <w:tcW w:w="1242" w:type="pct"/>
            <w:gridSpan w:val="3"/>
            <w:shd w:val="clear" w:color="auto" w:fill="auto"/>
          </w:tcPr>
          <w:p w:rsidR="004C1EBA" w:rsidRPr="00F36E74" w:rsidP="004C1EBA">
            <w:pPr>
              <w:pStyle w:val="csbody00"/>
              <w:rPr>
                <w:bCs/>
                <w:lang w:val="de-DE" w:eastAsia="de-CH"/>
              </w:rPr>
            </w:pPr>
            <w:r w:rsidRPr="00013FD4">
              <w:rPr>
                <w:bCs/>
                <w:lang w:val="de-DE" w:eastAsia="de-CH"/>
              </w:rPr>
              <w:t>Macquarie Infrastructure Funds, Mitglied des Beratungspanels</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bCs/>
                <w:lang w:val="en-US" w:eastAsia="de-CH"/>
              </w:rPr>
            </w:pPr>
            <w:r w:rsidRPr="000B6820">
              <w:rPr>
                <w:bCs/>
                <w:lang w:val="en-US" w:eastAsia="de-CH"/>
              </w:rPr>
              <w:t>Sapphire Partners, advisory board member</w:t>
            </w:r>
          </w:p>
        </w:tc>
        <w:tc>
          <w:tcPr>
            <w:tcW w:w="1242" w:type="pct"/>
            <w:gridSpan w:val="3"/>
            <w:shd w:val="clear" w:color="auto" w:fill="auto"/>
          </w:tcPr>
          <w:p w:rsidR="004C1EBA" w:rsidRPr="00F36E74" w:rsidP="004C1EBA">
            <w:pPr>
              <w:pStyle w:val="csbody00"/>
              <w:rPr>
                <w:bCs/>
                <w:lang w:val="de-DE" w:eastAsia="de-CH"/>
              </w:rPr>
            </w:pPr>
            <w:r w:rsidRPr="00F36E74">
              <w:rPr>
                <w:bCs/>
                <w:lang w:val="de-DE" w:eastAsia="de-CH"/>
              </w:rPr>
              <w:t>Sapphire Partners, Mitglied des Beirats</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bCs/>
                <w:lang w:val="en-US" w:eastAsia="de-CH"/>
              </w:rPr>
            </w:pPr>
            <w:r w:rsidRPr="000B6820">
              <w:rPr>
                <w:bCs/>
                <w:lang w:val="en-US" w:eastAsia="de-CH"/>
              </w:rPr>
              <w:t>Marymount International School, London, chair of the board of governors</w:t>
            </w:r>
          </w:p>
        </w:tc>
        <w:tc>
          <w:tcPr>
            <w:tcW w:w="1242" w:type="pct"/>
            <w:gridSpan w:val="3"/>
            <w:shd w:val="clear" w:color="auto" w:fill="auto"/>
          </w:tcPr>
          <w:p w:rsidR="004C1EBA" w:rsidRPr="000B6820" w:rsidP="004C1EBA">
            <w:pPr>
              <w:pStyle w:val="csbody00"/>
              <w:rPr>
                <w:bCs/>
                <w:lang w:val="en-US" w:eastAsia="de-CH"/>
              </w:rPr>
            </w:pPr>
            <w:r w:rsidRPr="000B6820">
              <w:rPr>
                <w:bCs/>
                <w:lang w:val="en-US" w:eastAsia="de-CH"/>
              </w:rPr>
              <w:t xml:space="preserve">Marymount International School, London, </w:t>
            </w:r>
            <w:r>
              <w:rPr>
                <w:bCs/>
                <w:lang w:val="en-US" w:eastAsia="de-CH"/>
              </w:rPr>
              <w:t>Vorsitzende des B</w:t>
            </w:r>
            <w:r w:rsidRPr="000B6820">
              <w:rPr>
                <w:bCs/>
                <w:lang w:val="en-US" w:eastAsia="de-CH"/>
              </w:rPr>
              <w:t xml:space="preserve">oard of </w:t>
            </w:r>
            <w:r>
              <w:rPr>
                <w:bCs/>
                <w:lang w:val="en-US" w:eastAsia="de-CH"/>
              </w:rPr>
              <w:t>G</w:t>
            </w:r>
            <w:r w:rsidRPr="000B6820">
              <w:rPr>
                <w:bCs/>
                <w:lang w:val="en-US" w:eastAsia="de-CH"/>
              </w:rPr>
              <w:t>overnors</w:t>
            </w:r>
          </w:p>
        </w:tc>
      </w:tr>
      <w:tr w:rsidTr="00682578">
        <w:tblPrEx>
          <w:tblW w:w="5002" w:type="pct"/>
          <w:tblBorders>
            <w:insideV w:val="single" w:sz="4" w:space="0" w:color="auto"/>
          </w:tblBorders>
          <w:tblLayout w:type="fixed"/>
          <w:tblLook w:val="00A0"/>
        </w:tblPrEx>
        <w:tc>
          <w:tcPr>
            <w:tcW w:w="1242" w:type="pct"/>
            <w:gridSpan w:val="3"/>
          </w:tcPr>
          <w:p w:rsidR="004C1EBA" w:rsidRPr="003C5773" w:rsidP="004C1EBA">
            <w:pPr>
              <w:pStyle w:val="csbody00"/>
            </w:pPr>
          </w:p>
        </w:tc>
        <w:tc>
          <w:tcPr>
            <w:tcW w:w="1257" w:type="pct"/>
            <w:gridSpan w:val="2"/>
          </w:tcPr>
          <w:p w:rsidR="004C1EBA" w:rsidRPr="003C5773" w:rsidP="004C1EBA">
            <w:pPr>
              <w:pStyle w:val="csbody00"/>
            </w:pPr>
          </w:p>
        </w:tc>
        <w:tc>
          <w:tcPr>
            <w:tcW w:w="1260" w:type="pct"/>
            <w:gridSpan w:val="5"/>
          </w:tcPr>
          <w:p w:rsidR="004C1EBA" w:rsidRPr="000B6820" w:rsidP="004C1EBA">
            <w:pPr>
              <w:pStyle w:val="csbody00"/>
              <w:rPr>
                <w:bCs/>
                <w:lang w:val="en-US" w:eastAsia="de-CH"/>
              </w:rPr>
            </w:pPr>
            <w:r w:rsidRPr="000B6820">
              <w:rPr>
                <w:bCs/>
                <w:lang w:val="en-US" w:eastAsia="de-CH"/>
              </w:rPr>
              <w:t>Women in Banking and Finance in London, patron</w:t>
            </w:r>
          </w:p>
        </w:tc>
        <w:tc>
          <w:tcPr>
            <w:tcW w:w="1242" w:type="pct"/>
            <w:gridSpan w:val="3"/>
            <w:shd w:val="clear" w:color="auto" w:fill="auto"/>
          </w:tcPr>
          <w:p w:rsidR="004C1EBA" w:rsidRPr="000B6820" w:rsidP="004C1EBA">
            <w:pPr>
              <w:pStyle w:val="csbody00"/>
              <w:rPr>
                <w:bCs/>
                <w:lang w:val="en-US" w:eastAsia="de-CH"/>
              </w:rPr>
            </w:pPr>
            <w:r w:rsidRPr="000B6820">
              <w:rPr>
                <w:bCs/>
                <w:lang w:val="en-US" w:eastAsia="de-CH"/>
              </w:rPr>
              <w:t xml:space="preserve">Women in Banking and Finance in London, </w:t>
            </w:r>
            <w:r>
              <w:rPr>
                <w:bCs/>
                <w:lang w:val="en-US" w:eastAsia="de-CH"/>
              </w:rPr>
              <w:t>Schirmherrin</w:t>
            </w:r>
          </w:p>
        </w:tc>
      </w:tr>
      <w:tr w:rsidTr="00682578">
        <w:tblPrEx>
          <w:tblW w:w="5002" w:type="pct"/>
          <w:tblBorders>
            <w:insideV w:val="single" w:sz="4" w:space="0" w:color="auto"/>
          </w:tblBorders>
          <w:tblLayout w:type="fixed"/>
          <w:tblLook w:val="00A0"/>
        </w:tblPrEx>
        <w:tc>
          <w:tcPr>
            <w:tcW w:w="1242" w:type="pct"/>
            <w:gridSpan w:val="3"/>
          </w:tcPr>
          <w:p w:rsidR="004C1EBA" w:rsidRPr="003C5773" w:rsidP="004C1EBA">
            <w:pPr>
              <w:pStyle w:val="csbody00"/>
            </w:pPr>
          </w:p>
        </w:tc>
        <w:tc>
          <w:tcPr>
            <w:tcW w:w="1257" w:type="pct"/>
            <w:gridSpan w:val="2"/>
          </w:tcPr>
          <w:p w:rsidR="004C1EBA" w:rsidRPr="003C5773" w:rsidP="004C1EBA">
            <w:pPr>
              <w:pStyle w:val="csbody00"/>
            </w:pPr>
          </w:p>
        </w:tc>
        <w:tc>
          <w:tcPr>
            <w:tcW w:w="1260" w:type="pct"/>
            <w:gridSpan w:val="5"/>
          </w:tcPr>
          <w:p w:rsidR="004C1EBA" w:rsidRPr="000B6820" w:rsidP="004C1EBA">
            <w:pPr>
              <w:pStyle w:val="csbody00"/>
              <w:rPr>
                <w:bCs/>
                <w:lang w:val="en-US" w:eastAsia="de-CH"/>
              </w:rPr>
            </w:pPr>
            <w:r w:rsidRPr="003C5773">
              <w:rPr>
                <w:bCs/>
                <w:lang w:val="en-US" w:eastAsia="de-CH"/>
              </w:rPr>
              <w:t>Tuck European Advisory Board, member</w:t>
            </w:r>
          </w:p>
        </w:tc>
        <w:tc>
          <w:tcPr>
            <w:tcW w:w="1242" w:type="pct"/>
            <w:gridSpan w:val="3"/>
            <w:shd w:val="clear" w:color="auto" w:fill="auto"/>
          </w:tcPr>
          <w:p w:rsidR="004C1EBA" w:rsidRPr="000B6820" w:rsidP="004C1EBA">
            <w:pPr>
              <w:pStyle w:val="csbody00"/>
              <w:rPr>
                <w:bCs/>
                <w:lang w:val="en-US" w:eastAsia="de-CH"/>
              </w:rPr>
            </w:pPr>
            <w:r w:rsidRPr="003C5773">
              <w:rPr>
                <w:bCs/>
                <w:lang w:val="en-US" w:eastAsia="de-CH"/>
              </w:rPr>
              <w:t>Tuck European Advisory Board, Mitglied</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r w:rsidRPr="00324233">
              <w:t>Andreas N. Koopmann</w:t>
            </w:r>
          </w:p>
        </w:tc>
        <w:tc>
          <w:tcPr>
            <w:tcW w:w="1257" w:type="pct"/>
            <w:gridSpan w:val="2"/>
          </w:tcPr>
          <w:p w:rsidR="004C1EBA" w:rsidRPr="00324233" w:rsidP="004C1EBA">
            <w:pPr>
              <w:pStyle w:val="csbody00"/>
              <w:jc w:val="left"/>
              <w:rPr>
                <w:lang w:val="de-CH"/>
              </w:rPr>
            </w:pPr>
            <w:r w:rsidRPr="00324233">
              <w:rPr>
                <w:lang w:val="de-CH"/>
              </w:rPr>
              <w:t>Credit Suisse AG</w:t>
            </w:r>
            <w:r w:rsidRPr="00324233">
              <w:rPr>
                <w:lang w:val="de-CH"/>
              </w:rPr>
              <w:br/>
              <w:t>Paradeplatz 8</w:t>
            </w:r>
            <w:r w:rsidRPr="00324233">
              <w:rPr>
                <w:lang w:val="de-CH"/>
              </w:rPr>
              <w:br/>
              <w:t>8001 Zurich</w:t>
            </w:r>
            <w:r w:rsidRPr="00324233">
              <w:rPr>
                <w:lang w:val="de-CH"/>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pPr>
            <w:r w:rsidRPr="000B6820">
              <w:rPr>
                <w:rFonts w:eastAsia="MS Mincho"/>
                <w:bCs/>
                <w:lang w:val="en-US" w:eastAsia="de-CH"/>
              </w:rPr>
              <w:t xml:space="preserve">2009–present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83513B" w:rsidP="004C1EBA">
            <w:pPr>
              <w:pStyle w:val="csbody00"/>
              <w:rPr>
                <w:lang w:val="de-DE"/>
              </w:rPr>
            </w:pPr>
            <w:r w:rsidRPr="00013FD4">
              <w:rPr>
                <w:rFonts w:eastAsia="MS Mincho"/>
                <w:bCs/>
                <w:lang w:val="de-DE" w:eastAsia="de-CH"/>
              </w:rPr>
              <w:t xml:space="preserve">2009 bis heute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
                <w:bCs/>
                <w:lang w:val="en-US" w:eastAsia="de-CH"/>
              </w:rPr>
            </w:pPr>
            <w:r w:rsidRPr="000B6820">
              <w:rPr>
                <w:rFonts w:eastAsia="MS Mincho"/>
                <w:bCs/>
                <w:lang w:val="en-US" w:eastAsia="de-CH"/>
              </w:rPr>
              <w:t>Credit Suisse</w:t>
            </w:r>
          </w:p>
        </w:tc>
        <w:tc>
          <w:tcPr>
            <w:tcW w:w="1242" w:type="pct"/>
            <w:gridSpan w:val="3"/>
            <w:shd w:val="clear" w:color="auto" w:fill="auto"/>
          </w:tcPr>
          <w:p w:rsidR="004C1EBA" w:rsidRPr="00013FD4" w:rsidP="004C1EBA">
            <w:pPr>
              <w:pStyle w:val="csbody00"/>
              <w:ind w:left="720"/>
              <w:rPr>
                <w:rFonts w:eastAsia="MS Mincho"/>
                <w:b/>
                <w:bCs/>
                <w:lang w:val="de-DE" w:eastAsia="de-CH"/>
              </w:rPr>
            </w:pPr>
            <w:r w:rsidRPr="00013FD4">
              <w:rPr>
                <w:rFonts w:eastAsia="MS Mincho"/>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BD6217" w:rsidP="004C1EBA">
            <w:pPr>
              <w:pStyle w:val="csbody00"/>
              <w:ind w:left="720"/>
              <w:rPr>
                <w:rFonts w:eastAsia="MS Mincho"/>
                <w:bCs/>
                <w:lang w:val="en-US" w:eastAsia="de-CH"/>
              </w:rPr>
            </w:pPr>
            <w:r w:rsidRPr="000B6820">
              <w:rPr>
                <w:rFonts w:eastAsia="MS Mincho"/>
                <w:bCs/>
                <w:lang w:val="en-US" w:eastAsia="de-CH"/>
              </w:rPr>
              <w:t>Member of the Compensation Committee (2013–present)</w:t>
            </w:r>
          </w:p>
        </w:tc>
        <w:tc>
          <w:tcPr>
            <w:tcW w:w="1242" w:type="pct"/>
            <w:gridSpan w:val="3"/>
            <w:shd w:val="clear" w:color="auto" w:fill="auto"/>
          </w:tcPr>
          <w:p w:rsidR="004C1EBA" w:rsidRPr="00A47F87" w:rsidP="004C1EBA">
            <w:pPr>
              <w:pStyle w:val="csbody00"/>
              <w:ind w:left="720"/>
              <w:rPr>
                <w:rFonts w:eastAsia="MS Mincho"/>
                <w:bCs/>
                <w:lang w:val="de-DE" w:eastAsia="de-CH"/>
              </w:rPr>
            </w:pPr>
            <w:r w:rsidRPr="00013FD4">
              <w:rPr>
                <w:rFonts w:eastAsia="MS Mincho"/>
                <w:bCs/>
                <w:lang w:val="de-DE" w:eastAsia="de-CH"/>
              </w:rPr>
              <w:t>Mitglied des Vergütungsausschusses (2013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Risk Committee (2009–present)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 xml:space="preserve">Mitglied des Risk Committee (2009 bis </w:t>
            </w:r>
            <w:r w:rsidRPr="00A47F87">
              <w:rPr>
                <w:rFonts w:eastAsia="MS Mincho"/>
                <w:bCs/>
                <w:lang w:val="de-DE" w:eastAsia="de-CH"/>
              </w:rPr>
              <w:t>heute)</w:t>
            </w:r>
          </w:p>
        </w:tc>
      </w:tr>
      <w:tr w:rsidTr="00682578">
        <w:tblPrEx>
          <w:tblW w:w="5002" w:type="pct"/>
          <w:tblBorders>
            <w:insideV w:val="single" w:sz="4" w:space="0" w:color="auto"/>
          </w:tblBorders>
          <w:tblLayout w:type="fixed"/>
          <w:tblLook w:val="00A0"/>
        </w:tblPrEx>
        <w:tc>
          <w:tcPr>
            <w:tcW w:w="1242" w:type="pct"/>
            <w:gridSpan w:val="3"/>
          </w:tcPr>
          <w:p w:rsidR="004C1EBA" w:rsidRPr="00A47F87"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1982–2009</w:t>
            </w:r>
          </w:p>
        </w:tc>
        <w:tc>
          <w:tcPr>
            <w:tcW w:w="1242" w:type="pct"/>
            <w:gridSpan w:val="3"/>
            <w:shd w:val="clear" w:color="auto" w:fill="auto"/>
          </w:tcPr>
          <w:p w:rsidR="004C1EBA" w:rsidRPr="00013FD4" w:rsidP="004C1EBA">
            <w:pPr>
              <w:pStyle w:val="csbody00"/>
              <w:rPr>
                <w:rFonts w:eastAsia="MS Mincho"/>
                <w:bCs/>
                <w:lang w:val="de-DE" w:eastAsia="de-CH"/>
              </w:rPr>
            </w:pPr>
            <w:r w:rsidRPr="00A47F87">
              <w:rPr>
                <w:rFonts w:eastAsia="MS Mincho"/>
                <w:bCs/>
                <w:lang w:val="de-DE" w:eastAsia="de-CH"/>
              </w:rPr>
              <w:t>1982–2009</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Bobst Group S.A., Lausanne</w:t>
            </w:r>
          </w:p>
        </w:tc>
        <w:tc>
          <w:tcPr>
            <w:tcW w:w="1242" w:type="pct"/>
            <w:gridSpan w:val="3"/>
            <w:shd w:val="clear" w:color="auto" w:fill="auto"/>
          </w:tcPr>
          <w:p w:rsidR="004C1EBA" w:rsidRPr="00A47F87" w:rsidP="004C1EBA">
            <w:pPr>
              <w:pStyle w:val="csbody00"/>
              <w:ind w:left="720"/>
              <w:rPr>
                <w:rFonts w:eastAsia="MS Mincho"/>
                <w:bCs/>
                <w:lang w:eastAsia="de-CH"/>
              </w:rPr>
            </w:pPr>
            <w:r w:rsidRPr="00A47F87">
              <w:rPr>
                <w:rFonts w:eastAsia="MS Mincho"/>
                <w:bCs/>
                <w:lang w:eastAsia="de-CH"/>
              </w:rPr>
              <w:t>Bobst Group S.A., Lausanne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Group CEO (1995–2009)</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CEO der Gruppe (1995–2009)</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board (1998–2002)</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Mitglied des Verwaltungsrats (1998–2002)</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Executive Vice President (1994–1995)</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A47F87">
              <w:rPr>
                <w:rFonts w:eastAsia="MS Mincho"/>
                <w:bCs/>
                <w:lang w:eastAsia="de-CH"/>
              </w:rPr>
              <w:t>Executive Vice President (1994–1995)</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Member of the Group Executive Committee, head of manufacturing (1991–1994)</w:t>
            </w:r>
          </w:p>
        </w:tc>
        <w:tc>
          <w:tcPr>
            <w:tcW w:w="1242" w:type="pct"/>
            <w:gridSpan w:val="3"/>
            <w:shd w:val="clear" w:color="auto" w:fill="auto"/>
          </w:tcPr>
          <w:p w:rsidR="004C1EBA" w:rsidRPr="00A47F87" w:rsidP="004C1EBA">
            <w:pPr>
              <w:pStyle w:val="csbody00"/>
              <w:ind w:left="720"/>
              <w:rPr>
                <w:rFonts w:eastAsia="MS Mincho"/>
                <w:bCs/>
                <w:lang w:val="de-DE" w:eastAsia="de-CH"/>
              </w:rPr>
            </w:pPr>
            <w:r w:rsidRPr="00A47F87">
              <w:rPr>
                <w:rFonts w:eastAsia="MS Mincho"/>
                <w:bCs/>
                <w:lang w:val="de-DE" w:eastAsia="de-CH"/>
              </w:rPr>
              <w:t>Mitglied des Group Executive Committee, Leiter Fertigung (1991–1994)</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Management positions in engineering and manufacturing (1982–1991)</w:t>
            </w:r>
          </w:p>
        </w:tc>
        <w:tc>
          <w:tcPr>
            <w:tcW w:w="1242" w:type="pct"/>
            <w:gridSpan w:val="3"/>
            <w:shd w:val="clear" w:color="auto" w:fill="auto"/>
          </w:tcPr>
          <w:p w:rsidR="004C1EBA" w:rsidRPr="00A47F87" w:rsidP="004C1EBA">
            <w:pPr>
              <w:pStyle w:val="csbody00"/>
              <w:ind w:left="720"/>
              <w:rPr>
                <w:rFonts w:eastAsia="MS Mincho"/>
                <w:bCs/>
                <w:lang w:val="de-DE" w:eastAsia="de-CH"/>
              </w:rPr>
            </w:pPr>
            <w:r w:rsidRPr="00013FD4">
              <w:rPr>
                <w:rFonts w:eastAsia="MS Mincho"/>
                <w:bCs/>
                <w:lang w:val="de-DE" w:eastAsia="de-CH"/>
              </w:rPr>
              <w:t>Führungspositionen in den Bereichen Technik und Fertigung (1982–1991)</w:t>
            </w:r>
          </w:p>
        </w:tc>
      </w:tr>
      <w:tr w:rsidTr="00682578">
        <w:tblPrEx>
          <w:tblW w:w="5002" w:type="pct"/>
          <w:tblBorders>
            <w:insideV w:val="single" w:sz="4" w:space="0" w:color="auto"/>
          </w:tblBorders>
          <w:tblLayout w:type="fixed"/>
          <w:tblLook w:val="00A0"/>
        </w:tblPrEx>
        <w:tc>
          <w:tcPr>
            <w:tcW w:w="1242" w:type="pct"/>
            <w:gridSpan w:val="3"/>
          </w:tcPr>
          <w:p w:rsidR="004C1EBA" w:rsidRPr="006B7CB6" w:rsidP="004C1EBA">
            <w:pPr>
              <w:pStyle w:val="csbody00"/>
              <w:rPr>
                <w:lang w:val="de-DE"/>
              </w:rPr>
            </w:pPr>
          </w:p>
        </w:tc>
        <w:tc>
          <w:tcPr>
            <w:tcW w:w="1257" w:type="pct"/>
            <w:gridSpan w:val="2"/>
          </w:tcPr>
          <w:p w:rsidR="004C1EBA" w:rsidRPr="006B7CB6" w:rsidP="004C1EBA">
            <w:pPr>
              <w:pStyle w:val="csbody00"/>
              <w:rPr>
                <w:lang w:val="de-DE"/>
              </w:rPr>
            </w:pPr>
          </w:p>
        </w:tc>
        <w:tc>
          <w:tcPr>
            <w:tcW w:w="1260" w:type="pct"/>
            <w:gridSpan w:val="5"/>
          </w:tcPr>
          <w:p w:rsidR="004C1EBA" w:rsidRPr="00BD6217" w:rsidP="004C1EBA">
            <w:pPr>
              <w:pStyle w:val="csbody00"/>
              <w:rPr>
                <w:rFonts w:eastAsia="MS Mincho"/>
                <w:bCs/>
                <w:lang w:val="en-US" w:eastAsia="de-CH"/>
              </w:rPr>
            </w:pPr>
            <w:r w:rsidRPr="000B6820">
              <w:rPr>
                <w:rFonts w:eastAsia="MS Mincho"/>
                <w:bCs/>
                <w:lang w:val="en-US" w:eastAsia="de-CH"/>
              </w:rPr>
              <w:t xml:space="preserve">1979–1982 </w:t>
            </w:r>
          </w:p>
        </w:tc>
        <w:tc>
          <w:tcPr>
            <w:tcW w:w="1242" w:type="pct"/>
            <w:gridSpan w:val="3"/>
            <w:shd w:val="clear" w:color="auto" w:fill="auto"/>
          </w:tcPr>
          <w:p w:rsidR="004C1EBA" w:rsidRPr="00A47F87" w:rsidP="004C1EBA">
            <w:pPr>
              <w:pStyle w:val="csbody00"/>
              <w:rPr>
                <w:rFonts w:eastAsia="MS Mincho"/>
                <w:bCs/>
                <w:lang w:val="de-DE" w:eastAsia="de-CH"/>
              </w:rPr>
            </w:pPr>
            <w:r w:rsidRPr="00013FD4">
              <w:rPr>
                <w:rFonts w:eastAsia="MS Mincho"/>
                <w:bCs/>
                <w:lang w:val="de-DE" w:eastAsia="de-CH"/>
              </w:rPr>
              <w:t xml:space="preserve">1979–1982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Bruno Piatti AG and Motor Columbus AG, various positions</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Bruno Piatti AG und Motor Columbus AG, verschiedene Positionen</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1978 MBA, International Institute for Management Development, Switzerland</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Cs/>
                <w:lang w:val="de-DE" w:eastAsia="de-CH"/>
              </w:rPr>
              <w:t>1978 MBA, International Institute for Management Development, Schweiz</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1976 Master’s degree in Mechanical Engineering, Swiss Federal Institute of Technology, Switzerland</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1976 Diplom als Maschineningenieur, Eidgenössische Technische Hochschule (ETH), Schweiz</w:t>
            </w:r>
          </w:p>
        </w:tc>
      </w:tr>
      <w:tr w:rsidTr="00682578">
        <w:tblPrEx>
          <w:tblW w:w="5002" w:type="pct"/>
          <w:tblBorders>
            <w:insideV w:val="single" w:sz="4" w:space="0" w:color="auto"/>
          </w:tblBorders>
          <w:tblLayout w:type="fixed"/>
          <w:tblLook w:val="00A0"/>
        </w:tblPrEx>
        <w:tc>
          <w:tcPr>
            <w:tcW w:w="1242" w:type="pct"/>
            <w:gridSpan w:val="3"/>
          </w:tcPr>
          <w:p w:rsidR="004C1EBA" w:rsidRPr="006B7CB6" w:rsidP="004C1EBA">
            <w:pPr>
              <w:pStyle w:val="csbody00"/>
              <w:rPr>
                <w:lang w:val="de-DE"/>
              </w:rPr>
            </w:pPr>
          </w:p>
        </w:tc>
        <w:tc>
          <w:tcPr>
            <w:tcW w:w="1257" w:type="pct"/>
            <w:gridSpan w:val="2"/>
          </w:tcPr>
          <w:p w:rsidR="004C1EBA" w:rsidRPr="006B7CB6"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A47F87"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Nestlé SA, board member and vice-chairman</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Nestlé SA, Mitglied des Verwaltungsrats und Vize- Präsident</w:t>
            </w:r>
          </w:p>
        </w:tc>
      </w:tr>
      <w:tr w:rsidTr="00682578">
        <w:tblPrEx>
          <w:tblW w:w="5002" w:type="pct"/>
          <w:tblBorders>
            <w:insideV w:val="single" w:sz="4" w:space="0" w:color="auto"/>
          </w:tblBorders>
          <w:tblLayout w:type="fixed"/>
          <w:tblLook w:val="00A0"/>
        </w:tblPrEx>
        <w:tc>
          <w:tcPr>
            <w:tcW w:w="1242" w:type="pct"/>
            <w:gridSpan w:val="3"/>
          </w:tcPr>
          <w:p w:rsidR="004C1EBA" w:rsidRPr="00A47F87" w:rsidP="004C1EBA">
            <w:pPr>
              <w:pStyle w:val="csbody00"/>
              <w:rPr>
                <w:lang w:val="de-DE"/>
              </w:rPr>
            </w:pPr>
          </w:p>
        </w:tc>
        <w:tc>
          <w:tcPr>
            <w:tcW w:w="1257" w:type="pct"/>
            <w:gridSpan w:val="2"/>
          </w:tcPr>
          <w:p w:rsidR="004C1EBA" w:rsidRPr="00A47F87"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Georg Fischer AG, chairman </w:t>
            </w:r>
            <w:r w:rsidRPr="006B7CB6">
              <w:rPr>
                <w:rFonts w:eastAsia="MS Mincho"/>
                <w:bCs/>
                <w:lang w:val="en-US" w:eastAsia="de-CH"/>
              </w:rPr>
              <w:t>of the board</w:t>
            </w:r>
          </w:p>
        </w:tc>
        <w:tc>
          <w:tcPr>
            <w:tcW w:w="1242" w:type="pct"/>
            <w:gridSpan w:val="3"/>
            <w:shd w:val="clear" w:color="auto" w:fill="auto"/>
          </w:tcPr>
          <w:p w:rsidR="004C1EBA" w:rsidRPr="006B7CB6" w:rsidP="004C1EBA">
            <w:pPr>
              <w:pStyle w:val="csbody00"/>
              <w:rPr>
                <w:rFonts w:eastAsia="MS Mincho"/>
                <w:bCs/>
                <w:lang w:val="de-DE" w:eastAsia="de-CH"/>
              </w:rPr>
            </w:pPr>
            <w:r w:rsidRPr="00013FD4">
              <w:rPr>
                <w:rFonts w:eastAsia="MS Mincho"/>
                <w:bCs/>
                <w:lang w:val="de-DE" w:eastAsia="de-CH"/>
              </w:rPr>
              <w:t>Georg Fischer AG,</w:t>
            </w:r>
            <w:r>
              <w:rPr>
                <w:rFonts w:eastAsia="MS Mincho"/>
                <w:bCs/>
                <w:lang w:val="de-DE" w:eastAsia="de-CH"/>
              </w:rPr>
              <w:t xml:space="preserve"> </w:t>
            </w:r>
            <w:r w:rsidRPr="00013FD4">
              <w:rPr>
                <w:rFonts w:eastAsia="MS Mincho"/>
                <w:bCs/>
                <w:lang w:val="de-DE" w:eastAsia="de-CH"/>
              </w:rPr>
              <w:t>Präsident des</w:t>
            </w:r>
            <w:r>
              <w:rPr>
                <w:rFonts w:eastAsia="MS Mincho"/>
                <w:bCs/>
                <w:lang w:val="de-DE" w:eastAsia="de-CH"/>
              </w:rPr>
              <w:t xml:space="preserve"> </w:t>
            </w:r>
            <w:r w:rsidRPr="00013FD4">
              <w:rPr>
                <w:rFonts w:eastAsia="MS Mincho"/>
                <w:bCs/>
                <w:lang w:val="de-DE" w:eastAsia="de-CH"/>
              </w:rPr>
              <w:t>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6B7CB6" w:rsidP="004C1EBA">
            <w:pPr>
              <w:pStyle w:val="csbody00"/>
              <w:rPr>
                <w:lang w:val="de-DE"/>
              </w:rPr>
            </w:pPr>
          </w:p>
        </w:tc>
        <w:tc>
          <w:tcPr>
            <w:tcW w:w="1257" w:type="pct"/>
            <w:gridSpan w:val="2"/>
          </w:tcPr>
          <w:p w:rsidR="004C1EBA" w:rsidRPr="006B7CB6"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CSD Group, board member</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CSD Group,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A47F87"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Sonceboz SA, board member</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Sonceboz SA,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A47F87"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Spencer Stuart, Switzerland, advisory board member</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Spencer Stuart, Schweiz, Mitglied des Beirats</w:t>
            </w:r>
          </w:p>
        </w:tc>
      </w:tr>
      <w:tr w:rsidTr="00682578">
        <w:tblPrEx>
          <w:tblW w:w="5002" w:type="pct"/>
          <w:tblBorders>
            <w:insideV w:val="single" w:sz="4" w:space="0" w:color="auto"/>
          </w:tblBorders>
          <w:tblLayout w:type="fixed"/>
          <w:tblLook w:val="00A0"/>
        </w:tblPrEx>
        <w:tc>
          <w:tcPr>
            <w:tcW w:w="1242" w:type="pct"/>
            <w:gridSpan w:val="3"/>
          </w:tcPr>
          <w:p w:rsidR="004C1EBA" w:rsidRPr="00A47F87"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Economiesuisse, board member</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Economiesuisse, Mitglied des Vorstands</w:t>
            </w:r>
          </w:p>
        </w:tc>
      </w:tr>
      <w:tr w:rsidTr="00682578">
        <w:tblPrEx>
          <w:tblW w:w="5002" w:type="pct"/>
          <w:tblBorders>
            <w:insideV w:val="single" w:sz="4" w:space="0" w:color="auto"/>
          </w:tblBorders>
          <w:tblLayout w:type="fixed"/>
          <w:tblLook w:val="00A0"/>
        </w:tblPrEx>
        <w:tc>
          <w:tcPr>
            <w:tcW w:w="1242" w:type="pct"/>
            <w:gridSpan w:val="3"/>
          </w:tcPr>
          <w:p w:rsidR="004C1EBA" w:rsidRPr="00A47F87"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EPFL, Lausanne, Switzerland, strategic advisory board member</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EPFL, Lausanne, Schweiz, Mitglied des strategischen Beirats</w:t>
            </w:r>
          </w:p>
        </w:tc>
      </w:tr>
      <w:tr w:rsidTr="00682578">
        <w:tblPrEx>
          <w:tblW w:w="5002" w:type="pct"/>
          <w:tblBorders>
            <w:insideV w:val="single" w:sz="4" w:space="0" w:color="auto"/>
          </w:tblBorders>
          <w:tblLayout w:type="fixed"/>
          <w:tblLook w:val="00A0"/>
        </w:tblPrEx>
        <w:tc>
          <w:tcPr>
            <w:tcW w:w="1242" w:type="pct"/>
            <w:gridSpan w:val="3"/>
          </w:tcPr>
          <w:p w:rsidR="004C1EBA" w:rsidRPr="00A47F87"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EPFL+ Foundation, member of the board of trustees</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bCs/>
                <w:lang w:val="de-DE"/>
              </w:rPr>
              <w:t>Stiftung EPFL+, Mitglied des Stiftungsrats</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r w:rsidRPr="00324233">
              <w:t>Jean Lanier</w:t>
            </w:r>
          </w:p>
        </w:tc>
        <w:tc>
          <w:tcPr>
            <w:tcW w:w="1257" w:type="pct"/>
            <w:gridSpan w:val="2"/>
          </w:tcPr>
          <w:p w:rsidR="004C1EBA" w:rsidRPr="00324233" w:rsidP="004C1EBA">
            <w:pPr>
              <w:pStyle w:val="csbody00"/>
              <w:jc w:val="left"/>
              <w:rPr>
                <w:lang w:val="de-CH"/>
              </w:rPr>
            </w:pPr>
            <w:r w:rsidRPr="00324233">
              <w:rPr>
                <w:lang w:val="de-CH"/>
              </w:rPr>
              <w:t>Credit Suisse AG</w:t>
            </w:r>
            <w:r w:rsidRPr="00324233">
              <w:rPr>
                <w:lang w:val="de-CH"/>
              </w:rPr>
              <w:br/>
              <w:t>Paradeplatz 8</w:t>
            </w:r>
            <w:r w:rsidRPr="00324233">
              <w:rPr>
                <w:lang w:val="de-CH"/>
              </w:rPr>
              <w:br/>
              <w:t>8001 Zurich</w:t>
            </w:r>
            <w:r w:rsidRPr="00324233">
              <w:rPr>
                <w:lang w:val="de-CH"/>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pPr>
            <w:r w:rsidRPr="000B6820">
              <w:rPr>
                <w:rFonts w:eastAsia="MS Mincho"/>
                <w:bCs/>
                <w:lang w:val="en-US" w:eastAsia="de-CH"/>
              </w:rPr>
              <w:t xml:space="preserve">2005–present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83513B" w:rsidP="004C1EBA">
            <w:pPr>
              <w:pStyle w:val="csbody00"/>
              <w:rPr>
                <w:lang w:val="de-DE"/>
              </w:rPr>
            </w:pPr>
            <w:r w:rsidRPr="00013FD4">
              <w:rPr>
                <w:rFonts w:eastAsia="MS Mincho"/>
                <w:bCs/>
                <w:lang w:val="de-DE" w:eastAsia="de-CH"/>
              </w:rPr>
              <w:t xml:space="preserve">2005 bis heute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
                <w:bCs/>
                <w:lang w:val="en-US" w:eastAsia="de-CH"/>
              </w:rPr>
            </w:pPr>
            <w:r w:rsidRPr="000B6820">
              <w:rPr>
                <w:rFonts w:eastAsia="MS Mincho"/>
                <w:bCs/>
                <w:lang w:val="en-US" w:eastAsia="de-CH"/>
              </w:rPr>
              <w:t>Credit Suisse</w:t>
            </w:r>
          </w:p>
        </w:tc>
        <w:tc>
          <w:tcPr>
            <w:tcW w:w="1242" w:type="pct"/>
            <w:gridSpan w:val="3"/>
            <w:shd w:val="clear" w:color="auto" w:fill="auto"/>
          </w:tcPr>
          <w:p w:rsidR="004C1EBA" w:rsidRPr="00013FD4" w:rsidP="004C1EBA">
            <w:pPr>
              <w:pStyle w:val="csbody00"/>
              <w:ind w:left="720"/>
              <w:rPr>
                <w:rFonts w:eastAsia="MS Mincho"/>
                <w:b/>
                <w:bCs/>
                <w:lang w:val="de-DE" w:eastAsia="de-CH"/>
              </w:rPr>
            </w:pPr>
            <w:r w:rsidRPr="00013FD4">
              <w:rPr>
                <w:rFonts w:eastAsia="MS Mincho"/>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Chairman of the Compensation Committee (2013–present)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Vorsitzender des Vergütungsausschusses (2013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Chairman’s and Governance Committee (2013–present)</w:t>
            </w:r>
          </w:p>
        </w:tc>
        <w:tc>
          <w:tcPr>
            <w:tcW w:w="1242" w:type="pct"/>
            <w:gridSpan w:val="3"/>
            <w:shd w:val="clear" w:color="auto" w:fill="auto"/>
          </w:tcPr>
          <w:p w:rsidR="004C1EBA" w:rsidRPr="00F36E74" w:rsidP="004C1EBA">
            <w:pPr>
              <w:pStyle w:val="csbody00"/>
              <w:ind w:left="720"/>
              <w:rPr>
                <w:rFonts w:eastAsia="MS Mincho"/>
                <w:bCs/>
                <w:lang w:eastAsia="de-CH"/>
              </w:rPr>
            </w:pPr>
            <w:r>
              <w:rPr>
                <w:rFonts w:eastAsia="MS Mincho"/>
                <w:bCs/>
                <w:lang w:val="en-US" w:eastAsia="de-CH"/>
              </w:rPr>
              <w:t xml:space="preserve">Mitglied des </w:t>
            </w:r>
            <w:r w:rsidRPr="000B6820">
              <w:rPr>
                <w:rFonts w:eastAsia="MS Mincho"/>
                <w:bCs/>
                <w:lang w:val="en-US" w:eastAsia="de-CH"/>
              </w:rPr>
              <w:t>Chairman’s and Governance Committee (2013</w:t>
            </w:r>
            <w:r>
              <w:rPr>
                <w:rFonts w:eastAsia="MS Mincho"/>
                <w:bCs/>
                <w:lang w:val="en-US" w:eastAsia="de-CH"/>
              </w:rPr>
              <w:t xml:space="preserve"> bis heute</w:t>
            </w:r>
            <w:r w:rsidRPr="000B6820">
              <w:rPr>
                <w:rFonts w:eastAsia="MS Mincho"/>
                <w:bCs/>
                <w:lang w:val="en-US" w:eastAsia="de-CH"/>
              </w:rPr>
              <w:t>)</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Compensation Committee (2011–present)</w:t>
            </w:r>
          </w:p>
        </w:tc>
        <w:tc>
          <w:tcPr>
            <w:tcW w:w="1242" w:type="pct"/>
            <w:gridSpan w:val="3"/>
            <w:shd w:val="clear" w:color="auto" w:fill="auto"/>
          </w:tcPr>
          <w:p w:rsidR="004C1EBA" w:rsidRPr="00F36E74" w:rsidP="004C1EBA">
            <w:pPr>
              <w:pStyle w:val="csbody00"/>
              <w:ind w:left="720"/>
              <w:rPr>
                <w:rFonts w:eastAsia="MS Mincho"/>
                <w:bCs/>
                <w:lang w:val="de-DE" w:eastAsia="de-CH"/>
              </w:rPr>
            </w:pPr>
            <w:r w:rsidRPr="00013FD4">
              <w:rPr>
                <w:rFonts w:eastAsia="MS Mincho"/>
                <w:bCs/>
                <w:lang w:val="de-DE" w:eastAsia="de-CH"/>
              </w:rPr>
              <w:t>Mitglied des Vergütungsausschusses (2011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1990–2004 </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 xml:space="preserve">1990–2004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Euler Hermes Group, Paris</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Euler Hermes Group, Paris</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Chairman of the managing board and group CEO (1998–2004)</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Vorstandsvorsitzender und CEO der Gruppe (1998–2004)</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Chairman of the boards of principal subsidiaries (1998–2004)</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Präsident der Verwaltungsräte der wichtigsten Tochtergesellschaften (1998–2004)</w:t>
            </w:r>
          </w:p>
        </w:tc>
      </w:tr>
      <w:tr w:rsidTr="00682578">
        <w:tblPrEx>
          <w:tblW w:w="5002" w:type="pct"/>
          <w:tblBorders>
            <w:insideV w:val="single" w:sz="4" w:space="0" w:color="auto"/>
          </w:tblBorders>
          <w:tblLayout w:type="fixed"/>
          <w:tblLook w:val="00A0"/>
        </w:tblPrEx>
        <w:tc>
          <w:tcPr>
            <w:tcW w:w="1242" w:type="pct"/>
            <w:gridSpan w:val="3"/>
          </w:tcPr>
          <w:p w:rsidR="004C1EBA" w:rsidRPr="005A317C"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Managing director of Euler </w:t>
            </w:r>
            <w:r w:rsidRPr="005A317C">
              <w:rPr>
                <w:rFonts w:eastAsia="MS Mincho"/>
                <w:bCs/>
                <w:lang w:val="en-US" w:eastAsia="de-CH"/>
              </w:rPr>
              <w:t>Group</w:t>
            </w:r>
            <w:r>
              <w:rPr>
                <w:rFonts w:eastAsia="MS Mincho"/>
                <w:bCs/>
                <w:lang w:val="en-US" w:eastAsia="de-CH"/>
              </w:rPr>
              <w:t xml:space="preserve"> </w:t>
            </w:r>
            <w:r w:rsidRPr="005A317C">
              <w:rPr>
                <w:rFonts w:eastAsia="MS Mincho"/>
                <w:bCs/>
                <w:lang w:val="en-US" w:eastAsia="de-CH"/>
              </w:rPr>
              <w:t>(1997–1998)</w:t>
            </w:r>
          </w:p>
        </w:tc>
        <w:tc>
          <w:tcPr>
            <w:tcW w:w="1242" w:type="pct"/>
            <w:gridSpan w:val="3"/>
            <w:shd w:val="clear" w:color="auto" w:fill="auto"/>
          </w:tcPr>
          <w:p w:rsidR="004C1EBA" w:rsidRPr="005A317C" w:rsidP="004C1EBA">
            <w:pPr>
              <w:pStyle w:val="csbody00"/>
              <w:ind w:left="720"/>
              <w:rPr>
                <w:rFonts w:eastAsia="MS Mincho"/>
                <w:bCs/>
                <w:lang w:eastAsia="de-CH"/>
              </w:rPr>
            </w:pPr>
            <w:r w:rsidRPr="000B6820">
              <w:rPr>
                <w:rFonts w:eastAsia="MS Mincho"/>
                <w:bCs/>
                <w:lang w:val="en-US" w:eastAsia="de-CH"/>
              </w:rPr>
              <w:t xml:space="preserve">Managing </w:t>
            </w:r>
            <w:r>
              <w:rPr>
                <w:rFonts w:eastAsia="MS Mincho"/>
                <w:bCs/>
                <w:lang w:val="en-US" w:eastAsia="de-CH"/>
              </w:rPr>
              <w:t>D</w:t>
            </w:r>
            <w:r w:rsidRPr="000B6820">
              <w:rPr>
                <w:rFonts w:eastAsia="MS Mincho"/>
                <w:bCs/>
                <w:lang w:val="en-US" w:eastAsia="de-CH"/>
              </w:rPr>
              <w:t xml:space="preserve">irector </w:t>
            </w:r>
            <w:r>
              <w:rPr>
                <w:rFonts w:eastAsia="MS Mincho"/>
                <w:bCs/>
                <w:lang w:val="en-US" w:eastAsia="de-CH"/>
              </w:rPr>
              <w:t>der</w:t>
            </w:r>
            <w:r w:rsidRPr="000B6820">
              <w:rPr>
                <w:rFonts w:eastAsia="MS Mincho"/>
                <w:bCs/>
                <w:lang w:val="en-US" w:eastAsia="de-CH"/>
              </w:rPr>
              <w:t xml:space="preserve"> Euler </w:t>
            </w:r>
            <w:r w:rsidRPr="005A317C">
              <w:rPr>
                <w:rFonts w:eastAsia="MS Mincho"/>
                <w:bCs/>
                <w:lang w:val="en-US" w:eastAsia="de-CH"/>
              </w:rPr>
              <w:t>Group (1997–1998)</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COO and managing director of SFAC (subsequently Euler Hermes SFAC) (1990–1997)</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B6820">
              <w:rPr>
                <w:rFonts w:eastAsia="MS Mincho"/>
                <w:bCs/>
                <w:lang w:val="en-US" w:eastAsia="de-CH"/>
              </w:rPr>
              <w:t xml:space="preserve">COO </w:t>
            </w:r>
            <w:r>
              <w:rPr>
                <w:rFonts w:eastAsia="MS Mincho"/>
                <w:bCs/>
                <w:lang w:val="en-US" w:eastAsia="de-CH"/>
              </w:rPr>
              <w:t>u</w:t>
            </w:r>
            <w:r w:rsidRPr="000B6820">
              <w:rPr>
                <w:rFonts w:eastAsia="MS Mincho"/>
                <w:bCs/>
                <w:lang w:val="en-US" w:eastAsia="de-CH"/>
              </w:rPr>
              <w:t xml:space="preserve">nd </w:t>
            </w:r>
            <w:r>
              <w:rPr>
                <w:rFonts w:eastAsia="MS Mincho"/>
                <w:bCs/>
                <w:lang w:val="en-US" w:eastAsia="de-CH"/>
              </w:rPr>
              <w:t>M</w:t>
            </w:r>
            <w:r w:rsidRPr="000B6820">
              <w:rPr>
                <w:rFonts w:eastAsia="MS Mincho"/>
                <w:bCs/>
                <w:lang w:val="en-US" w:eastAsia="de-CH"/>
              </w:rPr>
              <w:t xml:space="preserve">anaging </w:t>
            </w:r>
            <w:r>
              <w:rPr>
                <w:rFonts w:eastAsia="MS Mincho"/>
                <w:bCs/>
                <w:lang w:val="en-US" w:eastAsia="de-CH"/>
              </w:rPr>
              <w:t>D</w:t>
            </w:r>
            <w:r w:rsidRPr="000B6820">
              <w:rPr>
                <w:rFonts w:eastAsia="MS Mincho"/>
                <w:bCs/>
                <w:lang w:val="en-US" w:eastAsia="de-CH"/>
              </w:rPr>
              <w:t xml:space="preserve">irector </w:t>
            </w:r>
            <w:r>
              <w:rPr>
                <w:rFonts w:eastAsia="MS Mincho"/>
                <w:bCs/>
                <w:lang w:val="en-US" w:eastAsia="de-CH"/>
              </w:rPr>
              <w:t>von</w:t>
            </w:r>
            <w:r w:rsidRPr="000B6820">
              <w:rPr>
                <w:rFonts w:eastAsia="MS Mincho"/>
                <w:bCs/>
                <w:lang w:val="en-US" w:eastAsia="de-CH"/>
              </w:rPr>
              <w:t xml:space="preserve"> SFAC (</w:t>
            </w:r>
            <w:r>
              <w:rPr>
                <w:rFonts w:eastAsia="MS Mincho"/>
                <w:bCs/>
                <w:lang w:val="en-US" w:eastAsia="de-CH"/>
              </w:rPr>
              <w:t>später</w:t>
            </w:r>
            <w:r w:rsidRPr="000B6820">
              <w:rPr>
                <w:rFonts w:eastAsia="MS Mincho"/>
                <w:bCs/>
                <w:lang w:val="en-US" w:eastAsia="de-CH"/>
              </w:rPr>
              <w:t xml:space="preserve"> Euler Hermes SFAC) (1990–1997)</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1988–1990 </w:t>
            </w:r>
          </w:p>
        </w:tc>
        <w:tc>
          <w:tcPr>
            <w:tcW w:w="1242" w:type="pct"/>
            <w:gridSpan w:val="3"/>
            <w:shd w:val="clear" w:color="auto" w:fill="auto"/>
          </w:tcPr>
          <w:p w:rsidR="004C1EBA" w:rsidRPr="005A317C" w:rsidP="004C1EBA">
            <w:pPr>
              <w:pStyle w:val="csbody00"/>
              <w:rPr>
                <w:rFonts w:eastAsia="MS Mincho"/>
                <w:bCs/>
                <w:lang w:val="de-DE" w:eastAsia="de-CH"/>
              </w:rPr>
            </w:pPr>
            <w:r w:rsidRPr="000B6820">
              <w:rPr>
                <w:rFonts w:eastAsia="MS Mincho"/>
                <w:bCs/>
                <w:lang w:val="en-US" w:eastAsia="de-CH"/>
              </w:rPr>
              <w:t xml:space="preserve">1988–1990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Pargesa Group, Paris and Geneva, managing director</w:t>
            </w:r>
          </w:p>
        </w:tc>
        <w:tc>
          <w:tcPr>
            <w:tcW w:w="1242" w:type="pct"/>
            <w:gridSpan w:val="3"/>
            <w:shd w:val="clear" w:color="auto" w:fill="auto"/>
          </w:tcPr>
          <w:p w:rsidR="004C1EBA" w:rsidRPr="00F36E74" w:rsidP="004C1EBA">
            <w:pPr>
              <w:pStyle w:val="csbody00"/>
              <w:ind w:left="720"/>
              <w:rPr>
                <w:rFonts w:eastAsia="MS Mincho"/>
                <w:bCs/>
                <w:lang w:eastAsia="de-CH"/>
              </w:rPr>
            </w:pPr>
            <w:r w:rsidRPr="000B6820">
              <w:rPr>
                <w:rFonts w:eastAsia="MS Mincho"/>
                <w:bCs/>
                <w:lang w:val="en-US" w:eastAsia="de-CH"/>
              </w:rPr>
              <w:t xml:space="preserve">Pargesa Group, Paris </w:t>
            </w:r>
            <w:r>
              <w:rPr>
                <w:rFonts w:eastAsia="MS Mincho"/>
                <w:bCs/>
                <w:lang w:val="en-US" w:eastAsia="de-CH"/>
              </w:rPr>
              <w:t>u</w:t>
            </w:r>
            <w:r w:rsidRPr="000B6820">
              <w:rPr>
                <w:rFonts w:eastAsia="MS Mincho"/>
                <w:bCs/>
                <w:lang w:val="en-US" w:eastAsia="de-CH"/>
              </w:rPr>
              <w:t>nd Gen</w:t>
            </w:r>
            <w:r>
              <w:rPr>
                <w:rFonts w:eastAsia="MS Mincho"/>
                <w:bCs/>
                <w:lang w:val="en-US" w:eastAsia="de-CH"/>
              </w:rPr>
              <w:t>f</w:t>
            </w:r>
            <w:r w:rsidRPr="000B6820">
              <w:rPr>
                <w:rFonts w:eastAsia="MS Mincho"/>
                <w:bCs/>
                <w:lang w:val="en-US" w:eastAsia="de-CH"/>
              </w:rPr>
              <w:t xml:space="preserve">, </w:t>
            </w:r>
            <w:r>
              <w:rPr>
                <w:rFonts w:eastAsia="MS Mincho"/>
                <w:bCs/>
                <w:lang w:val="en-US" w:eastAsia="de-CH"/>
              </w:rPr>
              <w:t>M</w:t>
            </w:r>
            <w:r w:rsidRPr="000B6820">
              <w:rPr>
                <w:rFonts w:eastAsia="MS Mincho"/>
                <w:bCs/>
                <w:lang w:val="en-US" w:eastAsia="de-CH"/>
              </w:rPr>
              <w:t xml:space="preserve">anaging </w:t>
            </w:r>
            <w:r>
              <w:rPr>
                <w:rFonts w:eastAsia="MS Mincho"/>
                <w:bCs/>
                <w:lang w:val="en-US" w:eastAsia="de-CH"/>
              </w:rPr>
              <w:t>D</w:t>
            </w:r>
            <w:r w:rsidRPr="000B6820">
              <w:rPr>
                <w:rFonts w:eastAsia="MS Mincho"/>
                <w:bCs/>
                <w:lang w:val="en-US" w:eastAsia="de-CH"/>
              </w:rPr>
              <w:t>irector</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1983–1989 </w:t>
            </w:r>
          </w:p>
        </w:tc>
        <w:tc>
          <w:tcPr>
            <w:tcW w:w="1242" w:type="pct"/>
            <w:gridSpan w:val="3"/>
            <w:shd w:val="clear" w:color="auto" w:fill="auto"/>
          </w:tcPr>
          <w:p w:rsidR="004C1EBA" w:rsidRPr="005A317C" w:rsidP="004C1EBA">
            <w:pPr>
              <w:pStyle w:val="csbody00"/>
              <w:rPr>
                <w:rFonts w:eastAsia="MS Mincho"/>
                <w:bCs/>
                <w:lang w:val="de-DE" w:eastAsia="de-CH"/>
              </w:rPr>
            </w:pPr>
            <w:r w:rsidRPr="000B6820">
              <w:rPr>
                <w:rFonts w:eastAsia="MS Mincho"/>
                <w:bCs/>
                <w:lang w:val="en-US" w:eastAsia="de-CH"/>
              </w:rPr>
              <w:t xml:space="preserve">1983–1989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Lambert Brussells Capital Corporation, New York, </w:t>
            </w:r>
            <w:r>
              <w:rPr>
                <w:rFonts w:eastAsia="MS Mincho"/>
                <w:bCs/>
                <w:lang w:val="en-US" w:eastAsia="de-CH"/>
              </w:rPr>
              <w:t>president</w:t>
            </w:r>
          </w:p>
        </w:tc>
        <w:tc>
          <w:tcPr>
            <w:tcW w:w="1242" w:type="pct"/>
            <w:gridSpan w:val="3"/>
            <w:shd w:val="clear" w:color="auto" w:fill="auto"/>
          </w:tcPr>
          <w:p w:rsidR="004C1EBA" w:rsidRPr="005A317C" w:rsidP="004C1EBA">
            <w:pPr>
              <w:pStyle w:val="csbody00"/>
              <w:ind w:left="720"/>
              <w:rPr>
                <w:rFonts w:eastAsia="MS Mincho"/>
                <w:bCs/>
                <w:lang w:eastAsia="de-CH"/>
              </w:rPr>
            </w:pPr>
            <w:r w:rsidRPr="000B6820">
              <w:rPr>
                <w:rFonts w:eastAsia="MS Mincho"/>
                <w:bCs/>
                <w:lang w:val="en-US" w:eastAsia="de-CH"/>
              </w:rPr>
              <w:t xml:space="preserve">Lambert Brussells Capital Corporation, New York, </w:t>
            </w:r>
            <w:r w:rsidRPr="005A317C">
              <w:rPr>
                <w:rFonts w:eastAsia="MS Mincho"/>
                <w:bCs/>
                <w:lang w:eastAsia="de-CH"/>
              </w:rPr>
              <w:t>Präsident</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1970–1983 </w:t>
            </w:r>
          </w:p>
        </w:tc>
        <w:tc>
          <w:tcPr>
            <w:tcW w:w="1242" w:type="pct"/>
            <w:gridSpan w:val="3"/>
            <w:shd w:val="clear" w:color="auto" w:fill="auto"/>
          </w:tcPr>
          <w:p w:rsidR="004C1EBA" w:rsidRPr="005A317C" w:rsidP="004C1EBA">
            <w:pPr>
              <w:pStyle w:val="csbody00"/>
              <w:rPr>
                <w:rFonts w:eastAsia="MS Mincho"/>
                <w:bCs/>
                <w:lang w:val="de-DE" w:eastAsia="de-CH"/>
              </w:rPr>
            </w:pPr>
            <w:r w:rsidRPr="00013FD4">
              <w:rPr>
                <w:rFonts w:eastAsia="MS Mincho"/>
                <w:bCs/>
                <w:lang w:val="de-DE" w:eastAsia="de-CH"/>
              </w:rPr>
              <w:t xml:space="preserve">1970–1983 </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Paribas Group, various positions, among others: senior vice president of the finance division and senior executive for North America</w:t>
            </w:r>
          </w:p>
        </w:tc>
        <w:tc>
          <w:tcPr>
            <w:tcW w:w="1242" w:type="pct"/>
            <w:gridSpan w:val="3"/>
            <w:shd w:val="clear" w:color="auto" w:fill="auto"/>
          </w:tcPr>
          <w:p w:rsidR="004C1EBA" w:rsidRPr="005A317C" w:rsidP="004C1EBA">
            <w:pPr>
              <w:pStyle w:val="csbody00"/>
              <w:ind w:left="720"/>
              <w:rPr>
                <w:rFonts w:eastAsia="MS Mincho"/>
                <w:bCs/>
                <w:lang w:val="de-DE" w:eastAsia="de-CH"/>
              </w:rPr>
            </w:pPr>
            <w:r w:rsidRPr="00013FD4">
              <w:rPr>
                <w:rFonts w:eastAsia="MS Mincho"/>
                <w:bCs/>
                <w:lang w:val="de-DE" w:eastAsia="de-CH"/>
              </w:rPr>
              <w:t>Paribas Group, verschiedene Positionen, unter anderem: Senior Vice President der Finance Division und Senior Eexecutive für Nordamerika</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13FD4" w:rsidP="004C1EBA">
            <w:pPr>
              <w:pStyle w:val="csbody00"/>
              <w:rPr>
                <w:rFonts w:eastAsia="MS Mincho"/>
                <w:bCs/>
                <w:lang w:val="de-DE" w:eastAsia="de-CH"/>
              </w:rPr>
            </w:pPr>
            <w:r>
              <w:rPr>
                <w:rFonts w:eastAsia="MS Mincho"/>
                <w:b/>
                <w:bCs/>
                <w:lang w:val="en-US"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1970 Master of Science in Operations Research and Finance, Cornell University, New York</w:t>
            </w:r>
          </w:p>
        </w:tc>
        <w:tc>
          <w:tcPr>
            <w:tcW w:w="1242" w:type="pct"/>
            <w:gridSpan w:val="3"/>
            <w:shd w:val="clear" w:color="auto" w:fill="auto"/>
          </w:tcPr>
          <w:p w:rsidR="004C1EBA" w:rsidRPr="00F36E74" w:rsidP="004C1EBA">
            <w:pPr>
              <w:pStyle w:val="csbody00"/>
              <w:rPr>
                <w:rFonts w:eastAsia="MS Mincho"/>
                <w:b/>
                <w:bCs/>
                <w:lang w:eastAsia="de-CH"/>
              </w:rPr>
            </w:pPr>
            <w:r w:rsidRPr="000B6820">
              <w:rPr>
                <w:rFonts w:eastAsia="MS Mincho"/>
                <w:bCs/>
                <w:lang w:val="en-US" w:eastAsia="de-CH"/>
              </w:rPr>
              <w:t>1970 Master</w:t>
            </w:r>
            <w:r>
              <w:rPr>
                <w:rFonts w:eastAsia="MS Mincho"/>
                <w:bCs/>
                <w:lang w:val="en-US" w:eastAsia="de-CH"/>
              </w:rPr>
              <w:t>-</w:t>
            </w:r>
            <w:r w:rsidRPr="000B6820">
              <w:rPr>
                <w:rFonts w:eastAsia="MS Mincho"/>
                <w:bCs/>
                <w:lang w:val="en-US" w:eastAsia="de-CH"/>
              </w:rPr>
              <w:t>of</w:t>
            </w:r>
            <w:r>
              <w:rPr>
                <w:rFonts w:eastAsia="MS Mincho"/>
                <w:bCs/>
                <w:lang w:val="en-US" w:eastAsia="de-CH"/>
              </w:rPr>
              <w:t>-</w:t>
            </w:r>
            <w:r w:rsidRPr="000B6820">
              <w:rPr>
                <w:rFonts w:eastAsia="MS Mincho"/>
                <w:bCs/>
                <w:lang w:val="en-US" w:eastAsia="de-CH"/>
              </w:rPr>
              <w:t>Science</w:t>
            </w:r>
            <w:r>
              <w:rPr>
                <w:rFonts w:eastAsia="MS Mincho"/>
                <w:bCs/>
                <w:lang w:val="en-US" w:eastAsia="de-CH"/>
              </w:rPr>
              <w:t>-Diplom</w:t>
            </w:r>
            <w:r w:rsidRPr="000B6820">
              <w:rPr>
                <w:rFonts w:eastAsia="MS Mincho"/>
                <w:bCs/>
                <w:lang w:val="en-US" w:eastAsia="de-CH"/>
              </w:rPr>
              <w:t xml:space="preserve"> in Operations Research and Finance, Cornell University, New York</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1969 Master’s degree, Engineering, Ecole Centrale des Arts et Manufactures, Paris</w:t>
            </w:r>
          </w:p>
        </w:tc>
        <w:tc>
          <w:tcPr>
            <w:tcW w:w="1242" w:type="pct"/>
            <w:gridSpan w:val="3"/>
            <w:shd w:val="clear" w:color="auto" w:fill="auto"/>
          </w:tcPr>
          <w:p w:rsidR="004C1EBA" w:rsidRPr="005A317C" w:rsidP="004C1EBA">
            <w:pPr>
              <w:pStyle w:val="csbody00"/>
              <w:rPr>
                <w:rFonts w:eastAsia="MS Mincho"/>
                <w:bCs/>
                <w:lang w:val="de-DE" w:eastAsia="de-CH"/>
              </w:rPr>
            </w:pPr>
            <w:r w:rsidRPr="00013FD4">
              <w:rPr>
                <w:rFonts w:eastAsia="MS Mincho"/>
                <w:bCs/>
                <w:lang w:val="de-DE" w:eastAsia="de-CH"/>
              </w:rPr>
              <w:t>1969 Masterabschluss als Ingenieur, Ecole Centrale des Arts et Manufactures, Paris</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P="004C1EBA">
            <w:pPr>
              <w:pStyle w:val="csbody00"/>
              <w:rPr>
                <w:rFonts w:eastAsia="MS Mincho"/>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5A317C" w:rsidP="004C1EBA">
            <w:pPr>
              <w:pStyle w:val="csbody00"/>
              <w:rPr>
                <w:rFonts w:eastAsia="MS Mincho"/>
                <w:bCs/>
                <w:lang w:val="de-DE" w:eastAsia="de-CH"/>
              </w:rPr>
            </w:pPr>
            <w:r w:rsidRPr="00013FD4">
              <w:rPr>
                <w:rFonts w:eastAsia="MS Mincho"/>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p>
        </w:tc>
        <w:tc>
          <w:tcPr>
            <w:tcW w:w="1257" w:type="pct"/>
            <w:gridSpan w:val="2"/>
          </w:tcPr>
          <w:p w:rsidR="004C1EBA" w:rsidRPr="005A317C" w:rsidP="004C1EBA">
            <w:pPr>
              <w:pStyle w:val="csbody00"/>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Swiss RE Europe SA, Swiss RE International SE and Swiss RE Europe Holdings SA (subsidiaries of Swiss Re AG), chairman of the board</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Cs/>
                <w:lang w:val="de-DE" w:eastAsia="de-CH"/>
              </w:rPr>
              <w:t>Swiss RE Europe SA, Swiss RE International SE und Swiss RE Europe Holdings SA (Tochtergesellschaften der Swiss Re AG), Präsident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5A317C" w:rsidP="004C1EBA">
            <w:pPr>
              <w:pStyle w:val="csbody00"/>
              <w:rPr>
                <w:lang w:val="de-DE"/>
              </w:rPr>
            </w:pPr>
          </w:p>
        </w:tc>
        <w:tc>
          <w:tcPr>
            <w:tcW w:w="1257" w:type="pct"/>
            <w:gridSpan w:val="2"/>
          </w:tcPr>
          <w:p w:rsidR="004C1EBA" w:rsidRPr="005A317C" w:rsidP="004C1EBA">
            <w:pPr>
              <w:pStyle w:val="csbody00"/>
              <w:rPr>
                <w:lang w:val="de-DE"/>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La Fondation Internationale de l’Arche, chairman of the</w:t>
            </w:r>
            <w:r>
              <w:rPr>
                <w:rFonts w:eastAsia="MS Mincho"/>
                <w:bCs/>
                <w:lang w:val="en-US" w:eastAsia="de-CH"/>
              </w:rPr>
              <w:t xml:space="preserve"> </w:t>
            </w:r>
            <w:r w:rsidRPr="000B6820">
              <w:rPr>
                <w:rFonts w:eastAsia="MS Mincho"/>
                <w:bCs/>
                <w:lang w:val="en-US" w:eastAsia="de-CH"/>
              </w:rPr>
              <w:t xml:space="preserve">board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Cs/>
                <w:lang w:val="de-DE" w:eastAsia="de-CH"/>
              </w:rPr>
              <w:t>La Fondation Internationale de l’Arche, Stiftungsratsvorsitzender</w:t>
            </w:r>
          </w:p>
        </w:tc>
      </w:tr>
      <w:tr w:rsidTr="00682578">
        <w:tblPrEx>
          <w:tblW w:w="5002" w:type="pct"/>
          <w:tblBorders>
            <w:insideV w:val="single" w:sz="4" w:space="0" w:color="auto"/>
          </w:tblBorders>
          <w:tblLayout w:type="fixed"/>
          <w:tblLook w:val="00A0"/>
        </w:tblPrEx>
        <w:tc>
          <w:tcPr>
            <w:tcW w:w="1242" w:type="pct"/>
            <w:gridSpan w:val="3"/>
          </w:tcPr>
          <w:p w:rsidR="004C1EBA" w:rsidRPr="005A317C" w:rsidP="004C1EBA">
            <w:pPr>
              <w:pStyle w:val="csbody00"/>
              <w:rPr>
                <w:lang w:val="de-DE"/>
              </w:rPr>
            </w:pPr>
          </w:p>
        </w:tc>
        <w:tc>
          <w:tcPr>
            <w:tcW w:w="1257" w:type="pct"/>
            <w:gridSpan w:val="2"/>
          </w:tcPr>
          <w:p w:rsidR="004C1EBA" w:rsidRPr="005A317C"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Friends of l’Arche Long Island, chairman of the </w:t>
            </w:r>
            <w:r>
              <w:rPr>
                <w:rFonts w:eastAsia="MS Mincho"/>
                <w:bCs/>
                <w:lang w:val="en-US" w:eastAsia="de-CH"/>
              </w:rPr>
              <w:t>board</w:t>
            </w:r>
          </w:p>
        </w:tc>
        <w:tc>
          <w:tcPr>
            <w:tcW w:w="1242" w:type="pct"/>
            <w:gridSpan w:val="3"/>
            <w:shd w:val="clear" w:color="auto" w:fill="auto"/>
          </w:tcPr>
          <w:p w:rsidR="004C1EBA" w:rsidRPr="005A317C" w:rsidP="004C1EBA">
            <w:pPr>
              <w:pStyle w:val="csbody00"/>
              <w:rPr>
                <w:rFonts w:eastAsia="MS Mincho"/>
                <w:bCs/>
                <w:lang w:val="de-DE" w:eastAsia="de-CH"/>
              </w:rPr>
            </w:pPr>
            <w:r w:rsidRPr="00013FD4">
              <w:rPr>
                <w:rFonts w:eastAsia="MS Mincho"/>
                <w:bCs/>
                <w:lang w:val="de-DE" w:eastAsia="de-CH"/>
              </w:rPr>
              <w:t>Friends of l’Arche Long Island, Verwaltungsrats</w:t>
            </w:r>
            <w:r>
              <w:rPr>
                <w:rFonts w:eastAsia="MS Mincho"/>
                <w:bCs/>
                <w:lang w:val="de-DE" w:eastAsia="de-CH"/>
              </w:rPr>
              <w:t>-</w:t>
            </w:r>
            <w:r w:rsidRPr="00013FD4">
              <w:rPr>
                <w:rFonts w:eastAsia="MS Mincho"/>
                <w:bCs/>
                <w:lang w:val="de-DE" w:eastAsia="de-CH"/>
              </w:rPr>
              <w:t>vorsitzender</w:t>
            </w:r>
          </w:p>
        </w:tc>
      </w:tr>
      <w:tr w:rsidTr="00682578">
        <w:tblPrEx>
          <w:tblW w:w="5002" w:type="pct"/>
          <w:tblBorders>
            <w:insideV w:val="single" w:sz="4" w:space="0" w:color="auto"/>
          </w:tblBorders>
          <w:tblLayout w:type="fixed"/>
          <w:tblLook w:val="00A0"/>
        </w:tblPrEx>
        <w:tc>
          <w:tcPr>
            <w:tcW w:w="1242" w:type="pct"/>
            <w:gridSpan w:val="3"/>
          </w:tcPr>
          <w:p w:rsidR="004C1EBA" w:rsidRPr="005A317C" w:rsidP="004C1EBA">
            <w:pPr>
              <w:pStyle w:val="csbody00"/>
              <w:rPr>
                <w:lang w:val="de-DE"/>
              </w:rPr>
            </w:pPr>
          </w:p>
        </w:tc>
        <w:tc>
          <w:tcPr>
            <w:tcW w:w="1257" w:type="pct"/>
            <w:gridSpan w:val="2"/>
          </w:tcPr>
          <w:p w:rsidR="004C1EBA" w:rsidRPr="005A317C"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Association Jean Vanier, board member</w:t>
            </w:r>
          </w:p>
        </w:tc>
        <w:tc>
          <w:tcPr>
            <w:tcW w:w="1242" w:type="pct"/>
            <w:gridSpan w:val="3"/>
            <w:shd w:val="clear" w:color="auto" w:fill="auto"/>
          </w:tcPr>
          <w:p w:rsidR="004C1EBA" w:rsidRPr="005A317C" w:rsidP="004C1EBA">
            <w:pPr>
              <w:pStyle w:val="csbody00"/>
              <w:rPr>
                <w:rFonts w:eastAsia="MS Mincho"/>
                <w:bCs/>
                <w:lang w:val="de-DE" w:eastAsia="de-CH"/>
              </w:rPr>
            </w:pPr>
            <w:r w:rsidRPr="00013FD4">
              <w:rPr>
                <w:bCs/>
                <w:lang w:val="de-DE"/>
              </w:rPr>
              <w:t>Association Jean Vanier,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r w:rsidRPr="00CA7A03">
              <w:t>Seraina Maag</w:t>
            </w:r>
          </w:p>
        </w:tc>
        <w:tc>
          <w:tcPr>
            <w:tcW w:w="1257" w:type="pct"/>
            <w:gridSpan w:val="2"/>
          </w:tcPr>
          <w:p w:rsidR="004C1EBA" w:rsidP="004C1EBA">
            <w:pPr>
              <w:pStyle w:val="csbody00"/>
              <w:jc w:val="left"/>
              <w:rPr>
                <w:lang w:val="de-CH"/>
              </w:rPr>
            </w:pPr>
            <w:r w:rsidRPr="000B6820">
              <w:rPr>
                <w:rFonts w:eastAsia="MS Mincho"/>
                <w:bCs/>
                <w:lang w:val="de-CH" w:eastAsia="de-CH"/>
              </w:rPr>
              <w:t>Credit Suisse AG</w:t>
            </w:r>
            <w:r w:rsidRPr="00143C45">
              <w:rPr>
                <w:rFonts w:eastAsia="MS Mincho"/>
                <w:bCs/>
                <w:lang w:val="de-CH" w:eastAsia="de-CH"/>
              </w:rPr>
              <w:br/>
            </w:r>
            <w:r w:rsidRPr="000B6820">
              <w:rPr>
                <w:rFonts w:eastAsia="MS Mincho"/>
                <w:bCs/>
                <w:lang w:val="de-CH" w:eastAsia="de-CH"/>
              </w:rPr>
              <w:t>Paradeplatz 8</w:t>
            </w:r>
            <w:r w:rsidRPr="000B6820">
              <w:rPr>
                <w:rFonts w:eastAsia="MS Mincho"/>
                <w:bCs/>
                <w:lang w:val="de-CH" w:eastAsia="de-CH"/>
              </w:rPr>
              <w:br/>
              <w:t>8001 Zurich</w:t>
            </w:r>
            <w:r>
              <w:rPr>
                <w:rFonts w:eastAsia="MS Mincho"/>
                <w:bCs/>
                <w:lang w:val="de-CH" w:eastAsia="de-CH"/>
              </w:rPr>
              <w:br/>
            </w:r>
            <w:r w:rsidRPr="000B6820">
              <w:rPr>
                <w:lang w:val="de-CH"/>
              </w:rP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rPr>
                <w:lang w:val="en-US"/>
              </w:rPr>
            </w:pPr>
            <w:r w:rsidRPr="000B6820">
              <w:rPr>
                <w:rFonts w:eastAsia="MS Mincho"/>
                <w:bCs/>
                <w:lang w:val="en-US" w:eastAsia="de-CH"/>
              </w:rPr>
              <w:t>2015 – present</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143C45" w:rsidP="004C1EBA">
            <w:pPr>
              <w:pStyle w:val="csbody00"/>
              <w:rPr>
                <w:lang w:val="en-US"/>
              </w:rPr>
            </w:pPr>
            <w:r w:rsidRPr="00013FD4">
              <w:rPr>
                <w:rFonts w:eastAsia="MS Mincho"/>
                <w:bCs/>
                <w:lang w:val="de-DE" w:eastAsia="de-CH"/>
              </w:rPr>
              <w:t>2015 bis heute</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
                <w:bCs/>
                <w:lang w:val="en-US" w:eastAsia="de-CH"/>
              </w:rPr>
            </w:pPr>
            <w:r w:rsidRPr="000B6820">
              <w:rPr>
                <w:rFonts w:eastAsia="MS Mincho"/>
                <w:bCs/>
                <w:lang w:val="en-US" w:eastAsia="de-CH"/>
              </w:rPr>
              <w:t>Credit Suisse</w:t>
            </w:r>
          </w:p>
        </w:tc>
        <w:tc>
          <w:tcPr>
            <w:tcW w:w="1242" w:type="pct"/>
            <w:gridSpan w:val="3"/>
            <w:shd w:val="clear" w:color="auto" w:fill="auto"/>
          </w:tcPr>
          <w:p w:rsidR="004C1EBA" w:rsidRPr="00762E42" w:rsidP="004C1EBA">
            <w:pPr>
              <w:pStyle w:val="csbody00"/>
              <w:ind w:left="720"/>
              <w:rPr>
                <w:rFonts w:eastAsia="MS Mincho"/>
                <w:b/>
                <w:bCs/>
                <w:lang w:eastAsia="de-CH"/>
              </w:rPr>
            </w:pPr>
            <w:r w:rsidRPr="00013FD4">
              <w:rPr>
                <w:rFonts w:eastAsia="MS Mincho"/>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Member of the Audit Committee (2015 – present)</w:t>
            </w:r>
          </w:p>
        </w:tc>
        <w:tc>
          <w:tcPr>
            <w:tcW w:w="1242" w:type="pct"/>
            <w:gridSpan w:val="3"/>
            <w:shd w:val="clear" w:color="auto" w:fill="auto"/>
          </w:tcPr>
          <w:p w:rsidR="004C1EBA" w:rsidRPr="00F36E74" w:rsidP="004C1EBA">
            <w:pPr>
              <w:pStyle w:val="csbody00"/>
              <w:ind w:left="720"/>
              <w:rPr>
                <w:rFonts w:eastAsia="MS Mincho"/>
                <w:bCs/>
                <w:lang w:val="de-DE" w:eastAsia="de-CH"/>
              </w:rPr>
            </w:pPr>
            <w:r w:rsidRPr="00013FD4">
              <w:rPr>
                <w:rFonts w:eastAsia="MS Mincho"/>
                <w:bCs/>
                <w:lang w:val="de-DE" w:eastAsia="de-CH"/>
              </w:rPr>
              <w:t>Mitglied des Audit Committee (2015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2013 – present</w:t>
            </w:r>
          </w:p>
        </w:tc>
        <w:tc>
          <w:tcPr>
            <w:tcW w:w="1242" w:type="pct"/>
            <w:gridSpan w:val="3"/>
            <w:shd w:val="clear" w:color="auto" w:fill="auto"/>
          </w:tcPr>
          <w:p w:rsidR="004C1EBA" w:rsidRPr="00013FD4" w:rsidP="004C1EBA">
            <w:pPr>
              <w:pStyle w:val="csbody00"/>
              <w:rPr>
                <w:rFonts w:eastAsia="MS Mincho"/>
                <w:bCs/>
                <w:lang w:val="de-DE" w:eastAsia="de-CH"/>
              </w:rPr>
            </w:pPr>
            <w:r w:rsidRPr="00762E42">
              <w:rPr>
                <w:rFonts w:eastAsia="MS Mincho"/>
                <w:bCs/>
                <w:lang w:eastAsia="de-CH"/>
              </w:rPr>
              <w:t>2013 bis heute</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pPr>
              <w:pStyle w:val="csbody00"/>
              <w:ind w:left="720"/>
              <w:rPr>
                <w:rFonts w:eastAsia="MS Mincho"/>
                <w:bCs/>
                <w:lang w:val="en-US" w:eastAsia="de-CH"/>
              </w:rPr>
            </w:pPr>
            <w:r w:rsidRPr="000B6820">
              <w:rPr>
                <w:rFonts w:eastAsia="MS Mincho"/>
                <w:bCs/>
                <w:lang w:val="en-US" w:eastAsia="de-CH"/>
              </w:rPr>
              <w:t>AIG Corporation</w:t>
            </w:r>
            <w:r>
              <w:rPr>
                <w:rFonts w:eastAsia="MS Mincho"/>
                <w:bCs/>
                <w:lang w:val="en-US" w:eastAsia="de-CH"/>
              </w:rPr>
              <w:t>,</w:t>
            </w:r>
            <w:r w:rsidRPr="000B6820">
              <w:rPr>
                <w:rFonts w:eastAsia="MS Mincho"/>
                <w:bCs/>
                <w:lang w:val="en-US" w:eastAsia="de-CH"/>
              </w:rPr>
              <w:t xml:space="preserve"> CEO and President of AIG EMEA</w:t>
            </w:r>
          </w:p>
        </w:tc>
        <w:tc>
          <w:tcPr>
            <w:tcW w:w="1242" w:type="pct"/>
            <w:gridSpan w:val="3"/>
            <w:shd w:val="clear" w:color="auto" w:fill="auto"/>
          </w:tcPr>
          <w:p w:rsidR="004C1EBA" w:rsidRPr="00762E42">
            <w:pPr>
              <w:pStyle w:val="csbody00"/>
              <w:ind w:left="720"/>
              <w:rPr>
                <w:rFonts w:eastAsia="MS Mincho"/>
                <w:bCs/>
                <w:lang w:eastAsia="de-CH"/>
              </w:rPr>
            </w:pPr>
            <w:r w:rsidRPr="000B6820">
              <w:rPr>
                <w:rFonts w:eastAsia="MS Mincho"/>
                <w:bCs/>
                <w:lang w:val="en-US" w:eastAsia="de-CH"/>
              </w:rPr>
              <w:t>AIG Corporation</w:t>
            </w:r>
            <w:r>
              <w:rPr>
                <w:rFonts w:eastAsia="MS Mincho"/>
                <w:bCs/>
                <w:lang w:val="en-US" w:eastAsia="de-CH"/>
              </w:rPr>
              <w:t>,</w:t>
            </w:r>
            <w:r w:rsidRPr="000B6820">
              <w:rPr>
                <w:rFonts w:eastAsia="MS Mincho"/>
                <w:bCs/>
                <w:lang w:val="en-US" w:eastAsia="de-CH"/>
              </w:rPr>
              <w:t xml:space="preserve"> CEO </w:t>
            </w:r>
            <w:r>
              <w:rPr>
                <w:rFonts w:eastAsia="MS Mincho"/>
                <w:bCs/>
                <w:lang w:val="en-US" w:eastAsia="de-CH"/>
              </w:rPr>
              <w:t>u</w:t>
            </w:r>
            <w:r w:rsidRPr="000B6820">
              <w:rPr>
                <w:rFonts w:eastAsia="MS Mincho"/>
                <w:bCs/>
                <w:lang w:val="en-US" w:eastAsia="de-CH"/>
              </w:rPr>
              <w:t xml:space="preserve">nd </w:t>
            </w:r>
            <w:r>
              <w:rPr>
                <w:rFonts w:eastAsia="MS Mincho"/>
                <w:bCs/>
                <w:lang w:val="en-US" w:eastAsia="de-CH"/>
              </w:rPr>
              <w:t xml:space="preserve">Präsidentin von </w:t>
            </w:r>
            <w:r w:rsidRPr="000B6820">
              <w:rPr>
                <w:rFonts w:eastAsia="MS Mincho"/>
                <w:bCs/>
                <w:lang w:val="en-US" w:eastAsia="de-CH"/>
              </w:rPr>
              <w:t>AIG EMEA</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F36E74" w:rsidP="004C1EBA">
            <w:pPr>
              <w:pStyle w:val="csbody00"/>
              <w:rPr>
                <w:rFonts w:eastAsia="MS Mincho"/>
                <w:bCs/>
                <w:lang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2010 – 2013</w:t>
            </w:r>
          </w:p>
        </w:tc>
        <w:tc>
          <w:tcPr>
            <w:tcW w:w="1242" w:type="pct"/>
            <w:gridSpan w:val="3"/>
            <w:shd w:val="clear" w:color="auto" w:fill="auto"/>
          </w:tcPr>
          <w:p w:rsidR="004C1EBA" w:rsidRPr="000B6820" w:rsidP="004C1EBA">
            <w:pPr>
              <w:pStyle w:val="csbody00"/>
              <w:rPr>
                <w:rFonts w:eastAsia="MS Mincho"/>
                <w:bCs/>
                <w:lang w:val="en-US" w:eastAsia="de-CH"/>
              </w:rPr>
            </w:pPr>
            <w:r w:rsidRPr="000B6820">
              <w:rPr>
                <w:rFonts w:eastAsia="MS Mincho"/>
                <w:bCs/>
                <w:lang w:val="en-US" w:eastAsia="de-CH"/>
              </w:rPr>
              <w:t>2010 – 2013</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XL Insurance North America, Chief Executive</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0B6820">
              <w:rPr>
                <w:rFonts w:eastAsia="MS Mincho"/>
                <w:bCs/>
                <w:lang w:val="en-US" w:eastAsia="de-CH"/>
              </w:rPr>
              <w:t>XL Insurance North America, Chief Executive</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F36E74" w:rsidP="004C1EBA">
            <w:pPr>
              <w:pStyle w:val="csbody00"/>
              <w:rPr>
                <w:rFonts w:eastAsia="MS Mincho"/>
                <w:bCs/>
                <w:lang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2006 – 2010</w:t>
            </w:r>
          </w:p>
        </w:tc>
        <w:tc>
          <w:tcPr>
            <w:tcW w:w="1242" w:type="pct"/>
            <w:gridSpan w:val="3"/>
            <w:shd w:val="clear" w:color="auto" w:fill="auto"/>
          </w:tcPr>
          <w:p w:rsidR="004C1EBA" w:rsidRPr="000B6820" w:rsidP="004C1EBA">
            <w:pPr>
              <w:pStyle w:val="csbody00"/>
              <w:rPr>
                <w:rFonts w:eastAsia="MS Mincho"/>
                <w:bCs/>
                <w:lang w:val="en-US" w:eastAsia="de-CH"/>
              </w:rPr>
            </w:pPr>
            <w:r w:rsidRPr="00013FD4">
              <w:rPr>
                <w:rFonts w:eastAsia="MS Mincho"/>
                <w:bCs/>
                <w:lang w:val="de-DE" w:eastAsia="de-CH"/>
              </w:rPr>
              <w:t>2006 – 2010</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Zurich North America Commercial</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Zurich North America Commercial</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President of the Specialties Business Unit (2007-2010)</w:t>
            </w:r>
          </w:p>
        </w:tc>
        <w:tc>
          <w:tcPr>
            <w:tcW w:w="1242" w:type="pct"/>
            <w:gridSpan w:val="3"/>
            <w:shd w:val="clear" w:color="auto" w:fill="auto"/>
          </w:tcPr>
          <w:p w:rsidR="004C1EBA" w:rsidRPr="00762E42" w:rsidP="004C1EBA">
            <w:pPr>
              <w:pStyle w:val="csbody00"/>
              <w:ind w:left="720"/>
              <w:rPr>
                <w:rFonts w:eastAsia="MS Mincho"/>
                <w:bCs/>
                <w:lang w:val="de-DE" w:eastAsia="de-CH"/>
              </w:rPr>
            </w:pPr>
            <w:r w:rsidRPr="00013FD4">
              <w:rPr>
                <w:rFonts w:eastAsia="MS Mincho"/>
                <w:bCs/>
                <w:lang w:val="de-DE" w:eastAsia="de-CH"/>
              </w:rPr>
              <w:t>Präsidentin des Geschäftsbereichs Specialties Business (2007-</w:t>
            </w:r>
            <w:r w:rsidRPr="00762E42">
              <w:rPr>
                <w:rFonts w:eastAsia="MS Mincho"/>
                <w:bCs/>
                <w:lang w:val="de-DE" w:eastAsia="de-CH"/>
              </w:rPr>
              <w:t>2010)</w:t>
            </w:r>
          </w:p>
        </w:tc>
      </w:tr>
      <w:tr w:rsidTr="00682578">
        <w:tblPrEx>
          <w:tblW w:w="5002" w:type="pct"/>
          <w:tblBorders>
            <w:insideV w:val="single" w:sz="4" w:space="0" w:color="auto"/>
          </w:tblBorders>
          <w:tblLayout w:type="fixed"/>
          <w:tblLook w:val="00A0"/>
        </w:tblPrEx>
        <w:tc>
          <w:tcPr>
            <w:tcW w:w="1242" w:type="pct"/>
            <w:gridSpan w:val="3"/>
            <w:tcBorders>
              <w:bottom w:val="nil"/>
            </w:tcBorders>
          </w:tcPr>
          <w:p w:rsidR="004C1EBA" w:rsidRPr="00762E42" w:rsidP="004C1EBA">
            <w:pPr>
              <w:pStyle w:val="csbody00"/>
              <w:rPr>
                <w:lang w:val="de-DE"/>
              </w:rPr>
            </w:pPr>
          </w:p>
        </w:tc>
        <w:tc>
          <w:tcPr>
            <w:tcW w:w="1257" w:type="pct"/>
            <w:gridSpan w:val="2"/>
            <w:tcBorders>
              <w:bottom w:val="nil"/>
            </w:tcBorders>
          </w:tcPr>
          <w:p w:rsidR="004C1EBA" w:rsidRPr="000B6820" w:rsidP="004C1EBA">
            <w:pPr>
              <w:pStyle w:val="csbody00"/>
              <w:rPr>
                <w:rFonts w:eastAsia="MS Mincho"/>
                <w:bCs/>
                <w:lang w:val="de-CH" w:eastAsia="de-CH"/>
              </w:rPr>
            </w:pPr>
          </w:p>
        </w:tc>
        <w:tc>
          <w:tcPr>
            <w:tcW w:w="1260" w:type="pct"/>
            <w:gridSpan w:val="5"/>
            <w:tcBorders>
              <w:bottom w:val="nil"/>
            </w:tcBorders>
          </w:tcPr>
          <w:p w:rsidR="004C1EBA" w:rsidRPr="000B6820" w:rsidP="004C1EBA">
            <w:pPr>
              <w:pStyle w:val="csbody00"/>
              <w:ind w:left="720"/>
              <w:rPr>
                <w:rFonts w:eastAsia="MS Mincho"/>
                <w:bCs/>
                <w:lang w:val="en-US" w:eastAsia="de-CH"/>
              </w:rPr>
            </w:pPr>
            <w:r w:rsidRPr="000B6820">
              <w:rPr>
                <w:rFonts w:eastAsia="MS Mincho"/>
                <w:bCs/>
                <w:lang w:val="en-US" w:eastAsia="de-CH"/>
              </w:rPr>
              <w:t>Chief Financial Officer</w:t>
            </w:r>
          </w:p>
        </w:tc>
        <w:tc>
          <w:tcPr>
            <w:tcW w:w="1242" w:type="pct"/>
            <w:gridSpan w:val="3"/>
            <w:tcBorders>
              <w:bottom w:val="nil"/>
            </w:tcBorders>
            <w:shd w:val="clear" w:color="auto" w:fill="auto"/>
          </w:tcPr>
          <w:p w:rsidR="004C1EBA" w:rsidRPr="00013FD4" w:rsidP="004C1EBA">
            <w:pPr>
              <w:pStyle w:val="csbody00"/>
              <w:ind w:left="720"/>
              <w:rPr>
                <w:rFonts w:eastAsia="MS Mincho"/>
                <w:bCs/>
                <w:lang w:val="de-DE" w:eastAsia="de-CH"/>
              </w:rPr>
            </w:pPr>
            <w:r w:rsidRPr="000B6820">
              <w:rPr>
                <w:rFonts w:eastAsia="MS Mincho"/>
                <w:bCs/>
                <w:lang w:val="en-US" w:eastAsia="de-CH"/>
              </w:rPr>
              <w:t>Chief Financial Officer</w:t>
            </w:r>
          </w:p>
        </w:tc>
      </w:tr>
      <w:tr w:rsidTr="00682578">
        <w:tblPrEx>
          <w:tblW w:w="5002" w:type="pct"/>
          <w:tblBorders>
            <w:insideV w:val="single" w:sz="4" w:space="0" w:color="auto"/>
          </w:tblBorders>
          <w:tblLayout w:type="fixed"/>
          <w:tblLook w:val="00A0"/>
        </w:tblPrEx>
        <w:trPr>
          <w:trHeight w:val="364"/>
        </w:trPr>
        <w:tc>
          <w:tcPr>
            <w:tcW w:w="1242" w:type="pct"/>
            <w:gridSpan w:val="3"/>
            <w:tcBorders>
              <w:bottom w:val="nil"/>
            </w:tcBorders>
          </w:tcPr>
          <w:p w:rsidR="004C1EBA" w:rsidRPr="00CA7A03" w:rsidP="004C1EBA">
            <w:pPr>
              <w:pStyle w:val="csbody00"/>
            </w:pPr>
          </w:p>
        </w:tc>
        <w:tc>
          <w:tcPr>
            <w:tcW w:w="1257" w:type="pct"/>
            <w:gridSpan w:val="2"/>
            <w:tcBorders>
              <w:bottom w:val="nil"/>
            </w:tcBorders>
          </w:tcPr>
          <w:p w:rsidR="004C1EBA" w:rsidRPr="000B6820" w:rsidP="004C1EBA">
            <w:pPr>
              <w:pStyle w:val="csbody00"/>
              <w:rPr>
                <w:rFonts w:eastAsia="MS Mincho"/>
                <w:bCs/>
                <w:lang w:val="de-CH" w:eastAsia="de-CH"/>
              </w:rPr>
            </w:pPr>
          </w:p>
        </w:tc>
        <w:tc>
          <w:tcPr>
            <w:tcW w:w="1260" w:type="pct"/>
            <w:gridSpan w:val="5"/>
            <w:tcBorders>
              <w:bottom w:val="nil"/>
            </w:tcBorders>
          </w:tcPr>
          <w:p w:rsidR="004C1EBA" w:rsidP="004C1EBA">
            <w:pPr>
              <w:pStyle w:val="csbody00"/>
              <w:rPr>
                <w:rFonts w:eastAsia="MS Mincho"/>
                <w:bCs/>
                <w:lang w:val="en-US" w:eastAsia="de-CH"/>
              </w:rPr>
            </w:pPr>
            <w:r w:rsidRPr="000B6820">
              <w:rPr>
                <w:rFonts w:eastAsia="MS Mincho"/>
                <w:bCs/>
                <w:lang w:val="en-US" w:eastAsia="de-CH"/>
              </w:rPr>
              <w:t>2002 – 2008</w:t>
            </w:r>
          </w:p>
        </w:tc>
        <w:tc>
          <w:tcPr>
            <w:tcW w:w="1242" w:type="pct"/>
            <w:gridSpan w:val="3"/>
            <w:tcBorders>
              <w:bottom w:val="nil"/>
            </w:tcBorders>
            <w:shd w:val="clear" w:color="auto" w:fill="auto"/>
          </w:tcPr>
          <w:p w:rsidR="004C1EBA" w:rsidRPr="00762E42" w:rsidP="004C1EBA">
            <w:pPr>
              <w:pStyle w:val="csbody00"/>
              <w:rPr>
                <w:rFonts w:eastAsia="MS Mincho"/>
                <w:bCs/>
                <w:lang w:eastAsia="de-CH"/>
              </w:rPr>
            </w:pPr>
            <w:r w:rsidRPr="000B6820">
              <w:rPr>
                <w:rFonts w:eastAsia="MS Mincho"/>
                <w:bCs/>
                <w:lang w:val="en-US" w:eastAsia="de-CH"/>
              </w:rPr>
              <w:t>2002 – 2008</w:t>
            </w:r>
          </w:p>
        </w:tc>
      </w:tr>
      <w:tr w:rsidTr="00682578">
        <w:tblPrEx>
          <w:tblW w:w="5002" w:type="pct"/>
          <w:tblBorders>
            <w:insideV w:val="single" w:sz="4" w:space="0" w:color="auto"/>
          </w:tblBorders>
          <w:tblLayout w:type="fixed"/>
          <w:tblLook w:val="00A0"/>
        </w:tblPrEx>
        <w:trPr>
          <w:trHeight w:val="766"/>
        </w:trPr>
        <w:tc>
          <w:tcPr>
            <w:tcW w:w="1242" w:type="pct"/>
            <w:gridSpan w:val="3"/>
            <w:tcBorders>
              <w:top w:val="nil"/>
            </w:tcBorders>
          </w:tcPr>
          <w:p w:rsidR="004C1EBA" w:rsidRPr="00CA7A03" w:rsidP="004C1EBA">
            <w:pPr>
              <w:pStyle w:val="csbody00"/>
            </w:pPr>
          </w:p>
        </w:tc>
        <w:tc>
          <w:tcPr>
            <w:tcW w:w="1257" w:type="pct"/>
            <w:gridSpan w:val="2"/>
            <w:tcBorders>
              <w:top w:val="nil"/>
            </w:tcBorders>
          </w:tcPr>
          <w:p w:rsidR="004C1EBA" w:rsidRPr="000B6820" w:rsidP="004C1EBA">
            <w:pPr>
              <w:pStyle w:val="csbody00"/>
              <w:rPr>
                <w:rFonts w:eastAsia="MS Mincho"/>
                <w:bCs/>
                <w:lang w:val="de-CH" w:eastAsia="de-CH"/>
              </w:rPr>
            </w:pPr>
          </w:p>
        </w:tc>
        <w:tc>
          <w:tcPr>
            <w:tcW w:w="1260" w:type="pct"/>
            <w:gridSpan w:val="5"/>
            <w:tcBorders>
              <w:top w:val="nil"/>
            </w:tcBorders>
          </w:tcPr>
          <w:p w:rsidR="004C1EBA" w:rsidRPr="000B6820" w:rsidP="004C1EBA">
            <w:pPr>
              <w:pStyle w:val="csbody00"/>
              <w:ind w:left="720"/>
              <w:rPr>
                <w:rFonts w:eastAsia="MS Mincho"/>
                <w:bCs/>
                <w:lang w:val="en-US" w:eastAsia="de-CH"/>
              </w:rPr>
            </w:pPr>
            <w:r w:rsidRPr="000B6820">
              <w:rPr>
                <w:rFonts w:eastAsia="MS Mincho"/>
                <w:bCs/>
                <w:lang w:val="en-US" w:eastAsia="de-CH"/>
              </w:rPr>
              <w:t>Zurich Financial Services</w:t>
            </w:r>
          </w:p>
        </w:tc>
        <w:tc>
          <w:tcPr>
            <w:tcW w:w="1242" w:type="pct"/>
            <w:gridSpan w:val="3"/>
            <w:tcBorders>
              <w:top w:val="nil"/>
            </w:tcBorders>
            <w:shd w:val="clear" w:color="auto" w:fill="auto"/>
          </w:tcPr>
          <w:p w:rsidR="004C1EBA" w:rsidRPr="000B6820" w:rsidP="004C1EBA">
            <w:pPr>
              <w:pStyle w:val="csbody00"/>
              <w:ind w:left="720"/>
              <w:rPr>
                <w:rFonts w:eastAsia="MS Mincho"/>
                <w:bCs/>
                <w:lang w:val="en-US" w:eastAsia="de-CH"/>
              </w:rPr>
            </w:pPr>
            <w:r w:rsidRPr="000B6820">
              <w:rPr>
                <w:rFonts w:eastAsia="MS Mincho"/>
                <w:bCs/>
                <w:lang w:val="en-US" w:eastAsia="de-CH"/>
              </w:rPr>
              <w:t>Zurich Financial Services</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Head of Investor Relations and Rating Agencies Management</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762E42">
              <w:rPr>
                <w:rFonts w:eastAsia="MS Mincho"/>
                <w:bCs/>
                <w:lang w:val="de-DE" w:eastAsia="de-CH"/>
              </w:rPr>
              <w:t>Leiterin von Investor Relations und Rating Agencies Management</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Head of Rating Agencies Management</w:t>
            </w:r>
          </w:p>
        </w:tc>
        <w:tc>
          <w:tcPr>
            <w:tcW w:w="1242" w:type="pct"/>
            <w:gridSpan w:val="3"/>
            <w:shd w:val="clear" w:color="auto" w:fill="auto"/>
          </w:tcPr>
          <w:p w:rsidR="004C1EBA" w:rsidRPr="005A78B7" w:rsidP="004C1EBA">
            <w:pPr>
              <w:pStyle w:val="csbody00"/>
              <w:ind w:left="720"/>
              <w:rPr>
                <w:rFonts w:eastAsia="MS Mincho"/>
                <w:bCs/>
                <w:lang w:val="de-DE" w:eastAsia="de-CH"/>
              </w:rPr>
            </w:pPr>
            <w:r w:rsidRPr="00762E42">
              <w:rPr>
                <w:rFonts w:eastAsia="MS Mincho"/>
                <w:bCs/>
                <w:lang w:val="de-DE" w:eastAsia="de-CH"/>
              </w:rPr>
              <w:t>Leiterin von Rating</w:t>
            </w:r>
            <w:r>
              <w:rPr>
                <w:rFonts w:eastAsia="MS Mincho"/>
                <w:bCs/>
                <w:lang w:val="de-DE" w:eastAsia="de-CH"/>
              </w:rPr>
              <w:t xml:space="preserve"> </w:t>
            </w:r>
            <w:r w:rsidRPr="005A78B7">
              <w:rPr>
                <w:rFonts w:eastAsia="MS Mincho"/>
                <w:bCs/>
                <w:lang w:val="de-DE" w:eastAsia="de-CH"/>
              </w:rPr>
              <w:t>Agencies Management</w:t>
            </w:r>
          </w:p>
        </w:tc>
      </w:tr>
      <w:tr w:rsidTr="00682578">
        <w:tblPrEx>
          <w:tblW w:w="5002" w:type="pct"/>
          <w:tblBorders>
            <w:insideV w:val="single" w:sz="4" w:space="0" w:color="auto"/>
          </w:tblBorders>
          <w:tblLayout w:type="fixed"/>
          <w:tblLook w:val="00A0"/>
        </w:tblPrEx>
        <w:tc>
          <w:tcPr>
            <w:tcW w:w="1242" w:type="pct"/>
            <w:gridSpan w:val="3"/>
          </w:tcPr>
          <w:p w:rsidR="004C1EBA" w:rsidRPr="005A78B7" w:rsidP="004C1EBA">
            <w:pPr>
              <w:pStyle w:val="csbody00"/>
              <w:rPr>
                <w:lang w:val="de-DE"/>
              </w:rPr>
            </w:pPr>
          </w:p>
        </w:tc>
        <w:tc>
          <w:tcPr>
            <w:tcW w:w="1257" w:type="pct"/>
            <w:gridSpan w:val="2"/>
          </w:tcPr>
          <w:p w:rsidR="004C1EBA" w:rsidRPr="005A78B7" w:rsidP="004C1EBA">
            <w:pPr>
              <w:pStyle w:val="csbody00"/>
              <w:rPr>
                <w:rFonts w:eastAsia="MS Mincho"/>
                <w:bCs/>
                <w:lang w:val="de-DE"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Senior Investor Relations Officer</w:t>
            </w:r>
          </w:p>
        </w:tc>
        <w:tc>
          <w:tcPr>
            <w:tcW w:w="1242" w:type="pct"/>
            <w:gridSpan w:val="3"/>
            <w:shd w:val="clear" w:color="auto" w:fill="auto"/>
          </w:tcPr>
          <w:p w:rsidR="004C1EBA" w:rsidRPr="00762E42" w:rsidP="004C1EBA">
            <w:pPr>
              <w:pStyle w:val="csbody00"/>
              <w:ind w:left="720"/>
              <w:rPr>
                <w:rFonts w:eastAsia="MS Mincho"/>
                <w:bCs/>
                <w:lang w:eastAsia="de-CH"/>
              </w:rPr>
            </w:pPr>
            <w:r w:rsidRPr="00762E42">
              <w:rPr>
                <w:rFonts w:eastAsia="MS Mincho"/>
                <w:bCs/>
                <w:lang w:val="de-DE" w:eastAsia="de-CH"/>
              </w:rPr>
              <w:t>Senior Investor Relations Officer</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P="004C1EBA">
            <w:pPr>
              <w:pStyle w:val="csbody00"/>
              <w:rPr>
                <w:rFonts w:eastAsia="MS Mincho"/>
                <w:bCs/>
                <w:lang w:val="en-US" w:eastAsia="de-CH"/>
              </w:rPr>
            </w:pPr>
            <w:r w:rsidRPr="000B6820">
              <w:rPr>
                <w:rFonts w:eastAsia="MS Mincho"/>
                <w:bCs/>
                <w:lang w:val="en-US" w:eastAsia="de-CH"/>
              </w:rPr>
              <w:t>2000 – 2002</w:t>
            </w:r>
          </w:p>
        </w:tc>
        <w:tc>
          <w:tcPr>
            <w:tcW w:w="1242" w:type="pct"/>
            <w:gridSpan w:val="3"/>
            <w:shd w:val="clear" w:color="auto" w:fill="auto"/>
          </w:tcPr>
          <w:p w:rsidR="004C1EBA" w:rsidRPr="00762E42" w:rsidP="004C1EBA">
            <w:pPr>
              <w:pStyle w:val="csbody00"/>
              <w:rPr>
                <w:rFonts w:eastAsia="MS Mincho"/>
                <w:bCs/>
                <w:lang w:eastAsia="de-CH"/>
              </w:rPr>
            </w:pPr>
            <w:r w:rsidRPr="00762E42">
              <w:rPr>
                <w:rFonts w:eastAsia="MS Mincho"/>
                <w:bCs/>
                <w:lang w:val="de-DE" w:eastAsia="de-CH"/>
              </w:rPr>
              <w:t>2000 – 2002</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NZB Neue Zürcher Bank, Founding Partner &amp; Financial Analyst</w:t>
            </w:r>
          </w:p>
        </w:tc>
        <w:tc>
          <w:tcPr>
            <w:tcW w:w="1242" w:type="pct"/>
            <w:gridSpan w:val="3"/>
            <w:shd w:val="clear" w:color="auto" w:fill="auto"/>
          </w:tcPr>
          <w:p w:rsidR="004C1EBA" w:rsidRPr="00762E42" w:rsidP="004C1EBA">
            <w:pPr>
              <w:pStyle w:val="csbody00"/>
              <w:ind w:left="720"/>
              <w:rPr>
                <w:rFonts w:eastAsia="MS Mincho"/>
                <w:bCs/>
                <w:lang w:val="de-DE" w:eastAsia="de-CH"/>
              </w:rPr>
            </w:pPr>
            <w:r w:rsidRPr="00762E42">
              <w:rPr>
                <w:rFonts w:eastAsia="MS Mincho"/>
                <w:bCs/>
                <w:lang w:val="de-DE" w:eastAsia="de-CH"/>
              </w:rPr>
              <w:t>NZB Neue Zürcher Bank, Mitbegründerin &amp; Finanz</w:t>
            </w:r>
            <w:r w:rsidRPr="00762E42">
              <w:rPr>
                <w:rFonts w:eastAsia="MS Mincho"/>
                <w:bCs/>
                <w:lang w:val="de-DE" w:eastAsia="de-CH"/>
              </w:rPr>
              <w:softHyphen/>
              <w:t>analystin</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1990 – 2000</w:t>
            </w:r>
          </w:p>
        </w:tc>
        <w:tc>
          <w:tcPr>
            <w:tcW w:w="1242" w:type="pct"/>
            <w:gridSpan w:val="3"/>
            <w:shd w:val="clear" w:color="auto" w:fill="auto"/>
          </w:tcPr>
          <w:p w:rsidR="004C1EBA" w:rsidRPr="00762E42" w:rsidP="004C1EBA">
            <w:pPr>
              <w:pStyle w:val="csbody00"/>
              <w:rPr>
                <w:rFonts w:eastAsia="MS Mincho"/>
                <w:bCs/>
                <w:lang w:eastAsia="de-CH"/>
              </w:rPr>
            </w:pPr>
            <w:r w:rsidRPr="00013FD4">
              <w:rPr>
                <w:rFonts w:eastAsia="MS Mincho"/>
                <w:bCs/>
                <w:lang w:val="de-DE" w:eastAsia="de-CH"/>
              </w:rPr>
              <w:t>1990 – 2000</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Swiss Re</w:t>
            </w:r>
          </w:p>
        </w:tc>
        <w:tc>
          <w:tcPr>
            <w:tcW w:w="1242" w:type="pct"/>
            <w:gridSpan w:val="3"/>
            <w:shd w:val="clear" w:color="auto" w:fill="auto"/>
          </w:tcPr>
          <w:p w:rsidR="004C1EBA" w:rsidRPr="00762E42" w:rsidP="004C1EBA">
            <w:pPr>
              <w:pStyle w:val="csbody00"/>
              <w:ind w:left="720"/>
              <w:rPr>
                <w:rFonts w:eastAsia="MS Mincho"/>
                <w:bCs/>
                <w:lang w:eastAsia="de-CH"/>
              </w:rPr>
            </w:pPr>
            <w:r w:rsidRPr="00013FD4">
              <w:rPr>
                <w:rFonts w:eastAsia="MS Mincho"/>
                <w:bCs/>
                <w:lang w:val="de-DE" w:eastAsia="de-CH"/>
              </w:rPr>
              <w:t>Swiss Re</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Rating Agency Coordinator, Swiss Re Group (2000)</w:t>
            </w:r>
          </w:p>
        </w:tc>
        <w:tc>
          <w:tcPr>
            <w:tcW w:w="1242" w:type="pct"/>
            <w:gridSpan w:val="3"/>
            <w:shd w:val="clear" w:color="auto" w:fill="auto"/>
          </w:tcPr>
          <w:p w:rsidR="004C1EBA" w:rsidRPr="00762E42" w:rsidP="004C1EBA">
            <w:pPr>
              <w:pStyle w:val="csbody00"/>
              <w:ind w:left="720"/>
              <w:rPr>
                <w:rFonts w:eastAsia="MS Mincho"/>
                <w:bCs/>
                <w:lang w:eastAsia="de-CH"/>
              </w:rPr>
            </w:pPr>
            <w:r w:rsidRPr="00013FD4">
              <w:rPr>
                <w:rFonts w:eastAsia="MS Mincho"/>
                <w:bCs/>
                <w:lang w:val="de-DE" w:eastAsia="de-CH"/>
              </w:rPr>
              <w:t>Ratingagentur Koordinatorin, Swiss Re Group (2000)</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Senior Underwriter &amp; Deputy Head of Financial Products (1996-1999)</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Senior Underwriter &amp; stellvertretende Leiterin von Financial Products (1996-1999)</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Various senior positions in Zurich and Melbourne (1990-1996)</w:t>
            </w:r>
          </w:p>
        </w:tc>
        <w:tc>
          <w:tcPr>
            <w:tcW w:w="1242" w:type="pct"/>
            <w:gridSpan w:val="3"/>
            <w:shd w:val="clear" w:color="auto" w:fill="auto"/>
          </w:tcPr>
          <w:p w:rsidR="004C1EBA" w:rsidRPr="00F36E74" w:rsidP="004C1EBA">
            <w:pPr>
              <w:pStyle w:val="csbody00"/>
              <w:ind w:left="720"/>
              <w:rPr>
                <w:rFonts w:eastAsia="MS Mincho"/>
                <w:bCs/>
                <w:lang w:val="de-DE" w:eastAsia="de-CH"/>
              </w:rPr>
            </w:pPr>
            <w:r w:rsidRPr="00013FD4">
              <w:rPr>
                <w:rFonts w:eastAsia="MS Mincho"/>
                <w:bCs/>
                <w:lang w:val="de-DE" w:eastAsia="de-CH"/>
              </w:rPr>
              <w:t>Verschiedene führende Positionen in Zürich und Melbourne (1990-1996)</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1988 – 2000</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1988 – 2000</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Positions with ib-Williams AG and Brown Brothers Harriman (Zurich)</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Positionen bei ib-Williams AG und Brown Brothers Harriman (Zürich)</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P="004C1EBA">
            <w:pPr>
              <w:pStyle w:val="csbody00"/>
              <w:rPr>
                <w:rFonts w:eastAsia="MS Mincho"/>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13FD4" w:rsidP="004C1EBA">
            <w:pPr>
              <w:pStyle w:val="csbody00"/>
              <w:rPr>
                <w:rFonts w:eastAsia="MS Mincho"/>
                <w:bCs/>
                <w:lang w:val="de-DE" w:eastAsia="de-CH"/>
              </w:rPr>
            </w:pPr>
            <w:r w:rsidRPr="00762E42">
              <w:rPr>
                <w:rFonts w:eastAsia="MS Mincho"/>
                <w:b/>
                <w:bCs/>
                <w:lang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2001 Chartered Financial Analyst (CFA), CFA Institute, USA</w:t>
            </w:r>
          </w:p>
        </w:tc>
        <w:tc>
          <w:tcPr>
            <w:tcW w:w="1242" w:type="pct"/>
            <w:gridSpan w:val="3"/>
            <w:shd w:val="clear" w:color="auto" w:fill="auto"/>
          </w:tcPr>
          <w:p w:rsidR="004C1EBA" w:rsidRPr="00762E42" w:rsidP="004C1EBA">
            <w:pPr>
              <w:pStyle w:val="csbody00"/>
              <w:rPr>
                <w:rFonts w:eastAsia="MS Mincho"/>
                <w:b/>
                <w:bCs/>
                <w:lang w:eastAsia="de-CH"/>
              </w:rPr>
            </w:pPr>
            <w:r w:rsidRPr="00762E42">
              <w:rPr>
                <w:rFonts w:eastAsia="MS Mincho"/>
                <w:bCs/>
                <w:lang w:eastAsia="de-CH"/>
              </w:rPr>
              <w:t>2001 Chartered Financial Analyst (CFA), CFA Institute, USA</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rPr>
                <w:rFonts w:eastAsia="MS Mincho"/>
                <w:bCs/>
                <w:lang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1999 MBA, Monash Mt Eliza Business School, Australia</w:t>
            </w:r>
          </w:p>
        </w:tc>
        <w:tc>
          <w:tcPr>
            <w:tcW w:w="1242" w:type="pct"/>
            <w:gridSpan w:val="3"/>
            <w:shd w:val="clear" w:color="auto" w:fill="auto"/>
          </w:tcPr>
          <w:p w:rsidR="004C1EBA" w:rsidRPr="00762E42" w:rsidP="004C1EBA">
            <w:pPr>
              <w:pStyle w:val="csbody00"/>
              <w:rPr>
                <w:rFonts w:eastAsia="MS Mincho"/>
                <w:bCs/>
                <w:lang w:eastAsia="de-CH"/>
              </w:rPr>
            </w:pPr>
            <w:r w:rsidRPr="00762E42">
              <w:rPr>
                <w:rFonts w:eastAsia="MS Mincho"/>
                <w:bCs/>
                <w:lang w:eastAsia="de-CH"/>
              </w:rPr>
              <w:t>1999 MBA, Monash Mt Eliza Business School, Australien</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rPr>
                <w:rFonts w:eastAsia="MS Mincho"/>
                <w:bCs/>
                <w:lang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1997 Postgraduate Certificate in Management, Deakin University, Australia</w:t>
            </w:r>
          </w:p>
        </w:tc>
        <w:tc>
          <w:tcPr>
            <w:tcW w:w="1242" w:type="pct"/>
            <w:gridSpan w:val="3"/>
            <w:shd w:val="clear" w:color="auto" w:fill="auto"/>
          </w:tcPr>
          <w:p w:rsidR="004C1EBA" w:rsidRPr="00762E42" w:rsidP="004C1EBA">
            <w:pPr>
              <w:pStyle w:val="csbody00"/>
              <w:rPr>
                <w:rFonts w:eastAsia="MS Mincho"/>
                <w:bCs/>
                <w:lang w:eastAsia="de-CH"/>
              </w:rPr>
            </w:pPr>
            <w:r w:rsidRPr="007D7DEE">
              <w:rPr>
                <w:rFonts w:eastAsia="MS Mincho"/>
                <w:bCs/>
                <w:lang w:val="de-DE" w:eastAsia="de-CH"/>
              </w:rPr>
              <w:t>1997 Postgraduate-Zertifikat in Management, Deakin University, Australien</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7D7DEE" w:rsidP="004C1EBA">
            <w:pPr>
              <w:pStyle w:val="csbody00"/>
              <w:rPr>
                <w:rFonts w:eastAsia="MS Mincho"/>
                <w:bCs/>
                <w:lang w:val="de-DE" w:eastAsia="de-CH"/>
              </w:rPr>
            </w:pPr>
            <w:r w:rsidRPr="00013FD4">
              <w:rPr>
                <w:rFonts w:eastAsia="MS Mincho"/>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Cs/>
                <w:lang w:val="en-US" w:eastAsia="de-CH"/>
              </w:rPr>
            </w:pPr>
            <w:r>
              <w:rPr>
                <w:rFonts w:eastAsia="MS Mincho"/>
                <w:bCs/>
                <w:lang w:val="en-US" w:eastAsia="de-CH"/>
              </w:rPr>
              <w:t>TATA AIG Insurance, board member</w:t>
            </w:r>
          </w:p>
        </w:tc>
        <w:tc>
          <w:tcPr>
            <w:tcW w:w="1242" w:type="pct"/>
            <w:gridSpan w:val="3"/>
            <w:shd w:val="clear" w:color="auto" w:fill="auto"/>
          </w:tcPr>
          <w:p w:rsidR="004C1EBA" w:rsidRPr="005C5842">
            <w:pPr>
              <w:pStyle w:val="csbody00"/>
              <w:rPr>
                <w:rFonts w:eastAsia="MS Mincho"/>
                <w:bCs/>
                <w:lang w:val="de-DE" w:eastAsia="de-CH"/>
              </w:rPr>
            </w:pPr>
            <w:r w:rsidRPr="005C5842">
              <w:rPr>
                <w:rFonts w:eastAsia="MS Mincho"/>
                <w:bCs/>
                <w:lang w:val="de-DE" w:eastAsia="de-CH"/>
              </w:rPr>
              <w:t>TATA AIG Insurance,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Cs/>
                <w:lang w:val="en-US" w:eastAsia="de-CH"/>
              </w:rPr>
            </w:pPr>
            <w:r>
              <w:rPr>
                <w:rFonts w:eastAsia="MS Mincho"/>
                <w:bCs/>
                <w:lang w:val="en-US" w:eastAsia="de-CH"/>
              </w:rPr>
              <w:t>Ascot Underwriting Ltd., board member</w:t>
            </w:r>
          </w:p>
        </w:tc>
        <w:tc>
          <w:tcPr>
            <w:tcW w:w="1242" w:type="pct"/>
            <w:gridSpan w:val="3"/>
            <w:shd w:val="clear" w:color="auto" w:fill="auto"/>
          </w:tcPr>
          <w:p w:rsidR="004C1EBA" w:rsidRPr="005C5842">
            <w:pPr>
              <w:pStyle w:val="csbody00"/>
              <w:rPr>
                <w:rFonts w:eastAsia="MS Mincho"/>
                <w:bCs/>
                <w:lang w:val="de-DE" w:eastAsia="de-CH"/>
              </w:rPr>
            </w:pPr>
            <w:r w:rsidRPr="005C5842">
              <w:rPr>
                <w:rFonts w:eastAsia="MS Mincho"/>
                <w:bCs/>
                <w:lang w:val="de-DE" w:eastAsia="de-CH"/>
              </w:rPr>
              <w:t>Ascot Underwriting Ltd.,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CFA Institute, member</w:t>
            </w:r>
          </w:p>
        </w:tc>
        <w:tc>
          <w:tcPr>
            <w:tcW w:w="1242" w:type="pct"/>
            <w:gridSpan w:val="3"/>
            <w:shd w:val="clear" w:color="auto" w:fill="auto"/>
          </w:tcPr>
          <w:p w:rsidR="004C1EBA" w:rsidRPr="006A20E3" w:rsidP="004C1EBA">
            <w:pPr>
              <w:pStyle w:val="csbody00"/>
              <w:rPr>
                <w:rFonts w:eastAsia="MS Mincho"/>
                <w:b/>
                <w:bCs/>
                <w:lang w:eastAsia="de-CH"/>
              </w:rPr>
            </w:pPr>
            <w:r w:rsidRPr="006A20E3">
              <w:rPr>
                <w:rFonts w:eastAsia="MS Mincho"/>
                <w:bCs/>
                <w:lang w:eastAsia="de-CH"/>
              </w:rPr>
              <w:t>CFA Institute, Mitglied</w:t>
            </w:r>
          </w:p>
        </w:tc>
      </w:tr>
      <w:tr w:rsidTr="00682578">
        <w:tblPrEx>
          <w:tblW w:w="5002" w:type="pct"/>
          <w:tblBorders>
            <w:insideV w:val="single" w:sz="4" w:space="0" w:color="auto"/>
          </w:tblBorders>
          <w:tblLayout w:type="fixed"/>
          <w:tblLook w:val="00A0"/>
        </w:tblPrEx>
        <w:tc>
          <w:tcPr>
            <w:tcW w:w="1242" w:type="pct"/>
            <w:gridSpan w:val="3"/>
          </w:tcPr>
          <w:p w:rsidR="004C1EBA" w:rsidRPr="007D7DEE" w:rsidP="004C1EBA">
            <w:pPr>
              <w:pStyle w:val="csbody00"/>
              <w:rPr>
                <w:lang w:val="de-DE"/>
              </w:rPr>
            </w:pPr>
          </w:p>
        </w:tc>
        <w:tc>
          <w:tcPr>
            <w:tcW w:w="1257" w:type="pct"/>
            <w:gridSpan w:val="2"/>
          </w:tcPr>
          <w:p w:rsidR="004C1EBA" w:rsidRPr="000B6820" w:rsidP="004C1EBA">
            <w:pPr>
              <w:pStyle w:val="csbody00"/>
              <w:rPr>
                <w:rFonts w:eastAsia="MS Mincho"/>
                <w:bCs/>
                <w:lang w:val="de-CH" w:eastAsia="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Association of Professional Insurance Women (APIW), member</w:t>
            </w:r>
          </w:p>
        </w:tc>
        <w:tc>
          <w:tcPr>
            <w:tcW w:w="1242" w:type="pct"/>
            <w:gridSpan w:val="3"/>
            <w:shd w:val="clear" w:color="auto" w:fill="auto"/>
          </w:tcPr>
          <w:p w:rsidR="004C1EBA" w:rsidRPr="006A20E3" w:rsidP="004C1EBA">
            <w:pPr>
              <w:pStyle w:val="csbody00"/>
              <w:rPr>
                <w:rFonts w:eastAsia="MS Mincho"/>
                <w:bCs/>
                <w:lang w:eastAsia="de-CH"/>
              </w:rPr>
            </w:pPr>
            <w:r w:rsidRPr="000B6820">
              <w:rPr>
                <w:rFonts w:eastAsia="MS Mincho"/>
                <w:bCs/>
                <w:lang w:val="en-US" w:eastAsia="de-CH"/>
              </w:rPr>
              <w:t>Association of Professional Insurance Women (APIW),</w:t>
            </w:r>
            <w:r>
              <w:rPr>
                <w:rFonts w:eastAsia="MS Mincho"/>
                <w:bCs/>
                <w:lang w:val="en-US" w:eastAsia="de-CH"/>
              </w:rPr>
              <w:t xml:space="preserve"> Mitglied</w:t>
            </w:r>
          </w:p>
        </w:tc>
      </w:tr>
      <w:tr w:rsidTr="00682578">
        <w:tblPrEx>
          <w:tblW w:w="5002" w:type="pct"/>
          <w:tblBorders>
            <w:insideV w:val="single" w:sz="4" w:space="0" w:color="auto"/>
          </w:tblBorders>
          <w:tblLayout w:type="fixed"/>
          <w:tblLook w:val="00A0"/>
        </w:tblPrEx>
        <w:tc>
          <w:tcPr>
            <w:tcW w:w="1242" w:type="pct"/>
            <w:gridSpan w:val="3"/>
          </w:tcPr>
          <w:p w:rsidR="004C1EBA" w:rsidRPr="00CA7A03" w:rsidP="004C1EBA">
            <w:pPr>
              <w:pStyle w:val="csbody00"/>
            </w:pPr>
          </w:p>
        </w:tc>
        <w:tc>
          <w:tcPr>
            <w:tcW w:w="1257" w:type="pct"/>
            <w:gridSpan w:val="2"/>
          </w:tcPr>
          <w:p w:rsidR="004C1EBA" w:rsidRPr="007D7DEE" w:rsidP="004C1EBA">
            <w:pPr>
              <w:pStyle w:val="csbody00"/>
              <w:rPr>
                <w:rFonts w:eastAsia="MS Mincho"/>
                <w:bCs/>
                <w:lang w:eastAsia="de-CH"/>
              </w:rPr>
            </w:pPr>
          </w:p>
        </w:tc>
        <w:tc>
          <w:tcPr>
            <w:tcW w:w="1260" w:type="pct"/>
            <w:gridSpan w:val="5"/>
          </w:tcPr>
          <w:p w:rsidR="004C1EBA" w:rsidP="004C1EBA">
            <w:pPr>
              <w:pStyle w:val="csbody00"/>
              <w:rPr>
                <w:rFonts w:eastAsia="MS Mincho"/>
                <w:bCs/>
                <w:lang w:val="en-US" w:eastAsia="de-CH"/>
              </w:rPr>
            </w:pPr>
            <w:r w:rsidRPr="000B6820">
              <w:rPr>
                <w:rFonts w:eastAsia="MS Mincho"/>
                <w:bCs/>
                <w:lang w:val="en-US" w:eastAsia="de-CH"/>
              </w:rPr>
              <w:t>Food Bank for New York</w:t>
            </w:r>
            <w:r>
              <w:rPr>
                <w:rFonts w:eastAsia="MS Mincho"/>
                <w:bCs/>
                <w:lang w:val="en-US" w:eastAsia="de-CH"/>
              </w:rPr>
              <w:t xml:space="preserve"> </w:t>
            </w:r>
            <w:r w:rsidRPr="000B6820">
              <w:rPr>
                <w:rFonts w:eastAsia="MS Mincho"/>
                <w:bCs/>
                <w:lang w:val="en-US" w:eastAsia="de-CH"/>
              </w:rPr>
              <w:t>City, board member</w:t>
            </w:r>
          </w:p>
        </w:tc>
        <w:tc>
          <w:tcPr>
            <w:tcW w:w="1242" w:type="pct"/>
            <w:gridSpan w:val="3"/>
            <w:shd w:val="clear" w:color="auto" w:fill="auto"/>
          </w:tcPr>
          <w:p w:rsidR="004C1EBA" w:rsidRPr="007D7DEE" w:rsidP="004C1EBA">
            <w:pPr>
              <w:pStyle w:val="csbody00"/>
              <w:rPr>
                <w:rFonts w:eastAsia="MS Mincho"/>
                <w:bCs/>
                <w:lang w:eastAsia="de-CH"/>
              </w:rPr>
            </w:pPr>
            <w:r w:rsidRPr="000B6820">
              <w:rPr>
                <w:bCs/>
                <w:lang w:val="en-US"/>
              </w:rPr>
              <w:t xml:space="preserve">Food Bank for New York City, </w:t>
            </w:r>
            <w:r>
              <w:rPr>
                <w:bCs/>
                <w:lang w:val="en-US"/>
              </w:rPr>
              <w:t>Verwaltungsratsmitglied</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r w:rsidRPr="00324233">
              <w:rPr>
                <w:lang w:val="de-CH"/>
              </w:rPr>
              <w:t>Kai S. Nargolwala</w:t>
            </w:r>
          </w:p>
        </w:tc>
        <w:tc>
          <w:tcPr>
            <w:tcW w:w="1257" w:type="pct"/>
            <w:gridSpan w:val="2"/>
          </w:tcPr>
          <w:p w:rsidR="004C1EBA" w:rsidRPr="00324233" w:rsidP="004C1EBA">
            <w:pPr>
              <w:pStyle w:val="csbody00"/>
              <w:jc w:val="left"/>
              <w:rPr>
                <w:lang w:val="de-CH"/>
              </w:rPr>
            </w:pPr>
            <w:r w:rsidRPr="00324233">
              <w:rPr>
                <w:lang w:val="de-CH"/>
              </w:rPr>
              <w:t>Credit Suisse AG</w:t>
            </w:r>
            <w:r w:rsidRPr="00324233">
              <w:rPr>
                <w:lang w:val="de-CH"/>
              </w:rPr>
              <w:br/>
              <w:t>Paradeplatz 8</w:t>
            </w:r>
            <w:r w:rsidRPr="00324233">
              <w:rPr>
                <w:lang w:val="de-CH"/>
              </w:rPr>
              <w:br/>
              <w:t>8001 Zurich</w:t>
            </w:r>
            <w:r w:rsidRPr="00324233">
              <w:rPr>
                <w:lang w:val="de-CH"/>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pPr>
            <w:r w:rsidRPr="000B6820">
              <w:rPr>
                <w:rFonts w:eastAsia="MS Mincho"/>
                <w:bCs/>
                <w:lang w:val="en-US" w:eastAsia="de-CH"/>
              </w:rPr>
              <w:t xml:space="preserve">2008–present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222088" w:rsidP="004C1EBA">
            <w:pPr>
              <w:pStyle w:val="csbody00"/>
            </w:pPr>
            <w:r w:rsidRPr="00013FD4">
              <w:rPr>
                <w:rFonts w:eastAsia="MS Mincho"/>
                <w:bCs/>
                <w:lang w:val="de-DE" w:eastAsia="de-CH"/>
              </w:rPr>
              <w:t>2008 bis heute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
                <w:bCs/>
                <w:lang w:val="en-US" w:eastAsia="de-CH"/>
              </w:rPr>
            </w:pPr>
            <w:r w:rsidRPr="000B6820">
              <w:rPr>
                <w:rFonts w:eastAsia="MS Mincho"/>
                <w:bCs/>
                <w:lang w:val="en-US" w:eastAsia="de-CH"/>
              </w:rPr>
              <w:t>Credit Suisse</w:t>
            </w:r>
          </w:p>
        </w:tc>
        <w:tc>
          <w:tcPr>
            <w:tcW w:w="1242" w:type="pct"/>
            <w:gridSpan w:val="3"/>
            <w:shd w:val="clear" w:color="auto" w:fill="auto"/>
          </w:tcPr>
          <w:p w:rsidR="004C1EBA" w:rsidRPr="00013FD4" w:rsidP="004C1EBA">
            <w:pPr>
              <w:pStyle w:val="csbody00"/>
              <w:ind w:left="720"/>
              <w:rPr>
                <w:rFonts w:eastAsia="MS Mincho"/>
                <w:b/>
                <w:bCs/>
                <w:lang w:val="de-DE" w:eastAsia="de-CH"/>
              </w:rPr>
            </w:pPr>
            <w:r w:rsidRPr="00013FD4">
              <w:rPr>
                <w:rFonts w:eastAsia="MS Mincho"/>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Member of the Compensation Committee (2014–present)</w:t>
            </w:r>
          </w:p>
        </w:tc>
        <w:tc>
          <w:tcPr>
            <w:tcW w:w="1242" w:type="pct"/>
            <w:gridSpan w:val="3"/>
            <w:shd w:val="clear" w:color="auto" w:fill="auto"/>
          </w:tcPr>
          <w:p w:rsidR="004C1EBA" w:rsidRPr="00F36E74" w:rsidP="004C1EBA">
            <w:pPr>
              <w:pStyle w:val="csbody00"/>
              <w:ind w:left="720"/>
              <w:rPr>
                <w:rFonts w:eastAsia="MS Mincho"/>
                <w:bCs/>
                <w:lang w:val="de-DE" w:eastAsia="de-CH"/>
              </w:rPr>
            </w:pPr>
            <w:r w:rsidRPr="00013FD4">
              <w:rPr>
                <w:rFonts w:eastAsia="MS Mincho"/>
                <w:bCs/>
                <w:lang w:val="de-DE" w:eastAsia="de-CH"/>
              </w:rPr>
              <w:t>Mitglied des Vergütungsausschusses (2014 bis heute)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Risk Committee (2013–present)</w:t>
            </w:r>
          </w:p>
        </w:tc>
        <w:tc>
          <w:tcPr>
            <w:tcW w:w="1242" w:type="pct"/>
            <w:gridSpan w:val="3"/>
            <w:shd w:val="clear" w:color="auto" w:fill="auto"/>
          </w:tcPr>
          <w:p w:rsidR="004C1EBA" w:rsidRPr="00F36E74" w:rsidP="004C1EBA">
            <w:pPr>
              <w:pStyle w:val="csbody00"/>
              <w:ind w:left="720"/>
              <w:rPr>
                <w:rFonts w:eastAsia="MS Mincho"/>
                <w:bCs/>
                <w:lang w:val="de-DE" w:eastAsia="de-CH"/>
              </w:rPr>
            </w:pPr>
            <w:r w:rsidRPr="00013FD4">
              <w:rPr>
                <w:rFonts w:eastAsia="MS Mincho"/>
                <w:bCs/>
                <w:lang w:val="de-DE" w:eastAsia="de-CH"/>
              </w:rPr>
              <w:t>Mitglied des Risk Committee (2013 bis heute)</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222088">
              <w:rPr>
                <w:rFonts w:eastAsia="MS Mincho"/>
                <w:bCs/>
                <w:lang w:val="en-US" w:eastAsia="de-CH"/>
              </w:rPr>
              <w:t>Non-executive chairman of Credit Suisse’s Asia-Pacific region</w:t>
            </w:r>
            <w:r w:rsidR="00D622A6">
              <w:rPr>
                <w:rFonts w:eastAsia="MS Mincho"/>
                <w:bCs/>
                <w:lang w:val="en-US" w:eastAsia="de-CH"/>
              </w:rPr>
              <w:t xml:space="preserve"> </w:t>
            </w:r>
            <w:r w:rsidRPr="00222088" w:rsidR="00D622A6">
              <w:rPr>
                <w:rFonts w:eastAsia="MS Mincho"/>
                <w:bCs/>
                <w:lang w:val="en-US" w:eastAsia="de-CH"/>
              </w:rPr>
              <w:t>(2010–2011)</w:t>
            </w:r>
          </w:p>
        </w:tc>
        <w:tc>
          <w:tcPr>
            <w:tcW w:w="1242" w:type="pct"/>
            <w:gridSpan w:val="3"/>
            <w:shd w:val="clear" w:color="auto" w:fill="auto"/>
          </w:tcPr>
          <w:p w:rsidR="004C1EBA" w:rsidRPr="00A72E82" w:rsidP="004C1EBA">
            <w:pPr>
              <w:pStyle w:val="csbody00"/>
              <w:ind w:left="720"/>
              <w:rPr>
                <w:rFonts w:eastAsia="MS Mincho"/>
                <w:bCs/>
                <w:lang w:eastAsia="de-CH"/>
              </w:rPr>
            </w:pPr>
            <w:r w:rsidRPr="00013FD4">
              <w:rPr>
                <w:rFonts w:eastAsia="MS Mincho"/>
                <w:bCs/>
                <w:lang w:val="de-DE" w:eastAsia="de-CH"/>
              </w:rPr>
              <w:t>Non</w:t>
            </w:r>
            <w:r w:rsidRPr="00222088">
              <w:rPr>
                <w:rFonts w:eastAsia="MS Mincho"/>
                <w:bCs/>
                <w:lang w:val="de-DE" w:eastAsia="de-CH"/>
              </w:rPr>
              <w:t>-Executive Chairman fü</w:t>
            </w:r>
            <w:r>
              <w:rPr>
                <w:rFonts w:eastAsia="MS Mincho"/>
                <w:bCs/>
                <w:lang w:val="de-DE" w:eastAsia="de-CH"/>
              </w:rPr>
              <w:t xml:space="preserve">r die Region Asien-Pazifik der </w:t>
            </w:r>
            <w:r w:rsidRPr="00222088">
              <w:rPr>
                <w:rFonts w:eastAsia="MS Mincho"/>
                <w:bCs/>
                <w:lang w:val="de-DE" w:eastAsia="de-CH"/>
              </w:rPr>
              <w:t>Credit Suisse</w:t>
            </w:r>
            <w:r w:rsidR="00D622A6">
              <w:rPr>
                <w:rFonts w:eastAsia="MS Mincho"/>
                <w:bCs/>
                <w:lang w:val="de-DE" w:eastAsia="de-CH"/>
              </w:rPr>
              <w:t xml:space="preserve"> </w:t>
            </w:r>
            <w:r w:rsidRPr="00222088" w:rsidR="00D622A6">
              <w:rPr>
                <w:rFonts w:eastAsia="MS Mincho"/>
                <w:bCs/>
                <w:lang w:val="de-DE" w:eastAsia="de-CH"/>
              </w:rPr>
              <w:t>(2010–2011)</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222088" w:rsidP="004C1EBA">
            <w:pPr>
              <w:pStyle w:val="csbody00"/>
              <w:ind w:left="720"/>
              <w:rPr>
                <w:rFonts w:eastAsia="MS Mincho"/>
                <w:bCs/>
                <w:lang w:val="en-US" w:eastAsia="de-CH"/>
              </w:rPr>
            </w:pPr>
            <w:r w:rsidRPr="00222088">
              <w:rPr>
                <w:rFonts w:eastAsia="MS Mincho"/>
                <w:bCs/>
                <w:lang w:val="en-US" w:eastAsia="de-CH"/>
              </w:rPr>
              <w:t>Member of the Executive Board (2008–2010)</w:t>
            </w:r>
          </w:p>
        </w:tc>
        <w:tc>
          <w:tcPr>
            <w:tcW w:w="1242" w:type="pct"/>
            <w:gridSpan w:val="3"/>
            <w:shd w:val="clear" w:color="auto" w:fill="auto"/>
          </w:tcPr>
          <w:p w:rsidR="004C1EBA" w:rsidRPr="00A72E82" w:rsidP="004C1EBA">
            <w:pPr>
              <w:pStyle w:val="csbody00"/>
              <w:ind w:left="720"/>
              <w:rPr>
                <w:rFonts w:eastAsia="MS Mincho"/>
                <w:bCs/>
                <w:lang w:eastAsia="de-CH"/>
              </w:rPr>
            </w:pPr>
            <w:r w:rsidRPr="00222088">
              <w:rPr>
                <w:rFonts w:eastAsia="MS Mincho"/>
                <w:bCs/>
                <w:lang w:val="de-DE" w:eastAsia="de-CH"/>
              </w:rPr>
              <w:t>Mitglied der Geschäftsleitung (2008–2010)</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222088" w:rsidP="004C1EBA">
            <w:pPr>
              <w:pStyle w:val="csbody00"/>
              <w:ind w:left="720"/>
              <w:rPr>
                <w:rFonts w:eastAsia="MS Mincho"/>
                <w:bCs/>
                <w:lang w:val="en-US" w:eastAsia="de-CH"/>
              </w:rPr>
            </w:pPr>
            <w:r w:rsidRPr="00222088">
              <w:rPr>
                <w:rFonts w:eastAsia="MS Mincho"/>
                <w:bCs/>
                <w:lang w:val="en-US" w:eastAsia="de-CH"/>
              </w:rPr>
              <w:t>CEO of Credit Suisse Asia Pacific region (2008–2010)</w:t>
            </w:r>
          </w:p>
        </w:tc>
        <w:tc>
          <w:tcPr>
            <w:tcW w:w="1242" w:type="pct"/>
            <w:gridSpan w:val="3"/>
            <w:shd w:val="clear" w:color="auto" w:fill="auto"/>
          </w:tcPr>
          <w:p w:rsidR="004C1EBA" w:rsidRPr="00A72E82" w:rsidP="004C1EBA">
            <w:pPr>
              <w:pStyle w:val="csbody00"/>
              <w:ind w:left="720"/>
              <w:rPr>
                <w:rFonts w:eastAsia="MS Mincho"/>
                <w:bCs/>
                <w:lang w:val="de-DE" w:eastAsia="de-CH"/>
              </w:rPr>
            </w:pPr>
            <w:r w:rsidRPr="00222088">
              <w:rPr>
                <w:rFonts w:eastAsia="MS Mincho"/>
                <w:bCs/>
                <w:lang w:val="de-DE" w:eastAsia="de-CH"/>
              </w:rPr>
              <w:t>CEO für die Region Asien-Pazifik der Credit Suisse (2008–</w:t>
            </w:r>
            <w:r w:rsidRPr="00013FD4">
              <w:rPr>
                <w:rFonts w:eastAsia="MS Mincho"/>
                <w:bCs/>
                <w:lang w:val="de-DE" w:eastAsia="de-CH"/>
              </w:rPr>
              <w:t>2010)</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222088" w:rsidP="004C1EBA">
            <w:pPr>
              <w:pStyle w:val="csbody00"/>
              <w:rPr>
                <w:rFonts w:eastAsia="MS Mincho"/>
                <w:bCs/>
                <w:lang w:val="en-US" w:eastAsia="de-CH"/>
              </w:rPr>
            </w:pPr>
            <w:r w:rsidRPr="000B6820">
              <w:rPr>
                <w:rFonts w:eastAsia="MS Mincho"/>
                <w:bCs/>
                <w:lang w:val="en-US" w:eastAsia="de-CH"/>
              </w:rPr>
              <w:t>1998–2007</w:t>
            </w:r>
          </w:p>
        </w:tc>
        <w:tc>
          <w:tcPr>
            <w:tcW w:w="1242" w:type="pct"/>
            <w:gridSpan w:val="3"/>
            <w:shd w:val="clear" w:color="auto" w:fill="auto"/>
          </w:tcPr>
          <w:p w:rsidR="004C1EBA" w:rsidRPr="00A72E82" w:rsidP="004C1EBA">
            <w:pPr>
              <w:pStyle w:val="csbody00"/>
              <w:rPr>
                <w:rFonts w:eastAsia="MS Mincho"/>
                <w:bCs/>
                <w:lang w:eastAsia="de-CH"/>
              </w:rPr>
            </w:pPr>
            <w:r w:rsidRPr="000B6820">
              <w:rPr>
                <w:rFonts w:eastAsia="MS Mincho"/>
                <w:bCs/>
                <w:lang w:val="en-US" w:eastAsia="de-CH"/>
              </w:rPr>
              <w:t>1998–2007</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Standard Chartered plc, main board executive director</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Standard Chartered plc, </w:t>
            </w:r>
            <w:r>
              <w:rPr>
                <w:rFonts w:eastAsia="MS Mincho"/>
                <w:bCs/>
                <w:lang w:val="en-US" w:eastAsia="de-CH"/>
              </w:rPr>
              <w:t>M</w:t>
            </w:r>
            <w:r w:rsidRPr="000B6820">
              <w:rPr>
                <w:rFonts w:eastAsia="MS Mincho"/>
                <w:bCs/>
                <w:lang w:val="en-US" w:eastAsia="de-CH"/>
              </w:rPr>
              <w:t xml:space="preserve">ain </w:t>
            </w:r>
            <w:r>
              <w:rPr>
                <w:rFonts w:eastAsia="MS Mincho"/>
                <w:bCs/>
                <w:lang w:val="en-US" w:eastAsia="de-CH"/>
              </w:rPr>
              <w:t>B</w:t>
            </w:r>
            <w:r w:rsidRPr="000B6820">
              <w:rPr>
                <w:rFonts w:eastAsia="MS Mincho"/>
                <w:bCs/>
                <w:lang w:val="en-US" w:eastAsia="de-CH"/>
              </w:rPr>
              <w:t xml:space="preserve">oard </w:t>
            </w:r>
            <w:r>
              <w:rPr>
                <w:rFonts w:eastAsia="MS Mincho"/>
                <w:bCs/>
                <w:lang w:val="en-US" w:eastAsia="de-CH"/>
              </w:rPr>
              <w:t>E</w:t>
            </w:r>
            <w:r w:rsidRPr="000B6820">
              <w:rPr>
                <w:rFonts w:eastAsia="MS Mincho"/>
                <w:bCs/>
                <w:lang w:val="en-US" w:eastAsia="de-CH"/>
              </w:rPr>
              <w:t xml:space="preserve">xecutive </w:t>
            </w:r>
            <w:r>
              <w:rPr>
                <w:rFonts w:eastAsia="MS Mincho"/>
                <w:bCs/>
                <w:lang w:val="en-US" w:eastAsia="de-CH"/>
              </w:rPr>
              <w:t>D</w:t>
            </w:r>
            <w:r w:rsidRPr="000B6820">
              <w:rPr>
                <w:rFonts w:eastAsia="MS Mincho"/>
                <w:bCs/>
                <w:lang w:val="en-US" w:eastAsia="de-CH"/>
              </w:rPr>
              <w:t>irector</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1976–1995</w:t>
            </w:r>
          </w:p>
        </w:tc>
        <w:tc>
          <w:tcPr>
            <w:tcW w:w="1242" w:type="pct"/>
            <w:gridSpan w:val="3"/>
            <w:shd w:val="clear" w:color="auto" w:fill="auto"/>
          </w:tcPr>
          <w:p w:rsidR="004C1EBA" w:rsidRPr="000B6820" w:rsidP="004C1EBA">
            <w:pPr>
              <w:pStyle w:val="csbody00"/>
              <w:rPr>
                <w:rFonts w:eastAsia="MS Mincho"/>
                <w:bCs/>
                <w:lang w:val="en-US" w:eastAsia="de-CH"/>
              </w:rPr>
            </w:pPr>
            <w:r w:rsidRPr="000B6820">
              <w:rPr>
                <w:rFonts w:eastAsia="MS Mincho"/>
                <w:bCs/>
                <w:lang w:val="en-US" w:eastAsia="de-CH"/>
              </w:rPr>
              <w:t>1976–1995</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Bank of America</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0B6820">
              <w:rPr>
                <w:rFonts w:eastAsia="MS Mincho"/>
                <w:bCs/>
                <w:lang w:val="en-US" w:eastAsia="de-CH"/>
              </w:rPr>
              <w:t>Bank of America</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rPr>
                <w:lang w:val="de-CH"/>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Group executive vice president and head of Asia Wholesale Banking group in Hong Kong (1990–1995)</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Group </w:t>
            </w:r>
            <w:r>
              <w:rPr>
                <w:rFonts w:eastAsia="MS Mincho"/>
                <w:bCs/>
                <w:lang w:val="en-US" w:eastAsia="de-CH"/>
              </w:rPr>
              <w:t>E</w:t>
            </w:r>
            <w:r w:rsidRPr="000B6820">
              <w:rPr>
                <w:rFonts w:eastAsia="MS Mincho"/>
                <w:bCs/>
                <w:lang w:val="en-US" w:eastAsia="de-CH"/>
              </w:rPr>
              <w:t xml:space="preserve">xecutive </w:t>
            </w:r>
            <w:r>
              <w:rPr>
                <w:rFonts w:eastAsia="MS Mincho"/>
                <w:bCs/>
                <w:lang w:val="en-US" w:eastAsia="de-CH"/>
              </w:rPr>
              <w:t>V</w:t>
            </w:r>
            <w:r w:rsidRPr="000B6820">
              <w:rPr>
                <w:rFonts w:eastAsia="MS Mincho"/>
                <w:bCs/>
                <w:lang w:val="en-US" w:eastAsia="de-CH"/>
              </w:rPr>
              <w:t xml:space="preserve">ice </w:t>
            </w:r>
            <w:r>
              <w:rPr>
                <w:rFonts w:eastAsia="MS Mincho"/>
                <w:bCs/>
                <w:lang w:val="en-US" w:eastAsia="de-CH"/>
              </w:rPr>
              <w:t>P</w:t>
            </w:r>
            <w:r w:rsidRPr="000B6820">
              <w:rPr>
                <w:rFonts w:eastAsia="MS Mincho"/>
                <w:bCs/>
                <w:lang w:val="en-US" w:eastAsia="de-CH"/>
              </w:rPr>
              <w:t xml:space="preserve">resident </w:t>
            </w:r>
            <w:r>
              <w:rPr>
                <w:rFonts w:eastAsia="MS Mincho"/>
                <w:bCs/>
                <w:lang w:val="en-US" w:eastAsia="de-CH"/>
              </w:rPr>
              <w:t>und Leiter</w:t>
            </w:r>
            <w:r w:rsidRPr="000B6820">
              <w:rPr>
                <w:rFonts w:eastAsia="MS Mincho"/>
                <w:bCs/>
                <w:lang w:val="en-US" w:eastAsia="de-CH"/>
              </w:rPr>
              <w:t xml:space="preserve"> Asia Wholesale Banking </w:t>
            </w:r>
            <w:r>
              <w:rPr>
                <w:rFonts w:eastAsia="MS Mincho"/>
                <w:bCs/>
                <w:lang w:val="en-US" w:eastAsia="de-CH"/>
              </w:rPr>
              <w:t>G</w:t>
            </w:r>
            <w:r w:rsidRPr="000B6820">
              <w:rPr>
                <w:rFonts w:eastAsia="MS Mincho"/>
                <w:bCs/>
                <w:lang w:val="en-US" w:eastAsia="de-CH"/>
              </w:rPr>
              <w:t>roup in Hong</w:t>
            </w:r>
            <w:r>
              <w:rPr>
                <w:rFonts w:eastAsia="MS Mincho"/>
                <w:bCs/>
                <w:lang w:val="en-US" w:eastAsia="de-CH"/>
              </w:rPr>
              <w:t>k</w:t>
            </w:r>
            <w:r w:rsidRPr="000B6820">
              <w:rPr>
                <w:rFonts w:eastAsia="MS Mincho"/>
                <w:bCs/>
                <w:lang w:val="en-US" w:eastAsia="de-CH"/>
              </w:rPr>
              <w:t>ong (1990–1995)</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Head of High Technology Industry group in San Francisco and New York</w:t>
            </w:r>
            <w:r>
              <w:rPr>
                <w:rFonts w:eastAsia="MS Mincho"/>
                <w:bCs/>
                <w:lang w:val="en-US" w:eastAsia="de-CH"/>
              </w:rPr>
              <w:t xml:space="preserve"> </w:t>
            </w:r>
            <w:r w:rsidRPr="00165BF6">
              <w:rPr>
                <w:rFonts w:eastAsia="MS Mincho"/>
                <w:bCs/>
                <w:lang w:val="en-US" w:eastAsia="de-CH"/>
              </w:rPr>
              <w:t>(1984–1990)</w:t>
            </w:r>
          </w:p>
        </w:tc>
        <w:tc>
          <w:tcPr>
            <w:tcW w:w="1242" w:type="pct"/>
            <w:gridSpan w:val="3"/>
            <w:shd w:val="clear" w:color="auto" w:fill="auto"/>
          </w:tcPr>
          <w:p w:rsidR="004C1EBA" w:rsidRPr="000B6820" w:rsidP="004C1EBA">
            <w:pPr>
              <w:pStyle w:val="csbody00"/>
              <w:ind w:left="720"/>
              <w:rPr>
                <w:rFonts w:eastAsia="MS Mincho"/>
                <w:bCs/>
                <w:lang w:val="en-US" w:eastAsia="de-CH"/>
              </w:rPr>
            </w:pPr>
            <w:r>
              <w:rPr>
                <w:rFonts w:eastAsia="MS Mincho"/>
                <w:bCs/>
                <w:lang w:val="en-US" w:eastAsia="de-CH"/>
              </w:rPr>
              <w:t>Leiter</w:t>
            </w:r>
            <w:r w:rsidRPr="000B6820">
              <w:rPr>
                <w:rFonts w:eastAsia="MS Mincho"/>
                <w:bCs/>
                <w:lang w:val="en-US" w:eastAsia="de-CH"/>
              </w:rPr>
              <w:t xml:space="preserve"> High Technology Industry </w:t>
            </w:r>
            <w:r>
              <w:rPr>
                <w:rFonts w:eastAsia="MS Mincho"/>
                <w:bCs/>
                <w:lang w:val="en-US" w:eastAsia="de-CH"/>
              </w:rPr>
              <w:t>G</w:t>
            </w:r>
            <w:r w:rsidRPr="000B6820">
              <w:rPr>
                <w:rFonts w:eastAsia="MS Mincho"/>
                <w:bCs/>
                <w:lang w:val="en-US" w:eastAsia="de-CH"/>
              </w:rPr>
              <w:t xml:space="preserve">roup in San Francisco </w:t>
            </w:r>
            <w:r>
              <w:rPr>
                <w:rFonts w:eastAsia="MS Mincho"/>
                <w:bCs/>
                <w:lang w:val="en-US" w:eastAsia="de-CH"/>
              </w:rPr>
              <w:t>u</w:t>
            </w:r>
            <w:r w:rsidRPr="000B6820">
              <w:rPr>
                <w:rFonts w:eastAsia="MS Mincho"/>
                <w:bCs/>
                <w:lang w:val="en-US" w:eastAsia="de-CH"/>
              </w:rPr>
              <w:t>nd New York</w:t>
            </w:r>
            <w:r>
              <w:rPr>
                <w:rFonts w:eastAsia="MS Mincho"/>
                <w:bCs/>
                <w:lang w:val="en-US" w:eastAsia="de-CH"/>
              </w:rPr>
              <w:t xml:space="preserve"> </w:t>
            </w:r>
            <w:r w:rsidRPr="000B6820">
              <w:rPr>
                <w:rFonts w:eastAsia="MS Mincho"/>
                <w:bCs/>
                <w:lang w:val="en-US" w:eastAsia="de-CH"/>
              </w:rPr>
              <w:t>(1984–1990)</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165BF6">
              <w:rPr>
                <w:rFonts w:eastAsia="MS Mincho"/>
                <w:bCs/>
                <w:lang w:val="en-US" w:eastAsia="de-CH"/>
              </w:rPr>
              <w:t xml:space="preserve">Various management and </w:t>
            </w:r>
            <w:r w:rsidRPr="000B6820">
              <w:rPr>
                <w:rFonts w:eastAsia="MS Mincho"/>
                <w:bCs/>
                <w:lang w:val="en-US" w:eastAsia="de-CH"/>
              </w:rPr>
              <w:t>other positions in the UK, the US and</w:t>
            </w:r>
            <w:r>
              <w:rPr>
                <w:rFonts w:eastAsia="MS Mincho"/>
                <w:bCs/>
                <w:lang w:val="en-US" w:eastAsia="de-CH"/>
              </w:rPr>
              <w:t xml:space="preserve"> </w:t>
            </w:r>
            <w:r w:rsidRPr="000B6820">
              <w:rPr>
                <w:rFonts w:eastAsia="MS Mincho"/>
                <w:bCs/>
                <w:lang w:val="en-US" w:eastAsia="de-CH"/>
              </w:rPr>
              <w:t>Asia (1976–1984)</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Verschiedene Führungs- und sonstige Positionen in Grossbritannien, den USA und Asien (1976–1984)</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165BF6" w:rsidP="004C1EBA">
            <w:pPr>
              <w:pStyle w:val="csbody00"/>
              <w:rPr>
                <w:rFonts w:eastAsia="MS Mincho"/>
                <w:bCs/>
                <w:lang w:val="en-US" w:eastAsia="de-CH"/>
              </w:rPr>
            </w:pPr>
            <w:r w:rsidRPr="000B6820">
              <w:rPr>
                <w:rFonts w:eastAsia="MS Mincho"/>
                <w:bCs/>
                <w:lang w:val="en-US" w:eastAsia="de-CH"/>
              </w:rPr>
              <w:t xml:space="preserve">1970–1976 </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 xml:space="preserve">1970–1976 </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RPr="00BD6217" w:rsidP="004C1EBA">
            <w:pPr>
              <w:pStyle w:val="csbody00"/>
              <w:ind w:left="720"/>
              <w:rPr>
                <w:rFonts w:eastAsia="MS Mincho"/>
                <w:bCs/>
                <w:lang w:val="en-US" w:eastAsia="de-CH"/>
              </w:rPr>
            </w:pPr>
            <w:r w:rsidRPr="000B6820">
              <w:rPr>
                <w:rFonts w:eastAsia="MS Mincho"/>
                <w:bCs/>
                <w:lang w:val="en-US" w:eastAsia="de-CH"/>
              </w:rPr>
              <w:t>Peat Marwick Mitchell &amp; Co., London, accountant</w:t>
            </w:r>
          </w:p>
        </w:tc>
        <w:tc>
          <w:tcPr>
            <w:tcW w:w="1242" w:type="pct"/>
            <w:gridSpan w:val="3"/>
            <w:shd w:val="clear" w:color="auto" w:fill="auto"/>
          </w:tcPr>
          <w:p w:rsidR="004C1EBA" w:rsidRPr="00165BF6" w:rsidP="004C1EBA">
            <w:pPr>
              <w:pStyle w:val="csbody00"/>
              <w:ind w:left="720"/>
              <w:rPr>
                <w:rFonts w:eastAsia="MS Mincho"/>
                <w:bCs/>
                <w:lang w:eastAsia="de-CH"/>
              </w:rPr>
            </w:pPr>
            <w:r w:rsidRPr="00013FD4">
              <w:rPr>
                <w:rFonts w:eastAsia="MS Mincho"/>
                <w:bCs/>
                <w:lang w:val="de-DE" w:eastAsia="de-CH"/>
              </w:rPr>
              <w:t>Peat Marwick Mitchell &amp; Co., London, Wirtschaftsprüfer</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13FD4" w:rsidP="004C1EBA">
            <w:pPr>
              <w:pStyle w:val="csbody00"/>
              <w:rPr>
                <w:rFonts w:eastAsia="MS Mincho"/>
                <w:bCs/>
                <w:lang w:val="de-DE" w:eastAsia="de-CH"/>
              </w:rPr>
            </w:pPr>
            <w:r w:rsidRPr="00165BF6">
              <w:rPr>
                <w:rFonts w:eastAsia="MS Mincho"/>
                <w:b/>
                <w:bCs/>
                <w:lang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P="004C1EBA">
            <w:pPr>
              <w:pStyle w:val="csbody00"/>
              <w:rPr>
                <w:rFonts w:eastAsia="MS Mincho"/>
                <w:b/>
                <w:bCs/>
                <w:lang w:val="en-US" w:eastAsia="de-CH"/>
              </w:rPr>
            </w:pPr>
            <w:r w:rsidRPr="000B6820">
              <w:rPr>
                <w:rFonts w:eastAsia="MS Mincho"/>
                <w:bCs/>
                <w:lang w:val="en-US" w:eastAsia="de-CH"/>
              </w:rPr>
              <w:t>1974 Fellow of the Institute of Chartered Accountants (FCA), England and Wales</w:t>
            </w:r>
          </w:p>
        </w:tc>
        <w:tc>
          <w:tcPr>
            <w:tcW w:w="1242" w:type="pct"/>
            <w:gridSpan w:val="3"/>
            <w:shd w:val="clear" w:color="auto" w:fill="auto"/>
          </w:tcPr>
          <w:p w:rsidR="004C1EBA" w:rsidRPr="00165BF6" w:rsidP="004C1EBA">
            <w:pPr>
              <w:pStyle w:val="csbody00"/>
              <w:rPr>
                <w:rFonts w:eastAsia="MS Mincho"/>
                <w:bCs/>
                <w:lang w:eastAsia="de-CH"/>
              </w:rPr>
            </w:pPr>
            <w:r w:rsidRPr="000B6820">
              <w:rPr>
                <w:rFonts w:eastAsia="MS Mincho"/>
                <w:bCs/>
                <w:lang w:val="en-US" w:eastAsia="de-CH"/>
              </w:rPr>
              <w:t>1974 Fellow</w:t>
            </w:r>
            <w:r>
              <w:rPr>
                <w:rFonts w:eastAsia="MS Mincho"/>
                <w:bCs/>
                <w:lang w:val="en-US" w:eastAsia="de-CH"/>
              </w:rPr>
              <w:t xml:space="preserve"> (FCA), </w:t>
            </w:r>
            <w:r w:rsidRPr="000B6820">
              <w:rPr>
                <w:rFonts w:eastAsia="MS Mincho"/>
                <w:bCs/>
                <w:lang w:val="en-US" w:eastAsia="de-CH"/>
              </w:rPr>
              <w:t>Institute of Chartered Accountants (FCA), England and Wales</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1969 BA in Economics, University of Delhi</w:t>
            </w:r>
          </w:p>
        </w:tc>
        <w:tc>
          <w:tcPr>
            <w:tcW w:w="1242" w:type="pct"/>
            <w:gridSpan w:val="3"/>
            <w:shd w:val="clear" w:color="auto" w:fill="auto"/>
          </w:tcPr>
          <w:p w:rsidR="004C1EBA" w:rsidRPr="00F36E74" w:rsidP="004C1EBA">
            <w:pPr>
              <w:pStyle w:val="csbody00"/>
              <w:rPr>
                <w:rFonts w:eastAsia="MS Mincho"/>
                <w:bCs/>
                <w:lang w:val="de-DE" w:eastAsia="de-CH"/>
              </w:rPr>
            </w:pPr>
            <w:r w:rsidRPr="00013FD4">
              <w:rPr>
                <w:rFonts w:eastAsia="MS Mincho"/>
                <w:bCs/>
                <w:lang w:val="de-DE" w:eastAsia="de-CH"/>
              </w:rPr>
              <w:t>1969</w:t>
            </w:r>
            <w:r>
              <w:rPr>
                <w:rFonts w:eastAsia="MS Mincho"/>
                <w:bCs/>
                <w:lang w:val="de-DE" w:eastAsia="de-CH"/>
              </w:rPr>
              <w:t xml:space="preserve"> BA in Wirtschaftswissenschafte</w:t>
            </w:r>
            <w:r w:rsidRPr="00013FD4">
              <w:rPr>
                <w:rFonts w:eastAsia="MS Mincho"/>
                <w:bCs/>
                <w:lang w:val="de-DE" w:eastAsia="de-CH"/>
              </w:rPr>
              <w:t>, Universität Delhi</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165BF6" w:rsidP="004C1EBA">
            <w:pPr>
              <w:pStyle w:val="csbody00"/>
              <w:rPr>
                <w:rFonts w:eastAsia="MS Mincho"/>
                <w:bCs/>
                <w:lang w:eastAsia="de-CH"/>
              </w:rPr>
            </w:pPr>
            <w:r w:rsidRPr="00013FD4">
              <w:rPr>
                <w:rFonts w:eastAsia="MS Mincho"/>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P="004C1EBA">
            <w:pPr>
              <w:pStyle w:val="csbody00"/>
              <w:rPr>
                <w:rFonts w:eastAsia="MS Mincho"/>
                <w:b/>
                <w:bCs/>
                <w:lang w:val="en-US" w:eastAsia="de-CH"/>
              </w:rPr>
            </w:pPr>
            <w:r w:rsidRPr="000B6820">
              <w:rPr>
                <w:rFonts w:eastAsia="MS Mincho"/>
                <w:bCs/>
                <w:lang w:val="en-US" w:eastAsia="de-CH"/>
              </w:rPr>
              <w:t>Prudential plc, member of the board</w:t>
            </w:r>
          </w:p>
        </w:tc>
        <w:tc>
          <w:tcPr>
            <w:tcW w:w="1242" w:type="pct"/>
            <w:gridSpan w:val="3"/>
            <w:shd w:val="clear" w:color="auto" w:fill="auto"/>
          </w:tcPr>
          <w:p w:rsidR="004C1EBA" w:rsidRPr="00F36E74" w:rsidP="004C1EBA">
            <w:pPr>
              <w:pStyle w:val="csbody00"/>
              <w:rPr>
                <w:rFonts w:eastAsia="MS Mincho"/>
                <w:b/>
                <w:bCs/>
                <w:lang w:val="de-DE" w:eastAsia="de-CH"/>
              </w:rPr>
            </w:pPr>
            <w:r w:rsidRPr="00013FD4">
              <w:rPr>
                <w:rFonts w:eastAsia="MS Mincho"/>
                <w:bCs/>
                <w:lang w:val="de-DE" w:eastAsia="de-CH"/>
              </w:rPr>
              <w:t>Prudential plc,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165BF6" w:rsidP="004C1EBA">
            <w:pPr>
              <w:pStyle w:val="csbody00"/>
              <w:rPr>
                <w:lang w:val="de-DE"/>
              </w:rPr>
            </w:pPr>
          </w:p>
        </w:tc>
        <w:tc>
          <w:tcPr>
            <w:tcW w:w="1257" w:type="pct"/>
            <w:gridSpan w:val="2"/>
          </w:tcPr>
          <w:p w:rsidR="004C1EBA" w:rsidRPr="00165BF6"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PSA International Pte. Ltd. Singapore, board member</w:t>
            </w:r>
          </w:p>
        </w:tc>
        <w:tc>
          <w:tcPr>
            <w:tcW w:w="1242" w:type="pct"/>
            <w:gridSpan w:val="3"/>
            <w:shd w:val="clear" w:color="auto" w:fill="auto"/>
          </w:tcPr>
          <w:p w:rsidR="004C1EBA" w:rsidRPr="00F36E74" w:rsidP="004C1EBA">
            <w:pPr>
              <w:pStyle w:val="csbody00"/>
              <w:rPr>
                <w:rFonts w:eastAsia="MS Mincho"/>
                <w:bCs/>
                <w:lang w:val="de-DE" w:eastAsia="de-CH"/>
              </w:rPr>
            </w:pPr>
            <w:r w:rsidRPr="00013FD4">
              <w:rPr>
                <w:rFonts w:eastAsia="MS Mincho"/>
                <w:bCs/>
                <w:lang w:val="de-DE" w:eastAsia="de-CH"/>
              </w:rPr>
              <w:t>PSA International Pte. Ltd. Singapore,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Clifford Capital Pte. Ltd., director and non-executive chairman</w:t>
            </w:r>
          </w:p>
        </w:tc>
        <w:tc>
          <w:tcPr>
            <w:tcW w:w="1242" w:type="pct"/>
            <w:gridSpan w:val="3"/>
            <w:shd w:val="clear" w:color="auto" w:fill="auto"/>
          </w:tcPr>
          <w:p w:rsidR="004C1EBA" w:rsidRPr="00165BF6" w:rsidP="004C1EBA">
            <w:pPr>
              <w:pStyle w:val="csbody00"/>
              <w:rPr>
                <w:rFonts w:eastAsia="MS Mincho"/>
                <w:bCs/>
                <w:lang w:eastAsia="de-CH"/>
              </w:rPr>
            </w:pPr>
            <w:r w:rsidRPr="000B6820">
              <w:rPr>
                <w:rFonts w:eastAsia="MS Mincho"/>
                <w:bCs/>
                <w:lang w:val="en-US" w:eastAsia="de-CH"/>
              </w:rPr>
              <w:t xml:space="preserve">Clifford Capital Pte. Ltd., </w:t>
            </w:r>
            <w:r>
              <w:rPr>
                <w:rFonts w:eastAsia="MS Mincho"/>
                <w:bCs/>
                <w:lang w:val="en-US" w:eastAsia="de-CH"/>
              </w:rPr>
              <w:t>D</w:t>
            </w:r>
            <w:r w:rsidRPr="000B6820">
              <w:rPr>
                <w:rFonts w:eastAsia="MS Mincho"/>
                <w:bCs/>
                <w:lang w:val="en-US" w:eastAsia="de-CH"/>
              </w:rPr>
              <w:t xml:space="preserve">irector </w:t>
            </w:r>
            <w:r>
              <w:rPr>
                <w:rFonts w:eastAsia="MS Mincho"/>
                <w:bCs/>
                <w:lang w:val="en-US" w:eastAsia="de-CH"/>
              </w:rPr>
              <w:t>u</w:t>
            </w:r>
            <w:r w:rsidRPr="000B6820">
              <w:rPr>
                <w:rFonts w:eastAsia="MS Mincho"/>
                <w:bCs/>
                <w:lang w:val="en-US" w:eastAsia="de-CH"/>
              </w:rPr>
              <w:t xml:space="preserve">nd </w:t>
            </w:r>
            <w:r>
              <w:rPr>
                <w:rFonts w:eastAsia="MS Mincho"/>
                <w:bCs/>
                <w:lang w:val="en-US" w:eastAsia="de-CH"/>
              </w:rPr>
              <w:t>N</w:t>
            </w:r>
            <w:r w:rsidRPr="000B6820">
              <w:rPr>
                <w:rFonts w:eastAsia="MS Mincho"/>
                <w:bCs/>
                <w:lang w:val="en-US" w:eastAsia="de-CH"/>
              </w:rPr>
              <w:t>on-</w:t>
            </w:r>
            <w:r>
              <w:rPr>
                <w:rFonts w:eastAsia="MS Mincho"/>
                <w:bCs/>
                <w:lang w:val="en-US" w:eastAsia="de-CH"/>
              </w:rPr>
              <w:t>E</w:t>
            </w:r>
            <w:r w:rsidRPr="000B6820">
              <w:rPr>
                <w:rFonts w:eastAsia="MS Mincho"/>
                <w:bCs/>
                <w:lang w:val="en-US" w:eastAsia="de-CH"/>
              </w:rPr>
              <w:t xml:space="preserve">xecutive </w:t>
            </w:r>
            <w:r>
              <w:rPr>
                <w:rFonts w:eastAsia="MS Mincho"/>
                <w:bCs/>
                <w:lang w:val="en-US" w:eastAsia="de-CH"/>
              </w:rPr>
              <w:t>C</w:t>
            </w:r>
            <w:r w:rsidRPr="000B6820">
              <w:rPr>
                <w:rFonts w:eastAsia="MS Mincho"/>
                <w:bCs/>
                <w:lang w:val="en-US" w:eastAsia="de-CH"/>
              </w:rPr>
              <w:t>hairman</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Monetary Authority of Singapore, Singapore Capital Markets Committee member</w:t>
            </w:r>
          </w:p>
        </w:tc>
        <w:tc>
          <w:tcPr>
            <w:tcW w:w="1242" w:type="pct"/>
            <w:gridSpan w:val="3"/>
            <w:shd w:val="clear" w:color="auto" w:fill="auto"/>
          </w:tcPr>
          <w:p w:rsidR="004C1EBA" w:rsidRPr="00165BF6" w:rsidP="004C1EBA">
            <w:pPr>
              <w:pStyle w:val="csbody00"/>
              <w:rPr>
                <w:rFonts w:eastAsia="MS Mincho"/>
                <w:bCs/>
                <w:lang w:eastAsia="de-CH"/>
              </w:rPr>
            </w:pPr>
            <w:r w:rsidRPr="000B6820">
              <w:rPr>
                <w:rFonts w:eastAsia="MS Mincho"/>
                <w:bCs/>
                <w:lang w:val="en-US" w:eastAsia="de-CH"/>
              </w:rPr>
              <w:t xml:space="preserve">Monetary Authority of Singapore, </w:t>
            </w:r>
            <w:r>
              <w:rPr>
                <w:rFonts w:eastAsia="MS Mincho"/>
                <w:bCs/>
                <w:lang w:val="en-US" w:eastAsia="de-CH"/>
              </w:rPr>
              <w:t xml:space="preserve">Mitglied des </w:t>
            </w:r>
            <w:r w:rsidRPr="00165BF6">
              <w:rPr>
                <w:rFonts w:eastAsia="MS Mincho"/>
                <w:bCs/>
                <w:lang w:val="en-US" w:eastAsia="de-CH"/>
              </w:rPr>
              <w:t>Singapore Capital Markets</w:t>
            </w:r>
            <w:r>
              <w:rPr>
                <w:rFonts w:eastAsia="MS Mincho"/>
                <w:bCs/>
                <w:lang w:val="en-US" w:eastAsia="de-CH"/>
              </w:rPr>
              <w:t xml:space="preserve"> </w:t>
            </w:r>
            <w:r w:rsidRPr="000B6820">
              <w:rPr>
                <w:rFonts w:eastAsia="MS Mincho"/>
                <w:bCs/>
                <w:lang w:val="en-US" w:eastAsia="de-CH"/>
              </w:rPr>
              <w:t>Committee</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RPr="000B6820" w:rsidP="004C1EBA">
            <w:pPr>
              <w:pStyle w:val="csbody00"/>
              <w:rPr>
                <w:rFonts w:eastAsia="MS Mincho"/>
                <w:bCs/>
                <w:lang w:val="en-US" w:eastAsia="de-CH"/>
              </w:rPr>
            </w:pPr>
            <w:r w:rsidRPr="00165BF6">
              <w:rPr>
                <w:rFonts w:eastAsia="MS Mincho"/>
                <w:bCs/>
                <w:lang w:val="en-US" w:eastAsia="de-CH"/>
              </w:rPr>
              <w:t xml:space="preserve">Casino Regulatory Authority </w:t>
            </w:r>
            <w:r w:rsidRPr="000B6820">
              <w:rPr>
                <w:rFonts w:eastAsia="MS Mincho"/>
                <w:bCs/>
                <w:lang w:val="en-US" w:eastAsia="de-CH"/>
              </w:rPr>
              <w:t>in Singapore, board member</w:t>
            </w:r>
          </w:p>
        </w:tc>
        <w:tc>
          <w:tcPr>
            <w:tcW w:w="1242" w:type="pct"/>
            <w:gridSpan w:val="3"/>
            <w:shd w:val="clear" w:color="auto" w:fill="auto"/>
          </w:tcPr>
          <w:p w:rsidR="004C1EBA" w:rsidRPr="00165BF6" w:rsidP="004C1EBA">
            <w:pPr>
              <w:pStyle w:val="csbody00"/>
              <w:rPr>
                <w:rFonts w:eastAsia="MS Mincho"/>
                <w:bCs/>
                <w:lang w:eastAsia="de-CH"/>
              </w:rPr>
            </w:pPr>
            <w:r w:rsidRPr="000B6820">
              <w:rPr>
                <w:rFonts w:eastAsia="MS Mincho"/>
                <w:bCs/>
                <w:lang w:val="en-US" w:eastAsia="de-CH"/>
              </w:rPr>
              <w:t xml:space="preserve">Casino Regulatory Authority </w:t>
            </w:r>
            <w:r w:rsidRPr="00165BF6">
              <w:rPr>
                <w:rFonts w:eastAsia="MS Mincho"/>
                <w:bCs/>
                <w:lang w:val="en-US" w:eastAsia="de-CH"/>
              </w:rPr>
              <w:t>in Singapur, Mitglied des</w:t>
            </w:r>
            <w:r>
              <w:rPr>
                <w:rFonts w:eastAsia="MS Mincho"/>
                <w:bCs/>
                <w:lang w:val="en-US" w:eastAsia="de-CH"/>
              </w:rPr>
              <w:t xml:space="preserve">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A72E82" w:rsidP="004C1EBA">
            <w:pPr>
              <w:pStyle w:val="csbody00"/>
            </w:pPr>
          </w:p>
        </w:tc>
        <w:tc>
          <w:tcPr>
            <w:tcW w:w="1257" w:type="pct"/>
            <w:gridSpan w:val="2"/>
          </w:tcPr>
          <w:p w:rsidR="004C1EBA" w:rsidRPr="00A72E82" w:rsidP="004C1EBA">
            <w:pPr>
              <w:pStyle w:val="csbody00"/>
            </w:pPr>
          </w:p>
        </w:tc>
        <w:tc>
          <w:tcPr>
            <w:tcW w:w="1260" w:type="pct"/>
            <w:gridSpan w:val="5"/>
          </w:tcPr>
          <w:p w:rsidR="004C1EBA" w:rsidRPr="000B6820" w:rsidP="004C1EBA">
            <w:pPr>
              <w:pStyle w:val="csbody00"/>
              <w:rPr>
                <w:rFonts w:eastAsia="MS Mincho"/>
                <w:bCs/>
                <w:lang w:val="en-US" w:eastAsia="de-CH"/>
              </w:rPr>
            </w:pPr>
            <w:r w:rsidRPr="00165BF6">
              <w:rPr>
                <w:rFonts w:eastAsia="MS Mincho"/>
                <w:bCs/>
                <w:lang w:val="en-US" w:eastAsia="de-CH"/>
              </w:rPr>
              <w:t xml:space="preserve">Duke-NUS Graduate </w:t>
            </w:r>
            <w:r w:rsidRPr="000B6820">
              <w:rPr>
                <w:rFonts w:eastAsia="MS Mincho"/>
                <w:bCs/>
                <w:lang w:val="en-US" w:eastAsia="de-CH"/>
              </w:rPr>
              <w:t xml:space="preserve">Medical School, Singapore, </w:t>
            </w:r>
            <w:r w:rsidRPr="00165BF6">
              <w:rPr>
                <w:rFonts w:eastAsia="MS Mincho"/>
                <w:bCs/>
                <w:lang w:val="en-US" w:eastAsia="de-CH"/>
              </w:rPr>
              <w:t>chairman of the governing board</w:t>
            </w:r>
          </w:p>
        </w:tc>
        <w:tc>
          <w:tcPr>
            <w:tcW w:w="1242" w:type="pct"/>
            <w:gridSpan w:val="3"/>
            <w:shd w:val="clear" w:color="auto" w:fill="auto"/>
          </w:tcPr>
          <w:p w:rsidR="004C1EBA" w:rsidRPr="000B6820" w:rsidP="004C1EBA">
            <w:pPr>
              <w:pStyle w:val="csbody00"/>
              <w:rPr>
                <w:rFonts w:eastAsia="MS Mincho"/>
                <w:bCs/>
                <w:lang w:val="en-US" w:eastAsia="de-CH"/>
              </w:rPr>
            </w:pPr>
            <w:r w:rsidRPr="00165BF6">
              <w:rPr>
                <w:rFonts w:eastAsia="MS Mincho"/>
                <w:bCs/>
                <w:lang w:val="en-US" w:eastAsia="de-CH"/>
              </w:rPr>
              <w:t>Duke-NUS Graduate Medical School, Singapur, Vorsitzender des Governing Board.</w:t>
            </w:r>
          </w:p>
        </w:tc>
      </w:tr>
      <w:tr w:rsidTr="00682578">
        <w:tblPrEx>
          <w:tblW w:w="5002" w:type="pct"/>
          <w:tblBorders>
            <w:insideV w:val="single" w:sz="4" w:space="0" w:color="auto"/>
          </w:tblBorders>
          <w:tblLayout w:type="fixed"/>
          <w:tblLook w:val="00A0"/>
        </w:tblPrEx>
        <w:tc>
          <w:tcPr>
            <w:tcW w:w="1242" w:type="pct"/>
            <w:gridSpan w:val="3"/>
          </w:tcPr>
          <w:p w:rsidR="004C1EBA" w:rsidRPr="00324233" w:rsidP="004C1EBA">
            <w:pPr>
              <w:pStyle w:val="csbody00"/>
            </w:pPr>
            <w:r w:rsidRPr="006527EC">
              <w:t>Severin Schwan</w:t>
            </w:r>
          </w:p>
        </w:tc>
        <w:tc>
          <w:tcPr>
            <w:tcW w:w="1257" w:type="pct"/>
            <w:gridSpan w:val="2"/>
          </w:tcPr>
          <w:p w:rsidR="004C1EBA" w:rsidRPr="00324233" w:rsidP="00BD6E0D">
            <w:pPr>
              <w:pStyle w:val="csbody00"/>
              <w:jc w:val="left"/>
              <w:rPr>
                <w:lang w:val="de-CH"/>
              </w:rPr>
            </w:pPr>
            <w:r w:rsidRPr="00324233">
              <w:rPr>
                <w:lang w:val="de-CH"/>
              </w:rPr>
              <w:t>Credit Suisse AG</w:t>
            </w:r>
            <w:r w:rsidRPr="00324233">
              <w:rPr>
                <w:lang w:val="de-CH"/>
              </w:rPr>
              <w:br/>
              <w:t>Paradeplatz 8</w:t>
            </w:r>
            <w:r w:rsidRPr="00324233">
              <w:rPr>
                <w:lang w:val="de-CH"/>
              </w:rPr>
              <w:br/>
              <w:t>8001 Zurich</w:t>
            </w:r>
            <w:r w:rsidRPr="00324233">
              <w:rPr>
                <w:lang w:val="de-CH"/>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pPr>
            <w:r w:rsidRPr="000B6820">
              <w:rPr>
                <w:rFonts w:eastAsia="MS Mincho"/>
                <w:bCs/>
                <w:lang w:val="en-US" w:eastAsia="de-CH"/>
              </w:rPr>
              <w:t xml:space="preserve">2014–present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83513B" w:rsidP="004C1EBA">
            <w:pPr>
              <w:pStyle w:val="csbody00"/>
              <w:rPr>
                <w:lang w:val="de-DE"/>
              </w:rPr>
            </w:pPr>
            <w:r w:rsidRPr="00013FD4">
              <w:rPr>
                <w:rFonts w:eastAsia="MS Mincho"/>
                <w:bCs/>
                <w:lang w:val="de-DE" w:eastAsia="de-CH"/>
              </w:rPr>
              <w:t>2014 bis heute</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
                <w:bCs/>
                <w:lang w:val="en-US" w:eastAsia="de-CH"/>
              </w:rPr>
            </w:pPr>
            <w:r w:rsidRPr="000B6820">
              <w:rPr>
                <w:rFonts w:eastAsia="MS Mincho"/>
                <w:bCs/>
                <w:lang w:val="en-US" w:eastAsia="de-CH"/>
              </w:rPr>
              <w:t>Credit Suisse</w:t>
            </w:r>
          </w:p>
        </w:tc>
        <w:tc>
          <w:tcPr>
            <w:tcW w:w="1242" w:type="pct"/>
            <w:gridSpan w:val="3"/>
            <w:shd w:val="clear" w:color="auto" w:fill="auto"/>
          </w:tcPr>
          <w:p w:rsidR="004C1EBA" w:rsidRPr="00013FD4" w:rsidP="004C1EBA">
            <w:pPr>
              <w:pStyle w:val="csbody00"/>
              <w:ind w:left="720"/>
              <w:rPr>
                <w:rFonts w:eastAsia="MS Mincho"/>
                <w:b/>
                <w:bCs/>
                <w:lang w:val="de-DE" w:eastAsia="de-CH"/>
              </w:rPr>
            </w:pPr>
            <w:r w:rsidRPr="00013FD4">
              <w:rPr>
                <w:rFonts w:eastAsia="MS Mincho"/>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Risk Committee (2014–present)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Mitglied des Risk Committee (2014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1993–present </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1993 bis heute</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Roche Group</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Roche Group</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CEO (2008–present)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CEO (2008 bis heute)</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CEO, Division Roche Diagnostics (2006–2008)</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CEO, Division Roche Diagnostics (2006–2008)</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Head Asia Pacific Region, Roche Diagnostics Singapore (2004–2006)</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Leiter der Region Asien-Pazifik, Roche Diagnostics Singapore (2004–2006)</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Head Global Finance &amp; Services, Roche Diagnostics Basel (2000–2004)</w:t>
            </w:r>
          </w:p>
        </w:tc>
        <w:tc>
          <w:tcPr>
            <w:tcW w:w="1242" w:type="pct"/>
            <w:gridSpan w:val="3"/>
            <w:shd w:val="clear" w:color="auto" w:fill="auto"/>
          </w:tcPr>
          <w:p w:rsidR="004C1EBA" w:rsidRPr="002A55D4" w:rsidP="004C1EBA">
            <w:pPr>
              <w:pStyle w:val="csbody00"/>
              <w:ind w:left="720"/>
              <w:rPr>
                <w:rFonts w:eastAsia="MS Mincho"/>
                <w:bCs/>
                <w:lang w:eastAsia="de-CH"/>
              </w:rPr>
            </w:pPr>
            <w:r>
              <w:rPr>
                <w:rFonts w:eastAsia="MS Mincho"/>
                <w:bCs/>
                <w:lang w:val="en-US" w:eastAsia="de-CH"/>
              </w:rPr>
              <w:t>Leiter</w:t>
            </w:r>
            <w:r w:rsidRPr="000B6820">
              <w:rPr>
                <w:rFonts w:eastAsia="MS Mincho"/>
                <w:bCs/>
                <w:lang w:val="en-US" w:eastAsia="de-CH"/>
              </w:rPr>
              <w:t xml:space="preserve"> Global Finance</w:t>
            </w:r>
            <w:r>
              <w:rPr>
                <w:rFonts w:eastAsia="MS Mincho"/>
                <w:bCs/>
                <w:lang w:val="en-US" w:eastAsia="de-CH"/>
              </w:rPr>
              <w:t> </w:t>
            </w:r>
            <w:r w:rsidRPr="000B6820">
              <w:rPr>
                <w:rFonts w:eastAsia="MS Mincho"/>
                <w:bCs/>
                <w:lang w:val="en-US" w:eastAsia="de-CH"/>
              </w:rPr>
              <w:t>&amp; Services, Roche Diagnostics Basel (2000–2004)</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2A55D4"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Various management and other positions with Roche Germany,</w:t>
            </w:r>
            <w:r>
              <w:rPr>
                <w:rFonts w:eastAsia="MS Mincho"/>
                <w:bCs/>
                <w:lang w:val="en-US" w:eastAsia="de-CH"/>
              </w:rPr>
              <w:t xml:space="preserve"> </w:t>
            </w:r>
            <w:r w:rsidRPr="000B6820">
              <w:rPr>
                <w:rFonts w:eastAsia="MS Mincho"/>
                <w:bCs/>
                <w:lang w:val="en-US" w:eastAsia="de-CH"/>
              </w:rPr>
              <w:t>Belgium and Switzerland (1993–2000)</w:t>
            </w:r>
          </w:p>
        </w:tc>
        <w:tc>
          <w:tcPr>
            <w:tcW w:w="1242" w:type="pct"/>
            <w:gridSpan w:val="3"/>
            <w:shd w:val="clear" w:color="auto" w:fill="auto"/>
          </w:tcPr>
          <w:p w:rsidR="004C1EBA" w:rsidRPr="00F36E74" w:rsidP="004C1EBA">
            <w:pPr>
              <w:pStyle w:val="csbody00"/>
              <w:ind w:left="720"/>
              <w:rPr>
                <w:rFonts w:eastAsia="MS Mincho"/>
                <w:bCs/>
                <w:lang w:val="de-DE" w:eastAsia="de-CH"/>
              </w:rPr>
            </w:pPr>
            <w:r w:rsidRPr="00013FD4">
              <w:rPr>
                <w:rFonts w:eastAsia="MS Mincho"/>
                <w:bCs/>
                <w:lang w:val="de-DE" w:eastAsia="de-CH"/>
              </w:rPr>
              <w:t>Verschiedene Führungs- und sonstige Funktionen bei Roche Deutschland, Belgien und Schweiz (1993–2000)</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1993 Doctor of Law, University of Innsbruck, Austria</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Cs/>
                <w:lang w:val="de-DE" w:eastAsia="de-CH"/>
              </w:rPr>
              <w:t>1993 Doktorat der Rechtswissenschaften, Universität Innsbruck, Österreich</w:t>
            </w:r>
          </w:p>
        </w:tc>
      </w:tr>
      <w:tr w:rsidTr="00682578">
        <w:tblPrEx>
          <w:tblW w:w="5002" w:type="pct"/>
          <w:tblBorders>
            <w:insideV w:val="single" w:sz="4" w:space="0" w:color="auto"/>
          </w:tblBorders>
          <w:tblLayout w:type="fixed"/>
          <w:tblLook w:val="00A0"/>
        </w:tblPrEx>
        <w:tc>
          <w:tcPr>
            <w:tcW w:w="1242" w:type="pct"/>
            <w:gridSpan w:val="3"/>
          </w:tcPr>
          <w:p w:rsidR="004C1EBA" w:rsidRPr="002A55D4" w:rsidP="004C1EBA">
            <w:pPr>
              <w:pStyle w:val="csbody00"/>
              <w:rPr>
                <w:lang w:val="de-DE"/>
              </w:rPr>
            </w:pPr>
          </w:p>
        </w:tc>
        <w:tc>
          <w:tcPr>
            <w:tcW w:w="1257" w:type="pct"/>
            <w:gridSpan w:val="2"/>
          </w:tcPr>
          <w:p w:rsidR="004C1EBA" w:rsidRPr="00324233" w:rsidP="004C1EBA">
            <w:pPr>
              <w:pStyle w:val="csbody00"/>
              <w:rPr>
                <w:lang w:val="de-CH"/>
              </w:rPr>
            </w:pPr>
          </w:p>
        </w:tc>
        <w:tc>
          <w:tcPr>
            <w:tcW w:w="1260" w:type="pct"/>
            <w:gridSpan w:val="5"/>
          </w:tcPr>
          <w:p w:rsidR="004C1EBA" w:rsidRPr="000B6820" w:rsidP="004C1EBA">
            <w:pPr>
              <w:pStyle w:val="csbody00"/>
              <w:rPr>
                <w:rFonts w:eastAsia="MS Mincho"/>
                <w:bCs/>
                <w:lang w:val="en-US" w:eastAsia="de-CH"/>
              </w:rPr>
            </w:pPr>
            <w:r w:rsidRPr="002A55D4">
              <w:rPr>
                <w:rFonts w:eastAsia="MS Mincho"/>
                <w:bCs/>
                <w:lang w:val="en-US" w:eastAsia="de-CH"/>
              </w:rPr>
              <w:t>1991 Master’s degrees in Economics and Law,</w:t>
            </w:r>
            <w:r>
              <w:rPr>
                <w:rFonts w:eastAsia="MS Mincho"/>
                <w:bCs/>
                <w:lang w:val="en-US" w:eastAsia="de-CH"/>
              </w:rPr>
              <w:t xml:space="preserve"> </w:t>
            </w:r>
            <w:r w:rsidRPr="002A55D4">
              <w:rPr>
                <w:rFonts w:eastAsia="MS Mincho"/>
                <w:bCs/>
                <w:lang w:val="en-US" w:eastAsia="de-CH"/>
              </w:rPr>
              <w:t>University of Innsbruck, Austria</w:t>
            </w:r>
          </w:p>
        </w:tc>
        <w:tc>
          <w:tcPr>
            <w:tcW w:w="1242" w:type="pct"/>
            <w:gridSpan w:val="3"/>
            <w:shd w:val="clear" w:color="auto" w:fill="auto"/>
          </w:tcPr>
          <w:p w:rsidR="004C1EBA" w:rsidRPr="002A55D4" w:rsidP="004C1EBA">
            <w:pPr>
              <w:pStyle w:val="csbody00"/>
              <w:rPr>
                <w:rFonts w:eastAsia="MS Mincho"/>
                <w:bCs/>
                <w:lang w:val="de-DE" w:eastAsia="de-CH"/>
              </w:rPr>
            </w:pPr>
            <w:r w:rsidRPr="002A55D4">
              <w:rPr>
                <w:rFonts w:eastAsia="MS Mincho"/>
                <w:bCs/>
                <w:lang w:val="de-DE" w:eastAsia="de-CH"/>
              </w:rPr>
              <w:t>1991 Masterabschluss in Wirtschaftswissenschaften und Rechtswissenschaften, Universität Innsbruck, Österreich</w:t>
            </w:r>
          </w:p>
        </w:tc>
      </w:tr>
      <w:tr w:rsidTr="00682578">
        <w:tblPrEx>
          <w:tblW w:w="5002" w:type="pct"/>
          <w:tblBorders>
            <w:insideV w:val="single" w:sz="4" w:space="0" w:color="auto"/>
          </w:tblBorders>
          <w:tblLayout w:type="fixed"/>
          <w:tblLook w:val="00A0"/>
        </w:tblPrEx>
        <w:tc>
          <w:tcPr>
            <w:tcW w:w="1242" w:type="pct"/>
            <w:gridSpan w:val="3"/>
          </w:tcPr>
          <w:p w:rsidR="004C1EBA" w:rsidRPr="002A55D4" w:rsidP="004C1EBA">
            <w:pPr>
              <w:pStyle w:val="csbody00"/>
              <w:rPr>
                <w:b/>
                <w:lang w:val="de-DE"/>
              </w:rPr>
            </w:pPr>
          </w:p>
        </w:tc>
        <w:tc>
          <w:tcPr>
            <w:tcW w:w="1257" w:type="pct"/>
            <w:gridSpan w:val="2"/>
          </w:tcPr>
          <w:p w:rsidR="004C1EBA" w:rsidRPr="002A55D4" w:rsidP="004C1EBA">
            <w:pPr>
              <w:pStyle w:val="csbody00"/>
              <w:rPr>
                <w:b/>
                <w:lang w:val="de-DE"/>
              </w:rPr>
            </w:pPr>
          </w:p>
        </w:tc>
        <w:tc>
          <w:tcPr>
            <w:tcW w:w="1260" w:type="pct"/>
            <w:gridSpan w:val="5"/>
          </w:tcPr>
          <w:p w:rsidR="004C1EBA" w:rsidRPr="002A55D4" w:rsidP="004C1EBA">
            <w:pPr>
              <w:pStyle w:val="csbody00"/>
              <w:rPr>
                <w:rFonts w:eastAsia="MS Mincho"/>
                <w:b/>
                <w:bCs/>
                <w:lang w:val="de-DE" w:eastAsia="de-CH"/>
              </w:rPr>
            </w:pPr>
            <w:r w:rsidRPr="002A55D4">
              <w:rPr>
                <w:rFonts w:eastAsia="MS Mincho"/>
                <w:b/>
                <w:bCs/>
                <w:lang w:val="de-DE" w:eastAsia="de-CH"/>
              </w:rPr>
              <w:t>Other activities and functions</w:t>
            </w:r>
          </w:p>
        </w:tc>
        <w:tc>
          <w:tcPr>
            <w:tcW w:w="1242" w:type="pct"/>
            <w:gridSpan w:val="3"/>
            <w:shd w:val="clear" w:color="auto" w:fill="auto"/>
          </w:tcPr>
          <w:p w:rsidR="004C1EBA" w:rsidRPr="002A55D4" w:rsidP="004C1EBA">
            <w:pPr>
              <w:pStyle w:val="csbody00"/>
              <w:rPr>
                <w:rFonts w:eastAsia="MS Mincho"/>
                <w:b/>
                <w:bCs/>
                <w:lang w:val="de-DE" w:eastAsia="de-CH"/>
              </w:rPr>
            </w:pPr>
            <w:r w:rsidRPr="002A55D4">
              <w:rPr>
                <w:rFonts w:eastAsia="MS Mincho"/>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2A55D4" w:rsidP="004C1EBA">
            <w:pPr>
              <w:pStyle w:val="csbody00"/>
              <w:rPr>
                <w:lang w:val="de-DE"/>
              </w:rPr>
            </w:pPr>
          </w:p>
        </w:tc>
        <w:tc>
          <w:tcPr>
            <w:tcW w:w="1257" w:type="pct"/>
            <w:gridSpan w:val="2"/>
          </w:tcPr>
          <w:p w:rsidR="004C1EBA" w:rsidRPr="002A55D4"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Roche Holding Ltd., board member</w:t>
            </w:r>
          </w:p>
        </w:tc>
        <w:tc>
          <w:tcPr>
            <w:tcW w:w="1242" w:type="pct"/>
            <w:gridSpan w:val="3"/>
            <w:shd w:val="clear" w:color="auto" w:fill="auto"/>
          </w:tcPr>
          <w:p w:rsidR="004C1EBA" w:rsidRPr="002A55D4" w:rsidP="004C1EBA">
            <w:pPr>
              <w:pStyle w:val="csbody00"/>
              <w:rPr>
                <w:rFonts w:eastAsia="MS Mincho"/>
                <w:bCs/>
                <w:lang w:val="de-DE" w:eastAsia="de-CH"/>
              </w:rPr>
            </w:pPr>
            <w:r w:rsidRPr="00013FD4">
              <w:rPr>
                <w:rFonts w:eastAsia="MS Mincho"/>
                <w:bCs/>
                <w:lang w:val="de-DE" w:eastAsia="de-CH"/>
              </w:rPr>
              <w:t>Roche Holding Ltd., Mitglied des Verwaltungs</w:t>
            </w:r>
            <w:r>
              <w:rPr>
                <w:rFonts w:eastAsia="MS Mincho"/>
                <w:bCs/>
                <w:lang w:val="de-DE" w:eastAsia="de-CH"/>
              </w:rPr>
              <w:t>-</w:t>
            </w:r>
            <w:r w:rsidRPr="00013FD4">
              <w:rPr>
                <w:rFonts w:eastAsia="MS Mincho"/>
                <w:bCs/>
                <w:lang w:val="de-DE" w:eastAsia="de-CH"/>
              </w:rPr>
              <w:t>rats</w:t>
            </w:r>
          </w:p>
        </w:tc>
      </w:tr>
      <w:tr w:rsidTr="00682578">
        <w:tblPrEx>
          <w:tblW w:w="5002" w:type="pct"/>
          <w:tblBorders>
            <w:insideV w:val="single" w:sz="4" w:space="0" w:color="auto"/>
          </w:tblBorders>
          <w:tblLayout w:type="fixed"/>
          <w:tblLook w:val="00A0"/>
        </w:tblPrEx>
        <w:tc>
          <w:tcPr>
            <w:tcW w:w="1242" w:type="pct"/>
            <w:gridSpan w:val="3"/>
          </w:tcPr>
          <w:p w:rsidR="004C1EBA" w:rsidRPr="005C5842" w:rsidP="004C1EBA">
            <w:pPr>
              <w:pStyle w:val="csbody00"/>
              <w:rPr>
                <w:lang w:val="de-DE"/>
              </w:rPr>
            </w:pPr>
          </w:p>
        </w:tc>
        <w:tc>
          <w:tcPr>
            <w:tcW w:w="1257" w:type="pct"/>
            <w:gridSpan w:val="2"/>
          </w:tcPr>
          <w:p w:rsidR="004C1EBA" w:rsidRPr="005C5842"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International Business Leaders Advisory Council for the Mayor of Shanghai, member</w:t>
            </w:r>
          </w:p>
        </w:tc>
        <w:tc>
          <w:tcPr>
            <w:tcW w:w="1242" w:type="pct"/>
            <w:gridSpan w:val="3"/>
            <w:shd w:val="clear" w:color="auto" w:fill="auto"/>
          </w:tcPr>
          <w:p w:rsidR="004C1EBA" w:rsidRPr="000B6820" w:rsidP="004C1EBA">
            <w:pPr>
              <w:pStyle w:val="csbody00"/>
              <w:rPr>
                <w:rFonts w:eastAsia="MS Mincho"/>
                <w:bCs/>
                <w:lang w:val="en-US" w:eastAsia="de-CH"/>
              </w:rPr>
            </w:pPr>
            <w:r w:rsidRPr="000B6820">
              <w:rPr>
                <w:bCs/>
                <w:lang w:val="en-US"/>
              </w:rPr>
              <w:t xml:space="preserve">International Business Leaders Advisory Council </w:t>
            </w:r>
            <w:r>
              <w:rPr>
                <w:bCs/>
                <w:lang w:val="en-US"/>
              </w:rPr>
              <w:t xml:space="preserve">für den Bürgermeister von </w:t>
            </w:r>
            <w:r w:rsidRPr="000B6820">
              <w:rPr>
                <w:bCs/>
                <w:lang w:val="en-US"/>
              </w:rPr>
              <w:t xml:space="preserve">Shanghai, </w:t>
            </w:r>
            <w:r>
              <w:rPr>
                <w:bCs/>
                <w:lang w:val="en-US"/>
              </w:rPr>
              <w:t>Mitglied</w:t>
            </w:r>
            <w:r w:rsidRPr="00324233">
              <w:rPr>
                <w:lang w:val="de-DE"/>
              </w:rPr>
              <w:t>.</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r w:rsidRPr="0083513B">
              <w:t>Richard E. Thornburgh</w:t>
            </w:r>
          </w:p>
        </w:tc>
        <w:tc>
          <w:tcPr>
            <w:tcW w:w="1257" w:type="pct"/>
            <w:gridSpan w:val="2"/>
          </w:tcPr>
          <w:p w:rsidR="004C1EBA" w:rsidRPr="005C5842" w:rsidP="004C1EBA">
            <w:pPr>
              <w:pStyle w:val="csbody00"/>
              <w:jc w:val="left"/>
              <w:rPr>
                <w:lang w:val="de-DE"/>
              </w:rPr>
            </w:pPr>
            <w:r w:rsidRPr="00324233">
              <w:rPr>
                <w:lang w:val="de-CH"/>
              </w:rPr>
              <w:t>Credit Suisse AG</w:t>
            </w:r>
            <w:r w:rsidRPr="00324233">
              <w:rPr>
                <w:lang w:val="de-CH"/>
              </w:rPr>
              <w:br/>
              <w:t>Paradeplatz 8</w:t>
            </w:r>
            <w:r w:rsidRPr="00324233">
              <w:rPr>
                <w:lang w:val="de-CH"/>
              </w:rPr>
              <w:br/>
              <w:t>8001 Zurich</w:t>
            </w:r>
            <w:r w:rsidRPr="00324233">
              <w:rPr>
                <w:lang w:val="de-CH"/>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pPr>
            <w:r w:rsidRPr="000B6820">
              <w:rPr>
                <w:rFonts w:eastAsia="MS Mincho"/>
                <w:bCs/>
                <w:lang w:val="en-US" w:eastAsia="de-CH"/>
              </w:rPr>
              <w:t xml:space="preserve">1995–present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560DE7" w:rsidP="004C1EBA">
            <w:pPr>
              <w:pStyle w:val="csbody00"/>
            </w:pPr>
            <w:r w:rsidRPr="00013FD4">
              <w:rPr>
                <w:rFonts w:eastAsia="MS Mincho"/>
                <w:bCs/>
                <w:lang w:val="de-DE" w:eastAsia="de-CH"/>
              </w:rPr>
              <w:t>1995 bis heute</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83513B" w:rsidP="004C1EBA">
            <w:pPr>
              <w:pStyle w:val="csbody00"/>
            </w:pPr>
          </w:p>
        </w:tc>
        <w:tc>
          <w:tcPr>
            <w:tcW w:w="1260" w:type="pct"/>
            <w:gridSpan w:val="5"/>
          </w:tcPr>
          <w:p w:rsidR="004C1EBA" w:rsidRPr="000B6820" w:rsidP="004C1EBA">
            <w:pPr>
              <w:pStyle w:val="csbody00"/>
              <w:ind w:left="720"/>
              <w:rPr>
                <w:rFonts w:eastAsia="MS Mincho"/>
                <w:b/>
                <w:bCs/>
                <w:lang w:val="en-US" w:eastAsia="de-CH"/>
              </w:rPr>
            </w:pPr>
            <w:r w:rsidRPr="000B6820">
              <w:rPr>
                <w:rFonts w:eastAsia="MS Mincho"/>
                <w:bCs/>
                <w:lang w:val="en-US" w:eastAsia="de-CH"/>
              </w:rPr>
              <w:t>Credit Suisse</w:t>
            </w:r>
          </w:p>
        </w:tc>
        <w:tc>
          <w:tcPr>
            <w:tcW w:w="1242" w:type="pct"/>
            <w:gridSpan w:val="3"/>
            <w:shd w:val="clear" w:color="auto" w:fill="auto"/>
          </w:tcPr>
          <w:p w:rsidR="004C1EBA" w:rsidRPr="00A42F53" w:rsidP="004C1EBA">
            <w:pPr>
              <w:pStyle w:val="csbody00"/>
              <w:ind w:left="720"/>
              <w:rPr>
                <w:rFonts w:eastAsia="MS Mincho"/>
                <w:b/>
                <w:bCs/>
                <w:lang w:eastAsia="de-CH"/>
              </w:rPr>
            </w:pPr>
            <w:r w:rsidRPr="00013FD4">
              <w:rPr>
                <w:rFonts w:eastAsia="MS Mincho"/>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83513B"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Vice-Chair (2014–present)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Vize-Präsident (2014 bis heute)</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83513B" w:rsidP="004C1EBA">
            <w:pPr>
              <w:pStyle w:val="csbody00"/>
            </w:pPr>
          </w:p>
        </w:tc>
        <w:tc>
          <w:tcPr>
            <w:tcW w:w="1260" w:type="pct"/>
            <w:gridSpan w:val="5"/>
          </w:tcPr>
          <w:p w:rsidR="004C1EBA" w:rsidRPr="000B6820">
            <w:pPr>
              <w:pStyle w:val="csbody00"/>
              <w:ind w:left="720"/>
              <w:rPr>
                <w:rFonts w:eastAsia="MS Mincho"/>
                <w:bCs/>
                <w:lang w:val="en-US" w:eastAsia="de-CH"/>
              </w:rPr>
            </w:pPr>
            <w:r w:rsidRPr="000B6820">
              <w:rPr>
                <w:rFonts w:eastAsia="MS Mincho"/>
                <w:bCs/>
                <w:lang w:val="en-US" w:eastAsia="de-CH"/>
              </w:rPr>
              <w:t xml:space="preserve">Non-executive director of Credit Suisse International and Credit Suisse Securities (Europe) Limited – two of </w:t>
            </w:r>
            <w:r>
              <w:rPr>
                <w:rFonts w:eastAsia="MS Mincho"/>
                <w:bCs/>
                <w:lang w:val="en-US" w:eastAsia="de-CH"/>
              </w:rPr>
              <w:t>CSG</w:t>
            </w:r>
            <w:r w:rsidRPr="000B6820">
              <w:rPr>
                <w:rFonts w:eastAsia="MS Mincho"/>
                <w:bCs/>
                <w:lang w:val="en-US" w:eastAsia="de-CH"/>
              </w:rPr>
              <w:t>’s UK subsidiaries (2013–present)</w:t>
            </w:r>
          </w:p>
        </w:tc>
        <w:tc>
          <w:tcPr>
            <w:tcW w:w="1242" w:type="pct"/>
            <w:gridSpan w:val="3"/>
            <w:shd w:val="clear" w:color="auto" w:fill="auto"/>
          </w:tcPr>
          <w:p w:rsidR="004C1EBA" w:rsidRPr="00013FD4">
            <w:pPr>
              <w:pStyle w:val="csbody00"/>
              <w:ind w:left="720"/>
              <w:rPr>
                <w:rFonts w:eastAsia="MS Mincho"/>
                <w:bCs/>
                <w:lang w:val="de-DE" w:eastAsia="de-CH"/>
              </w:rPr>
            </w:pPr>
            <w:r w:rsidRPr="00013FD4">
              <w:rPr>
                <w:rFonts w:eastAsia="MS Mincho"/>
                <w:bCs/>
                <w:lang w:val="de-DE" w:eastAsia="de-CH"/>
              </w:rPr>
              <w:t>Nicht</w:t>
            </w:r>
            <w:r>
              <w:rPr>
                <w:rFonts w:eastAsia="MS Mincho"/>
                <w:bCs/>
                <w:lang w:val="de-DE" w:eastAsia="de-CH"/>
              </w:rPr>
              <w:t>-</w:t>
            </w:r>
            <w:r w:rsidRPr="00013FD4">
              <w:rPr>
                <w:rFonts w:eastAsia="MS Mincho"/>
                <w:bCs/>
                <w:lang w:val="de-DE" w:eastAsia="de-CH"/>
              </w:rPr>
              <w:t>exekutives Mitglied des Verwaltungsrats der Credit Suisse International und der Credit Suisse Securities (Europe) Limited – zwei britische Tochtergesellschaften der CSG (2013 bis heute)</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Audit Committee (2011–present)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Mitglied des Audit Committee (2011 bis heute)</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DA3E39" w:rsidP="004C1EBA">
            <w:pPr>
              <w:pStyle w:val="csbody00"/>
              <w:ind w:left="720"/>
              <w:rPr>
                <w:rFonts w:eastAsia="MS Mincho"/>
                <w:bCs/>
                <w:lang w:val="en-US" w:eastAsia="de-CH"/>
              </w:rPr>
            </w:pPr>
            <w:r w:rsidRPr="000B6820">
              <w:rPr>
                <w:rFonts w:eastAsia="MS Mincho"/>
                <w:bCs/>
                <w:lang w:val="en-US" w:eastAsia="de-CH"/>
              </w:rPr>
              <w:t>Chairman of the Risk Committee (2009–present)</w:t>
            </w:r>
          </w:p>
        </w:tc>
        <w:tc>
          <w:tcPr>
            <w:tcW w:w="1242" w:type="pct"/>
            <w:gridSpan w:val="3"/>
            <w:shd w:val="clear" w:color="auto" w:fill="auto"/>
          </w:tcPr>
          <w:p w:rsidR="004C1EBA" w:rsidRPr="00A42F53" w:rsidP="004C1EBA">
            <w:pPr>
              <w:pStyle w:val="csbody00"/>
              <w:ind w:left="720"/>
              <w:rPr>
                <w:rFonts w:eastAsia="MS Mincho"/>
                <w:bCs/>
                <w:lang w:val="de-DE" w:eastAsia="de-CH"/>
              </w:rPr>
            </w:pPr>
            <w:r w:rsidRPr="00013FD4">
              <w:rPr>
                <w:rFonts w:eastAsia="MS Mincho"/>
                <w:bCs/>
                <w:lang w:val="de-DE" w:eastAsia="de-CH"/>
              </w:rPr>
              <w:t>Vorsitzender des Risk Committee (2009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Chairman’s and Governance Committee (2009–present)</w:t>
            </w:r>
          </w:p>
        </w:tc>
        <w:tc>
          <w:tcPr>
            <w:tcW w:w="1242" w:type="pct"/>
            <w:gridSpan w:val="3"/>
            <w:shd w:val="clear" w:color="auto" w:fill="auto"/>
          </w:tcPr>
          <w:p w:rsidR="004C1EBA" w:rsidRPr="00A42F53" w:rsidP="004C1EBA">
            <w:pPr>
              <w:pStyle w:val="csbody00"/>
              <w:ind w:left="720"/>
              <w:rPr>
                <w:rFonts w:eastAsia="MS Mincho"/>
                <w:bCs/>
                <w:lang w:eastAsia="de-CH"/>
              </w:rPr>
            </w:pPr>
            <w:r>
              <w:rPr>
                <w:rFonts w:eastAsia="MS Mincho"/>
                <w:bCs/>
                <w:lang w:val="en-US" w:eastAsia="de-CH"/>
              </w:rPr>
              <w:t xml:space="preserve">Mitglied des </w:t>
            </w:r>
            <w:r w:rsidRPr="000B6820">
              <w:rPr>
                <w:rFonts w:eastAsia="MS Mincho"/>
                <w:bCs/>
                <w:lang w:val="en-US" w:eastAsia="de-CH"/>
              </w:rPr>
              <w:t>Chairman’s and Governance Committee (2009</w:t>
            </w:r>
            <w:r>
              <w:rPr>
                <w:rFonts w:eastAsia="MS Mincho"/>
                <w:bCs/>
                <w:lang w:val="en-US" w:eastAsia="de-CH"/>
              </w:rPr>
              <w:t xml:space="preserve"> bis heute</w:t>
            </w:r>
            <w:r w:rsidRPr="000B6820">
              <w:rPr>
                <w:rFonts w:eastAsia="MS Mincho"/>
                <w:bCs/>
                <w:lang w:val="en-US" w:eastAsia="de-CH"/>
              </w:rPr>
              <w:t>)</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83513B" w:rsidP="004C1EBA">
            <w:pPr>
              <w:pStyle w:val="csbody00"/>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 xml:space="preserve">Member of the Risk </w:t>
            </w:r>
            <w:r w:rsidRPr="00A42F53">
              <w:rPr>
                <w:rFonts w:eastAsia="MS Mincho"/>
                <w:bCs/>
                <w:lang w:val="en-US" w:eastAsia="de-CH"/>
              </w:rPr>
              <w:t>Committee (2006–present)</w:t>
            </w:r>
          </w:p>
        </w:tc>
        <w:tc>
          <w:tcPr>
            <w:tcW w:w="1242" w:type="pct"/>
            <w:gridSpan w:val="3"/>
            <w:shd w:val="clear" w:color="auto" w:fill="auto"/>
          </w:tcPr>
          <w:p w:rsidR="004C1EBA" w:rsidRPr="00A42F53" w:rsidP="004C1EBA">
            <w:pPr>
              <w:pStyle w:val="csbody00"/>
              <w:ind w:left="720"/>
              <w:rPr>
                <w:rFonts w:eastAsia="MS Mincho"/>
                <w:bCs/>
                <w:lang w:val="de-DE" w:eastAsia="de-CH"/>
              </w:rPr>
            </w:pPr>
            <w:r w:rsidRPr="00013FD4">
              <w:rPr>
                <w:rFonts w:eastAsia="MS Mincho"/>
                <w:bCs/>
                <w:lang w:val="de-DE" w:eastAsia="de-CH"/>
              </w:rPr>
              <w:t xml:space="preserve">Mitglied des Risk </w:t>
            </w:r>
            <w:r w:rsidRPr="00A42F53">
              <w:rPr>
                <w:rFonts w:eastAsia="MS Mincho"/>
                <w:bCs/>
                <w:lang w:val="de-DE" w:eastAsia="de-CH"/>
              </w:rPr>
              <w:t>Committee (2006 bis heute)</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pPr>
              <w:pStyle w:val="csbody00"/>
              <w:ind w:left="720"/>
              <w:rPr>
                <w:rFonts w:eastAsia="MS Mincho"/>
                <w:bCs/>
                <w:lang w:val="en-US" w:eastAsia="de-CH"/>
              </w:rPr>
            </w:pPr>
            <w:r w:rsidRPr="000B6820">
              <w:rPr>
                <w:rFonts w:eastAsia="MS Mincho"/>
                <w:bCs/>
                <w:lang w:val="en-US" w:eastAsia="de-CH"/>
              </w:rPr>
              <w:t xml:space="preserve">Member of the CSG Executive Board in various executive roles including CRO, CFO and CFO </w:t>
            </w:r>
            <w:r w:rsidRPr="00A42F53">
              <w:rPr>
                <w:rFonts w:eastAsia="MS Mincho"/>
                <w:bCs/>
                <w:lang w:val="en-US" w:eastAsia="de-CH"/>
              </w:rPr>
              <w:t>Investment Banking (1997–2005)</w:t>
            </w:r>
          </w:p>
        </w:tc>
        <w:tc>
          <w:tcPr>
            <w:tcW w:w="1242" w:type="pct"/>
            <w:gridSpan w:val="3"/>
            <w:shd w:val="clear" w:color="auto" w:fill="auto"/>
          </w:tcPr>
          <w:p w:rsidR="004C1EBA" w:rsidRPr="00A42F53">
            <w:pPr>
              <w:pStyle w:val="csbody00"/>
              <w:ind w:left="720"/>
              <w:rPr>
                <w:rFonts w:eastAsia="MS Mincho"/>
                <w:bCs/>
                <w:lang w:val="de-DE" w:eastAsia="de-CH"/>
              </w:rPr>
            </w:pPr>
            <w:r w:rsidRPr="00A42F53">
              <w:rPr>
                <w:rFonts w:eastAsia="MS Mincho"/>
                <w:bCs/>
                <w:lang w:val="de-DE" w:eastAsia="de-CH"/>
              </w:rPr>
              <w:t>Mitglied der Geschäftsleitung der CSG in verschiedenen Führungspositionen wie CRO, CFO und CFO Investment Banking (1997–2005)</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DA3E39" w:rsidP="004C1EBA">
            <w:pPr>
              <w:pStyle w:val="csbody00"/>
              <w:ind w:left="720"/>
              <w:rPr>
                <w:rFonts w:eastAsia="MS Mincho"/>
                <w:bCs/>
                <w:lang w:val="en-US" w:eastAsia="de-CH"/>
              </w:rPr>
            </w:pPr>
            <w:r w:rsidRPr="000B6820">
              <w:rPr>
                <w:rFonts w:eastAsia="MS Mincho"/>
                <w:bCs/>
                <w:lang w:val="en-US" w:eastAsia="de-CH"/>
              </w:rPr>
              <w:t xml:space="preserve">Chief financial and administrative officer and member of the executive board of Credit Suisse First </w:t>
            </w:r>
            <w:r w:rsidRPr="00A42F53">
              <w:rPr>
                <w:rFonts w:eastAsia="MS Mincho"/>
                <w:bCs/>
                <w:lang w:val="en-US" w:eastAsia="de-CH"/>
              </w:rPr>
              <w:t>Boston (1995–1996)</w:t>
            </w:r>
          </w:p>
        </w:tc>
        <w:tc>
          <w:tcPr>
            <w:tcW w:w="1242" w:type="pct"/>
            <w:gridSpan w:val="3"/>
            <w:shd w:val="clear" w:color="auto" w:fill="auto"/>
          </w:tcPr>
          <w:p w:rsidR="004C1EBA" w:rsidRPr="00A42F53" w:rsidP="004C1EBA">
            <w:pPr>
              <w:pStyle w:val="csbody00"/>
              <w:ind w:left="720"/>
              <w:rPr>
                <w:rFonts w:eastAsia="MS Mincho"/>
                <w:bCs/>
                <w:lang w:val="de-DE" w:eastAsia="de-CH"/>
              </w:rPr>
            </w:pPr>
            <w:r w:rsidRPr="00A42F53">
              <w:rPr>
                <w:rFonts w:eastAsia="MS Mincho"/>
                <w:bCs/>
                <w:lang w:val="de-DE" w:eastAsia="de-CH"/>
              </w:rPr>
              <w:t>Chief Financial and Administrative Officer und Mitglied der Geschäftsleitung der Credit Suisse First Boston (1995–1996)</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Began investment banking career in New York with The First Boston Corporation (predecessor firm of Credit Suisse First Boston)</w:t>
            </w:r>
          </w:p>
        </w:tc>
        <w:tc>
          <w:tcPr>
            <w:tcW w:w="1242" w:type="pct"/>
            <w:gridSpan w:val="3"/>
            <w:shd w:val="clear" w:color="auto" w:fill="auto"/>
          </w:tcPr>
          <w:p w:rsidR="004C1EBA" w:rsidRPr="00A42F53" w:rsidP="004C1EBA">
            <w:pPr>
              <w:pStyle w:val="csbody00"/>
              <w:ind w:left="720"/>
              <w:rPr>
                <w:rFonts w:eastAsia="MS Mincho"/>
                <w:bCs/>
                <w:lang w:eastAsia="de-CH"/>
              </w:rPr>
            </w:pPr>
            <w:r w:rsidRPr="00A42F53">
              <w:rPr>
                <w:rFonts w:eastAsia="MS Mincho"/>
                <w:bCs/>
                <w:lang w:val="en-US" w:eastAsia="de-CH"/>
              </w:rPr>
              <w:t>Beginn der Laufbahn im Investment Banking bei The First Boston Corporation in New York (einer Vorgängergesellschaft der Credit Suisse First Boston)</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en-US"/>
              </w:rPr>
            </w:pPr>
          </w:p>
        </w:tc>
        <w:tc>
          <w:tcPr>
            <w:tcW w:w="1257" w:type="pct"/>
            <w:gridSpan w:val="2"/>
          </w:tcPr>
          <w:p w:rsidR="004C1EBA" w:rsidRPr="00F36E74" w:rsidP="004C1EBA">
            <w:pPr>
              <w:pStyle w:val="csbody00"/>
              <w:rPr>
                <w:lang w:val="en-US"/>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2006–present </w:t>
            </w:r>
          </w:p>
        </w:tc>
        <w:tc>
          <w:tcPr>
            <w:tcW w:w="1242" w:type="pct"/>
            <w:gridSpan w:val="3"/>
            <w:shd w:val="clear" w:color="auto" w:fill="auto"/>
          </w:tcPr>
          <w:p w:rsidR="004C1EBA" w:rsidRPr="00A42F53" w:rsidP="004C1EBA">
            <w:pPr>
              <w:pStyle w:val="csbody00"/>
              <w:rPr>
                <w:rFonts w:eastAsia="MS Mincho"/>
                <w:bCs/>
                <w:lang w:val="en-US" w:eastAsia="de-CH"/>
              </w:rPr>
            </w:pPr>
            <w:r w:rsidRPr="000B6820">
              <w:rPr>
                <w:rFonts w:eastAsia="MS Mincho"/>
                <w:bCs/>
                <w:lang w:val="en-US" w:eastAsia="de-CH"/>
              </w:rPr>
              <w:t>2006</w:t>
            </w:r>
            <w:r>
              <w:rPr>
                <w:rFonts w:eastAsia="MS Mincho"/>
                <w:bCs/>
                <w:lang w:val="en-US" w:eastAsia="de-CH"/>
              </w:rPr>
              <w:t xml:space="preserve"> bis heute</w:t>
            </w:r>
            <w:r w:rsidRPr="000B6820">
              <w:rPr>
                <w:rFonts w:eastAsia="MS Mincho"/>
                <w:bCs/>
                <w:lang w:val="en-US" w:eastAsia="de-CH"/>
              </w:rPr>
              <w:t xml:space="preserve"> </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DA3E39" w:rsidP="004C1EBA">
            <w:pPr>
              <w:pStyle w:val="csbody00"/>
              <w:ind w:left="720"/>
              <w:rPr>
                <w:rFonts w:eastAsia="MS Mincho"/>
                <w:bCs/>
                <w:lang w:val="en-US" w:eastAsia="de-CH"/>
              </w:rPr>
            </w:pPr>
            <w:r w:rsidRPr="000B6820">
              <w:rPr>
                <w:rFonts w:eastAsia="MS Mincho"/>
                <w:bCs/>
                <w:lang w:val="en-US" w:eastAsia="de-CH"/>
              </w:rPr>
              <w:t>Corsair Capital LLC, New York, vice-chairman</w:t>
            </w:r>
          </w:p>
        </w:tc>
        <w:tc>
          <w:tcPr>
            <w:tcW w:w="1242" w:type="pct"/>
            <w:gridSpan w:val="3"/>
            <w:shd w:val="clear" w:color="auto" w:fill="auto"/>
          </w:tcPr>
          <w:p w:rsidR="004C1EBA" w:rsidRPr="00A42F53" w:rsidP="004C1EBA">
            <w:pPr>
              <w:pStyle w:val="csbody00"/>
              <w:ind w:left="720"/>
              <w:rPr>
                <w:rFonts w:eastAsia="MS Mincho"/>
                <w:bCs/>
                <w:lang w:val="en-US" w:eastAsia="de-CH"/>
              </w:rPr>
            </w:pPr>
            <w:r w:rsidRPr="000B6820">
              <w:rPr>
                <w:rFonts w:eastAsia="MS Mincho"/>
                <w:bCs/>
                <w:lang w:val="en-US" w:eastAsia="de-CH"/>
              </w:rPr>
              <w:t xml:space="preserve">Corsair Capital LLC, New York, </w:t>
            </w:r>
            <w:r>
              <w:rPr>
                <w:rFonts w:eastAsia="MS Mincho"/>
                <w:bCs/>
                <w:lang w:val="en-US" w:eastAsia="de-CH"/>
              </w:rPr>
              <w:t>Vize-Präsident</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B6820" w:rsidP="004C1EBA">
            <w:pPr>
              <w:pStyle w:val="csbody00"/>
              <w:rPr>
                <w:rFonts w:eastAsia="MS Mincho"/>
                <w:bCs/>
                <w:lang w:val="en-US" w:eastAsia="de-CH"/>
              </w:rPr>
            </w:pPr>
            <w:r>
              <w:rPr>
                <w:rFonts w:eastAsia="MS Mincho"/>
                <w:b/>
                <w:bCs/>
                <w:lang w:val="en-US"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2009 Honorary Doctorate, Commercial Sciences, University of Cincinnati, Ohio</w:t>
            </w:r>
          </w:p>
        </w:tc>
        <w:tc>
          <w:tcPr>
            <w:tcW w:w="1242" w:type="pct"/>
            <w:gridSpan w:val="3"/>
            <w:shd w:val="clear" w:color="auto" w:fill="auto"/>
          </w:tcPr>
          <w:p w:rsidR="004C1EBA" w:rsidRPr="000B6820" w:rsidP="004C1EBA">
            <w:pPr>
              <w:pStyle w:val="csbody00"/>
              <w:rPr>
                <w:rFonts w:eastAsia="MS Mincho"/>
                <w:bCs/>
                <w:lang w:val="en-US" w:eastAsia="de-CH"/>
              </w:rPr>
            </w:pPr>
            <w:r w:rsidRPr="000B6820">
              <w:rPr>
                <w:rFonts w:eastAsia="MS Mincho"/>
                <w:bCs/>
                <w:lang w:val="en-US" w:eastAsia="de-CH"/>
              </w:rPr>
              <w:t xml:space="preserve">2009 </w:t>
            </w:r>
            <w:r>
              <w:rPr>
                <w:rFonts w:eastAsia="MS Mincho"/>
                <w:bCs/>
                <w:lang w:val="en-US" w:eastAsia="de-CH"/>
              </w:rPr>
              <w:t xml:space="preserve">Ehrendoktor in </w:t>
            </w:r>
            <w:r w:rsidRPr="000B6820">
              <w:rPr>
                <w:rFonts w:eastAsia="MS Mincho"/>
                <w:bCs/>
                <w:lang w:val="en-US" w:eastAsia="de-CH"/>
              </w:rPr>
              <w:t>Commercial Sciences, University of Cincinnati, Ohio</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1976 MBA Finance, Harvard University, Cambridge, Massachusetts</w:t>
            </w:r>
          </w:p>
        </w:tc>
        <w:tc>
          <w:tcPr>
            <w:tcW w:w="1242" w:type="pct"/>
            <w:gridSpan w:val="3"/>
            <w:shd w:val="clear" w:color="auto" w:fill="auto"/>
          </w:tcPr>
          <w:p w:rsidR="004C1EBA" w:rsidRPr="000B6820" w:rsidP="004C1EBA">
            <w:pPr>
              <w:pStyle w:val="csbody00"/>
              <w:rPr>
                <w:rFonts w:eastAsia="MS Mincho"/>
                <w:bCs/>
                <w:lang w:val="en-US" w:eastAsia="de-CH"/>
              </w:rPr>
            </w:pPr>
            <w:r w:rsidRPr="000B6820">
              <w:rPr>
                <w:rFonts w:eastAsia="MS Mincho"/>
                <w:bCs/>
                <w:lang w:val="en-US" w:eastAsia="de-CH"/>
              </w:rPr>
              <w:t xml:space="preserve">1976 MBA </w:t>
            </w:r>
            <w:r>
              <w:rPr>
                <w:rFonts w:eastAsia="MS Mincho"/>
                <w:bCs/>
                <w:lang w:val="en-US" w:eastAsia="de-CH"/>
              </w:rPr>
              <w:t xml:space="preserve">in </w:t>
            </w:r>
            <w:r w:rsidRPr="000B6820">
              <w:rPr>
                <w:rFonts w:eastAsia="MS Mincho"/>
                <w:bCs/>
                <w:lang w:val="en-US" w:eastAsia="de-CH"/>
              </w:rPr>
              <w:t>Finance, Harvard University, Cambridge, Massachusetts</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1974 BBA Finance, University of Cincinnati, Ohio</w:t>
            </w:r>
          </w:p>
        </w:tc>
        <w:tc>
          <w:tcPr>
            <w:tcW w:w="1242" w:type="pct"/>
            <w:gridSpan w:val="3"/>
            <w:shd w:val="clear" w:color="auto" w:fill="auto"/>
          </w:tcPr>
          <w:p w:rsidR="004C1EBA" w:rsidRPr="000B6820" w:rsidP="004C1EBA">
            <w:pPr>
              <w:pStyle w:val="csbody00"/>
              <w:rPr>
                <w:rFonts w:eastAsia="MS Mincho"/>
                <w:bCs/>
                <w:lang w:val="en-US" w:eastAsia="de-CH"/>
              </w:rPr>
            </w:pPr>
            <w:r w:rsidRPr="000B6820">
              <w:rPr>
                <w:rFonts w:eastAsia="MS Mincho"/>
                <w:bCs/>
                <w:lang w:val="en-US" w:eastAsia="de-CH"/>
              </w:rPr>
              <w:t xml:space="preserve">1974 BBA </w:t>
            </w:r>
            <w:r>
              <w:rPr>
                <w:rFonts w:eastAsia="MS Mincho"/>
                <w:bCs/>
                <w:lang w:val="en-US" w:eastAsia="de-CH"/>
              </w:rPr>
              <w:t xml:space="preserve">in </w:t>
            </w:r>
            <w:r w:rsidRPr="000B6820">
              <w:rPr>
                <w:rFonts w:eastAsia="MS Mincho"/>
                <w:bCs/>
                <w:lang w:val="en-US" w:eastAsia="de-CH"/>
              </w:rPr>
              <w:t>Finance, University of Cincinnati, Ohio</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0B6820" w:rsidP="004C1EBA">
            <w:pPr>
              <w:pStyle w:val="csbody00"/>
              <w:rPr>
                <w:rFonts w:eastAsia="MS Mincho"/>
                <w:bCs/>
                <w:lang w:val="en-US" w:eastAsia="de-CH"/>
              </w:rPr>
            </w:pPr>
            <w:r w:rsidRPr="00013FD4">
              <w:rPr>
                <w:rFonts w:eastAsia="MS Mincho"/>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McGraw Hill Financial, board member</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Cs/>
                <w:lang w:val="de-DE" w:eastAsia="de-CH"/>
              </w:rPr>
              <w:t>McGraw Hill Financial,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Reynolds American Inc., board member</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Reynolds American Inc.,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New Star Financial Inc., board member and lead director</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New Star Financial Inc., Mitglied des Verwaltungsrats und Lead Director</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CapStar Bank, board member</w:t>
            </w:r>
          </w:p>
        </w:tc>
        <w:tc>
          <w:tcPr>
            <w:tcW w:w="1242" w:type="pct"/>
            <w:gridSpan w:val="3"/>
            <w:shd w:val="clear" w:color="auto" w:fill="auto"/>
          </w:tcPr>
          <w:p w:rsidR="004C1EBA" w:rsidRPr="00013FD4" w:rsidP="004C1EBA">
            <w:pPr>
              <w:pStyle w:val="csbody00"/>
              <w:rPr>
                <w:rFonts w:eastAsia="MS Mincho"/>
                <w:bCs/>
                <w:lang w:val="de-DE" w:eastAsia="de-CH"/>
              </w:rPr>
            </w:pPr>
            <w:r w:rsidRPr="00733C84">
              <w:rPr>
                <w:rFonts w:eastAsia="MS Mincho"/>
                <w:bCs/>
                <w:lang w:val="de-DE" w:eastAsia="de-CH"/>
              </w:rPr>
              <w:t>CapStar Bank, Mitglied des</w:t>
            </w:r>
            <w:r>
              <w:rPr>
                <w:rFonts w:eastAsia="MS Mincho"/>
                <w:bCs/>
                <w:lang w:val="de-DE" w:eastAsia="de-CH"/>
              </w:rPr>
              <w:t xml:space="preserve"> </w:t>
            </w:r>
            <w:r w:rsidRPr="00733C84">
              <w:rPr>
                <w:rFonts w:eastAsia="MS Mincho"/>
                <w:bCs/>
                <w:lang w:val="de-DE" w:eastAsia="de-CH"/>
              </w:rPr>
              <w:t>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A42F53" w:rsidP="004C1EBA">
            <w:pPr>
              <w:pStyle w:val="csbody00"/>
              <w:rPr>
                <w:lang w:val="de-DE"/>
              </w:rPr>
            </w:pPr>
          </w:p>
        </w:tc>
        <w:tc>
          <w:tcPr>
            <w:tcW w:w="1257" w:type="pct"/>
            <w:gridSpan w:val="2"/>
          </w:tcPr>
          <w:p w:rsidR="004C1EBA" w:rsidRPr="00A42F53" w:rsidP="004C1EBA">
            <w:pPr>
              <w:pStyle w:val="csbody00"/>
              <w:rPr>
                <w:lang w:val="de-DE"/>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 xml:space="preserve">University of Cincinnati, </w:t>
            </w:r>
            <w:r w:rsidRPr="00733C84">
              <w:rPr>
                <w:rFonts w:eastAsia="MS Mincho"/>
                <w:bCs/>
                <w:lang w:val="en-US" w:eastAsia="de-CH"/>
              </w:rPr>
              <w:t>investment committee</w:t>
            </w:r>
            <w:r>
              <w:rPr>
                <w:rFonts w:eastAsia="MS Mincho"/>
                <w:bCs/>
                <w:lang w:val="en-US" w:eastAsia="de-CH"/>
              </w:rPr>
              <w:t xml:space="preserve"> </w:t>
            </w:r>
            <w:r w:rsidRPr="00733C84">
              <w:rPr>
                <w:rFonts w:eastAsia="MS Mincho"/>
                <w:bCs/>
                <w:lang w:val="en-US" w:eastAsia="de-CH"/>
              </w:rPr>
              <w:t>member</w:t>
            </w:r>
          </w:p>
        </w:tc>
        <w:tc>
          <w:tcPr>
            <w:tcW w:w="1242" w:type="pct"/>
            <w:gridSpan w:val="3"/>
            <w:shd w:val="clear" w:color="auto" w:fill="auto"/>
          </w:tcPr>
          <w:p w:rsidR="004C1EBA" w:rsidRPr="00733C84" w:rsidP="004C1EBA">
            <w:pPr>
              <w:pStyle w:val="csbody00"/>
              <w:rPr>
                <w:rFonts w:eastAsia="MS Mincho"/>
                <w:b/>
                <w:bCs/>
                <w:lang w:eastAsia="de-CH"/>
              </w:rPr>
            </w:pPr>
            <w:r w:rsidRPr="00A42F53">
              <w:rPr>
                <w:rFonts w:eastAsia="MS Mincho"/>
                <w:bCs/>
                <w:lang w:eastAsia="de-CH"/>
              </w:rPr>
              <w:t>University of Cincinnati, Mitglied des Investment Committee</w:t>
            </w:r>
          </w:p>
        </w:tc>
      </w:tr>
      <w:tr w:rsidTr="00682578">
        <w:tblPrEx>
          <w:tblW w:w="5002" w:type="pct"/>
          <w:tblBorders>
            <w:insideV w:val="single" w:sz="4" w:space="0" w:color="auto"/>
          </w:tblBorders>
          <w:tblLayout w:type="fixed"/>
          <w:tblLook w:val="00A0"/>
        </w:tblPrEx>
        <w:tc>
          <w:tcPr>
            <w:tcW w:w="1242" w:type="pct"/>
            <w:gridSpan w:val="3"/>
          </w:tcPr>
          <w:p w:rsidR="004C1EBA" w:rsidRPr="00733C84" w:rsidP="004C1EBA">
            <w:pPr>
              <w:pStyle w:val="csbody00"/>
            </w:pPr>
          </w:p>
        </w:tc>
        <w:tc>
          <w:tcPr>
            <w:tcW w:w="1257" w:type="pct"/>
            <w:gridSpan w:val="2"/>
          </w:tcPr>
          <w:p w:rsidR="004C1EBA" w:rsidRPr="00733C84" w:rsidP="004C1EBA">
            <w:pPr>
              <w:pStyle w:val="csbody00"/>
            </w:pPr>
          </w:p>
        </w:tc>
        <w:tc>
          <w:tcPr>
            <w:tcW w:w="1260" w:type="pct"/>
            <w:gridSpan w:val="5"/>
          </w:tcPr>
          <w:p w:rsidR="004C1EBA" w:rsidRPr="000B6820">
            <w:pPr>
              <w:pStyle w:val="csbody00"/>
              <w:rPr>
                <w:rFonts w:eastAsia="MS Mincho"/>
                <w:bCs/>
                <w:lang w:val="en-US" w:eastAsia="de-CH"/>
              </w:rPr>
            </w:pPr>
            <w:r w:rsidRPr="000B6820">
              <w:rPr>
                <w:rFonts w:eastAsia="MS Mincho"/>
                <w:bCs/>
                <w:lang w:val="en-US" w:eastAsia="de-CH"/>
              </w:rPr>
              <w:t>St. Xavier High School, trustee and finance committee</w:t>
            </w:r>
            <w:r w:rsidRPr="00EF4BAA">
              <w:rPr>
                <w:color w:val="000000"/>
                <w:lang w:eastAsia="en-GB"/>
              </w:rPr>
              <w:t xml:space="preserve"> </w:t>
            </w:r>
            <w:r>
              <w:rPr>
                <w:rFonts w:eastAsia="MS Mincho"/>
                <w:bCs/>
                <w:lang w:val="en-US" w:eastAsia="de-CH"/>
              </w:rPr>
              <w:t>chair</w:t>
            </w:r>
          </w:p>
        </w:tc>
        <w:tc>
          <w:tcPr>
            <w:tcW w:w="1242" w:type="pct"/>
            <w:gridSpan w:val="3"/>
            <w:shd w:val="clear" w:color="auto" w:fill="auto"/>
          </w:tcPr>
          <w:p w:rsidR="004C1EBA" w:rsidRPr="000B6820">
            <w:pPr>
              <w:pStyle w:val="csbody00"/>
              <w:rPr>
                <w:rFonts w:eastAsia="MS Mincho"/>
                <w:bCs/>
                <w:lang w:val="en-US" w:eastAsia="de-CH"/>
              </w:rPr>
            </w:pPr>
            <w:r w:rsidRPr="000B6820">
              <w:rPr>
                <w:bCs/>
                <w:lang w:val="en-US"/>
              </w:rPr>
              <w:t xml:space="preserve">St. Xavier High School, </w:t>
            </w:r>
            <w:r>
              <w:rPr>
                <w:bCs/>
                <w:lang w:val="en-US"/>
              </w:rPr>
              <w:t>T</w:t>
            </w:r>
            <w:r w:rsidRPr="000B6820">
              <w:rPr>
                <w:bCs/>
                <w:lang w:val="en-US"/>
              </w:rPr>
              <w:t xml:space="preserve">rustee </w:t>
            </w:r>
            <w:r>
              <w:rPr>
                <w:bCs/>
                <w:lang w:val="en-US"/>
              </w:rPr>
              <w:t>und Vorsitzender des F</w:t>
            </w:r>
            <w:r w:rsidRPr="000B6820">
              <w:rPr>
                <w:bCs/>
                <w:lang w:val="en-US"/>
              </w:rPr>
              <w:t xml:space="preserve">inance </w:t>
            </w:r>
            <w:r>
              <w:rPr>
                <w:bCs/>
                <w:lang w:val="en-US"/>
              </w:rPr>
              <w:t>C</w:t>
            </w:r>
            <w:r w:rsidRPr="000B6820">
              <w:rPr>
                <w:bCs/>
                <w:lang w:val="en-US"/>
              </w:rPr>
              <w:t>ommittee</w:t>
            </w:r>
            <w:r w:rsidRPr="00560DE7">
              <w:t>.</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r w:rsidRPr="006527EC">
              <w:t>Sebastian Thrun</w:t>
            </w:r>
          </w:p>
        </w:tc>
        <w:tc>
          <w:tcPr>
            <w:tcW w:w="1257" w:type="pct"/>
            <w:gridSpan w:val="2"/>
          </w:tcPr>
          <w:p w:rsidR="004C1EBA" w:rsidRPr="005E76D1" w:rsidP="00BD6E0D">
            <w:pPr>
              <w:pStyle w:val="csbody00"/>
              <w:jc w:val="left"/>
              <w:rPr>
                <w:lang w:val="de-DE"/>
              </w:rPr>
            </w:pPr>
            <w:r w:rsidRPr="005E76D1">
              <w:rPr>
                <w:lang w:val="de-DE"/>
              </w:rPr>
              <w:t>Credit Suisse AG</w:t>
            </w:r>
            <w:r w:rsidRPr="005E76D1">
              <w:rPr>
                <w:lang w:val="de-DE"/>
              </w:rPr>
              <w:br/>
              <w:t>Paradeplatz 8</w:t>
            </w:r>
            <w:r w:rsidRPr="005E76D1">
              <w:rPr>
                <w:lang w:val="de-DE"/>
              </w:rPr>
              <w:br/>
              <w:t>8001 Zurich</w:t>
            </w:r>
            <w:r w:rsidRPr="005E76D1">
              <w:rPr>
                <w:lang w:val="de-DE"/>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rPr>
                <w:lang w:val="en-US"/>
              </w:rPr>
            </w:pPr>
            <w:r w:rsidRPr="000B6820">
              <w:rPr>
                <w:rFonts w:eastAsia="MS Mincho"/>
                <w:bCs/>
                <w:lang w:val="en-US" w:eastAsia="de-CH"/>
              </w:rPr>
              <w:t xml:space="preserve">2014–present </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4C51BE" w:rsidP="004C1EBA">
            <w:pPr>
              <w:pStyle w:val="csbody00"/>
              <w:rPr>
                <w:lang w:val="en-US"/>
              </w:rPr>
            </w:pPr>
            <w:r w:rsidRPr="00013FD4">
              <w:rPr>
                <w:rFonts w:eastAsia="MS Mincho"/>
                <w:bCs/>
                <w:lang w:val="de-DE" w:eastAsia="de-CH"/>
              </w:rPr>
              <w:t xml:space="preserve">2014 bis heute </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
                <w:bCs/>
                <w:lang w:val="en-US" w:eastAsia="de-CH"/>
              </w:rPr>
            </w:pPr>
            <w:r w:rsidRPr="000B6820">
              <w:rPr>
                <w:rFonts w:eastAsia="MS Mincho"/>
                <w:bCs/>
                <w:lang w:val="en-US" w:eastAsia="de-CH"/>
              </w:rPr>
              <w:t>Credit Suisse</w:t>
            </w:r>
          </w:p>
        </w:tc>
        <w:tc>
          <w:tcPr>
            <w:tcW w:w="1242" w:type="pct"/>
            <w:gridSpan w:val="3"/>
            <w:shd w:val="clear" w:color="auto" w:fill="auto"/>
          </w:tcPr>
          <w:p w:rsidR="004C1EBA" w:rsidRPr="00013FD4" w:rsidP="004C1EBA">
            <w:pPr>
              <w:pStyle w:val="csbody00"/>
              <w:ind w:left="720"/>
              <w:rPr>
                <w:rFonts w:eastAsia="MS Mincho"/>
                <w:b/>
                <w:bCs/>
                <w:lang w:val="de-DE" w:eastAsia="de-CH"/>
              </w:rPr>
            </w:pPr>
            <w:r w:rsidRPr="00013FD4">
              <w:rPr>
                <w:rFonts w:eastAsia="MS Mincho"/>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Risk Committee (2014–present)</w:t>
            </w:r>
          </w:p>
        </w:tc>
        <w:tc>
          <w:tcPr>
            <w:tcW w:w="1242" w:type="pct"/>
            <w:gridSpan w:val="3"/>
            <w:shd w:val="clear" w:color="auto" w:fill="auto"/>
          </w:tcPr>
          <w:p w:rsidR="004C1EBA" w:rsidRPr="00F36E74" w:rsidP="004C1EBA">
            <w:pPr>
              <w:pStyle w:val="csbody00"/>
              <w:ind w:left="720"/>
              <w:rPr>
                <w:rFonts w:eastAsia="MS Mincho"/>
                <w:bCs/>
                <w:lang w:val="de-DE" w:eastAsia="de-CH"/>
              </w:rPr>
            </w:pPr>
            <w:r w:rsidRPr="00013FD4">
              <w:rPr>
                <w:rFonts w:eastAsia="MS Mincho"/>
                <w:bCs/>
                <w:lang w:val="de-DE" w:eastAsia="de-CH"/>
              </w:rPr>
              <w:t>Mitglied des Risk Committee (2014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2012–present </w:t>
            </w:r>
          </w:p>
        </w:tc>
        <w:tc>
          <w:tcPr>
            <w:tcW w:w="1242" w:type="pct"/>
            <w:gridSpan w:val="3"/>
            <w:shd w:val="clear" w:color="auto" w:fill="auto"/>
          </w:tcPr>
          <w:p w:rsidR="004C1EBA" w:rsidRPr="000C473F" w:rsidP="004C1EBA">
            <w:pPr>
              <w:pStyle w:val="csbody00"/>
              <w:rPr>
                <w:rFonts w:eastAsia="MS Mincho"/>
                <w:bCs/>
                <w:lang w:eastAsia="de-CH"/>
              </w:rPr>
            </w:pPr>
            <w:r w:rsidRPr="00013FD4">
              <w:rPr>
                <w:rFonts w:eastAsia="MS Mincho"/>
                <w:bCs/>
                <w:lang w:val="de-DE" w:eastAsia="de-CH"/>
              </w:rPr>
              <w:t xml:space="preserve">2012 bis heute </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Udacity, co-founder and CEO</w:t>
            </w:r>
          </w:p>
        </w:tc>
        <w:tc>
          <w:tcPr>
            <w:tcW w:w="1242" w:type="pct"/>
            <w:gridSpan w:val="3"/>
            <w:shd w:val="clear" w:color="auto" w:fill="auto"/>
          </w:tcPr>
          <w:p w:rsidR="004C1EBA" w:rsidRPr="000C473F" w:rsidP="004C1EBA">
            <w:pPr>
              <w:pStyle w:val="csbody00"/>
              <w:ind w:left="720"/>
              <w:rPr>
                <w:rFonts w:eastAsia="MS Mincho"/>
                <w:bCs/>
                <w:lang w:eastAsia="de-CH"/>
              </w:rPr>
            </w:pPr>
            <w:r w:rsidRPr="000C473F">
              <w:rPr>
                <w:rFonts w:eastAsia="MS Mincho"/>
                <w:bCs/>
                <w:lang w:eastAsia="de-CH"/>
              </w:rPr>
              <w:t>Udacity, Mitbegründer und CEO</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2007–2014 </w:t>
            </w:r>
          </w:p>
        </w:tc>
        <w:tc>
          <w:tcPr>
            <w:tcW w:w="1242" w:type="pct"/>
            <w:gridSpan w:val="3"/>
            <w:shd w:val="clear" w:color="auto" w:fill="auto"/>
          </w:tcPr>
          <w:p w:rsidR="004C1EBA" w:rsidRPr="000C473F" w:rsidP="004C1EBA">
            <w:pPr>
              <w:pStyle w:val="csbody00"/>
              <w:rPr>
                <w:rFonts w:eastAsia="MS Mincho"/>
                <w:bCs/>
                <w:lang w:eastAsia="de-CH"/>
              </w:rPr>
            </w:pPr>
            <w:r w:rsidRPr="000B6820">
              <w:rPr>
                <w:rFonts w:eastAsia="MS Mincho"/>
                <w:bCs/>
                <w:lang w:val="en-US" w:eastAsia="de-CH"/>
              </w:rPr>
              <w:t xml:space="preserve">2007–2014 </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Google Corporation, Google Fellow and vice president</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Google Corporation, Google Fellow </w:t>
            </w:r>
            <w:r>
              <w:rPr>
                <w:rFonts w:eastAsia="MS Mincho"/>
                <w:bCs/>
                <w:lang w:val="en-US" w:eastAsia="de-CH"/>
              </w:rPr>
              <w:t>und V</w:t>
            </w:r>
            <w:r w:rsidRPr="000B6820">
              <w:rPr>
                <w:rFonts w:eastAsia="MS Mincho"/>
                <w:bCs/>
                <w:lang w:val="en-US" w:eastAsia="de-CH"/>
              </w:rPr>
              <w:t xml:space="preserve">ice </w:t>
            </w:r>
            <w:r>
              <w:rPr>
                <w:rFonts w:eastAsia="MS Mincho"/>
                <w:bCs/>
                <w:lang w:val="en-US" w:eastAsia="de-CH"/>
              </w:rPr>
              <w:t>P</w:t>
            </w:r>
            <w:r w:rsidRPr="000B6820">
              <w:rPr>
                <w:rFonts w:eastAsia="MS Mincho"/>
                <w:bCs/>
                <w:lang w:val="en-US" w:eastAsia="de-CH"/>
              </w:rPr>
              <w:t>resident</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2003–present </w:t>
            </w:r>
          </w:p>
        </w:tc>
        <w:tc>
          <w:tcPr>
            <w:tcW w:w="1242" w:type="pct"/>
            <w:gridSpan w:val="3"/>
            <w:shd w:val="clear" w:color="auto" w:fill="auto"/>
          </w:tcPr>
          <w:p w:rsidR="004C1EBA" w:rsidRPr="000B6820" w:rsidP="004C1EBA">
            <w:pPr>
              <w:pStyle w:val="csbody00"/>
              <w:rPr>
                <w:rFonts w:eastAsia="MS Mincho"/>
                <w:bCs/>
                <w:lang w:val="en-US" w:eastAsia="de-CH"/>
              </w:rPr>
            </w:pPr>
            <w:r w:rsidRPr="00013FD4">
              <w:rPr>
                <w:rFonts w:eastAsia="MS Mincho"/>
                <w:bCs/>
                <w:lang w:val="de-DE" w:eastAsia="de-CH"/>
              </w:rPr>
              <w:t xml:space="preserve">2003 bis heute </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Stanford University</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Stanford University</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Research Professor (2011–present)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Forschungsprofessor (2011 bis heute)</w:t>
            </w:r>
          </w:p>
        </w:tc>
      </w:tr>
      <w:tr w:rsidTr="00682578">
        <w:tblPrEx>
          <w:tblW w:w="5002" w:type="pct"/>
          <w:tblBorders>
            <w:insideV w:val="single" w:sz="4" w:space="0" w:color="auto"/>
          </w:tblBorders>
          <w:tblLayout w:type="fixed"/>
          <w:tblLook w:val="00A0"/>
        </w:tblPrEx>
        <w:tc>
          <w:tcPr>
            <w:tcW w:w="1242" w:type="pct"/>
            <w:gridSpan w:val="3"/>
          </w:tcPr>
          <w:p w:rsidR="004C1EBA" w:rsidRPr="00CC67C2" w:rsidP="004C1EBA"/>
        </w:tc>
        <w:tc>
          <w:tcPr>
            <w:tcW w:w="1257" w:type="pct"/>
            <w:gridSpan w:val="2"/>
          </w:tcPr>
          <w:p w:rsidR="004C1EBA" w:rsidRPr="00CC67C2" w:rsidP="004C1EBA"/>
        </w:tc>
        <w:tc>
          <w:tcPr>
            <w:tcW w:w="1260" w:type="pct"/>
            <w:gridSpan w:val="5"/>
          </w:tcPr>
          <w:p w:rsidR="004C1EBA" w:rsidRPr="00CC67C2" w:rsidP="00BD6E0D">
            <w:pPr>
              <w:pStyle w:val="csbody00"/>
              <w:ind w:left="720"/>
            </w:pPr>
            <w:r w:rsidRPr="000C473F">
              <w:t>Professor (2003–2011)</w:t>
            </w:r>
          </w:p>
        </w:tc>
        <w:tc>
          <w:tcPr>
            <w:tcW w:w="1242" w:type="pct"/>
            <w:gridSpan w:val="3"/>
            <w:shd w:val="clear" w:color="auto" w:fill="auto"/>
          </w:tcPr>
          <w:p w:rsidR="004C1EBA" w:rsidRPr="00CC67C2" w:rsidP="00BD6E0D">
            <w:pPr>
              <w:pStyle w:val="csbody00"/>
              <w:ind w:left="720"/>
            </w:pPr>
            <w:r w:rsidRPr="00BD6E0D">
              <w:rPr>
                <w:rFonts w:eastAsia="MS Mincho"/>
                <w:bCs/>
                <w:lang w:val="en-US" w:eastAsia="de-CH"/>
              </w:rPr>
              <w:t>Professor (2003–2011)</w:t>
            </w:r>
          </w:p>
        </w:tc>
      </w:tr>
      <w:tr w:rsidTr="00682578">
        <w:tblPrEx>
          <w:tblW w:w="5002" w:type="pct"/>
          <w:tblBorders>
            <w:insideV w:val="single" w:sz="4" w:space="0" w:color="auto"/>
          </w:tblBorders>
          <w:tblLayout w:type="fixed"/>
          <w:tblLook w:val="00A0"/>
        </w:tblPrEx>
        <w:tc>
          <w:tcPr>
            <w:tcW w:w="1242" w:type="pct"/>
            <w:gridSpan w:val="3"/>
          </w:tcPr>
          <w:p w:rsidR="004C1EBA" w:rsidRPr="00CC67C2" w:rsidP="004C1EBA"/>
        </w:tc>
        <w:tc>
          <w:tcPr>
            <w:tcW w:w="1257" w:type="pct"/>
            <w:gridSpan w:val="2"/>
          </w:tcPr>
          <w:p w:rsidR="004C1EBA" w:rsidRPr="00CC67C2" w:rsidP="004C1EBA"/>
        </w:tc>
        <w:tc>
          <w:tcPr>
            <w:tcW w:w="1260" w:type="pct"/>
            <w:gridSpan w:val="5"/>
          </w:tcPr>
          <w:p w:rsidR="004C1EBA" w:rsidRPr="00CC67C2" w:rsidP="00BD6E0D">
            <w:pPr>
              <w:pStyle w:val="csbody00"/>
            </w:pPr>
            <w:r w:rsidRPr="00BD6E0D">
              <w:rPr>
                <w:rFonts w:eastAsia="MS Mincho"/>
                <w:bCs/>
                <w:lang w:val="en-US" w:eastAsia="de-CH"/>
              </w:rPr>
              <w:t>1995–2003</w:t>
            </w:r>
          </w:p>
        </w:tc>
        <w:tc>
          <w:tcPr>
            <w:tcW w:w="1242" w:type="pct"/>
            <w:gridSpan w:val="3"/>
            <w:shd w:val="clear" w:color="auto" w:fill="auto"/>
          </w:tcPr>
          <w:p w:rsidR="004C1EBA" w:rsidRPr="00CC67C2" w:rsidP="00BD6E0D">
            <w:pPr>
              <w:pStyle w:val="csbody00"/>
            </w:pPr>
            <w:r w:rsidRPr="00BD6E0D">
              <w:rPr>
                <w:rFonts w:eastAsia="MS Mincho"/>
                <w:bCs/>
                <w:lang w:val="en-US" w:eastAsia="de-CH"/>
              </w:rPr>
              <w:t>1995–2003</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Carnegie Mellon University, </w:t>
            </w:r>
            <w:r w:rsidRPr="000C473F">
              <w:rPr>
                <w:rFonts w:eastAsia="MS Mincho"/>
                <w:bCs/>
                <w:lang w:val="en-US" w:eastAsia="de-CH"/>
              </w:rPr>
              <w:t>Associate Professor</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Carnegie Mellon University, </w:t>
            </w:r>
            <w:r w:rsidRPr="000C473F">
              <w:rPr>
                <w:rFonts w:eastAsia="MS Mincho"/>
                <w:bCs/>
                <w:lang w:val="en-US" w:eastAsia="de-CH"/>
              </w:rPr>
              <w:t>Associate Professor</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0C473F"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0C473F" w:rsidP="004C1EBA">
            <w:pPr>
              <w:pStyle w:val="csbody00"/>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1995 Doctorate in Computer Science and Statistics, University of Bonn, Germany</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Cs/>
                <w:lang w:val="de-DE" w:eastAsia="de-CH"/>
              </w:rPr>
              <w:t>1995 Doktorat in Informatik und Statistik, Universität Bonn, Deutschland</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1993 Masters in Computer Science, University of Bonn, Germany</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1993 Masterabschluss in Informatik der Universität Bonn, Deutschland</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1988 Degree in Computer Science, University of Hildesheim, Germany</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1988 Abschluss in Informatik der Universität Hildesheim, Deutschland</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F36E74"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013FD4" w:rsidP="004C1EBA">
            <w:pPr>
              <w:pStyle w:val="csbody00"/>
              <w:rPr>
                <w:rFonts w:eastAsia="MS Mincho"/>
                <w:bCs/>
                <w:lang w:val="de-DE" w:eastAsia="de-CH"/>
              </w:rPr>
            </w:pPr>
            <w:r>
              <w:rPr>
                <w:rFonts w:eastAsia="MS Mincho"/>
                <w:b/>
                <w:bCs/>
                <w:lang w:val="en-US"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6527EC" w:rsidP="004C1EBA">
            <w:pPr>
              <w:pStyle w:val="csbody00"/>
            </w:pPr>
          </w:p>
        </w:tc>
        <w:tc>
          <w:tcPr>
            <w:tcW w:w="1257" w:type="pct"/>
            <w:gridSpan w:val="2"/>
          </w:tcPr>
          <w:p w:rsidR="004C1EBA" w:rsidRPr="000C473F" w:rsidP="004C1EBA">
            <w:pPr>
              <w:pStyle w:val="csbody00"/>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Robotics Science and Systems Foundation, member and treasurer</w:t>
            </w:r>
          </w:p>
        </w:tc>
        <w:tc>
          <w:tcPr>
            <w:tcW w:w="1242" w:type="pct"/>
            <w:gridSpan w:val="3"/>
            <w:shd w:val="clear" w:color="auto" w:fill="auto"/>
          </w:tcPr>
          <w:p w:rsidR="004C1EBA" w:rsidP="004C1EBA">
            <w:pPr>
              <w:pStyle w:val="csbody00"/>
              <w:rPr>
                <w:rFonts w:eastAsia="MS Mincho"/>
                <w:b/>
                <w:bCs/>
                <w:lang w:val="en-US" w:eastAsia="de-CH"/>
              </w:rPr>
            </w:pPr>
            <w:r w:rsidRPr="000B6820">
              <w:rPr>
                <w:bCs/>
                <w:lang w:val="en-US"/>
              </w:rPr>
              <w:t xml:space="preserve">Robotics Science and Systems Foundation, </w:t>
            </w:r>
            <w:r>
              <w:rPr>
                <w:bCs/>
                <w:lang w:val="en-US"/>
              </w:rPr>
              <w:t>Mitglied und T</w:t>
            </w:r>
            <w:r w:rsidRPr="000B6820">
              <w:rPr>
                <w:bCs/>
                <w:lang w:val="en-US"/>
              </w:rPr>
              <w:t>reasurer</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r w:rsidRPr="0083513B">
              <w:t>John Tiner</w:t>
            </w:r>
          </w:p>
        </w:tc>
        <w:tc>
          <w:tcPr>
            <w:tcW w:w="1257" w:type="pct"/>
            <w:gridSpan w:val="2"/>
          </w:tcPr>
          <w:p w:rsidR="004C1EBA" w:rsidRPr="005E76D1" w:rsidP="004C1EBA">
            <w:pPr>
              <w:pStyle w:val="csbody00"/>
              <w:jc w:val="left"/>
              <w:rPr>
                <w:lang w:val="de-DE"/>
              </w:rPr>
            </w:pPr>
            <w:r w:rsidRPr="005E76D1">
              <w:rPr>
                <w:lang w:val="de-DE"/>
              </w:rPr>
              <w:t>Credit Suisse AG</w:t>
            </w:r>
            <w:r w:rsidRPr="005E76D1">
              <w:rPr>
                <w:lang w:val="de-DE"/>
              </w:rPr>
              <w:br/>
              <w:t>Paradeplatz 8</w:t>
            </w:r>
            <w:r w:rsidRPr="005E76D1">
              <w:rPr>
                <w:lang w:val="de-DE"/>
              </w:rPr>
              <w:br/>
              <w:t>8001 Zurich</w:t>
            </w:r>
            <w:r w:rsidRPr="005E76D1">
              <w:rPr>
                <w:lang w:val="de-DE"/>
              </w:rPr>
              <w:br/>
              <w:t>Switzerland</w:t>
            </w:r>
          </w:p>
        </w:tc>
        <w:tc>
          <w:tcPr>
            <w:tcW w:w="1260" w:type="pct"/>
            <w:gridSpan w:val="5"/>
          </w:tcPr>
          <w:p w:rsidR="004C1EBA" w:rsidP="004C1EBA">
            <w:pPr>
              <w:pStyle w:val="csbody00"/>
              <w:rPr>
                <w:rFonts w:eastAsia="MS Mincho"/>
                <w:b/>
                <w:bCs/>
                <w:lang w:val="en-US" w:eastAsia="de-CH"/>
              </w:rPr>
            </w:pPr>
            <w:r w:rsidRPr="000B6820">
              <w:rPr>
                <w:rFonts w:eastAsia="MS Mincho"/>
                <w:b/>
                <w:bCs/>
                <w:lang w:val="en-US" w:eastAsia="de-CH"/>
              </w:rPr>
              <w:t>Professional history</w:t>
            </w:r>
          </w:p>
          <w:p w:rsidR="004C1EBA" w:rsidP="004C1EBA">
            <w:pPr>
              <w:pStyle w:val="csbody00"/>
            </w:pPr>
            <w:r w:rsidRPr="000B6820">
              <w:rPr>
                <w:rFonts w:eastAsia="MS Mincho"/>
                <w:bCs/>
                <w:lang w:val="en-US" w:eastAsia="de-CH"/>
              </w:rPr>
              <w:t>2009–present</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
                <w:bCs/>
                <w:lang w:val="de-DE" w:eastAsia="de-CH"/>
              </w:rPr>
              <w:t>Werdegang</w:t>
            </w:r>
          </w:p>
          <w:p w:rsidR="004C1EBA" w:rsidRPr="0083513B" w:rsidP="004C1EBA">
            <w:pPr>
              <w:pStyle w:val="csbody00"/>
              <w:rPr>
                <w:lang w:val="en-US"/>
              </w:rPr>
            </w:pPr>
            <w:r w:rsidRPr="00013FD4">
              <w:rPr>
                <w:rFonts w:eastAsia="MS Mincho"/>
                <w:bCs/>
                <w:lang w:val="de-DE" w:eastAsia="de-CH"/>
              </w:rPr>
              <w:t>2009 bis heute</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
                <w:bCs/>
                <w:lang w:val="en-US" w:eastAsia="de-CH"/>
              </w:rPr>
            </w:pPr>
            <w:r w:rsidRPr="000B6820">
              <w:rPr>
                <w:rFonts w:eastAsia="MS Mincho"/>
                <w:bCs/>
                <w:lang w:val="en-US" w:eastAsia="de-CH"/>
              </w:rPr>
              <w:t>Credit Suisse</w:t>
            </w:r>
          </w:p>
        </w:tc>
        <w:tc>
          <w:tcPr>
            <w:tcW w:w="1242" w:type="pct"/>
            <w:gridSpan w:val="3"/>
            <w:shd w:val="clear" w:color="auto" w:fill="auto"/>
          </w:tcPr>
          <w:p w:rsidR="004C1EBA" w:rsidRPr="00013FD4" w:rsidP="004C1EBA">
            <w:pPr>
              <w:pStyle w:val="csbody00"/>
              <w:ind w:left="720"/>
              <w:rPr>
                <w:rFonts w:eastAsia="MS Mincho"/>
                <w:b/>
                <w:bCs/>
                <w:lang w:val="de-DE" w:eastAsia="de-CH"/>
              </w:rPr>
            </w:pPr>
            <w:r w:rsidRPr="00013FD4">
              <w:rPr>
                <w:rFonts w:eastAsia="MS Mincho"/>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Chairman of the Audit Committee (2011–present)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Vorsitzender des Audit Committee (2011 bis heute</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Chairman’s and Governance Committee (2011–present)</w:t>
            </w:r>
          </w:p>
        </w:tc>
        <w:tc>
          <w:tcPr>
            <w:tcW w:w="1242" w:type="pct"/>
            <w:gridSpan w:val="3"/>
            <w:shd w:val="clear" w:color="auto" w:fill="auto"/>
          </w:tcPr>
          <w:p w:rsidR="004C1EBA" w:rsidRPr="00C86609" w:rsidP="004C1EBA">
            <w:pPr>
              <w:pStyle w:val="csbody00"/>
              <w:ind w:left="720"/>
              <w:rPr>
                <w:rFonts w:eastAsia="MS Mincho"/>
                <w:bCs/>
                <w:lang w:eastAsia="de-CH"/>
              </w:rPr>
            </w:pPr>
            <w:r>
              <w:rPr>
                <w:rFonts w:eastAsia="MS Mincho"/>
                <w:bCs/>
                <w:lang w:val="en-US" w:eastAsia="de-CH"/>
              </w:rPr>
              <w:t xml:space="preserve">Mitglied des </w:t>
            </w:r>
            <w:r w:rsidRPr="000B6820">
              <w:rPr>
                <w:rFonts w:eastAsia="MS Mincho"/>
                <w:bCs/>
                <w:lang w:val="en-US" w:eastAsia="de-CH"/>
              </w:rPr>
              <w:t>Chairman’s and Governance Committee (2011</w:t>
            </w:r>
            <w:r>
              <w:rPr>
                <w:rFonts w:eastAsia="MS Mincho"/>
                <w:bCs/>
                <w:lang w:val="en-US" w:eastAsia="de-CH"/>
              </w:rPr>
              <w:t xml:space="preserve"> bis heute</w:t>
            </w:r>
            <w:r w:rsidRPr="000B6820">
              <w:rPr>
                <w:rFonts w:eastAsia="MS Mincho"/>
                <w:bCs/>
                <w:lang w:val="en-US" w:eastAsia="de-CH"/>
              </w:rPr>
              <w:t>)</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C86609" w:rsidP="004C1EBA">
            <w:pPr>
              <w:pStyle w:val="csbody00"/>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Member of the Risk Committee (2011–present)</w:t>
            </w:r>
          </w:p>
        </w:tc>
        <w:tc>
          <w:tcPr>
            <w:tcW w:w="1242" w:type="pct"/>
            <w:gridSpan w:val="3"/>
            <w:shd w:val="clear" w:color="auto" w:fill="auto"/>
          </w:tcPr>
          <w:p w:rsidR="004C1EBA" w:rsidRPr="00C86609" w:rsidP="004C1EBA">
            <w:pPr>
              <w:pStyle w:val="csbody00"/>
              <w:ind w:left="720"/>
              <w:rPr>
                <w:rFonts w:eastAsia="MS Mincho"/>
                <w:bCs/>
                <w:lang w:val="de-DE" w:eastAsia="de-CH"/>
              </w:rPr>
            </w:pPr>
            <w:r w:rsidRPr="00013FD4">
              <w:rPr>
                <w:rFonts w:eastAsia="MS Mincho"/>
                <w:bCs/>
                <w:lang w:val="de-DE" w:eastAsia="de-CH"/>
              </w:rPr>
              <w:t>Mitglied des Risk Committee (2011 bis heute)</w:t>
            </w:r>
          </w:p>
        </w:tc>
      </w:tr>
      <w:tr w:rsidTr="00682578">
        <w:tblPrEx>
          <w:tblW w:w="5002" w:type="pct"/>
          <w:tblBorders>
            <w:insideV w:val="single" w:sz="4" w:space="0" w:color="auto"/>
          </w:tblBorders>
          <w:tblLayout w:type="fixed"/>
          <w:tblLook w:val="00A0"/>
        </w:tblPrEx>
        <w:tc>
          <w:tcPr>
            <w:tcW w:w="1242" w:type="pct"/>
            <w:gridSpan w:val="3"/>
          </w:tcPr>
          <w:p w:rsidR="004C1EBA" w:rsidRPr="00C86609" w:rsidP="004C1EBA">
            <w:pPr>
              <w:pStyle w:val="csbody00"/>
              <w:rPr>
                <w:lang w:val="de-DE"/>
              </w:rPr>
            </w:pPr>
          </w:p>
        </w:tc>
        <w:tc>
          <w:tcPr>
            <w:tcW w:w="1257" w:type="pct"/>
            <w:gridSpan w:val="2"/>
          </w:tcPr>
          <w:p w:rsidR="004C1EBA" w:rsidRPr="00C86609"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Member of the Audit Committee (2009–present)</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Mitglied des Audit Committee (2009 bis heute)</w:t>
            </w:r>
          </w:p>
        </w:tc>
      </w:tr>
      <w:tr w:rsidTr="00682578">
        <w:tblPrEx>
          <w:tblW w:w="5002" w:type="pct"/>
          <w:tblBorders>
            <w:insideV w:val="single" w:sz="4" w:space="0" w:color="auto"/>
          </w:tblBorders>
          <w:tblLayout w:type="fixed"/>
          <w:tblLook w:val="00A0"/>
        </w:tblPrEx>
        <w:tc>
          <w:tcPr>
            <w:tcW w:w="1242" w:type="pct"/>
            <w:gridSpan w:val="3"/>
          </w:tcPr>
          <w:p w:rsidR="004C1EBA" w:rsidRPr="00C86609" w:rsidP="004C1EBA">
            <w:pPr>
              <w:pStyle w:val="csbody00"/>
              <w:rPr>
                <w:lang w:val="de-DE"/>
              </w:rPr>
            </w:pPr>
          </w:p>
        </w:tc>
        <w:tc>
          <w:tcPr>
            <w:tcW w:w="1257" w:type="pct"/>
            <w:gridSpan w:val="2"/>
          </w:tcPr>
          <w:p w:rsidR="004C1EBA" w:rsidRPr="00C86609"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2008–2013 </w:t>
            </w:r>
          </w:p>
        </w:tc>
        <w:tc>
          <w:tcPr>
            <w:tcW w:w="1242" w:type="pct"/>
            <w:gridSpan w:val="3"/>
            <w:shd w:val="clear" w:color="auto" w:fill="auto"/>
          </w:tcPr>
          <w:p w:rsidR="004C1EBA" w:rsidRPr="00013FD4" w:rsidP="004C1EBA">
            <w:pPr>
              <w:pStyle w:val="csbody00"/>
              <w:rPr>
                <w:rFonts w:eastAsia="MS Mincho"/>
                <w:bCs/>
                <w:lang w:val="de-DE" w:eastAsia="de-CH"/>
              </w:rPr>
            </w:pPr>
            <w:r w:rsidRPr="00C86609">
              <w:rPr>
                <w:lang w:val="en-US"/>
              </w:rPr>
              <w:t>2008</w:t>
            </w:r>
            <w:r w:rsidRPr="000B6820">
              <w:rPr>
                <w:rFonts w:eastAsia="MS Mincho"/>
                <w:bCs/>
                <w:lang w:val="en-US" w:eastAsia="de-CH"/>
              </w:rPr>
              <w:t>–2013</w:t>
            </w:r>
          </w:p>
        </w:tc>
      </w:tr>
      <w:tr w:rsidTr="00682578">
        <w:tblPrEx>
          <w:tblW w:w="5002" w:type="pct"/>
          <w:tblBorders>
            <w:insideV w:val="single" w:sz="4" w:space="0" w:color="auto"/>
          </w:tblBorders>
          <w:tblLayout w:type="fixed"/>
          <w:tblLook w:val="00A0"/>
        </w:tblPrEx>
        <w:tc>
          <w:tcPr>
            <w:tcW w:w="1242" w:type="pct"/>
            <w:gridSpan w:val="3"/>
          </w:tcPr>
          <w:p w:rsidR="004C1EBA" w:rsidRPr="00C86609" w:rsidP="004C1EBA">
            <w:pPr>
              <w:pStyle w:val="csbody00"/>
              <w:rPr>
                <w:lang w:val="de-DE"/>
              </w:rPr>
            </w:pPr>
          </w:p>
        </w:tc>
        <w:tc>
          <w:tcPr>
            <w:tcW w:w="1257" w:type="pct"/>
            <w:gridSpan w:val="2"/>
          </w:tcPr>
          <w:p w:rsidR="004C1EBA" w:rsidRPr="00C86609"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Resolution Operations LLP, </w:t>
            </w:r>
            <w:r w:rsidRPr="00C86609">
              <w:rPr>
                <w:rFonts w:eastAsia="MS Mincho"/>
                <w:bCs/>
                <w:lang w:val="en-US" w:eastAsia="de-CH"/>
              </w:rPr>
              <w:t>CEO</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B6820">
              <w:rPr>
                <w:rFonts w:eastAsia="MS Mincho"/>
                <w:bCs/>
                <w:lang w:val="en-US" w:eastAsia="de-CH"/>
              </w:rPr>
              <w:t>Resolution Operations LLP,</w:t>
            </w:r>
            <w:r>
              <w:rPr>
                <w:rFonts w:eastAsia="MS Mincho"/>
                <w:bCs/>
                <w:lang w:val="en-US" w:eastAsia="de-CH"/>
              </w:rPr>
              <w:t xml:space="preserve"> </w:t>
            </w:r>
            <w:r w:rsidRPr="00C86609">
              <w:rPr>
                <w:rFonts w:eastAsia="MS Mincho"/>
                <w:bCs/>
                <w:lang w:val="en-US" w:eastAsia="de-CH"/>
              </w:rPr>
              <w:t>CEO</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2001–2007 </w:t>
            </w:r>
          </w:p>
        </w:tc>
        <w:tc>
          <w:tcPr>
            <w:tcW w:w="1242" w:type="pct"/>
            <w:gridSpan w:val="3"/>
            <w:shd w:val="clear" w:color="auto" w:fill="auto"/>
          </w:tcPr>
          <w:p w:rsidR="004C1EBA" w:rsidRPr="00013FD4" w:rsidP="004C1EBA">
            <w:pPr>
              <w:pStyle w:val="csbody00"/>
              <w:rPr>
                <w:rFonts w:eastAsia="MS Mincho"/>
                <w:bCs/>
                <w:lang w:val="de-DE" w:eastAsia="de-CH"/>
              </w:rPr>
            </w:pPr>
            <w:r w:rsidRPr="000B6820">
              <w:rPr>
                <w:rFonts w:eastAsia="MS Mincho"/>
                <w:bCs/>
                <w:lang w:val="en-US" w:eastAsia="de-CH"/>
              </w:rPr>
              <w:t xml:space="preserve">2001–2007 </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 xml:space="preserve">Financial Services Authority (FSA) </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0B6820">
              <w:rPr>
                <w:rFonts w:eastAsia="MS Mincho"/>
                <w:bCs/>
                <w:lang w:val="en-US" w:eastAsia="de-CH"/>
              </w:rPr>
              <w:t>Financial Services Authority (FSA)</w:t>
            </w:r>
            <w:r w:rsidRPr="00C86609">
              <w:rPr>
                <w:rFonts w:eastAsia="MS Mincho"/>
                <w:bCs/>
                <w:lang w:eastAsia="de-CH"/>
              </w:rPr>
              <w:t xml:space="preserve"> </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CEO (2003–2007)</w:t>
            </w:r>
          </w:p>
        </w:tc>
        <w:tc>
          <w:tcPr>
            <w:tcW w:w="1242" w:type="pct"/>
            <w:gridSpan w:val="3"/>
            <w:shd w:val="clear" w:color="auto" w:fill="auto"/>
          </w:tcPr>
          <w:p w:rsidR="004C1EBA" w:rsidRPr="000B6820" w:rsidP="004C1EBA">
            <w:pPr>
              <w:pStyle w:val="csbody00"/>
              <w:ind w:left="720"/>
              <w:rPr>
                <w:rFonts w:eastAsia="MS Mincho"/>
                <w:bCs/>
                <w:lang w:val="en-US" w:eastAsia="de-CH"/>
              </w:rPr>
            </w:pPr>
            <w:r w:rsidRPr="00C86609">
              <w:rPr>
                <w:rFonts w:eastAsia="MS Mincho"/>
                <w:bCs/>
                <w:lang w:eastAsia="de-CH"/>
              </w:rPr>
              <w:t>CEO (2003–2007)</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D826C3" w:rsidP="004C1EBA">
            <w:pPr>
              <w:pStyle w:val="csbody00"/>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Managing director of the investment, insurance and consumer directorate (2001–2003)</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Managing Director für das Anlage-, Versicherungs- und Konsumentengeschäft (2001–2003)</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rPr>
                <w:lang w:val="de-DE"/>
              </w:rPr>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 xml:space="preserve">1976–2001 </w:t>
            </w:r>
          </w:p>
        </w:tc>
        <w:tc>
          <w:tcPr>
            <w:tcW w:w="1242" w:type="pct"/>
            <w:gridSpan w:val="3"/>
            <w:shd w:val="clear" w:color="auto" w:fill="auto"/>
          </w:tcPr>
          <w:p w:rsidR="004C1EBA" w:rsidRPr="00013FD4" w:rsidP="004C1EBA">
            <w:pPr>
              <w:pStyle w:val="csbody00"/>
              <w:rPr>
                <w:rFonts w:eastAsia="MS Mincho"/>
                <w:bCs/>
                <w:lang w:val="de-DE" w:eastAsia="de-CH"/>
              </w:rPr>
            </w:pPr>
            <w:r w:rsidRPr="00013FD4">
              <w:rPr>
                <w:rFonts w:eastAsia="MS Mincho"/>
                <w:bCs/>
                <w:lang w:val="de-DE" w:eastAsia="de-CH"/>
              </w:rPr>
              <w:t xml:space="preserve">1976–2001 </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Arthur Andersen, UK</w:t>
            </w:r>
          </w:p>
        </w:tc>
        <w:tc>
          <w:tcPr>
            <w:tcW w:w="1242" w:type="pct"/>
            <w:gridSpan w:val="3"/>
            <w:shd w:val="clear" w:color="auto" w:fill="auto"/>
          </w:tcPr>
          <w:p w:rsidR="004C1EBA" w:rsidRPr="00C86609" w:rsidP="004C1EBA">
            <w:pPr>
              <w:pStyle w:val="csbody00"/>
              <w:ind w:left="720"/>
              <w:rPr>
                <w:rFonts w:eastAsia="MS Mincho"/>
                <w:bCs/>
                <w:lang w:val="de-DE" w:eastAsia="de-CH"/>
              </w:rPr>
            </w:pPr>
            <w:r w:rsidRPr="00013FD4">
              <w:rPr>
                <w:rFonts w:eastAsia="MS Mincho"/>
                <w:bCs/>
                <w:lang w:val="de-DE" w:eastAsia="de-CH"/>
              </w:rPr>
              <w:t>Arthur Andersen, Grossbritannien</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Managing partner, UK Business Consulting (1997–2001)</w:t>
            </w:r>
          </w:p>
        </w:tc>
        <w:tc>
          <w:tcPr>
            <w:tcW w:w="1242" w:type="pct"/>
            <w:gridSpan w:val="3"/>
            <w:shd w:val="clear" w:color="auto" w:fill="auto"/>
          </w:tcPr>
          <w:p w:rsidR="004C1EBA" w:rsidRPr="00013FD4" w:rsidP="004C1EBA">
            <w:pPr>
              <w:pStyle w:val="csbody00"/>
              <w:ind w:left="720"/>
              <w:rPr>
                <w:rFonts w:eastAsia="MS Mincho"/>
                <w:bCs/>
                <w:lang w:val="de-DE" w:eastAsia="de-CH"/>
              </w:rPr>
            </w:pPr>
            <w:r w:rsidRPr="00013FD4">
              <w:rPr>
                <w:rFonts w:eastAsia="MS Mincho"/>
                <w:bCs/>
                <w:lang w:val="de-DE" w:eastAsia="de-CH"/>
              </w:rPr>
              <w:t>Managing Partner, Unternehmensberatung Grossbritannien (1997–2001)</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RPr="000B6820" w:rsidP="004C1EBA">
            <w:pPr>
              <w:pStyle w:val="csbody00"/>
              <w:ind w:left="720"/>
              <w:rPr>
                <w:rFonts w:eastAsia="MS Mincho"/>
                <w:bCs/>
                <w:lang w:val="en-US" w:eastAsia="de-CH"/>
              </w:rPr>
            </w:pPr>
            <w:r w:rsidRPr="000B6820">
              <w:rPr>
                <w:rFonts w:eastAsia="MS Mincho"/>
                <w:bCs/>
                <w:lang w:val="en-US" w:eastAsia="de-CH"/>
              </w:rPr>
              <w:t>Managing partner, Worldwide Financial Services practice (1997–2001)</w:t>
            </w:r>
          </w:p>
        </w:tc>
        <w:tc>
          <w:tcPr>
            <w:tcW w:w="1242" w:type="pct"/>
            <w:gridSpan w:val="3"/>
            <w:shd w:val="clear" w:color="auto" w:fill="auto"/>
          </w:tcPr>
          <w:p w:rsidR="004C1EBA" w:rsidRPr="00902B0F" w:rsidP="004C1EBA">
            <w:pPr>
              <w:pStyle w:val="csbody00"/>
              <w:ind w:left="720"/>
              <w:rPr>
                <w:rFonts w:eastAsia="MS Mincho"/>
                <w:bCs/>
                <w:lang w:val="de-DE" w:eastAsia="de-CH"/>
              </w:rPr>
            </w:pPr>
            <w:r w:rsidRPr="00013FD4">
              <w:rPr>
                <w:rFonts w:eastAsia="MS Mincho"/>
                <w:bCs/>
                <w:lang w:val="de-DE" w:eastAsia="de-CH"/>
              </w:rPr>
              <w:t>Managing Partner, weltweite Finanzdienstleistungen (1997–2001)</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Head of UK Financial Services practice (1993–1997)</w:t>
            </w:r>
          </w:p>
        </w:tc>
        <w:tc>
          <w:tcPr>
            <w:tcW w:w="1242" w:type="pct"/>
            <w:gridSpan w:val="3"/>
            <w:shd w:val="clear" w:color="auto" w:fill="auto"/>
          </w:tcPr>
          <w:p w:rsidR="004C1EBA" w:rsidRPr="00902B0F" w:rsidP="004C1EBA">
            <w:pPr>
              <w:pStyle w:val="csbody00"/>
              <w:ind w:left="720"/>
              <w:rPr>
                <w:rFonts w:eastAsia="MS Mincho"/>
                <w:bCs/>
                <w:lang w:eastAsia="de-CH"/>
              </w:rPr>
            </w:pPr>
            <w:r w:rsidRPr="00013FD4">
              <w:rPr>
                <w:rFonts w:eastAsia="MS Mincho"/>
                <w:bCs/>
                <w:lang w:val="de-DE" w:eastAsia="de-CH"/>
              </w:rPr>
              <w:t>Leiter Finanzdienstleistungen Grossbritannien (1993–1997)</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Partner in banking and capital markets (1988–1997)</w:t>
            </w:r>
          </w:p>
        </w:tc>
        <w:tc>
          <w:tcPr>
            <w:tcW w:w="1242" w:type="pct"/>
            <w:gridSpan w:val="3"/>
            <w:shd w:val="clear" w:color="auto" w:fill="auto"/>
          </w:tcPr>
          <w:p w:rsidR="004C1EBA" w:rsidRPr="00902B0F" w:rsidP="004C1EBA">
            <w:pPr>
              <w:pStyle w:val="csbody00"/>
              <w:ind w:left="720"/>
              <w:rPr>
                <w:rFonts w:eastAsia="MS Mincho"/>
                <w:bCs/>
                <w:lang w:val="de-DE" w:eastAsia="de-CH"/>
              </w:rPr>
            </w:pPr>
            <w:r w:rsidRPr="00013FD4">
              <w:rPr>
                <w:rFonts w:eastAsia="MS Mincho"/>
                <w:bCs/>
                <w:lang w:val="de-DE" w:eastAsia="de-CH"/>
              </w:rPr>
              <w:t>Partner Banking und Kapitalmärkte (1988–1997)</w:t>
            </w:r>
          </w:p>
        </w:tc>
      </w:tr>
      <w:tr w:rsidTr="00682578">
        <w:tblPrEx>
          <w:tblW w:w="5002" w:type="pct"/>
          <w:tblBorders>
            <w:insideV w:val="single" w:sz="4" w:space="0" w:color="auto"/>
          </w:tblBorders>
          <w:tblLayout w:type="fixed"/>
          <w:tblLook w:val="00A0"/>
        </w:tblPrEx>
        <w:tc>
          <w:tcPr>
            <w:tcW w:w="1242" w:type="pct"/>
            <w:gridSpan w:val="3"/>
          </w:tcPr>
          <w:p w:rsidR="004C1EBA" w:rsidRPr="0083513B" w:rsidP="004C1EBA">
            <w:pPr>
              <w:pStyle w:val="csbody00"/>
            </w:pPr>
          </w:p>
        </w:tc>
        <w:tc>
          <w:tcPr>
            <w:tcW w:w="1257" w:type="pct"/>
            <w:gridSpan w:val="2"/>
          </w:tcPr>
          <w:p w:rsidR="004C1EBA" w:rsidRPr="005E76D1" w:rsidP="004C1EBA">
            <w:pPr>
              <w:pStyle w:val="csbody00"/>
              <w:rPr>
                <w:lang w:val="de-DE"/>
              </w:rPr>
            </w:pPr>
          </w:p>
        </w:tc>
        <w:tc>
          <w:tcPr>
            <w:tcW w:w="1260" w:type="pct"/>
            <w:gridSpan w:val="5"/>
          </w:tcPr>
          <w:p w:rsidR="004C1EBA" w:rsidP="004C1EBA">
            <w:pPr>
              <w:pStyle w:val="csbody00"/>
              <w:ind w:left="720"/>
              <w:rPr>
                <w:rFonts w:eastAsia="MS Mincho"/>
                <w:bCs/>
                <w:lang w:val="en-US" w:eastAsia="de-CH"/>
              </w:rPr>
            </w:pPr>
            <w:r w:rsidRPr="000B6820">
              <w:rPr>
                <w:rFonts w:eastAsia="MS Mincho"/>
                <w:bCs/>
                <w:lang w:val="en-US" w:eastAsia="de-CH"/>
              </w:rPr>
              <w:t>Auditor and consultant, Tansley Witt</w:t>
            </w:r>
            <w:r>
              <w:rPr>
                <w:rFonts w:eastAsia="MS Mincho"/>
                <w:bCs/>
                <w:lang w:val="en-US" w:eastAsia="de-CH"/>
              </w:rPr>
              <w:t xml:space="preserve"> </w:t>
            </w:r>
            <w:r w:rsidRPr="000B6820">
              <w:rPr>
                <w:rFonts w:eastAsia="MS Mincho"/>
                <w:bCs/>
                <w:lang w:val="en-US" w:eastAsia="de-CH"/>
              </w:rPr>
              <w:t>(later Arthur Anderson UK) (1976–1988)</w:t>
            </w:r>
          </w:p>
        </w:tc>
        <w:tc>
          <w:tcPr>
            <w:tcW w:w="1242" w:type="pct"/>
            <w:gridSpan w:val="3"/>
            <w:shd w:val="clear" w:color="auto" w:fill="auto"/>
          </w:tcPr>
          <w:p w:rsidR="004C1EBA" w:rsidRPr="00902B0F" w:rsidP="004C1EBA">
            <w:pPr>
              <w:pStyle w:val="csbody00"/>
              <w:ind w:left="720"/>
              <w:rPr>
                <w:rFonts w:eastAsia="MS Mincho"/>
                <w:bCs/>
                <w:lang w:val="de-DE" w:eastAsia="de-CH"/>
              </w:rPr>
            </w:pPr>
            <w:r w:rsidRPr="00013FD4">
              <w:rPr>
                <w:rFonts w:eastAsia="MS Mincho"/>
                <w:bCs/>
                <w:lang w:val="de-DE" w:eastAsia="de-CH"/>
              </w:rPr>
              <w:t>Wirtschaftsprüfer und Berater, Tansley Witt (später Arthur Anderson UK) (1976–1988)</w:t>
            </w:r>
          </w:p>
        </w:tc>
      </w:tr>
      <w:tr w:rsidTr="00682578">
        <w:tblPrEx>
          <w:tblW w:w="5002" w:type="pct"/>
          <w:tblBorders>
            <w:insideV w:val="single" w:sz="4" w:space="0" w:color="auto"/>
          </w:tblBorders>
          <w:tblLayout w:type="fixed"/>
          <w:tblLook w:val="00A0"/>
        </w:tblPrEx>
        <w:tc>
          <w:tcPr>
            <w:tcW w:w="1242" w:type="pct"/>
            <w:gridSpan w:val="3"/>
          </w:tcPr>
          <w:p w:rsidR="004C1EBA" w:rsidRPr="00902B0F" w:rsidP="004C1EBA">
            <w:pPr>
              <w:pStyle w:val="csbody00"/>
              <w:rPr>
                <w:lang w:val="de-DE"/>
              </w:rPr>
            </w:pPr>
          </w:p>
        </w:tc>
        <w:tc>
          <w:tcPr>
            <w:tcW w:w="1257" w:type="pct"/>
            <w:gridSpan w:val="2"/>
          </w:tcPr>
          <w:p w:rsidR="004C1EBA" w:rsidRPr="00902B0F"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Education</w:t>
            </w:r>
          </w:p>
        </w:tc>
        <w:tc>
          <w:tcPr>
            <w:tcW w:w="1242" w:type="pct"/>
            <w:gridSpan w:val="3"/>
            <w:shd w:val="clear" w:color="auto" w:fill="auto"/>
          </w:tcPr>
          <w:p w:rsidR="004C1EBA" w:rsidRPr="000B6820" w:rsidP="004C1EBA">
            <w:pPr>
              <w:pStyle w:val="csbody00"/>
              <w:rPr>
                <w:rFonts w:eastAsia="MS Mincho"/>
                <w:bCs/>
                <w:lang w:val="en-US" w:eastAsia="de-CH"/>
              </w:rPr>
            </w:pPr>
            <w:r w:rsidRPr="00013FD4">
              <w:rPr>
                <w:rFonts w:eastAsia="MS Mincho"/>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tcPr>
          <w:p w:rsidR="004C1EBA" w:rsidRPr="00902B0F" w:rsidP="004C1EBA">
            <w:pPr>
              <w:pStyle w:val="csbody00"/>
              <w:rPr>
                <w:lang w:val="de-DE"/>
              </w:rPr>
            </w:pPr>
          </w:p>
        </w:tc>
        <w:tc>
          <w:tcPr>
            <w:tcW w:w="1257" w:type="pct"/>
            <w:gridSpan w:val="2"/>
          </w:tcPr>
          <w:p w:rsidR="004C1EBA" w:rsidRPr="00902B0F" w:rsidP="004C1EBA">
            <w:pPr>
              <w:pStyle w:val="csbody00"/>
              <w:rPr>
                <w:lang w:val="de-DE"/>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2010 Honorary Doctor of Letters, Kingston University, London</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Cs/>
                <w:lang w:val="de-DE" w:eastAsia="de-CH"/>
              </w:rPr>
              <w:t>2010 Ehrendoktor der Literaturwissenschaften, Kingston University, London</w:t>
            </w:r>
          </w:p>
        </w:tc>
      </w:tr>
      <w:tr w:rsidTr="00682578">
        <w:tblPrEx>
          <w:tblW w:w="5002" w:type="pct"/>
          <w:tblBorders>
            <w:insideV w:val="single" w:sz="4" w:space="0" w:color="auto"/>
          </w:tblBorders>
          <w:tblLayout w:type="fixed"/>
          <w:tblLook w:val="00A0"/>
        </w:tblPrEx>
        <w:tc>
          <w:tcPr>
            <w:tcW w:w="1242" w:type="pct"/>
            <w:gridSpan w:val="3"/>
          </w:tcPr>
          <w:p w:rsidR="004C1EBA" w:rsidRPr="00902B0F" w:rsidP="004C1EBA">
            <w:pPr>
              <w:pStyle w:val="csbody00"/>
              <w:rPr>
                <w:lang w:val="de-DE"/>
              </w:rPr>
            </w:pPr>
          </w:p>
        </w:tc>
        <w:tc>
          <w:tcPr>
            <w:tcW w:w="1257" w:type="pct"/>
            <w:gridSpan w:val="2"/>
          </w:tcPr>
          <w:p w:rsidR="004C1EBA" w:rsidRPr="00902B0F" w:rsidP="004C1EBA">
            <w:pPr>
              <w:pStyle w:val="csbody00"/>
              <w:rPr>
                <w:lang w:val="de-DE"/>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1980 UK Chartered Accountant, Institute of Chartered Accountants in England and Wales</w:t>
            </w:r>
          </w:p>
        </w:tc>
        <w:tc>
          <w:tcPr>
            <w:tcW w:w="1242" w:type="pct"/>
            <w:gridSpan w:val="3"/>
            <w:shd w:val="clear" w:color="auto" w:fill="auto"/>
          </w:tcPr>
          <w:p w:rsidR="004C1EBA" w:rsidRPr="00F36E74" w:rsidP="004C1EBA">
            <w:pPr>
              <w:pStyle w:val="csbody00"/>
              <w:rPr>
                <w:rFonts w:eastAsia="MS Mincho"/>
                <w:b/>
                <w:bCs/>
                <w:lang w:eastAsia="de-CH"/>
              </w:rPr>
            </w:pPr>
            <w:r w:rsidRPr="000B6820">
              <w:rPr>
                <w:rFonts w:eastAsia="MS Mincho"/>
                <w:bCs/>
                <w:lang w:val="en-US" w:eastAsia="de-CH"/>
              </w:rPr>
              <w:t>1980 UK Chartered Accountant, Institute of Chartered Accountants in England and Wales</w:t>
            </w:r>
          </w:p>
        </w:tc>
      </w:tr>
      <w:tr w:rsidTr="00682578">
        <w:tblPrEx>
          <w:tblW w:w="5002" w:type="pct"/>
          <w:tblBorders>
            <w:insideV w:val="single" w:sz="4" w:space="0" w:color="auto"/>
          </w:tblBorders>
          <w:tblLayout w:type="fixed"/>
          <w:tblLook w:val="00A0"/>
        </w:tblPrEx>
        <w:tc>
          <w:tcPr>
            <w:tcW w:w="1242" w:type="pct"/>
            <w:gridSpan w:val="3"/>
          </w:tcPr>
          <w:p w:rsidR="004C1EBA" w:rsidRPr="00F36E74" w:rsidP="004C1EBA">
            <w:pPr>
              <w:pStyle w:val="csbody00"/>
            </w:pPr>
          </w:p>
        </w:tc>
        <w:tc>
          <w:tcPr>
            <w:tcW w:w="1257" w:type="pct"/>
            <w:gridSpan w:val="2"/>
          </w:tcPr>
          <w:p w:rsidR="004C1EBA" w:rsidRPr="00F36E74" w:rsidP="004C1EBA">
            <w:pPr>
              <w:pStyle w:val="csbody00"/>
            </w:pPr>
          </w:p>
        </w:tc>
        <w:tc>
          <w:tcPr>
            <w:tcW w:w="1260" w:type="pct"/>
            <w:gridSpan w:val="5"/>
          </w:tcPr>
          <w:p w:rsidR="004C1EBA" w:rsidRPr="000B6820" w:rsidP="004C1EBA">
            <w:pPr>
              <w:pStyle w:val="csbody00"/>
              <w:rPr>
                <w:rFonts w:eastAsia="MS Mincho"/>
                <w:bCs/>
                <w:lang w:val="en-US" w:eastAsia="de-CH"/>
              </w:rPr>
            </w:pPr>
            <w:r w:rsidRPr="000B6820">
              <w:rPr>
                <w:rFonts w:eastAsia="MS Mincho"/>
                <w:b/>
                <w:bCs/>
                <w:lang w:val="en-US" w:eastAsia="de-CH"/>
              </w:rPr>
              <w:t>Other activities and functions</w:t>
            </w:r>
          </w:p>
        </w:tc>
        <w:tc>
          <w:tcPr>
            <w:tcW w:w="1242" w:type="pct"/>
            <w:gridSpan w:val="3"/>
            <w:shd w:val="clear" w:color="auto" w:fill="auto"/>
          </w:tcPr>
          <w:p w:rsidR="004C1EBA" w:rsidRPr="000B6820" w:rsidP="004C1EBA">
            <w:pPr>
              <w:pStyle w:val="csbody00"/>
              <w:rPr>
                <w:rFonts w:eastAsia="MS Mincho"/>
                <w:bCs/>
                <w:lang w:val="en-US" w:eastAsia="de-CH"/>
              </w:rPr>
            </w:pPr>
            <w:r w:rsidRPr="00013FD4">
              <w:rPr>
                <w:rFonts w:eastAsia="MS Mincho"/>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tcPr>
          <w:p w:rsidR="004C1EBA" w:rsidRPr="00902B0F" w:rsidP="004C1EBA">
            <w:pPr>
              <w:pStyle w:val="csbody00"/>
              <w:rPr>
                <w:lang w:val="de-DE"/>
              </w:rPr>
            </w:pPr>
          </w:p>
        </w:tc>
        <w:tc>
          <w:tcPr>
            <w:tcW w:w="1257" w:type="pct"/>
            <w:gridSpan w:val="2"/>
          </w:tcPr>
          <w:p w:rsidR="004C1EBA" w:rsidRPr="00902B0F"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Pr>
                <w:rFonts w:eastAsia="MS Mincho"/>
                <w:bCs/>
                <w:lang w:val="en-US" w:eastAsia="de-CH"/>
              </w:rPr>
              <w:t>Towergate Insurance, chairman</w:t>
            </w:r>
          </w:p>
        </w:tc>
        <w:tc>
          <w:tcPr>
            <w:tcW w:w="1242" w:type="pct"/>
            <w:gridSpan w:val="3"/>
            <w:shd w:val="clear" w:color="auto" w:fill="auto"/>
          </w:tcPr>
          <w:p w:rsidR="004C1EBA" w:rsidRPr="00013FD4" w:rsidP="004C1EBA">
            <w:pPr>
              <w:pStyle w:val="csbody00"/>
              <w:rPr>
                <w:rFonts w:eastAsia="MS Mincho"/>
                <w:bCs/>
                <w:lang w:val="de-DE" w:eastAsia="de-CH"/>
              </w:rPr>
            </w:pPr>
            <w:r>
              <w:rPr>
                <w:rFonts w:eastAsia="MS Mincho"/>
                <w:bCs/>
                <w:lang w:val="de-DE" w:eastAsia="de-CH"/>
              </w:rPr>
              <w:t>Towergate Insurance, Vorsitzender</w:t>
            </w:r>
          </w:p>
        </w:tc>
      </w:tr>
      <w:tr w:rsidTr="00682578">
        <w:tblPrEx>
          <w:tblW w:w="5002" w:type="pct"/>
          <w:tblBorders>
            <w:insideV w:val="single" w:sz="4" w:space="0" w:color="auto"/>
          </w:tblBorders>
          <w:tblLayout w:type="fixed"/>
          <w:tblLook w:val="00A0"/>
        </w:tblPrEx>
        <w:tc>
          <w:tcPr>
            <w:tcW w:w="1242" w:type="pct"/>
            <w:gridSpan w:val="3"/>
          </w:tcPr>
          <w:p w:rsidR="004C1EBA" w:rsidRPr="00902B0F" w:rsidP="004C1EBA">
            <w:pPr>
              <w:pStyle w:val="csbody00"/>
              <w:rPr>
                <w:lang w:val="de-DE"/>
              </w:rPr>
            </w:pPr>
          </w:p>
        </w:tc>
        <w:tc>
          <w:tcPr>
            <w:tcW w:w="1257" w:type="pct"/>
            <w:gridSpan w:val="2"/>
          </w:tcPr>
          <w:p w:rsidR="004C1EBA" w:rsidRPr="00902B0F"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Pr>
                <w:rFonts w:eastAsia="MS Mincho"/>
                <w:bCs/>
                <w:lang w:val="en-US" w:eastAsia="de-CH"/>
              </w:rPr>
              <w:t>Tilney Bestinvest, board member</w:t>
            </w:r>
          </w:p>
        </w:tc>
        <w:tc>
          <w:tcPr>
            <w:tcW w:w="1242" w:type="pct"/>
            <w:gridSpan w:val="3"/>
            <w:shd w:val="clear" w:color="auto" w:fill="auto"/>
          </w:tcPr>
          <w:p w:rsidR="004C1EBA" w:rsidRPr="00013FD4">
            <w:pPr>
              <w:pStyle w:val="csbody00"/>
              <w:rPr>
                <w:rFonts w:eastAsia="MS Mincho"/>
                <w:bCs/>
                <w:lang w:val="de-DE" w:eastAsia="de-CH"/>
              </w:rPr>
            </w:pPr>
            <w:r>
              <w:rPr>
                <w:rFonts w:eastAsia="MS Mincho"/>
                <w:bCs/>
                <w:lang w:val="de-DE" w:eastAsia="de-CH"/>
              </w:rPr>
              <w:t>Tilney Bestinvest, Mitglied des Verwaltungsrats</w:t>
            </w:r>
          </w:p>
        </w:tc>
      </w:tr>
      <w:tr w:rsidTr="00682578">
        <w:tblPrEx>
          <w:tblW w:w="5002" w:type="pct"/>
          <w:tblBorders>
            <w:insideV w:val="single" w:sz="4" w:space="0" w:color="auto"/>
          </w:tblBorders>
          <w:tblLayout w:type="fixed"/>
          <w:tblLook w:val="00A0"/>
        </w:tblPrEx>
        <w:tc>
          <w:tcPr>
            <w:tcW w:w="1242" w:type="pct"/>
            <w:gridSpan w:val="3"/>
          </w:tcPr>
          <w:p w:rsidR="004C1EBA" w:rsidRPr="00902B0F" w:rsidP="004C1EBA">
            <w:pPr>
              <w:pStyle w:val="csbody00"/>
              <w:rPr>
                <w:lang w:val="de-DE"/>
              </w:rPr>
            </w:pPr>
          </w:p>
        </w:tc>
        <w:tc>
          <w:tcPr>
            <w:tcW w:w="1257" w:type="pct"/>
            <w:gridSpan w:val="2"/>
          </w:tcPr>
          <w:p w:rsidR="004C1EBA" w:rsidRPr="00902B0F" w:rsidP="004C1EBA">
            <w:pPr>
              <w:pStyle w:val="csbody00"/>
              <w:rPr>
                <w:lang w:val="de-DE"/>
              </w:rPr>
            </w:pPr>
          </w:p>
        </w:tc>
        <w:tc>
          <w:tcPr>
            <w:tcW w:w="1260" w:type="pct"/>
            <w:gridSpan w:val="5"/>
          </w:tcPr>
          <w:p w:rsidR="004C1EBA" w:rsidRPr="000B6820" w:rsidP="004C1EBA">
            <w:pPr>
              <w:pStyle w:val="csbody00"/>
              <w:rPr>
                <w:rFonts w:eastAsia="MS Mincho"/>
                <w:b/>
                <w:bCs/>
                <w:lang w:val="en-US" w:eastAsia="de-CH"/>
              </w:rPr>
            </w:pPr>
            <w:r w:rsidRPr="000B6820">
              <w:rPr>
                <w:rFonts w:eastAsia="MS Mincho"/>
                <w:bCs/>
                <w:lang w:val="en-US" w:eastAsia="de-CH"/>
              </w:rPr>
              <w:t>Corsair Capital LLC, advisory board member</w:t>
            </w:r>
          </w:p>
        </w:tc>
        <w:tc>
          <w:tcPr>
            <w:tcW w:w="1242" w:type="pct"/>
            <w:gridSpan w:val="3"/>
            <w:shd w:val="clear" w:color="auto" w:fill="auto"/>
          </w:tcPr>
          <w:p w:rsidR="004C1EBA" w:rsidRPr="00013FD4" w:rsidP="004C1EBA">
            <w:pPr>
              <w:pStyle w:val="csbody00"/>
              <w:rPr>
                <w:rFonts w:eastAsia="MS Mincho"/>
                <w:b/>
                <w:bCs/>
                <w:lang w:val="de-DE" w:eastAsia="de-CH"/>
              </w:rPr>
            </w:pPr>
            <w:r w:rsidRPr="00013FD4">
              <w:rPr>
                <w:rFonts w:eastAsia="MS Mincho"/>
                <w:bCs/>
                <w:lang w:val="de-DE" w:eastAsia="de-CH"/>
              </w:rPr>
              <w:t>Corsair Capital LLC, Mitglied des Beirats</w:t>
            </w:r>
          </w:p>
        </w:tc>
      </w:tr>
      <w:tr w:rsidTr="00682578">
        <w:tblPrEx>
          <w:tblW w:w="5002" w:type="pct"/>
          <w:tblBorders>
            <w:insideV w:val="single" w:sz="4" w:space="0" w:color="auto"/>
          </w:tblBorders>
          <w:tblLayout w:type="fixed"/>
          <w:tblLook w:val="00A0"/>
        </w:tblPrEx>
        <w:tc>
          <w:tcPr>
            <w:tcW w:w="1242" w:type="pct"/>
            <w:gridSpan w:val="3"/>
          </w:tcPr>
          <w:p w:rsidR="004C1EBA" w:rsidRPr="00902B0F" w:rsidP="004C1EBA">
            <w:pPr>
              <w:pStyle w:val="csbody00"/>
              <w:rPr>
                <w:lang w:val="de-DE"/>
              </w:rPr>
            </w:pPr>
          </w:p>
        </w:tc>
        <w:tc>
          <w:tcPr>
            <w:tcW w:w="1257" w:type="pct"/>
            <w:gridSpan w:val="2"/>
          </w:tcPr>
          <w:p w:rsidR="004C1EBA" w:rsidRPr="00902B0F" w:rsidP="004C1EBA">
            <w:pPr>
              <w:pStyle w:val="csbody00"/>
              <w:rPr>
                <w:lang w:val="de-DE"/>
              </w:rPr>
            </w:pPr>
          </w:p>
        </w:tc>
        <w:tc>
          <w:tcPr>
            <w:tcW w:w="1260" w:type="pct"/>
            <w:gridSpan w:val="5"/>
          </w:tcPr>
          <w:p w:rsidR="004C1EBA" w:rsidRPr="000B6820" w:rsidP="004C1EBA">
            <w:pPr>
              <w:pStyle w:val="csbody00"/>
              <w:rPr>
                <w:rFonts w:eastAsia="MS Mincho"/>
                <w:bCs/>
                <w:lang w:val="en-US" w:eastAsia="de-CH"/>
              </w:rPr>
            </w:pPr>
            <w:r w:rsidRPr="000B6820">
              <w:rPr>
                <w:rFonts w:eastAsia="MS Mincho"/>
                <w:bCs/>
                <w:lang w:val="en-US" w:eastAsia="de-CH"/>
              </w:rPr>
              <w:t>The Urology Foundation, chairman</w:t>
            </w:r>
          </w:p>
        </w:tc>
        <w:tc>
          <w:tcPr>
            <w:tcW w:w="1242" w:type="pct"/>
            <w:gridSpan w:val="3"/>
            <w:shd w:val="clear" w:color="auto" w:fill="auto"/>
          </w:tcPr>
          <w:p w:rsidR="004C1EBA" w:rsidRPr="00013FD4" w:rsidP="004C1EBA">
            <w:pPr>
              <w:pStyle w:val="csbody00"/>
              <w:rPr>
                <w:rFonts w:eastAsia="MS Mincho"/>
                <w:bCs/>
                <w:lang w:val="de-DE" w:eastAsia="de-CH"/>
              </w:rPr>
            </w:pPr>
            <w:r w:rsidRPr="000B6820">
              <w:rPr>
                <w:bCs/>
                <w:lang w:val="en-US"/>
              </w:rPr>
              <w:t xml:space="preserve">The Urology Foundation, </w:t>
            </w:r>
            <w:r>
              <w:rPr>
                <w:bCs/>
                <w:lang w:val="en-US"/>
              </w:rPr>
              <w:t>Vorsitzender</w:t>
            </w:r>
            <w:r w:rsidRPr="0083513B">
              <w:rPr>
                <w:lang w:val="de-DE"/>
              </w:rPr>
              <w:t>.</w:t>
            </w:r>
          </w:p>
        </w:tc>
      </w:tr>
      <w:tr w:rsidTr="00442267">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shd w:val="clear" w:color="auto" w:fill="auto"/>
          </w:tcPr>
          <w:p w:rsidR="00442267" w:rsidRPr="00943FE6" w:rsidP="00B00E57">
            <w:pPr>
              <w:pStyle w:val="csbody00"/>
              <w:rPr>
                <w:lang w:eastAsia="de-CH"/>
              </w:rPr>
            </w:pPr>
            <w:r w:rsidRPr="00943FE6">
              <w:rPr>
                <w:lang w:eastAsia="de-CH"/>
              </w:rPr>
              <w:t>The Board consists solely of Directors who have no executive functions within Credit Suisse, CSG or the group of companies of which CSG is the parent. As of the date of this Base Prospectus, all but one member of the Board were independent.</w:t>
            </w:r>
          </w:p>
        </w:tc>
        <w:tc>
          <w:tcPr>
            <w:tcW w:w="2501" w:type="pct"/>
            <w:gridSpan w:val="8"/>
            <w:tcBorders>
              <w:top w:val="nil"/>
              <w:left w:val="single" w:sz="4" w:space="0" w:color="auto"/>
              <w:bottom w:val="nil"/>
            </w:tcBorders>
            <w:shd w:val="clear" w:color="auto" w:fill="auto"/>
          </w:tcPr>
          <w:p w:rsidR="00442267" w:rsidRPr="00943FE6" w:rsidP="00B00E57">
            <w:pPr>
              <w:pStyle w:val="csbody00"/>
              <w:rPr>
                <w:lang w:val="de-CH" w:eastAsia="de-CH"/>
              </w:rPr>
            </w:pPr>
            <w:r w:rsidRPr="00943FE6">
              <w:rPr>
                <w:lang w:val="de-CH" w:eastAsia="de-CH"/>
              </w:rPr>
              <w:t>Der Verwaltungsrat besteht ausschliesslich aus Mitgliedern, die nicht mit Geschäftsleitungsaufgaben innerhalb der Credit Suisse, der CSG oder der Gruppe von Unternehmen, deren Muttergesellschaft die CSG ist, betraut sind. Zum Datum dieses Basisprospekts waren bis auf eine Ausnahme alle Mitglieder des Verwaltungsrats unabhängig.</w:t>
            </w:r>
          </w:p>
        </w:tc>
      </w:tr>
      <w:tr w:rsidTr="00442267">
        <w:tblPrEx>
          <w:tblW w:w="5002" w:type="pct"/>
          <w:tblLayout w:type="fixed"/>
          <w:tblLook w:val="00A0"/>
        </w:tblPrEx>
        <w:tc>
          <w:tcPr>
            <w:tcW w:w="2499" w:type="pct"/>
            <w:gridSpan w:val="5"/>
            <w:tcBorders>
              <w:right w:val="single" w:sz="4" w:space="0" w:color="auto"/>
            </w:tcBorders>
            <w:shd w:val="clear" w:color="auto" w:fill="auto"/>
          </w:tcPr>
          <w:p w:rsidR="00442267" w:rsidRPr="00943FE6" w:rsidP="00B00E57">
            <w:pPr>
              <w:pStyle w:val="csbody00"/>
              <w:rPr>
                <w:lang w:eastAsia="de-CH"/>
              </w:rPr>
            </w:pPr>
            <w:r w:rsidRPr="00943FE6">
              <w:rPr>
                <w:lang w:eastAsia="de-CH"/>
              </w:rPr>
              <w:t xml:space="preserve">There are no conflicts of interest between the private interests and other duties of the members of the Board listed above and their duties to Credit Suisse. </w:t>
            </w:r>
          </w:p>
        </w:tc>
        <w:tc>
          <w:tcPr>
            <w:tcW w:w="2501" w:type="pct"/>
            <w:gridSpan w:val="8"/>
            <w:tcBorders>
              <w:left w:val="single" w:sz="4" w:space="0" w:color="auto"/>
            </w:tcBorders>
            <w:shd w:val="clear" w:color="auto" w:fill="auto"/>
          </w:tcPr>
          <w:p w:rsidR="00442267" w:rsidRPr="00943FE6" w:rsidP="00B00E57">
            <w:pPr>
              <w:pStyle w:val="csbody00"/>
              <w:rPr>
                <w:lang w:val="de-CH" w:eastAsia="de-CH"/>
              </w:rPr>
            </w:pPr>
            <w:r w:rsidRPr="00943FE6">
              <w:rPr>
                <w:lang w:val="de-DE" w:eastAsia="de-CH"/>
              </w:rPr>
              <w:t xml:space="preserve">Es bestehen keine Interessenkonflikte zwischen den privaten Interessen und sonstigen Verpflichtungen der oben genannten Verwaltungsratsmitglieder und deren Verpflichtungen gegenüber der Credit Suisse. </w:t>
            </w:r>
          </w:p>
        </w:tc>
      </w:tr>
      <w:tr w:rsidTr="00442267">
        <w:tblPrEx>
          <w:tblW w:w="5002" w:type="pct"/>
          <w:tblLayout w:type="fixed"/>
          <w:tblLook w:val="00A0"/>
        </w:tblPrEx>
        <w:tc>
          <w:tcPr>
            <w:tcW w:w="2499" w:type="pct"/>
            <w:gridSpan w:val="5"/>
            <w:tcBorders>
              <w:right w:val="single" w:sz="4" w:space="0" w:color="auto"/>
            </w:tcBorders>
            <w:shd w:val="clear" w:color="auto" w:fill="auto"/>
          </w:tcPr>
          <w:p w:rsidR="00442267" w:rsidRPr="00943FE6" w:rsidP="00B00E57">
            <w:pPr>
              <w:pStyle w:val="csbody00"/>
              <w:rPr>
                <w:lang w:eastAsia="de-CH"/>
              </w:rPr>
            </w:pPr>
            <w:r w:rsidRPr="00943FE6">
              <w:rPr>
                <w:lang w:eastAsia="de-CH"/>
              </w:rPr>
              <w:t xml:space="preserve">All members of the Board are also members of the board of directors of CSG and, if applicable, hold the same chairmanships on both boards. Although Credit Suisse currently has no indication of any specific conflicts of interest, potential conflicts of interest could arise therefrom and from the other activities of the members of the Board described above in this subsection </w:t>
            </w:r>
            <w:r>
              <w:rPr>
                <w:lang w:eastAsia="de-CH"/>
              </w:rPr>
              <w:t>"</w:t>
            </w:r>
            <w:r w:rsidRPr="00943FE6">
              <w:rPr>
                <w:lang w:eastAsia="de-CH"/>
              </w:rPr>
              <w:t>Board of Directors of Credit Suisse</w:t>
            </w:r>
            <w:r>
              <w:rPr>
                <w:lang w:eastAsia="de-CH"/>
              </w:rPr>
              <w:t>"</w:t>
            </w:r>
            <w:r w:rsidRPr="00943FE6">
              <w:rPr>
                <w:lang w:eastAsia="de-CH"/>
              </w:rPr>
              <w:t xml:space="preserve"> and on pages 181 to 187 of the Credit Suisse Annual Report 2014.</w:t>
            </w:r>
          </w:p>
        </w:tc>
        <w:tc>
          <w:tcPr>
            <w:tcW w:w="2501" w:type="pct"/>
            <w:gridSpan w:val="8"/>
            <w:tcBorders>
              <w:left w:val="single" w:sz="4" w:space="0" w:color="auto"/>
            </w:tcBorders>
            <w:shd w:val="clear" w:color="auto" w:fill="auto"/>
          </w:tcPr>
          <w:p w:rsidR="00442267" w:rsidRPr="00943FE6" w:rsidP="00B00E57">
            <w:pPr>
              <w:pStyle w:val="csbody00"/>
              <w:rPr>
                <w:lang w:val="de-CH" w:eastAsia="de-CH"/>
              </w:rPr>
            </w:pPr>
            <w:r w:rsidRPr="00943FE6">
              <w:rPr>
                <w:lang w:val="de-CH" w:eastAsia="de-CH"/>
              </w:rPr>
              <w:t xml:space="preserve">Alle Mitglieder des Verwaltungsrats sind auch Mitglieder des Verwaltungsrats der CSG und üben, soweit zutreffend, in beiden Verwaltungsräten die gleichen Vorsitzfunktionen aus. Obwohl die Credit Suisse derzeit keine Anhaltspunkte für konkrete Interessenskonflikte hat, könnten sich aufgrund dieser Tatsache und aufgrund der weiteren in diesem Unterabschnitt </w:t>
            </w:r>
            <w:r>
              <w:rPr>
                <w:lang w:val="de-CH" w:eastAsia="de-CH"/>
              </w:rPr>
              <w:t>"</w:t>
            </w:r>
            <w:r w:rsidRPr="00943FE6">
              <w:rPr>
                <w:lang w:val="de-CH" w:eastAsia="de-CH"/>
              </w:rPr>
              <w:t>Verwaltungsrat der Credit Suisse</w:t>
            </w:r>
            <w:r>
              <w:rPr>
                <w:lang w:val="de-CH" w:eastAsia="de-CH"/>
              </w:rPr>
              <w:t>"</w:t>
            </w:r>
            <w:r w:rsidRPr="00943FE6">
              <w:rPr>
                <w:lang w:val="de-CH" w:eastAsia="de-CH"/>
              </w:rPr>
              <w:t xml:space="preserve"> sowie auf Seiten 181 bis 187 des Geschäftsberichts der Credit Suisse für das Geschäftsjahr 2014 genannten Tätigkeiten der Mitglieder des Verwaltungsrats potenzielle Interessenkoflikte ergeben.</w:t>
            </w:r>
          </w:p>
        </w:tc>
      </w:tr>
      <w:tr w:rsidTr="00B00E57">
        <w:tblPrEx>
          <w:tblW w:w="5002" w:type="pct"/>
          <w:tblLayout w:type="fixed"/>
          <w:tblLook w:val="00A0"/>
        </w:tblPrEx>
        <w:tc>
          <w:tcPr>
            <w:tcW w:w="2499" w:type="pct"/>
            <w:gridSpan w:val="5"/>
            <w:tcBorders>
              <w:right w:val="single" w:sz="4" w:space="0" w:color="auto"/>
            </w:tcBorders>
            <w:shd w:val="clear" w:color="auto" w:fill="auto"/>
          </w:tcPr>
          <w:p w:rsidR="00442267" w:rsidRPr="00D200F8" w:rsidP="00B00E57">
            <w:pPr>
              <w:pStyle w:val="csbody00"/>
              <w:rPr>
                <w:b/>
                <w:lang w:eastAsia="de-CH"/>
              </w:rPr>
            </w:pPr>
            <w:r w:rsidRPr="00D200F8">
              <w:rPr>
                <w:b/>
                <w:lang w:eastAsia="de-CH"/>
              </w:rPr>
              <w:t>Composition of the Executive Board</w:t>
            </w:r>
          </w:p>
        </w:tc>
        <w:tc>
          <w:tcPr>
            <w:tcW w:w="2501" w:type="pct"/>
            <w:gridSpan w:val="8"/>
            <w:tcBorders>
              <w:left w:val="single" w:sz="4" w:space="0" w:color="auto"/>
            </w:tcBorders>
            <w:shd w:val="clear" w:color="auto" w:fill="auto"/>
          </w:tcPr>
          <w:p w:rsidR="00442267" w:rsidRPr="00D200F8" w:rsidP="00B00E57">
            <w:pPr>
              <w:pStyle w:val="csbody00"/>
              <w:rPr>
                <w:b/>
                <w:lang w:val="de-DE" w:eastAsia="de-CH"/>
              </w:rPr>
            </w:pPr>
            <w:r w:rsidRPr="00D200F8">
              <w:rPr>
                <w:b/>
                <w:lang w:val="de-DE" w:eastAsia="de-CH"/>
              </w:rPr>
              <w:t>Zusammensetzung der Geschäftsleitung</w:t>
            </w:r>
          </w:p>
        </w:tc>
      </w:tr>
      <w:tr w:rsidTr="00442267">
        <w:tblPrEx>
          <w:tblW w:w="5002" w:type="pct"/>
          <w:tblLayout w:type="fixed"/>
          <w:tblLook w:val="00A0"/>
        </w:tblPrEx>
        <w:tc>
          <w:tcPr>
            <w:tcW w:w="2499" w:type="pct"/>
            <w:gridSpan w:val="5"/>
            <w:tcBorders>
              <w:right w:val="single" w:sz="4" w:space="0" w:color="auto"/>
            </w:tcBorders>
            <w:shd w:val="clear" w:color="auto" w:fill="auto"/>
          </w:tcPr>
          <w:p w:rsidR="00442267" w:rsidRPr="00943FE6" w:rsidP="00B00E57">
            <w:pPr>
              <w:pStyle w:val="csbody00"/>
              <w:rPr>
                <w:lang w:val="en-US" w:eastAsia="de-CH"/>
              </w:rPr>
            </w:pPr>
            <w:r w:rsidRPr="00943FE6">
              <w:rPr>
                <w:lang w:eastAsia="de-CH"/>
              </w:rPr>
              <w:t xml:space="preserve">The Executive Board of Credit Suisse (the </w:t>
            </w:r>
            <w:r>
              <w:rPr>
                <w:lang w:eastAsia="de-CH"/>
              </w:rPr>
              <w:t>"</w:t>
            </w:r>
            <w:r w:rsidRPr="00943FE6">
              <w:rPr>
                <w:b/>
                <w:lang w:eastAsia="de-CH"/>
              </w:rPr>
              <w:t>Executive Board</w:t>
            </w:r>
            <w:r>
              <w:rPr>
                <w:lang w:eastAsia="de-CH"/>
              </w:rPr>
              <w:t>"</w:t>
            </w:r>
            <w:r w:rsidRPr="00943FE6">
              <w:rPr>
                <w:lang w:eastAsia="de-CH"/>
              </w:rPr>
              <w:t>) is responsible for the day-to-day operational management of Credit Suisse. It develops and implements the strategic business plans for Credit Suisse overall as well as for the principal businesses subject to approval by the Board. It further reviews and coordinates significant initiatives, projects and business developments in the divisions, regions and in the Shared Services functions, which provides support to Credit Suisse and the other members of the group of companies of which CSG is the parent in the areas of finance, operations, human resources, legal and compliance, risk management and IT.</w:t>
            </w:r>
          </w:p>
        </w:tc>
        <w:tc>
          <w:tcPr>
            <w:tcW w:w="2501" w:type="pct"/>
            <w:gridSpan w:val="8"/>
            <w:tcBorders>
              <w:left w:val="single" w:sz="4" w:space="0" w:color="auto"/>
            </w:tcBorders>
            <w:shd w:val="clear" w:color="auto" w:fill="auto"/>
          </w:tcPr>
          <w:p w:rsidR="00442267" w:rsidRPr="00943FE6" w:rsidP="00B00E57">
            <w:pPr>
              <w:pStyle w:val="csbody00"/>
              <w:rPr>
                <w:lang w:val="de-CH" w:eastAsia="de-CH"/>
              </w:rPr>
            </w:pPr>
            <w:r w:rsidRPr="00943FE6">
              <w:rPr>
                <w:lang w:val="de-DE" w:eastAsia="de-CH"/>
              </w:rPr>
              <w:t xml:space="preserve">Die Geschäftsleitung der Credit Suisse (die </w:t>
            </w:r>
            <w:r>
              <w:rPr>
                <w:lang w:val="de-DE" w:eastAsia="de-CH"/>
              </w:rPr>
              <w:t>"</w:t>
            </w:r>
            <w:r w:rsidRPr="00943FE6">
              <w:rPr>
                <w:b/>
                <w:lang w:val="de-DE" w:eastAsia="de-CH"/>
              </w:rPr>
              <w:t>Geschäftsleitung</w:t>
            </w:r>
            <w:r>
              <w:rPr>
                <w:lang w:val="de-DE" w:eastAsia="de-CH"/>
              </w:rPr>
              <w:t>"</w:t>
            </w:r>
            <w:r w:rsidRPr="00943FE6">
              <w:rPr>
                <w:lang w:val="de-DE" w:eastAsia="de-CH"/>
              </w:rPr>
              <w:t>) ist für das operative Management der Credit Suisse verantwortlich. Sie erarbeitet die vom Verwaltungsrat zu genehmigenden Strategiepläne für die Credit Suisse wie auch für die Hauptgeschäftsbereiche und setzt sie anschliessend um. Weiter überprüft und koordiniert sie bedeutende Initiativen, Projekte und Geschäftsentwicklungen in den Divisionen, Regionen und in den Shared-Services-Funktionen, welche die Credit Suisse und die anderen Mitglieder der Gruppe von Unternehmen, deren Muttergesellschaft CSG ist, in den Bereichen Finance, Operations, Human Resources, Recht und Compliance, Risiko Management und IT unterstützt.</w:t>
            </w:r>
          </w:p>
        </w:tc>
      </w:tr>
      <w:tr w:rsidTr="004C1EBA">
        <w:tblPrEx>
          <w:tblW w:w="5002" w:type="pct"/>
          <w:tblLayout w:type="fixed"/>
          <w:tblLook w:val="00A0"/>
        </w:tblPrEx>
        <w:tc>
          <w:tcPr>
            <w:tcW w:w="2499" w:type="pct"/>
            <w:gridSpan w:val="5"/>
            <w:tcBorders>
              <w:right w:val="single" w:sz="4" w:space="0" w:color="auto"/>
            </w:tcBorders>
            <w:shd w:val="clear" w:color="auto" w:fill="auto"/>
          </w:tcPr>
          <w:p w:rsidR="004C1EBA" w:rsidRPr="00D200F8">
            <w:pPr>
              <w:pStyle w:val="csbody00"/>
              <w:rPr>
                <w:bCs/>
              </w:rPr>
            </w:pPr>
            <w:r>
              <w:rPr>
                <w:bCs/>
              </w:rPr>
              <w:t xml:space="preserve">As of </w:t>
            </w:r>
            <w:r w:rsidR="006E3537">
              <w:rPr>
                <w:bCs/>
              </w:rPr>
              <w:t xml:space="preserve">21 </w:t>
            </w:r>
            <w:r>
              <w:rPr>
                <w:bCs/>
              </w:rPr>
              <w:t>December 2015, the members of the Executive Board are:</w:t>
            </w:r>
          </w:p>
        </w:tc>
        <w:tc>
          <w:tcPr>
            <w:tcW w:w="2501" w:type="pct"/>
            <w:gridSpan w:val="8"/>
            <w:tcBorders>
              <w:left w:val="single" w:sz="4" w:space="0" w:color="auto"/>
            </w:tcBorders>
            <w:shd w:val="clear" w:color="auto" w:fill="auto"/>
          </w:tcPr>
          <w:p w:rsidR="004C1EBA" w:rsidRPr="00D200F8">
            <w:pPr>
              <w:pStyle w:val="csbody00"/>
              <w:rPr>
                <w:bCs/>
                <w:lang w:val="de-DE"/>
              </w:rPr>
            </w:pPr>
            <w:r>
              <w:rPr>
                <w:bCs/>
                <w:lang w:val="de-DE"/>
              </w:rPr>
              <w:t xml:space="preserve">Zum </w:t>
            </w:r>
            <w:r w:rsidR="006E3537">
              <w:rPr>
                <w:bCs/>
                <w:lang w:val="de-DE"/>
              </w:rPr>
              <w:t xml:space="preserve">21. </w:t>
            </w:r>
            <w:r>
              <w:rPr>
                <w:bCs/>
                <w:lang w:val="de-DE"/>
              </w:rPr>
              <w:t>Dezember 2015 gehören der Geschäftsleitung die folgenden Personen an:</w:t>
            </w:r>
          </w:p>
        </w:tc>
      </w:tr>
      <w:tr w:rsidTr="00682578">
        <w:tblPrEx>
          <w:tblW w:w="5002" w:type="pct"/>
          <w:tblBorders>
            <w:insideV w:val="single" w:sz="4" w:space="0" w:color="auto"/>
          </w:tblBorders>
          <w:tblLayout w:type="fixed"/>
          <w:tblLook w:val="00A0"/>
        </w:tblPrEx>
        <w:tc>
          <w:tcPr>
            <w:tcW w:w="1242" w:type="pct"/>
            <w:gridSpan w:val="3"/>
            <w:tcBorders>
              <w:top w:val="nil"/>
              <w:bottom w:val="nil"/>
            </w:tcBorders>
            <w:shd w:val="clear" w:color="auto" w:fill="auto"/>
          </w:tcPr>
          <w:p w:rsidR="004C1EBA" w:rsidRPr="00943FE6" w:rsidP="004C1EBA">
            <w:pPr>
              <w:pStyle w:val="csbody00"/>
            </w:pPr>
            <w:r>
              <w:t>Tidjane Thiam</w:t>
            </w:r>
          </w:p>
        </w:tc>
        <w:tc>
          <w:tcPr>
            <w:tcW w:w="1257" w:type="pct"/>
            <w:gridSpan w:val="2"/>
            <w:tcBorders>
              <w:top w:val="nil"/>
              <w:bottom w:val="nil"/>
              <w:right w:val="single" w:sz="4" w:space="0" w:color="auto"/>
            </w:tcBorders>
            <w:shd w:val="clear" w:color="auto" w:fill="auto"/>
          </w:tcPr>
          <w:p w:rsidR="004C1EBA" w:rsidRPr="00943FE6" w:rsidP="004C1EBA">
            <w:pPr>
              <w:pStyle w:val="csbody00"/>
            </w:pPr>
            <w:r w:rsidRPr="00943FE6">
              <w:t>(Chief Executive Officer)</w:t>
            </w:r>
          </w:p>
        </w:tc>
        <w:tc>
          <w:tcPr>
            <w:tcW w:w="1260" w:type="pct"/>
            <w:gridSpan w:val="5"/>
            <w:tcBorders>
              <w:top w:val="nil"/>
              <w:left w:val="single" w:sz="4" w:space="0" w:color="auto"/>
              <w:bottom w:val="nil"/>
            </w:tcBorders>
            <w:shd w:val="clear" w:color="auto" w:fill="auto"/>
          </w:tcPr>
          <w:p w:rsidR="004C1EBA" w:rsidRPr="00943FE6" w:rsidP="004C1EBA">
            <w:pPr>
              <w:pStyle w:val="csbody00"/>
            </w:pPr>
            <w:r w:rsidRPr="00FF0511">
              <w:t>Tidjane Thiam</w:t>
            </w:r>
          </w:p>
        </w:tc>
        <w:tc>
          <w:tcPr>
            <w:tcW w:w="1242" w:type="pct"/>
            <w:gridSpan w:val="3"/>
            <w:tcBorders>
              <w:top w:val="nil"/>
              <w:bottom w:val="nil"/>
            </w:tcBorders>
            <w:shd w:val="clear" w:color="auto" w:fill="auto"/>
          </w:tcPr>
          <w:p w:rsidR="004C1EBA" w:rsidRPr="00943FE6" w:rsidP="004C1EBA">
            <w:pPr>
              <w:pStyle w:val="csbody00"/>
            </w:pPr>
            <w:r w:rsidRPr="00943FE6">
              <w:t>(Chief Executive Officer)</w:t>
            </w:r>
          </w:p>
        </w:tc>
      </w:tr>
      <w:tr w:rsidTr="004C1EBA">
        <w:tblPrEx>
          <w:tblW w:w="5002" w:type="pct"/>
          <w:tblLayout w:type="fixed"/>
          <w:tblLook w:val="00A0"/>
        </w:tblPrEx>
        <w:tc>
          <w:tcPr>
            <w:tcW w:w="2499" w:type="pct"/>
            <w:gridSpan w:val="5"/>
            <w:tcBorders>
              <w:right w:val="single" w:sz="4" w:space="0" w:color="auto"/>
            </w:tcBorders>
            <w:shd w:val="clear" w:color="auto" w:fill="auto"/>
          </w:tcPr>
          <w:p w:rsidR="004C1EBA" w:rsidRPr="005C5842" w:rsidP="004C1EBA">
            <w:pPr>
              <w:pStyle w:val="csbody00"/>
              <w:rPr>
                <w:lang w:val="de-DE" w:eastAsia="de-CH"/>
              </w:rPr>
            </w:pPr>
            <w:r w:rsidRPr="005C5842">
              <w:rPr>
                <w:lang w:val="de-DE" w:eastAsia="de-CH"/>
              </w:rPr>
              <w:t>Thomas Gottstein</w:t>
            </w:r>
          </w:p>
          <w:p w:rsidR="004C1EBA" w:rsidRPr="005C5842" w:rsidP="004C1EBA">
            <w:pPr>
              <w:pStyle w:val="csbody00"/>
              <w:rPr>
                <w:lang w:val="de-DE" w:eastAsia="de-CH"/>
              </w:rPr>
            </w:pPr>
            <w:r w:rsidRPr="005C5842">
              <w:rPr>
                <w:lang w:val="de-DE" w:eastAsia="de-CH"/>
              </w:rPr>
              <w:t>Helman Sitohang</w:t>
            </w:r>
          </w:p>
          <w:p w:rsidR="004C1EBA" w:rsidRPr="005C5842" w:rsidP="004C1EBA">
            <w:pPr>
              <w:pStyle w:val="csbody00"/>
              <w:rPr>
                <w:lang w:val="de-DE" w:eastAsia="de-CH"/>
              </w:rPr>
            </w:pPr>
            <w:r w:rsidRPr="005C5842">
              <w:rPr>
                <w:lang w:val="de-DE" w:eastAsia="de-CH"/>
              </w:rPr>
              <w:t>Iqbal Khan</w:t>
            </w:r>
          </w:p>
          <w:p w:rsidR="004C1EBA" w:rsidP="004C1EBA">
            <w:pPr>
              <w:pStyle w:val="csbody00"/>
              <w:rPr>
                <w:lang w:eastAsia="de-CH"/>
              </w:rPr>
            </w:pPr>
            <w:r>
              <w:rPr>
                <w:lang w:eastAsia="de-CH"/>
              </w:rPr>
              <w:t>Timothy O’Hara</w:t>
            </w:r>
          </w:p>
          <w:p w:rsidR="004C1EBA" w:rsidP="004C1EBA">
            <w:pPr>
              <w:pStyle w:val="csbody00"/>
              <w:rPr>
                <w:lang w:eastAsia="de-CH"/>
              </w:rPr>
            </w:pPr>
            <w:r>
              <w:rPr>
                <w:lang w:eastAsia="de-CH"/>
              </w:rPr>
              <w:t>James L. Amine</w:t>
            </w:r>
          </w:p>
          <w:p w:rsidR="004C1EBA" w:rsidP="004C1EBA">
            <w:pPr>
              <w:pStyle w:val="csbody00"/>
              <w:rPr>
                <w:lang w:eastAsia="de-CH"/>
              </w:rPr>
            </w:pPr>
            <w:r>
              <w:rPr>
                <w:lang w:eastAsia="de-CH"/>
              </w:rPr>
              <w:t>David R. Mathers</w:t>
            </w:r>
          </w:p>
          <w:p w:rsidR="004C1EBA" w:rsidP="004C1EBA">
            <w:pPr>
              <w:pStyle w:val="csbody00"/>
              <w:rPr>
                <w:lang w:eastAsia="de-CH"/>
              </w:rPr>
            </w:pPr>
            <w:r>
              <w:rPr>
                <w:lang w:eastAsia="de-CH"/>
              </w:rPr>
              <w:t>Romeo Cerutti</w:t>
            </w:r>
          </w:p>
          <w:p w:rsidR="004C1EBA" w:rsidP="004C1EBA">
            <w:pPr>
              <w:pStyle w:val="csbody00"/>
              <w:rPr>
                <w:lang w:eastAsia="de-CH"/>
              </w:rPr>
            </w:pPr>
            <w:r>
              <w:rPr>
                <w:lang w:eastAsia="de-CH"/>
              </w:rPr>
              <w:t>Joachim Oechslin</w:t>
            </w:r>
          </w:p>
          <w:p w:rsidR="004C1EBA" w:rsidP="004C1EBA">
            <w:pPr>
              <w:pStyle w:val="csbody00"/>
              <w:rPr>
                <w:lang w:eastAsia="de-CH"/>
              </w:rPr>
            </w:pPr>
            <w:r>
              <w:rPr>
                <w:lang w:eastAsia="de-CH"/>
              </w:rPr>
              <w:t>Pierre-Olivier Bouée</w:t>
            </w:r>
          </w:p>
          <w:p w:rsidR="004C1EBA" w:rsidP="004C1EBA">
            <w:pPr>
              <w:pStyle w:val="csbody00"/>
              <w:rPr>
                <w:lang w:eastAsia="de-CH"/>
              </w:rPr>
            </w:pPr>
            <w:r>
              <w:rPr>
                <w:lang w:eastAsia="de-CH"/>
              </w:rPr>
              <w:t>Lara Warner</w:t>
            </w:r>
          </w:p>
          <w:p w:rsidR="004C1EBA" w:rsidRPr="0080411A" w:rsidP="004C1EBA">
            <w:pPr>
              <w:pStyle w:val="csbody00"/>
              <w:rPr>
                <w:lang w:eastAsia="de-CH"/>
              </w:rPr>
            </w:pPr>
            <w:r>
              <w:rPr>
                <w:lang w:eastAsia="de-CH"/>
              </w:rPr>
              <w:t>Peter Goerke</w:t>
            </w:r>
          </w:p>
        </w:tc>
        <w:tc>
          <w:tcPr>
            <w:tcW w:w="2501" w:type="pct"/>
            <w:gridSpan w:val="8"/>
            <w:tcBorders>
              <w:left w:val="single" w:sz="4" w:space="0" w:color="auto"/>
            </w:tcBorders>
            <w:shd w:val="clear" w:color="auto" w:fill="auto"/>
          </w:tcPr>
          <w:p w:rsidR="004C1EBA" w:rsidRPr="005C5842" w:rsidP="004C1EBA">
            <w:pPr>
              <w:pStyle w:val="csbody00"/>
              <w:rPr>
                <w:lang w:val="de-DE" w:eastAsia="de-CH"/>
              </w:rPr>
            </w:pPr>
            <w:r w:rsidRPr="005C5842">
              <w:rPr>
                <w:lang w:val="de-DE" w:eastAsia="de-CH"/>
              </w:rPr>
              <w:t>Thomas Gottstein</w:t>
            </w:r>
          </w:p>
          <w:p w:rsidR="004C1EBA" w:rsidRPr="005C5842" w:rsidP="004C1EBA">
            <w:pPr>
              <w:pStyle w:val="csbody00"/>
              <w:rPr>
                <w:lang w:val="de-DE" w:eastAsia="de-CH"/>
              </w:rPr>
            </w:pPr>
            <w:r w:rsidRPr="005C5842">
              <w:rPr>
                <w:lang w:val="de-DE" w:eastAsia="de-CH"/>
              </w:rPr>
              <w:t>Helman Sitohang</w:t>
            </w:r>
          </w:p>
          <w:p w:rsidR="004C1EBA" w:rsidRPr="005C5842" w:rsidP="004C1EBA">
            <w:pPr>
              <w:pStyle w:val="csbody00"/>
              <w:rPr>
                <w:lang w:val="de-DE" w:eastAsia="de-CH"/>
              </w:rPr>
            </w:pPr>
            <w:r w:rsidRPr="005C5842">
              <w:rPr>
                <w:lang w:val="de-DE" w:eastAsia="de-CH"/>
              </w:rPr>
              <w:t>Iqbal Khan</w:t>
            </w:r>
          </w:p>
          <w:p w:rsidR="004C1EBA" w:rsidP="004C1EBA">
            <w:pPr>
              <w:pStyle w:val="csbody00"/>
              <w:rPr>
                <w:lang w:eastAsia="de-CH"/>
              </w:rPr>
            </w:pPr>
            <w:r>
              <w:rPr>
                <w:lang w:eastAsia="de-CH"/>
              </w:rPr>
              <w:t>Timothy O’Hara</w:t>
            </w:r>
          </w:p>
          <w:p w:rsidR="004C1EBA" w:rsidP="004C1EBA">
            <w:pPr>
              <w:pStyle w:val="csbody00"/>
              <w:rPr>
                <w:lang w:eastAsia="de-CH"/>
              </w:rPr>
            </w:pPr>
            <w:r>
              <w:rPr>
                <w:lang w:eastAsia="de-CH"/>
              </w:rPr>
              <w:t>James L. Amine</w:t>
            </w:r>
          </w:p>
          <w:p w:rsidR="004C1EBA" w:rsidP="004C1EBA">
            <w:pPr>
              <w:pStyle w:val="csbody00"/>
              <w:rPr>
                <w:lang w:eastAsia="de-CH"/>
              </w:rPr>
            </w:pPr>
            <w:r>
              <w:rPr>
                <w:lang w:eastAsia="de-CH"/>
              </w:rPr>
              <w:t>David R. Mathers</w:t>
            </w:r>
          </w:p>
          <w:p w:rsidR="004C1EBA" w:rsidP="004C1EBA">
            <w:pPr>
              <w:pStyle w:val="csbody00"/>
              <w:rPr>
                <w:lang w:eastAsia="de-CH"/>
              </w:rPr>
            </w:pPr>
            <w:r>
              <w:rPr>
                <w:lang w:eastAsia="de-CH"/>
              </w:rPr>
              <w:t>Romeo Cerutti</w:t>
            </w:r>
          </w:p>
          <w:p w:rsidR="004C1EBA" w:rsidP="004C1EBA">
            <w:pPr>
              <w:pStyle w:val="csbody00"/>
              <w:rPr>
                <w:lang w:eastAsia="de-CH"/>
              </w:rPr>
            </w:pPr>
            <w:r>
              <w:rPr>
                <w:lang w:eastAsia="de-CH"/>
              </w:rPr>
              <w:t>Joachim Oechslin</w:t>
            </w:r>
          </w:p>
          <w:p w:rsidR="004C1EBA" w:rsidP="004C1EBA">
            <w:pPr>
              <w:pStyle w:val="csbody00"/>
              <w:rPr>
                <w:lang w:eastAsia="de-CH"/>
              </w:rPr>
            </w:pPr>
            <w:r>
              <w:rPr>
                <w:lang w:eastAsia="de-CH"/>
              </w:rPr>
              <w:t>Pierre-Olivier Bouée</w:t>
            </w:r>
          </w:p>
          <w:p w:rsidR="004C1EBA" w:rsidP="004C1EBA">
            <w:pPr>
              <w:pStyle w:val="csbody00"/>
              <w:rPr>
                <w:lang w:eastAsia="de-CH"/>
              </w:rPr>
            </w:pPr>
            <w:r>
              <w:rPr>
                <w:lang w:eastAsia="de-CH"/>
              </w:rPr>
              <w:t>Lara Warner</w:t>
            </w:r>
          </w:p>
          <w:p w:rsidR="004C1EBA" w:rsidRPr="0080411A" w:rsidP="004C1EBA">
            <w:pPr>
              <w:pStyle w:val="csbody00"/>
              <w:rPr>
                <w:lang w:eastAsia="de-CH"/>
              </w:rPr>
            </w:pPr>
            <w:r>
              <w:rPr>
                <w:lang w:eastAsia="de-CH"/>
              </w:rPr>
              <w:t>Peter Goerke</w:t>
            </w:r>
          </w:p>
        </w:tc>
      </w:tr>
      <w:tr w:rsidTr="00682578">
        <w:tblPrEx>
          <w:tblW w:w="5002" w:type="pct"/>
          <w:tblLayout w:type="fixed"/>
          <w:tblLook w:val="00A0"/>
        </w:tblPrEx>
        <w:tc>
          <w:tcPr>
            <w:tcW w:w="2503" w:type="pct"/>
            <w:gridSpan w:val="6"/>
            <w:tcBorders>
              <w:right w:val="single" w:sz="4" w:space="0" w:color="auto"/>
            </w:tcBorders>
            <w:shd w:val="clear" w:color="auto" w:fill="auto"/>
          </w:tcPr>
          <w:p w:rsidR="004C1EBA" w:rsidRPr="0080411A" w:rsidP="001E4CCF">
            <w:pPr>
              <w:pStyle w:val="csbody00"/>
              <w:rPr>
                <w:lang w:eastAsia="de-CH"/>
              </w:rPr>
            </w:pPr>
            <w:r w:rsidRPr="00FF0511">
              <w:rPr>
                <w:lang w:eastAsia="de-CH"/>
              </w:rPr>
              <w:t xml:space="preserve">The composition of the Executive Boards of Credit Suisse </w:t>
            </w:r>
            <w:r w:rsidR="001E4CCF">
              <w:rPr>
                <w:lang w:eastAsia="de-CH"/>
              </w:rPr>
              <w:t xml:space="preserve">and CSG </w:t>
            </w:r>
            <w:r w:rsidRPr="00FF0511">
              <w:rPr>
                <w:lang w:eastAsia="de-CH"/>
              </w:rPr>
              <w:t>are identical.</w:t>
            </w:r>
          </w:p>
        </w:tc>
        <w:tc>
          <w:tcPr>
            <w:tcW w:w="2497" w:type="pct"/>
            <w:gridSpan w:val="7"/>
            <w:tcBorders>
              <w:left w:val="single" w:sz="4" w:space="0" w:color="auto"/>
            </w:tcBorders>
            <w:shd w:val="clear" w:color="auto" w:fill="auto"/>
          </w:tcPr>
          <w:p w:rsidR="004C1EBA" w:rsidRPr="0080411A" w:rsidP="001E4CCF">
            <w:pPr>
              <w:pStyle w:val="csbody00"/>
              <w:rPr>
                <w:lang w:val="de-DE" w:eastAsia="de-CH"/>
              </w:rPr>
            </w:pPr>
            <w:r>
              <w:rPr>
                <w:lang w:val="de-DE" w:eastAsia="de-CH"/>
              </w:rPr>
              <w:t>Die Zusammensetzung der Geschäftsleitung der Credit Suisse ist identisch mit der Zusammensetzung der Geschäftsleitung der CSG.</w:t>
            </w:r>
          </w:p>
        </w:tc>
      </w:tr>
      <w:tr w:rsidTr="00682578">
        <w:tblPrEx>
          <w:tblW w:w="5002" w:type="pct"/>
          <w:tblLayout w:type="fixed"/>
          <w:tblLook w:val="00A0"/>
        </w:tblPrEx>
        <w:tc>
          <w:tcPr>
            <w:tcW w:w="2503" w:type="pct"/>
            <w:gridSpan w:val="6"/>
            <w:tcBorders>
              <w:right w:val="single" w:sz="4" w:space="0" w:color="auto"/>
            </w:tcBorders>
            <w:shd w:val="clear" w:color="auto" w:fill="auto"/>
          </w:tcPr>
          <w:p w:rsidR="004C1EBA" w:rsidRPr="0080411A">
            <w:pPr>
              <w:pStyle w:val="csbody00"/>
              <w:rPr>
                <w:lang w:eastAsia="de-CH"/>
              </w:rPr>
            </w:pPr>
            <w:r w:rsidRPr="0080411A">
              <w:rPr>
                <w:lang w:eastAsia="de-CH"/>
              </w:rPr>
              <w:t>Information concerning each of the members of the Executive Board</w:t>
            </w:r>
            <w:r>
              <w:rPr>
                <w:lang w:eastAsia="de-CH"/>
              </w:rPr>
              <w:t xml:space="preserve"> </w:t>
            </w:r>
            <w:r w:rsidRPr="0080411A">
              <w:rPr>
                <w:lang w:eastAsia="de-CH"/>
              </w:rPr>
              <w:t xml:space="preserve">is set out below: </w:t>
            </w:r>
          </w:p>
        </w:tc>
        <w:tc>
          <w:tcPr>
            <w:tcW w:w="2497" w:type="pct"/>
            <w:gridSpan w:val="7"/>
            <w:tcBorders>
              <w:left w:val="single" w:sz="4" w:space="0" w:color="auto"/>
            </w:tcBorders>
            <w:shd w:val="clear" w:color="auto" w:fill="auto"/>
          </w:tcPr>
          <w:p w:rsidR="004C1EBA" w:rsidRPr="0080411A">
            <w:pPr>
              <w:pStyle w:val="csbody00"/>
              <w:rPr>
                <w:lang w:val="de-DE" w:eastAsia="de-CH"/>
              </w:rPr>
            </w:pPr>
            <w:r w:rsidRPr="0080411A">
              <w:rPr>
                <w:lang w:val="de-DE" w:eastAsia="de-CH"/>
              </w:rPr>
              <w:t xml:space="preserve">Im Folgenden sind Informationen zu den einzelnen Mitgliedern der Geschäftsleitung aufgeführt: </w:t>
            </w:r>
          </w:p>
        </w:tc>
      </w:tr>
      <w:tr w:rsidTr="00682578">
        <w:tblPrEx>
          <w:tblW w:w="5002" w:type="pct"/>
          <w:tblBorders>
            <w:insideV w:val="single" w:sz="4" w:space="0" w:color="auto"/>
          </w:tblBorders>
          <w:tblLayout w:type="fixed"/>
          <w:tblLook w:val="00A0"/>
        </w:tblPrEx>
        <w:tc>
          <w:tcPr>
            <w:tcW w:w="1242" w:type="pct"/>
            <w:gridSpan w:val="3"/>
            <w:tcBorders>
              <w:top w:val="nil"/>
              <w:bottom w:val="nil"/>
            </w:tcBorders>
            <w:shd w:val="clear" w:color="auto" w:fill="auto"/>
          </w:tcPr>
          <w:p w:rsidR="004C1EBA" w:rsidRPr="0080411A" w:rsidP="004C1EBA">
            <w:pPr>
              <w:pStyle w:val="csbody00"/>
              <w:rPr>
                <w:rFonts w:eastAsia="MS Mincho"/>
                <w:b/>
                <w:bCs/>
                <w:lang w:val="de-DE" w:eastAsia="de-CH"/>
              </w:rPr>
            </w:pPr>
            <w:r w:rsidRPr="0080411A">
              <w:rPr>
                <w:rFonts w:eastAsia="MS Mincho"/>
                <w:b/>
                <w:bCs/>
                <w:lang w:val="de-DE" w:eastAsia="de-CH"/>
              </w:rPr>
              <w:t>Name</w:t>
            </w:r>
          </w:p>
        </w:tc>
        <w:tc>
          <w:tcPr>
            <w:tcW w:w="1257" w:type="pct"/>
            <w:gridSpan w:val="2"/>
            <w:tcBorders>
              <w:top w:val="nil"/>
              <w:bottom w:val="nil"/>
            </w:tcBorders>
            <w:shd w:val="clear" w:color="auto" w:fill="auto"/>
          </w:tcPr>
          <w:p w:rsidR="004C1EBA" w:rsidRPr="0080411A" w:rsidP="004C1EBA">
            <w:pPr>
              <w:pStyle w:val="csbody00"/>
              <w:rPr>
                <w:rFonts w:eastAsia="MS Mincho"/>
                <w:b/>
                <w:bCs/>
                <w:lang w:val="de-DE" w:eastAsia="de-CH"/>
              </w:rPr>
            </w:pPr>
            <w:r w:rsidRPr="0080411A">
              <w:rPr>
                <w:rFonts w:eastAsia="MS Mincho"/>
                <w:b/>
                <w:bCs/>
                <w:lang w:val="de-DE" w:eastAsia="de-CH"/>
              </w:rPr>
              <w:t>Business address/Geschäfts-adresse</w:t>
            </w:r>
          </w:p>
        </w:tc>
        <w:tc>
          <w:tcPr>
            <w:tcW w:w="1260" w:type="pct"/>
            <w:gridSpan w:val="5"/>
            <w:tcBorders>
              <w:top w:val="nil"/>
              <w:left w:val="nil"/>
              <w:bottom w:val="nil"/>
              <w:right w:val="single" w:sz="4" w:space="0" w:color="auto"/>
            </w:tcBorders>
            <w:shd w:val="clear" w:color="auto" w:fill="auto"/>
          </w:tcPr>
          <w:p w:rsidR="004C1EBA" w:rsidRPr="0080411A" w:rsidP="004C1EBA">
            <w:pPr>
              <w:pStyle w:val="csbody00"/>
              <w:rPr>
                <w:rFonts w:eastAsia="MS Mincho"/>
                <w:b/>
                <w:bCs/>
                <w:lang w:val="de-DE" w:eastAsia="de-CH"/>
              </w:rPr>
            </w:pPr>
            <w:r w:rsidRPr="0080411A">
              <w:rPr>
                <w:rFonts w:eastAsia="MS Mincho"/>
                <w:b/>
                <w:bCs/>
                <w:lang w:val="de-DE" w:eastAsia="de-CH"/>
              </w:rPr>
              <w:t>Position held</w:t>
            </w:r>
          </w:p>
        </w:tc>
        <w:tc>
          <w:tcPr>
            <w:tcW w:w="1242" w:type="pct"/>
            <w:gridSpan w:val="3"/>
            <w:tcBorders>
              <w:top w:val="nil"/>
              <w:left w:val="single" w:sz="4" w:space="0" w:color="auto"/>
              <w:bottom w:val="nil"/>
            </w:tcBorders>
            <w:shd w:val="clear" w:color="auto" w:fill="auto"/>
          </w:tcPr>
          <w:p w:rsidR="004C1EBA" w:rsidRPr="0080411A" w:rsidP="004C1EBA">
            <w:pPr>
              <w:pStyle w:val="csbody00"/>
              <w:rPr>
                <w:rFonts w:eastAsia="MS Mincho"/>
                <w:b/>
                <w:bCs/>
                <w:lang w:val="de-DE" w:eastAsia="de-CH"/>
              </w:rPr>
            </w:pPr>
            <w:r w:rsidRPr="0080411A">
              <w:rPr>
                <w:rFonts w:eastAsia="MS Mincho"/>
                <w:b/>
                <w:bCs/>
                <w:lang w:val="de-DE" w:eastAsia="de-CH"/>
              </w:rPr>
              <w:t>Ausgeübte Funktion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r>
              <w:rPr>
                <w:lang w:eastAsia="de-CH"/>
              </w:rPr>
              <w:t>Tidjane Thiam</w:t>
            </w:r>
          </w:p>
        </w:tc>
        <w:tc>
          <w:tcPr>
            <w:tcW w:w="1257" w:type="pct"/>
            <w:gridSpan w:val="2"/>
            <w:shd w:val="clear" w:color="auto" w:fill="auto"/>
          </w:tcPr>
          <w:p w:rsidR="004C1EBA" w:rsidRPr="0080411A" w:rsidP="004C1EBA">
            <w:pPr>
              <w:pStyle w:val="csbody00"/>
              <w:jc w:val="left"/>
              <w:rPr>
                <w:lang w:val="de-CH" w:eastAsia="de-CH"/>
              </w:rPr>
            </w:pPr>
            <w:r w:rsidRPr="0080411A">
              <w:rPr>
                <w:lang w:val="de-CH" w:eastAsia="de-CH"/>
              </w:rPr>
              <w:t>Credit Suisse 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0411A">
            <w:pPr>
              <w:pStyle w:val="csbody00"/>
              <w:rPr>
                <w:rFonts w:ascii="Times New Roman" w:hAnsi="Times New Roman"/>
                <w:sz w:val="20"/>
                <w:szCs w:val="20"/>
                <w:lang w:eastAsia="de-CH"/>
              </w:rPr>
            </w:pPr>
            <w:r>
              <w:rPr>
                <w:bCs/>
                <w:lang w:val="en-US" w:eastAsia="de-CH"/>
              </w:rPr>
              <w:t>2015</w:t>
            </w:r>
            <w:r w:rsidRPr="0080411A">
              <w:rPr>
                <w:bCs/>
                <w:lang w:val="en-US" w:eastAsia="de-CH"/>
              </w:rPr>
              <w:t xml:space="preserve">–present </w:t>
            </w:r>
          </w:p>
        </w:tc>
        <w:tc>
          <w:tcPr>
            <w:tcW w:w="1242" w:type="pct"/>
            <w:gridSpan w:val="3"/>
            <w:shd w:val="clear" w:color="auto" w:fill="auto"/>
          </w:tcPr>
          <w:p w:rsidR="004C1EBA" w:rsidRPr="0080411A" w:rsidP="004C1EBA">
            <w:pPr>
              <w:pStyle w:val="csbody00"/>
              <w:rPr>
                <w:b/>
                <w:bCs/>
                <w:lang w:val="de-DE" w:eastAsia="de-CH"/>
              </w:rPr>
            </w:pPr>
            <w:r w:rsidRPr="0080411A">
              <w:rPr>
                <w:b/>
                <w:bCs/>
                <w:lang w:val="de-DE" w:eastAsia="de-CH"/>
              </w:rPr>
              <w:t>Werdegang</w:t>
            </w:r>
          </w:p>
          <w:p w:rsidR="004C1EBA" w:rsidRPr="0080411A">
            <w:pPr>
              <w:pStyle w:val="csbody00"/>
              <w:rPr>
                <w:lang w:eastAsia="de-CH"/>
              </w:rPr>
            </w:pPr>
            <w:r>
              <w:rPr>
                <w:bCs/>
                <w:lang w:val="de-DE" w:eastAsia="de-CH"/>
              </w:rPr>
              <w:t>2015</w:t>
            </w:r>
            <w:r w:rsidRPr="0080411A">
              <w:rPr>
                <w:bCs/>
                <w:lang w:val="de-DE" w:eastAsia="de-CH"/>
              </w:rPr>
              <w:t xml:space="preserve"> bis heute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
                <w:bCs/>
                <w:lang w:val="en-US" w:eastAsia="de-CH"/>
              </w:rPr>
            </w:pPr>
            <w:r w:rsidRPr="0080411A">
              <w:rPr>
                <w:bCs/>
                <w:lang w:val="en-US" w:eastAsia="de-CH"/>
              </w:rPr>
              <w:t>Credit Suisse</w:t>
            </w:r>
          </w:p>
        </w:tc>
        <w:tc>
          <w:tcPr>
            <w:tcW w:w="1242" w:type="pct"/>
            <w:gridSpan w:val="3"/>
            <w:shd w:val="clear" w:color="auto" w:fill="auto"/>
          </w:tcPr>
          <w:p w:rsidR="004C1EBA" w:rsidRPr="0080411A" w:rsidP="004C1EBA">
            <w:pPr>
              <w:pStyle w:val="csbody00"/>
              <w:ind w:left="720"/>
              <w:rPr>
                <w:b/>
                <w:bCs/>
                <w:lang w:val="de-DE" w:eastAsia="de-CH"/>
              </w:rPr>
            </w:pPr>
            <w:r w:rsidRPr="0079377F">
              <w:rPr>
                <w:bCs/>
                <w:lang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pPr>
              <w:pStyle w:val="csbody00"/>
              <w:ind w:left="720"/>
              <w:rPr>
                <w:bCs/>
                <w:lang w:val="en-US" w:eastAsia="de-CH"/>
              </w:rPr>
            </w:pPr>
            <w:r w:rsidRPr="0080411A">
              <w:rPr>
                <w:bCs/>
                <w:lang w:val="en-US" w:eastAsia="de-CH"/>
              </w:rPr>
              <w:t>Chief Executive Officer</w:t>
            </w:r>
          </w:p>
        </w:tc>
        <w:tc>
          <w:tcPr>
            <w:tcW w:w="1242" w:type="pct"/>
            <w:gridSpan w:val="3"/>
            <w:shd w:val="clear" w:color="auto" w:fill="auto"/>
          </w:tcPr>
          <w:p w:rsidR="004C1EBA" w:rsidRPr="00ED0E56">
            <w:pPr>
              <w:pStyle w:val="csbody00"/>
              <w:ind w:left="720"/>
              <w:rPr>
                <w:bCs/>
                <w:lang w:eastAsia="de-CH"/>
              </w:rPr>
            </w:pPr>
            <w:r w:rsidRPr="00ED0E56">
              <w:rPr>
                <w:bCs/>
                <w:lang w:eastAsia="de-CH"/>
              </w:rPr>
              <w:t>Chief Executive Officer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5F32B9" w:rsidRPr="0080411A" w:rsidP="004C1EBA">
            <w:pPr>
              <w:pStyle w:val="csbody00"/>
              <w:rPr>
                <w:lang w:eastAsia="de-CH"/>
              </w:rPr>
            </w:pPr>
          </w:p>
        </w:tc>
        <w:tc>
          <w:tcPr>
            <w:tcW w:w="1257" w:type="pct"/>
            <w:gridSpan w:val="2"/>
            <w:shd w:val="clear" w:color="auto" w:fill="auto"/>
          </w:tcPr>
          <w:p w:rsidR="005F32B9" w:rsidRPr="0080411A" w:rsidP="004C1EBA">
            <w:pPr>
              <w:pStyle w:val="csbody00"/>
              <w:jc w:val="left"/>
              <w:rPr>
                <w:lang w:val="de-CH" w:eastAsia="de-CH"/>
              </w:rPr>
            </w:pPr>
          </w:p>
        </w:tc>
        <w:tc>
          <w:tcPr>
            <w:tcW w:w="1260" w:type="pct"/>
            <w:gridSpan w:val="5"/>
            <w:shd w:val="clear" w:color="auto" w:fill="auto"/>
          </w:tcPr>
          <w:p w:rsidR="005F32B9" w:rsidRPr="0080411A">
            <w:pPr>
              <w:pStyle w:val="csbody00"/>
              <w:ind w:left="720"/>
              <w:rPr>
                <w:bCs/>
                <w:lang w:val="en-US" w:eastAsia="de-CH"/>
              </w:rPr>
            </w:pPr>
            <w:r>
              <w:rPr>
                <w:bCs/>
                <w:lang w:val="en-US" w:eastAsia="de-CH"/>
              </w:rPr>
              <w:t>Member of the Executive Board since 1 July 2015</w:t>
            </w:r>
          </w:p>
        </w:tc>
        <w:tc>
          <w:tcPr>
            <w:tcW w:w="1242" w:type="pct"/>
            <w:gridSpan w:val="3"/>
            <w:shd w:val="clear" w:color="auto" w:fill="auto"/>
          </w:tcPr>
          <w:p w:rsidR="005F32B9" w:rsidRPr="00BD6E0D">
            <w:pPr>
              <w:pStyle w:val="csbody00"/>
              <w:ind w:left="720"/>
              <w:rPr>
                <w:bCs/>
                <w:lang w:val="de-DE" w:eastAsia="de-CH"/>
              </w:rPr>
            </w:pPr>
            <w:r w:rsidRPr="00BD6E0D">
              <w:rPr>
                <w:bCs/>
                <w:lang w:val="de-DE" w:eastAsia="de-CH"/>
              </w:rPr>
              <w:t>Mitglied der Geschäftsleitung seit 1. Juli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BD6E0D" w:rsidP="004C1EBA">
            <w:pPr>
              <w:pStyle w:val="csbody00"/>
              <w:rPr>
                <w:lang w:val="de-DE" w:eastAsia="de-CH"/>
              </w:rPr>
            </w:pPr>
          </w:p>
        </w:tc>
        <w:tc>
          <w:tcPr>
            <w:tcW w:w="1257" w:type="pct"/>
            <w:gridSpan w:val="2"/>
            <w:shd w:val="clear" w:color="auto" w:fill="auto"/>
          </w:tcPr>
          <w:p w:rsidR="004C1EBA" w:rsidRPr="00BD6E0D" w:rsidP="004C1EBA">
            <w:pPr>
              <w:pStyle w:val="csbody00"/>
              <w:jc w:val="left"/>
              <w:rPr>
                <w:lang w:val="de-DE" w:eastAsia="de-CH"/>
              </w:rPr>
            </w:pPr>
          </w:p>
        </w:tc>
        <w:tc>
          <w:tcPr>
            <w:tcW w:w="1260" w:type="pct"/>
            <w:gridSpan w:val="5"/>
            <w:shd w:val="clear" w:color="auto" w:fill="auto"/>
          </w:tcPr>
          <w:p w:rsidR="004C1EBA" w:rsidRPr="00B6130D">
            <w:pPr>
              <w:pStyle w:val="csbody00"/>
              <w:rPr>
                <w:bCs/>
                <w:lang w:val="en-US" w:eastAsia="de-CH"/>
              </w:rPr>
            </w:pPr>
            <w:r>
              <w:rPr>
                <w:bCs/>
                <w:lang w:val="en-US" w:eastAsia="de-CH"/>
              </w:rPr>
              <w:t>2008–2015</w:t>
            </w:r>
          </w:p>
        </w:tc>
        <w:tc>
          <w:tcPr>
            <w:tcW w:w="1242" w:type="pct"/>
            <w:gridSpan w:val="3"/>
            <w:shd w:val="clear" w:color="auto" w:fill="auto"/>
          </w:tcPr>
          <w:p w:rsidR="004C1EBA" w:rsidRPr="00B6130D">
            <w:pPr>
              <w:pStyle w:val="csbody00"/>
              <w:rPr>
                <w:bCs/>
                <w:lang w:eastAsia="de-CH"/>
              </w:rPr>
            </w:pPr>
            <w:r>
              <w:rPr>
                <w:bCs/>
                <w:lang w:val="de-DE" w:eastAsia="de-CH"/>
              </w:rPr>
              <w:t>2008–2015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left="742" w:hanging="14"/>
              <w:rPr>
                <w:bCs/>
                <w:lang w:val="en-US" w:eastAsia="de-CH"/>
              </w:rPr>
            </w:pPr>
            <w:r>
              <w:rPr>
                <w:bCs/>
                <w:lang w:val="en-US" w:eastAsia="de-CH"/>
              </w:rPr>
              <w:t>Prudential plc</w:t>
            </w:r>
          </w:p>
        </w:tc>
        <w:tc>
          <w:tcPr>
            <w:tcW w:w="1242" w:type="pct"/>
            <w:gridSpan w:val="3"/>
            <w:shd w:val="clear" w:color="auto" w:fill="auto"/>
          </w:tcPr>
          <w:p w:rsidR="004C1EBA" w:rsidRPr="00B6130D" w:rsidP="004C1EBA">
            <w:pPr>
              <w:pStyle w:val="csbody00"/>
              <w:ind w:left="742" w:hanging="14"/>
              <w:rPr>
                <w:bCs/>
                <w:lang w:eastAsia="de-CH"/>
              </w:rPr>
            </w:pPr>
            <w:r>
              <w:rPr>
                <w:bCs/>
                <w:lang w:eastAsia="de-CH"/>
              </w:rPr>
              <w:t>Prudential plc</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left="742" w:hanging="14"/>
              <w:rPr>
                <w:bCs/>
                <w:lang w:val="en-US" w:eastAsia="de-CH"/>
              </w:rPr>
            </w:pPr>
            <w:r>
              <w:rPr>
                <w:bCs/>
                <w:lang w:val="en-US" w:eastAsia="de-CH"/>
              </w:rPr>
              <w:t>Group Chief Executive (2009-2015)</w:t>
            </w:r>
          </w:p>
        </w:tc>
        <w:tc>
          <w:tcPr>
            <w:tcW w:w="1242" w:type="pct"/>
            <w:gridSpan w:val="3"/>
            <w:shd w:val="clear" w:color="auto" w:fill="auto"/>
          </w:tcPr>
          <w:p w:rsidR="004C1EBA" w:rsidRPr="00B6130D" w:rsidP="004C1EBA">
            <w:pPr>
              <w:pStyle w:val="csbody00"/>
              <w:ind w:left="742" w:hanging="14"/>
              <w:rPr>
                <w:bCs/>
                <w:lang w:eastAsia="de-CH"/>
              </w:rPr>
            </w:pPr>
            <w:r>
              <w:rPr>
                <w:bCs/>
                <w:lang w:eastAsia="de-CH"/>
              </w:rPr>
              <w:t>Group Chief Executive (2009-2015)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left="742" w:hanging="14"/>
              <w:rPr>
                <w:bCs/>
                <w:lang w:val="en-US" w:eastAsia="de-CH"/>
              </w:rPr>
            </w:pPr>
            <w:r>
              <w:rPr>
                <w:bCs/>
                <w:lang w:val="en-US" w:eastAsia="de-CH"/>
              </w:rPr>
              <w:t>Chief Financial Officer</w:t>
            </w:r>
          </w:p>
        </w:tc>
        <w:tc>
          <w:tcPr>
            <w:tcW w:w="1242" w:type="pct"/>
            <w:gridSpan w:val="3"/>
            <w:shd w:val="clear" w:color="auto" w:fill="auto"/>
          </w:tcPr>
          <w:p w:rsidR="004C1EBA" w:rsidRPr="00B6130D" w:rsidP="004C1EBA">
            <w:pPr>
              <w:pStyle w:val="csbody00"/>
              <w:ind w:left="742" w:hanging="14"/>
              <w:rPr>
                <w:bCs/>
                <w:lang w:eastAsia="de-CH"/>
              </w:rPr>
            </w:pPr>
            <w:r>
              <w:rPr>
                <w:bCs/>
                <w:lang w:val="de-DE" w:eastAsia="de-CH"/>
              </w:rPr>
              <w:t>Chief Financial Officer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pPr>
              <w:pStyle w:val="csbody00"/>
              <w:rPr>
                <w:bCs/>
                <w:lang w:val="en-US" w:eastAsia="de-CH"/>
              </w:rPr>
            </w:pPr>
            <w:r>
              <w:rPr>
                <w:bCs/>
                <w:lang w:val="en-US" w:eastAsia="de-CH"/>
              </w:rPr>
              <w:t>2002–2008</w:t>
            </w:r>
          </w:p>
        </w:tc>
        <w:tc>
          <w:tcPr>
            <w:tcW w:w="1242" w:type="pct"/>
            <w:gridSpan w:val="3"/>
            <w:shd w:val="clear" w:color="auto" w:fill="auto"/>
          </w:tcPr>
          <w:p w:rsidR="004C1EBA" w:rsidRPr="00B6130D">
            <w:pPr>
              <w:pStyle w:val="csbody00"/>
              <w:rPr>
                <w:bCs/>
                <w:lang w:eastAsia="de-CH"/>
              </w:rPr>
            </w:pPr>
            <w:r>
              <w:rPr>
                <w:bCs/>
                <w:lang w:eastAsia="de-CH"/>
              </w:rPr>
              <w:t>2002–2008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firstLine="755"/>
              <w:rPr>
                <w:bCs/>
                <w:lang w:val="en-US" w:eastAsia="de-CH"/>
              </w:rPr>
            </w:pPr>
            <w:r>
              <w:rPr>
                <w:bCs/>
                <w:lang w:val="en-US" w:eastAsia="de-CH"/>
              </w:rPr>
              <w:t>Aviva</w:t>
            </w:r>
          </w:p>
        </w:tc>
        <w:tc>
          <w:tcPr>
            <w:tcW w:w="1242" w:type="pct"/>
            <w:gridSpan w:val="3"/>
            <w:shd w:val="clear" w:color="auto" w:fill="auto"/>
          </w:tcPr>
          <w:p w:rsidR="004C1EBA" w:rsidRPr="00B6130D" w:rsidP="004C1EBA">
            <w:pPr>
              <w:pStyle w:val="csbody00"/>
              <w:ind w:firstLine="755"/>
              <w:rPr>
                <w:bCs/>
                <w:lang w:eastAsia="de-CH"/>
              </w:rPr>
            </w:pPr>
            <w:r>
              <w:rPr>
                <w:bCs/>
                <w:lang w:val="en-US" w:eastAsia="de-CH"/>
              </w:rPr>
              <w:t>Aviva</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left="742"/>
              <w:rPr>
                <w:bCs/>
                <w:lang w:val="en-US" w:eastAsia="de-CH"/>
              </w:rPr>
            </w:pPr>
            <w:r>
              <w:rPr>
                <w:bCs/>
                <w:lang w:val="en-US" w:eastAsia="de-CH"/>
              </w:rPr>
              <w:t>Chief Executive, Europe (2006-2008)</w:t>
            </w:r>
          </w:p>
        </w:tc>
        <w:tc>
          <w:tcPr>
            <w:tcW w:w="1242" w:type="pct"/>
            <w:gridSpan w:val="3"/>
            <w:shd w:val="clear" w:color="auto" w:fill="auto"/>
          </w:tcPr>
          <w:p w:rsidR="004C1EBA" w:rsidRPr="00B6130D" w:rsidP="004C1EBA">
            <w:pPr>
              <w:pStyle w:val="csbody00"/>
              <w:ind w:left="742"/>
              <w:rPr>
                <w:bCs/>
                <w:lang w:eastAsia="de-CH"/>
              </w:rPr>
            </w:pPr>
            <w:r>
              <w:rPr>
                <w:bCs/>
                <w:lang w:val="de-DE" w:eastAsia="de-CH"/>
              </w:rPr>
              <w:t>Chief Executive, Europa (2006-2008)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left="742"/>
              <w:rPr>
                <w:bCs/>
                <w:lang w:val="en-US" w:eastAsia="de-CH"/>
              </w:rPr>
            </w:pPr>
            <w:r>
              <w:rPr>
                <w:bCs/>
                <w:lang w:val="en-US" w:eastAsia="de-CH"/>
              </w:rPr>
              <w:t>Managing Director, International (2004-2006)</w:t>
            </w:r>
          </w:p>
        </w:tc>
        <w:tc>
          <w:tcPr>
            <w:tcW w:w="1242" w:type="pct"/>
            <w:gridSpan w:val="3"/>
            <w:shd w:val="clear" w:color="auto" w:fill="auto"/>
          </w:tcPr>
          <w:p w:rsidR="004C1EBA" w:rsidRPr="00B6130D" w:rsidP="004C1EBA">
            <w:pPr>
              <w:pStyle w:val="csbody00"/>
              <w:ind w:left="742"/>
              <w:rPr>
                <w:bCs/>
                <w:lang w:eastAsia="de-CH"/>
              </w:rPr>
            </w:pPr>
            <w:r>
              <w:rPr>
                <w:bCs/>
                <w:lang w:val="de-DE" w:eastAsia="de-CH"/>
              </w:rPr>
              <w:t>Managing Director, International (2004-2006)</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left="742"/>
              <w:rPr>
                <w:bCs/>
                <w:lang w:val="en-US" w:eastAsia="de-CH"/>
              </w:rPr>
            </w:pPr>
            <w:r>
              <w:rPr>
                <w:bCs/>
                <w:lang w:val="en-US" w:eastAsia="de-CH"/>
              </w:rPr>
              <w:t>Group Strategy &amp; Development Director (2002- 2004)</w:t>
            </w:r>
          </w:p>
        </w:tc>
        <w:tc>
          <w:tcPr>
            <w:tcW w:w="1242" w:type="pct"/>
            <w:gridSpan w:val="3"/>
            <w:shd w:val="clear" w:color="auto" w:fill="auto"/>
          </w:tcPr>
          <w:p w:rsidR="004C1EBA" w:rsidRPr="00B6130D" w:rsidP="004C1EBA">
            <w:pPr>
              <w:pStyle w:val="csbody00"/>
              <w:ind w:left="742"/>
              <w:rPr>
                <w:bCs/>
                <w:lang w:eastAsia="de-CH"/>
              </w:rPr>
            </w:pPr>
            <w:r>
              <w:rPr>
                <w:bCs/>
                <w:lang w:val="de-DE" w:eastAsia="de-CH"/>
              </w:rPr>
              <w:t>Group Strategy &amp; Development Director (2002- 2004)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pPr>
              <w:pStyle w:val="csbody00"/>
              <w:rPr>
                <w:bCs/>
                <w:lang w:val="en-US" w:eastAsia="de-CH"/>
              </w:rPr>
            </w:pPr>
            <w:r>
              <w:rPr>
                <w:bCs/>
                <w:lang w:val="en-US" w:eastAsia="de-CH"/>
              </w:rPr>
              <w:t>2000–2002</w:t>
            </w:r>
          </w:p>
        </w:tc>
        <w:tc>
          <w:tcPr>
            <w:tcW w:w="1242" w:type="pct"/>
            <w:gridSpan w:val="3"/>
            <w:shd w:val="clear" w:color="auto" w:fill="auto"/>
          </w:tcPr>
          <w:p w:rsidR="004C1EBA" w:rsidRPr="00B6130D">
            <w:pPr>
              <w:pStyle w:val="csbody00"/>
              <w:rPr>
                <w:bCs/>
                <w:lang w:eastAsia="de-CH"/>
              </w:rPr>
            </w:pPr>
            <w:r>
              <w:rPr>
                <w:bCs/>
                <w:lang w:val="de-DE" w:eastAsia="de-CH"/>
              </w:rPr>
              <w:t>2000–2002</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firstLine="742"/>
              <w:rPr>
                <w:bCs/>
                <w:lang w:val="en-US" w:eastAsia="de-CH"/>
              </w:rPr>
            </w:pPr>
            <w:r>
              <w:rPr>
                <w:bCs/>
                <w:lang w:val="en-US" w:eastAsia="de-CH"/>
              </w:rPr>
              <w:t>McKinsey &amp; Co.</w:t>
            </w:r>
          </w:p>
        </w:tc>
        <w:tc>
          <w:tcPr>
            <w:tcW w:w="1242" w:type="pct"/>
            <w:gridSpan w:val="3"/>
            <w:shd w:val="clear" w:color="auto" w:fill="auto"/>
          </w:tcPr>
          <w:p w:rsidR="004C1EBA" w:rsidRPr="00B6130D" w:rsidP="004C1EBA">
            <w:pPr>
              <w:pStyle w:val="csbody00"/>
              <w:ind w:firstLine="742"/>
              <w:rPr>
                <w:bCs/>
                <w:lang w:eastAsia="de-CH"/>
              </w:rPr>
            </w:pPr>
            <w:r>
              <w:rPr>
                <w:bCs/>
                <w:lang w:val="de-DE" w:eastAsia="de-CH"/>
              </w:rPr>
              <w:t>McKinsey &amp; Co.</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ind w:firstLine="742"/>
              <w:rPr>
                <w:bCs/>
                <w:lang w:val="en-US" w:eastAsia="de-CH"/>
              </w:rPr>
            </w:pPr>
            <w:r w:rsidRPr="00B93FB2">
              <w:rPr>
                <w:bCs/>
                <w:lang w:val="en-US" w:eastAsia="de-CH"/>
              </w:rPr>
              <w:t>Partner, Paris</w:t>
            </w:r>
          </w:p>
        </w:tc>
        <w:tc>
          <w:tcPr>
            <w:tcW w:w="1242" w:type="pct"/>
            <w:gridSpan w:val="3"/>
            <w:shd w:val="clear" w:color="auto" w:fill="auto"/>
          </w:tcPr>
          <w:p w:rsidR="004C1EBA" w:rsidRPr="00B6130D" w:rsidP="004C1EBA">
            <w:pPr>
              <w:pStyle w:val="csbody00"/>
              <w:ind w:firstLine="742"/>
              <w:rPr>
                <w:bCs/>
                <w:lang w:eastAsia="de-CH"/>
              </w:rPr>
            </w:pPr>
            <w:r>
              <w:rPr>
                <w:bCs/>
                <w:lang w:eastAsia="de-CH"/>
              </w:rPr>
              <w:t>Partner, Paris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pPr>
              <w:pStyle w:val="csbody00"/>
              <w:rPr>
                <w:bCs/>
                <w:lang w:val="en-US" w:eastAsia="de-CH"/>
              </w:rPr>
            </w:pPr>
            <w:r w:rsidRPr="00B93FB2">
              <w:rPr>
                <w:bCs/>
                <w:lang w:val="en-US" w:eastAsia="de-CH"/>
              </w:rPr>
              <w:t>1998</w:t>
            </w:r>
            <w:r>
              <w:rPr>
                <w:bCs/>
                <w:lang w:val="en-US" w:eastAsia="de-CH"/>
              </w:rPr>
              <w:t>–</w:t>
            </w:r>
            <w:r w:rsidRPr="00B93FB2">
              <w:rPr>
                <w:bCs/>
                <w:lang w:val="en-US" w:eastAsia="de-CH"/>
              </w:rPr>
              <w:t>1999</w:t>
            </w:r>
          </w:p>
        </w:tc>
        <w:tc>
          <w:tcPr>
            <w:tcW w:w="1242" w:type="pct"/>
            <w:gridSpan w:val="3"/>
            <w:shd w:val="clear" w:color="auto" w:fill="auto"/>
          </w:tcPr>
          <w:p w:rsidR="004C1EBA" w:rsidRPr="00B6130D">
            <w:pPr>
              <w:pStyle w:val="csbody00"/>
              <w:rPr>
                <w:bCs/>
                <w:lang w:eastAsia="de-CH"/>
              </w:rPr>
            </w:pPr>
            <w:r>
              <w:rPr>
                <w:bCs/>
                <w:lang w:eastAsia="de-CH"/>
              </w:rPr>
              <w:t>1998–1999</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tabs>
                <w:tab w:val="left" w:pos="811"/>
              </w:tabs>
              <w:ind w:left="742"/>
              <w:rPr>
                <w:bCs/>
                <w:lang w:val="en-US" w:eastAsia="de-CH"/>
              </w:rPr>
            </w:pPr>
            <w:r w:rsidRPr="00B93FB2">
              <w:rPr>
                <w:bCs/>
                <w:lang w:val="en-US" w:eastAsia="de-CH"/>
              </w:rPr>
              <w:t>Mini</w:t>
            </w:r>
            <w:r>
              <w:rPr>
                <w:bCs/>
                <w:lang w:val="en-US" w:eastAsia="de-CH"/>
              </w:rPr>
              <w:t xml:space="preserve">ster of Planning and Development, </w:t>
            </w:r>
            <w:r w:rsidRPr="00E93245">
              <w:rPr>
                <w:bCs/>
                <w:lang w:val="en-US" w:eastAsia="de-CH"/>
              </w:rPr>
              <w:t>Côte d'Ivoire</w:t>
            </w:r>
          </w:p>
        </w:tc>
        <w:tc>
          <w:tcPr>
            <w:tcW w:w="1242" w:type="pct"/>
            <w:gridSpan w:val="3"/>
            <w:shd w:val="clear" w:color="auto" w:fill="auto"/>
          </w:tcPr>
          <w:p w:rsidR="004C1EBA" w:rsidRPr="005C5842" w:rsidP="004C1EBA">
            <w:pPr>
              <w:pStyle w:val="csbody00"/>
              <w:tabs>
                <w:tab w:val="left" w:pos="811"/>
              </w:tabs>
              <w:ind w:left="742"/>
              <w:rPr>
                <w:bCs/>
                <w:lang w:val="de-DE" w:eastAsia="de-CH"/>
              </w:rPr>
            </w:pPr>
            <w:r w:rsidRPr="005C5842">
              <w:rPr>
                <w:bCs/>
                <w:lang w:val="de-DE" w:eastAsia="de-CH"/>
              </w:rPr>
              <w:t>Minister für Planung und Entwicklung, Elfenbeinküste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jc w:val="left"/>
              <w:rPr>
                <w:lang w:val="de-DE" w:eastAsia="de-CH"/>
              </w:rPr>
            </w:pPr>
          </w:p>
        </w:tc>
        <w:tc>
          <w:tcPr>
            <w:tcW w:w="1260" w:type="pct"/>
            <w:gridSpan w:val="5"/>
            <w:shd w:val="clear" w:color="auto" w:fill="auto"/>
          </w:tcPr>
          <w:p w:rsidR="004C1EBA" w:rsidRPr="00B6130D" w:rsidP="004C1EBA">
            <w:pPr>
              <w:pStyle w:val="csbody00"/>
              <w:rPr>
                <w:bCs/>
                <w:lang w:val="en-US" w:eastAsia="de-CH"/>
              </w:rPr>
            </w:pPr>
            <w:r>
              <w:rPr>
                <w:bCs/>
                <w:lang w:val="en-US" w:eastAsia="de-CH"/>
              </w:rPr>
              <w:t>1994</w:t>
            </w:r>
            <w:r w:rsidRPr="00B93FB2">
              <w:rPr>
                <w:bCs/>
                <w:lang w:val="en-US" w:eastAsia="de-CH"/>
              </w:rPr>
              <w:t>–1998</w:t>
            </w:r>
          </w:p>
        </w:tc>
        <w:tc>
          <w:tcPr>
            <w:tcW w:w="1242" w:type="pct"/>
            <w:gridSpan w:val="3"/>
            <w:shd w:val="clear" w:color="auto" w:fill="auto"/>
          </w:tcPr>
          <w:p w:rsidR="004C1EBA" w:rsidRPr="00B6130D">
            <w:pPr>
              <w:pStyle w:val="csbody00"/>
              <w:rPr>
                <w:bCs/>
                <w:lang w:eastAsia="de-CH"/>
              </w:rPr>
            </w:pPr>
            <w:r>
              <w:rPr>
                <w:bCs/>
                <w:lang w:eastAsia="de-CH"/>
              </w:rPr>
              <w:t>1994–1998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tabs>
                <w:tab w:val="left" w:pos="242"/>
              </w:tabs>
              <w:ind w:left="742"/>
              <w:rPr>
                <w:bCs/>
                <w:lang w:val="en-US" w:eastAsia="de-CH"/>
              </w:rPr>
            </w:pPr>
            <w:r w:rsidRPr="00B93FB2">
              <w:rPr>
                <w:bCs/>
                <w:lang w:val="en-US" w:eastAsia="de-CH"/>
              </w:rPr>
              <w:t>National Burea</w:t>
            </w:r>
            <w:r>
              <w:rPr>
                <w:bCs/>
                <w:lang w:val="en-US" w:eastAsia="de-CH"/>
              </w:rPr>
              <w:t>u for Technical St</w:t>
            </w:r>
            <w:r w:rsidRPr="00B93FB2">
              <w:rPr>
                <w:bCs/>
                <w:lang w:val="en-US" w:eastAsia="de-CH"/>
              </w:rPr>
              <w:t xml:space="preserve">udies &amp; Development, </w:t>
            </w:r>
            <w:r w:rsidRPr="00E93245">
              <w:rPr>
                <w:bCs/>
                <w:lang w:val="en-US" w:eastAsia="de-CH"/>
              </w:rPr>
              <w:t>Côte d'Ivoire</w:t>
            </w:r>
          </w:p>
        </w:tc>
        <w:tc>
          <w:tcPr>
            <w:tcW w:w="1242" w:type="pct"/>
            <w:gridSpan w:val="3"/>
            <w:shd w:val="clear" w:color="auto" w:fill="auto"/>
          </w:tcPr>
          <w:p w:rsidR="004C1EBA" w:rsidRPr="005C5842" w:rsidP="004C1EBA">
            <w:pPr>
              <w:pStyle w:val="csbody00"/>
              <w:tabs>
                <w:tab w:val="left" w:pos="242"/>
              </w:tabs>
              <w:ind w:left="742"/>
              <w:rPr>
                <w:bCs/>
                <w:lang w:val="de-DE" w:eastAsia="de-CH"/>
              </w:rPr>
            </w:pPr>
            <w:r w:rsidRPr="005C5842">
              <w:rPr>
                <w:bCs/>
                <w:lang w:val="de-DE" w:eastAsia="de-CH"/>
              </w:rPr>
              <w:t>Nationales Büro für Technische Studien und Entwicklung, Elfenbeinküste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jc w:val="left"/>
              <w:rPr>
                <w:lang w:val="de-DE" w:eastAsia="de-CH"/>
              </w:rPr>
            </w:pPr>
          </w:p>
        </w:tc>
        <w:tc>
          <w:tcPr>
            <w:tcW w:w="1260" w:type="pct"/>
            <w:gridSpan w:val="5"/>
            <w:shd w:val="clear" w:color="auto" w:fill="auto"/>
          </w:tcPr>
          <w:p w:rsidR="004C1EBA" w:rsidRPr="00B6130D" w:rsidP="004C1EBA">
            <w:pPr>
              <w:pStyle w:val="csbody00"/>
              <w:tabs>
                <w:tab w:val="left" w:pos="242"/>
              </w:tabs>
              <w:ind w:left="742"/>
              <w:rPr>
                <w:bCs/>
                <w:lang w:val="en-US" w:eastAsia="de-CH"/>
              </w:rPr>
            </w:pPr>
            <w:r w:rsidRPr="00B93FB2">
              <w:rPr>
                <w:bCs/>
                <w:lang w:val="en-US" w:eastAsia="de-CH"/>
              </w:rPr>
              <w:t>Chairman and Chief Executive</w:t>
            </w:r>
          </w:p>
        </w:tc>
        <w:tc>
          <w:tcPr>
            <w:tcW w:w="1242" w:type="pct"/>
            <w:gridSpan w:val="3"/>
            <w:shd w:val="clear" w:color="auto" w:fill="auto"/>
          </w:tcPr>
          <w:p w:rsidR="004C1EBA" w:rsidRPr="00B6130D" w:rsidP="004C1EBA">
            <w:pPr>
              <w:pStyle w:val="csbody00"/>
              <w:tabs>
                <w:tab w:val="left" w:pos="242"/>
              </w:tabs>
              <w:ind w:left="742"/>
              <w:rPr>
                <w:bCs/>
                <w:lang w:eastAsia="de-CH"/>
              </w:rPr>
            </w:pPr>
            <w:r>
              <w:rPr>
                <w:bCs/>
                <w:lang w:eastAsia="de-CH"/>
              </w:rPr>
              <w:t>Vorsitzender und Chief Executive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pPr>
              <w:pStyle w:val="csbody00"/>
              <w:rPr>
                <w:bCs/>
                <w:lang w:val="en-US" w:eastAsia="de-CH"/>
              </w:rPr>
            </w:pPr>
            <w:r>
              <w:rPr>
                <w:bCs/>
                <w:lang w:val="en-US" w:eastAsia="de-CH"/>
              </w:rPr>
              <w:t>1986–1994</w:t>
            </w:r>
          </w:p>
        </w:tc>
        <w:tc>
          <w:tcPr>
            <w:tcW w:w="1242" w:type="pct"/>
            <w:gridSpan w:val="3"/>
            <w:shd w:val="clear" w:color="auto" w:fill="auto"/>
          </w:tcPr>
          <w:p w:rsidR="004C1EBA" w:rsidRPr="00B6130D">
            <w:pPr>
              <w:pStyle w:val="csbody00"/>
              <w:rPr>
                <w:bCs/>
                <w:lang w:eastAsia="de-CH"/>
              </w:rPr>
            </w:pPr>
            <w:r>
              <w:rPr>
                <w:bCs/>
                <w:lang w:eastAsia="de-CH"/>
              </w:rPr>
              <w:t>1986–1994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tabs>
                <w:tab w:val="left" w:pos="692"/>
                <w:tab w:val="left" w:pos="742"/>
              </w:tabs>
              <w:ind w:left="884" w:hanging="67"/>
              <w:rPr>
                <w:bCs/>
                <w:lang w:val="en-US" w:eastAsia="de-CH"/>
              </w:rPr>
            </w:pPr>
            <w:r w:rsidRPr="00E93245">
              <w:rPr>
                <w:bCs/>
                <w:lang w:val="en-US" w:eastAsia="de-CH"/>
              </w:rPr>
              <w:t>McKinsey &amp; Co</w:t>
            </w:r>
            <w:r>
              <w:rPr>
                <w:bCs/>
                <w:lang w:val="en-US" w:eastAsia="de-CH"/>
              </w:rPr>
              <w:t>.</w:t>
            </w:r>
          </w:p>
        </w:tc>
        <w:tc>
          <w:tcPr>
            <w:tcW w:w="1242" w:type="pct"/>
            <w:gridSpan w:val="3"/>
            <w:shd w:val="clear" w:color="auto" w:fill="auto"/>
          </w:tcPr>
          <w:p w:rsidR="004C1EBA" w:rsidRPr="00B6130D" w:rsidP="004C1EBA">
            <w:pPr>
              <w:pStyle w:val="csbody00"/>
              <w:tabs>
                <w:tab w:val="left" w:pos="692"/>
                <w:tab w:val="left" w:pos="742"/>
              </w:tabs>
              <w:ind w:left="884" w:hanging="67"/>
              <w:rPr>
                <w:bCs/>
                <w:lang w:eastAsia="de-CH"/>
              </w:rPr>
            </w:pPr>
            <w:r>
              <w:rPr>
                <w:bCs/>
                <w:lang w:eastAsia="de-CH"/>
              </w:rPr>
              <w:t>McKinsey &amp; Co.</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B6130D" w:rsidP="004C1EBA">
            <w:pPr>
              <w:pStyle w:val="csbody00"/>
              <w:tabs>
                <w:tab w:val="left" w:pos="692"/>
                <w:tab w:val="left" w:pos="742"/>
              </w:tabs>
              <w:ind w:left="825" w:hanging="8"/>
              <w:rPr>
                <w:bCs/>
                <w:lang w:val="en-US" w:eastAsia="de-CH"/>
              </w:rPr>
            </w:pPr>
            <w:r w:rsidRPr="00E93245">
              <w:rPr>
                <w:bCs/>
                <w:lang w:val="en-US" w:eastAsia="de-CH"/>
              </w:rPr>
              <w:t>Consultant, Paris, London and New York</w:t>
            </w:r>
          </w:p>
        </w:tc>
        <w:tc>
          <w:tcPr>
            <w:tcW w:w="1242" w:type="pct"/>
            <w:gridSpan w:val="3"/>
            <w:shd w:val="clear" w:color="auto" w:fill="auto"/>
          </w:tcPr>
          <w:p w:rsidR="004C1EBA" w:rsidRPr="00B6130D" w:rsidP="004C1EBA">
            <w:pPr>
              <w:pStyle w:val="csbody00"/>
              <w:tabs>
                <w:tab w:val="left" w:pos="692"/>
                <w:tab w:val="left" w:pos="742"/>
              </w:tabs>
              <w:ind w:left="825" w:hanging="8"/>
              <w:rPr>
                <w:bCs/>
                <w:lang w:eastAsia="de-CH"/>
              </w:rPr>
            </w:pPr>
            <w:r>
              <w:rPr>
                <w:bCs/>
                <w:lang w:eastAsia="de-CH"/>
              </w:rPr>
              <w:t>Berater, Paris, London und New York</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RPr="008F2CB8" w:rsidP="004C1EBA">
            <w:pPr>
              <w:pStyle w:val="csbody00"/>
              <w:rPr>
                <w:bCs/>
                <w:lang w:eastAsia="de-CH"/>
              </w:rPr>
            </w:pPr>
            <w:r w:rsidRPr="008F2CB8">
              <w:rPr>
                <w:b/>
                <w:bCs/>
                <w:lang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90677E">
            <w:pPr>
              <w:pStyle w:val="csbody00"/>
              <w:ind w:left="27"/>
              <w:rPr>
                <w:bCs/>
                <w:lang w:val="en-US" w:eastAsia="de-CH"/>
              </w:rPr>
            </w:pPr>
            <w:r>
              <w:rPr>
                <w:bCs/>
                <w:lang w:val="en-US" w:eastAsia="de-CH"/>
              </w:rPr>
              <w:t xml:space="preserve">1988 INSEAD, MBA </w:t>
            </w:r>
          </w:p>
        </w:tc>
        <w:tc>
          <w:tcPr>
            <w:tcW w:w="1242" w:type="pct"/>
            <w:gridSpan w:val="3"/>
            <w:shd w:val="clear" w:color="auto" w:fill="auto"/>
          </w:tcPr>
          <w:p w:rsidR="004C1EBA" w:rsidRPr="0090677E">
            <w:pPr>
              <w:pStyle w:val="csbody00"/>
              <w:rPr>
                <w:bCs/>
                <w:lang w:eastAsia="de-CH"/>
              </w:rPr>
            </w:pPr>
            <w:r>
              <w:rPr>
                <w:bCs/>
                <w:lang w:eastAsia="de-CH"/>
              </w:rPr>
              <w:t>1988 INSEAD, MBA</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F2CB8" w:rsidP="004C1EBA">
            <w:pPr>
              <w:pStyle w:val="csbody00"/>
              <w:jc w:val="left"/>
              <w:rPr>
                <w:lang w:eastAsia="de-CH"/>
              </w:rPr>
            </w:pPr>
          </w:p>
        </w:tc>
        <w:tc>
          <w:tcPr>
            <w:tcW w:w="1260" w:type="pct"/>
            <w:gridSpan w:val="5"/>
            <w:shd w:val="clear" w:color="auto" w:fill="auto"/>
          </w:tcPr>
          <w:p w:rsidR="004C1EBA" w:rsidRPr="0080411A">
            <w:pPr>
              <w:pStyle w:val="csbody00"/>
              <w:rPr>
                <w:bCs/>
                <w:lang w:val="en-US" w:eastAsia="de-CH"/>
              </w:rPr>
            </w:pPr>
            <w:r>
              <w:rPr>
                <w:bCs/>
                <w:lang w:val="en-US" w:eastAsia="de-CH"/>
              </w:rPr>
              <w:t>1986 Ecole Nationale Sup</w:t>
            </w:r>
            <w:r>
              <w:t>é</w:t>
            </w:r>
            <w:r>
              <w:rPr>
                <w:bCs/>
                <w:lang w:val="en-US" w:eastAsia="de-CH"/>
              </w:rPr>
              <w:t>rieure des Mines de Paris, Advanced Mathematics and Physics</w:t>
            </w:r>
          </w:p>
        </w:tc>
        <w:tc>
          <w:tcPr>
            <w:tcW w:w="1242" w:type="pct"/>
            <w:gridSpan w:val="3"/>
            <w:shd w:val="clear" w:color="auto" w:fill="auto"/>
          </w:tcPr>
          <w:p w:rsidR="004C1EBA" w:rsidRPr="008F2CB8">
            <w:pPr>
              <w:pStyle w:val="csbody00"/>
              <w:rPr>
                <w:bCs/>
                <w:lang w:val="de-DE" w:eastAsia="de-CH"/>
              </w:rPr>
            </w:pPr>
            <w:r>
              <w:rPr>
                <w:bCs/>
                <w:lang w:val="de-DE" w:eastAsia="de-CH"/>
              </w:rPr>
              <w:t>1986 Ecole Nationale Supérieure des Mines de Paris, Höhere Mathematik und Physik</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jc w:val="left"/>
              <w:rPr>
                <w:lang w:val="de-DE" w:eastAsia="de-CH"/>
              </w:rPr>
            </w:pPr>
          </w:p>
        </w:tc>
        <w:tc>
          <w:tcPr>
            <w:tcW w:w="1260" w:type="pct"/>
            <w:gridSpan w:val="5"/>
            <w:shd w:val="clear" w:color="auto" w:fill="auto"/>
          </w:tcPr>
          <w:p w:rsidR="004C1EBA">
            <w:pPr>
              <w:pStyle w:val="csbody00"/>
              <w:rPr>
                <w:bCs/>
                <w:lang w:val="en-US" w:eastAsia="de-CH"/>
              </w:rPr>
            </w:pPr>
            <w:r>
              <w:rPr>
                <w:bCs/>
                <w:lang w:val="en-US" w:eastAsia="de-CH"/>
              </w:rPr>
              <w:t>1984 Ecole Polytechnique, Paris</w:t>
            </w:r>
          </w:p>
        </w:tc>
        <w:tc>
          <w:tcPr>
            <w:tcW w:w="1242" w:type="pct"/>
            <w:gridSpan w:val="3"/>
            <w:shd w:val="clear" w:color="auto" w:fill="auto"/>
          </w:tcPr>
          <w:p w:rsidR="004C1EBA">
            <w:pPr>
              <w:pStyle w:val="csbody00"/>
              <w:rPr>
                <w:bCs/>
                <w:lang w:val="de-DE" w:eastAsia="de-CH"/>
              </w:rPr>
            </w:pPr>
            <w:r>
              <w:rPr>
                <w:bCs/>
                <w:lang w:val="de-DE" w:eastAsia="de-CH"/>
              </w:rPr>
              <w:t>1984 Ecole Polytechnique, Paris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F2CB8" w:rsidP="004C1EBA">
            <w:pPr>
              <w:pStyle w:val="csbody00"/>
              <w:rPr>
                <w:lang w:val="de-DE" w:eastAsia="de-CH"/>
              </w:rPr>
            </w:pPr>
          </w:p>
        </w:tc>
        <w:tc>
          <w:tcPr>
            <w:tcW w:w="1257" w:type="pct"/>
            <w:gridSpan w:val="2"/>
            <w:shd w:val="clear" w:color="auto" w:fill="auto"/>
          </w:tcPr>
          <w:p w:rsidR="004C1EBA" w:rsidRPr="008F2CB8" w:rsidP="004C1EBA">
            <w:pPr>
              <w:pStyle w:val="csbody00"/>
              <w:jc w:val="left"/>
              <w:rPr>
                <w:lang w:val="de-DE" w:eastAsia="de-CH"/>
              </w:rPr>
            </w:pPr>
          </w:p>
        </w:tc>
        <w:tc>
          <w:tcPr>
            <w:tcW w:w="1260" w:type="pct"/>
            <w:gridSpan w:val="5"/>
            <w:shd w:val="clear" w:color="auto" w:fill="auto"/>
          </w:tcPr>
          <w:p w:rsidR="004C1EBA" w:rsidP="004C1EBA">
            <w:pPr>
              <w:pStyle w:val="csbody00"/>
              <w:rPr>
                <w:bCs/>
                <w:lang w:val="en-US" w:eastAsia="de-CH"/>
              </w:rPr>
            </w:pPr>
            <w:r w:rsidRPr="0080411A">
              <w:rPr>
                <w:b/>
                <w:bCs/>
                <w:lang w:val="en-US" w:eastAsia="de-CH"/>
              </w:rPr>
              <w:t>Other activities and functions</w:t>
            </w:r>
          </w:p>
        </w:tc>
        <w:tc>
          <w:tcPr>
            <w:tcW w:w="1242" w:type="pct"/>
            <w:gridSpan w:val="3"/>
            <w:shd w:val="clear" w:color="auto" w:fill="auto"/>
          </w:tcPr>
          <w:p w:rsidR="004C1EBA" w:rsidRPr="008F2CB8" w:rsidP="004C1EBA">
            <w:pPr>
              <w:pStyle w:val="csbody00"/>
              <w:rPr>
                <w:bCs/>
                <w:lang w:eastAsia="de-CH"/>
              </w:rPr>
            </w:pPr>
            <w:r w:rsidRPr="0080411A">
              <w:rPr>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F2CB8" w:rsidP="004C1EBA">
            <w:pPr>
              <w:pStyle w:val="csbody00"/>
              <w:rPr>
                <w:lang w:val="de-DE" w:eastAsia="de-CH"/>
              </w:rPr>
            </w:pPr>
          </w:p>
        </w:tc>
        <w:tc>
          <w:tcPr>
            <w:tcW w:w="1257" w:type="pct"/>
            <w:gridSpan w:val="2"/>
            <w:shd w:val="clear" w:color="auto" w:fill="auto"/>
          </w:tcPr>
          <w:p w:rsidR="004C1EBA" w:rsidRPr="008F2CB8" w:rsidP="004C1EBA">
            <w:pPr>
              <w:pStyle w:val="csbody00"/>
              <w:jc w:val="left"/>
              <w:rPr>
                <w:lang w:val="de-DE" w:eastAsia="de-CH"/>
              </w:rPr>
            </w:pPr>
          </w:p>
        </w:tc>
        <w:tc>
          <w:tcPr>
            <w:tcW w:w="1260" w:type="pct"/>
            <w:gridSpan w:val="5"/>
            <w:shd w:val="clear" w:color="auto" w:fill="auto"/>
          </w:tcPr>
          <w:p w:rsidR="004C1EBA" w:rsidRPr="0090677E" w:rsidP="004C1EBA">
            <w:pPr>
              <w:pStyle w:val="csbody00"/>
              <w:rPr>
                <w:bCs/>
                <w:lang w:val="en-US" w:eastAsia="de-CH"/>
              </w:rPr>
            </w:pPr>
            <w:r w:rsidRPr="0090677E">
              <w:rPr>
                <w:bCs/>
                <w:lang w:val="en-US" w:eastAsia="de-CH"/>
              </w:rPr>
              <w:t>European Financial Round Table, member</w:t>
            </w:r>
          </w:p>
        </w:tc>
        <w:tc>
          <w:tcPr>
            <w:tcW w:w="1242" w:type="pct"/>
            <w:gridSpan w:val="3"/>
            <w:shd w:val="clear" w:color="auto" w:fill="auto"/>
          </w:tcPr>
          <w:p w:rsidR="004C1EBA" w:rsidRPr="005C5842">
            <w:pPr>
              <w:pStyle w:val="csbody00"/>
              <w:rPr>
                <w:bCs/>
                <w:lang w:eastAsia="de-CH"/>
              </w:rPr>
            </w:pPr>
            <w:r w:rsidRPr="0090677E">
              <w:rPr>
                <w:bCs/>
                <w:lang w:val="en-US" w:eastAsia="de-CH"/>
              </w:rPr>
              <w:t xml:space="preserve">European Financial Round Table, </w:t>
            </w:r>
            <w:r>
              <w:rPr>
                <w:bCs/>
                <w:lang w:val="en-US" w:eastAsia="de-CH"/>
              </w:rPr>
              <w:t>Mitglied</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RPr="0080411A" w:rsidP="004C1EBA">
            <w:pPr>
              <w:pStyle w:val="csbody00"/>
              <w:rPr>
                <w:bCs/>
                <w:lang w:val="en-US" w:eastAsia="de-CH"/>
              </w:rPr>
            </w:pPr>
            <w:r w:rsidRPr="0090677E">
              <w:rPr>
                <w:bCs/>
                <w:lang w:val="en-US" w:eastAsia="de-CH"/>
              </w:rPr>
              <w:t>UK Prime Minister’s Business Advisory Group, member</w:t>
            </w:r>
          </w:p>
        </w:tc>
        <w:tc>
          <w:tcPr>
            <w:tcW w:w="1242" w:type="pct"/>
            <w:gridSpan w:val="3"/>
            <w:shd w:val="clear" w:color="auto" w:fill="auto"/>
          </w:tcPr>
          <w:p w:rsidR="004C1EBA" w:rsidRPr="008F2CB8">
            <w:pPr>
              <w:pStyle w:val="csbody00"/>
              <w:rPr>
                <w:bCs/>
                <w:lang w:eastAsia="de-CH"/>
              </w:rPr>
            </w:pPr>
            <w:r w:rsidRPr="0090677E">
              <w:rPr>
                <w:bCs/>
                <w:lang w:val="en-US" w:eastAsia="de-CH"/>
              </w:rPr>
              <w:t xml:space="preserve">UK Prime Minister’s Business Advisory Group, </w:t>
            </w:r>
            <w:r>
              <w:rPr>
                <w:bCs/>
                <w:lang w:val="en-US" w:eastAsia="de-CH"/>
              </w:rPr>
              <w:t>Mitglied</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RPr="0080411A" w:rsidP="004C1EBA">
            <w:pPr>
              <w:pStyle w:val="csbody00"/>
              <w:rPr>
                <w:bCs/>
                <w:lang w:val="en-US" w:eastAsia="de-CH"/>
              </w:rPr>
            </w:pPr>
            <w:r w:rsidRPr="0090677E">
              <w:rPr>
                <w:bCs/>
                <w:lang w:val="en-US" w:eastAsia="de-CH"/>
              </w:rPr>
              <w:t>21st Century Fox, board member</w:t>
            </w:r>
          </w:p>
        </w:tc>
        <w:tc>
          <w:tcPr>
            <w:tcW w:w="1242" w:type="pct"/>
            <w:gridSpan w:val="3"/>
            <w:shd w:val="clear" w:color="auto" w:fill="auto"/>
          </w:tcPr>
          <w:p w:rsidR="004C1EBA" w:rsidRPr="005C5842">
            <w:pPr>
              <w:pStyle w:val="csbody00"/>
              <w:rPr>
                <w:bCs/>
                <w:lang w:val="de-DE" w:eastAsia="de-CH"/>
              </w:rPr>
            </w:pPr>
            <w:r w:rsidRPr="005C5842">
              <w:rPr>
                <w:bCs/>
                <w:lang w:val="de-DE" w:eastAsia="de-CH"/>
              </w:rPr>
              <w:t>21st Century Fox, Mitglied des Verwaltungsrats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r>
              <w:rPr>
                <w:lang w:eastAsia="de-CH"/>
              </w:rPr>
              <w:t>Thomas Gottstein</w:t>
            </w:r>
          </w:p>
        </w:tc>
        <w:tc>
          <w:tcPr>
            <w:tcW w:w="1257" w:type="pct"/>
            <w:gridSpan w:val="2"/>
            <w:shd w:val="clear" w:color="auto" w:fill="auto"/>
          </w:tcPr>
          <w:p w:rsidR="004C1EBA" w:rsidRPr="005C5842" w:rsidP="004C1EBA">
            <w:pPr>
              <w:pStyle w:val="csbody00"/>
              <w:jc w:val="left"/>
              <w:rPr>
                <w:lang w:val="de-DE" w:eastAsia="de-CH"/>
              </w:rPr>
            </w:pPr>
            <w:r w:rsidRPr="0080411A">
              <w:rPr>
                <w:lang w:val="de-CH" w:eastAsia="de-CH"/>
              </w:rPr>
              <w:t>Credit Suisse 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0411A" w:rsidP="004C1EBA">
            <w:pPr>
              <w:pStyle w:val="csbody00"/>
              <w:rPr>
                <w:rFonts w:ascii="Times New Roman" w:hAnsi="Times New Roman"/>
                <w:sz w:val="20"/>
                <w:szCs w:val="20"/>
                <w:lang w:eastAsia="de-CH"/>
              </w:rPr>
            </w:pPr>
            <w:r>
              <w:rPr>
                <w:bCs/>
                <w:lang w:val="en-US" w:eastAsia="de-CH"/>
              </w:rPr>
              <w:t>1999</w:t>
            </w:r>
            <w:r w:rsidR="00D622A6">
              <w:rPr>
                <w:bCs/>
                <w:lang w:val="en-US" w:eastAsia="de-CH"/>
              </w:rPr>
              <w:t xml:space="preserve"> </w:t>
            </w:r>
            <w:r w:rsidRPr="0080411A">
              <w:rPr>
                <w:bCs/>
                <w:lang w:val="en-US" w:eastAsia="de-CH"/>
              </w:rPr>
              <w:t>–</w:t>
            </w:r>
            <w:r w:rsidR="00D622A6">
              <w:rPr>
                <w:bCs/>
                <w:lang w:val="en-US" w:eastAsia="de-CH"/>
              </w:rPr>
              <w:t xml:space="preserve"> </w:t>
            </w:r>
            <w:r w:rsidRPr="0080411A">
              <w:rPr>
                <w:bCs/>
                <w:lang w:val="en-US" w:eastAsia="de-CH"/>
              </w:rPr>
              <w:t xml:space="preserve">present </w:t>
            </w:r>
          </w:p>
        </w:tc>
        <w:tc>
          <w:tcPr>
            <w:tcW w:w="1242" w:type="pct"/>
            <w:gridSpan w:val="3"/>
            <w:shd w:val="clear" w:color="auto" w:fill="auto"/>
          </w:tcPr>
          <w:p w:rsidR="004C1EBA" w:rsidRPr="0080411A" w:rsidP="004C1EBA">
            <w:pPr>
              <w:pStyle w:val="csbody00"/>
              <w:rPr>
                <w:b/>
                <w:bCs/>
                <w:lang w:val="de-DE" w:eastAsia="de-CH"/>
              </w:rPr>
            </w:pPr>
            <w:r w:rsidRPr="0080411A">
              <w:rPr>
                <w:b/>
                <w:bCs/>
                <w:lang w:val="de-DE" w:eastAsia="de-CH"/>
              </w:rPr>
              <w:t>Werdegang</w:t>
            </w:r>
          </w:p>
          <w:p w:rsidR="004C1EBA" w:rsidRPr="0080411A">
            <w:pPr>
              <w:pStyle w:val="csbody00"/>
              <w:rPr>
                <w:lang w:val="de-DE" w:eastAsia="de-CH"/>
              </w:rPr>
            </w:pPr>
            <w:r>
              <w:rPr>
                <w:bCs/>
                <w:lang w:val="de-DE" w:eastAsia="de-CH"/>
              </w:rPr>
              <w:t>1999</w:t>
            </w:r>
            <w:r w:rsidRPr="0080411A">
              <w:rPr>
                <w:bCs/>
                <w:lang w:val="de-DE" w:eastAsia="de-CH"/>
              </w:rPr>
              <w:t xml:space="preserve"> bis heute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
                <w:bCs/>
                <w:lang w:val="en-US" w:eastAsia="de-CH"/>
              </w:rPr>
            </w:pPr>
            <w:r w:rsidRPr="0080411A">
              <w:rPr>
                <w:bCs/>
                <w:lang w:val="en-US" w:eastAsia="de-CH"/>
              </w:rPr>
              <w:t>Credit Suisse</w:t>
            </w:r>
          </w:p>
        </w:tc>
        <w:tc>
          <w:tcPr>
            <w:tcW w:w="1242" w:type="pct"/>
            <w:gridSpan w:val="3"/>
            <w:shd w:val="clear" w:color="auto" w:fill="auto"/>
          </w:tcPr>
          <w:p w:rsidR="004C1EBA" w:rsidRPr="0080411A" w:rsidP="004C1EBA">
            <w:pPr>
              <w:pStyle w:val="csbody00"/>
              <w:ind w:left="720"/>
              <w:rPr>
                <w:b/>
                <w:bCs/>
                <w:lang w:val="de-DE" w:eastAsia="de-CH"/>
              </w:rPr>
            </w:pPr>
            <w:r w:rsidRPr="0080411A">
              <w:rPr>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pPr>
              <w:pStyle w:val="csbody00"/>
              <w:ind w:left="720"/>
              <w:rPr>
                <w:bCs/>
                <w:lang w:val="en-US" w:eastAsia="de-CH"/>
              </w:rPr>
            </w:pPr>
            <w:r w:rsidRPr="00693C2A">
              <w:rPr>
                <w:bCs/>
                <w:lang w:val="en-US" w:eastAsia="de-CH"/>
              </w:rPr>
              <w:t>CEO Swiss Universal Bank (</w:t>
            </w:r>
            <w:r w:rsidR="00D622A6">
              <w:rPr>
                <w:bCs/>
                <w:lang w:val="en-US" w:eastAsia="de-CH"/>
              </w:rPr>
              <w:t>since</w:t>
            </w:r>
            <w:r w:rsidRPr="00693C2A">
              <w:rPr>
                <w:bCs/>
                <w:lang w:val="en-US" w:eastAsia="de-CH"/>
              </w:rPr>
              <w:t xml:space="preserve"> </w:t>
            </w:r>
            <w:r w:rsidR="005F32B9">
              <w:rPr>
                <w:bCs/>
                <w:lang w:val="en-US" w:eastAsia="de-CH"/>
              </w:rPr>
              <w:t xml:space="preserve">22 </w:t>
            </w:r>
            <w:r w:rsidRPr="00693C2A">
              <w:rPr>
                <w:bCs/>
                <w:lang w:val="en-US" w:eastAsia="de-CH"/>
              </w:rPr>
              <w:t>October 2015)</w:t>
            </w:r>
          </w:p>
        </w:tc>
        <w:tc>
          <w:tcPr>
            <w:tcW w:w="1242" w:type="pct"/>
            <w:gridSpan w:val="3"/>
            <w:shd w:val="clear" w:color="auto" w:fill="auto"/>
          </w:tcPr>
          <w:p w:rsidR="004C1EBA" w:rsidRPr="00FB4503">
            <w:pPr>
              <w:pStyle w:val="csbody00"/>
              <w:ind w:left="720"/>
              <w:rPr>
                <w:bCs/>
                <w:lang w:val="de-DE" w:eastAsia="de-CH"/>
              </w:rPr>
            </w:pPr>
            <w:r w:rsidRPr="00693C2A">
              <w:rPr>
                <w:bCs/>
                <w:lang w:val="de-DE" w:eastAsia="de-CH"/>
              </w:rPr>
              <w:t>CEO Swiss Universal Bank (</w:t>
            </w:r>
            <w:r>
              <w:rPr>
                <w:bCs/>
                <w:lang w:val="de-DE" w:eastAsia="de-CH"/>
              </w:rPr>
              <w:t>seit dem 22. Oktober</w:t>
            </w:r>
            <w:r w:rsidRPr="00693C2A">
              <w:rPr>
                <w:bCs/>
                <w:lang w:val="de-DE" w:eastAsia="de-CH"/>
              </w:rPr>
              <w:t xml:space="preserve">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D622A6" w:rsidRPr="0080411A" w:rsidP="004C1EBA">
            <w:pPr>
              <w:pStyle w:val="csbody00"/>
              <w:rPr>
                <w:lang w:eastAsia="de-CH"/>
              </w:rPr>
            </w:pPr>
          </w:p>
        </w:tc>
        <w:tc>
          <w:tcPr>
            <w:tcW w:w="1257" w:type="pct"/>
            <w:gridSpan w:val="2"/>
            <w:shd w:val="clear" w:color="auto" w:fill="auto"/>
          </w:tcPr>
          <w:p w:rsidR="00D622A6" w:rsidRPr="0080411A" w:rsidP="004C1EBA">
            <w:pPr>
              <w:pStyle w:val="csbody00"/>
              <w:rPr>
                <w:lang w:eastAsia="de-CH"/>
              </w:rPr>
            </w:pPr>
          </w:p>
        </w:tc>
        <w:tc>
          <w:tcPr>
            <w:tcW w:w="1260" w:type="pct"/>
            <w:gridSpan w:val="5"/>
            <w:shd w:val="clear" w:color="auto" w:fill="auto"/>
          </w:tcPr>
          <w:p w:rsidR="00D622A6" w:rsidRPr="00693C2A">
            <w:pPr>
              <w:pStyle w:val="csbody00"/>
              <w:ind w:left="720"/>
              <w:rPr>
                <w:bCs/>
                <w:lang w:val="en-US" w:eastAsia="de-CH"/>
              </w:rPr>
            </w:pPr>
            <w:r>
              <w:rPr>
                <w:bCs/>
                <w:lang w:val="en-US" w:eastAsia="de-CH"/>
              </w:rPr>
              <w:t xml:space="preserve">Member of the Executive Board since </w:t>
            </w:r>
            <w:r w:rsidR="002E5565">
              <w:rPr>
                <w:bCs/>
                <w:lang w:val="en-US" w:eastAsia="de-CH"/>
              </w:rPr>
              <w:t xml:space="preserve">22 </w:t>
            </w:r>
            <w:r>
              <w:rPr>
                <w:bCs/>
                <w:lang w:val="en-US" w:eastAsia="de-CH"/>
              </w:rPr>
              <w:t>October 2015</w:t>
            </w:r>
          </w:p>
        </w:tc>
        <w:tc>
          <w:tcPr>
            <w:tcW w:w="1242" w:type="pct"/>
            <w:gridSpan w:val="3"/>
            <w:shd w:val="clear" w:color="auto" w:fill="auto"/>
          </w:tcPr>
          <w:p w:rsidR="00D622A6" w:rsidRPr="00D622A6">
            <w:pPr>
              <w:pStyle w:val="csbody00"/>
              <w:ind w:left="720"/>
              <w:rPr>
                <w:bCs/>
                <w:lang w:val="de-DE" w:eastAsia="de-CH"/>
              </w:rPr>
            </w:pPr>
            <w:r w:rsidRPr="00BD6E0D">
              <w:rPr>
                <w:bCs/>
                <w:lang w:val="de-DE" w:eastAsia="de-CH"/>
              </w:rPr>
              <w:t>Mitglied der Geschäftsleitung seit 22. Oktober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D622A6" w:rsidP="004C1EBA">
            <w:pPr>
              <w:pStyle w:val="csbody00"/>
              <w:rPr>
                <w:lang w:val="de-DE" w:eastAsia="de-CH"/>
              </w:rPr>
            </w:pPr>
          </w:p>
        </w:tc>
        <w:tc>
          <w:tcPr>
            <w:tcW w:w="1257" w:type="pct"/>
            <w:gridSpan w:val="2"/>
            <w:shd w:val="clear" w:color="auto" w:fill="auto"/>
          </w:tcPr>
          <w:p w:rsidR="004C1EBA" w:rsidRPr="00D622A6" w:rsidP="004C1EBA">
            <w:pPr>
              <w:pStyle w:val="csbody00"/>
              <w:rPr>
                <w:lang w:val="de-DE" w:eastAsia="de-CH"/>
              </w:rPr>
            </w:pPr>
          </w:p>
        </w:tc>
        <w:tc>
          <w:tcPr>
            <w:tcW w:w="1260" w:type="pct"/>
            <w:gridSpan w:val="5"/>
            <w:shd w:val="clear" w:color="auto" w:fill="auto"/>
          </w:tcPr>
          <w:p w:rsidR="004C1EBA" w:rsidRPr="0080411A" w:rsidP="004C1EBA">
            <w:pPr>
              <w:pStyle w:val="csbody00"/>
              <w:ind w:left="720"/>
              <w:rPr>
                <w:bCs/>
                <w:lang w:val="en-US" w:eastAsia="de-CH"/>
              </w:rPr>
            </w:pPr>
            <w:r w:rsidRPr="00693C2A">
              <w:rPr>
                <w:bCs/>
                <w:lang w:val="en-US" w:eastAsia="de-CH"/>
              </w:rPr>
              <w:t>Head of Premium Clients Switzerland &amp; Global External Asset Managers (2014-2015)</w:t>
            </w:r>
          </w:p>
        </w:tc>
        <w:tc>
          <w:tcPr>
            <w:tcW w:w="1242" w:type="pct"/>
            <w:gridSpan w:val="3"/>
            <w:shd w:val="clear" w:color="auto" w:fill="auto"/>
          </w:tcPr>
          <w:p w:rsidR="004C1EBA" w:rsidRPr="0080411A">
            <w:pPr>
              <w:pStyle w:val="csbody00"/>
              <w:ind w:left="720"/>
              <w:rPr>
                <w:bCs/>
                <w:lang w:val="de-DE" w:eastAsia="de-CH"/>
              </w:rPr>
            </w:pPr>
            <w:r>
              <w:rPr>
                <w:bCs/>
                <w:lang w:val="de-DE" w:eastAsia="de-CH"/>
              </w:rPr>
              <w:t>Leiter</w:t>
            </w:r>
            <w:r w:rsidRPr="00693C2A">
              <w:rPr>
                <w:bCs/>
                <w:lang w:val="de-DE" w:eastAsia="de-CH"/>
              </w:rPr>
              <w:t xml:space="preserve"> Premium Clients S</w:t>
            </w:r>
            <w:r>
              <w:rPr>
                <w:bCs/>
                <w:lang w:val="de-DE" w:eastAsia="de-CH"/>
              </w:rPr>
              <w:t>chweiz</w:t>
            </w:r>
            <w:r w:rsidRPr="00693C2A">
              <w:rPr>
                <w:bCs/>
                <w:lang w:val="de-DE" w:eastAsia="de-CH"/>
              </w:rPr>
              <w:t xml:space="preserve"> &amp; Global External Asset Managers (2014-2015)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F36E74" w:rsidP="004C1EBA">
            <w:pPr>
              <w:pStyle w:val="csbody00"/>
              <w:rPr>
                <w:lang w:val="de-DE" w:eastAsia="de-CH"/>
              </w:rPr>
            </w:pPr>
          </w:p>
        </w:tc>
        <w:tc>
          <w:tcPr>
            <w:tcW w:w="1260" w:type="pct"/>
            <w:gridSpan w:val="5"/>
            <w:shd w:val="clear" w:color="auto" w:fill="auto"/>
          </w:tcPr>
          <w:p w:rsidR="004C1EBA" w:rsidRPr="0080411A" w:rsidP="004C1EBA">
            <w:pPr>
              <w:pStyle w:val="csbody00"/>
              <w:ind w:left="720"/>
              <w:rPr>
                <w:bCs/>
                <w:lang w:val="en-US" w:eastAsia="de-CH"/>
              </w:rPr>
            </w:pPr>
            <w:r w:rsidRPr="00693C2A">
              <w:rPr>
                <w:bCs/>
                <w:lang w:val="en-US" w:eastAsia="de-CH"/>
              </w:rPr>
              <w:t>Head of Investment Banking Coverage Switzerland (2010-2013)</w:t>
            </w:r>
          </w:p>
        </w:tc>
        <w:tc>
          <w:tcPr>
            <w:tcW w:w="1242" w:type="pct"/>
            <w:gridSpan w:val="3"/>
            <w:shd w:val="clear" w:color="auto" w:fill="auto"/>
          </w:tcPr>
          <w:p w:rsidR="004C1EBA" w:rsidRPr="00FB4503">
            <w:pPr>
              <w:pStyle w:val="csbody00"/>
              <w:ind w:left="720"/>
              <w:rPr>
                <w:bCs/>
                <w:lang w:val="en-US" w:eastAsia="de-CH"/>
              </w:rPr>
            </w:pPr>
            <w:r>
              <w:rPr>
                <w:bCs/>
                <w:lang w:val="en-US" w:eastAsia="de-CH"/>
              </w:rPr>
              <w:t>Leiter</w:t>
            </w:r>
            <w:r w:rsidRPr="00693C2A">
              <w:rPr>
                <w:bCs/>
                <w:lang w:val="en-US" w:eastAsia="de-CH"/>
              </w:rPr>
              <w:t xml:space="preserve"> Investment Banking Coverage S</w:t>
            </w:r>
            <w:r>
              <w:rPr>
                <w:bCs/>
                <w:lang w:val="en-US" w:eastAsia="de-CH"/>
              </w:rPr>
              <w:t>chweiz</w:t>
            </w:r>
            <w:r w:rsidRPr="00693C2A">
              <w:rPr>
                <w:bCs/>
                <w:lang w:val="en-US" w:eastAsia="de-CH"/>
              </w:rPr>
              <w:t xml:space="preserve"> (2010-2013)</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693C2A">
              <w:rPr>
                <w:bCs/>
                <w:lang w:val="en-US" w:eastAsia="de-CH"/>
              </w:rPr>
              <w:t>Co-Head of Equity Capital Markets EMEA (2007-2009)</w:t>
            </w:r>
          </w:p>
        </w:tc>
        <w:tc>
          <w:tcPr>
            <w:tcW w:w="1242" w:type="pct"/>
            <w:gridSpan w:val="3"/>
            <w:shd w:val="clear" w:color="auto" w:fill="auto"/>
          </w:tcPr>
          <w:p w:rsidR="004C1EBA" w:rsidRPr="0080411A">
            <w:pPr>
              <w:pStyle w:val="csbody00"/>
              <w:ind w:left="720"/>
              <w:rPr>
                <w:bCs/>
                <w:lang w:val="en-US" w:eastAsia="de-CH"/>
              </w:rPr>
            </w:pPr>
            <w:r w:rsidRPr="00693C2A">
              <w:rPr>
                <w:bCs/>
                <w:lang w:val="en-US" w:eastAsia="de-CH"/>
              </w:rPr>
              <w:t>Co-</w:t>
            </w:r>
            <w:r>
              <w:rPr>
                <w:bCs/>
                <w:lang w:val="en-US" w:eastAsia="de-CH"/>
              </w:rPr>
              <w:t>Leiter</w:t>
            </w:r>
            <w:r w:rsidRPr="00693C2A">
              <w:rPr>
                <w:bCs/>
                <w:lang w:val="en-US" w:eastAsia="de-CH"/>
              </w:rPr>
              <w:t xml:space="preserve"> Equity Capital Markets </w:t>
            </w:r>
            <w:r>
              <w:rPr>
                <w:bCs/>
                <w:lang w:val="en-US" w:eastAsia="de-CH"/>
              </w:rPr>
              <w:t>EMEA</w:t>
            </w:r>
            <w:r w:rsidRPr="00693C2A">
              <w:rPr>
                <w:bCs/>
                <w:lang w:val="en-US" w:eastAsia="de-CH"/>
              </w:rPr>
              <w:t xml:space="preserve"> (2007-2009)</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693C2A" w:rsidP="004C1EBA">
            <w:pPr>
              <w:pStyle w:val="csbody00"/>
              <w:ind w:left="720"/>
              <w:rPr>
                <w:bCs/>
                <w:lang w:val="en-US" w:eastAsia="de-CH"/>
              </w:rPr>
            </w:pPr>
            <w:r w:rsidRPr="00693C2A">
              <w:rPr>
                <w:bCs/>
                <w:lang w:val="en-US" w:eastAsia="de-CH"/>
              </w:rPr>
              <w:t>Head Equity Capital Markets Switzerland, Austria and Scandinavia (2005-2007), London</w:t>
            </w:r>
          </w:p>
        </w:tc>
        <w:tc>
          <w:tcPr>
            <w:tcW w:w="1242" w:type="pct"/>
            <w:gridSpan w:val="3"/>
            <w:shd w:val="clear" w:color="auto" w:fill="auto"/>
          </w:tcPr>
          <w:p w:rsidR="004C1EBA" w:rsidRPr="005C5842">
            <w:pPr>
              <w:pStyle w:val="csbody00"/>
              <w:ind w:left="720"/>
              <w:rPr>
                <w:bCs/>
                <w:lang w:val="de-DE" w:eastAsia="de-CH"/>
              </w:rPr>
            </w:pPr>
            <w:r w:rsidRPr="005C5842">
              <w:rPr>
                <w:bCs/>
                <w:lang w:val="de-DE" w:eastAsia="de-CH"/>
              </w:rPr>
              <w:t>Leiter Equity Capital Markets Schweiz, Österreich und Skandinavien (2005-2007), London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rPr>
                <w:lang w:val="de-DE" w:eastAsia="de-CH"/>
              </w:rPr>
            </w:pPr>
          </w:p>
        </w:tc>
        <w:tc>
          <w:tcPr>
            <w:tcW w:w="1260" w:type="pct"/>
            <w:gridSpan w:val="5"/>
            <w:shd w:val="clear" w:color="auto" w:fill="auto"/>
          </w:tcPr>
          <w:p w:rsidR="004C1EBA" w:rsidRPr="00693C2A" w:rsidP="004C1EBA">
            <w:pPr>
              <w:pStyle w:val="csbody00"/>
              <w:ind w:left="720"/>
              <w:rPr>
                <w:bCs/>
                <w:lang w:val="en-US" w:eastAsia="de-CH"/>
              </w:rPr>
            </w:pPr>
            <w:r w:rsidRPr="00693C2A">
              <w:rPr>
                <w:bCs/>
                <w:lang w:val="en-US" w:eastAsia="de-CH"/>
              </w:rPr>
              <w:t>Head Equity Capital Markets Switzerland (2002-2005), Zurich</w:t>
            </w:r>
          </w:p>
        </w:tc>
        <w:tc>
          <w:tcPr>
            <w:tcW w:w="1242" w:type="pct"/>
            <w:gridSpan w:val="3"/>
            <w:shd w:val="clear" w:color="auto" w:fill="auto"/>
          </w:tcPr>
          <w:p w:rsidR="004C1EBA" w:rsidRPr="005A78B7">
            <w:pPr>
              <w:pStyle w:val="csbody00"/>
              <w:ind w:left="720"/>
              <w:rPr>
                <w:bCs/>
                <w:lang w:val="de-DE" w:eastAsia="de-CH"/>
              </w:rPr>
            </w:pPr>
            <w:r w:rsidRPr="005A78B7">
              <w:rPr>
                <w:bCs/>
                <w:lang w:val="de-DE" w:eastAsia="de-CH"/>
              </w:rPr>
              <w:t>Leiter Equity Capital Markets Schweiz (2002-2005), Zürich</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A78B7" w:rsidP="004C1EBA">
            <w:pPr>
              <w:pStyle w:val="csbody00"/>
              <w:rPr>
                <w:lang w:val="de-DE" w:eastAsia="de-CH"/>
              </w:rPr>
            </w:pPr>
          </w:p>
        </w:tc>
        <w:tc>
          <w:tcPr>
            <w:tcW w:w="1257" w:type="pct"/>
            <w:gridSpan w:val="2"/>
            <w:shd w:val="clear" w:color="auto" w:fill="auto"/>
          </w:tcPr>
          <w:p w:rsidR="004C1EBA" w:rsidRPr="005A78B7" w:rsidP="004C1EBA">
            <w:pPr>
              <w:pStyle w:val="csbody00"/>
              <w:rPr>
                <w:lang w:val="de-DE" w:eastAsia="de-CH"/>
              </w:rPr>
            </w:pPr>
          </w:p>
        </w:tc>
        <w:tc>
          <w:tcPr>
            <w:tcW w:w="1260" w:type="pct"/>
            <w:gridSpan w:val="5"/>
            <w:shd w:val="clear" w:color="auto" w:fill="auto"/>
          </w:tcPr>
          <w:p w:rsidR="004C1EBA" w:rsidRPr="00693C2A" w:rsidP="004C1EBA">
            <w:pPr>
              <w:pStyle w:val="csbody00"/>
              <w:ind w:left="720"/>
              <w:rPr>
                <w:bCs/>
                <w:lang w:val="en-US" w:eastAsia="de-CH"/>
              </w:rPr>
            </w:pPr>
            <w:r w:rsidRPr="00693C2A">
              <w:rPr>
                <w:bCs/>
                <w:lang w:val="en-US" w:eastAsia="de-CH"/>
              </w:rPr>
              <w:t>IBD Switzerland (1999-2002), London</w:t>
            </w:r>
          </w:p>
        </w:tc>
        <w:tc>
          <w:tcPr>
            <w:tcW w:w="1242" w:type="pct"/>
            <w:gridSpan w:val="3"/>
            <w:shd w:val="clear" w:color="auto" w:fill="auto"/>
          </w:tcPr>
          <w:p w:rsidR="004C1EBA" w:rsidRPr="00693C2A">
            <w:pPr>
              <w:pStyle w:val="csbody00"/>
              <w:ind w:left="720"/>
              <w:rPr>
                <w:bCs/>
                <w:lang w:val="en-US" w:eastAsia="de-CH"/>
              </w:rPr>
            </w:pPr>
            <w:r w:rsidRPr="00693C2A">
              <w:rPr>
                <w:bCs/>
                <w:lang w:val="en-US" w:eastAsia="de-CH"/>
              </w:rPr>
              <w:t xml:space="preserve">IBD </w:t>
            </w:r>
            <w:r>
              <w:rPr>
                <w:bCs/>
                <w:lang w:val="en-US" w:eastAsia="de-CH"/>
              </w:rPr>
              <w:t>Schweiz</w:t>
            </w:r>
            <w:r w:rsidRPr="00693C2A">
              <w:rPr>
                <w:bCs/>
                <w:lang w:val="en-US" w:eastAsia="de-CH"/>
              </w:rPr>
              <w:t xml:space="preserve"> (1999-2002), London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pPr>
              <w:pStyle w:val="csbody00"/>
              <w:rPr>
                <w:bCs/>
                <w:lang w:val="en-US" w:eastAsia="de-CH"/>
              </w:rPr>
            </w:pPr>
            <w:r w:rsidRPr="0080411A">
              <w:rPr>
                <w:bCs/>
                <w:lang w:val="en-US" w:eastAsia="de-CH"/>
              </w:rPr>
              <w:t>199</w:t>
            </w:r>
            <w:r>
              <w:rPr>
                <w:bCs/>
                <w:lang w:val="en-US" w:eastAsia="de-CH"/>
              </w:rPr>
              <w:t>3</w:t>
            </w:r>
            <w:r w:rsidRPr="0080411A">
              <w:rPr>
                <w:bCs/>
                <w:lang w:val="en-US" w:eastAsia="de-CH"/>
              </w:rPr>
              <w:t>–</w:t>
            </w:r>
            <w:r>
              <w:rPr>
                <w:bCs/>
                <w:lang w:val="en-US" w:eastAsia="de-CH"/>
              </w:rPr>
              <w:t>1999</w:t>
            </w:r>
            <w:r w:rsidRPr="0080411A">
              <w:rPr>
                <w:bCs/>
                <w:lang w:val="en-US" w:eastAsia="de-CH"/>
              </w:rPr>
              <w:t xml:space="preserve"> </w:t>
            </w:r>
          </w:p>
        </w:tc>
        <w:tc>
          <w:tcPr>
            <w:tcW w:w="1242" w:type="pct"/>
            <w:gridSpan w:val="3"/>
            <w:shd w:val="clear" w:color="auto" w:fill="auto"/>
          </w:tcPr>
          <w:p w:rsidR="004C1EBA" w:rsidRPr="0080411A">
            <w:pPr>
              <w:pStyle w:val="csbody00"/>
              <w:rPr>
                <w:bCs/>
                <w:lang w:val="en-US" w:eastAsia="de-CH"/>
              </w:rPr>
            </w:pPr>
            <w:r w:rsidRPr="0080411A">
              <w:rPr>
                <w:bCs/>
                <w:lang w:val="en-US" w:eastAsia="de-CH"/>
              </w:rPr>
              <w:t>199</w:t>
            </w:r>
            <w:r>
              <w:rPr>
                <w:bCs/>
                <w:lang w:val="en-US" w:eastAsia="de-CH"/>
              </w:rPr>
              <w:t>3</w:t>
            </w:r>
            <w:r w:rsidRPr="0080411A">
              <w:rPr>
                <w:bCs/>
                <w:lang w:val="en-US" w:eastAsia="de-CH"/>
              </w:rPr>
              <w:t>–</w:t>
            </w:r>
            <w:r>
              <w:rPr>
                <w:bCs/>
                <w:lang w:val="en-US" w:eastAsia="de-CH"/>
              </w:rPr>
              <w:t>1999</w:t>
            </w:r>
            <w:r w:rsidRPr="0080411A">
              <w:rPr>
                <w:bCs/>
                <w:lang w:val="en-US" w:eastAsia="de-CH"/>
              </w:rPr>
              <w:t xml:space="preserve">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Pr>
                <w:bCs/>
                <w:lang w:val="en-US" w:eastAsia="de-CH"/>
              </w:rPr>
              <w:t>UBS</w:t>
            </w:r>
          </w:p>
        </w:tc>
        <w:tc>
          <w:tcPr>
            <w:tcW w:w="1242" w:type="pct"/>
            <w:gridSpan w:val="3"/>
            <w:shd w:val="clear" w:color="auto" w:fill="auto"/>
          </w:tcPr>
          <w:p w:rsidR="004C1EBA" w:rsidRPr="0080411A" w:rsidP="004C1EBA">
            <w:pPr>
              <w:pStyle w:val="csbody00"/>
              <w:ind w:left="720"/>
              <w:rPr>
                <w:bCs/>
                <w:lang w:val="en-US" w:eastAsia="de-CH"/>
              </w:rPr>
            </w:pPr>
            <w:r>
              <w:rPr>
                <w:bCs/>
                <w:lang w:val="en-US" w:eastAsia="de-CH"/>
              </w:rPr>
              <w:t>UBS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693C2A">
              <w:rPr>
                <w:bCs/>
                <w:lang w:val="en-US" w:eastAsia="de-CH"/>
              </w:rPr>
              <w:t>Telecoms Investment Banking and ECM</w:t>
            </w:r>
          </w:p>
        </w:tc>
        <w:tc>
          <w:tcPr>
            <w:tcW w:w="1242" w:type="pct"/>
            <w:gridSpan w:val="3"/>
            <w:shd w:val="clear" w:color="auto" w:fill="auto"/>
          </w:tcPr>
          <w:p w:rsidR="004C1EBA" w:rsidRPr="0080411A">
            <w:pPr>
              <w:pStyle w:val="csbody00"/>
              <w:ind w:left="720"/>
              <w:rPr>
                <w:bCs/>
                <w:lang w:val="en-US" w:eastAsia="de-CH"/>
              </w:rPr>
            </w:pPr>
            <w:r w:rsidRPr="00693C2A">
              <w:rPr>
                <w:bCs/>
                <w:lang w:val="en-US" w:eastAsia="de-CH"/>
              </w:rPr>
              <w:t xml:space="preserve">Telecoms Investment Banking </w:t>
            </w:r>
            <w:r>
              <w:rPr>
                <w:bCs/>
                <w:lang w:val="en-US" w:eastAsia="de-CH"/>
              </w:rPr>
              <w:t>and</w:t>
            </w:r>
            <w:r w:rsidRPr="00693C2A">
              <w:rPr>
                <w:bCs/>
                <w:lang w:val="en-US" w:eastAsia="de-CH"/>
              </w:rPr>
              <w:t xml:space="preserve"> ECM</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RPr="0080411A" w:rsidP="004C1EBA">
            <w:pPr>
              <w:pStyle w:val="csbody00"/>
              <w:rPr>
                <w:bCs/>
                <w:lang w:val="de-DE" w:eastAsia="de-CH"/>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FB4503" w:rsidP="004C1EBA">
            <w:pPr>
              <w:pStyle w:val="csbody00"/>
              <w:rPr>
                <w:bCs/>
                <w:lang w:eastAsia="de-CH"/>
              </w:rPr>
            </w:pPr>
            <w:r w:rsidRPr="00D41A6A">
              <w:rPr>
                <w:bCs/>
                <w:lang w:eastAsia="de-CH"/>
              </w:rPr>
              <w:t>1996 Doctoral Degree in Finance and Accounting, University of Zurich</w:t>
            </w:r>
          </w:p>
        </w:tc>
        <w:tc>
          <w:tcPr>
            <w:tcW w:w="1242" w:type="pct"/>
            <w:gridSpan w:val="3"/>
            <w:shd w:val="clear" w:color="auto" w:fill="auto"/>
          </w:tcPr>
          <w:p w:rsidR="004C1EBA" w:rsidRPr="0080411A">
            <w:pPr>
              <w:pStyle w:val="csbody00"/>
              <w:rPr>
                <w:bCs/>
                <w:lang w:val="de-DE" w:eastAsia="de-CH"/>
              </w:rPr>
            </w:pPr>
            <w:r>
              <w:rPr>
                <w:bCs/>
                <w:lang w:val="de-DE" w:eastAsia="de-CH"/>
              </w:rPr>
              <w:t>1996 Doktortitel in Finanz- und Rechnungswesen, Universität Zürich</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80411A" w:rsidP="004C1EBA">
            <w:pPr>
              <w:pStyle w:val="csbody00"/>
              <w:rPr>
                <w:bCs/>
                <w:lang w:val="en-US" w:eastAsia="de-CH"/>
              </w:rPr>
            </w:pPr>
            <w:r w:rsidRPr="00D41A6A">
              <w:rPr>
                <w:bCs/>
                <w:lang w:val="en-US" w:eastAsia="de-CH"/>
              </w:rPr>
              <w:t>1989 Degree in Business Administration and Economics, University of Zurich</w:t>
            </w:r>
          </w:p>
        </w:tc>
        <w:tc>
          <w:tcPr>
            <w:tcW w:w="1242" w:type="pct"/>
            <w:gridSpan w:val="3"/>
            <w:shd w:val="clear" w:color="auto" w:fill="auto"/>
          </w:tcPr>
          <w:p w:rsidR="004C1EBA" w:rsidRPr="0080411A">
            <w:pPr>
              <w:pStyle w:val="csbody00"/>
              <w:rPr>
                <w:bCs/>
                <w:lang w:val="de-DE" w:eastAsia="de-CH"/>
              </w:rPr>
            </w:pPr>
            <w:r>
              <w:rPr>
                <w:bCs/>
                <w:lang w:val="de-DE" w:eastAsia="de-CH"/>
              </w:rPr>
              <w:t>1989 Betriebs- und Wirtschaftswissenschaften, Universität Zürich</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r>
              <w:rPr>
                <w:lang w:val="de-DE" w:eastAsia="de-CH"/>
              </w:rPr>
              <w:t>Helman Sitohang</w:t>
            </w:r>
          </w:p>
        </w:tc>
        <w:tc>
          <w:tcPr>
            <w:tcW w:w="1257" w:type="pct"/>
            <w:gridSpan w:val="2"/>
            <w:shd w:val="clear" w:color="auto" w:fill="auto"/>
          </w:tcPr>
          <w:p w:rsidR="004C1EBA" w:rsidRPr="005C5842" w:rsidP="004C1EBA">
            <w:pPr>
              <w:pStyle w:val="csbody00"/>
              <w:jc w:val="left"/>
              <w:rPr>
                <w:lang w:eastAsia="de-CH"/>
              </w:rPr>
            </w:pPr>
            <w:r w:rsidRPr="005C5842">
              <w:rPr>
                <w:lang w:eastAsia="de-CH"/>
              </w:rPr>
              <w:t>Credit Suisse AG</w:t>
            </w:r>
            <w:r w:rsidRPr="005C5842">
              <w:rPr>
                <w:lang w:eastAsia="de-CH"/>
              </w:rPr>
              <w:br/>
            </w:r>
            <w:r w:rsidRPr="00907D79">
              <w:rPr>
                <w:color w:val="000000"/>
                <w:lang w:val="en-US"/>
              </w:rPr>
              <w:t>One Raffles Link</w:t>
            </w:r>
            <w:r w:rsidRPr="00907D79">
              <w:rPr>
                <w:color w:val="000000"/>
                <w:lang w:val="en-US"/>
              </w:rPr>
              <w:br/>
              <w:t>South Lobby, # 03/#04-01</w:t>
            </w:r>
            <w:r w:rsidRPr="00907D79">
              <w:rPr>
                <w:color w:val="000000"/>
                <w:lang w:val="en-US"/>
              </w:rPr>
              <w:br/>
              <w:t>Singapore 039393</w:t>
            </w:r>
            <w:r w:rsidRPr="00907D79">
              <w:rPr>
                <w:color w:val="000000"/>
                <w:lang w:val="en-US"/>
              </w:rPr>
              <w:br/>
              <w:t>Singapore</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D41A6A" w:rsidP="004C1EBA">
            <w:pPr>
              <w:pStyle w:val="csbody00"/>
              <w:rPr>
                <w:bCs/>
                <w:lang w:val="en-US" w:eastAsia="de-CH"/>
              </w:rPr>
            </w:pPr>
            <w:r>
              <w:rPr>
                <w:bCs/>
                <w:lang w:val="en-US" w:eastAsia="de-CH"/>
              </w:rPr>
              <w:t>1999</w:t>
            </w:r>
            <w:r w:rsidRPr="0080411A">
              <w:rPr>
                <w:bCs/>
                <w:lang w:val="en-US" w:eastAsia="de-CH"/>
              </w:rPr>
              <w:t xml:space="preserve">–present </w:t>
            </w:r>
          </w:p>
        </w:tc>
        <w:tc>
          <w:tcPr>
            <w:tcW w:w="1242" w:type="pct"/>
            <w:gridSpan w:val="3"/>
            <w:shd w:val="clear" w:color="auto" w:fill="auto"/>
          </w:tcPr>
          <w:p w:rsidR="004C1EBA" w:rsidRPr="0080411A" w:rsidP="004C1EBA">
            <w:pPr>
              <w:pStyle w:val="csbody00"/>
              <w:rPr>
                <w:b/>
                <w:bCs/>
                <w:lang w:val="de-DE" w:eastAsia="de-CH"/>
              </w:rPr>
            </w:pPr>
            <w:r w:rsidRPr="0080411A">
              <w:rPr>
                <w:b/>
                <w:bCs/>
                <w:lang w:val="de-DE" w:eastAsia="de-CH"/>
              </w:rPr>
              <w:t>Werdegang</w:t>
            </w:r>
          </w:p>
          <w:p w:rsidR="004C1EBA" w:rsidP="004C1EBA">
            <w:pPr>
              <w:pStyle w:val="csbody00"/>
              <w:rPr>
                <w:bCs/>
                <w:lang w:val="de-DE" w:eastAsia="de-CH"/>
              </w:rPr>
            </w:pPr>
            <w:r>
              <w:rPr>
                <w:bCs/>
                <w:lang w:val="de-DE" w:eastAsia="de-CH"/>
              </w:rPr>
              <w:t>1999</w:t>
            </w:r>
            <w:r w:rsidRPr="0080411A">
              <w:rPr>
                <w:bCs/>
                <w:lang w:val="de-DE" w:eastAsia="de-CH"/>
              </w:rPr>
              <w:t xml:space="preserve"> bis heute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D41A6A" w:rsidP="004C1EBA">
            <w:pPr>
              <w:pStyle w:val="csbody00"/>
              <w:ind w:left="728" w:firstLine="13"/>
              <w:rPr>
                <w:bCs/>
                <w:lang w:val="en-US" w:eastAsia="de-CH"/>
              </w:rPr>
            </w:pPr>
            <w:r w:rsidRPr="0080411A">
              <w:rPr>
                <w:bCs/>
                <w:lang w:val="en-US" w:eastAsia="de-CH"/>
              </w:rPr>
              <w:t>Credit Suisse</w:t>
            </w:r>
          </w:p>
        </w:tc>
        <w:tc>
          <w:tcPr>
            <w:tcW w:w="1242" w:type="pct"/>
            <w:gridSpan w:val="3"/>
            <w:shd w:val="clear" w:color="auto" w:fill="auto"/>
          </w:tcPr>
          <w:p w:rsidR="004C1EBA" w:rsidP="004C1EBA">
            <w:pPr>
              <w:pStyle w:val="csbody00"/>
              <w:ind w:left="728" w:firstLine="13"/>
              <w:rPr>
                <w:bCs/>
                <w:lang w:val="de-DE" w:eastAsia="de-CH"/>
              </w:rPr>
            </w:pPr>
            <w:r w:rsidRPr="0080411A">
              <w:rPr>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D41A6A">
            <w:pPr>
              <w:pStyle w:val="csbody00"/>
              <w:ind w:left="728" w:firstLine="13"/>
              <w:rPr>
                <w:bCs/>
                <w:lang w:val="en-US" w:eastAsia="de-CH"/>
              </w:rPr>
            </w:pPr>
            <w:r w:rsidRPr="00D41A6A">
              <w:rPr>
                <w:bCs/>
                <w:lang w:val="en-US" w:eastAsia="de-CH"/>
              </w:rPr>
              <w:t>CEO Asia Pacific (</w:t>
            </w:r>
            <w:r w:rsidR="00D622A6">
              <w:rPr>
                <w:bCs/>
                <w:lang w:val="en-US" w:eastAsia="de-CH"/>
              </w:rPr>
              <w:t>since</w:t>
            </w:r>
            <w:r w:rsidRPr="00D41A6A">
              <w:rPr>
                <w:bCs/>
                <w:lang w:val="en-US" w:eastAsia="de-CH"/>
              </w:rPr>
              <w:t xml:space="preserve"> </w:t>
            </w:r>
            <w:r w:rsidR="005F32B9">
              <w:rPr>
                <w:bCs/>
                <w:lang w:val="en-US" w:eastAsia="de-CH"/>
              </w:rPr>
              <w:t xml:space="preserve">22 </w:t>
            </w:r>
            <w:r w:rsidRPr="00D41A6A">
              <w:rPr>
                <w:bCs/>
                <w:lang w:val="en-US" w:eastAsia="de-CH"/>
              </w:rPr>
              <w:t>October 2015)</w:t>
            </w:r>
          </w:p>
        </w:tc>
        <w:tc>
          <w:tcPr>
            <w:tcW w:w="1242" w:type="pct"/>
            <w:gridSpan w:val="3"/>
            <w:shd w:val="clear" w:color="auto" w:fill="auto"/>
          </w:tcPr>
          <w:p w:rsidR="004C1EBA" w:rsidP="004C1EBA">
            <w:pPr>
              <w:pStyle w:val="csbody00"/>
              <w:ind w:left="728" w:firstLine="13"/>
              <w:rPr>
                <w:bCs/>
                <w:lang w:val="de-DE" w:eastAsia="de-CH"/>
              </w:rPr>
            </w:pPr>
            <w:r w:rsidRPr="00D41A6A">
              <w:rPr>
                <w:bCs/>
                <w:lang w:val="de-DE" w:eastAsia="de-CH"/>
              </w:rPr>
              <w:t xml:space="preserve">CEO </w:t>
            </w:r>
            <w:r>
              <w:rPr>
                <w:bCs/>
                <w:lang w:val="de-DE" w:eastAsia="de-CH"/>
              </w:rPr>
              <w:t>Asien-Pazifik</w:t>
            </w:r>
            <w:r w:rsidRPr="00D41A6A">
              <w:rPr>
                <w:bCs/>
                <w:lang w:val="de-DE" w:eastAsia="de-CH"/>
              </w:rPr>
              <w:t xml:space="preserve"> (</w:t>
            </w:r>
            <w:r>
              <w:rPr>
                <w:bCs/>
                <w:lang w:val="de-DE" w:eastAsia="de-CH"/>
              </w:rPr>
              <w:t>seit dem 22. Oktober</w:t>
            </w:r>
            <w:r w:rsidRPr="00D41A6A">
              <w:rPr>
                <w:bCs/>
                <w:lang w:val="de-DE" w:eastAsia="de-CH"/>
              </w:rPr>
              <w:t xml:space="preserve">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2E5565" w:rsidRPr="00FB4503" w:rsidP="004C1EBA">
            <w:pPr>
              <w:pStyle w:val="csbody00"/>
              <w:rPr>
                <w:lang w:val="de-DE" w:eastAsia="de-CH"/>
              </w:rPr>
            </w:pPr>
          </w:p>
        </w:tc>
        <w:tc>
          <w:tcPr>
            <w:tcW w:w="1257" w:type="pct"/>
            <w:gridSpan w:val="2"/>
            <w:shd w:val="clear" w:color="auto" w:fill="auto"/>
          </w:tcPr>
          <w:p w:rsidR="002E5565" w:rsidRPr="00FB4503" w:rsidP="004C1EBA">
            <w:pPr>
              <w:pStyle w:val="csbody00"/>
              <w:rPr>
                <w:lang w:val="de-DE" w:eastAsia="de-CH"/>
              </w:rPr>
            </w:pPr>
          </w:p>
        </w:tc>
        <w:tc>
          <w:tcPr>
            <w:tcW w:w="1260" w:type="pct"/>
            <w:gridSpan w:val="5"/>
            <w:shd w:val="clear" w:color="auto" w:fill="auto"/>
          </w:tcPr>
          <w:p w:rsidR="002E5565" w:rsidRPr="00D41A6A">
            <w:pPr>
              <w:pStyle w:val="csbody00"/>
              <w:ind w:left="728" w:firstLine="13"/>
              <w:rPr>
                <w:bCs/>
                <w:lang w:val="en-US" w:eastAsia="de-CH"/>
              </w:rPr>
            </w:pPr>
            <w:r>
              <w:rPr>
                <w:bCs/>
                <w:lang w:val="en-US" w:eastAsia="de-CH"/>
              </w:rPr>
              <w:t>Member of the Executive Board since 22 October 2015</w:t>
            </w:r>
          </w:p>
        </w:tc>
        <w:tc>
          <w:tcPr>
            <w:tcW w:w="1242" w:type="pct"/>
            <w:gridSpan w:val="3"/>
            <w:shd w:val="clear" w:color="auto" w:fill="auto"/>
          </w:tcPr>
          <w:p w:rsidR="002E5565" w:rsidRPr="002E5565" w:rsidP="004C1EBA">
            <w:pPr>
              <w:pStyle w:val="csbody00"/>
              <w:ind w:left="728" w:firstLine="13"/>
              <w:rPr>
                <w:bCs/>
                <w:lang w:val="de-DE" w:eastAsia="de-CH"/>
              </w:rPr>
            </w:pPr>
            <w:r w:rsidRPr="00BD6E0D">
              <w:rPr>
                <w:bCs/>
                <w:lang w:val="de-DE" w:eastAsia="de-CH"/>
              </w:rPr>
              <w:t>Mitglied der Geschäftsleitung seit 22. Oktober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2E5565" w:rsidP="004C1EBA">
            <w:pPr>
              <w:pStyle w:val="csbody00"/>
              <w:rPr>
                <w:lang w:val="de-DE" w:eastAsia="de-CH"/>
              </w:rPr>
            </w:pPr>
          </w:p>
        </w:tc>
        <w:tc>
          <w:tcPr>
            <w:tcW w:w="1257" w:type="pct"/>
            <w:gridSpan w:val="2"/>
            <w:shd w:val="clear" w:color="auto" w:fill="auto"/>
          </w:tcPr>
          <w:p w:rsidR="004C1EBA" w:rsidRPr="002E5565" w:rsidP="004C1EBA">
            <w:pPr>
              <w:pStyle w:val="csbody00"/>
              <w:rPr>
                <w:lang w:val="de-DE" w:eastAsia="de-CH"/>
              </w:rPr>
            </w:pPr>
          </w:p>
        </w:tc>
        <w:tc>
          <w:tcPr>
            <w:tcW w:w="1260" w:type="pct"/>
            <w:gridSpan w:val="5"/>
            <w:shd w:val="clear" w:color="auto" w:fill="auto"/>
          </w:tcPr>
          <w:p w:rsidR="004C1EBA" w:rsidRPr="00D41A6A" w:rsidP="004C1EBA">
            <w:pPr>
              <w:pStyle w:val="csbody00"/>
              <w:ind w:left="728" w:firstLine="13"/>
              <w:rPr>
                <w:bCs/>
                <w:lang w:val="en-US" w:eastAsia="de-CH"/>
              </w:rPr>
            </w:pPr>
            <w:r w:rsidRPr="00D41A6A">
              <w:rPr>
                <w:bCs/>
                <w:lang w:val="en-US" w:eastAsia="de-CH"/>
              </w:rPr>
              <w:t>Regional CEO of APAC (2014-present)</w:t>
            </w:r>
          </w:p>
        </w:tc>
        <w:tc>
          <w:tcPr>
            <w:tcW w:w="1242" w:type="pct"/>
            <w:gridSpan w:val="3"/>
            <w:shd w:val="clear" w:color="auto" w:fill="auto"/>
          </w:tcPr>
          <w:p w:rsidR="004C1EBA" w:rsidP="004C1EBA">
            <w:pPr>
              <w:pStyle w:val="csbody00"/>
              <w:ind w:left="728" w:firstLine="13"/>
              <w:rPr>
                <w:bCs/>
                <w:lang w:val="de-DE" w:eastAsia="de-CH"/>
              </w:rPr>
            </w:pPr>
            <w:r w:rsidRPr="00D41A6A">
              <w:rPr>
                <w:bCs/>
                <w:lang w:val="de-DE" w:eastAsia="de-CH"/>
              </w:rPr>
              <w:t>CEO</w:t>
            </w:r>
            <w:r>
              <w:rPr>
                <w:bCs/>
                <w:lang w:val="de-DE" w:eastAsia="de-CH"/>
              </w:rPr>
              <w:t xml:space="preserve"> Region</w:t>
            </w:r>
            <w:r w:rsidRPr="00D41A6A">
              <w:rPr>
                <w:bCs/>
                <w:lang w:val="de-DE" w:eastAsia="de-CH"/>
              </w:rPr>
              <w:t xml:space="preserve"> </w:t>
            </w:r>
            <w:r>
              <w:rPr>
                <w:bCs/>
                <w:lang w:val="de-DE" w:eastAsia="de-CH"/>
              </w:rPr>
              <w:t>Asien-Pazifik</w:t>
            </w:r>
            <w:r w:rsidRPr="00D41A6A">
              <w:rPr>
                <w:bCs/>
                <w:lang w:val="de-DE" w:eastAsia="de-CH"/>
              </w:rPr>
              <w:t xml:space="preserve"> (2014</w:t>
            </w:r>
            <w:r>
              <w:rPr>
                <w:bCs/>
                <w:lang w:val="de-DE" w:eastAsia="de-CH"/>
              </w:rPr>
              <w:t xml:space="preserve"> bis heute</w:t>
            </w:r>
            <w:r w:rsidRPr="00D41A6A">
              <w:rPr>
                <w:bCs/>
                <w:lang w:val="de-DE" w:eastAsia="de-CH"/>
              </w:rPr>
              <w: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D41A6A" w:rsidP="004C1EBA">
            <w:pPr>
              <w:pStyle w:val="csbody00"/>
              <w:ind w:left="728" w:firstLine="13"/>
              <w:rPr>
                <w:bCs/>
                <w:lang w:val="en-US" w:eastAsia="de-CH"/>
              </w:rPr>
            </w:pPr>
            <w:r w:rsidRPr="00D41A6A">
              <w:rPr>
                <w:bCs/>
                <w:lang w:val="en-US" w:eastAsia="de-CH"/>
              </w:rPr>
              <w:t>Head of the Investment Bank for Asia Pacific (2012-2015)</w:t>
            </w:r>
          </w:p>
        </w:tc>
        <w:tc>
          <w:tcPr>
            <w:tcW w:w="1242" w:type="pct"/>
            <w:gridSpan w:val="3"/>
            <w:shd w:val="clear" w:color="auto" w:fill="auto"/>
          </w:tcPr>
          <w:p w:rsidR="004C1EBA" w:rsidP="004C1EBA">
            <w:pPr>
              <w:pStyle w:val="csbody00"/>
              <w:ind w:left="728" w:firstLine="13"/>
              <w:rPr>
                <w:bCs/>
                <w:lang w:val="de-DE" w:eastAsia="de-CH"/>
              </w:rPr>
            </w:pPr>
            <w:r>
              <w:rPr>
                <w:bCs/>
                <w:lang w:val="de-DE" w:eastAsia="de-CH"/>
              </w:rPr>
              <w:t xml:space="preserve">Leiter </w:t>
            </w:r>
            <w:r w:rsidRPr="00D41A6A">
              <w:rPr>
                <w:bCs/>
                <w:lang w:val="de-DE" w:eastAsia="de-CH"/>
              </w:rPr>
              <w:t xml:space="preserve">Investment Bank </w:t>
            </w:r>
            <w:r>
              <w:rPr>
                <w:bCs/>
                <w:lang w:val="de-DE" w:eastAsia="de-CH"/>
              </w:rPr>
              <w:t>Asien-Pazifik</w:t>
            </w:r>
            <w:r w:rsidRPr="00D41A6A">
              <w:rPr>
                <w:bCs/>
                <w:lang w:val="de-DE" w:eastAsia="de-CH"/>
              </w:rPr>
              <w:t xml:space="preserve"> (2012-2015)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D41A6A" w:rsidP="004C1EBA">
            <w:pPr>
              <w:pStyle w:val="csbody00"/>
              <w:ind w:left="728" w:firstLine="13"/>
              <w:rPr>
                <w:bCs/>
                <w:lang w:val="en-US" w:eastAsia="de-CH"/>
              </w:rPr>
            </w:pPr>
            <w:r w:rsidRPr="004A4CDD">
              <w:rPr>
                <w:rFonts w:eastAsia="Times New Roman"/>
              </w:rPr>
              <w:t>Co-Head of the Emerging Markets Council (2012-2015)</w:t>
            </w:r>
          </w:p>
        </w:tc>
        <w:tc>
          <w:tcPr>
            <w:tcW w:w="1242" w:type="pct"/>
            <w:gridSpan w:val="3"/>
            <w:shd w:val="clear" w:color="auto" w:fill="auto"/>
          </w:tcPr>
          <w:p w:rsidR="004C1EBA" w:rsidRPr="005C5842" w:rsidP="004C1EBA">
            <w:pPr>
              <w:pStyle w:val="csbody00"/>
              <w:ind w:left="728" w:firstLine="13"/>
              <w:rPr>
                <w:bCs/>
                <w:lang w:eastAsia="de-CH"/>
              </w:rPr>
            </w:pPr>
            <w:r w:rsidRPr="004A4CDD">
              <w:rPr>
                <w:rFonts w:eastAsia="Times New Roman"/>
              </w:rPr>
              <w:t>Co-</w:t>
            </w:r>
            <w:r>
              <w:rPr>
                <w:rFonts w:eastAsia="Times New Roman"/>
              </w:rPr>
              <w:t>Leiter des</w:t>
            </w:r>
            <w:r w:rsidRPr="004A4CDD">
              <w:rPr>
                <w:rFonts w:eastAsia="Times New Roman"/>
              </w:rPr>
              <w:t xml:space="preserve"> Emerging Markets Council (2012-2015)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rPr>
                <w:lang w:eastAsia="de-CH"/>
              </w:rPr>
            </w:pPr>
          </w:p>
        </w:tc>
        <w:tc>
          <w:tcPr>
            <w:tcW w:w="1260" w:type="pct"/>
            <w:gridSpan w:val="5"/>
            <w:shd w:val="clear" w:color="auto" w:fill="auto"/>
          </w:tcPr>
          <w:p w:rsidR="004C1EBA" w:rsidRPr="00D41A6A" w:rsidP="004C1EBA">
            <w:pPr>
              <w:pStyle w:val="csbody00"/>
              <w:ind w:left="728" w:firstLine="13"/>
              <w:rPr>
                <w:bCs/>
                <w:lang w:val="en-US" w:eastAsia="de-CH"/>
              </w:rPr>
            </w:pPr>
            <w:r w:rsidRPr="00796B5A">
              <w:rPr>
                <w:rFonts w:eastAsia="Times New Roman"/>
              </w:rPr>
              <w:t>CEO for South East Asia (2010-2015)</w:t>
            </w:r>
          </w:p>
        </w:tc>
        <w:tc>
          <w:tcPr>
            <w:tcW w:w="1242" w:type="pct"/>
            <w:gridSpan w:val="3"/>
            <w:shd w:val="clear" w:color="auto" w:fill="auto"/>
          </w:tcPr>
          <w:p w:rsidR="004C1EBA" w:rsidP="004C1EBA">
            <w:pPr>
              <w:pStyle w:val="csbody00"/>
              <w:ind w:left="728" w:firstLine="13"/>
              <w:rPr>
                <w:bCs/>
                <w:lang w:val="de-DE" w:eastAsia="de-CH"/>
              </w:rPr>
            </w:pPr>
            <w:r w:rsidRPr="00796B5A">
              <w:rPr>
                <w:rFonts w:eastAsia="Times New Roman"/>
              </w:rPr>
              <w:t xml:space="preserve">CEO </w:t>
            </w:r>
            <w:r>
              <w:rPr>
                <w:rFonts w:eastAsia="Times New Roman"/>
              </w:rPr>
              <w:t>Südostasien</w:t>
            </w:r>
            <w:r w:rsidRPr="00796B5A">
              <w:rPr>
                <w:rFonts w:eastAsia="Times New Roman"/>
              </w:rPr>
              <w:t xml:space="preserve"> (2010-2015)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D41A6A" w:rsidP="004C1EBA">
            <w:pPr>
              <w:pStyle w:val="csbody00"/>
              <w:ind w:left="728" w:firstLine="13"/>
              <w:rPr>
                <w:bCs/>
                <w:lang w:val="en-US" w:eastAsia="de-CH"/>
              </w:rPr>
            </w:pPr>
            <w:r w:rsidRPr="00042D40">
              <w:rPr>
                <w:rFonts w:eastAsia="Times New Roman"/>
              </w:rPr>
              <w:t>Co-Head of the Investment Banking Department - Asia Pacific (2009-2012)</w:t>
            </w:r>
          </w:p>
        </w:tc>
        <w:tc>
          <w:tcPr>
            <w:tcW w:w="1242" w:type="pct"/>
            <w:gridSpan w:val="3"/>
            <w:shd w:val="clear" w:color="auto" w:fill="auto"/>
          </w:tcPr>
          <w:p w:rsidR="004C1EBA" w:rsidRPr="005C5842" w:rsidP="004C1EBA">
            <w:pPr>
              <w:pStyle w:val="csbody00"/>
              <w:ind w:left="728" w:firstLine="13"/>
              <w:rPr>
                <w:bCs/>
                <w:lang w:eastAsia="de-CH"/>
              </w:rPr>
            </w:pPr>
            <w:r w:rsidRPr="00042D40">
              <w:rPr>
                <w:rFonts w:eastAsia="Times New Roman"/>
              </w:rPr>
              <w:t>Co-</w:t>
            </w:r>
            <w:r>
              <w:rPr>
                <w:rFonts w:eastAsia="Times New Roman"/>
              </w:rPr>
              <w:t>Leiter</w:t>
            </w:r>
            <w:r w:rsidRPr="00042D40">
              <w:rPr>
                <w:rFonts w:eastAsia="Times New Roman"/>
              </w:rPr>
              <w:t xml:space="preserve"> Investment Banking</w:t>
            </w:r>
            <w:r>
              <w:rPr>
                <w:rFonts w:eastAsia="Times New Roman"/>
              </w:rPr>
              <w:t xml:space="preserve"> Department</w:t>
            </w:r>
            <w:r w:rsidRPr="00042D40">
              <w:rPr>
                <w:rFonts w:eastAsia="Times New Roman"/>
              </w:rPr>
              <w:t xml:space="preserve"> - </w:t>
            </w:r>
            <w:r>
              <w:rPr>
                <w:rFonts w:eastAsia="Times New Roman"/>
              </w:rPr>
              <w:t>Asien-Pazifik</w:t>
            </w:r>
            <w:r w:rsidRPr="00042D40">
              <w:rPr>
                <w:rFonts w:eastAsia="Times New Roman"/>
              </w:rPr>
              <w:t xml:space="preserve"> (2009-2012)</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rPr>
                <w:lang w:eastAsia="de-CH"/>
              </w:rPr>
            </w:pPr>
          </w:p>
        </w:tc>
        <w:tc>
          <w:tcPr>
            <w:tcW w:w="1260" w:type="pct"/>
            <w:gridSpan w:val="5"/>
            <w:shd w:val="clear" w:color="auto" w:fill="auto"/>
          </w:tcPr>
          <w:p w:rsidR="004C1EBA" w:rsidRPr="00D41A6A" w:rsidP="004C1EBA">
            <w:pPr>
              <w:pStyle w:val="csbody00"/>
              <w:ind w:left="728" w:firstLine="13"/>
              <w:rPr>
                <w:bCs/>
                <w:lang w:val="en-US" w:eastAsia="de-CH"/>
              </w:rPr>
            </w:pPr>
            <w:r w:rsidRPr="00984198">
              <w:rPr>
                <w:rFonts w:eastAsia="Times New Roman"/>
              </w:rPr>
              <w:t>Co-Head of the Global Markets Solutions Group – Asia Pacific (2009-2012)</w:t>
            </w:r>
          </w:p>
        </w:tc>
        <w:tc>
          <w:tcPr>
            <w:tcW w:w="1242" w:type="pct"/>
            <w:gridSpan w:val="3"/>
            <w:shd w:val="clear" w:color="auto" w:fill="auto"/>
          </w:tcPr>
          <w:p w:rsidR="004C1EBA" w:rsidP="004C1EBA">
            <w:pPr>
              <w:pStyle w:val="csbody00"/>
              <w:ind w:left="728" w:firstLine="13"/>
              <w:rPr>
                <w:bCs/>
                <w:lang w:val="de-DE" w:eastAsia="de-CH"/>
              </w:rPr>
            </w:pPr>
            <w:r w:rsidRPr="00984198">
              <w:rPr>
                <w:rFonts w:eastAsia="Times New Roman"/>
              </w:rPr>
              <w:t>Co-</w:t>
            </w:r>
            <w:r>
              <w:rPr>
                <w:rFonts w:eastAsia="Times New Roman"/>
              </w:rPr>
              <w:t xml:space="preserve">Leiter </w:t>
            </w:r>
            <w:r w:rsidRPr="00984198">
              <w:rPr>
                <w:rFonts w:eastAsia="Times New Roman"/>
              </w:rPr>
              <w:t xml:space="preserve">Global Markets Solutions </w:t>
            </w:r>
            <w:r>
              <w:rPr>
                <w:rFonts w:eastAsia="Times New Roman"/>
              </w:rPr>
              <w:t xml:space="preserve">Group </w:t>
            </w:r>
            <w:r w:rsidRPr="00984198">
              <w:rPr>
                <w:rFonts w:eastAsia="Times New Roman"/>
              </w:rPr>
              <w:t>– Asi</w:t>
            </w:r>
            <w:r>
              <w:rPr>
                <w:rFonts w:eastAsia="Times New Roman"/>
              </w:rPr>
              <w:t>en-Pazifik</w:t>
            </w:r>
            <w:r w:rsidRPr="00984198">
              <w:rPr>
                <w:rFonts w:eastAsia="Times New Roman"/>
              </w:rPr>
              <w:t xml:space="preserve"> (2009-2012)</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D41A6A" w:rsidP="004C1EBA">
            <w:pPr>
              <w:pStyle w:val="csbody00"/>
              <w:ind w:left="728" w:firstLine="13"/>
              <w:rPr>
                <w:bCs/>
                <w:lang w:val="en-US" w:eastAsia="de-CH"/>
              </w:rPr>
            </w:pPr>
            <w:r w:rsidRPr="001C7E5E">
              <w:rPr>
                <w:rFonts w:eastAsia="Times New Roman"/>
              </w:rPr>
              <w:t>Country CEO, Indonesia (1999-2010)</w:t>
            </w:r>
          </w:p>
        </w:tc>
        <w:tc>
          <w:tcPr>
            <w:tcW w:w="1242" w:type="pct"/>
            <w:gridSpan w:val="3"/>
            <w:shd w:val="clear" w:color="auto" w:fill="auto"/>
          </w:tcPr>
          <w:p w:rsidR="004C1EBA" w:rsidP="004C1EBA">
            <w:pPr>
              <w:pStyle w:val="csbody00"/>
              <w:ind w:left="728" w:firstLine="13"/>
              <w:rPr>
                <w:bCs/>
                <w:lang w:val="de-DE" w:eastAsia="de-CH"/>
              </w:rPr>
            </w:pPr>
            <w:r>
              <w:rPr>
                <w:rFonts w:eastAsia="Times New Roman"/>
              </w:rPr>
              <w:t xml:space="preserve">Country </w:t>
            </w:r>
            <w:r w:rsidRPr="001C7E5E">
              <w:rPr>
                <w:rFonts w:eastAsia="Times New Roman"/>
              </w:rPr>
              <w:t>CEO</w:t>
            </w:r>
            <w:r>
              <w:rPr>
                <w:rFonts w:eastAsia="Times New Roman"/>
              </w:rPr>
              <w:t>, Indonesien</w:t>
            </w:r>
            <w:r w:rsidRPr="001C7E5E">
              <w:rPr>
                <w:rFonts w:eastAsia="Times New Roman"/>
              </w:rPr>
              <w:t xml:space="preserve"> (1999-2010)</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D41A6A" w:rsidP="004C1EBA">
            <w:pPr>
              <w:pStyle w:val="csbody00"/>
              <w:rPr>
                <w:bCs/>
                <w:lang w:val="en-US" w:eastAsia="de-CH"/>
              </w:rPr>
            </w:pPr>
            <w:r>
              <w:rPr>
                <w:bCs/>
                <w:lang w:val="en-US" w:eastAsia="de-CH"/>
              </w:rPr>
              <w:t>1994-1998</w:t>
            </w:r>
          </w:p>
        </w:tc>
        <w:tc>
          <w:tcPr>
            <w:tcW w:w="1242" w:type="pct"/>
            <w:gridSpan w:val="3"/>
            <w:shd w:val="clear" w:color="auto" w:fill="auto"/>
          </w:tcPr>
          <w:p w:rsidR="004C1EBA" w:rsidP="004C1EBA">
            <w:pPr>
              <w:pStyle w:val="csbody00"/>
              <w:rPr>
                <w:bCs/>
                <w:lang w:val="de-DE" w:eastAsia="de-CH"/>
              </w:rPr>
            </w:pPr>
            <w:r>
              <w:rPr>
                <w:bCs/>
                <w:lang w:val="de-DE" w:eastAsia="de-CH"/>
              </w:rPr>
              <w:t>1994-1998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BA1815" w:rsidRPr="00D41A6A" w:rsidP="00BD6E0D">
            <w:pPr>
              <w:pStyle w:val="csbody00"/>
              <w:ind w:left="728" w:firstLine="13"/>
              <w:rPr>
                <w:bCs/>
                <w:lang w:val="en-US" w:eastAsia="de-CH"/>
              </w:rPr>
            </w:pPr>
            <w:r>
              <w:rPr>
                <w:bCs/>
                <w:lang w:val="en-US" w:eastAsia="de-CH"/>
              </w:rPr>
              <w:t>Bankers Trust</w:t>
            </w:r>
            <w:r w:rsidR="00090525">
              <w:rPr>
                <w:bCs/>
                <w:lang w:val="en-US" w:eastAsia="de-CH"/>
              </w:rPr>
              <w:t xml:space="preserve"> Derivatives Group</w:t>
            </w:r>
          </w:p>
        </w:tc>
        <w:tc>
          <w:tcPr>
            <w:tcW w:w="1242" w:type="pct"/>
            <w:gridSpan w:val="3"/>
            <w:shd w:val="clear" w:color="auto" w:fill="auto"/>
          </w:tcPr>
          <w:p w:rsidR="004C1EBA" w:rsidRPr="00BD6E0D" w:rsidP="00BD6E0D">
            <w:pPr>
              <w:pStyle w:val="csbody00"/>
              <w:ind w:firstLine="769"/>
              <w:jc w:val="left"/>
              <w:rPr>
                <w:bCs/>
                <w:lang w:val="en-US" w:eastAsia="de-CH"/>
              </w:rPr>
            </w:pPr>
            <w:r>
              <w:rPr>
                <w:bCs/>
                <w:lang w:val="en-US" w:eastAsia="de-CH"/>
              </w:rPr>
              <w:t>Bankers Trust</w:t>
            </w:r>
            <w:r w:rsidR="00BA1815">
              <w:rPr>
                <w:bCs/>
                <w:lang w:val="en-US" w:eastAsia="de-CH"/>
              </w:rPr>
              <w:t xml:space="preserve"> Derivatives G</w:t>
            </w:r>
            <w:r w:rsidR="00EE22D9">
              <w:rPr>
                <w:bCs/>
                <w:lang w:val="en-US" w:eastAsia="de-CH"/>
              </w:rPr>
              <w:t>roup</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RPr="00D41A6A" w:rsidP="004C1EBA">
            <w:pPr>
              <w:pStyle w:val="csbody00"/>
              <w:ind w:firstLine="769"/>
              <w:rPr>
                <w:bCs/>
                <w:lang w:val="en-US" w:eastAsia="de-CH"/>
              </w:rPr>
            </w:pPr>
          </w:p>
        </w:tc>
        <w:tc>
          <w:tcPr>
            <w:tcW w:w="1242" w:type="pct"/>
            <w:gridSpan w:val="3"/>
            <w:shd w:val="clear" w:color="auto" w:fill="auto"/>
          </w:tcPr>
          <w:p w:rsidR="004C1EBA" w:rsidP="004C1EBA">
            <w:pPr>
              <w:pStyle w:val="csbody00"/>
              <w:ind w:firstLine="769"/>
              <w:rPr>
                <w:bCs/>
                <w:lang w:val="de-DE" w:eastAsia="de-CH"/>
              </w:rPr>
            </w:pP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P="004C1EBA">
            <w:pPr>
              <w:pStyle w:val="csbody00"/>
              <w:rPr>
                <w:bCs/>
                <w:lang w:val="en-US" w:eastAsia="de-CH"/>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val="de-DE" w:eastAsia="de-CH"/>
              </w:rPr>
            </w:pPr>
          </w:p>
        </w:tc>
        <w:tc>
          <w:tcPr>
            <w:tcW w:w="1257" w:type="pct"/>
            <w:gridSpan w:val="2"/>
            <w:shd w:val="clear" w:color="auto" w:fill="auto"/>
          </w:tcPr>
          <w:p w:rsidR="004C1EBA" w:rsidRPr="00FB4503" w:rsidP="004C1EBA">
            <w:pPr>
              <w:pStyle w:val="csbody00"/>
              <w:rPr>
                <w:lang w:val="de-DE" w:eastAsia="de-CH"/>
              </w:rPr>
            </w:pPr>
          </w:p>
        </w:tc>
        <w:tc>
          <w:tcPr>
            <w:tcW w:w="1260" w:type="pct"/>
            <w:gridSpan w:val="5"/>
            <w:shd w:val="clear" w:color="auto" w:fill="auto"/>
          </w:tcPr>
          <w:p w:rsidR="004C1EBA" w:rsidP="004C1EBA">
            <w:pPr>
              <w:pStyle w:val="csbody00"/>
              <w:rPr>
                <w:bCs/>
                <w:lang w:val="en-US" w:eastAsia="de-CH"/>
              </w:rPr>
            </w:pPr>
            <w:r w:rsidRPr="0003343F">
              <w:t xml:space="preserve">1989 B.S. </w:t>
            </w:r>
            <w:r w:rsidR="002E5565">
              <w:t xml:space="preserve">degree </w:t>
            </w:r>
            <w:r w:rsidRPr="0003343F">
              <w:t>(Engineering), Bandung Institute of Technology</w:t>
            </w:r>
          </w:p>
        </w:tc>
        <w:tc>
          <w:tcPr>
            <w:tcW w:w="1242" w:type="pct"/>
            <w:gridSpan w:val="3"/>
            <w:shd w:val="clear" w:color="auto" w:fill="auto"/>
          </w:tcPr>
          <w:p w:rsidR="004C1EBA">
            <w:pPr>
              <w:pStyle w:val="csbody00"/>
              <w:rPr>
                <w:bCs/>
                <w:lang w:val="en-US" w:eastAsia="de-CH"/>
              </w:rPr>
            </w:pPr>
            <w:r w:rsidRPr="0003343F">
              <w:t>1989 B</w:t>
            </w:r>
            <w:r>
              <w:t>S-Diplom</w:t>
            </w:r>
            <w:r w:rsidRPr="0003343F">
              <w:t xml:space="preserve"> (</w:t>
            </w:r>
            <w:r>
              <w:t>Ingenieurswesen</w:t>
            </w:r>
            <w:r w:rsidRPr="0003343F">
              <w:t>), Bandung Institute of Technology</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r>
              <w:rPr>
                <w:lang w:eastAsia="de-CH"/>
              </w:rPr>
              <w:t>Iqbal Khan</w:t>
            </w:r>
          </w:p>
        </w:tc>
        <w:tc>
          <w:tcPr>
            <w:tcW w:w="1257" w:type="pct"/>
            <w:gridSpan w:val="2"/>
            <w:shd w:val="clear" w:color="auto" w:fill="auto"/>
          </w:tcPr>
          <w:p w:rsidR="004C1EBA" w:rsidRPr="005C5842" w:rsidP="004C1EBA">
            <w:pPr>
              <w:pStyle w:val="csbody00"/>
              <w:jc w:val="left"/>
              <w:rPr>
                <w:lang w:val="de-DE" w:eastAsia="de-CH"/>
              </w:rPr>
            </w:pPr>
            <w:r w:rsidRPr="0080411A">
              <w:rPr>
                <w:lang w:val="de-CH" w:eastAsia="de-CH"/>
              </w:rPr>
              <w:t>Credit Suisse 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3747DF" w:rsidP="004C1EBA">
            <w:pPr>
              <w:pStyle w:val="csbody00"/>
              <w:rPr>
                <w:bCs/>
                <w:lang w:val="en-US" w:eastAsia="de-CH"/>
              </w:rPr>
            </w:pPr>
            <w:r>
              <w:rPr>
                <w:bCs/>
                <w:lang w:val="en-US" w:eastAsia="de-CH"/>
              </w:rPr>
              <w:t>2013</w:t>
            </w:r>
            <w:r w:rsidRPr="0080411A">
              <w:rPr>
                <w:bCs/>
                <w:lang w:val="en-US" w:eastAsia="de-CH"/>
              </w:rPr>
              <w:t xml:space="preserve">–present </w:t>
            </w:r>
          </w:p>
        </w:tc>
        <w:tc>
          <w:tcPr>
            <w:tcW w:w="1242" w:type="pct"/>
            <w:gridSpan w:val="3"/>
            <w:shd w:val="clear" w:color="auto" w:fill="auto"/>
          </w:tcPr>
          <w:p w:rsidR="004C1EBA" w:rsidRPr="0080411A" w:rsidP="004C1EBA">
            <w:pPr>
              <w:pStyle w:val="csbody00"/>
              <w:rPr>
                <w:b/>
                <w:bCs/>
                <w:lang w:val="de-DE" w:eastAsia="de-CH"/>
              </w:rPr>
            </w:pPr>
            <w:r w:rsidRPr="0080411A">
              <w:rPr>
                <w:b/>
                <w:bCs/>
                <w:lang w:val="de-DE" w:eastAsia="de-CH"/>
              </w:rPr>
              <w:t>Werdegang</w:t>
            </w:r>
          </w:p>
          <w:p w:rsidR="004C1EBA" w:rsidRPr="003747DF">
            <w:pPr>
              <w:pStyle w:val="csbody00"/>
              <w:rPr>
                <w:bCs/>
                <w:lang w:val="de-DE" w:eastAsia="de-CH"/>
              </w:rPr>
            </w:pPr>
            <w:r>
              <w:rPr>
                <w:bCs/>
                <w:lang w:val="de-DE" w:eastAsia="de-CH"/>
              </w:rPr>
              <w:t>2013</w:t>
            </w:r>
            <w:r w:rsidRPr="0080411A">
              <w:rPr>
                <w:bCs/>
                <w:lang w:val="de-DE" w:eastAsia="de-CH"/>
              </w:rPr>
              <w:t xml:space="preserve"> bis heute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ind w:left="769"/>
              <w:rPr>
                <w:bCs/>
                <w:lang w:val="en-US" w:eastAsia="de-CH"/>
              </w:rPr>
            </w:pPr>
            <w:r w:rsidRPr="0080411A">
              <w:rPr>
                <w:bCs/>
                <w:lang w:val="en-US" w:eastAsia="de-CH"/>
              </w:rPr>
              <w:t>Credit Suisse</w:t>
            </w:r>
          </w:p>
        </w:tc>
        <w:tc>
          <w:tcPr>
            <w:tcW w:w="1242" w:type="pct"/>
            <w:gridSpan w:val="3"/>
            <w:shd w:val="clear" w:color="auto" w:fill="auto"/>
          </w:tcPr>
          <w:p w:rsidR="004C1EBA" w:rsidRPr="003747DF" w:rsidP="004C1EBA">
            <w:pPr>
              <w:pStyle w:val="csbody00"/>
              <w:ind w:left="769"/>
              <w:rPr>
                <w:bCs/>
                <w:lang w:val="de-DE" w:eastAsia="de-CH"/>
              </w:rPr>
            </w:pPr>
            <w:r w:rsidRPr="0080411A">
              <w:rPr>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pPr>
              <w:pStyle w:val="csbody00"/>
              <w:ind w:left="769"/>
              <w:rPr>
                <w:bCs/>
                <w:lang w:val="en-US" w:eastAsia="de-CH"/>
              </w:rPr>
            </w:pPr>
            <w:r w:rsidRPr="003747DF">
              <w:rPr>
                <w:bCs/>
                <w:lang w:val="en-US" w:eastAsia="de-CH"/>
              </w:rPr>
              <w:t>CEO International Wealth Management (</w:t>
            </w:r>
            <w:r w:rsidR="002E5565">
              <w:rPr>
                <w:bCs/>
                <w:lang w:val="en-US" w:eastAsia="de-CH"/>
              </w:rPr>
              <w:t>since 22</w:t>
            </w:r>
            <w:r w:rsidRPr="003747DF">
              <w:rPr>
                <w:bCs/>
                <w:lang w:val="en-US" w:eastAsia="de-CH"/>
              </w:rPr>
              <w:t xml:space="preserve"> October 2015)</w:t>
            </w:r>
          </w:p>
        </w:tc>
        <w:tc>
          <w:tcPr>
            <w:tcW w:w="1242" w:type="pct"/>
            <w:gridSpan w:val="3"/>
            <w:shd w:val="clear" w:color="auto" w:fill="auto"/>
          </w:tcPr>
          <w:p w:rsidR="004C1EBA" w:rsidRPr="003747DF">
            <w:pPr>
              <w:pStyle w:val="csbody00"/>
              <w:ind w:left="769"/>
              <w:rPr>
                <w:bCs/>
                <w:lang w:val="de-DE" w:eastAsia="de-CH"/>
              </w:rPr>
            </w:pPr>
            <w:r w:rsidRPr="003747DF">
              <w:rPr>
                <w:bCs/>
                <w:lang w:val="de-DE" w:eastAsia="de-CH"/>
              </w:rPr>
              <w:t>CEO International Wealth Management (</w:t>
            </w:r>
            <w:r>
              <w:rPr>
                <w:bCs/>
                <w:lang w:val="de-DE" w:eastAsia="de-CH"/>
              </w:rPr>
              <w:t>seit dem 22. Oktober</w:t>
            </w:r>
            <w:r w:rsidRPr="003747DF">
              <w:rPr>
                <w:bCs/>
                <w:lang w:val="de-DE" w:eastAsia="de-CH"/>
              </w:rPr>
              <w:t xml:space="preserve"> 2015)</w:t>
            </w:r>
          </w:p>
        </w:tc>
      </w:tr>
      <w:tr w:rsidTr="002E5565">
        <w:tblPrEx>
          <w:tblW w:w="5002" w:type="pct"/>
          <w:tblBorders>
            <w:insideV w:val="single" w:sz="4" w:space="0" w:color="auto"/>
          </w:tblBorders>
          <w:tblLayout w:type="fixed"/>
          <w:tblLook w:val="00A0"/>
        </w:tblPrEx>
        <w:tc>
          <w:tcPr>
            <w:tcW w:w="1242" w:type="pct"/>
            <w:gridSpan w:val="3"/>
            <w:shd w:val="clear" w:color="auto" w:fill="auto"/>
          </w:tcPr>
          <w:p w:rsidR="002E5565" w:rsidRPr="00FB4503" w:rsidP="002E5565">
            <w:pPr>
              <w:pStyle w:val="csbody00"/>
              <w:rPr>
                <w:lang w:val="de-DE" w:eastAsia="de-CH"/>
              </w:rPr>
            </w:pPr>
          </w:p>
        </w:tc>
        <w:tc>
          <w:tcPr>
            <w:tcW w:w="1257" w:type="pct"/>
            <w:gridSpan w:val="2"/>
            <w:shd w:val="clear" w:color="auto" w:fill="auto"/>
          </w:tcPr>
          <w:p w:rsidR="002E5565" w:rsidRPr="00FB4503" w:rsidP="002E5565">
            <w:pPr>
              <w:pStyle w:val="csbody00"/>
              <w:rPr>
                <w:lang w:val="de-DE" w:eastAsia="de-CH"/>
              </w:rPr>
            </w:pPr>
          </w:p>
        </w:tc>
        <w:tc>
          <w:tcPr>
            <w:tcW w:w="1260" w:type="pct"/>
            <w:gridSpan w:val="5"/>
            <w:shd w:val="clear" w:color="auto" w:fill="auto"/>
          </w:tcPr>
          <w:p w:rsidR="002E5565" w:rsidRPr="00D41A6A" w:rsidP="002E5565">
            <w:pPr>
              <w:pStyle w:val="csbody00"/>
              <w:ind w:left="728" w:firstLine="13"/>
              <w:rPr>
                <w:bCs/>
                <w:lang w:val="en-US" w:eastAsia="de-CH"/>
              </w:rPr>
            </w:pPr>
            <w:r>
              <w:rPr>
                <w:bCs/>
                <w:lang w:val="en-US" w:eastAsia="de-CH"/>
              </w:rPr>
              <w:t>Member of the Executive Board since 22 October 2015</w:t>
            </w:r>
          </w:p>
        </w:tc>
        <w:tc>
          <w:tcPr>
            <w:tcW w:w="1242" w:type="pct"/>
            <w:gridSpan w:val="3"/>
            <w:shd w:val="clear" w:color="auto" w:fill="auto"/>
          </w:tcPr>
          <w:p w:rsidR="002E5565" w:rsidRPr="000920FD" w:rsidP="002E5565">
            <w:pPr>
              <w:pStyle w:val="csbody00"/>
              <w:ind w:left="728" w:firstLine="13"/>
              <w:rPr>
                <w:bCs/>
                <w:lang w:val="de-DE" w:eastAsia="de-CH"/>
              </w:rPr>
            </w:pPr>
            <w:r w:rsidRPr="000920FD">
              <w:rPr>
                <w:bCs/>
                <w:lang w:val="de-DE" w:eastAsia="de-CH"/>
              </w:rPr>
              <w:t>Mitglied der Geschäftsleitung seit 22. Oktober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jc w:val="left"/>
              <w:rPr>
                <w:lang w:val="de-DE" w:eastAsia="de-CH"/>
              </w:rPr>
            </w:pPr>
          </w:p>
        </w:tc>
        <w:tc>
          <w:tcPr>
            <w:tcW w:w="1260" w:type="pct"/>
            <w:gridSpan w:val="5"/>
            <w:shd w:val="clear" w:color="auto" w:fill="auto"/>
          </w:tcPr>
          <w:p w:rsidR="004C1EBA" w:rsidRPr="003747DF" w:rsidP="004C1EBA">
            <w:pPr>
              <w:pStyle w:val="csbody00"/>
              <w:ind w:left="797"/>
              <w:rPr>
                <w:bCs/>
                <w:lang w:val="en-US" w:eastAsia="de-CH"/>
              </w:rPr>
            </w:pPr>
            <w:r w:rsidRPr="003747DF">
              <w:rPr>
                <w:bCs/>
                <w:lang w:val="en-US" w:eastAsia="de-CH"/>
              </w:rPr>
              <w:t>Chief Financial Officer of Private Banking &amp; Wealth Management (2013-2015)</w:t>
            </w:r>
          </w:p>
        </w:tc>
        <w:tc>
          <w:tcPr>
            <w:tcW w:w="1242" w:type="pct"/>
            <w:gridSpan w:val="3"/>
            <w:shd w:val="clear" w:color="auto" w:fill="auto"/>
          </w:tcPr>
          <w:p w:rsidR="004C1EBA" w:rsidRPr="005C5842" w:rsidP="004C1EBA">
            <w:pPr>
              <w:pStyle w:val="csbody00"/>
              <w:ind w:left="797"/>
              <w:rPr>
                <w:bCs/>
                <w:lang w:eastAsia="de-CH"/>
              </w:rPr>
            </w:pPr>
            <w:r w:rsidRPr="005C5842">
              <w:rPr>
                <w:bCs/>
                <w:lang w:eastAsia="de-CH"/>
              </w:rPr>
              <w:t>Chief Financial Officer Private Banking &amp; Wealth Management (2013-2015)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pPr>
              <w:pStyle w:val="csbody00"/>
              <w:rPr>
                <w:bCs/>
                <w:lang w:val="en-US" w:eastAsia="de-CH"/>
              </w:rPr>
            </w:pPr>
            <w:r>
              <w:rPr>
                <w:bCs/>
                <w:lang w:val="en-US" w:eastAsia="de-CH"/>
              </w:rPr>
              <w:t>2001–2013</w:t>
            </w:r>
          </w:p>
        </w:tc>
        <w:tc>
          <w:tcPr>
            <w:tcW w:w="1242" w:type="pct"/>
            <w:gridSpan w:val="3"/>
            <w:shd w:val="clear" w:color="auto" w:fill="auto"/>
          </w:tcPr>
          <w:p w:rsidR="004C1EBA" w:rsidRPr="003747DF">
            <w:pPr>
              <w:pStyle w:val="csbody00"/>
              <w:rPr>
                <w:bCs/>
                <w:lang w:val="de-DE" w:eastAsia="de-CH"/>
              </w:rPr>
            </w:pPr>
            <w:r>
              <w:rPr>
                <w:bCs/>
                <w:lang w:val="de-DE" w:eastAsia="de-CH"/>
              </w:rPr>
              <w:t>2001–2013</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ind w:firstLine="825"/>
              <w:rPr>
                <w:bCs/>
                <w:lang w:val="en-US" w:eastAsia="de-CH"/>
              </w:rPr>
            </w:pPr>
            <w:r w:rsidRPr="00A24A96">
              <w:rPr>
                <w:rFonts w:eastAsia="Times New Roman"/>
              </w:rPr>
              <w:t>Ernst &amp; Young</w:t>
            </w:r>
          </w:p>
        </w:tc>
        <w:tc>
          <w:tcPr>
            <w:tcW w:w="1242" w:type="pct"/>
            <w:gridSpan w:val="3"/>
            <w:shd w:val="clear" w:color="auto" w:fill="auto"/>
          </w:tcPr>
          <w:p w:rsidR="004C1EBA" w:rsidRPr="003747DF" w:rsidP="004C1EBA">
            <w:pPr>
              <w:pStyle w:val="csbody00"/>
              <w:ind w:firstLine="825"/>
              <w:rPr>
                <w:bCs/>
                <w:lang w:val="de-DE" w:eastAsia="de-CH"/>
              </w:rPr>
            </w:pPr>
            <w:r w:rsidRPr="00A24A96">
              <w:rPr>
                <w:rFonts w:eastAsia="Times New Roman"/>
              </w:rPr>
              <w:t>Ernst &amp; Young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ind w:left="825"/>
              <w:rPr>
                <w:bCs/>
                <w:lang w:val="en-US" w:eastAsia="de-CH"/>
              </w:rPr>
            </w:pPr>
            <w:r w:rsidRPr="00890D8E">
              <w:rPr>
                <w:rFonts w:eastAsia="Times New Roman"/>
              </w:rPr>
              <w:t>Managing Partner of Assurance Financial Services Switzerland</w:t>
            </w:r>
          </w:p>
        </w:tc>
        <w:tc>
          <w:tcPr>
            <w:tcW w:w="1242" w:type="pct"/>
            <w:gridSpan w:val="3"/>
            <w:shd w:val="clear" w:color="auto" w:fill="auto"/>
          </w:tcPr>
          <w:p w:rsidR="004C1EBA" w:rsidRPr="005C5842">
            <w:pPr>
              <w:pStyle w:val="csbody00"/>
              <w:ind w:left="825"/>
              <w:rPr>
                <w:bCs/>
                <w:lang w:eastAsia="de-CH"/>
              </w:rPr>
            </w:pPr>
            <w:r w:rsidRPr="00890D8E">
              <w:rPr>
                <w:rFonts w:eastAsia="Times New Roman"/>
              </w:rPr>
              <w:t>Managing Partner</w:t>
            </w:r>
            <w:r>
              <w:rPr>
                <w:rFonts w:eastAsia="Times New Roman"/>
              </w:rPr>
              <w:t>,</w:t>
            </w:r>
            <w:r w:rsidRPr="00890D8E">
              <w:rPr>
                <w:rFonts w:eastAsia="Times New Roman"/>
              </w:rPr>
              <w:t xml:space="preserve"> Assurance Financial Services S</w:t>
            </w:r>
            <w:r>
              <w:rPr>
                <w:rFonts w:eastAsia="Times New Roman"/>
              </w:rPr>
              <w:t>witzerland</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ind w:left="825"/>
              <w:rPr>
                <w:bCs/>
                <w:lang w:val="en-US" w:eastAsia="de-CH"/>
              </w:rPr>
            </w:pPr>
            <w:r w:rsidRPr="00036CF3">
              <w:rPr>
                <w:rFonts w:eastAsia="Times New Roman"/>
              </w:rPr>
              <w:t xml:space="preserve">Member of the </w:t>
            </w:r>
            <w:r w:rsidRPr="00036CF3">
              <w:t>Swiss</w:t>
            </w:r>
            <w:r w:rsidRPr="00036CF3">
              <w:rPr>
                <w:rFonts w:eastAsia="Times New Roman"/>
              </w:rPr>
              <w:t xml:space="preserve"> Management Committe</w:t>
            </w:r>
            <w:r w:rsidR="00090525">
              <w:rPr>
                <w:rFonts w:eastAsia="Times New Roman"/>
              </w:rPr>
              <w:t>e</w:t>
            </w:r>
          </w:p>
        </w:tc>
        <w:tc>
          <w:tcPr>
            <w:tcW w:w="1242" w:type="pct"/>
            <w:gridSpan w:val="3"/>
            <w:shd w:val="clear" w:color="auto" w:fill="auto"/>
          </w:tcPr>
          <w:p w:rsidR="004C1EBA" w:rsidRPr="003747DF">
            <w:pPr>
              <w:pStyle w:val="csbody00"/>
              <w:ind w:left="825"/>
              <w:rPr>
                <w:bCs/>
                <w:lang w:val="de-DE" w:eastAsia="de-CH"/>
              </w:rPr>
            </w:pPr>
            <w:r>
              <w:rPr>
                <w:rFonts w:eastAsia="Times New Roman"/>
              </w:rPr>
              <w:t>Mitglied des</w:t>
            </w:r>
            <w:r w:rsidRPr="00036CF3">
              <w:rPr>
                <w:rFonts w:eastAsia="Times New Roman"/>
              </w:rPr>
              <w:t xml:space="preserve"> </w:t>
            </w:r>
            <w:r w:rsidRPr="00036CF3">
              <w:t>Swiss</w:t>
            </w:r>
            <w:r w:rsidRPr="00036CF3">
              <w:rPr>
                <w:rFonts w:eastAsia="Times New Roman"/>
              </w:rPr>
              <w:t xml:space="preserve"> Management </w:t>
            </w:r>
            <w:r>
              <w:rPr>
                <w:rFonts w:eastAsia="Times New Roman"/>
              </w:rPr>
              <w:t>Committee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RPr="003747DF" w:rsidP="004C1EBA">
            <w:pPr>
              <w:pStyle w:val="csbody00"/>
              <w:rPr>
                <w:bCs/>
                <w:lang w:val="de-DE" w:eastAsia="de-CH"/>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rPr>
                <w:bCs/>
                <w:lang w:val="en-US" w:eastAsia="de-CH"/>
              </w:rPr>
            </w:pPr>
            <w:r w:rsidRPr="00A75544">
              <w:t xml:space="preserve">2010/2012 Master of International Business Law, University of </w:t>
            </w:r>
            <w:r w:rsidRPr="00A75544">
              <w:rPr>
                <w:bCs/>
              </w:rPr>
              <w:t>Zurich</w:t>
            </w:r>
          </w:p>
        </w:tc>
        <w:tc>
          <w:tcPr>
            <w:tcW w:w="1242" w:type="pct"/>
            <w:gridSpan w:val="3"/>
            <w:shd w:val="clear" w:color="auto" w:fill="auto"/>
          </w:tcPr>
          <w:p w:rsidR="004C1EBA" w:rsidRPr="003747DF">
            <w:pPr>
              <w:pStyle w:val="csbody00"/>
              <w:rPr>
                <w:bCs/>
                <w:lang w:val="de-DE" w:eastAsia="de-CH"/>
              </w:rPr>
            </w:pPr>
            <w:r w:rsidRPr="005C5842">
              <w:rPr>
                <w:lang w:val="de-DE"/>
              </w:rPr>
              <w:t>2010/2012 Masterabschluss in Internationalem Wirtschaftsrecht, Universität Zürich</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jc w:val="left"/>
              <w:rPr>
                <w:lang w:val="de-DE" w:eastAsia="de-CH"/>
              </w:rPr>
            </w:pPr>
          </w:p>
        </w:tc>
        <w:tc>
          <w:tcPr>
            <w:tcW w:w="1260" w:type="pct"/>
            <w:gridSpan w:val="5"/>
            <w:shd w:val="clear" w:color="auto" w:fill="auto"/>
          </w:tcPr>
          <w:p w:rsidR="004C1EBA" w:rsidRPr="003747DF" w:rsidP="004C1EBA">
            <w:pPr>
              <w:pStyle w:val="csbody00"/>
              <w:rPr>
                <w:bCs/>
                <w:lang w:val="en-US" w:eastAsia="de-CH"/>
              </w:rPr>
            </w:pPr>
            <w:r w:rsidRPr="000D4E83">
              <w:rPr>
                <w:bCs/>
              </w:rPr>
              <w:t>2005 Swiss Certified Trustee</w:t>
            </w:r>
          </w:p>
        </w:tc>
        <w:tc>
          <w:tcPr>
            <w:tcW w:w="1242" w:type="pct"/>
            <w:gridSpan w:val="3"/>
            <w:shd w:val="clear" w:color="auto" w:fill="auto"/>
          </w:tcPr>
          <w:p w:rsidR="004C1EBA" w:rsidRPr="003747DF">
            <w:pPr>
              <w:pStyle w:val="csbody00"/>
              <w:rPr>
                <w:bCs/>
                <w:lang w:val="de-DE" w:eastAsia="de-CH"/>
              </w:rPr>
            </w:pPr>
            <w:r w:rsidRPr="000D4E83">
              <w:rPr>
                <w:bCs/>
              </w:rPr>
              <w:t>2005 S</w:t>
            </w:r>
            <w:r>
              <w:rPr>
                <w:bCs/>
              </w:rPr>
              <w:t>chweizerisch Zertifizierter Treuhänder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rPr>
                <w:bCs/>
                <w:lang w:val="en-US" w:eastAsia="de-CH"/>
              </w:rPr>
            </w:pPr>
            <w:r w:rsidRPr="008B0CC7">
              <w:rPr>
                <w:bCs/>
              </w:rPr>
              <w:t>2004 Certified Accountant</w:t>
            </w:r>
          </w:p>
        </w:tc>
        <w:tc>
          <w:tcPr>
            <w:tcW w:w="1242" w:type="pct"/>
            <w:gridSpan w:val="3"/>
            <w:shd w:val="clear" w:color="auto" w:fill="auto"/>
          </w:tcPr>
          <w:p w:rsidR="004C1EBA" w:rsidRPr="003747DF">
            <w:pPr>
              <w:pStyle w:val="csbody00"/>
              <w:rPr>
                <w:bCs/>
                <w:lang w:val="de-DE" w:eastAsia="de-CH"/>
              </w:rPr>
            </w:pPr>
            <w:r w:rsidRPr="008B0CC7">
              <w:rPr>
                <w:bCs/>
              </w:rPr>
              <w:t xml:space="preserve">2004 </w:t>
            </w:r>
            <w:r>
              <w:rPr>
                <w:bCs/>
              </w:rPr>
              <w:t>Zertifizierter Rechnungsprüfer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rPr>
                <w:bCs/>
                <w:lang w:val="en-US" w:eastAsia="de-CH"/>
              </w:rPr>
            </w:pPr>
            <w:r w:rsidRPr="009C27E4">
              <w:rPr>
                <w:bCs/>
              </w:rPr>
              <w:t>2002 Certified Financial Analyst</w:t>
            </w:r>
          </w:p>
        </w:tc>
        <w:tc>
          <w:tcPr>
            <w:tcW w:w="1242" w:type="pct"/>
            <w:gridSpan w:val="3"/>
            <w:shd w:val="clear" w:color="auto" w:fill="auto"/>
          </w:tcPr>
          <w:p w:rsidR="004C1EBA" w:rsidRPr="003747DF">
            <w:pPr>
              <w:pStyle w:val="csbody00"/>
              <w:rPr>
                <w:bCs/>
                <w:lang w:val="de-DE" w:eastAsia="de-CH"/>
              </w:rPr>
            </w:pPr>
            <w:r w:rsidRPr="009C27E4">
              <w:rPr>
                <w:bCs/>
              </w:rPr>
              <w:t xml:space="preserve">2002 </w:t>
            </w:r>
            <w:r>
              <w:rPr>
                <w:bCs/>
              </w:rPr>
              <w:t>Zertifizierter Finanzanalyst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rPr>
                <w:bCs/>
                <w:lang w:val="en-US" w:eastAsia="de-CH"/>
              </w:rPr>
            </w:pPr>
            <w:r w:rsidRPr="00542ACB">
              <w:rPr>
                <w:bCs/>
              </w:rPr>
              <w:t>1999 Certified IFRS Accountant</w:t>
            </w:r>
          </w:p>
        </w:tc>
        <w:tc>
          <w:tcPr>
            <w:tcW w:w="1242" w:type="pct"/>
            <w:gridSpan w:val="3"/>
            <w:shd w:val="clear" w:color="auto" w:fill="auto"/>
          </w:tcPr>
          <w:p w:rsidR="004C1EBA" w:rsidRPr="003747DF">
            <w:pPr>
              <w:pStyle w:val="csbody00"/>
              <w:rPr>
                <w:bCs/>
                <w:lang w:val="de-DE" w:eastAsia="de-CH"/>
              </w:rPr>
            </w:pPr>
            <w:r w:rsidRPr="00542ACB">
              <w:rPr>
                <w:bCs/>
              </w:rPr>
              <w:t xml:space="preserve">1999 </w:t>
            </w:r>
            <w:r>
              <w:rPr>
                <w:bCs/>
              </w:rPr>
              <w:t>Zertifizierter IFRS Buchführer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rPr>
                <w:bCs/>
                <w:lang w:val="en-US" w:eastAsia="de-CH"/>
              </w:rPr>
            </w:pPr>
            <w:r w:rsidRPr="0080411A">
              <w:rPr>
                <w:b/>
                <w:bCs/>
                <w:lang w:val="en-US" w:eastAsia="de-CH"/>
              </w:rPr>
              <w:t>Other activities and functions</w:t>
            </w:r>
          </w:p>
        </w:tc>
        <w:tc>
          <w:tcPr>
            <w:tcW w:w="1242" w:type="pct"/>
            <w:gridSpan w:val="3"/>
            <w:shd w:val="clear" w:color="auto" w:fill="auto"/>
          </w:tcPr>
          <w:p w:rsidR="004C1EBA" w:rsidRPr="003747DF" w:rsidP="004C1EBA">
            <w:pPr>
              <w:pStyle w:val="csbody00"/>
              <w:rPr>
                <w:bCs/>
                <w:lang w:val="de-DE" w:eastAsia="de-CH"/>
              </w:rPr>
            </w:pPr>
            <w:r w:rsidRPr="0080411A">
              <w:rPr>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eastAsia="de-CH"/>
              </w:rPr>
            </w:pPr>
          </w:p>
        </w:tc>
        <w:tc>
          <w:tcPr>
            <w:tcW w:w="1260" w:type="pct"/>
            <w:gridSpan w:val="5"/>
            <w:shd w:val="clear" w:color="auto" w:fill="auto"/>
          </w:tcPr>
          <w:p w:rsidR="004C1EBA" w:rsidRPr="003747DF" w:rsidP="004C1EBA">
            <w:pPr>
              <w:pStyle w:val="csbody00"/>
              <w:rPr>
                <w:bCs/>
                <w:lang w:val="en-US" w:eastAsia="de-CH"/>
              </w:rPr>
            </w:pPr>
            <w:r w:rsidRPr="00F854EB">
              <w:rPr>
                <w:bCs/>
              </w:rPr>
              <w:t>BANK-now AG, board member</w:t>
            </w:r>
          </w:p>
        </w:tc>
        <w:tc>
          <w:tcPr>
            <w:tcW w:w="1242" w:type="pct"/>
            <w:gridSpan w:val="3"/>
            <w:shd w:val="clear" w:color="auto" w:fill="auto"/>
          </w:tcPr>
          <w:p w:rsidR="004C1EBA" w:rsidRPr="003747DF">
            <w:pPr>
              <w:pStyle w:val="csbody00"/>
              <w:rPr>
                <w:bCs/>
                <w:lang w:val="de-DE" w:eastAsia="de-CH"/>
              </w:rPr>
            </w:pPr>
            <w:r w:rsidRPr="005C5842">
              <w:rPr>
                <w:bCs/>
                <w:lang w:val="de-DE"/>
              </w:rPr>
              <w:t>BANK-now AG, Mitglied des Verwaltungsrats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jc w:val="left"/>
              <w:rPr>
                <w:lang w:val="de-DE" w:eastAsia="de-CH"/>
              </w:rPr>
            </w:pPr>
          </w:p>
        </w:tc>
        <w:tc>
          <w:tcPr>
            <w:tcW w:w="1260" w:type="pct"/>
            <w:gridSpan w:val="5"/>
            <w:shd w:val="clear" w:color="auto" w:fill="auto"/>
          </w:tcPr>
          <w:p w:rsidR="004C1EBA" w:rsidRPr="003747DF" w:rsidP="004C1EBA">
            <w:pPr>
              <w:pStyle w:val="csbody00"/>
              <w:rPr>
                <w:bCs/>
                <w:lang w:val="en-US" w:eastAsia="de-CH"/>
              </w:rPr>
            </w:pPr>
            <w:r w:rsidRPr="00B41A09">
              <w:rPr>
                <w:bCs/>
              </w:rPr>
              <w:t>Swisscard, board member</w:t>
            </w:r>
          </w:p>
        </w:tc>
        <w:tc>
          <w:tcPr>
            <w:tcW w:w="1242" w:type="pct"/>
            <w:gridSpan w:val="3"/>
            <w:shd w:val="clear" w:color="auto" w:fill="auto"/>
          </w:tcPr>
          <w:p w:rsidR="004C1EBA" w:rsidRPr="003747DF" w:rsidP="004C1EBA">
            <w:pPr>
              <w:pStyle w:val="csbody00"/>
              <w:rPr>
                <w:bCs/>
                <w:lang w:val="de-DE" w:eastAsia="de-CH"/>
              </w:rPr>
            </w:pPr>
            <w:r w:rsidRPr="00B41A09">
              <w:rPr>
                <w:bCs/>
              </w:rPr>
              <w:t xml:space="preserve">Swisscard, </w:t>
            </w:r>
            <w:r w:rsidRPr="00FA7AED">
              <w:rPr>
                <w:bCs/>
              </w:rPr>
              <w:t>Mitglied des Verwaltungsrats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r w:rsidRPr="0080411A">
              <w:rPr>
                <w:lang w:eastAsia="de-CH"/>
              </w:rPr>
              <w:t>Timothy P. O'Hara</w:t>
            </w:r>
          </w:p>
        </w:tc>
        <w:tc>
          <w:tcPr>
            <w:tcW w:w="1257" w:type="pct"/>
            <w:gridSpan w:val="2"/>
            <w:shd w:val="clear" w:color="auto" w:fill="auto"/>
          </w:tcPr>
          <w:p w:rsidR="004C1EBA" w:rsidRPr="0080411A">
            <w:pPr>
              <w:pStyle w:val="csbody00"/>
              <w:jc w:val="left"/>
              <w:rPr>
                <w:lang w:eastAsia="de-CH"/>
              </w:rPr>
            </w:pPr>
            <w:r w:rsidRPr="0080411A">
              <w:rPr>
                <w:lang w:eastAsia="de-CH"/>
              </w:rPr>
              <w:t>Credit Suisse</w:t>
            </w:r>
            <w:r w:rsidRPr="0080411A">
              <w:rPr>
                <w:lang w:val="en-US" w:eastAsia="de-CH"/>
              </w:rPr>
              <w:t xml:space="preserve"> AG</w:t>
            </w:r>
            <w:r w:rsidRPr="0080411A">
              <w:rPr>
                <w:lang w:val="en-US" w:eastAsia="de-CH"/>
              </w:rPr>
              <w:br/>
            </w:r>
            <w:r>
              <w:rPr>
                <w:lang w:eastAsia="de-CH"/>
              </w:rPr>
              <w:t>Eleven</w:t>
            </w:r>
            <w:r w:rsidRPr="0080411A">
              <w:rPr>
                <w:lang w:eastAsia="de-CH"/>
              </w:rPr>
              <w:t xml:space="preserve"> Madison Avenue</w:t>
            </w:r>
            <w:r w:rsidRPr="0080411A">
              <w:rPr>
                <w:lang w:eastAsia="de-CH"/>
              </w:rPr>
              <w:br/>
              <w:t>New York</w:t>
            </w:r>
            <w:r w:rsidRPr="0080411A">
              <w:rPr>
                <w:lang w:eastAsia="de-CH"/>
              </w:rPr>
              <w:br/>
              <w:t>10010</w:t>
            </w:r>
            <w:r>
              <w:rPr>
                <w:lang w:eastAsia="de-CH"/>
              </w:rPr>
              <w:t xml:space="preserve"> 3629 NY</w:t>
            </w:r>
            <w:r w:rsidRPr="0080411A">
              <w:rPr>
                <w:lang w:eastAsia="de-CH"/>
              </w:rPr>
              <w:br/>
              <w:t>United States</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0411A" w:rsidP="004C1EBA">
            <w:pPr>
              <w:pStyle w:val="csbody00"/>
              <w:rPr>
                <w:rFonts w:ascii="Times New Roman" w:hAnsi="Times New Roman"/>
                <w:sz w:val="20"/>
                <w:szCs w:val="20"/>
                <w:lang w:val="en-US" w:eastAsia="de-CH"/>
              </w:rPr>
            </w:pPr>
            <w:r w:rsidRPr="0080411A">
              <w:rPr>
                <w:bCs/>
                <w:lang w:val="en-US" w:eastAsia="de-CH"/>
              </w:rPr>
              <w:t xml:space="preserve">1986–present </w:t>
            </w:r>
          </w:p>
        </w:tc>
        <w:tc>
          <w:tcPr>
            <w:tcW w:w="1242" w:type="pct"/>
            <w:gridSpan w:val="3"/>
            <w:shd w:val="clear" w:color="auto" w:fill="auto"/>
          </w:tcPr>
          <w:p w:rsidR="004C1EBA" w:rsidRPr="0080411A" w:rsidP="004C1EBA">
            <w:pPr>
              <w:pStyle w:val="csbody00"/>
              <w:rPr>
                <w:b/>
                <w:bCs/>
                <w:lang w:val="de-DE" w:eastAsia="de-CH"/>
              </w:rPr>
            </w:pPr>
            <w:r w:rsidRPr="0080411A">
              <w:rPr>
                <w:b/>
                <w:bCs/>
                <w:lang w:val="de-DE" w:eastAsia="de-CH"/>
              </w:rPr>
              <w:t>Werdegang</w:t>
            </w:r>
          </w:p>
          <w:p w:rsidR="004C1EBA" w:rsidRPr="0080411A" w:rsidP="004C1EBA">
            <w:pPr>
              <w:pStyle w:val="csbody00"/>
              <w:rPr>
                <w:lang w:val="de-DE" w:eastAsia="de-CH"/>
              </w:rPr>
            </w:pPr>
            <w:r w:rsidRPr="0080411A">
              <w:rPr>
                <w:bCs/>
                <w:lang w:val="de-DE" w:eastAsia="de-CH"/>
              </w:rPr>
              <w:t xml:space="preserve">1986 bis heute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
                <w:bCs/>
                <w:lang w:val="en-US" w:eastAsia="de-CH"/>
              </w:rPr>
            </w:pPr>
            <w:r w:rsidRPr="0080411A">
              <w:rPr>
                <w:bCs/>
                <w:lang w:val="en-US" w:eastAsia="de-CH"/>
              </w:rPr>
              <w:t>Credit Suisse</w:t>
            </w:r>
          </w:p>
        </w:tc>
        <w:tc>
          <w:tcPr>
            <w:tcW w:w="1242" w:type="pct"/>
            <w:gridSpan w:val="3"/>
            <w:shd w:val="clear" w:color="auto" w:fill="auto"/>
          </w:tcPr>
          <w:p w:rsidR="004C1EBA" w:rsidRPr="0080411A" w:rsidP="004C1EBA">
            <w:pPr>
              <w:pStyle w:val="csbody00"/>
              <w:ind w:left="720"/>
              <w:rPr>
                <w:b/>
                <w:bCs/>
                <w:lang w:val="de-DE" w:eastAsia="de-CH"/>
              </w:rPr>
            </w:pPr>
            <w:r w:rsidRPr="0080411A">
              <w:rPr>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pPr>
              <w:pStyle w:val="csbody00"/>
              <w:ind w:left="720"/>
              <w:rPr>
                <w:bCs/>
                <w:lang w:val="en-US" w:eastAsia="de-CH"/>
              </w:rPr>
            </w:pPr>
            <w:r>
              <w:rPr>
                <w:bCs/>
                <w:lang w:val="en-US" w:eastAsia="de-CH"/>
              </w:rPr>
              <w:t>CEO Global Markets (</w:t>
            </w:r>
            <w:r w:rsidR="002E5565">
              <w:rPr>
                <w:bCs/>
                <w:lang w:val="en-US" w:eastAsia="de-CH"/>
              </w:rPr>
              <w:t>since 22</w:t>
            </w:r>
            <w:r>
              <w:rPr>
                <w:bCs/>
                <w:lang w:val="en-US" w:eastAsia="de-CH"/>
              </w:rPr>
              <w:t xml:space="preserve"> October 2015)</w:t>
            </w:r>
          </w:p>
        </w:tc>
        <w:tc>
          <w:tcPr>
            <w:tcW w:w="1242" w:type="pct"/>
            <w:gridSpan w:val="3"/>
            <w:shd w:val="clear" w:color="auto" w:fill="auto"/>
          </w:tcPr>
          <w:p w:rsidR="004C1EBA" w:rsidRPr="0080411A" w:rsidP="004C1EBA">
            <w:pPr>
              <w:pStyle w:val="csbody00"/>
              <w:ind w:left="720"/>
              <w:rPr>
                <w:bCs/>
                <w:lang w:val="de-DE" w:eastAsia="de-CH"/>
              </w:rPr>
            </w:pPr>
            <w:r>
              <w:rPr>
                <w:bCs/>
                <w:lang w:val="de-DE" w:eastAsia="de-CH"/>
              </w:rPr>
              <w:t>CEO Global Markets (seit dem 22. Oktober 2015)</w:t>
            </w:r>
          </w:p>
        </w:tc>
      </w:tr>
      <w:tr w:rsidTr="00FF5C78">
        <w:tblPrEx>
          <w:tblW w:w="5002" w:type="pct"/>
          <w:tblBorders>
            <w:insideV w:val="single" w:sz="4" w:space="0" w:color="auto"/>
          </w:tblBorders>
          <w:tblLayout w:type="fixed"/>
          <w:tblLook w:val="00A0"/>
        </w:tblPrEx>
        <w:tc>
          <w:tcPr>
            <w:tcW w:w="1242" w:type="pct"/>
            <w:gridSpan w:val="3"/>
            <w:shd w:val="clear" w:color="auto" w:fill="auto"/>
          </w:tcPr>
          <w:p w:rsidR="00CB7D6A" w:rsidRPr="00FB4503" w:rsidP="00FF5C78">
            <w:pPr>
              <w:pStyle w:val="csbody00"/>
              <w:rPr>
                <w:lang w:val="de-DE" w:eastAsia="de-CH"/>
              </w:rPr>
            </w:pPr>
          </w:p>
        </w:tc>
        <w:tc>
          <w:tcPr>
            <w:tcW w:w="1257" w:type="pct"/>
            <w:gridSpan w:val="2"/>
            <w:shd w:val="clear" w:color="auto" w:fill="auto"/>
          </w:tcPr>
          <w:p w:rsidR="00CB7D6A" w:rsidRPr="00FB4503" w:rsidP="00FF5C78">
            <w:pPr>
              <w:pStyle w:val="csbody00"/>
              <w:rPr>
                <w:lang w:val="de-DE" w:eastAsia="de-CH"/>
              </w:rPr>
            </w:pPr>
          </w:p>
        </w:tc>
        <w:tc>
          <w:tcPr>
            <w:tcW w:w="1260" w:type="pct"/>
            <w:gridSpan w:val="5"/>
            <w:shd w:val="clear" w:color="auto" w:fill="auto"/>
          </w:tcPr>
          <w:p w:rsidR="00CB7D6A" w:rsidRPr="00D41A6A">
            <w:pPr>
              <w:pStyle w:val="csbody00"/>
              <w:ind w:left="728" w:firstLine="13"/>
              <w:rPr>
                <w:bCs/>
                <w:lang w:val="en-US" w:eastAsia="de-CH"/>
              </w:rPr>
            </w:pPr>
            <w:r>
              <w:rPr>
                <w:bCs/>
                <w:lang w:val="en-US" w:eastAsia="de-CH"/>
              </w:rPr>
              <w:t>Member of the Executive Board since 201</w:t>
            </w:r>
            <w:r w:rsidR="00FF5C78">
              <w:rPr>
                <w:bCs/>
                <w:lang w:val="en-US" w:eastAsia="de-CH"/>
              </w:rPr>
              <w:t>4</w:t>
            </w:r>
          </w:p>
        </w:tc>
        <w:tc>
          <w:tcPr>
            <w:tcW w:w="1242" w:type="pct"/>
            <w:gridSpan w:val="3"/>
            <w:shd w:val="clear" w:color="auto" w:fill="auto"/>
          </w:tcPr>
          <w:p w:rsidR="00CB7D6A" w:rsidRPr="000920FD">
            <w:pPr>
              <w:pStyle w:val="csbody00"/>
              <w:ind w:left="728" w:firstLine="13"/>
              <w:rPr>
                <w:bCs/>
                <w:lang w:val="de-DE" w:eastAsia="de-CH"/>
              </w:rPr>
            </w:pPr>
            <w:r w:rsidRPr="000920FD">
              <w:rPr>
                <w:bCs/>
                <w:lang w:val="de-DE" w:eastAsia="de-CH"/>
              </w:rPr>
              <w:t>Mitglied der Geschäftsleitung seit 201</w:t>
            </w:r>
            <w:r w:rsidR="00FF5C78">
              <w:rPr>
                <w:bCs/>
                <w:lang w:val="de-DE" w:eastAsia="de-CH"/>
              </w:rPr>
              <w:t>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BD6E0D" w:rsidP="004C1EBA">
            <w:pPr>
              <w:pStyle w:val="csbody00"/>
              <w:rPr>
                <w:lang w:val="de-DE" w:eastAsia="de-CH"/>
              </w:rPr>
            </w:pPr>
          </w:p>
        </w:tc>
        <w:tc>
          <w:tcPr>
            <w:tcW w:w="1257" w:type="pct"/>
            <w:gridSpan w:val="2"/>
            <w:shd w:val="clear" w:color="auto" w:fill="auto"/>
          </w:tcPr>
          <w:p w:rsidR="004C1EBA" w:rsidRPr="00BD6E0D" w:rsidP="004C1EBA">
            <w:pPr>
              <w:pStyle w:val="csbody00"/>
              <w:rPr>
                <w:lang w:val="de-DE" w:eastAsia="de-CH"/>
              </w:rPr>
            </w:pPr>
          </w:p>
        </w:tc>
        <w:tc>
          <w:tcPr>
            <w:tcW w:w="1260" w:type="pct"/>
            <w:gridSpan w:val="5"/>
            <w:shd w:val="clear" w:color="auto" w:fill="auto"/>
          </w:tcPr>
          <w:p w:rsidR="004C1EBA" w:rsidRPr="0080411A">
            <w:pPr>
              <w:pStyle w:val="csbody00"/>
              <w:ind w:left="720"/>
              <w:rPr>
                <w:bCs/>
                <w:lang w:val="en-US" w:eastAsia="de-CH"/>
              </w:rPr>
            </w:pPr>
            <w:r w:rsidRPr="0080411A">
              <w:rPr>
                <w:bCs/>
                <w:lang w:val="en-US" w:eastAsia="de-CH"/>
              </w:rPr>
              <w:t>Joint Head of Investment Banking, responsible for the Equities business (2014–</w:t>
            </w:r>
            <w:r>
              <w:rPr>
                <w:bCs/>
                <w:lang w:val="en-US" w:eastAsia="de-CH"/>
              </w:rPr>
              <w:t>2015</w:t>
            </w:r>
            <w:r w:rsidRPr="0080411A">
              <w:rPr>
                <w:bCs/>
                <w:lang w:val="en-US" w:eastAsia="de-CH"/>
              </w:rPr>
              <w:t>)</w:t>
            </w:r>
          </w:p>
        </w:tc>
        <w:tc>
          <w:tcPr>
            <w:tcW w:w="1242" w:type="pct"/>
            <w:gridSpan w:val="3"/>
            <w:shd w:val="clear" w:color="auto" w:fill="auto"/>
          </w:tcPr>
          <w:p w:rsidR="004C1EBA" w:rsidRPr="0080411A">
            <w:pPr>
              <w:pStyle w:val="csbody00"/>
              <w:ind w:left="720"/>
              <w:rPr>
                <w:bCs/>
                <w:lang w:val="de-DE" w:eastAsia="de-CH"/>
              </w:rPr>
            </w:pPr>
            <w:r w:rsidRPr="0080411A">
              <w:rPr>
                <w:bCs/>
                <w:lang w:val="de-DE" w:eastAsia="de-CH"/>
              </w:rPr>
              <w:t>Co-Leiter Investment Banking; Zuständigkeit für den Bereich Equities (2014</w:t>
            </w:r>
            <w:r>
              <w:rPr>
                <w:bCs/>
                <w:lang w:val="de-DE" w:eastAsia="de-CH"/>
              </w:rPr>
              <w:t>–2015</w:t>
            </w:r>
            <w:r w:rsidRPr="0080411A">
              <w:rPr>
                <w:bCs/>
                <w:lang w:val="de-DE" w:eastAsia="de-CH"/>
              </w:rPr>
              <w: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F36E74" w:rsidP="004C1EBA">
            <w:pPr>
              <w:pStyle w:val="csbody00"/>
              <w:rPr>
                <w:lang w:val="de-DE"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President and CEO of Credit Suisse Securities (USA) LLC (2012–present)</w:t>
            </w:r>
          </w:p>
        </w:tc>
        <w:tc>
          <w:tcPr>
            <w:tcW w:w="1242" w:type="pct"/>
            <w:gridSpan w:val="3"/>
            <w:shd w:val="clear" w:color="auto" w:fill="auto"/>
          </w:tcPr>
          <w:p w:rsidR="004C1EBA" w:rsidRPr="0016599C" w:rsidP="004C1EBA">
            <w:pPr>
              <w:pStyle w:val="csbody00"/>
              <w:ind w:left="720"/>
              <w:rPr>
                <w:bCs/>
                <w:lang w:val="de-DE" w:eastAsia="de-CH"/>
              </w:rPr>
            </w:pPr>
            <w:r w:rsidRPr="0080411A">
              <w:rPr>
                <w:bCs/>
                <w:lang w:val="de-DE" w:eastAsia="de-CH"/>
              </w:rPr>
              <w:t>Präsident und CEO der Credit Suisse Securities (USA) LLC (2012 bis heute)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16599C" w:rsidP="004C1EBA">
            <w:pPr>
              <w:pStyle w:val="csbody00"/>
              <w:rPr>
                <w:lang w:val="de-DE" w:eastAsia="de-CH"/>
              </w:rPr>
            </w:pPr>
          </w:p>
        </w:tc>
        <w:tc>
          <w:tcPr>
            <w:tcW w:w="1257" w:type="pct"/>
            <w:gridSpan w:val="2"/>
            <w:shd w:val="clear" w:color="auto" w:fill="auto"/>
          </w:tcPr>
          <w:p w:rsidR="004C1EBA" w:rsidRPr="0016599C" w:rsidP="004C1EBA">
            <w:pPr>
              <w:pStyle w:val="csbody00"/>
              <w:rPr>
                <w:lang w:val="de-DE"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Global Head of Equities (2012–2014)</w:t>
            </w:r>
          </w:p>
        </w:tc>
        <w:tc>
          <w:tcPr>
            <w:tcW w:w="1242" w:type="pct"/>
            <w:gridSpan w:val="3"/>
            <w:shd w:val="clear" w:color="auto" w:fill="auto"/>
          </w:tcPr>
          <w:p w:rsidR="004C1EBA" w:rsidRPr="0016599C" w:rsidP="004C1EBA">
            <w:pPr>
              <w:pStyle w:val="csbody00"/>
              <w:ind w:left="720"/>
              <w:rPr>
                <w:bCs/>
                <w:lang w:eastAsia="de-CH"/>
              </w:rPr>
            </w:pPr>
            <w:r w:rsidRPr="0080411A">
              <w:rPr>
                <w:bCs/>
                <w:lang w:val="en-US" w:eastAsia="de-CH"/>
              </w:rPr>
              <w:t>Globaler Leiter Equities (2012</w:t>
            </w:r>
            <w:r>
              <w:rPr>
                <w:bCs/>
                <w:lang w:val="en-US" w:eastAsia="de-CH"/>
              </w:rPr>
              <w:t xml:space="preserve"> bis </w:t>
            </w:r>
            <w:r w:rsidRPr="0080411A">
              <w:rPr>
                <w:bCs/>
                <w:lang w:val="en-US" w:eastAsia="de-CH"/>
              </w:rPr>
              <w:t>2014)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Co-Head of Global Securities (2011–2012)</w:t>
            </w:r>
          </w:p>
        </w:tc>
        <w:tc>
          <w:tcPr>
            <w:tcW w:w="1242" w:type="pct"/>
            <w:gridSpan w:val="3"/>
            <w:shd w:val="clear" w:color="auto" w:fill="auto"/>
          </w:tcPr>
          <w:p w:rsidR="004C1EBA" w:rsidRPr="0080411A" w:rsidP="004C1EBA">
            <w:pPr>
              <w:pStyle w:val="csbody00"/>
              <w:ind w:left="720"/>
              <w:rPr>
                <w:bCs/>
                <w:lang w:val="en-US" w:eastAsia="de-CH"/>
              </w:rPr>
            </w:pPr>
            <w:r w:rsidRPr="0080411A">
              <w:rPr>
                <w:bCs/>
                <w:lang w:val="en-US" w:eastAsia="de-CH"/>
              </w:rPr>
              <w:t>Co-Leiter Global Securities (2011</w:t>
            </w:r>
            <w:r>
              <w:rPr>
                <w:bCs/>
                <w:lang w:val="en-US" w:eastAsia="de-CH"/>
              </w:rPr>
              <w:t xml:space="preserve"> bis </w:t>
            </w:r>
            <w:r w:rsidRPr="0080411A">
              <w:rPr>
                <w:bCs/>
                <w:lang w:val="en-US" w:eastAsia="de-CH"/>
              </w:rPr>
              <w:t>2012)</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Head of Fixed Income, North America (2009–</w:t>
            </w:r>
            <w:r w:rsidRPr="0016599C">
              <w:rPr>
                <w:bCs/>
                <w:lang w:val="en-US" w:eastAsia="de-CH"/>
              </w:rPr>
              <w:t>2011)</w:t>
            </w:r>
          </w:p>
        </w:tc>
        <w:tc>
          <w:tcPr>
            <w:tcW w:w="1242" w:type="pct"/>
            <w:gridSpan w:val="3"/>
            <w:shd w:val="clear" w:color="auto" w:fill="auto"/>
          </w:tcPr>
          <w:p w:rsidR="004C1EBA" w:rsidRPr="0080411A" w:rsidP="004C1EBA">
            <w:pPr>
              <w:pStyle w:val="csbody00"/>
              <w:ind w:left="720"/>
              <w:rPr>
                <w:bCs/>
                <w:lang w:val="en-US" w:eastAsia="de-CH"/>
              </w:rPr>
            </w:pPr>
            <w:r w:rsidRPr="0080411A">
              <w:rPr>
                <w:bCs/>
                <w:lang w:val="en-US" w:eastAsia="de-CH"/>
              </w:rPr>
              <w:t>Leiter Fixed Income – North America (2009</w:t>
            </w:r>
            <w:r>
              <w:rPr>
                <w:bCs/>
                <w:lang w:val="en-US" w:eastAsia="de-CH"/>
              </w:rPr>
              <w:t xml:space="preserve"> bis </w:t>
            </w:r>
            <w:r w:rsidRPr="0080411A">
              <w:rPr>
                <w:bCs/>
                <w:lang w:val="en-US" w:eastAsia="de-CH"/>
              </w:rPr>
              <w:t>2011)</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D57FCC">
              <w:rPr>
                <w:bCs/>
                <w:lang w:val="en-US" w:eastAsia="de-CH"/>
              </w:rPr>
              <w:t>Head of Global Credit Products (2008–2011)</w:t>
            </w:r>
          </w:p>
        </w:tc>
        <w:tc>
          <w:tcPr>
            <w:tcW w:w="1242" w:type="pct"/>
            <w:gridSpan w:val="3"/>
            <w:shd w:val="clear" w:color="auto" w:fill="auto"/>
          </w:tcPr>
          <w:p w:rsidR="004C1EBA" w:rsidRPr="0080411A" w:rsidP="004C1EBA">
            <w:pPr>
              <w:pStyle w:val="csbody00"/>
              <w:ind w:left="720"/>
              <w:rPr>
                <w:bCs/>
                <w:lang w:val="en-US" w:eastAsia="de-CH"/>
              </w:rPr>
            </w:pPr>
            <w:r>
              <w:rPr>
                <w:bCs/>
                <w:lang w:val="en-US" w:eastAsia="de-CH"/>
              </w:rPr>
              <w:t>Leiter Global Credit Products (2008 bis 2011)</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D57FCC">
              <w:rPr>
                <w:bCs/>
                <w:lang w:val="en-US" w:eastAsia="de-CH"/>
              </w:rPr>
              <w:t>Global Head of Leveraged Finance (2005–2008)</w:t>
            </w:r>
          </w:p>
        </w:tc>
        <w:tc>
          <w:tcPr>
            <w:tcW w:w="1242" w:type="pct"/>
            <w:gridSpan w:val="3"/>
            <w:shd w:val="clear" w:color="auto" w:fill="auto"/>
          </w:tcPr>
          <w:p w:rsidR="004C1EBA" w:rsidRPr="0080411A" w:rsidP="004C1EBA">
            <w:pPr>
              <w:pStyle w:val="csbody00"/>
              <w:ind w:left="720"/>
              <w:rPr>
                <w:bCs/>
                <w:lang w:val="en-US" w:eastAsia="de-CH"/>
              </w:rPr>
            </w:pPr>
            <w:r>
              <w:rPr>
                <w:bCs/>
                <w:lang w:val="en-US" w:eastAsia="de-CH"/>
              </w:rPr>
              <w:t>Globaler Leiter Leveraged Finance (2005 bis 2008)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D57FCC">
              <w:rPr>
                <w:bCs/>
                <w:lang w:val="en-US" w:eastAsia="de-CH"/>
              </w:rPr>
              <w:t>Global Head of High Yield Capital Markets and Head of US High Yield Capital Markets (2000–2005)</w:t>
            </w:r>
          </w:p>
        </w:tc>
        <w:tc>
          <w:tcPr>
            <w:tcW w:w="1242" w:type="pct"/>
            <w:gridSpan w:val="3"/>
            <w:shd w:val="clear" w:color="auto" w:fill="auto"/>
          </w:tcPr>
          <w:p w:rsidR="004C1EBA" w:rsidRPr="0080411A" w:rsidP="004C1EBA">
            <w:pPr>
              <w:pStyle w:val="csbody00"/>
              <w:ind w:left="720"/>
              <w:rPr>
                <w:bCs/>
                <w:lang w:val="en-US" w:eastAsia="de-CH"/>
              </w:rPr>
            </w:pPr>
            <w:r>
              <w:rPr>
                <w:bCs/>
                <w:lang w:val="en-US" w:eastAsia="de-CH"/>
              </w:rPr>
              <w:t>Globaler Leiter High Yield Capital Markets sowie Leiter US High Yield Capital Markets (2000 bis 2005)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D57FCC">
              <w:rPr>
                <w:bCs/>
                <w:lang w:val="en-US" w:eastAsia="de-CH"/>
              </w:rPr>
              <w:t>Head of Origination/Banking, High Yield (1998–2000)</w:t>
            </w:r>
          </w:p>
        </w:tc>
        <w:tc>
          <w:tcPr>
            <w:tcW w:w="1242" w:type="pct"/>
            <w:gridSpan w:val="3"/>
            <w:shd w:val="clear" w:color="auto" w:fill="auto"/>
          </w:tcPr>
          <w:p w:rsidR="004C1EBA" w:rsidRPr="0080411A" w:rsidP="004C1EBA">
            <w:pPr>
              <w:pStyle w:val="csbody00"/>
              <w:ind w:left="720"/>
              <w:rPr>
                <w:bCs/>
                <w:lang w:val="en-US" w:eastAsia="de-CH"/>
              </w:rPr>
            </w:pPr>
            <w:r>
              <w:rPr>
                <w:bCs/>
                <w:lang w:val="en-US" w:eastAsia="de-CH"/>
              </w:rPr>
              <w:t>Leiter Origination/Banking, High Yield (1998 bis 2000)</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D57FCC">
              <w:rPr>
                <w:bCs/>
                <w:lang w:val="en-US" w:eastAsia="de-CH"/>
              </w:rPr>
              <w:t>Various senior management and other positions in Investment Banking (1986–1998)</w:t>
            </w:r>
          </w:p>
        </w:tc>
        <w:tc>
          <w:tcPr>
            <w:tcW w:w="1242" w:type="pct"/>
            <w:gridSpan w:val="3"/>
            <w:shd w:val="clear" w:color="auto" w:fill="auto"/>
          </w:tcPr>
          <w:p w:rsidR="004C1EBA" w:rsidRPr="005C5842" w:rsidP="004C1EBA">
            <w:pPr>
              <w:pStyle w:val="csbody00"/>
              <w:ind w:left="720"/>
              <w:rPr>
                <w:bCs/>
                <w:lang w:val="de-DE" w:eastAsia="de-CH"/>
              </w:rPr>
            </w:pPr>
            <w:r w:rsidRPr="005C5842">
              <w:rPr>
                <w:bCs/>
                <w:lang w:val="de-DE" w:eastAsia="de-CH"/>
              </w:rPr>
              <w:t>Verschiedene Positionen im letienden Management sowie sonstige Positionen im Investment Banking (1986 bis 1998)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rPr>
                <w:lang w:val="de-DE"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RPr="0080411A" w:rsidP="004C1EBA">
            <w:pPr>
              <w:pStyle w:val="csbody00"/>
              <w:rPr>
                <w:bCs/>
                <w:lang w:val="de-DE" w:eastAsia="de-CH"/>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CE0136" w:rsidP="004C1EBA">
            <w:pPr>
              <w:pStyle w:val="csbody00"/>
              <w:rPr>
                <w:bCs/>
                <w:lang w:val="en-US" w:eastAsia="de-CH"/>
              </w:rPr>
            </w:pPr>
            <w:r w:rsidRPr="00D57FCC">
              <w:rPr>
                <w:bCs/>
                <w:lang w:val="en-US" w:eastAsia="de-CH"/>
              </w:rPr>
              <w:t>1990 MBA in Finance, Wharton School, University of Pennsylvania</w:t>
            </w:r>
          </w:p>
        </w:tc>
        <w:tc>
          <w:tcPr>
            <w:tcW w:w="1242" w:type="pct"/>
            <w:gridSpan w:val="3"/>
            <w:shd w:val="clear" w:color="auto" w:fill="auto"/>
          </w:tcPr>
          <w:p w:rsidR="004C1EBA" w:rsidRPr="0080411A" w:rsidP="004C1EBA">
            <w:pPr>
              <w:pStyle w:val="csbody00"/>
              <w:rPr>
                <w:bCs/>
                <w:lang w:val="en-US" w:eastAsia="de-CH"/>
              </w:rPr>
            </w:pPr>
            <w:r>
              <w:rPr>
                <w:bCs/>
                <w:lang w:val="en-US" w:eastAsia="de-CH"/>
              </w:rPr>
              <w:t>1990 MBA in Finanzwesen, Wharton School, University of Pennsylvanie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34"/>
              <w:rPr>
                <w:bCs/>
                <w:lang w:val="en-US" w:eastAsia="de-CH"/>
              </w:rPr>
            </w:pPr>
            <w:r w:rsidRPr="00D57FCC">
              <w:rPr>
                <w:bCs/>
                <w:lang w:val="en-US" w:eastAsia="de-CH"/>
              </w:rPr>
              <w:t>1986 BA in Economics, University of Virginia</w:t>
            </w:r>
          </w:p>
        </w:tc>
        <w:tc>
          <w:tcPr>
            <w:tcW w:w="1242" w:type="pct"/>
            <w:gridSpan w:val="3"/>
            <w:shd w:val="clear" w:color="auto" w:fill="auto"/>
          </w:tcPr>
          <w:p w:rsidR="004C1EBA" w:rsidRPr="005C5842" w:rsidP="004C1EBA">
            <w:pPr>
              <w:pStyle w:val="csbody00"/>
              <w:rPr>
                <w:bCs/>
                <w:lang w:val="de-DE" w:eastAsia="de-CH"/>
              </w:rPr>
            </w:pPr>
            <w:r w:rsidRPr="005C5842">
              <w:rPr>
                <w:bCs/>
                <w:lang w:val="de-DE" w:eastAsia="de-CH"/>
              </w:rPr>
              <w:t xml:space="preserve">1986 BA in Wirtschaftswissenschaften, University of Virginia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rPr>
                <w:lang w:val="de-DE" w:eastAsia="de-CH"/>
              </w:rPr>
            </w:pPr>
          </w:p>
        </w:tc>
        <w:tc>
          <w:tcPr>
            <w:tcW w:w="1260" w:type="pct"/>
            <w:gridSpan w:val="5"/>
            <w:shd w:val="clear" w:color="auto" w:fill="auto"/>
          </w:tcPr>
          <w:p w:rsidR="004C1EBA" w:rsidP="004C1EBA">
            <w:pPr>
              <w:pStyle w:val="csbody00"/>
              <w:rPr>
                <w:bCs/>
                <w:lang w:val="en-US" w:eastAsia="de-CH"/>
              </w:rPr>
            </w:pPr>
            <w:r w:rsidRPr="00FB4503">
              <w:rPr>
                <w:b/>
                <w:bCs/>
                <w:lang w:val="en-US" w:eastAsia="de-CH"/>
              </w:rPr>
              <w:t xml:space="preserve">Other activities and </w:t>
            </w:r>
            <w:r w:rsidRPr="0080411A">
              <w:rPr>
                <w:b/>
                <w:bCs/>
                <w:lang w:val="en-US" w:eastAsia="de-CH"/>
              </w:rPr>
              <w:t>functions</w:t>
            </w:r>
          </w:p>
        </w:tc>
        <w:tc>
          <w:tcPr>
            <w:tcW w:w="1242" w:type="pct"/>
            <w:gridSpan w:val="3"/>
            <w:shd w:val="clear" w:color="auto" w:fill="auto"/>
          </w:tcPr>
          <w:p w:rsidR="004C1EBA" w:rsidRPr="00FB4503" w:rsidP="004C1EBA">
            <w:pPr>
              <w:pStyle w:val="csbody00"/>
              <w:rPr>
                <w:b/>
                <w:bCs/>
                <w:lang w:val="en-US" w:eastAsia="de-CH"/>
              </w:rPr>
            </w:pPr>
            <w:r w:rsidRPr="00FB4503">
              <w:rPr>
                <w:b/>
                <w:bCs/>
                <w:lang w:val="en-US"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34"/>
              <w:rPr>
                <w:bCs/>
                <w:lang w:val="en-US" w:eastAsia="de-CH"/>
              </w:rPr>
            </w:pPr>
            <w:r w:rsidRPr="00D57FCC">
              <w:rPr>
                <w:bCs/>
                <w:lang w:val="en-US" w:eastAsia="de-CH"/>
              </w:rPr>
              <w:t>Securities Industry and Financial Markets Association, board member (Credit Suisse representative) and executive committee member</w:t>
            </w:r>
          </w:p>
        </w:tc>
        <w:tc>
          <w:tcPr>
            <w:tcW w:w="1242" w:type="pct"/>
            <w:gridSpan w:val="3"/>
            <w:shd w:val="clear" w:color="auto" w:fill="auto"/>
          </w:tcPr>
          <w:p w:rsidR="004C1EBA" w:rsidRPr="005C5842" w:rsidP="004C1EBA">
            <w:pPr>
              <w:pStyle w:val="csbody00"/>
              <w:rPr>
                <w:bCs/>
                <w:lang w:val="de-DE" w:eastAsia="de-CH"/>
              </w:rPr>
            </w:pPr>
            <w:r w:rsidRPr="005C5842">
              <w:rPr>
                <w:bCs/>
                <w:lang w:val="de-DE" w:eastAsia="de-CH"/>
              </w:rPr>
              <w:t>Securities Industry and Financial Markets Association, Mitglied des Verwaltungsrats (Vertreter der Credit Suisse) und Mitglied der Geschäftsleitung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5C5842" w:rsidP="004C1EBA">
            <w:pPr>
              <w:pStyle w:val="csbody00"/>
              <w:rPr>
                <w:lang w:val="de-DE" w:eastAsia="de-CH"/>
              </w:rPr>
            </w:pPr>
          </w:p>
        </w:tc>
        <w:tc>
          <w:tcPr>
            <w:tcW w:w="1260" w:type="pct"/>
            <w:gridSpan w:val="5"/>
            <w:shd w:val="clear" w:color="auto" w:fill="auto"/>
          </w:tcPr>
          <w:p w:rsidR="004C1EBA" w:rsidRPr="0080411A" w:rsidP="004C1EBA">
            <w:pPr>
              <w:pStyle w:val="csbody00"/>
              <w:ind w:left="34"/>
              <w:rPr>
                <w:bCs/>
                <w:lang w:val="en-US" w:eastAsia="de-CH"/>
              </w:rPr>
            </w:pPr>
            <w:r w:rsidRPr="00D57FCC">
              <w:rPr>
                <w:bCs/>
                <w:lang w:val="en-US" w:eastAsia="de-CH"/>
              </w:rPr>
              <w:t>University of Virginia College Foundation, board of trustees member</w:t>
            </w:r>
          </w:p>
        </w:tc>
        <w:tc>
          <w:tcPr>
            <w:tcW w:w="1242" w:type="pct"/>
            <w:gridSpan w:val="3"/>
            <w:shd w:val="clear" w:color="auto" w:fill="auto"/>
          </w:tcPr>
          <w:p w:rsidR="004C1EBA" w:rsidRPr="0080411A" w:rsidP="004C1EBA">
            <w:pPr>
              <w:pStyle w:val="csbody00"/>
              <w:rPr>
                <w:bCs/>
                <w:lang w:val="en-US" w:eastAsia="de-CH"/>
              </w:rPr>
            </w:pPr>
            <w:r>
              <w:rPr>
                <w:bCs/>
                <w:lang w:val="en-US" w:eastAsia="de-CH"/>
              </w:rPr>
              <w:t>University of Virginia College Foundation, Mitglied des Stiftungsrats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34"/>
              <w:rPr>
                <w:bCs/>
                <w:lang w:val="en-US" w:eastAsia="de-CH"/>
              </w:rPr>
            </w:pPr>
            <w:r w:rsidRPr="00D57FCC">
              <w:rPr>
                <w:bCs/>
                <w:lang w:val="en-US" w:eastAsia="de-CH"/>
              </w:rPr>
              <w:t>Project Morry, board member</w:t>
            </w:r>
          </w:p>
        </w:tc>
        <w:tc>
          <w:tcPr>
            <w:tcW w:w="1242" w:type="pct"/>
            <w:gridSpan w:val="3"/>
            <w:shd w:val="clear" w:color="auto" w:fill="auto"/>
          </w:tcPr>
          <w:p w:rsidR="004C1EBA" w:rsidRPr="005C5842" w:rsidP="004C1EBA">
            <w:pPr>
              <w:pStyle w:val="csbody00"/>
              <w:rPr>
                <w:bCs/>
                <w:lang w:val="de-DE" w:eastAsia="de-CH"/>
              </w:rPr>
            </w:pPr>
            <w:r w:rsidRPr="005C5842">
              <w:rPr>
                <w:bCs/>
                <w:lang w:val="de-DE" w:eastAsia="de-CH"/>
              </w:rPr>
              <w:t>Project Morry, Mitglied des Verwaltungsrats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r w:rsidRPr="0080411A">
              <w:rPr>
                <w:lang w:eastAsia="de-CH"/>
              </w:rPr>
              <w:t>James L. Amine</w:t>
            </w:r>
          </w:p>
        </w:tc>
        <w:tc>
          <w:tcPr>
            <w:tcW w:w="1257" w:type="pct"/>
            <w:gridSpan w:val="2"/>
            <w:shd w:val="clear" w:color="auto" w:fill="auto"/>
          </w:tcPr>
          <w:p w:rsidR="004C1EBA" w:rsidRPr="0080411A">
            <w:pPr>
              <w:pStyle w:val="csbody00"/>
              <w:jc w:val="left"/>
              <w:rPr>
                <w:lang w:eastAsia="de-CH"/>
              </w:rPr>
            </w:pPr>
            <w:r w:rsidRPr="0080411A">
              <w:rPr>
                <w:lang w:eastAsia="de-CH"/>
              </w:rPr>
              <w:t>Credit Suisse AG</w:t>
            </w:r>
            <w:r w:rsidRPr="0080411A">
              <w:rPr>
                <w:lang w:eastAsia="de-CH"/>
              </w:rPr>
              <w:br/>
            </w:r>
            <w:r>
              <w:rPr>
                <w:lang w:eastAsia="de-CH"/>
              </w:rPr>
              <w:t>Eleven</w:t>
            </w:r>
            <w:r w:rsidRPr="0080411A">
              <w:rPr>
                <w:lang w:eastAsia="de-CH"/>
              </w:rPr>
              <w:t xml:space="preserve"> Madison Avenue</w:t>
            </w:r>
            <w:r w:rsidRPr="0080411A">
              <w:rPr>
                <w:lang w:eastAsia="de-CH"/>
              </w:rPr>
              <w:br/>
              <w:t>New York</w:t>
            </w:r>
            <w:r>
              <w:rPr>
                <w:lang w:eastAsia="de-CH"/>
              </w:rPr>
              <w:t xml:space="preserve"> </w:t>
            </w:r>
            <w:r w:rsidRPr="0080411A">
              <w:rPr>
                <w:lang w:eastAsia="de-CH"/>
              </w:rPr>
              <w:t>10010</w:t>
            </w:r>
            <w:r>
              <w:rPr>
                <w:lang w:eastAsia="de-CH"/>
              </w:rPr>
              <w:t xml:space="preserve"> 3629 NY</w:t>
            </w:r>
            <w:r w:rsidRPr="0080411A">
              <w:rPr>
                <w:lang w:eastAsia="de-CH"/>
              </w:rPr>
              <w:br/>
              <w:t>United States</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0411A" w:rsidP="004C1EBA">
            <w:pPr>
              <w:pStyle w:val="csbody00"/>
              <w:rPr>
                <w:rFonts w:ascii="Times New Roman" w:hAnsi="Times New Roman"/>
                <w:sz w:val="20"/>
                <w:szCs w:val="20"/>
                <w:lang w:val="en-US" w:eastAsia="de-CH"/>
              </w:rPr>
            </w:pPr>
            <w:r w:rsidRPr="0080411A">
              <w:rPr>
                <w:bCs/>
                <w:lang w:val="en-US" w:eastAsia="de-CH"/>
              </w:rPr>
              <w:t xml:space="preserve">1997–present </w:t>
            </w:r>
          </w:p>
        </w:tc>
        <w:tc>
          <w:tcPr>
            <w:tcW w:w="1242" w:type="pct"/>
            <w:gridSpan w:val="3"/>
            <w:shd w:val="clear" w:color="auto" w:fill="auto"/>
          </w:tcPr>
          <w:p w:rsidR="004C1EBA" w:rsidRPr="0080411A" w:rsidP="004C1EBA">
            <w:pPr>
              <w:pStyle w:val="csbody00"/>
              <w:rPr>
                <w:b/>
                <w:bCs/>
                <w:lang w:val="de-DE" w:eastAsia="de-CH"/>
              </w:rPr>
            </w:pPr>
            <w:r w:rsidRPr="0080411A">
              <w:rPr>
                <w:b/>
                <w:bCs/>
                <w:lang w:val="de-DE" w:eastAsia="de-CH"/>
              </w:rPr>
              <w:t>Werdegang</w:t>
            </w:r>
          </w:p>
          <w:p w:rsidR="004C1EBA" w:rsidRPr="0080411A" w:rsidP="004C1EBA">
            <w:pPr>
              <w:pStyle w:val="csbody00"/>
              <w:rPr>
                <w:lang w:val="en-US" w:eastAsia="de-CH"/>
              </w:rPr>
            </w:pPr>
            <w:r w:rsidRPr="0080411A">
              <w:rPr>
                <w:bCs/>
                <w:lang w:val="de-DE" w:eastAsia="de-CH"/>
              </w:rPr>
              <w:t xml:space="preserve">1997 bis heute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rsidP="004C1EBA">
            <w:pPr>
              <w:pStyle w:val="csbody00"/>
              <w:ind w:left="720"/>
              <w:rPr>
                <w:b/>
                <w:bCs/>
                <w:lang w:val="en-US" w:eastAsia="de-CH"/>
              </w:rPr>
            </w:pPr>
            <w:r w:rsidRPr="0080411A">
              <w:rPr>
                <w:bCs/>
                <w:lang w:val="en-US" w:eastAsia="de-CH"/>
              </w:rPr>
              <w:t>Credit Suisse</w:t>
            </w:r>
          </w:p>
        </w:tc>
        <w:tc>
          <w:tcPr>
            <w:tcW w:w="1242" w:type="pct"/>
            <w:gridSpan w:val="3"/>
            <w:shd w:val="clear" w:color="auto" w:fill="auto"/>
          </w:tcPr>
          <w:p w:rsidR="004C1EBA" w:rsidRPr="00732EF2" w:rsidP="004C1EBA">
            <w:pPr>
              <w:pStyle w:val="csbody00"/>
              <w:ind w:left="720"/>
              <w:rPr>
                <w:b/>
                <w:bCs/>
                <w:lang w:eastAsia="de-CH"/>
              </w:rPr>
            </w:pPr>
            <w:r w:rsidRPr="00732EF2">
              <w:rPr>
                <w:bCs/>
                <w:lang w:val="en-US"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eastAsia="de-CH"/>
              </w:rPr>
            </w:pPr>
          </w:p>
        </w:tc>
        <w:tc>
          <w:tcPr>
            <w:tcW w:w="1260" w:type="pct"/>
            <w:gridSpan w:val="5"/>
            <w:shd w:val="clear" w:color="auto" w:fill="auto"/>
          </w:tcPr>
          <w:p w:rsidR="004C1EBA" w:rsidRPr="0080411A">
            <w:pPr>
              <w:pStyle w:val="csbody00"/>
              <w:ind w:left="720"/>
              <w:rPr>
                <w:bCs/>
                <w:lang w:val="en-US" w:eastAsia="de-CH"/>
              </w:rPr>
            </w:pPr>
            <w:r w:rsidRPr="009E7C35">
              <w:rPr>
                <w:bCs/>
                <w:lang w:val="en-US" w:eastAsia="de-CH"/>
              </w:rPr>
              <w:t>CEO Investment Banking and Capital Markets (</w:t>
            </w:r>
            <w:r w:rsidR="00CB7D6A">
              <w:rPr>
                <w:bCs/>
                <w:lang w:val="en-US" w:eastAsia="de-CH"/>
              </w:rPr>
              <w:t>since 22</w:t>
            </w:r>
            <w:r w:rsidRPr="009E7C35">
              <w:rPr>
                <w:bCs/>
                <w:lang w:val="en-US" w:eastAsia="de-CH"/>
              </w:rPr>
              <w:t xml:space="preserve"> October 2015)</w:t>
            </w:r>
          </w:p>
        </w:tc>
        <w:tc>
          <w:tcPr>
            <w:tcW w:w="1242" w:type="pct"/>
            <w:gridSpan w:val="3"/>
            <w:shd w:val="clear" w:color="auto" w:fill="auto"/>
          </w:tcPr>
          <w:p w:rsidR="004C1EBA" w:rsidRPr="00732EF2">
            <w:pPr>
              <w:pStyle w:val="csbody00"/>
              <w:ind w:left="720"/>
              <w:rPr>
                <w:bCs/>
                <w:lang w:val="en-US" w:eastAsia="de-CH"/>
              </w:rPr>
            </w:pPr>
            <w:r w:rsidRPr="009E7C35">
              <w:rPr>
                <w:bCs/>
                <w:lang w:val="en-US" w:eastAsia="de-CH"/>
              </w:rPr>
              <w:t>CEO Investment Banking and Capital Markets (</w:t>
            </w:r>
            <w:r>
              <w:rPr>
                <w:bCs/>
                <w:lang w:val="en-US" w:eastAsia="de-CH"/>
              </w:rPr>
              <w:t>seit dem 22. Oktober</w:t>
            </w:r>
            <w:r w:rsidRPr="009E7C35">
              <w:rPr>
                <w:bCs/>
                <w:lang w:val="en-US" w:eastAsia="de-CH"/>
              </w:rPr>
              <w:t xml:space="preserve"> 2015)</w:t>
            </w:r>
          </w:p>
        </w:tc>
      </w:tr>
      <w:tr w:rsidTr="00FF5C78">
        <w:tblPrEx>
          <w:tblW w:w="5002" w:type="pct"/>
          <w:tblBorders>
            <w:insideV w:val="single" w:sz="4" w:space="0" w:color="auto"/>
          </w:tblBorders>
          <w:tblLayout w:type="fixed"/>
          <w:tblLook w:val="00A0"/>
        </w:tblPrEx>
        <w:tc>
          <w:tcPr>
            <w:tcW w:w="1242" w:type="pct"/>
            <w:gridSpan w:val="3"/>
            <w:shd w:val="clear" w:color="auto" w:fill="auto"/>
          </w:tcPr>
          <w:p w:rsidR="00CB7D6A" w:rsidRPr="00FB4503" w:rsidP="00FF5C78">
            <w:pPr>
              <w:pStyle w:val="csbody00"/>
              <w:rPr>
                <w:lang w:val="de-DE" w:eastAsia="de-CH"/>
              </w:rPr>
            </w:pPr>
          </w:p>
        </w:tc>
        <w:tc>
          <w:tcPr>
            <w:tcW w:w="1257" w:type="pct"/>
            <w:gridSpan w:val="2"/>
            <w:shd w:val="clear" w:color="auto" w:fill="auto"/>
          </w:tcPr>
          <w:p w:rsidR="00CB7D6A" w:rsidRPr="00FB4503" w:rsidP="00FF5C78">
            <w:pPr>
              <w:pStyle w:val="csbody00"/>
              <w:rPr>
                <w:lang w:val="de-DE" w:eastAsia="de-CH"/>
              </w:rPr>
            </w:pPr>
          </w:p>
        </w:tc>
        <w:tc>
          <w:tcPr>
            <w:tcW w:w="1260" w:type="pct"/>
            <w:gridSpan w:val="5"/>
            <w:shd w:val="clear" w:color="auto" w:fill="auto"/>
          </w:tcPr>
          <w:p w:rsidR="00CB7D6A" w:rsidRPr="00D41A6A">
            <w:pPr>
              <w:pStyle w:val="csbody00"/>
              <w:ind w:left="728" w:firstLine="13"/>
              <w:rPr>
                <w:bCs/>
                <w:lang w:val="en-US" w:eastAsia="de-CH"/>
              </w:rPr>
            </w:pPr>
            <w:r>
              <w:rPr>
                <w:bCs/>
                <w:lang w:val="en-US" w:eastAsia="de-CH"/>
              </w:rPr>
              <w:t>Member of the Executive Board since 201</w:t>
            </w:r>
            <w:r w:rsidR="00FF5C78">
              <w:rPr>
                <w:bCs/>
                <w:lang w:val="en-US" w:eastAsia="de-CH"/>
              </w:rPr>
              <w:t>4</w:t>
            </w:r>
          </w:p>
        </w:tc>
        <w:tc>
          <w:tcPr>
            <w:tcW w:w="1242" w:type="pct"/>
            <w:gridSpan w:val="3"/>
            <w:shd w:val="clear" w:color="auto" w:fill="auto"/>
          </w:tcPr>
          <w:p w:rsidR="00CB7D6A" w:rsidRPr="000920FD">
            <w:pPr>
              <w:pStyle w:val="csbody00"/>
              <w:ind w:left="728" w:firstLine="13"/>
              <w:rPr>
                <w:bCs/>
                <w:lang w:val="de-DE" w:eastAsia="de-CH"/>
              </w:rPr>
            </w:pPr>
            <w:r w:rsidRPr="000920FD">
              <w:rPr>
                <w:bCs/>
                <w:lang w:val="de-DE" w:eastAsia="de-CH"/>
              </w:rPr>
              <w:t>Mitglied der Geschäftsleitung seit 201</w:t>
            </w:r>
            <w:r w:rsidR="00FF5C78">
              <w:rPr>
                <w:bCs/>
                <w:lang w:val="de-DE" w:eastAsia="de-CH"/>
              </w:rPr>
              <w:t>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BD6E0D" w:rsidP="004C1EBA">
            <w:pPr>
              <w:pStyle w:val="csbody00"/>
              <w:rPr>
                <w:lang w:val="de-DE" w:eastAsia="de-CH"/>
              </w:rPr>
            </w:pPr>
          </w:p>
        </w:tc>
        <w:tc>
          <w:tcPr>
            <w:tcW w:w="1257" w:type="pct"/>
            <w:gridSpan w:val="2"/>
            <w:shd w:val="clear" w:color="auto" w:fill="auto"/>
          </w:tcPr>
          <w:p w:rsidR="004C1EBA" w:rsidRPr="00BD6E0D" w:rsidP="004C1EBA">
            <w:pPr>
              <w:pStyle w:val="csbody00"/>
              <w:rPr>
                <w:lang w:val="de-DE" w:eastAsia="de-CH"/>
              </w:rPr>
            </w:pPr>
          </w:p>
        </w:tc>
        <w:tc>
          <w:tcPr>
            <w:tcW w:w="1260" w:type="pct"/>
            <w:gridSpan w:val="5"/>
            <w:shd w:val="clear" w:color="auto" w:fill="auto"/>
          </w:tcPr>
          <w:p w:rsidR="004C1EBA" w:rsidRPr="0080411A">
            <w:pPr>
              <w:pStyle w:val="csbody00"/>
              <w:ind w:left="720"/>
              <w:rPr>
                <w:bCs/>
                <w:lang w:val="en-US" w:eastAsia="de-CH"/>
              </w:rPr>
            </w:pPr>
            <w:r w:rsidRPr="0080411A">
              <w:rPr>
                <w:bCs/>
                <w:lang w:val="en-US" w:eastAsia="de-CH"/>
              </w:rPr>
              <w:t>Joint Head of Investment Banking, responsible for the Investment Banking Department (2014–</w:t>
            </w:r>
            <w:r>
              <w:rPr>
                <w:bCs/>
                <w:lang w:val="en-US" w:eastAsia="de-CH"/>
              </w:rPr>
              <w:t>2015</w:t>
            </w:r>
            <w:r w:rsidRPr="0080411A">
              <w:rPr>
                <w:bCs/>
                <w:lang w:val="en-US" w:eastAsia="de-CH"/>
              </w:rPr>
              <w:t>)</w:t>
            </w:r>
          </w:p>
        </w:tc>
        <w:tc>
          <w:tcPr>
            <w:tcW w:w="1242" w:type="pct"/>
            <w:gridSpan w:val="3"/>
            <w:shd w:val="clear" w:color="auto" w:fill="auto"/>
          </w:tcPr>
          <w:p w:rsidR="004C1EBA" w:rsidRPr="00732EF2">
            <w:pPr>
              <w:pStyle w:val="csbody00"/>
              <w:ind w:left="720"/>
              <w:rPr>
                <w:bCs/>
                <w:lang w:val="de-DE" w:eastAsia="de-CH"/>
              </w:rPr>
            </w:pPr>
            <w:r w:rsidRPr="00732EF2">
              <w:rPr>
                <w:bCs/>
                <w:lang w:val="de-DE" w:eastAsia="de-CH"/>
              </w:rPr>
              <w:t>Co-Leiter Investment Banking; Zuständigkeit für das Investment Banking Department (2014</w:t>
            </w:r>
            <w:r>
              <w:rPr>
                <w:bCs/>
                <w:lang w:val="de-DE" w:eastAsia="de-CH"/>
              </w:rPr>
              <w:t>–2015</w:t>
            </w:r>
            <w:r w:rsidRPr="00732EF2">
              <w:rPr>
                <w:bCs/>
                <w:lang w:val="de-DE" w:eastAsia="de-CH"/>
              </w:rPr>
              <w: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val="de-DE" w:eastAsia="de-CH"/>
              </w:rPr>
            </w:pPr>
          </w:p>
        </w:tc>
        <w:tc>
          <w:tcPr>
            <w:tcW w:w="1257" w:type="pct"/>
            <w:gridSpan w:val="2"/>
            <w:shd w:val="clear" w:color="auto" w:fill="auto"/>
          </w:tcPr>
          <w:p w:rsidR="004C1EBA" w:rsidRPr="00732EF2" w:rsidP="004C1EBA">
            <w:pPr>
              <w:pStyle w:val="csbody00"/>
              <w:rPr>
                <w:lang w:val="de-DE" w:eastAsia="de-CH"/>
              </w:rPr>
            </w:pPr>
          </w:p>
        </w:tc>
        <w:tc>
          <w:tcPr>
            <w:tcW w:w="1260" w:type="pct"/>
            <w:gridSpan w:val="5"/>
            <w:shd w:val="clear" w:color="auto" w:fill="auto"/>
          </w:tcPr>
          <w:p w:rsidR="004C1EBA" w:rsidRPr="0080411A">
            <w:pPr>
              <w:pStyle w:val="csbody00"/>
              <w:ind w:left="720"/>
              <w:rPr>
                <w:bCs/>
                <w:lang w:val="en-US" w:eastAsia="de-CH"/>
              </w:rPr>
            </w:pPr>
            <w:r w:rsidRPr="0080411A">
              <w:rPr>
                <w:bCs/>
                <w:lang w:val="en-US" w:eastAsia="de-CH"/>
              </w:rPr>
              <w:t>Head of In</w:t>
            </w:r>
            <w:r w:rsidR="00CB7D6A">
              <w:rPr>
                <w:bCs/>
                <w:lang w:val="en-US" w:eastAsia="de-CH"/>
              </w:rPr>
              <w:t>-</w:t>
            </w:r>
            <w:r w:rsidRPr="0080411A">
              <w:rPr>
                <w:bCs/>
                <w:lang w:val="en-US" w:eastAsia="de-CH"/>
              </w:rPr>
              <w:t>vestment Banking Department (2012–</w:t>
            </w:r>
            <w:r>
              <w:rPr>
                <w:bCs/>
                <w:lang w:val="en-US" w:eastAsia="de-CH"/>
              </w:rPr>
              <w:t>2015</w:t>
            </w:r>
            <w:r w:rsidRPr="0080411A">
              <w:rPr>
                <w:bCs/>
                <w:lang w:val="en-US" w:eastAsia="de-CH"/>
              </w:rPr>
              <w:t>)</w:t>
            </w:r>
          </w:p>
        </w:tc>
        <w:tc>
          <w:tcPr>
            <w:tcW w:w="1242" w:type="pct"/>
            <w:gridSpan w:val="3"/>
            <w:shd w:val="clear" w:color="auto" w:fill="auto"/>
          </w:tcPr>
          <w:p w:rsidR="004C1EBA" w:rsidRPr="00732EF2">
            <w:pPr>
              <w:pStyle w:val="csbody00"/>
              <w:ind w:left="720"/>
              <w:rPr>
                <w:bCs/>
                <w:lang w:val="en-US" w:eastAsia="de-CH"/>
              </w:rPr>
            </w:pPr>
            <w:r w:rsidRPr="00732EF2">
              <w:rPr>
                <w:bCs/>
                <w:lang w:val="de-DE" w:eastAsia="de-CH"/>
              </w:rPr>
              <w:t>Leiter Investment Banking Department (2012</w:t>
            </w:r>
            <w:r>
              <w:rPr>
                <w:bCs/>
                <w:lang w:val="de-DE" w:eastAsia="de-CH"/>
              </w:rPr>
              <w:t>–2015</w:t>
            </w:r>
            <w:r w:rsidRPr="00732EF2">
              <w:rPr>
                <w:bCs/>
                <w:lang w:val="de-DE" w:eastAsia="de-CH"/>
              </w:rPr>
              <w: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val="de-DE" w:eastAsia="de-CH"/>
              </w:rPr>
            </w:pPr>
          </w:p>
        </w:tc>
        <w:tc>
          <w:tcPr>
            <w:tcW w:w="1257" w:type="pct"/>
            <w:gridSpan w:val="2"/>
            <w:shd w:val="clear" w:color="auto" w:fill="auto"/>
          </w:tcPr>
          <w:p w:rsidR="004C1EBA" w:rsidRPr="00732EF2" w:rsidP="004C1EBA">
            <w:pPr>
              <w:pStyle w:val="csbody00"/>
              <w:rPr>
                <w:lang w:val="de-DE" w:eastAsia="de-CH"/>
              </w:rPr>
            </w:pPr>
          </w:p>
        </w:tc>
        <w:tc>
          <w:tcPr>
            <w:tcW w:w="1260" w:type="pct"/>
            <w:gridSpan w:val="5"/>
            <w:shd w:val="clear" w:color="auto" w:fill="auto"/>
          </w:tcPr>
          <w:p w:rsidR="004C1EBA" w:rsidP="004C1EBA">
            <w:pPr>
              <w:pStyle w:val="csbody00"/>
              <w:ind w:left="720"/>
              <w:rPr>
                <w:bCs/>
                <w:lang w:val="en-US" w:eastAsia="de-CH"/>
              </w:rPr>
            </w:pPr>
            <w:r w:rsidRPr="0080411A">
              <w:rPr>
                <w:bCs/>
                <w:lang w:val="en-US" w:eastAsia="de-CH"/>
              </w:rPr>
              <w:t>Co-Head of In</w:t>
            </w:r>
            <w:r w:rsidR="00CB7D6A">
              <w:rPr>
                <w:bCs/>
                <w:lang w:val="en-US" w:eastAsia="de-CH"/>
              </w:rPr>
              <w:t>-</w:t>
            </w:r>
            <w:r w:rsidRPr="0080411A">
              <w:rPr>
                <w:bCs/>
                <w:lang w:val="en-US" w:eastAsia="de-CH"/>
              </w:rPr>
              <w:t>vestment Banking Department, responsible for the Americas and Asia Pacific (2010–2012)</w:t>
            </w:r>
          </w:p>
        </w:tc>
        <w:tc>
          <w:tcPr>
            <w:tcW w:w="1242" w:type="pct"/>
            <w:gridSpan w:val="3"/>
            <w:shd w:val="clear" w:color="auto" w:fill="auto"/>
          </w:tcPr>
          <w:p w:rsidR="004C1EBA" w:rsidRPr="00732EF2">
            <w:pPr>
              <w:pStyle w:val="csbody00"/>
              <w:ind w:left="720"/>
              <w:rPr>
                <w:bCs/>
                <w:lang w:val="de-DE" w:eastAsia="de-CH"/>
              </w:rPr>
            </w:pPr>
            <w:r w:rsidRPr="0080411A">
              <w:rPr>
                <w:bCs/>
                <w:lang w:val="de-DE" w:eastAsia="de-CH"/>
              </w:rPr>
              <w:t>Co-Leiter Invest</w:t>
            </w:r>
            <w:r w:rsidR="00CB7D6A">
              <w:rPr>
                <w:bCs/>
                <w:lang w:val="de-DE" w:eastAsia="de-CH"/>
              </w:rPr>
              <w:t>-</w:t>
            </w:r>
            <w:r w:rsidRPr="0080411A">
              <w:rPr>
                <w:bCs/>
                <w:lang w:val="de-DE" w:eastAsia="de-CH"/>
              </w:rPr>
              <w:t>ment Banking Department, zu</w:t>
            </w:r>
            <w:r w:rsidR="00CB7D6A">
              <w:rPr>
                <w:bCs/>
                <w:lang w:val="de-DE" w:eastAsia="de-CH"/>
              </w:rPr>
              <w:t>-</w:t>
            </w:r>
            <w:r w:rsidRPr="0080411A">
              <w:rPr>
                <w:bCs/>
                <w:lang w:val="de-DE" w:eastAsia="de-CH"/>
              </w:rPr>
              <w:t>ständig für die Regionen Americas sowie Asien-Pazifik (2010</w:t>
            </w:r>
            <w:r>
              <w:rPr>
                <w:bCs/>
                <w:lang w:val="de-DE" w:eastAsia="de-CH"/>
              </w:rPr>
              <w:t>–</w:t>
            </w:r>
            <w:r w:rsidRPr="0080411A">
              <w:rPr>
                <w:bCs/>
                <w:lang w:val="de-DE" w:eastAsia="de-CH"/>
              </w:rPr>
              <w:t>2012)</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val="de-DE" w:eastAsia="de-CH"/>
              </w:rPr>
            </w:pPr>
          </w:p>
        </w:tc>
        <w:tc>
          <w:tcPr>
            <w:tcW w:w="1257" w:type="pct"/>
            <w:gridSpan w:val="2"/>
            <w:shd w:val="clear" w:color="auto" w:fill="auto"/>
          </w:tcPr>
          <w:p w:rsidR="004C1EBA" w:rsidRPr="00732EF2" w:rsidP="004C1EBA">
            <w:pPr>
              <w:pStyle w:val="csbody00"/>
              <w:rPr>
                <w:lang w:val="de-DE" w:eastAsia="de-CH"/>
              </w:rPr>
            </w:pPr>
          </w:p>
        </w:tc>
        <w:tc>
          <w:tcPr>
            <w:tcW w:w="1260" w:type="pct"/>
            <w:gridSpan w:val="5"/>
            <w:shd w:val="clear" w:color="auto" w:fill="auto"/>
          </w:tcPr>
          <w:p w:rsidR="004C1EBA" w:rsidP="004C1EBA">
            <w:pPr>
              <w:pStyle w:val="csbody00"/>
              <w:ind w:left="720"/>
              <w:rPr>
                <w:bCs/>
                <w:lang w:val="en-US" w:eastAsia="de-CH"/>
              </w:rPr>
            </w:pPr>
            <w:r w:rsidRPr="0080411A">
              <w:rPr>
                <w:bCs/>
                <w:lang w:val="en-US" w:eastAsia="de-CH"/>
              </w:rPr>
              <w:t>Co-Head of In</w:t>
            </w:r>
            <w:r w:rsidR="00CB7D6A">
              <w:rPr>
                <w:bCs/>
                <w:lang w:val="en-US" w:eastAsia="de-CH"/>
              </w:rPr>
              <w:t>-</w:t>
            </w:r>
            <w:r w:rsidRPr="0080411A">
              <w:rPr>
                <w:bCs/>
                <w:lang w:val="en-US" w:eastAsia="de-CH"/>
              </w:rPr>
              <w:t>vestment Banking Department, responsible for EMEA and Asia Pacific and Head of Global Market Solutions Group (2008–2010)</w:t>
            </w:r>
          </w:p>
        </w:tc>
        <w:tc>
          <w:tcPr>
            <w:tcW w:w="1242" w:type="pct"/>
            <w:gridSpan w:val="3"/>
            <w:shd w:val="clear" w:color="auto" w:fill="auto"/>
          </w:tcPr>
          <w:p w:rsidR="004C1EBA">
            <w:pPr>
              <w:pStyle w:val="csbody00"/>
              <w:ind w:left="720"/>
              <w:rPr>
                <w:bCs/>
                <w:lang w:val="de-DE" w:eastAsia="de-CH"/>
              </w:rPr>
            </w:pPr>
            <w:r w:rsidRPr="0080411A">
              <w:rPr>
                <w:bCs/>
                <w:lang w:val="de-DE" w:eastAsia="de-CH"/>
              </w:rPr>
              <w:t>Co-Leiter Invest</w:t>
            </w:r>
            <w:r w:rsidR="00CB7D6A">
              <w:rPr>
                <w:bCs/>
                <w:lang w:val="de-DE" w:eastAsia="de-CH"/>
              </w:rPr>
              <w:t>-</w:t>
            </w:r>
            <w:r w:rsidRPr="0080411A">
              <w:rPr>
                <w:bCs/>
                <w:lang w:val="de-DE" w:eastAsia="de-CH"/>
              </w:rPr>
              <w:t>ment Banking Department, zuständig für die Regionen EMEA und Asien-Pazifik, sowie Leiter der Global Market Solutions Group (2008</w:t>
            </w:r>
            <w:r>
              <w:rPr>
                <w:bCs/>
                <w:lang w:val="de-DE" w:eastAsia="de-CH"/>
              </w:rPr>
              <w:t>–</w:t>
            </w:r>
            <w:r w:rsidRPr="0080411A">
              <w:rPr>
                <w:bCs/>
                <w:lang w:val="de-DE" w:eastAsia="de-CH"/>
              </w:rPr>
              <w:t>2010)</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val="de-DE" w:eastAsia="de-CH"/>
              </w:rPr>
            </w:pPr>
          </w:p>
        </w:tc>
        <w:tc>
          <w:tcPr>
            <w:tcW w:w="1257" w:type="pct"/>
            <w:gridSpan w:val="2"/>
            <w:shd w:val="clear" w:color="auto" w:fill="auto"/>
          </w:tcPr>
          <w:p w:rsidR="004C1EBA" w:rsidRPr="00732EF2" w:rsidP="004C1EBA">
            <w:pPr>
              <w:pStyle w:val="csbody00"/>
              <w:rPr>
                <w:lang w:val="de-DE" w:eastAsia="de-CH"/>
              </w:rPr>
            </w:pPr>
          </w:p>
        </w:tc>
        <w:tc>
          <w:tcPr>
            <w:tcW w:w="1260" w:type="pct"/>
            <w:gridSpan w:val="5"/>
            <w:shd w:val="clear" w:color="auto" w:fill="auto"/>
          </w:tcPr>
          <w:p w:rsidR="004C1EBA" w:rsidP="004C1EBA">
            <w:pPr>
              <w:pStyle w:val="csbody00"/>
              <w:ind w:left="720"/>
              <w:rPr>
                <w:bCs/>
                <w:lang w:val="en-US" w:eastAsia="de-CH"/>
              </w:rPr>
            </w:pPr>
            <w:r w:rsidRPr="0080411A">
              <w:rPr>
                <w:bCs/>
                <w:lang w:val="en-US" w:eastAsia="de-CH"/>
              </w:rPr>
              <w:t>Head of European Global Markets Solutions Group and Co-Head of Global Leveraged Finance (2005–2008)</w:t>
            </w:r>
          </w:p>
        </w:tc>
        <w:tc>
          <w:tcPr>
            <w:tcW w:w="1242" w:type="pct"/>
            <w:gridSpan w:val="3"/>
            <w:shd w:val="clear" w:color="auto" w:fill="auto"/>
          </w:tcPr>
          <w:p w:rsidR="004C1EBA" w:rsidRPr="00732EF2">
            <w:pPr>
              <w:pStyle w:val="csbody00"/>
              <w:ind w:left="720"/>
              <w:rPr>
                <w:bCs/>
                <w:lang w:eastAsia="de-CH"/>
              </w:rPr>
            </w:pPr>
            <w:r w:rsidRPr="0080411A">
              <w:rPr>
                <w:bCs/>
                <w:lang w:val="en-US" w:eastAsia="de-CH"/>
              </w:rPr>
              <w:t>Leiter der European Global Markets Solutions Group und Co-Leiter Global Leveraged Finance (2005</w:t>
            </w:r>
            <w:r>
              <w:rPr>
                <w:bCs/>
                <w:lang w:val="en-US" w:eastAsia="de-CH"/>
              </w:rPr>
              <w:t xml:space="preserve">– </w:t>
            </w:r>
            <w:r w:rsidRPr="0080411A">
              <w:rPr>
                <w:bCs/>
                <w:lang w:val="en-US" w:eastAsia="de-CH"/>
              </w:rPr>
              <w:t>2008)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eastAsia="de-CH"/>
              </w:rPr>
            </w:pPr>
          </w:p>
        </w:tc>
        <w:tc>
          <w:tcPr>
            <w:tcW w:w="1257" w:type="pct"/>
            <w:gridSpan w:val="2"/>
            <w:shd w:val="clear" w:color="auto" w:fill="auto"/>
          </w:tcPr>
          <w:p w:rsidR="004C1EBA" w:rsidRPr="00732EF2" w:rsidP="004C1EBA">
            <w:pPr>
              <w:pStyle w:val="csbody00"/>
              <w:rPr>
                <w:lang w:eastAsia="de-CH"/>
              </w:rPr>
            </w:pPr>
          </w:p>
        </w:tc>
        <w:tc>
          <w:tcPr>
            <w:tcW w:w="1260" w:type="pct"/>
            <w:gridSpan w:val="5"/>
            <w:shd w:val="clear" w:color="auto" w:fill="auto"/>
          </w:tcPr>
          <w:p w:rsidR="004C1EBA" w:rsidP="004C1EBA">
            <w:pPr>
              <w:pStyle w:val="csbody00"/>
              <w:ind w:left="720"/>
              <w:rPr>
                <w:bCs/>
                <w:lang w:val="en-US" w:eastAsia="de-CH"/>
              </w:rPr>
            </w:pPr>
            <w:r w:rsidRPr="0080411A">
              <w:rPr>
                <w:bCs/>
                <w:lang w:val="en-US" w:eastAsia="de-CH"/>
              </w:rPr>
              <w:t>Head of European Leveraged Finance (1999–2000; 2003–2005), Co-Head (2000–2003)</w:t>
            </w:r>
          </w:p>
        </w:tc>
        <w:tc>
          <w:tcPr>
            <w:tcW w:w="1242" w:type="pct"/>
            <w:gridSpan w:val="3"/>
            <w:shd w:val="clear" w:color="auto" w:fill="auto"/>
          </w:tcPr>
          <w:p w:rsidR="004C1EBA">
            <w:pPr>
              <w:pStyle w:val="csbody00"/>
              <w:ind w:left="720"/>
              <w:rPr>
                <w:bCs/>
                <w:lang w:val="en-US" w:eastAsia="de-CH"/>
              </w:rPr>
            </w:pPr>
            <w:r w:rsidRPr="0080411A">
              <w:rPr>
                <w:bCs/>
                <w:lang w:val="en-US" w:eastAsia="de-CH"/>
              </w:rPr>
              <w:t>Leiter European Leveraged Finance (1999</w:t>
            </w:r>
            <w:r>
              <w:rPr>
                <w:bCs/>
                <w:lang w:val="en-US" w:eastAsia="de-CH"/>
              </w:rPr>
              <w:t>–</w:t>
            </w:r>
            <w:r w:rsidRPr="0080411A">
              <w:rPr>
                <w:bCs/>
                <w:lang w:val="en-US" w:eastAsia="de-CH"/>
              </w:rPr>
              <w:t>2000; 2003</w:t>
            </w:r>
            <w:r>
              <w:rPr>
                <w:bCs/>
                <w:lang w:val="en-US" w:eastAsia="de-CH"/>
              </w:rPr>
              <w:t>–</w:t>
            </w:r>
            <w:r w:rsidRPr="0080411A">
              <w:rPr>
                <w:bCs/>
                <w:lang w:val="en-US" w:eastAsia="de-CH"/>
              </w:rPr>
              <w:t>2005), Co-Leiter (2000</w:t>
            </w:r>
            <w:r>
              <w:rPr>
                <w:bCs/>
                <w:lang w:val="en-US" w:eastAsia="de-CH"/>
              </w:rPr>
              <w:t>–</w:t>
            </w:r>
            <w:r w:rsidRPr="0080411A">
              <w:rPr>
                <w:bCs/>
                <w:lang w:val="en-US" w:eastAsia="de-CH"/>
              </w:rPr>
              <w:t>2003)</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eastAsia="de-CH"/>
              </w:rPr>
            </w:pPr>
          </w:p>
        </w:tc>
        <w:tc>
          <w:tcPr>
            <w:tcW w:w="1257" w:type="pct"/>
            <w:gridSpan w:val="2"/>
            <w:shd w:val="clear" w:color="auto" w:fill="auto"/>
          </w:tcPr>
          <w:p w:rsidR="004C1EBA" w:rsidRPr="00732EF2" w:rsidP="004C1EBA">
            <w:pPr>
              <w:pStyle w:val="csbody00"/>
              <w:rPr>
                <w:lang w:eastAsia="de-CH"/>
              </w:rPr>
            </w:pPr>
          </w:p>
        </w:tc>
        <w:tc>
          <w:tcPr>
            <w:tcW w:w="1260" w:type="pct"/>
            <w:gridSpan w:val="5"/>
            <w:shd w:val="clear" w:color="auto" w:fill="auto"/>
          </w:tcPr>
          <w:p w:rsidR="004C1EBA" w:rsidP="004C1EBA">
            <w:pPr>
              <w:pStyle w:val="csbody00"/>
              <w:ind w:left="720"/>
              <w:rPr>
                <w:bCs/>
                <w:lang w:val="en-US" w:eastAsia="de-CH"/>
              </w:rPr>
            </w:pPr>
            <w:r w:rsidRPr="0080411A">
              <w:rPr>
                <w:bCs/>
                <w:lang w:val="en-US" w:eastAsia="de-CH"/>
              </w:rPr>
              <w:t>Various functions within High-Yield Capital Markets of Credit Suisse First Boston (1997–1999)</w:t>
            </w:r>
          </w:p>
        </w:tc>
        <w:tc>
          <w:tcPr>
            <w:tcW w:w="1242" w:type="pct"/>
            <w:gridSpan w:val="3"/>
            <w:shd w:val="clear" w:color="auto" w:fill="auto"/>
          </w:tcPr>
          <w:p w:rsidR="004C1EBA" w:rsidRPr="00732EF2">
            <w:pPr>
              <w:pStyle w:val="csbody00"/>
              <w:ind w:left="720"/>
              <w:rPr>
                <w:bCs/>
                <w:lang w:val="de-DE" w:eastAsia="de-CH"/>
              </w:rPr>
            </w:pPr>
            <w:r w:rsidRPr="0080411A">
              <w:rPr>
                <w:bCs/>
                <w:lang w:val="de-DE" w:eastAsia="de-CH"/>
              </w:rPr>
              <w:t>Verschiedene Funktionen im Bereich High-Yield Capital Markets der Credit Suisse First Boston (1997</w:t>
            </w:r>
            <w:r>
              <w:rPr>
                <w:bCs/>
                <w:lang w:val="de-DE" w:eastAsia="de-CH"/>
              </w:rPr>
              <w:t>–</w:t>
            </w:r>
            <w:r w:rsidRPr="0080411A">
              <w:rPr>
                <w:bCs/>
                <w:lang w:val="de-DE" w:eastAsia="de-CH"/>
              </w:rPr>
              <w:t>1999)</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A78B7" w:rsidP="004C1EBA">
            <w:pPr>
              <w:pStyle w:val="csbody00"/>
              <w:rPr>
                <w:lang w:val="de-DE" w:eastAsia="de-CH"/>
              </w:rPr>
            </w:pPr>
          </w:p>
        </w:tc>
        <w:tc>
          <w:tcPr>
            <w:tcW w:w="1257" w:type="pct"/>
            <w:gridSpan w:val="2"/>
            <w:shd w:val="clear" w:color="auto" w:fill="auto"/>
          </w:tcPr>
          <w:p w:rsidR="004C1EBA" w:rsidRPr="005A78B7" w:rsidP="004C1EBA">
            <w:pPr>
              <w:pStyle w:val="csbody00"/>
              <w:rPr>
                <w:lang w:val="de-DE"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Prior to 1997</w:t>
            </w:r>
          </w:p>
        </w:tc>
        <w:tc>
          <w:tcPr>
            <w:tcW w:w="1242" w:type="pct"/>
            <w:gridSpan w:val="3"/>
            <w:shd w:val="clear" w:color="auto" w:fill="auto"/>
          </w:tcPr>
          <w:p w:rsidR="004C1EBA" w:rsidRPr="0080411A" w:rsidP="004C1EBA">
            <w:pPr>
              <w:pStyle w:val="csbody00"/>
              <w:rPr>
                <w:bCs/>
                <w:lang w:val="de-DE" w:eastAsia="de-CH"/>
              </w:rPr>
            </w:pPr>
            <w:r w:rsidRPr="0080411A">
              <w:rPr>
                <w:bCs/>
                <w:lang w:val="de-DE" w:eastAsia="de-CH"/>
              </w:rPr>
              <w:t>Vor 1997</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eastAsia="de-CH"/>
              </w:rPr>
            </w:pPr>
          </w:p>
        </w:tc>
        <w:tc>
          <w:tcPr>
            <w:tcW w:w="1257" w:type="pct"/>
            <w:gridSpan w:val="2"/>
            <w:shd w:val="clear" w:color="auto" w:fill="auto"/>
          </w:tcPr>
          <w:p w:rsidR="004C1EBA" w:rsidRPr="00732EF2"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Cravath, Swaine &amp; Moore, attorney</w:t>
            </w:r>
          </w:p>
        </w:tc>
        <w:tc>
          <w:tcPr>
            <w:tcW w:w="1242" w:type="pct"/>
            <w:gridSpan w:val="3"/>
            <w:shd w:val="clear" w:color="auto" w:fill="auto"/>
          </w:tcPr>
          <w:p w:rsidR="004C1EBA" w:rsidRPr="0080411A" w:rsidP="004C1EBA">
            <w:pPr>
              <w:pStyle w:val="csbody00"/>
              <w:ind w:left="720"/>
              <w:rPr>
                <w:bCs/>
                <w:lang w:val="de-DE" w:eastAsia="de-CH"/>
              </w:rPr>
            </w:pPr>
            <w:r w:rsidRPr="0080411A">
              <w:rPr>
                <w:bCs/>
                <w:lang w:val="de-DE" w:eastAsia="de-CH"/>
              </w:rPr>
              <w:t>Cravath, Swaine &amp; Moore, Anwalt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eastAsia="de-CH"/>
              </w:rPr>
            </w:pPr>
          </w:p>
        </w:tc>
        <w:tc>
          <w:tcPr>
            <w:tcW w:w="1257" w:type="pct"/>
            <w:gridSpan w:val="2"/>
            <w:shd w:val="clear" w:color="auto" w:fill="auto"/>
          </w:tcPr>
          <w:p w:rsidR="004C1EBA" w:rsidRPr="00732EF2" w:rsidP="004C1EBA">
            <w:pPr>
              <w:pStyle w:val="csbody00"/>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RPr="0080411A" w:rsidP="004C1EBA">
            <w:pPr>
              <w:pStyle w:val="csbody00"/>
              <w:rPr>
                <w:bCs/>
                <w:lang w:val="de-DE" w:eastAsia="de-CH"/>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eastAsia="de-CH"/>
              </w:rPr>
            </w:pPr>
          </w:p>
        </w:tc>
        <w:tc>
          <w:tcPr>
            <w:tcW w:w="1257" w:type="pct"/>
            <w:gridSpan w:val="2"/>
            <w:shd w:val="clear" w:color="auto" w:fill="auto"/>
          </w:tcPr>
          <w:p w:rsidR="004C1EBA" w:rsidRPr="00732EF2" w:rsidP="004C1EBA">
            <w:pPr>
              <w:pStyle w:val="csbody00"/>
              <w:rPr>
                <w:lang w:eastAsia="de-CH"/>
              </w:rPr>
            </w:pPr>
          </w:p>
        </w:tc>
        <w:tc>
          <w:tcPr>
            <w:tcW w:w="1260" w:type="pct"/>
            <w:gridSpan w:val="5"/>
            <w:shd w:val="clear" w:color="auto" w:fill="auto"/>
          </w:tcPr>
          <w:p w:rsidR="004C1EBA" w:rsidRPr="0080411A" w:rsidP="004C1EBA">
            <w:pPr>
              <w:pStyle w:val="csbody00"/>
              <w:rPr>
                <w:b/>
                <w:bCs/>
                <w:lang w:val="en-US" w:eastAsia="de-CH"/>
              </w:rPr>
            </w:pPr>
            <w:r w:rsidRPr="0080411A">
              <w:rPr>
                <w:bCs/>
                <w:lang w:val="en-US" w:eastAsia="de-CH"/>
              </w:rPr>
              <w:t xml:space="preserve">1984 JD, Harvard Law </w:t>
            </w:r>
            <w:r w:rsidRPr="00FB4503">
              <w:rPr>
                <w:bCs/>
                <w:lang w:val="en-US" w:eastAsia="de-CH"/>
              </w:rPr>
              <w:t>School</w:t>
            </w:r>
          </w:p>
        </w:tc>
        <w:tc>
          <w:tcPr>
            <w:tcW w:w="1242" w:type="pct"/>
            <w:gridSpan w:val="3"/>
            <w:shd w:val="clear" w:color="auto" w:fill="auto"/>
          </w:tcPr>
          <w:p w:rsidR="004C1EBA" w:rsidRPr="0080411A" w:rsidP="004C1EBA">
            <w:pPr>
              <w:pStyle w:val="csbody00"/>
              <w:rPr>
                <w:b/>
                <w:bCs/>
                <w:lang w:val="de-DE" w:eastAsia="de-CH"/>
              </w:rPr>
            </w:pPr>
            <w:r w:rsidRPr="0080411A">
              <w:rPr>
                <w:bCs/>
                <w:lang w:val="de-DE" w:eastAsia="de-CH"/>
              </w:rPr>
              <w:t xml:space="preserve">1984 Abschluss in </w:t>
            </w:r>
            <w:r w:rsidRPr="00FB4503">
              <w:rPr>
                <w:bCs/>
                <w:lang w:val="de-DE" w:eastAsia="de-CH"/>
              </w:rPr>
              <w:t>Rechtswissenschaften der Harvard Law School</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val="de-DE" w:eastAsia="de-CH"/>
              </w:rPr>
            </w:pPr>
          </w:p>
        </w:tc>
        <w:tc>
          <w:tcPr>
            <w:tcW w:w="1257" w:type="pct"/>
            <w:gridSpan w:val="2"/>
            <w:shd w:val="clear" w:color="auto" w:fill="auto"/>
          </w:tcPr>
          <w:p w:rsidR="004C1EBA" w:rsidRPr="00732EF2" w:rsidP="004C1EBA">
            <w:pPr>
              <w:pStyle w:val="csbody00"/>
              <w:rPr>
                <w:lang w:val="de-DE" w:eastAsia="de-CH"/>
              </w:rPr>
            </w:pPr>
          </w:p>
        </w:tc>
        <w:tc>
          <w:tcPr>
            <w:tcW w:w="1260" w:type="pct"/>
            <w:gridSpan w:val="5"/>
            <w:shd w:val="clear" w:color="auto" w:fill="auto"/>
          </w:tcPr>
          <w:p w:rsidR="004C1EBA" w:rsidP="004C1EBA">
            <w:pPr>
              <w:pStyle w:val="csbody00"/>
              <w:rPr>
                <w:bCs/>
                <w:lang w:val="en-US" w:eastAsia="de-CH"/>
              </w:rPr>
            </w:pPr>
            <w:r w:rsidRPr="0080411A">
              <w:rPr>
                <w:bCs/>
                <w:lang w:val="en-US" w:eastAsia="de-CH"/>
              </w:rPr>
              <w:t>1981 BA, Brown University</w:t>
            </w:r>
          </w:p>
        </w:tc>
        <w:tc>
          <w:tcPr>
            <w:tcW w:w="1242" w:type="pct"/>
            <w:gridSpan w:val="3"/>
            <w:shd w:val="clear" w:color="auto" w:fill="auto"/>
          </w:tcPr>
          <w:p w:rsidR="004C1EBA" w:rsidRPr="0080411A" w:rsidP="004C1EBA">
            <w:pPr>
              <w:pStyle w:val="csbody00"/>
              <w:rPr>
                <w:bCs/>
                <w:lang w:val="en-US" w:eastAsia="de-CH"/>
              </w:rPr>
            </w:pPr>
            <w:r w:rsidRPr="0080411A">
              <w:rPr>
                <w:bCs/>
                <w:lang w:val="de-DE" w:eastAsia="de-CH"/>
              </w:rPr>
              <w:t>1981 BA, Brown University</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val="de-DE" w:eastAsia="de-CH"/>
              </w:rPr>
            </w:pPr>
          </w:p>
        </w:tc>
        <w:tc>
          <w:tcPr>
            <w:tcW w:w="1257" w:type="pct"/>
            <w:gridSpan w:val="2"/>
            <w:shd w:val="clear" w:color="auto" w:fill="auto"/>
          </w:tcPr>
          <w:p w:rsidR="004C1EBA" w:rsidRPr="00732EF2" w:rsidP="004C1EBA">
            <w:pPr>
              <w:pStyle w:val="csbody00"/>
              <w:rPr>
                <w:lang w:val="de-DE" w:eastAsia="de-CH"/>
              </w:rPr>
            </w:pPr>
          </w:p>
        </w:tc>
        <w:tc>
          <w:tcPr>
            <w:tcW w:w="1260" w:type="pct"/>
            <w:gridSpan w:val="5"/>
            <w:shd w:val="clear" w:color="auto" w:fill="auto"/>
          </w:tcPr>
          <w:p w:rsidR="004C1EBA" w:rsidP="004C1EBA">
            <w:pPr>
              <w:pStyle w:val="csbody00"/>
              <w:rPr>
                <w:bCs/>
                <w:lang w:val="en-US" w:eastAsia="de-CH"/>
              </w:rPr>
            </w:pPr>
            <w:r w:rsidRPr="00FB4503">
              <w:rPr>
                <w:b/>
                <w:bCs/>
                <w:lang w:val="en-US" w:eastAsia="de-CH"/>
              </w:rPr>
              <w:t xml:space="preserve">Other activities and </w:t>
            </w:r>
            <w:r w:rsidRPr="0080411A">
              <w:rPr>
                <w:b/>
                <w:bCs/>
                <w:lang w:val="en-US" w:eastAsia="de-CH"/>
              </w:rPr>
              <w:t>functions</w:t>
            </w:r>
          </w:p>
        </w:tc>
        <w:tc>
          <w:tcPr>
            <w:tcW w:w="1242" w:type="pct"/>
            <w:gridSpan w:val="3"/>
            <w:shd w:val="clear" w:color="auto" w:fill="auto"/>
          </w:tcPr>
          <w:p w:rsidR="004C1EBA" w:rsidRPr="00FB4503" w:rsidP="004C1EBA">
            <w:pPr>
              <w:pStyle w:val="csbody00"/>
              <w:rPr>
                <w:b/>
                <w:bCs/>
                <w:lang w:val="en-US" w:eastAsia="de-CH"/>
              </w:rPr>
            </w:pPr>
            <w:r w:rsidRPr="00FB4503">
              <w:rPr>
                <w:b/>
                <w:bCs/>
                <w:lang w:val="en-US" w:eastAsia="de-CH"/>
              </w:rPr>
              <w:t>Sonstige Aktivitäten und Funktionen</w:t>
            </w:r>
          </w:p>
        </w:tc>
      </w:tr>
      <w:tr w:rsidTr="00FF5C78">
        <w:tblPrEx>
          <w:tblW w:w="5002" w:type="pct"/>
          <w:tblBorders>
            <w:insideV w:val="single" w:sz="4" w:space="0" w:color="auto"/>
          </w:tblBorders>
          <w:tblLayout w:type="fixed"/>
          <w:tblLook w:val="00A0"/>
        </w:tblPrEx>
        <w:tc>
          <w:tcPr>
            <w:tcW w:w="1242" w:type="pct"/>
            <w:gridSpan w:val="3"/>
            <w:shd w:val="clear" w:color="auto" w:fill="auto"/>
          </w:tcPr>
          <w:p w:rsidR="00CB7D6A" w:rsidRPr="00732EF2" w:rsidP="00FF5C78">
            <w:pPr>
              <w:pStyle w:val="csbody00"/>
              <w:rPr>
                <w:lang w:eastAsia="de-CH"/>
              </w:rPr>
            </w:pPr>
          </w:p>
        </w:tc>
        <w:tc>
          <w:tcPr>
            <w:tcW w:w="1257" w:type="pct"/>
            <w:gridSpan w:val="2"/>
            <w:shd w:val="clear" w:color="auto" w:fill="auto"/>
          </w:tcPr>
          <w:p w:rsidR="00CB7D6A" w:rsidRPr="00732EF2" w:rsidP="00FF5C78">
            <w:pPr>
              <w:pStyle w:val="csbody00"/>
              <w:rPr>
                <w:lang w:eastAsia="de-CH"/>
              </w:rPr>
            </w:pPr>
          </w:p>
        </w:tc>
        <w:tc>
          <w:tcPr>
            <w:tcW w:w="1260" w:type="pct"/>
            <w:gridSpan w:val="5"/>
            <w:shd w:val="clear" w:color="auto" w:fill="auto"/>
          </w:tcPr>
          <w:p w:rsidR="00CB7D6A" w:rsidRPr="0080411A" w:rsidP="00FF5C78">
            <w:pPr>
              <w:pStyle w:val="csbody00"/>
              <w:rPr>
                <w:bCs/>
                <w:lang w:val="en-US" w:eastAsia="de-CH"/>
              </w:rPr>
            </w:pPr>
            <w:r>
              <w:rPr>
                <w:bCs/>
                <w:lang w:val="en-US" w:eastAsia="de-CH"/>
              </w:rPr>
              <w:t>New York Cares, board member</w:t>
            </w:r>
          </w:p>
        </w:tc>
        <w:tc>
          <w:tcPr>
            <w:tcW w:w="1242" w:type="pct"/>
            <w:gridSpan w:val="3"/>
            <w:shd w:val="clear" w:color="auto" w:fill="auto"/>
          </w:tcPr>
          <w:p w:rsidR="00CB7D6A" w:rsidRPr="005C5842" w:rsidP="00FF5C78">
            <w:pPr>
              <w:pStyle w:val="csbody00"/>
              <w:rPr>
                <w:bCs/>
                <w:lang w:val="de-DE" w:eastAsia="de-CH"/>
              </w:rPr>
            </w:pPr>
            <w:r w:rsidRPr="005C5842">
              <w:rPr>
                <w:bCs/>
                <w:lang w:val="de-DE" w:eastAsia="de-CH"/>
              </w:rPr>
              <w:t>New York Cares, Mitglied des Verwaltungsrats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val="de-DE" w:eastAsia="de-CH"/>
              </w:rPr>
            </w:pPr>
          </w:p>
        </w:tc>
        <w:tc>
          <w:tcPr>
            <w:tcW w:w="1257" w:type="pct"/>
            <w:gridSpan w:val="2"/>
            <w:shd w:val="clear" w:color="auto" w:fill="auto"/>
          </w:tcPr>
          <w:p w:rsidR="004C1EBA" w:rsidRPr="00732EF2" w:rsidP="004C1EBA">
            <w:pPr>
              <w:pStyle w:val="csbody00"/>
              <w:rPr>
                <w:lang w:val="de-DE" w:eastAsia="de-CH"/>
              </w:rPr>
            </w:pPr>
          </w:p>
        </w:tc>
        <w:tc>
          <w:tcPr>
            <w:tcW w:w="1260" w:type="pct"/>
            <w:gridSpan w:val="5"/>
            <w:shd w:val="clear" w:color="auto" w:fill="auto"/>
          </w:tcPr>
          <w:p w:rsidR="004C1EBA" w:rsidP="004C1EBA">
            <w:pPr>
              <w:pStyle w:val="csbody00"/>
              <w:rPr>
                <w:bCs/>
                <w:lang w:val="en-US" w:eastAsia="de-CH"/>
              </w:rPr>
            </w:pPr>
            <w:r w:rsidRPr="0080411A">
              <w:rPr>
                <w:bCs/>
                <w:lang w:val="en-US" w:eastAsia="de-CH"/>
              </w:rPr>
              <w:t>Harvard Law School, dean’s advisory board member</w:t>
            </w:r>
          </w:p>
        </w:tc>
        <w:tc>
          <w:tcPr>
            <w:tcW w:w="1242" w:type="pct"/>
            <w:gridSpan w:val="3"/>
            <w:shd w:val="clear" w:color="auto" w:fill="auto"/>
          </w:tcPr>
          <w:p w:rsidR="004C1EBA" w:rsidRPr="00FB4503" w:rsidP="004C1EBA">
            <w:pPr>
              <w:pStyle w:val="csbody00"/>
              <w:rPr>
                <w:bCs/>
                <w:lang w:eastAsia="de-CH"/>
              </w:rPr>
            </w:pPr>
            <w:r w:rsidRPr="00FB4503">
              <w:rPr>
                <w:bCs/>
                <w:lang w:eastAsia="de-CH"/>
              </w:rPr>
              <w:t>Harvard Law School, Mitglied des Dean’s Advisory Board</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B4503" w:rsidP="004C1EBA">
            <w:pPr>
              <w:pStyle w:val="csbody00"/>
              <w:rPr>
                <w:lang w:eastAsia="de-CH"/>
              </w:rPr>
            </w:pPr>
          </w:p>
        </w:tc>
        <w:tc>
          <w:tcPr>
            <w:tcW w:w="1257" w:type="pct"/>
            <w:gridSpan w:val="2"/>
            <w:shd w:val="clear" w:color="auto" w:fill="auto"/>
          </w:tcPr>
          <w:p w:rsidR="004C1EBA" w:rsidRPr="00FB4503" w:rsidP="004C1EBA">
            <w:pPr>
              <w:pStyle w:val="csbody00"/>
              <w:rPr>
                <w:lang w:eastAsia="de-CH"/>
              </w:rPr>
            </w:pPr>
          </w:p>
        </w:tc>
        <w:tc>
          <w:tcPr>
            <w:tcW w:w="1260" w:type="pct"/>
            <w:gridSpan w:val="5"/>
            <w:shd w:val="clear" w:color="auto" w:fill="auto"/>
          </w:tcPr>
          <w:p w:rsidR="004C1EBA" w:rsidP="004C1EBA">
            <w:pPr>
              <w:pStyle w:val="csbody00"/>
              <w:rPr>
                <w:bCs/>
                <w:lang w:val="en-US" w:eastAsia="de-CH"/>
              </w:rPr>
            </w:pPr>
            <w:r w:rsidRPr="0080411A">
              <w:rPr>
                <w:bCs/>
                <w:lang w:val="en-US" w:eastAsia="de-CH"/>
              </w:rPr>
              <w:t xml:space="preserve">Caramoor Center for Music </w:t>
            </w:r>
            <w:r w:rsidRPr="00FB4503">
              <w:rPr>
                <w:bCs/>
                <w:lang w:val="en-US" w:eastAsia="de-CH"/>
              </w:rPr>
              <w:t>and the Arts, board member</w:t>
            </w:r>
          </w:p>
        </w:tc>
        <w:tc>
          <w:tcPr>
            <w:tcW w:w="1242" w:type="pct"/>
            <w:gridSpan w:val="3"/>
            <w:shd w:val="clear" w:color="auto" w:fill="auto"/>
          </w:tcPr>
          <w:p w:rsidR="004C1EBA" w:rsidRPr="00732EF2" w:rsidP="004C1EBA">
            <w:pPr>
              <w:pStyle w:val="csbody00"/>
              <w:rPr>
                <w:bCs/>
                <w:lang w:eastAsia="de-CH"/>
              </w:rPr>
            </w:pPr>
            <w:r w:rsidRPr="0080411A">
              <w:rPr>
                <w:bCs/>
                <w:lang w:val="en-US" w:eastAsia="de-CH"/>
              </w:rPr>
              <w:t>Caramoor Center for Music and the Arts, Mitglied des Verwaltungsrats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732EF2" w:rsidP="004C1EBA">
            <w:pPr>
              <w:pStyle w:val="csbody00"/>
              <w:rPr>
                <w:lang w:eastAsia="de-CH"/>
              </w:rPr>
            </w:pPr>
          </w:p>
        </w:tc>
        <w:tc>
          <w:tcPr>
            <w:tcW w:w="1257" w:type="pct"/>
            <w:gridSpan w:val="2"/>
            <w:shd w:val="clear" w:color="auto" w:fill="auto"/>
          </w:tcPr>
          <w:p w:rsidR="004C1EBA" w:rsidRPr="00732EF2" w:rsidP="004C1EBA">
            <w:pPr>
              <w:pStyle w:val="csbody00"/>
              <w:rPr>
                <w:lang w:eastAsia="de-CH"/>
              </w:rPr>
            </w:pPr>
          </w:p>
        </w:tc>
        <w:tc>
          <w:tcPr>
            <w:tcW w:w="1260" w:type="pct"/>
            <w:gridSpan w:val="5"/>
            <w:shd w:val="clear" w:color="auto" w:fill="auto"/>
          </w:tcPr>
          <w:p w:rsidR="004C1EBA" w:rsidP="004C1EBA">
            <w:pPr>
              <w:pStyle w:val="csbody00"/>
              <w:rPr>
                <w:bCs/>
                <w:lang w:val="en-US" w:eastAsia="de-CH"/>
              </w:rPr>
            </w:pPr>
            <w:r w:rsidRPr="0080411A">
              <w:rPr>
                <w:bCs/>
                <w:lang w:val="en-US" w:eastAsia="de-CH"/>
              </w:rPr>
              <w:t>Leadership Committee of Lincoln Center Corporate Fund, member</w:t>
            </w:r>
          </w:p>
        </w:tc>
        <w:tc>
          <w:tcPr>
            <w:tcW w:w="1242" w:type="pct"/>
            <w:gridSpan w:val="3"/>
            <w:shd w:val="clear" w:color="auto" w:fill="auto"/>
          </w:tcPr>
          <w:p w:rsidR="004C1EBA" w:rsidRPr="00732EF2" w:rsidP="004C1EBA">
            <w:pPr>
              <w:pStyle w:val="csbody00"/>
              <w:rPr>
                <w:bCs/>
                <w:lang w:eastAsia="de-CH"/>
              </w:rPr>
            </w:pPr>
            <w:r w:rsidRPr="0080411A">
              <w:rPr>
                <w:bCs/>
                <w:lang w:val="en-US" w:eastAsia="de-CH"/>
              </w:rPr>
              <w:t>Leadership Committee of Lincoln Center Corporate Fund, Mitglied</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r w:rsidRPr="0080411A">
              <w:rPr>
                <w:lang w:val="de-CH" w:eastAsia="de-CH"/>
              </w:rPr>
              <w:t>David R. Mathers</w:t>
            </w:r>
          </w:p>
        </w:tc>
        <w:tc>
          <w:tcPr>
            <w:tcW w:w="1257" w:type="pct"/>
            <w:gridSpan w:val="2"/>
            <w:shd w:val="clear" w:color="auto" w:fill="auto"/>
          </w:tcPr>
          <w:p w:rsidR="004C1EBA" w:rsidRPr="0080411A" w:rsidP="004C1EBA">
            <w:pPr>
              <w:pStyle w:val="csbody00"/>
              <w:jc w:val="left"/>
              <w:rPr>
                <w:lang w:val="de-CH" w:eastAsia="de-CH"/>
              </w:rPr>
            </w:pPr>
            <w:r w:rsidRPr="0080411A">
              <w:rPr>
                <w:lang w:val="de-CH" w:eastAsia="de-CH"/>
              </w:rPr>
              <w:t>Credit Suisse 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D826C3" w:rsidP="004C1EBA">
            <w:pPr>
              <w:pStyle w:val="csbody00"/>
              <w:rPr>
                <w:bCs/>
                <w:lang w:val="en-US" w:eastAsia="de-CH"/>
              </w:rPr>
            </w:pPr>
            <w:r>
              <w:rPr>
                <w:bCs/>
                <w:lang w:val="en-US" w:eastAsia="de-CH"/>
              </w:rPr>
              <w:t>1998–present</w:t>
            </w:r>
          </w:p>
        </w:tc>
        <w:tc>
          <w:tcPr>
            <w:tcW w:w="1242" w:type="pct"/>
            <w:gridSpan w:val="3"/>
            <w:shd w:val="clear" w:color="auto" w:fill="auto"/>
          </w:tcPr>
          <w:p w:rsidR="004C1EBA" w:rsidRPr="0080411A" w:rsidP="004C1EBA">
            <w:pPr>
              <w:pStyle w:val="csbody00"/>
              <w:rPr>
                <w:b/>
                <w:bCs/>
                <w:lang w:val="de-DE" w:eastAsia="de-CH"/>
              </w:rPr>
            </w:pPr>
            <w:r w:rsidRPr="0080411A">
              <w:rPr>
                <w:b/>
                <w:bCs/>
                <w:lang w:val="de-DE" w:eastAsia="de-CH"/>
              </w:rPr>
              <w:t>Werdegang</w:t>
            </w:r>
          </w:p>
          <w:p w:rsidR="004C1EBA" w:rsidRPr="00D826C3" w:rsidP="004C1EBA">
            <w:pPr>
              <w:pStyle w:val="csbody00"/>
              <w:rPr>
                <w:bCs/>
                <w:lang w:val="de-DE" w:eastAsia="de-CH"/>
              </w:rPr>
            </w:pPr>
            <w:r w:rsidRPr="0080411A">
              <w:rPr>
                <w:bCs/>
                <w:lang w:val="de-DE" w:eastAsia="de-CH"/>
              </w:rPr>
              <w:t xml:space="preserve">1998 bis heute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
                <w:bCs/>
                <w:lang w:val="en-US" w:eastAsia="de-CH"/>
              </w:rPr>
            </w:pPr>
            <w:r w:rsidRPr="0080411A">
              <w:rPr>
                <w:bCs/>
                <w:lang w:val="en-US" w:eastAsia="de-CH"/>
              </w:rPr>
              <w:t>Credit Suisse</w:t>
            </w:r>
          </w:p>
        </w:tc>
        <w:tc>
          <w:tcPr>
            <w:tcW w:w="1242" w:type="pct"/>
            <w:gridSpan w:val="3"/>
            <w:shd w:val="clear" w:color="auto" w:fill="auto"/>
          </w:tcPr>
          <w:p w:rsidR="004C1EBA" w:rsidRPr="00D826C3" w:rsidP="004C1EBA">
            <w:pPr>
              <w:pStyle w:val="csbody00"/>
              <w:ind w:left="720"/>
              <w:rPr>
                <w:bCs/>
                <w:lang w:val="de-DE" w:eastAsia="de-CH"/>
              </w:rPr>
            </w:pPr>
            <w:r w:rsidRPr="00D826C3">
              <w:rPr>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3009B4">
              <w:rPr>
                <w:bCs/>
                <w:lang w:val="en-US" w:eastAsia="de-CH"/>
              </w:rPr>
              <w:t>Chief Financial Officer (2010–present)</w:t>
            </w:r>
          </w:p>
        </w:tc>
        <w:tc>
          <w:tcPr>
            <w:tcW w:w="1242" w:type="pct"/>
            <w:gridSpan w:val="3"/>
            <w:shd w:val="clear" w:color="auto" w:fill="auto"/>
          </w:tcPr>
          <w:p w:rsidR="004C1EBA" w:rsidRPr="005C5842">
            <w:pPr>
              <w:pStyle w:val="csbody00"/>
              <w:ind w:left="720"/>
              <w:rPr>
                <w:bCs/>
                <w:lang w:eastAsia="de-CH"/>
              </w:rPr>
            </w:pPr>
            <w:r w:rsidRPr="005C5842">
              <w:rPr>
                <w:bCs/>
                <w:lang w:eastAsia="de-CH"/>
              </w:rPr>
              <w:t>Chief Financial Officer (2010 bis heute)</w:t>
            </w:r>
          </w:p>
        </w:tc>
      </w:tr>
      <w:tr w:rsidTr="007A2F35">
        <w:tblPrEx>
          <w:tblW w:w="5002" w:type="pct"/>
          <w:tblBorders>
            <w:insideV w:val="single" w:sz="4" w:space="0" w:color="auto"/>
          </w:tblBorders>
          <w:tblLayout w:type="fixed"/>
          <w:tblLook w:val="00A0"/>
        </w:tblPrEx>
        <w:tc>
          <w:tcPr>
            <w:tcW w:w="1242" w:type="pct"/>
            <w:gridSpan w:val="3"/>
            <w:shd w:val="clear" w:color="auto" w:fill="auto"/>
          </w:tcPr>
          <w:p w:rsidR="007A2F35" w:rsidRPr="00BD6E0D" w:rsidP="007A2F35">
            <w:pPr>
              <w:pStyle w:val="csbody00"/>
              <w:rPr>
                <w:lang w:eastAsia="de-CH"/>
              </w:rPr>
            </w:pPr>
          </w:p>
        </w:tc>
        <w:tc>
          <w:tcPr>
            <w:tcW w:w="1257" w:type="pct"/>
            <w:gridSpan w:val="2"/>
            <w:shd w:val="clear" w:color="auto" w:fill="auto"/>
          </w:tcPr>
          <w:p w:rsidR="007A2F35" w:rsidRPr="00BD6E0D" w:rsidP="007A2F35">
            <w:pPr>
              <w:pStyle w:val="csbody00"/>
              <w:rPr>
                <w:lang w:eastAsia="de-CH"/>
              </w:rPr>
            </w:pPr>
          </w:p>
        </w:tc>
        <w:tc>
          <w:tcPr>
            <w:tcW w:w="1260" w:type="pct"/>
            <w:gridSpan w:val="5"/>
            <w:shd w:val="clear" w:color="auto" w:fill="auto"/>
          </w:tcPr>
          <w:p w:rsidR="007A2F35" w:rsidRPr="00D41A6A">
            <w:pPr>
              <w:pStyle w:val="csbody00"/>
              <w:ind w:left="728" w:firstLine="13"/>
              <w:rPr>
                <w:bCs/>
                <w:lang w:val="en-US" w:eastAsia="de-CH"/>
              </w:rPr>
            </w:pPr>
            <w:r>
              <w:rPr>
                <w:bCs/>
                <w:lang w:val="en-US" w:eastAsia="de-CH"/>
              </w:rPr>
              <w:t>Member of the Executive Board since 2010</w:t>
            </w:r>
          </w:p>
        </w:tc>
        <w:tc>
          <w:tcPr>
            <w:tcW w:w="1242" w:type="pct"/>
            <w:gridSpan w:val="3"/>
            <w:shd w:val="clear" w:color="auto" w:fill="auto"/>
          </w:tcPr>
          <w:p w:rsidR="007A2F35" w:rsidRPr="000920FD">
            <w:pPr>
              <w:pStyle w:val="csbody00"/>
              <w:ind w:left="728" w:firstLine="13"/>
              <w:rPr>
                <w:bCs/>
                <w:lang w:val="de-DE" w:eastAsia="de-CH"/>
              </w:rPr>
            </w:pPr>
            <w:r w:rsidRPr="000920FD">
              <w:rPr>
                <w:bCs/>
                <w:lang w:val="de-DE" w:eastAsia="de-CH"/>
              </w:rPr>
              <w:t>Mitglied der Geschäftsleitung seit 201</w:t>
            </w:r>
            <w:r>
              <w:rPr>
                <w:bCs/>
                <w:lang w:val="de-DE" w:eastAsia="de-CH"/>
              </w:rPr>
              <w:t>0</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BD6E0D" w:rsidP="004C1EBA">
            <w:pPr>
              <w:pStyle w:val="csbody00"/>
              <w:rPr>
                <w:lang w:val="de-DE" w:eastAsia="de-CH"/>
              </w:rPr>
            </w:pPr>
          </w:p>
        </w:tc>
        <w:tc>
          <w:tcPr>
            <w:tcW w:w="1257" w:type="pct"/>
            <w:gridSpan w:val="2"/>
            <w:shd w:val="clear" w:color="auto" w:fill="auto"/>
          </w:tcPr>
          <w:p w:rsidR="004C1EBA" w:rsidRPr="00BD6E0D" w:rsidP="004C1EBA">
            <w:pPr>
              <w:pStyle w:val="csbody00"/>
              <w:jc w:val="left"/>
              <w:rPr>
                <w:lang w:val="de-DE" w:eastAsia="de-CH"/>
              </w:rPr>
            </w:pPr>
          </w:p>
        </w:tc>
        <w:tc>
          <w:tcPr>
            <w:tcW w:w="1260" w:type="pct"/>
            <w:gridSpan w:val="5"/>
            <w:shd w:val="clear" w:color="auto" w:fill="auto"/>
          </w:tcPr>
          <w:p w:rsidR="004C1EBA" w:rsidRPr="0080411A">
            <w:pPr>
              <w:pStyle w:val="csbody00"/>
              <w:ind w:left="720"/>
              <w:rPr>
                <w:bCs/>
                <w:lang w:val="en-US" w:eastAsia="de-CH"/>
              </w:rPr>
            </w:pPr>
            <w:r w:rsidRPr="0080411A">
              <w:rPr>
                <w:bCs/>
                <w:lang w:val="en-US" w:eastAsia="de-CH"/>
              </w:rPr>
              <w:t>Head of IT and Operations (2012</w:t>
            </w:r>
            <w:r w:rsidR="007A2F35">
              <w:rPr>
                <w:bCs/>
                <w:lang w:val="en-US" w:eastAsia="de-CH"/>
              </w:rPr>
              <w:t xml:space="preserve"> </w:t>
            </w:r>
            <w:r w:rsidRPr="0080411A">
              <w:rPr>
                <w:bCs/>
                <w:lang w:val="en-US" w:eastAsia="de-CH"/>
              </w:rPr>
              <w:t>–</w:t>
            </w:r>
            <w:r w:rsidR="007A2F35">
              <w:rPr>
                <w:bCs/>
                <w:lang w:val="en-US" w:eastAsia="de-CH"/>
              </w:rPr>
              <w:t xml:space="preserve"> 2015</w:t>
            </w:r>
            <w:r w:rsidRPr="0080411A">
              <w:rPr>
                <w:bCs/>
                <w:lang w:val="en-US" w:eastAsia="de-CH"/>
              </w:rPr>
              <w:t>)</w:t>
            </w:r>
          </w:p>
        </w:tc>
        <w:tc>
          <w:tcPr>
            <w:tcW w:w="1242" w:type="pct"/>
            <w:gridSpan w:val="3"/>
            <w:shd w:val="clear" w:color="auto" w:fill="auto"/>
          </w:tcPr>
          <w:p w:rsidR="004C1EBA" w:rsidRPr="00D826C3">
            <w:pPr>
              <w:pStyle w:val="csbody00"/>
              <w:ind w:left="720"/>
              <w:rPr>
                <w:bCs/>
                <w:lang w:val="de-DE" w:eastAsia="de-CH"/>
              </w:rPr>
            </w:pPr>
            <w:r w:rsidRPr="00D826C3">
              <w:rPr>
                <w:bCs/>
                <w:lang w:val="de-DE" w:eastAsia="de-CH"/>
              </w:rPr>
              <w:t xml:space="preserve">Leiter IT and Operations (2012 </w:t>
            </w:r>
            <w:r w:rsidR="007A2F35">
              <w:rPr>
                <w:bCs/>
                <w:lang w:val="de-DE" w:eastAsia="de-CH"/>
              </w:rPr>
              <w:t>- 2015</w:t>
            </w:r>
            <w:r w:rsidRPr="00D826C3">
              <w:rPr>
                <w:bCs/>
                <w:lang w:val="de-DE" w:eastAsia="de-CH"/>
              </w:rPr>
              <w: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eastAsia="de-CH"/>
              </w:rPr>
            </w:pPr>
          </w:p>
        </w:tc>
        <w:tc>
          <w:tcPr>
            <w:tcW w:w="1257" w:type="pct"/>
            <w:gridSpan w:val="2"/>
            <w:shd w:val="clear" w:color="auto" w:fill="auto"/>
          </w:tcPr>
          <w:p w:rsidR="004C1EBA" w:rsidRPr="00F36E74" w:rsidP="004C1EBA">
            <w:pPr>
              <w:pStyle w:val="csbody00"/>
              <w:jc w:val="left"/>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Head of Finance and COO of Investment Banking (2007–2010)</w:t>
            </w:r>
          </w:p>
        </w:tc>
        <w:tc>
          <w:tcPr>
            <w:tcW w:w="1242" w:type="pct"/>
            <w:gridSpan w:val="3"/>
            <w:shd w:val="clear" w:color="auto" w:fill="auto"/>
          </w:tcPr>
          <w:p w:rsidR="004C1EBA" w:rsidRPr="00D826C3" w:rsidP="004C1EBA">
            <w:pPr>
              <w:pStyle w:val="csbody00"/>
              <w:ind w:left="720"/>
              <w:rPr>
                <w:bCs/>
                <w:lang w:val="de-DE" w:eastAsia="de-CH"/>
              </w:rPr>
            </w:pPr>
            <w:r w:rsidRPr="00D826C3">
              <w:rPr>
                <w:bCs/>
                <w:lang w:val="de-DE" w:eastAsia="de-CH"/>
              </w:rPr>
              <w:t>Leiter Finance und COO des Investment Banking (2007–2010)</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Senior positions within Credit Suisse’s Equity business, including Director of European Research and Co-Head of European Equities (1998–2007)</w:t>
            </w:r>
          </w:p>
        </w:tc>
        <w:tc>
          <w:tcPr>
            <w:tcW w:w="1242" w:type="pct"/>
            <w:gridSpan w:val="3"/>
            <w:shd w:val="clear" w:color="auto" w:fill="auto"/>
          </w:tcPr>
          <w:p w:rsidR="004C1EBA" w:rsidRPr="00D826C3" w:rsidP="004C1EBA">
            <w:pPr>
              <w:pStyle w:val="csbody00"/>
              <w:ind w:left="720"/>
              <w:rPr>
                <w:bCs/>
                <w:lang w:val="de-DE" w:eastAsia="de-CH"/>
              </w:rPr>
            </w:pPr>
            <w:r w:rsidRPr="00D826C3">
              <w:rPr>
                <w:bCs/>
                <w:lang w:val="de-DE" w:eastAsia="de-CH"/>
              </w:rPr>
              <w:t>Führungspositionen im Bereich Equities der Credit Suisse, wie Director of European Research und Co-Leiter European Equities (1998–2007)</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 xml:space="preserve">1987–1998 </w:t>
            </w:r>
          </w:p>
        </w:tc>
        <w:tc>
          <w:tcPr>
            <w:tcW w:w="1242" w:type="pct"/>
            <w:gridSpan w:val="3"/>
            <w:shd w:val="clear" w:color="auto" w:fill="auto"/>
          </w:tcPr>
          <w:p w:rsidR="004C1EBA" w:rsidRPr="0080411A" w:rsidP="004C1EBA">
            <w:pPr>
              <w:pStyle w:val="csbody00"/>
              <w:rPr>
                <w:bCs/>
                <w:lang w:val="en-US" w:eastAsia="de-CH"/>
              </w:rPr>
            </w:pPr>
            <w:r w:rsidRPr="0080411A">
              <w:rPr>
                <w:bCs/>
                <w:lang w:val="en-US" w:eastAsia="de-CH"/>
              </w:rPr>
              <w:t xml:space="preserve">1987–1998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HSBC</w:t>
            </w:r>
          </w:p>
        </w:tc>
        <w:tc>
          <w:tcPr>
            <w:tcW w:w="1242" w:type="pct"/>
            <w:gridSpan w:val="3"/>
            <w:shd w:val="clear" w:color="auto" w:fill="auto"/>
          </w:tcPr>
          <w:p w:rsidR="004C1EBA" w:rsidRPr="00D826C3" w:rsidP="004C1EBA">
            <w:pPr>
              <w:pStyle w:val="csbody00"/>
              <w:ind w:left="720"/>
              <w:rPr>
                <w:bCs/>
                <w:lang w:val="de-DE" w:eastAsia="de-CH"/>
              </w:rPr>
            </w:pPr>
            <w:r w:rsidRPr="00D826C3">
              <w:rPr>
                <w:bCs/>
                <w:lang w:val="de-DE" w:eastAsia="de-CH"/>
              </w:rPr>
              <w:t>HSBC</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Global head of equity research (1997–1998)</w:t>
            </w:r>
          </w:p>
        </w:tc>
        <w:tc>
          <w:tcPr>
            <w:tcW w:w="1242" w:type="pct"/>
            <w:gridSpan w:val="3"/>
            <w:shd w:val="clear" w:color="auto" w:fill="auto"/>
          </w:tcPr>
          <w:p w:rsidR="004C1EBA" w:rsidRPr="003D7FB1" w:rsidP="004C1EBA">
            <w:pPr>
              <w:pStyle w:val="csbody00"/>
              <w:ind w:left="720"/>
              <w:rPr>
                <w:bCs/>
                <w:lang w:eastAsia="de-CH"/>
              </w:rPr>
            </w:pPr>
            <w:r w:rsidRPr="003D7FB1">
              <w:rPr>
                <w:bCs/>
                <w:lang w:eastAsia="de-CH"/>
              </w:rPr>
              <w:t>Global Head of Equity Research (1997–1998)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eastAsia="de-CH"/>
              </w:rPr>
            </w:pPr>
          </w:p>
        </w:tc>
        <w:tc>
          <w:tcPr>
            <w:tcW w:w="1257" w:type="pct"/>
            <w:gridSpan w:val="2"/>
            <w:shd w:val="clear" w:color="auto" w:fill="auto"/>
          </w:tcPr>
          <w:p w:rsidR="004C1EBA" w:rsidRPr="00F36E74" w:rsidP="004C1EBA">
            <w:pPr>
              <w:pStyle w:val="csbody00"/>
              <w:jc w:val="left"/>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Research analyst, HSBC James Capel (1987–1997)</w:t>
            </w:r>
          </w:p>
        </w:tc>
        <w:tc>
          <w:tcPr>
            <w:tcW w:w="1242" w:type="pct"/>
            <w:gridSpan w:val="3"/>
            <w:shd w:val="clear" w:color="auto" w:fill="auto"/>
          </w:tcPr>
          <w:p w:rsidR="004C1EBA" w:rsidRPr="003D7FB1" w:rsidP="004C1EBA">
            <w:pPr>
              <w:pStyle w:val="csbody00"/>
              <w:ind w:left="720"/>
              <w:rPr>
                <w:bCs/>
                <w:lang w:eastAsia="de-CH"/>
              </w:rPr>
            </w:pPr>
            <w:r w:rsidRPr="003D7FB1">
              <w:rPr>
                <w:bCs/>
                <w:lang w:eastAsia="de-CH"/>
              </w:rPr>
              <w:t>Research-Analyst, HSBC James Capel (1987–1997)</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eastAsia="de-CH"/>
              </w:rPr>
            </w:pPr>
          </w:p>
        </w:tc>
        <w:tc>
          <w:tcPr>
            <w:tcW w:w="1257" w:type="pct"/>
            <w:gridSpan w:val="2"/>
            <w:shd w:val="clear" w:color="auto" w:fill="auto"/>
          </w:tcPr>
          <w:p w:rsidR="004C1EBA" w:rsidRPr="00F36E74" w:rsidP="004C1EBA">
            <w:pPr>
              <w:pStyle w:val="csbody00"/>
              <w:jc w:val="left"/>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RPr="0080411A" w:rsidP="004C1EBA">
            <w:pPr>
              <w:pStyle w:val="csbody00"/>
              <w:rPr>
                <w:bCs/>
                <w:lang w:val="en-US" w:eastAsia="de-CH"/>
              </w:rPr>
            </w:pPr>
            <w:r>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
                <w:bCs/>
                <w:lang w:val="en-US" w:eastAsia="de-CH"/>
              </w:rPr>
            </w:pPr>
            <w:r w:rsidRPr="0080411A">
              <w:rPr>
                <w:bCs/>
                <w:lang w:val="en-US" w:eastAsia="de-CH"/>
              </w:rPr>
              <w:t>1991 MA in Natural Sciences, University of Cambridge, England</w:t>
            </w:r>
          </w:p>
        </w:tc>
        <w:tc>
          <w:tcPr>
            <w:tcW w:w="1242" w:type="pct"/>
            <w:gridSpan w:val="3"/>
            <w:shd w:val="clear" w:color="auto" w:fill="auto"/>
          </w:tcPr>
          <w:p w:rsidR="004C1EBA" w:rsidRPr="00F36E74" w:rsidP="004C1EBA">
            <w:pPr>
              <w:pStyle w:val="csbody00"/>
              <w:rPr>
                <w:b/>
                <w:bCs/>
                <w:lang w:val="de-DE" w:eastAsia="de-CH"/>
              </w:rPr>
            </w:pPr>
            <w:r w:rsidRPr="0080411A">
              <w:rPr>
                <w:bCs/>
                <w:lang w:val="de-DE" w:eastAsia="de-CH"/>
              </w:rPr>
              <w:t>1991 MA in Naturwissenschaften, University of Cambridge, England</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1987 BA in Natural Sciences, University of Cambridge, England</w:t>
            </w:r>
          </w:p>
        </w:tc>
        <w:tc>
          <w:tcPr>
            <w:tcW w:w="1242" w:type="pct"/>
            <w:gridSpan w:val="3"/>
            <w:shd w:val="clear" w:color="auto" w:fill="auto"/>
          </w:tcPr>
          <w:p w:rsidR="004C1EBA" w:rsidRPr="008D064C" w:rsidP="004C1EBA">
            <w:pPr>
              <w:pStyle w:val="csbody00"/>
              <w:rPr>
                <w:bCs/>
                <w:lang w:eastAsia="de-CH"/>
              </w:rPr>
            </w:pPr>
            <w:r w:rsidRPr="0080411A">
              <w:rPr>
                <w:bCs/>
                <w:lang w:val="de-DE" w:eastAsia="de-CH"/>
              </w:rPr>
              <w:t>1987 BA in Naturwissenschaften, University of Cambridge, England</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P="004C1EBA">
            <w:pPr>
              <w:pStyle w:val="csbody00"/>
              <w:rPr>
                <w:bCs/>
                <w:lang w:val="en-US" w:eastAsia="de-CH"/>
              </w:rPr>
            </w:pPr>
            <w:r w:rsidRPr="0080411A">
              <w:rPr>
                <w:b/>
                <w:bCs/>
                <w:lang w:val="en-US" w:eastAsia="de-CH"/>
              </w:rPr>
              <w:t>Other activities and functions</w:t>
            </w:r>
          </w:p>
        </w:tc>
        <w:tc>
          <w:tcPr>
            <w:tcW w:w="1242" w:type="pct"/>
            <w:gridSpan w:val="3"/>
            <w:shd w:val="clear" w:color="auto" w:fill="auto"/>
          </w:tcPr>
          <w:p w:rsidR="004C1EBA" w:rsidRPr="008D064C" w:rsidP="004C1EBA">
            <w:pPr>
              <w:pStyle w:val="csbody00"/>
              <w:rPr>
                <w:bCs/>
                <w:lang w:eastAsia="de-CH"/>
              </w:rPr>
            </w:pPr>
            <w:r w:rsidRPr="0080411A">
              <w:rPr>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Member of the European CFO Network</w:t>
            </w:r>
          </w:p>
        </w:tc>
        <w:tc>
          <w:tcPr>
            <w:tcW w:w="1242" w:type="pct"/>
            <w:gridSpan w:val="3"/>
            <w:shd w:val="clear" w:color="auto" w:fill="auto"/>
          </w:tcPr>
          <w:p w:rsidR="004C1EBA" w:rsidRPr="008D064C" w:rsidP="004C1EBA">
            <w:pPr>
              <w:pStyle w:val="csbody00"/>
              <w:rPr>
                <w:bCs/>
                <w:lang w:eastAsia="de-CH"/>
              </w:rPr>
            </w:pPr>
            <w:r w:rsidRPr="0080411A">
              <w:rPr>
                <w:bCs/>
                <w:lang w:val="en-US" w:eastAsia="de-CH"/>
              </w:rPr>
              <w:t>European CFO Network, Mitglied</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val="de-CH"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Sponsor of academic awards and research grants at Robinson College,</w:t>
            </w:r>
            <w:r w:rsidR="00090525">
              <w:rPr>
                <w:bCs/>
                <w:lang w:val="en-US" w:eastAsia="de-CH"/>
              </w:rPr>
              <w:t xml:space="preserve"> </w:t>
            </w:r>
            <w:r w:rsidRPr="0080411A">
              <w:rPr>
                <w:bCs/>
                <w:lang w:val="en-US" w:eastAsia="de-CH"/>
              </w:rPr>
              <w:t>Cambridge</w:t>
            </w:r>
          </w:p>
        </w:tc>
        <w:tc>
          <w:tcPr>
            <w:tcW w:w="1242" w:type="pct"/>
            <w:gridSpan w:val="3"/>
            <w:shd w:val="clear" w:color="auto" w:fill="auto"/>
          </w:tcPr>
          <w:p w:rsidR="004C1EBA" w:rsidRPr="0080411A" w:rsidP="004C1EBA">
            <w:pPr>
              <w:pStyle w:val="csbody00"/>
              <w:rPr>
                <w:bCs/>
                <w:lang w:val="en-US" w:eastAsia="de-CH"/>
              </w:rPr>
            </w:pPr>
            <w:r w:rsidRPr="0080411A">
              <w:rPr>
                <w:bCs/>
                <w:lang w:val="en-US" w:eastAsia="de-CH"/>
              </w:rPr>
              <w:t>Sponsor of Academic Awards and Research Grants, Robinson College, Cambridge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r w:rsidRPr="0080411A">
              <w:rPr>
                <w:lang w:eastAsia="de-CH"/>
              </w:rPr>
              <w:t>Romeo Cerutti</w:t>
            </w:r>
          </w:p>
        </w:tc>
        <w:tc>
          <w:tcPr>
            <w:tcW w:w="1257" w:type="pct"/>
            <w:gridSpan w:val="2"/>
            <w:shd w:val="clear" w:color="auto" w:fill="auto"/>
          </w:tcPr>
          <w:p w:rsidR="004C1EBA" w:rsidRPr="0080411A" w:rsidP="004C1EBA">
            <w:pPr>
              <w:pStyle w:val="csbody00"/>
              <w:jc w:val="left"/>
              <w:rPr>
                <w:lang w:val="de-CH" w:eastAsia="de-CH"/>
              </w:rPr>
            </w:pPr>
            <w:r w:rsidRPr="0080411A">
              <w:rPr>
                <w:lang w:val="de-CH" w:eastAsia="de-CH"/>
              </w:rPr>
              <w:t>Credit Suisse</w:t>
            </w:r>
            <w:r>
              <w:rPr>
                <w:lang w:val="de-CH" w:eastAsia="de-CH"/>
              </w:rPr>
              <w:t xml:space="preserve"> </w:t>
            </w:r>
            <w:r w:rsidRPr="0080411A">
              <w:rPr>
                <w:lang w:val="de-CH" w:eastAsia="de-CH"/>
              </w:rPr>
              <w:t>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0411A" w:rsidP="004C1EBA">
            <w:pPr>
              <w:pStyle w:val="csbody00"/>
              <w:rPr>
                <w:rFonts w:ascii="Times New Roman" w:hAnsi="Times New Roman"/>
                <w:sz w:val="20"/>
                <w:szCs w:val="20"/>
                <w:lang w:eastAsia="de-CH"/>
              </w:rPr>
            </w:pPr>
            <w:r w:rsidRPr="0080411A">
              <w:rPr>
                <w:bCs/>
                <w:lang w:val="en-US" w:eastAsia="de-CH"/>
              </w:rPr>
              <w:t xml:space="preserve">2006–present </w:t>
            </w:r>
          </w:p>
        </w:tc>
        <w:tc>
          <w:tcPr>
            <w:tcW w:w="1242" w:type="pct"/>
            <w:gridSpan w:val="3"/>
            <w:shd w:val="clear" w:color="auto" w:fill="auto"/>
          </w:tcPr>
          <w:p w:rsidR="004C1EBA" w:rsidRPr="0080411A" w:rsidP="004C1EBA">
            <w:pPr>
              <w:pStyle w:val="csbody00"/>
              <w:rPr>
                <w:b/>
                <w:bCs/>
                <w:lang w:val="de-DE" w:eastAsia="de-CH"/>
              </w:rPr>
            </w:pPr>
            <w:r w:rsidRPr="0080411A">
              <w:rPr>
                <w:b/>
                <w:bCs/>
                <w:lang w:val="de-DE" w:eastAsia="de-CH"/>
              </w:rPr>
              <w:t>Werdegang</w:t>
            </w:r>
          </w:p>
          <w:p w:rsidR="004C1EBA" w:rsidRPr="0080411A" w:rsidP="004C1EBA">
            <w:pPr>
              <w:pStyle w:val="csbody00"/>
              <w:rPr>
                <w:lang w:val="de-CH" w:eastAsia="de-CH"/>
              </w:rPr>
            </w:pPr>
            <w:r w:rsidRPr="0080411A">
              <w:rPr>
                <w:bCs/>
                <w:lang w:val="de-DE" w:eastAsia="de-CH"/>
              </w:rPr>
              <w:t>2006 bis heute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ind w:left="720"/>
              <w:rPr>
                <w:b/>
                <w:bCs/>
                <w:lang w:val="en-US" w:eastAsia="de-CH"/>
              </w:rPr>
            </w:pPr>
            <w:r w:rsidRPr="0080411A">
              <w:rPr>
                <w:bCs/>
                <w:lang w:val="en-US" w:eastAsia="de-CH"/>
              </w:rPr>
              <w:t>Credit Suisse</w:t>
            </w:r>
          </w:p>
        </w:tc>
        <w:tc>
          <w:tcPr>
            <w:tcW w:w="1242" w:type="pct"/>
            <w:gridSpan w:val="3"/>
            <w:shd w:val="clear" w:color="auto" w:fill="auto"/>
          </w:tcPr>
          <w:p w:rsidR="004C1EBA" w:rsidRPr="0080411A" w:rsidP="004C1EBA">
            <w:pPr>
              <w:pStyle w:val="csbody00"/>
              <w:ind w:left="720"/>
              <w:rPr>
                <w:b/>
                <w:bCs/>
                <w:lang w:val="de-DE" w:eastAsia="de-CH"/>
              </w:rPr>
            </w:pPr>
            <w:r w:rsidRPr="0080411A">
              <w:rPr>
                <w:bCs/>
                <w:lang w:val="de-DE"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pPr>
              <w:pStyle w:val="csbody00"/>
              <w:ind w:left="720"/>
              <w:rPr>
                <w:bCs/>
                <w:lang w:val="en-US" w:eastAsia="de-CH"/>
              </w:rPr>
            </w:pPr>
            <w:r w:rsidRPr="0080411A">
              <w:rPr>
                <w:bCs/>
                <w:lang w:val="en-US" w:eastAsia="de-CH"/>
              </w:rPr>
              <w:t>General Counsel (2009–present)</w:t>
            </w:r>
          </w:p>
        </w:tc>
        <w:tc>
          <w:tcPr>
            <w:tcW w:w="1242" w:type="pct"/>
            <w:gridSpan w:val="3"/>
            <w:shd w:val="clear" w:color="auto" w:fill="auto"/>
          </w:tcPr>
          <w:p w:rsidR="004C1EBA" w:rsidRPr="0080411A">
            <w:pPr>
              <w:pStyle w:val="csbody00"/>
              <w:ind w:left="720"/>
              <w:rPr>
                <w:bCs/>
                <w:lang w:val="de-DE" w:eastAsia="de-CH"/>
              </w:rPr>
            </w:pPr>
            <w:r w:rsidRPr="0080411A">
              <w:rPr>
                <w:bCs/>
                <w:lang w:val="de-DE" w:eastAsia="de-CH"/>
              </w:rPr>
              <w:t>General Counsel (2009 bis heute)</w:t>
            </w:r>
          </w:p>
        </w:tc>
      </w:tr>
      <w:tr w:rsidTr="007A2F35">
        <w:tblPrEx>
          <w:tblW w:w="5002" w:type="pct"/>
          <w:tblBorders>
            <w:insideV w:val="single" w:sz="4" w:space="0" w:color="auto"/>
          </w:tblBorders>
          <w:tblLayout w:type="fixed"/>
          <w:tblLook w:val="00A0"/>
        </w:tblPrEx>
        <w:tc>
          <w:tcPr>
            <w:tcW w:w="1242" w:type="pct"/>
            <w:gridSpan w:val="3"/>
            <w:shd w:val="clear" w:color="auto" w:fill="auto"/>
          </w:tcPr>
          <w:p w:rsidR="007A2F35" w:rsidRPr="00FB4503" w:rsidP="007A2F35">
            <w:pPr>
              <w:pStyle w:val="csbody00"/>
              <w:rPr>
                <w:lang w:val="de-DE" w:eastAsia="de-CH"/>
              </w:rPr>
            </w:pPr>
          </w:p>
        </w:tc>
        <w:tc>
          <w:tcPr>
            <w:tcW w:w="1257" w:type="pct"/>
            <w:gridSpan w:val="2"/>
            <w:shd w:val="clear" w:color="auto" w:fill="auto"/>
          </w:tcPr>
          <w:p w:rsidR="007A2F35" w:rsidRPr="00FB4503" w:rsidP="007A2F35">
            <w:pPr>
              <w:pStyle w:val="csbody00"/>
              <w:rPr>
                <w:lang w:val="de-DE" w:eastAsia="de-CH"/>
              </w:rPr>
            </w:pPr>
          </w:p>
        </w:tc>
        <w:tc>
          <w:tcPr>
            <w:tcW w:w="1260" w:type="pct"/>
            <w:gridSpan w:val="5"/>
            <w:shd w:val="clear" w:color="auto" w:fill="auto"/>
          </w:tcPr>
          <w:p w:rsidR="007A2F35" w:rsidRPr="00D41A6A">
            <w:pPr>
              <w:pStyle w:val="csbody00"/>
              <w:ind w:left="728" w:firstLine="13"/>
              <w:rPr>
                <w:bCs/>
                <w:lang w:val="en-US" w:eastAsia="de-CH"/>
              </w:rPr>
            </w:pPr>
            <w:r>
              <w:rPr>
                <w:bCs/>
                <w:lang w:val="en-US" w:eastAsia="de-CH"/>
              </w:rPr>
              <w:t>Member of the Executive Board since 2009</w:t>
            </w:r>
          </w:p>
        </w:tc>
        <w:tc>
          <w:tcPr>
            <w:tcW w:w="1242" w:type="pct"/>
            <w:gridSpan w:val="3"/>
            <w:shd w:val="clear" w:color="auto" w:fill="auto"/>
          </w:tcPr>
          <w:p w:rsidR="007A2F35" w:rsidRPr="000920FD">
            <w:pPr>
              <w:pStyle w:val="csbody00"/>
              <w:ind w:left="728" w:firstLine="13"/>
              <w:rPr>
                <w:bCs/>
                <w:lang w:val="de-DE" w:eastAsia="de-CH"/>
              </w:rPr>
            </w:pPr>
            <w:r w:rsidRPr="000920FD">
              <w:rPr>
                <w:bCs/>
                <w:lang w:val="de-DE" w:eastAsia="de-CH"/>
              </w:rPr>
              <w:t>Mitglied der Geschäftsleitung seit 20</w:t>
            </w:r>
            <w:r>
              <w:rPr>
                <w:bCs/>
                <w:lang w:val="de-DE" w:eastAsia="de-CH"/>
              </w:rPr>
              <w:t>09</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pPr>
              <w:pStyle w:val="csbody00"/>
              <w:ind w:left="720"/>
              <w:rPr>
                <w:bCs/>
                <w:lang w:val="en-US" w:eastAsia="de-CH"/>
              </w:rPr>
            </w:pPr>
            <w:r w:rsidRPr="0080411A">
              <w:rPr>
                <w:bCs/>
                <w:lang w:val="en-US" w:eastAsia="de-CH"/>
              </w:rPr>
              <w:t>Global Co-Head of Compliance, Credit Suisse (2008–2009)</w:t>
            </w:r>
          </w:p>
        </w:tc>
        <w:tc>
          <w:tcPr>
            <w:tcW w:w="1242" w:type="pct"/>
            <w:gridSpan w:val="3"/>
            <w:shd w:val="clear" w:color="auto" w:fill="auto"/>
          </w:tcPr>
          <w:p w:rsidR="004C1EBA" w:rsidRPr="00F36E74">
            <w:pPr>
              <w:pStyle w:val="csbody00"/>
              <w:ind w:left="720"/>
              <w:rPr>
                <w:bCs/>
                <w:lang w:eastAsia="de-CH"/>
              </w:rPr>
            </w:pPr>
            <w:r w:rsidRPr="0080411A">
              <w:rPr>
                <w:bCs/>
                <w:lang w:val="en-US" w:eastAsia="de-CH"/>
              </w:rPr>
              <w:t>Globaler Co-Leiter Compliance, Credit Suisse (2008</w:t>
            </w:r>
            <w:r>
              <w:rPr>
                <w:bCs/>
                <w:lang w:val="en-US" w:eastAsia="de-CH"/>
              </w:rPr>
              <w:t>–</w:t>
            </w:r>
            <w:r w:rsidRPr="0080411A">
              <w:rPr>
                <w:bCs/>
                <w:lang w:val="en-US" w:eastAsia="de-CH"/>
              </w:rPr>
              <w:t>2009)</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F36E74" w:rsidP="004C1EBA">
            <w:pPr>
              <w:pStyle w:val="csbody00"/>
              <w:rPr>
                <w:lang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General Counsel, Private Banking division (2006–2009)</w:t>
            </w:r>
          </w:p>
        </w:tc>
        <w:tc>
          <w:tcPr>
            <w:tcW w:w="1242" w:type="pct"/>
            <w:gridSpan w:val="3"/>
            <w:shd w:val="clear" w:color="auto" w:fill="auto"/>
          </w:tcPr>
          <w:p w:rsidR="004C1EBA" w:rsidRPr="0080411A">
            <w:pPr>
              <w:pStyle w:val="csbody00"/>
              <w:ind w:left="720"/>
              <w:rPr>
                <w:bCs/>
                <w:lang w:val="en-US" w:eastAsia="de-CH"/>
              </w:rPr>
            </w:pPr>
            <w:r w:rsidRPr="0080411A">
              <w:rPr>
                <w:bCs/>
                <w:lang w:val="en-US" w:eastAsia="de-CH"/>
              </w:rPr>
              <w:t>General Counsel, Division Private Banking (2006</w:t>
            </w:r>
            <w:r>
              <w:rPr>
                <w:bCs/>
                <w:lang w:val="en-US" w:eastAsia="de-CH"/>
              </w:rPr>
              <w:t>–</w:t>
            </w:r>
            <w:r w:rsidRPr="0080411A">
              <w:rPr>
                <w:bCs/>
                <w:lang w:val="en-US" w:eastAsia="de-CH"/>
              </w:rPr>
              <w:t>2009)</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F36E74" w:rsidP="004C1EBA">
            <w:pPr>
              <w:pStyle w:val="csbody00"/>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 xml:space="preserve">1999–2006 </w:t>
            </w:r>
          </w:p>
        </w:tc>
        <w:tc>
          <w:tcPr>
            <w:tcW w:w="1242" w:type="pct"/>
            <w:gridSpan w:val="3"/>
            <w:shd w:val="clear" w:color="auto" w:fill="auto"/>
          </w:tcPr>
          <w:p w:rsidR="004C1EBA" w:rsidRPr="0080411A">
            <w:pPr>
              <w:pStyle w:val="csbody00"/>
              <w:rPr>
                <w:bCs/>
                <w:lang w:val="en-US" w:eastAsia="de-CH"/>
              </w:rPr>
            </w:pPr>
            <w:r w:rsidRPr="0080411A">
              <w:rPr>
                <w:bCs/>
                <w:lang w:val="de-DE" w:eastAsia="de-CH"/>
              </w:rPr>
              <w:t>1999</w:t>
            </w:r>
            <w:r>
              <w:rPr>
                <w:bCs/>
                <w:lang w:val="de-DE" w:eastAsia="de-CH"/>
              </w:rPr>
              <w:t>–</w:t>
            </w:r>
            <w:r w:rsidRPr="0080411A">
              <w:rPr>
                <w:bCs/>
                <w:lang w:val="de-DE" w:eastAsia="de-CH"/>
              </w:rPr>
              <w:t xml:space="preserve">2006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F36E74" w:rsidP="004C1EBA">
            <w:pPr>
              <w:pStyle w:val="csbody00"/>
              <w:ind w:left="720"/>
              <w:rPr>
                <w:bCs/>
                <w:lang w:val="de-DE" w:eastAsia="de-CH"/>
              </w:rPr>
            </w:pPr>
            <w:r w:rsidRPr="00F36E74">
              <w:rPr>
                <w:bCs/>
                <w:lang w:val="de-DE" w:eastAsia="de-CH"/>
              </w:rPr>
              <w:t>Lombard Odier Darier Hentsch &amp; Cie</w:t>
            </w:r>
          </w:p>
        </w:tc>
        <w:tc>
          <w:tcPr>
            <w:tcW w:w="1242" w:type="pct"/>
            <w:gridSpan w:val="3"/>
            <w:shd w:val="clear" w:color="auto" w:fill="auto"/>
          </w:tcPr>
          <w:p w:rsidR="004C1EBA" w:rsidRPr="0080411A" w:rsidP="004C1EBA">
            <w:pPr>
              <w:pStyle w:val="csbody00"/>
              <w:ind w:left="720"/>
              <w:rPr>
                <w:bCs/>
                <w:lang w:val="de-DE" w:eastAsia="de-CH"/>
              </w:rPr>
            </w:pPr>
            <w:r w:rsidRPr="0080411A">
              <w:rPr>
                <w:bCs/>
                <w:lang w:val="de-DE" w:eastAsia="de-CH"/>
              </w:rPr>
              <w:t>Lombard Odier Darier Hentsch &amp; Cie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Partner of the Group Holding (2004–2006)</w:t>
            </w:r>
          </w:p>
        </w:tc>
        <w:tc>
          <w:tcPr>
            <w:tcW w:w="1242" w:type="pct"/>
            <w:gridSpan w:val="3"/>
            <w:shd w:val="clear" w:color="auto" w:fill="auto"/>
          </w:tcPr>
          <w:p w:rsidR="004C1EBA" w:rsidRPr="0080411A">
            <w:pPr>
              <w:pStyle w:val="csbody00"/>
              <w:ind w:left="720"/>
              <w:rPr>
                <w:bCs/>
                <w:lang w:val="de-DE" w:eastAsia="de-CH"/>
              </w:rPr>
            </w:pPr>
            <w:r w:rsidRPr="00D737D8">
              <w:rPr>
                <w:bCs/>
                <w:lang w:eastAsia="de-CH"/>
              </w:rPr>
              <w:t>Partner der Group Holding (2004</w:t>
            </w:r>
            <w:r>
              <w:rPr>
                <w:bCs/>
                <w:lang w:eastAsia="de-CH"/>
              </w:rPr>
              <w:t>–</w:t>
            </w:r>
            <w:r w:rsidRPr="00D737D8">
              <w:rPr>
                <w:bCs/>
                <w:lang w:eastAsia="de-CH"/>
              </w:rPr>
              <w:t>2006)</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Head of Corporate Finance (1999–2004)</w:t>
            </w:r>
          </w:p>
        </w:tc>
        <w:tc>
          <w:tcPr>
            <w:tcW w:w="1242" w:type="pct"/>
            <w:gridSpan w:val="3"/>
            <w:shd w:val="clear" w:color="auto" w:fill="auto"/>
          </w:tcPr>
          <w:p w:rsidR="004C1EBA" w:rsidRPr="00D737D8">
            <w:pPr>
              <w:pStyle w:val="csbody00"/>
              <w:ind w:left="720"/>
              <w:rPr>
                <w:bCs/>
                <w:lang w:eastAsia="de-CH"/>
              </w:rPr>
            </w:pPr>
            <w:r w:rsidRPr="00D737D8">
              <w:rPr>
                <w:bCs/>
                <w:lang w:eastAsia="de-CH"/>
              </w:rPr>
              <w:t>Leiter Corporate Finance (1999</w:t>
            </w:r>
            <w:r>
              <w:rPr>
                <w:bCs/>
                <w:lang w:eastAsia="de-CH"/>
              </w:rPr>
              <w:t>–</w:t>
            </w:r>
            <w:r w:rsidRPr="00D737D8">
              <w:rPr>
                <w:bCs/>
                <w:lang w:eastAsia="de-CH"/>
              </w:rPr>
              <w:t>2004)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 xml:space="preserve">1995–1999 </w:t>
            </w:r>
          </w:p>
        </w:tc>
        <w:tc>
          <w:tcPr>
            <w:tcW w:w="1242" w:type="pct"/>
            <w:gridSpan w:val="3"/>
            <w:shd w:val="clear" w:color="auto" w:fill="auto"/>
          </w:tcPr>
          <w:p w:rsidR="004C1EBA" w:rsidRPr="00D737D8">
            <w:pPr>
              <w:pStyle w:val="csbody00"/>
              <w:rPr>
                <w:bCs/>
                <w:lang w:eastAsia="de-CH"/>
              </w:rPr>
            </w:pPr>
            <w:r w:rsidRPr="0080411A">
              <w:rPr>
                <w:bCs/>
                <w:lang w:val="de-DE" w:eastAsia="de-CH"/>
              </w:rPr>
              <w:t>1995</w:t>
            </w:r>
            <w:r>
              <w:rPr>
                <w:bCs/>
                <w:lang w:val="de-DE" w:eastAsia="de-CH"/>
              </w:rPr>
              <w:t>–</w:t>
            </w:r>
            <w:r w:rsidRPr="0080411A">
              <w:rPr>
                <w:bCs/>
                <w:lang w:val="de-DE" w:eastAsia="de-CH"/>
              </w:rPr>
              <w:t xml:space="preserve">1999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 xml:space="preserve">Homburger Rechtsanwälte, </w:t>
            </w:r>
            <w:r w:rsidRPr="00D737D8">
              <w:rPr>
                <w:bCs/>
                <w:lang w:val="en-US" w:eastAsia="de-CH"/>
              </w:rPr>
              <w:t>Zurich, attorney-at-law</w:t>
            </w:r>
          </w:p>
        </w:tc>
        <w:tc>
          <w:tcPr>
            <w:tcW w:w="1242" w:type="pct"/>
            <w:gridSpan w:val="3"/>
            <w:shd w:val="clear" w:color="auto" w:fill="auto"/>
          </w:tcPr>
          <w:p w:rsidR="004C1EBA" w:rsidRPr="0080411A" w:rsidP="004C1EBA">
            <w:pPr>
              <w:pStyle w:val="csbody00"/>
              <w:ind w:left="720"/>
              <w:rPr>
                <w:bCs/>
                <w:lang w:val="de-DE" w:eastAsia="de-CH"/>
              </w:rPr>
            </w:pPr>
            <w:r w:rsidRPr="0080411A">
              <w:rPr>
                <w:bCs/>
                <w:lang w:val="de-DE" w:eastAsia="de-CH"/>
              </w:rPr>
              <w:t xml:space="preserve">Homburger Rechtsanwälte, </w:t>
            </w:r>
            <w:r>
              <w:rPr>
                <w:bCs/>
                <w:lang w:val="de-DE" w:eastAsia="de-CH"/>
              </w:rPr>
              <w:t>Zürich, Anwalt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 xml:space="preserve">1993–1995 </w:t>
            </w:r>
          </w:p>
        </w:tc>
        <w:tc>
          <w:tcPr>
            <w:tcW w:w="1242" w:type="pct"/>
            <w:gridSpan w:val="3"/>
            <w:shd w:val="clear" w:color="auto" w:fill="auto"/>
          </w:tcPr>
          <w:p w:rsidR="004C1EBA" w:rsidRPr="0080411A">
            <w:pPr>
              <w:pStyle w:val="csbody00"/>
              <w:rPr>
                <w:bCs/>
                <w:lang w:val="de-DE" w:eastAsia="de-CH"/>
              </w:rPr>
            </w:pPr>
            <w:r w:rsidRPr="0080411A">
              <w:rPr>
                <w:bCs/>
                <w:lang w:val="de-DE" w:eastAsia="de-CH"/>
              </w:rPr>
              <w:t>1993</w:t>
            </w:r>
            <w:r>
              <w:rPr>
                <w:bCs/>
                <w:lang w:val="de-DE" w:eastAsia="de-CH"/>
              </w:rPr>
              <w:t>–</w:t>
            </w:r>
            <w:r w:rsidRPr="0080411A">
              <w:rPr>
                <w:bCs/>
                <w:lang w:val="de-DE" w:eastAsia="de-CH"/>
              </w:rPr>
              <w:t xml:space="preserve">1995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Latham and Watkins, Los Angeles, attorney-at-law</w:t>
            </w:r>
          </w:p>
        </w:tc>
        <w:tc>
          <w:tcPr>
            <w:tcW w:w="1242" w:type="pct"/>
            <w:gridSpan w:val="3"/>
            <w:shd w:val="clear" w:color="auto" w:fill="auto"/>
          </w:tcPr>
          <w:p w:rsidR="004C1EBA" w:rsidRPr="0080411A" w:rsidP="004C1EBA">
            <w:pPr>
              <w:pStyle w:val="csbody00"/>
              <w:ind w:left="720"/>
              <w:rPr>
                <w:bCs/>
                <w:lang w:val="de-DE" w:eastAsia="de-CH"/>
              </w:rPr>
            </w:pPr>
            <w:r w:rsidRPr="0080411A">
              <w:rPr>
                <w:bCs/>
                <w:lang w:val="de-DE" w:eastAsia="de-CH"/>
              </w:rPr>
              <w:t>Latham and Watkins, Los Angeles, Anwalt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p>
        </w:tc>
        <w:tc>
          <w:tcPr>
            <w:tcW w:w="1242" w:type="pct"/>
            <w:gridSpan w:val="3"/>
            <w:shd w:val="clear" w:color="auto" w:fill="auto"/>
          </w:tcPr>
          <w:p w:rsidR="004C1EBA" w:rsidRPr="0080411A" w:rsidP="004C1EBA">
            <w:pPr>
              <w:pStyle w:val="csbody00"/>
              <w:ind w:left="720"/>
              <w:rPr>
                <w:bCs/>
                <w:lang w:val="de-DE" w:eastAsia="de-CH"/>
              </w:rPr>
            </w:pP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RPr="0080411A" w:rsidP="004C1EBA">
            <w:pPr>
              <w:pStyle w:val="csbody00"/>
              <w:rPr>
                <w:bCs/>
                <w:lang w:val="de-DE" w:eastAsia="de-CH"/>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
                <w:bCs/>
                <w:lang w:val="en-US" w:eastAsia="de-CH"/>
              </w:rPr>
            </w:pPr>
            <w:r w:rsidRPr="0080411A">
              <w:rPr>
                <w:bCs/>
                <w:lang w:val="en-US" w:eastAsia="de-CH"/>
              </w:rPr>
              <w:t>1998 Post-doctorate degree in Law (Habilitation), University of Fribourg</w:t>
            </w:r>
          </w:p>
        </w:tc>
        <w:tc>
          <w:tcPr>
            <w:tcW w:w="1242" w:type="pct"/>
            <w:gridSpan w:val="3"/>
            <w:shd w:val="clear" w:color="auto" w:fill="auto"/>
          </w:tcPr>
          <w:p w:rsidR="004C1EBA" w:rsidRPr="0080411A" w:rsidP="004C1EBA">
            <w:pPr>
              <w:pStyle w:val="csbody00"/>
              <w:rPr>
                <w:b/>
                <w:bCs/>
                <w:lang w:val="de-DE" w:eastAsia="de-CH"/>
              </w:rPr>
            </w:pPr>
            <w:r w:rsidRPr="0080411A">
              <w:rPr>
                <w:bCs/>
                <w:lang w:val="de-DE" w:eastAsia="de-CH"/>
              </w:rPr>
              <w:t>1998 Habilitation in Rechtswissenschaften, Universität Freiburg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1992 Admission to the bar of the State of California</w:t>
            </w:r>
          </w:p>
        </w:tc>
        <w:tc>
          <w:tcPr>
            <w:tcW w:w="1242" w:type="pct"/>
            <w:gridSpan w:val="3"/>
            <w:shd w:val="clear" w:color="auto" w:fill="auto"/>
          </w:tcPr>
          <w:p w:rsidR="004C1EBA" w:rsidRPr="0080411A" w:rsidP="004C1EBA">
            <w:pPr>
              <w:pStyle w:val="csbody00"/>
              <w:rPr>
                <w:bCs/>
                <w:lang w:val="de-DE" w:eastAsia="de-CH"/>
              </w:rPr>
            </w:pPr>
            <w:r w:rsidRPr="0080411A">
              <w:rPr>
                <w:bCs/>
                <w:lang w:val="de-DE" w:eastAsia="de-CH"/>
              </w:rPr>
              <w:t>1992 Zulassung als Rechtsanwalt im Bundesstaat Kalifornien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1992 Master of Law (LLM), University of California, Los Angeles</w:t>
            </w:r>
          </w:p>
        </w:tc>
        <w:tc>
          <w:tcPr>
            <w:tcW w:w="1242" w:type="pct"/>
            <w:gridSpan w:val="3"/>
            <w:shd w:val="clear" w:color="auto" w:fill="auto"/>
          </w:tcPr>
          <w:p w:rsidR="004C1EBA" w:rsidRPr="00F36E74" w:rsidP="004C1EBA">
            <w:pPr>
              <w:pStyle w:val="csbody00"/>
              <w:rPr>
                <w:bCs/>
                <w:lang w:eastAsia="de-CH"/>
              </w:rPr>
            </w:pPr>
            <w:r w:rsidRPr="0080411A">
              <w:rPr>
                <w:bCs/>
                <w:lang w:val="en-US" w:eastAsia="de-CH"/>
              </w:rPr>
              <w:t>1992 Master of Law (LLM), University of California, Los Angeles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F36E74" w:rsidP="004C1EBA">
            <w:pPr>
              <w:pStyle w:val="csbody00"/>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1990 Doctorate in Law, University of Fribourg</w:t>
            </w:r>
          </w:p>
        </w:tc>
        <w:tc>
          <w:tcPr>
            <w:tcW w:w="1242" w:type="pct"/>
            <w:gridSpan w:val="3"/>
            <w:shd w:val="clear" w:color="auto" w:fill="auto"/>
          </w:tcPr>
          <w:p w:rsidR="004C1EBA" w:rsidRPr="00F36E74" w:rsidP="004C1EBA">
            <w:pPr>
              <w:pStyle w:val="csbody00"/>
              <w:rPr>
                <w:bCs/>
                <w:lang w:val="de-DE" w:eastAsia="de-CH"/>
              </w:rPr>
            </w:pPr>
            <w:r w:rsidRPr="0080411A">
              <w:rPr>
                <w:bCs/>
                <w:lang w:val="de-DE" w:eastAsia="de-CH"/>
              </w:rPr>
              <w:t>1990 Doktorat in Rechtswissenschaften, Universität Freiburg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1989 Admission to the bar of the Canton of Zurich</w:t>
            </w:r>
          </w:p>
        </w:tc>
        <w:tc>
          <w:tcPr>
            <w:tcW w:w="1242" w:type="pct"/>
            <w:gridSpan w:val="3"/>
            <w:shd w:val="clear" w:color="auto" w:fill="auto"/>
          </w:tcPr>
          <w:p w:rsidR="004C1EBA" w:rsidRPr="0080411A">
            <w:pPr>
              <w:pStyle w:val="csbody00"/>
              <w:rPr>
                <w:bCs/>
                <w:lang w:val="de-DE" w:eastAsia="de-CH"/>
              </w:rPr>
            </w:pPr>
            <w:r w:rsidRPr="0080411A">
              <w:rPr>
                <w:bCs/>
                <w:lang w:val="de-DE" w:eastAsia="de-CH"/>
              </w:rPr>
              <w:t>1989 Zulassung als Rechtsa</w:t>
            </w:r>
            <w:r>
              <w:rPr>
                <w:bCs/>
                <w:lang w:val="de-DE" w:eastAsia="de-CH"/>
              </w:rPr>
              <w:t>n</w:t>
            </w:r>
            <w:r w:rsidRPr="0080411A">
              <w:rPr>
                <w:bCs/>
                <w:lang w:val="de-DE" w:eastAsia="de-CH"/>
              </w:rPr>
              <w:t>nwalt im Kanton Zürich</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1986 Master in Law (lic.iur.), University of Fribourg</w:t>
            </w:r>
          </w:p>
        </w:tc>
        <w:tc>
          <w:tcPr>
            <w:tcW w:w="1242" w:type="pct"/>
            <w:gridSpan w:val="3"/>
            <w:shd w:val="clear" w:color="auto" w:fill="auto"/>
          </w:tcPr>
          <w:p w:rsidR="004C1EBA" w:rsidRPr="0080411A" w:rsidP="004C1EBA">
            <w:pPr>
              <w:pStyle w:val="csbody00"/>
              <w:rPr>
                <w:bCs/>
                <w:lang w:val="de-DE" w:eastAsia="de-CH"/>
              </w:rPr>
            </w:pPr>
            <w:r w:rsidRPr="0080411A">
              <w:rPr>
                <w:bCs/>
                <w:lang w:val="de-DE" w:eastAsia="de-CH"/>
              </w:rPr>
              <w:t>1986 Masterabschluss in Rechtswissenschaften (lic.iur.), Universität Freiburg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Other activities and functions</w:t>
            </w:r>
          </w:p>
        </w:tc>
        <w:tc>
          <w:tcPr>
            <w:tcW w:w="1242" w:type="pct"/>
            <w:gridSpan w:val="3"/>
            <w:shd w:val="clear" w:color="auto" w:fill="auto"/>
          </w:tcPr>
          <w:p w:rsidR="004C1EBA" w:rsidRPr="0080411A" w:rsidP="004C1EBA">
            <w:pPr>
              <w:pStyle w:val="csbody00"/>
              <w:rPr>
                <w:bCs/>
                <w:lang w:val="de-DE" w:eastAsia="de-CH"/>
              </w:rPr>
            </w:pPr>
            <w:r w:rsidRPr="0080411A">
              <w:rPr>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Pr>
                <w:bCs/>
                <w:lang w:val="en-US" w:eastAsia="de-CH"/>
              </w:rPr>
              <w:t>Galenica Ltd., board member</w:t>
            </w:r>
          </w:p>
        </w:tc>
        <w:tc>
          <w:tcPr>
            <w:tcW w:w="1242" w:type="pct"/>
            <w:gridSpan w:val="3"/>
            <w:shd w:val="clear" w:color="auto" w:fill="auto"/>
          </w:tcPr>
          <w:p w:rsidR="004C1EBA" w:rsidRPr="0080411A" w:rsidP="004C1EBA">
            <w:pPr>
              <w:pStyle w:val="csbody00"/>
              <w:rPr>
                <w:bCs/>
                <w:lang w:val="de-DE" w:eastAsia="de-CH"/>
              </w:rPr>
            </w:pPr>
            <w:r>
              <w:rPr>
                <w:bCs/>
                <w:lang w:val="de-DE" w:eastAsia="de-CH"/>
              </w:rPr>
              <w:t>Galenica Ltd., Mitglied des Verwaltungsrats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
                <w:bCs/>
                <w:lang w:val="en-US" w:eastAsia="de-CH"/>
              </w:rPr>
            </w:pPr>
            <w:r w:rsidRPr="0080411A">
              <w:rPr>
                <w:bCs/>
                <w:lang w:val="en-US" w:eastAsia="de-CH"/>
              </w:rPr>
              <w:t>University of Fribourg, board of trustees member</w:t>
            </w:r>
          </w:p>
        </w:tc>
        <w:tc>
          <w:tcPr>
            <w:tcW w:w="1242" w:type="pct"/>
            <w:gridSpan w:val="3"/>
            <w:shd w:val="clear" w:color="auto" w:fill="auto"/>
          </w:tcPr>
          <w:p w:rsidR="004C1EBA" w:rsidRPr="0080411A" w:rsidP="004C1EBA">
            <w:pPr>
              <w:pStyle w:val="csbody00"/>
              <w:rPr>
                <w:b/>
                <w:bCs/>
                <w:lang w:val="de-DE" w:eastAsia="de-CH"/>
              </w:rPr>
            </w:pPr>
            <w:r w:rsidRPr="0080411A">
              <w:rPr>
                <w:bCs/>
                <w:lang w:val="de-DE" w:eastAsia="de-CH"/>
              </w:rPr>
              <w:t>Universität Freiburg, Mitglied des Stiftungsrats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F36E74" w:rsidP="004C1EBA">
            <w:pPr>
              <w:pStyle w:val="csbody00"/>
              <w:rPr>
                <w:lang w:val="de-DE" w:eastAsia="de-CH"/>
              </w:rPr>
            </w:pPr>
          </w:p>
        </w:tc>
        <w:tc>
          <w:tcPr>
            <w:tcW w:w="1257" w:type="pct"/>
            <w:gridSpan w:val="2"/>
            <w:shd w:val="clear" w:color="auto" w:fill="auto"/>
          </w:tcPr>
          <w:p w:rsidR="004C1EBA" w:rsidRPr="0080411A" w:rsidP="004C1EBA">
            <w:pPr>
              <w:pStyle w:val="csbody00"/>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Association Friends of the Zurich Art Museum, board member</w:t>
            </w:r>
          </w:p>
        </w:tc>
        <w:tc>
          <w:tcPr>
            <w:tcW w:w="1242" w:type="pct"/>
            <w:gridSpan w:val="3"/>
            <w:shd w:val="clear" w:color="auto" w:fill="auto"/>
          </w:tcPr>
          <w:p w:rsidR="004C1EBA" w:rsidRPr="0080411A" w:rsidP="004C1EBA">
            <w:pPr>
              <w:pStyle w:val="csbody00"/>
              <w:rPr>
                <w:bCs/>
                <w:lang w:val="de-DE" w:eastAsia="de-CH"/>
              </w:rPr>
            </w:pPr>
            <w:r w:rsidRPr="00BE323A">
              <w:rPr>
                <w:bCs/>
                <w:lang w:val="de-DE" w:eastAsia="de-CH"/>
              </w:rPr>
              <w:t>Vereinigung Zürcher Kunstfreunde, Vorstandsmitglied</w:t>
            </w:r>
            <w:r w:rsidRPr="0080411A">
              <w:rPr>
                <w:lang w:val="de-DE" w:eastAsia="de-CH"/>
              </w:rPr>
              <w: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r w:rsidRPr="0080411A">
              <w:rPr>
                <w:lang w:eastAsia="de-CH"/>
              </w:rPr>
              <w:t>Joachim Oechslin</w:t>
            </w:r>
          </w:p>
        </w:tc>
        <w:tc>
          <w:tcPr>
            <w:tcW w:w="1257" w:type="pct"/>
            <w:gridSpan w:val="2"/>
            <w:shd w:val="clear" w:color="auto" w:fill="auto"/>
          </w:tcPr>
          <w:p w:rsidR="004C1EBA" w:rsidRPr="0080411A" w:rsidP="004C1EBA">
            <w:pPr>
              <w:pStyle w:val="csbody00"/>
              <w:jc w:val="left"/>
              <w:rPr>
                <w:lang w:val="de-DE" w:eastAsia="de-CH"/>
              </w:rPr>
            </w:pPr>
            <w:r w:rsidRPr="0080411A">
              <w:rPr>
                <w:lang w:val="de-CH" w:eastAsia="de-CH"/>
              </w:rPr>
              <w:t>Credit Suisse 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0411A" w:rsidP="004C1EBA">
            <w:pPr>
              <w:pStyle w:val="csbody00"/>
              <w:rPr>
                <w:lang w:eastAsia="de-CH"/>
              </w:rPr>
            </w:pPr>
            <w:r w:rsidRPr="0080411A">
              <w:rPr>
                <w:bCs/>
                <w:lang w:val="en-US" w:eastAsia="de-CH"/>
              </w:rPr>
              <w:t xml:space="preserve">2014–present </w:t>
            </w:r>
          </w:p>
        </w:tc>
        <w:tc>
          <w:tcPr>
            <w:tcW w:w="1242" w:type="pct"/>
            <w:gridSpan w:val="3"/>
            <w:shd w:val="clear" w:color="auto" w:fill="auto"/>
          </w:tcPr>
          <w:p w:rsidR="004C1EBA" w:rsidRPr="0080411A" w:rsidP="004C1EBA">
            <w:pPr>
              <w:pStyle w:val="csbody00"/>
              <w:rPr>
                <w:b/>
                <w:bCs/>
                <w:lang w:val="en-US" w:eastAsia="de-CH"/>
              </w:rPr>
            </w:pPr>
            <w:r w:rsidRPr="0080411A">
              <w:rPr>
                <w:b/>
                <w:bCs/>
                <w:lang w:val="en-US" w:eastAsia="de-CH"/>
              </w:rPr>
              <w:t>Werdegang</w:t>
            </w:r>
          </w:p>
          <w:p w:rsidR="004C1EBA" w:rsidRPr="0080411A" w:rsidP="004C1EBA">
            <w:pPr>
              <w:pStyle w:val="csbody00"/>
              <w:rPr>
                <w:lang w:val="de-DE" w:eastAsia="de-CH"/>
              </w:rPr>
            </w:pPr>
            <w:r w:rsidRPr="0080411A">
              <w:rPr>
                <w:bCs/>
                <w:lang w:val="en-US" w:eastAsia="de-CH"/>
              </w:rPr>
              <w:t xml:space="preserve">2014 bis heute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
                <w:bCs/>
                <w:lang w:val="en-US" w:eastAsia="de-CH"/>
              </w:rPr>
            </w:pPr>
            <w:r w:rsidRPr="0080411A">
              <w:rPr>
                <w:bCs/>
                <w:lang w:val="en-US" w:eastAsia="de-CH"/>
              </w:rPr>
              <w:t>Credit Suisse</w:t>
            </w:r>
          </w:p>
        </w:tc>
        <w:tc>
          <w:tcPr>
            <w:tcW w:w="1242" w:type="pct"/>
            <w:gridSpan w:val="3"/>
            <w:shd w:val="clear" w:color="auto" w:fill="auto"/>
          </w:tcPr>
          <w:p w:rsidR="004C1EBA" w:rsidRPr="008C3BE3" w:rsidP="004C1EBA">
            <w:pPr>
              <w:pStyle w:val="csbody00"/>
              <w:ind w:left="720"/>
              <w:rPr>
                <w:b/>
                <w:bCs/>
                <w:lang w:val="de-DE" w:eastAsia="de-CH"/>
              </w:rPr>
            </w:pPr>
            <w:r w:rsidRPr="0080411A">
              <w:rPr>
                <w:bCs/>
                <w:lang w:val="en-US"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P="004C1EBA">
            <w:pPr>
              <w:pStyle w:val="csbody00"/>
              <w:ind w:left="720"/>
              <w:rPr>
                <w:bCs/>
                <w:lang w:val="en-US" w:eastAsia="de-CH"/>
              </w:rPr>
            </w:pPr>
            <w:r w:rsidRPr="0080411A">
              <w:rPr>
                <w:bCs/>
                <w:lang w:val="en-US" w:eastAsia="de-CH"/>
              </w:rPr>
              <w:t>Chief Risk Officer (2014–present)</w:t>
            </w:r>
          </w:p>
        </w:tc>
        <w:tc>
          <w:tcPr>
            <w:tcW w:w="1242" w:type="pct"/>
            <w:gridSpan w:val="3"/>
            <w:shd w:val="clear" w:color="auto" w:fill="auto"/>
          </w:tcPr>
          <w:p w:rsidR="004C1EBA" w:rsidRPr="00F36E74" w:rsidP="004C1EBA">
            <w:pPr>
              <w:pStyle w:val="csbody00"/>
              <w:ind w:left="720"/>
              <w:rPr>
                <w:bCs/>
                <w:lang w:eastAsia="de-CH"/>
              </w:rPr>
            </w:pPr>
            <w:r w:rsidRPr="0080411A">
              <w:rPr>
                <w:bCs/>
                <w:lang w:val="en-US" w:eastAsia="de-CH"/>
              </w:rPr>
              <w:t>Chief Risk Officer (2014 bis heute)</w:t>
            </w:r>
          </w:p>
        </w:tc>
      </w:tr>
      <w:tr w:rsidTr="007A2F35">
        <w:tblPrEx>
          <w:tblW w:w="5002" w:type="pct"/>
          <w:tblBorders>
            <w:insideV w:val="single" w:sz="4" w:space="0" w:color="auto"/>
          </w:tblBorders>
          <w:tblLayout w:type="fixed"/>
          <w:tblLook w:val="00A0"/>
        </w:tblPrEx>
        <w:tc>
          <w:tcPr>
            <w:tcW w:w="1242" w:type="pct"/>
            <w:gridSpan w:val="3"/>
            <w:shd w:val="clear" w:color="auto" w:fill="auto"/>
          </w:tcPr>
          <w:p w:rsidR="007A2F35" w:rsidRPr="00BD6E0D" w:rsidP="007A2F35">
            <w:pPr>
              <w:pStyle w:val="csbody00"/>
              <w:rPr>
                <w:lang w:eastAsia="de-CH"/>
              </w:rPr>
            </w:pPr>
          </w:p>
        </w:tc>
        <w:tc>
          <w:tcPr>
            <w:tcW w:w="1257" w:type="pct"/>
            <w:gridSpan w:val="2"/>
            <w:shd w:val="clear" w:color="auto" w:fill="auto"/>
          </w:tcPr>
          <w:p w:rsidR="007A2F35" w:rsidRPr="00BD6E0D" w:rsidP="007A2F35">
            <w:pPr>
              <w:pStyle w:val="csbody00"/>
              <w:rPr>
                <w:lang w:eastAsia="de-CH"/>
              </w:rPr>
            </w:pPr>
          </w:p>
        </w:tc>
        <w:tc>
          <w:tcPr>
            <w:tcW w:w="1260" w:type="pct"/>
            <w:gridSpan w:val="5"/>
            <w:shd w:val="clear" w:color="auto" w:fill="auto"/>
          </w:tcPr>
          <w:p w:rsidR="007A2F35" w:rsidRPr="00D41A6A" w:rsidP="007A2F35">
            <w:pPr>
              <w:pStyle w:val="csbody00"/>
              <w:ind w:left="728" w:firstLine="13"/>
              <w:rPr>
                <w:bCs/>
                <w:lang w:val="en-US" w:eastAsia="de-CH"/>
              </w:rPr>
            </w:pPr>
            <w:r>
              <w:rPr>
                <w:bCs/>
                <w:lang w:val="en-US" w:eastAsia="de-CH"/>
              </w:rPr>
              <w:t>Member of the Executive Board since 2014</w:t>
            </w:r>
          </w:p>
        </w:tc>
        <w:tc>
          <w:tcPr>
            <w:tcW w:w="1242" w:type="pct"/>
            <w:gridSpan w:val="3"/>
            <w:shd w:val="clear" w:color="auto" w:fill="auto"/>
          </w:tcPr>
          <w:p w:rsidR="007A2F35" w:rsidRPr="000920FD" w:rsidP="007A2F35">
            <w:pPr>
              <w:pStyle w:val="csbody00"/>
              <w:ind w:left="728" w:firstLine="13"/>
              <w:rPr>
                <w:bCs/>
                <w:lang w:val="de-DE" w:eastAsia="de-CH"/>
              </w:rPr>
            </w:pPr>
            <w:r w:rsidRPr="000920FD">
              <w:rPr>
                <w:bCs/>
                <w:lang w:val="de-DE" w:eastAsia="de-CH"/>
              </w:rPr>
              <w:t>Mitglied der Geschäftsleitung seit 201</w:t>
            </w:r>
            <w:r>
              <w:rPr>
                <w:bCs/>
                <w:lang w:val="de-DE" w:eastAsia="de-CH"/>
              </w:rPr>
              <w:t>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F36E74" w:rsidP="004C1EBA">
            <w:pPr>
              <w:pStyle w:val="csbody00"/>
              <w:jc w:val="left"/>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 xml:space="preserve">2007–2013 </w:t>
            </w:r>
          </w:p>
        </w:tc>
        <w:tc>
          <w:tcPr>
            <w:tcW w:w="1242" w:type="pct"/>
            <w:gridSpan w:val="3"/>
            <w:shd w:val="clear" w:color="auto" w:fill="auto"/>
          </w:tcPr>
          <w:p w:rsidR="004C1EBA" w:rsidRPr="008C3BE3">
            <w:pPr>
              <w:pStyle w:val="csbody00"/>
              <w:rPr>
                <w:bCs/>
                <w:lang w:val="de-DE" w:eastAsia="de-CH"/>
              </w:rPr>
            </w:pPr>
            <w:r w:rsidRPr="0080411A">
              <w:rPr>
                <w:bCs/>
                <w:lang w:val="en-US" w:eastAsia="de-CH"/>
              </w:rPr>
              <w:t>2007</w:t>
            </w:r>
            <w:r>
              <w:rPr>
                <w:bCs/>
                <w:lang w:val="en-US" w:eastAsia="de-CH"/>
              </w:rPr>
              <w:t>–</w:t>
            </w:r>
            <w:r w:rsidRPr="0080411A">
              <w:rPr>
                <w:bCs/>
                <w:lang w:val="en-US" w:eastAsia="de-CH"/>
              </w:rPr>
              <w:t xml:space="preserve">2013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Munich Re Group, Chief Risk Officer</w:t>
            </w:r>
          </w:p>
        </w:tc>
        <w:tc>
          <w:tcPr>
            <w:tcW w:w="1242" w:type="pct"/>
            <w:gridSpan w:val="3"/>
            <w:shd w:val="clear" w:color="auto" w:fill="auto"/>
          </w:tcPr>
          <w:p w:rsidR="004C1EBA" w:rsidRPr="0080411A" w:rsidP="004C1EBA">
            <w:pPr>
              <w:pStyle w:val="csbody00"/>
              <w:ind w:left="720"/>
              <w:rPr>
                <w:bCs/>
                <w:lang w:val="en-US" w:eastAsia="de-CH"/>
              </w:rPr>
            </w:pPr>
            <w:r w:rsidRPr="0080411A">
              <w:rPr>
                <w:bCs/>
                <w:lang w:val="en-US" w:eastAsia="de-CH"/>
              </w:rPr>
              <w:t>Munich Re Group, Chief Risk Officer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F36E74" w:rsidP="004C1EBA">
            <w:pPr>
              <w:pStyle w:val="csbody00"/>
              <w:jc w:val="left"/>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2007</w:t>
            </w:r>
          </w:p>
        </w:tc>
        <w:tc>
          <w:tcPr>
            <w:tcW w:w="1242" w:type="pct"/>
            <w:gridSpan w:val="3"/>
            <w:shd w:val="clear" w:color="auto" w:fill="auto"/>
          </w:tcPr>
          <w:p w:rsidR="004C1EBA" w:rsidRPr="0080411A" w:rsidP="004C1EBA">
            <w:pPr>
              <w:pStyle w:val="csbody00"/>
              <w:rPr>
                <w:bCs/>
                <w:lang w:val="en-US" w:eastAsia="de-CH"/>
              </w:rPr>
            </w:pPr>
            <w:r w:rsidRPr="0080411A">
              <w:rPr>
                <w:bCs/>
                <w:lang w:val="en-US" w:eastAsia="de-CH"/>
              </w:rPr>
              <w:t>2007</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AXA Group, deputy Chief Risk Officer</w:t>
            </w:r>
          </w:p>
        </w:tc>
        <w:tc>
          <w:tcPr>
            <w:tcW w:w="1242" w:type="pct"/>
            <w:gridSpan w:val="3"/>
            <w:shd w:val="clear" w:color="auto" w:fill="auto"/>
          </w:tcPr>
          <w:p w:rsidR="004C1EBA" w:rsidRPr="0080411A" w:rsidP="004C1EBA">
            <w:pPr>
              <w:pStyle w:val="csbody00"/>
              <w:ind w:left="720"/>
              <w:rPr>
                <w:bCs/>
                <w:lang w:val="en-US" w:eastAsia="de-CH"/>
              </w:rPr>
            </w:pPr>
            <w:r w:rsidRPr="0080411A">
              <w:rPr>
                <w:bCs/>
                <w:lang w:val="en-US" w:eastAsia="de-CH"/>
              </w:rPr>
              <w:t>AXA Group, Deputy Chief Risk Officer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F36E74" w:rsidP="004C1EBA">
            <w:pPr>
              <w:pStyle w:val="csbody00"/>
              <w:jc w:val="left"/>
              <w:rPr>
                <w:lang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 xml:space="preserve">2001–2006 </w:t>
            </w:r>
          </w:p>
        </w:tc>
        <w:tc>
          <w:tcPr>
            <w:tcW w:w="1242" w:type="pct"/>
            <w:gridSpan w:val="3"/>
            <w:shd w:val="clear" w:color="auto" w:fill="auto"/>
          </w:tcPr>
          <w:p w:rsidR="004C1EBA" w:rsidRPr="0080411A">
            <w:pPr>
              <w:pStyle w:val="csbody00"/>
              <w:rPr>
                <w:bCs/>
                <w:lang w:val="en-US" w:eastAsia="de-CH"/>
              </w:rPr>
            </w:pPr>
            <w:r w:rsidRPr="0080411A">
              <w:rPr>
                <w:bCs/>
                <w:lang w:val="de-DE" w:eastAsia="de-CH"/>
              </w:rPr>
              <w:t>2001</w:t>
            </w:r>
            <w:r>
              <w:rPr>
                <w:bCs/>
                <w:lang w:val="de-DE" w:eastAsia="de-CH"/>
              </w:rPr>
              <w:t>–</w:t>
            </w:r>
            <w:r w:rsidRPr="0080411A">
              <w:rPr>
                <w:bCs/>
                <w:lang w:val="de-DE" w:eastAsia="de-CH"/>
              </w:rPr>
              <w:t xml:space="preserve">2006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Winterthur Swiss Insurance Company</w:t>
            </w:r>
          </w:p>
        </w:tc>
        <w:tc>
          <w:tcPr>
            <w:tcW w:w="1242" w:type="pct"/>
            <w:gridSpan w:val="3"/>
            <w:shd w:val="clear" w:color="auto" w:fill="auto"/>
          </w:tcPr>
          <w:p w:rsidR="004C1EBA" w:rsidRPr="0080411A" w:rsidP="004C1EBA">
            <w:pPr>
              <w:pStyle w:val="csbody00"/>
              <w:ind w:left="720"/>
              <w:rPr>
                <w:bCs/>
                <w:lang w:val="de-DE" w:eastAsia="de-CH"/>
              </w:rPr>
            </w:pPr>
            <w:r w:rsidRPr="0080411A">
              <w:rPr>
                <w:bCs/>
                <w:lang w:val="de-DE" w:eastAsia="de-CH"/>
              </w:rPr>
              <w:t>Winterthur Schweizerische Versicherungsgesellschaft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0411A" w:rsidP="004C1EBA">
            <w:pPr>
              <w:pStyle w:val="csbody00"/>
              <w:rPr>
                <w:lang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jc w:val="left"/>
              <w:rPr>
                <w:bCs/>
                <w:lang w:val="en-US" w:eastAsia="de-CH"/>
              </w:rPr>
            </w:pPr>
            <w:r w:rsidRPr="0080411A">
              <w:rPr>
                <w:bCs/>
                <w:lang w:val="en-US" w:eastAsia="de-CH"/>
              </w:rPr>
              <w:t xml:space="preserve">Member of the executive </w:t>
            </w:r>
            <w:r w:rsidRPr="008C3BE3">
              <w:rPr>
                <w:bCs/>
                <w:lang w:val="en-US" w:eastAsia="de-CH"/>
              </w:rPr>
              <w:t>board (2006)</w:t>
            </w:r>
          </w:p>
        </w:tc>
        <w:tc>
          <w:tcPr>
            <w:tcW w:w="1242" w:type="pct"/>
            <w:gridSpan w:val="3"/>
            <w:shd w:val="clear" w:color="auto" w:fill="auto"/>
          </w:tcPr>
          <w:p w:rsidR="004C1EBA" w:rsidRPr="0080411A" w:rsidP="004C1EBA">
            <w:pPr>
              <w:pStyle w:val="csbody00"/>
              <w:ind w:left="720"/>
              <w:jc w:val="left"/>
              <w:rPr>
                <w:bCs/>
                <w:lang w:val="en-US" w:eastAsia="de-CH"/>
              </w:rPr>
            </w:pPr>
            <w:r w:rsidRPr="0080411A">
              <w:rPr>
                <w:bCs/>
                <w:lang w:val="de-DE" w:eastAsia="de-CH"/>
              </w:rPr>
              <w:t xml:space="preserve">Mitglied der </w:t>
            </w:r>
            <w:r w:rsidRPr="008C3BE3">
              <w:rPr>
                <w:bCs/>
                <w:lang w:val="de-DE" w:eastAsia="de-CH"/>
              </w:rPr>
              <w:t>Geschäftsleitung (2006)</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Chief Risk Officer (2003–2006)</w:t>
            </w:r>
          </w:p>
        </w:tc>
        <w:tc>
          <w:tcPr>
            <w:tcW w:w="1242" w:type="pct"/>
            <w:gridSpan w:val="3"/>
            <w:shd w:val="clear" w:color="auto" w:fill="auto"/>
          </w:tcPr>
          <w:p w:rsidR="004C1EBA" w:rsidRPr="008C3BE3">
            <w:pPr>
              <w:pStyle w:val="csbody00"/>
              <w:ind w:left="720"/>
              <w:rPr>
                <w:bCs/>
                <w:lang w:val="de-DE" w:eastAsia="de-CH"/>
              </w:rPr>
            </w:pPr>
            <w:r w:rsidRPr="0080411A">
              <w:rPr>
                <w:bCs/>
                <w:lang w:val="en-US" w:eastAsia="de-CH"/>
              </w:rPr>
              <w:t>Chief Risk Officer (2003</w:t>
            </w:r>
            <w:r>
              <w:rPr>
                <w:bCs/>
                <w:lang w:val="en-US" w:eastAsia="de-CH"/>
              </w:rPr>
              <w:t>–</w:t>
            </w:r>
            <w:r w:rsidRPr="0080411A">
              <w:rPr>
                <w:bCs/>
                <w:lang w:val="en-US" w:eastAsia="de-CH"/>
              </w:rPr>
              <w:t>2006)</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rPr>
                <w:bCs/>
                <w:lang w:val="en-US" w:eastAsia="de-CH"/>
              </w:rPr>
            </w:pPr>
            <w:r w:rsidRPr="0080411A">
              <w:rPr>
                <w:bCs/>
                <w:lang w:val="en-US" w:eastAsia="de-CH"/>
              </w:rPr>
              <w:t>Head of risk management (2001–2003)</w:t>
            </w:r>
          </w:p>
        </w:tc>
        <w:tc>
          <w:tcPr>
            <w:tcW w:w="1242" w:type="pct"/>
            <w:gridSpan w:val="3"/>
            <w:shd w:val="clear" w:color="auto" w:fill="auto"/>
          </w:tcPr>
          <w:p w:rsidR="004C1EBA" w:rsidRPr="008C3BE3">
            <w:pPr>
              <w:pStyle w:val="csbody00"/>
              <w:ind w:left="720"/>
              <w:rPr>
                <w:bCs/>
                <w:lang w:val="de-DE" w:eastAsia="de-CH"/>
              </w:rPr>
            </w:pPr>
            <w:r w:rsidRPr="0080411A">
              <w:rPr>
                <w:bCs/>
                <w:lang w:val="en-US" w:eastAsia="de-CH"/>
              </w:rPr>
              <w:t>Leiter Risk Management (2001</w:t>
            </w:r>
            <w:r>
              <w:rPr>
                <w:bCs/>
                <w:lang w:val="en-US" w:eastAsia="de-CH"/>
              </w:rPr>
              <w:t>–</w:t>
            </w:r>
            <w:r w:rsidRPr="0080411A">
              <w:rPr>
                <w:bCs/>
                <w:lang w:val="en-US" w:eastAsia="de-CH"/>
              </w:rPr>
              <w:t>2003)</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 xml:space="preserve">1998–2001 </w:t>
            </w:r>
          </w:p>
        </w:tc>
        <w:tc>
          <w:tcPr>
            <w:tcW w:w="1242" w:type="pct"/>
            <w:gridSpan w:val="3"/>
            <w:shd w:val="clear" w:color="auto" w:fill="auto"/>
          </w:tcPr>
          <w:p w:rsidR="004C1EBA" w:rsidRPr="008C3BE3">
            <w:pPr>
              <w:pStyle w:val="csbody00"/>
              <w:rPr>
                <w:bCs/>
                <w:lang w:val="de-DE" w:eastAsia="de-CH"/>
              </w:rPr>
            </w:pPr>
            <w:r w:rsidRPr="008C3BE3">
              <w:rPr>
                <w:bCs/>
                <w:lang w:val="de-DE" w:eastAsia="de-CH"/>
              </w:rPr>
              <w:t>1998</w:t>
            </w:r>
            <w:r>
              <w:rPr>
                <w:bCs/>
                <w:lang w:val="de-DE" w:eastAsia="de-CH"/>
              </w:rPr>
              <w:t>–</w:t>
            </w:r>
            <w:r w:rsidRPr="008C3BE3">
              <w:rPr>
                <w:bCs/>
                <w:lang w:val="de-DE" w:eastAsia="de-CH"/>
              </w:rPr>
              <w:t xml:space="preserve">2001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20"/>
              <w:jc w:val="left"/>
              <w:rPr>
                <w:bCs/>
                <w:lang w:val="en-US" w:eastAsia="de-CH"/>
              </w:rPr>
            </w:pPr>
            <w:r w:rsidRPr="0080411A">
              <w:rPr>
                <w:bCs/>
                <w:lang w:val="en-US" w:eastAsia="de-CH"/>
              </w:rPr>
              <w:t>McKinsey &amp; Company, consultant</w:t>
            </w:r>
          </w:p>
        </w:tc>
        <w:tc>
          <w:tcPr>
            <w:tcW w:w="1242" w:type="pct"/>
            <w:gridSpan w:val="3"/>
            <w:shd w:val="clear" w:color="auto" w:fill="auto"/>
          </w:tcPr>
          <w:p w:rsidR="004C1EBA" w:rsidRPr="008C3BE3" w:rsidP="004C1EBA">
            <w:pPr>
              <w:pStyle w:val="csbody00"/>
              <w:ind w:left="720"/>
              <w:jc w:val="left"/>
              <w:rPr>
                <w:bCs/>
                <w:lang w:val="de-DE" w:eastAsia="de-CH"/>
              </w:rPr>
            </w:pPr>
            <w:r w:rsidRPr="008C3BE3">
              <w:rPr>
                <w:bCs/>
                <w:lang w:val="de-DE" w:eastAsia="de-CH"/>
              </w:rPr>
              <w:t>McKinsey &amp; Company, Berater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Education</w:t>
            </w:r>
          </w:p>
        </w:tc>
        <w:tc>
          <w:tcPr>
            <w:tcW w:w="1242" w:type="pct"/>
            <w:gridSpan w:val="3"/>
            <w:shd w:val="clear" w:color="auto" w:fill="auto"/>
          </w:tcPr>
          <w:p w:rsidR="004C1EBA" w:rsidRPr="008C3BE3" w:rsidP="004C1EBA">
            <w:pPr>
              <w:pStyle w:val="csbody00"/>
              <w:rPr>
                <w:bCs/>
                <w:lang w:val="de-DE" w:eastAsia="de-CH"/>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
                <w:bCs/>
                <w:lang w:val="en-US" w:eastAsia="de-CH"/>
              </w:rPr>
            </w:pPr>
            <w:r w:rsidRPr="0080411A">
              <w:rPr>
                <w:bCs/>
                <w:lang w:val="en-US" w:eastAsia="de-CH"/>
              </w:rPr>
              <w:t>1998 Licentiate/Master of Science in Mathematics, Swiss Federal Institute of Technology (ETH), Zurich</w:t>
            </w:r>
          </w:p>
        </w:tc>
        <w:tc>
          <w:tcPr>
            <w:tcW w:w="1242" w:type="pct"/>
            <w:gridSpan w:val="3"/>
            <w:shd w:val="clear" w:color="auto" w:fill="auto"/>
          </w:tcPr>
          <w:p w:rsidR="004C1EBA" w:rsidRPr="0080411A" w:rsidP="004C1EBA">
            <w:pPr>
              <w:pStyle w:val="csbody00"/>
              <w:rPr>
                <w:b/>
                <w:bCs/>
                <w:lang w:val="de-DE" w:eastAsia="de-CH"/>
              </w:rPr>
            </w:pPr>
            <w:r w:rsidRPr="0080411A">
              <w:rPr>
                <w:bCs/>
                <w:lang w:val="de-DE" w:eastAsia="de-CH"/>
              </w:rPr>
              <w:t>1998 Lizenziat / Master of Science in Mathematik, Eidgenössische Technische Hochschule (ETH), Zürich</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Cs/>
                <w:lang w:val="en-US" w:eastAsia="de-CH"/>
              </w:rPr>
              <w:t>1994 Engineering degree, Higher Technical Institute (HTL),</w:t>
            </w:r>
            <w:r>
              <w:rPr>
                <w:bCs/>
                <w:lang w:val="en-US" w:eastAsia="de-CH"/>
              </w:rPr>
              <w:t xml:space="preserve"> </w:t>
            </w:r>
            <w:r w:rsidRPr="0080411A">
              <w:rPr>
                <w:bCs/>
                <w:lang w:val="en-US" w:eastAsia="de-CH"/>
              </w:rPr>
              <w:t>Winterthur</w:t>
            </w:r>
          </w:p>
        </w:tc>
        <w:tc>
          <w:tcPr>
            <w:tcW w:w="1242" w:type="pct"/>
            <w:gridSpan w:val="3"/>
            <w:shd w:val="clear" w:color="auto" w:fill="auto"/>
          </w:tcPr>
          <w:p w:rsidR="004C1EBA" w:rsidRPr="0080411A" w:rsidP="004C1EBA">
            <w:pPr>
              <w:pStyle w:val="csbody00"/>
              <w:rPr>
                <w:bCs/>
                <w:lang w:val="de-DE" w:eastAsia="de-CH"/>
              </w:rPr>
            </w:pPr>
            <w:r w:rsidRPr="0080411A">
              <w:rPr>
                <w:bCs/>
                <w:lang w:val="de-DE" w:eastAsia="de-CH"/>
              </w:rPr>
              <w:t>1994 Diplom in Ingenieurwesen, Höhere Technische Lehranstalt Winterthur</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Cs/>
                <w:lang w:val="en-US" w:eastAsia="de-CH"/>
              </w:rPr>
            </w:pPr>
            <w:r w:rsidRPr="0080411A">
              <w:rPr>
                <w:b/>
                <w:bCs/>
                <w:lang w:val="en-US" w:eastAsia="de-CH"/>
              </w:rPr>
              <w:t>Other activities and functions</w:t>
            </w:r>
          </w:p>
        </w:tc>
        <w:tc>
          <w:tcPr>
            <w:tcW w:w="1242" w:type="pct"/>
            <w:gridSpan w:val="3"/>
            <w:shd w:val="clear" w:color="auto" w:fill="auto"/>
          </w:tcPr>
          <w:p w:rsidR="004C1EBA" w:rsidRPr="0080411A" w:rsidP="004C1EBA">
            <w:pPr>
              <w:pStyle w:val="csbody00"/>
              <w:rPr>
                <w:bCs/>
                <w:lang w:val="de-DE" w:eastAsia="de-CH"/>
              </w:rPr>
            </w:pPr>
            <w:r w:rsidRPr="0080411A">
              <w:rPr>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b/>
                <w:bCs/>
                <w:lang w:val="en-US" w:eastAsia="de-CH"/>
              </w:rPr>
            </w:pPr>
            <w:r w:rsidRPr="0080411A">
              <w:rPr>
                <w:color w:val="000000"/>
                <w:lang w:eastAsia="en-GB"/>
              </w:rPr>
              <w:t>Member of the International Financial Risk Institute</w:t>
            </w:r>
          </w:p>
        </w:tc>
        <w:tc>
          <w:tcPr>
            <w:tcW w:w="1242" w:type="pct"/>
            <w:gridSpan w:val="3"/>
            <w:shd w:val="clear" w:color="auto" w:fill="auto"/>
          </w:tcPr>
          <w:p w:rsidR="004C1EBA" w:rsidRPr="0080411A" w:rsidP="004C1EBA">
            <w:pPr>
              <w:pStyle w:val="csbody00"/>
              <w:rPr>
                <w:b/>
                <w:bCs/>
                <w:lang w:val="de-DE" w:eastAsia="de-CH"/>
              </w:rPr>
            </w:pPr>
            <w:r w:rsidRPr="0080411A">
              <w:rPr>
                <w:color w:val="000000"/>
                <w:lang w:val="de-DE" w:eastAsia="en-GB"/>
              </w:rPr>
              <w:t>Mitglied des International Financial Risk Institute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r w:rsidRPr="00A66E42">
              <w:rPr>
                <w:lang w:val="de-DE" w:eastAsia="de-CH"/>
              </w:rPr>
              <w:t>Pierre-Olivier Bouée</w:t>
            </w:r>
          </w:p>
        </w:tc>
        <w:tc>
          <w:tcPr>
            <w:tcW w:w="1257" w:type="pct"/>
            <w:gridSpan w:val="2"/>
            <w:shd w:val="clear" w:color="auto" w:fill="auto"/>
          </w:tcPr>
          <w:p w:rsidR="004C1EBA" w:rsidRPr="0080411A" w:rsidP="004C1EBA">
            <w:pPr>
              <w:pStyle w:val="csbody00"/>
              <w:jc w:val="left"/>
              <w:rPr>
                <w:lang w:val="de-CH" w:eastAsia="de-CH"/>
              </w:rPr>
            </w:pPr>
            <w:r w:rsidRPr="0080411A">
              <w:rPr>
                <w:lang w:val="de-CH" w:eastAsia="de-CH"/>
              </w:rPr>
              <w:t>Credit Suisse 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0411A">
            <w:pPr>
              <w:pStyle w:val="csbody00"/>
              <w:rPr>
                <w:color w:val="000000"/>
                <w:lang w:eastAsia="en-GB"/>
              </w:rPr>
            </w:pPr>
            <w:r w:rsidRPr="0080411A">
              <w:rPr>
                <w:bCs/>
                <w:lang w:val="en-US" w:eastAsia="de-CH"/>
              </w:rPr>
              <w:t>201</w:t>
            </w:r>
            <w:r>
              <w:rPr>
                <w:bCs/>
                <w:lang w:val="en-US" w:eastAsia="de-CH"/>
              </w:rPr>
              <w:t>5</w:t>
            </w:r>
            <w:r w:rsidRPr="0080411A">
              <w:rPr>
                <w:bCs/>
                <w:lang w:val="en-US" w:eastAsia="de-CH"/>
              </w:rPr>
              <w:t>–present</w:t>
            </w:r>
          </w:p>
        </w:tc>
        <w:tc>
          <w:tcPr>
            <w:tcW w:w="1242" w:type="pct"/>
            <w:gridSpan w:val="3"/>
            <w:shd w:val="clear" w:color="auto" w:fill="auto"/>
          </w:tcPr>
          <w:p w:rsidR="004C1EBA" w:rsidRPr="0080411A" w:rsidP="004C1EBA">
            <w:pPr>
              <w:pStyle w:val="csbody00"/>
              <w:rPr>
                <w:b/>
                <w:bCs/>
                <w:lang w:val="en-US" w:eastAsia="de-CH"/>
              </w:rPr>
            </w:pPr>
            <w:r w:rsidRPr="0080411A">
              <w:rPr>
                <w:b/>
                <w:bCs/>
                <w:lang w:val="en-US" w:eastAsia="de-CH"/>
              </w:rPr>
              <w:t>Werdegang</w:t>
            </w:r>
          </w:p>
          <w:p w:rsidR="004C1EBA" w:rsidRPr="0080411A">
            <w:pPr>
              <w:pStyle w:val="csbody00"/>
              <w:rPr>
                <w:color w:val="000000"/>
                <w:lang w:val="de-DE" w:eastAsia="en-GB"/>
              </w:rPr>
            </w:pPr>
            <w:r w:rsidRPr="0080411A">
              <w:rPr>
                <w:bCs/>
                <w:lang w:val="en-US" w:eastAsia="de-CH"/>
              </w:rPr>
              <w:t>201</w:t>
            </w:r>
            <w:r>
              <w:rPr>
                <w:bCs/>
                <w:lang w:val="en-US" w:eastAsia="de-CH"/>
              </w:rPr>
              <w:t>5</w:t>
            </w:r>
            <w:r w:rsidRPr="0080411A">
              <w:rPr>
                <w:bCs/>
                <w:lang w:val="en-US" w:eastAsia="de-CH"/>
              </w:rPr>
              <w:t xml:space="preserve"> bis heute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55"/>
              <w:rPr>
                <w:color w:val="000000"/>
                <w:lang w:eastAsia="en-GB"/>
              </w:rPr>
            </w:pPr>
            <w:r w:rsidRPr="0080411A">
              <w:rPr>
                <w:bCs/>
                <w:lang w:val="en-US" w:eastAsia="de-CH"/>
              </w:rPr>
              <w:t>Credit Suisse</w:t>
            </w:r>
          </w:p>
        </w:tc>
        <w:tc>
          <w:tcPr>
            <w:tcW w:w="1242" w:type="pct"/>
            <w:gridSpan w:val="3"/>
            <w:shd w:val="clear" w:color="auto" w:fill="auto"/>
          </w:tcPr>
          <w:p w:rsidR="004C1EBA" w:rsidRPr="0080411A" w:rsidP="004C1EBA">
            <w:pPr>
              <w:pStyle w:val="csbody00"/>
              <w:ind w:firstLine="755"/>
              <w:rPr>
                <w:color w:val="000000"/>
                <w:lang w:val="de-DE" w:eastAsia="en-GB"/>
              </w:rPr>
            </w:pPr>
            <w:r w:rsidRPr="0080411A">
              <w:rPr>
                <w:bCs/>
                <w:lang w:val="en-US"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pPr>
              <w:pStyle w:val="csbody00"/>
              <w:ind w:left="755"/>
              <w:rPr>
                <w:color w:val="000000"/>
                <w:lang w:eastAsia="en-GB"/>
              </w:rPr>
            </w:pPr>
            <w:r w:rsidRPr="005F0731">
              <w:t>Chief Operating Officer (</w:t>
            </w:r>
            <w:r w:rsidR="00FD3029">
              <w:t>s</w:t>
            </w:r>
            <w:r w:rsidR="007A2F35">
              <w:t>ince 22</w:t>
            </w:r>
            <w:r w:rsidRPr="005F0731">
              <w:t xml:space="preserve"> Octobe</w:t>
            </w:r>
            <w:r w:rsidR="00FD3029">
              <w:t>r</w:t>
            </w:r>
            <w:r w:rsidRPr="005F0731">
              <w:t xml:space="preserve"> 2015)</w:t>
            </w:r>
          </w:p>
        </w:tc>
        <w:tc>
          <w:tcPr>
            <w:tcW w:w="1242" w:type="pct"/>
            <w:gridSpan w:val="3"/>
            <w:shd w:val="clear" w:color="auto" w:fill="auto"/>
          </w:tcPr>
          <w:p w:rsidR="004C1EBA" w:rsidRPr="0080411A" w:rsidP="004C1EBA">
            <w:pPr>
              <w:pStyle w:val="csbody00"/>
              <w:ind w:left="750" w:firstLine="5"/>
              <w:rPr>
                <w:color w:val="000000"/>
                <w:lang w:val="de-DE" w:eastAsia="en-GB"/>
              </w:rPr>
            </w:pPr>
            <w:r w:rsidRPr="005F0731">
              <w:t>Chief Operating Officer (</w:t>
            </w:r>
            <w:r>
              <w:t>seit dem 22. Oktober</w:t>
            </w:r>
            <w:r w:rsidRPr="005F0731">
              <w:t xml:space="preserve"> 2015)</w:t>
            </w:r>
          </w:p>
        </w:tc>
      </w:tr>
      <w:tr w:rsidTr="007A2F35">
        <w:tblPrEx>
          <w:tblW w:w="5002" w:type="pct"/>
          <w:tblBorders>
            <w:insideV w:val="single" w:sz="4" w:space="0" w:color="auto"/>
          </w:tblBorders>
          <w:tblLayout w:type="fixed"/>
          <w:tblLook w:val="00A0"/>
        </w:tblPrEx>
        <w:tc>
          <w:tcPr>
            <w:tcW w:w="1242" w:type="pct"/>
            <w:gridSpan w:val="3"/>
            <w:shd w:val="clear" w:color="auto" w:fill="auto"/>
          </w:tcPr>
          <w:p w:rsidR="007A2F35" w:rsidRPr="00FB4503" w:rsidP="007A2F35">
            <w:pPr>
              <w:pStyle w:val="csbody00"/>
              <w:rPr>
                <w:lang w:val="de-DE" w:eastAsia="de-CH"/>
              </w:rPr>
            </w:pPr>
          </w:p>
        </w:tc>
        <w:tc>
          <w:tcPr>
            <w:tcW w:w="1257" w:type="pct"/>
            <w:gridSpan w:val="2"/>
            <w:shd w:val="clear" w:color="auto" w:fill="auto"/>
          </w:tcPr>
          <w:p w:rsidR="007A2F35" w:rsidRPr="00FB4503" w:rsidP="007A2F35">
            <w:pPr>
              <w:pStyle w:val="csbody00"/>
              <w:rPr>
                <w:lang w:val="de-DE" w:eastAsia="de-CH"/>
              </w:rPr>
            </w:pPr>
          </w:p>
        </w:tc>
        <w:tc>
          <w:tcPr>
            <w:tcW w:w="1260" w:type="pct"/>
            <w:gridSpan w:val="5"/>
            <w:shd w:val="clear" w:color="auto" w:fill="auto"/>
          </w:tcPr>
          <w:p w:rsidR="007A2F35" w:rsidRPr="00D41A6A">
            <w:pPr>
              <w:pStyle w:val="csbody00"/>
              <w:ind w:left="728" w:firstLine="13"/>
              <w:rPr>
                <w:bCs/>
                <w:lang w:val="en-US" w:eastAsia="de-CH"/>
              </w:rPr>
            </w:pPr>
            <w:r>
              <w:rPr>
                <w:bCs/>
                <w:lang w:val="en-US" w:eastAsia="de-CH"/>
              </w:rPr>
              <w:t>Member of the Executive Board since 22 October 2015</w:t>
            </w:r>
          </w:p>
        </w:tc>
        <w:tc>
          <w:tcPr>
            <w:tcW w:w="1242" w:type="pct"/>
            <w:gridSpan w:val="3"/>
            <w:shd w:val="clear" w:color="auto" w:fill="auto"/>
          </w:tcPr>
          <w:p w:rsidR="007A2F35" w:rsidRPr="000920FD">
            <w:pPr>
              <w:pStyle w:val="csbody00"/>
              <w:ind w:left="728" w:firstLine="13"/>
              <w:rPr>
                <w:bCs/>
                <w:lang w:val="de-DE" w:eastAsia="de-CH"/>
              </w:rPr>
            </w:pPr>
            <w:r w:rsidRPr="000920FD">
              <w:rPr>
                <w:bCs/>
                <w:lang w:val="de-DE" w:eastAsia="de-CH"/>
              </w:rPr>
              <w:t>Mit</w:t>
            </w:r>
            <w:r w:rsidR="00FD3029">
              <w:rPr>
                <w:bCs/>
                <w:lang w:val="de-DE" w:eastAsia="de-CH"/>
              </w:rPr>
              <w:t>glied der Geschäftsleitung seit</w:t>
            </w:r>
            <w:r>
              <w:rPr>
                <w:bCs/>
                <w:lang w:val="de-DE" w:eastAsia="de-CH"/>
              </w:rPr>
              <w:t xml:space="preserve"> 22. Oktober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55"/>
              <w:rPr>
                <w:color w:val="000000"/>
                <w:lang w:eastAsia="en-GB"/>
              </w:rPr>
            </w:pPr>
            <w:r w:rsidRPr="00D543C5">
              <w:t>Chief of Staff (2015)</w:t>
            </w:r>
          </w:p>
        </w:tc>
        <w:tc>
          <w:tcPr>
            <w:tcW w:w="1242" w:type="pct"/>
            <w:gridSpan w:val="3"/>
            <w:shd w:val="clear" w:color="auto" w:fill="auto"/>
          </w:tcPr>
          <w:p w:rsidR="004C1EBA" w:rsidRPr="0080411A" w:rsidP="004C1EBA">
            <w:pPr>
              <w:pStyle w:val="csbody00"/>
              <w:ind w:left="750" w:firstLine="5"/>
              <w:rPr>
                <w:color w:val="000000"/>
                <w:lang w:val="de-DE" w:eastAsia="en-GB"/>
              </w:rPr>
            </w:pPr>
            <w:r w:rsidRPr="00D543C5">
              <w:t>Chief of Staff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color w:val="000000"/>
                <w:lang w:eastAsia="en-GB"/>
              </w:rPr>
            </w:pPr>
            <w:r>
              <w:rPr>
                <w:color w:val="000000"/>
                <w:lang w:eastAsia="en-GB"/>
              </w:rPr>
              <w:t>2008-2015</w:t>
            </w:r>
          </w:p>
        </w:tc>
        <w:tc>
          <w:tcPr>
            <w:tcW w:w="1242" w:type="pct"/>
            <w:gridSpan w:val="3"/>
            <w:shd w:val="clear" w:color="auto" w:fill="auto"/>
          </w:tcPr>
          <w:p w:rsidR="004C1EBA" w:rsidRPr="0080411A">
            <w:pPr>
              <w:pStyle w:val="csbody00"/>
              <w:rPr>
                <w:color w:val="000000"/>
                <w:lang w:val="de-DE" w:eastAsia="en-GB"/>
              </w:rPr>
            </w:pPr>
            <w:r>
              <w:rPr>
                <w:color w:val="000000"/>
                <w:lang w:val="de-DE" w:eastAsia="en-GB"/>
              </w:rPr>
              <w:t>2008–2015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55"/>
              <w:rPr>
                <w:color w:val="000000"/>
                <w:lang w:eastAsia="en-GB"/>
              </w:rPr>
            </w:pPr>
            <w:r>
              <w:rPr>
                <w:color w:val="000000"/>
                <w:lang w:eastAsia="en-GB"/>
              </w:rPr>
              <w:t>Prudential Plc</w:t>
            </w:r>
          </w:p>
        </w:tc>
        <w:tc>
          <w:tcPr>
            <w:tcW w:w="1242" w:type="pct"/>
            <w:gridSpan w:val="3"/>
            <w:shd w:val="clear" w:color="auto" w:fill="auto"/>
          </w:tcPr>
          <w:p w:rsidR="004C1EBA" w:rsidRPr="0080411A" w:rsidP="004C1EBA">
            <w:pPr>
              <w:pStyle w:val="csbody00"/>
              <w:ind w:left="755"/>
              <w:rPr>
                <w:color w:val="000000"/>
                <w:lang w:val="de-DE" w:eastAsia="en-GB"/>
              </w:rPr>
            </w:pPr>
            <w:r>
              <w:rPr>
                <w:color w:val="000000"/>
                <w:lang w:val="de-DE" w:eastAsia="en-GB"/>
              </w:rPr>
              <w:t>Prudential Plc</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55"/>
              <w:rPr>
                <w:color w:val="000000"/>
                <w:lang w:eastAsia="en-GB"/>
              </w:rPr>
            </w:pPr>
            <w:r w:rsidRPr="00DA0C96">
              <w:t>Group Chief Risk Officer (2013-2015)</w:t>
            </w:r>
          </w:p>
        </w:tc>
        <w:tc>
          <w:tcPr>
            <w:tcW w:w="1242" w:type="pct"/>
            <w:gridSpan w:val="3"/>
            <w:shd w:val="clear" w:color="auto" w:fill="auto"/>
          </w:tcPr>
          <w:p w:rsidR="004C1EBA" w:rsidRPr="0080411A" w:rsidP="004C1EBA">
            <w:pPr>
              <w:pStyle w:val="csbody00"/>
              <w:ind w:left="755"/>
              <w:rPr>
                <w:color w:val="000000"/>
                <w:lang w:val="de-DE" w:eastAsia="en-GB"/>
              </w:rPr>
            </w:pPr>
            <w:r w:rsidRPr="00DA0C96">
              <w:t>Group Chief Risk Officer (2013</w:t>
            </w:r>
            <w:r>
              <w:t>–</w:t>
            </w:r>
            <w:r w:rsidRPr="00DA0C96">
              <w:t>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55"/>
              <w:rPr>
                <w:color w:val="000000"/>
                <w:lang w:eastAsia="en-GB"/>
              </w:rPr>
            </w:pPr>
            <w:r w:rsidRPr="00C8254B">
              <w:t>Managing Director, CEO Office (2009-2013)</w:t>
            </w:r>
          </w:p>
        </w:tc>
        <w:tc>
          <w:tcPr>
            <w:tcW w:w="1242" w:type="pct"/>
            <w:gridSpan w:val="3"/>
            <w:shd w:val="clear" w:color="auto" w:fill="auto"/>
          </w:tcPr>
          <w:p w:rsidR="004C1EBA" w:rsidRPr="0080411A" w:rsidP="004C1EBA">
            <w:pPr>
              <w:pStyle w:val="csbody00"/>
              <w:ind w:left="755"/>
              <w:rPr>
                <w:color w:val="000000"/>
                <w:lang w:val="de-DE" w:eastAsia="en-GB"/>
              </w:rPr>
            </w:pPr>
            <w:r w:rsidRPr="00C8254B">
              <w:t>Managing Director, CEO Office (2009</w:t>
            </w:r>
            <w:r>
              <w:t>–</w:t>
            </w:r>
            <w:r w:rsidRPr="00C8254B">
              <w:t>2013)</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55"/>
              <w:rPr>
                <w:color w:val="000000"/>
                <w:lang w:eastAsia="en-GB"/>
              </w:rPr>
            </w:pPr>
            <w:r w:rsidRPr="009857E6">
              <w:t>Business Representative Asia, PCA (2008-2013)</w:t>
            </w:r>
          </w:p>
        </w:tc>
        <w:tc>
          <w:tcPr>
            <w:tcW w:w="1242" w:type="pct"/>
            <w:gridSpan w:val="3"/>
            <w:shd w:val="clear" w:color="auto" w:fill="auto"/>
          </w:tcPr>
          <w:p w:rsidR="004C1EBA" w:rsidRPr="0080411A" w:rsidP="004C1EBA">
            <w:pPr>
              <w:pStyle w:val="csbody00"/>
              <w:ind w:left="755"/>
              <w:rPr>
                <w:color w:val="000000"/>
                <w:lang w:val="de-DE" w:eastAsia="en-GB"/>
              </w:rPr>
            </w:pPr>
            <w:r w:rsidRPr="009857E6">
              <w:t>Business</w:t>
            </w:r>
            <w:r>
              <w:t>-Repräsentant Asien, PCA (2008–</w:t>
            </w:r>
            <w:r w:rsidRPr="009857E6">
              <w:t>2013)</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color w:val="000000"/>
                <w:lang w:eastAsia="en-GB"/>
              </w:rPr>
            </w:pPr>
            <w:r>
              <w:rPr>
                <w:color w:val="000000"/>
                <w:lang w:eastAsia="en-GB"/>
              </w:rPr>
              <w:t>2004-2008</w:t>
            </w:r>
          </w:p>
        </w:tc>
        <w:tc>
          <w:tcPr>
            <w:tcW w:w="1242" w:type="pct"/>
            <w:gridSpan w:val="3"/>
            <w:shd w:val="clear" w:color="auto" w:fill="auto"/>
          </w:tcPr>
          <w:p w:rsidR="004C1EBA" w:rsidRPr="0080411A">
            <w:pPr>
              <w:pStyle w:val="csbody00"/>
              <w:rPr>
                <w:color w:val="000000"/>
                <w:lang w:val="de-DE" w:eastAsia="en-GB"/>
              </w:rPr>
            </w:pPr>
            <w:r>
              <w:rPr>
                <w:color w:val="000000"/>
                <w:lang w:val="de-DE" w:eastAsia="en-GB"/>
              </w:rPr>
              <w:t>2004–2008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69"/>
              <w:rPr>
                <w:color w:val="000000"/>
                <w:lang w:eastAsia="en-GB"/>
              </w:rPr>
            </w:pPr>
            <w:r>
              <w:rPr>
                <w:color w:val="000000"/>
                <w:lang w:eastAsia="en-GB"/>
              </w:rPr>
              <w:t>Aviva</w:t>
            </w:r>
          </w:p>
        </w:tc>
        <w:tc>
          <w:tcPr>
            <w:tcW w:w="1242" w:type="pct"/>
            <w:gridSpan w:val="3"/>
            <w:shd w:val="clear" w:color="auto" w:fill="auto"/>
          </w:tcPr>
          <w:p w:rsidR="004C1EBA" w:rsidRPr="0080411A" w:rsidP="004C1EBA">
            <w:pPr>
              <w:pStyle w:val="csbody00"/>
              <w:ind w:left="769"/>
              <w:rPr>
                <w:color w:val="000000"/>
                <w:lang w:val="de-DE" w:eastAsia="en-GB"/>
              </w:rPr>
            </w:pPr>
            <w:r>
              <w:rPr>
                <w:color w:val="000000"/>
                <w:lang w:val="de-DE" w:eastAsia="en-GB"/>
              </w:rPr>
              <w:t>Aviva</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69"/>
              <w:rPr>
                <w:color w:val="000000"/>
                <w:lang w:eastAsia="en-GB"/>
              </w:rPr>
            </w:pPr>
            <w:r w:rsidRPr="008F0298">
              <w:rPr>
                <w:color w:val="000000"/>
                <w:lang w:eastAsia="en-GB"/>
              </w:rPr>
              <w:t>Director, Central &amp; Eastern Europe (2006-2008)</w:t>
            </w:r>
          </w:p>
        </w:tc>
        <w:tc>
          <w:tcPr>
            <w:tcW w:w="1242" w:type="pct"/>
            <w:gridSpan w:val="3"/>
            <w:shd w:val="clear" w:color="auto" w:fill="auto"/>
          </w:tcPr>
          <w:p w:rsidR="004C1EBA" w:rsidRPr="0080411A" w:rsidP="004C1EBA">
            <w:pPr>
              <w:pStyle w:val="csbody00"/>
              <w:ind w:left="769"/>
              <w:rPr>
                <w:color w:val="000000"/>
                <w:lang w:val="de-DE" w:eastAsia="en-GB"/>
              </w:rPr>
            </w:pPr>
            <w:r>
              <w:rPr>
                <w:color w:val="000000"/>
                <w:lang w:val="de-DE" w:eastAsia="en-GB"/>
              </w:rPr>
              <w:t>Direktor, Zentral- und Osteuropa (2006–2008)</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69"/>
              <w:rPr>
                <w:color w:val="000000"/>
                <w:lang w:eastAsia="en-GB"/>
              </w:rPr>
            </w:pPr>
            <w:r w:rsidRPr="008F0298">
              <w:rPr>
                <w:color w:val="000000"/>
                <w:lang w:eastAsia="en-GB"/>
              </w:rPr>
              <w:t>Director, Group Strategy (2004-200</w:t>
            </w:r>
            <w:r w:rsidR="007A2F35">
              <w:rPr>
                <w:color w:val="000000"/>
                <w:lang w:eastAsia="en-GB"/>
              </w:rPr>
              <w:t>6</w:t>
            </w:r>
            <w:r w:rsidRPr="008F0298">
              <w:rPr>
                <w:color w:val="000000"/>
                <w:lang w:eastAsia="en-GB"/>
              </w:rPr>
              <w:t>)</w:t>
            </w:r>
          </w:p>
        </w:tc>
        <w:tc>
          <w:tcPr>
            <w:tcW w:w="1242" w:type="pct"/>
            <w:gridSpan w:val="3"/>
            <w:shd w:val="clear" w:color="auto" w:fill="auto"/>
          </w:tcPr>
          <w:p w:rsidR="004C1EBA" w:rsidRPr="0080411A">
            <w:pPr>
              <w:pStyle w:val="csbody00"/>
              <w:ind w:left="769"/>
              <w:rPr>
                <w:color w:val="000000"/>
                <w:lang w:val="de-DE" w:eastAsia="en-GB"/>
              </w:rPr>
            </w:pPr>
            <w:r>
              <w:rPr>
                <w:color w:val="000000"/>
                <w:lang w:val="de-DE" w:eastAsia="en-GB"/>
              </w:rPr>
              <w:t>Direktor, Gruppenstrategie (2004–200</w:t>
            </w:r>
            <w:r w:rsidR="007A2F35">
              <w:rPr>
                <w:color w:val="000000"/>
                <w:lang w:val="de-DE" w:eastAsia="en-GB"/>
              </w:rPr>
              <w:t>6</w:t>
            </w:r>
            <w:r>
              <w:rPr>
                <w:color w:val="000000"/>
                <w:lang w:val="de-DE" w:eastAsia="en-GB"/>
              </w:rPr>
              <w: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rPr>
                <w:color w:val="000000"/>
                <w:lang w:eastAsia="en-GB"/>
              </w:rPr>
            </w:pPr>
            <w:r>
              <w:rPr>
                <w:color w:val="000000"/>
                <w:lang w:eastAsia="en-GB"/>
              </w:rPr>
              <w:t>2000-2004</w:t>
            </w:r>
          </w:p>
        </w:tc>
        <w:tc>
          <w:tcPr>
            <w:tcW w:w="1242" w:type="pct"/>
            <w:gridSpan w:val="3"/>
            <w:shd w:val="clear" w:color="auto" w:fill="auto"/>
          </w:tcPr>
          <w:p w:rsidR="004C1EBA" w:rsidRPr="0080411A">
            <w:pPr>
              <w:pStyle w:val="csbody00"/>
              <w:rPr>
                <w:color w:val="000000"/>
                <w:lang w:val="de-DE" w:eastAsia="en-GB"/>
              </w:rPr>
            </w:pPr>
            <w:r>
              <w:rPr>
                <w:color w:val="000000"/>
                <w:lang w:val="de-DE" w:eastAsia="en-GB"/>
              </w:rPr>
              <w:t>2000–2004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69" w:firstLine="14"/>
              <w:rPr>
                <w:color w:val="000000"/>
                <w:lang w:eastAsia="en-GB"/>
              </w:rPr>
            </w:pPr>
            <w:r w:rsidRPr="00D80D00">
              <w:rPr>
                <w:bCs/>
                <w:lang w:val="en-US"/>
              </w:rPr>
              <w:t>McKinsey &amp; Company</w:t>
            </w:r>
          </w:p>
        </w:tc>
        <w:tc>
          <w:tcPr>
            <w:tcW w:w="1242" w:type="pct"/>
            <w:gridSpan w:val="3"/>
            <w:shd w:val="clear" w:color="auto" w:fill="auto"/>
          </w:tcPr>
          <w:p w:rsidR="004C1EBA" w:rsidRPr="0080411A" w:rsidP="004C1EBA">
            <w:pPr>
              <w:pStyle w:val="csbody00"/>
              <w:ind w:left="769" w:firstLine="14"/>
              <w:rPr>
                <w:color w:val="000000"/>
                <w:lang w:val="de-DE" w:eastAsia="en-GB"/>
              </w:rPr>
            </w:pPr>
            <w:r w:rsidRPr="00D80D00">
              <w:rPr>
                <w:bCs/>
                <w:lang w:val="en-US"/>
              </w:rPr>
              <w:t>McKinsey &amp; Company</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69" w:firstLine="14"/>
              <w:rPr>
                <w:color w:val="000000"/>
                <w:lang w:eastAsia="en-GB"/>
              </w:rPr>
            </w:pPr>
            <w:r w:rsidRPr="008F0298">
              <w:rPr>
                <w:color w:val="000000"/>
                <w:lang w:eastAsia="en-GB"/>
              </w:rPr>
              <w:t>Associate Principal (2004)</w:t>
            </w:r>
          </w:p>
        </w:tc>
        <w:tc>
          <w:tcPr>
            <w:tcW w:w="1242" w:type="pct"/>
            <w:gridSpan w:val="3"/>
            <w:shd w:val="clear" w:color="auto" w:fill="auto"/>
          </w:tcPr>
          <w:p w:rsidR="004C1EBA" w:rsidRPr="0080411A" w:rsidP="004C1EBA">
            <w:pPr>
              <w:pStyle w:val="csbody00"/>
              <w:ind w:left="769" w:firstLine="14"/>
              <w:rPr>
                <w:color w:val="000000"/>
                <w:lang w:val="de-DE" w:eastAsia="en-GB"/>
              </w:rPr>
            </w:pPr>
            <w:r w:rsidRPr="008F0298">
              <w:rPr>
                <w:color w:val="000000"/>
                <w:lang w:eastAsia="en-GB"/>
              </w:rPr>
              <w:t>Associate Principal (2004)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0411A" w:rsidP="004C1EBA">
            <w:pPr>
              <w:pStyle w:val="csbody00"/>
              <w:ind w:left="769" w:firstLine="14"/>
              <w:rPr>
                <w:color w:val="000000"/>
                <w:lang w:eastAsia="en-GB"/>
              </w:rPr>
            </w:pPr>
            <w:r w:rsidRPr="008F0298">
              <w:rPr>
                <w:color w:val="000000"/>
                <w:lang w:eastAsia="en-GB"/>
              </w:rPr>
              <w:t>Engagement Manager (2002-2004)</w:t>
            </w:r>
          </w:p>
        </w:tc>
        <w:tc>
          <w:tcPr>
            <w:tcW w:w="1242" w:type="pct"/>
            <w:gridSpan w:val="3"/>
            <w:shd w:val="clear" w:color="auto" w:fill="auto"/>
          </w:tcPr>
          <w:p w:rsidR="004C1EBA" w:rsidRPr="0080411A" w:rsidP="004C1EBA">
            <w:pPr>
              <w:pStyle w:val="csbody00"/>
              <w:ind w:left="769" w:firstLine="14"/>
              <w:rPr>
                <w:color w:val="000000"/>
                <w:lang w:val="de-DE" w:eastAsia="en-GB"/>
              </w:rPr>
            </w:pPr>
            <w:r w:rsidRPr="008F0298">
              <w:rPr>
                <w:color w:val="000000"/>
                <w:lang w:eastAsia="en-GB"/>
              </w:rPr>
              <w:t>Engagement Manager (2002</w:t>
            </w:r>
            <w:r>
              <w:rPr>
                <w:color w:val="000000"/>
                <w:lang w:eastAsia="en-GB"/>
              </w:rPr>
              <w:t>–</w:t>
            </w:r>
            <w:r w:rsidRPr="008F0298">
              <w:rPr>
                <w:color w:val="000000"/>
                <w:lang w:eastAsia="en-GB"/>
              </w:rPr>
              <w:t>2004)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769" w:firstLine="14"/>
              <w:rPr>
                <w:color w:val="000000"/>
                <w:lang w:eastAsia="en-GB"/>
              </w:rPr>
            </w:pPr>
            <w:r w:rsidRPr="008F0298">
              <w:rPr>
                <w:color w:val="000000"/>
                <w:lang w:eastAsia="en-GB"/>
              </w:rPr>
              <w:t>Associate (2000-2002)</w:t>
            </w:r>
          </w:p>
        </w:tc>
        <w:tc>
          <w:tcPr>
            <w:tcW w:w="1242" w:type="pct"/>
            <w:gridSpan w:val="3"/>
            <w:shd w:val="clear" w:color="auto" w:fill="auto"/>
          </w:tcPr>
          <w:p w:rsidR="004C1EBA" w:rsidRPr="0080411A" w:rsidP="004C1EBA">
            <w:pPr>
              <w:pStyle w:val="csbody00"/>
              <w:ind w:left="769" w:firstLine="14"/>
              <w:rPr>
                <w:color w:val="000000"/>
                <w:lang w:val="de-DE" w:eastAsia="en-GB"/>
              </w:rPr>
            </w:pPr>
            <w:r>
              <w:rPr>
                <w:color w:val="000000"/>
                <w:lang w:eastAsia="en-GB"/>
              </w:rPr>
              <w:t>Associate (2000–</w:t>
            </w:r>
            <w:r w:rsidRPr="008F0298">
              <w:rPr>
                <w:color w:val="000000"/>
                <w:lang w:eastAsia="en-GB"/>
              </w:rPr>
              <w:t>2002)</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rPr>
                <w:color w:val="000000"/>
                <w:lang w:eastAsia="en-GB"/>
              </w:rPr>
            </w:pPr>
            <w:r>
              <w:rPr>
                <w:color w:val="000000"/>
                <w:lang w:eastAsia="en-GB"/>
              </w:rPr>
              <w:t>1997-2000</w:t>
            </w:r>
          </w:p>
        </w:tc>
        <w:tc>
          <w:tcPr>
            <w:tcW w:w="1242" w:type="pct"/>
            <w:gridSpan w:val="3"/>
            <w:shd w:val="clear" w:color="auto" w:fill="auto"/>
          </w:tcPr>
          <w:p w:rsidR="004C1EBA" w:rsidRPr="0080411A">
            <w:pPr>
              <w:pStyle w:val="csbody00"/>
              <w:rPr>
                <w:color w:val="000000"/>
                <w:lang w:val="de-DE" w:eastAsia="en-GB"/>
              </w:rPr>
            </w:pPr>
            <w:r>
              <w:rPr>
                <w:color w:val="000000"/>
                <w:lang w:val="de-DE" w:eastAsia="en-GB"/>
              </w:rPr>
              <w:t>1997–2000</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797"/>
              <w:rPr>
                <w:color w:val="000000"/>
                <w:lang w:eastAsia="en-GB"/>
              </w:rPr>
            </w:pPr>
            <w:r w:rsidRPr="008F0298">
              <w:rPr>
                <w:color w:val="000000"/>
                <w:lang w:eastAsia="en-GB"/>
              </w:rPr>
              <w:t>French Government Ministry of Economy and Finance, Treasury Department</w:t>
            </w:r>
          </w:p>
        </w:tc>
        <w:tc>
          <w:tcPr>
            <w:tcW w:w="1242" w:type="pct"/>
            <w:gridSpan w:val="3"/>
            <w:shd w:val="clear" w:color="auto" w:fill="auto"/>
          </w:tcPr>
          <w:p w:rsidR="004C1EBA" w:rsidRPr="0080411A" w:rsidP="004C1EBA">
            <w:pPr>
              <w:pStyle w:val="csbody00"/>
              <w:ind w:left="797"/>
              <w:rPr>
                <w:color w:val="000000"/>
                <w:lang w:val="de-DE" w:eastAsia="en-GB"/>
              </w:rPr>
            </w:pPr>
            <w:r>
              <w:rPr>
                <w:color w:val="000000"/>
                <w:lang w:val="de-DE" w:eastAsia="en-GB"/>
              </w:rPr>
              <w:t>Französische Regierung, Ministerium für Wirtschaft und Finanzen, Treasury-Abteilung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797"/>
              <w:rPr>
                <w:color w:val="000000"/>
                <w:lang w:eastAsia="en-GB"/>
              </w:rPr>
            </w:pPr>
            <w:r w:rsidRPr="008F0298">
              <w:rPr>
                <w:color w:val="000000"/>
                <w:lang w:eastAsia="en-GB"/>
              </w:rPr>
              <w:t>Deputy General Secretary of the Paris Club</w:t>
            </w:r>
          </w:p>
        </w:tc>
        <w:tc>
          <w:tcPr>
            <w:tcW w:w="1242" w:type="pct"/>
            <w:gridSpan w:val="3"/>
            <w:shd w:val="clear" w:color="auto" w:fill="auto"/>
          </w:tcPr>
          <w:p w:rsidR="004C1EBA" w:rsidRPr="0080411A" w:rsidP="004C1EBA">
            <w:pPr>
              <w:pStyle w:val="csbody00"/>
              <w:ind w:left="797"/>
              <w:rPr>
                <w:color w:val="000000"/>
                <w:lang w:val="de-DE" w:eastAsia="en-GB"/>
              </w:rPr>
            </w:pPr>
            <w:r>
              <w:rPr>
                <w:color w:val="000000"/>
                <w:lang w:val="de-DE" w:eastAsia="en-GB"/>
              </w:rPr>
              <w:t>Stellvertretender Generalsekretär, Paris Club</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797"/>
              <w:rPr>
                <w:color w:val="000000"/>
                <w:lang w:eastAsia="en-GB"/>
              </w:rPr>
            </w:pPr>
            <w:r w:rsidRPr="008F0298">
              <w:rPr>
                <w:color w:val="000000"/>
                <w:lang w:eastAsia="en-GB"/>
              </w:rPr>
              <w:t>Deputy Head, International Debt office (F1)</w:t>
            </w:r>
          </w:p>
        </w:tc>
        <w:tc>
          <w:tcPr>
            <w:tcW w:w="1242" w:type="pct"/>
            <w:gridSpan w:val="3"/>
            <w:shd w:val="clear" w:color="auto" w:fill="auto"/>
          </w:tcPr>
          <w:p w:rsidR="004C1EBA" w:rsidRPr="0080411A" w:rsidP="004C1EBA">
            <w:pPr>
              <w:pStyle w:val="csbody00"/>
              <w:ind w:left="797"/>
              <w:rPr>
                <w:color w:val="000000"/>
                <w:lang w:val="de-DE" w:eastAsia="en-GB"/>
              </w:rPr>
            </w:pPr>
            <w:r>
              <w:rPr>
                <w:color w:val="000000"/>
                <w:lang w:val="de-DE" w:eastAsia="en-GB"/>
              </w:rPr>
              <w:t>Stellvertretender Leiter, International Debt office (F1)</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rPr>
                <w:color w:val="000000"/>
                <w:lang w:eastAsia="en-GB"/>
              </w:rPr>
            </w:pPr>
            <w:r w:rsidRPr="0080411A">
              <w:rPr>
                <w:b/>
                <w:bCs/>
                <w:lang w:val="en-US" w:eastAsia="de-CH"/>
              </w:rPr>
              <w:t>Education</w:t>
            </w:r>
          </w:p>
        </w:tc>
        <w:tc>
          <w:tcPr>
            <w:tcW w:w="1242" w:type="pct"/>
            <w:gridSpan w:val="3"/>
            <w:shd w:val="clear" w:color="auto" w:fill="auto"/>
          </w:tcPr>
          <w:p w:rsidR="004C1EBA" w:rsidRPr="0080411A" w:rsidP="004C1EBA">
            <w:pPr>
              <w:pStyle w:val="csbody00"/>
              <w:rPr>
                <w:color w:val="000000"/>
                <w:lang w:val="de-DE" w:eastAsia="en-GB"/>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rPr>
                <w:color w:val="000000"/>
                <w:lang w:eastAsia="en-GB"/>
              </w:rPr>
            </w:pPr>
            <w:r w:rsidRPr="008F0298">
              <w:rPr>
                <w:color w:val="000000"/>
                <w:lang w:eastAsia="en-GB"/>
              </w:rPr>
              <w:t xml:space="preserve">1997 Ecole Nationale d’Administration (ENA), Promotion </w:t>
            </w:r>
            <w:r w:rsidR="003B00F3">
              <w:rPr>
                <w:color w:val="000000"/>
                <w:lang w:eastAsia="en-GB"/>
              </w:rPr>
              <w:t>"</w:t>
            </w:r>
            <w:r w:rsidRPr="008F0298">
              <w:rPr>
                <w:color w:val="000000"/>
                <w:lang w:eastAsia="en-GB"/>
              </w:rPr>
              <w:t>Marc Bloch</w:t>
            </w:r>
            <w:r w:rsidR="003B00F3">
              <w:rPr>
                <w:color w:val="000000"/>
                <w:lang w:eastAsia="en-GB"/>
              </w:rPr>
              <w:t>"</w:t>
            </w:r>
          </w:p>
        </w:tc>
        <w:tc>
          <w:tcPr>
            <w:tcW w:w="1242" w:type="pct"/>
            <w:gridSpan w:val="3"/>
            <w:shd w:val="clear" w:color="auto" w:fill="auto"/>
          </w:tcPr>
          <w:p w:rsidR="004C1EBA" w:rsidRPr="0080411A" w:rsidP="004C1EBA">
            <w:pPr>
              <w:pStyle w:val="csbody00"/>
              <w:rPr>
                <w:color w:val="000000"/>
                <w:lang w:val="de-DE" w:eastAsia="en-GB"/>
              </w:rPr>
            </w:pPr>
            <w:r w:rsidRPr="00721657">
              <w:rPr>
                <w:color w:val="000000"/>
                <w:lang w:val="de-DE" w:eastAsia="en-GB"/>
              </w:rPr>
              <w:t xml:space="preserve">1997 Ecole Nationale d’Administration (ENA), Promotion </w:t>
            </w:r>
            <w:r w:rsidR="003B00F3">
              <w:rPr>
                <w:color w:val="000000"/>
                <w:lang w:val="de-DE" w:eastAsia="en-GB"/>
              </w:rPr>
              <w:t>"</w:t>
            </w:r>
            <w:r w:rsidRPr="00721657">
              <w:rPr>
                <w:color w:val="000000"/>
                <w:lang w:val="de-DE" w:eastAsia="en-GB"/>
              </w:rPr>
              <w:t>Marc Bloch</w:t>
            </w:r>
            <w:r w:rsidR="003B00F3">
              <w:rPr>
                <w:color w:val="000000"/>
                <w:lang w:val="de-DE" w:eastAsia="en-GB"/>
              </w:rPr>
              <w: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pPr>
              <w:pStyle w:val="csbody00"/>
              <w:rPr>
                <w:color w:val="000000"/>
                <w:lang w:eastAsia="en-GB"/>
              </w:rPr>
            </w:pPr>
            <w:r w:rsidRPr="008F0298">
              <w:rPr>
                <w:color w:val="000000"/>
                <w:lang w:eastAsia="en-GB"/>
              </w:rPr>
              <w:t xml:space="preserve">1991 </w:t>
            </w:r>
            <w:r>
              <w:rPr>
                <w:color w:val="000000"/>
                <w:lang w:eastAsia="en-GB"/>
              </w:rPr>
              <w:t xml:space="preserve">Ecole des </w:t>
            </w:r>
            <w:r w:rsidRPr="008F0298">
              <w:rPr>
                <w:color w:val="000000"/>
                <w:lang w:eastAsia="en-GB"/>
              </w:rPr>
              <w:t>Hautes Etudes Commerciales (HEC)</w:t>
            </w:r>
            <w:r>
              <w:rPr>
                <w:color w:val="000000"/>
                <w:lang w:eastAsia="en-GB"/>
              </w:rPr>
              <w:t xml:space="preserve">, </w:t>
            </w:r>
            <w:r w:rsidRPr="00721657">
              <w:rPr>
                <w:color w:val="000000"/>
                <w:lang w:eastAsia="en-GB"/>
              </w:rPr>
              <w:t>Master in Corporate Law, Faculté de Droit Jean Monnet (Paris X1)</w:t>
            </w:r>
          </w:p>
        </w:tc>
        <w:tc>
          <w:tcPr>
            <w:tcW w:w="1242" w:type="pct"/>
            <w:gridSpan w:val="3"/>
            <w:shd w:val="clear" w:color="auto" w:fill="auto"/>
          </w:tcPr>
          <w:p w:rsidR="004C1EBA" w:rsidRPr="0080411A">
            <w:pPr>
              <w:pStyle w:val="csbody00"/>
              <w:rPr>
                <w:color w:val="000000"/>
                <w:lang w:val="de-DE" w:eastAsia="en-GB"/>
              </w:rPr>
            </w:pPr>
            <w:r>
              <w:rPr>
                <w:color w:val="000000"/>
                <w:lang w:val="de-DE" w:eastAsia="en-GB"/>
              </w:rPr>
              <w:t>1991 Ecole des Hautes Etudes Commerciales (HEC), Masterabschluss Gesellschaftsrecht, Faculté de Droit Jean Monnet (Paris X1)</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r>
              <w:rPr>
                <w:lang w:val="de-DE" w:eastAsia="de-CH"/>
              </w:rPr>
              <w:t>Lara Wa</w:t>
            </w:r>
            <w:r w:rsidR="00090525">
              <w:rPr>
                <w:lang w:val="de-DE" w:eastAsia="de-CH"/>
              </w:rPr>
              <w:t>r</w:t>
            </w:r>
            <w:r>
              <w:rPr>
                <w:lang w:val="de-DE" w:eastAsia="de-CH"/>
              </w:rPr>
              <w:t>ner</w:t>
            </w:r>
          </w:p>
        </w:tc>
        <w:tc>
          <w:tcPr>
            <w:tcW w:w="1257" w:type="pct"/>
            <w:gridSpan w:val="2"/>
            <w:shd w:val="clear" w:color="auto" w:fill="auto"/>
          </w:tcPr>
          <w:p w:rsidR="004C1EBA" w:rsidRPr="0080411A" w:rsidP="004C1EBA">
            <w:pPr>
              <w:pStyle w:val="csbody00"/>
              <w:jc w:val="left"/>
              <w:rPr>
                <w:lang w:val="de-CH" w:eastAsia="de-CH"/>
              </w:rPr>
            </w:pPr>
            <w:r w:rsidRPr="0080411A">
              <w:rPr>
                <w:lang w:val="de-CH" w:eastAsia="de-CH"/>
              </w:rPr>
              <w:t>Credit Suisse 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F0298">
            <w:pPr>
              <w:pStyle w:val="csbody00"/>
              <w:rPr>
                <w:color w:val="000000"/>
                <w:lang w:eastAsia="en-GB"/>
              </w:rPr>
            </w:pPr>
            <w:r w:rsidRPr="0080411A">
              <w:rPr>
                <w:bCs/>
                <w:lang w:val="en-US" w:eastAsia="de-CH"/>
              </w:rPr>
              <w:t>20</w:t>
            </w:r>
            <w:r>
              <w:rPr>
                <w:bCs/>
                <w:lang w:val="en-US" w:eastAsia="de-CH"/>
              </w:rPr>
              <w:t>02</w:t>
            </w:r>
            <w:r w:rsidRPr="0080411A">
              <w:rPr>
                <w:bCs/>
                <w:lang w:val="en-US" w:eastAsia="de-CH"/>
              </w:rPr>
              <w:t>–present</w:t>
            </w:r>
          </w:p>
        </w:tc>
        <w:tc>
          <w:tcPr>
            <w:tcW w:w="1242" w:type="pct"/>
            <w:gridSpan w:val="3"/>
            <w:shd w:val="clear" w:color="auto" w:fill="auto"/>
          </w:tcPr>
          <w:p w:rsidR="004C1EBA" w:rsidRPr="0080411A" w:rsidP="004C1EBA">
            <w:pPr>
              <w:pStyle w:val="csbody00"/>
              <w:rPr>
                <w:b/>
                <w:bCs/>
                <w:lang w:val="en-US" w:eastAsia="de-CH"/>
              </w:rPr>
            </w:pPr>
            <w:r w:rsidRPr="0080411A">
              <w:rPr>
                <w:b/>
                <w:bCs/>
                <w:lang w:val="en-US" w:eastAsia="de-CH"/>
              </w:rPr>
              <w:t>Werdegang</w:t>
            </w:r>
          </w:p>
          <w:p w:rsidR="004C1EBA" w:rsidRPr="0080411A">
            <w:pPr>
              <w:pStyle w:val="csbody00"/>
              <w:rPr>
                <w:color w:val="000000"/>
                <w:lang w:val="de-DE" w:eastAsia="en-GB"/>
              </w:rPr>
            </w:pPr>
            <w:r w:rsidRPr="0080411A">
              <w:rPr>
                <w:bCs/>
                <w:lang w:val="en-US" w:eastAsia="de-CH"/>
              </w:rPr>
              <w:t>20</w:t>
            </w:r>
            <w:r>
              <w:rPr>
                <w:bCs/>
                <w:lang w:val="en-US" w:eastAsia="de-CH"/>
              </w:rPr>
              <w:t>02</w:t>
            </w:r>
            <w:r w:rsidRPr="0080411A">
              <w:rPr>
                <w:bCs/>
                <w:lang w:val="en-US" w:eastAsia="de-CH"/>
              </w:rPr>
              <w:t xml:space="preserve"> bis heute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tabs>
                <w:tab w:val="left" w:pos="652"/>
              </w:tabs>
              <w:ind w:left="825"/>
              <w:rPr>
                <w:color w:val="000000"/>
                <w:lang w:eastAsia="en-GB"/>
              </w:rPr>
            </w:pPr>
            <w:r w:rsidRPr="0080411A">
              <w:rPr>
                <w:bCs/>
                <w:lang w:val="en-US" w:eastAsia="de-CH"/>
              </w:rPr>
              <w:t>Credit Suisse</w:t>
            </w:r>
          </w:p>
        </w:tc>
        <w:tc>
          <w:tcPr>
            <w:tcW w:w="1242" w:type="pct"/>
            <w:gridSpan w:val="3"/>
            <w:shd w:val="clear" w:color="auto" w:fill="auto"/>
          </w:tcPr>
          <w:p w:rsidR="004C1EBA" w:rsidRPr="0080411A" w:rsidP="004C1EBA">
            <w:pPr>
              <w:pStyle w:val="csbody00"/>
              <w:tabs>
                <w:tab w:val="left" w:pos="652"/>
              </w:tabs>
              <w:ind w:left="825"/>
              <w:rPr>
                <w:color w:val="000000"/>
                <w:lang w:val="de-DE" w:eastAsia="en-GB"/>
              </w:rPr>
            </w:pPr>
            <w:r w:rsidRPr="0080411A">
              <w:rPr>
                <w:bCs/>
                <w:lang w:val="en-US"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pPr>
              <w:pStyle w:val="csbody00"/>
              <w:ind w:left="825"/>
              <w:rPr>
                <w:color w:val="000000"/>
                <w:lang w:eastAsia="en-GB"/>
              </w:rPr>
            </w:pPr>
            <w:r w:rsidRPr="00994255">
              <w:rPr>
                <w:color w:val="000000"/>
                <w:lang w:eastAsia="en-GB"/>
              </w:rPr>
              <w:t>Chief Compliance and Regulatory Affairs Officer (</w:t>
            </w:r>
            <w:r w:rsidR="007A2F35">
              <w:rPr>
                <w:color w:val="000000"/>
                <w:lang w:eastAsia="en-GB"/>
              </w:rPr>
              <w:t>since 22</w:t>
            </w:r>
            <w:r w:rsidRPr="00994255">
              <w:rPr>
                <w:color w:val="000000"/>
                <w:lang w:eastAsia="en-GB"/>
              </w:rPr>
              <w:t xml:space="preserve"> Octobe</w:t>
            </w:r>
            <w:r w:rsidR="00FD3029">
              <w:rPr>
                <w:color w:val="000000"/>
                <w:lang w:eastAsia="en-GB"/>
              </w:rPr>
              <w:t>r</w:t>
            </w:r>
            <w:r w:rsidRPr="00994255">
              <w:rPr>
                <w:color w:val="000000"/>
                <w:lang w:eastAsia="en-GB"/>
              </w:rPr>
              <w:t xml:space="preserve"> 2015)</w:t>
            </w:r>
          </w:p>
        </w:tc>
        <w:tc>
          <w:tcPr>
            <w:tcW w:w="1242" w:type="pct"/>
            <w:gridSpan w:val="3"/>
            <w:shd w:val="clear" w:color="auto" w:fill="auto"/>
          </w:tcPr>
          <w:p w:rsidR="004C1EBA" w:rsidRPr="0080411A" w:rsidP="004C1EBA">
            <w:pPr>
              <w:pStyle w:val="csbody00"/>
              <w:ind w:left="825"/>
              <w:rPr>
                <w:color w:val="000000"/>
                <w:lang w:val="de-DE" w:eastAsia="en-GB"/>
              </w:rPr>
            </w:pPr>
            <w:r w:rsidRPr="005C5842">
              <w:rPr>
                <w:color w:val="000000"/>
                <w:lang w:eastAsia="en-GB"/>
              </w:rPr>
              <w:t>Chief Compliance and Regulatory Affairs Officer (seit dem 22. </w:t>
            </w:r>
            <w:r>
              <w:rPr>
                <w:color w:val="000000"/>
                <w:lang w:val="de-DE" w:eastAsia="en-GB"/>
              </w:rPr>
              <w:t xml:space="preserve">Oktober </w:t>
            </w:r>
            <w:r w:rsidRPr="00994255">
              <w:rPr>
                <w:color w:val="000000"/>
                <w:lang w:val="de-DE" w:eastAsia="en-GB"/>
              </w:rPr>
              <w:t>2015)</w:t>
            </w:r>
          </w:p>
        </w:tc>
      </w:tr>
      <w:tr w:rsidTr="007A2F35">
        <w:tblPrEx>
          <w:tblW w:w="5002" w:type="pct"/>
          <w:tblBorders>
            <w:insideV w:val="single" w:sz="4" w:space="0" w:color="auto"/>
          </w:tblBorders>
          <w:tblLayout w:type="fixed"/>
          <w:tblLook w:val="00A0"/>
        </w:tblPrEx>
        <w:tc>
          <w:tcPr>
            <w:tcW w:w="1242" w:type="pct"/>
            <w:gridSpan w:val="3"/>
            <w:shd w:val="clear" w:color="auto" w:fill="auto"/>
          </w:tcPr>
          <w:p w:rsidR="007A2F35" w:rsidRPr="00FB4503" w:rsidP="007A2F35">
            <w:pPr>
              <w:pStyle w:val="csbody00"/>
              <w:rPr>
                <w:lang w:val="de-DE" w:eastAsia="de-CH"/>
              </w:rPr>
            </w:pPr>
          </w:p>
        </w:tc>
        <w:tc>
          <w:tcPr>
            <w:tcW w:w="1257" w:type="pct"/>
            <w:gridSpan w:val="2"/>
            <w:shd w:val="clear" w:color="auto" w:fill="auto"/>
          </w:tcPr>
          <w:p w:rsidR="007A2F35" w:rsidRPr="00FB4503" w:rsidP="007A2F35">
            <w:pPr>
              <w:pStyle w:val="csbody00"/>
              <w:rPr>
                <w:lang w:val="de-DE" w:eastAsia="de-CH"/>
              </w:rPr>
            </w:pPr>
          </w:p>
        </w:tc>
        <w:tc>
          <w:tcPr>
            <w:tcW w:w="1260" w:type="pct"/>
            <w:gridSpan w:val="5"/>
            <w:shd w:val="clear" w:color="auto" w:fill="auto"/>
          </w:tcPr>
          <w:p w:rsidR="007A2F35" w:rsidRPr="00D41A6A" w:rsidP="007A2F35">
            <w:pPr>
              <w:pStyle w:val="csbody00"/>
              <w:ind w:left="728" w:firstLine="13"/>
              <w:rPr>
                <w:bCs/>
                <w:lang w:val="en-US" w:eastAsia="de-CH"/>
              </w:rPr>
            </w:pPr>
            <w:r>
              <w:rPr>
                <w:bCs/>
                <w:lang w:val="en-US" w:eastAsia="de-CH"/>
              </w:rPr>
              <w:t>Member of the Executive Board since 22 October 2015</w:t>
            </w:r>
          </w:p>
        </w:tc>
        <w:tc>
          <w:tcPr>
            <w:tcW w:w="1242" w:type="pct"/>
            <w:gridSpan w:val="3"/>
            <w:shd w:val="clear" w:color="auto" w:fill="auto"/>
          </w:tcPr>
          <w:p w:rsidR="007A2F35" w:rsidRPr="000920FD" w:rsidP="007A2F35">
            <w:pPr>
              <w:pStyle w:val="csbody00"/>
              <w:ind w:left="728" w:firstLine="13"/>
              <w:rPr>
                <w:bCs/>
                <w:lang w:val="de-DE" w:eastAsia="de-CH"/>
              </w:rPr>
            </w:pPr>
            <w:r w:rsidRPr="000920FD">
              <w:rPr>
                <w:bCs/>
                <w:lang w:val="de-DE" w:eastAsia="de-CH"/>
              </w:rPr>
              <w:t>Mit</w:t>
            </w:r>
            <w:r w:rsidR="00FD3029">
              <w:rPr>
                <w:bCs/>
                <w:lang w:val="de-DE" w:eastAsia="de-CH"/>
              </w:rPr>
              <w:t>glied der Geschäftsleitung seit</w:t>
            </w:r>
            <w:r>
              <w:rPr>
                <w:bCs/>
                <w:lang w:val="de-DE" w:eastAsia="de-CH"/>
              </w:rPr>
              <w:t xml:space="preserve"> 22. Oktober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825"/>
              <w:rPr>
                <w:color w:val="000000"/>
                <w:lang w:eastAsia="en-GB"/>
              </w:rPr>
            </w:pPr>
            <w:r w:rsidRPr="00C82095">
              <w:t>Chief Operating Officer, Investment Bank (2013-2015)</w:t>
            </w:r>
          </w:p>
        </w:tc>
        <w:tc>
          <w:tcPr>
            <w:tcW w:w="1242" w:type="pct"/>
            <w:gridSpan w:val="3"/>
            <w:shd w:val="clear" w:color="auto" w:fill="auto"/>
          </w:tcPr>
          <w:p w:rsidR="004C1EBA" w:rsidRPr="005C5842" w:rsidP="004C1EBA">
            <w:pPr>
              <w:pStyle w:val="csbody00"/>
              <w:ind w:left="825"/>
              <w:rPr>
                <w:color w:val="000000"/>
                <w:lang w:eastAsia="en-GB"/>
              </w:rPr>
            </w:pPr>
            <w:r w:rsidRPr="00C82095">
              <w:t>Chief Operating Officer, Investment Bank (2013</w:t>
            </w:r>
            <w:r>
              <w:t>–</w:t>
            </w:r>
            <w:r w:rsidRPr="00C82095">
              <w:t>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RPr="008F0298" w:rsidP="004C1EBA">
            <w:pPr>
              <w:pStyle w:val="csbody00"/>
              <w:ind w:left="825"/>
              <w:rPr>
                <w:color w:val="000000"/>
                <w:lang w:eastAsia="en-GB"/>
              </w:rPr>
            </w:pPr>
            <w:r w:rsidRPr="00171DAB">
              <w:t>Chief Financial Officer, Investment Bank (2010-2015)</w:t>
            </w:r>
          </w:p>
        </w:tc>
        <w:tc>
          <w:tcPr>
            <w:tcW w:w="1242" w:type="pct"/>
            <w:gridSpan w:val="3"/>
            <w:shd w:val="clear" w:color="auto" w:fill="auto"/>
          </w:tcPr>
          <w:p w:rsidR="004C1EBA" w:rsidRPr="005C5842" w:rsidP="004C1EBA">
            <w:pPr>
              <w:pStyle w:val="csbody00"/>
              <w:ind w:left="825"/>
              <w:rPr>
                <w:color w:val="000000"/>
                <w:lang w:eastAsia="en-GB"/>
              </w:rPr>
            </w:pPr>
            <w:r w:rsidRPr="00171DAB">
              <w:t xml:space="preserve">Chief Financial </w:t>
            </w:r>
            <w:r>
              <w:t>Officer, Investment Bank (2010–</w:t>
            </w:r>
            <w:r w:rsidRPr="00171DAB">
              <w:t>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RPr="008F0298" w:rsidP="004C1EBA">
            <w:pPr>
              <w:pStyle w:val="csbody00"/>
              <w:ind w:left="825"/>
              <w:rPr>
                <w:color w:val="000000"/>
                <w:lang w:eastAsia="en-GB"/>
              </w:rPr>
            </w:pPr>
            <w:r w:rsidRPr="003A1D14">
              <w:t>Head of Global Fixed Income Research (2009-2010)</w:t>
            </w:r>
          </w:p>
        </w:tc>
        <w:tc>
          <w:tcPr>
            <w:tcW w:w="1242" w:type="pct"/>
            <w:gridSpan w:val="3"/>
            <w:shd w:val="clear" w:color="auto" w:fill="auto"/>
          </w:tcPr>
          <w:p w:rsidR="004C1EBA" w:rsidRPr="005C5842" w:rsidP="004C1EBA">
            <w:pPr>
              <w:pStyle w:val="csbody00"/>
              <w:ind w:left="825"/>
              <w:rPr>
                <w:color w:val="000000"/>
                <w:lang w:eastAsia="en-GB"/>
              </w:rPr>
            </w:pPr>
            <w:r>
              <w:t>Leiterin</w:t>
            </w:r>
            <w:r w:rsidRPr="003A1D14">
              <w:t xml:space="preserve"> Global Fixed Income Research (2009</w:t>
            </w:r>
            <w:r>
              <w:t>–</w:t>
            </w:r>
            <w:r w:rsidRPr="003A1D14">
              <w:t>2010)</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RPr="008F0298" w:rsidP="004C1EBA">
            <w:pPr>
              <w:pStyle w:val="csbody00"/>
              <w:ind w:left="825"/>
              <w:rPr>
                <w:color w:val="000000"/>
                <w:lang w:eastAsia="en-GB"/>
              </w:rPr>
            </w:pPr>
            <w:r w:rsidRPr="00981F25">
              <w:t>Head of US Equity Research (2004-2009)</w:t>
            </w:r>
          </w:p>
        </w:tc>
        <w:tc>
          <w:tcPr>
            <w:tcW w:w="1242" w:type="pct"/>
            <w:gridSpan w:val="3"/>
            <w:shd w:val="clear" w:color="auto" w:fill="auto"/>
          </w:tcPr>
          <w:p w:rsidR="004C1EBA" w:rsidRPr="0080411A" w:rsidP="004C1EBA">
            <w:pPr>
              <w:pStyle w:val="csbody00"/>
              <w:ind w:left="825"/>
              <w:rPr>
                <w:color w:val="000000"/>
                <w:lang w:val="de-DE" w:eastAsia="en-GB"/>
              </w:rPr>
            </w:pPr>
            <w:r>
              <w:t>Leiterin US Equity Research (2004–</w:t>
            </w:r>
            <w:r w:rsidRPr="00981F25">
              <w:t>2009)</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825"/>
              <w:rPr>
                <w:color w:val="000000"/>
                <w:lang w:eastAsia="en-GB"/>
              </w:rPr>
            </w:pPr>
            <w:r w:rsidRPr="005D3273">
              <w:t>Senior Equity Research Analyst (2002-2004)</w:t>
            </w:r>
          </w:p>
        </w:tc>
        <w:tc>
          <w:tcPr>
            <w:tcW w:w="1242" w:type="pct"/>
            <w:gridSpan w:val="3"/>
            <w:shd w:val="clear" w:color="auto" w:fill="auto"/>
          </w:tcPr>
          <w:p w:rsidR="004C1EBA" w:rsidRPr="0080411A" w:rsidP="004C1EBA">
            <w:pPr>
              <w:pStyle w:val="csbody00"/>
              <w:ind w:left="825"/>
              <w:rPr>
                <w:color w:val="000000"/>
                <w:lang w:val="de-DE" w:eastAsia="en-GB"/>
              </w:rPr>
            </w:pPr>
            <w:r w:rsidRPr="005D3273">
              <w:t>Senior Equity Research Analyst (2002</w:t>
            </w:r>
            <w:r>
              <w:t>–</w:t>
            </w:r>
            <w:r w:rsidRPr="005D3273">
              <w:t>2004)</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rPr>
                <w:color w:val="000000"/>
                <w:lang w:eastAsia="en-GB"/>
              </w:rPr>
            </w:pPr>
            <w:r>
              <w:rPr>
                <w:color w:val="000000"/>
                <w:lang w:eastAsia="en-GB"/>
              </w:rPr>
              <w:t>1999-2001</w:t>
            </w:r>
          </w:p>
        </w:tc>
        <w:tc>
          <w:tcPr>
            <w:tcW w:w="1242" w:type="pct"/>
            <w:gridSpan w:val="3"/>
            <w:shd w:val="clear" w:color="auto" w:fill="auto"/>
          </w:tcPr>
          <w:p w:rsidR="004C1EBA" w:rsidRPr="0080411A">
            <w:pPr>
              <w:pStyle w:val="csbody00"/>
              <w:rPr>
                <w:color w:val="000000"/>
                <w:lang w:val="de-DE" w:eastAsia="en-GB"/>
              </w:rPr>
            </w:pPr>
            <w:r>
              <w:rPr>
                <w:color w:val="000000"/>
                <w:lang w:val="de-DE" w:eastAsia="en-GB"/>
              </w:rPr>
              <w:t>1999–2001</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P="004C1EBA">
            <w:pPr>
              <w:pStyle w:val="csbody00"/>
              <w:ind w:left="797"/>
              <w:rPr>
                <w:color w:val="000000"/>
                <w:lang w:eastAsia="en-GB"/>
              </w:rPr>
            </w:pPr>
            <w:r>
              <w:rPr>
                <w:color w:val="000000"/>
                <w:lang w:eastAsia="en-GB"/>
              </w:rPr>
              <w:t>Lehman Brothers</w:t>
            </w:r>
          </w:p>
        </w:tc>
        <w:tc>
          <w:tcPr>
            <w:tcW w:w="1242" w:type="pct"/>
            <w:gridSpan w:val="3"/>
            <w:shd w:val="clear" w:color="auto" w:fill="auto"/>
          </w:tcPr>
          <w:p w:rsidR="004C1EBA" w:rsidP="004C1EBA">
            <w:pPr>
              <w:pStyle w:val="csbody00"/>
              <w:ind w:left="797"/>
              <w:rPr>
                <w:color w:val="000000"/>
                <w:lang w:val="de-DE" w:eastAsia="en-GB"/>
              </w:rPr>
            </w:pPr>
            <w:r>
              <w:rPr>
                <w:color w:val="000000"/>
                <w:lang w:val="de-DE" w:eastAsia="en-GB"/>
              </w:rPr>
              <w:t>Lehman Brothers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797"/>
              <w:rPr>
                <w:color w:val="000000"/>
                <w:lang w:eastAsia="en-GB"/>
              </w:rPr>
            </w:pPr>
            <w:r w:rsidRPr="00211324">
              <w:rPr>
                <w:bCs/>
              </w:rPr>
              <w:t>Equity Research Analyst</w:t>
            </w:r>
          </w:p>
        </w:tc>
        <w:tc>
          <w:tcPr>
            <w:tcW w:w="1242" w:type="pct"/>
            <w:gridSpan w:val="3"/>
            <w:shd w:val="clear" w:color="auto" w:fill="auto"/>
          </w:tcPr>
          <w:p w:rsidR="004C1EBA" w:rsidRPr="0080411A" w:rsidP="004C1EBA">
            <w:pPr>
              <w:pStyle w:val="csbody00"/>
              <w:ind w:left="797"/>
              <w:rPr>
                <w:color w:val="000000"/>
                <w:lang w:val="de-DE" w:eastAsia="en-GB"/>
              </w:rPr>
            </w:pPr>
            <w:r w:rsidRPr="00211324">
              <w:rPr>
                <w:bCs/>
              </w:rPr>
              <w:t>Equity Research Analyst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211324" w:rsidP="004C1EBA">
            <w:pPr>
              <w:pStyle w:val="csbody00"/>
              <w:rPr>
                <w:bCs/>
              </w:rPr>
            </w:pPr>
            <w:r>
              <w:rPr>
                <w:bCs/>
              </w:rPr>
              <w:t>1998-1999</w:t>
            </w:r>
          </w:p>
        </w:tc>
        <w:tc>
          <w:tcPr>
            <w:tcW w:w="1242" w:type="pct"/>
            <w:gridSpan w:val="3"/>
            <w:shd w:val="clear" w:color="auto" w:fill="auto"/>
          </w:tcPr>
          <w:p w:rsidR="004C1EBA" w:rsidRPr="00211324">
            <w:pPr>
              <w:pStyle w:val="csbody00"/>
              <w:rPr>
                <w:bCs/>
              </w:rPr>
            </w:pPr>
            <w:r>
              <w:rPr>
                <w:bCs/>
              </w:rPr>
              <w:t>1998–1999</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211324" w:rsidP="004C1EBA">
            <w:pPr>
              <w:pStyle w:val="csbody00"/>
              <w:ind w:left="769"/>
              <w:rPr>
                <w:bCs/>
              </w:rPr>
            </w:pPr>
            <w:r>
              <w:rPr>
                <w:bCs/>
              </w:rPr>
              <w:t>AT&amp;T</w:t>
            </w:r>
          </w:p>
        </w:tc>
        <w:tc>
          <w:tcPr>
            <w:tcW w:w="1242" w:type="pct"/>
            <w:gridSpan w:val="3"/>
            <w:shd w:val="clear" w:color="auto" w:fill="auto"/>
          </w:tcPr>
          <w:p w:rsidR="004C1EBA" w:rsidRPr="00211324" w:rsidP="004C1EBA">
            <w:pPr>
              <w:pStyle w:val="csbody00"/>
              <w:ind w:left="769"/>
              <w:rPr>
                <w:bCs/>
              </w:rPr>
            </w:pPr>
            <w:r>
              <w:rPr>
                <w:bCs/>
              </w:rPr>
              <w:t>AT&amp;T</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211324" w:rsidP="004C1EBA">
            <w:pPr>
              <w:pStyle w:val="csbody00"/>
              <w:ind w:left="769"/>
              <w:rPr>
                <w:bCs/>
              </w:rPr>
            </w:pPr>
            <w:r>
              <w:rPr>
                <w:bCs/>
              </w:rPr>
              <w:t>Director of Investor Relations</w:t>
            </w:r>
          </w:p>
        </w:tc>
        <w:tc>
          <w:tcPr>
            <w:tcW w:w="1242" w:type="pct"/>
            <w:gridSpan w:val="3"/>
            <w:shd w:val="clear" w:color="auto" w:fill="auto"/>
          </w:tcPr>
          <w:p w:rsidR="004C1EBA" w:rsidRPr="00211324" w:rsidP="004C1EBA">
            <w:pPr>
              <w:pStyle w:val="csbody00"/>
              <w:ind w:left="769"/>
              <w:rPr>
                <w:bCs/>
              </w:rPr>
            </w:pPr>
            <w:r>
              <w:rPr>
                <w:bCs/>
              </w:rPr>
              <w:t>Direktorin Investor Relations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211324" w:rsidP="004C1EBA">
            <w:pPr>
              <w:pStyle w:val="csbody00"/>
              <w:ind w:left="769"/>
              <w:rPr>
                <w:bCs/>
              </w:rPr>
            </w:pPr>
            <w:r>
              <w:rPr>
                <w:bCs/>
              </w:rPr>
              <w:t>Chief Financial Officer, Competitive Local Exchange Business</w:t>
            </w:r>
          </w:p>
        </w:tc>
        <w:tc>
          <w:tcPr>
            <w:tcW w:w="1242" w:type="pct"/>
            <w:gridSpan w:val="3"/>
            <w:shd w:val="clear" w:color="auto" w:fill="auto"/>
          </w:tcPr>
          <w:p w:rsidR="004C1EBA" w:rsidRPr="00211324" w:rsidP="004C1EBA">
            <w:pPr>
              <w:pStyle w:val="csbody00"/>
              <w:ind w:left="769"/>
              <w:rPr>
                <w:bCs/>
              </w:rPr>
            </w:pPr>
            <w:r>
              <w:rPr>
                <w:bCs/>
              </w:rPr>
              <w:t>Chief Financial Officer, Competitive Local Exchange Business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RPr="008F0298" w:rsidP="004C1EBA">
            <w:pPr>
              <w:pStyle w:val="csbody00"/>
              <w:rPr>
                <w:color w:val="000000"/>
                <w:lang w:eastAsia="en-GB"/>
              </w:rPr>
            </w:pPr>
            <w:r w:rsidRPr="0080411A">
              <w:rPr>
                <w:b/>
                <w:bCs/>
                <w:lang w:val="en-US" w:eastAsia="de-CH"/>
              </w:rPr>
              <w:t>Education</w:t>
            </w:r>
          </w:p>
        </w:tc>
        <w:tc>
          <w:tcPr>
            <w:tcW w:w="1242" w:type="pct"/>
            <w:gridSpan w:val="3"/>
            <w:shd w:val="clear" w:color="auto" w:fill="auto"/>
          </w:tcPr>
          <w:p w:rsidR="004C1EBA" w:rsidRPr="0080411A" w:rsidP="004C1EBA">
            <w:pPr>
              <w:pStyle w:val="csbody00"/>
              <w:rPr>
                <w:color w:val="000000"/>
                <w:lang w:val="de-DE" w:eastAsia="en-GB"/>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rPr>
                <w:color w:val="000000"/>
                <w:lang w:eastAsia="en-GB"/>
              </w:rPr>
            </w:pPr>
            <w:r w:rsidRPr="00726611">
              <w:rPr>
                <w:bCs/>
              </w:rPr>
              <w:t xml:space="preserve">1988 B.S., </w:t>
            </w:r>
            <w:r w:rsidRPr="00726611">
              <w:t>Pennsylvania</w:t>
            </w:r>
            <w:r w:rsidRPr="00726611">
              <w:rPr>
                <w:bCs/>
              </w:rPr>
              <w:t xml:space="preserve"> State University</w:t>
            </w:r>
          </w:p>
        </w:tc>
        <w:tc>
          <w:tcPr>
            <w:tcW w:w="1242" w:type="pct"/>
            <w:gridSpan w:val="3"/>
            <w:shd w:val="clear" w:color="auto" w:fill="auto"/>
          </w:tcPr>
          <w:p w:rsidR="004C1EBA" w:rsidRPr="005C5842">
            <w:pPr>
              <w:pStyle w:val="csbody00"/>
              <w:rPr>
                <w:color w:val="000000"/>
                <w:lang w:eastAsia="en-GB"/>
              </w:rPr>
            </w:pPr>
            <w:r w:rsidRPr="00726611">
              <w:rPr>
                <w:bCs/>
              </w:rPr>
              <w:t>1988 B.S.</w:t>
            </w:r>
            <w:r>
              <w:rPr>
                <w:bCs/>
              </w:rPr>
              <w:t>-Abschluss,</w:t>
            </w:r>
            <w:r w:rsidRPr="00726611">
              <w:rPr>
                <w:bCs/>
              </w:rPr>
              <w:t xml:space="preserve"> </w:t>
            </w:r>
            <w:r w:rsidRPr="00726611">
              <w:t>Pennsylvania</w:t>
            </w:r>
            <w:r w:rsidRPr="00726611">
              <w:rPr>
                <w:bCs/>
              </w:rPr>
              <w:t xml:space="preserve"> State University</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RPr="008F0298" w:rsidP="004C1EBA">
            <w:pPr>
              <w:pStyle w:val="csbody00"/>
              <w:rPr>
                <w:color w:val="000000"/>
                <w:lang w:eastAsia="en-GB"/>
              </w:rPr>
            </w:pPr>
            <w:r w:rsidRPr="0080411A">
              <w:rPr>
                <w:b/>
                <w:bCs/>
                <w:lang w:val="en-US" w:eastAsia="de-CH"/>
              </w:rPr>
              <w:t>Other activities and functions</w:t>
            </w:r>
          </w:p>
        </w:tc>
        <w:tc>
          <w:tcPr>
            <w:tcW w:w="1242" w:type="pct"/>
            <w:gridSpan w:val="3"/>
            <w:shd w:val="clear" w:color="auto" w:fill="auto"/>
          </w:tcPr>
          <w:p w:rsidR="004C1EBA" w:rsidRPr="0080411A" w:rsidP="004C1EBA">
            <w:pPr>
              <w:pStyle w:val="csbody00"/>
              <w:rPr>
                <w:color w:val="000000"/>
                <w:lang w:val="de-DE" w:eastAsia="en-GB"/>
              </w:rPr>
            </w:pPr>
            <w:r w:rsidRPr="0080411A">
              <w:rPr>
                <w:b/>
                <w:bCs/>
                <w:lang w:val="de-DE" w:eastAsia="de-CH"/>
              </w:rPr>
              <w:t>Sonstige Aktivitäten und Funktionen</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rPr>
                <w:color w:val="000000"/>
                <w:lang w:eastAsia="en-GB"/>
              </w:rPr>
            </w:pPr>
            <w:r w:rsidRPr="0010276B">
              <w:rPr>
                <w:bCs/>
              </w:rPr>
              <w:t>Women</w:t>
            </w:r>
            <w:r w:rsidRPr="0010276B">
              <w:rPr>
                <w:bCs/>
                <w:lang w:val="en-US"/>
              </w:rPr>
              <w:t>’</w:t>
            </w:r>
            <w:r w:rsidRPr="0010276B">
              <w:rPr>
                <w:bCs/>
              </w:rPr>
              <w:t>s Leadership Board of Harvard University</w:t>
            </w:r>
            <w:r w:rsidRPr="0010276B">
              <w:rPr>
                <w:bCs/>
                <w:lang w:val="en-US"/>
              </w:rPr>
              <w:t>’</w:t>
            </w:r>
            <w:r w:rsidRPr="0010276B">
              <w:rPr>
                <w:bCs/>
              </w:rPr>
              <w:t>s John F. Kennedy School of Government, executive committee chair</w:t>
            </w:r>
          </w:p>
        </w:tc>
        <w:tc>
          <w:tcPr>
            <w:tcW w:w="1242" w:type="pct"/>
            <w:gridSpan w:val="3"/>
            <w:shd w:val="clear" w:color="auto" w:fill="auto"/>
          </w:tcPr>
          <w:p w:rsidR="004C1EBA" w:rsidRPr="005C5842">
            <w:pPr>
              <w:pStyle w:val="csbody00"/>
              <w:rPr>
                <w:color w:val="000000"/>
                <w:lang w:eastAsia="en-GB"/>
              </w:rPr>
            </w:pPr>
            <w:r w:rsidRPr="0010276B">
              <w:rPr>
                <w:bCs/>
              </w:rPr>
              <w:t>Women</w:t>
            </w:r>
            <w:r w:rsidRPr="0010276B">
              <w:rPr>
                <w:bCs/>
                <w:lang w:val="en-US"/>
              </w:rPr>
              <w:t>’</w:t>
            </w:r>
            <w:r w:rsidRPr="0010276B">
              <w:rPr>
                <w:bCs/>
              </w:rPr>
              <w:t>s Leadership Board of Harvard University</w:t>
            </w:r>
            <w:r w:rsidRPr="0010276B">
              <w:rPr>
                <w:bCs/>
                <w:lang w:val="en-US"/>
              </w:rPr>
              <w:t>’</w:t>
            </w:r>
            <w:r w:rsidRPr="0010276B">
              <w:rPr>
                <w:bCs/>
              </w:rPr>
              <w:t xml:space="preserve">s John F. Kennedy School of Government, </w:t>
            </w:r>
            <w:r>
              <w:rPr>
                <w:bCs/>
              </w:rPr>
              <w:t>Vorsitzende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RPr="008F0298" w:rsidP="004C1EBA">
            <w:pPr>
              <w:pStyle w:val="csbody00"/>
              <w:rPr>
                <w:color w:val="000000"/>
                <w:lang w:eastAsia="en-GB"/>
              </w:rPr>
            </w:pPr>
            <w:r w:rsidRPr="00D2335A">
              <w:rPr>
                <w:bCs/>
              </w:rPr>
              <w:t>Aspen Institute's Business and Society Program, board member</w:t>
            </w:r>
          </w:p>
        </w:tc>
        <w:tc>
          <w:tcPr>
            <w:tcW w:w="1242" w:type="pct"/>
            <w:gridSpan w:val="3"/>
            <w:shd w:val="clear" w:color="auto" w:fill="auto"/>
          </w:tcPr>
          <w:p w:rsidR="004C1EBA" w:rsidRPr="0080411A">
            <w:pPr>
              <w:pStyle w:val="csbody00"/>
              <w:rPr>
                <w:color w:val="000000"/>
                <w:lang w:val="de-DE" w:eastAsia="en-GB"/>
              </w:rPr>
            </w:pPr>
            <w:r w:rsidRPr="00D2335A">
              <w:rPr>
                <w:bCs/>
              </w:rPr>
              <w:t xml:space="preserve">Aspen Institute's Business and Society Program, </w:t>
            </w:r>
            <w:r>
              <w:rPr>
                <w:bCs/>
              </w:rPr>
              <w:t>Mitglied des Verwaltungsrats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r>
              <w:rPr>
                <w:lang w:val="de-DE" w:eastAsia="de-CH"/>
              </w:rPr>
              <w:t>Peter Goerke</w:t>
            </w:r>
          </w:p>
        </w:tc>
        <w:tc>
          <w:tcPr>
            <w:tcW w:w="1257" w:type="pct"/>
            <w:gridSpan w:val="2"/>
            <w:shd w:val="clear" w:color="auto" w:fill="auto"/>
          </w:tcPr>
          <w:p w:rsidR="004C1EBA" w:rsidRPr="0080411A" w:rsidP="004C1EBA">
            <w:pPr>
              <w:pStyle w:val="csbody00"/>
              <w:jc w:val="left"/>
              <w:rPr>
                <w:lang w:val="de-CH" w:eastAsia="de-CH"/>
              </w:rPr>
            </w:pPr>
            <w:r w:rsidRPr="0080411A">
              <w:rPr>
                <w:lang w:val="de-CH" w:eastAsia="de-CH"/>
              </w:rPr>
              <w:t>Credit Suisse AG</w:t>
            </w:r>
            <w:r w:rsidRPr="0080411A">
              <w:rPr>
                <w:lang w:val="de-CH" w:eastAsia="de-CH"/>
              </w:rPr>
              <w:br/>
              <w:t>Paradeplatz 8</w:t>
            </w:r>
            <w:r w:rsidRPr="0080411A">
              <w:rPr>
                <w:lang w:val="de-CH" w:eastAsia="de-CH"/>
              </w:rPr>
              <w:br/>
              <w:t>8001 Zurich</w:t>
            </w:r>
            <w:r w:rsidRPr="0080411A">
              <w:rPr>
                <w:lang w:val="de-CH" w:eastAsia="de-CH"/>
              </w:rPr>
              <w:br/>
              <w:t>Switzerland</w:t>
            </w:r>
          </w:p>
        </w:tc>
        <w:tc>
          <w:tcPr>
            <w:tcW w:w="1260" w:type="pct"/>
            <w:gridSpan w:val="5"/>
            <w:shd w:val="clear" w:color="auto" w:fill="auto"/>
          </w:tcPr>
          <w:p w:rsidR="004C1EBA" w:rsidRPr="0080411A" w:rsidP="004C1EBA">
            <w:pPr>
              <w:pStyle w:val="csbody00"/>
              <w:rPr>
                <w:b/>
                <w:bCs/>
                <w:lang w:val="en-US" w:eastAsia="de-CH"/>
              </w:rPr>
            </w:pPr>
            <w:r w:rsidRPr="0080411A">
              <w:rPr>
                <w:b/>
                <w:bCs/>
                <w:lang w:val="en-US" w:eastAsia="de-CH"/>
              </w:rPr>
              <w:t>Professional history</w:t>
            </w:r>
          </w:p>
          <w:p w:rsidR="004C1EBA" w:rsidRPr="008F0298">
            <w:pPr>
              <w:pStyle w:val="csbody00"/>
              <w:rPr>
                <w:color w:val="000000"/>
                <w:lang w:eastAsia="en-GB"/>
              </w:rPr>
            </w:pPr>
            <w:r w:rsidRPr="0080411A">
              <w:rPr>
                <w:bCs/>
                <w:lang w:val="en-US" w:eastAsia="de-CH"/>
              </w:rPr>
              <w:t>20</w:t>
            </w:r>
            <w:r>
              <w:rPr>
                <w:bCs/>
                <w:lang w:val="en-US" w:eastAsia="de-CH"/>
              </w:rPr>
              <w:t>15</w:t>
            </w:r>
            <w:r w:rsidRPr="0080411A">
              <w:rPr>
                <w:bCs/>
                <w:lang w:val="en-US" w:eastAsia="de-CH"/>
              </w:rPr>
              <w:t>–present</w:t>
            </w:r>
          </w:p>
        </w:tc>
        <w:tc>
          <w:tcPr>
            <w:tcW w:w="1242" w:type="pct"/>
            <w:gridSpan w:val="3"/>
            <w:shd w:val="clear" w:color="auto" w:fill="auto"/>
          </w:tcPr>
          <w:p w:rsidR="004C1EBA" w:rsidRPr="0080411A" w:rsidP="004C1EBA">
            <w:pPr>
              <w:pStyle w:val="csbody00"/>
              <w:rPr>
                <w:b/>
                <w:bCs/>
                <w:lang w:val="en-US" w:eastAsia="de-CH"/>
              </w:rPr>
            </w:pPr>
            <w:r w:rsidRPr="0080411A">
              <w:rPr>
                <w:b/>
                <w:bCs/>
                <w:lang w:val="en-US" w:eastAsia="de-CH"/>
              </w:rPr>
              <w:t>Werdegang</w:t>
            </w:r>
          </w:p>
          <w:p w:rsidR="004C1EBA" w:rsidRPr="0080411A">
            <w:pPr>
              <w:pStyle w:val="csbody00"/>
              <w:rPr>
                <w:color w:val="000000"/>
                <w:lang w:val="de-DE" w:eastAsia="en-GB"/>
              </w:rPr>
            </w:pPr>
            <w:r w:rsidRPr="0080411A">
              <w:rPr>
                <w:bCs/>
                <w:lang w:val="en-US" w:eastAsia="de-CH"/>
              </w:rPr>
              <w:t>20</w:t>
            </w:r>
            <w:r>
              <w:rPr>
                <w:bCs/>
                <w:lang w:val="en-US" w:eastAsia="de-CH"/>
              </w:rPr>
              <w:t>15</w:t>
            </w:r>
            <w:r w:rsidRPr="0080411A">
              <w:rPr>
                <w:bCs/>
                <w:lang w:val="en-US" w:eastAsia="de-CH"/>
              </w:rPr>
              <w:t xml:space="preserve"> </w:t>
            </w:r>
            <w:r w:rsidRPr="0080411A">
              <w:rPr>
                <w:bCs/>
                <w:lang w:val="en-US" w:eastAsia="de-CH"/>
              </w:rPr>
              <w:t xml:space="preserve">bis heute </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797" w:hanging="14"/>
              <w:rPr>
                <w:color w:val="000000"/>
                <w:lang w:eastAsia="en-GB"/>
              </w:rPr>
            </w:pPr>
            <w:r w:rsidRPr="0080411A">
              <w:rPr>
                <w:bCs/>
                <w:lang w:val="en-US" w:eastAsia="de-CH"/>
              </w:rPr>
              <w:t>Credit Suisse</w:t>
            </w:r>
          </w:p>
        </w:tc>
        <w:tc>
          <w:tcPr>
            <w:tcW w:w="1242" w:type="pct"/>
            <w:gridSpan w:val="3"/>
            <w:shd w:val="clear" w:color="auto" w:fill="auto"/>
          </w:tcPr>
          <w:p w:rsidR="004C1EBA" w:rsidRPr="0080411A" w:rsidP="004C1EBA">
            <w:pPr>
              <w:pStyle w:val="csbody00"/>
              <w:ind w:left="797" w:hanging="14"/>
              <w:rPr>
                <w:color w:val="000000"/>
                <w:lang w:val="de-DE" w:eastAsia="en-GB"/>
              </w:rPr>
            </w:pPr>
            <w:r w:rsidRPr="0080411A">
              <w:rPr>
                <w:bCs/>
                <w:lang w:val="en-US" w:eastAsia="de-CH"/>
              </w:rPr>
              <w:t>Credit Suisse</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pPr>
              <w:pStyle w:val="csbody00"/>
              <w:ind w:left="797" w:hanging="14"/>
              <w:rPr>
                <w:color w:val="000000"/>
                <w:lang w:eastAsia="en-GB"/>
              </w:rPr>
            </w:pPr>
            <w:r w:rsidRPr="00A9333D">
              <w:t>Head Human Resources, Communications and Branding (</w:t>
            </w:r>
            <w:r w:rsidR="007A2F35">
              <w:t>since 22</w:t>
            </w:r>
            <w:r w:rsidRPr="00A9333D">
              <w:t xml:space="preserve"> October 2015)</w:t>
            </w:r>
          </w:p>
        </w:tc>
        <w:tc>
          <w:tcPr>
            <w:tcW w:w="1242" w:type="pct"/>
            <w:gridSpan w:val="3"/>
            <w:shd w:val="clear" w:color="auto" w:fill="auto"/>
          </w:tcPr>
          <w:p w:rsidR="004C1EBA" w:rsidRPr="0080411A" w:rsidP="004C1EBA">
            <w:pPr>
              <w:pStyle w:val="csbody00"/>
              <w:ind w:left="797" w:hanging="14"/>
              <w:rPr>
                <w:color w:val="000000"/>
                <w:lang w:val="de-DE" w:eastAsia="en-GB"/>
              </w:rPr>
            </w:pPr>
            <w:r>
              <w:t>Leiter</w:t>
            </w:r>
            <w:r w:rsidRPr="00A9333D">
              <w:t xml:space="preserve"> Human Resources, Communications and Branding (</w:t>
            </w:r>
            <w:r>
              <w:t>seit dem 22. Oktober</w:t>
            </w:r>
            <w:r w:rsidRPr="00A9333D">
              <w:t xml:space="preserve"> 2015)</w:t>
            </w:r>
          </w:p>
        </w:tc>
      </w:tr>
      <w:tr w:rsidTr="007A2F35">
        <w:tblPrEx>
          <w:tblW w:w="5002" w:type="pct"/>
          <w:tblBorders>
            <w:insideV w:val="single" w:sz="4" w:space="0" w:color="auto"/>
          </w:tblBorders>
          <w:tblLayout w:type="fixed"/>
          <w:tblLook w:val="00A0"/>
        </w:tblPrEx>
        <w:tc>
          <w:tcPr>
            <w:tcW w:w="1242" w:type="pct"/>
            <w:gridSpan w:val="3"/>
            <w:shd w:val="clear" w:color="auto" w:fill="auto"/>
          </w:tcPr>
          <w:p w:rsidR="007A2F35" w:rsidRPr="00FB4503" w:rsidP="007A2F35">
            <w:pPr>
              <w:pStyle w:val="csbody00"/>
              <w:rPr>
                <w:lang w:val="de-DE" w:eastAsia="de-CH"/>
              </w:rPr>
            </w:pPr>
          </w:p>
        </w:tc>
        <w:tc>
          <w:tcPr>
            <w:tcW w:w="1257" w:type="pct"/>
            <w:gridSpan w:val="2"/>
            <w:shd w:val="clear" w:color="auto" w:fill="auto"/>
          </w:tcPr>
          <w:p w:rsidR="007A2F35" w:rsidRPr="00FB4503" w:rsidP="007A2F35">
            <w:pPr>
              <w:pStyle w:val="csbody00"/>
              <w:rPr>
                <w:lang w:val="de-DE" w:eastAsia="de-CH"/>
              </w:rPr>
            </w:pPr>
          </w:p>
        </w:tc>
        <w:tc>
          <w:tcPr>
            <w:tcW w:w="1260" w:type="pct"/>
            <w:gridSpan w:val="5"/>
            <w:shd w:val="clear" w:color="auto" w:fill="auto"/>
          </w:tcPr>
          <w:p w:rsidR="007A2F35" w:rsidRPr="00D41A6A" w:rsidP="007A2F35">
            <w:pPr>
              <w:pStyle w:val="csbody00"/>
              <w:ind w:left="728" w:firstLine="13"/>
              <w:rPr>
                <w:bCs/>
                <w:lang w:val="en-US" w:eastAsia="de-CH"/>
              </w:rPr>
            </w:pPr>
            <w:r>
              <w:rPr>
                <w:bCs/>
                <w:lang w:val="en-US" w:eastAsia="de-CH"/>
              </w:rPr>
              <w:t>Member of the Executive Board since 22 October 2015</w:t>
            </w:r>
          </w:p>
        </w:tc>
        <w:tc>
          <w:tcPr>
            <w:tcW w:w="1242" w:type="pct"/>
            <w:gridSpan w:val="3"/>
            <w:shd w:val="clear" w:color="auto" w:fill="auto"/>
          </w:tcPr>
          <w:p w:rsidR="007A2F35" w:rsidRPr="000920FD" w:rsidP="007A2F35">
            <w:pPr>
              <w:pStyle w:val="csbody00"/>
              <w:ind w:left="728" w:firstLine="13"/>
              <w:rPr>
                <w:bCs/>
                <w:lang w:val="de-DE" w:eastAsia="de-CH"/>
              </w:rPr>
            </w:pPr>
            <w:r w:rsidRPr="000920FD">
              <w:rPr>
                <w:bCs/>
                <w:lang w:val="de-DE" w:eastAsia="de-CH"/>
              </w:rPr>
              <w:t>Mit</w:t>
            </w:r>
            <w:r w:rsidR="00FD3029">
              <w:rPr>
                <w:bCs/>
                <w:lang w:val="de-DE" w:eastAsia="de-CH"/>
              </w:rPr>
              <w:t>glied der Geschäftsleitung seit</w:t>
            </w:r>
            <w:r>
              <w:rPr>
                <w:bCs/>
                <w:lang w:val="de-DE" w:eastAsia="de-CH"/>
              </w:rPr>
              <w:t xml:space="preserve"> 22. Oktober 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rPr>
                <w:color w:val="000000"/>
                <w:lang w:eastAsia="en-GB"/>
              </w:rPr>
            </w:pPr>
            <w:r>
              <w:rPr>
                <w:color w:val="000000"/>
                <w:lang w:eastAsia="en-GB"/>
              </w:rPr>
              <w:t>2011-2015</w:t>
            </w:r>
          </w:p>
        </w:tc>
        <w:tc>
          <w:tcPr>
            <w:tcW w:w="1242" w:type="pct"/>
            <w:gridSpan w:val="3"/>
            <w:shd w:val="clear" w:color="auto" w:fill="auto"/>
          </w:tcPr>
          <w:p w:rsidR="004C1EBA" w:rsidRPr="0080411A">
            <w:pPr>
              <w:pStyle w:val="csbody00"/>
              <w:rPr>
                <w:color w:val="000000"/>
                <w:lang w:val="de-DE" w:eastAsia="en-GB"/>
              </w:rPr>
            </w:pPr>
            <w:r>
              <w:rPr>
                <w:color w:val="000000"/>
                <w:lang w:val="de-DE" w:eastAsia="en-GB"/>
              </w:rPr>
              <w:t>2011–2015</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811"/>
              <w:rPr>
                <w:color w:val="000000"/>
                <w:lang w:eastAsia="en-GB"/>
              </w:rPr>
            </w:pPr>
            <w:r>
              <w:rPr>
                <w:color w:val="000000"/>
                <w:lang w:eastAsia="en-GB"/>
              </w:rPr>
              <w:t>Prudential Plc</w:t>
            </w:r>
          </w:p>
        </w:tc>
        <w:tc>
          <w:tcPr>
            <w:tcW w:w="1242" w:type="pct"/>
            <w:gridSpan w:val="3"/>
            <w:shd w:val="clear" w:color="auto" w:fill="auto"/>
          </w:tcPr>
          <w:p w:rsidR="004C1EBA" w:rsidRPr="0080411A" w:rsidP="004C1EBA">
            <w:pPr>
              <w:pStyle w:val="csbody00"/>
              <w:ind w:left="811"/>
              <w:rPr>
                <w:color w:val="000000"/>
                <w:lang w:val="de-DE" w:eastAsia="en-GB"/>
              </w:rPr>
            </w:pPr>
            <w:r>
              <w:rPr>
                <w:color w:val="000000"/>
                <w:lang w:val="de-DE" w:eastAsia="en-GB"/>
              </w:rPr>
              <w:t>Prudential Plc</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811"/>
              <w:rPr>
                <w:color w:val="000000"/>
                <w:lang w:eastAsia="en-GB"/>
              </w:rPr>
            </w:pPr>
            <w:r w:rsidRPr="00EE31DA">
              <w:t>Group</w:t>
            </w:r>
            <w:r w:rsidRPr="00EE31DA">
              <w:rPr>
                <w:bCs/>
              </w:rPr>
              <w:t xml:space="preserve"> HR Director</w:t>
            </w:r>
            <w:r w:rsidR="007A2F35">
              <w:rPr>
                <w:bCs/>
              </w:rPr>
              <w:t xml:space="preserve"> (</w:t>
            </w:r>
            <w:r w:rsidR="007A2F35">
              <w:rPr>
                <w:color w:val="000000"/>
                <w:lang w:eastAsia="en-GB"/>
              </w:rPr>
              <w:t>2005-2011)</w:t>
            </w:r>
          </w:p>
        </w:tc>
        <w:tc>
          <w:tcPr>
            <w:tcW w:w="1242" w:type="pct"/>
            <w:gridSpan w:val="3"/>
            <w:shd w:val="clear" w:color="auto" w:fill="auto"/>
          </w:tcPr>
          <w:p w:rsidR="004C1EBA" w:rsidRPr="0080411A" w:rsidP="004C1EBA">
            <w:pPr>
              <w:pStyle w:val="csbody00"/>
              <w:ind w:left="811"/>
              <w:rPr>
                <w:color w:val="000000"/>
                <w:lang w:val="de-DE" w:eastAsia="en-GB"/>
              </w:rPr>
            </w:pPr>
            <w:r>
              <w:t xml:space="preserve">Gruppendirektor </w:t>
            </w:r>
            <w:r>
              <w:rPr>
                <w:bCs/>
              </w:rPr>
              <w:t>HR</w:t>
            </w:r>
            <w:r w:rsidR="007A2F35">
              <w:rPr>
                <w:bCs/>
              </w:rPr>
              <w:t xml:space="preserve"> (</w:t>
            </w:r>
            <w:r w:rsidR="007A2F35">
              <w:rPr>
                <w:color w:val="000000"/>
                <w:lang w:eastAsia="en-GB"/>
              </w:rPr>
              <w:t>2005-2011)</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RPr="008F0298" w:rsidP="004C1EBA">
            <w:pPr>
              <w:pStyle w:val="csbody00"/>
              <w:ind w:left="853" w:hanging="28"/>
              <w:rPr>
                <w:color w:val="000000"/>
                <w:lang w:eastAsia="en-GB"/>
              </w:rPr>
            </w:pPr>
            <w:r>
              <w:rPr>
                <w:color w:val="000000"/>
                <w:lang w:eastAsia="en-GB"/>
              </w:rPr>
              <w:t>Zurich Financial Services</w:t>
            </w:r>
          </w:p>
        </w:tc>
        <w:tc>
          <w:tcPr>
            <w:tcW w:w="1242" w:type="pct"/>
            <w:gridSpan w:val="3"/>
            <w:shd w:val="clear" w:color="auto" w:fill="auto"/>
          </w:tcPr>
          <w:p w:rsidR="004C1EBA" w:rsidRPr="0080411A" w:rsidP="004C1EBA">
            <w:pPr>
              <w:pStyle w:val="csbody00"/>
              <w:ind w:left="853" w:hanging="28"/>
              <w:rPr>
                <w:color w:val="000000"/>
                <w:lang w:val="de-DE" w:eastAsia="en-GB"/>
              </w:rPr>
            </w:pPr>
            <w:r>
              <w:rPr>
                <w:color w:val="000000"/>
                <w:lang w:val="de-DE" w:eastAsia="en-GB"/>
              </w:rPr>
              <w:t>Zurich Financial Services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P="004C1EBA">
            <w:pPr>
              <w:pStyle w:val="csbody00"/>
              <w:ind w:left="853" w:hanging="28"/>
              <w:rPr>
                <w:color w:val="000000"/>
                <w:lang w:eastAsia="en-GB"/>
              </w:rPr>
            </w:pPr>
            <w:r w:rsidRPr="00D606B2">
              <w:t>Group</w:t>
            </w:r>
            <w:r w:rsidRPr="00D606B2">
              <w:rPr>
                <w:bCs/>
              </w:rPr>
              <w:t xml:space="preserve"> Head </w:t>
            </w:r>
            <w:r w:rsidRPr="00D606B2">
              <w:t>of</w:t>
            </w:r>
            <w:r w:rsidRPr="00D606B2">
              <w:rPr>
                <w:bCs/>
              </w:rPr>
              <w:t xml:space="preserve"> Human Resources</w:t>
            </w:r>
          </w:p>
        </w:tc>
        <w:tc>
          <w:tcPr>
            <w:tcW w:w="1242" w:type="pct"/>
            <w:gridSpan w:val="3"/>
            <w:shd w:val="clear" w:color="auto" w:fill="auto"/>
          </w:tcPr>
          <w:p w:rsidR="004C1EBA" w:rsidP="004C1EBA">
            <w:pPr>
              <w:pStyle w:val="csbody00"/>
              <w:ind w:left="853" w:hanging="28"/>
              <w:rPr>
                <w:color w:val="000000"/>
                <w:lang w:val="de-DE" w:eastAsia="en-GB"/>
              </w:rPr>
            </w:pPr>
            <w:r>
              <w:t xml:space="preserve">Gruppenleiter </w:t>
            </w:r>
            <w:r w:rsidRPr="00D606B2">
              <w:rPr>
                <w:bCs/>
              </w:rPr>
              <w:t>Human Resources</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P="004C1EBA">
            <w:pPr>
              <w:pStyle w:val="csbody00"/>
              <w:rPr>
                <w:color w:val="000000"/>
                <w:lang w:eastAsia="en-GB"/>
              </w:rPr>
            </w:pPr>
            <w:r w:rsidRPr="0080411A">
              <w:rPr>
                <w:b/>
                <w:bCs/>
                <w:lang w:val="en-US" w:eastAsia="de-CH"/>
              </w:rPr>
              <w:t>Education</w:t>
            </w:r>
          </w:p>
        </w:tc>
        <w:tc>
          <w:tcPr>
            <w:tcW w:w="1242" w:type="pct"/>
            <w:gridSpan w:val="3"/>
            <w:shd w:val="clear" w:color="auto" w:fill="auto"/>
          </w:tcPr>
          <w:p w:rsidR="004C1EBA" w:rsidP="004C1EBA">
            <w:pPr>
              <w:pStyle w:val="csbody00"/>
              <w:rPr>
                <w:color w:val="000000"/>
                <w:lang w:val="de-DE" w:eastAsia="en-GB"/>
              </w:rPr>
            </w:pPr>
            <w:r w:rsidRPr="0080411A">
              <w:rPr>
                <w:b/>
                <w:bCs/>
                <w:lang w:val="de-DE" w:eastAsia="de-CH"/>
              </w:rPr>
              <w:t>Ausbildung</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8C3BE3" w:rsidP="004C1EBA">
            <w:pPr>
              <w:pStyle w:val="csbody00"/>
              <w:rPr>
                <w:lang w:val="de-DE" w:eastAsia="de-CH"/>
              </w:rPr>
            </w:pPr>
          </w:p>
        </w:tc>
        <w:tc>
          <w:tcPr>
            <w:tcW w:w="1257" w:type="pct"/>
            <w:gridSpan w:val="2"/>
            <w:shd w:val="clear" w:color="auto" w:fill="auto"/>
          </w:tcPr>
          <w:p w:rsidR="004C1EBA" w:rsidRPr="0080411A" w:rsidP="004C1EBA">
            <w:pPr>
              <w:pStyle w:val="csbody00"/>
              <w:jc w:val="left"/>
              <w:rPr>
                <w:lang w:val="de-CH" w:eastAsia="de-CH"/>
              </w:rPr>
            </w:pPr>
          </w:p>
        </w:tc>
        <w:tc>
          <w:tcPr>
            <w:tcW w:w="1260" w:type="pct"/>
            <w:gridSpan w:val="5"/>
            <w:shd w:val="clear" w:color="auto" w:fill="auto"/>
          </w:tcPr>
          <w:p w:rsidR="004C1EBA" w:rsidP="004C1EBA">
            <w:pPr>
              <w:pStyle w:val="csbody00"/>
              <w:rPr>
                <w:color w:val="000000"/>
                <w:lang w:eastAsia="en-GB"/>
              </w:rPr>
            </w:pPr>
            <w:r w:rsidRPr="001E345D">
              <w:rPr>
                <w:color w:val="000000"/>
                <w:lang w:eastAsia="en-GB"/>
              </w:rPr>
              <w:t>2002 University of Pennsylvania – The Wharton School</w:t>
            </w:r>
          </w:p>
        </w:tc>
        <w:tc>
          <w:tcPr>
            <w:tcW w:w="1242" w:type="pct"/>
            <w:gridSpan w:val="3"/>
            <w:shd w:val="clear" w:color="auto" w:fill="auto"/>
          </w:tcPr>
          <w:p w:rsidR="004C1EBA" w:rsidRPr="005C5842" w:rsidP="004C1EBA">
            <w:pPr>
              <w:pStyle w:val="csbody00"/>
              <w:rPr>
                <w:color w:val="000000"/>
                <w:lang w:eastAsia="en-GB"/>
              </w:rPr>
            </w:pPr>
            <w:r w:rsidRPr="005C5842">
              <w:rPr>
                <w:color w:val="000000"/>
                <w:lang w:eastAsia="en-GB"/>
              </w:rPr>
              <w:t>2002 University of Pennsylvania – The Wharton School</w:t>
            </w:r>
          </w:p>
        </w:tc>
      </w:tr>
      <w:tr w:rsidTr="00682578">
        <w:tblPrEx>
          <w:tblW w:w="5002" w:type="pct"/>
          <w:tblBorders>
            <w:insideV w:val="single" w:sz="4" w:space="0" w:color="auto"/>
          </w:tblBorders>
          <w:tblLayout w:type="fixed"/>
          <w:tblLook w:val="00A0"/>
        </w:tblPrEx>
        <w:tc>
          <w:tcPr>
            <w:tcW w:w="1242" w:type="pct"/>
            <w:gridSpan w:val="3"/>
            <w:shd w:val="clear" w:color="auto" w:fill="auto"/>
          </w:tcPr>
          <w:p w:rsidR="004C1EBA" w:rsidRPr="005C5842" w:rsidP="004C1EBA">
            <w:pPr>
              <w:pStyle w:val="csbody00"/>
              <w:rPr>
                <w:lang w:eastAsia="de-CH"/>
              </w:rPr>
            </w:pPr>
          </w:p>
        </w:tc>
        <w:tc>
          <w:tcPr>
            <w:tcW w:w="1257" w:type="pct"/>
            <w:gridSpan w:val="2"/>
            <w:shd w:val="clear" w:color="auto" w:fill="auto"/>
          </w:tcPr>
          <w:p w:rsidR="004C1EBA" w:rsidRPr="005C5842" w:rsidP="004C1EBA">
            <w:pPr>
              <w:pStyle w:val="csbody00"/>
              <w:jc w:val="left"/>
              <w:rPr>
                <w:lang w:eastAsia="de-CH"/>
              </w:rPr>
            </w:pPr>
          </w:p>
        </w:tc>
        <w:tc>
          <w:tcPr>
            <w:tcW w:w="1260" w:type="pct"/>
            <w:gridSpan w:val="5"/>
            <w:shd w:val="clear" w:color="auto" w:fill="auto"/>
          </w:tcPr>
          <w:p w:rsidR="004C1EBA" w:rsidP="004C1EBA">
            <w:pPr>
              <w:pStyle w:val="csbody00"/>
              <w:rPr>
                <w:color w:val="000000"/>
                <w:lang w:eastAsia="en-GB"/>
              </w:rPr>
            </w:pPr>
            <w:r w:rsidRPr="0071122D">
              <w:rPr>
                <w:bCs/>
              </w:rPr>
              <w:t>1989 lic.oec., University of St. Gallen</w:t>
            </w:r>
          </w:p>
        </w:tc>
        <w:tc>
          <w:tcPr>
            <w:tcW w:w="1242" w:type="pct"/>
            <w:gridSpan w:val="3"/>
            <w:shd w:val="clear" w:color="auto" w:fill="auto"/>
          </w:tcPr>
          <w:p w:rsidR="004C1EBA">
            <w:pPr>
              <w:pStyle w:val="csbody00"/>
              <w:rPr>
                <w:color w:val="000000"/>
                <w:lang w:val="de-DE" w:eastAsia="en-GB"/>
              </w:rPr>
            </w:pPr>
            <w:r w:rsidRPr="0071122D">
              <w:rPr>
                <w:bCs/>
              </w:rPr>
              <w:t xml:space="preserve">1989 lic.oec., </w:t>
            </w:r>
            <w:r>
              <w:rPr>
                <w:bCs/>
              </w:rPr>
              <w:t xml:space="preserve">Universität </w:t>
            </w:r>
            <w:r w:rsidRPr="0071122D">
              <w:rPr>
                <w:bCs/>
              </w:rPr>
              <w:t>St. Gallen</w:t>
            </w:r>
          </w:p>
        </w:tc>
      </w:tr>
      <w:tr w:rsidTr="004C1EBA">
        <w:tblPrEx>
          <w:tblW w:w="5002" w:type="pct"/>
          <w:tblLayout w:type="fixed"/>
          <w:tblLook w:val="00A0"/>
        </w:tblPrEx>
        <w:tc>
          <w:tcPr>
            <w:tcW w:w="2499" w:type="pct"/>
            <w:gridSpan w:val="5"/>
            <w:tcBorders>
              <w:left w:val="nil"/>
              <w:right w:val="single" w:sz="4" w:space="0" w:color="auto"/>
            </w:tcBorders>
            <w:hideMark/>
          </w:tcPr>
          <w:p w:rsidR="004C1EBA" w:rsidRPr="0083513B">
            <w:pPr>
              <w:pStyle w:val="csbody00"/>
              <w:rPr>
                <w:lang w:eastAsia="de-CH"/>
              </w:rPr>
            </w:pPr>
            <w:r w:rsidRPr="0083513B">
              <w:rPr>
                <w:lang w:eastAsia="de-CH"/>
              </w:rPr>
              <w:t xml:space="preserve">There are no conflicts of interest between the private interests and other duties of the members of the Executive Board listed above and their duties to Credit Suisse. </w:t>
            </w:r>
          </w:p>
        </w:tc>
        <w:tc>
          <w:tcPr>
            <w:tcW w:w="2501" w:type="pct"/>
            <w:gridSpan w:val="8"/>
            <w:tcBorders>
              <w:left w:val="single" w:sz="4" w:space="0" w:color="auto"/>
              <w:right w:val="nil"/>
            </w:tcBorders>
            <w:hideMark/>
          </w:tcPr>
          <w:p w:rsidR="004C1EBA" w:rsidRPr="0083513B">
            <w:pPr>
              <w:pStyle w:val="csbody00"/>
              <w:rPr>
                <w:lang w:val="de-DE" w:eastAsia="de-CH"/>
              </w:rPr>
            </w:pPr>
            <w:r w:rsidRPr="0083513B">
              <w:rPr>
                <w:lang w:val="de-DE" w:eastAsia="de-CH"/>
              </w:rPr>
              <w:t xml:space="preserve">Es bestehen keine Interessenkonflikte zwischen den privaten Interessen und sonstigen Verpflichtungen der oben genannten Mitglieder der Geschäftsleitung und deren Verpflichtungen gegenüber der Credit Suisse. </w:t>
            </w:r>
          </w:p>
        </w:tc>
      </w:tr>
      <w:tr w:rsidTr="004C1EBA">
        <w:tblPrEx>
          <w:tblW w:w="5002" w:type="pct"/>
          <w:tblLayout w:type="fixed"/>
          <w:tblLook w:val="00A0"/>
        </w:tblPrEx>
        <w:tc>
          <w:tcPr>
            <w:tcW w:w="2499" w:type="pct"/>
            <w:gridSpan w:val="5"/>
            <w:tcBorders>
              <w:right w:val="single" w:sz="4" w:space="0" w:color="auto"/>
            </w:tcBorders>
          </w:tcPr>
          <w:p w:rsidR="004C1EBA" w:rsidRPr="005C5842">
            <w:pPr>
              <w:pStyle w:val="csbody00"/>
              <w:rPr>
                <w:lang w:eastAsia="de-CH"/>
              </w:rPr>
            </w:pPr>
            <w:r w:rsidRPr="00203B0E">
              <w:rPr>
                <w:lang w:eastAsia="de-CH"/>
              </w:rPr>
              <w:t xml:space="preserve">The composition of the Executive Board is identical to the composition of the </w:t>
            </w:r>
            <w:r w:rsidR="00090525">
              <w:rPr>
                <w:lang w:eastAsia="de-CH"/>
              </w:rPr>
              <w:t>E</w:t>
            </w:r>
            <w:r w:rsidRPr="00203B0E">
              <w:rPr>
                <w:lang w:eastAsia="de-CH"/>
              </w:rPr>
              <w:t xml:space="preserve">xecutive </w:t>
            </w:r>
            <w:r w:rsidR="00090525">
              <w:rPr>
                <w:lang w:eastAsia="de-CH"/>
              </w:rPr>
              <w:t>B</w:t>
            </w:r>
            <w:r w:rsidRPr="00203B0E">
              <w:rPr>
                <w:lang w:eastAsia="de-CH"/>
              </w:rPr>
              <w:t>oard of CSG. Although Credit Suisse currently</w:t>
            </w:r>
            <w:r w:rsidRPr="007F2E0F">
              <w:rPr>
                <w:lang w:eastAsia="de-CH"/>
              </w:rPr>
              <w:t xml:space="preserve"> has no indication of any specific conflicts of interest, potential conflicts of interest could arise therefr</w:t>
            </w:r>
            <w:r w:rsidRPr="005C5842">
              <w:rPr>
                <w:lang w:eastAsia="de-CH"/>
              </w:rPr>
              <w:t>om and from the other activities of the members of the Executive Board described above in this subsection "</w:t>
            </w:r>
            <w:r w:rsidRPr="005C5842">
              <w:rPr>
                <w:i/>
                <w:lang w:eastAsia="de-CH"/>
              </w:rPr>
              <w:t>Executive Board of Credit Suisse</w:t>
            </w:r>
            <w:r w:rsidRPr="005C5842">
              <w:rPr>
                <w:lang w:eastAsia="de-CH"/>
              </w:rPr>
              <w:t>" and on pages 189 to 193 of the Credit Suisse Annual Report 2014.</w:t>
            </w:r>
          </w:p>
        </w:tc>
        <w:tc>
          <w:tcPr>
            <w:tcW w:w="2501" w:type="pct"/>
            <w:gridSpan w:val="8"/>
            <w:tcBorders>
              <w:left w:val="single" w:sz="4" w:space="0" w:color="auto"/>
            </w:tcBorders>
            <w:shd w:val="clear" w:color="auto" w:fill="auto"/>
          </w:tcPr>
          <w:p w:rsidR="004C1EBA" w:rsidRPr="0083513B" w:rsidP="004C1EBA">
            <w:pPr>
              <w:pStyle w:val="csbody00"/>
              <w:rPr>
                <w:lang w:val="de-CH" w:eastAsia="de-CH"/>
              </w:rPr>
            </w:pPr>
            <w:r w:rsidRPr="0083513B">
              <w:rPr>
                <w:lang w:val="de-DE" w:eastAsia="de-CH"/>
              </w:rPr>
              <w:t>Die Zusammensetzung der Geschäftsleitung ist mit derjenigen der Geschäftsleitung der CSG identisch.</w:t>
            </w:r>
            <w:r w:rsidRPr="0083513B">
              <w:rPr>
                <w:lang w:val="de-CH" w:eastAsia="de-CH"/>
              </w:rPr>
              <w:t xml:space="preserve"> Obwohl die Credit Suisse derzeit keine Anhaltspunkte für konkrete Interessenskonflikte hat, könnten sich aufgrund dieser Tatsache und aufgrund der weiteren in diesem Unterabschnitt </w:t>
            </w:r>
            <w:r>
              <w:rPr>
                <w:lang w:val="de-CH" w:eastAsia="de-CH"/>
              </w:rPr>
              <w:t>"</w:t>
            </w:r>
            <w:r w:rsidRPr="0083513B">
              <w:rPr>
                <w:i/>
                <w:lang w:val="de-CH" w:eastAsia="de-CH"/>
              </w:rPr>
              <w:t>Geschäftsleitung der Credit Suisse</w:t>
            </w:r>
            <w:r>
              <w:rPr>
                <w:lang w:val="de-CH" w:eastAsia="de-CH"/>
              </w:rPr>
              <w:t>"</w:t>
            </w:r>
            <w:r w:rsidRPr="0083513B">
              <w:rPr>
                <w:lang w:val="de-CH" w:eastAsia="de-CH"/>
              </w:rPr>
              <w:t xml:space="preserve"> sowie auf Seiten 1</w:t>
            </w:r>
            <w:r>
              <w:rPr>
                <w:lang w:val="de-CH" w:eastAsia="de-CH"/>
              </w:rPr>
              <w:t>89 bis 193</w:t>
            </w:r>
            <w:r w:rsidRPr="0083513B">
              <w:rPr>
                <w:lang w:val="de-CH" w:eastAsia="de-CH"/>
              </w:rPr>
              <w:t xml:space="preserve"> des Geschäftsberichts der Credit Suisse für das Geschäftsjahr 20</w:t>
            </w:r>
            <w:r>
              <w:rPr>
                <w:lang w:val="de-CH" w:eastAsia="de-CH"/>
              </w:rPr>
              <w:t>14</w:t>
            </w:r>
            <w:r w:rsidRPr="0083513B">
              <w:rPr>
                <w:lang w:val="de-CH" w:eastAsia="de-CH"/>
              </w:rPr>
              <w:t xml:space="preserve"> genannten Tätigkeiten der Mitglieder </w:t>
            </w:r>
            <w:r w:rsidRPr="0083513B">
              <w:rPr>
                <w:lang w:val="de-DE" w:eastAsia="de-CH"/>
              </w:rPr>
              <w:t xml:space="preserve">der Geschäftsleitung </w:t>
            </w:r>
            <w:r w:rsidRPr="0083513B">
              <w:rPr>
                <w:lang w:val="de-CH" w:eastAsia="de-CH"/>
              </w:rPr>
              <w:t>potenzielle Interessen</w:t>
            </w:r>
            <w:r w:rsidRPr="0083513B">
              <w:rPr>
                <w:lang w:val="de-CH" w:eastAsia="de-CH"/>
              </w:rPr>
              <w:softHyphen/>
              <w:t>koflikte ergeben.</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lang w:val="de-DE"/>
              </w:rPr>
            </w:pPr>
            <w:r w:rsidRPr="00985AE1">
              <w:rPr>
                <w:b/>
                <w:lang w:val="de-DE"/>
              </w:rPr>
              <w:t>Audit Committee</w:t>
            </w:r>
          </w:p>
        </w:tc>
        <w:tc>
          <w:tcPr>
            <w:tcW w:w="2501" w:type="pct"/>
            <w:gridSpan w:val="8"/>
            <w:tcBorders>
              <w:left w:val="single" w:sz="4" w:space="0" w:color="auto"/>
            </w:tcBorders>
            <w:shd w:val="clear" w:color="auto" w:fill="auto"/>
          </w:tcPr>
          <w:p w:rsidR="004C1EBA" w:rsidRPr="00985AE1" w:rsidP="004C1EBA">
            <w:pPr>
              <w:pStyle w:val="csbody00"/>
              <w:rPr>
                <w:b/>
                <w:lang w:val="de-DE"/>
              </w:rPr>
            </w:pPr>
            <w:r w:rsidRPr="00985AE1">
              <w:rPr>
                <w:b/>
                <w:lang w:val="de-DE"/>
              </w:rPr>
              <w:t>Audit Committee</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7B0DFE">
            <w:pPr>
              <w:pStyle w:val="csbody00"/>
            </w:pPr>
            <w:r w:rsidRPr="007B0DFE">
              <w:t xml:space="preserve">The Audit Committee of Credit Suisse (the </w:t>
            </w:r>
            <w:r>
              <w:t>"</w:t>
            </w:r>
            <w:r w:rsidRPr="007B0DFE">
              <w:rPr>
                <w:b/>
              </w:rPr>
              <w:t>Audit Committee</w:t>
            </w:r>
            <w:r>
              <w:t>"</w:t>
            </w:r>
            <w:r w:rsidRPr="007B0DFE">
              <w:t xml:space="preserve">) consists of not less than three members, all of whom must be independent pursuant to its charter. As of </w:t>
            </w:r>
            <w:r w:rsidR="006E3537">
              <w:rPr>
                <w:rFonts w:cs="Dutch801BT-Roman"/>
              </w:rPr>
              <w:t xml:space="preserve">21 </w:t>
            </w:r>
            <w:r>
              <w:rPr>
                <w:rFonts w:cs="Dutch801BT-Roman"/>
              </w:rPr>
              <w:t>December</w:t>
            </w:r>
            <w:r w:rsidRPr="007B0DFE">
              <w:t> 201</w:t>
            </w:r>
            <w:r>
              <w:t>5</w:t>
            </w:r>
            <w:r w:rsidRPr="007B0DFE">
              <w:t xml:space="preserve"> the members of the Audit Committee are:</w:t>
            </w:r>
          </w:p>
        </w:tc>
        <w:tc>
          <w:tcPr>
            <w:tcW w:w="2501" w:type="pct"/>
            <w:gridSpan w:val="8"/>
            <w:tcBorders>
              <w:top w:val="nil"/>
              <w:left w:val="single" w:sz="4" w:space="0" w:color="auto"/>
              <w:bottom w:val="nil"/>
            </w:tcBorders>
            <w:shd w:val="clear" w:color="auto" w:fill="auto"/>
          </w:tcPr>
          <w:p w:rsidR="004C1EBA" w:rsidRPr="007B0DFE">
            <w:pPr>
              <w:pStyle w:val="csbody00"/>
              <w:rPr>
                <w:lang w:val="de-DE"/>
              </w:rPr>
            </w:pPr>
            <w:r w:rsidRPr="007B0DFE">
              <w:rPr>
                <w:lang w:val="de-CH"/>
              </w:rPr>
              <w:t xml:space="preserve">Das Rechnungsprüfungskomitee der Credit Suisse (das </w:t>
            </w:r>
            <w:r>
              <w:rPr>
                <w:lang w:val="de-CH"/>
              </w:rPr>
              <w:t>"</w:t>
            </w:r>
            <w:r w:rsidRPr="007B0DFE">
              <w:rPr>
                <w:b/>
                <w:lang w:val="de-CH"/>
              </w:rPr>
              <w:t>Audit Committee</w:t>
            </w:r>
            <w:r>
              <w:rPr>
                <w:lang w:val="de-CH"/>
              </w:rPr>
              <w:t>"</w:t>
            </w:r>
            <w:r w:rsidRPr="007B0DFE">
              <w:rPr>
                <w:lang w:val="de-CH"/>
              </w:rPr>
              <w:t xml:space="preserve">) besteht aus mindestens drei Mitgliedern, die laut dessen Reglement alle unabhängig sein müssen. Zum </w:t>
            </w:r>
            <w:r w:rsidR="006E3537">
              <w:rPr>
                <w:lang w:val="de-DE"/>
              </w:rPr>
              <w:t xml:space="preserve">21. </w:t>
            </w:r>
            <w:r>
              <w:rPr>
                <w:lang w:val="de-DE"/>
              </w:rPr>
              <w:t xml:space="preserve">Dezember </w:t>
            </w:r>
            <w:r w:rsidRPr="007B0DFE">
              <w:rPr>
                <w:lang w:val="de-DE"/>
              </w:rPr>
              <w:t>201</w:t>
            </w:r>
            <w:r>
              <w:rPr>
                <w:lang w:val="de-DE"/>
              </w:rPr>
              <w:t>5</w:t>
            </w:r>
            <w:r w:rsidRPr="007B0DFE">
              <w:rPr>
                <w:lang w:val="de-CH"/>
              </w:rPr>
              <w:t xml:space="preserve"> gehören dem Audit Committee die folgenden Personen an:</w:t>
            </w:r>
          </w:p>
        </w:tc>
      </w:tr>
      <w:tr w:rsidTr="00682578">
        <w:tblPrEx>
          <w:tblW w:w="5002" w:type="pct"/>
          <w:tblBorders>
            <w:insideV w:val="single" w:sz="4" w:space="0" w:color="auto"/>
          </w:tblBorders>
          <w:tblLayout w:type="fixed"/>
          <w:tblLook w:val="00A0"/>
        </w:tblPrEx>
        <w:tc>
          <w:tcPr>
            <w:tcW w:w="1173" w:type="pct"/>
            <w:gridSpan w:val="2"/>
            <w:tcBorders>
              <w:top w:val="nil"/>
              <w:bottom w:val="nil"/>
            </w:tcBorders>
          </w:tcPr>
          <w:p w:rsidR="004C1EBA" w:rsidRPr="007B0DFE" w:rsidP="004C1EBA">
            <w:pPr>
              <w:pStyle w:val="csbody00"/>
              <w:rPr>
                <w:lang w:val="de-CH"/>
              </w:rPr>
            </w:pPr>
            <w:r w:rsidRPr="007B0DFE">
              <w:rPr>
                <w:lang w:val="de-CH"/>
              </w:rPr>
              <w:t>John Tiner</w:t>
            </w:r>
          </w:p>
        </w:tc>
        <w:tc>
          <w:tcPr>
            <w:tcW w:w="1326" w:type="pct"/>
            <w:gridSpan w:val="3"/>
            <w:tcBorders>
              <w:top w:val="nil"/>
              <w:bottom w:val="nil"/>
              <w:right w:val="single" w:sz="4" w:space="0" w:color="auto"/>
            </w:tcBorders>
          </w:tcPr>
          <w:p w:rsidR="004C1EBA" w:rsidRPr="007B0DFE" w:rsidP="004C1EBA">
            <w:pPr>
              <w:pStyle w:val="csbody00"/>
              <w:rPr>
                <w:lang w:val="de-CH"/>
              </w:rPr>
            </w:pPr>
            <w:r w:rsidRPr="007B0DFE">
              <w:rPr>
                <w:lang w:val="de-CH"/>
              </w:rPr>
              <w:t>(Chairman)</w:t>
            </w:r>
          </w:p>
        </w:tc>
        <w:tc>
          <w:tcPr>
            <w:tcW w:w="1040" w:type="pct"/>
            <w:gridSpan w:val="4"/>
            <w:tcBorders>
              <w:top w:val="nil"/>
              <w:left w:val="single" w:sz="4" w:space="0" w:color="auto"/>
              <w:bottom w:val="nil"/>
            </w:tcBorders>
            <w:shd w:val="clear" w:color="auto" w:fill="auto"/>
          </w:tcPr>
          <w:p w:rsidR="004C1EBA" w:rsidRPr="007B0DFE" w:rsidP="004C1EBA">
            <w:pPr>
              <w:pStyle w:val="csbody00"/>
              <w:rPr>
                <w:lang w:val="de-CH"/>
              </w:rPr>
            </w:pPr>
            <w:r w:rsidRPr="007B0DFE">
              <w:rPr>
                <w:lang w:val="de-CH"/>
              </w:rPr>
              <w:t>John Tiner</w:t>
            </w:r>
          </w:p>
        </w:tc>
        <w:tc>
          <w:tcPr>
            <w:tcW w:w="1462" w:type="pct"/>
            <w:gridSpan w:val="4"/>
            <w:tcBorders>
              <w:top w:val="nil"/>
              <w:bottom w:val="nil"/>
            </w:tcBorders>
            <w:shd w:val="clear" w:color="auto" w:fill="auto"/>
          </w:tcPr>
          <w:p w:rsidR="004C1EBA" w:rsidRPr="007B0DFE" w:rsidP="004C1EBA">
            <w:pPr>
              <w:pStyle w:val="csbody00"/>
              <w:rPr>
                <w:lang w:val="de-CH"/>
              </w:rPr>
            </w:pPr>
            <w:r w:rsidRPr="007B0DFE">
              <w:rPr>
                <w:lang w:val="de-CH"/>
              </w:rPr>
              <w:t>(Präsident)</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403065" w:rsidP="004C1EBA">
            <w:pPr>
              <w:pStyle w:val="csbody00"/>
            </w:pPr>
            <w:r w:rsidRPr="00403065">
              <w:t>Noreen Doyle</w:t>
            </w:r>
          </w:p>
          <w:p w:rsidR="004C1EBA" w:rsidRPr="00403065" w:rsidP="004C1EBA">
            <w:pPr>
              <w:pStyle w:val="csbody00"/>
            </w:pPr>
            <w:r w:rsidRPr="00403065">
              <w:t>Seraina Maag</w:t>
            </w:r>
          </w:p>
          <w:p w:rsidR="004C1EBA" w:rsidRPr="0006171B" w:rsidP="004C1EBA">
            <w:pPr>
              <w:pStyle w:val="csbody00"/>
            </w:pPr>
            <w:r w:rsidRPr="0006171B">
              <w:t>Richard E. Thornburgh</w:t>
            </w:r>
          </w:p>
        </w:tc>
        <w:tc>
          <w:tcPr>
            <w:tcW w:w="2501" w:type="pct"/>
            <w:gridSpan w:val="8"/>
            <w:tcBorders>
              <w:top w:val="nil"/>
              <w:left w:val="single" w:sz="4" w:space="0" w:color="auto"/>
              <w:bottom w:val="nil"/>
            </w:tcBorders>
            <w:shd w:val="clear" w:color="auto" w:fill="auto"/>
          </w:tcPr>
          <w:p w:rsidR="004C1EBA" w:rsidRPr="00403065" w:rsidP="004C1EBA">
            <w:pPr>
              <w:pStyle w:val="csbody00"/>
            </w:pPr>
            <w:r w:rsidRPr="00403065">
              <w:t>Noreen Doyle</w:t>
            </w:r>
          </w:p>
          <w:p w:rsidR="004C1EBA" w:rsidRPr="00403065" w:rsidP="004C1EBA">
            <w:pPr>
              <w:pStyle w:val="csbody00"/>
            </w:pPr>
            <w:r w:rsidRPr="00403065">
              <w:t>Seraina Maag</w:t>
            </w:r>
          </w:p>
          <w:p w:rsidR="004C1EBA" w:rsidRPr="0006171B" w:rsidP="004C1EBA">
            <w:pPr>
              <w:pStyle w:val="csbody00"/>
            </w:pPr>
            <w:r w:rsidRPr="0006171B">
              <w:t>Richard E. Thornburgh</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rsidRPr="0083513B">
              <w:t>The Audit Committee has its own charter, which has been approved by the Board. In accordance with its charter, the members of the Audit Committee are subject to additional independence requirements, exceeding those that apply to other members of the Board. None of the Audit Committee members may be an affiliated person of Credit Suisse or any other member of the group of companies of which CSG is the parent or may, directly or indirectly, accept any consulting, advisory or other compensatory fees from Credit Suisse or any other member of the group of companies of which CSG is the parent other than their regular compensation as members of the Board and its committees. The Audit Committee charter stipulates that all Audit Committee members must be financially literate. In addition, they may not serve on the audit committee of more than two other companies, unless the Board deems that such membership would not impair their ability to serve on the Audit Committee.</w:t>
            </w:r>
          </w:p>
        </w:tc>
        <w:tc>
          <w:tcPr>
            <w:tcW w:w="2501" w:type="pct"/>
            <w:gridSpan w:val="8"/>
            <w:tcBorders>
              <w:left w:val="single" w:sz="4" w:space="0" w:color="auto"/>
            </w:tcBorders>
            <w:shd w:val="clear" w:color="auto" w:fill="auto"/>
          </w:tcPr>
          <w:p w:rsidR="004C1EBA" w:rsidRPr="0083513B" w:rsidP="004C1EBA">
            <w:pPr>
              <w:pStyle w:val="csbody00"/>
              <w:rPr>
                <w:lang w:val="de-DE"/>
              </w:rPr>
            </w:pPr>
            <w:r w:rsidRPr="0083513B">
              <w:rPr>
                <w:lang w:val="de-CH"/>
              </w:rPr>
              <w:t xml:space="preserve">Das Audit Committee verfügt über ein eigenes, vom Verwaltungsrat genehmigtes Reglement. Nach dem Reglement unterliegen die Mitglieder des Audit Committee zusätzlichen Unabhängigkeitserfordernissen, welche strenger sind als diejenigen, die für die anderen Mitglieder des Verwaltungsrats gelten. So darf ein Mitglied des Audit Committee weder eine mit der Credit Suisse oder einem anderen </w:t>
            </w:r>
            <w:r w:rsidRPr="0083513B">
              <w:rPr>
                <w:lang w:val="de-DE"/>
              </w:rPr>
              <w:t>Mitglied der Gruppe von Unternehmen, deren Muttergesellschaft CSG ist,</w:t>
            </w:r>
            <w:r w:rsidRPr="0083513B">
              <w:rPr>
                <w:lang w:val="de-CH"/>
              </w:rPr>
              <w:t xml:space="preserve"> verbundene Person sein, noch darf es, abgesehen von der regulären Vergütung für seine Tätigkeiten im Verwaltungsrat und dessen Komitees, weder direkt noch indirekt anderweitige Vergütungen für Beratungen, Dienstleistungen oder Ähnliches von der Credit Suisse oder einem anderen </w:t>
            </w:r>
            <w:r w:rsidRPr="0083513B">
              <w:rPr>
                <w:lang w:val="de-DE"/>
              </w:rPr>
              <w:t>Mitglied der Gruppe von Unternehmen, deren Muttergesellschaft CSG ist,</w:t>
            </w:r>
            <w:r w:rsidRPr="0083513B">
              <w:rPr>
                <w:lang w:val="de-CH"/>
              </w:rPr>
              <w:t xml:space="preserve"> erhalten. In Übereinstimmung mit dem Reglement müssen alle Mitglieder des Audit Committee über Grundkenntnisse im Finanz- und Rechnungswesen verfügen. Darüber hinaus dürfen sie nicht Mitglieder des Rechnungs</w:t>
            </w:r>
            <w:r w:rsidRPr="0083513B">
              <w:rPr>
                <w:lang w:val="de-CH"/>
              </w:rPr>
              <w:softHyphen/>
              <w:t>prüfungskomitees von mehr als zwei weiteren Gesellschaften sein, ausser der Verwaltungsrat befindet, dass dies eine Mitgliedschaft im Audit Committee der Credit Suisse nicht beeinträchtigt.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Corporate Governance</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Corporate Governance</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rPr>
                <w:lang w:val="en-US"/>
              </w:rPr>
            </w:pPr>
            <w:r w:rsidRPr="0083513B">
              <w:rPr>
                <w:lang w:val="en-US"/>
              </w:rPr>
              <w:t>Credit Suisse fully adheres to the principles set out in the Swiss Code of Best Practice, including its appendix stipulating recommendations on the process for setting compensation for the Board and the Executive Board. Credit Suisse also continuously monitors and adapts its practices to reflect developments in corporate governance principles and practices in jurisdictions outside Switzerland. As in the past few years, regulators focused their attention on compensation practices at financial</w:t>
            </w:r>
            <w:r w:rsidRPr="0083513B">
              <w:t xml:space="preserve"> </w:t>
            </w:r>
            <w:r w:rsidRPr="0083513B">
              <w:rPr>
                <w:lang w:val="en-US"/>
              </w:rPr>
              <w:t>institutions in 201</w:t>
            </w:r>
            <w:r>
              <w:rPr>
                <w:lang w:val="en-US"/>
              </w:rPr>
              <w:t>4</w:t>
            </w:r>
            <w:r w:rsidRPr="0083513B">
              <w:rPr>
                <w:lang w:val="en-US"/>
              </w:rPr>
              <w:t xml:space="preserve">. Refer to </w:t>
            </w:r>
            <w:r>
              <w:rPr>
                <w:lang w:val="en-US"/>
              </w:rPr>
              <w:t>"</w:t>
            </w:r>
            <w:r w:rsidRPr="0083513B">
              <w:rPr>
                <w:i/>
                <w:lang w:val="en-US"/>
              </w:rPr>
              <w:t>IV- Corporate Governance – Compensation</w:t>
            </w:r>
            <w:r>
              <w:rPr>
                <w:lang w:val="en-US"/>
              </w:rPr>
              <w:t>"</w:t>
            </w:r>
            <w:r w:rsidRPr="0083513B">
              <w:rPr>
                <w:lang w:val="en-US"/>
              </w:rPr>
              <w:t xml:space="preserve"> in the Credit Suisse Annual Report 201</w:t>
            </w:r>
            <w:r>
              <w:rPr>
                <w:lang w:val="en-US"/>
              </w:rPr>
              <w:t>4</w:t>
            </w:r>
            <w:r w:rsidRPr="0083513B">
              <w:rPr>
                <w:lang w:val="en-US"/>
              </w:rPr>
              <w:t>.</w:t>
            </w:r>
          </w:p>
        </w:tc>
        <w:tc>
          <w:tcPr>
            <w:tcW w:w="2501" w:type="pct"/>
            <w:gridSpan w:val="8"/>
            <w:tcBorders>
              <w:left w:val="single" w:sz="4" w:space="0" w:color="auto"/>
            </w:tcBorders>
            <w:shd w:val="clear" w:color="auto" w:fill="auto"/>
          </w:tcPr>
          <w:p w:rsidR="004C1EBA" w:rsidRPr="0083513B" w:rsidP="004C1EBA">
            <w:pPr>
              <w:pStyle w:val="csbody00"/>
              <w:rPr>
                <w:lang w:val="de-DE"/>
              </w:rPr>
            </w:pPr>
            <w:r w:rsidRPr="0083513B">
              <w:rPr>
                <w:lang w:val="de-DE"/>
              </w:rPr>
              <w:t>Die Credit Suisse richtet sich in jeder Hinsicht nach den im Swiss Code of Best Practice vorgeschriebenen Prinzipien einschliesslich der in seinem Anhang aufgeführten Empfehlungen zur Festsetzung der Vergütung von Verwaltungsrat und Geschäftsleitung. Die Credit Suisse prüft und passt ferner ihre Praktiken laufend an, um den Entwicklungen im Hinblick auf Corporate Governance-Grundsätze und -Praktiken in Ländern ausserhalb der Schweiz Rechnung zu tragen. Wie bereits in den vergangenen Jahren richteten die Aufsichtsbehörden auch im Jahr 201</w:t>
            </w:r>
            <w:r>
              <w:rPr>
                <w:lang w:val="de-DE"/>
              </w:rPr>
              <w:t>4</w:t>
            </w:r>
            <w:r w:rsidRPr="0083513B">
              <w:rPr>
                <w:lang w:val="de-DE"/>
              </w:rPr>
              <w:t xml:space="preserve"> ein besonderes Augenmerk auf die Vergütungspraxis von Finanzinstituten. Weitere Informationen hierzu sind enthalten in </w:t>
            </w:r>
            <w:r>
              <w:rPr>
                <w:lang w:val="de-DE"/>
              </w:rPr>
              <w:t>"</w:t>
            </w:r>
            <w:r w:rsidRPr="0083513B">
              <w:rPr>
                <w:i/>
                <w:lang w:val="de-DE"/>
              </w:rPr>
              <w:t>IV—Corporate Governance — Vergütung</w:t>
            </w:r>
            <w:r>
              <w:rPr>
                <w:lang w:val="de-DE"/>
              </w:rPr>
              <w:t>"</w:t>
            </w:r>
            <w:r w:rsidRPr="0083513B">
              <w:rPr>
                <w:lang w:val="de-DE"/>
              </w:rPr>
              <w:t xml:space="preserve"> im Geschäftsbericht der Credit Suisse für 201</w:t>
            </w:r>
            <w:r>
              <w:rPr>
                <w:lang w:val="de-DE"/>
              </w:rPr>
              <w:t>4</w:t>
            </w:r>
            <w:r w:rsidRPr="0083513B">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lang w:eastAsia="de-CH"/>
              </w:rPr>
            </w:pPr>
            <w:r w:rsidRPr="00985AE1">
              <w:rPr>
                <w:b/>
                <w:lang w:eastAsia="de-CH"/>
              </w:rPr>
              <w:t>Incorporation, Legislation, Legal Form, Duration, Name, Registered Office, Headquarters</w:t>
            </w:r>
          </w:p>
        </w:tc>
        <w:tc>
          <w:tcPr>
            <w:tcW w:w="2501" w:type="pct"/>
            <w:gridSpan w:val="8"/>
            <w:tcBorders>
              <w:left w:val="single" w:sz="4" w:space="0" w:color="auto"/>
            </w:tcBorders>
            <w:shd w:val="clear" w:color="auto" w:fill="auto"/>
          </w:tcPr>
          <w:p w:rsidR="004C1EBA" w:rsidRPr="00985AE1" w:rsidP="004C1EBA">
            <w:pPr>
              <w:pStyle w:val="csbody00"/>
              <w:rPr>
                <w:b/>
                <w:lang w:val="de-DE" w:eastAsia="de-CH"/>
              </w:rPr>
            </w:pPr>
            <w:r w:rsidRPr="00985AE1">
              <w:rPr>
                <w:b/>
                <w:lang w:val="de-DE" w:eastAsia="de-CH"/>
              </w:rPr>
              <w:t>Gründung, Massgebendes Recht, Rechtsform, Dauer, Firma, Statutarischer Sitz, Hauptsitz</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rsidRPr="0083513B">
              <w:t>Credit Suisse was incorporated under Swiss law as a corporation (</w:t>
            </w:r>
            <w:r w:rsidRPr="0083513B">
              <w:rPr>
                <w:i/>
                <w:lang w:val="en-US"/>
              </w:rPr>
              <w:t>Aktiengesellschaft</w:t>
            </w:r>
            <w:r w:rsidRPr="0083513B">
              <w:t xml:space="preserve">) under the name </w:t>
            </w:r>
            <w:r>
              <w:t>"</w:t>
            </w:r>
            <w:r w:rsidRPr="0083513B">
              <w:t>Schweizerische Kreditanstalt</w:t>
            </w:r>
            <w:r>
              <w:rPr>
                <w:lang w:val="en-US"/>
              </w:rPr>
              <w:t>"</w:t>
            </w:r>
            <w:r w:rsidRPr="0083513B">
              <w:t xml:space="preserve">, with unlimited duration, on 5 July 1856 in Zurich, Switzerland and was registered with the Commercial Registrar of the Canton of Zurich under the number CH-020.3.923.549-1 and is now registered under the number CHE-106.831.974. As of 9 November 2009, Credit Suisse changed its name to </w:t>
            </w:r>
            <w:r>
              <w:t>"</w:t>
            </w:r>
            <w:r w:rsidRPr="0083513B">
              <w:t>Credit Suisse AG</w:t>
            </w:r>
            <w:r>
              <w:rPr>
                <w:lang w:val="en-US"/>
              </w:rPr>
              <w:t>"</w:t>
            </w:r>
            <w:r w:rsidRPr="0083513B">
              <w:t>. Credit Suisse is a wholly-owned subsidiary of CSG. Credit Suisse’s registered head office is located at Paradeplatz 8, 8001 Zurich, Switzerland; its telephone number is +41 44 333 1111.</w:t>
            </w:r>
          </w:p>
        </w:tc>
        <w:tc>
          <w:tcPr>
            <w:tcW w:w="2501" w:type="pct"/>
            <w:gridSpan w:val="8"/>
            <w:tcBorders>
              <w:left w:val="single" w:sz="4" w:space="0" w:color="auto"/>
            </w:tcBorders>
            <w:shd w:val="clear" w:color="auto" w:fill="auto"/>
          </w:tcPr>
          <w:p w:rsidR="004C1EBA" w:rsidRPr="0083513B" w:rsidP="004C1EBA">
            <w:pPr>
              <w:pStyle w:val="csbody00"/>
              <w:rPr>
                <w:lang w:val="de-DE"/>
              </w:rPr>
            </w:pPr>
            <w:r w:rsidRPr="0083513B">
              <w:rPr>
                <w:lang w:val="de-CH"/>
              </w:rPr>
              <w:t xml:space="preserve">Credit Suisse wurde als Aktiengesellschaft nach Schweizer Recht am 5. Juli 1856 in Zürich, Schweiz, unter der Firma </w:t>
            </w:r>
            <w:r>
              <w:rPr>
                <w:lang w:val="de-CH"/>
              </w:rPr>
              <w:t>"</w:t>
            </w:r>
            <w:r w:rsidRPr="0083513B">
              <w:rPr>
                <w:lang w:val="de-CH"/>
              </w:rPr>
              <w:t>Schweizerische Kreditanstalt</w:t>
            </w:r>
            <w:r>
              <w:rPr>
                <w:lang w:val="de-CH"/>
              </w:rPr>
              <w:t>"</w:t>
            </w:r>
            <w:r w:rsidRPr="0083513B">
              <w:rPr>
                <w:lang w:val="de-CH"/>
              </w:rPr>
              <w:t xml:space="preserve"> auf unbestimmte Zeit gegründet, wurde im Handelsregister des Kantons Zürich unter der Nummer CH-020.3.923.549-1 eingetragen und ist nunmehr unter der Nummer CHE-106.831.974 eingetragen. Per 9. November 2009 firmierte die Credit Suisse in </w:t>
            </w:r>
            <w:r>
              <w:rPr>
                <w:lang w:val="de-CH"/>
              </w:rPr>
              <w:t>"</w:t>
            </w:r>
            <w:r w:rsidRPr="0083513B">
              <w:rPr>
                <w:lang w:val="de-CH"/>
              </w:rPr>
              <w:t>Credit Suisse AG</w:t>
            </w:r>
            <w:r>
              <w:rPr>
                <w:lang w:val="de-CH"/>
              </w:rPr>
              <w:t>"</w:t>
            </w:r>
            <w:r w:rsidRPr="0083513B">
              <w:rPr>
                <w:lang w:val="de-CH"/>
              </w:rPr>
              <w:t xml:space="preserve"> um. Die Credit Suisse ist eine 100-prozentige Tochtergesellschaft der CSG. Sitz der Hauptverwaltung der Credit Suisse ist Paradeplatz 8, 8001 Zürich, Schweiz; Tel.: +41 44 333 1111.</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lang w:val="de-DE" w:eastAsia="de-CH"/>
              </w:rPr>
            </w:pPr>
            <w:r w:rsidRPr="00985AE1">
              <w:rPr>
                <w:b/>
                <w:lang w:val="de-DE" w:eastAsia="de-CH"/>
              </w:rPr>
              <w:t>Business Purpose</w:t>
            </w:r>
          </w:p>
        </w:tc>
        <w:tc>
          <w:tcPr>
            <w:tcW w:w="2501" w:type="pct"/>
            <w:gridSpan w:val="8"/>
            <w:tcBorders>
              <w:left w:val="single" w:sz="4" w:space="0" w:color="auto"/>
            </w:tcBorders>
            <w:shd w:val="clear" w:color="auto" w:fill="auto"/>
          </w:tcPr>
          <w:p w:rsidR="004C1EBA" w:rsidRPr="00985AE1" w:rsidP="004C1EBA">
            <w:pPr>
              <w:pStyle w:val="csbody00"/>
              <w:rPr>
                <w:b/>
                <w:lang w:val="de-DE" w:eastAsia="de-CH"/>
              </w:rPr>
            </w:pPr>
            <w:r w:rsidRPr="00985AE1">
              <w:rPr>
                <w:b/>
                <w:lang w:val="de-DE" w:eastAsia="de-CH"/>
              </w:rPr>
              <w:t>Gesellschaftszweck</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rsidRPr="0083513B">
              <w:t xml:space="preserve">Article 2 of Credit Suisse’s Articles of Association dated as of </w:t>
            </w:r>
            <w:r>
              <w:t>4</w:t>
            </w:r>
            <w:r w:rsidRPr="0083513B">
              <w:t xml:space="preserve"> </w:t>
            </w:r>
            <w:r>
              <w:t>September</w:t>
            </w:r>
            <w:r w:rsidRPr="0083513B">
              <w:t> 2014 states:</w:t>
            </w:r>
          </w:p>
        </w:tc>
        <w:tc>
          <w:tcPr>
            <w:tcW w:w="2501" w:type="pct"/>
            <w:gridSpan w:val="8"/>
            <w:tcBorders>
              <w:left w:val="single" w:sz="4" w:space="0" w:color="auto"/>
            </w:tcBorders>
            <w:shd w:val="clear" w:color="auto" w:fill="auto"/>
          </w:tcPr>
          <w:p w:rsidR="004C1EBA" w:rsidRPr="0083513B" w:rsidP="004C1EBA">
            <w:pPr>
              <w:pStyle w:val="csbody00"/>
              <w:rPr>
                <w:lang w:val="de-DE"/>
              </w:rPr>
            </w:pPr>
            <w:r w:rsidRPr="0083513B">
              <w:rPr>
                <w:lang w:val="de-DE"/>
              </w:rPr>
              <w:t xml:space="preserve">Artikel 2 der Statuten der Credit Suisse vom </w:t>
            </w:r>
            <w:r w:rsidRPr="00E151ED">
              <w:rPr>
                <w:lang w:val="de-DE"/>
              </w:rPr>
              <w:t>4. September 2014</w:t>
            </w:r>
            <w:r>
              <w:rPr>
                <w:lang w:val="de-DE"/>
              </w:rPr>
              <w:t xml:space="preserve"> </w:t>
            </w:r>
            <w:r w:rsidRPr="0083513B">
              <w:rPr>
                <w:lang w:val="de-DE"/>
              </w:rPr>
              <w:t>lautet wie folgt: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t xml:space="preserve">2.1) </w:t>
            </w:r>
            <w:r w:rsidRPr="0083513B">
              <w:t>The purpose of the Company is to operate as a bank. Its business covers all associated types of banking, finance, consultancy, service and trading activities in Switzerland and abroad.</w:t>
            </w:r>
          </w:p>
        </w:tc>
        <w:tc>
          <w:tcPr>
            <w:tcW w:w="2501" w:type="pct"/>
            <w:gridSpan w:val="8"/>
            <w:tcBorders>
              <w:left w:val="single" w:sz="4" w:space="0" w:color="auto"/>
            </w:tcBorders>
            <w:shd w:val="clear" w:color="auto" w:fill="auto"/>
          </w:tcPr>
          <w:p w:rsidR="004C1EBA" w:rsidRPr="0083513B" w:rsidP="004C1EBA">
            <w:pPr>
              <w:pStyle w:val="csbody00"/>
              <w:rPr>
                <w:lang w:val="de-DE"/>
              </w:rPr>
            </w:pPr>
            <w:r>
              <w:rPr>
                <w:lang w:val="de-DE"/>
              </w:rPr>
              <w:t xml:space="preserve">2.1) </w:t>
            </w:r>
            <w:r w:rsidRPr="0083513B">
              <w:rPr>
                <w:lang w:val="de-DE"/>
              </w:rPr>
              <w:t>Zweck der Gesellschaft ist der Betrieb einer Bank. Ihr Geschäftskreis umfasst alle damit verbundenen Arten von Bank-, Finanz-, Beratungs-, Dienstleistungs- und Handelsgeschäften im In- und Ausland.</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t xml:space="preserve">2.2) </w:t>
            </w:r>
            <w:r w:rsidRPr="0083513B">
              <w:t>The Company may form banks, finance companies and any other types of companies. It may also hold interests in and assume the management of such companies. It may also enter into joint ventures with such companies to provide business services to third parties.</w:t>
            </w:r>
          </w:p>
        </w:tc>
        <w:tc>
          <w:tcPr>
            <w:tcW w:w="2501" w:type="pct"/>
            <w:gridSpan w:val="8"/>
            <w:tcBorders>
              <w:left w:val="single" w:sz="4" w:space="0" w:color="auto"/>
            </w:tcBorders>
            <w:shd w:val="clear" w:color="auto" w:fill="auto"/>
          </w:tcPr>
          <w:p w:rsidR="004C1EBA" w:rsidRPr="0083513B" w:rsidP="004C1EBA">
            <w:pPr>
              <w:pStyle w:val="csbody00"/>
              <w:rPr>
                <w:lang w:val="de-DE"/>
              </w:rPr>
            </w:pPr>
            <w:r>
              <w:rPr>
                <w:lang w:val="de-DE"/>
              </w:rPr>
              <w:t>2.2) Die Gesellschaft</w:t>
            </w:r>
            <w:r w:rsidRPr="0083513B">
              <w:rPr>
                <w:lang w:val="de-DE"/>
              </w:rPr>
              <w:t xml:space="preserve"> kann Banken, Finanzgesellschaften und andere Unternehmen aller Art gründen, sich an solchen beteiligen, deren Geschäftsführung übernehmen sowie zusammen mit ihnen in gemeinsamen Unternehmungen</w:t>
            </w:r>
            <w:r w:rsidRPr="00985AE1">
              <w:rPr>
                <w:szCs w:val="22"/>
                <w:lang w:val="de-DE"/>
              </w:rPr>
              <w:t xml:space="preserve"> </w:t>
            </w:r>
            <w:r w:rsidRPr="00985AE1">
              <w:rPr>
                <w:lang w:val="de-DE"/>
              </w:rPr>
              <w:t>betriebswirtschaftliche Diens</w:t>
            </w:r>
            <w:r>
              <w:rPr>
                <w:lang w:val="de-DE"/>
              </w:rPr>
              <w:t>tleistungen an Dritte erbringen.</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t xml:space="preserve">2.3) </w:t>
            </w:r>
            <w:r w:rsidRPr="0083513B">
              <w:t>The Company may acquire, mortgage and sell real estate in Switzerland and abroad.</w:t>
            </w:r>
          </w:p>
        </w:tc>
        <w:tc>
          <w:tcPr>
            <w:tcW w:w="2501" w:type="pct"/>
            <w:gridSpan w:val="8"/>
            <w:tcBorders>
              <w:left w:val="single" w:sz="4" w:space="0" w:color="auto"/>
            </w:tcBorders>
            <w:shd w:val="clear" w:color="auto" w:fill="auto"/>
          </w:tcPr>
          <w:p w:rsidR="004C1EBA" w:rsidRPr="0083513B" w:rsidP="004C1EBA">
            <w:pPr>
              <w:pStyle w:val="csbody00"/>
              <w:rPr>
                <w:lang w:val="de-DE"/>
              </w:rPr>
            </w:pPr>
            <w:r>
              <w:rPr>
                <w:lang w:val="de-DE"/>
              </w:rPr>
              <w:t xml:space="preserve">2.3) </w:t>
            </w:r>
            <w:r w:rsidRPr="0083513B">
              <w:rPr>
                <w:lang w:val="de-DE"/>
              </w:rPr>
              <w:t>Die Gesellschaft kann im In- und Ausland Grundstücke erwerben, belasten und verkaufen.</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lang w:val="de-DE" w:eastAsia="de-CH"/>
              </w:rPr>
            </w:pPr>
            <w:r w:rsidRPr="00985AE1">
              <w:rPr>
                <w:b/>
                <w:lang w:val="de-DE" w:eastAsia="de-CH"/>
              </w:rPr>
              <w:t>Dividends</w:t>
            </w:r>
          </w:p>
        </w:tc>
        <w:tc>
          <w:tcPr>
            <w:tcW w:w="2501" w:type="pct"/>
            <w:gridSpan w:val="8"/>
            <w:tcBorders>
              <w:left w:val="single" w:sz="4" w:space="0" w:color="auto"/>
            </w:tcBorders>
            <w:shd w:val="clear" w:color="auto" w:fill="auto"/>
          </w:tcPr>
          <w:p w:rsidR="004C1EBA" w:rsidRPr="00985AE1" w:rsidP="004C1EBA">
            <w:pPr>
              <w:pStyle w:val="csbody00"/>
              <w:rPr>
                <w:b/>
                <w:lang w:val="de-DE" w:eastAsia="de-CH"/>
              </w:rPr>
            </w:pPr>
            <w:r w:rsidRPr="00985AE1">
              <w:rPr>
                <w:b/>
                <w:lang w:val="de-DE" w:eastAsia="de-CH"/>
              </w:rPr>
              <w:t>Dividenden</w:t>
            </w:r>
          </w:p>
        </w:tc>
      </w:tr>
      <w:tr w:rsidTr="004C1EBA">
        <w:tblPrEx>
          <w:tblW w:w="5002" w:type="pct"/>
          <w:tblLayout w:type="fixed"/>
          <w:tblLook w:val="00A0"/>
        </w:tblPrEx>
        <w:tc>
          <w:tcPr>
            <w:tcW w:w="2499" w:type="pct"/>
            <w:gridSpan w:val="5"/>
            <w:tcBorders>
              <w:right w:val="single" w:sz="4" w:space="0" w:color="auto"/>
            </w:tcBorders>
          </w:tcPr>
          <w:p w:rsidR="004C1EBA" w:rsidRPr="0083513B" w:rsidP="001D3431">
            <w:pPr>
              <w:pStyle w:val="csbody00"/>
            </w:pPr>
            <w:r w:rsidRPr="0083513B">
              <w:t xml:space="preserve">Dividends paid by Credit Suisse to CSG for </w:t>
            </w:r>
            <w:r>
              <w:t xml:space="preserve">2014, </w:t>
            </w:r>
            <w:r w:rsidRPr="0083513B">
              <w:t>2013, 2012, 2011</w:t>
            </w:r>
            <w:r>
              <w:t xml:space="preserve"> and</w:t>
            </w:r>
            <w:r w:rsidRPr="0083513B">
              <w:t xml:space="preserve"> 2010 were CHF 10 million</w:t>
            </w:r>
            <w:r>
              <w:t xml:space="preserve"> in each year</w:t>
            </w:r>
            <w:r w:rsidRPr="0083513B">
              <w:t>.</w:t>
            </w:r>
            <w:r>
              <w:t xml:space="preserve"> At the Annual General Meeting on 24 April 2015 it was also approved that Credit Suisse is permitted to pay to CSG a dividend in kind up to a maximum of CHF 100 million (to be distributed out of general reserves). This dividend in kind </w:t>
            </w:r>
            <w:r w:rsidR="001D3431">
              <w:t xml:space="preserve">was </w:t>
            </w:r>
            <w:r>
              <w:t xml:space="preserve">dependent on the closing of a certain transaction by no later than 31 December 2015. </w:t>
            </w:r>
            <w:r w:rsidR="001D3431">
              <w:t>This transaction closed on 1 July 2015 with the dividend in kind paid on the same day</w:t>
            </w:r>
            <w:r>
              <w:t>.</w:t>
            </w:r>
          </w:p>
        </w:tc>
        <w:tc>
          <w:tcPr>
            <w:tcW w:w="2501" w:type="pct"/>
            <w:gridSpan w:val="8"/>
            <w:tcBorders>
              <w:left w:val="single" w:sz="4" w:space="0" w:color="auto"/>
            </w:tcBorders>
            <w:shd w:val="clear" w:color="auto" w:fill="auto"/>
          </w:tcPr>
          <w:p w:rsidR="004C1EBA" w:rsidRPr="0083513B" w:rsidP="001D3431">
            <w:pPr>
              <w:pStyle w:val="csbody00"/>
              <w:rPr>
                <w:lang w:val="de-DE"/>
              </w:rPr>
            </w:pPr>
            <w:r w:rsidRPr="00E151ED">
              <w:rPr>
                <w:lang w:val="de-DE"/>
              </w:rPr>
              <w:t xml:space="preserve">Die von der Credit Suisse an die CSG für die Jahre 2014, 2013, 2012, 2011 und 2010 gezahlten Dividenden beliefen sich auf CHF 10 Mio. pro Jahr. Auf der Generalversammlung vom 24. April 2015 wurde auch beschlossen, dass die Credit Suisse ermächtigt ist, eine Sachdividende im Wert von maximal CHF 100 Mio. (aus den allgemeinen Reserven) an die CSG auszuschütten. Diese Sachdividende </w:t>
            </w:r>
            <w:r w:rsidR="001D3431">
              <w:rPr>
                <w:lang w:val="de-DE"/>
              </w:rPr>
              <w:t>hing</w:t>
            </w:r>
            <w:r w:rsidRPr="00E151ED" w:rsidR="001D3431">
              <w:rPr>
                <w:lang w:val="de-DE"/>
              </w:rPr>
              <w:t xml:space="preserve"> </w:t>
            </w:r>
            <w:r w:rsidRPr="00E151ED">
              <w:rPr>
                <w:lang w:val="de-DE"/>
              </w:rPr>
              <w:t xml:space="preserve">vom Abschluss einer bestimmten Transaktion bis spätestens zum 31. Dezember 2015 ab. </w:t>
            </w:r>
            <w:r w:rsidR="001D3431">
              <w:rPr>
                <w:lang w:val="de-DE"/>
              </w:rPr>
              <w:t>D</w:t>
            </w:r>
            <w:r w:rsidRPr="00E151ED">
              <w:rPr>
                <w:lang w:val="de-DE"/>
              </w:rPr>
              <w:t xml:space="preserve">iese Transaktion </w:t>
            </w:r>
            <w:r w:rsidR="001D3431">
              <w:rPr>
                <w:lang w:val="de-DE"/>
              </w:rPr>
              <w:t>wurde am 1. Juli</w:t>
            </w:r>
            <w:r w:rsidRPr="00E151ED">
              <w:rPr>
                <w:lang w:val="de-DE"/>
              </w:rPr>
              <w:t xml:space="preserve"> 2015 abgeschlossen</w:t>
            </w:r>
            <w:r w:rsidR="001D3431">
              <w:rPr>
                <w:lang w:val="de-DE"/>
              </w:rPr>
              <w:t xml:space="preserve"> und</w:t>
            </w:r>
            <w:r w:rsidRPr="00E151ED">
              <w:rPr>
                <w:lang w:val="de-DE"/>
              </w:rPr>
              <w:t xml:space="preserve"> die Sachdividende </w:t>
            </w:r>
            <w:r w:rsidR="001D3431">
              <w:rPr>
                <w:lang w:val="de-DE"/>
              </w:rPr>
              <w:t>am selben Tag</w:t>
            </w:r>
            <w:r w:rsidRPr="00E151ED" w:rsidR="001D3431">
              <w:rPr>
                <w:lang w:val="de-DE"/>
              </w:rPr>
              <w:t xml:space="preserve"> </w:t>
            </w:r>
            <w:r w:rsidRPr="00E151ED">
              <w:rPr>
                <w:lang w:val="de-DE"/>
              </w:rPr>
              <w:t>gezahlt</w:t>
            </w:r>
            <w:r w:rsidRPr="0083513B">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7C72AB" w:rsidP="004C1EBA">
            <w:pPr>
              <w:pStyle w:val="csbody00"/>
            </w:pPr>
            <w:r w:rsidRPr="007C72AB">
              <w:t>On a per share basis, dividends paid by Credit Suisse for the last five years are as follows:</w:t>
            </w:r>
          </w:p>
        </w:tc>
        <w:tc>
          <w:tcPr>
            <w:tcW w:w="2501" w:type="pct"/>
            <w:gridSpan w:val="8"/>
            <w:tcBorders>
              <w:left w:val="single" w:sz="4" w:space="0" w:color="auto"/>
            </w:tcBorders>
            <w:shd w:val="clear" w:color="auto" w:fill="auto"/>
          </w:tcPr>
          <w:p w:rsidR="004C1EBA" w:rsidRPr="0083513B" w:rsidP="004C1EBA">
            <w:pPr>
              <w:pStyle w:val="csbody00"/>
              <w:rPr>
                <w:lang w:val="de-DE"/>
              </w:rPr>
            </w:pPr>
            <w:r w:rsidRPr="0083513B">
              <w:rPr>
                <w:lang w:val="de-DE"/>
              </w:rPr>
              <w:t>Die für die letzten fünf Jahren von der Credit Suisse pro Aktie gezahlten Dividenden sind in der nachfolgenden Tabelle aufgeführt:</w:t>
            </w:r>
          </w:p>
        </w:tc>
      </w:tr>
      <w:tr w:rsidTr="00682578">
        <w:tblPrEx>
          <w:tblW w:w="5002" w:type="pct"/>
          <w:tblLayout w:type="fixed"/>
          <w:tblLook w:val="00A0"/>
        </w:tblPrEx>
        <w:tc>
          <w:tcPr>
            <w:tcW w:w="831" w:type="pct"/>
          </w:tcPr>
          <w:p w:rsidR="004C1EBA" w:rsidRPr="0083513B" w:rsidP="004C1EBA">
            <w:pPr>
              <w:pStyle w:val="csbody00"/>
            </w:pPr>
            <w:r w:rsidRPr="0083513B">
              <w:t>Year</w:t>
            </w:r>
          </w:p>
        </w:tc>
        <w:tc>
          <w:tcPr>
            <w:tcW w:w="1668" w:type="pct"/>
            <w:gridSpan w:val="4"/>
            <w:tcBorders>
              <w:right w:val="single" w:sz="4" w:space="0" w:color="auto"/>
            </w:tcBorders>
          </w:tcPr>
          <w:p w:rsidR="004C1EBA" w:rsidRPr="0083513B" w:rsidP="004C1EBA">
            <w:pPr>
              <w:pStyle w:val="csbody00"/>
              <w:rPr>
                <w:bCs/>
              </w:rPr>
            </w:pPr>
            <w:r w:rsidRPr="0083513B">
              <w:t>Dividend per registered share</w:t>
            </w:r>
            <w:r w:rsidRPr="0083513B">
              <w:rPr>
                <w:vertAlign w:val="superscript"/>
              </w:rPr>
              <w:t>(1)</w:t>
            </w:r>
          </w:p>
        </w:tc>
        <w:tc>
          <w:tcPr>
            <w:tcW w:w="844" w:type="pct"/>
            <w:gridSpan w:val="3"/>
            <w:tcBorders>
              <w:left w:val="single" w:sz="4" w:space="0" w:color="auto"/>
            </w:tcBorders>
            <w:shd w:val="clear" w:color="auto" w:fill="auto"/>
          </w:tcPr>
          <w:p w:rsidR="004C1EBA" w:rsidRPr="0083513B" w:rsidP="004C1EBA">
            <w:pPr>
              <w:pStyle w:val="csbody00"/>
              <w:rPr>
                <w:highlight w:val="yellow"/>
              </w:rPr>
            </w:pPr>
            <w:r w:rsidRPr="0083513B">
              <w:t>Jahr</w:t>
            </w:r>
          </w:p>
        </w:tc>
        <w:tc>
          <w:tcPr>
            <w:tcW w:w="1657" w:type="pct"/>
            <w:gridSpan w:val="5"/>
            <w:shd w:val="clear" w:color="auto" w:fill="auto"/>
          </w:tcPr>
          <w:p w:rsidR="004C1EBA" w:rsidRPr="0083513B" w:rsidP="004C1EBA">
            <w:pPr>
              <w:pStyle w:val="csbody00"/>
              <w:rPr>
                <w:bCs/>
                <w:highlight w:val="yellow"/>
              </w:rPr>
            </w:pPr>
            <w:r w:rsidRPr="0083513B">
              <w:rPr>
                <w:spacing w:val="-4"/>
                <w:lang w:val="de-CH"/>
              </w:rPr>
              <w:t>Dividende je Namensaktie</w:t>
            </w:r>
            <w:r w:rsidRPr="0083513B">
              <w:rPr>
                <w:vertAlign w:val="superscript"/>
                <w:lang w:val="de-CH"/>
              </w:rPr>
              <w:t>(1)</w:t>
            </w:r>
          </w:p>
        </w:tc>
      </w:tr>
      <w:tr w:rsidTr="00682578">
        <w:tblPrEx>
          <w:tblW w:w="5002" w:type="pct"/>
          <w:tblLayout w:type="fixed"/>
          <w:tblLook w:val="00A0"/>
        </w:tblPrEx>
        <w:tc>
          <w:tcPr>
            <w:tcW w:w="831" w:type="pct"/>
          </w:tcPr>
          <w:p w:rsidR="004C1EBA" w:rsidRPr="0083513B" w:rsidP="004C1EBA">
            <w:pPr>
              <w:pStyle w:val="csbody00"/>
            </w:pPr>
            <w:r>
              <w:t>2014</w:t>
            </w:r>
          </w:p>
        </w:tc>
        <w:tc>
          <w:tcPr>
            <w:tcW w:w="830" w:type="pct"/>
            <w:gridSpan w:val="3"/>
          </w:tcPr>
          <w:p w:rsidR="004C1EBA" w:rsidRPr="0083513B" w:rsidP="004C1EBA">
            <w:pPr>
              <w:pStyle w:val="csbody00"/>
            </w:pPr>
            <w:r>
              <w:t>CHF</w:t>
            </w:r>
          </w:p>
        </w:tc>
        <w:tc>
          <w:tcPr>
            <w:tcW w:w="838" w:type="pct"/>
            <w:tcBorders>
              <w:right w:val="single" w:sz="4" w:space="0" w:color="auto"/>
            </w:tcBorders>
          </w:tcPr>
          <w:p w:rsidR="004C1EBA" w:rsidRPr="005C75A9" w:rsidP="004C1EBA">
            <w:pPr>
              <w:pStyle w:val="csbody00"/>
              <w:rPr>
                <w:vertAlign w:val="superscript"/>
              </w:rPr>
            </w:pPr>
            <w:r>
              <w:t>0.00</w:t>
            </w:r>
            <w:r>
              <w:rPr>
                <w:vertAlign w:val="superscript"/>
              </w:rPr>
              <w:t>(2)</w:t>
            </w:r>
          </w:p>
        </w:tc>
        <w:tc>
          <w:tcPr>
            <w:tcW w:w="838" w:type="pct"/>
            <w:gridSpan w:val="2"/>
            <w:tcBorders>
              <w:left w:val="single" w:sz="4" w:space="0" w:color="auto"/>
            </w:tcBorders>
            <w:shd w:val="clear" w:color="auto" w:fill="auto"/>
          </w:tcPr>
          <w:p w:rsidR="004C1EBA" w:rsidRPr="0083513B" w:rsidP="004C1EBA">
            <w:pPr>
              <w:pStyle w:val="csbody00"/>
            </w:pPr>
            <w:r>
              <w:t>2014</w:t>
            </w:r>
          </w:p>
        </w:tc>
        <w:tc>
          <w:tcPr>
            <w:tcW w:w="832" w:type="pct"/>
            <w:gridSpan w:val="5"/>
            <w:shd w:val="clear" w:color="auto" w:fill="auto"/>
          </w:tcPr>
          <w:p w:rsidR="004C1EBA" w:rsidRPr="0083513B" w:rsidP="004C1EBA">
            <w:pPr>
              <w:pStyle w:val="csbody00"/>
            </w:pPr>
            <w:r>
              <w:t>CHF</w:t>
            </w:r>
          </w:p>
        </w:tc>
        <w:tc>
          <w:tcPr>
            <w:tcW w:w="831" w:type="pct"/>
            <w:shd w:val="clear" w:color="auto" w:fill="auto"/>
          </w:tcPr>
          <w:p w:rsidR="004C1EBA" w:rsidRPr="0083513B" w:rsidP="004C1EBA">
            <w:pPr>
              <w:pStyle w:val="csbody00"/>
            </w:pPr>
            <w:r>
              <w:t>0,00</w:t>
            </w:r>
            <w:r>
              <w:rPr>
                <w:vertAlign w:val="superscript"/>
              </w:rPr>
              <w:t>(2)</w:t>
            </w:r>
          </w:p>
        </w:tc>
      </w:tr>
      <w:tr w:rsidTr="00682578">
        <w:tblPrEx>
          <w:tblW w:w="5002" w:type="pct"/>
          <w:tblLayout w:type="fixed"/>
          <w:tblLook w:val="00A0"/>
        </w:tblPrEx>
        <w:tc>
          <w:tcPr>
            <w:tcW w:w="831" w:type="pct"/>
          </w:tcPr>
          <w:p w:rsidR="004C1EBA" w:rsidRPr="0083513B" w:rsidP="004C1EBA">
            <w:pPr>
              <w:pStyle w:val="csbody00"/>
            </w:pPr>
            <w:r w:rsidRPr="0083513B">
              <w:t>2013</w:t>
            </w:r>
          </w:p>
        </w:tc>
        <w:tc>
          <w:tcPr>
            <w:tcW w:w="830" w:type="pct"/>
            <w:gridSpan w:val="3"/>
          </w:tcPr>
          <w:p w:rsidR="004C1EBA" w:rsidRPr="0083513B" w:rsidP="004C1EBA">
            <w:pPr>
              <w:pStyle w:val="csbody00"/>
            </w:pPr>
            <w:r w:rsidRPr="0083513B">
              <w:t>CHF</w:t>
            </w:r>
          </w:p>
        </w:tc>
        <w:tc>
          <w:tcPr>
            <w:tcW w:w="838" w:type="pct"/>
            <w:tcBorders>
              <w:right w:val="single" w:sz="4" w:space="0" w:color="auto"/>
            </w:tcBorders>
          </w:tcPr>
          <w:p w:rsidR="004C1EBA" w:rsidRPr="0083513B" w:rsidP="004C1EBA">
            <w:pPr>
              <w:pStyle w:val="csbody00"/>
            </w:pPr>
            <w:r w:rsidRPr="0083513B">
              <w:t>0.00</w:t>
            </w:r>
          </w:p>
        </w:tc>
        <w:tc>
          <w:tcPr>
            <w:tcW w:w="838" w:type="pct"/>
            <w:gridSpan w:val="2"/>
            <w:tcBorders>
              <w:left w:val="single" w:sz="4" w:space="0" w:color="auto"/>
            </w:tcBorders>
            <w:shd w:val="clear" w:color="auto" w:fill="auto"/>
          </w:tcPr>
          <w:p w:rsidR="004C1EBA" w:rsidRPr="0083513B" w:rsidP="004C1EBA">
            <w:pPr>
              <w:pStyle w:val="csbody00"/>
            </w:pPr>
            <w:r w:rsidRPr="0083513B">
              <w:t>2013</w:t>
            </w:r>
          </w:p>
        </w:tc>
        <w:tc>
          <w:tcPr>
            <w:tcW w:w="832" w:type="pct"/>
            <w:gridSpan w:val="5"/>
            <w:shd w:val="clear" w:color="auto" w:fill="auto"/>
          </w:tcPr>
          <w:p w:rsidR="004C1EBA" w:rsidRPr="0083513B" w:rsidP="004C1EBA">
            <w:pPr>
              <w:pStyle w:val="csbody00"/>
            </w:pPr>
            <w:r w:rsidRPr="0083513B">
              <w:t>CHF</w:t>
            </w:r>
          </w:p>
        </w:tc>
        <w:tc>
          <w:tcPr>
            <w:tcW w:w="831" w:type="pct"/>
            <w:shd w:val="clear" w:color="auto" w:fill="auto"/>
          </w:tcPr>
          <w:p w:rsidR="004C1EBA" w:rsidRPr="0083513B" w:rsidP="004C1EBA">
            <w:pPr>
              <w:pStyle w:val="csbody00"/>
            </w:pPr>
            <w:r w:rsidRPr="0083513B">
              <w:t>0,00</w:t>
            </w:r>
          </w:p>
        </w:tc>
      </w:tr>
      <w:tr w:rsidTr="00682578">
        <w:tblPrEx>
          <w:tblW w:w="5002" w:type="pct"/>
          <w:tblLayout w:type="fixed"/>
          <w:tblLook w:val="00A0"/>
        </w:tblPrEx>
        <w:tc>
          <w:tcPr>
            <w:tcW w:w="831" w:type="pct"/>
          </w:tcPr>
          <w:p w:rsidR="004C1EBA" w:rsidRPr="0083513B" w:rsidP="004C1EBA">
            <w:pPr>
              <w:pStyle w:val="csbody00"/>
            </w:pPr>
            <w:r w:rsidRPr="0083513B">
              <w:t>2012</w:t>
            </w:r>
          </w:p>
        </w:tc>
        <w:tc>
          <w:tcPr>
            <w:tcW w:w="830" w:type="pct"/>
            <w:gridSpan w:val="3"/>
          </w:tcPr>
          <w:p w:rsidR="004C1EBA" w:rsidRPr="0083513B" w:rsidP="004C1EBA">
            <w:pPr>
              <w:pStyle w:val="csbody00"/>
            </w:pPr>
            <w:r w:rsidRPr="0083513B">
              <w:t xml:space="preserve">CHF </w:t>
            </w:r>
          </w:p>
        </w:tc>
        <w:tc>
          <w:tcPr>
            <w:tcW w:w="838" w:type="pct"/>
            <w:tcBorders>
              <w:right w:val="single" w:sz="4" w:space="0" w:color="auto"/>
            </w:tcBorders>
          </w:tcPr>
          <w:p w:rsidR="004C1EBA" w:rsidRPr="0083513B" w:rsidP="004C1EBA">
            <w:pPr>
              <w:pStyle w:val="csbody00"/>
            </w:pPr>
            <w:r w:rsidRPr="0083513B">
              <w:t>0.23</w:t>
            </w:r>
          </w:p>
        </w:tc>
        <w:tc>
          <w:tcPr>
            <w:tcW w:w="838" w:type="pct"/>
            <w:gridSpan w:val="2"/>
            <w:tcBorders>
              <w:left w:val="single" w:sz="4" w:space="0" w:color="auto"/>
            </w:tcBorders>
            <w:shd w:val="clear" w:color="auto" w:fill="auto"/>
          </w:tcPr>
          <w:p w:rsidR="004C1EBA" w:rsidRPr="0083513B" w:rsidP="004C1EBA">
            <w:pPr>
              <w:pStyle w:val="csbody00"/>
            </w:pPr>
            <w:r w:rsidRPr="0083513B">
              <w:t>2012</w:t>
            </w:r>
          </w:p>
        </w:tc>
        <w:tc>
          <w:tcPr>
            <w:tcW w:w="832" w:type="pct"/>
            <w:gridSpan w:val="5"/>
            <w:shd w:val="clear" w:color="auto" w:fill="auto"/>
          </w:tcPr>
          <w:p w:rsidR="004C1EBA" w:rsidRPr="0083513B" w:rsidP="004C1EBA">
            <w:pPr>
              <w:pStyle w:val="csbody00"/>
            </w:pPr>
            <w:r w:rsidRPr="0083513B">
              <w:t xml:space="preserve">CHF </w:t>
            </w:r>
          </w:p>
        </w:tc>
        <w:tc>
          <w:tcPr>
            <w:tcW w:w="831" w:type="pct"/>
            <w:shd w:val="clear" w:color="auto" w:fill="auto"/>
          </w:tcPr>
          <w:p w:rsidR="004C1EBA" w:rsidRPr="0083513B" w:rsidP="004C1EBA">
            <w:pPr>
              <w:pStyle w:val="csbody00"/>
            </w:pPr>
            <w:r w:rsidRPr="0083513B">
              <w:t>0,23</w:t>
            </w:r>
          </w:p>
        </w:tc>
      </w:tr>
      <w:tr w:rsidTr="00682578">
        <w:tblPrEx>
          <w:tblW w:w="5002" w:type="pct"/>
          <w:tblLayout w:type="fixed"/>
          <w:tblLook w:val="00A0"/>
        </w:tblPrEx>
        <w:tc>
          <w:tcPr>
            <w:tcW w:w="831" w:type="pct"/>
          </w:tcPr>
          <w:p w:rsidR="004C1EBA" w:rsidRPr="0083513B" w:rsidP="004C1EBA">
            <w:pPr>
              <w:pStyle w:val="csbody00"/>
            </w:pPr>
            <w:r w:rsidRPr="0083513B">
              <w:t>2011</w:t>
            </w:r>
          </w:p>
        </w:tc>
        <w:tc>
          <w:tcPr>
            <w:tcW w:w="830" w:type="pct"/>
            <w:gridSpan w:val="3"/>
          </w:tcPr>
          <w:p w:rsidR="004C1EBA" w:rsidRPr="0083513B" w:rsidP="004C1EBA">
            <w:pPr>
              <w:pStyle w:val="csbody00"/>
            </w:pPr>
            <w:r w:rsidRPr="0083513B">
              <w:t>CHF</w:t>
            </w:r>
          </w:p>
        </w:tc>
        <w:tc>
          <w:tcPr>
            <w:tcW w:w="838" w:type="pct"/>
            <w:tcBorders>
              <w:right w:val="single" w:sz="4" w:space="0" w:color="auto"/>
            </w:tcBorders>
          </w:tcPr>
          <w:p w:rsidR="004C1EBA" w:rsidRPr="0083513B" w:rsidP="004C1EBA">
            <w:pPr>
              <w:pStyle w:val="csbody00"/>
            </w:pPr>
            <w:r w:rsidRPr="0083513B">
              <w:t>0.23</w:t>
            </w:r>
          </w:p>
        </w:tc>
        <w:tc>
          <w:tcPr>
            <w:tcW w:w="838" w:type="pct"/>
            <w:gridSpan w:val="2"/>
            <w:tcBorders>
              <w:left w:val="single" w:sz="4" w:space="0" w:color="auto"/>
            </w:tcBorders>
            <w:shd w:val="clear" w:color="auto" w:fill="auto"/>
          </w:tcPr>
          <w:p w:rsidR="004C1EBA" w:rsidRPr="0083513B" w:rsidP="004C1EBA">
            <w:pPr>
              <w:pStyle w:val="csbody00"/>
            </w:pPr>
            <w:r w:rsidRPr="0083513B">
              <w:t>2011</w:t>
            </w:r>
          </w:p>
        </w:tc>
        <w:tc>
          <w:tcPr>
            <w:tcW w:w="832" w:type="pct"/>
            <w:gridSpan w:val="5"/>
            <w:shd w:val="clear" w:color="auto" w:fill="auto"/>
          </w:tcPr>
          <w:p w:rsidR="004C1EBA" w:rsidRPr="0083513B" w:rsidP="004C1EBA">
            <w:pPr>
              <w:pStyle w:val="csbody00"/>
            </w:pPr>
            <w:r w:rsidRPr="0083513B">
              <w:t>CHF</w:t>
            </w:r>
          </w:p>
        </w:tc>
        <w:tc>
          <w:tcPr>
            <w:tcW w:w="831" w:type="pct"/>
            <w:shd w:val="clear" w:color="auto" w:fill="auto"/>
          </w:tcPr>
          <w:p w:rsidR="004C1EBA" w:rsidRPr="0083513B" w:rsidP="004C1EBA">
            <w:pPr>
              <w:pStyle w:val="csbody00"/>
            </w:pPr>
            <w:r w:rsidRPr="0083513B">
              <w:t>0,23</w:t>
            </w:r>
          </w:p>
        </w:tc>
      </w:tr>
      <w:tr w:rsidTr="00682578">
        <w:tblPrEx>
          <w:tblW w:w="5002" w:type="pct"/>
          <w:tblLayout w:type="fixed"/>
          <w:tblLook w:val="00A0"/>
        </w:tblPrEx>
        <w:tc>
          <w:tcPr>
            <w:tcW w:w="831" w:type="pct"/>
          </w:tcPr>
          <w:p w:rsidR="004C1EBA" w:rsidRPr="0083513B" w:rsidP="004C1EBA">
            <w:pPr>
              <w:pStyle w:val="csbody00"/>
            </w:pPr>
            <w:r w:rsidRPr="0083513B">
              <w:t>2010</w:t>
            </w:r>
          </w:p>
        </w:tc>
        <w:tc>
          <w:tcPr>
            <w:tcW w:w="830" w:type="pct"/>
            <w:gridSpan w:val="3"/>
          </w:tcPr>
          <w:p w:rsidR="004C1EBA" w:rsidRPr="0083513B" w:rsidP="004C1EBA">
            <w:pPr>
              <w:pStyle w:val="csbody00"/>
            </w:pPr>
            <w:r w:rsidRPr="0083513B">
              <w:t>CHF</w:t>
            </w:r>
          </w:p>
        </w:tc>
        <w:tc>
          <w:tcPr>
            <w:tcW w:w="838" w:type="pct"/>
            <w:tcBorders>
              <w:right w:val="single" w:sz="4" w:space="0" w:color="auto"/>
            </w:tcBorders>
          </w:tcPr>
          <w:p w:rsidR="004C1EBA" w:rsidRPr="0083513B" w:rsidP="004C1EBA">
            <w:pPr>
              <w:pStyle w:val="csbody00"/>
            </w:pPr>
            <w:r w:rsidRPr="0083513B">
              <w:t>0.23</w:t>
            </w:r>
          </w:p>
        </w:tc>
        <w:tc>
          <w:tcPr>
            <w:tcW w:w="838" w:type="pct"/>
            <w:gridSpan w:val="2"/>
            <w:tcBorders>
              <w:left w:val="single" w:sz="4" w:space="0" w:color="auto"/>
            </w:tcBorders>
            <w:shd w:val="clear" w:color="auto" w:fill="auto"/>
          </w:tcPr>
          <w:p w:rsidR="004C1EBA" w:rsidRPr="0083513B" w:rsidP="004C1EBA">
            <w:pPr>
              <w:pStyle w:val="csbody00"/>
            </w:pPr>
            <w:r w:rsidRPr="0083513B">
              <w:t>2010</w:t>
            </w:r>
          </w:p>
        </w:tc>
        <w:tc>
          <w:tcPr>
            <w:tcW w:w="832" w:type="pct"/>
            <w:gridSpan w:val="5"/>
            <w:shd w:val="clear" w:color="auto" w:fill="auto"/>
          </w:tcPr>
          <w:p w:rsidR="004C1EBA" w:rsidRPr="0083513B" w:rsidP="004C1EBA">
            <w:pPr>
              <w:pStyle w:val="csbody00"/>
            </w:pPr>
            <w:r w:rsidRPr="0083513B">
              <w:t>CHF</w:t>
            </w:r>
          </w:p>
        </w:tc>
        <w:tc>
          <w:tcPr>
            <w:tcW w:w="831" w:type="pct"/>
            <w:shd w:val="clear" w:color="auto" w:fill="auto"/>
          </w:tcPr>
          <w:p w:rsidR="004C1EBA" w:rsidRPr="0083513B" w:rsidP="004C1EBA">
            <w:pPr>
              <w:pStyle w:val="csbody00"/>
            </w:pPr>
            <w:r w:rsidRPr="0083513B">
              <w:t>0,23</w:t>
            </w:r>
          </w:p>
        </w:tc>
      </w:tr>
      <w:tr w:rsidTr="00682578">
        <w:tblPrEx>
          <w:tblW w:w="5002" w:type="pct"/>
          <w:tblLayout w:type="fixed"/>
          <w:tblLook w:val="00A0"/>
        </w:tblPrEx>
        <w:tc>
          <w:tcPr>
            <w:tcW w:w="831" w:type="pct"/>
          </w:tcPr>
          <w:p w:rsidR="004C1EBA" w:rsidRPr="0083513B" w:rsidP="004C1EBA">
            <w:pPr>
              <w:pStyle w:val="csbody00"/>
            </w:pPr>
          </w:p>
        </w:tc>
        <w:tc>
          <w:tcPr>
            <w:tcW w:w="830" w:type="pct"/>
            <w:gridSpan w:val="3"/>
          </w:tcPr>
          <w:p w:rsidR="004C1EBA" w:rsidRPr="0083513B" w:rsidP="004C1EBA">
            <w:pPr>
              <w:pStyle w:val="csbody00"/>
            </w:pPr>
          </w:p>
        </w:tc>
        <w:tc>
          <w:tcPr>
            <w:tcW w:w="838" w:type="pct"/>
            <w:tcBorders>
              <w:right w:val="single" w:sz="4" w:space="0" w:color="auto"/>
            </w:tcBorders>
          </w:tcPr>
          <w:p w:rsidR="004C1EBA" w:rsidRPr="0083513B" w:rsidP="004C1EBA">
            <w:pPr>
              <w:pStyle w:val="csbody00"/>
            </w:pPr>
          </w:p>
        </w:tc>
        <w:tc>
          <w:tcPr>
            <w:tcW w:w="838" w:type="pct"/>
            <w:gridSpan w:val="2"/>
            <w:tcBorders>
              <w:left w:val="single" w:sz="4" w:space="0" w:color="auto"/>
            </w:tcBorders>
            <w:shd w:val="clear" w:color="auto" w:fill="auto"/>
          </w:tcPr>
          <w:p w:rsidR="004C1EBA" w:rsidRPr="0083513B" w:rsidP="004C1EBA">
            <w:pPr>
              <w:pStyle w:val="csbody00"/>
            </w:pPr>
          </w:p>
        </w:tc>
        <w:tc>
          <w:tcPr>
            <w:tcW w:w="832" w:type="pct"/>
            <w:gridSpan w:val="5"/>
            <w:shd w:val="clear" w:color="auto" w:fill="auto"/>
          </w:tcPr>
          <w:p w:rsidR="004C1EBA" w:rsidRPr="0083513B" w:rsidP="004C1EBA">
            <w:pPr>
              <w:pStyle w:val="csbody00"/>
            </w:pPr>
          </w:p>
        </w:tc>
        <w:tc>
          <w:tcPr>
            <w:tcW w:w="831" w:type="pct"/>
            <w:shd w:val="clear" w:color="auto" w:fill="auto"/>
          </w:tcPr>
          <w:p w:rsidR="004C1EBA" w:rsidRPr="0083513B" w:rsidP="004C1EBA">
            <w:pPr>
              <w:pStyle w:val="csbody00"/>
            </w:pP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pPr>
            <w:r w:rsidRPr="0083513B">
              <w:rPr>
                <w:sz w:val="19"/>
                <w:szCs w:val="19"/>
                <w:vertAlign w:val="superscript"/>
              </w:rPr>
              <w:t>(1) </w:t>
            </w:r>
            <w:r w:rsidRPr="0083513B">
              <w:t>Dividends are rounded to the nearest CHF 0.01. Dividends are determined in accordance with Swiss law and Credit Suisse's Articles of Incorporation. As of 31 December 201</w:t>
            </w:r>
            <w:r>
              <w:t>4</w:t>
            </w:r>
            <w:r w:rsidRPr="0083513B">
              <w:t xml:space="preserve">, the number of registered shares issued by Credit Suisse was </w:t>
            </w:r>
            <w:r w:rsidRPr="005C75A9">
              <w:t>4,399,680,200 compared to</w:t>
            </w:r>
            <w:r>
              <w:rPr>
                <w:sz w:val="16"/>
                <w:szCs w:val="16"/>
              </w:rPr>
              <w:t xml:space="preserve"> </w:t>
            </w:r>
            <w:r w:rsidRPr="0083513B">
              <w:t xml:space="preserve">4,399,665,200 </w:t>
            </w:r>
            <w:r>
              <w:t xml:space="preserve">registered shares as of 31 December 2013 and </w:t>
            </w:r>
            <w:r w:rsidRPr="0083513B">
              <w:t>43,996,652 registered shares as of 31 December 2012, 2011</w:t>
            </w:r>
            <w:r>
              <w:t xml:space="preserve"> and</w:t>
            </w:r>
            <w:r w:rsidRPr="0083513B">
              <w:t xml:space="preserve"> 2010. The increase in the number of shares in 2013 reflects the split of the par value per share from CHF 100 to CHF 1 effective 19 November 2013.</w:t>
            </w:r>
            <w:r w:rsidRPr="005C75A9">
              <w:t xml:space="preserve"> The increase in the number of shares in 2014 reflects the waiver by the holders of Class A participation securities and Class B participation securities of their preference rights and agreement to a conversion of the Class A participation securities and Class B participation securities into, in each case, 7,500 registered shares of C</w:t>
            </w:r>
            <w:r>
              <w:t xml:space="preserve">redit </w:t>
            </w:r>
            <w:r w:rsidRPr="005C75A9">
              <w:t>S</w:t>
            </w:r>
            <w:r>
              <w:t>uisse</w:t>
            </w:r>
            <w:r w:rsidRPr="005C75A9">
              <w:t xml:space="preserve"> effec</w:t>
            </w:r>
            <w:r>
              <w:t>tive 16</w:t>
            </w:r>
            <w:r w:rsidRPr="005C75A9">
              <w:t xml:space="preserve"> January 2014 a</w:t>
            </w:r>
            <w:r>
              <w:t>nd 24</w:t>
            </w:r>
            <w:r w:rsidRPr="005C75A9">
              <w:t xml:space="preserve"> March 2014, respectively.</w:t>
            </w:r>
          </w:p>
        </w:tc>
        <w:tc>
          <w:tcPr>
            <w:tcW w:w="2501" w:type="pct"/>
            <w:gridSpan w:val="8"/>
            <w:tcBorders>
              <w:left w:val="single" w:sz="4" w:space="0" w:color="auto"/>
            </w:tcBorders>
            <w:shd w:val="clear" w:color="auto" w:fill="auto"/>
          </w:tcPr>
          <w:p w:rsidR="004C1EBA" w:rsidRPr="00985AE1" w:rsidP="004C1EBA">
            <w:pPr>
              <w:pStyle w:val="csbody00"/>
              <w:rPr>
                <w:lang w:val="de-DE"/>
              </w:rPr>
            </w:pPr>
            <w:r w:rsidRPr="0083513B">
              <w:rPr>
                <w:vertAlign w:val="superscript"/>
                <w:lang w:val="de-DE"/>
              </w:rPr>
              <w:t>(1)</w:t>
            </w:r>
            <w:r w:rsidRPr="0083513B">
              <w:rPr>
                <w:lang w:val="de-DE"/>
              </w:rPr>
              <w:t> </w:t>
            </w:r>
            <w:r w:rsidRPr="00E151ED">
              <w:rPr>
                <w:lang w:val="de-DE"/>
              </w:rPr>
              <w:t>Die Dividenden werden auf den nächsten CHF 0,01 gerundet. Die Dividenden werden unter Beachtung von Schweizer Recht und der Statuten der Credit Suisse bestimmt. Zum 31. Dezember 2014 betrug die Anzahl der von der Credit Suisse ausgegebenen Namensaktien 4.399.680.200 im Vergleich zu 4.399.665.200 Namensaktien zum 31. Dezember 2013 und 43.996.652 Namensaktien zum 31. Dezember 2012, 2011 und 2010. Die Erhöhung der Anzahl der Aktien im Jahr 2013 spiegelt den Nennwertsplit pro Aktie von CHF 100 auf CHF 1 mit Wirkung zum 19. November 2013 wider. Die Erhöhung der Anzahl der Aktien im Jahr 2014 spiegelt den Verzicht der Besitzer der Class-A-Partizipationsscheine und der Class-B-Partizipationsscheine auf ihre Vorzugsrechte und die Zustimmung zu einer Wandlung der Class-A-Partizipationsscheine und Class-B-Partizipationsscheine in jeweils 7.500 Namensaktien der Credit Suisse mit Wirkung zum 16. Januar 2014 bzw. 24. März 2014 wider.</w:t>
            </w:r>
          </w:p>
        </w:tc>
      </w:tr>
      <w:tr w:rsidTr="004C1EBA">
        <w:tblPrEx>
          <w:tblW w:w="5002" w:type="pct"/>
          <w:tblLayout w:type="fixed"/>
          <w:tblLook w:val="00A0"/>
        </w:tblPrEx>
        <w:tc>
          <w:tcPr>
            <w:tcW w:w="2499" w:type="pct"/>
            <w:gridSpan w:val="5"/>
            <w:tcBorders>
              <w:right w:val="single" w:sz="4" w:space="0" w:color="auto"/>
            </w:tcBorders>
          </w:tcPr>
          <w:p w:rsidR="004C1EBA" w:rsidRPr="0083513B" w:rsidP="001D3431">
            <w:pPr>
              <w:pStyle w:val="csbody00"/>
            </w:pPr>
            <w:r>
              <w:rPr>
                <w:sz w:val="19"/>
                <w:szCs w:val="19"/>
                <w:vertAlign w:val="superscript"/>
              </w:rPr>
              <w:t>2</w:t>
            </w:r>
            <w:r w:rsidRPr="0083513B">
              <w:rPr>
                <w:sz w:val="19"/>
                <w:szCs w:val="19"/>
                <w:vertAlign w:val="superscript"/>
              </w:rPr>
              <w:t>) </w:t>
            </w:r>
            <w:r>
              <w:t xml:space="preserve">As described above, </w:t>
            </w:r>
            <w:r w:rsidRPr="005C75A9">
              <w:t xml:space="preserve">a dividend in kind up to a maximum of CHF 100 million (up to CHF 0.2 per share) was approved at the </w:t>
            </w:r>
            <w:r w:rsidRPr="00E151ED">
              <w:t xml:space="preserve">Annual General Meeting </w:t>
            </w:r>
            <w:r>
              <w:t>on 24</w:t>
            </w:r>
            <w:r w:rsidRPr="005C75A9">
              <w:t xml:space="preserve"> April 2015 and </w:t>
            </w:r>
            <w:r w:rsidR="001D3431">
              <w:t>was</w:t>
            </w:r>
            <w:r w:rsidRPr="005C75A9" w:rsidR="001D3431">
              <w:t xml:space="preserve"> </w:t>
            </w:r>
            <w:r w:rsidRPr="005C75A9">
              <w:t xml:space="preserve">dependent on the closing of a certain transaction by no </w:t>
            </w:r>
            <w:r>
              <w:t>later than 31</w:t>
            </w:r>
            <w:r w:rsidRPr="005C75A9">
              <w:t xml:space="preserve"> December 2015</w:t>
            </w:r>
            <w:r>
              <w:t>.</w:t>
            </w:r>
            <w:r w:rsidR="001D3431">
              <w:t xml:space="preserve"> This transaction closed on 1 July 2015 with the dividend in kind paid on the same day.</w:t>
            </w:r>
          </w:p>
        </w:tc>
        <w:tc>
          <w:tcPr>
            <w:tcW w:w="2501" w:type="pct"/>
            <w:gridSpan w:val="8"/>
            <w:tcBorders>
              <w:left w:val="single" w:sz="4" w:space="0" w:color="auto"/>
            </w:tcBorders>
            <w:shd w:val="clear" w:color="auto" w:fill="auto"/>
          </w:tcPr>
          <w:p w:rsidR="004C1EBA" w:rsidRPr="00BD6E0D" w:rsidP="00DB1264">
            <w:pPr>
              <w:pStyle w:val="csbody00"/>
              <w:rPr>
                <w:spacing w:val="-4"/>
                <w:lang w:val="de-DE"/>
              </w:rPr>
            </w:pPr>
            <w:r w:rsidRPr="00E151ED">
              <w:rPr>
                <w:vertAlign w:val="superscript"/>
                <w:lang w:val="de-DE"/>
              </w:rPr>
              <w:t>2) </w:t>
            </w:r>
            <w:r w:rsidRPr="00E151ED">
              <w:rPr>
                <w:lang w:val="de-DE"/>
              </w:rPr>
              <w:t>Wie oben beschrieben, wurde auf der Generalversammlung vom 24. April 2015 eine Sachdividende im Wert von maximal CHF 100 Mio. (bis zu CHF 0,2 je Aktie) beschlossen, die vom Abschluss einer bestimmten Transaktion bis spätestens zum 31. </w:t>
            </w:r>
            <w:r w:rsidRPr="00BD6E0D">
              <w:rPr>
                <w:lang w:val="de-DE"/>
              </w:rPr>
              <w:t xml:space="preserve">Dezember 2015 </w:t>
            </w:r>
            <w:r w:rsidRPr="00BD6E0D" w:rsidR="00DB1264">
              <w:rPr>
                <w:lang w:val="de-DE"/>
              </w:rPr>
              <w:t>abhing</w:t>
            </w:r>
            <w:r w:rsidRPr="00BD6E0D">
              <w:rPr>
                <w:lang w:val="de-DE"/>
              </w:rPr>
              <w:t>.</w:t>
            </w:r>
            <w:r w:rsidRPr="00BD6E0D" w:rsidR="001D3431">
              <w:rPr>
                <w:lang w:val="de-DE"/>
              </w:rPr>
              <w:t xml:space="preserve"> </w:t>
            </w:r>
            <w:r w:rsidRPr="00BD6E0D" w:rsidR="00DB1264">
              <w:rPr>
                <w:lang w:val="de-DE"/>
              </w:rPr>
              <w:t>Diese Transaktion wurde am 1. Juli 2015 abgeschlossen und die Sachdividende am selben Tag gezahlt.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rPr>
                <w:highlight w:val="yellow"/>
                <w:lang w:val="en-US"/>
              </w:rPr>
            </w:pPr>
            <w:r w:rsidRPr="0083513B">
              <w:t xml:space="preserve">For further information relating to dividends, refer to </w:t>
            </w:r>
            <w:r>
              <w:t>"</w:t>
            </w:r>
            <w:r w:rsidRPr="0083513B">
              <w:rPr>
                <w:i/>
              </w:rPr>
              <w:t>II—</w:t>
            </w:r>
            <w:r>
              <w:rPr>
                <w:i/>
              </w:rPr>
              <w:t xml:space="preserve"> Operating and financial review </w:t>
            </w:r>
            <w:r w:rsidRPr="0083513B">
              <w:rPr>
                <w:i/>
              </w:rPr>
              <w:t>—</w:t>
            </w:r>
            <w:r>
              <w:rPr>
                <w:i/>
              </w:rPr>
              <w:t xml:space="preserve"> Credit Suisse </w:t>
            </w:r>
            <w:r w:rsidRPr="0083513B">
              <w:rPr>
                <w:i/>
              </w:rPr>
              <w:t>—</w:t>
            </w:r>
            <w:r>
              <w:rPr>
                <w:i/>
              </w:rPr>
              <w:t>Dividends of the Bank to the Group</w:t>
            </w:r>
            <w:r>
              <w:t>"</w:t>
            </w:r>
            <w:r w:rsidRPr="0083513B">
              <w:t xml:space="preserve"> in the Credit Suisse Annual Report 201</w:t>
            </w:r>
            <w:r>
              <w:t>4</w:t>
            </w:r>
            <w:r w:rsidRPr="0083513B">
              <w:t>.</w:t>
            </w:r>
          </w:p>
        </w:tc>
        <w:tc>
          <w:tcPr>
            <w:tcW w:w="2501" w:type="pct"/>
            <w:gridSpan w:val="8"/>
            <w:tcBorders>
              <w:left w:val="single" w:sz="4" w:space="0" w:color="auto"/>
            </w:tcBorders>
            <w:shd w:val="clear" w:color="auto" w:fill="auto"/>
          </w:tcPr>
          <w:p w:rsidR="004C1EBA" w:rsidRPr="0083513B" w:rsidP="004C1EBA">
            <w:pPr>
              <w:pStyle w:val="csbody00"/>
              <w:rPr>
                <w:highlight w:val="yellow"/>
                <w:lang w:val="de-DE"/>
              </w:rPr>
            </w:pPr>
            <w:r w:rsidRPr="0083513B">
              <w:rPr>
                <w:spacing w:val="-4"/>
                <w:lang w:val="de-CH"/>
              </w:rPr>
              <w:t xml:space="preserve">Für weitere Informationen in Bezug auf Dividenden, siehe </w:t>
            </w:r>
            <w:r>
              <w:rPr>
                <w:spacing w:val="-4"/>
                <w:lang w:val="de-CH"/>
              </w:rPr>
              <w:t>"</w:t>
            </w:r>
            <w:r w:rsidRPr="0083513B">
              <w:rPr>
                <w:i/>
                <w:spacing w:val="-4"/>
                <w:lang w:val="de-CH"/>
              </w:rPr>
              <w:t xml:space="preserve">II – </w:t>
            </w:r>
            <w:r>
              <w:rPr>
                <w:i/>
                <w:spacing w:val="-4"/>
                <w:lang w:val="de-CH"/>
              </w:rPr>
              <w:t xml:space="preserve">Kommentar zu den Resultaten </w:t>
            </w:r>
            <w:r w:rsidRPr="0083513B">
              <w:rPr>
                <w:i/>
                <w:lang w:val="de-CH"/>
              </w:rPr>
              <w:t>—</w:t>
            </w:r>
            <w:r>
              <w:rPr>
                <w:i/>
                <w:lang w:val="de-CH"/>
              </w:rPr>
              <w:t xml:space="preserve"> Credit Suisse </w:t>
            </w:r>
            <w:r w:rsidRPr="0083513B">
              <w:rPr>
                <w:i/>
                <w:lang w:val="de-CH"/>
              </w:rPr>
              <w:t>—</w:t>
            </w:r>
            <w:r>
              <w:rPr>
                <w:i/>
                <w:lang w:val="de-CH"/>
              </w:rPr>
              <w:t>Dividenden der Bank an die Gruppe</w:t>
            </w:r>
            <w:r>
              <w:rPr>
                <w:spacing w:val="-4"/>
                <w:lang w:val="de-CH"/>
              </w:rPr>
              <w:t>"</w:t>
            </w:r>
            <w:r w:rsidRPr="0083513B">
              <w:rPr>
                <w:spacing w:val="-4"/>
                <w:lang w:val="de-CH"/>
              </w:rPr>
              <w:t xml:space="preserve"> im Geschäftsbericht 201</w:t>
            </w:r>
            <w:r>
              <w:rPr>
                <w:spacing w:val="-4"/>
                <w:lang w:val="de-CH"/>
              </w:rPr>
              <w:t>4</w:t>
            </w:r>
            <w:r w:rsidRPr="0083513B">
              <w:rPr>
                <w:spacing w:val="-4"/>
                <w:lang w:val="de-CH"/>
              </w:rPr>
              <w:t xml:space="preserve"> der Credit Suisse.</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highlight w:val="yellow"/>
              </w:rPr>
            </w:pPr>
            <w:r w:rsidRPr="00985AE1">
              <w:rPr>
                <w:b/>
              </w:rPr>
              <w:t>Auditors</w:t>
            </w:r>
          </w:p>
        </w:tc>
        <w:tc>
          <w:tcPr>
            <w:tcW w:w="2501" w:type="pct"/>
            <w:gridSpan w:val="8"/>
            <w:tcBorders>
              <w:left w:val="single" w:sz="4" w:space="0" w:color="auto"/>
            </w:tcBorders>
            <w:shd w:val="clear" w:color="auto" w:fill="auto"/>
          </w:tcPr>
          <w:p w:rsidR="004C1EBA" w:rsidRPr="00985AE1" w:rsidP="004C1EBA">
            <w:pPr>
              <w:pStyle w:val="csbody00"/>
              <w:rPr>
                <w:b/>
                <w:highlight w:val="yellow"/>
              </w:rPr>
            </w:pPr>
            <w:r w:rsidRPr="00985AE1">
              <w:rPr>
                <w:b/>
              </w:rPr>
              <w:t>Revisionsstelle</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rPr>
                <w:lang w:val="en-US"/>
              </w:rPr>
            </w:pPr>
            <w:r w:rsidRPr="00BD6E0D">
              <w:t xml:space="preserve">Credit Suisse’s auditor is KPMG AG (KPMG), Badenerstrasse 172, 8004 Zurich, Switzerland. </w:t>
            </w:r>
            <w:r w:rsidRPr="0083513B">
              <w:rPr>
                <w:lang w:val="en-US"/>
              </w:rPr>
              <w:t xml:space="preserve">Credit Suisse’s consolidated financial statements as of 31 December </w:t>
            </w:r>
            <w:r>
              <w:rPr>
                <w:lang w:val="en-US"/>
              </w:rPr>
              <w:t xml:space="preserve">2014 and </w:t>
            </w:r>
            <w:r w:rsidRPr="0083513B">
              <w:rPr>
                <w:lang w:val="en-US"/>
              </w:rPr>
              <w:t>2013, and for each of the years in the three-year period ended 31 December 201</w:t>
            </w:r>
            <w:r>
              <w:rPr>
                <w:lang w:val="en-US"/>
              </w:rPr>
              <w:t>4</w:t>
            </w:r>
            <w:r w:rsidRPr="0083513B">
              <w:rPr>
                <w:lang w:val="en-US"/>
              </w:rPr>
              <w:t xml:space="preserve"> were audited by KPMG in accordance with Swiss law, Swiss Auditing Standards and the standards of the Public Company Accounting Oversight Board (United States). </w:t>
            </w:r>
            <w:r>
              <w:rPr>
                <w:lang w:val="en-US"/>
              </w:rPr>
              <w:t>Credit Suisse</w:t>
            </w:r>
            <w:r w:rsidRPr="0083513B">
              <w:rPr>
                <w:lang w:val="en-US"/>
              </w:rPr>
              <w:t>’s</w:t>
            </w:r>
            <w:r>
              <w:rPr>
                <w:lang w:val="en-US"/>
              </w:rPr>
              <w:t xml:space="preserve"> financial statements as of and for the year ended 31 December 2014 were audited by KPMG in accordance with Swiss law and Swiss Auditing Standards. </w:t>
            </w:r>
            <w:r w:rsidRPr="0083513B">
              <w:rPr>
                <w:lang w:val="en-US"/>
              </w:rPr>
              <w:t xml:space="preserve">The auditors of Credit Suisse have no interest in Credit Suisse. </w:t>
            </w:r>
            <w:r>
              <w:rPr>
                <w:lang w:val="en-US"/>
              </w:rPr>
              <w:t>The audit mandate was first given to</w:t>
            </w:r>
            <w:r w:rsidRPr="0083513B">
              <w:rPr>
                <w:lang w:val="en-US"/>
              </w:rPr>
              <w:t xml:space="preserve"> KPMG Klynveld Peat Marwick Goerdeler SA, Zurich (KPMG Klynveld) for the business year 1989/1990. </w:t>
            </w:r>
          </w:p>
        </w:tc>
        <w:tc>
          <w:tcPr>
            <w:tcW w:w="2501" w:type="pct"/>
            <w:gridSpan w:val="8"/>
            <w:tcBorders>
              <w:left w:val="single" w:sz="4" w:space="0" w:color="auto"/>
            </w:tcBorders>
            <w:shd w:val="clear" w:color="auto" w:fill="auto"/>
          </w:tcPr>
          <w:p w:rsidR="004C1EBA" w:rsidRPr="0083513B" w:rsidP="004C1EBA">
            <w:pPr>
              <w:pStyle w:val="csbody00"/>
              <w:rPr>
                <w:highlight w:val="yellow"/>
                <w:lang w:val="de-DE"/>
              </w:rPr>
            </w:pPr>
            <w:r w:rsidRPr="00E151ED">
              <w:rPr>
                <w:lang w:val="de-CH"/>
              </w:rPr>
              <w:t xml:space="preserve">Revisionsstelle der Credit Suisse ist die KPMG AG (KPMG), Badenerstrasse 172, CH-8004 Zürich, Schweiz. Die konsolidierte Jahresrechnung der Credit Suisse zum 31. Dezember 2014 und 2013 sowie für jedes Jahr des am 31. Dezember 2014 endenden Dreijahreszeitraums wurden von der KPMG gemäss Schweizer Recht, Schweizer Prüfungsstandards sowie den Standards des Public Company Accounting Oversight Board (Vereinigte Staaten) geprüft. Die Jahresrechnung der </w:t>
            </w:r>
            <w:r w:rsidRPr="00E151ED">
              <w:rPr>
                <w:lang w:val="de-DE"/>
              </w:rPr>
              <w:t xml:space="preserve">Credit Suisse zum und für das am 31. Dezember 2014 endende Jahr </w:t>
            </w:r>
            <w:r w:rsidRPr="00E151ED">
              <w:rPr>
                <w:lang w:val="de-CH"/>
              </w:rPr>
              <w:t>wurde von der KPMG gemäss Schweizer Recht und den Schweizer Prüfungsstandards geprüft</w:t>
            </w:r>
            <w:r w:rsidRPr="00E151ED">
              <w:rPr>
                <w:lang w:val="de-DE"/>
              </w:rPr>
              <w:t xml:space="preserve">. </w:t>
            </w:r>
            <w:r w:rsidRPr="00E151ED">
              <w:rPr>
                <w:lang w:val="de-CH"/>
              </w:rPr>
              <w:t>Die Wirtschaftsprüfer der Credit Suisse sind nicht an der Credit Suisse beteiligt. Das Prüfungsmandat wurde der KPMG Klynveld Peat Marwick Goerdeler SA, Zürich (KPMG Klynveld) erstmals für das Geschäftsjahr 1989/1990 erteilt</w:t>
            </w:r>
            <w:r w:rsidRPr="0083513B">
              <w:rPr>
                <w:lang w:val="de-CH"/>
              </w:rPr>
              <w: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rPr>
                <w:lang w:val="en-US"/>
              </w:rPr>
            </w:pPr>
            <w:r w:rsidRPr="0083513B">
              <w:rPr>
                <w:lang w:val="en-US"/>
              </w:rPr>
              <w:t>The lead engagement partners are Anthony Anzevino, Global Lead Partner (since 2012) and Simon Ryder, Group Engagement Partner (since 2010).</w:t>
            </w:r>
          </w:p>
        </w:tc>
        <w:tc>
          <w:tcPr>
            <w:tcW w:w="2501" w:type="pct"/>
            <w:gridSpan w:val="8"/>
            <w:tcBorders>
              <w:left w:val="single" w:sz="4" w:space="0" w:color="auto"/>
            </w:tcBorders>
            <w:shd w:val="clear" w:color="auto" w:fill="auto"/>
          </w:tcPr>
          <w:p w:rsidR="004C1EBA" w:rsidRPr="0083513B" w:rsidP="004C1EBA">
            <w:pPr>
              <w:pStyle w:val="csbody00"/>
              <w:rPr>
                <w:highlight w:val="yellow"/>
                <w:lang w:val="de-DE"/>
              </w:rPr>
            </w:pPr>
            <w:r w:rsidRPr="0083513B">
              <w:rPr>
                <w:lang w:val="de-DE"/>
              </w:rPr>
              <w:t>Die leitenden Revisoren sind Anthony Anzevino, Global Lead Partner (seit 2012) und Simon Ryder, Group Engagement Partner (seit 2010).</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rPr>
                <w:highlight w:val="yellow"/>
                <w:lang w:val="en-US"/>
              </w:rPr>
            </w:pPr>
            <w:r w:rsidRPr="0083513B">
              <w:rPr>
                <w:lang w:val="en-US"/>
              </w:rPr>
              <w:t xml:space="preserve">In addition, Credit Suisse has mandated BDO AG, </w:t>
            </w:r>
            <w:r w:rsidRPr="00ED0E56">
              <w:t xml:space="preserve">Fabrikstrasse 50, 8005 </w:t>
            </w:r>
            <w:r w:rsidRPr="0083513B">
              <w:rPr>
                <w:lang w:val="en-US"/>
              </w:rPr>
              <w:t>Zurich, as special auditor for the purposes of issuing the legally required report for capital increases in accordance with Article 652f of the Swiss Code of Obligations. KPMG and BDO AG are both licensed by the Federal Audit Oversight Authority, which is responsible for the licensing and supervision of audit firms and individuals which provide audit services in Switzerland.</w:t>
            </w:r>
          </w:p>
        </w:tc>
        <w:tc>
          <w:tcPr>
            <w:tcW w:w="2501" w:type="pct"/>
            <w:gridSpan w:val="8"/>
            <w:tcBorders>
              <w:left w:val="single" w:sz="4" w:space="0" w:color="auto"/>
            </w:tcBorders>
            <w:shd w:val="clear" w:color="auto" w:fill="auto"/>
          </w:tcPr>
          <w:p w:rsidR="004C1EBA" w:rsidRPr="0083513B" w:rsidP="004C1EBA">
            <w:pPr>
              <w:pStyle w:val="csbody00"/>
              <w:rPr>
                <w:highlight w:val="yellow"/>
                <w:lang w:val="de-DE"/>
              </w:rPr>
            </w:pPr>
            <w:r w:rsidRPr="0083513B">
              <w:rPr>
                <w:lang w:val="de-CH"/>
              </w:rPr>
              <w:t xml:space="preserve">Zusätzlich hat die Credit Suisse die BDO AG, </w:t>
            </w:r>
            <w:r w:rsidRPr="00462733">
              <w:rPr>
                <w:lang w:val="de-CH"/>
              </w:rPr>
              <w:t>Fabrikstrasse 50, 8005</w:t>
            </w:r>
            <w:r>
              <w:rPr>
                <w:lang w:val="de-CH"/>
              </w:rPr>
              <w:t xml:space="preserve"> </w:t>
            </w:r>
            <w:r w:rsidRPr="0083513B">
              <w:rPr>
                <w:lang w:val="de-CH"/>
              </w:rPr>
              <w:t>Zürich, als Sonderprüfer für die Abgabe von rechtlich verlangten, besonderen Prüfungsbestätigungen im Zusammenhang mit Kapitalerhöhungen gemäss Art. 652f des Schweizerischen Obligationenrechts mandatiert. Die KPMG und die BDO AG sind beide von der Revisionsaufsichtsbehörde zugelassen, die für die Zulassung und Beaufsichtigung von Unternehmen und Personen, die in der Schweiz Revisions</w:t>
            </w:r>
            <w:r w:rsidRPr="0083513B">
              <w:rPr>
                <w:lang w:val="de-CH"/>
              </w:rPr>
              <w:softHyphen/>
              <w:t>dienstleistungen erbringen, zuständig ist.</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110A75">
            <w:pPr>
              <w:pStyle w:val="CSBody0"/>
              <w:rPr>
                <w:lang w:val="de-DE"/>
              </w:rPr>
            </w:pPr>
            <w:r w:rsidRPr="002A6B5D">
              <w:rPr>
                <w:lang w:val="de-DE"/>
              </w:rPr>
              <w:t xml:space="preserve">KPMG AG is a member of the following professional organisations: (i) </w:t>
            </w:r>
            <w:r w:rsidRPr="00993C5C">
              <w:rPr>
                <w:lang w:val="de-DE"/>
              </w:rPr>
              <w:t>"</w:t>
            </w:r>
            <w:r w:rsidRPr="00EB3AA4">
              <w:rPr>
                <w:lang w:val="de-CH"/>
              </w:rPr>
              <w:t>EXPERTsuisse (</w:t>
            </w:r>
            <w:r>
              <w:rPr>
                <w:lang w:val="de-CH"/>
              </w:rPr>
              <w:t>previously</w:t>
            </w:r>
            <w:r w:rsidRPr="00EB3AA4">
              <w:rPr>
                <w:lang w:val="de-CH"/>
              </w:rPr>
              <w:t xml:space="preserve"> Treuhand-Kammer)</w:t>
            </w:r>
            <w:r w:rsidRPr="00993C5C">
              <w:rPr>
                <w:lang w:val="de-DE"/>
              </w:rPr>
              <w:t>"</w:t>
            </w:r>
            <w:r w:rsidR="00F97C4D">
              <w:rPr>
                <w:lang w:val="de-DE"/>
              </w:rPr>
              <w:t>,</w:t>
            </w:r>
            <w:r>
              <w:rPr>
                <w:lang w:val="de-DE"/>
              </w:rPr>
              <w:t xml:space="preserve"> </w:t>
            </w:r>
            <w:r w:rsidRPr="002A6B5D">
              <w:rPr>
                <w:lang w:val="de-DE"/>
              </w:rPr>
              <w:t xml:space="preserve">(ii) </w:t>
            </w:r>
            <w:r w:rsidRPr="00993C5C">
              <w:rPr>
                <w:lang w:val="de-DE"/>
              </w:rPr>
              <w:t>"</w:t>
            </w:r>
            <w:r w:rsidRPr="002A6B5D">
              <w:rPr>
                <w:lang w:val="de-DE"/>
              </w:rPr>
              <w:t xml:space="preserve">veb.ch (Schweizerischer Verband der dipl. </w:t>
            </w:r>
            <w:r w:rsidRPr="00110A75">
              <w:rPr>
                <w:lang w:val="de-DE"/>
              </w:rPr>
              <w:t>Experten in Rechnungslegung und Controlling und der Inhaber des eidg. Fachausweises in Finanz- und Rechnungswesen)</w:t>
            </w:r>
            <w:r>
              <w:rPr>
                <w:lang w:val="de-CH"/>
              </w:rPr>
              <w:t>"</w:t>
            </w:r>
            <w:r w:rsidR="00F97C4D">
              <w:rPr>
                <w:lang w:val="de-CH"/>
              </w:rPr>
              <w:t>and (iii) "Institute of Internal Auditing Switzerland (IIAS)"</w:t>
            </w:r>
            <w:r w:rsidRPr="00110A75">
              <w:rPr>
                <w:lang w:val="de-DE"/>
              </w:rPr>
              <w:t xml:space="preserve">. BDO AG is a member of the following professional organisations: (i) </w:t>
            </w:r>
            <w:r>
              <w:rPr>
                <w:lang w:val="de-DE"/>
              </w:rPr>
              <w:t>"</w:t>
            </w:r>
            <w:r w:rsidRPr="00EB3AA4">
              <w:rPr>
                <w:lang w:val="de-CH"/>
              </w:rPr>
              <w:t xml:space="preserve"> EXPERTsuisse (previously Treuhand-Kammer)</w:t>
            </w:r>
            <w:r w:rsidRPr="00110A75">
              <w:rPr>
                <w:lang w:val="de-DE"/>
              </w:rPr>
              <w:t xml:space="preserve">", (ii) </w:t>
            </w:r>
            <w:r>
              <w:rPr>
                <w:lang w:val="de-DE"/>
              </w:rPr>
              <w:t>"</w:t>
            </w:r>
            <w:r w:rsidRPr="00110A75">
              <w:rPr>
                <w:lang w:val="de-DE"/>
              </w:rPr>
              <w:t>Treuhand Suisse</w:t>
            </w:r>
            <w:r>
              <w:rPr>
                <w:lang w:val="de-DE"/>
              </w:rPr>
              <w:t>"</w:t>
            </w:r>
            <w:r w:rsidRPr="00110A75">
              <w:rPr>
                <w:lang w:val="de-DE"/>
              </w:rPr>
              <w:t xml:space="preserve">, (iii) </w:t>
            </w:r>
            <w:r>
              <w:rPr>
                <w:lang w:val="de-DE"/>
              </w:rPr>
              <w:t>"</w:t>
            </w:r>
            <w:r w:rsidRPr="00110A75">
              <w:rPr>
                <w:lang w:val="de-DE"/>
              </w:rPr>
              <w:t>veb.ch (Schweizerischer Verband der dipl. Experten in Rechnungslegung und Controlling und der Inhaber des eidg. Fachausweises in Finanz- und Rechnungswesen)</w:t>
            </w:r>
            <w:r w:rsidRPr="00110A75">
              <w:rPr>
                <w:lang w:val="de-CH"/>
              </w:rPr>
              <w:t xml:space="preserve"> </w:t>
            </w:r>
            <w:r>
              <w:rPr>
                <w:lang w:val="de-CH"/>
              </w:rPr>
              <w:t>"</w:t>
            </w:r>
            <w:r w:rsidRPr="00110A75">
              <w:rPr>
                <w:lang w:val="de-DE"/>
              </w:rPr>
              <w:t xml:space="preserve"> and (iv) </w:t>
            </w:r>
            <w:r>
              <w:rPr>
                <w:lang w:val="de-CH"/>
              </w:rPr>
              <w:t>"</w:t>
            </w:r>
            <w:r w:rsidRPr="00110A75">
              <w:rPr>
                <w:lang w:val="de-DE"/>
              </w:rPr>
              <w:t>Institute of Internal Auditing Switzerland (IIAS)</w:t>
            </w:r>
            <w:r w:rsidRPr="00110A75">
              <w:rPr>
                <w:lang w:val="de-CH"/>
              </w:rPr>
              <w:t xml:space="preserve"> </w:t>
            </w:r>
            <w:r>
              <w:rPr>
                <w:lang w:val="de-CH"/>
              </w:rPr>
              <w:t>"</w:t>
            </w:r>
            <w:r w:rsidRPr="00110A75">
              <w:rPr>
                <w:lang w:val="de-DE"/>
              </w:rPr>
              <w:t>.</w:t>
            </w:r>
          </w:p>
        </w:tc>
        <w:tc>
          <w:tcPr>
            <w:tcW w:w="2501" w:type="pct"/>
            <w:gridSpan w:val="8"/>
            <w:tcBorders>
              <w:top w:val="nil"/>
              <w:left w:val="single" w:sz="4" w:space="0" w:color="auto"/>
              <w:bottom w:val="nil"/>
            </w:tcBorders>
            <w:shd w:val="clear" w:color="auto" w:fill="auto"/>
          </w:tcPr>
          <w:p w:rsidR="004C1EBA" w:rsidRPr="00110A75" w:rsidP="00F97C4D">
            <w:pPr>
              <w:pStyle w:val="CSBody0"/>
              <w:rPr>
                <w:lang w:val="de-DE"/>
              </w:rPr>
            </w:pPr>
            <w:r w:rsidRPr="00110A75">
              <w:rPr>
                <w:lang w:val="de-DE"/>
              </w:rPr>
              <w:t>Die KPMG AG ist Mitglied von folgenden Berufs</w:t>
            </w:r>
            <w:r w:rsidRPr="00110A75">
              <w:rPr>
                <w:lang w:val="de-DE"/>
              </w:rPr>
              <w:softHyphen/>
              <w:t>vereinigungen: (i) "</w:t>
            </w:r>
            <w:r w:rsidRPr="00EB3AA4">
              <w:rPr>
                <w:lang w:val="de-CH"/>
              </w:rPr>
              <w:t>EXPERTsuisse (</w:t>
            </w:r>
            <w:r>
              <w:rPr>
                <w:lang w:val="de-CH"/>
              </w:rPr>
              <w:t>frühere</w:t>
            </w:r>
            <w:r w:rsidRPr="00EB3AA4">
              <w:rPr>
                <w:lang w:val="de-CH"/>
              </w:rPr>
              <w:t xml:space="preserve"> Treuhand-Kammer)</w:t>
            </w:r>
            <w:r>
              <w:rPr>
                <w:lang w:val="de-DE"/>
              </w:rPr>
              <w:t>"</w:t>
            </w:r>
            <w:r w:rsidR="00F97C4D">
              <w:rPr>
                <w:lang w:val="de-DE"/>
              </w:rPr>
              <w:t>,</w:t>
            </w:r>
            <w:r>
              <w:rPr>
                <w:lang w:val="de-DE"/>
              </w:rPr>
              <w:t xml:space="preserve"> </w:t>
            </w:r>
            <w:r w:rsidRPr="00110A75">
              <w:rPr>
                <w:lang w:val="de-DE"/>
              </w:rPr>
              <w:t>(ii) "veb.ch (Schweizerischer Verband der dipl. Experten in Rechnungslegung und Controlling und der Inhaber des eidg. Fachausweises in Finanz- und Rechnungswesen)"</w:t>
            </w:r>
            <w:r w:rsidR="00F97C4D">
              <w:rPr>
                <w:lang w:val="de-DE"/>
              </w:rPr>
              <w:t xml:space="preserve"> und (iii) "Schweizerischer Verband für Interne Revision (SVIR)"</w:t>
            </w:r>
            <w:r w:rsidRPr="00110A75">
              <w:rPr>
                <w:lang w:val="de-DE"/>
              </w:rPr>
              <w:t>. BDO AG ist Mitglied von folgenden Berufsvereinigungen: (i) "</w:t>
            </w:r>
            <w:r w:rsidRPr="00EB3AA4">
              <w:rPr>
                <w:lang w:val="de-CH"/>
              </w:rPr>
              <w:t>EXPERTsuisse (</w:t>
            </w:r>
            <w:r>
              <w:rPr>
                <w:lang w:val="de-CH"/>
              </w:rPr>
              <w:t>frühere</w:t>
            </w:r>
            <w:r w:rsidRPr="00EB3AA4">
              <w:rPr>
                <w:lang w:val="de-CH"/>
              </w:rPr>
              <w:t xml:space="preserve"> Treuhand-Kammer)</w:t>
            </w:r>
            <w:r w:rsidRPr="00110A75">
              <w:rPr>
                <w:lang w:val="de-DE"/>
              </w:rPr>
              <w:t>", (ii) "Treuhand Suisse", (iii) "veb.ch (Schweizerischer Verband der dipl. Experten in Rechnungslegung und Controlling und der Inhaber des eidg. Fachausweises in Finanz- und Rechnungswesen)" und (iv) "Schweizerischer Verband für Interne Revision (SVIR)".</w:t>
            </w:r>
          </w:p>
        </w:tc>
      </w:tr>
      <w:tr w:rsidTr="004C1EBA">
        <w:tblPrEx>
          <w:tblW w:w="5002" w:type="pct"/>
          <w:tblLayout w:type="fixed"/>
          <w:tblLook w:val="00A0"/>
        </w:tblPrEx>
        <w:tc>
          <w:tcPr>
            <w:tcW w:w="2499" w:type="pct"/>
            <w:gridSpan w:val="5"/>
            <w:tcBorders>
              <w:right w:val="single" w:sz="4" w:space="0" w:color="auto"/>
            </w:tcBorders>
            <w:shd w:val="clear" w:color="auto" w:fill="FFFFFF"/>
          </w:tcPr>
          <w:p w:rsidR="004C1EBA" w:rsidRPr="00985AE1" w:rsidP="004C1EBA">
            <w:pPr>
              <w:pStyle w:val="csbody00"/>
              <w:rPr>
                <w:b/>
              </w:rPr>
            </w:pPr>
            <w:r w:rsidRPr="00985AE1">
              <w:rPr>
                <w:b/>
                <w:lang w:val="de-DE"/>
              </w:rPr>
              <w:br w:type="page"/>
            </w:r>
            <w:r w:rsidRPr="00985AE1">
              <w:rPr>
                <w:b/>
              </w:rPr>
              <w:t>Capital adequacy</w:t>
            </w:r>
          </w:p>
        </w:tc>
        <w:tc>
          <w:tcPr>
            <w:tcW w:w="2501" w:type="pct"/>
            <w:gridSpan w:val="8"/>
            <w:tcBorders>
              <w:left w:val="single" w:sz="4" w:space="0" w:color="auto"/>
            </w:tcBorders>
            <w:shd w:val="clear" w:color="auto" w:fill="auto"/>
          </w:tcPr>
          <w:p w:rsidR="004C1EBA" w:rsidRPr="00985AE1" w:rsidP="004C1EBA">
            <w:pPr>
              <w:pStyle w:val="csbody00"/>
              <w:rPr>
                <w:b/>
                <w:lang w:val="de-CH"/>
              </w:rPr>
            </w:pPr>
            <w:r w:rsidRPr="00985AE1">
              <w:rPr>
                <w:b/>
                <w:lang w:val="de-CH"/>
              </w:rPr>
              <w:t>Kapitalausstattung</w:t>
            </w:r>
          </w:p>
        </w:tc>
      </w:tr>
      <w:tr w:rsidTr="004C1EBA">
        <w:tblPrEx>
          <w:tblW w:w="5002" w:type="pct"/>
          <w:tblLayout w:type="fixed"/>
          <w:tblLook w:val="00A0"/>
        </w:tblPrEx>
        <w:tc>
          <w:tcPr>
            <w:tcW w:w="2499" w:type="pct"/>
            <w:gridSpan w:val="5"/>
            <w:tcBorders>
              <w:right w:val="single" w:sz="4" w:space="0" w:color="auto"/>
            </w:tcBorders>
            <w:shd w:val="clear" w:color="auto" w:fill="FFFFFF"/>
          </w:tcPr>
          <w:p w:rsidR="004C1EBA" w:rsidRPr="0083513B" w:rsidP="004C1EBA">
            <w:pPr>
              <w:pStyle w:val="csbody00"/>
              <w:rPr>
                <w:lang w:val="en-US"/>
              </w:rPr>
            </w:pPr>
            <w:r w:rsidRPr="0083513B">
              <w:rPr>
                <w:lang w:val="en-US"/>
              </w:rPr>
              <w:t>The following table sets forth the details for Credit Suisse of BIS data (risk-weighted assets, capital and ratios)</w:t>
            </w:r>
            <w:r>
              <w:rPr>
                <w:lang w:val="en-US"/>
              </w:rPr>
              <w:t xml:space="preserve"> in accordance with transitional rules under Basel III</w:t>
            </w:r>
            <w:r w:rsidRPr="0083513B">
              <w:rPr>
                <w:lang w:val="en-US"/>
              </w:rPr>
              <w:t>:</w:t>
            </w:r>
          </w:p>
        </w:tc>
        <w:tc>
          <w:tcPr>
            <w:tcW w:w="2501" w:type="pct"/>
            <w:gridSpan w:val="8"/>
            <w:tcBorders>
              <w:left w:val="single" w:sz="4" w:space="0" w:color="auto"/>
            </w:tcBorders>
            <w:shd w:val="clear" w:color="auto" w:fill="auto"/>
          </w:tcPr>
          <w:p w:rsidR="004C1EBA" w:rsidRPr="0083513B" w:rsidP="004C1EBA">
            <w:pPr>
              <w:pStyle w:val="csbody00"/>
              <w:rPr>
                <w:lang w:val="de-CH"/>
              </w:rPr>
            </w:pPr>
            <w:r w:rsidRPr="00E151ED">
              <w:rPr>
                <w:lang w:val="de-CH"/>
              </w:rPr>
              <w:t>Die nachfolgende Tabelle enthält die BIZ-Daten der Credit Suisse (risikogewichtete Aktiva, Eigenmittel und Quoten) nach Massgabe der Übergangsregelungen nach Basel III</w:t>
            </w:r>
            <w:r w:rsidRPr="0083513B">
              <w:rPr>
                <w:lang w:val="de-CH"/>
              </w:rPr>
              <w:t>:</w:t>
            </w:r>
          </w:p>
        </w:tc>
      </w:tr>
      <w:tr w:rsidTr="00682578">
        <w:tblPrEx>
          <w:tblW w:w="5002" w:type="pct"/>
          <w:shd w:val="clear" w:color="auto" w:fill="FFFFFF"/>
          <w:tblLayout w:type="fixed"/>
          <w:tblLook w:val="00A0"/>
        </w:tblPrEx>
        <w:tc>
          <w:tcPr>
            <w:tcW w:w="2499" w:type="pct"/>
            <w:gridSpan w:val="5"/>
            <w:shd w:val="clear" w:color="auto" w:fill="FFFFFF"/>
          </w:tcPr>
          <w:p w:rsidR="004C1EBA" w:rsidRPr="00985AE1" w:rsidP="004C1EBA">
            <w:pPr>
              <w:pStyle w:val="csbody00"/>
              <w:rPr>
                <w:b/>
                <w:lang w:val="de-DE"/>
              </w:rPr>
            </w:pPr>
            <w:r w:rsidRPr="00985AE1">
              <w:rPr>
                <w:b/>
              </w:rPr>
              <w:t>31 December (CHF million, except where indicated)/31. </w:t>
            </w:r>
            <w:r w:rsidRPr="00985AE1">
              <w:rPr>
                <w:b/>
                <w:lang w:val="de-DE"/>
              </w:rPr>
              <w:t>Dezember (in Mio. CHF, Ausnahmen sind angegeben)</w:t>
            </w:r>
          </w:p>
        </w:tc>
        <w:tc>
          <w:tcPr>
            <w:tcW w:w="1371" w:type="pct"/>
            <w:gridSpan w:val="6"/>
            <w:shd w:val="clear" w:color="auto" w:fill="FFFFFF"/>
            <w:vAlign w:val="bottom"/>
          </w:tcPr>
          <w:p w:rsidR="004C1EBA" w:rsidRPr="00985AE1" w:rsidP="004C1EBA">
            <w:pPr>
              <w:pStyle w:val="csbody00"/>
              <w:rPr>
                <w:b/>
              </w:rPr>
            </w:pPr>
            <w:r w:rsidRPr="00985AE1">
              <w:rPr>
                <w:b/>
              </w:rPr>
              <w:t>Basel III 2014</w:t>
            </w:r>
          </w:p>
        </w:tc>
        <w:tc>
          <w:tcPr>
            <w:tcW w:w="1130" w:type="pct"/>
            <w:gridSpan w:val="2"/>
            <w:shd w:val="clear" w:color="auto" w:fill="FFFFFF"/>
            <w:vAlign w:val="bottom"/>
          </w:tcPr>
          <w:p w:rsidR="004C1EBA" w:rsidRPr="00985AE1" w:rsidP="004C1EBA">
            <w:pPr>
              <w:pStyle w:val="csbody00"/>
              <w:rPr>
                <w:b/>
                <w:vertAlign w:val="superscript"/>
              </w:rPr>
            </w:pPr>
            <w:r w:rsidRPr="00985AE1">
              <w:rPr>
                <w:b/>
              </w:rPr>
              <w:t>Basel III 2013</w:t>
            </w:r>
          </w:p>
        </w:tc>
      </w:tr>
      <w:tr w:rsidTr="00682578">
        <w:tblPrEx>
          <w:tblW w:w="5002" w:type="pct"/>
          <w:shd w:val="clear" w:color="auto" w:fill="FFFFFF"/>
          <w:tblLayout w:type="fixed"/>
          <w:tblLook w:val="00A0"/>
        </w:tblPrEx>
        <w:tc>
          <w:tcPr>
            <w:tcW w:w="2499" w:type="pct"/>
            <w:gridSpan w:val="5"/>
            <w:shd w:val="clear" w:color="auto" w:fill="FFFFFF"/>
          </w:tcPr>
          <w:p w:rsidR="004C1EBA" w:rsidRPr="0083513B" w:rsidP="004C1EBA">
            <w:pPr>
              <w:pStyle w:val="csbody00"/>
            </w:pPr>
            <w:r w:rsidRPr="0083513B">
              <w:t>Credit risk/Kreditrisiko</w:t>
            </w:r>
          </w:p>
        </w:tc>
        <w:tc>
          <w:tcPr>
            <w:tcW w:w="1371" w:type="pct"/>
            <w:gridSpan w:val="6"/>
            <w:shd w:val="clear" w:color="auto" w:fill="FFFFFF"/>
            <w:vAlign w:val="bottom"/>
          </w:tcPr>
          <w:p w:rsidR="004C1EBA" w:rsidRPr="0083513B" w:rsidP="004C1EBA">
            <w:pPr>
              <w:pStyle w:val="csbody00"/>
            </w:pPr>
            <w:r w:rsidRPr="006527EC">
              <w:t>184,531</w:t>
            </w:r>
          </w:p>
        </w:tc>
        <w:tc>
          <w:tcPr>
            <w:tcW w:w="1130" w:type="pct"/>
            <w:gridSpan w:val="2"/>
            <w:shd w:val="clear" w:color="auto" w:fill="FFFFFF"/>
            <w:vAlign w:val="bottom"/>
          </w:tcPr>
          <w:p w:rsidR="004C1EBA" w:rsidRPr="0083513B" w:rsidP="004C1EBA">
            <w:pPr>
              <w:pStyle w:val="csbody00"/>
            </w:pPr>
            <w:r w:rsidRPr="006527EC">
              <w:t>166,245</w:t>
            </w:r>
          </w:p>
        </w:tc>
      </w:tr>
      <w:tr w:rsidTr="00682578">
        <w:tblPrEx>
          <w:tblW w:w="5002" w:type="pct"/>
          <w:tblBorders>
            <w:insideV w:val="single" w:sz="4" w:space="0" w:color="auto"/>
          </w:tblBorders>
          <w:shd w:val="clear" w:color="auto" w:fill="FFFFFF"/>
          <w:tblLayout w:type="fixed"/>
          <w:tblLook w:val="00A0"/>
        </w:tblPrEx>
        <w:tc>
          <w:tcPr>
            <w:tcW w:w="2499" w:type="pct"/>
            <w:gridSpan w:val="5"/>
            <w:tcBorders>
              <w:top w:val="nil"/>
              <w:bottom w:val="nil"/>
            </w:tcBorders>
            <w:shd w:val="clear" w:color="auto" w:fill="FFFFFF"/>
          </w:tcPr>
          <w:p w:rsidR="004C1EBA" w:rsidRPr="0083513B" w:rsidP="004C1EBA">
            <w:pPr>
              <w:pStyle w:val="csbody00"/>
            </w:pPr>
            <w:r w:rsidRPr="0083513B">
              <w:t>Market risk/Marktrisiko</w:t>
            </w:r>
          </w:p>
        </w:tc>
        <w:tc>
          <w:tcPr>
            <w:tcW w:w="1371" w:type="pct"/>
            <w:gridSpan w:val="6"/>
            <w:tcBorders>
              <w:top w:val="nil"/>
              <w:bottom w:val="nil"/>
            </w:tcBorders>
            <w:shd w:val="clear" w:color="auto" w:fill="FFFFFF"/>
          </w:tcPr>
          <w:p w:rsidR="004C1EBA" w:rsidRPr="0083513B" w:rsidP="004C1EBA">
            <w:pPr>
              <w:pStyle w:val="csbody00"/>
            </w:pPr>
            <w:r w:rsidRPr="006527EC">
              <w:t>34,439</w:t>
            </w:r>
          </w:p>
        </w:tc>
        <w:tc>
          <w:tcPr>
            <w:tcW w:w="1130" w:type="pct"/>
            <w:gridSpan w:val="2"/>
            <w:tcBorders>
              <w:top w:val="nil"/>
              <w:bottom w:val="nil"/>
            </w:tcBorders>
            <w:shd w:val="clear" w:color="auto" w:fill="FFFFFF"/>
          </w:tcPr>
          <w:p w:rsidR="004C1EBA" w:rsidRPr="0083513B" w:rsidP="004C1EBA">
            <w:pPr>
              <w:pStyle w:val="csbody00"/>
            </w:pPr>
            <w:r w:rsidRPr="006527EC">
              <w:t>39,111</w:t>
            </w:r>
          </w:p>
        </w:tc>
      </w:tr>
      <w:tr w:rsidTr="00682578">
        <w:tblPrEx>
          <w:tblW w:w="5002" w:type="pct"/>
          <w:tblBorders>
            <w:insideV w:val="single" w:sz="4" w:space="0" w:color="auto"/>
          </w:tblBorders>
          <w:shd w:val="clear" w:color="auto" w:fill="FFFFFF"/>
          <w:tblLayout w:type="fixed"/>
          <w:tblLook w:val="00A0"/>
        </w:tblPrEx>
        <w:tc>
          <w:tcPr>
            <w:tcW w:w="2499" w:type="pct"/>
            <w:gridSpan w:val="5"/>
            <w:tcBorders>
              <w:top w:val="nil"/>
              <w:bottom w:val="nil"/>
            </w:tcBorders>
            <w:shd w:val="clear" w:color="auto" w:fill="FFFFFF"/>
          </w:tcPr>
          <w:p w:rsidR="004C1EBA" w:rsidRPr="0083513B" w:rsidP="004C1EBA">
            <w:pPr>
              <w:pStyle w:val="csbody00"/>
            </w:pPr>
            <w:r w:rsidRPr="0083513B">
              <w:t>Operational risk/Operationelles Risiko</w:t>
            </w:r>
          </w:p>
        </w:tc>
        <w:tc>
          <w:tcPr>
            <w:tcW w:w="1371" w:type="pct"/>
            <w:gridSpan w:val="6"/>
            <w:tcBorders>
              <w:top w:val="nil"/>
              <w:bottom w:val="nil"/>
            </w:tcBorders>
            <w:shd w:val="clear" w:color="auto" w:fill="FFFFFF"/>
          </w:tcPr>
          <w:p w:rsidR="004C1EBA" w:rsidRPr="0083513B" w:rsidP="004C1EBA">
            <w:pPr>
              <w:pStyle w:val="csbody00"/>
            </w:pPr>
            <w:r w:rsidRPr="006527EC">
              <w:t>58,413</w:t>
            </w:r>
          </w:p>
        </w:tc>
        <w:tc>
          <w:tcPr>
            <w:tcW w:w="1130" w:type="pct"/>
            <w:gridSpan w:val="2"/>
            <w:tcBorders>
              <w:top w:val="nil"/>
              <w:bottom w:val="nil"/>
            </w:tcBorders>
            <w:shd w:val="clear" w:color="auto" w:fill="FFFFFF"/>
          </w:tcPr>
          <w:p w:rsidR="004C1EBA" w:rsidRPr="0083513B" w:rsidP="004C1EBA">
            <w:pPr>
              <w:pStyle w:val="csbody00"/>
            </w:pPr>
            <w:r w:rsidRPr="006527EC">
              <w:t>53,075</w:t>
            </w:r>
          </w:p>
        </w:tc>
      </w:tr>
      <w:tr w:rsidTr="00682578">
        <w:tblPrEx>
          <w:tblW w:w="5002" w:type="pct"/>
          <w:tblBorders>
            <w:insideV w:val="single" w:sz="4" w:space="0" w:color="auto"/>
          </w:tblBorders>
          <w:shd w:val="clear" w:color="auto" w:fill="FFFFFF"/>
          <w:tblLayout w:type="fixed"/>
          <w:tblLook w:val="00A0"/>
        </w:tblPrEx>
        <w:tc>
          <w:tcPr>
            <w:tcW w:w="2499" w:type="pct"/>
            <w:gridSpan w:val="5"/>
            <w:tcBorders>
              <w:top w:val="nil"/>
              <w:bottom w:val="nil"/>
            </w:tcBorders>
            <w:shd w:val="clear" w:color="auto" w:fill="FFFFFF"/>
          </w:tcPr>
          <w:p w:rsidR="004C1EBA" w:rsidRPr="0083513B" w:rsidP="004C1EBA">
            <w:pPr>
              <w:pStyle w:val="csbody00"/>
              <w:rPr>
                <w:lang w:val="de-DE"/>
              </w:rPr>
            </w:pPr>
            <w:r w:rsidRPr="0083513B">
              <w:rPr>
                <w:lang w:val="de-DE"/>
              </w:rPr>
              <w:t>Non-counterparty risk/Nicht gegenparteibezogenes Risiko</w:t>
            </w:r>
          </w:p>
        </w:tc>
        <w:tc>
          <w:tcPr>
            <w:tcW w:w="1371" w:type="pct"/>
            <w:gridSpan w:val="6"/>
            <w:tcBorders>
              <w:top w:val="nil"/>
              <w:bottom w:val="nil"/>
            </w:tcBorders>
            <w:shd w:val="clear" w:color="auto" w:fill="FFFFFF"/>
          </w:tcPr>
          <w:p w:rsidR="004C1EBA" w:rsidRPr="0083513B" w:rsidP="004C1EBA">
            <w:pPr>
              <w:pStyle w:val="csbody00"/>
            </w:pPr>
            <w:r w:rsidRPr="006527EC">
              <w:t>5,611</w:t>
            </w:r>
          </w:p>
        </w:tc>
        <w:tc>
          <w:tcPr>
            <w:tcW w:w="1130" w:type="pct"/>
            <w:gridSpan w:val="2"/>
            <w:tcBorders>
              <w:top w:val="nil"/>
              <w:bottom w:val="nil"/>
            </w:tcBorders>
            <w:shd w:val="clear" w:color="auto" w:fill="FFFFFF"/>
          </w:tcPr>
          <w:p w:rsidR="004C1EBA" w:rsidRPr="0083513B" w:rsidP="004C1EBA">
            <w:pPr>
              <w:pStyle w:val="csbody00"/>
            </w:pPr>
            <w:r w:rsidRPr="006527EC">
              <w:t>5,758</w:t>
            </w:r>
          </w:p>
        </w:tc>
      </w:tr>
      <w:tr w:rsidTr="00682578">
        <w:tblPrEx>
          <w:tblW w:w="5002" w:type="pct"/>
          <w:shd w:val="clear" w:color="auto" w:fill="FFFFFF"/>
          <w:tblLayout w:type="fixed"/>
          <w:tblLook w:val="00A0"/>
        </w:tblPrEx>
        <w:tc>
          <w:tcPr>
            <w:tcW w:w="2499" w:type="pct"/>
            <w:gridSpan w:val="5"/>
            <w:shd w:val="clear" w:color="auto" w:fill="FFFFFF"/>
          </w:tcPr>
          <w:p w:rsidR="004C1EBA" w:rsidRPr="00985AE1" w:rsidP="004C1EBA">
            <w:pPr>
              <w:pStyle w:val="csbody00"/>
              <w:rPr>
                <w:b/>
                <w:lang w:val="de-DE" w:eastAsia="de-CH"/>
              </w:rPr>
            </w:pPr>
            <w:r w:rsidRPr="00985AE1">
              <w:rPr>
                <w:b/>
                <w:lang w:val="de-DE" w:eastAsia="de-CH"/>
              </w:rPr>
              <w:t>Risk-weighted assets/Risikogewichtete Aktiva</w:t>
            </w:r>
          </w:p>
        </w:tc>
        <w:tc>
          <w:tcPr>
            <w:tcW w:w="1371" w:type="pct"/>
            <w:gridSpan w:val="6"/>
            <w:shd w:val="clear" w:color="auto" w:fill="FFFFFF"/>
            <w:vAlign w:val="bottom"/>
          </w:tcPr>
          <w:p w:rsidR="004C1EBA" w:rsidRPr="00406E8A" w:rsidP="004C1EBA">
            <w:pPr>
              <w:pStyle w:val="csbody00"/>
              <w:rPr>
                <w:b/>
              </w:rPr>
            </w:pPr>
            <w:r w:rsidRPr="006527EC">
              <w:t>282,994</w:t>
            </w:r>
          </w:p>
        </w:tc>
        <w:tc>
          <w:tcPr>
            <w:tcW w:w="1130" w:type="pct"/>
            <w:gridSpan w:val="2"/>
            <w:shd w:val="clear" w:color="auto" w:fill="FFFFFF"/>
            <w:vAlign w:val="bottom"/>
          </w:tcPr>
          <w:p w:rsidR="004C1EBA" w:rsidRPr="00406E8A" w:rsidP="004C1EBA">
            <w:pPr>
              <w:pStyle w:val="csbody00"/>
              <w:rPr>
                <w:b/>
              </w:rPr>
            </w:pPr>
            <w:r w:rsidRPr="006527EC">
              <w:t>264,189</w:t>
            </w:r>
          </w:p>
        </w:tc>
      </w:tr>
      <w:tr w:rsidTr="00682578">
        <w:tblPrEx>
          <w:tblW w:w="5002" w:type="pct"/>
          <w:shd w:val="clear" w:color="auto" w:fill="FFFFFF"/>
          <w:tblLayout w:type="fixed"/>
          <w:tblLook w:val="00A0"/>
        </w:tblPrEx>
        <w:tc>
          <w:tcPr>
            <w:tcW w:w="2499" w:type="pct"/>
            <w:gridSpan w:val="5"/>
            <w:shd w:val="clear" w:color="auto" w:fill="FFFFFF"/>
          </w:tcPr>
          <w:p w:rsidR="004C1EBA" w:rsidRPr="00985AE1" w:rsidP="00CE5F41">
            <w:pPr>
              <w:pStyle w:val="csbody00"/>
              <w:rPr>
                <w:b/>
                <w:lang w:eastAsia="de-CH"/>
              </w:rPr>
            </w:pPr>
            <w:r w:rsidRPr="00985AE1">
              <w:rPr>
                <w:b/>
                <w:lang w:eastAsia="de-CH"/>
              </w:rPr>
              <w:t>Eligible capital</w:t>
            </w:r>
            <w:r w:rsidR="009D7C36">
              <w:rPr>
                <w:b/>
                <w:lang w:eastAsia="de-CH"/>
              </w:rPr>
              <w:t>/Anrechenbare Eig</w:t>
            </w:r>
            <w:r w:rsidR="00CE5F41">
              <w:rPr>
                <w:b/>
                <w:lang w:eastAsia="de-CH"/>
              </w:rPr>
              <w:t>e</w:t>
            </w:r>
            <w:r w:rsidR="009D7C36">
              <w:rPr>
                <w:b/>
                <w:lang w:eastAsia="de-CH"/>
              </w:rPr>
              <w:t>n</w:t>
            </w:r>
            <w:r w:rsidR="00CE5F41">
              <w:rPr>
                <w:b/>
                <w:lang w:eastAsia="de-CH"/>
              </w:rPr>
              <w:t>mittel</w:t>
            </w:r>
          </w:p>
        </w:tc>
        <w:tc>
          <w:tcPr>
            <w:tcW w:w="1371" w:type="pct"/>
            <w:gridSpan w:val="6"/>
            <w:shd w:val="clear" w:color="auto" w:fill="FFFFFF"/>
            <w:vAlign w:val="bottom"/>
          </w:tcPr>
          <w:p w:rsidR="004C1EBA" w:rsidRPr="0083513B" w:rsidP="004C1EBA">
            <w:pPr>
              <w:pStyle w:val="csbody00"/>
            </w:pPr>
          </w:p>
        </w:tc>
        <w:tc>
          <w:tcPr>
            <w:tcW w:w="1130" w:type="pct"/>
            <w:gridSpan w:val="2"/>
            <w:shd w:val="clear" w:color="auto" w:fill="FFFFFF"/>
            <w:vAlign w:val="bottom"/>
          </w:tcPr>
          <w:p w:rsidR="004C1EBA" w:rsidRPr="0083513B" w:rsidP="004C1EBA">
            <w:pPr>
              <w:pStyle w:val="csbody00"/>
            </w:pPr>
          </w:p>
        </w:tc>
      </w:tr>
      <w:tr w:rsidTr="00682578">
        <w:tblPrEx>
          <w:tblW w:w="5002" w:type="pct"/>
          <w:shd w:val="clear" w:color="auto" w:fill="FFFFFF"/>
          <w:tblLayout w:type="fixed"/>
          <w:tblLook w:val="00A0"/>
        </w:tblPrEx>
        <w:tc>
          <w:tcPr>
            <w:tcW w:w="2499" w:type="pct"/>
            <w:gridSpan w:val="5"/>
            <w:shd w:val="clear" w:color="auto" w:fill="FFFFFF"/>
          </w:tcPr>
          <w:p w:rsidR="004C1EBA" w:rsidRPr="0083513B" w:rsidP="004C1EBA">
            <w:pPr>
              <w:pStyle w:val="csbody00"/>
            </w:pPr>
            <w:r w:rsidRPr="0083513B">
              <w:t>Total shareholders’ equity</w:t>
            </w:r>
            <w:r w:rsidR="009D7C36">
              <w:t>/Total Eigenkapital der A</w:t>
            </w:r>
            <w:r w:rsidR="005027BA">
              <w:t>ktionäre</w:t>
            </w:r>
          </w:p>
        </w:tc>
        <w:tc>
          <w:tcPr>
            <w:tcW w:w="1371" w:type="pct"/>
            <w:gridSpan w:val="6"/>
            <w:shd w:val="clear" w:color="auto" w:fill="FFFFFF"/>
            <w:vAlign w:val="bottom"/>
          </w:tcPr>
          <w:p w:rsidR="004C1EBA" w:rsidRPr="00406E8A" w:rsidP="004C1EBA">
            <w:pPr>
              <w:pStyle w:val="csbody00"/>
            </w:pPr>
            <w:r w:rsidRPr="006527EC">
              <w:t>42,895</w:t>
            </w:r>
          </w:p>
        </w:tc>
        <w:tc>
          <w:tcPr>
            <w:tcW w:w="1130" w:type="pct"/>
            <w:gridSpan w:val="2"/>
            <w:shd w:val="clear" w:color="auto" w:fill="FFFFFF"/>
            <w:vAlign w:val="bottom"/>
          </w:tcPr>
          <w:p w:rsidR="004C1EBA" w:rsidRPr="00406E8A" w:rsidP="004C1EBA">
            <w:pPr>
              <w:pStyle w:val="csbody00"/>
            </w:pPr>
            <w:r w:rsidRPr="006527EC">
              <w:t>39,467</w:t>
            </w:r>
          </w:p>
        </w:tc>
      </w:tr>
      <w:tr w:rsidTr="00682578">
        <w:tblPrEx>
          <w:tblW w:w="5002" w:type="pct"/>
          <w:tblBorders>
            <w:insideV w:val="single" w:sz="4" w:space="0" w:color="auto"/>
          </w:tblBorders>
          <w:shd w:val="clear" w:color="auto" w:fill="FFFFFF"/>
          <w:tblLayout w:type="fixed"/>
          <w:tblLook w:val="00A0"/>
        </w:tblPrEx>
        <w:tc>
          <w:tcPr>
            <w:tcW w:w="2499" w:type="pct"/>
            <w:gridSpan w:val="5"/>
            <w:tcBorders>
              <w:top w:val="nil"/>
              <w:bottom w:val="nil"/>
            </w:tcBorders>
            <w:shd w:val="clear" w:color="auto" w:fill="FFFFFF"/>
          </w:tcPr>
          <w:p w:rsidR="004C1EBA" w:rsidRPr="001905DB" w:rsidP="004C1EBA">
            <w:pPr>
              <w:pStyle w:val="csbody00"/>
              <w:rPr>
                <w:vertAlign w:val="superscript"/>
              </w:rPr>
            </w:pPr>
            <w:r w:rsidRPr="0083513B">
              <w:t>Regulatory adjustments</w:t>
            </w:r>
            <w:r w:rsidR="005027BA">
              <w:t>/Regulatorische Anpassungen</w:t>
            </w:r>
            <w:r>
              <w:rPr>
                <w:vertAlign w:val="superscript"/>
              </w:rPr>
              <w:t>(1)</w:t>
            </w:r>
          </w:p>
        </w:tc>
        <w:tc>
          <w:tcPr>
            <w:tcW w:w="1371" w:type="pct"/>
            <w:gridSpan w:val="6"/>
            <w:tcBorders>
              <w:top w:val="nil"/>
              <w:bottom w:val="nil"/>
            </w:tcBorders>
            <w:shd w:val="clear" w:color="auto" w:fill="FFFFFF"/>
          </w:tcPr>
          <w:p w:rsidR="004C1EBA" w:rsidRPr="0083513B" w:rsidP="004C1EBA">
            <w:pPr>
              <w:pStyle w:val="csbody00"/>
            </w:pPr>
            <w:r w:rsidRPr="006527EC">
              <w:t>(66)</w:t>
            </w:r>
            <w:r w:rsidRPr="006527EC">
              <w:rPr>
                <w:vertAlign w:val="superscript"/>
              </w:rPr>
              <w:t xml:space="preserve"> </w:t>
            </w:r>
          </w:p>
        </w:tc>
        <w:tc>
          <w:tcPr>
            <w:tcW w:w="1130" w:type="pct"/>
            <w:gridSpan w:val="2"/>
            <w:tcBorders>
              <w:top w:val="nil"/>
              <w:bottom w:val="nil"/>
            </w:tcBorders>
            <w:shd w:val="clear" w:color="auto" w:fill="FFFFFF"/>
          </w:tcPr>
          <w:p w:rsidR="004C1EBA" w:rsidRPr="0083513B" w:rsidP="004C1EBA">
            <w:pPr>
              <w:pStyle w:val="csbody00"/>
            </w:pPr>
            <w:r w:rsidRPr="006527EC">
              <w:t>(2,797)</w:t>
            </w:r>
            <w:r w:rsidRPr="006527EC">
              <w:rPr>
                <w:vertAlign w:val="superscript"/>
              </w:rPr>
              <w:t xml:space="preserve"> </w:t>
            </w:r>
          </w:p>
        </w:tc>
      </w:tr>
      <w:tr w:rsidTr="00682578">
        <w:tblPrEx>
          <w:tblW w:w="5002" w:type="pct"/>
          <w:tblBorders>
            <w:insideV w:val="single" w:sz="4" w:space="0" w:color="auto"/>
          </w:tblBorders>
          <w:shd w:val="clear" w:color="auto" w:fill="FFFFFF"/>
          <w:tblLayout w:type="fixed"/>
          <w:tblLook w:val="00A0"/>
        </w:tblPrEx>
        <w:tc>
          <w:tcPr>
            <w:tcW w:w="2499" w:type="pct"/>
            <w:gridSpan w:val="5"/>
            <w:tcBorders>
              <w:top w:val="nil"/>
              <w:bottom w:val="nil"/>
            </w:tcBorders>
            <w:shd w:val="clear" w:color="auto" w:fill="FFFFFF"/>
          </w:tcPr>
          <w:p w:rsidR="004C1EBA" w:rsidRPr="00BD6E0D" w:rsidP="005027BA">
            <w:pPr>
              <w:pStyle w:val="csbody00"/>
              <w:rPr>
                <w:lang w:val="de-DE"/>
              </w:rPr>
            </w:pPr>
            <w:r w:rsidRPr="00BD6E0D">
              <w:rPr>
                <w:lang w:val="de-DE"/>
              </w:rPr>
              <w:t>Adjustments subject to phase</w:t>
            </w:r>
            <w:r w:rsidRPr="00BD6E0D" w:rsidR="005027BA">
              <w:rPr>
                <w:lang w:val="de-DE"/>
              </w:rPr>
              <w:t>-</w:t>
            </w:r>
            <w:r w:rsidRPr="00BD6E0D">
              <w:rPr>
                <w:lang w:val="de-DE"/>
              </w:rPr>
              <w:t>in</w:t>
            </w:r>
            <w:r w:rsidRPr="00BD6E0D" w:rsidR="005027BA">
              <w:rPr>
                <w:lang w:val="de-DE"/>
              </w:rPr>
              <w:t>/Anpassungen, die gemäss Übergangsbestimmungen eingeführt werden</w:t>
            </w:r>
          </w:p>
        </w:tc>
        <w:tc>
          <w:tcPr>
            <w:tcW w:w="1371" w:type="pct"/>
            <w:gridSpan w:val="6"/>
            <w:tcBorders>
              <w:top w:val="nil"/>
              <w:bottom w:val="nil"/>
            </w:tcBorders>
            <w:shd w:val="clear" w:color="auto" w:fill="FFFFFF"/>
          </w:tcPr>
          <w:p w:rsidR="004C1EBA" w:rsidRPr="0083513B" w:rsidP="004C1EBA">
            <w:pPr>
              <w:pStyle w:val="csbody00"/>
            </w:pPr>
            <w:r w:rsidRPr="006527EC">
              <w:t>(1,976)</w:t>
            </w:r>
            <w:r w:rsidRPr="006527EC">
              <w:rPr>
                <w:vertAlign w:val="superscript"/>
              </w:rPr>
              <w:t>(2)</w:t>
            </w:r>
          </w:p>
        </w:tc>
        <w:tc>
          <w:tcPr>
            <w:tcW w:w="1130" w:type="pct"/>
            <w:gridSpan w:val="2"/>
            <w:tcBorders>
              <w:top w:val="nil"/>
              <w:bottom w:val="nil"/>
            </w:tcBorders>
            <w:shd w:val="clear" w:color="auto" w:fill="FFFFFF"/>
          </w:tcPr>
          <w:p w:rsidR="004C1EBA" w:rsidRPr="0083513B" w:rsidP="004C1EBA">
            <w:pPr>
              <w:pStyle w:val="csbody00"/>
            </w:pPr>
            <w:r w:rsidRPr="006527EC">
              <w:t>1,030</w:t>
            </w:r>
            <w:r w:rsidRPr="006527EC">
              <w:rPr>
                <w:vertAlign w:val="superscript"/>
              </w:rPr>
              <w:t>(3)</w:t>
            </w:r>
          </w:p>
        </w:tc>
      </w:tr>
      <w:tr w:rsidTr="00682578">
        <w:tblPrEx>
          <w:tblW w:w="5002" w:type="pct"/>
          <w:shd w:val="clear" w:color="auto" w:fill="FFFFFF"/>
          <w:tblLayout w:type="fixed"/>
          <w:tblLook w:val="00A0"/>
        </w:tblPrEx>
        <w:tc>
          <w:tcPr>
            <w:tcW w:w="2499" w:type="pct"/>
            <w:gridSpan w:val="5"/>
            <w:shd w:val="clear" w:color="auto" w:fill="FFFFFF"/>
          </w:tcPr>
          <w:p w:rsidR="004C1EBA" w:rsidRPr="00985AE1" w:rsidP="004C1EBA">
            <w:pPr>
              <w:pStyle w:val="csbody00"/>
              <w:rPr>
                <w:b/>
              </w:rPr>
            </w:pPr>
            <w:r w:rsidRPr="00985AE1">
              <w:rPr>
                <w:b/>
              </w:rPr>
              <w:t>CET1 capital</w:t>
            </w:r>
            <w:r w:rsidR="005027BA">
              <w:rPr>
                <w:b/>
              </w:rPr>
              <w:t>/Hartes Kernkapital (CET 1)</w:t>
            </w:r>
          </w:p>
        </w:tc>
        <w:tc>
          <w:tcPr>
            <w:tcW w:w="1371" w:type="pct"/>
            <w:gridSpan w:val="6"/>
            <w:shd w:val="clear" w:color="auto" w:fill="FFFFFF"/>
            <w:vAlign w:val="bottom"/>
          </w:tcPr>
          <w:p w:rsidR="004C1EBA" w:rsidRPr="00406E8A" w:rsidP="004C1EBA">
            <w:pPr>
              <w:pStyle w:val="csbody00"/>
              <w:rPr>
                <w:b/>
              </w:rPr>
            </w:pPr>
            <w:r w:rsidRPr="006527EC">
              <w:t>40,853</w:t>
            </w:r>
          </w:p>
        </w:tc>
        <w:tc>
          <w:tcPr>
            <w:tcW w:w="1130" w:type="pct"/>
            <w:gridSpan w:val="2"/>
            <w:shd w:val="clear" w:color="auto" w:fill="FFFFFF"/>
            <w:vAlign w:val="bottom"/>
          </w:tcPr>
          <w:p w:rsidR="004C1EBA" w:rsidRPr="00406E8A" w:rsidP="004C1EBA">
            <w:pPr>
              <w:pStyle w:val="csbody00"/>
              <w:rPr>
                <w:b/>
              </w:rPr>
            </w:pPr>
            <w:r w:rsidRPr="006527EC">
              <w:t>37,700</w:t>
            </w:r>
          </w:p>
        </w:tc>
      </w:tr>
      <w:tr w:rsidTr="00682578">
        <w:tblPrEx>
          <w:tblW w:w="5002" w:type="pct"/>
          <w:shd w:val="clear" w:color="auto" w:fill="FFFFFF"/>
          <w:tblLayout w:type="fixed"/>
          <w:tblLook w:val="00A0"/>
        </w:tblPrEx>
        <w:tc>
          <w:tcPr>
            <w:tcW w:w="2499" w:type="pct"/>
            <w:gridSpan w:val="5"/>
            <w:shd w:val="clear" w:color="auto" w:fill="FFFFFF"/>
          </w:tcPr>
          <w:p w:rsidR="004C1EBA" w:rsidRPr="00BD6E0D" w:rsidP="004C1EBA">
            <w:pPr>
              <w:pStyle w:val="csbody00"/>
              <w:rPr>
                <w:lang w:val="de-DE"/>
              </w:rPr>
            </w:pPr>
            <w:r w:rsidRPr="00BD6E0D">
              <w:rPr>
                <w:lang w:val="de-DE"/>
              </w:rPr>
              <w:t>Additional tier 1 instruments</w:t>
            </w:r>
            <w:r w:rsidR="00610826">
              <w:rPr>
                <w:lang w:val="de-DE"/>
              </w:rPr>
              <w:t>/Instrumente des zusätzlichen Kernkapitals</w:t>
            </w:r>
          </w:p>
        </w:tc>
        <w:tc>
          <w:tcPr>
            <w:tcW w:w="1371" w:type="pct"/>
            <w:gridSpan w:val="6"/>
            <w:shd w:val="clear" w:color="auto" w:fill="FFFFFF"/>
            <w:vAlign w:val="bottom"/>
          </w:tcPr>
          <w:p w:rsidR="004C1EBA" w:rsidRPr="0083513B" w:rsidP="004C1EBA">
            <w:pPr>
              <w:pStyle w:val="csbody00"/>
            </w:pPr>
            <w:r w:rsidRPr="006527EC">
              <w:t>10,410</w:t>
            </w:r>
            <w:r w:rsidRPr="006527EC">
              <w:rPr>
                <w:vertAlign w:val="superscript"/>
              </w:rPr>
              <w:t>(4)</w:t>
            </w:r>
          </w:p>
        </w:tc>
        <w:tc>
          <w:tcPr>
            <w:tcW w:w="1130" w:type="pct"/>
            <w:gridSpan w:val="2"/>
            <w:shd w:val="clear" w:color="auto" w:fill="FFFFFF"/>
            <w:vAlign w:val="bottom"/>
          </w:tcPr>
          <w:p w:rsidR="004C1EBA" w:rsidRPr="0083513B" w:rsidP="004C1EBA">
            <w:pPr>
              <w:pStyle w:val="csbody00"/>
            </w:pPr>
            <w:r w:rsidRPr="006527EC">
              <w:t>6,643</w:t>
            </w:r>
          </w:p>
        </w:tc>
      </w:tr>
      <w:tr w:rsidTr="00682578">
        <w:tblPrEx>
          <w:tblW w:w="5002" w:type="pct"/>
          <w:shd w:val="clear" w:color="auto" w:fill="FFFFFF"/>
          <w:tblLayout w:type="fixed"/>
          <w:tblLook w:val="00A0"/>
        </w:tblPrEx>
        <w:tc>
          <w:tcPr>
            <w:tcW w:w="2499" w:type="pct"/>
            <w:gridSpan w:val="5"/>
            <w:shd w:val="clear" w:color="auto" w:fill="FFFFFF"/>
          </w:tcPr>
          <w:p w:rsidR="004C1EBA" w:rsidRPr="00BD6E0D">
            <w:pPr>
              <w:pStyle w:val="csbody00"/>
              <w:rPr>
                <w:lang w:val="de-DE"/>
              </w:rPr>
            </w:pPr>
            <w:r w:rsidRPr="00BD6E0D">
              <w:rPr>
                <w:lang w:val="de-DE"/>
              </w:rPr>
              <w:t>Additional tier 1 instruments subject to phase out</w:t>
            </w:r>
            <w:r w:rsidRPr="00BD6E0D">
              <w:rPr>
                <w:vertAlign w:val="superscript"/>
                <w:lang w:val="de-DE"/>
              </w:rPr>
              <w:t>(5)</w:t>
            </w:r>
            <w:r w:rsidRPr="00BD6E0D" w:rsidR="00610826">
              <w:rPr>
                <w:lang w:val="de-DE"/>
              </w:rPr>
              <w:t xml:space="preserve">/Instrumente des zusätzlichen </w:t>
            </w:r>
            <w:r w:rsidR="00610826">
              <w:rPr>
                <w:lang w:val="de-DE"/>
              </w:rPr>
              <w:t>K</w:t>
            </w:r>
            <w:r w:rsidRPr="00BD6E0D" w:rsidR="00610826">
              <w:rPr>
                <w:lang w:val="de-DE"/>
              </w:rPr>
              <w:t>ernkapitals, die gemä</w:t>
            </w:r>
            <w:r w:rsidR="00610826">
              <w:rPr>
                <w:lang w:val="de-DE"/>
              </w:rPr>
              <w:t>ss Übergangsbestimmungen auslaufen</w:t>
            </w:r>
            <w:r w:rsidRPr="00BD6E0D" w:rsidR="00610826">
              <w:rPr>
                <w:vertAlign w:val="superscript"/>
                <w:lang w:val="de-DE"/>
              </w:rPr>
              <w:t>(5)</w:t>
            </w:r>
          </w:p>
        </w:tc>
        <w:tc>
          <w:tcPr>
            <w:tcW w:w="1371" w:type="pct"/>
            <w:gridSpan w:val="6"/>
            <w:shd w:val="clear" w:color="auto" w:fill="FFFFFF"/>
            <w:vAlign w:val="bottom"/>
          </w:tcPr>
          <w:p w:rsidR="004C1EBA" w:rsidRPr="0083513B" w:rsidP="004C1EBA">
            <w:pPr>
              <w:pStyle w:val="csbody00"/>
            </w:pPr>
            <w:r w:rsidRPr="006527EC">
              <w:t>2,473</w:t>
            </w:r>
          </w:p>
        </w:tc>
        <w:tc>
          <w:tcPr>
            <w:tcW w:w="1130" w:type="pct"/>
            <w:gridSpan w:val="2"/>
            <w:shd w:val="clear" w:color="auto" w:fill="FFFFFF"/>
            <w:vAlign w:val="bottom"/>
          </w:tcPr>
          <w:p w:rsidR="004C1EBA" w:rsidRPr="0083513B" w:rsidP="004C1EBA">
            <w:pPr>
              <w:pStyle w:val="csbody00"/>
            </w:pPr>
            <w:r w:rsidRPr="006527EC">
              <w:t>3,652</w:t>
            </w:r>
          </w:p>
        </w:tc>
      </w:tr>
      <w:tr w:rsidTr="00682578">
        <w:tblPrEx>
          <w:tblW w:w="5002" w:type="pct"/>
          <w:shd w:val="clear" w:color="auto" w:fill="FFFFFF"/>
          <w:tblLayout w:type="fixed"/>
          <w:tblLook w:val="00A0"/>
        </w:tblPrEx>
        <w:tc>
          <w:tcPr>
            <w:tcW w:w="2499" w:type="pct"/>
            <w:gridSpan w:val="5"/>
            <w:shd w:val="clear" w:color="auto" w:fill="FFFFFF"/>
          </w:tcPr>
          <w:p w:rsidR="004C1EBA" w:rsidRPr="00BD6E0D" w:rsidP="00BD6E0D">
            <w:pPr>
              <w:pStyle w:val="csbody00"/>
              <w:rPr>
                <w:lang w:val="de-DE"/>
              </w:rPr>
            </w:pPr>
            <w:r w:rsidRPr="00BD6E0D">
              <w:rPr>
                <w:lang w:val="de-DE"/>
              </w:rPr>
              <w:t>Deductions from additional tier 1 capital</w:t>
            </w:r>
            <w:r w:rsidRPr="00BD6E0D">
              <w:rPr>
                <w:vertAlign w:val="superscript"/>
                <w:lang w:val="de-DE"/>
              </w:rPr>
              <w:t>(5)</w:t>
            </w:r>
            <w:r w:rsidRPr="00BD6E0D" w:rsidR="00610826">
              <w:rPr>
                <w:lang w:val="de-DE"/>
              </w:rPr>
              <w:t>/A</w:t>
            </w:r>
            <w:r w:rsidR="009D7C36">
              <w:rPr>
                <w:lang w:val="de-DE"/>
              </w:rPr>
              <w:t>b</w:t>
            </w:r>
            <w:r w:rsidRPr="00BD6E0D" w:rsidR="00610826">
              <w:rPr>
                <w:lang w:val="de-DE"/>
              </w:rPr>
              <w:t>züge vom zusätzlichen Kernkap</w:t>
            </w:r>
            <w:r w:rsidR="00610826">
              <w:rPr>
                <w:lang w:val="de-DE"/>
              </w:rPr>
              <w:t>ital</w:t>
            </w:r>
            <w:r w:rsidRPr="00BD6E0D" w:rsidR="00610826">
              <w:rPr>
                <w:vertAlign w:val="superscript"/>
                <w:lang w:val="de-DE"/>
              </w:rPr>
              <w:t>(5)</w:t>
            </w:r>
          </w:p>
        </w:tc>
        <w:tc>
          <w:tcPr>
            <w:tcW w:w="1371" w:type="pct"/>
            <w:gridSpan w:val="6"/>
            <w:shd w:val="clear" w:color="auto" w:fill="FFFFFF"/>
            <w:vAlign w:val="bottom"/>
          </w:tcPr>
          <w:p w:rsidR="004C1EBA" w:rsidRPr="0083513B" w:rsidP="004C1EBA">
            <w:pPr>
              <w:pStyle w:val="csbody00"/>
            </w:pPr>
            <w:r w:rsidRPr="006527EC">
              <w:t>(6,622)</w:t>
            </w:r>
            <w:r w:rsidRPr="006527EC">
              <w:rPr>
                <w:vertAlign w:val="superscript"/>
              </w:rPr>
              <w:t>(6)</w:t>
            </w:r>
          </w:p>
        </w:tc>
        <w:tc>
          <w:tcPr>
            <w:tcW w:w="1130" w:type="pct"/>
            <w:gridSpan w:val="2"/>
            <w:shd w:val="clear" w:color="auto" w:fill="FFFFFF"/>
            <w:vAlign w:val="bottom"/>
          </w:tcPr>
          <w:p w:rsidR="004C1EBA" w:rsidRPr="0083513B" w:rsidP="004C1EBA">
            <w:pPr>
              <w:pStyle w:val="csbody00"/>
            </w:pPr>
            <w:r w:rsidRPr="006527EC">
              <w:t>(7,226)</w:t>
            </w:r>
          </w:p>
        </w:tc>
      </w:tr>
      <w:tr w:rsidTr="00682578">
        <w:tblPrEx>
          <w:tblW w:w="5002" w:type="pct"/>
          <w:shd w:val="clear" w:color="auto" w:fill="FFFFFF"/>
          <w:tblLayout w:type="fixed"/>
          <w:tblLook w:val="00A0"/>
        </w:tblPrEx>
        <w:tc>
          <w:tcPr>
            <w:tcW w:w="2499" w:type="pct"/>
            <w:gridSpan w:val="5"/>
            <w:shd w:val="clear" w:color="auto" w:fill="FFFFFF"/>
          </w:tcPr>
          <w:p w:rsidR="004C1EBA" w:rsidRPr="00BD6E0D" w:rsidP="004C1EBA">
            <w:pPr>
              <w:pStyle w:val="csbody00"/>
              <w:rPr>
                <w:b/>
                <w:lang w:val="de-DE"/>
              </w:rPr>
            </w:pPr>
            <w:r w:rsidRPr="00BD6E0D">
              <w:rPr>
                <w:b/>
                <w:lang w:val="de-DE"/>
              </w:rPr>
              <w:t>Additional tier 1 capital</w:t>
            </w:r>
            <w:r w:rsidRPr="00BD6E0D" w:rsidR="00610826">
              <w:rPr>
                <w:b/>
                <w:lang w:val="de-DE"/>
              </w:rPr>
              <w:t>/Zusätzliches</w:t>
            </w:r>
            <w:r w:rsidR="00610826">
              <w:rPr>
                <w:b/>
                <w:lang w:val="de-DE"/>
              </w:rPr>
              <w:t xml:space="preserve"> Kernkapital</w:t>
            </w:r>
          </w:p>
        </w:tc>
        <w:tc>
          <w:tcPr>
            <w:tcW w:w="1371" w:type="pct"/>
            <w:gridSpan w:val="6"/>
            <w:shd w:val="clear" w:color="auto" w:fill="FFFFFF"/>
            <w:vAlign w:val="bottom"/>
          </w:tcPr>
          <w:p w:rsidR="004C1EBA" w:rsidRPr="00406E8A" w:rsidP="004C1EBA">
            <w:pPr>
              <w:pStyle w:val="csbody00"/>
              <w:rPr>
                <w:b/>
              </w:rPr>
            </w:pPr>
            <w:r w:rsidRPr="006527EC">
              <w:t>6,261</w:t>
            </w:r>
          </w:p>
        </w:tc>
        <w:tc>
          <w:tcPr>
            <w:tcW w:w="1130" w:type="pct"/>
            <w:gridSpan w:val="2"/>
            <w:shd w:val="clear" w:color="auto" w:fill="FFFFFF"/>
            <w:vAlign w:val="bottom"/>
          </w:tcPr>
          <w:p w:rsidR="004C1EBA" w:rsidRPr="00406E8A" w:rsidP="004C1EBA">
            <w:pPr>
              <w:pStyle w:val="csbody00"/>
              <w:rPr>
                <w:b/>
              </w:rPr>
            </w:pPr>
            <w:r w:rsidRPr="006527EC">
              <w:t>3,069</w:t>
            </w:r>
          </w:p>
        </w:tc>
      </w:tr>
      <w:tr w:rsidTr="00682578">
        <w:tblPrEx>
          <w:tblW w:w="5002" w:type="pct"/>
          <w:shd w:val="clear" w:color="auto" w:fill="FFFFFF"/>
          <w:tblLayout w:type="fixed"/>
          <w:tblLook w:val="00A0"/>
        </w:tblPrEx>
        <w:tc>
          <w:tcPr>
            <w:tcW w:w="2499" w:type="pct"/>
            <w:gridSpan w:val="5"/>
            <w:shd w:val="clear" w:color="auto" w:fill="FFFFFF"/>
          </w:tcPr>
          <w:p w:rsidR="004C1EBA" w:rsidRPr="00BD6E0D" w:rsidP="004C1EBA">
            <w:pPr>
              <w:pStyle w:val="csbody00"/>
              <w:rPr>
                <w:b/>
                <w:lang w:val="es-ES"/>
              </w:rPr>
            </w:pPr>
            <w:r w:rsidRPr="00BD6E0D">
              <w:rPr>
                <w:b/>
                <w:lang w:val="es-ES"/>
              </w:rPr>
              <w:t>Total tier 1 capital</w:t>
            </w:r>
            <w:r w:rsidRPr="00BD6E0D" w:rsidR="00610826">
              <w:rPr>
                <w:b/>
                <w:lang w:val="es-ES"/>
              </w:rPr>
              <w:t>/Total Kernkapital</w:t>
            </w:r>
          </w:p>
        </w:tc>
        <w:tc>
          <w:tcPr>
            <w:tcW w:w="1371" w:type="pct"/>
            <w:gridSpan w:val="6"/>
            <w:shd w:val="clear" w:color="auto" w:fill="FFFFFF"/>
            <w:vAlign w:val="bottom"/>
          </w:tcPr>
          <w:p w:rsidR="004C1EBA" w:rsidRPr="00406E8A" w:rsidP="004C1EBA">
            <w:pPr>
              <w:pStyle w:val="csbody00"/>
              <w:rPr>
                <w:b/>
              </w:rPr>
            </w:pPr>
            <w:r w:rsidRPr="006527EC">
              <w:t>47,114</w:t>
            </w:r>
          </w:p>
        </w:tc>
        <w:tc>
          <w:tcPr>
            <w:tcW w:w="1130" w:type="pct"/>
            <w:gridSpan w:val="2"/>
            <w:shd w:val="clear" w:color="auto" w:fill="FFFFFF"/>
            <w:vAlign w:val="bottom"/>
          </w:tcPr>
          <w:p w:rsidR="004C1EBA" w:rsidRPr="00406E8A" w:rsidP="004C1EBA">
            <w:pPr>
              <w:pStyle w:val="csbody00"/>
              <w:rPr>
                <w:b/>
              </w:rPr>
            </w:pPr>
            <w:r w:rsidRPr="006527EC">
              <w:t>40,769</w:t>
            </w:r>
          </w:p>
        </w:tc>
      </w:tr>
      <w:tr w:rsidTr="00682578">
        <w:tblPrEx>
          <w:tblW w:w="5002" w:type="pct"/>
          <w:shd w:val="clear" w:color="auto" w:fill="FFFFFF"/>
          <w:tblLayout w:type="fixed"/>
          <w:tblLook w:val="00A0"/>
        </w:tblPrEx>
        <w:tc>
          <w:tcPr>
            <w:tcW w:w="2499" w:type="pct"/>
            <w:gridSpan w:val="5"/>
            <w:shd w:val="clear" w:color="auto" w:fill="FFFFFF"/>
          </w:tcPr>
          <w:p w:rsidR="004C1EBA" w:rsidRPr="00BD6E0D" w:rsidP="004C1EBA">
            <w:pPr>
              <w:pStyle w:val="csbody00"/>
              <w:rPr>
                <w:lang w:val="de-DE"/>
              </w:rPr>
            </w:pPr>
            <w:r w:rsidRPr="00BD6E0D">
              <w:rPr>
                <w:lang w:val="de-DE"/>
              </w:rPr>
              <w:t>Tier 2 instruments</w:t>
            </w:r>
            <w:r w:rsidRPr="00BD6E0D" w:rsidR="00610826">
              <w:rPr>
                <w:lang w:val="de-DE"/>
              </w:rPr>
              <w:t>/Instrumente des E</w:t>
            </w:r>
            <w:r w:rsidR="00610826">
              <w:rPr>
                <w:lang w:val="de-DE"/>
              </w:rPr>
              <w:t>rgänzungskapitals</w:t>
            </w:r>
          </w:p>
        </w:tc>
        <w:tc>
          <w:tcPr>
            <w:tcW w:w="1371" w:type="pct"/>
            <w:gridSpan w:val="6"/>
            <w:shd w:val="clear" w:color="auto" w:fill="FFFFFF"/>
            <w:vAlign w:val="bottom"/>
          </w:tcPr>
          <w:p w:rsidR="004C1EBA" w:rsidRPr="0083513B" w:rsidP="004C1EBA">
            <w:pPr>
              <w:pStyle w:val="csbody00"/>
            </w:pPr>
            <w:r w:rsidRPr="006527EC">
              <w:t>7,014</w:t>
            </w:r>
            <w:r w:rsidRPr="006527EC">
              <w:rPr>
                <w:vertAlign w:val="superscript"/>
              </w:rPr>
              <w:t>(7)</w:t>
            </w:r>
          </w:p>
        </w:tc>
        <w:tc>
          <w:tcPr>
            <w:tcW w:w="1130" w:type="pct"/>
            <w:gridSpan w:val="2"/>
            <w:shd w:val="clear" w:color="auto" w:fill="FFFFFF"/>
            <w:vAlign w:val="bottom"/>
          </w:tcPr>
          <w:p w:rsidR="004C1EBA" w:rsidRPr="0083513B" w:rsidP="004C1EBA">
            <w:pPr>
              <w:pStyle w:val="csbody00"/>
            </w:pPr>
            <w:r w:rsidRPr="006527EC">
              <w:t>6,263</w:t>
            </w:r>
          </w:p>
        </w:tc>
      </w:tr>
      <w:tr w:rsidTr="00682578">
        <w:tblPrEx>
          <w:tblW w:w="5002" w:type="pct"/>
          <w:tblBorders>
            <w:insideV w:val="single" w:sz="4" w:space="0" w:color="auto"/>
          </w:tblBorders>
          <w:shd w:val="clear" w:color="auto" w:fill="FFFFFF"/>
          <w:tblLayout w:type="fixed"/>
          <w:tblLook w:val="00A0"/>
        </w:tblPrEx>
        <w:tc>
          <w:tcPr>
            <w:tcW w:w="2499" w:type="pct"/>
            <w:gridSpan w:val="5"/>
            <w:tcBorders>
              <w:top w:val="nil"/>
              <w:bottom w:val="nil"/>
            </w:tcBorders>
            <w:shd w:val="clear" w:color="auto" w:fill="FFFFFF"/>
          </w:tcPr>
          <w:p w:rsidR="004C1EBA" w:rsidRPr="00BD6E0D" w:rsidP="004C1EBA">
            <w:pPr>
              <w:pStyle w:val="csbody00"/>
              <w:rPr>
                <w:lang w:val="de-DE"/>
              </w:rPr>
            </w:pPr>
            <w:r w:rsidRPr="00BD6E0D">
              <w:rPr>
                <w:lang w:val="de-DE"/>
              </w:rPr>
              <w:t>Tier 2 instruments subject to phase out</w:t>
            </w:r>
            <w:r w:rsidRPr="00BD6E0D" w:rsidR="00610826">
              <w:rPr>
                <w:lang w:val="de-DE"/>
              </w:rPr>
              <w:t>/Instrumente des Ergänzungskapitals, die gemä</w:t>
            </w:r>
            <w:r w:rsidR="00610826">
              <w:rPr>
                <w:lang w:val="de-DE"/>
              </w:rPr>
              <w:t>ss Übergangsbestimmungen auslaufen</w:t>
            </w:r>
          </w:p>
        </w:tc>
        <w:tc>
          <w:tcPr>
            <w:tcW w:w="1371" w:type="pct"/>
            <w:gridSpan w:val="6"/>
            <w:tcBorders>
              <w:top w:val="nil"/>
              <w:bottom w:val="nil"/>
            </w:tcBorders>
            <w:shd w:val="clear" w:color="auto" w:fill="FFFFFF"/>
          </w:tcPr>
          <w:p w:rsidR="004C1EBA" w:rsidRPr="0083513B" w:rsidP="004C1EBA">
            <w:pPr>
              <w:pStyle w:val="csbody00"/>
            </w:pPr>
            <w:r w:rsidRPr="006527EC">
              <w:t>4,196</w:t>
            </w:r>
          </w:p>
        </w:tc>
        <w:tc>
          <w:tcPr>
            <w:tcW w:w="1130" w:type="pct"/>
            <w:gridSpan w:val="2"/>
            <w:tcBorders>
              <w:top w:val="nil"/>
              <w:bottom w:val="nil"/>
            </w:tcBorders>
            <w:shd w:val="clear" w:color="auto" w:fill="FFFFFF"/>
          </w:tcPr>
          <w:p w:rsidR="004C1EBA" w:rsidRPr="0083513B" w:rsidP="004C1EBA">
            <w:pPr>
              <w:pStyle w:val="csbody00"/>
            </w:pPr>
            <w:r w:rsidRPr="006527EC">
              <w:t>5,633</w:t>
            </w:r>
          </w:p>
        </w:tc>
      </w:tr>
      <w:tr w:rsidTr="00682578">
        <w:tblPrEx>
          <w:tblW w:w="5002" w:type="pct"/>
          <w:tblBorders>
            <w:insideV w:val="single" w:sz="4" w:space="0" w:color="auto"/>
          </w:tblBorders>
          <w:shd w:val="clear" w:color="auto" w:fill="FFFFFF"/>
          <w:tblLayout w:type="fixed"/>
          <w:tblLook w:val="00A0"/>
        </w:tblPrEx>
        <w:tc>
          <w:tcPr>
            <w:tcW w:w="2499" w:type="pct"/>
            <w:gridSpan w:val="5"/>
            <w:tcBorders>
              <w:top w:val="nil"/>
              <w:bottom w:val="nil"/>
            </w:tcBorders>
            <w:shd w:val="clear" w:color="auto" w:fill="FFFFFF"/>
          </w:tcPr>
          <w:p w:rsidR="004C1EBA" w:rsidRPr="00BD6E0D" w:rsidP="004C1EBA">
            <w:pPr>
              <w:pStyle w:val="csbody00"/>
              <w:rPr>
                <w:lang w:val="de-DE"/>
              </w:rPr>
            </w:pPr>
            <w:r w:rsidRPr="00BD6E0D">
              <w:rPr>
                <w:lang w:val="de-DE"/>
              </w:rPr>
              <w:t>Deductions from tier 2 capital</w:t>
            </w:r>
            <w:r w:rsidRPr="00BD6E0D" w:rsidR="00610826">
              <w:rPr>
                <w:lang w:val="de-DE"/>
              </w:rPr>
              <w:t>/Abzüge vom Ergänzungskap</w:t>
            </w:r>
            <w:r w:rsidR="00610826">
              <w:rPr>
                <w:lang w:val="de-DE"/>
              </w:rPr>
              <w:t>ital</w:t>
            </w:r>
          </w:p>
        </w:tc>
        <w:tc>
          <w:tcPr>
            <w:tcW w:w="1371" w:type="pct"/>
            <w:gridSpan w:val="6"/>
            <w:tcBorders>
              <w:top w:val="nil"/>
              <w:bottom w:val="nil"/>
            </w:tcBorders>
            <w:shd w:val="clear" w:color="auto" w:fill="FFFFFF"/>
          </w:tcPr>
          <w:p w:rsidR="004C1EBA" w:rsidRPr="0083513B" w:rsidP="004C1EBA">
            <w:pPr>
              <w:pStyle w:val="csbody00"/>
            </w:pPr>
            <w:r w:rsidRPr="006527EC">
              <w:t>(213)</w:t>
            </w:r>
          </w:p>
        </w:tc>
        <w:tc>
          <w:tcPr>
            <w:tcW w:w="1130" w:type="pct"/>
            <w:gridSpan w:val="2"/>
            <w:tcBorders>
              <w:top w:val="nil"/>
              <w:bottom w:val="nil"/>
            </w:tcBorders>
            <w:shd w:val="clear" w:color="auto" w:fill="FFFFFF"/>
          </w:tcPr>
          <w:p w:rsidR="004C1EBA" w:rsidRPr="0083513B" w:rsidP="004C1EBA">
            <w:pPr>
              <w:pStyle w:val="csbody00"/>
            </w:pPr>
            <w:r w:rsidRPr="006527EC">
              <w:t>(319)</w:t>
            </w:r>
          </w:p>
        </w:tc>
      </w:tr>
      <w:tr w:rsidTr="00682578">
        <w:tblPrEx>
          <w:tblW w:w="5002" w:type="pct"/>
          <w:shd w:val="clear" w:color="auto" w:fill="FFFFFF"/>
          <w:tblLayout w:type="fixed"/>
          <w:tblLook w:val="00A0"/>
        </w:tblPrEx>
        <w:tc>
          <w:tcPr>
            <w:tcW w:w="2499" w:type="pct"/>
            <w:gridSpan w:val="5"/>
            <w:shd w:val="clear" w:color="auto" w:fill="FFFFFF"/>
          </w:tcPr>
          <w:p w:rsidR="004C1EBA" w:rsidRPr="00985AE1" w:rsidP="004C1EBA">
            <w:pPr>
              <w:pStyle w:val="csbody00"/>
              <w:rPr>
                <w:b/>
              </w:rPr>
            </w:pPr>
            <w:r w:rsidRPr="00985AE1">
              <w:rPr>
                <w:b/>
              </w:rPr>
              <w:t>Tier 2 capital</w:t>
            </w:r>
            <w:r w:rsidR="00610826">
              <w:rPr>
                <w:b/>
              </w:rPr>
              <w:t>/Ergänzungskapital</w:t>
            </w:r>
          </w:p>
        </w:tc>
        <w:tc>
          <w:tcPr>
            <w:tcW w:w="1371" w:type="pct"/>
            <w:gridSpan w:val="6"/>
            <w:shd w:val="clear" w:color="auto" w:fill="FFFFFF"/>
            <w:vAlign w:val="bottom"/>
          </w:tcPr>
          <w:p w:rsidR="004C1EBA" w:rsidRPr="00406E8A" w:rsidP="004C1EBA">
            <w:pPr>
              <w:pStyle w:val="csbody00"/>
              <w:rPr>
                <w:b/>
              </w:rPr>
            </w:pPr>
            <w:r w:rsidRPr="006527EC">
              <w:t>10,997</w:t>
            </w:r>
          </w:p>
        </w:tc>
        <w:tc>
          <w:tcPr>
            <w:tcW w:w="1130" w:type="pct"/>
            <w:gridSpan w:val="2"/>
            <w:shd w:val="clear" w:color="auto" w:fill="FFFFFF"/>
            <w:vAlign w:val="bottom"/>
          </w:tcPr>
          <w:p w:rsidR="004C1EBA" w:rsidRPr="00406E8A" w:rsidP="004C1EBA">
            <w:pPr>
              <w:pStyle w:val="csbody00"/>
              <w:rPr>
                <w:b/>
              </w:rPr>
            </w:pPr>
            <w:r w:rsidRPr="006527EC">
              <w:t>11,577</w:t>
            </w:r>
          </w:p>
        </w:tc>
      </w:tr>
      <w:tr w:rsidTr="00682578">
        <w:tblPrEx>
          <w:tblW w:w="5002" w:type="pct"/>
          <w:shd w:val="clear" w:color="auto" w:fill="FFFFFF"/>
          <w:tblLayout w:type="fixed"/>
          <w:tblLook w:val="00A0"/>
        </w:tblPrEx>
        <w:tc>
          <w:tcPr>
            <w:tcW w:w="2499" w:type="pct"/>
            <w:gridSpan w:val="5"/>
            <w:shd w:val="clear" w:color="auto" w:fill="FFFFFF"/>
          </w:tcPr>
          <w:p w:rsidR="004C1EBA" w:rsidRPr="00985AE1" w:rsidP="004C1EBA">
            <w:pPr>
              <w:pStyle w:val="csbody00"/>
              <w:rPr>
                <w:b/>
              </w:rPr>
            </w:pPr>
            <w:r w:rsidRPr="00985AE1">
              <w:rPr>
                <w:b/>
              </w:rPr>
              <w:t>Total eligible capital</w:t>
            </w:r>
            <w:r w:rsidR="00610826">
              <w:rPr>
                <w:b/>
              </w:rPr>
              <w:t>/Total anrechenbare Eigenmittel</w:t>
            </w:r>
          </w:p>
        </w:tc>
        <w:tc>
          <w:tcPr>
            <w:tcW w:w="1371" w:type="pct"/>
            <w:gridSpan w:val="6"/>
            <w:shd w:val="clear" w:color="auto" w:fill="FFFFFF"/>
            <w:vAlign w:val="bottom"/>
          </w:tcPr>
          <w:p w:rsidR="004C1EBA" w:rsidRPr="00406E8A" w:rsidP="004C1EBA">
            <w:pPr>
              <w:pStyle w:val="csbody00"/>
              <w:rPr>
                <w:b/>
              </w:rPr>
            </w:pPr>
            <w:r w:rsidRPr="00EF4BAA">
              <w:t>58,111</w:t>
            </w:r>
          </w:p>
        </w:tc>
        <w:tc>
          <w:tcPr>
            <w:tcW w:w="1130" w:type="pct"/>
            <w:gridSpan w:val="2"/>
            <w:shd w:val="clear" w:color="auto" w:fill="FFFFFF"/>
            <w:vAlign w:val="bottom"/>
          </w:tcPr>
          <w:p w:rsidR="004C1EBA" w:rsidRPr="00406E8A" w:rsidP="004C1EBA">
            <w:pPr>
              <w:pStyle w:val="csbody00"/>
              <w:rPr>
                <w:b/>
              </w:rPr>
            </w:pPr>
            <w:r w:rsidRPr="006527EC">
              <w:t>52,346</w:t>
            </w:r>
          </w:p>
        </w:tc>
      </w:tr>
      <w:tr w:rsidTr="00682578">
        <w:tblPrEx>
          <w:tblW w:w="5002" w:type="pct"/>
          <w:shd w:val="clear" w:color="auto" w:fill="FFFFFF"/>
          <w:tblLayout w:type="fixed"/>
          <w:tblLook w:val="00A0"/>
        </w:tblPrEx>
        <w:tc>
          <w:tcPr>
            <w:tcW w:w="2499" w:type="pct"/>
            <w:gridSpan w:val="5"/>
            <w:shd w:val="clear" w:color="auto" w:fill="FFFFFF"/>
          </w:tcPr>
          <w:p w:rsidR="004C1EBA" w:rsidRPr="0083513B" w:rsidP="004C1EBA">
            <w:pPr>
              <w:pStyle w:val="csbody00"/>
              <w:rPr>
                <w:lang w:val="de-DE" w:eastAsia="de-CH"/>
              </w:rPr>
            </w:pPr>
            <w:r w:rsidRPr="0083513B">
              <w:rPr>
                <w:lang w:val="de-DE" w:eastAsia="de-CH"/>
              </w:rPr>
              <w:t>CET1 ratio/Quote des harten Kernkapitals (%)</w:t>
            </w:r>
          </w:p>
        </w:tc>
        <w:tc>
          <w:tcPr>
            <w:tcW w:w="1371" w:type="pct"/>
            <w:gridSpan w:val="6"/>
            <w:shd w:val="clear" w:color="auto" w:fill="FFFFFF"/>
            <w:vAlign w:val="bottom"/>
          </w:tcPr>
          <w:p w:rsidR="004C1EBA" w:rsidRPr="0083513B" w:rsidP="004C1EBA">
            <w:pPr>
              <w:pStyle w:val="csbody00"/>
              <w:rPr>
                <w:b/>
                <w:lang w:eastAsia="de-CH"/>
              </w:rPr>
            </w:pPr>
            <w:r w:rsidRPr="00EF4BAA">
              <w:rPr>
                <w:bCs/>
              </w:rPr>
              <w:t>14.4</w:t>
            </w:r>
          </w:p>
        </w:tc>
        <w:tc>
          <w:tcPr>
            <w:tcW w:w="1130" w:type="pct"/>
            <w:gridSpan w:val="2"/>
            <w:shd w:val="clear" w:color="auto" w:fill="FFFFFF"/>
            <w:vAlign w:val="bottom"/>
          </w:tcPr>
          <w:p w:rsidR="004C1EBA" w:rsidRPr="0083513B" w:rsidP="004C1EBA">
            <w:pPr>
              <w:pStyle w:val="csbody00"/>
              <w:rPr>
                <w:b/>
                <w:lang w:eastAsia="de-CH"/>
              </w:rPr>
            </w:pPr>
            <w:r w:rsidRPr="006527EC">
              <w:t>14.3</w:t>
            </w:r>
          </w:p>
        </w:tc>
      </w:tr>
      <w:tr w:rsidTr="00682578">
        <w:tblPrEx>
          <w:tblW w:w="5002" w:type="pct"/>
          <w:shd w:val="clear" w:color="auto" w:fill="FFFFFF"/>
          <w:tblLayout w:type="fixed"/>
          <w:tblLook w:val="00A0"/>
        </w:tblPrEx>
        <w:tc>
          <w:tcPr>
            <w:tcW w:w="2499" w:type="pct"/>
            <w:gridSpan w:val="5"/>
            <w:shd w:val="clear" w:color="auto" w:fill="FFFFFF"/>
          </w:tcPr>
          <w:p w:rsidR="004C1EBA" w:rsidRPr="0083513B" w:rsidP="004C1EBA">
            <w:pPr>
              <w:pStyle w:val="csbody00"/>
              <w:rPr>
                <w:lang w:eastAsia="de-CH"/>
              </w:rPr>
            </w:pPr>
            <w:r w:rsidRPr="0083513B">
              <w:rPr>
                <w:lang w:eastAsia="de-CH"/>
              </w:rPr>
              <w:t>Tier 1 ratio/Kernkapitalquote (%)</w:t>
            </w:r>
          </w:p>
        </w:tc>
        <w:tc>
          <w:tcPr>
            <w:tcW w:w="1371" w:type="pct"/>
            <w:gridSpan w:val="6"/>
            <w:shd w:val="clear" w:color="auto" w:fill="FFFFFF"/>
            <w:vAlign w:val="bottom"/>
          </w:tcPr>
          <w:p w:rsidR="004C1EBA" w:rsidRPr="0083513B" w:rsidP="004C1EBA">
            <w:pPr>
              <w:pStyle w:val="csbody00"/>
              <w:rPr>
                <w:b/>
                <w:lang w:eastAsia="de-CH"/>
              </w:rPr>
            </w:pPr>
            <w:r w:rsidRPr="00EF4BAA">
              <w:rPr>
                <w:bCs/>
              </w:rPr>
              <w:t>16.6</w:t>
            </w:r>
          </w:p>
        </w:tc>
        <w:tc>
          <w:tcPr>
            <w:tcW w:w="1130" w:type="pct"/>
            <w:gridSpan w:val="2"/>
            <w:shd w:val="clear" w:color="auto" w:fill="FFFFFF"/>
            <w:vAlign w:val="bottom"/>
          </w:tcPr>
          <w:p w:rsidR="004C1EBA" w:rsidRPr="0083513B" w:rsidP="004C1EBA">
            <w:pPr>
              <w:pStyle w:val="csbody00"/>
              <w:rPr>
                <w:b/>
                <w:lang w:eastAsia="de-CH"/>
              </w:rPr>
            </w:pPr>
            <w:r w:rsidRPr="006527EC">
              <w:t>15.4</w:t>
            </w:r>
          </w:p>
        </w:tc>
      </w:tr>
      <w:tr w:rsidTr="00682578">
        <w:tblPrEx>
          <w:tblW w:w="5002" w:type="pct"/>
          <w:shd w:val="clear" w:color="auto" w:fill="FFFFFF"/>
          <w:tblLayout w:type="fixed"/>
          <w:tblLook w:val="00A0"/>
        </w:tblPrEx>
        <w:tc>
          <w:tcPr>
            <w:tcW w:w="2499" w:type="pct"/>
            <w:gridSpan w:val="5"/>
            <w:shd w:val="clear" w:color="auto" w:fill="FFFFFF"/>
          </w:tcPr>
          <w:p w:rsidR="004C1EBA" w:rsidRPr="0083513B">
            <w:pPr>
              <w:pStyle w:val="csbody00"/>
              <w:rPr>
                <w:lang w:eastAsia="de-CH"/>
              </w:rPr>
            </w:pPr>
            <w:r w:rsidRPr="0083513B">
              <w:rPr>
                <w:lang w:eastAsia="de-CH"/>
              </w:rPr>
              <w:t>Total capital ratio/</w:t>
            </w:r>
            <w:r w:rsidR="00610826">
              <w:rPr>
                <w:lang w:eastAsia="de-CH"/>
              </w:rPr>
              <w:t>Gesamtkapital</w:t>
            </w:r>
            <w:r w:rsidRPr="0083513B" w:rsidR="00610826">
              <w:rPr>
                <w:lang w:eastAsia="de-CH"/>
              </w:rPr>
              <w:t xml:space="preserve">quote </w:t>
            </w:r>
            <w:r w:rsidRPr="0083513B">
              <w:rPr>
                <w:lang w:eastAsia="de-CH"/>
              </w:rPr>
              <w:t>(%)</w:t>
            </w:r>
          </w:p>
        </w:tc>
        <w:tc>
          <w:tcPr>
            <w:tcW w:w="1371" w:type="pct"/>
            <w:gridSpan w:val="6"/>
            <w:shd w:val="clear" w:color="auto" w:fill="FFFFFF"/>
            <w:vAlign w:val="bottom"/>
          </w:tcPr>
          <w:p w:rsidR="004C1EBA" w:rsidRPr="0083513B" w:rsidP="004C1EBA">
            <w:pPr>
              <w:pStyle w:val="csbody00"/>
              <w:rPr>
                <w:b/>
                <w:lang w:eastAsia="de-CH"/>
              </w:rPr>
            </w:pPr>
            <w:r w:rsidRPr="006527EC">
              <w:t>20.5</w:t>
            </w:r>
          </w:p>
        </w:tc>
        <w:tc>
          <w:tcPr>
            <w:tcW w:w="1130" w:type="pct"/>
            <w:gridSpan w:val="2"/>
            <w:shd w:val="clear" w:color="auto" w:fill="FFFFFF"/>
            <w:vAlign w:val="bottom"/>
          </w:tcPr>
          <w:p w:rsidR="004C1EBA" w:rsidRPr="0083513B" w:rsidP="004C1EBA">
            <w:pPr>
              <w:pStyle w:val="csbody00"/>
              <w:rPr>
                <w:b/>
                <w:lang w:eastAsia="de-CH"/>
              </w:rPr>
            </w:pPr>
            <w:r w:rsidRPr="006527EC">
              <w:t>19.8</w:t>
            </w:r>
          </w:p>
        </w:tc>
      </w:tr>
      <w:tr w:rsidTr="004C1EBA">
        <w:tblPrEx>
          <w:tblW w:w="5002" w:type="pct"/>
          <w:tblLayout w:type="fixed"/>
          <w:tblLook w:val="00A0"/>
        </w:tblPrEx>
        <w:tc>
          <w:tcPr>
            <w:tcW w:w="2499" w:type="pct"/>
            <w:gridSpan w:val="5"/>
            <w:tcBorders>
              <w:right w:val="single" w:sz="4" w:space="0" w:color="auto"/>
            </w:tcBorders>
          </w:tcPr>
          <w:p w:rsidR="004C1EBA" w:rsidRPr="007B63E2" w:rsidP="004C1EBA">
            <w:pPr>
              <w:pStyle w:val="csbody00"/>
            </w:pPr>
            <w:r>
              <w:rPr>
                <w:vertAlign w:val="superscript"/>
              </w:rPr>
              <w:t>(1)</w:t>
            </w:r>
            <w:r>
              <w:t xml:space="preserve"> </w:t>
            </w:r>
            <w:r w:rsidRPr="000B6820">
              <w:rPr>
                <w:lang w:val="en-US"/>
              </w:rPr>
              <w:t>Includes regulatory adjustments not subject to phase in, including a cumulative dividend accrual.</w:t>
            </w:r>
          </w:p>
        </w:tc>
        <w:tc>
          <w:tcPr>
            <w:tcW w:w="2501" w:type="pct"/>
            <w:gridSpan w:val="8"/>
            <w:tcBorders>
              <w:left w:val="single" w:sz="4" w:space="0" w:color="auto"/>
            </w:tcBorders>
            <w:shd w:val="clear" w:color="auto" w:fill="auto"/>
          </w:tcPr>
          <w:p w:rsidR="004C1EBA" w:rsidRPr="00DE254B" w:rsidP="004C1EBA">
            <w:pPr>
              <w:pStyle w:val="csbody00"/>
              <w:rPr>
                <w:lang w:val="de-DE"/>
              </w:rPr>
            </w:pPr>
            <w:r w:rsidRPr="00DE254B">
              <w:rPr>
                <w:vertAlign w:val="superscript"/>
                <w:lang w:val="de-DE"/>
              </w:rPr>
              <w:t>(1)</w:t>
            </w:r>
            <w:r w:rsidRPr="00DE254B">
              <w:rPr>
                <w:lang w:val="de-DE"/>
              </w:rPr>
              <w:t xml:space="preserve"> </w:t>
            </w:r>
            <w:r w:rsidRPr="009B1798">
              <w:rPr>
                <w:lang w:val="de-DE"/>
              </w:rPr>
              <w:t>Enthält regulatorische Anpassungen, für welche die Einführungsbestimmungen nicht zur Anwendung kommen, einschliesslich einer kumulierten Dividendenabgrenzung</w:t>
            </w:r>
            <w:r w:rsidRPr="00DE254B">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rsidRPr="0083513B">
              <w:rPr>
                <w:vertAlign w:val="superscript"/>
              </w:rPr>
              <w:t>(</w:t>
            </w:r>
            <w:r>
              <w:rPr>
                <w:vertAlign w:val="superscript"/>
              </w:rPr>
              <w:t>2</w:t>
            </w:r>
            <w:r w:rsidRPr="0083513B">
              <w:rPr>
                <w:vertAlign w:val="superscript"/>
              </w:rPr>
              <w:t>)</w:t>
            </w:r>
            <w:r w:rsidRPr="0083513B">
              <w:t xml:space="preserve"> </w:t>
            </w:r>
            <w:r w:rsidRPr="00747032">
              <w:rPr>
                <w:lang w:val="en-US"/>
              </w:rPr>
              <w:t>Reflects 20 per cent. phase-in deductions, including goodwill, other intangible assets and certain deferred tax assets, and 80 per cent. of an adjustment for the accounting treatment of pension plans pursuant to phase-in requirements</w:t>
            </w:r>
            <w:r>
              <w:rPr>
                <w:sz w:val="16"/>
                <w:szCs w:val="16"/>
              </w:rPr>
              <w:t>.</w:t>
            </w:r>
          </w:p>
        </w:tc>
        <w:tc>
          <w:tcPr>
            <w:tcW w:w="2501" w:type="pct"/>
            <w:gridSpan w:val="8"/>
            <w:tcBorders>
              <w:left w:val="single" w:sz="4" w:space="0" w:color="auto"/>
            </w:tcBorders>
            <w:shd w:val="clear" w:color="auto" w:fill="auto"/>
          </w:tcPr>
          <w:p w:rsidR="004C1EBA" w:rsidRPr="0083513B" w:rsidP="004C1EBA">
            <w:pPr>
              <w:pStyle w:val="csbody00"/>
              <w:rPr>
                <w:vertAlign w:val="superscript"/>
                <w:lang w:val="de-CH"/>
              </w:rPr>
            </w:pPr>
            <w:r w:rsidRPr="0083513B">
              <w:rPr>
                <w:vertAlign w:val="superscript"/>
                <w:lang w:val="de-CH"/>
              </w:rPr>
              <w:t>(</w:t>
            </w:r>
            <w:r>
              <w:rPr>
                <w:vertAlign w:val="superscript"/>
                <w:lang w:val="de-CH"/>
              </w:rPr>
              <w:t>2</w:t>
            </w:r>
            <w:r w:rsidRPr="0083513B">
              <w:rPr>
                <w:vertAlign w:val="superscript"/>
                <w:lang w:val="de-CH"/>
              </w:rPr>
              <w:t>) </w:t>
            </w:r>
            <w:r w:rsidRPr="009B1798">
              <w:rPr>
                <w:lang w:val="de-DE"/>
              </w:rPr>
              <w:t>Zeigt 20 % Einführungsabzug (</w:t>
            </w:r>
            <w:r w:rsidRPr="009B1798">
              <w:rPr>
                <w:i/>
                <w:lang w:val="de-DE"/>
              </w:rPr>
              <w:t>phase-in</w:t>
            </w:r>
            <w:r w:rsidRPr="009B1798">
              <w:rPr>
                <w:lang w:val="de-DE"/>
              </w:rPr>
              <w:t>) auf Goodwill, sonstigen immateriellen Werten und bestimmten latenten Steuerguthaben sowie 80 % einer Anpassung für die buchhalterische Behandlung von Vorsorgeplänen gemäss den Einführungsbestimmungen</w:t>
            </w:r>
            <w:r w:rsidRPr="0083513B">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rsidRPr="0083513B">
              <w:rPr>
                <w:vertAlign w:val="superscript"/>
              </w:rPr>
              <w:t>(</w:t>
            </w:r>
            <w:r>
              <w:rPr>
                <w:vertAlign w:val="superscript"/>
              </w:rPr>
              <w:t>3</w:t>
            </w:r>
            <w:r w:rsidRPr="0083513B">
              <w:rPr>
                <w:vertAlign w:val="superscript"/>
              </w:rPr>
              <w:t>)</w:t>
            </w:r>
            <w:r w:rsidRPr="0083513B">
              <w:t> </w:t>
            </w:r>
            <w:r w:rsidRPr="00403065">
              <w:t>Includes an adjustment for the accounting treatment of pension plans pursuant to phase-in requirements and other regulatory adjustments.</w:t>
            </w:r>
          </w:p>
        </w:tc>
        <w:tc>
          <w:tcPr>
            <w:tcW w:w="2501" w:type="pct"/>
            <w:gridSpan w:val="8"/>
            <w:tcBorders>
              <w:left w:val="single" w:sz="4" w:space="0" w:color="auto"/>
            </w:tcBorders>
            <w:shd w:val="clear" w:color="auto" w:fill="auto"/>
          </w:tcPr>
          <w:p w:rsidR="004C1EBA" w:rsidRPr="0083513B" w:rsidP="00BD6E0D">
            <w:pPr>
              <w:pStyle w:val="csbody00"/>
              <w:rPr>
                <w:lang w:val="de-DE"/>
              </w:rPr>
            </w:pPr>
            <w:r w:rsidRPr="0083513B">
              <w:rPr>
                <w:vertAlign w:val="superscript"/>
                <w:lang w:val="de-DE"/>
              </w:rPr>
              <w:t>(</w:t>
            </w:r>
            <w:r>
              <w:rPr>
                <w:vertAlign w:val="superscript"/>
                <w:lang w:val="de-DE"/>
              </w:rPr>
              <w:t>3</w:t>
            </w:r>
            <w:r w:rsidRPr="0083513B">
              <w:rPr>
                <w:vertAlign w:val="superscript"/>
                <w:lang w:val="de-DE"/>
              </w:rPr>
              <w:t>)</w:t>
            </w:r>
            <w:r w:rsidRPr="0083513B">
              <w:rPr>
                <w:lang w:val="de-DE"/>
              </w:rPr>
              <w:t> </w:t>
            </w:r>
            <w:r w:rsidRPr="009B1798">
              <w:rPr>
                <w:lang w:val="de-DE"/>
              </w:rPr>
              <w:t xml:space="preserve">Beinhaltet eine </w:t>
            </w:r>
            <w:r w:rsidR="00610826">
              <w:rPr>
                <w:lang w:val="de-DE"/>
              </w:rPr>
              <w:t>Anpassung für die buchhalterische</w:t>
            </w:r>
            <w:r w:rsidRPr="009B1798">
              <w:rPr>
                <w:lang w:val="de-DE"/>
              </w:rPr>
              <w:t xml:space="preserve"> Behandlung von Vorsorgeplänen </w:t>
            </w:r>
            <w:r w:rsidR="00610826">
              <w:rPr>
                <w:lang w:val="de-DE"/>
              </w:rPr>
              <w:t>gemäss</w:t>
            </w:r>
            <w:r w:rsidR="009D7C36">
              <w:rPr>
                <w:lang w:val="de-DE"/>
              </w:rPr>
              <w:t xml:space="preserve"> </w:t>
            </w:r>
            <w:r w:rsidRPr="009B1798">
              <w:rPr>
                <w:lang w:val="de-DE"/>
              </w:rPr>
              <w:t xml:space="preserve">Übergangsbestimmungen </w:t>
            </w:r>
            <w:r w:rsidR="00610826">
              <w:rPr>
                <w:lang w:val="de-DE"/>
              </w:rPr>
              <w:t>sowie sonstige</w:t>
            </w:r>
            <w:r w:rsidRPr="009B1798">
              <w:rPr>
                <w:lang w:val="de-DE"/>
              </w:rPr>
              <w:t xml:space="preserve"> regulatorische Anpa</w:t>
            </w:r>
            <w:r w:rsidR="00610826">
              <w:rPr>
                <w:lang w:val="de-DE"/>
              </w:rPr>
              <w:t>s</w:t>
            </w:r>
            <w:r w:rsidRPr="009B1798">
              <w:rPr>
                <w:lang w:val="de-DE"/>
              </w:rPr>
              <w:t>sungen</w:t>
            </w:r>
            <w:r w:rsidRPr="0083513B">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rsidRPr="0083513B">
              <w:rPr>
                <w:vertAlign w:val="superscript"/>
              </w:rPr>
              <w:t>(</w:t>
            </w:r>
            <w:r>
              <w:rPr>
                <w:vertAlign w:val="superscript"/>
              </w:rPr>
              <w:t>4</w:t>
            </w:r>
            <w:r w:rsidRPr="0083513B">
              <w:rPr>
                <w:vertAlign w:val="superscript"/>
              </w:rPr>
              <w:t>)</w:t>
            </w:r>
            <w:r w:rsidRPr="0083513B">
              <w:t> </w:t>
            </w:r>
            <w:r w:rsidRPr="00747032">
              <w:rPr>
                <w:lang w:val="en-US"/>
              </w:rPr>
              <w:t>Consists of high-trigger and low-trigger capital instruments. Of this amount, CHF 6.2 billion consists of capital instruments with a capital ratio write-down trigger of 7 per cent. and CHF 4.2 billion consists of capital instruments with a capital ratio write-down trigger of 5.125 per cent.</w:t>
            </w:r>
          </w:p>
        </w:tc>
        <w:tc>
          <w:tcPr>
            <w:tcW w:w="2501" w:type="pct"/>
            <w:gridSpan w:val="8"/>
            <w:tcBorders>
              <w:left w:val="single" w:sz="4" w:space="0" w:color="auto"/>
            </w:tcBorders>
            <w:shd w:val="clear" w:color="auto" w:fill="auto"/>
          </w:tcPr>
          <w:p w:rsidR="004C1EBA" w:rsidRPr="0083513B" w:rsidP="004C1EBA">
            <w:pPr>
              <w:pStyle w:val="csbody00"/>
              <w:rPr>
                <w:lang w:val="de-DE"/>
              </w:rPr>
            </w:pPr>
            <w:r w:rsidRPr="0083513B">
              <w:rPr>
                <w:vertAlign w:val="superscript"/>
                <w:lang w:val="de-DE"/>
              </w:rPr>
              <w:t>(</w:t>
            </w:r>
            <w:r>
              <w:rPr>
                <w:vertAlign w:val="superscript"/>
                <w:lang w:val="de-DE"/>
              </w:rPr>
              <w:t>4</w:t>
            </w:r>
            <w:r w:rsidRPr="0083513B">
              <w:rPr>
                <w:vertAlign w:val="superscript"/>
                <w:lang w:val="de-DE"/>
              </w:rPr>
              <w:t>)</w:t>
            </w:r>
            <w:r w:rsidRPr="0083513B">
              <w:rPr>
                <w:lang w:val="de-DE"/>
              </w:rPr>
              <w:t> </w:t>
            </w:r>
            <w:r w:rsidRPr="009B1798">
              <w:rPr>
                <w:lang w:val="de-DE"/>
              </w:rPr>
              <w:t>Besteht aus Kapitalinstrumenten mit hohem und tiefem Auslösungssatz. Von diesem Betrag bestehen CHF 6,2 Mrd. aus Kapitalinstrumenten mit einem Abschreibungsauslösungssatz bei 7 % Eigenmittelquote, und CHF 4,2 Mrd. bestehen aus Kapitalinstrumenten mit einem Abschreibungsauslösungssatz bei 5,125 % Eigenmittelquote</w:t>
            </w:r>
            <w:r w:rsidRPr="0083513B">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rsidRPr="0083513B">
              <w:rPr>
                <w:vertAlign w:val="superscript"/>
              </w:rPr>
              <w:t>(</w:t>
            </w:r>
            <w:r>
              <w:rPr>
                <w:vertAlign w:val="superscript"/>
              </w:rPr>
              <w:t>5</w:t>
            </w:r>
            <w:r w:rsidRPr="0083513B">
              <w:rPr>
                <w:vertAlign w:val="superscript"/>
              </w:rPr>
              <w:t>)</w:t>
            </w:r>
            <w:r w:rsidRPr="0083513B">
              <w:t> </w:t>
            </w:r>
            <w:r w:rsidRPr="00403065">
              <w:t>Includes hybrid capital instruments that are subject to phase-out.</w:t>
            </w:r>
          </w:p>
        </w:tc>
        <w:tc>
          <w:tcPr>
            <w:tcW w:w="2501" w:type="pct"/>
            <w:gridSpan w:val="8"/>
            <w:tcBorders>
              <w:left w:val="single" w:sz="4" w:space="0" w:color="auto"/>
            </w:tcBorders>
            <w:shd w:val="clear" w:color="auto" w:fill="auto"/>
          </w:tcPr>
          <w:p w:rsidR="004C1EBA" w:rsidRPr="0083513B" w:rsidP="004C1EBA">
            <w:pPr>
              <w:pStyle w:val="csbody00"/>
              <w:rPr>
                <w:lang w:val="de-DE"/>
              </w:rPr>
            </w:pPr>
            <w:r w:rsidRPr="0083513B">
              <w:rPr>
                <w:vertAlign w:val="superscript"/>
                <w:lang w:val="de-DE"/>
              </w:rPr>
              <w:t>(</w:t>
            </w:r>
            <w:r>
              <w:rPr>
                <w:vertAlign w:val="superscript"/>
                <w:lang w:val="de-DE"/>
              </w:rPr>
              <w:t>5</w:t>
            </w:r>
            <w:r w:rsidRPr="0083513B">
              <w:rPr>
                <w:vertAlign w:val="superscript"/>
                <w:lang w:val="de-DE"/>
              </w:rPr>
              <w:t>)</w:t>
            </w:r>
            <w:r w:rsidRPr="0083513B">
              <w:rPr>
                <w:lang w:val="de-DE"/>
              </w:rPr>
              <w:t> </w:t>
            </w:r>
            <w:r w:rsidRPr="009B1798">
              <w:rPr>
                <w:lang w:val="de-DE"/>
              </w:rPr>
              <w:t>Enthält hybride Kapitalinstrumente, die gemäss Übergangsbestimmungen auslaufen (</w:t>
            </w:r>
            <w:r w:rsidRPr="009B1798">
              <w:rPr>
                <w:i/>
                <w:lang w:val="de-DE"/>
              </w:rPr>
              <w:t>phase-out</w:t>
            </w:r>
            <w:r w:rsidRPr="009B1798">
              <w:rPr>
                <w:lang w:val="de-DE"/>
              </w:rPr>
              <w:t>)</w:t>
            </w:r>
            <w:r w:rsidRPr="0083513B">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1905DB" w:rsidP="004C1EBA">
            <w:pPr>
              <w:pStyle w:val="csbody00"/>
              <w:rPr>
                <w:vertAlign w:val="superscript"/>
                <w:lang w:val="en-US"/>
              </w:rPr>
            </w:pPr>
            <w:r w:rsidRPr="0083513B">
              <w:rPr>
                <w:vertAlign w:val="superscript"/>
              </w:rPr>
              <w:t>(</w:t>
            </w:r>
            <w:r>
              <w:rPr>
                <w:vertAlign w:val="superscript"/>
              </w:rPr>
              <w:t>6</w:t>
            </w:r>
            <w:r w:rsidRPr="0083513B">
              <w:rPr>
                <w:vertAlign w:val="superscript"/>
              </w:rPr>
              <w:t>)</w:t>
            </w:r>
            <w:r w:rsidRPr="0083513B">
              <w:t> </w:t>
            </w:r>
            <w:r w:rsidRPr="00747032">
              <w:rPr>
                <w:lang w:val="en-US"/>
              </w:rPr>
              <w:t>Includes 80 per cent. of goodwill and other intangible assets (CHF 6.4 billion) and other capital deductions, including gains/(losses) due to changes in own credit risk on fair valued financial liabilities, that will be deducted from CET1 once Basel III is fully implemented.</w:t>
            </w:r>
          </w:p>
        </w:tc>
        <w:tc>
          <w:tcPr>
            <w:tcW w:w="2501" w:type="pct"/>
            <w:gridSpan w:val="8"/>
            <w:tcBorders>
              <w:left w:val="single" w:sz="4" w:space="0" w:color="auto"/>
            </w:tcBorders>
            <w:shd w:val="clear" w:color="auto" w:fill="auto"/>
          </w:tcPr>
          <w:p w:rsidR="004C1EBA" w:rsidRPr="009B1798" w:rsidP="004C1EBA">
            <w:pPr>
              <w:pStyle w:val="csbody00"/>
              <w:rPr>
                <w:vertAlign w:val="superscript"/>
                <w:lang w:val="de-DE"/>
              </w:rPr>
            </w:pPr>
            <w:r w:rsidRPr="00013FD4">
              <w:rPr>
                <w:vertAlign w:val="superscript"/>
                <w:lang w:val="de-DE"/>
              </w:rPr>
              <w:t>(6)</w:t>
            </w:r>
            <w:r w:rsidRPr="00013FD4">
              <w:rPr>
                <w:lang w:val="de-DE"/>
              </w:rPr>
              <w:t> </w:t>
            </w:r>
            <w:r w:rsidRPr="00013FD4">
              <w:rPr>
                <w:rFonts w:cs="CreditSuisseType-Light"/>
                <w:lang w:val="de-DE"/>
              </w:rPr>
              <w:t>Enthält 80 % des Goodwill und der sonstigen immateriellen Werte (CHF 6,4 Mrd.) sowie sonstige Kapitalabzüge, einschliesslich Gewinnen/(Verlusten) aus Veränderungen des Kreditrisikos auf eigenen zum Fair Value bewerteten Finanzverbindlichkeiten, die vom harten Kernkapital (CET1) abgezogen werden, sobald Basel III vollständig eingeführt ist</w:t>
            </w:r>
            <w:r w:rsidRPr="00013FD4">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1905DB" w:rsidP="004C1EBA">
            <w:pPr>
              <w:pStyle w:val="csbody00"/>
              <w:rPr>
                <w:vertAlign w:val="superscript"/>
                <w:lang w:val="en-US"/>
              </w:rPr>
            </w:pPr>
            <w:r w:rsidRPr="0083513B">
              <w:rPr>
                <w:vertAlign w:val="superscript"/>
              </w:rPr>
              <w:t>(</w:t>
            </w:r>
            <w:r>
              <w:rPr>
                <w:vertAlign w:val="superscript"/>
              </w:rPr>
              <w:t>7</w:t>
            </w:r>
            <w:r w:rsidRPr="0083513B">
              <w:rPr>
                <w:vertAlign w:val="superscript"/>
              </w:rPr>
              <w:t>)</w:t>
            </w:r>
            <w:r w:rsidRPr="0083513B">
              <w:t> </w:t>
            </w:r>
            <w:r w:rsidRPr="00747032">
              <w:rPr>
                <w:lang w:val="en-US"/>
              </w:rPr>
              <w:t>Consists of high-trigger and low-trigger capital instruments. Of this amount, CHF 2.7 billion consists of capital instruments with a capital ratio write-down trigger of 7 per cent. and CHF 4.3 billion consists of capital instruments with a capital ratio write-down trigger of 5 per cent.</w:t>
            </w:r>
          </w:p>
        </w:tc>
        <w:tc>
          <w:tcPr>
            <w:tcW w:w="2501" w:type="pct"/>
            <w:gridSpan w:val="8"/>
            <w:tcBorders>
              <w:left w:val="single" w:sz="4" w:space="0" w:color="auto"/>
            </w:tcBorders>
            <w:shd w:val="clear" w:color="auto" w:fill="auto"/>
          </w:tcPr>
          <w:p w:rsidR="004C1EBA" w:rsidRPr="009B1798" w:rsidP="004C1EBA">
            <w:pPr>
              <w:pStyle w:val="csbody00"/>
              <w:rPr>
                <w:vertAlign w:val="superscript"/>
                <w:lang w:val="de-DE"/>
              </w:rPr>
            </w:pPr>
            <w:r w:rsidRPr="00013FD4">
              <w:rPr>
                <w:vertAlign w:val="superscript"/>
                <w:lang w:val="de-DE"/>
              </w:rPr>
              <w:t>(7)</w:t>
            </w:r>
            <w:r w:rsidRPr="00013FD4">
              <w:rPr>
                <w:lang w:val="de-DE"/>
              </w:rPr>
              <w:t xml:space="preserve"> Besteht aus Kapitalinstrumenten mit hohem und tiefem Auslösungssatz. Von diesem Betrag bestehen CHF 2,7 Mrd. aus Kapitalinstrumenten mit einem Abschreibungsauslösungssatz bei 7 % Eigenmittelquote, und CHF 4,3 Mrd. bestehen aus Kapitalinstrumenten mit einem Abschreibungsauslösungssatz bei 5 % </w:t>
            </w:r>
            <w:r w:rsidRPr="00BD6E0D">
              <w:rPr>
                <w:lang w:val="de-DE"/>
              </w:rPr>
              <w:t>Eigenmittelquote</w:t>
            </w:r>
            <w:r w:rsidR="002F1DA0">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Share Capital</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Aktienkapital</w:t>
            </w:r>
          </w:p>
        </w:tc>
      </w:tr>
      <w:tr w:rsidTr="004C1EBA">
        <w:tblPrEx>
          <w:tblW w:w="5002" w:type="pct"/>
          <w:tblLayout w:type="fixed"/>
          <w:tblLook w:val="00A0"/>
        </w:tblPrEx>
        <w:tc>
          <w:tcPr>
            <w:tcW w:w="2499" w:type="pct"/>
            <w:gridSpan w:val="5"/>
            <w:tcBorders>
              <w:right w:val="single" w:sz="4" w:space="0" w:color="auto"/>
            </w:tcBorders>
          </w:tcPr>
          <w:p w:rsidR="004C1EBA" w:rsidRPr="0083513B" w:rsidP="004C1EBA">
            <w:pPr>
              <w:pStyle w:val="csbody00"/>
            </w:pPr>
            <w:r w:rsidRPr="0083513B">
              <w:t>As of 31 December 201</w:t>
            </w:r>
            <w:r>
              <w:t>4</w:t>
            </w:r>
            <w:r w:rsidRPr="0083513B">
              <w:t>, Credit Suisse had fully paid and issued share capital of CHF 4,399,6</w:t>
            </w:r>
            <w:r>
              <w:t>80</w:t>
            </w:r>
            <w:r w:rsidRPr="0083513B">
              <w:t>,200 comprised of 4,399,6</w:t>
            </w:r>
            <w:r>
              <w:t>80</w:t>
            </w:r>
            <w:r w:rsidRPr="0083513B">
              <w:t xml:space="preserve">,200 registered shares with a par value of CHF 1.00 each. Each share is entitled to one vote. Additionally as </w:t>
            </w:r>
            <w:r>
              <w:t>of</w:t>
            </w:r>
            <w:r w:rsidRPr="0083513B">
              <w:t xml:space="preserve"> 31 December 201</w:t>
            </w:r>
            <w:r>
              <w:t>4</w:t>
            </w:r>
            <w:r w:rsidRPr="0083513B">
              <w:t xml:space="preserve"> Credit Suisse had unlimited conversion capital through the issue of registered shares, to be fully paid in, each with a par value of CHF 1 through the compulsory conversion upon occurrence of the trigger event of claims arising out of contingent convertible bonds of Credit Suisse. Further, as of 31 December 201</w:t>
            </w:r>
            <w:r>
              <w:t>4</w:t>
            </w:r>
            <w:r w:rsidRPr="0083513B">
              <w:t>, Credit Suisse had reserve capital in the amount of CHF 4,399,665,200 authorizing the Board at any time without temporal limitation, to issue up to 4,399,665,200 registered shares, to be fully paid up, with a par value of CHF 1 each.</w:t>
            </w:r>
          </w:p>
        </w:tc>
        <w:tc>
          <w:tcPr>
            <w:tcW w:w="2501" w:type="pct"/>
            <w:gridSpan w:val="8"/>
            <w:tcBorders>
              <w:left w:val="single" w:sz="4" w:space="0" w:color="auto"/>
            </w:tcBorders>
            <w:shd w:val="clear" w:color="auto" w:fill="auto"/>
          </w:tcPr>
          <w:p w:rsidR="004C1EBA" w:rsidRPr="0083513B" w:rsidP="004C1EBA">
            <w:pPr>
              <w:pStyle w:val="csbody00"/>
              <w:rPr>
                <w:lang w:val="de-CH"/>
              </w:rPr>
            </w:pPr>
            <w:r w:rsidRPr="009B1798">
              <w:rPr>
                <w:lang w:val="de-CH"/>
              </w:rPr>
              <w:t>Zum 31. Dezember 2014 belief sich das voll eingezahlte und ausgegebene Aktienkapital der Credit Suisse auf CHF </w:t>
            </w:r>
            <w:r w:rsidRPr="009B1798">
              <w:rPr>
                <w:lang w:val="de-DE"/>
              </w:rPr>
              <w:t>4.399.680.200</w:t>
            </w:r>
            <w:r w:rsidRPr="009B1798">
              <w:rPr>
                <w:lang w:val="de-CH"/>
              </w:rPr>
              <w:t xml:space="preserve">, eingeteilt in </w:t>
            </w:r>
            <w:r w:rsidRPr="009B1798">
              <w:rPr>
                <w:lang w:val="de-DE"/>
              </w:rPr>
              <w:t>4.399.680.200</w:t>
            </w:r>
            <w:r w:rsidRPr="009B1798">
              <w:rPr>
                <w:lang w:val="de-CH"/>
              </w:rPr>
              <w:t xml:space="preserve"> Namensaktien mit einem Nennwert von CHF 1,00 pro Aktie. Jede Aktie hat eine Stimme. Darüber hinaus verfügte die Credit Suisse zum 31. Dezember 2014 über unbeschränktes Wandlungskapital durch die Ausgabe von vollständig eingezahlten Namensaktien mit einem Nennwert von je CHF 1 infolge der nach Eintritt des auslösenden Ereignisses erfolgenden zwangsweisen Wandlung von Forderungen aus bedingten Pflichtwandelanleihen (contingent convertible bonds) der Credit Suisse. Ferner verfügte die Credit Suisse z</w:t>
            </w:r>
            <w:r w:rsidRPr="009B1798">
              <w:rPr>
                <w:lang w:val="de-DE"/>
              </w:rPr>
              <w:t>um 31. Dezember 2014 über Vorratskapital in Höhe von CHF 4.399.665.200. In Bezug hierauf ist der Verwaltungsrat ermächtigt, jederzeit ohne zeitliche Beschränkung, höchstens 4.399.665.200 vollständig eingezahlte Namensaktien mit einem Nennwert von je CHF 1,00 auszugeben</w:t>
            </w:r>
            <w:r w:rsidRPr="0083513B">
              <w:rPr>
                <w:lang w:val="de-CH"/>
              </w:rPr>
              <w:t xml:space="preserve">. </w:t>
            </w:r>
          </w:p>
        </w:tc>
      </w:tr>
      <w:tr w:rsidTr="004C1EBA">
        <w:tblPrEx>
          <w:tblW w:w="5002" w:type="pct"/>
          <w:tblLayout w:type="fixed"/>
          <w:tblLook w:val="00A0"/>
        </w:tblPrEx>
        <w:tc>
          <w:tcPr>
            <w:tcW w:w="2499" w:type="pct"/>
            <w:gridSpan w:val="5"/>
            <w:tcBorders>
              <w:right w:val="single" w:sz="4" w:space="0" w:color="auto"/>
            </w:tcBorders>
          </w:tcPr>
          <w:p w:rsidR="004C1EBA" w:rsidRPr="0083513B" w:rsidP="00F17600">
            <w:pPr>
              <w:pStyle w:val="csbody00"/>
            </w:pPr>
            <w:r w:rsidRPr="0083513B">
              <w:t xml:space="preserve">As of </w:t>
            </w:r>
            <w:r w:rsidR="00F17600">
              <w:t>18 December</w:t>
            </w:r>
            <w:r w:rsidR="005A78B7">
              <w:t xml:space="preserve"> </w:t>
            </w:r>
            <w:r w:rsidRPr="0083513B">
              <w:t>201</w:t>
            </w:r>
            <w:r>
              <w:t>5</w:t>
            </w:r>
            <w:r w:rsidRPr="0083513B">
              <w:t xml:space="preserve">, Credit Suisse had fully paid and issued share capital of CHF 4,399,680,200 comprised of 4,399,680,200 registered shares with a par value of CHF 1.00 each. Each share is entitled to one vote. Additionally as of </w:t>
            </w:r>
            <w:r w:rsidR="00F17600">
              <w:t xml:space="preserve">18 December </w:t>
            </w:r>
            <w:r w:rsidRPr="0083513B">
              <w:t>201</w:t>
            </w:r>
            <w:r>
              <w:t>5</w:t>
            </w:r>
            <w:r w:rsidRPr="0083513B">
              <w:t xml:space="preserve"> Credit Suisse had unlimited conversion capital through the issue of registered shares, to be fully paid in, each with a par value of CHF 1 through the compulsory conversion upon occurrence of the trigger event of claims arising out of contingent convertible bonds of Credit Suisse. Further</w:t>
            </w:r>
            <w:r>
              <w:t>more,</w:t>
            </w:r>
            <w:r w:rsidRPr="0083513B">
              <w:t xml:space="preserve"> as of </w:t>
            </w:r>
            <w:r w:rsidR="00F17600">
              <w:t xml:space="preserve">18 December </w:t>
            </w:r>
            <w:r w:rsidRPr="0083513B">
              <w:t>201</w:t>
            </w:r>
            <w:r>
              <w:t>5</w:t>
            </w:r>
            <w:r w:rsidRPr="0083513B">
              <w:t xml:space="preserve"> Credit Suisse had reserve capital in the amount of CHF 4,399,665,200 authorizing the Board at any time without temporal limitation, to issue up to 4,399,665,200 registered shares, to be fully paid up, with a par value of CHF 1 each.</w:t>
            </w:r>
          </w:p>
        </w:tc>
        <w:tc>
          <w:tcPr>
            <w:tcW w:w="2501" w:type="pct"/>
            <w:gridSpan w:val="8"/>
            <w:tcBorders>
              <w:left w:val="single" w:sz="4" w:space="0" w:color="auto"/>
            </w:tcBorders>
            <w:shd w:val="clear" w:color="auto" w:fill="auto"/>
          </w:tcPr>
          <w:p w:rsidR="004C1EBA" w:rsidRPr="0083513B" w:rsidP="00E837F0">
            <w:pPr>
              <w:pStyle w:val="csbody00"/>
              <w:rPr>
                <w:lang w:val="de-CH"/>
              </w:rPr>
            </w:pPr>
            <w:r w:rsidRPr="009B1798">
              <w:rPr>
                <w:lang w:val="de-CH"/>
              </w:rPr>
              <w:t xml:space="preserve">Zum </w:t>
            </w:r>
            <w:r w:rsidR="00F17600">
              <w:rPr>
                <w:lang w:val="de-DE"/>
              </w:rPr>
              <w:t xml:space="preserve">18. Dezember </w:t>
            </w:r>
            <w:r w:rsidRPr="009B1798">
              <w:rPr>
                <w:lang w:val="de-DE"/>
              </w:rPr>
              <w:t>2015</w:t>
            </w:r>
            <w:r w:rsidRPr="009B1798">
              <w:rPr>
                <w:lang w:val="de-CH"/>
              </w:rPr>
              <w:t xml:space="preserve"> belief sich das voll eingezahlte und ausgegebene Aktienkapital der Credit Suisse auf CHF 4.399.680.200, eingeteilt in 4.399.680.200 Namensaktien mit einem Nennwert von CHF 1,00 pro Aktie. Jede Aktie hat eine Stimme. Darüber hinaus verfügte die Credit Suisse zum </w:t>
            </w:r>
            <w:r w:rsidR="00F17600">
              <w:rPr>
                <w:lang w:val="de-CH"/>
              </w:rPr>
              <w:t xml:space="preserve">18. Dezember </w:t>
            </w:r>
            <w:r w:rsidRPr="009B1798">
              <w:rPr>
                <w:lang w:val="de-DE"/>
              </w:rPr>
              <w:t>2015</w:t>
            </w:r>
            <w:r w:rsidRPr="009B1798">
              <w:rPr>
                <w:lang w:val="de-CH"/>
              </w:rPr>
              <w:t xml:space="preserve"> über unbeschränktes Wandlungskapital durch die Ausgabe von vollständig eingezahlten Namensaktien mit einem Nennwert von je CHF 1 infolge der nach Eintritt des auslösenden Ereignisses erfolgenden zwangsweisen Wandlung von Forderungen aus bedingten Pflichtwandelanleihen der Credit Suisse. Ferner verfügte die Credit Suisse z</w:t>
            </w:r>
            <w:r w:rsidRPr="009B1798">
              <w:rPr>
                <w:lang w:val="de-DE"/>
              </w:rPr>
              <w:t xml:space="preserve">um </w:t>
            </w:r>
            <w:r w:rsidR="00F17600">
              <w:rPr>
                <w:lang w:val="de-DE"/>
              </w:rPr>
              <w:t xml:space="preserve">18. Dezember </w:t>
            </w:r>
            <w:r w:rsidRPr="009B1798">
              <w:rPr>
                <w:lang w:val="de-DE"/>
              </w:rPr>
              <w:t>2015</w:t>
            </w:r>
            <w:r w:rsidRPr="009B1798">
              <w:rPr>
                <w:lang w:val="de-CH"/>
              </w:rPr>
              <w:t xml:space="preserve"> </w:t>
            </w:r>
            <w:r w:rsidRPr="009B1798">
              <w:rPr>
                <w:lang w:val="de-DE"/>
              </w:rPr>
              <w:t>über Vorratskapital in Höhe von CHF 4.399.665.200. In Bezug hierauf ist der Verwaltungsrat ermächtigt, jederzeit ohne zeitliche Beschränkung, höchstens 4.399.665.200 vollständig eingezahlte Namensaktien mit einem Nennwert von je CHF 1 auszugeben</w:t>
            </w:r>
            <w:r w:rsidRPr="0083513B">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B55BCC" w:rsidP="004C1EBA">
            <w:pPr>
              <w:pStyle w:val="csbody00"/>
              <w:rPr>
                <w:b/>
                <w:sz w:val="20"/>
                <w:szCs w:val="20"/>
              </w:rPr>
            </w:pPr>
            <w:r w:rsidRPr="00B55BCC">
              <w:rPr>
                <w:b/>
                <w:sz w:val="20"/>
                <w:szCs w:val="20"/>
              </w:rPr>
              <w:t>Legal Proceedings</w:t>
            </w:r>
          </w:p>
        </w:tc>
        <w:tc>
          <w:tcPr>
            <w:tcW w:w="2501" w:type="pct"/>
            <w:gridSpan w:val="8"/>
            <w:tcBorders>
              <w:left w:val="single" w:sz="4" w:space="0" w:color="auto"/>
            </w:tcBorders>
            <w:shd w:val="clear" w:color="auto" w:fill="auto"/>
          </w:tcPr>
          <w:p w:rsidR="004C1EBA" w:rsidRPr="00B55BCC" w:rsidP="004C1EBA">
            <w:pPr>
              <w:pStyle w:val="csbody00"/>
              <w:rPr>
                <w:b/>
                <w:sz w:val="20"/>
                <w:szCs w:val="20"/>
              </w:rPr>
            </w:pPr>
            <w:r w:rsidRPr="00B55BCC">
              <w:rPr>
                <w:b/>
                <w:sz w:val="20"/>
                <w:szCs w:val="20"/>
              </w:rPr>
              <w:t>Rechtsstreitigkeiten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b/>
              </w:rPr>
            </w:pPr>
            <w:r w:rsidRPr="00985AE1">
              <w:t xml:space="preserve">CSG and its subsidiaries including Credit Suisse (together, the </w:t>
            </w:r>
            <w:r>
              <w:rPr>
                <w:b/>
              </w:rPr>
              <w:t>"</w:t>
            </w:r>
            <w:r w:rsidRPr="00985AE1">
              <w:rPr>
                <w:b/>
              </w:rPr>
              <w:t>Group</w:t>
            </w:r>
            <w:r>
              <w:rPr>
                <w:b/>
              </w:rPr>
              <w:t>"</w:t>
            </w:r>
            <w:r w:rsidRPr="00985AE1">
              <w:t>)</w:t>
            </w:r>
            <w:r w:rsidRPr="00985AE1">
              <w:t xml:space="preserve"> </w:t>
            </w:r>
            <w:r w:rsidRPr="00E93ED8">
              <w:t>are involved in a number of judicial, regulatory and arbitration proceedings concerning matters arising in connection with the conduct of their businesses including those disclosed below. Some of these proceedings have been brought on behalf of various classes of claimants and seek damages of material and/or indeterminate amounts.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E93ED8">
              <w:rPr>
                <w:lang w:val="de-DE"/>
              </w:rPr>
              <w:t xml:space="preserve">Im Zusammenhang mit ihren Geschäftstätigkeiten sind die </w:t>
            </w:r>
            <w:r w:rsidRPr="00985AE1">
              <w:rPr>
                <w:lang w:val="de-DE"/>
              </w:rPr>
              <w:t xml:space="preserve">CSG und ihre Tochtergesellschaften einschliesslich der Credit Suisse (zusammen die </w:t>
            </w:r>
            <w:r>
              <w:rPr>
                <w:b/>
                <w:lang w:val="de-DE"/>
              </w:rPr>
              <w:t>"</w:t>
            </w:r>
            <w:r w:rsidRPr="00985AE1">
              <w:rPr>
                <w:b/>
                <w:lang w:val="de-DE"/>
              </w:rPr>
              <w:t>Gruppe</w:t>
            </w:r>
            <w:r>
              <w:rPr>
                <w:b/>
                <w:lang w:val="de-DE"/>
              </w:rPr>
              <w:t>"</w:t>
            </w:r>
            <w:r w:rsidRPr="00985AE1">
              <w:rPr>
                <w:lang w:val="de-DE"/>
              </w:rPr>
              <w:t>)</w:t>
            </w:r>
            <w:r w:rsidRPr="00985AE1">
              <w:rPr>
                <w:lang w:val="de-DE"/>
              </w:rPr>
              <w:t xml:space="preserve"> </w:t>
            </w:r>
            <w:r w:rsidRPr="00E93ED8">
              <w:rPr>
                <w:lang w:val="de-DE"/>
              </w:rPr>
              <w:t>in verschiedene gerichtliche, regulatorische und Schiedsverfahren einschliesslich der nachfolgend genannten involviert. Einige dieser Verfahren wurden im Namen ver</w:t>
            </w:r>
            <w:r w:rsidRPr="00E93ED8">
              <w:rPr>
                <w:lang w:val="de-DE"/>
              </w:rPr>
              <w:softHyphen/>
              <w:t>schiedener Klägergruppen angestrengt und haben wesentliche und/oder im Betrag nicht bezifferbare Entschädigungs</w:t>
            </w:r>
            <w:r w:rsidRPr="00E93ED8">
              <w:rPr>
                <w:lang w:val="de-DE"/>
              </w:rPr>
              <w:softHyphen/>
              <w:t>zahlungen zum Gegenstand.</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b/>
              </w:rPr>
            </w:pPr>
            <w:r w:rsidRPr="00E93ED8">
              <w:t xml:space="preserve">After taking into account litigation provisions, </w:t>
            </w:r>
            <w:r w:rsidRPr="003434E6">
              <w:t xml:space="preserve">the Group </w:t>
            </w:r>
            <w:r w:rsidRPr="00E93ED8">
              <w:t>believe</w:t>
            </w:r>
            <w:r>
              <w:t>s</w:t>
            </w:r>
            <w:r w:rsidRPr="00E93ED8">
              <w:t xml:space="preserve">, based on currently available information and advice of counsel, that the results of its legal proceedings, in the aggregate, will not have a material adverse effect on </w:t>
            </w:r>
            <w:r>
              <w:t>its</w:t>
            </w:r>
            <w:r w:rsidRPr="00E93ED8">
              <w:t xml:space="preserve"> financial condition. However, in light of the inherent uncertainties of such proceedings, including those brought by regulators or other governmental authorities, the ultimate cost to </w:t>
            </w:r>
            <w:r>
              <w:t>the Group</w:t>
            </w:r>
            <w:r w:rsidRPr="00E93ED8">
              <w:t xml:space="preserve"> of resolving such proceedings may exceed current litigation provisions and any excess may be material to operating results for any particular period, depending, in part, upon the operating results for such period.</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E93ED8">
              <w:rPr>
                <w:lang w:val="de-DE"/>
              </w:rPr>
              <w:t xml:space="preserve">Unter Berücksichtigung von Rückstellungen für Rechtsstreitigkeiten </w:t>
            </w:r>
            <w:r>
              <w:rPr>
                <w:lang w:val="de-DE"/>
              </w:rPr>
              <w:t xml:space="preserve">geht die Gruppe </w:t>
            </w:r>
            <w:r w:rsidRPr="00E93ED8">
              <w:rPr>
                <w:lang w:val="de-DE"/>
              </w:rPr>
              <w:t xml:space="preserve">aufgrund der gegenwärtig verfügbaren Informationen und rechtlichen Auskünfte davon aus, dass der Ausgang der sie betreffenden Rechtsstreitigkeiten insgesamt keine wesentlichen Folgen für ihre Finanzlage hat. Allerdings könnten angesichts der mit diesen Verfahren (einschliesslich von Aufsichtsbehörden und anderen Behörden angestrengten Verfahren) einhergehenden Unsicherheit die endgültigen Kosten, die der </w:t>
            </w:r>
            <w:r>
              <w:rPr>
                <w:lang w:val="de-DE"/>
              </w:rPr>
              <w:t xml:space="preserve">Gruppe </w:t>
            </w:r>
            <w:r w:rsidRPr="00E93ED8">
              <w:rPr>
                <w:lang w:val="de-DE"/>
              </w:rPr>
              <w:t>durch den Ausgang dieser Verfahren entstehen, die aktuellen Rückstellungen für Rechtsstreitigkeiten übersteigen, und ein etwaiger, die Rückstellungen übersteigender Betrag könnte sich wesentlich auf das Geschäftsergebnis für eine bestimmte Zeitperiode auswirken; dies hängt teilweise vom Geschäftsergebnis für die jeweilige Periode ab.</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b/>
              </w:rPr>
            </w:pPr>
            <w:r>
              <w:t xml:space="preserve">See also subsection </w:t>
            </w:r>
            <w:r>
              <w:rPr>
                <w:lang w:val="en-US"/>
              </w:rPr>
              <w:t>"</w:t>
            </w:r>
            <w:r w:rsidRPr="00E93ED8">
              <w:rPr>
                <w:i/>
              </w:rPr>
              <w:t>Legal Proceedings</w:t>
            </w:r>
            <w:r>
              <w:rPr>
                <w:lang w:val="en-US"/>
              </w:rPr>
              <w:t>"</w:t>
            </w:r>
            <w:r w:rsidRPr="00E93ED8">
              <w:t xml:space="preserve"> in section </w:t>
            </w:r>
            <w:r>
              <w:t>"</w:t>
            </w:r>
            <w:r w:rsidRPr="00E93ED8">
              <w:rPr>
                <w:i/>
              </w:rPr>
              <w:t>Additional Information</w:t>
            </w:r>
            <w:r>
              <w:t>"</w:t>
            </w:r>
            <w:r w:rsidRPr="00E93ED8">
              <w:t xml:space="preserve"> below.</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E93ED8">
              <w:rPr>
                <w:lang w:val="de-DE"/>
              </w:rPr>
              <w:t>S</w:t>
            </w:r>
            <w:r>
              <w:rPr>
                <w:lang w:val="de-DE"/>
              </w:rPr>
              <w:t>iehe ferner den Unterabschnitt "</w:t>
            </w:r>
            <w:r w:rsidRPr="00E93ED8">
              <w:rPr>
                <w:lang w:val="de-DE"/>
              </w:rPr>
              <w:t>Rechtsstreitigkeiten</w:t>
            </w:r>
            <w:r>
              <w:rPr>
                <w:lang w:val="de-DE"/>
              </w:rPr>
              <w:t>"</w:t>
            </w:r>
            <w:r w:rsidRPr="00E93ED8">
              <w:rPr>
                <w:lang w:val="de-DE"/>
              </w:rPr>
              <w:t xml:space="preserve"> im nachfolgenden Abschnitt </w:t>
            </w:r>
            <w:r>
              <w:rPr>
                <w:lang w:val="de-DE"/>
              </w:rPr>
              <w:t>"</w:t>
            </w:r>
            <w:r w:rsidRPr="00E93ED8">
              <w:rPr>
                <w:lang w:val="de-DE"/>
              </w:rPr>
              <w:t>Zusätzliche Informationen</w:t>
            </w:r>
            <w:r>
              <w:rPr>
                <w:lang w:val="de-DE"/>
              </w:rPr>
              <w:t>"</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Research-related litigation</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Research-bezogene Rechtsstreitigkeiten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b/>
              </w:rPr>
            </w:pPr>
            <w:r w:rsidRPr="00E93ED8">
              <w:t>Putative class action lawsuits were filed against Credi</w:t>
            </w:r>
            <w:r>
              <w:t>t Suisse Securities (USA) LLC (</w:t>
            </w:r>
            <w:r>
              <w:rPr>
                <w:lang w:val="en-US"/>
              </w:rPr>
              <w:t>"</w:t>
            </w:r>
            <w:r w:rsidRPr="00E93ED8">
              <w:rPr>
                <w:b/>
              </w:rPr>
              <w:t>CSS LLC</w:t>
            </w:r>
            <w:r>
              <w:rPr>
                <w:lang w:val="en-US"/>
              </w:rPr>
              <w:t>"</w:t>
            </w:r>
            <w:r w:rsidRPr="00E93ED8">
              <w:t>) in the wake of publicity surrounding the 2002 industry-wide governmental and regulatory investigations into research analyst practices, with I</w:t>
            </w:r>
            <w:r w:rsidRPr="00E93ED8">
              <w:rPr>
                <w:i/>
              </w:rPr>
              <w:t>n re Credit Suisse – AOL Securities Litigation</w:t>
            </w:r>
            <w:r w:rsidRPr="00E93ED8">
              <w:t xml:space="preserve"> filed in the U</w:t>
            </w:r>
            <w:r>
              <w:t>.</w:t>
            </w:r>
            <w:r w:rsidRPr="00E93ED8">
              <w:t>S</w:t>
            </w:r>
            <w:r>
              <w:t>.</w:t>
            </w:r>
            <w:r w:rsidRPr="00E93ED8">
              <w:t xml:space="preserve"> District Court for the District of Massachusetts, being the remaining outstanding matter. The case was brought on behalf of a class of purchasers of common shares of the former AOL Time Warner Inc. (</w:t>
            </w:r>
            <w:r w:rsidRPr="000B6820">
              <w:t>AOL</w:t>
            </w:r>
            <w:r w:rsidRPr="00E93ED8">
              <w:t>) who have alleged that CSS LLC’s equity research coverage of AOL between January 2001 and July 2002 was false and misleading. The second amended complaint in this action asserted federal securities fraud and control person liability claims against CSS LLC and certain affiliates and former employees of CSS LLC. The plaintiffs estimated damages of approximately USD 3.9 billion. On 13 January 2012, the district court granted summary judgment in favour of the defendants upon its determination to preclude a plaintiff expert witness. The plaintiffs appealed the summary judgment decision and oral argument on the appeal was held on 6 March 2013.</w:t>
            </w:r>
            <w:r>
              <w:t xml:space="preserve"> </w:t>
            </w:r>
            <w:r w:rsidRPr="006527EC">
              <w:t xml:space="preserve">On </w:t>
            </w:r>
            <w:r>
              <w:t>14 May</w:t>
            </w:r>
            <w:r w:rsidRPr="006527EC">
              <w:t xml:space="preserve"> 2014, the circuit court affirmed the grant of summary judgment. The plaintiffs then moved for rehearing and rehearing en banc. Subsequently, the circuit court denied the motion for rehearing and  rehearing en banc, and therefore this case is now </w:t>
            </w:r>
            <w:r>
              <w:t>concluded.</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9B1798">
              <w:rPr>
                <w:lang w:val="de-DE"/>
              </w:rPr>
              <w:t xml:space="preserve">Nach den branchenweiten behördlichen und regulatorischen Untersuchungen der Praktiken von Research-Analysten im Jahr 2002 und der damit einhergehenden medialen Aufmerksamkeit wurden sog. putative Sammelklagen gegen die Credit Suisse Securities (USA) LLC </w:t>
            </w:r>
            <w:r w:rsidRPr="009B1798">
              <w:rPr>
                <w:lang w:val="de-CH"/>
              </w:rPr>
              <w:t>(</w:t>
            </w:r>
            <w:r>
              <w:rPr>
                <w:lang w:val="de-CH"/>
              </w:rPr>
              <w:t>"</w:t>
            </w:r>
            <w:r w:rsidRPr="009B1798">
              <w:rPr>
                <w:lang w:val="de-CH"/>
              </w:rPr>
              <w:t>CSS LLC</w:t>
            </w:r>
            <w:r>
              <w:rPr>
                <w:lang w:val="de-CH"/>
              </w:rPr>
              <w:t>"</w:t>
            </w:r>
            <w:r w:rsidRPr="009B1798">
              <w:rPr>
                <w:lang w:val="de-DE"/>
              </w:rPr>
              <w:t xml:space="preserve">) eingereicht, wobei die Klage </w:t>
            </w:r>
            <w:r w:rsidRPr="009B1798">
              <w:rPr>
                <w:i/>
                <w:lang w:val="de-DE"/>
              </w:rPr>
              <w:t>In</w:t>
            </w:r>
            <w:r w:rsidRPr="009B1798">
              <w:rPr>
                <w:lang w:val="de-DE"/>
              </w:rPr>
              <w:t xml:space="preserve"> </w:t>
            </w:r>
            <w:r w:rsidRPr="009B1798">
              <w:rPr>
                <w:i/>
                <w:lang w:val="de-DE"/>
              </w:rPr>
              <w:t xml:space="preserve">re Credit Suisse – AOL Securities, </w:t>
            </w:r>
            <w:r w:rsidRPr="009B1798">
              <w:rPr>
                <w:lang w:val="de-DE"/>
              </w:rPr>
              <w:t>die beim U.S. District Court for the District of Massachusetts eingereicht wurde, die letzte ausstehende Angelegenheit darstellt. Diese Klage wurde im Namen einer Gruppe von Käufern von Stammaktien von AOL Time Warner Inc. (</w:t>
            </w:r>
            <w:r>
              <w:rPr>
                <w:lang w:val="de-DE"/>
              </w:rPr>
              <w:t>"</w:t>
            </w:r>
            <w:r w:rsidRPr="009B1798">
              <w:rPr>
                <w:lang w:val="de-DE"/>
              </w:rPr>
              <w:t>AOL</w:t>
            </w:r>
            <w:r>
              <w:rPr>
                <w:lang w:val="de-DE"/>
              </w:rPr>
              <w:t>"</w:t>
            </w:r>
            <w:r w:rsidRPr="009B1798">
              <w:rPr>
                <w:lang w:val="de-DE"/>
              </w:rPr>
              <w:t>) eingereicht. Die Kläger behaupteten, dass die von Januar 2001 bis Juli 2002 durch die CSS LLC über AOL erstellten Aktienanalysen falsch und irreführend waren. In der zweiten, revidierten Klage in diesem Verfahren wurden Wertpapierbetrug nach US-Bundesrecht und auf Kontrollpersonen bezogene Haftungsansprüche gegen die CSS LLC und bestimmte verbundene Gesellschaften sowie ehemalige Mitarbeiter der CSS LLC geltend gemacht. Die Kläger bezifferten den Schaden auf etwa USD 3,9 Mrd. Am 13. Januar 2012 liess der District Court eine summarische Entscheidung zugunsten der Beklagten zu, nachdem es den Ausschluss eines sachverständigen Zeugen der Kläger beschlossen hatte. Die Kläger legten Berufung gegen die summarische Entscheidung ein und die mündliche Verhandlung der Berufung fand am 6. März 2013 statt. Am 14. Mai 2014 bestätigte der Circuit Court die Zulassung der summarischen Entscheidung. Die Kläger stellten daraufhin einen Antrag auf erneute Verhandlung und Anhörung durch sämtliche Richter (</w:t>
            </w:r>
            <w:r w:rsidRPr="009B1798">
              <w:rPr>
                <w:i/>
                <w:lang w:val="de-DE"/>
              </w:rPr>
              <w:t>rehearing en banc</w:t>
            </w:r>
            <w:r w:rsidRPr="009B1798">
              <w:rPr>
                <w:lang w:val="de-DE"/>
              </w:rPr>
              <w:t>). Dieser wurde jedoch durch den Circuit Court abgelehnt. Dieser Fall ist somit abgeschlossen</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Enron-related litigation</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Enron-bezogene Rechtsstreitigkeiten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b/>
              </w:rPr>
            </w:pPr>
            <w:r w:rsidRPr="00E93ED8">
              <w:t xml:space="preserve">Two Enron-related actions remain pending against CSS LLC and certain of its affiliates, both in the U.S. District Court for the Southern District of Texas. In these actions, the plaintiffs assert they relied on Enron’s financial statements, and seek to hold the defendants responsible for any inaccuracies in Enron’s financial statements. In Connecticut Resources Recovery Authority v. Lay, et al., the plaintiff seeks to recover from multiple defendants, pursuant to the Connecticut Unfair Trade Practices Act and Connecticut state common law, approximately USD 130 million to USD 180 million in losses it allegedly suffered in a business transaction it entered into with Enron. A motion to dismiss is pending. In </w:t>
            </w:r>
            <w:r w:rsidRPr="00E93ED8">
              <w:rPr>
                <w:i/>
              </w:rPr>
              <w:t>Silvercreek Management Inc. v. Citigroup, Inc., et al.</w:t>
            </w:r>
            <w:r w:rsidRPr="00E93ED8">
              <w:t>, the plaintiff seeks to assert federal and state law claims relating to its alleged USD 280 million in losses relating to its Enron investments. A motion to dismiss is pending.</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E93ED8">
              <w:rPr>
                <w:lang w:val="de-DE"/>
              </w:rPr>
              <w:t xml:space="preserve">Zwei Enron-bezogene Klagen gegen die CSS LLC und einige mit ihr verbundene Unternehmen sind weiterhin beim U.S. District Court for the Southern District of Texas anhängig. In diesen Fällen bringen die Kläger vor, dass sie sich auf die Jahresabschlüsse der Enron verlassen hätten, und versuchen, die Beklagten für Fehler in diesen Abschlüssen verantwortlich zu machen. Im Fall </w:t>
            </w:r>
            <w:r w:rsidRPr="00E93ED8">
              <w:rPr>
                <w:i/>
                <w:lang w:val="de-DE"/>
              </w:rPr>
              <w:t>Connecticut Resources Recovery Authority v. Lay, et al.</w:t>
            </w:r>
            <w:r w:rsidRPr="00E93ED8">
              <w:rPr>
                <w:lang w:val="de-DE"/>
              </w:rPr>
              <w:t xml:space="preserve"> fordert der Kläger von mehreren Beklagten nach dem Gesetz von Connecticut gegen unfaire Handelspraktiken (</w:t>
            </w:r>
            <w:r>
              <w:rPr>
                <w:lang w:val="de-DE"/>
              </w:rPr>
              <w:t>"</w:t>
            </w:r>
            <w:r w:rsidRPr="00E93ED8">
              <w:rPr>
                <w:lang w:val="de-DE"/>
              </w:rPr>
              <w:t>Connecticut Unfair Trade Practices Act</w:t>
            </w:r>
            <w:r>
              <w:rPr>
                <w:lang w:val="de-DE"/>
              </w:rPr>
              <w:t>"</w:t>
            </w:r>
            <w:r w:rsidRPr="00E93ED8">
              <w:rPr>
                <w:lang w:val="de-DE"/>
              </w:rPr>
              <w:t xml:space="preserve">) und nach anderen Gesetzen des US-Bundesstaates Connecticut Schadensersatz in Höhe von ca. USD 130 Mio. bis USD 180 Mio. für angeblich durch in einem mit Enron abgeschlossenen Geschäft erlittene Verluste. Ein Antrag auf Abweisung der Klage ist anhängig. In dem Fall </w:t>
            </w:r>
            <w:r w:rsidRPr="00E93ED8">
              <w:rPr>
                <w:i/>
                <w:lang w:val="de-DE"/>
              </w:rPr>
              <w:t>Silvercreek Management Inc. v. Citigroup, Inc., et al.</w:t>
            </w:r>
            <w:r w:rsidRPr="00E93ED8">
              <w:rPr>
                <w:lang w:val="de-DE"/>
              </w:rPr>
              <w:t xml:space="preserve"> versucht der Kläger im Rahmen bundes- und einzelstaatlicher Gesetze Forderungen im Hinblick auf seinen angeblichen Verlust aus Anlagen in Enron in Höhe von USD 280 Mio. geltend zu machen. Ein Antrag auf Abweisung ist anhängig.</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Mortgage-related matters</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Hypotheken-bezogene Verfahren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b/>
              </w:rPr>
            </w:pPr>
            <w:r>
              <w:t xml:space="preserve">Various financial institutions, including </w:t>
            </w:r>
            <w:r w:rsidRPr="00E93ED8">
              <w:t>CSS LLC and certain of its affiliates</w:t>
            </w:r>
            <w:r>
              <w:t>,</w:t>
            </w:r>
            <w:r w:rsidRPr="00E93ED8">
              <w:t xml:space="preserve"> have received requests for information from certain regulators and/or government entities</w:t>
            </w:r>
            <w:r>
              <w:t>, including several members of the RMBS Working Group of the U.S. Financial Fraud Enforcement Task Force,</w:t>
            </w:r>
            <w:r w:rsidRPr="00E93ED8">
              <w:t xml:space="preserve"> regarding the origination, purchase, securitisation</w:t>
            </w:r>
            <w:r>
              <w:t>,</w:t>
            </w:r>
            <w:r w:rsidRPr="00E93ED8">
              <w:t xml:space="preserve"> servicing </w:t>
            </w:r>
            <w:r>
              <w:t xml:space="preserve">and trading </w:t>
            </w:r>
            <w:r w:rsidRPr="00E93ED8">
              <w:t xml:space="preserve">of subprime and non-subprime residential </w:t>
            </w:r>
            <w:r>
              <w:t xml:space="preserve">and commercial </w:t>
            </w:r>
            <w:r w:rsidRPr="00E93ED8">
              <w:t>mortgages and related issues. CSS LLC and its affiliates are cooperating with such requests.</w:t>
            </w:r>
          </w:p>
        </w:tc>
        <w:tc>
          <w:tcPr>
            <w:tcW w:w="2501" w:type="pct"/>
            <w:gridSpan w:val="8"/>
            <w:tcBorders>
              <w:left w:val="single" w:sz="4" w:space="0" w:color="auto"/>
            </w:tcBorders>
            <w:shd w:val="clear" w:color="auto" w:fill="auto"/>
          </w:tcPr>
          <w:p w:rsidR="004C1EBA" w:rsidRPr="00B968D9" w:rsidP="004C1EBA">
            <w:pPr>
              <w:pStyle w:val="csbody00"/>
              <w:rPr>
                <w:lang w:val="de-DE"/>
              </w:rPr>
            </w:pPr>
            <w:r w:rsidRPr="00B301D5">
              <w:rPr>
                <w:lang w:val="de-DE"/>
              </w:rPr>
              <w:t>Verschiedene Finanzinstitute, unter anderem auch die CSS LLC und einige mit ihr verbundene Unternehmen, erhielten Informations</w:t>
            </w:r>
            <w:r w:rsidRPr="00B301D5">
              <w:rPr>
                <w:lang w:val="de-DE"/>
              </w:rPr>
              <w:softHyphen/>
              <w:t>anfragen von bestimmten Aufsichtsbehörden und/oder staatlichen Stellen, unter anderem auch von mehreren Mitgliedern der RMBS-Arbeitsgruppe der U.S. Financial Fraud Enforcement Task Force, bezüglich Ausreichung, Kauf, Verbriefung, Servicing von und Handel mit Subprime- oder Nicht-Subprime-Wohn</w:t>
            </w:r>
            <w:r>
              <w:rPr>
                <w:lang w:val="de-DE"/>
              </w:rPr>
              <w:t>- und Geschäfts</w:t>
            </w:r>
            <w:r w:rsidRPr="00B301D5">
              <w:rPr>
                <w:lang w:val="de-DE"/>
              </w:rPr>
              <w:t>hypotheken und ähnlichen Angelegenheiten. Die CSS LLC und mit ihr verbundene Unternehmen haben bei allen Anfragen kooperiert</w:t>
            </w:r>
            <w:r>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Following an investigation, on 20 November 2012, the New York Attorney General, on behalf of the State of New York, filed a civil action in the Supreme Court for the State of New York, New York County (</w:t>
            </w:r>
            <w:r>
              <w:t>"</w:t>
            </w:r>
            <w:r w:rsidRPr="00E93ED8">
              <w:rPr>
                <w:b/>
              </w:rPr>
              <w:t>SCNY</w:t>
            </w:r>
            <w:r>
              <w:rPr>
                <w:lang w:val="en-US"/>
              </w:rPr>
              <w:t>"</w:t>
            </w:r>
            <w:r w:rsidRPr="00E93ED8">
              <w:t>) against CSS LLC and affiliated entities in their roles as issuer, sponsor, depositor and/or underwriter of RMBS transactions prior to 2008. The action, which references 64 RMBS issued, sponsored, deposited and underwritten by CSS LLC and its affiliates in 2006 and 2007, alleges that CSS LLC and its affiliates misled investors regarding the due diligence and quality control performed on the mortgage loans underlying the RMBS at issue, and seeks an unspecified amount of damages. On 18 December 2013, the New Jersey Attorney General, on behalf of the State of New Jersey</w:t>
            </w:r>
            <w:r>
              <w:t xml:space="preserve"> ("</w:t>
            </w:r>
            <w:r>
              <w:rPr>
                <w:b/>
              </w:rPr>
              <w:t>NJAG</w:t>
            </w:r>
            <w:r>
              <w:t>"</w:t>
            </w:r>
            <w:r w:rsidRPr="00E93ED8">
              <w:t>), filed a civil action in the Superior Court of New Jersey, Chancery Division, Mercer County</w:t>
            </w:r>
            <w:r>
              <w:t xml:space="preserve"> ("</w:t>
            </w:r>
            <w:r w:rsidRPr="00E93ED8">
              <w:rPr>
                <w:b/>
              </w:rPr>
              <w:t>SCN</w:t>
            </w:r>
            <w:r>
              <w:rPr>
                <w:b/>
              </w:rPr>
              <w:t>J</w:t>
            </w:r>
            <w:r>
              <w:t>"</w:t>
            </w:r>
            <w:r w:rsidRPr="00E93ED8">
              <w:t xml:space="preserve">), against CSS LLC and affiliated entities in their roles as issuer, sponsor, depositor and/or underwriter of RMBS transactions prior to 2008. The action, which references 13 RMBS issued, sponsored, deposited and underwritten by CSS LLC and its affiliates in 2006 and 2007, alleges that CSS LLC and its affiliates misled investors and engaged in fraud or deceit in connection with the offer and sale of RMBS, and seeks an unspecified amount of damages. </w:t>
            </w:r>
            <w:r>
              <w:t>On 21</w:t>
            </w:r>
            <w:r w:rsidRPr="006527EC">
              <w:t xml:space="preserve"> August 2014, the S</w:t>
            </w:r>
            <w:r>
              <w:t>CN</w:t>
            </w:r>
            <w:r w:rsidRPr="006527EC">
              <w:t>J dismissed without prejudice the action brought against CSS LLC and it</w:t>
            </w:r>
            <w:r>
              <w:t>s affiliates by the NJAG. On 4</w:t>
            </w:r>
            <w:r w:rsidRPr="006527EC">
              <w:t xml:space="preserve"> September  2014, the NJAG filed an amended complaint against CSS LLC and its affiliates, asserting additional allegations but not expanding the number of claims or RMBS referenced in</w:t>
            </w:r>
            <w:r>
              <w:t xml:space="preserve"> the original complaint. On 16</w:t>
            </w:r>
            <w:r w:rsidRPr="006527EC">
              <w:t xml:space="preserve"> September 2014, the Commonwealth of Virginia (</w:t>
            </w:r>
            <w:r>
              <w:t>"</w:t>
            </w:r>
            <w:r w:rsidRPr="00EF4BAA">
              <w:rPr>
                <w:b/>
              </w:rPr>
              <w:t>Commonwealth</w:t>
            </w:r>
            <w:r>
              <w:t>"</w:t>
            </w:r>
            <w:r w:rsidRPr="006527EC">
              <w:t>), on behalf of the Virginia Retirement System, filed an action against CSS LLC and other financial institutions in Virginia state court relating to an unstated amount of RMBS at issue in connection with losses allegedly incurred by the Vir</w:t>
            </w:r>
            <w:r>
              <w:t>ginia Retirement System. On 16</w:t>
            </w:r>
            <w:r w:rsidRPr="006527EC">
              <w:t xml:space="preserve"> October 2014, the Commonwealth’s claims against CSS LLC and other financial institutions based on offerings issued by affiliates of Countrywide Securities Corporation were removed to the U</w:t>
            </w:r>
            <w:r>
              <w:t>.</w:t>
            </w:r>
            <w:r w:rsidRPr="006527EC">
              <w:t>S</w:t>
            </w:r>
            <w:r>
              <w:t>.</w:t>
            </w:r>
            <w:r w:rsidRPr="006527EC">
              <w:t xml:space="preserve"> District Court for the Eastern District of Virginia. The Commonwealth’s other claims against CSS LLC and other financial institutions remain pending in Virginia state court</w:t>
            </w:r>
            <w:r>
              <w:t>. All</w:t>
            </w:r>
            <w:r w:rsidRPr="00E93ED8">
              <w:t xml:space="preserve"> actions are at early procedural points.</w:t>
            </w:r>
          </w:p>
        </w:tc>
        <w:tc>
          <w:tcPr>
            <w:tcW w:w="2501" w:type="pct"/>
            <w:gridSpan w:val="8"/>
            <w:tcBorders>
              <w:left w:val="single" w:sz="4" w:space="0" w:color="auto"/>
            </w:tcBorders>
            <w:shd w:val="clear" w:color="auto" w:fill="auto"/>
          </w:tcPr>
          <w:p w:rsidR="004C1EBA" w:rsidRPr="00B968D9" w:rsidP="004C1EBA">
            <w:pPr>
              <w:pStyle w:val="csbody00"/>
              <w:rPr>
                <w:lang w:val="de-DE"/>
              </w:rPr>
            </w:pPr>
            <w:r w:rsidRPr="00B301D5">
              <w:rPr>
                <w:lang w:val="de-DE"/>
              </w:rPr>
              <w:t>Im Anschluss an eine Untersuchung hat der New Yorker Generalstaatsanwalt am 20. November 2012 im Namen des Bundesstaates New York eine Zivilklage vor dem Supreme Court for the State of New York, New York County, (</w:t>
            </w:r>
            <w:r>
              <w:rPr>
                <w:lang w:val="de-DE"/>
              </w:rPr>
              <w:t>"</w:t>
            </w:r>
            <w:r w:rsidRPr="00B301D5">
              <w:rPr>
                <w:b/>
                <w:lang w:val="de-DE"/>
              </w:rPr>
              <w:t>SCNY</w:t>
            </w:r>
            <w:r>
              <w:rPr>
                <w:lang w:val="de-DE"/>
              </w:rPr>
              <w:t>"</w:t>
            </w:r>
            <w:r w:rsidRPr="00B301D5">
              <w:rPr>
                <w:lang w:val="de-DE"/>
              </w:rPr>
              <w:t>) gegen die CSS LLC und mit ihr verbundene Unternehmen im Zusammenhang mit ihrer Funktion als Emittent, Sponsor, Einleger und Emissionshaus von vor dem Jahr 2008 durchgeführten RMBS- (</w:t>
            </w:r>
            <w:r w:rsidRPr="00B301D5">
              <w:rPr>
                <w:i/>
                <w:lang w:val="de-DE"/>
              </w:rPr>
              <w:t>Residential Mortgage Backed Securitisation)</w:t>
            </w:r>
            <w:r w:rsidRPr="00B301D5">
              <w:rPr>
                <w:lang w:val="de-DE"/>
              </w:rPr>
              <w:t xml:space="preserve"> Transaktionen erhoben. Die Klage, die sich auf 64 in den Jahren 2006 und 2007 begebene, gesponsorte, eingelegte und übernommene RMBS-Transaktionen bezieht, wirft der CSS LLC und den mit ihr verbundenen Unternehmen vor, Anleger in Bezug auf die für die den fraglichen RMBS zugrundeliegenden Hypothekendarlehen vorgenommene Due-Diligence-Prüfung und Qualitätskontrolle getäuscht zu haben. Die Klage strebt eine Entschädigung der Anleger in nicht bezifferter Höhe an. Am 18. Dezember 2013 hat der Generalstaatsanwalt von New Jersey (</w:t>
            </w:r>
            <w:r w:rsidRPr="00B301D5">
              <w:rPr>
                <w:i/>
                <w:lang w:val="de-DE"/>
              </w:rPr>
              <w:t>New Jersey Attorney General</w:t>
            </w:r>
            <w:r w:rsidRPr="00B301D5">
              <w:rPr>
                <w:lang w:val="de-DE"/>
              </w:rPr>
              <w:t xml:space="preserve">, </w:t>
            </w:r>
            <w:r>
              <w:rPr>
                <w:lang w:val="de-DE"/>
              </w:rPr>
              <w:t>"</w:t>
            </w:r>
            <w:r w:rsidRPr="00B301D5">
              <w:rPr>
                <w:b/>
                <w:lang w:val="de-DE"/>
              </w:rPr>
              <w:t>NJAG</w:t>
            </w:r>
            <w:r>
              <w:rPr>
                <w:lang w:val="de-DE"/>
              </w:rPr>
              <w:t>"</w:t>
            </w:r>
            <w:r w:rsidRPr="00B301D5">
              <w:rPr>
                <w:lang w:val="de-DE"/>
              </w:rPr>
              <w:t>) im Namen des Bundesstaates New Jersey eine Zivilklage vor dem Superior Court of New Jersey (</w:t>
            </w:r>
            <w:r>
              <w:rPr>
                <w:lang w:val="de-DE"/>
              </w:rPr>
              <w:t>"</w:t>
            </w:r>
            <w:r w:rsidRPr="00B301D5">
              <w:rPr>
                <w:b/>
                <w:lang w:val="de-DE"/>
              </w:rPr>
              <w:t>SCNJ</w:t>
            </w:r>
            <w:r>
              <w:rPr>
                <w:lang w:val="de-DE"/>
              </w:rPr>
              <w:t>"</w:t>
            </w:r>
            <w:r w:rsidRPr="00B301D5">
              <w:rPr>
                <w:lang w:val="de-DE"/>
              </w:rPr>
              <w:t>), Chancery Division, Mercer County, gegen die CSS LLC und mit ihr verbundene Unternehmen in ihrer Funktion als Emittent, Sponsor, Einleger und/oder Zeichner von vor dem Jahr 2008 durchgeführten RMBS-Transaktionen erhoben. Die Klage, die sich auf 13 in den Jahren 2006 und 2007 begebene, gesponsorte, eingelegte und übernommene RMBS-Transaktionen bezieht, wirft der CSS LLC und den mit ihr verbundenen Unternehmen vor, im Zusammenhang mit dem Angebot und Verkauf von RMBS Anleger irregeführt und getäuscht und betrogen zu haben. Es wird Schadensersatz in nicht spezifizierter Höhe geltend gemacht. Am 21. August 2014 wies der SCNJ die Klage des NJAG gegen die CSS LLC und die mit ihr verbundenen Unternehmen endgültig ab. Am 4. September 2014 strengte der NJAG eine erneute, erweiterte Klage gegen die CSS LLC und die mit ihr verbundenen Unternehmen an und machte zusätzliche Argumente geltend, ohne jedoch die Anzahl der Schadenfälle oder RMBS im Vergleich zur ursprünglichen Klage zu verändern. Am 16. September 2014 reichte das Commonwealth of Virginia (</w:t>
            </w:r>
            <w:r>
              <w:rPr>
                <w:lang w:val="de-DE"/>
              </w:rPr>
              <w:t>"</w:t>
            </w:r>
            <w:r w:rsidRPr="00B301D5">
              <w:rPr>
                <w:b/>
                <w:lang w:val="de-DE"/>
              </w:rPr>
              <w:t>Commonwealth</w:t>
            </w:r>
            <w:r>
              <w:rPr>
                <w:lang w:val="de-DE"/>
              </w:rPr>
              <w:t>"</w:t>
            </w:r>
            <w:r w:rsidRPr="00B301D5">
              <w:rPr>
                <w:lang w:val="de-DE"/>
              </w:rPr>
              <w:t>) im Namen des Virginia Retirement System Klage gegen die CSS LLC und andere Finanzinstitute beim Virginia State Court ein. Diese Klage bezieht sich auf Verluste, die dem Virginia Retirement System angeblich im Zusammenhang mit den fraglichen RMBS entstanden sind, wobei die Höhe der Ansprüche nicht beziffert wurde. Am 16. Oktober 2014 wurden die im Zusammenhang mit von verbundenen Unternehmen der Countrywide Securities Corporation begebenen Angeboten bestehenden Forderungen des Commonwealth gegenüber der CSS LLC und anderen Finanzinstituten an den U.S. District Court for the Eastern District of Virginia übertragen. Die übrigen Klagen des Commonwealth gegenüber der CSS LLC und anderen Finanzinstituten sind nach wie vor beim Virginia State Court anhängig. Sämtliche Rechtsstreitigkeiten befinden sich in einem frühen Verfahrensstadium</w:t>
            </w:r>
            <w:r w:rsidRPr="00B968D9">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 xml:space="preserve">CSS LLC and/or certain of its affiliates have also been named as defendants in various civil litigation matters related to their roles as issuer, sponsor, depositor, underwriter and/or servicer of RMBS transactions. These cases include </w:t>
            </w:r>
            <w:r>
              <w:t xml:space="preserve">a </w:t>
            </w:r>
            <w:r w:rsidRPr="00E93ED8">
              <w:t>class action lawsuit</w:t>
            </w:r>
            <w:r>
              <w:t>,</w:t>
            </w:r>
            <w:r w:rsidRPr="00E93ED8">
              <w:t xml:space="preserve"> actions by individual investors in RMBS, actions by monoline insurance companies that guaranteed payments of principal and interest for certain RMBS and repurchase actions by RMBS trusts</w:t>
            </w:r>
            <w:r>
              <w:t>, trustees and/or investors</w:t>
            </w:r>
            <w:r w:rsidRPr="00E93ED8">
              <w:t>. Although the allegations vary by lawsuit, plaintiffs in the class action and individual investor actions generally allege that the offering documents of securities issued by various RMBS securitisation trusts contained material misrepresentations and omissions, including statements regarding the underwriting standards pursuant to which the underlying mortgage loans were issued; monoline insurers allege that loans that collateralise RMBS they insured breached representations and warranties made with respect to the loans at the time of securitisation</w:t>
            </w:r>
            <w:r>
              <w:t xml:space="preserve"> and that they were fraudulently induced to enter into the transactions</w:t>
            </w:r>
            <w:r w:rsidRPr="00E93ED8">
              <w:t xml:space="preserve">; and repurchase action plaintiffs </w:t>
            </w:r>
            <w:r>
              <w:t xml:space="preserve">generally </w:t>
            </w:r>
            <w:r w:rsidRPr="00E93ED8">
              <w:t>allege breached representations and warranties in respect of mortgage loans and failure to repurchase such mortgage loans as required under the applicable agreements.</w:t>
            </w:r>
          </w:p>
        </w:tc>
        <w:tc>
          <w:tcPr>
            <w:tcW w:w="2501" w:type="pct"/>
            <w:gridSpan w:val="8"/>
            <w:tcBorders>
              <w:left w:val="single" w:sz="4" w:space="0" w:color="auto"/>
            </w:tcBorders>
            <w:shd w:val="clear" w:color="auto" w:fill="auto"/>
          </w:tcPr>
          <w:p w:rsidR="004C1EBA" w:rsidRPr="00B968D9" w:rsidP="004C1EBA">
            <w:pPr>
              <w:pStyle w:val="csbody00"/>
              <w:rPr>
                <w:lang w:val="de-DE"/>
              </w:rPr>
            </w:pPr>
            <w:r w:rsidRPr="00B301D5">
              <w:rPr>
                <w:lang w:val="de-DE"/>
              </w:rPr>
              <w:t>Die CSS LLC und/oder einige mit ihr verbundene Unternehmen wurden zudem in verschiedenen Zivilprozessen im Zusammenhang mit ihrer Funktion als Emittent, Sponsor, Einleger,</w:t>
            </w:r>
            <w:r w:rsidRPr="00B301D5">
              <w:rPr>
                <w:lang w:val="de-DE"/>
              </w:rPr>
              <w:t xml:space="preserve"> </w:t>
            </w:r>
            <w:r w:rsidRPr="00B301D5">
              <w:rPr>
                <w:lang w:val="de-DE"/>
              </w:rPr>
              <w:t xml:space="preserve">Emissionshaus und/oder Servicer von RMBS-Transaktionen aufgeführt. Bei diesen Fällen handelt es sich unter anderem um eine Sammelklage, Klagen einzelner Anleger in RMBS, Klagen von Monoline-Versicherern, welche die Tilgungs- und Zinszahlungen bestimmter RMBS garantiert hatten, sowie Rückkaufsklagen von RMBS-Trusts, -Trustees und/oder -Anlegern. Obwohl den einzelnen Klagen unterschiedliche Vorwürfe zugrundeliegen, erheben die Sammel- und die Einzelkläger grundsätzlich den Vorwurf, dass die Unterlagen zu den von verschiedenen RMBS-Verbriefungs-Trusts emittierten Wertpapieren wesentliche Falschdarstellungen und Auslassungen enthielten, wozu auch Aussagen zu den Zeichnungsbedingungen für die zugrundeliegenden Hypothekendarlehen gehören. Monoline-Versicherer behaupten, dass </w:t>
            </w:r>
            <w:r w:rsidRPr="00B301D5">
              <w:rPr>
                <w:lang w:val="de-CH"/>
              </w:rPr>
              <w:t>Kredite</w:t>
            </w:r>
            <w:r w:rsidRPr="00B301D5">
              <w:rPr>
                <w:lang w:val="de-DE"/>
              </w:rPr>
              <w:t xml:space="preserve"> zur Besicherung von ihrerseits versicherten RMBS gegen Zusagen und Garantien verstossen, die bei der Verbriefung bezüglich dieser </w:t>
            </w:r>
            <w:r w:rsidRPr="00B301D5">
              <w:rPr>
                <w:lang w:val="de-CH"/>
              </w:rPr>
              <w:t xml:space="preserve">Kredite </w:t>
            </w:r>
            <w:r w:rsidRPr="00B301D5">
              <w:rPr>
                <w:lang w:val="de-DE"/>
              </w:rPr>
              <w:t xml:space="preserve">gemacht wurden, und dass sie betrügerisch zum Abschluss dieser Transaktionen veranlasst wurden. Im Rahmen der Rückkaufsklagen erheben die Kläger grundsätzlich den Vorwurf von Verstössen gegen die Zusagen und Garantien im Hinblick auf </w:t>
            </w:r>
            <w:r w:rsidRPr="00B301D5">
              <w:rPr>
                <w:lang w:val="de-CH"/>
              </w:rPr>
              <w:t>Hypothekenkredite</w:t>
            </w:r>
            <w:r w:rsidRPr="00B301D5">
              <w:rPr>
                <w:lang w:val="de-DE"/>
              </w:rPr>
              <w:t xml:space="preserve"> sowie Weigerungen, die betreffenden </w:t>
            </w:r>
            <w:r w:rsidRPr="00B301D5">
              <w:rPr>
                <w:lang w:val="de-CH"/>
              </w:rPr>
              <w:t>Hypothekenkredite</w:t>
            </w:r>
            <w:r w:rsidRPr="00B301D5">
              <w:rPr>
                <w:lang w:val="de-DE"/>
              </w:rPr>
              <w:t xml:space="preserve"> wie in den diesbezüglichen Vereinbarungen festgelegt zurückzukaufen</w:t>
            </w:r>
            <w:r w:rsidRPr="00B968D9">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b/>
              </w:rPr>
            </w:pPr>
            <w:r w:rsidRPr="00E93ED8">
              <w:t xml:space="preserve">The amounts disclosed below do not reflect actual realised plaintiff losses to date or anticipated future litigation exposure. Rather, unless otherwise stated, these amounts reflect the original unpaid principal balance amounts as alleged in these actions and do not include any reduction in principal amounts since issuance. Further, amounts attributable to an </w:t>
            </w:r>
            <w:r>
              <w:t>"</w:t>
            </w:r>
            <w:r w:rsidRPr="00E93ED8">
              <w:t>operative pleading</w:t>
            </w:r>
            <w:r>
              <w:t>"</w:t>
            </w:r>
            <w:r w:rsidRPr="00E93ED8">
              <w:t xml:space="preserve"> for the individual investor actions are not altered for settlements, dismissals or other occurrences, if any, that may have caused the amounts to change subsequent to the operative pleading. In addition to the mortgage-related actions discussed below, a number of other entities have threatened to assert claims against CSS LLC and/or its affiliates in connection with various RMBS issuances, and CSS LLC and/or its affiliates have entered into agreements with some of those entities to toll the relevant statutes of limitations.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E93ED8">
              <w:rPr>
                <w:lang w:val="de-DE"/>
              </w:rPr>
              <w:t>Die unten aufgeführten Beträge entsprechen nicht den effektiv realisierten Verlusten der Kläger, die bis heute für Rechtsstreitigkeiten aufgelaufen sind oder erwartet werden. Soweit keine anderslautenden Angaben gemacht werden, spiegeln diese Beträge vielmehr die ursprünglich nicht gezahlten Kapitalbeträge wider, die in diesen Verfahren geltend gemacht werden, und enthalten keine Reduktionen der Kapitalbeträge seit der Ausgabe. Zudem werden Beträge, die einem klägerischen Schriftsatz (</w:t>
            </w:r>
            <w:r w:rsidRPr="00E93ED8">
              <w:rPr>
                <w:i/>
                <w:lang w:val="de-DE"/>
              </w:rPr>
              <w:t>operative pleading</w:t>
            </w:r>
            <w:r w:rsidRPr="00E93ED8">
              <w:rPr>
                <w:lang w:val="de-DE"/>
              </w:rPr>
              <w:t>) bei Einzelklagen zuzuweisen sind, nicht an etwaige Vergleiche, Abweisungen oder sonstige Ereignisse angepasst, die nach Einreichung des klägerischen Schriftsatzes unter Umständen zu Änderungen dieser Beträge geführt haben. Neben den nachstehend aufgeführten hypotheken-bezogenen Klagen haben einige weitere Gesellschaften der CSS LLC und/oder den mit ihr verbundenen Unternehmen im Zusammenhang mit verschiedenen RMBS-Emissionen mit Klagen gedroht. Die CSS LLC und/oder die mit ihr verbundenen Unternehmen haben mit einigen dieser Gesellschaften Vereinbarungen zur Hemmung der Verjährung getroffen.</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Class action litigations</w:t>
            </w:r>
          </w:p>
        </w:tc>
        <w:tc>
          <w:tcPr>
            <w:tcW w:w="2501" w:type="pct"/>
            <w:gridSpan w:val="8"/>
            <w:tcBorders>
              <w:left w:val="single" w:sz="4" w:space="0" w:color="auto"/>
            </w:tcBorders>
            <w:shd w:val="clear" w:color="auto" w:fill="auto"/>
          </w:tcPr>
          <w:p w:rsidR="004C1EBA" w:rsidRPr="00985AE1" w:rsidP="004C1EBA">
            <w:pPr>
              <w:pStyle w:val="csbody00"/>
              <w:rPr>
                <w:b/>
                <w:lang w:val="de-DE"/>
              </w:rPr>
            </w:pPr>
            <w:r w:rsidRPr="00985AE1">
              <w:rPr>
                <w:b/>
                <w:lang w:val="de-DE"/>
              </w:rPr>
              <w:t>Sammelklagen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In class actions and putative class actions against CSS LLC as an underwriter of other issuers’ RMBS offerings, CSS LLC generally has or had contractual rights to indemnification from the issuers. However, some of these issuers are now defunct, including affiliates of IndyMac Bancorp (</w:t>
            </w:r>
            <w:r>
              <w:t>"</w:t>
            </w:r>
            <w:r w:rsidRPr="00E93ED8">
              <w:rPr>
                <w:b/>
              </w:rPr>
              <w:t>IndyMac</w:t>
            </w:r>
            <w:r>
              <w:rPr>
                <w:lang w:val="en-US"/>
              </w:rPr>
              <w:t>"</w:t>
            </w:r>
            <w:r w:rsidRPr="00E93ED8">
              <w:t xml:space="preserve">). With respect to IndyMac, CSS LLC </w:t>
            </w:r>
            <w:r>
              <w:t>wa</w:t>
            </w:r>
            <w:r w:rsidRPr="00E93ED8">
              <w:t xml:space="preserve">s named as a defendant in a class action, </w:t>
            </w:r>
            <w:r w:rsidRPr="00E93ED8">
              <w:rPr>
                <w:i/>
              </w:rPr>
              <w:t>In re Indy</w:t>
            </w:r>
            <w:r>
              <w:rPr>
                <w:i/>
              </w:rPr>
              <w:t>-</w:t>
            </w:r>
            <w:r w:rsidRPr="00E93ED8">
              <w:rPr>
                <w:i/>
              </w:rPr>
              <w:t>Mac Mortgage-Backed Securities Litigation</w:t>
            </w:r>
            <w:r w:rsidRPr="00E93ED8">
              <w:t>, in the U.S. District Court for the Southern District of New York (</w:t>
            </w:r>
            <w:r>
              <w:t>"</w:t>
            </w:r>
            <w:r w:rsidRPr="00E93ED8">
              <w:rPr>
                <w:b/>
              </w:rPr>
              <w:t>SDNY</w:t>
            </w:r>
            <w:r>
              <w:t>"</w:t>
            </w:r>
            <w:r w:rsidRPr="00E93ED8">
              <w:t xml:space="preserve">), brought on behalf of purchasers of securities in various IndyMac RMBS offerings. </w:t>
            </w:r>
            <w:r w:rsidRPr="006527EC">
              <w:t>CSS LLC and five other underwriter defendants agreed to a settlement of the IndyMac class action for a total of USD 340 million. In an order dated 30 September 2014, the SDNY granted preliminary approval to the settlement and held a final approval heari</w:t>
            </w:r>
            <w:r>
              <w:t>ng on 3rd February 2015. On 23</w:t>
            </w:r>
            <w:r w:rsidRPr="006527EC">
              <w:t xml:space="preserve"> February 2015, the SDNY entered a final judgment and order of dismissal with prejudice, discontinuing the In re IndyMac Mortgage-Backed Securities Litigation.</w:t>
            </w:r>
            <w:r>
              <w:t xml:space="preserve"> </w:t>
            </w:r>
            <w:r w:rsidRPr="00E93ED8">
              <w:t xml:space="preserve">A further class action lawsuit pending in the SDNY against CSS LLC and certain affiliates and employees, </w:t>
            </w:r>
            <w:r w:rsidRPr="00E93ED8">
              <w:rPr>
                <w:i/>
              </w:rPr>
              <w:t>New Jersey Carpenters Health Fund v. Home Equity Mortgage Trust 2006-5</w:t>
            </w:r>
            <w:r w:rsidRPr="00E93ED8">
              <w:t xml:space="preserve">, relates to two RMBS offerings, totalling approximately USD 1.6 billion, sponsored and underwritten by the </w:t>
            </w:r>
            <w:r>
              <w:t>Group</w:t>
            </w:r>
            <w:r w:rsidRPr="00E93ED8">
              <w:t xml:space="preserve"> defendants. On 17 March 2014, the SDNY granted plaintiff’s motion for class certification for the second of the two RMBS offerings, having previously certified the class for purchasers of the first offering. </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236267">
              <w:rPr>
                <w:lang w:val="de-DE"/>
              </w:rPr>
              <w:t>Bei Sammelklagen und putativen Sammelklagen gegen die CSS LLC in ihrer Eigenschaft als Emissionshaus für RMBS-Angebote anderer Emittenten verfügt bzw. verfügte die CSS LLC in der Regel über vertraglich vereinbarte Schadensersatzansprüche gegenüber den betreffenden Emittenten. Einige dieser Emittenten bestehen allerdings inzwischen nicht mehr, so etwa mit IndyMac Bancorp (</w:t>
            </w:r>
            <w:r>
              <w:rPr>
                <w:lang w:val="de-DE"/>
              </w:rPr>
              <w:t>"</w:t>
            </w:r>
            <w:r w:rsidRPr="00236267">
              <w:rPr>
                <w:b/>
                <w:lang w:val="de-DE"/>
              </w:rPr>
              <w:t>IndyMac</w:t>
            </w:r>
            <w:r>
              <w:rPr>
                <w:lang w:val="de-DE"/>
              </w:rPr>
              <w:t>"</w:t>
            </w:r>
            <w:r w:rsidRPr="00236267">
              <w:rPr>
                <w:lang w:val="de-DE"/>
              </w:rPr>
              <w:t xml:space="preserve">) verbundene Gesellschaften. Im Zusammenhang mit IndyMac wurde die CSS LLC in einer Sammelklage, der vor dem U.S. District Court for the Southern District of New York ( </w:t>
            </w:r>
            <w:r>
              <w:rPr>
                <w:lang w:val="de-DE"/>
              </w:rPr>
              <w:t>"</w:t>
            </w:r>
            <w:r w:rsidRPr="00236267">
              <w:rPr>
                <w:b/>
                <w:lang w:val="de-DE"/>
              </w:rPr>
              <w:t>SDNY</w:t>
            </w:r>
            <w:r>
              <w:rPr>
                <w:lang w:val="de-DE"/>
              </w:rPr>
              <w:t>"</w:t>
            </w:r>
            <w:r w:rsidRPr="00236267">
              <w:rPr>
                <w:lang w:val="de-DE"/>
              </w:rPr>
              <w:t xml:space="preserve">) verhandelten Sammelklage </w:t>
            </w:r>
            <w:r w:rsidRPr="00236267">
              <w:rPr>
                <w:i/>
                <w:lang w:val="de-DE"/>
              </w:rPr>
              <w:t>In re Indy-Mac Mortgage-Backed Securities Litigation</w:t>
            </w:r>
            <w:r w:rsidRPr="00236267">
              <w:rPr>
                <w:lang w:val="de-DE"/>
              </w:rPr>
              <w:t xml:space="preserve"> , im Namen der Käufer verschiedener RMBS-Angebote von IndyMac als Beklagte aufgeführt. Die CSS LLC sowie fünf weitere beklagte Emissionshäuser stimmten einem Vergleich in Höhe von insgesamt USD 340 Mio. in der Indy-Mac-Sammelklage zu. Mit Verfügung vom 30. September 2014 erteilte der SDNY eine vorläufige Genehmigung für den Vergleich. Am 3. Februar 2015 hielt der SDNY eine Anhörung zur endgültigen Genehmigung ab. Am 23. Februar 2015 entschied der SDNY rechtskräftig auf Klageabweisung und beendete somit das Verfahren </w:t>
            </w:r>
            <w:r w:rsidRPr="00236267">
              <w:rPr>
                <w:i/>
                <w:lang w:val="de-DE"/>
              </w:rPr>
              <w:t>In re Indy-Mac Mortgage-Backed Securities</w:t>
            </w:r>
            <w:r w:rsidRPr="00236267">
              <w:rPr>
                <w:lang w:val="de-DE"/>
              </w:rPr>
              <w:t xml:space="preserve">. Eine weitere Sammelklage gegen die CSS LLC und bestimmte mit ihr verbundene Gesellschaften und Mitarbeiter, </w:t>
            </w:r>
            <w:r w:rsidRPr="00236267">
              <w:rPr>
                <w:i/>
                <w:lang w:val="de-DE"/>
              </w:rPr>
              <w:t>New Jersey Carpenters Health Fund v. Home Equity Mortgage Trust 2006-5</w:t>
            </w:r>
            <w:r w:rsidRPr="00236267">
              <w:rPr>
                <w:lang w:val="de-DE"/>
              </w:rPr>
              <w:t xml:space="preserve">, ist beim SDNY anhängig und bezieht sich auf zwei RMBS-Angebote in Höhe von insgesamt rund USD 1,6 Mrd., die von den </w:t>
            </w:r>
            <w:r>
              <w:rPr>
                <w:lang w:val="de-DE"/>
              </w:rPr>
              <w:t>Gruppe</w:t>
            </w:r>
            <w:r w:rsidRPr="00236267">
              <w:rPr>
                <w:lang w:val="de-DE"/>
              </w:rPr>
              <w:t>-Beklagten gesponsert und gezeichnet worden waren. Am 17. März 2014 gab das SDNY dem Antrag des Klägers auf Zulassung einer Sammelklage in Bezug auf das zweite RMBS-Angebot statt, nachdem zuvor eine Sammelklage von Käufern in Bezug auf das erste Angebot bestätigt worden war</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Individual Investor Actions</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Einzelklagen von Anlegern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CSS LLC and, in some instances, its affiliates, as an RMBS issuer, underwriter and/or other participant, and in some instances its employees, along with oth</w:t>
            </w:r>
            <w:r>
              <w:t xml:space="preserve">er defendants, are defendants in: </w:t>
            </w:r>
            <w:r w:rsidRPr="00E93ED8">
              <w:t>one action brought by the Federal Deposit Insurance Corporation (</w:t>
            </w:r>
            <w:r>
              <w:t>"</w:t>
            </w:r>
            <w:r w:rsidRPr="00E93ED8">
              <w:rPr>
                <w:b/>
              </w:rPr>
              <w:t>FDIC</w:t>
            </w:r>
            <w:r>
              <w:t>"</w:t>
            </w:r>
            <w:r w:rsidRPr="00E93ED8">
              <w:t>), as receiver for Citizens National Bank and Strategic Capital Bank in the SDNY, in which claims against CSS LLC and its affiliates relate to approximately USD 28 million of the RMBS at issue (approximately 20 per cent. of the USD 141 million at issue against all defendants in the operative pleading)</w:t>
            </w:r>
            <w:r w:rsidRPr="00E924A0">
              <w:t xml:space="preserve">: such claims were dismissed in their entirety on 24 March, 2015 by an SDNY order, which was appealed on 7 April, 2015 by the FDIC </w:t>
            </w:r>
            <w:r>
              <w:t>four</w:t>
            </w:r>
            <w:r w:rsidRPr="00E93ED8">
              <w:t xml:space="preserve"> actions brought by the FDIC, as receiver for Colonial Bank; one </w:t>
            </w:r>
            <w:r>
              <w:t xml:space="preserve">dismissed </w:t>
            </w:r>
            <w:r w:rsidRPr="00E93ED8">
              <w:t xml:space="preserve">action in the SDNY, </w:t>
            </w:r>
            <w:r>
              <w:t xml:space="preserve">which is now on appeal, </w:t>
            </w:r>
            <w:r w:rsidRPr="00E93ED8">
              <w:t>in which claims against CSS LLC relate to approximately USD 92 million of the RMBS at issue (approximately 23 per cent. of the USD 394 million at issue against all defendants in the operative pleading), one action in the Circuit Court of Montgomery County, Alabama, in which claims against CSS LLC and its affiliates relate to approximately USD 153 million of the RMBS at issue (approximately 49 per cent. of the USD 311 million at issue against all defendants in the operative pleading); and one action in the U</w:t>
            </w:r>
            <w:r>
              <w:t>.</w:t>
            </w:r>
            <w:r w:rsidRPr="00E93ED8">
              <w:t>S</w:t>
            </w:r>
            <w:r>
              <w:t>.</w:t>
            </w:r>
            <w:r w:rsidRPr="00E93ED8">
              <w:t xml:space="preserve"> District Court for the Central District of California, in which claims against CSS LLC relate to approximately USD 34 million of the RMBS at issue (approximately 12 per cent. of the USD 283 million at issue against all defendants in the operative pleading)</w:t>
            </w:r>
            <w:r>
              <w:t>, and one dismissed action in the U.S. District Court for the Central District of California, which is now on appeal, in which claims against CSS LLC relate to approximately USD 12 million of the RMBS at issue (approximately 5 per cent. of the USD 259 million at issue against all defendants in the operative pleading)</w:t>
            </w:r>
            <w:r w:rsidRPr="00E93ED8">
              <w:t xml:space="preserve"> </w:t>
            </w:r>
            <w:r>
              <w:t>four</w:t>
            </w:r>
            <w:r w:rsidRPr="00E93ED8">
              <w:t xml:space="preserve"> individual actions brought by the Federal Home Loan Banks of Seattle, San Francisco and Boston in various state and federal courts, in which claims against CSS LLC and its affiliates relate to approximately USD 249 million in the Seattle action, approximately USD </w:t>
            </w:r>
            <w:r>
              <w:t>1.7</w:t>
            </w:r>
            <w:r w:rsidRPr="00E93ED8">
              <w:t xml:space="preserve"> billion in the San Francisco actions (approximately 1</w:t>
            </w:r>
            <w:r>
              <w:t>8</w:t>
            </w:r>
            <w:r w:rsidRPr="00E93ED8">
              <w:t xml:space="preserve"> per cent. of the USD 9</w:t>
            </w:r>
            <w:r>
              <w:t>.5</w:t>
            </w:r>
            <w:r w:rsidRPr="00E93ED8">
              <w:t xml:space="preserve"> billion at issue against all defendants in the operative pleading), and USD 373 million in the Boston action (approximately 7 per cent. of the USD 5.7 billion at issue against all defendants in the operative pleading</w:t>
            </w:r>
            <w:r>
              <w:t>s</w:t>
            </w:r>
            <w:r w:rsidRPr="00E93ED8">
              <w:t xml:space="preserve">); two actions brought by Massachusetts Mutual Life Insurance Company in the U.S. District Court for the District of Massachusetts, in which claims against CSS LLC and its employees relate to approximately USD 107 million of the RMBS at issue (approximately 97 per cent. of the USD 110 million at issue against all defendants in the operative pleadings); one action brought by Watertown Savings Bank in the SCNY, in which claims against CSS LLC and its affiliates relate to an unstated amount of the RMBS at issue; and one action brought by the </w:t>
            </w:r>
            <w:r>
              <w:t>Texas County and District Retirement System in Texas</w:t>
            </w:r>
            <w:r w:rsidRPr="00E93ED8">
              <w:t xml:space="preserve"> state court, in which claims against CSS LLC relate to </w:t>
            </w:r>
            <w:r>
              <w:t>an unstated amount</w:t>
            </w:r>
            <w:r w:rsidRPr="00E93ED8">
              <w:t xml:space="preserve"> of the RMBS at issue</w:t>
            </w:r>
            <w:r>
              <w:t>. In addition, on 6</w:t>
            </w:r>
            <w:r w:rsidRPr="006527EC">
              <w:t xml:space="preserve"> February 2015, Tennessee Consolidated Retirement System filed an action against CSS LLC and other financial institutions in Tennessee state court relating to an un</w:t>
            </w:r>
            <w:r>
              <w:t>stated amount of RMBS at issue</w:t>
            </w:r>
            <w:r w:rsidRPr="00E93ED8">
              <w:t>.</w:t>
            </w:r>
            <w:r>
              <w:t xml:space="preserve"> </w:t>
            </w:r>
            <w:r w:rsidRPr="00057403">
              <w:t>On 22 June 2015, Tennessee Consolidated Retirement System filed an amended complaint relating to approximately USD 24 million of RMBS at issue against CSS LLC (approximately 4% of the USD 644 million at issue against all defendants in the operative pleading).</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236267">
              <w:rPr>
                <w:lang w:val="de-DE"/>
              </w:rPr>
              <w:t>Die CSS LLC und in einigen Fällen ihre verbundenen Gesellschaften im Zusammenhang mit ihrer Tätigkeit als Emittenten von RMBS, Emissionshäuser und/oder anderweitig Beteiligte sowie in einigen Fällen ihre Mitarbeiter sind zusammen mit anderen Beklagten als Beklagte benannt: in einer Klage seitens der Federal Deposit Insurance Corporation (</w:t>
            </w:r>
            <w:r>
              <w:rPr>
                <w:lang w:val="de-DE"/>
              </w:rPr>
              <w:t>"</w:t>
            </w:r>
            <w:r w:rsidRPr="00236267">
              <w:rPr>
                <w:b/>
                <w:lang w:val="de-DE"/>
              </w:rPr>
              <w:t>FDIC</w:t>
            </w:r>
            <w:r>
              <w:rPr>
                <w:lang w:val="de-DE"/>
              </w:rPr>
              <w:t>"</w:t>
            </w:r>
            <w:r w:rsidRPr="00236267">
              <w:rPr>
                <w:lang w:val="de-DE"/>
              </w:rPr>
              <w:t>) als Konkursverwalterin der Citizens National Bank und der Strategic Capital Bank vor dem SDNY, bei der sich die Forderungen gegenüber der CSS LLC und den mit ihr verbundenen Gesellschaften auf rund USD 28 Mio. der fraglichen RMBS beziehen (rund 20 % der laut klägerischem Schriftsatz gegen alle Beklagten eingeklagten USD 141 Mio.)</w:t>
            </w:r>
            <w:r>
              <w:rPr>
                <w:lang w:val="de-DE"/>
              </w:rPr>
              <w:t xml:space="preserve">: </w:t>
            </w:r>
            <w:r w:rsidRPr="00236267">
              <w:rPr>
                <w:lang w:val="de-DE"/>
              </w:rPr>
              <w:t xml:space="preserve"> </w:t>
            </w:r>
            <w:r w:rsidRPr="00E924A0">
              <w:rPr>
                <w:lang w:val="de-DE"/>
              </w:rPr>
              <w:t xml:space="preserve">diese Forderungen wurden am 24. März 2015 vollumfänglich durch eine Entscheidung des SDNY zurückgewiesen, gegen welche die FDIC am 7. April 2015 Berufung eingelegt hat </w:t>
            </w:r>
            <w:r w:rsidRPr="00236267">
              <w:rPr>
                <w:lang w:val="de-DE"/>
              </w:rPr>
              <w:t xml:space="preserve">in vier Klagen seitens der FDIC als Konkursverwalterin der Colonial Bank; in einer </w:t>
            </w:r>
            <w:r>
              <w:rPr>
                <w:lang w:val="de-DE"/>
              </w:rPr>
              <w:t xml:space="preserve">abgewiesenen </w:t>
            </w:r>
            <w:r w:rsidRPr="00236267">
              <w:rPr>
                <w:lang w:val="de-DE"/>
              </w:rPr>
              <w:t>Klage vor dem SDNY, die derzeit Gegenstand einer Berufung ist und bei der sich die Forderungen gegenüber der CSS LLC auf rund USD 92 Mio. der fraglichen RMBS beziehen (rund 23 % der laut klägerischem Schriftsatz gegen alle Beklagten eingeklagten USD 394 Mio.); in einer Klage vor dem Circuit Court of Montgomery County, Alabama, bei der sich die Forderungen gegenüber der CSS LLC und den mit ihr verbundenen Gesellschaften auf rund USD 153 Mio. der fraglichen RMBS beziehen (rund 49 % der laut klägerischem Schriftsatz gegen alle Beklagten eingeklagten USD 311 Mio.); in einer Klage vor dem U.S. District Court for the Central District of California, bei der sich die Forderungen gegenüber der CSS LLC auf rund USD 34 Mio. der fraglichen RMBS beziehen (rund 12 % der laut klägerischem Schriftsatz gegen alle Beklagten eingeklagten USD 283 Mio.); in einer vor dem U.S. District Court for the Central District of California abgewiesenen Klage, die derzeit Gegenstand einer Berufung ist und bei der sich die Forderungen gegenüber der CSS LLC auf rund USD 12 Mio. der fraglichen RMBS beziehen (rund 5 % der laut klägerischem Schriftsatz gegen alle Beklagten eingeklagten USD 259 Mio.)in vier Einzelklagen seitens der Federal Home Loan Banks of Seattle, San Francisco und Boston vor verschiedenen State Courts und Federal Courts. Die Forderungen gegenüber der CSS LLC und den mit ihr verbundenen Gesellschaften beziehen sich auf rund USD 249 Mio. bei der Klage des Instituts aus Seattle, rund USD 1,7 Mrd. bei den Klagen des Instituts aus San Francisco (rund 18 % der laut klägerischem Schriftsatz gegenüber allen Beklagten insgesamt eingeklagten USD 9,5 Mrd.) und USD 373 Mio. bei der Klage des Instituts aus Boston (rund 7 % der laut klägerische</w:t>
            </w:r>
            <w:r>
              <w:rPr>
                <w:lang w:val="de-DE"/>
              </w:rPr>
              <w:t>m</w:t>
            </w:r>
            <w:r w:rsidRPr="00236267">
              <w:rPr>
                <w:lang w:val="de-DE"/>
              </w:rPr>
              <w:t xml:space="preserve"> Schrifts</w:t>
            </w:r>
            <w:r>
              <w:rPr>
                <w:lang w:val="de-DE"/>
              </w:rPr>
              <w:t xml:space="preserve">atz </w:t>
            </w:r>
            <w:r w:rsidRPr="00236267">
              <w:rPr>
                <w:lang w:val="de-DE"/>
              </w:rPr>
              <w:t>gegenüber allen Beklagten insgesamt eingeklagten USD 5,7 Mrd.); in zwei Klagen seitens der Massachusetts Mutual Life Insurance Company vor dem U.S. District Court for the District of Massachusetts, bei denen sich die Forderungen gegenüber der CSS LLC und ihren Mitarbeitern auf rund USD 107 Mio. der fraglichen RMBS beziehen (rund 97 % der laut klägerischem Schriftsatz gegen alle Beklagten eingeklagten USD 110 Mio.); in einer Klage seitens der Watertown Savings Bank vor dem SCNY, bei der sich die Forderungen gegenüber der CSS LLC und den mit ihr verbundenen Gesellschaften auf einen nicht bezifferten Betrag der fraglichen RMBS beziehen; sowie in einer Klage seitens des Texas County and District Retirement System vor dem Texas State Court, bei der sich die Forderungen gegenüber der CSS LLC auf einen nicht bezifferten Betrag der fraglichen RMBS beziehen. Darüber hinaus hat das Tennessee Consolidated Retirement System am 6. Februar 2015 vor dem Tennessee State Court eine Klage gegen die CSS LLC und andere Finanzinstitute eingereicht, die sich auf einen nicht bezifferten Betrag der fraglichen RMBS bezieht</w:t>
            </w:r>
            <w:r w:rsidRPr="00E93ED8">
              <w:rPr>
                <w:lang w:val="de-DE"/>
              </w:rPr>
              <w:t>.</w:t>
            </w:r>
            <w:r w:rsidRPr="005C5842">
              <w:rPr>
                <w:lang w:val="de-DE"/>
              </w:rPr>
              <w:t xml:space="preserve"> </w:t>
            </w:r>
            <w:r w:rsidRPr="00057403">
              <w:rPr>
                <w:lang w:val="de-DE"/>
              </w:rPr>
              <w:t>Am 22. Juni hat das Tennessee Consolidated Retirement System eine erweiterte Klage bezogen auf USD 24 Mio. an fraglichen RMBS gegen CSS LLC eingereicht (rund 4% der laut klägerischem Schriftsatz gegenüber allen Beklagten insgesamt eingeklagten USD 644 Mio.).</w:t>
            </w:r>
            <w:r>
              <w:rPr>
                <w:lang w:val="de-DE"/>
              </w:rPr>
              <w:t xml:space="preserve"> </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 xml:space="preserve">CSS LLC and certain of its affiliates and/or employees are the only defendants named in: one action brought by </w:t>
            </w:r>
            <w:r>
              <w:t>CMFG Life</w:t>
            </w:r>
            <w:r w:rsidRPr="00E93ED8">
              <w:t xml:space="preserve"> Insurance Company </w:t>
            </w:r>
            <w:r>
              <w:t>and affiliated entities in the U.S. District Court for the Western District of Wisconsin</w:t>
            </w:r>
            <w:r w:rsidRPr="00E93ED8">
              <w:t xml:space="preserve">, in which claims against CSS LLC relate to approximately USD </w:t>
            </w:r>
            <w:r>
              <w:t>70</w:t>
            </w:r>
            <w:r w:rsidRPr="00E93ED8">
              <w:t xml:space="preserve"> million of RMBS; one action brought by Deutsche Zentral-Genossenschaftsbank AG, New York Branch in the SCNY, in which claims against CSS LLC and its affiliates relate to approximately USD 1</w:t>
            </w:r>
            <w:r>
              <w:t>11</w:t>
            </w:r>
            <w:r w:rsidRPr="00E93ED8">
              <w:t xml:space="preserve"> million of RMBS; one action brought by IKB Deutsche Industriebank AG and affiliated entities in the SCNY, in which claims against CSS LLC and its affiliates relate to approximately USD 97 million of RMBS; two actions brought by the National Credit Union Administration Board: one as liquidating agent of the U</w:t>
            </w:r>
            <w:r>
              <w:t>.</w:t>
            </w:r>
            <w:r w:rsidRPr="00E93ED8">
              <w:t>S</w:t>
            </w:r>
            <w:r>
              <w:t>.</w:t>
            </w:r>
            <w:r w:rsidRPr="00E93ED8">
              <w:t xml:space="preserve"> Central Federal Credit Union, Western Corporate Federal Credit Union and Southwest Corporate Federal Credit Union in the U</w:t>
            </w:r>
            <w:r>
              <w:t>.</w:t>
            </w:r>
            <w:r w:rsidRPr="00E93ED8">
              <w:t>S</w:t>
            </w:r>
            <w:r>
              <w:t>.</w:t>
            </w:r>
            <w:r w:rsidRPr="00E93ED8">
              <w:t xml:space="preserve"> District Court for the District of Kansas, in which claims against CSS LLC and its affiliate relate to approximately USD 311 million of RMBS,</w:t>
            </w:r>
            <w:r w:rsidRPr="00057403">
              <w:t xml:space="preserve"> for which the U.S. District Court for the District of Kansas issued an order vacating its prior partial dismissal of the action, increasing the RMBS at issue for CSS LLC and its affiliates from approximately USD 311 million to USD 715 million on May 27, 2015,,</w:t>
            </w:r>
            <w:r w:rsidRPr="00E93ED8">
              <w:t xml:space="preserve">and one as liquidating agent of the Southwest Corporate Federal Credit Union and Members United Corporate Federal Credit Union in the SDNY, in which claims against CSS LLC and its affiliates relate to approximately USD 229 million of RMBS; one action brought by Royal Park Investments SA/NV in the SCNY, in which claims against CSS LLC and its affiliate relate to approximately USD 360 million of RMBS; </w:t>
            </w:r>
            <w:r>
              <w:t xml:space="preserve">and </w:t>
            </w:r>
            <w:r w:rsidRPr="00E93ED8">
              <w:t xml:space="preserve">one dismissed action initially brought by The Union Central Life Insurance Company and affiliated entities </w:t>
            </w:r>
            <w:r>
              <w:t xml:space="preserve">(Union Central) </w:t>
            </w:r>
            <w:r w:rsidRPr="00E93ED8">
              <w:t xml:space="preserve">in the SDNY, </w:t>
            </w:r>
            <w:r>
              <w:t xml:space="preserve">which is now on appeal, </w:t>
            </w:r>
            <w:r w:rsidRPr="00E93ED8">
              <w:t>in which claims against CSS LLC and its affiliates and employees relate to approximately USD 65 million of RMBS. These actions are at early or intermediate procedural points.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236267">
              <w:rPr>
                <w:lang w:val="de-DE"/>
              </w:rPr>
              <w:t xml:space="preserve">Die CSS LLC und bestimmte mit ihr verbundene Gesellschaften und/oder Mitarbeiter sind als einzige Beklagte in folgenden Rechtsstreitigkeiten benannt: in einer Klage seitens der CMFG Life Insurance Company und mit ihr verbundenen Unternehmen vor dem U.S. District Court for the Western District of Wisconsin, bei der sich die Forderungen gegenüber der CSS LLC auf rund USD 70 Mio. an RMBS beziehen; in einer Klage seitens der Deutsche Zentralgenossenschaftsbank AG, Zweigstelle New York, vor dem SCNY, bei der sich die Forderungen gegenüber der CSS LLC und den mit ihr verbundenen Gesellschaften auf rund USD 111 Mio. an RMBS beziehen; in einer Klage seitens der IKB Deutsche Industriebank AG und mit ihr verbundener Unternehmen vor dem SCNY, bei der sich die Forderungen gegenüber der CSS LLC und den mit ihr verbundenen Gesellschaften auf rund USD 97 Mio. an RMBS beziehen; in zwei Klagen seitens des National Credit Union Administration Board: in der einen Klage als Liquidator der U.S. Central Federal Credit Union, Western Corporate Federal Credit Union und Southwest Corporate Federal Credit Union vor dem U.S. District Court for the District of Kansas, bei der sich die Forderungen gegenüber der CSS LLC und den mit ihr verbundenen Gesellschaften auf rund USD 311 Mio. an RMBS beziehen, </w:t>
            </w:r>
            <w:r w:rsidRPr="00057403">
              <w:rPr>
                <w:lang w:val="de-DE"/>
              </w:rPr>
              <w:t xml:space="preserve">in Bezug auf welche der U.S. District Court for the District of Kansas am 27. Mai 2015 eine Entscheidung erlassen hat, mit der er seine vorherige teilweise Abweisung der Klage aufhebt und die fraglichen RMBS gegenüber der CSS LLC und den mit ihr verbundenen Unternehmen von ungefähr USD 311 Mio. auf USD 715 Mio. erhöht, </w:t>
            </w:r>
            <w:r w:rsidRPr="00236267">
              <w:rPr>
                <w:lang w:val="de-DE"/>
              </w:rPr>
              <w:t>und in der anderen Klage als Liquidator der Southwest Corporate Federal Credit Union und Members United Corporate Federal Credit Union vor dem SDNY, bei der sich die Forderungen gegenüber der CSS LLC und den mit ihr verbundenen Gesellschaften auf rund USD 229 Mio. an RMBS beziehen; in einer Klage seitens der Royal Park Investments SA/NV vor dem SCNY, bei der sich die Forderungen gegenüber der CSS LLC und der mit ihr verbundenen Gesellschaft auf rund USD 360 Mio. an RMBS beziehen und in einer abgewiesenen Klage, die ursprünglich seitens der Union Central Life Insurance Company und mit ihr verbundener Einheiten (Union Central) beim SDNY eingereicht wurde; diese ist derzeit Gegenstand einer Berufung, die diesbezüglichen Ansprüche gegenüber der CSS LLC, den mit ihr verbundenen Gesellschaften und ihren Mitarbeitern belaufen sich auf rund USD 65 Mio. an RMBS. Jede dieser Rechtsstreitigkeiten befindet sich in einem frühen oder mittleren Verfahrensstadium</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6527EC">
              <w:t xml:space="preserve">Individual investor actions discontinued during the course of 2014 included the following: following a settlement, one action brought by Allstate Insurance Company against CSS LLC and its affiliates; following a settlement, two actions brought by Cambridge Place Investment Management Inc. against CSS LLC and its affiliates; following </w:t>
            </w:r>
            <w:r>
              <w:t xml:space="preserve">a </w:t>
            </w:r>
            <w:r w:rsidRPr="006527EC">
              <w:t>settlement, one action by the Federal Home Loan Bank of Chicago against CSS LLC; following a settlement, one action by the Federal Home Loan Bank of Indianapolis against CSS LLC and its affiliates; following settlement</w:t>
            </w:r>
            <w:r>
              <w:t>s</w:t>
            </w:r>
            <w:r w:rsidRPr="006527EC">
              <w:t xml:space="preserve"> by CSS LLC and other financial institutions, one action brought by the Federal Housing Finance Agency (</w:t>
            </w:r>
            <w:r>
              <w:t>"</w:t>
            </w:r>
            <w:r w:rsidRPr="0050242D">
              <w:rPr>
                <w:b/>
              </w:rPr>
              <w:t>FHFA</w:t>
            </w:r>
            <w:r w:rsidRPr="0050242D">
              <w:t>"</w:t>
            </w:r>
            <w:r w:rsidRPr="006527EC">
              <w:t>), as conservator for Fannie Mae and Freddie Mac, against CSS LLC and its affiliates and employees and other financial institutions; following a voluntary discontinuance with prejudice, the two consolidated actions brought by Landesbank Baden-Württemberg and affiliated entities against CSS LLC and other financial institutions; following a settlement, one action brought by Minnesota Life Insurance Company and affiliated entities against CSS LLC and its affiliates; following a settlement, one action brought by The Prudential Insurance Company of America and affiliated entities against CSS LLC and its affiliates; following a settlement, the action brought by Sealink Funding Limited against CSS LLC and its affiliates; and following a settlement, one action brought by the Western &amp; Southern Life Insurance Company and affiliated entities against CSS LLC and its affiliates.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236267">
              <w:rPr>
                <w:rFonts w:cs="CreditSuisseType-Light"/>
                <w:lang w:val="de-DE" w:eastAsia="en-GB"/>
              </w:rPr>
              <w:t>In Bezug auf die folgenden Einzelklagen von Anlegern wurden die Verfahren im Jahresverlauf 2014 eingestellt: eine Klage seitens der Allstate Insurance Company gegen die CSS LLC und mit ihr verbundene Unternehmen nach Abschluss eines Vergleichs; zwei Klagen seitens der Cambridge Place Investment Management Inc. gegen die CSS und mit ihr verbundene Unternehmen nach Abschluss von Vergleichen; eine Klage seitens der Federal Home Loan Bank of Chicago gegen die CSS LLC und weitere Finanzinstitute nach Abschluss eines Vergleichs; eine Klage seitens der Federal Home Loan Bank of Indianapolis gegen die CSS LLC und mit ihr verbundene Gesellschaften nach Abschluss eines Vergleichs; eine Klage seitens der Federal Housing Finance Agency (</w:t>
            </w:r>
            <w:r>
              <w:rPr>
                <w:rFonts w:cs="CreditSuisseType-Light"/>
                <w:lang w:val="de-DE" w:eastAsia="en-GB"/>
              </w:rPr>
              <w:t>"</w:t>
            </w:r>
            <w:r w:rsidRPr="00236267">
              <w:rPr>
                <w:rFonts w:cs="CreditSuisseType-Light"/>
                <w:b/>
                <w:lang w:val="de-DE" w:eastAsia="en-GB"/>
              </w:rPr>
              <w:t>FHFA</w:t>
            </w:r>
            <w:r>
              <w:rPr>
                <w:rFonts w:cs="CreditSuisseType-Light"/>
                <w:lang w:val="de-DE" w:eastAsia="en-GB"/>
              </w:rPr>
              <w:t>"</w:t>
            </w:r>
            <w:r w:rsidRPr="00236267">
              <w:rPr>
                <w:rFonts w:cs="CreditSuisseType-Light"/>
                <w:lang w:val="de-DE" w:eastAsia="en-GB"/>
              </w:rPr>
              <w:t xml:space="preserve">) als Verwahrer für Fannie Mae und Freddie Mac gegen die CSS LLC, mit ihr verbundene Unternehmen und Mitarbeiter sowie andere Finanzinstitute nach Abschluss </w:t>
            </w:r>
            <w:r>
              <w:rPr>
                <w:rFonts w:cs="CreditSuisseType-Light"/>
                <w:lang w:val="de-DE" w:eastAsia="en-GB"/>
              </w:rPr>
              <w:t xml:space="preserve"> von </w:t>
            </w:r>
            <w:r w:rsidRPr="00236267">
              <w:rPr>
                <w:rFonts w:cs="CreditSuisseType-Light"/>
                <w:lang w:val="de-DE" w:eastAsia="en-GB"/>
              </w:rPr>
              <w:t>Vergleich</w:t>
            </w:r>
            <w:r>
              <w:rPr>
                <w:rFonts w:cs="CreditSuisseType-Light"/>
                <w:lang w:val="de-DE" w:eastAsia="en-GB"/>
              </w:rPr>
              <w:t>en</w:t>
            </w:r>
            <w:r w:rsidRPr="00236267">
              <w:rPr>
                <w:rFonts w:cs="CreditSuisseType-Light"/>
                <w:lang w:val="de-DE" w:eastAsia="en-GB"/>
              </w:rPr>
              <w:t xml:space="preserve"> mit der CSS LLC und anderen Finanzinstituten; die zwei konsolidierten Klagen der Landesbank Baden-Württemberg und mit ihr verbundener Einheiten gegen die CSS LLC und weitere Finanzinstitute nach einem rechtskräftigen freiwilligen Klageverzicht; eine Klage seitens der Minnesota Life Insurance Company und mit ihr verbundener Einheiten gegen die CSS LLC und mit ihr verbundene Unternehmen nach Abschluss eines Vergleichs; eine Klage seitens The Prudential Insurance Company of America und mit ihr verbundener Einheiten gegen die CSS LLC und mit ihr verbundene Unternehmen nach Abschluss eines Vergleichs; die Klage seitens der Sealink Funding Limited gegen die CSS LLC und mit ihr verbundene Unternehmen nach Abschluss eines Vergleichs sowie eine Klage seitens der Western &amp; Southern Life Insurance Company und mit ihr verbundener Einheiten gegen die CSS LLC und die mit ihr verbundenen Unternehmen nach Abschluss eines Vergleichs</w:t>
            </w:r>
            <w:r w:rsidRPr="00E93ED8">
              <w:rPr>
                <w:rFonts w:cs="CreditSuisseType-Light"/>
                <w:lang w:val="de-DE" w:eastAsia="en-GB"/>
              </w:rPr>
              <w:t>.</w:t>
            </w:r>
          </w:p>
        </w:tc>
      </w:tr>
      <w:tr w:rsidTr="004C1EBA">
        <w:tblPrEx>
          <w:tblW w:w="5002" w:type="pct"/>
          <w:tblLayout w:type="fixed"/>
          <w:tblLook w:val="00A0"/>
        </w:tblPrEx>
        <w:tc>
          <w:tcPr>
            <w:tcW w:w="2499" w:type="pct"/>
            <w:gridSpan w:val="5"/>
            <w:tcBorders>
              <w:right w:val="single" w:sz="4" w:space="0" w:color="auto"/>
            </w:tcBorders>
          </w:tcPr>
          <w:p w:rsidR="004C1EBA" w:rsidRPr="006527EC" w:rsidP="004C1EBA">
            <w:pPr>
              <w:pStyle w:val="csbody00"/>
            </w:pPr>
            <w:r w:rsidRPr="00236267">
              <w:t>In addition, on 10 December 2014, the SDNY presiding in the action brought by Union Central, denied Union Central’s motion to propose a second amended complaint and dismissed in its entirety all claims against CSS LLC and its affiliates and employees with prejudice, relating to approximately USD 65 million of RMBS. On 8 January 2015, Union Central appealed the SDNY’s order of 10 December 2014. On 17 December 2014, following a settlement, the U.S. District Court for the District of Minnesota presiding in the action brought by the John Hancock Life Insurance Co. (U.S.A.) and affiliated entities dismissed with prejudice all claims against CSS LLC, relating to an unstated amount of RMBS at issue against CSS LLC. On 26 January 2015, the California state court presiding in the action brought by the Federal Home Loan Bank of San Francisco dismissed with prejudice claims pertaining to certain RMBS offerings, including certain RMBS offerings on which CSS LLC and its affiliates were sued, reducing the RMBS at issue for CSS LLC and its affiliates from approximately USD 2.2 billion to approximately USD 1.7 billion. Further, as reported in the Credit Suisse Annual Report 2013, on 14 February 2014, as a result of a settlement, the SDNY dismissed with prejudice one of the actions filed by the FHFA in the SDNY against CSS LLC and its affiliates and employees, and on 21 March 2014, CSS LLC and certain affiliates and employees entered into an agreement with the FHFA to settle all claims in two actions filed by the FHFA in the SDNY</w:t>
            </w:r>
            <w:r>
              <w:t>.</w:t>
            </w:r>
          </w:p>
        </w:tc>
        <w:tc>
          <w:tcPr>
            <w:tcW w:w="2501" w:type="pct"/>
            <w:gridSpan w:val="8"/>
            <w:tcBorders>
              <w:left w:val="single" w:sz="4" w:space="0" w:color="auto"/>
            </w:tcBorders>
            <w:shd w:val="clear" w:color="auto" w:fill="auto"/>
          </w:tcPr>
          <w:p w:rsidR="004C1EBA" w:rsidRPr="00236267" w:rsidP="004C1EBA">
            <w:pPr>
              <w:pStyle w:val="csbody00"/>
              <w:rPr>
                <w:rFonts w:cs="CreditSuisseType-Light"/>
                <w:lang w:val="de-DE" w:eastAsia="en-GB"/>
              </w:rPr>
            </w:pPr>
            <w:r w:rsidRPr="00236267">
              <w:rPr>
                <w:rFonts w:cs="CreditSuisseType-Light"/>
                <w:lang w:val="de-DE" w:eastAsia="en-GB"/>
              </w:rPr>
              <w:t>Ferner lehnte der im Zusammenhang mit der durch Union Central erhobenen Klage federführende SDNY am 10. Dezember 2014 den von Union Central eingebrachten Antrag auf Einreichung einer zweiten erweiterten Klage ab und wies sämtliche Forderungen gegen die CSS LLC und die mit ihr verbundenen Unternehmen und Mitarbeiter endgültig ab. Diese Forderungen bezogen sich auf rund USD 65 Mio. an RMBS. Am 8. Januar 2015 legte Union Central gegen die Entscheidung des SDNY vom 10. Dezember 2014 Berufung ein. Am 17. Dezember 2014 wies der U.S. District Court for the District of Minnesota als federführendes Gericht in der Klage seitens der John Hancock Life Insurance Co. (U.S.A.) und mit ihr verbundener Einheiten sämtliche Forderungen gegen die CSS LLC endgültig ab, nachdem ein Vergleich erzielt worden war. Diese Forderungen bezogen sich auf einen nicht bezifferten Betrag an RMBS. Am 26. Januar 2015 wies der in der Klage seitens der Federal Home Loan Bank of San Francisco federführende California State Court die Forderungen im Zusammenhang mit bestimmten RMBS-Angeboten rechtswirksam ab. Hierzu zählen auch bestimmte RMBS-Angebote, bei denen die CSS LLC und mit ihr verbundene Gesellschaften beklagt wurden, so dass sich die Forderungen im Zusammenhang mit den betreffenden RMBS von rund USD 2,2 Mrd. auf rund USD 1,7 Mrd. verminderten. Ausserdem wies der SDNY, wie bereits in dem Geschäftsbericht der Credit Suisse für das Jahr 2013 bekannt gegeben, am 14. Februar 2014 infolge eines Vergleichs eine der von der FHFA bei ihm eingereichten Klagen gegen die CSS LLC sowie die mit ihr verbundenen Unternehmen und Mitarbeiter endgültig ab. Des Weiteren schlossen die CSS LLC, bestimmte mit ihr verbundene Unternehmen und Mitarbeiter am 21. März 2014 eine Vereinbarung mit der FHFA zur gütlichen Beilegung sämtlicher Forderungen im Rahmen von zwei Klagen der FHFA vor dem SDNY ab</w:t>
            </w:r>
            <w:r>
              <w:rPr>
                <w:rFonts w:cs="CreditSuisseType-Light"/>
                <w:lang w:val="de-DE" w:eastAsia="en-GB"/>
              </w:rPr>
              <w:t>.</w:t>
            </w:r>
          </w:p>
        </w:tc>
      </w:tr>
      <w:tr w:rsidTr="004C1EBA">
        <w:tblPrEx>
          <w:tblW w:w="5002" w:type="pct"/>
          <w:tblLayout w:type="fixed"/>
          <w:tblLook w:val="00A0"/>
        </w:tblPrEx>
        <w:tc>
          <w:tcPr>
            <w:tcW w:w="2499" w:type="pct"/>
            <w:gridSpan w:val="5"/>
            <w:tcBorders>
              <w:right w:val="single" w:sz="4" w:space="0" w:color="auto"/>
            </w:tcBorders>
          </w:tcPr>
          <w:p w:rsidR="004C1EBA" w:rsidRPr="00682578" w:rsidP="004C1EBA">
            <w:pPr>
              <w:pStyle w:val="csbody00"/>
            </w:pPr>
            <w:r>
              <w:rPr>
                <w:lang w:val="en-US"/>
              </w:rPr>
              <w:t>Furthermore</w:t>
            </w:r>
            <w:r w:rsidRPr="00682578">
              <w:rPr>
                <w:lang w:val="en-US"/>
              </w:rPr>
              <w:t>, individual investor actions discontinued during the course of 2015 included the following: on April 16, 2015, the SCNY presiding in the action brought by Phoenix Light SF Ltd. and affiliated entities dismissed in its entirety all claims against CSS LLC and its affiliates relating to approximately USD 362 million of RMBS at issue; on August 17, 2015, a stipulation of discontinuance with prejudice was filed with the SCNY, discontinuing the action brought by Commerzbank AG London Branch against CSS LLC and its affiliates, in which claims against CSS LLC and its affiliates relate to approximately USD 121 million of the RMBS at issue (approximately 6% of the USD 1.9 billion at issue against all defendants in the operative pleading); on October 9 and 15, 2015, following a settlement, the California state court presiding in an action brought by the Charles Schwab Corporation dismissed with prejudice all claims against CSS LLC and its affiliates relating to USD 100 million of the RMBS at issue against CSS LLC and its affiliates, and dismissed without prejudice the remaining claim against CSS LLC relating to USD 25 million of the RMBS at issue against CSS LLC.</w:t>
            </w:r>
          </w:p>
        </w:tc>
        <w:tc>
          <w:tcPr>
            <w:tcW w:w="2501" w:type="pct"/>
            <w:gridSpan w:val="8"/>
            <w:tcBorders>
              <w:left w:val="single" w:sz="4" w:space="0" w:color="auto"/>
            </w:tcBorders>
            <w:shd w:val="clear" w:color="auto" w:fill="auto"/>
          </w:tcPr>
          <w:p w:rsidR="004C1EBA" w:rsidRPr="005C5842" w:rsidP="004C1EBA">
            <w:pPr>
              <w:pStyle w:val="csbody00"/>
              <w:rPr>
                <w:lang w:val="de-DE"/>
              </w:rPr>
            </w:pPr>
            <w:r>
              <w:rPr>
                <w:lang w:val="de-DE"/>
              </w:rPr>
              <w:t xml:space="preserve">Darüber hinaus </w:t>
            </w:r>
            <w:r w:rsidRPr="00682578">
              <w:rPr>
                <w:lang w:val="de-DE"/>
              </w:rPr>
              <w:t>wurden in Bezug auf die folgenden Einzelklagen von Anlegern die Verfahren im Jahresverlauf 2015 eingestellt: Am 16. April 2015 wies der im Zusammenhang mit der durch die Phoenix Light SF Ltd. und verbundene Unternehmen erhobenen Klage federführende SCNY sämtliche Forderungen gegen die CSS LLC und ihre verbundenen Unternehmen ab, die sich auf rund USD 362 Mio. der eingeklagten RMBS bezogen; am 17. August 2015 wurde eine Vereinbarung über einen rechtskräftigen Klageverzicht bei dem SCNY eingereicht, wodurch das Verfahren aufgrund der Klage der Commerzbank AG, Niederlassung London gegen die CSS LLC beendet wurde, bei dem sich die Forderungen gegenüber der CSS LLC und den mit ihr verbundenen Unternehmen auf rund USD 121 Mio. der fraglichen RMBS beziehen (rund 6 % der laut klägerischem Schriftsatz gegen alle Beklagten eingeklagten USD 1,9 Mrd.); am 9. und 15. Oktober 2015 wies der im Zusammenhang mit einer Klage der The Charles Schwab Corporation federführende California State Court nach einem Vergleich sämtliche Forderungen gegen die CSS LLC und ihre verbundenen Unternehmen in Bezug auf USD 100 Mio. der eingeklagten RMBS sowie die verbleibende Forderung gegen die CSS LLC in Bezug auf USD 25 Mio. der eingeklagten RMBS ab.</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Monoline Insurer Disputes</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Streitfälle mit Monoline-Versicherern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236267">
              <w:t>CSS LLC and certain of its affiliates are defendants in two pending monoline insurer actions, one commenced by MBIA Insurance Corp. (</w:t>
            </w:r>
            <w:r>
              <w:t>"</w:t>
            </w:r>
            <w:r w:rsidRPr="00236267">
              <w:rPr>
                <w:b/>
              </w:rPr>
              <w:t>MBIA</w:t>
            </w:r>
            <w:r>
              <w:rPr>
                <w:lang w:val="en-US"/>
              </w:rPr>
              <w:t>"</w:t>
            </w:r>
            <w:r w:rsidRPr="00236267">
              <w:t>), the other commenced by Financial Guaranty Insurance Company (</w:t>
            </w:r>
            <w:r>
              <w:t>"</w:t>
            </w:r>
            <w:r w:rsidRPr="00236267">
              <w:rPr>
                <w:b/>
              </w:rPr>
              <w:t>FGIC</w:t>
            </w:r>
            <w:r>
              <w:rPr>
                <w:lang w:val="en-US"/>
              </w:rPr>
              <w:t>"</w:t>
            </w:r>
            <w:r w:rsidRPr="00236267">
              <w:t>), each of which guaranteed payments of principal and interest related to approximately USD 770 million and USD 240 million of RMBS, respectively, issued in offerings sponsored by Credit Suisse. One theory of liability advanced by the monoline insurers is that an affiliate of CSS LLC must repurchase certain mortgage loans from the trusts at issue. In each action, plaintiffs claim that the vast majority of the underlying mortgage loans breach certain representations and warranties, and that the affiliate has failed to repurchase the allegedly defective loans. In addition, the monoline insurers allege claims for fraud, fraudulent inducement, material misrepresentations, and breaches of warranties, repurchase obligations, access rights and servicing obligations, and reimbursement. MBIA and FGIC have submitted repurchase demands for loans with an original principal balance of approximately USD 549 million and USD 37 million, respectively. These actions are pending in the SCNY and are at early or intermediate procedural points</w:t>
            </w:r>
            <w:r>
              <w:t xml:space="preserve"> </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236267">
              <w:rPr>
                <w:lang w:val="de-DE"/>
              </w:rPr>
              <w:t>Die CSS LLC und bestimmte mit ihr verbundene Gesellschaften sind Beklagte in zwei anhängigen, von Monoline-Versicherern angestrengten Verfahren; dabei handelt es sich einerseits um das von MBIA Insurance Corp. (</w:t>
            </w:r>
            <w:r>
              <w:rPr>
                <w:lang w:val="de-DE"/>
              </w:rPr>
              <w:t>"</w:t>
            </w:r>
            <w:r w:rsidRPr="00236267">
              <w:rPr>
                <w:b/>
                <w:lang w:val="de-DE"/>
              </w:rPr>
              <w:t>MBIA</w:t>
            </w:r>
            <w:r>
              <w:rPr>
                <w:lang w:val="de-DE"/>
              </w:rPr>
              <w:t>"</w:t>
            </w:r>
            <w:r w:rsidRPr="00236267">
              <w:rPr>
                <w:lang w:val="de-DE"/>
              </w:rPr>
              <w:t>) und andererseits um das von Financial Guaranty Insurance Company (</w:t>
            </w:r>
            <w:r>
              <w:rPr>
                <w:lang w:val="de-DE"/>
              </w:rPr>
              <w:t>"</w:t>
            </w:r>
            <w:r w:rsidRPr="00236267">
              <w:rPr>
                <w:b/>
                <w:lang w:val="de-DE"/>
              </w:rPr>
              <w:t>FGIC</w:t>
            </w:r>
            <w:r>
              <w:rPr>
                <w:lang w:val="de-DE"/>
              </w:rPr>
              <w:t>"</w:t>
            </w:r>
            <w:r w:rsidRPr="00236267">
              <w:rPr>
                <w:lang w:val="de-DE"/>
              </w:rPr>
              <w:t>) angestrengte Verfahren, die Kapital- und Zinszahlungen in Höhe von rund USD 770 Mio. und USD 240 Mio. an RMBS aus Emissionen mit der Credit Suisse als Sponsor gewährleisteten. Die Monoline-Versicherer haben bezüglich der Haftungsgrundlage vorgebracht, dass eine mit der CSS LLC verbundene Gesellschaft bestimmte Hypothekendarlehen von den entsprechenden Trusts zurückkaufen muss. In allen Verfahren behaupten die Kläger, dass die überwiegende Mehrheit der zugrunde liegenden Hypothekendarlehen gegen bestimmte Zusagen und Garantien verstossen und dass die verbundene Gesellschaft die angeblich mangelhaften Darlehen nicht zurückgekauft hätte. Zudem machen die Monoline-Versicherer Ansprüche wegen Betrugs, betrügerischer Verleitung, wesentlicher Falschdarstellungen sowie Verletzung von Garantien, Rückkaufspflichten, Zugangsrechten und Schuldendienstverpflichtungen sowie Ansprüche auf Rückerstattung geltend. MBIA und FGIC haben Rückkaufforderungen für Darlehen im ursprünglichen Kapitalbetrag von rund USD 549 Mio. und USD 37 Mio. gestellt. Diese Klagen sind beim SCNY anhängig und befinden sich in einem frühen oder mittleren Verfahrensstadium</w:t>
            </w:r>
            <w:r>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236267" w:rsidP="004C1EBA">
            <w:pPr>
              <w:pStyle w:val="csbody00"/>
            </w:pPr>
            <w:r w:rsidRPr="00BB7728">
              <w:t>In addition, CSS LLC and certain of its affiliates were sued by Assured Guaranty Corp and Assured Guaranty Municipal Corp (</w:t>
            </w:r>
            <w:r>
              <w:t>"</w:t>
            </w:r>
            <w:r w:rsidRPr="00BB7728">
              <w:rPr>
                <w:b/>
              </w:rPr>
              <w:t>Assured</w:t>
            </w:r>
            <w:r>
              <w:t>"</w:t>
            </w:r>
            <w:r w:rsidRPr="00BB7728">
              <w:t xml:space="preserve">) which guaranteed payments of principal and interest related to approximately USD 570 million of RMBS issued in offerings sponsored by Credit Suisse and submitted repurchase demands for loans with an original principal balance of approximately USD 2.2 billion. On 20 November 2014, U.S. Bank, National Association, as trustee of six trusts, filed a motion to intervene as it was not previously a party to this action. Following a settlement on 25 November 2014, a stipulation discontinuing the action brought by Assured was filed in the SCNY. On 5 March 2015, the SCNY denied U.S. Bank, National Association’s motion to intervene. Thus, the action </w:t>
            </w:r>
            <w:r>
              <w:t>is</w:t>
            </w:r>
            <w:r w:rsidRPr="00BB7728">
              <w:t xml:space="preserve"> dismissed.</w:t>
            </w:r>
          </w:p>
        </w:tc>
        <w:tc>
          <w:tcPr>
            <w:tcW w:w="2501" w:type="pct"/>
            <w:gridSpan w:val="8"/>
            <w:tcBorders>
              <w:left w:val="single" w:sz="4" w:space="0" w:color="auto"/>
            </w:tcBorders>
            <w:shd w:val="clear" w:color="auto" w:fill="auto"/>
          </w:tcPr>
          <w:p w:rsidR="004C1EBA" w:rsidRPr="00236267" w:rsidP="004C1EBA">
            <w:pPr>
              <w:pStyle w:val="csbody00"/>
              <w:rPr>
                <w:lang w:val="de-DE"/>
              </w:rPr>
            </w:pPr>
            <w:r w:rsidRPr="00E33A37">
              <w:rPr>
                <w:lang w:val="de-DE"/>
              </w:rPr>
              <w:t>Ausserdem strengten Assured Guaranty Corp. and Assured Guaranty Municipal Corp (</w:t>
            </w:r>
            <w:r>
              <w:rPr>
                <w:lang w:val="de-DE"/>
              </w:rPr>
              <w:t>"</w:t>
            </w:r>
            <w:r w:rsidRPr="00E33A37">
              <w:rPr>
                <w:b/>
                <w:lang w:val="de-DE"/>
              </w:rPr>
              <w:t>Assured</w:t>
            </w:r>
            <w:r>
              <w:rPr>
                <w:lang w:val="de-DE"/>
              </w:rPr>
              <w:t>"</w:t>
            </w:r>
            <w:r w:rsidRPr="00E33A37">
              <w:rPr>
                <w:lang w:val="de-DE"/>
              </w:rPr>
              <w:t>) eine Klage gegen die CSS LLC und bestimmte mit ihr verbundene Gesellschaften an. Assured hatte Tilgungen und Zinszahlungen aus RMBS-Angeboten mit der Credit Suisse als Sponsor in Höhe von rund USD 570 Mio. garantiert und Rückkaufanträge für Darlehen über ursprünglich insgesamt rund USD 2,2 Mrd. eingereicht. Am 20. November 2014 reichte die U.S. Bank, National Association als Trustee von sechs Trusts einen Antrag auf Beitritt zur Klage ein, da sie zuvor nicht an dieser beteiligt war. Nach Erzielung eines Vergleichs am 25. November 2014 wurde eine unter den Prozessanwälten erzielte Vereinbarung über den Rückzug der von Assured eingebrachten Klage beim SCNY eingereicht. Am 5. März 2015 lehnte der SCNY den Beitrittsantrag der U.S. Bank, National Association ab, sodass die Klage abgewiesen wurde.</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i/>
              </w:rPr>
            </w:pPr>
            <w:r w:rsidRPr="00E93ED8">
              <w:t>Further, CIFG Assurance North Amer</w:t>
            </w:r>
            <w:r>
              <w:t>ica, Inc. ("</w:t>
            </w:r>
            <w:r w:rsidRPr="00E93ED8">
              <w:rPr>
                <w:b/>
              </w:rPr>
              <w:t>CIFG</w:t>
            </w:r>
            <w:r>
              <w:t>"</w:t>
            </w:r>
            <w:r w:rsidRPr="00E93ED8">
              <w:t xml:space="preserve">) filed an action against CSS LLC in the SCNY, relating to financial guaranty insurance issued by CIFG on a </w:t>
            </w:r>
            <w:r>
              <w:t xml:space="preserve"> CDS</w:t>
            </w:r>
            <w:r w:rsidRPr="00E93ED8">
              <w:t xml:space="preserve"> guaranteeing payment on approximately USD 396 million of notes of a collateralized debt obligation. CIFG alleges material misrepresentation in the inducement of an insurance contract and fraud relating to alleged affirmative misrepresentations and material omissions made to induce CIFG to guarantee the </w:t>
            </w:r>
            <w:r>
              <w:t>CDS.</w:t>
            </w:r>
            <w:r w:rsidRPr="00E33A37">
              <w:t xml:space="preserve"> The SCNY granted CSS LLC’s motion to dismiss the action </w:t>
            </w:r>
            <w:r>
              <w:t>and on 28 May 2015, the Supreme Court of New York, Appellate Division, First Department, issued an order affirming the dismissal.</w:t>
            </w:r>
          </w:p>
        </w:tc>
        <w:tc>
          <w:tcPr>
            <w:tcW w:w="2501" w:type="pct"/>
            <w:gridSpan w:val="8"/>
            <w:tcBorders>
              <w:left w:val="single" w:sz="4" w:space="0" w:color="auto"/>
            </w:tcBorders>
            <w:shd w:val="clear" w:color="auto" w:fill="auto"/>
          </w:tcPr>
          <w:p w:rsidR="004C1EBA" w:rsidRPr="00236267" w:rsidP="004C1EBA">
            <w:pPr>
              <w:pStyle w:val="csbody00"/>
              <w:rPr>
                <w:lang w:val="de-DE"/>
              </w:rPr>
            </w:pPr>
            <w:r w:rsidRPr="00236267">
              <w:rPr>
                <w:lang w:val="en-US"/>
              </w:rPr>
              <w:t xml:space="preserve">Zudem reichte CIFG Assurance North America, Inc. </w:t>
            </w:r>
            <w:r w:rsidRPr="00236267">
              <w:rPr>
                <w:lang w:val="de-DE"/>
              </w:rPr>
              <w:t>(</w:t>
            </w:r>
            <w:r>
              <w:rPr>
                <w:lang w:val="de-DE"/>
              </w:rPr>
              <w:t>"</w:t>
            </w:r>
            <w:r w:rsidRPr="00236267">
              <w:rPr>
                <w:b/>
                <w:lang w:val="de-DE"/>
              </w:rPr>
              <w:t>CIFG</w:t>
            </w:r>
            <w:r>
              <w:rPr>
                <w:lang w:val="de-DE"/>
              </w:rPr>
              <w:t>"</w:t>
            </w:r>
            <w:r w:rsidRPr="00236267">
              <w:rPr>
                <w:lang w:val="de-DE"/>
              </w:rPr>
              <w:t xml:space="preserve">) eine Klage gegen die CSS LLC beim SCNY ein, die sich auf eine von CIFG ausgestellte Bürgschaftsversicherung für einen </w:t>
            </w:r>
            <w:r>
              <w:rPr>
                <w:lang w:val="de-DE"/>
              </w:rPr>
              <w:t xml:space="preserve">CDS </w:t>
            </w:r>
            <w:r w:rsidRPr="00236267">
              <w:rPr>
                <w:lang w:val="de-DE"/>
              </w:rPr>
              <w:t xml:space="preserve">mit Zahlungsgarantie für Schuldscheine einer Collateralized Debt Obligation im Wert von rund USD 396 Mio. bezieht. CIFG beruft sich auf eine angebliche wesentliche Fehldarstellung bei der Herbeiführung des Versicherungsvertrags sowie auf Betrug wegen angeblicher affirmativer Fehldarstellungen und wesentlicher Auslassungen, mit denen CIFG zur Bereitstellung der Garantie für </w:t>
            </w:r>
            <w:r>
              <w:rPr>
                <w:lang w:val="de-DE"/>
              </w:rPr>
              <w:t>den CDS</w:t>
            </w:r>
            <w:r w:rsidRPr="00236267">
              <w:rPr>
                <w:lang w:val="de-DE"/>
              </w:rPr>
              <w:t xml:space="preserve"> verleitet worden sei</w:t>
            </w:r>
            <w:r>
              <w:rPr>
                <w:lang w:val="de-DE"/>
              </w:rPr>
              <w:t>.</w:t>
            </w:r>
            <w:r w:rsidRPr="00E33A37">
              <w:rPr>
                <w:lang w:val="de-DE"/>
              </w:rPr>
              <w:t xml:space="preserve"> Der SCNY gab dem Antrag auf Abweisung der Klage der CSS LLC statt </w:t>
            </w:r>
            <w:r>
              <w:rPr>
                <w:lang w:val="de-DE"/>
              </w:rPr>
              <w:t xml:space="preserve"> und am 28. Mai 2015 erliess der Supreme Court of New York, Appellate Division, First Department, eine die Abweisung bestätigende Entscheidung.</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Repurchase litigations</w:t>
            </w:r>
          </w:p>
        </w:tc>
        <w:tc>
          <w:tcPr>
            <w:tcW w:w="2501" w:type="pct"/>
            <w:gridSpan w:val="8"/>
            <w:tcBorders>
              <w:left w:val="single" w:sz="4" w:space="0" w:color="auto"/>
            </w:tcBorders>
            <w:shd w:val="clear" w:color="auto" w:fill="auto"/>
          </w:tcPr>
          <w:p w:rsidR="004C1EBA" w:rsidRPr="00985AE1" w:rsidP="004C1EBA">
            <w:pPr>
              <w:pStyle w:val="csbody00"/>
              <w:rPr>
                <w:b/>
                <w:lang w:val="de-DE"/>
              </w:rPr>
            </w:pPr>
            <w:r w:rsidRPr="00985AE1">
              <w:rPr>
                <w:b/>
                <w:lang w:val="de-DE"/>
              </w:rPr>
              <w:t>Rechtsstreitigkeiten im Zusammenhang mit Rückkäufen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DLJ Mortgage Capital, Inc. (</w:t>
            </w:r>
            <w:r>
              <w:t>"</w:t>
            </w:r>
            <w:r w:rsidRPr="00E93ED8">
              <w:rPr>
                <w:b/>
              </w:rPr>
              <w:t>DLJ</w:t>
            </w:r>
            <w:r>
              <w:rPr>
                <w:lang w:val="en-US"/>
              </w:rPr>
              <w:t>"</w:t>
            </w:r>
            <w:r w:rsidRPr="00E93ED8">
              <w:t xml:space="preserve">) is a defendant in: one action brought by Asset Backed Securities Corporation Home Equity Loan Trust, Series 2006-HE7, in which plaintiff alleges damages of not less than USD </w:t>
            </w:r>
            <w:r>
              <w:t xml:space="preserve">341 </w:t>
            </w:r>
            <w:r w:rsidRPr="00E93ED8">
              <w:t>million</w:t>
            </w:r>
            <w:r>
              <w:t>,</w:t>
            </w:r>
            <w:r w:rsidRPr="009C37B4">
              <w:t xml:space="preserve"> which was dismissed without prejudice by order of the SCNY on 24 March  2015, which order was appealed, and which action was re-filed on 17 September  2015</w:t>
            </w:r>
            <w:r w:rsidRPr="00E93ED8">
              <w:t>; one action brought by Home Equity Asset Trust, Series 2006-8, in which plaintiff alleges damages of not less than USD 436 million; one action brought by Home Equity Asset Trust 2007-1, in which plaintiff alleges damages of not less than USD 4</w:t>
            </w:r>
            <w:r>
              <w:t>2</w:t>
            </w:r>
            <w:r w:rsidRPr="00E93ED8">
              <w:t>0 million; one action brought by Home Equity Asset Trust Series 2007-3, in which plaintiff alleges damages of not less than USD 206 million; one action brought by Asset Backed Securities Corporation Home Equity Loan Trust Series AMQ 2007-HE2, in which no damages amount is alleged</w:t>
            </w:r>
            <w:r>
              <w:t xml:space="preserve">, </w:t>
            </w:r>
            <w:r w:rsidRPr="009C37B4">
              <w:t>which was dismissed without prejudice by order of the SCNY on 8 April  2015, which order was appealed on 13 May 2015, which appeal was withdrawn on 18. September 2015;</w:t>
            </w:r>
            <w:r w:rsidRPr="00E93ED8">
              <w:t xml:space="preserve"> one action brought by Home Equity Asset Trust 2007-2, in which plaintiff alleges damages of not less than USD 495 million; and one action brought by CSMC Asset-Backed Trust 2007-NC1, in which no damages amount is alleged. DLJ and its affiliate, Select Portfolio Servicing, Inc. (</w:t>
            </w:r>
            <w:r>
              <w:t>"</w:t>
            </w:r>
            <w:r w:rsidRPr="00E93ED8">
              <w:rPr>
                <w:b/>
              </w:rPr>
              <w:t>SPS</w:t>
            </w:r>
            <w:r>
              <w:rPr>
                <w:lang w:val="en-US"/>
              </w:rPr>
              <w:t>"</w:t>
            </w:r>
            <w:r w:rsidRPr="00E93ED8">
              <w:t xml:space="preserve">), are defendants in: one action brought by Home Equity Mortgage Trust Series 2006-1, Home Equity Mortgage Trust Series 2006-3 and Home Equity Mortgage Trust Series 2006-4, in which plaintiffs allege damages of not less than USD 730 million, and allege that SPS obstructed the investigation into the full extent of the defects in the mortgage pools by refusing to afford the trustee reasonable access to certain origination files; and one action brought by Home Equity Mortgage Trust Series 2006-5, in which plaintiff alleges damages of not less than USD 500 million, and alleges that SPS likely discovered DLJ’s alleged breaches of representations and warranties but did not notify the trustee of such breaches, in alleged violation of its contractual obligations. These actions are brought in the SCNY and are at early </w:t>
            </w:r>
            <w:r>
              <w:t xml:space="preserve">or intermediate </w:t>
            </w:r>
            <w:r w:rsidRPr="00E93ED8">
              <w:t xml:space="preserve">procedural points. </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236267">
              <w:t xml:space="preserve">Die DLJ Mortgage Capital, Inc. </w:t>
            </w:r>
            <w:r w:rsidRPr="00236267">
              <w:rPr>
                <w:lang w:val="de-DE"/>
              </w:rPr>
              <w:t>(</w:t>
            </w:r>
            <w:r>
              <w:rPr>
                <w:lang w:val="de-DE"/>
              </w:rPr>
              <w:t>"</w:t>
            </w:r>
            <w:r w:rsidRPr="00236267">
              <w:rPr>
                <w:b/>
                <w:lang w:val="de-DE"/>
              </w:rPr>
              <w:t>DLJ</w:t>
            </w:r>
            <w:r>
              <w:rPr>
                <w:lang w:val="de-DE"/>
              </w:rPr>
              <w:t>"</w:t>
            </w:r>
            <w:r w:rsidRPr="00236267">
              <w:rPr>
                <w:lang w:val="de-DE"/>
              </w:rPr>
              <w:t>) ist als Beklagte in folgenden Rechtsstreitigkeiten benannt: in einer Klage seitens der Asset Backed Securities Corporation Home Equity Loan Trust, Series 2006-HE7, bei welcher der Kläger Schadensersatzforderungen in Höhe von mindestens USD </w:t>
            </w:r>
            <w:r>
              <w:rPr>
                <w:lang w:val="de-DE"/>
              </w:rPr>
              <w:t>341</w:t>
            </w:r>
            <w:r w:rsidRPr="00236267">
              <w:rPr>
                <w:lang w:val="de-DE"/>
              </w:rPr>
              <w:t> Mio. geltend macht;</w:t>
            </w:r>
            <w:r>
              <w:rPr>
                <w:lang w:val="de-DE"/>
              </w:rPr>
              <w:t xml:space="preserve"> </w:t>
            </w:r>
            <w:r w:rsidRPr="00A5526E">
              <w:rPr>
                <w:lang w:val="de-DE"/>
              </w:rPr>
              <w:t>diese Klage wurde durch Entscheidung des SCNY vom 24. März 2015 abgewiesen und gegen diese Entscheidung wurde Berufung eingelegt, woraufhin die Klage am 17 September 2015 neu eingereicht wurde</w:t>
            </w:r>
            <w:r>
              <w:rPr>
                <w:lang w:val="de-DE"/>
              </w:rPr>
              <w:t>;</w:t>
            </w:r>
            <w:r w:rsidRPr="00236267">
              <w:rPr>
                <w:lang w:val="de-DE"/>
              </w:rPr>
              <w:t xml:space="preserve"> in einer Klage seitens der Home Equity Asset Trust, Series 2006-8, bei welcher der Kläger Schadensersatzforderungen in Höhe von mindestens USD 436 Mio. geltend macht; in einer Klage seitens der Home Equity Asset Trust 2007-1, bei welcher der Kläger Schadensersatzforderungen von mindestens USD 420 Mio. geltend macht; in einer Klage seitens der Home Equity Asset Trust Series 2007-3, bei welcher der Kläger Schadensersatzforderungen von mindestens USD 206 Mio. geltend macht; in einer Klage seitens der Asset Backed Securities Corporation Home Equity Loan Trust Series AMQ 2007-HE2, bei der keine Schadensersatzforderung geltend gemacht wird, </w:t>
            </w:r>
            <w:r w:rsidRPr="00A5526E">
              <w:rPr>
                <w:lang w:val="de-DE"/>
              </w:rPr>
              <w:t>die am 8. April 2015 durch Entscheidung des SCNY abgewiesen wurde, wogegen am 13</w:t>
            </w:r>
            <w:r>
              <w:rPr>
                <w:lang w:val="de-DE"/>
              </w:rPr>
              <w:t>.</w:t>
            </w:r>
            <w:r w:rsidRPr="00A5526E">
              <w:rPr>
                <w:lang w:val="de-DE"/>
              </w:rPr>
              <w:t xml:space="preserve"> Mai 2015 Berufung eingelegt wurde, die am 18. September 2015 wieder zurückgenommen wurde; </w:t>
            </w:r>
            <w:r w:rsidRPr="00236267">
              <w:rPr>
                <w:lang w:val="de-DE"/>
              </w:rPr>
              <w:t>in einer Klage seitens der Home Equity Asset Trust, Series 2007-2, bei welcher der Kläger Schadensersatzforderungen von mindestens USD 495 Mio. geltend macht, sowie in einer Klage seitens der CSMC Asset-Backed Trust 2007-NC1, bei der keine Schadensersatzforderung geltend gemacht wird. Die DLJ und die mit ihr verbundene Select Portfolio Servicing, Inc. (</w:t>
            </w:r>
            <w:r>
              <w:rPr>
                <w:lang w:val="de-DE"/>
              </w:rPr>
              <w:t>"</w:t>
            </w:r>
            <w:r w:rsidRPr="00236267">
              <w:rPr>
                <w:b/>
                <w:lang w:val="de-DE"/>
              </w:rPr>
              <w:t>SPS</w:t>
            </w:r>
            <w:r>
              <w:rPr>
                <w:lang w:val="de-DE"/>
              </w:rPr>
              <w:t>"</w:t>
            </w:r>
            <w:r w:rsidRPr="00236267">
              <w:rPr>
                <w:lang w:val="de-DE"/>
              </w:rPr>
              <w:t>) sind als Beklagte in folgenden Rechtsstreitigkeiten benannt: in einer Klage seitens der Home Equity Mortgage Trust Series 2006-1, der Home Equity Mortgage Trust Series 2006-3 und der Home Equity Mortgage Trust Series 2006-4, bei welcher die Kläger Schadensersatzforderungen in Höhe von mindestens USD 730 Mio. geltend machen und anführen, dass SPS die vollständige Untersuchung der Mängel an den Hypothekenkredit-Pools durch ihre Weigerung, dem Trustee angemessenen Zugang zu bestimmten Originationsunterlagen zu gewähren, behindert habe; sowie in einer Klage seitens der Home Equity Mortgage Trust Series 2006-5, bei welcher der Kläger Schadensersatzforderungen von mindestens USD 500 Mio. geltend macht und vorbringt, dass die SPS wahrscheinlich die mutmasslichen Verletzungen der Zusicherungen und Gewährleistungen seitens der DLJ festgestellt, den Treuhänder wegen des angeblichen Verstosses aber entgegen ihrer Vertragspflichten von diesen Verletzungen nicht in Kenntnis gesetzt hätte. Diese Klagen sind beim SCNY anhängig und befinden sich in frühen bzw. mittleren Verfahrensabschnitten</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rPr>
                <w:i/>
              </w:rPr>
            </w:pPr>
            <w:r w:rsidRPr="00E93ED8">
              <w:t>The following repurchase actions were dismissed with prejudice in 2013: the three consolidated actions brought by Home Equity Asset Trust 2006-5, Home Equity Asset Trust 2006-6 and Home Equity Asset Trust 2006-7 against DLJ.</w:t>
            </w:r>
            <w:r>
              <w:t xml:space="preserve"> Those dismissals are on appeal.</w:t>
            </w:r>
          </w:p>
        </w:tc>
        <w:tc>
          <w:tcPr>
            <w:tcW w:w="2501" w:type="pct"/>
            <w:gridSpan w:val="8"/>
            <w:tcBorders>
              <w:left w:val="single" w:sz="4" w:space="0" w:color="auto"/>
            </w:tcBorders>
            <w:shd w:val="clear" w:color="auto" w:fill="auto"/>
          </w:tcPr>
          <w:p w:rsidR="004C1EBA" w:rsidRPr="00236267" w:rsidP="004C1EBA">
            <w:pPr>
              <w:pStyle w:val="csbody00"/>
              <w:rPr>
                <w:lang w:val="en-US"/>
              </w:rPr>
            </w:pPr>
            <w:r w:rsidRPr="00236267">
              <w:rPr>
                <w:lang w:val="de-DE"/>
              </w:rPr>
              <w:t xml:space="preserve">Die folgenden Klagen auf Rückkauf wurden 2013 endgültig abgewiesen: die drei konsolidierten Klagen seitens der Home Equity Asset Trust 2006-5, der Home Equity Asset Trust 2006-6 und der Home Equity Asset Trust 2006-7 gegen die DLJ. </w:t>
            </w:r>
            <w:r w:rsidRPr="00236267">
              <w:rPr>
                <w:lang w:val="en-US"/>
              </w:rPr>
              <w:t>Gegen diese Klageabweisungen wurde Berufung eingelegt</w:t>
            </w:r>
            <w:r>
              <w:rPr>
                <w:lang w:val="en-US"/>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Refco-related litigation</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Refco-bezogene Rechtsstreitigkeiten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 xml:space="preserve">In March 2008, CSS LLC was named, along with other financial services firms, accountants, lawyers, officers, directors and controlling persons, as a defendant in an action filed in New York </w:t>
            </w:r>
            <w:r>
              <w:t>s</w:t>
            </w:r>
            <w:r w:rsidRPr="00E93ED8">
              <w:t xml:space="preserve">tate court (later removed to the </w:t>
            </w:r>
            <w:r>
              <w:t>SDNY</w:t>
            </w:r>
            <w:r w:rsidRPr="00E93ED8">
              <w:t>) by the Joint Official Liquidators of various SPhinX Funds and the trustee of the SphinX Trust, which holds claims that belonged to PlusFunds Group, Inc. (</w:t>
            </w:r>
            <w:r>
              <w:t>"</w:t>
            </w:r>
            <w:r w:rsidRPr="00E93ED8">
              <w:rPr>
                <w:b/>
              </w:rPr>
              <w:t>PlusFunds</w:t>
            </w:r>
            <w:r>
              <w:t>"</w:t>
            </w:r>
            <w:r w:rsidRPr="00E93ED8">
              <w:t xml:space="preserve">), the investment manager for the SPhinX Funds. The operative amended complaint asserted claims against CSS LLC for aiding and abetting breaches of fiduciary duty and aiding and abetting fraud by Refco’s insiders in connection with Refco’s August 2004 notes offering and August 2005 </w:t>
            </w:r>
            <w:r>
              <w:t>initial public offering</w:t>
            </w:r>
            <w:r w:rsidRPr="00E93ED8">
              <w:t xml:space="preserve">. Plaintiffs sought to recover from defendants more than USD 800 million, consisting of USD 263 million that the SphinX Managed Futures Fund, a SPhinX fund, had on deposit and lost at Refco, several hundred million dollars in alleged additional </w:t>
            </w:r>
            <w:r>
              <w:t>"</w:t>
            </w:r>
            <w:r w:rsidRPr="00E93ED8">
              <w:t>lost enterprise</w:t>
            </w:r>
            <w:r>
              <w:t>"</w:t>
            </w:r>
            <w:r w:rsidRPr="00E93ED8">
              <w:t xml:space="preserve"> damages of PlusFunds, and pre-judgment interest. In November 2008, CSS LLC filed a motion to dismiss the amended complaint. In February 2012, the court granted in part and denied in part the motion to dismiss, which left intact part of plaintiffs’ claim for aiding and abetting fraud. In August 2012, CSS LLC filed a motion for summary judgment with respect to the remaining part of plaintiffs’ aiding and abetting fraud claim. In December 2012, the court granted the motion, thus dismissing CSS LLC from the case. The court </w:t>
            </w:r>
            <w:r>
              <w:t>entered</w:t>
            </w:r>
            <w:r w:rsidRPr="00E93ED8">
              <w:t xml:space="preserve"> a final judgment </w:t>
            </w:r>
            <w:r>
              <w:t>dismissing</w:t>
            </w:r>
            <w:r w:rsidRPr="00E93ED8">
              <w:t xml:space="preserve"> </w:t>
            </w:r>
            <w:r>
              <w:t xml:space="preserve">the </w:t>
            </w:r>
            <w:r w:rsidRPr="00E93ED8">
              <w:t xml:space="preserve">claims against CSS LLC </w:t>
            </w:r>
            <w:r>
              <w:t xml:space="preserve">on 16 August 2014 and, on 16 September 2014, plaintiffs appealed to the U.S. Court of Appeals for the Second Circuit. Briefing on the </w:t>
            </w:r>
            <w:r w:rsidRPr="00E93ED8">
              <w:t>appeal</w:t>
            </w:r>
            <w:r>
              <w:t xml:space="preserve"> is ongoing and oral argument is expected in 2015</w:t>
            </w:r>
            <w:r w:rsidRPr="00E93ED8">
              <w:t>.</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236267">
              <w:rPr>
                <w:lang w:val="de-DE"/>
              </w:rPr>
              <w:t>Im März 2008 wurde die CSS LLC zusammen mit anderen Finanzdienstleistern, Rechnungsprüfern, Anwälten, leitenden Angestellten, Vorständen und Controlling-Verantwortlichen als Beklagte in einer Klage aufgeführt, die von den Joint Official Liquidators verschiedener SPhinx Funds und vom Sachverwalter des SPhinx Trust, der Forderungen hält, welche der PlusFunds Group, Inc. (</w:t>
            </w:r>
            <w:r>
              <w:rPr>
                <w:lang w:val="de-DE"/>
              </w:rPr>
              <w:t>"</w:t>
            </w:r>
            <w:r w:rsidRPr="00236267">
              <w:rPr>
                <w:b/>
                <w:lang w:val="de-DE"/>
              </w:rPr>
              <w:t>Plus-Funds</w:t>
            </w:r>
            <w:r>
              <w:rPr>
                <w:lang w:val="de-DE"/>
              </w:rPr>
              <w:t>"</w:t>
            </w:r>
            <w:r w:rsidRPr="00236267">
              <w:rPr>
                <w:lang w:val="de-DE"/>
              </w:rPr>
              <w:t xml:space="preserve">), dem Investmentmanager für die SPhinX Funds, gehörten, beim New York State Court eingereicht worden war (und später an den SDNY verwiesen wurde). In der rechtswirksam abgeänderten Klage wurden Ansprüche gegenüber der CSS LLC wegen Beihilfe zur Verletzung der Treuepflicht und Beihilfe zum Betrug durch Vertreter von Refco im Zusammenhang mit dem Notes-Angebot von Refco im August 2004 und dem Börsengang im August 2005 geltend gemacht. Die Kläger zielten darauf ab, von den Beklagten über USD 800 Mio. zugesprochen zu bekommen, bestehend aus USD 263 Mio., welche der SPhinX Managed Futures Fund, ein Fonds von SPhinX, bei Refco hinterlegt hatte und verlor, mehreren hundert Millionen Dollar an zusätzlich geltend gemachtem Schadensersatz für </w:t>
            </w:r>
            <w:r>
              <w:rPr>
                <w:lang w:val="de-DE"/>
              </w:rPr>
              <w:t>"</w:t>
            </w:r>
            <w:r w:rsidRPr="00236267">
              <w:rPr>
                <w:lang w:val="de-DE"/>
              </w:rPr>
              <w:t>Geschäftsausfall</w:t>
            </w:r>
            <w:r>
              <w:rPr>
                <w:lang w:val="de-DE"/>
              </w:rPr>
              <w:t>"</w:t>
            </w:r>
            <w:r w:rsidRPr="00236267">
              <w:rPr>
                <w:lang w:val="de-DE"/>
              </w:rPr>
              <w:t xml:space="preserve"> (</w:t>
            </w:r>
            <w:r w:rsidRPr="00236267">
              <w:rPr>
                <w:i/>
                <w:lang w:val="de-DE"/>
              </w:rPr>
              <w:t>lost enterprise</w:t>
            </w:r>
            <w:r w:rsidRPr="00236267">
              <w:rPr>
                <w:lang w:val="de-DE"/>
              </w:rPr>
              <w:t>) von PlusFunds sowie bis zum Urteil aufgelaufener Zinsen. Im November 2008 reichte die CSS LLC einen Antrag auf Abweisung der abgeänderten Klage ein. Im Februar 2012 verfügte das Gericht die teilweise Gewährung und teilweise Ablehnung des Abweisungsantrags, der Antrag der Kläger bezüglich Beihilfe zum Betrug wurde dadurch nur teilweise berührt. Im August 2012 reichte die CSS LLC einen Antrag auf summarische Entscheidung des verbleibenden Teils des Antrags der Kläger bezüglich Beihilfe zum Betrug ein. Im Dezember 2012 verfügte das Gericht die Gewährung des Antrags und entliess die CSS LLC somit aus dem Verfahren. Das Gericht fällte am 16. August 2014 ein endgültiges Urteil und lehnte die Forderungen gegenüber der CSS LCC ab. Am 16. September 2014 legten die Kläger beim US Court of Appeals for the Second Circuit Berufung gegen dieses Urteil ein. Diese Berufung befindet sich derzeit im Stadium der schriftlichen Information des Gerichts (</w:t>
            </w:r>
            <w:r w:rsidRPr="00236267">
              <w:rPr>
                <w:i/>
                <w:lang w:val="de-DE"/>
              </w:rPr>
              <w:t>briefing</w:t>
            </w:r>
            <w:r w:rsidRPr="00236267">
              <w:rPr>
                <w:lang w:val="de-DE"/>
              </w:rPr>
              <w:t>), die mündliche Verhandlung dürfte im Jahr 2015 stattfinden</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Bank loan litigation</w:t>
            </w:r>
          </w:p>
        </w:tc>
        <w:tc>
          <w:tcPr>
            <w:tcW w:w="2501" w:type="pct"/>
            <w:gridSpan w:val="8"/>
            <w:tcBorders>
              <w:left w:val="single" w:sz="4" w:space="0" w:color="auto"/>
            </w:tcBorders>
            <w:shd w:val="clear" w:color="auto" w:fill="auto"/>
          </w:tcPr>
          <w:p w:rsidR="004C1EBA" w:rsidRPr="00985AE1" w:rsidP="004C1EBA">
            <w:pPr>
              <w:pStyle w:val="csbody00"/>
              <w:rPr>
                <w:b/>
                <w:lang w:val="de-DE"/>
              </w:rPr>
            </w:pPr>
            <w:r w:rsidRPr="00985AE1">
              <w:rPr>
                <w:b/>
                <w:lang w:val="de-DE"/>
              </w:rPr>
              <w:t>Rechtsstreitigkeit in Bezug auf Kredite</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 xml:space="preserve">On 3 January 2010, Credit Suisse and other affiliates were named as defendants in a lawsuit filed in the U.S. District Court for the District of Idaho by homeowners in four real estate developments, Tamarack Resort, Yellowstone Club, Lake Las Vegas and Ginn Sur Mer. Credit Suisse arranged, and was the agent bank for, syndicated loans provided for all four developments, which have been or are now in bankruptcy or foreclosure. The plaintiffs generally allege that Credit Suisse and other affiliates committed fraud by using an unaccepted appraisal method to overvalue the properties with the intention to have the borrowers take out loans they could not repay because it would allow Credit Suisse and other affiliates to later push the borrowers into bankruptcy and take ownership of the properties. Plaintiffs demanded USD 24 billion in damages. Cushman &amp; Wakefield, the appraiser for the properties at issue, is also named as a defendant. After the filing of amended complaints and motions to dismiss, the claims were significantly reduced. On 24 September 2013, the court denied the plaintiffs’ motion for class certification so the case cannot proceed as a class action. </w:t>
            </w:r>
            <w:r>
              <w:t>On 5</w:t>
            </w:r>
            <w:r w:rsidRPr="006527EC">
              <w:t xml:space="preserve"> February 2015, the court granted plaintiffs’ motion for leave to file an amended complaint, adding additional individual plaintiffs. </w:t>
            </w:r>
            <w:r w:rsidRPr="00E93ED8">
              <w:t>Credit Suisse and other affiliates are also the subject of certain other related litigation regarding these four and other similar real estate developments.</w:t>
            </w:r>
            <w:r>
              <w:t xml:space="preserve"> </w:t>
            </w:r>
            <w:r w:rsidRPr="006527EC">
              <w:t xml:space="preserve">Such litigation includes two cases brought in Texas and New York state court against </w:t>
            </w:r>
            <w:r>
              <w:t>Credit Suisse</w:t>
            </w:r>
            <w:r w:rsidRPr="006527EC">
              <w:t xml:space="preserve"> affiliates by entities related to Highland Capital Management LP (</w:t>
            </w:r>
            <w:r>
              <w:t>"</w:t>
            </w:r>
            <w:r w:rsidRPr="0050242D">
              <w:rPr>
                <w:b/>
              </w:rPr>
              <w:t>Highland</w:t>
            </w:r>
            <w:r w:rsidRPr="0050242D">
              <w:t>"</w:t>
            </w:r>
            <w:r w:rsidRPr="006527EC">
              <w:t xml:space="preserve">). In the </w:t>
            </w:r>
            <w:r>
              <w:t>case</w:t>
            </w:r>
            <w:r w:rsidRPr="006527EC">
              <w:t xml:space="preserve"> in Texas state court</w:t>
            </w:r>
            <w:r>
              <w:t>s</w:t>
            </w:r>
            <w:r w:rsidRPr="006527EC">
              <w:t xml:space="preserve">, a jury trial was held on one of the claims in December 2014. A verdict was issued for the plaintiff on that claim; judgment has not yet been entered. </w:t>
            </w:r>
            <w:r w:rsidRPr="00A5526E">
              <w:t xml:space="preserve">The Texas judge held a bench trial on the remaining claims in May and June 2015, and issued a USD 287 million verdict for the plaintiff on 4 September 2015. Credit Suisse has taken the initial steps to challenge the verdict. </w:t>
            </w:r>
            <w:r w:rsidRPr="006527EC">
              <w:t xml:space="preserve">In the case in New York state court, the court granted in part and denied in part </w:t>
            </w:r>
            <w:r>
              <w:t>Credit Suisse</w:t>
            </w:r>
            <w:r w:rsidRPr="006527EC">
              <w:t xml:space="preserve">’s summary judgment motion. </w:t>
            </w:r>
            <w:r>
              <w:t>Credit Suisse</w:t>
            </w:r>
            <w:r w:rsidRPr="006527EC">
              <w:t xml:space="preserve"> affiliates separately sued Highland-managed funds on related trades and received favourable judgment which has been appealed.</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E93ED8">
              <w:rPr>
                <w:lang w:val="de-DE"/>
              </w:rPr>
              <w:t xml:space="preserve">Am 3. Januar 2010 wurden die Credit Suisse und weitere, mit ihr verbundene Gesellschaften in einem von Hausbesitzern in den vier Freizeit- bzw. Wohnanlagen Tamarack Resort, Yellowstone Club, Lake Las Vegas und Ginn Sur Mer bei dem US District Court for the District of Idaho angestrengten Gerichtsverfahren als Beklagte aufgeführt. Die </w:t>
            </w:r>
            <w:r w:rsidRPr="00E93ED8">
              <w:rPr>
                <w:lang w:val="de-CH"/>
              </w:rPr>
              <w:t>Credit Suisse</w:t>
            </w:r>
            <w:r w:rsidRPr="00E93ED8">
              <w:rPr>
                <w:lang w:val="de-DE"/>
              </w:rPr>
              <w:t xml:space="preserve"> arrangierte syndizierte Kredite für alle vier Freizeit- bzw. Wohnanlagen und fungierte als Treuhänder. Inzwischen sind bzw. waren alle vier Anlagen von Konkurs- oder Zwangsvollstreckungsverfahren betroffen. Die Kläger behaupten, dass die </w:t>
            </w:r>
            <w:r w:rsidRPr="00E93ED8">
              <w:rPr>
                <w:lang w:val="de-CH"/>
              </w:rPr>
              <w:t>Credit Suisse</w:t>
            </w:r>
            <w:r w:rsidRPr="00E93ED8">
              <w:rPr>
                <w:lang w:val="de-DE"/>
              </w:rPr>
              <w:t xml:space="preserve"> und mit ihr verbundene Gesellschaften durch Anwendung einer nicht anerkannten Bewertungsmethode Betrug begingen, um die Liegenschaftswerte übermässig hoch anzusetzen und die Kreditnehmer zu Ausleihungen zu veranlassen, die sie nicht tilgen könnten. Dies aus dem Grund, dass die </w:t>
            </w:r>
            <w:r w:rsidRPr="00E93ED8">
              <w:rPr>
                <w:lang w:val="de-CH"/>
              </w:rPr>
              <w:t>Credit Suisse</w:t>
            </w:r>
            <w:r w:rsidRPr="00E93ED8">
              <w:rPr>
                <w:lang w:val="de-DE"/>
              </w:rPr>
              <w:t xml:space="preserve"> und die weiteren, mit ihr verbundenen Unternehmen die Kreditnehmer in den Konkurs treiben und die Liegen</w:t>
            </w:r>
            <w:r w:rsidRPr="00E93ED8">
              <w:rPr>
                <w:lang w:val="de-DE"/>
              </w:rPr>
              <w:softHyphen/>
              <w:t>schaften übernehmen wollten. Die Kläger haben einen Schadens</w:t>
            </w:r>
            <w:r w:rsidRPr="00E93ED8">
              <w:rPr>
                <w:lang w:val="de-DE"/>
              </w:rPr>
              <w:softHyphen/>
              <w:t>ersatz von USD 24 Mrd. verlangt. Cushman &amp; Wakefield, das mit der Schätzung der betreffenden Immobilien betraute Institut, zählt ebenfalls zu den Beklagten. Die Einreichung von abgeänderten Klagen und Abweisungsanträgen führte zu einer beträchtlichen Verringerung der Ansprüche. Am 24. September 2013 wies das Gericht den Antrag der Kläger auf Behandlung als Sammelklage ab, so dass das Verfahren nicht als Sammelklage geführt werden kann</w:t>
            </w:r>
            <w:r>
              <w:rPr>
                <w:lang w:val="de-DE"/>
              </w:rPr>
              <w:t xml:space="preserve">. </w:t>
            </w:r>
            <w:r w:rsidRPr="00236267">
              <w:rPr>
                <w:lang w:val="de-DE"/>
              </w:rPr>
              <w:t>Am 5. Februar 2015 liess das Gericht den Antrag der Kläger auf Möglichkeit zur Einreichung einer erweiterten Klage zu, der sich weitere einzelne Kläger anschlossen. Die Credit Suisse und weitere verbundene Gesellschaften sind auch Parteien anderer Rechtsstreitigkeiten im Hinblick auf die Entwicklung dieser vier und sonstiger Immobilienprojekte. Hierzu gehören zwei vor den State Courts von Texas und New York gegen mit der Credit Suisse verbundene Gesellschaften erhobene Klagen; Kläger sind mit Highland Capital Management LP (</w:t>
            </w:r>
            <w:r>
              <w:rPr>
                <w:lang w:val="de-DE"/>
              </w:rPr>
              <w:t>"</w:t>
            </w:r>
            <w:r w:rsidRPr="00236267">
              <w:rPr>
                <w:b/>
                <w:lang w:val="de-DE"/>
              </w:rPr>
              <w:t>Highland</w:t>
            </w:r>
            <w:r>
              <w:rPr>
                <w:lang w:val="de-DE"/>
              </w:rPr>
              <w:t>"</w:t>
            </w:r>
            <w:r w:rsidRPr="00236267">
              <w:rPr>
                <w:lang w:val="de-DE"/>
              </w:rPr>
              <w:t xml:space="preserve">) verbundene Einheiten. Vor den State Courts von Texas wurde eine der Klagen im Dezember 2014 Gegenstand eines Geschworenenprozesses. Die betreffende Entscheidung fiel zu Gunsten des Klägers aus; das entsprechende Urteil ist noch nicht ergangen. </w:t>
            </w:r>
            <w:r w:rsidRPr="00A5526E">
              <w:rPr>
                <w:lang w:val="de-DE"/>
              </w:rPr>
              <w:t xml:space="preserve">Der texanische Richter führte ein Einzelrichter-Verfahren (bench trial) über die verbleibenden Forderungen im Mai und Juni 2015 durch und fällte am 4. September 2015 ein USD-287-Mio.-Urteil zugunsten der Kläger. Credit Suisse hat erste Schritte unternommen, um gegen das Urteil vorzugehen. </w:t>
            </w:r>
            <w:r w:rsidRPr="00236267">
              <w:rPr>
                <w:lang w:val="de-DE"/>
              </w:rPr>
              <w:t>Der New York State Court gab dem Antrag der Credit Suisse auf Entscheidung im summarischen Verfahren teilweise statt, wies ihn in Teilen jedoch ab. Mit der Credit Suisse verbundene Gesellschaften strengten ihrerseits eine Klage gegen von Highland verwaltete Fonds im Zusammenhang mit verwandten Geschäften an und erzielten ein günstiges Urteil, gegen das Berufung eingelegt wurde</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Tax and securities law matters</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Steuerliche und wertpapierrechtliche Angelegenheiten</w:t>
            </w:r>
          </w:p>
        </w:tc>
      </w:tr>
      <w:tr w:rsidTr="004C1EBA">
        <w:tblPrEx>
          <w:tblW w:w="5002" w:type="pct"/>
          <w:tblLayout w:type="fixed"/>
          <w:tblLook w:val="00A0"/>
        </w:tblPrEx>
        <w:tc>
          <w:tcPr>
            <w:tcW w:w="2499" w:type="pct"/>
            <w:gridSpan w:val="5"/>
            <w:tcBorders>
              <w:right w:val="single" w:sz="4" w:space="0" w:color="auto"/>
            </w:tcBorders>
          </w:tcPr>
          <w:p w:rsidR="004C1EBA" w:rsidRPr="00E93ED8">
            <w:pPr>
              <w:pStyle w:val="csbody00"/>
            </w:pPr>
            <w:r w:rsidRPr="00985AE1">
              <w:t>Beginning in 2011, the Group has responded to subpoenas and other requests for information from the United States Department of Justice (</w:t>
            </w:r>
            <w:r>
              <w:t>"</w:t>
            </w:r>
            <w:r w:rsidRPr="00985AE1">
              <w:rPr>
                <w:b/>
              </w:rPr>
              <w:t>DOJ</w:t>
            </w:r>
            <w:r>
              <w:rPr>
                <w:lang w:val="en-US"/>
              </w:rPr>
              <w:t>"</w:t>
            </w:r>
            <w:r w:rsidRPr="00985AE1">
              <w:t xml:space="preserve">), the SEC and other authorities involving historical Private Banking services provided on a cross-border basis to U.S. persons. U.S. authorities were investigating possible violations of U.S. tax and securities laws. In particular, the DOJ was investigating whether U.S. clients violated their U.S. tax obligations and whether the Group and certain of its employees assisted such clients. The SEC investigated whether certain of the Group’s relationship managers triggered obligations for the Group or the relationship managers in Switzerland to register with the SEC as a broker-dealer or investment advisor. A limited number of current or former employees were indicted and two former employees pleaded guilty (in one case, as to conduct while employed at other financial institutions that did not involve the Group and in the other case as to conduct while employed at a former </w:t>
            </w:r>
            <w:r w:rsidR="00090525">
              <w:t>Group</w:t>
            </w:r>
            <w:r w:rsidRPr="00985AE1">
              <w:t xml:space="preserve"> subsidiary prior to 2006 and other financial institutions after 2006). The Group received a grand jury target letter from the DOJ in July 2011.</w:t>
            </w:r>
          </w:p>
        </w:tc>
        <w:tc>
          <w:tcPr>
            <w:tcW w:w="2501" w:type="pct"/>
            <w:gridSpan w:val="8"/>
            <w:tcBorders>
              <w:left w:val="single" w:sz="4" w:space="0" w:color="auto"/>
            </w:tcBorders>
            <w:shd w:val="clear" w:color="auto" w:fill="auto"/>
          </w:tcPr>
          <w:p w:rsidR="004C1EBA" w:rsidRPr="00E93ED8">
            <w:pPr>
              <w:pStyle w:val="csbody00"/>
              <w:rPr>
                <w:lang w:val="de-DE"/>
              </w:rPr>
            </w:pPr>
            <w:r w:rsidRPr="00985AE1">
              <w:rPr>
                <w:lang w:val="de-DE"/>
              </w:rPr>
              <w:t>Seit 2011 hat die Gruppe auf Vorladungen und Gesuche des US-Justizministeriums (</w:t>
            </w:r>
            <w:r w:rsidRPr="00985AE1">
              <w:rPr>
                <w:i/>
                <w:lang w:val="de-DE"/>
              </w:rPr>
              <w:t>Department of Justice</w:t>
            </w:r>
            <w:r w:rsidRPr="00985AE1">
              <w:rPr>
                <w:lang w:val="de-DE"/>
              </w:rPr>
              <w:t xml:space="preserve">, </w:t>
            </w:r>
            <w:r>
              <w:rPr>
                <w:lang w:val="de-DE"/>
              </w:rPr>
              <w:t>"</w:t>
            </w:r>
            <w:r w:rsidRPr="00985AE1">
              <w:rPr>
                <w:b/>
                <w:lang w:val="de-DE"/>
              </w:rPr>
              <w:t>DOJ</w:t>
            </w:r>
            <w:r>
              <w:rPr>
                <w:lang w:val="de-DE"/>
              </w:rPr>
              <w:t>"</w:t>
            </w:r>
            <w:r w:rsidRPr="00985AE1">
              <w:rPr>
                <w:lang w:val="de-DE"/>
              </w:rPr>
              <w:t xml:space="preserve">), der US-Wertpapier- und Börsenaufsichtsbehörde SEC und weiterer Behörden hin bestimmte Angaben zu in der Vergangenheit erbrachten, grenzüberschreitenden Private-Banking-Dienstleistungen an US-Personen zur Verfügung gestellt. Die US-Behörden untersuchten mögliche Verstösse gegen US-Steuer- und Wertpapiergesetze. Insbesondere untersuchte das US-Justizministerium, ob US-Kunden gegen ihre US-Steuerpflichten verstossen haben und die Gruppe und bestimmte ihrer Mitarbeiter den betreffenden Kunden dabei geholfen haben. Die SEC untersuchte, ob bestimmte Kundenberater der Gruppe für die Gruppe oder die Kundenberater in der Schweiz eine Registrierungspflicht als Broker-Dealer oder Investment Advisor bei der SEC begründeten. Eine begrenzte Anzahl derzeitiger oder ehemaliger Mitarbeiter wurde angeklagt; zwei ehemalige Mitarbeiter bekannten sich schuldig (in einem Fall für Handlungen als Angestellter eines anderen Finanzinstituts, in welche die Gruppe nicht involviert war, und im anderen Fall für Handlungen bei einer Tochtergesellschaft der </w:t>
            </w:r>
            <w:r w:rsidR="00090525">
              <w:rPr>
                <w:lang w:val="de-DE"/>
              </w:rPr>
              <w:t>Gruppe</w:t>
            </w:r>
            <w:r w:rsidRPr="00985AE1">
              <w:rPr>
                <w:lang w:val="de-DE"/>
              </w:rPr>
              <w:t xml:space="preserve"> vor dem Jahr 2006 und bei anderen Finanzinstituten nach 2006). Die Gruppe hat im Juli 2011 vom US-Justizministerium einen </w:t>
            </w:r>
            <w:r>
              <w:rPr>
                <w:lang w:val="de-DE"/>
              </w:rPr>
              <w:t>"</w:t>
            </w:r>
            <w:r w:rsidRPr="00985AE1">
              <w:rPr>
                <w:lang w:val="de-DE"/>
              </w:rPr>
              <w:t>Target Letter</w:t>
            </w:r>
            <w:r>
              <w:rPr>
                <w:lang w:val="de-DE"/>
              </w:rPr>
              <w:t>"</w:t>
            </w:r>
            <w:r w:rsidRPr="00985AE1">
              <w:rPr>
                <w:lang w:val="de-DE"/>
              </w:rPr>
              <w:t xml:space="preserve"> der Anklagejury erhalten.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8C6016">
              <w:t>On 21 February 2014, Credit Suisse AG reached a settlement with the SEC that resolved the SEC’s investigation regarding registration as an investment advisor and broker-dealer. In a settled administrative and cease-and-desist proceeding, the SEC charged Credit Suisse AG with violating Section 15(a) of the US Securities Exchange Act of 1934 (</w:t>
            </w:r>
            <w:r>
              <w:t>"</w:t>
            </w:r>
            <w:r w:rsidRPr="008C6016">
              <w:rPr>
                <w:b/>
              </w:rPr>
              <w:t>Exchange Act</w:t>
            </w:r>
            <w:r>
              <w:rPr>
                <w:lang w:val="en-US"/>
              </w:rPr>
              <w:t>"</w:t>
            </w:r>
            <w:r w:rsidRPr="008C6016">
              <w:t>) and Section 203(a) of the U.S. Investment Advisers Act of 1940 (</w:t>
            </w:r>
            <w:r>
              <w:t>"</w:t>
            </w:r>
            <w:r w:rsidRPr="008C6016">
              <w:rPr>
                <w:b/>
              </w:rPr>
              <w:t>Advisers Act</w:t>
            </w:r>
            <w:r>
              <w:rPr>
                <w:lang w:val="en-US"/>
              </w:rPr>
              <w:t>"</w:t>
            </w:r>
            <w:r w:rsidRPr="008C6016">
              <w:t>). Specifically, the SEC’s Order found that from at least 2002 until its exit from the U.S. cross-border securities business which Credit Suisse began in 2008, Credit Suisse, through actions of certain of its relationship managers, violated the federal securities laws by providing certain cross-border brokerage and investment advisory services to U.S. clients at a time when Credit Suisse was not registered with the SEC as a broker-dealer or investment advisor. As part of the settlement of the investigation, Credit Suisse agreed, among other things, to cease-and-desist from committing or causing any future violations of Section 15(a) of the Exchange Act or Section 203(a) of the Advisers Act and to pay approximately USD 196 million, inclusive of disgorgement of approximately USD 82 million, prejudgment interest of approximately USD 64 million, and a civil money penalty in the amount of USD 50 million. Credit Suisse also agreed to the appointment of an independent consultant to review its cross-border compliance policies with respect to the U.S. securities laws and verify that Credit Suisse has exited the U.S. cross-border business. The independent consultant has issued its report and Credit Suisse is addressing certain additional items</w:t>
            </w:r>
            <w:r>
              <w:t>.</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8C6016">
              <w:rPr>
                <w:lang w:val="de-DE"/>
              </w:rPr>
              <w:t>Am 21. Februar 2014 schloss die Credit Suisse AG einen Vergleich mit der SEC, durch den die Untersuchungen der SEC bezüglich der Registrierung als Investment Advisor und Broker-Dealer abschliessend geklärt wurden. In einem inzwischen abgeschlossenen Verwaltungs- und Unterlassungsverfahren hatte die SEC der Credit Suisse AG vorgeworfen, gegen Abschnitt 15(a) des US Securities Exchange Act von 1934 (</w:t>
            </w:r>
            <w:r>
              <w:rPr>
                <w:lang w:val="de-DE"/>
              </w:rPr>
              <w:t>"</w:t>
            </w:r>
            <w:r w:rsidRPr="008C6016">
              <w:rPr>
                <w:b/>
                <w:lang w:val="de-DE"/>
              </w:rPr>
              <w:t>Exchange Act</w:t>
            </w:r>
            <w:r>
              <w:rPr>
                <w:lang w:val="de-DE"/>
              </w:rPr>
              <w:t>"</w:t>
            </w:r>
            <w:r w:rsidRPr="008C6016">
              <w:rPr>
                <w:lang w:val="de-DE"/>
              </w:rPr>
              <w:t>) und Abschnitt 203(a) des U.S. Investment Advisers Act von 1940 (</w:t>
            </w:r>
            <w:r>
              <w:rPr>
                <w:lang w:val="de-DE"/>
              </w:rPr>
              <w:t>"</w:t>
            </w:r>
            <w:r w:rsidRPr="008C6016">
              <w:rPr>
                <w:b/>
                <w:lang w:val="de-DE"/>
              </w:rPr>
              <w:t>Advisers Act</w:t>
            </w:r>
            <w:r>
              <w:rPr>
                <w:lang w:val="de-DE"/>
              </w:rPr>
              <w:t>"</w:t>
            </w:r>
            <w:r w:rsidRPr="008C6016">
              <w:rPr>
                <w:lang w:val="de-DE"/>
              </w:rPr>
              <w:t>) verstossen zu haben. Insbesondere befand die SEC in ihrem Unterlassungsanspruch, dass die Credit Suisse mindestens seit 2002 und bis zu ihrem Ausstieg aus dem grenzüberschreitenden Wertpapiergeschäft mit den USA, welchen sie 2008 begann, durch Handlungen einiger ihrer Kundenberater die bundesstaatlichen Wertpapiergesetze verletzt habe, indem sie gewisse grenzüberschreitende Broker- und Anlageberatungsdienstleistungen an Kunden in den USA zu einem Zeitpunkt erbracht habe, zu dem die Credit Suisse bei der SEC nicht als Broker-Dealer oder Investment Advisor registriert war. Im Rahmen der Einstellung der Untersuchungen erklärte sich die Credit Suisse unter anderem damit einverstanden, jegliche zukünftige Verletzung (sowie die Veranlassung einer Verletzung) von Abschnitt 15(a) des Exchange Act oder Abschnitt 203(a) des Advisory Act zu unterlassen und eine Zahlung in Höhe von rund USD 196 Mio. zu leisten, einschliesslich der Herausgabe von rund USD 82 Mio., vorprozessualen Zinsen in Höhe von rund USD 64 Mio. und einer zivilen Geldstrafe in Höhe von USD 50 Mio. Ferner stimmte die Credit Suisse der Bestellung eines unabhängigen Beraters zu, der die Compliance-Politik der Bank für grenzüberschreitende Geschäfte im Hinblick auf die US-Wertpapiergesetze überprüfen und sich vergewissern soll, dass die Credit Suisse das grenzüberschreitende Geschäft mit den USA aufgegeben hat. Der unabhängige Berater hat seinen Bericht eingereicht, und die Credit Suisse befasst sich derzeit mit bestimmten zusätzlichen Aspekte</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t>On 19</w:t>
            </w:r>
            <w:r w:rsidRPr="006527EC">
              <w:t xml:space="preserve"> May 2014, Credit Suisse entered into a settlement regarding all outstanding U</w:t>
            </w:r>
            <w:r>
              <w:t>.</w:t>
            </w:r>
            <w:r w:rsidRPr="006527EC">
              <w:t>S</w:t>
            </w:r>
            <w:r>
              <w:t>.</w:t>
            </w:r>
            <w:r w:rsidRPr="006527EC">
              <w:t xml:space="preserve"> cross-border matters, including agreements with the DOJ, the New York State De</w:t>
            </w:r>
            <w:r>
              <w:t>partment of Financial Services "</w:t>
            </w:r>
            <w:r>
              <w:rPr>
                <w:b/>
              </w:rPr>
              <w:t>DFS</w:t>
            </w:r>
            <w:r>
              <w:t>"</w:t>
            </w:r>
            <w:r w:rsidRPr="006527EC">
              <w:t>) and the Board of Governors of the U</w:t>
            </w:r>
            <w:r>
              <w:t>.</w:t>
            </w:r>
            <w:r w:rsidRPr="006527EC">
              <w:t>S</w:t>
            </w:r>
            <w:r>
              <w:t>.</w:t>
            </w:r>
            <w:r w:rsidRPr="006527EC">
              <w:t xml:space="preserve"> Federal Reserve System (</w:t>
            </w:r>
            <w:r>
              <w:t>the "</w:t>
            </w:r>
            <w:r w:rsidRPr="00FC42FC">
              <w:rPr>
                <w:b/>
              </w:rPr>
              <w:t>Fed</w:t>
            </w:r>
            <w:r>
              <w:t>"</w:t>
            </w:r>
            <w:r w:rsidRPr="006527EC">
              <w:t>). As part of the settlement, Credit Suisse entered a guilty plea to one count of conspiracy to assist U</w:t>
            </w:r>
            <w:r>
              <w:t>.</w:t>
            </w:r>
            <w:r w:rsidRPr="006527EC">
              <w:t>S</w:t>
            </w:r>
            <w:r>
              <w:t>.</w:t>
            </w:r>
            <w:r w:rsidRPr="006527EC">
              <w:t xml:space="preserve"> customers in presenting false income tax returns to the US Internal Revenue Service (</w:t>
            </w:r>
            <w:r>
              <w:t>"</w:t>
            </w:r>
            <w:r w:rsidRPr="00BE14D0">
              <w:rPr>
                <w:b/>
              </w:rPr>
              <w:t>IRS</w:t>
            </w:r>
            <w:r>
              <w:rPr>
                <w:lang w:val="en-US"/>
              </w:rPr>
              <w:t>"</w:t>
            </w:r>
            <w:r w:rsidRPr="006527EC">
              <w:t>) in violation of Title 18, U</w:t>
            </w:r>
            <w:r>
              <w:t>.</w:t>
            </w:r>
            <w:r w:rsidRPr="006527EC">
              <w:t>S</w:t>
            </w:r>
            <w:r>
              <w:t>.</w:t>
            </w:r>
            <w:r w:rsidRPr="006527EC">
              <w:t xml:space="preserve"> Code section 371, in connection with the former Swiss-based cross border Private Banking business. In total, Credit Suisse agreed to pay USD 2,815 million comprised of the following components: (a) USD 2,000 million for the DOJ, including USD 666.5 million in restitution to the IRS and USD 1,333.5 million as a fine (including USD 196 million for the SEC as described in the preceding paragraph); (b) USD 715 million for the DFS; and (c) USD 100 million for the Fed. In prior quarters, Credit Suisse had taken litigation provisions totaling CHF 892 million related to this matter. As a result, the pre-tax impact of the final settlement in the second quarter of 2014 was CHF 1,618 million and the after-tax impact was CHF 1,598 million. The amounts due to the SEC, Fed and DFS were paid in May 2014. The amount due to the DOJ, including the part thereof allocated to the IRS, was paid following the sentencing hearing for Credit Suisse</w:t>
            </w:r>
            <w:r>
              <w:t>, which took place on 21</w:t>
            </w:r>
            <w:r w:rsidRPr="006527EC">
              <w:t xml:space="preserve"> November 2014. In addition to such payments, Credit Suisse, among other things, engaged an independent corporate monitor that reports to the DFS (a separate position from the independent consultant agreed to in the settlement with the SEC), provides ongoing reports to various agencies and terminated the employment of certain individuals at Credit Suisse associated with the improper conduct. Credit Suisse is paying for the cost of the monitor.</w:t>
            </w:r>
          </w:p>
        </w:tc>
        <w:tc>
          <w:tcPr>
            <w:tcW w:w="2501" w:type="pct"/>
            <w:gridSpan w:val="8"/>
            <w:tcBorders>
              <w:left w:val="single" w:sz="4" w:space="0" w:color="auto"/>
            </w:tcBorders>
            <w:shd w:val="clear" w:color="auto" w:fill="auto"/>
          </w:tcPr>
          <w:p w:rsidR="004C1EBA" w:rsidRPr="008C6016" w:rsidP="004C1EBA">
            <w:pPr>
              <w:pStyle w:val="csbody00"/>
              <w:rPr>
                <w:lang w:val="de-DE"/>
              </w:rPr>
            </w:pPr>
            <w:r w:rsidRPr="008C6016">
              <w:rPr>
                <w:lang w:val="de-CH"/>
              </w:rPr>
              <w:t xml:space="preserve">Am 19. Mai 2014 schloss die Credit Suisse eine Einigung bezüglich aller ausstehenden Rechtsfälle im Zusammenhang mit dem grenzüberschreitenden US-Geschäft ab, einschliesslich Vereinbarungen mit dem US-Justizministerium, dem New York State Department of Financial Services (das </w:t>
            </w:r>
            <w:r>
              <w:rPr>
                <w:lang w:val="de-CH"/>
              </w:rPr>
              <w:t>"</w:t>
            </w:r>
            <w:r w:rsidRPr="008C6016">
              <w:rPr>
                <w:b/>
                <w:lang w:val="de-CH"/>
              </w:rPr>
              <w:t>DFS</w:t>
            </w:r>
            <w:r>
              <w:rPr>
                <w:lang w:val="de-CH"/>
              </w:rPr>
              <w:t>"</w:t>
            </w:r>
            <w:r w:rsidRPr="008C6016">
              <w:rPr>
                <w:lang w:val="de-CH"/>
              </w:rPr>
              <w:t xml:space="preserve">) und dem Board of Governors des US Federal Reserve System (die </w:t>
            </w:r>
            <w:r>
              <w:rPr>
                <w:lang w:val="de-CH"/>
              </w:rPr>
              <w:t>"</w:t>
            </w:r>
            <w:r w:rsidRPr="008C6016">
              <w:rPr>
                <w:b/>
                <w:lang w:val="de-CH"/>
              </w:rPr>
              <w:t>Fed</w:t>
            </w:r>
            <w:r>
              <w:rPr>
                <w:lang w:val="de-CH"/>
              </w:rPr>
              <w:t>"</w:t>
            </w:r>
            <w:r w:rsidRPr="008C6016">
              <w:rPr>
                <w:lang w:val="de-CH"/>
              </w:rPr>
              <w:t xml:space="preserve">). Die Einigung beinhaltet unter anderem ein Schuldeingeständnis der Credit Suisse hinsichtlich des Vorwurfs, in Verbindung mit dem früheren in der Schweiz angesiedelten grenzüberschreitenden Private-Banking-Geschäft US-Kunden bei der Einreichung falscher Steuererklärungen bei der US-Bundessteuerbehörde (Internal Revenue Service; die </w:t>
            </w:r>
            <w:r>
              <w:rPr>
                <w:lang w:val="de-CH"/>
              </w:rPr>
              <w:t>"</w:t>
            </w:r>
            <w:r w:rsidRPr="008C6016">
              <w:rPr>
                <w:b/>
                <w:lang w:val="de-CH"/>
              </w:rPr>
              <w:t>IRS</w:t>
            </w:r>
            <w:r>
              <w:rPr>
                <w:lang w:val="de-CH"/>
              </w:rPr>
              <w:t>"</w:t>
            </w:r>
            <w:r w:rsidRPr="008C6016">
              <w:rPr>
                <w:lang w:val="de-CH"/>
              </w:rPr>
              <w:t>) Beihilfe geleistet zu haben, wodurch gegen Title 18, U.S. Code, Section 371 verstossen wurde. Die Credit Suisse erklärte sich mit der Zahlung eines wie folgt zusammengesetzten Betrags in Höhe von insgesamt USD 2.815 Mio. einverstanden: (a) USD 2.000 Mio. an das US-Justizministerium, die eine Rückzahlung in Höhe von USD 666,5 Mio. an die IRS und eine Strafe in Höhe von USD 1.333,5 Mio. umfassen (einschliesslich der im vorstehenden Abschnitt beschriebenen Zahlung an die SEC in Höhe von USD 196 Mio.); (b) USD 715 Mio. an das DFS; und (c) USD 100 Mio. an die Fed. In vorherigen Quartalen hatte die Credit Suisse im Zusammenhang mit dieser Angelegenheit Rückstellungen für Rechtsstreitigkeiten in Höhe von insgesamt CHF 892 Mio. gebildet. Die endgültige Einigung wirke sich somit im zweiten Quartal 2014 vor Steuern in Höhe von CHF 1.618 Mio. und nach Steuern in Höhe von CHF 1.598 Mio. aus. Die Strafzahlungen an die SEC, die Fed und das DFS wurden im Mai 2014 geleistet. Der dem Justizministerium geschuldete Betrag, einschliesslich des der US-Bundessteuerbehörde zukommenden Teilbetrags, wurde nach der die Credit Suisse betreffenden Urteilsverkündung vom 21. November 2014 bezahlt. Darüber hinaus erklärte sich die Credit Suisse unter anderem damit einverstanden, eine unabhängige interne Kontrollstelle, die dem DFS berichtet, einzusetzen (wobei es sich um eine andere Funktion als die des unabhängigen Beraters handelt, dessen Bestellung im Rahmen der Einigung mit der SEC zugestimmt wurde), fortlaufend Berichte für unterschiedliche Behörden zu erstellen und die Beschäftigung bestimmter Personen bei der Credit Suisse zu beenden, die mit den unzulässigen Handlungen in Verbindung gebracht wurden. Die Credit Suisse trägt die Kosten der Kontrollstelle</w:t>
            </w:r>
            <w:r>
              <w:rPr>
                <w:lang w:val="de-CH"/>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Rates-related matters</w:t>
            </w:r>
          </w:p>
        </w:tc>
        <w:tc>
          <w:tcPr>
            <w:tcW w:w="2501" w:type="pct"/>
            <w:gridSpan w:val="8"/>
            <w:tcBorders>
              <w:left w:val="single" w:sz="4" w:space="0" w:color="auto"/>
            </w:tcBorders>
            <w:shd w:val="clear" w:color="auto" w:fill="auto"/>
          </w:tcPr>
          <w:p w:rsidR="004C1EBA" w:rsidRPr="00985AE1" w:rsidP="004C1EBA">
            <w:pPr>
              <w:pStyle w:val="csbody00"/>
              <w:rPr>
                <w:b/>
              </w:rPr>
            </w:pPr>
            <w:r w:rsidRPr="00985AE1">
              <w:rPr>
                <w:b/>
              </w:rPr>
              <w:t>Zinsbezogene Angelegenheiten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985AE1">
              <w:t>Regulatory authorities in a number of jurisdictions, including the United States, the United Kingdom, the European Union and Switzerland, have for an extended period of time been conducting investigations into the setting of LIBOR and other reference rates with respect to a number of currencies, as well as the pricing of certain related derivatives. These ongoing investigations have included information requests from regulators regarding LIBOR-setting practices and reviews of the activities of various financial institutions, including the Group. The Group, which is a member of three LIBOR rate-setting panels (U.S. Dollar LIBOR, Swiss Franc LIBOR and Euro LIBOR) is cooperating fully with these investigations.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985AE1">
              <w:rPr>
                <w:lang w:val="de-DE"/>
              </w:rPr>
              <w:t>Aufsichtsbehörden in verschiedenen Rechtsordnungen einschliesslich der USA, Grossbritanniens, der EU und der Schweiz führen seit längerer Zeit Untersuchungen hinsichtlich der Festlegung des LIBOR-Satzes und anderer Referenzzinssätze für eine bestimmte Anzahl Währungen sowie der Preisstellung bei bestimmten mit diesen Sätzen zusammenhängenden Derivaten durch. Diese laufenden Untersuchungen umfassen unter anderem Auskunftsbegehren seitens der Aufsichtsbehörden hinsichtlich der Festlegungspraxis für den LIBOR-Satz und Prüfungen der Geschäftstätigkeit verschiedener Finanzinstitute, zu denen auch die Gruppe gehört. Die Gruppe gehört drei LIBOR-Festlegungspanels an (US-Dollar-LIBOR, Schweizer-Franken-LIBOR und Euro-LIBOR); sie kooperiert im Rahmen dieser Untersuchungen voll und ganz.</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985AE1">
              <w:t>In particular, it has been reported that regulators are investigating whether financial institutions engaged in an effort to manipulate LIBOR, either individually or in concert with other institutions, in order to improve market perception of these institutions’ financial health and/or to increase the value of their proprietary trading positions. In response to regulatory inquiries, the Group commissioned a review of these issues. To date, the Group has seen no evidence to suggest that it is likely to have any material exposure in connection with these issues.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985AE1">
              <w:rPr>
                <w:lang w:val="de-DE"/>
              </w:rPr>
              <w:t>Der Berichterstattung zufolge untersuchen die Aufsichtsbehörden insbesondere, ob Finanzinstitute den LIBOR-Satz allein manipuliert haben oder sich an mit anderen Instituten abgesprochenen Manipulationen des LIBOR-Satzes beteiligt haben, um die Marktmeinung bezüglich ihrer Finanzlage zu verbessern und/oder den Wert ihrer Eigenhandelspositionen zu erhöhen. Die Gruppe reagierte auf entsprechende Untersuchungen der Aufsichtsbehörden, indem sie eine entsprechende Untersuchung in Auftrag gab. Bisher liegen der Gruppe keine Hinweise vor, dass sie ein wesentliches Risiko im Zusammenhang mit diesen Fällen trägt.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6527EC">
              <w:t xml:space="preserve">The reference rates investigations have also included information requests from regulators regarding trading activities, information sharing and the setting of benchmark rates in the foreign exchange </w:t>
            </w:r>
            <w:r>
              <w:t>and commodities markets. On 31</w:t>
            </w:r>
            <w:r w:rsidRPr="006527EC">
              <w:t xml:space="preserve"> March 2014, the Swiss Competition Commission announced a formal investigation of numerous Swiss and international financial institutions, including the</w:t>
            </w:r>
            <w:r>
              <w:t>Group</w:t>
            </w:r>
            <w:r w:rsidRPr="006527EC">
              <w:t xml:space="preserve">, in relation to the setting of exchange rates in foreign exchange trading. The </w:t>
            </w:r>
            <w:r>
              <w:t xml:space="preserve">Group </w:t>
            </w:r>
            <w:r w:rsidRPr="006527EC">
              <w:t>is cooperating fully with these investigations. The investigations are ongoing and it is too soon to predict the final outcome of the investigations.</w:t>
            </w:r>
          </w:p>
        </w:tc>
        <w:tc>
          <w:tcPr>
            <w:tcW w:w="2501" w:type="pct"/>
            <w:gridSpan w:val="8"/>
            <w:tcBorders>
              <w:left w:val="single" w:sz="4" w:space="0" w:color="auto"/>
            </w:tcBorders>
            <w:shd w:val="clear" w:color="auto" w:fill="auto"/>
          </w:tcPr>
          <w:p w:rsidR="004C1EBA" w:rsidRPr="008C6016" w:rsidP="004C1EBA">
            <w:pPr>
              <w:pStyle w:val="csbody00"/>
              <w:rPr>
                <w:lang w:val="de-DE"/>
              </w:rPr>
            </w:pPr>
            <w:r w:rsidRPr="008C6016">
              <w:rPr>
                <w:lang w:val="de-DE"/>
              </w:rPr>
              <w:t>Die Untersuchungen hinsichtlich der Referenzzinssätze beinhalteten auch Auskunftsbegehren seitens der Aufsichtsbehörden bezüglich der Handelsaktivitäten, des Informationsaustausches und der Festlegung von Referenzzinssätzen in den ausländischen Devisen- und Rohstoffmärkten. Am 31. März 2014 teilte die Schweizer Wettbewerbskommission mit, dass sie bei verschiedenen Schweizer Banken und internationalen Finan</w:t>
            </w:r>
            <w:r>
              <w:rPr>
                <w:lang w:val="de-DE"/>
              </w:rPr>
              <w:t xml:space="preserve">zinstituten, darunter auch die Gruppe, </w:t>
            </w:r>
            <w:r w:rsidRPr="008C6016">
              <w:rPr>
                <w:lang w:val="de-DE"/>
              </w:rPr>
              <w:t xml:space="preserve">eine Untersuchung im Zusammenhang mit der Festlegung von Wechselkursen im Devisenhandel eröffnet. Die </w:t>
            </w:r>
            <w:r>
              <w:rPr>
                <w:lang w:val="de-DE"/>
              </w:rPr>
              <w:t>Gruppe</w:t>
            </w:r>
            <w:r w:rsidRPr="008C6016">
              <w:rPr>
                <w:lang w:val="de-DE"/>
              </w:rPr>
              <w:t xml:space="preserve">  kooperiert bei diesen Untersuchungen in vollem Masse. Da die Untersuchungen noch andauern, ist es zu früh, um ihren Ausgang vorherzusagen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 xml:space="preserve">In addition, members of the US Dollar LIBOR panel, including </w:t>
            </w:r>
            <w:r>
              <w:t>the Group</w:t>
            </w:r>
            <w:r w:rsidRPr="00E93ED8">
              <w:t xml:space="preserve">, have been named in various civil lawsuits filed in the United States. All but </w:t>
            </w:r>
            <w:r>
              <w:t>two</w:t>
            </w:r>
            <w:r w:rsidRPr="00E93ED8">
              <w:t xml:space="preserve"> of these matters have been consolidated for pre-trial purposes into a multi-district litigation in the SDNY. On 29 March 2013, the court dismissed a substantial portion of the case against the panel banks, dismissing the </w:t>
            </w:r>
            <w:r>
              <w:t>claims under the Racketeer Influenced and Corrupt Organizations Act and the Sherman Antitrust Act,</w:t>
            </w:r>
            <w:r w:rsidRPr="00E93ED8">
              <w:t xml:space="preserve"> as well as all state law claims, leaving only certain claims under the Commodity Exchange Act based on LIBOR</w:t>
            </w:r>
            <w:r>
              <w:t>-</w:t>
            </w:r>
            <w:r w:rsidRPr="00E93ED8">
              <w:t>related instruments entered into after 30 May 2008.</w:t>
            </w:r>
            <w:r>
              <w:t xml:space="preserve"> </w:t>
            </w:r>
            <w:r w:rsidRPr="006527EC">
              <w:t>Plaintiffs appealed part of the decision, and after a federal appeals court dismissed the appeal as premature, the U</w:t>
            </w:r>
            <w:r>
              <w:t>.</w:t>
            </w:r>
            <w:r w:rsidRPr="006527EC">
              <w:t>S</w:t>
            </w:r>
            <w:r>
              <w:t>.</w:t>
            </w:r>
            <w:r w:rsidRPr="006527EC">
              <w:t xml:space="preserve"> Supreme Court granted review and reversed the federal appeals court. The federal appeals court has set a briefing schedule for plaintiffs’ appeal of the dismissal of their claims.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8C6016">
              <w:rPr>
                <w:lang w:val="de-DE"/>
              </w:rPr>
              <w:t xml:space="preserve">Des Weiteren wurden Panel-Banken, die für die Festlegung des US-Dollar-LIBOR zuständig sind, in verschiedenen, in den USA eingereichten Zivilklagen als Beklagte benannt. Dies trifft neben anderen auf die </w:t>
            </w:r>
            <w:r>
              <w:rPr>
                <w:lang w:val="de-DE"/>
              </w:rPr>
              <w:t>Gruppe</w:t>
            </w:r>
            <w:r w:rsidRPr="008C6016">
              <w:rPr>
                <w:lang w:val="de-DE"/>
              </w:rPr>
              <w:t xml:space="preserve"> zu. Bis auf zwei Ausnahmen wurden alle genannten Fälle zu Zwecken vorgerichtlicher Ermittlungen zu einem Multi-District-Verfahren beim SDNY zusammengelegt. Am 29. März 2013 stellte das Gericht einen wesentlichen Teil des Verfahrens gegen die Panel-Banken ein. So wurden die Schadensersatzklagen im Rahmen des Racketeer Influenced and Corrupt Organizations Act und des Sherman Antitrust Act wegen Verstoss gegen das Wettbewerbsrecht sowie sämtliche durch bundesstaatliches Recht geschützten Ansprüche zurückgewiesen. Aufrechterhalten wurden lediglich einige Ansprüche nach dem Commodity Exchange Act für LIBOR-basierte Handelsinstrumente, die nach dem 30. Mai 2008 abgeschlossen wurden. Die Kläger legten gegen einen Teil der Entscheidung Berufung ein; nachdem ein Bundesberufungsgericht die Berufung als verfrüht abgewiesen hatte, sagte der Oberste Gerichtshof eine Wiederaufnahme zu und verwarf die Entscheidung des Bundesberufungsgerichts. Letzteres hat einen Instruktionsplan für die Berufung der Kläger gegen die Abweisung ihrer Forderungen festgelegt</w:t>
            </w:r>
            <w:r w:rsidRPr="00E93ED8">
              <w:rPr>
                <w:rFonts w:cs="CreditSuisseType-Light"/>
                <w:lang w:val="de-DE" w:eastAsia="en-GB"/>
              </w:rPr>
              <w: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 xml:space="preserve">Subsequently, on 23 August 2013, the </w:t>
            </w:r>
            <w:r>
              <w:t xml:space="preserve">trial </w:t>
            </w:r>
            <w:r w:rsidRPr="00E93ED8">
              <w:t xml:space="preserve">court rejected plaintiffs’ requests to replead the dismissed causes of action, except for certain of plaintiffs’ state law claims, which </w:t>
            </w:r>
            <w:r>
              <w:t>were</w:t>
            </w:r>
            <w:r w:rsidRPr="00E93ED8">
              <w:t xml:space="preserve"> replead</w:t>
            </w:r>
            <w:r>
              <w:t>ed</w:t>
            </w:r>
            <w:r w:rsidRPr="00E93ED8">
              <w:t xml:space="preserve"> by the plaintiffs. The court held a hearing on defendants’ motion to dismiss the remaining claims on 4 February 2014. </w:t>
            </w:r>
            <w:r w:rsidRPr="006527EC">
              <w:t>In June 2014, the court denied most of defendants’ motion to dismiss. Plaintiffs filed amended complaints</w:t>
            </w:r>
            <w:r>
              <w:t>.The</w:t>
            </w:r>
            <w:r w:rsidRPr="006527EC">
              <w:t xml:space="preserve"> briefing on defendants’ motions to dismiss </w:t>
            </w:r>
            <w:r w:rsidRPr="00A5526E">
              <w:t>was completed in April 2015.  On 4 August 2015, the SDNY ruled on certain of defendants’ pending motions to dismiss and dismissed certain of plaintiffs' claims, including claims under the Racketeer Influenced and Corrupt Organizations Act and the Sherman Antitrust Act, while allowing certain Commodity Exchange Act claims, fraud, breach of contract, and unjust enrichment claims to survive.</w:t>
            </w:r>
            <w:r w:rsidRPr="006527EC">
              <w:t xml:space="preserve"> One of the matters not consolidated in the multi-district litigation is also in the SDNY </w:t>
            </w:r>
            <w:r w:rsidRPr="00A5526E">
              <w:t>and the SDNY granted the defendants’ motion to dismiss on 31 March  2015, but gave plaintiff leave to file a new pleading. On 1 June  2015, plaintiff filed a motion for leave to file a second amended complaint in the SDNY; defendants’ opposition brief was filed on 15 July  2015. The other matter has been proceeding in New York state court and plaintiffs agreed to dismiss all claims and the matter has been concluded</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8C6016">
              <w:rPr>
                <w:lang w:val="de-DE"/>
              </w:rPr>
              <w:t>In der Folge wies das erstinstanzliche Gericht am 23. August 2013 die erneute Beantragung der bereits abgewiesenen Klagegründe durch die Kläger ab, ausser im Falle einiger durch Bundesgesetze geschützter Ansprüche, die von den Klägern erneut vorgetragen wurden. Am 4. Februar 2014 führte das Gericht eine Anhörung zum Antrag der Beklagten durch, die verbleibenden Schadensersatzansprüche abzuweisen. Im Juni 2014 wies das Gericht diesen Antrag der Beklagten grösstenteils ab. Die Kläger reichten erweiterte Klagen ein</w:t>
            </w:r>
            <w:r>
              <w:rPr>
                <w:lang w:val="de-DE"/>
              </w:rPr>
              <w:t>.D</w:t>
            </w:r>
            <w:r w:rsidRPr="008C6016">
              <w:rPr>
                <w:lang w:val="de-DE"/>
              </w:rPr>
              <w:t>ie schriftliche Information des Gerichts (</w:t>
            </w:r>
            <w:r w:rsidRPr="008C6016">
              <w:rPr>
                <w:i/>
                <w:lang w:val="de-DE"/>
              </w:rPr>
              <w:t>briefing</w:t>
            </w:r>
            <w:r w:rsidRPr="008C6016">
              <w:rPr>
                <w:lang w:val="de-DE"/>
              </w:rPr>
              <w:t xml:space="preserve">) </w:t>
            </w:r>
            <w:r>
              <w:rPr>
                <w:lang w:val="de-DE"/>
              </w:rPr>
              <w:t xml:space="preserve">wurde im April 2015 abgeschlossen . </w:t>
            </w:r>
            <w:r w:rsidRPr="00F31C0D">
              <w:rPr>
                <w:lang w:val="de-DE"/>
              </w:rPr>
              <w:t xml:space="preserve">Am 4. August 2015 entschied der SDNY über bestimmte von der Beklagten ausstehende Anträge und wies bestimmte Forderungen der Kläger ab, darunter Forderungen unter dem Racketeer Influenced and Corrupt Organizations Act und dem Sherman Antitrust Act, wohingegen bestimmte Forderungen unter dem Commodity Exchange Act sowie bestimmte Forderungen wegen Betrugs, Vertragsbruchs und ungerechtfertigter Bereicherung zugelassen wurden. </w:t>
            </w:r>
            <w:r w:rsidRPr="008C6016">
              <w:rPr>
                <w:lang w:val="de-DE"/>
              </w:rPr>
              <w:t xml:space="preserve"> Einer der nicht in dem Multi-District-Verfahren eingeschlossenen Rechtsstreite ist ebenfalls beim SDNY anhängig</w:t>
            </w:r>
            <w:r>
              <w:rPr>
                <w:lang w:val="de-DE"/>
              </w:rPr>
              <w:t xml:space="preserve"> </w:t>
            </w:r>
            <w:r w:rsidRPr="00F31C0D">
              <w:rPr>
                <w:lang w:val="de-DE"/>
              </w:rPr>
              <w:t>und der SDNY gab dem Antrag der Beklagten, die Klage abzuweisen, am 31. März 2015 statt, erlaubte dem Kläger aber auch, eine neue Klage einzureichen. Am 1. Juni 2015 beantragte der Kläger beim SDNY die Erlaubnis, eine zweite erweiterte Klage einzureichen; die Erwiderung der Beklagten wurde am 15. Juli 2015 eingereicht.</w:t>
            </w:r>
            <w:r w:rsidRPr="008C6016">
              <w:rPr>
                <w:lang w:val="de-DE"/>
              </w:rPr>
              <w:t xml:space="preserve"> Der andere Rechtsstreit wird im State Court von New York verhandelt</w:t>
            </w:r>
            <w:r>
              <w:rPr>
                <w:lang w:val="de-DE"/>
              </w:rPr>
              <w:t xml:space="preserve"> und die Kläger haben zugestimmt, allle Forderungen abzuweisen und diese Angelegenheit</w:t>
            </w:r>
            <w:r w:rsidRPr="008C6016">
              <w:rPr>
                <w:lang w:val="de-DE"/>
              </w:rPr>
              <w:t xml:space="preserve"> ist abgeschlossen</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DD3527" w:rsidP="004C1EBA">
            <w:pPr>
              <w:pStyle w:val="csbody00"/>
            </w:pPr>
            <w:r w:rsidRPr="00DD3527">
              <w:t xml:space="preserve">Furthermore, in February 2015, various banks that served on the Swiss franc LIBOR panel, including </w:t>
            </w:r>
            <w:r>
              <w:t>CSG</w:t>
            </w:r>
            <w:r w:rsidRPr="00DD3527">
              <w:t>, were named in a civil putative class action lawsuit filed in the SDNY, alleging manipulation of Swiss franc LIBOR to benefit defendants’ trading positions.</w:t>
            </w:r>
            <w:r w:rsidRPr="001C526D">
              <w:rPr>
                <w:rFonts w:ascii="Times New Roman" w:eastAsia="SimSun" w:hAnsi="Times New Roman" w:cs="Arial"/>
                <w:sz w:val="20"/>
                <w:szCs w:val="22"/>
                <w:lang w:val="en-US" w:eastAsia="zh-CN"/>
              </w:rPr>
              <w:t xml:space="preserve"> </w:t>
            </w:r>
            <w:r w:rsidRPr="001C526D">
              <w:rPr>
                <w:lang w:val="en-US"/>
              </w:rPr>
              <w:t xml:space="preserve">On </w:t>
            </w:r>
            <w:r>
              <w:rPr>
                <w:lang w:val="en-US"/>
              </w:rPr>
              <w:t xml:space="preserve">19 </w:t>
            </w:r>
            <w:r w:rsidRPr="001C526D">
              <w:rPr>
                <w:lang w:val="en-US"/>
              </w:rPr>
              <w:t xml:space="preserve">June 2015, the plaintiffs filed an amended complaint. On </w:t>
            </w:r>
            <w:r>
              <w:rPr>
                <w:lang w:val="en-US"/>
              </w:rPr>
              <w:t xml:space="preserve">18 </w:t>
            </w:r>
            <w:r w:rsidRPr="001C526D">
              <w:rPr>
                <w:lang w:val="en-US"/>
              </w:rPr>
              <w:t>August 2015, the defendants filed motions to dismiss.</w:t>
            </w:r>
          </w:p>
        </w:tc>
        <w:tc>
          <w:tcPr>
            <w:tcW w:w="2501" w:type="pct"/>
            <w:gridSpan w:val="8"/>
            <w:tcBorders>
              <w:left w:val="single" w:sz="4" w:space="0" w:color="auto"/>
            </w:tcBorders>
            <w:shd w:val="clear" w:color="auto" w:fill="auto"/>
          </w:tcPr>
          <w:p w:rsidR="004C1EBA" w:rsidRPr="008C6016" w:rsidP="004C1EBA">
            <w:pPr>
              <w:pStyle w:val="csbody00"/>
              <w:rPr>
                <w:lang w:val="de-DE"/>
              </w:rPr>
            </w:pPr>
            <w:r w:rsidRPr="008C6016">
              <w:rPr>
                <w:lang w:val="de-DE"/>
              </w:rPr>
              <w:t>Ferner wurden im Februar 2015 verschiedene zum Schweizer-Franken-LIBOR-Panel gehörende Banken, darunter die CSG, in einer beim SDNY eingereichten sogen. putativen Sammelklage aufgeführt, die ihnen Manipulationen des Schweizer-Franken-LIBOR zu Gunsten ihrer Handelspositionen vorwirft</w:t>
            </w:r>
            <w:r>
              <w:rPr>
                <w:lang w:val="de-DE"/>
              </w:rPr>
              <w:t>. Am 19. Juni 2015 haben die Kläger eine erweiterte Klage eingereicht. Am 18. August 2015 haben die Beklagten die Abweisung der Klage beantragt.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DD3527">
              <w:t xml:space="preserve">Additionally, </w:t>
            </w:r>
            <w:r>
              <w:t>CSG</w:t>
            </w:r>
            <w:r w:rsidRPr="00DD3527">
              <w:t xml:space="preserve"> and affiliate</w:t>
            </w:r>
            <w:r>
              <w:t>s</w:t>
            </w:r>
            <w:r w:rsidRPr="00DD3527">
              <w:t xml:space="preserve"> as well as other financial institutions </w:t>
            </w:r>
            <w:r>
              <w:t xml:space="preserve">are </w:t>
            </w:r>
            <w:r w:rsidRPr="00DD3527">
              <w:t xml:space="preserve">named in </w:t>
            </w:r>
            <w:r>
              <w:t>two</w:t>
            </w:r>
            <w:r w:rsidRPr="00DD3527">
              <w:t xml:space="preserve"> pending civil class action lawsuits in the SDNY relating to the alleged manipulation of</w:t>
            </w:r>
            <w:r>
              <w:t xml:space="preserve"> foreign exchange rates. On 28</w:t>
            </w:r>
            <w:r w:rsidRPr="00DD3527">
              <w:t xml:space="preserve"> January 2015, the court denied defendants’ motion to dismiss the </w:t>
            </w:r>
            <w:r>
              <w:t xml:space="preserve">original consolidated complaint </w:t>
            </w:r>
            <w:r w:rsidRPr="00DD3527">
              <w:t xml:space="preserve">brought by U.S.-based investors and foreign plaintiffs who transacted in the U.S., but granted their motion to dismiss the two class actions brought by foreign-based investors. </w:t>
            </w:r>
            <w:r w:rsidRPr="00AF0879">
              <w:t>The foreign based investor who appealed the dismissal of its case has withdrawn that appeal.  In July 2015, plaintiffs filed a second consolidated amended complaint, adding additional defendants and asserting additional claims on behalf of a second putative class of exchange investors. In August 2015, the court consolidated all foreign exchange-related actions pending in the SDNY, except one putative class action alleging violations of the U.S. Employee Retirement Income Security Act of 1974 based on the same alleged conduct. The Group and several affiliates, with other financial institutions, have also been named in two Canadian putative class actions, which make similar allegations.</w:t>
            </w:r>
          </w:p>
        </w:tc>
        <w:tc>
          <w:tcPr>
            <w:tcW w:w="2501" w:type="pct"/>
            <w:gridSpan w:val="8"/>
            <w:tcBorders>
              <w:left w:val="single" w:sz="4" w:space="0" w:color="auto"/>
            </w:tcBorders>
            <w:shd w:val="clear" w:color="auto" w:fill="auto"/>
          </w:tcPr>
          <w:p w:rsidR="004C1EBA" w:rsidRPr="008C6016" w:rsidP="004C1EBA">
            <w:pPr>
              <w:pStyle w:val="csbody00"/>
              <w:rPr>
                <w:lang w:val="de-DE"/>
              </w:rPr>
            </w:pPr>
            <w:r w:rsidRPr="008C6016">
              <w:rPr>
                <w:lang w:val="de-DE"/>
              </w:rPr>
              <w:t xml:space="preserve">Zudem wurden die CSG und  mit ihr verbundene Unternehmen sowie andere Finanzinstitute in </w:t>
            </w:r>
            <w:r>
              <w:rPr>
                <w:lang w:val="de-DE"/>
              </w:rPr>
              <w:t xml:space="preserve">zwei </w:t>
            </w:r>
            <w:r w:rsidRPr="008C6016">
              <w:rPr>
                <w:lang w:val="de-DE"/>
              </w:rPr>
              <w:t xml:space="preserve"> beim SDNY anhängigen zivilen Sammelklagen im Zusammenhang mit Wechselkursmanipulationsvorwürfen aufgeführt. Am 28. Januar 2015 wies das Gericht den Antrag der Beklagten auf Abweisung der von in den USA ansässigen Anlegern und ausländischen Klägern, die in den USA Transaktionen tätigten, angestrengten </w:t>
            </w:r>
            <w:r>
              <w:rPr>
                <w:lang w:val="de-DE"/>
              </w:rPr>
              <w:t xml:space="preserve"> ursprünglichen konsolidierten Klage</w:t>
            </w:r>
            <w:r w:rsidRPr="008C6016">
              <w:rPr>
                <w:lang w:val="de-DE"/>
              </w:rPr>
              <w:t xml:space="preserve"> ab. Im Gegenzug kam es dem Antrag nach, die beiden von ausländischen Anlegern angestrengten Sammelklagen abzuweisen</w:t>
            </w:r>
            <w:r>
              <w:rPr>
                <w:lang w:val="de-DE"/>
              </w:rPr>
              <w:t xml:space="preserve">. </w:t>
            </w:r>
            <w:r w:rsidRPr="00AF0879">
              <w:rPr>
                <w:lang w:val="de-DE"/>
              </w:rPr>
              <w:t>Der im Ausland ansässige Anleger, der die Abweisung seiner Klage im Wege der Berufung anfocht, nahm diese Berufung wieder zurück. Im Juli 2015 reichten Kläger eine zweite erweiterte konsolidierte Klage ein, wobei sie zusätzliche Beklag</w:t>
            </w:r>
            <w:r>
              <w:rPr>
                <w:lang w:val="de-DE"/>
              </w:rPr>
              <w:t>t</w:t>
            </w:r>
            <w:r w:rsidRPr="00AF0879">
              <w:rPr>
                <w:lang w:val="de-DE"/>
              </w:rPr>
              <w:t>e benannten und zusätzliche Forderungen im Namen eine zweiten putativen Klasse von Börsenanlegern geltend machten. Im August 2015 konsolidierte das Gericht alle devisenbezogenen Klagen, die beim SDNY anhängig sind, bis auf eine putative Sammeklage, wonach auf Grund desselben behaupteten Verhaltens Verstö</w:t>
            </w:r>
            <w:r w:rsidR="001E4CCF">
              <w:rPr>
                <w:lang w:val="de-DE"/>
              </w:rPr>
              <w:t>ss</w:t>
            </w:r>
            <w:r w:rsidRPr="00AF0879">
              <w:rPr>
                <w:lang w:val="de-DE"/>
              </w:rPr>
              <w:t>e gegen den US Employee Retirement Income Security Act of 1974 geltend gemacht werden. Die Gruppe und mehrere mit ihr verbundene Unternehmen sind zudem mit anderen Finanzinstituten auch als Beklagte in zwei kanadischen putativen Sammelklage aufgeführt, die ähnliche Vorwürfe zum Gegenstand haben.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DD3527">
              <w:t>Credit Suisse, New York Branch and other financial institutions have also been named in a pending consolidated civil class action lawsuit relating to the alleged manipulation of the ISDAFIX rate for U.S.</w:t>
            </w:r>
            <w:r>
              <w:t xml:space="preserve"> dollars in the SDNY. On 12</w:t>
            </w:r>
            <w:r w:rsidRPr="00DD3527">
              <w:t xml:space="preserve"> February 2015, the class plaintiffs filed a consolidated amended class action complaint.</w:t>
            </w:r>
            <w:r>
              <w:t xml:space="preserve"> </w:t>
            </w:r>
            <w:r w:rsidRPr="00AF0879">
              <w:t>On 13 April 2015, the defendants filed a motion to dismiss.</w:t>
            </w:r>
          </w:p>
        </w:tc>
        <w:tc>
          <w:tcPr>
            <w:tcW w:w="2501" w:type="pct"/>
            <w:gridSpan w:val="8"/>
            <w:tcBorders>
              <w:left w:val="single" w:sz="4" w:space="0" w:color="auto"/>
            </w:tcBorders>
            <w:shd w:val="clear" w:color="auto" w:fill="auto"/>
          </w:tcPr>
          <w:p w:rsidR="004C1EBA" w:rsidRPr="008C6016" w:rsidP="004C1EBA">
            <w:pPr>
              <w:pStyle w:val="csbody00"/>
              <w:rPr>
                <w:lang w:val="de-DE"/>
              </w:rPr>
            </w:pPr>
            <w:r w:rsidRPr="008C6016">
              <w:rPr>
                <w:lang w:val="de-DE"/>
              </w:rPr>
              <w:t>Die Credit Suisse, Niederlassung New York, und andere Finanzinstitute sind darüber hinaus Beklagte in einer beim SDNY anhängigen konsolidierten zivilen Sammelklage im Zusammenhang mit Manipulationsvorwürfen beim ISDAFIX-Referenzsatz für US-Dollar. Am 12. Februar 2015 reichten die Sammelkläger eine konsolidierte erweiterte Sammelklage ein</w:t>
            </w:r>
            <w:r>
              <w:rPr>
                <w:lang w:val="de-DE"/>
              </w:rPr>
              <w:t xml:space="preserve">. </w:t>
            </w:r>
            <w:r w:rsidRPr="00AF0879">
              <w:rPr>
                <w:lang w:val="de-DE"/>
              </w:rPr>
              <w:t>Am 13. April 2015 beantragten die Beklagten die Abweisung der Klage.</w:t>
            </w:r>
          </w:p>
        </w:tc>
      </w:tr>
      <w:tr w:rsidTr="004C1EBA">
        <w:tblPrEx>
          <w:tblW w:w="5002" w:type="pct"/>
          <w:tblLayout w:type="fixed"/>
          <w:tblLook w:val="00A0"/>
        </w:tblPrEx>
        <w:tc>
          <w:tcPr>
            <w:tcW w:w="2499" w:type="pct"/>
            <w:gridSpan w:val="5"/>
            <w:tcBorders>
              <w:right w:val="single" w:sz="4" w:space="0" w:color="auto"/>
            </w:tcBorders>
          </w:tcPr>
          <w:p w:rsidR="004C1EBA" w:rsidRPr="00DD3527" w:rsidP="004C1EBA">
            <w:pPr>
              <w:pStyle w:val="csbody00"/>
            </w:pPr>
            <w:r w:rsidRPr="003522E5">
              <w:rPr>
                <w:lang w:val="en-US"/>
              </w:rPr>
              <w:t>CSS LLC, along with over 20 other primary dealers of US treasury securities, has been named in a number of putative civil class action complaints in the U.S. relating to the U.S. treasury markets. These complaints generally allege that defendants colluded to manipulate US treasury auctions, as well as the pricing of US treasury securities in the when-issued market, with impacts upon related futures and options. A motion to consolidate these actions into a multi-district litigation in the SDNY is pending.</w:t>
            </w:r>
          </w:p>
        </w:tc>
        <w:tc>
          <w:tcPr>
            <w:tcW w:w="2501" w:type="pct"/>
            <w:gridSpan w:val="8"/>
            <w:tcBorders>
              <w:left w:val="single" w:sz="4" w:space="0" w:color="auto"/>
            </w:tcBorders>
            <w:shd w:val="clear" w:color="auto" w:fill="auto"/>
          </w:tcPr>
          <w:p w:rsidR="004C1EBA" w:rsidRPr="008C6016" w:rsidP="004C1EBA">
            <w:pPr>
              <w:pStyle w:val="csbody00"/>
              <w:rPr>
                <w:lang w:val="de-DE"/>
              </w:rPr>
            </w:pPr>
            <w:r>
              <w:rPr>
                <w:lang w:val="de-DE"/>
              </w:rPr>
              <w:t>CSS LLC ist zusammen mit 20 anderen Hauptakteuren im Handel von US Staatsanleihen in einer Reihe von putativen zivilen Sammeklagen in den USA, die sich auf den Markt für US-Staatsanleihen beziehen, als Beklagte aufgeführt. Diese Klagen behaupten im allgemeinen, dass die Beklagten zusammenwirkten, um Auktionen von US-Staatsanleihen sowie das Pricing von US-Staatsanleihen im When-issued-Market zu manipulieren, was sich auch auf verwandte Futures und Optionen auswirkte. Ein Antrag, diese Klage in einem Multi-Distrikt-Verfahren zusammenzufassen ist beim SDNY noch ausstehend.</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Singapore MAS matter</w:t>
            </w:r>
          </w:p>
        </w:tc>
        <w:tc>
          <w:tcPr>
            <w:tcW w:w="2501" w:type="pct"/>
            <w:gridSpan w:val="8"/>
            <w:tcBorders>
              <w:left w:val="single" w:sz="4" w:space="0" w:color="auto"/>
            </w:tcBorders>
            <w:shd w:val="clear" w:color="auto" w:fill="auto"/>
          </w:tcPr>
          <w:p w:rsidR="004C1EBA" w:rsidRPr="00985AE1" w:rsidP="004C1EBA">
            <w:pPr>
              <w:pStyle w:val="csbody00"/>
              <w:rPr>
                <w:b/>
                <w:lang w:val="de-DE"/>
              </w:rPr>
            </w:pPr>
            <w:r w:rsidRPr="00985AE1">
              <w:rPr>
                <w:b/>
                <w:lang w:val="de-DE"/>
              </w:rPr>
              <w:t>Verfahren der Finanzmarktaufsicht (MAS) von Singapur</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On 14 June 2013, the Monetary Authority of Singapore (</w:t>
            </w:r>
            <w:r>
              <w:t>"</w:t>
            </w:r>
            <w:r w:rsidRPr="00E93ED8">
              <w:rPr>
                <w:b/>
              </w:rPr>
              <w:t>MAS</w:t>
            </w:r>
            <w:r>
              <w:rPr>
                <w:lang w:val="en-US"/>
              </w:rPr>
              <w:t>"</w:t>
            </w:r>
            <w:r w:rsidRPr="00E93ED8">
              <w:t>) announced it was taking supervisory action against 20 banks for various deficiencies relating to the benchmark processes regarding the Singapore dollar interest rate benchmarks, Singapore Interbank Offered Rates and Swap Offered Rates, and the foreign exchange spot benchmarks commonly used to settle Non-Deliverable Forward foreign exchange contracts. Credit Suisse AG Singapore Branch (</w:t>
            </w:r>
            <w:r>
              <w:t>"</w:t>
            </w:r>
            <w:r w:rsidRPr="00E93ED8">
              <w:rPr>
                <w:b/>
              </w:rPr>
              <w:t>CSSB</w:t>
            </w:r>
            <w:r>
              <w:rPr>
                <w:lang w:val="en-US"/>
              </w:rPr>
              <w:t>"</w:t>
            </w:r>
            <w:r w:rsidRPr="00E93ED8">
              <w:t xml:space="preserve">) was one of the named banks. The MAS censured the banks and directed them to adopt measures to address these deficiencies. The MAS has also required 19 of the 20 banks, including CSSB, to set aside additional statutory reserves for a period of one year. CSSB, along with six other panel banks, has been calibrated in the third of five tiers by the MAS and required to set aside additional statutory reserves of SGD 400-600 million, which were deposited with the MAS in a non-interest bearing account. </w:t>
            </w:r>
            <w:r w:rsidRPr="006527EC">
              <w:t xml:space="preserve"> During the second quarter of 2014, having completed remedial actions to strengthen governance, internal control</w:t>
            </w:r>
            <w:r>
              <w:t>s</w:t>
            </w:r>
            <w:r w:rsidRPr="006527EC">
              <w:t xml:space="preserve"> and surveillance systems for these benchmark submissions and trading operations, the MAS returned these additional statutory reserves to CSSB.</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8C6016">
              <w:rPr>
                <w:lang w:val="de-DE"/>
              </w:rPr>
              <w:t>Am 14. Juni 2013 gab die Finanzmarktaufsicht von Singapur (</w:t>
            </w:r>
            <w:r w:rsidRPr="008C6016">
              <w:rPr>
                <w:i/>
                <w:lang w:val="de-DE"/>
              </w:rPr>
              <w:t>Monetary Authority of Singapore</w:t>
            </w:r>
            <w:r w:rsidRPr="008C6016">
              <w:rPr>
                <w:lang w:val="de-DE"/>
              </w:rPr>
              <w:t xml:space="preserve">, </w:t>
            </w:r>
            <w:r>
              <w:rPr>
                <w:lang w:val="de-DE"/>
              </w:rPr>
              <w:t>"</w:t>
            </w:r>
            <w:r w:rsidRPr="008C6016">
              <w:rPr>
                <w:b/>
                <w:lang w:val="de-DE"/>
              </w:rPr>
              <w:t>MAS</w:t>
            </w:r>
            <w:r>
              <w:rPr>
                <w:lang w:val="de-DE"/>
              </w:rPr>
              <w:t>"</w:t>
            </w:r>
            <w:r w:rsidRPr="008C6016">
              <w:rPr>
                <w:lang w:val="de-DE"/>
              </w:rPr>
              <w:t>) bekannt, dass sie aufsichtrechtliche Massnahmen gegen 20 Banken wegen verschiedener Verstösse gegen die Verfahren zur Festlegung der Benchmark-Sätze in Bezug auf die Referenzzinssätze für den Singapur-Dollar, die Singapore Interbank Offered Rates und die Swap Offered Rates, sowie in Bezug auf den Devisen-Kassamarkt einleitet, die üblicherweise zur Abwicklung von NDF-Devisenterminkontrakten verwendet werden. Die Credit Suisse AG Niederlassung Singapur (</w:t>
            </w:r>
            <w:r>
              <w:rPr>
                <w:lang w:val="de-DE"/>
              </w:rPr>
              <w:t>"</w:t>
            </w:r>
            <w:r w:rsidRPr="008C6016">
              <w:rPr>
                <w:b/>
                <w:lang w:val="de-DE"/>
              </w:rPr>
              <w:t>CSSB</w:t>
            </w:r>
            <w:r>
              <w:rPr>
                <w:lang w:val="de-DE"/>
              </w:rPr>
              <w:t>"</w:t>
            </w:r>
            <w:r w:rsidRPr="008C6016">
              <w:rPr>
                <w:lang w:val="de-DE"/>
              </w:rPr>
              <w:t>) war eine der genannten Banken. Die MAS rügte die Banken und wies sie an, Massnahmen zur Behebung der genannten Verstösse zu ergreifen. Zudem forderte die MAS 19 der 20 Banken, darunter auch die CSSB, auf, zusätzliche gesetzliche Rücklagen für den Zeitraum eines Jahres zu bilden. Die CSSB wurde zusammen mit sechs weiteren Panel-Banken der dritten von insgesamt fünf Stufen zugeordnet und angewiesen, zusätzliche gesetzliche Rücklagen in Höhe von SGD 400-600 Mio. zu bilden, die bei der MAS auf einem unverzinsten Konto hinterlegt wurden.  Im zweiten Quartal 2014 zahlte die MAS diese zusätzlichen Rücklagen an die CSSB zurück, nachdem Letztere Verbesserungsmassnahmen zur Stärkung der Governance, der internen Kontrollen und der Überwachungssysteme für die Benchmark-Einreichung und den Handel umgesetzt hatte</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rPr>
            </w:pPr>
            <w:r w:rsidRPr="00985AE1">
              <w:rPr>
                <w:b/>
              </w:rPr>
              <w:t>CDS related matters</w:t>
            </w:r>
          </w:p>
        </w:tc>
        <w:tc>
          <w:tcPr>
            <w:tcW w:w="2501" w:type="pct"/>
            <w:gridSpan w:val="8"/>
            <w:tcBorders>
              <w:left w:val="single" w:sz="4" w:space="0" w:color="auto"/>
            </w:tcBorders>
            <w:shd w:val="clear" w:color="auto" w:fill="auto"/>
          </w:tcPr>
          <w:p w:rsidR="004C1EBA" w:rsidRPr="00985AE1" w:rsidP="004C1EBA">
            <w:pPr>
              <w:pStyle w:val="csbody00"/>
              <w:rPr>
                <w:b/>
                <w:lang w:val="de-DE"/>
              </w:rPr>
            </w:pPr>
            <w:r w:rsidRPr="00985AE1">
              <w:rPr>
                <w:b/>
                <w:lang w:val="de-DE"/>
              </w:rPr>
              <w:t>Verfahren im Zusammenhang mit CDS</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In July 2013, the Directorate General for Competition of the European Commission (</w:t>
            </w:r>
            <w:r>
              <w:t>"</w:t>
            </w:r>
            <w:r w:rsidRPr="00E93ED8">
              <w:rPr>
                <w:b/>
              </w:rPr>
              <w:t>DG Comp</w:t>
            </w:r>
            <w:r>
              <w:rPr>
                <w:lang w:val="en-US"/>
              </w:rPr>
              <w:t>"</w:t>
            </w:r>
            <w:r w:rsidRPr="00E93ED8">
              <w:t>) issued a Statement of Objections (</w:t>
            </w:r>
            <w:r>
              <w:t>"</w:t>
            </w:r>
            <w:r w:rsidRPr="00E93ED8">
              <w:rPr>
                <w:b/>
              </w:rPr>
              <w:t>SO</w:t>
            </w:r>
            <w:r>
              <w:rPr>
                <w:lang w:val="en-US"/>
              </w:rPr>
              <w:t>"</w:t>
            </w:r>
            <w:r w:rsidRPr="00E93ED8">
              <w:t xml:space="preserve">) to various entities of thirteen CDS dealer banks, certain Markit entities and </w:t>
            </w:r>
            <w:r>
              <w:t>ISDA</w:t>
            </w:r>
            <w:r w:rsidRPr="00E93ED8">
              <w:t xml:space="preserve"> in relation to DG Comp’s investigation into possible violations of competition law by certain CDS market participants. Certain </w:t>
            </w:r>
            <w:r w:rsidRPr="000C4300">
              <w:t>Credit Suisse</w:t>
            </w:r>
            <w:r w:rsidRPr="00E93ED8">
              <w:t xml:space="preserve"> entities were among the named bank entities. The SO marks the commencement of enforcement proceedings in respect of what DG Comp alleges were unlawful attempts to prevent the development of exchange traded platforms for CDS between 2006 and 2009. </w:t>
            </w:r>
            <w:r w:rsidRPr="006527EC">
              <w:t xml:space="preserve"> DG Comp has sent out requests for information and the named Credit Suisse entities are cooperating with such requests.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8C6016">
              <w:rPr>
                <w:lang w:val="de-DE"/>
              </w:rPr>
              <w:t>Im Juli 2013 übermittelte die Generaldirektion Wettbewerb der Europäischen Kommission (</w:t>
            </w:r>
            <w:r>
              <w:rPr>
                <w:lang w:val="de-DE"/>
              </w:rPr>
              <w:t>"</w:t>
            </w:r>
            <w:r w:rsidRPr="008C6016">
              <w:rPr>
                <w:b/>
                <w:lang w:val="de-DE"/>
              </w:rPr>
              <w:t>GD Wettbewerb</w:t>
            </w:r>
            <w:r>
              <w:rPr>
                <w:lang w:val="de-DE"/>
              </w:rPr>
              <w:t>"</w:t>
            </w:r>
            <w:r w:rsidRPr="008C6016">
              <w:rPr>
                <w:lang w:val="de-DE"/>
              </w:rPr>
              <w:t>) eine Mitteilung der Beschwerdepunkte an diverse Unternehmen von dreizehn im CDS-Handel tätigen Banken, an einige Markit-Gesellschaften sowie an die ISDA. Gegenstand der Beschwerdepunkte war die Untersuchung der GD Wettbewerb im Zusammenhang mit möglichen Verletzungen des Wettbewerbsrechts durch bestimmte Marktteilnehmer im CDS-Handel. Einige Gesellschaften der Credit Suisse zählten zu den aufgeführten Bankinstituten. Mit der Zustellung der Mitteilung der Beschwerdepunkte wird ein Vollstreckungsverfahren eingeleitet, da die GD Wettbewerb zu der Auffassung gelangt ist, dass die benannten Unternehmen zwischen 2006 und 2009 die Entwicklung von börslichen Handelsplattformen für CDS unrechtmässig zu verhindern versucht hätten. Die GD Wettbewerb hat Auskunftsbegehren versandt, und die von ihr genannten Gesellschaften der Credit Suisse arbeiten mit ihr in dieser Angelegenheit zusammen</w:t>
            </w:r>
            <w:r w:rsidRPr="00E93ED8">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6527EC">
              <w:t xml:space="preserve">In addition, certain </w:t>
            </w:r>
            <w:r>
              <w:t xml:space="preserve">Credit Suisse </w:t>
            </w:r>
            <w:r w:rsidRPr="006527EC">
              <w:t>entities, as well as other banks and entities, have been named defendant</w:t>
            </w:r>
            <w:r>
              <w:t>s</w:t>
            </w:r>
            <w:r w:rsidRPr="006527EC">
              <w:t xml:space="preserve"> in a consolidated multi-district civil litigation proceeding in the SDNY alleging violations of antitrust law related to CDS</w:t>
            </w:r>
            <w:r>
              <w:t>.</w:t>
            </w:r>
            <w:r w:rsidRPr="006527EC">
              <w:t xml:space="preserve"> In September 2014, the court overseeing the civil litigation granted in part and denied in part the defendants’ motion to dismiss, which allowed the case to proceed to discovery. </w:t>
            </w:r>
            <w:r w:rsidRPr="00F82865">
              <w:t xml:space="preserve">On 30 September 2015, Credit Suisse and the other defendants executed agreements with the putative class action plaintiffs to settle such consolidated civil multi-district litigation in the SDNY. These agreements are subject to final court approval. </w:t>
            </w:r>
            <w:r w:rsidRPr="006527EC">
              <w:t>Further, a</w:t>
            </w:r>
            <w:r>
              <w:t xml:space="preserve"> Credit Suisse </w:t>
            </w:r>
            <w:r w:rsidRPr="006527EC">
              <w:t>entity</w:t>
            </w:r>
            <w:r>
              <w:t xml:space="preserve"> </w:t>
            </w:r>
            <w:r w:rsidRPr="006527EC">
              <w:t>has received civil investigative demands from the DOJ.</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8C6016">
              <w:rPr>
                <w:lang w:val="de-DE"/>
              </w:rPr>
              <w:t xml:space="preserve">Zudem wurden einige Gesellschaften der Credit Suisse sowie weitere Banken und Gesellschaften in einem konsolidierten distriktübergreifenden zivilrechtlichen Verfahren beim SDNY als Beklagte aufgeführt. Ihnen wird vorgeworfen, gegen die Antitrust-Gesetzgebung im Zusammenhang mit CDS verstossen zu haben. Im September 2014 gab das Gericht dem Abweisungsantrag der Beklagten zum Teil statt und wies ihn zum Teil ab und leitete so die Akteneinsichtsphase ein. </w:t>
            </w:r>
            <w:r w:rsidRPr="00F82865">
              <w:rPr>
                <w:lang w:val="de-DE"/>
              </w:rPr>
              <w:t>Am 30. September 2015 haben die Credit Suisse und andere Beklagte Vereinbarungen mit den Klägern der putativen Sammeklage unterschrieben, um dieses konsolidierte distriktübergreifende Zivilverfahren im SDNY beizulegen. Diese Vereinbarungen unterliegen noch der finalen Zustimmung durch das Gericht.</w:t>
            </w:r>
            <w:r w:rsidRPr="008C6016">
              <w:rPr>
                <w:lang w:val="de-DE"/>
              </w:rPr>
              <w:t>Ferner hat eine Gesellschaft der Credit Suisse eine Aufforderung zur Abgabe von zivilrechtlichen Auskünften seitens des DOJ erhalten</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lang w:val="en-US"/>
              </w:rPr>
            </w:pPr>
            <w:r w:rsidRPr="00985AE1">
              <w:rPr>
                <w:b/>
                <w:lang w:val="en-US"/>
              </w:rPr>
              <w:t>Net new assets-related matters</w:t>
            </w:r>
          </w:p>
        </w:tc>
        <w:tc>
          <w:tcPr>
            <w:tcW w:w="2501" w:type="pct"/>
            <w:gridSpan w:val="8"/>
            <w:tcBorders>
              <w:left w:val="single" w:sz="4" w:space="0" w:color="auto"/>
            </w:tcBorders>
            <w:shd w:val="clear" w:color="auto" w:fill="auto"/>
          </w:tcPr>
          <w:p w:rsidR="004C1EBA" w:rsidRPr="00985AE1" w:rsidP="004C1EBA">
            <w:pPr>
              <w:pStyle w:val="csbody00"/>
              <w:rPr>
                <w:b/>
                <w:lang w:val="de-DE"/>
              </w:rPr>
            </w:pPr>
            <w:r w:rsidRPr="00985AE1">
              <w:rPr>
                <w:b/>
                <w:lang w:val="de-DE"/>
              </w:rPr>
              <w:t>Angelegenheiten im Zusammenhang mit Netto-Neugeldern</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985AE1">
              <w:t>On 26 February 2014, the United States Senate Permanent Subcommittee on Investigations issued a report that included a discussion of the Group’s determinations about and disclosures of net new assets and, as previously disclosed, the Group is conducting a review of this topic. The SEC is also conducting an investigation. The disclosure of net new assets is required by banks operating in Switzerland pursuant to Guidelines on Accounting Standards issued by the FINMA.</w:t>
            </w:r>
          </w:p>
        </w:tc>
        <w:tc>
          <w:tcPr>
            <w:tcW w:w="2501" w:type="pct"/>
            <w:gridSpan w:val="8"/>
            <w:tcBorders>
              <w:left w:val="single" w:sz="4" w:space="0" w:color="auto"/>
            </w:tcBorders>
            <w:shd w:val="clear" w:color="auto" w:fill="auto"/>
          </w:tcPr>
          <w:p w:rsidR="004C1EBA" w:rsidRPr="00E93ED8" w:rsidP="004C1EBA">
            <w:pPr>
              <w:pStyle w:val="csbody00"/>
              <w:rPr>
                <w:lang w:val="de-DE" w:eastAsia="de-DE"/>
              </w:rPr>
            </w:pPr>
            <w:r w:rsidRPr="00985AE1">
              <w:rPr>
                <w:lang w:val="de-CH" w:eastAsia="de-DE"/>
              </w:rPr>
              <w:t>Am 26. Februar 2014 veröffentlichte der für Untersuchungen zuständige Ständige Unterausschuss des US-Senats (</w:t>
            </w:r>
            <w:r w:rsidRPr="00985AE1">
              <w:rPr>
                <w:i/>
                <w:lang w:val="de-CH" w:eastAsia="de-DE"/>
              </w:rPr>
              <w:t>United States Senate Permanent Subcommittee on Investigations</w:t>
            </w:r>
            <w:r w:rsidRPr="00985AE1">
              <w:rPr>
                <w:lang w:val="de-CH" w:eastAsia="de-DE"/>
              </w:rPr>
              <w:t>) einen Bericht, in dem die seitens der Gruppe erfolgte Berechnung und Offenlegung von Netto-Neugeldern erörtert wird, und die Gruppe führt, wie zu einem früheren Zeitpunkt bereits bekannt gegeben, eine Überprüfung dieses Themenkomplexes durch. Die SEC führt ebenfalls eine Untersuchung durch. Die Offenlegung von Netto-Neugeldern wird nach Massgabe der von der FINMA herausgegebenen Leitlinien zu Rechnungslegungsstandards von in der Schweiz tätigen Banken verlangt</w:t>
            </w:r>
            <w:r w:rsidRPr="00985AE1">
              <w:rPr>
                <w:lang w:val="de-DE" w:eastAsia="de-DE"/>
              </w:rPr>
              <w:t>.</w:t>
            </w:r>
          </w:p>
        </w:tc>
      </w:tr>
      <w:tr w:rsidTr="004C1EBA">
        <w:tblPrEx>
          <w:tblW w:w="5002" w:type="pct"/>
          <w:tblLayout w:type="fixed"/>
          <w:tblLook w:val="00A0"/>
        </w:tblPrEx>
        <w:tc>
          <w:tcPr>
            <w:tcW w:w="2499" w:type="pct"/>
            <w:gridSpan w:val="5"/>
            <w:tcBorders>
              <w:right w:val="single" w:sz="4" w:space="0" w:color="auto"/>
            </w:tcBorders>
          </w:tcPr>
          <w:p w:rsidR="004C1EBA" w:rsidRPr="00985AE1" w:rsidP="004C1EBA">
            <w:pPr>
              <w:pStyle w:val="csbody00"/>
              <w:rPr>
                <w:b/>
                <w:lang w:val="en-US"/>
              </w:rPr>
            </w:pPr>
            <w:r w:rsidRPr="00985AE1">
              <w:rPr>
                <w:b/>
                <w:lang w:val="en-US"/>
              </w:rPr>
              <w:t>Alternative trading systems</w:t>
            </w:r>
          </w:p>
        </w:tc>
        <w:tc>
          <w:tcPr>
            <w:tcW w:w="2501" w:type="pct"/>
            <w:gridSpan w:val="8"/>
            <w:tcBorders>
              <w:left w:val="single" w:sz="4" w:space="0" w:color="auto"/>
            </w:tcBorders>
            <w:shd w:val="clear" w:color="auto" w:fill="auto"/>
          </w:tcPr>
          <w:p w:rsidR="004C1EBA" w:rsidRPr="00985AE1" w:rsidP="004C1EBA">
            <w:pPr>
              <w:pStyle w:val="csbody00"/>
              <w:rPr>
                <w:b/>
                <w:lang w:val="en-US"/>
              </w:rPr>
            </w:pPr>
            <w:r w:rsidRPr="00985AE1">
              <w:rPr>
                <w:b/>
                <w:lang w:val="en-US"/>
              </w:rPr>
              <w:t>Alternative Handelssysteme</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t>The Group</w:t>
            </w:r>
            <w:r w:rsidRPr="006527EC">
              <w:t xml:space="preserve"> is responding to inquiries from various governmental and regulatory authorities concerning the operation of its alternative trading systems, and is cooperating with those requests. </w:t>
            </w:r>
            <w:r>
              <w:t>CSG</w:t>
            </w:r>
            <w:r w:rsidRPr="006527EC">
              <w:t xml:space="preserve"> was also among more than thirty defendants named in putative class action complaints filed in the SDNY since April 2014, alleging violations of U</w:t>
            </w:r>
            <w:r>
              <w:t>.</w:t>
            </w:r>
            <w:r w:rsidRPr="006527EC">
              <w:t>S</w:t>
            </w:r>
            <w:r>
              <w:t>.</w:t>
            </w:r>
            <w:r w:rsidRPr="006527EC">
              <w:t xml:space="preserve"> securities laws related to high-frequency trading. </w:t>
            </w:r>
            <w:r>
              <w:t>CSG</w:t>
            </w:r>
            <w:r w:rsidRPr="006527EC">
              <w:t xml:space="preserve"> was never served with the complaints in which it was named as a defendant and those complaints have been superseded by a consolidated amended complaint filed in September 2014 that is now operative. Since no entity </w:t>
            </w:r>
            <w:r>
              <w:t xml:space="preserve">of the Group </w:t>
            </w:r>
            <w:r w:rsidRPr="006527EC">
              <w:t xml:space="preserve">was named in such consolidated amended complaint, </w:t>
            </w:r>
            <w:r>
              <w:t>CSG</w:t>
            </w:r>
            <w:r w:rsidRPr="006527EC">
              <w:t xml:space="preserve"> is no longer a party to the lawsuit.</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8C6016">
              <w:rPr>
                <w:lang w:val="de-DE"/>
              </w:rPr>
              <w:t xml:space="preserve">Die </w:t>
            </w:r>
            <w:r>
              <w:rPr>
                <w:lang w:val="de-DE"/>
              </w:rPr>
              <w:t xml:space="preserve">Gruppe </w:t>
            </w:r>
            <w:r w:rsidRPr="008C6016">
              <w:rPr>
                <w:lang w:val="de-DE"/>
              </w:rPr>
              <w:t xml:space="preserve">antwortet auf Anfragen mehrerer staatlicher Behörden und Aufsichtsbehörden zum Betrieb ihrer alternativen Handelssysteme und arbeitet im Zusammenhang mit diesen Anfragen mit den Behörden zusammen. Darüber hinaus gehört die CSG zu den mehr als dreissig Beklagten in putativen Sammelklagen, die seit April 2014 vor dem SDNY angestrengt werden; den Beklagten wird dabei eine Verletzung von US-amerikanischen Wertpapiergesetzen im Zusammenhang mit Hochfrequenzhandelsaktivitäten vorgeworfen. Der CSG wurden die betreffenden Klagen, in welchen sie als Beklagte aufgeführt wurde, nie zugestellt. Die betreffenden Klagen wurden aufgrund einer konsolidierten erweiterten Klage hinfällig. Letztere wurde im September 2014 eingereicht und ist nun massgeblich. Da kein </w:t>
            </w:r>
            <w:r>
              <w:rPr>
                <w:lang w:val="de-DE"/>
              </w:rPr>
              <w:t>Unternehmen der Gruppe</w:t>
            </w:r>
            <w:r w:rsidRPr="008C6016">
              <w:rPr>
                <w:lang w:val="de-DE"/>
              </w:rPr>
              <w:t xml:space="preserve"> in der betreffenden konsolidierten erweiterten Klage genannt wurde, ist die CSG nicht mehr an dem Rechtsstreit beteiligt</w:t>
            </w:r>
            <w:r w:rsidRPr="00E93ED8">
              <w:rPr>
                <w:lang w:val="de-DE"/>
              </w:rPr>
              <w:t>.</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EF6588" w:rsidP="004C1EBA">
            <w:pPr>
              <w:pStyle w:val="csbody00"/>
            </w:pPr>
            <w:r>
              <w:rPr>
                <w:b/>
              </w:rPr>
              <w:t>Caspian Energy litigation</w:t>
            </w:r>
          </w:p>
        </w:tc>
        <w:tc>
          <w:tcPr>
            <w:tcW w:w="2501" w:type="pct"/>
            <w:gridSpan w:val="8"/>
            <w:tcBorders>
              <w:top w:val="nil"/>
              <w:left w:val="single" w:sz="4" w:space="0" w:color="auto"/>
              <w:bottom w:val="nil"/>
            </w:tcBorders>
            <w:shd w:val="clear" w:color="auto" w:fill="auto"/>
          </w:tcPr>
          <w:p w:rsidR="004C1EBA" w:rsidRPr="00EF6588" w:rsidP="004C1EBA">
            <w:pPr>
              <w:pStyle w:val="csbody00"/>
              <w:rPr>
                <w:b/>
                <w:lang w:val="de-DE"/>
              </w:rPr>
            </w:pPr>
            <w:r w:rsidRPr="008C6016">
              <w:rPr>
                <w:b/>
                <w:lang w:val="de-DE"/>
              </w:rPr>
              <w:t>Rechtsstreit im Zusammenhang mit Caspian Energy</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EF6588" w:rsidP="004C1EBA">
            <w:pPr>
              <w:pStyle w:val="csbody00"/>
            </w:pPr>
            <w:r w:rsidRPr="006527EC">
              <w:t>A lawsuit was brought against Credit Suisse International (</w:t>
            </w:r>
            <w:r>
              <w:t>"</w:t>
            </w:r>
            <w:r w:rsidRPr="00114E42">
              <w:rPr>
                <w:b/>
              </w:rPr>
              <w:t>CSI</w:t>
            </w:r>
            <w:r>
              <w:rPr>
                <w:lang w:val="en-US"/>
              </w:rPr>
              <w:t>"</w:t>
            </w:r>
            <w:r w:rsidRPr="006527EC">
              <w:t>) in English court by Rosserlane Consultants Limited and Swinbrook Developments Limited. T</w:t>
            </w:r>
            <w:r>
              <w:t>he litigation related</w:t>
            </w:r>
            <w:r w:rsidRPr="006527EC">
              <w:t xml:space="preserve"> to the forced sale by CSI in 2008 of Caspian Energy Group LP (</w:t>
            </w:r>
            <w:r>
              <w:t>"</w:t>
            </w:r>
            <w:r w:rsidRPr="00114E42">
              <w:rPr>
                <w:b/>
              </w:rPr>
              <w:t>CEG</w:t>
            </w:r>
            <w:r>
              <w:rPr>
                <w:lang w:val="en-US"/>
              </w:rPr>
              <w:t>"</w:t>
            </w:r>
            <w:r w:rsidRPr="006527EC">
              <w:t>), the vehicle through which the plaintiffs held a 51</w:t>
            </w:r>
            <w:r>
              <w:t xml:space="preserve"> per cent.</w:t>
            </w:r>
            <w:r w:rsidRPr="006527EC">
              <w:t xml:space="preserve"> stake in the Kyurovdag oil and gas field in Azerbaijan. CEG was sold for USD 245 million following two unsuccessful merger and acquisition processes. The plaintiffs allege that CEG should have been sold for at least USD 700 million. The trial took plac</w:t>
            </w:r>
            <w:r>
              <w:t>e at the end of 2014 and on 20</w:t>
            </w:r>
            <w:r w:rsidRPr="006527EC">
              <w:t xml:space="preserve"> February 2015, the case was dismissed and judgment given in favour</w:t>
            </w:r>
            <w:r>
              <w:t xml:space="preserve"> of CSI</w:t>
            </w:r>
            <w:r w:rsidRPr="006527EC">
              <w:t>.</w:t>
            </w:r>
          </w:p>
        </w:tc>
        <w:tc>
          <w:tcPr>
            <w:tcW w:w="2501" w:type="pct"/>
            <w:gridSpan w:val="8"/>
            <w:tcBorders>
              <w:top w:val="nil"/>
              <w:left w:val="single" w:sz="4" w:space="0" w:color="auto"/>
              <w:bottom w:val="nil"/>
            </w:tcBorders>
            <w:shd w:val="clear" w:color="auto" w:fill="auto"/>
          </w:tcPr>
          <w:p w:rsidR="004C1EBA" w:rsidRPr="00EF6588" w:rsidP="004C1EBA">
            <w:pPr>
              <w:pStyle w:val="csbody00"/>
              <w:rPr>
                <w:lang w:val="de-DE"/>
              </w:rPr>
            </w:pPr>
            <w:r w:rsidRPr="00BD6E0D">
              <w:t>Rosserlane Consultants Limited und Swinbrook Developments Limited strengten vor einem englischen Gericht eine Klage gegen die Credit Suisse International ("</w:t>
            </w:r>
            <w:r w:rsidRPr="00BD6E0D">
              <w:rPr>
                <w:b/>
              </w:rPr>
              <w:t>CSI</w:t>
            </w:r>
            <w:r w:rsidRPr="00BD6E0D">
              <w:t xml:space="preserve">") an. </w:t>
            </w:r>
            <w:r w:rsidRPr="008C6016">
              <w:rPr>
                <w:lang w:val="de-DE"/>
              </w:rPr>
              <w:t>Der Rechtsstreit stand im Zusammenhang mit dem 2008 erfolgten Zwangsverkauf der Caspian Energy Group LP (</w:t>
            </w:r>
            <w:r>
              <w:rPr>
                <w:lang w:val="de-DE"/>
              </w:rPr>
              <w:t>"</w:t>
            </w:r>
            <w:r w:rsidRPr="008C6016">
              <w:rPr>
                <w:b/>
                <w:lang w:val="de-DE"/>
              </w:rPr>
              <w:t>CEG</w:t>
            </w:r>
            <w:r>
              <w:rPr>
                <w:lang w:val="de-DE"/>
              </w:rPr>
              <w:t>"</w:t>
            </w:r>
            <w:r w:rsidRPr="008C6016">
              <w:rPr>
                <w:lang w:val="de-DE"/>
              </w:rPr>
              <w:t xml:space="preserve">) durch die CSI, das heisst des Vehikels, über welches die Kläger zu 51 % am Kyurovdag-Öl- und Gasfeld in Aserbeidschan beteiligt waren. CEG wurde für USD 245 Mio. verkauft, nachdem zwei Fusions- und Übernahmeverfahren erfolglos blieben. Die Kläger </w:t>
            </w:r>
            <w:r>
              <w:rPr>
                <w:lang w:val="de-DE"/>
              </w:rPr>
              <w:t>sind</w:t>
            </w:r>
            <w:r w:rsidRPr="008C6016">
              <w:rPr>
                <w:lang w:val="de-DE"/>
              </w:rPr>
              <w:t xml:space="preserve"> der Ansicht, dass der Mindestverkaufspreis für CEG bei USD 700 Mio. hätte liegen müssen. Die Verhandlung fand Ende 2014 statt, am 20. Februar 2015 wurde die Klage abgewiesen und eine Entscheidung zu Gunsten der CSI getroffen</w:t>
            </w:r>
            <w:r w:rsidRPr="00EF6588">
              <w:rPr>
                <w:lang w:val="de-DE"/>
              </w:rPr>
              <w:t>.</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114E42" w:rsidP="004C1EBA">
            <w:pPr>
              <w:pStyle w:val="csbody00"/>
              <w:rPr>
                <w:b/>
              </w:rPr>
            </w:pPr>
            <w:r>
              <w:rPr>
                <w:b/>
              </w:rPr>
              <w:t>ATA litigation</w:t>
            </w:r>
          </w:p>
        </w:tc>
        <w:tc>
          <w:tcPr>
            <w:tcW w:w="2501" w:type="pct"/>
            <w:gridSpan w:val="8"/>
            <w:tcBorders>
              <w:top w:val="nil"/>
              <w:left w:val="single" w:sz="4" w:space="0" w:color="auto"/>
              <w:bottom w:val="nil"/>
            </w:tcBorders>
            <w:shd w:val="clear" w:color="auto" w:fill="auto"/>
          </w:tcPr>
          <w:p w:rsidR="004C1EBA" w:rsidRPr="008C6016" w:rsidP="004C1EBA">
            <w:pPr>
              <w:pStyle w:val="csbody00"/>
              <w:rPr>
                <w:b/>
                <w:lang w:val="de-DE"/>
              </w:rPr>
            </w:pPr>
            <w:r w:rsidRPr="008C6016">
              <w:rPr>
                <w:b/>
                <w:lang w:val="de-DE"/>
              </w:rPr>
              <w:t>Rechtsstreit im Zusammenhang mit Verletzungen des Terrorismusbekämpfungsgesetzes der USA (</w:t>
            </w:r>
            <w:r w:rsidRPr="008C6016">
              <w:rPr>
                <w:b/>
                <w:i/>
                <w:lang w:val="de-DE"/>
              </w:rPr>
              <w:t>United States Anti-Terrorism Act</w:t>
            </w:r>
            <w:r w:rsidRPr="008C6016">
              <w:rPr>
                <w:b/>
                <w:lang w:val="de-DE"/>
              </w:rPr>
              <w:t xml:space="preserve">, </w:t>
            </w:r>
            <w:r>
              <w:rPr>
                <w:b/>
                <w:lang w:val="de-DE"/>
              </w:rPr>
              <w:t>"</w:t>
            </w:r>
            <w:r w:rsidRPr="008C6016">
              <w:rPr>
                <w:b/>
                <w:lang w:val="de-DE"/>
              </w:rPr>
              <w:t>ATA</w:t>
            </w:r>
            <w:r>
              <w:rPr>
                <w:b/>
                <w:lang w:val="de-DE"/>
              </w:rPr>
              <w:t>"</w:t>
            </w:r>
            <w:r w:rsidRPr="008C6016">
              <w:rPr>
                <w:b/>
                <w:lang w:val="de-DE"/>
              </w:rPr>
              <w:t>)</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EF6588" w:rsidP="004C1EBA">
            <w:pPr>
              <w:pStyle w:val="csbody00"/>
            </w:pPr>
            <w:r>
              <w:t>A lawsuit was filed on 10</w:t>
            </w:r>
            <w:r w:rsidRPr="006527EC">
              <w:t xml:space="preserve"> November 2014 in the U</w:t>
            </w:r>
            <w:r>
              <w:t>.</w:t>
            </w:r>
            <w:r w:rsidRPr="006527EC">
              <w:t>S</w:t>
            </w:r>
            <w:r>
              <w:t>.</w:t>
            </w:r>
            <w:r w:rsidRPr="006527EC">
              <w:t xml:space="preserve"> District Court for the Eastern District of New York</w:t>
            </w:r>
            <w:r>
              <w:t xml:space="preserve"> </w:t>
            </w:r>
            <w:r w:rsidRPr="008C6016">
              <w:t>(</w:t>
            </w:r>
            <w:r>
              <w:t>"</w:t>
            </w:r>
            <w:r w:rsidRPr="008C6016">
              <w:rPr>
                <w:b/>
              </w:rPr>
              <w:t>EDNY</w:t>
            </w:r>
            <w:r>
              <w:t>"</w:t>
            </w:r>
            <w:r w:rsidRPr="008C6016">
              <w:t xml:space="preserve">) </w:t>
            </w:r>
            <w:r w:rsidRPr="006527EC">
              <w:t xml:space="preserve"> against a number of banks, including Credit Suisse, alleging claims under the United States Anti-Terrorism Act (</w:t>
            </w:r>
            <w:r>
              <w:t>"</w:t>
            </w:r>
            <w:r w:rsidRPr="00114E42">
              <w:rPr>
                <w:b/>
              </w:rPr>
              <w:t>ATA</w:t>
            </w:r>
            <w:r>
              <w:rPr>
                <w:lang w:val="en-US"/>
              </w:rPr>
              <w:t>"</w:t>
            </w:r>
            <w:r w:rsidRPr="006527EC">
              <w:t>). The action alleges a conspiracy between Iran and various international financial institutions, including the defendants, in which they agreed to alter, falsify, or omit information from payment messages that involved Iranian parties for the express purpose of concealing the Iranian parties’ financial activities and transactions from detection by U</w:t>
            </w:r>
            <w:r>
              <w:t>.</w:t>
            </w:r>
            <w:r w:rsidRPr="006527EC">
              <w:t>S</w:t>
            </w:r>
            <w:r>
              <w:t>.</w:t>
            </w:r>
            <w:r w:rsidRPr="006527EC">
              <w:t xml:space="preserve"> authorities. The complaint, brought by approximately 200 plaintiffs, alleges that this conspiracy has made it possible for Iran to transfer funds to Hezbollah and other terrorist organizations actively engaged in harming U</w:t>
            </w:r>
            <w:r>
              <w:t>.</w:t>
            </w:r>
            <w:r w:rsidRPr="006527EC">
              <w:t>S</w:t>
            </w:r>
            <w:r>
              <w:t>.</w:t>
            </w:r>
            <w:r w:rsidRPr="006527EC">
              <w:t xml:space="preserve"> military personnel and civil</w:t>
            </w:r>
            <w:r>
              <w:t>ians. On 16</w:t>
            </w:r>
            <w:r w:rsidRPr="006527EC">
              <w:t xml:space="preserve"> March 2015, Credit Suisse and the other defendants filed motions to dismiss.</w:t>
            </w:r>
            <w:r w:rsidRPr="00E33A37">
              <w:rPr>
                <w:szCs w:val="22"/>
              </w:rPr>
              <w:t xml:space="preserve"> </w:t>
            </w:r>
            <w:r>
              <w:t xml:space="preserve"> </w:t>
            </w:r>
            <w:r w:rsidRPr="00F82865">
              <w:t>On 2 April 2015, the plaintiffs filed an amended complaint. On 29 May 2015, Credit Suisse and all other defendants filed motions to dismiss.</w:t>
            </w:r>
          </w:p>
        </w:tc>
        <w:tc>
          <w:tcPr>
            <w:tcW w:w="2501" w:type="pct"/>
            <w:gridSpan w:val="8"/>
            <w:tcBorders>
              <w:top w:val="nil"/>
              <w:left w:val="single" w:sz="4" w:space="0" w:color="auto"/>
              <w:bottom w:val="nil"/>
            </w:tcBorders>
            <w:shd w:val="clear" w:color="auto" w:fill="auto"/>
          </w:tcPr>
          <w:p w:rsidR="004C1EBA" w:rsidRPr="00EF6588" w:rsidP="004C1EBA">
            <w:pPr>
              <w:pStyle w:val="csbody00"/>
              <w:rPr>
                <w:lang w:val="de-DE"/>
              </w:rPr>
            </w:pPr>
            <w:r w:rsidRPr="008C6016">
              <w:rPr>
                <w:lang w:val="de-DE"/>
              </w:rPr>
              <w:t>Am 10. November 2014 wurde beim U.S. District Court for the Eastern District of New York (</w:t>
            </w:r>
            <w:r>
              <w:rPr>
                <w:lang w:val="de-DE"/>
              </w:rPr>
              <w:t>"</w:t>
            </w:r>
            <w:r w:rsidRPr="008C6016">
              <w:rPr>
                <w:b/>
                <w:lang w:val="de-DE"/>
              </w:rPr>
              <w:t>EDNY</w:t>
            </w:r>
            <w:r>
              <w:rPr>
                <w:lang w:val="de-DE"/>
              </w:rPr>
              <w:t>"</w:t>
            </w:r>
            <w:r w:rsidRPr="008C6016">
              <w:rPr>
                <w:lang w:val="de-DE"/>
              </w:rPr>
              <w:t>) eine Klage gegen eine Reihe von Banken, u. a. die Credit Suisse, eingereicht, die sich auf angebliche Verletzungen des Terrorismusbekämpfungsgesetzes der USA bezog. Die Klage führt eine angebliche Verschwörung des Irans mit verschiedenen internationalen Finanzinstituten an, zu denen auch die Beklagten zählen. Im Rahmen dieser Verschwörung sollen die Beklagten die Abänderung, Fälschung oder Unterdrückung von Zahlungsverkehrsangaben vereinbart haben, die Gegenparteien aus dem Iran betrafen, um absichtlich die finanziellen Tätigkeiten oder Transaktionen der besagten iranischen Gegenparteien gegenüber den US-amerikanischen Behörden zu verschleiern. Diese Klage wurde von rund 200 Klägern eingereicht; sie behauptet, dass der Iran auf diesem Weg die Möglichkeit erhalten habe, Mittel an den Hisbollah und andere terroristische Vereinigungen zu überweisen, die sich aktiv mit der Schädigung von US-amerikanischen Militärangehörigen und Zivilpersonen befassen. Am 16. März 2015 reichten die Credit Suisse sowie die übrigen Beklagten einen Antrag auf Klageabweisung ein</w:t>
            </w:r>
            <w:r>
              <w:rPr>
                <w:lang w:val="de-DE"/>
              </w:rPr>
              <w:t xml:space="preserve">. </w:t>
            </w:r>
            <w:r w:rsidRPr="005C5842">
              <w:rPr>
                <w:lang w:val="de-DE"/>
              </w:rPr>
              <w:t xml:space="preserve"> </w:t>
            </w:r>
            <w:r w:rsidRPr="00F82865">
              <w:rPr>
                <w:lang w:val="de-DE"/>
              </w:rPr>
              <w:t>Am 2. April 2015 haben die Kläger eine erweiterte Klage eingereicht. Am 29. Mai haben Credit Suisse und alle anderen Beklagten beantragt, die Klage abzuweisen.</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114E42" w:rsidP="004C1EBA">
            <w:pPr>
              <w:pStyle w:val="csbody00"/>
              <w:rPr>
                <w:b/>
              </w:rPr>
            </w:pPr>
            <w:r>
              <w:rPr>
                <w:b/>
              </w:rPr>
              <w:t>MPS</w:t>
            </w:r>
          </w:p>
        </w:tc>
        <w:tc>
          <w:tcPr>
            <w:tcW w:w="2501" w:type="pct"/>
            <w:gridSpan w:val="8"/>
            <w:tcBorders>
              <w:top w:val="nil"/>
              <w:left w:val="single" w:sz="4" w:space="0" w:color="auto"/>
              <w:bottom w:val="nil"/>
            </w:tcBorders>
            <w:shd w:val="clear" w:color="auto" w:fill="auto"/>
          </w:tcPr>
          <w:p w:rsidR="004C1EBA" w:rsidRPr="00114E42" w:rsidP="004C1EBA">
            <w:pPr>
              <w:pStyle w:val="csbody00"/>
              <w:rPr>
                <w:b/>
              </w:rPr>
            </w:pPr>
            <w:r w:rsidRPr="008C6016">
              <w:rPr>
                <w:b/>
              </w:rPr>
              <w:t>MPS</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EF6588" w:rsidP="004C1EBA">
            <w:pPr>
              <w:pStyle w:val="csbody00"/>
            </w:pPr>
            <w:r w:rsidRPr="00FC42FC">
              <w:t>In late 2014, the Monte dei Paschi di Siena Foundation (</w:t>
            </w:r>
            <w:r w:rsidR="00090525">
              <w:rPr>
                <w:lang w:val="en-US"/>
              </w:rPr>
              <w:t>"</w:t>
            </w:r>
            <w:r w:rsidRPr="00BD6E0D">
              <w:rPr>
                <w:b/>
              </w:rPr>
              <w:t>Foundation</w:t>
            </w:r>
            <w:r w:rsidR="00090525">
              <w:rPr>
                <w:lang w:val="en-US"/>
              </w:rPr>
              <w:t>"</w:t>
            </w:r>
            <w:r w:rsidRPr="00FC42FC">
              <w:t>) filed a lawsuit in the Civil Court of Milan, Italy seeking EUR 3 billion in damages jointly from Credit Suisse Securities (Europe) Limited (</w:t>
            </w:r>
            <w:r>
              <w:t>"</w:t>
            </w:r>
            <w:r w:rsidRPr="00FC42FC">
              <w:rPr>
                <w:b/>
              </w:rPr>
              <w:t>CSSEL</w:t>
            </w:r>
            <w:r>
              <w:rPr>
                <w:lang w:val="en-US"/>
              </w:rPr>
              <w:t>"</w:t>
            </w:r>
            <w:r w:rsidRPr="00FC42FC">
              <w:t>), Banca Leonardo &amp; Co S.p.A. and former members of the Foundation’s management committee. The lawsuit relates to the fairness opinions CSSEL and Banca Leonardo &amp; Co S.p.A. delivered to the Foundation in connection with the EUR 9 billion acquisition of Banca Antonveneta S.p.A. by Banca Monte dei Paschi di Siena S.p.A. (</w:t>
            </w:r>
            <w:r>
              <w:t>"</w:t>
            </w:r>
            <w:r w:rsidRPr="00FC42FC">
              <w:rPr>
                <w:b/>
              </w:rPr>
              <w:t>BMPS</w:t>
            </w:r>
            <w:r>
              <w:rPr>
                <w:lang w:val="en-US"/>
              </w:rPr>
              <w:t>"</w:t>
            </w:r>
            <w:r w:rsidRPr="00FC42FC">
              <w:t>) in 2008. BMPS funded the acquisition with a EUR 5 billion rights offer and the issuance of unredeemable securities convertible into BMPS shares, in which the Foundation invested EUR 2.9 billion and EUR 490 million, respectively. The Foundation alleges that the fairness opinions were issued in the absence of key financial information. CSSEL believes that the claim lacks merit and is not supported by the available evidence</w:t>
            </w:r>
            <w:r w:rsidRPr="006527EC">
              <w:t>.</w:t>
            </w:r>
          </w:p>
        </w:tc>
        <w:tc>
          <w:tcPr>
            <w:tcW w:w="2501" w:type="pct"/>
            <w:gridSpan w:val="8"/>
            <w:tcBorders>
              <w:top w:val="nil"/>
              <w:left w:val="single" w:sz="4" w:space="0" w:color="auto"/>
              <w:bottom w:val="nil"/>
            </w:tcBorders>
            <w:shd w:val="clear" w:color="auto" w:fill="auto"/>
          </w:tcPr>
          <w:p w:rsidR="004C1EBA" w:rsidRPr="008C6016">
            <w:pPr>
              <w:pStyle w:val="csbody00"/>
              <w:rPr>
                <w:lang w:val="de-DE"/>
              </w:rPr>
            </w:pPr>
            <w:r w:rsidRPr="008C6016">
              <w:rPr>
                <w:lang w:val="de-DE"/>
              </w:rPr>
              <w:t xml:space="preserve">Ende 2014 strengte die Stiftung Monte dei Paschi di Siena </w:t>
            </w:r>
            <w:r w:rsidRPr="00BD6E0D" w:rsidR="00090525">
              <w:rPr>
                <w:lang w:val="de-DE"/>
              </w:rPr>
              <w:t>("</w:t>
            </w:r>
            <w:r w:rsidRPr="00BD6E0D" w:rsidR="00090525">
              <w:rPr>
                <w:b/>
                <w:lang w:val="de-DE"/>
              </w:rPr>
              <w:t>Stiftung</w:t>
            </w:r>
            <w:r w:rsidRPr="00BD6E0D" w:rsidR="00090525">
              <w:rPr>
                <w:lang w:val="de-DE"/>
              </w:rPr>
              <w:t xml:space="preserve">") </w:t>
            </w:r>
            <w:r w:rsidRPr="008C6016">
              <w:rPr>
                <w:lang w:val="de-DE"/>
              </w:rPr>
              <w:t>vor dem Zivilgericht in Mailand, Italien, ein Schadenersatzverfahren über EUR 3 Mrd. an, das sich gegen die Credit Suisse Securities (Europe) Limited (</w:t>
            </w:r>
            <w:r>
              <w:rPr>
                <w:lang w:val="de-DE"/>
              </w:rPr>
              <w:t>"</w:t>
            </w:r>
            <w:r w:rsidRPr="008C6016">
              <w:rPr>
                <w:b/>
                <w:lang w:val="de-DE"/>
              </w:rPr>
              <w:t>CSSEL</w:t>
            </w:r>
            <w:r>
              <w:rPr>
                <w:lang w:val="de-DE"/>
              </w:rPr>
              <w:t>"</w:t>
            </w:r>
            <w:r w:rsidRPr="008C6016">
              <w:rPr>
                <w:lang w:val="de-DE"/>
              </w:rPr>
              <w:t>), die Banca Leonardo &amp; Co S.p.A. sowie ehemalige Mitglieder der Geschäftsleitung der Stiftung richtet. Das Verfahren bezieht sich auf die Gutachten zur finanziellen Angemessenheit (</w:t>
            </w:r>
            <w:r w:rsidRPr="008C6016">
              <w:rPr>
                <w:i/>
                <w:lang w:val="de-DE"/>
              </w:rPr>
              <w:t>Fairness Opinions</w:t>
            </w:r>
            <w:r w:rsidRPr="008C6016">
              <w:rPr>
                <w:lang w:val="de-DE"/>
              </w:rPr>
              <w:t>), welche die CSSEL und die Banca Leonardo &amp; Co S.p.A. der Stiftung im Zusammenhang mit der Übernahme der Banca Antonveneta S.p.A. in Höhe von EUR 9 Mrd. durch die Banca Monte dei Paschi di Siena S.p.A. (</w:t>
            </w:r>
            <w:r>
              <w:rPr>
                <w:lang w:val="de-DE"/>
              </w:rPr>
              <w:t>"</w:t>
            </w:r>
            <w:r w:rsidRPr="008C6016">
              <w:rPr>
                <w:b/>
                <w:lang w:val="de-DE"/>
              </w:rPr>
              <w:t>BMPS</w:t>
            </w:r>
            <w:r>
              <w:rPr>
                <w:lang w:val="de-DE"/>
              </w:rPr>
              <w:t>"</w:t>
            </w:r>
            <w:r w:rsidRPr="008C6016">
              <w:rPr>
                <w:lang w:val="de-DE"/>
              </w:rPr>
              <w:t>) im Jahr 2008 ausgestellt hatten. Die BMPS finanzierte diese Übernahme durch ein Angebot von Bezugsscheinen sowie die Ausgabe von in BMPS-Aktien wandelbare Wertpapieren ohne Rückgaberecht im Volumen von insgesamt EUR 5 Mrd. Die Stiftung investierte EUR 2,9 Mrd. in das Bezugsrechtsangebot und EUR 490 Mio in die ausgegebenen Wertpapiere. Die Stiftung behauptet, dass die Fairness Opinions bestimmte wesentliche Finanzkennzahlen nicht berücksichtigt hätten. Die CSSEL hält die Klage für unbegründet und die Beweislage für unzureichend</w:t>
            </w:r>
            <w:r>
              <w:rPr>
                <w:lang w:val="de-DE"/>
              </w:rPr>
              <w:t>.</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114E42" w:rsidP="004C1EBA">
            <w:pPr>
              <w:pStyle w:val="csbody00"/>
              <w:rPr>
                <w:b/>
              </w:rPr>
            </w:pPr>
            <w:r>
              <w:rPr>
                <w:b/>
              </w:rPr>
              <w:t>Icelandic banks</w:t>
            </w:r>
          </w:p>
        </w:tc>
        <w:tc>
          <w:tcPr>
            <w:tcW w:w="2501" w:type="pct"/>
            <w:gridSpan w:val="8"/>
            <w:tcBorders>
              <w:top w:val="nil"/>
              <w:left w:val="single" w:sz="4" w:space="0" w:color="auto"/>
              <w:bottom w:val="nil"/>
            </w:tcBorders>
            <w:shd w:val="clear" w:color="auto" w:fill="auto"/>
          </w:tcPr>
          <w:p w:rsidR="004C1EBA" w:rsidRPr="00114E42" w:rsidP="004C1EBA">
            <w:pPr>
              <w:pStyle w:val="csbody00"/>
              <w:rPr>
                <w:b/>
              </w:rPr>
            </w:pPr>
            <w:r w:rsidRPr="008C6016">
              <w:rPr>
                <w:b/>
                <w:lang w:val="de-DE"/>
              </w:rPr>
              <w:t>Isländische Banken</w:t>
            </w:r>
          </w:p>
        </w:tc>
      </w:tr>
      <w:tr w:rsidTr="004C1EBA">
        <w:tblPrEx>
          <w:tblW w:w="5002" w:type="pct"/>
          <w:tblBorders>
            <w:insideV w:val="single" w:sz="4" w:space="0" w:color="auto"/>
          </w:tblBorders>
          <w:tblLayout w:type="fixed"/>
          <w:tblLook w:val="00A0"/>
        </w:tblPrEx>
        <w:tc>
          <w:tcPr>
            <w:tcW w:w="2499" w:type="pct"/>
            <w:gridSpan w:val="5"/>
            <w:tcBorders>
              <w:top w:val="nil"/>
              <w:bottom w:val="nil"/>
              <w:right w:val="single" w:sz="4" w:space="0" w:color="auto"/>
            </w:tcBorders>
          </w:tcPr>
          <w:p w:rsidR="004C1EBA" w:rsidRPr="00EF6588" w:rsidP="004C1EBA">
            <w:pPr>
              <w:pStyle w:val="csbody00"/>
            </w:pPr>
            <w:r w:rsidRPr="006527EC">
              <w:t>CSSEL is defending clawback claims of USD 16 million and EUR 22 million brought by the Winding Up Committees (</w:t>
            </w:r>
            <w:r>
              <w:t>"</w:t>
            </w:r>
            <w:r w:rsidRPr="00114E42">
              <w:rPr>
                <w:b/>
              </w:rPr>
              <w:t>WUCs</w:t>
            </w:r>
            <w:r>
              <w:rPr>
                <w:lang w:val="en-US"/>
              </w:rPr>
              <w:t>"</w:t>
            </w:r>
            <w:r w:rsidRPr="006527EC">
              <w:t>) of the Icelandic banks Kaupthing Bank hf and LBI hf (previously Landsbanki Islands hf) in the District Court of Reykjavik, Iceland. The claims concern the buyback by the Icelandic banks of their own bonds from CSSEL in the months prior to the Icelandic banks’ insolvency. The primary basis for the clawback is that the buybacks constituted early repayments of debt to CSSEL. In addition, CSI is defending a EUR 170 million clawback claim brought by the WUC of Kaupthing Bank hf in the District Court of Reykjavik, Iceland. The claim relates to CSI’s issuance of ten credit linked notes in 2008, which the WUC is seeking to challenge under various provisions of Icelandic insolvency law in order to claw back funds paid to CSI. The WUCs are also claiming significant penalty interest under Icelandic law in respect of both the CSSEL and CSI claims. CSSEL argues that the buyback transactions are governed by English or New York law and CSI argues that the purchase of the credit linked notes is governed by English law, neither of which provides a legal basis for such clawback actions. In October 2014, the Court of the European Free Trade Association States issued a non-binding decision supporting CSI’s and CSSEL’s position that the governing law of the transactions is relevant. A trial is currently expected to take place in respect of the CSSEL claims in the second half of 2015 and in respect of the CSI claim in 2017. Separately, CSI is pursuing a claim for USD 226 million in the District Court of Reykjavik, Iceland against Kaupthing Bank hf’s WUC in order to enforce certain security rights arising under a 2007 structured trade. CSI acquired the security rights following Kaupthing Bank hf’s insolvency in 2008. A trial of this claim is currently expected to take place in 2017.</w:t>
            </w:r>
          </w:p>
        </w:tc>
        <w:tc>
          <w:tcPr>
            <w:tcW w:w="2501" w:type="pct"/>
            <w:gridSpan w:val="8"/>
            <w:tcBorders>
              <w:top w:val="nil"/>
              <w:left w:val="single" w:sz="4" w:space="0" w:color="auto"/>
              <w:bottom w:val="nil"/>
            </w:tcBorders>
            <w:shd w:val="clear" w:color="auto" w:fill="auto"/>
          </w:tcPr>
          <w:p w:rsidR="004C1EBA" w:rsidRPr="00EF6588" w:rsidP="004C1EBA">
            <w:pPr>
              <w:pStyle w:val="csbody00"/>
              <w:rPr>
                <w:lang w:val="de-DE"/>
              </w:rPr>
            </w:pPr>
            <w:r w:rsidRPr="008C6016">
              <w:rPr>
                <w:lang w:val="de-DE"/>
              </w:rPr>
              <w:t>Die CSSEL verteidigt sich gegen Anfechtungsklagen (c</w:t>
            </w:r>
            <w:r w:rsidRPr="008C6016">
              <w:rPr>
                <w:i/>
                <w:lang w:val="de-DE"/>
              </w:rPr>
              <w:t>lawback claims</w:t>
            </w:r>
            <w:r w:rsidRPr="008C6016">
              <w:rPr>
                <w:lang w:val="de-DE"/>
              </w:rPr>
              <w:t>) über USD 16 Mio. und EUR 22 Mio. seitens der Abwicklungsausschüsse der isländischen Banken Kaupthing Bank hf und LBI hf (ehemals Landsbanki Islands hf) vor dem isländischen Bezirksgericht in Reykjavik. Die Forderungen beziehen sich auf den Rückkauf eigener Anleihen der isländischen Banken von der CSSEL in den Monaten unmittelbar vor der Insolvenz dieser Banken. Sie stützen sich in erster Linie darauf, dass die Rückkäufe vorzeitige Schuldtilgungen an die CSSEL darstellten. Ferner verwahrt sich die CSI gegen eine Anfechtungsklage über EUR 170 Mio. des für Kaupthing Bank hf zuständigen Abwicklungsausschusses vor dem isländischen Bezirksgericht in Reykjavik. Diese Forderung bezieht sich auf die Ausgabe von zehn Credit-linked Notes durch die CSI im Jahr 2008, welche der Ausschuss unter verschiedenen Bestimmungen des isländischen Insolvenzrechts anfechten will, um an die CSI bezahlte Mittel zurückzufordern. Ferner verlangt der Ausschuss bedeutende Strafzinsen nach isländischem Recht für die beiden Forderungen gegen die CSSEL und die CSI. Die CSSEL führt an, dass die Rückkäufe britischem Recht oder dem Recht des Staates New York unterstehen, während die CSI argumentiert, dass der Ankauf der Credit-linked Notes nach britischem Recht erfolgt sei. Diese beiden Rechtsordnungen sehen keine gesetzliche Grundlage für derartige Anfechtungsklagen vor. Im Oktober 2014 veröffentlichte der Gerichtshof der europäischen Freihandelszone EFTA eine unverbindliche Entscheidung, die den Standpunkt der CSSEL und der CSI, dass das für die Transaktionen geltende Recht massgebend ist, stützt. Derzeit ist davon auszugehen, dass die Verhandlung über die Forderungen gegenüber der CSSEL im zweiten Halbjahr 2015 stattfindet; die Verhandlungen im Zusammenhang mit der CSI dürften 2017 stattfinden. In einem separaten Verfahren hat die CSI vor dem isländischen Bezirksgericht in Reykjavik eine Klage über USD 226 Mio. gegenüber dem für Kaupthing Bank hf zuständigen Abwicklungsausschusses angestrengt, welche die Durchsetzung von Sicherungsrechten im Rahmen eines im Jahr 2007 strukturierten Geschäfts vorsieht. Die CSI erwarb die Sicherungsrechte, nachdem Kaupthing Bank hf im Jahr 2008 insolvent geworden war. Die betreffende Verhandlung dürfte nach heutigem Stand im Jahr 2017 stattfinden</w:t>
            </w:r>
            <w:r>
              <w:rPr>
                <w:lang w:val="de-DE"/>
              </w:rPr>
              <w:t>.</w:t>
            </w:r>
          </w:p>
        </w:tc>
      </w:tr>
      <w:tr w:rsidTr="004C1EBA">
        <w:tblPrEx>
          <w:tblW w:w="5002" w:type="pct"/>
          <w:tblLayout w:type="fixed"/>
          <w:tblLook w:val="00A0"/>
        </w:tblPrEx>
        <w:tc>
          <w:tcPr>
            <w:tcW w:w="2499" w:type="pct"/>
            <w:gridSpan w:val="5"/>
            <w:tcBorders>
              <w:right w:val="single" w:sz="4" w:space="0" w:color="auto"/>
            </w:tcBorders>
          </w:tcPr>
          <w:p w:rsidR="004C1EBA" w:rsidRPr="00682578" w:rsidP="004C1EBA">
            <w:pPr>
              <w:pStyle w:val="csbody00"/>
            </w:pPr>
            <w:r w:rsidRPr="00682578">
              <w:rPr>
                <w:b/>
              </w:rPr>
              <w:t>Italian investigation</w:t>
            </w:r>
          </w:p>
        </w:tc>
        <w:tc>
          <w:tcPr>
            <w:tcW w:w="2501" w:type="pct"/>
            <w:gridSpan w:val="8"/>
            <w:tcBorders>
              <w:left w:val="single" w:sz="4" w:space="0" w:color="auto"/>
            </w:tcBorders>
            <w:shd w:val="clear" w:color="auto" w:fill="auto"/>
          </w:tcPr>
          <w:p w:rsidR="004C1EBA" w:rsidRPr="00682578" w:rsidP="004C1EBA">
            <w:pPr>
              <w:pStyle w:val="csbody00"/>
            </w:pPr>
            <w:r w:rsidRPr="00682578">
              <w:rPr>
                <w:b/>
              </w:rPr>
              <w:t>Ermittlungen in Italien</w:t>
            </w:r>
          </w:p>
        </w:tc>
      </w:tr>
      <w:tr w:rsidTr="004C1EBA">
        <w:tblPrEx>
          <w:tblW w:w="5002" w:type="pct"/>
          <w:tblLayout w:type="fixed"/>
          <w:tblLook w:val="00A0"/>
        </w:tblPrEx>
        <w:tc>
          <w:tcPr>
            <w:tcW w:w="2499" w:type="pct"/>
            <w:gridSpan w:val="5"/>
            <w:tcBorders>
              <w:right w:val="single" w:sz="4" w:space="0" w:color="auto"/>
            </w:tcBorders>
          </w:tcPr>
          <w:p w:rsidR="004C1EBA" w:rsidRPr="00682578">
            <w:pPr>
              <w:pStyle w:val="csbody00"/>
            </w:pPr>
            <w:r w:rsidRPr="00682578">
              <w:t xml:space="preserve">In Italy, a criminal investigation into allegations of unauthorized exercise of financial activity and related offenses has been initiated against subsidiaries and branches of </w:t>
            </w:r>
            <w:r w:rsidR="00090525">
              <w:t>the Group</w:t>
            </w:r>
            <w:r w:rsidRPr="00682578">
              <w:t xml:space="preserve">. </w:t>
            </w:r>
            <w:r w:rsidR="00090525">
              <w:t>The Group</w:t>
            </w:r>
            <w:r w:rsidRPr="00682578">
              <w:t xml:space="preserve"> is cooperating in the investigation.</w:t>
            </w:r>
          </w:p>
        </w:tc>
        <w:tc>
          <w:tcPr>
            <w:tcW w:w="2501" w:type="pct"/>
            <w:gridSpan w:val="8"/>
            <w:tcBorders>
              <w:left w:val="single" w:sz="4" w:space="0" w:color="auto"/>
            </w:tcBorders>
            <w:shd w:val="clear" w:color="auto" w:fill="auto"/>
          </w:tcPr>
          <w:p w:rsidR="004C1EBA" w:rsidRPr="00682578">
            <w:pPr>
              <w:pStyle w:val="csbody00"/>
              <w:rPr>
                <w:lang w:val="de-DE"/>
              </w:rPr>
            </w:pPr>
            <w:r w:rsidRPr="00682578">
              <w:rPr>
                <w:lang w:val="de-DE"/>
              </w:rPr>
              <w:t xml:space="preserve">In Italien wurde ein Ermittlungsverfahren in Strafsachen gegen Tochtergesellschaften und Zweigniederlassungen der </w:t>
            </w:r>
            <w:r w:rsidR="00090525">
              <w:rPr>
                <w:lang w:val="de-DE"/>
              </w:rPr>
              <w:t>Gruppe</w:t>
            </w:r>
            <w:r w:rsidRPr="00682578">
              <w:rPr>
                <w:lang w:val="de-DE"/>
              </w:rPr>
              <w:t xml:space="preserve"> eingeleitet wegen behaupteter Ausübung von unbewilligten Finanzgeschäften und hiermit zusammenhängenden Gesetzesverstössen. Die </w:t>
            </w:r>
            <w:r w:rsidR="00090525">
              <w:rPr>
                <w:lang w:val="de-DE"/>
              </w:rPr>
              <w:t>Gruppe</w:t>
            </w:r>
            <w:r w:rsidRPr="00682578">
              <w:rPr>
                <w:lang w:val="de-DE"/>
              </w:rPr>
              <w:t xml:space="preserve"> arbeitet in dieser Angelegenheit mit den Behörden zusammen.</w:t>
            </w:r>
          </w:p>
        </w:tc>
      </w:tr>
      <w:tr w:rsidTr="004C1EBA">
        <w:tblPrEx>
          <w:tblW w:w="5002" w:type="pct"/>
          <w:tblLayout w:type="fixed"/>
          <w:tblLook w:val="00A0"/>
        </w:tblPrEx>
        <w:tc>
          <w:tcPr>
            <w:tcW w:w="2499" w:type="pct"/>
            <w:gridSpan w:val="5"/>
            <w:tcBorders>
              <w:right w:val="single" w:sz="4" w:space="0" w:color="auto"/>
            </w:tcBorders>
          </w:tcPr>
          <w:p w:rsidR="004C1EBA" w:rsidRPr="00682578" w:rsidP="004C1EBA">
            <w:pPr>
              <w:pStyle w:val="CSBody0"/>
              <w:rPr>
                <w:b/>
                <w:iCs/>
                <w:lang w:val="en-US"/>
              </w:rPr>
            </w:pPr>
            <w:bookmarkStart w:id="75" w:name="_Toc433922991"/>
            <w:r w:rsidRPr="00682578">
              <w:rPr>
                <w:b/>
                <w:iCs/>
                <w:lang w:val="en-US"/>
              </w:rPr>
              <w:t>Customer account matters</w:t>
            </w:r>
            <w:bookmarkEnd w:id="75"/>
          </w:p>
        </w:tc>
        <w:tc>
          <w:tcPr>
            <w:tcW w:w="2501" w:type="pct"/>
            <w:gridSpan w:val="8"/>
            <w:tcBorders>
              <w:left w:val="single" w:sz="4" w:space="0" w:color="auto"/>
            </w:tcBorders>
            <w:shd w:val="clear" w:color="auto" w:fill="auto"/>
          </w:tcPr>
          <w:p w:rsidR="004C1EBA" w:rsidRPr="00682578" w:rsidP="004C1EBA">
            <w:pPr>
              <w:pStyle w:val="CSBody0"/>
              <w:rPr>
                <w:b/>
                <w:lang w:val="de-DE"/>
              </w:rPr>
            </w:pPr>
            <w:r w:rsidRPr="00682578">
              <w:rPr>
                <w:b/>
                <w:lang w:val="de-DE"/>
              </w:rPr>
              <w:t>Angelegenheiten betreffend Kundenkonten</w:t>
            </w:r>
          </w:p>
        </w:tc>
      </w:tr>
      <w:tr w:rsidTr="004C1EBA">
        <w:tblPrEx>
          <w:tblW w:w="5002" w:type="pct"/>
          <w:tblLayout w:type="fixed"/>
          <w:tblLook w:val="00A0"/>
        </w:tblPrEx>
        <w:tc>
          <w:tcPr>
            <w:tcW w:w="2499" w:type="pct"/>
            <w:gridSpan w:val="5"/>
            <w:tcBorders>
              <w:right w:val="single" w:sz="4" w:space="0" w:color="auto"/>
            </w:tcBorders>
          </w:tcPr>
          <w:p w:rsidR="004C1EBA" w:rsidRPr="00682578" w:rsidP="004C1EBA">
            <w:pPr>
              <w:pStyle w:val="CSBody0"/>
              <w:rPr>
                <w:lang w:val="en-US"/>
              </w:rPr>
            </w:pPr>
            <w:r w:rsidRPr="00682578">
              <w:rPr>
                <w:lang w:val="en-US"/>
              </w:rPr>
              <w:t>A few clients have claimed that a former relationship manager in Switzerland had exceeded his investment authority in the management of their portfolios, resulting in excessive concentrations of certain exposures and investment losses. Credit Suisse AG is investigating the claims, as well as transactions among the clients. No formal proceedings have been initiated at this time.</w:t>
            </w:r>
          </w:p>
        </w:tc>
        <w:tc>
          <w:tcPr>
            <w:tcW w:w="2501" w:type="pct"/>
            <w:gridSpan w:val="8"/>
            <w:tcBorders>
              <w:left w:val="single" w:sz="4" w:space="0" w:color="auto"/>
            </w:tcBorders>
            <w:shd w:val="clear" w:color="auto" w:fill="auto"/>
          </w:tcPr>
          <w:p w:rsidR="004C1EBA" w:rsidRPr="00682578" w:rsidP="004C1EBA">
            <w:pPr>
              <w:pStyle w:val="CSBody0"/>
              <w:rPr>
                <w:lang w:val="de-DE"/>
              </w:rPr>
            </w:pPr>
            <w:r w:rsidRPr="00682578">
              <w:rPr>
                <w:lang w:val="de-DE"/>
              </w:rPr>
              <w:t>Von einer kleinen Anzahl von Kunden wurde der Vorwurf erhoben, ein früherer Kundenberater in der Schweiz habe bei der Verwaltung ihrer Portfolien seine Anlageentscheidungs</w:t>
            </w:r>
            <w:r w:rsidRPr="00682578">
              <w:rPr>
                <w:lang w:val="de-DE"/>
              </w:rPr>
              <w:softHyphen/>
              <w:t>befugnis überschritten, was zu übermä</w:t>
            </w:r>
            <w:r w:rsidR="001E4CCF">
              <w:rPr>
                <w:lang w:val="de-DE"/>
              </w:rPr>
              <w:t>ss</w:t>
            </w:r>
            <w:r w:rsidRPr="00682578">
              <w:rPr>
                <w:lang w:val="de-DE"/>
              </w:rPr>
              <w:t>igen Konzentrationen auf bestimmte Engagements und zu Anlageverlusten führte. Die Credit Suisse AG untersucht diese Vorwürfe ebenso wie Geschäftsvorgänge zwischen den Kunden. Ein förmliches Verfahren wurde bisher nicht eingeleitet.</w:t>
            </w:r>
          </w:p>
        </w:tc>
      </w:tr>
      <w:tr w:rsidTr="004C1EBA">
        <w:tblPrEx>
          <w:tblW w:w="5002" w:type="pct"/>
          <w:tblLayout w:type="fixed"/>
          <w:tblLook w:val="00A0"/>
        </w:tblPrEx>
        <w:tc>
          <w:tcPr>
            <w:tcW w:w="2499" w:type="pct"/>
            <w:gridSpan w:val="5"/>
            <w:tcBorders>
              <w:right w:val="single" w:sz="4" w:space="0" w:color="auto"/>
            </w:tcBorders>
          </w:tcPr>
          <w:p w:rsidR="004C1EBA" w:rsidRPr="00682578" w:rsidP="004C1EBA">
            <w:pPr>
              <w:pStyle w:val="CSBody0"/>
              <w:rPr>
                <w:b/>
                <w:iCs/>
                <w:lang w:val="en-US"/>
              </w:rPr>
            </w:pPr>
            <w:bookmarkStart w:id="76" w:name="_Toc433922992"/>
            <w:r w:rsidRPr="00682578">
              <w:rPr>
                <w:b/>
                <w:iCs/>
                <w:lang w:val="en-US"/>
              </w:rPr>
              <w:t>FIFA-related matters</w:t>
            </w:r>
            <w:bookmarkEnd w:id="76"/>
          </w:p>
        </w:tc>
        <w:tc>
          <w:tcPr>
            <w:tcW w:w="2501" w:type="pct"/>
            <w:gridSpan w:val="8"/>
            <w:tcBorders>
              <w:left w:val="single" w:sz="4" w:space="0" w:color="auto"/>
            </w:tcBorders>
            <w:shd w:val="clear" w:color="auto" w:fill="auto"/>
          </w:tcPr>
          <w:p w:rsidR="004C1EBA" w:rsidRPr="00682578" w:rsidP="004C1EBA">
            <w:pPr>
              <w:pStyle w:val="CSBody0"/>
              <w:rPr>
                <w:b/>
                <w:lang w:val="de-DE"/>
              </w:rPr>
            </w:pPr>
            <w:r w:rsidRPr="00682578">
              <w:rPr>
                <w:b/>
                <w:lang w:val="de-DE"/>
              </w:rPr>
              <w:t>Angelegenheiten betreffend die FIFA</w:t>
            </w:r>
          </w:p>
        </w:tc>
      </w:tr>
      <w:tr w:rsidTr="004C1EBA">
        <w:tblPrEx>
          <w:tblW w:w="5002" w:type="pct"/>
          <w:tblLayout w:type="fixed"/>
          <w:tblLook w:val="00A0"/>
        </w:tblPrEx>
        <w:tc>
          <w:tcPr>
            <w:tcW w:w="2499" w:type="pct"/>
            <w:gridSpan w:val="5"/>
            <w:tcBorders>
              <w:right w:val="single" w:sz="4" w:space="0" w:color="auto"/>
            </w:tcBorders>
          </w:tcPr>
          <w:p w:rsidR="004C1EBA" w:rsidRPr="00682578" w:rsidP="004C1EBA">
            <w:pPr>
              <w:pStyle w:val="CSBody0"/>
              <w:rPr>
                <w:lang w:val="en-US"/>
              </w:rPr>
            </w:pPr>
            <w:r w:rsidRPr="00682578">
              <w:rPr>
                <w:lang w:val="en-US"/>
              </w:rPr>
              <w:t>In connection with investigations by US and Swiss government authorities into the involvement of financial institutions in the alleged bribery and corruption surrounding the Fédération Internationale de Football Association (</w:t>
            </w:r>
            <w:r w:rsidR="003B00F3">
              <w:rPr>
                <w:lang w:val="en-US"/>
              </w:rPr>
              <w:t>"</w:t>
            </w:r>
            <w:r w:rsidRPr="00682578">
              <w:rPr>
                <w:b/>
                <w:lang w:val="en-US"/>
              </w:rPr>
              <w:t>FIFA</w:t>
            </w:r>
            <w:r w:rsidR="00BF7214">
              <w:rPr>
                <w:lang w:val="en-US"/>
              </w:rPr>
              <w:t>"</w:t>
            </w:r>
            <w:r w:rsidRPr="00682578">
              <w:rPr>
                <w:lang w:val="en-US"/>
              </w:rPr>
              <w:t xml:space="preserve">), </w:t>
            </w:r>
            <w:r w:rsidR="00090525">
              <w:rPr>
                <w:lang w:val="en-US"/>
              </w:rPr>
              <w:t>the Group</w:t>
            </w:r>
            <w:r w:rsidRPr="00682578">
              <w:rPr>
                <w:lang w:val="en-US"/>
              </w:rPr>
              <w:t xml:space="preserve"> has received inquiries from these authorities regarding its banking relationships with certain individuals and entities associated with FIFA, including but not limited to certain persons and entities named and/or described in the May 20, 2015 indictment filed in United States v. Webb (E.D.N.Y. 15 CR 0252 (RJD)(RML)). The U.S. and Swiss authorities are investigating whether multiple financial institutions, including </w:t>
            </w:r>
            <w:r w:rsidR="00090525">
              <w:rPr>
                <w:lang w:val="en-US"/>
              </w:rPr>
              <w:t>the Group</w:t>
            </w:r>
            <w:r w:rsidRPr="00682578">
              <w:rPr>
                <w:lang w:val="en-US"/>
              </w:rPr>
              <w:t xml:space="preserve">, permitted the processing of suspicious or otherwise improper transactions, or failed to observe anti-money laundering laws and regulations, with respect to the accounts of certain persons and entities associated with FIFA. </w:t>
            </w:r>
            <w:r w:rsidR="00090525">
              <w:rPr>
                <w:lang w:val="en-US"/>
              </w:rPr>
              <w:t>The Group</w:t>
            </w:r>
            <w:r w:rsidRPr="00682578">
              <w:rPr>
                <w:lang w:val="en-US"/>
              </w:rPr>
              <w:t xml:space="preserve"> is cooperating with the authorities on this matter.</w:t>
            </w:r>
          </w:p>
          <w:p w:rsidR="004C1EBA" w:rsidRPr="00682578" w:rsidP="004C1EBA">
            <w:pPr>
              <w:pStyle w:val="CSBody0"/>
            </w:pPr>
          </w:p>
        </w:tc>
        <w:tc>
          <w:tcPr>
            <w:tcW w:w="2501" w:type="pct"/>
            <w:gridSpan w:val="8"/>
            <w:tcBorders>
              <w:left w:val="single" w:sz="4" w:space="0" w:color="auto"/>
            </w:tcBorders>
            <w:shd w:val="clear" w:color="auto" w:fill="auto"/>
          </w:tcPr>
          <w:p w:rsidR="004C1EBA" w:rsidRPr="00682578">
            <w:pPr>
              <w:pStyle w:val="CSBody0"/>
              <w:rPr>
                <w:lang w:val="de-DE"/>
              </w:rPr>
            </w:pPr>
            <w:r w:rsidRPr="00682578">
              <w:rPr>
                <w:lang w:val="de-DE"/>
              </w:rPr>
              <w:t xml:space="preserve">Im Zusammenhang mit Untersuchungen seitens staatlicher Behörden in den USA und der Schweiz in Bezug auf die Beteiligung von Finanzinstituten an den angeblichen Bestechungs- und Korruptionsvorgängen betreffend die Fédération Internationale de Football Association ("FIFA") hat die </w:t>
            </w:r>
            <w:r w:rsidR="00090525">
              <w:rPr>
                <w:lang w:val="de-DE"/>
              </w:rPr>
              <w:t>Gruppe</w:t>
            </w:r>
            <w:r w:rsidRPr="00682578">
              <w:rPr>
                <w:lang w:val="de-DE"/>
              </w:rPr>
              <w:t xml:space="preserve"> Anfragen dieser Behörden hinsichtlich ihrer Geschäftsbeziehungen mit bestimmten mit der FIFA in Verbindung stehenden natürlichen und juristischen Personen erhalten, darunter auch bestimmte natürliche und juristische Personen, die in der am 20. Mai 2015 in der Sache Vereinigte Staaten gegen Webb (E.D.N.Y. 15 CR 0252 (RJD)(RML)) eingereichten Anklageschrift benannt bzw. beschrieben sind. Die US-amerikanischen und Schweizer Behörden untersuchen derzeit, ob verschiedene Finanzinstitute, darunter die </w:t>
            </w:r>
            <w:r w:rsidR="00090525">
              <w:rPr>
                <w:lang w:val="de-DE"/>
              </w:rPr>
              <w:t>Gruppe</w:t>
            </w:r>
            <w:r w:rsidRPr="00682578">
              <w:rPr>
                <w:lang w:val="de-DE"/>
              </w:rPr>
              <w:t>, in Bezug auf die Konten bestimmter mit der FIFA in Verbindung stehender natürlicher oder juristischer Personen die Abwicklung verdächtiger oder anderweitig unangemessener Transaktionen zugelassen oder gegen gesetzliche Bestimmungen zur Geldwäsche versto</w:t>
            </w:r>
            <w:r w:rsidR="001E4CCF">
              <w:rPr>
                <w:lang w:val="de-DE"/>
              </w:rPr>
              <w:t>ss</w:t>
            </w:r>
            <w:r w:rsidRPr="00682578">
              <w:rPr>
                <w:lang w:val="de-DE"/>
              </w:rPr>
              <w:t xml:space="preserve">en haben. Die </w:t>
            </w:r>
            <w:r w:rsidR="00090525">
              <w:rPr>
                <w:lang w:val="de-DE"/>
              </w:rPr>
              <w:t>Gruppe</w:t>
            </w:r>
            <w:r w:rsidRPr="00682578">
              <w:rPr>
                <w:lang w:val="de-DE"/>
              </w:rPr>
              <w:t xml:space="preserve"> arbeitet in dieser Angelegenheit mit den Behörden zusammen.</w:t>
            </w:r>
          </w:p>
        </w:tc>
      </w:tr>
      <w:tr w:rsidTr="004C1EBA">
        <w:tblPrEx>
          <w:tblW w:w="5002" w:type="pct"/>
          <w:tblLayout w:type="fixed"/>
          <w:tblLook w:val="00A0"/>
        </w:tblPrEx>
        <w:tc>
          <w:tcPr>
            <w:tcW w:w="2499" w:type="pct"/>
            <w:gridSpan w:val="5"/>
            <w:tcBorders>
              <w:right w:val="single" w:sz="4" w:space="0" w:color="auto"/>
            </w:tcBorders>
          </w:tcPr>
          <w:p w:rsidR="004C1EBA" w:rsidRPr="00B55BCC" w:rsidP="004C1EBA">
            <w:pPr>
              <w:pStyle w:val="csbody0bold0"/>
              <w:rPr>
                <w:sz w:val="20"/>
                <w:szCs w:val="20"/>
              </w:rPr>
            </w:pPr>
            <w:r w:rsidRPr="00B55BCC">
              <w:rPr>
                <w:sz w:val="20"/>
                <w:szCs w:val="20"/>
              </w:rPr>
              <w:t>Additional Information about Credit Suisse</w:t>
            </w:r>
          </w:p>
        </w:tc>
        <w:tc>
          <w:tcPr>
            <w:tcW w:w="2501" w:type="pct"/>
            <w:gridSpan w:val="8"/>
            <w:tcBorders>
              <w:left w:val="single" w:sz="4" w:space="0" w:color="auto"/>
            </w:tcBorders>
            <w:shd w:val="clear" w:color="auto" w:fill="auto"/>
          </w:tcPr>
          <w:p w:rsidR="004C1EBA" w:rsidRPr="00B55BCC" w:rsidP="004C1EBA">
            <w:pPr>
              <w:pStyle w:val="csbody0bold0"/>
              <w:rPr>
                <w:b w:val="0"/>
                <w:sz w:val="20"/>
                <w:szCs w:val="20"/>
                <w:lang w:val="de-DE"/>
              </w:rPr>
            </w:pPr>
            <w:r w:rsidRPr="00B55BCC">
              <w:rPr>
                <w:sz w:val="20"/>
                <w:szCs w:val="20"/>
                <w:lang w:val="de-DE"/>
              </w:rPr>
              <w:t>Zusätzliche Informationen zu der Credit Suisse</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Credit Suisse prepares its consolidated financial statements in accordance with accounting principles generally accepted in the United States of America (</w:t>
            </w:r>
            <w:r>
              <w:t>"</w:t>
            </w:r>
            <w:r w:rsidRPr="00E93ED8">
              <w:rPr>
                <w:b/>
              </w:rPr>
              <w:t>U.S. GAAP</w:t>
            </w:r>
            <w:r>
              <w:t>"</w:t>
            </w:r>
            <w:r w:rsidRPr="00E93ED8">
              <w:t>). Credit Suisse does not prepare its accounts in accordance with International Financial Reporting Standards (IFRS).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E93ED8">
              <w:rPr>
                <w:lang w:val="de-DE"/>
              </w:rPr>
              <w:t>Die Credit Suisse erstellt ihre konsolidierten Jahresrechnungen in Übereinstimmung mit den in den USA allgemein anerkannten Rechnungslegungsgrundsätzen (</w:t>
            </w:r>
            <w:r w:rsidRPr="00E93ED8">
              <w:rPr>
                <w:i/>
                <w:lang w:val="de-DE"/>
              </w:rPr>
              <w:t>Accounting Principles Generally Accepted in the US</w:t>
            </w:r>
            <w:r w:rsidRPr="00E93ED8">
              <w:rPr>
                <w:lang w:val="de-DE"/>
              </w:rPr>
              <w:t xml:space="preserve">, </w:t>
            </w:r>
            <w:r>
              <w:rPr>
                <w:lang w:val="de-DE"/>
              </w:rPr>
              <w:t>"</w:t>
            </w:r>
            <w:r w:rsidRPr="00E93ED8">
              <w:rPr>
                <w:b/>
                <w:lang w:val="de-DE"/>
              </w:rPr>
              <w:t>US GAAP</w:t>
            </w:r>
            <w:r>
              <w:rPr>
                <w:lang w:val="de-DE"/>
              </w:rPr>
              <w:t>"</w:t>
            </w:r>
            <w:r w:rsidRPr="00E93ED8">
              <w:rPr>
                <w:lang w:val="de-DE"/>
              </w:rPr>
              <w:t>). Die Credit Suisse erstellt ihre Abschlüsse nicht in Übereinstimmung mit den International Financial Reporting Standards (IFRS).</w:t>
            </w:r>
          </w:p>
        </w:tc>
      </w:tr>
      <w:tr w:rsidTr="004C1EBA">
        <w:tblPrEx>
          <w:tblW w:w="5002" w:type="pct"/>
          <w:tblLayout w:type="fixed"/>
          <w:tblLook w:val="00A0"/>
        </w:tblPrEx>
        <w:tc>
          <w:tcPr>
            <w:tcW w:w="2499" w:type="pct"/>
            <w:gridSpan w:val="5"/>
            <w:tcBorders>
              <w:right w:val="single" w:sz="4" w:space="0" w:color="auto"/>
            </w:tcBorders>
          </w:tcPr>
          <w:p w:rsidR="004C1EBA" w:rsidRPr="00E93ED8" w:rsidP="004C1EBA">
            <w:pPr>
              <w:pStyle w:val="csbody00"/>
            </w:pPr>
            <w:r w:rsidRPr="00E93ED8">
              <w:t>For further information about Credit Suisse, refer to the Credit Suisse Annual Report 201</w:t>
            </w:r>
            <w:r>
              <w:t>4</w:t>
            </w:r>
            <w:r w:rsidRPr="00E93ED8">
              <w:t xml:space="preserve"> incorporated by reference in this Base Prospectus.</w:t>
            </w:r>
          </w:p>
        </w:tc>
        <w:tc>
          <w:tcPr>
            <w:tcW w:w="2501" w:type="pct"/>
            <w:gridSpan w:val="8"/>
            <w:tcBorders>
              <w:left w:val="single" w:sz="4" w:space="0" w:color="auto"/>
            </w:tcBorders>
            <w:shd w:val="clear" w:color="auto" w:fill="auto"/>
          </w:tcPr>
          <w:p w:rsidR="004C1EBA" w:rsidRPr="00E93ED8" w:rsidP="004C1EBA">
            <w:pPr>
              <w:pStyle w:val="csbody00"/>
              <w:rPr>
                <w:lang w:val="de-DE"/>
              </w:rPr>
            </w:pPr>
            <w:r w:rsidRPr="00E93ED8">
              <w:rPr>
                <w:lang w:val="de-DE"/>
              </w:rPr>
              <w:t>Weiterführende Informationen zu der Credit Suisse finden sich in dem durch Verweis in diesen Basisprospekt aufgenommenen Geschäftsbericht der Credit Suisse für das Jahr 201</w:t>
            </w:r>
            <w:r>
              <w:rPr>
                <w:lang w:val="de-DE"/>
              </w:rPr>
              <w:t>4</w:t>
            </w:r>
            <w:r w:rsidRPr="00E93ED8">
              <w:rPr>
                <w:lang w:val="de-DE"/>
              </w:rPr>
              <w:t>.</w:t>
            </w:r>
          </w:p>
        </w:tc>
      </w:tr>
    </w:tbl>
    <w:p w:rsidR="00392B81" w:rsidRPr="002A53DF" w:rsidP="00392B81">
      <w:pPr>
        <w:pStyle w:val="CSBody0"/>
        <w:rPr>
          <w:lang w:val="de-DE"/>
        </w:rPr>
      </w:pPr>
    </w:p>
    <w:p w:rsidR="00392B81" w:rsidRPr="002A53DF" w:rsidP="00392B81">
      <w:pPr>
        <w:pStyle w:val="CSBody0"/>
        <w:rPr>
          <w:lang w:val="de-DE"/>
        </w:rPr>
      </w:pPr>
    </w:p>
    <w:p w:rsidR="00392B81" w:rsidRPr="002A53DF" w:rsidP="00392B81">
      <w:pPr>
        <w:pStyle w:val="CSBody0"/>
        <w:rPr>
          <w:lang w:val="de-DE"/>
        </w:rPr>
        <w:sectPr w:rsidSect="008A24E8">
          <w:headerReference w:type="default" r:id="rId39"/>
          <w:footerReference w:type="default" r:id="rId40"/>
          <w:headerReference w:type="first" r:id="rId41"/>
          <w:footerReference w:type="first" r:id="rId42"/>
          <w:pgSz w:w="11907" w:h="16839"/>
          <w:pgMar w:top="1440" w:right="1134" w:bottom="1440" w:left="1134" w:header="720" w:footer="720" w:gutter="0"/>
          <w:cols w:space="708"/>
          <w:docGrid w:linePitch="360"/>
        </w:sectPr>
      </w:pPr>
    </w:p>
    <w:tbl>
      <w:tblPr>
        <w:tblStyle w:val="TableGrid"/>
        <w:tblW w:w="5000" w:type="pct"/>
        <w:tblBorders>
          <w:top w:val="nil"/>
          <w:left w:val="nil"/>
          <w:bottom w:val="nil"/>
          <w:right w:val="nil"/>
          <w:insideH w:val="nil"/>
        </w:tblBorders>
        <w:tblLook w:val="04A0"/>
      </w:tblPr>
      <w:tblGrid>
        <w:gridCol w:w="4927"/>
        <w:gridCol w:w="4928"/>
      </w:tblGrid>
      <w:tr w:rsidTr="0078291D">
        <w:tblPrEx>
          <w:tblW w:w="5000" w:type="pct"/>
          <w:tblBorders>
            <w:top w:val="nil"/>
            <w:left w:val="nil"/>
            <w:bottom w:val="nil"/>
            <w:right w:val="nil"/>
            <w:insideH w:val="nil"/>
          </w:tblBorders>
          <w:tblLook w:val="04A0"/>
        </w:tblPrEx>
        <w:tc>
          <w:tcPr>
            <w:tcW w:w="2500" w:type="pct"/>
            <w:tcBorders>
              <w:right w:val="single" w:sz="4" w:space="0" w:color="auto"/>
            </w:tcBorders>
          </w:tcPr>
          <w:p w:rsidR="00392B81" w:rsidRPr="005A1A95" w:rsidP="00942F00">
            <w:pPr>
              <w:pStyle w:val="CSHeading1EN"/>
            </w:pPr>
            <w:bookmarkStart w:id="77" w:name="_Toc438227523"/>
            <w:r>
              <w:t>SUMMARY DESCRIPTION OF COMPLEX PRODUCTS</w:t>
            </w:r>
            <w:bookmarkEnd w:id="77"/>
          </w:p>
        </w:tc>
        <w:tc>
          <w:tcPr>
            <w:tcW w:w="2500" w:type="pct"/>
            <w:tcBorders>
              <w:left w:val="single" w:sz="4" w:space="0" w:color="auto"/>
            </w:tcBorders>
          </w:tcPr>
          <w:p w:rsidR="00392B81" w:rsidRPr="00942F00" w:rsidP="00942F00">
            <w:pPr>
              <w:pStyle w:val="CSHeading1DE"/>
            </w:pPr>
            <w:bookmarkStart w:id="78" w:name="_Toc438160271"/>
            <w:r>
              <w:t>KURZBESCHREIBUNG DER KOMPLEXEN PRODUKTE</w:t>
            </w:r>
            <w:bookmarkEnd w:id="78"/>
          </w:p>
        </w:tc>
      </w:tr>
      <w:tr w:rsidTr="0078291D">
        <w:tblPrEx>
          <w:tblW w:w="5000" w:type="pct"/>
          <w:tblLook w:val="04A0"/>
        </w:tblPrEx>
        <w:tc>
          <w:tcPr>
            <w:tcW w:w="2500" w:type="pct"/>
            <w:tcBorders>
              <w:right w:val="single" w:sz="4" w:space="0" w:color="auto"/>
            </w:tcBorders>
          </w:tcPr>
          <w:p w:rsidR="00023DA6" w:rsidRPr="00774CAA" w:rsidP="004E15D3">
            <w:pPr>
              <w:pStyle w:val="CSBody0"/>
            </w:pPr>
            <w:r w:rsidRPr="00774CAA">
              <w:t>In this Document, the products issued hereunder are generically referred to as "Complex Products" without expressing any views as to their particular features or legal qualification. Where appropriate, Complex Products may also be referred to more specifically as (i) "Complex Products with Fixed Final Redemption Amount" which may be further divided into "Fixed Rate Notes", "Step Up Notes", "Floating Rate Notes", "Fixed to Floating Rate Notes", "Cumulative Reverse Floater Notes", "Stairway Notes", "Inverse Floating Rate Notes", "Spread-Linked Notes", "Range Accrual Notes", "Spread Range Accrual Notes" and "Inflation Index-Linked Notes" and (ii) "Credit-Linked Complex Products", which may be further divided into "Credit-Linked Complex Products with auction settlement", "Credit-Linked Complex Products with Zero-Recovery feature linked to a Basket" and "Credit-Linked Complex Products with simplified settlement. For further information refer to "Summary Description of Complex Products". In addition, any of the aforementioned Complex Products may be collateralized in accordance with the provisions of the SIX Swiss Exchange "Framework Agreement for Collateral-Secured Instruments" if so specified in the applicable Terms and Conditions, and such Complex Products are referred to herein as "Complex Products with a COSI feature".</w:t>
            </w:r>
          </w:p>
        </w:tc>
        <w:tc>
          <w:tcPr>
            <w:tcW w:w="2500" w:type="pct"/>
            <w:tcBorders>
              <w:left w:val="single" w:sz="4" w:space="0" w:color="auto"/>
            </w:tcBorders>
          </w:tcPr>
          <w:p w:rsidR="00023DA6" w:rsidRPr="00023DA6" w:rsidP="004E15D3">
            <w:pPr>
              <w:pStyle w:val="CSBody0"/>
              <w:rPr>
                <w:lang w:val="de-DE"/>
              </w:rPr>
            </w:pPr>
            <w:r w:rsidRPr="00023DA6">
              <w:rPr>
                <w:lang w:val="de-DE"/>
              </w:rPr>
              <w:t xml:space="preserve">Die Produkte, die Gegenstand dieses Dokuments sind, werden hierin verallgemeinernd als "Komplexe Produkte" bezeichnet, ohne dass dies eine Aussage über ihre besonderen Merkmale oder rechtliche Einordnung darstellt. Soweit jeweils zutreffend, werden die Komplexen Produkte auch konkret als (i) "Komplexe Produkte mit Festem Finalen Rückzahlungsbetrag", die in "Fixed Rate Notes", "Step Up Notes", "Floating Rate Notes", "Fixed to Floating Rate Notes", "Cumulative Reverse Floater Notes", "Stairway Notes", "Inverse Floating Rate Notes", "Spread-Linked Notes", "Range Accrual Notes", "Spread Range Accrual Notes" und "Inflation Index-Linked Notes" unterteilt werden können und (ii) "Kreditbezogene Komplexe Produkte", die in "Kreditbezogene Komplexe Produkte mit Auktionsabwicklung", "Kreditbezogene Komplexe Produkte mit Zero-Recovery-Merkmal, die an einen Korb gekoppelt sind" und "Kreditbezogene Komplexe Produkte mit vereinfachter Abwicklung" unterteilt werden können. Weitere Angaben hierzu sind dem Abschnitt "Kurzbeschreibung der Komplexen Produkte" zu entnehmen. Zusätzlich können diese Komplexe Produkte nach den Vorschriften des "Rahmenvertrages für Pfandbesicherte Zertifikate" der SIX Swiss Exchange besichert werden, soweit in den anwendbaren Emissionsbedingungen vorgesehen. Solche Komplexe Produkte werden in diesem Dokument als "Komplexe Produkte mit COSI Merkmal" bezeichnet. </w:t>
            </w:r>
          </w:p>
        </w:tc>
      </w:tr>
      <w:tr w:rsidTr="0078291D">
        <w:tblPrEx>
          <w:tblW w:w="5000" w:type="pct"/>
          <w:tblLook w:val="04A0"/>
        </w:tblPrEx>
        <w:tc>
          <w:tcPr>
            <w:tcW w:w="2500" w:type="pct"/>
            <w:tcBorders>
              <w:right w:val="single" w:sz="4" w:space="0" w:color="auto"/>
            </w:tcBorders>
          </w:tcPr>
          <w:p w:rsidR="00023DA6" w:rsidRPr="00774CAA" w:rsidP="004E15D3">
            <w:pPr>
              <w:pStyle w:val="CSBody0"/>
            </w:pPr>
            <w:r w:rsidRPr="00774CAA">
              <w:t>A summary description of the main categories of Complex Products that may be issued under the Base Prospectus follows below. In addition, if the classification number for a Complex Product as assigned by the Swiss Structured Products Association ("</w:t>
            </w:r>
            <w:r w:rsidRPr="004E15D3">
              <w:rPr>
                <w:b/>
              </w:rPr>
              <w:t>SSPA</w:t>
            </w:r>
            <w:r w:rsidRPr="00774CAA">
              <w:t>") is marked with a star "*" in the Terms and Conditions, the characteristics of such Complex Product differ slightly from the standard characteristics of the SSPA product category to which it belongs. The complete and definitive legally binding terms and conditions of the Complex Products are set forth in the applicable Terms and Conditions.</w:t>
            </w:r>
          </w:p>
        </w:tc>
        <w:tc>
          <w:tcPr>
            <w:tcW w:w="2500" w:type="pct"/>
            <w:tcBorders>
              <w:left w:val="single" w:sz="4" w:space="0" w:color="auto"/>
            </w:tcBorders>
          </w:tcPr>
          <w:p w:rsidR="00023DA6" w:rsidRPr="00023DA6" w:rsidP="004E15D3">
            <w:pPr>
              <w:pStyle w:val="CSBody0"/>
              <w:rPr>
                <w:lang w:val="de-DE"/>
              </w:rPr>
            </w:pPr>
            <w:r w:rsidRPr="00023DA6">
              <w:rPr>
                <w:lang w:val="de-DE"/>
              </w:rPr>
              <w:t>Es folgt eine Kurzbeschreibung der Hauptkategorien von Komplexen Produkten, die im Rahmen des Basisprospekts begeben werden können. Ausserdem gilt: Ist die einem Komplexen Produkt von dem Schweizerischen Verband für Strukturierte Produkte ("</w:t>
            </w:r>
            <w:r w:rsidRPr="004E15D3">
              <w:rPr>
                <w:b/>
                <w:lang w:val="de-DE"/>
              </w:rPr>
              <w:t>SVSP</w:t>
            </w:r>
            <w:r w:rsidRPr="00023DA6">
              <w:rPr>
                <w:lang w:val="de-DE"/>
              </w:rPr>
              <w:t>") zugewiesene Klassifizierungsnummer in den Emissionsbedingungen mit einem Stern "*" gekennzeichnet, so unterscheiden sich die Merkmale des betreffenden Komplexen Produkts geringfügig von den Standardmerkmalen derjenigen SVSP Produktkategorie, der es angehört. Die vollständigen und rechtsverbindlichen Emissionsbedingungen der Komplexen Produkte sind in den anwendbaren Emissionsbedingungen enthalten.</w:t>
            </w:r>
          </w:p>
        </w:tc>
      </w:tr>
      <w:tr w:rsidTr="0078291D">
        <w:tblPrEx>
          <w:tblW w:w="5000" w:type="pct"/>
          <w:tblLook w:val="04A0"/>
        </w:tblPrEx>
        <w:tc>
          <w:tcPr>
            <w:tcW w:w="2500" w:type="pct"/>
            <w:tcBorders>
              <w:right w:val="single" w:sz="4" w:space="0" w:color="auto"/>
            </w:tcBorders>
          </w:tcPr>
          <w:p w:rsidR="00023DA6" w:rsidRPr="000C60B9" w:rsidP="00924B2C">
            <w:pPr>
              <w:pStyle w:val="CSBody0"/>
            </w:pPr>
            <w:r w:rsidRPr="000C60B9">
              <w:t>The summary descriptions focus on the main redemption scenarios of Complex Products on the Final Redemption Date or on the Scheduled Maturity Date, as applicable, and also set out the scenarios for the payment of Interest Payment Amount(s) under the Complex Products. Such redemption and interest payment scenarios only become relevant if the Complex Products have not been redeemed, repurchased or cancelled on or prior to the Final Redemption Date/Scheduled Maturity Date, or the relevant Interest Payment Date, as applicable. Furthermore, these redemption scenarios do not apply, and generally no further Interest Payment Amounts will be payable, in case the Issuer and/or the Calculation Agent exercise their rights to early redeem or reduce payments under Complex Products upon the occurrence of an Extraordinary Event, an Additional Adjustment Event or a Jurisdictional Event.</w:t>
            </w:r>
          </w:p>
        </w:tc>
        <w:tc>
          <w:tcPr>
            <w:tcW w:w="2500" w:type="pct"/>
            <w:tcBorders>
              <w:left w:val="single" w:sz="4" w:space="0" w:color="auto"/>
            </w:tcBorders>
          </w:tcPr>
          <w:p w:rsidR="00023DA6" w:rsidRPr="00023DA6" w:rsidP="00924B2C">
            <w:pPr>
              <w:pStyle w:val="CSBody0"/>
              <w:rPr>
                <w:lang w:val="de-DE"/>
              </w:rPr>
            </w:pPr>
            <w:r w:rsidRPr="00023DA6">
              <w:rPr>
                <w:lang w:val="de-DE"/>
              </w:rPr>
              <w:t>Die Kurzbeschreibungen konzentrieren sich auf die wichtigsten Rückzahlungsszenarien der Komplexen Produkte am Finalen Rückzahlungstag bzw. am Planmässigen Fälligkeitstag und legen auch die Szenarien für die Zahlung von Zinszahlungsbeträgen unter den Komplexen Produkten dar. Diese Rückzahlungs- bzw. Zinszahlungsszenarien werden nur dann relevant, wenn die Komplexen Produkte nicht bereits am oder vor dem Finalen Rückzahlungstag/Panmässigen Fälligkeitstag bzw. dem jeweiligen Zinszahlungstag zurückgezahlt, zurückgekauft oder entwertet wurden. Darüber hinaus treten diese Rückzahlungsszenarien nicht ein und es werden im Allgemeinen keine weiteren Zinszahlungsbeträge gezahlt, wenn die Emittentin und/oder die Berechnungsstelle ihre Rechte auf vorzeitige Rückzahlung von Komplexen Produkten oder auf Reduzierung von Zahlungen unter Komplexen Produkten nach Eintritt eines Aussergewöhnlichen Ereignisses, eines Weiteren Anpassungsereignisses oder eines Rechtsordnungsbezogenen Ereignisses ausüben.</w:t>
            </w:r>
          </w:p>
        </w:tc>
      </w:tr>
      <w:tr w:rsidTr="0078291D">
        <w:tblPrEx>
          <w:tblW w:w="5000" w:type="pct"/>
          <w:tblLook w:val="04A0"/>
        </w:tblPrEx>
        <w:tc>
          <w:tcPr>
            <w:tcW w:w="2500" w:type="pct"/>
            <w:tcBorders>
              <w:right w:val="single" w:sz="4" w:space="0" w:color="auto"/>
            </w:tcBorders>
          </w:tcPr>
          <w:p w:rsidR="00023DA6" w:rsidRPr="000C60B9" w:rsidP="00924B2C">
            <w:pPr>
              <w:pStyle w:val="CSBody0"/>
            </w:pPr>
            <w:r w:rsidRPr="000C60B9">
              <w:t>For a more detailed explanation of redemption or interest payment scenarios for Complex Products, including calculation examples, investors in Complex Products should contact their relationship manager and/or professional advisor (</w:t>
            </w:r>
            <w:r w:rsidRPr="007E3558" w:rsidR="007E3558">
              <w:rPr>
                <w:i/>
              </w:rPr>
              <w:t>e.g.</w:t>
            </w:r>
            <w:r w:rsidRPr="000C60B9">
              <w:t xml:space="preserve">, legal, tax or accounting advisor). Payout diagrams are available at </w:t>
            </w:r>
            <w:r w:rsidRPr="00924B2C">
              <w:rPr>
                <w:b/>
                <w:color w:val="7898B3"/>
              </w:rPr>
              <w:t>www.sspa-association.ch</w:t>
            </w:r>
            <w:r w:rsidRPr="000C60B9">
              <w:t>.</w:t>
            </w:r>
          </w:p>
        </w:tc>
        <w:tc>
          <w:tcPr>
            <w:tcW w:w="2500" w:type="pct"/>
            <w:tcBorders>
              <w:left w:val="single" w:sz="4" w:space="0" w:color="auto"/>
            </w:tcBorders>
          </w:tcPr>
          <w:p w:rsidR="00023DA6" w:rsidRPr="00023DA6" w:rsidP="00924B2C">
            <w:pPr>
              <w:pStyle w:val="CSBody0"/>
              <w:rPr>
                <w:lang w:val="de-DE"/>
              </w:rPr>
            </w:pPr>
            <w:r w:rsidRPr="00023DA6">
              <w:rPr>
                <w:lang w:val="de-DE"/>
              </w:rPr>
              <w:t xml:space="preserve">Für eine nähere Erläuterung der Rückzahlungs- oder Zinszahlungsszenarien bei den Komplexen Produkten (einschliesslich Berechnungsbeispielen) sollten Anleger in die Komplexen Produkte ihre Kundenbetreuer und/oder Fachberater (z.B. Rechts- bzw. Steuerberater oder Wirtschaftsprüfer) konsultieren. Auszahlungsdiagramme sind auf der Internetseite </w:t>
            </w:r>
            <w:r w:rsidRPr="00924B2C">
              <w:rPr>
                <w:b/>
                <w:color w:val="7898B3"/>
                <w:lang w:val="de-DE"/>
              </w:rPr>
              <w:t>www.svsp-verband.ch erhältlich</w:t>
            </w:r>
            <w:r w:rsidRPr="00023DA6">
              <w:rPr>
                <w:lang w:val="de-DE"/>
              </w:rPr>
              <w:t>.</w:t>
            </w:r>
          </w:p>
        </w:tc>
      </w:tr>
      <w:tr w:rsidTr="0078291D">
        <w:tblPrEx>
          <w:tblW w:w="5000" w:type="pct"/>
          <w:tblLook w:val="04A0"/>
        </w:tblPrEx>
        <w:tc>
          <w:tcPr>
            <w:tcW w:w="2500" w:type="pct"/>
            <w:tcBorders>
              <w:right w:val="single" w:sz="4" w:space="0" w:color="auto"/>
            </w:tcBorders>
          </w:tcPr>
          <w:p w:rsidR="00023DA6" w:rsidRPr="003377D7" w:rsidP="00924B2C">
            <w:pPr>
              <w:pStyle w:val="CSBody0"/>
            </w:pPr>
            <w:r w:rsidRPr="003377D7">
              <w:t>Capitalised terms used but not defined herein have the meanings assigned to such terms in the Terms and Conditions.</w:t>
            </w:r>
          </w:p>
        </w:tc>
        <w:tc>
          <w:tcPr>
            <w:tcW w:w="2500" w:type="pct"/>
            <w:tcBorders>
              <w:left w:val="single" w:sz="4" w:space="0" w:color="auto"/>
            </w:tcBorders>
          </w:tcPr>
          <w:p w:rsidR="00023DA6" w:rsidRPr="00023DA6" w:rsidP="00924B2C">
            <w:pPr>
              <w:pStyle w:val="CSBody0"/>
              <w:rPr>
                <w:lang w:val="de-DE"/>
              </w:rPr>
            </w:pPr>
            <w:r w:rsidRPr="00023DA6">
              <w:rPr>
                <w:lang w:val="de-DE"/>
              </w:rPr>
              <w:t>Begriffe, die in diesem Abschnitt verwendet werden, aber nicht definiert sind, haben die ihnen in den Emissionsbedingungen zugewiesene Bedeutung.</w:t>
            </w:r>
          </w:p>
        </w:tc>
      </w:tr>
      <w:tr w:rsidTr="0078291D">
        <w:tblPrEx>
          <w:tblW w:w="5000" w:type="pct"/>
          <w:tblLook w:val="04A0"/>
        </w:tblPrEx>
        <w:tc>
          <w:tcPr>
            <w:tcW w:w="2500" w:type="pct"/>
            <w:tcBorders>
              <w:right w:val="single" w:sz="4" w:space="0" w:color="auto"/>
            </w:tcBorders>
          </w:tcPr>
          <w:p w:rsidR="00023DA6" w:rsidRPr="001E6F9B" w:rsidP="00924B2C">
            <w:pPr>
              <w:pStyle w:val="CSBody0"/>
            </w:pPr>
            <w:r w:rsidRPr="001E6F9B">
              <w:t>For the classification of a specific Complex Product under the SSPA Swiss Derivative Map (</w:t>
            </w:r>
            <w:r w:rsidRPr="00924B2C">
              <w:rPr>
                <w:b/>
                <w:color w:val="7898B3"/>
              </w:rPr>
              <w:t>www.sspa-association.ch</w:t>
            </w:r>
            <w:r w:rsidRPr="001E6F9B">
              <w:t>), see Section 1.1 of the "Terms and Conditions of the Complex Products".</w:t>
            </w:r>
          </w:p>
        </w:tc>
        <w:tc>
          <w:tcPr>
            <w:tcW w:w="2500" w:type="pct"/>
            <w:tcBorders>
              <w:left w:val="single" w:sz="4" w:space="0" w:color="auto"/>
            </w:tcBorders>
          </w:tcPr>
          <w:p w:rsidR="00023DA6" w:rsidRPr="00023DA6" w:rsidP="00924B2C">
            <w:pPr>
              <w:pStyle w:val="CSBody0"/>
              <w:rPr>
                <w:lang w:val="de-DE"/>
              </w:rPr>
            </w:pPr>
            <w:r w:rsidRPr="00023DA6">
              <w:rPr>
                <w:lang w:val="de-DE"/>
              </w:rPr>
              <w:t>Die Kategorie, in die ein konkretes Komplexes Produkt im Rahmen der Swiss Derivative Map des SVSP (</w:t>
            </w:r>
            <w:r w:rsidRPr="00924B2C">
              <w:rPr>
                <w:b/>
                <w:color w:val="7898B3"/>
                <w:lang w:val="de-DE"/>
              </w:rPr>
              <w:t>www.svsp-verband.ch</w:t>
            </w:r>
            <w:r w:rsidRPr="00023DA6">
              <w:rPr>
                <w:lang w:val="de-DE"/>
              </w:rPr>
              <w:t>) fällt, kann der Ziffer 1.1 der "Emissionsbedingungen der Komplexen Produkte" entnommen werden.</w:t>
            </w:r>
          </w:p>
        </w:tc>
      </w:tr>
      <w:tr w:rsidTr="0078291D">
        <w:tblPrEx>
          <w:tblW w:w="5000" w:type="pct"/>
          <w:tblLook w:val="04A0"/>
        </w:tblPrEx>
        <w:tc>
          <w:tcPr>
            <w:tcW w:w="2500" w:type="pct"/>
            <w:tcBorders>
              <w:right w:val="single" w:sz="4" w:space="0" w:color="auto"/>
            </w:tcBorders>
          </w:tcPr>
          <w:p w:rsidR="00023DA6" w:rsidRPr="00CF2EEE" w:rsidP="00924B2C">
            <w:pPr>
              <w:pStyle w:val="CSHeading2EN"/>
            </w:pPr>
            <w:bookmarkStart w:id="79" w:name="_Toc438227524"/>
            <w:r w:rsidRPr="00023DA6">
              <w:t>Complex Products with Fixed Final Redemption Amount</w:t>
            </w:r>
            <w:bookmarkEnd w:id="79"/>
          </w:p>
        </w:tc>
        <w:tc>
          <w:tcPr>
            <w:tcW w:w="2500" w:type="pct"/>
            <w:tcBorders>
              <w:left w:val="single" w:sz="4" w:space="0" w:color="auto"/>
            </w:tcBorders>
          </w:tcPr>
          <w:p w:rsidR="00023DA6" w:rsidRPr="00023DA6" w:rsidP="00924B2C">
            <w:pPr>
              <w:pStyle w:val="CSHeading2DE"/>
              <w:rPr>
                <w:lang w:val="de-DE"/>
              </w:rPr>
            </w:pPr>
            <w:bookmarkStart w:id="80" w:name="_Toc438160272"/>
            <w:r w:rsidRPr="00023DA6">
              <w:rPr>
                <w:lang w:val="de-DE"/>
              </w:rPr>
              <w:t>Komplexe Produkte mit Festem Finalen Rückzahlungsbetrag</w:t>
            </w:r>
            <w:bookmarkEnd w:id="80"/>
          </w:p>
        </w:tc>
      </w:tr>
      <w:tr w:rsidTr="0078291D">
        <w:tblPrEx>
          <w:tblW w:w="5000" w:type="pct"/>
          <w:tblLook w:val="04A0"/>
        </w:tblPrEx>
        <w:tc>
          <w:tcPr>
            <w:tcW w:w="2500" w:type="pct"/>
            <w:tcBorders>
              <w:right w:val="single" w:sz="4" w:space="0" w:color="auto"/>
            </w:tcBorders>
          </w:tcPr>
          <w:p w:rsidR="00023DA6" w:rsidRPr="00CF2EEE" w:rsidP="00924B2C">
            <w:pPr>
              <w:pStyle w:val="CSbody0bold"/>
            </w:pPr>
            <w:r w:rsidRPr="00CF2EEE">
              <w:t>General</w:t>
            </w:r>
          </w:p>
        </w:tc>
        <w:tc>
          <w:tcPr>
            <w:tcW w:w="2500" w:type="pct"/>
            <w:tcBorders>
              <w:left w:val="single" w:sz="4" w:space="0" w:color="auto"/>
            </w:tcBorders>
          </w:tcPr>
          <w:p w:rsidR="00023DA6" w:rsidP="00924B2C">
            <w:pPr>
              <w:pStyle w:val="CSbody0bold"/>
            </w:pPr>
            <w:r w:rsidRPr="00CF2EEE">
              <w:t>Allgemeines</w:t>
            </w:r>
          </w:p>
        </w:tc>
      </w:tr>
      <w:tr w:rsidTr="0078291D">
        <w:tblPrEx>
          <w:tblW w:w="5000" w:type="pct"/>
          <w:tblLook w:val="04A0"/>
        </w:tblPrEx>
        <w:tc>
          <w:tcPr>
            <w:tcW w:w="2500" w:type="pct"/>
            <w:tcBorders>
              <w:right w:val="single" w:sz="4" w:space="0" w:color="auto"/>
            </w:tcBorders>
          </w:tcPr>
          <w:p w:rsidR="00023DA6" w:rsidRPr="00B630E7" w:rsidP="00924B2C">
            <w:pPr>
              <w:pStyle w:val="CSBody63EN"/>
            </w:pPr>
            <w:r w:rsidRPr="00B630E7">
              <w:t>Complex Products with Fixed Final Redemption Amount allow the Holder thereof to benefit from the payment of one or more Interest Payment Amount(s) on the relevant Interest Payment Date(s), as specified in the applicable Terms and Conditions.</w:t>
            </w:r>
          </w:p>
        </w:tc>
        <w:tc>
          <w:tcPr>
            <w:tcW w:w="2500" w:type="pct"/>
            <w:tcBorders>
              <w:left w:val="single" w:sz="4" w:space="0" w:color="auto"/>
            </w:tcBorders>
          </w:tcPr>
          <w:p w:rsidR="00023DA6" w:rsidRPr="00023DA6" w:rsidP="00924B2C">
            <w:pPr>
              <w:pStyle w:val="CSBody63DE"/>
              <w:rPr>
                <w:lang w:val="de-DE"/>
              </w:rPr>
            </w:pPr>
            <w:r w:rsidRPr="00023DA6">
              <w:rPr>
                <w:lang w:val="de-DE"/>
              </w:rPr>
              <w:t>Komplexe Produkte mit Festem Finalen Rückzahlungsbetrag ermöglichen es Ihrem Inhaber, die Zahlung eines oder mehrerer Zinszahlungsbeträge am jeweiligen Zinszahlungstag bzw. an den jeweiligen Zinszahlungstagen zu erhalten, wie in den anwendbaren Emissionsbedingungen angegeben.</w:t>
            </w:r>
          </w:p>
        </w:tc>
      </w:tr>
      <w:tr w:rsidTr="0078291D">
        <w:tblPrEx>
          <w:tblW w:w="5000" w:type="pct"/>
          <w:tblLook w:val="04A0"/>
        </w:tblPrEx>
        <w:tc>
          <w:tcPr>
            <w:tcW w:w="2500" w:type="pct"/>
            <w:tcBorders>
              <w:right w:val="single" w:sz="4" w:space="0" w:color="auto"/>
            </w:tcBorders>
          </w:tcPr>
          <w:p w:rsidR="00023DA6" w:rsidRPr="00B630E7" w:rsidP="00924B2C">
            <w:pPr>
              <w:pStyle w:val="CSBody63EN"/>
            </w:pPr>
            <w:r w:rsidRPr="00B630E7">
              <w:t>On the Final Redemption Date the Issuer will redeem each Complex Product by payment of a cash amount equal to the Final Redemption Amount to the Holder thereof. The Final Redemption Amount will be equal to the percentage of the Denomination of the Complex Products specified in the applicable Terms and Conditions.</w:t>
            </w:r>
          </w:p>
        </w:tc>
        <w:tc>
          <w:tcPr>
            <w:tcW w:w="2500" w:type="pct"/>
            <w:tcBorders>
              <w:left w:val="single" w:sz="4" w:space="0" w:color="auto"/>
            </w:tcBorders>
          </w:tcPr>
          <w:p w:rsidR="00023DA6" w:rsidRPr="00023DA6" w:rsidP="00924B2C">
            <w:pPr>
              <w:pStyle w:val="CSBody63DE"/>
              <w:rPr>
                <w:lang w:val="de-DE"/>
              </w:rPr>
            </w:pPr>
            <w:r w:rsidRPr="00023DA6">
              <w:rPr>
                <w:lang w:val="de-DE"/>
              </w:rPr>
              <w:t>Am Finalen Rückzahlungstag tilgt die Emittentin jedes Komplexe Produkt durch Zahlung eines dem Finalen Rückzahlungsbetrag entsprechenden Geldbetrags an den jeweiligen Inhaber. Der Finale Rückzahlungsbetrag entspricht dabei dem in den anwendbaren Emissionsbedingungen angegebenen Prozentsatz der Stückelung der Komplexen Produkte.</w:t>
            </w:r>
          </w:p>
        </w:tc>
      </w:tr>
      <w:tr w:rsidTr="0078291D">
        <w:tblPrEx>
          <w:tblW w:w="5000" w:type="pct"/>
          <w:tblLook w:val="04A0"/>
        </w:tblPrEx>
        <w:tc>
          <w:tcPr>
            <w:tcW w:w="2500" w:type="pct"/>
            <w:tcBorders>
              <w:right w:val="single" w:sz="4" w:space="0" w:color="auto"/>
            </w:tcBorders>
          </w:tcPr>
          <w:p w:rsidR="00023DA6" w:rsidRPr="00B630E7" w:rsidP="00924B2C">
            <w:pPr>
              <w:pStyle w:val="CSBody63EN"/>
            </w:pPr>
            <w:r w:rsidRPr="00B630E7">
              <w:t>A summary description of the different interest payment scenarios and the Interest Rate(s) on the basis of which the Interest Payment Amount(s) payable under the Complex Products is/are calculated follows below.</w:t>
            </w:r>
          </w:p>
        </w:tc>
        <w:tc>
          <w:tcPr>
            <w:tcW w:w="2500" w:type="pct"/>
            <w:tcBorders>
              <w:left w:val="single" w:sz="4" w:space="0" w:color="auto"/>
            </w:tcBorders>
          </w:tcPr>
          <w:p w:rsidR="00023DA6" w:rsidRPr="00023DA6" w:rsidP="00924B2C">
            <w:pPr>
              <w:pStyle w:val="CSBody63DE"/>
              <w:rPr>
                <w:lang w:val="de-DE"/>
              </w:rPr>
            </w:pPr>
            <w:r w:rsidRPr="00023DA6">
              <w:rPr>
                <w:lang w:val="de-DE"/>
              </w:rPr>
              <w:t>Eine Kurzbeschreibung der verschiedenen Zinszahlungsszenarien und des Zinssatzes bzw. der Zinssätze, auf dessen/deren Grundlage der Zinszahlungsbetrag bzw. die Zinszahlungsbeträge unter den Komplexen Produkten berechnet werden, folgt im Anschluss.</w:t>
            </w:r>
          </w:p>
        </w:tc>
      </w:tr>
      <w:tr w:rsidTr="0078291D">
        <w:tblPrEx>
          <w:tblW w:w="5000" w:type="pct"/>
          <w:tblLook w:val="04A0"/>
        </w:tblPrEx>
        <w:tc>
          <w:tcPr>
            <w:tcW w:w="2500" w:type="pct"/>
            <w:tcBorders>
              <w:right w:val="single" w:sz="4" w:space="0" w:color="auto"/>
            </w:tcBorders>
          </w:tcPr>
          <w:p w:rsidR="00023DA6" w:rsidRPr="00DD674B" w:rsidP="00924B2C">
            <w:pPr>
              <w:pStyle w:val="CSHeading3EN"/>
            </w:pPr>
            <w:bookmarkStart w:id="81" w:name="_Toc438227525"/>
            <w:r w:rsidRPr="00023DA6">
              <w:t>Fixed Rate Notes</w:t>
            </w:r>
            <w:bookmarkEnd w:id="81"/>
          </w:p>
        </w:tc>
        <w:tc>
          <w:tcPr>
            <w:tcW w:w="2500" w:type="pct"/>
            <w:tcBorders>
              <w:left w:val="single" w:sz="4" w:space="0" w:color="auto"/>
            </w:tcBorders>
          </w:tcPr>
          <w:p w:rsidR="00023DA6" w:rsidRPr="00DD674B" w:rsidP="00924B2C">
            <w:pPr>
              <w:pStyle w:val="CSHeading3DE"/>
            </w:pPr>
            <w:bookmarkStart w:id="82" w:name="_Toc438160273"/>
            <w:r w:rsidRPr="00023DA6">
              <w:t>Fixed Rate Notes</w:t>
            </w:r>
            <w:bookmarkEnd w:id="82"/>
          </w:p>
        </w:tc>
      </w:tr>
      <w:tr w:rsidTr="0078291D">
        <w:tblPrEx>
          <w:tblW w:w="5000" w:type="pct"/>
          <w:tblLook w:val="04A0"/>
        </w:tblPrEx>
        <w:tc>
          <w:tcPr>
            <w:tcW w:w="2500" w:type="pct"/>
            <w:tcBorders>
              <w:right w:val="single" w:sz="4" w:space="0" w:color="auto"/>
            </w:tcBorders>
          </w:tcPr>
          <w:p w:rsidR="00023DA6" w:rsidRPr="00E161FE" w:rsidP="00924B2C">
            <w:pPr>
              <w:pStyle w:val="CSBody63EN"/>
            </w:pPr>
            <w:r w:rsidRPr="00E161FE">
              <w:t>Fixed Rate Notes allow the Holder thereof to benefit from the payment of one or more Interest Payment Amount(s) on the relevant Interest Payment Date(s), as specified in the applicable Terms and Conditions.</w:t>
            </w:r>
          </w:p>
        </w:tc>
        <w:tc>
          <w:tcPr>
            <w:tcW w:w="2500" w:type="pct"/>
            <w:tcBorders>
              <w:left w:val="single" w:sz="4" w:space="0" w:color="auto"/>
            </w:tcBorders>
          </w:tcPr>
          <w:p w:rsidR="00023DA6" w:rsidRPr="00023DA6" w:rsidP="00924B2C">
            <w:pPr>
              <w:pStyle w:val="CSBody63DE"/>
              <w:rPr>
                <w:lang w:val="de-DE"/>
              </w:rPr>
            </w:pPr>
            <w:r w:rsidRPr="00023DA6">
              <w:rPr>
                <w:lang w:val="de-DE"/>
              </w:rPr>
              <w:t>Fixed Rate Notes ermöglichen es ihrem Inhaber, die Zahlung eines Zinszahlungsbetrags oder mehrerer Zinszahlungsbeträge am jeweiligen Zinszahlungstag bzw.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023DA6" w:rsidRPr="00E161FE" w:rsidP="00924B2C">
            <w:pPr>
              <w:pStyle w:val="CSBody63EN"/>
            </w:pPr>
            <w:r w:rsidRPr="00E161FE">
              <w:t xml:space="preserve">The Interest Rate on the basis of which the Interest Payment Amount(s) for Fixed Rate Notes is/are calculated will be equal to a fixed rate per annum. Therefore, the potential return on a Fixed Rate Note is limited to the positive difference between (i) the amount of such Interest Payment Amount(s), plus the Final Redemption Amount, and (ii) the Issue Price (or, if different, the price the relevant investor paid for such Fixed Rate Note). </w:t>
            </w:r>
          </w:p>
        </w:tc>
        <w:tc>
          <w:tcPr>
            <w:tcW w:w="2500" w:type="pct"/>
            <w:tcBorders>
              <w:left w:val="single" w:sz="4" w:space="0" w:color="auto"/>
            </w:tcBorders>
          </w:tcPr>
          <w:p w:rsidR="00023DA6" w:rsidRPr="00023DA6" w:rsidP="00924B2C">
            <w:pPr>
              <w:pStyle w:val="CSBody63DE"/>
              <w:rPr>
                <w:lang w:val="de-DE"/>
              </w:rPr>
            </w:pPr>
            <w:r w:rsidRPr="00023DA6">
              <w:rPr>
                <w:lang w:val="de-DE"/>
              </w:rPr>
              <w:t>Der Zinssatz, auf dessen Grundlage der Zinszahlungsbetrag bzw. die Zinszahlungsbeträge für Fixed Rate Notes berechnet wird/werden, entspricht einem Festsatz per annum. Die potenzielle Rendite auf eine Fixed Rate Note ist somit auf die positive Differenz aus (i) dem Betrag des Zinszahlungsbetrags bzw. der Zinszahlungsbeträge zuzüglich des Finalen Rückzahlungsbetrags, und (ii) dem Emissionspreis (oder, falls abweichend, dem von dem jeweiligen Anleger für diese Fixed Rate Note gezahlten Preis) beschränkt.</w:t>
            </w:r>
          </w:p>
        </w:tc>
      </w:tr>
      <w:tr w:rsidTr="0078291D">
        <w:tblPrEx>
          <w:tblW w:w="5000" w:type="pct"/>
          <w:tblLook w:val="04A0"/>
        </w:tblPrEx>
        <w:tc>
          <w:tcPr>
            <w:tcW w:w="2500" w:type="pct"/>
            <w:tcBorders>
              <w:right w:val="single" w:sz="4" w:space="0" w:color="auto"/>
            </w:tcBorders>
          </w:tcPr>
          <w:p w:rsidR="00023DA6" w:rsidRPr="00023DA6" w:rsidP="00924B2C">
            <w:pPr>
              <w:pStyle w:val="CSHeading3EN"/>
              <w:rPr>
                <w:lang w:val="de-DE"/>
              </w:rPr>
            </w:pPr>
            <w:bookmarkStart w:id="83" w:name="_Toc438227526"/>
            <w:r w:rsidRPr="00023DA6">
              <w:rPr>
                <w:lang w:val="de-DE"/>
              </w:rPr>
              <w:t>Step Up Notes</w:t>
            </w:r>
            <w:bookmarkEnd w:id="83"/>
          </w:p>
        </w:tc>
        <w:tc>
          <w:tcPr>
            <w:tcW w:w="2500" w:type="pct"/>
            <w:tcBorders>
              <w:left w:val="single" w:sz="4" w:space="0" w:color="auto"/>
            </w:tcBorders>
          </w:tcPr>
          <w:p w:rsidR="00023DA6" w:rsidRPr="00023DA6" w:rsidP="00924B2C">
            <w:pPr>
              <w:pStyle w:val="CSHeading3DE"/>
              <w:rPr>
                <w:lang w:val="de-DE"/>
              </w:rPr>
            </w:pPr>
            <w:bookmarkStart w:id="84" w:name="_Toc438160274"/>
            <w:r w:rsidRPr="00023DA6">
              <w:rPr>
                <w:lang w:val="de-DE"/>
              </w:rPr>
              <w:t>Step Up Notes</w:t>
            </w:r>
            <w:bookmarkEnd w:id="84"/>
          </w:p>
        </w:tc>
      </w:tr>
      <w:tr w:rsidTr="0078291D">
        <w:tblPrEx>
          <w:tblW w:w="5000" w:type="pct"/>
          <w:tblLook w:val="04A0"/>
        </w:tblPrEx>
        <w:tc>
          <w:tcPr>
            <w:tcW w:w="2500" w:type="pct"/>
            <w:tcBorders>
              <w:right w:val="single" w:sz="4" w:space="0" w:color="auto"/>
            </w:tcBorders>
          </w:tcPr>
          <w:p w:rsidR="00023DA6" w:rsidRPr="00247717" w:rsidP="00924B2C">
            <w:pPr>
              <w:pStyle w:val="CSBody63EN"/>
            </w:pPr>
            <w:r w:rsidRPr="00247717">
              <w:t>Step Up Notes allow the Holder thereof to benefit from the payment of multiple Interest Payment Amounts on the relevant Interest Payment Dates, as specified in the applicable Terms and Conditions.</w:t>
            </w:r>
          </w:p>
        </w:tc>
        <w:tc>
          <w:tcPr>
            <w:tcW w:w="2500" w:type="pct"/>
            <w:tcBorders>
              <w:left w:val="single" w:sz="4" w:space="0" w:color="auto"/>
            </w:tcBorders>
          </w:tcPr>
          <w:p w:rsidR="00023DA6" w:rsidRPr="00023DA6" w:rsidP="00924B2C">
            <w:pPr>
              <w:pStyle w:val="CSBody63DE"/>
              <w:rPr>
                <w:lang w:val="de-DE"/>
              </w:rPr>
            </w:pPr>
            <w:r w:rsidRPr="00023DA6">
              <w:rPr>
                <w:lang w:val="de-DE"/>
              </w:rPr>
              <w:t>Step Up Notes ermöglichen es ihrem Inhaber, die Zahlung mehrerer Zinszahlungsbeträge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023DA6" w:rsidRPr="00247717" w:rsidP="00924B2C">
            <w:pPr>
              <w:pStyle w:val="CSBody63EN"/>
            </w:pPr>
            <w:r w:rsidRPr="00247717">
              <w:t>The Interest Rate on the basis of which the Interest Payment Amounts for Step Up Notes are calculated will be equal to a fixed rate per annum. Such fixed rate per annum will typically be a different fixed rate per annum for each Interest Payment Date, as set out in the applicable Terms and Conditions. Therefore, the potential return on a Step Up Note is limited to the positive difference between (i) the amount of the Interest Payment Amounts, plus the Final Redemption Amount, and (ii) the Issue Price (or, if different, the price the relevant investor paid for such Step Up Note).</w:t>
            </w:r>
          </w:p>
        </w:tc>
        <w:tc>
          <w:tcPr>
            <w:tcW w:w="2500" w:type="pct"/>
            <w:tcBorders>
              <w:left w:val="single" w:sz="4" w:space="0" w:color="auto"/>
            </w:tcBorders>
          </w:tcPr>
          <w:p w:rsidR="00023DA6" w:rsidRPr="00023DA6" w:rsidP="00924B2C">
            <w:pPr>
              <w:pStyle w:val="CSBody63DE"/>
              <w:rPr>
                <w:lang w:val="de-DE"/>
              </w:rPr>
            </w:pPr>
            <w:r w:rsidRPr="00023DA6">
              <w:rPr>
                <w:lang w:val="de-DE"/>
              </w:rPr>
              <w:t>Der Zinssatz, auf dessen Grundlage die Zinszahlungsbeträge für Step Up Notes berechnet werden, entspricht einem Festsatz per annum. Dieser Festsatz per annum wird in der Regel für jeden Zinzahlungstag einem unterschiedlichen Festsatz per annum entsprechen, wie in den anwendbaren Emissionsbedingungen festgelegt. Die potenzielle Rendite auf eine Step Up Note ist somit auf die positive Differenz aus (i) dem Betrag der Zinszahlungsbeträge zuzüglich des Finalen Rückzahlungsbetrags, und (ii) dem Emissionspreis (oder, falls abweichend, dem von dem jeweiligen Anleger für diese Step Up Note gezahlten Preis) beschränkt.</w:t>
            </w:r>
          </w:p>
        </w:tc>
      </w:tr>
      <w:tr w:rsidTr="0078291D">
        <w:tblPrEx>
          <w:tblW w:w="5000" w:type="pct"/>
          <w:tblLook w:val="04A0"/>
        </w:tblPrEx>
        <w:tc>
          <w:tcPr>
            <w:tcW w:w="2500" w:type="pct"/>
            <w:tcBorders>
              <w:right w:val="single" w:sz="4" w:space="0" w:color="auto"/>
            </w:tcBorders>
          </w:tcPr>
          <w:p w:rsidR="00023DA6" w:rsidRPr="00023DA6" w:rsidP="00924B2C">
            <w:pPr>
              <w:pStyle w:val="CSHeading3EN"/>
              <w:rPr>
                <w:lang w:val="de-DE"/>
              </w:rPr>
            </w:pPr>
            <w:bookmarkStart w:id="85" w:name="_Toc438227527"/>
            <w:r w:rsidRPr="00023DA6">
              <w:rPr>
                <w:lang w:val="de-DE"/>
              </w:rPr>
              <w:t>Floating Rate Notes</w:t>
            </w:r>
            <w:bookmarkEnd w:id="85"/>
          </w:p>
        </w:tc>
        <w:tc>
          <w:tcPr>
            <w:tcW w:w="2500" w:type="pct"/>
            <w:tcBorders>
              <w:left w:val="single" w:sz="4" w:space="0" w:color="auto"/>
            </w:tcBorders>
          </w:tcPr>
          <w:p w:rsidR="00023DA6" w:rsidRPr="00023DA6" w:rsidP="00924B2C">
            <w:pPr>
              <w:pStyle w:val="CSHeading3DE"/>
              <w:rPr>
                <w:lang w:val="de-DE"/>
              </w:rPr>
            </w:pPr>
            <w:bookmarkStart w:id="86" w:name="_Toc438160275"/>
            <w:r w:rsidRPr="00023DA6">
              <w:rPr>
                <w:lang w:val="de-DE"/>
              </w:rPr>
              <w:t>Floating Rate Notes</w:t>
            </w:r>
            <w:bookmarkEnd w:id="86"/>
          </w:p>
        </w:tc>
      </w:tr>
      <w:tr w:rsidTr="0078291D">
        <w:tblPrEx>
          <w:tblW w:w="5000" w:type="pct"/>
          <w:tblLook w:val="04A0"/>
        </w:tblPrEx>
        <w:tc>
          <w:tcPr>
            <w:tcW w:w="2500" w:type="pct"/>
            <w:tcBorders>
              <w:right w:val="single" w:sz="4" w:space="0" w:color="auto"/>
            </w:tcBorders>
          </w:tcPr>
          <w:p w:rsidR="00023DA6" w:rsidRPr="00F741F1" w:rsidP="00924B2C">
            <w:pPr>
              <w:pStyle w:val="CSBody63EN"/>
            </w:pPr>
            <w:r w:rsidRPr="00F741F1">
              <w:t xml:space="preserve">Floating Rate Notes allow the Holder thereof to benefit from the payment of one or more Interest Payment Amounts on the relevant Interest Payment Date(s), as specified in the applicable Terms and Conditions. </w:t>
            </w:r>
          </w:p>
        </w:tc>
        <w:tc>
          <w:tcPr>
            <w:tcW w:w="2500" w:type="pct"/>
            <w:tcBorders>
              <w:left w:val="single" w:sz="4" w:space="0" w:color="auto"/>
            </w:tcBorders>
          </w:tcPr>
          <w:p w:rsidR="00023DA6" w:rsidRPr="00023DA6" w:rsidP="00924B2C">
            <w:pPr>
              <w:pStyle w:val="CSBody63DE"/>
              <w:rPr>
                <w:lang w:val="de-DE"/>
              </w:rPr>
            </w:pPr>
            <w:r w:rsidRPr="00023DA6">
              <w:rPr>
                <w:lang w:val="de-DE"/>
              </w:rPr>
              <w:t>Floating Rate Notes ermöglichen es ihrem Inhaber, die Zahlung eines oder mehrerer Zinszahlungsbeträge am jeweiligen Zinszahlungstag bzw.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023DA6" w:rsidRPr="00F741F1" w:rsidP="00924B2C">
            <w:pPr>
              <w:pStyle w:val="CSBody63EN"/>
            </w:pPr>
            <w:r w:rsidRPr="00F741F1">
              <w:t>The Interest Rate on the basis of which the Interest Payment Amount(s) for Floating Rate Notes is/are calculated will be equal to the Reference Rate (</w:t>
            </w:r>
            <w:r w:rsidRPr="007E3558" w:rsidR="007E3558">
              <w:rPr>
                <w:i/>
              </w:rPr>
              <w:t>i.e.</w:t>
            </w:r>
            <w:r w:rsidRPr="00F741F1">
              <w:t xml:space="preserve">, a variable rate of interest) on the relevant Interest Determination Date or, if specified in the applicable Terms and Conditions, will be equal to the sum of the Reference Rate on the relevant Interest Determination Date and the fixed rate (spread) per annum specified in the applicable Terms and Conditions. As the Reference Rate is subject to fluctuations, the Interest Payment Amount(s) payable in respect of Floating Rate Notes is/are uncertain and may be substantially lower than the interest payment amount that would be payable under conventional fixed rate debt securities of the Issuer with a comparable term. </w:t>
            </w:r>
          </w:p>
        </w:tc>
        <w:tc>
          <w:tcPr>
            <w:tcW w:w="2500" w:type="pct"/>
            <w:tcBorders>
              <w:left w:val="single" w:sz="4" w:space="0" w:color="auto"/>
            </w:tcBorders>
          </w:tcPr>
          <w:p w:rsidR="00023DA6" w:rsidRPr="00023DA6" w:rsidP="00924B2C">
            <w:pPr>
              <w:pStyle w:val="CSBody63DE"/>
              <w:rPr>
                <w:lang w:val="de-DE"/>
              </w:rPr>
            </w:pPr>
            <w:r w:rsidRPr="00023DA6">
              <w:rPr>
                <w:lang w:val="de-DE"/>
              </w:rPr>
              <w:t>Der Zinssatz, auf dessen Grundlage der Zinszahlungsbetrag bzw. die Zinszahlungsbeträge für Floating Rate Notes berechnet wird/werden, entspricht dem Referenzsatz (d.h. einem variablen Zinssatz) am jeweiligen Zinsfeststellungstag oder, falls in den anwendbaren Emissionsbedingungen vorgesehen, der Summe aus dem Referenzsatz am jeweiligen Zinsfeststellungstag und dem in den anwendbaren Emissionsbedingungen angegebenen Festsatz (Spread) per annum. Da der Referenzsatz Schwankungen unterliegt, ist die Höhe des in Bezug auf Floating Rate Notes zahlbaren Zinszahlungsbetrags bzw. der in Bezug auf Floating Rate Notes zahlbaren Zinszahlungsbeträge ungewiss und kann wesentlich niedriger sein als die Zinszahlungsbeträge, die für herkömmliche festverzinsliche Schuldtitel der Emittentin mit vergleichbarer Laufzeit gezahlt würden.</w:t>
            </w:r>
          </w:p>
        </w:tc>
      </w:tr>
      <w:tr w:rsidTr="0078291D">
        <w:tblPrEx>
          <w:tblW w:w="5000" w:type="pct"/>
          <w:tblLook w:val="04A0"/>
        </w:tblPrEx>
        <w:tc>
          <w:tcPr>
            <w:tcW w:w="2500" w:type="pct"/>
            <w:tcBorders>
              <w:right w:val="single" w:sz="4" w:space="0" w:color="auto"/>
            </w:tcBorders>
          </w:tcPr>
          <w:p w:rsidR="00023DA6" w:rsidRPr="00F12768" w:rsidP="00924B2C">
            <w:pPr>
              <w:pStyle w:val="CSBody63EN"/>
            </w:pPr>
            <w:r w:rsidRPr="00F12768">
              <w:t>The applicable Terms and Conditions of Floating Rate Notes may also provide for the application of a Minimum Interest Rate and/or Maximum Interest Rate in respect of the Interest Payment Date(s), for which a variable rate is applicable. Where the applicable Terms and Conditions provide for both a Minimum Interest Rate and a Maximum Interest Rate, they may also provide for the application of the Participation, which is a multiplier, for the calculation of the Interest Rate.</w:t>
            </w:r>
          </w:p>
        </w:tc>
        <w:tc>
          <w:tcPr>
            <w:tcW w:w="2500" w:type="pct"/>
            <w:tcBorders>
              <w:left w:val="single" w:sz="4" w:space="0" w:color="auto"/>
            </w:tcBorders>
          </w:tcPr>
          <w:p w:rsidR="00023DA6" w:rsidRPr="00023DA6" w:rsidP="00924B2C">
            <w:pPr>
              <w:pStyle w:val="CSBody63DE"/>
              <w:rPr>
                <w:lang w:val="de-DE"/>
              </w:rPr>
            </w:pPr>
            <w:r w:rsidRPr="00023DA6">
              <w:rPr>
                <w:lang w:val="de-DE"/>
              </w:rPr>
              <w:t>Die anwendbaren Emissionsbedingungen von Floating Rate Notes können auch die Anwendung eines Mindestzinssatzes und/oder eines Höchstzinssatzes in Bezug auf den Zinszahlungstag bzw. die Zinszahlungstage vorsehen, für den bzw. die ein variabler Satz gilt. Für den Fall, dass die anwendbaren Emissionsbedingungen sowohl einen Mindestzinssatz als auch einen Höchstzinssatz vorsehen, können sie auch die Anwendung der Partizipation, bei der es sich um einen Multiplikator handelt, für die Berechnung des Zinssatzes vorsehen.</w:t>
            </w:r>
          </w:p>
        </w:tc>
      </w:tr>
      <w:tr w:rsidTr="0078291D">
        <w:tblPrEx>
          <w:tblW w:w="5000" w:type="pct"/>
          <w:tblLook w:val="04A0"/>
        </w:tblPrEx>
        <w:tc>
          <w:tcPr>
            <w:tcW w:w="2500" w:type="pct"/>
            <w:tcBorders>
              <w:right w:val="single" w:sz="4" w:space="0" w:color="auto"/>
            </w:tcBorders>
          </w:tcPr>
          <w:p w:rsidR="00023DA6" w:rsidRPr="00023DA6" w:rsidP="00924B2C">
            <w:pPr>
              <w:pStyle w:val="CSHeading3EN"/>
            </w:pPr>
            <w:bookmarkStart w:id="87" w:name="_Toc438227528"/>
            <w:r w:rsidRPr="00023DA6">
              <w:t>Fixed to Floating Rate Notes</w:t>
            </w:r>
            <w:bookmarkEnd w:id="87"/>
          </w:p>
        </w:tc>
        <w:tc>
          <w:tcPr>
            <w:tcW w:w="2500" w:type="pct"/>
            <w:tcBorders>
              <w:left w:val="single" w:sz="4" w:space="0" w:color="auto"/>
            </w:tcBorders>
          </w:tcPr>
          <w:p w:rsidR="00023DA6" w:rsidRPr="00023DA6" w:rsidP="00924B2C">
            <w:pPr>
              <w:pStyle w:val="CSHeading3DE"/>
            </w:pPr>
            <w:bookmarkStart w:id="88" w:name="_Toc438160276"/>
            <w:r w:rsidRPr="00023DA6">
              <w:t>Fixed to Floating Rate Notes</w:t>
            </w:r>
            <w:bookmarkEnd w:id="88"/>
          </w:p>
        </w:tc>
      </w:tr>
      <w:tr w:rsidTr="0078291D">
        <w:tblPrEx>
          <w:tblW w:w="5000" w:type="pct"/>
          <w:tblLook w:val="04A0"/>
        </w:tblPrEx>
        <w:tc>
          <w:tcPr>
            <w:tcW w:w="2500" w:type="pct"/>
            <w:tcBorders>
              <w:right w:val="single" w:sz="4" w:space="0" w:color="auto"/>
            </w:tcBorders>
          </w:tcPr>
          <w:p w:rsidR="00023DA6" w:rsidRPr="0039245A" w:rsidP="00966E44">
            <w:pPr>
              <w:pStyle w:val="CSBody63EN"/>
            </w:pPr>
            <w:r w:rsidRPr="0039245A">
              <w:t>Fixed to Floating Rate Notes allow the Holder thereof to benefit from the payment of multiple Interest Payment Amounts on the relevant Interest Payment Dates, as specified in the applicable Terms and Conditions.</w:t>
            </w:r>
          </w:p>
        </w:tc>
        <w:tc>
          <w:tcPr>
            <w:tcW w:w="2500" w:type="pct"/>
            <w:tcBorders>
              <w:left w:val="single" w:sz="4" w:space="0" w:color="auto"/>
            </w:tcBorders>
          </w:tcPr>
          <w:p w:rsidR="00023DA6" w:rsidRPr="00023DA6" w:rsidP="00966E44">
            <w:pPr>
              <w:pStyle w:val="CSBody63DE"/>
              <w:rPr>
                <w:lang w:val="de-DE"/>
              </w:rPr>
            </w:pPr>
            <w:r w:rsidRPr="00023DA6">
              <w:rPr>
                <w:lang w:val="de-DE"/>
              </w:rPr>
              <w:t>Fixed to Floating Rate Notes ermöglichen es ihrem Inhaber, die Zahlung mehrerer Zinszahlungsbeträge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023DA6" w:rsidRPr="0039245A" w:rsidP="00966E44">
            <w:pPr>
              <w:pStyle w:val="CSBody63EN"/>
            </w:pPr>
            <w:r w:rsidRPr="0039245A">
              <w:t>In case of Fixed to Floating Rate Notes, the applicable Terms and Conditions will provide that the Interest Rate on the basis of which the Interest Payment Amounts for the Fixed to Floating Rate Notes are calculated will be equal to a fixed rate per annum for one or more of the initial Interest Payment Dates. During the term of the Fixed to Floating Rate Notes, the applicable fixed Interest Rate will be switched to a variable Interest Rate. On each Interest Payment Date on which a variable rate of interest is applicable, such variable rate will be equal to the Reference Rate on the relevant Interest Determination Date or, if specified in the applicable Terms and Conditions, will be equal to the sum of the Reference Rate on the relevant Interest Determination Date and the fixed rate (spread) per annum specified in the applicable Terms and Conditions. As the Reference Rate is subject to fluctuations, the Interest Payment Amount(s) payable in respect of Fixed to Floating Rate Notes on the relevant Interest Payment Dates is/are uncertain and may be substantially lower than the interest payment amounts that would be payable under conventional fixed rate debt securities of the Issuer with a comparable term.</w:t>
            </w:r>
          </w:p>
        </w:tc>
        <w:tc>
          <w:tcPr>
            <w:tcW w:w="2500" w:type="pct"/>
            <w:tcBorders>
              <w:left w:val="single" w:sz="4" w:space="0" w:color="auto"/>
            </w:tcBorders>
          </w:tcPr>
          <w:p w:rsidR="00023DA6" w:rsidRPr="00023DA6" w:rsidP="00966E44">
            <w:pPr>
              <w:pStyle w:val="CSBody63DE"/>
              <w:rPr>
                <w:lang w:val="de-DE"/>
              </w:rPr>
            </w:pPr>
            <w:r w:rsidRPr="00023DA6">
              <w:rPr>
                <w:lang w:val="de-DE"/>
              </w:rPr>
              <w:t>Bei Fixed to Floating Rate Notes sehen die anwendbaren Emissionsbedingungen vor, dass der Zinssatz, auf dessen Grundlage die Zinszahlungsbeträge für die Fixed to Floating Rate Notes berechnet werden, einem Festsatz per annum für eine oder mehrere der anfänglichen Zinszahlungstage entspricht. Während der Laufzeit der Fixed to Floating Rate Notes wird der anwendbare Festzinssatz auf einen variablen Zinssatz umgestellt. An jedem Zinszahlungstag, an dem ein variabler Zinssatz Anwendung findet, entspricht dieser variable Zinssatz dem Referenzsatz am jeweiligen Zinsfeststellungstag oder, falls in den anwendbaren Emissionsbedingungen vorgesehen, der Summe aus dem Referenzsatz am jeweiligen Zinsfeststellungstag und dem in den anwendbaren Emissionsbedingungen angegebenen Festsatz (Spread) per annum. Da der Referenzsatz Schwankungen unterliegt, ist die Höhe des/der in Bezug auf Fixed to Floating Rating Notes an einem bzw. mehreren Zinszahlungstagen zahlbaren Zinszahlungsbetrags/Zinszahlungsbeträge ungewiss und kann wesentlich niedriger sein als die Zinszahlungsbeträge, die für herkömmliche festverzinsliche Schuldtitel der Emittentin mit vergleichbarer Laufzeit gezahlt würden.</w:t>
            </w:r>
          </w:p>
        </w:tc>
      </w:tr>
      <w:tr w:rsidTr="0078291D">
        <w:tblPrEx>
          <w:tblW w:w="5000" w:type="pct"/>
          <w:tblLook w:val="04A0"/>
        </w:tblPrEx>
        <w:tc>
          <w:tcPr>
            <w:tcW w:w="2500" w:type="pct"/>
            <w:tcBorders>
              <w:right w:val="single" w:sz="4" w:space="0" w:color="auto"/>
            </w:tcBorders>
          </w:tcPr>
          <w:p w:rsidR="00023DA6" w:rsidRPr="00F11488" w:rsidP="00966E44">
            <w:pPr>
              <w:pStyle w:val="CSBody63EN"/>
            </w:pPr>
            <w:r w:rsidRPr="00F11488">
              <w:t>The applicable Terms and Conditions of Fixed to Floating Rate Notes may also provide for the application of a Minimum Interest Rate and/or Maximum Interest Rate in respect of the Interest Payment Date(s) for which a variable rate is applicable.</w:t>
            </w:r>
          </w:p>
        </w:tc>
        <w:tc>
          <w:tcPr>
            <w:tcW w:w="2500" w:type="pct"/>
            <w:tcBorders>
              <w:left w:val="single" w:sz="4" w:space="0" w:color="auto"/>
            </w:tcBorders>
          </w:tcPr>
          <w:p w:rsidR="00023DA6" w:rsidRPr="00023DA6" w:rsidP="00966E44">
            <w:pPr>
              <w:pStyle w:val="CSBody63DE"/>
              <w:rPr>
                <w:lang w:val="de-DE"/>
              </w:rPr>
            </w:pPr>
            <w:r w:rsidRPr="00023DA6">
              <w:rPr>
                <w:lang w:val="de-DE"/>
              </w:rPr>
              <w:t>Die anwendbaren Emissionsbedingungen von Fixed to Floating Rate Notes können auch die Anwendung eines Mindestzinssatzes und/oder eines Höchstzinssatzes in Bezug auf den Zinszahlungstag bzw. die Zinszahlungstage vorsehen, für den bzw. die ein variabler Satz gilt.</w:t>
            </w:r>
          </w:p>
        </w:tc>
      </w:tr>
      <w:tr w:rsidTr="0078291D">
        <w:tblPrEx>
          <w:tblW w:w="5000" w:type="pct"/>
          <w:tblLook w:val="04A0"/>
        </w:tblPrEx>
        <w:tc>
          <w:tcPr>
            <w:tcW w:w="2500" w:type="pct"/>
            <w:tcBorders>
              <w:right w:val="single" w:sz="4" w:space="0" w:color="auto"/>
            </w:tcBorders>
          </w:tcPr>
          <w:p w:rsidR="00023DA6" w:rsidRPr="00023DA6" w:rsidP="00966E44">
            <w:pPr>
              <w:pStyle w:val="CSHeading3EN"/>
            </w:pPr>
            <w:bookmarkStart w:id="89" w:name="_Toc438227529"/>
            <w:r w:rsidRPr="00023DA6">
              <w:t>Cumulative Reverse Floater Notes</w:t>
            </w:r>
            <w:bookmarkEnd w:id="89"/>
          </w:p>
        </w:tc>
        <w:tc>
          <w:tcPr>
            <w:tcW w:w="2500" w:type="pct"/>
            <w:tcBorders>
              <w:left w:val="single" w:sz="4" w:space="0" w:color="auto"/>
            </w:tcBorders>
          </w:tcPr>
          <w:p w:rsidR="00023DA6" w:rsidRPr="00023DA6" w:rsidP="00966E44">
            <w:pPr>
              <w:pStyle w:val="CSHeading3DE"/>
            </w:pPr>
            <w:bookmarkStart w:id="90" w:name="_Toc438160277"/>
            <w:r w:rsidRPr="00023DA6">
              <w:t>Cumulative Reverse Floater Notes</w:t>
            </w:r>
            <w:bookmarkEnd w:id="90"/>
          </w:p>
        </w:tc>
      </w:tr>
      <w:tr w:rsidTr="0078291D">
        <w:tblPrEx>
          <w:tblW w:w="5000" w:type="pct"/>
          <w:tblLook w:val="04A0"/>
        </w:tblPrEx>
        <w:tc>
          <w:tcPr>
            <w:tcW w:w="2500" w:type="pct"/>
            <w:tcBorders>
              <w:right w:val="single" w:sz="4" w:space="0" w:color="auto"/>
            </w:tcBorders>
          </w:tcPr>
          <w:p w:rsidR="00023DA6" w:rsidRPr="00C0767F" w:rsidP="00966E44">
            <w:pPr>
              <w:pStyle w:val="CSBody63EN"/>
            </w:pPr>
            <w:r w:rsidRPr="00C0767F">
              <w:t>Cumulative Reverse Floater Notes allow the Holder thereof to benefit from the payment of multiple Interest Payment Amounts on the relevant Interest Payment Dates, as specified in the applicable Terms and Conditions.</w:t>
            </w:r>
          </w:p>
        </w:tc>
        <w:tc>
          <w:tcPr>
            <w:tcW w:w="2500" w:type="pct"/>
            <w:tcBorders>
              <w:left w:val="single" w:sz="4" w:space="0" w:color="auto"/>
            </w:tcBorders>
          </w:tcPr>
          <w:p w:rsidR="00023DA6" w:rsidRPr="00023DA6" w:rsidP="00966E44">
            <w:pPr>
              <w:pStyle w:val="CSBody63DE"/>
              <w:rPr>
                <w:lang w:val="de-DE"/>
              </w:rPr>
            </w:pPr>
            <w:r w:rsidRPr="00023DA6">
              <w:rPr>
                <w:lang w:val="de-DE"/>
              </w:rPr>
              <w:t>Cumulative Reverse Floater Notes ermöglichen es ihrem Inhaber, die Zahlung mehrerer Zinszahlungsbeträge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023DA6" w:rsidRPr="00C0767F" w:rsidP="00966E44">
            <w:pPr>
              <w:pStyle w:val="CSBody63EN"/>
            </w:pPr>
            <w:r w:rsidRPr="00C0767F">
              <w:t>In case of Cumulative Reverse Floater Notes, the applicable Terms and Conditions will provide that the Interest Rate on the basis of which the Interest Payment Amounts for Cumulative Reverse Floater Notes will be calculated will be equal to a fixed rate per annum for one or more of the initial Interest Payment Dates.</w:t>
            </w:r>
          </w:p>
        </w:tc>
        <w:tc>
          <w:tcPr>
            <w:tcW w:w="2500" w:type="pct"/>
            <w:tcBorders>
              <w:left w:val="single" w:sz="4" w:space="0" w:color="auto"/>
            </w:tcBorders>
          </w:tcPr>
          <w:p w:rsidR="00023DA6" w:rsidRPr="00023DA6" w:rsidP="00966E44">
            <w:pPr>
              <w:pStyle w:val="CSBody63DE"/>
              <w:rPr>
                <w:lang w:val="de-DE"/>
              </w:rPr>
            </w:pPr>
            <w:r w:rsidRPr="00023DA6">
              <w:rPr>
                <w:lang w:val="de-DE"/>
              </w:rPr>
              <w:t>Bei Cumulative Reverse Floater Notes sehen die anwendbaren Emissionsbedingungen vor, dass der Zinssatz, auf dessen Grundlage die Zinszahlungsbeträge für die Cumulative Reverse Floater Notes berechnet werden, einem Festsatz per annum für eine oder mehrere der anfänglichen Zinszahlungstage entspricht.</w:t>
            </w:r>
          </w:p>
        </w:tc>
      </w:tr>
      <w:tr w:rsidTr="0078291D">
        <w:tblPrEx>
          <w:tblW w:w="5000" w:type="pct"/>
          <w:tblLook w:val="04A0"/>
        </w:tblPrEx>
        <w:tc>
          <w:tcPr>
            <w:tcW w:w="2500" w:type="pct"/>
            <w:tcBorders>
              <w:right w:val="single" w:sz="4" w:space="0" w:color="auto"/>
            </w:tcBorders>
          </w:tcPr>
          <w:p w:rsidR="00023DA6" w:rsidRPr="00C0767F" w:rsidP="00966E44">
            <w:pPr>
              <w:pStyle w:val="CSBody63EN"/>
            </w:pPr>
            <w:r w:rsidRPr="00C0767F">
              <w:t>The Interest Payment Amounts payable on the subsequent Interest Payment Dates will be calculated on the basis of a variable Interest Rate. Such variable Interest Rate will be equal to the sum of (i) the Interest Rate applicable to the immediately preceding Interest Payment Date, and (ii) the relevant Spread Rate (</w:t>
            </w:r>
            <w:r w:rsidRPr="007E3558" w:rsidR="007E3558">
              <w:rPr>
                <w:i/>
              </w:rPr>
              <w:t>i.e.</w:t>
            </w:r>
            <w:r w:rsidRPr="00C0767F">
              <w:t>, a fixed rate per annum specified in the applicable Terms and Conditions) less (iii) the value of the Reference Rate (</w:t>
            </w:r>
            <w:r w:rsidRPr="007E3558" w:rsidR="007E3558">
              <w:rPr>
                <w:i/>
              </w:rPr>
              <w:t>i.e.</w:t>
            </w:r>
            <w:r w:rsidRPr="00C0767F">
              <w:t>, a variable rate of interest) on the relevant Interest Determination Date or, if so specified in the applicable Terms and Conditions, less the sum of (a) the Reference Rate on the relevant Interest Determination Date and (b) the fixed rate (spread) per annum specified in the Terms and Conditions. Consequently, the lower the value of the Reference Rate on the Interest Determination Date (if applicable, plus the fixed rate (spread) per annum specified in the applicable Terms and Conditions) is in comparison to the relevant Spread Rate, the higher the applicable Interest Rate and resulting Interest Payment Amount will be. Conversely, the higher the value of the Reference Rate on the Interest Determination Date (if applicable, plus the fixed rate (spread) per annum specified in the applicable Terms and Conditions) is in comparison to the relevant Spread Rate, the lower the applicable Interest Rate and resulting Interest Payment Amount will be. If the value of the Reference Rate on each Interest Determination Date (if applicable, plus the fixed rate (spread) per annum specified in the applicable Terms and Conditions) is equal to or above the relevant Spread Rate (</w:t>
            </w:r>
            <w:r w:rsidRPr="007E3558" w:rsidR="007E3558">
              <w:rPr>
                <w:i/>
              </w:rPr>
              <w:t>i.e.</w:t>
            </w:r>
            <w:r w:rsidRPr="00C0767F">
              <w:t>, if the difference between the relevant Spread Rate and the Reference Rate (if applicable, plus the fixed rate (spread) per annum specified in the applicable Terms and Conditions) is equal to zero or a negative amount), the applicable Interest Rate for each Interest Payment Date will be below the fixed rate per annum applicable to one or more of the initial Interest Payment Dates and may be equal to zero or, if so specified in the applicable Terms and Conditions, the Minimum Interest Rate.</w:t>
            </w:r>
          </w:p>
        </w:tc>
        <w:tc>
          <w:tcPr>
            <w:tcW w:w="2500" w:type="pct"/>
            <w:tcBorders>
              <w:left w:val="single" w:sz="4" w:space="0" w:color="auto"/>
            </w:tcBorders>
          </w:tcPr>
          <w:p w:rsidR="00023DA6" w:rsidRPr="00023DA6" w:rsidP="00966E44">
            <w:pPr>
              <w:pStyle w:val="CSBody63DE"/>
              <w:rPr>
                <w:lang w:val="de-DE"/>
              </w:rPr>
            </w:pPr>
            <w:r w:rsidRPr="00023DA6">
              <w:rPr>
                <w:lang w:val="de-DE"/>
              </w:rPr>
              <w:t xml:space="preserve">Die Zinszahlungsbeträge, die an den darauffolgenden Zinszahlungstagen zahlbar sind, werden auf der Grundlage eines variablen Zinssatzes berechnet. Dieser variable Zinssatz entspricht der Summe aus (i) dem Zinssatz, der für den unmittelbar vorangegangenen Zinszahlungstag Anwendung gefunden hat und (ii) dem jeweiligen Spreadsatz (d.h., einem in den anwendbaren Emissionsbedingungen angegebenen Festsatz per annum) abzüglich (iii) des Werts des Referenzsatzes (d.h. einem variablen Zinssatz) am jeweiligen Zinsfeststellungstag oder, falls in den anwendbaren Emissionsbedingungen vorgesehen, abzüglich der Summe aus dem Referenzsatz am jeweiligen Zinsfeststellungstag und dem in den anwendbaren Emissionsbedingungen angegebenen Festsatz (Spread) per annum. Folglich gilt: je niedriger der Wert des Referenzsatzes am Zinsfeststellungstag (falls anwendbar, zuzüglich des in den anwendbaren Emissionsbedingungen angegebenen Festsatzes (Spread) per annum) im Vergleich zum jeweiligen Spreadsatz ist, desto höher fällt der anwendbare Zinssatz und der resultierende Zinszahlungsbetrag aus. Umgekehrt gilt: je höher der Wert des Referenzsatzes am Zinsfeststellungstag (falls anwendbar, zuzüglich des in den anwendbaren Emissionsbedingungen angegebenen Festsatzes (Spread) per annum) im Vergleich zum jeweiligen Spreadsatz ist, desto niedriger fällt der anwendbare Zinssatz und der resultierende Zinszahlungsbetrag aus. Falls der Wert des Referenzsatzes an jedem Zinsfeststellungstag (falls anwendbar, zuzüglich des in den anwendbaren Emissionsbedingungen angegebenen Festsatzes (Spread) per annum) dem Spreadsatz entspricht oder über diesem liegt (d.h., falls die Differenz zwischen dem jeweiligen Spreadsatz und dem Referenzsatz (falls anwendbar, zuzüglich des in den anwendbaren Emissionsbedingungen angegebenen Festsatzes (Spread) per annum) null oder einem negativen Betrag entspricht), wird der anwendbare Zinssatz für jeden Zinszahlungstag unter dem Festzsatz per annum für die erste oder mehreren anfänglichen Zinszahlungstage liegen und kann null betragen oder, sofern in den anwendbaren Emissionsbedingungen vorgesehen, dem Mindestzinssatz entsprechen. </w:t>
            </w:r>
          </w:p>
        </w:tc>
      </w:tr>
      <w:tr w:rsidTr="0078291D">
        <w:tblPrEx>
          <w:tblW w:w="5000" w:type="pct"/>
          <w:tblLook w:val="04A0"/>
        </w:tblPrEx>
        <w:tc>
          <w:tcPr>
            <w:tcW w:w="2500" w:type="pct"/>
            <w:tcBorders>
              <w:right w:val="single" w:sz="4" w:space="0" w:color="auto"/>
            </w:tcBorders>
          </w:tcPr>
          <w:p w:rsidR="00235C63" w:rsidRPr="00417FF7" w:rsidP="00966E44">
            <w:pPr>
              <w:pStyle w:val="CSBody63EN"/>
            </w:pPr>
            <w:r w:rsidRPr="00417FF7">
              <w:t>The applicable Terms and Conditions of Cumulative Reverse Floater Notes may also provide for the application of a Maximum Interest Rate in respect of the Interest Payment Date(s) for which a variable Interest Rate is applicable.</w:t>
            </w:r>
          </w:p>
        </w:tc>
        <w:tc>
          <w:tcPr>
            <w:tcW w:w="2500" w:type="pct"/>
            <w:tcBorders>
              <w:left w:val="single" w:sz="4" w:space="0" w:color="auto"/>
            </w:tcBorders>
          </w:tcPr>
          <w:p w:rsidR="00235C63" w:rsidRPr="00235C63" w:rsidP="00966E44">
            <w:pPr>
              <w:pStyle w:val="CSBody63DE"/>
              <w:rPr>
                <w:lang w:val="de-DE"/>
              </w:rPr>
            </w:pPr>
            <w:r w:rsidRPr="00235C63">
              <w:rPr>
                <w:lang w:val="de-DE"/>
              </w:rPr>
              <w:t>Die anwendbaren Emissionsbedingungen von Cumulative Reverse Floater Notes können auch die Anwendung eines Höchstzinssatzes in Bezug auf den Zinszahlungstag bzw. die Zinszahlungstage vorsehen, für den bzw. die ein variabler Satz gilt.</w:t>
            </w:r>
          </w:p>
        </w:tc>
      </w:tr>
      <w:tr w:rsidTr="0078291D">
        <w:tblPrEx>
          <w:tblW w:w="5000" w:type="pct"/>
          <w:tblLook w:val="04A0"/>
        </w:tblPrEx>
        <w:tc>
          <w:tcPr>
            <w:tcW w:w="2500" w:type="pct"/>
            <w:tcBorders>
              <w:right w:val="single" w:sz="4" w:space="0" w:color="auto"/>
            </w:tcBorders>
          </w:tcPr>
          <w:p w:rsidR="00023DA6" w:rsidRPr="00023DA6" w:rsidP="00966E44">
            <w:pPr>
              <w:pStyle w:val="CSHeading3EN"/>
              <w:rPr>
                <w:lang w:val="de-DE"/>
              </w:rPr>
            </w:pPr>
            <w:bookmarkStart w:id="91" w:name="_Toc438227530"/>
            <w:r w:rsidRPr="00235C63">
              <w:rPr>
                <w:lang w:val="de-DE"/>
              </w:rPr>
              <w:t>Stairway Notes</w:t>
            </w:r>
            <w:bookmarkEnd w:id="91"/>
          </w:p>
        </w:tc>
        <w:tc>
          <w:tcPr>
            <w:tcW w:w="2500" w:type="pct"/>
            <w:tcBorders>
              <w:left w:val="single" w:sz="4" w:space="0" w:color="auto"/>
            </w:tcBorders>
          </w:tcPr>
          <w:p w:rsidR="00023DA6" w:rsidRPr="00023DA6" w:rsidP="00966E44">
            <w:pPr>
              <w:pStyle w:val="CSHeading3DE"/>
              <w:rPr>
                <w:lang w:val="de-DE"/>
              </w:rPr>
            </w:pPr>
            <w:bookmarkStart w:id="92" w:name="_Toc438160278"/>
            <w:r w:rsidRPr="00235C63">
              <w:rPr>
                <w:lang w:val="de-DE"/>
              </w:rPr>
              <w:t>Stairway Notes</w:t>
            </w:r>
            <w:bookmarkEnd w:id="92"/>
          </w:p>
        </w:tc>
      </w:tr>
      <w:tr w:rsidTr="0078291D">
        <w:tblPrEx>
          <w:tblW w:w="5000" w:type="pct"/>
          <w:tblLook w:val="04A0"/>
        </w:tblPrEx>
        <w:tc>
          <w:tcPr>
            <w:tcW w:w="2500" w:type="pct"/>
            <w:tcBorders>
              <w:right w:val="single" w:sz="4" w:space="0" w:color="auto"/>
            </w:tcBorders>
          </w:tcPr>
          <w:p w:rsidR="00235C63" w:rsidRPr="006965D8" w:rsidP="00966E44">
            <w:pPr>
              <w:pStyle w:val="CSBody63EN"/>
            </w:pPr>
            <w:r w:rsidRPr="006965D8">
              <w:t>Stairway Notes allow the Holder thereof to benefit from the payment of multiple Interest Payment Amounts on the relevant Interest Payment Dates, as specified in the applicable Terms and Conditions.</w:t>
            </w:r>
          </w:p>
        </w:tc>
        <w:tc>
          <w:tcPr>
            <w:tcW w:w="2500" w:type="pct"/>
            <w:tcBorders>
              <w:left w:val="single" w:sz="4" w:space="0" w:color="auto"/>
            </w:tcBorders>
          </w:tcPr>
          <w:p w:rsidR="00235C63" w:rsidRPr="00235C63" w:rsidP="00966E44">
            <w:pPr>
              <w:pStyle w:val="CSBody63DE"/>
              <w:rPr>
                <w:lang w:val="de-DE"/>
              </w:rPr>
            </w:pPr>
            <w:r w:rsidRPr="00235C63">
              <w:rPr>
                <w:lang w:val="de-DE"/>
              </w:rPr>
              <w:t>Stairway Notes ermöglichen es ihrem Inhaber, die Zahlung mehrerer Zinszahlungsbeträge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235C63" w:rsidRPr="006965D8" w:rsidP="00966E44">
            <w:pPr>
              <w:pStyle w:val="CSBody63EN"/>
            </w:pPr>
            <w:r w:rsidRPr="006965D8">
              <w:t>In case of Stairway Notes, the applicable Terms and Conditions will provide that the Interest Rate on the basis of which the Interest Payment Amount for one or more of the initial Interest Payment Dates is calculated will be equal to a fixed rate per annum.</w:t>
            </w:r>
          </w:p>
        </w:tc>
        <w:tc>
          <w:tcPr>
            <w:tcW w:w="2500" w:type="pct"/>
            <w:tcBorders>
              <w:left w:val="single" w:sz="4" w:space="0" w:color="auto"/>
            </w:tcBorders>
          </w:tcPr>
          <w:p w:rsidR="00235C63" w:rsidRPr="00235C63" w:rsidP="00966E44">
            <w:pPr>
              <w:pStyle w:val="CSBody63DE"/>
              <w:rPr>
                <w:lang w:val="de-DE"/>
              </w:rPr>
            </w:pPr>
            <w:r w:rsidRPr="00235C63">
              <w:rPr>
                <w:lang w:val="de-DE"/>
              </w:rPr>
              <w:t>Bei Stairway Notes sehen die anwendbaren Emissionsbedingungen vor, dass der Zinssatz, auf dessen Grundlage die Zinszahlungsbeträge für die Stairway Notes berechnet werden, einem Festsatz per annum für eine oder mehrere der anfänglichen Zinszahlungstage entspricht.</w:t>
            </w:r>
          </w:p>
        </w:tc>
      </w:tr>
      <w:tr w:rsidTr="0078291D">
        <w:tblPrEx>
          <w:tblW w:w="5000" w:type="pct"/>
          <w:tblLook w:val="04A0"/>
        </w:tblPrEx>
        <w:tc>
          <w:tcPr>
            <w:tcW w:w="2500" w:type="pct"/>
            <w:tcBorders>
              <w:right w:val="single" w:sz="4" w:space="0" w:color="auto"/>
            </w:tcBorders>
          </w:tcPr>
          <w:p w:rsidR="00235C63" w:rsidRPr="006965D8" w:rsidP="00966E44">
            <w:pPr>
              <w:pStyle w:val="CSBody63EN"/>
            </w:pPr>
            <w:r w:rsidRPr="006965D8">
              <w:t>The Interest Payment Amounts payable on the subsequent Interest Payment Dates will be calculated on the basis of a variable Interest Rate. Such variable Interest Rate will be equal to the lesser of (i) the relevant Maximum Interest Rate (which is equal to the Interest Rate applicable to the immediately preceding Interest Payment Date, plus the fixed rate (spread) per annum specified in the applicable Terms and Conditions) and (ii) the greater of (a) the Reference Rate (</w:t>
            </w:r>
            <w:r w:rsidRPr="007E3558" w:rsidR="007E3558">
              <w:rPr>
                <w:i/>
              </w:rPr>
              <w:t>i.e.</w:t>
            </w:r>
            <w:r w:rsidRPr="006965D8">
              <w:t>, a variable rate of interest) on the relevant Interest Determination Date or, if so specified in the applicable Terms and Conditions, the sum of the Reference Rate on the relevant Interest Determination Date and the fixed rate (spread) per annum specified in the applicable Terms and Conditions, and (b) the relevant Minimum Interest Rate (which is equal to the Interest Rate applicable to the immediately preceding Interest Payment Date, plus, if so specified in the applicable Terms and Conditions, the specified fixed rate (spread) per annum). Consequently, the profit potential in relation to Stairway Notes is capped.</w:t>
            </w:r>
          </w:p>
        </w:tc>
        <w:tc>
          <w:tcPr>
            <w:tcW w:w="2500" w:type="pct"/>
            <w:tcBorders>
              <w:left w:val="single" w:sz="4" w:space="0" w:color="auto"/>
            </w:tcBorders>
          </w:tcPr>
          <w:p w:rsidR="00235C63" w:rsidRPr="00235C63" w:rsidP="00966E44">
            <w:pPr>
              <w:pStyle w:val="CSBody63DE"/>
              <w:rPr>
                <w:lang w:val="de-DE"/>
              </w:rPr>
            </w:pPr>
            <w:r w:rsidRPr="00235C63">
              <w:rPr>
                <w:lang w:val="de-DE"/>
              </w:rPr>
              <w:t>Die Zinszahlungsbeträge, die an den darauffolgenden Zinszahlungstagen zahlbar sind, werden auf der Grundlage eines variablen Zinssatzes berechnet. Dieser variable Zinssatz entspricht dem kleineren der folgenden Beträge: (i) der jeweilige Höchstzinssatz (der dem Zinssatz entspricht, der am unmittelbar vorangegangenen Zinszahlungstag Anwendung gefunden hat, zuzüglich des in den anwendbaren Emissionsbedingungen angegebenen Festsatzes (Spread) per annum) und (ii) der grössere der folgenden Beträge: (a) der Referenzsatz (d.h. ein variabler Zinssatz) am jeweiligen Zinsfeststellungstag oder, falls in den anwendbaren Emissionsbedingungen vorgesehen, die Summe aus dem Referenzsatz am jeweiligen Zinsfeststellungstag und dem in den anwendbaren Emissionsbedingungen angegebenen Festsatz (Spread) per annum, und (b) der jeweilige Mindestzinssatz (der dem Zinssatz entspricht, der am unmittelbar vorangegangenen Zinszahlungstag Anwendung gefunden hat, zuzüglich des in den anwendbaren Emissionsbedingungen angegebenen Festsatzes (Spread) per annum). Folglich ist das Gewinnpotenzial bei Stairway Notes nach oben hin begrenzt.</w:t>
            </w:r>
          </w:p>
        </w:tc>
      </w:tr>
      <w:tr w:rsidTr="0078291D">
        <w:tblPrEx>
          <w:tblW w:w="5000" w:type="pct"/>
          <w:tblLook w:val="04A0"/>
        </w:tblPrEx>
        <w:tc>
          <w:tcPr>
            <w:tcW w:w="2500" w:type="pct"/>
            <w:tcBorders>
              <w:right w:val="single" w:sz="4" w:space="0" w:color="auto"/>
            </w:tcBorders>
          </w:tcPr>
          <w:p w:rsidR="00023DA6" w:rsidRPr="00235C63" w:rsidP="00966E44">
            <w:pPr>
              <w:pStyle w:val="CSHeading3EN"/>
            </w:pPr>
            <w:bookmarkStart w:id="93" w:name="_Toc438227531"/>
            <w:r w:rsidRPr="00235C63">
              <w:t>Inverse Floating Rate Notes</w:t>
            </w:r>
            <w:bookmarkEnd w:id="93"/>
          </w:p>
        </w:tc>
        <w:tc>
          <w:tcPr>
            <w:tcW w:w="2500" w:type="pct"/>
            <w:tcBorders>
              <w:left w:val="single" w:sz="4" w:space="0" w:color="auto"/>
            </w:tcBorders>
          </w:tcPr>
          <w:p w:rsidR="00023DA6" w:rsidRPr="00235C63" w:rsidP="00966E44">
            <w:pPr>
              <w:pStyle w:val="CSHeading3DE"/>
            </w:pPr>
            <w:bookmarkStart w:id="94" w:name="_Toc438160279"/>
            <w:r w:rsidRPr="00235C63">
              <w:t>Inverse Floating Rate Notes</w:t>
            </w:r>
            <w:bookmarkEnd w:id="94"/>
          </w:p>
        </w:tc>
      </w:tr>
      <w:tr w:rsidTr="0078291D">
        <w:tblPrEx>
          <w:tblW w:w="5000" w:type="pct"/>
          <w:tblLook w:val="04A0"/>
        </w:tblPrEx>
        <w:tc>
          <w:tcPr>
            <w:tcW w:w="2500" w:type="pct"/>
            <w:tcBorders>
              <w:right w:val="single" w:sz="4" w:space="0" w:color="auto"/>
            </w:tcBorders>
          </w:tcPr>
          <w:p w:rsidR="00235C63" w:rsidRPr="00046A4E" w:rsidP="00966E44">
            <w:pPr>
              <w:pStyle w:val="CSBody63EN"/>
            </w:pPr>
            <w:r w:rsidRPr="00046A4E">
              <w:t>Inverse Floating Rate Notes allow the Holder thereof to benefit from the payment of one or more Interest Payment Amounts on the relevant Interest Payment Date(s), as specified in the applicable Terms and Conditions.</w:t>
            </w:r>
          </w:p>
        </w:tc>
        <w:tc>
          <w:tcPr>
            <w:tcW w:w="2500" w:type="pct"/>
            <w:tcBorders>
              <w:left w:val="single" w:sz="4" w:space="0" w:color="auto"/>
            </w:tcBorders>
          </w:tcPr>
          <w:p w:rsidR="00235C63" w:rsidRPr="00235C63" w:rsidP="00966E44">
            <w:pPr>
              <w:pStyle w:val="CSBody63DE"/>
              <w:rPr>
                <w:lang w:val="de-DE"/>
              </w:rPr>
            </w:pPr>
            <w:r w:rsidRPr="00235C63">
              <w:rPr>
                <w:lang w:val="de-DE"/>
              </w:rPr>
              <w:t>Inverse Floating Rate Notes ermöglichen es ihrem Inhaber, die Zahlung eines oder mehrerer Zinszahlungsbeträge am jeweiligen Zinszahlungstag bzw.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235C63" w:rsidRPr="00046A4E" w:rsidP="00966E44">
            <w:pPr>
              <w:pStyle w:val="CSBody63EN"/>
            </w:pPr>
            <w:r w:rsidRPr="00046A4E">
              <w:t>In case of Inverse Floating Rate Notes, the applicable Terms and Conditions may provide that the Interest Rate on the basis of which the Interest Payment Amount for one or more of the initial Interest Payment Dates (the "</w:t>
            </w:r>
            <w:r w:rsidRPr="00966E44">
              <w:rPr>
                <w:b/>
              </w:rPr>
              <w:t>Fixed Interest Payment Dates</w:t>
            </w:r>
            <w:r w:rsidRPr="00046A4E">
              <w:t>") is calculated will be equal to a fixed rate per annum.</w:t>
            </w:r>
          </w:p>
        </w:tc>
        <w:tc>
          <w:tcPr>
            <w:tcW w:w="2500" w:type="pct"/>
            <w:tcBorders>
              <w:left w:val="single" w:sz="4" w:space="0" w:color="auto"/>
            </w:tcBorders>
          </w:tcPr>
          <w:p w:rsidR="00235C63" w:rsidRPr="00235C63" w:rsidP="00966E44">
            <w:pPr>
              <w:pStyle w:val="CSBody63DE"/>
              <w:rPr>
                <w:lang w:val="de-DE"/>
              </w:rPr>
            </w:pPr>
            <w:r w:rsidRPr="00235C63">
              <w:rPr>
                <w:lang w:val="de-DE"/>
              </w:rPr>
              <w:t>Bei Inverse Floating Rate Notes können die anwendbaren Emissionsbedingungen vorsehen, dass der Zinssatz, auf dessen Grundlage der Zinszahlungsbetrag für einen oder mehrere der anfänglichen Zinszahlungstage (die "</w:t>
            </w:r>
            <w:r w:rsidRPr="004006A1">
              <w:rPr>
                <w:b/>
                <w:lang w:val="de-DE"/>
              </w:rPr>
              <w:t>Zahlungstage für Festzinsen</w:t>
            </w:r>
            <w:r w:rsidRPr="00235C63">
              <w:rPr>
                <w:lang w:val="de-DE"/>
              </w:rPr>
              <w:t>") berechnet wird, einem Festsatz per annum entspricht.</w:t>
            </w:r>
          </w:p>
        </w:tc>
      </w:tr>
      <w:tr w:rsidTr="0078291D">
        <w:tblPrEx>
          <w:tblW w:w="5000" w:type="pct"/>
          <w:tblLook w:val="04A0"/>
        </w:tblPrEx>
        <w:tc>
          <w:tcPr>
            <w:tcW w:w="2500" w:type="pct"/>
            <w:tcBorders>
              <w:right w:val="single" w:sz="4" w:space="0" w:color="auto"/>
            </w:tcBorders>
          </w:tcPr>
          <w:p w:rsidR="00235C63" w:rsidRPr="00403E06" w:rsidP="00966E44">
            <w:pPr>
              <w:pStyle w:val="CSBody63EN"/>
            </w:pPr>
            <w:r w:rsidRPr="00403E06">
              <w:t>The Interest Payment Amount payable on each Interest Payment Date (other than Fixed Interest Payment Dates, if any), will be calculated on the basis of a variable Interest Rate. Such variable Interest Rate will be equal to the relevant Spread Rate (</w:t>
            </w:r>
            <w:r w:rsidRPr="007E3558" w:rsidR="007E3558">
              <w:rPr>
                <w:i/>
              </w:rPr>
              <w:t>i.e.</w:t>
            </w:r>
            <w:r w:rsidRPr="00403E06">
              <w:t>, a fixed rate per annum specified in the applicable Terms and Conditions) less the Reference Rate (</w:t>
            </w:r>
            <w:r w:rsidRPr="007E3558" w:rsidR="007E3558">
              <w:rPr>
                <w:i/>
              </w:rPr>
              <w:t>i.e.</w:t>
            </w:r>
            <w:r w:rsidRPr="00403E06">
              <w:t>, a variable rate of interest) on the relevant Interest Determination Date or, if so specified in the applicable Terms and Conditions, less the sum of the Reference Rate on the relevant Interest Determination Date and the fixed rate (spread) per annum specified in the Terms and Conditions. Consequently, the lower the value of the Reference Rate on the relevant Interest Determination Date (if applicable, plus the fixed rate (spread) per annum specified in the applicable Terms and Conditions) is in comparison to the value of the Spread Rate, the higher the applicable Interest Rate and resulting Interest Payment Amount will be. Conversely, the higher the value of the Reference Rate on the Interest Determination Date is (if applicable, plus the fixed rate (spread) per annum specified in the applicable Terms and Conditions), the lower the applicable Interest Rate and resulting Interest Payment Amount will be. If the value of the Reference Rate on each Interest Determination Date (if applicable, plus the fixed rate (spread) per annum specified in the applicable Terms and Conditions) is equal to or above the relevant Spread Rate (</w:t>
            </w:r>
            <w:r w:rsidRPr="007E3558" w:rsidR="007E3558">
              <w:rPr>
                <w:i/>
              </w:rPr>
              <w:t>i.e.</w:t>
            </w:r>
            <w:r w:rsidRPr="00403E06">
              <w:t>, if the difference between the relevant Spread Rate and the Reference Rate (if applicable, plus the fixed rate (spread) per annum specified in the applicable Terms and Conditions) is equal to zero or a negative amount), the applicable Interest Rate and resulting Interest Payment Amount for each Interest Payment Date will be zero, subject to a Minimum Interest Rate if provided for in the applicable Terms and Conditions.</w:t>
            </w:r>
          </w:p>
        </w:tc>
        <w:tc>
          <w:tcPr>
            <w:tcW w:w="2500" w:type="pct"/>
            <w:tcBorders>
              <w:left w:val="single" w:sz="4" w:space="0" w:color="auto"/>
            </w:tcBorders>
          </w:tcPr>
          <w:p w:rsidR="00235C63" w:rsidRPr="00235C63" w:rsidP="00AE1111">
            <w:pPr>
              <w:pStyle w:val="CSBody63DE"/>
              <w:rPr>
                <w:lang w:val="de-DE"/>
              </w:rPr>
            </w:pPr>
            <w:r w:rsidRPr="00235C63">
              <w:rPr>
                <w:lang w:val="de-DE"/>
              </w:rPr>
              <w:t xml:space="preserve">Der Zinszahlungsbetrag, der an jedem Zinszahlungstag zahlbar ist (ausser an Zahlungstagen für Festzinsen, falls vorgesehen), wird auf der Grundlage eines variablen Zinssatzes berechnet. Dieser variable Zinssatz entspricht dem jeweiligen Spreadsatz (d.h., einem in den anwendbaren Emissionsbedingungen angegebenen Festsatz per annum) abzüglich des Referenzsatzes (d.h. einem variablen Zinssatz) am jeweiligen Zinsfeststellungstag oder, falls in den anwendbaren Emissionsbedingungen vorgesehen, abzüglich der Summe aus dem Referenzsatz am jeweiligen Zinsfeststellungstag und einem in den anwendbaren Emissionsbedingungen angegebenen Festsatz (Spread) per annum. Folglich gilt: je niedriger der Wert des Referenzsatzes am jeweiligen Zinsfeststellungstag (falls anwendbar, zuzüglich des in den anwendbaren Emissionsbedingungen angegebenen Festsatzes (Spread) per annum) im Vergleich zum Wert des Spreadsatz ist, desto höher ist der anwendbare Zinssatz und der resultierende Zinszahlungsbetrag. Umgekehrt gilt: je höher der Wert des Referenzsatzes am Zinsfeststellungstag (falls anwendbar, zuzüglich des in den anwendbaren Emissionsbedingungen angegebenen Festsatzes (Spread) per annum) ist, desto niedriger fällt der anwendbare Zinssatz und der resultierende Zinszahlungsbetrag aus. Falls der Wert des Referenzsatzes an jedem Zinsfeststellungstag (falls anwendbar, zuzüglich des in den anwendbaren Emissionsbedingungen angegebenen Festsatzes (Spread) per annum) dem jeweiligen Spread-satz entspricht oder über diesem liegt (d.h., falls die Differenz zwischen dem jeweiligen Spreadsatz und dem Referenzsatz (falls anwendbar, zuzüglich des in den anwendbaren Emissionsbedingungen angegebenen Festsatzes (Spread) per annum) null oder einem negativen Betrag entspricht), wird der anwendbare Zinssatz und der resultierende Zinszahlungsbetrag an jedem Zinszahlungstag </w:t>
            </w:r>
            <w:r w:rsidRPr="00AE1111" w:rsidR="00AE1111">
              <w:rPr>
                <w:lang w:val="de-DE"/>
              </w:rPr>
              <w:noBreakHyphen/>
            </w:r>
            <w:r w:rsidRPr="00235C63">
              <w:rPr>
                <w:lang w:val="de-DE"/>
              </w:rPr>
              <w:t xml:space="preserve"> vorbehaltlich eines in den anwendbaren Emissionsbedingungen vorgesehenen Mindestzinssatzes </w:t>
            </w:r>
            <w:r w:rsidRPr="00AE1111" w:rsidR="00AE1111">
              <w:rPr>
                <w:lang w:val="de-DE"/>
              </w:rPr>
              <w:noBreakHyphen/>
            </w:r>
            <w:r w:rsidRPr="00235C63">
              <w:rPr>
                <w:lang w:val="de-DE"/>
              </w:rPr>
              <w:t xml:space="preserve"> null betragen.</w:t>
            </w:r>
          </w:p>
        </w:tc>
      </w:tr>
      <w:tr w:rsidTr="0078291D">
        <w:tblPrEx>
          <w:tblW w:w="5000" w:type="pct"/>
          <w:tblLook w:val="04A0"/>
        </w:tblPrEx>
        <w:tc>
          <w:tcPr>
            <w:tcW w:w="2500" w:type="pct"/>
            <w:tcBorders>
              <w:right w:val="single" w:sz="4" w:space="0" w:color="auto"/>
            </w:tcBorders>
          </w:tcPr>
          <w:p w:rsidR="00235C63" w:rsidRPr="00235C63" w:rsidP="00966E44">
            <w:pPr>
              <w:pStyle w:val="CSHeading3EN"/>
              <w:rPr>
                <w:lang w:val="de-DE"/>
              </w:rPr>
            </w:pPr>
            <w:bookmarkStart w:id="95" w:name="_Toc438227532"/>
            <w:r w:rsidRPr="00235C63">
              <w:rPr>
                <w:lang w:val="de-DE"/>
              </w:rPr>
              <w:t>Spread-Linked Notes</w:t>
            </w:r>
            <w:bookmarkEnd w:id="95"/>
          </w:p>
        </w:tc>
        <w:tc>
          <w:tcPr>
            <w:tcW w:w="2500" w:type="pct"/>
            <w:tcBorders>
              <w:left w:val="single" w:sz="4" w:space="0" w:color="auto"/>
            </w:tcBorders>
          </w:tcPr>
          <w:p w:rsidR="00235C63" w:rsidRPr="00235C63" w:rsidP="00966E44">
            <w:pPr>
              <w:pStyle w:val="CSHeading3DE"/>
              <w:rPr>
                <w:lang w:val="de-DE"/>
              </w:rPr>
            </w:pPr>
            <w:bookmarkStart w:id="96" w:name="_Toc438160280"/>
            <w:r w:rsidRPr="00235C63">
              <w:rPr>
                <w:lang w:val="de-DE"/>
              </w:rPr>
              <w:t>Spread-Linked Notes</w:t>
            </w:r>
            <w:bookmarkEnd w:id="96"/>
          </w:p>
        </w:tc>
      </w:tr>
      <w:tr w:rsidTr="0078291D">
        <w:tblPrEx>
          <w:tblW w:w="5000" w:type="pct"/>
          <w:tblLook w:val="04A0"/>
        </w:tblPrEx>
        <w:tc>
          <w:tcPr>
            <w:tcW w:w="2500" w:type="pct"/>
            <w:tcBorders>
              <w:right w:val="single" w:sz="4" w:space="0" w:color="auto"/>
            </w:tcBorders>
          </w:tcPr>
          <w:p w:rsidR="00235C63" w:rsidRPr="006A1AD8" w:rsidP="00966E44">
            <w:pPr>
              <w:pStyle w:val="CSBody63EN"/>
            </w:pPr>
            <w:r w:rsidRPr="006A1AD8">
              <w:t>Spread-Linked Notes allow the Holder thereof to benefit from the payment of one or more Interest Payment Amounts on the relevant Interest Payment Date(s), as specified in the applicable Terms and Conditions.</w:t>
            </w:r>
          </w:p>
        </w:tc>
        <w:tc>
          <w:tcPr>
            <w:tcW w:w="2500" w:type="pct"/>
            <w:tcBorders>
              <w:left w:val="single" w:sz="4" w:space="0" w:color="auto"/>
            </w:tcBorders>
          </w:tcPr>
          <w:p w:rsidR="00235C63" w:rsidRPr="00235C63" w:rsidP="00966E44">
            <w:pPr>
              <w:pStyle w:val="CSBody63DE"/>
              <w:rPr>
                <w:lang w:val="de-DE"/>
              </w:rPr>
            </w:pPr>
            <w:r w:rsidRPr="00235C63">
              <w:rPr>
                <w:lang w:val="de-DE"/>
              </w:rPr>
              <w:t>Spread-Linked Notes ermöglichen es ihrem Inhaber, die Zahlung eines oder mehrerer Zinszahlungsbeträge am jeweiligen Zinszahlungstag bzw.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235C63" w:rsidRPr="006A1AD8" w:rsidP="004006A1">
            <w:pPr>
              <w:pStyle w:val="CSBody63EN"/>
            </w:pPr>
            <w:r w:rsidRPr="006A1AD8">
              <w:t>In case of Spread-Linked Notes, the applicable Terms and Conditions may provide that the Interest Rate on the basis of which the Interest Payment Amount for one or more of the initial Interest Payment Dates (the "</w:t>
            </w:r>
            <w:r w:rsidRPr="004006A1">
              <w:rPr>
                <w:b/>
              </w:rPr>
              <w:t>Fixed Interest Payment Dates</w:t>
            </w:r>
            <w:r w:rsidRPr="006A1AD8">
              <w:t>") is calculated will be equal to a fixed rate per annum.</w:t>
            </w:r>
          </w:p>
        </w:tc>
        <w:tc>
          <w:tcPr>
            <w:tcW w:w="2500" w:type="pct"/>
            <w:tcBorders>
              <w:left w:val="single" w:sz="4" w:space="0" w:color="auto"/>
            </w:tcBorders>
          </w:tcPr>
          <w:p w:rsidR="00235C63" w:rsidRPr="00235C63" w:rsidP="00966E44">
            <w:pPr>
              <w:pStyle w:val="CSBody63DE"/>
              <w:rPr>
                <w:lang w:val="de-DE"/>
              </w:rPr>
            </w:pPr>
            <w:r w:rsidRPr="00235C63">
              <w:rPr>
                <w:lang w:val="de-DE"/>
              </w:rPr>
              <w:t>Bei Spread-Linked Notes können die anwendbaren Emissionsbedingungen vorsehen, dass der Zinssatz, auf dessen Grundlage der Zinszahlungsbetrag für einen oder mehrere der anfänglichen Zinszahlungstage (die "</w:t>
            </w:r>
            <w:r w:rsidRPr="004006A1">
              <w:rPr>
                <w:b/>
                <w:lang w:val="de-DE"/>
              </w:rPr>
              <w:t>Zahlungstage für Festzinsen</w:t>
            </w:r>
            <w:r w:rsidRPr="00235C63">
              <w:rPr>
                <w:lang w:val="de-DE"/>
              </w:rPr>
              <w:t>") berechnet wird, einem Festsatz per annum entspricht.</w:t>
            </w:r>
          </w:p>
        </w:tc>
      </w:tr>
      <w:tr w:rsidTr="0078291D">
        <w:tblPrEx>
          <w:tblW w:w="5000" w:type="pct"/>
          <w:tblLook w:val="04A0"/>
        </w:tblPrEx>
        <w:tc>
          <w:tcPr>
            <w:tcW w:w="2500" w:type="pct"/>
            <w:tcBorders>
              <w:right w:val="single" w:sz="4" w:space="0" w:color="auto"/>
            </w:tcBorders>
          </w:tcPr>
          <w:p w:rsidR="00235C63" w:rsidRPr="006A1AD8" w:rsidP="00966E44">
            <w:pPr>
              <w:pStyle w:val="CSBody63EN"/>
            </w:pPr>
            <w:r w:rsidRPr="006A1AD8">
              <w:t>The Interest Payment Amount payable on each Interest Payment Date (other than Fixed Interest Payment Dates, if any), will be calculated on the basis of a variable Interest Rate. Such variable Interest Rate will be dependent upon the difference between the value of Reference Rate 1 and the value of Reference Rate 2 (</w:t>
            </w:r>
            <w:r w:rsidRPr="007E3558" w:rsidR="007E3558">
              <w:rPr>
                <w:i/>
              </w:rPr>
              <w:t>i.e.</w:t>
            </w:r>
            <w:r w:rsidRPr="006A1AD8">
              <w:t xml:space="preserve">, the difference between two variable interest rates) on the relevant Interest Determination Date. The applicable Terms and Conditions will further provide that, in order to determine the applicable variable Interest Rate, the difference between the values of Reference Rate 1 and Reference Rate 2 will be either (i) multiplied by the Participation, which is a multiplier with the value specified in the applicable Terms and Conditions, or (ii) added to the fixed rate (spread) per annum specified in the applicable Terms and Conditions. Consequently, the greater the positive difference between Reference Rate 1 and Reference Rate 2 is, the higher the applicable Interest Rate and resulting Interest Payment Amount will be. If, however, the Reference Rates converge or if the value of Reference Rate 2 is above the value of Reference Rate 1, the applicable Interest Rate may be equal to zero. Depending on the actual difference between the values of the two Reference Rates, the applicable Interest Rate (and the resulting Interest Payment Amount) may be very low even if both Reference Rates develop positively over the relevant interest period. </w:t>
            </w:r>
          </w:p>
        </w:tc>
        <w:tc>
          <w:tcPr>
            <w:tcW w:w="2500" w:type="pct"/>
            <w:tcBorders>
              <w:left w:val="single" w:sz="4" w:space="0" w:color="auto"/>
            </w:tcBorders>
          </w:tcPr>
          <w:p w:rsidR="00235C63" w:rsidRPr="00235C63" w:rsidP="00966E44">
            <w:pPr>
              <w:pStyle w:val="CSBody63DE"/>
              <w:rPr>
                <w:lang w:val="de-DE"/>
              </w:rPr>
            </w:pPr>
            <w:r w:rsidRPr="00235C63">
              <w:rPr>
                <w:lang w:val="de-DE"/>
              </w:rPr>
              <w:t>Der Zinszahlungsbetrag, der an jedem Zinszahlungstag zahlbar ist (ausser an Zahlungstagen für Festzinsen, falls vorgesehen), wird auf der Grundlage eines variablen Zinssatzes berechnet. Dieser variable Zinssatz entspricht der Differenz aus dem Wert des Referenzsatzes 1 und dem Wert des Referenzsatzes 2 (d.h., der Differenz zwischen zwei variablen Zinssätzen) am jeweiligen Zinsfeststellungstag. Die anwendbaren Emissionsbedingungen sehen darüber hinaus vor, dass für die Feststellung des anwendbaren variablen Zinsssatzes die Differenz aus den Werten von Referenzsatz 1 und Referenzsatz 2 entweder (i) mit der Partizipation, bei der es sich um einen Multiplikator mit dem in den anwendbaren Emissionsbedingungen angegebenen Wert handelt, multipliziert wird, oder (ii) zu dem in den anwendbaren Emissionsbedingungen angegebenen Festsatz (Spread) per annum addiert wird. Folglich gilt: je grösser die positive Differenz zwischen Referenzsatz 1 und Referenzsatz 2 ist, desto höher wird der anwendbare Zinssatz und der resultierende Zinszahlungsbetrag sein. Falls sich allerdings die Referenzsätze annähern oder falls der Wert von Referenzsatz 2 über dem Wert von Referenzsatz 1 liegt, kann der anwendbare Zinssatz null betragen. Abhängig von der tatsächlichen Differenz zwischen den Werten der beiden Referenzsätze kann der anwendbare Zinssatz (und der resultierende Zinszahlungsbetrag) selbst dann sehr gering sein kann, wenn sich beide Referenzsätze während der betreffenden Zinsperiode positiv entwickeln.</w:t>
            </w:r>
          </w:p>
        </w:tc>
      </w:tr>
      <w:tr w:rsidTr="0078291D">
        <w:tblPrEx>
          <w:tblW w:w="5000" w:type="pct"/>
          <w:tblLook w:val="04A0"/>
        </w:tblPrEx>
        <w:tc>
          <w:tcPr>
            <w:tcW w:w="2500" w:type="pct"/>
            <w:tcBorders>
              <w:right w:val="single" w:sz="4" w:space="0" w:color="auto"/>
            </w:tcBorders>
          </w:tcPr>
          <w:p w:rsidR="00235C63" w:rsidRPr="00235C63" w:rsidP="004006A1">
            <w:pPr>
              <w:pStyle w:val="CSHeading3EN"/>
              <w:rPr>
                <w:lang w:val="de-DE"/>
              </w:rPr>
            </w:pPr>
            <w:bookmarkStart w:id="97" w:name="_Toc438227533"/>
            <w:r w:rsidRPr="00235C63">
              <w:rPr>
                <w:lang w:val="de-DE"/>
              </w:rPr>
              <w:t>Range Accrual Notes</w:t>
            </w:r>
            <w:bookmarkEnd w:id="97"/>
          </w:p>
        </w:tc>
        <w:tc>
          <w:tcPr>
            <w:tcW w:w="2500" w:type="pct"/>
            <w:tcBorders>
              <w:left w:val="single" w:sz="4" w:space="0" w:color="auto"/>
            </w:tcBorders>
          </w:tcPr>
          <w:p w:rsidR="00235C63" w:rsidRPr="00235C63" w:rsidP="004006A1">
            <w:pPr>
              <w:pStyle w:val="CSHeading3DE"/>
              <w:rPr>
                <w:lang w:val="de-DE"/>
              </w:rPr>
            </w:pPr>
            <w:bookmarkStart w:id="98" w:name="_Toc438160281"/>
            <w:r w:rsidRPr="00235C63">
              <w:rPr>
                <w:lang w:val="de-DE"/>
              </w:rPr>
              <w:t>Range Accrual Notes</w:t>
            </w:r>
            <w:bookmarkEnd w:id="98"/>
          </w:p>
        </w:tc>
      </w:tr>
      <w:tr w:rsidTr="0078291D">
        <w:tblPrEx>
          <w:tblW w:w="5000" w:type="pct"/>
          <w:tblLook w:val="04A0"/>
        </w:tblPrEx>
        <w:tc>
          <w:tcPr>
            <w:tcW w:w="2500" w:type="pct"/>
            <w:tcBorders>
              <w:right w:val="single" w:sz="4" w:space="0" w:color="auto"/>
            </w:tcBorders>
          </w:tcPr>
          <w:p w:rsidR="00235C63" w:rsidRPr="00333FDA" w:rsidP="004006A1">
            <w:pPr>
              <w:pStyle w:val="CSBody63EN"/>
            </w:pPr>
            <w:r w:rsidRPr="00333FDA">
              <w:t>Range Accrual Notes allow the Holder thereof to benefit from the payment of one or more Interest Payment Amounts on the relevant Interest Payment Date(s), as specified in the applicable Terms and Conditions.</w:t>
            </w:r>
          </w:p>
        </w:tc>
        <w:tc>
          <w:tcPr>
            <w:tcW w:w="2500" w:type="pct"/>
            <w:tcBorders>
              <w:left w:val="single" w:sz="4" w:space="0" w:color="auto"/>
            </w:tcBorders>
          </w:tcPr>
          <w:p w:rsidR="00235C63" w:rsidRPr="00235C63" w:rsidP="004006A1">
            <w:pPr>
              <w:pStyle w:val="CSBody63DE"/>
              <w:rPr>
                <w:lang w:val="de-DE"/>
              </w:rPr>
            </w:pPr>
            <w:r w:rsidRPr="00235C63">
              <w:rPr>
                <w:lang w:val="de-DE"/>
              </w:rPr>
              <w:t>Range Accrual Notes ermöglichen es ihrem Inhaber, die Zahlung eines oder mehrerer Zinszahlungsbeträge am jeweiligen Zinszahlungstag bzw.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235C63" w:rsidRPr="00333FDA" w:rsidP="004006A1">
            <w:pPr>
              <w:pStyle w:val="CSBody63EN"/>
            </w:pPr>
            <w:r w:rsidRPr="00333FDA">
              <w:t>In case of Range Accrual Notes the Interest Rate on the basis of which the Interest Payment Amount(s) is/are calculated will be dependent upon the number of Barrier Observation Dates during the relevant interest period on which the value of the Reference Rate (</w:t>
            </w:r>
            <w:r w:rsidRPr="007E3558" w:rsidR="007E3558">
              <w:rPr>
                <w:i/>
              </w:rPr>
              <w:t>i.e.</w:t>
            </w:r>
            <w:r w:rsidRPr="00333FDA">
              <w:t>, a variable rate of interest) breaches (or, if specified in the applicable Terms and Conditions, reaches) either (i) the Barrier or (ii) the Lower Barrier or Upper Barrier, as specified in the applicable Terms and Conditions. A breach of the Barrier or of the Lower Barrier or Upper Barrier, as applicable, will be deemed to have occurred if the Reference Rate is above or below (whichever is specified in the applicable Terms and Conditions) the relevant barrier. The Barrier or the Lower Barrier or Upper Barrier, as applicable, will be reached if the Reference Rate is equal to the Barrier, the Lower Barrier or the Upper Barrier, as applicable. The relevant Interest Rate of Range Accrual Notes will then be determined by multiplying (i) the number of Barrier Observation Dates during the relevant interest period on which such Barrier was not, or such Lower Barrier or Upper Barrier were not, breached (or, if specified in the applicable Terms and Conditions, reached), divided by the total number of Barrier Observation Dates during the relevant interest period, by (ii) the fixed rate (spread) per annum specified in the applicable Terms and Conditions. Consequently, the smaller the number of Barrier Observation Dates on which such Barrier is, or such Lower Barrier or Upper Barrier are, breached (or, if specified in the applicable Terms and Conditions, reached), the higher the applicable Interest Rate and resulting Interest Payment Amount will be. Conversely, the greater the number of Barrier Observation Dates on which such Barrier is, or such Lower Barrier or Upper Barrier are, breached (or, if specified in the applicable Terms and Conditions, reached), the lower the applicable Interest Rate and resulting Interest Payment Amount will be. If such Barrier is, or such Lower Barrier or Upper Barrier are, breached (or, if specified in the applicable Terms and Conditions, reached) on each Barrier Observation Date, the applicable Interest Rate, and resulting Interest Payment Amount, will be zero.</w:t>
            </w:r>
          </w:p>
        </w:tc>
        <w:tc>
          <w:tcPr>
            <w:tcW w:w="2500" w:type="pct"/>
            <w:tcBorders>
              <w:left w:val="single" w:sz="4" w:space="0" w:color="auto"/>
            </w:tcBorders>
          </w:tcPr>
          <w:p w:rsidR="00235C63" w:rsidRPr="00235C63" w:rsidP="004006A1">
            <w:pPr>
              <w:pStyle w:val="CSBody63DE"/>
              <w:rPr>
                <w:lang w:val="de-DE"/>
              </w:rPr>
            </w:pPr>
            <w:r w:rsidRPr="00235C63">
              <w:rPr>
                <w:lang w:val="de-DE"/>
              </w:rPr>
              <w:t>Bei Range Accrual Notes hängt der Zinssatz, auf dessen Grundlage der Zinszahlungsbetrag bzw. die Zinszahlungsbeträge berechnet wird/werden, von der Anzahl der Barriere-Beobachtungstage während der jeweiligen Zinsperiode ab, an denen der Wert des Referenzsatzes (d.h., ein variabler Zinssatz), entweder, wie in den anwendbaren Emissionsbedingungen vorgesehen, (i) die Barriere oder (ii) die Untere Barriere bzw. Obere Barriere verletzt (oder diese erreicht, wenn dies in den anwendbaren Emissionsbedingungen vorgesehen ist). Ein Verletzen der Barriere bzw. der Unteren Barriere oder der Oberen Barriere liegt vor, wenn der Referenzsatz oberhalb oder unterhalb (je nachdem, was in den anwendbaren Emissionsbedingungen vorgesehen ist) der jeweiligen Barriere liegt. Ein Erreichen der Barriere bzw. der Unteren Barriere oder der Oberen Barriere liegt vor, wenn der Referenzsatz der Barriere oder der Unteren Barriere bzw. der Oberen Barriere entspricht. Der jeweilige Zinssatz von Range Accrual Notes wird dann bestimmt, indem (i) die Anzahl der Barriere-Beobachtungstage während der jeweiligen Zinsperiode, an denen die Barriere oder die Untere Barriere bzw. Obere Barriere nicht verletzt wurde (oder nicht erreicht wurde, wenn dies in den anwendbaren Emissionsbedingungen vorgesehen ist), dividiert durch die Anzahl der Barriere</w:t>
            </w:r>
            <w:r w:rsidR="00AE1111">
              <w:rPr>
                <w:lang w:val="de-DE"/>
              </w:rPr>
              <w:t>-</w:t>
            </w:r>
            <w:r w:rsidRPr="00235C63">
              <w:rPr>
                <w:lang w:val="de-DE"/>
              </w:rPr>
              <w:t>Beobachtungstage während der jeweiligen Zinsperiode, mit (ii) dem in den anwendbaren Emissionsbedingungen angegebenen Festsatz (Spread) per annum multipliziert wird. Folglich gilt: je kleiner die Anzahl der Barriere-Beobachtungstage ist, an denen die Barriere oder die Untere Barriere bzw. Obere Barriere verletzt wurde (oder erreicht wurde, wenn dies in den anwendbaren Emissionsbedingungen vorgesehen ist), desto höher ist der anwendbare Zinssatz und der resultierende Zinszahlungsbetrag. Umgekehrt gilt: je grösser die Anzahl der Barriere-Beobachtungstage ist, an denen die Barriere oder die Untere Barriere bzw. Obere Barriere verletzt wurde (oder erreicht wurde, wenn dies in den anwendbaren Emissionsbedingungen vorgesehen ist), desto niedriger ist der anwendbare Zinssatz und der resultierende Zinszahlungsbetrag. Wird die Barriere oder die Untere Barriere bzw. Obere Barriere an jedem Barriere-Beobachtungstag verletzt (oder erreicht, wenn dies in den anwendbaren Emissionsbedingungen vorgesehen ist), so betragen der anwendbare Zinssatz und der resultierende Zinszahlungsbetrag null.</w:t>
            </w:r>
          </w:p>
        </w:tc>
      </w:tr>
      <w:tr w:rsidTr="0078291D">
        <w:tblPrEx>
          <w:tblW w:w="5000" w:type="pct"/>
          <w:tblLook w:val="04A0"/>
        </w:tblPrEx>
        <w:tc>
          <w:tcPr>
            <w:tcW w:w="2500" w:type="pct"/>
            <w:tcBorders>
              <w:right w:val="single" w:sz="4" w:space="0" w:color="auto"/>
            </w:tcBorders>
          </w:tcPr>
          <w:p w:rsidR="00235C63" w:rsidRPr="00D85DEC" w:rsidP="004006A1">
            <w:pPr>
              <w:pStyle w:val="CSHeading3EN"/>
            </w:pPr>
            <w:bookmarkStart w:id="99" w:name="_Toc438227534"/>
            <w:r w:rsidRPr="00D85DEC">
              <w:t>Spread Range Accrual Notes</w:t>
            </w:r>
            <w:bookmarkEnd w:id="99"/>
          </w:p>
        </w:tc>
        <w:tc>
          <w:tcPr>
            <w:tcW w:w="2500" w:type="pct"/>
            <w:tcBorders>
              <w:left w:val="single" w:sz="4" w:space="0" w:color="auto"/>
            </w:tcBorders>
          </w:tcPr>
          <w:p w:rsidR="00235C63" w:rsidRPr="00D85DEC" w:rsidP="004006A1">
            <w:pPr>
              <w:pStyle w:val="CSHeading3DE"/>
            </w:pPr>
            <w:bookmarkStart w:id="100" w:name="_Toc438160282"/>
            <w:r w:rsidRPr="00D85DEC">
              <w:t>Spread Range Accrual Notes</w:t>
            </w:r>
            <w:bookmarkEnd w:id="100"/>
          </w:p>
        </w:tc>
      </w:tr>
      <w:tr w:rsidTr="0078291D">
        <w:tblPrEx>
          <w:tblW w:w="5000" w:type="pct"/>
          <w:tblLook w:val="04A0"/>
        </w:tblPrEx>
        <w:tc>
          <w:tcPr>
            <w:tcW w:w="2500" w:type="pct"/>
            <w:tcBorders>
              <w:right w:val="single" w:sz="4" w:space="0" w:color="auto"/>
            </w:tcBorders>
          </w:tcPr>
          <w:p w:rsidR="00D85DEC" w:rsidRPr="00F953CD" w:rsidP="004006A1">
            <w:pPr>
              <w:pStyle w:val="CSBody63EN"/>
            </w:pPr>
            <w:r w:rsidRPr="00F953CD">
              <w:t>Spread Range Accrual Notes allow the Holder thereof to benefit from the payment of one or more Interest Payment Amounts on the relevant Interest Payment Date(s), as specified in the applicable Terms and Conditions.</w:t>
            </w:r>
          </w:p>
        </w:tc>
        <w:tc>
          <w:tcPr>
            <w:tcW w:w="2500" w:type="pct"/>
            <w:tcBorders>
              <w:left w:val="single" w:sz="4" w:space="0" w:color="auto"/>
            </w:tcBorders>
          </w:tcPr>
          <w:p w:rsidR="00D85DEC" w:rsidRPr="00D85DEC" w:rsidP="004006A1">
            <w:pPr>
              <w:pStyle w:val="CSBody63DE"/>
              <w:rPr>
                <w:lang w:val="de-DE"/>
              </w:rPr>
            </w:pPr>
            <w:r w:rsidRPr="00D85DEC">
              <w:rPr>
                <w:lang w:val="de-DE"/>
              </w:rPr>
              <w:t>Spread Range Accrual Notes ermöglichen es ihrem Inhaber, die Zahlung eines oder mehrerer Zinszahlungsbeträge am jeweiligen Zinszahlungstag bzw.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D85DEC" w:rsidRPr="00F953CD" w:rsidP="004006A1">
            <w:pPr>
              <w:pStyle w:val="CSBody63EN"/>
            </w:pPr>
            <w:r w:rsidRPr="00F953CD">
              <w:t>In case of Spread Range Accrual Notes the Interest Rate on the basis of which the Interest Payment Amount(s) is/are calculated will be dependent upon the number of Barrier Observation Dates during the relevant interest period on which the difference between the value of Reference Rate 2 and the value of Reference Rate 3 (</w:t>
            </w:r>
            <w:r w:rsidRPr="007E3558" w:rsidR="007E3558">
              <w:rPr>
                <w:i/>
              </w:rPr>
              <w:t>i.e.</w:t>
            </w:r>
            <w:r w:rsidRPr="00F953CD">
              <w:t>, the difference between two variable interest rates), breaches (or, if specified in the applicable Terms and Conditions, reaches) either (i) the Barrier or (ii) the Lower Barrier or Upper Barrier, as specified in the applicable Terms and Conditions. A breach of the Barrier or the Lower Barrier or Upper Barrier, as applicable, will be deemed to have occurred if the difference between the value of Reference Rate 2 and the value of Reference Rate 3 is above or below (whichever is specified in the applicable Terms and Conditions) the relevant barrier. The Barrier or the Lower Barrier or Upper Barrier, as applicable, will be reached if the difference between the value of Reference Rate 2 and the value of Reference Rate 3 is equal to the Barrier, Lower Barrier or Upper Barrier, as applicable. The relevant Interest Rate of Spread Range Accrual Notes will then be determined by multiplying (i) the number of Barrier Observation Dates during the relevant interest period on which such Barrier was not, or such Lower Barrier or Upper Barrier were not, breached (or, if specified in the applicable Terms and Conditions, reached), divided by the total number of Barrier Observation Dates during the relevant interest period, by (ii) the sum of the value of Reference Rate 1 (</w:t>
            </w:r>
            <w:r w:rsidRPr="007E3558" w:rsidR="007E3558">
              <w:rPr>
                <w:i/>
              </w:rPr>
              <w:t>i.e.</w:t>
            </w:r>
            <w:r w:rsidRPr="00F953CD">
              <w:t>, a variable interest rate) on the Interest Determination Date and the fixed rate (spread) per annum specified in the applicable Terms and Conditions. Consequently, not only is the relevant Interest Rate dependent upon the value of Reference Rate 1 on the Interest Determination Date, but the smaller the number of Barrier Observation Dates on which such Barrier is, or such Lower Barrier or Upper Barrier are, breached (or, if specified in the applicable Terms and Conditions, reached), the higher the applicable Interest Rate and resulting Interest Payment Amount will be; conversely, the greater the number of Barrier Observation Dates on which such Barrier is, or such Lower Barrier or Upper Barrier are, breached (or, if specified in the applicable Terms and Conditions, reached), the lower the applicable Interest Rate and resulting Interest Payment Amount will be. If such Barrier is, or such Lower Barrier or Upper Barrier are, breached (or, if specified in the applicable Terms and Conditions, reached) on each Barrier Observation Date during the relevant interest period, the applicable Interest Rate, and the resulting Interest Payment Amount, will be zero.</w:t>
            </w:r>
          </w:p>
        </w:tc>
        <w:tc>
          <w:tcPr>
            <w:tcW w:w="2500" w:type="pct"/>
            <w:tcBorders>
              <w:left w:val="single" w:sz="4" w:space="0" w:color="auto"/>
            </w:tcBorders>
          </w:tcPr>
          <w:p w:rsidR="00D85DEC" w:rsidRPr="00D85DEC" w:rsidP="004006A1">
            <w:pPr>
              <w:pStyle w:val="CSBody63DE"/>
              <w:rPr>
                <w:lang w:val="de-DE"/>
              </w:rPr>
            </w:pPr>
            <w:r w:rsidRPr="00D85DEC">
              <w:rPr>
                <w:lang w:val="de-DE"/>
              </w:rPr>
              <w:t>Bei Spread Range Accrual Notes hängt der Zinssatz, auf dessen Grundlage der Zinszahlungsbetrag bzw. die Zinszahlungsbeträge berechnet wird/werden, von der Anzahl der Barriere-Beobachtungstage ab, an denen die Differenz aus dem Wert des Referenzsatzes 2 und dem Wert des Referenzsatzes 3 (d.h. die Differenz zwischen zwei variablen Zinssätzen) entweder, wie in den anwendbaren Emissionsbedingungen vorgesehen, (i) die Barriere oder (ii) die Untere Barriere bzw. Obere Barriere verletzt (oder diese erreicht, wenn dies in den anwendbaren Emissionsbedingungen vorgesehen ist). Ein Verletzen der Barriere bzw. der Unteren Barriere oder der Oberen Barriere liegt vor, wenn die Differenz aus dem Wert des Referenzsatzes 2 und dem Wert des Referenzsatzes 3 oberhalb oder unterhalb (je nachdem, was in den anwendbaren Emissionsbedingungen vorgesehen ist) der massgeblichen Barriere liegt. Ein Erreichen der Barriere bzw. der Unteren Barriere oder der Oberen Barriere liegt vor, wenn die Differenz aus dem Wert des Referenzsatzes 2 und dem Wert des Referenzsatzes 3 der massgeblichen Barriere entspricht. Der jeweilige Zinssatz dieser Komplexen Produkte wird dann bestimmt, indem (i) die Anzahl der Barriere-Beobachtungstage während der jeweiligen Zinsperiode, an denen die Barriere oder die Untere Barriere bzw. Obere Barriere nicht verletzt wurde (oder nicht erreicht wurde, wenn dies in den anwendbaren Emissionsbedingungen vorgesehen ist), dividiert durch die Anzahl der Barriere-Beobachtungstage während der jeweiligen Zinsperiode, mit (ii) der Summe aus dem Wert des Referenzsatzes 1 (d.h., einem variablen Zinssatz) am Zinsfeststellungstag und dem in den anwendbaren Emissionsbedingungen angegebenen Festsatz (Spread) per annum multipliziert wird. Folglich hängt der jeweilige Zinssatz nicht nur vom Wert des Referenzsatzes 1 am Zinsfeststellungstag ab, sondern je kleiner die Anzahl der Barriere-Beobachtungstage ist, an denen die Barriere oder die Untere Barriere bzw. die Obere Barriere verletzt wurde (oder erreicht wurde, wenn dies in den anwendbaren Emissionsbedingungen vorgesehen ist), desto höher ist der anwendbare Zinssatz und der resultierende Zinszahlungsbetrag; umgekehrt gilt: je grösser die Anzahl der Barriere-Beobachtungstage ist, an denen die Barriere oder die Untere Barriere bzw. Obere Barriere verletzt wurde (oder erreicht wurde, wenn dies in den anwendbaren Emissionsbedingungen vorgesehen ist), desto niedriger ist der anwendbare Zinssatz und der resultierende Zinszahlungsbetrag. Wird die Barriere oder die Untere Barriere bzw. Obere Barriere an jedem Barriere-Beobachtungstag während der jeweiligen Zinsperiode verletzt (oder erreicht, wenn dies in den anwendbaren Emissionsbedingungen vorgesehen ist), so betragen der anwendbare Zinssatz und der resultierende Zinszahlungsbetrag null.</w:t>
            </w:r>
          </w:p>
        </w:tc>
      </w:tr>
      <w:tr w:rsidTr="0078291D">
        <w:tblPrEx>
          <w:tblW w:w="5000" w:type="pct"/>
          <w:tblLook w:val="04A0"/>
        </w:tblPrEx>
        <w:tc>
          <w:tcPr>
            <w:tcW w:w="2500" w:type="pct"/>
            <w:tcBorders>
              <w:right w:val="single" w:sz="4" w:space="0" w:color="auto"/>
            </w:tcBorders>
          </w:tcPr>
          <w:p w:rsidR="00235C63" w:rsidRPr="00D85DEC" w:rsidP="004006A1">
            <w:pPr>
              <w:pStyle w:val="CSHeading3EN"/>
            </w:pPr>
            <w:bookmarkStart w:id="101" w:name="_Toc438227535"/>
            <w:r w:rsidRPr="00D85DEC">
              <w:t>Inflation Index-Linked Notes</w:t>
            </w:r>
            <w:bookmarkEnd w:id="101"/>
          </w:p>
        </w:tc>
        <w:tc>
          <w:tcPr>
            <w:tcW w:w="2500" w:type="pct"/>
            <w:tcBorders>
              <w:left w:val="single" w:sz="4" w:space="0" w:color="auto"/>
            </w:tcBorders>
          </w:tcPr>
          <w:p w:rsidR="00235C63" w:rsidRPr="00D85DEC" w:rsidP="004006A1">
            <w:pPr>
              <w:pStyle w:val="CSHeading3DE"/>
            </w:pPr>
            <w:bookmarkStart w:id="102" w:name="_Toc438160283"/>
            <w:r w:rsidRPr="00D85DEC">
              <w:t>Inflation Index-Linked Notes</w:t>
            </w:r>
            <w:bookmarkEnd w:id="102"/>
          </w:p>
        </w:tc>
      </w:tr>
      <w:tr w:rsidTr="0078291D">
        <w:tblPrEx>
          <w:tblW w:w="5000" w:type="pct"/>
          <w:tblLook w:val="04A0"/>
        </w:tblPrEx>
        <w:tc>
          <w:tcPr>
            <w:tcW w:w="2500" w:type="pct"/>
            <w:tcBorders>
              <w:right w:val="single" w:sz="4" w:space="0" w:color="auto"/>
            </w:tcBorders>
          </w:tcPr>
          <w:p w:rsidR="00D85DEC" w:rsidRPr="00350303" w:rsidP="004006A1">
            <w:pPr>
              <w:pStyle w:val="CSBody63EN"/>
            </w:pPr>
            <w:r w:rsidRPr="00350303">
              <w:t>Inflation Index-Linked Notes allow the Holder thereof to benefit from the payment of one or more Interest Payment Amounts on the relevant Interest Payment Date(s), as specified in the applicable Terms and Conditions.</w:t>
            </w:r>
          </w:p>
        </w:tc>
        <w:tc>
          <w:tcPr>
            <w:tcW w:w="2500" w:type="pct"/>
            <w:tcBorders>
              <w:left w:val="single" w:sz="4" w:space="0" w:color="auto"/>
            </w:tcBorders>
          </w:tcPr>
          <w:p w:rsidR="00D85DEC" w:rsidRPr="00D85DEC" w:rsidP="004006A1">
            <w:pPr>
              <w:pStyle w:val="CSBody63DE"/>
              <w:rPr>
                <w:lang w:val="de-DE"/>
              </w:rPr>
            </w:pPr>
            <w:r w:rsidRPr="00D85DEC">
              <w:rPr>
                <w:lang w:val="de-DE"/>
              </w:rPr>
              <w:t>Inflation Index-Linked Notes ermöglichen es ihrem Inhaber, die Zahlung eines oder mehrerer Zinszahlungsbeträge am jeweiligen Zinszahlungstag bzw. an den jeweiligen Zinszahlungstagen zu erhalten, wie jeweils in den anwendbaren Emissionsbedingungen angegeben.</w:t>
            </w:r>
          </w:p>
        </w:tc>
      </w:tr>
      <w:tr w:rsidTr="0078291D">
        <w:tblPrEx>
          <w:tblW w:w="5000" w:type="pct"/>
          <w:tblLook w:val="04A0"/>
        </w:tblPrEx>
        <w:tc>
          <w:tcPr>
            <w:tcW w:w="2500" w:type="pct"/>
            <w:tcBorders>
              <w:right w:val="single" w:sz="4" w:space="0" w:color="auto"/>
            </w:tcBorders>
          </w:tcPr>
          <w:p w:rsidR="00D85DEC" w:rsidRPr="00350303" w:rsidP="004006A1">
            <w:pPr>
              <w:pStyle w:val="CSBody63EN"/>
            </w:pPr>
            <w:r w:rsidRPr="00350303">
              <w:t>In case of Inflation Index-Linked Notes, the applicable Terms and Conditions may provide that the Interest Rate on the basis of which the Interest Payment Amount for one or more of the initial Interest Payment Date (the "</w:t>
            </w:r>
            <w:r w:rsidRPr="004006A1">
              <w:rPr>
                <w:b/>
              </w:rPr>
              <w:t>Fixed Interest Payment Dates</w:t>
            </w:r>
            <w:r w:rsidRPr="00350303">
              <w:t>") is calculated will be equal to a fixed rate per annum.</w:t>
            </w:r>
          </w:p>
        </w:tc>
        <w:tc>
          <w:tcPr>
            <w:tcW w:w="2500" w:type="pct"/>
            <w:tcBorders>
              <w:left w:val="single" w:sz="4" w:space="0" w:color="auto"/>
            </w:tcBorders>
          </w:tcPr>
          <w:p w:rsidR="00D85DEC" w:rsidRPr="00D85DEC" w:rsidP="004006A1">
            <w:pPr>
              <w:pStyle w:val="CSBody63DE"/>
              <w:rPr>
                <w:lang w:val="de-DE"/>
              </w:rPr>
            </w:pPr>
            <w:r w:rsidRPr="00D85DEC">
              <w:rPr>
                <w:lang w:val="de-DE"/>
              </w:rPr>
              <w:t>Bei Inflation Index-Linked Notes können die anwendbaren Emissionsbedingungen vorsehen, dass der Zinssatz, auf dessen Grundlage der Zinszahlungsbetrag für einen oder mehrere der anfänglichen Zinszahlungstage (die "</w:t>
            </w:r>
            <w:r w:rsidRPr="004006A1">
              <w:rPr>
                <w:b/>
                <w:lang w:val="de-DE"/>
              </w:rPr>
              <w:t>Zahlungstage für Festzinsen</w:t>
            </w:r>
            <w:r w:rsidRPr="00D85DEC">
              <w:rPr>
                <w:lang w:val="de-DE"/>
              </w:rPr>
              <w:t>") berechnet wird, einem Festsatz per annum entspricht.</w:t>
            </w:r>
          </w:p>
        </w:tc>
      </w:tr>
      <w:tr w:rsidTr="0078291D">
        <w:tblPrEx>
          <w:tblW w:w="5000" w:type="pct"/>
          <w:tblLook w:val="04A0"/>
        </w:tblPrEx>
        <w:tc>
          <w:tcPr>
            <w:tcW w:w="2500" w:type="pct"/>
            <w:tcBorders>
              <w:right w:val="single" w:sz="4" w:space="0" w:color="auto"/>
            </w:tcBorders>
          </w:tcPr>
          <w:p w:rsidR="00D85DEC" w:rsidRPr="00C82110" w:rsidP="004006A1">
            <w:pPr>
              <w:pStyle w:val="CSBody63EN"/>
            </w:pPr>
            <w:r w:rsidRPr="00C82110">
              <w:t>The Interest Payment Amount payable on each Interest Payment Date (other than Fixed Interest Payment Dates, if any), will be calculated on the basis of a variable Interest Rate, which is dependent upon the performance of a Reference Rate in the form of an Inflation Index. Inflation Index-Linked Notes allow investors to benefit on such Interest Payment Dates from Interest Payment Amounts that increase depending upon the positive performance of the Reference Rate in the form of the Inflation Index measured by comparing its value for one Inflation Fixing Month to its value for another Inflation Fixing Month, as specified in the applicable Terms and Conditions. For determining the applicable Interest Rate the applicable Terms and Conditions will provide for the application of the Participation, which is a multiplier specified in the applicable Terms and Conditions and, if specified in the applicable Terms and Conditions, a fixed rate (spread) per annum that will be added to the product of (a) the performance of the Reference Rate in the form of an Inflation Index with respect to the relevant Interest Payment Date and (b) the Participation. If the Inflation Index stagnates or if the Inflation Index develops negatively with respect an Interest Payment Date, the applicable Interest Rate may fall to zero.</w:t>
            </w:r>
          </w:p>
        </w:tc>
        <w:tc>
          <w:tcPr>
            <w:tcW w:w="2500" w:type="pct"/>
            <w:tcBorders>
              <w:left w:val="single" w:sz="4" w:space="0" w:color="auto"/>
            </w:tcBorders>
          </w:tcPr>
          <w:p w:rsidR="00D85DEC" w:rsidRPr="00D85DEC" w:rsidP="004006A1">
            <w:pPr>
              <w:pStyle w:val="CSBody63DE"/>
              <w:rPr>
                <w:lang w:val="de-DE"/>
              </w:rPr>
            </w:pPr>
            <w:r w:rsidRPr="00D85DEC">
              <w:rPr>
                <w:lang w:val="de-DE"/>
              </w:rPr>
              <w:t>Der Zinszahlungsbetrag, der an jedem Zinszahlungstag zahlbar ist (ausser an Zahlungstagen für Festzinsen, falls vorgesehen), wird auf der Grundlage eines variablen Zinssatzes, der von der Wertentwicklung eines Referenzsatzes in Form eines Inflationsindexes abhängig ist, berechnet. Inflation Index-Linked Notes ermöglichen Anlegern, an solchen Zinszahlungstagen Zinszahlungsbeträge zu erhalten, die in Abhängigkeit von der positiven Wertentwicklung des Referenzsatzes in Form des Inflationsindexes, gemessen auf Grundlage eines Vergleichs des Werts des Inflationsindexes für einen Inflations-Feststellungsmonat mit dem Wert des Inflationsindexes für einen anderen Inflations-Feststellungsmonat, wie in den massgeblichen Emissionsbedingungen angegeben, ansteigen. Für die Bestimmung des anwendbaren Zinssatzes sehen die anwendbaren Emissionsbedingungen die Anwendung der Partizipation vor, bei der es sich um einen in den anwendbaren Emissionsbedingungen angegebenen Multiplikator handelt, und es wird, falls in den anwendbaren Emissionsbedingungen vorgesehen, ein Festsatz (Spread) per annum zum Produkt aus (a) der Wertentwicklung des Referenzsatzes in Form eines Inflationsindexes in Bezug auf den jeweiligen Zinszahlungstag und (b) der Partizipation hinzugerechnet. Falls der Inflationsindex stagniert oder sich in Bezug auf einen Zinszahlungstag negativ entwickelt, kann der anwendbare Zinssatz auf null fallen.</w:t>
            </w:r>
          </w:p>
        </w:tc>
      </w:tr>
      <w:tr w:rsidTr="0078291D">
        <w:tblPrEx>
          <w:tblW w:w="5000" w:type="pct"/>
          <w:tblLook w:val="04A0"/>
        </w:tblPrEx>
        <w:tc>
          <w:tcPr>
            <w:tcW w:w="2500" w:type="pct"/>
            <w:tcBorders>
              <w:right w:val="single" w:sz="4" w:space="0" w:color="auto"/>
            </w:tcBorders>
          </w:tcPr>
          <w:p w:rsidR="00235C63" w:rsidRPr="00D85DEC" w:rsidP="004006A1">
            <w:pPr>
              <w:pStyle w:val="CSHeading2EN"/>
            </w:pPr>
            <w:bookmarkStart w:id="103" w:name="_Toc438227536"/>
            <w:r w:rsidRPr="00D85DEC">
              <w:t>Credit-Linked Complex Products with auction settlement</w:t>
            </w:r>
            <w:bookmarkEnd w:id="103"/>
          </w:p>
        </w:tc>
        <w:tc>
          <w:tcPr>
            <w:tcW w:w="2500" w:type="pct"/>
            <w:tcBorders>
              <w:left w:val="single" w:sz="4" w:space="0" w:color="auto"/>
            </w:tcBorders>
          </w:tcPr>
          <w:p w:rsidR="00235C63" w:rsidRPr="00D85DEC" w:rsidP="004006A1">
            <w:pPr>
              <w:pStyle w:val="CSHeading2DE"/>
              <w:rPr>
                <w:lang w:val="de-DE"/>
              </w:rPr>
            </w:pPr>
            <w:bookmarkStart w:id="104" w:name="_Toc438160284"/>
            <w:r w:rsidRPr="00D85DEC">
              <w:rPr>
                <w:lang w:val="de-DE"/>
              </w:rPr>
              <w:t>Kreditbezogene Komplexe Produkte mit Auktionsabwicklung</w:t>
            </w:r>
            <w:bookmarkEnd w:id="104"/>
          </w:p>
        </w:tc>
      </w:tr>
      <w:tr w:rsidTr="0078291D">
        <w:tblPrEx>
          <w:tblW w:w="5000" w:type="pct"/>
          <w:tblLook w:val="04A0"/>
        </w:tblPrEx>
        <w:tc>
          <w:tcPr>
            <w:tcW w:w="2500" w:type="pct"/>
            <w:tcBorders>
              <w:right w:val="single" w:sz="4" w:space="0" w:color="auto"/>
            </w:tcBorders>
          </w:tcPr>
          <w:p w:rsidR="00D85DEC" w:rsidRPr="002628C8" w:rsidP="004006A1">
            <w:pPr>
              <w:pStyle w:val="CSBody63ENbold"/>
            </w:pPr>
            <w:r w:rsidRPr="002628C8">
              <w:t>General</w:t>
            </w:r>
          </w:p>
        </w:tc>
        <w:tc>
          <w:tcPr>
            <w:tcW w:w="2500" w:type="pct"/>
            <w:tcBorders>
              <w:left w:val="single" w:sz="4" w:space="0" w:color="auto"/>
            </w:tcBorders>
          </w:tcPr>
          <w:p w:rsidR="00D85DEC" w:rsidRPr="002628C8" w:rsidP="004006A1">
            <w:pPr>
              <w:pStyle w:val="CSBody63DEbold"/>
            </w:pPr>
            <w:r w:rsidRPr="002628C8">
              <w:t>General</w:t>
            </w:r>
          </w:p>
        </w:tc>
      </w:tr>
      <w:tr w:rsidTr="0078291D">
        <w:tblPrEx>
          <w:tblW w:w="5000" w:type="pct"/>
          <w:tblLook w:val="04A0"/>
        </w:tblPrEx>
        <w:tc>
          <w:tcPr>
            <w:tcW w:w="2500" w:type="pct"/>
            <w:tcBorders>
              <w:right w:val="single" w:sz="4" w:space="0" w:color="auto"/>
            </w:tcBorders>
          </w:tcPr>
          <w:p w:rsidR="00D85DEC" w:rsidRPr="002628C8" w:rsidP="004006A1">
            <w:pPr>
              <w:pStyle w:val="CSBody63EN"/>
            </w:pPr>
            <w:r w:rsidRPr="002628C8">
              <w:t xml:space="preserve">Credit-Linked Complex Products with auction settlement are linked to the creditworthiness of one or more Reference Entities, as specified in the applicable Terms and Conditions. By investing in Credit-Linked Complex Products with auction settlement, Holders are exposed to this credit risk relating to such Reference Entities. For the assumption of such credit risk, Holders will receive compensation in the form of increased interest payments. The applicable Terms and Conditions may provide for the application of one or more fixed and/or variable Interest Rates on the basis of which the Interest Payment(s) will be calculated. As Credit-Linked Complex Products with auction settlement are </w:t>
            </w:r>
            <w:r w:rsidRPr="004006A1">
              <w:rPr>
                <w:b/>
              </w:rPr>
              <w:t>not capital protected</w:t>
            </w:r>
            <w:r w:rsidRPr="002628C8">
              <w:t xml:space="preserve"> it is not possible to predict the return on such a Complex Product at the time of issuance.</w:t>
            </w:r>
          </w:p>
        </w:tc>
        <w:tc>
          <w:tcPr>
            <w:tcW w:w="2500" w:type="pct"/>
            <w:tcBorders>
              <w:left w:val="single" w:sz="4" w:space="0" w:color="auto"/>
            </w:tcBorders>
          </w:tcPr>
          <w:p w:rsidR="00D85DEC" w:rsidRPr="00D85DEC" w:rsidP="004006A1">
            <w:pPr>
              <w:pStyle w:val="CSBody63DE"/>
              <w:rPr>
                <w:lang w:val="de-DE"/>
              </w:rPr>
            </w:pPr>
            <w:r w:rsidRPr="00D85DEC">
              <w:rPr>
                <w:lang w:val="de-DE"/>
              </w:rPr>
              <w:t xml:space="preserve">Kreditbezogene Komplexe Produkte mit Auktionsabwicklung sind an die Bonität eines oder mehrerer Referenzschuldner gekoppelt, je nachdem wie in den anwendbaren Emissionsbedingungen vorgesehen. Durch eine Anlage in Kreditbezogene Komplexe Produkte mit Auktionsabwicklung sind die Inhaber dem Kreditrisiko dieser Referenzschuldner ausgesetzt. Für die Übernahme dieses Kreditrisikos erhalten Inhaber eine Gegenleistung in Form von erhöhten Zinszahlungen. Die anwendbaren Emissionsbedingungen können die Anwendung eines oder mehrerer festen und/oder variablen Zinssätze vorsehen, auf dessen/deren Grundlage die Zinszahlung(en) berechnet wird/werden. Da Kreditbezogene Komplexe Produkte mit Auktionsabwicklung </w:t>
            </w:r>
            <w:r w:rsidRPr="004006A1">
              <w:rPr>
                <w:b/>
                <w:lang w:val="de-DE"/>
              </w:rPr>
              <w:t>nicht kapitalgeschützt</w:t>
            </w:r>
            <w:r w:rsidRPr="00D85DEC">
              <w:rPr>
                <w:lang w:val="de-DE"/>
              </w:rPr>
              <w:t xml:space="preserve"> sind, ist es nicht möglich, die Erträge solcher Komplexen Produkte zum Zeitpunkt ihrer Ausgabe vorherzusagen.</w:t>
            </w:r>
          </w:p>
        </w:tc>
      </w:tr>
      <w:tr w:rsidTr="0078291D">
        <w:tblPrEx>
          <w:tblW w:w="5000" w:type="pct"/>
          <w:tblLook w:val="04A0"/>
        </w:tblPrEx>
        <w:tc>
          <w:tcPr>
            <w:tcW w:w="2500" w:type="pct"/>
            <w:tcBorders>
              <w:right w:val="single" w:sz="4" w:space="0" w:color="auto"/>
            </w:tcBorders>
          </w:tcPr>
          <w:p w:rsidR="00D85DEC" w:rsidRPr="001C6955" w:rsidP="004006A1">
            <w:pPr>
              <w:pStyle w:val="CSBody63EN"/>
            </w:pPr>
            <w:r w:rsidRPr="001C6955">
              <w:t xml:space="preserve">The payment of interest on, and the redemption of, such Complex Products is dependent upon whether a Credit Event Determination Date with respect to one or more Reference Entities has occurred. If a Credit Event Determination Date occurs, no further interest payments will be made and the amount at which such Complex Products will be redeemed will be dependent on the value of certain specified obligations of the Reference Entity or Reference Entities, as applicable. The value of such obligations will be determined by way of an auction conducted by ISDA or, if such auction does not take place, the Calculation Agent will determine the value of the obligations on the basis of quotations for the obligations obtained from banks or securities trading firms. In turn, a Credit Event Determination Date can only be triggered by a Credit Event, which may be a Bankruptcy, a Failure to Pay, a Governmental Intervention, an Obligation Acceleration, a Repudiation/ Moratorium or a Restructuring, as specified in the applicable Terms and Conditions. Investors should note that a Credit Event may occur even if the relevant Reference Entity has not defaulted on any payment obligation. Further, upon the occurrence of a Credit Event Determination Date, depending on the applicable Terms and Conditions, (i) investors in such Complex Products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investors may thus lose all or a substantial portion of their investment. </w:t>
            </w:r>
          </w:p>
        </w:tc>
        <w:tc>
          <w:tcPr>
            <w:tcW w:w="2500" w:type="pct"/>
            <w:tcBorders>
              <w:left w:val="single" w:sz="4" w:space="0" w:color="auto"/>
            </w:tcBorders>
          </w:tcPr>
          <w:p w:rsidR="00D85DEC" w:rsidRPr="00D85DEC" w:rsidP="004006A1">
            <w:pPr>
              <w:pStyle w:val="CSBody63DE"/>
              <w:rPr>
                <w:lang w:val="de-DE"/>
              </w:rPr>
            </w:pPr>
            <w:r w:rsidRPr="00D85DEC">
              <w:rPr>
                <w:lang w:val="de-DE"/>
              </w:rPr>
              <w:t>Die Zahlung von Zinsen auf derartige Komplexe Produkte sowie die Rückzahlung dieser Komplexen Produkte hängen davon ab, ob ein Kreditereignis</w:t>
            </w:r>
            <w:r w:rsidR="00133A2D">
              <w:rPr>
                <w:lang w:val="de-DE"/>
              </w:rPr>
              <w:t>-</w:t>
            </w:r>
            <w:r w:rsidRPr="00D85DEC">
              <w:rPr>
                <w:lang w:val="de-DE"/>
              </w:rPr>
              <w:t xml:space="preserve">Feststellungstag in Bezug auf einen oder mehrere Referenzschuldner eingetreten ist. Bei Eintritt eines Kreditereignis-Feststellungstags erfolgen keine weiteren Zinszahlungen und der Betrag, zu dem diese Komplexen Produkte zurückgezahlt werden, ist in einem solchen Fall vom Wert bestimmter festgelegter Verbindlichkeiten dieses Referenzschuldners bzw. dieser Referenzschuldner. Der Wert dieser Verbindlichkeiten wird durch eine von der ISDA durchgeführte Auktion festgestellt oder, sollte eine solche Auktion nicht stattfinden, wird die Berechnungsstelle den Wert der Verbindlichkeiten auf der Basis von Quotierungen, die sie von Banken oder Wertpapierhandelsunternehmen erhalten hat, feststellen. Ein Kreditereignis-Feststellungstag wiederum kann nur durch ein Kreditereignis ausgelöst werden; dabei kann es sich um eine Insolvenz, eine Nichtzahlung, eine Staatliche Intervention, eine Vorfälligkeit einer Verbindlichkeit, eine Nichtanerkennung/ein Moratorium oder um eine Restrukturierung handeln, wie in den anwendbaren Emissionsbedingungen angegeben. Anleger sollten sich darüber im Klaren sein, dass ein Kreditereignis selbst dann eintreten kann, wenn sich der betreffende Referenzschuldner mit seinen Zahlungsverpflichtungen nicht in Verzug befindet. Darüber hinaus gilt bei Eintritt eines Kreditereignis-Feststellungstags nach Massgabe der anwendbaren Emissionsbedingungen: (i) Anleger in die betreffenden Komplexen Produkte erhalten unter Umständen nur der Höhe nach begrenzte oder gar keine Zinszahlungen auf diese Komplexen Produkte, (ii) die Zahlung des Rückzahlungsbetrags oder der Zinsen kann zu einem anderen Termin als erwartet erfolgen und (iii) der Rückzahlungsbetrag kann erheblich unter dem anfänglichen Nennbetrag der Komplexen Produkte liegen und Investoren können daher einen Totalverlust ihres eingesetzten Kapitals erleiden oder einen erheblichen Teil dieses Kapitals verlieren. </w:t>
            </w:r>
          </w:p>
        </w:tc>
      </w:tr>
      <w:tr w:rsidTr="0078291D">
        <w:tblPrEx>
          <w:tblW w:w="5000" w:type="pct"/>
          <w:tblLook w:val="04A0"/>
        </w:tblPrEx>
        <w:tc>
          <w:tcPr>
            <w:tcW w:w="2500" w:type="pct"/>
            <w:tcBorders>
              <w:right w:val="single" w:sz="4" w:space="0" w:color="auto"/>
            </w:tcBorders>
          </w:tcPr>
          <w:p w:rsidR="00D85DEC" w:rsidRPr="00184EE8" w:rsidP="004006A1">
            <w:pPr>
              <w:pStyle w:val="CSBody63EN"/>
            </w:pPr>
            <w:r w:rsidRPr="00184EE8">
              <w:t>The likelihood of the occurrence of a Credit Event Determination Date with respect to a Reference Entity will generally fluctuate with, among other things, the financial condition and other characteristics of such Reference Entity, general economic conditions, the condition of certain financial markets, political events, developments or trends in any particular industry and changes in prevailing interest rates. Actions of the Reference Entity/Entities (for example, merger or demerger or the repayment or transfer of indebtedness) may adversely affect the value of Credit-Linked Complex Products with auction settlement. Furthermore, the Reference Entity/Entities to which such Complex Products are linked, and the terms of such linkage, may change over the term of such Complex Products.</w:t>
            </w:r>
          </w:p>
        </w:tc>
        <w:tc>
          <w:tcPr>
            <w:tcW w:w="2500" w:type="pct"/>
            <w:tcBorders>
              <w:left w:val="single" w:sz="4" w:space="0" w:color="auto"/>
            </w:tcBorders>
          </w:tcPr>
          <w:p w:rsidR="00D85DEC" w:rsidRPr="00D85DEC" w:rsidP="004006A1">
            <w:pPr>
              <w:pStyle w:val="CSBody63DE"/>
              <w:rPr>
                <w:lang w:val="de-DE"/>
              </w:rPr>
            </w:pPr>
            <w:r w:rsidRPr="00D85DEC">
              <w:rPr>
                <w:lang w:val="de-DE"/>
              </w:rPr>
              <w:t>Die Wahrscheinlichkeit, dass in Bezug auf einen Referenzschuldner ein Kreditereignis-Feststellungstag eintritt, variiert in der Regel aufgrund der Finanzlage und anderer Kenndaten des betreffenden Referenzschuldners, der allgemeinen Konjunktur, der Lage an bestimmten Finanzmärkten sowie aufgrund von politischen Ereignissen, Entwicklungen oder Tendenzen in bestimmten Branchen, Änderungen der geltenden Zinssätze und weiteren Faktoren. Massnahmen des Referenzschuldners bzw. der Referenzschuldner (wie beispielsweise ein Zusammenschluss oder eine Abspaltung oder die Rückzahlung oder Übertragung von Verbindlichkeiten) können sich nachteilig auf den Wert der Kreditbezogenen Komplexen Produkte mit Auktionsabwicklung auswirken. Darüber hinaus können sich der/die Referenzschuldner, auf den/die diese Komplexen Produkte bezogen sind, und die Bedingungen dieser Beziehung während der Laufzeit dieser Komplexen Produkte ändern.</w:t>
            </w:r>
          </w:p>
        </w:tc>
      </w:tr>
      <w:tr w:rsidTr="0078291D">
        <w:tblPrEx>
          <w:tblW w:w="5000" w:type="pct"/>
          <w:tblLook w:val="04A0"/>
        </w:tblPrEx>
        <w:tc>
          <w:tcPr>
            <w:tcW w:w="2500" w:type="pct"/>
            <w:tcBorders>
              <w:right w:val="single" w:sz="4" w:space="0" w:color="auto"/>
            </w:tcBorders>
          </w:tcPr>
          <w:p w:rsidR="00235C63" w:rsidRPr="00D85DEC" w:rsidP="00292C42">
            <w:pPr>
              <w:pStyle w:val="CSHeading3EN"/>
            </w:pPr>
            <w:bookmarkStart w:id="105" w:name="_Toc438227537"/>
            <w:r w:rsidRPr="00D85DEC">
              <w:t>Credit-Linked Complex Products with auction settlement linked to a single Reference Entity</w:t>
            </w:r>
            <w:bookmarkEnd w:id="105"/>
          </w:p>
        </w:tc>
        <w:tc>
          <w:tcPr>
            <w:tcW w:w="2500" w:type="pct"/>
            <w:tcBorders>
              <w:left w:val="single" w:sz="4" w:space="0" w:color="auto"/>
            </w:tcBorders>
          </w:tcPr>
          <w:p w:rsidR="00235C63" w:rsidRPr="00D85DEC" w:rsidP="00292C42">
            <w:pPr>
              <w:pStyle w:val="CSHeading3DE"/>
              <w:rPr>
                <w:lang w:val="de-DE"/>
              </w:rPr>
            </w:pPr>
            <w:bookmarkStart w:id="106" w:name="_Toc438160285"/>
            <w:r w:rsidRPr="00D85DEC">
              <w:rPr>
                <w:lang w:val="de-DE"/>
              </w:rPr>
              <w:t>Kreditbezogene Komplexe Produkte mit Auktionsabwicklung, die an einen einzelnen Referenzschuldner gekoppelt sind</w:t>
            </w:r>
            <w:bookmarkEnd w:id="106"/>
          </w:p>
        </w:tc>
      </w:tr>
      <w:tr w:rsidTr="0078291D">
        <w:tblPrEx>
          <w:tblW w:w="5000" w:type="pct"/>
          <w:tblLook w:val="04A0"/>
        </w:tblPrEx>
        <w:tc>
          <w:tcPr>
            <w:tcW w:w="2500" w:type="pct"/>
            <w:tcBorders>
              <w:right w:val="single" w:sz="4" w:space="0" w:color="auto"/>
            </w:tcBorders>
          </w:tcPr>
          <w:p w:rsidR="00D85DEC" w:rsidRPr="00AA4785" w:rsidP="008D3BA7">
            <w:pPr>
              <w:pStyle w:val="CSBody63EN"/>
            </w:pPr>
            <w:r w:rsidRPr="00AA4785">
              <w:t xml:space="preserve">In the case of Credit-Linked Complex Products with auction settlement linked to a single Reference Entity, if no Credit Event Determination Date has occurred on or prior to the Scheduled Maturity Date, such Complex Products allow the Holder thereof to benefit from the payment of one or more Interest Payment Amounts on the relevant Interest Payment Date(s) and the Issuer will redeem the Complex Products at the Scheduled Redemption Amount on the Scheduled Maturity Date. However, even if no Credit Event Determination Date has occurred on or prior to the Scheduled Maturity Date, if a Potential Credit Event Period with respect to the Reference Entity has occurred on or prior to, and is continuing on, the Scheduled Maturity Date, the Scheduled Maturity Date (and any payments of principal and interest in respect of such Complex Products otherwise scheduled to be made on such date) will be postponed to a Business Day shortly after the last day of the Potential Credit Event Period. However, in such case any principal and interest on the Complex Products will only be paid if during such Potential Credit Event Period the relevant Potential Failure to Pay (or, if provided for in the applicable Terms and Conditions, the relevant Potential Repudiation/Moratorium) or a DC Pending Request, as applicable, has not resulted in the occurrence of a Credit Event Determination Date (in respect of any outstanding interest payments, such interest payments will not be paid only, if it is determined during the Potential Credit Event Period that a Credit Event Dertermination Date has occurred </w:t>
            </w:r>
            <w:r w:rsidRPr="008D3BA7">
              <w:rPr>
                <w:b/>
              </w:rPr>
              <w:t>prior to</w:t>
            </w:r>
            <w:r w:rsidRPr="00AA4785">
              <w:t xml:space="preserve"> the Scheduled Maturity Date). Likewise, if a Potential Credit Event Period with respect to the Reference Entity has occurred prior to, and is continuing on, an Interest Payment Date, any payment of interest will be postponed to a Business Day shortly after the last day of such Potential Credit Event Period. In each case the Issuer will not be liable for additional interest or other payments to the Holders of the Complex Products by reason of any such delayed payment.</w:t>
            </w:r>
          </w:p>
        </w:tc>
        <w:tc>
          <w:tcPr>
            <w:tcW w:w="2500" w:type="pct"/>
            <w:tcBorders>
              <w:left w:val="single" w:sz="4" w:space="0" w:color="auto"/>
            </w:tcBorders>
          </w:tcPr>
          <w:p w:rsidR="00D85DEC" w:rsidRPr="00D85DEC" w:rsidP="004006A1">
            <w:pPr>
              <w:pStyle w:val="CSBody63DE"/>
              <w:rPr>
                <w:lang w:val="de-DE"/>
              </w:rPr>
            </w:pPr>
            <w:r w:rsidRPr="00D85DEC">
              <w:rPr>
                <w:lang w:val="de-DE"/>
              </w:rPr>
              <w:t>Wenn bei Kreditbezogenen Komplexen Produkten mit Auktionsabwicklung, die an einen einzelnen Referenzschuldner gekoppelt sind, am oder vor dem Planmässigen Fälligkeitstag kein Kreditereignis</w:t>
            </w:r>
            <w:r w:rsidR="00133A2D">
              <w:rPr>
                <w:lang w:val="de-DE"/>
              </w:rPr>
              <w:t>-</w:t>
            </w:r>
            <w:r w:rsidRPr="00D85DEC">
              <w:rPr>
                <w:lang w:val="de-DE"/>
              </w:rPr>
              <w:t xml:space="preserve">Feststellungstag eingetreten ist, ermöglichen es diese Komplexen Produkte ihrem Inhaber, eine oder mehrere Zinszahlungen am jeweiligen Zinszahlungstag bzw. an den jeweiligen Zinszahlungstagen zu erhalten und die Emittentin zahlt die Komplexen Produkte zum Planmässigen Rückzahlungsbetrag am Planmässigen Fälligkeitstag zurück. Ist zwar kein Kreditereignis-Feststellungstag am oder vor dem Planmässigen Fälligkeitstag eingetreten, hat aber ein Zeitraum eines Potenziellen Kreditereignisses an oder vor dem Planmässigen Fälligkeitstag begonnen und dauert am Planmässigen Fälligkeitstag an, so gilt folgendes: der Planmässige Fälligkeitstag (und alle Zahlungen in Bezug auf Zinsen und Kapital, die andernfalls an diesem Tag in Bezug auf die Komplexen Produkte gemacht werden würden) wird auf einen Geschäftstag kurz nach dem letzten Tag des Zeitraums eines Potenziellen Kreditereignisses verschoben. In einem solchen Fall erfolgen Zahlungen von Kapital und Zinsen auf die Komplexen Produkte aber nur unter der Voraussetzung, dass während dieses Zeitraums eines Potenziellen Kreditereignisses die jeweilige Potenzielle Nichtzahlung (oder, falls die anwendbaren Emissionsbedingungen dies vorsehen, die jeweilige Potenzielle Nichtanerkennung/das jeweilige Potenzielle Moratorium) oder ein Ausstehender Antrag nicht zum Eintritt eines Kreditereignis-Feststellungstags geführt hat (bezüglich ausstehender Zinszahlungen werden diese Zinszahlungen nur dann nicht gezahlt, wenn während des Zeitraums eines Potenziellen Kreditereignisses festgestellt wird, dass ein Kreditereignis-Feststellungstag </w:t>
            </w:r>
            <w:r w:rsidRPr="008D3BA7">
              <w:rPr>
                <w:b/>
                <w:lang w:val="de-DE"/>
              </w:rPr>
              <w:t>vor dem</w:t>
            </w:r>
            <w:r w:rsidRPr="00D85DEC">
              <w:rPr>
                <w:lang w:val="de-DE"/>
              </w:rPr>
              <w:t xml:space="preserve"> Planmässigen Fälligkeitstag eingetreten ist). Gleichfalls gilt: wenn ein Zeitraum eines Potenziellen Kreditereignisses in Bezug auf den Referenzschuldner an oder vor einem Zinszahlungstag eingetreten ist und an diesem Tag andauert, wird die Zahlung von Zinsen auf einen Geschäftstag kurz nach dem letzten Tag dieses Zeitraums eines Potenziellen Kreditereignisses verschoben. In jedem Fall schuldet die Emittentin den Inhabern der Komplexen Produkte keine zusätzlichen Zins- oder sonstige Zahlungen aufgrund einer solchen verzögerten Zahlung.</w:t>
            </w:r>
          </w:p>
        </w:tc>
      </w:tr>
      <w:tr w:rsidTr="0078291D">
        <w:tblPrEx>
          <w:tblW w:w="5000" w:type="pct"/>
          <w:tblLook w:val="04A0"/>
        </w:tblPrEx>
        <w:tc>
          <w:tcPr>
            <w:tcW w:w="2500" w:type="pct"/>
            <w:tcBorders>
              <w:right w:val="single" w:sz="4" w:space="0" w:color="auto"/>
            </w:tcBorders>
          </w:tcPr>
          <w:p w:rsidR="00D85DEC" w:rsidRPr="00777ADD" w:rsidP="008D3BA7">
            <w:pPr>
              <w:pStyle w:val="CSBody63EN"/>
            </w:pPr>
            <w:r w:rsidRPr="008D3BA7">
              <w:rPr>
                <w:b/>
              </w:rPr>
              <w:t xml:space="preserve">Upon the occurrence of a Credit Event Determination Date </w:t>
            </w:r>
            <w:r w:rsidRPr="00777ADD">
              <w:t>on or prior to the Scheduled Maturity Date (subject to extension if a Potential Credit Event Period is in effect on the Scheduled Maturity Date), instead of being redeemed at the Scheduled Redemption Amount on the Scheduled Maturity Date, Credit-Linked Complex Products with auction settlement linked to a single Reference Entity will be redeemed by payment of a cash amount to the Holder thereof equal to the Auction Redemption Amount on the Auction Redemption Date (provided that no Fallback Settlement Event has occurred). The Calculation Agent will determine the Auction Redemption Amount on the basis of the Auction Final Price of the Reference Entity. The Auction Final Price of the Reference Entity will be determined by the relevant Credit Derivatives Determinations Committee in accordance with an auction conducted by ISDA. Alternatively, if a Fallback Settlement Event has occurred, the Cash Redemption Amount rather than the Auction Redemption Amount will be payable per Complex Product by the Issuer to the Holder thereof on the Cash Redemption Date. Such amount will be determined based upon one or more quotations for certain obligations of the Reference Entity specified in the applicable Terms and Conditions, obtained by the Calculation Agent from banks or securities trading firms. The Auction Redemption Amount or the Cash Redemption Amount, as the case may be, will generally be considerably less than the Holder's initial investment in such Complex Product.</w:t>
            </w:r>
          </w:p>
        </w:tc>
        <w:tc>
          <w:tcPr>
            <w:tcW w:w="2500" w:type="pct"/>
            <w:tcBorders>
              <w:left w:val="single" w:sz="4" w:space="0" w:color="auto"/>
            </w:tcBorders>
          </w:tcPr>
          <w:p w:rsidR="00D85DEC" w:rsidRPr="00D85DEC" w:rsidP="008D3BA7">
            <w:pPr>
              <w:pStyle w:val="CSBody63DE"/>
              <w:rPr>
                <w:lang w:val="de-DE"/>
              </w:rPr>
            </w:pPr>
            <w:r w:rsidRPr="008D3BA7">
              <w:rPr>
                <w:b/>
                <w:lang w:val="de-DE"/>
              </w:rPr>
              <w:t>Tritt</w:t>
            </w:r>
            <w:r w:rsidRPr="00D85DEC">
              <w:rPr>
                <w:lang w:val="de-DE"/>
              </w:rPr>
              <w:t xml:space="preserve"> an oder vor dem Planmässigen Fälligkeitstag (vorbehaltlich einer Verlängerung im Fall dass ein Zeitraum eines Potenziellen Kreditereignisses am Planmässigen Fälligkeitstag besteht) </w:t>
            </w:r>
            <w:r w:rsidRPr="008D3BA7">
              <w:rPr>
                <w:b/>
                <w:lang w:val="de-DE"/>
              </w:rPr>
              <w:t>ein Kreditereignis</w:t>
            </w:r>
            <w:r w:rsidR="00133A2D">
              <w:rPr>
                <w:b/>
                <w:lang w:val="de-DE"/>
              </w:rPr>
              <w:t>-</w:t>
            </w:r>
            <w:r w:rsidRPr="008D3BA7">
              <w:rPr>
                <w:b/>
                <w:lang w:val="de-DE"/>
              </w:rPr>
              <w:t>Feststellungstag ein</w:t>
            </w:r>
            <w:r w:rsidRPr="00D85DEC">
              <w:rPr>
                <w:lang w:val="de-DE"/>
              </w:rPr>
              <w:t>, so werden Kreditbezogene Komplexe Produkte mit Auktionsabwicklung, die an einen einzelnen Referenzschuldner gekoppelt sind, nicht zum Planmässigen Rückzahlungsbetrag am Planmässigen Fälligkeitstag an den Inhaber zurückgezahlt, sondern durch Zahlung eines Barbetrags in Höhe des Auktions-Rückzahlungsbetrags am Auktions-Rückzahlungstag (vorausgesetzt dass kein Ereignis der Alternativen Abwicklung eingetreten ist). Die Berechnungsstelle bestimmt den Auktions-Rückzahlungsbetrag auf der Grundlage des Auktions-Endpreises des Referenzschuldners. Der Auktions-Endpreis des Referenzschuldners wird von dem zuständigen Kreditderivate-Feststellungsausschuss nach Massgabe einer von ISDA durchgeführten Auktion berechnet. Falls dagegen ein Ereignis der Alternativen Abwicklung eingetreten ist, hat die Emittentin nicht den Auktions-Rückzahlungsbetrag, sondern den Barrückzahlungsbetrag je Komplexe Produkt am Barrückzahlungstag an den Inhaber zu zahlen. Dieser Betrag wird auf der Grundlage einer oder mehrerer Quotierungen für in den anwendbaren Emissionsbedingungen angegebene Verbindlichkeiten des Referenzschuldners, die die Berechnungsstelle von Banken oder Wertpapierhandelsunternehmen eingeholt hat, bestimmt. Der Auktions-Rückzahlungsbetrag bzw. der Barrückzahlungsbetrag ist in der Regel wesentlich geringer als der von dem Inhaber ursprünglich eingesetzte Kapitalbetrag.</w:t>
            </w:r>
          </w:p>
        </w:tc>
      </w:tr>
      <w:tr w:rsidTr="0078291D">
        <w:tblPrEx>
          <w:tblW w:w="5000" w:type="pct"/>
          <w:tblLook w:val="04A0"/>
        </w:tblPrEx>
        <w:tc>
          <w:tcPr>
            <w:tcW w:w="2500" w:type="pct"/>
            <w:tcBorders>
              <w:right w:val="single" w:sz="4" w:space="0" w:color="auto"/>
            </w:tcBorders>
          </w:tcPr>
          <w:p w:rsidR="00D85DEC" w:rsidRPr="003410CD" w:rsidP="008D3BA7">
            <w:pPr>
              <w:pStyle w:val="CSBody63EN"/>
            </w:pPr>
            <w:r w:rsidRPr="003410CD">
              <w:t>In addition, upon the occurrence of a Credit Event Determination Date prior to an Interest Payment Date, any accrued and unpaid interest on such Complex Product as of the date on which such Credit Event Determination Date has occurred will be cancelled and not be paid to the Holder thereof. In the worst case scenario, (i) a Credit Event Determination Date occurs prior to the first Interest Payment Date, which means that no interest payments on the relevant Complex Products will be made, and (ii) the Auction Redemption Amount or Cash Redemption Amount, as the case may be, is determined to be zero. In such case, the investor would suffer a total loss of its initial investment.</w:t>
            </w:r>
          </w:p>
        </w:tc>
        <w:tc>
          <w:tcPr>
            <w:tcW w:w="2500" w:type="pct"/>
            <w:tcBorders>
              <w:left w:val="single" w:sz="4" w:space="0" w:color="auto"/>
            </w:tcBorders>
          </w:tcPr>
          <w:p w:rsidR="00D85DEC" w:rsidRPr="00D85DEC" w:rsidP="008D3BA7">
            <w:pPr>
              <w:pStyle w:val="CSBody63DE"/>
              <w:rPr>
                <w:lang w:val="de-DE"/>
              </w:rPr>
            </w:pPr>
            <w:r w:rsidRPr="00D85DEC">
              <w:rPr>
                <w:lang w:val="de-DE"/>
              </w:rPr>
              <w:t>Darüber hinaus verfallen bei Eintritt eines Kreditereignis-Feststellungstags vor einem Zinszahlungstag etwaige zum Termin des Eintritts dieses Kreditereignis-Feststellungstags auf dieses Komplexe Produkt aufgelaufene und noch nicht gezahlte Zinsen und werden nicht an den Inhaber des Komplexen Produkts geleistet. Im schlimmsten Fall (i) tritt vor dem ersten Zinszahlungstag ein Kreditereignis-Feststellungstag ein, d.h. es erfolgen keine Zinszahlungen auf das betreffende Komplexe Produkt, und (ii)  der Auktions-Rückzahlungsbetrag bzw. der Barrückzahlungsbetrag null ist. In diesem Fall würde der Anleger einen Totalverlust seines ursprünglich eingesetzten Kapitals erleiden.</w:t>
            </w:r>
          </w:p>
        </w:tc>
      </w:tr>
      <w:tr w:rsidTr="0078291D">
        <w:tblPrEx>
          <w:tblW w:w="5000" w:type="pct"/>
          <w:tblLook w:val="04A0"/>
        </w:tblPrEx>
        <w:tc>
          <w:tcPr>
            <w:tcW w:w="2500" w:type="pct"/>
            <w:tcBorders>
              <w:right w:val="single" w:sz="4" w:space="0" w:color="auto"/>
            </w:tcBorders>
          </w:tcPr>
          <w:p w:rsidR="00D85DEC" w:rsidRPr="001A262B" w:rsidP="008D3BA7">
            <w:pPr>
              <w:pStyle w:val="CSBody63EN"/>
            </w:pPr>
            <w:r w:rsidRPr="001A262B">
              <w:t>Finally, the applicable Terms and Conditions may provide that, upon occurrence of a Credit Event Determination Date, the Auction Redemption Date (or, in the case of a Fallback Settlement Event, the Cash Redemption Date) of the Complex Products will not occur prior to the Scheduled Maturity Date irrespective of when such Credit Event Determination Date occurs. Consequently, investors will only receive the Auction Redemption Amount or the Cash Redemption Amount, as applicable, on the Scheduled Maturity Date or such later date as determined pursuant to the definition of Auction Redemption Date or Cash Redemption Date, as applicable. Investors should note that they will not receive any interest payments on the Complex Products after the occurrence of a Credit Event Determination Date and they will receive no other payment in respect of the Complex Product other than the Auction Redemption Amount on the Auction Redemption Date or the Cash Redemption Amount on the Cash Redemption Date, as applicable.</w:t>
            </w:r>
          </w:p>
        </w:tc>
        <w:tc>
          <w:tcPr>
            <w:tcW w:w="2500" w:type="pct"/>
            <w:tcBorders>
              <w:left w:val="single" w:sz="4" w:space="0" w:color="auto"/>
            </w:tcBorders>
          </w:tcPr>
          <w:p w:rsidR="00D85DEC" w:rsidRPr="00D85DEC" w:rsidP="0086080A">
            <w:pPr>
              <w:pStyle w:val="CSBody63DE"/>
              <w:rPr>
                <w:lang w:val="de-DE"/>
              </w:rPr>
            </w:pPr>
            <w:r w:rsidRPr="00D85DEC">
              <w:rPr>
                <w:lang w:val="de-DE"/>
              </w:rPr>
              <w:t>Schliesslich können die anwendbaren Emissionsbedingungen vorsehen, dass bei Eintritt eines Kreditereignis-Feststellungstags der Auktions-Rückzahlungstag (oder, im Fall eines Ereignisses der Alternativen Abwicklung, der Barrückzahlungstag) der Komplexen Produkte nicht vor dem Planmässigen Fälligkeitstag eintritt, unabhängig davon, wann der Kreditereignis-Feststellungstag eintritt. Folglich erhalten Anleger nur den Auktions-Rückzahlungsbetrag bzw. den Barrückzahlungsbetrag am Planmässigen Fälligkeitstag oder dem späteren Tag, der sich aus der Definition von Auktions-Rückzahlungstag bzw. Barrückzahlungstag ergibt. Anleger sollten zur Kenntnis nehmen, dass sie nach Eintritt eines Kreditereignis-Feststellungstags keine Zinszahlungen auf die Komplexen Produkte erhalten und dass sie ausser dem Auktions-Rückzahlungsbetrag am Auktions-Rückzahlungstag bzw. dem Barrückzahlungsbetrag am Barrückzahlungstag keine andere Zahlung bezüglich der Komplexen Produkte erhalten.</w:t>
            </w:r>
          </w:p>
        </w:tc>
      </w:tr>
      <w:tr w:rsidTr="0078291D">
        <w:tblPrEx>
          <w:tblW w:w="5000" w:type="pct"/>
          <w:tblLook w:val="04A0"/>
        </w:tblPrEx>
        <w:tc>
          <w:tcPr>
            <w:tcW w:w="2500" w:type="pct"/>
            <w:tcBorders>
              <w:right w:val="single" w:sz="4" w:space="0" w:color="auto"/>
            </w:tcBorders>
          </w:tcPr>
          <w:p w:rsidR="00235C63" w:rsidRPr="00D85DEC" w:rsidP="00E41FF6">
            <w:pPr>
              <w:pStyle w:val="CSHeading3EN"/>
            </w:pPr>
            <w:bookmarkStart w:id="107" w:name="_Toc438227538"/>
            <w:r w:rsidRPr="00D85DEC">
              <w:t>Credit-Linked Complex Products with auction settlement and N</w:t>
            </w:r>
            <w:r w:rsidRPr="00BD6E0D" w:rsidR="00E41FF6">
              <w:rPr>
                <w:vertAlign w:val="superscript"/>
              </w:rPr>
              <w:t>t</w:t>
            </w:r>
            <w:r w:rsidRPr="00E41FF6" w:rsidR="00E41FF6">
              <w:rPr>
                <w:vertAlign w:val="superscript"/>
              </w:rPr>
              <w:t>h</w:t>
            </w:r>
            <w:r w:rsidRPr="00D85DEC">
              <w:t>-to-Default structure</w:t>
            </w:r>
            <w:bookmarkEnd w:id="107"/>
          </w:p>
        </w:tc>
        <w:tc>
          <w:tcPr>
            <w:tcW w:w="2500" w:type="pct"/>
            <w:tcBorders>
              <w:left w:val="single" w:sz="4" w:space="0" w:color="auto"/>
            </w:tcBorders>
          </w:tcPr>
          <w:p w:rsidR="00235C63" w:rsidRPr="00D85DEC" w:rsidP="0081441A">
            <w:pPr>
              <w:pStyle w:val="CSHeading3DE"/>
              <w:rPr>
                <w:lang w:val="de-DE"/>
              </w:rPr>
            </w:pPr>
            <w:bookmarkStart w:id="108" w:name="_Toc438160286"/>
            <w:r w:rsidRPr="00D85DEC">
              <w:rPr>
                <w:lang w:val="de-DE"/>
              </w:rPr>
              <w:t>Kreditbezogene Komplexe Produkte mit Auktionsabwicklung und N</w:t>
            </w:r>
            <w:r w:rsidRPr="00BD6E0D">
              <w:rPr>
                <w:vertAlign w:val="superscript"/>
                <w:lang w:val="de-DE"/>
              </w:rPr>
              <w:t>th</w:t>
            </w:r>
            <w:r w:rsidRPr="00D85DEC">
              <w:rPr>
                <w:lang w:val="de-DE"/>
              </w:rPr>
              <w:t>-to-Default-Struktur</w:t>
            </w:r>
            <w:bookmarkEnd w:id="108"/>
          </w:p>
        </w:tc>
      </w:tr>
      <w:tr w:rsidTr="0078291D">
        <w:tblPrEx>
          <w:tblW w:w="5000" w:type="pct"/>
          <w:tblLook w:val="04A0"/>
        </w:tblPrEx>
        <w:tc>
          <w:tcPr>
            <w:tcW w:w="2500" w:type="pct"/>
            <w:tcBorders>
              <w:right w:val="single" w:sz="4" w:space="0" w:color="auto"/>
            </w:tcBorders>
          </w:tcPr>
          <w:p w:rsidR="00D85DEC" w:rsidRPr="005B308A" w:rsidP="0081441A">
            <w:pPr>
              <w:pStyle w:val="CSBody63EN"/>
            </w:pPr>
            <w:r w:rsidRPr="005B308A">
              <w:t>In the case of a Credit-Linked Complex Product with auction settlement and an N</w:t>
            </w:r>
            <w:r w:rsidRPr="00BD6E0D">
              <w:rPr>
                <w:vertAlign w:val="superscript"/>
              </w:rPr>
              <w:t>th</w:t>
            </w:r>
            <w:r w:rsidRPr="005B308A">
              <w:t>-to-Default structure, such Complex Product is linked to multiple Reference Entities and the applicable Terms and Conditions will specify the number of Reference Entities (</w:t>
            </w:r>
            <w:r w:rsidRPr="007E3558" w:rsidR="007E3558">
              <w:rPr>
                <w:i/>
              </w:rPr>
              <w:t>i.e.</w:t>
            </w:r>
            <w:r w:rsidRPr="005B308A">
              <w:t>, "N" Reference Entities) with respect to which a Credit Event Determination Date must occur in order to determine which Reference Entity is the "</w:t>
            </w:r>
            <w:r w:rsidRPr="0081441A">
              <w:rPr>
                <w:b/>
              </w:rPr>
              <w:t>N</w:t>
            </w:r>
            <w:r w:rsidRPr="00BD6E0D">
              <w:rPr>
                <w:vertAlign w:val="superscript"/>
              </w:rPr>
              <w:t>th</w:t>
            </w:r>
            <w:r w:rsidRPr="0081441A">
              <w:rPr>
                <w:b/>
              </w:rPr>
              <w:t>-to-Default Reference Entity</w:t>
            </w:r>
            <w:r w:rsidRPr="005B308A">
              <w:t>" (for the avoidance of doubt, a Credit Event Determination Date may only occur once with respect to each Reference Entity). If no Credit Event Determination Date has occurred prior to the Scheduled Maturity Date with respect to the number "N" Reference Entities specified in the applicable Terms and Conditions (</w:t>
            </w:r>
            <w:r w:rsidRPr="007E3558" w:rsidR="007E3558">
              <w:rPr>
                <w:i/>
              </w:rPr>
              <w:t>i.e.</w:t>
            </w:r>
            <w:r w:rsidRPr="005B308A">
              <w:t>, with respect to the N</w:t>
            </w:r>
            <w:r w:rsidRPr="00BD6E0D">
              <w:rPr>
                <w:vertAlign w:val="superscript"/>
              </w:rPr>
              <w:t>th</w:t>
            </w:r>
            <w:r w:rsidR="00133A2D">
              <w:t>-</w:t>
            </w:r>
            <w:r w:rsidRPr="005B308A">
              <w:t>to-Default Reference Entity), the Complex Products allow the Holder thereof to benefit from the payment of one or more Interest Payment Amounts on the relevant Interest Payment Date(s) and the Issuer will redeem the Complex Products at the Scheduled Redemption Amount on the Scheduled Maturity Date. For example, the applicable Terms and Conditions may specify that N is equal to one (any such Complex Product being referred to as a Complex Product with "first-to-default" structure and the Reference Entity in respect of which a Credit Event Determination Date occurs, being referred to as the "</w:t>
            </w:r>
            <w:r w:rsidRPr="0081441A">
              <w:rPr>
                <w:b/>
              </w:rPr>
              <w:t>1st-to-default Reference Entity</w:t>
            </w:r>
            <w:r w:rsidRPr="005B308A">
              <w:t>"). In such case, only if no Credit Event Determination Date with respect to any of the Reference Entities occurs during the term of the Complex Products, such Complex Products will be redeemed at the Scheduled Redemption Amount on the Scheduled Maturity Date. Alternatively, the applicable Terms and Conditions may specify that N is equal to two, three or some other number, which means that only if no Credit Event Determination Date with respect to any potential 2nd, 3rd or other N</w:t>
            </w:r>
            <w:r w:rsidRPr="00BD6E0D">
              <w:rPr>
                <w:vertAlign w:val="superscript"/>
              </w:rPr>
              <w:t>th</w:t>
            </w:r>
            <w:r w:rsidRPr="005B308A">
              <w:t xml:space="preserve"> Reference Entity occurs during the term of the Complex Products, will such Complex Products be redeemed at the Scheduled Redemption Amount on the Scheduled Maturity Date. However, even if no Credit Event Determination Date has occurred on or prior to the Scheduled Maturity Date, if a Potential Credit Event Period with respect to one or more Potential N</w:t>
            </w:r>
            <w:r w:rsidRPr="00BD6E0D">
              <w:rPr>
                <w:vertAlign w:val="superscript"/>
              </w:rPr>
              <w:t>th</w:t>
            </w:r>
            <w:r w:rsidRPr="005B308A">
              <w:t>-to-Default Reference Entities has occurred on or prior to, and is continuing on, the Scheduled Maturity Date, the Scheduled Maturity Date (and any payments of principal and interest in respect of such Complex Products otherwise scheduled to be made on such date) will be postponed to a Business Day shortly after the last day of the relevant Potential Credit Event Period. In such case any principal and interest on the Complex Products will only be paid if the relevant Potential Failure to Pay (or, if provided for in the applicable Terms and Conditions, the relevant Potential Repudiation/Moratorium) or a DC Pending Request, as applicable, has not resulted in the occurrence of a Credit Event Determination Date with respect to any such Potential N</w:t>
            </w:r>
            <w:r w:rsidRPr="00BD6E0D">
              <w:rPr>
                <w:vertAlign w:val="superscript"/>
              </w:rPr>
              <w:t>th</w:t>
            </w:r>
            <w:r w:rsidRPr="005B308A">
              <w:t>-to-Default Reference Entity and such Reference Entity is determined to be the N</w:t>
            </w:r>
            <w:r w:rsidRPr="00BD6E0D">
              <w:rPr>
                <w:vertAlign w:val="superscript"/>
              </w:rPr>
              <w:t>th</w:t>
            </w:r>
            <w:r w:rsidRPr="005B308A">
              <w:t xml:space="preserve">-to-Default Reference Entity on or prior to the related Potential Credit Event Period (in respect of any outstanding interest payments, such interest payments will not be paid only, if it is determined during the Potential Credit Event Period that a Credit Event Dertermination Date has occurred </w:t>
            </w:r>
            <w:r w:rsidRPr="0081441A">
              <w:rPr>
                <w:b/>
              </w:rPr>
              <w:t>prior to</w:t>
            </w:r>
            <w:r w:rsidRPr="005B308A">
              <w:t xml:space="preserve"> the Scheduled Maturity Date). Likewise, if a Potential Credit Event Period with respect to any Potential N</w:t>
            </w:r>
            <w:r w:rsidRPr="00BD6E0D">
              <w:rPr>
                <w:vertAlign w:val="superscript"/>
              </w:rPr>
              <w:t>th</w:t>
            </w:r>
            <w:r w:rsidRPr="005B308A">
              <w:t>-to-Default Reference Entity has occurred on or prior to, and is continuing on, an Interest Payment Date, any payment of interest will be postponed to a Business Day shortly after the last day of the Potential Credit Event Period. In each case the Issuer will not be liable for additional interest or other payments to the Holders of the Complex Products by reason of any such delayed payment.</w:t>
            </w:r>
          </w:p>
        </w:tc>
        <w:tc>
          <w:tcPr>
            <w:tcW w:w="2500" w:type="pct"/>
            <w:tcBorders>
              <w:left w:val="single" w:sz="4" w:space="0" w:color="auto"/>
            </w:tcBorders>
          </w:tcPr>
          <w:p w:rsidR="00D85DEC" w:rsidRPr="00D85DEC" w:rsidP="0081441A">
            <w:pPr>
              <w:pStyle w:val="CSBody63DE"/>
              <w:rPr>
                <w:lang w:val="de-DE"/>
              </w:rPr>
            </w:pPr>
            <w:r w:rsidRPr="00D85DEC">
              <w:rPr>
                <w:lang w:val="de-DE"/>
              </w:rPr>
              <w:t>Bei einem Kreditbezogenen Komplexen Produkt mit Auktionsabwicklung und N</w:t>
            </w:r>
            <w:r w:rsidRPr="00BD6E0D">
              <w:rPr>
                <w:vertAlign w:val="superscript"/>
                <w:lang w:val="de-DE"/>
              </w:rPr>
              <w:t>th</w:t>
            </w:r>
            <w:r w:rsidRPr="00D85DEC">
              <w:rPr>
                <w:lang w:val="de-DE"/>
              </w:rPr>
              <w:t>-to-Default-Struktur ist das Komplexe Produkt an mehrere Referenzschuldner gekoppelt und die anwendbaren Emissionsbedingungen legen die Anzahl der Referenzschuldner fest (d.h. "N" Referenzschuldner), in Bezug auf welche ein Kreditereignis-Feststellungstag eintreten muss, um festzustellen, welcher Referenzschuldner der "</w:t>
            </w:r>
            <w:r w:rsidRPr="0081441A">
              <w:rPr>
                <w:b/>
                <w:lang w:val="de-DE"/>
              </w:rPr>
              <w:t>N</w:t>
            </w:r>
            <w:r w:rsidRPr="00BD6E0D">
              <w:rPr>
                <w:vertAlign w:val="superscript"/>
                <w:lang w:val="de-DE"/>
              </w:rPr>
              <w:t>th</w:t>
            </w:r>
            <w:r w:rsidRPr="0081441A">
              <w:rPr>
                <w:b/>
                <w:lang w:val="de-DE"/>
              </w:rPr>
              <w:t>-to-Default-Referenzschuldner</w:t>
            </w:r>
            <w:r w:rsidRPr="00D85DEC">
              <w:rPr>
                <w:lang w:val="de-DE"/>
              </w:rPr>
              <w:t xml:space="preserve">" ist (zur Klarstellung: ein Ereignisfeststellungstag kann in Bezug auf einen Referenzschuldner nur einmal eintreten). </w:t>
            </w:r>
            <w:r w:rsidRPr="0081441A">
              <w:rPr>
                <w:b/>
                <w:lang w:val="de-DE"/>
              </w:rPr>
              <w:t>Sofern kein Kreditereignis-Feststellungstag</w:t>
            </w:r>
            <w:r w:rsidRPr="00D85DEC">
              <w:rPr>
                <w:lang w:val="de-DE"/>
              </w:rPr>
              <w:t xml:space="preserve"> in Bezug auf die in den anwendbaren Emissionsbedingungen angegebene Zahl "N" von Referenzschuldnern (also in Bezug auf den N</w:t>
            </w:r>
            <w:r w:rsidRPr="00BD6E0D">
              <w:rPr>
                <w:vertAlign w:val="superscript"/>
                <w:lang w:val="de-DE"/>
              </w:rPr>
              <w:t>th</w:t>
            </w:r>
            <w:r w:rsidRPr="00D85DEC">
              <w:rPr>
                <w:lang w:val="de-DE"/>
              </w:rPr>
              <w:t xml:space="preserve">-to-Default-Referenzschuldner) am oder vor dem Planmässigen Fälligkeitstag </w:t>
            </w:r>
            <w:r w:rsidRPr="0081441A">
              <w:rPr>
                <w:b/>
                <w:lang w:val="de-DE"/>
              </w:rPr>
              <w:t>eingetreten ist</w:t>
            </w:r>
            <w:r w:rsidRPr="00D85DEC">
              <w:rPr>
                <w:lang w:val="de-DE"/>
              </w:rPr>
              <w:t>, ermöglichen es die Komplexen Produkte ihrem Inhaber, die Zahlung eines oder mehrerer Zinszahlungsbeträge am jeweiligen Zinszahlungstag bzw. an den jeweiligen Zinszahlungstagen zu erhalten, und die Emittentin zahlt die Komplexen Produkte zum Planmässigen Rückzahlungsbetrag am Planmässigen Fälligkeitstag zurück. Die anwendbaren Emissionsbedingungen können beispielsweise vorsehen, dass N eins entspricht (ein solches Komplexes Produkt ein Komplexes Produkt mit "first-to-default" Struktur und der Referenzschuldner, in Bezug auf den ein Kreditereignis-Feststellungstag eintritt, der "</w:t>
            </w:r>
            <w:r w:rsidRPr="0081441A">
              <w:rPr>
                <w:b/>
                <w:lang w:val="de-DE"/>
              </w:rPr>
              <w:t>1st-to-Default-Referenzschuldner</w:t>
            </w:r>
            <w:r w:rsidRPr="00D85DEC">
              <w:rPr>
                <w:lang w:val="de-DE"/>
              </w:rPr>
              <w:t>"). In einem solchen Fall werden die Komplexen Produkte nur dann zum Planmässigen Rückzahlungstag am Planmässigen Fälligkeitstag zurückgezahlt, wenn in Bezug auf keinen der Referenzschuldner während der Laufzeit der Komplexen Produkte ein Kreditereignis-Feststellungstag eingetreten ist. Die anwendbaren Emissionsbedingungen können stattdessen auch vorsehen, dass N der Zahl zwei, drei oder einer anderen Zahl entspricht, so dass die Komplexen Produkte nur dann zum Planmässigen Rückzahlungsbetrag am Planmässigen Fälligkeitstag zurückgezahlt werden, wenn in Bezug auf keinen potenziellen zweiten, dritten oder anderen N</w:t>
            </w:r>
            <w:r w:rsidRPr="00BD6E0D">
              <w:rPr>
                <w:vertAlign w:val="superscript"/>
                <w:lang w:val="de-DE"/>
              </w:rPr>
              <w:t>th</w:t>
            </w:r>
            <w:r w:rsidRPr="00D85DEC">
              <w:rPr>
                <w:lang w:val="de-DE"/>
              </w:rPr>
              <w:t>-do-default-Referenzschuldner während der Laufzeit der Komplexen Produkte ein Kreditereignis-Feststellungstag eingetreten ist. Ist zwar kein Kreditereignis-Feststellungstag am oder vor dem Planmässigen Fälligkeitstag eingetreten, hat aber ein Zeitraum eines Potenziellen Kreditereignisses in Bezug auf einen oder mehrere Potenzielle N</w:t>
            </w:r>
            <w:r w:rsidRPr="00BD6E0D">
              <w:rPr>
                <w:vertAlign w:val="superscript"/>
                <w:lang w:val="de-DE"/>
              </w:rPr>
              <w:t>th</w:t>
            </w:r>
            <w:r w:rsidRPr="00D85DEC">
              <w:rPr>
                <w:lang w:val="de-DE"/>
              </w:rPr>
              <w:t>-do-default-Referenzschuldner an oder vor dem Planmässigen Fälligkeitstag begonnen und dauert am Planmässigen Fälligkeitstag an, so gilt folgendes: der Planmässige Fälligkeitstag (und alle Zahlungen in Bezug auf Zinsen und Kapital, die andernfalls an diesem Tag in Bezug auf die Komplexen Produkte gemacht werden würden) wird auf einen Geschäftstag kurz nach dem letzten Tag des Zeitraums eines Potenziellen Kreditereignisses verschoben. In einem solchen Fall erfolgen Zahlungen von Kapital und Zinsen auf die Komplexen Produkte aber nur unter der Voraussetzung, dass während dieses Zeitraums eines Potenziellen Kreditereignisses die jeweilige Potenzielle Nichtzahlung (oder, falls die anwendbaren Emissionsbedingungen dies vorsehen, die jeweilige Potenzielle Nichtanerkennung/das jeweilige Potenzielle Moratorium) oder ein Ausstehender Antrag nicht zum Eintritt eines Kreditereignis</w:t>
            </w:r>
            <w:r w:rsidR="00133A2D">
              <w:rPr>
                <w:lang w:val="de-DE"/>
              </w:rPr>
              <w:t>-</w:t>
            </w:r>
            <w:r w:rsidRPr="00D85DEC">
              <w:rPr>
                <w:lang w:val="de-DE"/>
              </w:rPr>
              <w:t>Feststellungstags bezüglich irgend eines dieser Potenziellen N</w:t>
            </w:r>
            <w:r w:rsidRPr="00BD6E0D">
              <w:rPr>
                <w:vertAlign w:val="superscript"/>
                <w:lang w:val="de-DE"/>
              </w:rPr>
              <w:t>th</w:t>
            </w:r>
            <w:r w:rsidRPr="00D85DEC">
              <w:rPr>
                <w:lang w:val="de-DE"/>
              </w:rPr>
              <w:t>-do-default-Referenzschuldner führt und an oder vor dem letzten Tag des diesbezüglichen Zeitraums eines Potenzilellen Kreditereignisses festgestellt wird, dass dieser Referenzschuldner der N</w:t>
            </w:r>
            <w:r w:rsidRPr="00BD6E0D">
              <w:rPr>
                <w:vertAlign w:val="superscript"/>
                <w:lang w:val="de-DE"/>
              </w:rPr>
              <w:t>th</w:t>
            </w:r>
            <w:r w:rsidRPr="00D85DEC">
              <w:rPr>
                <w:lang w:val="de-DE"/>
              </w:rPr>
              <w:t xml:space="preserve">-to-Default-Referenzschuldner ist (bezüglich ausstehender Zinszahlungen werden diese Zinszahlungen nur dann nicht gezahlt, wenn während des Zeitraums eines Potenziellen Kreditereignisses festgestellt wird, dass ein Kreditereignis-Feststellungstag </w:t>
            </w:r>
            <w:r w:rsidRPr="0081441A">
              <w:rPr>
                <w:b/>
                <w:lang w:val="de-DE"/>
              </w:rPr>
              <w:t>vor dem</w:t>
            </w:r>
            <w:r w:rsidRPr="00D85DEC">
              <w:rPr>
                <w:lang w:val="de-DE"/>
              </w:rPr>
              <w:t xml:space="preserve"> Planmässigen Fälligkeitstag eingetreten ist). Gleichfalls gilt: wenn ein Zeitraum eines Potenziellen Kreditereignisses in Bezug auf einen Potenziellen N</w:t>
            </w:r>
            <w:r w:rsidRPr="00BD6E0D">
              <w:rPr>
                <w:vertAlign w:val="superscript"/>
                <w:lang w:val="de-DE"/>
              </w:rPr>
              <w:t>th</w:t>
            </w:r>
            <w:r w:rsidRPr="00D85DEC">
              <w:rPr>
                <w:lang w:val="de-DE"/>
              </w:rPr>
              <w:t>-to-default-Referenzschuldner an oder vor einem Zinszahlungstag eingetreten ist und an diesem Tag andauert, wird die Zahlung von Zinsen auf einen Geschäftstag kurz nach dem letzten Tag eines solchen Zeitraums eines Potenziellen Kreditereignisses verschoben. In jedem Fall schuldet die Emittentin den Inhabern der Komplexen Produkte keine zusätzlichen Zins- oder sonstige Zahlungen aufgrund einer solchen verzögerten Zahlung.</w:t>
            </w:r>
          </w:p>
        </w:tc>
      </w:tr>
      <w:tr w:rsidTr="0078291D">
        <w:tblPrEx>
          <w:tblW w:w="5000" w:type="pct"/>
          <w:tblLook w:val="04A0"/>
        </w:tblPrEx>
        <w:tc>
          <w:tcPr>
            <w:tcW w:w="2500" w:type="pct"/>
            <w:tcBorders>
              <w:right w:val="single" w:sz="4" w:space="0" w:color="auto"/>
            </w:tcBorders>
          </w:tcPr>
          <w:p w:rsidR="00D85DEC" w:rsidRPr="005108C3" w:rsidP="0081441A">
            <w:pPr>
              <w:pStyle w:val="CSBody63EN"/>
            </w:pPr>
            <w:r w:rsidRPr="00E62B3F">
              <w:rPr>
                <w:b/>
              </w:rPr>
              <w:t>Upon the occurrence of a Credit Event Determination Date</w:t>
            </w:r>
            <w:r w:rsidRPr="005108C3">
              <w:t xml:space="preserve"> with respect to the N</w:t>
            </w:r>
            <w:r w:rsidRPr="00BD6E0D">
              <w:rPr>
                <w:vertAlign w:val="superscript"/>
              </w:rPr>
              <w:t>th</w:t>
            </w:r>
            <w:r w:rsidRPr="005108C3">
              <w:t>-to-Default Reference Entity on or prior to the Scheduled Maturity Date (subject to extension if any Reference Entity is a Potential N</w:t>
            </w:r>
            <w:r w:rsidRPr="00BD6E0D">
              <w:rPr>
                <w:vertAlign w:val="superscript"/>
              </w:rPr>
              <w:t>th</w:t>
            </w:r>
            <w:r w:rsidRPr="005108C3">
              <w:t>-to-Default Reference Entity on the Scheduled Maturity Date), instead of being redeemed at the Scheduled Redemption Amount on the Scheduled Maturity Date, such Complex Product will be redeemed by payment of a cash amount to the Holder thereof equal to the Auction Redemption Amount with respect to the N</w:t>
            </w:r>
            <w:r w:rsidRPr="00BD6E0D">
              <w:rPr>
                <w:vertAlign w:val="superscript"/>
              </w:rPr>
              <w:t>th</w:t>
            </w:r>
            <w:r w:rsidRPr="005108C3">
              <w:t>-to-Default Reference Entity on the Auction Redemption Date (provided that no Fallback Settlement Event has occurred). The Calculation Agent will determine the Auction Redemption Amount on the basis of the Auction Final Price of the N</w:t>
            </w:r>
            <w:r w:rsidRPr="00BD6E0D">
              <w:rPr>
                <w:vertAlign w:val="superscript"/>
              </w:rPr>
              <w:t>th</w:t>
            </w:r>
            <w:r w:rsidRPr="005108C3">
              <w:t>-to-Default Reference Entity. The Auction Final Price of the N</w:t>
            </w:r>
            <w:r w:rsidRPr="00BD6E0D">
              <w:rPr>
                <w:vertAlign w:val="superscript"/>
              </w:rPr>
              <w:t>th</w:t>
            </w:r>
            <w:r w:rsidRPr="005108C3">
              <w:t>-to-Default Reference Entity will be determined by the relevant Credit Derivatives Determinations Committee in accordance with an auction conducted by ISDA. Alternatively, if a Fallback Settlement Event has occurred, the Cash Redemption Amount rather than the Auction Redemption Amount will be payable per Complex Product by the Issuer to the Holder thereof on the Cash Redemption Date. Such amount will be determined based upon one or more quotations for certain obligations of the N</w:t>
            </w:r>
            <w:r w:rsidRPr="00BD6E0D">
              <w:rPr>
                <w:vertAlign w:val="superscript"/>
              </w:rPr>
              <w:t>th</w:t>
            </w:r>
            <w:r w:rsidRPr="005108C3">
              <w:t xml:space="preserve">-to-Default Reference Entity specified in the applicable Terms and Conditions, obtained by the Calculation Agent from banks or securities trading firms. The Auction Redemption Amount or the Cash Redemption Amount, as the case may be, will generally be considerably less than the Holder's initial investment in such Complex Product. </w:t>
            </w:r>
          </w:p>
        </w:tc>
        <w:tc>
          <w:tcPr>
            <w:tcW w:w="2500" w:type="pct"/>
            <w:tcBorders>
              <w:left w:val="single" w:sz="4" w:space="0" w:color="auto"/>
            </w:tcBorders>
          </w:tcPr>
          <w:p w:rsidR="00D85DEC" w:rsidRPr="00D85DEC" w:rsidP="00E62B3F">
            <w:pPr>
              <w:pStyle w:val="CSBody63EN"/>
              <w:rPr>
                <w:lang w:val="de-DE"/>
              </w:rPr>
            </w:pPr>
            <w:r w:rsidRPr="00E62B3F">
              <w:rPr>
                <w:b/>
                <w:lang w:val="de-DE"/>
              </w:rPr>
              <w:t>Tritt</w:t>
            </w:r>
            <w:r w:rsidRPr="00D85DEC">
              <w:rPr>
                <w:lang w:val="de-DE"/>
              </w:rPr>
              <w:t xml:space="preserve"> in Bezug auf den N</w:t>
            </w:r>
            <w:r w:rsidRPr="00BD6E0D">
              <w:rPr>
                <w:vertAlign w:val="superscript"/>
                <w:lang w:val="de-DE"/>
              </w:rPr>
              <w:t>th</w:t>
            </w:r>
            <w:r w:rsidRPr="00D85DEC">
              <w:rPr>
                <w:lang w:val="de-DE"/>
              </w:rPr>
              <w:t>-to-Default-Referenzschuldner an oder vor dem Planmässigen Fälligkeitstag (vorbehaltlich einer Verlängerung im Fall dass ein Referenzschuldner ein Potenzieller N</w:t>
            </w:r>
            <w:r w:rsidRPr="00BD6E0D">
              <w:rPr>
                <w:vertAlign w:val="superscript"/>
                <w:lang w:val="de-DE"/>
              </w:rPr>
              <w:t>th</w:t>
            </w:r>
            <w:r w:rsidRPr="00D85DEC">
              <w:rPr>
                <w:lang w:val="de-DE"/>
              </w:rPr>
              <w:t xml:space="preserve">-to-Default-Referenzschuldner am Planmässigen Fälligkeitstag ist) </w:t>
            </w:r>
            <w:r w:rsidRPr="00E62B3F">
              <w:rPr>
                <w:b/>
                <w:lang w:val="de-DE"/>
              </w:rPr>
              <w:t>ein Kreditereignis-Feststellungstag ein</w:t>
            </w:r>
            <w:r w:rsidRPr="00D85DEC">
              <w:rPr>
                <w:lang w:val="de-DE"/>
              </w:rPr>
              <w:t>, so wird dieses Komplexe Produkt nicht zum Planmässigen Rückzahlungsbetrag am Planmässigen Fälligkeitstag an den Inhaber zurückgezahlt, sondern durch Zahlung eines Barbetrags in Höhe des Auktions-Rückzahlungsbetrags in Bezug auf den N</w:t>
            </w:r>
            <w:r w:rsidRPr="00BD6E0D">
              <w:rPr>
                <w:vertAlign w:val="superscript"/>
                <w:lang w:val="de-DE"/>
              </w:rPr>
              <w:t>th</w:t>
            </w:r>
            <w:r w:rsidRPr="00D85DEC">
              <w:rPr>
                <w:lang w:val="de-DE"/>
              </w:rPr>
              <w:t>-to-Default-Referenzschuldner am Auktions-Rückzahlungstag (vorausgesetzt dass kein Ereignis der Alternativen Abwicklung eingetreten ist). Die Berechnungsstelle bestimmt den Auktions-Rückzahlungsbetrag auf der Grundlage des Auktions-Endpreises des N</w:t>
            </w:r>
            <w:r w:rsidRPr="00BD6E0D">
              <w:rPr>
                <w:vertAlign w:val="superscript"/>
                <w:lang w:val="de-DE"/>
              </w:rPr>
              <w:t>th</w:t>
            </w:r>
            <w:r w:rsidRPr="00D85DEC">
              <w:rPr>
                <w:lang w:val="de-DE"/>
              </w:rPr>
              <w:t>-to-Default-Referenzschuldners. Der Auktions-Endpreis des N</w:t>
            </w:r>
            <w:r w:rsidRPr="00BD6E0D">
              <w:rPr>
                <w:vertAlign w:val="superscript"/>
                <w:lang w:val="de-DE"/>
              </w:rPr>
              <w:t>th</w:t>
            </w:r>
            <w:r w:rsidRPr="00D85DEC">
              <w:rPr>
                <w:lang w:val="de-DE"/>
              </w:rPr>
              <w:t>-to-Default-Referenzschuldners wird von dem zuständigen Kreditderivate-Feststellungsausschuss nach Massgabe einer von ISDA durchgeführten Auktion berechnet. Falls dagegen ein Ereignis der Alternativen Abwicklung eingetreten ist, hat die Emittentin nicht den Auktions-Rückzahlungsbetrag, sondern den Barrückzahlungsbetrag je Komplexes Produkt am Barrückzahlungstag an den Inhaber des Komplexen Produkts zu zahlen. Dieser Betrag wird auf der Grundlage einer oder mehrerer Quotierungen für in den anwendbaren Emissionsbedingungen angegebene Verbindlichkeiten des N</w:t>
            </w:r>
            <w:r w:rsidRPr="00BD6E0D">
              <w:rPr>
                <w:vertAlign w:val="superscript"/>
                <w:lang w:val="de-DE"/>
              </w:rPr>
              <w:t>th</w:t>
            </w:r>
            <w:r w:rsidRPr="00D85DEC">
              <w:rPr>
                <w:lang w:val="de-DE"/>
              </w:rPr>
              <w:t>-to-Default-Referenzschuldners, die die Berechnungsstelle von Banken oder Wertpapierhandelsunternehmen eingeholt hat, bestimmt. Der Auktions-Rückzahlungsbetrag bzw. der Barrückzahlungsbetrag ist in der Regel wesentlich geringer als der von dem Inhaber ursprünglich eingesetzte Kapitalbetrag.</w:t>
            </w:r>
          </w:p>
        </w:tc>
      </w:tr>
      <w:tr w:rsidTr="0078291D">
        <w:tblPrEx>
          <w:tblW w:w="5000" w:type="pct"/>
          <w:tblLook w:val="04A0"/>
        </w:tblPrEx>
        <w:tc>
          <w:tcPr>
            <w:tcW w:w="2500" w:type="pct"/>
            <w:tcBorders>
              <w:right w:val="single" w:sz="4" w:space="0" w:color="auto"/>
            </w:tcBorders>
          </w:tcPr>
          <w:p w:rsidR="00D85DEC" w:rsidRPr="00BC24DF" w:rsidP="00133A2D">
            <w:pPr>
              <w:pStyle w:val="CSBody63EN"/>
            </w:pPr>
            <w:r w:rsidRPr="00BC24DF">
              <w:t>In addition, upon the occurrence of a Credit Event Determination Date prior to an Interest Payment Date any accrued and unpaid interest on such Complex Product as of the date on which such Credit Event Determination Date has occurred will be cancelled and not be paid to the Holder thereof. In the case of Complex Products with a "first-to-default" structure, a Credit Event Determination Date only needs to occur with respect to one Reference Entity out of all the Reference Entities in order to trigger the above</w:t>
            </w:r>
            <w:r w:rsidR="00133A2D">
              <w:t xml:space="preserve"> </w:t>
            </w:r>
            <w:r w:rsidRPr="00BC24DF">
              <w:t>described redemption. Consequently, potential investors in a Credit-Linked Complex Product with "first-to-default" structure should be aware that generally there is a significantly increased risk (which risk is typically the higher the higher the number of Reference Entities is that the Complex Product is linked to) that (i) such Complex Product will cease to bear interest at some point prior to the Scheduled Maturity Date and (ii) instead of being redeemed at the Scheduled Redemption Amount on the Scheduled Maturity Date, such Complex Product will be redeemed at the relevant Auction Redemption Amount on the Auction Redemption Date or at the Cash Settlement Amount on the Cash Redemption Date, as applicable.</w:t>
            </w:r>
          </w:p>
        </w:tc>
        <w:tc>
          <w:tcPr>
            <w:tcW w:w="2500" w:type="pct"/>
            <w:tcBorders>
              <w:left w:val="single" w:sz="4" w:space="0" w:color="auto"/>
            </w:tcBorders>
          </w:tcPr>
          <w:p w:rsidR="00D85DEC" w:rsidRPr="00D85DEC" w:rsidP="00E62B3F">
            <w:pPr>
              <w:pStyle w:val="CSBody63DE"/>
              <w:rPr>
                <w:lang w:val="de-DE"/>
              </w:rPr>
            </w:pPr>
            <w:r w:rsidRPr="00D85DEC">
              <w:rPr>
                <w:lang w:val="de-DE"/>
              </w:rPr>
              <w:t>Darüber hinaus verfallen bei Eintritt eines Kreditereignis-Feststellungstag vor einem Zinszahlungstag etwaige zum Tag des Eintritts dieses Kreditereignis-Feststellungstags auf dieses Komplexe Produkt aufgelaufene und noch nicht gezahlte Zinsen und werden nicht an den Inhaber des Komplexen Produkts geleistet. Bei Komplexen Produkten mit "First-to-Default"-Struktur muss nur in Bezug auf einen Referenzschuldner aus der Gesamtheit der Referenzschuldner ein Kreditereignis-Feststellungstag eintreten, damit die vorstehend beschriebene Rückzahlung ausgelöst wird. Potenzielle Anleger in ein Kreditbezogenes Komplexes Produkt mit "First-to-Default"-Struktur sollten sich bewusst sein, dass im Allgemeinen ein wesentlich höheres Risiko besteht (wobei das Risiko typischerweise umso grösser ist, je grösser die Anzahl der Referenzschuldner ist), dass (i) die Verzinsung eines solchen Komplexen Produkts vor der Planmässigen Fälligkeit endet und (ii) dieses Komplexen Produkt nicht zum Planmässigen Rückzahlungsbetrag zur Planmässigen Fälligkeit, sondern zum relevanten Auktions-Rückzahlungsbetrag am Auktions-Rückzahlungstag bzw. zum Barrückzahlungsbetrag am Barrückzahlungstag zurückgezahlt wird.</w:t>
            </w:r>
          </w:p>
        </w:tc>
      </w:tr>
      <w:tr w:rsidTr="0078291D">
        <w:tblPrEx>
          <w:tblW w:w="5000" w:type="pct"/>
          <w:tblLook w:val="04A0"/>
        </w:tblPrEx>
        <w:tc>
          <w:tcPr>
            <w:tcW w:w="2500" w:type="pct"/>
            <w:tcBorders>
              <w:right w:val="single" w:sz="4" w:space="0" w:color="auto"/>
            </w:tcBorders>
          </w:tcPr>
          <w:p w:rsidR="00D85DEC" w:rsidRPr="004E7F4A" w:rsidP="00E62B3F">
            <w:pPr>
              <w:pStyle w:val="CSBody63EN"/>
            </w:pPr>
            <w:r w:rsidRPr="004E7F4A">
              <w:t>In the worst case scenario, (i) a Credit Event Determination Date with respect to the N</w:t>
            </w:r>
            <w:r w:rsidRPr="00BD6E0D">
              <w:rPr>
                <w:vertAlign w:val="superscript"/>
              </w:rPr>
              <w:t>th</w:t>
            </w:r>
            <w:r w:rsidRPr="004E7F4A">
              <w:t>-to-Default Reference Entity occurs prior to the first Interest Payment Date, which means that no interest payments on the relevant Complex Products will be made, and (ii) the Auction Redemption Amount or Cash Redemption Amount, as the case may be, is determined to be zero. In such case, the investor would suffer a total loss of its initial investment.</w:t>
            </w:r>
          </w:p>
        </w:tc>
        <w:tc>
          <w:tcPr>
            <w:tcW w:w="2500" w:type="pct"/>
            <w:tcBorders>
              <w:left w:val="single" w:sz="4" w:space="0" w:color="auto"/>
            </w:tcBorders>
          </w:tcPr>
          <w:p w:rsidR="00D85DEC" w:rsidRPr="00D85DEC" w:rsidP="00E62B3F">
            <w:pPr>
              <w:pStyle w:val="CSBody63DE"/>
              <w:rPr>
                <w:lang w:val="de-DE"/>
              </w:rPr>
            </w:pPr>
            <w:r w:rsidRPr="00D85DEC">
              <w:rPr>
                <w:lang w:val="de-DE"/>
              </w:rPr>
              <w:t>Im schlimmsten Fall (i) tritt vor dem ersten Zinszahlungstag ein Kreditereignis-Feststellungstag in Bezug auf den N</w:t>
            </w:r>
            <w:r w:rsidRPr="00BD6E0D">
              <w:rPr>
                <w:vertAlign w:val="superscript"/>
                <w:lang w:val="de-DE"/>
              </w:rPr>
              <w:t>th</w:t>
            </w:r>
            <w:r w:rsidRPr="00D85DEC">
              <w:rPr>
                <w:lang w:val="de-DE"/>
              </w:rPr>
              <w:t>-to-Default-Referenzschuldner ein, d.h. es erfolgen keine Zinszahlungen auf das betreffende Komplexe Produkt, und (ii) wird festgestellt, dass der Auktions-Rückzahlungsbetrag bzw. Barrückzahlungsbetrag null ist. In diesem Fall würde der Anleger einen Totalverlust seines ursprünglich eingesetzten Kapitals erleiden.</w:t>
            </w:r>
          </w:p>
        </w:tc>
      </w:tr>
      <w:tr w:rsidTr="0078291D">
        <w:tblPrEx>
          <w:tblW w:w="5000" w:type="pct"/>
          <w:tblLook w:val="04A0"/>
        </w:tblPrEx>
        <w:tc>
          <w:tcPr>
            <w:tcW w:w="2500" w:type="pct"/>
            <w:tcBorders>
              <w:right w:val="single" w:sz="4" w:space="0" w:color="auto"/>
            </w:tcBorders>
          </w:tcPr>
          <w:p w:rsidR="00D85DEC" w:rsidRPr="00D85DEC" w:rsidP="00E62B3F">
            <w:pPr>
              <w:pStyle w:val="CSHeading3EN"/>
            </w:pPr>
            <w:bookmarkStart w:id="109" w:name="_Toc438227539"/>
            <w:r w:rsidRPr="00D85DEC">
              <w:t>Credit-Linked Complex Products with auction settlement linked to a Basket of Reference Entities</w:t>
            </w:r>
            <w:bookmarkEnd w:id="109"/>
          </w:p>
        </w:tc>
        <w:tc>
          <w:tcPr>
            <w:tcW w:w="2500" w:type="pct"/>
            <w:tcBorders>
              <w:left w:val="single" w:sz="4" w:space="0" w:color="auto"/>
            </w:tcBorders>
          </w:tcPr>
          <w:p w:rsidR="00D85DEC" w:rsidRPr="00D85DEC" w:rsidP="004E599B">
            <w:pPr>
              <w:pStyle w:val="CSHeading3DE"/>
              <w:rPr>
                <w:lang w:val="de-DE"/>
              </w:rPr>
            </w:pPr>
            <w:bookmarkStart w:id="110" w:name="_Toc438160287"/>
            <w:r w:rsidRPr="00D85DEC">
              <w:rPr>
                <w:lang w:val="de-DE"/>
              </w:rPr>
              <w:t>Kreditbezogene Komplexe Produkte mit Auktionsabwicklung, die an einen Korb von Referenzschuldnern gekoppelt sind</w:t>
            </w:r>
            <w:bookmarkEnd w:id="110"/>
          </w:p>
        </w:tc>
      </w:tr>
      <w:tr w:rsidTr="0078291D">
        <w:tblPrEx>
          <w:tblW w:w="5000" w:type="pct"/>
          <w:tblLook w:val="04A0"/>
        </w:tblPrEx>
        <w:tc>
          <w:tcPr>
            <w:tcW w:w="2500" w:type="pct"/>
            <w:tcBorders>
              <w:right w:val="single" w:sz="4" w:space="0" w:color="auto"/>
            </w:tcBorders>
          </w:tcPr>
          <w:p w:rsidR="00D85DEC" w:rsidRPr="00A73A54" w:rsidP="004E599B">
            <w:pPr>
              <w:pStyle w:val="CSBody63EN"/>
            </w:pPr>
            <w:r w:rsidRPr="00A73A54">
              <w:t xml:space="preserve">In the case of a Credit-Linked Complex Product with auction settlement that is linked to a Basket of Reference Entities, </w:t>
            </w:r>
            <w:r w:rsidRPr="004E599B">
              <w:rPr>
                <w:b/>
              </w:rPr>
              <w:t>if no Credit Event Determination Date</w:t>
            </w:r>
            <w:r w:rsidRPr="00A73A54">
              <w:t xml:space="preserve"> with respect to any Reference Entity occurs on or before the Scheduled Maturity Date, such Complex Product allows the Holder thereof to benefit from the payment of one or more Interest Payment Amounts on the relevant Interest Payment Date(s) and the Issuer will redeem the Complex Products at a Scheduled Redemption Amount equal to 100% of the Principal Amount of the Complex Products on the Scheduled Maturity Date. However, even if no Credit Event Determination Date has occurred with respect to any Reference Entity on or prior to the Scheduled Maturity Date, if a Potential Credit Event Period with respect to any Reference Entity has occurred on or prior to, and is continuing on, the Scheduled Maturity Date, any payments of principal and interest in respect of the portion of the  Principal Amount of the Complex Products equal to the Reference Entity Principal Amount of such Reference Entity will be postponed to a Business Day shortly after the last day of the Potential Credit Event Period. However, in such case any principal and interest in respect of such Reference Entity Principal Amount will only be paid if during such Potential Credit Event Period the relevant Potential Failure to Pay (or, if provided for in the applicable Terms and Conditions, the relevant Potential Repudiation/Moratorium) or a DC Pending Request, as applicable, in respect of the relevant Reference Entity has not resulted in the occurrence of a Credit Event Determination Date. Likewise, if a Potential Credit Event Period with respect to any Reference Entity that is not an Affected Reference Entity has occurred prior to, and is continuing on, an Interest Payment Date, the payment of the portion of the relevant Interest Payment Amount in respect of the portion of the Principal Amount of the Complex Products equal to the Reference Entity Principal Amount of such Reference Entity (the </w:t>
            </w:r>
            <w:r w:rsidR="00116653">
              <w:t>"</w:t>
            </w:r>
            <w:r w:rsidRPr="004E599B">
              <w:rPr>
                <w:b/>
              </w:rPr>
              <w:t>Remaining Interest Payment Amount</w:t>
            </w:r>
            <w:r w:rsidR="00116653">
              <w:t>"</w:t>
            </w:r>
            <w:r w:rsidRPr="00A73A54">
              <w:t>) will be postponed to a Business Day shortly after the last day of the Potential Credit Event Period. However, in such case the Remaining Interest Payment Amount will only be paid if during such Potential Credit Event Period the relevant Potential Failure to Pay (or, if provided for in the applicable Terms and Conditions, the relevant Potential Repudiation/Moratorium) or a DC Pending Request, as applicable, in respect of the relevant Reference Entity has not resulted in the occurrence of a Credit Event Determination Date. In each case the Issuer will not be liable for additional interest or other payments to the Holders of the Complex Products by reason of any such delayed payment.</w:t>
            </w:r>
          </w:p>
        </w:tc>
        <w:tc>
          <w:tcPr>
            <w:tcW w:w="2500" w:type="pct"/>
            <w:tcBorders>
              <w:left w:val="single" w:sz="4" w:space="0" w:color="auto"/>
            </w:tcBorders>
          </w:tcPr>
          <w:p w:rsidR="00D85DEC" w:rsidRPr="00D85DEC" w:rsidP="004E599B">
            <w:pPr>
              <w:pStyle w:val="CSBody63DE"/>
              <w:rPr>
                <w:lang w:val="de-DE"/>
              </w:rPr>
            </w:pPr>
            <w:r w:rsidRPr="004E599B">
              <w:rPr>
                <w:b/>
                <w:lang w:val="de-DE"/>
              </w:rPr>
              <w:t>Wenn</w:t>
            </w:r>
            <w:r w:rsidRPr="00D85DEC">
              <w:rPr>
                <w:lang w:val="de-DE"/>
              </w:rPr>
              <w:t xml:space="preserve"> bei einem Kreditbezogenen Komplexen Produkt mit Auktionsabwicklung, das an einen Korb von Referenzschuldnern gekoppelt ist, am oder vor dem Planmässigen Fälligkeitstag </w:t>
            </w:r>
            <w:r w:rsidRPr="004E599B">
              <w:rPr>
                <w:b/>
                <w:lang w:val="de-DE"/>
              </w:rPr>
              <w:t>kein Kreditereignis-Feststellungstag</w:t>
            </w:r>
            <w:r w:rsidRPr="00D85DEC">
              <w:rPr>
                <w:lang w:val="de-DE"/>
              </w:rPr>
              <w:t xml:space="preserve"> in Bezug auf einen der Referenzschuldner </w:t>
            </w:r>
            <w:r w:rsidRPr="004E599B">
              <w:rPr>
                <w:b/>
                <w:lang w:val="de-DE"/>
              </w:rPr>
              <w:t>eingetreten ist</w:t>
            </w:r>
            <w:r w:rsidRPr="00D85DEC">
              <w:rPr>
                <w:lang w:val="de-DE"/>
              </w:rPr>
              <w:t>, ermöglicht es dieses Komplexe Produkt seinem Inhaber, eine oder mehrere Zinszahlungen am jeweiligen Zinszahlungstag bzw. an den jeweiligen Zinszahlungstagen zu erhalten und die Emittentin zahlt die Komplexen Produkte zu einem Planmässigen Rückzahlungsbetrag in Höhe von 100% des Nennbetrags der Komplexen Produkte am Planmässigen Fälligkeitstag zurück. Ist zwar kein Kreditereignis-Feststellungstag am oder vor dem Planmässigen Fälligkeitstag eingetreten, hat aber ein Zeitraum eines Potenziellen Kreditereignisses in Bezug auf einen der Referenzschuldner an oder vor dem Planmässigen Fälligkeitstag begonnen und dauert am Planmässigen Fälligkeitstag an, so gilt folgendes: der Planmässige Fälligkeitstag und alle Zahlungen von Zinsen und Kapital in Bezug auf den Teil des Nennbetrags der Komplexen Produkte, der dem Referenzschuldner-Nennbetrag dieses Referenzschuldners entspricht, wird auf einen Geschäftstag kurz nach dem letzten Tag des Zeitraums eines Potenziellen Kreditereignisses verschoben. In einem solchen Fall erfolgen Zahlungen von Kapital und Zinsen in Bezug auf diesen Referenzschuldner-Nennbetrag aber nur unter der Voraussetzung, dass während dieses Zeitraums eines Potenziellen Kreditereignisses die jeweilige Potenzielle Nichtzahlung (oder, falls die anwendbaren Emissionsbedingungen dies vorsehen, die jeweilige Potenzielle Nichtanerkennung/das jeweilige Potenzielle Moratorium) oder ein Ausstehender Antrag nicht zum Eintritt eines Kreditereignis-Feststellungstags in Bezug auf den jeweiligen Referenzschuldner geführt hat. Gleichfalls gilt: wenn ein Zeitraum eines Potenziellen Kreditereignisses in Bezug auf einen der Referenzschuldner, bei dem es sich nicht um einen Betroffenen Referenzschuldner handelt, vor einem Zinszahlungstag begonnen hat und an diesem Tag andauert, wird der Teil des jeweiligen Zinszahlungsbetrags in Bezug auf den Teil des Nennbetrags der Komplexen Produkte, der dem Referenzschuldner-Nennbetrag dieses Referenzschuldner entspricht (der "</w:t>
            </w:r>
            <w:r w:rsidRPr="004E599B">
              <w:rPr>
                <w:b/>
                <w:lang w:val="de-DE"/>
              </w:rPr>
              <w:t>Rest-Zinszahlungsbetrag</w:t>
            </w:r>
            <w:r w:rsidR="00116653">
              <w:rPr>
                <w:lang w:val="de-DE"/>
              </w:rPr>
              <w:t>"</w:t>
            </w:r>
            <w:r w:rsidRPr="00D85DEC">
              <w:rPr>
                <w:lang w:val="de-DE"/>
              </w:rPr>
              <w:t>), auf einen Geschäftstag kurz nach dem letzten Tag dieses Zeitraums eines Potenziellen Kreditereignisses verschoben. In einem solchen Fall erfolgt die Zahlung des Rest-Zinszahlungsbetrags aber nur unter der Voraussetzung, dass während dieses Zeitraums eines Potenziellen Kreditereignisses die jeweilige Potenzielle Nichtzahlung (oder, falls die anwendbaren Emissionsbedingungen dies vorsehen, die jeweilige Potenzielle Nichtanerkennung/das jeweilige Potenzielle Moratorium) oder ein Ausstehender Antrag nicht zum Eintritt eines Kreditereignis-Feststellungstags in Bezug auf den jeweiligen Referenzschuldner geführt hat. In jedem Fall schuldet die Emittentin den Inhabern der Komplexen Produkte keine zusätzlichen Zins- oder sonstige Zahlungen aufgrund einer solchen verzögerten Zahlung.</w:t>
            </w:r>
          </w:p>
        </w:tc>
      </w:tr>
      <w:tr w:rsidTr="0078291D">
        <w:tblPrEx>
          <w:tblW w:w="5000" w:type="pct"/>
          <w:tblLook w:val="04A0"/>
        </w:tblPrEx>
        <w:tc>
          <w:tcPr>
            <w:tcW w:w="2500" w:type="pct"/>
            <w:tcBorders>
              <w:right w:val="single" w:sz="4" w:space="0" w:color="auto"/>
            </w:tcBorders>
          </w:tcPr>
          <w:p w:rsidR="00D85DEC" w:rsidRPr="00753338" w:rsidP="004E599B">
            <w:pPr>
              <w:pStyle w:val="CSBody63EN"/>
            </w:pPr>
            <w:r w:rsidRPr="004E599B">
              <w:rPr>
                <w:b/>
              </w:rPr>
              <w:t>Upon the occurrence of a Credit Event Determination Date</w:t>
            </w:r>
            <w:r w:rsidRPr="00753338">
              <w:t xml:space="preserve"> with respect to any Reference Entity that is not an Affected Reference Entity (due to the occurrence of a Credit Event Determination Date such Reference Entity becomes an Affected Reference Entity) on or prior to the Scheduled Maturity Date (subject to extension if a Potential Credit Event Period is in effect on the Scheduled Maturity Date in respect of such Reference Entity), the portion of the Principal Amount of the Complex Products equal to the Reference Entity Principal Amount of such Affected Reference Entity will (i) cease to bear interest and any accrued and unpaid interest on such Reference Entity Principal Amount as of the date on which such Credit Event Determination Date has occurred will be cancelled and not be paid to the Holder thereof on the relevant Interest Payment Date and (ii) be redeemed by payment of a cash amount to the Holder thereof equal to the relevant Auction Redemption Amount on the Auction Redemption Date (provided that no Fallback Settlement Event has occurred). Furthermore, the Outstanding Principal Amount, on the basis of which the Scheduled Redemption Amount of the Complex Products is calculated, will be reduced in the amount of the Reference Entity Principal Amount of the Affected Reference Entity. The Calculation Agent will determine the Auction Redemption Amount on the basis of the Auction Final Price of the Affected Reference Entity. The Auction Final Price of the Affected Reference Entity will be determined by the relevant Credit Derivatives Determinations Committee in accordance with an auction conducted by ISDA. Alternatively, if a Fallback Settlement Event has occurred, the Cash Redemption Amount rather than the Auction Redemption Amount will be payable per Complex Product by the Issuer to the Holder thereof on the Cash Redemption Date. Such amount will be determined based upon one or more quotations for certain obligations of the Affected Reference Entity specified in the applicable Terms and Conditions, obtained by the Calculation Agent from banks or securities trading firms. Investors should be aware that any such Auction Redemption Amount or Cash Redemption Amount, as applicable, will generally be considerably less than the Reference Entity Principal Amount by which the Outstanding Principal Amount and consequently the Scheduled Redemption Amount is so reduced and may in certain circumstances be equal to zero. In such case, the greater the number of Reference Entities with respect to which a Credit Event Determination Date occurs on or prior to the Scheduled Maturity Date, the greater the reduction of the Scheduled Redemption Amount will be. Furthermore, the smaller the applicable Auction Redemption Amount or Cash Redemption Amount, as the case may be, the greater the loss suffered by the investor will be. In the worst case scenario, (i) a Credit Event Determination Date with respect to each Reference Entity occurs prior to the first Interest Payment Date, which means that no interest payments on the relevant Complex Products will be made, and (ii), the Auction Redemption Amount or Cash Redemption Amount, as the case may be, in relation to each such Reference Entity is determined to be zero. In such case, the investor would suffer a total loss of its initial investment.</w:t>
            </w:r>
          </w:p>
        </w:tc>
        <w:tc>
          <w:tcPr>
            <w:tcW w:w="2500" w:type="pct"/>
            <w:tcBorders>
              <w:left w:val="single" w:sz="4" w:space="0" w:color="auto"/>
            </w:tcBorders>
          </w:tcPr>
          <w:p w:rsidR="00D85DEC" w:rsidRPr="00D85DEC" w:rsidP="004E599B">
            <w:pPr>
              <w:pStyle w:val="CSBody63DE"/>
              <w:rPr>
                <w:lang w:val="de-DE"/>
              </w:rPr>
            </w:pPr>
            <w:r w:rsidRPr="00D85DEC">
              <w:rPr>
                <w:lang w:val="de-DE"/>
              </w:rPr>
              <w:t xml:space="preserve">Tritt an oder vor dem Planmässigen Fälligkeitstag (vorbehaltlich einer Verlängerung im Fall dass ein Zeitraum eines Potenziellen Kreditereignisses am Planmässigen Fälligkeitstag in Bezug auf diesen Betroffenen Referenzschuldner besteht) </w:t>
            </w:r>
            <w:r w:rsidRPr="004E599B">
              <w:rPr>
                <w:b/>
                <w:lang w:val="de-DE"/>
              </w:rPr>
              <w:t>ein Kreditereignis-Feststellungstag</w:t>
            </w:r>
            <w:r w:rsidRPr="00D85DEC">
              <w:rPr>
                <w:lang w:val="de-DE"/>
              </w:rPr>
              <w:t xml:space="preserve"> in Bezug auf einen Referenzschuldner, bei dem es sich nicht um einen Betroffenen Referenzschuldner handelt, </w:t>
            </w:r>
            <w:r w:rsidRPr="004E599B">
              <w:rPr>
                <w:b/>
                <w:lang w:val="de-DE"/>
              </w:rPr>
              <w:t>ein</w:t>
            </w:r>
            <w:r w:rsidRPr="00D85DEC">
              <w:rPr>
                <w:lang w:val="de-DE"/>
              </w:rPr>
              <w:t xml:space="preserve"> (auf Grund des Eintritts eines Kreditereignis-Feststellungstags wird dieser Referenzschuldner zu einem Betroffenen Referenzschuldner), so (i) endet die Verzinsung des Teils des Nennbetrags der Komplexen Produkte, der dem Referenzschuldner-Nennbetrag dieses Betroffenen Referenzschuldners entspricht, und etwaige zum Termin des Eintritts des Kreditereignis-Feststellungstags auf den Referenzschuldner-Nennbetrag aufgelaufene und noch nicht gezahlte Zinsen verfallen und werden nicht am jeweiligen Zinszahlungstag an den Inhaber dieses Komplexen Produkts gezahlt und (ii) wird der Referenzschuldner-Nennbetrag des Betroffenen Referenzschuldners durch Zahlung eines Barbetrags in Höhe des jeweiligen Auktions-Rückzahlungsbetrags am Auktions-Rückzahlungstag (vorausgesetzt, dass kein Ereignis der Alternativen Abwicklung eingetreten ist) an den Inhaber des Komplexen Produkts zurückgezahlt. Darüber hinaus wird der Ausstehende Nennbetrag, auf dessen Basis des Planmässige Rückzahlungsbetrag der Komplexen Produkte berechnet wird, durch einen Betrag in Höhe des Referenzschuldner-Nennbetrags des Betroffenen Referenzschuldners reduziert. Die Berechnungsstelle bestimmt den Auktions-Rückzahlungsbetrag auf der Grundlage des Auktions-Endpreises des Betroffenen Referenzschuldners. Der Auktions-Endpreis des Betroffenen Referenzschuldners wird von dem zuständigen Kreditderivate-Feststellungsausschuss nach Massgabe einer von ISDA durchgeführten Auktion berechnet. Falls dagegen ein Ereignis der Alternativen Abwicklung eingetreten ist, hat die Emittentin nicht den Auktions-Rückzahlungsbetrag, sondern den Barrückzahlungsbetrag je Komplexes Produkt am Barrückzahlungstag an den Inhaber des Komplexen Produkts zu zahlen. Dieser Betrag wird auf der Grundlage einer oder mehrerer Quotierungen für in den anwendbaren Emissionsbedingungen angegebene Verbindlichkeiten des Betroffenen Referenzschuldners, die die Berechnungsstelle von Banken oder Wertpapierhandelsunternehmen eingeholt hat, bestimmt. Anleger sollten sich darüber im Klaren sein, dass ein solcher Auktions-Rückzahlungsbetrag bzw. Barrückzahlungsbetrag in der Regel wesentlich geringer ist als der Referenzschuldner-Nennbetrag, um den sich der Ausstehende Nennbetrag und folglich der Planmässige Rückzahlungsbetrag verringert, und in bestimmten Fällen null sein kann. In diesem Fall gilt: je mehr Referenzschuldner, in Bezug auf die an oder vor dem Planmässigen Fälligkeitstag ein Kreditereignis-Feststellungstag eintritt, umso geringer der Planmässige Rückzahlungsbetrag. Ferner gilt: je geringer der jeweilige Auktions-Rückzahlungsbetrag bzw. Barrückzahlungsbetrag in Bezug auf jeden dieser Referenzschuldner ist, umso höher ist der von dem Anleger erlittene Verlust. Im schlimmsten Fall (i) tritt vor dem ersten Zinszahlungstag ein Kreditereignis-Feststellungstag in Bezug auf jeden Referenzschuldner ein, d.h. es erfolgen keine Zinszahlungen auf die betreffenden Komplexen Produkte, und (ii) wird festgestellt, dass der Auktions-Rückzahlungsbetrag bzw. Barrückzahlungsbetrag in Bezug auf jeden dieser Referenzschuldner null ist. In diesem Fall würde der Anleger einen Totalverlust seines ursprünglich eingesetzten Kapitals erleiden.</w:t>
            </w:r>
          </w:p>
        </w:tc>
      </w:tr>
      <w:tr w:rsidTr="0078291D">
        <w:tblPrEx>
          <w:tblW w:w="5000" w:type="pct"/>
          <w:tblLook w:val="04A0"/>
        </w:tblPrEx>
        <w:tc>
          <w:tcPr>
            <w:tcW w:w="2500" w:type="pct"/>
            <w:tcBorders>
              <w:right w:val="single" w:sz="4" w:space="0" w:color="auto"/>
            </w:tcBorders>
          </w:tcPr>
          <w:p w:rsidR="00D85DEC" w:rsidRPr="00D85DEC" w:rsidP="004E599B">
            <w:pPr>
              <w:pStyle w:val="CSHeading2EN"/>
            </w:pPr>
            <w:bookmarkStart w:id="111" w:name="_Toc438227540"/>
            <w:r w:rsidRPr="00D85DEC">
              <w:t>Credit-Linked Complex Products with Zero-Recovery feature linked to a Basket</w:t>
            </w:r>
            <w:bookmarkEnd w:id="111"/>
          </w:p>
        </w:tc>
        <w:tc>
          <w:tcPr>
            <w:tcW w:w="2500" w:type="pct"/>
            <w:tcBorders>
              <w:left w:val="single" w:sz="4" w:space="0" w:color="auto"/>
            </w:tcBorders>
          </w:tcPr>
          <w:p w:rsidR="00D85DEC" w:rsidRPr="00D85DEC" w:rsidP="004E599B">
            <w:pPr>
              <w:pStyle w:val="CSHeading2DE"/>
              <w:rPr>
                <w:lang w:val="de-DE"/>
              </w:rPr>
            </w:pPr>
            <w:bookmarkStart w:id="112" w:name="_Toc438160288"/>
            <w:r w:rsidRPr="00D85DEC">
              <w:rPr>
                <w:lang w:val="de-DE"/>
              </w:rPr>
              <w:t>Kreditbezogene Komplexe Produkte mit Zero-Recovery-Merkmal, die an einen Korb gekoppelt sind</w:t>
            </w:r>
            <w:bookmarkEnd w:id="112"/>
          </w:p>
        </w:tc>
      </w:tr>
      <w:tr w:rsidTr="0078291D">
        <w:tblPrEx>
          <w:tblW w:w="5000" w:type="pct"/>
          <w:tblLook w:val="04A0"/>
        </w:tblPrEx>
        <w:tc>
          <w:tcPr>
            <w:tcW w:w="2500" w:type="pct"/>
            <w:tcBorders>
              <w:right w:val="single" w:sz="4" w:space="0" w:color="auto"/>
            </w:tcBorders>
          </w:tcPr>
          <w:p w:rsidR="00D85DEC" w:rsidRPr="0001691C" w:rsidP="00DE2790">
            <w:pPr>
              <w:pStyle w:val="CSBody63EN"/>
            </w:pPr>
            <w:r w:rsidRPr="0001691C">
              <w:t xml:space="preserve">Credit-Linked Complex Products with Zero-Recovery fea-ture linked to a Basket are linked to the creditworthiness of a basket of Reference Entities. By investing in Credit-Linked Complex Products with Zero-Recovery feature linked to a Basket, Holders are exposed to this credit risk relating to such Reference Entities. Different from Credit-Linked Complex Products with Auction Settlement linked to a Basket, upon the occurrence of a Credit Event with respect to a Reference Entity contained in the Basket that is not an Affected Reference Entity (due to the occurrence of a Credit Event Determination Date such Reference Entity becomes an Affected Reference Entity), investors will not receive any redemption amount for the portion of the Principal Amount of the Complex Products equal to the Reference Entity Principal Amount of such Affected Reference Entity, that is, the recovery amount for such Affected Reference Entity will be equal to zero. For the assumption of such credit risk, Holders will receive compensation in the form of increased interest payments. The applicable Terms and Conditions may provide for the application of one or more fixed and/or variable Interest Rates on the basis of which the Interest Payment(s) will be calculated. As Credit-Linked Complex Products with Zero-Recovery feature linked to a Basket are </w:t>
            </w:r>
            <w:r w:rsidRPr="004E599B">
              <w:rPr>
                <w:b/>
              </w:rPr>
              <w:t>not capital protected</w:t>
            </w:r>
            <w:r w:rsidRPr="0001691C">
              <w:t xml:space="preserve"> it is not possible to predict the return on such a Complex Product at the time of issuance.</w:t>
            </w:r>
          </w:p>
        </w:tc>
        <w:tc>
          <w:tcPr>
            <w:tcW w:w="2500" w:type="pct"/>
            <w:tcBorders>
              <w:left w:val="single" w:sz="4" w:space="0" w:color="auto"/>
            </w:tcBorders>
          </w:tcPr>
          <w:p w:rsidR="00D85DEC" w:rsidRPr="00D85DEC" w:rsidP="00DE2790">
            <w:pPr>
              <w:pStyle w:val="CSBody63DE"/>
              <w:rPr>
                <w:lang w:val="de-DE"/>
              </w:rPr>
            </w:pPr>
            <w:r w:rsidRPr="00D85DEC">
              <w:rPr>
                <w:lang w:val="de-DE"/>
              </w:rPr>
              <w:t xml:space="preserve">Kreditbezogene Komplexe Produkte mit Zero-Recovery-Merkmal, die an einen Korb gekoppelt sind, sind an die Bonität eines Korbs von Referenzschuldnern gekoppelt. Durch eine Anlage in Kreditbezogene Komplexe Produkte mit Zero-Recovery-Merkmal, die an einen Korb gekoppelt sind, sind die Inhaber dem Kreditrisiko dieser Referenzschuldner ausgesetzt. Im Unterschied zu Kreditbezogenen Komplexen Produkten mit Auktionsabwicklung, die an einen Korb gekoppelt sind, erhalten Anleger bei Eintritt eines Kreditereignisses in Bezug auf einen im Korb enthaltenen Referenzschuldner, bei dem es sich nicht um einen Betroffenen Referenzschuldner handelt (auf Grund des Eintritts eines Kreditereignis-Feststellungstags wird dieser Referenzschuldner zu einem Betroffenen Referenzschuldner), keinen Rückzahlungsbetrag für den Teil des Nennbetrags der Komplexen Produkte, der dem Referenzschuldner-Nennbetrag des Betroffenen Referenzschuldner entspricht, d.h. der Ausgleichsbetrag für den Betroffenen Referenzschuldner ist gleich null. Für die Übernahme dieses Kreditrisikos erhalten Inhaber eine Gegenleistung in Form von erhöhten Zinszahlungen. Die anwendbaren Emissionsbedingungen können die Anwendung eines oder mehrerer festen und/oder variablen Zinssätze vorsehen, auf dessen/deren Grundlage die Zinszahlung(en) berechnet wird/werden. Da Kreditbezogene Komplexe Produkte mit Zero-Recovery-Merkmal, die an einen Korb gekoppelt sind, </w:t>
            </w:r>
            <w:r w:rsidRPr="004E599B">
              <w:rPr>
                <w:b/>
                <w:lang w:val="de-DE"/>
              </w:rPr>
              <w:t>nicht kapitalgeschützt</w:t>
            </w:r>
            <w:r w:rsidRPr="00D85DEC">
              <w:rPr>
                <w:lang w:val="de-DE"/>
              </w:rPr>
              <w:t xml:space="preserve"> sind, ist es nicht möglich, die Erträge solcher Komplexen Produkte zum Zeitpunkt ihrer Ausgabe vorherzusagen.</w:t>
            </w:r>
          </w:p>
        </w:tc>
      </w:tr>
      <w:tr w:rsidTr="0078291D">
        <w:tblPrEx>
          <w:tblW w:w="5000" w:type="pct"/>
          <w:tblLook w:val="04A0"/>
        </w:tblPrEx>
        <w:tc>
          <w:tcPr>
            <w:tcW w:w="2500" w:type="pct"/>
            <w:tcBorders>
              <w:right w:val="single" w:sz="4" w:space="0" w:color="auto"/>
            </w:tcBorders>
          </w:tcPr>
          <w:p w:rsidR="00D85DEC" w:rsidRPr="00BF3455" w:rsidP="00DE2790">
            <w:pPr>
              <w:pStyle w:val="CSBody63EN"/>
            </w:pPr>
            <w:r w:rsidRPr="00BF3455">
              <w:t xml:space="preserve">The payment of interest on, and the redemption of, such Complex Products is dependent upon whether a Credit Event Determination Date with respect to one or more Reference Entities has occurred. In turn, a Credit Event Determination Date can only be triggered by a Credit Event, which may be a Bankruptcy, a Failure to Pay, a Governmental Intervention, an Obligation Acceleration, a Repudiation/ Moratorium or a Restructuring, as specified in the applicable Terms and Conditions. Investors should note that a Credit Event may occur even if the relevant Reference Entity has not defaulted on any payment obligation. Further, upon the occurrence of a Credit Event Determination Date with respect to one or more Reference Entities contained in the Basket, depending on the applicable Terms and Conditions, (i) investors in such Complex Products may receive no or a limited amount of interest on such Complex Products, (ii) the payment of the redemption amount or interest may occur at a different time than expected and (iii) the redemption amount may be considerably less than the initial principal amount of the Complex Products and investors may thus lose all or a substantial portion of their investment. </w:t>
            </w:r>
          </w:p>
        </w:tc>
        <w:tc>
          <w:tcPr>
            <w:tcW w:w="2500" w:type="pct"/>
            <w:tcBorders>
              <w:left w:val="single" w:sz="4" w:space="0" w:color="auto"/>
            </w:tcBorders>
          </w:tcPr>
          <w:p w:rsidR="00D85DEC" w:rsidRPr="00D85DEC" w:rsidP="00DE2790">
            <w:pPr>
              <w:pStyle w:val="CSBody63DE"/>
              <w:rPr>
                <w:lang w:val="de-DE"/>
              </w:rPr>
            </w:pPr>
            <w:r w:rsidRPr="00D85DEC">
              <w:rPr>
                <w:lang w:val="de-DE"/>
              </w:rPr>
              <w:t xml:space="preserve">Die Zahlung von Zinsen auf derartige Komplexe Produkte sowie die Rückzahlung dieser Komplexen Produkte hängen davon ab, ob ein Kreditereignis-Feststellungstag in Bezug auf einen oder mehrere Referenzschuldner eingetreten ist. Ein Kreditereignis-Feststellungstag wiederum kann nur durch ein Kreditereignis ausgelöst werden; dabei kann es sich um eine Insolvenz, eine Nichtzahlung, eine Staatliche Intervention, eine Vorfälligkeit einer Verbindlichkeit, eine Nichtanerkennung/ein Moratorium oder um eine Restrukturierung handeln, wie in den anwendbaren Emissionsbedingungen angegeben. Anleger sollten sich darüber im Klaren sein, dass ein Kreditereignis selbst dann eintreten kann, wenn sich der betreffende Referenzschuldner mit seinen Zahlungsverpflichtungen nicht in Verzug befindet. Darüber hinaus gilt bei Eintritt eines Kreditereignis-Feststellungstags in Bezug auf einen oder mehrere im Korb enthaltene Referenzschuldner nach Massgabe der anwendbaren Emissionsbedingungen: (i) Anleger in die betreffenden Komplexen Produkte erhalten unter Umständen nur der Höhe nach begrenzte oder gar keine Zinszahlungen auf diese Komplexen Produkte, (ii) die Zahlung des Rückzahlungsbetrags oder der Zinsen kann zu einem anderen Termin als erwartet erfolgen und (iii) der Rückzahlungsbetrag kann erheblich unter dem anfänglichen Nennbetrag der Komplexen Produkte liegen und Investoren können daher einen Totalverlust ihres eingesetzten Kapitals erleiden oder einen erheblichen Teil dieses Kapitals verlieren. </w:t>
            </w:r>
          </w:p>
        </w:tc>
      </w:tr>
      <w:tr w:rsidTr="0078291D">
        <w:tblPrEx>
          <w:tblW w:w="5000" w:type="pct"/>
          <w:tblLook w:val="04A0"/>
        </w:tblPrEx>
        <w:tc>
          <w:tcPr>
            <w:tcW w:w="2500" w:type="pct"/>
            <w:tcBorders>
              <w:right w:val="single" w:sz="4" w:space="0" w:color="auto"/>
            </w:tcBorders>
          </w:tcPr>
          <w:p w:rsidR="00D85DEC" w:rsidRPr="004D76C4" w:rsidP="00DE2790">
            <w:pPr>
              <w:pStyle w:val="CSBody63EN"/>
            </w:pPr>
            <w:r w:rsidRPr="004D76C4">
              <w:t>The likelihood of the occurrence of a Credit Event Determination Date with respect to a Reference Entity will generally fluctuate with, among other things, the financial condition and other characteristics of such Reference Entity, general economic conditions, the condition of certain financial markets, political events, developments or trends in any particular industry and changes in prevailing interest rates. Actions of the Reference Entities (for example, merger or demerger or the repayment or transfer of indebtedness) may adversely affect the value of Credit-Linked Complex Products. Furthermore, the Reference Entities to which such Complex Products are linked, and the terms of such linkage, may change over the term of such Complex Products.</w:t>
            </w:r>
          </w:p>
        </w:tc>
        <w:tc>
          <w:tcPr>
            <w:tcW w:w="2500" w:type="pct"/>
            <w:tcBorders>
              <w:left w:val="single" w:sz="4" w:space="0" w:color="auto"/>
            </w:tcBorders>
          </w:tcPr>
          <w:p w:rsidR="00D85DEC" w:rsidRPr="00D85DEC" w:rsidP="00DE2790">
            <w:pPr>
              <w:pStyle w:val="CSBody63DE"/>
              <w:rPr>
                <w:lang w:val="de-DE"/>
              </w:rPr>
            </w:pPr>
            <w:r w:rsidRPr="00D85DEC">
              <w:rPr>
                <w:lang w:val="de-DE"/>
              </w:rPr>
              <w:t>Die Wahrscheinlichkeit, dass in Bezug auf einen Referenzschuldner ein Kreditereignis-Feststellungstag eintritt, variiert in der Regel aufgrund der Finanzlage und anderer Kenndaten des betreffenden Referenzschuldners, der allgemeinen Konjunktur, der Lage an bestimmten Finanzmärkten sowie aufgrund von politischen Ereignissen, Entwicklungen oder Tendenzen in bestimmten Branchen, Änderungen der geltenden Zinssätze und weiteren Faktoren. Massnahmen des</w:t>
            </w:r>
            <w:r w:rsidR="00DE2790">
              <w:rPr>
                <w:lang w:val="de-DE"/>
              </w:rPr>
              <w:t xml:space="preserve"> der Referenzschuldner (wie bei</w:t>
            </w:r>
            <w:r w:rsidRPr="00D85DEC">
              <w:rPr>
                <w:lang w:val="de-DE"/>
              </w:rPr>
              <w:t>spielsweise ein Zusammenschluss oder eine Abspaltung oder die Rückzahlung oder Übertragung von Verbindlichkeiten) können sich nachteilig auf den Wert der Kreditbe</w:t>
            </w:r>
            <w:r w:rsidR="00DE2790">
              <w:rPr>
                <w:lang w:val="de-DE"/>
              </w:rPr>
              <w:t>z</w:t>
            </w:r>
            <w:r w:rsidRPr="00D85DEC">
              <w:rPr>
                <w:lang w:val="de-DE"/>
              </w:rPr>
              <w:t>ogenen Komplexen Produkte auswirken. Darüber hinaus können sich die Referenzschuldner, auf die diese Komplexen Produkte bezogen sind, und die Bedingungen dieser Beziehung während der Laufzeit dieser Komplexen Produkte ändern.</w:t>
            </w:r>
          </w:p>
        </w:tc>
      </w:tr>
      <w:tr w:rsidTr="0078291D">
        <w:tblPrEx>
          <w:tblW w:w="5000" w:type="pct"/>
          <w:tblLook w:val="04A0"/>
        </w:tblPrEx>
        <w:tc>
          <w:tcPr>
            <w:tcW w:w="2500" w:type="pct"/>
            <w:tcBorders>
              <w:right w:val="single" w:sz="4" w:space="0" w:color="auto"/>
            </w:tcBorders>
          </w:tcPr>
          <w:p w:rsidR="00D85DEC" w:rsidRPr="00CC0158" w:rsidP="00DE2790">
            <w:pPr>
              <w:pStyle w:val="CSBody63EN"/>
            </w:pPr>
            <w:r w:rsidRPr="004E599B">
              <w:rPr>
                <w:b/>
              </w:rPr>
              <w:t>If no Credit Event Determination Date</w:t>
            </w:r>
            <w:r w:rsidRPr="00CC0158">
              <w:t xml:space="preserve"> with respect to any Reference Entity </w:t>
            </w:r>
            <w:r w:rsidRPr="004E599B">
              <w:rPr>
                <w:b/>
              </w:rPr>
              <w:t>occurs</w:t>
            </w:r>
            <w:r w:rsidRPr="00CC0158">
              <w:t xml:space="preserve"> on or before the Scheduled Maturity Date, such Complex Product allows the Holder thereof to benefit from the payment of one or more Interest Payment Amounts on the relevant Interest Payment Date(s) and the Issuer will redeem the Complex Products at a Scheduled Redemption Amount equal to 100% of the Principal Amount on the Scheduled Maturity Date. However, even if no Credit Event Determination Date has occurred with respect to any Reference Entity on or prior to the Scheduled Maturity Date, if a Potential Credit Event Period with respect to any Reference Entity has occurred on or prior to, and is continuing on, the Scheduled Maturity Date, any payments of principal and interest in respect of the portion of the Principal Amount of the Complex Products equal to the Reference Entity Principal Amount of such Reference Entity will be postponed to a Business Day shortly after the last day of the Potential Credit Event Period. However, in such case any principal and interest in respect of such Reference Entity Principal Amount will only be paid if during such Potential Credit Event Period the relevant Potential Failure to Pay (or, if provided for in the applicable Terms and Conditions, the relevant Potential Repudiation/Moratorium) or a DC Pending Request, as applicable, in respect of the relevant Reference Entity has not resulted in the occurrence of a Credit Event Determination Date. Likewise, if a Potential Credit Event Period with respect to any Reference Entity that is not an Affected Reference Entity has occurred prior to, and is continuing on, an Interest Payment Date, the payment of the portion of the relevant Interest Payment Amount in respect of the portion of the Principal Amount of the Complex Products equal to the Reference Entity Principal Amount of such Reference Entity (the </w:t>
            </w:r>
            <w:r w:rsidR="00116653">
              <w:t>"</w:t>
            </w:r>
            <w:r w:rsidRPr="004F05F4">
              <w:rPr>
                <w:b/>
              </w:rPr>
              <w:t>Remaining Interest Payment Amount</w:t>
            </w:r>
            <w:r w:rsidR="00116653">
              <w:t>"</w:t>
            </w:r>
            <w:r w:rsidR="00DE2790">
              <w:t>) will be post</w:t>
            </w:r>
            <w:r w:rsidRPr="00CC0158">
              <w:t>poned to a Business Day shortly after the last day of the Potential Credit Event Period. However, in such case the Remaining Interest Payment Amount will only be paid if during such Potential Credit Event Period the relevant Potential Failure to Pay (or, if provided for in the applicable Terms and Conditions, the relevant Potential Repudiation/Moratorium) or</w:t>
            </w:r>
            <w:r w:rsidR="004F05F4">
              <w:t xml:space="preserve"> a DC Pending Request, as applic</w:t>
            </w:r>
            <w:r w:rsidRPr="00CC0158">
              <w:t>able, in respect of the relevant Reference Entity has not resulted in the occurrence of a Credit Event Determination Date. In each case the Issuer will not be liable for additional interest or other payments to the Holders of the Complex Products by reason of any such delayed payment.</w:t>
            </w:r>
          </w:p>
        </w:tc>
        <w:tc>
          <w:tcPr>
            <w:tcW w:w="2500" w:type="pct"/>
            <w:tcBorders>
              <w:left w:val="single" w:sz="4" w:space="0" w:color="auto"/>
            </w:tcBorders>
          </w:tcPr>
          <w:p w:rsidR="00D85DEC" w:rsidRPr="00D85DEC" w:rsidP="00DE2790">
            <w:pPr>
              <w:pStyle w:val="CSBody63DE"/>
              <w:rPr>
                <w:lang w:val="de-DE"/>
              </w:rPr>
            </w:pPr>
            <w:r w:rsidRPr="004E599B">
              <w:rPr>
                <w:lang w:val="de-DE"/>
              </w:rPr>
              <w:t>Wenn</w:t>
            </w:r>
            <w:r w:rsidRPr="00D85DEC">
              <w:rPr>
                <w:lang w:val="de-DE"/>
              </w:rPr>
              <w:t xml:space="preserve"> am oder vor dem Planmässigen Fälligkeitstag </w:t>
            </w:r>
            <w:r w:rsidRPr="004E599B">
              <w:rPr>
                <w:lang w:val="de-DE"/>
              </w:rPr>
              <w:t>kein Kreditereignis-Feststellungstag</w:t>
            </w:r>
            <w:r w:rsidRPr="00D85DEC">
              <w:rPr>
                <w:lang w:val="de-DE"/>
              </w:rPr>
              <w:t xml:space="preserve"> in Bezug auf einen der Referenzschuldner </w:t>
            </w:r>
            <w:r w:rsidRPr="004E599B">
              <w:rPr>
                <w:lang w:val="de-DE"/>
              </w:rPr>
              <w:t>eingetreten ist</w:t>
            </w:r>
            <w:r w:rsidRPr="00D85DEC">
              <w:rPr>
                <w:lang w:val="de-DE"/>
              </w:rPr>
              <w:t>, ermöglicht es dieses Komplexe Produkt seinem Inhaber, eine oder mehrere Zinszahlungen am jeweiligen Zinszahlungstag bzw. an den jeweiligen Zinszahlungstagen zu erhalten und die Emittentin zahlt die Komplexen Produkte zu einem Planmässigen Rückzahlungsbetrag in Höhe von 100% des Nennbetrags der Komplexen Produkte am Planmässigen Fälligkeitstag zurück. Ist zwar kein Kreditereignis-Feststellungstag am oder vor dem Planmässigen Fälligkeitstag eingetreten, hat aber ein Zeitraum eines Potenziellen Kreditereignisses in Bezug auf einen der Referenzschuldner an oder vor dem Planmässigen Fälligkeitstag begonnen un</w:t>
            </w:r>
            <w:r w:rsidR="00DE2790">
              <w:rPr>
                <w:lang w:val="de-DE"/>
              </w:rPr>
              <w:t>d dauert am Planmässigen Fällig</w:t>
            </w:r>
            <w:r w:rsidRPr="00D85DEC">
              <w:rPr>
                <w:lang w:val="de-DE"/>
              </w:rPr>
              <w:t>keitstag an, so gilt fo</w:t>
            </w:r>
            <w:r w:rsidR="00DE2790">
              <w:rPr>
                <w:lang w:val="de-DE"/>
              </w:rPr>
              <w:t>lgendes: der Planmässige Fällig</w:t>
            </w:r>
            <w:r w:rsidRPr="00D85DEC">
              <w:rPr>
                <w:lang w:val="de-DE"/>
              </w:rPr>
              <w:t>keitstag und alle Zahlungen von Zinsen und Kapital in Bezug auf den Teil des Nennbetrags der Komplexen Produkte, der dem Referenzschuldner-Nennbetrag dieses Referenzschuldners entspricht, wird auf einen Geschäftstag kurz nach dem letzten Tag des Zeitraums eines Potenziellen Kreditereignisses verschoben. In einem solchen Fall erfolgen Zahlungen von Kapital und Zinsen in Bezug auf diesen Referenzschuldner-Nennbetrag aber nur unter der Voraussetzung, dass während dieses Zeitraums eines Potenziellen Kreditereignisses die jeweilige Potenzielle Nichtzahlung (oder, falls die anwendbaren Emissionsbedingungen dies vorsehen, die jeweilige Potenzielle Nichtanerkennung/das jeweilige Potenzielle Moratorium) oder ein Ausstehender Antrag nicht zum Eintritt eines Kreditereignis-Feststellungstags in Bezug auf den jeweiligen Referenzschuldner geführt hat. Gleichfalls gilt: wenn ein Zeitraum eines Potenziellen Kreditereignisses in Bezug auf einen der Referenzschuldner, bei dem es sich nicht um einen Betroffenen Referenzschuldner handelt, vor einem Zinszahlungstag begonnen hat und an diesem Tag andauert, wird der Teil des jeweiligen Zinszahlungsbetrags in Bezug auf den Teil des Nennbetrags der Komplexen Produkte, der dem Referenzschuldner-Nennbetrag dieses Referenzschuldners entspricht (der "</w:t>
            </w:r>
            <w:r w:rsidRPr="004F05F4">
              <w:rPr>
                <w:lang w:val="de-DE"/>
              </w:rPr>
              <w:t>Rest-Zinszahlungsbetrag</w:t>
            </w:r>
            <w:r w:rsidR="00116653">
              <w:rPr>
                <w:lang w:val="de-DE"/>
              </w:rPr>
              <w:t>"</w:t>
            </w:r>
            <w:r w:rsidRPr="00D85DEC">
              <w:rPr>
                <w:lang w:val="de-DE"/>
              </w:rPr>
              <w:t>), auf einen Geschäftstag kurz nach dem letzten Tag dieses Zeitraums eines Potenziellen Kreditereignisses verschoben. In einem solchen Fall erfolgt die Zahlung des Rest-Zinszahlungsbetrags aber nur unter der Voraussetzung, dass während dieses Zeitraums eines Potenziellen Kreditereignisses die jeweilige Potenzielle Nichtzahlung (oder, falls die anwendbaren Emissionsbedingungen dies vorsehen, die jeweilige Potenzielle Nichtanerkennung/das jeweilige Potenzielle Moratorium) oder ein Ausstehender Antrag nicht zum Eintritt eines Kreditereignis-Feststellungstags in Bezug auf den jeweiligen Referenzschuldner geführt hat. In jedem Fall schuldet die Emittentin den Inhabern der Komplexen Produkte keine zusätzlichen Zins- oder sonstige Zahlungen aufgrund einer solchen verzögerten Zahlung.</w:t>
            </w:r>
          </w:p>
        </w:tc>
      </w:tr>
      <w:tr w:rsidTr="0078291D">
        <w:tblPrEx>
          <w:tblW w:w="5000" w:type="pct"/>
          <w:tblLook w:val="04A0"/>
        </w:tblPrEx>
        <w:tc>
          <w:tcPr>
            <w:tcW w:w="2500" w:type="pct"/>
            <w:tcBorders>
              <w:right w:val="single" w:sz="4" w:space="0" w:color="auto"/>
            </w:tcBorders>
          </w:tcPr>
          <w:p w:rsidR="00D85DEC" w:rsidRPr="00D80C65" w:rsidP="00DE2790">
            <w:pPr>
              <w:pStyle w:val="CSBody63EN"/>
            </w:pPr>
            <w:r w:rsidRPr="004F05F4">
              <w:rPr>
                <w:b/>
              </w:rPr>
              <w:t>Upon the occurrence of a Credit Event Determination Date</w:t>
            </w:r>
            <w:r w:rsidRPr="00D80C65">
              <w:t xml:space="preserve"> with respect to any Reference Entity that is not an Affected Reference Entity (due to the occurrence of a Credit Event Determination Date such Reference Entity becomes an Affected Reference Entity) on or prior to the Scheduled Maturity Date (subject to extension if a Potential Credit Event Period is in effect on the Scheduled Maturity Date in respect of such Reference Entity), the portion of the Principal Amount of the Complex Products equal to the Reference Entity Principal Amount of such Affected Reference Entity will (i) cease to bear interest and any accrued and unpaid interest on such Reference Entity Principal Amount as of the date on which such Credit Event Determination Date has occurred will be cancelled and not be paid to the Holder thereof on the relevant Interest Payment Date, and (ii) be written down to zero, thereby reducing the Outstanding Principal Amount, on the basis of which the Scheduled Redemption Amount of the Complex Products is calculated and no further payments shall be made in respect of such Reference Entity Principal Amount to the Holders of the Complex Products. In such case, the greater the number of Reference Entities with respect to which a Credit Event Determination Date occurs on or prior to the Scheduled Maturity Date, the greater the loss suffered by the investor will be. In the worst case scenario, (i) a Credit Event Determination Date with respect to each Reference Entity occurs prior to the first Interest Payment Date, which means that no interest payments on the relevant Complex Products will be made, and the Scheduled Redemption Amount will be equal to zero. In such case, the investor would suffer a total loss of its initial investment.</w:t>
            </w:r>
          </w:p>
        </w:tc>
        <w:tc>
          <w:tcPr>
            <w:tcW w:w="2500" w:type="pct"/>
            <w:tcBorders>
              <w:left w:val="single" w:sz="4" w:space="0" w:color="auto"/>
            </w:tcBorders>
          </w:tcPr>
          <w:p w:rsidR="00D85DEC" w:rsidRPr="00D85DEC">
            <w:pPr>
              <w:pStyle w:val="CSBody63DE"/>
              <w:rPr>
                <w:lang w:val="de-DE"/>
              </w:rPr>
            </w:pPr>
            <w:r w:rsidRPr="004F05F4">
              <w:rPr>
                <w:b/>
                <w:lang w:val="de-DE"/>
              </w:rPr>
              <w:t>Tritt</w:t>
            </w:r>
            <w:r w:rsidRPr="00D85DEC">
              <w:rPr>
                <w:lang w:val="de-DE"/>
              </w:rPr>
              <w:t xml:space="preserve"> an oder vor dem Planmässigen Fälligkeitstag (vorbehaltlich einer Verlängerung im Fall dass ein Zeitraum eines Potenziellen Kreditereignisses am Planmässigen Fälligkeitstag in Bezug auf diesen Betroffenen Referenz</w:t>
            </w:r>
            <w:r w:rsidR="00DE2790">
              <w:rPr>
                <w:lang w:val="de-DE"/>
              </w:rPr>
              <w:t>s</w:t>
            </w:r>
            <w:r w:rsidRPr="00D85DEC">
              <w:rPr>
                <w:lang w:val="de-DE"/>
              </w:rPr>
              <w:t xml:space="preserve">chuldner besteht) </w:t>
            </w:r>
            <w:r w:rsidRPr="004F05F4">
              <w:rPr>
                <w:b/>
                <w:lang w:val="de-DE"/>
              </w:rPr>
              <w:t>ein Kreditereignis-Feststellungstag</w:t>
            </w:r>
            <w:r w:rsidRPr="00D85DEC">
              <w:rPr>
                <w:lang w:val="de-DE"/>
              </w:rPr>
              <w:t xml:space="preserve"> in Bezug auf einen Referenzschuldner, bei dem es sich nicht um einen Betroffenen Referenzschuldner handelt, </w:t>
            </w:r>
            <w:r w:rsidRPr="004F05F4">
              <w:rPr>
                <w:b/>
                <w:lang w:val="de-DE"/>
              </w:rPr>
              <w:t>ein</w:t>
            </w:r>
            <w:r w:rsidRPr="00D85DEC">
              <w:rPr>
                <w:lang w:val="de-DE"/>
              </w:rPr>
              <w:t xml:space="preserve"> (auf Grund des Eintritts eines Kreditereignis-Feststellungstags wird dieser Referenzschuldner zu einem Betroffenen Referenzschuldner), so (i) endet die Verzinsung des Teils des Nennbetrags der Komplexen Produkte, der dem Referenzschuldner-Nennbetrag dieses Betroffenen Referenzschuldners entspricht und etwaige zum Termin des Eintritts des Kreditereignis-Feststellungstags auf den Referenzschuldner</w:t>
            </w:r>
            <w:r w:rsidR="0036261D">
              <w:rPr>
                <w:lang w:val="de-DE"/>
              </w:rPr>
              <w:t>-N</w:t>
            </w:r>
            <w:r w:rsidRPr="00D85DEC">
              <w:rPr>
                <w:lang w:val="de-DE"/>
              </w:rPr>
              <w:t>ennbetrag aufgelaufene und noch nicht gezahlte Zinsen verfallen und werden nicht am jeweiligen Zinszahlungstag an den Inhaber dieses Komplexen Produkts gezahlt und (ii) wird der Teil des Nennbetrags der Komplexen Produkte, der dem Referenzschuldner-Nennbetrag des Betroffenen Referenzschuldner entspricht, auf null herab gesetzt, wodurch der Ausstehende Nennbetrag, auf dessen Basis der Planmässige Rückzahlungsbetrags berechnet wird, reduziert wird und es werden keine weiteren Zahlungen in Bezug auf diesen Referenzschuldner-Nennbetrag mehr an die Inhaber der Kompl</w:t>
            </w:r>
            <w:r w:rsidR="00DE2790">
              <w:rPr>
                <w:lang w:val="de-DE"/>
              </w:rPr>
              <w:t>exen Produkte geleistet. In die</w:t>
            </w:r>
            <w:r w:rsidRPr="00D85DEC">
              <w:rPr>
                <w:lang w:val="de-DE"/>
              </w:rPr>
              <w:t xml:space="preserve">sem Fall gilt: je mehr Referenzschuldner, in Bezug auf die an oder vor dem Planmässigen Fälligkeitstag ein Kreditereignis-Feststellungstag eintritt, umso grösser ist der Verlust, den der Anleger erleidet. Im schlimmsten Fall (i) tritt vor dem ersten Zinszahlungstag ein Kreditereignis-Feststellungstag in Bezug auf jeden Referenzschuldner ein, </w:t>
            </w:r>
            <w:r w:rsidR="007E3558">
              <w:rPr>
                <w:lang w:val="de-DE"/>
              </w:rPr>
              <w:t>d.h.</w:t>
            </w:r>
            <w:r w:rsidRPr="00D85DEC">
              <w:rPr>
                <w:lang w:val="de-DE"/>
              </w:rPr>
              <w:t xml:space="preserve"> es erfolgen keine Zinszahlungen auf die betreffenden Komplexen Produkte, und der Planmässige Rückzahlungsbetrag ist gleich null. In diesem Fall würde der Anleger einen Totalve</w:t>
            </w:r>
            <w:r w:rsidR="00DE2790">
              <w:rPr>
                <w:lang w:val="de-DE"/>
              </w:rPr>
              <w:t>rlust seines ursprünglich einge</w:t>
            </w:r>
            <w:r w:rsidRPr="00D85DEC">
              <w:rPr>
                <w:lang w:val="de-DE"/>
              </w:rPr>
              <w:t>setzten Kapitals erleiden.</w:t>
            </w:r>
          </w:p>
        </w:tc>
      </w:tr>
      <w:tr w:rsidTr="0078291D">
        <w:tblPrEx>
          <w:tblW w:w="5000" w:type="pct"/>
          <w:tblLook w:val="04A0"/>
        </w:tblPrEx>
        <w:tc>
          <w:tcPr>
            <w:tcW w:w="2500" w:type="pct"/>
            <w:tcBorders>
              <w:right w:val="single" w:sz="4" w:space="0" w:color="auto"/>
            </w:tcBorders>
          </w:tcPr>
          <w:p w:rsidR="00235C63" w:rsidRPr="00D85DEC" w:rsidP="004F05F4">
            <w:pPr>
              <w:pStyle w:val="CSHeading2EN"/>
            </w:pPr>
            <w:bookmarkStart w:id="113" w:name="_Toc438227541"/>
            <w:r w:rsidRPr="00D85DEC">
              <w:t>Credit-Linked Complex Products with simplified settlement</w:t>
            </w:r>
            <w:bookmarkEnd w:id="113"/>
          </w:p>
        </w:tc>
        <w:tc>
          <w:tcPr>
            <w:tcW w:w="2500" w:type="pct"/>
            <w:tcBorders>
              <w:left w:val="single" w:sz="4" w:space="0" w:color="auto"/>
            </w:tcBorders>
          </w:tcPr>
          <w:p w:rsidR="00235C63" w:rsidRPr="00D85DEC" w:rsidP="004F05F4">
            <w:pPr>
              <w:pStyle w:val="CSHeading2DE"/>
              <w:rPr>
                <w:lang w:val="de-DE"/>
              </w:rPr>
            </w:pPr>
            <w:bookmarkStart w:id="114" w:name="_Toc438160289"/>
            <w:r w:rsidRPr="00D85DEC">
              <w:rPr>
                <w:lang w:val="de-DE"/>
              </w:rPr>
              <w:t>Kreditbezogene Komplexe Produkte mit vereinfachter Abwicklung</w:t>
            </w:r>
            <w:bookmarkEnd w:id="114"/>
          </w:p>
        </w:tc>
      </w:tr>
      <w:tr w:rsidTr="0078291D">
        <w:tblPrEx>
          <w:tblW w:w="5000" w:type="pct"/>
          <w:tblLook w:val="04A0"/>
        </w:tblPrEx>
        <w:tc>
          <w:tcPr>
            <w:tcW w:w="2500" w:type="pct"/>
            <w:tcBorders>
              <w:right w:val="single" w:sz="4" w:space="0" w:color="auto"/>
            </w:tcBorders>
          </w:tcPr>
          <w:p w:rsidR="00D85DEC" w:rsidRPr="002A116F" w:rsidP="00DE2790">
            <w:pPr>
              <w:pStyle w:val="CSBody63EN"/>
            </w:pPr>
            <w:r w:rsidRPr="002A116F">
              <w:t>Credit-Linked Complex Products with simplified settlement are linked to the creditworthiness of the Reference Entity specified in the applicable Terms and Conditions. By investing in Credit-Linked Complex Products with simplified settlement, Holders are exposed to the credit risk relating to such Ref</w:t>
            </w:r>
            <w:r w:rsidR="00DE2790">
              <w:t>erence Entities. For the assump</w:t>
            </w:r>
            <w:r w:rsidRPr="002A116F">
              <w:t xml:space="preserve">tion of credit risk, Holders will receive a compensation in the form of increased interest payments. The applicable Terms and Conditions may provide for the application of one or more fixed and/or variable Interest Rates on the basis of which the Interest Payment(s) will be calculated. As Credit-Linked Complex Products with simplified settlement are </w:t>
            </w:r>
            <w:r w:rsidRPr="004F05F4">
              <w:rPr>
                <w:b/>
              </w:rPr>
              <w:t>not capital protected</w:t>
            </w:r>
            <w:r w:rsidRPr="002A116F">
              <w:t xml:space="preserve"> it is not possible to predict the return on such a Complex Product at the time of issuance. </w:t>
            </w:r>
          </w:p>
        </w:tc>
        <w:tc>
          <w:tcPr>
            <w:tcW w:w="2500" w:type="pct"/>
            <w:tcBorders>
              <w:left w:val="single" w:sz="4" w:space="0" w:color="auto"/>
            </w:tcBorders>
          </w:tcPr>
          <w:p w:rsidR="00D85DEC" w:rsidRPr="00D85DEC" w:rsidP="004F05F4">
            <w:pPr>
              <w:pStyle w:val="CSBody63DE"/>
              <w:rPr>
                <w:lang w:val="de-DE"/>
              </w:rPr>
            </w:pPr>
            <w:r w:rsidRPr="00D85DEC">
              <w:rPr>
                <w:lang w:val="de-DE"/>
              </w:rPr>
              <w:t xml:space="preserve">Kreditbezogene Komplexe Produkte mit vereinfachter Abwicklung sind an die Bonität des in den anwendbaren Emissionsbedingungen angegebenen Referenzschuldners gekoppelt. Durch eine Anlage in Kreditbezogene Komplexe Produkte mit vereinfachter Abwicklung sind die Inhaber dem Kreditrisiko dieses Referenzschuldners ausgesetzt. Für die Übernahme des Kreditrisikos erhalten Inhaber eine Gegenleistung in Form von erhöhten Zinszahlungen. Die anwendbaren Emissionsbedingungen können die Anwendung eines oder mehrerer festen und/oder variablen Zinssätze vorsehen, auf dessen/deren Grundlage die Zinszahlung(en) berechnet wird/werden. Da Kreditbezogene Komplexe Produkte mit vereinfachter Abwicklung </w:t>
            </w:r>
            <w:r w:rsidRPr="004F05F4">
              <w:rPr>
                <w:b/>
                <w:lang w:val="de-DE"/>
              </w:rPr>
              <w:t>nicht kapitalgeschützt</w:t>
            </w:r>
            <w:r w:rsidRPr="00D85DEC">
              <w:rPr>
                <w:lang w:val="de-DE"/>
              </w:rPr>
              <w:t xml:space="preserve"> sind, ist es nicht möglich, die Erträge solcher Komplexen Produkte zum Zeitpunkt ihrer Ausgabe vorherzusagen.</w:t>
            </w:r>
          </w:p>
        </w:tc>
      </w:tr>
      <w:tr w:rsidTr="0078291D">
        <w:tblPrEx>
          <w:tblW w:w="5000" w:type="pct"/>
          <w:tblLook w:val="04A0"/>
        </w:tblPrEx>
        <w:tc>
          <w:tcPr>
            <w:tcW w:w="2500" w:type="pct"/>
            <w:tcBorders>
              <w:right w:val="single" w:sz="4" w:space="0" w:color="auto"/>
            </w:tcBorders>
          </w:tcPr>
          <w:p w:rsidR="00D85DEC" w:rsidRPr="005264F5" w:rsidP="00DE2790">
            <w:pPr>
              <w:pStyle w:val="CSBody63EN"/>
            </w:pPr>
            <w:r w:rsidRPr="005264F5">
              <w:t xml:space="preserve">The payment of interest on, and the redemption of, the Complex Products is dependent upon whether a Credit Redemption Event, </w:t>
            </w:r>
            <w:r w:rsidRPr="007E3558" w:rsidR="007E3558">
              <w:rPr>
                <w:i/>
              </w:rPr>
              <w:t>i.e.</w:t>
            </w:r>
            <w:r w:rsidRPr="005264F5">
              <w:t xml:space="preserve"> a Default Event or a Redemption Event with respect to the Reference Entity, has occurred. If a Credit Redemption Event occurs, no further interest payments will be made and the amount at which such Complex Products will be redeemed will be dependent on the value of the Reference Obligation of the Reference Entity specified in the applicable Terms and Conditions. A Credit Redemption Event shall be deemed to have occurred if the Calculation Agent determines in its discretion that a Default Event or a Redemption Event has occurred with respect to the Reference Entity. Investors should note that a Credit Redemption Event may occur even if the Reference Entity has not defaulted on any payment obligation. The likelihood of the occurrence of a Credit Redemption Event will generally fluctuate with, among other things, the financial condition and other characteristics of the Reference Entity, general economic conditions, the condition of certain financial markets, political events, developments or trends in any particular industry and changes in prevailing interest rates. Actions of the Reference Entity (for example, merger or demerger or the repayment or transfer of indebtedness) may adversely affect the value of Credit-Linked Complex Products with simplified settlement.</w:t>
            </w:r>
          </w:p>
        </w:tc>
        <w:tc>
          <w:tcPr>
            <w:tcW w:w="2500" w:type="pct"/>
            <w:tcBorders>
              <w:left w:val="single" w:sz="4" w:space="0" w:color="auto"/>
            </w:tcBorders>
          </w:tcPr>
          <w:p w:rsidR="00D85DEC" w:rsidRPr="00D85DEC" w:rsidP="00DE2790">
            <w:pPr>
              <w:pStyle w:val="CSBody63DE"/>
              <w:rPr>
                <w:lang w:val="de-DE"/>
              </w:rPr>
            </w:pPr>
            <w:r w:rsidRPr="00D85DEC">
              <w:rPr>
                <w:lang w:val="de-DE"/>
              </w:rPr>
              <w:t>Die Zahlung von Zinsen auf derartige Komplexe Produkte sowie die Rückzahlung dieser Komplexen Produkte hängen davon ab, ob ein Kredit-Rückzahlungsereignis, d.h. ein Ausfallereignis oder ein Rückzahlungsereignis in Bezug auf den Referenzschuldner eingetreten ist. Falls ein Kredit-Rückzahlungsereign</w:t>
            </w:r>
            <w:r w:rsidR="00DE2790">
              <w:rPr>
                <w:lang w:val="de-DE"/>
              </w:rPr>
              <w:t>is eintritt, erfolgen keine wei</w:t>
            </w:r>
            <w:r w:rsidRPr="00D85DEC">
              <w:rPr>
                <w:lang w:val="de-DE"/>
              </w:rPr>
              <w:t>teren Zinsazhlungen und der Betrag, zu dem diese Komplexen Produkte zurückgezahlt werden, hängt in einem solchen Fall vom Wert der in den anwendbaren Emissionsbedingungen angegebenen Referenzverbindlichkeit des Referenzschuldners ab. Ein Kredit-Rückzahlungsereignis gilt als eingetreten, wenn die Berechnungsstelle nach ihrem Ermessen feststellt, dass ein Ausfallereignis oder ein Rückzahlungsereignis in Bezug auf den Referenzschuldner eingetreten ist. Anleger sollten sich darüber im Klaren sein, dass ein Kredit-Rückzahlungsereignis selbst dann eintreten kann, wenn sich der Referenzschuldner mit seinen Zahlungsverpflichtungen nicht in Verzug befindet. Die Wahrscheinlichkeit, dass ein Kredit-Rückzahlungsereignis eintritt, variiert in der Regel aufgrund der Finanzlage und anderer Kenndaten des Referenzschuldners, der allgemeinen Konjunktur, der Lage an bestimmten Finanzmärkten sowie aufgrund von politischen Ereignissen, Entwicklungen oder Tendenzen in bestimmten Branchen, Änderungen der geltenden Zinssätze und weiteren Faktoren. Massnahmen des Referenzschuldners (wie beispielsweise ein Zusammenschluss oder eine Abspaltung oder die Rückzahlung oder Übertragung von Verbindlichkeiten) können sich nachteilig auf den Wert der Kreditbezogenen Komplexen Produkte mit vereinfachter Abwicklung auswirken.</w:t>
            </w:r>
          </w:p>
        </w:tc>
      </w:tr>
      <w:tr w:rsidTr="0078291D">
        <w:tblPrEx>
          <w:tblW w:w="5000" w:type="pct"/>
          <w:tblLook w:val="04A0"/>
        </w:tblPrEx>
        <w:tc>
          <w:tcPr>
            <w:tcW w:w="2500" w:type="pct"/>
            <w:tcBorders>
              <w:right w:val="single" w:sz="4" w:space="0" w:color="auto"/>
            </w:tcBorders>
          </w:tcPr>
          <w:p w:rsidR="00D85DEC" w:rsidRPr="008E6252" w:rsidP="004F05F4">
            <w:pPr>
              <w:pStyle w:val="CSBody63EN"/>
            </w:pPr>
            <w:r w:rsidRPr="008E6252">
              <w:t xml:space="preserve">If </w:t>
            </w:r>
            <w:r w:rsidRPr="004F05F4">
              <w:rPr>
                <w:b/>
              </w:rPr>
              <w:t>no Credit Redemption Event has occurred</w:t>
            </w:r>
            <w:r w:rsidRPr="008E6252">
              <w:t xml:space="preserve"> on or prior to the Scheduled Maturity Date, Credit-Linked Complex Products with simplified settlement allow the Holder thereof to benefit from the payment of one or more Interest Payment Amounts on the relevant Interest Payment Date(s) and the Issuer will redeem the Complex Products at the Scheduled Redemption Amount on the Scheduled Maturity Date. </w:t>
            </w:r>
          </w:p>
        </w:tc>
        <w:tc>
          <w:tcPr>
            <w:tcW w:w="2500" w:type="pct"/>
            <w:tcBorders>
              <w:left w:val="single" w:sz="4" w:space="0" w:color="auto"/>
            </w:tcBorders>
          </w:tcPr>
          <w:p w:rsidR="00D85DEC" w:rsidRPr="00D85DEC" w:rsidP="00DE2790">
            <w:pPr>
              <w:pStyle w:val="CSBody63DE"/>
              <w:rPr>
                <w:lang w:val="de-DE"/>
              </w:rPr>
            </w:pPr>
            <w:r w:rsidRPr="00D85DEC">
              <w:rPr>
                <w:lang w:val="de-DE"/>
              </w:rPr>
              <w:t xml:space="preserve">Falls </w:t>
            </w:r>
            <w:r w:rsidRPr="004F05F4">
              <w:rPr>
                <w:b/>
                <w:lang w:val="de-DE"/>
              </w:rPr>
              <w:t>kein Kredit-Rückzahlungsereignis</w:t>
            </w:r>
            <w:r w:rsidRPr="00D85DEC">
              <w:rPr>
                <w:lang w:val="de-DE"/>
              </w:rPr>
              <w:t xml:space="preserve"> am oder vor dem Planmässigen Fälligkeitstag </w:t>
            </w:r>
            <w:r w:rsidRPr="004F05F4">
              <w:rPr>
                <w:b/>
                <w:lang w:val="de-DE"/>
              </w:rPr>
              <w:t>eingetreten ist</w:t>
            </w:r>
            <w:r w:rsidR="00DE2790">
              <w:rPr>
                <w:lang w:val="de-DE"/>
              </w:rPr>
              <w:t>, er</w:t>
            </w:r>
            <w:r w:rsidRPr="00D85DEC">
              <w:rPr>
                <w:lang w:val="de-DE"/>
              </w:rPr>
              <w:t>möglichen Kreditbezogene Komplexe Produkte mit vereinfachter Abwicklung ihrem Inhaber, die Zahlung eines oder mehrerer Zinszahlungsbeträge am jeweiligen Zinszahlungstag bzw. an den jeweiligen Zinszahlungstagen zu erhalten, und die Emittentin zahlt die Komplexen Produkte zum Planmässigen Rückzahlungsbetrag am Planmässigen Fälligkeitstag zurück.</w:t>
            </w:r>
          </w:p>
        </w:tc>
      </w:tr>
      <w:tr w:rsidTr="0078291D">
        <w:tblPrEx>
          <w:tblW w:w="5000" w:type="pct"/>
          <w:tblLook w:val="04A0"/>
        </w:tblPrEx>
        <w:tc>
          <w:tcPr>
            <w:tcW w:w="2500" w:type="pct"/>
            <w:tcBorders>
              <w:right w:val="single" w:sz="4" w:space="0" w:color="auto"/>
            </w:tcBorders>
          </w:tcPr>
          <w:p w:rsidR="00D85DEC" w:rsidRPr="008E6252" w:rsidP="00DE2790">
            <w:pPr>
              <w:pStyle w:val="CSBody63EN"/>
            </w:pPr>
            <w:r w:rsidRPr="008E6252">
              <w:t>However, even if no Credit Redemption Event has occurred on or prior to the Scheduled Maturity Date, if a Suspension Period has occurred on or prior to, and is continuing on, the Scheduled Maturity Date, the Scheduled Maturity Date (and any payments of principal and interest in respect of such Complex Products otherwise scheduled to be made on such date) will be postponed to a Business Day shortly after the last day of the Suspension Period provided that no Credit Redemption Event occurs during such Suspension Period. Likewise, if a Suspension Period has occurred on or prior to, and is continuing on, the/an Interest Payment Date, any payment of interest will be postponed to a Business Day shortly after the last day of such Suspension Period. In each case the Issuer will not be liable for additional interest or other payments to the Holders of the Complex Products by reason of any such delayed payment.</w:t>
            </w:r>
          </w:p>
        </w:tc>
        <w:tc>
          <w:tcPr>
            <w:tcW w:w="2500" w:type="pct"/>
            <w:tcBorders>
              <w:left w:val="single" w:sz="4" w:space="0" w:color="auto"/>
            </w:tcBorders>
          </w:tcPr>
          <w:p w:rsidR="00D85DEC" w:rsidRPr="00D85DEC" w:rsidP="00DE2790">
            <w:pPr>
              <w:pStyle w:val="CSBody63DE"/>
              <w:rPr>
                <w:lang w:val="de-DE"/>
              </w:rPr>
            </w:pPr>
            <w:r w:rsidRPr="00D85DEC">
              <w:rPr>
                <w:lang w:val="de-DE"/>
              </w:rPr>
              <w:t>Ist zwar kein Kredit-Rückzahlungsereignis am oder vor dem Planmässigen Fälligkeitstag eingetreten, hat aber ein Aussetzungszeitraum an oder vor dem Planmässigen Fälligkeitstag begonnen und dauert am Planmässigen Fälligkeitstag an, so gilt folgendes: der Planmässige Fälligkeitstag (und alle Zahlungen in Bezug auf Zinsen und Kapital, die andernfalls an diesem Tag in Bezug auf die Komplexen Produkte gemacht werden würden) wird auf einen Geschäftstag kurz nach dem letzten Tag des Ausetzungszeitraums verschoben, sofern während dieses Aussetzungszeitraums kein Kredit-Rückzahlungsereignis eintritt. Gleichfalls gilt: wenn ein Aussetzungszeitraum an oder vor dem/einem Zinszahlungstag begonnen hat und an diesem Tag andauert, wird die Zahlung von Zinsen auf einen Geschäftstag kurz nach dem letzten Tag dieses Aussetzungszeitraums verschoben. In jedem Fall schuldet die Emittentin den Inhabern der Komplexen Produkte keine zusätzlichen Zins- oder sonstige Zahlungen aufgrund einer solchen verzögerten Zahlung.</w:t>
            </w:r>
          </w:p>
        </w:tc>
      </w:tr>
      <w:tr w:rsidTr="0078291D">
        <w:tblPrEx>
          <w:tblW w:w="5000" w:type="pct"/>
          <w:tblLook w:val="04A0"/>
        </w:tblPrEx>
        <w:tc>
          <w:tcPr>
            <w:tcW w:w="2500" w:type="pct"/>
            <w:tcBorders>
              <w:right w:val="single" w:sz="4" w:space="0" w:color="auto"/>
            </w:tcBorders>
          </w:tcPr>
          <w:p w:rsidR="00D85DEC" w:rsidRPr="00D24844" w:rsidP="00DE2790">
            <w:pPr>
              <w:pStyle w:val="CSBody63EN"/>
            </w:pPr>
            <w:r w:rsidRPr="00D24844">
              <w:t xml:space="preserve">If </w:t>
            </w:r>
            <w:r w:rsidRPr="00D24844">
              <w:rPr>
                <w:b/>
              </w:rPr>
              <w:t>a Credit Redemption Event occurs</w:t>
            </w:r>
            <w:r w:rsidRPr="00D24844">
              <w:t xml:space="preserve"> on or prior to the Scheduled Maturity Date (subject to extension if a Suspension Period is in effect on the Scheduled Maturity Date), instead of being redeemed at the Scheduled Redemption Amount on the Scheduled Maturity Date, each Complex Product will be redeemed by (i) payment of a cash amount equal to the Credit Redemption Amount or (ii) if the applicable Terms and Conditions also provide for a physical settlement and the relevant Credit Redemption Event was caused by a Default Event, by delivery of the number of Reference Obligations specified in the Ratio. Where a cash amount is to be paid, such amount will be equal to the greater of zero and the sum of the Value of the Reference Obligation and the Asset Swap Value. The Value of the Reference Obligation will be determined by the Calculation Agent based on quotations obtained from leading banks or securities trading firms of the "all-in" bid price at which they would purchase the Reference Obligation on the Valuation Date, and the Asset Swap Value will be determined by the Calculation Agent based on quotations obtained from banks or securities trading firms of the amount of certain payments they would expect to pay to, or receive from, the Counterparty, if such bank or securities trading firm were to enter into an agreement with the Counterparty pursuant to which such bank or securities trading firm would fulfil the rights and obligations of the Counterparty, and the Counterparty would fulfil the rights and obligations of the Issuer, under the Swap Agreement described in the Terms and Conditions. Such cash amount paid to the Holder or, in case of a physical settlement, the value of the Reference Obligations delivered to the Holder, as applicable, will generally be considerably less than the Holder's initial investment in such Complex Products. </w:t>
            </w:r>
          </w:p>
        </w:tc>
        <w:tc>
          <w:tcPr>
            <w:tcW w:w="2500" w:type="pct"/>
            <w:tcBorders>
              <w:left w:val="single" w:sz="4" w:space="0" w:color="auto"/>
            </w:tcBorders>
          </w:tcPr>
          <w:p w:rsidR="00D85DEC" w:rsidRPr="00D85DEC" w:rsidP="004F05F4">
            <w:pPr>
              <w:pStyle w:val="CSBody63DE"/>
              <w:rPr>
                <w:lang w:val="de-DE"/>
              </w:rPr>
            </w:pPr>
            <w:r w:rsidRPr="00D24844">
              <w:rPr>
                <w:lang w:val="de-DE"/>
              </w:rPr>
              <w:t>Tritt an oder vor dem Pla</w:t>
            </w:r>
            <w:r w:rsidRPr="00D24844" w:rsidR="00DE2790">
              <w:rPr>
                <w:lang w:val="de-DE"/>
              </w:rPr>
              <w:t>nmässigen Fälligkeitstag (vorbe</w:t>
            </w:r>
            <w:r w:rsidRPr="00D24844">
              <w:rPr>
                <w:lang w:val="de-DE"/>
              </w:rPr>
              <w:t>haltlich einer Verlängeru</w:t>
            </w:r>
            <w:r w:rsidRPr="00D24844" w:rsidR="00DE2790">
              <w:rPr>
                <w:lang w:val="de-DE"/>
              </w:rPr>
              <w:t>ng im Fall dass ein Aussetzungs</w:t>
            </w:r>
            <w:r w:rsidRPr="00D24844">
              <w:rPr>
                <w:lang w:val="de-DE"/>
              </w:rPr>
              <w:t xml:space="preserve">zeitraum am Planmässigen Fälligkeitstag besteht) </w:t>
            </w:r>
            <w:r w:rsidRPr="00D24844">
              <w:rPr>
                <w:b/>
                <w:lang w:val="de-DE"/>
              </w:rPr>
              <w:t>ein Kredit-Rückzahlungsereignis ein</w:t>
            </w:r>
            <w:r w:rsidRPr="00D24844">
              <w:rPr>
                <w:lang w:val="de-DE"/>
              </w:rPr>
              <w:t>, so wird jedes Komplexe Produkt nicht zum Planmässigen Rückzahlungsbetrag am Planmässigen Fälligkeitstag an den Inhaber zurückgezahlt, sondern (i) entweder durch Zahlung eines Barbetrags in Höhe des Kredit-Rückzahlungsbetrags oder (ii) sofern die anwendbaren Emissionsbedingungen auch eine physische Abwicklung vorsehen und das betreffende Kredit-Rückzahlungsereignis durch ein Ausfallereignis ausgelöst wurde, durch Lieferung der in dem Bezugsverhältnis angegebenen Anzahl von Referenzverbindlichkeiten Ist ein Barbetrag zu zahlen, so entspricht dieser Betrag dem höheren der folgenden Beträge: null oder der Summe des Werts der Referenzverbindlichkeit und des Asset</w:t>
            </w:r>
            <w:r w:rsidR="00D24844">
              <w:rPr>
                <w:lang w:val="de-DE"/>
              </w:rPr>
              <w:t>-</w:t>
            </w:r>
            <w:r w:rsidRPr="00D24844">
              <w:rPr>
                <w:lang w:val="de-DE"/>
              </w:rPr>
              <w:t>Swap-Werts. Der Wert der Referenzverbindlichkeit wird von der Berechnungsstelle basierend auf von führenden Banken oder Wertpapierhandelsunternehmen eingeholten Quotierungen für den "all-in" Geldkurs ermittelt, zu dem diese die Referenzverbindlichkeit am Bewertungstag kaufen würden, und der Asset-Swap-Wert wird von der Berechnungsstelle basierend auf von Banken oder Wertpapierhandelsunternehmen eingeholten Quotierungen für die Höhe bestimmter Zahlungen ermittelt, die die betreffende Bank oder das betreffende Wertpapierhandelsunternehmen voraussichtlich an den Kontrahenten leisten würde oder von dem Kontrahenten erhalten würde, wenn sie bzw. es eine Vereinbarung mit dem Kontrahenten schliessen würde, nach der sie bzw. es die Rechte und Pflichten des Kontrahenten und der Kontrahent die Rechte und Pflichten der Emittentin aus der Swap-Vereinbarung erfüllen würde, die in den Emissionsbedingungen näher beschrieben ist. In einem solchen Fall wird der an den Inhaber gezahlte Barbetrag bzw. der Wert der an den Inhaber gelieferten Referenzverbindlichkeiten in der Regel wesentlich geringer sein als der ursprüngliche von diesem Inhaber in dieses Komplexe Produkt investierte Kapitalbetrag.</w:t>
            </w:r>
          </w:p>
        </w:tc>
      </w:tr>
      <w:tr w:rsidTr="0078291D">
        <w:tblPrEx>
          <w:tblW w:w="5000" w:type="pct"/>
          <w:tblLook w:val="04A0"/>
        </w:tblPrEx>
        <w:tc>
          <w:tcPr>
            <w:tcW w:w="2500" w:type="pct"/>
            <w:tcBorders>
              <w:right w:val="single" w:sz="4" w:space="0" w:color="auto"/>
            </w:tcBorders>
          </w:tcPr>
          <w:p w:rsidR="00D85DEC" w:rsidRPr="008425B9" w:rsidP="004F05F4">
            <w:pPr>
              <w:pStyle w:val="CSBody63EN"/>
            </w:pPr>
            <w:r w:rsidRPr="008425B9">
              <w:t>In addition, any accrued and unpaid interest on the Complex Products as of the date on which such Credit Redemption Event has occurred will be cancelled and not be paid to the Holder on the relevant Interest Payment Date. In the worst case scenario, (i) a Credit Redemption Event occurs prior to the first Interest Payment Date, which means that no interest payments on the Complex Products will be made, and (ii) the Credit Redemption Amount is determined to be zero or, in case of Complex Products with physical settlement, the Reference Obligations to be delivered on the Credit Redemption Date are worthless. In such case, the investor would suffer a total loss of its initial investment.</w:t>
            </w:r>
          </w:p>
        </w:tc>
        <w:tc>
          <w:tcPr>
            <w:tcW w:w="2500" w:type="pct"/>
            <w:tcBorders>
              <w:left w:val="single" w:sz="4" w:space="0" w:color="auto"/>
            </w:tcBorders>
          </w:tcPr>
          <w:p w:rsidR="00D85DEC" w:rsidRPr="00D85DEC" w:rsidP="004F05F4">
            <w:pPr>
              <w:pStyle w:val="CSBody63DE"/>
              <w:rPr>
                <w:lang w:val="de-DE"/>
              </w:rPr>
            </w:pPr>
            <w:r w:rsidRPr="00D85DEC">
              <w:rPr>
                <w:lang w:val="de-DE"/>
              </w:rPr>
              <w:t>Darüber hinaus verfallen etwaige zum Tag des Eintritts dieses Kredit-Rückzahlungsereignisses auf dieses Komplexe Produkt aufgelaufene und noch nicht gezahlte Zinsen und werden nicht an den Inhaber des Komplexen Produkts am jeweiligen Zinszahlungstag geleistet. Im schlimmsten Fall (i) tritt vor dem ersten Zinszahlungstag ein Kredit-Rückzahlungsereignis ein, d.h. es erfolgen keine Zinszahlungen auf die betreffenden Komplexen Produkte, und (ii) wird festgestellt, dass der Kredit-Rückzahlungsbetrag null ist oder, bei Komplexen Produkten mit physischer Abwicklung, dass die am Kredit-Rückzahlungstag zu liefernden Referenzverbindlichkeiten wertlos sind. In diesem Fall würde der Anleger einen Totalverlust seines ursprünglich eingesetzten Kapitals erleiden.</w:t>
            </w:r>
          </w:p>
        </w:tc>
      </w:tr>
    </w:tbl>
    <w:p w:rsidR="00392B81" w:rsidRPr="00D85DEC" w:rsidP="00392B81">
      <w:pPr>
        <w:pStyle w:val="CSBody0"/>
        <w:rPr>
          <w:lang w:val="de-DE"/>
        </w:rPr>
      </w:pPr>
    </w:p>
    <w:p w:rsidR="002F4D41">
      <w:pPr>
        <w:spacing w:after="200" w:line="276" w:lineRule="auto"/>
        <w:jc w:val="left"/>
        <w:rPr>
          <w:sz w:val="18"/>
          <w:lang w:val="de-DE"/>
        </w:rPr>
      </w:pPr>
      <w:r>
        <w:rPr>
          <w:lang w:val="de-DE"/>
        </w:rPr>
        <w:br w:type="page"/>
      </w:r>
    </w:p>
    <w:tbl>
      <w:tblPr>
        <w:tblStyle w:val="TableGrid"/>
        <w:tblW w:w="5000" w:type="pct"/>
        <w:tblBorders>
          <w:top w:val="nil"/>
          <w:left w:val="nil"/>
          <w:bottom w:val="nil"/>
          <w:right w:val="nil"/>
          <w:insideH w:val="nil"/>
        </w:tblBorders>
        <w:tblLook w:val="04A0"/>
      </w:tblPr>
      <w:tblGrid>
        <w:gridCol w:w="2400"/>
        <w:gridCol w:w="2418"/>
        <w:gridCol w:w="2417"/>
        <w:gridCol w:w="2620"/>
      </w:tblGrid>
      <w:tr w:rsidTr="002F4D41">
        <w:tblPrEx>
          <w:tblW w:w="5000" w:type="pct"/>
          <w:tblBorders>
            <w:top w:val="nil"/>
            <w:left w:val="nil"/>
            <w:bottom w:val="nil"/>
            <w:right w:val="nil"/>
            <w:insideH w:val="nil"/>
          </w:tblBorders>
          <w:tblLook w:val="04A0"/>
        </w:tblPrEx>
        <w:tc>
          <w:tcPr>
            <w:tcW w:w="4818" w:type="dxa"/>
            <w:gridSpan w:val="2"/>
          </w:tcPr>
          <w:p w:rsidR="002F4D41" w:rsidRPr="001617A1" w:rsidP="002F4D41">
            <w:pPr>
              <w:pStyle w:val="CSHeading1EN"/>
            </w:pPr>
            <w:bookmarkStart w:id="115" w:name="_Toc438227542"/>
            <w:r>
              <w:t>COLLATERALIZATION OF COMPLEX PRODUCTS WITH COSI FEATURE</w:t>
            </w:r>
            <w:bookmarkEnd w:id="115"/>
          </w:p>
        </w:tc>
        <w:tc>
          <w:tcPr>
            <w:tcW w:w="5037" w:type="dxa"/>
            <w:gridSpan w:val="2"/>
          </w:tcPr>
          <w:p w:rsidR="002F4D41" w:rsidRPr="002F4D41" w:rsidP="002F4D41">
            <w:pPr>
              <w:pStyle w:val="CSHeading1DE"/>
              <w:rPr>
                <w:lang w:val="de-DE"/>
              </w:rPr>
            </w:pPr>
            <w:bookmarkStart w:id="116" w:name="_Toc438160290"/>
            <w:r>
              <w:rPr>
                <w:lang w:val="de-DE"/>
              </w:rPr>
              <w:t>BESICHERUNG VON KOMPLEXEN PRODUKTEN MIT COSI MERKMAL</w:t>
            </w:r>
            <w:bookmarkEnd w:id="116"/>
          </w:p>
        </w:tc>
      </w:tr>
      <w:tr w:rsidTr="002F4D41">
        <w:tblPrEx>
          <w:tblW w:w="5000" w:type="pct"/>
          <w:tblLook w:val="04A0"/>
        </w:tblPrEx>
        <w:tc>
          <w:tcPr>
            <w:tcW w:w="4818" w:type="dxa"/>
            <w:gridSpan w:val="2"/>
          </w:tcPr>
          <w:p w:rsidR="002F4D41" w:rsidRPr="00112DB5" w:rsidP="00CC488B">
            <w:pPr>
              <w:pStyle w:val="csbody00"/>
            </w:pPr>
            <w:r w:rsidRPr="00112DB5">
              <w:t>The Complex Products are collateralized in accordance with the terms of the SIX Swiss Exchange "Framework Agreement for Collateral Secured Instruments". Credit Suisse as Collateral Provider (hereinafter "</w:t>
            </w:r>
            <w:r w:rsidRPr="00CC488B">
              <w:rPr>
                <w:b/>
              </w:rPr>
              <w:t>Collateral Provider</w:t>
            </w:r>
            <w:r w:rsidRPr="00112DB5">
              <w:t>") undertakes to secure the value of the securities issued by it and collateralized pursuant to the Framework Agreement ("</w:t>
            </w:r>
            <w:r w:rsidRPr="00CC488B">
              <w:rPr>
                <w:b/>
              </w:rPr>
              <w:t>CS COSI Securities</w:t>
            </w:r>
            <w:r w:rsidRPr="00112DB5">
              <w:t>") at any given time as well as the further claims listed in the Framework Agreement.</w:t>
            </w:r>
          </w:p>
        </w:tc>
        <w:tc>
          <w:tcPr>
            <w:tcW w:w="5037" w:type="dxa"/>
            <w:gridSpan w:val="2"/>
          </w:tcPr>
          <w:p w:rsidR="002F4D41" w:rsidRPr="002F4D41" w:rsidP="00CC488B">
            <w:pPr>
              <w:pStyle w:val="CSBody0"/>
              <w:rPr>
                <w:lang w:val="de-DE"/>
              </w:rPr>
            </w:pPr>
            <w:r w:rsidRPr="002F4D41">
              <w:rPr>
                <w:lang w:val="de-DE"/>
              </w:rPr>
              <w:t>Komplexe Produkte sind nach den Bestimmungen des "Rahmenvertrages für Pfandbesicherte Zertifikate" der SIX Swiss Exchange besichert. Credit Suisse als Sicherungsgeber (im Folgenden "</w:t>
            </w:r>
            <w:r w:rsidRPr="00CC488B">
              <w:rPr>
                <w:b/>
                <w:lang w:val="de-DE"/>
              </w:rPr>
              <w:t>Sicherungsgeber</w:t>
            </w:r>
            <w:r w:rsidRPr="002F4D41">
              <w:rPr>
                <w:lang w:val="de-DE"/>
              </w:rPr>
              <w:t>") verpflichtet sich zur Sicherstellung des jeweiligen Wertes der Sicherheiten ("</w:t>
            </w:r>
            <w:r w:rsidRPr="00CC488B">
              <w:rPr>
                <w:b/>
                <w:lang w:val="de-DE"/>
              </w:rPr>
              <w:t>CS COSI Wertpapiere</w:t>
            </w:r>
            <w:r w:rsidRPr="002F4D41">
              <w:rPr>
                <w:lang w:val="de-DE"/>
              </w:rPr>
              <w:t>") sowie der weiteren im Rahmenvertrag aufgeführten Ansprüche.</w:t>
            </w:r>
          </w:p>
        </w:tc>
      </w:tr>
      <w:tr w:rsidTr="002F4D41">
        <w:tblPrEx>
          <w:tblW w:w="5000" w:type="pct"/>
          <w:tblLook w:val="04A0"/>
        </w:tblPrEx>
        <w:tc>
          <w:tcPr>
            <w:tcW w:w="4818" w:type="dxa"/>
            <w:gridSpan w:val="2"/>
          </w:tcPr>
          <w:p w:rsidR="002F4D41" w:rsidRPr="00112DB5" w:rsidP="00CC488B">
            <w:pPr>
              <w:pStyle w:val="CSBody0"/>
            </w:pPr>
            <w:r w:rsidRPr="00112DB5">
              <w:t>Security must be provided to SIX Swiss Exchange in the form of a regular right of lien. The collateral is booked to a SIX Swiss Exchange account with SIX SIS. Investors do not themselves have a surety right to the collateral. The CS COSI Securities and the collateral shall be valued on each banking day. The Collateral Provider shall be obliged to adjust the collateral to any changes in value. Permitted forms of collateral shall be selected by SIX Swiss Exchange on an ongoing basis from various categories of securities. The issuer shall, upon enquiry, inform investors about the collateral that is permitted as security for the CS COSI Securities at any given time. The Collateral Provider shall pay SIX Swiss Exchange a fee for the service regarding the collateralization of the CS COSI Securities. A change of Collateral Provider shall be notified to holders of Complex Products with COSI feature in accordance with the provisions of the applicable Terms and Conditions.</w:t>
            </w:r>
          </w:p>
        </w:tc>
        <w:tc>
          <w:tcPr>
            <w:tcW w:w="5037" w:type="dxa"/>
            <w:gridSpan w:val="2"/>
          </w:tcPr>
          <w:p w:rsidR="002F4D41" w:rsidRPr="002F4D41" w:rsidP="00CC488B">
            <w:pPr>
              <w:pStyle w:val="CSBody0"/>
              <w:rPr>
                <w:lang w:val="de-DE"/>
              </w:rPr>
            </w:pPr>
            <w:r w:rsidRPr="002F4D41">
              <w:rPr>
                <w:lang w:val="de-DE"/>
              </w:rPr>
              <w:t xml:space="preserve">Die Sicherstellung erfolgt zu Gunsten der SIX Swiss Exchange mittels eines regulären Pfandrechts. Die Sicherheiten werden in ein Konto der SIX Swiss Exchange bei SIX SIS gebucht. Den Anlegern steht an den </w:t>
            </w:r>
            <w:r w:rsidRPr="0046463E">
              <w:rPr>
                <w:lang w:val="de-DE"/>
              </w:rPr>
              <w:t>Sicherheiten</w:t>
            </w:r>
            <w:r w:rsidRPr="002F4D41">
              <w:rPr>
                <w:lang w:val="de-DE"/>
              </w:rPr>
              <w:t xml:space="preserve"> kein eigenes Sicherungsrecht zu. Die CS COSI Wertpapiere und die Sicherheiten werden an jedem Bankwerktag bewertet. Der Sicherungsgeber ist verpflichtet, die Besicherung allfälligen Wertveränderungen anzupassen. Die zulässigen Sicherheiten werden laufend durch SIX Swiss Exchange aus verschiedenen Sicherheitskategorien ausgewählt. Der Emittent orientiert die Anleger auf Anfrage über die für die Besicherung der CS COSI Wertpapiere jeweils zulässigen Sicherheiten. Der Sicherungsgeber entrichtet der SIX Swiss Exchange für die Dienstleistung zur Besicherung der CS COSI Wertpapiere eine Gebühr. Ein Wechsel des Sicherungsgebers wird nach den Bestimmungen dieser Emmissionsbedingungen bekannt gemacht.</w:t>
            </w:r>
          </w:p>
        </w:tc>
      </w:tr>
      <w:tr w:rsidTr="002F4D41">
        <w:tblPrEx>
          <w:tblW w:w="5000" w:type="pct"/>
          <w:tblLook w:val="04A0"/>
        </w:tblPrEx>
        <w:tc>
          <w:tcPr>
            <w:tcW w:w="4818" w:type="dxa"/>
            <w:gridSpan w:val="2"/>
          </w:tcPr>
          <w:p w:rsidR="002F4D41" w:rsidRPr="003A6239" w:rsidP="00CC488B">
            <w:pPr>
              <w:pStyle w:val="CSBody0"/>
            </w:pPr>
            <w:r w:rsidRPr="00CC488B">
              <w:rPr>
                <w:b/>
              </w:rPr>
              <w:t>Documentation.</w:t>
            </w:r>
            <w:r w:rsidRPr="003A6239">
              <w:t xml:space="preserve"> The collateralization in favour of SIX Swiss Exchange is based on the "Framework Agreement for Collateral Secured Instruments" between SIX Swiss Exchange, SIX SIS and Credit Suisse dated 23 June 2015 (the "</w:t>
            </w:r>
            <w:r w:rsidRPr="00CC488B">
              <w:rPr>
                <w:b/>
              </w:rPr>
              <w:t>Framework Agreement</w:t>
            </w:r>
            <w:r w:rsidRPr="003A6239">
              <w:t xml:space="preserve">"). The investor is not party to the Framework Agreement. </w:t>
            </w:r>
            <w:r w:rsidRPr="00CC488B">
              <w:rPr>
                <w:b/>
              </w:rPr>
              <w:t>The Framework Agreement constitutes an integral part of this Document</w:t>
            </w:r>
            <w:r w:rsidRPr="003A6239">
              <w:t xml:space="preserve">. In the event of any contradiction between the provisions of this Document and the Framework Agreement, the Framework Agreement takes precedence. The issuer shall, upon request, provide the Framework Agreement to investors free of charge in the original German version or in an English translation. The Framework Agreement may be obtained from the head office of Credit Suisse in Zurich via telephone at: +41 44 333 21 44 or via facsimile at: +41 44 333 84 03. The core elements of collateralization of the CS COSI Securities are summarized in an SIX Swiss Exchange information sheet, which is available at </w:t>
            </w:r>
            <w:r w:rsidRPr="00C961F8">
              <w:rPr>
                <w:b/>
                <w:color w:val="7898B3"/>
              </w:rPr>
              <w:t>www.six-swiss-exchange.com</w:t>
            </w:r>
            <w:r w:rsidRPr="003A6239">
              <w:t>.</w:t>
            </w:r>
          </w:p>
        </w:tc>
        <w:tc>
          <w:tcPr>
            <w:tcW w:w="5037" w:type="dxa"/>
            <w:gridSpan w:val="2"/>
          </w:tcPr>
          <w:p w:rsidR="002F4D41" w:rsidRPr="002F4D41" w:rsidP="00C961F8">
            <w:pPr>
              <w:pStyle w:val="CSBody63EN"/>
              <w:rPr>
                <w:lang w:val="de-DE"/>
              </w:rPr>
            </w:pPr>
            <w:r w:rsidRPr="00CC488B">
              <w:rPr>
                <w:lang w:val="de-DE"/>
              </w:rPr>
              <w:t>Dokumentation.</w:t>
            </w:r>
            <w:r w:rsidRPr="002F4D41">
              <w:rPr>
                <w:lang w:val="de-DE"/>
              </w:rPr>
              <w:t xml:space="preserve"> Die Besicherung zu Gunsten der SIX Swiss Exchange basiert auf dem "Rahmenvertrag für Pfandbesicherte Zertifikate" zwischen SIX Swiss Exchange, SIX SIS und Credit Suisse vom 23. Juni 2015 ("</w:t>
            </w:r>
            <w:r w:rsidRPr="00CC488B">
              <w:rPr>
                <w:lang w:val="de-DE"/>
              </w:rPr>
              <w:t>Rahmenvertrag</w:t>
            </w:r>
            <w:r w:rsidRPr="002F4D41">
              <w:rPr>
                <w:lang w:val="de-DE"/>
              </w:rPr>
              <w:t xml:space="preserve">"). Der Anleger ist nicht Partei des Rahmenvertrages. </w:t>
            </w:r>
            <w:r w:rsidRPr="00C961F8">
              <w:rPr>
                <w:lang w:val="de-DE"/>
              </w:rPr>
              <w:t>Der Rahmenvertrag bildet einen integrierenden Bestandteil dieser Emissionsbedingungen</w:t>
            </w:r>
            <w:r w:rsidRPr="002F4D41">
              <w:rPr>
                <w:lang w:val="de-DE"/>
              </w:rPr>
              <w:t xml:space="preserve">. Im Falle von Widersprüchen zwischen den Bestimmungen dieser Emmissionsbedingungen und dem Rahmenvertrag geht der Rahmenvertrag vor. Der Rahmenvertrag wird den Anlegern auf Verlangen von der Emittentin kostenlos in deutscher Fassung oder in englischer Übersetzung zur Verfügung gestellt. Der Rahmenvertrag kann bezogen werden beim Hauptsitz der Credit Suisse in Zürich und kann telefonisch oder per Fax unter den folgenden Nummern angefordert werden: +41 44 333 21 44 (Telefon) bzw. +41 44 333 84 03 (Fax). Die Grundzüge der Besicherung sind in einem Informationsblatt der SIX Swiss Exchange zusammengefasst, welches auf </w:t>
            </w:r>
            <w:r w:rsidRPr="00674A5A">
              <w:rPr>
                <w:b/>
                <w:color w:val="7898B3"/>
                <w:lang w:val="de-DE"/>
              </w:rPr>
              <w:t>www.six-swissexchange.com</w:t>
            </w:r>
            <w:r w:rsidRPr="002F4D41">
              <w:rPr>
                <w:lang w:val="de-DE"/>
              </w:rPr>
              <w:t xml:space="preserve"> verfügbar ist.</w:t>
            </w:r>
          </w:p>
        </w:tc>
      </w:tr>
      <w:tr w:rsidTr="002F4D41">
        <w:tblPrEx>
          <w:tblW w:w="5000" w:type="pct"/>
          <w:tblLook w:val="04A0"/>
        </w:tblPrEx>
        <w:tc>
          <w:tcPr>
            <w:tcW w:w="4818" w:type="dxa"/>
            <w:gridSpan w:val="2"/>
          </w:tcPr>
          <w:p w:rsidR="002F4D41" w:rsidRPr="003A6239" w:rsidP="00C961F8">
            <w:pPr>
              <w:pStyle w:val="CSBody0"/>
            </w:pPr>
            <w:r w:rsidRPr="00C961F8">
              <w:rPr>
                <w:b/>
              </w:rPr>
              <w:t>Collateralization method.</w:t>
            </w:r>
            <w:r w:rsidRPr="003A6239">
              <w:t xml:space="preserve"> The collateral that must be furnished by the Collateral Provider is determined by the value of the CS COSI Securities at any given time (hereinafter "</w:t>
            </w:r>
            <w:r w:rsidRPr="00C961F8">
              <w:rPr>
                <w:b/>
              </w:rPr>
              <w:t>Current Value</w:t>
            </w:r>
            <w:r w:rsidRPr="003A6239">
              <w:t>"). The Current Values shall be determined in the trading currency of the CS COSI Securities and converted into Swiss francs for the purpose of calculating the required collateral. The method for calculating the Current Value shall be determined for each CS COSI Security upon application for (provisional) admission to trading and shall remain unchanged for the entire term of the CS COSI Securities. If prices for the CS COSI Securities calculated by third parties are available (so</w:t>
            </w:r>
            <w:r w:rsidR="0025395A">
              <w:t xml:space="preserve"> </w:t>
            </w:r>
            <w:r w:rsidRPr="003A6239">
              <w:t>called "Fair Values"), they are taken into account when determining the Current Value in accordance with the provisions of the rules and regulations of SIX Swiss Exchange. Otherwise, the determination of the Current Value will take into account the "bond floor pricing", as defined by the Swiss Federal Tax Administration, Berne (Switzerland). For as long as no bond floor is available for a CS COSI Security that is subject to "bond floor pricing", the Current Value shall correspond at least to the capital protection laid down in the redemption terms for such CS COSI Security. If the final bid</w:t>
            </w:r>
            <w:r w:rsidR="0025395A">
              <w:t xml:space="preserve"> </w:t>
            </w:r>
            <w:r w:rsidRPr="003A6239">
              <w:t>side purchase price of the CS COSI Securities on the previous trading day on SIX Structured Products Exchange is higher, the collateral requirement shall always be based on this latter price. If the aforementioned prices for CS COSI Securities are unavailable at any given time, then other prices shall be used to calculate the required collateral, in accordance with the rules and regulations of SIX Swiss Exchange. The Current Values required for the collateralization of the CS COSI Securities shall be determined exclusively in accordance with the provisions of the "Special Conditions for Collateral Secured Instruments" of the SIX Swiss Exchange. The Current Value of a series of CS COSI Securities shall be determined accordin</w:t>
            </w:r>
            <w:r w:rsidRPr="00682578">
              <w:t>g to either Method A: "Fair Value Method" or Method B: "Bond Floor Method" of these Special Conditions of SIX Swiss Exchange, whichever is specified in the issuing conditions.</w:t>
            </w:r>
            <w:r w:rsidRPr="003A6239">
              <w:t xml:space="preserve"> </w:t>
            </w:r>
          </w:p>
        </w:tc>
        <w:tc>
          <w:tcPr>
            <w:tcW w:w="5037" w:type="dxa"/>
            <w:gridSpan w:val="2"/>
          </w:tcPr>
          <w:p w:rsidR="002F4D41" w:rsidRPr="0046463E">
            <w:pPr>
              <w:pStyle w:val="CSBody0"/>
              <w:rPr>
                <w:lang w:val="de-DE"/>
              </w:rPr>
            </w:pPr>
            <w:r w:rsidRPr="0046463E">
              <w:rPr>
                <w:b/>
                <w:lang w:val="de-DE"/>
              </w:rPr>
              <w:t>Methodik der Besicherung</w:t>
            </w:r>
            <w:r w:rsidRPr="0046463E">
              <w:rPr>
                <w:lang w:val="de-DE"/>
              </w:rPr>
              <w:t>. Die vom Sicherungsgeber zu leistenden Sicherheiten bestimmen sich nach dem jeweiligen Wert der CS COSI Wertpapiere (im Folgenden "</w:t>
            </w:r>
            <w:r w:rsidRPr="0046463E">
              <w:rPr>
                <w:b/>
                <w:lang w:val="de-DE"/>
              </w:rPr>
              <w:t>Aktueller Wert</w:t>
            </w:r>
            <w:r w:rsidRPr="0046463E">
              <w:rPr>
                <w:lang w:val="de-DE"/>
              </w:rPr>
              <w:t xml:space="preserve">"). Die Aktuellen Werte werden in der jeweiligen Handelswährung der CS COSI Wertpapiere ermittelt und zwecks Berechnung der erforderlichen Besicherung in Schweizer Franken umgerechnet. Die Art der Berechnung des Aktuellen Wertes wird für jedes CS COSI Wertpapier anlässlich der Beantragung der (provisorischen) Zulassung zum Handel festgelegt und bleibt während der gesamten Laufzeit des CS COSI Wertpapiers unverändert. Sind von Dritten berechnete Preise für die CS COSI Wertpapiere (sogenannte "Fair Values") verfügbar, fliessen sie nach den Bestimmungen des Regelwerkes von SIX Swiss Exchange in die Ermittlung des Aktuellen Wertes ein. Ansonsten wird bei der Ermittlung des Aktuellen Wertes das sogenannte "Bondfloor Pricing" gemäss den Vorgaben der Eidgenössischen Steuerverwaltung, Bern (Schweiz) berücksichtigt. Solange für ein dem "Bondfloor Pricing" unterliegendes CS COSI Wertpapier kein Bondfloor verfügbar ist, entspricht der Aktuelle Wert mindestens dem Kapitalschutz gemäss den Rückzahlungsbedingungen der CS COSI Wertpapiere. Ist der an der SIX Structured Products Exchange am vorherigen Handelstag festgestellte geldseitige Schlusskurs der CS COSI Wertpapiere höher, richtet sich die erforderliche Besicherung stets nach diesem Kurs. Falls die erwähnten Preise von CS COSI Wertpapieren zu einem bestimmten Zeitpunkt nicht verfügbar sind, werden nach Massgabe des Regelwerkes von SIX Swiss Exchange für die Ermittlung der erforderlichen Besicherung andere Preise berücksichtigt. Die für die Besicherung der CS COSI Wertpapiere massgeblichen Aktuellen Werte bestimmen sich ausschliesslich nach den "Besonderen Bedingungen für Pfandbesicherte Zertifikate" der SIX Swiss Exchange. Der Aktuelle Wert dieses CS COSI Wertpapiers wird </w:t>
            </w:r>
            <w:r w:rsidR="00070463">
              <w:rPr>
                <w:lang w:val="de-DE"/>
              </w:rPr>
              <w:t xml:space="preserve">entweder </w:t>
            </w:r>
            <w:r w:rsidRPr="0046463E">
              <w:rPr>
                <w:lang w:val="de-DE"/>
              </w:rPr>
              <w:t>gemäss Methode A: "Fair Value Verfahren"</w:t>
            </w:r>
            <w:r w:rsidR="00070463">
              <w:rPr>
                <w:b/>
                <w:lang w:val="de-DE"/>
              </w:rPr>
              <w:t xml:space="preserve"> </w:t>
            </w:r>
            <w:r w:rsidR="00070463">
              <w:rPr>
                <w:lang w:val="de-DE"/>
              </w:rPr>
              <w:t xml:space="preserve">oder </w:t>
            </w:r>
            <w:r w:rsidRPr="0046463E">
              <w:rPr>
                <w:lang w:val="de-DE"/>
              </w:rPr>
              <w:t>Methode B: "Bond Floor Verfahren" dieser Besonderen Bedingungen der SIX Swiss Exchange ermittelt</w:t>
            </w:r>
            <w:r w:rsidR="00143231">
              <w:rPr>
                <w:lang w:val="de-DE"/>
              </w:rPr>
              <w:t>, je nachdem wie in den Emissionsbedingungen angegeben</w:t>
            </w:r>
            <w:r w:rsidRPr="0046463E">
              <w:rPr>
                <w:lang w:val="de-DE"/>
              </w:rPr>
              <w:t>.</w:t>
            </w:r>
          </w:p>
        </w:tc>
      </w:tr>
      <w:tr w:rsidTr="002F4D41">
        <w:tblPrEx>
          <w:tblW w:w="5000" w:type="pct"/>
          <w:tblLook w:val="04A0"/>
        </w:tblPrEx>
        <w:tc>
          <w:tcPr>
            <w:tcW w:w="4818" w:type="dxa"/>
            <w:gridSpan w:val="2"/>
          </w:tcPr>
          <w:p w:rsidR="002F4D41" w:rsidRPr="00D278A2" w:rsidP="00C961F8">
            <w:pPr>
              <w:pStyle w:val="CSBody0"/>
            </w:pPr>
            <w:r w:rsidRPr="00C961F8">
              <w:rPr>
                <w:b/>
              </w:rPr>
              <w:t>Distribution and market making.</w:t>
            </w:r>
            <w:r w:rsidRPr="00D278A2">
              <w:t xml:space="preserve"> The distribution of CS COSI Products shall be the responsibility of the issuer. The issuer undertakes to ensure that market making for the CS COSI Products is in place.</w:t>
            </w:r>
          </w:p>
        </w:tc>
        <w:tc>
          <w:tcPr>
            <w:tcW w:w="5037" w:type="dxa"/>
            <w:gridSpan w:val="2"/>
          </w:tcPr>
          <w:p w:rsidR="002F4D41" w:rsidRPr="002F4D41" w:rsidP="00C961F8">
            <w:pPr>
              <w:pStyle w:val="CSBody0"/>
              <w:rPr>
                <w:lang w:val="de-DE"/>
              </w:rPr>
            </w:pPr>
            <w:r w:rsidRPr="00C961F8">
              <w:rPr>
                <w:b/>
                <w:lang w:val="de-DE"/>
              </w:rPr>
              <w:t>Vertrieb und Market Making.</w:t>
            </w:r>
            <w:r w:rsidRPr="002F4D41">
              <w:rPr>
                <w:lang w:val="de-DE"/>
              </w:rPr>
              <w:t xml:space="preserve"> Der Vertrieb der CS COSI Wertpapiere untersteht der Verantwortung des Emittenten. Der Emittent verpflichtet sich für ein Market Making in den CS COSI Wertpapieren zu sorgen.</w:t>
            </w:r>
          </w:p>
        </w:tc>
      </w:tr>
      <w:tr w:rsidTr="002F4D41">
        <w:tblPrEx>
          <w:tblW w:w="5000" w:type="pct"/>
          <w:tblLook w:val="04A0"/>
        </w:tblPrEx>
        <w:tc>
          <w:tcPr>
            <w:tcW w:w="4818" w:type="dxa"/>
            <w:gridSpan w:val="2"/>
          </w:tcPr>
          <w:p w:rsidR="002F4D41" w:rsidRPr="00D278A2" w:rsidP="00C961F8">
            <w:pPr>
              <w:pStyle w:val="CSBody0"/>
            </w:pPr>
            <w:r w:rsidRPr="00C961F8">
              <w:rPr>
                <w:b/>
              </w:rPr>
              <w:t>Risks.</w:t>
            </w:r>
            <w:r w:rsidRPr="00D278A2">
              <w:t xml:space="preserve"> Collateralization eliminates the issuer default risk only to the extent that the proceeds from the liquidation of collateral upon occurrence of a Liquidation Event (less the costs of liquidation and payout) are able to meet the investors' claims. The investor bears the following risks, among others: (i) the Collateral Provider is unable to supply the additionally required collateral if the value of the CS COSI Securities rises or the value of the collateral decreases; (ii) in a Liquidation Event, the collateral cannot be liquidated immediately by SIX Swiss Exchange because of factual hindrances or because the collateral must be handed over to the executory authorities for liquidation (iii) the market risk associated with the collateral results in insufficient liquidation proceeds or, in extreme circumstances, the collateral might lose its value entirely until the liquidation can take place; (iv) the maturity of a CS COSI Security in a foreign currency according to the Framework Agreement may result in losses for the investor because the Current Value (determinant for the investor's claim against the issuer) is set in the foreign currency, while payment of the pro rata share of net liquidation proceeds (determinant for the extent to which the investor's claim against the issuer is satisfied) is made in Swiss francs; and (v) the collateralization is challenged according to the laws governing debt enforcement and bankruptcy, so that the collateral cannot be liquidated according to the terms of the Framework Agreement for the benefit of the investors in CS COSI Securities.</w:t>
            </w:r>
          </w:p>
        </w:tc>
        <w:tc>
          <w:tcPr>
            <w:tcW w:w="5037" w:type="dxa"/>
            <w:gridSpan w:val="2"/>
          </w:tcPr>
          <w:p w:rsidR="002F4D41" w:rsidRPr="002F4D41" w:rsidP="00C961F8">
            <w:pPr>
              <w:pStyle w:val="CSBody0"/>
              <w:rPr>
                <w:lang w:val="de-DE"/>
              </w:rPr>
            </w:pPr>
            <w:r w:rsidRPr="00C961F8">
              <w:rPr>
                <w:b/>
                <w:lang w:val="de-DE"/>
              </w:rPr>
              <w:t>Risiken.</w:t>
            </w:r>
            <w:r w:rsidRPr="002F4D41">
              <w:rPr>
                <w:lang w:val="de-DE"/>
              </w:rPr>
              <w:t xml:space="preserve"> Die Besicherung eliminiert das Ausfallrisiko des Emittenten nur in dem Masse, als die Erlöse aus der Verwertung der Sicherheiten bei Eintritt eines Verwertungsfalles (abzüglich der Kosten für die Verwertung und Auszahlung) die Ansprüche der Anleger zu decken vermögen. Der Anleger trägt unter anderem folgende Risiken: (i) der Sicherungsgeber kann bei steigendem Wert der CS COSI Wertpapiere oder bei sinkendem Wert der Sicherheiten die zusätzlich erforderlichen Sicherheiten nicht liefern; (ii) die Sicherheiten können in einem Verwertungsfall nicht sogleich durch SIX Swiss Exchange verwertet werden, weil tatsächliche Hindernisse entgegenstehen oder die Sicherheiten der Zwangsvollstreckungsbehörde zur Verwertung übergeben werden müssen; (iii) das mit den Sicherheiten verbundene Marktrisiko führt zu einem ungenügenden Verwertungserlös oder die Sicherheiten können unter ausserordentlichen Umständen ihren Wert bis zum Zeitpunkt der tatsächlichen Verwertung gänzlich verlieren; (iv) die Fälligkeit nach dem Rahmenvertrag von CS COSI Wertpapieren in einer ausländischen Währung kann beim Anleger Verluste verursachen, weil der Aktuelle Wert (massgeblich für den Anspruch des Anlegers gegenüber dem Emittenten) in der ausländischen Währung festgelegt wird, wogegen die Auszahlung des anteilsmässigen Netto-Verwertungserlöses (massgeblich für den Umfang, in welchem der Anspruch des Anlegers gegenüber dem Emittenten erlöscht) in Schweizer Franken erfolgt; (v) die Besicherung wird nach den Regeln des Zwangsvollstreckungsrechts angefochten, sodass die Sicherheiten nicht gemäss den Bestimmungen des Rahmenvertrages zu Gunsten der Anleger in CS COSI Wertpapiere verwertet werden können.</w:t>
            </w:r>
          </w:p>
        </w:tc>
      </w:tr>
      <w:tr w:rsidTr="002F4D41">
        <w:tblPrEx>
          <w:tblW w:w="5000" w:type="pct"/>
          <w:tblLook w:val="04A0"/>
        </w:tblPrEx>
        <w:tc>
          <w:tcPr>
            <w:tcW w:w="4818" w:type="dxa"/>
            <w:gridSpan w:val="2"/>
          </w:tcPr>
          <w:p w:rsidR="002F4D41" w:rsidRPr="000E6F31" w:rsidP="00C961F8">
            <w:pPr>
              <w:pStyle w:val="CSBody0"/>
            </w:pPr>
            <w:r w:rsidRPr="00C961F8">
              <w:rPr>
                <w:b/>
              </w:rPr>
              <w:t>Liquidation of collateral.</w:t>
            </w:r>
            <w:r w:rsidRPr="000E6F31">
              <w:t xml:space="preserve"> If the Collateral Provider fails to fulfill its obligations, the collateral will be liquidated by SIX Swiss Exchange or a liquidator under the terms of the applicable legal regulations. The collateral may be liquidated ("</w:t>
            </w:r>
            <w:r w:rsidRPr="00C961F8">
              <w:rPr>
                <w:b/>
              </w:rPr>
              <w:t>Liquidation Events</w:t>
            </w:r>
            <w:r w:rsidRPr="000E6F31">
              <w:t>") in particular if (i) the Collateral Provider fails to furnish the required collateral, fails to do so in due time, or if the collateral that is provided is not free from defects, unless any such defect is remedied within three (3) banking days; (ii) the issuer fails to fulfill a payment or delivery obligation under a CS COSI Security upon maturity according to the issuing conditions, fails to do so in due time, or if its fulfillment of such obligations is defective, unless any such defect is remedied within three (3) banking days; (iii) the Swiss Financial Market Supervisory Authority FINMA orders protective measures with regard to the issuer or the Collateral Provider under Article 26 paragraph 1 letter (f) to (h) of the Federal Act on Banks and Savings Banks, or restructuring measures or the liquidation (winding-up proceedings) under Article 25 et seq. of the Federal Act on Banks and Savings Banks; (iv) a foreign financial market supervisory authority, another competent foreign authority or a competent foreign court orders an action that is comparable with that described in item (iii) above; (v) the market making obligation is breached for ten (10) consecutive banking days; (vi) the Collateral Provider's participation at SIX SIS ceases; (vii) the provisional admission of the CS COSI Security to trading lapses or is cancelled and the issuer fails to satisfy investors' claims according to the issuing conditions of the CS COSI Security within thirty (30) banking days of the lapse or cancellation of the provisional admission; or (viii) the CS COSI Security is delisted upon application by the issuer or for any other reason, and the issuer fails to satisfy investors' claims according to the issuing conditions of the CS COSI Security within thirty (30) banking days of the last trading day. The Framework Agreement provides for the exact time at which each Liquidation Event occurs. The remedy of a Liquidation Event is not possible.</w:t>
            </w:r>
          </w:p>
        </w:tc>
        <w:tc>
          <w:tcPr>
            <w:tcW w:w="5037" w:type="dxa"/>
            <w:gridSpan w:val="2"/>
          </w:tcPr>
          <w:p w:rsidR="002F4D41" w:rsidRPr="00D24844" w:rsidP="00C961F8">
            <w:pPr>
              <w:pStyle w:val="CSBody0"/>
              <w:rPr>
                <w:lang w:val="de-DE"/>
              </w:rPr>
            </w:pPr>
            <w:r w:rsidRPr="00C961F8">
              <w:rPr>
                <w:b/>
                <w:lang w:val="de-DE"/>
              </w:rPr>
              <w:t>Verwertung der Sicherheiten.</w:t>
            </w:r>
            <w:r w:rsidRPr="002F4D41">
              <w:rPr>
                <w:lang w:val="de-DE"/>
              </w:rPr>
              <w:t xml:space="preserve"> Kommt der Sicherungsgeber seinen Pflichten nicht nach, werden die Sicherheiten im Rahmen der anwendbaren Rechtsvorschriften durch SIX Swiss Exchange oder einen Liquidator verwertet. Die Sicherheiten können verwertet werden ("</w:t>
            </w:r>
            <w:r w:rsidRPr="00C961F8">
              <w:rPr>
                <w:b/>
                <w:lang w:val="de-DE"/>
              </w:rPr>
              <w:t>Verwertungsfälle</w:t>
            </w:r>
            <w:r w:rsidRPr="002F4D41">
              <w:rPr>
                <w:lang w:val="de-DE"/>
              </w:rPr>
              <w:t xml:space="preserve">"), falls insbesondere (i) der Sicherungsgeber erforderliche Sicherheiten nicht, nicht rechtzeitig oder nicht mängelfrei leistet, sofern der entsprechende Mangel nicht innert drei (3) Bankwerktagen behoben wird; (ii) der Emittent eine Zahlungs- oder Lieferverpflichtung unter einem CS COSI Wertpapier bei Fälligkeit nach den Emissionsbedingungen nicht, nicht rechtzeitig oder nicht mängelfrei leistet, sofern der entsprechende Mangel nicht innert drei (3) Bankwerktagen behoben wird; (iii) die Eidgenössische Finanzmarktaufsicht FINMA hinsichtlich des Emittenten oder des Sicherungsgebers Schutzmassnahmen gemäss Artikel 26 Absatz 1 Buchstabe (f) bis (h) des Bundesgesetzes über die Banken und Sparkassen, Sanierungsmassnahmen oder die Liquidation (Konkurs) gemäss Artikel 25 ff. des Bundesgesetzes über die Banken und Sparkassen anordnet; (iv) eine ausländische Finanzmarktaufsichtsbehörde, eine andere zuständige ausländische Behörde oder ein zuständiges ausländisches Gericht eine Massnahme anordnet, welche mit den in vorstehender Ziffer (iii) erwähnten Massnahmen vergleichbar ist; (v) die Verpflichtung zum Market Making während zehn (10) aufeinander folgenden Bankwerktagen verletzt wird; (vi) die Teilnehmerschaft des Sicherungsgebers bei der SIX SIS erlöscht; (vii) die provisorische Zulassung von CS COSI Wertpapieren zum Handel dahin fällt oder gestrichen wird und der Emittent die Ansprüche der Anleger gemäss den Emissionsbedingungen der CS COSI Wertpapiere nicht innert dreissig (30) Bankwerktagen nach dem Dahinfallen oder der Streichung der provisorischen Zulassung befriedigt; oder (viii) die CS COSI Wertpapiere auf Gesuch des Emittenten oder aus einem sonstigen Grund dekotiert werden und der Emittent die Ansprüche der Anleger gemäss den Emissionsbedingungen der CS COSI Wertpapiere nicht innert dreissig (30) Bankwerktagen nach dem letzten Handelstag befriedigt. Der genaue Zeitpunkt des Eintrittes der einzelnen Verwertungsfälle ist im Rahmenvertrag geregelt. </w:t>
            </w:r>
            <w:r w:rsidRPr="00D24844">
              <w:rPr>
                <w:lang w:val="de-DE"/>
              </w:rPr>
              <w:t>Die Heilung eines Verwertungsfalles ist ausgeschlossen.</w:t>
            </w:r>
          </w:p>
        </w:tc>
      </w:tr>
      <w:tr w:rsidTr="002F4D41">
        <w:tblPrEx>
          <w:tblW w:w="5000" w:type="pct"/>
          <w:tblLook w:val="04A0"/>
        </w:tblPrEx>
        <w:tc>
          <w:tcPr>
            <w:tcW w:w="4818" w:type="dxa"/>
            <w:gridSpan w:val="2"/>
          </w:tcPr>
          <w:p w:rsidR="002F4D41" w:rsidRPr="000E6F31" w:rsidP="00C961F8">
            <w:pPr>
              <w:pStyle w:val="CSBody0"/>
            </w:pPr>
            <w:r w:rsidRPr="00C961F8">
              <w:rPr>
                <w:b/>
              </w:rPr>
              <w:t>Determination of a Liquidation Event.</w:t>
            </w:r>
            <w:r w:rsidRPr="000E6F31">
              <w:t xml:space="preserve"> SIX Swiss Exchange is not required to undertake investigations with regard to the occurrence of a Liquidation Event. In determining the occurrence of a Liquidation Event, it bases its decision on reliable sources of information only. SIX Swiss Exchange determines with binding effect for the investors that an incident qualifies as a Liquidation Event and at what point in time the Liquidation Event occurred.</w:t>
            </w:r>
          </w:p>
        </w:tc>
        <w:tc>
          <w:tcPr>
            <w:tcW w:w="5037" w:type="dxa"/>
            <w:gridSpan w:val="2"/>
          </w:tcPr>
          <w:p w:rsidR="002F4D41" w:rsidRPr="002F4D41" w:rsidP="00C961F8">
            <w:pPr>
              <w:pStyle w:val="CSBody0"/>
              <w:rPr>
                <w:lang w:val="de-DE"/>
              </w:rPr>
            </w:pPr>
            <w:r w:rsidRPr="00C961F8">
              <w:rPr>
                <w:b/>
                <w:lang w:val="de-DE"/>
              </w:rPr>
              <w:t>Feststellung eines Verwertungsfalles.</w:t>
            </w:r>
            <w:r w:rsidRPr="002F4D41">
              <w:rPr>
                <w:lang w:val="de-DE"/>
              </w:rPr>
              <w:t xml:space="preserve"> SIX Swiss Exchange unterliegt hinsichtlich des Eintrittes eines Verwertungsfalles keiner Nachforschungspflicht. Sie stützt sich bei der Feststellung eines Verwertungsfalles ausschliesslich auf zuverlässige Informationsquellen. SIX Swiss Exchange stellt mit Wirkung für die Anleger verbindlich fest, dass ein Ereignis als Verwertungsfall erfasst wird und zu welchem Zeitpunkt ein Verwertungsfall eingetreten ist.</w:t>
            </w:r>
          </w:p>
        </w:tc>
      </w:tr>
      <w:tr w:rsidTr="002F4D41">
        <w:tblPrEx>
          <w:tblW w:w="5000" w:type="pct"/>
          <w:tblLook w:val="04A0"/>
        </w:tblPrEx>
        <w:tc>
          <w:tcPr>
            <w:tcW w:w="4818" w:type="dxa"/>
            <w:gridSpan w:val="2"/>
          </w:tcPr>
          <w:p w:rsidR="002F4D41" w:rsidRPr="000E6F31" w:rsidP="00E5715A">
            <w:pPr>
              <w:pStyle w:val="CSBody0"/>
            </w:pPr>
            <w:r w:rsidRPr="00C961F8">
              <w:rPr>
                <w:b/>
              </w:rPr>
              <w:t>Procedure in case of a Liquidation Event.</w:t>
            </w:r>
            <w:r w:rsidRPr="000E6F31">
              <w:t xml:space="preserve"> If a Liquidation Event occurs, SIX Swiss Exchange is at its own discretion entitled: (i) to make public the occurrence of a Liquidation Event immediately or at a later stage in suitable form, specifically in a newspaper with a national distribution and on the SIX Swiss Exchange website; as well as (ii) to liquidate immediately or at a later stage </w:t>
            </w:r>
            <w:r w:rsidR="00E5715A">
              <w:noBreakHyphen/>
            </w:r>
            <w:r w:rsidRPr="000E6F31">
              <w:t xml:space="preserve"> without regard to the amount of unsatisfied claims </w:t>
            </w:r>
            <w:r w:rsidR="00E5715A">
              <w:noBreakHyphen/>
            </w:r>
            <w:r w:rsidRPr="000E6F31">
              <w:t xml:space="preserve"> all existing collateral on a private basis, provided the applicable legal regulations or regulatory orders do not prohibit such private liquidation (and, if a private liquidation is not possible, hand the collateral over to the competent person for liquidation). Once a Liquidation Event has occurred, trading in all CS COSI Securities may be suspended, and the CS COSI Securities may be delisted.</w:t>
            </w:r>
          </w:p>
        </w:tc>
        <w:tc>
          <w:tcPr>
            <w:tcW w:w="5037" w:type="dxa"/>
            <w:gridSpan w:val="2"/>
          </w:tcPr>
          <w:p w:rsidR="002F4D41" w:rsidRPr="002F4D41" w:rsidP="00C961F8">
            <w:pPr>
              <w:pStyle w:val="CSBody0"/>
              <w:rPr>
                <w:lang w:val="de-DE"/>
              </w:rPr>
            </w:pPr>
            <w:r w:rsidRPr="00C961F8">
              <w:rPr>
                <w:b/>
                <w:lang w:val="de-DE"/>
              </w:rPr>
              <w:t>Handeln im Verwertungsfall.</w:t>
            </w:r>
            <w:r w:rsidRPr="002F4D41">
              <w:rPr>
                <w:lang w:val="de-DE"/>
              </w:rPr>
              <w:t xml:space="preserve"> Tritt ein Verwertungsfall ein, ist SIX Swiss Exchange nach eigenem freien Ermessen berechtigt, (i) das Vorliegen eines Verwertungsfalles umgehend oder in einem späteren Zeitpunkt in geeigneter Form öffentlich bekannt zu machen, insbesondere in einer Zeitung mit landesweiter Verbreitung sowie auf der Webseite von SIX Swiss Exchange zu publizieren; sowie (ii) unabhängig von der Höhe der offenen Ansprüche sämtliche bestehenden Sicherheiten umgehend oder in einem späteren Zeitpunkt privat zu verwerten, sofern die anwendbaren Rechtsvorschriften oder behördlichen Anordnungen der Privatverwertung nicht entgegenstehen (und falls eine Privatverwertung nicht möglich ist, die Sicherheiten der zuständigen Person zur Verwertung abzuliefern). Nachdem ein Verwertungsfall eingetreten ist, kann der Handel in sämtlichen CS COSI Wertpapieren des Emittenten sistiert werden und die Dekotierung der CS COSI Wertpapiere des Emittenten erfolgen.</w:t>
            </w:r>
          </w:p>
        </w:tc>
      </w:tr>
      <w:tr w:rsidTr="002F4D41">
        <w:tblPrEx>
          <w:tblW w:w="5000" w:type="pct"/>
          <w:tblLook w:val="04A0"/>
        </w:tblPrEx>
        <w:tc>
          <w:tcPr>
            <w:tcW w:w="4818" w:type="dxa"/>
            <w:gridSpan w:val="2"/>
          </w:tcPr>
          <w:p w:rsidR="002F4D41" w:rsidRPr="00F46B94" w:rsidP="00C961F8">
            <w:pPr>
              <w:pStyle w:val="CSBody0"/>
            </w:pPr>
            <w:r w:rsidRPr="00C961F8">
              <w:rPr>
                <w:b/>
              </w:rPr>
              <w:t>Maturity of the CS COSI Securities as well as investors' claims against SIX Swiss Exchange and the issuer.</w:t>
            </w:r>
            <w:r w:rsidRPr="00F46B94">
              <w:t xml:space="preserve"> All of the CS COSI Securities under the Framework Agreement shall fall due for redemption thirty (30) banking days after a Liquidation Event has occurred. SIX Swiss Exchange shall make public the due date in a newspaper with a national distribution, as well as on the SIX Swiss Exchange website. </w:t>
            </w:r>
            <w:r w:rsidRPr="00C961F8">
              <w:rPr>
                <w:b/>
              </w:rPr>
              <w:t xml:space="preserve">Investors' claims against SIX Swiss Exchange for the payment of their pro rata share of the net liquidation proceeds </w:t>
            </w:r>
            <w:r w:rsidRPr="00F46B94">
              <w:t xml:space="preserve">arise automatically only once the CS COSI Securities have fallen due for redemption. Investors' claims against SIX Swiss Exchange are based on a genuine contract in favor of third parties (Article 112 paragraph 2 of the Swiss Code of Obligations) which is irrevocable on the part of the Collateral Provider. The acquisition of a CS COSI Security by an investor automatically entails the declaration vis-à-vis SIX Swiss Exchange, as described in Art. 112 paragraph 3 of the Swiss Code of Obligations, that he wishes to enforce his right under the Framework Agreement at maturity of the CS COSI Securities. In dealings with SIX Swiss Exchange and SIX SIS, the investors are bound by the provisions of the Framework Agreement, specifically the </w:t>
            </w:r>
            <w:r w:rsidRPr="00C961F8">
              <w:rPr>
                <w:b/>
              </w:rPr>
              <w:t>choice of Swiss law and the exclusive jurisdiction of the Commercial Court of Canton Zurich (Switzerland)</w:t>
            </w:r>
            <w:r w:rsidRPr="00F46B94">
              <w:t>.</w:t>
            </w:r>
          </w:p>
        </w:tc>
        <w:tc>
          <w:tcPr>
            <w:tcW w:w="5037" w:type="dxa"/>
            <w:gridSpan w:val="2"/>
          </w:tcPr>
          <w:p w:rsidR="002F4D41" w:rsidRPr="002F4D41" w:rsidP="00C961F8">
            <w:pPr>
              <w:pStyle w:val="CSBody0"/>
              <w:rPr>
                <w:lang w:val="de-DE"/>
              </w:rPr>
            </w:pPr>
            <w:r w:rsidRPr="00C961F8">
              <w:rPr>
                <w:b/>
                <w:lang w:val="de-DE"/>
              </w:rPr>
              <w:t>Fälligkeit der CS COSI Wertpapiere sowie Ansprüche der Anleger gegen SIX Swiss Exchange und den Emittenten.</w:t>
            </w:r>
            <w:r w:rsidRPr="002F4D41">
              <w:rPr>
                <w:lang w:val="de-DE"/>
              </w:rPr>
              <w:t xml:space="preserve"> Sämtliche unter dem Rahmenvertrag besicherten CS COSI Wertpapiere des Emittenten werden dreissig (30) Bankwerktage nach Eintritt eines Verwertungsfalles fällig. SIX Swiss Exchange macht das Datum der Fälligkeit in einer Zeitung mit landesweiter Verbreitung sowie auf der Webseite von SIX Swiss Exchange öffentlich bekannt. Erst bei Fälligkeit der CS COSI Wertpapiere entstehen automatisch die </w:t>
            </w:r>
            <w:r w:rsidRPr="00C961F8">
              <w:rPr>
                <w:b/>
                <w:lang w:val="de-DE"/>
              </w:rPr>
              <w:t>Ansprüche der Anleger gegenüber SIX Swiss Exchange auf Auszahlung der anteilsmässigen Netto-Verwertungserlöse</w:t>
            </w:r>
            <w:r w:rsidRPr="002F4D41">
              <w:rPr>
                <w:lang w:val="de-DE"/>
              </w:rPr>
              <w:t xml:space="preserve">. Die Ansprüche der Anleger gegenüber SIX Swiss Exchange basieren auf einem echten Vertrag zu Gunsten Dritter (Artikel 112 Absatz 2 des Schweizerischen Obligationenrechts), welcher seitens des Sicherungsgebers unwiderruflich ist. Mit dem Erwerb eines CS COSI Wertpapiers ist automatisch die Erklärung jedes Anlegers gegenüber SIX Swiss Exchange im Sinne von Artikel 112 Absatz 3 des Schweizerischen Obligationenrechts verbunden, bei Fälligkeit der CS COSI Wertpapiere von seinem Recht aus dem Rahmenvertrag Gebrauch machen zu wollen. Die Anleger sind gegenüber SIX Swiss Exchange und SIX SIS an die Bestimmungen des Rahmenvertrages und insbesondere an die </w:t>
            </w:r>
            <w:r w:rsidRPr="00C961F8">
              <w:rPr>
                <w:b/>
                <w:lang w:val="de-DE"/>
              </w:rPr>
              <w:t>Wahl des schweizerischen Rechts und die ausschliessliche Zuständigkeit des Handelsgerichts des Kantons Zürich (Schweiz)</w:t>
            </w:r>
            <w:r w:rsidRPr="002F4D41">
              <w:rPr>
                <w:lang w:val="de-DE"/>
              </w:rPr>
              <w:t xml:space="preserve"> gebunden.</w:t>
            </w:r>
          </w:p>
        </w:tc>
      </w:tr>
      <w:tr w:rsidTr="002F4D41">
        <w:tblPrEx>
          <w:tblW w:w="5000" w:type="pct"/>
          <w:tblLook w:val="04A0"/>
        </w:tblPrEx>
        <w:tc>
          <w:tcPr>
            <w:tcW w:w="4818" w:type="dxa"/>
            <w:gridSpan w:val="2"/>
          </w:tcPr>
          <w:p w:rsidR="002F4D41" w:rsidRPr="00F46B94" w:rsidP="00C961F8">
            <w:pPr>
              <w:pStyle w:val="CSBody0"/>
            </w:pPr>
            <w:r w:rsidRPr="00F46B94">
              <w:t xml:space="preserve">If a Liquidation Event has occurred, SIX Swiss Exchange will determine the Current Values of all CS COSI Securities in the respective trading currency with binding effect for the issuer, the Collateral Provider and the investors. </w:t>
            </w:r>
            <w:r w:rsidRPr="00C961F8">
              <w:rPr>
                <w:b/>
              </w:rPr>
              <w:t>Investors' claims against the issuer</w:t>
            </w:r>
            <w:r w:rsidRPr="00F46B94">
              <w:t xml:space="preserve"> will be based on these Current Values when the CS COSI Securities mature in accordance with the Framework Agreement. The Current Values of the CS COSI Securities on the banking day immediately preceding the date on which the Liquidation Event occurred shall be applicable. SIX Swiss Exchange shall make public the applicable Current Values of the CS COSI Securities.</w:t>
            </w:r>
          </w:p>
        </w:tc>
        <w:tc>
          <w:tcPr>
            <w:tcW w:w="5037" w:type="dxa"/>
            <w:gridSpan w:val="2"/>
          </w:tcPr>
          <w:p w:rsidR="002F4D41" w:rsidRPr="002F4D41" w:rsidP="00C961F8">
            <w:pPr>
              <w:pStyle w:val="CSBody0"/>
              <w:rPr>
                <w:lang w:val="de-DE"/>
              </w:rPr>
            </w:pPr>
            <w:r w:rsidRPr="002F4D41">
              <w:rPr>
                <w:lang w:val="de-DE"/>
              </w:rPr>
              <w:t xml:space="preserve">Liegt ein Verwertungsfall vor, stellt SIX Swiss Exchange die Aktuellen Werte sämtlicher CS COSI Wertpapiere des Emittenten in der jeweiligen Handelswährung mit Wirkung für den Emittenten, den Sicherungsgeber und die Anleger verbindlich fest. Nach diesen Aktuellen Werten bestimmen sich die </w:t>
            </w:r>
            <w:r w:rsidRPr="00C961F8">
              <w:rPr>
                <w:b/>
                <w:lang w:val="de-DE"/>
              </w:rPr>
              <w:t>Ansprüche der Anleger gegenüber dem Emittenten</w:t>
            </w:r>
            <w:r w:rsidRPr="002F4D41">
              <w:rPr>
                <w:lang w:val="de-DE"/>
              </w:rPr>
              <w:t xml:space="preserve"> bei Fälligkeit der CS COSI Wertpapiere nach den Bestimmungen des Rahmenvertrages. Massgeblich sind die Aktuellen Werte der CS COSI Wertpapiere am Bankwerktag, welcher dem Zeitpunkt des Eintrittes des Verwertungsfalles unmittelbar vorausgeht. SIX Swiss Exchange macht die massgeblichen Aktuellen Werte der CS COSI Wertpapiere öffentlich bekannt.</w:t>
            </w:r>
          </w:p>
        </w:tc>
      </w:tr>
      <w:tr w:rsidTr="002F4D41">
        <w:tblPrEx>
          <w:tblW w:w="5000" w:type="pct"/>
          <w:tblLook w:val="04A0"/>
        </w:tblPrEx>
        <w:tc>
          <w:tcPr>
            <w:tcW w:w="4818" w:type="dxa"/>
            <w:gridSpan w:val="2"/>
          </w:tcPr>
          <w:p w:rsidR="002F4D41" w:rsidRPr="00F46B94" w:rsidP="00C961F8">
            <w:pPr>
              <w:pStyle w:val="CSBody0"/>
            </w:pPr>
            <w:r w:rsidRPr="00C961F8">
              <w:rPr>
                <w:b/>
              </w:rPr>
              <w:t>Costs of liquidation and payout for the benefit of the investors</w:t>
            </w:r>
            <w:r w:rsidRPr="00F46B94">
              <w:t>. The costs incurred in connection with the liquidation and payout (including taxes and duties, as well as consulting fees) shall, in advance, be covered out of the proceeds of the liquidation of the collateral. For this purpose, SIX Swiss Exchange shall deduct a flatrate fee of 0.1 percent from the entire liquidation proceeds for its own expenses and for the expenses of third parties. In addition, SIX Swiss Exchange shall be entitled to satisfy, in advance out of the proceeds of the liquidation of the collateral, any outstanding claims it holds against the Collateral Provider and the issuer under the terms of the Framework Agreement. The remaining net liquidation proceeds are available for payout to the investors in CS COSI Securities.</w:t>
            </w:r>
          </w:p>
        </w:tc>
        <w:tc>
          <w:tcPr>
            <w:tcW w:w="5037" w:type="dxa"/>
            <w:gridSpan w:val="2"/>
          </w:tcPr>
          <w:p w:rsidR="002F4D41" w:rsidRPr="002F4D41" w:rsidP="00C961F8">
            <w:pPr>
              <w:pStyle w:val="CSBody0"/>
              <w:rPr>
                <w:lang w:val="de-DE"/>
              </w:rPr>
            </w:pPr>
            <w:r w:rsidRPr="00C961F8">
              <w:rPr>
                <w:b/>
                <w:lang w:val="de-DE"/>
              </w:rPr>
              <w:t>Kosten der Verwertung und Auszahlung zu Gunsten der Anleger</w:t>
            </w:r>
            <w:r w:rsidRPr="002F4D41">
              <w:rPr>
                <w:lang w:val="de-DE"/>
              </w:rPr>
              <w:t>. Die im Zusammenhang mit der Verwertung und Auszahlung entstehenden Kosten (einschliesslich Steuern und Abgaben sowie Beraterhonorare) werden durch den Erlös aus der Verwertung der Sicherheiten vorab gedeckt. Zu diesem Zweck zieht SIX Swiss Exchange pauschal 0.1 Prozent des gesamten Verwertungserlöses für die eigenen Umtriebe und für die Umtriebe Dritter ab. SIX Swiss Exchange ist zudem berechtigt, ihre unter dem Rahmenvertrag gegenüber dem Sicherungsgeber und dem Emittenten offenen Ansprüche aus dem Verwertungserlös zu befriedigen. Der verbleibende Netto</w:t>
            </w:r>
            <w:r w:rsidR="00D24844">
              <w:rPr>
                <w:lang w:val="de-DE"/>
              </w:rPr>
              <w:t>-</w:t>
            </w:r>
            <w:r w:rsidRPr="002F4D41">
              <w:rPr>
                <w:lang w:val="de-DE"/>
              </w:rPr>
              <w:t>Verwertungserlös steht zur Auszahlung an die Anleger in CS COSI Wertpapiere des Emittenten zur Verfügung.</w:t>
            </w:r>
          </w:p>
        </w:tc>
      </w:tr>
      <w:tr w:rsidTr="002F4D41">
        <w:tblPrEx>
          <w:tblW w:w="5000" w:type="pct"/>
          <w:tblLook w:val="04A0"/>
        </w:tblPrEx>
        <w:tc>
          <w:tcPr>
            <w:tcW w:w="4818" w:type="dxa"/>
            <w:gridSpan w:val="2"/>
          </w:tcPr>
          <w:p w:rsidR="002F4D41" w:rsidRPr="00FE0A9F" w:rsidP="00C961F8">
            <w:pPr>
              <w:pStyle w:val="CSBody0"/>
            </w:pPr>
            <w:r w:rsidRPr="00FE0A9F">
              <w:t>SIX Swiss Exchange will transfer the pro rata share of net liquidation proceeds due to investors to SIX SIS participants. In doing so, it is released from all further obligations. The amounts transferred are determined by the holdings of CS COSI Securities that are booked to participant accounts with SIX SIS. If the issuer which, according to the Framework Agreement, is affected by the maturity of its CS COSI Securities, is a SIX SIS participant, then SIX Swiss Exchange and SIX SIS shall decide on a separate procedure for the payment of the pro rata share of net liquidation proceeds to those investors who hold their CS COSI Securities via the issuer. SIX Swiss Exchange may transfer the pro rata share of net liquidation proceeds for these investors to one or more other SIX SIS participants or to one or more third parties, which will attend to the payment to investors in CS COSI Securities either directly or indirectly. In doing so, SIX Swiss Exchange is released from all further obligations. SIX Swiss Exchange may decide at its own discretion to have the payment of the pro rata share of net liquidation proceeds for other or all investors in CS COSI Securities conducted by one or more other SIX SIS participants or by one or more third parties.</w:t>
            </w:r>
          </w:p>
        </w:tc>
        <w:tc>
          <w:tcPr>
            <w:tcW w:w="5037" w:type="dxa"/>
            <w:gridSpan w:val="2"/>
          </w:tcPr>
          <w:p w:rsidR="002F4D41" w:rsidRPr="002F4D41" w:rsidP="00C961F8">
            <w:pPr>
              <w:pStyle w:val="CSBody0"/>
              <w:rPr>
                <w:lang w:val="de-DE"/>
              </w:rPr>
            </w:pPr>
            <w:r w:rsidRPr="002F4D41">
              <w:rPr>
                <w:lang w:val="de-DE"/>
              </w:rPr>
              <w:t>SIX Swiss Exchange überweist die den Anlegern zustehenden anteilsmässigen Netto-Verwertungserlöse mit befreiender Wirkung an die Teilnehmer von SIX SIS. Die Überweisung richtet sich nach den Beständen in den CS COSI Wertpapieren, die in den Konti der Teilnehmer bei SIX SIS gebucht sind. Ist der Emittent, der unter dem Rahmenvertrag von der Fälligkeit seiner CS COSI Wertpapiere betroffen ist, Teilnehmer von SIX SIS, bestimmen SIX Swiss Exchange und SIX SIS ein separates Verfahren für die Auszahlung des anteilsmässigen Netto-Verwertungserlöses an diejenigen Anleger, welche ihre CS COSI Wertpapiere über den Emittenten halten. SIX Swiss Exchange kann die anteilsmässigen Netto-Verwertungserlöse für diese Anleger mit befreiender Wirkung einem oder mehreren anderen Teilnehmern von SIX SIS oder einem oder mehreren Dritten überweisen, welche die Auszahlung an die Anleger in CS COSI Wertpapiere direkt oder indirekt besorgen. Es liegt im Ermessen von SIX Swiss Exchange, die Auszahlung der anteilsmässigen Netto-Verwertungserlöse auch für weitere oder sämtliche Anleger in CS COSI Wertpapiere durch einen oder mehrere andere Teilnehmer von SIX SIS oder einen oder mehrere Dritte vornehmen zu lassen.</w:t>
            </w:r>
          </w:p>
        </w:tc>
      </w:tr>
      <w:tr w:rsidTr="002F4D41">
        <w:tblPrEx>
          <w:tblW w:w="5000" w:type="pct"/>
          <w:tblLook w:val="04A0"/>
        </w:tblPrEx>
        <w:tc>
          <w:tcPr>
            <w:tcW w:w="4818" w:type="dxa"/>
            <w:gridSpan w:val="2"/>
          </w:tcPr>
          <w:p w:rsidR="002F4D41" w:rsidRPr="00FE0A9F" w:rsidP="00C961F8">
            <w:pPr>
              <w:pStyle w:val="CSBody0"/>
            </w:pPr>
            <w:r w:rsidRPr="00FE0A9F">
              <w:t>The payouts to investors are made exclusively in Swiss francs. The claim of the investors is non-interest-bearing. SIX Swiss Exchange is not liable to pay either default interest or damages should the payout be delayed for any reason.</w:t>
            </w:r>
          </w:p>
        </w:tc>
        <w:tc>
          <w:tcPr>
            <w:tcW w:w="5037" w:type="dxa"/>
            <w:gridSpan w:val="2"/>
          </w:tcPr>
          <w:p w:rsidR="002F4D41" w:rsidRPr="002F4D41" w:rsidP="00C961F8">
            <w:pPr>
              <w:pStyle w:val="CSBody0"/>
              <w:rPr>
                <w:lang w:val="de-DE"/>
              </w:rPr>
            </w:pPr>
            <w:r w:rsidRPr="002F4D41">
              <w:rPr>
                <w:lang w:val="de-DE"/>
              </w:rPr>
              <w:t>Die Auszahlung zu Gunsten der Anleger erfolgt ausschliesslich in Schweizer Franken. Der Anspruch der Anleger ist nicht verzinslich. Sollte sich die Auszahlung aus irgendeinem Grund verzögern, schuldet SIX Swiss Exchange weder Verzugszinsen noch Schadenersatz.</w:t>
            </w:r>
          </w:p>
        </w:tc>
      </w:tr>
      <w:tr w:rsidTr="002F4D41">
        <w:tblPrEx>
          <w:tblW w:w="5000" w:type="pct"/>
          <w:tblLook w:val="04A0"/>
        </w:tblPrEx>
        <w:tc>
          <w:tcPr>
            <w:tcW w:w="4818" w:type="dxa"/>
            <w:gridSpan w:val="2"/>
          </w:tcPr>
          <w:p w:rsidR="002F4D41" w:rsidRPr="00FE0A9F" w:rsidP="00C961F8">
            <w:pPr>
              <w:pStyle w:val="CSBody0"/>
            </w:pPr>
            <w:r w:rsidRPr="00FE0A9F">
              <w:t>The maximum claim of an investor to satisfaction from the net liquidation proceeds of collateral is determined by the sum of the Current Values of his CS COSI Securities. Should the combined Current Values of all investors in CS COSI Securities exceed the net liquidation proceeds, payment of pro rata shares of net liquidation proceeds to individual investors will be made according to the ratio between the total Current Values held by individual investors and the total Current Values accruing to all investors in CS COSI Securities.</w:t>
            </w:r>
          </w:p>
        </w:tc>
        <w:tc>
          <w:tcPr>
            <w:tcW w:w="5037" w:type="dxa"/>
            <w:gridSpan w:val="2"/>
          </w:tcPr>
          <w:p w:rsidR="002F4D41" w:rsidRPr="002F4D41" w:rsidP="00C961F8">
            <w:pPr>
              <w:pStyle w:val="CSBody0"/>
              <w:rPr>
                <w:lang w:val="de-DE"/>
              </w:rPr>
            </w:pPr>
            <w:r w:rsidRPr="002F4D41">
              <w:rPr>
                <w:lang w:val="de-DE"/>
              </w:rPr>
              <w:t>Der maximale Anspruch eines Anlegers auf Befriedigung aus dem Netto-Verwertungserlös der Sicherheiten richtet sich nach der Summe der Aktuellen Werte seiner CS COSI Wertpapiere. Übersteigen die Aktuellen Werte sämtlicher Anleger in CS COSI Wertpapiere des Emittenten den Netto-Verwertungserlös, erfolgt die Auszahlung der anteilsmässigen Netto-Verwertungserlöse zu Gunsten der einzelnen Anleger im Verhältnis der totalen Aktuellen Werte der einzelnen Anleger zur Gesamtsumme der Aktuellen Werte sämtlicher Anleger in CS COSI Wertpapiere des Emittenten.</w:t>
            </w:r>
          </w:p>
        </w:tc>
      </w:tr>
      <w:tr w:rsidTr="002F4D41">
        <w:tblPrEx>
          <w:tblW w:w="5000" w:type="pct"/>
          <w:tblLook w:val="04A0"/>
        </w:tblPrEx>
        <w:tc>
          <w:tcPr>
            <w:tcW w:w="4818" w:type="dxa"/>
            <w:gridSpan w:val="2"/>
          </w:tcPr>
          <w:p w:rsidR="002F4D41" w:rsidRPr="00FB36C8" w:rsidP="00BB4E69">
            <w:pPr>
              <w:pStyle w:val="CSBody0"/>
            </w:pPr>
            <w:r w:rsidRPr="00FB36C8">
              <w:t>In the case of CS COSI Securities in a different trading currency than the Swiss franc, SIX Swiss Exchange shall, with binding effect for the parties to the Framework Agreement and the investors, convert the Current Values into Swiss francs in order to determine the pro rata share of net liquidation proceeds. The exchange rates according to the rules and regulations of SIX SIS on the banking day immediately preceding the date on which the Liquidation Event occurred, shall be applicable. The conversion of the Current Values of CS COSI Securities of a different trading currency than the Swiss franc pertains only to the amount and the effect of the payout of pro rata net liquidation proceeds by SIX Swiss Exchange to investors in such CS COSI Securities and shall have no further effect on the relationship between the investor and the issuer. SIX Swiss Exchange shall make public these values of the CS COSI Securities as well as the applicable exchange rates.</w:t>
            </w:r>
          </w:p>
        </w:tc>
        <w:tc>
          <w:tcPr>
            <w:tcW w:w="5037" w:type="dxa"/>
            <w:gridSpan w:val="2"/>
          </w:tcPr>
          <w:p w:rsidR="002F4D41" w:rsidRPr="002F4D41" w:rsidP="00C961F8">
            <w:pPr>
              <w:pStyle w:val="CSBody0"/>
              <w:rPr>
                <w:lang w:val="de-DE"/>
              </w:rPr>
            </w:pPr>
            <w:r w:rsidRPr="002F4D41">
              <w:rPr>
                <w:lang w:val="de-DE"/>
              </w:rPr>
              <w:t>Bei CS COSI Wertpapieren in einer anderen Handelswährung als dem Schweizer Franken rechnet SIX , Swiss Exchange zur Ermittlung der anteilsmässigen Netto-Verwertungserlöse die Aktuellen Werte mit Wirkung für die Parteien des Rahmenvertrages und die Anleger in Schweizer Franken um. Massgeblich sind die Wechselkurse nach dem Regelwerk von SIX SIS am Bankwerktag, welcher dem für den Eintritt des Verwertungsfalles relevanten Zeitpunkt unmittelbar vorausgeht. Die Umrechnung der Aktuellen Werte bei CS COSI Wertpapieren in einer anderen Handelswährung als dem Schweizer Franken bezieht sich lediglich auf den Umfang und die Wirkungen der Auszahlung der anteilsmässigen Netto-Verwertungserlöse von SIX Swiss Exchange zu Gunsten der Anleger in derartige CS COSI Wertpapiere, berührt im Übrigen das Verhältnis der Anleger zum Emittenten jedoch nicht. SIX Swiss Exchange macht diese Werte der CS COSI Wertpapiere sowie die massgeblichen Wechselkurse öffentlich bekannt.</w:t>
            </w:r>
          </w:p>
        </w:tc>
      </w:tr>
      <w:tr w:rsidTr="002F4D41">
        <w:tblPrEx>
          <w:tblW w:w="5000" w:type="pct"/>
          <w:tblLook w:val="04A0"/>
        </w:tblPrEx>
        <w:tc>
          <w:tcPr>
            <w:tcW w:w="4818" w:type="dxa"/>
            <w:gridSpan w:val="2"/>
          </w:tcPr>
          <w:p w:rsidR="002F4D41" w:rsidRPr="00FB36C8" w:rsidP="00BB4E69">
            <w:pPr>
              <w:pStyle w:val="CSBody0"/>
            </w:pPr>
            <w:r w:rsidRPr="00FB36C8">
              <w:t>The investors' claims against the issuer arising from the CS COSI Securities are reduced by the amount of the payment of the pro rata net liquidation proceeds. In the case of CS COSI Securities of a different trading currency than the Swiss franc, the reduction amount of the claim of the investor against the issuer shall be determined in accordance with the conversion rate of the particular trading currency of the CS COSI Securities to the Swiss franc applicable on the banking day immediately preceding the date on which the Liquidation Event occurred.</w:t>
            </w:r>
          </w:p>
        </w:tc>
        <w:tc>
          <w:tcPr>
            <w:tcW w:w="5037" w:type="dxa"/>
            <w:gridSpan w:val="2"/>
          </w:tcPr>
          <w:p w:rsidR="002F4D41" w:rsidRPr="002F4D41" w:rsidP="00A07DC6">
            <w:pPr>
              <w:pStyle w:val="CSBody0"/>
              <w:rPr>
                <w:lang w:val="de-DE"/>
              </w:rPr>
            </w:pPr>
            <w:r w:rsidRPr="002F4D41">
              <w:rPr>
                <w:lang w:val="de-DE"/>
              </w:rPr>
              <w:t>Im Umfang der Auszahlung der anteilsmässigen Netto-Verwertungserlöse erlöschen die Forderungen der Anleger aus den CS COSI Wertpapieren gegenüber dem Emittenten. Bei CS COSI Wertpapieren in einer anderen Handelswährung als dem Schweizer Franken bestimmt sich der Umfang des Erlöschens der Forderungen der Anleger gegenüber dem Emittenten aufgrund der Wechselkurse der jeweiligen Handelswährung der CS COSI Wertpapiere zum Schweizer Franken am Bankwerktag, welcher dem Zeitpunkt des Eintrittes des Verwertungsfalles unmittelbar vorausgeht.</w:t>
            </w:r>
          </w:p>
        </w:tc>
      </w:tr>
      <w:tr w:rsidTr="002F4D41">
        <w:tblPrEx>
          <w:tblW w:w="5000" w:type="pct"/>
          <w:tblLook w:val="04A0"/>
        </w:tblPrEx>
        <w:tc>
          <w:tcPr>
            <w:tcW w:w="4818" w:type="dxa"/>
            <w:gridSpan w:val="2"/>
          </w:tcPr>
          <w:p w:rsidR="00BB4E69" w:rsidRPr="00854936" w:rsidP="00BB4E69">
            <w:pPr>
              <w:pStyle w:val="CSBody0"/>
            </w:pPr>
            <w:r w:rsidRPr="00854936">
              <w:t>No further investor claims exist against SIX Swiss Exchange, SIX SIS or other persons which are involved in the collateralization service for CS COSI Securities under the terms of the Framework Agreement.</w:t>
            </w:r>
          </w:p>
        </w:tc>
        <w:tc>
          <w:tcPr>
            <w:tcW w:w="5037" w:type="dxa"/>
            <w:gridSpan w:val="2"/>
          </w:tcPr>
          <w:p w:rsidR="00BB4E69" w:rsidRPr="00BB4E69" w:rsidP="00BB4E69">
            <w:pPr>
              <w:pStyle w:val="CSBody0"/>
              <w:rPr>
                <w:lang w:val="de-DE"/>
              </w:rPr>
            </w:pPr>
            <w:r w:rsidRPr="00BB4E69">
              <w:rPr>
                <w:lang w:val="de-DE"/>
              </w:rPr>
              <w:t>Weitergehende Ansprüche der Anleger gegenüber SIX Swiss Exchange, SIX SIS oder weiteren Personen, welche nach dem Rahmenvertrag in die Dienstleistung zur Besicherung von CS COSI Wertpapieren involviert sind, bestehen nicht.</w:t>
            </w:r>
          </w:p>
        </w:tc>
      </w:tr>
      <w:tr w:rsidTr="002F4D41">
        <w:tblPrEx>
          <w:tblW w:w="5000" w:type="pct"/>
          <w:tblLook w:val="04A0"/>
        </w:tblPrEx>
        <w:tc>
          <w:tcPr>
            <w:tcW w:w="4818" w:type="dxa"/>
            <w:gridSpan w:val="2"/>
          </w:tcPr>
          <w:p w:rsidR="002F4D41" w:rsidRPr="00BD3E9C" w:rsidP="00A07DC6">
            <w:pPr>
              <w:pStyle w:val="CSBody0"/>
            </w:pPr>
            <w:r w:rsidRPr="00A07DC6">
              <w:rPr>
                <w:b/>
              </w:rPr>
              <w:t>Secondary listing.</w:t>
            </w:r>
            <w:r w:rsidRPr="00BD3E9C">
              <w:t xml:space="preserve"> Apart from the primary listing of the CS COSI Securities on SIX Swiss Exchange the issuer may apply for a listing or admission to trading on one or more secondary exchanges. All aspects and events related to listing or admission to trading of the CS COSI Securities on a secondary exchange shall be disregarded under the Framework Agreement. In particular, prices of the CS COSI Securities on secondary exchanges are not taken into consideration for the calculation of the Current Value and events which are related to a listing or admission to trading of the CS COSI Securities on a secondary exchange, such as the suspension of the market making at a secondary exchange or the delisting of the CS COSI Securities from a secondary exchange, shall not be deemed a Liquidation Event under the Framework Agreement. SIX Swiss Exchange is at its own discretion entitled to make public the occurrence of a Liquidation Event and the maturity of the CS COSI Securities pursuant to the Framework Agreement in the countries where a listing or admission to trading of the CS COSI Securities on a secondary exchange is maintained as well as to inform the secondary exchanges or any other bodies about such occurrences.</w:t>
            </w:r>
          </w:p>
        </w:tc>
        <w:tc>
          <w:tcPr>
            <w:tcW w:w="5037" w:type="dxa"/>
            <w:gridSpan w:val="2"/>
          </w:tcPr>
          <w:p w:rsidR="002F4D41" w:rsidRPr="002F4D41" w:rsidP="00A07DC6">
            <w:pPr>
              <w:pStyle w:val="CSBody0"/>
              <w:rPr>
                <w:lang w:val="de-DE"/>
              </w:rPr>
            </w:pPr>
            <w:r w:rsidRPr="00A07DC6">
              <w:rPr>
                <w:b/>
                <w:lang w:val="de-DE"/>
              </w:rPr>
              <w:t>Sekundärkotierung.</w:t>
            </w:r>
            <w:r w:rsidRPr="002F4D41">
              <w:rPr>
                <w:lang w:val="de-DE"/>
              </w:rPr>
              <w:t xml:space="preserve"> Der Emittent kann neben der Primärkotierung der CS COSI Wertpapiere an der SIX Swiss Exchange eine Kotierung oder Zulassung zum Handel an einer oder mehreren Sekundärbörsen anstreben. Sämtliche mit einer Kotierung oder Zulassung der CS COSI Wertpapiere zum Handel an einer Sekundärbörse verbundenen Aspekte und Ereignisse sind unter dem Rahmenvertrag unbeachtlich. Insbesondere finden die Kurse der CS COSI Wertpapiere an den Sekundärbörsen bei der Berechnung der Aktuellen Werte der CS COSI Wertpapiere keine Berücksichtigung und Ereignisse, welche mit einer Kotierung oder Zulassung der CS COSI Wertpapiere zum Handel an einer Sekundärbörse zusammenhängen, wie die Aussetzung des Market Making an einer Sekundärbörse oder die Dekotierung der CS COSI Wertpapiere von einer Sekundärbörse, stellen unter dem Rahmenvertrag keinen Verwertungsfall dar. SIX Swiss Exchange ist nach eigenem freien Ermessen berechtigt, den Eintritt eines Verwertungsfalles sowie die Fälligkeit der CS COSI Wertpapiere nach dem Rahmenvertrag in den Ländern, in denen eine Kotierung oder Zulassung der CS COSI Wertpapiere zum Handel besteht, öffentlich bekannt zu machen sowie die Sekundärbörsen oder sonstigen Stellen darüber zu informieren.</w:t>
            </w:r>
          </w:p>
        </w:tc>
      </w:tr>
      <w:tr w:rsidTr="002F4D41">
        <w:tblPrEx>
          <w:tblW w:w="5000" w:type="pct"/>
          <w:tblLook w:val="04A0"/>
        </w:tblPrEx>
        <w:tc>
          <w:tcPr>
            <w:tcW w:w="4818" w:type="dxa"/>
            <w:gridSpan w:val="2"/>
          </w:tcPr>
          <w:p w:rsidR="002F4D41" w:rsidRPr="00BD3E9C" w:rsidP="00A07DC6">
            <w:pPr>
              <w:pStyle w:val="CSBody0"/>
            </w:pPr>
            <w:r w:rsidRPr="00A07DC6">
              <w:rPr>
                <w:b/>
              </w:rPr>
              <w:t>Liability.</w:t>
            </w:r>
            <w:r w:rsidRPr="00BD3E9C">
              <w:t xml:space="preserve"> The liability of parties to the Framework Agreement to pay damages exists only in cases of gross negligence or intentional misconduct. Further liability is excluded. SIX Swiss Exchange shall only be liable for third parties, which are mandated with the valuation of CS COSI Securities, in case of improper selection and instruction of such third parties. Where the payment of pro rata shares of net liquidation proceeds is made via SIX SIS participants to the extent these participants hold the CS COSI Securities in accounts at SIX SIS, SIX Swiss Exchange and SIX SIS are liable only for the careful instruction of these SIX SIS participants. If the payment is made via third parties or via SIX SIS participants in respect of CS COSI Securities that are not booked to these participants' accounts at SIX SIS, then SIX Swiss Exchange and SIX SIS are liable only for the careful selection and instruction.</w:t>
            </w:r>
          </w:p>
        </w:tc>
        <w:tc>
          <w:tcPr>
            <w:tcW w:w="5037" w:type="dxa"/>
            <w:gridSpan w:val="2"/>
          </w:tcPr>
          <w:p w:rsidR="002F4D41" w:rsidRPr="002F4D41" w:rsidP="00A07DC6">
            <w:pPr>
              <w:pStyle w:val="CSBody0"/>
              <w:rPr>
                <w:lang w:val="de-DE"/>
              </w:rPr>
            </w:pPr>
            <w:r w:rsidRPr="00A07DC6">
              <w:rPr>
                <w:b/>
                <w:lang w:val="de-DE"/>
              </w:rPr>
              <w:t>Haftung.</w:t>
            </w:r>
            <w:r w:rsidRPr="002F4D41">
              <w:rPr>
                <w:lang w:val="de-DE"/>
              </w:rPr>
              <w:t xml:space="preserve"> Die Haftung der Parteien des Rahmenvertrages auf Schadenersatz besteht nur bei grobfahrlässigem oder absichtlichem Fehlverhalten. Eine weitergehende Haftung ist ausgeschlossen. Für das Verhalten von Dritten, welche im Auftrag von SIX Swiss Exchange mit der Bewertung von CS COSI Wertpapieren befasst sind, haftet SIX Swiss Exchange nur für mangelhafte Sorgfalt bei der Auswahl und Instruktion des Dritten. Soweit die Auszahlung des anteilsmässigen Netto-Verwertungserlöses zu Gunsten der Anleger über die Teilnehmer von SIX SIS CS COSI Wertpapiere betrifft, welche diese Teilnehmer in den Konti bei SIX SIS halten, haften SIX Swiss Exchange und SIX SIS nur für sorgfältige Instruktion der Teilnehmer von SIX SIS. Erfolgt die Auszahlung über Dritte oder über Teilnehmer von SIX SIS, welche die betreffenden CS COSI Wertpapiere nicht in ihren Konti bei SIX SIS halten, haften SIX Swiss Exchange und SIX SIS bloss für sorgfältige Auswahl und Instruktion.</w:t>
            </w:r>
          </w:p>
        </w:tc>
      </w:tr>
      <w:tr w:rsidTr="002F4D41">
        <w:tblPrEx>
          <w:tblW w:w="5000" w:type="pct"/>
          <w:tblLook w:val="04A0"/>
        </w:tblPrEx>
        <w:tc>
          <w:tcPr>
            <w:tcW w:w="4818" w:type="dxa"/>
            <w:gridSpan w:val="2"/>
          </w:tcPr>
          <w:p w:rsidR="002F4D41" w:rsidRPr="00A73B3C" w:rsidP="00A07DC6">
            <w:pPr>
              <w:pStyle w:val="CSBody0"/>
            </w:pPr>
            <w:r w:rsidRPr="00A07DC6">
              <w:rPr>
                <w:b/>
              </w:rPr>
              <w:t>No authorisation.</w:t>
            </w:r>
            <w:r w:rsidRPr="00A73B3C">
              <w:t xml:space="preserve"> CS COSI Securities do not constitute collective investment schemes pursuant to the Federal Act on Collective Investment Schemes (CISA). They do not require authorization or supervision by the Swiss Financial Market Supervisory Authority FINMA.</w:t>
            </w:r>
          </w:p>
        </w:tc>
        <w:tc>
          <w:tcPr>
            <w:tcW w:w="5037" w:type="dxa"/>
            <w:gridSpan w:val="2"/>
          </w:tcPr>
          <w:p w:rsidR="002F4D41" w:rsidRPr="002F4D41" w:rsidP="00A07DC6">
            <w:pPr>
              <w:pStyle w:val="CSBody0"/>
              <w:rPr>
                <w:lang w:val="de-DE"/>
              </w:rPr>
            </w:pPr>
            <w:r w:rsidRPr="00A07DC6">
              <w:rPr>
                <w:b/>
                <w:lang w:val="de-DE"/>
              </w:rPr>
              <w:t>Keine aufsichtsrechtliche Bewilligung.</w:t>
            </w:r>
            <w:r w:rsidRPr="002F4D41">
              <w:rPr>
                <w:lang w:val="de-DE"/>
              </w:rPr>
              <w:t xml:space="preserve"> CS COSI Wertpapiere sind keine kollektiven Kapitalanlagen im Sinne des Bundesgesetzes über die kollektiven Kapitalanlagen (KAG). Sie unterstehen keiner Pflicht zur Genehmigung und keiner Aufsicht durch die Eidgenössische Finanzmarktaufsicht FINMA.</w:t>
            </w:r>
          </w:p>
        </w:tc>
      </w:tr>
      <w:tr w:rsidTr="002F4D41">
        <w:tblPrEx>
          <w:tblW w:w="5000" w:type="pct"/>
          <w:tblLook w:val="04A0"/>
        </w:tblPrEx>
        <w:tc>
          <w:tcPr>
            <w:tcW w:w="4818" w:type="dxa"/>
            <w:gridSpan w:val="2"/>
          </w:tcPr>
          <w:p w:rsidR="002F4D41" w:rsidRPr="00A73B3C" w:rsidP="00F23C68">
            <w:pPr>
              <w:pStyle w:val="CSBody0"/>
            </w:pPr>
            <w:r w:rsidRPr="00A73B3C">
              <w:t xml:space="preserve">Congruence with this Document. The foregoing text of this Section </w:t>
            </w:r>
            <w:r w:rsidRPr="00F23C68">
              <w:rPr>
                <w:i/>
              </w:rPr>
              <w:t>"</w:t>
            </w:r>
            <w:r w:rsidRPr="00D24844" w:rsidR="00D24844">
              <w:rPr>
                <w:i/>
              </w:rPr>
              <w:t>—</w:t>
            </w:r>
            <w:r w:rsidRPr="00F23C68">
              <w:rPr>
                <w:i/>
              </w:rPr>
              <w:t xml:space="preserve"> Collateralization of Complex Products with COSI feature</w:t>
            </w:r>
            <w:r w:rsidRPr="00A73B3C">
              <w:t>" corresponds to the SIX Swiss Exchange standard text. As used in this Section "</w:t>
            </w:r>
            <w:r w:rsidRPr="00F23C68">
              <w:rPr>
                <w:i/>
              </w:rPr>
              <w:t>— Collateralization of Complex Products with COSI feature</w:t>
            </w:r>
            <w:r w:rsidRPr="00A73B3C">
              <w:t>" and notwithstanding anything to contrary in any other Section of this Document, the following terms have the following meanings:</w:t>
            </w:r>
          </w:p>
        </w:tc>
        <w:tc>
          <w:tcPr>
            <w:tcW w:w="5037" w:type="dxa"/>
            <w:gridSpan w:val="2"/>
          </w:tcPr>
          <w:p w:rsidR="002F4D41" w:rsidRPr="002F4D41" w:rsidP="00F23C68">
            <w:pPr>
              <w:pStyle w:val="CSBody0"/>
              <w:rPr>
                <w:lang w:val="de-DE"/>
              </w:rPr>
            </w:pPr>
            <w:r w:rsidRPr="002F4D41">
              <w:rPr>
                <w:lang w:val="de-DE"/>
              </w:rPr>
              <w:t>Übereinstimmung mit diesem Dokument. Der Text des vorstehenden Abschnitts "</w:t>
            </w:r>
            <w:r w:rsidRPr="00F23C68">
              <w:rPr>
                <w:i/>
                <w:lang w:val="de-DE"/>
              </w:rPr>
              <w:t xml:space="preserve"> </w:t>
            </w:r>
            <w:r w:rsidRPr="00EE2FB6" w:rsidR="00D24844">
              <w:rPr>
                <w:i/>
                <w:lang w:val="de-DE"/>
              </w:rPr>
              <w:t>—</w:t>
            </w:r>
            <w:r w:rsidRPr="00F23C68" w:rsidR="00F23C68">
              <w:rPr>
                <w:i/>
                <w:lang w:val="de-DE"/>
              </w:rPr>
              <w:t xml:space="preserve"> </w:t>
            </w:r>
            <w:r w:rsidRPr="00F23C68">
              <w:rPr>
                <w:i/>
                <w:lang w:val="de-DE"/>
              </w:rPr>
              <w:t>Besicherung von Komplexen Produkten mit COSI Merkmal</w:t>
            </w:r>
            <w:r w:rsidRPr="002F4D41">
              <w:rPr>
                <w:lang w:val="de-DE"/>
              </w:rPr>
              <w:t>" entspricht dem Standardtext von SIX Swiss Exchange. In diesem Abschnitt "</w:t>
            </w:r>
            <w:r w:rsidRPr="00F23C68">
              <w:rPr>
                <w:i/>
                <w:lang w:val="de-DE"/>
              </w:rPr>
              <w:t xml:space="preserve"> </w:t>
            </w:r>
            <w:r w:rsidRPr="00EE2FB6" w:rsidR="00D24844">
              <w:rPr>
                <w:i/>
                <w:lang w:val="de-DE"/>
              </w:rPr>
              <w:t>—</w:t>
            </w:r>
            <w:r w:rsidRPr="00F23C68" w:rsidR="00F23C68">
              <w:rPr>
                <w:i/>
                <w:lang w:val="de-DE"/>
              </w:rPr>
              <w:t xml:space="preserve"> </w:t>
            </w:r>
            <w:r w:rsidRPr="00F23C68">
              <w:rPr>
                <w:i/>
                <w:lang w:val="de-DE"/>
              </w:rPr>
              <w:t>Besicherung von Komplexen Produkten mit COSI Merkmal</w:t>
            </w:r>
            <w:r w:rsidRPr="002F4D41">
              <w:rPr>
                <w:lang w:val="de-DE"/>
              </w:rPr>
              <w:t>" haben ungeachtet einer anderweitigen Verwendung in einem anderen Abschnitt dieses Dokuments die nachstehenden Begriffe jeweils die folgende Bedeutung:</w:t>
            </w:r>
          </w:p>
        </w:tc>
      </w:tr>
      <w:tr w:rsidTr="002F4D41">
        <w:tblPrEx>
          <w:tblW w:w="5000" w:type="pct"/>
          <w:tblLook w:val="04A0"/>
        </w:tblPrEx>
        <w:tc>
          <w:tcPr>
            <w:tcW w:w="2400" w:type="dxa"/>
          </w:tcPr>
          <w:p w:rsidR="002F4D41" w:rsidRPr="004F10EF" w:rsidP="00F23C68">
            <w:pPr>
              <w:pStyle w:val="CSBody0"/>
            </w:pPr>
            <w:r w:rsidRPr="004F10EF">
              <w:t>"provisional admission to trading"</w:t>
            </w:r>
          </w:p>
        </w:tc>
        <w:tc>
          <w:tcPr>
            <w:tcW w:w="2418" w:type="dxa"/>
          </w:tcPr>
          <w:p w:rsidR="002F4D41" w:rsidRPr="004F10EF" w:rsidP="00F23C68">
            <w:pPr>
              <w:pStyle w:val="CSBody0"/>
            </w:pPr>
            <w:r w:rsidRPr="004F10EF">
              <w:t>means provisional admission to trading on SIX Structured Products Exchange;</w:t>
            </w:r>
          </w:p>
        </w:tc>
        <w:tc>
          <w:tcPr>
            <w:tcW w:w="2417" w:type="dxa"/>
          </w:tcPr>
          <w:p w:rsidR="002F4D41" w:rsidRPr="00B72F45" w:rsidP="00F23C68">
            <w:pPr>
              <w:pStyle w:val="CSBody0"/>
            </w:pPr>
            <w:r w:rsidRPr="00B72F45">
              <w:t>"provisorische Zulassung"</w:t>
            </w:r>
          </w:p>
        </w:tc>
        <w:tc>
          <w:tcPr>
            <w:tcW w:w="2620" w:type="dxa"/>
          </w:tcPr>
          <w:p w:rsidR="002F4D41" w:rsidRPr="002F4D41" w:rsidP="00F23C68">
            <w:pPr>
              <w:pStyle w:val="CSBody0"/>
              <w:rPr>
                <w:lang w:val="de-DE"/>
              </w:rPr>
            </w:pPr>
            <w:r w:rsidRPr="002F4D41">
              <w:rPr>
                <w:lang w:val="de-DE"/>
              </w:rPr>
              <w:t>bezeichnet die provisorische Zulassung zum Handel an der SIX Structured Products Exchange;</w:t>
            </w:r>
          </w:p>
        </w:tc>
      </w:tr>
      <w:tr w:rsidTr="002F4D41">
        <w:tblPrEx>
          <w:tblW w:w="5000" w:type="pct"/>
          <w:tblLook w:val="04A0"/>
        </w:tblPrEx>
        <w:tc>
          <w:tcPr>
            <w:tcW w:w="2400" w:type="dxa"/>
          </w:tcPr>
          <w:p w:rsidR="002F4D41" w:rsidRPr="004F10EF" w:rsidP="00F23C68">
            <w:pPr>
              <w:pStyle w:val="CSBody0"/>
            </w:pPr>
            <w:r w:rsidRPr="004F10EF">
              <w:t>"banking day"</w:t>
            </w:r>
          </w:p>
        </w:tc>
        <w:tc>
          <w:tcPr>
            <w:tcW w:w="2418" w:type="dxa"/>
          </w:tcPr>
          <w:p w:rsidR="002F4D41" w:rsidP="00F23C68">
            <w:pPr>
              <w:pStyle w:val="CSBody0"/>
            </w:pPr>
            <w:r w:rsidRPr="004F10EF">
              <w:t>means any calendar day on which business offices in Zurich, Switzerland, are open for the conclusion and settlement of collateralization transactions under the Framework Agreement;</w:t>
            </w:r>
          </w:p>
        </w:tc>
        <w:tc>
          <w:tcPr>
            <w:tcW w:w="2417" w:type="dxa"/>
          </w:tcPr>
          <w:p w:rsidR="002F4D41" w:rsidRPr="00B72F45" w:rsidP="00F23C68">
            <w:pPr>
              <w:pStyle w:val="CSBody0"/>
            </w:pPr>
            <w:r w:rsidRPr="00B72F45">
              <w:t>"Bankwerktag"</w:t>
            </w:r>
          </w:p>
        </w:tc>
        <w:tc>
          <w:tcPr>
            <w:tcW w:w="2620" w:type="dxa"/>
          </w:tcPr>
          <w:p w:rsidR="002F4D41" w:rsidRPr="002F4D41" w:rsidP="00F23C68">
            <w:pPr>
              <w:pStyle w:val="CSBody0"/>
              <w:rPr>
                <w:lang w:val="de-DE"/>
              </w:rPr>
            </w:pPr>
            <w:r w:rsidRPr="002F4D41">
              <w:rPr>
                <w:lang w:val="de-DE"/>
              </w:rPr>
              <w:t>bezeichnet einen Kalendertag, an dem Geschäftsstellen in Zürich, Schweiz, für den Abschluss und die Durchführung von Besicherungstransaktionen nach dem Rahmenvertrag geöffnet sind;</w:t>
            </w:r>
          </w:p>
        </w:tc>
      </w:tr>
      <w:tr w:rsidTr="002F4D41">
        <w:tblPrEx>
          <w:tblW w:w="5000" w:type="pct"/>
          <w:tblLook w:val="04A0"/>
        </w:tblPrEx>
        <w:tc>
          <w:tcPr>
            <w:tcW w:w="2400" w:type="dxa"/>
          </w:tcPr>
          <w:p w:rsidR="00BB4E69" w:rsidRPr="00016A13" w:rsidP="00F23C68">
            <w:pPr>
              <w:pStyle w:val="CSBody0"/>
            </w:pPr>
            <w:r w:rsidRPr="00016A13">
              <w:t>"collateral"</w:t>
            </w:r>
          </w:p>
        </w:tc>
        <w:tc>
          <w:tcPr>
            <w:tcW w:w="2418" w:type="dxa"/>
          </w:tcPr>
          <w:p w:rsidR="00BB4E69" w:rsidRPr="00016A13" w:rsidP="00F23C68">
            <w:pPr>
              <w:pStyle w:val="CSBody0"/>
            </w:pPr>
            <w:r w:rsidRPr="00016A13">
              <w:t>has the meaning assigned to such term under the Framework Agreement;</w:t>
            </w:r>
          </w:p>
        </w:tc>
        <w:tc>
          <w:tcPr>
            <w:tcW w:w="2417" w:type="dxa"/>
          </w:tcPr>
          <w:p w:rsidR="00BB4E69" w:rsidRPr="00CC58AF" w:rsidP="00BB4E69">
            <w:pPr>
              <w:pStyle w:val="CSBody0"/>
            </w:pPr>
            <w:r w:rsidRPr="00CC58AF">
              <w:t>"Sicherheit"</w:t>
            </w:r>
          </w:p>
        </w:tc>
        <w:tc>
          <w:tcPr>
            <w:tcW w:w="2620" w:type="dxa"/>
          </w:tcPr>
          <w:p w:rsidR="00BB4E69" w:rsidRPr="00BB4E69" w:rsidP="00BB4E69">
            <w:pPr>
              <w:pStyle w:val="CSBody0"/>
              <w:rPr>
                <w:lang w:val="de-DE"/>
              </w:rPr>
            </w:pPr>
            <w:r w:rsidRPr="00BB4E69">
              <w:rPr>
                <w:lang w:val="de-DE"/>
              </w:rPr>
              <w:t>hat die diesem Begriff im Rahmenvertrag zugewiesene Bedeutung;</w:t>
            </w:r>
          </w:p>
        </w:tc>
      </w:tr>
      <w:tr w:rsidTr="002F4D41">
        <w:tblPrEx>
          <w:tblW w:w="5000" w:type="pct"/>
          <w:tblLook w:val="04A0"/>
        </w:tblPrEx>
        <w:tc>
          <w:tcPr>
            <w:tcW w:w="2400" w:type="dxa"/>
          </w:tcPr>
          <w:p w:rsidR="00BB4E69" w:rsidRPr="00016A13" w:rsidP="00BB4E69">
            <w:pPr>
              <w:pStyle w:val="CSBody0"/>
            </w:pPr>
            <w:r w:rsidRPr="00F94B27">
              <w:rPr>
                <w:b/>
              </w:rPr>
              <w:t>[</w:t>
            </w:r>
            <w:r w:rsidRPr="00016A13">
              <w:t>"Current Value"</w:t>
            </w:r>
          </w:p>
        </w:tc>
        <w:tc>
          <w:tcPr>
            <w:tcW w:w="2418" w:type="dxa"/>
          </w:tcPr>
          <w:p w:rsidR="00BB4E69" w:rsidP="00BB4E69">
            <w:pPr>
              <w:pStyle w:val="CSBody0"/>
            </w:pPr>
            <w:r w:rsidRPr="00016A13">
              <w:t>has the meaning assigned to such term under the Framework Agreement;</w:t>
            </w:r>
            <w:r w:rsidRPr="00F94B27" w:rsidR="00F94B27">
              <w:rPr>
                <w:b/>
              </w:rPr>
              <w:t>]</w:t>
            </w:r>
          </w:p>
        </w:tc>
        <w:tc>
          <w:tcPr>
            <w:tcW w:w="2417" w:type="dxa"/>
          </w:tcPr>
          <w:p w:rsidR="00BB4E69" w:rsidRPr="00500CB2" w:rsidP="00BB4E69">
            <w:pPr>
              <w:pStyle w:val="CSBody0"/>
            </w:pPr>
            <w:r w:rsidRPr="00F94B27">
              <w:rPr>
                <w:b/>
              </w:rPr>
              <w:t>[</w:t>
            </w:r>
            <w:r w:rsidRPr="00500CB2">
              <w:t>"Aktueller Wert"</w:t>
            </w:r>
          </w:p>
        </w:tc>
        <w:tc>
          <w:tcPr>
            <w:tcW w:w="2620" w:type="dxa"/>
          </w:tcPr>
          <w:p w:rsidR="00BB4E69" w:rsidRPr="00BB4E69" w:rsidP="00BB4E69">
            <w:pPr>
              <w:pStyle w:val="CSBody0"/>
              <w:rPr>
                <w:lang w:val="de-DE"/>
              </w:rPr>
            </w:pPr>
            <w:r w:rsidRPr="00BB4E69">
              <w:rPr>
                <w:lang w:val="de-DE"/>
              </w:rPr>
              <w:t>hat die diesem Begriff im Rahmenvertrag zugewiesene Bedeutung;</w:t>
            </w:r>
            <w:r w:rsidRPr="00F94B27" w:rsidR="00F94B27">
              <w:rPr>
                <w:b/>
                <w:lang w:val="de-DE"/>
              </w:rPr>
              <w:t>]</w:t>
            </w:r>
          </w:p>
        </w:tc>
      </w:tr>
      <w:tr w:rsidTr="002F4D41">
        <w:tblPrEx>
          <w:tblW w:w="5000" w:type="pct"/>
          <w:tblLook w:val="04A0"/>
        </w:tblPrEx>
        <w:tc>
          <w:tcPr>
            <w:tcW w:w="2400" w:type="dxa"/>
          </w:tcPr>
          <w:p w:rsidR="00BB4E69" w:rsidRPr="00B91D61" w:rsidP="00BB4E69">
            <w:pPr>
              <w:pStyle w:val="CSBody0"/>
            </w:pPr>
            <w:r w:rsidRPr="00B91D61">
              <w:t>"delisting"</w:t>
            </w:r>
          </w:p>
        </w:tc>
        <w:tc>
          <w:tcPr>
            <w:tcW w:w="2418" w:type="dxa"/>
          </w:tcPr>
          <w:p w:rsidR="00BB4E69" w:rsidRPr="00B91D61" w:rsidP="00BB4E69">
            <w:pPr>
              <w:pStyle w:val="CSBody0"/>
            </w:pPr>
            <w:r w:rsidRPr="00B91D61">
              <w:t>means delisting from SIX Structured Products Exchange unless the context otherwise requires;</w:t>
            </w:r>
          </w:p>
        </w:tc>
        <w:tc>
          <w:tcPr>
            <w:tcW w:w="2417" w:type="dxa"/>
          </w:tcPr>
          <w:p w:rsidR="00BB4E69" w:rsidRPr="00B91D61" w:rsidP="00BB4E69">
            <w:pPr>
              <w:pStyle w:val="CSBody0"/>
            </w:pPr>
            <w:r w:rsidRPr="00B91D61">
              <w:t>"Dekotierung"</w:t>
            </w:r>
          </w:p>
        </w:tc>
        <w:tc>
          <w:tcPr>
            <w:tcW w:w="2620" w:type="dxa"/>
          </w:tcPr>
          <w:p w:rsidR="00BB4E69" w:rsidRPr="00BB4E69" w:rsidP="00BB4E69">
            <w:pPr>
              <w:pStyle w:val="CSBody0"/>
              <w:rPr>
                <w:lang w:val="de-DE"/>
              </w:rPr>
            </w:pPr>
            <w:r w:rsidRPr="00BB4E69">
              <w:rPr>
                <w:lang w:val="de-DE"/>
              </w:rPr>
              <w:t>bezeichnet die Dekotierung von der SIX Structured Products Exchange, soweit sich aus dem Zusammenhang nicht etwas anderes ergibt;</w:t>
            </w:r>
          </w:p>
        </w:tc>
      </w:tr>
      <w:tr w:rsidTr="002F4D41">
        <w:tblPrEx>
          <w:tblW w:w="5000" w:type="pct"/>
          <w:tblLook w:val="04A0"/>
        </w:tblPrEx>
        <w:tc>
          <w:tcPr>
            <w:tcW w:w="2400" w:type="dxa"/>
          </w:tcPr>
          <w:p w:rsidR="002F4D41" w:rsidRPr="00F903A5" w:rsidP="00F23C68">
            <w:pPr>
              <w:pStyle w:val="CSBody0"/>
            </w:pPr>
            <w:r w:rsidRPr="00F903A5">
              <w:t>"foreign"</w:t>
            </w:r>
          </w:p>
        </w:tc>
        <w:tc>
          <w:tcPr>
            <w:tcW w:w="2418" w:type="dxa"/>
          </w:tcPr>
          <w:p w:rsidR="002F4D41" w:rsidP="00F23C68">
            <w:pPr>
              <w:pStyle w:val="CSBody0"/>
            </w:pPr>
            <w:r w:rsidRPr="00F903A5">
              <w:t>means non-Swiss;</w:t>
            </w:r>
          </w:p>
        </w:tc>
        <w:tc>
          <w:tcPr>
            <w:tcW w:w="2417" w:type="dxa"/>
          </w:tcPr>
          <w:p w:rsidR="002F4D41" w:rsidRPr="000C178C" w:rsidP="00F23C68">
            <w:pPr>
              <w:pStyle w:val="CSBody0"/>
            </w:pPr>
            <w:r w:rsidRPr="000C178C">
              <w:t>"ausländisch"</w:t>
            </w:r>
          </w:p>
        </w:tc>
        <w:tc>
          <w:tcPr>
            <w:tcW w:w="2620" w:type="dxa"/>
          </w:tcPr>
          <w:p w:rsidR="002F4D41" w:rsidP="00F23C68">
            <w:pPr>
              <w:pStyle w:val="CSBody0"/>
            </w:pPr>
            <w:r w:rsidRPr="000C178C">
              <w:t>bezeichnet nicht-schweizerisch;</w:t>
            </w:r>
          </w:p>
        </w:tc>
      </w:tr>
      <w:tr w:rsidTr="002F4D41">
        <w:tblPrEx>
          <w:tblW w:w="5000" w:type="pct"/>
          <w:tblLook w:val="04A0"/>
        </w:tblPrEx>
        <w:tc>
          <w:tcPr>
            <w:tcW w:w="2400" w:type="dxa"/>
          </w:tcPr>
          <w:p w:rsidR="002F4D41" w:rsidRPr="005022CD" w:rsidP="00F23C68">
            <w:pPr>
              <w:pStyle w:val="CSBody0"/>
            </w:pPr>
            <w:r w:rsidRPr="005022CD">
              <w:t>"investors"</w:t>
            </w:r>
          </w:p>
        </w:tc>
        <w:tc>
          <w:tcPr>
            <w:tcW w:w="2418" w:type="dxa"/>
          </w:tcPr>
          <w:p w:rsidR="002F4D41" w:rsidRPr="005022CD" w:rsidP="00F23C68">
            <w:pPr>
              <w:pStyle w:val="CSBody0"/>
            </w:pPr>
            <w:r w:rsidRPr="005022CD">
              <w:t>means investors in CS COSI Securities (including, without limitation, any holder of Complex Products with COSI feature);</w:t>
            </w:r>
          </w:p>
        </w:tc>
        <w:tc>
          <w:tcPr>
            <w:tcW w:w="2417" w:type="dxa"/>
          </w:tcPr>
          <w:p w:rsidR="002F4D41" w:rsidRPr="006C0F47" w:rsidP="00F23C68">
            <w:pPr>
              <w:pStyle w:val="CSBody0"/>
            </w:pPr>
            <w:r w:rsidRPr="006C0F47">
              <w:t>"Anleger"</w:t>
            </w:r>
          </w:p>
        </w:tc>
        <w:tc>
          <w:tcPr>
            <w:tcW w:w="2620" w:type="dxa"/>
          </w:tcPr>
          <w:p w:rsidR="002F4D41" w:rsidRPr="002F4D41" w:rsidP="00F23C68">
            <w:pPr>
              <w:pStyle w:val="CSBody0"/>
              <w:rPr>
                <w:lang w:val="de-DE"/>
              </w:rPr>
            </w:pPr>
            <w:r w:rsidRPr="002F4D41">
              <w:rPr>
                <w:lang w:val="de-DE"/>
              </w:rPr>
              <w:t>bezeichnet Anleger in CS COSI Wertpapiere (einschliesslich Inhaber von Komplexen Produkten mit COSI Merkmal);</w:t>
            </w:r>
          </w:p>
        </w:tc>
      </w:tr>
      <w:tr w:rsidTr="002F4D41">
        <w:tblPrEx>
          <w:tblW w:w="5000" w:type="pct"/>
          <w:tblLook w:val="04A0"/>
        </w:tblPrEx>
        <w:tc>
          <w:tcPr>
            <w:tcW w:w="2400" w:type="dxa"/>
          </w:tcPr>
          <w:p w:rsidR="002F4D41" w:rsidRPr="005022CD" w:rsidP="00F23C68">
            <w:pPr>
              <w:pStyle w:val="CSBody0"/>
            </w:pPr>
            <w:r w:rsidRPr="005022CD">
              <w:t>"issuer"</w:t>
            </w:r>
          </w:p>
        </w:tc>
        <w:tc>
          <w:tcPr>
            <w:tcW w:w="2418" w:type="dxa"/>
          </w:tcPr>
          <w:p w:rsidR="002F4D41" w:rsidP="00F23C68">
            <w:pPr>
              <w:pStyle w:val="CSBody0"/>
            </w:pPr>
            <w:r w:rsidRPr="005022CD">
              <w:t>means Credit Suisse, as issuer of CS COSI Securities (including, without limitation, Complex Products with COSI feature);</w:t>
            </w:r>
          </w:p>
        </w:tc>
        <w:tc>
          <w:tcPr>
            <w:tcW w:w="2417" w:type="dxa"/>
          </w:tcPr>
          <w:p w:rsidR="002F4D41" w:rsidRPr="006C0F47" w:rsidP="00F23C68">
            <w:pPr>
              <w:pStyle w:val="CSBody0"/>
            </w:pPr>
            <w:r w:rsidRPr="006C0F47">
              <w:t>"Emittent"</w:t>
            </w:r>
          </w:p>
        </w:tc>
        <w:tc>
          <w:tcPr>
            <w:tcW w:w="2620" w:type="dxa"/>
          </w:tcPr>
          <w:p w:rsidR="002F4D41" w:rsidRPr="002F4D41" w:rsidP="00F23C68">
            <w:pPr>
              <w:pStyle w:val="CSBody0"/>
              <w:rPr>
                <w:lang w:val="de-DE"/>
              </w:rPr>
            </w:pPr>
            <w:r w:rsidRPr="002F4D41">
              <w:rPr>
                <w:lang w:val="de-DE"/>
              </w:rPr>
              <w:t>bezeichnet die Credit Suisse als Emittent von CS COSI Wertpapieren (einschliesslich Komplexen Produkten mit COSI Merkmal);</w:t>
            </w:r>
          </w:p>
        </w:tc>
      </w:tr>
      <w:tr w:rsidTr="002F4D41">
        <w:tblPrEx>
          <w:tblW w:w="5000" w:type="pct"/>
          <w:tblLook w:val="04A0"/>
        </w:tblPrEx>
        <w:tc>
          <w:tcPr>
            <w:tcW w:w="2400" w:type="dxa"/>
          </w:tcPr>
          <w:p w:rsidR="005700E0" w:rsidRPr="00C92A01" w:rsidP="00F23C68">
            <w:pPr>
              <w:pStyle w:val="CSBody0"/>
            </w:pPr>
            <w:r w:rsidRPr="00F94B27">
              <w:rPr>
                <w:b/>
              </w:rPr>
              <w:t>[</w:t>
            </w:r>
            <w:r w:rsidRPr="00C92A01">
              <w:t>"Liquidation Event"</w:t>
            </w:r>
          </w:p>
        </w:tc>
        <w:tc>
          <w:tcPr>
            <w:tcW w:w="2418" w:type="dxa"/>
          </w:tcPr>
          <w:p w:rsidR="005700E0" w:rsidRPr="00C92A01" w:rsidP="00F23C68">
            <w:pPr>
              <w:pStyle w:val="CSBody0"/>
            </w:pPr>
            <w:r w:rsidRPr="00C92A01">
              <w:t>has the meaning assigned to such term in the Framework Agreement;</w:t>
            </w:r>
            <w:r w:rsidRPr="00F94B27" w:rsidR="00F94B27">
              <w:rPr>
                <w:b/>
              </w:rPr>
              <w:t>]</w:t>
            </w:r>
          </w:p>
        </w:tc>
        <w:tc>
          <w:tcPr>
            <w:tcW w:w="2417" w:type="dxa"/>
          </w:tcPr>
          <w:p w:rsidR="005700E0" w:rsidRPr="009612B9" w:rsidP="00F23C68">
            <w:pPr>
              <w:pStyle w:val="CSBody0"/>
            </w:pPr>
            <w:r w:rsidRPr="00F94B27">
              <w:rPr>
                <w:b/>
              </w:rPr>
              <w:t>[</w:t>
            </w:r>
            <w:r w:rsidRPr="009612B9">
              <w:t>"Verwertungsfall"</w:t>
            </w:r>
          </w:p>
        </w:tc>
        <w:tc>
          <w:tcPr>
            <w:tcW w:w="2620" w:type="dxa"/>
          </w:tcPr>
          <w:p w:rsidR="005700E0" w:rsidRPr="005700E0" w:rsidP="00F23C68">
            <w:pPr>
              <w:pStyle w:val="CSBody0"/>
              <w:rPr>
                <w:lang w:val="de-DE"/>
              </w:rPr>
            </w:pPr>
            <w:r w:rsidRPr="005700E0">
              <w:rPr>
                <w:lang w:val="de-DE"/>
              </w:rPr>
              <w:t>hat die diesem Begriff im Rahmenvertrag zugewiesene Bedeutung;</w:t>
            </w:r>
            <w:r w:rsidRPr="00F94B27" w:rsidR="00F94B27">
              <w:rPr>
                <w:b/>
                <w:lang w:val="de-DE"/>
              </w:rPr>
              <w:t>]</w:t>
            </w:r>
          </w:p>
        </w:tc>
      </w:tr>
      <w:tr w:rsidTr="002F4D41">
        <w:tblPrEx>
          <w:tblW w:w="5000" w:type="pct"/>
          <w:tblLook w:val="04A0"/>
        </w:tblPrEx>
        <w:tc>
          <w:tcPr>
            <w:tcW w:w="2400" w:type="dxa"/>
          </w:tcPr>
          <w:p w:rsidR="005700E0" w:rsidRPr="00C92A01" w:rsidP="00F23C68">
            <w:pPr>
              <w:pStyle w:val="CSBody0"/>
            </w:pPr>
            <w:r w:rsidRPr="00C92A01">
              <w:t>"national distribution"</w:t>
            </w:r>
          </w:p>
        </w:tc>
        <w:tc>
          <w:tcPr>
            <w:tcW w:w="2418" w:type="dxa"/>
          </w:tcPr>
          <w:p w:rsidR="005700E0" w:rsidP="00F23C68">
            <w:pPr>
              <w:pStyle w:val="CSBody0"/>
            </w:pPr>
            <w:r w:rsidRPr="00C92A01">
              <w:t>means national distribution in Switzerland;</w:t>
            </w:r>
          </w:p>
        </w:tc>
        <w:tc>
          <w:tcPr>
            <w:tcW w:w="2417" w:type="dxa"/>
          </w:tcPr>
          <w:p w:rsidR="005700E0" w:rsidRPr="009612B9" w:rsidP="00F23C68">
            <w:pPr>
              <w:pStyle w:val="CSBody0"/>
            </w:pPr>
            <w:r w:rsidRPr="009612B9">
              <w:t>"landesweite Verbreitung"</w:t>
            </w:r>
          </w:p>
        </w:tc>
        <w:tc>
          <w:tcPr>
            <w:tcW w:w="2620" w:type="dxa"/>
          </w:tcPr>
          <w:p w:rsidR="005700E0" w:rsidRPr="005700E0" w:rsidP="00F23C68">
            <w:pPr>
              <w:pStyle w:val="CSBody0"/>
              <w:rPr>
                <w:lang w:val="de-DE"/>
              </w:rPr>
            </w:pPr>
            <w:r w:rsidRPr="005700E0">
              <w:rPr>
                <w:lang w:val="de-DE"/>
              </w:rPr>
              <w:t>bezeichnet die landesweite Verbreitung in der Schweiz;</w:t>
            </w:r>
          </w:p>
        </w:tc>
      </w:tr>
      <w:tr w:rsidTr="002F4D41">
        <w:tblPrEx>
          <w:tblW w:w="5000" w:type="pct"/>
          <w:tblLook w:val="04A0"/>
        </w:tblPrEx>
        <w:tc>
          <w:tcPr>
            <w:tcW w:w="2400" w:type="dxa"/>
          </w:tcPr>
          <w:p w:rsidR="005700E0" w:rsidRPr="00847ED9" w:rsidP="00F23C68">
            <w:pPr>
              <w:pStyle w:val="CSBody0"/>
            </w:pPr>
            <w:r w:rsidRPr="00847ED9">
              <w:t>"Net Realization Proceeds"</w:t>
            </w:r>
          </w:p>
        </w:tc>
        <w:tc>
          <w:tcPr>
            <w:tcW w:w="2418" w:type="dxa"/>
          </w:tcPr>
          <w:p w:rsidR="005700E0" w:rsidRPr="00847ED9" w:rsidP="00F23C68">
            <w:pPr>
              <w:pStyle w:val="CSBody0"/>
            </w:pPr>
            <w:r w:rsidRPr="00847ED9">
              <w:t>has the meaning assigned to such term in the Framework Agreement;</w:t>
            </w:r>
          </w:p>
        </w:tc>
        <w:tc>
          <w:tcPr>
            <w:tcW w:w="2417" w:type="dxa"/>
          </w:tcPr>
          <w:p w:rsidR="005700E0" w:rsidRPr="00486439" w:rsidP="00F23C68">
            <w:pPr>
              <w:pStyle w:val="CSBody0"/>
            </w:pPr>
            <w:r w:rsidRPr="00486439">
              <w:t>"Netto-Verwertungserlös</w:t>
            </w:r>
          </w:p>
        </w:tc>
        <w:tc>
          <w:tcPr>
            <w:tcW w:w="2620" w:type="dxa"/>
          </w:tcPr>
          <w:p w:rsidR="005700E0" w:rsidRPr="005700E0" w:rsidP="00F23C68">
            <w:pPr>
              <w:pStyle w:val="CSBody0"/>
              <w:rPr>
                <w:lang w:val="de-DE"/>
              </w:rPr>
            </w:pPr>
            <w:r w:rsidRPr="005700E0">
              <w:rPr>
                <w:lang w:val="de-DE"/>
              </w:rPr>
              <w:t>hat die diesem Begriff im Rahmenvertrag zugewiesene Bedeutung;</w:t>
            </w:r>
          </w:p>
        </w:tc>
      </w:tr>
      <w:tr w:rsidTr="002F4D41">
        <w:tblPrEx>
          <w:tblW w:w="5000" w:type="pct"/>
          <w:tblLook w:val="04A0"/>
        </w:tblPrEx>
        <w:tc>
          <w:tcPr>
            <w:tcW w:w="2400" w:type="dxa"/>
          </w:tcPr>
          <w:p w:rsidR="005700E0" w:rsidRPr="00847ED9" w:rsidP="00F23C68">
            <w:pPr>
              <w:pStyle w:val="CSBody0"/>
            </w:pPr>
            <w:r w:rsidRPr="00847ED9">
              <w:t>"trading currency"</w:t>
            </w:r>
          </w:p>
        </w:tc>
        <w:tc>
          <w:tcPr>
            <w:tcW w:w="2418" w:type="dxa"/>
          </w:tcPr>
          <w:p w:rsidR="005700E0" w:rsidP="00F23C68">
            <w:pPr>
              <w:pStyle w:val="CSBody0"/>
            </w:pPr>
            <w:r w:rsidRPr="00847ED9">
              <w:t>means, with respect to any CS COSI Security, the currency in which it trades on SIX Structured Products Exchange;</w:t>
            </w:r>
          </w:p>
        </w:tc>
        <w:tc>
          <w:tcPr>
            <w:tcW w:w="2417" w:type="dxa"/>
          </w:tcPr>
          <w:p w:rsidR="005700E0" w:rsidRPr="00486439" w:rsidP="00F23C68">
            <w:pPr>
              <w:pStyle w:val="CSBody0"/>
            </w:pPr>
            <w:r w:rsidRPr="00486439">
              <w:t>"Handelswährung"</w:t>
            </w:r>
          </w:p>
        </w:tc>
        <w:tc>
          <w:tcPr>
            <w:tcW w:w="2620" w:type="dxa"/>
          </w:tcPr>
          <w:p w:rsidR="005700E0" w:rsidRPr="005700E0" w:rsidP="00F23C68">
            <w:pPr>
              <w:pStyle w:val="CSBody0"/>
              <w:rPr>
                <w:lang w:val="de-DE"/>
              </w:rPr>
            </w:pPr>
            <w:r w:rsidRPr="005700E0">
              <w:rPr>
                <w:lang w:val="de-DE"/>
              </w:rPr>
              <w:t>bezeichnet in Bezug auf ein CS COSI Wertpapier die Währung, in der diese an der SIX Structured Products Exchange gehandelt wird;</w:t>
            </w:r>
          </w:p>
        </w:tc>
      </w:tr>
      <w:tr w:rsidTr="002F4D41">
        <w:tblPrEx>
          <w:tblW w:w="5000" w:type="pct"/>
          <w:tblLook w:val="04A0"/>
        </w:tblPrEx>
        <w:tc>
          <w:tcPr>
            <w:tcW w:w="2400" w:type="dxa"/>
          </w:tcPr>
          <w:p w:rsidR="005700E0" w:rsidRPr="00024F7D" w:rsidP="00F23C68">
            <w:pPr>
              <w:pStyle w:val="CSBody0"/>
            </w:pPr>
            <w:r w:rsidRPr="00024F7D">
              <w:t>"trading day"</w:t>
            </w:r>
          </w:p>
        </w:tc>
        <w:tc>
          <w:tcPr>
            <w:tcW w:w="2418" w:type="dxa"/>
          </w:tcPr>
          <w:p w:rsidR="005700E0" w:rsidRPr="00024F7D" w:rsidP="00F23C68">
            <w:pPr>
              <w:pStyle w:val="CSBody0"/>
            </w:pPr>
            <w:r w:rsidRPr="00024F7D">
              <w:t>means a trading day on SIX Structured Products Exchange unless the context otherwise requires; and</w:t>
            </w:r>
          </w:p>
        </w:tc>
        <w:tc>
          <w:tcPr>
            <w:tcW w:w="2417" w:type="dxa"/>
          </w:tcPr>
          <w:p w:rsidR="005700E0" w:rsidRPr="00A82B24" w:rsidP="00F23C68">
            <w:pPr>
              <w:pStyle w:val="CSBody0"/>
            </w:pPr>
            <w:r w:rsidRPr="00A82B24">
              <w:t>"Handelstag"</w:t>
            </w:r>
          </w:p>
        </w:tc>
        <w:tc>
          <w:tcPr>
            <w:tcW w:w="2620" w:type="dxa"/>
          </w:tcPr>
          <w:p w:rsidR="005700E0" w:rsidRPr="005700E0" w:rsidP="00F23C68">
            <w:pPr>
              <w:pStyle w:val="CSBody0"/>
              <w:rPr>
                <w:lang w:val="de-DE"/>
              </w:rPr>
            </w:pPr>
            <w:r w:rsidRPr="005700E0">
              <w:rPr>
                <w:lang w:val="de-DE"/>
              </w:rPr>
              <w:t>bezeichnet einen Handelstag an der SIX Structured Products Exchange, soweit sich aus dem Zusammenhang nicht etwas anderes ergibt; und</w:t>
            </w:r>
          </w:p>
        </w:tc>
      </w:tr>
      <w:tr w:rsidTr="002F4D41">
        <w:tblPrEx>
          <w:tblW w:w="5000" w:type="pct"/>
          <w:tblLook w:val="04A0"/>
        </w:tblPrEx>
        <w:tc>
          <w:tcPr>
            <w:tcW w:w="2400" w:type="dxa"/>
          </w:tcPr>
          <w:p w:rsidR="005700E0" w:rsidRPr="00024F7D" w:rsidP="00F23C68">
            <w:pPr>
              <w:pStyle w:val="CSBody0"/>
            </w:pPr>
            <w:r w:rsidRPr="00024F7D">
              <w:t>"trading"</w:t>
            </w:r>
          </w:p>
        </w:tc>
        <w:tc>
          <w:tcPr>
            <w:tcW w:w="2418" w:type="dxa"/>
          </w:tcPr>
          <w:p w:rsidR="005700E0" w:rsidP="00F23C68">
            <w:pPr>
              <w:pStyle w:val="CSBody0"/>
            </w:pPr>
            <w:r w:rsidRPr="00024F7D">
              <w:t>means trading on SIX Structured Products Exchange unless the context otherwise requires.</w:t>
            </w:r>
          </w:p>
        </w:tc>
        <w:tc>
          <w:tcPr>
            <w:tcW w:w="2417" w:type="dxa"/>
          </w:tcPr>
          <w:p w:rsidR="005700E0" w:rsidRPr="00A82B24" w:rsidP="00F23C68">
            <w:pPr>
              <w:pStyle w:val="CSBody0"/>
            </w:pPr>
            <w:r w:rsidRPr="00A82B24">
              <w:t>"Handel"</w:t>
            </w:r>
          </w:p>
        </w:tc>
        <w:tc>
          <w:tcPr>
            <w:tcW w:w="2620" w:type="dxa"/>
          </w:tcPr>
          <w:p w:rsidR="005700E0" w:rsidRPr="005700E0" w:rsidP="00F23C68">
            <w:pPr>
              <w:pStyle w:val="CSBody0"/>
              <w:rPr>
                <w:lang w:val="de-DE"/>
              </w:rPr>
            </w:pPr>
            <w:r w:rsidRPr="005700E0">
              <w:rPr>
                <w:lang w:val="de-DE"/>
              </w:rPr>
              <w:t>bezeichnet den Handel an der SIX Structured Products Exchange, soweit sich aus dem Zusammenhang nicht etwas anderes ergibt.</w:t>
            </w:r>
          </w:p>
        </w:tc>
      </w:tr>
      <w:tr w:rsidTr="002F4D41">
        <w:tblPrEx>
          <w:tblW w:w="5000" w:type="pct"/>
          <w:tblLook w:val="04A0"/>
        </w:tblPrEx>
        <w:tc>
          <w:tcPr>
            <w:tcW w:w="4818" w:type="dxa"/>
            <w:gridSpan w:val="2"/>
          </w:tcPr>
          <w:p w:rsidR="005700E0" w:rsidRPr="00AC24BA" w:rsidP="00F23C68">
            <w:pPr>
              <w:pStyle w:val="CSBody0"/>
            </w:pPr>
            <w:r w:rsidRPr="00AC24BA">
              <w:t>The provisions of this Section "</w:t>
            </w:r>
            <w:r w:rsidRPr="00F23C68">
              <w:rPr>
                <w:i/>
              </w:rPr>
              <w:t>— Collateralization of Complex Products with COSI feature</w:t>
            </w:r>
            <w:r w:rsidRPr="00AC24BA">
              <w:t>" take precedence in the event of contradiction between this Section "</w:t>
            </w:r>
            <w:r w:rsidRPr="00F23C68">
              <w:rPr>
                <w:i/>
              </w:rPr>
              <w:t>— Collateralization of Complex Products with COSI feature</w:t>
            </w:r>
            <w:r w:rsidRPr="00AC24BA">
              <w:t>" and the other content of this Document.</w:t>
            </w:r>
          </w:p>
        </w:tc>
        <w:tc>
          <w:tcPr>
            <w:tcW w:w="5037" w:type="dxa"/>
            <w:gridSpan w:val="2"/>
          </w:tcPr>
          <w:p w:rsidR="005700E0" w:rsidRPr="005700E0" w:rsidP="00F23C68">
            <w:pPr>
              <w:pStyle w:val="CSBody0"/>
              <w:rPr>
                <w:lang w:val="de-DE"/>
              </w:rPr>
            </w:pPr>
            <w:r w:rsidRPr="005700E0">
              <w:rPr>
                <w:lang w:val="de-DE"/>
              </w:rPr>
              <w:t>Im Falle von Widersprüchen zwischen diesem Abschnitt "</w:t>
            </w:r>
            <w:r w:rsidRPr="00F23C68">
              <w:rPr>
                <w:i/>
                <w:lang w:val="de-DE"/>
              </w:rPr>
              <w:t xml:space="preserve"> </w:t>
            </w:r>
            <w:r w:rsidRPr="00EE2FB6" w:rsidR="00D24844">
              <w:rPr>
                <w:i/>
                <w:lang w:val="de-DE"/>
              </w:rPr>
              <w:t>—</w:t>
            </w:r>
            <w:r w:rsidRPr="00F23C68" w:rsidR="00F23C68">
              <w:rPr>
                <w:i/>
                <w:lang w:val="de-DE"/>
              </w:rPr>
              <w:t xml:space="preserve"> </w:t>
            </w:r>
            <w:r w:rsidRPr="00F23C68">
              <w:rPr>
                <w:i/>
                <w:lang w:val="de-DE"/>
              </w:rPr>
              <w:t>Besicherung von Komplexen Produkten mit COSI Merkmal</w:t>
            </w:r>
            <w:r w:rsidRPr="005700E0">
              <w:rPr>
                <w:lang w:val="de-DE"/>
              </w:rPr>
              <w:t>" und dem übrigen Inhalt dieses Dokuments gehen die Bestimmungen dieses Abschnitts "</w:t>
            </w:r>
            <w:r w:rsidRPr="00F23C68">
              <w:rPr>
                <w:i/>
                <w:lang w:val="de-DE"/>
              </w:rPr>
              <w:t xml:space="preserve"> </w:t>
            </w:r>
            <w:r w:rsidRPr="00EE2FB6" w:rsidR="00D24844">
              <w:rPr>
                <w:i/>
                <w:lang w:val="de-DE"/>
              </w:rPr>
              <w:t>—</w:t>
            </w:r>
            <w:r w:rsidRPr="00F23C68" w:rsidR="00F23C68">
              <w:rPr>
                <w:i/>
                <w:lang w:val="de-DE"/>
              </w:rPr>
              <w:t xml:space="preserve"> </w:t>
            </w:r>
            <w:r w:rsidRPr="00F23C68">
              <w:rPr>
                <w:i/>
                <w:lang w:val="de-DE"/>
              </w:rPr>
              <w:t>Besicherung von Komplexen Produkten mit COSI Merkmal</w:t>
            </w:r>
            <w:r w:rsidRPr="005700E0">
              <w:rPr>
                <w:lang w:val="de-DE"/>
              </w:rPr>
              <w:t>" vor.</w:t>
            </w:r>
          </w:p>
        </w:tc>
      </w:tr>
      <w:tr w:rsidTr="002F4D41">
        <w:tblPrEx>
          <w:tblW w:w="5000" w:type="pct"/>
          <w:tblLook w:val="04A0"/>
        </w:tblPrEx>
        <w:tc>
          <w:tcPr>
            <w:tcW w:w="4818" w:type="dxa"/>
            <w:gridSpan w:val="2"/>
          </w:tcPr>
          <w:p w:rsidR="005700E0" w:rsidRPr="00AC24BA" w:rsidP="00F23C68">
            <w:pPr>
              <w:pStyle w:val="CSBody0"/>
            </w:pPr>
            <w:r w:rsidRPr="00AC24BA">
              <w:t>The costs for the service provided by SIX Swiss Exchange with respect to the collateralization of CS COSI Securities may be taken into account in pricing CS COSI Securities and may therefore be borne by the investors, as the case may be. With regard to the payment of the pro rata share of the Net Realization Proceeds the investor shall bear the solvency risks of SIX Swiss Exchange and the financial intermediaries along the payout chain. The payment to the investors may be delayed for factual or legal reasons. To the extent the calculation of the Current Value of CS COSI Securities proves to be incorrect, the collateral provided for CS COSI Securities may be insufficient.</w:t>
            </w:r>
          </w:p>
        </w:tc>
        <w:tc>
          <w:tcPr>
            <w:tcW w:w="5037" w:type="dxa"/>
            <w:gridSpan w:val="2"/>
          </w:tcPr>
          <w:p w:rsidR="005700E0" w:rsidRPr="005700E0" w:rsidP="00F23C68">
            <w:pPr>
              <w:pStyle w:val="CSBody0"/>
              <w:rPr>
                <w:lang w:val="de-DE"/>
              </w:rPr>
            </w:pPr>
            <w:r w:rsidRPr="005700E0">
              <w:rPr>
                <w:lang w:val="de-DE"/>
              </w:rPr>
              <w:t>Die Kosten für die Dienstleistung der SIX Swiss Exchange zur Besicherung von CS COSI Wertpapieren können in die Preisfindung für ein CS COSI Wertpapier einfliessen und sind daher allenfalls vom Anleger zu tragen. Der Anleger unterliegt hinsichtlich der Auszahlung des anteilsmässigen Netto-Verwertungserlöses den Bonitätsrisiken der SIX Swiss Exchange und der Finanzintermediäre entlang der Auszahlungskette. Die Auszahlung an die Anleger kann sich aus tatsächlichen oder rechtlichen Gründen verzögern. Sofern sich die Berechnung des Aktuellen Wertes eines CS COSI Wertpapiers als fehlerhaft erweist, kann die Besicherung der CS COSI Wertpapiere ungenügend sein.</w:t>
            </w:r>
          </w:p>
        </w:tc>
      </w:tr>
    </w:tbl>
    <w:p w:rsidR="00392B81" w:rsidRPr="005700E0" w:rsidP="00392B81">
      <w:pPr>
        <w:pStyle w:val="CSBody0"/>
        <w:rPr>
          <w:lang w:val="de-DE"/>
        </w:rPr>
      </w:pPr>
    </w:p>
    <w:p w:rsidR="00392B81" w:rsidRPr="005700E0" w:rsidP="00392B81">
      <w:pPr>
        <w:pStyle w:val="CSBody0"/>
        <w:rPr>
          <w:lang w:val="de-DE"/>
        </w:rPr>
        <w:sectPr w:rsidSect="008A24E8">
          <w:headerReference w:type="default" r:id="rId43"/>
          <w:footerReference w:type="default" r:id="rId44"/>
          <w:headerReference w:type="first" r:id="rId45"/>
          <w:footerReference w:type="first" r:id="rId46"/>
          <w:pgSz w:w="11907" w:h="16839"/>
          <w:pgMar w:top="1440" w:right="1134" w:bottom="1440" w:left="1134" w:header="720" w:footer="720" w:gutter="0"/>
          <w:cols w:space="708"/>
          <w:docGrid w:linePitch="360"/>
        </w:sectPr>
      </w:pPr>
    </w:p>
    <w:tbl>
      <w:tblPr>
        <w:tblStyle w:val="TableGrid"/>
        <w:tblW w:w="5000" w:type="pct"/>
        <w:tblBorders>
          <w:top w:val="nil"/>
          <w:left w:val="nil"/>
          <w:bottom w:val="nil"/>
          <w:right w:val="nil"/>
          <w:insideH w:val="nil"/>
        </w:tblBorders>
        <w:tblLook w:val="04A0"/>
      </w:tblPr>
      <w:tblGrid>
        <w:gridCol w:w="4927"/>
        <w:gridCol w:w="4928"/>
      </w:tblGrid>
      <w:tr w:rsidTr="00D23063">
        <w:tblPrEx>
          <w:tblW w:w="5000" w:type="pct"/>
          <w:tblBorders>
            <w:top w:val="nil"/>
            <w:left w:val="nil"/>
            <w:bottom w:val="nil"/>
            <w:right w:val="nil"/>
            <w:insideH w:val="nil"/>
          </w:tblBorders>
          <w:tblLook w:val="04A0"/>
        </w:tblPrEx>
        <w:tc>
          <w:tcPr>
            <w:tcW w:w="2500" w:type="pct"/>
            <w:tcBorders>
              <w:right w:val="single" w:sz="4" w:space="0" w:color="auto"/>
            </w:tcBorders>
          </w:tcPr>
          <w:p w:rsidR="004445B7" w:rsidRPr="003F680C" w:rsidP="00985C61">
            <w:pPr>
              <w:pStyle w:val="CSHeading1EN"/>
            </w:pPr>
            <w:bookmarkStart w:id="117" w:name="_Toc438227543"/>
            <w:r>
              <w:t>FORM OF COMPLEX PRODUCTS</w:t>
            </w:r>
            <w:bookmarkEnd w:id="117"/>
          </w:p>
        </w:tc>
        <w:tc>
          <w:tcPr>
            <w:tcW w:w="2500" w:type="pct"/>
            <w:tcBorders>
              <w:left w:val="single" w:sz="4" w:space="0" w:color="auto"/>
            </w:tcBorders>
          </w:tcPr>
          <w:p w:rsidR="004445B7" w:rsidRPr="003F680C" w:rsidP="00985C61">
            <w:pPr>
              <w:pStyle w:val="CSHeading1DE"/>
            </w:pPr>
            <w:bookmarkStart w:id="118" w:name="_Toc438160291"/>
            <w:r>
              <w:t>VERBRIEFUNG DER KOMPLEXEN PRODUKTE</w:t>
            </w:r>
            <w:bookmarkEnd w:id="118"/>
          </w:p>
        </w:tc>
      </w:tr>
      <w:tr w:rsidTr="00D23063">
        <w:tblPrEx>
          <w:tblW w:w="5000" w:type="pct"/>
          <w:tblLook w:val="04A0"/>
        </w:tblPrEx>
        <w:tc>
          <w:tcPr>
            <w:tcW w:w="2500" w:type="pct"/>
            <w:tcBorders>
              <w:right w:val="single" w:sz="4" w:space="0" w:color="auto"/>
            </w:tcBorders>
          </w:tcPr>
          <w:p w:rsidR="007B7021" w:rsidRPr="00130FF1" w:rsidP="009A5102">
            <w:pPr>
              <w:pStyle w:val="CSBody0"/>
            </w:pPr>
            <w:r w:rsidRPr="00130FF1">
              <w:t>Complex Products will be issued in (i) bearer form ("</w:t>
            </w:r>
            <w:r w:rsidRPr="009A5102">
              <w:rPr>
                <w:b/>
              </w:rPr>
              <w:t>Bearer Securities</w:t>
            </w:r>
            <w:r w:rsidRPr="00130FF1">
              <w:t>") or (ii) uncertificated form in accordance with art. 973c of the Swiss Code of Obligations as uncertificated securities (</w:t>
            </w:r>
            <w:r w:rsidRPr="009A5102">
              <w:rPr>
                <w:i/>
              </w:rPr>
              <w:t>Wertrechte</w:t>
            </w:r>
            <w:r w:rsidRPr="00130FF1">
              <w:t>), which uncertificated securities shall be registered with SIX SIS Ltd or any other intermediary (</w:t>
            </w:r>
            <w:r w:rsidRPr="00D24844">
              <w:rPr>
                <w:i/>
              </w:rPr>
              <w:t>Verwahrungsstelle</w:t>
            </w:r>
            <w:r w:rsidRPr="00130FF1">
              <w:t>) in Switzerland recognised for such purposes by the SIX Swiss Exchange as intermediated securities (</w:t>
            </w:r>
            <w:r w:rsidRPr="009A5102">
              <w:rPr>
                <w:i/>
              </w:rPr>
              <w:t>Bucheffekten</w:t>
            </w:r>
            <w:r w:rsidRPr="00130FF1">
              <w:t>) ("</w:t>
            </w:r>
            <w:r w:rsidRPr="009A5102">
              <w:rPr>
                <w:b/>
              </w:rPr>
              <w:t>Intermediated Securities</w:t>
            </w:r>
            <w:r w:rsidRPr="00130FF1">
              <w:t>").</w:t>
            </w:r>
          </w:p>
        </w:tc>
        <w:tc>
          <w:tcPr>
            <w:tcW w:w="2500" w:type="pct"/>
            <w:tcBorders>
              <w:left w:val="single" w:sz="4" w:space="0" w:color="auto"/>
            </w:tcBorders>
          </w:tcPr>
          <w:p w:rsidR="007B7021" w:rsidRPr="007B7021" w:rsidP="009A5102">
            <w:pPr>
              <w:pStyle w:val="CSBody0"/>
              <w:rPr>
                <w:lang w:val="de-DE"/>
              </w:rPr>
            </w:pPr>
            <w:r w:rsidRPr="007B7021">
              <w:rPr>
                <w:lang w:val="de-DE"/>
              </w:rPr>
              <w:t>Komplexe Produkte werden (i) als Inhaberpapiere ("</w:t>
            </w:r>
            <w:r w:rsidRPr="009A5102">
              <w:rPr>
                <w:b/>
                <w:lang w:val="de-DE"/>
              </w:rPr>
              <w:t>Inhaberpapiere</w:t>
            </w:r>
            <w:r w:rsidRPr="007B7021">
              <w:rPr>
                <w:lang w:val="de-DE"/>
              </w:rPr>
              <w:t>") oder (ii) in unverbriefter Form nach Massgabe von Art. 973c des Schweizerischen Obligationenrechts als Wertrechte begeben, wobei diese Wertrechte bei der SIX SIS AG oder jeder anderen Verwahrungsstelle in der Schweiz, welche von der SIX Swiss Exchange für diese Zwecke anerkannt ist, als Bucheffekten registriert werden ("</w:t>
            </w:r>
            <w:r w:rsidRPr="009A5102">
              <w:rPr>
                <w:b/>
                <w:lang w:val="de-DE"/>
              </w:rPr>
              <w:t>Bucheffekten</w:t>
            </w:r>
            <w:r w:rsidRPr="007B7021">
              <w:rPr>
                <w:lang w:val="de-DE"/>
              </w:rPr>
              <w:t>").</w:t>
            </w:r>
          </w:p>
        </w:tc>
      </w:tr>
      <w:tr w:rsidTr="00D23063">
        <w:tblPrEx>
          <w:tblW w:w="5000" w:type="pct"/>
          <w:tblLook w:val="04A0"/>
        </w:tblPrEx>
        <w:tc>
          <w:tcPr>
            <w:tcW w:w="2500" w:type="pct"/>
            <w:tcBorders>
              <w:right w:val="single" w:sz="4" w:space="0" w:color="auto"/>
            </w:tcBorders>
          </w:tcPr>
          <w:p w:rsidR="007B7021" w:rsidRPr="00130FF1" w:rsidP="009A5102">
            <w:pPr>
              <w:pStyle w:val="CSBody0"/>
            </w:pPr>
            <w:r w:rsidRPr="00130FF1">
              <w:t>Upon issuance on the applicable Issue Date in accordance with all applicable laws, Bearer Securities will be represented by one or more Permanent Global Certificate(s), which will be deposited with a common depositary for Euroclear and Clearstream Luxembourg or with Clearstream Frankfurt or such other relevant clearing system or such other relevant common depositary as may be relevant for the particular series or tranche of Complex Products. Euroclear, Clearstream Frankfurt, Clearstream Luxembourg or such other relevant clearing system, as the case may be, will maintain records of co</w:t>
            </w:r>
            <w:r w:rsidR="00D24844">
              <w:t>-</w:t>
            </w:r>
            <w:r w:rsidRPr="00130FF1">
              <w:t>ownership interests, beneficial interests or other comparable rights in the Permanent Global Certificates. While the Bearer Securities are represented by one or more Permanent Global Certificate(s), holders will be able to transfer or otherwise dispose of their co-ownership interests, beneficial interests or other comparable rights, as applicable, only through Euroclear, Clearstream Frankfurt, Clearstream Luxembourg or such other relevant clearing system, as the case may be, and in accordance with all applicable laws. Each Permanent Global Certificate shall remain deposited with a common depositary for Euroclear and Clearstream Luxembourg or with Clearstream Frankfurt or such other relevant clearing system or such other relevant common depositary as may be relevant for the particular series or tranche of Complex Products until the earlier of redemption and printing of such Complex Products in accordance with the applicable Terms and Conditions. Neither the Issuer nor the holders of Complex Products shall at any time have the right to effect or demand the conversion of the Permanent Global Certificate into, or the delivery of, definitive Complex Products (</w:t>
            </w:r>
            <w:r w:rsidRPr="009A5102">
              <w:rPr>
                <w:i/>
              </w:rPr>
              <w:t>Wertpapiere</w:t>
            </w:r>
            <w:r w:rsidRPr="00130FF1">
              <w:t>) or uncertificated securities (</w:t>
            </w:r>
            <w:r w:rsidRPr="009A5102">
              <w:rPr>
                <w:i/>
              </w:rPr>
              <w:t>Wertrechte</w:t>
            </w:r>
            <w:r w:rsidRPr="00130FF1">
              <w:t>).</w:t>
            </w:r>
          </w:p>
        </w:tc>
        <w:tc>
          <w:tcPr>
            <w:tcW w:w="2500" w:type="pct"/>
            <w:tcBorders>
              <w:left w:val="single" w:sz="4" w:space="0" w:color="auto"/>
            </w:tcBorders>
          </w:tcPr>
          <w:p w:rsidR="007B7021" w:rsidRPr="007B7021" w:rsidP="009A5102">
            <w:pPr>
              <w:pStyle w:val="CSBody0"/>
              <w:rPr>
                <w:lang w:val="de-DE"/>
              </w:rPr>
            </w:pPr>
            <w:r w:rsidRPr="007B7021">
              <w:rPr>
                <w:lang w:val="de-DE"/>
              </w:rPr>
              <w:t>Nach Begebung am anwendbaren Emissionstag in Übereinstimmung mit allen anwendbaren Gesetzen werden Inhaberpapiere durch eine oder mehrere Dauerglobalurkunden verbrieft, die bei einer gemeinsamen Verwahrstelle für Euroclear und Clearstream Luxemburg oder bei Clearstream Frankfurt oder einem sonstigen Clearingsystem oder einer sonstigen gemeinsamen Verwahrstelle, das bzw. die gegebenenfalls für eine bestimmte Serie oder Tranche von Komplexen Produkten massgeblich ist, hinterlegt werden. Euroclear, Clearstream Frankfurt, Clearstream Luxemburg bzw. ein sonstiges massgebliches Clearingsystem wird Aufzeichnungen über Miteigentumsanteile, wirtschaftliche Eigentumsrechte oder sonstige vergleichbare Rechte an den Dauerglobalurkunden führen. Während die Inhaberpapiere durch eine oder mehrere Dauerglobalurkunden verbrieft sind, können Inhaber ihre Miteigentumsanteile, wirtschaftlichen Eigentumsrechte oder sonstigen vergleichbaren Rechte nur über Euroclear, Clearstream Frankfurt, Clearstream Luxemburg bzw. ein sonstiges massgebliches Clearingsystem, sowie nach Massgabe aller geltenden gesetzlichen Bestimmungen übertragen. Jede Dauerglobalurkunde bleibt bis zum jeweils früheren Zeitpunkt der Rückzahlung oder des Drucks des jeweiligen Komplexen Produkts gemäss den anwendbaren Emissionsbedingungen bei einer gemeinsamen Verwahrstelle für Euroclear und Clearstream Luxemburg oder bei Clearstream Frankfurt oder einem sonstigen Clearingsystem oder einer sonstigen gemeinsamen Verwahrstelle, das bzw. die gegebenenfalls für eine bestimmte Serie oder Tranche von Komplexen Produkten massgeblich ist, hinterlegt. Die Emittentin und die Inhaber der Komplexen Produkte sind zu keinem Zeitpunkt berechtigt, die Dauerglobalurkunde in individuelle Wertpapiere oder Wertrechte umzuwandeln oder deren Umwandlung zu verlangen oder eine Lieferung von Einzelurkunden oder Wertrechten herbeizuführen oder zu verlangen.</w:t>
            </w:r>
          </w:p>
        </w:tc>
      </w:tr>
      <w:tr w:rsidTr="00D23063">
        <w:tblPrEx>
          <w:tblW w:w="5000" w:type="pct"/>
          <w:tblLook w:val="04A0"/>
        </w:tblPrEx>
        <w:tc>
          <w:tcPr>
            <w:tcW w:w="2500" w:type="pct"/>
            <w:tcBorders>
              <w:right w:val="single" w:sz="4" w:space="0" w:color="auto"/>
            </w:tcBorders>
          </w:tcPr>
          <w:p w:rsidR="007B7021" w:rsidRPr="00E07175" w:rsidP="009A5102">
            <w:pPr>
              <w:pStyle w:val="CSBody0"/>
            </w:pPr>
            <w:r w:rsidRPr="00E07175">
              <w:t>While the Bearer Securities are represented by one or more Permanent Global Certificate(s), to the extent the Issuer is required under the Terms and Conditions of a Complex Product to make a payment or deliver the Underlying(s), the Issuer (through the relevant paying agent) shall make such payment or delivery, as the case may be, to the common depositary for Euroclear and Clearstream Luxembourg or to Clearstream Frankfurt or such other relevant clearing system, as applicable, for distribution to their account holders. A holder of a co</w:t>
            </w:r>
            <w:r w:rsidR="00D24844">
              <w:t>-</w:t>
            </w:r>
            <w:r w:rsidRPr="00E07175">
              <w:t>ownership interest, beneficial interest or other comparable right in a Permanent Global Certificate must rely on the procedures of Euroclear, Clearstream Frankfurt, Clearstream Luxembourg or such other relevant clearing system, as the case may be, to receive any such payments or deliveries. The Issuer has no responsibility or liability for the records relating to, or payments made in respect of, co</w:t>
            </w:r>
            <w:r w:rsidR="0025395A">
              <w:t>-</w:t>
            </w:r>
            <w:r w:rsidRPr="00E07175">
              <w:t>ownership interests, beneficial interests or other comparable rights in the Permanent Global Certificates.</w:t>
            </w:r>
          </w:p>
        </w:tc>
        <w:tc>
          <w:tcPr>
            <w:tcW w:w="2500" w:type="pct"/>
            <w:tcBorders>
              <w:left w:val="single" w:sz="4" w:space="0" w:color="auto"/>
            </w:tcBorders>
          </w:tcPr>
          <w:p w:rsidR="007B7021" w:rsidRPr="007B7021" w:rsidP="009A5102">
            <w:pPr>
              <w:pStyle w:val="CSBody0"/>
              <w:rPr>
                <w:lang w:val="de-DE"/>
              </w:rPr>
            </w:pPr>
            <w:r w:rsidRPr="007B7021">
              <w:rPr>
                <w:lang w:val="de-DE"/>
              </w:rPr>
              <w:t>Während die Inhaberpapiere durch eine oder mehrere Dauerglobalurkunden verbrieft sind, wird die Emittentin (handelnd durch die jeweilige Zahlstelle), soweit sie nach den Emissionsbedingungen eines Komplexen Produkts zu einer Zahlung oder zur Lieferung des Basiswerts bzw. der Basiswerte verpflichtet ist, diese Zahlung bzw. Lieferung an die gemeinsame Verwahrstelle für Euroclear und Clearstream Luxemburg oder an Clearstream Frankfurt bzw. das sonstige massgebliche Clearingsystem zu Weiterleitung an ihre Kontoinhaber vornehmen. Der Inhaber eines Miteigentumsanteils, wirtschaftlichen Eigentumsrechts oder sonstigen vergleichbaren Rechts an einer Dauerglobalurkunde ist hinsichtlich des Erhalts dieser Zahlungen oder Lieferungen auf die Verfahren von Euroclear, Clearstream Frankfurt, Clearstream Luxemburg bzw. des sonstigen massgeblichen Clearingsystems angewiesen. Die Emittentin ist für die Unterlagen in Bezug auf die Miteigentumsanteile, wirtschaftlichen Eigentumsrechte oder sonstigen vergleichbaren Rechte an der Dauerglobalurkunde und die hinsichtlich dieser Miteigentumsanteile, wirtschaftlichen Eigentumsrechte oder sonstigen vergleichbaren Rechte geleisteten Zahlungen weder verantwortlich noch haftbar.</w:t>
            </w:r>
          </w:p>
        </w:tc>
      </w:tr>
      <w:tr w:rsidTr="00D23063">
        <w:tblPrEx>
          <w:tblW w:w="5000" w:type="pct"/>
          <w:tblLook w:val="04A0"/>
        </w:tblPrEx>
        <w:tc>
          <w:tcPr>
            <w:tcW w:w="2500" w:type="pct"/>
            <w:tcBorders>
              <w:right w:val="single" w:sz="4" w:space="0" w:color="auto"/>
            </w:tcBorders>
          </w:tcPr>
          <w:p w:rsidR="007B7021" w:rsidRPr="00E07175" w:rsidP="009A5102">
            <w:pPr>
              <w:pStyle w:val="CSBody0"/>
            </w:pPr>
            <w:r w:rsidRPr="00E07175">
              <w:t>In the case of Complex Products in uncertificated form, the uncertificated securities (Wertrechte) will be created by the Issuer on the applicable Issue Date by means of a registration in a register of uncertificated securities (Wertrechtebuch) maintained by or on behalf of the Issuer in accordance with art. 973c of the Swiss Code of Obligations. Through the entry of such uncertificated securities into the main register (Hauptregister) of SIX SIS Ltd (or any other relevant clearing system), they become Intermediated Securities and remain Intermediated Securities until the earlier of redemption and printing of such Complex Products in accordance with the applicable Terms and Conditions. The records of SIX SIS Ltd (or such other relevant clearing system) will determine the number of Complex Products held through each participant in SIX SIS Ltd (or such other relevant clearing system). In respect of Complex Products held in the form of Intermediated Securities, the holders of such Complex Products will be the persons holding the Complex Products in a securities account which is in their name, or in case of intermediaries, the intermediaries holding the Complex Products for their own account in a securities account which is in their name. Neither the Issuer nor the holders of Complex Products shall at any time have the right to effect or demand the conversion of the uncertificated securities (Wertrechte) into, or the delivery of, a permanent global certificate (Globalurkunde) or definitive Complex Products (Wertpapiere). So long as Complex Products are in the form of Intermediated Securities, they may only be transferred by crediting the transferred Complex Products to a securities account of the transferee.</w:t>
            </w:r>
          </w:p>
        </w:tc>
        <w:tc>
          <w:tcPr>
            <w:tcW w:w="2500" w:type="pct"/>
            <w:tcBorders>
              <w:left w:val="single" w:sz="4" w:space="0" w:color="auto"/>
            </w:tcBorders>
          </w:tcPr>
          <w:p w:rsidR="007B7021" w:rsidRPr="007B7021" w:rsidP="009A5102">
            <w:pPr>
              <w:pStyle w:val="CSBody0"/>
              <w:rPr>
                <w:lang w:val="de-DE"/>
              </w:rPr>
            </w:pPr>
            <w:r w:rsidRPr="007B7021">
              <w:rPr>
                <w:lang w:val="de-DE"/>
              </w:rPr>
              <w:t>Bei Komplexen Produkten in unverbriefter Form werden die Wertrechte von der Emittentin am anwendbaren Emissionstag durch Eintrag in einem von der oder für die Emittentin geführten Wertrechtebuch geschaffen nach Massgabe von Art. 973c des Schweizerischen Obligationenrechts. Diese Wertrechte werden mittels Eintragung in das Hauptregister der SIX SIS AG (oder eines sonstigen massgeblichen Clearingsystems) zu Bucheffekten, und bleiben Bucheffekten bis zum jeweils früheren Zeitpunkt der Rückzahlung oder des Drucks dieser Komplexen Produkte nach Massgabe der anwendbaren Emissionsbedingungen. Aus den Unterlagen der SIX SIS AG (oder des sonstigen massgeblichen Clearingsystems) ergibt sich die Anzahl der von jedem Teilnehmer der SIX SIS AG (oder des sonstigen massgeblichen Clearingsystems) gehaltenen Komplexen Produkte. Bei Komplexen Produkten, die in Form von Bucheffekten gehalten werden, gelten diejenigen Personen als Inhaber der Komplexen Produkte, die die Komplexen Produkte in einem in ihrem Namen geführten Effektenkonto halten, bzw. (bei Intermediären) diejenigen Intermediäre als Inhaber der Komplexen Produkte, die diese in einem in ihrem Namen und auf ihre eigene Rechnung geführten Effektenkonto halten. Die Emittentin und die Inhaber von Komplexen Produkten sind zu keinem Zeitpunkt berechtigt, die Wertrechte in eine Dauerglobalurkunde oder in individuelle Wertpapiere umzuwandeln oder deren Umwandlung zu verlangen oder eine Lieferung einer Dauerglobalurkunde oder von Einzelurkunden herbeizuführen oder zu verlangen. Solange Komplexe Produkte in Form von Bucheffekten bestehen, können die Komplexen Produkte nur durch Gutschrift der Komplexen Produkte auf dem Effektenkonto des Erwerbers übertragen werden.</w:t>
            </w:r>
          </w:p>
        </w:tc>
      </w:tr>
      <w:tr w:rsidTr="00D23063">
        <w:tblPrEx>
          <w:tblW w:w="5000" w:type="pct"/>
          <w:tblLook w:val="04A0"/>
        </w:tblPrEx>
        <w:tc>
          <w:tcPr>
            <w:tcW w:w="2500" w:type="pct"/>
            <w:tcBorders>
              <w:right w:val="single" w:sz="4" w:space="0" w:color="auto"/>
            </w:tcBorders>
          </w:tcPr>
          <w:p w:rsidR="007B7021" w:rsidRPr="009D5A2B" w:rsidP="009A5102">
            <w:pPr>
              <w:pStyle w:val="CSBody0"/>
            </w:pPr>
            <w:r w:rsidRPr="009D5A2B">
              <w:t>No physical delivery of any Complex Products shall be made unless and until such Complex Products shall have been printed. In case of Complex Products in the form of uncertificated securities that are registered with a clearing system, Complex Products may only be printed, in whole but not in part, if that clearing system goes out of business without a successor. In case of Bearer Securities, Complex Products may only be printed, in whole, but not in part, if the Paying Agent determines that the printing of definitive Complex Products (Wertpapiere) is necessary or useful; should the Paying Agent so determine, it shall provide for the printing of definitive Complex Products without cost to the holders thereof.</w:t>
            </w:r>
          </w:p>
        </w:tc>
        <w:tc>
          <w:tcPr>
            <w:tcW w:w="2500" w:type="pct"/>
            <w:tcBorders>
              <w:left w:val="single" w:sz="4" w:space="0" w:color="auto"/>
            </w:tcBorders>
          </w:tcPr>
          <w:p w:rsidR="007B7021" w:rsidRPr="007B7021" w:rsidP="009A5102">
            <w:pPr>
              <w:pStyle w:val="CSBody0"/>
              <w:rPr>
                <w:lang w:val="de-DE"/>
              </w:rPr>
            </w:pPr>
            <w:r w:rsidRPr="007B7021">
              <w:rPr>
                <w:lang w:val="de-DE"/>
              </w:rPr>
              <w:t>Eine physische Lieferung von Komplexen Produkten erfolgt erst und nur dann, wenn diese in Druckform vorliegen. Bei Komplexen Produkten in Form von Wertrechten, welche bei einem Clearingsystem registiert sind, können Komplexe Produkte nur insgesamt, jedoch nicht teilweise, gedruckt werden, falls das Clearingsystem seine Tätigkeit ohne Nachfolger einstellt. Bei Inhaberpapieren können Komplexe Produkte nur insgesamt, jedoch nicht teilweise, gedruckt werden, falls die Zahlstelle entscheidet, dass der Druck von Einzelurkunden erforderlich oder zweckmässig ist; trifft die Zahlstelle eine solche Entscheidung, so wird sie den Druck von Einzelurkunden veranlassen, ohne dass hierdurch Kosten für deren Inhaber entstehen.</w:t>
            </w:r>
          </w:p>
        </w:tc>
      </w:tr>
      <w:tr w:rsidTr="00D23063">
        <w:tblPrEx>
          <w:tblW w:w="5000" w:type="pct"/>
          <w:tblLook w:val="04A0"/>
        </w:tblPrEx>
        <w:tc>
          <w:tcPr>
            <w:tcW w:w="2500" w:type="pct"/>
            <w:tcBorders>
              <w:right w:val="single" w:sz="4" w:space="0" w:color="auto"/>
            </w:tcBorders>
          </w:tcPr>
          <w:p w:rsidR="007B7021" w:rsidRPr="009D5A2B" w:rsidP="009A5102">
            <w:pPr>
              <w:pStyle w:val="CSBody0"/>
            </w:pPr>
            <w:r w:rsidRPr="009D5A2B">
              <w:t xml:space="preserve">Individually certificated Complex Products will not be issued in bearer form but exclusively in registered form for U.S. tax purposes, whereby, </w:t>
            </w:r>
            <w:r w:rsidRPr="007E3558" w:rsidR="007E3558">
              <w:rPr>
                <w:i/>
              </w:rPr>
              <w:t>inter alia</w:t>
            </w:r>
            <w:r w:rsidRPr="009D5A2B">
              <w:t xml:space="preserve">, title will pass exclusively by registration of the transferee in a register of the Holders to be established and maintained by a Registrar appointed by the Issuer. In such instance a Complex Product may only be transferred by presenting the individually certificated Complex Product at the specified office of the Registrar or the Paying Agent. No transfer of a Complex Product will be valid unless and until entered into the Register. A Complex Product may be registered only in the name of and transferred to a specified person. </w:t>
            </w:r>
          </w:p>
        </w:tc>
        <w:tc>
          <w:tcPr>
            <w:tcW w:w="2500" w:type="pct"/>
            <w:tcBorders>
              <w:left w:val="single" w:sz="4" w:space="0" w:color="auto"/>
            </w:tcBorders>
          </w:tcPr>
          <w:p w:rsidR="007B7021" w:rsidRPr="007B7021" w:rsidP="009A5102">
            <w:pPr>
              <w:pStyle w:val="CSBody0"/>
              <w:rPr>
                <w:lang w:val="de-DE"/>
              </w:rPr>
            </w:pPr>
            <w:r w:rsidRPr="007B7021">
              <w:rPr>
                <w:lang w:val="de-DE"/>
              </w:rPr>
              <w:t>Komplexe Produkte in Form von Einzelurkunden werden nicht als Inhaberpapiere, sondern für US-Steuerzwecke nur als Namenspapiere begeben, wobei unter anderem der Übergang des Eigentums ausschliesslich im Wege der Registrierung des Erwerbers in einem Register erfolgt, das von einer von der Emittentin bestellten Registerstelle einzurichten und zu führen ist. In diesem Fall kann die Übertragung eines Komplexen Produkts nur durch Vorlage der zum jeweiligen Komplexen Produkt gehörigen Einzelurkunde bei der angegebenen Geschäftsstelle der Register- bzw. Zahlstelle erfolgen. Die Übertragung eines Komplexen Produkts wird nur durch und mit dem Registereintrag wirksam. Ein Komplexes Produkt kann nur im Namen einer benannten Person registriert bzw. an eine benannte Person übertragen werden.</w:t>
            </w:r>
          </w:p>
        </w:tc>
      </w:tr>
    </w:tbl>
    <w:p w:rsidR="00264E17" w:rsidRPr="007B7021" w:rsidP="009C6D81">
      <w:pPr>
        <w:pStyle w:val="CSBody0"/>
        <w:rPr>
          <w:lang w:val="de-DE"/>
        </w:rPr>
      </w:pPr>
    </w:p>
    <w:p w:rsidR="004445B7" w:rsidRPr="007B7021" w:rsidP="009C6D81">
      <w:pPr>
        <w:pStyle w:val="CSBody0"/>
        <w:rPr>
          <w:lang w:val="de-DE"/>
        </w:rPr>
      </w:pPr>
    </w:p>
    <w:p w:rsidR="004445B7" w:rsidRPr="007B7021" w:rsidP="009C6D81">
      <w:pPr>
        <w:pStyle w:val="CSBody0"/>
        <w:rPr>
          <w:lang w:val="de-DE"/>
        </w:rPr>
        <w:sectPr w:rsidSect="00E22A75">
          <w:headerReference w:type="default" r:id="rId47"/>
          <w:footerReference w:type="default" r:id="rId48"/>
          <w:headerReference w:type="first" r:id="rId49"/>
          <w:footerReference w:type="first" r:id="rId50"/>
          <w:pgSz w:w="11907" w:h="16839"/>
          <w:pgMar w:top="1440" w:right="1134" w:bottom="1440" w:left="1134" w:header="720" w:footer="720" w:gutter="0"/>
          <w:cols w:space="708"/>
          <w:docGrid w:linePitch="360"/>
        </w:sectPr>
      </w:pPr>
    </w:p>
    <w:tbl>
      <w:tblPr>
        <w:tblW w:w="5000" w:type="pct"/>
        <w:tblInd w:w="13" w:type="dxa"/>
        <w:tblLayout w:type="fixed"/>
        <w:tblLook w:val="00A0"/>
      </w:tblPr>
      <w:tblGrid>
        <w:gridCol w:w="25"/>
        <w:gridCol w:w="4928"/>
        <w:gridCol w:w="4902"/>
      </w:tblGrid>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2F7BD8" w:rsidP="001E4CCF">
            <w:pPr>
              <w:pStyle w:val="CSHeading1EN"/>
            </w:pPr>
            <w:bookmarkStart w:id="119" w:name="_Toc221434531"/>
            <w:bookmarkStart w:id="120" w:name="_Toc221498542"/>
            <w:bookmarkStart w:id="121" w:name="_Ref234226578"/>
            <w:bookmarkStart w:id="122" w:name="_Toc431933456"/>
            <w:bookmarkStart w:id="123" w:name="_Toc438227544"/>
            <w:r w:rsidRPr="002F7BD8">
              <w:t>TAXATION</w:t>
            </w:r>
            <w:bookmarkEnd w:id="119"/>
            <w:bookmarkEnd w:id="120"/>
            <w:bookmarkEnd w:id="121"/>
            <w:bookmarkEnd w:id="122"/>
            <w:bookmarkEnd w:id="123"/>
          </w:p>
        </w:tc>
        <w:tc>
          <w:tcPr>
            <w:tcW w:w="2487" w:type="pct"/>
            <w:tcBorders>
              <w:left w:val="single" w:sz="4" w:space="0" w:color="auto"/>
            </w:tcBorders>
            <w:shd w:val="clear" w:color="auto" w:fill="auto"/>
          </w:tcPr>
          <w:p w:rsidR="009A5102" w:rsidRPr="009A5102" w:rsidP="001E4CCF">
            <w:pPr>
              <w:pStyle w:val="CSHeading1DE"/>
              <w:rPr>
                <w:lang w:val="de-DE"/>
              </w:rPr>
            </w:pPr>
            <w:bookmarkStart w:id="124" w:name="_Toc431933526"/>
            <w:bookmarkStart w:id="125" w:name="_Toc438160292"/>
            <w:r w:rsidRPr="002F7BD8">
              <w:rPr>
                <w:lang w:val="de-DE"/>
              </w:rPr>
              <w:t>BESTEUERUNG</w:t>
            </w:r>
            <w:bookmarkEnd w:id="124"/>
            <w:bookmarkEnd w:id="125"/>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447E50" w:rsidRPr="004511FA" w:rsidP="009A5102">
            <w:pPr>
              <w:pStyle w:val="CSBody0"/>
            </w:pPr>
            <w:r w:rsidRPr="004511FA">
              <w:t>The following is a summary of the withholding tax position (and, in the case of Switzerland and Germany, certain other tax issues) in respect of payments by the Issuer on Complex Products (or an agent appointed by it) in accordance with the Terms and Conditions of such Complex Products ("</w:t>
            </w:r>
            <w:r w:rsidRPr="009A5102">
              <w:rPr>
                <w:b/>
              </w:rPr>
              <w:t>Relevant Payments</w:t>
            </w:r>
            <w:r w:rsidRPr="004511FA">
              <w:t>"). It is limited to the country of incorporation of Credit Suisse, the jurisdiction of the branches through which Credit Suisse intends to primarily issue Complex Products and those countries in which admission to trading may be sought or offers for which a prospectus is required under the Prospectus Directive may be made pursuant to this Document ("</w:t>
            </w:r>
            <w:r w:rsidRPr="009A5102">
              <w:rPr>
                <w:b/>
              </w:rPr>
              <w:t>Relevant Taxing Jurisdictions</w:t>
            </w:r>
            <w:r w:rsidRPr="004511FA">
              <w:t>").</w:t>
            </w:r>
          </w:p>
        </w:tc>
        <w:tc>
          <w:tcPr>
            <w:tcW w:w="2487" w:type="pct"/>
            <w:tcBorders>
              <w:left w:val="single" w:sz="4" w:space="0" w:color="auto"/>
            </w:tcBorders>
            <w:shd w:val="clear" w:color="auto" w:fill="auto"/>
          </w:tcPr>
          <w:p w:rsidR="00447E50" w:rsidRPr="00447E50" w:rsidP="009A5102">
            <w:pPr>
              <w:pStyle w:val="CSBody0"/>
              <w:rPr>
                <w:lang w:val="de-DE"/>
              </w:rPr>
            </w:pPr>
            <w:r w:rsidRPr="00447E50">
              <w:rPr>
                <w:lang w:val="de-DE"/>
              </w:rPr>
              <w:t>Die folgenden Ausführungen enthalten eine Zusammenfassung über die Quellensteuersituation (sowie bestimmte andere für die Schweiz und Deutschland geltende steuerliche Aspekte) hinsichtlich Zahlungen, die die Emittentin (oder eine von ihr beauftragte Stelle) auf Komplexe Produkte nach Massgabe der Emissionsbedingungen dieser Komplexen Produkte leistet ("</w:t>
            </w:r>
            <w:r w:rsidRPr="009A5102">
              <w:rPr>
                <w:b/>
                <w:lang w:val="de-DE"/>
              </w:rPr>
              <w:t>Massgebliche Zahlungen</w:t>
            </w:r>
            <w:r w:rsidRPr="00447E50">
              <w:rPr>
                <w:lang w:val="de-DE"/>
              </w:rPr>
              <w:t>"). Diese Übersicht beschränkt sich auf das Land, in dem die Credit Suisse ihren Sitz hat, die Rechtsordnung der Niederlassungen, über die die Credit Suisse beabsichtigt, Komplexe Produkte vorrangig zu begeben, sowie die Länder, in denen gemäss diesem Dokument die Zulassung zum Handel beantragt werden kann oder in denen Angebote erfolgen können, für die nach der Prospektrichtlinie eine Prospektpflicht besteht ("</w:t>
            </w:r>
            <w:r w:rsidRPr="009A5102">
              <w:rPr>
                <w:b/>
                <w:lang w:val="de-DE"/>
              </w:rPr>
              <w:t>Massgebliche Besteuerungsländer</w:t>
            </w:r>
            <w:r w:rsidRPr="00447E50">
              <w:rPr>
                <w:lang w:val="de-DE"/>
              </w:rPr>
              <w: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447E50" w:rsidRPr="004511FA" w:rsidP="009A5102">
            <w:pPr>
              <w:pStyle w:val="CSBody0"/>
            </w:pPr>
            <w:r w:rsidRPr="004511FA">
              <w:t>It does not relate to any other tax consequences or to withholdings in respect of payments by other persons (such as custodians, depositaries or other intermediaries) unless otherwise specified. The following statements and discussions of certain tax considerations are of a general nature only and do not address every potential tax consequence of an investment in Complex Products. Complex Products with special features may have a different tax impact. This summary is based on treaties, laws, regulations, rulings and decisions in effect on the date of the Base Prospectus, all of which are subject to change. Each investor should consult a tax adviser as to the tax consequences relating to its particular circumstances resulting from holding Complex Products.</w:t>
            </w:r>
          </w:p>
        </w:tc>
        <w:tc>
          <w:tcPr>
            <w:tcW w:w="2487" w:type="pct"/>
            <w:tcBorders>
              <w:left w:val="single" w:sz="4" w:space="0" w:color="auto"/>
            </w:tcBorders>
            <w:shd w:val="clear" w:color="auto" w:fill="auto"/>
          </w:tcPr>
          <w:p w:rsidR="00447E50" w:rsidRPr="00447E50" w:rsidP="00427E1D">
            <w:pPr>
              <w:pStyle w:val="CSBody0"/>
              <w:rPr>
                <w:lang w:val="de-DE"/>
              </w:rPr>
            </w:pPr>
            <w:r w:rsidRPr="00447E50">
              <w:rPr>
                <w:lang w:val="de-DE"/>
              </w:rPr>
              <w:t>Soweit nicht anders angegeben, werden die sonstigen steuerlichen Folgen oder Einbehalte hinsichtlich Zahlungen durch andere Personen nicht behandelt (wie Depot- oder Verwahrstellen oder sonstige Vermittler). Die folgenden Ausführungen und Erläuterungen zu bestimmten steuerlichen Aspekten sind lediglich allgemeiner Natur und berücksichtigen nicht jede potenzielle steuerliche Folge einer Anlage in Komplexe Produkte. Komplexe Produkte mit bestimmter Ausstattung unterliegen möglicherweise einer anderen steuerlichen Behandlung. Diese Übersicht basiert auf den zum Datum des Basisprospekts geltenden Abkommen, Gesetzen, Vorschriften und Entscheidungen, die jeweils Änderungen unterliegen können. Jedem Anleger wird daher</w:t>
            </w:r>
            <w:r w:rsidR="00427E1D">
              <w:rPr>
                <w:lang w:val="de-DE"/>
              </w:rPr>
              <w:t xml:space="preserve"> empfohlen, einen Steuerberater zu Fragen</w:t>
            </w:r>
            <w:r w:rsidRPr="00447E50">
              <w:rPr>
                <w:lang w:val="de-DE"/>
              </w:rPr>
              <w:t xml:space="preserve"> steuerliche</w:t>
            </w:r>
            <w:r w:rsidR="00427E1D">
              <w:rPr>
                <w:lang w:val="de-DE"/>
              </w:rPr>
              <w:t>r</w:t>
            </w:r>
            <w:r w:rsidRPr="00447E50">
              <w:rPr>
                <w:lang w:val="de-DE"/>
              </w:rPr>
              <w:t xml:space="preserve"> Folgen aufgrund des Haltens Komplexer Produkte unter Berücksichtigung seiner persönlichen Umstände zu Rate zu ziehen.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447E50" w:rsidRPr="002C3A47" w:rsidP="009A5102">
            <w:pPr>
              <w:pStyle w:val="CSBody0"/>
            </w:pPr>
            <w:r w:rsidRPr="002C3A47">
              <w:t>All payments in respect of Complex Products by the Issuer or an agent appointed by the Issuer will be subject to any applicable fiscal or other laws, regulations and directives. However, as at the date hereof, no taxes to be withheld at source by the Issuer would be applicable in respect of any Relevant Payments in any Relevant Taxing Jurisdiction, except as specified below in relation to the countries so specified. Except as otherwise described in the subsection on taxation in the United Kingdom, the Issuer assumes no responsibility with respect to taxes withheld at source.</w:t>
            </w:r>
          </w:p>
        </w:tc>
        <w:tc>
          <w:tcPr>
            <w:tcW w:w="2487" w:type="pct"/>
            <w:tcBorders>
              <w:left w:val="single" w:sz="4" w:space="0" w:color="auto"/>
            </w:tcBorders>
          </w:tcPr>
          <w:p w:rsidR="00447E50" w:rsidRPr="00447E50" w:rsidP="00427E1D">
            <w:pPr>
              <w:pStyle w:val="CSBody0"/>
              <w:rPr>
                <w:lang w:val="de-DE"/>
              </w:rPr>
            </w:pPr>
            <w:r w:rsidRPr="00447E50">
              <w:rPr>
                <w:lang w:val="de-DE"/>
              </w:rPr>
              <w:t xml:space="preserve">Alle Zahlungen auf Komplexe Produkte, die von der Emittentin oder einer von der Emittentin beauftragten Stelle geleistet werden, unterliegen der geltenden Steuergesetzgebung sowie allen anderen anwendbaren Gesetzen, Vorschriften und Richtlinien. Zum Datum dieses Dokuments </w:t>
            </w:r>
            <w:r w:rsidR="00427E1D">
              <w:rPr>
                <w:lang w:val="de-DE"/>
              </w:rPr>
              <w:t>fallen</w:t>
            </w:r>
            <w:r w:rsidRPr="00447E50">
              <w:rPr>
                <w:lang w:val="de-DE"/>
              </w:rPr>
              <w:t xml:space="preserve"> jedoch bei der Emittentin keine an der Quelle einzubehaltenden Steuern auf Massgebliche Zahlungen in einem Massgeblichen Besteuerungsland </w:t>
            </w:r>
            <w:r w:rsidR="00427E1D">
              <w:rPr>
                <w:lang w:val="de-DE"/>
              </w:rPr>
              <w:t>an</w:t>
            </w:r>
            <w:r w:rsidRPr="00447E50">
              <w:rPr>
                <w:lang w:val="de-DE"/>
              </w:rPr>
              <w:t>, soweit nicht nachstehend etwas anderes in Bezug auf die jeweils bezeichneten Länder angegeben ist. Ausgenommen wie im Abschnitt zur Besteuerung im Vereinigten Königreich anderweitig beschrieben, übernimmt die Emittentin keine Verantwortung für die Einbehaltung von Steuern an der Quelle.</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447E50" w:rsidRPr="002C3A47" w:rsidP="00033F3F">
            <w:pPr>
              <w:pStyle w:val="CSBody0"/>
            </w:pPr>
            <w:r w:rsidRPr="002C3A47">
              <w:t>All references to the "Directive" in this section are to the Council Directive 2003/48/EC on taxation of savings income in the form of interest payments of 3</w:t>
            </w:r>
            <w:r w:rsidR="00033F3F">
              <w:t> </w:t>
            </w:r>
            <w:r w:rsidRPr="002C3A47">
              <w:t>June 2003.</w:t>
            </w:r>
          </w:p>
        </w:tc>
        <w:tc>
          <w:tcPr>
            <w:tcW w:w="2487" w:type="pct"/>
            <w:tcBorders>
              <w:left w:val="single" w:sz="4" w:space="0" w:color="auto"/>
            </w:tcBorders>
            <w:shd w:val="clear" w:color="auto" w:fill="auto"/>
          </w:tcPr>
          <w:p w:rsidR="00447E50" w:rsidP="00033F3F">
            <w:pPr>
              <w:pStyle w:val="CSBody0"/>
            </w:pPr>
            <w:r w:rsidRPr="00447E50">
              <w:rPr>
                <w:lang w:val="de-DE"/>
              </w:rPr>
              <w:t>Alle Verweise in diesem Abschnitt auf die "Richtlinie" beziehen sich auf die Richtlinie 2003/48/EG des Rates vom 3.</w:t>
            </w:r>
            <w:r w:rsidR="00033F3F">
              <w:rPr>
                <w:lang w:val="de-DE"/>
              </w:rPr>
              <w:t> </w:t>
            </w:r>
            <w:r w:rsidRPr="002C3A47">
              <w:t>Juni 2003 im Bereich der Besteuerung von Zinserträgen.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2F7BD8" w:rsidP="009A5102">
            <w:pPr>
              <w:pStyle w:val="CSbody0bold"/>
            </w:pPr>
            <w:r w:rsidRPr="00077EB2">
              <w:t>Switzerland</w:t>
            </w:r>
          </w:p>
        </w:tc>
        <w:tc>
          <w:tcPr>
            <w:tcW w:w="2487" w:type="pct"/>
            <w:tcBorders>
              <w:left w:val="single" w:sz="4" w:space="0" w:color="auto"/>
            </w:tcBorders>
            <w:shd w:val="clear" w:color="auto" w:fill="auto"/>
          </w:tcPr>
          <w:p w:rsidR="0033731A" w:rsidRPr="002F7BD8" w:rsidP="009A5102">
            <w:pPr>
              <w:pStyle w:val="CSbody0bold"/>
            </w:pPr>
            <w:r w:rsidRPr="00077EB2">
              <w:t>Schweiz</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33731A" w:rsidRPr="00985C61" w:rsidP="00265D23">
            <w:pPr>
              <w:pStyle w:val="CSbody0bold"/>
            </w:pPr>
            <w:r w:rsidRPr="00077EB2">
              <w:t>Swiss Withholding Tax</w:t>
            </w:r>
          </w:p>
        </w:tc>
        <w:tc>
          <w:tcPr>
            <w:tcW w:w="2487" w:type="pct"/>
            <w:tcBorders>
              <w:top w:val="nil"/>
              <w:left w:val="single" w:sz="4" w:space="0" w:color="auto"/>
              <w:bottom w:val="nil"/>
              <w:right w:val="nil"/>
            </w:tcBorders>
            <w:shd w:val="clear" w:color="auto" w:fill="auto"/>
            <w:hideMark/>
          </w:tcPr>
          <w:p w:rsidR="0033731A" w:rsidRPr="00C02D5B" w:rsidP="009A5102">
            <w:pPr>
              <w:pStyle w:val="CSbody0bold"/>
              <w:rPr>
                <w:rFonts w:eastAsia="Times New Roman"/>
                <w:sz w:val="20"/>
                <w:szCs w:val="20"/>
              </w:rPr>
            </w:pPr>
            <w:r w:rsidRPr="00C02D5B">
              <w:t>Schweizer Verrechnungssteuer</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C02D5B" w:rsidP="009A5102">
            <w:pPr>
              <w:pStyle w:val="CSBody0italic"/>
              <w:rPr>
                <w:lang w:val="en-US" w:eastAsia="de-DE"/>
              </w:rPr>
            </w:pPr>
            <w:r w:rsidRPr="00C02D5B">
              <w:rPr>
                <w:lang w:val="en-US"/>
              </w:rPr>
              <w:t xml:space="preserve">Credit Suisse acting through designated branches </w:t>
            </w:r>
          </w:p>
        </w:tc>
        <w:tc>
          <w:tcPr>
            <w:tcW w:w="2487" w:type="pct"/>
            <w:tcBorders>
              <w:top w:val="nil"/>
              <w:left w:val="single" w:sz="4" w:space="0" w:color="auto"/>
              <w:bottom w:val="nil"/>
              <w:right w:val="nil"/>
            </w:tcBorders>
            <w:hideMark/>
          </w:tcPr>
          <w:p w:rsidR="0033731A" w:rsidRPr="00B629AC" w:rsidP="009A5102">
            <w:pPr>
              <w:pStyle w:val="CSBody0italic"/>
              <w:rPr>
                <w:lang w:val="de-CH" w:eastAsia="de-DE"/>
              </w:rPr>
            </w:pPr>
            <w:r w:rsidRPr="00B629AC">
              <w:rPr>
                <w:lang w:val="de-DE"/>
              </w:rPr>
              <w:t>Credit Suisse handelnd durch Zweigniederlassungen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3904FB" w:rsidP="00427E1D">
            <w:pPr>
              <w:pStyle w:val="CSBody0"/>
            </w:pPr>
            <w:r w:rsidRPr="00077EB2">
              <w:t>Payments on Complex Products and repayment of Complex Products by the Issuer acting through a designated branch are not subject to Swiss withholding tax (</w:t>
            </w:r>
            <w:r w:rsidRPr="002A3361">
              <w:rPr>
                <w:i/>
              </w:rPr>
              <w:t>Verrechnungssteuer</w:t>
            </w:r>
            <w:r w:rsidRPr="00077EB2">
              <w:t>), provided that, for so long as any Complex Products issued by such designated branch are outstanding, (i) Credit Suisse is licensed in the jurisdiction of such designated branch to operate banking activities and the designated branch constitutes a permanent establishment situated and effectively managed outside Switzerland, and (ii) the designated branch receives and uses the proceeds from the issuance of Complex Products by such branch which relate to the bond component outside Switzerland (unless use in Switzerland is permitted under the Swiss taxation laws in force from time to time without payments in respect of the Complex Products becoming subject to withholding or deduction by Credit Suisse for Swiss withholding tax as a consequence of the use of such proceeds in Switzerland). Credit Suisse confirms that, for so long as any Complex Products issued by a designated branch are out-standing, it will in respect of such designated branch comply with these conditions.</w:t>
            </w:r>
          </w:p>
        </w:tc>
        <w:tc>
          <w:tcPr>
            <w:tcW w:w="2487" w:type="pct"/>
            <w:tcBorders>
              <w:top w:val="nil"/>
              <w:left w:val="single" w:sz="4" w:space="0" w:color="auto"/>
              <w:bottom w:val="nil"/>
              <w:right w:val="nil"/>
            </w:tcBorders>
          </w:tcPr>
          <w:p w:rsidR="00447E50" w:rsidRPr="00447E50" w:rsidP="00427E1D">
            <w:pPr>
              <w:pStyle w:val="CSBody0"/>
              <w:rPr>
                <w:lang w:val="de-DE"/>
              </w:rPr>
            </w:pPr>
            <w:r w:rsidRPr="00077EB2">
              <w:rPr>
                <w:lang w:val="de-DE"/>
              </w:rPr>
              <w:t>Bei Komplexen Produkten, welche von der Emittentin durch eine dazu bestimmte Zweigniederlassung ausgegeben werden, unterliegen Zahlungen auf den Komplexen Produkten sowie die Rückzahlung von Komplexen Produkte nicht der Schweizer Verrechnungssteuer, sofern während der gesamten Laufzeit, während der durch eine solche Zweigniederlassung ausgegebene Komplexe Produkte ausstehend sind, (i) Credit Suisse in der Jurisdiktion dieser Zweigniederlassung als Bank reguliert ist und es sich bei der Zweigniederlassung um eine ausländische und effektiv im Ausland verwaltete Betriebsstätte handelt und (ii) der aus der Emission von Komplexen Produkte durch diese Zweigniederlassung dem Obligationenteil zurechenbare Erlös ausserhalb der Schweiz erhalten und verwendet wird (es sei denn, die Verwendung der Mittel in der Schweiz ist gemäss jeweils geltendem Schweizer Steuerrecht zulässig, ohne dass die Zahlungen in Bezug auf die Komplexen Produkte aufgrund einer solchen Mittelverwendung in der Schweiz einem Einbehalt oder Abzug von Verrechnungssteuer durch die Credit Suisse unterliegen würden). Credit Suisse bestätigt, dass während der gesamten Laufzeit, während der durch eine dafür bestimmte Zweigniederlassung ausgegebene Komplexe Produkte ausstehend sind, sie in Bezug auf die je-weilige Zweigniederlassung die vorgenannten Bedingungen einhalten wird.</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C02D5B" w:rsidP="009A5102">
            <w:pPr>
              <w:pStyle w:val="CSBody0italic"/>
              <w:rPr>
                <w:lang w:val="en-US" w:eastAsia="de-DE"/>
              </w:rPr>
            </w:pPr>
            <w:r w:rsidRPr="00C02D5B">
              <w:rPr>
                <w:lang w:val="en-US"/>
              </w:rPr>
              <w:t>Credit Suisse acting through its Zurich head office</w:t>
            </w:r>
          </w:p>
        </w:tc>
        <w:tc>
          <w:tcPr>
            <w:tcW w:w="2487" w:type="pct"/>
            <w:tcBorders>
              <w:top w:val="nil"/>
              <w:left w:val="single" w:sz="4" w:space="0" w:color="auto"/>
              <w:bottom w:val="nil"/>
              <w:right w:val="nil"/>
            </w:tcBorders>
            <w:hideMark/>
          </w:tcPr>
          <w:p w:rsidR="0033731A" w:rsidRPr="00B629AC" w:rsidP="009A5102">
            <w:pPr>
              <w:pStyle w:val="CSBody0italic"/>
              <w:rPr>
                <w:lang w:val="de-CH" w:eastAsia="de-DE"/>
              </w:rPr>
            </w:pPr>
            <w:r w:rsidRPr="00B629AC">
              <w:rPr>
                <w:lang w:val="de-DE"/>
              </w:rPr>
              <w:t>Credit Suisse handelnd durch ihren Hauptsitz in Zürich</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B37C9A" w:rsidP="00545817">
            <w:pPr>
              <w:pStyle w:val="CSBody0"/>
            </w:pPr>
            <w:r w:rsidRPr="00077EB2">
              <w:t>Payments on Complex Products issued by Credit Suisse acting through its Zurich head office, which classify as interest (including payments reflecting accrued interest) may be subject to Swiss withholding tax (</w:t>
            </w:r>
            <w:r w:rsidRPr="002C22D5">
              <w:rPr>
                <w:i/>
              </w:rPr>
              <w:t>Verrechnungssteuer</w:t>
            </w:r>
            <w:r w:rsidRPr="00077EB2">
              <w:t xml:space="preserve">). The tax is currently levied at a rate of 35%. The taxable amounts depend on the tax classification of the Complex Product (see below </w:t>
            </w:r>
            <w:r w:rsidR="003B00F3">
              <w:t>"</w:t>
            </w:r>
            <w:r w:rsidRPr="002C22D5">
              <w:rPr>
                <w:i/>
              </w:rPr>
              <w:t>—Income Taxation, Complex Products held by Swiss resident Holders as Private Assets</w:t>
            </w:r>
            <w:r w:rsidR="00BF7214">
              <w:t>"</w:t>
            </w:r>
            <w:r w:rsidRPr="00077EB2">
              <w:t>). Issue discounts, repayment premiums or payments reflecting accrued interest are taxable at redemption or maturity of the Complex Product, as applica-ble.</w:t>
            </w:r>
          </w:p>
        </w:tc>
        <w:tc>
          <w:tcPr>
            <w:tcW w:w="2487" w:type="pct"/>
            <w:tcBorders>
              <w:top w:val="nil"/>
              <w:left w:val="single" w:sz="4" w:space="0" w:color="auto"/>
              <w:bottom w:val="nil"/>
              <w:right w:val="nil"/>
            </w:tcBorders>
          </w:tcPr>
          <w:p w:rsidR="00447E50" w:rsidRPr="00447E50" w:rsidP="00427E1D">
            <w:pPr>
              <w:pStyle w:val="CSBody0"/>
              <w:rPr>
                <w:lang w:val="de-DE"/>
              </w:rPr>
            </w:pPr>
            <w:r w:rsidRPr="00077EB2">
              <w:rPr>
                <w:lang w:val="de-DE"/>
              </w:rPr>
              <w:t xml:space="preserve">Bei Komplexen Produkten, welche von Credit Suisse handelnd durch ihren Hauptsitz in Zürich ausgegeben werden, können Zahlungen, welche als Zinsen qualifizieren (einschliesslich als Marchzinsen geltende Zahlungen), der Schweizer Verrechnungssteuer unterliegen. Die Verrechnungssteuer beträgt derzeit 35%. Die Höhe der steuerbaren Beträge hängt davon ab, wie das Komplexe Produkt steuerlich qualifiziert wird (vgl. unten </w:t>
            </w:r>
            <w:r w:rsidR="003B00F3">
              <w:rPr>
                <w:lang w:val="de-DE"/>
              </w:rPr>
              <w:t>"</w:t>
            </w:r>
            <w:r w:rsidRPr="002C22D5">
              <w:rPr>
                <w:i/>
                <w:lang w:val="de-DE"/>
              </w:rPr>
              <w:t>—Einkommensbesteuerung, Komplexe Produkte, welche von in der Schweiz ansässigen Personen im Privatvermögen gehalten werden</w:t>
            </w:r>
            <w:r w:rsidR="00BF7214">
              <w:rPr>
                <w:lang w:val="de-DE"/>
              </w:rPr>
              <w:t>"</w:t>
            </w:r>
            <w:r w:rsidRPr="00077EB2">
              <w:rPr>
                <w:lang w:val="de-DE"/>
              </w:rPr>
              <w:t>). Allfällige Emissionsdisagios, Rückzah-lungsagios und als Marchzinsen geltende Zahlungen werden bei der Rückzahlung oder am Laufzeitende des Komplexen Produkts besteuert.</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B37C9A" w:rsidP="009A5102">
            <w:pPr>
              <w:pStyle w:val="CSBody0"/>
            </w:pPr>
            <w:r w:rsidRPr="00077EB2">
              <w:t xml:space="preserve">A holder of a Complex Product who at the time a taxable payment on the Complex Product is due is the beneficial owner of the taxable payment, is entitled to a full refund of or a full tax credit for the Swiss withholding tax, provided that certain conditions are met. In particular, a holder who is an individual resident in Switzerland holding the Complex Product as private investment, must duly report the gross amount of the taxable payment in his or her tax return and, a holder who is a legal entity or an individual holding the Complex Product in a Swiss business, must include such payment as earnings in its income statement. A holder of a Complex Product who is resident outside Switzerland and who during the taxation year has not engaged in a trade or business carried on through a permanent establishment </w:t>
            </w:r>
            <w:r w:rsidR="00427E1D">
              <w:t>i</w:t>
            </w:r>
            <w:r w:rsidRPr="00077EB2">
              <w:t>n Switzerland to which such Complex Product is attributable may be able to claim a full or partial refund of the Swiss withholding tax by virtue of the provisions of a double taxation treaty, if any, between Switzerland and the country of residence of the holder.</w:t>
            </w:r>
          </w:p>
        </w:tc>
        <w:tc>
          <w:tcPr>
            <w:tcW w:w="2487" w:type="pct"/>
            <w:tcBorders>
              <w:top w:val="nil"/>
              <w:left w:val="single" w:sz="4" w:space="0" w:color="auto"/>
              <w:bottom w:val="nil"/>
              <w:right w:val="nil"/>
            </w:tcBorders>
          </w:tcPr>
          <w:p w:rsidR="00447E50" w:rsidRPr="00447E50" w:rsidP="00427E1D">
            <w:pPr>
              <w:pStyle w:val="CSBody0"/>
              <w:rPr>
                <w:lang w:val="de-DE"/>
              </w:rPr>
            </w:pPr>
            <w:r w:rsidRPr="00077EB2">
              <w:rPr>
                <w:lang w:val="de-DE"/>
              </w:rPr>
              <w:t>Ein Anleger, welcher im Zeitpunkt der Fälligkeit der steuerbaren Zahlung auf dem Komplexen Produkt an der steuerbaren Zahlung nutzungsberechtigt i</w:t>
            </w:r>
            <w:r w:rsidR="00427E1D">
              <w:rPr>
                <w:lang w:val="de-DE"/>
              </w:rPr>
              <w:t>st, hat unter bestimmten Voraus</w:t>
            </w:r>
            <w:r w:rsidRPr="00077EB2">
              <w:rPr>
                <w:lang w:val="de-DE"/>
              </w:rPr>
              <w:t>setzungen Anspruch auf voll</w:t>
            </w:r>
            <w:r w:rsidR="00427E1D">
              <w:rPr>
                <w:lang w:val="de-DE"/>
              </w:rPr>
              <w:t>e Rückerstattung oder volle Gut</w:t>
            </w:r>
            <w:r w:rsidRPr="00077EB2">
              <w:rPr>
                <w:lang w:val="de-DE"/>
              </w:rPr>
              <w:t>schrift der Verrechnungssteuer. So muss ein Anleger, welcher eine in der Schweiz ansässige natürliche Person ist und das Komplexe Produkt im Privatvermögen hält, die steuerbare Bruttoeinkunft ordnungsgemäss in seiner oder ihrer Steuererklärung deklarieren, und muss ein Anleger, welcher eine juristische Person oder eine natürliche Person ist, welche das Komplexe Produkt in schweizerischem Geschäftsvermögen hält, solche Zahlungen in seiner oder ihrer Erfolgsrechnung als Ertrag verbuchen. Anleger, welche ausserhalb der Schweiz ansässig sind und welche während des Steuerjahres keine Handels- oder Geschäftstätigkeit in einer Betriebsstätte in der Schweiz ausgeübt haben, zu welcher ein solches Komplexes Produkt zugeordnet wird, haben unter Umständen Anspruch auf volle oder teilweise Rückerstattung der Verrechnungssteuer gemäss den Voraussetzungen eines Doppelbesteuerungsabkommen ihres Ansässigkeitsstaates mit der Schweiz.</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C02D5B" w:rsidP="003330CF">
            <w:pPr>
              <w:pStyle w:val="CSBody0italic"/>
              <w:rPr>
                <w:lang w:val="en-US" w:eastAsia="de-DE"/>
              </w:rPr>
            </w:pPr>
            <w:r>
              <w:rPr>
                <w:lang w:val="en-US"/>
              </w:rPr>
              <w:t>Potential</w:t>
            </w:r>
            <w:r w:rsidRPr="00C02D5B">
              <w:rPr>
                <w:lang w:val="en-US"/>
              </w:rPr>
              <w:t xml:space="preserve"> Amendment of </w:t>
            </w:r>
            <w:r w:rsidR="003330CF">
              <w:rPr>
                <w:lang w:val="en-US"/>
              </w:rPr>
              <w:t xml:space="preserve">the </w:t>
            </w:r>
            <w:r w:rsidRPr="00C02D5B">
              <w:rPr>
                <w:lang w:val="en-US"/>
              </w:rPr>
              <w:t xml:space="preserve">Swiss Withholding Tax Act </w:t>
            </w:r>
          </w:p>
        </w:tc>
        <w:tc>
          <w:tcPr>
            <w:tcW w:w="2487" w:type="pct"/>
            <w:tcBorders>
              <w:top w:val="nil"/>
              <w:left w:val="single" w:sz="4" w:space="0" w:color="auto"/>
              <w:bottom w:val="nil"/>
              <w:right w:val="nil"/>
            </w:tcBorders>
            <w:hideMark/>
          </w:tcPr>
          <w:p w:rsidR="0033731A" w:rsidRPr="00B629AC" w:rsidP="00995403">
            <w:pPr>
              <w:pStyle w:val="CSBody0italic"/>
              <w:rPr>
                <w:lang w:val="de-CH" w:eastAsia="de-DE"/>
              </w:rPr>
            </w:pPr>
            <w:r w:rsidRPr="00B629AC">
              <w:rPr>
                <w:lang w:val="de-DE"/>
              </w:rPr>
              <w:t>Vorgeschlagene Änderungen des Bundesgesetz</w:t>
            </w:r>
            <w:r w:rsidR="003330CF">
              <w:rPr>
                <w:lang w:val="de-DE"/>
              </w:rPr>
              <w:t>es</w:t>
            </w:r>
            <w:r w:rsidRPr="00B629AC">
              <w:rPr>
                <w:lang w:val="de-DE"/>
              </w:rPr>
              <w:t xml:space="preserve"> über die Verrechnungssteuer</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CF0094" w:rsidP="00427E1D">
            <w:pPr>
              <w:pStyle w:val="CSBody0"/>
            </w:pPr>
            <w:r w:rsidRPr="00077EB2">
              <w:t>On 4 November 2015 the Swiss Council announced a man-date to the Swiss Finance Department to institute a group of experts tasked with the preparation of a new proposal for a reform of the Swiss withholding tax system. The new proposal is expected to include in respect of interest payments the replacement of the existing debtor-based regime (as set out above) by a paying agent-based regime for Swiss withholding tax similar to the one published by the Swiss Council on 17 December 2014 and repealed by it on 24 June 2015 following the negative outcome of the consultation on proposal. Under such a paying agent-based regime, if enacted, a paying agent in Switzerland may b</w:t>
            </w:r>
            <w:r w:rsidR="00427E1D">
              <w:t>e required to deduct Swiss with</w:t>
            </w:r>
            <w:r w:rsidRPr="00077EB2">
              <w:t>holding tax at a rate of 35% on any payment of interest (including issue discount, repayment premium or payment reflecting accrued interest) or other distributions in respect of the bond related component of a Complex Product, if any, to or for a beneficiary resident in Switzerland.</w:t>
            </w:r>
          </w:p>
        </w:tc>
        <w:tc>
          <w:tcPr>
            <w:tcW w:w="2487" w:type="pct"/>
            <w:tcBorders>
              <w:top w:val="nil"/>
              <w:left w:val="single" w:sz="4" w:space="0" w:color="auto"/>
              <w:bottom w:val="nil"/>
              <w:right w:val="nil"/>
            </w:tcBorders>
          </w:tcPr>
          <w:p w:rsidR="00447E50" w:rsidRPr="00447E50" w:rsidP="00427E1D">
            <w:pPr>
              <w:pStyle w:val="CSBody0"/>
              <w:rPr>
                <w:lang w:val="de-DE"/>
              </w:rPr>
            </w:pPr>
            <w:r w:rsidRPr="00077EB2">
              <w:rPr>
                <w:lang w:val="de-DE"/>
              </w:rPr>
              <w:t>Am 4. November 2015 teilte  der Schweizerische Bundesrat mit, dass er das Eidgenössische Finanzdepartement (EFD) beauftragt habe, eine Expertengruppe zur Erarbeitung neuer Vorschläge für eine Reform des Schweizer Verrechnungssteuersystems einzusetzen. Es wird erwartet, dass der neue Reformvorschlag für Zinszahlungen einen Wechsel vom heutigen schuldnerbasierten Regime (wie oben erwähnt) zu einem zahlstellenbasierten Regime beinhalten wird, welches ähnlich dem sein dürfte, das in dem nach negativem Vernehmlassungsergebnis am 24. Juni 2015 zurückgezogenen Gesetzgebungsvorschlag des Bundesrates vom 17. Dezember 2014 enthalten war. Wird eine solche neue Gesetzgebung umgesetzt, so kann eine Zahlstelle in der Schweiz verpflichtet sein, die Schweizer Verrechnungssteuer zum Satz von 35% von jeglichen Zinszahlungen (einschliesslich Emissionsdisagio, Rückzahlungsagio und als Marchzinsen geltende Zahlungen) sowie anderen Ausschüttungen abzuziehen, die auf der einem Komplexen Produkt allfällig zugrundeliegenden Obligationenkomponente an oder für einen im Inland ansässigen wirt-schaftlich Berechtigten gezahlt werden.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447E50" w:rsidRPr="00995403" w:rsidP="00995403">
            <w:pPr>
              <w:pStyle w:val="CSbody0bold"/>
            </w:pPr>
            <w:r w:rsidRPr="00995403">
              <w:t>Swiss Securities Turnover Tax</w:t>
            </w:r>
          </w:p>
        </w:tc>
        <w:tc>
          <w:tcPr>
            <w:tcW w:w="2487" w:type="pct"/>
            <w:tcBorders>
              <w:top w:val="nil"/>
              <w:left w:val="single" w:sz="4" w:space="0" w:color="auto"/>
              <w:bottom w:val="nil"/>
              <w:right w:val="nil"/>
            </w:tcBorders>
            <w:hideMark/>
          </w:tcPr>
          <w:p w:rsidR="00447E50" w:rsidRPr="00995403" w:rsidP="00995403">
            <w:pPr>
              <w:pStyle w:val="CSbody0bold"/>
            </w:pPr>
            <w:r w:rsidRPr="00995403">
              <w:t>Schweizer Umsatzabgabe</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BF4536" w:rsidP="008627CB">
            <w:pPr>
              <w:pStyle w:val="CSBody0"/>
            </w:pPr>
            <w:r w:rsidRPr="00077EB2">
              <w:t>The issue and the sale of a Complex Product by the Issuer on the issuance day (primary market transaction) and the redemption of a Complex Product by the Issuer are not subject to Swiss securities turnover tax, except that the issuance by Credit Suisse acting through a designated branch of a Complex Product classified as collective-capital-investment-like product may be subject to Swiss securities turnover tax of up to 0.30% on the consideration paid.</w:t>
            </w:r>
          </w:p>
        </w:tc>
        <w:tc>
          <w:tcPr>
            <w:tcW w:w="2487" w:type="pct"/>
            <w:tcBorders>
              <w:top w:val="nil"/>
              <w:left w:val="single" w:sz="4" w:space="0" w:color="auto"/>
              <w:bottom w:val="nil"/>
              <w:right w:val="nil"/>
            </w:tcBorders>
          </w:tcPr>
          <w:p w:rsidR="00447E50" w:rsidRPr="00447E50" w:rsidP="008627CB">
            <w:pPr>
              <w:pStyle w:val="CSBody0"/>
              <w:rPr>
                <w:lang w:val="de-DE"/>
              </w:rPr>
            </w:pPr>
            <w:r w:rsidRPr="00077EB2">
              <w:rPr>
                <w:lang w:val="de-DE"/>
              </w:rPr>
              <w:t>Die Ausgabe und der Verkauf eines Komplexen Produktes durch die Emittentin am Emissionstag (Primärmarkttransaktion) und die Rückgabe eines Komplexen Produktes an die Emittentin zur Rückzahlung unterliegen der Schweizer Umsatzabgabe nicht, mit der Ausnahme, dass die Ausgabe von Komplexen Produkten, welche als den kollektiven Kapitalanlagen ähnliche Produkte klassifiziert werden und durch eine dafür bestimmte Zweigniederlassung der Credit Suisse ausgegeben werden, der Schweizer Umsatzabgabe von bis zu 0.30% des bezahlten Entgelts unterliegen kann.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BF4536" w:rsidP="008627CB">
            <w:pPr>
              <w:pStyle w:val="CSBody0"/>
            </w:pPr>
            <w:r w:rsidRPr="00077EB2">
              <w:t>Secondary market transactions in Complex Products with a maturity in excess of 12 months where a Swiss securities dealer in Switzerland or Lichtenstein (as defined in the Swiss stamp duty act) is a party, or acts as an intermediary, to the transaction may be subject to Swiss securities turnover tax, (i) at a rate of up to 0.15% of the purchase price of the Complex Products in the case of Complex Products issued by Credit Suisse acting through its Zurich head office (except that in such a case the rate is up to 0.30% if the Complex Product is a low exercise price option or a future and classified as "sub-participation" in a single stock, a single bond, an interest in a single collective capital investment scheme or a single collective-capital-investment-like product of a non-Swiss issuer), and (ii) at a rate of up to 0.30% of the purchase price in the case of Complex Products issued by Credit Suisse acting through a designated branch (except that in such a case the rate is 0.15% if the Complex Product is classified as low exercise price call option or a future and classified as "sub-participation" in a single stock, a single bond or an interest in a single collective capital investment scheme or a single collective-capital-investment-like product of a Swiss issuer). In contrast, secondary market transactions in Complex Products are generally exempt from Swiss securities turnover tax in the case of Complex Products which classify as ordinary derivative financial instruments, such as a plain vanilla call or put options (however, including low exercise price call options with a maturity exceeding 12 months and not prefunding the underlying asset by more than 50%, and low exercise price call options with a maturity not exceeding 12 months irrespective of the funded amount), plain vanilla futures (including futures with a maturity exceeding 12 months and not prefunding the under-lying asset by more than 25% and futures with a maturity not exceeding 12 months irrespective of the funded amount), fully funded Complex Products replicating a static index or a static basket of at least five shares which have a fixed term or an annual redemption right.</w:t>
            </w:r>
          </w:p>
        </w:tc>
        <w:tc>
          <w:tcPr>
            <w:tcW w:w="2487" w:type="pct"/>
            <w:tcBorders>
              <w:top w:val="nil"/>
              <w:left w:val="single" w:sz="4" w:space="0" w:color="auto"/>
              <w:bottom w:val="nil"/>
              <w:right w:val="nil"/>
            </w:tcBorders>
          </w:tcPr>
          <w:p w:rsidR="00447E50" w:rsidRPr="00447E50" w:rsidP="008627CB">
            <w:pPr>
              <w:pStyle w:val="CSBody0"/>
              <w:rPr>
                <w:lang w:val="de-DE"/>
              </w:rPr>
            </w:pPr>
            <w:r w:rsidRPr="00077EB2">
              <w:rPr>
                <w:lang w:val="de-DE"/>
              </w:rPr>
              <w:t>Sekundärmarkttransaktionen mit Komplexen Produkten mit einer Laufzeit von mehr als 12 Monaten, können der Schweizer Umsatzabgabe, unterliegen, wenn ein Effektenhändler in der Schweiz oder in Liechtenstein im Sinne des Stempelabgabegesetzes als Vertragspartei oder Vermittler an der Transaktion beteiligt und keine Ausnahme anwendbar ist, und zwar bei Komplexen Produkten, die von der Credit Suisse handelnd durch ihren Hauptsitz in Zürich ausgegeben wurden, zu einem Satz von bis zu 0.15% auf dem bezahlten Entgelt (mit der Ausnahme, dass der Satz bis zu 0.30% beträgt, wenn das Komplexe Produkt eine Low Exercise Price Option oder ein Future ist und als "Unterbeteiligung" an einer Aktie, einer Obligation oder einem Anteil an einer kollektiven Kapitalanlage oder einem den kollektiven Kapitalanlagen ähnlichen Produkt eines nicht in der Schweiz ansässigen Emittenten klassifiziert wird) und bei Komplexen Produkten, die von einer dazu bestimmten Zweigniederlassung der Credit Suisse ausgegeben wurden, zu einem Satz von bis zu 0.30% auf dem für das Komplexe Produkt bezahlten Entgelt (mit der Ausnahme, dass der Satz bis zu 0.15% beträgt, wenn das Komplexe Produkt eine Low Exercise Price Call Option oder ein Future ist und als "Unterbeteiligung" an einer Aktie, einer Obligation oder einem Anteil an einer kollektiven Kapitalanlage oder einem den kollektiven Kapitalanlagen ähnlichen Produkt eines in der Schweiz ansässigen Emittenten klassifiziert wird). Hingegen unterliegen Sekundärmarkttransaktionen grundsätzlich nicht der Schweizer Umsatzabgabe, wenn das Komplexe Produkt als rein derivatives Finanzinstrument beurteilt wird, wie bei-spielsweise eine Plain Vanilla Call oder Put Option (jedoch einschliesslich einer Low Exercise Price Call Option, deren zugrundeliegender Basiswert zu nicht mehr als 50% vorfinan-ziert ist, sofern die Laufzeit 12 Monate übersteigt, und einer Low Exercise Price Call Option, deren Laufzeit 12 Monate nicht übersteigt, wobei diesfalls eine vorfinanzierte Summe unbeachtlich ist), Plain Vanilla Futures (inkl. eines Futures, dessen zugrundeliegender Basiswert zu nicht mehr als 25% vorfinanziert ist, sofern die Laufzeit 12 Monate übersteigt, und ein Future, dessen zugrundeliegender Basiswert vollständig oder teilweise vorfinanziert ist, sofern die Laufzeit 12 Monate nicht übersteigt) oder vollständig vorfinanzierte Komplexe Pro-dukte, welche einen statischen Index oder einen statischen Aktienkorb von mindestens fünf Aktien abbilden und eine feste Laufzeit oder ein jährliches Kündigungsrecht aufweisen.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7A27DE" w:rsidP="008627CB">
            <w:pPr>
              <w:pStyle w:val="CSBody0"/>
            </w:pPr>
            <w:r w:rsidRPr="00077EB2">
              <w:t>The delivery of an Underlying, which classifies as taxable security within the meaning of the Swiss stamp tax act, such as a stock, a bond, an interest in a collective capital investment scheme or a collective-capital-investment-like product, to the holder of a Complex Product, is subject to Swiss securities turnover tax at a rate of 0.15% if the Underlying is a taxable security issued by a Swiss resident issuer and 0.30% if the Underlying is a taxable security issued by a non-Swiss resident issuer, however, in each case only if a securities dealer in Switzerland or Liechtenstein, as defined in the Swiss stamp tax act, is a party or an intermediary to the transaction and no exemption applies.</w:t>
            </w:r>
          </w:p>
        </w:tc>
        <w:tc>
          <w:tcPr>
            <w:tcW w:w="2487" w:type="pct"/>
            <w:tcBorders>
              <w:top w:val="nil"/>
              <w:left w:val="single" w:sz="4" w:space="0" w:color="auto"/>
              <w:bottom w:val="nil"/>
              <w:right w:val="nil"/>
            </w:tcBorders>
          </w:tcPr>
          <w:p w:rsidR="00447E50" w:rsidRPr="00447E50" w:rsidP="008627CB">
            <w:pPr>
              <w:pStyle w:val="CSBody0"/>
              <w:rPr>
                <w:lang w:val="de-DE"/>
              </w:rPr>
            </w:pPr>
            <w:r w:rsidRPr="00077EB2">
              <w:rPr>
                <w:lang w:val="de-DE"/>
              </w:rPr>
              <w:t>Die Lieferung eines Basiswertes an einen Anleger anstelle einer Barauszahlung, welcher eine steuerbare Urkunde im Sinne des Schweizer Stempelabgabegesetzes ist, wie beispielsweise eine Aktie, eine Obligation, ein Anteil an einer kollektiven Kapitalanlage oder ein den kollektiven Kapitalanlagen ähnliches Produkt, unterliegt der Umsatzabgabe zu einem Satz von 0.15%, falls die zugrundeliegende steuerbare Urkunde von einem in der Schweiz ansässigen Emittenten ausgegeben wurde, und zu einem Satz von 0.30%, falls die zugrundeliegende steuerbare Urkunde von einem nicht in der Schweiz ansässigen Emittenten ausgegeben wurde, jedoch in jedem Falle nur dann, wenn ein Effektenhändler in der Schweiz oder in Liechtenstein im Sinne des Stempelabgabegesetzes als Vertragspartei oder Vermittler an der Transaktion beteiligt ist und keine Ausnahme anwendbar ist.</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C02D5B" w:rsidP="00995403">
            <w:pPr>
              <w:pStyle w:val="CSbody0bold"/>
              <w:rPr>
                <w:rFonts w:eastAsia="Times New Roman"/>
                <w:szCs w:val="20"/>
                <w:lang w:val="de-CH" w:eastAsia="de-DE"/>
              </w:rPr>
            </w:pPr>
            <w:r w:rsidRPr="00C02D5B">
              <w:t>Income Taxation</w:t>
            </w:r>
          </w:p>
        </w:tc>
        <w:tc>
          <w:tcPr>
            <w:tcW w:w="2487" w:type="pct"/>
            <w:tcBorders>
              <w:top w:val="nil"/>
              <w:left w:val="single" w:sz="4" w:space="0" w:color="auto"/>
              <w:bottom w:val="nil"/>
              <w:right w:val="nil"/>
            </w:tcBorders>
            <w:hideMark/>
          </w:tcPr>
          <w:p w:rsidR="0033731A" w:rsidRPr="00C02D5B" w:rsidP="00995403">
            <w:pPr>
              <w:pStyle w:val="CSbody0bold"/>
              <w:rPr>
                <w:rFonts w:eastAsia="Times New Roman"/>
                <w:szCs w:val="20"/>
                <w:lang w:val="de-CH" w:eastAsia="de-DE"/>
              </w:rPr>
            </w:pPr>
            <w:r w:rsidRPr="00B629AC">
              <w:t>Einkommensbesteuerung</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C02D5B" w:rsidP="00995403">
            <w:pPr>
              <w:pStyle w:val="CSBody0italic"/>
              <w:rPr>
                <w:lang w:val="de-CH" w:eastAsia="de-DE"/>
              </w:rPr>
            </w:pPr>
            <w:r w:rsidRPr="00C02D5B">
              <w:t xml:space="preserve">Non-Swiss resident Holders </w:t>
            </w:r>
          </w:p>
        </w:tc>
        <w:tc>
          <w:tcPr>
            <w:tcW w:w="2487" w:type="pct"/>
            <w:tcBorders>
              <w:top w:val="nil"/>
              <w:left w:val="single" w:sz="4" w:space="0" w:color="auto"/>
              <w:bottom w:val="nil"/>
              <w:right w:val="nil"/>
            </w:tcBorders>
            <w:hideMark/>
          </w:tcPr>
          <w:p w:rsidR="0033731A" w:rsidRPr="00E60155" w:rsidP="00995403">
            <w:pPr>
              <w:pStyle w:val="CSBody0italic"/>
              <w:rPr>
                <w:lang w:val="de-CH" w:eastAsia="de-DE"/>
              </w:rPr>
            </w:pPr>
            <w:r w:rsidRPr="00E60155">
              <w:rPr>
                <w:lang w:val="de-DE"/>
              </w:rPr>
              <w:t>Nicht in der Schweiz ansässige Anleger</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76229D" w:rsidP="00427E1D">
            <w:pPr>
              <w:pStyle w:val="CSBody0"/>
            </w:pPr>
            <w:r w:rsidRPr="00077EB2">
              <w:t xml:space="preserve">A holder of a Complex Product who is not resident in Switzerland and who during the taxation year has not engaged in a trade or business carried on through a permanent establishment in Switzerland to which the Complex Product is attributable will in respect of such Complex Product not be subject to income tax in Switzerland. As concerns Swiss withholding tax, see above </w:t>
            </w:r>
            <w:r w:rsidR="003B00F3">
              <w:t>"</w:t>
            </w:r>
            <w:r w:rsidRPr="002C22D5">
              <w:rPr>
                <w:i/>
              </w:rPr>
              <w:t>—Swiss Withholding Tax</w:t>
            </w:r>
            <w:r w:rsidR="00BF7214">
              <w:t>"</w:t>
            </w:r>
            <w:r w:rsidRPr="00077EB2">
              <w:t xml:space="preserve">), as concerns UK and Austrian final foreign withholding taxes, see below </w:t>
            </w:r>
            <w:r w:rsidR="003B00F3">
              <w:t>"</w:t>
            </w:r>
            <w:r w:rsidRPr="002C22D5">
              <w:rPr>
                <w:i/>
              </w:rPr>
              <w:t>—Final Foreign Withholding Taxes</w:t>
            </w:r>
            <w:r w:rsidR="00BF7214">
              <w:t>"</w:t>
            </w:r>
            <w:r w:rsidRPr="00077EB2">
              <w:t xml:space="preserve">, as concerns the Swiss implementation of the EU Savings tax, see below </w:t>
            </w:r>
            <w:r w:rsidR="003B00F3">
              <w:t>"</w:t>
            </w:r>
            <w:r w:rsidRPr="002C22D5">
              <w:rPr>
                <w:i/>
              </w:rPr>
              <w:t>—Swiss Implementation of the EU Savings Tax Directive</w:t>
            </w:r>
            <w:r w:rsidR="00BF7214">
              <w:t>"</w:t>
            </w:r>
            <w:r w:rsidRPr="00077EB2">
              <w:t xml:space="preserve"> and as concerns the Swiss facilitation of the FATCA implementation, see below </w:t>
            </w:r>
            <w:r w:rsidR="003B00F3">
              <w:t>"</w:t>
            </w:r>
            <w:r w:rsidRPr="002C22D5">
              <w:rPr>
                <w:i/>
              </w:rPr>
              <w:t>—Swiss Facilitation of FATCA implementation</w:t>
            </w:r>
            <w:r w:rsidR="00BF7214">
              <w:t>"</w:t>
            </w:r>
            <w:r w:rsidRPr="00077EB2">
              <w:t>.</w:t>
            </w:r>
          </w:p>
        </w:tc>
        <w:tc>
          <w:tcPr>
            <w:tcW w:w="2487" w:type="pct"/>
            <w:tcBorders>
              <w:top w:val="nil"/>
              <w:left w:val="single" w:sz="4" w:space="0" w:color="auto"/>
              <w:bottom w:val="nil"/>
              <w:right w:val="nil"/>
            </w:tcBorders>
          </w:tcPr>
          <w:p w:rsidR="00447E50" w:rsidRPr="00447E50" w:rsidP="00427E1D">
            <w:pPr>
              <w:pStyle w:val="CSBody0"/>
              <w:rPr>
                <w:lang w:val="de-DE"/>
              </w:rPr>
            </w:pPr>
            <w:r w:rsidRPr="00077EB2">
              <w:rPr>
                <w:lang w:val="de-DE"/>
              </w:rPr>
              <w:t xml:space="preserve">Ein Anleger eines Komplexen Produkts, der nicht in der Schweiz steuerlich ansässig ist und der während des Steuerjahres keine Handels- oder Geschäftstätigkeit durch eine Betriebsstätte in der Schweiz ausgeübt hat, zu welcher dieses Komplexe Produkt zugeordnet wird, unterliegt bezüglich dieses Komplexen Produktes in der Schweiz keiner Einkommensbesteuerung. Vgl. oben </w:t>
            </w:r>
            <w:r w:rsidR="003B00F3">
              <w:rPr>
                <w:lang w:val="de-DE"/>
              </w:rPr>
              <w:t>"</w:t>
            </w:r>
            <w:r w:rsidRPr="002C22D5">
              <w:rPr>
                <w:i/>
                <w:lang w:val="de-DE"/>
              </w:rPr>
              <w:t>—Schweizer Verrechnungssteuer</w:t>
            </w:r>
            <w:r w:rsidR="00BF7214">
              <w:rPr>
                <w:lang w:val="de-DE"/>
              </w:rPr>
              <w:t>"</w:t>
            </w:r>
            <w:r w:rsidRPr="00077EB2">
              <w:rPr>
                <w:lang w:val="de-DE"/>
              </w:rPr>
              <w:t xml:space="preserve"> für eine Zusammenfassung des Verrechnungssteuerabzugs auf Zahlungen, welche als Zinsen qualifizieren, vgl. unten </w:t>
            </w:r>
            <w:r w:rsidR="003B00F3">
              <w:rPr>
                <w:lang w:val="de-DE"/>
              </w:rPr>
              <w:t>"</w:t>
            </w:r>
            <w:r w:rsidRPr="002C22D5">
              <w:rPr>
                <w:i/>
                <w:lang w:val="de-DE"/>
              </w:rPr>
              <w:t>—Quellensteuern mit abgeltender Wirkung</w:t>
            </w:r>
            <w:r w:rsidR="00BF7214">
              <w:rPr>
                <w:lang w:val="de-DE"/>
              </w:rPr>
              <w:t>"</w:t>
            </w:r>
            <w:r w:rsidRPr="00077EB2">
              <w:rPr>
                <w:lang w:val="de-DE"/>
              </w:rPr>
              <w:t xml:space="preserve"> für eine Zusammenfassung der für das </w:t>
            </w:r>
            <w:r w:rsidR="008627CB">
              <w:rPr>
                <w:lang w:val="de-DE"/>
              </w:rPr>
              <w:t>Vereinigte Königreich und Öster</w:t>
            </w:r>
            <w:r w:rsidRPr="00077EB2">
              <w:rPr>
                <w:lang w:val="de-DE"/>
              </w:rPr>
              <w:t xml:space="preserve">reich erhobenen Abgeltungssteuern, vgl. unten </w:t>
            </w:r>
            <w:r w:rsidR="003B00F3">
              <w:rPr>
                <w:lang w:val="de-DE"/>
              </w:rPr>
              <w:t>"</w:t>
            </w:r>
            <w:r w:rsidRPr="002C22D5">
              <w:rPr>
                <w:i/>
                <w:lang w:val="de-DE"/>
              </w:rPr>
              <w:t>—Umsetzung der EU-Zinsbesteuerungsrichtlinie in der Schweiz</w:t>
            </w:r>
            <w:r w:rsidR="00BF7214">
              <w:rPr>
                <w:lang w:val="de-DE"/>
              </w:rPr>
              <w:t>"</w:t>
            </w:r>
            <w:r w:rsidR="008627CB">
              <w:rPr>
                <w:lang w:val="de-DE"/>
              </w:rPr>
              <w:t xml:space="preserve"> für eine Zu</w:t>
            </w:r>
            <w:r w:rsidRPr="00077EB2">
              <w:rPr>
                <w:lang w:val="de-DE"/>
              </w:rPr>
              <w:t xml:space="preserve">sammenfassung der Umsetzung der Zinsbesteuerungsrichtlinie in der Schweiz und vgl. unten </w:t>
            </w:r>
            <w:r w:rsidR="003B00F3">
              <w:rPr>
                <w:lang w:val="de-DE"/>
              </w:rPr>
              <w:t>"</w:t>
            </w:r>
            <w:r w:rsidRPr="002C22D5">
              <w:rPr>
                <w:i/>
                <w:lang w:val="de-DE"/>
              </w:rPr>
              <w:t>—Umsetzung von FATCA in der Schweiz</w:t>
            </w:r>
            <w:r w:rsidR="00BF7214">
              <w:rPr>
                <w:lang w:val="de-DE"/>
              </w:rPr>
              <w:t>"</w:t>
            </w:r>
            <w:r w:rsidRPr="00077EB2">
              <w:rPr>
                <w:lang w:val="de-DE"/>
              </w:rPr>
              <w:t xml:space="preserve"> für eine Zusammenfassung der Umsetzung von FATCA in der Schweiz.</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C02D5B" w:rsidP="00995403">
            <w:pPr>
              <w:pStyle w:val="CSBody0italic"/>
              <w:rPr>
                <w:lang w:val="en-US" w:eastAsia="de-DE"/>
              </w:rPr>
            </w:pPr>
            <w:r>
              <w:rPr>
                <w:lang w:val="en-US"/>
              </w:rPr>
              <w:t xml:space="preserve">Complex </w:t>
            </w:r>
            <w:r w:rsidRPr="00C02D5B">
              <w:rPr>
                <w:lang w:val="en-US"/>
              </w:rPr>
              <w:t>Products held by Swiss resident Holders as Private Assets</w:t>
            </w:r>
          </w:p>
        </w:tc>
        <w:tc>
          <w:tcPr>
            <w:tcW w:w="2487" w:type="pct"/>
            <w:tcBorders>
              <w:top w:val="nil"/>
              <w:left w:val="single" w:sz="4" w:space="0" w:color="auto"/>
              <w:bottom w:val="nil"/>
              <w:right w:val="nil"/>
            </w:tcBorders>
            <w:hideMark/>
          </w:tcPr>
          <w:p w:rsidR="0033731A" w:rsidRPr="00E60155" w:rsidP="00995403">
            <w:pPr>
              <w:pStyle w:val="CSBody0italic"/>
              <w:rPr>
                <w:lang w:val="de-CH" w:eastAsia="de-DE"/>
              </w:rPr>
            </w:pPr>
            <w:r>
              <w:rPr>
                <w:lang w:val="de-DE"/>
              </w:rPr>
              <w:t xml:space="preserve">Komplexe </w:t>
            </w:r>
            <w:r w:rsidRPr="00E60155">
              <w:rPr>
                <w:lang w:val="de-DE"/>
              </w:rPr>
              <w:t>Produkte, welche von in der Schweiz ansässigen Personen im Privatvermögen gehalten werden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995403" w:rsidP="00995403">
            <w:pPr>
              <w:pStyle w:val="CSBody0"/>
            </w:pPr>
            <w:r w:rsidRPr="00995403">
              <w:t>Classification</w:t>
            </w:r>
          </w:p>
        </w:tc>
        <w:tc>
          <w:tcPr>
            <w:tcW w:w="2487" w:type="pct"/>
            <w:tcBorders>
              <w:top w:val="nil"/>
              <w:left w:val="single" w:sz="4" w:space="0" w:color="auto"/>
              <w:bottom w:val="nil"/>
              <w:right w:val="nil"/>
            </w:tcBorders>
            <w:hideMark/>
          </w:tcPr>
          <w:p w:rsidR="0033731A" w:rsidRPr="00995403" w:rsidP="00995403">
            <w:pPr>
              <w:pStyle w:val="CSBody0"/>
            </w:pPr>
            <w:r w:rsidRPr="00995403">
              <w:t>Klassifizierung</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447E50" w:rsidRPr="00D24828" w:rsidP="008627CB">
            <w:pPr>
              <w:pStyle w:val="CSBody0"/>
            </w:pPr>
            <w:r w:rsidRPr="00077EB2">
              <w:t>The applicable tax classification of a Complex Product will o</w:t>
            </w:r>
            <w:r w:rsidR="008627CB">
              <w:t>r</w:t>
            </w:r>
            <w:r w:rsidRPr="00077EB2">
              <w:t>dinarily be specified in the term sheet, the preliminary prospectus or the final prospectus. Complex Products may classify either as:</w:t>
            </w:r>
          </w:p>
        </w:tc>
        <w:tc>
          <w:tcPr>
            <w:tcW w:w="2487" w:type="pct"/>
            <w:tcBorders>
              <w:top w:val="nil"/>
              <w:left w:val="single" w:sz="4" w:space="0" w:color="auto"/>
              <w:bottom w:val="nil"/>
              <w:right w:val="nil"/>
            </w:tcBorders>
          </w:tcPr>
          <w:p w:rsidR="00447E50" w:rsidRPr="00D24844" w:rsidP="00995403">
            <w:pPr>
              <w:pStyle w:val="CSBody0"/>
              <w:rPr>
                <w:lang w:val="de-DE"/>
              </w:rPr>
            </w:pPr>
            <w:r w:rsidRPr="00077EB2">
              <w:rPr>
                <w:lang w:val="de-DE"/>
              </w:rPr>
              <w:t>Die steuerrechtliche Klassifizierung eines Komplexen Produkts wird gewöhnlich in den wesentlichen Bedingungen (</w:t>
            </w:r>
            <w:r w:rsidRPr="002C22D5">
              <w:rPr>
                <w:i/>
                <w:lang w:val="de-DE"/>
              </w:rPr>
              <w:t>Term Sheet</w:t>
            </w:r>
            <w:r w:rsidRPr="00077EB2">
              <w:rPr>
                <w:lang w:val="de-DE"/>
              </w:rPr>
              <w:t>), dem vorläufigen Em</w:t>
            </w:r>
            <w:r w:rsidR="008627CB">
              <w:rPr>
                <w:lang w:val="de-DE"/>
              </w:rPr>
              <w:t>issionsprospekt oder dem endgül</w:t>
            </w:r>
            <w:r w:rsidRPr="00077EB2">
              <w:rPr>
                <w:lang w:val="de-DE"/>
              </w:rPr>
              <w:t>tigen Emissionsprospekt vorgenommen. Komplexe Produkte können klassifiziert werden als:</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33731A" w:rsidRPr="00440EF7" w:rsidP="00995403">
            <w:pPr>
              <w:pStyle w:val="CSManNum9pt"/>
              <w:rPr>
                <w:lang w:val="en-US"/>
              </w:rPr>
            </w:pPr>
            <w:r w:rsidRPr="00077EB2">
              <w:rPr>
                <w:lang w:val="en-US"/>
              </w:rPr>
              <w:t>(i)</w:t>
            </w:r>
            <w:r w:rsidRPr="00077EB2">
              <w:rPr>
                <w:lang w:val="en-US"/>
              </w:rPr>
              <w:tab/>
              <w:t>structured financial instruments composed of a bond and one or more options or similar rights, including ordinarily Complex Products with a Fixed Final Redemption Amount and Credit-Linked Complex Products, or</w:t>
            </w:r>
          </w:p>
        </w:tc>
        <w:tc>
          <w:tcPr>
            <w:tcW w:w="2487" w:type="pct"/>
            <w:tcBorders>
              <w:top w:val="nil"/>
              <w:left w:val="single" w:sz="4" w:space="0" w:color="auto"/>
              <w:bottom w:val="nil"/>
              <w:right w:val="nil"/>
            </w:tcBorders>
          </w:tcPr>
          <w:p w:rsidR="0033731A" w:rsidRPr="00AA4A85" w:rsidP="00427E1D">
            <w:pPr>
              <w:pStyle w:val="CSManNum9pt"/>
              <w:rPr>
                <w:bCs/>
                <w:lang w:val="de-DE"/>
              </w:rPr>
            </w:pPr>
            <w:r w:rsidRPr="00077EB2">
              <w:rPr>
                <w:bCs/>
                <w:lang w:val="de-DE"/>
              </w:rPr>
              <w:t>(i)</w:t>
            </w:r>
            <w:r w:rsidRPr="00077EB2">
              <w:rPr>
                <w:bCs/>
                <w:lang w:val="de-DE"/>
              </w:rPr>
              <w:tab/>
              <w:t>Strukturierte Finanzinstrumente bestehend aus einer Obligation und einer oder mehreren Optionen oder ähnlichen Rechten, wie gewöhnlich Komplexe Produkte mit Festem Finalen Rückzahlungsbetrag und Kreditbezogene Komple-xe Produkte, oder</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33731A" w:rsidRPr="00AA4A85" w:rsidP="00427E1D">
            <w:pPr>
              <w:pStyle w:val="CSManNum9pt"/>
            </w:pPr>
            <w:r w:rsidRPr="00077EB2">
              <w:t>(ii)</w:t>
            </w:r>
            <w:r w:rsidRPr="00077EB2">
              <w:tab/>
              <w:t>ordinary derivative financial instruments, including Complex Products with a maturity not exceeding 12 months and without guaranteed payments on shares, commodities or FX rates.</w:t>
            </w:r>
          </w:p>
        </w:tc>
        <w:tc>
          <w:tcPr>
            <w:tcW w:w="2487" w:type="pct"/>
            <w:tcBorders>
              <w:top w:val="nil"/>
              <w:left w:val="single" w:sz="4" w:space="0" w:color="auto"/>
              <w:bottom w:val="nil"/>
              <w:right w:val="nil"/>
            </w:tcBorders>
          </w:tcPr>
          <w:p w:rsidR="0033731A" w:rsidRPr="00AA4A85" w:rsidP="00427E1D">
            <w:pPr>
              <w:pStyle w:val="CSManNum9pt"/>
              <w:rPr>
                <w:bCs/>
                <w:lang w:val="de-DE"/>
              </w:rPr>
            </w:pPr>
            <w:r w:rsidRPr="00077EB2">
              <w:rPr>
                <w:bCs/>
                <w:lang w:val="de-DE"/>
              </w:rPr>
              <w:t>(ii)</w:t>
            </w:r>
            <w:r w:rsidRPr="00077EB2">
              <w:rPr>
                <w:bCs/>
                <w:lang w:val="de-DE"/>
              </w:rPr>
              <w:tab/>
              <w:t>Rein derivative Finanzinstrumente, wie Komplexe Produkte auf Aktien, Rohstoffe oder Fremdwährungen mit einer Laufzeit von nicht mehr als 12 Monaten und keinen garantierten Zahlungen.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995403" w:rsidP="00995403">
            <w:pPr>
              <w:pStyle w:val="CSBody0"/>
              <w:rPr>
                <w:u w:val="single"/>
              </w:rPr>
            </w:pPr>
            <w:r w:rsidRPr="00077EB2">
              <w:rPr>
                <w:u w:val="single"/>
              </w:rPr>
              <w:t>Income tax treatment of Complex Products classified as struc-tured financial instruments composed of a bond and one or more options or similar rights</w:t>
            </w:r>
          </w:p>
        </w:tc>
        <w:tc>
          <w:tcPr>
            <w:tcW w:w="2487" w:type="pct"/>
            <w:tcBorders>
              <w:top w:val="nil"/>
              <w:left w:val="single" w:sz="4" w:space="0" w:color="auto"/>
              <w:bottom w:val="nil"/>
              <w:right w:val="nil"/>
            </w:tcBorders>
          </w:tcPr>
          <w:p w:rsidR="00AA4A85" w:rsidRPr="00995403" w:rsidP="00995403">
            <w:pPr>
              <w:pStyle w:val="CSBody0"/>
              <w:rPr>
                <w:u w:val="single"/>
                <w:lang w:val="de-DE"/>
              </w:rPr>
            </w:pPr>
            <w:r w:rsidRPr="00077EB2">
              <w:rPr>
                <w:u w:val="single"/>
                <w:lang w:val="de-DE"/>
              </w:rPr>
              <w:t>Einkommenssteuerliche Behandlung von Komplexen Produk-ten, welche als strukturierte Finanzinstrumente bestehend aus einer Obligation und einer oder mehreren Optionen oder ähnli-chen Rechten qualifizieren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F9488B" w:rsidP="008627CB">
            <w:pPr>
              <w:pStyle w:val="CSBody0"/>
            </w:pPr>
            <w:r w:rsidRPr="00077EB2">
              <w:t>In general, the income tax treatment of a Complex Product classified as structured financial instrument composed of a bond and one or more options or similar rights depends on whether or not for tax purposes (i) on the one hand the product classifies as transparent or non-transparent depending on whether the bond and the option(s) or similar right(s) are bifurcated from each other or not, and (ii) on the other hand the Complex Product classifies as product with a predominant one-time interest payment (</w:t>
            </w:r>
            <w:r w:rsidRPr="002C22D5">
              <w:rPr>
                <w:i/>
              </w:rPr>
              <w:t>intérêt unique prédominant or IUP</w:t>
            </w:r>
            <w:r w:rsidRPr="00077EB2">
              <w:t>) because its yield-to-maturity predominantly derives from one single interest payment or, in case of more than one interest payment, from an original issue discount or a repayment premium, or, if not, as product without a predominant one-time interest payment (</w:t>
            </w:r>
            <w:r w:rsidRPr="002C22D5">
              <w:rPr>
                <w:i/>
              </w:rPr>
              <w:t>sans intérêt unique prédominant or non-IUP</w:t>
            </w:r>
            <w:r w:rsidRPr="00077EB2">
              <w:t>) the yield-to-maturity of which predominantly derives from periodic interest payments.</w:t>
            </w:r>
          </w:p>
        </w:tc>
        <w:tc>
          <w:tcPr>
            <w:tcW w:w="2487" w:type="pct"/>
            <w:tcBorders>
              <w:top w:val="nil"/>
              <w:left w:val="single" w:sz="4" w:space="0" w:color="auto"/>
              <w:bottom w:val="nil"/>
              <w:right w:val="nil"/>
            </w:tcBorders>
          </w:tcPr>
          <w:p w:rsidR="00AA4A85" w:rsidRPr="00AA4A85" w:rsidP="008627CB">
            <w:pPr>
              <w:pStyle w:val="CSBody0"/>
              <w:rPr>
                <w:lang w:val="de-DE"/>
              </w:rPr>
            </w:pPr>
            <w:r w:rsidRPr="00077EB2">
              <w:rPr>
                <w:lang w:val="de-DE"/>
              </w:rPr>
              <w:t xml:space="preserve">Im Allgemeinen hängt die einkommenssteuerliche Behandlung von Komplexen Produkten, die als strukturierte Finanzinstrumente bestehend aus einer Obligation und einer oder mehreren Optionen oder ähnlichen Rechten gelten, davon ab, ob für Steuerzwecke (i) zum einen das Komplexe Produkt als </w:t>
            </w:r>
            <w:r w:rsidR="008627CB">
              <w:rPr>
                <w:lang w:val="de-DE"/>
              </w:rPr>
              <w:t>trans</w:t>
            </w:r>
            <w:r w:rsidRPr="00077EB2">
              <w:rPr>
                <w:lang w:val="de-DE"/>
              </w:rPr>
              <w:t>parent oder intransparent qualifiziert wird, dies je nachdem, ob die Obligation und die Optio</w:t>
            </w:r>
            <w:r w:rsidR="008627CB">
              <w:rPr>
                <w:lang w:val="de-DE"/>
              </w:rPr>
              <w:t>n(en) oder ähnlichen Rechte von</w:t>
            </w:r>
            <w:r w:rsidRPr="00077EB2">
              <w:rPr>
                <w:lang w:val="de-DE"/>
              </w:rPr>
              <w:t>einander getrennt werden können, und (ii) zum anderen, ob das Komplexe Produkt als P</w:t>
            </w:r>
            <w:r w:rsidR="008627CB">
              <w:rPr>
                <w:lang w:val="de-DE"/>
              </w:rPr>
              <w:t>rodukt mit überwiegender Einmal</w:t>
            </w:r>
            <w:r w:rsidRPr="00077EB2">
              <w:rPr>
                <w:lang w:val="de-DE"/>
              </w:rPr>
              <w:t>verzinsung (</w:t>
            </w:r>
            <w:r w:rsidRPr="002C22D5">
              <w:rPr>
                <w:i/>
                <w:lang w:val="de-DE"/>
              </w:rPr>
              <w:t>intérêt unique prédominant oder IUP</w:t>
            </w:r>
            <w:r w:rsidRPr="00077EB2">
              <w:rPr>
                <w:lang w:val="de-DE"/>
              </w:rPr>
              <w:t>) qualifiziert, weil seine Gesamtrendite auf eine Einmalentschädigung oder, falls mehr als eine Zinszahlung</w:t>
            </w:r>
            <w:r w:rsidR="008627CB">
              <w:rPr>
                <w:lang w:val="de-DE"/>
              </w:rPr>
              <w:t xml:space="preserve"> vorgesehen ist, auf ein Emissi</w:t>
            </w:r>
            <w:r w:rsidRPr="00077EB2">
              <w:rPr>
                <w:lang w:val="de-DE"/>
              </w:rPr>
              <w:t>onsdisagio oder ein Rückzahlungsagio zurückzuführen ist oder, das Komplexe Produkt al</w:t>
            </w:r>
            <w:r w:rsidR="008627CB">
              <w:rPr>
                <w:lang w:val="de-DE"/>
              </w:rPr>
              <w:t>s Produkt ohne überwiegende Ein</w:t>
            </w:r>
            <w:r w:rsidRPr="00077EB2">
              <w:rPr>
                <w:lang w:val="de-DE"/>
              </w:rPr>
              <w:t>malverzinsung (</w:t>
            </w:r>
            <w:r w:rsidRPr="002C22D5">
              <w:rPr>
                <w:i/>
                <w:lang w:val="de-DE"/>
              </w:rPr>
              <w:t>sans intérêt unique prédominant oder non-IUP</w:t>
            </w:r>
            <w:r w:rsidRPr="00077EB2">
              <w:rPr>
                <w:lang w:val="de-DE"/>
              </w:rPr>
              <w:t>) qualifiziert, weil seine Gesamt</w:t>
            </w:r>
            <w:r w:rsidR="008627CB">
              <w:rPr>
                <w:lang w:val="de-DE"/>
              </w:rPr>
              <w:t>rendite überwiegend auf periodi</w:t>
            </w:r>
            <w:r w:rsidRPr="00077EB2">
              <w:rPr>
                <w:lang w:val="de-DE"/>
              </w:rPr>
              <w:t>sche Zinszahlungen entfällt.</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995403" w:rsidP="00995403">
            <w:pPr>
              <w:pStyle w:val="CSBody0"/>
            </w:pPr>
            <w:r w:rsidRPr="00077EB2">
              <w:t>Transparent and Non-Transparent Products</w:t>
            </w:r>
          </w:p>
        </w:tc>
        <w:tc>
          <w:tcPr>
            <w:tcW w:w="2487" w:type="pct"/>
            <w:tcBorders>
              <w:top w:val="nil"/>
              <w:left w:val="single" w:sz="4" w:space="0" w:color="auto"/>
              <w:bottom w:val="nil"/>
              <w:right w:val="nil"/>
            </w:tcBorders>
            <w:hideMark/>
          </w:tcPr>
          <w:p w:rsidR="0033731A" w:rsidRPr="00995403" w:rsidP="00995403">
            <w:pPr>
              <w:pStyle w:val="CSBody0"/>
            </w:pPr>
            <w:r w:rsidRPr="00995403">
              <w:t>Transparente und intransparente Produkte</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DD2749" w:rsidP="00427E1D">
            <w:pPr>
              <w:pStyle w:val="CSBody0"/>
            </w:pPr>
            <w:r w:rsidRPr="00077EB2">
              <w:t xml:space="preserve">A Complex Product classifies as transparent for tax purposes if the values of the embedded bond and the embedded option(s) or similar right(s) are disclosed separately from each other in the term sheet, the preliminary prospectus or the final prospectus, or, if this is not the case, if the Complex Product is a standard product and the values of the bond and the option(s) or similar right(s) embedded therein (can be determined analytically at any time by using pricing models such as, inter alia, the </w:t>
            </w:r>
            <w:r w:rsidR="003B00F3">
              <w:t>"</w:t>
            </w:r>
            <w:r w:rsidRPr="002C22D5">
              <w:rPr>
                <w:i/>
              </w:rPr>
              <w:t>bond floor pricing model</w:t>
            </w:r>
            <w:r w:rsidR="00BF7214">
              <w:t>"</w:t>
            </w:r>
            <w:r w:rsidRPr="00077EB2">
              <w:t xml:space="preserve"> of the Swiss Tax Admin-istration, Berne (Switzerland). Notwithstanding the foregoing, a Complex Product always classifies as non-transparent if the embedded option(s) or similar right(s) refer to interest rate(s), credit risk or inflation risk. Subject to the additionally applicable taxation principles set forth below under </w:t>
            </w:r>
            <w:r w:rsidR="003B00F3">
              <w:t>"</w:t>
            </w:r>
            <w:r w:rsidRPr="002C22D5">
              <w:rPr>
                <w:i/>
              </w:rPr>
              <w:t>—Complex Products without a Predominant One-time Interest Payment and Complex Products with a Predominant One-time Interest Payment</w:t>
            </w:r>
            <w:r w:rsidR="00BF7214">
              <w:t>"</w:t>
            </w:r>
            <w:r w:rsidRPr="00077EB2">
              <w:t>, the classification of a Complex Product as transparent or non-transparent has the following income tax consequences:</w:t>
            </w:r>
          </w:p>
        </w:tc>
        <w:tc>
          <w:tcPr>
            <w:tcW w:w="2487" w:type="pct"/>
            <w:tcBorders>
              <w:top w:val="nil"/>
              <w:left w:val="single" w:sz="4" w:space="0" w:color="auto"/>
              <w:bottom w:val="nil"/>
              <w:right w:val="nil"/>
            </w:tcBorders>
          </w:tcPr>
          <w:p w:rsidR="00AA4A85" w:rsidRPr="00AA4A85">
            <w:pPr>
              <w:pStyle w:val="CSBody0"/>
              <w:rPr>
                <w:lang w:val="de-DE"/>
              </w:rPr>
            </w:pPr>
            <w:r w:rsidRPr="00077EB2">
              <w:rPr>
                <w:lang w:val="de-DE"/>
              </w:rPr>
              <w:t>Ein Komplexes Produkt gilt als transparent für Steuerzwecke, wenn die Werte der zugrundeliegenden Obligation und der zugrundeliegenden Option(en) oder ähnlichen Rechte in den wesentlichen Bedingungen (</w:t>
            </w:r>
            <w:r w:rsidRPr="002C22D5">
              <w:rPr>
                <w:i/>
                <w:lang w:val="de-DE"/>
              </w:rPr>
              <w:t>Term Sheet</w:t>
            </w:r>
            <w:r w:rsidRPr="00077EB2">
              <w:rPr>
                <w:lang w:val="de-DE"/>
              </w:rPr>
              <w:t xml:space="preserve">), dem vorläufigen Emissionsprospekt oder dem endgültigen Emissionsprospekt separat dargestellt werden oder, falls dies nicht der Fall ist, wenn das Komplexe Produkt ein Standardprodukt ist und die Werte der zugrundeliegenden Obligation und Option(en) oder ähnlichen Rechte jederzeit durch Verwendung von Bewertungsmodellen analytisch ermittelt werden können, wie beispielsweise durch das </w:t>
            </w:r>
            <w:r w:rsidR="003B00F3">
              <w:rPr>
                <w:lang w:val="de-DE"/>
              </w:rPr>
              <w:t>"</w:t>
            </w:r>
            <w:r w:rsidRPr="002C22D5">
              <w:rPr>
                <w:i/>
                <w:lang w:val="de-DE"/>
              </w:rPr>
              <w:t>Bond Floor Pricing Modell</w:t>
            </w:r>
            <w:r w:rsidR="00BF7214">
              <w:rPr>
                <w:lang w:val="de-DE"/>
              </w:rPr>
              <w:t>"</w:t>
            </w:r>
            <w:r w:rsidRPr="00077EB2">
              <w:rPr>
                <w:lang w:val="de-DE"/>
              </w:rPr>
              <w:t xml:space="preserve"> der Eidgenössischen Steuerverwaltung in Bern (Schweiz). Ungeachtet des Vorstehenden, qualifiziert ein Komplexes Produkt stets als intransparentes Produkt, wenn sich die zugrundeliegenden Option(en) oder ähnlichen Rechte auf einen oder mehrere Zinssätze, Kreditrisiken oder Inflationsrisiken beziehen. Die Klassifizierung eines Komplexes Produkts als transparentes oder intransparentes Produkt hat die folgenden Einkommenssteuerkonsequenzen, vorbehaltlich jeweils der zusätzlich anwendbaren Besteuerungsprinzipien wie unten unter </w:t>
            </w:r>
            <w:r w:rsidR="003B00F3">
              <w:rPr>
                <w:lang w:val="de-DE"/>
              </w:rPr>
              <w:t>"</w:t>
            </w:r>
            <w:r w:rsidRPr="002C22D5">
              <w:rPr>
                <w:i/>
                <w:lang w:val="de-DE"/>
              </w:rPr>
              <w:t>—Komplexe Produkte ohne überwiegende Einmalverzinsung und Komplexe Produkte mit überwiegender Einmalverzinsung</w:t>
            </w:r>
            <w:r w:rsidR="00BF7214">
              <w:rPr>
                <w:lang w:val="de-DE"/>
              </w:rPr>
              <w:t>"</w:t>
            </w:r>
            <w:r w:rsidRPr="00077EB2">
              <w:rPr>
                <w:lang w:val="de-DE"/>
              </w:rPr>
              <w:t xml:space="preserve"> dargestellt:</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33731A" w:rsidRPr="00AA4A85" w:rsidP="00C9150B">
            <w:pPr>
              <w:pStyle w:val="CSBullet0"/>
              <w:numPr>
                <w:ilvl w:val="0"/>
                <w:numId w:val="0"/>
              </w:numPr>
              <w:ind w:left="357" w:hanging="357"/>
            </w:pPr>
            <w:r w:rsidRPr="00077EB2">
              <w:rPr>
                <w:i/>
              </w:rPr>
              <w:t>-</w:t>
            </w:r>
            <w:r w:rsidRPr="00077EB2">
              <w:rPr>
                <w:i/>
              </w:rPr>
              <w:tab/>
              <w:t xml:space="preserve">Complex Products Classified as Transparent: </w:t>
            </w:r>
            <w:r w:rsidRPr="00EF4573">
              <w:t>If a Complex Product classifies as transparent for tax purposes, i.e., if the embedded bond is disclosed separately from the embedded option(s) or similar right(s) or if the conditions for analytical determination of the values of the embedded bond and the embedded option(s) or similar right(s), as discussed above, apply, only the payments relating to the bond component constitute taxable income and the payments relating to the embedded option(s) or similar right(s) are tax-free.</w:t>
            </w:r>
          </w:p>
        </w:tc>
        <w:tc>
          <w:tcPr>
            <w:tcW w:w="2487" w:type="pct"/>
            <w:tcBorders>
              <w:top w:val="nil"/>
              <w:left w:val="single" w:sz="4" w:space="0" w:color="auto"/>
              <w:bottom w:val="nil"/>
              <w:right w:val="nil"/>
            </w:tcBorders>
          </w:tcPr>
          <w:p w:rsidR="0033731A" w:rsidRPr="00AA4A85" w:rsidP="00427E1D">
            <w:pPr>
              <w:pStyle w:val="CSBullet0"/>
              <w:numPr>
                <w:ilvl w:val="0"/>
                <w:numId w:val="0"/>
              </w:numPr>
              <w:ind w:left="357" w:hanging="357"/>
              <w:rPr>
                <w:bCs/>
                <w:lang w:val="de-DE"/>
              </w:rPr>
            </w:pPr>
            <w:r w:rsidRPr="00077EB2">
              <w:rPr>
                <w:bCs/>
                <w:i/>
                <w:lang w:val="de-DE"/>
              </w:rPr>
              <w:t>-</w:t>
            </w:r>
            <w:r w:rsidRPr="00077EB2">
              <w:rPr>
                <w:bCs/>
                <w:i/>
                <w:lang w:val="de-DE"/>
              </w:rPr>
              <w:tab/>
              <w:t xml:space="preserve">Komplexe Produkte, welche als transparent klassifiziert werden: </w:t>
            </w:r>
            <w:r w:rsidRPr="00EF4573">
              <w:rPr>
                <w:bCs/>
                <w:lang w:val="de-DE"/>
              </w:rPr>
              <w:t>Wird ein Komplexes Produkt für Steuerzwecke als transparent klassifiziert, d.h. wird die zugrundeliegende Obligation separat von den zugrundeliegenden Option(en) oder ähnlichen Rechten dargestellt oder sind die Voraussetzungen für die analytische Ermittlung der Werte der zugrundeliegenden Obligation und der zugrundeliegenden Option(en) oder ähnlichen Rechte, wie oben dargestellt, erfüllt, stellen nur die Zahlungen im Zusammenhang mit der Obligation steuerbares Einkommen dar und sind die Zahlungen im Zusammenhang mit den zugrundeliegenden Option(en) oder ähnlichen Rechten steuerfrei.</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33731A" w:rsidRPr="00AA4A85" w:rsidP="00C9150B">
            <w:pPr>
              <w:pStyle w:val="CSBullet0"/>
              <w:numPr>
                <w:ilvl w:val="0"/>
                <w:numId w:val="0"/>
              </w:numPr>
              <w:ind w:left="357" w:hanging="357"/>
            </w:pPr>
            <w:r w:rsidRPr="00077EB2">
              <w:rPr>
                <w:i/>
              </w:rPr>
              <w:t>-</w:t>
            </w:r>
            <w:r w:rsidRPr="00077EB2">
              <w:rPr>
                <w:i/>
              </w:rPr>
              <w:tab/>
              <w:t xml:space="preserve">Complex Products Classified as Non-Transparent: </w:t>
            </w:r>
            <w:r w:rsidRPr="00EF4573">
              <w:t>Conversely, if the embedded bond is not disclosed separately from the embedded option(s) or similar right(s) and if the conditions for analytical determination of the values of the embedded bond and the embedded option(s) or similar right(s), as discussed above, do not apply, or if embedded option(s) or similar right(s) refer to interest rate(s), credit risk or inflation risk as is normally the case for Complex Products with a Fixed Final Redemption Amount and Credit-Linked Complex Products, the Complex Product classifies as non-transparent structured note and any return over the initial investment classifies as taxable interest payment.</w:t>
            </w:r>
          </w:p>
        </w:tc>
        <w:tc>
          <w:tcPr>
            <w:tcW w:w="2487" w:type="pct"/>
            <w:tcBorders>
              <w:top w:val="nil"/>
              <w:left w:val="single" w:sz="4" w:space="0" w:color="auto"/>
              <w:bottom w:val="nil"/>
              <w:right w:val="nil"/>
            </w:tcBorders>
          </w:tcPr>
          <w:p w:rsidR="0033731A" w:rsidRPr="00AA4A85" w:rsidP="00C9150B">
            <w:pPr>
              <w:pStyle w:val="CSBullet0"/>
              <w:numPr>
                <w:ilvl w:val="0"/>
                <w:numId w:val="0"/>
              </w:numPr>
              <w:ind w:left="357" w:hanging="357"/>
              <w:rPr>
                <w:bCs/>
                <w:lang w:val="de-DE"/>
              </w:rPr>
            </w:pPr>
            <w:r w:rsidRPr="00BB73EB">
              <w:rPr>
                <w:bCs/>
                <w:i/>
                <w:lang w:val="de-DE"/>
              </w:rPr>
              <w:t>-</w:t>
            </w:r>
            <w:r w:rsidRPr="00BB73EB">
              <w:rPr>
                <w:bCs/>
                <w:i/>
                <w:lang w:val="de-DE"/>
              </w:rPr>
              <w:tab/>
              <w:t xml:space="preserve">Komplexe Produkte, welche als intransparent klassifiziert werden: </w:t>
            </w:r>
            <w:r w:rsidRPr="00EF4573">
              <w:rPr>
                <w:bCs/>
                <w:lang w:val="de-DE"/>
              </w:rPr>
              <w:t>Im umgekehrten Fall, wenn die zugrundeliegende Obligation nicht separat von den zugrundeliegenden Option(en) oder ähnlichen Rechten dargestellt wird oder wenn die Voraussetzungen für die analytische Ermittlung der Werte der zugrundeliegenden Obligation und der zugrundeliegenden Option(en) oder ähnlichen Rechte, wie oben dargestellt, nicht erfüllt sind oder wenn sich die zugrundeliegenden Option(en) oder ähnlichen Rechte auf einen oder mehrere Zinssätze, Kreditrisiken oder Inflationsrisiken beziehen, wie dies bei Komplexen Produkten mit Festem Finalen Rückzahlungsbetrag und Kreditbezogenen Komplexen Produkte gewöhnlich der Fall ist, klassifiziert das Komplexe Produkt als intransparente strukturierte Obligation und jegliche Rückzahlung über der u</w:t>
            </w:r>
            <w:r w:rsidR="00C9150B">
              <w:rPr>
                <w:bCs/>
                <w:lang w:val="de-DE"/>
              </w:rPr>
              <w:t>r</w:t>
            </w:r>
            <w:r w:rsidRPr="00EF4573">
              <w:rPr>
                <w:bCs/>
                <w:lang w:val="de-DE"/>
              </w:rPr>
              <w:t>sprünglichen Einlage qualifiziert als steuerbare Zinszahlung.</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33731A" w:rsidRPr="00AA4A85" w:rsidP="00C9150B">
            <w:pPr>
              <w:pStyle w:val="CSBullet0"/>
              <w:numPr>
                <w:ilvl w:val="0"/>
                <w:numId w:val="0"/>
              </w:numPr>
              <w:ind w:left="357" w:hanging="357"/>
              <w:rPr>
                <w:lang w:eastAsia="de-DE"/>
              </w:rPr>
            </w:pPr>
            <w:r w:rsidRPr="00BB73EB">
              <w:rPr>
                <w:i/>
                <w:lang w:eastAsia="de-DE"/>
              </w:rPr>
              <w:t>-</w:t>
            </w:r>
            <w:r w:rsidRPr="00BB73EB">
              <w:rPr>
                <w:i/>
                <w:lang w:eastAsia="de-DE"/>
              </w:rPr>
              <w:tab/>
              <w:t xml:space="preserve">Complex Products Classified as Non-Transparent: </w:t>
            </w:r>
            <w:r w:rsidRPr="00EF4573">
              <w:rPr>
                <w:lang w:eastAsia="de-DE"/>
              </w:rPr>
              <w:t>Conversely, if the embedded bond is not disclosed separately from the embedded option(s) or similar right(s) and if the conditions for analytical determination  of the values of the embedded bond and the embedded option(s) or similar right(s), as discussed above, do not apply, or if embedded option(s) or similar right(s) refer to interest rate(s), credit risk or inflation risk, the Complex Product classifies as non-transparent structured product and any return over the initial investment classifies as taxable interest payment.</w:t>
            </w:r>
          </w:p>
        </w:tc>
        <w:tc>
          <w:tcPr>
            <w:tcW w:w="2487" w:type="pct"/>
            <w:tcBorders>
              <w:top w:val="nil"/>
              <w:left w:val="single" w:sz="4" w:space="0" w:color="auto"/>
              <w:bottom w:val="nil"/>
              <w:right w:val="nil"/>
            </w:tcBorders>
          </w:tcPr>
          <w:p w:rsidR="0033731A" w:rsidRPr="00AA4A85" w:rsidP="00BD6E0D">
            <w:pPr>
              <w:pStyle w:val="CSBullet0"/>
              <w:numPr>
                <w:ilvl w:val="0"/>
                <w:numId w:val="0"/>
              </w:numPr>
              <w:ind w:left="357" w:hanging="357"/>
              <w:rPr>
                <w:lang w:val="de-DE" w:eastAsia="de-DE"/>
              </w:rPr>
            </w:pPr>
            <w:r w:rsidRPr="00BB73EB">
              <w:rPr>
                <w:i/>
                <w:lang w:val="de-DE" w:eastAsia="de-DE"/>
              </w:rPr>
              <w:t>-</w:t>
            </w:r>
            <w:r w:rsidRPr="00BB73EB">
              <w:rPr>
                <w:i/>
                <w:lang w:val="de-DE" w:eastAsia="de-DE"/>
              </w:rPr>
              <w:tab/>
              <w:t xml:space="preserve">Komplexe Produkte, welche als intransparent klassifiziert werden: </w:t>
            </w:r>
            <w:r w:rsidRPr="00EF4573">
              <w:rPr>
                <w:lang w:val="de-DE" w:eastAsia="de-DE"/>
              </w:rPr>
              <w:t>Im umgekehrten Fall, wenn die zugrundeliegende Obligation nicht separat von den zugrundeliegenden Option(en) oder ähnlichen Rechten dargestellt wird oder wenn die Voraussetzungen für die analytische Ermittlung der Werte der zugrundeliegenden Obligation und den zugrundeliegenden Option(en) oder ähnlichen Rechten, wie oben dargestellt, nicht erfüllt sind oder wenn die zugrundeliegenden Option(en) oder ähnlichen Rechte sich auf einen oder mehrere Zinssätze, Kreditrisiken oder Inflationsrisiken beziehen, klassifiziert das Komplexe Produkt als intransparentes strukturiertes Produkt und jegliche Rückzahlung über der ursprünglichen Einlage gilt als steuerbare Zinszahlung.</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A074E7" w:rsidP="00470B04">
            <w:pPr>
              <w:pStyle w:val="CSBody0"/>
            </w:pPr>
            <w:r w:rsidRPr="00BB73EB">
              <w:t>Complex Products without a Predominant One-time Interest Payment and Complex Products with a Predominant One-time Interest Payment</w:t>
            </w:r>
          </w:p>
        </w:tc>
        <w:tc>
          <w:tcPr>
            <w:tcW w:w="2487" w:type="pct"/>
            <w:tcBorders>
              <w:top w:val="nil"/>
              <w:left w:val="single" w:sz="4" w:space="0" w:color="auto"/>
              <w:bottom w:val="nil"/>
              <w:right w:val="nil"/>
            </w:tcBorders>
          </w:tcPr>
          <w:p w:rsidR="00AA4A85" w:rsidRPr="00AA4A85" w:rsidP="00470B04">
            <w:pPr>
              <w:pStyle w:val="CSBody0"/>
              <w:rPr>
                <w:lang w:val="de-DE"/>
              </w:rPr>
            </w:pPr>
            <w:r w:rsidRPr="00BB73EB">
              <w:rPr>
                <w:lang w:val="de-DE"/>
              </w:rPr>
              <w:t>Komplexe Produkte ohne überwiegende Einmalverzinsung und Komplexe Produkte mit überwiegender Einmalverzinsung</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33731A" w:rsidRPr="00AA4A85" w:rsidP="00C9150B">
            <w:pPr>
              <w:pStyle w:val="CSBullet0"/>
              <w:numPr>
                <w:ilvl w:val="0"/>
                <w:numId w:val="0"/>
              </w:numPr>
              <w:ind w:left="357" w:hanging="357"/>
            </w:pPr>
            <w:r w:rsidRPr="00BB73EB">
              <w:rPr>
                <w:i/>
              </w:rPr>
              <w:t>-</w:t>
            </w:r>
            <w:r w:rsidRPr="00BB73EB">
              <w:rPr>
                <w:i/>
              </w:rPr>
              <w:tab/>
              <w:t>Complex Products without a predominant one-time inte</w:t>
            </w:r>
            <w:r w:rsidR="00C9150B">
              <w:rPr>
                <w:i/>
              </w:rPr>
              <w:t>r</w:t>
            </w:r>
            <w:r w:rsidRPr="00BB73EB">
              <w:rPr>
                <w:i/>
              </w:rPr>
              <w:t xml:space="preserve">est payment (sans intérêt unique prédominant or non-IUP): </w:t>
            </w:r>
            <w:r w:rsidRPr="00EF4573">
              <w:t xml:space="preserve">A Complex Product (whether or not transparent) classifies as product without a predominant one-time interest payment (hereinafter, for purposes of this section, </w:t>
            </w:r>
            <w:r w:rsidRPr="00EF4573">
              <w:rPr>
                <w:b/>
              </w:rPr>
              <w:t>Non-IUP Product</w:t>
            </w:r>
            <w:r w:rsidRPr="00EF4573">
              <w:t>) if its yield-to-maturity predominantly derives from periodic interest payments, i.e. not merely from one single interest payment or, if there is more than one interest payment, not predominantly from an original issue discount or a repayment premium.</w:t>
            </w:r>
          </w:p>
        </w:tc>
        <w:tc>
          <w:tcPr>
            <w:tcW w:w="2487" w:type="pct"/>
            <w:tcBorders>
              <w:top w:val="nil"/>
              <w:left w:val="single" w:sz="4" w:space="0" w:color="auto"/>
              <w:bottom w:val="nil"/>
              <w:right w:val="nil"/>
            </w:tcBorders>
          </w:tcPr>
          <w:p w:rsidR="0033731A" w:rsidRPr="00AA4A85" w:rsidP="00C9150B">
            <w:pPr>
              <w:pStyle w:val="CSBullet0"/>
              <w:numPr>
                <w:ilvl w:val="0"/>
                <w:numId w:val="0"/>
              </w:numPr>
              <w:ind w:left="357" w:hanging="357"/>
              <w:rPr>
                <w:bCs/>
                <w:lang w:val="de-DE"/>
              </w:rPr>
            </w:pPr>
            <w:r w:rsidRPr="00BB73EB">
              <w:rPr>
                <w:bCs/>
                <w:i/>
                <w:lang w:val="de-DE"/>
              </w:rPr>
              <w:t>-</w:t>
            </w:r>
            <w:r w:rsidRPr="00BB73EB">
              <w:rPr>
                <w:bCs/>
                <w:i/>
                <w:lang w:val="de-DE"/>
              </w:rPr>
              <w:tab/>
              <w:t xml:space="preserve">Komplexe Produkte ohne überwiegende Einmalverzinsung (sans intérêt unique prédominant oder non-IUP): </w:t>
            </w:r>
            <w:r w:rsidRPr="00EF4573">
              <w:rPr>
                <w:bCs/>
                <w:lang w:val="de-DE"/>
              </w:rPr>
              <w:t xml:space="preserve">Ein Komplexes Produkt (unabhängig davon, ob transparent oder intransparent) qualifiziert als Produkt ohne überwiegende Einmalverzinsung (im Folgenden für Zwecke dieses Abschnitts </w:t>
            </w:r>
            <w:r w:rsidRPr="00EF4573">
              <w:rPr>
                <w:b/>
                <w:bCs/>
                <w:lang w:val="de-DE"/>
              </w:rPr>
              <w:t>Nicht-IUP Produkt</w:t>
            </w:r>
            <w:r w:rsidRPr="00EF4573">
              <w:rPr>
                <w:bCs/>
                <w:lang w:val="de-DE"/>
              </w:rPr>
              <w:t>), wenn der überwiegende Teil der Gesamtrendite auf periodische Zinszahlungen zurückzuführen ist, d.h. nicht nur auf eine Einmalentschädigung, oder, wenn mehr als eine Zinszahlung erfolgt, nicht überwiegend auf ein Emissionsdisagio oder auf ein Rückzahlungsagio.</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047AB8" w:rsidP="00EF4573">
            <w:pPr>
              <w:pStyle w:val="CSBody0"/>
            </w:pPr>
            <w:r w:rsidRPr="00BB73EB">
              <w:t xml:space="preserve">A person who is an individual resident in Switzerland and who holds a Non-IUP Product as private investment is required to include the following income items in his or her income tax return for the tax period in which such income item was received or realized, as applicable, converted, as applicable, in each case  into Swiss Francs at the exchange rate prevailing at the time of payment, redemption or sale, issuance or purchase, respectively, and will be taxable on any net taxable income (including such income items) for such tax period: (i) any periodic interest payments and (ii) the one-time interest payment, if any, on such Non-IUP Product and, (iii) in addition, if the Complex Product is classified as </w:t>
            </w:r>
            <w:r w:rsidRPr="00EF4573">
              <w:rPr>
                <w:i/>
              </w:rPr>
              <w:t>non-transparent</w:t>
            </w:r>
            <w:r w:rsidRPr="00BB73EB">
              <w:t>, any amount equal to the positive difference between the amount received upon redemption or the consideration received upon sale of the Non-IUP Product, as applicable, and its issue price in a primary market transaction or its purchase price in a secondary market transaction, as applicable (</w:t>
            </w:r>
            <w:r w:rsidRPr="00EF4573">
              <w:rPr>
                <w:i/>
              </w:rPr>
              <w:t>i.e.</w:t>
            </w:r>
            <w:r w:rsidRPr="00BB73EB">
              <w:t xml:space="preserve">, including, any gain, </w:t>
            </w:r>
            <w:r w:rsidRPr="00EF4573">
              <w:rPr>
                <w:i/>
              </w:rPr>
              <w:t>inter alia</w:t>
            </w:r>
            <w:r w:rsidRPr="00BB73EB">
              <w:t>, in respect of the option(s) or similar right(s), interest accrued or changed FX rate or changed interest environment) (so-called straight differential taxation (</w:t>
            </w:r>
            <w:r w:rsidRPr="00EF4573">
              <w:rPr>
                <w:i/>
              </w:rPr>
              <w:t>reine Differenzbesteuerung</w:t>
            </w:r>
            <w:r w:rsidRPr="00BB73EB">
              <w:t xml:space="preserve">), hereinafter for purposes of this section, </w:t>
            </w:r>
            <w:r w:rsidRPr="00EF4573">
              <w:rPr>
                <w:b/>
              </w:rPr>
              <w:t>Straight Differential Taxation</w:t>
            </w:r>
            <w:r w:rsidRPr="00BB73EB">
              <w:t xml:space="preserve">). However, if a Complex Product classifies as </w:t>
            </w:r>
            <w:r w:rsidRPr="00EF4573">
              <w:rPr>
                <w:i/>
              </w:rPr>
              <w:t>transparent</w:t>
            </w:r>
            <w:r w:rsidRPr="00BB73EB">
              <w:t xml:space="preserve">, premium payments for the option(s) or similar right(s) and gain (including, </w:t>
            </w:r>
            <w:r w:rsidRPr="00EF4573">
              <w:rPr>
                <w:i/>
              </w:rPr>
              <w:t>inter alia</w:t>
            </w:r>
            <w:r w:rsidRPr="00BB73EB">
              <w:t>, in respect of the option(s) or similar right(s), interest accrued or changed FX rate or changed interest environment) realized on the sale or other disposal or redemption of the Non-IUP Product constitute tax-free private capital gain. A loss realized on the sale or other disposal of such a Non-IUP Product is a non-tax-deductible private capital loss.</w:t>
            </w:r>
          </w:p>
        </w:tc>
        <w:tc>
          <w:tcPr>
            <w:tcW w:w="2487" w:type="pct"/>
            <w:tcBorders>
              <w:top w:val="nil"/>
              <w:left w:val="single" w:sz="4" w:space="0" w:color="auto"/>
              <w:bottom w:val="nil"/>
              <w:right w:val="nil"/>
            </w:tcBorders>
          </w:tcPr>
          <w:p w:rsidR="00AA4A85" w:rsidRPr="00AA4A85">
            <w:pPr>
              <w:pStyle w:val="CSBody0"/>
              <w:rPr>
                <w:lang w:val="de-DE"/>
              </w:rPr>
            </w:pPr>
            <w:r w:rsidRPr="00BB73EB">
              <w:rPr>
                <w:lang w:val="de-DE"/>
              </w:rPr>
              <w:t xml:space="preserve">Ein in der Schweiz ansässiger Anleger, welcher ein Nicht-IUP Produkt im Privatvermögen hält, muss die folgenden Erträge in seiner Steuererklärung derjenigen Steuerperiode, in welcher der entsprechende Ertrag vereinnahmt resp. realisiert wird, erfassen, wobei diese Erträge zum jeweils massgebenden Tageskurs bei Zahlung, Rückgabe resp. Veräusserung oder Ausgabe resp. Erwerb in Schweizerfranken umzurechnen sind, und wird in der entsprechenden Steuerperiode auf dem Nettoeinkommen (inklusive dieser Erträge) besteuert: (i) periodische Zinszahlungen sowie (ii) eine allfällige Einmalentschädigung auf diesem Nicht-IUP Produkt und, (iii) falls das Komplexe Produkt als </w:t>
            </w:r>
            <w:r w:rsidRPr="00B64F74">
              <w:rPr>
                <w:i/>
                <w:lang w:val="de-DE"/>
              </w:rPr>
              <w:t>intransparentes</w:t>
            </w:r>
            <w:r w:rsidRPr="00BB73EB">
              <w:rPr>
                <w:lang w:val="de-DE"/>
              </w:rPr>
              <w:t xml:space="preserve"> Produkt qualifiziert, zusätzlich den Betrag in der Höhe der positiven Differenz zwischen dem bei Rückgabe resp. Veräusserung des Nicht-IUP Produkts erhaltenen Betrag und dem Ausgabepreis bei einer Primärmarkttransaktion resp. dem Erwerbspreis bei einer Sekundärmarkttransaktion (d.h. inklusive allfälliger Gewinne u.a. auf der Optionskomponente (inkl. ähnliche Rechte), aus Marchzinsen oder aus verändertem Wechselkurs oder Zinsumfeld) (sogenannt </w:t>
            </w:r>
            <w:r w:rsidRPr="00B64F74">
              <w:rPr>
                <w:b/>
                <w:lang w:val="de-DE"/>
              </w:rPr>
              <w:t>reine Differenzbesteuerung</w:t>
            </w:r>
            <w:r w:rsidRPr="00BB73EB">
              <w:rPr>
                <w:lang w:val="de-DE"/>
              </w:rPr>
              <w:t xml:space="preserve">, im Folgenden für Zwecke dieses Abschnitts reine Differenzbesteuerung). Falls ein Komplexes Produkt demgegenüber als </w:t>
            </w:r>
            <w:r w:rsidRPr="00B64F74">
              <w:rPr>
                <w:i/>
                <w:lang w:val="de-DE"/>
              </w:rPr>
              <w:t>transparentes</w:t>
            </w:r>
            <w:r w:rsidRPr="00BB73EB">
              <w:rPr>
                <w:lang w:val="de-DE"/>
              </w:rPr>
              <w:t xml:space="preserve"> Produkt qualifiziert, stellen Prämienzahlungen für die Option (inkl. ähnliche Rechte) und ein bei Veräusserung oder Rückgabe dieses Nicht-IUP Produkts erzielter Gewinn (inklusive Gewinn u.a. auf der Optionskomponente (inkl. ähnliche Rechte), aus Marchzinsen oder aus verändertem Wechselkurs oder Zinsumfeld) steuerfreien privaten Kapitalgewinn dar. Ein bei Veräusserung oder Rückgabe eines solchen Nicht-IUP Produkts erzielter Verlust stellt einen steuerlich nicht abzugsfähigen privaten Kapitalverlust dar.</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33731A" w:rsidRPr="00AA4A85" w:rsidP="00BB73EB">
            <w:pPr>
              <w:pStyle w:val="CSBullet0"/>
              <w:numPr>
                <w:ilvl w:val="0"/>
                <w:numId w:val="0"/>
              </w:numPr>
              <w:ind w:left="357" w:hanging="357"/>
            </w:pPr>
            <w:r w:rsidRPr="00BB73EB">
              <w:t>-</w:t>
            </w:r>
            <w:r w:rsidRPr="00BB73EB">
              <w:tab/>
            </w:r>
            <w:r w:rsidRPr="00B64F74">
              <w:rPr>
                <w:i/>
              </w:rPr>
              <w:t>Complex Products with a predominant one-time interest payment (intérêt unique prédominant or IUP):</w:t>
            </w:r>
            <w:r w:rsidRPr="00BB73EB">
              <w:t xml:space="preserve"> A Complex Product is classified as product with a predominant one-time interest payment (hereinafter, for purposes of this section, </w:t>
            </w:r>
            <w:r w:rsidRPr="00B64F74">
              <w:rPr>
                <w:b/>
              </w:rPr>
              <w:t>IUP Product</w:t>
            </w:r>
            <w:r w:rsidRPr="00BB73EB">
              <w:t>) if its yield-to-maturity derives merely from one single interest payment or, if there is more than one interest payment, from an original issue discount or a repayment premium and not from periodic interest payments.</w:t>
            </w:r>
          </w:p>
        </w:tc>
        <w:tc>
          <w:tcPr>
            <w:tcW w:w="2487" w:type="pct"/>
            <w:tcBorders>
              <w:top w:val="nil"/>
              <w:left w:val="single" w:sz="4" w:space="0" w:color="auto"/>
              <w:bottom w:val="nil"/>
              <w:right w:val="nil"/>
            </w:tcBorders>
          </w:tcPr>
          <w:p w:rsidR="0033731A" w:rsidRPr="00AA4A85" w:rsidP="00C9150B">
            <w:pPr>
              <w:pStyle w:val="CSBullet0"/>
              <w:numPr>
                <w:ilvl w:val="0"/>
                <w:numId w:val="0"/>
              </w:numPr>
              <w:ind w:left="357" w:hanging="357"/>
              <w:rPr>
                <w:lang w:val="de-DE"/>
              </w:rPr>
            </w:pPr>
            <w:r w:rsidRPr="00BB73EB">
              <w:rPr>
                <w:lang w:val="de-DE"/>
              </w:rPr>
              <w:t>-</w:t>
            </w:r>
            <w:r w:rsidRPr="00BB73EB">
              <w:rPr>
                <w:lang w:val="de-DE"/>
              </w:rPr>
              <w:tab/>
            </w:r>
            <w:r w:rsidRPr="00B64F74">
              <w:rPr>
                <w:i/>
                <w:lang w:val="de-DE"/>
              </w:rPr>
              <w:t>Komplexe Produkte mit überwiegender Einmalverzinsung (intérêt unique prédominant oder IUP):</w:t>
            </w:r>
            <w:r w:rsidRPr="00BB73EB">
              <w:rPr>
                <w:lang w:val="de-DE"/>
              </w:rPr>
              <w:t xml:space="preserve"> Ein Komplexes Produkt qualifiziert als Produkt mit überwiegender Einmalverzinsung (im Folgenden für Zwecke dieses Abschnitts </w:t>
            </w:r>
            <w:r w:rsidRPr="00B64F74">
              <w:rPr>
                <w:b/>
                <w:lang w:val="de-DE"/>
              </w:rPr>
              <w:t>IUP Produkt</w:t>
            </w:r>
            <w:r w:rsidRPr="00BB73EB">
              <w:rPr>
                <w:lang w:val="de-DE"/>
              </w:rPr>
              <w:t>), wenn der überwiegende Teil der Gesamtrendite auf eine Einmalentschädigung oder, bei Komplexen Produkten mit mehr als einer Zinszahlung, auf ein Emissionsdisagio oder ein Rückzahlungsagio und nicht auf periodische Zinszahlungen zurückzuführen ist.</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F42C62" w:rsidP="00427E1D">
            <w:pPr>
              <w:pStyle w:val="CSBody63EN"/>
            </w:pPr>
            <w:r w:rsidRPr="00BB73EB">
              <w:t xml:space="preserve">A person who is an individual resident in Switzerland and who holds an IUP Product as private asset is required to include the following income items in his or her personal income tax return for the tax period in which such income item was received or realized, as applicable, converted, as applicable, in each case into Swiss Francs at the exchange rate prevailing at the time of payment, redemption or sale, issuance or purchase, respectively, and will be taxable on any net taxable income (including such items) for such tax period: (i) any periodic interest payments received on the IUP Product and, (ii) in addition, if the Complex Product classifies as </w:t>
            </w:r>
            <w:r w:rsidRPr="00B64F74">
              <w:rPr>
                <w:i/>
              </w:rPr>
              <w:t>non-transparent</w:t>
            </w:r>
            <w:r w:rsidRPr="00BB73EB">
              <w:t>, any positive amount realized upon redemption or sale as determined by applying the Straight Differential Taxation method, as defined above (</w:t>
            </w:r>
            <w:r w:rsidRPr="00B64F74">
              <w:rPr>
                <w:i/>
              </w:rPr>
              <w:t>i.e.</w:t>
            </w:r>
            <w:r w:rsidRPr="00BB73EB">
              <w:t xml:space="preserve">, including gain, </w:t>
            </w:r>
            <w:r w:rsidRPr="00B64F74">
              <w:rPr>
                <w:i/>
              </w:rPr>
              <w:t>inter alia</w:t>
            </w:r>
            <w:r w:rsidRPr="00BB73EB">
              <w:t>, in respect of option(s) or similar right(s), interest accrued or changed FX rate or changed interest environment).</w:t>
            </w:r>
          </w:p>
        </w:tc>
        <w:tc>
          <w:tcPr>
            <w:tcW w:w="2487" w:type="pct"/>
            <w:tcBorders>
              <w:top w:val="nil"/>
              <w:left w:val="single" w:sz="4" w:space="0" w:color="auto"/>
              <w:bottom w:val="nil"/>
              <w:right w:val="nil"/>
            </w:tcBorders>
          </w:tcPr>
          <w:p w:rsidR="00AA4A85" w:rsidRPr="00AA4A85" w:rsidP="00C9150B">
            <w:pPr>
              <w:pStyle w:val="CSBody63DE"/>
              <w:rPr>
                <w:lang w:val="de-DE"/>
              </w:rPr>
            </w:pPr>
            <w:r w:rsidRPr="00BB73EB">
              <w:rPr>
                <w:lang w:val="de-DE"/>
              </w:rPr>
              <w:t xml:space="preserve">Ein in der Schweiz ansässiger Anleger, welcher ein IUP Produkt im Privatvermögen hält, muss die nachstehenden Erträge in seiner persönlichen Steuererklärung derjenigen Steuerperiode, in welcher der entsprechende Ertrag vereinnahmt resp. realisiert wird, erfassen, wobei diese Erträge bei Zahlung, Rückgabe resp. Veräusserung oder Ausgabe resp. Erwerb zum jeweils massgebenden Tageskurs in Schweizerfranken umzurechnen sind, und wird auf dem Nettoeinkommen (inklusive dieser Erträge) in der entsprechenden Steuerperiode besteuert: (i) periodische Zinszahlungen auf diesem IUP Produkt und, (ii) falls das Komplexe Produkt als </w:t>
            </w:r>
            <w:r w:rsidRPr="00B64F74">
              <w:rPr>
                <w:i/>
                <w:lang w:val="de-DE"/>
              </w:rPr>
              <w:t>intransparentes</w:t>
            </w:r>
            <w:r w:rsidRPr="00BB73EB">
              <w:rPr>
                <w:lang w:val="de-DE"/>
              </w:rPr>
              <w:t xml:space="preserve"> Produkt qualifiziert, zusätzlich ein bei Rückgabe oder Veräusserung in Anwendung der reinen Differenzbesteuerung (wie oben definiert) ermittelter positiver Betrag (d.h. inklusive allfälliger Gewinne u.a. auf der Optionskomponente (inkl. ähnliche Rechte), aus Marchzinsen oder aus verändertem Wechselkurs oder Zinsumfeld).</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A80C99">
            <w:pPr>
              <w:pStyle w:val="CSBody63EN"/>
            </w:pPr>
            <w:r w:rsidRPr="00BB73EB">
              <w:t xml:space="preserve">If an IUP Product is classified as </w:t>
            </w:r>
            <w:r w:rsidRPr="00B64F74">
              <w:rPr>
                <w:i/>
              </w:rPr>
              <w:t>transparent</w:t>
            </w:r>
            <w:r w:rsidRPr="00BB73EB">
              <w:t xml:space="preserve">, a person who is an individual holding such product as private asset is required to include the following income items in his or her income tax return for the tax period in which such income item was received or realized, as applicable, converted, as applicable, in each case into Swiss Francs at the exchange rate prevailing at the time of payment, redemption or sale, issuance or purchase, respectively, and will be taxable on any net taxable income (including such income items) for such tax period: (i) any periodic interest payments received on the IUP Product, and, (ii) different from a non-transparent IUP Product, any positive difference between the </w:t>
            </w:r>
            <w:r w:rsidRPr="00B64F74">
              <w:rPr>
                <w:i/>
              </w:rPr>
              <w:t>value</w:t>
            </w:r>
            <w:r w:rsidRPr="00BB73EB">
              <w:t xml:space="preserve"> of the IUP Product at redemption or sale, as applicable, and its </w:t>
            </w:r>
            <w:r w:rsidRPr="00B64F74">
              <w:rPr>
                <w:i/>
              </w:rPr>
              <w:t>value</w:t>
            </w:r>
            <w:r w:rsidRPr="00BB73EB">
              <w:t xml:space="preserve"> at issuance or secondary market purchase, as applicable, such values determined by applying a pricing model such as, for instance, the </w:t>
            </w:r>
            <w:r w:rsidR="003B00F3">
              <w:t>"</w:t>
            </w:r>
            <w:r w:rsidRPr="00B64F74">
              <w:rPr>
                <w:i/>
              </w:rPr>
              <w:t>bond floor pricing model</w:t>
            </w:r>
            <w:r w:rsidR="00BF7214">
              <w:t>"</w:t>
            </w:r>
            <w:r w:rsidRPr="00BB73EB">
              <w:t xml:space="preserve"> of the Swiss Federal Tax Administration, Berne (Switzerland) (so-called modified differential taxation (</w:t>
            </w:r>
            <w:r w:rsidRPr="00B64F74">
              <w:rPr>
                <w:i/>
              </w:rPr>
              <w:t>modifizierte Differenzbesteuerung</w:t>
            </w:r>
            <w:r w:rsidRPr="00BB73EB">
              <w:t xml:space="preserve">), hereinafter for purposes of this section, </w:t>
            </w:r>
            <w:r w:rsidRPr="00B64F74">
              <w:rPr>
                <w:b/>
              </w:rPr>
              <w:t>Modified Differential Taxation</w:t>
            </w:r>
            <w:r w:rsidRPr="00BB73EB">
              <w:t xml:space="preserve">). As a result, any other return, including premium payments for the option(s) or similar right(s) and a gain, including, </w:t>
            </w:r>
            <w:r w:rsidRPr="00B64F74">
              <w:rPr>
                <w:i/>
              </w:rPr>
              <w:t>inter alia</w:t>
            </w:r>
            <w:r w:rsidRPr="00BB73EB">
              <w:t>, in respect of the option(s) or similar right(s), classifies as tax-free private capital gain on the option(s) or similar right(s), and a loss realized on the sale or other disposal of such an IUP Product as non-tax-deductible private capital loss.</w:t>
            </w:r>
          </w:p>
        </w:tc>
        <w:tc>
          <w:tcPr>
            <w:tcW w:w="2487" w:type="pct"/>
            <w:tcBorders>
              <w:top w:val="nil"/>
              <w:left w:val="single" w:sz="4" w:space="0" w:color="auto"/>
              <w:bottom w:val="nil"/>
              <w:right w:val="nil"/>
            </w:tcBorders>
          </w:tcPr>
          <w:p w:rsidR="00AA4A85" w:rsidRPr="00AA4A85" w:rsidP="00427E1D">
            <w:pPr>
              <w:pStyle w:val="CSBody63DE"/>
              <w:rPr>
                <w:lang w:val="de-DE"/>
              </w:rPr>
            </w:pPr>
            <w:r w:rsidRPr="00BB73EB">
              <w:rPr>
                <w:lang w:val="de-DE"/>
              </w:rPr>
              <w:t xml:space="preserve">Falls ein IUP Produkt als </w:t>
            </w:r>
            <w:r w:rsidRPr="00B64F74">
              <w:rPr>
                <w:i/>
                <w:lang w:val="de-DE"/>
              </w:rPr>
              <w:t>transparentes</w:t>
            </w:r>
            <w:r w:rsidRPr="00BB73EB">
              <w:rPr>
                <w:lang w:val="de-DE"/>
              </w:rPr>
              <w:t xml:space="preserve"> Produkt qualifiziert, ist ein Anleger, w</w:t>
            </w:r>
            <w:r w:rsidR="00427E1D">
              <w:rPr>
                <w:lang w:val="de-DE"/>
              </w:rPr>
              <w:t>elcher das Produkt im Privatver</w:t>
            </w:r>
            <w:r w:rsidRPr="00BB73EB">
              <w:rPr>
                <w:lang w:val="de-DE"/>
              </w:rPr>
              <w:t>mögen hält, verpflichtet, die nachstehenden Erträge in seiner Steuererklärung d</w:t>
            </w:r>
            <w:r w:rsidR="00427E1D">
              <w:rPr>
                <w:lang w:val="de-DE"/>
              </w:rPr>
              <w:t>erjenigen Steuerperiode, in wel</w:t>
            </w:r>
            <w:r w:rsidRPr="00BB73EB">
              <w:rPr>
                <w:lang w:val="de-DE"/>
              </w:rPr>
              <w:t xml:space="preserve">cher der entsprechende Ertrag vereinnahmt resp. realisiert wird, zu erfassen, wobei diese Erträge bei Zahlung, Rückgabe resp. Veräusserung oder Ausgabe resp. Erwerb gegebenenfalls zum jeweils massgebenden Tageskurs in Schweizerfranken umzurechnen sind, und wird in der entsprechenden Steuerperiode auf dem Nettoeinkommen (inklusive dieser Erträge) besteuert: (i) periodische Zinszahlungen, welche er auf diesem IUP Produkt erhält, und, (ii) anders als bei einem intransparenten IUP Produkt, die positive Differenz zwischen dem </w:t>
            </w:r>
            <w:r w:rsidRPr="00B64F74">
              <w:rPr>
                <w:i/>
                <w:lang w:val="de-DE"/>
              </w:rPr>
              <w:t>Wert</w:t>
            </w:r>
            <w:r w:rsidRPr="00BB73EB">
              <w:rPr>
                <w:lang w:val="de-DE"/>
              </w:rPr>
              <w:t xml:space="preserve"> des IUP Produkts bei Rückgabe resp. Veräusserung und dessen </w:t>
            </w:r>
            <w:r w:rsidRPr="00B64F74">
              <w:rPr>
                <w:i/>
                <w:lang w:val="de-DE"/>
              </w:rPr>
              <w:t>Wert</w:t>
            </w:r>
            <w:r w:rsidRPr="00BB73EB">
              <w:rPr>
                <w:lang w:val="de-DE"/>
              </w:rPr>
              <w:t xml:space="preserve"> bei Ausgabe resp. Erwerb, wobei diese Werte jeweils durch Anwendung eines Bewertungsmodells wie beispielsweise dem von der Eidgenössischen Steuerverwaltung in Bern (Schweiz) verwendeten </w:t>
            </w:r>
            <w:r w:rsidR="003B00F3">
              <w:rPr>
                <w:lang w:val="de-DE"/>
              </w:rPr>
              <w:t>"</w:t>
            </w:r>
            <w:r w:rsidRPr="00B64F74">
              <w:rPr>
                <w:i/>
                <w:lang w:val="de-DE"/>
              </w:rPr>
              <w:t>Bond Floor Pricing Modell</w:t>
            </w:r>
            <w:r w:rsidR="00BF7214">
              <w:rPr>
                <w:lang w:val="de-DE"/>
              </w:rPr>
              <w:t>"</w:t>
            </w:r>
            <w:r w:rsidRPr="00BB73EB">
              <w:rPr>
                <w:lang w:val="de-DE"/>
              </w:rPr>
              <w:t xml:space="preserve"> ermittelt werden (im Folgenden für Zwecke dieses Abschnitts </w:t>
            </w:r>
            <w:r w:rsidRPr="00B64F74">
              <w:rPr>
                <w:b/>
                <w:lang w:val="de-DE"/>
              </w:rPr>
              <w:t>modifizierte Differenzbesteuerung</w:t>
            </w:r>
            <w:r w:rsidRPr="00BB73EB">
              <w:rPr>
                <w:lang w:val="de-DE"/>
              </w:rPr>
              <w:t>). Als Ergebnis stellt der übrige Ertrag, inklusive Prämienzahlungen für die Option oder für ähnliche Rechte und ein allfälliger Gewinn u.a. auf der Option oder auf ähnlichen Rechten, ein steuerfreier privater Kapitalgewinn auf der Option oder auf ähnlichen Rechten dar, und ist ein bei Veräusserung oder Rückgabe eines IUP Produkts erzielter Verlust ein steuerlich nicht abzugsfähiger privater Kapitalverlust.</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F12483" w:rsidP="00C9150B">
            <w:pPr>
              <w:pStyle w:val="CSBody63EN"/>
            </w:pPr>
            <w:r w:rsidRPr="00BB73EB">
              <w:t>In any event, irrespective of whether an IUP Product is transparent or non-transparent for tax purposes, i.e., taxed by applying the Straight Differential Taxation method or the Modified Differential Taxation method, a holder of an IUP Product may offset any loss realized by him or her determined in accordance with the respective taxation method, within the same taxation period on sale or redemption of such IUP Product against any gain (including periodic interest payments) realized by him or her from other products with a predominant one-time interest payment.</w:t>
            </w:r>
          </w:p>
        </w:tc>
        <w:tc>
          <w:tcPr>
            <w:tcW w:w="2487" w:type="pct"/>
            <w:tcBorders>
              <w:top w:val="nil"/>
              <w:left w:val="single" w:sz="4" w:space="0" w:color="auto"/>
              <w:bottom w:val="nil"/>
              <w:right w:val="nil"/>
            </w:tcBorders>
          </w:tcPr>
          <w:p w:rsidR="00AA4A85" w:rsidRPr="00AA4A85" w:rsidP="00C9150B">
            <w:pPr>
              <w:pStyle w:val="CSBody63DE"/>
              <w:rPr>
                <w:lang w:val="de-DE"/>
              </w:rPr>
            </w:pPr>
            <w:r w:rsidRPr="00BB73EB">
              <w:rPr>
                <w:lang w:val="de-DE"/>
              </w:rPr>
              <w:t>Unabhängig davon, ob ein IUP Produkt für Steuerzwecke als transparent oder intransparent qualifiziert, d.h. in Anwendung der reinen Dif</w:t>
            </w:r>
            <w:r w:rsidR="00427E1D">
              <w:rPr>
                <w:lang w:val="de-DE"/>
              </w:rPr>
              <w:t>ferenzbesteuerung oder der modi</w:t>
            </w:r>
            <w:r w:rsidRPr="00BB73EB">
              <w:rPr>
                <w:lang w:val="de-DE"/>
              </w:rPr>
              <w:t>fizierten Differenzbesteuerung besteuert wird, kann ein Anleger in jedem Fall einen allfälligen von ihm anlässlich der Veräusserung oder der Rückgabe eines solchen IUP Produkts erlittener Verlust, der anhand der jeweils anwendbaren Methode ermittelt wurde, innerhalb derselben Steuerperiode mit von ihm erzielten Gewinnen (inklusive periodische Zinszahlungen) auf anderen Produkten mit einer überwiegenden Einmalverzinsung verrechnen.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470B04" w:rsidP="00427E1D">
            <w:pPr>
              <w:pStyle w:val="CSBody0"/>
              <w:rPr>
                <w:u w:val="single"/>
              </w:rPr>
            </w:pPr>
            <w:r w:rsidRPr="00BB73EB">
              <w:rPr>
                <w:u w:val="single"/>
              </w:rPr>
              <w:t>Income tax treatment of Complex Products classified as ordinary derivative financial instruments</w:t>
            </w:r>
          </w:p>
        </w:tc>
        <w:tc>
          <w:tcPr>
            <w:tcW w:w="2487" w:type="pct"/>
            <w:tcBorders>
              <w:top w:val="nil"/>
              <w:left w:val="single" w:sz="4" w:space="0" w:color="auto"/>
              <w:bottom w:val="nil"/>
              <w:right w:val="nil"/>
            </w:tcBorders>
            <w:hideMark/>
          </w:tcPr>
          <w:p w:rsidR="0033731A" w:rsidRPr="0046463E" w:rsidP="00427E1D">
            <w:pPr>
              <w:pStyle w:val="CSBody0"/>
              <w:rPr>
                <w:u w:val="single"/>
                <w:lang w:val="de-DE"/>
              </w:rPr>
            </w:pPr>
            <w:r w:rsidRPr="00BB73EB">
              <w:rPr>
                <w:u w:val="single"/>
                <w:lang w:val="de-DE"/>
              </w:rPr>
              <w:t>Einkommenssteuerliche Behandlung von Komplexen Produkten, welche als rein derivative Finanzinstrumente qualifizieren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9847B1" w:rsidP="00C9150B">
            <w:pPr>
              <w:pStyle w:val="CSBody0"/>
            </w:pPr>
            <w:r w:rsidRPr="00BB73EB">
              <w:t>A capital gain realized by an individual resident in Switzerland on the sale or redemption of a Complex Product which classifies as an ordinary derivative financial instrument and which is a private investment is a tax-free private capital gain.Consequentially, a loss realized on the sale or redemption of a Complex Product held as private investment is a non-tax-deductible private capital loss. Dividend equalization payments on such a Complex Product constitute taxable investment income.</w:t>
            </w:r>
          </w:p>
        </w:tc>
        <w:tc>
          <w:tcPr>
            <w:tcW w:w="2487" w:type="pct"/>
            <w:tcBorders>
              <w:top w:val="nil"/>
              <w:left w:val="single" w:sz="4" w:space="0" w:color="auto"/>
              <w:bottom w:val="nil"/>
              <w:right w:val="nil"/>
            </w:tcBorders>
          </w:tcPr>
          <w:p w:rsidR="00AA4A85" w:rsidRPr="00AA4A85" w:rsidP="00427E1D">
            <w:pPr>
              <w:pStyle w:val="CSBody0"/>
              <w:rPr>
                <w:lang w:val="de-DE"/>
              </w:rPr>
            </w:pPr>
            <w:r w:rsidRPr="00BB73EB">
              <w:rPr>
                <w:lang w:val="de-DE"/>
              </w:rPr>
              <w:t>Ein durch eine in der Schweiz ansässige natürliche Person realisierter Kapitalgewinn auf der Veräusserung oder der Rückgabe eines Komplexen Produkts, welches als rein derivatives Finanzinstrument qualifiziert und welches im Privatvermögen gehalten wird, stellt ein steuerfreier privater Kapitalgewinn dar. Entsprechend ist ein auf der Veräusserung oder Rückgabe eines solchen Komplexen Produkts erlittener Verlust ein steuerlich nicht abzugsfähiger privater Kapitalverlust. Dividendenausgleichszahlungen auf solchen Komplexen Produkten stellen steuerbare Vermögenserträge dar.</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AA4A85" w:rsidRPr="009847B1" w:rsidP="00470B04">
            <w:pPr>
              <w:pStyle w:val="CSBody0italic"/>
            </w:pPr>
            <w:r w:rsidRPr="00BB73EB">
              <w:t>Complex Products held as Swiss business assets and by private persons classified as professional securities dealers</w:t>
            </w:r>
          </w:p>
        </w:tc>
        <w:tc>
          <w:tcPr>
            <w:tcW w:w="2487" w:type="pct"/>
            <w:tcBorders>
              <w:top w:val="nil"/>
              <w:left w:val="single" w:sz="4" w:space="0" w:color="auto"/>
              <w:bottom w:val="nil"/>
              <w:right w:val="nil"/>
            </w:tcBorders>
            <w:hideMark/>
          </w:tcPr>
          <w:p w:rsidR="00AA4A85" w:rsidRPr="00AA4A85" w:rsidP="00470B04">
            <w:pPr>
              <w:pStyle w:val="CSBody0italic"/>
              <w:rPr>
                <w:lang w:val="de-DE"/>
              </w:rPr>
            </w:pPr>
            <w:r w:rsidRPr="00BB73EB">
              <w:rPr>
                <w:lang w:val="de-DE"/>
              </w:rPr>
              <w:t>Komplexe Produkte, welche im Schweizer Geschäftsvermögen sowie von natürlichen Personen, welche als Effektenhändler qualifizieren, gehalten werden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9847B1" w:rsidP="00427E1D">
            <w:pPr>
              <w:pStyle w:val="CSBody0"/>
            </w:pPr>
            <w:r w:rsidRPr="00BB73EB">
              <w:t xml:space="preserve">Individuals who hold Complex Products as part of a business in Switzerland and Swiss resident corporate taxpayers and corporate taxpayers resident abroad holding Complex Products as part of a Swiss permanent establishment in Switzerland are required to recognize the payments of interest and any capital gain or loss realized on the sale or other disposition of such Complex Products in their Swiss income statement for the respective tax period and will be taxable on any net taxable earnings for such period. The same taxation treatment also applies to Swiss resident individuals who, for income tax purposes, are classified as </w:t>
            </w:r>
            <w:r w:rsidR="003B00F3">
              <w:t>"</w:t>
            </w:r>
            <w:r w:rsidRPr="00DF7D1F">
              <w:rPr>
                <w:i/>
              </w:rPr>
              <w:t>professional securities dealers</w:t>
            </w:r>
            <w:r w:rsidR="00BF7214">
              <w:t>"</w:t>
            </w:r>
            <w:r w:rsidRPr="00BB73EB">
              <w:t xml:space="preserve"> for reasons of, </w:t>
            </w:r>
            <w:r w:rsidRPr="00DF7D1F">
              <w:rPr>
                <w:i/>
              </w:rPr>
              <w:t>inter alia</w:t>
            </w:r>
            <w:r w:rsidRPr="00BB73EB">
              <w:t>, frequent dealings and leveraged investments in securities.</w:t>
            </w:r>
          </w:p>
        </w:tc>
        <w:tc>
          <w:tcPr>
            <w:tcW w:w="2487" w:type="pct"/>
            <w:tcBorders>
              <w:top w:val="nil"/>
              <w:left w:val="single" w:sz="4" w:space="0" w:color="auto"/>
              <w:bottom w:val="nil"/>
              <w:right w:val="nil"/>
            </w:tcBorders>
          </w:tcPr>
          <w:p w:rsidR="00AA4A85" w:rsidRPr="00AA4A85" w:rsidP="00C9150B">
            <w:pPr>
              <w:pStyle w:val="CSBody0"/>
              <w:rPr>
                <w:lang w:val="de-DE"/>
              </w:rPr>
            </w:pPr>
            <w:r w:rsidRPr="00BB73EB">
              <w:rPr>
                <w:lang w:val="de-DE"/>
              </w:rPr>
              <w:t xml:space="preserve">Natürliche Personen, welche Komplexe Produkte im Geschäftsvermögen in der Schweiz halten, und in der Schweiz ansässige steuerpflichtige juristische Personen und ausländische juristische Personen, welche Komplexe Produkte in einer Schweizer Betriebsstätte in der Schweiz halten, müssen Zinszahlungen und sämtliche Kapitalgewinne oder  verluste aus der Veräusserung oder Rückgabe solcher Komplexer Produkte in ihrer Erfolgsrechnung in der entsprechenden Steuerperiode verbuchen und werden auf dem Nettoergebnis der entsprechenden Steuerperiode besteuert. Dieselbe steuerliche Behandlung findet Anwendung bei in der Schweiz ansässigen natürlichen Personen, welche für Einkommenssteuerzwecke als </w:t>
            </w:r>
            <w:r w:rsidR="003B00F3">
              <w:rPr>
                <w:lang w:val="de-DE"/>
              </w:rPr>
              <w:t>"</w:t>
            </w:r>
            <w:r w:rsidRPr="00DF7D1F">
              <w:rPr>
                <w:i/>
                <w:lang w:val="de-DE"/>
              </w:rPr>
              <w:t>gewerbsmässige Wertschriftenhändler</w:t>
            </w:r>
            <w:r w:rsidR="00BF7214">
              <w:rPr>
                <w:lang w:val="de-DE"/>
              </w:rPr>
              <w:t>"</w:t>
            </w:r>
            <w:r w:rsidR="00DF7D1F">
              <w:rPr>
                <w:lang w:val="de-DE"/>
              </w:rPr>
              <w:t xml:space="preserve"> qualifizieren, bei</w:t>
            </w:r>
            <w:r w:rsidRPr="00BB73EB">
              <w:rPr>
                <w:lang w:val="de-DE"/>
              </w:rPr>
              <w:t>spielsweise aufgrund von häufigen Transaktionen und fremdfinanzierten Investitionen in Wertschriften.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C02D5B" w:rsidP="00470B04">
            <w:pPr>
              <w:pStyle w:val="CSbody0bold"/>
              <w:rPr>
                <w:rFonts w:eastAsia="Times New Roman"/>
                <w:szCs w:val="20"/>
                <w:lang w:val="de-CH" w:eastAsia="de-DE"/>
              </w:rPr>
            </w:pPr>
            <w:r w:rsidRPr="00C02D5B">
              <w:t>Final Foreign Withholding Taxes</w:t>
            </w:r>
          </w:p>
        </w:tc>
        <w:tc>
          <w:tcPr>
            <w:tcW w:w="2487" w:type="pct"/>
            <w:tcBorders>
              <w:top w:val="nil"/>
              <w:left w:val="single" w:sz="4" w:space="0" w:color="auto"/>
              <w:bottom w:val="nil"/>
              <w:right w:val="nil"/>
            </w:tcBorders>
            <w:hideMark/>
          </w:tcPr>
          <w:p w:rsidR="0033731A" w:rsidRPr="00C02D5B" w:rsidP="00470B04">
            <w:pPr>
              <w:pStyle w:val="CSbody0bold"/>
              <w:rPr>
                <w:rFonts w:eastAsia="Times New Roman"/>
                <w:szCs w:val="20"/>
                <w:lang w:val="de-CH" w:eastAsia="de-DE"/>
              </w:rPr>
            </w:pPr>
            <w:r w:rsidRPr="00BB73EB">
              <w:t>Internationale Quellensteuern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080830" w:rsidP="007D1685">
            <w:pPr>
              <w:pStyle w:val="CSBody0"/>
            </w:pPr>
            <w:r w:rsidRPr="00BB73EB">
              <w:t xml:space="preserve">Since 1 January 2013, treaties on final withholding taxes of Switzerland and the United Kingdom and Switzerland and Austria have been in force (each a </w:t>
            </w:r>
            <w:r w:rsidRPr="00DF7D1F">
              <w:rPr>
                <w:b/>
              </w:rPr>
              <w:t>Contracting State</w:t>
            </w:r>
            <w:r w:rsidRPr="00BB73EB">
              <w:t>). The treaties require a Swiss paying agent, as defined in the treaties, to levy a flat-rate final withholding tax (</w:t>
            </w:r>
            <w:r w:rsidRPr="00DF7D1F">
              <w:rPr>
                <w:i/>
              </w:rPr>
              <w:t>internationale Quellensteuer</w:t>
            </w:r>
            <w:r w:rsidRPr="00BB73EB">
              <w:t>) at rates specified in the treaties on certain capital gains and income items (interest, dividends, other income items), all as defined in the treaties, deriving from assets, including the Complex Products, as applicable, held in accounts or deposits with a Swiss paying agent by (i) an individual resi-dent in a Contracting State or, (ii) if certain requirements are met, by a domiciliary company (</w:t>
            </w:r>
            <w:r w:rsidRPr="00DF7D1F">
              <w:rPr>
                <w:i/>
              </w:rPr>
              <w:t>Sitzgesellschaft</w:t>
            </w:r>
            <w:r w:rsidRPr="00BB73EB">
              <w:t>), an insurance company in connection with a so-called insurance wrapper (</w:t>
            </w:r>
            <w:r w:rsidRPr="00DF7D1F">
              <w:rPr>
                <w:i/>
              </w:rPr>
              <w:t>Lebensversicherungsmantel</w:t>
            </w:r>
            <w:r w:rsidRPr="00BB73EB">
              <w:t>) or other individuals if the beneficial owner is an individual resident in a Contracting State. The flat-rate tax withheld substitutes the ordinary income tax on the respective capital gains and income items in the Contracting State where the individual is tax resident. In order to avoid the withholding of the flat-rate tax by the Swiss paying agent, such individuals may opt for a disclosure of the respective capital gains and income items to the tax authorities of the Contracting State where they are tax residents.</w:t>
            </w:r>
          </w:p>
        </w:tc>
        <w:tc>
          <w:tcPr>
            <w:tcW w:w="2487" w:type="pct"/>
            <w:tcBorders>
              <w:top w:val="nil"/>
              <w:left w:val="single" w:sz="4" w:space="0" w:color="auto"/>
              <w:bottom w:val="nil"/>
              <w:right w:val="nil"/>
            </w:tcBorders>
          </w:tcPr>
          <w:p w:rsidR="00AA4A85" w:rsidRPr="00AA4A85" w:rsidP="00247BCC">
            <w:pPr>
              <w:pStyle w:val="CSBody0"/>
              <w:rPr>
                <w:lang w:val="de-DE"/>
              </w:rPr>
            </w:pPr>
            <w:r w:rsidRPr="00BB73EB">
              <w:rPr>
                <w:lang w:val="de-DE"/>
              </w:rPr>
              <w:t xml:space="preserve">Am 1. Januar 2013 sind Staatsverträge der Schweiz mit dem Vereinigten Königreich und Österreich (beides </w:t>
            </w:r>
            <w:r w:rsidRPr="00DF7D1F">
              <w:rPr>
                <w:b/>
                <w:lang w:val="de-DE"/>
              </w:rPr>
              <w:t>Vertragsstaaten</w:t>
            </w:r>
            <w:r w:rsidRPr="00BB73EB">
              <w:rPr>
                <w:lang w:val="de-DE"/>
              </w:rPr>
              <w:t>) in Kraft getreten, welche eine Quellensteuer mit abgeltender Wirkung (internationale Quellensteuer) vorsehen. Diese Staatsverträge verpflichten eine Schweizer Zahlstelle (wie in den Staatsverträgen definiert), eine proportionale Quellensteuer mit abgeltender Wirkung (internationale Quellensteuer) zu den jeweils in den Staatsverträgen festgelegten Steuersätzen auf bestimmten Gewinnen und anderen Erträgen (Zinserträge, Dividendenerträge, andere Erträge), jeweils wie in den Staatsverträgen definiert, zu erheben, welche auf Vermögenswerten, inklusive der Komplexen Produkte, erzielt werden, die auf einem Konto oder Depot bei einer Schweizer Zahlstelle (i) durch eine natürliche Personen, die in einem Vertragsstaat ansässig ist, oder (ii) unter bestimmten Voraussetzungen durch Sitzgesellschaften, durch eine Versicherungsgesellschaft in Verbindung mit einem Lebensversicherungsmantel oder durch andere natürliche Personen, sofern der wirtschaftlich Berechtigte in einem Vertragsstaat ansässig ist, gehalten werden. Die proportionale Quellensteuer mit abgeltender Wirkung tritt an die Stelle der ordentlichen Einkommenssteuer, welche eine natürliche Person, die in einem Vertragsstaat ansässig ist, auf solchen Gewinnen und Erträgen dort schuldet. Anstelle der Quellensteuer mit abgeltender Wirkung können sich die betroffenen natürlichen Personen für eine freiwillige Meldung der betreffenden Gewinne und Erträge an die Steuerbehörden ihres Ansässigkeitsstaates entscheiden.</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hideMark/>
          </w:tcPr>
          <w:p w:rsidR="0033731A" w:rsidRPr="0046463E" w:rsidP="00960E1D">
            <w:pPr>
              <w:pStyle w:val="CSbody0bold"/>
              <w:rPr>
                <w:rFonts w:eastAsia="Times New Roman"/>
                <w:szCs w:val="20"/>
                <w:lang w:val="en-GB" w:eastAsia="de-DE"/>
              </w:rPr>
            </w:pPr>
            <w:r w:rsidRPr="0046463E">
              <w:rPr>
                <w:lang w:val="en-GB"/>
              </w:rPr>
              <w:t>Swiss Implementation of the EU Savings Tax Directive</w:t>
            </w:r>
          </w:p>
        </w:tc>
        <w:tc>
          <w:tcPr>
            <w:tcW w:w="2487" w:type="pct"/>
            <w:tcBorders>
              <w:top w:val="nil"/>
              <w:left w:val="single" w:sz="4" w:space="0" w:color="auto"/>
              <w:bottom w:val="nil"/>
              <w:right w:val="nil"/>
            </w:tcBorders>
            <w:hideMark/>
          </w:tcPr>
          <w:p w:rsidR="0033731A" w:rsidRPr="00C02D5B" w:rsidP="00960E1D">
            <w:pPr>
              <w:pStyle w:val="CSbody0bold"/>
              <w:rPr>
                <w:rFonts w:eastAsia="Times New Roman"/>
                <w:szCs w:val="20"/>
                <w:lang w:val="de-CH" w:eastAsia="de-DE"/>
              </w:rPr>
            </w:pPr>
            <w:r w:rsidRPr="00B34C1C">
              <w:t>Umsetzung der EU-Zinsbesteuerungsrichtlinie in der Schweiz</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960E1D" w:rsidP="00960E1D">
            <w:pPr>
              <w:pStyle w:val="CSBody0"/>
            </w:pPr>
            <w:r w:rsidRPr="00BB73EB">
              <w:t xml:space="preserve">Under the agreement between the European Community and the Confederation of Switzerland dated as of 26 October 2004 (the </w:t>
            </w:r>
            <w:r w:rsidRPr="00DF7D1F">
              <w:rPr>
                <w:b/>
              </w:rPr>
              <w:t>Agreement</w:t>
            </w:r>
            <w:r w:rsidRPr="00BB73EB">
              <w:t xml:space="preserve">) and legislation enacted by Switzerland in accordance therewith, Switzerland has adopted measures equivalent to those laid down in the EU Savings Tax Directive. Accordingly a Swiss paying agent, as defined in the Agreement and the relevant Swiss legislation, is required to deduct EU savings tax on an interest payment, as defined in the Agreement and the relevant Swiss legislation, in respect of Complex Products to an individual resident or residual entity in an EU Member State. The tax is withheld at a rate of 35% with the option of the individual to have the paying agent and/or Switzerland provide to the tax authorities of the EU Member State the details of the interest payments in lieu of the withholding. If a Complex Product classifies as </w:t>
            </w:r>
            <w:r w:rsidRPr="00DF7D1F">
              <w:rPr>
                <w:i/>
              </w:rPr>
              <w:t>transparent</w:t>
            </w:r>
            <w:r w:rsidRPr="00BB73EB">
              <w:t xml:space="preserve">, as defined above under </w:t>
            </w:r>
            <w:r w:rsidR="003B00F3">
              <w:t>"</w:t>
            </w:r>
            <w:r w:rsidRPr="00DF7D1F">
              <w:rPr>
                <w:i/>
              </w:rPr>
              <w:t>—Income Taxation, Complex Products held by Swiss resident Holders as Private Assets — Transparent and Non-Transparent Products</w:t>
            </w:r>
            <w:r w:rsidR="00BF7214">
              <w:t>"</w:t>
            </w:r>
            <w:r w:rsidRPr="00BB73EB">
              <w:t>, Swiss paying agents are not required to deduct the EU savings tax on pay-ments relating to option(s) or similar right(s). The individual may be entitled to a tax credit or refund of the withholding, provided that he or she is the beneficial owner of the interest payments and certain other conditions are met.</w:t>
            </w:r>
          </w:p>
        </w:tc>
        <w:tc>
          <w:tcPr>
            <w:tcW w:w="2487" w:type="pct"/>
            <w:tcBorders>
              <w:top w:val="nil"/>
              <w:left w:val="single" w:sz="4" w:space="0" w:color="auto"/>
              <w:bottom w:val="nil"/>
              <w:right w:val="nil"/>
            </w:tcBorders>
          </w:tcPr>
          <w:p w:rsidR="00AA4A85" w:rsidRPr="0046463E" w:rsidP="00247BCC">
            <w:pPr>
              <w:pStyle w:val="CSBody0"/>
              <w:rPr>
                <w:lang w:val="de-DE"/>
              </w:rPr>
            </w:pPr>
            <w:r w:rsidRPr="00BB73EB">
              <w:rPr>
                <w:lang w:val="de-DE"/>
              </w:rPr>
              <w:t>Der Vertrag zwischen der Europäischen Gemeinschaft und der Schweizerischen Eidgenossenschaft vom 26. Oktober 2004 (</w:t>
            </w:r>
            <w:r w:rsidRPr="00DF7D1F">
              <w:rPr>
                <w:b/>
                <w:lang w:val="de-DE"/>
              </w:rPr>
              <w:t>Vertrag</w:t>
            </w:r>
            <w:r w:rsidRPr="00BB73EB">
              <w:rPr>
                <w:lang w:val="de-DE"/>
              </w:rPr>
              <w:t>) und die diesbezüglich in der Schweiz ergangene Gesetzgebung sehen mit der EU-Zinsbesteuerungsrichtlinie gleichwertige Massnahmen vor. Sie erfordern, dass eine Schweizer Zahlstelle (wie im Vertrag und in der entsprechenden Schweizer Gesetzgebung definiert) auf Zinszahlungen (wie im Vertrag und in der entsprechenden Schweizer Gesetzgebung definiert) in Bezug auf Komplexe Produkte an eine natürliche Person in einem EU-Mitgliedstaat einen Steue</w:t>
            </w:r>
            <w:r w:rsidR="00247BCC">
              <w:rPr>
                <w:lang w:val="de-DE"/>
              </w:rPr>
              <w:t>r</w:t>
            </w:r>
            <w:r w:rsidRPr="00BB73EB">
              <w:rPr>
                <w:lang w:val="de-DE"/>
              </w:rPr>
              <w:t xml:space="preserve">rückbehalt vornimmt. Der Steuerrückbehalt beträgt 35% der Zahlung. Eine von diesem Steuerrückbehalt betroffene natürliche Person kann anstelle des Steuerrückbehalts  die Zahlstelle und/oder die Schweiz ermächtigen, die Details der Zinszahlungen gegenüber den Steuerbehörden des betreffenden EU-Mitgliedstaates offenzulegen. Falls ein Komplexes Produkt als </w:t>
            </w:r>
            <w:r w:rsidRPr="00DF7D1F">
              <w:rPr>
                <w:i/>
                <w:lang w:val="de-DE"/>
              </w:rPr>
              <w:t>transparent</w:t>
            </w:r>
            <w:r w:rsidRPr="00BB73EB">
              <w:rPr>
                <w:lang w:val="de-DE"/>
              </w:rPr>
              <w:t xml:space="preserve"> qualifiziert, wie oben definiert unter </w:t>
            </w:r>
            <w:r w:rsidR="003B00F3">
              <w:rPr>
                <w:lang w:val="de-DE"/>
              </w:rPr>
              <w:t>"</w:t>
            </w:r>
            <w:r w:rsidRPr="00DF7D1F">
              <w:rPr>
                <w:i/>
                <w:lang w:val="de-DE"/>
              </w:rPr>
              <w:t>—Einkommensbesteuerung, Komplexe Produkte, welche von in der Schweiz ansässigen Personen im Privatvermögen gehalten werden — Transparente und intransparente Produkte</w:t>
            </w:r>
            <w:r w:rsidR="00BF7214">
              <w:rPr>
                <w:lang w:val="de-DE"/>
              </w:rPr>
              <w:t>"</w:t>
            </w:r>
            <w:r w:rsidRPr="00BB73EB">
              <w:rPr>
                <w:lang w:val="de-DE"/>
              </w:rPr>
              <w:t>, unterliegen Zahlungen in Bezug auf Optionen oder ähnliche Rechte nicht der EU-Zinsbesteuerung. Der wirtschaftlich Berechtigte der Zinszahlung ist allenfalls zu einer Anrechnung oder Rückerstattung dieses Steuerrückbehalts berechtigt, sofern gewisse Voraussetzungen erfüllt sind.</w:t>
            </w:r>
          </w:p>
        </w:tc>
      </w:tr>
      <w:tr w:rsidTr="0091684B">
        <w:tblPrEx>
          <w:tblW w:w="5000" w:type="pct"/>
          <w:tblInd w:w="13" w:type="dxa"/>
          <w:tblLayout w:type="fixed"/>
          <w:tblLook w:val="04A0"/>
        </w:tblPrEx>
        <w:tc>
          <w:tcPr>
            <w:tcW w:w="2513" w:type="pct"/>
            <w:gridSpan w:val="2"/>
            <w:tcBorders>
              <w:top w:val="nil"/>
              <w:left w:val="nil"/>
              <w:bottom w:val="nil"/>
              <w:right w:val="single" w:sz="4" w:space="0" w:color="auto"/>
            </w:tcBorders>
          </w:tcPr>
          <w:p w:rsidR="00AA4A85" w:rsidRPr="00256459" w:rsidP="00C9150B">
            <w:pPr>
              <w:pStyle w:val="CSBody0"/>
            </w:pPr>
            <w:r w:rsidRPr="00BB73EB">
              <w:t>In connection with the Council Directive 2014/48/EU adopted by the Council of the European Union on 24 March 2014 and the Council Directive 2014/107/EG adopted by it on 9 December 2014, Switzerland and the European Community signed, on 27 May 2015, an amendment protocol to the Agreement, which would introduce, if ratified, an extended automatic exchange of information regime in accordance with the Global Standard released by the Council of the Organisation for Economic Cooperation and Development (OECD) in July 2014, in lieu of the withholding system, beginning in 2018.</w:t>
            </w:r>
          </w:p>
        </w:tc>
        <w:tc>
          <w:tcPr>
            <w:tcW w:w="2487" w:type="pct"/>
            <w:tcBorders>
              <w:top w:val="nil"/>
              <w:left w:val="single" w:sz="4" w:space="0" w:color="auto"/>
              <w:bottom w:val="nil"/>
              <w:right w:val="nil"/>
            </w:tcBorders>
          </w:tcPr>
          <w:p w:rsidR="00AA4A85" w:rsidRPr="00AA4A85" w:rsidP="00C9150B">
            <w:pPr>
              <w:pStyle w:val="CSBody0"/>
              <w:rPr>
                <w:lang w:val="de-DE"/>
              </w:rPr>
            </w:pPr>
            <w:r w:rsidRPr="00BB73EB">
              <w:rPr>
                <w:lang w:val="de-DE"/>
              </w:rPr>
              <w:t>Im Zusammenhang mit der vom Rat der Europäischen Kommission am 24. März 2014 angenommenen Ratsrichtlinie 2014/48/EU und der von diesem am 9. Dezember 2014 angenommenen Ratsrichtlinie 2014/107/EG, haben die Schweiz und die Europäische Kommission am 27. Mai 2015 ein Änderungsprotokoll unterzeichnet, welches, wenn es ratifiziert wird, ab 2018 statt des Steuerabzugs einen erweiterten Informationsaustausch entsprechend dem globalen Standard des Rates der Organisation für wirtschaftliche Zusammenarbeit und Entwicklung (OECD) vom Juli 2014 einführen würde.</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C02D5B" w:rsidP="00C05E6E">
            <w:pPr>
              <w:pStyle w:val="CSbody0bold"/>
            </w:pPr>
            <w:r w:rsidRPr="00C02D5B">
              <w:t>Germany</w:t>
            </w:r>
          </w:p>
        </w:tc>
        <w:tc>
          <w:tcPr>
            <w:tcW w:w="2487" w:type="pct"/>
            <w:tcBorders>
              <w:left w:val="single" w:sz="4" w:space="0" w:color="auto"/>
            </w:tcBorders>
            <w:shd w:val="clear" w:color="auto" w:fill="auto"/>
          </w:tcPr>
          <w:p w:rsidR="0033731A" w:rsidRPr="00C02D5B" w:rsidP="00C05E6E">
            <w:pPr>
              <w:pStyle w:val="CSbody0bold"/>
              <w:rPr>
                <w:i/>
              </w:rPr>
            </w:pPr>
            <w:r w:rsidRPr="00C02D5B">
              <w:t>Deutschland</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46463E" w:rsidP="0091684B">
            <w:pPr>
              <w:pStyle w:val="CSbody0bold"/>
              <w:rPr>
                <w:lang w:val="en-GB"/>
              </w:rPr>
            </w:pPr>
            <w:r w:rsidRPr="0046463E">
              <w:rPr>
                <w:lang w:val="en-GB"/>
              </w:rPr>
              <w:t>The following is a general discussion of certain German tax consequences of the acquisition, holding, disposal and redemption of Complex Products. It does not purport to be a comprehensive description of all tax considerations that may be relevant to a decision to purchase Complex Products, and, in particular, does not consider any specific facts or circumstances that may apply to a particular purchaser. This summary is based on the tax laws of Germany currently in force and as applied on the date of the Base Prospectus, which are subject to change, possibly with retroactive or retrospective effect.</w:t>
            </w:r>
          </w:p>
        </w:tc>
        <w:tc>
          <w:tcPr>
            <w:tcW w:w="2487" w:type="pct"/>
            <w:tcBorders>
              <w:left w:val="single" w:sz="4" w:space="0" w:color="auto"/>
            </w:tcBorders>
            <w:shd w:val="clear" w:color="auto" w:fill="auto"/>
          </w:tcPr>
          <w:p w:rsidR="00AA4A85" w:rsidRPr="00AA4A85" w:rsidP="0091684B">
            <w:pPr>
              <w:pStyle w:val="CSbody0bold"/>
            </w:pPr>
            <w:r w:rsidRPr="00AA4A85">
              <w:t xml:space="preserve">Im Folgenden werden bestimmte steuerliche Folgen des Erwerbs, des Haltens, der Veräusserung und der Rückzahlung von Komplexen Produkten aus deutscher Sicht dargestellt. Es handelt sich dabei nicht um eine umfassende Beschreibung aller steuerlichen Gesichtspunkte, die für eine Entscheidung zum Kauf Komplexer Produkte eine Rolle spielen können; insbesondere bleiben spezifische Tatsachen oder Umstände, die den einzelnen Erwerber betreffen können, ausser Betracht. Diese Übersicht basiert auf den zum Datum des Basisprospekts in Deutschland geltenden und angewandten Steuergesetzen, die </w:t>
            </w:r>
            <w:r w:rsidRPr="00EE2FB6" w:rsidR="00F15E0A">
              <w:rPr>
                <w:i/>
              </w:rPr>
              <w:t>—</w:t>
            </w:r>
            <w:r w:rsidRPr="00AA4A85">
              <w:t xml:space="preserve"> möglicherweise rückwirkenden </w:t>
            </w:r>
            <w:r w:rsidRPr="00EE2FB6" w:rsidR="00F15E0A">
              <w:rPr>
                <w:i/>
              </w:rPr>
              <w:t>—</w:t>
            </w:r>
            <w:r w:rsidRPr="00AA4A85">
              <w:t xml:space="preserve"> Änderungen unterliegen können.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46463E" w:rsidP="00C05E6E">
            <w:pPr>
              <w:pStyle w:val="CSbody0bold"/>
              <w:rPr>
                <w:lang w:val="en-GB"/>
              </w:rPr>
            </w:pPr>
            <w:r w:rsidRPr="0046463E">
              <w:rPr>
                <w:lang w:val="en-GB"/>
              </w:rPr>
              <w:t>As each tranche or series of Complex Products may be subject to a different tax treatment due to the specific terms of such tranche or series of Complex Products as set out in the respective Final Terms, the following section only provides some very general information on the possible tax treatment. Tax consequences that may arise if an investor combines certain series of Complex Products so that he or she derives a certain return are not discussed herein.</w:t>
            </w:r>
          </w:p>
        </w:tc>
        <w:tc>
          <w:tcPr>
            <w:tcW w:w="2487" w:type="pct"/>
            <w:tcBorders>
              <w:left w:val="single" w:sz="4" w:space="0" w:color="auto"/>
            </w:tcBorders>
            <w:shd w:val="clear" w:color="auto" w:fill="auto"/>
          </w:tcPr>
          <w:p w:rsidR="00AA4A85" w:rsidRPr="00AA4A85" w:rsidP="00C05E6E">
            <w:pPr>
              <w:pStyle w:val="CSbody0bold"/>
            </w:pPr>
            <w:r w:rsidRPr="00AA4A85">
              <w:t>Da jede Tranche oder Serie von Komplexen Produkten aufgrund der jeweiligen Ausstattung dieser Tranche oder Serie von Komplexen Produkten (gemäss ihren Endgültigen Bedingungen) einer unterschiedlichen steuerlichen Behandlung unterliegen kann, enthält der folgende Abschnitt nur einige sehr allgemeine Angaben zu einer möglichen steuerlichen Behandlung. Die steuerlichen Folgen, die sich ergeben können, wenn ein Anleger bestimmte Serien von Komplexen Produkten kombiniert, um eine bestimmte Rendite zu erzielen, sind hier nicht dargestellt.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46463E" w:rsidP="00C05E6E">
            <w:pPr>
              <w:pStyle w:val="CSbody0bold"/>
              <w:rPr>
                <w:lang w:val="en-GB"/>
              </w:rPr>
            </w:pPr>
            <w:r w:rsidRPr="0046463E">
              <w:rPr>
                <w:lang w:val="en-GB"/>
              </w:rPr>
              <w:t>Prospective purchasers of Complex Products are advised to consult their own tax advisors as to the tax consequences of the purchase, ownership, disposal and redemption of Complex Products, including the effect of any state, local or church taxes, under the tax laws of Germany and any country of which they are resident or whose tax laws apply to them for other reasons.</w:t>
            </w:r>
          </w:p>
        </w:tc>
        <w:tc>
          <w:tcPr>
            <w:tcW w:w="2487" w:type="pct"/>
            <w:tcBorders>
              <w:left w:val="single" w:sz="4" w:space="0" w:color="auto"/>
            </w:tcBorders>
            <w:shd w:val="clear" w:color="auto" w:fill="auto"/>
          </w:tcPr>
          <w:p w:rsidR="00AA4A85" w:rsidRPr="00AA4A85" w:rsidP="00C05E6E">
            <w:pPr>
              <w:pStyle w:val="CSbody0bold"/>
            </w:pPr>
            <w:r w:rsidRPr="00AA4A85">
              <w:t>Potenziellen Erwerbern von Komplexen Produkten wird empfohlen, wegen der steuerlichen Folgen des Erwerbs, des Haltens, der Veräusserung und der Rückzahlung von Komplexen Produkten einschliesslich etwaiger Landes- bzw. Kommunalsteuern oder Kirchensteuern, nach den in Deutschland bzw. in dem Land, in dem sie ansässig sind oder dessen Steuergesetze auf sonstiger Grundlage für sie gelten, ihren Steuerberater zu Rate zu ziehen.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6463E" w:rsidP="0091684B">
            <w:pPr>
              <w:pStyle w:val="CSbody0bold"/>
              <w:rPr>
                <w:i/>
                <w:lang w:val="en-GB"/>
              </w:rPr>
            </w:pPr>
            <w:r>
              <w:rPr>
                <w:lang w:val="en-GB"/>
              </w:rPr>
              <w:t>German t</w:t>
            </w:r>
            <w:r w:rsidRPr="0046463E">
              <w:rPr>
                <w:lang w:val="en-GB"/>
              </w:rPr>
              <w:t>ax-resident non-business holders</w:t>
            </w:r>
          </w:p>
        </w:tc>
        <w:tc>
          <w:tcPr>
            <w:tcW w:w="2487" w:type="pct"/>
            <w:tcBorders>
              <w:left w:val="single" w:sz="4" w:space="0" w:color="auto"/>
            </w:tcBorders>
            <w:shd w:val="clear" w:color="auto" w:fill="auto"/>
          </w:tcPr>
          <w:p w:rsidR="0033731A" w:rsidRPr="00C02D5B" w:rsidP="00C05E6E">
            <w:pPr>
              <w:pStyle w:val="CSbody0bold"/>
              <w:rPr>
                <w:i/>
              </w:rPr>
            </w:pPr>
            <w:r>
              <w:t xml:space="preserve">Deutsche </w:t>
            </w:r>
            <w:r w:rsidRPr="00C02D5B">
              <w:t>Steuerinländer, Besteuerung im Privatvermögen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D940D4" w:rsidP="00C05E6E">
            <w:pPr>
              <w:pStyle w:val="CSBody0"/>
            </w:pPr>
            <w:r w:rsidRPr="00D940D4">
              <w:t>This section refers to individual persons who are tax residents of Germany (</w:t>
            </w:r>
            <w:r w:rsidRPr="007E3558" w:rsidR="007E3558">
              <w:rPr>
                <w:i/>
              </w:rPr>
              <w:t>i.e.</w:t>
            </w:r>
            <w:r w:rsidRPr="00D940D4">
              <w:t xml:space="preserve"> persons whose residence or habitual abode is located in Germany) and hold Complex Products as non-business assets (</w:t>
            </w:r>
            <w:r w:rsidRPr="007D1685">
              <w:rPr>
                <w:i/>
              </w:rPr>
              <w:t>steuerliches Privatvermögen</w:t>
            </w:r>
            <w:r w:rsidRPr="00D940D4">
              <w:t>).</w:t>
            </w:r>
          </w:p>
        </w:tc>
        <w:tc>
          <w:tcPr>
            <w:tcW w:w="2487" w:type="pct"/>
            <w:tcBorders>
              <w:left w:val="single" w:sz="4" w:space="0" w:color="auto"/>
            </w:tcBorders>
            <w:shd w:val="clear" w:color="auto" w:fill="auto"/>
          </w:tcPr>
          <w:p w:rsidR="00AA4A85" w:rsidRPr="00AA4A85" w:rsidP="0091684B">
            <w:pPr>
              <w:pStyle w:val="CSBody0"/>
              <w:rPr>
                <w:lang w:val="de-DE"/>
              </w:rPr>
            </w:pPr>
            <w:r w:rsidRPr="00AA4A85">
              <w:rPr>
                <w:lang w:val="de-DE"/>
              </w:rPr>
              <w:t xml:space="preserve">Der folgende Abschnitt </w:t>
            </w:r>
            <w:r w:rsidR="0091684B">
              <w:rPr>
                <w:lang w:val="de-DE"/>
              </w:rPr>
              <w:t>betrifft</w:t>
            </w:r>
            <w:r w:rsidRPr="00AA4A85">
              <w:rPr>
                <w:lang w:val="de-DE"/>
              </w:rPr>
              <w:t xml:space="preserve"> natürliche Personen, die in Deutschland steuerlich ansässig sind (d.h. deren Wohnsitz oder ständiger Aufenthalt sich in Deutschland befindet) und die Komplexe Produkte in ihrem steuerlichen Privatvermögen halten.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40EF7" w:rsidP="00C05E6E">
            <w:pPr>
              <w:pStyle w:val="CSBody0"/>
            </w:pPr>
            <w:r w:rsidRPr="00440EF7">
              <w:t>Withholding tax</w:t>
            </w:r>
          </w:p>
        </w:tc>
        <w:tc>
          <w:tcPr>
            <w:tcW w:w="2487" w:type="pct"/>
            <w:tcBorders>
              <w:left w:val="single" w:sz="4" w:space="0" w:color="auto"/>
            </w:tcBorders>
            <w:shd w:val="clear" w:color="auto" w:fill="auto"/>
          </w:tcPr>
          <w:p w:rsidR="0033731A" w:rsidRPr="00440EF7" w:rsidP="00C05E6E">
            <w:pPr>
              <w:pStyle w:val="CSBody0"/>
            </w:pPr>
            <w:r w:rsidRPr="00440EF7">
              <w:t>Kapitalertragsteuer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53393B" w:rsidP="007D1685">
            <w:pPr>
              <w:pStyle w:val="CSBody0"/>
            </w:pPr>
            <w:r w:rsidRPr="0053393B">
              <w:t xml:space="preserve">Payments under a Complex Product to such a holder will be subject to German withholding tax if such Complex Product is kept </w:t>
            </w:r>
            <w:r w:rsidR="0091684B">
              <w:t xml:space="preserve">or administrated </w:t>
            </w:r>
            <w:r w:rsidRPr="0053393B">
              <w:t>in a custodial account with a German branch of a German or non-German bank or financial services institution, a German securities trading company or a German securities trading bank (each, a "</w:t>
            </w:r>
            <w:r w:rsidRPr="00C05E6E">
              <w:rPr>
                <w:b/>
              </w:rPr>
              <w:t>Disbursing Agent</w:t>
            </w:r>
            <w:r w:rsidRPr="0053393B">
              <w:t xml:space="preserve">", </w:t>
            </w:r>
            <w:r w:rsidRPr="007D1685">
              <w:rPr>
                <w:i/>
              </w:rPr>
              <w:t>auszahlende Stelle</w:t>
            </w:r>
            <w:r w:rsidRPr="0053393B">
              <w:t xml:space="preserve">). Proceeds received upon redemption or disposal of a Complex Product will generally only be subject to withholding tax to the extent they exceed the acquisition cost of such Complex Product plus transaction expenses if such Complex Product has been held in a custodial account with the same Disbursing Agent since its acquisition by the holder or the current Disbursing Agent has been duly notified by the previous Disbursing Agent or by a statement of a bank or financial services institution </w:t>
            </w:r>
            <w:r w:rsidR="005106D6">
              <w:t>from another Member State of the European Union or</w:t>
            </w:r>
            <w:r w:rsidRPr="0053393B" w:rsidR="005106D6">
              <w:t xml:space="preserve"> </w:t>
            </w:r>
            <w:r w:rsidRPr="0053393B">
              <w:t xml:space="preserve">the European Economic Area or </w:t>
            </w:r>
            <w:r w:rsidR="007D1685">
              <w:t xml:space="preserve">from </w:t>
            </w:r>
            <w:r w:rsidRPr="0053393B">
              <w:t>certain other countries in accordance with art. 17 para. 2 of the Directive (</w:t>
            </w:r>
            <w:r w:rsidRPr="007E3558" w:rsidR="007E3558">
              <w:rPr>
                <w:i/>
              </w:rPr>
              <w:t>e.g.</w:t>
            </w:r>
            <w:r w:rsidRPr="0053393B">
              <w:t xml:space="preserve"> Switzerland or Andorra) of such costs and expenses. Otherwise 30</w:t>
            </w:r>
            <w:r w:rsidR="007D1685">
              <w:t xml:space="preserve"> </w:t>
            </w:r>
            <w:r w:rsidRPr="0053393B">
              <w:t>per cent. of the proceeds will be subject to withholding tax.</w:t>
            </w:r>
          </w:p>
        </w:tc>
        <w:tc>
          <w:tcPr>
            <w:tcW w:w="2487" w:type="pct"/>
            <w:tcBorders>
              <w:left w:val="single" w:sz="4" w:space="0" w:color="auto"/>
            </w:tcBorders>
          </w:tcPr>
          <w:p w:rsidR="00AA4A85" w:rsidRPr="00F15E0A" w:rsidP="00185FD9">
            <w:pPr>
              <w:pStyle w:val="CSBody0"/>
              <w:rPr>
                <w:lang w:val="de-DE"/>
              </w:rPr>
            </w:pPr>
            <w:r w:rsidRPr="00AA4A85">
              <w:rPr>
                <w:lang w:val="de-DE"/>
              </w:rPr>
              <w:t>Werden Komplexe Produkte in einem Wertpapierdepot verwahrt</w:t>
            </w:r>
            <w:r w:rsidR="0091684B">
              <w:rPr>
                <w:lang w:val="de-DE"/>
              </w:rPr>
              <w:t xml:space="preserve"> oder verwaltet</w:t>
            </w:r>
            <w:r w:rsidRPr="00AA4A85">
              <w:rPr>
                <w:lang w:val="de-DE"/>
              </w:rPr>
              <w:t>, das der Inhaber bei einer deutschen Zweigstelle eines deutschen oder ausländischen Kredit- oder Finanzdienstleistungsinstituts, einem deutschen Wertpapierhandelsunternehmen oder einer deutschen Wertpapierhandelsbank (jeweils eine "</w:t>
            </w:r>
            <w:r w:rsidRPr="00C05E6E">
              <w:rPr>
                <w:b/>
                <w:lang w:val="de-DE"/>
              </w:rPr>
              <w:t>Auszahlende Stelle</w:t>
            </w:r>
            <w:r w:rsidRPr="00AA4A85">
              <w:rPr>
                <w:lang w:val="de-DE"/>
              </w:rPr>
              <w:t xml:space="preserve">") unterhält, wird in Deutschland auf Zahlungen auf ein Komplexes Produkt Kapitalertragsteuer erhoben. Die Kapitalertragsteuer wird grundsätzlich auf die Einnahmen aus der Rückzahlung oder dem Verkauf eines Komplexen Produkts nur insoweit erhoben, als sie die Anschaffungskosten dieses Komplexen Produkts zuzüglich Transaktionskosten übersteigen, sofern das Komplexe Produkt seit seiner Anschaffung durch den Inhaber in einem Depot bei derselben Auszahlenden Stelle verwahrt worden ist oder der aktuellen Auszahlenden Stelle von der bisherigen Auszahlenden Stelle oder durch eine Bescheinigung eines Kredit- oder Finanzdienstleistungsinstituts </w:t>
            </w:r>
            <w:r w:rsidR="005106D6">
              <w:rPr>
                <w:lang w:val="de-DE"/>
              </w:rPr>
              <w:t>aus der Europäischen Union oder</w:t>
            </w:r>
            <w:r w:rsidRPr="00AA4A85" w:rsidR="005106D6">
              <w:rPr>
                <w:lang w:val="de-DE"/>
              </w:rPr>
              <w:t xml:space="preserve"> </w:t>
            </w:r>
            <w:r w:rsidRPr="00AA4A85">
              <w:rPr>
                <w:lang w:val="de-DE"/>
              </w:rPr>
              <w:t xml:space="preserve">des Europäischen Wirtschaftsraums oder </w:t>
            </w:r>
            <w:r w:rsidR="005106D6">
              <w:rPr>
                <w:lang w:val="de-DE"/>
              </w:rPr>
              <w:t xml:space="preserve">aus </w:t>
            </w:r>
            <w:r w:rsidRPr="00AA4A85">
              <w:rPr>
                <w:lang w:val="de-DE"/>
              </w:rPr>
              <w:t>gewisse</w:t>
            </w:r>
            <w:r w:rsidR="005106D6">
              <w:rPr>
                <w:lang w:val="de-DE"/>
              </w:rPr>
              <w:t>n</w:t>
            </w:r>
            <w:r w:rsidRPr="00AA4A85">
              <w:rPr>
                <w:lang w:val="de-DE"/>
              </w:rPr>
              <w:t xml:space="preserve"> andere</w:t>
            </w:r>
            <w:r w:rsidR="005106D6">
              <w:rPr>
                <w:lang w:val="de-DE"/>
              </w:rPr>
              <w:t>n</w:t>
            </w:r>
            <w:r w:rsidRPr="00AA4A85">
              <w:rPr>
                <w:lang w:val="de-DE"/>
              </w:rPr>
              <w:t xml:space="preserve"> Vertragsstaaten nach Art. 17 Abs. 2 der Richtlinie (</w:t>
            </w:r>
            <w:r w:rsidRPr="007D1685">
              <w:rPr>
                <w:i/>
                <w:lang w:val="de-DE"/>
              </w:rPr>
              <w:t>z.B.</w:t>
            </w:r>
            <w:r w:rsidRPr="00AA4A85">
              <w:rPr>
                <w:lang w:val="de-DE"/>
              </w:rPr>
              <w:t xml:space="preserve"> Schweiz oder Andorra) diese Kosten und Aufwendungen ordnungsgemäss mitgeteilt worden sind. </w:t>
            </w:r>
            <w:r w:rsidRPr="00F15E0A">
              <w:rPr>
                <w:lang w:val="de-DE"/>
              </w:rPr>
              <w:t>Anderenfalls wird der Steuerabzug auf 30 Prozent der Einnahmen erhoben.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53393B">
            <w:pPr>
              <w:pStyle w:val="CSBody0"/>
            </w:pPr>
            <w:r w:rsidRPr="00253748">
              <w:t xml:space="preserve">If similar Complex Products kept or administrated in the same custodial account were acquired at different points in time, the Complex Products first acquired will be deemed to have been sold first for the purposes of determining the capital gains. </w:t>
            </w:r>
            <w:r w:rsidRPr="0053393B">
              <w:t xml:space="preserve">Where Complex Products are </w:t>
            </w:r>
            <w:r>
              <w:t>a</w:t>
            </w:r>
            <w:r w:rsidR="002F1A81">
              <w:t>c</w:t>
            </w:r>
            <w:r>
              <w:t>quired and/or sold or redeemed</w:t>
            </w:r>
            <w:r w:rsidRPr="0053393B">
              <w:t xml:space="preserve"> </w:t>
            </w:r>
            <w:r w:rsidRPr="0053393B">
              <w:t>in a currency other than Euro</w:t>
            </w:r>
            <w:r>
              <w:t xml:space="preserve">, </w:t>
            </w:r>
            <w:r w:rsidRPr="00253748">
              <w:t>the sales/redemption price and the acquisition costs have to be converted into Euro on the basis of the foreign exchange rates prevailing on the sale or redemption date and the acquisition date respectively with the result that</w:t>
            </w:r>
            <w:r w:rsidRPr="0053393B">
              <w:t xml:space="preserve"> any currency gains or losses have to be taken into account. If interest coupons or interest claims are disposed of separately (</w:t>
            </w:r>
            <w:r w:rsidRPr="007E3558" w:rsidR="007E3558">
              <w:rPr>
                <w:i/>
              </w:rPr>
              <w:t>i.e.</w:t>
            </w:r>
            <w:r w:rsidRPr="0053393B">
              <w:t xml:space="preserve"> without the Complex Products), the proceeds from the disposition are subject to withholding tax. The same applies to proceeds from the redemption of interest coupons or interest claims if the Complex Products have been disposed of separately.</w:t>
            </w:r>
          </w:p>
        </w:tc>
        <w:tc>
          <w:tcPr>
            <w:tcW w:w="2487" w:type="pct"/>
            <w:tcBorders>
              <w:left w:val="single" w:sz="4" w:space="0" w:color="auto"/>
            </w:tcBorders>
            <w:shd w:val="clear" w:color="auto" w:fill="auto"/>
          </w:tcPr>
          <w:p w:rsidR="00AA4A85" w:rsidRPr="00AA4A85">
            <w:pPr>
              <w:pStyle w:val="CSBody0"/>
              <w:rPr>
                <w:lang w:val="de-DE"/>
              </w:rPr>
            </w:pPr>
            <w:r w:rsidRPr="00253748">
              <w:rPr>
                <w:lang w:val="de-DE"/>
              </w:rPr>
              <w:t xml:space="preserve">Wurden in dem selben Wertpapierdepot verwahrte oder verwaltete gleichartige Komplexe Produkte zu unterschiedlichen Zeitpunkten angeschafft, gelten die zuerst angeschafften Komplexen Produkte für Zwecke der Ermittlung des Veräusserungsgewinns als zuerst veräussert. </w:t>
            </w:r>
            <w:r w:rsidRPr="00AA4A85">
              <w:rPr>
                <w:lang w:val="de-DE"/>
              </w:rPr>
              <w:t xml:space="preserve">Sofern die Komplexen Produkte nicht in Euro </w:t>
            </w:r>
            <w:r>
              <w:rPr>
                <w:lang w:val="de-DE"/>
              </w:rPr>
              <w:t>sondern in fremder Währung erworben,</w:t>
            </w:r>
            <w:r w:rsidRPr="00185FD9">
              <w:rPr>
                <w:lang w:val="de-DE"/>
              </w:rPr>
              <w:t xml:space="preserve"> </w:t>
            </w:r>
            <w:r w:rsidRPr="00253748">
              <w:rPr>
                <w:lang w:val="de-DE"/>
              </w:rPr>
              <w:t>veräussert oder eingelöst werden, sind die Veräusserungs- oder Einlösungserlöse und die Anschaffungskosten auf Basis des zum jeweiligen Veräusserungs- bzw. Anschaffungszeitpunkt geltenden Wechselkurses in Euro umzurechnen, so dass</w:t>
            </w:r>
            <w:r w:rsidRPr="00AA4A85">
              <w:rPr>
                <w:lang w:val="de-DE"/>
              </w:rPr>
              <w:t xml:space="preserve"> Währungsgewinne bzw. </w:t>
            </w:r>
            <w:r w:rsidR="007D1685">
              <w:rPr>
                <w:lang w:val="de-DE"/>
              </w:rPr>
              <w:t>–</w:t>
            </w:r>
            <w:r w:rsidRPr="00AA4A85">
              <w:rPr>
                <w:lang w:val="de-DE"/>
              </w:rPr>
              <w:t>verluste</w:t>
            </w:r>
            <w:r w:rsidR="007D1685">
              <w:rPr>
                <w:lang w:val="de-DE"/>
              </w:rPr>
              <w:t xml:space="preserve"> </w:t>
            </w:r>
            <w:r>
              <w:rPr>
                <w:lang w:val="de-DE"/>
              </w:rPr>
              <w:t>Teil des Veräusserungsgewinns sind</w:t>
            </w:r>
            <w:r w:rsidRPr="00AA4A85">
              <w:rPr>
                <w:lang w:val="de-DE"/>
              </w:rPr>
              <w:t>. Der Gewinn aus der getrennten Veräusserung von Zinsscheinen und Zinsforderungen (d.h. ohne Veräusserung dazugehöriger Komplexer Produkte) unterliegt ebenfalls dem Kapitalertragsteuerabzug. Gleiches gilt für die separate Einlösung von Zinsscheinen und Zinsforderungen durch den ehemaligen Inhaber Komplexer Produkte.</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53393B" w:rsidP="00C05E6E">
            <w:pPr>
              <w:pStyle w:val="CSBody0"/>
            </w:pPr>
            <w:r w:rsidRPr="0053393B">
              <w:t>If Complex Products qualifying for taxation purposes as contract for difference (</w:t>
            </w:r>
            <w:r w:rsidRPr="00C05E6E">
              <w:rPr>
                <w:i/>
              </w:rPr>
              <w:t>Termingeschäft</w:t>
            </w:r>
            <w:r w:rsidRPr="0053393B">
              <w:t>) according to sec. 20 para. 2 sent. 1 no. 3 German Income Tax Act (</w:t>
            </w:r>
            <w:r w:rsidRPr="007D1685">
              <w:rPr>
                <w:i/>
              </w:rPr>
              <w:t>Einkommensteuergesetz</w:t>
            </w:r>
            <w:r w:rsidRPr="0053393B">
              <w:t>) are settled by a cash payment, capital gains realised upon exercise (</w:t>
            </w:r>
            <w:r w:rsidRPr="007E3558" w:rsidR="007E3558">
              <w:rPr>
                <w:i/>
              </w:rPr>
              <w:t>i.e.</w:t>
            </w:r>
            <w:r w:rsidRPr="0053393B">
              <w:t xml:space="preserve"> the cash amount received minus directly related costs and expenses, </w:t>
            </w:r>
            <w:r w:rsidRPr="007E3558" w:rsidR="007E3558">
              <w:rPr>
                <w:i/>
              </w:rPr>
              <w:t>e.g.</w:t>
            </w:r>
            <w:r w:rsidRPr="0053393B">
              <w:t xml:space="preserve"> the acquisition costs) are subject to withholding tax. In the event of physical delivery, the acquisition costs of such Complex Product plus any additional sum paid upon exercise are generally regarded as acquisition costs of the underlying assets received upon physical settlement. Withholding tax may then apply to any gain resulting from the subsequent disposal, redemption, repayment or assignment of the assets received. In case of certain assets being the underlying (</w:t>
            </w:r>
            <w:r w:rsidRPr="007E3558" w:rsidR="007E3558">
              <w:rPr>
                <w:i/>
              </w:rPr>
              <w:t>e.g.</w:t>
            </w:r>
            <w:r w:rsidRPr="0053393B">
              <w:t xml:space="preserve"> commodities or currencies) a subsequent sale of the underlying received may not be subject to German withholding tax as outlined in this section but any disposal gain may be fully taxable at the personal income tax rate of the individual holder.</w:t>
            </w:r>
          </w:p>
        </w:tc>
        <w:tc>
          <w:tcPr>
            <w:tcW w:w="2487" w:type="pct"/>
            <w:tcBorders>
              <w:left w:val="single" w:sz="4" w:space="0" w:color="auto"/>
            </w:tcBorders>
            <w:shd w:val="clear" w:color="auto" w:fill="auto"/>
          </w:tcPr>
          <w:p w:rsidR="00AA4A85" w:rsidRPr="00AA4A85" w:rsidP="00C05E6E">
            <w:pPr>
              <w:pStyle w:val="CSBody0"/>
              <w:rPr>
                <w:lang w:val="de-DE"/>
              </w:rPr>
            </w:pPr>
            <w:r w:rsidRPr="00AA4A85">
              <w:rPr>
                <w:lang w:val="de-DE"/>
              </w:rPr>
              <w:t xml:space="preserve">Wenn Komplexe Produkte, die als Termingeschäfte im Sinne des </w:t>
            </w:r>
            <w:r w:rsidR="00674A5A">
              <w:rPr>
                <w:lang w:val="de-DE"/>
              </w:rPr>
              <w:t>§ </w:t>
            </w:r>
            <w:r w:rsidRPr="00AA4A85">
              <w:rPr>
                <w:lang w:val="de-DE"/>
              </w:rPr>
              <w:t>20 Abs. 2 Satz 1 Nr. 3 Einkommensteuergesetz (EStG) zu qualifizieren sind, durch Geldzahlung erfüllt werden, unterliegen die Kapitalerträge</w:t>
            </w:r>
            <w:r w:rsidR="00247BCC">
              <w:rPr>
                <w:lang w:val="de-DE"/>
              </w:rPr>
              <w:t>,</w:t>
            </w:r>
            <w:r w:rsidRPr="00AA4A85">
              <w:rPr>
                <w:lang w:val="de-DE"/>
              </w:rPr>
              <w:t xml:space="preserve"> welche bei Ausübung realisiert werden (d.h. der erhaltene Geldbetrag abzüglich direkt damit verbundener Kosten und Ausgaben, </w:t>
            </w:r>
            <w:r w:rsidRPr="007D1685">
              <w:rPr>
                <w:i/>
                <w:lang w:val="de-DE"/>
              </w:rPr>
              <w:t>z.B</w:t>
            </w:r>
            <w:r w:rsidRPr="00AA4A85">
              <w:rPr>
                <w:lang w:val="de-DE"/>
              </w:rPr>
              <w:t>. Anschaffungskosten)</w:t>
            </w:r>
            <w:r w:rsidR="00247BCC">
              <w:rPr>
                <w:lang w:val="de-DE"/>
              </w:rPr>
              <w:t>,</w:t>
            </w:r>
            <w:r w:rsidRPr="00AA4A85">
              <w:rPr>
                <w:lang w:val="de-DE"/>
              </w:rPr>
              <w:t xml:space="preserve"> der Kapitalertragsteuer. Im Falle einer physischen Lieferung werden die Anschaffungskosten des Komplexen Produkts zuzüglich etwaige zu zahlende zusätzliche Beträge als Anschaffungskosten der bei physischer Lieferung erhaltenen Wi</w:t>
            </w:r>
            <w:r w:rsidR="007D1685">
              <w:rPr>
                <w:lang w:val="de-DE"/>
              </w:rPr>
              <w:t>r</w:t>
            </w:r>
            <w:r w:rsidRPr="00AA4A85">
              <w:rPr>
                <w:lang w:val="de-DE"/>
              </w:rPr>
              <w:t>tschaftsgüter angesehen. Der Kapitalertragsteuer unterliegen gegebenenfalls Gewinne aus der anschliessenden Veräusserung, Einlösung, Rückzahlung oder Abtretung der im Gegenzug für die Komplexen Produkte erhaltenen Witschaftsgüter. Stellen bestimmte Wirtschaftsgüter die Basiswerte dar (</w:t>
            </w:r>
            <w:r w:rsidRPr="007D1685">
              <w:rPr>
                <w:i/>
                <w:lang w:val="de-DE"/>
              </w:rPr>
              <w:t>z.B.</w:t>
            </w:r>
            <w:r w:rsidRPr="00AA4A85">
              <w:rPr>
                <w:lang w:val="de-DE"/>
              </w:rPr>
              <w:t xml:space="preserve"> Rohstoffe oder Währungen), unterliegt ein anschliessender Verkauf der Wirtschaftsgüter möglicherweise nicht der Kapitalertragsteuer, wie in diesem Abschnitt beschrieben, jedoch kann ein Veräusserungsgewinn dem persönlichen Einkommensteuersatz des Anlegers unterliegen.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611C3B" w:rsidP="00185FD9">
            <w:pPr>
              <w:pStyle w:val="CSBody0"/>
            </w:pPr>
            <w:r w:rsidRPr="00611C3B">
              <w:t xml:space="preserve">In case of a physical settlement of Complex Products (not qualifying as contract for difference) which grant the Issuer or the holder the right to opt for a physical delivery of underlying securities instead of a cash payment, the acquisition costs of the Complex Products may be regarded as proceeds from the disposal of the Complex Products and </w:t>
            </w:r>
            <w:r w:rsidRPr="00F15E0A" w:rsidR="00F15E0A">
              <w:rPr>
                <w:i/>
              </w:rPr>
              <w:t>—</w:t>
            </w:r>
            <w:r w:rsidRPr="00611C3B">
              <w:t xml:space="preserve"> together with additional payments, if any, which have to be paid by the holder upon physical settlement </w:t>
            </w:r>
            <w:r w:rsidRPr="00F15E0A" w:rsidR="00F15E0A">
              <w:rPr>
                <w:i/>
              </w:rPr>
              <w:t>—</w:t>
            </w:r>
            <w:r w:rsidRPr="00611C3B">
              <w:t xml:space="preserve"> hence as acquisition costs of the Underlying received by the holder upon physical settlement; any consideration received by the holder in addition to the Underlying may be subject to withholding tax. To the extent the provision mentioned above is applicable, generally no withholding tax has to be withheld by the Disbursing Agent upon physical settlement as such exchange of the Complex Products into the Underlying does not result in a taxable gain for the Holder. However, withholding tax may then apply to any income or gain from the Underlying received in exchange for the Complex Products. In this case, the taxable gain will be the difference between the proceeds from the disposal, redemption, repayment or assignment of the Underlying and the acquisition costs of the Complex Products (after deduction of expenses related directly to the disposal and additional payments of the holder as described above, if any).</w:t>
            </w:r>
          </w:p>
        </w:tc>
        <w:tc>
          <w:tcPr>
            <w:tcW w:w="2487" w:type="pct"/>
            <w:tcBorders>
              <w:left w:val="single" w:sz="4" w:space="0" w:color="auto"/>
            </w:tcBorders>
          </w:tcPr>
          <w:p w:rsidR="00AA4A85" w:rsidRPr="00AA4A85" w:rsidP="00C05E6E">
            <w:pPr>
              <w:pStyle w:val="CSBody0"/>
              <w:rPr>
                <w:lang w:val="de-DE"/>
              </w:rPr>
            </w:pPr>
            <w:r w:rsidRPr="00AA4A85">
              <w:rPr>
                <w:lang w:val="de-DE"/>
              </w:rPr>
              <w:t xml:space="preserve">Bei Komplexen Produkten (die nicht als Termingeschäfte zu qualifizieren sind), die für den Emittenten oder den Inhaber das Recht vorsehen, bei Fälligkeit an Stelle der Zahlung eines Geldbetrags die Lieferung von Wertpapieren (Basiswerte) zu wählen, gelten bei Ausübung dieses Wahlrechts für einen Privatanleger die Anschaffungskosten für den Erwerb der Komplexen Produkte als Erlös aus der Veräusserung der Komplexen Produkte und </w:t>
            </w:r>
            <w:r w:rsidRPr="00EE2FB6" w:rsidR="00F15E0A">
              <w:rPr>
                <w:i/>
                <w:lang w:val="de-DE"/>
              </w:rPr>
              <w:t>—</w:t>
            </w:r>
            <w:r w:rsidRPr="00AA4A85">
              <w:rPr>
                <w:lang w:val="de-DE"/>
              </w:rPr>
              <w:t xml:space="preserve"> zusammen mit etwaigen zusätzlichen Zahlungen des Anlegers im Zusammenhang mit der physischen Abwicklung </w:t>
            </w:r>
            <w:r w:rsidRPr="00EE2FB6" w:rsidR="00F15E0A">
              <w:rPr>
                <w:i/>
                <w:lang w:val="de-DE"/>
              </w:rPr>
              <w:t>—</w:t>
            </w:r>
            <w:r w:rsidRPr="00AA4A85">
              <w:rPr>
                <w:lang w:val="de-DE"/>
              </w:rPr>
              <w:t xml:space="preserve"> gleichzeitig als Anschaffungskosten der Basiswerte; erhält der Anleger neben den Basiswerten zusätzlich eine Gegenleistung, unterliegt diese dem Kapitalertragsteuerabzug. Soweit die genannte Regelung zur Anwendung kommt, muss die Auszahlende Stelle bei physischer Lieferung mangels Gewinn grundsätzlich keinen Kapitalertragsteuerabzug vornehmen. Allerdings unterliegen Einkünfte und Gewinne aus den im Gegenzug für die Komplexen Produkte erhaltenen Basiswerten gegebenenfalls dem Kapitalertragsteuerabzug. Der Gewinn ist in diesem Fall die Differenz zwischen dem Erlös aus der Veräusserung, Einlösung, Rückzahlung oder Abtretung der erhaltenen Basiswerte und den Anschaffungskosten der Komplexen Produkte (unter Berücksichtigung eventueller Transaktionskosten und zusätzlicher Zahlungen wie oben beschrieben).</w:t>
            </w:r>
          </w:p>
        </w:tc>
      </w:tr>
      <w:tr w:rsidTr="0091684B">
        <w:tblPrEx>
          <w:tblW w:w="5000" w:type="pct"/>
          <w:tblInd w:w="13" w:type="dxa"/>
          <w:tblLayout w:type="fixed"/>
          <w:tblLook w:val="00A0"/>
        </w:tblPrEx>
        <w:trPr>
          <w:gridBefore w:val="1"/>
          <w:wBefore w:w="25" w:type="dxa"/>
        </w:trPr>
        <w:tc>
          <w:tcPr>
            <w:tcW w:w="2500" w:type="pct"/>
            <w:tcBorders>
              <w:right w:val="single" w:sz="4" w:space="0" w:color="auto"/>
            </w:tcBorders>
          </w:tcPr>
          <w:p w:rsidR="00253748" w:rsidRPr="00611C3B" w:rsidP="00C05E6E">
            <w:pPr>
              <w:pStyle w:val="CSBody0"/>
            </w:pPr>
            <w:r w:rsidRPr="007C3422">
              <w:t>The withholding tax rate is 25 per cent. plus a solidarity surcharge at a rate of 5.5 per cent. thereon so that the total withholding is 26.375 per cent. For individuals who are subject to church tax an electronic information system for church withholding tax purposes applies in relation to investment income, with the effect that church tax will be collected by the Disbursing Agent by way of withholding unless the investor has filed a blocking notice (</w:t>
            </w:r>
            <w:r w:rsidRPr="005233BB">
              <w:rPr>
                <w:i/>
              </w:rPr>
              <w:t>Sperrvermerk</w:t>
            </w:r>
            <w:r w:rsidRPr="007C3422">
              <w:t>) with the German Federal Central Tax Office (</w:t>
            </w:r>
            <w:r w:rsidRPr="005233BB">
              <w:rPr>
                <w:i/>
              </w:rPr>
              <w:t>Bundeszentralamt</w:t>
            </w:r>
            <w:r w:rsidRPr="007C3422">
              <w:t xml:space="preserve"> </w:t>
            </w:r>
            <w:r w:rsidRPr="005233BB">
              <w:rPr>
                <w:i/>
              </w:rPr>
              <w:t>für Steuern</w:t>
            </w:r>
            <w:r w:rsidRPr="007C3422">
              <w:t>) in which case the investor will be assessed to church tax.</w:t>
            </w:r>
          </w:p>
        </w:tc>
        <w:tc>
          <w:tcPr>
            <w:tcW w:w="2487" w:type="pct"/>
            <w:tcBorders>
              <w:left w:val="single" w:sz="4" w:space="0" w:color="auto"/>
            </w:tcBorders>
          </w:tcPr>
          <w:p w:rsidR="00253748" w:rsidRPr="00AA4A85" w:rsidP="00C05E6E">
            <w:pPr>
              <w:pStyle w:val="CSBody0"/>
              <w:rPr>
                <w:lang w:val="de-DE"/>
              </w:rPr>
            </w:pPr>
            <w:r w:rsidRPr="00185FD9">
              <w:rPr>
                <w:lang w:val="de-DE"/>
              </w:rPr>
              <w:t>Die Kapitalertragsteuer wird in Höhe von 25 % zuzüglich 5,5 % Solidaritätszuschlag darauf erhoben, so dass sich insgesamt ein Einbehalt von 26,375 % ergibt. Für natürliche Personen, die Kirchensteuerpflichtig sind, findet ein elektronisches Informationssystem zum Einbehalt der Kirchensteuer auf Kapitaleinkünfte Anwendung, mit der Folge, dass Kirchensteuer von der Auszahlenden Stelle im Wege des Einbehalts erhoben wird, es sei denn, beim Bundeszentralamt für Steuern liegt ein Sperrvermerk des Anlegers vor; in diesem Falle wird der Anleger zur Kirchensteuer veranlagt.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611C3B" w:rsidP="00F15E0A">
            <w:pPr>
              <w:pStyle w:val="CSBody0"/>
            </w:pPr>
            <w:r w:rsidRPr="00611C3B">
              <w:t>Pursuant to a tax decree issued by the German Federal Ministry of Finance dated 9 October 2012 a bad debt</w:t>
            </w:r>
            <w:r w:rsidR="00F15E0A">
              <w:t>-</w:t>
            </w:r>
            <w:r w:rsidRPr="00611C3B">
              <w:t>loss (</w:t>
            </w:r>
            <w:r w:rsidRPr="00F15E0A">
              <w:rPr>
                <w:i/>
              </w:rPr>
              <w:t>Forderungsausfall</w:t>
            </w:r>
            <w:r w:rsidRPr="00611C3B">
              <w:t>) and a waiver of a receivable (</w:t>
            </w:r>
            <w:r w:rsidRPr="00F15E0A">
              <w:rPr>
                <w:i/>
              </w:rPr>
              <w:t>Forderungsverzicht</w:t>
            </w:r>
            <w:r w:rsidRPr="00611C3B">
              <w:t>), to the extent the waiver does not qualify as a hidden capital contribution, shall not be treated like a disposal. Accordingly, losses suffered upon such bad debt-loss or waiver shall not be tax-deductible. The same rules should be applicable according to the said tax decree, if the Complex Products expire worthless so that losses may not be tax-deductible at all. A disposal of Complex Products will only be recognised according to the view of the tax authorities, if the received proceeds exceed the respective transaction costs. Where the Complex Products provide for instalment payments, such instalment payments shall always qualify as taxable savings income, unless the terms and conditions of the Complex Products provide explicit information regarding redemption or partial redemption during the term of the Complex Products and the contractual parties comply with these terms and conditions. It is further stated in the tax decree that, if, in the case of Complex Products providing for instalment payments, there is no final payment at maturity, the expiry of such Complex Products shall not be deemed as a sale, with the consequence that any remaining acquisition costs could not be deducted for tax purposes. Similarly, any remaining acquisition costs of Complex Products providing for instalment payments shall not be tax-deductible if the Complex Products do not provide for a final payment or are terminated early without a redemption payment because the respective underlying has left the defined corridor or has broken certain barriers (</w:t>
            </w:r>
            <w:r w:rsidRPr="007E3558" w:rsidR="007E3558">
              <w:rPr>
                <w:i/>
              </w:rPr>
              <w:t>e.g.</w:t>
            </w:r>
            <w:r w:rsidRPr="00611C3B">
              <w:t xml:space="preserve"> in knock-out structures). Although the tax decree only refers to instruments with instalment payments, it cannot be excluded that the German tax authorities apply the above principles also to other kinds of full</w:t>
            </w:r>
            <w:r w:rsidR="005233BB">
              <w:t xml:space="preserve"> </w:t>
            </w:r>
            <w:r w:rsidRPr="00611C3B">
              <w:t>risk securities.</w:t>
            </w:r>
          </w:p>
        </w:tc>
        <w:tc>
          <w:tcPr>
            <w:tcW w:w="2487" w:type="pct"/>
            <w:tcBorders>
              <w:left w:val="single" w:sz="4" w:space="0" w:color="auto"/>
            </w:tcBorders>
            <w:shd w:val="clear" w:color="auto" w:fill="auto"/>
          </w:tcPr>
          <w:p w:rsidR="00AA4A85" w:rsidRPr="00AA4A85" w:rsidP="00C05E6E">
            <w:pPr>
              <w:pStyle w:val="CSBody0"/>
              <w:rPr>
                <w:lang w:val="de-DE"/>
              </w:rPr>
            </w:pPr>
            <w:r w:rsidRPr="00AA4A85">
              <w:rPr>
                <w:lang w:val="de-DE"/>
              </w:rPr>
              <w:t>Entsprechend eines Schreibens des Bundesministeriums für Finanzen vom 9. Oktober 2012 ist ein Forderungsausfall steuerlich nicht als Veräusserung einzustufen. Gleiches gilt für einen Forderungsverzicht, soweit keine verdeckte Einlage in eine Kapitalgesellschaft vorliegt. Entsprechend können Verluste aufgrund eines Forderungsausfalls oder Forderungsverzichts nicht steuerlich abgezogen werden. Im Falle eines wertlosen Verfalls der Komplexen Produkte dürfte diese Verwaltungsregelung gleichermassen anwendbar sein, so dass Verluste unter Umständen im Ergebnis nicht steuerlich abziehbar sind. Eine Veräusserung Komplexer Produkte ist nach Auffassung der Finanzverwaltung nur anzunehmen, wenn der erzielte Veräusserungserlös die anfallenden Transaktionskosten übersteigt. Liegen bei den Komplexen Produkten mehrere Zahlungszeitpunkte bis zur Endfälligkeit vor, gelten die tatsächlich vereinnahmten Erträge stets als steuerpflichtige Einkünfte, es sei denn, die Emissionsbedingungen sehen eindeutige Angaben zur Tilgung oder Teiltilgung während der Laufzeit der Komplexen Produkte vor und diese werden auch tatsächlich durchgeführt. In der Verwaltungsanweisung ist zudem bestimmt, dass in dem Fall von Komplexen Produkten mit mehreren Zahlungszeitpunkten jedoch ohne Schlusszahlung bei Endfälligkeit zum Zeitpunkt der Endfälligkeit keine Veräusserung vorliegt, mit der Folge, dass verbleibende Anschaffungskosten nicht steuerlich abzugsfähig sind. Verbleibende Anschaffungskosten Komplexer Produkte mit mehreren Zahlungszeitpunkten sind danach auch dann nicht steuerlich abzugsfähig, wenn die Komplexen Produkte keine Zahlung im Zeitpunkt der Endfälligkeit vorsehen oder es zu einer vorzeitigen Beendung kommt, weil der Basiswert eine vorgegebene Bandbreite verlassen oder bestimmte Barrieren über</w:t>
            </w:r>
            <w:r w:rsidR="00F15E0A">
              <w:rPr>
                <w:lang w:val="de-DE"/>
              </w:rPr>
              <w:t>-</w:t>
            </w:r>
            <w:r w:rsidRPr="00AA4A85">
              <w:rPr>
                <w:lang w:val="de-DE"/>
              </w:rPr>
              <w:t xml:space="preserve"> oder unterschritten hat (</w:t>
            </w:r>
            <w:r w:rsidR="007E3558">
              <w:rPr>
                <w:lang w:val="de-DE"/>
              </w:rPr>
              <w:t>z.B.</w:t>
            </w:r>
            <w:r w:rsidRPr="00AA4A85">
              <w:rPr>
                <w:lang w:val="de-DE"/>
              </w:rPr>
              <w:t xml:space="preserve"> bei einer Knock</w:t>
            </w:r>
            <w:r w:rsidR="00F15E0A">
              <w:rPr>
                <w:lang w:val="de-DE"/>
              </w:rPr>
              <w:t>-</w:t>
            </w:r>
            <w:r w:rsidRPr="00AA4A85">
              <w:rPr>
                <w:lang w:val="de-DE"/>
              </w:rPr>
              <w:t>out-Struktur). Obwohl sich die Verwaltungsauffassung nur auf Finanzinstrumente mit mehreren Zahlungszeitpunkten bezieht, ist nicht auszuschliessen, dass die deutschen Finanzbehörden die vorstehenden Grundsätze auch auf andere Wertpapiere anwenden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A15373" w:rsidP="00253748">
            <w:pPr>
              <w:pStyle w:val="CSBody0"/>
            </w:pPr>
            <w:r w:rsidRPr="00A15373">
              <w:t xml:space="preserve">When computing the withholding tax, the Disbursing Agent will generally deduct from the basis of the withholding tax negative investment income of the holder via the Disbursing Agent. The Disbursing Agent </w:t>
            </w:r>
            <w:r w:rsidR="00253748">
              <w:t>will</w:t>
            </w:r>
            <w:r w:rsidRPr="00A15373" w:rsidR="00253748">
              <w:t xml:space="preserve"> </w:t>
            </w:r>
            <w:r w:rsidRPr="00A15373">
              <w:t>also deduct accrued interest on Complex Products or other securities paid separately upon the acquisition of the respective security via the Disbursing Agent. However, itemised expenses (</w:t>
            </w:r>
            <w:r w:rsidRPr="00C05E6E">
              <w:rPr>
                <w:i/>
              </w:rPr>
              <w:t>Werbungskosten</w:t>
            </w:r>
            <w:r w:rsidRPr="00A15373">
              <w:t>) incurred by the holder (other than transaction costs) will not be taken into account when determining the withholding tax.</w:t>
            </w:r>
          </w:p>
        </w:tc>
        <w:tc>
          <w:tcPr>
            <w:tcW w:w="2487" w:type="pct"/>
            <w:tcBorders>
              <w:left w:val="single" w:sz="4" w:space="0" w:color="auto"/>
            </w:tcBorders>
            <w:shd w:val="clear" w:color="auto" w:fill="auto"/>
          </w:tcPr>
          <w:p w:rsidR="00AA4A85" w:rsidRPr="00AA4A85" w:rsidP="00C05E6E">
            <w:pPr>
              <w:pStyle w:val="CSBody0"/>
              <w:rPr>
                <w:lang w:val="de-DE"/>
              </w:rPr>
            </w:pPr>
            <w:r w:rsidRPr="00AA4A85">
              <w:rPr>
                <w:lang w:val="de-DE"/>
              </w:rPr>
              <w:t xml:space="preserve">Bei der Berechnung der Kapitalertragsteuer wird die Auszahlende Stelle in der Regel negative Kapitalerträge des Inhabers bei der Auszahlenden Stelle abziehen. Die Auszahlende Stelle wird </w:t>
            </w:r>
            <w:r w:rsidR="00253748">
              <w:rPr>
                <w:lang w:val="de-DE"/>
              </w:rPr>
              <w:t xml:space="preserve">dabei </w:t>
            </w:r>
            <w:r w:rsidRPr="00AA4A85">
              <w:rPr>
                <w:lang w:val="de-DE"/>
              </w:rPr>
              <w:t>auch gezahlte Stückzinsen auf Komplexe Produkte und andere Wertpapiere beim Erwerb der betreffenden Wertpapiere über die Auszahlende Stelle abziehen. Dem Inhaber entstandene Werbungskosten (ausgenommen Transaktionskosten) bleiben bei der Bemessung der Kapitalertragsteuer jedoch unberücksichtigt.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A15373" w:rsidP="00C05E6E">
            <w:pPr>
              <w:pStyle w:val="CSBody0"/>
            </w:pPr>
            <w:r w:rsidRPr="00A15373">
              <w:t>The holder may file an exemption certificate (</w:t>
            </w:r>
            <w:r w:rsidRPr="00C05E6E">
              <w:rPr>
                <w:i/>
              </w:rPr>
              <w:t>Freistellungsauftrag</w:t>
            </w:r>
            <w:r w:rsidRPr="00A15373">
              <w:t>) with the Disbursing Agent requesting that no tax will be withheld from payments up to the amount requested to be exempt on the certificate. The maximum amount that a holder may claim to be exempt from all Disbursing Agents in a given year is EUR 801 (EUR 1,602 for married couples filing joint returns and for partners in accordance with the registered partnership law (</w:t>
            </w:r>
            <w:r w:rsidRPr="005233BB">
              <w:rPr>
                <w:i/>
              </w:rPr>
              <w:t>G</w:t>
            </w:r>
            <w:r w:rsidRPr="00C05E6E">
              <w:rPr>
                <w:i/>
              </w:rPr>
              <w:t>esetz über die Eingetragene Lebenspartnerschaft</w:t>
            </w:r>
            <w:r w:rsidRPr="00A15373">
              <w:t>). No withholding tax will be deducted if the holder has submitted to the Disbursing Agent a certificate of non-assessment (</w:t>
            </w:r>
            <w:r w:rsidRPr="00C05E6E">
              <w:rPr>
                <w:i/>
              </w:rPr>
              <w:t>Nichtveranlagungsbescheinigung</w:t>
            </w:r>
            <w:r w:rsidRPr="00A15373">
              <w:t>) issued by the competent local tax office.</w:t>
            </w:r>
          </w:p>
        </w:tc>
        <w:tc>
          <w:tcPr>
            <w:tcW w:w="2487" w:type="pct"/>
            <w:tcBorders>
              <w:left w:val="single" w:sz="4" w:space="0" w:color="auto"/>
            </w:tcBorders>
            <w:shd w:val="clear" w:color="auto" w:fill="auto"/>
          </w:tcPr>
          <w:p w:rsidR="00AA4A85" w:rsidRPr="00AA4A85" w:rsidP="00C05E6E">
            <w:pPr>
              <w:pStyle w:val="CSBody0"/>
              <w:rPr>
                <w:lang w:val="de-DE"/>
              </w:rPr>
            </w:pPr>
            <w:r w:rsidRPr="00AA4A85">
              <w:rPr>
                <w:lang w:val="de-DE"/>
              </w:rPr>
              <w:t>Der Inhaber kann der Auszahlenden Stelle einen Freistellungsauftrag erteilen, so dass bis zur Höhe des im Freistellungsauftrag angegebenen Betrags keine Steuern auf Zahlungen einbehalten werden. Der Inhaber darf allen Auszahlenden Stellen Freistellungsaufträge bis zur Höhe von insgesamt EUR 801 (EUR 1.602 für zusammenveranlagte Ehegatten und Partner im Sinne des Gesetzes über die Eingetragene Lebenspartnerschaft) im Jahr erteilen. Keine Kapitalertragsteuer wird einbehalten, wenn der Inhaber der Auszahlenden Stelle eine vom zuständigen Finanzamt ausgestellte Nichtveranlagungsbescheinigung vorgelegt hat.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A15373" w:rsidP="00253748">
            <w:pPr>
              <w:pStyle w:val="CSBody0"/>
            </w:pPr>
            <w:r w:rsidRPr="00A15373">
              <w:t xml:space="preserve">Where applicable and subject to further requirements the Disbursing Agent </w:t>
            </w:r>
            <w:r w:rsidR="00253748">
              <w:t>will</w:t>
            </w:r>
            <w:r w:rsidRPr="00A15373" w:rsidR="00253748">
              <w:t xml:space="preserve"> </w:t>
            </w:r>
            <w:r w:rsidRPr="00A15373">
              <w:t>also credit foreign withholding taxes against the German withholding tax.</w:t>
            </w:r>
          </w:p>
        </w:tc>
        <w:tc>
          <w:tcPr>
            <w:tcW w:w="2487" w:type="pct"/>
            <w:tcBorders>
              <w:left w:val="single" w:sz="4" w:space="0" w:color="auto"/>
            </w:tcBorders>
            <w:shd w:val="clear" w:color="auto" w:fill="auto"/>
          </w:tcPr>
          <w:p w:rsidR="00AA4A85" w:rsidRPr="00AA4A85" w:rsidP="00253748">
            <w:pPr>
              <w:pStyle w:val="CSBody0"/>
              <w:rPr>
                <w:lang w:val="de-DE"/>
              </w:rPr>
            </w:pPr>
            <w:r w:rsidRPr="00AA4A85">
              <w:rPr>
                <w:lang w:val="de-DE"/>
              </w:rPr>
              <w:t xml:space="preserve">Die Auszahlende Stelle </w:t>
            </w:r>
            <w:r w:rsidR="00253748">
              <w:rPr>
                <w:lang w:val="de-DE"/>
              </w:rPr>
              <w:t>rechnet darüber hinaus</w:t>
            </w:r>
            <w:r w:rsidRPr="00AA4A85" w:rsidR="00253748">
              <w:rPr>
                <w:lang w:val="de-DE"/>
              </w:rPr>
              <w:t xml:space="preserve"> </w:t>
            </w:r>
            <w:r w:rsidRPr="00AA4A85">
              <w:rPr>
                <w:lang w:val="de-DE"/>
              </w:rPr>
              <w:t>unter bestimmten weiteren Voraussetzungen etwaige erhobene ausländische Quellensteuern auf die deutsche Kapitalertragsteuer an.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C05E6E" w:rsidP="00C05E6E">
            <w:pPr>
              <w:pStyle w:val="CSBody0"/>
            </w:pPr>
            <w:r w:rsidRPr="00C05E6E">
              <w:t>Income tax</w:t>
            </w:r>
          </w:p>
        </w:tc>
        <w:tc>
          <w:tcPr>
            <w:tcW w:w="2487" w:type="pct"/>
            <w:tcBorders>
              <w:left w:val="single" w:sz="4" w:space="0" w:color="auto"/>
            </w:tcBorders>
            <w:shd w:val="clear" w:color="auto" w:fill="auto"/>
          </w:tcPr>
          <w:p w:rsidR="0033731A" w:rsidRPr="00C05E6E" w:rsidP="00C05E6E">
            <w:pPr>
              <w:pStyle w:val="CSBody0"/>
            </w:pPr>
            <w:r w:rsidRPr="00C05E6E">
              <w:t>Einkommensteuer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86603F" w:rsidP="00253748">
            <w:pPr>
              <w:pStyle w:val="CSBody0"/>
            </w:pPr>
            <w:r w:rsidRPr="0086603F">
              <w:t xml:space="preserve">The personal income tax liability of a holder of Complex Products is, in principle, settled by the tax withheld. To the extent withholding tax has not been levied, for instance if Complex Products are kept </w:t>
            </w:r>
            <w:r w:rsidR="00253748">
              <w:t xml:space="preserve">and administrated </w:t>
            </w:r>
            <w:r w:rsidRPr="0086603F">
              <w:t xml:space="preserve">in custody abroad, the holder of Complex Products must report the income and capital gains derived from such Complex Products on his or her tax return and then will also be taxed </w:t>
            </w:r>
            <w:r w:rsidR="00253748">
              <w:t xml:space="preserve">generally </w:t>
            </w:r>
            <w:r w:rsidRPr="0086603F">
              <w:t xml:space="preserve">at a rate of 25 per cent. (plus 5.5 per cent. solidarity surcharge and, where applicable, church tax thereon). If the withholding tax on a disposal or redemption of Complex Products has been calculated from 30 per cent. of the disposal proceeds (rather than from the actual gain) and the actual gain is higher than 30 per cent. of the disposal proceeds, a holder must generally also apply for an assessment on the basis of his or her actual acquisition costs. Further, </w:t>
            </w:r>
            <w:r w:rsidR="00253748">
              <w:t xml:space="preserve">a </w:t>
            </w:r>
            <w:r w:rsidRPr="0086603F">
              <w:t xml:space="preserve">holder of Complex Products may request that all investment income of a given year is taxed at his or her lower individual tax rate based upon an assessment to tax with any amounts over withheld being refunded. In each case, the deduction of expenses (other than transaction costs) on an itemised basis is not permitted. </w:t>
            </w:r>
          </w:p>
        </w:tc>
        <w:tc>
          <w:tcPr>
            <w:tcW w:w="2487" w:type="pct"/>
            <w:tcBorders>
              <w:left w:val="single" w:sz="4" w:space="0" w:color="auto"/>
            </w:tcBorders>
          </w:tcPr>
          <w:p w:rsidR="00AA4A85" w:rsidRPr="00185FD9" w:rsidP="00643153">
            <w:pPr>
              <w:pStyle w:val="CSBody0"/>
              <w:rPr>
                <w:lang w:val="de-DE"/>
              </w:rPr>
            </w:pPr>
            <w:r w:rsidRPr="00AA4A85">
              <w:rPr>
                <w:lang w:val="de-DE"/>
              </w:rPr>
              <w:t xml:space="preserve">Die persönliche Einkommensteuerschuld eines Inhabers von Komplexen Produkten ist grundsätzlich mit dem Steuereinbehalt abgegolten. Soweit keine Kapitalertragsteuer erhoben wird, beispielsweise wenn Komplexe Produkte in einem ausländischen Depot verwahrt </w:t>
            </w:r>
            <w:r w:rsidR="00253748">
              <w:rPr>
                <w:lang w:val="de-DE"/>
              </w:rPr>
              <w:t xml:space="preserve">und verwaltet </w:t>
            </w:r>
            <w:r w:rsidRPr="00AA4A85">
              <w:rPr>
                <w:lang w:val="de-DE"/>
              </w:rPr>
              <w:t xml:space="preserve">werden, muss der Inhaber von Komplexen Produkten die aus diesen Komplexen Produkten erzielten Einkünfte und Veräusserungsgewinne in seiner Steuererklärung angeben und wird dann </w:t>
            </w:r>
            <w:r w:rsidR="00253748">
              <w:rPr>
                <w:lang w:val="de-DE"/>
              </w:rPr>
              <w:t xml:space="preserve">grundsätzlich </w:t>
            </w:r>
            <w:r w:rsidRPr="00AA4A85">
              <w:rPr>
                <w:lang w:val="de-DE"/>
              </w:rPr>
              <w:t>ebenfalls mit einem Satz von 25</w:t>
            </w:r>
            <w:r w:rsidR="00253748">
              <w:rPr>
                <w:lang w:val="de-DE"/>
              </w:rPr>
              <w:t>%</w:t>
            </w:r>
            <w:r w:rsidRPr="00AA4A85" w:rsidR="00253748">
              <w:rPr>
                <w:lang w:val="de-DE"/>
              </w:rPr>
              <w:t xml:space="preserve"> </w:t>
            </w:r>
            <w:r w:rsidR="00247BCC">
              <w:rPr>
                <w:lang w:val="de-DE"/>
              </w:rPr>
              <w:t>(zuzüglich 5,</w:t>
            </w:r>
            <w:r w:rsidRPr="00AA4A85">
              <w:rPr>
                <w:lang w:val="de-DE"/>
              </w:rPr>
              <w:t>5</w:t>
            </w:r>
            <w:r w:rsidR="00253748">
              <w:rPr>
                <w:lang w:val="de-DE"/>
              </w:rPr>
              <w:t>%</w:t>
            </w:r>
            <w:r w:rsidRPr="00AA4A85" w:rsidR="00253748">
              <w:rPr>
                <w:lang w:val="de-DE"/>
              </w:rPr>
              <w:t xml:space="preserve"> </w:t>
            </w:r>
            <w:r w:rsidRPr="00AA4A85">
              <w:rPr>
                <w:lang w:val="de-DE"/>
              </w:rPr>
              <w:t>Solidaritätszuschlag darauf und gegebenenfalls Kirchensteuer) besteuert. Wenn die Kapitalertragsteuer auf der Grundlage von 30</w:t>
            </w:r>
            <w:r w:rsidR="00643153">
              <w:rPr>
                <w:lang w:val="de-DE"/>
              </w:rPr>
              <w:t>%</w:t>
            </w:r>
            <w:r w:rsidRPr="00AA4A85" w:rsidR="00643153">
              <w:rPr>
                <w:lang w:val="de-DE"/>
              </w:rPr>
              <w:t xml:space="preserve"> </w:t>
            </w:r>
            <w:r w:rsidRPr="00AA4A85">
              <w:rPr>
                <w:lang w:val="de-DE"/>
              </w:rPr>
              <w:t xml:space="preserve">des erzielten Erlöses aus der Veräusserung oder Einlösung der Komplexen Produkte (und nicht auf Basis der tatsächlichen Veräusserungsgewinne) berechnet wurde und die tatsächlich erzielten Veräusserungsgewinne höher sind, muss der Inhaber die auf Grundlage seiner tatsächlichen Anschaffungskosten berechneten Veräusserungsgewinne grundsätzlich ebenfalls in seiner Steuererklärung angeben. </w:t>
            </w:r>
            <w:r w:rsidR="00643153">
              <w:rPr>
                <w:lang w:val="de-DE"/>
              </w:rPr>
              <w:t>Zudem</w:t>
            </w:r>
            <w:r w:rsidRPr="00AA4A85" w:rsidR="00643153">
              <w:rPr>
                <w:lang w:val="de-DE"/>
              </w:rPr>
              <w:t xml:space="preserve"> </w:t>
            </w:r>
            <w:r w:rsidRPr="00AA4A85">
              <w:rPr>
                <w:lang w:val="de-DE"/>
              </w:rPr>
              <w:t xml:space="preserve">kann ein Inhaber von Komplexen Produkten beantragen, dass alle Kapitalerträge eines bestimmten Jahres im Rahmen </w:t>
            </w:r>
            <w:r w:rsidR="003213EA">
              <w:rPr>
                <w:lang w:val="de-DE"/>
              </w:rPr>
              <w:t>s</w:t>
            </w:r>
            <w:r w:rsidRPr="00AA4A85">
              <w:rPr>
                <w:lang w:val="de-DE"/>
              </w:rPr>
              <w:t xml:space="preserve">einer Steuerveranlagung mit seinem niedrigeren persönlichen Steuersatz besteuert werden, wobei die Kapitalertragsteuer erstattet wird, soweit sie die endgültige persönliche Steuerschuld übersteigt. </w:t>
            </w:r>
            <w:r w:rsidRPr="00185FD9">
              <w:rPr>
                <w:lang w:val="de-DE"/>
              </w:rPr>
              <w:t xml:space="preserve">Der Abzug von Werbungskosten (ausgenommen Transaktionskosten) ist stets ausgeschlossen. </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321581" w:rsidP="00C05E6E">
            <w:pPr>
              <w:pStyle w:val="CSBody0"/>
            </w:pPr>
            <w:r w:rsidRPr="00321581">
              <w:t>Losses from the redemption or disposal of Complex Products may only be offset against other investment income in the same or the following years. According to guidance of the German tax authorities, losses from the worthless expiration of Complex Products are non</w:t>
            </w:r>
            <w:r w:rsidR="00F15E0A">
              <w:t>-</w:t>
            </w:r>
            <w:r w:rsidRPr="00321581">
              <w:t>deductible.</w:t>
            </w:r>
          </w:p>
        </w:tc>
        <w:tc>
          <w:tcPr>
            <w:tcW w:w="2487" w:type="pct"/>
            <w:tcBorders>
              <w:left w:val="single" w:sz="4" w:space="0" w:color="auto"/>
            </w:tcBorders>
            <w:shd w:val="clear" w:color="auto" w:fill="auto"/>
          </w:tcPr>
          <w:p w:rsidR="00AA4A85" w:rsidRPr="00AA4A85" w:rsidP="00C05E6E">
            <w:pPr>
              <w:pStyle w:val="CSBody0"/>
              <w:rPr>
                <w:lang w:val="de-DE"/>
              </w:rPr>
            </w:pPr>
            <w:r w:rsidRPr="00AA4A85">
              <w:rPr>
                <w:lang w:val="de-DE"/>
              </w:rPr>
              <w:t>Verluste aus der Rückzahlung oder Veräusserung von Komplexen Produkten können nur mit anderen Kapitaleinkünften desselben Jahres oder folgender Jahre verrechnet werden. Nach Auffassung der deutschen Finanzverwaltung sind Verluste aus dem wertlosen Verfall von Komplexen Produkten nicht abzugsfähig.</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321581" w:rsidP="00C05E6E">
            <w:pPr>
              <w:pStyle w:val="CSBody0"/>
            </w:pPr>
            <w:r w:rsidRPr="00321581">
              <w:t xml:space="preserve">Capital gains from a sale of the Underlying acquired upon physical settlement of a Complex Product may be subject to income tax at regular rates, </w:t>
            </w:r>
            <w:r w:rsidRPr="007E3558" w:rsidR="007E3558">
              <w:rPr>
                <w:i/>
              </w:rPr>
              <w:t>e.g.</w:t>
            </w:r>
            <w:r w:rsidRPr="00321581">
              <w:t xml:space="preserve"> where the Underlying is a commodity. Any losses realised upon the disposal of shares in stock corporations received by physical settlement of Complex Products can only be offset against capital gains deriving from the disposal of shares.</w:t>
            </w:r>
          </w:p>
        </w:tc>
        <w:tc>
          <w:tcPr>
            <w:tcW w:w="2487" w:type="pct"/>
            <w:tcBorders>
              <w:left w:val="single" w:sz="4" w:space="0" w:color="auto"/>
            </w:tcBorders>
            <w:shd w:val="clear" w:color="auto" w:fill="auto"/>
          </w:tcPr>
          <w:p w:rsidR="00AA4A85" w:rsidRPr="00AA4A85" w:rsidP="005233BB">
            <w:pPr>
              <w:pStyle w:val="CSBody0"/>
              <w:rPr>
                <w:lang w:val="de-DE"/>
              </w:rPr>
            </w:pPr>
            <w:r w:rsidRPr="00AA4A85">
              <w:rPr>
                <w:lang w:val="de-DE"/>
              </w:rPr>
              <w:t xml:space="preserve">Gewinne aus der Veräusserung eines durch physische Abwicklung Komplexer Produkte erworbenen Basiswerts können der Einkommensteuer zum progressiven Tarif unterliegen, </w:t>
            </w:r>
            <w:r w:rsidRPr="005233BB">
              <w:rPr>
                <w:i/>
                <w:lang w:val="de-DE"/>
              </w:rPr>
              <w:t>z.B.</w:t>
            </w:r>
            <w:r w:rsidRPr="00AA4A85">
              <w:rPr>
                <w:lang w:val="de-DE"/>
              </w:rPr>
              <w:t xml:space="preserve"> wenn es sich bei dem Basiswert um einen Rohstoff handelt. Verluste aus der Veräusserung aus im Zuge einer physischen Abwicklung Komplexer Produkte erhaltene</w:t>
            </w:r>
            <w:r w:rsidR="005233BB">
              <w:rPr>
                <w:lang w:val="de-DE"/>
              </w:rPr>
              <w:t>n</w:t>
            </w:r>
            <w:r w:rsidRPr="00AA4A85">
              <w:rPr>
                <w:lang w:val="de-DE"/>
              </w:rPr>
              <w:t xml:space="preserve"> Aktien sind nur mit Veräusserungsgewinnen aus Aktien verrechenbar.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321581">
            <w:pPr>
              <w:pStyle w:val="CSBody0"/>
            </w:pPr>
            <w:r w:rsidRPr="00321581">
              <w:t>Special rules apply where the income from Complex Products qualifies as income from the letting and leasing of property (</w:t>
            </w:r>
            <w:r w:rsidRPr="00C05E6E">
              <w:rPr>
                <w:i/>
              </w:rPr>
              <w:t>Einkünfte aus Vermietung und Verpachtung</w:t>
            </w:r>
            <w:r w:rsidRPr="00321581">
              <w:t>). These are similar to those discussed below under "</w:t>
            </w:r>
            <w:r w:rsidRPr="005233BB" w:rsidR="003213EA">
              <w:rPr>
                <w:i/>
              </w:rPr>
              <w:t>German t</w:t>
            </w:r>
            <w:r w:rsidRPr="005233BB">
              <w:rPr>
                <w:i/>
              </w:rPr>
              <w:t>ax</w:t>
            </w:r>
            <w:r w:rsidRPr="00C05E6E">
              <w:rPr>
                <w:i/>
              </w:rPr>
              <w:t xml:space="preserve">-resident business holders </w:t>
            </w:r>
            <w:r w:rsidRPr="00F15E0A" w:rsidR="00F15E0A">
              <w:rPr>
                <w:i/>
              </w:rPr>
              <w:t>—</w:t>
            </w:r>
            <w:r w:rsidRPr="00C05E6E">
              <w:rPr>
                <w:i/>
              </w:rPr>
              <w:t xml:space="preserve"> Income and trade tax</w:t>
            </w:r>
            <w:r w:rsidRPr="00321581">
              <w:t>" although trade tax will not apply to these holders.</w:t>
            </w:r>
          </w:p>
        </w:tc>
        <w:tc>
          <w:tcPr>
            <w:tcW w:w="2487" w:type="pct"/>
            <w:tcBorders>
              <w:left w:val="single" w:sz="4" w:space="0" w:color="auto"/>
            </w:tcBorders>
            <w:shd w:val="clear" w:color="auto" w:fill="auto"/>
          </w:tcPr>
          <w:p w:rsidR="00AA4A85" w:rsidRPr="00AA4A85" w:rsidP="00C05E6E">
            <w:pPr>
              <w:pStyle w:val="CSBody0"/>
              <w:rPr>
                <w:lang w:val="de-DE"/>
              </w:rPr>
            </w:pPr>
            <w:r w:rsidRPr="00AA4A85">
              <w:rPr>
                <w:lang w:val="de-DE"/>
              </w:rPr>
              <w:t>Besondere Regelungen gelten, wenn die Einkünfte aus Komplexen Produkten als Einkünfte aus Vermietung und Verpachtung eingestuft werden. Diese entsprechen weitgehend der Darstellung im nachstehenden Abschnitt "</w:t>
            </w:r>
            <w:r w:rsidRPr="00C05E6E">
              <w:rPr>
                <w:i/>
                <w:lang w:val="de-DE"/>
              </w:rPr>
              <w:t xml:space="preserve">Steuerinländer, Besteuerung im Betriebsvermögen </w:t>
            </w:r>
            <w:r w:rsidRPr="00EE2FB6" w:rsidR="00F15E0A">
              <w:rPr>
                <w:i/>
                <w:lang w:val="de-DE"/>
              </w:rPr>
              <w:t>—</w:t>
            </w:r>
            <w:r w:rsidRPr="00C05E6E">
              <w:rPr>
                <w:i/>
                <w:lang w:val="de-DE"/>
              </w:rPr>
              <w:t xml:space="preserve"> Körperschaft- bzw. Einkommen- und Gewerbesteuer</w:t>
            </w:r>
            <w:r w:rsidRPr="00AA4A85">
              <w:rPr>
                <w:lang w:val="de-DE"/>
              </w:rPr>
              <w:t>", wobei diese Inhaber nicht der Gewerbesteuer unterliegen.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185FD9">
            <w:pPr>
              <w:pStyle w:val="CSbody0bold"/>
              <w:rPr>
                <w:i/>
                <w:lang w:val="en-GB"/>
              </w:rPr>
            </w:pPr>
            <w:r w:rsidRPr="00185FD9">
              <w:rPr>
                <w:lang w:val="en-GB"/>
              </w:rPr>
              <w:t>German t</w:t>
            </w:r>
            <w:r w:rsidRPr="00185FD9">
              <w:rPr>
                <w:lang w:val="en-GB"/>
              </w:rPr>
              <w:t>ax-resident business holders</w:t>
            </w:r>
          </w:p>
        </w:tc>
        <w:tc>
          <w:tcPr>
            <w:tcW w:w="2487" w:type="pct"/>
            <w:tcBorders>
              <w:left w:val="single" w:sz="4" w:space="0" w:color="auto"/>
            </w:tcBorders>
            <w:shd w:val="clear" w:color="auto" w:fill="auto"/>
          </w:tcPr>
          <w:p w:rsidR="0033731A" w:rsidRPr="00C02D5B" w:rsidP="00C05E6E">
            <w:pPr>
              <w:pStyle w:val="CSbody0bold"/>
              <w:rPr>
                <w:i/>
              </w:rPr>
            </w:pPr>
            <w:r>
              <w:t xml:space="preserve">Deutsche </w:t>
            </w:r>
            <w:r w:rsidRPr="00C02D5B">
              <w:t>Steuerinländer, Besteuerung im Betriebsvermögen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257F46" w:rsidP="00C05E6E">
            <w:pPr>
              <w:pStyle w:val="CSBody0"/>
            </w:pPr>
            <w:r w:rsidRPr="00257F46">
              <w:t>This section applies to holders who are German tax resident corporations (</w:t>
            </w:r>
            <w:r w:rsidRPr="007E3558" w:rsidR="007E3558">
              <w:rPr>
                <w:i/>
              </w:rPr>
              <w:t>i.e.</w:t>
            </w:r>
            <w:r w:rsidRPr="00257F46">
              <w:t xml:space="preserve"> corporations whose statutory seat or place of effective management and control is located in Germany) and not exempt from tax and to partnerships or individuals holding Complex Products as business assets (</w:t>
            </w:r>
            <w:r w:rsidRPr="005233BB">
              <w:rPr>
                <w:i/>
              </w:rPr>
              <w:t>Betriebsvermögen</w:t>
            </w:r>
            <w:r w:rsidRPr="00257F46">
              <w:t>). Special rules not discussed herein may apply where the holder is, among others, a bank, financial services institution, finance company, insurance company or investment fund.</w:t>
            </w:r>
          </w:p>
        </w:tc>
        <w:tc>
          <w:tcPr>
            <w:tcW w:w="2487" w:type="pct"/>
            <w:tcBorders>
              <w:left w:val="single" w:sz="4" w:space="0" w:color="auto"/>
            </w:tcBorders>
            <w:shd w:val="clear" w:color="auto" w:fill="auto"/>
          </w:tcPr>
          <w:p w:rsidR="00AA4A85" w:rsidRPr="00AA4A85" w:rsidP="005233BB">
            <w:pPr>
              <w:pStyle w:val="CSBody0"/>
              <w:rPr>
                <w:lang w:val="de-DE"/>
              </w:rPr>
            </w:pPr>
            <w:r w:rsidRPr="00AA4A85">
              <w:rPr>
                <w:lang w:val="de-DE"/>
              </w:rPr>
              <w:t>Dieser Abschnitt gilt für Inhaber, die in Deutschland steuerlich ansässig (d.h. deren Sitz oder Ort der Geschäftsleitung sich in Deutschland befindet) nicht steuerbefreite Kapitalgesellschaften</w:t>
            </w:r>
            <w:r w:rsidR="003213EA">
              <w:rPr>
                <w:lang w:val="de-DE"/>
              </w:rPr>
              <w:t xml:space="preserve"> sind und für </w:t>
            </w:r>
            <w:r w:rsidRPr="00AA4A85">
              <w:rPr>
                <w:lang w:val="de-DE"/>
              </w:rPr>
              <w:t xml:space="preserve"> Personengesellschaften oder natürliche Personen, die Komplexe Produkte im Betriebsvermögen halten. Gesonderte Regelungen, die an dieser Stelle nicht aufgeführt sind, können gelten, wenn es sich bei dem Inhaber beispielsweise um eine Bank, ein Finanzdienstleistungsinstitut, ein Finanzunternehmen, ein Versicherungsunternehmen oder einen Investmentfonds handelt.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40EF7" w:rsidP="00C05E6E">
            <w:pPr>
              <w:pStyle w:val="CSBody0"/>
            </w:pPr>
            <w:r w:rsidRPr="00440EF7">
              <w:t>Withholding tax</w:t>
            </w:r>
          </w:p>
        </w:tc>
        <w:tc>
          <w:tcPr>
            <w:tcW w:w="2487" w:type="pct"/>
            <w:tcBorders>
              <w:left w:val="single" w:sz="4" w:space="0" w:color="auto"/>
            </w:tcBorders>
            <w:shd w:val="clear" w:color="auto" w:fill="auto"/>
          </w:tcPr>
          <w:p w:rsidR="0033731A" w:rsidRPr="00440EF7" w:rsidP="00C05E6E">
            <w:pPr>
              <w:pStyle w:val="CSBody0"/>
            </w:pPr>
            <w:r w:rsidRPr="00440EF7">
              <w:t>Kapitalertragsteuer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3538D6">
            <w:pPr>
              <w:pStyle w:val="CSBody0"/>
            </w:pPr>
            <w:r w:rsidRPr="003538D6">
              <w:t>In general, payments under a Complex Product to such holder</w:t>
            </w:r>
            <w:r w:rsidR="003213EA">
              <w:t>s</w:t>
            </w:r>
            <w:r w:rsidRPr="003538D6">
              <w:t xml:space="preserve"> will be subject to German withholding tax in accordance with similar rules as those discussed above under "</w:t>
            </w:r>
            <w:r w:rsidRPr="005233BB" w:rsidR="003213EA">
              <w:rPr>
                <w:i/>
              </w:rPr>
              <w:t>German t</w:t>
            </w:r>
            <w:r w:rsidRPr="005233BB">
              <w:rPr>
                <w:i/>
              </w:rPr>
              <w:t>ax</w:t>
            </w:r>
            <w:r w:rsidRPr="00C05E6E">
              <w:rPr>
                <w:i/>
              </w:rPr>
              <w:t xml:space="preserve">-resident non-business holders </w:t>
            </w:r>
            <w:r w:rsidRPr="00F15E0A" w:rsidR="00F15E0A">
              <w:rPr>
                <w:i/>
              </w:rPr>
              <w:t>—</w:t>
            </w:r>
            <w:r w:rsidRPr="00C05E6E">
              <w:rPr>
                <w:i/>
              </w:rPr>
              <w:t xml:space="preserve"> Withholding tax</w:t>
            </w:r>
            <w:r w:rsidRPr="003538D6">
              <w:t>" However, German withholding tax will not apply to income from Complex Products qualifying for taxation purposes as contract for difference (</w:t>
            </w:r>
            <w:r w:rsidRPr="00C05E6E">
              <w:rPr>
                <w:i/>
              </w:rPr>
              <w:t>Termingeschäft</w:t>
            </w:r>
            <w:r w:rsidRPr="003538D6">
              <w:t>) according to sec. 20 para. 2 sent. 1 no. 3 German Income Tax Act (</w:t>
            </w:r>
            <w:r w:rsidRPr="00C05E6E">
              <w:rPr>
                <w:i/>
              </w:rPr>
              <w:t>Einkommensteuergesetz</w:t>
            </w:r>
            <w:r w:rsidRPr="003538D6">
              <w:t>), provided the holder has duly notified the Disbursing Agent of his or her status. The same applies for gains from the disposal or redemption of other Complex Products Only ongoing payments (coupon payments) under Complex Products (not qualifying as contract for difference), if any, will be subject to withholding tax at a rate of 25 per cent. plus the solidarity surcharge with the total withholding being 26.375 per cent (irrespective of any annual allowances, deductions of foreign tax and capital losses incurred). Church tax may also be withheld, if applicable.</w:t>
            </w:r>
          </w:p>
        </w:tc>
        <w:tc>
          <w:tcPr>
            <w:tcW w:w="2487" w:type="pct"/>
            <w:tcBorders>
              <w:left w:val="single" w:sz="4" w:space="0" w:color="auto"/>
            </w:tcBorders>
            <w:shd w:val="clear" w:color="auto" w:fill="auto"/>
          </w:tcPr>
          <w:p w:rsidR="00AA4A85" w:rsidRPr="00F15E0A">
            <w:pPr>
              <w:pStyle w:val="CSBody0"/>
              <w:rPr>
                <w:lang w:val="de-DE"/>
              </w:rPr>
            </w:pPr>
            <w:r w:rsidRPr="00AA4A85">
              <w:rPr>
                <w:lang w:val="de-DE"/>
              </w:rPr>
              <w:t>Grundsätzlich unterliegen Zahlungen aus Komplexen Produkten für solche Inhaber in Deutschland der Kapitalertragsteuer nach vergleichbaren Regelungen wie im vorstehenden Abschnitt "</w:t>
            </w:r>
            <w:r w:rsidR="005106D6">
              <w:rPr>
                <w:i/>
                <w:lang w:val="de-DE"/>
              </w:rPr>
              <w:t>Deutsche S</w:t>
            </w:r>
            <w:r w:rsidRPr="00C05E6E">
              <w:rPr>
                <w:i/>
                <w:lang w:val="de-DE"/>
              </w:rPr>
              <w:t xml:space="preserve">teuerinländer, Besteuerung im Privatvermögen </w:t>
            </w:r>
            <w:r w:rsidRPr="00EE2FB6" w:rsidR="00F15E0A">
              <w:rPr>
                <w:i/>
                <w:lang w:val="de-DE"/>
              </w:rPr>
              <w:t>—</w:t>
            </w:r>
            <w:r w:rsidRPr="00C05E6E">
              <w:rPr>
                <w:i/>
                <w:lang w:val="de-DE"/>
              </w:rPr>
              <w:t xml:space="preserve"> Kapitalertragsteuer</w:t>
            </w:r>
            <w:r w:rsidRPr="00AA4A85">
              <w:rPr>
                <w:lang w:val="de-DE"/>
              </w:rPr>
              <w:t xml:space="preserve">" dargestellt. Allerdings wird auf Einkünfte aus Komplexen Produkten, die als Termingeschäfte im Sinne des </w:t>
            </w:r>
            <w:r w:rsidR="00674A5A">
              <w:rPr>
                <w:lang w:val="de-DE"/>
              </w:rPr>
              <w:t>§ </w:t>
            </w:r>
            <w:r w:rsidRPr="00AA4A85">
              <w:rPr>
                <w:lang w:val="de-DE"/>
              </w:rPr>
              <w:t>20 Abs. 2 Satz 1 Nr. 3 Einkommensteuergesetz (EStG) zu qualifizieren sind, in Deutschland keine Kapitalertragsteuer erhoben, sofern der Inhaber der Auszahlenden Stelle seinen Status ordnungsgemäss mitgeteilt hat. Gleiches gilt für Gewinne aus der Veräusserung oder Rückzahlung von anderen Komplexen Produkten. Lediglich etwaige laufende Zahlungen (</w:t>
            </w:r>
            <w:r w:rsidR="003213EA">
              <w:rPr>
                <w:lang w:val="de-DE"/>
              </w:rPr>
              <w:t>K</w:t>
            </w:r>
            <w:r w:rsidRPr="00AA4A85">
              <w:rPr>
                <w:lang w:val="de-DE"/>
              </w:rPr>
              <w:t>uponzahlungen) auf Komplexe Produkte (die nicht als Termingeschäfte zu qualifizieren sind) unterliegen der Kapitalertragsteuer mit einem Satz von 25</w:t>
            </w:r>
            <w:r w:rsidR="003213EA">
              <w:rPr>
                <w:lang w:val="de-DE"/>
              </w:rPr>
              <w:t>%</w:t>
            </w:r>
            <w:r w:rsidRPr="00AA4A85" w:rsidR="003213EA">
              <w:rPr>
                <w:lang w:val="de-DE"/>
              </w:rPr>
              <w:t xml:space="preserve"> </w:t>
            </w:r>
            <w:r w:rsidRPr="00AA4A85">
              <w:rPr>
                <w:lang w:val="de-DE"/>
              </w:rPr>
              <w:t>zuzüglich Solidaritätszuschlag, so dass sich insgesamt ein Einbehalt von 26</w:t>
            </w:r>
            <w:r w:rsidR="003213EA">
              <w:rPr>
                <w:lang w:val="de-DE"/>
              </w:rPr>
              <w:t>,</w:t>
            </w:r>
            <w:r w:rsidRPr="00AA4A85">
              <w:rPr>
                <w:lang w:val="de-DE"/>
              </w:rPr>
              <w:t>375</w:t>
            </w:r>
            <w:r w:rsidR="003213EA">
              <w:rPr>
                <w:lang w:val="de-DE"/>
              </w:rPr>
              <w:t>%</w:t>
            </w:r>
            <w:r w:rsidRPr="00AA4A85">
              <w:rPr>
                <w:lang w:val="de-DE"/>
              </w:rPr>
              <w:t xml:space="preserve"> ergibt (ein Abzug für Freibeträge, anrechenbare ausländische Quellensteuern und für Verluste wird nicht vorgenommen). </w:t>
            </w:r>
            <w:r w:rsidRPr="00F15E0A">
              <w:rPr>
                <w:lang w:val="de-DE"/>
              </w:rPr>
              <w:t>Etwaig anfallende Kirchensteuer kann ebenfalls einbehalten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C05E6E" w:rsidP="00C05E6E">
            <w:pPr>
              <w:pStyle w:val="CSBody0"/>
            </w:pPr>
            <w:r>
              <w:t xml:space="preserve">(Corporate) </w:t>
            </w:r>
            <w:r w:rsidRPr="00C05E6E">
              <w:t>Income and trade tax</w:t>
            </w:r>
          </w:p>
        </w:tc>
        <w:tc>
          <w:tcPr>
            <w:tcW w:w="2487" w:type="pct"/>
            <w:tcBorders>
              <w:left w:val="single" w:sz="4" w:space="0" w:color="auto"/>
            </w:tcBorders>
            <w:shd w:val="clear" w:color="auto" w:fill="auto"/>
          </w:tcPr>
          <w:p w:rsidR="0033731A" w:rsidRPr="0046463E" w:rsidP="00C05E6E">
            <w:pPr>
              <w:pStyle w:val="CSBody0"/>
              <w:rPr>
                <w:lang w:val="de-DE"/>
              </w:rPr>
            </w:pPr>
            <w:r w:rsidRPr="0046463E">
              <w:rPr>
                <w:lang w:val="de-DE"/>
              </w:rPr>
              <w:t>Körperschaft- bzw. Einkommen- und Gewerbesteuer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F80369" w:rsidP="00C05E6E">
            <w:pPr>
              <w:pStyle w:val="CSBody0"/>
            </w:pPr>
            <w:r w:rsidRPr="00F80369">
              <w:t>A holder of Complex Products has to report income and proceeds derived from the redemption, physical settlement or disposal of Complex Products and related expenses (</w:t>
            </w:r>
            <w:r w:rsidRPr="00023F08">
              <w:rPr>
                <w:i/>
              </w:rPr>
              <w:t>Betriebsausgaben</w:t>
            </w:r>
            <w:r w:rsidRPr="00F80369">
              <w:t>) on its tax return. Where Complex Products form part of a trade or business, interest accrued must be taken into account as income. Where Complex Products qualify as zero bonds, each year the part of the difference between the issue or purchase price and the redemption amount attributable to such year must be taken into account. The net income or gain will be taxed at the holder's applicable tax rate and may also be subject to trade tax.</w:t>
            </w:r>
          </w:p>
        </w:tc>
        <w:tc>
          <w:tcPr>
            <w:tcW w:w="2487" w:type="pct"/>
            <w:tcBorders>
              <w:left w:val="single" w:sz="4" w:space="0" w:color="auto"/>
            </w:tcBorders>
            <w:shd w:val="clear" w:color="auto" w:fill="auto"/>
          </w:tcPr>
          <w:p w:rsidR="00AA4A85" w:rsidRPr="00AA4A85" w:rsidP="00023F08">
            <w:pPr>
              <w:pStyle w:val="CSBody0"/>
              <w:rPr>
                <w:lang w:val="de-DE"/>
              </w:rPr>
            </w:pPr>
            <w:r w:rsidRPr="00AA4A85">
              <w:rPr>
                <w:lang w:val="de-DE"/>
              </w:rPr>
              <w:t>Ein Inhaber von Komplexen Produkten muss die Erträge und Einnahmen aus der Rückzahlung, physischen Abwicklung oder Veräusserung von Komplexen Produkten und damit zusammenhängende Betriebsausgaben in seiner Steuererklärung angeben. Wenn die Komplexen Produkte zu einem Betriebsvermögen gehören, sind auch die aufgelaufenen Zinsen als Einnahme zu erfassen. Wenn die Komplexen Produkte als Zerobonds (Nullkuponanleihen) zu qualifizieren sind, ist jedes Jahr die zeitanteilige Differenz zwischen Ausgabe- oder Kaufpreis und dem Einlösungsbetrag des Zerobonds als Einnahme zu erfassen. Die Einkünfte bzw. Gewinne sind mit dem jeweiligen Steuersatz des Inhabers zu versteuern und können auch der Gewerbesteuer unterliegen.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F80369" w:rsidP="00023F08">
            <w:pPr>
              <w:pStyle w:val="CSBody0"/>
            </w:pPr>
            <w:r w:rsidRPr="00F80369">
              <w:t xml:space="preserve">In general, the deductibility of losses derived from the redemption, disposal or expiration of Complex Products which qualify for tax purposes as contracts for difference is limited. These losses may only be applied against profits from other contracts for difference derived in the same or, subject to certain restrictions, the previous year. Otherwise these losses can be carried forward indefinitely and applied against profits from contracts for difference in subsequent years. This generally does not apply to contract for difference transactions hedging </w:t>
            </w:r>
            <w:r w:rsidR="005106D6">
              <w:t xml:space="preserve">risks from </w:t>
            </w:r>
            <w:r w:rsidRPr="00F80369">
              <w:t>the Holder's ordinary business. Further special rules apply to credit institutions, financial services institutions and finance companies within the meaning of the German Banking Act.</w:t>
            </w:r>
          </w:p>
        </w:tc>
        <w:tc>
          <w:tcPr>
            <w:tcW w:w="2487" w:type="pct"/>
            <w:tcBorders>
              <w:left w:val="single" w:sz="4" w:space="0" w:color="auto"/>
            </w:tcBorders>
            <w:shd w:val="clear" w:color="auto" w:fill="auto"/>
          </w:tcPr>
          <w:p w:rsidR="00AA4A85" w:rsidRPr="00AA4A85">
            <w:pPr>
              <w:pStyle w:val="CSBody0"/>
              <w:rPr>
                <w:lang w:val="de-DE"/>
              </w:rPr>
            </w:pPr>
            <w:r w:rsidRPr="00AA4A85">
              <w:rPr>
                <w:lang w:val="de-DE"/>
              </w:rPr>
              <w:t xml:space="preserve">Grundsätzlich sind Verluste aus der Rückzahlung, Veräusserung oder dem Verfall von Komplexen Produkten, die für steuerliche Zwecke als Differenzgeschäfte zu qualifizieren sind, nur beschränkt abzugsfähig. Diese Verluste sind nur mit Gewinnen aus anderen Differenzgeschäften, die im selben Jahr bzw. (unter bestimmten Voraussetzungen) im Vorjahr </w:t>
            </w:r>
            <w:r w:rsidR="003213EA">
              <w:rPr>
                <w:lang w:val="de-DE"/>
              </w:rPr>
              <w:t>realisiert</w:t>
            </w:r>
            <w:r w:rsidRPr="00AA4A85" w:rsidR="003213EA">
              <w:rPr>
                <w:lang w:val="de-DE"/>
              </w:rPr>
              <w:t xml:space="preserve"> </w:t>
            </w:r>
            <w:r w:rsidRPr="00AA4A85">
              <w:rPr>
                <w:lang w:val="de-DE"/>
              </w:rPr>
              <w:t>worden sind, verrechenbar. Ansonsten können diese Verluste unbegrenzt vorgetragen werden und mit Gewinnen aus Differenzgeschäften in den Folgejahren verrechnet werden. Diese Beschränkungen gelten jedoch grundsätzlich nicht für Differenzgeschäfte zur Absicherung von Risiken aus Geschäften des gewöhnlichen Geschäftsbetriebs des Anlegers. Weitere Spezialregelungen gelten für Kreditinstitute, Finanzdienstleistungsinstitute und Finanzunternehmen im Sinne des Gesetzes über das Kreditwesen.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8550B0" w:rsidP="00023F08">
            <w:pPr>
              <w:pStyle w:val="CSBody0"/>
            </w:pPr>
            <w:r w:rsidRPr="008550B0">
              <w:t>In the case of physically settled Complex Products further limitations may apply to losses from the disposal of an Underlying which is a share in a corporation</w:t>
            </w:r>
            <w:r w:rsidR="003213EA">
              <w:t xml:space="preserve"> or a unit of an equity investment fund</w:t>
            </w:r>
            <w:r w:rsidRPr="008550B0">
              <w:t>.</w:t>
            </w:r>
          </w:p>
        </w:tc>
        <w:tc>
          <w:tcPr>
            <w:tcW w:w="2487" w:type="pct"/>
            <w:tcBorders>
              <w:left w:val="single" w:sz="4" w:space="0" w:color="auto"/>
            </w:tcBorders>
            <w:shd w:val="clear" w:color="auto" w:fill="auto"/>
          </w:tcPr>
          <w:p w:rsidR="00AA4A85" w:rsidRPr="00AA4A85" w:rsidP="00023F08">
            <w:pPr>
              <w:pStyle w:val="CSBody0"/>
              <w:rPr>
                <w:lang w:val="de-DE"/>
              </w:rPr>
            </w:pPr>
            <w:r w:rsidRPr="00AA4A85">
              <w:rPr>
                <w:lang w:val="de-DE"/>
              </w:rPr>
              <w:t xml:space="preserve">Bei Komplexen Produkten mit physischer Abwicklung können für Verluste aus der Veräusserung eines Basiswerts, bei dem es sich um einen Anteil an einer Kapitalgesellschaft handelt, </w:t>
            </w:r>
            <w:r w:rsidR="003213EA">
              <w:rPr>
                <w:lang w:val="de-DE"/>
              </w:rPr>
              <w:t xml:space="preserve">und für Anteile an Aktienfonds </w:t>
            </w:r>
            <w:r w:rsidRPr="00AA4A85">
              <w:rPr>
                <w:lang w:val="de-DE"/>
              </w:rPr>
              <w:t>weitere Beschränkungen gelten.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8550B0" w:rsidP="00023F08">
            <w:pPr>
              <w:pStyle w:val="CSBody0"/>
            </w:pPr>
            <w:r w:rsidRPr="008550B0">
              <w:t>Withholding tax levied, if any, will be credited against the personal or corporate income tax of the holder of Complex Products.</w:t>
            </w:r>
          </w:p>
        </w:tc>
        <w:tc>
          <w:tcPr>
            <w:tcW w:w="2487" w:type="pct"/>
            <w:tcBorders>
              <w:left w:val="single" w:sz="4" w:space="0" w:color="auto"/>
            </w:tcBorders>
            <w:shd w:val="clear" w:color="auto" w:fill="auto"/>
          </w:tcPr>
          <w:p w:rsidR="00AA4A85" w:rsidRPr="00AA4A85" w:rsidP="00DE0F58">
            <w:pPr>
              <w:pStyle w:val="CSBody0"/>
              <w:rPr>
                <w:lang w:val="de-DE"/>
              </w:rPr>
            </w:pPr>
            <w:r w:rsidRPr="00AA4A85">
              <w:rPr>
                <w:lang w:val="de-DE"/>
              </w:rPr>
              <w:t xml:space="preserve">Etwaige einbehaltene </w:t>
            </w:r>
            <w:r w:rsidRPr="00DE0F58" w:rsidR="00DE0F58">
              <w:rPr>
                <w:lang w:val="de-DE"/>
              </w:rPr>
              <w:t xml:space="preserve">Kapitalertragsteuern </w:t>
            </w:r>
            <w:r w:rsidRPr="00AA4A85">
              <w:rPr>
                <w:lang w:val="de-DE"/>
              </w:rPr>
              <w:t>werden auf die persönliche Einkommensteuer- bzw. Körperschaftsteuerschuld des Inhabers Komplexer Produkte angerechnet.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40EF7">
            <w:pPr>
              <w:pStyle w:val="CSBody0"/>
            </w:pPr>
            <w:r w:rsidRPr="00440EF7">
              <w:t xml:space="preserve">German </w:t>
            </w:r>
            <w:r w:rsidR="003213EA">
              <w:t>i</w:t>
            </w:r>
            <w:r w:rsidRPr="00440EF7">
              <w:t xml:space="preserve">nvestment </w:t>
            </w:r>
            <w:r w:rsidR="003213EA">
              <w:t>taxation</w:t>
            </w:r>
          </w:p>
        </w:tc>
        <w:tc>
          <w:tcPr>
            <w:tcW w:w="2487" w:type="pct"/>
            <w:tcBorders>
              <w:left w:val="single" w:sz="4" w:space="0" w:color="auto"/>
            </w:tcBorders>
            <w:shd w:val="clear" w:color="auto" w:fill="auto"/>
          </w:tcPr>
          <w:p w:rsidR="0033731A" w:rsidRPr="00440EF7">
            <w:pPr>
              <w:pStyle w:val="CSBody0"/>
            </w:pPr>
            <w:r w:rsidRPr="00440EF7">
              <w:t>Investment</w:t>
            </w:r>
            <w:r>
              <w:t>besteuerung</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A4A85" w:rsidRPr="00A14EC2" w:rsidP="00023F08">
            <w:pPr>
              <w:pStyle w:val="CSBody0"/>
            </w:pPr>
            <w:r w:rsidRPr="00A14EC2">
              <w:t>German tax consequences different from those discussed above would arise if the Underlying delivered upon the physical settlement of Complex Products were to be regarded as investment fund units within the meaning of the German Investment Tax Act (</w:t>
            </w:r>
            <w:r w:rsidRPr="00023F08">
              <w:rPr>
                <w:i/>
              </w:rPr>
              <w:t>Investmentsteuergesetz</w:t>
            </w:r>
            <w:r w:rsidRPr="00A14EC2">
              <w:t>). In such case, the withholding tax requirements for the Disbursing Agent as well as the taxation of the Holder would depend on whether the disclosure and reporting requirements of the German Investment Tax Act were fulfilled. The holder of the fund units may be subject to tax on unrealised income or, in case the reporting and disclosure requirements are not fulfilled, on income deemed received on a lump</w:t>
            </w:r>
            <w:r w:rsidR="003213EA">
              <w:t>-</w:t>
            </w:r>
            <w:r w:rsidRPr="00A14EC2">
              <w:t>sum basis (so</w:t>
            </w:r>
            <w:r w:rsidR="003213EA">
              <w:t>-</w:t>
            </w:r>
            <w:r w:rsidRPr="00A14EC2">
              <w:t>called penalty taxation). Such income may be offset against any capital gains realised upon disposal of the underlying fund units received, respectively, subject to certain requirements.</w:t>
            </w:r>
          </w:p>
        </w:tc>
        <w:tc>
          <w:tcPr>
            <w:tcW w:w="2487" w:type="pct"/>
            <w:tcBorders>
              <w:left w:val="single" w:sz="4" w:space="0" w:color="auto"/>
            </w:tcBorders>
            <w:shd w:val="clear" w:color="auto" w:fill="auto"/>
          </w:tcPr>
          <w:p w:rsidR="00AA4A85" w:rsidRPr="00AA4A85">
            <w:pPr>
              <w:pStyle w:val="CSBody0"/>
              <w:rPr>
                <w:lang w:val="de-DE"/>
              </w:rPr>
            </w:pPr>
            <w:r w:rsidRPr="00AA4A85">
              <w:rPr>
                <w:lang w:val="de-DE"/>
              </w:rPr>
              <w:t xml:space="preserve">Sind die bei physischer Abwicklung Komplexer Produkte gelieferten Basiswerte als </w:t>
            </w:r>
            <w:r w:rsidR="003213EA">
              <w:rPr>
                <w:lang w:val="de-DE"/>
              </w:rPr>
              <w:t>Anteile an Investmentfonds</w:t>
            </w:r>
            <w:r w:rsidRPr="00AA4A85" w:rsidR="003213EA">
              <w:rPr>
                <w:lang w:val="de-DE"/>
              </w:rPr>
              <w:t xml:space="preserve"> </w:t>
            </w:r>
            <w:r w:rsidRPr="00AA4A85">
              <w:rPr>
                <w:lang w:val="de-DE"/>
              </w:rPr>
              <w:t>im Sinne des Investmentsteuergesetzes anzusehen, so können sich abweichende Steuerfolgen ergeben. In diesem Fall hängen die Voraussetzungen für einen Steuereinbehalt durch die Auszahlende Stelle sowie die Besteuerung der Inhaber unter anderem davon ab, ob die Offenlegungs</w:t>
            </w:r>
            <w:r w:rsidR="00F15E0A">
              <w:rPr>
                <w:lang w:val="de-DE"/>
              </w:rPr>
              <w:t>-</w:t>
            </w:r>
            <w:r w:rsidRPr="00AA4A85">
              <w:rPr>
                <w:lang w:val="de-DE"/>
              </w:rPr>
              <w:t xml:space="preserve"> und Veröffentlichungspflichten des Investmentsteuergesetzes erfüllt wurden. Sollte dies nicht der Fall sein, könnten die Anleger zusätzlich zu einer Steuer auf ein noch nicht realisiertes Einkommen auch einer Steuer auf ein fiktives Einkommen unterliegen. Die dann jährlich zu versteuernden (pauschalen) ausschüttungsgleichen Erträge können </w:t>
            </w:r>
            <w:r w:rsidR="003213EA">
              <w:rPr>
                <w:lang w:val="de-DE"/>
              </w:rPr>
              <w:t>jedoch grundsätzlich</w:t>
            </w:r>
            <w:r w:rsidRPr="00AA4A85">
              <w:rPr>
                <w:lang w:val="de-DE"/>
              </w:rPr>
              <w:t xml:space="preserve"> von einem späteren bei Verkauf oder Rückgabe der Fondsanteile erzielten Erlös abgesetzt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C02D5B" w:rsidP="00023F08">
            <w:pPr>
              <w:pStyle w:val="CSbody0bold"/>
            </w:pPr>
            <w:r w:rsidRPr="00C02D5B">
              <w:t>Non-</w:t>
            </w:r>
            <w:r w:rsidR="003213EA">
              <w:t xml:space="preserve">German </w:t>
            </w:r>
            <w:r w:rsidR="005106D6">
              <w:t xml:space="preserve">tax </w:t>
            </w:r>
            <w:r w:rsidRPr="00C02D5B">
              <w:t>residents</w:t>
            </w:r>
          </w:p>
        </w:tc>
        <w:tc>
          <w:tcPr>
            <w:tcW w:w="2487" w:type="pct"/>
            <w:tcBorders>
              <w:left w:val="single" w:sz="4" w:space="0" w:color="auto"/>
            </w:tcBorders>
            <w:shd w:val="clear" w:color="auto" w:fill="auto"/>
          </w:tcPr>
          <w:p w:rsidR="0033731A" w:rsidRPr="00C02D5B" w:rsidP="00023F08">
            <w:pPr>
              <w:pStyle w:val="CSbody0bold"/>
              <w:rPr>
                <w:i/>
              </w:rPr>
            </w:pPr>
            <w:r w:rsidRPr="00C02D5B">
              <w:t>Steuerausländer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8C5DAB" w:rsidP="00023F08">
            <w:pPr>
              <w:pStyle w:val="CSBody0"/>
            </w:pPr>
            <w:r w:rsidRPr="008C5DAB">
              <w:t>This section applies to holders who are not tax resident in Germany.</w:t>
            </w:r>
          </w:p>
        </w:tc>
        <w:tc>
          <w:tcPr>
            <w:tcW w:w="2487" w:type="pct"/>
            <w:tcBorders>
              <w:left w:val="single" w:sz="4" w:space="0" w:color="auto"/>
            </w:tcBorders>
            <w:shd w:val="clear" w:color="auto" w:fill="auto"/>
          </w:tcPr>
          <w:p w:rsidR="00E36F02" w:rsidRPr="00E36F02" w:rsidP="00023F08">
            <w:pPr>
              <w:pStyle w:val="CSBody0"/>
              <w:rPr>
                <w:lang w:val="de-DE"/>
              </w:rPr>
            </w:pPr>
            <w:r w:rsidRPr="00E36F02">
              <w:rPr>
                <w:lang w:val="de-DE"/>
              </w:rPr>
              <w:t>Der folgende Abschnitt gilt für Inhaber, die nicht in Deutschland steuerlich ansässig sind.</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40EF7" w:rsidP="00023F08">
            <w:pPr>
              <w:pStyle w:val="CSBody0"/>
              <w:rPr>
                <w:lang w:val="de-CH"/>
              </w:rPr>
            </w:pPr>
            <w:r w:rsidRPr="00440EF7">
              <w:rPr>
                <w:lang w:val="de-CH"/>
              </w:rPr>
              <w:t>Withholding tax</w:t>
            </w:r>
          </w:p>
        </w:tc>
        <w:tc>
          <w:tcPr>
            <w:tcW w:w="2487" w:type="pct"/>
            <w:tcBorders>
              <w:left w:val="single" w:sz="4" w:space="0" w:color="auto"/>
            </w:tcBorders>
            <w:shd w:val="clear" w:color="auto" w:fill="auto"/>
          </w:tcPr>
          <w:p w:rsidR="0033731A" w:rsidRPr="00440EF7" w:rsidP="00023F08">
            <w:pPr>
              <w:pStyle w:val="CSBody0"/>
              <w:rPr>
                <w:lang w:val="de-CH"/>
              </w:rPr>
            </w:pPr>
            <w:r w:rsidRPr="00440EF7">
              <w:rPr>
                <w:lang w:val="de-CH"/>
              </w:rPr>
              <w:t>Kapitalertragsteuer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59140C">
            <w:pPr>
              <w:pStyle w:val="CSBody0"/>
            </w:pPr>
            <w:r w:rsidRPr="0059140C">
              <w:t>In general, non-</w:t>
            </w:r>
            <w:r w:rsidR="003213EA">
              <w:t xml:space="preserve">German tax </w:t>
            </w:r>
            <w:r w:rsidRPr="0059140C">
              <w:t xml:space="preserve">residents are not subject to withholding tax on payments under or proceeds from the redemption or disposal of Complex Products. However, where income from Complex Products is subject to German taxation as set forth in the following paragraph and the Complex Products are </w:t>
            </w:r>
            <w:r w:rsidR="003213EA">
              <w:t>kept or administrated</w:t>
            </w:r>
            <w:r w:rsidRPr="0059140C" w:rsidR="003213EA">
              <w:t xml:space="preserve"> </w:t>
            </w:r>
            <w:r w:rsidRPr="0059140C">
              <w:t>in a custodial account with a Disbursing Agent, withholding tax may be levied under certain circumstances. Where Complex Products are not kept in a custodial account with a Disbursing Agent and interest or proceeds from the disposal, assignment or redemption of a Complex Product or an interest coupon are paid by a Disbursing Agent to a non-resident upon delivery of the Complex Product or interest coupon, withholding tax generally will also apply. The withholding tax may be refunded based on an assessment to tax or under an applicable tax treaty.</w:t>
            </w:r>
          </w:p>
        </w:tc>
        <w:tc>
          <w:tcPr>
            <w:tcW w:w="2487" w:type="pct"/>
            <w:tcBorders>
              <w:left w:val="single" w:sz="4" w:space="0" w:color="auto"/>
            </w:tcBorders>
            <w:shd w:val="clear" w:color="auto" w:fill="auto"/>
          </w:tcPr>
          <w:p w:rsidR="00E36F02" w:rsidRPr="00E36F02" w:rsidP="00023F08">
            <w:pPr>
              <w:pStyle w:val="CSBody0"/>
              <w:rPr>
                <w:lang w:val="de-DE"/>
              </w:rPr>
            </w:pPr>
            <w:r w:rsidRPr="00E36F02">
              <w:rPr>
                <w:lang w:val="de-DE"/>
              </w:rPr>
              <w:t>Grundsätzlich unterliegen nicht in Deutschland ansässige Personen hinsichtlich Zahlungen auf Komplexe Produkte oder Einnahmen aus der Rückzahlung oder der Veräusserung von Komplexen Produkten keinem Kapitalertragsteuerabzug. Sind die Einkünfte aus Komplexen Produkten jedoch nach Massgabe des nachfolgenden Absatzes in Deutschland steuerpflichtig und werden die Komplexen Produkte in einem Depot bei einer Auszahlenden Stelle verwahrt</w:t>
            </w:r>
            <w:r w:rsidR="003213EA">
              <w:rPr>
                <w:lang w:val="de-DE"/>
              </w:rPr>
              <w:t xml:space="preserve"> oder verwaltet</w:t>
            </w:r>
            <w:r w:rsidRPr="00E36F02">
              <w:rPr>
                <w:lang w:val="de-DE"/>
              </w:rPr>
              <w:t>, wird unter bestimmten Umständen Kapitalertragsteuer erhoben. Werden die Komplexen Produkte nicht im Depot einer Auszahlenden Stelle verwahrt und werden Zinsen oder Einnahmen aus der Veräusserung, Rückzahlung oder Abtretung eines Komplexen Produkts oder eines Zinsscheins durch die Auszahlende Stelle an einen Steuerausländer gegen Übergabe der Komplexen Produkte oder gegen Aushändigung der Zinsscheine ausgezahlt, ist grundsätzlich Kapitalertragsteuer einzubehalten. Die Kapitalertragsteuer kann gegebenenfalls im Rahmen einer Veranlagung oder aufgrund eines anwendbaren Doppelbesteuerungsabkommens erstattet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40EF7" w:rsidP="00023F08">
            <w:pPr>
              <w:pStyle w:val="CSBody0"/>
            </w:pPr>
            <w:r>
              <w:t xml:space="preserve">(Corporate) </w:t>
            </w:r>
            <w:r w:rsidRPr="00440EF7">
              <w:t>Income and trade tax</w:t>
            </w:r>
          </w:p>
        </w:tc>
        <w:tc>
          <w:tcPr>
            <w:tcW w:w="2487" w:type="pct"/>
            <w:tcBorders>
              <w:left w:val="single" w:sz="4" w:space="0" w:color="auto"/>
            </w:tcBorders>
            <w:shd w:val="clear" w:color="auto" w:fill="auto"/>
          </w:tcPr>
          <w:p w:rsidR="0033731A" w:rsidRPr="00440EF7" w:rsidP="00023F08">
            <w:pPr>
              <w:pStyle w:val="CSBody0"/>
              <w:rPr>
                <w:lang w:val="de-CH"/>
              </w:rPr>
            </w:pPr>
            <w:r w:rsidRPr="00440EF7">
              <w:rPr>
                <w:lang w:val="de-DE"/>
              </w:rPr>
              <w:t xml:space="preserve">Körperschaft- bzw. Einkommen- und Gewerbesteuer </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F947F4" w:rsidP="00DE0F58">
            <w:pPr>
              <w:pStyle w:val="CSBody0"/>
            </w:pPr>
            <w:r w:rsidRPr="00F947F4">
              <w:t>Payments under and proceeds from the redemption or disposal of Complex Products are, in general, subject to German</w:t>
            </w:r>
            <w:r w:rsidR="005106D6">
              <w:t xml:space="preserve"> (corporate)</w:t>
            </w:r>
            <w:r w:rsidRPr="00F947F4">
              <w:t xml:space="preserve"> income and trade tax if such Complex Products form part of the business property of a permanent establishment, including a permanent representative, or a fixed base that the holder maintains in Germany or the income otherwise constitutes German</w:t>
            </w:r>
            <w:r w:rsidRPr="00F947F4" w:rsidR="00F15E0A">
              <w:t>-</w:t>
            </w:r>
            <w:r w:rsidRPr="00F947F4">
              <w:t>source income, such as income from the leasing and letting of German real property. Under these circumstances a tax regime similar to that explained above under "</w:t>
            </w:r>
            <w:r w:rsidRPr="00DE0F58" w:rsidR="003213EA">
              <w:rPr>
                <w:i/>
              </w:rPr>
              <w:t>German t</w:t>
            </w:r>
            <w:r w:rsidRPr="00DE0F58">
              <w:rPr>
                <w:i/>
              </w:rPr>
              <w:t>ax</w:t>
            </w:r>
            <w:r w:rsidRPr="00F947F4">
              <w:rPr>
                <w:i/>
              </w:rPr>
              <w:t>-</w:t>
            </w:r>
            <w:r w:rsidR="00DE0F58">
              <w:rPr>
                <w:i/>
              </w:rPr>
              <w:t>r</w:t>
            </w:r>
            <w:r w:rsidRPr="00F947F4">
              <w:rPr>
                <w:i/>
              </w:rPr>
              <w:t>esident business holders – Income and trade tax</w:t>
            </w:r>
            <w:r w:rsidRPr="00F947F4">
              <w:t>" will apply.</w:t>
            </w:r>
          </w:p>
        </w:tc>
        <w:tc>
          <w:tcPr>
            <w:tcW w:w="2487" w:type="pct"/>
            <w:tcBorders>
              <w:left w:val="single" w:sz="4" w:space="0" w:color="auto"/>
            </w:tcBorders>
            <w:shd w:val="clear" w:color="auto" w:fill="auto"/>
          </w:tcPr>
          <w:p w:rsidR="00E36F02" w:rsidRPr="00E36F02" w:rsidP="00023F08">
            <w:pPr>
              <w:pStyle w:val="CSBody0"/>
              <w:rPr>
                <w:lang w:val="de-DE"/>
              </w:rPr>
            </w:pPr>
            <w:r w:rsidRPr="00F947F4">
              <w:rPr>
                <w:lang w:val="de-DE"/>
              </w:rPr>
              <w:t xml:space="preserve">Zahlungen auf Komplexe Produkte und Einnahmen aus der Rückzahlung oder Veräusserung von Komplexen Produkten unterliegen grundsätzlich </w:t>
            </w:r>
            <w:r w:rsidR="003213EA">
              <w:rPr>
                <w:lang w:val="de-DE"/>
              </w:rPr>
              <w:t xml:space="preserve">nur </w:t>
            </w:r>
            <w:r w:rsidRPr="00F947F4">
              <w:rPr>
                <w:lang w:val="de-DE"/>
              </w:rPr>
              <w:t>der deutschen Körperschaft- bzw. Einkommen- und Gewerbesteuer, wenn das betreffende Komplexe Produkt im Betriebsvermögen einer inländischen Betriebstätte, einschliesslich eines ständigen Vertreters, oder einer festen Einrichtung, die der Inhaber in Deutschland unterhält, gehalten wird oder die Einkünfte sonstige Einnahmen aus deutscher Quelle begründen, etwa Einkünfte aus der Vermietung und Verpachtung einer deutschen Immobilie. Unter diesen Voraussetzungen findet ein ähnliches Besteuerungsregime Anwendung wie vorstehend im Abschnitt "</w:t>
            </w:r>
            <w:r w:rsidR="005106D6">
              <w:rPr>
                <w:i/>
                <w:lang w:val="de-DE"/>
              </w:rPr>
              <w:t>Deutsche S</w:t>
            </w:r>
            <w:r w:rsidRPr="00F947F4">
              <w:rPr>
                <w:i/>
                <w:lang w:val="de-DE"/>
              </w:rPr>
              <w:t>teuerinländer, Besteuerung im Betriebsvermögen – Körperschaft- bzw. Einkommen- und Gewerbesteuer</w:t>
            </w:r>
            <w:r w:rsidRPr="00F947F4">
              <w:rPr>
                <w:lang w:val="de-DE"/>
              </w:rPr>
              <w:t>" dargestellt.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023F08">
            <w:pPr>
              <w:pStyle w:val="CSbody0bold"/>
            </w:pPr>
            <w:r w:rsidRPr="005B5713">
              <w:t>Inheritance and gift tax</w:t>
            </w:r>
          </w:p>
        </w:tc>
        <w:tc>
          <w:tcPr>
            <w:tcW w:w="2487" w:type="pct"/>
            <w:tcBorders>
              <w:left w:val="single" w:sz="4" w:space="0" w:color="auto"/>
            </w:tcBorders>
            <w:shd w:val="clear" w:color="auto" w:fill="auto"/>
          </w:tcPr>
          <w:p w:rsidR="0033731A" w:rsidRPr="005B5713" w:rsidP="00023F08">
            <w:pPr>
              <w:pStyle w:val="CSbody0bold"/>
              <w:rPr>
                <w:i/>
              </w:rPr>
            </w:pPr>
            <w:r w:rsidRPr="005B5713">
              <w:t>Erbschaft- und Schenkungssteuer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0C3C42" w:rsidP="00023F08">
            <w:pPr>
              <w:pStyle w:val="CSBody0"/>
            </w:pPr>
            <w:r w:rsidRPr="000C3C42">
              <w:t>No inheritance or gift taxes with respect to any Complex Product will arise under the laws of Germany, if, in the case of inheritance tax, neither the deceased nor the beneficiary, or, in the case of gift tax, neither the donor nor the donee, is a resident of Germany and such Complex Product is not attributable to a German trade or business for which a permanent establishment is maintained, or a permanent representative has been appointed, in Germany. Exceptions from this rule apply to certain German expatriates.</w:t>
            </w:r>
          </w:p>
        </w:tc>
        <w:tc>
          <w:tcPr>
            <w:tcW w:w="2487" w:type="pct"/>
            <w:tcBorders>
              <w:left w:val="single" w:sz="4" w:space="0" w:color="auto"/>
            </w:tcBorders>
            <w:shd w:val="clear" w:color="auto" w:fill="auto"/>
          </w:tcPr>
          <w:p w:rsidR="00E36F02" w:rsidRPr="00E36F02" w:rsidP="00023F08">
            <w:pPr>
              <w:pStyle w:val="CSBody0"/>
              <w:rPr>
                <w:lang w:val="de-DE"/>
              </w:rPr>
            </w:pPr>
            <w:r w:rsidRPr="00E36F02">
              <w:rPr>
                <w:lang w:val="de-DE"/>
              </w:rPr>
              <w:t>Weder Erbschaft- noch Schenkungsteuer wird nach deutschem Recht im Hinblick auf Komplexe Produkte erhoben, wenn, im Fall der Erbschaftsteuer, weder der Erblasser noch der Erbe, oder, im Fall der Schenkungsteuer, weder der Schenker noch der Beschenkte in Deutschland ansässig ist und die Komplexen Produkte nicht in einem Betriebsvermögen gehalten werden, für das in Deutschland eine Betriebsstätte unterhalten wird oder ein ständiger Vertreter bestellt ist. Ausnahmen von dieser Regelung gelten für bestimmte deutsche Staatsangehörige, die früher ihren Wohnsitz im Inland hatten.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023F08">
            <w:pPr>
              <w:pStyle w:val="CSbody0bold"/>
            </w:pPr>
            <w:r w:rsidRPr="005B5713">
              <w:t>Other taxes</w:t>
            </w:r>
          </w:p>
        </w:tc>
        <w:tc>
          <w:tcPr>
            <w:tcW w:w="2487" w:type="pct"/>
            <w:tcBorders>
              <w:left w:val="single" w:sz="4" w:space="0" w:color="auto"/>
            </w:tcBorders>
            <w:shd w:val="clear" w:color="auto" w:fill="auto"/>
          </w:tcPr>
          <w:p w:rsidR="0033731A" w:rsidRPr="005B5713" w:rsidP="00023F08">
            <w:pPr>
              <w:pStyle w:val="CSbody0bold"/>
              <w:rPr>
                <w:i/>
              </w:rPr>
            </w:pPr>
            <w:r w:rsidRPr="005B5713">
              <w:t>Sonstige Steuern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030805" w:rsidP="00023F08">
            <w:pPr>
              <w:pStyle w:val="CSBody0"/>
            </w:pPr>
            <w:r w:rsidRPr="00030805">
              <w:t>No stamp duty or issue or registration taxes will be payable in Germany in connection with the issuance, delivery or execution of Complex Products. Currently, net assets tax is not levied in Germany.</w:t>
            </w:r>
          </w:p>
        </w:tc>
        <w:tc>
          <w:tcPr>
            <w:tcW w:w="2487" w:type="pct"/>
            <w:tcBorders>
              <w:left w:val="single" w:sz="4" w:space="0" w:color="auto"/>
            </w:tcBorders>
            <w:shd w:val="clear" w:color="auto" w:fill="auto"/>
          </w:tcPr>
          <w:p w:rsidR="00E36F02" w:rsidRPr="00F15E0A" w:rsidP="00023F08">
            <w:pPr>
              <w:pStyle w:val="CSBody0"/>
              <w:rPr>
                <w:lang w:val="de-DE"/>
              </w:rPr>
            </w:pPr>
            <w:r w:rsidRPr="00E36F02">
              <w:rPr>
                <w:lang w:val="de-DE"/>
              </w:rPr>
              <w:t xml:space="preserve">Im Zusammenhang mit der Begebung, Lieferung oder Ausfertigung von Komplexen Produkten fällt in Deutschland keine Stempel-, Emissions- oder Registrierungssteuer an. </w:t>
            </w:r>
            <w:r w:rsidRPr="00F15E0A">
              <w:rPr>
                <w:lang w:val="de-DE"/>
              </w:rPr>
              <w:t>Vermögensteuer wird in Deutschland gegenwärtig nicht erhoben.</w:t>
            </w:r>
          </w:p>
        </w:tc>
      </w:tr>
      <w:tr w:rsidTr="0091684B">
        <w:tblPrEx>
          <w:tblW w:w="5000" w:type="pct"/>
          <w:tblInd w:w="13" w:type="dxa"/>
          <w:tblLayout w:type="fixed"/>
          <w:tblLook w:val="00A0"/>
        </w:tblPrEx>
        <w:trPr>
          <w:gridBefore w:val="1"/>
          <w:wBefore w:w="25" w:type="dxa"/>
        </w:trPr>
        <w:tc>
          <w:tcPr>
            <w:tcW w:w="2500" w:type="pct"/>
            <w:tcBorders>
              <w:right w:val="single" w:sz="4" w:space="0" w:color="auto"/>
            </w:tcBorders>
          </w:tcPr>
          <w:p w:rsidR="0033731A" w:rsidRPr="005B5713" w:rsidP="00023F08">
            <w:pPr>
              <w:pStyle w:val="CSbody0bold"/>
            </w:pPr>
            <w:r w:rsidRPr="005B5713">
              <w:t>Implementation of the Directive</w:t>
            </w:r>
          </w:p>
        </w:tc>
        <w:tc>
          <w:tcPr>
            <w:tcW w:w="2487" w:type="pct"/>
            <w:tcBorders>
              <w:left w:val="single" w:sz="4" w:space="0" w:color="auto"/>
            </w:tcBorders>
            <w:shd w:val="clear" w:color="auto" w:fill="auto"/>
          </w:tcPr>
          <w:p w:rsidR="0033731A" w:rsidRPr="005B5713" w:rsidP="00023F08">
            <w:pPr>
              <w:pStyle w:val="CSbody0bold"/>
            </w:pPr>
            <w:r w:rsidRPr="005B5713">
              <w:t>Umsetzung der Richtlinie</w:t>
            </w:r>
          </w:p>
        </w:tc>
      </w:tr>
      <w:tr w:rsidTr="0091684B">
        <w:tblPrEx>
          <w:tblW w:w="5000" w:type="pct"/>
          <w:tblInd w:w="13" w:type="dxa"/>
          <w:tblLayout w:type="fixed"/>
          <w:tblLook w:val="00A0"/>
        </w:tblPrEx>
        <w:trPr>
          <w:gridBefore w:val="1"/>
          <w:wBefore w:w="25" w:type="dxa"/>
        </w:trPr>
        <w:tc>
          <w:tcPr>
            <w:tcW w:w="2500" w:type="pct"/>
            <w:tcBorders>
              <w:right w:val="single" w:sz="4" w:space="0" w:color="auto"/>
            </w:tcBorders>
          </w:tcPr>
          <w:p w:rsidR="00E36F02" w:rsidRPr="00023F08">
            <w:pPr>
              <w:pStyle w:val="CSBody0"/>
            </w:pPr>
            <w:r w:rsidRPr="00023F08">
              <w:t xml:space="preserve">By legislative regulations dated 26 January 2004 the German Federal Government enacted provisions implementing the information exchange on the basis of the Directive into German law. These provisions apply </w:t>
            </w:r>
            <w:r w:rsidR="003213EA">
              <w:t>since</w:t>
            </w:r>
            <w:r w:rsidRPr="00023F08" w:rsidR="003213EA">
              <w:t xml:space="preserve"> </w:t>
            </w:r>
            <w:r w:rsidRPr="00023F08">
              <w:t>1 July 2005.</w:t>
            </w:r>
          </w:p>
        </w:tc>
        <w:tc>
          <w:tcPr>
            <w:tcW w:w="2487" w:type="pct"/>
            <w:tcBorders>
              <w:left w:val="single" w:sz="4" w:space="0" w:color="auto"/>
            </w:tcBorders>
            <w:shd w:val="clear" w:color="auto" w:fill="auto"/>
          </w:tcPr>
          <w:p w:rsidR="00E36F02" w:rsidRPr="00023F08" w:rsidP="00023F08">
            <w:pPr>
              <w:pStyle w:val="CSBody0"/>
            </w:pPr>
            <w:r w:rsidRPr="0046463E">
              <w:rPr>
                <w:lang w:val="de-DE"/>
              </w:rPr>
              <w:t xml:space="preserve">Die Umsetzung des Informationsaustausches auf Grundlage der Richtlinie in deutsches Recht erfolgte durch Verordnung der Bundesregierung vom 26. </w:t>
            </w:r>
            <w:r w:rsidRPr="00023F08">
              <w:t>Januar 2004. Diese Bestimmungen gelten seit dem 1. Juli 2005.</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023F08">
            <w:pPr>
              <w:pStyle w:val="CSbody0bold"/>
              <w:rPr>
                <w:i/>
              </w:rPr>
            </w:pPr>
            <w:r w:rsidRPr="00B92CC1">
              <w:t>Austria</w:t>
            </w:r>
          </w:p>
        </w:tc>
        <w:tc>
          <w:tcPr>
            <w:tcW w:w="2487" w:type="pct"/>
            <w:tcBorders>
              <w:left w:val="single" w:sz="4" w:space="0" w:color="auto"/>
            </w:tcBorders>
            <w:shd w:val="clear" w:color="auto" w:fill="auto"/>
          </w:tcPr>
          <w:p w:rsidR="0033731A" w:rsidRPr="005B5713" w:rsidP="00023F08">
            <w:pPr>
              <w:pStyle w:val="CSbody0bold"/>
              <w:rPr>
                <w:i/>
              </w:rPr>
            </w:pPr>
            <w:r w:rsidRPr="00B92CC1">
              <w:t>Österreich</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72630D" w:rsidP="001E4CCF">
            <w:pPr>
              <w:pStyle w:val="CSBody0"/>
            </w:pPr>
            <w:r w:rsidRPr="00DD35CC">
              <w:t xml:space="preserve">This section on taxation contains a brief summary of the Issuer's understanding with regard to certain important principles which are of significance in connection with the purchase, holding or sale of the Complex Products in Austria. This summary does not purport to exhaustively describe all possible tax aspects and does not deal with specific situations which may be of relevance for certain potential investors. The following comments are rather of a general nature and included herein solely for information purposes. They are not intended to be, nor should they be construed to be, legal or tax advice. This summary is based on the currently applicable tax legislation, case law and regulations of the tax authorities, as well as their respective interpretation, all of which may be amended from time to time. Such amendments may possibly also be effected with retroactive effect and may negatively impact on the tax consequences described. It is recommended that potential investors in the Complex Products consult with their legal and tax advisors as to the tax consequences of the purchase, holding or sale of the Complex Products. Tax risks resulting from the Complex Products (in particular from a potential qualification as a foreign investment fund within the meaning of sec. 188 of the Austrian Investment Funds Act 2011 </w:t>
            </w:r>
            <w:r w:rsidR="001E4CCF">
              <w:t>(</w:t>
            </w:r>
            <w:r w:rsidRPr="008A565C">
              <w:rPr>
                <w:i/>
              </w:rPr>
              <w:t>Investmentfondsgesetz 2011</w:t>
            </w:r>
            <w:r w:rsidR="001E4CCF">
              <w:t>)</w:t>
            </w:r>
            <w:r w:rsidRPr="00DD35CC">
              <w:t>) shall in any case be borne by the investor. For the purposes of the following it is assumed that the Complex Products are legally and factually offered to an indefinite number of persons.</w:t>
            </w:r>
          </w:p>
        </w:tc>
        <w:tc>
          <w:tcPr>
            <w:tcW w:w="2487" w:type="pct"/>
            <w:tcBorders>
              <w:top w:val="nil"/>
              <w:left w:val="single" w:sz="4" w:space="0" w:color="auto"/>
              <w:bottom w:val="nil"/>
              <w:right w:val="nil"/>
            </w:tcBorders>
            <w:shd w:val="clear" w:color="auto" w:fill="auto"/>
          </w:tcPr>
          <w:p w:rsidR="00E36F02" w:rsidRPr="00E36F02" w:rsidP="001E4CCF">
            <w:pPr>
              <w:pStyle w:val="CSBody0"/>
              <w:rPr>
                <w:lang w:val="de-DE"/>
              </w:rPr>
            </w:pPr>
            <w:r w:rsidRPr="00DD35CC">
              <w:rPr>
                <w:lang w:val="de-DE"/>
              </w:rPr>
              <w:t xml:space="preserve">Dieser Abschnitt zur Besteuerung enthält eine kurze Zusammenfassung des Verständnisses der Emittentin betreffend einige wichtige Grundsätze, die im Zusammenhang mit dem Erwerb, dem Halten und der Veräusserung der Komplexen Produkte in Österreich bedeutsam sind. Die Zusammenfassung erhebt nicht den Anspruch, sämtliche steuerliche Überlegungen vollständig wiederzugeben und geht auch nicht auf besondere Sachverhaltsgestaltungen ein, die für einzelne potenzielle Anleger von Bedeutung sein können. Die folgenden Ausführungen sind genereller Natur und hierin nur zu Informationszwecken enthalten. Sie sollen keine rechtliche oder steuerliche Beratung darstellen und auch nicht als solche ausgelegt werden. Diese Zusammenfassung basiert auf den derzeit gültigen österreichischen Steuergesetzen, der höchstgerichtlichen Rechtsprechung sowie den Richtlinien der Finanzverwaltung und deren jeweiliger Auslegung, die alle Änderungen unterliegen können. Solche Änderungen können auch rückwirkend eingeführt werden und die beschriebenen steuerlichen Folgen nachteilig beeinflussen. Potenziellen Anlegern wird empfohlen, wegen der steuerlichen Folgen des Kaufs, des Haltens sowie der Veräusserung der Komplexen Produkte ihre rechtlichen und steuerlichen Berater zu konsultieren. Das steuerliche Risiko aus den Komplexen Produkten (insbesondere aus einer allfälligen Qualifizierung als Anteil an einem ausländischen Kapitalanlagefonds im Sinne des § 188 Investmentfondsgesetz 2011 </w:t>
            </w:r>
            <w:r w:rsidR="001E4CCF">
              <w:rPr>
                <w:lang w:val="de-DE"/>
              </w:rPr>
              <w:t>(</w:t>
            </w:r>
            <w:r w:rsidRPr="00DD35CC">
              <w:rPr>
                <w:lang w:val="de-DE"/>
              </w:rPr>
              <w:t>InvFG 2011</w:t>
            </w:r>
            <w:r w:rsidR="001E4CCF">
              <w:rPr>
                <w:lang w:val="de-DE"/>
              </w:rPr>
              <w:t>)</w:t>
            </w:r>
            <w:r w:rsidRPr="00DD35CC">
              <w:rPr>
                <w:lang w:val="de-DE"/>
              </w:rPr>
              <w:t>) trägt der Anleger. Im Folgenden wird angenommen, dass die Komplexen Produkte an einen in rechtlicher und tatsächlicher Hinsicht unbestimmten Personenkreis angeboten werden.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33731A" w:rsidRPr="005B5713" w:rsidP="005E15E9">
            <w:pPr>
              <w:pStyle w:val="CSbody0bold"/>
              <w:rPr>
                <w:lang w:val="de-AT"/>
              </w:rPr>
            </w:pPr>
            <w:r w:rsidRPr="005B5713">
              <w:t>General remarks</w:t>
            </w:r>
          </w:p>
        </w:tc>
        <w:tc>
          <w:tcPr>
            <w:tcW w:w="2487" w:type="pct"/>
            <w:tcBorders>
              <w:top w:val="nil"/>
              <w:left w:val="single" w:sz="4" w:space="0" w:color="auto"/>
              <w:bottom w:val="nil"/>
              <w:right w:val="nil"/>
            </w:tcBorders>
            <w:shd w:val="clear" w:color="auto" w:fill="auto"/>
            <w:hideMark/>
          </w:tcPr>
          <w:p w:rsidR="0033731A" w:rsidRPr="005B5713" w:rsidP="005E15E9">
            <w:pPr>
              <w:pStyle w:val="CSbody0bold"/>
            </w:pPr>
            <w:r w:rsidRPr="005B5713">
              <w:t>Allgemeine Hinweise</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5F56DC" w:rsidP="005E15E9">
            <w:pPr>
              <w:pStyle w:val="CSBody0"/>
            </w:pPr>
            <w:r w:rsidRPr="00DD35CC">
              <w:t>Individuals having a domicile (</w:t>
            </w:r>
            <w:r w:rsidRPr="009F6159">
              <w:rPr>
                <w:i/>
              </w:rPr>
              <w:t>Wohnsitz</w:t>
            </w:r>
            <w:r w:rsidRPr="00DD35CC">
              <w:t>) and/or their habitual abode (</w:t>
            </w:r>
            <w:r w:rsidRPr="009F6159">
              <w:rPr>
                <w:i/>
              </w:rPr>
              <w:t>gewöhnlicher</w:t>
            </w:r>
            <w:r w:rsidRPr="00DD35CC">
              <w:t xml:space="preserve"> </w:t>
            </w:r>
            <w:r w:rsidRPr="009F6159">
              <w:rPr>
                <w:i/>
              </w:rPr>
              <w:t>Aufenthalt</w:t>
            </w:r>
            <w:r w:rsidRPr="00DD35CC">
              <w:t>), both as defined in sec. 26 of the Austrian Federal Fiscal Procedures Act (</w:t>
            </w:r>
            <w:r w:rsidRPr="009F6159">
              <w:rPr>
                <w:i/>
              </w:rPr>
              <w:t>Bundesabgabenordnung</w:t>
            </w:r>
            <w:r w:rsidRPr="00DD35CC">
              <w:t>), in Austria are subject to income tax (</w:t>
            </w:r>
            <w:r w:rsidRPr="009F6159">
              <w:rPr>
                <w:i/>
              </w:rPr>
              <w:t>Einkommensteuer</w:t>
            </w:r>
            <w:r w:rsidRPr="00DD35CC">
              <w:t xml:space="preserve">) in Austria on their worldwide income (unlimited income tax liability; </w:t>
            </w:r>
            <w:r w:rsidRPr="009F6159">
              <w:rPr>
                <w:i/>
              </w:rPr>
              <w:t>unbeschränkte Einkommensteuerpflicht</w:t>
            </w:r>
            <w:r w:rsidRPr="00DD35CC">
              <w:t xml:space="preserve">). Individuals having neither a domicile nor their habitual abode in Austria are subject to income tax only on income from certain Austrian sources (limited income tax liability; </w:t>
            </w:r>
            <w:r w:rsidRPr="009F6159">
              <w:rPr>
                <w:i/>
              </w:rPr>
              <w:t>beschränkte Einkommensteuerpflicht</w:t>
            </w:r>
            <w:r w:rsidRPr="00DD35CC">
              <w:t>).</w:t>
            </w:r>
          </w:p>
        </w:tc>
        <w:tc>
          <w:tcPr>
            <w:tcW w:w="2487" w:type="pct"/>
            <w:tcBorders>
              <w:top w:val="nil"/>
              <w:left w:val="single" w:sz="4" w:space="0" w:color="auto"/>
              <w:bottom w:val="nil"/>
              <w:right w:val="nil"/>
            </w:tcBorders>
            <w:shd w:val="clear" w:color="auto" w:fill="auto"/>
          </w:tcPr>
          <w:p w:rsidR="00E36F02" w:rsidRPr="00E36F02" w:rsidP="009F6159">
            <w:pPr>
              <w:pStyle w:val="CSBody0"/>
              <w:rPr>
                <w:lang w:val="de-DE"/>
              </w:rPr>
            </w:pPr>
            <w:r w:rsidRPr="00DD35CC">
              <w:rPr>
                <w:lang w:val="de-DE"/>
              </w:rPr>
              <w:t>Natürliche Personen, die in Österreich einen Wohnsitz und/oder ihren gewöhnlichen Aufenthalt gemä</w:t>
            </w:r>
            <w:r w:rsidR="009F6159">
              <w:rPr>
                <w:lang w:val="de-DE"/>
              </w:rPr>
              <w:t>ss</w:t>
            </w:r>
            <w:r w:rsidRPr="00DD35CC">
              <w:rPr>
                <w:lang w:val="de-DE"/>
              </w:rPr>
              <w:t xml:space="preserve"> § 26 Bundesabgabenordnung (BAO) haben, unterliegen mit ihrem Welteinkommen der Einkommensteuer in Österreich (unbeschränkte Einkommensteuerpflicht). Natürliche Personen, die weder Wohnsitz noch gewöhnlichen Aufenthalt in Österreich haben, unterliegen nur mit bestimmten Inlandseinkünften der Steuerpflicht in Österreich (beschränkte Einkommensteuerpflicht).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5F56DC" w:rsidP="003330CF">
            <w:pPr>
              <w:pStyle w:val="CSBody0"/>
            </w:pPr>
            <w:r w:rsidRPr="00DD35CC">
              <w:t>Corporations having their place of management (</w:t>
            </w:r>
            <w:r w:rsidRPr="009F6159">
              <w:rPr>
                <w:i/>
              </w:rPr>
              <w:t>Ort der Geschäftsleitung</w:t>
            </w:r>
            <w:r w:rsidRPr="00DD35CC">
              <w:t>) and/or their legal seat (</w:t>
            </w:r>
            <w:r w:rsidRPr="009F6159">
              <w:rPr>
                <w:i/>
              </w:rPr>
              <w:t>Sitz</w:t>
            </w:r>
            <w:r w:rsidRPr="00DD35CC">
              <w:t>), both as defined in sec. 27 of the Austrian Federal Fiscal Procedures Act, in Austria are subject to corporate income tax (</w:t>
            </w:r>
            <w:r w:rsidRPr="009F6159">
              <w:rPr>
                <w:i/>
              </w:rPr>
              <w:t>Körperschaftsteuer</w:t>
            </w:r>
            <w:r w:rsidRPr="00DD35CC">
              <w:t xml:space="preserve">) in Austria on their worldwide income (unlimited corporate income tax liability; </w:t>
            </w:r>
            <w:r w:rsidRPr="009F6159">
              <w:rPr>
                <w:i/>
              </w:rPr>
              <w:t>unbeschränkte Körperschaftsteuerpflicht</w:t>
            </w:r>
            <w:r w:rsidRPr="00DD35CC">
              <w:t xml:space="preserve">). Corporations having neither their place of management nor their legal seat in Austria are subject to corporate income tax only on income from certain Austrian sources (limited corporate income tax liability; </w:t>
            </w:r>
            <w:r w:rsidRPr="009F6159">
              <w:rPr>
                <w:i/>
              </w:rPr>
              <w:t>beschränkte Körperschaftsteuerpflicht</w:t>
            </w:r>
            <w:r w:rsidRPr="00DD35CC">
              <w:t>).</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DD35CC">
              <w:rPr>
                <w:lang w:val="de-DE"/>
              </w:rPr>
              <w:t>Körperschaften, die in Österreich ihre Geschäftsleitung und/oder ihren Sitz gemäss § 27 BAO haben, unterliegen mit ihrem Welteinkommen der Körperschaftsteuer in Österreich (unbeschränkte Körperschaftsteuerpflicht). Körperschaften, die weder Geschäftsleitung noch Sitz in Österreich haben, unterliegen nur mit bestimmten Inlandseinkünften der Steuerpflicht in Österreich (beschränkte Körperschaftsteuerpflicht).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5F56DC" w:rsidP="005E15E9">
            <w:pPr>
              <w:pStyle w:val="CSBody0"/>
            </w:pPr>
            <w:r w:rsidRPr="00DD35CC">
              <w:t>Both in case of unlimited and limited (corporate) income tax liability Austria's right to tax may be restricted by double taxation treaties.</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DD35CC">
              <w:rPr>
                <w:lang w:val="de-DE"/>
              </w:rPr>
              <w:t>Sowohl in Fällen der unbeschränkten als auch der beschränkten Einkommen- oder Körperschaftsteuerpflicht in Österreich kann Österreichs Besteuerungsrecht durch Doppelbesteuerungsabkommen eingeschränkt werden.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33731A" w:rsidRPr="0046463E" w:rsidP="005E15E9">
            <w:pPr>
              <w:pStyle w:val="CSbody0bold"/>
              <w:rPr>
                <w:lang w:val="en-GB"/>
              </w:rPr>
            </w:pPr>
            <w:r w:rsidRPr="0046463E">
              <w:rPr>
                <w:lang w:val="en-GB"/>
              </w:rPr>
              <w:t>Income taxation of Complex Products</w:t>
            </w:r>
          </w:p>
        </w:tc>
        <w:tc>
          <w:tcPr>
            <w:tcW w:w="2487" w:type="pct"/>
            <w:tcBorders>
              <w:top w:val="nil"/>
              <w:left w:val="single" w:sz="4" w:space="0" w:color="auto"/>
              <w:bottom w:val="nil"/>
              <w:right w:val="nil"/>
            </w:tcBorders>
            <w:shd w:val="clear" w:color="auto" w:fill="auto"/>
            <w:hideMark/>
          </w:tcPr>
          <w:p w:rsidR="0033731A" w:rsidRPr="005B5713" w:rsidP="005E15E9">
            <w:pPr>
              <w:pStyle w:val="CSbody0bold"/>
            </w:pPr>
            <w:r w:rsidRPr="005B5713">
              <w:t>Einkommensbesteuerung von Komplexen Produkten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8741B3" w:rsidP="005E15E9">
            <w:pPr>
              <w:pStyle w:val="CSBody0"/>
            </w:pPr>
            <w:r w:rsidRPr="00DD35CC">
              <w:t>Pursuant to sec. 27(1) of the Austrian Income Tax Act (</w:t>
            </w:r>
            <w:r w:rsidRPr="009F6159">
              <w:rPr>
                <w:i/>
              </w:rPr>
              <w:t>Einkommensteuergesetz</w:t>
            </w:r>
            <w:r w:rsidRPr="00DD35CC">
              <w:t>), the term investment income (</w:t>
            </w:r>
            <w:r w:rsidRPr="009F6159">
              <w:rPr>
                <w:i/>
              </w:rPr>
              <w:t>Einkünfte aus Kapitalvermögen</w:t>
            </w:r>
            <w:r w:rsidRPr="00DD35CC">
              <w:t>) comprises:</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DD35CC">
              <w:rPr>
                <w:lang w:val="de-DE"/>
              </w:rPr>
              <w:t>Gemäss § 27 Abs 1 Einkommensteuergesetz (EStG) gelten als Einkünfte aus Kapitalvermögen: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33731A" w:rsidRPr="00E36F02" w:rsidP="00DD35CC">
            <w:pPr>
              <w:pStyle w:val="CSBullet0"/>
            </w:pPr>
            <w:r w:rsidRPr="00DD35CC">
              <w:t>income from the letting of capital (</w:t>
            </w:r>
            <w:r w:rsidRPr="009F6159">
              <w:rPr>
                <w:i/>
              </w:rPr>
              <w:t>Einkünfte aus der Überlassung von Kapital</w:t>
            </w:r>
            <w:r w:rsidRPr="00DD35CC">
              <w:t>) pursuant to sec. 27(2) of the Austrian Income Tax Act, including dividends and interest;</w:t>
            </w:r>
          </w:p>
        </w:tc>
        <w:tc>
          <w:tcPr>
            <w:tcW w:w="2487" w:type="pct"/>
            <w:tcBorders>
              <w:top w:val="nil"/>
              <w:left w:val="single" w:sz="4" w:space="0" w:color="auto"/>
              <w:bottom w:val="nil"/>
              <w:right w:val="nil"/>
            </w:tcBorders>
            <w:shd w:val="clear" w:color="auto" w:fill="auto"/>
          </w:tcPr>
          <w:p w:rsidR="0033731A" w:rsidRPr="00E36F02" w:rsidP="00DD35CC">
            <w:pPr>
              <w:pStyle w:val="CSBullet0"/>
              <w:rPr>
                <w:lang w:val="de-DE"/>
              </w:rPr>
            </w:pPr>
            <w:r w:rsidRPr="00DD35CC">
              <w:rPr>
                <w:lang w:val="de-DE"/>
              </w:rPr>
              <w:t>Einkünfte aus der Überlassung von Kapital gemäss § 27 Abs 2 EStG, dazu gehören Dividenden und Zinsen;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33731A" w:rsidRPr="00E36F02" w:rsidP="00DD35CC">
            <w:pPr>
              <w:pStyle w:val="CSBullet0"/>
            </w:pPr>
            <w:r w:rsidRPr="00DD35CC">
              <w:t>income from realised increases in value (</w:t>
            </w:r>
            <w:r w:rsidRPr="009F6159">
              <w:rPr>
                <w:i/>
              </w:rPr>
              <w:t>Einkünfte aus realisierten Wertsteigerungen</w:t>
            </w:r>
            <w:r w:rsidRPr="00DD35CC">
              <w:t>) pursuant to sec. 27(3) of the Austrian Income Tax Act, including gains from the alienation, redemption and other realisation of assets that lead to income from the letting of capital, zero coupon bonds and broken-period interest; and</w:t>
            </w:r>
          </w:p>
        </w:tc>
        <w:tc>
          <w:tcPr>
            <w:tcW w:w="2487" w:type="pct"/>
            <w:tcBorders>
              <w:top w:val="nil"/>
              <w:left w:val="single" w:sz="4" w:space="0" w:color="auto"/>
              <w:bottom w:val="nil"/>
              <w:right w:val="nil"/>
            </w:tcBorders>
            <w:shd w:val="clear" w:color="auto" w:fill="auto"/>
          </w:tcPr>
          <w:p w:rsidR="0033731A" w:rsidRPr="00E36F02" w:rsidP="00DD35CC">
            <w:pPr>
              <w:pStyle w:val="CSBullet0"/>
              <w:rPr>
                <w:lang w:val="de-DE"/>
              </w:rPr>
            </w:pPr>
            <w:r w:rsidRPr="00DD35CC">
              <w:rPr>
                <w:lang w:val="de-DE"/>
              </w:rPr>
              <w:t>Einkünfte aus realisierten Wertsteigerungen gemäss § 27 Abs 3 EStG, dazu gehören Einkünfte aus der Veräusserung, Einlösung und sonstigen Abschichtung von Wirtschaftsgütern, deren Erträge Einkünfte aus der Überlassung von Kapital sind, einschliesslich Einkünfte aus Nullkuponanleihen und Stückzinsen; und</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33731A" w:rsidRPr="00E36F02" w:rsidP="00DD35CC">
            <w:pPr>
              <w:pStyle w:val="CSBullet0"/>
            </w:pPr>
            <w:r w:rsidRPr="00DD35CC">
              <w:t>income from derivatives (</w:t>
            </w:r>
            <w:r w:rsidRPr="009F6159">
              <w:rPr>
                <w:i/>
              </w:rPr>
              <w:t>Einkünfte aus Derivaten</w:t>
            </w:r>
            <w:r w:rsidRPr="00DD35CC">
              <w:t>) pursuant to sec. 27(4) of the Austrian Income Tax Act, including cash settlements, option premiums received and income from the sale or other realisation of forward contracts like options, futures and swaps and other derivatives such as index certificates.</w:t>
            </w:r>
          </w:p>
        </w:tc>
        <w:tc>
          <w:tcPr>
            <w:tcW w:w="2487" w:type="pct"/>
            <w:tcBorders>
              <w:top w:val="nil"/>
              <w:left w:val="single" w:sz="4" w:space="0" w:color="auto"/>
              <w:bottom w:val="nil"/>
              <w:right w:val="nil"/>
            </w:tcBorders>
            <w:shd w:val="clear" w:color="auto" w:fill="auto"/>
          </w:tcPr>
          <w:p w:rsidR="0033731A" w:rsidRPr="00E36F02" w:rsidP="00DD35CC">
            <w:pPr>
              <w:pStyle w:val="CSBullet0"/>
              <w:rPr>
                <w:lang w:val="de-DE"/>
              </w:rPr>
            </w:pPr>
            <w:r w:rsidRPr="00DD35CC">
              <w:rPr>
                <w:lang w:val="de-DE"/>
              </w:rPr>
              <w:t>Einkünfte aus Derivaten gemäss § 27 Abs 4 EStG, dazu gehören Differenzausgleiche, Stillhalterprämien und Einkünfte aus der Veräusserung oder sonstigen Abwicklung von Termingeschäften wie Optionen, Futures und Swaps sowie sonstigen derivativen Finanzinstrumenten wie Indexzertifikaten.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C97D42" w:rsidP="005E15E9">
            <w:pPr>
              <w:pStyle w:val="CSBody0"/>
            </w:pPr>
            <w:r w:rsidRPr="00DD35CC">
              <w:t>Also the withdrawal of the Complex Products from a bank deposit (</w:t>
            </w:r>
            <w:r w:rsidRPr="009F6159">
              <w:rPr>
                <w:i/>
              </w:rPr>
              <w:t>Depotentnahme</w:t>
            </w:r>
            <w:r w:rsidRPr="00DD35CC">
              <w:t>) and circumstances leading to a loss of Austria's taxation right regarding the Complex Products vis-à-vis other countries, e.g. a relocation from Austria (</w:t>
            </w:r>
            <w:r w:rsidRPr="009F6159">
              <w:rPr>
                <w:i/>
              </w:rPr>
              <w:t>Wegzug</w:t>
            </w:r>
            <w:r w:rsidRPr="00DD35CC">
              <w:t>), are in general deemed to constitute a sale (cf. sec. 27(6)(1) of the Austrian Income Tax Act).</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DD35CC">
              <w:rPr>
                <w:lang w:val="de-DE"/>
              </w:rPr>
              <w:t>Auch die Entnahme und das sonstige Ausscheiden der Komplexen Produkte aus einem Depot sowie Umstände, die zum Verlust des Besteuerungsrechtes Österreichs im Verhältnis zu anderen Staaten führen, wie zB der Wegzug aus Österreich, gelten im Allgemeinen als Veräusserung (§ 27 Abs 6 Z 1 EStG).</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C97D42" w:rsidP="005E15E9">
            <w:pPr>
              <w:pStyle w:val="CSBody0"/>
            </w:pPr>
            <w:r w:rsidRPr="00DD35CC">
              <w:t>Individuals subject to unlimited income tax liability in Austria holding the Complex Products as non-business assets are subject to income tax on all resulting investment income pursuant to sec. 27(1) of the Austrian Income Tax Act. In case of investment income from the Complex Products with an Austrian nexus (</w:t>
            </w:r>
            <w:r w:rsidRPr="009F6159">
              <w:rPr>
                <w:i/>
              </w:rPr>
              <w:t>inländische Einkünfte aus Kapitalvermögen</w:t>
            </w:r>
            <w:r w:rsidRPr="00DD35CC">
              <w:t>), basically meaning income paid by an Austrian paying agent (</w:t>
            </w:r>
            <w:r w:rsidRPr="009F6159">
              <w:rPr>
                <w:i/>
              </w:rPr>
              <w:t>auszahlende Stelle</w:t>
            </w:r>
            <w:r w:rsidRPr="00DD35CC">
              <w:t>) or an Austrian custodian agent (</w:t>
            </w:r>
            <w:r w:rsidRPr="009F6159">
              <w:rPr>
                <w:i/>
              </w:rPr>
              <w:t>depotführende Stelle</w:t>
            </w:r>
            <w:r w:rsidRPr="00DD35CC">
              <w:t>), the income is subject to withholding tax (</w:t>
            </w:r>
            <w:r w:rsidRPr="009F6159">
              <w:rPr>
                <w:i/>
              </w:rPr>
              <w:t>Kapitalertragsteuer</w:t>
            </w:r>
            <w:r w:rsidRPr="00DD35CC">
              <w:t>) at a rate of 25% before 1 January 2016 and at a rate of 27.5% after 31 December 2015; no additional income tax is levied over and above the amount of tax withheld (final taxation pursuant to sec. 97(1) of the Austrian Income Tax Act). In case of investment income from the Complex Products without an Austrian nexus, the income must be included in the investor's income tax return and is subject to income tax at the flat rates mentioned above. In both cases upon application the option exists to tax all income subject to income tax at the flat rates mentioned above at the lower progressive income tax rate (option to regular taxation pursuant to sec. 27a(5) of the Austrian Income Tax Act). Sec. 27(8) of the Austrian Income Tax Act, inter alia, provides for the following restrictions on the offsetting of losses: negative income from realised increases in value and from derivatives may be neither offset against interest from bank accounts and other non-securitized claims vis-à-vis credit institutions (as of 1 January 2016, except for cash settlements and lending fees) nor against income from private foundations, foreign private law foundations and other comparable legal estates (</w:t>
            </w:r>
            <w:r w:rsidRPr="009F6159">
              <w:rPr>
                <w:i/>
              </w:rPr>
              <w:t>Privatstiftungen, ausländische Stiftungen oder sonstige Vermögensmassen, die mit einer Privatstiftung vergleichbar sind</w:t>
            </w:r>
            <w:r w:rsidRPr="00DD35CC">
              <w:t>); income subject to income tax at the flat rates mentioned above may not be offset against income subject to the progressive income tax rate (this equally applies in case of an exercise of the option to regular taxation); negative investment income not already offset against positive investment income may not be offset against other types of income.</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DD35CC">
              <w:rPr>
                <w:lang w:val="de-DE"/>
              </w:rPr>
              <w:t>In Österreich unbeschränkt steuerpflichtige natürliche Personen, die die Komplexen Produkte in ihrem Privatvermögen halten, unterliegen gemäss § 27 Abs 1 EStG mit Einkünften aus Kapitalvermögen daraus der Einkommensteuer. Inländische Einkünfte aus Kapitalvermögen aus den Komplexen Produkten – das sind im Allgemeinen Einkünfte, die über eine inländische auszahlende oder depotführende Stelle ausbezahlt werden – unterliegen der Kapitalertragsteuer (KESt) zum besonderen Steuersatz von 25% vor dem 1. Jänner 2016 und von 27,5% nach dem 31. Dezember 2015. Über den Abzug von KESt hinaus besteht keine Einkommensteuerpflicht (Endbesteuerung nach § 97 Abs 1 EStG). Ausländische Einkünfte aus Kapitalvermögen aus den Komplexen Produkten müssen in der Einkommensteuererklärung des Anlegers angegeben werden und unterliegen der Besteuerung zum oben genannten besonderen Steuersatz. In beiden Fällen besteht auf Antrag die Möglichkeit, dass sämtliche dem oben genannten besonderen Steuersatz unterliegenden Einkünfte zum niedrigeren progressiven Einkommensteuertarif veranlagt werden (Regelbesteuerungsoption gemäss § 27a Abs 5 EStG). § 27 Abs 8 EStG sieht unter anderem folgende Beschränkungen betreffend den Verlustausgleich vor: negative Einkünfte aus realisierten Wertsteigerungen bzw Derivaten dürfen weder mit Zinserträgen aus Geldeinlagen und nicht verbrieften sonstigen Forderungen bei Kreditinstituten (ab dem 1. Jänner 2016 ausgenommen Ausgleichzahlungen und Leihegebühren) noch mit Zuwendungen von Privatstiftungen, ausländischen Stiftungen oder sonstigen Vermögensmassen, die mit einer Privatstiftung vergleichbar sind, ausgeglichen werden; Einkünfte, die dem oben genannten besonderen Steuersatz unterliegen, dürfen nicht mit Einkünften ausgeglichen werden, die dem progressiven Einkommensteuersatz unterliegen (dies gilt auch bei Inanspruchnahme der Regelbesteuerungsoption); nicht ausgeglichene Verluste aus Kapitalvermögen dürfen nicht mit Einkünften aus anderen Einkunftsarten ausgeglichen werden.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074FF" w:rsidRPr="00425C2B" w:rsidP="005E15E9">
            <w:pPr>
              <w:pStyle w:val="CSBody0"/>
            </w:pPr>
            <w:r w:rsidRPr="00E074FF">
              <w:t>Pursuant to sec. 93(6) of the Austrian Income Tax Act, the Austrian custodian agent is obliged to automatically offset negative investment income against positive investment income, taking into account all of a taxpayer's bank deposits with the custodian agent. If negative and at the same time or later positive income is earned, then the negative income is to be offset against the positive income. If positive and later negative income is earned, then withholding tax on the positive income is to be credited, with such tax credit being limited to 25% of the negative income before 1 January 2016 and to 27.5% of the negative income after 31 December 2015. In certain cases the offsetting is not permissible. The custodian agent has to issue a written confirmation on each offsetting of losses to the taxpayer.</w:t>
            </w:r>
          </w:p>
        </w:tc>
        <w:tc>
          <w:tcPr>
            <w:tcW w:w="2487" w:type="pct"/>
            <w:tcBorders>
              <w:top w:val="nil"/>
              <w:left w:val="single" w:sz="4" w:space="0" w:color="auto"/>
              <w:bottom w:val="nil"/>
              <w:right w:val="nil"/>
            </w:tcBorders>
            <w:shd w:val="clear" w:color="auto" w:fill="auto"/>
          </w:tcPr>
          <w:p w:rsidR="00E074FF" w:rsidRPr="00E074FF" w:rsidP="005E15E9">
            <w:pPr>
              <w:pStyle w:val="CSBody0"/>
              <w:rPr>
                <w:lang w:val="de-DE"/>
              </w:rPr>
            </w:pPr>
            <w:r w:rsidRPr="00E074FF">
              <w:rPr>
                <w:lang w:val="de-DE"/>
              </w:rPr>
              <w:t>Die österreichische depotführende Stelle ist gemäss § 93 Abs 6 EStG verpflichtet, unter Einbeziehung aller bei ihr geführten Depots negative Kapitaleinkünfte automatisch mit positiven Kapitaleinkünften auszugleichen. Werden zunächst negative und zeitgleich oder später positive Einkünfte erzielt, sind die negativen Einkünfte mit diesen positiven Einkünften auszugleichen. Werden zunächst positive und später negative Einkünfte erzielt, ist die für die positiven Einkünfte einbehaltene KESt gutzuschreiben, wobei die Gutschrift höchstens 25% der negativen Einkünfte vor dem 1. Jänner 2016 und höchstens 27,5% der negativen Einkünfte nach dem 31. Dezember 2015 betragen darf. In bestimmten Fällen ist kein Ausgleich möglich. Die depotführende Stelle hat dem Steuerpflichtigen eine Bescheinigung über jeden Verlustausgleich zu erteilen.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425C2B" w:rsidP="005E15E9">
            <w:pPr>
              <w:pStyle w:val="CSBody0"/>
            </w:pPr>
            <w:r w:rsidRPr="00E074FF">
              <w:t>Individuals subject to unlimited income tax liability in Austria holding the Complex Products as business assets are subject to income tax on all resulting investment income pursuant to sec. 27(1) of the Austrian Income Tax Act. In case of investment income from the Complex Products with an Austrian nexus, the income is subject to withholding tax at a rate of 25% before 1 January 2016 and at a rate of 27.5% after 31 December 2015. While withholding tax has the effect of final taxation for income from the letting of capital, income from realised increases in value and income from derivatives must be included in the investor's income tax return (nevertheless income tax at the flat rates mentioned above). In case of investment income from the Complex Products without an Austrian nexus, the income must always be included in the investor's income tax return (generally income tax at the flat rates mentioned above). In both cases upon application the option exists to tax all income subject to income tax at the flat rates mentioned above at the lower progressive income tax rate (option to regular taxation pursuant to sec. 27a(5) of the Austrian Income Tax Act). Pursuant to sec. 6(2)(c) of the Austrian Income Tax Act, depreciations to the lower fair market value and losses from the alienation, redemption and other realisation of financial assets and derivatives in the sense of sec. 27(3) and (4) of the Austrian Income Tax Act, which are subject to income tax at the flat rates mentioned above, are primarily to be offset against income from realised increases in value of such financial assets and derivatives and with appreciations in value of such assets; only parts of the remaining negative difference (namely 50% before 1 January 2016 and 55% after 31 December 2015) may be offset against other types of income.</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3734A0">
              <w:rPr>
                <w:lang w:val="de-DE"/>
              </w:rPr>
              <w:t>In Österreich unbeschränkt steuerpflichtige natürliche Personen, die die Komplexen Produkte in ihrem Betriebsvermögen halten, unterliegen gemäss § 27 Abs 1 EStG mit Einkünften aus Kapitalvermögen daraus der Einkommensteuer. Inländische Einkünfte aus Kapitalvermögen aus den Komplexen Produkten unterliegen der KESt zum besonderen Steuersatz von 25% vor dem 1. Jänner 2016 und von 27,5% nach dem 31. Dezember 2015. Während die KESt Endbesteuerungswirkung bezüglich Einkünften aus der Überlassung von Kapital entfaltet, müssen Einkünfte aus realisierten Wertsteigerungen und Einkünfte aus Derivaten in der Einkommensteuererklärung des Anlegers angegeben werden (nichtsdestotrotz ist der oben genannte besondere Steuersatz anwendbar). Ausländische Einkünfte aus Kapitalvermögen aus den Komplexen Produkten müssen immer in der Einkommensteuererklärung des Anlegers angegeben werden (in der Regel ist der oben genannte besondere Steuersatz anwendbar). In beiden Fällen besteht auf Antrag die Möglichkeit, dass sämtliche dem oben genannten besonderen Steuersatz unterliegenden Einkünfte zum niedrigeren progressiven Einkommensteuertarif veranlagt werden (Regelbesteuerungsoption gemäss § 27a Abs 5 EStG). Gemäss § 6 Z 2 lit c EStG sind Abschreibungen auf den niedrigeren Teilwert und Verluste aus der Veräusserung, Einlösung und sonstigen Abschichtung von Wirtschaftsgütern und Derivaten iSd § 27 Abs 3 und 4 EStG, die dem oben genannten besonderen Steuersatz unterliegen, vorrangig mit positiven Einkünften aus realisierten Wertsteigerungen von solchen Wirtschaftsgütern und Derivaten sowie mit Zuschreibungen solcher Wirtschaftsgüter zu verrechnen. Ein verbleibender negativer Überhang darf nur zum Teil (nämlich zu 50% vor dem 1. Jänner 2016 und zu 55% nach dem 31. Dezember 2015) ausgeglichen werden.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3734A0" w:rsidRPr="00425C2B" w:rsidP="005E15E9">
            <w:pPr>
              <w:pStyle w:val="CSBody0"/>
            </w:pPr>
            <w:r w:rsidRPr="003734A0">
              <w:t>Pursuant to sec. 7(2) of the Austrian Corporate Income Tax Act (</w:t>
            </w:r>
            <w:r w:rsidRPr="009F6159">
              <w:rPr>
                <w:i/>
              </w:rPr>
              <w:t>Körperschaftsteuergesetz</w:t>
            </w:r>
            <w:r w:rsidRPr="003734A0">
              <w:t>), corporations subject to unlimited corporate income tax liability in Austria are subject to corporate income tax on income in the sense of sec. 27(1) of the Austrian Income Tax Act from the Complex Products at a rate of 25%. In the case of income in the sense of sec. 27(1) of the Austrian Income Tax Act from the Complex Products with an Austrian nexus, the income is subject to withholding tax at a rate of 25% before 1 January 2016 and at a rate of 27.5% after 31 December 2015. However, the previous 25% rate may pursuant to sec. 93(1a) of the Austrian Income Tax Act also be applied by the withholding agent after 31 December 2015, if the debtor of the withholding tax is a corporation. Such withholding tax can be credited against the corporate income tax liability. Under the conditions set forth in sec. 94(5) of the Austrian Income Tax Act withholding tax is not levied in the first place. Losses from the alienation of the Complex Products can be offset against other income.</w:t>
            </w:r>
          </w:p>
        </w:tc>
        <w:tc>
          <w:tcPr>
            <w:tcW w:w="2487" w:type="pct"/>
            <w:tcBorders>
              <w:top w:val="nil"/>
              <w:left w:val="single" w:sz="4" w:space="0" w:color="auto"/>
              <w:bottom w:val="nil"/>
              <w:right w:val="nil"/>
            </w:tcBorders>
            <w:shd w:val="clear" w:color="auto" w:fill="auto"/>
          </w:tcPr>
          <w:p w:rsidR="003734A0" w:rsidRPr="003734A0" w:rsidP="005E15E9">
            <w:pPr>
              <w:pStyle w:val="CSBody0"/>
              <w:rPr>
                <w:lang w:val="de-DE"/>
              </w:rPr>
            </w:pPr>
            <w:r w:rsidRPr="003734A0">
              <w:rPr>
                <w:lang w:val="de-DE"/>
              </w:rPr>
              <w:t>In Österreich unbeschränkt steuerpflichtige Kapitalgesellschaften unterliegen gemäss § 7 Abs 2 Körperschaftsteuergesetz (KStG) mit Einkünften iSd § 27 Abs 1 EStG aus den Komplexen Produkten der Körperschaftsteuer von 25%. Inländische Einkünfte iSd § 27 Abs 1 EStG aus den Komplexen Produkten unterliegen der KESt zum besonderen Steuersatz von 25% vor dem 1. Jänner 2016 und von 27,5% nach dem 31. Dezember 2015. Der bisherige Steuersatz von 25% kann gemäss § 93 Abs 1a EStG vom Abzugsverpflichteten jedoch auch nach dem 31. Dezember 2015 angewendet werden, wenn der Schuldner der KESt eine Körperschaft ist. Die KESt kann auf die Körperschaftsteuer angerechnet werden. Unter den Voraussetzungen des § 94 Z 5 EStG kommt es von vornherein nicht zum Abzug von KESt. Verluste aus der Veräusserung der Komplexen Produkte sind grundsätzlich mit anderen Einkünften ausgleichsfähig.</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3734A0" w:rsidRPr="003734A0" w:rsidP="005E15E9">
            <w:pPr>
              <w:pStyle w:val="CSBody0"/>
            </w:pPr>
            <w:r w:rsidRPr="003734A0">
              <w:t>Pursuant to sec. 13(3)(1) in connection with sec. 22(2) of the Austrian Corporate Income Tax Act, private foundations (</w:t>
            </w:r>
            <w:r w:rsidRPr="009F6159">
              <w:rPr>
                <w:i/>
              </w:rPr>
              <w:t>Privatstiftungen</w:t>
            </w:r>
            <w:r w:rsidRPr="003734A0">
              <w:t>) pursuant to the Austrian Private Foundations Act (</w:t>
            </w:r>
            <w:r w:rsidRPr="009F6159">
              <w:rPr>
                <w:i/>
              </w:rPr>
              <w:t>Privatstiftungsgesetz</w:t>
            </w:r>
            <w:r w:rsidRPr="003734A0">
              <w:t>) fulfilling the prerequisites contained in sec. 13(3) and (6) of the Austrian Corporate Income Tax Act and holding the Complex Products as non-business assets are subject to interim taxation at a rate of 25% on interest income, income from realised increases in value and income from derivatives (</w:t>
            </w:r>
            <w:r w:rsidRPr="009F6159">
              <w:rPr>
                <w:i/>
              </w:rPr>
              <w:t>inter alia</w:t>
            </w:r>
            <w:r w:rsidRPr="003734A0">
              <w:t>, if the latter are in the form of securities). Interim tax does not fall due insofar as distributions subject to withholding tax are made to beneficiaries in the same tax period. In case of investment income from the Complex Products with an Austrian nexus, the income is in general subject to withholding tax at a rate of 25% before 1 January 2016 and at a rate of 27.5% after 31 December 2015. However, the previous 25% rate may pursuant to sec. 93(1a) of the Austrian Income Tax Act also be applied by the withholding agent after 31 December 2015, if the debtor of the withholding tax is a corporation. Such withholding tax can be credited against the tax falling due. Under the conditions set forth in sec. 94(12) of the Austrian Income Tax Act withholding tax is not levied.</w:t>
            </w:r>
          </w:p>
        </w:tc>
        <w:tc>
          <w:tcPr>
            <w:tcW w:w="2487" w:type="pct"/>
            <w:tcBorders>
              <w:top w:val="nil"/>
              <w:left w:val="single" w:sz="4" w:space="0" w:color="auto"/>
              <w:bottom w:val="nil"/>
              <w:right w:val="nil"/>
            </w:tcBorders>
            <w:shd w:val="clear" w:color="auto" w:fill="auto"/>
          </w:tcPr>
          <w:p w:rsidR="003734A0" w:rsidRPr="003734A0" w:rsidP="005E15E9">
            <w:pPr>
              <w:pStyle w:val="CSBody0"/>
              <w:rPr>
                <w:lang w:val="de-DE"/>
              </w:rPr>
            </w:pPr>
            <w:r w:rsidRPr="003734A0">
              <w:rPr>
                <w:lang w:val="de-DE"/>
              </w:rPr>
              <w:t>Privatstiftungen nach dem Privatstiftungsgesetz, welche die Voraussetzungen des § 13 Abs 3 und 6 KStG erfüllen und die Komplexen Produkte nicht in einem Betriebsvermögen halten, unterliegen gemäss § 13 Abs 3 Z 1 iVm § 22 Abs 2 KStG mit Zinsen, Einkünften aus realisierten Wertsteigerungen und Einkünften aus (unter anderem, verbrieften) Derivaten der Zwischenbesteuerung von 25%. Diese entfällt in jenem Umfang, in dem im Veranlagungszeitraum KESt-pflichtige Zuwendungen an Begünstigte getätigt werden. Inländische Einkünfte aus Kapitalvermögen aus den Komplexen Produkten unterliegen grundsätzlich der KESt zum besonderen Steuersatz von 25% vor dem 1. Jänner 2016 und 27,5% nach dem 31. Dezember 2015. Der bisherige Steuersatz von 25% kann gemäss § 93 Abs 1a EStG vom Abzugsverpflichteten jedoch auch nach dem 31. Dezember 2015 angewendet werden, wenn der Schuldner der KESt eine Körperschaft ist. Die KESt kann auf die anfallende Steuer angerechnet werden. Unter den Voraussetzungen des § 94 Z 12 EStG kommt es nicht zum Abzug von KESt.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425C2B" w:rsidP="005E15E9">
            <w:pPr>
              <w:pStyle w:val="CSBody0"/>
            </w:pPr>
            <w:r w:rsidRPr="003734A0">
              <w:t>Individuals and corporations subject to limited (corporate) income tax liability in Austria are taxable on investment income from the Complex Products if they have a permanent establishment (</w:t>
            </w:r>
            <w:r w:rsidRPr="009F6159">
              <w:rPr>
                <w:i/>
              </w:rPr>
              <w:t>Betriebsstätte</w:t>
            </w:r>
            <w:r w:rsidRPr="003734A0">
              <w:t>) in Austria and the Complex Products are attributable to such permanent establishment (cf. sec. 98(1)(3) of the Austrian Income Tax Act, sec. 21(1)(1) of the Austrian Corporate Income Tax Act). Individuals subject to limited income tax liability in Austria are also taxable on interest in the sense of the Austrian EU Withholding Tax Act (</w:t>
            </w:r>
            <w:r w:rsidRPr="009F6159">
              <w:rPr>
                <w:i/>
              </w:rPr>
              <w:t>EU-Quellensteuergesetz</w:t>
            </w:r>
            <w:r w:rsidRPr="003734A0">
              <w:t>, see below) from the Complex Products if withholding tax is levied on such interest (this does not apply, inter alia, if the Issuer has neither its place of management nor its legal seat in Austria and is not acting through an Austrian branch, which condition the Issuer understands to be fulfilled in the case at hand; cf. sec. 98(1)(5)(b) of the Austrian Income Tax Act).</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3734A0">
              <w:rPr>
                <w:lang w:val="de-DE"/>
              </w:rPr>
              <w:t>In Österreich beschränkt steuerpflichtige natürliche Personen und Kapitalgesellschaften unterliegen mit Einkünften aus Kapitalvermögen aus den Komplexen Produkten dann der Einkommen- bzw Körperschaftsteuer, wenn sie eine Betriebsstätte in Österreich haben und die Komplexen Produkte dieser Betriebsstätte zurechenbar sind (§ 98 Abs 1 Z 3 EStG (iVm § 21 Abs 1 Z 1 KStG)). In Österreich beschränkt steuerpflichtige natürliche Personen unterliegen auch mit Zinsen im Sinne des EU-Quellensteuergesetzes (EU-QuStG, siehe unten) aus den Komplexen Produkten der Besteuerung, wenn KESt einzubehalten ist (dies gilt, unter anderem, nicht, wenn die Emittentin weder Sitz noch Geschäftsleitung in Österreich hat und nicht durch eine österreichische Zweigstelle handelt; die Emittentin versteht, dass die Voraussetzungen für die Steuerbefreiung im konkreten Fall vorliegen; § 98 Abs 1 Z 5 lit b EStG).</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80795B" w:rsidP="005E15E9">
            <w:pPr>
              <w:pStyle w:val="CSBody0"/>
            </w:pPr>
            <w:r w:rsidRPr="003734A0">
              <w:t>Pursuant to sec. 188 of the Austrian Investment Funds Act 2011 as amended in the course of the implementation of Directive 2011/61/EU, the term "foreign investment fund" comprises (i) undertakings for collective investment in transferable securities the member state of origin of which is not Austria; (ii) alternative investment funds pursuant to the Austrian Act on Alternative Investment Fund Managers (</w:t>
            </w:r>
            <w:r w:rsidRPr="009F6159">
              <w:rPr>
                <w:i/>
              </w:rPr>
              <w:t>Alternative Investmentfonds Manager-Gesetz</w:t>
            </w:r>
            <w:r w:rsidRPr="003734A0">
              <w:t>) the state of origin of which is not Austria; and (iii) secondarily, undertakings subject to a foreign jurisdiction, irrespective of the legal form they are organized in, the assets of which are invested according to the principle of risk-spreading on the basis either of a statute, of the undertaking's articles or of customary exercise, if one of the following conditions is fulfilled: (a) the undertaking is factually, directly or indirectly, not subject to a corporate income tax in its state of residence that is comparable to Austrian corporate income tax; (b) the profits of the undertaking are in its state of residence subject to corporate income tax that is comparable to Austrian corporate income tax, at a rate of less than 15%; or (c) the undertaking is subject to a comprehensive personal or material tax exemption in its state of residence. Certain collective investment vehicles investing in real estate are exempted. To date no guidance has been issued by the tax authorities on the interpretation of this new provision. In case of a qualification as a foreign investment fund the tax consequences would substantially differ from those described above.</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3734A0">
              <w:rPr>
                <w:lang w:val="de-DE"/>
              </w:rPr>
              <w:t>Gemäss § 188 InvFG 2011, der im Rahmen der Umsetzung der Richtlinie 2011/61/EU geändert wurde, gelten als ausländischer Kapitalanlagefonds (i) Organismen zur gemeinsamen Veranlagung in Wertpapieren, deren Herkunftsmitgliedstaat nicht Österreich ist; (ii) Alternative Investmentfonds im Sinne des Alternative Investmentfonds Manager-Gesetzes, deren Herkunftsstaat nicht Österreich ist; und (iii) subsidiär, jeder einem ausländischen Recht unterstehende Organismus, unabhängig von seiner Rechtsform, dessen Vermögen nach dem Gesetz, der Satzung oder der tatsächlichen Übung nach den Grundsätzen der Risikostreuung angelegt ist, wenn er eine der folgenden Voraussetzungen erfüllt: (a) der Organismus unterliegt im Ausland tatsächlich direkt oder indirekt keiner der österreichischen Körperschaftsteuer vergleichbaren Steuer; (b) die Gewinne des Organismus unterliegen im Ausland einer der österreichischen Körperschaftsteuer vergleichbaren Steuer, deren anzuwendender Steuersatz weniger als 15% beträgt; oder (c) der Organismus ist im Ausland Gegenstand einer umfassenden persönlichen oder sachlichen Steuerbefreiung. Bestimmte Veranlagungsgemeinschaften, die in Immobilien investieren, sind ausgenommen. Bis jetzt hat die Finanzverwaltung keine Rechtsansicht zur Interpretation dieser neuen Bestimmung bekanntgegeben. Bei Vorliegen eines ausländischen Kapitalanlagefonds wären die steuerlichen Folgen gänzlich andere als oben angeführt.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33731A" w:rsidRPr="005B5713" w:rsidP="005E15E9">
            <w:pPr>
              <w:pStyle w:val="CSbody0bold"/>
            </w:pPr>
            <w:r w:rsidRPr="005B5713">
              <w:t>EU withholding tax</w:t>
            </w:r>
          </w:p>
        </w:tc>
        <w:tc>
          <w:tcPr>
            <w:tcW w:w="2487" w:type="pct"/>
            <w:tcBorders>
              <w:top w:val="nil"/>
              <w:left w:val="single" w:sz="4" w:space="0" w:color="auto"/>
              <w:bottom w:val="nil"/>
              <w:right w:val="nil"/>
            </w:tcBorders>
            <w:shd w:val="clear" w:color="auto" w:fill="auto"/>
            <w:hideMark/>
          </w:tcPr>
          <w:p w:rsidR="0033731A" w:rsidRPr="005B5713" w:rsidP="005E15E9">
            <w:pPr>
              <w:pStyle w:val="CSbody0bold"/>
            </w:pPr>
            <w:r w:rsidRPr="005B5713">
              <w:t xml:space="preserve">EU-Quellensteuer </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185FD9" w:rsidP="005E15E9">
            <w:pPr>
              <w:pStyle w:val="CSBody0"/>
            </w:pPr>
            <w:r w:rsidRPr="003734A0">
              <w:t>Sec. 1 of the Austrian EU Withholding Tax Act – implementing Council Directive 2003/48/EC of 3 June 2003 on taxation of savings income in the form of interest payments – provides that interest payments paid or credited by an Austrian paying agent (</w:t>
            </w:r>
            <w:r w:rsidRPr="009F6159">
              <w:rPr>
                <w:i/>
              </w:rPr>
              <w:t>Zahlstelle</w:t>
            </w:r>
            <w:r w:rsidRPr="003734A0">
              <w:t>) to a beneficial owner who is an individual resident in another EU Member State (or in certain dependent or associated territories, which currently include Anguilla, Aruba, the British Virgin Islands, Curaçao, Guernsey, the Isle of Man, Jersey, Montserrat, Sint Maarten and the Turks and Caicos Islands) are subject to EU withholding tax (</w:t>
            </w:r>
            <w:r w:rsidRPr="009F6159">
              <w:rPr>
                <w:i/>
              </w:rPr>
              <w:t>EU-Quellensteuer</w:t>
            </w:r>
            <w:r w:rsidRPr="003734A0">
              <w:t>) of 35%. Sec. 10 of the Austrian EU Withholding Tax Act provides for an exemption from EU withholding tax if the beneficial owner presents to the paying agent a certificate drawn up in his/her name by the competent authority of his/her member state of residence for tax purposes, indicating the name, address and tax or other identification number or, failing such, the date and place of birth of the beneficial owner, the name and address of the paying agent, and the account number of the beneficial owner or, where there is none, the identification of the security; such certificate shall be valid for a period not exceeding three years.</w:t>
            </w:r>
          </w:p>
        </w:tc>
        <w:tc>
          <w:tcPr>
            <w:tcW w:w="2487" w:type="pct"/>
            <w:tcBorders>
              <w:top w:val="nil"/>
              <w:left w:val="single" w:sz="4" w:space="0" w:color="auto"/>
              <w:bottom w:val="nil"/>
              <w:right w:val="nil"/>
            </w:tcBorders>
            <w:shd w:val="clear" w:color="auto" w:fill="auto"/>
          </w:tcPr>
          <w:p w:rsidR="00E36F02" w:rsidRPr="003734A0" w:rsidP="005E15E9">
            <w:pPr>
              <w:pStyle w:val="CSBody0"/>
              <w:rPr>
                <w:lang w:val="de-DE"/>
              </w:rPr>
            </w:pPr>
            <w:r w:rsidRPr="003734A0">
              <w:rPr>
                <w:lang w:val="de-DE"/>
              </w:rPr>
              <w:t>Das EU-QuStG sieht – in Umsetzung der Richtlinie 2003/48/EG des Rates vom 3. Juni 2003 im Bereich der Besteuerung von Zinserträgen – vor, dass Zinsen, die eine inländische Zahlstelle an einen wirtschaftlichen Eigentümer, der eine natürliche Person ist, zahlt oder zu dessen Gunsten einzieht, der EU-Quellensteuer in Höhe von 35% unterliegen, sofern er seinen Wohnsitz in einem anderen Mitgliedstaat der EU (oder in bestimmten abhängigen und assoziierten Gebieten, zu denen derzeit Anguilla, Aruba, die British Virgin Islands, Curaçao, Guernsey, die Isle of Man, Jersey, Montserrat, Sint Maarten sowie die Turks and Caicos Islands gehören) hat. Gemäss § 10 EU-QuStG ist die EU-Quellensteuer nicht zu erheben, wenn der wirtschaftliche Eigentümer der Zahlstelle eine vom Wohnsitzfinanzamt des Mitgliedstaats seines steuerlichen Wohnsitzes auf seinen Namen ausgestellte Bescheinigung vorlegt, die Name, Anschrift, Steuer- oder sonstige Identifizierungsnummer oder in Ermangelung einer solchen Geburtsdatum und -ort des wirtschaftlichen Eigentümers, Name und Anschrift der Zahlstelle, die Kontonummer des wirtschaftlichen Eigentümers oder in Ermangelung einer solchen das Kennzeichen des Wertpapiers enthält. Eine solche Bescheinigung gilt für einen Zeitraum von maximal drei Jahren.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185FD9" w:rsidP="005E15E9">
            <w:pPr>
              <w:pStyle w:val="CSBody0"/>
            </w:pPr>
            <w:r w:rsidRPr="003734A0">
              <w:t>Regarding the issue of whether also index certificates are subject to EU withholding tax, the Austrian tax authorities distinguish between index certificates with and without a capital guarantee, a capital guarantee being the promise of repayment of a minimum amount of the capital invested or the promise of the payment of interest. The exact tax treatment of index certificates furthermore depends on their underlying.</w:t>
            </w:r>
          </w:p>
        </w:tc>
        <w:tc>
          <w:tcPr>
            <w:tcW w:w="2487" w:type="pct"/>
            <w:tcBorders>
              <w:top w:val="nil"/>
              <w:left w:val="single" w:sz="4" w:space="0" w:color="auto"/>
              <w:bottom w:val="nil"/>
              <w:right w:val="nil"/>
            </w:tcBorders>
            <w:shd w:val="clear" w:color="auto" w:fill="auto"/>
          </w:tcPr>
          <w:p w:rsidR="00E36F02" w:rsidRPr="00185FD9" w:rsidP="005E15E9">
            <w:pPr>
              <w:pStyle w:val="CSBody0"/>
              <w:rPr>
                <w:lang w:val="de-DE"/>
              </w:rPr>
            </w:pPr>
            <w:r w:rsidRPr="003734A0">
              <w:rPr>
                <w:lang w:val="de-DE"/>
              </w:rPr>
              <w:t>Betreffend die Frage, ob auch Indexzertifikate der EU-Quellensteuer unterliegen, unterscheidet die österreichische Finanzverwaltung zwischen Indexzertifikaten mit und ohne Kapitalgarantie, wobei eine Kapitalgarantie bei Zusicherung der Rückzahlung eines Mindestbetrages des eingesetzten Kapitals oder auch bei der Zusicherung von Zinsen besteht. Die genaue steuerliche Behandlung von Indexzertifikaten hängt in weiterer Folge vom jeweiligen Basiswert des Indexzertifikats ab.</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3734A0" w:rsidRPr="003734A0" w:rsidP="005E15E9">
            <w:pPr>
              <w:pStyle w:val="CSbody0bold"/>
              <w:rPr>
                <w:b w:val="0"/>
                <w:lang w:val="en-GB"/>
              </w:rPr>
            </w:pPr>
            <w:r w:rsidRPr="003734A0">
              <w:rPr>
                <w:b w:val="0"/>
                <w:lang w:val="en-GB"/>
              </w:rPr>
              <w:t>Pursuant to Council Directive (EU) 2015/2060 of 10 November 2015 repealing Council Directive 2003/48/EC, the latter shall in general be repealed with effect from 1 January 2016. However, pursuant to detailed grandfathering provisions, Austria shall in general continue to apply it until 31 December 2016.</w:t>
            </w:r>
          </w:p>
        </w:tc>
        <w:tc>
          <w:tcPr>
            <w:tcW w:w="2487" w:type="pct"/>
            <w:tcBorders>
              <w:top w:val="nil"/>
              <w:left w:val="single" w:sz="4" w:space="0" w:color="auto"/>
              <w:bottom w:val="nil"/>
              <w:right w:val="nil"/>
            </w:tcBorders>
            <w:shd w:val="clear" w:color="auto" w:fill="auto"/>
          </w:tcPr>
          <w:p w:rsidR="003734A0" w:rsidRPr="003734A0" w:rsidP="005E15E9">
            <w:pPr>
              <w:pStyle w:val="CSbody0bold"/>
              <w:rPr>
                <w:b w:val="0"/>
                <w:lang w:val="en-GB"/>
              </w:rPr>
            </w:pPr>
            <w:r w:rsidRPr="003734A0">
              <w:rPr>
                <w:b w:val="0"/>
              </w:rPr>
              <w:t xml:space="preserve">Gemäss der Richtlinie (EU) 2015/2016 des Rates vom 10. November 2015 zur Aufhebung der Richtlinie 2003/48/EG soll letztere im Allgemeinen mit Wirkung ab 1. Jänner 2016 aufgehoben werden. Aufgrund detaillierter Übergangsbestimmungen soll Österreich die Richtlinie 2003/48/EG jedoch im Allgemeinen bis zum 31. </w:t>
            </w:r>
            <w:r w:rsidRPr="003734A0">
              <w:rPr>
                <w:b w:val="0"/>
                <w:lang w:val="en-GB"/>
              </w:rPr>
              <w:t>Dezember 2016 anwenden.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E36F02" w:rsidRPr="00185FD9" w:rsidP="005E15E9">
            <w:pPr>
              <w:pStyle w:val="CSbody0bold"/>
            </w:pPr>
            <w:r w:rsidRPr="00185FD9">
              <w:t>Tax treaties Austria/Switzerland and Austria/Liechtenstein</w:t>
            </w:r>
          </w:p>
        </w:tc>
        <w:tc>
          <w:tcPr>
            <w:tcW w:w="2487" w:type="pct"/>
            <w:tcBorders>
              <w:top w:val="nil"/>
              <w:left w:val="single" w:sz="4" w:space="0" w:color="auto"/>
              <w:bottom w:val="nil"/>
              <w:right w:val="nil"/>
            </w:tcBorders>
            <w:shd w:val="clear" w:color="auto" w:fill="auto"/>
            <w:hideMark/>
          </w:tcPr>
          <w:p w:rsidR="00E36F02" w:rsidRPr="00185FD9" w:rsidP="005E15E9">
            <w:pPr>
              <w:pStyle w:val="CSbody0bold"/>
            </w:pPr>
            <w:r w:rsidRPr="00185FD9">
              <w:t>Steuerabkommen Österreich/Schweiz und Österreich/Liechtenstein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185FD9" w:rsidP="00367E55">
            <w:pPr>
              <w:pStyle w:val="CSBody0"/>
            </w:pPr>
            <w:r w:rsidRPr="003734A0">
              <w:t xml:space="preserve">The Treaty between the Republic of Austria and the Swiss Confederation on Cooperation in the Areas of Taxation and Capital Markets and the Treaty between the Republic of Austria and the Principality of Liechtenstein on Cooperation in the Area of Taxation provide that a Swiss, respectively Liechtenstein, paying agent has to withhold a tax amounting to 25% (regarding the Treaty with Switzerland, this rate will be changed to the rates of 25% and 27.5%, as the case may be, under an adjustment mechanism as of 1 January 2016, which is also to be expected regarding the Treaty with Liechtenstein) on, </w:t>
            </w:r>
            <w:r w:rsidRPr="009F6159">
              <w:rPr>
                <w:i/>
              </w:rPr>
              <w:t>inter alia</w:t>
            </w:r>
            <w:r w:rsidRPr="003734A0">
              <w:t xml:space="preserve">, interest income, dividends and capital gains from assets booked with an account or deposit of such Swiss, respectively Liechtenstein, paying agent if the relevant holder of such assets (i.e. in general individuals on their own behalf and as beneficial owners of assets held by a domiciliary company </w:t>
            </w:r>
            <w:r w:rsidR="00367E55">
              <w:t>(</w:t>
            </w:r>
            <w:r w:rsidRPr="009F6159">
              <w:rPr>
                <w:i/>
              </w:rPr>
              <w:t>Sitzgesellschaft</w:t>
            </w:r>
            <w:r w:rsidR="00367E55">
              <w:t>)</w:t>
            </w:r>
            <w:r w:rsidRPr="003734A0">
              <w:t>) is tax resident in Austria. The same applies to such income from assets managed by a Liechtenstein paying agent if the relevant holder of the assets (</w:t>
            </w:r>
            <w:r w:rsidRPr="009F6159">
              <w:rPr>
                <w:i/>
              </w:rPr>
              <w:t>i.e.</w:t>
            </w:r>
            <w:r w:rsidRPr="003734A0">
              <w:t xml:space="preserve"> in general individuals as beneficial owners of a transparent structure) is tax resident in Austria. For Austrian income tax purposes this withholding tax has the effect of final taxation regarding the underlying income if the Austrian Income Tax Act provides for the effect of final taxation for such income. The treaties, however, do not apply to interest covered by the agreements between the European Community and the Swiss Confederation, respectively the Principality of Liechtenstein, regarding Council Directive 2003/48/EC on taxation of savings income in the form of interest payments. The taxpayer can opt for voluntary disclosure instead of the withholding tax by expressly authorising the Swiss, respectively Liechtenstein, paying agent to disclose to the competent Austrian authority the income, which subsequently has to be included in the income tax return.</w:t>
            </w:r>
          </w:p>
        </w:tc>
        <w:tc>
          <w:tcPr>
            <w:tcW w:w="2487" w:type="pct"/>
            <w:tcBorders>
              <w:top w:val="nil"/>
              <w:left w:val="single" w:sz="4" w:space="0" w:color="auto"/>
              <w:bottom w:val="nil"/>
              <w:right w:val="nil"/>
            </w:tcBorders>
            <w:shd w:val="clear" w:color="auto" w:fill="auto"/>
          </w:tcPr>
          <w:p w:rsidR="00E36F02" w:rsidRPr="00185FD9" w:rsidP="005E15E9">
            <w:pPr>
              <w:pStyle w:val="CSBody0"/>
              <w:rPr>
                <w:lang w:val="de-DE"/>
              </w:rPr>
            </w:pPr>
            <w:r w:rsidRPr="003734A0">
              <w:rPr>
                <w:lang w:val="de-DE"/>
              </w:rPr>
              <w:t>Das Abkommen zwischen der Republik Österreich und der Schweizerischen Eidgenossenschaft über die Zusammenarbeit in den Bereichen Steuern und Finanzmarkt und das Abkommen zwischen der Republik Österreich und dem Fürstentum Liechtenstein über die Zusammenarbeit im Bereich der Steuern sehen vor, dass schweizerische bzw liechtensteinische Zahlstellen im Fall von in Österreich ansässigen betroffenen Personen (das sind im Wesentlichen natürliche Personen im eigenen Namen und als nutzungsberechtigte Personen von Vermögenswerten, die von einer Sitzgesellschaft gehalten werden) auf, unter anderem, Zinserträge, Dividendenerträge und Veräusserungsgewinne aus Vermögenswerten, die auf einem Konto oder Depot bei der schweizerischen bzw liechtensteinischen Zahlstelle verbucht sind, eine der österreichischen Einkommensteuer entsprechende Steuer in Höhe von 25% zu erheben haben (betreffend das Steuerabkommen mit der Schweiz wird dieser Steuersatz aufgrund eines Anpassungsmechanismus mit 1. Jänner 2016 auf 25% bzw. 27,5% geändert werden, was auch betreffend das Steuerabkommen mit Liechtenstein zu erwarten ist). Dasselbe gilt für solche Einkünfte aus von einer liechtensteinischen Zahlstelle verwalteten Vermögenswerten im Fall von in Österreich ansässigen betroffenen Personen (das sind im Wesentlichen natürliche Personen als nutzungsberechtigte Personen von Vermögenswerten einer transparenten Vermögensstruktur). Diese Steuer hat Abgeltungswirkung, soweit das EStG für die der Steuer unterliegenden Erträge Abgeltungswirkung vorsieht. Die Steuerabkommen finden jedoch keine Anwendung auf Zinserträge, die erfasst sind von den Abkommen zwischen der Europäischen Gemeinschaft und der Schweizerischen Eidgenossenschaft bzw dem Fürstentum Liechtenstein betreffend die Richtlinie 2003/48/EG des Rates im Bereich der Besteuerung von Zinserträgen. Der Steuerpflichtige hat die Möglichkeit, anstatt der Erhebung der Abgeltungssteuer zur freiwilligen Meldung zu optieren, indem er die schweizerische bzw liechtensteinische Zahlstelle ermächtigt, der zuständigen österreichischen Behörde die Erträge eines Kontos oder Depots zu melden, wodurch diese in die Veranlagung einbezogen werden müssen.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33731A" w:rsidRPr="0046463E" w:rsidP="005E15E9">
            <w:pPr>
              <w:pStyle w:val="CSbody0bold"/>
              <w:rPr>
                <w:lang w:val="en-GB"/>
              </w:rPr>
            </w:pPr>
            <w:r w:rsidRPr="0046463E">
              <w:rPr>
                <w:lang w:val="en-GB"/>
              </w:rPr>
              <w:t>Austrian inheritance and gift tax</w:t>
            </w:r>
          </w:p>
        </w:tc>
        <w:tc>
          <w:tcPr>
            <w:tcW w:w="2487" w:type="pct"/>
            <w:tcBorders>
              <w:top w:val="nil"/>
              <w:left w:val="single" w:sz="4" w:space="0" w:color="auto"/>
              <w:bottom w:val="nil"/>
              <w:right w:val="nil"/>
            </w:tcBorders>
            <w:shd w:val="clear" w:color="auto" w:fill="auto"/>
            <w:hideMark/>
          </w:tcPr>
          <w:p w:rsidR="0033731A" w:rsidRPr="005B5713" w:rsidP="005E15E9">
            <w:pPr>
              <w:pStyle w:val="CSbody0bold"/>
            </w:pPr>
            <w:r w:rsidRPr="005B5713">
              <w:t>Erbschafts- und Schenkungssteuer</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33731A" w:rsidRPr="00440EF7" w:rsidP="005E15E9">
            <w:pPr>
              <w:pStyle w:val="CSBody0"/>
              <w:rPr>
                <w:rFonts w:eastAsia="Times New Roman"/>
                <w:b/>
                <w:szCs w:val="20"/>
                <w:lang w:val="en-US"/>
              </w:rPr>
            </w:pPr>
            <w:r w:rsidRPr="00440EF7">
              <w:t xml:space="preserve">Austria does not levy inheritance or gift tax. </w:t>
            </w:r>
          </w:p>
        </w:tc>
        <w:tc>
          <w:tcPr>
            <w:tcW w:w="2487" w:type="pct"/>
            <w:tcBorders>
              <w:top w:val="nil"/>
              <w:left w:val="single" w:sz="4" w:space="0" w:color="auto"/>
              <w:bottom w:val="nil"/>
              <w:right w:val="nil"/>
            </w:tcBorders>
            <w:shd w:val="clear" w:color="auto" w:fill="auto"/>
            <w:hideMark/>
          </w:tcPr>
          <w:p w:rsidR="0033731A" w:rsidRPr="00440EF7" w:rsidP="005E15E9">
            <w:pPr>
              <w:pStyle w:val="CSBody0"/>
              <w:rPr>
                <w:rFonts w:eastAsia="Times New Roman"/>
                <w:b/>
                <w:szCs w:val="20"/>
                <w:lang w:val="de-CH"/>
              </w:rPr>
            </w:pPr>
            <w:r w:rsidRPr="00440EF7">
              <w:rPr>
                <w:lang w:val="de-AT"/>
              </w:rPr>
              <w:t>Österreich erhebt keine Erbschafts- oder Schenkungssteuer.</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78001F" w:rsidP="005E15E9">
            <w:pPr>
              <w:pStyle w:val="CSBody0"/>
            </w:pPr>
            <w:r w:rsidRPr="003734A0">
              <w:t>Certain gratuitous transfers of assets to private law foundations and comparable legal estates (</w:t>
            </w:r>
            <w:r w:rsidRPr="009F6159">
              <w:rPr>
                <w:i/>
              </w:rPr>
              <w:t>privatrechtliche Stiftungen und damit vergleichbare Vermögensmassen</w:t>
            </w:r>
            <w:r w:rsidRPr="003734A0">
              <w:t>) are subject to foundation transfer tax (</w:t>
            </w:r>
            <w:r w:rsidRPr="009F6159">
              <w:rPr>
                <w:i/>
              </w:rPr>
              <w:t>Stiftungseingangssteuer</w:t>
            </w:r>
            <w:r w:rsidRPr="003734A0">
              <w:t>) pursuant to the Austrian Foundation Transfer Tax Act (</w:t>
            </w:r>
            <w:r w:rsidRPr="009F6159">
              <w:rPr>
                <w:i/>
              </w:rPr>
              <w:t>Stiftungseingangssteuergesetz</w:t>
            </w:r>
            <w:r w:rsidRPr="003734A0">
              <w:t xml:space="preserve">) if the transferor and/or the transferee at the time of transfer have a domicile, their habitual abode, their legal seat or their place of management in Austria. Certain exemptions apply in cases of transfers </w:t>
            </w:r>
            <w:r w:rsidRPr="009F6159">
              <w:rPr>
                <w:i/>
              </w:rPr>
              <w:t>mortis causa</w:t>
            </w:r>
            <w:r w:rsidRPr="003734A0">
              <w:t xml:space="preserve"> of financial assets within the meaning of sec. 27(3) and (4) of the Austrian Income Tax Act (except for participations in corporations) if income from such financial assets is subject to income tax at the flat rates mentioned above. The tax basis is the fair market value of the assets transferred minus any debts, calculated at the time of transfer. The tax rate generally is 2.5%, with a higher rate of 25% applying in special cases. Special provisions apply to transfers of assets to entities falling within the scope of the tax treaty between Austria and Liechtenstein.</w:t>
            </w:r>
          </w:p>
        </w:tc>
        <w:tc>
          <w:tcPr>
            <w:tcW w:w="2487" w:type="pct"/>
            <w:tcBorders>
              <w:top w:val="nil"/>
              <w:left w:val="single" w:sz="4" w:space="0" w:color="auto"/>
              <w:bottom w:val="nil"/>
              <w:right w:val="nil"/>
            </w:tcBorders>
            <w:shd w:val="clear" w:color="auto" w:fill="auto"/>
          </w:tcPr>
          <w:p w:rsidR="00E36F02" w:rsidRPr="00E36F02" w:rsidP="005E15E9">
            <w:pPr>
              <w:pStyle w:val="CSBody0"/>
              <w:rPr>
                <w:lang w:val="de-DE"/>
              </w:rPr>
            </w:pPr>
            <w:r w:rsidRPr="003734A0">
              <w:rPr>
                <w:lang w:val="de-DE"/>
              </w:rPr>
              <w:t>Bestimmte unentgeltliche Zuwendungen an privatrechtliche Stiftungen und damit vergleichbare Vermögensmassen unterliegen jedoch der Stiftungseingangssteuer nach dem Stiftungseingangssteuergesetz (StiftEG), wenn der Zuwendende und/oder der Erwerber im Zeitpunkt der Zuwendung einen Wohnsitz, den gewöhnlichen Aufenthalt, den Sitz oder den Ort der Geschäftsleitung in Österreich haben. Ausnahmen von der Steuerpflicht bestehen bezüglich Zuwendungen von Todes wegen von Kapitalvermögen im Sinn des § 27 Abs 3 und 4 EStG (ausgenommen Anteile an Kapitalgesellschaften), wenn auf die daraus bezogenen Einkünfte die oben genannten besonderen Einkommensteuersätze anwendbar sind. Die Steuerbemessungsgrundlage ist der gemeine Wert des zugewendeten Vermögens abzüglich Schulden und Lasten zum Zeitpunkt der Vermögensübertragung. Der Steuersatz beträgt generell 2,5%, in speziellen Fällen jedoch 25%. Sonderregelungen gelten für Vermögensübertragungen an Vermögensstrukturen im Anwendungsbereich des Steuerabkommens Österreich/Liechtenstein.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78001F" w:rsidP="007A70D4">
            <w:pPr>
              <w:pStyle w:val="CSBody0"/>
            </w:pPr>
            <w:r w:rsidRPr="003734A0">
              <w:t>In addition, there is a special notification obligation for gifts of money, receivables, shares in corporations, participations in partnerships, businesses, movable tangible assets and intangibles if the donor and/or the donee have a domicile, their habitual abode, their legal seat or their place of management in Austria. Not all gifts are covered by the notification obligation: In case of gifts to certain related parties, a threshold of EUR 50,000 per year applies; in all other cases, a notification is obligatory if the value of gifts made exceeds an amount of EUR 15,000 during a period of five years. Furthermore, gratuitous transfers to foundations falling under the Austrian Foundation Transfer Tax Act described above are also exempt from the notification obligation. Intentional violation of the notification obligation may trigger fines of up to 10% of the fair market value of the assets transferred.</w:t>
            </w:r>
          </w:p>
        </w:tc>
        <w:tc>
          <w:tcPr>
            <w:tcW w:w="2487" w:type="pct"/>
            <w:tcBorders>
              <w:top w:val="nil"/>
              <w:left w:val="single" w:sz="4" w:space="0" w:color="auto"/>
              <w:bottom w:val="nil"/>
              <w:right w:val="nil"/>
            </w:tcBorders>
            <w:shd w:val="clear" w:color="auto" w:fill="auto"/>
          </w:tcPr>
          <w:p w:rsidR="00E36F02" w:rsidRPr="00E36F02" w:rsidP="007A70D4">
            <w:pPr>
              <w:pStyle w:val="CSBody0"/>
              <w:rPr>
                <w:lang w:val="de-DE"/>
              </w:rPr>
            </w:pPr>
            <w:r w:rsidRPr="003734A0">
              <w:rPr>
                <w:lang w:val="de-DE"/>
              </w:rPr>
              <w:t>Zusätzlich besteht eine Anzeigepflicht für Schenkungen von Bargeld, Kapitalforderungen, Anteilen an Kapitalgesellschaften und Personenvereinigungen, Betrieben, beweglichem körperlichen Vermögen und immateriellen Vermögensgegenständen, wenn der Geschenkgeber und/oder der Geschenknehmer einen Wohnsitz, den gewöhnlichen Aufenthalt, den Sitz oder die Geschäftsleitung im Inland haben. Nicht alle Schenkungen sind von der Anzeigepflicht umfasst: Im Fall von Schenkungen unter Angehörigen besteht ein Schwellenwert von EUR 50.000 pro Jahr; in allen anderen Fällen ist eine Anzeige verpflichtend, wenn der gemeine Wert des geschenkten Vermögens innerhalb von fünf Jahren EUR 15.000 übersteigt. Darüber hinaus sind unentgeltliche Zuwendungen an Stiftungen iSd StiftEG wie oben beschrieben von der Anzeigepflicht ausgenommen. Eine vorsätzliche Verletzung der Anzeigepflicht kann zur Einhebung einer Strafe von bis zu 10% des gemeinen Werts des geschenkten Vermögens führen.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9A20BB" w:rsidP="007A70D4">
            <w:pPr>
              <w:pStyle w:val="CSBody0"/>
            </w:pPr>
            <w:r w:rsidRPr="003734A0">
              <w:t>Further, gratuitous transfers of the Complex Products may trigger income tax at the level of the transferor pursuant to sec. 27(6)(1) of the Austrian Income Tax Act (see above).</w:t>
            </w:r>
          </w:p>
        </w:tc>
        <w:tc>
          <w:tcPr>
            <w:tcW w:w="2487" w:type="pct"/>
            <w:tcBorders>
              <w:top w:val="nil"/>
              <w:left w:val="single" w:sz="4" w:space="0" w:color="auto"/>
              <w:bottom w:val="nil"/>
              <w:right w:val="nil"/>
            </w:tcBorders>
            <w:shd w:val="clear" w:color="auto" w:fill="auto"/>
          </w:tcPr>
          <w:p w:rsidR="00E36F02" w:rsidRPr="00E36F02" w:rsidP="003734A0">
            <w:pPr>
              <w:pStyle w:val="CSBody0"/>
              <w:rPr>
                <w:lang w:val="de-DE"/>
              </w:rPr>
            </w:pPr>
            <w:r w:rsidRPr="003734A0">
              <w:rPr>
                <w:lang w:val="de-DE"/>
              </w:rPr>
              <w:t>Ausserdem kann die unentgeltliche Übertrag</w:t>
            </w:r>
            <w:r w:rsidR="007B5EFD">
              <w:rPr>
                <w:lang w:val="de-DE"/>
              </w:rPr>
              <w:t>ung der Komplexen Produkte gemäss</w:t>
            </w:r>
            <w:r w:rsidRPr="003734A0">
              <w:rPr>
                <w:lang w:val="de-DE"/>
              </w:rPr>
              <w:t xml:space="preserve"> § 27 Abs 6 Z 1 EStG den Anfall von Einkommensteuer auf Ebene des Übertragenden auslösen (siehe oben).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2F7BD8" w:rsidP="007A70D4">
            <w:pPr>
              <w:pStyle w:val="CSbody0bold"/>
            </w:pPr>
            <w:r w:rsidRPr="005B5713">
              <w:t>Bahamas</w:t>
            </w:r>
          </w:p>
        </w:tc>
        <w:tc>
          <w:tcPr>
            <w:tcW w:w="2487" w:type="pct"/>
            <w:tcBorders>
              <w:left w:val="single" w:sz="4" w:space="0" w:color="auto"/>
            </w:tcBorders>
            <w:shd w:val="clear" w:color="auto" w:fill="auto"/>
          </w:tcPr>
          <w:p w:rsidR="0033731A" w:rsidRPr="002F7BD8" w:rsidP="007A70D4">
            <w:pPr>
              <w:pStyle w:val="CSbody0bold"/>
            </w:pPr>
            <w:r w:rsidRPr="005B5713">
              <w:t>Bahamas</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262C86" w:rsidP="007A70D4">
            <w:pPr>
              <w:pStyle w:val="CSBody0"/>
            </w:pPr>
            <w:r w:rsidRPr="00262C86">
              <w:t>Under the laws of The Bahamas, holders of the Complex Products are not liable to pay any income tax, capital gains tax, inheritance tax, estate tax, transfer tax, sales tax or any similar taxes, imposed by The Bahamas government, on income or distributions accruing to them as a result of or derived from the Complex Products or otherwise in connection with any transaction concerning the Complex Products, including without limitation, the acquisition or disposal of the Complex Products or any interest therein.</w:t>
            </w:r>
          </w:p>
        </w:tc>
        <w:tc>
          <w:tcPr>
            <w:tcW w:w="2487" w:type="pct"/>
            <w:tcBorders>
              <w:left w:val="single" w:sz="4" w:space="0" w:color="auto"/>
            </w:tcBorders>
            <w:shd w:val="clear" w:color="auto" w:fill="auto"/>
          </w:tcPr>
          <w:p w:rsidR="00E36F02" w:rsidRPr="00E36F02" w:rsidP="007A70D4">
            <w:pPr>
              <w:pStyle w:val="CSBody0"/>
              <w:rPr>
                <w:lang w:val="de-DE"/>
              </w:rPr>
            </w:pPr>
            <w:r w:rsidRPr="00E36F02">
              <w:rPr>
                <w:lang w:val="de-DE"/>
              </w:rPr>
              <w:t>Nach dem Recht der Bahamas sind Inhaber der Komplexen Produkten nicht steuerpflichtig im Hinblick auf Einkommens-, Kapitalertrags-, Erbschafts-, Nachlass-, Verkehr-, Umsatz- oder sonstige ähnliche Steuern, die von der Regierung der Bahamas auf Einkünfte oder Ausschüttungen erhoben werden, die aufgrund oder infolge der Komplexen Produkte oder anderweitig im Zusammenhang mit einer Transaktion in Bezug auf die Komplexen Produkte anfallen, einschliesslich (jedoch nicht hierauf beschränkt) des Erwerbs oder der Veräusserung von Komplexen Produkten oder Rechten daran.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262C86" w:rsidP="007A70D4">
            <w:pPr>
              <w:pStyle w:val="CSBody0"/>
            </w:pPr>
            <w:r w:rsidRPr="00262C86">
              <w:t>Payments made by the Issuer acting through its Nassau Branch will not be subject to any withholding tax imposed by the government of The Bahamas.</w:t>
            </w:r>
          </w:p>
        </w:tc>
        <w:tc>
          <w:tcPr>
            <w:tcW w:w="2487" w:type="pct"/>
            <w:tcBorders>
              <w:left w:val="single" w:sz="4" w:space="0" w:color="auto"/>
            </w:tcBorders>
            <w:shd w:val="clear" w:color="auto" w:fill="auto"/>
          </w:tcPr>
          <w:p w:rsidR="00E36F02" w:rsidRPr="00E36F02" w:rsidP="007A70D4">
            <w:pPr>
              <w:pStyle w:val="CSBody0"/>
              <w:rPr>
                <w:lang w:val="de-DE"/>
              </w:rPr>
            </w:pPr>
            <w:r w:rsidRPr="00E36F02">
              <w:rPr>
                <w:lang w:val="de-DE"/>
              </w:rPr>
              <w:t>Zahlungen der Emittentin über ihre Niederlassung in Nassau unterliegen keiner von der Regierung der Bahamas erhobenen Quellensteuer.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262C86" w:rsidP="007A70D4">
            <w:pPr>
              <w:pStyle w:val="CSBody0"/>
            </w:pPr>
            <w:r w:rsidRPr="00262C86">
              <w:t>No stamp duty is chargeable in The Bahamas on the issue, transfer or exercise of Complex Products; provided however that where the Complex Products qualify as "foreign currency denominated debt instruments" for the purpose of Bahamian law (</w:t>
            </w:r>
            <w:r w:rsidRPr="007E3558" w:rsidR="007E3558">
              <w:rPr>
                <w:i/>
              </w:rPr>
              <w:t>i.e.</w:t>
            </w:r>
            <w:r w:rsidRPr="00262C86">
              <w:t xml:space="preserve"> notes, bonds, debentures, or other instruments or certificates of indebtedness or obligation, including contingent indebtedness or obligation that are: (a) denominated in a currency other than Bahamian currency; (b) of any maturity whatsoever; and (c) offered for issuance outside The Bahamas by a licensed bank in The Bahamas), stamp duty shall be payable by the Issuer at a rate of 0.35 per cent of the fee payable for the arrangement, underwriting or placement of each issuance up to a maximum duty of $25,000.00.</w:t>
            </w:r>
          </w:p>
        </w:tc>
        <w:tc>
          <w:tcPr>
            <w:tcW w:w="2487" w:type="pct"/>
            <w:tcBorders>
              <w:left w:val="single" w:sz="4" w:space="0" w:color="auto"/>
            </w:tcBorders>
            <w:shd w:val="clear" w:color="auto" w:fill="auto"/>
          </w:tcPr>
          <w:p w:rsidR="00E36F02" w:rsidRPr="00E36F02" w:rsidP="007A70D4">
            <w:pPr>
              <w:pStyle w:val="CSBody0"/>
              <w:rPr>
                <w:lang w:val="de-DE"/>
              </w:rPr>
            </w:pPr>
            <w:r w:rsidRPr="00E36F02">
              <w:rPr>
                <w:lang w:val="de-DE"/>
              </w:rPr>
              <w:t>Auf die Begebung, die Übertragung oder die Ausübung von Komplexen Produkten fällt in den Bahamas keine Stempelsteuer an, wobei jedoch in dem Fall, dass die Komplexen Produkte als "auf eine Fremdwährung lautende Schuldinstrumente" nach dem Recht der Bahamas eingestuft werden (</w:t>
            </w:r>
            <w:r w:rsidR="007E3558">
              <w:rPr>
                <w:lang w:val="de-DE"/>
              </w:rPr>
              <w:t>d.h.</w:t>
            </w:r>
            <w:r w:rsidRPr="00E36F02">
              <w:rPr>
                <w:lang w:val="de-DE"/>
              </w:rPr>
              <w:t xml:space="preserve"> Schuldverschreibungen, Anleihen, debentures oder sonstige Instrumente oder Schuldtitel oder Schuldverhältnisse (</w:t>
            </w:r>
            <w:r w:rsidRPr="007A70D4">
              <w:rPr>
                <w:i/>
                <w:lang w:val="de-DE"/>
              </w:rPr>
              <w:t>certificates of indebtedness or obligation</w:t>
            </w:r>
            <w:r w:rsidRPr="00E36F02">
              <w:rPr>
                <w:lang w:val="de-DE"/>
              </w:rPr>
              <w:t>), einschliesslich über Eventualverbindlichkeiten, die (a) auf eine andere Währung als die Währung der Bahamas lauten; (b) eine beliebige Laufzeit haben; und (c) ausserhalb der Bahamas durch eine in den Bahamas zugelassene Bank zur Begebung angeboten werden), von der Emittentin eine Stempelsteuer in Höhe von 0,35% der für das Arrangieren, die Übernahme oder die Platzierung jeder Emission zahlbaren Gebühr bis zu einem Höchstbetrag dieser Steuer von USD 25.000,00 zu leisten ist.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2F7BD8" w:rsidP="007A70D4">
            <w:pPr>
              <w:pStyle w:val="CSbody0bold"/>
            </w:pPr>
            <w:r w:rsidRPr="005B5713">
              <w:t>Guernsey</w:t>
            </w:r>
          </w:p>
        </w:tc>
        <w:tc>
          <w:tcPr>
            <w:tcW w:w="2487" w:type="pct"/>
            <w:tcBorders>
              <w:left w:val="single" w:sz="4" w:space="0" w:color="auto"/>
            </w:tcBorders>
            <w:shd w:val="clear" w:color="auto" w:fill="auto"/>
          </w:tcPr>
          <w:p w:rsidR="0033731A" w:rsidRPr="002F7BD8" w:rsidP="007A70D4">
            <w:pPr>
              <w:pStyle w:val="CSbody0bold"/>
            </w:pPr>
            <w:r w:rsidRPr="005B5713">
              <w:t>Guernsey</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C34DE5" w:rsidP="007A70D4">
            <w:pPr>
              <w:pStyle w:val="CSBody0"/>
            </w:pPr>
            <w:r w:rsidRPr="00C34DE5">
              <w:t>Save as mentioned below for individuals resident in the EU in respect of payments of interest or similar income, Holders of the Complex Products (unless they are resident in the Islands of Guernsey, Alderney or Herm for tax purposes) will not suffer any income tax in Guernsey on any distributions made to them. There are currently no death duties, capital inheritance, capital gains, gifts, sales or turnover (unless the varying of investments and the turning of such investments to account is a business or part of a business) taxes levied in Guernsey in connection with the acquisition, holding or disposal of Complex Products. No stamp duty is chargeable in Guernsey on the issue, transfer, conversion or redemption of Complex Products although charges are payable to the Ecclesiastical Court in Guernsey for the grant of probate or letters of administration in respect of the Complex Products held by a deceased Holder.</w:t>
            </w:r>
          </w:p>
        </w:tc>
        <w:tc>
          <w:tcPr>
            <w:tcW w:w="2487" w:type="pct"/>
            <w:tcBorders>
              <w:left w:val="single" w:sz="4" w:space="0" w:color="auto"/>
            </w:tcBorders>
          </w:tcPr>
          <w:p w:rsidR="00E36F02" w:rsidRPr="00E36F02" w:rsidP="00E47007">
            <w:pPr>
              <w:pStyle w:val="CSBody0"/>
              <w:rPr>
                <w:lang w:val="de-DE"/>
              </w:rPr>
            </w:pPr>
            <w:r w:rsidRPr="00E36F02">
              <w:rPr>
                <w:lang w:val="de-DE"/>
              </w:rPr>
              <w:t>Mit Ausnahme der nachfolgend beschriebenen Regelungen für natürliche in der EU ansässige Personen hinsichtlich der Zahlung von Zinsen und anderen Einkünften unterliegen Inhaber der Komplexen Produkte (soweit sie nicht auf der Insel Guernsey, der Insel Alderney oder der Insel Herm steuerlich ansässig sind) in Guernsey hinsichtlich gezahlter Ausschüttungen keiner Einkommenssteuer. Im Zusammenhang mit dem Erwerb, dem Halten oder der Veräusserung von Komplexen Produkten werden in Guernsey derzeit keine Nachlass</w:t>
            </w:r>
            <w:r w:rsidR="00E47007">
              <w:rPr>
                <w:lang w:val="de-DE"/>
              </w:rPr>
              <w:t>-</w:t>
            </w:r>
            <w:r w:rsidRPr="00E36F02">
              <w:rPr>
                <w:lang w:val="de-DE"/>
              </w:rPr>
              <w:t>, Erbschafts-, Kapitalertrags-, Schenkungs-, Umsatz- oder Mehrwertsteuern (ausser insoweit der Wechsel von Kapitalanlagen und deren Realisierung Gegenstand oder Teil einer gewerblichen Tätigkeit ist) erhoben. Auf die Begebung, die Übertragung, die Umwandlung oder Rückzahlung von Komplexen Produkten fällt in Guernsey keine Stempelsteuer an, ausser Gebühren, die im Falle des Todes eines Inhabers von Komplexen Produkten für die Erteilung des Erbscheins oder die Bestellung zum Nachlassverwalter an das Ecclesiastical Court in Guernsey zu zahlen sind.</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C34DE5" w:rsidP="007A70D4">
            <w:pPr>
              <w:pStyle w:val="CSBody0"/>
            </w:pPr>
            <w:r w:rsidRPr="00C34DE5">
              <w:t>Tax at the standard rate of 20 per cent. is payable in respect of any distributions payable to individual Holders of the Complex Products resident within the Islands of Guernsey, Alderney or Herm who are subject to taxation in Guernsey.</w:t>
            </w:r>
          </w:p>
        </w:tc>
        <w:tc>
          <w:tcPr>
            <w:tcW w:w="2487" w:type="pct"/>
            <w:tcBorders>
              <w:left w:val="single" w:sz="4" w:space="0" w:color="auto"/>
            </w:tcBorders>
          </w:tcPr>
          <w:p w:rsidR="00E36F02" w:rsidRPr="00E36F02" w:rsidP="007A70D4">
            <w:pPr>
              <w:pStyle w:val="CSBody0"/>
              <w:rPr>
                <w:lang w:val="de-DE"/>
              </w:rPr>
            </w:pPr>
            <w:r w:rsidRPr="00E36F02">
              <w:rPr>
                <w:lang w:val="de-DE"/>
              </w:rPr>
              <w:t>Steuern in Höhe des Standardsatzes von 20 Prozent sind zahlbar hinsichtlich aller Ausschüttungen an einzelne Inhaber der Komplexen Produkte, die auf der Insel Guernsey, der Insel Alderney oder der Insel Herm ansässig sind und die der Besteuerung in Guernsey unterliegen.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33731A" w:rsidRPr="005B5713" w:rsidP="007A70D4">
            <w:pPr>
              <w:pStyle w:val="CSbody0bold"/>
            </w:pPr>
            <w:r w:rsidRPr="005B5713">
              <w:t>EU Savings Directive in Guernsey:</w:t>
            </w:r>
          </w:p>
        </w:tc>
        <w:tc>
          <w:tcPr>
            <w:tcW w:w="2487" w:type="pct"/>
            <w:tcBorders>
              <w:top w:val="nil"/>
              <w:left w:val="single" w:sz="4" w:space="0" w:color="auto"/>
              <w:bottom w:val="nil"/>
              <w:right w:val="nil"/>
            </w:tcBorders>
            <w:shd w:val="clear" w:color="auto" w:fill="auto"/>
            <w:hideMark/>
          </w:tcPr>
          <w:p w:rsidR="0033731A" w:rsidRPr="005B5713" w:rsidP="007A70D4">
            <w:pPr>
              <w:pStyle w:val="CSbody0bold"/>
              <w:rPr>
                <w:rFonts w:eastAsia="Times New Roman"/>
                <w:sz w:val="20"/>
                <w:szCs w:val="20"/>
              </w:rPr>
            </w:pPr>
            <w:r w:rsidRPr="005B5713">
              <w:t xml:space="preserve">EU-Zinsbesteuerungsrichtlinie in Guernsey: </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0D0381" w:rsidP="007A70D4">
            <w:pPr>
              <w:pStyle w:val="CSBody0"/>
            </w:pPr>
            <w:r w:rsidRPr="000D0381">
              <w:t>Although not a Member State of the European Union, Guernsey, in common with certain other jurisdictions, entered into bilateral agreements with EU Member States on the taxation of savings income (the "Guernsey Savings Tax Agreements"). Paying agents in Guernsey must automatically report to the Director of Income Tax in Guernsey any interest payment to individuals resident in the contracting EU Member States which falls within the scope of the EU Savings Directive (2003/48/EC) (the "</w:t>
            </w:r>
            <w:r w:rsidRPr="007A70D4">
              <w:rPr>
                <w:b/>
              </w:rPr>
              <w:t>EU Savings Directive</w:t>
            </w:r>
            <w:r w:rsidRPr="000D0381">
              <w:t xml:space="preserve">") as applied in Guernsey. </w:t>
            </w:r>
          </w:p>
        </w:tc>
        <w:tc>
          <w:tcPr>
            <w:tcW w:w="2487" w:type="pct"/>
            <w:tcBorders>
              <w:top w:val="nil"/>
              <w:left w:val="single" w:sz="4" w:space="0" w:color="auto"/>
              <w:bottom w:val="nil"/>
              <w:right w:val="nil"/>
            </w:tcBorders>
            <w:shd w:val="clear" w:color="auto" w:fill="auto"/>
          </w:tcPr>
          <w:p w:rsidR="00E36F02" w:rsidRPr="00E36F02" w:rsidP="007A70D4">
            <w:pPr>
              <w:pStyle w:val="CSBody0"/>
              <w:rPr>
                <w:lang w:val="de-DE"/>
              </w:rPr>
            </w:pPr>
            <w:r w:rsidRPr="00E36F02">
              <w:rPr>
                <w:lang w:val="de-DE"/>
              </w:rPr>
              <w:t>Guernsey hat, obwohl es kein Mitgliedstaat der Europäischen Union ist, zusammen mit bestimmten anderen Ländern mit EU-Mitgliedstaaten bilaterale Abkommen im Bereich der Besteuerung von Zinserträgen abgeschlossen (die "Guernsey-Zinsbesteuerungsabkommen"). Zahlstellen in Guernsey müssen sämtliche Zinszahlungen, die unter den Anwendungsbereich der Richtlinie (2003/48/EG) im Bereich der Besteuerung von Zinserträgen (die "</w:t>
            </w:r>
            <w:r w:rsidRPr="007A70D4">
              <w:rPr>
                <w:b/>
                <w:lang w:val="de-DE"/>
              </w:rPr>
              <w:t>EU-Zinsbesteuerungsrichtlinie</w:t>
            </w:r>
            <w:r w:rsidRPr="00E36F02">
              <w:rPr>
                <w:lang w:val="de-DE"/>
              </w:rPr>
              <w:t>") − wie sie in Guernsey anzuwenden ist – fallen und an in den Vertrags-EU-Mitgliedstaaten ansässige natürliche Personen geleistet werden, automatisch dem in Guernsey für Einkommensteuer zuständigen Direktor (</w:t>
            </w:r>
            <w:r w:rsidRPr="007A70D4">
              <w:rPr>
                <w:i/>
                <w:lang w:val="de-DE"/>
              </w:rPr>
              <w:t>Director Income Tax</w:t>
            </w:r>
            <w:r w:rsidRPr="00E36F02">
              <w:rPr>
                <w:lang w:val="de-DE"/>
              </w:rPr>
              <w:t>) melden.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0D0381" w:rsidP="00247BCC">
            <w:pPr>
              <w:pStyle w:val="CSBody0"/>
            </w:pPr>
            <w:r w:rsidRPr="000D0381">
              <w:t xml:space="preserve">On 24 March 2014 the Council of the European Union formally adopted a directive to amend the EU Savings Directive. </w:t>
            </w:r>
            <w:r w:rsidRPr="000A3688" w:rsidR="000A3688">
              <w:t>However, on 18 March 2015 the European Commission announced a proposal to repeal the EU Savings Directive</w:t>
            </w:r>
            <w:r w:rsidRPr="00C425C5" w:rsidR="00C425C5">
              <w:t>, from 1 January 2017 in the case of Austria and from 1 January 2016 in the case of all other Member States (subject to ongoing requirements to fulfil administrative obligations such as the reporting and exchange of information relating to, and accounting for withholding taxes on, payments made before those dates)</w:t>
            </w:r>
            <w:r w:rsidRPr="000A3688" w:rsidR="000A3688">
              <w:t>. This</w:t>
            </w:r>
            <w:r w:rsidR="00C425C5">
              <w:t xml:space="preserve"> </w:t>
            </w:r>
            <w:r w:rsidRPr="00C425C5" w:rsidR="00C425C5">
              <w:t>is to prevent overlap between the EU Savings Directive and a new automatic exchange of information regime to be implemented under Council Directive 2011/16/EU on Administrative Cooperation in the field of Taxation (as amended by Council Directive 2014/107/EU).</w:t>
            </w:r>
            <w:r w:rsidRPr="000A3688" w:rsidR="000A3688">
              <w:t xml:space="preserve"> </w:t>
            </w:r>
            <w:r w:rsidR="00C425C5">
              <w:t xml:space="preserve">The </w:t>
            </w:r>
            <w:r w:rsidRPr="000A3688" w:rsidR="000A3688">
              <w:t xml:space="preserve">proposal </w:t>
            </w:r>
            <w:r w:rsidR="00C425C5">
              <w:t xml:space="preserve"> also provides that Member States will</w:t>
            </w:r>
            <w:r w:rsidRPr="000A3688" w:rsidR="000A3688">
              <w:t xml:space="preserve"> not </w:t>
            </w:r>
            <w:r w:rsidR="00C425C5">
              <w:t xml:space="preserve">be required to apply the amendments </w:t>
            </w:r>
            <w:r w:rsidRPr="000A3688" w:rsidR="000A3688">
              <w:t xml:space="preserve"> adopted</w:t>
            </w:r>
            <w:r w:rsidR="00C425C5">
              <w:t xml:space="preserve"> on 24 March 2014</w:t>
            </w:r>
            <w:r w:rsidRPr="000A3688" w:rsidR="000A3688">
              <w:t>.</w:t>
            </w:r>
            <w:r w:rsidR="000A3688">
              <w:t xml:space="preserve"> </w:t>
            </w:r>
            <w:r w:rsidR="00C425C5">
              <w:t xml:space="preserve">This proposal was </w:t>
            </w:r>
            <w:r w:rsidR="00247BCC">
              <w:t>formally</w:t>
            </w:r>
            <w:r w:rsidR="00C425C5">
              <w:t xml:space="preserve"> adopted by the Council of the Euro</w:t>
            </w:r>
            <w:r w:rsidR="001E4CCF">
              <w:t>pean Union on 10 November 2015.</w:t>
            </w:r>
          </w:p>
        </w:tc>
        <w:tc>
          <w:tcPr>
            <w:tcW w:w="2487" w:type="pct"/>
            <w:tcBorders>
              <w:top w:val="nil"/>
              <w:left w:val="single" w:sz="4" w:space="0" w:color="auto"/>
              <w:bottom w:val="nil"/>
              <w:right w:val="nil"/>
            </w:tcBorders>
            <w:shd w:val="clear" w:color="auto" w:fill="auto"/>
          </w:tcPr>
          <w:p w:rsidR="00E36F02" w:rsidRPr="00E36F02" w:rsidP="005E0113">
            <w:pPr>
              <w:pStyle w:val="CSBody0"/>
              <w:rPr>
                <w:lang w:val="de-DE"/>
              </w:rPr>
            </w:pPr>
            <w:r w:rsidRPr="00914A17">
              <w:rPr>
                <w:lang w:val="de-DE"/>
              </w:rPr>
              <w:t>Am 24. März 2014 hat der Rat der Europäischen Union eine Richtlinie zur Änderung der EU-Zinsbesteuerungsrichtlinie formell verabschiedet. Am 18. März 2015 hat die Europäische Kommission jedoch einen Vorschlag zur Aufhebung der EU-Zinsbesteuerungsrichtlinie zum 1. Januar 2017 im Fall von Österreich bzw. zum 1. Januar 2016 im Fall aller anderen Mitgliedstaaten (vorbehaltlich der laufenden Erfordernisse der Erfüllung administrativer Pflichten wie der Meldung von und des Informationsaustauschs über Zahlungen, die vor diesen Terminen erfolgten sowie die Erhebung von Quellensteuern hierauf) ange</w:t>
            </w:r>
            <w:r w:rsidR="00247BCC">
              <w:rPr>
                <w:lang w:val="de-DE"/>
              </w:rPr>
              <w:t>kündigt. Dadurch soll eine Über</w:t>
            </w:r>
            <w:r w:rsidRPr="00914A17">
              <w:rPr>
                <w:lang w:val="de-DE"/>
              </w:rPr>
              <w:t>schneidung zwischen der EU-Zinsbesteuerungsrichtlinie und neuen Bestimmungen über</w:t>
            </w:r>
            <w:r w:rsidR="00247BCC">
              <w:rPr>
                <w:lang w:val="de-DE"/>
              </w:rPr>
              <w:t xml:space="preserve"> den automatischen Informations</w:t>
            </w:r>
            <w:r w:rsidRPr="00914A17">
              <w:rPr>
                <w:lang w:val="de-DE"/>
              </w:rPr>
              <w:t>austausch vermieden werden, die im Rahmen der Richtlinie 2011/16/EU des Rates über die Zusammenarbeit der Verwaltungsbehörden im Bereich der Besteuerung (in der durch die Richtlinie 2014/107/EU des Rates geänderten Fassung) umgesetzt werden sollen. Der Vorschlag sieht auch vor, dass die Mitgliedstaaten nicht verpflichtet sein werden, die am 24. März 2014 angenommenen Änderungen umzusetzen. Der Vorschlag wurde am 10. November 2015 vom Rat der E</w:t>
            </w:r>
            <w:r>
              <w:rPr>
                <w:lang w:val="de-DE"/>
              </w:rPr>
              <w:t>uropäischen Union verabschiedet</w:t>
            </w:r>
            <w:r w:rsidRPr="00E36F02">
              <w:rPr>
                <w:lang w:val="de-DE"/>
              </w:rPr>
              <w: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1E4CCF" w:rsidRPr="000D0381" w:rsidP="00247BCC">
            <w:pPr>
              <w:pStyle w:val="CSBody0"/>
            </w:pPr>
            <w:r w:rsidRPr="000D0381">
              <w:t xml:space="preserve">Guernsey, along with other dependent and associated territories, will consider the effect of the </w:t>
            </w:r>
            <w:r>
              <w:t xml:space="preserve">repeal of, </w:t>
            </w:r>
            <w:r w:rsidRPr="000D0381">
              <w:t xml:space="preserve">the EU Savings Directive in the context of </w:t>
            </w:r>
            <w:r>
              <w:t xml:space="preserve">the Guernsey Savings Tax Agreements </w:t>
            </w:r>
            <w:r w:rsidRPr="000D0381">
              <w:t>and domestic law.</w:t>
            </w:r>
          </w:p>
        </w:tc>
        <w:tc>
          <w:tcPr>
            <w:tcW w:w="2487" w:type="pct"/>
            <w:tcBorders>
              <w:top w:val="nil"/>
              <w:left w:val="single" w:sz="4" w:space="0" w:color="auto"/>
              <w:bottom w:val="nil"/>
              <w:right w:val="nil"/>
            </w:tcBorders>
            <w:shd w:val="clear" w:color="auto" w:fill="auto"/>
          </w:tcPr>
          <w:p w:rsidR="001E4CCF" w:rsidRPr="00914A17" w:rsidP="005E0113">
            <w:pPr>
              <w:pStyle w:val="CSBody0"/>
              <w:rPr>
                <w:lang w:val="de-DE"/>
              </w:rPr>
            </w:pPr>
            <w:r w:rsidRPr="00914A17">
              <w:rPr>
                <w:lang w:val="de-DE"/>
              </w:rPr>
              <w:t>Guernsey wird zusammen mit anderen abhängigen bzw. assoziierten Gebieten die Auswirkungen der Aufhebung der EU-Zinsbesteuerungsrichtlinie im Zusammenhang mit den Guernsey-Zinsbesteuerungsabkommen und den einschlägigen inländischen Rechtsvorschriften prüfen</w:t>
            </w:r>
            <w:r>
              <w:rPr>
                <w:lang w:val="de-DE"/>
              </w:rPr>
              <w: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7A70D4" w:rsidP="007A70D4">
            <w:pPr>
              <w:pStyle w:val="CSBody0italic"/>
            </w:pPr>
            <w:r w:rsidRPr="007A70D4">
              <w:t>United States-Guernsey Intergovernmental Agreement</w:t>
            </w:r>
          </w:p>
        </w:tc>
        <w:tc>
          <w:tcPr>
            <w:tcW w:w="2487" w:type="pct"/>
            <w:tcBorders>
              <w:top w:val="nil"/>
              <w:left w:val="single" w:sz="4" w:space="0" w:color="auto"/>
              <w:bottom w:val="nil"/>
              <w:right w:val="nil"/>
            </w:tcBorders>
            <w:shd w:val="clear" w:color="auto" w:fill="auto"/>
          </w:tcPr>
          <w:p w:rsidR="00E36F02" w:rsidRPr="0046463E" w:rsidP="007A70D4">
            <w:pPr>
              <w:pStyle w:val="CSBody0italic"/>
              <w:rPr>
                <w:lang w:val="de-DE"/>
              </w:rPr>
            </w:pPr>
            <w:r w:rsidRPr="0046463E">
              <w:rPr>
                <w:lang w:val="de-DE"/>
              </w:rPr>
              <w:t>Zwischenstaatliche Vereinbarung zwischen den Vereinigten Staaten und Guernsey</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0A3688" w:rsidRPr="00F47DF2" w:rsidP="007A70D4">
            <w:pPr>
              <w:pStyle w:val="CSBody0"/>
            </w:pPr>
            <w:r w:rsidRPr="00FE1BA7">
              <w:t>On 13 December 2013 the Chief Minister of Guernsey signed an intergovernmental agreement with the US (the "</w:t>
            </w:r>
            <w:r w:rsidRPr="00185FD9">
              <w:rPr>
                <w:b/>
              </w:rPr>
              <w:t>US-Guernsey IGA</w:t>
            </w:r>
            <w:r w:rsidRPr="00FE1BA7">
              <w:t>") regarding the implementation of FATCA, under which certain disclosure requirements will be imposed in respect of certain investors in the Complex Products who are, or are entities that are controlled by one or more, residents or citizens of the US. Where applicable, information that will need to be disclosed will include certain information about investors in the Complex Products, their ultimate beneficial owners and/or controllers, and their investment in and returns from the Complex Products. The US-Guernsey IGA is implemented through Guernsey’s domestic legislation, in accordance with guidance which is currently published in draft form.</w:t>
            </w:r>
          </w:p>
        </w:tc>
        <w:tc>
          <w:tcPr>
            <w:tcW w:w="2487" w:type="pct"/>
            <w:tcBorders>
              <w:top w:val="nil"/>
              <w:left w:val="single" w:sz="4" w:space="0" w:color="auto"/>
              <w:bottom w:val="nil"/>
              <w:right w:val="nil"/>
            </w:tcBorders>
            <w:shd w:val="clear" w:color="auto" w:fill="auto"/>
          </w:tcPr>
          <w:p w:rsidR="000A3688" w:rsidRPr="00E36F02" w:rsidP="007A70D4">
            <w:pPr>
              <w:pStyle w:val="CSBody0"/>
              <w:rPr>
                <w:lang w:val="de-DE"/>
              </w:rPr>
            </w:pPr>
            <w:r w:rsidRPr="00185FD9">
              <w:rPr>
                <w:lang w:val="de-DE"/>
              </w:rPr>
              <w:t>Am 13. Dezember 2013 hat der Chief Minister of Guernsey eine zwischenstaatliche Vereinbarung (intergovernmental agreement; IGA) mit den Vereinigten Staaten (die "</w:t>
            </w:r>
            <w:r w:rsidRPr="00185FD9">
              <w:rPr>
                <w:b/>
                <w:lang w:val="de-DE"/>
              </w:rPr>
              <w:t>US-Guernsey-IGA</w:t>
            </w:r>
            <w:r w:rsidRPr="00185FD9">
              <w:rPr>
                <w:lang w:val="de-DE"/>
              </w:rPr>
              <w:t xml:space="preserve">") über die Umsetzung von FATCA unterzeichnet, nach der bestimmte Offenlegungspflichten in Bezug auf bestimmte Anleger in die Komplexen Produkte eingeführt werden, bei denen es sich um US-Bürger oder in den Vereinigten Staaten ansässige Personen handelt oder   um Unternehmen − die von mindestens einem US-Bürger oder einer in den Vereinigten Staaten ansässigen Person kontrolliert werden. Gegebenenfalls werden im Rahmen der Offenlegungspflichten auch bestimmte Angaben über Anleger in die Komplexen Produkte, ihre wirtschaftlichen Eigentümer und/oder die sie letztlich beherrschenden Personen, ihre Anlage in die Komplexen Produkte sowie ihre mit diesen erzielte Rendite offengelegt werden müssen. Die US-Guernsey-IGA wird durch inländisches Gesetz von Guernsey in Übereinstimmung mit derzeit als Entwurf veröffentlichten Leitlinien umgesetzt. </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E36F02" w:rsidRPr="007A70D4" w:rsidP="007A70D4">
            <w:pPr>
              <w:pStyle w:val="CSBody0italic"/>
            </w:pPr>
            <w:r w:rsidRPr="007A70D4">
              <w:t>United Kingdom-Guernsey Intergovernmental Agreement</w:t>
            </w:r>
          </w:p>
        </w:tc>
        <w:tc>
          <w:tcPr>
            <w:tcW w:w="2487" w:type="pct"/>
            <w:tcBorders>
              <w:top w:val="nil"/>
              <w:left w:val="single" w:sz="4" w:space="0" w:color="auto"/>
              <w:bottom w:val="nil"/>
              <w:right w:val="nil"/>
            </w:tcBorders>
            <w:shd w:val="clear" w:color="auto" w:fill="auto"/>
          </w:tcPr>
          <w:p w:rsidR="00E36F02" w:rsidRPr="0046463E" w:rsidP="007A70D4">
            <w:pPr>
              <w:pStyle w:val="CSBody0italic"/>
              <w:rPr>
                <w:lang w:val="de-DE"/>
              </w:rPr>
            </w:pPr>
            <w:r w:rsidRPr="0046463E">
              <w:rPr>
                <w:lang w:val="de-DE"/>
              </w:rPr>
              <w:t>Zwischenstaatliche Vereinbarung zwischen dem Vereinigten Königreich und Guernsey</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0A3688" w:rsidRPr="004124B6" w:rsidP="007A70D4">
            <w:pPr>
              <w:pStyle w:val="CSBody0"/>
            </w:pPr>
            <w:r w:rsidRPr="009E1246">
              <w:t>On 22 October 2013 the Chief Minister of Guernsey signed an intergovernmental agreement with the UK (the "</w:t>
            </w:r>
            <w:r w:rsidRPr="00185FD9">
              <w:rPr>
                <w:b/>
              </w:rPr>
              <w:t>UK-Guernsey IGA</w:t>
            </w:r>
            <w:r w:rsidRPr="009E1246">
              <w:t>") under which certain disclosure requirements will be imposed in respect of certain investors in the Complex Products who are, or are entities that are controlled by one or more, residents in the UK. Where applicable, information that will need to be disclosed will include certain information about investors in the Complex Products, their ultimate beneficial owners and/or controllers, and their investment in and returns from the Complex Products. The UK-Guernsey IGA is implemented through Guernsey’s domestic legislation, in accordance with guidance which is currently published in draft form.</w:t>
            </w:r>
          </w:p>
        </w:tc>
        <w:tc>
          <w:tcPr>
            <w:tcW w:w="2487" w:type="pct"/>
            <w:tcBorders>
              <w:top w:val="nil"/>
              <w:left w:val="single" w:sz="4" w:space="0" w:color="auto"/>
              <w:bottom w:val="nil"/>
              <w:right w:val="nil"/>
            </w:tcBorders>
            <w:shd w:val="clear" w:color="auto" w:fill="auto"/>
          </w:tcPr>
          <w:p w:rsidR="000A3688" w:rsidRPr="00E36F02" w:rsidP="007A70D4">
            <w:pPr>
              <w:pStyle w:val="CSBody0"/>
              <w:rPr>
                <w:lang w:val="de-DE"/>
              </w:rPr>
            </w:pPr>
            <w:r w:rsidRPr="00185FD9">
              <w:rPr>
                <w:lang w:val="de-DE"/>
              </w:rPr>
              <w:t>Am 22. Oktober 2013 hat der Chief Minister of Guernsey eine IGA mit dem Vereinigten Königreich (die "</w:t>
            </w:r>
            <w:r w:rsidRPr="00185FD9">
              <w:rPr>
                <w:b/>
                <w:lang w:val="de-DE"/>
              </w:rPr>
              <w:t>UK-Guernsey-IGA</w:t>
            </w:r>
            <w:r w:rsidRPr="00185FD9">
              <w:rPr>
                <w:lang w:val="de-DE"/>
              </w:rPr>
              <w:t>") unterzeichnet, nach der bestimmte Offenlegungspflichten in Bezug auf bestimmte Anleger in die Komplexen Produkte eingeführt werden, bei denen es sich um im Vereinigten Königreich ansässige Personen handelt oder   um Unternehmen  , die von mindestens einer im Vereinigten Königreich ansässigen Person kontrolliert werden. Gegebenenfalls werden im Rahmen der Offenlegungspflichten auch bestimmte Angaben über Anleger in die Komplexen Produkte, ihre wirtschaftlichen Eigentümer und/oder die sie letztlich beherrschenden Personen, ihre Anlage in die Komplexen Produkte sowie ihre mit diesen erzielte Rendite offengelegt werden müssen. Die UK-Guernsey-IGA wird durch inländisches Gesetz von Guernsey in Übereinstimmung mit derzeit als Entwurf veröffentlichten Leitlinien umgesetzt.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C425C5" w:rsidRPr="009E1246" w:rsidP="007A70D4">
            <w:pPr>
              <w:pStyle w:val="CSBody0"/>
            </w:pPr>
            <w:r w:rsidRPr="00C425C5">
              <w:t>Both Guernsey and the UK are adopting the "Common Reporting Standard" (see below) with effect from 1 January 2016.  Accordingly, following a transitional period, reporting under the UK-Guernsey IGA (as implemented in Guernsey) in respect of periods commencing on or after 1 January 2016 will be replaced by reporting under the Common Reporting Standard (as implemented in Guernsey).</w:t>
            </w:r>
          </w:p>
        </w:tc>
        <w:tc>
          <w:tcPr>
            <w:tcW w:w="2487" w:type="pct"/>
            <w:tcBorders>
              <w:top w:val="nil"/>
              <w:left w:val="single" w:sz="4" w:space="0" w:color="auto"/>
              <w:bottom w:val="nil"/>
              <w:right w:val="nil"/>
            </w:tcBorders>
            <w:shd w:val="clear" w:color="auto" w:fill="auto"/>
          </w:tcPr>
          <w:p w:rsidR="00C425C5" w:rsidRPr="00914A17" w:rsidP="00E832D2">
            <w:pPr>
              <w:pStyle w:val="CSBody0"/>
              <w:rPr>
                <w:lang w:val="de-DE"/>
              </w:rPr>
            </w:pPr>
            <w:r w:rsidRPr="00914A17">
              <w:rPr>
                <w:lang w:val="de-DE"/>
              </w:rPr>
              <w:t>Sowohl Guernsey als auch das Vereinigte Königreich werden mit Wirkung vom 1. Januar 2016 den Standard für eine gemeinsame Berichterstattung (siehe unten) einführen. Nach einem Übergangszeitraum werden daher die Berichtspflichten nach der UK-Guernsey-IGA (wie in Guernsey umgesetzt) in Bezug auf an oder nach dem 1. Januar 2016 beginnende Zeiträume durch Berichtspflichten nach dem Standard für eine gemeinsame Berichterstattung (wie in Guernsey umgesetzt) ersetzt w</w:t>
            </w:r>
            <w:r w:rsidR="00E832D2">
              <w:rPr>
                <w:lang w:val="de-DE"/>
              </w:rPr>
              <w:t>e</w:t>
            </w:r>
            <w:r w:rsidRPr="00914A17">
              <w:rPr>
                <w:lang w:val="de-DE"/>
              </w:rPr>
              <w:t>rden.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0A3688" w:rsidRPr="00185FD9" w:rsidP="007A70D4">
            <w:pPr>
              <w:pStyle w:val="CSBody0"/>
              <w:rPr>
                <w:i/>
              </w:rPr>
            </w:pPr>
            <w:r>
              <w:rPr>
                <w:i/>
              </w:rPr>
              <w:t>Common Reporting Standard</w:t>
            </w:r>
          </w:p>
        </w:tc>
        <w:tc>
          <w:tcPr>
            <w:tcW w:w="2487" w:type="pct"/>
            <w:tcBorders>
              <w:top w:val="nil"/>
              <w:left w:val="single" w:sz="4" w:space="0" w:color="auto"/>
              <w:bottom w:val="nil"/>
              <w:right w:val="nil"/>
            </w:tcBorders>
            <w:shd w:val="clear" w:color="auto" w:fill="auto"/>
          </w:tcPr>
          <w:p w:rsidR="000A3688" w:rsidRPr="00185FD9" w:rsidP="007A70D4">
            <w:pPr>
              <w:pStyle w:val="CSBody0"/>
              <w:rPr>
                <w:i/>
                <w:lang w:val="de-DE"/>
              </w:rPr>
            </w:pPr>
            <w:r w:rsidRPr="005E0113">
              <w:rPr>
                <w:i/>
                <w:lang w:val="de-DE"/>
              </w:rPr>
              <w:t>Standard für eine Gemeinsame Berichterstattung</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0A3688" w:rsidRPr="009E1246" w:rsidP="001E4CCF">
            <w:pPr>
              <w:pStyle w:val="CSBody0"/>
            </w:pPr>
            <w:r w:rsidRPr="0000567E">
              <w:t>On 13 February 2014, the Organization for Economic Co-operation and Development released the Common Reporting Standard ("</w:t>
            </w:r>
            <w:r w:rsidRPr="00185FD9">
              <w:rPr>
                <w:b/>
              </w:rPr>
              <w:t>CRS</w:t>
            </w:r>
            <w:r w:rsidRPr="0000567E">
              <w:t>") designed to create a global standard for the automatic exchange of financial account information, similar to the information to be reported under FATCA. On 29 October 2014, fifty-one jurisdictions signed the multilateral competent authority agreement (the "</w:t>
            </w:r>
            <w:r w:rsidRPr="00185FD9">
              <w:rPr>
                <w:b/>
              </w:rPr>
              <w:t>Multilateral Agreement</w:t>
            </w:r>
            <w:r w:rsidRPr="0000567E">
              <w:t xml:space="preserve">") that activates this automatic exchange of FATCA-like information in line with the CRS. </w:t>
            </w:r>
            <w:r w:rsidR="00C425C5">
              <w:t>Since then further jurisd</w:t>
            </w:r>
            <w:r w:rsidR="004A0D44">
              <w:t>i</w:t>
            </w:r>
            <w:r w:rsidR="00C425C5">
              <w:t xml:space="preserve">ctions have signed </w:t>
            </w:r>
            <w:r w:rsidRPr="0000567E">
              <w:t>the Multilateral Agreement</w:t>
            </w:r>
            <w:r w:rsidR="004A0D44">
              <w:t xml:space="preserve"> </w:t>
            </w:r>
            <w:r w:rsidR="00C425C5">
              <w:t>and in total over 90 jurisdictions have</w:t>
            </w:r>
            <w:r w:rsidR="001E4CCF">
              <w:t xml:space="preserve"> committed to adopting the CRS.</w:t>
            </w:r>
          </w:p>
        </w:tc>
        <w:tc>
          <w:tcPr>
            <w:tcW w:w="2487" w:type="pct"/>
            <w:tcBorders>
              <w:top w:val="nil"/>
              <w:left w:val="single" w:sz="4" w:space="0" w:color="auto"/>
              <w:bottom w:val="nil"/>
              <w:right w:val="nil"/>
            </w:tcBorders>
            <w:shd w:val="clear" w:color="auto" w:fill="auto"/>
          </w:tcPr>
          <w:p w:rsidR="000A3688" w:rsidRPr="000A3688" w:rsidP="001E4CCF">
            <w:pPr>
              <w:pStyle w:val="CSBody0"/>
              <w:rPr>
                <w:lang w:val="de-DE"/>
              </w:rPr>
            </w:pPr>
            <w:r w:rsidRPr="00185FD9">
              <w:rPr>
                <w:lang w:val="de-DE"/>
              </w:rPr>
              <w:t>Am 13. Februar 2014 hat die Organisation für wirtschaftliche Zusammenarbeit und Entwicklung den "Standard für eine gemeinsame Berichterstattung" (</w:t>
            </w:r>
            <w:r w:rsidRPr="00185FD9">
              <w:rPr>
                <w:i/>
                <w:lang w:val="de-DE"/>
              </w:rPr>
              <w:t>Common Reporting Standard</w:t>
            </w:r>
            <w:r w:rsidRPr="00185FD9">
              <w:rPr>
                <w:lang w:val="de-DE"/>
              </w:rPr>
              <w:t>; der "</w:t>
            </w:r>
            <w:r w:rsidRPr="00185FD9">
              <w:rPr>
                <w:b/>
                <w:lang w:val="de-DE"/>
              </w:rPr>
              <w:t>CRS</w:t>
            </w:r>
            <w:r w:rsidRPr="00185FD9">
              <w:rPr>
                <w:lang w:val="de-DE"/>
              </w:rPr>
              <w:t>") veröffentlicht, mit dem ein globaler Standard für den automatischen Informationsaustausch über Finanzkonten geschaffen werden soll, wobei es sich um ähnliche Informationen handelt wie die nach FATCA zu übermittelnden Informationen. Am 29. Oktober 2014 haben 51 Länder die multilaterale Vereinbarung der zuständigen Behörden (die "</w:t>
            </w:r>
            <w:r w:rsidRPr="00185FD9">
              <w:rPr>
                <w:b/>
                <w:lang w:val="de-DE"/>
              </w:rPr>
              <w:t>Multilaterale Vereinbarung</w:t>
            </w:r>
            <w:r w:rsidRPr="00185FD9">
              <w:rPr>
                <w:lang w:val="de-DE"/>
              </w:rPr>
              <w:t xml:space="preserve">") unterzeichnet, durch die dieser automatische Austausch von den FATCA-Angaben ähnlichen Informationen nach dem CRS aktiviert wird. </w:t>
            </w:r>
            <w:r w:rsidRPr="005E0113" w:rsidR="005E0113">
              <w:rPr>
                <w:lang w:val="de-DE"/>
              </w:rPr>
              <w:t>Seit diesem Zeitpunkt haben weitere Länder die Multilaterale Vereinbarung unterzeichnet, und insgesamt haben sich über 90 Länder zur Übernahme des CRS verpflichtet.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1E4CCF" w:rsidRPr="001E4CCF" w:rsidP="001E4CCF">
            <w:pPr>
              <w:pStyle w:val="CSBody0"/>
            </w:pPr>
            <w:r w:rsidRPr="00C425C5">
              <w:t>Early adopters who signed the Multilateral Agreement (including Guernsey) have pledged to work towards the first information exchanges, regarding the 2016 period, taking place by September 2017.  Others are expected to follow with information exchange starting in 2018</w:t>
            </w:r>
            <w:r>
              <w:t>.</w:t>
            </w:r>
          </w:p>
        </w:tc>
        <w:tc>
          <w:tcPr>
            <w:tcW w:w="2487" w:type="pct"/>
            <w:tcBorders>
              <w:left w:val="single" w:sz="4" w:space="0" w:color="auto"/>
            </w:tcBorders>
            <w:shd w:val="clear" w:color="auto" w:fill="auto"/>
          </w:tcPr>
          <w:p w:rsidR="001E4CCF" w:rsidRPr="001E4CCF" w:rsidP="001E4CCF">
            <w:pPr>
              <w:pStyle w:val="CSBody0"/>
              <w:rPr>
                <w:lang w:val="de-DE"/>
              </w:rPr>
            </w:pPr>
            <w:r w:rsidRPr="005E0113">
              <w:rPr>
                <w:lang w:val="de-DE"/>
              </w:rPr>
              <w:t>Die ersten Unterzeichner der Multilateralen Vereinbarung (einschliesslich Guernsey) haben sich verpflichtet, darauf hinzuarbeiten, dass der erste Informationsaustausch bezüglich des Berichtszeitraums 2016 bereits bis September 2017 stattfindet. Bei anderen Ländern wird eine Teilnahme am Informationsaustausch ab 2018 erwartet</w:t>
            </w:r>
            <w:r>
              <w:rPr>
                <w:lang w:val="de-DE"/>
              </w:rPr>
              <w: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1E4CCF" w:rsidRPr="001E4CCF" w:rsidP="001E4CCF">
            <w:pPr>
              <w:pStyle w:val="CSBody0"/>
            </w:pPr>
            <w:r w:rsidRPr="005569F3">
              <w:t>Under the CRS and legislation enacted in Guernsey to implement the CRS with effect from 1 January 2016</w:t>
            </w:r>
            <w:r w:rsidRPr="0000567E">
              <w:t>,</w:t>
            </w:r>
            <w:r>
              <w:t xml:space="preserve"> </w:t>
            </w:r>
            <w:r w:rsidRPr="0000567E">
              <w:t xml:space="preserve">certain disclosure requirements </w:t>
            </w:r>
            <w:r>
              <w:t>will</w:t>
            </w:r>
            <w:r w:rsidRPr="0000567E">
              <w:t xml:space="preserve"> be imposed in respect of certain investors in the Complex Products who are, or are entities that are controlled by one or more, residents of any of the jurisdictions</w:t>
            </w:r>
            <w:r>
              <w:t xml:space="preserve"> who have adopted the CRS. Where</w:t>
            </w:r>
            <w:r w:rsidRPr="0000567E">
              <w:t xml:space="preserve"> applicable, information that would need to be disclosed will include certain information about investors in the Complex Products, their ultimate beneficial owners and/or controllers, and their investment in and returns from the Complex Products.</w:t>
            </w:r>
            <w:r w:rsidRPr="005569F3">
              <w:t>The CRS is implemented through Guernsey’s domestic legislation in accordance with guidance that is published in draft form that will be supplemented by guidance issued by the Organisation for Economic Co-operation and Development</w:t>
            </w:r>
            <w:r w:rsidRPr="0000567E">
              <w:t>.</w:t>
            </w:r>
          </w:p>
        </w:tc>
        <w:tc>
          <w:tcPr>
            <w:tcW w:w="2487" w:type="pct"/>
            <w:tcBorders>
              <w:left w:val="single" w:sz="4" w:space="0" w:color="auto"/>
            </w:tcBorders>
            <w:shd w:val="clear" w:color="auto" w:fill="auto"/>
          </w:tcPr>
          <w:p w:rsidR="001E4CCF" w:rsidRPr="00BD6E0D" w:rsidP="001E4CCF">
            <w:pPr>
              <w:pStyle w:val="CSBody0"/>
              <w:rPr>
                <w:lang w:val="de-DE"/>
              </w:rPr>
            </w:pPr>
            <w:r w:rsidRPr="00185FD9">
              <w:rPr>
                <w:lang w:val="de-DE"/>
              </w:rPr>
              <w:t xml:space="preserve">Gemäss </w:t>
            </w:r>
            <w:r w:rsidRPr="005E0113">
              <w:rPr>
                <w:lang w:val="de-DE"/>
              </w:rPr>
              <w:t>dem CRS und den zu seiner Umsetzung in Guernsey mit Wirkung vom 1. Januar 2016 erlassenen gesetzlichen Bestimmungen werden bestimmte Offenlegungspflichten in Bezug auf bestimmte Anleger in die Komplexen Produkte vorgeschrieben werden, bei denen es sich um Personen handelt, die in einem Land ansässig sind, das den CRS eingeführt hat, bzw. um Unternehmen, die von mindestens einer Person kontrolliert werden, die in einem Land ansässig ist, das den CRS eingeführt hat. Im Rahmen der Offenlegungspflichten müssen gegebenenfalls auch bestimmte Angaben über Anleger in die Komplexen Produkte, ihre wirtschaftlichen Eigentümer und/oder die sie letztlich beherrschenden Personen, ihre Anlage in die Komplexen Produkte sowie ihre mit diesen erzielte Rendite offengelegt werden. Der CRS wird durch inländisches Gesetz von Guernsey in Übereinstimmung mit derzeit als Entwurf veröffentlichten Leitlinien umgesetzt, die durch Leitlinien der Organisation für Wirtschaftliche Zusammenarbeit und Entwicklung weiter ergänzt werden</w:t>
            </w:r>
            <w:r w:rsidRPr="00185FD9">
              <w:rPr>
                <w:lang w:val="de-DE"/>
              </w:rPr>
              <w: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E439B4" w:rsidP="007A70D4">
            <w:pPr>
              <w:pStyle w:val="CSbody0bold"/>
            </w:pPr>
            <w:r w:rsidRPr="005B5713">
              <w:t>Liechtenstein</w:t>
            </w:r>
          </w:p>
        </w:tc>
        <w:tc>
          <w:tcPr>
            <w:tcW w:w="2487" w:type="pct"/>
            <w:tcBorders>
              <w:left w:val="single" w:sz="4" w:space="0" w:color="auto"/>
            </w:tcBorders>
            <w:shd w:val="clear" w:color="auto" w:fill="auto"/>
          </w:tcPr>
          <w:p w:rsidR="0033731A" w:rsidRPr="002F7BD8" w:rsidP="007A70D4">
            <w:pPr>
              <w:pStyle w:val="CSbody0bold"/>
              <w:rPr>
                <w:lang w:val="de-CH"/>
              </w:rPr>
            </w:pPr>
            <w:r w:rsidRPr="005B5713">
              <w:t>Liechtenstein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7A70D4" w:rsidP="007A70D4">
            <w:pPr>
              <w:pStyle w:val="CSBody0italic"/>
            </w:pPr>
            <w:r w:rsidRPr="007A70D4">
              <w:t>This section contains a general summary regarding tax in Liechtenstein which may be of relevance to Holders who have subscribed Complex Products issued under the Base Prospectus. This summary does not purport to be a comprehensive and conclusive discussion of all tax aspects that may be relevant for investors in Liechtenstein. The tax aspects will always depend on the personal situation of each individual investor. This summary furthermore is not intended to be, nor should it be construed to be, tax advice. The following only highlights certain basic principles of Liechtenstein tax that may be of relevance.</w:t>
            </w:r>
          </w:p>
        </w:tc>
        <w:tc>
          <w:tcPr>
            <w:tcW w:w="2487" w:type="pct"/>
            <w:tcBorders>
              <w:left w:val="single" w:sz="4" w:space="0" w:color="auto"/>
            </w:tcBorders>
            <w:shd w:val="clear" w:color="auto" w:fill="auto"/>
          </w:tcPr>
          <w:p w:rsidR="00E36F02" w:rsidRPr="0046463E" w:rsidP="007A70D4">
            <w:pPr>
              <w:pStyle w:val="CSBody0italic"/>
              <w:rPr>
                <w:lang w:val="de-DE"/>
              </w:rPr>
            </w:pPr>
            <w:r w:rsidRPr="0046463E">
              <w:rPr>
                <w:lang w:val="de-DE"/>
              </w:rPr>
              <w:t>Dieser Abschnitt enthält eine allgemeine Zusammenfassung der liechtensteinischen Steuern, welche für Anleger, die im Rahmen des Basisprospekts emittierte Komplexe Produkte gezeichnet haben, von Bedeutung sein können. Diese Zusammenfassung ist nicht als umfassende und abschliessende Darstellung aller steuerlichen Aspekte, die für Anleger in Liechtenstein relevant sein könnten, zu verstehen. Die steuerlichen Aspekte hängen immer von den individuellen Umständen jedes einzelnen Anlegers ab. Darüber hinaus stellt die Zusammenfassung keine Steuerberatung dar und soll sie auch nicht als solche interpretiert werden. Die nachstehenden Ausführungen skizzieren lediglich allfällige massgebliche liechtensteinische Steuerthemen in Grundzügen.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7A70D4" w:rsidP="007A70D4">
            <w:pPr>
              <w:pStyle w:val="CSBody0italic"/>
            </w:pPr>
            <w:r w:rsidRPr="007A70D4">
              <w:t>The summary is based on Liechtenstein tax law and its application in Liechtenstein at the date of this Base Prospectus. Liechtenstein adopted a new tax law which entered into force on 1 January 2011 and provides for certain amendments regarding the taxation of natural and legal persons. The effects of the new tax legislation are not yet known in every detail, in particular as there are neither any relevant Supreme Court rulings nor an established legal practice followed by the tax authorities regarding the new tax legislation. This summary therefore does not purport to be a complete description of all potential tax aspects and also does not address specific situations that may be of relevance for prospective investors.</w:t>
            </w:r>
          </w:p>
        </w:tc>
        <w:tc>
          <w:tcPr>
            <w:tcW w:w="2487" w:type="pct"/>
            <w:tcBorders>
              <w:left w:val="single" w:sz="4" w:space="0" w:color="auto"/>
            </w:tcBorders>
            <w:shd w:val="clear" w:color="auto" w:fill="auto"/>
          </w:tcPr>
          <w:p w:rsidR="00E36F02" w:rsidRPr="0046463E" w:rsidP="007A70D4">
            <w:pPr>
              <w:pStyle w:val="CSBody0italic"/>
              <w:rPr>
                <w:lang w:val="de-DE"/>
              </w:rPr>
            </w:pPr>
            <w:r w:rsidRPr="0046463E">
              <w:rPr>
                <w:lang w:val="de-DE"/>
              </w:rPr>
              <w:t>Die Zusammenfassung basiert auf liechtensteinischem Steuerrecht und dessen Anwendung in Liechtenstein zum Zeitpunkt der Erstellung dieses Basisprospekts. Per 1. Januar 2011 ist in Liechtenstein ein neues Steuergesetz, das Änderungen der Besteuerung der natürlichen und juristischen Personen vorsieht, in Kraft getreten. Die Auswirkungen des neuen Steuergesetzes sind im Moment noch nicht in allen Einzelheiten bekannt, zumal es weder höchstrichterliche Rechtsprechung noch von der Finanzverwaltung etablierte Rechtspraxis zum neuen Steuergesetz gibt. Diese Zusammenfassung erhebt daher keinen Anspruch auf eine vollständige Beschreibung aller möglichen steuerlichen Aspekte und behandelt auch nicht spezifische Situationen, die für einzelne potenzielle Anleger von Bedeutung sein könnten.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6463E" w:rsidP="007A70D4">
            <w:pPr>
              <w:pStyle w:val="CSbody0bold"/>
              <w:rPr>
                <w:lang w:val="en-GB"/>
              </w:rPr>
            </w:pPr>
            <w:r w:rsidRPr="0046463E">
              <w:rPr>
                <w:lang w:val="en-GB" w:bidi="en-GB"/>
              </w:rPr>
              <w:t>Net assets and personal income tax levied on natural persons</w:t>
            </w:r>
          </w:p>
        </w:tc>
        <w:tc>
          <w:tcPr>
            <w:tcW w:w="2487" w:type="pct"/>
            <w:tcBorders>
              <w:left w:val="single" w:sz="4" w:space="0" w:color="auto"/>
            </w:tcBorders>
            <w:shd w:val="clear" w:color="auto" w:fill="auto"/>
          </w:tcPr>
          <w:p w:rsidR="0033731A" w:rsidRPr="005B5713" w:rsidP="007A70D4">
            <w:pPr>
              <w:pStyle w:val="CSbody0bold"/>
              <w:rPr>
                <w:lang w:val="de-CH"/>
              </w:rPr>
            </w:pPr>
            <w:bookmarkStart w:id="126" w:name="_Toc326910280"/>
            <w:r w:rsidRPr="005B5713">
              <w:rPr>
                <w:lang w:val="de-AT"/>
              </w:rPr>
              <w:t>Vermögens- und Erwerbssteuer natürlicher Personen</w:t>
            </w:r>
            <w:bookmarkEnd w:id="126"/>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291473" w:rsidP="007A70D4">
            <w:pPr>
              <w:pStyle w:val="CSBody0"/>
            </w:pPr>
            <w:r w:rsidRPr="00291473">
              <w:t>Natural persons are subject to unlimited tax liability in Liechtenstein with regard to their total worldwide assets and their total worldwide income if they have their residence or habitual abode in Liechtenstein (section 6 (1) of the Liechtenstein Tax Act (Steuergesetz; SteG)).</w:t>
            </w:r>
          </w:p>
        </w:tc>
        <w:tc>
          <w:tcPr>
            <w:tcW w:w="2487" w:type="pct"/>
            <w:tcBorders>
              <w:left w:val="single" w:sz="4" w:space="0" w:color="auto"/>
            </w:tcBorders>
            <w:shd w:val="clear" w:color="auto" w:fill="auto"/>
          </w:tcPr>
          <w:p w:rsidR="00E36F02" w:rsidRPr="00E36F02" w:rsidP="007A70D4">
            <w:pPr>
              <w:pStyle w:val="CSBody0"/>
              <w:rPr>
                <w:lang w:val="de-DE"/>
              </w:rPr>
            </w:pPr>
            <w:r w:rsidRPr="00E36F02">
              <w:rPr>
                <w:lang w:val="de-DE"/>
              </w:rPr>
              <w:t>Natürliche Personen sind mit ihrem gesamten Weltvermögen und dem gesamten weltweiten Erwerb unbeschränkt steuerpflichtig in Liechtenstein, wenn sie Wohnsitz oder gewöhnlichen Aufenthalt in Liechtenstein haben (Art. 6 Abs. 1</w:t>
            </w:r>
            <w:r w:rsidR="000A3688">
              <w:rPr>
                <w:lang w:val="de-DE"/>
              </w:rPr>
              <w:t> </w:t>
            </w:r>
            <w:r w:rsidRPr="00E36F02">
              <w:rPr>
                <w:lang w:val="de-DE"/>
              </w:rPr>
              <w:t>SteG).</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291473" w:rsidP="007A70D4">
            <w:pPr>
              <w:pStyle w:val="CSBody0"/>
            </w:pPr>
            <w:r w:rsidRPr="00291473">
              <w:t>Net assets tax is levied on the whole movable and immovable property of the taxpayer (section 9 (1) SteG), while personal income tax is levied on all forms of income consisting of money or money's worth (section 14 (1) SteG).</w:t>
            </w:r>
          </w:p>
        </w:tc>
        <w:tc>
          <w:tcPr>
            <w:tcW w:w="2487" w:type="pct"/>
            <w:tcBorders>
              <w:left w:val="single" w:sz="4" w:space="0" w:color="auto"/>
            </w:tcBorders>
            <w:shd w:val="clear" w:color="auto" w:fill="auto"/>
          </w:tcPr>
          <w:p w:rsidR="00E36F02" w:rsidRPr="00E36F02" w:rsidP="007A70D4">
            <w:pPr>
              <w:pStyle w:val="CSBody0"/>
              <w:rPr>
                <w:lang w:val="de-DE"/>
              </w:rPr>
            </w:pPr>
            <w:r w:rsidRPr="00E36F02">
              <w:rPr>
                <w:lang w:val="de-DE"/>
              </w:rPr>
              <w:t>Steuerobjekt der Vermögenssteuer ist das gesamte bewegliche und unbewegliche Vermögen des Steuerpflichtigen (Art. 9 Abs. 1 SteG). Gegenstand der Erwerbssteuer sind alle in Geld oder Geldeswert bestehenden Einkünfte (Art. 14 Abs. 1 SteG).</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291473" w:rsidP="007A70D4">
            <w:pPr>
              <w:pStyle w:val="CSBody0"/>
            </w:pPr>
            <w:r w:rsidRPr="00291473">
              <w:t>Any investment income on which the taxpayer pays net assets tax, however, is exempt from personal income tax. As net assets tax is levied on the Complex Products, any interest payments on the Complex Products are therefore not subject to personal income tax.</w:t>
            </w:r>
          </w:p>
        </w:tc>
        <w:tc>
          <w:tcPr>
            <w:tcW w:w="2487" w:type="pct"/>
            <w:tcBorders>
              <w:left w:val="single" w:sz="4" w:space="0" w:color="auto"/>
            </w:tcBorders>
            <w:shd w:val="clear" w:color="auto" w:fill="auto"/>
          </w:tcPr>
          <w:p w:rsidR="00E36F02" w:rsidRPr="00E36F02" w:rsidP="007A70D4">
            <w:pPr>
              <w:pStyle w:val="CSBody0"/>
              <w:rPr>
                <w:lang w:val="de-DE"/>
              </w:rPr>
            </w:pPr>
            <w:r w:rsidRPr="00E36F02">
              <w:rPr>
                <w:lang w:val="de-DE"/>
              </w:rPr>
              <w:t>Von der Erwerbssteuer befreit sind jedoch die Erträge des Vermögens, auf welches der Steuerpflichtige die Vermögenssteuer entrichtet. Da die Komplexen Produkte der Vermögenssteuer unterliegen, sind Zinszahlungen aus diesen somit nicht erwerbssteuerpflichtig.</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E36F02" w:rsidRPr="00291473" w:rsidP="007A70D4">
            <w:pPr>
              <w:pStyle w:val="CSBody0"/>
            </w:pPr>
            <w:r w:rsidRPr="00291473">
              <w:t>Moreover, capital gains from the sale of financial products are not subject to personal income tax if they are held as part of the taxpayer's private assets.</w:t>
            </w:r>
          </w:p>
        </w:tc>
        <w:tc>
          <w:tcPr>
            <w:tcW w:w="2487" w:type="pct"/>
            <w:tcBorders>
              <w:left w:val="single" w:sz="4" w:space="0" w:color="auto"/>
            </w:tcBorders>
            <w:shd w:val="clear" w:color="auto" w:fill="auto"/>
          </w:tcPr>
          <w:p w:rsidR="00E36F02" w:rsidRPr="00E36F02" w:rsidP="007A70D4">
            <w:pPr>
              <w:pStyle w:val="CSBody0"/>
              <w:rPr>
                <w:lang w:val="de-DE"/>
              </w:rPr>
            </w:pPr>
            <w:r w:rsidRPr="00E36F02">
              <w:rPr>
                <w:lang w:val="de-DE"/>
              </w:rPr>
              <w:t>Weiter unterstehen Kapitalgewinne aus der Veräusserung von Finanzprodukten nicht der Erwerbssteuer, wenn sie als Bestandteil des Privatvermögens gehalten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7A70D4">
            <w:pPr>
              <w:pStyle w:val="CSbody0bold"/>
            </w:pPr>
            <w:r w:rsidRPr="005B5713">
              <w:rPr>
                <w:lang w:bidi="en-GB"/>
              </w:rPr>
              <w:t>Taxation of legal persons</w:t>
            </w:r>
          </w:p>
        </w:tc>
        <w:tc>
          <w:tcPr>
            <w:tcW w:w="2487" w:type="pct"/>
            <w:tcBorders>
              <w:left w:val="single" w:sz="4" w:space="0" w:color="auto"/>
            </w:tcBorders>
            <w:shd w:val="clear" w:color="auto" w:fill="auto"/>
          </w:tcPr>
          <w:p w:rsidR="0033731A" w:rsidRPr="005B5713" w:rsidP="007A70D4">
            <w:pPr>
              <w:pStyle w:val="CSbody0bold"/>
              <w:rPr>
                <w:lang w:val="de-CH"/>
              </w:rPr>
            </w:pPr>
            <w:bookmarkStart w:id="127" w:name="_Toc326910281"/>
            <w:r w:rsidRPr="005B5713">
              <w:rPr>
                <w:lang w:val="de-AT"/>
              </w:rPr>
              <w:t>Besteuerung juristischer Personen</w:t>
            </w:r>
            <w:bookmarkEnd w:id="127"/>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320DA8" w:rsidP="007A70D4">
            <w:pPr>
              <w:pStyle w:val="CSBody0"/>
            </w:pPr>
            <w:r w:rsidRPr="00320DA8">
              <w:t>Legal persons are subject to unlimited tax liability with regard to their total income if their domicile or effective place of management is in Liechtenstein (section 44 (1) SteG).</w:t>
            </w:r>
          </w:p>
        </w:tc>
        <w:tc>
          <w:tcPr>
            <w:tcW w:w="2487" w:type="pct"/>
            <w:tcBorders>
              <w:left w:val="single" w:sz="4" w:space="0" w:color="auto"/>
            </w:tcBorders>
            <w:shd w:val="clear" w:color="auto" w:fill="auto"/>
          </w:tcPr>
          <w:p w:rsidR="00A305A6" w:rsidRPr="00A305A6" w:rsidP="007A70D4">
            <w:pPr>
              <w:pStyle w:val="CSBody0"/>
              <w:rPr>
                <w:lang w:val="de-DE"/>
              </w:rPr>
            </w:pPr>
            <w:r w:rsidRPr="00A305A6">
              <w:rPr>
                <w:lang w:val="de-DE"/>
              </w:rPr>
              <w:t>Juristische Personen sind mit ihren gesamten Erträgen unbeschränkt steuerpflichtig, wenn sich ihr Sitz oder der Ort ihrer tatsächlichen Verwaltung in Liechtenstein befindet (Art. 44 Abs. 1 SteG).</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320DA8" w:rsidP="007A70D4">
            <w:pPr>
              <w:pStyle w:val="CSBody0"/>
            </w:pPr>
            <w:r w:rsidRPr="00320DA8">
              <w:t>Corporate income tax is levied on the annual taxable net corporate income, which is the total corporate income reduced by expenses incurred in the course of business (section 47 SteG). As income and capital gains on the financial products will be deemed part of the net corporate income, they are subject to corporate income tax.</w:t>
            </w:r>
          </w:p>
        </w:tc>
        <w:tc>
          <w:tcPr>
            <w:tcW w:w="2487" w:type="pct"/>
            <w:tcBorders>
              <w:left w:val="single" w:sz="4" w:space="0" w:color="auto"/>
            </w:tcBorders>
            <w:shd w:val="clear" w:color="auto" w:fill="auto"/>
          </w:tcPr>
          <w:p w:rsidR="00A305A6" w:rsidRPr="00A305A6" w:rsidP="007A70D4">
            <w:pPr>
              <w:pStyle w:val="CSBody0"/>
              <w:rPr>
                <w:lang w:val="de-DE"/>
              </w:rPr>
            </w:pPr>
            <w:r w:rsidRPr="00A305A6">
              <w:rPr>
                <w:lang w:val="de-DE"/>
              </w:rPr>
              <w:t>Gegenstand der Ertragssteuer ist der jährliche steuerpflichtige Reinertrag, der aus der Gesamtheit der um die geschäftsmässig begründeten Aufwendungen gekürzten Erträge besteht (Art. 47 SteG). Da Erträge und Kapitalgewinne aus den Finanzprodukten in den Reinertrag fliessen, unterliegen sie der Ertragssteuer.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320DA8">
            <w:pPr>
              <w:pStyle w:val="CSBody0"/>
            </w:pPr>
            <w:r w:rsidRPr="00320DA8">
              <w:t xml:space="preserve">Liechtenstein tax law permits the application of an equity capital interest deduction at a uniformly defined standardised target rate set at 4 per cent for fiscal year </w:t>
            </w:r>
            <w:r w:rsidRPr="00320DA8" w:rsidR="000A3688">
              <w:t>201</w:t>
            </w:r>
            <w:r w:rsidR="000A3688">
              <w:t>5</w:t>
            </w:r>
            <w:r w:rsidRPr="00320DA8" w:rsidR="000A3688">
              <w:t xml:space="preserve"> </w:t>
            </w:r>
            <w:r w:rsidRPr="00320DA8">
              <w:t>pursuant to section 2 of the Liechtenstein Financial Act (</w:t>
            </w:r>
            <w:r w:rsidRPr="007A70D4">
              <w:rPr>
                <w:i/>
              </w:rPr>
              <w:t>Finanzgesetz; FinG</w:t>
            </w:r>
            <w:r>
              <w:rPr>
                <w:rStyle w:val="FootnoteReference"/>
              </w:rPr>
              <w:footnoteReference w:id="26"/>
            </w:r>
            <w:r w:rsidRPr="00320DA8">
              <w:t xml:space="preserve">) on the </w:t>
            </w:r>
            <w:r w:rsidR="000A3688">
              <w:t xml:space="preserve">modified </w:t>
            </w:r>
            <w:r w:rsidRPr="00320DA8">
              <w:t>balance</w:t>
            </w:r>
            <w:r w:rsidR="000A3688">
              <w:t>-</w:t>
            </w:r>
            <w:r w:rsidRPr="00320DA8">
              <w:t>sheet equity capital adjusted by certain factors</w:t>
            </w:r>
            <w:r w:rsidR="005569F3">
              <w:t xml:space="preserve"> (section 54 SteG)</w:t>
            </w:r>
            <w:r w:rsidRPr="00320DA8">
              <w:t>. For tax purposes, the equity capital interest deduction is an expense incurred in the course of business which reduces the assessment basis for corporate income tax.</w:t>
            </w:r>
          </w:p>
        </w:tc>
        <w:tc>
          <w:tcPr>
            <w:tcW w:w="2487" w:type="pct"/>
            <w:tcBorders>
              <w:left w:val="single" w:sz="4" w:space="0" w:color="auto"/>
            </w:tcBorders>
            <w:shd w:val="clear" w:color="auto" w:fill="auto"/>
          </w:tcPr>
          <w:p w:rsidR="00A305A6" w:rsidRPr="00A305A6">
            <w:pPr>
              <w:pStyle w:val="CSBody0"/>
              <w:rPr>
                <w:lang w:val="de-DE"/>
              </w:rPr>
            </w:pPr>
            <w:r w:rsidRPr="00A305A6">
              <w:rPr>
                <w:lang w:val="de-DE"/>
              </w:rPr>
              <w:t>Das liechtensteinische Steuerrecht ermöglicht die Anwendung eines Eigenkapital-Zinsabzu</w:t>
            </w:r>
            <w:r>
              <w:rPr>
                <w:lang w:val="de-DE"/>
              </w:rPr>
              <w:t>gs in Höhe des einheitlich defi</w:t>
            </w:r>
            <w:r w:rsidRPr="00A305A6">
              <w:rPr>
                <w:lang w:val="de-DE"/>
              </w:rPr>
              <w:t>nierten standardisierten Sollertrags, der gemäss Art. 2 FinG</w:t>
            </w:r>
            <w:r>
              <w:rPr>
                <w:rStyle w:val="FootnoteReference"/>
                <w:lang w:val="de-DE"/>
              </w:rPr>
              <w:footnoteReference w:id="27"/>
            </w:r>
            <w:r w:rsidRPr="00A305A6">
              <w:rPr>
                <w:lang w:val="de-DE"/>
              </w:rPr>
              <w:t xml:space="preserve"> für das Steuerjahr </w:t>
            </w:r>
            <w:r w:rsidRPr="00A305A6" w:rsidR="000A3688">
              <w:rPr>
                <w:lang w:val="de-DE"/>
              </w:rPr>
              <w:t>201</w:t>
            </w:r>
            <w:r w:rsidR="000A3688">
              <w:rPr>
                <w:lang w:val="de-DE"/>
              </w:rPr>
              <w:t>5</w:t>
            </w:r>
            <w:r w:rsidRPr="00A305A6" w:rsidR="000A3688">
              <w:rPr>
                <w:lang w:val="de-DE"/>
              </w:rPr>
              <w:t xml:space="preserve"> </w:t>
            </w:r>
            <w:r w:rsidRPr="00A305A6">
              <w:rPr>
                <w:lang w:val="de-DE"/>
              </w:rPr>
              <w:t xml:space="preserve">mit 4% festgelegt ist, auf das bilanzielle, um bestimmte Faktoren bereinigte, </w:t>
            </w:r>
            <w:r w:rsidR="000A3688">
              <w:rPr>
                <w:lang w:val="de-DE"/>
              </w:rPr>
              <w:t xml:space="preserve">modifizierte </w:t>
            </w:r>
            <w:r w:rsidRPr="00A305A6">
              <w:rPr>
                <w:lang w:val="de-DE"/>
              </w:rPr>
              <w:t>Eigenkapital</w:t>
            </w:r>
            <w:r w:rsidR="005569F3">
              <w:rPr>
                <w:lang w:val="de-DE"/>
              </w:rPr>
              <w:t xml:space="preserve"> (Art. 54 SteG)</w:t>
            </w:r>
            <w:r w:rsidRPr="00A305A6">
              <w:rPr>
                <w:lang w:val="de-DE"/>
              </w:rPr>
              <w:t>. Der Eigenkapital-Zinsabzug ist steuerlich e</w:t>
            </w:r>
            <w:r w:rsidR="001D2309">
              <w:rPr>
                <w:lang w:val="de-DE"/>
              </w:rPr>
              <w:t>ine geschäftsmässig be</w:t>
            </w:r>
            <w:r w:rsidRPr="00A305A6">
              <w:rPr>
                <w:lang w:val="de-DE"/>
              </w:rPr>
              <w:t>gründete Aufwendung, die die Bemessungsgrundlage für die Ertragssteuer mindert.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320DA8" w:rsidP="007A70D4">
            <w:pPr>
              <w:pStyle w:val="CSBody0"/>
            </w:pPr>
            <w:r w:rsidRPr="00320DA8">
              <w:t>The corporate income tax rate amounts to 12.5 per cent of taxable net corporate income</w:t>
            </w:r>
            <w:r w:rsidR="005569F3">
              <w:t xml:space="preserve"> (section 61 SteG)</w:t>
            </w:r>
            <w:r w:rsidRPr="00320DA8">
              <w:t>.</w:t>
            </w:r>
          </w:p>
        </w:tc>
        <w:tc>
          <w:tcPr>
            <w:tcW w:w="2487" w:type="pct"/>
            <w:tcBorders>
              <w:left w:val="single" w:sz="4" w:space="0" w:color="auto"/>
            </w:tcBorders>
            <w:shd w:val="clear" w:color="auto" w:fill="auto"/>
          </w:tcPr>
          <w:p w:rsidR="00A305A6" w:rsidRPr="00A305A6" w:rsidP="007A70D4">
            <w:pPr>
              <w:pStyle w:val="CSBody0"/>
              <w:rPr>
                <w:lang w:val="de-DE"/>
              </w:rPr>
            </w:pPr>
            <w:r w:rsidRPr="00A305A6">
              <w:rPr>
                <w:lang w:val="de-DE"/>
              </w:rPr>
              <w:t>Der Ertragssteuersatz beträgt 12,5% des steuerpflichtigen Reinertrags</w:t>
            </w:r>
            <w:r w:rsidR="005569F3">
              <w:rPr>
                <w:lang w:val="de-DE"/>
              </w:rPr>
              <w:t xml:space="preserve"> (Art. 61 SteG)</w:t>
            </w:r>
            <w:r w:rsidRPr="00A305A6">
              <w:rPr>
                <w:lang w:val="de-DE"/>
              </w:rPr>
              <w: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6463E" w:rsidP="007A70D4">
            <w:pPr>
              <w:pStyle w:val="CSbody0bold"/>
              <w:rPr>
                <w:lang w:val="en-GB"/>
              </w:rPr>
            </w:pPr>
            <w:r w:rsidRPr="0046463E">
              <w:rPr>
                <w:lang w:val="en-GB" w:bidi="en-GB"/>
              </w:rPr>
              <w:t>Private asset structures and domiciliary companies</w:t>
            </w:r>
          </w:p>
        </w:tc>
        <w:tc>
          <w:tcPr>
            <w:tcW w:w="2487" w:type="pct"/>
            <w:tcBorders>
              <w:left w:val="single" w:sz="4" w:space="0" w:color="auto"/>
            </w:tcBorders>
            <w:shd w:val="clear" w:color="auto" w:fill="auto"/>
          </w:tcPr>
          <w:p w:rsidR="0033731A" w:rsidRPr="005B5713" w:rsidP="007A70D4">
            <w:pPr>
              <w:pStyle w:val="CSbody0bold"/>
              <w:rPr>
                <w:lang w:val="de-CH"/>
              </w:rPr>
            </w:pPr>
            <w:bookmarkStart w:id="128" w:name="_Toc326910282"/>
            <w:r w:rsidRPr="005B5713">
              <w:rPr>
                <w:lang w:val="de-AT"/>
              </w:rPr>
              <w:t>Privatvermögensstrukturen und Sitzgesellschaften</w:t>
            </w:r>
            <w:bookmarkEnd w:id="128"/>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972681" w:rsidP="007A70D4">
            <w:pPr>
              <w:pStyle w:val="CSBody0"/>
            </w:pPr>
            <w:r w:rsidRPr="00972681">
              <w:t>Legal persons which for tax purposes are deemed private asset structures are merely subject to minimum corporate income tax (section 62 SteG). Any interest income from notes is not separately taxed in this case.</w:t>
            </w:r>
          </w:p>
        </w:tc>
        <w:tc>
          <w:tcPr>
            <w:tcW w:w="2487" w:type="pct"/>
            <w:tcBorders>
              <w:left w:val="single" w:sz="4" w:space="0" w:color="auto"/>
            </w:tcBorders>
            <w:shd w:val="clear" w:color="auto" w:fill="auto"/>
          </w:tcPr>
          <w:p w:rsidR="00A305A6" w:rsidRPr="00F947F4" w:rsidP="007A70D4">
            <w:pPr>
              <w:pStyle w:val="CSBody0"/>
              <w:rPr>
                <w:lang w:val="de-DE"/>
              </w:rPr>
            </w:pPr>
            <w:r w:rsidRPr="00A305A6">
              <w:rPr>
                <w:lang w:val="de-DE"/>
              </w:rPr>
              <w:t xml:space="preserve">Juristische Personen, die – steuerrechtlich betrachtet – Privatvermögensstrukturen sind, unterliegen bloss der Mindestertragssteuer (Art. 62 SteG). </w:t>
            </w:r>
            <w:r w:rsidRPr="00F947F4">
              <w:rPr>
                <w:lang w:val="de-DE"/>
              </w:rPr>
              <w:t>Zinserträge aus Schuldverschreibungen werden diesfalls nicht eigens versteuert.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A94AC3" w:rsidP="00A305A6">
            <w:pPr>
              <w:pStyle w:val="CSbody0bold"/>
            </w:pPr>
            <w:r>
              <w:t>Securities transfer stamp tax</w:t>
            </w:r>
            <w:r>
              <w:rPr>
                <w:rStyle w:val="FootnoteReference"/>
              </w:rPr>
              <w:footnoteReference w:id="28"/>
            </w:r>
          </w:p>
        </w:tc>
        <w:tc>
          <w:tcPr>
            <w:tcW w:w="2487" w:type="pct"/>
            <w:tcBorders>
              <w:left w:val="single" w:sz="4" w:space="0" w:color="auto"/>
            </w:tcBorders>
            <w:shd w:val="clear" w:color="auto" w:fill="auto"/>
          </w:tcPr>
          <w:p w:rsidR="00A305A6" w:rsidRPr="00A94AC3" w:rsidP="00A305A6">
            <w:pPr>
              <w:pStyle w:val="CSbody0bold"/>
            </w:pPr>
            <w:r>
              <w:t>Umsatzabgabe</w:t>
            </w:r>
            <w:r>
              <w:rPr>
                <w:rStyle w:val="FootnoteReference"/>
              </w:rPr>
              <w:footnoteReference w:id="29"/>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A94AC3" w:rsidP="007A70D4">
            <w:pPr>
              <w:pStyle w:val="CSBody0"/>
            </w:pPr>
            <w:r w:rsidRPr="00A94AC3">
              <w:t>The non-gratuitous transfer of title to bonds, stocks, shares in limited liability companies, share certificates in cooperative societies, participation certificates, certificates of beneficial interest and shares in undertakings for collective investments issued by a domestic issuer triggers securities transfer stamp tax if one of the contracting parties or one of the intermediaries is a Swiss or Liechtenstein securities dealer. Securities transfer stamp tax is also levied on instruments issued by a foreign issuer and the financial function of which is equivalent to the above instruments.</w:t>
            </w:r>
          </w:p>
        </w:tc>
        <w:tc>
          <w:tcPr>
            <w:tcW w:w="2487" w:type="pct"/>
            <w:tcBorders>
              <w:left w:val="single" w:sz="4" w:space="0" w:color="auto"/>
            </w:tcBorders>
            <w:shd w:val="clear" w:color="auto" w:fill="auto"/>
          </w:tcPr>
          <w:p w:rsidR="00A305A6" w:rsidRPr="00A305A6" w:rsidP="0012714D">
            <w:pPr>
              <w:pStyle w:val="CSBody0"/>
              <w:rPr>
                <w:lang w:val="de-DE"/>
              </w:rPr>
            </w:pPr>
            <w:r w:rsidRPr="00A305A6">
              <w:rPr>
                <w:lang w:val="de-DE"/>
              </w:rPr>
              <w:t>Auf die entgeltliche Übertragung von Eigentum an von einem Inländer ausgegebenen Obligationen, Aktien, Stammanteilen von Gesellschaften mit beschränkter Haftung, Anteilsscheinen von Genossenschaften, Par</w:t>
            </w:r>
            <w:r w:rsidR="0012714D">
              <w:rPr>
                <w:lang w:val="de-DE"/>
              </w:rPr>
              <w:t>tizipationsscheinen, Genusschei</w:t>
            </w:r>
            <w:r w:rsidRPr="00A305A6">
              <w:rPr>
                <w:lang w:val="de-DE"/>
              </w:rPr>
              <w:t>nen, Anteilen an kollektiven Kapitalanlagen ist die Umsatz</w:t>
            </w:r>
            <w:r w:rsidR="007869BB">
              <w:rPr>
                <w:lang w:val="de-DE"/>
              </w:rPr>
              <w:t>ab</w:t>
            </w:r>
            <w:r w:rsidRPr="00A305A6">
              <w:rPr>
                <w:lang w:val="de-DE"/>
              </w:rPr>
              <w:t>gabe abzuführen, sofern eine der Vertragsparteien oder einer der Vermittler ein schweizerischer oder liechtensteinischer Effektenhändler ist. Ebenso ist für die von einem Ausländer ausgegebenen Urkunden, die in ihrer wirtschaftlichen Funktion den vorerwähnten Titeln gleichstehen, die Umsatzabgabe abzuführen.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D66ACC" w:rsidP="007A70D4">
            <w:pPr>
              <w:pStyle w:val="CSBody0"/>
            </w:pPr>
            <w:r w:rsidRPr="00D66ACC">
              <w:t xml:space="preserve">In general, however, the issue of and trading in pure derivatives is exempt from securities transfer stamp tax. Certificates are as a rule no taxable instruments within the meaning of stamp tax law. With regard to the taxation of socalled combined products, </w:t>
            </w:r>
            <w:r w:rsidRPr="007E3558" w:rsidR="007E3558">
              <w:rPr>
                <w:i/>
              </w:rPr>
              <w:t>i.e.</w:t>
            </w:r>
            <w:r w:rsidRPr="00D66ACC">
              <w:t xml:space="preserve"> including capital guarantee derivatives and non-traditional warrant-linked and convertible bonds, it is relevant whether or not the product is a socalled transparent or non-transparent product. A product is deemed transparent, for instance, if at the time of its issue the components underlying the instrument (bond and derivative financial instruments) are separable and are actually traded separately. Trading in domestic and foreign non-transparent instruments is subject to securities transfer stamp tax just like ordinary bonds. Securities transfer stamp tax is also due in the case of transparent instruments, however, if the settlement (future) or exercise (option) leads to a delivery (transfer of title) of taxable instruments.</w:t>
            </w:r>
          </w:p>
        </w:tc>
        <w:tc>
          <w:tcPr>
            <w:tcW w:w="2487" w:type="pct"/>
            <w:tcBorders>
              <w:left w:val="single" w:sz="4" w:space="0" w:color="auto"/>
            </w:tcBorders>
            <w:shd w:val="clear" w:color="auto" w:fill="auto"/>
          </w:tcPr>
          <w:p w:rsidR="00A305A6" w:rsidRPr="00A305A6" w:rsidP="007A70D4">
            <w:pPr>
              <w:pStyle w:val="CSBody0"/>
              <w:rPr>
                <w:lang w:val="de-DE"/>
              </w:rPr>
            </w:pPr>
            <w:r w:rsidRPr="00A305A6">
              <w:rPr>
                <w:lang w:val="de-DE"/>
              </w:rPr>
              <w:t>Im Allgemeinen ist die Ausgabe von und der Handel mit reinen Derivaten jedoch umsatzabgabefrei. Zertifikate sind grundsätzlich keine steuerbaren Urkunden im Sinne des Stempelabgaberechts. Für die Besteuerung von sog. kombinierten Produkten, und damit auch von kapitalgarantierten Derivaten sowie von nicht klassischen Options- und Wandelanleihen, ist massgebend, ob es sich um ein sog. transparentes oder um ein nicht transparentes Produkt handelt. Als transparent gilt ein Produkt etwa, wenn bei Emission die dem Instrument zugrundeliegenden Komponenten (Obligation und derivative Finanzinstrumente) trennbar sind und tatsächlich separat gehandelt werden. Der Handel mit in- und ausländischen, nicht transparenten Instrumenten unterliegt wie gewöhnliche Obligationen der Umsatzabgabe. Auch bei transparenten Instrumenten ist die Umsatzabgabe allerdings dann geschuldet, wenn die Erfüllung (Future) oder Ausübung (Option) zu einer Lieferung (Eigentumsübertragung) von steuerbaren Urkunden führt.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5B5713">
            <w:pPr>
              <w:pStyle w:val="CSBody0"/>
              <w:rPr>
                <w:b/>
                <w:lang w:val="de-DE"/>
              </w:rPr>
            </w:pPr>
            <w:r w:rsidRPr="005B5713">
              <w:rPr>
                <w:b/>
                <w:lang w:val="de-DE" w:bidi="en-GB"/>
              </w:rPr>
              <w:t>EU Savings Tax</w:t>
            </w:r>
          </w:p>
        </w:tc>
        <w:tc>
          <w:tcPr>
            <w:tcW w:w="2487" w:type="pct"/>
            <w:tcBorders>
              <w:left w:val="single" w:sz="4" w:space="0" w:color="auto"/>
            </w:tcBorders>
            <w:shd w:val="clear" w:color="auto" w:fill="auto"/>
          </w:tcPr>
          <w:p w:rsidR="0033731A" w:rsidRPr="005B5713" w:rsidP="00E60155">
            <w:pPr>
              <w:pStyle w:val="CSBody0"/>
              <w:rPr>
                <w:b/>
                <w:lang w:val="de-CH"/>
              </w:rPr>
            </w:pPr>
            <w:bookmarkStart w:id="129" w:name="_Toc326910284"/>
            <w:r w:rsidRPr="005B5713">
              <w:rPr>
                <w:b/>
                <w:lang w:val="de-AT"/>
              </w:rPr>
              <w:t>EU-Zinsbesteuerung</w:t>
            </w:r>
            <w:bookmarkEnd w:id="129"/>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286355" w:rsidP="007A70D4">
            <w:pPr>
              <w:pStyle w:val="CSBody0"/>
            </w:pPr>
            <w:r w:rsidRPr="00286355">
              <w:t>If the recipient of income is a natural person who is resident in an EU member state and receives an interest payment by a Liechtenstein paying agent, withholding tax at a rate of 35 per cent is withheld.</w:t>
            </w:r>
          </w:p>
        </w:tc>
        <w:tc>
          <w:tcPr>
            <w:tcW w:w="2487" w:type="pct"/>
            <w:tcBorders>
              <w:left w:val="single" w:sz="4" w:space="0" w:color="auto"/>
            </w:tcBorders>
            <w:shd w:val="clear" w:color="auto" w:fill="auto"/>
          </w:tcPr>
          <w:p w:rsidR="00A305A6" w:rsidRPr="00A305A6" w:rsidP="007A70D4">
            <w:pPr>
              <w:pStyle w:val="CSBody0"/>
              <w:rPr>
                <w:lang w:val="de-DE"/>
              </w:rPr>
            </w:pPr>
            <w:r w:rsidRPr="00A305A6">
              <w:rPr>
                <w:lang w:val="de-DE"/>
              </w:rPr>
              <w:t>Wenn der Empfänger von Erträgen eine natürliche Person mit Wohnsitz in einem Mitgliedstaat der EU ist und eine Zinszahlung von einer liechtensteinischen Zahlstelle erhält, so wird eine Quellensteuer in Höhe von 35% zurück behalten.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286355" w:rsidP="007A70D4">
            <w:pPr>
              <w:pStyle w:val="CSBody0"/>
            </w:pPr>
            <w:r w:rsidRPr="00286355">
              <w:t>Pursuant to section 3 of the Liechtenstein Act on the Taxation of Savings Income (</w:t>
            </w:r>
            <w:r w:rsidRPr="007A70D4">
              <w:rPr>
                <w:i/>
              </w:rPr>
              <w:t>Zinsbesteuerungsgesetz</w:t>
            </w:r>
            <w:r w:rsidRPr="00286355">
              <w:t>; ZBStG) in conjunction with Art. 6 of the Agreement between the European Community and the Principality of Liechtenstein providing for measures equivalent to those laid down in Council Directive 2003/48/EC on taxation of savings income in the form of interest payments, "paying agent" in Liechtenstein means banks under Liechtenstein banking law, securities dealers, natural and legal persons resident or established in Liechtenstein including economic operators regulated by the Liechtenstein Persons and Companies Act (</w:t>
            </w:r>
            <w:r w:rsidRPr="007A70D4">
              <w:rPr>
                <w:i/>
              </w:rPr>
              <w:t>Personen- und Gesellschaftsrecht</w:t>
            </w:r>
            <w:r w:rsidRPr="00286355">
              <w:t>; PGR), partnerships and permanent establishments of foreign companies, which even occasionally accept, hold, invest or transfer assets of third parties or merely pay interest or secure the payment of interest in the course of their business.</w:t>
            </w:r>
          </w:p>
        </w:tc>
        <w:tc>
          <w:tcPr>
            <w:tcW w:w="2487" w:type="pct"/>
            <w:tcBorders>
              <w:left w:val="single" w:sz="4" w:space="0" w:color="auto"/>
            </w:tcBorders>
            <w:shd w:val="clear" w:color="auto" w:fill="auto"/>
          </w:tcPr>
          <w:p w:rsidR="00A305A6" w:rsidRPr="00A305A6" w:rsidP="007A70D4">
            <w:pPr>
              <w:pStyle w:val="CSBody0"/>
              <w:rPr>
                <w:lang w:val="de-DE"/>
              </w:rPr>
            </w:pPr>
            <w:r w:rsidRPr="00A305A6">
              <w:rPr>
                <w:lang w:val="de-DE"/>
              </w:rPr>
              <w:t>Als Zahlstelle in Liechtenstein gelten gemäss Art. 3 ZBStG iVm Art. 6 des Abkommens zwischen dem Fürstentum Liechtenstein und der Europäischen Gemeinschaft über Regelungen, die denen der RL 2003/48/EG des Rates über die Besteuerung von Zinserträgen gleichwertig sind, Banken nach dem liechtensteinischen Bankengesetz, "Wertpapierhändler", in Liechtenstein ansässige bzw. errichtete natürliche und juristische Personen einschliesslich Wirtschaftsbeteiligte nach dem liechtensteinischen Personen</w:t>
            </w:r>
            <w:r w:rsidR="00F947F4">
              <w:rPr>
                <w:lang w:val="de-DE"/>
              </w:rPr>
              <w:t>-</w:t>
            </w:r>
            <w:r w:rsidRPr="00A305A6">
              <w:rPr>
                <w:lang w:val="de-DE"/>
              </w:rPr>
              <w:t xml:space="preserve"> und Gesellschaftsrecht (PGR), Personengesellschaften und Betriebsstätten ausländischer Gesellschaften, die im Rahmen ihrer Geschäftstätigkeit regelmässig oder gelegentlich Vermögenswerte von Dritten entgegennehmen, halten, anlegen oder übertragen oder lediglich Zinsen zahlen oder die Zinszahlungen absichern.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286355" w:rsidP="0012714D">
            <w:pPr>
              <w:pStyle w:val="CSBody0"/>
            </w:pPr>
            <w:r w:rsidRPr="00286355">
              <w:t>A broad definition of the term interest has been adopted, comprising both interest directly relating to debtclaims (direct interest) and interest income indirectly derived through certain undertakings for collective investments (investment funds) (indirect interest). "Interest" means interest paid, or credited to an account, relating to debt</w:t>
            </w:r>
            <w:r w:rsidR="00F947F4">
              <w:t>-</w:t>
            </w:r>
            <w:r w:rsidRPr="00286355">
              <w:t>claims of every kind. This includes in particular interest paid on fiduciary deposits, income from government securities, income from bonds or debentures, including premiums and prizes attaching to such securities. The term also covers interest accrued or capitalised on the sale, refund or redemption of debt-claims. This includes in particular the discount component of discount securities, the difference between the issue price and the redemption price in the case of bonds repayable above par and, in the case of transfer of title, interest accrued on periodic interest.</w:t>
            </w:r>
          </w:p>
        </w:tc>
        <w:tc>
          <w:tcPr>
            <w:tcW w:w="2487" w:type="pct"/>
            <w:tcBorders>
              <w:left w:val="single" w:sz="4" w:space="0" w:color="auto"/>
            </w:tcBorders>
            <w:shd w:val="clear" w:color="auto" w:fill="auto"/>
          </w:tcPr>
          <w:p w:rsidR="00A305A6" w:rsidRPr="00A305A6" w:rsidP="0012714D">
            <w:pPr>
              <w:pStyle w:val="CSBody0"/>
              <w:rPr>
                <w:lang w:val="de-DE"/>
              </w:rPr>
            </w:pPr>
            <w:r w:rsidRPr="00A305A6">
              <w:rPr>
                <w:lang w:val="de-DE"/>
              </w:rPr>
              <w:t>Der Zinsbegriff ist weit gefasst und umfasst sowohl direkt mit Forderungen zusammenhängende erzielte Zinsen (direkte Zinsen) wie auch indirekt über Investments in bestimmte kollektive Anlagen (Anlagefonds) erzielte Zinserträge (indirekte Zinsen). Als "Zinsen" gelten ausbezahlte oder einem Konto gutgeschriebene Zinsen, die mit Forderungen jeglicher Art zusammenhängen. Dazu gehören insbesondere Zinsen auf Treuhandanlagen, Erträge aus Staatspapieren, Anleihen und Schuldverschreibungen einschliesslich allenfalls mit diesen Papieren verbundene Prämien und Gewinne. Ebenfalls erfasst werden bei Verkauf, Rückzahlung oder Einlösung von Forderungen aufgelaufene oder kapitalisierte Zinsen. Darunter fallen insbesondere die Diskontkomponente bei Diskontpapieren, bei über pari rückzahlbaren Obligationen die Differenz zwischen Ausgabe- und Rückzahlungspreis sowie die bei Handänderungen erzielten Marchzinsen auf periodischen Zinsen.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286355" w:rsidP="0012714D">
            <w:pPr>
              <w:pStyle w:val="CSBody0"/>
            </w:pPr>
            <w:r w:rsidRPr="00286355">
              <w:t>The term interest does not include payments on participation rights (dividends), payments under insurance policies, payments made by pension schemes and further payments made other than under a loan debt relationship.</w:t>
            </w:r>
          </w:p>
        </w:tc>
        <w:tc>
          <w:tcPr>
            <w:tcW w:w="2487" w:type="pct"/>
            <w:tcBorders>
              <w:left w:val="single" w:sz="4" w:space="0" w:color="auto"/>
            </w:tcBorders>
            <w:shd w:val="clear" w:color="auto" w:fill="auto"/>
          </w:tcPr>
          <w:p w:rsidR="00A305A6" w:rsidRPr="00A305A6" w:rsidP="0012714D">
            <w:pPr>
              <w:pStyle w:val="CSBody0"/>
              <w:rPr>
                <w:lang w:val="de-DE"/>
              </w:rPr>
            </w:pPr>
            <w:r w:rsidRPr="00A305A6">
              <w:rPr>
                <w:lang w:val="de-DE"/>
              </w:rPr>
              <w:t>Nicht unter den Begriff der Zinsen fallen Zahlungen auf Beteiligungsrechten (Dividenden), Auszahlungen aus Versicherungspolicen, Leistungen von Vorsorgeeinrichtungen sowie weitere Leistungen, denen kein Darlehensschuldverhältnis zu Grunde liegt.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5B5713">
            <w:pPr>
              <w:pStyle w:val="CSBody0"/>
              <w:rPr>
                <w:b/>
                <w:bCs/>
                <w:lang w:val="de-DE"/>
              </w:rPr>
            </w:pPr>
            <w:r w:rsidRPr="005B5713">
              <w:rPr>
                <w:b/>
              </w:rPr>
              <w:t>Luxembourg</w:t>
            </w:r>
          </w:p>
        </w:tc>
        <w:tc>
          <w:tcPr>
            <w:tcW w:w="2487" w:type="pct"/>
            <w:tcBorders>
              <w:left w:val="single" w:sz="4" w:space="0" w:color="auto"/>
            </w:tcBorders>
            <w:shd w:val="clear" w:color="auto" w:fill="auto"/>
          </w:tcPr>
          <w:p w:rsidR="0033731A" w:rsidRPr="005B5713" w:rsidP="00E60155">
            <w:pPr>
              <w:pStyle w:val="CSBody0"/>
              <w:rPr>
                <w:b/>
                <w:lang w:val="de-CH"/>
              </w:rPr>
            </w:pPr>
            <w:r w:rsidRPr="005B5713">
              <w:rPr>
                <w:b/>
              </w:rPr>
              <w:t>Luxemburg</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E2020D" w:rsidP="0012714D">
            <w:pPr>
              <w:pStyle w:val="CSBody0"/>
            </w:pPr>
            <w:r w:rsidRPr="00E2020D">
              <w:t>The following information is of a general nature only and is based on the laws presently in force in Luxembourg, though it is not intended to be, nor should it be construed to be, legal or tax advice. The information contained within this section is limited to Luxembourg withholding tax issues and prospective investors in the Complex Products should therefore consult their own professional advisers as to the effects of state, local or foreign laws, including Luxembourg tax law, to which they may be subject</w:t>
            </w:r>
          </w:p>
        </w:tc>
        <w:tc>
          <w:tcPr>
            <w:tcW w:w="2487" w:type="pct"/>
            <w:tcBorders>
              <w:left w:val="single" w:sz="4" w:space="0" w:color="auto"/>
            </w:tcBorders>
            <w:shd w:val="clear" w:color="auto" w:fill="auto"/>
          </w:tcPr>
          <w:p w:rsidR="00A305A6" w:rsidRPr="00A305A6" w:rsidP="0012714D">
            <w:pPr>
              <w:pStyle w:val="CSBody0"/>
              <w:rPr>
                <w:lang w:val="de-DE"/>
              </w:rPr>
            </w:pPr>
            <w:r w:rsidRPr="00090AA1">
              <w:rPr>
                <w:lang w:val="de-DE"/>
              </w:rPr>
              <w:t>Die folgenden Informationen sind lediglich allgemeiner Natur und beruhen auf dem derzeit in Luxemburg geltenden Recht, stellen jedoch weder eine rechtliche noch eine steuerliche Beratung dar und sind auch nicht als solche auszulegen. Potenzielle Erwerber der Komplexen Produkten sollten daher hinsichtlich der Auswirkungen nationaler, örtlicher oder ausländischer gesetzlicher Vorschriften einschliesslich der Bestimmungen des luxemburgischen Steuerrechts, die gegebenenfalls auf sie Anwendung finden, den Rat eigener professioneller Berater einholen.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E2020D" w:rsidP="0012714D">
            <w:pPr>
              <w:pStyle w:val="CSBody0"/>
            </w:pPr>
            <w:r w:rsidRPr="00E2020D">
              <w:t>Please be aware that the residence concept used under the respective headings below applies for Luxembourg income tax assessment purposes only. Any reference in the present section to a withholding tax or a tax of a similar nature, or to any other concepts, refers to Luxembourg tax law and/or concepts only.</w:t>
            </w:r>
          </w:p>
        </w:tc>
        <w:tc>
          <w:tcPr>
            <w:tcW w:w="2487" w:type="pct"/>
            <w:tcBorders>
              <w:left w:val="single" w:sz="4" w:space="0" w:color="auto"/>
            </w:tcBorders>
            <w:shd w:val="clear" w:color="auto" w:fill="auto"/>
          </w:tcPr>
          <w:p w:rsidR="00A305A6" w:rsidRPr="00A305A6" w:rsidP="0012714D">
            <w:pPr>
              <w:pStyle w:val="CSBody0"/>
              <w:rPr>
                <w:lang w:val="de-DE"/>
              </w:rPr>
            </w:pPr>
            <w:r w:rsidRPr="00090AA1">
              <w:rPr>
                <w:lang w:val="de-DE"/>
              </w:rPr>
              <w:t>Bitte beachten Sie, dass das unter den folgenden Überschriften verwendete Konzept der Ansässigkeit lediglich auf die Veranlagung unter der luxemburgischen Einkommensteuer anwendbar ist. Sämtliche Verweise in diesem Teil auf Steuern, Abgaben, Gebühren, Erhebungen, oder Auflagen oder ähnliche Einbehaltungen oder sonstige Konzepte, beziehen sich ausschliesslich auf luxemburgische steuerliche Gesetze und/oder Konzepte unter Ausschluss aller anderen Gesetzten und Konzepten.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12714D">
            <w:pPr>
              <w:pStyle w:val="CSbody0bold"/>
            </w:pPr>
            <w:r w:rsidRPr="005B5713">
              <w:t>Withholding Tax</w:t>
            </w:r>
          </w:p>
        </w:tc>
        <w:tc>
          <w:tcPr>
            <w:tcW w:w="2487" w:type="pct"/>
            <w:tcBorders>
              <w:left w:val="single" w:sz="4" w:space="0" w:color="auto"/>
            </w:tcBorders>
            <w:shd w:val="clear" w:color="auto" w:fill="auto"/>
          </w:tcPr>
          <w:p w:rsidR="0033731A" w:rsidRPr="005B5713" w:rsidP="0012714D">
            <w:pPr>
              <w:pStyle w:val="CSbody0bold"/>
              <w:rPr>
                <w:lang w:val="de-CH"/>
              </w:rPr>
            </w:pPr>
            <w:r w:rsidRPr="005B5713">
              <w:t>Quellensteuer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185FD9" w:rsidP="0012714D">
            <w:pPr>
              <w:pStyle w:val="CSManNum9pt"/>
              <w:rPr>
                <w:b/>
              </w:rPr>
            </w:pPr>
            <w:r w:rsidRPr="00185FD9">
              <w:rPr>
                <w:b/>
              </w:rPr>
              <w:t>(i)</w:t>
            </w:r>
            <w:r w:rsidRPr="00185FD9" w:rsidR="0012714D">
              <w:rPr>
                <w:b/>
              </w:rPr>
              <w:tab/>
            </w:r>
            <w:r w:rsidRPr="00185FD9">
              <w:rPr>
                <w:b/>
              </w:rPr>
              <w:t>Non-resident holders of Complex Products</w:t>
            </w:r>
          </w:p>
        </w:tc>
        <w:tc>
          <w:tcPr>
            <w:tcW w:w="2487" w:type="pct"/>
            <w:tcBorders>
              <w:left w:val="single" w:sz="4" w:space="0" w:color="auto"/>
            </w:tcBorders>
            <w:shd w:val="clear" w:color="auto" w:fill="auto"/>
          </w:tcPr>
          <w:p w:rsidR="00A305A6" w:rsidRPr="00185FD9" w:rsidP="0012714D">
            <w:pPr>
              <w:pStyle w:val="CSManNum9pt"/>
              <w:rPr>
                <w:b/>
                <w:lang w:val="de-DE"/>
              </w:rPr>
            </w:pPr>
            <w:r w:rsidRPr="00185FD9">
              <w:rPr>
                <w:b/>
                <w:lang w:val="de-DE"/>
              </w:rPr>
              <w:t>(i)</w:t>
            </w:r>
            <w:r w:rsidRPr="00185FD9" w:rsidR="0012714D">
              <w:rPr>
                <w:b/>
                <w:lang w:val="de-DE"/>
              </w:rPr>
              <w:tab/>
            </w:r>
            <w:r w:rsidRPr="00185FD9">
              <w:rPr>
                <w:b/>
                <w:lang w:val="de-DE"/>
              </w:rPr>
              <w:t>Nicht in Luxemburg ansässige Inhaber von Komplexen Produkten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1E049C">
            <w:pPr>
              <w:pStyle w:val="CSBody0"/>
            </w:pPr>
            <w:r w:rsidRPr="0012714D">
              <w:t xml:space="preserve">Under Luxembourg general tax laws currently in force </w:t>
            </w:r>
            <w:r w:rsidRPr="001E049C">
              <w:t>there is no withholding tax on payments of principal, premium or interest made to nonresident holders of Complex Products, nor on accrued but unpaid interest in respect of the Complex Products, nor is any Luxembourg with-holding tax payable upon redemption or repurchase of the Complex Products held by non-resident holders of Complex Products.</w:t>
            </w:r>
          </w:p>
        </w:tc>
        <w:tc>
          <w:tcPr>
            <w:tcW w:w="2487" w:type="pct"/>
            <w:tcBorders>
              <w:left w:val="single" w:sz="4" w:space="0" w:color="auto"/>
            </w:tcBorders>
            <w:shd w:val="clear" w:color="auto" w:fill="auto"/>
          </w:tcPr>
          <w:p w:rsidR="00A305A6" w:rsidRPr="00A305A6" w:rsidP="0012714D">
            <w:pPr>
              <w:pStyle w:val="CSBody0"/>
              <w:rPr>
                <w:lang w:val="de-DE"/>
              </w:rPr>
            </w:pPr>
            <w:r w:rsidRPr="00090AA1">
              <w:rPr>
                <w:lang w:val="de-DE"/>
              </w:rPr>
              <w:t>Nach den derzeit allgemein geltenden Vorschriften des luxemburgischen Steuerrechts wird eine Quellensteuer grundsätzlich weder auf Kapitalbeträge, Prämien oder Zinsen, die an nicht in Luxemburg ansässige Inhaber von Komplexen Produkten gezahlt werden, noch auf aufgelaufene, aber nicht gezahlte Zinsen auf die Komplexen Produkte erhoben. Auch die Rückzahlung oder der Rückkauf von Komplexen Produkten, deren Inhaber nicht in Luxemburg ansässig sind, unterliegt in Luxemburg grundsätzlich keiner Quellensteuer.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185FD9" w:rsidP="0012714D">
            <w:pPr>
              <w:pStyle w:val="CSManNum9pt"/>
              <w:rPr>
                <w:b/>
              </w:rPr>
            </w:pPr>
            <w:r w:rsidRPr="00185FD9">
              <w:rPr>
                <w:b/>
              </w:rPr>
              <w:t>(ii)</w:t>
            </w:r>
            <w:r w:rsidRPr="00185FD9" w:rsidR="0012714D">
              <w:rPr>
                <w:b/>
              </w:rPr>
              <w:tab/>
            </w:r>
            <w:r w:rsidRPr="00185FD9">
              <w:rPr>
                <w:b/>
              </w:rPr>
              <w:t>Resident holders of Complex Products</w:t>
            </w:r>
          </w:p>
        </w:tc>
        <w:tc>
          <w:tcPr>
            <w:tcW w:w="2487" w:type="pct"/>
            <w:tcBorders>
              <w:left w:val="single" w:sz="4" w:space="0" w:color="auto"/>
            </w:tcBorders>
            <w:shd w:val="clear" w:color="auto" w:fill="auto"/>
          </w:tcPr>
          <w:p w:rsidR="00A305A6" w:rsidRPr="00185FD9" w:rsidP="0012714D">
            <w:pPr>
              <w:pStyle w:val="CSManNum9pt"/>
              <w:rPr>
                <w:b/>
                <w:lang w:val="de-DE"/>
              </w:rPr>
            </w:pPr>
            <w:r w:rsidRPr="00185FD9">
              <w:rPr>
                <w:b/>
                <w:lang w:val="de-DE"/>
              </w:rPr>
              <w:t>(ii)</w:t>
            </w:r>
            <w:r w:rsidRPr="00185FD9" w:rsidR="0012714D">
              <w:rPr>
                <w:b/>
                <w:lang w:val="de-DE"/>
              </w:rPr>
              <w:tab/>
            </w:r>
            <w:r w:rsidRPr="00185FD9">
              <w:rPr>
                <w:b/>
                <w:lang w:val="de-DE"/>
              </w:rPr>
              <w:t>In Luxemburg ansässige Inhaber von Komplexen Produkten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30045A" w:rsidP="0012714D">
            <w:pPr>
              <w:pStyle w:val="CSBody0"/>
            </w:pPr>
            <w:r w:rsidRPr="0030045A">
              <w:t xml:space="preserve">Under Luxembourg general tax laws currently in force and subject to the law of 23 December 2005, as amended (the </w:t>
            </w:r>
            <w:r>
              <w:t>"</w:t>
            </w:r>
            <w:r w:rsidRPr="0012714D">
              <w:rPr>
                <w:b/>
              </w:rPr>
              <w:t>Relibi Law</w:t>
            </w:r>
            <w:r>
              <w:t>"</w:t>
            </w:r>
            <w:r w:rsidRPr="0030045A">
              <w:t>), there is no withholding tax on payments of principal, premium or interest made to Luxembourg resident holders of Complex Products, nor on accrued but unpaid interest in respect of Complex Products, nor is any Luxembourg with</w:t>
            </w:r>
            <w:r>
              <w:t>-</w:t>
            </w:r>
            <w:r w:rsidRPr="0030045A">
              <w:t>holding tax payable upon redemption or repurchase of Complex Products held by Luxembourg resident holders of Complex Products.</w:t>
            </w:r>
          </w:p>
        </w:tc>
        <w:tc>
          <w:tcPr>
            <w:tcW w:w="2487" w:type="pct"/>
            <w:tcBorders>
              <w:left w:val="single" w:sz="4" w:space="0" w:color="auto"/>
            </w:tcBorders>
            <w:shd w:val="clear" w:color="auto" w:fill="auto"/>
          </w:tcPr>
          <w:p w:rsidR="00090AA1" w:rsidRPr="00A305A6" w:rsidP="0012714D">
            <w:pPr>
              <w:pStyle w:val="CSBody0"/>
              <w:rPr>
                <w:lang w:val="de-DE"/>
              </w:rPr>
            </w:pPr>
            <w:r w:rsidRPr="00185FD9">
              <w:rPr>
                <w:lang w:val="de-DE"/>
              </w:rPr>
              <w:t>Nach den derzeit allgemein geltenden Vorschriften des luxemburgischen Steuerrechts wird eine Quellensteuer grundsätzlich weder auf Kapitalbeträge, Prämien oder Zinsen, die an in Luxemburg ansässige Inhaber von Komplexen Produkten gezahlt werden, noch auf aufgelaufene, aber nicht gezahlte Zinsen auf die Komplexen Produkte erhoben. Auch die Rückzahlung oder der Rückkauf von Komplexen Produkten, deren Inhaber in Luxemburg ansässig sind, unterliegt in Luxemburg grundsächlich keiner Quellensteuer. Davon ausgenommen sind die im nachstehenden Absatz näher erläuterten Fälle, die gemäss dem Gesetz vom 23. Dezember 2005, in seiner geänderten Fassung (das Relibi Gesetz) der Quellensteuer in Luxemburg unterliegen.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860A52" w:rsidP="0012714D">
            <w:pPr>
              <w:pStyle w:val="CSBody0"/>
            </w:pPr>
            <w:r w:rsidRPr="00090AA1">
              <w:t>Under the Relibi Law, payments of interest or similar income made or ascribed by a paying agent established in Luxembourg to an individual beneficial owner who is a resident of Luxembourg or to a residual entity (within the meaning of the laws of 21 June 2005 implementing the Council Directive 2003/48/EC of 3 June 2003 on taxation of savings income in the form of interest payments and ratifying the treaties entered into by Luxembourg and certain dependent and associated territories of EU Member States, as amended) established in an EU Member State (other than Luxembourg) or one of the Territories and securing such payments for the benefit of such individual beneficial owner will be subject to a withholding tax of 10 per cent. Such withholding tax will be in full discharge of income tax if the beneficial owner is an individual acting in the course of the management of his/her private wealth. Responsibility for the withholding of the tax will be assumed by the Luxembourg paying agent. Payments of interest under the Complex Products coming within the scope of the Relibi Law will be subject to a withholding tax at a rate of 10 per cent.</w:t>
            </w:r>
          </w:p>
        </w:tc>
        <w:tc>
          <w:tcPr>
            <w:tcW w:w="2487" w:type="pct"/>
            <w:tcBorders>
              <w:left w:val="single" w:sz="4" w:space="0" w:color="auto"/>
            </w:tcBorders>
            <w:shd w:val="clear" w:color="auto" w:fill="auto"/>
          </w:tcPr>
          <w:p w:rsidR="00090AA1" w:rsidRPr="00A305A6" w:rsidP="00033F3F">
            <w:pPr>
              <w:pStyle w:val="CSBody0"/>
              <w:rPr>
                <w:lang w:val="de-DE"/>
              </w:rPr>
            </w:pPr>
            <w:r w:rsidRPr="00185FD9">
              <w:rPr>
                <w:lang w:val="de-DE"/>
              </w:rPr>
              <w:t>Gemäss dem Relibi Gesetz unterliegen Zahlungen von Zins- oder zinsähnlichen Erträgen, die eine Zahlstelle mit Sitz in Luxemburg an einen in Luxemburg ansässigen wirtschaftlichen Eigentümer, bei dem es sich um eine natürliche Person handelt, oder an eine sonstige Einrichtung (residual entity) (im Sinne der Gesetze über Zinsbesteuerung vom 21.</w:t>
            </w:r>
            <w:r w:rsidR="00033F3F">
              <w:rPr>
                <w:lang w:val="de-DE"/>
              </w:rPr>
              <w:t> </w:t>
            </w:r>
            <w:r w:rsidRPr="00185FD9">
              <w:rPr>
                <w:lang w:val="de-DE"/>
              </w:rPr>
              <w:t>Juni 2005  zur Umsetzung der Richtlinie 2003/48/EG des Rates vom 3.</w:t>
            </w:r>
            <w:r w:rsidR="00033F3F">
              <w:rPr>
                <w:lang w:val="de-DE"/>
              </w:rPr>
              <w:t> </w:t>
            </w:r>
            <w:r w:rsidRPr="00185FD9">
              <w:rPr>
                <w:lang w:val="de-DE"/>
              </w:rPr>
              <w:t>Juni 2003 im Bereich der Besteuerung von Zinserträgen und zur Ratifizierung der zwischen Luxemburg und bestimmten abhängigen oder assoziierten Gebieten der EU-Mitgliedstaaten abgeschlossenen Abkommen) leistet oder diesem zurechnet, einer Quellensteuer von 10%. Mit dieser Quellensteuer ist die gesamte Einkommensteuerschuld des wirtschaftlichen Eigentümers abgegolten, sofern dieser im Rahmen der Verwaltung seines Privatvermögens handelt. Verantwortlich für die Vornahme des Steuereinbehalts ist die Luxemburger Zahlstelle. Zahlungen von Zinsen auf die Komplexen Produkten, die den Bestimmungen des Relibi Gesetzes unterfallen, unterliegen einer Quellensteuer von 10%.</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185FD9" w:rsidP="00185FD9">
            <w:pPr>
              <w:pStyle w:val="CSbody0bold"/>
            </w:pPr>
            <w:r w:rsidRPr="00185FD9">
              <w:t>The Netherlands</w:t>
            </w:r>
          </w:p>
        </w:tc>
        <w:tc>
          <w:tcPr>
            <w:tcW w:w="2487" w:type="pct"/>
            <w:tcBorders>
              <w:left w:val="single" w:sz="4" w:space="0" w:color="auto"/>
            </w:tcBorders>
            <w:shd w:val="clear" w:color="auto" w:fill="auto"/>
          </w:tcPr>
          <w:p w:rsidR="00090AA1" w:rsidRPr="00185FD9" w:rsidP="00185FD9">
            <w:pPr>
              <w:pStyle w:val="CSbody0bold"/>
            </w:pPr>
            <w:r w:rsidRPr="00185FD9">
              <w:t>Niederlande</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2714D">
            <w:pPr>
              <w:pStyle w:val="CSBody0"/>
            </w:pPr>
            <w:r w:rsidRPr="00BE5A66">
              <w:t>The following summary outlines the principal Netherlands tax consequences of the acquisition, holding, settlement, redemption and disposal of the Complex Products, but does not purport to be a comprehensive description of all Netherlands tax considerations that may be relevant. For purposes of Netherlands tax law, a holder of Complex Products may include an individual or entity who does not have the legal title of these Complex Products, but to whom nevertheless the Complex Products or the income thereof is attributed based on specific statutory provisions or on the basis of such individual or entity having an interest in the Complex Products or the income thereof. This summary is intended as general information only for holders of Complex Products who are residents or deemed residents of the Netherlands for Netherlands tax purposes. This summary is intended as general information only and each prospective investor should consult a professional tax adviser with respect to the tax consequences of the acquisition, holding, settlement, redemption and disposal of the Complex Products.</w:t>
            </w:r>
          </w:p>
        </w:tc>
        <w:tc>
          <w:tcPr>
            <w:tcW w:w="2487" w:type="pct"/>
            <w:tcBorders>
              <w:left w:val="single" w:sz="4" w:space="0" w:color="auto"/>
            </w:tcBorders>
            <w:shd w:val="clear" w:color="auto" w:fill="auto"/>
          </w:tcPr>
          <w:p w:rsidR="00090AA1" w:rsidRPr="00090AA1" w:rsidP="0012714D">
            <w:pPr>
              <w:pStyle w:val="CSBody0"/>
              <w:rPr>
                <w:lang w:val="de-DE"/>
              </w:rPr>
            </w:pPr>
            <w:r w:rsidRPr="00185FD9">
              <w:rPr>
                <w:lang w:val="de-DE"/>
              </w:rPr>
              <w:t>Die folgende Zusammenfassung beschreibt die wichtigsten steuerlichen Folgen, die in den Niederlanden mit dem Erwerb, dem Halten, der Abwicklung, der Rückzahlung und der Veräusserung der Komplexen Produkte verbunden sind, ist jedoch nicht als umfassende Darstellung aller Aspekte der Besteuerung in den Niederlanden, die relevant sein könnten, zu verstehen. Für die Zwecke des niederländischen Steuerrechts kann es sich bei einem Inhaber von Komplexen Produkten um eine natürliche oder juristische Person handeln, die zwar nicht das rechtliche Eigentum an diesen Komplexen Produkten hält, der die Komplexen Produkte oder die Einkünfte daraus aber dennoch aufgrund bestimmter gesetzlicher Bestimmungen oder aufgrund der Tatsache, dass diese natürliche oder juristische Person an den Komplexen Produkten oder den Einkünften daraus beteiligt ist, zugerechnet werden. Diese Zusammenfassung dient lediglich der allgemeinen Information von Inhabern von Komplexen Produkten, die für steuerliche Zwecke in den Niederlanden ansässig sind oder als dort ansässig gelten. Diese Zusammenfassung dient lediglich der allgemeinen Information, und potenzielle Anleger sollten zu den steuerlichen Folgen des Erwerbs, des Haltens, der Abwicklung, der Rückzahlung und der Veräusserung der Komplexen Produkte einen fachkundigen Steuerberater konsultieren.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2714D">
            <w:pPr>
              <w:pStyle w:val="CSBody0"/>
            </w:pPr>
            <w:r w:rsidRPr="00BE5A66">
              <w:t>This summary is based on tax legislation, published case law, treaties, regulations and published policy, in each case as in force as of the date of this Base Prospectus, and does not take into account any developments or amendments thereof after that date whether or not such developments or amendments have retroactive effect.</w:t>
            </w:r>
          </w:p>
        </w:tc>
        <w:tc>
          <w:tcPr>
            <w:tcW w:w="2487" w:type="pct"/>
            <w:tcBorders>
              <w:left w:val="single" w:sz="4" w:space="0" w:color="auto"/>
            </w:tcBorders>
            <w:shd w:val="clear" w:color="auto" w:fill="auto"/>
          </w:tcPr>
          <w:p w:rsidR="00090AA1" w:rsidRPr="00090AA1" w:rsidP="0012714D">
            <w:pPr>
              <w:pStyle w:val="CSBody0"/>
              <w:rPr>
                <w:lang w:val="de-DE"/>
              </w:rPr>
            </w:pPr>
            <w:r w:rsidRPr="00185FD9">
              <w:rPr>
                <w:lang w:val="de-DE"/>
              </w:rPr>
              <w:t>Diese Zusammenfassung basiert auf den geltenden Steuergesetzen, der veröffentlichten Rechtsprechung, den geltenden Abkommen und Rechtsvorschriften sowie auf der veröffentlichten Anwendungspraxis jeweils zum Datum dieses Basisprospekts. Entwicklungen und Änderungen zu einem späteren Zeitpunkt sind nicht berücksichtigt, auch wenn diese rückwirkend Geltung entfalten.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2714D">
            <w:pPr>
              <w:pStyle w:val="CSBody0"/>
            </w:pPr>
            <w:r w:rsidRPr="00BE5A66">
              <w:t>This summary does not address the Netherlands tax consequences for:</w:t>
            </w:r>
          </w:p>
        </w:tc>
        <w:tc>
          <w:tcPr>
            <w:tcW w:w="2487" w:type="pct"/>
            <w:tcBorders>
              <w:left w:val="single" w:sz="4" w:space="0" w:color="auto"/>
            </w:tcBorders>
            <w:shd w:val="clear" w:color="auto" w:fill="auto"/>
          </w:tcPr>
          <w:p w:rsidR="00090AA1" w:rsidRPr="00090AA1" w:rsidP="0012714D">
            <w:pPr>
              <w:pStyle w:val="CSBody0"/>
              <w:rPr>
                <w:lang w:val="de-DE"/>
              </w:rPr>
            </w:pPr>
            <w:r w:rsidRPr="00185FD9">
              <w:rPr>
                <w:lang w:val="de-DE"/>
              </w:rPr>
              <w:t>Diese Zusammenfassung enthält keine Informationen zu den steuerlichen Folgen in den Niederlanden für: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185FD9" w:rsidP="00185FD9">
            <w:pPr>
              <w:pStyle w:val="CSManNum9pt"/>
              <w:rPr>
                <w:lang w:val="de-DE"/>
              </w:rPr>
            </w:pPr>
            <w:r w:rsidRPr="00090AA1">
              <w:rPr>
                <w:lang w:val="de-DE"/>
              </w:rPr>
              <w:t>(i)</w:t>
            </w:r>
            <w:r w:rsidRPr="00090AA1">
              <w:rPr>
                <w:lang w:val="de-DE"/>
              </w:rPr>
              <w:tab/>
              <w:t>investment institutions (fiscale beleggingsinstellingen);</w:t>
            </w:r>
          </w:p>
        </w:tc>
        <w:tc>
          <w:tcPr>
            <w:tcW w:w="2487" w:type="pct"/>
            <w:tcBorders>
              <w:left w:val="single" w:sz="4" w:space="0" w:color="auto"/>
            </w:tcBorders>
            <w:shd w:val="clear" w:color="auto" w:fill="auto"/>
          </w:tcPr>
          <w:p w:rsidR="00090AA1" w:rsidRPr="00090AA1" w:rsidP="00185FD9">
            <w:pPr>
              <w:pStyle w:val="CSManNum9pt"/>
              <w:rPr>
                <w:lang w:val="de-DE"/>
              </w:rPr>
            </w:pPr>
            <w:r w:rsidRPr="00090AA1">
              <w:rPr>
                <w:lang w:val="de-DE"/>
              </w:rPr>
              <w:t>(i)</w:t>
            </w:r>
            <w:r w:rsidRPr="00090AA1">
              <w:rPr>
                <w:lang w:val="de-DE"/>
              </w:rPr>
              <w:tab/>
              <w:t>Anlageeinrichtungen (fiscale beleggingsinstellingen);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85FD9">
            <w:pPr>
              <w:pStyle w:val="CSManNum9pt"/>
            </w:pPr>
            <w:r w:rsidRPr="00185FD9">
              <w:t>(ii)</w:t>
            </w:r>
            <w:r w:rsidRPr="00185FD9">
              <w:tab/>
              <w:t>pension funds, exempt investment institutions (vrijgestelde beleggingsinstellingen) or other entities that are not subject to or exempt from Netherlands corporate income tax;</w:t>
            </w:r>
          </w:p>
        </w:tc>
        <w:tc>
          <w:tcPr>
            <w:tcW w:w="2487" w:type="pct"/>
            <w:tcBorders>
              <w:left w:val="single" w:sz="4" w:space="0" w:color="auto"/>
            </w:tcBorders>
            <w:shd w:val="clear" w:color="auto" w:fill="auto"/>
          </w:tcPr>
          <w:p w:rsidR="00090AA1" w:rsidRPr="00090AA1" w:rsidP="00185FD9">
            <w:pPr>
              <w:pStyle w:val="CSManNum9pt"/>
              <w:rPr>
                <w:lang w:val="de-DE"/>
              </w:rPr>
            </w:pPr>
            <w:r w:rsidRPr="00185FD9">
              <w:rPr>
                <w:lang w:val="de-DE"/>
              </w:rPr>
              <w:t>(ii)</w:t>
            </w:r>
            <w:r w:rsidRPr="00185FD9">
              <w:rPr>
                <w:lang w:val="de-DE"/>
              </w:rPr>
              <w:tab/>
              <w:t>Pensionsfonds, steuerbefreite Anlageeinrichtungen (vrijgestelde beleggingsinstellingen) oder sonstige nicht der niederländischen Körperschaftsteuer unterliegende oder von der niederländischen Körperschaftsteuer befreite Rechtsträger;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85FD9">
            <w:pPr>
              <w:pStyle w:val="CSManNum9pt"/>
            </w:pPr>
            <w:r w:rsidRPr="00090AA1">
              <w:t>(iii)</w:t>
            </w:r>
            <w:r w:rsidRPr="00090AA1">
              <w:tab/>
              <w:t>holders of Complex Products holding a substantial interest (aanmerkelijk belang) or deemed substantial interest (fictief aanmerkelijk belang) in the Issuer and holders of Complex Products of whom a certain related person holds a substantial interest in the Issuer. Generally speaking, a substantial interest in the Issuer arises if a person, alone or, where such person is an individual, together with his or her partner (statutory defined term), directly or indirectly, holds or is deemed to hold (i) an interest of 5 per cent. or more of the total issued capital of the Issuer or of 5 per cent. or more of the issued capital of a certain class of shares of the Issuer, (ii) rights to acquire, directly or indirectly, such interest or (iii) certain profit sharing rights in the Issuer;</w:t>
            </w:r>
          </w:p>
        </w:tc>
        <w:tc>
          <w:tcPr>
            <w:tcW w:w="2487" w:type="pct"/>
            <w:tcBorders>
              <w:left w:val="single" w:sz="4" w:space="0" w:color="auto"/>
            </w:tcBorders>
            <w:shd w:val="clear" w:color="auto" w:fill="auto"/>
          </w:tcPr>
          <w:p w:rsidR="00090AA1" w:rsidRPr="00090AA1" w:rsidP="00185FD9">
            <w:pPr>
              <w:pStyle w:val="CSManNum9pt"/>
              <w:rPr>
                <w:lang w:val="de-DE"/>
              </w:rPr>
            </w:pPr>
            <w:r w:rsidRPr="00185FD9">
              <w:rPr>
                <w:lang w:val="de-DE"/>
              </w:rPr>
              <w:t>(iii)</w:t>
            </w:r>
            <w:r w:rsidRPr="00185FD9">
              <w:rPr>
                <w:lang w:val="de-DE"/>
              </w:rPr>
              <w:tab/>
              <w:t>Inhaber von Komplexen Produkten, die eine wesentliche Beteiligung (aanmerkelijk belang) oder eine fiktive wesentliche Beteiligung (fictief aanmerkelijk belang) an der Emittentin halten, sowie Inhaber von Komplexen Produkten, die einer Person nahe stehen, die eine wesentliche Beteiligung an der Emittentin hält. Im Allgemeinen entsteht eine wesentliche Beteiligung an der Emittentin, wenn eine Person alleine oder – wenn es sich bei der Person um eine natürliche Person handelt – gemeinsam mit ihrem Partner (im Sinne der gesetzlichen Definition) unmittelbar oder mittelbar (i) eine Beteiligung von 5% oder mehr am gesamten ausgegebenen Kapital der Emittentin. oder 5% oder mehr am ausstehenden Kapital einer bestimmten Aktiengattung der Emittentin hält, (ii) zum direkten oder indirekten Bezug einer solchen Beteiligung berechtigt ist oder (iii) bestimmte Gewinnbeteiligungsrechte in Bezug auf die Emittentin hält oder als eine Person gilt, die eine solche Beteiligung hält, zu einem solchen Bezug berechtigt ist oder solche Gewinnbeteiligungsrechte hält;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85FD9">
            <w:pPr>
              <w:pStyle w:val="CSManNum9pt"/>
            </w:pPr>
            <w:r w:rsidRPr="00090AA1">
              <w:t>(iv)</w:t>
            </w:r>
            <w:r w:rsidRPr="00090AA1">
              <w:tab/>
              <w:t>persons to whom the Complex Products and the income from the Complex Products are attributed based on the separated private assets (afgezonderd particulier vermogen) provisions of the Netherlands Income Tax Act 2001 (Wet inkomstenbelasting 2001) and the Netherlands Gift and Inheritance Tax Act 1956 (Successiewet 1956);</w:t>
            </w:r>
          </w:p>
        </w:tc>
        <w:tc>
          <w:tcPr>
            <w:tcW w:w="2487" w:type="pct"/>
            <w:tcBorders>
              <w:left w:val="single" w:sz="4" w:space="0" w:color="auto"/>
            </w:tcBorders>
            <w:shd w:val="clear" w:color="auto" w:fill="auto"/>
          </w:tcPr>
          <w:p w:rsidR="00090AA1" w:rsidRPr="00706EBA" w:rsidP="00185FD9">
            <w:pPr>
              <w:pStyle w:val="CSManNum9pt"/>
              <w:rPr>
                <w:lang w:val="de-DE"/>
              </w:rPr>
            </w:pPr>
            <w:r w:rsidRPr="00185FD9">
              <w:rPr>
                <w:lang w:val="de-DE"/>
              </w:rPr>
              <w:t>(iv)</w:t>
            </w:r>
            <w:r w:rsidRPr="00185FD9">
              <w:rPr>
                <w:lang w:val="de-DE"/>
              </w:rPr>
              <w:tab/>
              <w:t>Personen, denen die Komplexen Produkte und die Einkünfte daraus aufgrund der im niederländischen Einkommensteuergesetz von 2001 (Wet inkomstenbelasting 2001) und im niederländischen Schenkung- und Erbschaftgesetz von 1956 (Successiewet 1956) enthaltenen Bestimmungen über gesondertes Privatvermögen (afgezonderd particulier vermogen) zugerechnet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85FD9">
            <w:pPr>
              <w:pStyle w:val="CSManNum9pt"/>
            </w:pPr>
            <w:r w:rsidRPr="00090AA1">
              <w:t>(v)</w:t>
            </w:r>
            <w:r w:rsidRPr="00090AA1">
              <w:tab/>
              <w:t>entities which are a resident of Aruba, Curaçao or Sint Maarten that have an enterprise which is carried on through a permanent establishment or a permanent representative on Bonaire, Sint Eustatius or Saba and the Complex Products are attributable to such permanent establishment or permanent representative;</w:t>
            </w:r>
          </w:p>
        </w:tc>
        <w:tc>
          <w:tcPr>
            <w:tcW w:w="2487" w:type="pct"/>
            <w:tcBorders>
              <w:left w:val="single" w:sz="4" w:space="0" w:color="auto"/>
            </w:tcBorders>
            <w:shd w:val="clear" w:color="auto" w:fill="auto"/>
          </w:tcPr>
          <w:p w:rsidR="00090AA1" w:rsidRPr="00706EBA" w:rsidP="00185FD9">
            <w:pPr>
              <w:pStyle w:val="CSManNum9pt"/>
              <w:rPr>
                <w:lang w:val="de-DE"/>
              </w:rPr>
            </w:pPr>
            <w:r w:rsidRPr="00185FD9">
              <w:rPr>
                <w:lang w:val="de-DE"/>
              </w:rPr>
              <w:t>(v)</w:t>
            </w:r>
            <w:r w:rsidRPr="00185FD9">
              <w:rPr>
                <w:lang w:val="de-DE"/>
              </w:rPr>
              <w:tab/>
              <w:t>juristische Personen, die auf Aruba, Curaçao oder Sint Maarten ansässig sind und einen Geschäftsbetrieb unterhalten, der über eine ständige Betriebsstätte oder eine ständige Vertretung auf Bonaire, Sint Eustatius oder Saba tätig ist, wobei die Komplexen Produkte dieser ständigen Betriebsstätte bzw. dieser ständigen Vertretung zurechenbar sind;</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85FD9">
            <w:pPr>
              <w:pStyle w:val="CSManNum9pt"/>
            </w:pPr>
            <w:r w:rsidRPr="00090AA1">
              <w:t>(vi)</w:t>
            </w:r>
            <w:r w:rsidRPr="00090AA1">
              <w:tab/>
              <w:t>individuals to whom Complex Products or the income therefrom are attributed in connection with employment activities, if the income earned in connection with such employment activities is taxed as employment income in the Netherlands; and</w:t>
            </w:r>
          </w:p>
        </w:tc>
        <w:tc>
          <w:tcPr>
            <w:tcW w:w="2487" w:type="pct"/>
            <w:tcBorders>
              <w:left w:val="single" w:sz="4" w:space="0" w:color="auto"/>
            </w:tcBorders>
            <w:shd w:val="clear" w:color="auto" w:fill="auto"/>
          </w:tcPr>
          <w:p w:rsidR="00090AA1" w:rsidRPr="00706EBA" w:rsidP="00185FD9">
            <w:pPr>
              <w:pStyle w:val="CSManNum9pt"/>
              <w:rPr>
                <w:lang w:val="de-DE"/>
              </w:rPr>
            </w:pPr>
            <w:r w:rsidRPr="00185FD9">
              <w:rPr>
                <w:lang w:val="de-DE"/>
              </w:rPr>
              <w:t>(vi)</w:t>
            </w:r>
            <w:r w:rsidRPr="00185FD9">
              <w:rPr>
                <w:lang w:val="de-DE"/>
              </w:rPr>
              <w:tab/>
              <w:t>natürliche Personen, denen Komplexe Produkte oder Einkünfte daraus in Verbindung mit einer Erwerbstätigkeit zugerechnet werden, wenn das Einkommen aus der Erwerbstätigkeit in den Niederlanden als Einkommen aus Erwerbstätigkeit besteuert wird; und</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090AA1" w:rsidP="00185FD9">
            <w:pPr>
              <w:pStyle w:val="CSManNum9pt"/>
            </w:pPr>
            <w:r w:rsidRPr="00090AA1">
              <w:t>(vii)</w:t>
            </w:r>
            <w:r w:rsidRPr="00090AA1">
              <w:tab/>
              <w:t>holders of Complex Products for whom the benefits from the Complex Products qualify for the participation exemption within the meaning of article 13 of the Netherlands Corporate Income Tax Act 1969 (Wet op de vennootschapsbelasting 1969).</w:t>
            </w:r>
          </w:p>
        </w:tc>
        <w:tc>
          <w:tcPr>
            <w:tcW w:w="2487" w:type="pct"/>
            <w:tcBorders>
              <w:left w:val="single" w:sz="4" w:space="0" w:color="auto"/>
            </w:tcBorders>
            <w:shd w:val="clear" w:color="auto" w:fill="auto"/>
          </w:tcPr>
          <w:p w:rsidR="00090AA1" w:rsidRPr="00706EBA" w:rsidP="00185FD9">
            <w:pPr>
              <w:pStyle w:val="CSManNum9pt"/>
              <w:rPr>
                <w:lang w:val="de-DE"/>
              </w:rPr>
            </w:pPr>
            <w:r w:rsidRPr="00185FD9">
              <w:rPr>
                <w:lang w:val="de-DE"/>
              </w:rPr>
              <w:t>(vii)</w:t>
            </w:r>
            <w:r w:rsidRPr="00185FD9">
              <w:rPr>
                <w:lang w:val="de-DE"/>
              </w:rPr>
              <w:tab/>
              <w:t>Inhaber von Komplexen Produkten, die für ihre Leistungen aus den Komplexen Produkten die Steuerfreistellung von Beteiligungen im Sinne von Artikel 13 des niederländischen Körperschaftsteuergesetzes von 1969 (Wet op de vennootschapsbelasting 1969) in Anspruch nehmen können.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706EBA" w:rsidP="0012714D">
            <w:pPr>
              <w:pStyle w:val="CSBody0"/>
            </w:pPr>
            <w:r w:rsidRPr="009C5074">
              <w:t>For the purpose of the Netherlands tax consequences described herein, it is assumed that the Issuer is neither a resident of the Netherlands nor deemed to be a resident of the Netherlands for Netherlands tax purposes.</w:t>
            </w:r>
          </w:p>
        </w:tc>
        <w:tc>
          <w:tcPr>
            <w:tcW w:w="2487" w:type="pct"/>
            <w:tcBorders>
              <w:left w:val="single" w:sz="4" w:space="0" w:color="auto"/>
            </w:tcBorders>
            <w:shd w:val="clear" w:color="auto" w:fill="auto"/>
          </w:tcPr>
          <w:p w:rsidR="00706EBA" w:rsidRPr="00706EBA" w:rsidP="0012714D">
            <w:pPr>
              <w:pStyle w:val="CSBody0"/>
              <w:rPr>
                <w:lang w:val="de-DE"/>
              </w:rPr>
            </w:pPr>
            <w:r w:rsidRPr="00185FD9">
              <w:rPr>
                <w:lang w:val="de-DE"/>
              </w:rPr>
              <w:t>Für die Zwecke der hierin beschriebenen steuerlichen Folgen in den Niederlanden wird angenommen, dass die Emittentin weder in den Niederlanden ansässig ist noch für steuerliche Zwecke als dort ansässig gilt.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706EBA" w:rsidP="0012714D">
            <w:pPr>
              <w:pStyle w:val="CSBody0"/>
            </w:pPr>
            <w:r w:rsidRPr="009C5074">
              <w:t>Where this summary refers to the Netherlands, such reference is restricted to the part of the Kingdom of the Netherlands that is situated in Europe and the legislation applicable in that part of the Kingdom.</w:t>
            </w:r>
          </w:p>
        </w:tc>
        <w:tc>
          <w:tcPr>
            <w:tcW w:w="2487" w:type="pct"/>
            <w:tcBorders>
              <w:left w:val="single" w:sz="4" w:space="0" w:color="auto"/>
            </w:tcBorders>
            <w:shd w:val="clear" w:color="auto" w:fill="auto"/>
          </w:tcPr>
          <w:p w:rsidR="00706EBA" w:rsidRPr="00185FD9" w:rsidP="0012714D">
            <w:pPr>
              <w:pStyle w:val="CSBody0"/>
              <w:rPr>
                <w:lang w:val="de-DE"/>
              </w:rPr>
            </w:pPr>
            <w:r w:rsidRPr="00185FD9">
              <w:rPr>
                <w:lang w:val="de-DE"/>
              </w:rPr>
              <w:t>Bezugnahmen in dieser Zusammenfassung auf die Niederlande beschränken sich auf den in Europa gelegenen Teil des Königreichs der Niederlande und das in diesem Teil des Königreichs geltende Recht.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85FD9">
            <w:pPr>
              <w:pStyle w:val="CSbody0bold"/>
            </w:pPr>
            <w:r w:rsidRPr="00840A90">
              <w:t>Netherlands Withholding Tax</w:t>
            </w:r>
          </w:p>
        </w:tc>
        <w:tc>
          <w:tcPr>
            <w:tcW w:w="2487" w:type="pct"/>
            <w:tcBorders>
              <w:left w:val="single" w:sz="4" w:space="0" w:color="auto"/>
            </w:tcBorders>
            <w:shd w:val="clear" w:color="auto" w:fill="auto"/>
          </w:tcPr>
          <w:p w:rsidR="00706EBA" w:rsidRPr="00185FD9" w:rsidP="00185FD9">
            <w:pPr>
              <w:pStyle w:val="CSbody0bold"/>
            </w:pPr>
            <w:r w:rsidRPr="00840A90">
              <w:t>Niederländische Quellensteuer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706EBA" w:rsidP="0012714D">
            <w:pPr>
              <w:pStyle w:val="CSBody0"/>
            </w:pPr>
            <w:r w:rsidRPr="00840A90">
              <w:t>All payments made by the Issuer under the Complex Products may be made free of withholding or deduction for any taxes of whatsoever nature imposed, levied, withheld or assessed by the Netherlands or any political subdivision or taxing authority thereof or therein.</w:t>
            </w:r>
          </w:p>
        </w:tc>
        <w:tc>
          <w:tcPr>
            <w:tcW w:w="2487" w:type="pct"/>
            <w:tcBorders>
              <w:left w:val="single" w:sz="4" w:space="0" w:color="auto"/>
            </w:tcBorders>
            <w:shd w:val="clear" w:color="auto" w:fill="auto"/>
          </w:tcPr>
          <w:p w:rsidR="00706EBA" w:rsidRPr="00185FD9" w:rsidP="0012714D">
            <w:pPr>
              <w:pStyle w:val="CSBody0"/>
              <w:rPr>
                <w:lang w:val="de-DE"/>
              </w:rPr>
            </w:pPr>
            <w:r w:rsidRPr="00185FD9">
              <w:rPr>
                <w:lang w:val="de-DE"/>
              </w:rPr>
              <w:t>Alle von der Emittentin im Rahmen der Komplexen Produkte geleisteten Zahlungen erfolgen ohne Einbehalt oder Abzug von Steuern irgendeiner Art, die von den Niederlanden oder einer ihrer Gebietskörperschaften oder Steuerbehörden erhoben, abgezogen oder veranlagt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85FD9">
            <w:pPr>
              <w:pStyle w:val="CSbody0bold"/>
              <w:rPr>
                <w:lang w:val="en-GB"/>
              </w:rPr>
            </w:pPr>
            <w:r w:rsidRPr="00556991">
              <w:rPr>
                <w:lang w:val="en-GB"/>
              </w:rPr>
              <w:t>Netherlands Corporate and Individual Income Tax</w:t>
            </w:r>
          </w:p>
        </w:tc>
        <w:tc>
          <w:tcPr>
            <w:tcW w:w="2487" w:type="pct"/>
            <w:tcBorders>
              <w:left w:val="single" w:sz="4" w:space="0" w:color="auto"/>
            </w:tcBorders>
            <w:shd w:val="clear" w:color="auto" w:fill="auto"/>
          </w:tcPr>
          <w:p w:rsidR="00706EBA" w:rsidRPr="00185FD9" w:rsidP="00185FD9">
            <w:pPr>
              <w:pStyle w:val="CSbody0bold"/>
            </w:pPr>
            <w:r w:rsidRPr="00840A90">
              <w:t>Niederländische Körperschaftsteuer und Einkommensteuer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706EBA" w:rsidP="0012714D">
            <w:pPr>
              <w:pStyle w:val="CSBody0"/>
            </w:pPr>
            <w:r w:rsidRPr="00840A90">
              <w:t>If a holder of Complex Products is a resident of the Netherlands or deemed to be a resident of the Netherlands for Netherlands corporate income tax purposes and is fully subject to Netherlands corporate income tax or is only subject to Netherlands corporate income tax in respect of an enterprise to which the Complex Products are attributable, income derived from the Complex Products and gains realised upon the redemption, settlement or disposal of the Complex Products are generally taxable in the Netherlands (at up to a maximum rate of 25 per cent.).</w:t>
            </w:r>
          </w:p>
        </w:tc>
        <w:tc>
          <w:tcPr>
            <w:tcW w:w="2487" w:type="pct"/>
            <w:tcBorders>
              <w:left w:val="single" w:sz="4" w:space="0" w:color="auto"/>
            </w:tcBorders>
            <w:shd w:val="clear" w:color="auto" w:fill="auto"/>
          </w:tcPr>
          <w:p w:rsidR="00706EBA" w:rsidRPr="00185FD9" w:rsidP="0012714D">
            <w:pPr>
              <w:pStyle w:val="CSBody0"/>
              <w:rPr>
                <w:lang w:val="de-DE"/>
              </w:rPr>
            </w:pPr>
            <w:r w:rsidRPr="00185FD9">
              <w:rPr>
                <w:lang w:val="de-DE"/>
              </w:rPr>
              <w:t>Ist ein Inhaber von Komplexen Produkten in den Niederlanden ansässig oder gilt er für steuerliche Zwecke als dort ansässig und ist er dort unbeschränkt oder nur in Bezug auf ein Unternehmen, dem die Komplexen Produkte zurechenbar sind, körperschaftsteuerpflichtig, so sind die Einkünfte aus den Komplexen Produkten und die Gewinne aus der Rückzahlung, Abwicklung oder Veräusserung der Komplexen Produkte in den Niederlanden grundsätzlich zu versteuern (mit einem maximalen Steuersatz von 25%).</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706EBA" w:rsidP="0012714D">
            <w:pPr>
              <w:pStyle w:val="CSBody0"/>
            </w:pPr>
            <w:r w:rsidRPr="00BB29BE">
              <w:t>If an individual is a resident of the Netherlands or deemed to be a resident of the Netherlands for Netherlands individual income tax purposes, income derived from the Complex Products and gains realised upon the redemption, settlement or disposal of the Complex Products are taxable at the progressive rates (at up to a maximum rate of 52 per cent.) under the Netherlands Income Tax Act 2001, if:</w:t>
            </w:r>
          </w:p>
        </w:tc>
        <w:tc>
          <w:tcPr>
            <w:tcW w:w="2487" w:type="pct"/>
            <w:tcBorders>
              <w:left w:val="single" w:sz="4" w:space="0" w:color="auto"/>
            </w:tcBorders>
            <w:shd w:val="clear" w:color="auto" w:fill="auto"/>
          </w:tcPr>
          <w:p w:rsidR="00706EBA" w:rsidRPr="00185FD9" w:rsidP="0012714D">
            <w:pPr>
              <w:pStyle w:val="CSBody0"/>
              <w:rPr>
                <w:lang w:val="de-DE"/>
              </w:rPr>
            </w:pPr>
            <w:r w:rsidRPr="00185FD9">
              <w:rPr>
                <w:lang w:val="de-DE"/>
              </w:rPr>
              <w:t>Handelt es sich um eine natürliche Person, die in den Niederlanden ansässig ist oder für steuerliche Zwecke als dort ansässig gilt, so unterliegen Einkünfte aus den Komplexen Produkten und Gewinne aus der Rückzahlung, Abwicklung oder Veräusserung der Komplexen Produkte den progressiven Einkommensteuersätzen (mit einem maximalen Steuersatz von 52%) nach dem niederländischen Einkommensteuergesetz von 2001, wenn: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090AA1" w:rsidRPr="00706EBA" w:rsidP="00185FD9">
            <w:pPr>
              <w:pStyle w:val="CSManNum9pt"/>
            </w:pPr>
            <w:r w:rsidRPr="00185FD9">
              <w:t>(i)</w:t>
            </w:r>
            <w:r w:rsidRPr="00185FD9">
              <w:tab/>
              <w:t>the individual is an entrepreneur (ondernemer) and has an enterprise to which the Complex Products are attributable or the individual has, other than as a shareholder, a co-entitlement to the net worth of an enterprise (medegerechtigde), to which enterprise the Complex Products are attributable; or</w:t>
            </w:r>
          </w:p>
        </w:tc>
        <w:tc>
          <w:tcPr>
            <w:tcW w:w="2487" w:type="pct"/>
            <w:tcBorders>
              <w:left w:val="single" w:sz="4" w:space="0" w:color="auto"/>
            </w:tcBorders>
            <w:shd w:val="clear" w:color="auto" w:fill="auto"/>
          </w:tcPr>
          <w:p w:rsidR="00090AA1" w:rsidRPr="00185FD9" w:rsidP="00185FD9">
            <w:pPr>
              <w:pStyle w:val="CSManNum9pt"/>
              <w:rPr>
                <w:lang w:val="de-DE"/>
              </w:rPr>
            </w:pPr>
            <w:r w:rsidRPr="00185FD9">
              <w:rPr>
                <w:lang w:val="de-DE"/>
              </w:rPr>
              <w:t>(i)</w:t>
            </w:r>
            <w:r w:rsidRPr="00185FD9">
              <w:rPr>
                <w:lang w:val="de-DE"/>
              </w:rPr>
              <w:tab/>
              <w:t>es sich bei der natürlichen Person um einen Unternehmer (ondernemer) handelt, dessen Unternehmen die Komplexen Produkte zurechenbar sind, oder wenn diese natürliche Person (nicht in der Eigenschaft eines Anteilsinhabers) eine Beteiligungsberechtigung (medegerechtigde) an dem Nettovermögen eines Unternehmens hält, dem die Komplexen Produkte zurechenbar sind; oder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85FD9">
            <w:pPr>
              <w:pStyle w:val="CSManNum9pt"/>
            </w:pPr>
            <w:r w:rsidRPr="00706EBA">
              <w:t>(ii)</w:t>
            </w:r>
            <w:r w:rsidRPr="00706EBA">
              <w:tab/>
              <w:t>such income or gains qualify as income from miscellaneous activities (resultaat uit overige werkzaamheden), which includes activities with respect to the Complex Products that exceed regular, active portfolio management (normaal, actief vermogensbeheer).</w:t>
            </w:r>
          </w:p>
        </w:tc>
        <w:tc>
          <w:tcPr>
            <w:tcW w:w="2487" w:type="pct"/>
            <w:tcBorders>
              <w:left w:val="single" w:sz="4" w:space="0" w:color="auto"/>
            </w:tcBorders>
            <w:shd w:val="clear" w:color="auto" w:fill="auto"/>
          </w:tcPr>
          <w:p w:rsidR="00706EBA" w:rsidRPr="00706EBA" w:rsidP="00185FD9">
            <w:pPr>
              <w:pStyle w:val="CSManNum9pt"/>
              <w:rPr>
                <w:lang w:val="de-DE"/>
              </w:rPr>
            </w:pPr>
            <w:r w:rsidRPr="00185FD9">
              <w:rPr>
                <w:lang w:val="de-DE"/>
              </w:rPr>
              <w:t>(ii)</w:t>
            </w:r>
            <w:r w:rsidRPr="00185FD9">
              <w:rPr>
                <w:lang w:val="de-DE"/>
              </w:rPr>
              <w:tab/>
              <w:t>die Einkünfte oder Gewinne als Einkünfte aus sonstiger Tätigkeit (resultaat uit overige werkzaamheden) einzustufen sind; hierzu gehört die Ausübung von Tätigkeiten in Bezug auf die Komplexen Produkte, die über regelmässiges, aktives Portfoliomanagement (normaal, actief vermogensbeheer) hinausgehen.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2714D">
            <w:pPr>
              <w:pStyle w:val="CSBody0"/>
            </w:pPr>
            <w:r w:rsidRPr="00DF6D28">
              <w:t>If neither condition (i) nor condition (ii) above applies, an individual that holds the Complex Products, must determine taxable income with regard to the Complex Products on the basis of a deemed return on income from savings and investments (sparen en beleggen), rather than on the basis of income actually received or gains actually realised. This deemed return on income from savings and investments is fixed at a rate of 4 per cent. of the individual's yield basis (rendementsgrondslag) at the beginning of the calendar year (1 January), insofar as the individual's yield basis exceeds a certain threshold (heffingvrij vermogen). The individual's yield basis is determined as the fair market value of certain qualifying assets held by the individual less the fair market value of certain qualifying liabilities on 1 January. The fair market value of the Complex Products will be included as an asset in the individual's yield basis. The 4 per cent. deemed return on income from savings and investments is taxed at a rate of 30 per cent.</w:t>
            </w:r>
          </w:p>
        </w:tc>
        <w:tc>
          <w:tcPr>
            <w:tcW w:w="2487" w:type="pct"/>
            <w:tcBorders>
              <w:left w:val="single" w:sz="4" w:space="0" w:color="auto"/>
            </w:tcBorders>
            <w:shd w:val="clear" w:color="auto" w:fill="auto"/>
          </w:tcPr>
          <w:p w:rsidR="00706EBA" w:rsidRPr="00706EBA" w:rsidP="0012714D">
            <w:pPr>
              <w:pStyle w:val="CSBody0"/>
              <w:rPr>
                <w:lang w:val="de-DE"/>
              </w:rPr>
            </w:pPr>
            <w:r w:rsidRPr="00185FD9">
              <w:rPr>
                <w:lang w:val="de-DE"/>
              </w:rPr>
              <w:t>Trifft weder die vorstehende Bedingung (i) noch die vorstehende Bedingung (ii) zu, so sind von dem Inhaber der Komplexen Produkte, bei dem es sich um eine natürliche Person handelt, die steuerpflichtigen Einkünfte aus den Komplexen Produkten auf Basis von fiktiven Erträgen aus Kapitalvermögen (sparen en beleggen) statt auf Basis der tatsächlich erzielten Einkünfte bzw. Gewinne zu bestimmen. Diese fiktiven Erträge aus Kapitalvermögen sind auf 4% der Ertragsgrundlage (rendementsgrondslag) der natürlichen Person zu Beginn des Kalenderjahres (1. Januar) festgelegt, soweit die Ertragsgrundlage der natürlichen Person einen gewissen Schwellenwert (heffingvrij vermogen) übersteigt. Die Ertragsgrundlage der natürlichen Person entspricht der zum 1. Januar bestimmten Differenz aus dem fairen Marktwert bestimmter von der natürlichen Person gehaltener qualifizierter Vermögenswerte und dem fairen Marktwert bestimmter qualifizierter Verbindlichkeiten. Der faire Marktwert der Komplexen Produkte wird bei der Berechnung der Ertragsgrundlage der natürlichen Person als Vermögen berücksichtigt. Die fiktiven Erträge aus Kapitalvermögen in Höhe von 4% werden mit einem Satz von 30% versteuert.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85FD9">
            <w:pPr>
              <w:pStyle w:val="CSbody0bold"/>
              <w:rPr>
                <w:lang w:val="en-GB"/>
              </w:rPr>
            </w:pPr>
            <w:r w:rsidRPr="00556991">
              <w:rPr>
                <w:lang w:val="en-GB"/>
              </w:rPr>
              <w:t>Netherlands Gift and Inheritance Tax</w:t>
            </w:r>
          </w:p>
        </w:tc>
        <w:tc>
          <w:tcPr>
            <w:tcW w:w="2487" w:type="pct"/>
            <w:tcBorders>
              <w:left w:val="single" w:sz="4" w:space="0" w:color="auto"/>
            </w:tcBorders>
            <w:shd w:val="clear" w:color="auto" w:fill="auto"/>
          </w:tcPr>
          <w:p w:rsidR="00706EBA" w:rsidRPr="00185FD9" w:rsidP="00185FD9">
            <w:pPr>
              <w:pStyle w:val="CSbody0bold"/>
            </w:pPr>
            <w:r w:rsidRPr="00DF6D28">
              <w:t>Niederländische Schenkung- und Erbschaftsteuer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2714D">
            <w:pPr>
              <w:pStyle w:val="CSBody0"/>
            </w:pPr>
            <w:r w:rsidRPr="00DF6D28">
              <w:t>Netherlands gift or inheritance taxes will not be levied on the occasion of the transfer of a Complex Product by way of gift by, or on the death of, a holder of a Complex Product, unless:</w:t>
            </w:r>
          </w:p>
        </w:tc>
        <w:tc>
          <w:tcPr>
            <w:tcW w:w="2487" w:type="pct"/>
            <w:tcBorders>
              <w:left w:val="single" w:sz="4" w:space="0" w:color="auto"/>
            </w:tcBorders>
            <w:shd w:val="clear" w:color="auto" w:fill="auto"/>
          </w:tcPr>
          <w:p w:rsidR="00706EBA" w:rsidRPr="00706EBA" w:rsidP="0012714D">
            <w:pPr>
              <w:pStyle w:val="CSBody0"/>
              <w:rPr>
                <w:lang w:val="de-DE"/>
              </w:rPr>
            </w:pPr>
            <w:r w:rsidRPr="00185FD9">
              <w:rPr>
                <w:lang w:val="de-DE"/>
              </w:rPr>
              <w:t>Bei der Übertragung von Komplexen Produkten durch einen Inhaber eines Komplexen Produkts durch Schenkung oder von Todes wegen fällt in den Niederlanden keine Schenkung- oder Erbschaftsteuer an, es sei denn: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85FD9">
            <w:pPr>
              <w:pStyle w:val="CSManNum9pt"/>
            </w:pPr>
            <w:r w:rsidRPr="00185FD9">
              <w:t>(i)</w:t>
            </w:r>
            <w:r w:rsidRPr="00185FD9">
              <w:tab/>
              <w:t>the holder of a Complex Product is, or is deemed to be, resident in The Netherlands for the purpose of the relevant provisions; or</w:t>
            </w:r>
          </w:p>
        </w:tc>
        <w:tc>
          <w:tcPr>
            <w:tcW w:w="2487" w:type="pct"/>
            <w:tcBorders>
              <w:left w:val="single" w:sz="4" w:space="0" w:color="auto"/>
            </w:tcBorders>
            <w:shd w:val="clear" w:color="auto" w:fill="auto"/>
          </w:tcPr>
          <w:p w:rsidR="00706EBA" w:rsidRPr="00706EBA" w:rsidP="00185FD9">
            <w:pPr>
              <w:pStyle w:val="CSManNum9pt"/>
              <w:rPr>
                <w:lang w:val="de-DE"/>
              </w:rPr>
            </w:pPr>
            <w:r w:rsidRPr="00185FD9">
              <w:rPr>
                <w:lang w:val="de-DE"/>
              </w:rPr>
              <w:t>(i)</w:t>
            </w:r>
            <w:r w:rsidRPr="00185FD9">
              <w:rPr>
                <w:lang w:val="de-DE"/>
              </w:rPr>
              <w:tab/>
              <w:t>der Inhaber eines Komplexen Produkts ist in den Niederlanden ansässig oder gilt im Sinne der einschlägigen Bestimmungen als in den Niederlanden ansässig; oder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85FD9">
            <w:pPr>
              <w:pStyle w:val="CSManNum9pt"/>
            </w:pPr>
            <w:r w:rsidRPr="00706EBA">
              <w:t>(ii)</w:t>
            </w:r>
            <w:r w:rsidRPr="00706EBA">
              <w:tab/>
              <w:t>the transfer is construed as an inheritance or gift made by, or on behalf of, a person who, at the time of the gift or death, is or is deemed to be resident in The Netherlands for the purpose of the relevant provisions.</w:t>
            </w:r>
          </w:p>
        </w:tc>
        <w:tc>
          <w:tcPr>
            <w:tcW w:w="2487" w:type="pct"/>
            <w:tcBorders>
              <w:left w:val="single" w:sz="4" w:space="0" w:color="auto"/>
            </w:tcBorders>
            <w:shd w:val="clear" w:color="auto" w:fill="auto"/>
          </w:tcPr>
          <w:p w:rsidR="00706EBA" w:rsidRPr="00706EBA" w:rsidP="00185FD9">
            <w:pPr>
              <w:pStyle w:val="CSManNum9pt"/>
              <w:rPr>
                <w:lang w:val="de-DE"/>
              </w:rPr>
            </w:pPr>
            <w:r w:rsidRPr="00185FD9">
              <w:rPr>
                <w:lang w:val="de-DE"/>
              </w:rPr>
              <w:t>(ii)</w:t>
            </w:r>
            <w:r w:rsidRPr="00185FD9">
              <w:rPr>
                <w:lang w:val="de-DE"/>
              </w:rPr>
              <w:tab/>
              <w:t>die Übertragung gilt als Erbschaft oder Schenkung von einer oder für eine Person, die im Zeitpunkt der Schenkung bzw. des Todes in den Niederlanden ansässig ist oder im Sinne der einschlägigen Bestimmungen als in den Niederlanden ansässig gilt.</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85FD9">
            <w:pPr>
              <w:pStyle w:val="CSbody0bold"/>
            </w:pPr>
            <w:r w:rsidRPr="00324349">
              <w:t>Netherlands Value Added Tax</w:t>
            </w:r>
          </w:p>
        </w:tc>
        <w:tc>
          <w:tcPr>
            <w:tcW w:w="2487" w:type="pct"/>
            <w:tcBorders>
              <w:left w:val="single" w:sz="4" w:space="0" w:color="auto"/>
            </w:tcBorders>
            <w:shd w:val="clear" w:color="auto" w:fill="auto"/>
          </w:tcPr>
          <w:p w:rsidR="00706EBA" w:rsidRPr="00185FD9" w:rsidP="00185FD9">
            <w:pPr>
              <w:pStyle w:val="CSbody0bold"/>
            </w:pPr>
            <w:r w:rsidRPr="00324349">
              <w:t>Niederländische Umsatzsteuer</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2714D">
            <w:pPr>
              <w:pStyle w:val="CSBody0"/>
            </w:pPr>
            <w:r w:rsidRPr="00324349">
              <w:t>In general, no value added tax will arise in respect of payments in consideration for the issue of the Complex Products or in respect of a cash payment made under the Complex Products, or in respect of a transfer of Complex Products.</w:t>
            </w:r>
          </w:p>
        </w:tc>
        <w:tc>
          <w:tcPr>
            <w:tcW w:w="2487" w:type="pct"/>
            <w:tcBorders>
              <w:left w:val="single" w:sz="4" w:space="0" w:color="auto"/>
            </w:tcBorders>
            <w:shd w:val="clear" w:color="auto" w:fill="auto"/>
          </w:tcPr>
          <w:p w:rsidR="00706EBA" w:rsidRPr="00706EBA" w:rsidP="0012714D">
            <w:pPr>
              <w:pStyle w:val="CSBody0"/>
              <w:rPr>
                <w:lang w:val="de-DE"/>
              </w:rPr>
            </w:pPr>
            <w:r w:rsidRPr="00185FD9">
              <w:rPr>
                <w:lang w:val="de-DE"/>
              </w:rPr>
              <w:t>In Bezug auf Zahlungen als Gegenleistung für die Begebung der Komplexen Produkte oder in Bezug auf Barzahlungen unter den Komplexen Produkte oder in Bezug auf eine Übertragung von Komplexen Produkten fällt grundsätzlich keine Umsatzsteuer an.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85FD9">
            <w:pPr>
              <w:pStyle w:val="CSbody0bold"/>
              <w:rPr>
                <w:lang w:val="en-GB"/>
              </w:rPr>
            </w:pPr>
            <w:r w:rsidRPr="00556991">
              <w:rPr>
                <w:lang w:val="en-GB"/>
              </w:rPr>
              <w:t>Other Netherlands Taxes and Duties</w:t>
            </w:r>
          </w:p>
        </w:tc>
        <w:tc>
          <w:tcPr>
            <w:tcW w:w="2487" w:type="pct"/>
            <w:tcBorders>
              <w:left w:val="single" w:sz="4" w:space="0" w:color="auto"/>
            </w:tcBorders>
            <w:shd w:val="clear" w:color="auto" w:fill="auto"/>
          </w:tcPr>
          <w:p w:rsidR="00706EBA" w:rsidRPr="00185FD9" w:rsidP="00185FD9">
            <w:pPr>
              <w:pStyle w:val="CSbody0bold"/>
            </w:pPr>
            <w:r w:rsidRPr="00185FD9">
              <w:t>Sonstige niederländische Steuern und Abgaben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706EBA" w:rsidRPr="00185FD9" w:rsidP="0012714D">
            <w:pPr>
              <w:pStyle w:val="CSBody0"/>
            </w:pPr>
            <w:r w:rsidRPr="00324349">
              <w:t>No registration tax, customs duty, transfer tax, stamp duty or any other similar documentary tax or duty will be payable in the Netherlands by a holder in respect of or in connection with the subscription, issue, placement, allotment, delivery or transfer of the Complex Products.</w:t>
            </w:r>
          </w:p>
        </w:tc>
        <w:tc>
          <w:tcPr>
            <w:tcW w:w="2487" w:type="pct"/>
            <w:tcBorders>
              <w:left w:val="single" w:sz="4" w:space="0" w:color="auto"/>
            </w:tcBorders>
            <w:shd w:val="clear" w:color="auto" w:fill="auto"/>
          </w:tcPr>
          <w:p w:rsidR="00706EBA" w:rsidRPr="00706EBA" w:rsidP="0012714D">
            <w:pPr>
              <w:pStyle w:val="CSBody0"/>
              <w:rPr>
                <w:lang w:val="de-DE"/>
              </w:rPr>
            </w:pPr>
            <w:r w:rsidRPr="00185FD9">
              <w:rPr>
                <w:lang w:val="de-DE"/>
              </w:rPr>
              <w:t>In den Niederlanden fallen für Inhaber der Komplexen Produkte in Bezug auf die Zeichnung, Begebung, Platzierung, Zuteilung, Ausgabe oder Übertragung der Komplexen Produkte keine Registrierungssteuern, Zölle, Verkehrssteuern, Stempelsteuern und keine anderen vergleichbaren Dokumentationssteuern oder -abgaben an.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12714D">
            <w:pPr>
              <w:pStyle w:val="CSbody0bold"/>
            </w:pPr>
            <w:r w:rsidRPr="005B5713">
              <w:t>United Kingdom</w:t>
            </w:r>
          </w:p>
        </w:tc>
        <w:tc>
          <w:tcPr>
            <w:tcW w:w="2487" w:type="pct"/>
            <w:tcBorders>
              <w:left w:val="single" w:sz="4" w:space="0" w:color="auto"/>
            </w:tcBorders>
            <w:shd w:val="clear" w:color="auto" w:fill="auto"/>
          </w:tcPr>
          <w:p w:rsidR="0033731A" w:rsidRPr="005B5713" w:rsidP="0012714D">
            <w:pPr>
              <w:pStyle w:val="CSbody0bold"/>
            </w:pPr>
            <w:r w:rsidRPr="005B5713">
              <w:t>Vereinigtes Königreich</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3C5980" w:rsidP="0012714D">
            <w:pPr>
              <w:pStyle w:val="CSBody0"/>
            </w:pPr>
            <w:r w:rsidRPr="003C5980">
              <w:t xml:space="preserve">The following applies only to persons who are the beneficial owners of Complex Products and is a summary of the Issuer's understanding of current law and published </w:t>
            </w:r>
            <w:r w:rsidR="00934F47">
              <w:t>HM Revenue and Customs ("</w:t>
            </w:r>
            <w:r w:rsidRPr="00185FD9" w:rsidR="00934F47">
              <w:rPr>
                <w:b/>
              </w:rPr>
              <w:t>HMRC</w:t>
            </w:r>
            <w:r w:rsidR="00934F47">
              <w:t>")</w:t>
            </w:r>
            <w:r w:rsidRPr="003C5980">
              <w:t>practice in the United Kingdom relating only to United Kingdom withholding tax treatment of payments in respect of Complex Products. It does not deal with any other United Kingdom taxation implications of acquiring, holding or disposing of Complex Products. Some aspects do not apply to certain classes of person (such as dealers and persons connected with the Issuer) to whom special rules may apply. The United Kingdom tax treatment of prospective holders of Complex Products depends on their individual circumstances and may be subject to change in the future. Prospective holders of Complex Products who may be subject to tax in a jurisdiction other than the United Kingdom or who may be unsure as to their tax position should seek their own professional advice.</w:t>
            </w:r>
          </w:p>
        </w:tc>
        <w:tc>
          <w:tcPr>
            <w:tcW w:w="2487" w:type="pct"/>
            <w:tcBorders>
              <w:left w:val="single" w:sz="4" w:space="0" w:color="auto"/>
            </w:tcBorders>
          </w:tcPr>
          <w:p w:rsidR="00A305A6" w:rsidRPr="00A305A6">
            <w:pPr>
              <w:pStyle w:val="CSBody0"/>
              <w:rPr>
                <w:lang w:val="de-DE"/>
              </w:rPr>
            </w:pPr>
            <w:r w:rsidRPr="00A305A6">
              <w:rPr>
                <w:lang w:val="de-DE"/>
              </w:rPr>
              <w:t xml:space="preserve">Die folgenden Ausführungen gelten nur für die wirtschaftlichen Eigentümer von Komplexen Produkten und stellen eine Zusammenfassung der nach dem Verständnis der Emittentin derzeit im Vereinigten Königreich geltenden Gesetze und der veröffentlichten Anwendungspraxis </w:t>
            </w:r>
            <w:r w:rsidR="002540D4">
              <w:rPr>
                <w:lang w:val="de-DE"/>
              </w:rPr>
              <w:t>der britischen Finanzverwaltung (</w:t>
            </w:r>
            <w:r w:rsidR="002540D4">
              <w:rPr>
                <w:i/>
                <w:lang w:val="de-DE"/>
              </w:rPr>
              <w:t xml:space="preserve">HM Revenue and </w:t>
            </w:r>
            <w:r w:rsidRPr="00185FD9" w:rsidR="002540D4">
              <w:rPr>
                <w:lang w:val="de-DE"/>
              </w:rPr>
              <w:t>Customs</w:t>
            </w:r>
            <w:r w:rsidR="002540D4">
              <w:rPr>
                <w:lang w:val="de-DE"/>
              </w:rPr>
              <w:t>; die "</w:t>
            </w:r>
            <w:r w:rsidRPr="00185FD9" w:rsidR="002540D4">
              <w:rPr>
                <w:b/>
                <w:lang w:val="de-DE"/>
              </w:rPr>
              <w:t>HMRC</w:t>
            </w:r>
            <w:r w:rsidR="002540D4">
              <w:rPr>
                <w:lang w:val="de-DE"/>
              </w:rPr>
              <w:t xml:space="preserve">") </w:t>
            </w:r>
            <w:r w:rsidRPr="002540D4">
              <w:rPr>
                <w:lang w:val="de-DE"/>
              </w:rPr>
              <w:t>dar</w:t>
            </w:r>
            <w:r w:rsidRPr="00A305A6">
              <w:rPr>
                <w:lang w:val="de-DE"/>
              </w:rPr>
              <w:t>, die auf die quellensteuerliche Behandlung von Zahlungen auf die Komplexen Produkte im Vereinigten Königreich beschränkt ist. Steuerfolgen, die sich im Rahmen anderer im Vereinigten Königreich erhobenen Steuern aus dem Erwerb, dem Halten oder der Veräusserung von Komplexen Produkten ergeben, bleiben dabei unberücksichtigt. Einige Aspekte sind für bestimmte Personengruppen (wie beispielsweise Platzeure und mit der Emittentin verbundene Personen) nicht relevant; für diese Personengruppen können besondere Regelungen gelten. Die steuerliche Behandlung der potenziellen Inhaber der Komplexen Produkte im Vereinigten Königreich ist von ihren jeweiligen persönlichen Verhältnissen abhängig und kann zukünftigen Änderungen unterliegen. Potenzielle Inhaber von Komplexen Produkten, die unter Umständen auch noch in anderen Ländern als dem Vereinigten Königreich steuerpflichtig sind, oder die sich hinsichtlich ihrer steuerlichen Position nicht im Klaren sind, sollten den Rat ihres fachkundigen Beraters einholen.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46463E" w:rsidP="0012714D">
            <w:pPr>
              <w:pStyle w:val="CSbody0bold"/>
              <w:rPr>
                <w:lang w:val="en-GB"/>
              </w:rPr>
            </w:pPr>
            <w:r w:rsidRPr="0046463E">
              <w:rPr>
                <w:lang w:val="en-GB"/>
              </w:rPr>
              <w:t>Withholding on account of United Kingdom tax</w:t>
            </w:r>
          </w:p>
        </w:tc>
        <w:tc>
          <w:tcPr>
            <w:tcW w:w="2487" w:type="pct"/>
            <w:tcBorders>
              <w:left w:val="single" w:sz="4" w:space="0" w:color="auto"/>
            </w:tcBorders>
            <w:shd w:val="clear" w:color="auto" w:fill="auto"/>
          </w:tcPr>
          <w:p w:rsidR="0033731A" w:rsidRPr="005B5713" w:rsidP="0012714D">
            <w:pPr>
              <w:pStyle w:val="CSbody0bold"/>
            </w:pPr>
            <w:r w:rsidRPr="005B5713">
              <w:t>Steuereinbehalt im Vereinigten Königreich</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290D0A" w:rsidP="0012714D">
            <w:pPr>
              <w:pStyle w:val="CSBody0"/>
            </w:pPr>
            <w:r w:rsidRPr="00290D0A">
              <w:t>Payments made in respect of Complex Products may be made without deduction or withholding for or on account of United Kingdom income tax where such payments are not regarded as either interest or annual payments arising in the United Kingdom for United Kingdom tax purposes.</w:t>
            </w:r>
          </w:p>
        </w:tc>
        <w:tc>
          <w:tcPr>
            <w:tcW w:w="2487" w:type="pct"/>
            <w:tcBorders>
              <w:left w:val="single" w:sz="4" w:space="0" w:color="auto"/>
            </w:tcBorders>
            <w:shd w:val="clear" w:color="auto" w:fill="auto"/>
          </w:tcPr>
          <w:p w:rsidR="00A305A6" w:rsidRPr="00A305A6" w:rsidP="0012714D">
            <w:pPr>
              <w:pStyle w:val="CSBody0"/>
              <w:rPr>
                <w:lang w:val="de-DE"/>
              </w:rPr>
            </w:pPr>
            <w:r w:rsidRPr="00A305A6">
              <w:rPr>
                <w:lang w:val="de-DE"/>
              </w:rPr>
              <w:t>Zahlungen auf die Komplexen Produkte können ohne Abzug oder Einbehalt für die oder aufgrund der Einkommenssteuer im Vereinigten Königreich geleistet werden, wenn diese Zahlungen für Steuerzwecke des Vereinigten Königreichs weder als im Vereinigten Königreich entstehende Zinsen noch als dort enstehende jährliche Zahlungen eingestuft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290D0A" w:rsidP="0012714D">
            <w:pPr>
              <w:pStyle w:val="CSBody0"/>
            </w:pPr>
            <w:r w:rsidRPr="00290D0A">
              <w:t xml:space="preserve">Even if such payments were to be regarded as interest or annual payments arising in the United Kingdom for United Kingdom tax purposes, the Issuer should not be required to withhold or deduct sums for or on account of United Kingdom income tax from payments made in respect of Complex Products which are derivative contracts, the profits and losses arising from which are calculated in accordance with Part 7 of the Corporation Tax Act 2009. </w:t>
            </w:r>
          </w:p>
        </w:tc>
        <w:tc>
          <w:tcPr>
            <w:tcW w:w="2487" w:type="pct"/>
            <w:tcBorders>
              <w:left w:val="single" w:sz="4" w:space="0" w:color="auto"/>
            </w:tcBorders>
            <w:shd w:val="clear" w:color="auto" w:fill="auto"/>
          </w:tcPr>
          <w:p w:rsidR="00A305A6" w:rsidRPr="00A305A6" w:rsidP="0012714D">
            <w:pPr>
              <w:pStyle w:val="CSBody0"/>
              <w:rPr>
                <w:lang w:val="de-DE"/>
              </w:rPr>
            </w:pPr>
            <w:r w:rsidRPr="00A305A6">
              <w:rPr>
                <w:lang w:val="de-DE"/>
              </w:rPr>
              <w:t>Selbst wenn entsprechende Zahlungen als Zinsen oder jährliche Zahlungen für Zwecke der Einkommenssteuer im Vereinigten Königreich eingestuft werden, dürfte die Emittentin nicht verpflichtet sein, Beträge für die oder aufgrund der Einkommenssteuer im Vereinigten Königreich von auf die Komplexen Produkte geleisteten Zahlungen einzubehalten oder in Abzug zu bringen, soweit es sich bei den Komplexen Produkten um Derivatkontrakte handelt bei denen die daraus entstehenden Gewinne und Verluste gemäss Part 7 des Körperschaftssteuergesetzes von 2009 (</w:t>
            </w:r>
            <w:r w:rsidRPr="0012714D">
              <w:rPr>
                <w:i/>
                <w:lang w:val="de-DE"/>
              </w:rPr>
              <w:t>Corporation Tax Act 2009</w:t>
            </w:r>
            <w:r w:rsidRPr="00A305A6">
              <w:rPr>
                <w:lang w:val="de-DE"/>
              </w:rPr>
              <w:t>) berechnet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290D0A" w:rsidP="0012714D">
            <w:pPr>
              <w:pStyle w:val="CSBody0"/>
            </w:pPr>
            <w:r w:rsidRPr="00290D0A">
              <w:t>If interest arising in the United Kingdom is payable on Complex Products or if payments made in respect of Complex Products were to be regarded as interest arising in the United Kingdom for United Kingdom tax purposes, the Issuer should not be required to withhold or deduct sums for or on account of United Kingdom income tax from such payments, provided that the Issuer is and continues to be a bank within the meaning of section 991 of the Income Tax Act 2007 ("</w:t>
            </w:r>
            <w:r w:rsidRPr="0012714D">
              <w:rPr>
                <w:b/>
              </w:rPr>
              <w:t>ITA 2007</w:t>
            </w:r>
            <w:r w:rsidRPr="00290D0A">
              <w:t>") and provided that any such interest is paid in the ordinary course of the Issuer’s business within the meaning of section 878 of the ITA 2007.</w:t>
            </w:r>
          </w:p>
        </w:tc>
        <w:tc>
          <w:tcPr>
            <w:tcW w:w="2487" w:type="pct"/>
            <w:tcBorders>
              <w:left w:val="single" w:sz="4" w:space="0" w:color="auto"/>
            </w:tcBorders>
            <w:shd w:val="clear" w:color="auto" w:fill="auto"/>
          </w:tcPr>
          <w:p w:rsidR="00A305A6" w:rsidRPr="00A305A6" w:rsidP="0012714D">
            <w:pPr>
              <w:pStyle w:val="CSBody0"/>
              <w:rPr>
                <w:lang w:val="de-DE"/>
              </w:rPr>
            </w:pPr>
            <w:r w:rsidRPr="00A305A6">
              <w:rPr>
                <w:lang w:val="de-DE"/>
              </w:rPr>
              <w:t>Wenn im Vereinigten Königreich entstehende Zinsen auf Komplexe Produkte zahlbar sind oder Zahlungen auf die Komplexen Produkte für Steuerzwecke des Vereinigten Königreichs als im Vereinigten Königreich entstehende Zinsen eingestuft werden, dürfte die Emittentin nicht verpflichtet sein, Beträge für die oder aufgrund der Einkommenssteuer im Vereinigten Königreich von solchen Zahlungen einzubehalten oder in Abzug zu bringen, vorausgesetzt, dass die Emittentin ein Finanzdienstleistungsinstitut (bank) im Sinne der Section 991 des Einkommenssteuergesetzes von 2007 (</w:t>
            </w:r>
            <w:r w:rsidRPr="0012714D">
              <w:rPr>
                <w:i/>
                <w:lang w:val="de-DE"/>
              </w:rPr>
              <w:t>Income Tax Act 2007</w:t>
            </w:r>
            <w:r w:rsidRPr="00A305A6">
              <w:rPr>
                <w:lang w:val="de-DE"/>
              </w:rPr>
              <w:t>; "</w:t>
            </w:r>
            <w:r w:rsidRPr="0012714D">
              <w:rPr>
                <w:b/>
                <w:lang w:val="de-DE"/>
              </w:rPr>
              <w:t>ITA 2007</w:t>
            </w:r>
            <w:r w:rsidRPr="00A305A6">
              <w:rPr>
                <w:lang w:val="de-DE"/>
              </w:rPr>
              <w:t>") ist und weiterhin bleibt und weiter vorausgesetzt, dass jegliche solcher Zinsen im Rahmen des gewöhnlichen Geschäftsgangs der Emittentin im Sinne der Section 878 des ITA 2007 gezahlt werden.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140FCD" w:rsidP="0012714D">
            <w:pPr>
              <w:pStyle w:val="CSBody0"/>
            </w:pPr>
            <w:r w:rsidRPr="00140FCD">
              <w:t>In the absence of any applicable exemption, an amount must generally be withheld from payments of interest or annual payments arising in the United Kingdom on the Complex Products (or from payments made in respect of Complex Products which are regarded as interest or annual payments arising in the United Kingdom) for United Kingdom tax purposes, on account of United Kingdom income tax at the basic rate (currently 20%).</w:t>
            </w:r>
          </w:p>
        </w:tc>
        <w:tc>
          <w:tcPr>
            <w:tcW w:w="2487" w:type="pct"/>
            <w:tcBorders>
              <w:left w:val="single" w:sz="4" w:space="0" w:color="auto"/>
            </w:tcBorders>
          </w:tcPr>
          <w:p w:rsidR="00A305A6" w:rsidRPr="00A305A6" w:rsidP="0012714D">
            <w:pPr>
              <w:pStyle w:val="CSBody0"/>
              <w:rPr>
                <w:lang w:val="de-DE"/>
              </w:rPr>
            </w:pPr>
            <w:r w:rsidRPr="00A305A6">
              <w:rPr>
                <w:lang w:val="de-DE"/>
              </w:rPr>
              <w:t>Soweit keine Ausnahmeregelung greift, ist auf im Vereinigten Königreich entstehende Zinsen oder jährliche Zahlungen auf die Komplexen Produkte (oder auf Zahlungen auf die Komplexen Produkte, die als im Vereinigten Königreich entstehende Zinsen oder jährliche Zahlungen auf die Komplexen Produkte eingestuft werden) für Steuerzwecke des Vereinigten Königreichs grundsätzlich aufgrund der Einkommensteuer im Vereinigten Königreich ein Betrag in Höhe des Basissatzes (derzeit 20%) einzubehalten.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A305A6" w:rsidRPr="00140FCD" w:rsidP="0012714D">
            <w:pPr>
              <w:pStyle w:val="CSBody0"/>
            </w:pPr>
            <w:r w:rsidRPr="00140FCD">
              <w:t>In the event that any withholding or deduction for or on account of tax imposed in the United Kingdom is required by law, the Issuer will assume the responsibility of such withholding or deduction.</w:t>
            </w:r>
          </w:p>
        </w:tc>
        <w:tc>
          <w:tcPr>
            <w:tcW w:w="2487" w:type="pct"/>
            <w:tcBorders>
              <w:left w:val="single" w:sz="4" w:space="0" w:color="auto"/>
            </w:tcBorders>
            <w:shd w:val="clear" w:color="auto" w:fill="auto"/>
          </w:tcPr>
          <w:p w:rsidR="00A305A6" w:rsidRPr="00A305A6" w:rsidP="0012714D">
            <w:pPr>
              <w:pStyle w:val="CSBody0"/>
              <w:rPr>
                <w:lang w:val="de-DE"/>
              </w:rPr>
            </w:pPr>
            <w:r w:rsidRPr="00A305A6">
              <w:rPr>
                <w:lang w:val="de-DE"/>
              </w:rPr>
              <w:t>Für den Fall, dass ein Einbehalt oder Abzug für oder aufgrund von im Vereinigten Königreich auferlegter Steuern kraft Gesetzes notwendig ist, wird die Emittentin die Verantwortung für den Einbehalt oder Abzug übernehmen.</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33731A" w:rsidRPr="005B5713" w:rsidP="0012714D">
            <w:pPr>
              <w:pStyle w:val="CSbody0bold"/>
            </w:pPr>
            <w:r w:rsidRPr="005B5713">
              <w:t>EU Savings Directive</w:t>
            </w:r>
          </w:p>
        </w:tc>
        <w:tc>
          <w:tcPr>
            <w:tcW w:w="2487" w:type="pct"/>
            <w:tcBorders>
              <w:left w:val="single" w:sz="4" w:space="0" w:color="auto"/>
            </w:tcBorders>
            <w:shd w:val="clear" w:color="auto" w:fill="auto"/>
          </w:tcPr>
          <w:p w:rsidR="0033731A" w:rsidRPr="005B5713" w:rsidP="0012714D">
            <w:pPr>
              <w:pStyle w:val="CSbody0bold"/>
            </w:pPr>
            <w:r w:rsidRPr="005B5713">
              <w:t>EU-Richtlinie zur Besteuerung von Zinsbeträgen</w:t>
            </w:r>
            <w:r w:rsidRPr="005B5713">
              <w:t xml:space="preserve"> </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4E40DC" w:rsidRPr="006F7E29">
            <w:pPr>
              <w:pStyle w:val="CSBody0"/>
            </w:pPr>
            <w:r w:rsidRPr="006F7E29">
              <w:t xml:space="preserve">Under the Directive, Member States are required to provide to the tax authorities of other Member States details of certain payments of interest or similar income paid or secured by a person established in a Member State to or for the benefit of an individual resident in another Member State or certain limited types of entities established in another Member State. </w:t>
            </w:r>
          </w:p>
        </w:tc>
        <w:tc>
          <w:tcPr>
            <w:tcW w:w="2487" w:type="pct"/>
            <w:tcBorders>
              <w:left w:val="single" w:sz="4" w:space="0" w:color="auto"/>
            </w:tcBorders>
            <w:shd w:val="clear" w:color="auto" w:fill="auto"/>
          </w:tcPr>
          <w:p w:rsidR="004E40DC" w:rsidRPr="004E40DC">
            <w:pPr>
              <w:pStyle w:val="CSBody0"/>
              <w:rPr>
                <w:lang w:val="de-DE"/>
              </w:rPr>
            </w:pPr>
            <w:r w:rsidRPr="004E40DC">
              <w:rPr>
                <w:lang w:val="de-DE"/>
              </w:rPr>
              <w:t xml:space="preserve">Nach der EU-Zinsbesteuerungsrichtlinie sind Mitgliedstaaten zur Übermittlung von Auskünften über Zinsen oder ähnlichen Einkünften gegenüber den Steuerbehörden anderer Mitgliedstaaten verpflichtet, wenn diese Einkünfte von einer in </w:t>
            </w:r>
            <w:r w:rsidR="005569F3">
              <w:rPr>
                <w:lang w:val="de-DE"/>
              </w:rPr>
              <w:t>einem</w:t>
            </w:r>
            <w:r w:rsidRPr="004E40DC" w:rsidR="005569F3">
              <w:rPr>
                <w:lang w:val="de-DE"/>
              </w:rPr>
              <w:t xml:space="preserve"> </w:t>
            </w:r>
            <w:r w:rsidRPr="004E40DC">
              <w:rPr>
                <w:lang w:val="de-DE"/>
              </w:rPr>
              <w:t xml:space="preserve">Mitgliedstaat ansässigen Person an oder zu Gunsten von in anderen Mitgliedstaaten ansässigen natürlichen Personen oder bestimmten dort errichteten Einrichtungen gezahlt oder von diesen vereinnahmt werden. </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2540D4" w:rsidRPr="002540D4" w:rsidP="0012714D">
            <w:pPr>
              <w:pStyle w:val="CSBody0"/>
            </w:pPr>
            <w:r w:rsidRPr="002540D4">
              <w:t xml:space="preserve">For a transitional period, Austria is </w:t>
            </w:r>
            <w:r w:rsidR="005569F3">
              <w:t xml:space="preserve">instead </w:t>
            </w:r>
            <w:r w:rsidRPr="002540D4">
              <w:t>required (unless during that period it elects otherwise) to operate a withholding system in relation to such payments</w:t>
            </w:r>
            <w:r w:rsidR="005569F3">
              <w:t xml:space="preserve"> </w:t>
            </w:r>
            <w:r w:rsidRPr="005569F3" w:rsidR="005569F3">
              <w:t>(subject to a procedure whereby, on meeting certain conditions, the beneficial owner of the interest or other similar income may request that no tax be withheld)</w:t>
            </w:r>
            <w:r w:rsidRPr="002540D4">
              <w:t>. The end of the transitional period is dependent upon the conclusion of certain other agreements relating to information exchange with certain other countries. A number of non-EU countries and territories including Switzerland have adopted similar measures (a withholding system in the case of Switzerland).</w:t>
            </w:r>
          </w:p>
        </w:tc>
        <w:tc>
          <w:tcPr>
            <w:tcW w:w="2487" w:type="pct"/>
            <w:tcBorders>
              <w:left w:val="single" w:sz="4" w:space="0" w:color="auto"/>
            </w:tcBorders>
            <w:shd w:val="clear" w:color="auto" w:fill="auto"/>
          </w:tcPr>
          <w:p w:rsidR="002540D4" w:rsidRPr="004E40DC" w:rsidP="0012714D">
            <w:pPr>
              <w:pStyle w:val="CSBody0"/>
              <w:rPr>
                <w:lang w:val="de-DE"/>
              </w:rPr>
            </w:pPr>
            <w:r w:rsidRPr="00185FD9">
              <w:rPr>
                <w:lang w:val="de-DE"/>
              </w:rPr>
              <w:t>Während eines Übergangszeitraums muss Österreich</w:t>
            </w:r>
            <w:r w:rsidRPr="00E832D2" w:rsidR="005569F3">
              <w:rPr>
                <w:lang w:val="de-DE"/>
              </w:rPr>
              <w:t xml:space="preserve"> </w:t>
            </w:r>
            <w:r w:rsidRPr="005569F3" w:rsidR="005569F3">
              <w:rPr>
                <w:lang w:val="de-DE"/>
              </w:rPr>
              <w:t>stattdessen</w:t>
            </w:r>
            <w:r w:rsidRPr="00185FD9">
              <w:rPr>
                <w:lang w:val="de-DE"/>
              </w:rPr>
              <w:t xml:space="preserve"> (es sei denn, es entscheidet sich während dieses Zeitraums anderweitig) in Bezug auf entsprechende Zahlungen einen Steuereinbehalt vornehmen</w:t>
            </w:r>
            <w:r w:rsidR="005569F3">
              <w:rPr>
                <w:lang w:val="de-DE"/>
              </w:rPr>
              <w:t xml:space="preserve"> </w:t>
            </w:r>
            <w:r w:rsidRPr="005569F3" w:rsidR="005569F3">
              <w:rPr>
                <w:lang w:val="de-DE"/>
              </w:rPr>
              <w:t>(vorbehaltlich eines Verfahrens, nach dem der Empfänger der Zinsen oder ähnlicher Einkünfte unter bestimmten Voraussetzungen verlangen kann, dass kein Steuereinbehalt durchzuführen ist)</w:t>
            </w:r>
            <w:r w:rsidRPr="00185FD9">
              <w:rPr>
                <w:lang w:val="de-DE"/>
              </w:rPr>
              <w:t>. Das Ende dieses Übergangszeitraums hängt vom Abschluss bestimmter anderer Vereinbarungen über den Austausch von Informationen mit bestimmten anderen Ländern ab. Eine Reihe von Nicht-EU-Ländern und -Gebieten, darunter die Schweiz, haben entsprechende Massnahmen eingeführt (im Fall der Schweiz ein System des Steuereinbehalts).</w:t>
            </w:r>
          </w:p>
        </w:tc>
      </w:tr>
      <w:tr w:rsidTr="0091684B">
        <w:tblPrEx>
          <w:tblW w:w="5000" w:type="pct"/>
          <w:tblInd w:w="13" w:type="dxa"/>
          <w:tblLayout w:type="fixed"/>
          <w:tblLook w:val="00A0"/>
        </w:tblPrEx>
        <w:trPr>
          <w:gridBefore w:val="1"/>
          <w:wBefore w:w="25" w:type="dxa"/>
          <w:trHeight w:val="527"/>
        </w:trPr>
        <w:tc>
          <w:tcPr>
            <w:tcW w:w="2500" w:type="pct"/>
            <w:tcBorders>
              <w:right w:val="single" w:sz="4" w:space="0" w:color="auto"/>
            </w:tcBorders>
          </w:tcPr>
          <w:p w:rsidR="002540D4" w:rsidRPr="002D5B42">
            <w:pPr>
              <w:pStyle w:val="CSBody0"/>
            </w:pPr>
            <w:r w:rsidRPr="005569F3">
              <w:t>On 10 November 2015, the Council of the European Union adopte</w:t>
            </w:r>
            <w:r>
              <w:t>d a Council Directive repealing</w:t>
            </w:r>
            <w:r w:rsidRPr="00082EDB">
              <w:t xml:space="preserve"> the Directive from 1 January 2017 in the case of Austria and from 1 January 2016 in the case of all other Member States (subject to on-going requirements to fulfil administrative obligations such as the reporting and exchange of information relating to, and accounting for withholding taxes on, payments made before those dates). This is to prevent overlap between the Directive and a new automatic exchange of information regime to be implemented under Council Directive 2011/16/EU on Administrative Cooperation in the field of Taxation (as amended by Council Directive 2014/107/EU).</w:t>
            </w:r>
            <w:r w:rsidR="002158AF">
              <w:t xml:space="preserve"> </w:t>
            </w:r>
            <w:r w:rsidRPr="002158AF" w:rsidR="002158AF">
              <w:t>The new regime under Council Directive 2011/16/EU (as amended) is in accordance with the Global Standard released by the Organisation for Economic Co-operation and Development in July 2014. Council Directive 2011/16/EU (as amended) is generally broader in scope than the Directive, although it does not impose withholding taxes</w:t>
            </w:r>
            <w:r w:rsidRPr="00082EDB">
              <w:t xml:space="preserve"> .</w:t>
            </w:r>
          </w:p>
        </w:tc>
        <w:tc>
          <w:tcPr>
            <w:tcW w:w="2487" w:type="pct"/>
            <w:tcBorders>
              <w:left w:val="single" w:sz="4" w:space="0" w:color="auto"/>
            </w:tcBorders>
            <w:shd w:val="clear" w:color="auto" w:fill="auto"/>
          </w:tcPr>
          <w:p w:rsidR="002540D4" w:rsidRPr="004E40DC">
            <w:pPr>
              <w:pStyle w:val="CSBody0"/>
              <w:rPr>
                <w:lang w:val="de-DE"/>
              </w:rPr>
            </w:pPr>
            <w:r w:rsidRPr="002158AF">
              <w:rPr>
                <w:lang w:val="de-DE"/>
              </w:rPr>
              <w:t>Am 10. November 2015 hat der Rat der Europäischen Union eine Richtlinie beschlossen,</w:t>
            </w:r>
            <w:r w:rsidRPr="00185FD9">
              <w:rPr>
                <w:lang w:val="de-DE"/>
              </w:rPr>
              <w:t xml:space="preserve">die </w:t>
            </w:r>
            <w:r>
              <w:rPr>
                <w:lang w:val="de-DE"/>
              </w:rPr>
              <w:t xml:space="preserve">eine </w:t>
            </w:r>
            <w:r w:rsidRPr="00185FD9">
              <w:rPr>
                <w:lang w:val="de-DE"/>
              </w:rPr>
              <w:t xml:space="preserve">Aufhebung der EU-Zinsbesteuerungsrichtlinie mit Wirkung vom 1. Januar 2016 (im Fall von Österreich mit Wirkung vom 1. Januar 2017) </w:t>
            </w:r>
            <w:r>
              <w:rPr>
                <w:lang w:val="de-DE"/>
              </w:rPr>
              <w:t>vorsieht</w:t>
            </w:r>
            <w:r w:rsidRPr="00185FD9">
              <w:rPr>
                <w:lang w:val="de-DE"/>
              </w:rPr>
              <w:t xml:space="preserve">, sofern die administrativen Anforderungen zur Meldung und zum Austausch von Informationen über die Zahlungen bzw. über die Erhebung von Quellensteuern auf die Zahlungen vor diesen Zeitpunkten weiterhin gelten. Dies soll Überschneidungen zwischen dem Anwendungsbereich der EU-Zinsbesteuerungsrichtlinie und dem automatischen Austausch von Informationen nach der Richtlinie 2011/16/EU über die Zusammenarbeit der Verwaltungsbehörden im Bereich der Besteuerung (geändert durch die Richtlinie 2014/107/EU) verhindern. </w:t>
            </w:r>
            <w:r w:rsidRPr="002158AF">
              <w:rPr>
                <w:lang w:val="de-DE"/>
              </w:rPr>
              <w:t>Das neue Verfahren unter der geänderten Richtlinie des Rates 2011/16/EU steht im Einklang mit den allgemeinen Anforderungen des Organisation für Wirtschaftliche Zusammenarbeit und Entwicklung aus Juli 2014. Der Anwendungsbereich der geänderten Richtlinie des Rates 2011/16/EU ist generell weiter als der der EU-Zinsbesteuerungsrichtlinie, allerdings ist keine Erhebung eines Steuerabzugs vorgesehen</w:t>
            </w:r>
            <w:r w:rsidRPr="00185FD9">
              <w:rPr>
                <w:lang w:val="de-DE"/>
              </w:rPr>
              <w: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hideMark/>
          </w:tcPr>
          <w:p w:rsidR="0033731A" w:rsidRPr="0046463E" w:rsidP="004553D8">
            <w:pPr>
              <w:pStyle w:val="CSbody0bold"/>
              <w:rPr>
                <w:lang w:val="en-GB"/>
              </w:rPr>
            </w:pPr>
            <w:r w:rsidRPr="0046463E">
              <w:rPr>
                <w:lang w:val="en-GB"/>
              </w:rPr>
              <w:t>The proposed financial transactions tax</w:t>
            </w:r>
          </w:p>
        </w:tc>
        <w:tc>
          <w:tcPr>
            <w:tcW w:w="2487" w:type="pct"/>
            <w:tcBorders>
              <w:top w:val="nil"/>
              <w:left w:val="single" w:sz="4" w:space="0" w:color="auto"/>
              <w:bottom w:val="nil"/>
              <w:right w:val="nil"/>
            </w:tcBorders>
            <w:shd w:val="clear" w:color="auto" w:fill="auto"/>
            <w:hideMark/>
          </w:tcPr>
          <w:p w:rsidR="0033731A" w:rsidRPr="005B5713" w:rsidP="004553D8">
            <w:pPr>
              <w:pStyle w:val="CSbody0bold"/>
              <w:rPr>
                <w:rFonts w:eastAsia="Times New Roman"/>
                <w:sz w:val="20"/>
                <w:szCs w:val="20"/>
              </w:rPr>
            </w:pPr>
            <w:r w:rsidRPr="005B5713">
              <w:t>Die vorgeschlagene Finanztransaktionssteuer</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E40DC" w:rsidRPr="004703CA" w:rsidP="00383518">
            <w:pPr>
              <w:pStyle w:val="CSBody0"/>
            </w:pPr>
            <w:r w:rsidRPr="004703CA">
              <w:t xml:space="preserve">On 14 February 2013, the European Commission published a proposal (the </w:t>
            </w:r>
            <w:r w:rsidRPr="004553D8">
              <w:rPr>
                <w:b/>
              </w:rPr>
              <w:t>Commission’s Proposal</w:t>
            </w:r>
            <w:r w:rsidRPr="004703CA">
              <w:t>) for a Directive for a common financial transaction</w:t>
            </w:r>
            <w:r w:rsidR="002158AF">
              <w:t>s</w:t>
            </w:r>
            <w:r w:rsidRPr="004703CA">
              <w:t xml:space="preserve"> tax (FTT) in Belgium, Germany, Estonia, Greece, Spain, France, Italy, Austria,Portugal, Slovenia and Slovakia (the </w:t>
            </w:r>
            <w:r w:rsidRPr="004553D8">
              <w:rPr>
                <w:b/>
              </w:rPr>
              <w:t>participating Member States</w:t>
            </w:r>
            <w:r w:rsidRPr="004703CA">
              <w:t>).</w:t>
            </w:r>
          </w:p>
        </w:tc>
        <w:tc>
          <w:tcPr>
            <w:tcW w:w="2487" w:type="pct"/>
            <w:tcBorders>
              <w:top w:val="nil"/>
              <w:left w:val="single" w:sz="4" w:space="0" w:color="auto"/>
              <w:bottom w:val="nil"/>
              <w:right w:val="nil"/>
            </w:tcBorders>
            <w:shd w:val="clear" w:color="auto" w:fill="auto"/>
          </w:tcPr>
          <w:p w:rsidR="004E40DC" w:rsidRPr="004E40DC" w:rsidP="004553D8">
            <w:pPr>
              <w:pStyle w:val="CSBody0"/>
              <w:rPr>
                <w:lang w:val="de-DE"/>
              </w:rPr>
            </w:pPr>
            <w:r w:rsidRPr="004E40DC">
              <w:rPr>
                <w:lang w:val="de-DE"/>
              </w:rPr>
              <w:t>Am 14. Februar 2013 hat die Europäische Kommission einen Vorschlag für eine Richtlinie zu einer gemeinsamen Finanztransaktionssteuer der teilnehmenden Mitgliedstaaten Belgien, Deutschland, Estland, Griechenland, Spanien, Frankreich, Italien, Österreich, Portugal, Slowenien und Slowakei veröffentlicht.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E40DC" w:rsidRPr="004703CA" w:rsidP="004553D8">
            <w:pPr>
              <w:pStyle w:val="CSBody0"/>
            </w:pPr>
            <w:r w:rsidRPr="004703CA">
              <w:t>The Commission’s Proposal has very broad scope and could, if introduced, apply to certain dealings in the Complex Products (including secondary market transactions) in certain circumstances. Primary market transactions referred to in Article 5(c) of Regulation (EC) No 1287/2006 are exempt.</w:t>
            </w:r>
          </w:p>
        </w:tc>
        <w:tc>
          <w:tcPr>
            <w:tcW w:w="2487" w:type="pct"/>
            <w:tcBorders>
              <w:top w:val="nil"/>
              <w:left w:val="single" w:sz="4" w:space="0" w:color="auto"/>
              <w:bottom w:val="nil"/>
              <w:right w:val="nil"/>
            </w:tcBorders>
            <w:shd w:val="clear" w:color="auto" w:fill="auto"/>
          </w:tcPr>
          <w:p w:rsidR="004E40DC" w:rsidRPr="004E40DC" w:rsidP="00383518">
            <w:pPr>
              <w:pStyle w:val="CSBody0"/>
              <w:rPr>
                <w:lang w:val="de-DE"/>
              </w:rPr>
            </w:pPr>
            <w:r w:rsidRPr="004E40DC">
              <w:rPr>
                <w:lang w:val="de-DE"/>
              </w:rPr>
              <w:t>Der von der Europäischen Kommission vorgeschlagene Finanztransaktionssteuer ist sehr weit gefasst und könnte nach ihrer Einführung für bestimmte Transaktionen mit den Komplexen Produkten (darunter auch Sekundärmarktgeschäfte) unter bestimmten Voraussetzungen Anwendung finden. Primärmarktgeschäfte, auf die in Art. 5 (c) der Verordnung (EC) Nr. 1287/2006 Bezug genommen wird, sind ausgenommen.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E40DC" w:rsidRPr="00076F6D" w:rsidP="004553D8">
            <w:pPr>
              <w:pStyle w:val="CSBody0"/>
            </w:pPr>
            <w:r w:rsidRPr="00076F6D">
              <w:t>Under the Commission’s Proposal the FTT could apply in certain circumstances to persons both within and outside of the participating Member States. Generally, it would apply to certain dealings in the Complex Products where at least one party is a financial institution, and at least one party is established in a participating Member State. A financial institution may be, or be deemed to be, "established" in a participating Member State in a broad range of circumstances, including (a) by transacting with a person established in a participating Member State or (b) where the financial instrument which is subject to the dealings is issued in a participating Member State.</w:t>
            </w:r>
          </w:p>
        </w:tc>
        <w:tc>
          <w:tcPr>
            <w:tcW w:w="2487" w:type="pct"/>
            <w:tcBorders>
              <w:top w:val="nil"/>
              <w:left w:val="single" w:sz="4" w:space="0" w:color="auto"/>
              <w:bottom w:val="nil"/>
              <w:right w:val="nil"/>
            </w:tcBorders>
            <w:shd w:val="clear" w:color="auto" w:fill="auto"/>
          </w:tcPr>
          <w:p w:rsidR="004E40DC" w:rsidRPr="004E40DC" w:rsidP="00383518">
            <w:pPr>
              <w:pStyle w:val="CSBody0"/>
              <w:rPr>
                <w:lang w:val="de-DE"/>
              </w:rPr>
            </w:pPr>
            <w:r w:rsidRPr="004E40DC">
              <w:rPr>
                <w:lang w:val="de-DE"/>
              </w:rPr>
              <w:t>Nach dem Vorschlag der Europäischen Kommission könnte die Finanztransaktionssteuer unter bestimmten Voraussetzungen auf innerhalb und au</w:t>
            </w:r>
            <w:r w:rsidR="00383518">
              <w:rPr>
                <w:lang w:val="de-DE"/>
              </w:rPr>
              <w:t>ss</w:t>
            </w:r>
            <w:r w:rsidRPr="004E40DC">
              <w:rPr>
                <w:lang w:val="de-DE"/>
              </w:rPr>
              <w:t>erhalb der teilnehmenden Mitgliedstaaten ansässige Personen Anwendung finden. Grundsätzlich soll die Steuer für bestimmte Transaktionen mit den Komplexen Produkten gelten, bei denen mindestens eine Partei ein Finanzinstitut ist und bei denen mindestens eine Partei in einem teilnehmenden Mitgliedstaat ansässig ist. Die Fälle, in denen ein Finanzinstitut in einem teilnehmenden Mitgliedstaat "ansässig" ist bzw. dort als "ansässig" gilt, sind weit gefasst und umfassen unter anderem auch (a) den Abschluss von Transaktionen mit einer Person, die in einem teilnehmenden Mitgliedstaat ansässig ist, sowie (b) Fälle, in denen das zugrunde liegende Finanzinstrument in einem teilnehmenden Mitgliedstaat begeben wurde.</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E40DC" w:rsidRPr="00076F6D" w:rsidP="002158AF">
            <w:pPr>
              <w:pStyle w:val="CSBody0"/>
            </w:pPr>
            <w:r>
              <w:t>However, t</w:t>
            </w:r>
            <w:r w:rsidRPr="00076F6D">
              <w:t xml:space="preserve">he FTT proposal remains subject to negotiation between the participating Member States. </w:t>
            </w:r>
            <w:r w:rsidRPr="002158AF" w:rsidR="002158AF">
              <w:t>It may therefore be altered prior to any implementation, the timing of which remains unclear</w:t>
            </w:r>
            <w:r w:rsidR="002158AF">
              <w:t>.</w:t>
            </w:r>
            <w:r w:rsidRPr="002158AF" w:rsidR="002158AF">
              <w:t xml:space="preserve"> </w:t>
            </w:r>
            <w:r w:rsidRPr="00076F6D">
              <w:t>Additional EU Member States may decide to participate. Prospective holders of the Complex Products are advised to seek their own professional advice in relation to the FTT.</w:t>
            </w:r>
          </w:p>
        </w:tc>
        <w:tc>
          <w:tcPr>
            <w:tcW w:w="2487" w:type="pct"/>
            <w:tcBorders>
              <w:top w:val="nil"/>
              <w:left w:val="single" w:sz="4" w:space="0" w:color="auto"/>
              <w:bottom w:val="nil"/>
              <w:right w:val="nil"/>
            </w:tcBorders>
            <w:shd w:val="clear" w:color="auto" w:fill="auto"/>
          </w:tcPr>
          <w:p w:rsidR="004E40DC" w:rsidRPr="004E40DC" w:rsidP="002158AF">
            <w:pPr>
              <w:pStyle w:val="CSBody0"/>
              <w:rPr>
                <w:lang w:val="de-DE"/>
              </w:rPr>
            </w:pPr>
            <w:r>
              <w:rPr>
                <w:lang w:val="de-DE"/>
              </w:rPr>
              <w:t>Allerdings wird d</w:t>
            </w:r>
            <w:r w:rsidRPr="004E40DC">
              <w:rPr>
                <w:lang w:val="de-DE"/>
              </w:rPr>
              <w:t xml:space="preserve">er Vorschlag zur Finanztransaktionssteuer derzeit noch zwischen den teilnehmenden Mitgliedstaaten verhandelt. </w:t>
            </w:r>
            <w:r w:rsidRPr="002158AF" w:rsidR="002158AF">
              <w:rPr>
                <w:lang w:val="de-DE"/>
              </w:rPr>
              <w:t>Er könnte daher vor seiner Implementierung noch geändert werden. Der Zeitpunkt der Einführung der Finanztransaktionssteuer ist zudem unklar</w:t>
            </w:r>
            <w:r w:rsidR="002158AF">
              <w:rPr>
                <w:lang w:val="de-DE"/>
              </w:rPr>
              <w:t>.</w:t>
            </w:r>
            <w:r w:rsidRPr="002158AF" w:rsidR="002158AF">
              <w:rPr>
                <w:lang w:val="de-DE"/>
              </w:rPr>
              <w:t xml:space="preserve"> </w:t>
            </w:r>
            <w:r w:rsidRPr="004E40DC">
              <w:rPr>
                <w:lang w:val="de-DE"/>
              </w:rPr>
              <w:t>Weitere EU-Mitgliedstaaten werden sich möglicherweise noch für eine Teilnahme entscheiden. Potenziellen Investoren der Komplexen Produkte wird deshalb empfohlen, ihre eigenen Fachberater hinsichtlich der Auswirkungen der Finanztransaktionssteuer zu konsultieren.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E40DC" w:rsidRPr="0046463E" w:rsidP="004553D8">
            <w:pPr>
              <w:pStyle w:val="CSbody0bold"/>
              <w:rPr>
                <w:lang w:val="en-GB"/>
              </w:rPr>
            </w:pPr>
            <w:r w:rsidRPr="0046463E">
              <w:rPr>
                <w:lang w:val="en-GB"/>
              </w:rPr>
              <w:t>Foreign Account Tax Compliance Act</w:t>
            </w:r>
          </w:p>
        </w:tc>
        <w:tc>
          <w:tcPr>
            <w:tcW w:w="2487" w:type="pct"/>
            <w:tcBorders>
              <w:top w:val="nil"/>
              <w:left w:val="single" w:sz="4" w:space="0" w:color="auto"/>
              <w:bottom w:val="nil"/>
              <w:right w:val="nil"/>
            </w:tcBorders>
            <w:shd w:val="clear" w:color="auto" w:fill="auto"/>
          </w:tcPr>
          <w:p w:rsidR="004E40DC" w:rsidRPr="0046463E" w:rsidP="004553D8">
            <w:pPr>
              <w:pStyle w:val="CSbody0bold"/>
              <w:rPr>
                <w:lang w:val="en-GB"/>
              </w:rPr>
            </w:pPr>
            <w:r w:rsidRPr="0046463E">
              <w:rPr>
                <w:lang w:val="en-GB"/>
              </w:rPr>
              <w:t>Foreign Account Tax Compliance Act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E40DC" w:rsidRPr="00091E82">
            <w:pPr>
              <w:pStyle w:val="CSBody0"/>
            </w:pPr>
            <w:r w:rsidRPr="00091E82">
              <w:t>Sections 1471 through 1474 of the U.S. Internal Revenue Code of 1986 ("</w:t>
            </w:r>
            <w:r w:rsidRPr="004553D8">
              <w:rPr>
                <w:b/>
              </w:rPr>
              <w:t>FATCA</w:t>
            </w:r>
            <w:r w:rsidRPr="00091E82">
              <w:t>") impose a new reporting regime and potentially a 30</w:t>
            </w:r>
            <w:r w:rsidR="00E832D2">
              <w:t xml:space="preserve"> </w:t>
            </w:r>
            <w:r w:rsidR="002540D4">
              <w:t>per cent</w:t>
            </w:r>
            <w:r w:rsidRPr="00091E82" w:rsidR="002540D4">
              <w:t xml:space="preserve"> </w:t>
            </w:r>
            <w:r w:rsidRPr="00091E82">
              <w:t>withholding tax with respect to certain payments to any non-U.S. financial institution (a "foreign financial institution", or "</w:t>
            </w:r>
            <w:r w:rsidRPr="004553D8">
              <w:rPr>
                <w:b/>
              </w:rPr>
              <w:t>FFI</w:t>
            </w:r>
            <w:r w:rsidRPr="00091E82">
              <w:t>" (as defined by FATCA)) that does not become a "</w:t>
            </w:r>
            <w:r w:rsidRPr="004553D8">
              <w:rPr>
                <w:b/>
              </w:rPr>
              <w:t>Participating FFI</w:t>
            </w:r>
            <w:r w:rsidRPr="00091E82">
              <w:t>" by entering into an agreement with the U.S. Internal Revenue Service ("</w:t>
            </w:r>
            <w:r w:rsidRPr="004553D8">
              <w:rPr>
                <w:b/>
              </w:rPr>
              <w:t>IRS</w:t>
            </w:r>
            <w:r w:rsidRPr="00091E82">
              <w:t xml:space="preserve">") to provide the IRS with certain information in respect of its account holders and investors or is not otherwise exempt from or in deemed compliance with FATCA. The Issuer </w:t>
            </w:r>
            <w:r w:rsidR="00A84B22">
              <w:t>is</w:t>
            </w:r>
            <w:r w:rsidRPr="00091E82">
              <w:t xml:space="preserve"> classified as an FFI.</w:t>
            </w:r>
          </w:p>
        </w:tc>
        <w:tc>
          <w:tcPr>
            <w:tcW w:w="2487" w:type="pct"/>
            <w:tcBorders>
              <w:top w:val="nil"/>
              <w:left w:val="single" w:sz="4" w:space="0" w:color="auto"/>
              <w:bottom w:val="nil"/>
              <w:right w:val="nil"/>
            </w:tcBorders>
            <w:shd w:val="clear" w:color="auto" w:fill="auto"/>
          </w:tcPr>
          <w:p w:rsidR="004E40DC" w:rsidRPr="004553D8">
            <w:pPr>
              <w:pStyle w:val="CSBody0"/>
              <w:rPr>
                <w:lang w:val="de-DE"/>
              </w:rPr>
            </w:pPr>
            <w:r w:rsidRPr="004E40DC">
              <w:rPr>
                <w:lang w:val="de-DE"/>
              </w:rPr>
              <w:t>Mit Sections 1471 bis 1474 des US-amerikanischen Steuergesetzes (</w:t>
            </w:r>
            <w:r w:rsidRPr="004553D8">
              <w:rPr>
                <w:i/>
                <w:lang w:val="de-DE"/>
              </w:rPr>
              <w:t>US Internal Revenue Code</w:t>
            </w:r>
            <w:r w:rsidRPr="004E40DC">
              <w:rPr>
                <w:lang w:val="de-DE"/>
              </w:rPr>
              <w:t>) von 1986 ("</w:t>
            </w:r>
            <w:r w:rsidRPr="004553D8">
              <w:rPr>
                <w:b/>
                <w:lang w:val="de-DE"/>
              </w:rPr>
              <w:t>FATCA</w:t>
            </w:r>
            <w:r w:rsidRPr="004E40DC">
              <w:rPr>
                <w:lang w:val="de-DE"/>
              </w:rPr>
              <w:t xml:space="preserve">") wird ein neues Steuermeldesystem sowie ein potenzieller Steuereinbehalt in Höhe von 30% auf bestimmte Zahlungen eingeführt, und zwar </w:t>
            </w:r>
            <w:r w:rsidR="00A84B22">
              <w:rPr>
                <w:lang w:val="de-DE"/>
              </w:rPr>
              <w:t>Zahlungen</w:t>
            </w:r>
            <w:r w:rsidRPr="004E40DC" w:rsidR="00A84B22">
              <w:rPr>
                <w:lang w:val="de-DE"/>
              </w:rPr>
              <w:t xml:space="preserve"> </w:t>
            </w:r>
            <w:r w:rsidRPr="004E40DC">
              <w:rPr>
                <w:lang w:val="de-DE"/>
              </w:rPr>
              <w:t xml:space="preserve">an  Nicht-US-Finanzinstitute (jeweils ein "ausländisches Finanzinstitut" </w:t>
            </w:r>
            <w:r w:rsidR="002540D4">
              <w:rPr>
                <w:lang w:val="de-DE"/>
              </w:rPr>
              <w:t xml:space="preserve">(foreign financial institution; </w:t>
            </w:r>
            <w:r w:rsidRPr="004E40DC">
              <w:rPr>
                <w:lang w:val="de-DE"/>
              </w:rPr>
              <w:t>"</w:t>
            </w:r>
            <w:r w:rsidRPr="004553D8">
              <w:rPr>
                <w:b/>
                <w:lang w:val="de-DE"/>
              </w:rPr>
              <w:t>FFI</w:t>
            </w:r>
            <w:r w:rsidRPr="004E40DC">
              <w:rPr>
                <w:lang w:val="de-DE"/>
              </w:rPr>
              <w:t>") (im Sinne des FATCA)), die nicht aufgrund einer Vereinbarung mit der US-Bundessteuerbehörde (</w:t>
            </w:r>
            <w:r w:rsidRPr="004553D8">
              <w:rPr>
                <w:i/>
                <w:lang w:val="de-DE"/>
              </w:rPr>
              <w:t>U</w:t>
            </w:r>
            <w:r w:rsidR="002540D4">
              <w:rPr>
                <w:i/>
                <w:lang w:val="de-DE"/>
              </w:rPr>
              <w:t>.</w:t>
            </w:r>
            <w:r w:rsidR="00474C21">
              <w:rPr>
                <w:i/>
                <w:lang w:val="de-DE"/>
              </w:rPr>
              <w:t>S</w:t>
            </w:r>
            <w:r w:rsidR="002540D4">
              <w:rPr>
                <w:i/>
                <w:lang w:val="de-DE"/>
              </w:rPr>
              <w:t>.</w:t>
            </w:r>
            <w:r w:rsidRPr="004553D8">
              <w:rPr>
                <w:i/>
                <w:lang w:val="de-DE"/>
              </w:rPr>
              <w:t xml:space="preserve"> Internal Revenue Service</w:t>
            </w:r>
            <w:r w:rsidRPr="004E40DC">
              <w:rPr>
                <w:lang w:val="de-DE"/>
              </w:rPr>
              <w:t>; "</w:t>
            </w:r>
            <w:r w:rsidRPr="004553D8">
              <w:rPr>
                <w:b/>
                <w:lang w:val="de-DE"/>
              </w:rPr>
              <w:t>IRS</w:t>
            </w:r>
            <w:r w:rsidRPr="004E40DC">
              <w:rPr>
                <w:lang w:val="de-DE"/>
              </w:rPr>
              <w:t>") ein "</w:t>
            </w:r>
            <w:r w:rsidRPr="00185FD9">
              <w:rPr>
                <w:b/>
                <w:lang w:val="de-DE"/>
              </w:rPr>
              <w:t>Teilnehmendes FFI</w:t>
            </w:r>
            <w:r w:rsidR="002540D4">
              <w:rPr>
                <w:lang w:val="de-DE"/>
              </w:rPr>
              <w:t>"</w:t>
            </w:r>
            <w:r w:rsidRPr="004E40DC">
              <w:rPr>
                <w:lang w:val="de-DE"/>
              </w:rPr>
              <w:t xml:space="preserve"> (</w:t>
            </w:r>
            <w:r w:rsidRPr="00185FD9">
              <w:rPr>
                <w:i/>
                <w:lang w:val="de-DE"/>
              </w:rPr>
              <w:t>Participating FFI</w:t>
            </w:r>
            <w:r w:rsidRPr="004E40DC">
              <w:rPr>
                <w:lang w:val="de-DE"/>
              </w:rPr>
              <w:t xml:space="preserve">) werden und der IRS somit bestimmte Angaben über ihre Kontoinhaber und Anleger übermitteln oder nicht anderweitig von der Anwendung des FATCA befreit sind oder als im Einklang mit dessen Vorschriften stehend gelten. </w:t>
            </w:r>
            <w:r w:rsidRPr="004553D8">
              <w:rPr>
                <w:lang w:val="de-DE"/>
              </w:rPr>
              <w:t xml:space="preserve">Die Emittentin </w:t>
            </w:r>
            <w:r w:rsidR="00A84B22">
              <w:rPr>
                <w:lang w:val="de-DE"/>
              </w:rPr>
              <w:t>wird</w:t>
            </w:r>
            <w:r w:rsidRPr="004553D8" w:rsidR="00A84B22">
              <w:rPr>
                <w:lang w:val="de-DE"/>
              </w:rPr>
              <w:t xml:space="preserve"> </w:t>
            </w:r>
            <w:r w:rsidRPr="004553D8">
              <w:rPr>
                <w:lang w:val="de-DE"/>
              </w:rPr>
              <w:t>als FFI eingestuft.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A204D4" w:rsidRPr="00B63757">
            <w:pPr>
              <w:pStyle w:val="CSBody0"/>
            </w:pPr>
            <w:r w:rsidRPr="00C93131">
              <w:t>The new withholding regime is now in effect for payments from sources within the United States and will apply to "</w:t>
            </w:r>
            <w:r w:rsidRPr="00185FD9">
              <w:rPr>
                <w:b/>
              </w:rPr>
              <w:t>foreign passthru payments</w:t>
            </w:r>
            <w:r w:rsidRPr="00C93131">
              <w:t>" (a term not yet defined) no earlier than 1 January 2019. This withholding would potentially apply to payments in respect of (i) any Complex Products characterized as debt (or which are not otherwise characterized as equity and have a fixed term) for U.S. federal tax purposes that are issued after the "</w:t>
            </w:r>
            <w:r w:rsidRPr="00185FD9">
              <w:rPr>
                <w:b/>
              </w:rPr>
              <w:t>grandfathering date</w:t>
            </w:r>
            <w:r w:rsidRPr="00C93131">
              <w:t>", which (A) with respect to Complex Products that give rise solely to foreign passthru payments, is the date that is six months after the date on which final U.S. Treasury regulations defining the term foreign passthru payment are filed with the Federal Register and (B) with respect to Complex Products that give rise to a dividend equivalent pursuant to section 871(m) of the U.S. Internal Revenue Code of 1986, is</w:t>
            </w:r>
            <w:r w:rsidR="00A84B22">
              <w:t xml:space="preserve"> 1 July 2017</w:t>
            </w:r>
            <w:r w:rsidRPr="00C93131">
              <w:t xml:space="preserve">, or </w:t>
            </w:r>
            <w:r w:rsidR="00A84B22">
              <w:t xml:space="preserve">(in each case) </w:t>
            </w:r>
            <w:r w:rsidRPr="00C93131">
              <w:t>which are materially modified after the grandfathering date and (ii) any Complex Products characterized as equity or which do not have a fixed term for U.S. federal tax purposes, whenever issued. If Complex Products are issued on or before the grandfathering date, and additional Complex Products of the same series are issued after that date, the additional Complex Products may not be treated as grandfathered, which may have negative consequences for the existing Complex Products, including a negative impact on market price.</w:t>
            </w:r>
          </w:p>
        </w:tc>
        <w:tc>
          <w:tcPr>
            <w:tcW w:w="2487" w:type="pct"/>
            <w:tcBorders>
              <w:top w:val="nil"/>
              <w:left w:val="single" w:sz="4" w:space="0" w:color="auto"/>
              <w:bottom w:val="nil"/>
              <w:right w:val="nil"/>
            </w:tcBorders>
            <w:shd w:val="clear" w:color="auto" w:fill="auto"/>
          </w:tcPr>
          <w:p w:rsidR="00A204D4" w:rsidRPr="004E40DC">
            <w:pPr>
              <w:pStyle w:val="CSBody0"/>
              <w:rPr>
                <w:lang w:val="de-DE"/>
              </w:rPr>
            </w:pPr>
            <w:r w:rsidRPr="00185FD9">
              <w:rPr>
                <w:lang w:val="de-DE"/>
              </w:rPr>
              <w:t>Das neue Quellensteuersystem ist inzwischen für Zahlungen aus Quellen innerhalb der Vereinigten Staaten eingeführt worden und gilt für "</w:t>
            </w:r>
            <w:r w:rsidRPr="00185FD9">
              <w:rPr>
                <w:b/>
                <w:lang w:val="de-DE"/>
              </w:rPr>
              <w:t>ausländische durchgeleitete Zahlungen</w:t>
            </w:r>
            <w:r w:rsidRPr="00185FD9">
              <w:rPr>
                <w:lang w:val="de-DE"/>
              </w:rPr>
              <w:t>" (foreign passthru payments) (ein bislang nicht definierter Begriff) frühestens ab 1. Januar 2019. Diese Quellensteuer gilt potenziell für Zahlungen in Bezug auf (i) Komplexe Produkte, die für US-Bundessteuerzwecke als Fremdkapitalbeteiligung (debt) eingestuft werden (bzw. nicht anderweitig als Eigenkapitalbeteiligung (equity) eingestuft werden und eine feste Laufzeit haben) und die nach dem "</w:t>
            </w:r>
            <w:r w:rsidRPr="00185FD9">
              <w:rPr>
                <w:b/>
                <w:lang w:val="de-DE"/>
              </w:rPr>
              <w:t>Bestandsschutztermin</w:t>
            </w:r>
            <w:r w:rsidRPr="00185FD9">
              <w:rPr>
                <w:lang w:val="de-DE"/>
              </w:rPr>
              <w:t xml:space="preserve">" (grandfathering date) begeben wurden, d.h. (A) für Komplexe Produkte, die ausschliesslich ausländische durchgeleitete Zahlungen auslösen, sechs Monate nach dem Tag, an dem endgültige US-Steuerrichtlinien mit einer Definition des Begriffs "ausländische durchgeleitete Zahlungen" beim Federal Register, dem Mitteilungsblatt der US-Behörden für amtliche Bekanntmachungen, eingereicht werden, und (B) für Komplexe Produkte, die eine dividendenäquivalente Zahlung nach Section 871(m) des US-amerikanischen Steuergesetzes (U.S. Internal Revenue Code) von 1986  auslösen, </w:t>
            </w:r>
            <w:r w:rsidR="00A84B22">
              <w:rPr>
                <w:lang w:val="de-DE"/>
              </w:rPr>
              <w:t>dem 1. Juli 2017</w:t>
            </w:r>
            <w:r w:rsidRPr="00185FD9">
              <w:rPr>
                <w:lang w:val="de-DE"/>
              </w:rPr>
              <w:t xml:space="preserve">, oder die </w:t>
            </w:r>
            <w:r w:rsidR="00A84B22">
              <w:rPr>
                <w:lang w:val="de-DE"/>
              </w:rPr>
              <w:t xml:space="preserve">jeweils </w:t>
            </w:r>
            <w:r w:rsidRPr="00185FD9">
              <w:rPr>
                <w:lang w:val="de-DE"/>
              </w:rPr>
              <w:t>nach dem Bestandsschutztermin wesentlich geändert werden, und (ii) Komplexe Produkte, die für US-Bundessteuerzwecke als Eigenkapitalbeteiligung eingestuft werden oder keine feste Laufzeit haben, unabhängig vom Tag ihrer Begebung. Werden Komplexe Produkte an oder vor dem Bestandsschutztermin begeben und zusätzliche Komplexe Produkte derselben Serie nach diesem Termin begeben, so greift für die zusätzlichen Komplexen Produkte unter Umständen kein Bestandsschutz, was sich auf die bestehenden Komplexen Produkte nachteilig auswirken kann, unter anderen im Hinblick auf ihren Marktpreis.</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E40DC" w:rsidRPr="00B63757" w:rsidP="00714D55">
            <w:pPr>
              <w:pStyle w:val="CSBody0"/>
            </w:pPr>
            <w:r w:rsidRPr="00B63757">
              <w:t xml:space="preserve">The United States and a number of other jurisdictions have </w:t>
            </w:r>
            <w:r w:rsidR="00A204D4">
              <w:t>entered into</w:t>
            </w:r>
            <w:r w:rsidRPr="00B63757">
              <w:t xml:space="preserve"> intergovernmental agreements to facilitate the implementation of FATCA (each, an "</w:t>
            </w:r>
            <w:r w:rsidRPr="004553D8">
              <w:rPr>
                <w:b/>
              </w:rPr>
              <w:t>IGA</w:t>
            </w:r>
            <w:r w:rsidRPr="00B63757">
              <w:t>"). Pursuant to FATCA and the "Model 1" and "Model 2" IGAs released by the United States, an FFI in an IGA signatory country could be treated as a "</w:t>
            </w:r>
            <w:r w:rsidRPr="004553D8">
              <w:rPr>
                <w:b/>
              </w:rPr>
              <w:t>Reporting FI</w:t>
            </w:r>
            <w:r w:rsidRPr="00B63757">
              <w:t xml:space="preserve">" not subject to withholding under FATCA on any payments it receives. Further, an FFI in an </w:t>
            </w:r>
            <w:r w:rsidR="00A204D4">
              <w:t xml:space="preserve">IGA </w:t>
            </w:r>
            <w:r w:rsidRPr="00B63757">
              <w:t>jurisdiction would generally not be required to withhold under FATCA or an IGA (or any law implementing an IGA) (any such withholding being "</w:t>
            </w:r>
            <w:r w:rsidRPr="004553D8">
              <w:rPr>
                <w:b/>
              </w:rPr>
              <w:t>FATCA Withholding</w:t>
            </w:r>
            <w:r w:rsidRPr="00B63757">
              <w:t xml:space="preserve">") from payments it makes. Under each Model IGA, a Reporting FI would still be required to report certain information in respect of its account holders and investors to its home government or to the IRS. The United States and </w:t>
            </w:r>
            <w:r w:rsidR="00A84B22">
              <w:t>Switzerland</w:t>
            </w:r>
            <w:r w:rsidRPr="00B63757" w:rsidR="00A84B22">
              <w:t xml:space="preserve"> </w:t>
            </w:r>
            <w:r w:rsidRPr="00B63757">
              <w:t>have entered into an intergovernmental agreement (the "</w:t>
            </w:r>
            <w:r w:rsidRPr="004553D8">
              <w:rPr>
                <w:b/>
              </w:rPr>
              <w:t>US-</w:t>
            </w:r>
            <w:r w:rsidR="00A84B22">
              <w:rPr>
                <w:b/>
              </w:rPr>
              <w:t>Switzerland</w:t>
            </w:r>
            <w:r w:rsidRPr="004553D8" w:rsidR="00A84B22">
              <w:rPr>
                <w:b/>
              </w:rPr>
              <w:t xml:space="preserve"> </w:t>
            </w:r>
            <w:r w:rsidRPr="004553D8">
              <w:rPr>
                <w:b/>
              </w:rPr>
              <w:t>IGA</w:t>
            </w:r>
            <w:r w:rsidRPr="00B63757">
              <w:t xml:space="preserve">") based largely on the Model </w:t>
            </w:r>
            <w:r w:rsidR="00A204D4">
              <w:t>1</w:t>
            </w:r>
            <w:r w:rsidRPr="00B63757">
              <w:t xml:space="preserve"> IGA.</w:t>
            </w:r>
          </w:p>
        </w:tc>
        <w:tc>
          <w:tcPr>
            <w:tcW w:w="2487" w:type="pct"/>
            <w:tcBorders>
              <w:top w:val="nil"/>
              <w:left w:val="single" w:sz="4" w:space="0" w:color="auto"/>
              <w:bottom w:val="nil"/>
              <w:right w:val="nil"/>
            </w:tcBorders>
            <w:shd w:val="clear" w:color="auto" w:fill="auto"/>
          </w:tcPr>
          <w:p w:rsidR="004E40DC" w:rsidRPr="004E40DC">
            <w:pPr>
              <w:pStyle w:val="CSBody0"/>
              <w:rPr>
                <w:lang w:val="de-DE"/>
              </w:rPr>
            </w:pPr>
            <w:r w:rsidRPr="004E40DC">
              <w:rPr>
                <w:lang w:val="de-DE"/>
              </w:rPr>
              <w:t>Die Vereinigten Staaten und eine Reihe anderer Staaten haben, zwischenstaatliche Vereinbarungen (intergovernmental agreements; "</w:t>
            </w:r>
            <w:r w:rsidRPr="004553D8">
              <w:rPr>
                <w:b/>
                <w:lang w:val="de-DE"/>
              </w:rPr>
              <w:t>IGA</w:t>
            </w:r>
            <w:r w:rsidRPr="004E40DC">
              <w:rPr>
                <w:lang w:val="de-DE"/>
              </w:rPr>
              <w:t xml:space="preserve">") </w:t>
            </w:r>
            <w:r w:rsidR="00A204D4">
              <w:rPr>
                <w:lang w:val="de-DE"/>
              </w:rPr>
              <w:t>abgeschlossen</w:t>
            </w:r>
            <w:r w:rsidRPr="004E40DC">
              <w:rPr>
                <w:lang w:val="de-DE"/>
              </w:rPr>
              <w:t xml:space="preserve">, um die Umsetzung des FATCA zu erleichtern. Gemäss FATCA und den von den Vereinigten Staaten herausgegebenen "Modell 1"- und "Modell 2"-IGA kann ein FFI in einem IGA-Unterzeichnerstaat im Hinblick auf </w:t>
            </w:r>
            <w:r w:rsidR="00A204D4">
              <w:rPr>
                <w:lang w:val="de-DE"/>
              </w:rPr>
              <w:t>alle</w:t>
            </w:r>
            <w:r w:rsidRPr="004E40DC" w:rsidR="00A204D4">
              <w:rPr>
                <w:lang w:val="de-DE"/>
              </w:rPr>
              <w:t xml:space="preserve"> </w:t>
            </w:r>
            <w:r w:rsidRPr="004E40DC">
              <w:rPr>
                <w:lang w:val="de-DE"/>
              </w:rPr>
              <w:t>von ihm vereinnahmte</w:t>
            </w:r>
            <w:r w:rsidR="001D167E">
              <w:rPr>
                <w:lang w:val="de-DE"/>
              </w:rPr>
              <w:t>n</w:t>
            </w:r>
            <w:r w:rsidRPr="004E40DC">
              <w:rPr>
                <w:lang w:val="de-DE"/>
              </w:rPr>
              <w:t xml:space="preserve"> Zahlungen als von Steuereinbehalten nach FATCA befreites "</w:t>
            </w:r>
            <w:r w:rsidRPr="00185FD9">
              <w:rPr>
                <w:b/>
                <w:lang w:val="de-DE"/>
              </w:rPr>
              <w:t>Meldendes FI</w:t>
            </w:r>
            <w:r w:rsidRPr="00185FD9" w:rsidR="00A204D4">
              <w:rPr>
                <w:lang w:val="de-DE"/>
              </w:rPr>
              <w:t>"</w:t>
            </w:r>
            <w:r w:rsidRPr="004E40DC">
              <w:rPr>
                <w:lang w:val="de-DE"/>
              </w:rPr>
              <w:t xml:space="preserve"> (</w:t>
            </w:r>
            <w:r w:rsidRPr="004553D8">
              <w:rPr>
                <w:b/>
                <w:i/>
                <w:lang w:val="de-DE"/>
              </w:rPr>
              <w:t>Reporting FI</w:t>
            </w:r>
            <w:r w:rsidR="004553D8">
              <w:rPr>
                <w:lang w:val="de-DE"/>
              </w:rPr>
              <w:t>"</w:t>
            </w:r>
            <w:r w:rsidRPr="004E40DC">
              <w:rPr>
                <w:lang w:val="de-DE"/>
              </w:rPr>
              <w:t>) behandelt werden. Darüber hinaus wäre ein FFI in einem IGA-Staat grundsätzlich nicht verpflichtet, Einbehalte auf von ihr vereinnahmte Zahlungen nach FATCA oder gemäss einem IGA (oder einer Rechtsvorschrift zur Umsetzung eines IGA) (ein solcher Einbehalt wird als "</w:t>
            </w:r>
            <w:r w:rsidRPr="004553D8">
              <w:rPr>
                <w:b/>
                <w:lang w:val="de-DE"/>
              </w:rPr>
              <w:t>FATCA-Einbehalt</w:t>
            </w:r>
            <w:r w:rsidRPr="004E40DC">
              <w:rPr>
                <w:lang w:val="de-DE"/>
              </w:rPr>
              <w:t xml:space="preserve">" bezeichnet) vorzunehmen. Beide IGA-Modelle sehen vor, dass ein Meldendes FI weiterhin verpflichtet ist, bestimmte Angaben in Bezug auf seine Kontoinhaber und Anleger an die Behörden des Heimatlandes bzw. die IRS zu melden. Die Vereinigten Staaten und </w:t>
            </w:r>
            <w:r w:rsidR="00A84B22">
              <w:rPr>
                <w:lang w:val="de-DE"/>
              </w:rPr>
              <w:t>die Schweiz</w:t>
            </w:r>
            <w:r w:rsidRPr="004E40DC" w:rsidR="00A84B22">
              <w:rPr>
                <w:lang w:val="de-DE"/>
              </w:rPr>
              <w:t xml:space="preserve"> </w:t>
            </w:r>
            <w:r w:rsidRPr="004E40DC">
              <w:rPr>
                <w:lang w:val="de-DE"/>
              </w:rPr>
              <w:t>haben eine zwischenstaatliche Vereinbarung abgeschlossen (das "</w:t>
            </w:r>
            <w:r w:rsidRPr="004553D8">
              <w:rPr>
                <w:b/>
                <w:lang w:val="de-DE"/>
              </w:rPr>
              <w:t>US-</w:t>
            </w:r>
            <w:r w:rsidR="00A84B22">
              <w:rPr>
                <w:b/>
                <w:lang w:val="de-DE"/>
              </w:rPr>
              <w:t>Schweiz</w:t>
            </w:r>
            <w:r w:rsidRPr="004553D8">
              <w:rPr>
                <w:b/>
                <w:lang w:val="de-DE"/>
              </w:rPr>
              <w:t>-IGA</w:t>
            </w:r>
            <w:r w:rsidR="004553D8">
              <w:rPr>
                <w:lang w:val="de-DE"/>
              </w:rPr>
              <w:t>"</w:t>
            </w:r>
            <w:r w:rsidRPr="004E40DC">
              <w:rPr>
                <w:lang w:val="de-DE"/>
              </w:rPr>
              <w:t xml:space="preserve">), die im Wesentlichen auf dem "Modell </w:t>
            </w:r>
            <w:r w:rsidR="00A204D4">
              <w:rPr>
                <w:lang w:val="de-DE"/>
              </w:rPr>
              <w:t>1</w:t>
            </w:r>
            <w:r w:rsidRPr="004E40DC">
              <w:rPr>
                <w:lang w:val="de-DE"/>
              </w:rPr>
              <w:t>"-IGA basiert.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A204D4" w:rsidRPr="00B63757" w:rsidP="00714D55">
            <w:pPr>
              <w:pStyle w:val="CSBody0"/>
            </w:pPr>
            <w:r w:rsidRPr="00393D4A">
              <w:t>If the Issuer is treated as a Reporting FI pursuant to the US-</w:t>
            </w:r>
            <w:r w:rsidR="00A84B22">
              <w:t>Switzerland</w:t>
            </w:r>
            <w:r w:rsidRPr="00393D4A" w:rsidR="00A84B22">
              <w:t xml:space="preserve"> </w:t>
            </w:r>
            <w:r w:rsidRPr="00393D4A">
              <w:t xml:space="preserve">IGA it does not anticipate that it will be obliged to deduct any FATCA Withholding on payments it makes. </w:t>
            </w:r>
            <w:r w:rsidRPr="00A84B22" w:rsidR="00A84B22">
              <w:t xml:space="preserve">The Issuer also expects that any branch through which it issues Complex Products will be treated as a Reporting FI pursuant to an IGA </w:t>
            </w:r>
            <w:r w:rsidR="00A84B22">
              <w:t>.</w:t>
            </w:r>
            <w:r w:rsidRPr="00393D4A">
              <w:t xml:space="preserve">There can be no assurance, however, that the Issuer </w:t>
            </w:r>
            <w:r w:rsidRPr="00A84B22" w:rsidR="00A84B22">
              <w:t xml:space="preserve">or any branch through which it issues Complex Products </w:t>
            </w:r>
            <w:r w:rsidRPr="00393D4A">
              <w:t>will be treated as a Reporting FI, or that it would in the future not be required to deduct FATCA Withholding from payments it makes. The Issuer and financial institutions through which payments on the Complex Products are made may be required to withhold FATCA Withholding if any FFI through or to which payment on such Complex Products is made is not a Participating FFI, a Reporting FI, or otherwise exempt from or in deemed compliance with FATCA.</w:t>
            </w:r>
          </w:p>
        </w:tc>
        <w:tc>
          <w:tcPr>
            <w:tcW w:w="2487" w:type="pct"/>
            <w:tcBorders>
              <w:top w:val="nil"/>
              <w:left w:val="single" w:sz="4" w:space="0" w:color="auto"/>
              <w:bottom w:val="nil"/>
              <w:right w:val="nil"/>
            </w:tcBorders>
            <w:shd w:val="clear" w:color="auto" w:fill="auto"/>
          </w:tcPr>
          <w:p w:rsidR="00A204D4" w:rsidRPr="004E40DC">
            <w:pPr>
              <w:pStyle w:val="CSBody0"/>
              <w:rPr>
                <w:lang w:val="de-DE"/>
              </w:rPr>
            </w:pPr>
            <w:r w:rsidRPr="00185FD9">
              <w:rPr>
                <w:lang w:val="de-DE"/>
              </w:rPr>
              <w:t>Sofern die Emittentin nach dem US-</w:t>
            </w:r>
            <w:r w:rsidR="00A84B22">
              <w:rPr>
                <w:lang w:val="de-DE"/>
              </w:rPr>
              <w:t>Schweiz</w:t>
            </w:r>
            <w:r w:rsidRPr="00185FD9">
              <w:rPr>
                <w:lang w:val="de-DE"/>
              </w:rPr>
              <w:t xml:space="preserve">-IGA als Meldendes FI behandelt wird, wird sie ihrer Erwartung nach nicht zur Vornahme eines FATCA-Einbehalts auf die von ihr geleisteten Zahlungen verpflichtet sein. </w:t>
            </w:r>
            <w:r w:rsidRPr="00A84B22" w:rsidR="00A84B22">
              <w:rPr>
                <w:lang w:val="de-DE"/>
              </w:rPr>
              <w:t>Die Emittentin geht ferner davon aus, dass jede Zweigniederlassung, durch die sie Komplexe Produkte begibt, als Meldendes FI gemäss einem IGA behandelt wird</w:t>
            </w:r>
            <w:r w:rsidR="001D167E">
              <w:rPr>
                <w:lang w:val="de-DE"/>
              </w:rPr>
              <w:t>.</w:t>
            </w:r>
            <w:r w:rsidRPr="00A84B22" w:rsidR="00A84B22">
              <w:rPr>
                <w:lang w:val="de-DE"/>
              </w:rPr>
              <w:t xml:space="preserve"> </w:t>
            </w:r>
            <w:r w:rsidRPr="00185FD9">
              <w:rPr>
                <w:lang w:val="de-DE"/>
              </w:rPr>
              <w:t>Es kann jedoch keine Zusicherung dahingehend abgegeben werden, dass die Emittentin</w:t>
            </w:r>
            <w:r w:rsidRPr="00BD6E0D" w:rsidR="00A84B22">
              <w:rPr>
                <w:lang w:val="de-DE"/>
              </w:rPr>
              <w:t xml:space="preserve"> </w:t>
            </w:r>
            <w:r w:rsidRPr="00A84B22" w:rsidR="00A84B22">
              <w:rPr>
                <w:lang w:val="de-DE"/>
              </w:rPr>
              <w:t>oder eine Zweigniederlassung, durch die sie Komplexe Produkte begibt</w:t>
            </w:r>
            <w:r w:rsidR="00A84B22">
              <w:rPr>
                <w:lang w:val="de-DE"/>
              </w:rPr>
              <w:t>,</w:t>
            </w:r>
            <w:r w:rsidRPr="00185FD9">
              <w:rPr>
                <w:lang w:val="de-DE"/>
              </w:rPr>
              <w:t xml:space="preserve"> tatsächlich als Meldendes FI behandelt werden oder dass sie in Zukunft nicht zur Vornahme von FATCA-Einbehalten auf Zahlungen, die sie leistet, verpflichtet sein wird. Die Emittentin und die Finanzinstitute, über die Zahlungen auf die Komplexen Produkte geleistet werden, sind unter Umständen zu FATCA-Einbehalten verpflichtet, wenn ein FFI, über oder an das Zahlungen auf diese Komplexen Produkte geleistet werden, kein Teilnehmendes FFI oder Meldendes FI ist und auch nicht anderweitig von der Anwendung des FATCA befreit ist oder als im Einklang mit dessen Vorschriften stehend gilt.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553D8" w:rsidRPr="00430B36">
            <w:pPr>
              <w:pStyle w:val="CSBody0"/>
            </w:pPr>
            <w:r w:rsidRPr="00430B36">
              <w:t xml:space="preserve">Whilst the Complex Products are in global form and held within the clearing systems it is expected that FATCA will not affect the amount of any payments made under, or in respect of, the Complex Products by the Issuer and any paying agent, given that each of the entities in the payment chain </w:t>
            </w:r>
            <w:r w:rsidR="00A204D4">
              <w:t>between</w:t>
            </w:r>
            <w:r w:rsidRPr="00430B36">
              <w:t xml:space="preserve"> the Issuer and the participants in the clearing systems is a major financial institution whose business is dependent on compliance with FATCA and that any alternative approach introduced under an IGA will be unlikely to affect the Complex Products. The documentation expressly contemplates the possibility that the Complex Products may go into definitive form and therefore that they may be taken out of the clearing systems. If this were to happen, then a non-FATCA compliant holder could be subject to FATCA Withholding. However, definitive Complex Products will only be printed in remote circumstances.</w:t>
            </w:r>
          </w:p>
        </w:tc>
        <w:tc>
          <w:tcPr>
            <w:tcW w:w="2487" w:type="pct"/>
            <w:tcBorders>
              <w:top w:val="nil"/>
              <w:left w:val="single" w:sz="4" w:space="0" w:color="auto"/>
              <w:bottom w:val="nil"/>
              <w:right w:val="nil"/>
            </w:tcBorders>
            <w:shd w:val="clear" w:color="auto" w:fill="auto"/>
          </w:tcPr>
          <w:p w:rsidR="004553D8" w:rsidRPr="004553D8">
            <w:pPr>
              <w:pStyle w:val="CSBody0"/>
              <w:rPr>
                <w:lang w:val="de-DE"/>
              </w:rPr>
            </w:pPr>
            <w:r w:rsidRPr="004553D8">
              <w:rPr>
                <w:lang w:val="de-DE"/>
              </w:rPr>
              <w:t xml:space="preserve">Solange die Komplexen Produkte in Globalurkunden verbrieft sind und </w:t>
            </w:r>
            <w:r w:rsidR="00A204D4">
              <w:rPr>
                <w:lang w:val="de-DE"/>
              </w:rPr>
              <w:t xml:space="preserve">über </w:t>
            </w:r>
            <w:r w:rsidRPr="004553D8">
              <w:rPr>
                <w:lang w:val="de-DE"/>
              </w:rPr>
              <w:t xml:space="preserve">bei den Clearingsystemen gehalten werden, wird sich FATCA aller Voraussicht nach nicht auf die Höhe der auf oder in Bezug auf die Komplexen Produkte von der Emittentin und einer Zahlstelle zu leistenden Zahlungen auswirken, da jede Stelle innerhalb der Zahlungskette von der Emittentin bis zu den Teilnehmern der Clearingsysteme ein bedeutendes Finanzinstitut ist, dessen Geschäftstätigkeit von der Einhaltung der FATCA-Bestimmungen abhängig ist, und da nicht davon auszugehen ist, dass ein im Rahmen eines IGA eingeführter alternativer Ansatz Auswirkungen auf die Komplexen Produkte haben würde. In der Dokumentation ist ausdrücklich die Möglichkeit vorgesehen, dass die Komplexen Produkte in Einzelurkunden verbrieft und somit aus </w:t>
            </w:r>
            <w:r w:rsidR="00A204D4">
              <w:rPr>
                <w:lang w:val="de-DE"/>
              </w:rPr>
              <w:t xml:space="preserve">der Verwahrung bei </w:t>
            </w:r>
            <w:r w:rsidRPr="004553D8">
              <w:rPr>
                <w:lang w:val="de-DE"/>
              </w:rPr>
              <w:t>den Clearingsystemen herausgenommen werden können. Sollte dieser Fall eintreten, könnte ein Gläubiger, der die Anforderungen des FATCA nicht erfüllt, einem FATCA-Einbehalt unterliegen. Einzelurkunden werden jedoch nur unter bestimmten Umständen gedruckt, deren Eintritt eher unwahrscheinlich ist.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4553D8" w:rsidRPr="0046463E" w:rsidP="004553D8">
            <w:pPr>
              <w:pStyle w:val="CSbody0bold"/>
              <w:rPr>
                <w:lang w:val="en-GB"/>
              </w:rPr>
            </w:pPr>
            <w:r w:rsidRPr="0046463E">
              <w:rPr>
                <w:lang w:val="en-GB"/>
              </w:rPr>
              <w:t>FATCA is particularly complex and its application is uncertain at this time. The above description is based in part on regulations, official guidance and model IGAs, all of which are subject to change or may be implemented in a materially different form. Prospective investors should consult their tax advisers on how these rules may apply to the Issuer and to payments they may receive in connection with the Complex Products.</w:t>
            </w:r>
          </w:p>
        </w:tc>
        <w:tc>
          <w:tcPr>
            <w:tcW w:w="2487" w:type="pct"/>
            <w:tcBorders>
              <w:top w:val="nil"/>
              <w:left w:val="single" w:sz="4" w:space="0" w:color="auto"/>
              <w:bottom w:val="nil"/>
              <w:right w:val="nil"/>
            </w:tcBorders>
            <w:shd w:val="clear" w:color="auto" w:fill="auto"/>
          </w:tcPr>
          <w:p w:rsidR="004553D8" w:rsidRPr="004553D8" w:rsidP="004553D8">
            <w:pPr>
              <w:pStyle w:val="CSbody0bold"/>
            </w:pPr>
            <w:r w:rsidRPr="004553D8">
              <w:t>FATCA ist besonders komplex und seine Anwendung ist derzeit noch unklar. Die obige Beschreibung basiert zum Teil auf Vorschriften, amtlichen Leitlinien und Modell-IGA, die insgesamt Änderungen unterliegen oder in wesentlich geänderter Form umgesetzt werden können. Potenzielle Anleger sollten hinsichtlich der Auswirkungen der Anwendung der Regelungen auf die Emittentin und die von ihr im Zusammenhang mit den Komplexen Produkten vereinnahmten Zahlungen ihren Steuerberater zu Rate ziehen.</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A204D4" w:rsidRPr="0046463E">
            <w:pPr>
              <w:pStyle w:val="CSbody0bold"/>
              <w:rPr>
                <w:lang w:val="en-GB"/>
              </w:rPr>
            </w:pPr>
            <w:r w:rsidRPr="00185FD9">
              <w:rPr>
                <w:lang w:val="en-GB"/>
              </w:rPr>
              <w:t>Hiring Incentives to Restore Employment Act</w:t>
            </w:r>
          </w:p>
        </w:tc>
        <w:tc>
          <w:tcPr>
            <w:tcW w:w="2487" w:type="pct"/>
            <w:tcBorders>
              <w:top w:val="nil"/>
              <w:left w:val="single" w:sz="4" w:space="0" w:color="auto"/>
              <w:bottom w:val="nil"/>
              <w:right w:val="nil"/>
            </w:tcBorders>
            <w:shd w:val="clear" w:color="auto" w:fill="auto"/>
          </w:tcPr>
          <w:p w:rsidR="00A204D4" w:rsidRPr="004553D8">
            <w:pPr>
              <w:pStyle w:val="CSbody0bold"/>
            </w:pPr>
            <w:r w:rsidRPr="00D24FD0">
              <w:t>Gesetz über Beschäftigungsanreize</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A204D4" w:rsidRPr="0046463E">
            <w:pPr>
              <w:pStyle w:val="CSBody0"/>
            </w:pPr>
            <w:r w:rsidRPr="00D24FD0">
              <w:t xml:space="preserve">The U.S. Hiring Incentives to Restore Employment Act introduced Section 871(m) of the U.S. Internal Revenue Code of 1986 which treats a "dividend equivalent" payment as a dividend from sources within the United States. Under Section 871(m), such payments generally would be subject to a 30 per cent. U.S. withholding tax that may be reduced by an applicable tax treaty, eligible for credit against other U.S. tax liabilities or refunded, provided that the beneficial owner timely claims a credit or refund from the IRS. A "dividend equivalent" payment is (i) a substitute dividend payment made pursuant to a securities lending or a sale-repurchase transaction that (directly or indirectly) is contingent upon, or determined by reference to, the payment of a dividend from sources within the United States, (ii) a payment made pursuant to a "specified notional principal contract" that (directly or indirectly) is contingent upon, or determined by reference to, the payment of a dividend from sources within the United States, and (iii) any other payment determined by the IRS to be substantially similar to a payment described in (i) and (ii). </w:t>
            </w:r>
            <w:r w:rsidRPr="00A84B22" w:rsidR="00A84B22">
              <w:t xml:space="preserve">Recently published </w:t>
            </w:r>
            <w:r w:rsidRPr="00D24FD0">
              <w:t>U.S. Treasury regulations</w:t>
            </w:r>
            <w:r w:rsidR="00A84B22">
              <w:t xml:space="preserve"> </w:t>
            </w:r>
            <w:r w:rsidRPr="00A84B22" w:rsidR="00A84B22">
              <w:t>issued under Section 871(m) (the "</w:t>
            </w:r>
            <w:r w:rsidRPr="00BD6E0D" w:rsidR="00A84B22">
              <w:rPr>
                <w:b/>
              </w:rPr>
              <w:t>Section 871(m) Regulations</w:t>
            </w:r>
            <w:r w:rsidRPr="00A84B22" w:rsidR="00A84B22">
              <w:t>") will, when effective, require withholding on certain non-U.S. holders of the Complex Products with respect to amounts treated as attributable to dividends from certain U.S. securities. Under the Section 871(m) Regulations, only a Complex Product that has an expected economic return sufficiently similar to that of the underlying U.S. security, as determined on the Complex Product's issue date based on tests set forth in the Section 871(m) Regulations, will be subject to the Section 871(m) withholding regime (making such security a "</w:t>
            </w:r>
            <w:r w:rsidRPr="00BD6E0D" w:rsidR="00A84B22">
              <w:rPr>
                <w:b/>
              </w:rPr>
              <w:t>Specified Complex Product</w:t>
            </w:r>
            <w:r w:rsidRPr="00A84B22" w:rsidR="00A84B22">
              <w:t>"). The Section 871(m) Regulations provide certain exceptions to this withholding requirement, in particular for instruments linked to certain broad-based indices</w:t>
            </w:r>
            <w:r w:rsidRPr="00D24FD0">
              <w:t>.</w:t>
            </w:r>
          </w:p>
        </w:tc>
        <w:tc>
          <w:tcPr>
            <w:tcW w:w="2487" w:type="pct"/>
            <w:tcBorders>
              <w:top w:val="nil"/>
              <w:left w:val="single" w:sz="4" w:space="0" w:color="auto"/>
              <w:bottom w:val="nil"/>
              <w:right w:val="nil"/>
            </w:tcBorders>
            <w:shd w:val="clear" w:color="auto" w:fill="auto"/>
          </w:tcPr>
          <w:p w:rsidR="00A204D4" w:rsidRPr="00BD6E0D" w:rsidP="00C64986">
            <w:pPr>
              <w:pStyle w:val="CSBody0"/>
              <w:rPr>
                <w:lang w:val="de-DE"/>
              </w:rPr>
            </w:pPr>
            <w:r w:rsidRPr="00185FD9">
              <w:rPr>
                <w:lang w:val="de-DE"/>
              </w:rPr>
              <w:t>Das US-amerikanische Gesetz über Beschäftigungsanreize (Hiring Incentives to Restore Employment Act) führte Section 871(m) des US-Bundessteuergesetzes (U.S. Internal Revenue Code) von 1986 ein, wonach eine "dividendenäquivalente" Zahlung als Dividende aus Quellen innerhalb der Vereinigten Staaten zu behandeln ist. Gemäss Section 871(m) wird auf solche Zahlungen in den USA grundsätzlich ein Steuereinbehalt in Höhe von 30% erhoben, der durch ein geltendes Steuerabkommen reduziert werden, mit anderen US-Verbindlichkeiten verrechnet werden oder rückerstattet werden kann, sofern der wirtschaftliche Eigentümer die Steuergutschrift oder -erstattung fristgerecht bei der IRS beantragt. Der Begriff "dividendäquivalente" Zahlung umfasst (i) Ersatzdividendenzahlungen aufgrund von Wertpapierleihe- oder Repogeschäften, die (direkt oder indirekt) von der Zahlung einer Dividende aus Quellen innerhalb der Vereinigten Staaten abhängen oder anhand einer solchen Dividende bestimmt werden, (ii) Zahlungen aufgrund eines "specified notional principal contract", die (direkt oder indirekt) von der Zahlung einer Dividende aus Quellen innerhalb der Vereinigten Staaten abhängen oder anhand einer solchen Dividende bestimmt werden, und (iii) alle anderen Zahlungen, die die IRS als einer in (i) oder (ii) genannten Zahlung im Wesentlichen ähnlich eingeordnet hat.</w:t>
            </w:r>
            <w:r w:rsidRPr="00BD6E0D" w:rsidR="00A84B22">
              <w:rPr>
                <w:lang w:val="de-DE"/>
              </w:rPr>
              <w:t xml:space="preserve"> </w:t>
            </w:r>
            <w:r w:rsidRPr="00A84B22" w:rsidR="00A84B22">
              <w:rPr>
                <w:lang w:val="de-DE"/>
              </w:rPr>
              <w:t>Nach vor Kurzem veröffentlichten, gemäß Section 871(m) erlassenen endgültigen US-Steuerrichtlinien (die "</w:t>
            </w:r>
            <w:r w:rsidRPr="00BD6E0D" w:rsidR="00A84B22">
              <w:rPr>
                <w:b/>
                <w:lang w:val="de-DE"/>
              </w:rPr>
              <w:t>Richtlinien nach Section 871(m)</w:t>
            </w:r>
            <w:r w:rsidRPr="00A84B22" w:rsidR="00A84B22">
              <w:rPr>
                <w:lang w:val="de-DE"/>
              </w:rPr>
              <w:t xml:space="preserve">") wird – nach Wirksamwerden der Regelungen – bei bestimmten Nicht-US-Inhabern der Komplexen Produkte ein Einbehalt in Bezug auf Beträge vorgeschrieben sein, die als </w:t>
            </w:r>
            <w:r w:rsidR="00C64986">
              <w:rPr>
                <w:lang w:val="de-DE"/>
              </w:rPr>
              <w:t xml:space="preserve">zurechenbare </w:t>
            </w:r>
            <w:r w:rsidRPr="00A84B22" w:rsidR="00A84B22">
              <w:rPr>
                <w:lang w:val="de-DE"/>
              </w:rPr>
              <w:t>Dividenden auf bestimmte US-Wertpapiere behandelt werden. Gemäß den Richtlinien nach Section 871(m) unterliegen nur Komplexe Produkte, deren erwartete Rendite hinreichend mit der des zugrundeliegenden US-Wertpapiers vergleichbar ist – wie am Tag der Begebung des Komplexen Produkts anhand von in den Richtlinien nach Section 871(m) angegebenen Tests festgestellt – dem Einbehaltssystem nach Section 871(m) (wodurch das betreffende Wertpapier ein "</w:t>
            </w:r>
            <w:r w:rsidRPr="00BD6E0D" w:rsidR="00A84B22">
              <w:rPr>
                <w:b/>
                <w:lang w:val="de-DE"/>
              </w:rPr>
              <w:t>Bestimmtes Komplexes Produk</w:t>
            </w:r>
            <w:r w:rsidRPr="00A84B22" w:rsidR="00A84B22">
              <w:rPr>
                <w:lang w:val="de-DE"/>
              </w:rPr>
              <w:t>t" (</w:t>
            </w:r>
            <w:r w:rsidRPr="00BD6E0D" w:rsidR="00A84B22">
              <w:rPr>
                <w:i/>
                <w:lang w:val="de-DE"/>
              </w:rPr>
              <w:t>Specified Complex Product</w:t>
            </w:r>
            <w:r w:rsidRPr="00A84B22" w:rsidR="00A84B22">
              <w:rPr>
                <w:lang w:val="de-DE"/>
              </w:rPr>
              <w:t>) wird). Die Richtlinien nach Section 871(m) sehen bestimmte Ausnahmen für diesen vorgeschriebenen Einbehalt vor, insbesondere für Instrumente, die an bestimmte, sehr marktbreite Indizes gekoppelt sind</w:t>
            </w:r>
            <w:r w:rsidR="001D167E">
              <w:rPr>
                <w:lang w:val="de-DE"/>
              </w:rPr>
              <w:t>.</w:t>
            </w:r>
            <w:r w:rsidRPr="00BD6E0D">
              <w:rPr>
                <w:lang w:val="de-DE"/>
              </w:rPr>
              <w: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A204D4" w:rsidRPr="0046463E" w:rsidP="00AE25C9">
            <w:pPr>
              <w:pStyle w:val="CSBody0"/>
            </w:pPr>
            <w:r w:rsidRPr="00A84B22">
              <w:t xml:space="preserve">Withholding in respect of dividend equivalents will generally be required when cash payments are made on a Specified Complex Product or upon the date of maturity, lapse or other disposition by the non-U.S. holder of the Specified Complex Product. If the underlying U.S. security or securities are expected to pay dividends during the term of the Specified Complex Product, withholding generally will still be required even if the Specified Complex Product does not provide for payments explicitly linked to dividends. </w:t>
            </w:r>
            <w:r>
              <w:t>I</w:t>
            </w:r>
            <w:r w:rsidRPr="00D24FD0">
              <w:t xml:space="preserve">f the Issuer or any withholding agent determines that withholding is required, neither the Issuer nor any withholding agent will be required to pay any additional amounts with respect to amounts so withheld. </w:t>
            </w:r>
          </w:p>
        </w:tc>
        <w:tc>
          <w:tcPr>
            <w:tcW w:w="2487" w:type="pct"/>
            <w:tcBorders>
              <w:top w:val="nil"/>
              <w:left w:val="single" w:sz="4" w:space="0" w:color="auto"/>
              <w:bottom w:val="nil"/>
              <w:right w:val="nil"/>
            </w:tcBorders>
            <w:shd w:val="clear" w:color="auto" w:fill="auto"/>
          </w:tcPr>
          <w:p w:rsidR="00A204D4" w:rsidRPr="00185FD9" w:rsidP="00AE25C9">
            <w:pPr>
              <w:pStyle w:val="CSBody0"/>
              <w:rPr>
                <w:lang w:val="de-DE"/>
              </w:rPr>
            </w:pPr>
            <w:r w:rsidRPr="00A84B22">
              <w:rPr>
                <w:lang w:val="de-DE"/>
              </w:rPr>
              <w:t xml:space="preserve">Ein Einbehalt in Bezug auf dividendenäquivalente Zahlungen wird grundsätzlich dann vorgeschrieben sein, wenn Barzahlungen auf ein Bestimmtes Kompexes Produkt erfolgen, oder am Tag der Fälligkeit, des Verfalls oder einer sonstigen Veräußerung durch den Nicht-US-Inhaber des Bestimmten Komplexen Produkts. Werden bei dem (bzw. den) zugrundeliegenden US-Wertpapier(en) Dividendenzahlungen während der Laufzeit des Bestimmten Komplexen Produkts erwartet, so wird ein Einbehalt grundsätzlich selbst dann noch vorgeschrieben sein, wenn das Bestimmte Komplexe Produkt keine ausdrücklich an Dividenden gebundenen Zahlungen vorsieht. </w:t>
            </w:r>
            <w:r>
              <w:rPr>
                <w:lang w:val="de-DE"/>
              </w:rPr>
              <w:t>B</w:t>
            </w:r>
            <w:r w:rsidRPr="00185FD9">
              <w:rPr>
                <w:lang w:val="de-DE"/>
              </w:rPr>
              <w:t xml:space="preserve">ei Feststellung des Erfordernisses eines Steuereinbehalts durch die Emittentin oder einen Abzugsverpflichteten (withholding agent) </w:t>
            </w:r>
            <w:r>
              <w:rPr>
                <w:lang w:val="de-DE"/>
              </w:rPr>
              <w:t xml:space="preserve">ist </w:t>
            </w:r>
            <w:r w:rsidRPr="00185FD9">
              <w:rPr>
                <w:lang w:val="de-DE"/>
              </w:rPr>
              <w:t xml:space="preserve">weder die Emittentin noch ein Abzugsverpflichteter zur Zahlung von Zusatzbeträgen für die einbehaltenen Beträge verpflichtet. </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AE25C9" w:rsidRPr="00A84B22" w:rsidP="00AE25C9">
            <w:pPr>
              <w:pStyle w:val="CSBody0"/>
            </w:pPr>
            <w:r w:rsidRPr="00AE25C9">
              <w:t>The Section 871(m) Regulations generally apply to Specified Complex Products issued beginning 1 January 2017. If the terms of a Complex Product are subject to a "significant modification" such that the Complex Product is treated as retired and reissued, it could lose its "grandfathered" status and might become a Specified Complex Product based on economic conditions in effect at that time.</w:t>
            </w:r>
          </w:p>
        </w:tc>
        <w:tc>
          <w:tcPr>
            <w:tcW w:w="2487" w:type="pct"/>
            <w:tcBorders>
              <w:top w:val="nil"/>
              <w:left w:val="single" w:sz="4" w:space="0" w:color="auto"/>
              <w:bottom w:val="nil"/>
              <w:right w:val="nil"/>
            </w:tcBorders>
            <w:shd w:val="clear" w:color="auto" w:fill="auto"/>
          </w:tcPr>
          <w:p w:rsidR="00AE25C9" w:rsidRPr="00AE25C9" w:rsidP="00A84B22">
            <w:pPr>
              <w:pStyle w:val="CSBody0"/>
              <w:rPr>
                <w:lang w:val="de-DE"/>
              </w:rPr>
            </w:pPr>
            <w:r w:rsidRPr="00AE25C9">
              <w:rPr>
                <w:lang w:val="de-DE"/>
              </w:rPr>
              <w:t>Die Richtlinien nach Section 871(m) gelten grundsätzlich für ab dem 1. Januar 2017 begebene Bestimmte Komplexe Produkte. Unterliegen die Bedingungen eines Komplexen Produkts einer "wesentlichen Änderung", so dass das Komplexe Produkt als eingezogen und erneut begeben behandelt wird, könnte das Komplexe Produkt seinen Bestandsschutz verlieren und zu einem Bestimmten Komplexen Produkt auf Grundlage der zum betreffenden Zeitpunkt bestehenden wirtschafltichen Bedingungen werden</w:t>
            </w:r>
            <w:r w:rsidR="001D167E">
              <w:rPr>
                <w:lang w:val="de-DE"/>
              </w:rPr>
              <w:t>.</w:t>
            </w:r>
          </w:p>
        </w:tc>
      </w:tr>
      <w:tr w:rsidTr="0091684B">
        <w:tblPrEx>
          <w:tblW w:w="5000" w:type="pct"/>
          <w:tblInd w:w="13" w:type="dxa"/>
          <w:tblBorders>
            <w:insideV w:val="single" w:sz="4" w:space="0" w:color="auto"/>
          </w:tblBorders>
          <w:tblLayout w:type="fixed"/>
          <w:tblLook w:val="01E0"/>
        </w:tblPrEx>
        <w:trPr>
          <w:gridBefore w:val="1"/>
          <w:wBefore w:w="25" w:type="dxa"/>
        </w:trPr>
        <w:tc>
          <w:tcPr>
            <w:tcW w:w="2500" w:type="pct"/>
            <w:tcBorders>
              <w:top w:val="nil"/>
              <w:left w:val="nil"/>
              <w:bottom w:val="nil"/>
              <w:right w:val="single" w:sz="4" w:space="0" w:color="auto"/>
            </w:tcBorders>
            <w:shd w:val="clear" w:color="auto" w:fill="auto"/>
          </w:tcPr>
          <w:p w:rsidR="00AE25C9" w:rsidRPr="00A84B22" w:rsidP="00AE25C9">
            <w:pPr>
              <w:pStyle w:val="CSBody0"/>
            </w:pPr>
            <w:r w:rsidRPr="00AE25C9">
              <w:t>Prospective investors should consult their tax advisers regarding the potential application of Section 871(m) to the Complex Products.</w:t>
            </w:r>
          </w:p>
        </w:tc>
        <w:tc>
          <w:tcPr>
            <w:tcW w:w="2487" w:type="pct"/>
            <w:tcBorders>
              <w:top w:val="nil"/>
              <w:left w:val="single" w:sz="4" w:space="0" w:color="auto"/>
              <w:bottom w:val="nil"/>
              <w:right w:val="nil"/>
            </w:tcBorders>
            <w:shd w:val="clear" w:color="auto" w:fill="auto"/>
          </w:tcPr>
          <w:p w:rsidR="00AE25C9" w:rsidRPr="00AE25C9" w:rsidP="00A84B22">
            <w:pPr>
              <w:pStyle w:val="CSBody0"/>
              <w:rPr>
                <w:lang w:val="de-DE"/>
              </w:rPr>
            </w:pPr>
            <w:r w:rsidRPr="00AE25C9">
              <w:rPr>
                <w:lang w:val="de-DE"/>
              </w:rPr>
              <w:t>Potenzielle Anleger sollten hinsichtlich der möglichen Anwendung von Section 871(m) auf die Komplexen Produkte ihren Steuerberater zu Rate ziehen</w:t>
            </w:r>
            <w:r w:rsidR="001D167E">
              <w:rPr>
                <w:lang w:val="de-DE"/>
              </w:rPr>
              <w:t>.</w:t>
            </w:r>
          </w:p>
        </w:tc>
      </w:tr>
    </w:tbl>
    <w:p w:rsidR="004445B7" w:rsidRPr="00AE25C9" w:rsidP="009C6D81">
      <w:pPr>
        <w:pStyle w:val="CSBody0"/>
        <w:rPr>
          <w:lang w:val="de-DE"/>
        </w:rPr>
      </w:pPr>
    </w:p>
    <w:p w:rsidR="0033731A" w:rsidRPr="00AE25C9" w:rsidP="009C6D81">
      <w:pPr>
        <w:pStyle w:val="CSBody0"/>
        <w:rPr>
          <w:lang w:val="de-DE"/>
        </w:rPr>
      </w:pPr>
    </w:p>
    <w:p w:rsidR="009D5DEE" w:rsidRPr="00AE25C9" w:rsidP="009C6D81">
      <w:pPr>
        <w:pStyle w:val="CSBody0"/>
        <w:rPr>
          <w:lang w:val="de-DE"/>
        </w:rPr>
        <w:sectPr w:rsidSect="00E22A75">
          <w:headerReference w:type="default" r:id="rId51"/>
          <w:footerReference w:type="default" r:id="rId52"/>
          <w:headerReference w:type="first" r:id="rId53"/>
          <w:footerReference w:type="first" r:id="rId54"/>
          <w:pgSz w:w="11907" w:h="16839"/>
          <w:pgMar w:top="1440" w:right="1134" w:bottom="1440" w:left="1134" w:header="720" w:footer="720" w:gutter="0"/>
          <w:cols w:space="708"/>
          <w:docGrid w:linePitch="360"/>
        </w:sectPr>
      </w:pPr>
    </w:p>
    <w:tbl>
      <w:tblPr>
        <w:tblW w:w="5000" w:type="pct"/>
        <w:tblLayout w:type="fixed"/>
        <w:tblLook w:val="00A0"/>
      </w:tblPr>
      <w:tblGrid>
        <w:gridCol w:w="4644"/>
        <w:gridCol w:w="5211"/>
      </w:tblGrid>
      <w:tr w:rsidTr="003330CF">
        <w:tblPrEx>
          <w:tblW w:w="5000" w:type="pct"/>
          <w:tblLayout w:type="fixed"/>
          <w:tblLook w:val="00A0"/>
        </w:tblPrEx>
        <w:tc>
          <w:tcPr>
            <w:tcW w:w="2356" w:type="pct"/>
            <w:tcBorders>
              <w:right w:val="single" w:sz="4" w:space="0" w:color="auto"/>
            </w:tcBorders>
          </w:tcPr>
          <w:p w:rsidR="009D5DEE" w:rsidRPr="001E4CCF" w:rsidP="001E4CCF">
            <w:pPr>
              <w:pStyle w:val="CSHeading1EN"/>
            </w:pPr>
            <w:bookmarkStart w:id="130" w:name="_Toc438227545"/>
            <w:r w:rsidRPr="001E4CCF">
              <w:t>SELLING RESTRICTIONS</w:t>
            </w:r>
            <w:bookmarkEnd w:id="130"/>
          </w:p>
        </w:tc>
        <w:tc>
          <w:tcPr>
            <w:tcW w:w="2644" w:type="pct"/>
            <w:tcBorders>
              <w:left w:val="single" w:sz="4" w:space="0" w:color="auto"/>
            </w:tcBorders>
          </w:tcPr>
          <w:p w:rsidR="009D5DEE" w:rsidRPr="001E4CCF" w:rsidP="001E4CCF">
            <w:pPr>
              <w:pStyle w:val="CSHeading1DE"/>
            </w:pPr>
            <w:bookmarkStart w:id="131" w:name="_Toc438160293"/>
            <w:r w:rsidRPr="001E4CCF">
              <w:t>VERKAUFSBESCHRÄNKUNGEN</w:t>
            </w:r>
            <w:bookmarkEnd w:id="131"/>
          </w:p>
        </w:tc>
      </w:tr>
      <w:tr w:rsidTr="003330CF">
        <w:tblPrEx>
          <w:tblW w:w="5000" w:type="pct"/>
          <w:tblLayout w:type="fixed"/>
          <w:tblLook w:val="00A0"/>
        </w:tblPrEx>
        <w:tc>
          <w:tcPr>
            <w:tcW w:w="2356" w:type="pct"/>
            <w:tcBorders>
              <w:right w:val="single" w:sz="4" w:space="0" w:color="auto"/>
            </w:tcBorders>
          </w:tcPr>
          <w:p w:rsidR="009D5DEE" w:rsidRPr="005B5713" w:rsidP="002330A4">
            <w:pPr>
              <w:pStyle w:val="CSbody0bold"/>
            </w:pPr>
            <w:r w:rsidRPr="005B5713">
              <w:t>General</w:t>
            </w:r>
          </w:p>
        </w:tc>
        <w:tc>
          <w:tcPr>
            <w:tcW w:w="2644" w:type="pct"/>
            <w:tcBorders>
              <w:left w:val="single" w:sz="4" w:space="0" w:color="auto"/>
            </w:tcBorders>
          </w:tcPr>
          <w:p w:rsidR="009D5DEE" w:rsidRPr="00E60155" w:rsidP="002330A4">
            <w:pPr>
              <w:pStyle w:val="CSbody0bold"/>
            </w:pPr>
            <w:r w:rsidRPr="00E60155">
              <w:t>Allgemeines</w:t>
            </w:r>
          </w:p>
        </w:tc>
      </w:tr>
      <w:tr w:rsidTr="003330CF">
        <w:tblPrEx>
          <w:tblW w:w="5000" w:type="pct"/>
          <w:tblLayout w:type="fixed"/>
          <w:tblLook w:val="00A0"/>
        </w:tblPrEx>
        <w:tc>
          <w:tcPr>
            <w:tcW w:w="2356" w:type="pct"/>
            <w:tcBorders>
              <w:right w:val="single" w:sz="4" w:space="0" w:color="auto"/>
            </w:tcBorders>
          </w:tcPr>
          <w:p w:rsidR="00D92131" w:rsidRPr="007C2435" w:rsidP="00D92131">
            <w:pPr>
              <w:pStyle w:val="CSBody0"/>
            </w:pPr>
            <w:r w:rsidRPr="007C2435">
              <w:t>Except as set out in this Document, no action has been or will be taken that would permit a public offering of Complex Products or possession or distribution of any offering material in relation to Complex Products in any jurisdiction where action for that purpose is required. For purposes of this section "Selling Restrictions" the term "Document" shall comprise both of the terms Base Prospectus and Final Terms, unless the context requires otherwise.</w:t>
            </w:r>
          </w:p>
        </w:tc>
        <w:tc>
          <w:tcPr>
            <w:tcW w:w="2644" w:type="pct"/>
            <w:tcBorders>
              <w:left w:val="single" w:sz="4" w:space="0" w:color="auto"/>
            </w:tcBorders>
          </w:tcPr>
          <w:p w:rsidR="00D92131" w:rsidRPr="00D92131" w:rsidP="00D92131">
            <w:pPr>
              <w:pStyle w:val="CSBody0"/>
              <w:rPr>
                <w:lang w:val="de-DE"/>
              </w:rPr>
            </w:pPr>
            <w:r w:rsidRPr="00D92131">
              <w:rPr>
                <w:lang w:val="de-DE"/>
              </w:rPr>
              <w:t>Ausser soweit in diesem Dokument angegeben, wurden und werden keine Massnahmen ergriffen, die ein öffentliches Angebot Komplexer Produkte oder den Besitz oder die Verbreitung von Angebotsunterlagen bezüglich Komplexer Produkte in einer Rechtsordnung gestatten würde, in der zu einem solchen Zweck entsprechende Massnahmen erforderlich sind. Für Zwecke dieses Abschnitts "Verkaufsbeschränkungen" umfasst der Begriff "Dokument" sowohl den Begriff Basisprospekt als auch den Begriff Endgültige Bedingungen, es sei denn der Kontext erfordert eine andere Bedeutung.</w:t>
            </w:r>
          </w:p>
        </w:tc>
      </w:tr>
      <w:tr w:rsidTr="003330CF">
        <w:tblPrEx>
          <w:tblW w:w="5000" w:type="pct"/>
          <w:tblLayout w:type="fixed"/>
          <w:tblLook w:val="00A0"/>
        </w:tblPrEx>
        <w:tc>
          <w:tcPr>
            <w:tcW w:w="2356" w:type="pct"/>
            <w:tcBorders>
              <w:right w:val="single" w:sz="4" w:space="0" w:color="auto"/>
            </w:tcBorders>
          </w:tcPr>
          <w:p w:rsidR="00D92131" w:rsidRPr="007C2435" w:rsidP="00D92131">
            <w:pPr>
              <w:pStyle w:val="CSBody0"/>
            </w:pPr>
            <w:r w:rsidRPr="007C2435">
              <w:t>No offers, sales, deliveries or transfers of Complex Products or the Underlying(s) (if any) to be delivered upon redemption of the Complex Products, or distribution of any offering material relating to Complex Products, may be made in or from any jurisdiction except in circumstances which will result in compliance with any applicable laws and regulations and will not impose any obligations on the Issuer or the relevant Dealer(s).</w:t>
            </w:r>
          </w:p>
        </w:tc>
        <w:tc>
          <w:tcPr>
            <w:tcW w:w="2644" w:type="pct"/>
            <w:tcBorders>
              <w:left w:val="single" w:sz="4" w:space="0" w:color="auto"/>
            </w:tcBorders>
          </w:tcPr>
          <w:p w:rsidR="00D92131" w:rsidRPr="00D92131" w:rsidP="00D92131">
            <w:pPr>
              <w:pStyle w:val="CSBody0"/>
              <w:rPr>
                <w:lang w:val="de-DE"/>
              </w:rPr>
            </w:pPr>
            <w:r w:rsidRPr="00D92131">
              <w:rPr>
                <w:lang w:val="de-DE"/>
              </w:rPr>
              <w:t>Das Angebot, der Verkauf, die Lieferung oder die Übertragung der Komplexen Produkte oder des Basiswerts bzw. der Basiswerte, die gegebenenfalls bei Rückzahlung der Komplexen Produkte zu liefern sind, sowie die Verbreitung von Angebotsunterlagen bezüglich der Komplexen Produkte in irgendeiner Rechtsordnung oder von irgendeiner Rechtsordnung aus ist nur zulässig, sofern dabei alle anwendbaren gesetzlichen Vorschriften eingehalten und weder der Emittentin noch dem/den jeweiligen Platzeur(en) dadurch irgendwelche Verpflichtungen auferlegt werden.</w:t>
            </w:r>
          </w:p>
        </w:tc>
      </w:tr>
      <w:tr w:rsidTr="003330CF">
        <w:tblPrEx>
          <w:tblW w:w="5000" w:type="pct"/>
          <w:tblLayout w:type="fixed"/>
          <w:tblLook w:val="00A0"/>
        </w:tblPrEx>
        <w:tc>
          <w:tcPr>
            <w:tcW w:w="2356" w:type="pct"/>
            <w:tcBorders>
              <w:right w:val="single" w:sz="4" w:space="0" w:color="auto"/>
            </w:tcBorders>
          </w:tcPr>
          <w:p w:rsidR="00D92131" w:rsidRPr="007C2435" w:rsidP="00D92131">
            <w:pPr>
              <w:pStyle w:val="CSBody0"/>
            </w:pPr>
            <w:r w:rsidRPr="007C2435">
              <w:t xml:space="preserve">In addition and subject to any specific selling restriction contained in the applicable Terms and Conditions the following selling restrictions apply: </w:t>
            </w:r>
          </w:p>
        </w:tc>
        <w:tc>
          <w:tcPr>
            <w:tcW w:w="2644" w:type="pct"/>
            <w:tcBorders>
              <w:left w:val="single" w:sz="4" w:space="0" w:color="auto"/>
            </w:tcBorders>
          </w:tcPr>
          <w:p w:rsidR="00D92131" w:rsidRPr="00D92131" w:rsidP="00D92131">
            <w:pPr>
              <w:pStyle w:val="CSBody0"/>
              <w:rPr>
                <w:lang w:val="de-DE"/>
              </w:rPr>
            </w:pPr>
            <w:r w:rsidRPr="00D92131">
              <w:rPr>
                <w:lang w:val="de-DE"/>
              </w:rPr>
              <w:t>Darüber hinaus gelten vorbehaltlich etwaiger spezifischer Verkaufsbeschränkungen in den anwendbaren Emissions-bedingungen die folgenden Verkaufsbeschränkungen:</w:t>
            </w:r>
          </w:p>
        </w:tc>
      </w:tr>
      <w:tr w:rsidTr="003330CF">
        <w:tblPrEx>
          <w:tblW w:w="5000" w:type="pct"/>
          <w:tblLayout w:type="fixed"/>
          <w:tblLook w:val="00A0"/>
        </w:tblPrEx>
        <w:tc>
          <w:tcPr>
            <w:tcW w:w="2356" w:type="pct"/>
            <w:tcBorders>
              <w:right w:val="single" w:sz="4" w:space="0" w:color="auto"/>
            </w:tcBorders>
          </w:tcPr>
          <w:p w:rsidR="00D92131" w:rsidRPr="000E2FA4" w:rsidP="00D92131">
            <w:pPr>
              <w:pStyle w:val="CSbody0bold"/>
            </w:pPr>
            <w:r w:rsidRPr="000E2FA4">
              <w:t>Switzerland</w:t>
            </w:r>
          </w:p>
        </w:tc>
        <w:tc>
          <w:tcPr>
            <w:tcW w:w="2644" w:type="pct"/>
            <w:tcBorders>
              <w:left w:val="single" w:sz="4" w:space="0" w:color="auto"/>
            </w:tcBorders>
          </w:tcPr>
          <w:p w:rsidR="00D92131" w:rsidRPr="000E2FA4" w:rsidP="00D92131">
            <w:pPr>
              <w:pStyle w:val="CSbody0bold"/>
            </w:pPr>
            <w:r w:rsidRPr="000E2FA4">
              <w:t>Schweiz</w:t>
            </w:r>
          </w:p>
        </w:tc>
      </w:tr>
      <w:tr w:rsidTr="003330CF">
        <w:tblPrEx>
          <w:tblW w:w="5000" w:type="pct"/>
          <w:tblLayout w:type="fixed"/>
          <w:tblLook w:val="00A0"/>
        </w:tblPrEx>
        <w:tc>
          <w:tcPr>
            <w:tcW w:w="2356" w:type="pct"/>
            <w:tcBorders>
              <w:right w:val="single" w:sz="4" w:space="0" w:color="auto"/>
            </w:tcBorders>
          </w:tcPr>
          <w:p w:rsidR="00D92131" w:rsidRPr="000E2FA4" w:rsidP="00D92131">
            <w:pPr>
              <w:pStyle w:val="CSBody0"/>
            </w:pPr>
            <w:r w:rsidRPr="000E2FA4">
              <w:t>If so specified in the applicable Final Terms, the Complex Products to be issued under this Document may not be distributed in or from Switzerland in the meaning of article 3 of the Collective Investment Schemes Act ("CISA"), except to qualified investors as defined in the CISA (article 10 CISA) and the Collective Investment Schemes Ordinance ("CISO") (article 6 CISO), and only in compliance with all other applicable laws and regulations.</w:t>
            </w:r>
          </w:p>
        </w:tc>
        <w:tc>
          <w:tcPr>
            <w:tcW w:w="2644" w:type="pct"/>
            <w:tcBorders>
              <w:left w:val="single" w:sz="4" w:space="0" w:color="auto"/>
            </w:tcBorders>
          </w:tcPr>
          <w:p w:rsidR="00D92131" w:rsidRPr="00D92131" w:rsidP="00D92131">
            <w:pPr>
              <w:pStyle w:val="CSBody0"/>
              <w:rPr>
                <w:lang w:val="de-DE"/>
              </w:rPr>
            </w:pPr>
            <w:r w:rsidRPr="00D92131">
              <w:rPr>
                <w:lang w:val="de-DE"/>
              </w:rPr>
              <w:t>Soweit in den anwendbaren Endgültigen Bedingungen angegeben, dürfen die gemäss diesem Dokument zu begebenden Komplexen Produkte nicht im Sinne des Art. 3 des Bundesgesetzes über die kollektiven Kapitalanlagen ("KAG") in der Schweiz oder von der Schweiz aus vertrieben werden, ausser an qualifizierte Anleger im Sinne des KAG (Art. 10 KAG) sowie der Verordnung über die kollektiven Kapitalanlagen ("KKV") (Art. 6 KKV) und ausschliesslich nach Massgabe aller sonstigen geltenden Gesetze und Verordnungen.</w:t>
            </w:r>
          </w:p>
        </w:tc>
      </w:tr>
      <w:tr w:rsidTr="003330CF">
        <w:tblPrEx>
          <w:tblW w:w="5000" w:type="pct"/>
          <w:tblLayout w:type="fixed"/>
          <w:tblLook w:val="00A0"/>
        </w:tblPrEx>
        <w:tc>
          <w:tcPr>
            <w:tcW w:w="2356" w:type="pct"/>
            <w:tcBorders>
              <w:right w:val="single" w:sz="4" w:space="0" w:color="auto"/>
            </w:tcBorders>
          </w:tcPr>
          <w:p w:rsidR="009D5DEE" w:rsidRPr="005B5713" w:rsidP="002330A4">
            <w:pPr>
              <w:pStyle w:val="CSbody0bold"/>
            </w:pPr>
            <w:r w:rsidRPr="005B5713">
              <w:t>United States</w:t>
            </w:r>
          </w:p>
        </w:tc>
        <w:tc>
          <w:tcPr>
            <w:tcW w:w="2644" w:type="pct"/>
            <w:tcBorders>
              <w:left w:val="single" w:sz="4" w:space="0" w:color="auto"/>
            </w:tcBorders>
          </w:tcPr>
          <w:p w:rsidR="009D5DEE" w:rsidRPr="00E60155" w:rsidP="002330A4">
            <w:pPr>
              <w:pStyle w:val="CSbody0bold"/>
            </w:pPr>
            <w:r w:rsidRPr="00E60155">
              <w:t>Vereinigte Staaten</w:t>
            </w:r>
          </w:p>
        </w:tc>
      </w:tr>
      <w:tr w:rsidTr="003330CF">
        <w:tblPrEx>
          <w:tblW w:w="5000" w:type="pct"/>
          <w:tblLayout w:type="fixed"/>
          <w:tblLook w:val="00A0"/>
        </w:tblPrEx>
        <w:tc>
          <w:tcPr>
            <w:tcW w:w="2356" w:type="pct"/>
            <w:tcBorders>
              <w:right w:val="single" w:sz="4" w:space="0" w:color="auto"/>
            </w:tcBorders>
          </w:tcPr>
          <w:p w:rsidR="00D92131" w:rsidRPr="00B646A5" w:rsidP="00D92131">
            <w:pPr>
              <w:pStyle w:val="CSBody0"/>
            </w:pPr>
            <w:r w:rsidRPr="00B646A5">
              <w:t>Complex Products and, in certain cases, the securities (if any) to be delivered when Complex Products are redeemed, have not been, and will not be, registered under the U.S. Securities Act of 1933, as amended (the "</w:t>
            </w:r>
            <w:r w:rsidRPr="00D92131">
              <w:rPr>
                <w:b/>
              </w:rPr>
              <w:t>Securities Act</w:t>
            </w:r>
            <w:r w:rsidRPr="00B646A5">
              <w:t>"), or with any securities regulatory authority of any state or other jurisdiction of the United States, and trading in Complex Products has not been approved by the U.S. Commodity Futures Trading Commission (the "CFTC") under the U.S. Commodity Exchange Act of 1936, as amended (the "</w:t>
            </w:r>
            <w:r w:rsidRPr="00D92131">
              <w:rPr>
                <w:b/>
              </w:rPr>
              <w:t>CEA</w:t>
            </w:r>
            <w:r w:rsidRPr="00B646A5">
              <w:t>"), or by the U.S. Securities Exchange Commission (the "</w:t>
            </w:r>
            <w:r w:rsidRPr="00D92131">
              <w:rPr>
                <w:b/>
              </w:rPr>
              <w:t>SEC</w:t>
            </w:r>
            <w:r w:rsidRPr="00B646A5">
              <w:t>"). No Complex Products, or interests therein, may at any time be offered, sold, resold or delivered, directly or indirectly, within the United States or to, or for the account or benefit of, any U.S. person (as defined herein) or to others for offer, sale, resale, or delivery, directly or indirectly, within the United States or to, or for the account or benefit of, any U.S. person (as defined herein). Terms used in this paragraph and not otherwise defined herein have the meaning given to them by Regulation S under the Securities Act.</w:t>
            </w:r>
          </w:p>
        </w:tc>
        <w:tc>
          <w:tcPr>
            <w:tcW w:w="2644" w:type="pct"/>
            <w:tcBorders>
              <w:left w:val="single" w:sz="4" w:space="0" w:color="auto"/>
            </w:tcBorders>
          </w:tcPr>
          <w:p w:rsidR="00D92131" w:rsidRPr="00D92131" w:rsidP="00D92131">
            <w:pPr>
              <w:pStyle w:val="CSBody0"/>
              <w:rPr>
                <w:lang w:val="de-DE"/>
              </w:rPr>
            </w:pPr>
            <w:r w:rsidRPr="00D92131">
              <w:rPr>
                <w:lang w:val="de-DE"/>
              </w:rPr>
              <w:t>Die Komplexen Produkte sowie in bestimmten Fällen die Wertpapiere, die gegebenenfalls bei Rückzahlung der Komplexen Produkte geliefert werden, wurden und werden nicht gemäss dem Wertpapiergesetz der Vereinigten Staaten von 1933 (U.S. Securities Act of 1933) in der geltenden Fassung (das "</w:t>
            </w:r>
            <w:r w:rsidRPr="00D92131">
              <w:rPr>
                <w:b/>
                <w:lang w:val="de-DE"/>
              </w:rPr>
              <w:t>Wertpapiergesetz</w:t>
            </w:r>
            <w:r w:rsidRPr="00D92131">
              <w:rPr>
                <w:lang w:val="de-DE"/>
              </w:rPr>
              <w:t>") oder bei einer Wertpapieraufsichtsbehörde eines Bundesstaats oder eines sonstigen Hoheitsgebiets der Vereinigten Staaten registriert, und das Handeln mit Komplexen Produkten ist weder durch die U.S. Commodity Futures Trading Commission ("</w:t>
            </w:r>
            <w:r w:rsidRPr="00D92131">
              <w:rPr>
                <w:b/>
                <w:lang w:val="de-DE"/>
              </w:rPr>
              <w:t>CFTC</w:t>
            </w:r>
            <w:r w:rsidRPr="00D92131">
              <w:rPr>
                <w:lang w:val="de-DE"/>
              </w:rPr>
              <w:t>") gemäss dem Warenbörsengesetz der Vereinigten Staaten von 1936 (U.S. Commodity Exchange Act of 1936) in der geltenden Fassung ("</w:t>
            </w:r>
            <w:r w:rsidRPr="00D92131">
              <w:rPr>
                <w:b/>
                <w:lang w:val="de-DE"/>
              </w:rPr>
              <w:t>CEA</w:t>
            </w:r>
            <w:r w:rsidRPr="00D92131">
              <w:rPr>
                <w:lang w:val="de-DE"/>
              </w:rPr>
              <w:t>") noch von der U.S. Securities Exchange Commission ("</w:t>
            </w:r>
            <w:r w:rsidRPr="00D92131">
              <w:rPr>
                <w:b/>
                <w:lang w:val="de-DE"/>
              </w:rPr>
              <w:t>SEC</w:t>
            </w:r>
            <w:r w:rsidRPr="00D92131">
              <w:rPr>
                <w:lang w:val="de-DE"/>
              </w:rPr>
              <w:t>") genehmigt worden. Komplexe Produkte oder Rechte daran dürfen zu keinem Zeitpunkt direkt oder indirekt innerhalb der Vereinigten Staaten oder an, für Rechnung von oder zugunsten von US-Personen (wie hierin definiert) zum Verkauf angeboten, verkauft, weiter verkauft oder abgegeben werden. Das Gleiche gilt für das Angebot, den Verkauf, den Weiterverkauf oder die Abgabe an andere Personen zum Zweck des Angebots, Verkaufs, Weiterverkaufs oder der Abgabe innerhalb der Vereinigten Staaten oder an, für Rechnung von oder zugunsten von US-Personen (wie hierin definiert). Die in diesem Absatz verwendeten und nicht anderweitig definierten Begriffe haben jeweils die ihnen in Regulation S des Wertpapiergesetzes zugewiesene Bedeutung.</w:t>
            </w:r>
          </w:p>
        </w:tc>
      </w:tr>
      <w:tr w:rsidTr="003330CF">
        <w:tblPrEx>
          <w:tblW w:w="5000" w:type="pct"/>
          <w:tblLayout w:type="fixed"/>
          <w:tblLook w:val="00A0"/>
        </w:tblPrEx>
        <w:tc>
          <w:tcPr>
            <w:tcW w:w="2356" w:type="pct"/>
            <w:tcBorders>
              <w:right w:val="single" w:sz="4" w:space="0" w:color="auto"/>
            </w:tcBorders>
          </w:tcPr>
          <w:p w:rsidR="00D92131" w:rsidRPr="00B646A5" w:rsidP="00D92131">
            <w:pPr>
              <w:pStyle w:val="CSBody0"/>
            </w:pPr>
            <w:r w:rsidRPr="00B646A5">
              <w:t>An offer or sale of Complex Products, or interests therein, directly or indirectly, within the United States, or for the account or benefit of, U.S. persons (as defined herein) may violate the registration requirements of the Securities Act and/or the securities laws of U.S. states or territories. In addition, in the absence of relief from the CFTC, offers, sales, resales, trades or deliveries of Complex Products, or interests therein, directly or indirectly, in the United States or to, or for the account or benefit of, U.S. persons, may constitute a violation of United States law governing commodities trading.</w:t>
            </w:r>
          </w:p>
        </w:tc>
        <w:tc>
          <w:tcPr>
            <w:tcW w:w="2644" w:type="pct"/>
            <w:tcBorders>
              <w:left w:val="single" w:sz="4" w:space="0" w:color="auto"/>
            </w:tcBorders>
          </w:tcPr>
          <w:p w:rsidR="00D92131" w:rsidRPr="00D92131" w:rsidP="00D92131">
            <w:pPr>
              <w:pStyle w:val="CSBody0"/>
              <w:rPr>
                <w:lang w:val="de-DE"/>
              </w:rPr>
            </w:pPr>
            <w:r w:rsidRPr="00D92131">
              <w:rPr>
                <w:lang w:val="de-DE"/>
              </w:rPr>
              <w:t>Das direkte oder indirekte Angebot oder der direkte oder indirekte Verkauf Komplexer Produkte oder von Rechten daran innerhalb der Vereinigten Staaten oder an, für Rechnung von oder zugunsten von US-Personen (wie hierin definiert) kann einen Verstoss gegen die Registrierungserfordernisse des Wertpapiergesetzes und/oder wertpapierrechtlicher Bestimmungen von US-Bundesstaaten oder -Territorien darstellen. Darüber hinaus können direkte oder indirekte Angebote, Verkäufe, Weiterverkäufe, Handelstransaktionen oder die direkte oder indirekte Abgabe von Komplexen Produkten oder von Rechten daran innerhalb der Vereinigten Staaten oder an, für Rechnung von oder zugunsten von US-Personen ohne Genehmigung der CFTC einen Verstoss gegen die auf den Warenhandel anwendbaren Gesetze der Vereinigten Staaten darstellen.</w:t>
            </w:r>
          </w:p>
        </w:tc>
      </w:tr>
      <w:tr w:rsidTr="003330CF">
        <w:tblPrEx>
          <w:tblW w:w="5000" w:type="pct"/>
          <w:tblLayout w:type="fixed"/>
          <w:tblLook w:val="00A0"/>
        </w:tblPrEx>
        <w:tc>
          <w:tcPr>
            <w:tcW w:w="2356" w:type="pct"/>
            <w:tcBorders>
              <w:right w:val="single" w:sz="4" w:space="0" w:color="auto"/>
            </w:tcBorders>
          </w:tcPr>
          <w:p w:rsidR="00D92131" w:rsidRPr="00B646A5" w:rsidP="00D92131">
            <w:pPr>
              <w:pStyle w:val="CSBody0"/>
            </w:pPr>
            <w:r w:rsidRPr="00B646A5">
              <w:t>An offer, transfer or sale of Complex Products, or interests therein, directly or indirectly, within the United States, or for the account or benefit of, U.S. persons (as defined herein) which violates the registration requirements of the Securities Act and/or the securities laws of U.S. states or territories or United States law governing commodities trading will not be recognised. Further, prior to a redemption of Complex Products by way of physical delivery, the holder may be required to represent that (i) it is not a U.S. person, (ii) the Complex Products are not redeemed on behalf of a U.S. person, and (iii) no assets will be delivered within the U.S. or to or for the account or benefit of a U.S. person.</w:t>
            </w:r>
          </w:p>
        </w:tc>
        <w:tc>
          <w:tcPr>
            <w:tcW w:w="2644" w:type="pct"/>
            <w:tcBorders>
              <w:left w:val="single" w:sz="4" w:space="0" w:color="auto"/>
            </w:tcBorders>
          </w:tcPr>
          <w:p w:rsidR="00D92131" w:rsidRPr="00D92131" w:rsidP="00D92131">
            <w:pPr>
              <w:pStyle w:val="CSBody0"/>
              <w:rPr>
                <w:lang w:val="de-DE"/>
              </w:rPr>
            </w:pPr>
            <w:r w:rsidRPr="00D92131">
              <w:rPr>
                <w:lang w:val="de-DE"/>
              </w:rPr>
              <w:t>Direkte oder indirekte Angebote, Übertragungen oder Verkäufe Komplexer Produkte oder von Rechten daran innerhalb der Vereinigten Staaten oder an, für Rechnung von oder zugunsten von US-Personen (wie hierin definiert), die einen Verstoss gegen die Registrierungserfordernisse des Wertpapiergesetzes und/oder wertpapierrechtlicher Bestimmungen von US-Bundesstaaten oder -Territorien oder der auf den Warenhandel anwendbaren Gesetze der Vereinigten Staaten darstellen, werden nicht anerkannt. Ferner kann vor einer Rückzahlung von Komplexen Produkten durch physische Lieferung von dem Inhaber eine Zusicherung verlangt werden, dass (i) er keine US-Person ist, (ii) die Komplexen Produkte nicht für eine US-Person zurückgezahlt werden und (iii) keine Vermögenswerte innerhalb der USA oder an eine US-Person bzw. für deren Rechnung oder zu deren Gunsten geliefert werden.</w:t>
            </w:r>
          </w:p>
        </w:tc>
      </w:tr>
      <w:tr w:rsidTr="003330CF">
        <w:tblPrEx>
          <w:tblW w:w="5000" w:type="pct"/>
          <w:tblLayout w:type="fixed"/>
          <w:tblLook w:val="00A0"/>
        </w:tblPrEx>
        <w:tc>
          <w:tcPr>
            <w:tcW w:w="2356" w:type="pct"/>
            <w:tcBorders>
              <w:right w:val="single" w:sz="4" w:space="0" w:color="auto"/>
            </w:tcBorders>
          </w:tcPr>
          <w:p w:rsidR="00D92131" w:rsidRPr="00556991" w:rsidP="00D92131">
            <w:pPr>
              <w:pStyle w:val="CSbody0bold"/>
              <w:rPr>
                <w:lang w:val="en-GB"/>
              </w:rPr>
            </w:pPr>
            <w:r w:rsidRPr="00556991">
              <w:rPr>
                <w:lang w:val="en-GB"/>
              </w:rPr>
              <w:t>Neither this Document nor any copy hereof may be sent, taken into or distributed in the United States or to any U.S. person (as defined herein) or in any other jurisdiction except under circumstances that will result in compliance with the applicable laws thereof. This Document may not be reproduced either in whole or in part, without the written permission of the Issuer.</w:t>
            </w:r>
          </w:p>
        </w:tc>
        <w:tc>
          <w:tcPr>
            <w:tcW w:w="2644" w:type="pct"/>
            <w:tcBorders>
              <w:left w:val="single" w:sz="4" w:space="0" w:color="auto"/>
            </w:tcBorders>
          </w:tcPr>
          <w:p w:rsidR="00D92131" w:rsidRPr="00D92131" w:rsidP="00D92131">
            <w:pPr>
              <w:pStyle w:val="CSbody0bold"/>
            </w:pPr>
            <w:r w:rsidRPr="00D92131">
              <w:t>Weder dieses Dokument noch eine Kopie davon darf in die Vereinigten Staaten bzw. an eine US-Person (wie hierin definiert) oder in eine andere Rechtsordnung übermittelt werden; Gleiches gilt für eine Mitnahme dieses Dokuments oder einer Kopie davon in die Vereinigten Staaten bzw. zu einer US-Person oder in eine andere Rechtsordnung oder eine Verbreitung dieses Dokuments oder einer Kopie davon in den Vereinigten Staaten bzw. an eine US-Person oder in eine andere Rechtsordnung, es sei denn, dies erfolgt unter Einhaltung der dort anwendbaren Gesetze. Dieses Dokument darf ohne die schriftliche Genehmigung der Emittentin weder ganz noch in Teilen vervielfältigt werden.</w:t>
            </w:r>
          </w:p>
        </w:tc>
      </w:tr>
      <w:tr w:rsidTr="003330CF">
        <w:tblPrEx>
          <w:tblW w:w="5000" w:type="pct"/>
          <w:tblLayout w:type="fixed"/>
          <w:tblLook w:val="00A0"/>
        </w:tblPrEx>
        <w:tc>
          <w:tcPr>
            <w:tcW w:w="2356" w:type="pct"/>
            <w:tcBorders>
              <w:right w:val="single" w:sz="4" w:space="0" w:color="auto"/>
            </w:tcBorders>
          </w:tcPr>
          <w:p w:rsidR="00D92131" w:rsidRPr="00556991" w:rsidP="00D92131">
            <w:pPr>
              <w:pStyle w:val="CSbody0bold"/>
              <w:rPr>
                <w:lang w:val="en-GB"/>
              </w:rPr>
            </w:pPr>
            <w:r w:rsidRPr="00556991">
              <w:rPr>
                <w:lang w:val="en-GB"/>
              </w:rPr>
              <w:t>As used herein, "U.S. person" means a person that is any one or more of the following: (1) a "U.S. person" as defined in Regulation S under the Securites Act, (2) a "U.S. person" as defined in the Interpretive Guidance and Policy Statement Regarding Compliance with Certain Swap Regulations promulgated by the CFTC, as amended, modified or supplemented from time to time, under the CEA, and (3) a person other than a "Non-United States person" as defined in CFTC Rule 4.7.</w:t>
            </w:r>
          </w:p>
        </w:tc>
        <w:tc>
          <w:tcPr>
            <w:tcW w:w="2644" w:type="pct"/>
            <w:tcBorders>
              <w:left w:val="single" w:sz="4" w:space="0" w:color="auto"/>
            </w:tcBorders>
          </w:tcPr>
          <w:p w:rsidR="00D92131" w:rsidRPr="00D92131" w:rsidP="00D92131">
            <w:pPr>
              <w:pStyle w:val="CSbody0bold"/>
            </w:pPr>
            <w:r w:rsidRPr="00D92131">
              <w:t>In diesem Dokument bezeichnet "US-Person" eine Person, die eine oder mehrere der folgenden Voraussetzungen erfüllt: (1) sie ist eine "US-Person" im Sinne der Definition in Regulation S zum Wertpapiergesetz, (2) sie ist eine "US-Person" im Sinne der Definition in dem von der CFTC nach dem CEA veröffentlichten Interpretive Guidance and Policy Statement Regarding Compliance with Certain Swap Regulations in der jeweils geänderten, angepassten oder ergänzten Fassung und (3) sie ist eine Person, bei der es sich nicht um eine "Nicht-US-Person" im Sinne der Definition in CFTC Rule 4.7 handelt.</w:t>
            </w:r>
          </w:p>
        </w:tc>
      </w:tr>
      <w:tr w:rsidTr="003330CF">
        <w:tblPrEx>
          <w:tblW w:w="5000" w:type="pct"/>
          <w:tblLayout w:type="fixed"/>
          <w:tblLook w:val="00A0"/>
        </w:tblPrEx>
        <w:tc>
          <w:tcPr>
            <w:tcW w:w="2356" w:type="pct"/>
            <w:tcBorders>
              <w:right w:val="single" w:sz="4" w:space="0" w:color="auto"/>
            </w:tcBorders>
          </w:tcPr>
          <w:p w:rsidR="009D5DEE" w:rsidRPr="005B5713" w:rsidP="002330A4">
            <w:pPr>
              <w:pStyle w:val="CSbody0bold"/>
            </w:pPr>
            <w:r w:rsidRPr="005B5713">
              <w:t xml:space="preserve">United Kingdom </w:t>
            </w:r>
          </w:p>
        </w:tc>
        <w:tc>
          <w:tcPr>
            <w:tcW w:w="2644" w:type="pct"/>
            <w:tcBorders>
              <w:left w:val="single" w:sz="4" w:space="0" w:color="auto"/>
            </w:tcBorders>
          </w:tcPr>
          <w:p w:rsidR="009D5DEE" w:rsidRPr="00E60155" w:rsidP="002330A4">
            <w:pPr>
              <w:pStyle w:val="CSbody0bold"/>
            </w:pPr>
            <w:r w:rsidRPr="00E60155">
              <w:t>Vereinigtes Königreich</w:t>
            </w:r>
          </w:p>
        </w:tc>
      </w:tr>
      <w:tr w:rsidTr="003330CF">
        <w:tblPrEx>
          <w:tblW w:w="5000" w:type="pct"/>
          <w:tblLayout w:type="fixed"/>
          <w:tblLook w:val="00A0"/>
        </w:tblPrEx>
        <w:tc>
          <w:tcPr>
            <w:tcW w:w="2356" w:type="pct"/>
            <w:tcBorders>
              <w:right w:val="single" w:sz="4" w:space="0" w:color="auto"/>
            </w:tcBorders>
          </w:tcPr>
          <w:p w:rsidR="00D92131" w:rsidRPr="0014660B" w:rsidP="00D92131">
            <w:pPr>
              <w:pStyle w:val="CSBody0"/>
            </w:pPr>
            <w:r w:rsidRPr="0014660B">
              <w:t>In relation to Complex Products: (a) any invitation or inducement to engage in investment activity (within the meaning of section 21 of the Financial Services and Markets Act 2000, as amended (the "</w:t>
            </w:r>
            <w:r w:rsidRPr="00D92131">
              <w:rPr>
                <w:b/>
              </w:rPr>
              <w:t>FSMA</w:t>
            </w:r>
            <w:r w:rsidRPr="0014660B">
              <w:t>")) in connection with the issue or sale of Complex Products may only be communicated or caused to be communicated in circumstances in which section 21(1) of the FSMA does not or, where applicable, would not if it was not an authorized person, apply to the Issuer; (b) applicable provisions of the FSMA with respect to anything done in relation to Complex Products in, from or otherwise involving the United Kingdom, must be complied with; and (c) in the case of Complex Products that have a maturity of less than one year that are considered deposits under the FSMA, such Complex Products may only be issued to persons whose ordinary activities involve them in acquiring, holding, managing or disposing of investments (as principal or agent) for the purposes of their businesses or who it is reasonable to expect will acquire, hold, manage or dispose of investments (as principal or agent) for the purposes of their businesses where the issue of such Complex Products would otherwise constitute a contravention of Section 19 of the FSMA by Credit Suisse.</w:t>
            </w:r>
          </w:p>
        </w:tc>
        <w:tc>
          <w:tcPr>
            <w:tcW w:w="2644" w:type="pct"/>
            <w:tcBorders>
              <w:left w:val="single" w:sz="4" w:space="0" w:color="auto"/>
            </w:tcBorders>
          </w:tcPr>
          <w:p w:rsidR="00D92131" w:rsidRPr="00D92131" w:rsidP="00D92131">
            <w:pPr>
              <w:pStyle w:val="CSBody0"/>
              <w:rPr>
                <w:lang w:val="de-DE"/>
              </w:rPr>
            </w:pPr>
            <w:r w:rsidRPr="00D92131">
              <w:rPr>
                <w:lang w:val="de-DE"/>
              </w:rPr>
              <w:t>Im Zusammenhang mit Komplexen Produkten: (a) dürfen Einladungen oder Aufforderungen zur Ausübung von Anlageaktivitäten (investment activity) (im Sinne von Art. 21 des britischen Finanzdienstleistungsgesetzes von 2000 in der geltenden Fassung (Financial Services and Markets Act 2000; die "</w:t>
            </w:r>
            <w:r w:rsidRPr="00D92131">
              <w:rPr>
                <w:b/>
                <w:lang w:val="de-DE"/>
              </w:rPr>
              <w:t>FSMA</w:t>
            </w:r>
            <w:r w:rsidRPr="00D92131">
              <w:rPr>
                <w:lang w:val="de-DE"/>
              </w:rPr>
              <w:t>")) im Zusammenhang mit der Emission oder dem Verkauf Komplexer Produkte nur unter Umständen, in welchen Art. 21(1) FSMA keine Anwendung auf die Emittentin findet oder, soweit anwendbar, keine Anwendung auf die Emittentin finden würde, wenn diese keine befugte Person wäre, weitergeleitet bzw. deren Weiterleitung veranlasst werden; (b) müssen die anwendbaren Bestimmungen des FSMA in Bezug auf im Zusammenhang mit Komplexen Produkten vorgenommene Handlungen, die im oder aus dem Vereinigten Königreich heraus erfolgen oder das Vereinigte Königreich anderweitig involvieren, befolgt werden; und (c) dürfen Komplexe Produkte mit einer Laufzeit von weniger als einem Jahr, die als Einlagen (deposits) im Sinne des FSMA gelten, nur an Personen ausgegeben werden, deren gewöhnliche Tätigkeit den Erwerb, das Halten, die Verwaltung oder die Veräusserung von Anlagen (für eigene oder fremde Rechnung) für ihre geschäftlichen Zwecke umfasst oder bei denen nach vernünftigem Ermessen davon ausgegangen werden kann, dass sie Anlagen (für eigene oder fremde Rechnung) für ihre geschäftlichen Zwecke erwerben, halten, verwalten oder veräussern, soweit die Emission solcher Komplexen Produkte andernfalls einen Verstoss gegen Art. 19 FSMA durch die Credit Suisse darstellen würde.</w:t>
            </w:r>
          </w:p>
        </w:tc>
      </w:tr>
      <w:tr w:rsidTr="003330CF">
        <w:tblPrEx>
          <w:tblW w:w="5000" w:type="pct"/>
          <w:tblLayout w:type="fixed"/>
          <w:tblLook w:val="00A0"/>
        </w:tblPrEx>
        <w:tc>
          <w:tcPr>
            <w:tcW w:w="2356" w:type="pct"/>
            <w:tcBorders>
              <w:right w:val="single" w:sz="4" w:space="0" w:color="auto"/>
            </w:tcBorders>
          </w:tcPr>
          <w:p w:rsidR="009D5DEE" w:rsidRPr="005B5713" w:rsidP="002330A4">
            <w:pPr>
              <w:pStyle w:val="CSbody0bold"/>
            </w:pPr>
            <w:r w:rsidRPr="005B5713">
              <w:t>European Economic Area</w:t>
            </w:r>
          </w:p>
        </w:tc>
        <w:tc>
          <w:tcPr>
            <w:tcW w:w="2644" w:type="pct"/>
            <w:tcBorders>
              <w:left w:val="single" w:sz="4" w:space="0" w:color="auto"/>
            </w:tcBorders>
          </w:tcPr>
          <w:p w:rsidR="009D5DEE" w:rsidRPr="00E60155" w:rsidP="002330A4">
            <w:pPr>
              <w:pStyle w:val="CSbody0bold"/>
            </w:pPr>
            <w:r w:rsidRPr="00E60155">
              <w:t>Europäischer Wirtschaftsraum</w:t>
            </w:r>
          </w:p>
        </w:tc>
      </w:tr>
      <w:tr w:rsidTr="003330CF">
        <w:tblPrEx>
          <w:tblW w:w="5000" w:type="pct"/>
          <w:tblLayout w:type="fixed"/>
          <w:tblLook w:val="00A0"/>
        </w:tblPrEx>
        <w:tc>
          <w:tcPr>
            <w:tcW w:w="2356" w:type="pct"/>
            <w:tcBorders>
              <w:right w:val="single" w:sz="4" w:space="0" w:color="auto"/>
            </w:tcBorders>
          </w:tcPr>
          <w:p w:rsidR="00D92131" w:rsidRPr="002068B4" w:rsidP="00D92131">
            <w:pPr>
              <w:pStyle w:val="CSBody0"/>
            </w:pPr>
            <w:r w:rsidRPr="002068B4">
              <w:t>In relation to each Member State of the European Economic Area which has implemented the Prospectus Directive (each, a "</w:t>
            </w:r>
            <w:r w:rsidRPr="00D92131">
              <w:rPr>
                <w:b/>
              </w:rPr>
              <w:t>Relevant Member State</w:t>
            </w:r>
            <w:r w:rsidRPr="002068B4">
              <w:t>"), with effect from and including the date on which the Prospectus Directive is implemented in that Relevant Member State (the "</w:t>
            </w:r>
            <w:r w:rsidRPr="00D92131">
              <w:rPr>
                <w:b/>
              </w:rPr>
              <w:t>Relevant Implementation Date</w:t>
            </w:r>
            <w:r w:rsidRPr="002068B4">
              <w:t>") no offer of Complex Products has been or will be made which is the subject of the offering contemplated by the Base Prospectus as completed by the Final Terms in relation thereto to the public in that Relevant Member State except that it may, with effect from and including the Relevant Implementation Date, make an offer of such Complex Products to the public in that Relevant Member State:</w:t>
            </w:r>
          </w:p>
        </w:tc>
        <w:tc>
          <w:tcPr>
            <w:tcW w:w="2644" w:type="pct"/>
            <w:tcBorders>
              <w:left w:val="single" w:sz="4" w:space="0" w:color="auto"/>
            </w:tcBorders>
          </w:tcPr>
          <w:p w:rsidR="00D92131" w:rsidRPr="00D92131" w:rsidP="00D92131">
            <w:pPr>
              <w:pStyle w:val="CSBody0"/>
              <w:rPr>
                <w:lang w:val="de-DE"/>
              </w:rPr>
            </w:pPr>
            <w:r w:rsidRPr="00D92131">
              <w:rPr>
                <w:lang w:val="de-DE"/>
              </w:rPr>
              <w:t>In Bezug auf jeden Mitgliedstaat des Europäischen Wirtschaftsraums, der die Prospektrichtlinie umgesetzt hat (jeweils ein "</w:t>
            </w:r>
            <w:r w:rsidRPr="00D92131">
              <w:rPr>
                <w:b/>
                <w:lang w:val="de-DE"/>
              </w:rPr>
              <w:t>Relevanter Mitgliedstaat</w:t>
            </w:r>
            <w:r w:rsidRPr="00D92131">
              <w:rPr>
                <w:lang w:val="de-DE"/>
              </w:rPr>
              <w:t>"), ist ab dem Tag (einschliesslich), an dem die Prospektrichtlinie in dem Relevanten Mitgliedstaat umgesetzt wird (der "</w:t>
            </w:r>
            <w:r w:rsidRPr="00D92131">
              <w:rPr>
                <w:b/>
                <w:lang w:val="de-DE"/>
              </w:rPr>
              <w:t>Relevante Umsetzungstag</w:t>
            </w:r>
            <w:r w:rsidRPr="00D92131">
              <w:rPr>
                <w:lang w:val="de-DE"/>
              </w:rPr>
              <w:t>"), kein öffentliches Angebot von Komplexen Produkten, die Gegenstand des mit dem Basisprospekt beabsichtigten und durch die diesbezüglichen endgültigen Bedingungen vervollständigten Angebots sind, in dem Relevanten Mitgliedstaat unterbreitet worden, noch wird ein solches Angebot unterbreitet werden, wobei jedoch mit Wirkung ab dem Relevanten Umsetzungstag (einschliesslich) Komplexe Produkte in dem Relevanten Mitgliedstaat in folgenden Fällen öffentlich angeboten werden dürfen:</w:t>
            </w:r>
          </w:p>
        </w:tc>
      </w:tr>
      <w:tr w:rsidTr="003330CF">
        <w:tblPrEx>
          <w:tblW w:w="5000" w:type="pct"/>
          <w:tblLayout w:type="fixed"/>
          <w:tblLook w:val="00A0"/>
        </w:tblPrEx>
        <w:tc>
          <w:tcPr>
            <w:tcW w:w="2356" w:type="pct"/>
            <w:tcBorders>
              <w:right w:val="single" w:sz="4" w:space="0" w:color="auto"/>
            </w:tcBorders>
          </w:tcPr>
          <w:p w:rsidR="00D92131" w:rsidRPr="002068B4" w:rsidP="00D92131">
            <w:pPr>
              <w:pStyle w:val="CSManNum9pt"/>
            </w:pPr>
            <w:r w:rsidRPr="00D92131">
              <w:t>(a)</w:t>
            </w:r>
            <w:r w:rsidRPr="00D92131">
              <w:tab/>
              <w:t>if the Final Terms in relation to the Complex Products specify that an offer of those Complex Products may be made other than pursuant to Article 3(2) of the Prospectus Directive in that Relevant Member State (a "Non-exempt Offer"), following the date of publication of the Base Prospectus in relation to such Complex Products which has been approved by the competent authority in that Relevant Member State or, where appropriate, approved in another Relevant Member State and notified to the competent authority in that Relevant Member State, provided that any such Base Prospectus has subsequently been completed by the Final Terms contemplating such Non-exempt Offer, in accordance with the Prospectus Directive, in the period beginning and ending on the dates specified in such prospectus or Final Terms, as applicable and the Issuer has consented in writing to its use for the purpose of that Non-exempt Offer;</w:t>
            </w:r>
          </w:p>
        </w:tc>
        <w:tc>
          <w:tcPr>
            <w:tcW w:w="2644" w:type="pct"/>
            <w:tcBorders>
              <w:left w:val="single" w:sz="4" w:space="0" w:color="auto"/>
            </w:tcBorders>
          </w:tcPr>
          <w:p w:rsidR="00D92131" w:rsidRPr="00D92131" w:rsidP="00D92131">
            <w:pPr>
              <w:pStyle w:val="CSManNum9pt"/>
              <w:rPr>
                <w:lang w:val="de-DE"/>
              </w:rPr>
            </w:pPr>
            <w:r w:rsidRPr="00D92131">
              <w:rPr>
                <w:lang w:val="de-DE"/>
              </w:rPr>
              <w:t>(a)</w:t>
            </w:r>
            <w:r w:rsidRPr="00D92131">
              <w:rPr>
                <w:lang w:val="de-DE"/>
              </w:rPr>
              <w:tab/>
              <w:t>wenn die endgültigen Bedingungen der Komplexen Produkte vorsehen, dass ein Angebot der Komplexen Produkte über die in Artikel 3(2) der Prospektrichtlinie genannten Fälle hinaus in dem Relevanten Mitgliedstaat (ein "nicht einer Befreiung unterliegendes Angebot") erfolgen kann, ab dem Tag der Veröffentlichung des Basisprospekts für die Komplexen Produkte, der von der zuständigen Behörde in dem Relevanten Mitgliedstaat gebilligt wurde, oder — sofern einschlägig — in einem anderen Relevanten Mitgliedstaat gebilligt und an die zuständige Behörde in diesem Relevanten Mitgliedstaat notifiziert wurde, jeweils in Übereinstimmung mit der Prospektrichtlinie, und zwar während des Zeitraums, der an den in diesem Basisprospekt bzw. diesen endgültigen Bedingungen angegebenen Tagen beginnt und endet, und sofern die Emittentin einer Nutzung des Basisprospekts und der endgültigen Bedingungen für den Zweck eines nicht einer Befreiung unterliegenden Angebots schriftlich zugestimmt hat;</w:t>
            </w:r>
          </w:p>
        </w:tc>
      </w:tr>
      <w:tr w:rsidTr="003330CF">
        <w:tblPrEx>
          <w:tblW w:w="5000" w:type="pct"/>
          <w:tblLayout w:type="fixed"/>
          <w:tblLook w:val="00A0"/>
        </w:tblPrEx>
        <w:tc>
          <w:tcPr>
            <w:tcW w:w="2356" w:type="pct"/>
            <w:tcBorders>
              <w:right w:val="single" w:sz="4" w:space="0" w:color="auto"/>
            </w:tcBorders>
          </w:tcPr>
          <w:p w:rsidR="00D92131" w:rsidRPr="00BA4B9F" w:rsidP="00D92131">
            <w:pPr>
              <w:pStyle w:val="CSManNum9pt"/>
            </w:pPr>
            <w:r w:rsidRPr="00D92131">
              <w:t>(b)</w:t>
            </w:r>
            <w:r w:rsidRPr="00D92131">
              <w:tab/>
              <w:t>at any time to any person which is a qualified investor as defined in the Prospective Directive;</w:t>
            </w:r>
          </w:p>
        </w:tc>
        <w:tc>
          <w:tcPr>
            <w:tcW w:w="2644" w:type="pct"/>
            <w:tcBorders>
              <w:left w:val="single" w:sz="4" w:space="0" w:color="auto"/>
            </w:tcBorders>
          </w:tcPr>
          <w:p w:rsidR="00D92131" w:rsidRPr="00D92131" w:rsidP="00D92131">
            <w:pPr>
              <w:pStyle w:val="CSManNum9pt"/>
              <w:rPr>
                <w:lang w:val="de-DE"/>
              </w:rPr>
            </w:pPr>
            <w:r w:rsidRPr="00D92131">
              <w:rPr>
                <w:lang w:val="de-DE"/>
              </w:rPr>
              <w:t>(b)</w:t>
            </w:r>
            <w:r w:rsidRPr="00D92131">
              <w:rPr>
                <w:lang w:val="de-DE"/>
              </w:rPr>
              <w:tab/>
              <w:t>jederzeit an Personen, die qualifizierte Anleger im Sinne der Prospektrichtlinie sind;</w:t>
            </w:r>
          </w:p>
        </w:tc>
      </w:tr>
      <w:tr w:rsidTr="003330CF">
        <w:tblPrEx>
          <w:tblW w:w="5000" w:type="pct"/>
          <w:tblLayout w:type="fixed"/>
          <w:tblLook w:val="00A0"/>
        </w:tblPrEx>
        <w:tc>
          <w:tcPr>
            <w:tcW w:w="2356" w:type="pct"/>
            <w:tcBorders>
              <w:right w:val="single" w:sz="4" w:space="0" w:color="auto"/>
            </w:tcBorders>
          </w:tcPr>
          <w:p w:rsidR="00D92131" w:rsidRPr="00BA4B9F" w:rsidP="00D92131">
            <w:pPr>
              <w:pStyle w:val="CSManNum9pt"/>
            </w:pPr>
            <w:r w:rsidRPr="00D92131">
              <w:t>(c)</w:t>
            </w:r>
            <w:r w:rsidRPr="00D92131">
              <w:tab/>
              <w:t>at any time to fewer than 150 natural or legal persons (other than qualified investors as defined in the Prospectus Directive); or</w:t>
            </w:r>
          </w:p>
        </w:tc>
        <w:tc>
          <w:tcPr>
            <w:tcW w:w="2644" w:type="pct"/>
            <w:tcBorders>
              <w:left w:val="single" w:sz="4" w:space="0" w:color="auto"/>
            </w:tcBorders>
          </w:tcPr>
          <w:p w:rsidR="00D92131" w:rsidRPr="00D92131" w:rsidP="00D92131">
            <w:pPr>
              <w:pStyle w:val="CSManNum9pt"/>
              <w:rPr>
                <w:lang w:val="de-DE"/>
              </w:rPr>
            </w:pPr>
            <w:r w:rsidRPr="00D92131">
              <w:rPr>
                <w:lang w:val="de-DE"/>
              </w:rPr>
              <w:t>(c)</w:t>
            </w:r>
            <w:r w:rsidRPr="00D92131">
              <w:rPr>
                <w:lang w:val="de-DE"/>
              </w:rPr>
              <w:tab/>
              <w:t>jederzeit an weniger als 150 natürliche oder juristische Personen (mit Ausnahme von qualifizierten Anlegern wie in der Prospektrichtlinie definiert); oder</w:t>
            </w:r>
          </w:p>
        </w:tc>
      </w:tr>
      <w:tr w:rsidTr="003330CF">
        <w:tblPrEx>
          <w:tblW w:w="5000" w:type="pct"/>
          <w:tblLayout w:type="fixed"/>
          <w:tblLook w:val="00A0"/>
        </w:tblPrEx>
        <w:tc>
          <w:tcPr>
            <w:tcW w:w="2356" w:type="pct"/>
            <w:tcBorders>
              <w:right w:val="single" w:sz="4" w:space="0" w:color="auto"/>
            </w:tcBorders>
          </w:tcPr>
          <w:p w:rsidR="00D92131" w:rsidRPr="00BA4B9F" w:rsidP="00D92131">
            <w:pPr>
              <w:pStyle w:val="CSManNum9pt"/>
            </w:pPr>
            <w:r w:rsidRPr="00D92131">
              <w:t>(d)</w:t>
            </w:r>
            <w:r w:rsidRPr="00D92131">
              <w:tab/>
              <w:t>at any time in any other circumstances falling within Article 3(2) of the Prospectus Directive,</w:t>
            </w:r>
          </w:p>
        </w:tc>
        <w:tc>
          <w:tcPr>
            <w:tcW w:w="2644" w:type="pct"/>
            <w:tcBorders>
              <w:left w:val="single" w:sz="4" w:space="0" w:color="auto"/>
            </w:tcBorders>
          </w:tcPr>
          <w:p w:rsidR="00D92131" w:rsidRPr="00D92131" w:rsidP="00D92131">
            <w:pPr>
              <w:pStyle w:val="CSManNum9pt"/>
              <w:rPr>
                <w:lang w:val="de-DE"/>
              </w:rPr>
            </w:pPr>
            <w:r w:rsidRPr="00D92131">
              <w:rPr>
                <w:lang w:val="de-DE"/>
              </w:rPr>
              <w:t>(d)</w:t>
            </w:r>
            <w:r w:rsidRPr="00D92131">
              <w:rPr>
                <w:lang w:val="de-DE"/>
              </w:rPr>
              <w:tab/>
              <w:t>jederzeit unter anderen, in Artikel 3(2) der Prospektrichtlinie beschriebenen Umständen,</w:t>
            </w:r>
          </w:p>
        </w:tc>
      </w:tr>
      <w:tr w:rsidTr="003330CF">
        <w:tblPrEx>
          <w:tblW w:w="5000" w:type="pct"/>
          <w:tblLayout w:type="fixed"/>
          <w:tblLook w:val="00A0"/>
        </w:tblPrEx>
        <w:tc>
          <w:tcPr>
            <w:tcW w:w="2356" w:type="pct"/>
            <w:tcBorders>
              <w:right w:val="single" w:sz="4" w:space="0" w:color="auto"/>
            </w:tcBorders>
          </w:tcPr>
          <w:p w:rsidR="00D92131" w:rsidRPr="002068B4" w:rsidP="00590D51">
            <w:pPr>
              <w:pStyle w:val="CSBody0"/>
            </w:pPr>
            <w:r w:rsidRPr="002068B4">
              <w:t>provided that no such offer of Complex Products referred to in (b) to (d) above shall require the publication of a prospectus pursuant to Article 3 of the Prospectus Directive, or supplement a prospectus pursuant to Article 16 of the Prospectus Directive.</w:t>
            </w:r>
          </w:p>
        </w:tc>
        <w:tc>
          <w:tcPr>
            <w:tcW w:w="2644" w:type="pct"/>
            <w:tcBorders>
              <w:left w:val="single" w:sz="4" w:space="0" w:color="auto"/>
            </w:tcBorders>
          </w:tcPr>
          <w:p w:rsidR="00D92131" w:rsidRPr="00D92131" w:rsidP="00590D51">
            <w:pPr>
              <w:pStyle w:val="CSBody0"/>
              <w:rPr>
                <w:lang w:val="de-DE"/>
              </w:rPr>
            </w:pPr>
            <w:r w:rsidRPr="00D92131">
              <w:rPr>
                <w:lang w:val="de-DE"/>
              </w:rPr>
              <w:t>wobei im Falle eines der in den vorstehenden Absätzen (b) bis (d) genannten Angebote von Komplexen Produkten keine Verpflichtung zur Veröffentlichung eines Prospekts gemäss Artikel 3 der Prospektrichtlinie oder eines Nachtrags zu einem Prospekt gemäss Artikel 16 der Prospektrichtlinie besteht.</w:t>
            </w:r>
          </w:p>
        </w:tc>
      </w:tr>
      <w:tr w:rsidTr="003330CF">
        <w:tblPrEx>
          <w:tblW w:w="5000" w:type="pct"/>
          <w:tblLayout w:type="fixed"/>
          <w:tblLook w:val="00A0"/>
        </w:tblPrEx>
        <w:tc>
          <w:tcPr>
            <w:tcW w:w="2356" w:type="pct"/>
            <w:tcBorders>
              <w:right w:val="single" w:sz="4" w:space="0" w:color="auto"/>
            </w:tcBorders>
          </w:tcPr>
          <w:p w:rsidR="00D92131" w:rsidRPr="002068B4" w:rsidP="00590D51">
            <w:pPr>
              <w:pStyle w:val="CSBody0"/>
            </w:pPr>
            <w:r w:rsidRPr="002068B4">
              <w:t>For the purposes of this provision, the expression an "</w:t>
            </w:r>
            <w:r w:rsidRPr="00590D51">
              <w:rPr>
                <w:b/>
              </w:rPr>
              <w:t>offer of Complex Products to the public</w:t>
            </w:r>
            <w:r w:rsidRPr="002068B4">
              <w:t>" in relation to any Complex Products in any Relevant Member State means the communication in any form and by any means of sufficient information on the terms of the offer and the Complex Products to be offered so as to enable an investor to decide to purchase or subscribe the Complex Products, as the same may be varied in that Member State by any measure implementing the Prospectus Directive in that Member State, the expression "Prospectus Directive" means Directive 2003/71/EC (as amended, including by Directive 2010/73/EU), and includes any relevant implementing measure in the Relevant Member State.</w:t>
            </w:r>
          </w:p>
        </w:tc>
        <w:tc>
          <w:tcPr>
            <w:tcW w:w="2644" w:type="pct"/>
            <w:tcBorders>
              <w:left w:val="single" w:sz="4" w:space="0" w:color="auto"/>
            </w:tcBorders>
          </w:tcPr>
          <w:p w:rsidR="00D92131" w:rsidRPr="00D92131" w:rsidP="00590D51">
            <w:pPr>
              <w:pStyle w:val="CSBody0"/>
              <w:rPr>
                <w:lang w:val="de-DE"/>
              </w:rPr>
            </w:pPr>
            <w:r w:rsidRPr="00D92131">
              <w:rPr>
                <w:lang w:val="de-DE"/>
              </w:rPr>
              <w:t>Für die Zwecke dieser Bestimmung bezeichnet der Ausdruck "</w:t>
            </w:r>
            <w:r w:rsidRPr="00590D51">
              <w:rPr>
                <w:b/>
                <w:lang w:val="de-DE"/>
              </w:rPr>
              <w:t>öffentliches Angebot von Komplexen Produkten</w:t>
            </w:r>
            <w:r w:rsidRPr="00D92131">
              <w:rPr>
                <w:lang w:val="de-DE"/>
              </w:rPr>
              <w:t>" im Hinblick auf Komplexe Produkte in einem Relevanten Mitgliedstaat die Übermittlung von ausreichenden Informationen über die Angebotsbedingungen und die anzubietenden Komplexen Produkte in jedweder Form und auf jedwede Art und Weise, um einen Anleger in die Lage zu versetzen, sich für den Kauf oder die Zeichnung der Komplexen Produkte zu entscheiden, wobei die diesbezüglichen Bestimmungen von dem betreffenden Mitgliedstaat gegebenenfalls durch eine Massnahme zur Umsetzung der Prospektrichtlinie in diesem Mitgliedstaat geändert werden können. "Prospektrichtlinie" bezeichnet die Richtlinie 2003/71/EG (in der jeweils geltenden Fassung, einschliesslich der Änderungen durch die Richtlinie 2010/73/EU) und alle einschlägigen Umsetzungsmassnahmen in jedem Relevanten Mitgliedstaat.</w:t>
            </w:r>
          </w:p>
        </w:tc>
      </w:tr>
      <w:tr w:rsidTr="003330CF">
        <w:tblPrEx>
          <w:tblW w:w="5000" w:type="pct"/>
          <w:tblLayout w:type="fixed"/>
          <w:tblLook w:val="00A0"/>
        </w:tblPrEx>
        <w:tc>
          <w:tcPr>
            <w:tcW w:w="2356" w:type="pct"/>
            <w:tcBorders>
              <w:right w:val="single" w:sz="4" w:space="0" w:color="auto"/>
            </w:tcBorders>
          </w:tcPr>
          <w:p w:rsidR="009D5DEE" w:rsidRPr="005B5713" w:rsidP="002563CA">
            <w:pPr>
              <w:pStyle w:val="CSbody0bold"/>
            </w:pPr>
            <w:r w:rsidRPr="005B5713">
              <w:t>Argentina</w:t>
            </w:r>
          </w:p>
        </w:tc>
        <w:tc>
          <w:tcPr>
            <w:tcW w:w="2644" w:type="pct"/>
            <w:tcBorders>
              <w:left w:val="single" w:sz="4" w:space="0" w:color="auto"/>
            </w:tcBorders>
          </w:tcPr>
          <w:p w:rsidR="009D5DEE" w:rsidRPr="005B5713" w:rsidP="002563CA">
            <w:pPr>
              <w:pStyle w:val="CSbody0bold"/>
            </w:pPr>
            <w:r w:rsidRPr="005B5713">
              <w:t>Argentinien</w:t>
            </w:r>
          </w:p>
        </w:tc>
      </w:tr>
      <w:tr w:rsidTr="003330CF">
        <w:tblPrEx>
          <w:tblW w:w="5000" w:type="pct"/>
          <w:tblLayout w:type="fixed"/>
          <w:tblLook w:val="00A0"/>
        </w:tblPrEx>
        <w:tc>
          <w:tcPr>
            <w:tcW w:w="2356" w:type="pct"/>
            <w:tcBorders>
              <w:right w:val="single" w:sz="4" w:space="0" w:color="auto"/>
            </w:tcBorders>
          </w:tcPr>
          <w:p w:rsidR="00876F4B" w:rsidRPr="00780BE3" w:rsidP="00876F4B">
            <w:pPr>
              <w:pStyle w:val="CSBody0"/>
            </w:pPr>
            <w:r w:rsidRPr="00780BE3">
              <w:t>Neither the Complex Products nor this Document or any other document relating to the Complex Products have been registered or authorised by the Argentine Securities Commission (the "</w:t>
            </w:r>
            <w:r w:rsidRPr="00876F4B">
              <w:rPr>
                <w:b/>
              </w:rPr>
              <w:t>Comisión Nacional de Valores</w:t>
            </w:r>
            <w:r w:rsidRPr="00780BE3">
              <w:t>" or "</w:t>
            </w:r>
            <w:r w:rsidRPr="00876F4B">
              <w:rPr>
                <w:b/>
              </w:rPr>
              <w:t>CNV</w:t>
            </w:r>
            <w:r w:rsidRPr="00780BE3">
              <w:t>"). Therefore the Complex Products may not be offered to the public in Argentina except in circumstances which do not constitute a public offering of securities in Argentina within the meaning of Argentine Law No. 26,831 as amended and complemented, and supplemental rules enacted thereunder or any other applicable law. If a public offering is authorised by the CNV, the Complex Products may not be offered to the public in Argentina except through persons or entities that are authorised under the laws and regulations of Argentina to offer and sell the Complex Products directly to the public.</w:t>
            </w:r>
          </w:p>
        </w:tc>
        <w:tc>
          <w:tcPr>
            <w:tcW w:w="2644" w:type="pct"/>
            <w:tcBorders>
              <w:left w:val="single" w:sz="4" w:space="0" w:color="auto"/>
            </w:tcBorders>
          </w:tcPr>
          <w:p w:rsidR="00876F4B" w:rsidRPr="00876F4B" w:rsidP="00876F4B">
            <w:pPr>
              <w:pStyle w:val="CSBody0"/>
              <w:rPr>
                <w:lang w:val="de-DE"/>
              </w:rPr>
            </w:pPr>
            <w:r w:rsidRPr="00876F4B">
              <w:rPr>
                <w:lang w:val="de-DE"/>
              </w:rPr>
              <w:t>Weder die Komplexen Produkte noch dieses Dokument oder ein anderes Dokument, das sich auf die Komplexen Produkte bezieht, wurde von der Argentinischen Wertpapieraufsicht (die "</w:t>
            </w:r>
            <w:r w:rsidRPr="00876F4B">
              <w:rPr>
                <w:b/>
                <w:lang w:val="de-DE"/>
              </w:rPr>
              <w:t>Comisión Nacional de Valores</w:t>
            </w:r>
            <w:r w:rsidRPr="00876F4B">
              <w:rPr>
                <w:lang w:val="de-DE"/>
              </w:rPr>
              <w:t>" oder die "</w:t>
            </w:r>
            <w:r w:rsidRPr="00876F4B">
              <w:rPr>
                <w:b/>
                <w:lang w:val="de-DE"/>
              </w:rPr>
              <w:t>CNV</w:t>
            </w:r>
            <w:r w:rsidRPr="00876F4B">
              <w:rPr>
                <w:lang w:val="de-DE"/>
              </w:rPr>
              <w:t>") registriert oder genehmigt. Die Komplexen Produkte dürfen daher in Argentinien der Öffentlichkeit nur insoweit angeboten werden, als dies kein öffentliches Angebot von Wertpapieren in Argentinien im Sinne des argentinischen Gesetzes Nr. 26.831 in der jeweils geänderten und ergänzten Fassung sowie der auf der Grundlage dieses Gesetzes erlassenen Zusatzvorschriften oder anderer anwendbarer Gesetze darstellt. Wird ein öffentliches Angebot von der CNV genehmigt, so dürfen die Komplexen Produkte in Argentinien nur über natürliche oder juristische Personen öffentlich angeboten werden, die gemäss den argentinischen Gesetzen und Vorschriften zum direkten Angebot und Verkauf der Komplexen Produkte an die Öffentlichkeit berechtigt sind.</w:t>
            </w:r>
          </w:p>
        </w:tc>
      </w:tr>
      <w:tr w:rsidTr="003330CF">
        <w:tblPrEx>
          <w:tblW w:w="5000" w:type="pct"/>
          <w:tblLayout w:type="fixed"/>
          <w:tblLook w:val="00A0"/>
        </w:tblPrEx>
        <w:tc>
          <w:tcPr>
            <w:tcW w:w="2356" w:type="pct"/>
            <w:tcBorders>
              <w:right w:val="single" w:sz="4" w:space="0" w:color="auto"/>
            </w:tcBorders>
          </w:tcPr>
          <w:p w:rsidR="009D5DEE" w:rsidRPr="005B5713" w:rsidP="002563CA">
            <w:pPr>
              <w:pStyle w:val="CSbody0bold"/>
            </w:pPr>
            <w:r w:rsidRPr="005B5713">
              <w:t>Australia</w:t>
            </w:r>
          </w:p>
        </w:tc>
        <w:tc>
          <w:tcPr>
            <w:tcW w:w="2644" w:type="pct"/>
            <w:tcBorders>
              <w:left w:val="single" w:sz="4" w:space="0" w:color="auto"/>
            </w:tcBorders>
          </w:tcPr>
          <w:p w:rsidR="009D5DEE" w:rsidRPr="005B5713" w:rsidP="002563CA">
            <w:pPr>
              <w:pStyle w:val="CSbody0bold"/>
            </w:pPr>
            <w:r w:rsidRPr="005B5713">
              <w:t>Australien</w:t>
            </w:r>
          </w:p>
        </w:tc>
      </w:tr>
      <w:tr w:rsidTr="003330CF">
        <w:tblPrEx>
          <w:tblW w:w="5000" w:type="pct"/>
          <w:tblLayout w:type="fixed"/>
          <w:tblLook w:val="00A0"/>
        </w:tblPrEx>
        <w:tc>
          <w:tcPr>
            <w:tcW w:w="2356" w:type="pct"/>
            <w:tcBorders>
              <w:right w:val="single" w:sz="4" w:space="0" w:color="auto"/>
            </w:tcBorders>
          </w:tcPr>
          <w:p w:rsidR="00876F4B" w:rsidRPr="00E54CC5" w:rsidP="00876F4B">
            <w:pPr>
              <w:pStyle w:val="CSBody0"/>
            </w:pPr>
            <w:r w:rsidRPr="00E54CC5">
              <w:t xml:space="preserve">This Document is not a "Product Disclosure Statement" (as defined in Chapter 7 of the Corporations Act 2001 (Cth) of Australia (the "Corporations Act"). No prospectus or other disclosure document (as defined in the Corporations Act) in relation to the Complex Products or the securities (if any) to be delivered on the exercise of the Complex Products, has been or will be lodged with, or registered by, the Australian Securities and Investments Commission ("ASIC") or ASX Limited ABN 98 008 624 691. </w:t>
            </w:r>
          </w:p>
        </w:tc>
        <w:tc>
          <w:tcPr>
            <w:tcW w:w="2644" w:type="pct"/>
            <w:tcBorders>
              <w:left w:val="single" w:sz="4" w:space="0" w:color="auto"/>
            </w:tcBorders>
          </w:tcPr>
          <w:p w:rsidR="00876F4B" w:rsidRPr="00876F4B" w:rsidP="00876F4B">
            <w:pPr>
              <w:pStyle w:val="CSBody0"/>
              <w:rPr>
                <w:lang w:val="de-DE"/>
              </w:rPr>
            </w:pPr>
            <w:r w:rsidRPr="00876F4B">
              <w:rPr>
                <w:lang w:val="de-DE"/>
              </w:rPr>
              <w:t xml:space="preserve">Bei dem vorliegendem Dokument handelt es sich nicht um ein "Produktinformationsdokument" (Product Disclosure Statement) (wie in Kapitel 7 des australischen Bundesgesetzes über die Kapitalgesellschaften von 2001 (Corporations Act 2001 (Cth) of Australia; das "Gesetz über die Kapitalgesellschaften") definiert). In Bezug auf die Komplexen Produkte oder die Wertpapiere, die gegebenenfalls nach Ausübung der Komplexen Produkte zu liefern sind, wurde bzw. wird kein Prospekt (prospectus) oder sonstiges Informationsdokument (disclosure document) (wie im Gesetz über die Kapitalgesellschaften definiert) bei der australischen Finanzmarktaufsicht (Australian Securities and Investments Commission; "ASIC") oder bei ASX Limited ABN 98 008 624 691 eingereicht oder registriert. </w:t>
            </w:r>
          </w:p>
        </w:tc>
      </w:tr>
      <w:tr w:rsidTr="003330CF">
        <w:tblPrEx>
          <w:tblW w:w="5000" w:type="pct"/>
          <w:tblLayout w:type="fixed"/>
          <w:tblLook w:val="00A0"/>
        </w:tblPrEx>
        <w:tc>
          <w:tcPr>
            <w:tcW w:w="2356" w:type="pct"/>
            <w:tcBorders>
              <w:right w:val="single" w:sz="4" w:space="0" w:color="auto"/>
            </w:tcBorders>
          </w:tcPr>
          <w:p w:rsidR="00876F4B" w:rsidRPr="00E54CC5" w:rsidP="00876F4B">
            <w:pPr>
              <w:pStyle w:val="CSBody0"/>
            </w:pPr>
            <w:r w:rsidRPr="00E54CC5">
              <w:t>The Complex Products or the securities (if any) to be delivered upon the exercise of the Complex Products, have not been made and will not be made, directly or indirectly, the subject of an invitation or offer for issue or sale or subscription or purchase to any person, where the relevant offer or invitation is received in Australia (regardless of where any resulting issue, sale, or transfer occurs); and</w:t>
            </w:r>
          </w:p>
        </w:tc>
        <w:tc>
          <w:tcPr>
            <w:tcW w:w="2644" w:type="pct"/>
            <w:tcBorders>
              <w:left w:val="single" w:sz="4" w:space="0" w:color="auto"/>
            </w:tcBorders>
          </w:tcPr>
          <w:p w:rsidR="00876F4B" w:rsidRPr="00876F4B" w:rsidP="00876F4B">
            <w:pPr>
              <w:pStyle w:val="CSBody0"/>
              <w:rPr>
                <w:lang w:val="de-DE"/>
              </w:rPr>
            </w:pPr>
            <w:r w:rsidRPr="00876F4B">
              <w:rPr>
                <w:lang w:val="de-DE"/>
              </w:rPr>
              <w:t>Die Komplexen Produkte oder die gegebenenfalls nach Ausübung der Komplexen Produkte zu liefernden Wertpapiere sind und werden weder unmittelbar noch mittelbar Gegenstand einer Aufforderung oder eines Angebots zur Emission, zum Verkauf, zur Zeichnung oder zum Erwerb der Komplexen Produkte oder der gegebenenfalls zu liefernden Wertpapiere an Personen dergestalt, dass das betreffende Angebot bzw. die Aufforderung zu dessen Abgabe in Australien entgegengenommen wird (unabhängig davon, wo eine daraus resultierende Emission, ein daraus resultierender Verkauf oder eine daraus resultierende Übertragung erfolgt); und</w:t>
            </w:r>
          </w:p>
        </w:tc>
      </w:tr>
      <w:tr w:rsidTr="003330CF">
        <w:tblPrEx>
          <w:tblW w:w="5000" w:type="pct"/>
          <w:tblLayout w:type="fixed"/>
          <w:tblLook w:val="00A0"/>
        </w:tblPrEx>
        <w:tc>
          <w:tcPr>
            <w:tcW w:w="2356" w:type="pct"/>
            <w:tcBorders>
              <w:right w:val="single" w:sz="4" w:space="0" w:color="auto"/>
            </w:tcBorders>
          </w:tcPr>
          <w:p w:rsidR="00876F4B" w:rsidRPr="00E54CC5" w:rsidP="00876F4B">
            <w:pPr>
              <w:pStyle w:val="CSBody0"/>
            </w:pPr>
            <w:r w:rsidRPr="00E54CC5">
              <w:t xml:space="preserve">the Document or any other offering material or advertisement relating to the Complex Products or the securities (if any) to be delivered upon the exercise of the Complex Products have not been distributed, published or received and will not be distributed, published or received in Australia, </w:t>
            </w:r>
          </w:p>
        </w:tc>
        <w:tc>
          <w:tcPr>
            <w:tcW w:w="2644" w:type="pct"/>
            <w:tcBorders>
              <w:left w:val="single" w:sz="4" w:space="0" w:color="auto"/>
            </w:tcBorders>
          </w:tcPr>
          <w:p w:rsidR="00876F4B" w:rsidRPr="00876F4B" w:rsidP="00876F4B">
            <w:pPr>
              <w:pStyle w:val="CSBody0"/>
              <w:rPr>
                <w:lang w:val="de-DE"/>
              </w:rPr>
            </w:pPr>
            <w:r w:rsidRPr="00876F4B">
              <w:rPr>
                <w:lang w:val="de-DE"/>
              </w:rPr>
              <w:t>das Dokument oder sonstige Angebotsunterlagen oder Werbematerialien im Hinblick auf die Komplexen Produkte oder die gegebenenfalls nach Ausübung der Komplexen Produkte zu liefernden Wertpapiere wurden und werden nicht in Australien verteilt, veröffentlicht oder in Empfang genommen,</w:t>
            </w:r>
          </w:p>
        </w:tc>
      </w:tr>
      <w:tr w:rsidTr="003330CF">
        <w:tblPrEx>
          <w:tblW w:w="5000" w:type="pct"/>
          <w:tblLayout w:type="fixed"/>
          <w:tblLook w:val="00A0"/>
        </w:tblPrEx>
        <w:tc>
          <w:tcPr>
            <w:tcW w:w="2356" w:type="pct"/>
            <w:tcBorders>
              <w:right w:val="single" w:sz="4" w:space="0" w:color="auto"/>
            </w:tcBorders>
          </w:tcPr>
          <w:p w:rsidR="00876F4B" w:rsidRPr="00E54CC5" w:rsidP="00876F4B">
            <w:pPr>
              <w:pStyle w:val="CSBody0"/>
            </w:pPr>
            <w:r w:rsidRPr="00E54CC5">
              <w:t>unless:</w:t>
            </w:r>
          </w:p>
        </w:tc>
        <w:tc>
          <w:tcPr>
            <w:tcW w:w="2644" w:type="pct"/>
            <w:tcBorders>
              <w:left w:val="single" w:sz="4" w:space="0" w:color="auto"/>
            </w:tcBorders>
          </w:tcPr>
          <w:p w:rsidR="00876F4B" w:rsidRPr="00E54CC5" w:rsidP="00876F4B">
            <w:pPr>
              <w:pStyle w:val="CSBody0"/>
            </w:pPr>
            <w:r w:rsidRPr="00E54CC5">
              <w:t>es sei denn,</w:t>
            </w:r>
          </w:p>
        </w:tc>
      </w:tr>
      <w:tr w:rsidTr="003330CF">
        <w:tblPrEx>
          <w:tblW w:w="5000" w:type="pct"/>
          <w:tblLayout w:type="fixed"/>
          <w:tblLook w:val="00A0"/>
        </w:tblPrEx>
        <w:tc>
          <w:tcPr>
            <w:tcW w:w="2356" w:type="pct"/>
            <w:tcBorders>
              <w:right w:val="single" w:sz="4" w:space="0" w:color="auto"/>
            </w:tcBorders>
          </w:tcPr>
          <w:p w:rsidR="00876F4B" w:rsidRPr="00E54CC5" w:rsidP="00876F4B">
            <w:pPr>
              <w:pStyle w:val="CSManNum9pt"/>
            </w:pPr>
            <w:r w:rsidRPr="00876F4B">
              <w:t>(i)</w:t>
            </w:r>
            <w:r w:rsidRPr="00876F4B">
              <w:tab/>
              <w:t>the minimum aggregate consideration payable for such Complex Products or the securities (if any) to be delivered on the exercise of such Complex Products on acceptance of the offer or invitation by the person to whom the relevant offer or invitation is made, is at least A$500,000 or the equivalent in another currency (calculated in either case, in accordance with both section 708(9) of the Corporations Act and regulation 7.1.18 of the Corporations Regulations 2001 (Cth)) or the offer or invitation otherwise does not require disclosure to investors under Parts 6D.2 or 7.9 of the Corporations Act; and</w:t>
            </w:r>
          </w:p>
        </w:tc>
        <w:tc>
          <w:tcPr>
            <w:tcW w:w="2644" w:type="pct"/>
            <w:tcBorders>
              <w:left w:val="single" w:sz="4" w:space="0" w:color="auto"/>
            </w:tcBorders>
          </w:tcPr>
          <w:p w:rsidR="00876F4B" w:rsidRPr="00876F4B" w:rsidP="00876F4B">
            <w:pPr>
              <w:pStyle w:val="CSManNum9pt"/>
              <w:rPr>
                <w:lang w:val="de-DE"/>
              </w:rPr>
            </w:pPr>
            <w:r w:rsidRPr="00876F4B">
              <w:rPr>
                <w:lang w:val="de-DE"/>
              </w:rPr>
              <w:t>(i)</w:t>
            </w:r>
            <w:r w:rsidRPr="00876F4B">
              <w:rPr>
                <w:lang w:val="de-DE"/>
              </w:rPr>
              <w:tab/>
              <w:t>das für solche Komplexen Produkte oder für die gegebenenfalls nach deren Ausübung zu liefernden Wertpapiere bei Annahme des Angebots oder der Aufforderung durch die Person, an welche dieses Angebot bzw. diese Aufforderung gerichtet ist, zu zahlende minimale Gesamtentgelt beträgt mindestens A$ 500'000 oder den entsprechenden Gegenwert in einer anderen Währung (wobei die Berechnung in beiden Fällen unter Beachtung von Absatz 708(9) des Gesetzes über die Kapitalgesellschaften und der Vorschrift 7.1.18 der Regulierung von 2001 (Cth) über die Kapitalgesellschaften erfolgt) oder eine Offenlegung gegenüber den Anlegern gemäss Teil 6D.2 oder Teil 7.9 des Gesetzes über die Kapitalgesellschaften ist im Rahmen des Angebots oder der Aufforderung aus anderen Gründen nicht erforderlich; und</w:t>
            </w:r>
          </w:p>
        </w:tc>
      </w:tr>
      <w:tr w:rsidTr="003330CF">
        <w:tblPrEx>
          <w:tblW w:w="5000" w:type="pct"/>
          <w:tblLayout w:type="fixed"/>
          <w:tblLook w:val="00A0"/>
        </w:tblPrEx>
        <w:tc>
          <w:tcPr>
            <w:tcW w:w="2356" w:type="pct"/>
            <w:tcBorders>
              <w:right w:val="single" w:sz="4" w:space="0" w:color="auto"/>
            </w:tcBorders>
          </w:tcPr>
          <w:p w:rsidR="00876F4B" w:rsidRPr="0028778B" w:rsidP="00876F4B">
            <w:pPr>
              <w:pStyle w:val="CSManNum9pt"/>
            </w:pPr>
            <w:r w:rsidRPr="00876F4B">
              <w:t>(ii)</w:t>
            </w:r>
            <w:r w:rsidRPr="00876F4B">
              <w:tab/>
              <w:t>the offer or invitation and all conduct in connection with it complies with all applicable laws, regulations and directives in Australia (including, without limitation, the licensing requirements set out in Chapter 7 of the Corporations Act); and</w:t>
            </w:r>
          </w:p>
        </w:tc>
        <w:tc>
          <w:tcPr>
            <w:tcW w:w="2644" w:type="pct"/>
            <w:tcBorders>
              <w:left w:val="single" w:sz="4" w:space="0" w:color="auto"/>
            </w:tcBorders>
          </w:tcPr>
          <w:p w:rsidR="00876F4B" w:rsidRPr="00876F4B" w:rsidP="00876F4B">
            <w:pPr>
              <w:pStyle w:val="CSManNum9pt"/>
              <w:rPr>
                <w:lang w:val="de-DE"/>
              </w:rPr>
            </w:pPr>
            <w:r w:rsidRPr="00876F4B">
              <w:rPr>
                <w:lang w:val="de-DE"/>
              </w:rPr>
              <w:t>(ii)</w:t>
            </w:r>
            <w:r w:rsidRPr="00876F4B">
              <w:rPr>
                <w:lang w:val="de-DE"/>
              </w:rPr>
              <w:tab/>
              <w:t>das Angebot oder die Aufforderung und sämtliche Handlungen im Zusammenhang damit erfolgt bzw. erfolgen unter Beachtung aller anwendbaren Gesetze, Vorschriften und Richtlinien in Australien (einschliesslich, ohne hierauf beschränkt zu sein, der Zulassungsvorschriften in Kapitel 7 des Gesetzes über die Kapitalgesellschaften); und</w:t>
            </w:r>
          </w:p>
        </w:tc>
      </w:tr>
      <w:tr w:rsidTr="003330CF">
        <w:tblPrEx>
          <w:tblW w:w="5000" w:type="pct"/>
          <w:tblLayout w:type="fixed"/>
          <w:tblLook w:val="00A0"/>
        </w:tblPrEx>
        <w:tc>
          <w:tcPr>
            <w:tcW w:w="2356" w:type="pct"/>
            <w:tcBorders>
              <w:right w:val="single" w:sz="4" w:space="0" w:color="auto"/>
            </w:tcBorders>
          </w:tcPr>
          <w:p w:rsidR="00876F4B" w:rsidRPr="0028778B" w:rsidP="00876F4B">
            <w:pPr>
              <w:pStyle w:val="CSManNum9pt"/>
            </w:pPr>
            <w:r w:rsidRPr="00876F4B">
              <w:t>(iii)</w:t>
            </w:r>
            <w:r w:rsidRPr="00876F4B">
              <w:tab/>
              <w:t>the offer or invitation is not made to a person who is a "retail client" within the meaning of section 761G of the Corporations Act; and</w:t>
            </w:r>
          </w:p>
        </w:tc>
        <w:tc>
          <w:tcPr>
            <w:tcW w:w="2644" w:type="pct"/>
            <w:tcBorders>
              <w:left w:val="single" w:sz="4" w:space="0" w:color="auto"/>
            </w:tcBorders>
          </w:tcPr>
          <w:p w:rsidR="00876F4B" w:rsidRPr="00876F4B" w:rsidP="00876F4B">
            <w:pPr>
              <w:pStyle w:val="CSManNum9pt"/>
              <w:rPr>
                <w:lang w:val="de-DE"/>
              </w:rPr>
            </w:pPr>
            <w:r w:rsidRPr="00876F4B">
              <w:rPr>
                <w:lang w:val="de-DE"/>
              </w:rPr>
              <w:t>(iii)</w:t>
            </w:r>
            <w:r w:rsidRPr="00876F4B">
              <w:rPr>
                <w:lang w:val="de-DE"/>
              </w:rPr>
              <w:tab/>
              <w:t>das Angebot oder die Aufforderung erfolgt nicht gegenüber einer Person, die ein "Privatkunde" (retail client) im Sinne von Absatz 761G des Gesetzes über die Kapitalgesellschaften ist; und</w:t>
            </w:r>
          </w:p>
        </w:tc>
      </w:tr>
      <w:tr w:rsidTr="003330CF">
        <w:tblPrEx>
          <w:tblW w:w="5000" w:type="pct"/>
          <w:tblLayout w:type="fixed"/>
          <w:tblLook w:val="00A0"/>
        </w:tblPrEx>
        <w:tc>
          <w:tcPr>
            <w:tcW w:w="2356" w:type="pct"/>
            <w:tcBorders>
              <w:right w:val="single" w:sz="4" w:space="0" w:color="auto"/>
            </w:tcBorders>
          </w:tcPr>
          <w:p w:rsidR="00876F4B" w:rsidRPr="0028778B" w:rsidP="00876F4B">
            <w:pPr>
              <w:pStyle w:val="CSManNum9pt"/>
            </w:pPr>
            <w:r w:rsidRPr="00876F4B">
              <w:t>(iv)</w:t>
            </w:r>
            <w:r w:rsidRPr="00876F4B">
              <w:tab/>
              <w:t>such action does not require any document to be lodged with ASIC or any other regulatory authority.</w:t>
            </w:r>
          </w:p>
        </w:tc>
        <w:tc>
          <w:tcPr>
            <w:tcW w:w="2644" w:type="pct"/>
            <w:tcBorders>
              <w:left w:val="single" w:sz="4" w:space="0" w:color="auto"/>
            </w:tcBorders>
          </w:tcPr>
          <w:p w:rsidR="00876F4B" w:rsidRPr="00876F4B" w:rsidP="00B46553">
            <w:pPr>
              <w:pStyle w:val="CSManNum9pt"/>
              <w:rPr>
                <w:lang w:val="de-DE"/>
              </w:rPr>
            </w:pPr>
            <w:r>
              <w:rPr>
                <w:lang w:val="de-DE"/>
              </w:rPr>
              <w:t>(iv</w:t>
            </w:r>
            <w:r w:rsidRPr="00876F4B">
              <w:rPr>
                <w:lang w:val="de-DE"/>
              </w:rPr>
              <w:t>)</w:t>
            </w:r>
            <w:r w:rsidRPr="00876F4B">
              <w:rPr>
                <w:lang w:val="de-DE"/>
              </w:rPr>
              <w:tab/>
            </w:r>
            <w:r w:rsidRPr="00B46553">
              <w:rPr>
                <w:lang w:val="de-DE"/>
              </w:rPr>
              <w:t>eine solche Massnahme erfordert nicht die Einreichung eines Dokuments bei der ASIC oder einer anderen Aufsichtsbehörde</w:t>
            </w:r>
            <w:r>
              <w:rPr>
                <w:lang w:val="de-DE"/>
              </w:rPr>
              <w:t>.</w:t>
            </w:r>
          </w:p>
        </w:tc>
      </w:tr>
      <w:tr w:rsidTr="003330CF">
        <w:tblPrEx>
          <w:tblW w:w="5000" w:type="pct"/>
          <w:tblLayout w:type="fixed"/>
          <w:tblLook w:val="00A0"/>
        </w:tblPrEx>
        <w:tc>
          <w:tcPr>
            <w:tcW w:w="2356" w:type="pct"/>
            <w:tcBorders>
              <w:right w:val="single" w:sz="4" w:space="0" w:color="auto"/>
            </w:tcBorders>
          </w:tcPr>
          <w:p w:rsidR="00876F4B" w:rsidRPr="00E54CC5" w:rsidP="00876F4B">
            <w:pPr>
              <w:pStyle w:val="CSBody0"/>
            </w:pPr>
            <w:r w:rsidRPr="00E54CC5">
              <w:t>Furthermore, the Complex Products, and the securities (if any) to be delivered upon the exercise of the Complex Products, may only be transferred if the offer or invitation for the sale or purchase of the Complex Products, or the securities (if any) to be delivered upon the exercise of the Complex Products, is received by a person in Australia, only if:</w:t>
            </w:r>
          </w:p>
        </w:tc>
        <w:tc>
          <w:tcPr>
            <w:tcW w:w="2644" w:type="pct"/>
            <w:tcBorders>
              <w:left w:val="single" w:sz="4" w:space="0" w:color="auto"/>
            </w:tcBorders>
          </w:tcPr>
          <w:p w:rsidR="00876F4B" w:rsidRPr="00876F4B" w:rsidP="00876F4B">
            <w:pPr>
              <w:pStyle w:val="CSBody0"/>
              <w:rPr>
                <w:lang w:val="de-DE"/>
              </w:rPr>
            </w:pPr>
            <w:r w:rsidRPr="00876F4B">
              <w:rPr>
                <w:lang w:val="de-DE"/>
              </w:rPr>
              <w:t>In Fällen, in welchen das Angebot oder die Aufforderung hinsichtlich des Verkaufs oder Kaufs der Komplexen Produkte oder der gegebenenfalls nach Ausübung der Komplexen Produkte zu liefernden Wertpapiere bei einer Person in Australien eingeht, dürfen Komplexe Produkte und die gegebenenfalls nach Ausübung der Komplexen Produkte zu liefernden Wertpapiere darüber hinaus nur übertragen werden, wenn:</w:t>
            </w:r>
          </w:p>
        </w:tc>
      </w:tr>
      <w:tr w:rsidTr="003330CF">
        <w:tblPrEx>
          <w:tblW w:w="5000" w:type="pct"/>
          <w:tblLayout w:type="fixed"/>
          <w:tblLook w:val="00A0"/>
        </w:tblPrEx>
        <w:tc>
          <w:tcPr>
            <w:tcW w:w="2356" w:type="pct"/>
            <w:tcBorders>
              <w:right w:val="single" w:sz="4" w:space="0" w:color="auto"/>
            </w:tcBorders>
          </w:tcPr>
          <w:p w:rsidR="00876F4B" w:rsidRPr="00E54CC5" w:rsidP="00876F4B">
            <w:pPr>
              <w:pStyle w:val="CSManNum9pt"/>
            </w:pPr>
            <w:r w:rsidRPr="00876F4B">
              <w:t>(a)</w:t>
            </w:r>
            <w:r w:rsidRPr="00876F4B">
              <w:tab/>
              <w:t>the minimum aggregate consideration payable for such Complex Products or the securities (if any) to be delivered on the exercise of such Complex Products at the time of transfer, is at least A$500,000 or the equivalent in another currency (calculated, in either case, in accordance with both section 708(9) of the Corporations Act and regulation 7.1.18 of the Corporations Regulations 2001 (Cth)) or the transfer otherwise does not require disclosure to investors under Parts 6D.2 or 7.9 of the Corporations Act and it is not an offer or invitation to a "retail client" within the meaning of section 761 of the Corporations Act; and</w:t>
            </w:r>
          </w:p>
        </w:tc>
        <w:tc>
          <w:tcPr>
            <w:tcW w:w="2644" w:type="pct"/>
            <w:tcBorders>
              <w:left w:val="single" w:sz="4" w:space="0" w:color="auto"/>
            </w:tcBorders>
          </w:tcPr>
          <w:p w:rsidR="00876F4B" w:rsidRPr="00876F4B">
            <w:pPr>
              <w:pStyle w:val="CSManNum9pt"/>
              <w:rPr>
                <w:lang w:val="de-DE"/>
              </w:rPr>
            </w:pPr>
            <w:r w:rsidRPr="00876F4B">
              <w:rPr>
                <w:lang w:val="de-DE"/>
              </w:rPr>
              <w:t>(a)</w:t>
            </w:r>
            <w:r w:rsidRPr="00876F4B">
              <w:rPr>
                <w:lang w:val="de-DE"/>
              </w:rPr>
              <w:tab/>
              <w:t>das im Zeitpunkt der Übertragung zu zahlende minimale Gesamtentgelt für diese Komplexen Produkte oder die gegebenenfalls nach Ausübung der Komplexen Produkte zu liefernden Wertpapiere mindestens A$ 500'000 oder den entsprechenden Gegenwert in einer anderen Währung beträgt (wobei die Berechnung in beiden Fällen unter Beachtung von Absatz 708(9) des Gesetzes über die Kapitalgesellschaften und der Vorschrift 7.1.18 der Regulierung von 2001 (Cth) über die Kapitalgesellschaften erfolgt) oder die Übertragung aus anderen Gründen eine Offenlegung gemäss Teil 6D.2 oder Teil 7.9 des Gesetzes über die Kapitalgesellschaften nicht erforderlich macht und es sich dabei nicht um ein Angebot bzw. eine Aufforderung gegenüber einem "Privatkunden" (retail client) im Sinne von Absatz 761 des Gesetzes über die Kapitalgesellschaften handelt; und</w:t>
            </w:r>
          </w:p>
        </w:tc>
      </w:tr>
      <w:tr w:rsidTr="003330CF">
        <w:tblPrEx>
          <w:tblW w:w="5000" w:type="pct"/>
          <w:tblLayout w:type="fixed"/>
          <w:tblLook w:val="00A0"/>
        </w:tblPrEx>
        <w:tc>
          <w:tcPr>
            <w:tcW w:w="2356" w:type="pct"/>
            <w:tcBorders>
              <w:right w:val="single" w:sz="4" w:space="0" w:color="auto"/>
            </w:tcBorders>
          </w:tcPr>
          <w:p w:rsidR="00876F4B" w:rsidRPr="00E54CC5" w:rsidP="00876F4B">
            <w:pPr>
              <w:pStyle w:val="CSManNum9pt"/>
            </w:pPr>
            <w:r w:rsidRPr="00876F4B">
              <w:t>(b)</w:t>
            </w:r>
            <w:r w:rsidRPr="00876F4B">
              <w:tab/>
              <w:t>the transfer is in compliance with all applicable laws, regulations and directives.</w:t>
            </w:r>
          </w:p>
        </w:tc>
        <w:tc>
          <w:tcPr>
            <w:tcW w:w="2644" w:type="pct"/>
            <w:tcBorders>
              <w:left w:val="single" w:sz="4" w:space="0" w:color="auto"/>
            </w:tcBorders>
          </w:tcPr>
          <w:p w:rsidR="00876F4B" w:rsidRPr="00876F4B" w:rsidP="00876F4B">
            <w:pPr>
              <w:pStyle w:val="CSManNum9pt"/>
              <w:rPr>
                <w:lang w:val="de-DE"/>
              </w:rPr>
            </w:pPr>
            <w:r w:rsidRPr="00876F4B">
              <w:rPr>
                <w:lang w:val="de-DE"/>
              </w:rPr>
              <w:t>(b)</w:t>
            </w:r>
            <w:r w:rsidRPr="00876F4B">
              <w:rPr>
                <w:lang w:val="de-DE"/>
              </w:rPr>
              <w:tab/>
              <w:t>die Übertragung unter Beachtung aller anwendbaren Gesetze, Vorschriften und Richtlinien erfolgt.</w:t>
            </w:r>
          </w:p>
        </w:tc>
      </w:tr>
      <w:tr w:rsidTr="003330CF">
        <w:tblPrEx>
          <w:tblW w:w="5000" w:type="pct"/>
          <w:tblLayout w:type="fixed"/>
          <w:tblLook w:val="00A0"/>
        </w:tblPrEx>
        <w:tc>
          <w:tcPr>
            <w:tcW w:w="2356" w:type="pct"/>
            <w:tcBorders>
              <w:right w:val="single" w:sz="4" w:space="0" w:color="auto"/>
            </w:tcBorders>
          </w:tcPr>
          <w:p w:rsidR="009D5DEE" w:rsidRPr="005B5713" w:rsidP="00D06946">
            <w:pPr>
              <w:pStyle w:val="CSbody0bold"/>
            </w:pPr>
            <w:r w:rsidRPr="005B5713">
              <w:t>Austria</w:t>
            </w:r>
          </w:p>
        </w:tc>
        <w:tc>
          <w:tcPr>
            <w:tcW w:w="2644" w:type="pct"/>
            <w:tcBorders>
              <w:left w:val="single" w:sz="4" w:space="0" w:color="auto"/>
            </w:tcBorders>
          </w:tcPr>
          <w:p w:rsidR="009D5DEE" w:rsidRPr="005B5713" w:rsidP="00D06946">
            <w:pPr>
              <w:pStyle w:val="CSbody0bold"/>
            </w:pPr>
            <w:r w:rsidRPr="005B5713">
              <w:t>Österreich</w:t>
            </w:r>
          </w:p>
        </w:tc>
      </w:tr>
      <w:tr w:rsidTr="003330CF">
        <w:tblPrEx>
          <w:tblW w:w="5000" w:type="pct"/>
          <w:tblLayout w:type="fixed"/>
          <w:tblLook w:val="00A0"/>
        </w:tblPrEx>
        <w:tc>
          <w:tcPr>
            <w:tcW w:w="2356" w:type="pct"/>
            <w:tcBorders>
              <w:right w:val="single" w:sz="4" w:space="0" w:color="auto"/>
            </w:tcBorders>
          </w:tcPr>
          <w:p w:rsidR="001E0E28" w:rsidRPr="003956DA" w:rsidP="001E0E28">
            <w:pPr>
              <w:pStyle w:val="CSBody0"/>
            </w:pPr>
            <w:r w:rsidRPr="003956DA">
              <w:t>The Complex Products have not and will not be offered to the public in Austria, except that an offer of the Complex Products may be made to the public in Austria:</w:t>
            </w:r>
          </w:p>
        </w:tc>
        <w:tc>
          <w:tcPr>
            <w:tcW w:w="2644" w:type="pct"/>
            <w:tcBorders>
              <w:left w:val="single" w:sz="4" w:space="0" w:color="auto"/>
            </w:tcBorders>
          </w:tcPr>
          <w:p w:rsidR="001E0E28" w:rsidRPr="001E0E28" w:rsidP="001E0E28">
            <w:pPr>
              <w:pStyle w:val="CSBody0"/>
              <w:rPr>
                <w:lang w:val="de-DE"/>
              </w:rPr>
            </w:pPr>
            <w:r w:rsidRPr="001E0E28">
              <w:rPr>
                <w:lang w:val="de-DE"/>
              </w:rPr>
              <w:t>Die Komplexen Produkte wurden und werden in Österreich nicht öffentlich angeboten. Ein öffentliches Angebot der Komplexen Produkte in Österreich ist jedoch zulässig:</w:t>
            </w:r>
          </w:p>
        </w:tc>
      </w:tr>
      <w:tr w:rsidTr="003330CF">
        <w:tblPrEx>
          <w:tblW w:w="5000" w:type="pct"/>
          <w:tblLayout w:type="fixed"/>
          <w:tblLook w:val="00A0"/>
        </w:tblPrEx>
        <w:tc>
          <w:tcPr>
            <w:tcW w:w="2356" w:type="pct"/>
            <w:tcBorders>
              <w:right w:val="single" w:sz="4" w:space="0" w:color="auto"/>
            </w:tcBorders>
          </w:tcPr>
          <w:p w:rsidR="001E0E28" w:rsidRPr="00625335" w:rsidP="001E0E28">
            <w:pPr>
              <w:pStyle w:val="CSManNum9pt"/>
            </w:pPr>
            <w:r w:rsidRPr="001E0E28">
              <w:t>(a)</w:t>
            </w:r>
            <w:r w:rsidRPr="001E0E28">
              <w:tab/>
              <w:t>if the following conditions have been satisfied:</w:t>
            </w:r>
          </w:p>
        </w:tc>
        <w:tc>
          <w:tcPr>
            <w:tcW w:w="2644" w:type="pct"/>
            <w:tcBorders>
              <w:left w:val="single" w:sz="4" w:space="0" w:color="auto"/>
            </w:tcBorders>
          </w:tcPr>
          <w:p w:rsidR="001E0E28" w:rsidRPr="001E0E28" w:rsidP="001E0E28">
            <w:pPr>
              <w:pStyle w:val="CSManNum9pt"/>
              <w:rPr>
                <w:bCs/>
                <w:lang w:val="de-DE"/>
              </w:rPr>
            </w:pPr>
            <w:r w:rsidRPr="001E0E28">
              <w:rPr>
                <w:bCs/>
                <w:lang w:val="de-DE"/>
              </w:rPr>
              <w:t>(a)</w:t>
            </w:r>
            <w:r w:rsidRPr="001E0E28">
              <w:rPr>
                <w:bCs/>
                <w:lang w:val="de-DE"/>
              </w:rPr>
              <w:tab/>
              <w:t>wenn die folgenden Bedingungen erfüllt sind:</w:t>
            </w:r>
          </w:p>
        </w:tc>
      </w:tr>
      <w:tr w:rsidTr="003330CF">
        <w:tblPrEx>
          <w:tblW w:w="5000" w:type="pct"/>
          <w:tblLayout w:type="fixed"/>
          <w:tblLook w:val="00A0"/>
        </w:tblPrEx>
        <w:tc>
          <w:tcPr>
            <w:tcW w:w="2356" w:type="pct"/>
            <w:tcBorders>
              <w:right w:val="single" w:sz="4" w:space="0" w:color="auto"/>
            </w:tcBorders>
          </w:tcPr>
          <w:p w:rsidR="001E0E28" w:rsidRPr="00625335" w:rsidP="001E0E28">
            <w:pPr>
              <w:pStyle w:val="CSManNum9pt"/>
            </w:pPr>
            <w:r w:rsidRPr="001E0E28">
              <w:t>(i)</w:t>
            </w:r>
            <w:r w:rsidRPr="001E0E28">
              <w:tab/>
              <w:t>the Base Prospectus, including any supplements but excluding any Prospectuses, in relation to those Complex Products issued by the Issuer, which has been approved by the Austrian Financial Market Authority (Finanzmarktaufsichtsbehörde; the "FMA") or, where appropriate, approved in another member state and notified to the FMA, all in accordance with the Prospectus Directive, has been published at least one Austrian banking business day prior to the commencement of the relevant offer; and</w:t>
            </w:r>
          </w:p>
        </w:tc>
        <w:tc>
          <w:tcPr>
            <w:tcW w:w="2644" w:type="pct"/>
            <w:tcBorders>
              <w:left w:val="single" w:sz="4" w:space="0" w:color="auto"/>
            </w:tcBorders>
          </w:tcPr>
          <w:p w:rsidR="001E0E28" w:rsidRPr="001E0E28" w:rsidP="001E0E28">
            <w:pPr>
              <w:pStyle w:val="CSManNum9pt"/>
              <w:rPr>
                <w:bCs/>
                <w:lang w:val="de-DE"/>
              </w:rPr>
            </w:pPr>
            <w:r w:rsidRPr="001E0E28">
              <w:rPr>
                <w:bCs/>
                <w:lang w:val="de-DE"/>
              </w:rPr>
              <w:t>(i)</w:t>
            </w:r>
            <w:r w:rsidRPr="001E0E28">
              <w:rPr>
                <w:bCs/>
                <w:lang w:val="de-DE"/>
              </w:rPr>
              <w:tab/>
              <w:t>der Basisprospekt (einschliesslich etwaiger Nachträge, aber ausschliesslich etwaiger Prospekte für die von der Emittentin begebenen Komplexen Produkte), der von der österreichischen Finanzmarktaufsichtsbehörde (die "FMA") gebilligt wurde oder gegebenenfalls in einem anderen Mitgliedstaat gebilligt und an die FMA notifiziert wurde, jeweils nach Massgabe der Prospektrichtlinie, wurde mindestens einen österreichischen Bankarbeitstag vor Beginn des jeweiligen Angebots veröffentlicht; und</w:t>
            </w:r>
          </w:p>
        </w:tc>
      </w:tr>
      <w:tr w:rsidTr="003330CF">
        <w:tblPrEx>
          <w:tblW w:w="5000" w:type="pct"/>
          <w:tblLayout w:type="fixed"/>
          <w:tblLook w:val="00A0"/>
        </w:tblPrEx>
        <w:tc>
          <w:tcPr>
            <w:tcW w:w="2356" w:type="pct"/>
            <w:tcBorders>
              <w:right w:val="single" w:sz="4" w:space="0" w:color="auto"/>
            </w:tcBorders>
          </w:tcPr>
          <w:p w:rsidR="009D5DEE" w:rsidRPr="001E0E28" w:rsidP="001E0E28">
            <w:pPr>
              <w:pStyle w:val="CSManNum9pt"/>
              <w:rPr>
                <w:bCs/>
              </w:rPr>
            </w:pPr>
            <w:r w:rsidRPr="001E0E28">
              <w:rPr>
                <w:bCs/>
              </w:rPr>
              <w:t>(ii)</w:t>
            </w:r>
            <w:r w:rsidRPr="001E0E28">
              <w:rPr>
                <w:bCs/>
              </w:rPr>
              <w:tab/>
              <w:t>the Final Terms have been published on or prior to the date of commencement of the relevant offer and have been filed with the FMA; and</w:t>
            </w:r>
          </w:p>
        </w:tc>
        <w:tc>
          <w:tcPr>
            <w:tcW w:w="2644" w:type="pct"/>
            <w:tcBorders>
              <w:left w:val="single" w:sz="4" w:space="0" w:color="auto"/>
            </w:tcBorders>
          </w:tcPr>
          <w:p w:rsidR="009D5DEE" w:rsidRPr="001E0E28" w:rsidP="001E0E28">
            <w:pPr>
              <w:pStyle w:val="CSManNum9pt"/>
              <w:rPr>
                <w:bCs/>
                <w:lang w:val="de-DE"/>
              </w:rPr>
            </w:pPr>
            <w:r w:rsidRPr="001E0E28">
              <w:rPr>
                <w:bCs/>
                <w:lang w:val="de-DE"/>
              </w:rPr>
              <w:t>(ii)</w:t>
            </w:r>
            <w:r w:rsidRPr="001E0E28">
              <w:rPr>
                <w:bCs/>
                <w:lang w:val="de-DE"/>
              </w:rPr>
              <w:tab/>
              <w:t>die endgültigen Bedingungen wurden am oder vor dem Tag des Beginns des jeweiligen Angebots veröffentlicht und der FMA übermittelt; und</w:t>
            </w:r>
          </w:p>
        </w:tc>
      </w:tr>
      <w:tr w:rsidTr="003330CF">
        <w:tblPrEx>
          <w:tblW w:w="5000" w:type="pct"/>
          <w:tblLayout w:type="fixed"/>
          <w:tblLook w:val="00A0"/>
        </w:tblPrEx>
        <w:tc>
          <w:tcPr>
            <w:tcW w:w="2356" w:type="pct"/>
            <w:tcBorders>
              <w:right w:val="single" w:sz="4" w:space="0" w:color="auto"/>
            </w:tcBorders>
          </w:tcPr>
          <w:p w:rsidR="009D5DEE" w:rsidRPr="001E0E28" w:rsidP="001E0E28">
            <w:pPr>
              <w:pStyle w:val="CSManNum9pt"/>
              <w:rPr>
                <w:bCs/>
              </w:rPr>
            </w:pPr>
            <w:r w:rsidRPr="001E0E28">
              <w:rPr>
                <w:bCs/>
              </w:rPr>
              <w:t>(iii)</w:t>
            </w:r>
            <w:r w:rsidRPr="001E0E28">
              <w:rPr>
                <w:bCs/>
              </w:rPr>
              <w:tab/>
              <w:t>a notification with Oesterreichische Kontrollbank, all as prescribed by the Capital Market Act (Kapitalmarktgesetz, Federal Law Gazette No 625/1991, the "KMG" as amended), has been filed at least one Austrian banking business day prior to the commencement of the relevant offer; or</w:t>
            </w:r>
          </w:p>
        </w:tc>
        <w:tc>
          <w:tcPr>
            <w:tcW w:w="2644" w:type="pct"/>
            <w:tcBorders>
              <w:left w:val="single" w:sz="4" w:space="0" w:color="auto"/>
            </w:tcBorders>
          </w:tcPr>
          <w:p w:rsidR="009D5DEE" w:rsidRPr="001E0E28">
            <w:pPr>
              <w:pStyle w:val="CSManNum9pt"/>
              <w:rPr>
                <w:bCs/>
                <w:lang w:val="de-DE"/>
              </w:rPr>
            </w:pPr>
            <w:r w:rsidRPr="001E0E28">
              <w:rPr>
                <w:bCs/>
                <w:lang w:val="de-DE"/>
              </w:rPr>
              <w:t>(iii)</w:t>
            </w:r>
            <w:r w:rsidRPr="001E0E28">
              <w:rPr>
                <w:bCs/>
                <w:lang w:val="de-DE"/>
              </w:rPr>
              <w:tab/>
              <w:t>eine Meldung an die Oesterreichische Kontrollbank, wie jeweils im Kapitalmarktgesetz (Bundesgesetzblatt Nr. 625/1991; das "KMG" in der geltenden Fassung) vorgesehen, wurde mindestens einen österreichischen Bankarbeitstag vor Beginn des jeweiligen Angebots eingereicht; oder</w:t>
            </w:r>
          </w:p>
        </w:tc>
      </w:tr>
      <w:tr w:rsidTr="003330CF">
        <w:tblPrEx>
          <w:tblW w:w="5000" w:type="pct"/>
          <w:tblLayout w:type="fixed"/>
          <w:tblLook w:val="00A0"/>
        </w:tblPrEx>
        <w:tc>
          <w:tcPr>
            <w:tcW w:w="2356" w:type="pct"/>
            <w:tcBorders>
              <w:right w:val="single" w:sz="4" w:space="0" w:color="auto"/>
            </w:tcBorders>
          </w:tcPr>
          <w:p w:rsidR="009D5DEE" w:rsidRPr="001E0E28" w:rsidP="001E0E28">
            <w:pPr>
              <w:pStyle w:val="CSManNum9pt"/>
              <w:rPr>
                <w:bCs/>
              </w:rPr>
            </w:pPr>
            <w:r w:rsidRPr="001E0E28">
              <w:rPr>
                <w:bCs/>
              </w:rPr>
              <w:t>(b)</w:t>
            </w:r>
            <w:r w:rsidRPr="001E0E28">
              <w:rPr>
                <w:bCs/>
              </w:rPr>
              <w:tab/>
              <w:t>otherwise in compliance with the KMG.</w:t>
            </w:r>
          </w:p>
        </w:tc>
        <w:tc>
          <w:tcPr>
            <w:tcW w:w="2644" w:type="pct"/>
            <w:tcBorders>
              <w:left w:val="single" w:sz="4" w:space="0" w:color="auto"/>
            </w:tcBorders>
          </w:tcPr>
          <w:p w:rsidR="009D5DEE" w:rsidRPr="001E0E28" w:rsidP="001E0E28">
            <w:pPr>
              <w:pStyle w:val="CSManNum9pt"/>
              <w:rPr>
                <w:bCs/>
                <w:lang w:val="de-DE"/>
              </w:rPr>
            </w:pPr>
            <w:r w:rsidRPr="001E0E28">
              <w:rPr>
                <w:bCs/>
                <w:lang w:val="de-DE"/>
              </w:rPr>
              <w:t>(b)</w:t>
            </w:r>
            <w:r w:rsidRPr="001E0E28">
              <w:rPr>
                <w:bCs/>
                <w:lang w:val="de-DE"/>
              </w:rPr>
              <w:tab/>
              <w:t>das Angebot erfolgt anderweitig im Einklang mit dem KMG.</w:t>
            </w:r>
          </w:p>
        </w:tc>
      </w:tr>
      <w:tr w:rsidTr="003330CF">
        <w:tblPrEx>
          <w:tblW w:w="5000" w:type="pct"/>
          <w:tblLayout w:type="fixed"/>
          <w:tblLook w:val="00A0"/>
        </w:tblPrEx>
        <w:tc>
          <w:tcPr>
            <w:tcW w:w="2356" w:type="pct"/>
            <w:tcBorders>
              <w:right w:val="single" w:sz="4" w:space="0" w:color="auto"/>
            </w:tcBorders>
          </w:tcPr>
          <w:p w:rsidR="001E0E28" w:rsidRPr="003334B7" w:rsidP="001E0E28">
            <w:pPr>
              <w:pStyle w:val="CSBody0"/>
            </w:pPr>
            <w:r w:rsidRPr="003334B7">
              <w:t>For the purposes of this provision, the expression "an offer of the Complex Products to the public" means the communication to the public in any form and by any means of sufficient information on the terms of the offer and the Complex Products to be offered so as to enable an investor to decide to purchase or subscribe for the Complex Products.</w:t>
            </w:r>
          </w:p>
        </w:tc>
        <w:tc>
          <w:tcPr>
            <w:tcW w:w="2644" w:type="pct"/>
            <w:tcBorders>
              <w:left w:val="single" w:sz="4" w:space="0" w:color="auto"/>
            </w:tcBorders>
          </w:tcPr>
          <w:p w:rsidR="001E0E28" w:rsidRPr="001E0E28" w:rsidP="001E0E28">
            <w:pPr>
              <w:pStyle w:val="CSBody0"/>
              <w:rPr>
                <w:lang w:val="de-DE"/>
              </w:rPr>
            </w:pPr>
            <w:r w:rsidRPr="001E0E28">
              <w:rPr>
                <w:lang w:val="de-DE"/>
              </w:rPr>
              <w:t>Für die Zwecke dieser Bestimmung bezeichnet der Ausdruck "öffentliches Angebot Komplexer Produkte" eine öffentliche Mitteilung in jedweder Form und auf jedwede Art, die ausreichende Informationen über die Angebotsbedingungen und die anzubietenden Komplexen Produkte enthält, um einen Anleger in die Lage zu versetzen, sich für den Kauf oder die Zeichnung dieser Komplexen Produkte zu entscheiden.</w:t>
            </w:r>
          </w:p>
        </w:tc>
      </w:tr>
      <w:tr w:rsidTr="003330CF">
        <w:tblPrEx>
          <w:tblW w:w="5000" w:type="pct"/>
          <w:tblLayout w:type="fixed"/>
          <w:tblLook w:val="00A0"/>
        </w:tblPrEx>
        <w:tc>
          <w:tcPr>
            <w:tcW w:w="2356" w:type="pct"/>
            <w:tcBorders>
              <w:right w:val="single" w:sz="4" w:space="0" w:color="auto"/>
            </w:tcBorders>
          </w:tcPr>
          <w:p w:rsidR="009D5DEE" w:rsidRPr="005B5713" w:rsidP="00D06946">
            <w:pPr>
              <w:pStyle w:val="CSbody0bold"/>
            </w:pPr>
            <w:r w:rsidRPr="005B5713">
              <w:t>Bahamas</w:t>
            </w:r>
          </w:p>
        </w:tc>
        <w:tc>
          <w:tcPr>
            <w:tcW w:w="2644" w:type="pct"/>
            <w:tcBorders>
              <w:left w:val="single" w:sz="4" w:space="0" w:color="auto"/>
            </w:tcBorders>
          </w:tcPr>
          <w:p w:rsidR="009D5DEE" w:rsidRPr="005B5713" w:rsidP="00D06946">
            <w:pPr>
              <w:pStyle w:val="CSbody0bold"/>
            </w:pPr>
            <w:r w:rsidRPr="005B5713">
              <w:t>Bahamas</w:t>
            </w:r>
          </w:p>
        </w:tc>
      </w:tr>
      <w:tr w:rsidTr="003330CF">
        <w:tblPrEx>
          <w:tblW w:w="5000" w:type="pct"/>
          <w:tblLayout w:type="fixed"/>
          <w:tblLook w:val="00A0"/>
        </w:tblPrEx>
        <w:tc>
          <w:tcPr>
            <w:tcW w:w="2356" w:type="pct"/>
            <w:tcBorders>
              <w:right w:val="single" w:sz="4" w:space="0" w:color="auto"/>
            </w:tcBorders>
          </w:tcPr>
          <w:p w:rsidR="001E0E28" w:rsidRPr="00A029F4" w:rsidP="001E0E28">
            <w:pPr>
              <w:pStyle w:val="CSBody0"/>
            </w:pPr>
            <w:r w:rsidRPr="00A029F4">
              <w:t>This Document has not been registered with the Securities Commission of The Bahamas, nor have any applications been made to exempt the offer from the filing of a prospectus with the Securities Commission of The Bahamas under the Securities Industries Act, 2011, and in the circumstances, no offer or sale of the Complex Products can occur in The Bahamas.</w:t>
            </w:r>
          </w:p>
        </w:tc>
        <w:tc>
          <w:tcPr>
            <w:tcW w:w="2644" w:type="pct"/>
            <w:tcBorders>
              <w:left w:val="single" w:sz="4" w:space="0" w:color="auto"/>
            </w:tcBorders>
          </w:tcPr>
          <w:p w:rsidR="001E0E28" w:rsidRPr="001E0E28" w:rsidP="001E0E28">
            <w:pPr>
              <w:pStyle w:val="CSBody0"/>
              <w:rPr>
                <w:lang w:val="de-DE"/>
              </w:rPr>
            </w:pPr>
            <w:r w:rsidRPr="001E0E28">
              <w:rPr>
                <w:lang w:val="de-DE"/>
              </w:rPr>
              <w:t>Dieses Dokument wurde nicht bei der Wertpapieraufsicht (</w:t>
            </w:r>
            <w:r w:rsidRPr="001E0E28">
              <w:rPr>
                <w:i/>
                <w:lang w:val="de-DE"/>
              </w:rPr>
              <w:t>Securities Commission</w:t>
            </w:r>
            <w:r w:rsidRPr="001E0E28">
              <w:rPr>
                <w:lang w:val="de-DE"/>
              </w:rPr>
              <w:t>) der Bahamas registriert, und es wurden in Bezug auf das Angebot keine Anträge auf eine Befreiung von der Pflicht zur Einreichung eines Prospektes bei der Wertpapieraufsicht der Bahamas gemäss dem Wertpapiergesetz von 2011 (</w:t>
            </w:r>
            <w:r w:rsidRPr="001E0E28">
              <w:rPr>
                <w:i/>
                <w:lang w:val="de-DE"/>
              </w:rPr>
              <w:t>Securities Industries Act, 2011</w:t>
            </w:r>
            <w:r w:rsidRPr="001E0E28">
              <w:rPr>
                <w:lang w:val="de-DE"/>
              </w:rPr>
              <w:t>) gestellt, und unter diesen Umständen ist ein Angebot oder ein Verkauf der Komplexen Produkte auf den Bahamas nicht zulässig.</w:t>
            </w:r>
          </w:p>
        </w:tc>
      </w:tr>
      <w:tr w:rsidTr="003330CF">
        <w:tblPrEx>
          <w:tblW w:w="5000" w:type="pct"/>
          <w:tblLayout w:type="fixed"/>
          <w:tblLook w:val="00A0"/>
        </w:tblPrEx>
        <w:tc>
          <w:tcPr>
            <w:tcW w:w="2356" w:type="pct"/>
            <w:tcBorders>
              <w:right w:val="single" w:sz="4" w:space="0" w:color="auto"/>
            </w:tcBorders>
          </w:tcPr>
          <w:p w:rsidR="001E0E28" w:rsidRPr="00A029F4" w:rsidP="001E0E28">
            <w:pPr>
              <w:pStyle w:val="CSBody0"/>
            </w:pPr>
            <w:r w:rsidRPr="00A029F4">
              <w:t>The Complex Products to be issued under this Document have not been sold, offered or distributed, and will not be sold, offered or distributed in The Bahamas except in compliance with applicable Bahamian laws or pursuant to an exemption therefrom. This Document is not, and shall not be construed as, an offer to sell, or a solicitation of an offer to buy, or a distribution of the Complex Products in, or to the public, in The Bahamas.</w:t>
            </w:r>
          </w:p>
        </w:tc>
        <w:tc>
          <w:tcPr>
            <w:tcW w:w="2644" w:type="pct"/>
            <w:tcBorders>
              <w:left w:val="single" w:sz="4" w:space="0" w:color="auto"/>
            </w:tcBorders>
          </w:tcPr>
          <w:p w:rsidR="001E0E28" w:rsidRPr="001E0E28" w:rsidP="001E0E28">
            <w:pPr>
              <w:pStyle w:val="CSBody0"/>
              <w:rPr>
                <w:lang w:val="de-DE"/>
              </w:rPr>
            </w:pPr>
            <w:r w:rsidRPr="001E0E28">
              <w:rPr>
                <w:lang w:val="de-DE"/>
              </w:rPr>
              <w:t>Die gemäss diesem Dokument zu begebenden Komplexen Produkte wurden und werden ausser nach Massgabe des anwendbaren Rechts der Bahamas oder einer diesbezüglichen Ausnahmeregelung nicht auf den Bahamas angeboten, verkauft oder vertrieben. Dieses Dokument stellt kein auf den Bahamas ergangenes oder der dortigen Öffentlichkeit unterbreitetes Angebot bzw. keine auf den Bahamas ergangene oder an die dortige Öffentlichkeit gerichtete Aufforderung zur Abgabe eines Angebots für den Verkauf bzw. Kauf oder den Vertrieb Komplexer Produkte dar und ist auch nicht in diesem Sinne auszulegen.</w:t>
            </w:r>
          </w:p>
        </w:tc>
      </w:tr>
      <w:tr w:rsidTr="003330CF">
        <w:tblPrEx>
          <w:tblW w:w="5000" w:type="pct"/>
          <w:tblLayout w:type="fixed"/>
          <w:tblLook w:val="00A0"/>
        </w:tblPrEx>
        <w:tc>
          <w:tcPr>
            <w:tcW w:w="2356" w:type="pct"/>
            <w:tcBorders>
              <w:right w:val="single" w:sz="4" w:space="0" w:color="auto"/>
            </w:tcBorders>
          </w:tcPr>
          <w:p w:rsidR="001E0E28" w:rsidRPr="00A029F4" w:rsidP="001E0E28">
            <w:pPr>
              <w:pStyle w:val="CSBody0"/>
            </w:pPr>
            <w:r w:rsidRPr="00A029F4">
              <w:t>Furthermore, no Complex Products shall be issued, transferred to, registered in favour of or beneficially owned by any person (legal or natural) deemed resident in The Bahamas pursuant to the Exchange Control Regulations Act 1956 of The Bahamas and the Regulations promulgated thereunder except with the prior approval of the Central Bank of The Bahamas.</w:t>
            </w:r>
          </w:p>
        </w:tc>
        <w:tc>
          <w:tcPr>
            <w:tcW w:w="2644" w:type="pct"/>
            <w:tcBorders>
              <w:left w:val="single" w:sz="4" w:space="0" w:color="auto"/>
            </w:tcBorders>
          </w:tcPr>
          <w:p w:rsidR="001E0E28" w:rsidRPr="001E0E28" w:rsidP="001E0E28">
            <w:pPr>
              <w:pStyle w:val="CSBody0"/>
              <w:rPr>
                <w:lang w:val="de-DE"/>
              </w:rPr>
            </w:pPr>
            <w:r w:rsidRPr="001E0E28">
              <w:rPr>
                <w:lang w:val="de-DE"/>
              </w:rPr>
              <w:t>Des Weiteren dürfen Komplexe Produkte nicht an juristische oder natürliche Personen ausgegeben werden, die gemäss dem Gesetz über Devisenkontrollbestimmungen von 1956 (</w:t>
            </w:r>
            <w:r w:rsidRPr="00E03004">
              <w:rPr>
                <w:i/>
                <w:lang w:val="de-DE"/>
              </w:rPr>
              <w:t>Exchange Control Regulations Act 1956</w:t>
            </w:r>
            <w:r w:rsidRPr="001E0E28">
              <w:rPr>
                <w:lang w:val="de-DE"/>
              </w:rPr>
              <w:t>) der Bahamas und der auf dessen Grundlage erlassenen Vorschriften als auf den Bahamas ansässig gelten, und nicht auf solche Personen übertragen, zu deren Gunsten registriert oder von diesen als wirtschaftliche Eigentümer gehalten werden, es sei denn, dies geschieht mit vorheriger Billigung der Zentralbank der Bahamas.</w:t>
            </w:r>
          </w:p>
        </w:tc>
      </w:tr>
      <w:tr w:rsidTr="003330CF">
        <w:tblPrEx>
          <w:tblW w:w="5000" w:type="pct"/>
          <w:tblLayout w:type="fixed"/>
          <w:tblLook w:val="00A0"/>
        </w:tblPrEx>
        <w:tc>
          <w:tcPr>
            <w:tcW w:w="2356" w:type="pct"/>
            <w:tcBorders>
              <w:right w:val="single" w:sz="4" w:space="0" w:color="auto"/>
            </w:tcBorders>
          </w:tcPr>
          <w:p w:rsidR="001E0E28" w:rsidRPr="005B5713" w:rsidP="00D06946">
            <w:pPr>
              <w:pStyle w:val="CSbody0bold"/>
            </w:pPr>
            <w:r>
              <w:t>Belize</w:t>
            </w:r>
          </w:p>
        </w:tc>
        <w:tc>
          <w:tcPr>
            <w:tcW w:w="2644" w:type="pct"/>
            <w:tcBorders>
              <w:left w:val="single" w:sz="4" w:space="0" w:color="auto"/>
            </w:tcBorders>
          </w:tcPr>
          <w:p w:rsidR="001E0E28" w:rsidRPr="005B5713" w:rsidP="001E0E28">
            <w:pPr>
              <w:pStyle w:val="CSbody0bold"/>
            </w:pPr>
            <w:r>
              <w:t>Belize</w:t>
            </w:r>
          </w:p>
        </w:tc>
      </w:tr>
      <w:tr w:rsidTr="003330CF">
        <w:tblPrEx>
          <w:tblW w:w="5000" w:type="pct"/>
          <w:tblLayout w:type="fixed"/>
          <w:tblLook w:val="00A0"/>
        </w:tblPrEx>
        <w:tc>
          <w:tcPr>
            <w:tcW w:w="2356" w:type="pct"/>
            <w:tcBorders>
              <w:right w:val="single" w:sz="4" w:space="0" w:color="auto"/>
            </w:tcBorders>
          </w:tcPr>
          <w:p w:rsidR="001E0E28" w:rsidRPr="00A11FBF" w:rsidP="001E0E28">
            <w:pPr>
              <w:pStyle w:val="CSBody0"/>
            </w:pPr>
            <w:r w:rsidRPr="00A11FBF">
              <w:t>The Complex Products to be issued under this Document have not been sold, offered or distributed, and will not be sold, offered or distributed in Belize except in compliance with applicable Belize laws. This Document is not, and shall not be construed as, an offer to sell, or a solicitation of an offer to buy, or a distribution of the Complex Products in, or to the public in, Belize. No offer or sale of the Complex Products can occur in or from within Belize to residents of Belize without the prior approval of the Central Bank of Belize or to non-residents of Belize without the prior approval of the International Financial Services Commission of Belize.</w:t>
            </w:r>
          </w:p>
        </w:tc>
        <w:tc>
          <w:tcPr>
            <w:tcW w:w="2644" w:type="pct"/>
            <w:tcBorders>
              <w:left w:val="single" w:sz="4" w:space="0" w:color="auto"/>
            </w:tcBorders>
          </w:tcPr>
          <w:p w:rsidR="001E0E28" w:rsidRPr="001E0E28" w:rsidP="001E0E28">
            <w:pPr>
              <w:pStyle w:val="CSBody0"/>
              <w:rPr>
                <w:lang w:val="de-DE"/>
              </w:rPr>
            </w:pPr>
            <w:r w:rsidRPr="001E0E28">
              <w:rPr>
                <w:lang w:val="de-DE"/>
              </w:rPr>
              <w:t>Die gemäss diesem Dokument zu begebenden Komplexen Produkte wurden und werden in Belize nicht verkauft, angeboten oder verbreitet, ausser in Übereinstimmung mit dem geltenden Recht von Belize. Dieses Dokument stellt kein in Belize ergangenes oder der dortigen Öffentlichkeit unterbreitetes Angebot bzw. keine in Belize ergangene oder an die dortige Öffentlichkeit gerichtete Aufforderung zur Abgabe eines Angebots für den Verkauf bzw. Kauf Komplexer Produkte oder eine Verbreitung der Komplexen Produkte in Belize dar und ist auch nicht in diesem Sinne auszulegen. Ein Angebot oder Verkauf der Komplexen Produkte in oder aus Belize an in Belize ansässige Personen ist nur mit vorheriger Billigung der Zentralbank von Belize zulässig, ein entsprechendes Angebot oder ein entsprechender Verkauf an nicht in Belize ansässige Personen ist nur mit vorheriger Billigung des Internationalen Finanzdienstleistungsausschusses von Belize zulässig.</w:t>
            </w:r>
          </w:p>
        </w:tc>
      </w:tr>
      <w:tr w:rsidTr="003330CF">
        <w:tblPrEx>
          <w:tblW w:w="5000" w:type="pct"/>
          <w:tblLayout w:type="fixed"/>
          <w:tblLook w:val="00A0"/>
        </w:tblPrEx>
        <w:tc>
          <w:tcPr>
            <w:tcW w:w="2356" w:type="pct"/>
            <w:tcBorders>
              <w:right w:val="single" w:sz="4" w:space="0" w:color="auto"/>
            </w:tcBorders>
          </w:tcPr>
          <w:p w:rsidR="001E0E28" w:rsidRPr="00A11FBF" w:rsidP="001E0E28">
            <w:pPr>
              <w:pStyle w:val="CSBody0"/>
            </w:pPr>
            <w:r w:rsidRPr="00A11FBF">
              <w:t xml:space="preserve">Furthermore, no Complex Products shall be issued, transferred to, registered in favour of or beneficially owned by any person (legal or natural) resident in Belize pursuant to the Exchange Control Regulations Act of Belize and the Regulations promulgated thereunder except with the prior approval of the Central Bank of Belize. </w:t>
            </w:r>
          </w:p>
        </w:tc>
        <w:tc>
          <w:tcPr>
            <w:tcW w:w="2644" w:type="pct"/>
            <w:tcBorders>
              <w:left w:val="single" w:sz="4" w:space="0" w:color="auto"/>
            </w:tcBorders>
          </w:tcPr>
          <w:p w:rsidR="001E0E28" w:rsidRPr="001E0E28" w:rsidP="001E0E28">
            <w:pPr>
              <w:pStyle w:val="CSBody0"/>
              <w:rPr>
                <w:lang w:val="de-DE"/>
              </w:rPr>
            </w:pPr>
            <w:r w:rsidRPr="001E0E28">
              <w:rPr>
                <w:lang w:val="de-DE"/>
              </w:rPr>
              <w:t>Des Weiteren dürfen Komplexe Produkte nicht an juristische oder natürliche Personen ausgegeben werden, die gemäss dem Gesetz über Devisenkontrollbestimmungen von Belize und den auf dessen Grundlage erlassenen Vorschriften als in Belize ansässig gelten, und nicht auf solche Personen übertragen, zu deren Gunsten registriert oder von diesen als wirtschaftliche Eigentümer gehalten werden, es sei denn, dies geschieht mit vorheriger Billigung der Zentralbank von Belize.</w:t>
            </w:r>
          </w:p>
        </w:tc>
      </w:tr>
      <w:tr w:rsidTr="003330CF">
        <w:tblPrEx>
          <w:tblW w:w="5000" w:type="pct"/>
          <w:tblLayout w:type="fixed"/>
          <w:tblLook w:val="00A0"/>
        </w:tblPrEx>
        <w:tc>
          <w:tcPr>
            <w:tcW w:w="2356" w:type="pct"/>
            <w:tcBorders>
              <w:right w:val="single" w:sz="4" w:space="0" w:color="auto"/>
            </w:tcBorders>
          </w:tcPr>
          <w:p w:rsidR="001E0E28" w:rsidRPr="00D06946" w:rsidP="00D06946">
            <w:pPr>
              <w:pStyle w:val="CSbody0bold"/>
            </w:pPr>
            <w:r w:rsidRPr="00D06946">
              <w:t>Bermuda</w:t>
            </w:r>
          </w:p>
        </w:tc>
        <w:tc>
          <w:tcPr>
            <w:tcW w:w="2644" w:type="pct"/>
            <w:tcBorders>
              <w:left w:val="single" w:sz="4" w:space="0" w:color="auto"/>
            </w:tcBorders>
          </w:tcPr>
          <w:p w:rsidR="001E0E28" w:rsidRPr="00D06946" w:rsidP="00D06946">
            <w:pPr>
              <w:pStyle w:val="CSbody0bold"/>
            </w:pPr>
            <w:r w:rsidRPr="00D06946">
              <w:t>Bermuda</w:t>
            </w:r>
          </w:p>
        </w:tc>
      </w:tr>
      <w:tr w:rsidTr="003330CF">
        <w:tblPrEx>
          <w:tblW w:w="5000" w:type="pct"/>
          <w:tblLayout w:type="fixed"/>
          <w:tblLook w:val="00A0"/>
        </w:tblPrEx>
        <w:tc>
          <w:tcPr>
            <w:tcW w:w="2356" w:type="pct"/>
            <w:tcBorders>
              <w:right w:val="single" w:sz="4" w:space="0" w:color="auto"/>
            </w:tcBorders>
          </w:tcPr>
          <w:p w:rsidR="001E0E28" w:rsidRPr="00DE69E1" w:rsidP="001E0E28">
            <w:pPr>
              <w:pStyle w:val="CSBody0"/>
            </w:pPr>
            <w:r w:rsidRPr="00DE69E1">
              <w:t>The Complex Products being offered hereby are being offered on a private basis to investors who satisfy criteria outlined in this Document. The Complex Products have not been offered or sold and will not be offered or sold in Bermuda. This Document is not subject to and has not received approval from either the Bermuda Monetary Authority or the Registrar of Companies in Bermuda and no statement to the contrary, explicit or implicit, is authorized to be made in this regard.</w:t>
            </w:r>
          </w:p>
        </w:tc>
        <w:tc>
          <w:tcPr>
            <w:tcW w:w="2644" w:type="pct"/>
            <w:tcBorders>
              <w:left w:val="single" w:sz="4" w:space="0" w:color="auto"/>
            </w:tcBorders>
          </w:tcPr>
          <w:p w:rsidR="001E0E28" w:rsidRPr="001E0E28" w:rsidP="001E0E28">
            <w:pPr>
              <w:pStyle w:val="CSBody0"/>
              <w:rPr>
                <w:lang w:val="de-DE"/>
              </w:rPr>
            </w:pPr>
            <w:r w:rsidRPr="001E0E28">
              <w:rPr>
                <w:lang w:val="de-DE"/>
              </w:rPr>
              <w:t>Bei dem vorliegenden Angebot Komplexer Produkte handelt es sich um ein Privatangebot an Anleger, welche die in diesem Dokument aufgeführten Kriterien erfüllen. Die Komplexen Produkte wurden und werden in Bermuda nicht angeboten oder verkauft. Dieses Dokument bedarf keiner Billigung durch die Finanzaufsichtsbehörde von Bermuda (</w:t>
            </w:r>
            <w:r w:rsidRPr="00E03004">
              <w:rPr>
                <w:i/>
                <w:lang w:val="de-DE"/>
              </w:rPr>
              <w:t>Bermuda Monetary Authority</w:t>
            </w:r>
            <w:r w:rsidRPr="001E0E28">
              <w:rPr>
                <w:lang w:val="de-DE"/>
              </w:rPr>
              <w:t>) oder das Gesellschaftsregister (Registrar of Companies) in Bermuda und eine solche ist auch nicht erfolgt; eine gegenteilige diesbezügliche Erklärung (ob ausdrücklich oder implizit) ist nicht zulässig.</w:t>
            </w:r>
          </w:p>
        </w:tc>
      </w:tr>
      <w:tr w:rsidTr="003330CF">
        <w:tblPrEx>
          <w:tblW w:w="5000" w:type="pct"/>
          <w:tblLayout w:type="fixed"/>
          <w:tblLook w:val="00A0"/>
        </w:tblPrEx>
        <w:tc>
          <w:tcPr>
            <w:tcW w:w="2356" w:type="pct"/>
            <w:tcBorders>
              <w:right w:val="single" w:sz="4" w:space="0" w:color="auto"/>
            </w:tcBorders>
          </w:tcPr>
          <w:p w:rsidR="001E0E28" w:rsidRPr="00DE69E1" w:rsidP="001E0E28">
            <w:pPr>
              <w:pStyle w:val="CSBody0"/>
            </w:pPr>
            <w:r w:rsidRPr="00DE69E1">
              <w:t>The Complex Products may only be offered or sold in Bermuda in compliance with the provisions of the Investment Business Act 2003 of Bermuda. Non-Bermudian persons may not carry on or engage in any trade or business in Bermuda unless such persons are authorised to do so under applicable Bermuda legislation. Engaging in the activity of offering or marketing the Complex Products in Bermuda to persons in Bermuda may be deemed to be carrying on business in Bermuda.</w:t>
            </w:r>
          </w:p>
        </w:tc>
        <w:tc>
          <w:tcPr>
            <w:tcW w:w="2644" w:type="pct"/>
            <w:tcBorders>
              <w:left w:val="single" w:sz="4" w:space="0" w:color="auto"/>
            </w:tcBorders>
          </w:tcPr>
          <w:p w:rsidR="001E0E28" w:rsidRPr="001E0E28" w:rsidP="001E0E28">
            <w:pPr>
              <w:pStyle w:val="CSBody0"/>
              <w:rPr>
                <w:lang w:val="de-DE"/>
              </w:rPr>
            </w:pPr>
            <w:r w:rsidRPr="001E0E28">
              <w:rPr>
                <w:lang w:val="de-DE"/>
              </w:rPr>
              <w:t>Die Komplexen Produkte dürfen in Bermuda nur in Übereinstimmung mit den Bestimmungen des Anlagegesetzes von 2003 (</w:t>
            </w:r>
            <w:r w:rsidRPr="00E03004">
              <w:rPr>
                <w:i/>
                <w:lang w:val="de-DE"/>
              </w:rPr>
              <w:t>Investment Business Act 2003</w:t>
            </w:r>
            <w:r w:rsidRPr="001E0E28">
              <w:rPr>
                <w:lang w:val="de-DE"/>
              </w:rPr>
              <w:t>) von Bermuda angeboten oder verkauft werden. Nicht in Bermuda ansässige Personen dürfen in Bermuda keine gewerbliche oder unternehmerische Tätigkeit ausüben, sofern sie nicht nach den anwendbaren gesetzlichen Bestimmungen von Bermuda hierzu befugt sind. Aktivitäten im Zusammenhang mit dem Angebot oder der Vermarktung der Komplexen Produkte in Bermuda an Personen in Bermuda können als gewerbliche oder unternehmerische Tätigkeit in Bermuda gelten.</w:t>
            </w:r>
          </w:p>
        </w:tc>
      </w:tr>
      <w:tr w:rsidTr="003330CF">
        <w:tblPrEx>
          <w:tblW w:w="5000" w:type="pct"/>
          <w:tblLayout w:type="fixed"/>
          <w:tblLook w:val="00A0"/>
        </w:tblPrEx>
        <w:tc>
          <w:tcPr>
            <w:tcW w:w="2356" w:type="pct"/>
            <w:tcBorders>
              <w:right w:val="single" w:sz="4" w:space="0" w:color="auto"/>
            </w:tcBorders>
          </w:tcPr>
          <w:p w:rsidR="00EE5178" w:rsidRPr="00DE69E1" w:rsidP="00EE5178">
            <w:pPr>
              <w:pStyle w:val="CSbody0bold"/>
            </w:pPr>
            <w:r>
              <w:t>Bolivia</w:t>
            </w:r>
          </w:p>
        </w:tc>
        <w:tc>
          <w:tcPr>
            <w:tcW w:w="2644" w:type="pct"/>
            <w:tcBorders>
              <w:left w:val="single" w:sz="4" w:space="0" w:color="auto"/>
            </w:tcBorders>
          </w:tcPr>
          <w:p w:rsidR="00EE5178" w:rsidRPr="001E0E28" w:rsidP="00EE5178">
            <w:pPr>
              <w:pStyle w:val="CSbody0bold"/>
            </w:pPr>
            <w:r>
              <w:t>Bolivien</w:t>
            </w:r>
          </w:p>
        </w:tc>
      </w:tr>
      <w:tr w:rsidTr="003330CF">
        <w:tblPrEx>
          <w:tblW w:w="5000" w:type="pct"/>
          <w:tblLayout w:type="fixed"/>
          <w:tblLook w:val="00A0"/>
        </w:tblPrEx>
        <w:tc>
          <w:tcPr>
            <w:tcW w:w="2356" w:type="pct"/>
            <w:tcBorders>
              <w:right w:val="single" w:sz="4" w:space="0" w:color="auto"/>
            </w:tcBorders>
          </w:tcPr>
          <w:p w:rsidR="00EE5178" w:rsidRPr="00AF36DE" w:rsidP="00EE5178">
            <w:pPr>
              <w:pStyle w:val="CSBody0"/>
            </w:pPr>
            <w:r w:rsidRPr="00AF36DE">
              <w:t xml:space="preserve">Under Bolivian law, the Complex Products to be issued under this Document will not be directly or indirectly offered in the Plurinational State of Bolivia, or to residents of Bolivia, in contradiction to the Stock Market Act No. 1834 dated 31 March 1998. This Document does not constitute or form part of any offer for sale or solicitation of any offer to purchase, buy or subscribe for any securities described herein. </w:t>
            </w:r>
          </w:p>
        </w:tc>
        <w:tc>
          <w:tcPr>
            <w:tcW w:w="2644" w:type="pct"/>
            <w:tcBorders>
              <w:left w:val="single" w:sz="4" w:space="0" w:color="auto"/>
            </w:tcBorders>
          </w:tcPr>
          <w:p w:rsidR="00EE5178" w:rsidRPr="00EE5178" w:rsidP="00EE5178">
            <w:pPr>
              <w:pStyle w:val="CSBody0"/>
              <w:rPr>
                <w:lang w:val="de-DE"/>
              </w:rPr>
            </w:pPr>
            <w:r w:rsidRPr="00EE5178">
              <w:rPr>
                <w:lang w:val="de-DE"/>
              </w:rPr>
              <w:t>Die gemäss diesem Dokument zu begebenden Komplexen Produkte werden weder direkt noch indirekt nach bolivianischem Recht im Plurinationalen Staat Bolivien oder dort ansässigen Personen in einer Weise angeboten, die einen Verstoss gegen das Börsengesetz Nr. 1834 vom 31. Mai 1998 darstellt. Dieses Dokument stellt kein Verkaufsangebot und keine Aufforderung zur Abgabe eines Kauf- oder Zeichnungsangebots für die hierin beschriebenen Wertpapiere dar und ist auch nicht Teil eines solchen Angebots oder einer solchen Aufforderung.</w:t>
            </w:r>
          </w:p>
        </w:tc>
      </w:tr>
      <w:tr w:rsidTr="003330CF">
        <w:tblPrEx>
          <w:tblW w:w="5000" w:type="pct"/>
          <w:tblLayout w:type="fixed"/>
          <w:tblLook w:val="00A0"/>
        </w:tblPrEx>
        <w:tc>
          <w:tcPr>
            <w:tcW w:w="2356" w:type="pct"/>
            <w:tcBorders>
              <w:right w:val="single" w:sz="4" w:space="0" w:color="auto"/>
            </w:tcBorders>
          </w:tcPr>
          <w:p w:rsidR="00B46553" w:rsidRPr="00AF36DE" w:rsidP="00EE5178">
            <w:pPr>
              <w:pStyle w:val="CSBody0"/>
            </w:pPr>
            <w:r w:rsidRPr="00B46553">
              <w:t xml:space="preserve">This Document is not, and under no circumstances is to be construed as an advertisement, a public offering or a private placement in any province or territory of Bolivia of the securities referred to herein. Neither the Bolivian Stock Market nor the Supervising Authority for Financial Markets (Autoridad Nacional del Sistema Financiero; </w:t>
            </w:r>
            <w:r w:rsidRPr="00B46553" w:rsidR="006F0893">
              <w:t>"</w:t>
            </w:r>
            <w:r w:rsidRPr="00BD6E0D">
              <w:rPr>
                <w:b/>
              </w:rPr>
              <w:t>ASFI</w:t>
            </w:r>
            <w:r w:rsidRPr="00B46553">
              <w:t>") nor any other regulatory authority reviewed or in any way approved this Document or the merits of the securities here described. Any representation to the contrary would constitute an offence</w:t>
            </w:r>
            <w:r>
              <w:t>.</w:t>
            </w:r>
          </w:p>
        </w:tc>
        <w:tc>
          <w:tcPr>
            <w:tcW w:w="2644" w:type="pct"/>
            <w:tcBorders>
              <w:left w:val="single" w:sz="4" w:space="0" w:color="auto"/>
            </w:tcBorders>
          </w:tcPr>
          <w:p w:rsidR="00B46553" w:rsidRPr="00EE5178" w:rsidP="00EE5178">
            <w:pPr>
              <w:pStyle w:val="CSBody0"/>
              <w:rPr>
                <w:lang w:val="de-DE"/>
              </w:rPr>
            </w:pPr>
            <w:r w:rsidRPr="00B46553">
              <w:rPr>
                <w:lang w:val="de-DE"/>
              </w:rPr>
              <w:t xml:space="preserve">Dieses Dokument stellt keine Werbung, kein öffentliches Angebot und keine Privatplatzierung der hierin beschriebenen Wertpapiere in irgendeiner Provinz oder irgendeinem Territorium Boliviens dar und ist unter keinen Umständen in diesem Sinne auszulegen. Dieses Dokument und die mit den hierin beschriebenen Wertpapieren verbundenen Leistungen wurden weder von der bolivianischen Wertpapierbörse noch von der bolivianischen Finanzmarktaufsichtsbehörde (Autoridad Nacional del Sistema Financiero; </w:t>
            </w:r>
            <w:r w:rsidRPr="00BD6E0D" w:rsidR="006F0893">
              <w:rPr>
                <w:lang w:val="de-DE"/>
              </w:rPr>
              <w:t>"</w:t>
            </w:r>
            <w:r w:rsidRPr="00BD6E0D">
              <w:rPr>
                <w:b/>
                <w:lang w:val="de-DE"/>
              </w:rPr>
              <w:t>ASFI</w:t>
            </w:r>
            <w:r w:rsidRPr="00BD6E0D" w:rsidR="006F0893">
              <w:rPr>
                <w:lang w:val="de-DE"/>
              </w:rPr>
              <w:t>"</w:t>
            </w:r>
            <w:r w:rsidRPr="00B46553">
              <w:rPr>
                <w:lang w:val="de-DE"/>
              </w:rPr>
              <w:t>) oder einer anderen Aufsichtsbehörde geprüft oder gebilligt. Jede gegenteilige Behauptung ist strafbar.</w:t>
            </w:r>
          </w:p>
        </w:tc>
      </w:tr>
      <w:tr w:rsidTr="003330CF">
        <w:tblPrEx>
          <w:tblW w:w="5000" w:type="pct"/>
          <w:tblLayout w:type="fixed"/>
          <w:tblLook w:val="00A0"/>
        </w:tblPrEx>
        <w:tc>
          <w:tcPr>
            <w:tcW w:w="2356" w:type="pct"/>
            <w:tcBorders>
              <w:right w:val="single" w:sz="4" w:space="0" w:color="auto"/>
            </w:tcBorders>
          </w:tcPr>
          <w:p w:rsidR="001E0E28" w:rsidRPr="00D06946" w:rsidP="00D06946">
            <w:pPr>
              <w:pStyle w:val="CSbody0bold"/>
            </w:pPr>
            <w:r>
              <w:t>Brazil</w:t>
            </w:r>
          </w:p>
        </w:tc>
        <w:tc>
          <w:tcPr>
            <w:tcW w:w="2644" w:type="pct"/>
            <w:tcBorders>
              <w:left w:val="single" w:sz="4" w:space="0" w:color="auto"/>
            </w:tcBorders>
          </w:tcPr>
          <w:p w:rsidR="001E0E28" w:rsidRPr="00D06946" w:rsidP="00D06946">
            <w:pPr>
              <w:pStyle w:val="CSbody0bold"/>
            </w:pPr>
            <w:r>
              <w:t>Brasilien</w:t>
            </w:r>
          </w:p>
        </w:tc>
      </w:tr>
      <w:tr w:rsidTr="003330CF">
        <w:tblPrEx>
          <w:tblW w:w="5000" w:type="pct"/>
          <w:tblLayout w:type="fixed"/>
          <w:tblLook w:val="00A0"/>
        </w:tblPrEx>
        <w:tc>
          <w:tcPr>
            <w:tcW w:w="2356" w:type="pct"/>
            <w:tcBorders>
              <w:right w:val="single" w:sz="4" w:space="0" w:color="auto"/>
            </w:tcBorders>
          </w:tcPr>
          <w:p w:rsidR="00EE5178" w:rsidRPr="00CC612B" w:rsidP="00EE5178">
            <w:pPr>
              <w:pStyle w:val="CSBody0"/>
            </w:pPr>
            <w:r w:rsidRPr="00CC612B">
              <w:t>The Complex Products to be issued under this Document have not been offered or sold and will not be offered or sold in Brazil, except in circumstances which do not constitute a public offering, placement, distribution or negotiation under Brazilian laws and regulations. The Complex Products have not been and will not be registered with the CVM (</w:t>
            </w:r>
            <w:r w:rsidRPr="00EE5178">
              <w:rPr>
                <w:i/>
              </w:rPr>
              <w:t>Comissão de Valores Mobiliários</w:t>
            </w:r>
            <w:r w:rsidRPr="00CC612B">
              <w:t xml:space="preserve"> — the Brazilian Securities Commission). Persons wishing to offer or acquire the Complex Products within Brazil should consult with their own counsel as to the applicability of registration requirements or any exemption therefrom.</w:t>
            </w:r>
          </w:p>
        </w:tc>
        <w:tc>
          <w:tcPr>
            <w:tcW w:w="2644" w:type="pct"/>
            <w:tcBorders>
              <w:left w:val="single" w:sz="4" w:space="0" w:color="auto"/>
            </w:tcBorders>
          </w:tcPr>
          <w:p w:rsidR="00EE5178" w:rsidRPr="00EE5178" w:rsidP="00EE5178">
            <w:pPr>
              <w:pStyle w:val="CSBody0"/>
              <w:rPr>
                <w:lang w:val="de-DE"/>
              </w:rPr>
            </w:pPr>
            <w:r w:rsidRPr="00EE5178">
              <w:rPr>
                <w:lang w:val="de-DE"/>
              </w:rPr>
              <w:t>Die gemäss diesem Dokument zu begebenden Komplexen Produkte wurden und werden nicht in Brasilien angeboten oder verkauft, ausgenommen in einer Weise, die kein öffentliches Angebot, keine öffentliche Platzierung, keinen öffentlichen Vertrieb und keine öffentlichen Verhandlungen im Sinne der brasilianischen Gesetze und Vorschriften darstellt. Die Komplexen Produkte wurden und werden nicht bei der CVM (</w:t>
            </w:r>
            <w:r w:rsidRPr="00EE5178">
              <w:rPr>
                <w:i/>
                <w:lang w:val="de-DE"/>
              </w:rPr>
              <w:t>Comissão de Valores Mobiliários</w:t>
            </w:r>
            <w:r w:rsidRPr="00EE5178">
              <w:rPr>
                <w:lang w:val="de-DE"/>
              </w:rPr>
              <w:t xml:space="preserve"> — die brasilianische Wertpapieraufsicht) registriert. Personen, die Komplexe Produkte in Brasilien anbieten oder erwerben möchten, sollten sich hinsichtlich gegebenenfalls für sie geltender Registrierungspflichten oder diesbezüglicher Ausnahmeregelungen beraten lassen.</w:t>
            </w:r>
          </w:p>
        </w:tc>
      </w:tr>
      <w:tr w:rsidTr="003330CF">
        <w:tblPrEx>
          <w:tblW w:w="5000" w:type="pct"/>
          <w:tblLayout w:type="fixed"/>
          <w:tblLook w:val="00A0"/>
        </w:tblPrEx>
        <w:tc>
          <w:tcPr>
            <w:tcW w:w="2356" w:type="pct"/>
            <w:tcBorders>
              <w:right w:val="single" w:sz="4" w:space="0" w:color="auto"/>
            </w:tcBorders>
          </w:tcPr>
          <w:p w:rsidR="001E0E28" w:rsidRPr="00D06946" w:rsidP="00D06946">
            <w:pPr>
              <w:pStyle w:val="CSbody0bold"/>
            </w:pPr>
            <w:r w:rsidRPr="00D06946">
              <w:t>British Virgin Islands</w:t>
            </w:r>
          </w:p>
        </w:tc>
        <w:tc>
          <w:tcPr>
            <w:tcW w:w="2644" w:type="pct"/>
            <w:tcBorders>
              <w:left w:val="single" w:sz="4" w:space="0" w:color="auto"/>
            </w:tcBorders>
          </w:tcPr>
          <w:p w:rsidR="001E0E28" w:rsidRPr="00D06946" w:rsidP="00D06946">
            <w:pPr>
              <w:pStyle w:val="CSbody0bold"/>
            </w:pPr>
            <w:r w:rsidRPr="00D06946">
              <w:t>Britische Jungferninseln</w:t>
            </w:r>
          </w:p>
        </w:tc>
      </w:tr>
      <w:tr w:rsidTr="003330CF">
        <w:tblPrEx>
          <w:tblW w:w="5000" w:type="pct"/>
          <w:tblLayout w:type="fixed"/>
          <w:tblLook w:val="00A0"/>
        </w:tblPrEx>
        <w:tc>
          <w:tcPr>
            <w:tcW w:w="2356" w:type="pct"/>
            <w:tcBorders>
              <w:right w:val="single" w:sz="4" w:space="0" w:color="auto"/>
            </w:tcBorders>
          </w:tcPr>
          <w:p w:rsidR="00CA19AE" w:rsidRPr="002C249E" w:rsidP="00CA19AE">
            <w:pPr>
              <w:pStyle w:val="CSBody0"/>
            </w:pPr>
            <w:r w:rsidRPr="002C249E">
              <w:t>The Complex Products will not be offered to any member of the public in the British Virgin Islands and will not otherwise be sold, offered or distributed in the British Virgin Islands except in compliance with the Securities and Investments Business Act, 2010.</w:t>
            </w:r>
          </w:p>
        </w:tc>
        <w:tc>
          <w:tcPr>
            <w:tcW w:w="2644" w:type="pct"/>
            <w:tcBorders>
              <w:left w:val="single" w:sz="4" w:space="0" w:color="auto"/>
            </w:tcBorders>
          </w:tcPr>
          <w:p w:rsidR="00CA19AE" w:rsidRPr="00CA19AE" w:rsidP="00CA19AE">
            <w:pPr>
              <w:pStyle w:val="CSBody0"/>
              <w:rPr>
                <w:lang w:val="de-DE"/>
              </w:rPr>
            </w:pPr>
            <w:r w:rsidRPr="00CA19AE">
              <w:rPr>
                <w:lang w:val="de-DE"/>
              </w:rPr>
              <w:t>Die Komplexen Produkte werden in den Britischen Jungferninseln nicht der Öffentlichkeit angeboten, noch werden sie in sonstiger Weise dort verkauft, angeboten oder vertrieben, ausser in Übereinstimmung mit dem Gesetz über Wertpapier- und Anlagegeschäfte (</w:t>
            </w:r>
            <w:r w:rsidRPr="00CA19AE">
              <w:rPr>
                <w:i/>
                <w:lang w:val="de-DE"/>
              </w:rPr>
              <w:t>Securities and Investments Business Act</w:t>
            </w:r>
            <w:r w:rsidRPr="00CA19AE">
              <w:rPr>
                <w:lang w:val="de-DE"/>
              </w:rPr>
              <w:t>) von 2010.</w:t>
            </w:r>
          </w:p>
        </w:tc>
      </w:tr>
      <w:tr w:rsidTr="003330CF">
        <w:tblPrEx>
          <w:tblW w:w="5000" w:type="pct"/>
          <w:tblLayout w:type="fixed"/>
          <w:tblLook w:val="00A0"/>
        </w:tblPrEx>
        <w:tc>
          <w:tcPr>
            <w:tcW w:w="2356" w:type="pct"/>
            <w:tcBorders>
              <w:right w:val="single" w:sz="4" w:space="0" w:color="auto"/>
            </w:tcBorders>
          </w:tcPr>
          <w:p w:rsidR="001E0E28" w:rsidRPr="005B5713" w:rsidP="00D06946">
            <w:pPr>
              <w:pStyle w:val="CSbody0bold"/>
            </w:pPr>
            <w:r w:rsidRPr="005B5713">
              <w:t>Canada</w:t>
            </w:r>
          </w:p>
        </w:tc>
        <w:tc>
          <w:tcPr>
            <w:tcW w:w="2644" w:type="pct"/>
            <w:tcBorders>
              <w:left w:val="single" w:sz="4" w:space="0" w:color="auto"/>
            </w:tcBorders>
          </w:tcPr>
          <w:p w:rsidR="001E0E28" w:rsidRPr="005B5713" w:rsidP="00D06946">
            <w:pPr>
              <w:pStyle w:val="CSbody0bold"/>
            </w:pPr>
            <w:r w:rsidRPr="005B5713">
              <w:t>Kanada</w:t>
            </w:r>
          </w:p>
        </w:tc>
      </w:tr>
      <w:tr w:rsidTr="003330CF">
        <w:tblPrEx>
          <w:tblW w:w="5000" w:type="pct"/>
          <w:tblLayout w:type="fixed"/>
          <w:tblLook w:val="00A0"/>
        </w:tblPrEx>
        <w:tc>
          <w:tcPr>
            <w:tcW w:w="2356" w:type="pct"/>
            <w:tcBorders>
              <w:right w:val="single" w:sz="4" w:space="0" w:color="auto"/>
            </w:tcBorders>
          </w:tcPr>
          <w:p w:rsidR="00CA19AE" w:rsidRPr="00440F84" w:rsidP="00CA19AE">
            <w:pPr>
              <w:pStyle w:val="CSBody0"/>
            </w:pPr>
            <w:r w:rsidRPr="00440F84">
              <w:t>The Complex Products to be issued under this Document will not be, directly or indirectly, offered in Canada or to residents of Canada, in contravention of the securities laws of any province or territory of Canada. This Document does not constitute or form part of any offer for sale or solicitation of any offer to buy or subscribe for any securities described herein nor shall it or any part of it form the basis of or be relied on in connection with, or act as any inducement to enter into, any contract or commitment whatsoever. For greater certainty, this Document is not, and under no circumstances is to be construed as an advertisement, a public offering or a private placement in any province or territory of Canada of the securities referred to herein. No securities commission or similar regulatory authority in Canada has reviewed or in any way passed upon this Document or the merits of the securities described herein and any representation to the contrary is an offence.</w:t>
            </w:r>
          </w:p>
        </w:tc>
        <w:tc>
          <w:tcPr>
            <w:tcW w:w="2644" w:type="pct"/>
            <w:tcBorders>
              <w:left w:val="single" w:sz="4" w:space="0" w:color="auto"/>
            </w:tcBorders>
          </w:tcPr>
          <w:p w:rsidR="00CA19AE" w:rsidRPr="00CA19AE" w:rsidP="00CA19AE">
            <w:pPr>
              <w:pStyle w:val="CSBody0"/>
              <w:rPr>
                <w:lang w:val="de-DE"/>
              </w:rPr>
            </w:pPr>
            <w:r w:rsidRPr="00CA19AE">
              <w:rPr>
                <w:lang w:val="de-DE"/>
              </w:rPr>
              <w:t>Die gemäss diesem Dokument zu begebenden Komplexen Produkte werden weder direkt noch indirekt in Kanada oder dort ansässigen Personen in einer Weise angeboten, die einen Verstoss gegen das Wertpapierrecht einer kanadischen Provinz oder eines kanadischen Territoriums darstellt. Dieses Dokument stellt kein Verkaufsangebot und keine Aufforderung zur Abgabe eines Kauf- oder Zeichnungsangebots für die hierin beschriebenen Wertpapiere dar und ist auch nicht Teil eines solchen Angebots oder einer solchen Aufforderung, noch bildet dieses Dokument oder ein Teil davon die Grundlage eines Vertrags oder einer wie auch immer gearteten Verpflichtung, noch kann auf dieses Dokument oder einen Teil davon im Zusammenhang mit einem Vertrag oder einer wie auch immer gearteten Verpflichtung vertraut werden oder soll dieses Dokument oder ein Teil davon als Anreiz für das Eingehen eines Vertrags oder einer wie auch immer gearteten Verpflichtung dienen. Zur Klarstellung wird festgehalten, dass dieses Dokument keine Werbung, kein öffentliches Angebot und keine Privatplatzierung der hierin beschriebenen Wertpapiere in irgendeiner Provinz oder irgendeinem Territorium Kanadas darstellt und unter keinen Umständen in diesem Sinne auszulegen ist. Dieses Dokument und die mit den hierin beschriebenen Wertpapieren verbundenen Leistungen wurden nicht von einer Wertpapierbehörde oder vergleichbaren Aufsichtsbehörde in Kanada geprüft, noch wurde von einer solchen Behörde eine Stellungnahme zu diesem Dokument oder hinsichtlich der mit den hierin beschriebenen Wertpapieren verbundenen Leistungen abgegeben, und jede gegenteilige Behauptung ist strafbar.</w:t>
            </w:r>
          </w:p>
        </w:tc>
      </w:tr>
      <w:tr w:rsidTr="003330CF">
        <w:tblPrEx>
          <w:tblW w:w="5000" w:type="pct"/>
          <w:tblLayout w:type="fixed"/>
          <w:tblLook w:val="00A0"/>
        </w:tblPrEx>
        <w:tc>
          <w:tcPr>
            <w:tcW w:w="2356" w:type="pct"/>
            <w:tcBorders>
              <w:right w:val="single" w:sz="4" w:space="0" w:color="auto"/>
            </w:tcBorders>
          </w:tcPr>
          <w:p w:rsidR="001E0E28" w:rsidRPr="005B5713" w:rsidP="00D06946">
            <w:pPr>
              <w:pStyle w:val="CSbody0bold"/>
            </w:pPr>
            <w:r w:rsidRPr="005B5713">
              <w:t>Chile</w:t>
            </w:r>
          </w:p>
        </w:tc>
        <w:tc>
          <w:tcPr>
            <w:tcW w:w="2644" w:type="pct"/>
            <w:tcBorders>
              <w:left w:val="single" w:sz="4" w:space="0" w:color="auto"/>
            </w:tcBorders>
          </w:tcPr>
          <w:p w:rsidR="001E0E28" w:rsidRPr="005B5713" w:rsidP="00D06946">
            <w:pPr>
              <w:pStyle w:val="CSbody0bold"/>
            </w:pPr>
            <w:r w:rsidRPr="005B5713">
              <w:t>Chile</w:t>
            </w:r>
          </w:p>
        </w:tc>
      </w:tr>
      <w:tr w:rsidTr="003330CF">
        <w:tblPrEx>
          <w:tblW w:w="5000" w:type="pct"/>
          <w:tblLayout w:type="fixed"/>
          <w:tblLook w:val="00A0"/>
        </w:tblPrEx>
        <w:tc>
          <w:tcPr>
            <w:tcW w:w="2356" w:type="pct"/>
            <w:tcBorders>
              <w:right w:val="single" w:sz="4" w:space="0" w:color="auto"/>
            </w:tcBorders>
          </w:tcPr>
          <w:p w:rsidR="00CA19AE" w:rsidRPr="00475677" w:rsidP="00CA19AE">
            <w:pPr>
              <w:pStyle w:val="CSBody0"/>
            </w:pPr>
            <w:r w:rsidRPr="00475677">
              <w:t>Neither the Issuer nor the Complex Products will be registered in the Foreign Securities Registry (</w:t>
            </w:r>
            <w:r w:rsidRPr="00CA19AE">
              <w:rPr>
                <w:i/>
              </w:rPr>
              <w:t>Registro de Valores Extranjeros</w:t>
            </w:r>
            <w:r w:rsidRPr="00475677">
              <w:t>) maintained by the Chilean Securities and Insurance Commission (</w:t>
            </w:r>
            <w:r w:rsidRPr="00CA19AE">
              <w:rPr>
                <w:i/>
              </w:rPr>
              <w:t>Superintendencia de Valores y Seguros de Chile</w:t>
            </w:r>
            <w:r w:rsidRPr="00475677">
              <w:t xml:space="preserve"> or "</w:t>
            </w:r>
            <w:r w:rsidRPr="00CA19AE">
              <w:rPr>
                <w:b/>
              </w:rPr>
              <w:t>SVS</w:t>
            </w:r>
            <w:r w:rsidRPr="00475677">
              <w:t>") and will not be subject to the supervision of the SVS. If such securities are offered within Chile, they will be offered and sold only pursuant to General Rule 336 of the SVS, an exemption to the registration requirements, or in circumstances which do not constitute a public offer of securities (</w:t>
            </w:r>
            <w:r w:rsidRPr="00CA19AE">
              <w:rPr>
                <w:i/>
              </w:rPr>
              <w:t>oferta pública de valores</w:t>
            </w:r>
            <w:r w:rsidRPr="00475677">
              <w:t>) or securities intermediation (</w:t>
            </w:r>
            <w:r w:rsidRPr="00CA19AE">
              <w:rPr>
                <w:i/>
              </w:rPr>
              <w:t>intermediación de valores</w:t>
            </w:r>
            <w:r w:rsidRPr="00475677">
              <w:t>) in Chile within the meaning of Article 4 of the Chilean Securities Market Law 18,045, as amended and restated, and supplemental rules enacted thereunder. The issuer has no obligation to deliver public information in Chile. These Complex Products shall not be subject to public offering in Chile unless registered in the Foreign Securities Registry.</w:t>
            </w:r>
          </w:p>
        </w:tc>
        <w:tc>
          <w:tcPr>
            <w:tcW w:w="2644" w:type="pct"/>
            <w:tcBorders>
              <w:left w:val="single" w:sz="4" w:space="0" w:color="auto"/>
            </w:tcBorders>
          </w:tcPr>
          <w:p w:rsidR="00CA19AE" w:rsidRPr="00CA19AE" w:rsidP="00CA19AE">
            <w:pPr>
              <w:pStyle w:val="CSBody0"/>
              <w:rPr>
                <w:lang w:val="de-DE"/>
              </w:rPr>
            </w:pPr>
            <w:r w:rsidRPr="00CA19AE">
              <w:rPr>
                <w:lang w:val="de-DE"/>
              </w:rPr>
              <w:t>Weder die Emittentin noch die hierin angebotenen Komplexen Produkte werden in dem von der Chilenischen Aufsichtsbehörde für Wertpapiere und das Versicherungswesen (</w:t>
            </w:r>
            <w:r w:rsidRPr="00CA19AE">
              <w:rPr>
                <w:i/>
                <w:lang w:val="de-DE"/>
              </w:rPr>
              <w:t>Superintendencia de Valores y Seguros de Chile</w:t>
            </w:r>
            <w:r w:rsidRPr="00CA19AE">
              <w:rPr>
                <w:lang w:val="de-DE"/>
              </w:rPr>
              <w:t xml:space="preserve"> oder "</w:t>
            </w:r>
            <w:r w:rsidRPr="00CA19AE">
              <w:rPr>
                <w:b/>
                <w:lang w:val="de-DE"/>
              </w:rPr>
              <w:t>SVS</w:t>
            </w:r>
            <w:r w:rsidRPr="00CA19AE">
              <w:rPr>
                <w:lang w:val="de-DE"/>
              </w:rPr>
              <w:t>") geführten Ausländischen Wertpapierregister (</w:t>
            </w:r>
            <w:r w:rsidRPr="00CA19AE">
              <w:rPr>
                <w:i/>
                <w:lang w:val="de-DE"/>
              </w:rPr>
              <w:t>Registro de Valores Extranjeros</w:t>
            </w:r>
            <w:r w:rsidRPr="00CA19AE">
              <w:rPr>
                <w:lang w:val="de-DE"/>
              </w:rPr>
              <w:t>) registriert und werden nicht der Aufsicht der SVS unterliegen. Wenn ein Angebot dieser Wertpapiere in Chile erfolgt, dürfen sie ausschliesslich nach Massgabe der Allgemeinen Vorschrift 336 der SVS, einer Ausnahmeregelung von den Registrierungsvorschriften oder unter Umständen angeboten und verkauft werden, die kein öffentliches Angebot von Wertpapieren (</w:t>
            </w:r>
            <w:r w:rsidRPr="00CA19AE">
              <w:rPr>
                <w:i/>
                <w:lang w:val="de-DE"/>
              </w:rPr>
              <w:t>oferta pública de valores</w:t>
            </w:r>
            <w:r w:rsidRPr="00CA19AE">
              <w:rPr>
                <w:lang w:val="de-DE"/>
              </w:rPr>
              <w:t>) oder eine Wertpapiervermittlung (</w:t>
            </w:r>
            <w:r w:rsidRPr="00CA19AE">
              <w:rPr>
                <w:i/>
                <w:lang w:val="de-DE"/>
              </w:rPr>
              <w:t>intermediación de valores</w:t>
            </w:r>
            <w:r w:rsidRPr="00CA19AE">
              <w:rPr>
                <w:lang w:val="de-DE"/>
              </w:rPr>
              <w:t>) in Chile gemäss Artikel 4 des chilenischen Wertpapiermarktgesetzes 18.045 in der jeweils geänderten und neu gefassten Version sowie den darunter erlassenen Ergänzungsvorschriften darstellen. Die Emittentin ist nicht verpflichtet, öffentlich verfügbare Informationen in Chile bereitzustellen. Diese Komplexen Produkte werden nicht Gegenstand eines öffentlichen Angebots in Chile sein, es sei denn sie werden im Ausländischen Wertpapierregister registriert.</w:t>
            </w:r>
          </w:p>
        </w:tc>
      </w:tr>
      <w:tr w:rsidTr="003330CF">
        <w:tblPrEx>
          <w:tblW w:w="5000" w:type="pct"/>
          <w:tblLayout w:type="fixed"/>
          <w:tblLook w:val="00A0"/>
        </w:tblPrEx>
        <w:tc>
          <w:tcPr>
            <w:tcW w:w="2356" w:type="pct"/>
            <w:tcBorders>
              <w:right w:val="single" w:sz="4" w:space="0" w:color="auto"/>
            </w:tcBorders>
          </w:tcPr>
          <w:p w:rsidR="001E0E28" w:rsidRPr="005B5713" w:rsidP="00D06946">
            <w:pPr>
              <w:pStyle w:val="CSbody0bold"/>
            </w:pPr>
            <w:r w:rsidRPr="005B5713">
              <w:t>Colombia</w:t>
            </w:r>
          </w:p>
        </w:tc>
        <w:tc>
          <w:tcPr>
            <w:tcW w:w="2644" w:type="pct"/>
            <w:tcBorders>
              <w:left w:val="single" w:sz="4" w:space="0" w:color="auto"/>
            </w:tcBorders>
          </w:tcPr>
          <w:p w:rsidR="001E0E28" w:rsidRPr="005B5713" w:rsidP="00D06946">
            <w:pPr>
              <w:pStyle w:val="CSbody0bold"/>
            </w:pPr>
            <w:r w:rsidRPr="005B5713">
              <w:t>Kolumbien</w:t>
            </w:r>
          </w:p>
        </w:tc>
      </w:tr>
      <w:tr w:rsidTr="003330CF">
        <w:tblPrEx>
          <w:tblW w:w="5000" w:type="pct"/>
          <w:tblLayout w:type="fixed"/>
          <w:tblLook w:val="00A0"/>
        </w:tblPrEx>
        <w:tc>
          <w:tcPr>
            <w:tcW w:w="2356" w:type="pct"/>
            <w:tcBorders>
              <w:right w:val="single" w:sz="4" w:space="0" w:color="auto"/>
            </w:tcBorders>
          </w:tcPr>
          <w:p w:rsidR="00CA19AE" w:rsidRPr="006C12FC" w:rsidP="00CA19AE">
            <w:pPr>
              <w:pStyle w:val="CSBody0"/>
            </w:pPr>
            <w:r w:rsidRPr="006C12FC">
              <w:t>The Complex Products to be issued under this Document have not and will not be marketed, offered, sold or distributed in Colombia or to Colombian residents except in circumstances which do not constitute a public offer of securities in Colombia within the meaning of article 6.1.1.1.1 of Decree 2555 of 2010, as amended from time to time. The Complex Products will not be registered in the Colombian National Registry of Securities and Issuers (</w:t>
            </w:r>
            <w:r w:rsidRPr="00CA19AE">
              <w:rPr>
                <w:i/>
              </w:rPr>
              <w:t>Registro Nacional de Valores y Emisores</w:t>
            </w:r>
            <w:r w:rsidRPr="006C12FC">
              <w:t>) or on any Colombian stock exchange. The promotion and/or advertisement of the Complex Products in Colombia is conducted in compliance with Part 4 of Decree 2555 of 2010. This Document is for the sole and exclusive use of the addressee as a determined individual/entity and cannot be understood as addressed for the use of any third party. Investors acknowledge the Colombian laws and regulations (specifically foreign exchange and tax regulations) applicable to any transaction or investment consummated in connection with this Document and represent that they are the sole liable party for full compliance with any such laws and regulations. The investors represent that the investment in the Complex Products is a permitted investment for them under their corporate bylaws and/or particular investment regime that may be applicable and that the investment is in compliance with all provisions, limits and restrictions imposed by the investor’s internal guidelines, investment policies and principles (including those relating to permissible investments and percentages of assets that may be invested in foreign exchange or in assets located outside Colombia) and all other relevant acts and regulations concerning the ability of the investor to invest in the Complex Products.</w:t>
            </w:r>
          </w:p>
        </w:tc>
        <w:tc>
          <w:tcPr>
            <w:tcW w:w="2644" w:type="pct"/>
            <w:tcBorders>
              <w:left w:val="single" w:sz="4" w:space="0" w:color="auto"/>
            </w:tcBorders>
          </w:tcPr>
          <w:p w:rsidR="00CA19AE" w:rsidRPr="00CA19AE" w:rsidP="00CA19AE">
            <w:pPr>
              <w:pStyle w:val="CSBody0"/>
              <w:rPr>
                <w:lang w:val="de-DE"/>
              </w:rPr>
            </w:pPr>
            <w:r w:rsidRPr="00CA19AE">
              <w:rPr>
                <w:lang w:val="de-DE"/>
              </w:rPr>
              <w:t>Die gemäss diesem Dokument zu begebenden Komplexen Produkte wurden und werden nicht in Kolumbien oder (an) in Kolumbien gebietsansässige(n) Personen vermarktet, angeboten, verkauft oder verteilt worden sind bzw. werden, ausser unter Umständen, die kein öffentliches Angebot von Wertpapieren in Kolumbien im Sinne von Artikel 6.1.1.1.1. der Verordnung 2555 von 2010 in jeweils geltender Fassung darstellen. Die Komplexen Produkte werden nicht im kolumbianischen Nationalregister für Wertpapiere und Emittenten (</w:t>
            </w:r>
            <w:r w:rsidRPr="00CA19AE">
              <w:rPr>
                <w:i/>
                <w:lang w:val="de-DE"/>
              </w:rPr>
              <w:t>Registro Nacional de Valores y Emisores</w:t>
            </w:r>
            <w:r w:rsidRPr="00CA19AE">
              <w:rPr>
                <w:lang w:val="de-DE"/>
              </w:rPr>
              <w:t>) oder bei einer kolumbianischen Börse registriert. Verkaufsfördernde Massnahmen und/oder Werbung für die Komplexen Produkte in Kolumbien erfolgen bzw. erfolgt in Übereinstimmung mit Teil 4 der Verordnung 2555 von 2010. Das vorliegende Dokument ist für die alleinige und ausschliessliche Verwendung durch den Adressaten als einer festgelegten natürlichen oder juristischen Person bestimmt und nicht so aufzufassen, als ob er für die Verwendung durch Dritte gedacht wäre. Anleger erkennen die Gesetze und Vorschriften Kolumbiens (insbesondere die devisen- und steuerrechtlichen Vorschriften) an, die für im Zusammenhang mit vorliegendem Dokument durchgeführte Transaktionen oder Kapitalanlagen gelten, und sie sichern zu, dass ihnen als allein haftender Partei die umfassende Einhaltung dieser Gesetze und Vorschriften obliegt. Die Anleger sichern ferner zu, dass die Anlage in den Komplexen Produkten eine für sie nach ihrer Unternehmenssatzung und/oder nach sonstigen möglicherweise anwendbaren Anlagebestimmungen eine zulässige Anlage ist und die Anlage allen Vorschriften, Grenzen und Beschränkungen entspricht, die in den internen Richtlinien, Anlagerichtlinien und Anlagegrundsätzen des Anlegers (einschliesslich solcher zu zulässigen Anlagen und Prozentsätzen von Vermögenswerten, die in Devisen oder in ausserhalb Kolumbiens befindliche Vermögenswerte angelegt werden dürfen) und allen sonstigen einschlägigen Gesetzen und anderen Rechtsvorschriften über die Fähigkeit des Anlegers, eine Anlage in die Komplexen Produkte zu tätigen, vorgesehen sind.</w:t>
            </w:r>
          </w:p>
        </w:tc>
      </w:tr>
      <w:tr w:rsidTr="003330CF">
        <w:tblPrEx>
          <w:tblW w:w="5000" w:type="pct"/>
          <w:tblLayout w:type="fixed"/>
          <w:tblLook w:val="00A0"/>
        </w:tblPrEx>
        <w:tc>
          <w:tcPr>
            <w:tcW w:w="2356" w:type="pct"/>
            <w:tcBorders>
              <w:right w:val="single" w:sz="4" w:space="0" w:color="auto"/>
            </w:tcBorders>
          </w:tcPr>
          <w:p w:rsidR="001E0E28" w:rsidRPr="005B5713" w:rsidP="00D06946">
            <w:pPr>
              <w:pStyle w:val="CSbody0bold"/>
            </w:pPr>
            <w:r w:rsidRPr="005B5713">
              <w:t>Dubai International Financial Centre</w:t>
            </w:r>
          </w:p>
        </w:tc>
        <w:tc>
          <w:tcPr>
            <w:tcW w:w="2644" w:type="pct"/>
            <w:tcBorders>
              <w:left w:val="single" w:sz="4" w:space="0" w:color="auto"/>
            </w:tcBorders>
          </w:tcPr>
          <w:p w:rsidR="001E0E28" w:rsidRPr="005B5713" w:rsidP="00D06946">
            <w:pPr>
              <w:pStyle w:val="CSbody0bold"/>
            </w:pPr>
            <w:r w:rsidRPr="005B5713">
              <w:t>Internationales Finanzzentrum Dubai</w:t>
            </w:r>
          </w:p>
        </w:tc>
      </w:tr>
      <w:tr w:rsidTr="003330CF">
        <w:tblPrEx>
          <w:tblW w:w="5000" w:type="pct"/>
          <w:tblLayout w:type="fixed"/>
          <w:tblLook w:val="00A0"/>
        </w:tblPrEx>
        <w:tc>
          <w:tcPr>
            <w:tcW w:w="2356" w:type="pct"/>
            <w:tcBorders>
              <w:right w:val="single" w:sz="4" w:space="0" w:color="auto"/>
            </w:tcBorders>
          </w:tcPr>
          <w:p w:rsidR="00CA19AE" w:rsidRPr="009668B9" w:rsidP="00CA19AE">
            <w:pPr>
              <w:pStyle w:val="CSBody0"/>
            </w:pPr>
            <w:r w:rsidRPr="009668B9">
              <w:t>The Complex Products to be issued under this Document have not been offered and will not be offered to any person in the Dubai International Financial Centre unless such offer is (a) an "Exempt Offer" in accordance with the Markets Rules (</w:t>
            </w:r>
            <w:r w:rsidRPr="00B70AFF">
              <w:rPr>
                <w:i/>
              </w:rPr>
              <w:t>MKT</w:t>
            </w:r>
            <w:r w:rsidRPr="009668B9">
              <w:t>) Module of the Dubai Financial Services Authority (the "</w:t>
            </w:r>
            <w:r w:rsidRPr="00B70AFF">
              <w:rPr>
                <w:b/>
              </w:rPr>
              <w:t>DFSA</w:t>
            </w:r>
            <w:r w:rsidRPr="009668B9">
              <w:t>"); and (b) made only to persons who meet the Professional Client criteria set out in Rule 2.3.2 of the DFSA Conduct of Business Module.</w:t>
            </w:r>
          </w:p>
        </w:tc>
        <w:tc>
          <w:tcPr>
            <w:tcW w:w="2644" w:type="pct"/>
            <w:tcBorders>
              <w:left w:val="single" w:sz="4" w:space="0" w:color="auto"/>
            </w:tcBorders>
          </w:tcPr>
          <w:p w:rsidR="00CA19AE" w:rsidRPr="00CA19AE" w:rsidP="00CA19AE">
            <w:pPr>
              <w:pStyle w:val="CSBody0"/>
              <w:rPr>
                <w:lang w:val="de-DE"/>
              </w:rPr>
            </w:pPr>
            <w:r w:rsidRPr="00CA19AE">
              <w:rPr>
                <w:lang w:val="de-DE"/>
              </w:rPr>
              <w:t>Die gemäss diesem Dokument zu begebenden Komplexen Produkte wurden und werden keiner Person im Internationalen Finanzzentrum Dubai angeboten, es sei denn, ein solches Angebot (a) ist ein "Befreites Angebot" (</w:t>
            </w:r>
            <w:r w:rsidRPr="00CA19AE">
              <w:rPr>
                <w:i/>
                <w:lang w:val="de-DE"/>
              </w:rPr>
              <w:t>Exempt Offer</w:t>
            </w:r>
            <w:r w:rsidRPr="00CA19AE">
              <w:rPr>
                <w:lang w:val="de-DE"/>
              </w:rPr>
              <w:t>) im Sinne der Finanzmarktvorschriften (</w:t>
            </w:r>
            <w:r w:rsidRPr="00CA19AE">
              <w:rPr>
                <w:i/>
                <w:lang w:val="de-DE"/>
              </w:rPr>
              <w:t>Markets Rules</w:t>
            </w:r>
            <w:r w:rsidRPr="00CA19AE">
              <w:rPr>
                <w:lang w:val="de-DE"/>
              </w:rPr>
              <w:t xml:space="preserve"> (</w:t>
            </w:r>
            <w:r w:rsidRPr="00CA19AE">
              <w:rPr>
                <w:i/>
                <w:lang w:val="de-DE"/>
              </w:rPr>
              <w:t>MKT</w:t>
            </w:r>
            <w:r w:rsidRPr="00CA19AE">
              <w:rPr>
                <w:lang w:val="de-DE"/>
              </w:rPr>
              <w:t xml:space="preserve">) </w:t>
            </w:r>
            <w:r w:rsidRPr="00CA19AE">
              <w:rPr>
                <w:i/>
                <w:lang w:val="de-DE"/>
              </w:rPr>
              <w:t>Module</w:t>
            </w:r>
            <w:r w:rsidRPr="00CA19AE">
              <w:rPr>
                <w:lang w:val="de-DE"/>
              </w:rPr>
              <w:t>) der Finanzaufsichtsbehörde von Dubai (</w:t>
            </w:r>
            <w:r w:rsidRPr="00CA19AE">
              <w:rPr>
                <w:i/>
                <w:lang w:val="de-DE"/>
              </w:rPr>
              <w:t>Dubai Financial Services Authority</w:t>
            </w:r>
            <w:r w:rsidRPr="00CA19AE">
              <w:rPr>
                <w:lang w:val="de-DE"/>
              </w:rPr>
              <w:t>; die "</w:t>
            </w:r>
            <w:r w:rsidRPr="00CA19AE">
              <w:rPr>
                <w:b/>
                <w:lang w:val="de-DE"/>
              </w:rPr>
              <w:t>DFSA</w:t>
            </w:r>
            <w:r w:rsidRPr="00CA19AE">
              <w:rPr>
                <w:lang w:val="de-DE"/>
              </w:rPr>
              <w:t>"), und (b) erfolgt nur gegenüber Personen, die die Kriterien für Professionelle Kunden (</w:t>
            </w:r>
            <w:r w:rsidRPr="00CA19AE">
              <w:rPr>
                <w:i/>
                <w:lang w:val="de-DE"/>
              </w:rPr>
              <w:t>Professional Clients</w:t>
            </w:r>
            <w:r w:rsidRPr="00CA19AE">
              <w:rPr>
                <w:lang w:val="de-DE"/>
              </w:rPr>
              <w:t>) nach Ziffer 2.3.2 des Moduls betreffend Verhaltensregeln im Geschäftsleben (</w:t>
            </w:r>
            <w:r w:rsidRPr="00CA19AE">
              <w:rPr>
                <w:i/>
                <w:lang w:val="de-DE"/>
              </w:rPr>
              <w:t>Conduct of Business Module</w:t>
            </w:r>
            <w:r w:rsidRPr="00CA19AE">
              <w:rPr>
                <w:lang w:val="de-DE"/>
              </w:rPr>
              <w:t>) der DFSA erfüllen.</w:t>
            </w:r>
          </w:p>
        </w:tc>
      </w:tr>
      <w:tr w:rsidTr="003330CF">
        <w:tblPrEx>
          <w:tblW w:w="5000" w:type="pct"/>
          <w:tblLayout w:type="fixed"/>
          <w:tblLook w:val="00A0"/>
        </w:tblPrEx>
        <w:tc>
          <w:tcPr>
            <w:tcW w:w="2356" w:type="pct"/>
            <w:tcBorders>
              <w:right w:val="single" w:sz="4" w:space="0" w:color="auto"/>
            </w:tcBorders>
          </w:tcPr>
          <w:p w:rsidR="001E0E28" w:rsidRPr="00787FA4" w:rsidP="00ED5664">
            <w:pPr>
              <w:pStyle w:val="CSbody0bold"/>
            </w:pPr>
            <w:r w:rsidRPr="00787FA4">
              <w:t>Egypt</w:t>
            </w:r>
          </w:p>
        </w:tc>
        <w:tc>
          <w:tcPr>
            <w:tcW w:w="2644" w:type="pct"/>
            <w:tcBorders>
              <w:left w:val="single" w:sz="4" w:space="0" w:color="auto"/>
            </w:tcBorders>
          </w:tcPr>
          <w:p w:rsidR="001E0E28" w:rsidRPr="00787FA4" w:rsidP="00ED5664">
            <w:pPr>
              <w:pStyle w:val="CSbody0bold"/>
            </w:pPr>
            <w:r w:rsidRPr="00787FA4">
              <w:t>Ägypten</w:t>
            </w:r>
          </w:p>
        </w:tc>
      </w:tr>
      <w:tr w:rsidTr="003330CF">
        <w:tblPrEx>
          <w:tblW w:w="5000" w:type="pct"/>
          <w:tblLayout w:type="fixed"/>
          <w:tblLook w:val="00A0"/>
        </w:tblPrEx>
        <w:tc>
          <w:tcPr>
            <w:tcW w:w="2356" w:type="pct"/>
            <w:tcBorders>
              <w:right w:val="single" w:sz="4" w:space="0" w:color="auto"/>
            </w:tcBorders>
          </w:tcPr>
          <w:p w:rsidR="00B70AFF" w:rsidRPr="00055741" w:rsidP="00B70AFF">
            <w:pPr>
              <w:pStyle w:val="CSBody0"/>
            </w:pPr>
            <w:r w:rsidRPr="00055741">
              <w:t>The Complex Products or the underlyings (if any) to be delivered upon the exercise of the Complex Products, as described in this Document, have not been, and are not being, publicly offered, sold, promoted or advertised in Egypt. Further, this Document does not constitute or form part of any public offer of the Complex Products or the underlyings (if any) to be delivered upon the exercise of the Complex Products in Egypt and is not intended to constitute a solicitation or inducement for the public to buy or subscribe in any of the Complex Products or the underlyings (if any) to be delivered upon the exercise of the Complex Products described herein. Neither the Complex Products nor this Document has been reviewed, filed or registered with the Egyptian Financial Supervisory Authority.</w:t>
            </w:r>
          </w:p>
        </w:tc>
        <w:tc>
          <w:tcPr>
            <w:tcW w:w="2644" w:type="pct"/>
            <w:tcBorders>
              <w:left w:val="single" w:sz="4" w:space="0" w:color="auto"/>
            </w:tcBorders>
          </w:tcPr>
          <w:p w:rsidR="00B70AFF" w:rsidRPr="00B70AFF" w:rsidP="00B70AFF">
            <w:pPr>
              <w:pStyle w:val="CSBody0"/>
              <w:rPr>
                <w:lang w:val="de-DE"/>
              </w:rPr>
            </w:pPr>
            <w:r w:rsidRPr="00B70AFF">
              <w:rPr>
                <w:lang w:val="de-DE"/>
              </w:rPr>
              <w:t>Die Komplexen Produkte oder die Basiswerte, die gegebenenfalls bei Ausübung der Komplexen Produkte zu liefern sind, wie in diesem Dokument beschrieben, wurden und werden in Ägypten nicht öffentlich angeboten, verkauft, vermarktet oder beworben. Darüber hinaus stellt dieses Dokument kein öffentliches Angebot der Komplexen Produkte oder der Basiswerte, die gegebenenfalls bei Ausübung der Komplexen Produkte zu liefern sind, in Ägypten dar und ist auch nicht Teil eines solchen Angebots, noch soll es eine Aufforderung oder Veranlassung der Öffentlichkeit zum Kauf oder zur Zeichnung der Komplexen Produkte oder der bei Ausübung der hierin beschriebenen Komplexen Produkte gegebenenfalls zu liefernden Basiswerte darstellen. Weder die Komplexen Produkte noch dieses Dokument wurden von der ägyptischen Finanzaufsichtsbehörde geprüft oder bei dieser eingereicht oder registriert.</w:t>
            </w:r>
          </w:p>
        </w:tc>
      </w:tr>
      <w:tr w:rsidTr="003330CF">
        <w:tblPrEx>
          <w:tblW w:w="5000" w:type="pct"/>
          <w:tblLayout w:type="fixed"/>
          <w:tblLook w:val="00A0"/>
        </w:tblPrEx>
        <w:tc>
          <w:tcPr>
            <w:tcW w:w="2356" w:type="pct"/>
            <w:tcBorders>
              <w:right w:val="single" w:sz="4" w:space="0" w:color="auto"/>
            </w:tcBorders>
          </w:tcPr>
          <w:p w:rsidR="001E0E28" w:rsidRPr="005B5713" w:rsidP="00AD0ABF">
            <w:pPr>
              <w:pStyle w:val="CSbody0bold"/>
            </w:pPr>
            <w:r w:rsidRPr="005B5713">
              <w:t>France</w:t>
            </w:r>
          </w:p>
        </w:tc>
        <w:tc>
          <w:tcPr>
            <w:tcW w:w="2644" w:type="pct"/>
            <w:tcBorders>
              <w:left w:val="single" w:sz="4" w:space="0" w:color="auto"/>
            </w:tcBorders>
          </w:tcPr>
          <w:p w:rsidR="001E0E28" w:rsidRPr="005B5713" w:rsidP="00AD0ABF">
            <w:pPr>
              <w:pStyle w:val="CSbody0bold"/>
            </w:pPr>
            <w:r w:rsidRPr="005B5713">
              <w:t>Frankreich</w:t>
            </w:r>
          </w:p>
        </w:tc>
      </w:tr>
      <w:tr w:rsidTr="003330CF">
        <w:tblPrEx>
          <w:tblW w:w="5000" w:type="pct"/>
          <w:tblLayout w:type="fixed"/>
          <w:tblLook w:val="00A0"/>
        </w:tblPrEx>
        <w:tc>
          <w:tcPr>
            <w:tcW w:w="2356" w:type="pct"/>
            <w:tcBorders>
              <w:right w:val="single" w:sz="4" w:space="0" w:color="auto"/>
            </w:tcBorders>
          </w:tcPr>
          <w:p w:rsidR="00B70AFF" w:rsidRPr="00371BF0" w:rsidP="00B70AFF">
            <w:pPr>
              <w:pStyle w:val="CSBody0"/>
            </w:pPr>
            <w:r w:rsidRPr="00B70AFF">
              <w:rPr>
                <w:b/>
              </w:rPr>
              <w:t>Offer to the public in France:</w:t>
            </w:r>
            <w:r w:rsidRPr="00371BF0">
              <w:t xml:space="preserve"> The Complex Products to be issued under this Document have only been offered and will only be offered to the public (</w:t>
            </w:r>
            <w:r w:rsidRPr="00B70AFF">
              <w:rPr>
                <w:i/>
              </w:rPr>
              <w:t>offre au public</w:t>
            </w:r>
            <w:r w:rsidRPr="00371BF0">
              <w:t xml:space="preserve">) in France following the notification of the approval of this Document to the </w:t>
            </w:r>
            <w:r w:rsidRPr="00B70AFF">
              <w:rPr>
                <w:i/>
              </w:rPr>
              <w:t>Autorité des marchés financiers</w:t>
            </w:r>
            <w:r w:rsidRPr="00371BF0">
              <w:t xml:space="preserve"> ("</w:t>
            </w:r>
            <w:r w:rsidRPr="00B70AFF">
              <w:rPr>
                <w:b/>
              </w:rPr>
              <w:t>AMF</w:t>
            </w:r>
            <w:r w:rsidRPr="00371BF0">
              <w:t>") by the Bundesanstalt für Finanzdienstleistungsaufsicht ("</w:t>
            </w:r>
            <w:r w:rsidRPr="00B70AFF">
              <w:rPr>
                <w:b/>
              </w:rPr>
              <w:t>BaFin</w:t>
            </w:r>
            <w:r w:rsidRPr="00371BF0">
              <w:t xml:space="preserve">") and in the period beginning on the date of publication of the Final Terms relating to the offer of the Complex Products and ending at the latest on the date which is 12 months after the date of the approval of this Document by the BaFin in accordance with Articles L.412-1 and L.621-8 of the French </w:t>
            </w:r>
            <w:r w:rsidRPr="00B70AFF">
              <w:rPr>
                <w:i/>
              </w:rPr>
              <w:t>Code monétaire et financier</w:t>
            </w:r>
            <w:r w:rsidRPr="00371BF0">
              <w:t xml:space="preserve"> and the </w:t>
            </w:r>
            <w:r w:rsidRPr="00B70AFF">
              <w:rPr>
                <w:i/>
              </w:rPr>
              <w:t>Règlement général</w:t>
            </w:r>
            <w:r w:rsidRPr="00371BF0">
              <w:t xml:space="preserve"> of the AMF; or</w:t>
            </w:r>
          </w:p>
        </w:tc>
        <w:tc>
          <w:tcPr>
            <w:tcW w:w="2644" w:type="pct"/>
            <w:tcBorders>
              <w:left w:val="single" w:sz="4" w:space="0" w:color="auto"/>
            </w:tcBorders>
          </w:tcPr>
          <w:p w:rsidR="00B70AFF" w:rsidRPr="00B70AFF" w:rsidP="00B70AFF">
            <w:pPr>
              <w:pStyle w:val="CSBody0"/>
              <w:rPr>
                <w:lang w:val="de-DE"/>
              </w:rPr>
            </w:pPr>
            <w:r w:rsidRPr="00B70AFF">
              <w:rPr>
                <w:b/>
                <w:lang w:val="de-DE"/>
              </w:rPr>
              <w:t>Öffentliches Angebot in Frankreich:</w:t>
            </w:r>
            <w:r w:rsidRPr="00B70AFF">
              <w:rPr>
                <w:lang w:val="de-DE"/>
              </w:rPr>
              <w:t xml:space="preserve"> Die gemäss diesem Dokument zu begebenden Komplexen Produkte wurden und werden in Frankreich nur nach der Notifizierung der Billigung dieses Dokuments an die </w:t>
            </w:r>
            <w:r w:rsidRPr="00B70AFF">
              <w:rPr>
                <w:i/>
                <w:lang w:val="de-DE"/>
              </w:rPr>
              <w:t>Autorité des marchés financiers</w:t>
            </w:r>
            <w:r w:rsidRPr="00B70AFF">
              <w:rPr>
                <w:lang w:val="de-DE"/>
              </w:rPr>
              <w:t xml:space="preserve"> ("</w:t>
            </w:r>
            <w:r w:rsidRPr="00B70AFF">
              <w:rPr>
                <w:b/>
                <w:lang w:val="de-DE"/>
              </w:rPr>
              <w:t>AMF</w:t>
            </w:r>
            <w:r w:rsidRPr="00B70AFF">
              <w:rPr>
                <w:lang w:val="de-DE"/>
              </w:rPr>
              <w:t>") durch die Bundesanstalt für Finanzdienstleistungsaufsicht (die "</w:t>
            </w:r>
            <w:r w:rsidRPr="00B70AFF">
              <w:rPr>
                <w:b/>
                <w:lang w:val="de-DE"/>
              </w:rPr>
              <w:t>BaFin</w:t>
            </w:r>
            <w:r w:rsidRPr="00B70AFF">
              <w:rPr>
                <w:lang w:val="de-DE"/>
              </w:rPr>
              <w:t xml:space="preserve">") und in dem Zeitraum, der am Tag der Veröffentlichung der Endgültigen Bedingungen in Bezug auf das Angebot der Komplexen Produkte beginnt und spätestens 12 Monate nach dem Tag der Billigung dieses Dokuments durch die BaFin endet, öffentlich angeboten (offre au public), und zwar nach Massgabe von Art. L.412-1 und L.621-8 des französischen </w:t>
            </w:r>
            <w:r w:rsidRPr="00B70AFF">
              <w:rPr>
                <w:i/>
                <w:lang w:val="de-DE"/>
              </w:rPr>
              <w:t>Code monétaire et financier</w:t>
            </w:r>
            <w:r w:rsidRPr="00B70AFF">
              <w:rPr>
                <w:lang w:val="de-DE"/>
              </w:rPr>
              <w:t xml:space="preserve"> und des </w:t>
            </w:r>
            <w:r w:rsidRPr="00B70AFF">
              <w:rPr>
                <w:i/>
                <w:lang w:val="de-DE"/>
              </w:rPr>
              <w:t>Règlement général</w:t>
            </w:r>
            <w:r w:rsidRPr="00B70AFF">
              <w:rPr>
                <w:lang w:val="de-DE"/>
              </w:rPr>
              <w:t xml:space="preserve"> der AMF; oder</w:t>
            </w:r>
          </w:p>
        </w:tc>
      </w:tr>
      <w:tr w:rsidTr="003330CF">
        <w:tblPrEx>
          <w:tblW w:w="5000" w:type="pct"/>
          <w:tblLayout w:type="fixed"/>
          <w:tblLook w:val="00A0"/>
        </w:tblPrEx>
        <w:tc>
          <w:tcPr>
            <w:tcW w:w="2356" w:type="pct"/>
            <w:tcBorders>
              <w:right w:val="single" w:sz="4" w:space="0" w:color="auto"/>
            </w:tcBorders>
          </w:tcPr>
          <w:p w:rsidR="00B70AFF" w:rsidRPr="00371BF0" w:rsidP="00B70AFF">
            <w:pPr>
              <w:pStyle w:val="CSBody0"/>
            </w:pPr>
            <w:r w:rsidRPr="00146510">
              <w:rPr>
                <w:b/>
              </w:rPr>
              <w:t>Private placement in France:</w:t>
            </w:r>
            <w:r w:rsidRPr="00371BF0">
              <w:t xml:space="preserve"> The Complex Products to be issued under this Document have not been offered or sold and will not be offered or sold, directly or indirectly, to the public in France, other than to (i) providers of investment services relating to portfolio management for the account of third parties (</w:t>
            </w:r>
            <w:r w:rsidRPr="00146510">
              <w:rPr>
                <w:i/>
              </w:rPr>
              <w:t>personnes fournissant le service de gestion de portefeuille pour compte de tiers</w:t>
            </w:r>
            <w:r w:rsidRPr="00371BF0">
              <w:t>), and/or (ii) qualified investors (</w:t>
            </w:r>
            <w:r w:rsidRPr="00146510">
              <w:rPr>
                <w:i/>
              </w:rPr>
              <w:t>investisseurs qualifiés</w:t>
            </w:r>
            <w:r w:rsidRPr="00371BF0">
              <w:t>) (other than individuals); all as defined in, and in accordance with, Articles L.411-1, L.411-2 and D.411-1 of the French Code monétaire et financier. This Document, the applicable Final Terms or any other offering material relating to the Complex Products have not been distributed or caused to be distributed and will not be distributed or cause to be distributed to the public in France, other than to investors to whom offers and sales of Complex Products in France may be made as described above.</w:t>
            </w:r>
          </w:p>
        </w:tc>
        <w:tc>
          <w:tcPr>
            <w:tcW w:w="2644" w:type="pct"/>
            <w:tcBorders>
              <w:left w:val="single" w:sz="4" w:space="0" w:color="auto"/>
            </w:tcBorders>
          </w:tcPr>
          <w:p w:rsidR="00B70AFF" w:rsidRPr="00B70AFF" w:rsidP="00B70AFF">
            <w:pPr>
              <w:pStyle w:val="CSBody0"/>
              <w:rPr>
                <w:lang w:val="de-DE"/>
              </w:rPr>
            </w:pPr>
            <w:r w:rsidRPr="00146510">
              <w:rPr>
                <w:b/>
                <w:lang w:val="de-DE"/>
              </w:rPr>
              <w:t>Privatplatzierung in Frankreich:</w:t>
            </w:r>
            <w:r w:rsidRPr="00B70AFF">
              <w:rPr>
                <w:lang w:val="de-DE"/>
              </w:rPr>
              <w:t xml:space="preserve"> Die gemäss diesem Dokument zu begebenden Komplexen Produkte wurden und werden weder direkt noch indirekt in Frankreich öffentlich angeboten oder verkauft, ausgenommen gegenüber (i) Anbietern von Anlagedienstleistungen im Zusammenhang mit der Portfolioverwaltung für Rechnung Dritter (</w:t>
            </w:r>
            <w:r w:rsidRPr="00146510">
              <w:rPr>
                <w:i/>
                <w:lang w:val="de-DE"/>
              </w:rPr>
              <w:t>personnes fournissant le service de gestion de portefeuille pour compte de tiers</w:t>
            </w:r>
            <w:r w:rsidRPr="00B70AFF">
              <w:rPr>
                <w:lang w:val="de-DE"/>
              </w:rPr>
              <w:t>) und/oder (ii) qualifizierten Anlegern (</w:t>
            </w:r>
            <w:r w:rsidRPr="00146510">
              <w:rPr>
                <w:i/>
                <w:lang w:val="de-DE"/>
              </w:rPr>
              <w:t>investisseurs qualifiés</w:t>
            </w:r>
            <w:r w:rsidRPr="00B70AFF">
              <w:rPr>
                <w:lang w:val="de-DE"/>
              </w:rPr>
              <w:t>) (die keine natürlichen Personen sind), jeweils wie in Art. L.411-1, L.411-2 und D.411-1 des französischen Code monétaire et financier definiert und nach deren Massgabe. Dieses Dokument, die jeweils anwendbaren Endgültigen Bedingungen und sonstige Angebotsunterlagen bezüglich der Komplexen Produkte wurden und werden in Frankreich nicht öffentlich verbreitet, noch wurde oder wird dies veranlasst, ausser an Anleger, welchen die Komplexen Produkte in Frankreich wie vorstehend beschrieben angeboten werden dürfen bzw. an welche sie verkauft werden dürfen.</w:t>
            </w:r>
          </w:p>
        </w:tc>
      </w:tr>
      <w:tr w:rsidTr="003330CF">
        <w:tblPrEx>
          <w:tblW w:w="5000" w:type="pct"/>
          <w:tblLayout w:type="fixed"/>
          <w:tblLook w:val="00A0"/>
        </w:tblPrEx>
        <w:tc>
          <w:tcPr>
            <w:tcW w:w="2356" w:type="pct"/>
            <w:tcBorders>
              <w:right w:val="single" w:sz="4" w:space="0" w:color="auto"/>
            </w:tcBorders>
          </w:tcPr>
          <w:p w:rsidR="001E0E28" w:rsidRPr="005B5713" w:rsidP="00AD0ABF">
            <w:pPr>
              <w:pStyle w:val="CSbody0bold"/>
            </w:pPr>
            <w:r w:rsidRPr="005B5713">
              <w:t>Guernsey</w:t>
            </w:r>
          </w:p>
        </w:tc>
        <w:tc>
          <w:tcPr>
            <w:tcW w:w="2644" w:type="pct"/>
            <w:tcBorders>
              <w:left w:val="single" w:sz="4" w:space="0" w:color="auto"/>
            </w:tcBorders>
          </w:tcPr>
          <w:p w:rsidR="001E0E28" w:rsidRPr="005B5713" w:rsidP="00AD0ABF">
            <w:pPr>
              <w:pStyle w:val="CSbody0bold"/>
            </w:pPr>
            <w:r w:rsidRPr="005B5713">
              <w:t>Guernsey</w:t>
            </w:r>
          </w:p>
        </w:tc>
      </w:tr>
      <w:tr w:rsidTr="003330CF">
        <w:tblPrEx>
          <w:tblW w:w="5000" w:type="pct"/>
          <w:tblLayout w:type="fixed"/>
          <w:tblLook w:val="00A0"/>
        </w:tblPrEx>
        <w:tc>
          <w:tcPr>
            <w:tcW w:w="2356" w:type="pct"/>
            <w:tcBorders>
              <w:right w:val="single" w:sz="4" w:space="0" w:color="auto"/>
            </w:tcBorders>
          </w:tcPr>
          <w:p w:rsidR="00146510" w:rsidRPr="00D72DB0" w:rsidP="00146510">
            <w:pPr>
              <w:pStyle w:val="CSBody0"/>
            </w:pPr>
            <w:r w:rsidRPr="00D72DB0">
              <w:t>The Prospectus Rules 2008 (the "</w:t>
            </w:r>
            <w:r w:rsidRPr="00146510">
              <w:rPr>
                <w:b/>
              </w:rPr>
              <w:t>Rules</w:t>
            </w:r>
            <w:r w:rsidRPr="00D72DB0">
              <w:t>") issued by the Guernsey Financial Services Commission (the "</w:t>
            </w:r>
            <w:r w:rsidRPr="00146510">
              <w:rPr>
                <w:b/>
              </w:rPr>
              <w:t>GFSC</w:t>
            </w:r>
            <w:r w:rsidRPr="00D72DB0">
              <w:t>") do not apply to this Document and, accordingly, this Document has not been, nor is it required to be, submitted to or approved or authorised by the GFSC. The Document will not be regulated by the GFSC. The GFSC has no on-going responsibility to monitor the performance of the Complex Products/Issuer or to protect the interests of the holders of Complex Products.</w:t>
            </w:r>
          </w:p>
        </w:tc>
        <w:tc>
          <w:tcPr>
            <w:tcW w:w="2644" w:type="pct"/>
            <w:tcBorders>
              <w:left w:val="single" w:sz="4" w:space="0" w:color="auto"/>
            </w:tcBorders>
          </w:tcPr>
          <w:p w:rsidR="00146510" w:rsidRPr="00146510" w:rsidP="00146510">
            <w:pPr>
              <w:pStyle w:val="CSBody0"/>
              <w:rPr>
                <w:lang w:val="de-DE"/>
              </w:rPr>
            </w:pPr>
            <w:r w:rsidRPr="00146510">
              <w:rPr>
                <w:lang w:val="de-DE"/>
              </w:rPr>
              <w:t>Die von der Finanzdienstleistungsaufsicht von Guernsey (</w:t>
            </w:r>
            <w:r w:rsidRPr="00146510">
              <w:rPr>
                <w:i/>
                <w:lang w:val="de-DE"/>
              </w:rPr>
              <w:t>Guernsey Financial Services Commission</w:t>
            </w:r>
            <w:r w:rsidRPr="00146510">
              <w:rPr>
                <w:lang w:val="de-DE"/>
              </w:rPr>
              <w:t>; die "</w:t>
            </w:r>
            <w:r w:rsidRPr="00146510">
              <w:rPr>
                <w:b/>
                <w:lang w:val="de-DE"/>
              </w:rPr>
              <w:t>GFSC</w:t>
            </w:r>
            <w:r w:rsidRPr="00146510">
              <w:rPr>
                <w:lang w:val="de-DE"/>
              </w:rPr>
              <w:t>") erlassenen Prospektvorschriften von 2008 (</w:t>
            </w:r>
            <w:r w:rsidRPr="00146510">
              <w:rPr>
                <w:i/>
                <w:lang w:val="de-DE"/>
              </w:rPr>
              <w:t>Prospectus Rules 2008</w:t>
            </w:r>
            <w:r w:rsidRPr="00146510">
              <w:rPr>
                <w:lang w:val="de-DE"/>
              </w:rPr>
              <w:t>; die "</w:t>
            </w:r>
            <w:r w:rsidRPr="00146510">
              <w:rPr>
                <w:b/>
                <w:lang w:val="de-DE"/>
              </w:rPr>
              <w:t>Prospektvorschriften</w:t>
            </w:r>
            <w:r w:rsidRPr="00146510">
              <w:rPr>
                <w:lang w:val="de-DE"/>
              </w:rPr>
              <w:t>") finden auf dieses Dokument keine Anwendung, und dementsprechend wurde dieses Dokument weder bei der GFSC eingereicht, von dieser gebilligt oder genehmigt noch ist dies erforderlich. Das Dokument wird nicht von der GFSC beaufsichtigt. Die GFSC ist nicht dafür verantwortlich, den Erfolg der Komplexen Produkte/der Emittentin laufend zu überwachen oder die Interessen der Inhaber von Komplexen Produkte zu schützen.</w:t>
            </w:r>
          </w:p>
        </w:tc>
      </w:tr>
      <w:tr w:rsidTr="003330CF">
        <w:tblPrEx>
          <w:tblW w:w="5000" w:type="pct"/>
          <w:tblLayout w:type="fixed"/>
          <w:tblLook w:val="00A0"/>
        </w:tblPrEx>
        <w:tc>
          <w:tcPr>
            <w:tcW w:w="2356" w:type="pct"/>
            <w:tcBorders>
              <w:right w:val="single" w:sz="4" w:space="0" w:color="auto"/>
            </w:tcBorders>
          </w:tcPr>
          <w:p w:rsidR="00146510" w:rsidRPr="00D72DB0" w:rsidP="00146510">
            <w:pPr>
              <w:pStyle w:val="CSBody0"/>
            </w:pPr>
            <w:r w:rsidRPr="00D72DB0">
              <w:t>To the extent to which any promotion of the Complex Products is deemed to take place in the Bailiwick of Guernsey, the Complex Products are only being promoted in or from within the Bailiwick of Guernsey either:</w:t>
            </w:r>
          </w:p>
        </w:tc>
        <w:tc>
          <w:tcPr>
            <w:tcW w:w="2644" w:type="pct"/>
            <w:tcBorders>
              <w:left w:val="single" w:sz="4" w:space="0" w:color="auto"/>
            </w:tcBorders>
          </w:tcPr>
          <w:p w:rsidR="00146510" w:rsidRPr="00146510" w:rsidP="00146510">
            <w:pPr>
              <w:pStyle w:val="CSBody0"/>
              <w:rPr>
                <w:lang w:val="de-DE"/>
              </w:rPr>
            </w:pPr>
            <w:r w:rsidRPr="00146510">
              <w:rPr>
                <w:lang w:val="de-DE"/>
              </w:rPr>
              <w:t>Soweit eine Verkaufsförderung der Komplexen Produkte als in der Vogtei Guernsey erfolgt gilt, wird der Verkauf der Komplexen Produkte in der Vogtei Guernsey oder aus der Vogtei Guernsey heraus nur in der folgenden Weise gefördert:</w:t>
            </w:r>
          </w:p>
        </w:tc>
      </w:tr>
      <w:tr w:rsidTr="003330CF">
        <w:tblPrEx>
          <w:tblW w:w="5000" w:type="pct"/>
          <w:tblLayout w:type="fixed"/>
          <w:tblLook w:val="00A0"/>
        </w:tblPrEx>
        <w:tc>
          <w:tcPr>
            <w:tcW w:w="2356" w:type="pct"/>
            <w:tcBorders>
              <w:right w:val="single" w:sz="4" w:space="0" w:color="auto"/>
            </w:tcBorders>
          </w:tcPr>
          <w:p w:rsidR="001E0E28" w:rsidRPr="00146510" w:rsidP="00AD0ABF">
            <w:pPr>
              <w:pStyle w:val="CSManNum9pt"/>
            </w:pPr>
            <w:r w:rsidRPr="00146510">
              <w:t>(a)</w:t>
            </w:r>
            <w:r w:rsidRPr="00146510">
              <w:tab/>
              <w:t>by persons licensed to do so under the Protection of the Investors (Bailiwick of Guernsey) Law, 1987 (as amended) (the "</w:t>
            </w:r>
            <w:r w:rsidRPr="00146510">
              <w:rPr>
                <w:b/>
              </w:rPr>
              <w:t>POI Law</w:t>
            </w:r>
            <w:r w:rsidRPr="00146510">
              <w:t>"); or</w:t>
            </w:r>
          </w:p>
        </w:tc>
        <w:tc>
          <w:tcPr>
            <w:tcW w:w="2644" w:type="pct"/>
            <w:tcBorders>
              <w:left w:val="single" w:sz="4" w:space="0" w:color="auto"/>
            </w:tcBorders>
          </w:tcPr>
          <w:p w:rsidR="001E0E28" w:rsidRPr="00146510" w:rsidP="00AD0ABF">
            <w:pPr>
              <w:pStyle w:val="CSManNum9pt"/>
              <w:rPr>
                <w:bCs/>
                <w:lang w:val="de-DE"/>
              </w:rPr>
            </w:pPr>
            <w:r w:rsidRPr="00146510">
              <w:rPr>
                <w:bCs/>
                <w:lang w:val="de-DE"/>
              </w:rPr>
              <w:t>(a)</w:t>
            </w:r>
            <w:r w:rsidRPr="00146510">
              <w:rPr>
                <w:bCs/>
                <w:lang w:val="de-DE"/>
              </w:rPr>
              <w:tab/>
              <w:t>durch Personen, die über eine entsprechende Erlaubnis nach dem Anlegerschutzgesetz (Vogtei Guernsey) von 1987 in der geltenden Fassung (</w:t>
            </w:r>
            <w:r w:rsidRPr="00146510">
              <w:rPr>
                <w:bCs/>
                <w:i/>
                <w:lang w:val="de-DE"/>
              </w:rPr>
              <w:t>Protection of Investors</w:t>
            </w:r>
            <w:r w:rsidRPr="00146510">
              <w:rPr>
                <w:bCs/>
                <w:lang w:val="de-DE"/>
              </w:rPr>
              <w:t xml:space="preserve"> (</w:t>
            </w:r>
            <w:r w:rsidRPr="00146510">
              <w:rPr>
                <w:bCs/>
                <w:i/>
                <w:lang w:val="de-DE"/>
              </w:rPr>
              <w:t>Bailiwick of Guernsey</w:t>
            </w:r>
            <w:r w:rsidRPr="00146510">
              <w:rPr>
                <w:bCs/>
                <w:lang w:val="de-DE"/>
              </w:rPr>
              <w:t xml:space="preserve">) </w:t>
            </w:r>
            <w:r w:rsidRPr="00146510">
              <w:rPr>
                <w:bCs/>
                <w:i/>
                <w:lang w:val="de-DE"/>
              </w:rPr>
              <w:t>Law, 1987</w:t>
            </w:r>
            <w:r w:rsidRPr="00146510">
              <w:rPr>
                <w:bCs/>
                <w:lang w:val="de-DE"/>
              </w:rPr>
              <w:t>; das "</w:t>
            </w:r>
            <w:r w:rsidRPr="00146510">
              <w:rPr>
                <w:b/>
                <w:bCs/>
                <w:lang w:val="de-DE"/>
              </w:rPr>
              <w:t>Anlegerschutzgesetz</w:t>
            </w:r>
            <w:r w:rsidRPr="00146510">
              <w:rPr>
                <w:bCs/>
                <w:lang w:val="de-DE"/>
              </w:rPr>
              <w:t>") verfügen; oder</w:t>
            </w:r>
          </w:p>
        </w:tc>
      </w:tr>
      <w:tr w:rsidTr="003330CF">
        <w:tblPrEx>
          <w:tblW w:w="5000" w:type="pct"/>
          <w:tblLayout w:type="fixed"/>
          <w:tblLook w:val="00A0"/>
        </w:tblPrEx>
        <w:tc>
          <w:tcPr>
            <w:tcW w:w="2356" w:type="pct"/>
            <w:tcBorders>
              <w:right w:val="single" w:sz="4" w:space="0" w:color="auto"/>
            </w:tcBorders>
          </w:tcPr>
          <w:p w:rsidR="001E0E28" w:rsidRPr="00146510" w:rsidP="00AD0ABF">
            <w:pPr>
              <w:pStyle w:val="CSManNum9pt"/>
            </w:pPr>
            <w:r w:rsidRPr="00146510">
              <w:t>(b)</w:t>
            </w:r>
            <w:r w:rsidRPr="00146510">
              <w:tab/>
              <w:t>to persons licensed under the POI Law, the Insurance Business (Bailiwick of Guernsey) Law, 2002 (as amended), the Banking Supervision (Bailiwick of Guernsey) Law, 1994 or the Regulation of Fiduciaries, Administration Businesses and Company Directors, etc. (Bailiwick of Guernsey) Law, 2000.</w:t>
            </w:r>
          </w:p>
        </w:tc>
        <w:tc>
          <w:tcPr>
            <w:tcW w:w="2644" w:type="pct"/>
            <w:tcBorders>
              <w:left w:val="single" w:sz="4" w:space="0" w:color="auto"/>
            </w:tcBorders>
          </w:tcPr>
          <w:p w:rsidR="001E0E28" w:rsidRPr="00146510" w:rsidP="00AD0ABF">
            <w:pPr>
              <w:pStyle w:val="CSManNum9pt"/>
            </w:pPr>
            <w:r w:rsidRPr="00146510">
              <w:rPr>
                <w:lang w:val="de-DE"/>
              </w:rPr>
              <w:t>(b)</w:t>
            </w:r>
            <w:r w:rsidRPr="00146510">
              <w:rPr>
                <w:lang w:val="de-DE"/>
              </w:rPr>
              <w:tab/>
              <w:t>gegenüber Personen, die über eine Erlaubnis nach dem Anlegerschutzgesetz, dem Gesetz über das Versicherungswesen (Vogtei Guernsey) von 2002 in der geltenden Fassung (</w:t>
            </w:r>
            <w:r w:rsidRPr="00146510">
              <w:rPr>
                <w:i/>
                <w:lang w:val="de-DE"/>
              </w:rPr>
              <w:t xml:space="preserve">Insurance Business </w:t>
            </w:r>
            <w:r w:rsidRPr="00146510">
              <w:rPr>
                <w:lang w:val="de-DE"/>
              </w:rPr>
              <w:t>(</w:t>
            </w:r>
            <w:r w:rsidRPr="00146510">
              <w:rPr>
                <w:i/>
                <w:lang w:val="de-DE"/>
              </w:rPr>
              <w:t>Bailiwick of Guernsey</w:t>
            </w:r>
            <w:r w:rsidRPr="00146510">
              <w:rPr>
                <w:lang w:val="de-DE"/>
              </w:rPr>
              <w:t xml:space="preserve">) </w:t>
            </w:r>
            <w:r w:rsidRPr="00146510">
              <w:rPr>
                <w:i/>
                <w:lang w:val="de-DE"/>
              </w:rPr>
              <w:t>Law, 2002</w:t>
            </w:r>
            <w:r w:rsidRPr="00146510">
              <w:rPr>
                <w:lang w:val="de-DE"/>
              </w:rPr>
              <w:t>), dem Bankaufsichtsgesetz (Vogtei Guernsey) von 1994 (</w:t>
            </w:r>
            <w:r w:rsidRPr="00146510">
              <w:rPr>
                <w:i/>
                <w:lang w:val="de-DE"/>
              </w:rPr>
              <w:t>Banking Supervision</w:t>
            </w:r>
            <w:r w:rsidRPr="00146510">
              <w:rPr>
                <w:lang w:val="de-DE"/>
              </w:rPr>
              <w:t xml:space="preserve"> (</w:t>
            </w:r>
            <w:r w:rsidRPr="00146510">
              <w:rPr>
                <w:i/>
                <w:lang w:val="de-DE"/>
              </w:rPr>
              <w:t>Bailiwick of Guernsey</w:t>
            </w:r>
            <w:r w:rsidRPr="00146510">
              <w:rPr>
                <w:lang w:val="de-DE"/>
              </w:rPr>
              <w:t xml:space="preserve">) Law, 1994) oder dem Gesetz über die Regulierung von Treuhändern, Verwaltungsunternehmen und Geschäftsleitern etc. </w:t>
            </w:r>
            <w:r w:rsidRPr="00146510">
              <w:t>(Vogtei Guernsey) von 2000 (</w:t>
            </w:r>
            <w:r w:rsidRPr="00146510">
              <w:rPr>
                <w:i/>
              </w:rPr>
              <w:t>Regulation of Fiduciaries, Administration Businesses and Company Directors</w:t>
            </w:r>
            <w:r w:rsidRPr="00146510">
              <w:t>, etc. (</w:t>
            </w:r>
            <w:r w:rsidRPr="00146510">
              <w:rPr>
                <w:i/>
              </w:rPr>
              <w:t>Bailiwick of Guernsey</w:t>
            </w:r>
            <w:r w:rsidRPr="00146510">
              <w:t xml:space="preserve">) </w:t>
            </w:r>
            <w:r w:rsidRPr="00146510">
              <w:rPr>
                <w:i/>
              </w:rPr>
              <w:t>Law, 2000</w:t>
            </w:r>
            <w:r w:rsidRPr="00146510">
              <w:t>) verfügen.</w:t>
            </w:r>
          </w:p>
        </w:tc>
      </w:tr>
      <w:tr w:rsidTr="003330CF">
        <w:tblPrEx>
          <w:tblW w:w="5000" w:type="pct"/>
          <w:tblLayout w:type="fixed"/>
          <w:tblLook w:val="00A0"/>
        </w:tblPrEx>
        <w:tc>
          <w:tcPr>
            <w:tcW w:w="2356" w:type="pct"/>
            <w:tcBorders>
              <w:right w:val="single" w:sz="4" w:space="0" w:color="auto"/>
            </w:tcBorders>
          </w:tcPr>
          <w:p w:rsidR="00146510" w:rsidRPr="00714EFE" w:rsidP="00146510">
            <w:pPr>
              <w:pStyle w:val="CSBody0"/>
            </w:pPr>
            <w:r w:rsidRPr="00714EFE">
              <w:t>Promotion is not being made in any other way.</w:t>
            </w:r>
          </w:p>
        </w:tc>
        <w:tc>
          <w:tcPr>
            <w:tcW w:w="2644" w:type="pct"/>
            <w:tcBorders>
              <w:left w:val="single" w:sz="4" w:space="0" w:color="auto"/>
            </w:tcBorders>
          </w:tcPr>
          <w:p w:rsidR="00146510" w:rsidRPr="00146510" w:rsidP="00146510">
            <w:pPr>
              <w:pStyle w:val="CSBody0"/>
              <w:rPr>
                <w:lang w:val="de-DE"/>
              </w:rPr>
            </w:pPr>
            <w:r w:rsidRPr="00146510">
              <w:rPr>
                <w:lang w:val="de-DE"/>
              </w:rPr>
              <w:t>Eine anderweitige Verkaufsförderung erfolgt nicht.</w:t>
            </w:r>
          </w:p>
        </w:tc>
      </w:tr>
      <w:tr w:rsidTr="003330CF">
        <w:tblPrEx>
          <w:tblW w:w="5000" w:type="pct"/>
          <w:tblLayout w:type="fixed"/>
          <w:tblLook w:val="00A0"/>
        </w:tblPrEx>
        <w:tc>
          <w:tcPr>
            <w:tcW w:w="2356" w:type="pct"/>
            <w:tcBorders>
              <w:right w:val="single" w:sz="4" w:space="0" w:color="auto"/>
            </w:tcBorders>
          </w:tcPr>
          <w:p w:rsidR="001E0E28" w:rsidRPr="005B5713" w:rsidP="00AD0ABF">
            <w:pPr>
              <w:pStyle w:val="CSbody0bold"/>
            </w:pPr>
            <w:r w:rsidRPr="005B5713">
              <w:t>Hong Kong</w:t>
            </w:r>
          </w:p>
        </w:tc>
        <w:tc>
          <w:tcPr>
            <w:tcW w:w="2644" w:type="pct"/>
            <w:tcBorders>
              <w:left w:val="single" w:sz="4" w:space="0" w:color="auto"/>
            </w:tcBorders>
          </w:tcPr>
          <w:p w:rsidR="001E0E28" w:rsidRPr="005B5713" w:rsidP="00AD0ABF">
            <w:pPr>
              <w:pStyle w:val="CSbody0bold"/>
            </w:pPr>
            <w:r w:rsidRPr="005B5713">
              <w:t>Hongkong</w:t>
            </w:r>
          </w:p>
        </w:tc>
      </w:tr>
      <w:tr w:rsidTr="003330CF">
        <w:tblPrEx>
          <w:tblW w:w="5000" w:type="pct"/>
          <w:tblLayout w:type="fixed"/>
          <w:tblLook w:val="00A0"/>
        </w:tblPrEx>
        <w:trPr>
          <w:trHeight w:val="57"/>
        </w:trPr>
        <w:tc>
          <w:tcPr>
            <w:tcW w:w="2356" w:type="pct"/>
            <w:tcBorders>
              <w:right w:val="single" w:sz="4" w:space="0" w:color="auto"/>
            </w:tcBorders>
          </w:tcPr>
          <w:p w:rsidR="00146510" w:rsidRPr="009146D9" w:rsidP="00146510">
            <w:pPr>
              <w:pStyle w:val="CSBody0"/>
            </w:pPr>
            <w:r w:rsidRPr="009146D9">
              <w:t xml:space="preserve">The Complex Products (except for Complex Products that are a "structured product" as defined in the Securities and Futures Ordinance (Cap. 571) of Hong Kong) to be issued under this Document have not been offered or sold and will not be offered or sold in Hong Kong, by means of any document, other than (i) to persons whose ordinary business is to buy or sell shares or debentures (whether as principal or agent); or (ii) to "professional investors" as defined in the Securities and Futures Ordinance and any rules made under that Ordinance; or (iii) in other circumstances which do not result in the Document being a "prospectus" as defined in the Companies (Winding Up and Miscellaneous Provisions) Ordinance (Cap. 32) of Hong Kong or which do not constitute an offer to the public within the meaning of that Ordinance. </w:t>
            </w:r>
          </w:p>
        </w:tc>
        <w:tc>
          <w:tcPr>
            <w:tcW w:w="2644" w:type="pct"/>
            <w:tcBorders>
              <w:left w:val="single" w:sz="4" w:space="0" w:color="auto"/>
            </w:tcBorders>
          </w:tcPr>
          <w:p w:rsidR="00146510" w:rsidRPr="00146510" w:rsidP="00146510">
            <w:pPr>
              <w:pStyle w:val="CSBody0"/>
              <w:rPr>
                <w:lang w:val="de-DE"/>
              </w:rPr>
            </w:pPr>
            <w:r w:rsidRPr="00146510">
              <w:rPr>
                <w:lang w:val="de-DE"/>
              </w:rPr>
              <w:t>Die gemäss diesem Dokument zu begebenden Komplexen Produkte (mit Ausnahme solcher Komplexen Produkte, die unter die Definition eines "Strukturierten Produkts" der Hongkonger Verordnung über Wertpapiere und Terminkontrakte (</w:t>
            </w:r>
            <w:r w:rsidRPr="00146510">
              <w:rPr>
                <w:i/>
                <w:lang w:val="de-DE"/>
              </w:rPr>
              <w:t>Securities and Futures Ordinance</w:t>
            </w:r>
            <w:r w:rsidRPr="00146510">
              <w:rPr>
                <w:lang w:val="de-DE"/>
              </w:rPr>
              <w:t>) (Abschnitt 571) fallen) wurden und werden nicht unter Verwendung irgendeines Dokuments in Hongkong angeboten oder verkauft, ausser in Form von Angeboten bzw. Verkäufen (i) an Personen, deren gewöhnliche Geschäftstätigkeit den An- und Verkauf von Aktien und Schuldverschreibungen (für eigene oder fremde Rechnung) umfasst; (ii) an "professionelle Anleger" (</w:t>
            </w:r>
            <w:r w:rsidRPr="00146510">
              <w:rPr>
                <w:i/>
                <w:lang w:val="de-DE"/>
              </w:rPr>
              <w:t>professional investors</w:t>
            </w:r>
            <w:r w:rsidRPr="00146510">
              <w:rPr>
                <w:lang w:val="de-DE"/>
              </w:rPr>
              <w:t>) im Sinne der Definition in der Hongkonger Verordnung über Wertpapiere und Terminkontrakte sowie etwaiger auf dieser Grundlage erlassener Vorschriften; oder (ii) unter sonstigen Umständen, die nicht dazu führen, dass das Dokument als "Prospekt" (</w:t>
            </w:r>
            <w:r w:rsidRPr="00146510">
              <w:rPr>
                <w:i/>
                <w:lang w:val="de-DE"/>
              </w:rPr>
              <w:t>prospectus</w:t>
            </w:r>
            <w:r w:rsidRPr="00146510">
              <w:rPr>
                <w:lang w:val="de-DE"/>
              </w:rPr>
              <w:t>) im Sinne der Hongkonger Verordnung über die Kapitalgesellschaften (Auflösung und sonstige Vorschriften) (</w:t>
            </w:r>
            <w:r w:rsidRPr="00146510">
              <w:rPr>
                <w:i/>
                <w:lang w:val="de-DE"/>
              </w:rPr>
              <w:t>Companies</w:t>
            </w:r>
            <w:r w:rsidRPr="00146510">
              <w:rPr>
                <w:lang w:val="de-DE"/>
              </w:rPr>
              <w:t xml:space="preserve"> (</w:t>
            </w:r>
            <w:r w:rsidRPr="00146510">
              <w:rPr>
                <w:i/>
                <w:lang w:val="de-DE"/>
              </w:rPr>
              <w:t>Winding Up and Miscellaneous Provisions</w:t>
            </w:r>
            <w:r w:rsidRPr="00146510">
              <w:rPr>
                <w:lang w:val="de-DE"/>
              </w:rPr>
              <w:t xml:space="preserve">) </w:t>
            </w:r>
            <w:r w:rsidRPr="00146510">
              <w:rPr>
                <w:i/>
                <w:lang w:val="de-DE"/>
              </w:rPr>
              <w:t>Ordinance</w:t>
            </w:r>
            <w:r w:rsidRPr="00146510">
              <w:rPr>
                <w:lang w:val="de-DE"/>
              </w:rPr>
              <w:t>) (Abschnitt 32) eingestuft wird und die kein öffentliches Angebot im Sinne dieser Verordnung darstellen.</w:t>
            </w:r>
          </w:p>
        </w:tc>
      </w:tr>
      <w:tr w:rsidTr="003330CF">
        <w:tblPrEx>
          <w:tblW w:w="5000" w:type="pct"/>
          <w:tblLayout w:type="fixed"/>
          <w:tblLook w:val="00A0"/>
        </w:tblPrEx>
        <w:trPr>
          <w:trHeight w:val="57"/>
        </w:trPr>
        <w:tc>
          <w:tcPr>
            <w:tcW w:w="2356" w:type="pct"/>
            <w:tcBorders>
              <w:right w:val="single" w:sz="4" w:space="0" w:color="auto"/>
            </w:tcBorders>
          </w:tcPr>
          <w:p w:rsidR="00146510" w:rsidRPr="009146D9" w:rsidP="00146510">
            <w:pPr>
              <w:pStyle w:val="CSBody0"/>
            </w:pPr>
            <w:r w:rsidRPr="00B46553">
              <w:t>No person has issued or had in its possession for the purposes of issue, and no person will issue or have in its possession for the purposes of issue, whether in Hong Kong or elsewhere, any advertisement, invitation or document relating to the Complex Products, which is directed at, or the contents of which are likely to be accessed or read by the public of Hong Kong (except if permitted to do so under the securities laws of Hong Kong) other than with respect to Complex Products which are or are intended to be disposed of only to persons outside Hong Kong or only to "professional investors" as defined in the Securities and Futures Ordinance (Cap. 571) of Hong Kong and any rules made under that Ordinance</w:t>
            </w:r>
            <w:r w:rsidRPr="009146D9">
              <w:t xml:space="preserve">. </w:t>
            </w:r>
          </w:p>
        </w:tc>
        <w:tc>
          <w:tcPr>
            <w:tcW w:w="2644" w:type="pct"/>
            <w:tcBorders>
              <w:left w:val="single" w:sz="4" w:space="0" w:color="auto"/>
            </w:tcBorders>
          </w:tcPr>
          <w:p w:rsidR="00146510" w:rsidRPr="00146510" w:rsidP="00146510">
            <w:pPr>
              <w:pStyle w:val="CSBody0"/>
              <w:rPr>
                <w:lang w:val="de-DE"/>
              </w:rPr>
            </w:pPr>
            <w:r w:rsidRPr="00B46553">
              <w:rPr>
                <w:lang w:val="de-DE"/>
              </w:rPr>
              <w:t>Keine Person hat in Hongkong oder andernorts Werbematerialien, eine Aufforderung oder ein Dokument bezüglich der Komplexen Produkte, die sich an die Öffentlichkeit in Hongkong richten, zu deren Inhalt die Öffentlichkeit in Hongkong voraussichtlich Zugang haben wird oder die die Öffentlichkeit in Hongkong voraussichtlich lesen wird, herausgegeben oder zum Zweck der Herausgabe in ihrem Besitz gehabt oder wird solche Werbematerialien, Aufforderungen oder Dokumente herausgeben oder in ihrem Besitz haben (ausser soweit dies nach den Wertpapiergesetzen von Hongkong zulässig ist), es sei denn, die Werbematerialien, die Aufforderung oder das Dokument betreffen Komplexe Produkte, die ausschliesslich an Personen ausserhalb Hongkongs oder an "professionelle Anleger" (professional investors) im Sinne der Definition in der Hongkonger Verordnung über Wertpapiere und Terminkontrakte (Securities and Futures Ordinance) (Abschnitt 571) sowie etwaiger auf dieser Grundlage erlassener Vorschriften veräussert werden oder veräussert werden sollen</w:t>
            </w:r>
            <w:r w:rsidRPr="00146510">
              <w:rPr>
                <w:lang w:val="de-DE"/>
              </w:rPr>
              <w:t>.</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AD0ABF">
            <w:pPr>
              <w:pStyle w:val="CSbody0bold"/>
            </w:pPr>
            <w:r w:rsidRPr="005B5713">
              <w:t>India</w:t>
            </w:r>
          </w:p>
        </w:tc>
        <w:tc>
          <w:tcPr>
            <w:tcW w:w="2644" w:type="pct"/>
            <w:tcBorders>
              <w:left w:val="single" w:sz="4" w:space="0" w:color="auto"/>
            </w:tcBorders>
          </w:tcPr>
          <w:p w:rsidR="001E0E28" w:rsidRPr="005B5713" w:rsidP="00AD0ABF">
            <w:pPr>
              <w:pStyle w:val="CSbody0bold"/>
            </w:pPr>
            <w:r w:rsidRPr="005B5713">
              <w:t>Indien</w:t>
            </w:r>
          </w:p>
        </w:tc>
      </w:tr>
      <w:tr w:rsidTr="003330CF">
        <w:tblPrEx>
          <w:tblW w:w="5000" w:type="pct"/>
          <w:tblLayout w:type="fixed"/>
          <w:tblLook w:val="00A0"/>
        </w:tblPrEx>
        <w:trPr>
          <w:trHeight w:val="57"/>
        </w:trPr>
        <w:tc>
          <w:tcPr>
            <w:tcW w:w="2356" w:type="pct"/>
            <w:tcBorders>
              <w:right w:val="single" w:sz="4" w:space="0" w:color="auto"/>
            </w:tcBorders>
          </w:tcPr>
          <w:p w:rsidR="00146510" w:rsidRPr="005B6BCD" w:rsidP="00146510">
            <w:pPr>
              <w:pStyle w:val="CSBody0"/>
            </w:pPr>
            <w:r w:rsidRPr="005B6BCD">
              <w:t>No offer or invitation to purchase or subscribe to the Complex Products (the "</w:t>
            </w:r>
            <w:r w:rsidRPr="00146510">
              <w:rPr>
                <w:b/>
              </w:rPr>
              <w:t>Securities</w:t>
            </w:r>
            <w:r w:rsidRPr="005B6BCD">
              <w:t>") is intended to be made through this Document or any amendment or supplement thereto, to the public or any person resident in India. Neither this Document nor any amendment or supplement thereto has been or will be registered as a 'prospectus' or a "private placement offer letter" under the provisions of the (Indian) Companies Act, 2013, nor has this Document nor any amendment or supplement thereto been reviewed, approved, or recommended by the Registrar of Companies or the Securities and Exchange Board of India or any other Indian regulatory authority.</w:t>
            </w:r>
          </w:p>
        </w:tc>
        <w:tc>
          <w:tcPr>
            <w:tcW w:w="2644" w:type="pct"/>
            <w:tcBorders>
              <w:left w:val="single" w:sz="4" w:space="0" w:color="auto"/>
            </w:tcBorders>
          </w:tcPr>
          <w:p w:rsidR="00146510" w:rsidRPr="00146510" w:rsidP="00146510">
            <w:pPr>
              <w:pStyle w:val="CSBody0"/>
              <w:rPr>
                <w:lang w:val="de-DE"/>
              </w:rPr>
            </w:pPr>
            <w:r w:rsidRPr="00146510">
              <w:rPr>
                <w:lang w:val="de-DE"/>
              </w:rPr>
              <w:t>Mit diesem Dokument oder einer etwaigen Änderungsfassung oder einem etwaigen Nachtrag dazu ist kein öffentliches Angebot und keine öffentliche Aufforderung zum Kauf oder zur Zeichnung der Komplexen Produkte (die "</w:t>
            </w:r>
            <w:r w:rsidRPr="00146510">
              <w:rPr>
                <w:b/>
                <w:lang w:val="de-DE"/>
              </w:rPr>
              <w:t>Wertpapiere</w:t>
            </w:r>
            <w:r w:rsidRPr="00146510">
              <w:rPr>
                <w:lang w:val="de-DE"/>
              </w:rPr>
              <w:t>") in Indien oder gegenüber in Indien wohnhaften Personen beabsichtigt. Weder dieses Dokument noch eine etwaige Änderungsfassung oder ein etwaiger Nachtrag dazu wurde oder wird als Prospekt (</w:t>
            </w:r>
            <w:r w:rsidRPr="00146510">
              <w:rPr>
                <w:i/>
                <w:lang w:val="de-DE"/>
              </w:rPr>
              <w:t>prospectus</w:t>
            </w:r>
            <w:r w:rsidRPr="00146510">
              <w:rPr>
                <w:lang w:val="de-DE"/>
              </w:rPr>
              <w:t>) noch als "Privatplatzierungs-Angebotsschreiben" (</w:t>
            </w:r>
            <w:r w:rsidRPr="00146510">
              <w:rPr>
                <w:i/>
                <w:lang w:val="de-DE"/>
              </w:rPr>
              <w:t>private placement offer letter</w:t>
            </w:r>
            <w:r w:rsidRPr="00146510">
              <w:rPr>
                <w:lang w:val="de-DE"/>
              </w:rPr>
              <w:t>) im Sinne der Bestimmungen des (Indischen) Gesetzes über die Kapitalgesellschaften von 2013 (</w:t>
            </w:r>
            <w:r w:rsidRPr="00146510">
              <w:rPr>
                <w:i/>
                <w:lang w:val="de-DE"/>
              </w:rPr>
              <w:t>Indian</w:t>
            </w:r>
            <w:r w:rsidRPr="00146510">
              <w:rPr>
                <w:lang w:val="de-DE"/>
              </w:rPr>
              <w:t xml:space="preserve">) </w:t>
            </w:r>
            <w:r w:rsidRPr="00146510">
              <w:rPr>
                <w:i/>
                <w:lang w:val="de-DE"/>
              </w:rPr>
              <w:t>Companies Act, 2013</w:t>
            </w:r>
            <w:r w:rsidRPr="00146510">
              <w:rPr>
                <w:lang w:val="de-DE"/>
              </w:rPr>
              <w:t>) registriert, und weder dieses Dokument noch eine etwaige Änderungsfassung oder ein etwaiger Nachtrag dazu wurde von der indischen Handelsregisterbehörde (</w:t>
            </w:r>
            <w:r w:rsidRPr="00146510">
              <w:rPr>
                <w:i/>
                <w:lang w:val="de-DE"/>
              </w:rPr>
              <w:t>Registrar of Companies</w:t>
            </w:r>
            <w:r w:rsidRPr="00146510">
              <w:rPr>
                <w:lang w:val="de-DE"/>
              </w:rPr>
              <w:t>) oder der Wertpapier- und Börsenaufsicht (</w:t>
            </w:r>
            <w:r w:rsidRPr="00146510">
              <w:rPr>
                <w:i/>
                <w:lang w:val="de-DE"/>
              </w:rPr>
              <w:t>Securities and Exchange Board</w:t>
            </w:r>
            <w:r w:rsidRPr="00146510">
              <w:rPr>
                <w:lang w:val="de-DE"/>
              </w:rPr>
              <w:t>) oder einer anderen indischen Aufsichtsbehörde geprüft oder gebilligt, und es wurde von diesen Stellen diesbezüglich auch keine Empfehlung ausgesprochen.</w:t>
            </w:r>
          </w:p>
        </w:tc>
      </w:tr>
      <w:tr w:rsidTr="003330CF">
        <w:tblPrEx>
          <w:tblW w:w="5000" w:type="pct"/>
          <w:tblLayout w:type="fixed"/>
          <w:tblLook w:val="00A0"/>
        </w:tblPrEx>
        <w:trPr>
          <w:trHeight w:val="57"/>
        </w:trPr>
        <w:tc>
          <w:tcPr>
            <w:tcW w:w="2356" w:type="pct"/>
            <w:tcBorders>
              <w:right w:val="single" w:sz="4" w:space="0" w:color="auto"/>
            </w:tcBorders>
          </w:tcPr>
          <w:p w:rsidR="00146510" w:rsidRPr="005B6BCD" w:rsidP="00146510">
            <w:pPr>
              <w:pStyle w:val="CSBody0"/>
            </w:pPr>
            <w:r w:rsidRPr="005B6BCD">
              <w:t>Accordingly, no person may offer, solicit or make the Securities the subject of an invitation for subscription or purchase, nor may this Document or any amendment or supplement thereto or any other document, material, notice, circular or advertisement in connection with the offer or sale or invitation for subscription or purchase of any Securities ("</w:t>
            </w:r>
            <w:r w:rsidRPr="00146510">
              <w:rPr>
                <w:b/>
              </w:rPr>
              <w:t>Offer</w:t>
            </w:r>
            <w:r w:rsidRPr="005B6BCD">
              <w:t>") be circulated or distributed whether directly or indirectly to, or for the account or benefit of, any person resident in India.</w:t>
            </w:r>
          </w:p>
        </w:tc>
        <w:tc>
          <w:tcPr>
            <w:tcW w:w="2644" w:type="pct"/>
            <w:tcBorders>
              <w:left w:val="single" w:sz="4" w:space="0" w:color="auto"/>
            </w:tcBorders>
          </w:tcPr>
          <w:p w:rsidR="00146510" w:rsidRPr="00146510" w:rsidP="00146510">
            <w:pPr>
              <w:pStyle w:val="CSBody0"/>
              <w:rPr>
                <w:lang w:val="de-DE"/>
              </w:rPr>
            </w:pPr>
            <w:r w:rsidRPr="00146510">
              <w:rPr>
                <w:lang w:val="de-DE"/>
              </w:rPr>
              <w:t>Folglich darf keine Person die Wertpapiere anbieten oder zum Gegenstand einer Aufforderung zur Zeichnung oder zum Kauf machen, und weder dieses Dokument noch eine etwaige Änderungsfassung oder ein etwaiger Nachtrag dazu oder irgendwelche anderen Dokumente, Materialien, Mitteilungen, Rundschreiben oder Werbeunterlagen dürfen im Zusammenhang mit dem Angebot oder Verkauf oder mit der Aufforderung zur Zeichnung oder zum Kauf der Wertpapiere (das "</w:t>
            </w:r>
            <w:r w:rsidRPr="00146510">
              <w:rPr>
                <w:b/>
                <w:lang w:val="de-DE"/>
              </w:rPr>
              <w:t>Angebot</w:t>
            </w:r>
            <w:r w:rsidRPr="00146510">
              <w:rPr>
                <w:lang w:val="de-DE"/>
              </w:rPr>
              <w:t>") direkt oder indirekt an in Indien ansässige Personen oder für deren Rechnung oder zu deren Gunsten verbreitet oder verteilt werden.</w:t>
            </w:r>
          </w:p>
        </w:tc>
      </w:tr>
      <w:tr w:rsidTr="003330CF">
        <w:tblPrEx>
          <w:tblW w:w="5000" w:type="pct"/>
          <w:tblLayout w:type="fixed"/>
          <w:tblLook w:val="00A0"/>
        </w:tblPrEx>
        <w:trPr>
          <w:trHeight w:val="57"/>
        </w:trPr>
        <w:tc>
          <w:tcPr>
            <w:tcW w:w="2356" w:type="pct"/>
            <w:tcBorders>
              <w:right w:val="single" w:sz="4" w:space="0" w:color="auto"/>
            </w:tcBorders>
          </w:tcPr>
          <w:p w:rsidR="00146510" w:rsidRPr="005B6BCD" w:rsidP="00146510">
            <w:pPr>
              <w:pStyle w:val="CSBody0"/>
            </w:pPr>
            <w:r w:rsidRPr="005B6BCD">
              <w:t>Any Offer and sale of Securities to a person in India shall be made only in compliance with all applicable Indian laws including, without limitation, the (Indian) Companies Act, 2013, the Foreign Exchange Management Act, 1999, any guidelines, rules, regulations, circulars, notifications, etc. issued by the Reserve Bank of India.</w:t>
            </w:r>
          </w:p>
        </w:tc>
        <w:tc>
          <w:tcPr>
            <w:tcW w:w="2644" w:type="pct"/>
            <w:tcBorders>
              <w:left w:val="single" w:sz="4" w:space="0" w:color="auto"/>
            </w:tcBorders>
          </w:tcPr>
          <w:p w:rsidR="00146510" w:rsidRPr="00146510" w:rsidP="00146510">
            <w:pPr>
              <w:pStyle w:val="CSBody0"/>
              <w:rPr>
                <w:lang w:val="de-DE"/>
              </w:rPr>
            </w:pPr>
            <w:r w:rsidRPr="00146510">
              <w:rPr>
                <w:lang w:val="de-DE"/>
              </w:rPr>
              <w:t>Jedes Angebot und jeder Verkauf von Wertpapieren an eine Person in Indien darf nur unter Einhaltung aller anwendbaren indischen Gesetze, einschliesslich (ohne hierauf beschränkt zu sein) des (Indischen) Gesetzes über die Kapitalgesellschaften von 2013, des Devisenverwaltungsgesetzes von 1999 (</w:t>
            </w:r>
            <w:r w:rsidRPr="00146510">
              <w:rPr>
                <w:i/>
                <w:lang w:val="de-DE"/>
              </w:rPr>
              <w:t>Foreign Exchange Management Act, 1999</w:t>
            </w:r>
            <w:r w:rsidRPr="00146510">
              <w:rPr>
                <w:lang w:val="de-DE"/>
              </w:rPr>
              <w:t>) sowie etwaiger Richtlinien, Regeln, Vorschriften, Rundschreiben, Mitteilungen usw. der indischen Zentralbank, erfolgen.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9B67A1">
            <w:pPr>
              <w:pStyle w:val="CSbody0bold"/>
            </w:pPr>
            <w:r w:rsidRPr="005B5713">
              <w:t>Indonesia</w:t>
            </w:r>
          </w:p>
        </w:tc>
        <w:tc>
          <w:tcPr>
            <w:tcW w:w="2644" w:type="pct"/>
            <w:tcBorders>
              <w:left w:val="single" w:sz="4" w:space="0" w:color="auto"/>
            </w:tcBorders>
          </w:tcPr>
          <w:p w:rsidR="001E0E28" w:rsidRPr="005B5713" w:rsidP="009B67A1">
            <w:pPr>
              <w:pStyle w:val="CSbody0bold"/>
            </w:pPr>
            <w:r w:rsidRPr="005B5713">
              <w:t>Indonesien</w:t>
            </w:r>
          </w:p>
        </w:tc>
      </w:tr>
      <w:tr w:rsidTr="003330CF">
        <w:tblPrEx>
          <w:tblW w:w="5000" w:type="pct"/>
          <w:tblLayout w:type="fixed"/>
          <w:tblLook w:val="00A0"/>
        </w:tblPrEx>
        <w:trPr>
          <w:trHeight w:val="57"/>
        </w:trPr>
        <w:tc>
          <w:tcPr>
            <w:tcW w:w="2356" w:type="pct"/>
            <w:tcBorders>
              <w:right w:val="single" w:sz="4" w:space="0" w:color="auto"/>
            </w:tcBorders>
          </w:tcPr>
          <w:p w:rsidR="00146510" w:rsidRPr="005A713B" w:rsidP="00146510">
            <w:pPr>
              <w:pStyle w:val="CSBody0"/>
            </w:pPr>
            <w:r w:rsidRPr="005A713B">
              <w:t>The Complex Products have not been offered or sold and will not be offered or sold in the Republic of Indonesia or to Indonesian nationals, corporations or citizens, wherever they are domiciled or to Indonesian residents, including by way of invitation, offering or advertisement, and neither the Document nor any other Offering materials relating to the Complex Products have been distributed, or will be distributed, in Indonesia or to Indonesian nationals, corporations or residents in a manner which constitutes a public offering of the Complex Products under the laws or regulations of the Republic of Indonesia. The Complex Products and this Document are not authorised by the central bank (Bank Indonesia) for their distribution or offering through any banking institution in Indonesia.</w:t>
            </w:r>
          </w:p>
        </w:tc>
        <w:tc>
          <w:tcPr>
            <w:tcW w:w="2644" w:type="pct"/>
            <w:tcBorders>
              <w:left w:val="single" w:sz="4" w:space="0" w:color="auto"/>
            </w:tcBorders>
          </w:tcPr>
          <w:p w:rsidR="00146510" w:rsidRPr="00146510" w:rsidP="00146510">
            <w:pPr>
              <w:pStyle w:val="CSBody0"/>
              <w:rPr>
                <w:lang w:val="de-DE"/>
              </w:rPr>
            </w:pPr>
            <w:r w:rsidRPr="00146510">
              <w:rPr>
                <w:lang w:val="de-DE"/>
              </w:rPr>
              <w:t>Die Komplexen Produkte wurden und werden weder in der Republik Indonesien noch Indonesischen Staatsangehörigen, Unternehmen, Bürgern (wo auch immer sie ansässig sind) oder Anwohnern angeboten oder verkauft, einschliesslich im Wege einer Einladung, eines Angebots oder einer Werbung, und weder das Dokument noch irgendwelche anderen Angebotsmaterialien in Bezug auf die Komplexen Produkte wurden oder werden in Indonesien oder an Indonesische Staatsangehörige, Unternehmen oder Anwohner in einer Weise vertrieben, die ein öffentliches Angebot von Komplexen Produkten gemäss den Gesetzen oder Vorschriften der Republik von Indonesien darstellt. Die Komplexen Produkte und dieses Dokument wurden nicht durch die Zentralbank (</w:t>
            </w:r>
            <w:r w:rsidRPr="00757FDD">
              <w:rPr>
                <w:i/>
                <w:lang w:val="de-DE"/>
              </w:rPr>
              <w:t>Bank Indonesia</w:t>
            </w:r>
            <w:r w:rsidRPr="00146510">
              <w:rPr>
                <w:lang w:val="de-DE"/>
              </w:rPr>
              <w:t>) zum Vertrieb oder zum Angebot über ein Kreditinstitut in Indonesien zugelassen.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9B67A1">
            <w:pPr>
              <w:pStyle w:val="CSbody0bold"/>
            </w:pPr>
            <w:r w:rsidRPr="005B5713">
              <w:t>Israel</w:t>
            </w:r>
          </w:p>
        </w:tc>
        <w:tc>
          <w:tcPr>
            <w:tcW w:w="2644" w:type="pct"/>
            <w:tcBorders>
              <w:left w:val="single" w:sz="4" w:space="0" w:color="auto"/>
            </w:tcBorders>
          </w:tcPr>
          <w:p w:rsidR="001E0E28" w:rsidRPr="005B5713" w:rsidP="009B67A1">
            <w:pPr>
              <w:pStyle w:val="CSbody0bold"/>
            </w:pPr>
            <w:r w:rsidRPr="005B5713">
              <w:t>Israel</w:t>
            </w:r>
          </w:p>
        </w:tc>
      </w:tr>
      <w:tr w:rsidTr="003330CF">
        <w:tblPrEx>
          <w:tblW w:w="5000" w:type="pct"/>
          <w:tblLayout w:type="fixed"/>
          <w:tblLook w:val="00A0"/>
        </w:tblPrEx>
        <w:trPr>
          <w:trHeight w:val="57"/>
        </w:trPr>
        <w:tc>
          <w:tcPr>
            <w:tcW w:w="2356" w:type="pct"/>
            <w:tcBorders>
              <w:right w:val="single" w:sz="4" w:space="0" w:color="auto"/>
            </w:tcBorders>
          </w:tcPr>
          <w:p w:rsidR="006C4766" w:rsidRPr="00BA20EF" w:rsidP="006C4766">
            <w:pPr>
              <w:pStyle w:val="CSBody0"/>
            </w:pPr>
            <w:r w:rsidRPr="00BA20EF">
              <w:t>No action has been or will be taken in Israel that would permit an offering of the Complex Products or a distribution of this Document to the public in Israel and this Document shall not be seen as a public offering as defined under the Israeli Securities Law, 1968 or the Joint Investment Trust Law, 1994. In particular, this Document has not been reviewed or approved by the Israel Securities Authority.</w:t>
            </w:r>
          </w:p>
        </w:tc>
        <w:tc>
          <w:tcPr>
            <w:tcW w:w="2644" w:type="pct"/>
            <w:tcBorders>
              <w:left w:val="single" w:sz="4" w:space="0" w:color="auto"/>
            </w:tcBorders>
          </w:tcPr>
          <w:p w:rsidR="006C4766" w:rsidRPr="006C4766" w:rsidP="006C4766">
            <w:pPr>
              <w:pStyle w:val="CSBody0"/>
              <w:rPr>
                <w:lang w:val="de-DE"/>
              </w:rPr>
            </w:pPr>
            <w:r w:rsidRPr="006C4766">
              <w:rPr>
                <w:lang w:val="de-DE"/>
              </w:rPr>
              <w:t>Es wurden und werden in Israel keine Massnahmen ergriffen, die ein öffentliches Angebot der Komplexen Produkte oder eine öffentliche Verbreitung dieses Dokuments in Israel gestatten würden, und dieses Dokument gilt nicht als öffentliches Angebot im Sinne des israelischen Wertpapiergesetzes von 1968 oder des israelischen Gesetzes über Gemeinsame Investmenttrusts von 1994. Insbesondere wurde dieses Dokument nicht von der Israelischen Wertpapieraufsicht (</w:t>
            </w:r>
            <w:r w:rsidRPr="006C4766">
              <w:rPr>
                <w:i/>
                <w:lang w:val="de-DE"/>
              </w:rPr>
              <w:t>Israel Securities Authority</w:t>
            </w:r>
            <w:r w:rsidRPr="006C4766">
              <w:rPr>
                <w:lang w:val="de-DE"/>
              </w:rPr>
              <w:t>) geprüft oder gebilligt.</w:t>
            </w:r>
          </w:p>
        </w:tc>
      </w:tr>
      <w:tr w:rsidTr="003330CF">
        <w:tblPrEx>
          <w:tblW w:w="5000" w:type="pct"/>
          <w:tblLayout w:type="fixed"/>
          <w:tblLook w:val="00A0"/>
        </w:tblPrEx>
        <w:trPr>
          <w:trHeight w:val="57"/>
        </w:trPr>
        <w:tc>
          <w:tcPr>
            <w:tcW w:w="2356" w:type="pct"/>
            <w:tcBorders>
              <w:right w:val="single" w:sz="4" w:space="0" w:color="auto"/>
            </w:tcBorders>
          </w:tcPr>
          <w:p w:rsidR="006C4766" w:rsidRPr="00BA20EF" w:rsidP="006C4766">
            <w:pPr>
              <w:pStyle w:val="CSBody0"/>
            </w:pPr>
            <w:r w:rsidRPr="00BA20EF">
              <w:t>Accordingly, the Complex Products shall only be sold in Israel to investors of the type listed in the First Schedule to Israel’s Securities Law, 1968 (an "exempt investor"). Each investor shall be required to warrant, as a condition precedent to purchasing the Complex Products, that it is an exempt investor, that it is aware of the implications of being treated as an exempt investor, and consents to such treatment. Further, each investor shall be required to warrant, as a condition precedent to purchasing the Complex Products, that it is acquiring the Complex Products for its own account and without intent to market, re-sell, or otherwise distribute the Complex Products to any other person.</w:t>
            </w:r>
          </w:p>
        </w:tc>
        <w:tc>
          <w:tcPr>
            <w:tcW w:w="2644" w:type="pct"/>
            <w:tcBorders>
              <w:left w:val="single" w:sz="4" w:space="0" w:color="auto"/>
            </w:tcBorders>
          </w:tcPr>
          <w:p w:rsidR="006C4766" w:rsidRPr="006C4766" w:rsidP="006C4766">
            <w:pPr>
              <w:pStyle w:val="CSBody0"/>
              <w:rPr>
                <w:lang w:val="de-DE"/>
              </w:rPr>
            </w:pPr>
            <w:r w:rsidRPr="006C4766">
              <w:rPr>
                <w:lang w:val="de-DE"/>
              </w:rPr>
              <w:t>Folglich dürfen die Komplexen Produkte in Israel nur an Anleger verkauft werden, die in die im Ersten Anhang zum israelischen Wertpapiergesetz von 1968 genannte Kategorie fallen (ein "befreiter Anleger"). Es ist eine zu erfüllende Bedingung für den Kauf Komplexer Produkte, dass jeder Anleger eine Zusicherung dahingehend abgibt, dass er ein befreiter Anleger ist, dass ihm die Folgen einer Behandlung als befreiter Anleger bekannt sind und er einer solchen Behandlung zustimmt. Es ist darüber hinaus ebenfalls eine zu erfüllende Bedingung für den Kauf Komplexer Produkte, dass jeder Anleger eine Zusicherung dahingehend abgibt, dass er die Komplexen Produkte für eigene Rechnung erwirbt und nicht beabsichtigt, sie zu vermarkten, weiterzuverkaufen oder anderweitig an Dritte weiterzugeben.</w:t>
            </w:r>
          </w:p>
        </w:tc>
      </w:tr>
      <w:tr w:rsidTr="003330CF">
        <w:tblPrEx>
          <w:tblW w:w="5000" w:type="pct"/>
          <w:tblLayout w:type="fixed"/>
          <w:tblLook w:val="00A0"/>
        </w:tblPrEx>
        <w:trPr>
          <w:trHeight w:val="57"/>
        </w:trPr>
        <w:tc>
          <w:tcPr>
            <w:tcW w:w="2356" w:type="pct"/>
            <w:tcBorders>
              <w:right w:val="single" w:sz="4" w:space="0" w:color="auto"/>
            </w:tcBorders>
          </w:tcPr>
          <w:p w:rsidR="006C4766" w:rsidRPr="00BA20EF" w:rsidP="006C4766">
            <w:pPr>
              <w:pStyle w:val="CSBody0"/>
            </w:pPr>
            <w:r w:rsidRPr="00BA20EF">
              <w:t>Credit Suisse is not licensed under the Israeli Regulation of Investment Advice, Investment Marketing and Portfolio Management Law, 1995, and this Document shall not constitute Investment Advice or Investment Marketing as defined therein. In making an investment decision, investors must only rely on their own examination of the Complex Products, including the merits and risks involved, and should seek advice from appropriate advisors with respect to the legal, accounting, tax and financial ramifications of purchasing the Complex Products.</w:t>
            </w:r>
          </w:p>
        </w:tc>
        <w:tc>
          <w:tcPr>
            <w:tcW w:w="2644" w:type="pct"/>
            <w:tcBorders>
              <w:left w:val="single" w:sz="4" w:space="0" w:color="auto"/>
            </w:tcBorders>
          </w:tcPr>
          <w:p w:rsidR="006C4766" w:rsidRPr="006C4766" w:rsidP="006C4766">
            <w:pPr>
              <w:pStyle w:val="CSBody0"/>
              <w:rPr>
                <w:lang w:val="de-DE"/>
              </w:rPr>
            </w:pPr>
            <w:r w:rsidRPr="006C4766">
              <w:rPr>
                <w:lang w:val="de-DE"/>
              </w:rPr>
              <w:t>Die Credit Suisse verfügt über keine Erlaubnis nach dem israelischen Gesetz von 1995 zur Regulierung von Anlageberatung, Investmentmarketing und Portfolioverwaltung, und dieses Dokument stellt keine Anlageberatung und kein Investmentmarketing im Sinne dieses Gesetzes dar. Bei ihrer Anlageentscheidung müssen Anleger selbst eine Prüfung der Komplexen Produkte, einschliesslich der mit ihnen verbundenen Leistungen und Risiken, vornehmen und sollten sich hinsichtlich der rechtlichen, bilanziellen, steuerlichen und finanziellen Folgen eines Erwerbs der Komplexen Produkte von fachkundigen Beratern beraten lassen.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9B67A1">
            <w:pPr>
              <w:pStyle w:val="CSbody0bold"/>
            </w:pPr>
            <w:r w:rsidRPr="005B5713">
              <w:t>Italy</w:t>
            </w:r>
          </w:p>
        </w:tc>
        <w:tc>
          <w:tcPr>
            <w:tcW w:w="2644" w:type="pct"/>
            <w:tcBorders>
              <w:left w:val="single" w:sz="4" w:space="0" w:color="auto"/>
            </w:tcBorders>
          </w:tcPr>
          <w:p w:rsidR="001E0E28" w:rsidRPr="005B5713" w:rsidP="009B67A1">
            <w:pPr>
              <w:pStyle w:val="CSbody0bold"/>
            </w:pPr>
            <w:r w:rsidRPr="005B5713">
              <w:t>Italien</w:t>
            </w:r>
          </w:p>
        </w:tc>
      </w:tr>
      <w:tr w:rsidTr="003330CF">
        <w:tblPrEx>
          <w:tblW w:w="5000" w:type="pct"/>
          <w:tblLayout w:type="fixed"/>
          <w:tblLook w:val="00A0"/>
        </w:tblPrEx>
        <w:trPr>
          <w:trHeight w:val="57"/>
        </w:trPr>
        <w:tc>
          <w:tcPr>
            <w:tcW w:w="2356" w:type="pct"/>
            <w:tcBorders>
              <w:right w:val="single" w:sz="4" w:space="0" w:color="auto"/>
            </w:tcBorders>
          </w:tcPr>
          <w:p w:rsidR="006C4766" w:rsidRPr="003606FD" w:rsidP="006C4766">
            <w:pPr>
              <w:pStyle w:val="CSBody0"/>
            </w:pPr>
            <w:r w:rsidRPr="003606FD">
              <w:t>Unless it is specified within the applicable Final Terms that a non-exempt offer may be made in Italy, the offering of the Complex Products has not been registered pursuant to Italian securities legislation and, accordingly, no Complex Products may be offered, sold or delivered, nor may copies of the Base Prospectus (including the applicable Final Terms) or of any other document relating to the Complex Products be distributed in the Republic of Italy, except:</w:t>
            </w:r>
          </w:p>
        </w:tc>
        <w:tc>
          <w:tcPr>
            <w:tcW w:w="2644" w:type="pct"/>
            <w:tcBorders>
              <w:left w:val="single" w:sz="4" w:space="0" w:color="auto"/>
            </w:tcBorders>
          </w:tcPr>
          <w:p w:rsidR="006C4766" w:rsidRPr="006C4766" w:rsidP="006C4766">
            <w:pPr>
              <w:pStyle w:val="CSBody0"/>
              <w:rPr>
                <w:lang w:val="de-DE"/>
              </w:rPr>
            </w:pPr>
            <w:r w:rsidRPr="006C4766">
              <w:rPr>
                <w:lang w:val="de-DE"/>
              </w:rPr>
              <w:t>Ausser soweit in den anwendbaren Endgültigen Bedingungen angegeben ist, dass ein nicht einer Befreiung unterliegendes Angebot in Italien erfolgen kann, ist das Angebot der Komplexen Produkte nicht nach dem italienischen Wertpapierrecht registriert worden, sodass folglich keine Komplexen Produkte angeboten, verkauft oder ausgeliefert werden dürfen und auch keine Kopien des Basisprospekts (einschliesslich der anwendbaren Endgültigen Bedingungen) oder anderer Unterlagen, die sich auf die Komplexen Produkte beziehen, in der Republik Italien verteilt werden dürfen, ausser:</w:t>
            </w:r>
          </w:p>
        </w:tc>
      </w:tr>
      <w:tr w:rsidTr="003330CF">
        <w:tblPrEx>
          <w:tblW w:w="5000" w:type="pct"/>
          <w:tblLayout w:type="fixed"/>
          <w:tblLook w:val="00A0"/>
        </w:tblPrEx>
        <w:trPr>
          <w:trHeight w:val="57"/>
        </w:trPr>
        <w:tc>
          <w:tcPr>
            <w:tcW w:w="2356" w:type="pct"/>
            <w:tcBorders>
              <w:right w:val="single" w:sz="4" w:space="0" w:color="auto"/>
            </w:tcBorders>
          </w:tcPr>
          <w:p w:rsidR="001E0E28" w:rsidRPr="006C4766" w:rsidP="009B67A1">
            <w:pPr>
              <w:pStyle w:val="CSManNum9pt"/>
            </w:pPr>
            <w:r w:rsidRPr="006C4766">
              <w:t>(a)</w:t>
            </w:r>
            <w:r w:rsidRPr="006C4766">
              <w:tab/>
              <w:t>to qualified investors (investitori qualificati), as defined pursuant to Article 100 of Legislative Decree No. 58 of 24 February 1998, as amended (the "</w:t>
            </w:r>
            <w:r w:rsidRPr="006C4766">
              <w:rPr>
                <w:b/>
              </w:rPr>
              <w:t>Financial Services Act</w:t>
            </w:r>
            <w:r w:rsidRPr="006C4766">
              <w:t>") and Article 34-ter, first paragraph, letter b) of CONSOB Regulation No. 11971 of 14 May 1999, as amended from time to time (the "</w:t>
            </w:r>
            <w:r w:rsidRPr="006C4766">
              <w:rPr>
                <w:b/>
              </w:rPr>
              <w:t>Regulation No. 11971</w:t>
            </w:r>
            <w:r w:rsidRPr="006C4766">
              <w:t>"); or</w:t>
            </w:r>
          </w:p>
        </w:tc>
        <w:tc>
          <w:tcPr>
            <w:tcW w:w="2644" w:type="pct"/>
            <w:tcBorders>
              <w:left w:val="single" w:sz="4" w:space="0" w:color="auto"/>
            </w:tcBorders>
          </w:tcPr>
          <w:p w:rsidR="001E0E28" w:rsidRPr="006C4766" w:rsidP="009B67A1">
            <w:pPr>
              <w:pStyle w:val="CSManNum9pt"/>
              <w:rPr>
                <w:lang w:val="de-DE"/>
              </w:rPr>
            </w:pPr>
            <w:r w:rsidRPr="006C4766">
              <w:rPr>
                <w:lang w:val="de-DE"/>
              </w:rPr>
              <w:t>(a)</w:t>
            </w:r>
            <w:r w:rsidRPr="006C4766">
              <w:rPr>
                <w:lang w:val="de-DE"/>
              </w:rPr>
              <w:tab/>
              <w:t>an qualifizierte Investoren (investitori qualificati) wie in Art. 100 der Gesetzesverordnung Nr. 58 vom 24. Februar 1998 in der geltenden Fassung (das "</w:t>
            </w:r>
            <w:r w:rsidRPr="006C4766">
              <w:rPr>
                <w:b/>
                <w:lang w:val="de-DE"/>
              </w:rPr>
              <w:t>Finanzdienstleistungsgesetz</w:t>
            </w:r>
            <w:r w:rsidRPr="006C4766">
              <w:rPr>
                <w:lang w:val="de-DE"/>
              </w:rPr>
              <w:t>") und Artikel 34-ter, erster Absatz, Buchstabe b) der CONSOB Regulierung Nr. 11971 vom 14. Mai 1999 in der jeweils geltenden Fassung (die "</w:t>
            </w:r>
            <w:r w:rsidRPr="006C4766">
              <w:rPr>
                <w:b/>
                <w:lang w:val="de-DE"/>
              </w:rPr>
              <w:t>Regulierung Nr. 11971</w:t>
            </w:r>
            <w:r w:rsidRPr="006C4766">
              <w:rPr>
                <w:lang w:val="de-DE"/>
              </w:rPr>
              <w:t>") definiert; oder</w:t>
            </w:r>
          </w:p>
        </w:tc>
      </w:tr>
      <w:tr w:rsidTr="003330CF">
        <w:tblPrEx>
          <w:tblW w:w="5000" w:type="pct"/>
          <w:tblLayout w:type="fixed"/>
          <w:tblLook w:val="00A0"/>
        </w:tblPrEx>
        <w:trPr>
          <w:trHeight w:val="57"/>
        </w:trPr>
        <w:tc>
          <w:tcPr>
            <w:tcW w:w="2356" w:type="pct"/>
            <w:tcBorders>
              <w:right w:val="single" w:sz="4" w:space="0" w:color="auto"/>
            </w:tcBorders>
          </w:tcPr>
          <w:p w:rsidR="001E0E28" w:rsidRPr="006C4766" w:rsidP="009B67A1">
            <w:pPr>
              <w:pStyle w:val="CSManNum9pt"/>
              <w:rPr>
                <w:bCs/>
              </w:rPr>
            </w:pPr>
            <w:r w:rsidRPr="006C4766">
              <w:rPr>
                <w:bCs/>
              </w:rPr>
              <w:t>(b)</w:t>
            </w:r>
            <w:r w:rsidRPr="006C4766">
              <w:rPr>
                <w:bCs/>
              </w:rPr>
              <w:tab/>
              <w:t>in other circumstances which are exempted from the rules on public offerings pursuant to Article 100 of the Financial Services Act and Article 34-ter of Regulation No. 11971.</w:t>
            </w:r>
          </w:p>
        </w:tc>
        <w:tc>
          <w:tcPr>
            <w:tcW w:w="2644" w:type="pct"/>
            <w:tcBorders>
              <w:left w:val="single" w:sz="4" w:space="0" w:color="auto"/>
            </w:tcBorders>
          </w:tcPr>
          <w:p w:rsidR="001E0E28" w:rsidRPr="006C4766" w:rsidP="009B67A1">
            <w:pPr>
              <w:pStyle w:val="CSManNum9pt"/>
              <w:rPr>
                <w:lang w:val="de-DE"/>
              </w:rPr>
            </w:pPr>
            <w:r w:rsidRPr="006C4766">
              <w:rPr>
                <w:lang w:val="de-DE"/>
              </w:rPr>
              <w:t>(b)</w:t>
            </w:r>
            <w:r w:rsidRPr="006C4766">
              <w:rPr>
                <w:lang w:val="de-DE"/>
              </w:rPr>
              <w:tab/>
              <w:t>unter anderen Umständen, für die eine Befreiung von den Vorschriften für öffentliche Angebote nach Art. 100 des Finanzdienstleistungsgesetzes und Art. 34-ter der Regulierung Nr. 11971 gilt.</w:t>
            </w:r>
          </w:p>
        </w:tc>
      </w:tr>
      <w:tr w:rsidTr="003330CF">
        <w:tblPrEx>
          <w:tblW w:w="5000" w:type="pct"/>
          <w:tblLayout w:type="fixed"/>
          <w:tblLook w:val="00A0"/>
        </w:tblPrEx>
        <w:trPr>
          <w:trHeight w:val="57"/>
        </w:trPr>
        <w:tc>
          <w:tcPr>
            <w:tcW w:w="2356" w:type="pct"/>
            <w:tcBorders>
              <w:right w:val="single" w:sz="4" w:space="0" w:color="auto"/>
            </w:tcBorders>
          </w:tcPr>
          <w:p w:rsidR="006C4766" w:rsidRPr="003A5037" w:rsidP="006C4766">
            <w:pPr>
              <w:pStyle w:val="CSBody0"/>
            </w:pPr>
            <w:r w:rsidRPr="003A5037">
              <w:t>Any offer, sale or delivery of the Complex Products or distribution of copies of the Base Prospectus (including the applicable Final Terms) or any other document relating to the Complex Products in the Republic of Italy under (a) or (b) above must be:</w:t>
            </w:r>
          </w:p>
        </w:tc>
        <w:tc>
          <w:tcPr>
            <w:tcW w:w="2644" w:type="pct"/>
            <w:tcBorders>
              <w:left w:val="single" w:sz="4" w:space="0" w:color="auto"/>
            </w:tcBorders>
          </w:tcPr>
          <w:p w:rsidR="006C4766" w:rsidRPr="006C4766" w:rsidP="006C4766">
            <w:pPr>
              <w:pStyle w:val="CSBody0"/>
              <w:rPr>
                <w:lang w:val="de-DE"/>
              </w:rPr>
            </w:pPr>
            <w:r w:rsidRPr="006C4766">
              <w:rPr>
                <w:lang w:val="de-DE"/>
              </w:rPr>
              <w:t>Ein Angebot, Verkauf oder eine Lieferung der Komplexen Produkte oder eine Verteilung von Kopien des Basisprospekts (einschliesslich der anwendbaren Endgültigen Bedingungen) oder sonstiger Unterlagen, die sich auf die Komplexen Produkte beziehen, in der Republik Italien gemäss vorstehendem Absatz (a) oder (b) muss erfolgen:</w:t>
            </w:r>
          </w:p>
        </w:tc>
      </w:tr>
      <w:tr w:rsidTr="003330CF">
        <w:tblPrEx>
          <w:tblW w:w="5000" w:type="pct"/>
          <w:tblLayout w:type="fixed"/>
          <w:tblLook w:val="00A0"/>
        </w:tblPrEx>
        <w:trPr>
          <w:trHeight w:val="57"/>
        </w:trPr>
        <w:tc>
          <w:tcPr>
            <w:tcW w:w="2356" w:type="pct"/>
            <w:tcBorders>
              <w:right w:val="single" w:sz="4" w:space="0" w:color="auto"/>
            </w:tcBorders>
          </w:tcPr>
          <w:p w:rsidR="001E0E28" w:rsidRPr="006C4766" w:rsidP="006C4766">
            <w:pPr>
              <w:pStyle w:val="CSManNum9pt"/>
            </w:pPr>
            <w:r w:rsidRPr="006C4766">
              <w:t>(i)</w:t>
            </w:r>
            <w:r w:rsidRPr="006C4766">
              <w:tab/>
              <w:t>made by an investment firm, bank or financial intermediary permitted to conduct such activities in the Republic of Italy in accordance with the Financial Services Act, CONSOB Regulation No. 16190 of 29 October 2007 (as amended from time to time) and Legislative Decree No. 385 of 1 September 1993, as amended (the "</w:t>
            </w:r>
            <w:r w:rsidRPr="006C4766">
              <w:rPr>
                <w:b/>
              </w:rPr>
              <w:t>Banking Act</w:t>
            </w:r>
            <w:r w:rsidRPr="006C4766">
              <w:t>"); and</w:t>
            </w:r>
          </w:p>
        </w:tc>
        <w:tc>
          <w:tcPr>
            <w:tcW w:w="2644" w:type="pct"/>
            <w:tcBorders>
              <w:left w:val="single" w:sz="4" w:space="0" w:color="auto"/>
            </w:tcBorders>
          </w:tcPr>
          <w:p w:rsidR="001E0E28" w:rsidRPr="006C4766" w:rsidP="006C4766">
            <w:pPr>
              <w:pStyle w:val="CSManNum9pt"/>
            </w:pPr>
            <w:r w:rsidRPr="006C4766">
              <w:rPr>
                <w:lang w:val="de-DE"/>
              </w:rPr>
              <w:t>(i)</w:t>
            </w:r>
            <w:r w:rsidRPr="006C4766">
              <w:rPr>
                <w:lang w:val="de-DE"/>
              </w:rPr>
              <w:tab/>
              <w:t xml:space="preserve">durch eine Kapitalanlagegesellschaft, eine Bank oder einen Finanzintermediär, der bzw. dem es gestattet ist, solche Aktivitäten in der Republik Italien unter Beachtung des Finanzdienstleistungsgesetzes, der CONSOB Regulierung Nr. 16190 vom 29. Oktober 2007 (in der jeweils geltenden Fassung) und der Gesetzesverordnung Nr. 385 vom 1. </w:t>
            </w:r>
            <w:r w:rsidRPr="006C4766">
              <w:t>September 1993 in geltender Fassung (das "</w:t>
            </w:r>
            <w:r w:rsidRPr="006C4766">
              <w:rPr>
                <w:b/>
              </w:rPr>
              <w:t>Bankwesengesetz</w:t>
            </w:r>
            <w:r w:rsidRPr="006C4766">
              <w:t>") durchzuführen; und</w:t>
            </w:r>
          </w:p>
        </w:tc>
      </w:tr>
      <w:tr w:rsidTr="003330CF">
        <w:tblPrEx>
          <w:tblW w:w="5000" w:type="pct"/>
          <w:tblLayout w:type="fixed"/>
          <w:tblLook w:val="00A0"/>
        </w:tblPrEx>
        <w:trPr>
          <w:trHeight w:val="57"/>
        </w:trPr>
        <w:tc>
          <w:tcPr>
            <w:tcW w:w="2356" w:type="pct"/>
            <w:tcBorders>
              <w:right w:val="single" w:sz="4" w:space="0" w:color="auto"/>
            </w:tcBorders>
          </w:tcPr>
          <w:p w:rsidR="001E0E28" w:rsidRPr="006C4766" w:rsidP="006C4766">
            <w:pPr>
              <w:pStyle w:val="CSManNum9pt"/>
            </w:pPr>
            <w:r w:rsidRPr="006C4766">
              <w:t>(ii)</w:t>
            </w:r>
            <w:r w:rsidRPr="006C4766">
              <w:tab/>
              <w:t>in compliance with Article 129 of the Banking Act, as amended, and the implementing guidelines of the Bank of Italy, as amended from time to time, pursuant to which the Bank of Italy may request information on the issue or the offer of Complex Products in the Republic of Italy; and</w:t>
            </w:r>
          </w:p>
        </w:tc>
        <w:tc>
          <w:tcPr>
            <w:tcW w:w="2644" w:type="pct"/>
            <w:tcBorders>
              <w:left w:val="single" w:sz="4" w:space="0" w:color="auto"/>
            </w:tcBorders>
          </w:tcPr>
          <w:p w:rsidR="001E0E28" w:rsidRPr="006C4766" w:rsidP="006C4766">
            <w:pPr>
              <w:pStyle w:val="CSManNum9pt"/>
              <w:rPr>
                <w:lang w:val="de-DE"/>
              </w:rPr>
            </w:pPr>
            <w:r w:rsidRPr="006C4766">
              <w:rPr>
                <w:lang w:val="de-DE"/>
              </w:rPr>
              <w:t>(ii)</w:t>
            </w:r>
            <w:r w:rsidRPr="006C4766">
              <w:rPr>
                <w:lang w:val="de-DE"/>
              </w:rPr>
              <w:tab/>
              <w:t>unter Beachtung von Art. 129 des Bankwesengesetzes in geltender Fassung und der Umsetzungsrichtlinien der Notenbank von Italien in geltender Fassung, gemäss welcher die Notenbank von Italien Informationen zur Emission oder zur Ausgabe der Komplexen Produkte in der Republik Italien verlangen kann; und</w:t>
            </w:r>
          </w:p>
        </w:tc>
      </w:tr>
      <w:tr w:rsidTr="003330CF">
        <w:tblPrEx>
          <w:tblW w:w="5000" w:type="pct"/>
          <w:tblLayout w:type="fixed"/>
          <w:tblLook w:val="00A0"/>
        </w:tblPrEx>
        <w:trPr>
          <w:trHeight w:val="57"/>
        </w:trPr>
        <w:tc>
          <w:tcPr>
            <w:tcW w:w="2356" w:type="pct"/>
            <w:tcBorders>
              <w:right w:val="single" w:sz="4" w:space="0" w:color="auto"/>
            </w:tcBorders>
          </w:tcPr>
          <w:p w:rsidR="001E0E28" w:rsidRPr="006C4766" w:rsidP="006C4766">
            <w:pPr>
              <w:pStyle w:val="CSManNum9pt"/>
            </w:pPr>
            <w:r w:rsidRPr="006C4766">
              <w:t>(iii)</w:t>
            </w:r>
            <w:r w:rsidRPr="006C4766">
              <w:tab/>
              <w:t>in compliance with any other applicable laws and regulations or requirement imposed by CONSOB or any other Italian authority.</w:t>
            </w:r>
          </w:p>
        </w:tc>
        <w:tc>
          <w:tcPr>
            <w:tcW w:w="2644" w:type="pct"/>
            <w:tcBorders>
              <w:left w:val="single" w:sz="4" w:space="0" w:color="auto"/>
            </w:tcBorders>
          </w:tcPr>
          <w:p w:rsidR="001E0E28" w:rsidRPr="006C4766" w:rsidP="006C4766">
            <w:pPr>
              <w:pStyle w:val="CSManNum9pt"/>
              <w:rPr>
                <w:lang w:val="de-DE"/>
              </w:rPr>
            </w:pPr>
            <w:r w:rsidRPr="006C4766">
              <w:rPr>
                <w:lang w:val="de-DE"/>
              </w:rPr>
              <w:t>(iii)</w:t>
            </w:r>
            <w:r w:rsidRPr="006C4766">
              <w:rPr>
                <w:lang w:val="de-DE"/>
              </w:rPr>
              <w:tab/>
              <w:t>unter Beachtung sonstiger anwendbarer Gesetze und Vorschriften oder Auflagen, die von der CONSOB oder einer anderen italienischen Behörde verhängt werden.</w:t>
            </w:r>
          </w:p>
        </w:tc>
      </w:tr>
      <w:tr w:rsidTr="003330CF">
        <w:tblPrEx>
          <w:tblW w:w="5000" w:type="pct"/>
          <w:tblLayout w:type="fixed"/>
          <w:tblLook w:val="00A0"/>
        </w:tblPrEx>
        <w:trPr>
          <w:trHeight w:val="57"/>
        </w:trPr>
        <w:tc>
          <w:tcPr>
            <w:tcW w:w="2356" w:type="pct"/>
            <w:tcBorders>
              <w:right w:val="single" w:sz="4" w:space="0" w:color="auto"/>
            </w:tcBorders>
          </w:tcPr>
          <w:p w:rsidR="006C4766" w:rsidRPr="00EC1C2A" w:rsidP="006C4766">
            <w:pPr>
              <w:pStyle w:val="CSBody0italic"/>
            </w:pPr>
            <w:r w:rsidRPr="00EC1C2A">
              <w:t>Please note that in accordance with Article 100-bis of the Financial Services Act, where no exemption from the rules on public offerings applies under (a) and (b) above Complex Products which are initially offered and placed in Italy or abroad to qualified investors only but in the following year are regularly (sistematicamente) distributed on the secondary market in Italy to non-qualified investors become subject to the public offer, and the prospectus requirement rules provided under the Financial Services Act and Regulation No. 11971. Failure to comply with such rules may result in the sale of such Complex Products being declared null and void and in the liability of the intermediary transferring the Complex Products for any damages suffered by such non-qualified investors.</w:t>
            </w:r>
          </w:p>
        </w:tc>
        <w:tc>
          <w:tcPr>
            <w:tcW w:w="2644" w:type="pct"/>
            <w:tcBorders>
              <w:left w:val="single" w:sz="4" w:space="0" w:color="auto"/>
            </w:tcBorders>
          </w:tcPr>
          <w:p w:rsidR="006C4766" w:rsidRPr="006C4766" w:rsidP="006C4766">
            <w:pPr>
              <w:pStyle w:val="CSBody0italic"/>
              <w:rPr>
                <w:lang w:val="de-DE"/>
              </w:rPr>
            </w:pPr>
            <w:r w:rsidRPr="006C4766">
              <w:rPr>
                <w:lang w:val="de-DE"/>
              </w:rPr>
              <w:t>Dabei ist zu beachten, dass gemäss Art. 100-bis des Finanzdienstleistungsgesetzes – soweit keine Befreiung von den Vorschriften für öffentliche Angebote gemäss vorstehendem Absatz (a) und (b) zur Anwendung kommt – bei Komplexen Produkten, welche zunächst nur qualifizierten Anlegern in Italien oder ausserhalb Italiens angeboten und bei diesen platziert werden, im Folgejahr aber regelmässig (sistematicamente) am Sekundärmarkt in Italien an nicht-qualifizierte Anleger vertrieben werden, die in der Regulierung Nr. 11971 enthaltenen Vorschriften für öffentliche Angebote und zu Prospektanforderungen zu beachten sind. Die Nichteinhaltung dieser Vorschriften kann dazu führen, dass der Verkauf der Komplexen Produkte für null und nichtig erklärt wird und der Intermediär, welcher die Komplexen Produkte überträgt, für von diesen nicht-qualifizierten Anlegern erlittene Verluste haftet.</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9B67A1">
            <w:pPr>
              <w:pStyle w:val="CSbody0bold"/>
            </w:pPr>
            <w:r w:rsidRPr="005B5713">
              <w:t>Japan</w:t>
            </w:r>
          </w:p>
        </w:tc>
        <w:tc>
          <w:tcPr>
            <w:tcW w:w="2644" w:type="pct"/>
            <w:tcBorders>
              <w:left w:val="single" w:sz="4" w:space="0" w:color="auto"/>
            </w:tcBorders>
          </w:tcPr>
          <w:p w:rsidR="001E0E28" w:rsidRPr="005B5713" w:rsidP="009B67A1">
            <w:pPr>
              <w:pStyle w:val="CSbody0bold"/>
            </w:pPr>
            <w:r w:rsidRPr="005B5713">
              <w:t>Japan</w:t>
            </w:r>
          </w:p>
        </w:tc>
      </w:tr>
      <w:tr w:rsidTr="003330CF">
        <w:tblPrEx>
          <w:tblW w:w="5000" w:type="pct"/>
          <w:tblLayout w:type="fixed"/>
          <w:tblLook w:val="00A0"/>
        </w:tblPrEx>
        <w:trPr>
          <w:trHeight w:val="57"/>
        </w:trPr>
        <w:tc>
          <w:tcPr>
            <w:tcW w:w="2356" w:type="pct"/>
            <w:tcBorders>
              <w:right w:val="single" w:sz="4" w:space="0" w:color="auto"/>
            </w:tcBorders>
          </w:tcPr>
          <w:p w:rsidR="006C4766" w:rsidRPr="00293F44" w:rsidP="006C4766">
            <w:pPr>
              <w:pStyle w:val="CSBody0"/>
            </w:pPr>
            <w:r w:rsidRPr="00293F44">
              <w:t>The Complex Products have not been, and will not be, registered under the Financial Instruments and Exchange Act of Japan (Law No. 25 of 1948, as amended; the "FIEA") and will not be offered or sold directly or indirectly, in Japan or to, or for the benefit of, any resident of Japan (as defined under Item 5, Paragraph 1, Article 6 of the Foreign Exchange and Foreign Trade Act (Law No. 228 of 1949, as amended)), or to others for re-offering or resale, directly or indirectly, in Japan or to, or for the benefit of, a resident of Japan except pursuant to an exemption from the registration requirements of, and otherwise in compliance with, the FIEA and any other applicable laws, regulations and ministerial guidelines of Japan.</w:t>
            </w:r>
          </w:p>
        </w:tc>
        <w:tc>
          <w:tcPr>
            <w:tcW w:w="2644" w:type="pct"/>
            <w:tcBorders>
              <w:left w:val="single" w:sz="4" w:space="0" w:color="auto"/>
            </w:tcBorders>
          </w:tcPr>
          <w:p w:rsidR="006C4766" w:rsidRPr="006C4766" w:rsidP="006C4766">
            <w:pPr>
              <w:pStyle w:val="CSBody0"/>
              <w:rPr>
                <w:lang w:val="de-DE"/>
              </w:rPr>
            </w:pPr>
            <w:r w:rsidRPr="006C4766">
              <w:rPr>
                <w:lang w:val="de-DE"/>
              </w:rPr>
              <w:t>Die Komplexen Produkte wurden und werden nicht gemäss dem japanischen Gesetz über Finanzinstrumente und Börsen (Gesetz Nr. 25 von 1948 in der geltenden Fassung; "GFB") registriert und werden weder direkt noch indirekt in Japan oder in Japan ansässigen Personen (wie in Ziffer 5, Absatz 1, Artikel 6 des Devisen- und Aussenhandelsgesetzes (Gesetz Nr. 228 von 1949 in der geltenden Fassung) definiert) oder zu deren Gunsten angeboten oder an solche Personen oder zu deren Gunsten verkauft, und die Komplexen Produkte werden anderen Personen nicht zum direkten oder indirekten Angebot oder Weiterverkauf in Japan oder in Japan ansässige Personen oder zu deren Gunsten angeboten oder an solche Personen zu diesem Zweck verkauft, ausser dies geschieht im Rahmen einer Ausnahme von den Registrierungspflichten des GFB und anderweitig unter Einhaltung der Vorschriften des GFB und aller anderen anwendbaren japanischen Gesetze, Vorschriften und ministeriellen Richtlinien.</w:t>
            </w:r>
          </w:p>
        </w:tc>
      </w:tr>
      <w:tr w:rsidTr="003330CF">
        <w:tblPrEx>
          <w:tblW w:w="5000" w:type="pct"/>
          <w:tblLayout w:type="fixed"/>
          <w:tblLook w:val="00A0"/>
        </w:tblPrEx>
        <w:trPr>
          <w:trHeight w:val="57"/>
        </w:trPr>
        <w:tc>
          <w:tcPr>
            <w:tcW w:w="2356" w:type="pct"/>
            <w:tcBorders>
              <w:right w:val="single" w:sz="4" w:space="0" w:color="auto"/>
            </w:tcBorders>
          </w:tcPr>
          <w:p w:rsidR="006C4766" w:rsidRPr="006874D5" w:rsidP="006C4766">
            <w:pPr>
              <w:pStyle w:val="CSbody0bold"/>
            </w:pPr>
            <w:r w:rsidRPr="006874D5">
              <w:t>Kingdom of Bahrain</w:t>
            </w:r>
          </w:p>
        </w:tc>
        <w:tc>
          <w:tcPr>
            <w:tcW w:w="2644" w:type="pct"/>
            <w:tcBorders>
              <w:left w:val="single" w:sz="4" w:space="0" w:color="auto"/>
            </w:tcBorders>
          </w:tcPr>
          <w:p w:rsidR="006C4766" w:rsidP="006C4766">
            <w:pPr>
              <w:pStyle w:val="CSbody0bold"/>
            </w:pPr>
            <w:r w:rsidRPr="006874D5">
              <w:t>Königreich Bahrain</w:t>
            </w:r>
          </w:p>
        </w:tc>
      </w:tr>
      <w:tr w:rsidTr="003330CF">
        <w:tblPrEx>
          <w:tblW w:w="5000" w:type="pct"/>
          <w:tblLayout w:type="fixed"/>
          <w:tblLook w:val="00A0"/>
        </w:tblPrEx>
        <w:trPr>
          <w:trHeight w:val="57"/>
        </w:trPr>
        <w:tc>
          <w:tcPr>
            <w:tcW w:w="2356" w:type="pct"/>
            <w:tcBorders>
              <w:right w:val="single" w:sz="4" w:space="0" w:color="auto"/>
            </w:tcBorders>
          </w:tcPr>
          <w:p w:rsidR="006C4766" w:rsidRPr="002F2575" w:rsidP="006C4766">
            <w:pPr>
              <w:pStyle w:val="CSBody0"/>
            </w:pPr>
            <w:r w:rsidRPr="002F2575">
              <w:t>In relation to investors in the Kingdom of Bahrain, Complex Products issued in connection with this Document and related offering documents must be in registered form and must only be marketed to existing account holders and accredited investors as defined by the Central Bank of Bahrain (the "</w:t>
            </w:r>
            <w:r w:rsidRPr="006C4766">
              <w:rPr>
                <w:b/>
              </w:rPr>
              <w:t>CBB</w:t>
            </w:r>
            <w:r w:rsidRPr="002F2575">
              <w:t>") in the Kingdom of Bahrain where such investors make a minimum investment of at least US$ 100,000, or any equivalent amount in other currency or such other amount as the CBB may determine.</w:t>
            </w:r>
          </w:p>
        </w:tc>
        <w:tc>
          <w:tcPr>
            <w:tcW w:w="2644" w:type="pct"/>
            <w:tcBorders>
              <w:left w:val="single" w:sz="4" w:space="0" w:color="auto"/>
            </w:tcBorders>
          </w:tcPr>
          <w:p w:rsidR="006C4766" w:rsidRPr="006C4766" w:rsidP="006C4766">
            <w:pPr>
              <w:pStyle w:val="CSBody0"/>
              <w:rPr>
                <w:lang w:val="de-DE"/>
              </w:rPr>
            </w:pPr>
            <w:r w:rsidRPr="006C4766">
              <w:rPr>
                <w:lang w:val="de-DE"/>
              </w:rPr>
              <w:t>Im Königreich Bahrain haben im Zusammenhang mit diesem Dokument und diesbezüglichen Angebotsunterlagen begebene Komplexe Produkte auf den Namen zu lauten und dürfen ausschliesslich an bestehende Depotinhaber (</w:t>
            </w:r>
            <w:r w:rsidRPr="005D6EC4">
              <w:rPr>
                <w:i/>
                <w:lang w:val="de-DE"/>
              </w:rPr>
              <w:t>existing account holders</w:t>
            </w:r>
            <w:r w:rsidRPr="006C4766">
              <w:rPr>
                <w:lang w:val="de-DE"/>
              </w:rPr>
              <w:t>) und akkreditierte Anleger (</w:t>
            </w:r>
            <w:r w:rsidRPr="005D6EC4">
              <w:rPr>
                <w:i/>
                <w:lang w:val="de-DE"/>
              </w:rPr>
              <w:t>accredited investors</w:t>
            </w:r>
            <w:r w:rsidRPr="006C4766">
              <w:rPr>
                <w:lang w:val="de-DE"/>
              </w:rPr>
              <w:t>) im Sinne der Definition der Zentralbank von Bahrain (</w:t>
            </w:r>
            <w:r w:rsidRPr="005D6EC4">
              <w:rPr>
                <w:i/>
                <w:lang w:val="de-DE"/>
              </w:rPr>
              <w:t>Central Bank of Bahrain</w:t>
            </w:r>
            <w:r w:rsidRPr="006C4766">
              <w:rPr>
                <w:lang w:val="de-DE"/>
              </w:rPr>
              <w:t>; "</w:t>
            </w:r>
            <w:r w:rsidRPr="006C4766">
              <w:rPr>
                <w:b/>
                <w:lang w:val="de-DE"/>
              </w:rPr>
              <w:t>CBB</w:t>
            </w:r>
            <w:r w:rsidRPr="006C4766">
              <w:rPr>
                <w:lang w:val="de-DE"/>
              </w:rPr>
              <w:t>") verkauft werden, vorausgesetzt diese Anleger investieren einen Mindestbetrag von US$ 100.000 oder einen entsprechenden Betrag in einer anderen Währung oder einen anderen Mindestbetrag, den die CBB gegebenenfalls nach ihrem Ermessen festlegt.</w:t>
            </w:r>
          </w:p>
        </w:tc>
      </w:tr>
      <w:tr w:rsidTr="003330CF">
        <w:tblPrEx>
          <w:tblW w:w="5000" w:type="pct"/>
          <w:tblLayout w:type="fixed"/>
          <w:tblLook w:val="00A0"/>
        </w:tblPrEx>
        <w:trPr>
          <w:trHeight w:val="57"/>
        </w:trPr>
        <w:tc>
          <w:tcPr>
            <w:tcW w:w="2356" w:type="pct"/>
            <w:tcBorders>
              <w:right w:val="single" w:sz="4" w:space="0" w:color="auto"/>
            </w:tcBorders>
          </w:tcPr>
          <w:p w:rsidR="006C4766" w:rsidRPr="002F2575" w:rsidP="006C4766">
            <w:pPr>
              <w:pStyle w:val="CSBody0"/>
            </w:pPr>
            <w:r w:rsidRPr="002F2575">
              <w:t>This Document does not constitute an offer of Complex Products in the Kingdom of Bahrain in terms of Article (81) of the Central Bank and Financial Institutions Law 2006 (decree Law No. 64 of 2006). This Document and related offering documents have not been and will not be registered as a prospectus with the CBB. Accordingly, no Complex Products may be offered, sold or made the subject of an invitation for subscription or purchase nor will this Document or any other related document or material be used in connection with any offer, sale or invitation to subscribe or purchase securities, whether directly or indirectly, to persons in the Kingdom of Bahrain, other than as marketing to accredited investors for an offer outside Bahrain.</w:t>
            </w:r>
          </w:p>
        </w:tc>
        <w:tc>
          <w:tcPr>
            <w:tcW w:w="2644" w:type="pct"/>
            <w:tcBorders>
              <w:left w:val="single" w:sz="4" w:space="0" w:color="auto"/>
            </w:tcBorders>
          </w:tcPr>
          <w:p w:rsidR="006C4766" w:rsidRPr="006C4766" w:rsidP="006C4766">
            <w:pPr>
              <w:pStyle w:val="CSBody0"/>
              <w:rPr>
                <w:lang w:val="de-DE"/>
              </w:rPr>
            </w:pPr>
            <w:r w:rsidRPr="006C4766">
              <w:rPr>
                <w:lang w:val="de-DE"/>
              </w:rPr>
              <w:t>Dieses Dokument ist kein Angebot der Komplexen Produkte im Königreich Bahrain im Sinne von Artikel (81) des Gesetzes aus dem Jahr 2006 über die Zentralbank und Finanzinstitute (Gesetzesdekret Nr. 64/2006). Dieses Dokument und diesbezügliche Angebotsunterlagen wurden und werden nicht als Prospekt bei der CBB registriert. Dementsprechend dürfen Komplexe Produkte weder angeboten, verkauft oder Gegenstand einer Aufforderung zur Zeichnung oder zum Kauf werden noch dürfen dieses Dokument oder sonstige diesbezüglichen Unterlagen oder Materialien direkt oder indirekt im Zusammenhang mit einem Angebot, einem Verkauf oder einer Aufforderung zur Zeichnung oder zum Kauf von Wertpapieren an Personen im Königreich Bahrain eingesetzt werden, es sei denn, es handelt sich um an akkreditierte Anleger gerichtete Marketingmassnahmen im Zusammenhang mit einem Angebot ausserhalb Bahrains.</w:t>
            </w:r>
          </w:p>
        </w:tc>
      </w:tr>
      <w:tr w:rsidTr="003330CF">
        <w:tblPrEx>
          <w:tblW w:w="5000" w:type="pct"/>
          <w:tblLayout w:type="fixed"/>
          <w:tblLook w:val="00A0"/>
        </w:tblPrEx>
        <w:trPr>
          <w:trHeight w:val="57"/>
        </w:trPr>
        <w:tc>
          <w:tcPr>
            <w:tcW w:w="2356" w:type="pct"/>
            <w:tcBorders>
              <w:right w:val="single" w:sz="4" w:space="0" w:color="auto"/>
            </w:tcBorders>
          </w:tcPr>
          <w:p w:rsidR="006C4766" w:rsidRPr="002F2575" w:rsidP="006C4766">
            <w:pPr>
              <w:pStyle w:val="CSBody0"/>
            </w:pPr>
            <w:r w:rsidRPr="002F2575">
              <w:t>The CBB has not reviewed, approved or registered this Document or related offering documents and it has not in any way considered the merits of the Complex Products to be marketed for investment, whether in or outside the Kingdom of Bahrain. Therefore, the CBB assumes no responsibility for the accuracy and completeness of the statements and information contained in this Document and expressly disclaims any liability whatsoever for any loss howsoever arising from reliance upon the whole or any part of the content of this Document.</w:t>
            </w:r>
          </w:p>
        </w:tc>
        <w:tc>
          <w:tcPr>
            <w:tcW w:w="2644" w:type="pct"/>
            <w:tcBorders>
              <w:left w:val="single" w:sz="4" w:space="0" w:color="auto"/>
            </w:tcBorders>
          </w:tcPr>
          <w:p w:rsidR="006C4766" w:rsidRPr="005D6EC4" w:rsidP="006C4766">
            <w:pPr>
              <w:pStyle w:val="CSBody0"/>
              <w:rPr>
                <w:lang w:val="de-DE"/>
              </w:rPr>
            </w:pPr>
            <w:r w:rsidRPr="005D6EC4">
              <w:rPr>
                <w:lang w:val="de-DE"/>
              </w:rPr>
              <w:t>Die CBB hat dieses Dokument oder diesbezügliche Angebots-unterlagen weder geprüft noch gebilligt oder registriert; darüber hinaus hat sie sich in keiner Weise mit den Vorteilen der Komplexen Produkte für Anlagezwecke befasst, sei es innerhalb oder ausserhalb des Königreichs Bahrain. Somit übernimmt die CBB keine Verantwortung für die Richtigkeit und Vollständigkeit der in diesem Dokument enthaltenen Erklärungen und Informationen und schliesst jegliche Haftung für Verluste ausdrücklich aus, die in irgendeiner Weise dadurch entstehen, dass insgesamt oder teilweise auf die Inhalte dieses Dokuments vertraut wurde.</w:t>
            </w:r>
          </w:p>
        </w:tc>
      </w:tr>
      <w:tr w:rsidTr="003330CF">
        <w:tblPrEx>
          <w:tblW w:w="5000" w:type="pct"/>
          <w:tblLayout w:type="fixed"/>
          <w:tblLook w:val="00A0"/>
        </w:tblPrEx>
        <w:trPr>
          <w:trHeight w:val="57"/>
        </w:trPr>
        <w:tc>
          <w:tcPr>
            <w:tcW w:w="2356" w:type="pct"/>
            <w:tcBorders>
              <w:right w:val="single" w:sz="4" w:space="0" w:color="auto"/>
            </w:tcBorders>
          </w:tcPr>
          <w:p w:rsidR="005D6EC4" w:rsidRPr="003B75CA" w:rsidP="005D6EC4">
            <w:pPr>
              <w:pStyle w:val="CSBody0"/>
            </w:pPr>
            <w:r w:rsidRPr="003B75CA">
              <w:t>No offer of Complex Products will be made to the public in the Kingdom of Bahrain and this Document must be read by the addressee only and must not be issued, passed to, or made available to the public generally.</w:t>
            </w:r>
          </w:p>
        </w:tc>
        <w:tc>
          <w:tcPr>
            <w:tcW w:w="2644" w:type="pct"/>
            <w:tcBorders>
              <w:left w:val="single" w:sz="4" w:space="0" w:color="auto"/>
            </w:tcBorders>
          </w:tcPr>
          <w:p w:rsidR="005D6EC4" w:rsidRPr="005D6EC4" w:rsidP="005D6EC4">
            <w:pPr>
              <w:pStyle w:val="CSBody0"/>
              <w:rPr>
                <w:lang w:val="de-DE"/>
              </w:rPr>
            </w:pPr>
            <w:r w:rsidRPr="005D6EC4">
              <w:rPr>
                <w:lang w:val="de-DE"/>
              </w:rPr>
              <w:t>Die Komplexen Produkte werden im Königreich Bahrain nicht öffentlich angeboten und dieses Dokument ist ausschliesslich vom Adressaten zu lesen und darf nicht veröffentlicht, weitergegeben oder der breiten Öffentlichkeit im Allgemeinen zugänglich gemacht werden.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9B67A1">
            <w:pPr>
              <w:pStyle w:val="CSbody0bold"/>
            </w:pPr>
            <w:r w:rsidRPr="005B5713">
              <w:t>Korea</w:t>
            </w:r>
          </w:p>
        </w:tc>
        <w:tc>
          <w:tcPr>
            <w:tcW w:w="2644" w:type="pct"/>
            <w:tcBorders>
              <w:left w:val="single" w:sz="4" w:space="0" w:color="auto"/>
            </w:tcBorders>
          </w:tcPr>
          <w:p w:rsidR="001E0E28" w:rsidRPr="005B5713" w:rsidP="009B67A1">
            <w:pPr>
              <w:pStyle w:val="CSbody0bold"/>
            </w:pPr>
            <w:r w:rsidRPr="005B5713">
              <w:t>Korea</w:t>
            </w:r>
          </w:p>
        </w:tc>
      </w:tr>
      <w:tr w:rsidTr="003330CF">
        <w:tblPrEx>
          <w:tblW w:w="5000" w:type="pct"/>
          <w:tblLayout w:type="fixed"/>
          <w:tblLook w:val="00A0"/>
        </w:tblPrEx>
        <w:trPr>
          <w:trHeight w:val="57"/>
        </w:trPr>
        <w:tc>
          <w:tcPr>
            <w:tcW w:w="2356" w:type="pct"/>
            <w:tcBorders>
              <w:right w:val="single" w:sz="4" w:space="0" w:color="auto"/>
            </w:tcBorders>
          </w:tcPr>
          <w:p w:rsidR="005D6EC4" w:rsidRPr="00CC7E01" w:rsidP="005D6EC4">
            <w:pPr>
              <w:pStyle w:val="CSBody0"/>
            </w:pPr>
            <w:r w:rsidRPr="00CC7E01">
              <w:t>No registration statement for the offering and sale of the Complex Products has been filed with the Financial Services Commission of Korea. Accordingly, no Complex Products may be offered, sold or delivered, directly or indirectly, in Korea or to, or for the benefit of any Korean resident (as such term is defined in the Foreign Exchange Transaction Law of Korea), except as otherwise permitted by applicable Korean laws and regulations. Furthermore, a holder of the Complex Products will be prohibited from offering, delivering or selling any Complex Products, directly or indirectly, in Korea or to any Korean resident, except as may be permitted by applicable Korean laws and regulations.</w:t>
            </w:r>
          </w:p>
        </w:tc>
        <w:tc>
          <w:tcPr>
            <w:tcW w:w="2644" w:type="pct"/>
            <w:tcBorders>
              <w:left w:val="single" w:sz="4" w:space="0" w:color="auto"/>
            </w:tcBorders>
          </w:tcPr>
          <w:p w:rsidR="005D6EC4" w:rsidRPr="005D6EC4" w:rsidP="005D6EC4">
            <w:pPr>
              <w:pStyle w:val="CSBody0"/>
              <w:rPr>
                <w:lang w:val="de-DE"/>
              </w:rPr>
            </w:pPr>
            <w:r w:rsidRPr="005D6EC4">
              <w:rPr>
                <w:lang w:val="de-DE"/>
              </w:rPr>
              <w:t>In Bezug auf das Angebot und den Verkauf der Komplexen Produkte wurde kein Registrierungsdokument bei der koreanischen Finanzdienstleistungsaufsicht (</w:t>
            </w:r>
            <w:r w:rsidRPr="005D6EC4">
              <w:rPr>
                <w:i/>
                <w:lang w:val="de-DE"/>
              </w:rPr>
              <w:t>Financial Services Commission</w:t>
            </w:r>
            <w:r w:rsidRPr="005D6EC4">
              <w:rPr>
                <w:lang w:val="de-DE"/>
              </w:rPr>
              <w:t>) eingereicht. Folglich dürfen die Komplexen Produkte weder direkt noch indirekt in Korea bzw. dort ansässigen Personen (wie im koreanischen Devisenverkehrsgesetz definiert) oder zu deren Gunsten angeboten und in Korea bzw. an dort ansässige Personen verkauft oder geliefert werden, ausser soweit gemäss den anwendbaren koreanischen Gesetzen und Vorschriften zulässig. Darüber hinaus ist es einem Inhaber der Komplexen Produkte nicht gestattet, diese direkt oder indirekt in Korea bzw. dort ansässigen Personen anzubieten oder in Korea bzw. an dort ansässige Personen zu liefern oder zu verkaufen, ausser soweit gemäss den anwendbaren koreanischen Gesetzen und Vorschriften zulässig.</w:t>
            </w:r>
          </w:p>
        </w:tc>
      </w:tr>
      <w:tr w:rsidTr="003330CF">
        <w:tblPrEx>
          <w:tblW w:w="5000" w:type="pct"/>
          <w:tblLayout w:type="fixed"/>
          <w:tblLook w:val="00A0"/>
        </w:tblPrEx>
        <w:trPr>
          <w:trHeight w:val="57"/>
        </w:trPr>
        <w:tc>
          <w:tcPr>
            <w:tcW w:w="2356" w:type="pct"/>
            <w:tcBorders>
              <w:right w:val="single" w:sz="4" w:space="0" w:color="auto"/>
            </w:tcBorders>
          </w:tcPr>
          <w:p w:rsidR="001E0E28" w:rsidRPr="009B67A1" w:rsidP="009B67A1">
            <w:pPr>
              <w:pStyle w:val="CSbody0bold"/>
            </w:pPr>
            <w:r w:rsidRPr="009B67A1">
              <w:t>Lebanon</w:t>
            </w:r>
          </w:p>
        </w:tc>
        <w:tc>
          <w:tcPr>
            <w:tcW w:w="2644" w:type="pct"/>
            <w:tcBorders>
              <w:left w:val="single" w:sz="4" w:space="0" w:color="auto"/>
            </w:tcBorders>
          </w:tcPr>
          <w:p w:rsidR="001E0E28" w:rsidRPr="009B67A1" w:rsidP="009B67A1">
            <w:pPr>
              <w:pStyle w:val="CSbody0bold"/>
            </w:pPr>
            <w:r w:rsidRPr="009B67A1">
              <w:t>Libanon</w:t>
            </w:r>
          </w:p>
        </w:tc>
      </w:tr>
      <w:tr w:rsidTr="003330CF">
        <w:tblPrEx>
          <w:tblW w:w="5000" w:type="pct"/>
          <w:tblLayout w:type="fixed"/>
          <w:tblLook w:val="00A0"/>
        </w:tblPrEx>
        <w:trPr>
          <w:trHeight w:val="57"/>
        </w:trPr>
        <w:tc>
          <w:tcPr>
            <w:tcW w:w="2356" w:type="pct"/>
            <w:tcBorders>
              <w:right w:val="single" w:sz="4" w:space="0" w:color="auto"/>
            </w:tcBorders>
          </w:tcPr>
          <w:p w:rsidR="005D6EC4" w:rsidRPr="00974ADE" w:rsidP="005D6EC4">
            <w:pPr>
              <w:pStyle w:val="CSBody0"/>
            </w:pPr>
            <w:r w:rsidRPr="00974ADE">
              <w:t>This Document is not intended, nor should it be used for solicitation of investments in Lebanon by any person. The Issuer does not conduct sales or marketing in Lebanon, nor does it have any agents, or any authorised sales persons therein. No offer or solicitation for a purchase or sale offer of Complex Products, from the Issuer, its branches or its subsidiaries, in Lebanon has been made or will be made other than in compliance with the laws and regulations of Lebanon governing the issue, offering and sale of Complex Products. Credit Suisse AG disclaims all liabilities regarding the content of these pages and the use that could be made by anyone. Any person willing to be supplied with any Complex Products to be issued under this Document should comply with the laws and regulations applicable in Lebanon (i.e. applicable tolerated practices, if any), in order to obtain information on the availability of the Complex Product in question, as well as the contractual conditions and prices applicable thereto. Access to the Complex Products described herein may be subject to restrictions vis-à-vis certain persons or in certain countries. None of the Products to be issued under this Document shall be supplied by the Issuer to a person in the event that the law of his/her country of origin, or any other country concerning him/her, prohibits it.</w:t>
            </w:r>
          </w:p>
        </w:tc>
        <w:tc>
          <w:tcPr>
            <w:tcW w:w="2644" w:type="pct"/>
            <w:tcBorders>
              <w:left w:val="single" w:sz="4" w:space="0" w:color="auto"/>
            </w:tcBorders>
          </w:tcPr>
          <w:p w:rsidR="005D6EC4" w:rsidRPr="005D6EC4" w:rsidP="005D6EC4">
            <w:pPr>
              <w:pStyle w:val="CSBody0"/>
              <w:rPr>
                <w:lang w:val="de-DE"/>
              </w:rPr>
            </w:pPr>
            <w:r w:rsidRPr="005D6EC4">
              <w:rPr>
                <w:lang w:val="de-DE"/>
              </w:rPr>
              <w:t>Dieses Dokument ist nicht als Aufforderung zur Vornahme von Anlagen in Libanon gedacht, noch sollte es von irgendeiner Person zu diesem Zweck verwendet werden. Die Emittentin führt in Libanon keine Verkaufs- oder Marketingaktivitäten durch, auch nicht über Vertreter oder Vertriebsbevollmächtigte. In Libanon ist kein Angebot von Komplexen Produkten und keine Aufforderung zur Abgabe eines Kauf- oder Verkaufsangebots für Komplexe Produkte durch die Emittentin, ihre Niederlassungen oder ihre Tochtergesellschaften erfolgt, noch wird ein solches Angebot oder eine solche Aufforderung erfolgen, ausser unter Einhaltung der in Libanon geltenden gesetzlichen Bestimmungen über die Emission, das Angebot und den Verkauf von Komplexen Produkten. Die Credit Suisse AG übernimmt keine Haftung für den Inhalt dieser Seiten und eine mögliche Verwendung durch irgendeine Person. Jede Person, die gemäss diesem Dokument zu begebende Komplexe Produkte erhalten möchte, sollte die in Libanon geltenden gesetzlichen Bestimmungen (d.h. gegebenenfalls anwendbare zulässige Praktiken) einhalten, um Informationen über die Verfügbarkeit des betreffenden Komplexen Produkts sowie über die hierfür geltenden Vertragsbedingungen und Preise zu erhalten. Der Zugang zu den hierin beschriebenen Komplexen Produkten kann für bestimmte Personen oder in bestimmten Ländern geltenden Beschränkungen unterliegen. Die Emittentin wird keine gemäss diesem Dokument zu begebenden Produkte an eine Person liefern, wenn dies nach dem Recht des Heimatstaats dieser Person oder eines anderen diese Person betreffenden Landes nicht zulässig ist.</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9B67A1">
            <w:pPr>
              <w:pStyle w:val="CSbody0bold"/>
              <w:rPr>
                <w:lang w:val="en-US"/>
              </w:rPr>
            </w:pPr>
            <w:r w:rsidRPr="005B5713">
              <w:t>Malaysia</w:t>
            </w:r>
          </w:p>
        </w:tc>
        <w:tc>
          <w:tcPr>
            <w:tcW w:w="2644" w:type="pct"/>
            <w:tcBorders>
              <w:left w:val="single" w:sz="4" w:space="0" w:color="auto"/>
            </w:tcBorders>
          </w:tcPr>
          <w:p w:rsidR="001E0E28" w:rsidRPr="005B5713" w:rsidP="009B67A1">
            <w:pPr>
              <w:pStyle w:val="CSbody0bold"/>
              <w:rPr>
                <w:lang w:val="en-US"/>
              </w:rPr>
            </w:pPr>
            <w:r w:rsidRPr="005B5713">
              <w:t>Malaysia</w:t>
            </w:r>
          </w:p>
        </w:tc>
      </w:tr>
      <w:tr w:rsidTr="003330CF">
        <w:tblPrEx>
          <w:tblW w:w="5000" w:type="pct"/>
          <w:tblLayout w:type="fixed"/>
          <w:tblLook w:val="00A0"/>
        </w:tblPrEx>
        <w:trPr>
          <w:trHeight w:val="57"/>
        </w:trPr>
        <w:tc>
          <w:tcPr>
            <w:tcW w:w="2356" w:type="pct"/>
            <w:tcBorders>
              <w:right w:val="single" w:sz="4" w:space="0" w:color="auto"/>
            </w:tcBorders>
          </w:tcPr>
          <w:p w:rsidR="005D6EC4" w:rsidRPr="00527BCE" w:rsidP="005D6EC4">
            <w:pPr>
              <w:pStyle w:val="CSBody0"/>
            </w:pPr>
            <w:r w:rsidRPr="00527BCE">
              <w:t>The Complex Products may not be offered, sold, transferred or otherwise disposed directly or indirectly, nor may any document or other material in connection therewith be distributed, other than on a secondary trade to a corporation with total net assets exceeding RM10 million, or its equivalent in foreign currencies, based on the last audited accounts.</w:t>
            </w:r>
          </w:p>
        </w:tc>
        <w:tc>
          <w:tcPr>
            <w:tcW w:w="2644" w:type="pct"/>
            <w:tcBorders>
              <w:left w:val="single" w:sz="4" w:space="0" w:color="auto"/>
            </w:tcBorders>
          </w:tcPr>
          <w:p w:rsidR="005D6EC4" w:rsidRPr="005D6EC4" w:rsidP="005D6EC4">
            <w:pPr>
              <w:pStyle w:val="CSBody0"/>
              <w:rPr>
                <w:lang w:val="de-DE"/>
              </w:rPr>
            </w:pPr>
            <w:r w:rsidRPr="005D6EC4">
              <w:rPr>
                <w:lang w:val="de-DE"/>
              </w:rPr>
              <w:t>Die Komplexen Produkte dürfen nicht angeboten, verkauft, übertragen oder anderweitig direkt oder indirekt veräussert werden, noch dürfen Unterlagen oder sonstige Materialien im Zusammenhang damit verteilt werden, ausser im Sekundärhandel an eine Gesellschaft, deren Nettogesamtvermögen ausgehend vom letzten geprüften Finanzabschluss mehr als RM 10 Mio. bzw. den entsprechenden Gegenwert in einer anderen Währung beträgt.</w:t>
            </w:r>
          </w:p>
        </w:tc>
      </w:tr>
      <w:tr w:rsidTr="003330CF">
        <w:tblPrEx>
          <w:tblW w:w="5000" w:type="pct"/>
          <w:tblLayout w:type="fixed"/>
          <w:tblLook w:val="00A0"/>
        </w:tblPrEx>
        <w:trPr>
          <w:trHeight w:val="57"/>
        </w:trPr>
        <w:tc>
          <w:tcPr>
            <w:tcW w:w="2356" w:type="pct"/>
            <w:tcBorders>
              <w:right w:val="single" w:sz="4" w:space="0" w:color="auto"/>
            </w:tcBorders>
          </w:tcPr>
          <w:p w:rsidR="001E0E28" w:rsidRPr="00E51F0F" w:rsidP="009B67A1">
            <w:pPr>
              <w:pStyle w:val="CSbody0bold"/>
            </w:pPr>
            <w:r w:rsidRPr="00E51F0F">
              <w:t>Marshall Islands</w:t>
            </w:r>
          </w:p>
        </w:tc>
        <w:tc>
          <w:tcPr>
            <w:tcW w:w="2644" w:type="pct"/>
            <w:tcBorders>
              <w:left w:val="single" w:sz="4" w:space="0" w:color="auto"/>
            </w:tcBorders>
          </w:tcPr>
          <w:p w:rsidR="001E0E28" w:rsidRPr="00E51F0F" w:rsidP="009B67A1">
            <w:pPr>
              <w:pStyle w:val="CSbody0bold"/>
            </w:pPr>
            <w:r w:rsidRPr="00E51F0F">
              <w:t>Marshallinseln</w:t>
            </w:r>
          </w:p>
        </w:tc>
      </w:tr>
      <w:tr w:rsidTr="003330CF">
        <w:tblPrEx>
          <w:tblW w:w="5000" w:type="pct"/>
          <w:tblLayout w:type="fixed"/>
          <w:tblLook w:val="00A0"/>
        </w:tblPrEx>
        <w:trPr>
          <w:trHeight w:val="57"/>
        </w:trPr>
        <w:tc>
          <w:tcPr>
            <w:tcW w:w="2356" w:type="pct"/>
            <w:tcBorders>
              <w:right w:val="single" w:sz="4" w:space="0" w:color="auto"/>
            </w:tcBorders>
          </w:tcPr>
          <w:p w:rsidR="005D6EC4" w:rsidRPr="00F63E18" w:rsidP="005D6EC4">
            <w:pPr>
              <w:pStyle w:val="CSBody0"/>
            </w:pPr>
            <w:r w:rsidRPr="00F63E18">
              <w:t>This Document has not been registered with nor does the Republic of the Marshall Islands ("</w:t>
            </w:r>
            <w:r w:rsidRPr="005D6EC4">
              <w:rPr>
                <w:b/>
              </w:rPr>
              <w:t>RMI</w:t>
            </w:r>
            <w:r w:rsidRPr="00F63E18">
              <w:t>") have a securities commission it could be registered with regarding RMI non-resident domestic entities.</w:t>
            </w:r>
          </w:p>
        </w:tc>
        <w:tc>
          <w:tcPr>
            <w:tcW w:w="2644" w:type="pct"/>
            <w:tcBorders>
              <w:left w:val="single" w:sz="4" w:space="0" w:color="auto"/>
            </w:tcBorders>
          </w:tcPr>
          <w:p w:rsidR="005D6EC4" w:rsidRPr="005D6EC4" w:rsidP="005D6EC4">
            <w:pPr>
              <w:pStyle w:val="CSBody0"/>
              <w:rPr>
                <w:lang w:val="de-DE"/>
              </w:rPr>
            </w:pPr>
            <w:r w:rsidRPr="005D6EC4">
              <w:rPr>
                <w:lang w:val="de-DE"/>
              </w:rPr>
              <w:t>Dieses Dokument wurde bei keiner Wertpapieraufsichtsbehörde in der Republik Marschallinseln ("</w:t>
            </w:r>
            <w:r w:rsidRPr="005D6EC4">
              <w:rPr>
                <w:b/>
                <w:lang w:val="de-DE"/>
              </w:rPr>
              <w:t>RMI</w:t>
            </w:r>
            <w:r w:rsidRPr="005D6EC4">
              <w:rPr>
                <w:lang w:val="de-DE"/>
              </w:rPr>
              <w:t>") registriert, und es gibt dort auch keine solche Behörde, bei der dieses Dokument in Bezug auf nicht in der RMI ansässige inländische Unternehmen (</w:t>
            </w:r>
            <w:r w:rsidRPr="005D6EC4">
              <w:rPr>
                <w:i/>
                <w:lang w:val="de-DE"/>
              </w:rPr>
              <w:t>RMI non-resident domestic entities</w:t>
            </w:r>
            <w:r w:rsidRPr="005D6EC4">
              <w:rPr>
                <w:lang w:val="de-DE"/>
              </w:rPr>
              <w:t>) registriert werden könnte.</w:t>
            </w:r>
          </w:p>
        </w:tc>
      </w:tr>
      <w:tr w:rsidTr="003330CF">
        <w:tblPrEx>
          <w:tblW w:w="5000" w:type="pct"/>
          <w:tblLayout w:type="fixed"/>
          <w:tblLook w:val="00A0"/>
        </w:tblPrEx>
        <w:trPr>
          <w:trHeight w:val="57"/>
        </w:trPr>
        <w:tc>
          <w:tcPr>
            <w:tcW w:w="2356" w:type="pct"/>
            <w:tcBorders>
              <w:right w:val="single" w:sz="4" w:space="0" w:color="auto"/>
            </w:tcBorders>
          </w:tcPr>
          <w:p w:rsidR="005D6EC4" w:rsidRPr="00F63E18" w:rsidP="005D6EC4">
            <w:pPr>
              <w:pStyle w:val="CSBody0"/>
            </w:pPr>
            <w:r w:rsidRPr="00F63E18">
              <w:t>The Complex Products to be issued under this Document have not been sold, offered or distributed, and cannot be offered sold or distributed in the Republic of the Marshall Islands except in compliance with applicable Marshall Islands law. There would be no exemptions. This Document cannot be construed as an offer to sell or a solicitation of an offer to sell or a distribution of the Complex Products in or to the general public in the Republic of the Marshall Islands.</w:t>
            </w:r>
          </w:p>
        </w:tc>
        <w:tc>
          <w:tcPr>
            <w:tcW w:w="2644" w:type="pct"/>
            <w:tcBorders>
              <w:left w:val="single" w:sz="4" w:space="0" w:color="auto"/>
            </w:tcBorders>
          </w:tcPr>
          <w:p w:rsidR="005D6EC4" w:rsidRPr="005D6EC4" w:rsidP="005D6EC4">
            <w:pPr>
              <w:pStyle w:val="CSBody0"/>
              <w:rPr>
                <w:lang w:val="de-DE"/>
              </w:rPr>
            </w:pPr>
            <w:r w:rsidRPr="005D6EC4">
              <w:rPr>
                <w:lang w:val="de-DE"/>
              </w:rPr>
              <w:t>Die gemäss diesem Dokument zu begebenden Komplexen Produkte wurden in der Republik Marschallinseln nicht verkauft, angeboten oder verbreitet und können dort nicht angeboten, verkauft oder verbreitet werden, ausser in Übereinstimmung mit dem geltenden Recht der Republik Marschallinseln. Ausnahmeregelungen sind nicht vorgesehen. Dieses Dokument ist nicht als ein in der Republik Marshallinseln ergangenes oder der dortigen Öffentlichkeit unterbreitetes Angebot bzw. eine in der Republik Marshallinseln ergangene oder an die dortige Öffentlichkeit gerichtete Aufforderung zur Abgabe eines Angebots für den Verkauf der Komplexen Produkte oder eine Verbreitung der Komplexen Produkte in der Republik Marshallinseln oder an die dortige Öffentlichkeit auszulegen.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9B67A1">
            <w:pPr>
              <w:pStyle w:val="CSbody0bold"/>
              <w:rPr>
                <w:lang w:val="en-US"/>
              </w:rPr>
            </w:pPr>
            <w:r w:rsidRPr="005B5713">
              <w:t>Mexico</w:t>
            </w:r>
          </w:p>
        </w:tc>
        <w:tc>
          <w:tcPr>
            <w:tcW w:w="2644" w:type="pct"/>
            <w:tcBorders>
              <w:left w:val="single" w:sz="4" w:space="0" w:color="auto"/>
            </w:tcBorders>
          </w:tcPr>
          <w:p w:rsidR="001E0E28" w:rsidRPr="005B5713" w:rsidP="009B67A1">
            <w:pPr>
              <w:pStyle w:val="CSbody0bold"/>
              <w:rPr>
                <w:lang w:val="en-US"/>
              </w:rPr>
            </w:pPr>
            <w:r w:rsidRPr="005B5713">
              <w:rPr>
                <w:lang w:val="en-US"/>
              </w:rPr>
              <w:t>Mexico</w:t>
            </w:r>
          </w:p>
        </w:tc>
      </w:tr>
      <w:tr w:rsidTr="003330CF">
        <w:tblPrEx>
          <w:tblW w:w="5000" w:type="pct"/>
          <w:tblLayout w:type="fixed"/>
          <w:tblLook w:val="00A0"/>
        </w:tblPrEx>
        <w:trPr>
          <w:trHeight w:val="57"/>
        </w:trPr>
        <w:tc>
          <w:tcPr>
            <w:tcW w:w="2356" w:type="pct"/>
            <w:tcBorders>
              <w:right w:val="single" w:sz="4" w:space="0" w:color="auto"/>
            </w:tcBorders>
          </w:tcPr>
          <w:p w:rsidR="005D6EC4" w:rsidRPr="00DD0A1B" w:rsidP="005D6EC4">
            <w:pPr>
              <w:pStyle w:val="CSBody0"/>
            </w:pPr>
            <w:r w:rsidRPr="00DD0A1B">
              <w:t>The information contained in this Document is exclusively responsability of the Issuer and has not been and will not be reviewed by the Mexican National Banking and Securities Commission (</w:t>
            </w:r>
            <w:r w:rsidRPr="005D6EC4">
              <w:rPr>
                <w:i/>
              </w:rPr>
              <w:t>Comisión Nacional Bancaria y de Valores</w:t>
            </w:r>
            <w:r w:rsidRPr="00DD0A1B">
              <w:t>; the "</w:t>
            </w:r>
            <w:r w:rsidRPr="005D6EC4">
              <w:rPr>
                <w:b/>
              </w:rPr>
              <w:t>CNBV</w:t>
            </w:r>
            <w:r w:rsidRPr="00DD0A1B">
              <w:t>"). The Complex Products have not been, and will not be, registered with the National Securities Registry (</w:t>
            </w:r>
            <w:r w:rsidRPr="005D6EC4">
              <w:rPr>
                <w:i/>
              </w:rPr>
              <w:t>Registro Nacional de Valores</w:t>
            </w:r>
            <w:r w:rsidRPr="00DD0A1B">
              <w:t>) maintained by the CNBV and, therefore the Complex Products may not be publicly offered or sold nor be the subject of intermediation in Mexico, publicly or otherwise, except that the Complex Products may be offered in Mexico to institutional and qualified investors, pursuant to the private placement exception set forth in Article 8 of the Mexican Securities Market Law and the regulations issued thereunder. This document is not intended to be distributed through mass media to indeterminate subjects.</w:t>
            </w:r>
          </w:p>
        </w:tc>
        <w:tc>
          <w:tcPr>
            <w:tcW w:w="2644" w:type="pct"/>
            <w:tcBorders>
              <w:left w:val="single" w:sz="4" w:space="0" w:color="auto"/>
            </w:tcBorders>
          </w:tcPr>
          <w:p w:rsidR="005D6EC4" w:rsidRPr="005D6EC4" w:rsidP="005D6EC4">
            <w:pPr>
              <w:pStyle w:val="CSBody0"/>
              <w:rPr>
                <w:lang w:val="de-DE"/>
              </w:rPr>
            </w:pPr>
            <w:r w:rsidRPr="005D6EC4">
              <w:rPr>
                <w:lang w:val="de-DE"/>
              </w:rPr>
              <w:t>Für die in diesem Dokument enthaltenen Angaben ist die Emittentin allein verantwortlich, und die Angaben wurden und werden nicht von der mexikanischen Nationalen Kommission für das Banken- und Wertpapierwesen (</w:t>
            </w:r>
            <w:r w:rsidRPr="005D6EC4">
              <w:rPr>
                <w:i/>
                <w:lang w:val="de-DE"/>
              </w:rPr>
              <w:t>Comisión Nacional Bancaria y de Valores</w:t>
            </w:r>
            <w:r w:rsidRPr="005D6EC4">
              <w:rPr>
                <w:lang w:val="de-DE"/>
              </w:rPr>
              <w:t>; die "</w:t>
            </w:r>
            <w:r w:rsidRPr="005D6EC4">
              <w:rPr>
                <w:b/>
                <w:lang w:val="de-DE"/>
              </w:rPr>
              <w:t>CNBV</w:t>
            </w:r>
            <w:r w:rsidRPr="005D6EC4">
              <w:rPr>
                <w:lang w:val="de-DE"/>
              </w:rPr>
              <w:t>") geprüft. Die Komplexen Produkte sind und werden nicht beim Nationalen Wertpapierregister (</w:t>
            </w:r>
            <w:r w:rsidRPr="005D6EC4">
              <w:rPr>
                <w:i/>
                <w:lang w:val="de-DE"/>
              </w:rPr>
              <w:t>Registro Nacional de Valores</w:t>
            </w:r>
            <w:r w:rsidRPr="005D6EC4">
              <w:rPr>
                <w:lang w:val="de-DE"/>
              </w:rPr>
              <w:t>), das von der CNBV geführt wird, registriert, weshalb die Komplexen Produkte in Mexiko nicht öffentlich angeboten oder verkauft oder öffentlich oder anderweitig über Intermediäre vertrieben werden dürfen. Von dieser Beschränkung abweichend dürfen die Komplexen Produkte gem. der in Artikel 8 des mexikanischen Wertpapierhandelsgesetzes und den darunter erlassenen Vorschriften geregelten Ausnahme für Privatplatzierungen institutionellen und qualifizierten Anlegern in Mexiko angeboten werden. Dieses Dokument ist nicht dazu bestimmt, über die Massenmedien an nicht näher bestimmte Kreise verbreitet zu werden.</w:t>
            </w:r>
          </w:p>
        </w:tc>
      </w:tr>
      <w:tr w:rsidTr="003330CF">
        <w:tblPrEx>
          <w:tblW w:w="5000" w:type="pct"/>
          <w:tblLayout w:type="fixed"/>
          <w:tblLook w:val="00A0"/>
        </w:tblPrEx>
        <w:trPr>
          <w:trHeight w:val="57"/>
        </w:trPr>
        <w:tc>
          <w:tcPr>
            <w:tcW w:w="2356" w:type="pct"/>
            <w:tcBorders>
              <w:right w:val="single" w:sz="4" w:space="0" w:color="auto"/>
            </w:tcBorders>
          </w:tcPr>
          <w:p w:rsidR="005D6EC4" w:rsidRPr="00DD0A1B" w:rsidP="005D6EC4">
            <w:pPr>
              <w:pStyle w:val="CSBody0"/>
            </w:pPr>
            <w:r w:rsidRPr="00DD0A1B">
              <w:t>No financial authority or securities exchange in Mexico, including the CNBV, has reviewed or assessed the particulars of the Complex Products or their offering, and in no case will they certify as to the investment quality of the Complex Products, the solvency, liquidity or credit quality of the Issuer or the accuracy or completeness of the information included in this Document. In making an investment decision, Mexican investors who may acquire Complex Products from time to time, must rely on their own review and examination of the Issuer and the information contained in this Document .</w:t>
            </w:r>
          </w:p>
        </w:tc>
        <w:tc>
          <w:tcPr>
            <w:tcW w:w="2644" w:type="pct"/>
            <w:tcBorders>
              <w:left w:val="single" w:sz="4" w:space="0" w:color="auto"/>
            </w:tcBorders>
          </w:tcPr>
          <w:p w:rsidR="005D6EC4" w:rsidRPr="005D6EC4" w:rsidP="005D6EC4">
            <w:pPr>
              <w:pStyle w:val="CSBody0"/>
              <w:rPr>
                <w:lang w:val="de-DE"/>
              </w:rPr>
            </w:pPr>
            <w:r w:rsidRPr="005D6EC4">
              <w:rPr>
                <w:lang w:val="de-DE"/>
              </w:rPr>
              <w:t>Die Angaben über die Komplexen Produkte oder ihr Angebot wurden von keiner Finanzbehörde oder Wertpapierbörse in Mexiko, einschliesslich der CNBV, geprüft oder bewertet, und diese geben in keinem Falle Bestätigungen hinsichtlich der Investmentqualität der Komplexen Produkte, der Solvenz, Liquidität oder Bonität der Emittentin oder der Richtigkeit oder Vollständigkeit der in diesem Dokument enthaltenen Informationen ab. Mexikanische Anleger, die jeweils Komplexe Produkte erwerben, müssen ihre Anlageentscheidung auf ihre unabhängige Prüfung und Bewertung der Emittentin und der in diesem Dokument enthaltenen Informationen stützen.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9B67A1">
            <w:pPr>
              <w:pStyle w:val="CSbody0bold"/>
            </w:pPr>
            <w:r w:rsidRPr="005B5713">
              <w:t>Monaco</w:t>
            </w:r>
          </w:p>
        </w:tc>
        <w:tc>
          <w:tcPr>
            <w:tcW w:w="2644" w:type="pct"/>
            <w:tcBorders>
              <w:left w:val="single" w:sz="4" w:space="0" w:color="auto"/>
            </w:tcBorders>
          </w:tcPr>
          <w:p w:rsidR="001E0E28" w:rsidRPr="005B5713" w:rsidP="009B67A1">
            <w:pPr>
              <w:pStyle w:val="CSbody0bold"/>
            </w:pPr>
            <w:r w:rsidRPr="005B5713">
              <w:t>Monaco</w:t>
            </w:r>
          </w:p>
        </w:tc>
      </w:tr>
      <w:tr w:rsidTr="003330CF">
        <w:tblPrEx>
          <w:tblW w:w="5000" w:type="pct"/>
          <w:tblLayout w:type="fixed"/>
          <w:tblLook w:val="00A0"/>
        </w:tblPrEx>
        <w:trPr>
          <w:trHeight w:val="57"/>
        </w:trPr>
        <w:tc>
          <w:tcPr>
            <w:tcW w:w="2356" w:type="pct"/>
            <w:tcBorders>
              <w:right w:val="single" w:sz="4" w:space="0" w:color="auto"/>
            </w:tcBorders>
          </w:tcPr>
          <w:p w:rsidR="005D6EC4" w:rsidRPr="00C8514B" w:rsidP="005D6EC4">
            <w:pPr>
              <w:pStyle w:val="CSBody0"/>
            </w:pPr>
            <w:r w:rsidRPr="00C8514B">
              <w:t xml:space="preserve">Marketing of financial products can be achieved only on the Monegasque territory by institutions duly licensed by the </w:t>
            </w:r>
            <w:r w:rsidRPr="005D6EC4">
              <w:rPr>
                <w:i/>
              </w:rPr>
              <w:t>Commission de Contrôle des Activités Financières</w:t>
            </w:r>
            <w:r w:rsidRPr="00C8514B">
              <w:t>. Direct marketing of financial products by non authorized companies in principality of Monaco is fully prohibited The Complex Products may not be offered or sold, directly or indirectly, to the public in Monaco other than by a Monaco duly authorized intermediary acting as a professional institutional investor which has such experience in financial and business matters as to be capable of evaluating the risks and merits of an investment in the Complex Products. Consequently, this Document may only be communicated to banks as defined in Article L 511.1 of the French "</w:t>
            </w:r>
            <w:r w:rsidRPr="005D6EC4">
              <w:rPr>
                <w:i/>
              </w:rPr>
              <w:t>Code monétaire et financier</w:t>
            </w:r>
            <w:r w:rsidRPr="00C8514B">
              <w:t>", registered in Monaco and duly licensed by the French "</w:t>
            </w:r>
            <w:r w:rsidRPr="005D6EC4">
              <w:rPr>
                <w:i/>
              </w:rPr>
              <w:t>Autorité de Contrôle Prudentiel</w:t>
            </w:r>
            <w:r w:rsidRPr="00C8514B">
              <w:t>" and the Monegasque "Commission de Controle des Activités Financières", and fully licensed portfolio management companies registered in Monaco by virtue of Law n° 1.338 of 7 September, 2007 and Sovereign Ordinance n° 1.224 of 10 September, 2007, and duly licensed by the "</w:t>
            </w:r>
            <w:r w:rsidRPr="005D6EC4">
              <w:rPr>
                <w:i/>
              </w:rPr>
              <w:t>Commission de Contrôle des Activités Financières</w:t>
            </w:r>
            <w:r w:rsidRPr="00C8514B">
              <w:t>" and to other persons if this Document is communicated through such banks or licensed portfolio management companies.</w:t>
            </w:r>
          </w:p>
        </w:tc>
        <w:tc>
          <w:tcPr>
            <w:tcW w:w="2644" w:type="pct"/>
            <w:tcBorders>
              <w:left w:val="single" w:sz="4" w:space="0" w:color="auto"/>
            </w:tcBorders>
          </w:tcPr>
          <w:p w:rsidR="005D6EC4" w:rsidRPr="005D6EC4" w:rsidP="005D6EC4">
            <w:pPr>
              <w:pStyle w:val="CSBody0"/>
              <w:rPr>
                <w:lang w:val="de-DE"/>
              </w:rPr>
            </w:pPr>
            <w:r w:rsidRPr="005D6EC4">
              <w:rPr>
                <w:lang w:val="de-DE"/>
              </w:rPr>
              <w:t>Die Vermarktung von Finanzprodukten im Staatsgebiet von Monaco ist nur durch von der monegassischen Finanzaufsichtsbehörde (</w:t>
            </w:r>
            <w:r w:rsidRPr="005D6EC4">
              <w:rPr>
                <w:i/>
                <w:lang w:val="de-DE"/>
              </w:rPr>
              <w:t>Commission de Contrôle des Activités Financières</w:t>
            </w:r>
            <w:r w:rsidRPr="005D6EC4">
              <w:rPr>
                <w:lang w:val="de-DE"/>
              </w:rPr>
              <w:t>) ordungsgemäss zugelassene Institute möglich. Die direkte Vermarktung von Finanzprodukten durch nicht autorisierte Unternehmen ist im Fürstentum Monaco vollumfänglich untersagt. Die Komplexen Produkte dürfen weder direkt noch indirekt in Monaco öffentlich angeboten oder verkauft werden, es sei denn, das Angebot oder der Verkauf erfolgt durch einen in Monaco ansässigen und ordnungsgemäss autorisierten Vermittler, der als professioneller institutioneller Anleger agiert und über ausreichende Erfahrungswerte in Finanz- und Geschäftsangelegenheiten verfügt, um in der Lage zu sein, die mit einer Anlage in die Komplexen Produkte verbundenen Chancen und Risiken beurteilen zu können. Folglich darf dieses Dokument ausschliesslich an in Monaco registrierte und von der französischen Aufsichtsbehörde ("</w:t>
            </w:r>
            <w:r w:rsidRPr="005D6EC4">
              <w:rPr>
                <w:i/>
                <w:lang w:val="de-DE"/>
              </w:rPr>
              <w:t>Autorité de Contrôle Prudentiel</w:t>
            </w:r>
            <w:r w:rsidRPr="005D6EC4">
              <w:rPr>
                <w:lang w:val="de-DE"/>
              </w:rPr>
              <w:t>") und der monegassischen Finanzaufsichtsbehörde ordnungsgemäss zugelassene Banken im Sinne des Art. L 511.1 des französischen Gesetzbuches über das Währungs- und Finanzwesen ("</w:t>
            </w:r>
            <w:r w:rsidRPr="005D6EC4">
              <w:rPr>
                <w:i/>
                <w:lang w:val="de-DE"/>
              </w:rPr>
              <w:t>Code monétaire et financier</w:t>
            </w:r>
            <w:r w:rsidRPr="005D6EC4">
              <w:rPr>
                <w:lang w:val="de-DE"/>
              </w:rPr>
              <w:t>") und an Vermögensverwaltungsgesellschaften mit uneingeschränkter Zulassung, die nach dem Gesetz (Loi) Nr. 1.338 vom 7. September 2007 und der Fürstlichen Verordnung (</w:t>
            </w:r>
            <w:r w:rsidRPr="005D6EC4">
              <w:rPr>
                <w:i/>
                <w:lang w:val="de-DE"/>
              </w:rPr>
              <w:t>Ordonnance Souveraine</w:t>
            </w:r>
            <w:r w:rsidRPr="005D6EC4">
              <w:rPr>
                <w:lang w:val="de-DE"/>
              </w:rPr>
              <w:t>) Nr. 1.224 vom 10. September 2007 in Monaco eingetragen und von der monegassischen Aufsichtsbehörde ("</w:t>
            </w:r>
            <w:r w:rsidRPr="005D6EC4">
              <w:rPr>
                <w:i/>
                <w:lang w:val="de-DE"/>
              </w:rPr>
              <w:t>Commission de Contrôle des Activités Financières</w:t>
            </w:r>
            <w:r w:rsidRPr="005D6EC4">
              <w:rPr>
                <w:lang w:val="de-DE"/>
              </w:rPr>
              <w:t>") ordnungsgemäss zugelassen sind, übermittelt werden; eine Übermittlung an sonstige Personen ist nur zulässig, soweit sie über die vorgenannten Banken bzw. zugelassenen Vermögensverwaltungsgesellschaften erfolgt.</w:t>
            </w:r>
          </w:p>
        </w:tc>
      </w:tr>
      <w:tr w:rsidTr="003330CF">
        <w:tblPrEx>
          <w:tblW w:w="5000" w:type="pct"/>
          <w:tblLayout w:type="fixed"/>
          <w:tblLook w:val="00A0"/>
        </w:tblPrEx>
        <w:trPr>
          <w:trHeight w:val="57"/>
        </w:trPr>
        <w:tc>
          <w:tcPr>
            <w:tcW w:w="2356" w:type="pct"/>
            <w:tcBorders>
              <w:right w:val="single" w:sz="4" w:space="0" w:color="auto"/>
            </w:tcBorders>
          </w:tcPr>
          <w:p w:rsidR="001E0E28" w:rsidRPr="009B67A1" w:rsidP="009B67A1">
            <w:pPr>
              <w:pStyle w:val="CSbody0bold"/>
            </w:pPr>
            <w:r w:rsidRPr="009B67A1">
              <w:t>Morocco</w:t>
            </w:r>
          </w:p>
        </w:tc>
        <w:tc>
          <w:tcPr>
            <w:tcW w:w="2644" w:type="pct"/>
            <w:tcBorders>
              <w:left w:val="single" w:sz="4" w:space="0" w:color="auto"/>
            </w:tcBorders>
          </w:tcPr>
          <w:p w:rsidR="001E0E28" w:rsidRPr="009B67A1" w:rsidP="009B67A1">
            <w:pPr>
              <w:pStyle w:val="CSbody0bold"/>
            </w:pPr>
            <w:r w:rsidRPr="009B67A1">
              <w:t>Marokko</w:t>
            </w:r>
          </w:p>
        </w:tc>
      </w:tr>
      <w:tr w:rsidTr="003330CF">
        <w:tblPrEx>
          <w:tblW w:w="5000" w:type="pct"/>
          <w:tblLayout w:type="fixed"/>
          <w:tblLook w:val="00A0"/>
        </w:tblPrEx>
        <w:trPr>
          <w:trHeight w:val="57"/>
        </w:trPr>
        <w:tc>
          <w:tcPr>
            <w:tcW w:w="2356" w:type="pct"/>
            <w:tcBorders>
              <w:right w:val="single" w:sz="4" w:space="0" w:color="auto"/>
            </w:tcBorders>
          </w:tcPr>
          <w:p w:rsidR="005D6EC4" w:rsidRPr="00062B7D" w:rsidP="005D6EC4">
            <w:pPr>
              <w:pStyle w:val="CSBody0"/>
            </w:pPr>
            <w:r w:rsidRPr="00062B7D">
              <w:t>The Complex Products to be issued under this Document have not been offered or sold, and will not be offered and sold, directly or indirectly, to the public in the Kingdom of Morocco, and this Document or any other offering material relating to the Complex Products will not be distributed to the public in the Kingdom of Morocco, except on a private placement basis to qualified investors (</w:t>
            </w:r>
            <w:r w:rsidRPr="005D6EC4">
              <w:rPr>
                <w:i/>
              </w:rPr>
              <w:t>investisseurs qualifies</w:t>
            </w:r>
            <w:r w:rsidRPr="00062B7D">
              <w:t>) as defined in, and in accordance with, article 12-3 of the Moroccan law 1-93-212 of 21 September 1993, as amended.</w:t>
            </w:r>
          </w:p>
        </w:tc>
        <w:tc>
          <w:tcPr>
            <w:tcW w:w="2644" w:type="pct"/>
            <w:tcBorders>
              <w:left w:val="single" w:sz="4" w:space="0" w:color="auto"/>
            </w:tcBorders>
          </w:tcPr>
          <w:p w:rsidR="005D6EC4" w:rsidRPr="005D6EC4" w:rsidP="005D6EC4">
            <w:pPr>
              <w:pStyle w:val="CSBody0"/>
              <w:rPr>
                <w:lang w:val="de-DE"/>
              </w:rPr>
            </w:pPr>
            <w:r w:rsidRPr="005D6EC4">
              <w:rPr>
                <w:lang w:val="de-DE"/>
              </w:rPr>
              <w:t>Die gemäss diesem Dokument zu begebenden Komplexen Produkte wurden und werden weder direkt noch indirekt im Königreich Marokko öffentlich angeboten oder verkauft, und dieses Dokument oder sonstige Angebotsunterlagen zu den Komplexen Produkten wird bzw. werden im Königreich Marokko nicht öffentlich verbreitet, ausser im Rahmen von Privatplatzierungen an qualifizierte Anleger (</w:t>
            </w:r>
            <w:r w:rsidRPr="005D6EC4">
              <w:rPr>
                <w:i/>
                <w:lang w:val="de-DE"/>
              </w:rPr>
              <w:t>investisseurs qualifiés</w:t>
            </w:r>
            <w:r w:rsidRPr="005D6EC4">
              <w:rPr>
                <w:lang w:val="de-DE"/>
              </w:rPr>
              <w:t>) im Sinne der Definition des Begriffs in Artikel 12-3 des marokkanischen Gesetzes 1-93-212 vom 21. September 1993 in der jeweils geänderten Fassung, die gemäss Artikel 12-3 dieses Gesetzes erfolgen.</w:t>
            </w:r>
          </w:p>
        </w:tc>
      </w:tr>
      <w:tr w:rsidTr="003330CF">
        <w:tblPrEx>
          <w:tblW w:w="5000" w:type="pct"/>
          <w:tblLayout w:type="fixed"/>
          <w:tblLook w:val="00A0"/>
        </w:tblPrEx>
        <w:trPr>
          <w:trHeight w:val="57"/>
        </w:trPr>
        <w:tc>
          <w:tcPr>
            <w:tcW w:w="2356" w:type="pct"/>
            <w:tcBorders>
              <w:right w:val="single" w:sz="4" w:space="0" w:color="auto"/>
            </w:tcBorders>
          </w:tcPr>
          <w:p w:rsidR="005D6EC4" w:rsidRPr="00393A38" w:rsidP="005D6EC4">
            <w:pPr>
              <w:pStyle w:val="CSbody0bold"/>
            </w:pPr>
            <w:r w:rsidRPr="00393A38">
              <w:t>The Netherlands</w:t>
            </w:r>
          </w:p>
        </w:tc>
        <w:tc>
          <w:tcPr>
            <w:tcW w:w="2644" w:type="pct"/>
            <w:tcBorders>
              <w:left w:val="single" w:sz="4" w:space="0" w:color="auto"/>
            </w:tcBorders>
          </w:tcPr>
          <w:p w:rsidR="005D6EC4" w:rsidRPr="00393A38" w:rsidP="005D6EC4">
            <w:pPr>
              <w:pStyle w:val="CSbody0bold"/>
            </w:pPr>
            <w:r w:rsidRPr="00393A38">
              <w:t>Niederlande</w:t>
            </w:r>
          </w:p>
        </w:tc>
      </w:tr>
      <w:tr w:rsidTr="003330CF">
        <w:tblPrEx>
          <w:tblW w:w="5000" w:type="pct"/>
          <w:tblLayout w:type="fixed"/>
          <w:tblLook w:val="00A0"/>
        </w:tblPrEx>
        <w:trPr>
          <w:trHeight w:val="57"/>
        </w:trPr>
        <w:tc>
          <w:tcPr>
            <w:tcW w:w="2356" w:type="pct"/>
            <w:tcBorders>
              <w:right w:val="single" w:sz="4" w:space="0" w:color="auto"/>
            </w:tcBorders>
          </w:tcPr>
          <w:p w:rsidR="005D6EC4" w:rsidRPr="00393A38" w:rsidP="005D6EC4">
            <w:pPr>
              <w:pStyle w:val="CSBody0"/>
            </w:pPr>
            <w:r w:rsidRPr="00393A38">
              <w:t>Unless it is specified within the applicable Final Terms that a non-exempt offer may be made in the Netherlands in accordance with the Dutch Financial Supervision Act (</w:t>
            </w:r>
            <w:r w:rsidRPr="005D6EC4">
              <w:rPr>
                <w:i/>
              </w:rPr>
              <w:t>Wet op het financieel toezicht</w:t>
            </w:r>
            <w:r w:rsidRPr="00393A38">
              <w:t>), the Complex Products as described in this Document may only be offered to Qualified Investors (as defined in the Prospectus Directive).</w:t>
            </w:r>
          </w:p>
        </w:tc>
        <w:tc>
          <w:tcPr>
            <w:tcW w:w="2644" w:type="pct"/>
            <w:tcBorders>
              <w:left w:val="single" w:sz="4" w:space="0" w:color="auto"/>
            </w:tcBorders>
          </w:tcPr>
          <w:p w:rsidR="005D6EC4" w:rsidRPr="005D6EC4" w:rsidP="005D6EC4">
            <w:pPr>
              <w:pStyle w:val="CSBody0"/>
              <w:rPr>
                <w:lang w:val="de-DE"/>
              </w:rPr>
            </w:pPr>
            <w:r w:rsidRPr="005D6EC4">
              <w:rPr>
                <w:lang w:val="de-DE"/>
              </w:rPr>
              <w:t>Ausser soweit in den anwendbaren Endgültigen Bedingungen angegeben ist, dass ein nicht einer Befreiung unterliegendes Angebot in den Niederlanden nach Massgabe des niederländischen Gesetzes über die Finanzaufsicht (</w:t>
            </w:r>
            <w:r w:rsidRPr="005D6EC4">
              <w:rPr>
                <w:i/>
                <w:lang w:val="de-DE"/>
              </w:rPr>
              <w:t>Wet op het financieel toezicht</w:t>
            </w:r>
            <w:r w:rsidRPr="005D6EC4">
              <w:rPr>
                <w:lang w:val="de-DE"/>
              </w:rPr>
              <w:t>) erfolgen kann, dürfen die Komplexen Produkte wie in diesem Dokument beschrieben nur an Qualifizierte Anleger (wie in der Prospektrichtlinie definiert) angeboten werden.</w:t>
            </w:r>
          </w:p>
        </w:tc>
      </w:tr>
      <w:tr w:rsidTr="003330CF">
        <w:tblPrEx>
          <w:tblW w:w="5000" w:type="pct"/>
          <w:tblLayout w:type="fixed"/>
          <w:tblLook w:val="00A0"/>
        </w:tblPrEx>
        <w:trPr>
          <w:trHeight w:val="57"/>
        </w:trPr>
        <w:tc>
          <w:tcPr>
            <w:tcW w:w="2356" w:type="pct"/>
            <w:tcBorders>
              <w:right w:val="single" w:sz="4" w:space="0" w:color="auto"/>
            </w:tcBorders>
          </w:tcPr>
          <w:p w:rsidR="001E0E28" w:rsidRPr="009B67A1" w:rsidP="009B67A1">
            <w:pPr>
              <w:pStyle w:val="CSbody0bold"/>
            </w:pPr>
            <w:r w:rsidRPr="009B67A1">
              <w:t>Panama</w:t>
            </w:r>
          </w:p>
        </w:tc>
        <w:tc>
          <w:tcPr>
            <w:tcW w:w="2644" w:type="pct"/>
            <w:tcBorders>
              <w:left w:val="single" w:sz="4" w:space="0" w:color="auto"/>
            </w:tcBorders>
          </w:tcPr>
          <w:p w:rsidR="001E0E28" w:rsidRPr="009B67A1" w:rsidP="009B67A1">
            <w:pPr>
              <w:pStyle w:val="CSbody0bold"/>
            </w:pPr>
            <w:r w:rsidRPr="009B67A1">
              <w:t>Panama</w:t>
            </w:r>
          </w:p>
        </w:tc>
      </w:tr>
      <w:tr w:rsidTr="003330CF">
        <w:tblPrEx>
          <w:tblW w:w="5000" w:type="pct"/>
          <w:tblLayout w:type="fixed"/>
          <w:tblLook w:val="00A0"/>
        </w:tblPrEx>
        <w:trPr>
          <w:trHeight w:val="57"/>
        </w:trPr>
        <w:tc>
          <w:tcPr>
            <w:tcW w:w="2356" w:type="pct"/>
            <w:tcBorders>
              <w:right w:val="single" w:sz="4" w:space="0" w:color="auto"/>
            </w:tcBorders>
          </w:tcPr>
          <w:p w:rsidR="005D6EC4" w:rsidRPr="00CF463E" w:rsidP="005D6EC4">
            <w:pPr>
              <w:pStyle w:val="CSBody0"/>
            </w:pPr>
            <w:r w:rsidRPr="00CF463E">
              <w:t>The Complex Products to be issued under this Document will not be registered in the Securities Exchange Commission ("</w:t>
            </w:r>
            <w:r w:rsidRPr="005D6EC4">
              <w:rPr>
                <w:i/>
              </w:rPr>
              <w:t>Superintendencia del Mercado de Valores</w:t>
            </w:r>
            <w:r w:rsidRPr="00CF463E">
              <w:t>" or "</w:t>
            </w:r>
            <w:r w:rsidRPr="005D6EC4">
              <w:rPr>
                <w:b/>
              </w:rPr>
              <w:t>SMV</w:t>
            </w:r>
            <w:r w:rsidRPr="00CF463E">
              <w:t>") of Panama and will be traded in compliance with Law Decree 1 of 1999 and its amendments and Title II of Law 67 of 2011 of Panama, which were combined into a Single Text Document in Panama’s Official Gazette ("</w:t>
            </w:r>
            <w:r w:rsidRPr="008810D6">
              <w:rPr>
                <w:i/>
              </w:rPr>
              <w:t>Gaceta Oficial</w:t>
            </w:r>
            <w:r w:rsidRPr="00CF463E">
              <w:t>") No. 26979-A of 23 February 2012 ("</w:t>
            </w:r>
            <w:r w:rsidRPr="008810D6">
              <w:rPr>
                <w:b/>
              </w:rPr>
              <w:t>Law</w:t>
            </w:r>
            <w:r w:rsidRPr="00CF463E">
              <w:t>"), in particular with Article 129 of the Law that describes which trades are exempt from registration in the SMV. The Complex Products to be issued under this Document will be offered to the public through licensed branches or brokers in Panama.</w:t>
            </w:r>
          </w:p>
        </w:tc>
        <w:tc>
          <w:tcPr>
            <w:tcW w:w="2644" w:type="pct"/>
            <w:tcBorders>
              <w:left w:val="single" w:sz="4" w:space="0" w:color="auto"/>
            </w:tcBorders>
          </w:tcPr>
          <w:p w:rsidR="005D6EC4" w:rsidRPr="005D6EC4" w:rsidP="005D6EC4">
            <w:pPr>
              <w:pStyle w:val="CSBody0"/>
              <w:rPr>
                <w:lang w:val="de-DE"/>
              </w:rPr>
            </w:pPr>
            <w:r w:rsidRPr="005D6EC4">
              <w:rPr>
                <w:lang w:val="de-DE"/>
              </w:rPr>
              <w:t>Die gemäss diesem Dokument zu begebenden Komplexen Produkte werden nicht bei der Börsenaufsichtsbehörde ("</w:t>
            </w:r>
            <w:r w:rsidRPr="005D6EC4">
              <w:rPr>
                <w:i/>
                <w:lang w:val="de-DE"/>
              </w:rPr>
              <w:t>Superintendencia del Mercado de Valores</w:t>
            </w:r>
            <w:r w:rsidRPr="005D6EC4">
              <w:rPr>
                <w:lang w:val="de-DE"/>
              </w:rPr>
              <w:t>" oder "</w:t>
            </w:r>
            <w:r w:rsidRPr="005D6EC4">
              <w:rPr>
                <w:b/>
                <w:lang w:val="de-DE"/>
              </w:rPr>
              <w:t>SMV</w:t>
            </w:r>
            <w:r w:rsidRPr="005D6EC4">
              <w:rPr>
                <w:lang w:val="de-DE"/>
              </w:rPr>
              <w:t>") von Panama registriert, und der Handel mit den Komplexen Produkten erfolgt in Übereinstimmung mit dem Gesetzesdekret Nr. 1 von 1999 und seinen Änderungen sowie Kapitel II des Gesetzes Nr. 67 von 2011 von Panama, die im Amtsblatt von Panama ("</w:t>
            </w:r>
            <w:r w:rsidRPr="008810D6">
              <w:rPr>
                <w:i/>
                <w:lang w:val="de-DE"/>
              </w:rPr>
              <w:t>Gaceta Oficial</w:t>
            </w:r>
            <w:r w:rsidRPr="005D6EC4">
              <w:rPr>
                <w:lang w:val="de-DE"/>
              </w:rPr>
              <w:t>") Nr. 26979-A vom 23. Februar 2012 zu einem einzigen Dokument zusammengefasst wurden (das "</w:t>
            </w:r>
            <w:r w:rsidRPr="008810D6">
              <w:rPr>
                <w:b/>
                <w:lang w:val="de-DE"/>
              </w:rPr>
              <w:t>Gesetz</w:t>
            </w:r>
            <w:r w:rsidRPr="005D6EC4">
              <w:rPr>
                <w:lang w:val="de-DE"/>
              </w:rPr>
              <w:t>"), insbesondere in Übereinstimmung mit Artikel 129 des Gesetzes, in dem angegeben ist, welche Transaktionen von der Pflicht zur Registrierung bei der SMV befreit sind. Die gemäss diesem Dokument zu begebenden Komplexen Produkte werden über zugelassene Niederlassungen oder Broker in Panama öffentlich angeboten.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3177FA">
            <w:pPr>
              <w:pStyle w:val="CSbody0bold"/>
            </w:pPr>
            <w:r w:rsidRPr="005B5713">
              <w:t>People's Republic of China</w:t>
            </w:r>
          </w:p>
        </w:tc>
        <w:tc>
          <w:tcPr>
            <w:tcW w:w="2644" w:type="pct"/>
            <w:tcBorders>
              <w:left w:val="single" w:sz="4" w:space="0" w:color="auto"/>
            </w:tcBorders>
          </w:tcPr>
          <w:p w:rsidR="001E0E28" w:rsidRPr="005B5713" w:rsidP="003177FA">
            <w:pPr>
              <w:pStyle w:val="CSbody0bold"/>
            </w:pPr>
            <w:r w:rsidRPr="005B5713">
              <w:t>Volksrepublik China</w:t>
            </w:r>
          </w:p>
        </w:tc>
      </w:tr>
      <w:tr w:rsidTr="003330CF">
        <w:tblPrEx>
          <w:tblW w:w="5000" w:type="pct"/>
          <w:tblLayout w:type="fixed"/>
          <w:tblLook w:val="00A0"/>
        </w:tblPrEx>
        <w:trPr>
          <w:trHeight w:val="57"/>
        </w:trPr>
        <w:tc>
          <w:tcPr>
            <w:tcW w:w="2356" w:type="pct"/>
            <w:tcBorders>
              <w:right w:val="single" w:sz="4" w:space="0" w:color="auto"/>
            </w:tcBorders>
          </w:tcPr>
          <w:p w:rsidR="008810D6" w:rsidRPr="00165D99" w:rsidP="008810D6">
            <w:pPr>
              <w:pStyle w:val="CSBody0"/>
            </w:pPr>
            <w:r w:rsidRPr="00165D99">
              <w:t>The Complex Products may not be offered, sold or delivered, or offered or sold or delivered to any person for reoffering or resale or redelivery in the People's Republic of China (the "</w:t>
            </w:r>
            <w:r w:rsidRPr="008810D6">
              <w:rPr>
                <w:b/>
              </w:rPr>
              <w:t>PRC</w:t>
            </w:r>
            <w:r w:rsidRPr="00165D99">
              <w:t>", excluding Hong Kong, Macau and Taiwan) in contravention of any applicable laws or (if the Complex Products are linked to A-Shares (as defined below)) to any Domestic Investor as defined in the Administrative Rules of Securities Accounts of China Securities Depository and Clearing Corporation Limited, or to any person which is the trustee for a Trust (defined below), or to any person which pays or will pay for the Complex Products any amounts which involved or will involve moneys financed by or sourced from any Domestic Investor in contravention of the laws and regulations of the PRC.</w:t>
            </w:r>
          </w:p>
        </w:tc>
        <w:tc>
          <w:tcPr>
            <w:tcW w:w="2644" w:type="pct"/>
            <w:tcBorders>
              <w:left w:val="single" w:sz="4" w:space="0" w:color="auto"/>
            </w:tcBorders>
          </w:tcPr>
          <w:p w:rsidR="008810D6" w:rsidRPr="008810D6" w:rsidP="008810D6">
            <w:pPr>
              <w:pStyle w:val="CSBody0"/>
              <w:rPr>
                <w:lang w:val="de-DE"/>
              </w:rPr>
            </w:pPr>
            <w:r w:rsidRPr="008810D6">
              <w:rPr>
                <w:lang w:val="de-DE"/>
              </w:rPr>
              <w:t>Die Komplexen Produkte dürfen in der Volksrepublik China (die "</w:t>
            </w:r>
            <w:r w:rsidRPr="008810D6">
              <w:rPr>
                <w:b/>
                <w:lang w:val="de-DE"/>
              </w:rPr>
              <w:t>VRC</w:t>
            </w:r>
            <w:r w:rsidRPr="008810D6">
              <w:rPr>
                <w:lang w:val="de-DE"/>
              </w:rPr>
              <w:t>", ohne Hongkong, Macau und Taiwan) nicht angeboten, verkauft oder geliefert oder irgendeiner Person zum weiteren Angebot, zum Weiterverkauf oder zur Weiterlieferung in der VRC (ohne Hongkong, Macau und Taiwan) angeboten oder an irgendeine Person zu diesem Zweck verkauft oder geliefert werden, soweit dies einen Verstoss gegen geltende Gesetze darstellt; unzulässig ist darüber hinaus, soweit die Komplexen Produkte auf A-Aktien (wie nachstehend definiert) bezogen sind, auch das Angebot, der Verkauf oder die Lieferung an Inländische Anleger (</w:t>
            </w:r>
            <w:r w:rsidRPr="008810D6">
              <w:rPr>
                <w:i/>
                <w:lang w:val="de-DE"/>
              </w:rPr>
              <w:t>Domestic Investors</w:t>
            </w:r>
            <w:r w:rsidRPr="008810D6">
              <w:rPr>
                <w:lang w:val="de-DE"/>
              </w:rPr>
              <w:t>) im Sinne der Definition in den Verwaltungsvorschriften für Wertpapierdepots (</w:t>
            </w:r>
            <w:r w:rsidRPr="008810D6">
              <w:rPr>
                <w:i/>
                <w:lang w:val="de-DE"/>
              </w:rPr>
              <w:t>Administrative Rules of Securities Accounts</w:t>
            </w:r>
            <w:r w:rsidRPr="008810D6">
              <w:rPr>
                <w:lang w:val="de-DE"/>
              </w:rPr>
              <w:t>) der China Securities Depository and Clearing Corporation Limited oder an eine Person, die Treuhänder einer Stiftung (wie nachfolgend definiert) ist, oder an Personen, welche die Komplexen Produkte mit Geldbeträgen bezahlen oder bezahlen werden, welche durch Inländische Investoren unter Verstoss gegen die Gesetze und Vorschriften der VRC finanzierte oder beschaffte Mittel enthalten.</w:t>
            </w:r>
          </w:p>
        </w:tc>
      </w:tr>
      <w:tr w:rsidTr="003330CF">
        <w:tblPrEx>
          <w:tblW w:w="5000" w:type="pct"/>
          <w:tblLayout w:type="fixed"/>
          <w:tblLook w:val="00A0"/>
        </w:tblPrEx>
        <w:trPr>
          <w:trHeight w:val="57"/>
        </w:trPr>
        <w:tc>
          <w:tcPr>
            <w:tcW w:w="2356" w:type="pct"/>
            <w:tcBorders>
              <w:right w:val="single" w:sz="4" w:space="0" w:color="auto"/>
            </w:tcBorders>
          </w:tcPr>
          <w:p w:rsidR="008810D6" w:rsidRPr="00165D99" w:rsidP="008810D6">
            <w:pPr>
              <w:pStyle w:val="CSBody0"/>
            </w:pPr>
            <w:r w:rsidRPr="00165D99">
              <w:t>"</w:t>
            </w:r>
            <w:r w:rsidRPr="008810D6">
              <w:rPr>
                <w:b/>
              </w:rPr>
              <w:t>A-Share</w:t>
            </w:r>
            <w:r w:rsidRPr="00165D99">
              <w:t>" means shares of the companies incorporated in the PRC that are listed on either the Shanghai Stock Exchange or the Shenzhen Stock Exchange and quoted in Renminbi.</w:t>
            </w:r>
          </w:p>
        </w:tc>
        <w:tc>
          <w:tcPr>
            <w:tcW w:w="2644" w:type="pct"/>
            <w:tcBorders>
              <w:left w:val="single" w:sz="4" w:space="0" w:color="auto"/>
            </w:tcBorders>
          </w:tcPr>
          <w:p w:rsidR="008810D6" w:rsidRPr="008810D6" w:rsidP="008810D6">
            <w:pPr>
              <w:pStyle w:val="CSBody0"/>
              <w:rPr>
                <w:lang w:val="de-DE"/>
              </w:rPr>
            </w:pPr>
            <w:r w:rsidRPr="008810D6">
              <w:rPr>
                <w:lang w:val="de-DE"/>
              </w:rPr>
              <w:t>"</w:t>
            </w:r>
            <w:r w:rsidRPr="008810D6">
              <w:rPr>
                <w:b/>
                <w:lang w:val="de-DE"/>
              </w:rPr>
              <w:t>A-Aktie</w:t>
            </w:r>
            <w:r w:rsidRPr="008810D6">
              <w:rPr>
                <w:lang w:val="de-DE"/>
              </w:rPr>
              <w:t>" bezeichnet Aktien von in der VRC errichteten Gesellschaften, die an den Wertpapierbörsen von Shanghai oder Shenzen notiert sind und in Renminbi quotiert werden.</w:t>
            </w:r>
          </w:p>
        </w:tc>
      </w:tr>
      <w:tr w:rsidTr="003330CF">
        <w:tblPrEx>
          <w:tblW w:w="5000" w:type="pct"/>
          <w:tblLayout w:type="fixed"/>
          <w:tblLook w:val="00A0"/>
        </w:tblPrEx>
        <w:trPr>
          <w:trHeight w:val="57"/>
        </w:trPr>
        <w:tc>
          <w:tcPr>
            <w:tcW w:w="2356" w:type="pct"/>
            <w:tcBorders>
              <w:right w:val="single" w:sz="4" w:space="0" w:color="auto"/>
            </w:tcBorders>
          </w:tcPr>
          <w:p w:rsidR="008810D6" w:rsidRPr="00165D99" w:rsidP="008810D6">
            <w:pPr>
              <w:pStyle w:val="CSBody0"/>
            </w:pPr>
            <w:r w:rsidRPr="00165D99">
              <w:t>The term "</w:t>
            </w:r>
            <w:r w:rsidRPr="008810D6">
              <w:rPr>
                <w:b/>
              </w:rPr>
              <w:t>Domestic Investor</w:t>
            </w:r>
            <w:r w:rsidRPr="00165D99">
              <w:t>" is defined in the Administrative Rules of Securities Accounts of China Securities Depository and Clearing Corporation Limited and includes the following:</w:t>
            </w:r>
          </w:p>
        </w:tc>
        <w:tc>
          <w:tcPr>
            <w:tcW w:w="2644" w:type="pct"/>
            <w:tcBorders>
              <w:left w:val="single" w:sz="4" w:space="0" w:color="auto"/>
            </w:tcBorders>
          </w:tcPr>
          <w:p w:rsidR="008810D6" w:rsidRPr="008810D6" w:rsidP="008810D6">
            <w:pPr>
              <w:pStyle w:val="CSBody0"/>
              <w:rPr>
                <w:lang w:val="de-DE"/>
              </w:rPr>
            </w:pPr>
            <w:r w:rsidRPr="008810D6">
              <w:rPr>
                <w:lang w:val="de-DE"/>
              </w:rPr>
              <w:t>Der Begriff "</w:t>
            </w:r>
            <w:r w:rsidRPr="008810D6">
              <w:rPr>
                <w:b/>
                <w:lang w:val="de-DE"/>
              </w:rPr>
              <w:t>Inländischer Anleger</w:t>
            </w:r>
            <w:r w:rsidRPr="008810D6">
              <w:rPr>
                <w:lang w:val="de-DE"/>
              </w:rPr>
              <w:t>" ist in den Verwaltungsvorschriften für Wertpapierdepots der China Securities Depository and Clearing Corporation Limited definiert und umfasst folgende Kategorien von Anlegern:</w:t>
            </w:r>
          </w:p>
        </w:tc>
      </w:tr>
      <w:tr w:rsidTr="003330CF">
        <w:tblPrEx>
          <w:tblW w:w="5000" w:type="pct"/>
          <w:tblLayout w:type="fixed"/>
          <w:tblLook w:val="00A0"/>
        </w:tblPrEx>
        <w:trPr>
          <w:trHeight w:val="57"/>
        </w:trPr>
        <w:tc>
          <w:tcPr>
            <w:tcW w:w="2356" w:type="pct"/>
            <w:tcBorders>
              <w:right w:val="single" w:sz="4" w:space="0" w:color="auto"/>
            </w:tcBorders>
          </w:tcPr>
          <w:p w:rsidR="001E0E28" w:rsidRPr="008810D6" w:rsidP="003177FA">
            <w:pPr>
              <w:pStyle w:val="CSManNum9pt"/>
            </w:pPr>
            <w:r w:rsidRPr="008810D6">
              <w:t>(i)</w:t>
            </w:r>
            <w:r w:rsidRPr="008810D6">
              <w:tab/>
              <w:t>PRC citizens resident in the PRC (excluding Hong Kong, Macau and Taiwan);</w:t>
            </w:r>
          </w:p>
        </w:tc>
        <w:tc>
          <w:tcPr>
            <w:tcW w:w="2644" w:type="pct"/>
            <w:tcBorders>
              <w:left w:val="single" w:sz="4" w:space="0" w:color="auto"/>
            </w:tcBorders>
          </w:tcPr>
          <w:p w:rsidR="001E0E28" w:rsidRPr="008810D6" w:rsidP="003177FA">
            <w:pPr>
              <w:pStyle w:val="CSManNum9pt"/>
              <w:rPr>
                <w:lang w:val="de-DE"/>
              </w:rPr>
            </w:pPr>
            <w:r w:rsidRPr="008810D6">
              <w:rPr>
                <w:lang w:val="de-DE"/>
              </w:rPr>
              <w:t>(i)</w:t>
            </w:r>
            <w:r w:rsidRPr="008810D6">
              <w:rPr>
                <w:lang w:val="de-DE"/>
              </w:rPr>
              <w:tab/>
              <w:t>Staatsangehörige der VRC, die in der VRC ansässig sind (ohne Hongkong, Macau und Taiwan);</w:t>
            </w:r>
          </w:p>
        </w:tc>
      </w:tr>
      <w:tr w:rsidTr="003330CF">
        <w:tblPrEx>
          <w:tblW w:w="5000" w:type="pct"/>
          <w:tblLayout w:type="fixed"/>
          <w:tblLook w:val="00A0"/>
        </w:tblPrEx>
        <w:trPr>
          <w:trHeight w:val="57"/>
        </w:trPr>
        <w:tc>
          <w:tcPr>
            <w:tcW w:w="2356" w:type="pct"/>
            <w:tcBorders>
              <w:right w:val="single" w:sz="4" w:space="0" w:color="auto"/>
            </w:tcBorders>
          </w:tcPr>
          <w:p w:rsidR="001E0E28" w:rsidRPr="008810D6" w:rsidP="003177FA">
            <w:pPr>
              <w:pStyle w:val="CSManNum9pt"/>
              <w:rPr>
                <w:bCs/>
              </w:rPr>
            </w:pPr>
            <w:r w:rsidRPr="008810D6">
              <w:rPr>
                <w:bCs/>
              </w:rPr>
              <w:t>(ii)</w:t>
            </w:r>
            <w:r w:rsidRPr="008810D6">
              <w:rPr>
                <w:bCs/>
              </w:rPr>
              <w:tab/>
              <w:t>PRC citizens resident outside the PRC who are not permanent residents of another country or permanent residents of Hong Kong, Macau or Taiwan; and</w:t>
            </w:r>
          </w:p>
        </w:tc>
        <w:tc>
          <w:tcPr>
            <w:tcW w:w="2644" w:type="pct"/>
            <w:tcBorders>
              <w:left w:val="single" w:sz="4" w:space="0" w:color="auto"/>
            </w:tcBorders>
          </w:tcPr>
          <w:p w:rsidR="001E0E28" w:rsidRPr="008810D6" w:rsidP="003177FA">
            <w:pPr>
              <w:pStyle w:val="CSManNum9pt"/>
              <w:rPr>
                <w:lang w:val="de-DE"/>
              </w:rPr>
            </w:pPr>
            <w:r w:rsidRPr="008810D6">
              <w:rPr>
                <w:lang w:val="de-DE"/>
              </w:rPr>
              <w:t>(ii)</w:t>
            </w:r>
            <w:r w:rsidRPr="008810D6">
              <w:rPr>
                <w:lang w:val="de-DE"/>
              </w:rPr>
              <w:tab/>
              <w:t>Staatsangehörige der VRC, die ausserhalb der VRC ansässig sind, aber nicht dauerhaft in einem anderen Land oder Hongkong, Macau oder Taiwan ansässig sind; und</w:t>
            </w:r>
          </w:p>
        </w:tc>
      </w:tr>
      <w:tr w:rsidTr="003330CF">
        <w:tblPrEx>
          <w:tblW w:w="5000" w:type="pct"/>
          <w:tblLayout w:type="fixed"/>
          <w:tblLook w:val="00A0"/>
        </w:tblPrEx>
        <w:trPr>
          <w:trHeight w:val="57"/>
        </w:trPr>
        <w:tc>
          <w:tcPr>
            <w:tcW w:w="2356" w:type="pct"/>
            <w:tcBorders>
              <w:right w:val="single" w:sz="4" w:space="0" w:color="auto"/>
            </w:tcBorders>
          </w:tcPr>
          <w:p w:rsidR="001E0E28" w:rsidRPr="008810D6" w:rsidP="003177FA">
            <w:pPr>
              <w:pStyle w:val="CSManNum9pt"/>
              <w:rPr>
                <w:bCs/>
              </w:rPr>
            </w:pPr>
            <w:r w:rsidRPr="008810D6">
              <w:rPr>
                <w:bCs/>
              </w:rPr>
              <w:t>(iii)</w:t>
            </w:r>
            <w:r w:rsidRPr="008810D6">
              <w:rPr>
                <w:bCs/>
              </w:rPr>
              <w:tab/>
              <w:t>Legal persons registered in the PRC (excluding Hong Kong, Macau and Taiwan).</w:t>
            </w:r>
          </w:p>
        </w:tc>
        <w:tc>
          <w:tcPr>
            <w:tcW w:w="2644" w:type="pct"/>
            <w:tcBorders>
              <w:left w:val="single" w:sz="4" w:space="0" w:color="auto"/>
            </w:tcBorders>
          </w:tcPr>
          <w:p w:rsidR="001E0E28" w:rsidRPr="008810D6" w:rsidP="003177FA">
            <w:pPr>
              <w:pStyle w:val="CSManNum9pt"/>
              <w:rPr>
                <w:lang w:val="de-DE"/>
              </w:rPr>
            </w:pPr>
            <w:r w:rsidRPr="008810D6">
              <w:rPr>
                <w:lang w:val="de-DE"/>
              </w:rPr>
              <w:t>(iii)</w:t>
            </w:r>
            <w:r w:rsidRPr="008810D6">
              <w:rPr>
                <w:lang w:val="de-DE"/>
              </w:rPr>
              <w:tab/>
              <w:t>in der VRC (ohne Hongkong, Macau und Taiwan) eingetragene juristische Personen.</w:t>
            </w:r>
          </w:p>
        </w:tc>
      </w:tr>
      <w:tr w:rsidTr="003330CF">
        <w:tblPrEx>
          <w:tblW w:w="5000" w:type="pct"/>
          <w:tblLayout w:type="fixed"/>
          <w:tblLook w:val="00A0"/>
        </w:tblPrEx>
        <w:trPr>
          <w:trHeight w:val="57"/>
        </w:trPr>
        <w:tc>
          <w:tcPr>
            <w:tcW w:w="2356" w:type="pct"/>
            <w:tcBorders>
              <w:right w:val="single" w:sz="4" w:space="0" w:color="auto"/>
            </w:tcBorders>
          </w:tcPr>
          <w:p w:rsidR="008810D6" w:rsidRPr="00E76C8A" w:rsidP="008810D6">
            <w:pPr>
              <w:pStyle w:val="CSBody0"/>
            </w:pPr>
            <w:r w:rsidRPr="00E76C8A">
              <w:t>"</w:t>
            </w:r>
            <w:r w:rsidRPr="00EE7E64">
              <w:rPr>
                <w:b/>
              </w:rPr>
              <w:t>Legal persons registered in the PRC</w:t>
            </w:r>
            <w:r w:rsidRPr="00E76C8A">
              <w:t>" means entities incorporated or organised in the PRC (excluding Hong Kong, Macau and Taiwan) and excludes foreign entities incorporated or organised in other jurisdictions even though they may have an office (i.e. a branch) in the PRC.</w:t>
            </w:r>
          </w:p>
        </w:tc>
        <w:tc>
          <w:tcPr>
            <w:tcW w:w="2644" w:type="pct"/>
            <w:tcBorders>
              <w:left w:val="single" w:sz="4" w:space="0" w:color="auto"/>
            </w:tcBorders>
          </w:tcPr>
          <w:p w:rsidR="008810D6" w:rsidRPr="008810D6" w:rsidP="008810D6">
            <w:pPr>
              <w:pStyle w:val="CSBody0"/>
              <w:rPr>
                <w:lang w:val="de-DE"/>
              </w:rPr>
            </w:pPr>
            <w:r w:rsidRPr="008810D6">
              <w:rPr>
                <w:lang w:val="de-DE"/>
              </w:rPr>
              <w:t>Der Begriff "</w:t>
            </w:r>
            <w:r w:rsidRPr="00EE7E64">
              <w:rPr>
                <w:b/>
                <w:lang w:val="de-DE"/>
              </w:rPr>
              <w:t>in der VRC eingetragene juristische Personen</w:t>
            </w:r>
            <w:r w:rsidRPr="008810D6">
              <w:rPr>
                <w:lang w:val="de-DE"/>
              </w:rPr>
              <w:t>" umfasst Rechtsträger, die in der VRC (ohne Hongkong, Macau und Taiwan) errichtet wurden oder dort organisiert sind, nicht jedoch ausländische Rechtsträger, die in anderen Rechtsordnungen errichtet wurden oder organisiert sind, auch wenn sie eine Geschäftsstelle (d.h. eine Niederlassung) in der VRC unterhalten.</w:t>
            </w:r>
          </w:p>
        </w:tc>
      </w:tr>
      <w:tr w:rsidTr="003330CF">
        <w:tblPrEx>
          <w:tblW w:w="5000" w:type="pct"/>
          <w:tblLayout w:type="fixed"/>
          <w:tblLook w:val="00A0"/>
        </w:tblPrEx>
        <w:trPr>
          <w:trHeight w:val="57"/>
        </w:trPr>
        <w:tc>
          <w:tcPr>
            <w:tcW w:w="2356" w:type="pct"/>
            <w:tcBorders>
              <w:right w:val="single" w:sz="4" w:space="0" w:color="auto"/>
            </w:tcBorders>
          </w:tcPr>
          <w:p w:rsidR="008810D6" w:rsidRPr="00E76C8A" w:rsidP="008810D6">
            <w:pPr>
              <w:pStyle w:val="CSBody0"/>
            </w:pPr>
            <w:r w:rsidRPr="00E76C8A">
              <w:t>"</w:t>
            </w:r>
            <w:r w:rsidRPr="00EE7E64">
              <w:rPr>
                <w:b/>
              </w:rPr>
              <w:t>PRC citizens</w:t>
            </w:r>
            <w:r w:rsidRPr="00E76C8A">
              <w:t>" used in the rules mean persons holding a resident identification card of the PRC (excluding Hong Kong, Macau and Taiwan) and do not include persons who are permanent residents of Hong Kong, Macau or Taiwan.</w:t>
            </w:r>
          </w:p>
        </w:tc>
        <w:tc>
          <w:tcPr>
            <w:tcW w:w="2644" w:type="pct"/>
            <w:tcBorders>
              <w:left w:val="single" w:sz="4" w:space="0" w:color="auto"/>
            </w:tcBorders>
          </w:tcPr>
          <w:p w:rsidR="008810D6" w:rsidRPr="008810D6" w:rsidP="008810D6">
            <w:pPr>
              <w:pStyle w:val="CSBody0"/>
              <w:rPr>
                <w:lang w:val="de-DE"/>
              </w:rPr>
            </w:pPr>
            <w:r w:rsidRPr="008810D6">
              <w:rPr>
                <w:lang w:val="de-DE"/>
              </w:rPr>
              <w:t>"</w:t>
            </w:r>
            <w:r w:rsidRPr="00EE7E64">
              <w:rPr>
                <w:b/>
                <w:lang w:val="de-DE"/>
              </w:rPr>
              <w:t>Staatsangehörige der VRC</w:t>
            </w:r>
            <w:r w:rsidRPr="008810D6">
              <w:rPr>
                <w:lang w:val="de-DE"/>
              </w:rPr>
              <w:t>", wie in den Vorschriften verwendet, umfassen Personen, die einen Ausweis für Gebietsansässige der VRC (ohne Hongkong, Macau und Taiwan) besitzen, nicht jedoch Personen, die dauerhaft in Hongkong, Macau oder Taiwan ansässig sind.</w:t>
            </w:r>
          </w:p>
        </w:tc>
      </w:tr>
      <w:tr w:rsidTr="003330CF">
        <w:tblPrEx>
          <w:tblW w:w="5000" w:type="pct"/>
          <w:tblLayout w:type="fixed"/>
          <w:tblLook w:val="00A0"/>
        </w:tblPrEx>
        <w:trPr>
          <w:trHeight w:val="57"/>
        </w:trPr>
        <w:tc>
          <w:tcPr>
            <w:tcW w:w="2356" w:type="pct"/>
            <w:tcBorders>
              <w:right w:val="single" w:sz="4" w:space="0" w:color="auto"/>
            </w:tcBorders>
          </w:tcPr>
          <w:p w:rsidR="008810D6" w:rsidRPr="00E76C8A" w:rsidP="008810D6">
            <w:pPr>
              <w:pStyle w:val="CSBody0"/>
            </w:pPr>
            <w:r w:rsidRPr="00E76C8A">
              <w:t>"</w:t>
            </w:r>
            <w:r w:rsidRPr="00EE7E64">
              <w:rPr>
                <w:b/>
              </w:rPr>
              <w:t>Renminbi</w:t>
            </w:r>
            <w:r w:rsidRPr="00E76C8A">
              <w:t>" means the lawful currency of the PRC.</w:t>
            </w:r>
          </w:p>
        </w:tc>
        <w:tc>
          <w:tcPr>
            <w:tcW w:w="2644" w:type="pct"/>
            <w:tcBorders>
              <w:left w:val="single" w:sz="4" w:space="0" w:color="auto"/>
            </w:tcBorders>
          </w:tcPr>
          <w:p w:rsidR="008810D6" w:rsidRPr="008810D6" w:rsidP="008810D6">
            <w:pPr>
              <w:pStyle w:val="CSBody0"/>
              <w:rPr>
                <w:lang w:val="de-DE"/>
              </w:rPr>
            </w:pPr>
            <w:r w:rsidRPr="008810D6">
              <w:rPr>
                <w:lang w:val="de-DE"/>
              </w:rPr>
              <w:t>"</w:t>
            </w:r>
            <w:r w:rsidRPr="00EE7E64">
              <w:rPr>
                <w:b/>
                <w:lang w:val="de-DE"/>
              </w:rPr>
              <w:t>Renminbi</w:t>
            </w:r>
            <w:r w:rsidRPr="008810D6">
              <w:rPr>
                <w:lang w:val="de-DE"/>
              </w:rPr>
              <w:t>" ist die gesetzliche Währung der VRC.</w:t>
            </w:r>
          </w:p>
        </w:tc>
      </w:tr>
      <w:tr w:rsidTr="003330CF">
        <w:tblPrEx>
          <w:tblW w:w="5000" w:type="pct"/>
          <w:tblLayout w:type="fixed"/>
          <w:tblLook w:val="00A0"/>
        </w:tblPrEx>
        <w:trPr>
          <w:trHeight w:val="57"/>
        </w:trPr>
        <w:tc>
          <w:tcPr>
            <w:tcW w:w="2356" w:type="pct"/>
            <w:tcBorders>
              <w:right w:val="single" w:sz="4" w:space="0" w:color="auto"/>
            </w:tcBorders>
          </w:tcPr>
          <w:p w:rsidR="008810D6" w:rsidRPr="00E76C8A" w:rsidP="008810D6">
            <w:pPr>
              <w:pStyle w:val="CSBody0"/>
            </w:pPr>
            <w:r w:rsidRPr="00E76C8A">
              <w:t>A "Trust" means a trust the interests in which are majority-owned by, and the management decision over which is controlled by, one or more Domestic Investor(s). For the avoidance of doubt, in the case only where a Trust’s investments are being managed on a discretionary basis by an investment manager, such investment manager shall not be deemed to control such entity for the purposes of this definition by reason only of it being able to control the decision-making in relation to the entity’s financial, investment and/or operating policies.</w:t>
            </w:r>
          </w:p>
        </w:tc>
        <w:tc>
          <w:tcPr>
            <w:tcW w:w="2644" w:type="pct"/>
            <w:tcBorders>
              <w:left w:val="single" w:sz="4" w:space="0" w:color="auto"/>
            </w:tcBorders>
          </w:tcPr>
          <w:p w:rsidR="008810D6" w:rsidRPr="008810D6" w:rsidP="008810D6">
            <w:pPr>
              <w:pStyle w:val="CSBody0"/>
              <w:rPr>
                <w:lang w:val="de-DE"/>
              </w:rPr>
            </w:pPr>
            <w:r w:rsidRPr="008810D6">
              <w:rPr>
                <w:lang w:val="de-DE"/>
              </w:rPr>
              <w:t>Als "Treuhandvermögen" wird ein Treuhandvermögen bezeichnet, dessen Anteile mehrheitlich einem oder mehreren Inländischen Anlegern gehören und in Bezug auf welche Managemententscheidungen von einem oder mehreren Inländischen Anlegern getroffen werden. Zur Klarstellung wird festgehalten, dass nur in Fällen, in denen die Kapitalanlagen eines Treuhandvermögens durch einen Vermögensverwalter nach dessen Ermessen verwaltet werden, dieser Vermögensverwalter für Zwecke dieser Definition nicht als das Treuhandvermögen beherrschend angesehen wird, nur weil er die Entscheidungsfindung im Hinblick auf die finanziellen Richtlinien, Anlagerichtlinien oder operationellen Richtlinien des Treuhandvermögens kontrollieren kann.</w:t>
            </w:r>
          </w:p>
        </w:tc>
      </w:tr>
      <w:tr w:rsidTr="003330CF">
        <w:tblPrEx>
          <w:tblW w:w="5000" w:type="pct"/>
          <w:tblLayout w:type="fixed"/>
          <w:tblLook w:val="00A0"/>
        </w:tblPrEx>
        <w:trPr>
          <w:trHeight w:val="57"/>
        </w:trPr>
        <w:tc>
          <w:tcPr>
            <w:tcW w:w="2356" w:type="pct"/>
            <w:tcBorders>
              <w:right w:val="single" w:sz="4" w:space="0" w:color="auto"/>
            </w:tcBorders>
          </w:tcPr>
          <w:p w:rsidR="00EE7E64" w:rsidRPr="007F1B47" w:rsidP="00EE7E64">
            <w:pPr>
              <w:pStyle w:val="CSbody0bold"/>
            </w:pPr>
            <w:r w:rsidRPr="007F1B47">
              <w:t>Peru</w:t>
            </w:r>
          </w:p>
        </w:tc>
        <w:tc>
          <w:tcPr>
            <w:tcW w:w="2644" w:type="pct"/>
            <w:tcBorders>
              <w:left w:val="single" w:sz="4" w:space="0" w:color="auto"/>
            </w:tcBorders>
          </w:tcPr>
          <w:p w:rsidR="00EE7E64" w:rsidRPr="007F1B47" w:rsidP="00EE7E64">
            <w:pPr>
              <w:pStyle w:val="CSbody0bold"/>
            </w:pPr>
            <w:r w:rsidRPr="007F1B47">
              <w:t>Peru</w:t>
            </w:r>
          </w:p>
        </w:tc>
      </w:tr>
      <w:tr w:rsidTr="003330CF">
        <w:tblPrEx>
          <w:tblW w:w="5000" w:type="pct"/>
          <w:tblLayout w:type="fixed"/>
          <w:tblLook w:val="00A0"/>
        </w:tblPrEx>
        <w:trPr>
          <w:trHeight w:val="57"/>
        </w:trPr>
        <w:tc>
          <w:tcPr>
            <w:tcW w:w="2356" w:type="pct"/>
            <w:tcBorders>
              <w:right w:val="single" w:sz="4" w:space="0" w:color="auto"/>
            </w:tcBorders>
          </w:tcPr>
          <w:p w:rsidR="00EE7E64" w:rsidRPr="007F1B47" w:rsidP="00EE7E64">
            <w:pPr>
              <w:pStyle w:val="CSBody0"/>
            </w:pPr>
            <w:r w:rsidRPr="007F1B47">
              <w:t>The Complex Products will be offered and this Document will be distributed or otherwise made available in Peru on a private offering basis only, in accordance with article 5 of the Peruvian securities law. The offer of the Complex Products, distribution of this Document and/or disclosure of any of its contents to the general public or segments of it in Peru, that may be deemed a public offer of securities in accordance with article 4 of the Peruvian securities law, is prohibited.</w:t>
            </w:r>
          </w:p>
        </w:tc>
        <w:tc>
          <w:tcPr>
            <w:tcW w:w="2644" w:type="pct"/>
            <w:tcBorders>
              <w:left w:val="single" w:sz="4" w:space="0" w:color="auto"/>
            </w:tcBorders>
          </w:tcPr>
          <w:p w:rsidR="00EE7E64" w:rsidRPr="00EE7E64" w:rsidP="00EE7E64">
            <w:pPr>
              <w:pStyle w:val="CSBody0"/>
              <w:rPr>
                <w:lang w:val="de-DE"/>
              </w:rPr>
            </w:pPr>
            <w:r w:rsidRPr="00EE7E64">
              <w:rPr>
                <w:lang w:val="de-DE"/>
              </w:rPr>
              <w:t>In Peru erfolgt das Angebot der Komplexen Produkte und die Verbreitung oder sonstige Zurverfügungstellung dieses Dokuments ausschliesslich auf Grundlage eines privaten Angebots nach Massgabe von Artikel 5 des peruanischen Wertpapiergesetzes. Das Angebot der Komplexen Produkte, die Verbreitung dieses Dokuments und/oder die Offenlegung seines Inhalts gegenüber der breiten Öffentlichkeit oder an Teile dieser in Peru, das bzw. die als ein öffentliches Angebot von Wertpapieren gemäss Artikel 4 des peruanischen Wertpapiergesetzes gelten könnte, ist untersagt.</w:t>
            </w:r>
          </w:p>
        </w:tc>
      </w:tr>
      <w:tr w:rsidTr="003330CF">
        <w:tblPrEx>
          <w:tblW w:w="5000" w:type="pct"/>
          <w:tblLayout w:type="fixed"/>
          <w:tblLook w:val="00A0"/>
        </w:tblPrEx>
        <w:trPr>
          <w:trHeight w:val="57"/>
        </w:trPr>
        <w:tc>
          <w:tcPr>
            <w:tcW w:w="2356" w:type="pct"/>
            <w:tcBorders>
              <w:right w:val="single" w:sz="4" w:space="0" w:color="auto"/>
            </w:tcBorders>
          </w:tcPr>
          <w:p w:rsidR="00EE7E64" w:rsidRPr="007F1B47" w:rsidP="00EE7E64">
            <w:pPr>
              <w:pStyle w:val="CSBody0"/>
            </w:pPr>
            <w:r w:rsidRPr="007F1B47">
              <w:t>The Complex Products are not registered in the securities registry of the Peruvian securities regulator (</w:t>
            </w:r>
            <w:r w:rsidRPr="00EE7E64">
              <w:rPr>
                <w:i/>
              </w:rPr>
              <w:t>Superintendencia del Mercado de Valores</w:t>
            </w:r>
            <w:r w:rsidRPr="007F1B47">
              <w:t>; "</w:t>
            </w:r>
            <w:r w:rsidRPr="00EE7E64">
              <w:rPr>
                <w:b/>
              </w:rPr>
              <w:t>SMV</w:t>
            </w:r>
            <w:r w:rsidRPr="007F1B47">
              <w:t>").</w:t>
            </w:r>
          </w:p>
        </w:tc>
        <w:tc>
          <w:tcPr>
            <w:tcW w:w="2644" w:type="pct"/>
            <w:tcBorders>
              <w:left w:val="single" w:sz="4" w:space="0" w:color="auto"/>
            </w:tcBorders>
          </w:tcPr>
          <w:p w:rsidR="00EE7E64" w:rsidRPr="00EE7E64" w:rsidP="00EE7E64">
            <w:pPr>
              <w:pStyle w:val="CSBody0"/>
              <w:rPr>
                <w:lang w:val="de-DE"/>
              </w:rPr>
            </w:pPr>
            <w:r w:rsidRPr="00EE7E64">
              <w:rPr>
                <w:lang w:val="de-DE"/>
              </w:rPr>
              <w:t>Die Komplexen Produkte sind nicht im Register für Wertpapiere der peruanischen Wertpapieraufsichtsbehörde (</w:t>
            </w:r>
            <w:r w:rsidRPr="00EE7E64">
              <w:rPr>
                <w:i/>
                <w:lang w:val="de-DE"/>
              </w:rPr>
              <w:t>Superintendencia del Mercado de Valores</w:t>
            </w:r>
            <w:r w:rsidRPr="00EE7E64">
              <w:rPr>
                <w:lang w:val="de-DE"/>
              </w:rPr>
              <w:t>; "</w:t>
            </w:r>
            <w:r w:rsidRPr="00EE7E64">
              <w:rPr>
                <w:b/>
                <w:lang w:val="de-DE"/>
              </w:rPr>
              <w:t>SMV</w:t>
            </w:r>
            <w:r w:rsidRPr="00EE7E64">
              <w:rPr>
                <w:lang w:val="de-DE"/>
              </w:rPr>
              <w:t>") registriert.</w:t>
            </w:r>
          </w:p>
        </w:tc>
      </w:tr>
      <w:tr w:rsidTr="003330CF">
        <w:tblPrEx>
          <w:tblW w:w="5000" w:type="pct"/>
          <w:tblLayout w:type="fixed"/>
          <w:tblLook w:val="00A0"/>
        </w:tblPrEx>
        <w:trPr>
          <w:trHeight w:val="57"/>
        </w:trPr>
        <w:tc>
          <w:tcPr>
            <w:tcW w:w="2356" w:type="pct"/>
            <w:tcBorders>
              <w:right w:val="single" w:sz="4" w:space="0" w:color="auto"/>
            </w:tcBorders>
          </w:tcPr>
          <w:p w:rsidR="00EE7E64" w:rsidRPr="000D3F03" w:rsidP="00EE7E64">
            <w:pPr>
              <w:pStyle w:val="CSbody0bold"/>
            </w:pPr>
            <w:r w:rsidRPr="000D3F03">
              <w:t>Qatar</w:t>
            </w:r>
          </w:p>
        </w:tc>
        <w:tc>
          <w:tcPr>
            <w:tcW w:w="2644" w:type="pct"/>
            <w:tcBorders>
              <w:left w:val="single" w:sz="4" w:space="0" w:color="auto"/>
            </w:tcBorders>
          </w:tcPr>
          <w:p w:rsidR="00EE7E64" w:rsidRPr="000D3F03" w:rsidP="00EE7E64">
            <w:pPr>
              <w:pStyle w:val="CSbody0bold"/>
            </w:pPr>
            <w:r w:rsidRPr="000D3F03">
              <w:t>Katar</w:t>
            </w:r>
          </w:p>
        </w:tc>
      </w:tr>
      <w:tr w:rsidTr="003330CF">
        <w:tblPrEx>
          <w:tblW w:w="5000" w:type="pct"/>
          <w:tblLayout w:type="fixed"/>
          <w:tblLook w:val="00A0"/>
        </w:tblPrEx>
        <w:trPr>
          <w:trHeight w:val="57"/>
        </w:trPr>
        <w:tc>
          <w:tcPr>
            <w:tcW w:w="2356" w:type="pct"/>
            <w:tcBorders>
              <w:right w:val="single" w:sz="4" w:space="0" w:color="auto"/>
            </w:tcBorders>
          </w:tcPr>
          <w:p w:rsidR="00EE7E64" w:rsidRPr="000D3F03" w:rsidP="00EE7E64">
            <w:pPr>
              <w:pStyle w:val="CSBody0"/>
            </w:pPr>
            <w:r w:rsidRPr="000D3F03">
              <w:t>This Document is not intended to constitute an offer, sale or delivery of securities under the laws of the State of Qatar including the rules and regulations of the Qatar Financial Centre Authority ("</w:t>
            </w:r>
            <w:r w:rsidRPr="00EE7E64">
              <w:rPr>
                <w:b/>
              </w:rPr>
              <w:t>QFCA</w:t>
            </w:r>
            <w:r w:rsidRPr="000D3F03">
              <w:t>"), the Qatar Financial Centre Regulatory Authority ("</w:t>
            </w:r>
            <w:r w:rsidRPr="00EE7E64">
              <w:rPr>
                <w:b/>
              </w:rPr>
              <w:t>QFCRA</w:t>
            </w:r>
            <w:r w:rsidRPr="000D3F03">
              <w:t>"), or equivalent laws of the Qatar Central Bank ("</w:t>
            </w:r>
            <w:r w:rsidRPr="00EE7E64">
              <w:rPr>
                <w:b/>
              </w:rPr>
              <w:t>QCB</w:t>
            </w:r>
            <w:r w:rsidRPr="000D3F03">
              <w:t>"). This Document has not been lodged or registered with, or reviewed or approved by the QFCA, the QFCRA, the QCB or the Qatar Financial Markets Authority and is not otherwise authorised or licensed for distribution in the State of Qatar or the Qatar Financial Centre ("</w:t>
            </w:r>
            <w:r w:rsidRPr="00EE7E64">
              <w:rPr>
                <w:b/>
              </w:rPr>
              <w:t>QFC</w:t>
            </w:r>
            <w:r w:rsidRPr="000D3F03">
              <w:t>"). The information contained in this Document does not, and is not intended to, constitute a public or general offer or other invitation in respect of securities in the State of Qatar or the QFC. The Complex Products will not be admitted or traded on the Qatar Exchange.</w:t>
            </w:r>
          </w:p>
        </w:tc>
        <w:tc>
          <w:tcPr>
            <w:tcW w:w="2644" w:type="pct"/>
            <w:tcBorders>
              <w:left w:val="single" w:sz="4" w:space="0" w:color="auto"/>
            </w:tcBorders>
          </w:tcPr>
          <w:p w:rsidR="00EE7E64" w:rsidRPr="00EE7E64" w:rsidP="00EE7E64">
            <w:pPr>
              <w:pStyle w:val="CSBody0"/>
              <w:rPr>
                <w:lang w:val="de-DE"/>
              </w:rPr>
            </w:pPr>
            <w:r w:rsidRPr="00EE7E64">
              <w:rPr>
                <w:lang w:val="de-DE"/>
              </w:rPr>
              <w:t>Dieses Dokument soll kein Angebot, keinen Verkauf und keine Lieferung von Wertpapieren nach dem Recht des Staates Katar, einschliesslich der Regeln und Vorschriften der Behörde des Finanzzentrums Katar (</w:t>
            </w:r>
            <w:r w:rsidRPr="00EE7E64">
              <w:rPr>
                <w:i/>
                <w:lang w:val="de-DE"/>
              </w:rPr>
              <w:t>Qatar Financial Centre Authority</w:t>
            </w:r>
            <w:r w:rsidRPr="00EE7E64">
              <w:rPr>
                <w:lang w:val="de-DE"/>
              </w:rPr>
              <w:t>; "</w:t>
            </w:r>
            <w:r w:rsidRPr="00EE7E64">
              <w:rPr>
                <w:b/>
                <w:lang w:val="de-DE"/>
              </w:rPr>
              <w:t>QFCA</w:t>
            </w:r>
            <w:r w:rsidRPr="00EE7E64">
              <w:rPr>
                <w:lang w:val="de-DE"/>
              </w:rPr>
              <w:t>"), der Regulierungsbehörde des Finanzzentrums Katar (</w:t>
            </w:r>
            <w:r w:rsidRPr="00EE7E64">
              <w:rPr>
                <w:i/>
                <w:lang w:val="de-DE"/>
              </w:rPr>
              <w:t>Qatar Financial Centre Regulatory Authority</w:t>
            </w:r>
            <w:r w:rsidRPr="00EE7E64">
              <w:rPr>
                <w:lang w:val="de-DE"/>
              </w:rPr>
              <w:t>; "</w:t>
            </w:r>
            <w:r w:rsidRPr="00EE7E64">
              <w:rPr>
                <w:b/>
                <w:lang w:val="de-DE"/>
              </w:rPr>
              <w:t>QFCRA</w:t>
            </w:r>
            <w:r w:rsidRPr="00EE7E64">
              <w:rPr>
                <w:lang w:val="de-DE"/>
              </w:rPr>
              <w:t>") oder entsprechender gesetzlicher Bestimmungen der Zentralbank von Katar (</w:t>
            </w:r>
            <w:r w:rsidRPr="00EE7E64">
              <w:rPr>
                <w:i/>
                <w:lang w:val="de-DE"/>
              </w:rPr>
              <w:t>Qatar Central Bank</w:t>
            </w:r>
            <w:r w:rsidRPr="00EE7E64">
              <w:rPr>
                <w:lang w:val="de-DE"/>
              </w:rPr>
              <w:t>; "</w:t>
            </w:r>
            <w:r w:rsidRPr="00EE7E64">
              <w:rPr>
                <w:b/>
                <w:lang w:val="de-DE"/>
              </w:rPr>
              <w:t>QCB</w:t>
            </w:r>
            <w:r w:rsidRPr="00EE7E64">
              <w:rPr>
                <w:lang w:val="de-DE"/>
              </w:rPr>
              <w:t>") darstellen. Dieses Dokument wurde nicht bei der QFCA, QFCRA, QCB oder der Finanzmarktaufsichtsbehörde von Katar (</w:t>
            </w:r>
            <w:r w:rsidRPr="00EE7E64">
              <w:rPr>
                <w:i/>
                <w:lang w:val="de-DE"/>
              </w:rPr>
              <w:t>Qatar Financial Markets Authority</w:t>
            </w:r>
            <w:r w:rsidRPr="00EE7E64">
              <w:rPr>
                <w:lang w:val="de-DE"/>
              </w:rPr>
              <w:t>) eingereicht oder registriert oder von diesen geprüft oder gebilligt und ist auch nicht anderweitig zur Verbreitung im Staat Katar oder im Finanzzentrum Katar (</w:t>
            </w:r>
            <w:r w:rsidRPr="00EE7E64">
              <w:rPr>
                <w:i/>
                <w:lang w:val="de-DE"/>
              </w:rPr>
              <w:t>Qatar Financial Centre</w:t>
            </w:r>
            <w:r w:rsidRPr="00EE7E64">
              <w:rPr>
                <w:lang w:val="de-DE"/>
              </w:rPr>
              <w:t>; "</w:t>
            </w:r>
            <w:r w:rsidRPr="00EE7E64">
              <w:rPr>
                <w:b/>
                <w:lang w:val="de-DE"/>
              </w:rPr>
              <w:t>QFC</w:t>
            </w:r>
            <w:r w:rsidRPr="00EE7E64">
              <w:rPr>
                <w:lang w:val="de-DE"/>
              </w:rPr>
              <w:t>") zugelassen. Die in diesem Dokument enthaltenen Angaben stellen kein öffentliches oder allgemeines Angebot und keine sonstige Aufforderung in Bezug auf Wertpapiere im Staat Katar oder im QFC dar und sollen auch nicht als solches bzw. solche verstanden werden. Die Komplexen Produkte werden nicht zum Handel an der Qatar Exchange zugelassen oder dort gehandelt.</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3177FA">
            <w:pPr>
              <w:pStyle w:val="CSbody0bold"/>
            </w:pPr>
            <w:r w:rsidRPr="005B5713">
              <w:t>Russia</w:t>
            </w:r>
          </w:p>
        </w:tc>
        <w:tc>
          <w:tcPr>
            <w:tcW w:w="2644" w:type="pct"/>
            <w:tcBorders>
              <w:left w:val="single" w:sz="4" w:space="0" w:color="auto"/>
            </w:tcBorders>
          </w:tcPr>
          <w:p w:rsidR="001E0E28" w:rsidRPr="005B5713" w:rsidP="003177FA">
            <w:pPr>
              <w:pStyle w:val="CSbody0bold"/>
            </w:pPr>
            <w:r w:rsidRPr="005B5713">
              <w:t>Russland</w:t>
            </w:r>
          </w:p>
        </w:tc>
      </w:tr>
      <w:tr w:rsidTr="003330CF">
        <w:tblPrEx>
          <w:tblW w:w="5000" w:type="pct"/>
          <w:tblLayout w:type="fixed"/>
          <w:tblLook w:val="00A0"/>
        </w:tblPrEx>
        <w:trPr>
          <w:trHeight w:val="57"/>
        </w:trPr>
        <w:tc>
          <w:tcPr>
            <w:tcW w:w="2356" w:type="pct"/>
            <w:tcBorders>
              <w:right w:val="single" w:sz="4" w:space="0" w:color="auto"/>
            </w:tcBorders>
          </w:tcPr>
          <w:p w:rsidR="00D3298E" w:rsidRPr="00946971" w:rsidP="00D3298E">
            <w:pPr>
              <w:pStyle w:val="CSBody0"/>
            </w:pPr>
            <w:r w:rsidRPr="00946971">
              <w:t xml:space="preserve">Information set forth in this Document is not an offer, advertisement or invitation to make offers, to sell, exchange or otherwise transfer the Complex Products in the Russian Federation or to or for the benefit of any Russian person or entity and must not be distributed or circulated in the Russian Federation, unless and to the extent otherwise permitted under Russian law. </w:t>
            </w:r>
          </w:p>
        </w:tc>
        <w:tc>
          <w:tcPr>
            <w:tcW w:w="2644" w:type="pct"/>
            <w:tcBorders>
              <w:left w:val="single" w:sz="4" w:space="0" w:color="auto"/>
            </w:tcBorders>
          </w:tcPr>
          <w:p w:rsidR="00D3298E" w:rsidRPr="00D3298E" w:rsidP="00D3298E">
            <w:pPr>
              <w:pStyle w:val="CSBody0"/>
              <w:rPr>
                <w:lang w:val="de-DE"/>
              </w:rPr>
            </w:pPr>
            <w:r w:rsidRPr="00D3298E">
              <w:rPr>
                <w:lang w:val="de-DE"/>
              </w:rPr>
              <w:t xml:space="preserve">Die in diesem Dokument enthaltenen Angaben sind kein Angebot, keine Werbung oder die Aufforderung zur Abgabe eines Angebots zum Verkauf, Austausch oder zur Übertragung der Komplexen Produkte auf sonstige Weise in der Russischen Föderation gegenüber oder zu Gunsten einer russischen natürlichen oder juristischen Person und dürfen in der Russischen Föderation nicht verbreitet werden, ausser in dem sonst durch russisches Recht erlaubten Umfang. </w:t>
            </w:r>
          </w:p>
        </w:tc>
      </w:tr>
      <w:tr w:rsidTr="003330CF">
        <w:tblPrEx>
          <w:tblW w:w="5000" w:type="pct"/>
          <w:tblLayout w:type="fixed"/>
          <w:tblLook w:val="00A0"/>
        </w:tblPrEx>
        <w:trPr>
          <w:trHeight w:val="57"/>
        </w:trPr>
        <w:tc>
          <w:tcPr>
            <w:tcW w:w="2356" w:type="pct"/>
            <w:tcBorders>
              <w:right w:val="single" w:sz="4" w:space="0" w:color="auto"/>
            </w:tcBorders>
          </w:tcPr>
          <w:p w:rsidR="00D3298E" w:rsidRPr="00946971" w:rsidP="00D3298E">
            <w:pPr>
              <w:pStyle w:val="CSBody0"/>
            </w:pPr>
            <w:r w:rsidRPr="00946971">
              <w:t>Since neither the issuance of the Complex Products nor a securities prospectus in respect of the Complex Products has been, registered or is intended to be registered, with the Central Bank of the Russian Federation (the "</w:t>
            </w:r>
            <w:r w:rsidRPr="00DA71CC">
              <w:rPr>
                <w:b/>
              </w:rPr>
              <w:t>CBR</w:t>
            </w:r>
            <w:r w:rsidRPr="00946971">
              <w:t>") and no decision to admit the Complex Products to placement or public circulation in the Russian Federation has been made, or is intended to be made, by the CBR or a Russian stock exchange, the Complex Products are not eligible for initial offering or public circulation in the Russian Federation and may not be sold or offered in the Russian Federation unless to the extent otherwise permitted under Russian law.</w:t>
            </w:r>
          </w:p>
        </w:tc>
        <w:tc>
          <w:tcPr>
            <w:tcW w:w="2644" w:type="pct"/>
            <w:tcBorders>
              <w:left w:val="single" w:sz="4" w:space="0" w:color="auto"/>
            </w:tcBorders>
          </w:tcPr>
          <w:p w:rsidR="00D3298E" w:rsidRPr="00D3298E" w:rsidP="00D3298E">
            <w:pPr>
              <w:pStyle w:val="CSBody0"/>
              <w:rPr>
                <w:lang w:val="de-DE"/>
              </w:rPr>
            </w:pPr>
            <w:r w:rsidRPr="00D3298E">
              <w:rPr>
                <w:lang w:val="de-DE"/>
              </w:rPr>
              <w:t>Da weder die Begebung der Komplexen Produkte noch ein Wertpapierprospekt in Bezug auf die Komplexen Produkte bei der Zentralbank der Russischen Föderation (die "</w:t>
            </w:r>
            <w:r w:rsidRPr="00DA71CC">
              <w:rPr>
                <w:b/>
                <w:lang w:val="de-DE"/>
              </w:rPr>
              <w:t>ZB RF</w:t>
            </w:r>
            <w:r w:rsidRPr="00D3298E">
              <w:rPr>
                <w:lang w:val="de-DE"/>
              </w:rPr>
              <w:t xml:space="preserve">") registriert wurde und dies auch nicht vorgesehen ist und ferner keine Entscheidung der ZB RF oder einer russischen Wertpapierbörse zur Zulassung der Komplexen Produkte zur Platzierung oder öffentlichen Verbreitung in der Russischen Föderation ergangen ist und dies auch nicht vorgesehen ist, sind die Komplexen Produkte nicht zur Erstausgabe oder öffentlichen Verbreitung in der Russischen Föderation zugelassen und dürfen in der Russischen Föderation nicht verkauft oder angeboten werden, ausser in dem sonst durch russisches Recht erlaubten Umfang. </w:t>
            </w:r>
          </w:p>
        </w:tc>
      </w:tr>
      <w:tr w:rsidTr="003330CF">
        <w:tblPrEx>
          <w:tblW w:w="5000" w:type="pct"/>
          <w:tblLayout w:type="fixed"/>
          <w:tblLook w:val="00A0"/>
        </w:tblPrEx>
        <w:trPr>
          <w:trHeight w:val="57"/>
        </w:trPr>
        <w:tc>
          <w:tcPr>
            <w:tcW w:w="2356" w:type="pct"/>
            <w:tcBorders>
              <w:right w:val="single" w:sz="4" w:space="0" w:color="auto"/>
            </w:tcBorders>
          </w:tcPr>
          <w:p w:rsidR="001E0E28" w:rsidRPr="003177FA" w:rsidP="003177FA">
            <w:pPr>
              <w:pStyle w:val="CSbody0bold"/>
            </w:pPr>
            <w:r w:rsidRPr="003177FA">
              <w:t>Saudi Arabia</w:t>
            </w:r>
          </w:p>
        </w:tc>
        <w:tc>
          <w:tcPr>
            <w:tcW w:w="2644" w:type="pct"/>
            <w:tcBorders>
              <w:left w:val="single" w:sz="4" w:space="0" w:color="auto"/>
            </w:tcBorders>
          </w:tcPr>
          <w:p w:rsidR="001E0E28" w:rsidRPr="003177FA" w:rsidP="003177FA">
            <w:pPr>
              <w:pStyle w:val="CSbody0bold"/>
            </w:pPr>
            <w:r w:rsidRPr="003177FA">
              <w:t>Saudi-Arabien</w:t>
            </w:r>
          </w:p>
        </w:tc>
      </w:tr>
      <w:tr w:rsidTr="003330CF">
        <w:tblPrEx>
          <w:tblW w:w="5000" w:type="pct"/>
          <w:tblLayout w:type="fixed"/>
          <w:tblLook w:val="00A0"/>
        </w:tblPrEx>
        <w:trPr>
          <w:trHeight w:val="57"/>
        </w:trPr>
        <w:tc>
          <w:tcPr>
            <w:tcW w:w="2356" w:type="pct"/>
            <w:tcBorders>
              <w:right w:val="single" w:sz="4" w:space="0" w:color="auto"/>
            </w:tcBorders>
          </w:tcPr>
          <w:p w:rsidR="00DA71CC" w:rsidRPr="00F476ED" w:rsidP="00DA71CC">
            <w:pPr>
              <w:pStyle w:val="CSBody0"/>
            </w:pPr>
            <w:r w:rsidRPr="00F476ED">
              <w:t>This Document does not constitute an offer which has been approved by, or in respect of which notice has been given to, the Saudi Arabian Capital Market Authority (the "</w:t>
            </w:r>
            <w:r w:rsidRPr="00DA71CC">
              <w:rPr>
                <w:b/>
              </w:rPr>
              <w:t>Authority</w:t>
            </w:r>
            <w:r w:rsidRPr="00F476ED">
              <w:t>") under the Offers of Securities Regulations (the "</w:t>
            </w:r>
            <w:r w:rsidRPr="00DA71CC">
              <w:rPr>
                <w:b/>
              </w:rPr>
              <w:t>Regulations</w:t>
            </w:r>
            <w:r w:rsidRPr="00F476ED">
              <w:t>"), whether by way of "private placement" or by "public offer" (as each term is defined in the Regulations).</w:t>
            </w:r>
          </w:p>
        </w:tc>
        <w:tc>
          <w:tcPr>
            <w:tcW w:w="2644" w:type="pct"/>
            <w:tcBorders>
              <w:left w:val="single" w:sz="4" w:space="0" w:color="auto"/>
            </w:tcBorders>
          </w:tcPr>
          <w:p w:rsidR="00DA71CC" w:rsidRPr="00DA71CC" w:rsidP="00DA71CC">
            <w:pPr>
              <w:pStyle w:val="CSBody0"/>
              <w:rPr>
                <w:lang w:val="de-DE"/>
              </w:rPr>
            </w:pPr>
            <w:r w:rsidRPr="00DA71CC">
              <w:rPr>
                <w:lang w:val="de-DE"/>
              </w:rPr>
              <w:t>Dieses Dokument stellt kein Angebot dar, das nach den Vorschriften über Angebote von Wertpapieren (die "</w:t>
            </w:r>
            <w:r w:rsidRPr="00DA71CC">
              <w:rPr>
                <w:b/>
                <w:lang w:val="de-DE"/>
              </w:rPr>
              <w:t>Vorschriften</w:t>
            </w:r>
            <w:r w:rsidRPr="00DA71CC">
              <w:rPr>
                <w:lang w:val="de-DE"/>
              </w:rPr>
              <w:t>") von der Kapitalmarktbehörde von Saudi-Arabien (die "</w:t>
            </w:r>
            <w:r w:rsidRPr="00DA71CC">
              <w:rPr>
                <w:b/>
                <w:lang w:val="de-DE"/>
              </w:rPr>
              <w:t>Behörde</w:t>
            </w:r>
            <w:r w:rsidRPr="00DA71CC">
              <w:rPr>
                <w:lang w:val="de-DE"/>
              </w:rPr>
              <w:t>") gebilligt wurde oder das nach den Vorschriften bei der Behörde angezeigt wurde, und zwar weder ein Angebot in Form einer "Privatplatzierung" noch ein "öffentliches Angebot" (wie jeweils in den Vorschriften definiert).</w:t>
            </w:r>
          </w:p>
        </w:tc>
      </w:tr>
      <w:tr w:rsidTr="003330CF">
        <w:tblPrEx>
          <w:tblW w:w="5000" w:type="pct"/>
          <w:tblLayout w:type="fixed"/>
          <w:tblLook w:val="00A0"/>
        </w:tblPrEx>
        <w:trPr>
          <w:trHeight w:val="57"/>
        </w:trPr>
        <w:tc>
          <w:tcPr>
            <w:tcW w:w="2356" w:type="pct"/>
            <w:tcBorders>
              <w:right w:val="single" w:sz="4" w:space="0" w:color="auto"/>
            </w:tcBorders>
          </w:tcPr>
          <w:p w:rsidR="00DA71CC" w:rsidRPr="00F476ED" w:rsidP="00DA71CC">
            <w:pPr>
              <w:pStyle w:val="CSBody0"/>
            </w:pPr>
            <w:r w:rsidRPr="00F476ED">
              <w:t>This Document may not be distributed in the Kingdom of Saudi Arabia except to such persons as are permitted to receive it under the Regulations, and does not constitute an offer to any person who would not be entitled to receive it under the Regulations. The Regulations only permit offers of securities in the Kingdom of Saudi Arabia to be made through Authorised Persons (as defined in the Glossary of Defined Terms Used in the Regulations and Rules of the Capital Market Authority). Any investor in the Kingdom of Saudi Arabia who acquires the securities pursuant to an offering made by way of private placement should note that the offer of the securities is subject to the restrictions on secondary market activity of offers of privately placed securities under the Regulations.</w:t>
            </w:r>
          </w:p>
        </w:tc>
        <w:tc>
          <w:tcPr>
            <w:tcW w:w="2644" w:type="pct"/>
            <w:tcBorders>
              <w:left w:val="single" w:sz="4" w:space="0" w:color="auto"/>
            </w:tcBorders>
          </w:tcPr>
          <w:p w:rsidR="00DA71CC" w:rsidRPr="00DA71CC" w:rsidP="00DA71CC">
            <w:pPr>
              <w:pStyle w:val="CSBody0"/>
              <w:rPr>
                <w:lang w:val="de-DE"/>
              </w:rPr>
            </w:pPr>
            <w:r w:rsidRPr="00DA71CC">
              <w:rPr>
                <w:lang w:val="de-DE"/>
              </w:rPr>
              <w:t>Dieses Dokument darf im Königreich Saudi-Arabien nur an Personen verteilt werden, die nach den Vorschriften zu dessen Erhalt berechtigt sind, und es stellt kein Angebot an Personen dar, die nach den Vorschriften nicht zu dessen Erhalt berechtigt sind. Nach den Vorschriften dürfen im Königreich Saudi-Arabien Wertpapierangebote nur durch Befugte Personen (wie im Glossar der in den Vorschriften und Regelungen der Kapitalmarktbehörde verwendeten definierten Begriffen definiert) erfolgen. Jeder Anleger im Königreich Saudi-Arabien, der Wertpapiere im Rahmen eines als Privatplatzierung erfolgenden Angebots erwirbt, sollte sich darüber im Klaren sein, dass das Angebot der Wertpapiere den nach den Vorschriften geltenden Beschränkungen für Sekundärmarktgeschäfte in Bezug auf privat platzierte Wertpapiere unterliegt.</w:t>
            </w:r>
          </w:p>
        </w:tc>
      </w:tr>
      <w:tr w:rsidTr="003330CF">
        <w:tblPrEx>
          <w:tblW w:w="5000" w:type="pct"/>
          <w:tblLayout w:type="fixed"/>
          <w:tblLook w:val="00A0"/>
        </w:tblPrEx>
        <w:trPr>
          <w:trHeight w:val="57"/>
        </w:trPr>
        <w:tc>
          <w:tcPr>
            <w:tcW w:w="2356" w:type="pct"/>
            <w:tcBorders>
              <w:right w:val="single" w:sz="4" w:space="0" w:color="auto"/>
            </w:tcBorders>
          </w:tcPr>
          <w:p w:rsidR="00DA71CC" w:rsidRPr="00F476ED" w:rsidP="00DA71CC">
            <w:pPr>
              <w:pStyle w:val="CSBody0"/>
            </w:pPr>
            <w:r w:rsidRPr="00F476ED">
              <w:t>The Authority does not make any representation as to the accuracy or completeness of this Document, and expressly disclaims any liability whatsoever for any loss arising from, or incurred in reliance upon, any part of this Document. Prospective purchasers of the Complex Products offered hereby should conduct their own due diligence on the accuracy of the information relating to the Complex Products. If you do not understand the contents of this Document you should consult an authorised financial adviser.</w:t>
            </w:r>
          </w:p>
        </w:tc>
        <w:tc>
          <w:tcPr>
            <w:tcW w:w="2644" w:type="pct"/>
            <w:tcBorders>
              <w:left w:val="single" w:sz="4" w:space="0" w:color="auto"/>
            </w:tcBorders>
          </w:tcPr>
          <w:p w:rsidR="00DA71CC" w:rsidRPr="00DA71CC" w:rsidP="00DA71CC">
            <w:pPr>
              <w:pStyle w:val="CSBody0"/>
              <w:rPr>
                <w:lang w:val="de-DE"/>
              </w:rPr>
            </w:pPr>
            <w:r w:rsidRPr="00DA71CC">
              <w:rPr>
                <w:lang w:val="de-DE"/>
              </w:rPr>
              <w:t>Die Behörde gibt keine Zusicherung hinsichtlich der Richtigkeit oder Vollständigkeit dieses Dokuments ab, und schliesst ausdrücklich jede Haftung für Verluste aus, die aus einem Teil dieses Dokuments oder im Vertrauen darauf entstehen. Potenzielle Käufer der hierin angebotenen Komplexen Produkte sollten die in Bezug auf die Komplexen Produkte erteilten Informationen selbst auf ihre Richtigkeit hin überprüfen. Wenn Sie den Inhalt dieses Dokuments nicht verstehen, sollten Sie einen zugelassenen Finanzberater konsultieren.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3177FA">
            <w:pPr>
              <w:pStyle w:val="CSbody0bold"/>
            </w:pPr>
            <w:r w:rsidRPr="005B5713">
              <w:t>Singapore</w:t>
            </w:r>
          </w:p>
        </w:tc>
        <w:tc>
          <w:tcPr>
            <w:tcW w:w="2644" w:type="pct"/>
            <w:tcBorders>
              <w:left w:val="single" w:sz="4" w:space="0" w:color="auto"/>
            </w:tcBorders>
          </w:tcPr>
          <w:p w:rsidR="001E0E28" w:rsidRPr="005B5713" w:rsidP="003177FA">
            <w:pPr>
              <w:pStyle w:val="CSbody0bold"/>
            </w:pPr>
            <w:r w:rsidRPr="005B5713">
              <w:t>Singapur</w:t>
            </w:r>
          </w:p>
        </w:tc>
      </w:tr>
      <w:tr w:rsidTr="003330CF">
        <w:tblPrEx>
          <w:tblW w:w="5000" w:type="pct"/>
          <w:tblLayout w:type="fixed"/>
          <w:tblLook w:val="00A0"/>
        </w:tblPrEx>
        <w:trPr>
          <w:trHeight w:val="57"/>
        </w:trPr>
        <w:tc>
          <w:tcPr>
            <w:tcW w:w="2356" w:type="pct"/>
            <w:tcBorders>
              <w:right w:val="single" w:sz="4" w:space="0" w:color="auto"/>
            </w:tcBorders>
          </w:tcPr>
          <w:p w:rsidR="00DA71CC" w:rsidRPr="003429E9" w:rsidP="00DA71CC">
            <w:pPr>
              <w:pStyle w:val="CSBody0"/>
            </w:pPr>
            <w:r w:rsidRPr="003429E9">
              <w:t>This Document has not been and will not be registered as a prospectus with the Monetary Authority of Singapore under the Securities and Futures Act, Chapter 289 of Singapore (the "</w:t>
            </w:r>
            <w:r w:rsidRPr="00DA71CC">
              <w:rPr>
                <w:b/>
              </w:rPr>
              <w:t>SFA</w:t>
            </w:r>
            <w:r w:rsidRPr="003429E9">
              <w:t>"). Accordingly, this Document and any other document or material in connection with the offer or sale, or invitation for subscription or purchase, of the Complex Products may not be circulated or distributed, nor may the Complex Products be offered or sold or be made the subject of an invitation for subscription or purchase, whether directly or indirectly, to any person in Singapore other than (i) to an institutional investor (in the case of debentures or units of debentures, or other securities) under Section 274 of the SFA or (in the case of units or derivatives of units in a business trust) Section 282Y of the SFA or (in the case of units of a collective investment scheme) Section 304 of the SFA (ii) to a relevant person, or any person pursuant to (in the case of debentures or units of debentures, or other securities) Section 275(1A) of the SFA or (in the case of units or derivatives of units of a business trust) Section 282Z(2) of the SFA and in accordance with the conditions specified in (in the case of debentures or units of debentures) Section 275 of the SFA or (in the case of units or derivatives of units of a business trust) Section 282Z of the SFA, or (iii) pursuant to, and in accordance with the conditions of, any other applicable provision of the SFA or otherwise in accordance with applicable Singapore law.</w:t>
            </w:r>
          </w:p>
        </w:tc>
        <w:tc>
          <w:tcPr>
            <w:tcW w:w="2644" w:type="pct"/>
            <w:tcBorders>
              <w:left w:val="single" w:sz="4" w:space="0" w:color="auto"/>
            </w:tcBorders>
          </w:tcPr>
          <w:p w:rsidR="00DA71CC" w:rsidRPr="00DA71CC" w:rsidP="00DA71CC">
            <w:pPr>
              <w:pStyle w:val="CSBody0"/>
              <w:rPr>
                <w:lang w:val="de-DE"/>
              </w:rPr>
            </w:pPr>
            <w:r w:rsidRPr="00DA71CC">
              <w:rPr>
                <w:lang w:val="de-DE"/>
              </w:rPr>
              <w:t>Das vorliegende Dokument ist und wird nicht bei den Währungsbehörden von Singapur als Prospekt nach Kapitel 289 des Wertpapier- und Finanzterminkontraktgesetzes von Singapur (Securities and Futures Act; "</w:t>
            </w:r>
            <w:r w:rsidRPr="00DA71CC">
              <w:rPr>
                <w:b/>
                <w:lang w:val="de-DE"/>
              </w:rPr>
              <w:t>SFA</w:t>
            </w:r>
            <w:r w:rsidRPr="00DA71CC">
              <w:rPr>
                <w:lang w:val="de-DE"/>
              </w:rPr>
              <w:t xml:space="preserve">") registriert. Demzufolge dürfen das vorliegende Dokument und alle anderen Unterlagen oder Materialien im Zusammenhang mit dem Angebot oder Verkauf oder der Aufforderung zur Zeichnung oder zum Kauf der Komplexen Produkte nicht direkt oder indirekt an Personen in Singapur ausgegeben oder verteilt werden, und die Komplexen Produkte dürfen solchen Personen nicht direkt oder indirekt angeboten oder an diese verkauft werden oder zum Gegenstand einer Aufforderung zur Zeichnung oder zum Kauf gemacht werden, ausser (i) an einen institutionellen Anleger (im Falle von Schuldverschreibungen oder Teilschuldverschreibungen oder anderen Wertpapieren) gemäss Art. 274 SFA oder (im Falle von Anteilen oder Anteilsderivaten an einem Business Trust) des Art. 282Y SFA oder (im Falle von Anteilen an einem Investmentfonds) gemäss Art. 304 SFA, (ii) an eine relevante Person oder eine Person im Sinne des Art. 275(1A) SFA (im Falle von Schuldverschreibungen oder Teilschuldverschreibungen oder anderen Wertpapieren) bzw. des Art. 282Z(2) SFA (im Falle von Anteilen oder Anteilsderivaten an einem Business Trust) und nach Massgabe der Bedingungen des Art. 275 SFA (im Falle von Schuldverschreibungen oder Teilschuldverschreibungen oder anderen Wertpapieren) bzw. des Art. 282Z SFA (im Falle von Anteilen oder Anteilsderivaten an einem Business Trust), oder (iii) gemäss und unter Einhaltung der Bedingungen sonstiger anwendbarer Vorschriften des SFA oder anderweitig nach geltendem singapurischem Recht. </w:t>
            </w:r>
          </w:p>
        </w:tc>
      </w:tr>
      <w:tr w:rsidTr="003330CF">
        <w:tblPrEx>
          <w:tblW w:w="5000" w:type="pct"/>
          <w:tblLayout w:type="fixed"/>
          <w:tblLook w:val="00A0"/>
        </w:tblPrEx>
        <w:trPr>
          <w:trHeight w:val="57"/>
        </w:trPr>
        <w:tc>
          <w:tcPr>
            <w:tcW w:w="2356" w:type="pct"/>
            <w:tcBorders>
              <w:right w:val="single" w:sz="4" w:space="0" w:color="auto"/>
            </w:tcBorders>
          </w:tcPr>
          <w:p w:rsidR="00DA71CC" w:rsidRPr="003429E9" w:rsidP="00DA71CC">
            <w:pPr>
              <w:pStyle w:val="CSBody0"/>
            </w:pPr>
            <w:r w:rsidRPr="003429E9">
              <w:t xml:space="preserve">Where the Complex Products are subscribed or purchased pursuant to an exception under (in the case of debentures or units of debentures, or other securities) Section 275 or (in the case of units or derivatives of units in a business trust) Section 282Z of the SFA by: </w:t>
            </w:r>
          </w:p>
        </w:tc>
        <w:tc>
          <w:tcPr>
            <w:tcW w:w="2644" w:type="pct"/>
            <w:tcBorders>
              <w:left w:val="single" w:sz="4" w:space="0" w:color="auto"/>
            </w:tcBorders>
          </w:tcPr>
          <w:p w:rsidR="00DA71CC" w:rsidRPr="00DA71CC" w:rsidP="00DA71CC">
            <w:pPr>
              <w:pStyle w:val="CSBody0"/>
              <w:rPr>
                <w:lang w:val="de-DE"/>
              </w:rPr>
            </w:pPr>
            <w:r w:rsidRPr="00DA71CC">
              <w:rPr>
                <w:lang w:val="de-DE"/>
              </w:rPr>
              <w:t>Soweit die Komplexen Produkte aufgrund einer Ausnahmeregelung des Art. 275 SFA (im Falle von Schuldverschreibungen oder Teilschuldverschreibungen oder anderen Wertpapieren) oder des Art. 282Z SFA (im Falle von Anteilen oder Anteilsderivaten an einem Business Trust) von folgenden Personen gezeichnet oder gekauft werden:</w:t>
            </w:r>
          </w:p>
        </w:tc>
      </w:tr>
      <w:tr w:rsidTr="003330CF">
        <w:tblPrEx>
          <w:tblW w:w="5000" w:type="pct"/>
          <w:tblLayout w:type="fixed"/>
          <w:tblLook w:val="00A0"/>
        </w:tblPrEx>
        <w:trPr>
          <w:trHeight w:val="57"/>
        </w:trPr>
        <w:tc>
          <w:tcPr>
            <w:tcW w:w="2356" w:type="pct"/>
            <w:tcBorders>
              <w:right w:val="single" w:sz="4" w:space="0" w:color="auto"/>
            </w:tcBorders>
          </w:tcPr>
          <w:p w:rsidR="00DA71CC" w:rsidRPr="00FC7998" w:rsidP="00DA71CC">
            <w:pPr>
              <w:pStyle w:val="CSManNum9pt"/>
            </w:pPr>
            <w:r w:rsidRPr="00DA71CC">
              <w:t>(a)</w:t>
            </w:r>
            <w:r w:rsidRPr="00DA71CC">
              <w:tab/>
              <w:t>a corporation (which is not an accredited investor (as defined in Section 4A of the SFA )) the sole business of which is to hold investments and the entire share capital of which is owned by one or more individuals, each of whom is an accredited investor; or</w:t>
            </w:r>
          </w:p>
        </w:tc>
        <w:tc>
          <w:tcPr>
            <w:tcW w:w="2644" w:type="pct"/>
            <w:tcBorders>
              <w:left w:val="single" w:sz="4" w:space="0" w:color="auto"/>
            </w:tcBorders>
          </w:tcPr>
          <w:p w:rsidR="00DA71CC" w:rsidRPr="00DA71CC" w:rsidP="00DA71CC">
            <w:pPr>
              <w:pStyle w:val="CSManNum9pt"/>
              <w:rPr>
                <w:lang w:val="de-DE"/>
              </w:rPr>
            </w:pPr>
            <w:r w:rsidRPr="00DA71CC">
              <w:rPr>
                <w:lang w:val="de-DE"/>
              </w:rPr>
              <w:t>(a)</w:t>
            </w:r>
            <w:r w:rsidRPr="00DA71CC">
              <w:rPr>
                <w:lang w:val="de-DE"/>
              </w:rPr>
              <w:tab/>
              <w:t>einer Gesellschaft (bei welcher es sich nicht um einen zugelassenen Anleger (wie in Art. 4A SFA definiert) handelt), deren alleiniger Geschäftszweck die Verwaltung von Kapitalanlagen ist und deren gesamtes Gesellschaftskapital einer oder mehreren Privatpersonen gehört, bei der bzw. bei denen es sich jeweils um zugelassene Anleger handelt; oder</w:t>
            </w:r>
          </w:p>
        </w:tc>
      </w:tr>
      <w:tr w:rsidTr="003330CF">
        <w:tblPrEx>
          <w:tblW w:w="5000" w:type="pct"/>
          <w:tblLayout w:type="fixed"/>
          <w:tblLook w:val="00A0"/>
        </w:tblPrEx>
        <w:trPr>
          <w:trHeight w:val="57"/>
        </w:trPr>
        <w:tc>
          <w:tcPr>
            <w:tcW w:w="2356" w:type="pct"/>
            <w:tcBorders>
              <w:right w:val="single" w:sz="4" w:space="0" w:color="auto"/>
            </w:tcBorders>
          </w:tcPr>
          <w:p w:rsidR="00DA71CC" w:rsidRPr="00FC7998" w:rsidP="00DA71CC">
            <w:pPr>
              <w:pStyle w:val="CSManNum9pt"/>
            </w:pPr>
            <w:r w:rsidRPr="00DA71CC">
              <w:t>(b)</w:t>
            </w:r>
            <w:r w:rsidRPr="00DA71CC">
              <w:tab/>
              <w:t>a trust (where the trustee is not an accredited investor) whose sole purpose is to hold investments and each beneficiary is an individual who is an accredited investor,</w:t>
            </w:r>
          </w:p>
        </w:tc>
        <w:tc>
          <w:tcPr>
            <w:tcW w:w="2644" w:type="pct"/>
            <w:tcBorders>
              <w:left w:val="single" w:sz="4" w:space="0" w:color="auto"/>
            </w:tcBorders>
          </w:tcPr>
          <w:p w:rsidR="00DA71CC" w:rsidRPr="00DA71CC" w:rsidP="00DA71CC">
            <w:pPr>
              <w:pStyle w:val="CSManNum9pt"/>
              <w:rPr>
                <w:lang w:val="de-DE"/>
              </w:rPr>
            </w:pPr>
            <w:r w:rsidRPr="00DA71CC">
              <w:rPr>
                <w:lang w:val="de-DE"/>
              </w:rPr>
              <w:t>(b)</w:t>
            </w:r>
            <w:r w:rsidRPr="00DA71CC">
              <w:rPr>
                <w:lang w:val="de-DE"/>
              </w:rPr>
              <w:tab/>
              <w:t>einem Trust (bei dessen Treuhänder es sich nicht um einen zugelassenen Anleger handelt), dessen alleiniger Geschäftszweck die Verwaltung von Kapitalanlagen ist und dessen Begünstigte jeweils Privatpersonen sind, bei welchen es sich um zugelassene Anleger handelt;</w:t>
            </w:r>
          </w:p>
        </w:tc>
      </w:tr>
      <w:tr w:rsidTr="003330CF">
        <w:tblPrEx>
          <w:tblW w:w="5000" w:type="pct"/>
          <w:tblLayout w:type="fixed"/>
          <w:tblLook w:val="00A0"/>
        </w:tblPrEx>
        <w:trPr>
          <w:trHeight w:val="57"/>
        </w:trPr>
        <w:tc>
          <w:tcPr>
            <w:tcW w:w="2356" w:type="pct"/>
            <w:tcBorders>
              <w:right w:val="single" w:sz="4" w:space="0" w:color="auto"/>
            </w:tcBorders>
          </w:tcPr>
          <w:p w:rsidR="00DA71CC" w:rsidRPr="0097285B" w:rsidP="00DA71CC">
            <w:pPr>
              <w:pStyle w:val="CSBody0"/>
            </w:pPr>
            <w:r w:rsidRPr="0097285B">
              <w:t>shares, debentures and units of shares and debentures of that corporation or the beneficiaries' rights and interest in that trust shall not be transferable for six months after that corporation or that trust has acquired the Securities under Section 275 or Section 282Z of the SFA (as the case may be) except:</w:t>
            </w:r>
          </w:p>
        </w:tc>
        <w:tc>
          <w:tcPr>
            <w:tcW w:w="2644" w:type="pct"/>
            <w:tcBorders>
              <w:left w:val="single" w:sz="4" w:space="0" w:color="auto"/>
            </w:tcBorders>
          </w:tcPr>
          <w:p w:rsidR="00DA71CC" w:rsidRPr="00DA71CC" w:rsidP="00DA71CC">
            <w:pPr>
              <w:pStyle w:val="CSBody0"/>
              <w:rPr>
                <w:lang w:val="de-DE"/>
              </w:rPr>
            </w:pPr>
            <w:r w:rsidRPr="00DA71CC">
              <w:rPr>
                <w:lang w:val="de-DE"/>
              </w:rPr>
              <w:t>dürfen Aktien, Schuldverschreibungen sowie Stückaktien und Teilschuldverschreibungen dieser Gesellschaft oder die Rechte und die Beteiligung der Begünstigten an dem Trust für einen Zeitraum von sechs Monaten nach dem Datum des Erwerbs der Wertpapiere durch die Gesellschaft oder den Trust gemäss Art. 275 bzw. Art. 282Z SFA nicht übertragen werden, ausser:</w:t>
            </w:r>
          </w:p>
        </w:tc>
      </w:tr>
      <w:tr w:rsidTr="003330CF">
        <w:tblPrEx>
          <w:tblW w:w="5000" w:type="pct"/>
          <w:tblLayout w:type="fixed"/>
          <w:tblLook w:val="00A0"/>
        </w:tblPrEx>
        <w:trPr>
          <w:trHeight w:val="57"/>
        </w:trPr>
        <w:tc>
          <w:tcPr>
            <w:tcW w:w="2356" w:type="pct"/>
            <w:tcBorders>
              <w:right w:val="single" w:sz="4" w:space="0" w:color="auto"/>
            </w:tcBorders>
          </w:tcPr>
          <w:p w:rsidR="001E0E28" w:rsidRPr="00537808" w:rsidP="003177FA">
            <w:pPr>
              <w:pStyle w:val="CSManNum9pt"/>
            </w:pPr>
            <w:r w:rsidRPr="00DA71CC">
              <w:t>(1)</w:t>
            </w:r>
            <w:r w:rsidRPr="00DA71CC">
              <w:tab/>
              <w:t>(i) to an institutional investor under Section 274 (in the case of debentures or units of debentures, or other securities) or Section 282Z (in the case of units or derivatives of units in a business trust) of the SFA, or (ii) to a relevant person pursuant to Section 275 (in the case of debentures or units of debentures, or other securities) or 282Z (in the case of units or derivatives of units in a business trust) of the SFA, or any person pursuant to Section 275(1A) (in the case of debentures or units of debentures, or other securities) or Section 282Z(2) (in the case of units or derivatives of units in a business trust) of the SFA, respectively and in accordance with the conditions, specified in Section 275 (in the case of debentures or units of debentures, or other securities) or Section 282Z (in the case of units or derivatives of units in a business trust) of the SFA; or</w:t>
            </w:r>
          </w:p>
        </w:tc>
        <w:tc>
          <w:tcPr>
            <w:tcW w:w="2644" w:type="pct"/>
            <w:tcBorders>
              <w:left w:val="single" w:sz="4" w:space="0" w:color="auto"/>
            </w:tcBorders>
          </w:tcPr>
          <w:p w:rsidR="001E0E28" w:rsidRPr="00DA71CC" w:rsidP="003177FA">
            <w:pPr>
              <w:pStyle w:val="CSManNum9pt"/>
              <w:rPr>
                <w:lang w:val="de-DE"/>
              </w:rPr>
            </w:pPr>
            <w:r w:rsidRPr="00DA71CC">
              <w:rPr>
                <w:lang w:val="de-DE"/>
              </w:rPr>
              <w:t>(1)</w:t>
            </w:r>
            <w:r w:rsidRPr="00DA71CC">
              <w:rPr>
                <w:lang w:val="de-DE"/>
              </w:rPr>
              <w:tab/>
              <w:t>(i) an einen institutionellen Investor gemäss Art. 274 SFA (im Falle von Schuldverschreibungen oder Teilschuldverschreibungen oder anderen Wertpapieren) bzw. Art. 282Z SFA (im Falle von Anteilen oder Anteilsderivaten an einem Business Trust) oder (ii) an eine relevante Person im Sinne des Art. 275 SFA (im Falle von Schuldverschreibungen oder Teilschuldverschreibungen oder anderen Wertpapieren) bzw. des Art. 282Z SFA (im Falle von Anteilen oder Anteilsderivaten an einem Business Trust) oder an eine Person im Sinne des Art. 275(1A) SFA (im Falle von Schuldverschreibungen oder Teilschuldverschreibungen oder anderen Wertpapieren) bzw. des Art. 282Z(2) (im Falle von Anteilen oder Anteilsderivaten an einem Business Trust) und nach Massgabe der Bedingungen des Art. 275 SFA (im Falle von Schuldverschreibungen oder Teilschuldverschreibungen oder anderen Wertpapieren) bzw. des Art. 282Z SFA (im Falle von Anteilen oder Anteilsderivaten an einem Business Trust); oder</w:t>
            </w:r>
          </w:p>
        </w:tc>
      </w:tr>
      <w:tr w:rsidTr="003330CF">
        <w:tblPrEx>
          <w:tblW w:w="5000" w:type="pct"/>
          <w:tblLayout w:type="fixed"/>
          <w:tblLook w:val="00A0"/>
        </w:tblPrEx>
        <w:trPr>
          <w:trHeight w:val="57"/>
        </w:trPr>
        <w:tc>
          <w:tcPr>
            <w:tcW w:w="2356" w:type="pct"/>
            <w:tcBorders>
              <w:right w:val="single" w:sz="4" w:space="0" w:color="auto"/>
            </w:tcBorders>
          </w:tcPr>
          <w:p w:rsidR="001E0E28" w:rsidRPr="00DA71CC" w:rsidP="003177FA">
            <w:pPr>
              <w:pStyle w:val="CSManNum9pt"/>
              <w:rPr>
                <w:bCs/>
              </w:rPr>
            </w:pPr>
            <w:r w:rsidRPr="00DA71CC">
              <w:rPr>
                <w:bCs/>
              </w:rPr>
              <w:t>(2)</w:t>
            </w:r>
            <w:r w:rsidRPr="00DA71CC">
              <w:rPr>
                <w:bCs/>
              </w:rPr>
              <w:tab/>
              <w:t>where no consideration is given for the transfer; or</w:t>
            </w:r>
          </w:p>
        </w:tc>
        <w:tc>
          <w:tcPr>
            <w:tcW w:w="2644" w:type="pct"/>
            <w:tcBorders>
              <w:left w:val="single" w:sz="4" w:space="0" w:color="auto"/>
            </w:tcBorders>
          </w:tcPr>
          <w:p w:rsidR="001E0E28" w:rsidRPr="00DA71CC" w:rsidP="003177FA">
            <w:pPr>
              <w:pStyle w:val="CSManNum9pt"/>
              <w:rPr>
                <w:lang w:val="de-DE"/>
              </w:rPr>
            </w:pPr>
            <w:r w:rsidRPr="00DA71CC">
              <w:rPr>
                <w:lang w:val="de-DE"/>
              </w:rPr>
              <w:t>(2)</w:t>
            </w:r>
            <w:r w:rsidRPr="00DA71CC">
              <w:rPr>
                <w:lang w:val="de-DE"/>
              </w:rPr>
              <w:tab/>
              <w:t>soweit keine Gegenleistung für die Übertragung erfolgt; oder</w:t>
            </w:r>
          </w:p>
        </w:tc>
      </w:tr>
      <w:tr w:rsidTr="003330CF">
        <w:tblPrEx>
          <w:tblW w:w="5000" w:type="pct"/>
          <w:tblLayout w:type="fixed"/>
          <w:tblLook w:val="00A0"/>
        </w:tblPrEx>
        <w:trPr>
          <w:trHeight w:val="57"/>
        </w:trPr>
        <w:tc>
          <w:tcPr>
            <w:tcW w:w="2356" w:type="pct"/>
            <w:tcBorders>
              <w:right w:val="single" w:sz="4" w:space="0" w:color="auto"/>
            </w:tcBorders>
          </w:tcPr>
          <w:p w:rsidR="001E0E28" w:rsidRPr="00DA71CC" w:rsidP="003177FA">
            <w:pPr>
              <w:pStyle w:val="CSManNum9pt"/>
              <w:rPr>
                <w:bCs/>
              </w:rPr>
            </w:pPr>
            <w:r w:rsidRPr="00DA71CC">
              <w:rPr>
                <w:bCs/>
              </w:rPr>
              <w:t>(3)</w:t>
            </w:r>
            <w:r w:rsidRPr="00DA71CC">
              <w:rPr>
                <w:bCs/>
              </w:rPr>
              <w:tab/>
              <w:t>by operation of law; or</w:t>
            </w:r>
          </w:p>
        </w:tc>
        <w:tc>
          <w:tcPr>
            <w:tcW w:w="2644" w:type="pct"/>
            <w:tcBorders>
              <w:left w:val="single" w:sz="4" w:space="0" w:color="auto"/>
            </w:tcBorders>
          </w:tcPr>
          <w:p w:rsidR="001E0E28" w:rsidRPr="00DA71CC" w:rsidP="003177FA">
            <w:pPr>
              <w:pStyle w:val="CSManNum9pt"/>
            </w:pPr>
            <w:r w:rsidRPr="00DA71CC">
              <w:t>(3)</w:t>
            </w:r>
            <w:r w:rsidRPr="00DA71CC">
              <w:tab/>
              <w:t>kraft Gesetzes; oder</w:t>
            </w:r>
          </w:p>
        </w:tc>
      </w:tr>
      <w:tr w:rsidTr="003330CF">
        <w:tblPrEx>
          <w:tblW w:w="5000" w:type="pct"/>
          <w:tblLayout w:type="fixed"/>
          <w:tblLook w:val="00A0"/>
        </w:tblPrEx>
        <w:trPr>
          <w:trHeight w:val="57"/>
        </w:trPr>
        <w:tc>
          <w:tcPr>
            <w:tcW w:w="2356" w:type="pct"/>
            <w:tcBorders>
              <w:right w:val="single" w:sz="4" w:space="0" w:color="auto"/>
            </w:tcBorders>
          </w:tcPr>
          <w:p w:rsidR="001E0E28" w:rsidRPr="00DA71CC" w:rsidP="003177FA">
            <w:pPr>
              <w:pStyle w:val="CSManNum9pt"/>
              <w:rPr>
                <w:bCs/>
              </w:rPr>
            </w:pPr>
            <w:r w:rsidRPr="00DA71CC">
              <w:rPr>
                <w:bCs/>
              </w:rPr>
              <w:t>(4)</w:t>
            </w:r>
            <w:r w:rsidRPr="00DA71CC">
              <w:rPr>
                <w:bCs/>
              </w:rPr>
              <w:tab/>
              <w:t>pursuant to Section 276(7) or Section 282ZA(7) of the SFA or Regulation 32 of the Securities and Futures (Offers of Investments)(Shares and Debentures) Regulations 2005 or Regulation 22 of the Securities and Futures (Offers of Investments)(Business Trusts)(No. 2) Regulations 2005.</w:t>
            </w:r>
          </w:p>
        </w:tc>
        <w:tc>
          <w:tcPr>
            <w:tcW w:w="2644" w:type="pct"/>
            <w:tcBorders>
              <w:left w:val="single" w:sz="4" w:space="0" w:color="auto"/>
            </w:tcBorders>
          </w:tcPr>
          <w:p w:rsidR="001E0E28" w:rsidRPr="00DA71CC" w:rsidP="003177FA">
            <w:pPr>
              <w:pStyle w:val="CSManNum9pt"/>
              <w:rPr>
                <w:lang w:val="de-DE"/>
              </w:rPr>
            </w:pPr>
            <w:r w:rsidRPr="00DA71CC">
              <w:rPr>
                <w:lang w:val="de-DE"/>
              </w:rPr>
              <w:t>(4)</w:t>
            </w:r>
            <w:r w:rsidRPr="00DA71CC">
              <w:rPr>
                <w:lang w:val="de-DE"/>
              </w:rPr>
              <w:tab/>
              <w:t>gemäss Art. 276(7) oder Art. 282ZA(7) SFA oder Richtlinie 32 der Rechtsvorschriften 2005 betreffend Wertpapiere und Finanzterminkontrakte (Anlageangebote) (Aktien und Schuldverschreibungen) (</w:t>
            </w:r>
            <w:r w:rsidRPr="00DA71CC">
              <w:rPr>
                <w:i/>
                <w:lang w:val="de-DE"/>
              </w:rPr>
              <w:t>Securities and Futures</w:t>
            </w:r>
            <w:r w:rsidRPr="00DA71CC">
              <w:rPr>
                <w:lang w:val="de-DE"/>
              </w:rPr>
              <w:t xml:space="preserve"> (</w:t>
            </w:r>
            <w:r w:rsidRPr="00DA71CC">
              <w:rPr>
                <w:i/>
                <w:lang w:val="de-DE"/>
              </w:rPr>
              <w:t>Offers of Investments</w:t>
            </w:r>
            <w:r w:rsidRPr="00DA71CC">
              <w:rPr>
                <w:lang w:val="de-DE"/>
              </w:rPr>
              <w:t>) (Shares and Debentures) Regulations 2005) oder Richtlinie 22 der Rechtsvorschriften 2005 betreffend Wertpapiere und Finanzterminkontrakte (Anlageangebote) (</w:t>
            </w:r>
            <w:r w:rsidRPr="00DA71CC">
              <w:rPr>
                <w:i/>
                <w:lang w:val="de-DE"/>
              </w:rPr>
              <w:t>Business Trusts</w:t>
            </w:r>
            <w:r w:rsidRPr="00DA71CC">
              <w:rPr>
                <w:lang w:val="de-DE"/>
              </w:rPr>
              <w:t>)(Nr. 2) (</w:t>
            </w:r>
            <w:r w:rsidRPr="00DA71CC">
              <w:rPr>
                <w:i/>
                <w:lang w:val="de-DE"/>
              </w:rPr>
              <w:t>Securities and Futures</w:t>
            </w:r>
            <w:r w:rsidRPr="00DA71CC">
              <w:rPr>
                <w:lang w:val="de-DE"/>
              </w:rPr>
              <w:t xml:space="preserve"> (</w:t>
            </w:r>
            <w:r w:rsidRPr="00DA71CC">
              <w:rPr>
                <w:i/>
                <w:lang w:val="de-DE"/>
              </w:rPr>
              <w:t>Offers of Investments</w:t>
            </w:r>
            <w:r w:rsidRPr="00DA71CC">
              <w:rPr>
                <w:lang w:val="de-DE"/>
              </w:rPr>
              <w:t>) (</w:t>
            </w:r>
            <w:r w:rsidRPr="00DA71CC">
              <w:rPr>
                <w:i/>
                <w:lang w:val="de-DE"/>
              </w:rPr>
              <w:t>Business Trusts</w:t>
            </w:r>
            <w:r w:rsidRPr="00DA71CC">
              <w:rPr>
                <w:lang w:val="de-DE"/>
              </w:rPr>
              <w:t>) (No. 2) Regulations 2005).</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3177FA">
            <w:pPr>
              <w:pStyle w:val="CSbody0bold"/>
              <w:rPr>
                <w:lang w:val="en-US"/>
              </w:rPr>
            </w:pPr>
            <w:r w:rsidRPr="005B5713">
              <w:t>South Africa</w:t>
            </w:r>
          </w:p>
        </w:tc>
        <w:tc>
          <w:tcPr>
            <w:tcW w:w="2644" w:type="pct"/>
            <w:tcBorders>
              <w:left w:val="single" w:sz="4" w:space="0" w:color="auto"/>
            </w:tcBorders>
          </w:tcPr>
          <w:p w:rsidR="001E0E28" w:rsidRPr="005B5713" w:rsidP="003177FA">
            <w:pPr>
              <w:pStyle w:val="CSbody0bold"/>
              <w:rPr>
                <w:lang w:val="en-US"/>
              </w:rPr>
            </w:pPr>
            <w:r w:rsidRPr="005B5713">
              <w:rPr>
                <w:lang w:val="en-US"/>
              </w:rPr>
              <w:t>Südafrika</w:t>
            </w:r>
          </w:p>
        </w:tc>
      </w:tr>
      <w:tr w:rsidTr="003330CF">
        <w:tblPrEx>
          <w:tblW w:w="5000" w:type="pct"/>
          <w:tblLayout w:type="fixed"/>
          <w:tblLook w:val="00A0"/>
        </w:tblPrEx>
        <w:trPr>
          <w:trHeight w:val="57"/>
        </w:trPr>
        <w:tc>
          <w:tcPr>
            <w:tcW w:w="2356" w:type="pct"/>
            <w:tcBorders>
              <w:right w:val="single" w:sz="4" w:space="0" w:color="auto"/>
            </w:tcBorders>
          </w:tcPr>
          <w:p w:rsidR="00DA71CC" w:rsidRPr="009A32A7" w:rsidP="00DA71CC">
            <w:pPr>
              <w:pStyle w:val="CSBody0"/>
            </w:pPr>
            <w:r w:rsidRPr="009A32A7">
              <w:t>The Complex Products to be issued under this Document have not been offered for sale or subscription or sold and will not be offered for sale or subscription or sold, directly or indirectly, within the Republic of South Africa or to any person or corporate or other entity resident in the Republic of South Africa except (a) in accordance with the exchange control regulations of the Republic of South Africa and (b) to any entity resident or within the Republic of South Africa in accordance with the Commercial Paper regulations, the Companies Act 2008, the Collective Investment Schemes Control Act 2002 and the Financial Advisory and Intermediary Services Act 2002.</w:t>
            </w:r>
          </w:p>
        </w:tc>
        <w:tc>
          <w:tcPr>
            <w:tcW w:w="2644" w:type="pct"/>
            <w:tcBorders>
              <w:left w:val="single" w:sz="4" w:space="0" w:color="auto"/>
            </w:tcBorders>
          </w:tcPr>
          <w:p w:rsidR="00DA71CC" w:rsidRPr="00DA71CC" w:rsidP="00DA71CC">
            <w:pPr>
              <w:pStyle w:val="CSBody0"/>
              <w:rPr>
                <w:lang w:val="de-DE"/>
              </w:rPr>
            </w:pPr>
            <w:r w:rsidRPr="00DA71CC">
              <w:rPr>
                <w:lang w:val="de-DE"/>
              </w:rPr>
              <w:t>Die gemäss diesem Dokument zu begebenden Komplexen Produkte wurden und werden weder direkt noch indirekt in der Republik Südafrika Personen oder Unternehmen oder sonstigen in der Republik Südafrika ansässigen juristischen Personen zum Kauf oder zur Zeichnung angeboten oder an solche verkauft, ausser (a) unter Beachtung der Devisenkontrollvorschriften der Republik Südafrika und (b) an in der Republik Südafrika gebietsansässige juristische Personen unter Beachtung der Vorschriften für Commercial Paper (</w:t>
            </w:r>
            <w:r w:rsidRPr="00DA71CC">
              <w:rPr>
                <w:i/>
                <w:lang w:val="de-DE"/>
              </w:rPr>
              <w:t>Commercial Paper regulations</w:t>
            </w:r>
            <w:r w:rsidRPr="00DA71CC">
              <w:rPr>
                <w:lang w:val="de-DE"/>
              </w:rPr>
              <w:t>), des Unternehmensgesetzes von 2008 (</w:t>
            </w:r>
            <w:r w:rsidRPr="00DA71CC">
              <w:rPr>
                <w:i/>
                <w:lang w:val="de-DE"/>
              </w:rPr>
              <w:t>Companies Act 2008</w:t>
            </w:r>
            <w:r w:rsidRPr="00DA71CC">
              <w:rPr>
                <w:lang w:val="de-DE"/>
              </w:rPr>
              <w:t>), des Gesetzes zur Kontrolle von Investmentfonds von 2002 (</w:t>
            </w:r>
            <w:r w:rsidRPr="00DA71CC">
              <w:rPr>
                <w:i/>
                <w:lang w:val="de-DE"/>
              </w:rPr>
              <w:t>Collective Investment Schemes Control Act 2002</w:t>
            </w:r>
            <w:r w:rsidRPr="00DA71CC">
              <w:rPr>
                <w:lang w:val="de-DE"/>
              </w:rPr>
              <w:t>) und des Gesetzes über Finanzberatung und Dienstleistungen von Intermediären von 2002 (</w:t>
            </w:r>
            <w:r w:rsidRPr="00DA71CC">
              <w:rPr>
                <w:i/>
                <w:lang w:val="de-DE"/>
              </w:rPr>
              <w:t>Financial Advisory and Intermediary Services Act 2002</w:t>
            </w:r>
            <w:r w:rsidRPr="00DA71CC">
              <w:rPr>
                <w:lang w:val="de-DE"/>
              </w:rPr>
              <w:t>).</w:t>
            </w:r>
          </w:p>
        </w:tc>
      </w:tr>
      <w:tr w:rsidTr="003330CF">
        <w:tblPrEx>
          <w:tblW w:w="5000" w:type="pct"/>
          <w:tblLayout w:type="fixed"/>
          <w:tblLook w:val="00A0"/>
        </w:tblPrEx>
        <w:trPr>
          <w:trHeight w:val="57"/>
        </w:trPr>
        <w:tc>
          <w:tcPr>
            <w:tcW w:w="2356" w:type="pct"/>
            <w:tcBorders>
              <w:right w:val="single" w:sz="4" w:space="0" w:color="auto"/>
            </w:tcBorders>
          </w:tcPr>
          <w:p w:rsidR="00DA71CC" w:rsidRPr="009A32A7" w:rsidP="00DA71CC">
            <w:pPr>
              <w:pStyle w:val="CSBody0"/>
            </w:pPr>
            <w:r w:rsidRPr="009A32A7">
              <w:t>The Dealers are not financial services providers in South Africa and nothing in this Document should be construed as constituting canvassing for, or marketing or advertising financial services by the Dealers in South Africa.</w:t>
            </w:r>
          </w:p>
        </w:tc>
        <w:tc>
          <w:tcPr>
            <w:tcW w:w="2644" w:type="pct"/>
            <w:tcBorders>
              <w:left w:val="single" w:sz="4" w:space="0" w:color="auto"/>
            </w:tcBorders>
          </w:tcPr>
          <w:p w:rsidR="00DA71CC" w:rsidRPr="00DA71CC" w:rsidP="00DA71CC">
            <w:pPr>
              <w:pStyle w:val="CSBody0"/>
              <w:rPr>
                <w:lang w:val="de-DE"/>
              </w:rPr>
            </w:pPr>
            <w:r w:rsidRPr="00DA71CC">
              <w:rPr>
                <w:lang w:val="de-DE"/>
              </w:rPr>
              <w:t>Die Platzeure sind keine Finanzdienstleister in Südafrika, und nichts im vorliegenden Dokument ist als Vermarktung von oder Werbung für Finanzdienstleistungen durch die Platzeure in Südafrika aufzufassen.</w:t>
            </w:r>
          </w:p>
        </w:tc>
      </w:tr>
      <w:tr w:rsidTr="003330CF">
        <w:tblPrEx>
          <w:tblW w:w="5000" w:type="pct"/>
          <w:tblLayout w:type="fixed"/>
          <w:tblLook w:val="00A0"/>
        </w:tblPrEx>
        <w:trPr>
          <w:trHeight w:val="57"/>
        </w:trPr>
        <w:tc>
          <w:tcPr>
            <w:tcW w:w="2356" w:type="pct"/>
            <w:tcBorders>
              <w:right w:val="single" w:sz="4" w:space="0" w:color="auto"/>
            </w:tcBorders>
          </w:tcPr>
          <w:p w:rsidR="00DA71CC" w:rsidRPr="009A32A7" w:rsidP="00DA71CC">
            <w:pPr>
              <w:pStyle w:val="CSBody0"/>
            </w:pPr>
            <w:r w:rsidRPr="009A32A7">
              <w:t>Care and diligence have been taken in the compilation of this Document and any attachments to it. No representation or warranty, express or implied, is given by the Dealers, their directors, partners, employees, agents, representatives, shareholders or advisors or any other person, with regard to the accuracy or the completeness of the information in this Document and its attachments.</w:t>
            </w:r>
          </w:p>
        </w:tc>
        <w:tc>
          <w:tcPr>
            <w:tcW w:w="2644" w:type="pct"/>
            <w:tcBorders>
              <w:left w:val="single" w:sz="4" w:space="0" w:color="auto"/>
            </w:tcBorders>
          </w:tcPr>
          <w:p w:rsidR="00DA71CC" w:rsidRPr="00DA71CC" w:rsidP="00DA71CC">
            <w:pPr>
              <w:pStyle w:val="CSBody0"/>
              <w:rPr>
                <w:lang w:val="de-DE"/>
              </w:rPr>
            </w:pPr>
            <w:r w:rsidRPr="00DA71CC">
              <w:rPr>
                <w:lang w:val="de-DE"/>
              </w:rPr>
              <w:t>Das vorliegende Dokument und die dazugehörigen Anhänge sind sorgfältig und gewissenhaft erstellt worden. Die Platzeure, deren Direktoren, Partner, Mitarbeiter, Bevollmächtigte, Vertreter, Anteilseigner oder Berater oder andere Personen geben keinerlei ausdrückliche oder implizite Zusicherungen oder Gewährleistungen bezüglich der Richtigkeit oder Vollständigkeit der in vorliegendem Dokument und dessen Anhängen enthaltenen Informationen.</w:t>
            </w:r>
          </w:p>
        </w:tc>
      </w:tr>
      <w:tr w:rsidTr="003330CF">
        <w:tblPrEx>
          <w:tblW w:w="5000" w:type="pct"/>
          <w:tblLayout w:type="fixed"/>
          <w:tblLook w:val="00A0"/>
        </w:tblPrEx>
        <w:trPr>
          <w:trHeight w:val="57"/>
        </w:trPr>
        <w:tc>
          <w:tcPr>
            <w:tcW w:w="2356" w:type="pct"/>
            <w:tcBorders>
              <w:right w:val="single" w:sz="4" w:space="0" w:color="auto"/>
            </w:tcBorders>
          </w:tcPr>
          <w:p w:rsidR="00DA71CC" w:rsidRPr="009A32A7" w:rsidP="00DA71CC">
            <w:pPr>
              <w:pStyle w:val="CSBody0"/>
            </w:pPr>
            <w:r w:rsidRPr="009A32A7">
              <w:t>This Document and any attachments to it constitute objective information and nothing contained therein should be construed as constituting any form of investment advice or recommendation, guidance or proposal of a financial nature in respect of any investment in any Complex Product.</w:t>
            </w:r>
          </w:p>
        </w:tc>
        <w:tc>
          <w:tcPr>
            <w:tcW w:w="2644" w:type="pct"/>
            <w:tcBorders>
              <w:left w:val="single" w:sz="4" w:space="0" w:color="auto"/>
            </w:tcBorders>
          </w:tcPr>
          <w:p w:rsidR="00DA71CC" w:rsidRPr="00DA71CC" w:rsidP="00DA71CC">
            <w:pPr>
              <w:pStyle w:val="CSBody0"/>
              <w:rPr>
                <w:lang w:val="de-DE"/>
              </w:rPr>
            </w:pPr>
            <w:r w:rsidRPr="00DA71CC">
              <w:rPr>
                <w:lang w:val="de-DE"/>
              </w:rPr>
              <w:t>Das vorliegende Dokument und etwaige Anhänge hierzu enthalten objektive Informationen, und nichts, was darin enthalten ist, sollte in irgendeiner Form als Anlageberatung oder empfehlung, Entscheidungshilfe oder Vorschlag finanzieller Art in Bezug auf eine Anlage in einem Komplexen Produkt ausgelegt werden.</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AA55DD">
            <w:pPr>
              <w:pStyle w:val="CSbody0bold"/>
            </w:pPr>
            <w:r w:rsidRPr="005B5713">
              <w:t>Taiwan (Republic of China)</w:t>
            </w:r>
          </w:p>
        </w:tc>
        <w:tc>
          <w:tcPr>
            <w:tcW w:w="2644" w:type="pct"/>
            <w:tcBorders>
              <w:left w:val="single" w:sz="4" w:space="0" w:color="auto"/>
            </w:tcBorders>
          </w:tcPr>
          <w:p w:rsidR="001E0E28" w:rsidRPr="005B5713" w:rsidP="00AA55DD">
            <w:pPr>
              <w:pStyle w:val="CSbody0bold"/>
            </w:pPr>
            <w:r w:rsidRPr="005B5713">
              <w:t>Taiwan (Republik China)</w:t>
            </w:r>
          </w:p>
        </w:tc>
      </w:tr>
      <w:tr w:rsidTr="003330CF">
        <w:tblPrEx>
          <w:tblW w:w="5000" w:type="pct"/>
          <w:tblLayout w:type="fixed"/>
          <w:tblLook w:val="00A0"/>
        </w:tblPrEx>
        <w:trPr>
          <w:trHeight w:val="57"/>
        </w:trPr>
        <w:tc>
          <w:tcPr>
            <w:tcW w:w="2356" w:type="pct"/>
            <w:tcBorders>
              <w:right w:val="single" w:sz="4" w:space="0" w:color="auto"/>
            </w:tcBorders>
          </w:tcPr>
          <w:p w:rsidR="00DA71CC" w:rsidRPr="00A04BFE" w:rsidP="00DA71CC">
            <w:pPr>
              <w:pStyle w:val="CSBody0"/>
            </w:pPr>
            <w:r w:rsidRPr="00A04BFE">
              <w:t>The Complex Products have not been and will not be registered or filed with, or approved by the Financial Supervisory Commission and/or other regulatory authority of Taiwan, the Republic of China pursuant to relevant securities laws and regulations and may not be issued, offered or sold in Taiwan, the Republic of China through a public offering or in circumstance which constitutes an offer within the meaning of the Securities and Exchange Act of Taiwan, the Republic of China or relevant laws and regulations that requires a registration, filing or approval of the Financial Supervisory Commission and/or other regulatory authority of Taiwan, the Republic of China. No person or entity in Taiwan, the Republic of China has been authorised to offer or sell the Complex Products in Taiwan, the Republic of China.</w:t>
            </w:r>
          </w:p>
        </w:tc>
        <w:tc>
          <w:tcPr>
            <w:tcW w:w="2644" w:type="pct"/>
            <w:tcBorders>
              <w:left w:val="single" w:sz="4" w:space="0" w:color="auto"/>
            </w:tcBorders>
          </w:tcPr>
          <w:p w:rsidR="00DA71CC" w:rsidRPr="00DA71CC" w:rsidP="00DA71CC">
            <w:pPr>
              <w:pStyle w:val="CSBody0"/>
              <w:rPr>
                <w:lang w:val="de-DE"/>
              </w:rPr>
            </w:pPr>
            <w:r w:rsidRPr="00DA71CC">
              <w:rPr>
                <w:lang w:val="de-DE"/>
              </w:rPr>
              <w:t>Die Komplexen Produkte wurden und werden nicht bei der taiwanesischen Finanzaufsicht (</w:t>
            </w:r>
            <w:r w:rsidRPr="00DA71CC">
              <w:rPr>
                <w:i/>
                <w:lang w:val="de-DE"/>
              </w:rPr>
              <w:t>Financial Supervisory Commission</w:t>
            </w:r>
            <w:r w:rsidRPr="00DA71CC">
              <w:rPr>
                <w:lang w:val="de-DE"/>
              </w:rPr>
              <w:t>) und/oder anderen Aufsichtsbehörden von Taiwan (Republik China) nach Massgabe der einschlägigen Wertpapiergesetze und -vorschriften registriert, eingereicht bzw, von diesen gebilligt und dürfen in Taiwan (Republik China) weder im Rahmen eines öffentlichen Angebots noch unter Umständen, unter welchen dies ein Angebot im Sinne des taiwanesischen Wertpapier- und Börsengesetzes (</w:t>
            </w:r>
            <w:r w:rsidRPr="00DA71CC">
              <w:rPr>
                <w:i/>
                <w:lang w:val="de-DE"/>
              </w:rPr>
              <w:t>Securities and Exchange Act</w:t>
            </w:r>
            <w:r w:rsidRPr="00DA71CC">
              <w:rPr>
                <w:lang w:val="de-DE"/>
              </w:rPr>
              <w:t>) oder sonstiger einschlägiger gesetzlicher Vorschriften darstellt, das eine Registrierung, Einreichung oder Billigung durch die taiwanesische Finanzaufsichtsbehörde und/oder andere Aufsichtsbehörden erfordert, ausgegeben, angeboten und verkauft werden. Keine natürliche oder juristische Person in Taiwan (Republik China) ist zum Angebot oder Verkauf der Komplexen Produkte in Taiwan (Republik China) berechtigt.</w:t>
            </w:r>
          </w:p>
        </w:tc>
      </w:tr>
      <w:tr w:rsidTr="003330CF">
        <w:tblPrEx>
          <w:tblW w:w="5000" w:type="pct"/>
          <w:tblLayout w:type="fixed"/>
          <w:tblLook w:val="00A0"/>
        </w:tblPrEx>
        <w:trPr>
          <w:trHeight w:val="57"/>
        </w:trPr>
        <w:tc>
          <w:tcPr>
            <w:tcW w:w="2356" w:type="pct"/>
            <w:tcBorders>
              <w:right w:val="single" w:sz="4" w:space="0" w:color="auto"/>
            </w:tcBorders>
          </w:tcPr>
          <w:p w:rsidR="001E0E28" w:rsidRPr="005B5713" w:rsidP="00AA55DD">
            <w:pPr>
              <w:pStyle w:val="CSbody0bold"/>
            </w:pPr>
            <w:r w:rsidRPr="005B5713">
              <w:t>Thailand</w:t>
            </w:r>
          </w:p>
        </w:tc>
        <w:tc>
          <w:tcPr>
            <w:tcW w:w="2644" w:type="pct"/>
            <w:tcBorders>
              <w:left w:val="single" w:sz="4" w:space="0" w:color="auto"/>
            </w:tcBorders>
          </w:tcPr>
          <w:p w:rsidR="001E0E28" w:rsidRPr="005B5713" w:rsidP="00AA55DD">
            <w:pPr>
              <w:pStyle w:val="CSbody0bold"/>
            </w:pPr>
            <w:r w:rsidRPr="005B5713">
              <w:t>Thailand</w:t>
            </w:r>
          </w:p>
        </w:tc>
      </w:tr>
      <w:tr w:rsidTr="003330CF">
        <w:tblPrEx>
          <w:tblW w:w="5000" w:type="pct"/>
          <w:tblLayout w:type="fixed"/>
          <w:tblLook w:val="00A0"/>
        </w:tblPrEx>
        <w:trPr>
          <w:trHeight w:val="57"/>
        </w:trPr>
        <w:tc>
          <w:tcPr>
            <w:tcW w:w="2356" w:type="pct"/>
            <w:tcBorders>
              <w:right w:val="single" w:sz="4" w:space="0" w:color="auto"/>
            </w:tcBorders>
          </w:tcPr>
          <w:p w:rsidR="00DA71CC" w:rsidRPr="00CA1B60" w:rsidP="00DA71CC">
            <w:pPr>
              <w:pStyle w:val="CSBody0"/>
            </w:pPr>
            <w:r w:rsidRPr="00CA1B60">
              <w:t>The offer of the Complex Products has not been approved by the Securities and Exchange Commission of Thailand pursuant to the relevant securities laws and regulations of Thailand. Accordingly, the Complex Products may not be offered or sold in Thailand other than pursuant to and in accordance with the securities laws and regulations of Thailand. The Complex Products have not been offered or sold and will not be offered or sold in Thailand, and no invitation to subscribe for the Complex Products has been made or will be made in Thailand, and this Document or any other document or material in connection with the offer or sale of the Complex Products has not been circulated or distributed and will not be circulated or distributed in Thailand.</w:t>
            </w:r>
          </w:p>
        </w:tc>
        <w:tc>
          <w:tcPr>
            <w:tcW w:w="2644" w:type="pct"/>
            <w:tcBorders>
              <w:left w:val="single" w:sz="4" w:space="0" w:color="auto"/>
            </w:tcBorders>
          </w:tcPr>
          <w:p w:rsidR="00DA71CC" w:rsidRPr="00DA71CC" w:rsidP="00DA71CC">
            <w:pPr>
              <w:pStyle w:val="CSBody0"/>
              <w:rPr>
                <w:lang w:val="de-DE"/>
              </w:rPr>
            </w:pPr>
            <w:r w:rsidRPr="00DA71CC">
              <w:rPr>
                <w:lang w:val="de-DE"/>
              </w:rPr>
              <w:t>Das Angebot der Komplexen Produkte wurde von der thailändischen Wertpapier- und Börsenaufsicht (</w:t>
            </w:r>
            <w:r w:rsidRPr="00DA71CC">
              <w:rPr>
                <w:i/>
                <w:lang w:val="de-DE"/>
              </w:rPr>
              <w:t>Securities and Exchange Commission</w:t>
            </w:r>
            <w:r w:rsidRPr="00DA71CC">
              <w:rPr>
                <w:lang w:val="de-DE"/>
              </w:rPr>
              <w:t>) gemäss den massgeblichen thailändischen Wertpapiergesetzen und -vorschriften nicht gebilligt. Dementsprechend dürfen die Komplexen Produkte in Thailand weder angeboten noch verkauft werden, es sei denn, dies erfolgt gemäss und in Übereinstimmung mit den thailändischen Wertpapiergesetzen und -vorschriften. Die Komplexen Produkte wurden und werden in Thailand nicht angeboten oder verkauft und es wurde und wird dort auch keine Aufforderung zur Zeichnung von Komplexen Produkten ausgesprochen und weder dieses Dokument noch andere Dokumente oder Materialien in Zusammenhang mit dem Angebot oder Verkauf der Komplexen Produkte wurden oder werden in Thailand verbreitet oder verteilt.</w:t>
            </w:r>
          </w:p>
        </w:tc>
      </w:tr>
      <w:tr w:rsidTr="003330CF">
        <w:tblPrEx>
          <w:tblW w:w="5000" w:type="pct"/>
          <w:tblLayout w:type="fixed"/>
          <w:tblLook w:val="00A0"/>
        </w:tblPrEx>
        <w:trPr>
          <w:trHeight w:val="294"/>
        </w:trPr>
        <w:tc>
          <w:tcPr>
            <w:tcW w:w="2356" w:type="pct"/>
            <w:tcBorders>
              <w:right w:val="single" w:sz="4" w:space="0" w:color="auto"/>
            </w:tcBorders>
          </w:tcPr>
          <w:p w:rsidR="001E0E28" w:rsidRPr="005B5713" w:rsidP="00AA55DD">
            <w:pPr>
              <w:pStyle w:val="CSbody0bold"/>
            </w:pPr>
            <w:r w:rsidRPr="005B5713">
              <w:t>Turkey</w:t>
            </w:r>
          </w:p>
        </w:tc>
        <w:tc>
          <w:tcPr>
            <w:tcW w:w="2644" w:type="pct"/>
            <w:tcBorders>
              <w:left w:val="single" w:sz="4" w:space="0" w:color="auto"/>
            </w:tcBorders>
          </w:tcPr>
          <w:p w:rsidR="001E0E28" w:rsidRPr="005B5713" w:rsidP="00AA55DD">
            <w:pPr>
              <w:pStyle w:val="CSbody0bold"/>
            </w:pPr>
            <w:r w:rsidRPr="005B5713">
              <w:t>Türkei</w:t>
            </w:r>
          </w:p>
        </w:tc>
      </w:tr>
      <w:tr w:rsidTr="003330CF">
        <w:tblPrEx>
          <w:tblW w:w="5000" w:type="pct"/>
          <w:tblLayout w:type="fixed"/>
          <w:tblLook w:val="00A0"/>
        </w:tblPrEx>
        <w:trPr>
          <w:trHeight w:val="57"/>
        </w:trPr>
        <w:tc>
          <w:tcPr>
            <w:tcW w:w="2356" w:type="pct"/>
            <w:tcBorders>
              <w:right w:val="single" w:sz="4" w:space="0" w:color="auto"/>
            </w:tcBorders>
          </w:tcPr>
          <w:p w:rsidR="00DA71CC" w:rsidRPr="00E33044" w:rsidP="00DA71CC">
            <w:pPr>
              <w:pStyle w:val="CSBody0"/>
            </w:pPr>
            <w:r w:rsidRPr="00E33044">
              <w:t>The Complex Products (or any beneficial interest therein) will not be offered or sold in Turkey in any circumstances which would constitute an offer to the public within the meaning of the Law no.6362 (the "</w:t>
            </w:r>
            <w:r w:rsidRPr="00DA71CC">
              <w:rPr>
                <w:b/>
              </w:rPr>
              <w:t>Capital Markets Law</w:t>
            </w:r>
            <w:r w:rsidRPr="00E33044">
              <w:t>") and the Communiqué VII-128.4 of the Capital Markets Board of Turkey (the "</w:t>
            </w:r>
            <w:r w:rsidRPr="00DA71CC">
              <w:rPr>
                <w:b/>
              </w:rPr>
              <w:t>CMB</w:t>
            </w:r>
            <w:r w:rsidRPr="00E33044">
              <w:t>").  This Document, or any other offering material related to the offering has not and will not be used in connection with any general offering to the public within Turkey for the purpose of an offer or sale of the Complex Products without prior approval of the CMB. Pursuant to Article 15(d)(ii) of Decree No. 32 regarding the protection of the value of the Turkish currency, residents of Turkey may purchase the Complex Products on an unsolicited (reverse inquiry) basis, provided that (i) such Complex Products are traded in the financial markets outside of Turkey; (ii) such purchase is made through licensed banks and/or licensed brokerage institutions in Turkey; and (iii) the consideration of the purchase of such Complex Products has been or will be transferred through licensed banks operating in Turkey.</w:t>
            </w:r>
          </w:p>
        </w:tc>
        <w:tc>
          <w:tcPr>
            <w:tcW w:w="2644" w:type="pct"/>
            <w:tcBorders>
              <w:left w:val="single" w:sz="4" w:space="0" w:color="auto"/>
            </w:tcBorders>
          </w:tcPr>
          <w:p w:rsidR="00DA71CC" w:rsidRPr="00DA71CC" w:rsidP="00DA71CC">
            <w:pPr>
              <w:pStyle w:val="CSBody0"/>
              <w:rPr>
                <w:lang w:val="de-DE"/>
              </w:rPr>
            </w:pPr>
            <w:r w:rsidRPr="00DA71CC">
              <w:rPr>
                <w:lang w:val="de-DE"/>
              </w:rPr>
              <w:t>Die Komplexen Produkte (bzw. ein wirtschaftliches Miteigentum an diesen Komplexen Produkten) werden (wird) in der Türkei unter Umständen, die im Sinne des Gesetzes Nr. 6362 (das "</w:t>
            </w:r>
            <w:r w:rsidRPr="00DA71CC">
              <w:rPr>
                <w:b/>
                <w:lang w:val="de-DE"/>
              </w:rPr>
              <w:t>Kapitalmarktgesetz</w:t>
            </w:r>
            <w:r w:rsidRPr="00DA71CC">
              <w:rPr>
                <w:lang w:val="de-DE"/>
              </w:rPr>
              <w:t>") und des Communiqué VII-128.4 der türkischen Kapitalmarktaufsicht (</w:t>
            </w:r>
            <w:r w:rsidRPr="00DA71CC">
              <w:rPr>
                <w:i/>
                <w:lang w:val="de-DE"/>
              </w:rPr>
              <w:t>Capital Market Board of Turkey</w:t>
            </w:r>
            <w:r w:rsidRPr="00DA71CC">
              <w:rPr>
                <w:lang w:val="de-DE"/>
              </w:rPr>
              <w:t>; die "</w:t>
            </w:r>
            <w:r w:rsidRPr="00DA71CC">
              <w:rPr>
                <w:b/>
                <w:lang w:val="de-DE"/>
              </w:rPr>
              <w:t>CMB</w:t>
            </w:r>
            <w:r w:rsidRPr="00DA71CC">
              <w:rPr>
                <w:lang w:val="de-DE"/>
              </w:rPr>
              <w:t>") ein öffentliches Angebot darstellen würden, weder angeboten noch verkauft. Dieses Dokument und sonstige Angebotsunterlagen in Bezug auf das Angebot wurden und werden nicht im Zusammenhang mit einem allgemeinen öffentlichen Angebot in der Türkei zum Zweck eines Angebots oder Verkaufs der Komplexen Produkte ohne die vorherige Billigung der CMB verwendet. Nach Massgabe von Artikel 15(d)(ii) des Dekrets Nr. 32 bezüglich der wertmässigen Sicherung der türkischen Währung können in der Türkei ansässige Anleger Komplexe Produkte unaufgefordert (auf Basis einer umgekehrten Nachfrage (</w:t>
            </w:r>
            <w:r w:rsidRPr="00DA71CC">
              <w:rPr>
                <w:i/>
                <w:lang w:val="de-DE"/>
              </w:rPr>
              <w:t>reverse inquiry</w:t>
            </w:r>
            <w:r w:rsidRPr="00DA71CC">
              <w:rPr>
                <w:lang w:val="de-DE"/>
              </w:rPr>
              <w:t>)) kaufen, sofern (i) diese Komplexen Produkte an Finanzmärkten ausserhalb der Türkei gehandelt werden; (ii) dieser Kauf über zugelassene Banken oder zugelassene Brokerhäuser in der Türkei erfolgt; und (iii) der Kaufpreis dieser Komplexen Produkte über zugelassene, in der Türkei niedergelassene Banken transferiert wird.</w:t>
            </w:r>
          </w:p>
        </w:tc>
      </w:tr>
      <w:tr w:rsidTr="003330CF">
        <w:tblPrEx>
          <w:tblW w:w="5000" w:type="pct"/>
          <w:tblLayout w:type="fixed"/>
          <w:tblLook w:val="00A0"/>
        </w:tblPrEx>
        <w:trPr>
          <w:trHeight w:val="57"/>
        </w:trPr>
        <w:tc>
          <w:tcPr>
            <w:tcW w:w="2356" w:type="pct"/>
            <w:tcBorders>
              <w:right w:val="single" w:sz="4" w:space="0" w:color="auto"/>
            </w:tcBorders>
          </w:tcPr>
          <w:p w:rsidR="001E0E28" w:rsidRPr="0046463E" w:rsidP="00AA55DD">
            <w:pPr>
              <w:pStyle w:val="CSbody0bold"/>
              <w:rPr>
                <w:lang w:val="en-GB"/>
              </w:rPr>
            </w:pPr>
            <w:r w:rsidRPr="0046463E">
              <w:rPr>
                <w:lang w:val="en-GB"/>
              </w:rPr>
              <w:t>United Arab Emirates (excluding the Dubai International Financial Centre)</w:t>
            </w:r>
          </w:p>
        </w:tc>
        <w:tc>
          <w:tcPr>
            <w:tcW w:w="2644" w:type="pct"/>
            <w:tcBorders>
              <w:left w:val="single" w:sz="4" w:space="0" w:color="auto"/>
            </w:tcBorders>
          </w:tcPr>
          <w:p w:rsidR="001E0E28" w:rsidRPr="005B5713" w:rsidP="00AA55DD">
            <w:pPr>
              <w:pStyle w:val="CSbody0bold"/>
            </w:pPr>
            <w:r w:rsidRPr="005B5713">
              <w:t>Vereinigte Arabische Emirate (ohne das Internationale Finanzzentrum Dubai)</w:t>
            </w:r>
          </w:p>
        </w:tc>
      </w:tr>
      <w:tr w:rsidTr="003330CF">
        <w:tblPrEx>
          <w:tblW w:w="5000" w:type="pct"/>
          <w:tblLayout w:type="fixed"/>
          <w:tblLook w:val="00A0"/>
        </w:tblPrEx>
        <w:trPr>
          <w:trHeight w:val="57"/>
        </w:trPr>
        <w:tc>
          <w:tcPr>
            <w:tcW w:w="2356" w:type="pct"/>
            <w:tcBorders>
              <w:right w:val="single" w:sz="4" w:space="0" w:color="auto"/>
            </w:tcBorders>
          </w:tcPr>
          <w:p w:rsidR="00EF4B8C" w:rsidRPr="004607B7" w:rsidP="00EF4B8C">
            <w:pPr>
              <w:pStyle w:val="CSBody0"/>
            </w:pPr>
            <w:r w:rsidRPr="004607B7">
              <w:t>The Complex Products to be issued under this Document have not been offered, sold or publicly promoted or advertised and will not be offered, sold or publicly promoted or advertised in the United Arab Emirates other than in compliance with any laws applicable in the United Arab Emirates governing the issue, offering and sale of securities.</w:t>
            </w:r>
          </w:p>
        </w:tc>
        <w:tc>
          <w:tcPr>
            <w:tcW w:w="2644" w:type="pct"/>
            <w:tcBorders>
              <w:left w:val="single" w:sz="4" w:space="0" w:color="auto"/>
            </w:tcBorders>
          </w:tcPr>
          <w:p w:rsidR="00EF4B8C" w:rsidRPr="00EF4B8C" w:rsidP="00EF4B8C">
            <w:pPr>
              <w:pStyle w:val="CSBody0"/>
              <w:rPr>
                <w:lang w:val="de-DE"/>
              </w:rPr>
            </w:pPr>
            <w:r w:rsidRPr="00EF4B8C">
              <w:rPr>
                <w:lang w:val="de-DE"/>
              </w:rPr>
              <w:t>Die gemäss diesem Dokument zu begebenden Komplexen Produkte wurden und werden nicht in den Vereinigten Arabischen Emiraten angeboten, verkauft oder öffentlich vermarktet oder beworben, ausser unter Einhaltung der in den Vereinigten Arabischen Emiraten im Hinblick auf die Begebung, das Angebot und den Verkauf von Wertpapieren anwendbaren Gesetze.</w:t>
            </w:r>
          </w:p>
        </w:tc>
      </w:tr>
      <w:tr w:rsidTr="003330CF">
        <w:tblPrEx>
          <w:tblW w:w="5000" w:type="pct"/>
          <w:tblLayout w:type="fixed"/>
          <w:tblLook w:val="00A0"/>
        </w:tblPrEx>
        <w:trPr>
          <w:trHeight w:val="57"/>
        </w:trPr>
        <w:tc>
          <w:tcPr>
            <w:tcW w:w="2356" w:type="pct"/>
            <w:tcBorders>
              <w:right w:val="single" w:sz="4" w:space="0" w:color="auto"/>
            </w:tcBorders>
          </w:tcPr>
          <w:p w:rsidR="001E0E28" w:rsidRPr="00AA55DD" w:rsidP="00AA55DD">
            <w:pPr>
              <w:pStyle w:val="CSbody0bold"/>
            </w:pPr>
            <w:r w:rsidRPr="00AA55DD">
              <w:t>Uruguay</w:t>
            </w:r>
          </w:p>
        </w:tc>
        <w:tc>
          <w:tcPr>
            <w:tcW w:w="2644" w:type="pct"/>
            <w:tcBorders>
              <w:left w:val="single" w:sz="4" w:space="0" w:color="auto"/>
            </w:tcBorders>
          </w:tcPr>
          <w:p w:rsidR="001E0E28" w:rsidRPr="00AA55DD" w:rsidP="00AA55DD">
            <w:pPr>
              <w:pStyle w:val="CSbody0bold"/>
            </w:pPr>
            <w:r w:rsidRPr="00AA55DD">
              <w:t>Uruguay</w:t>
            </w:r>
          </w:p>
        </w:tc>
      </w:tr>
      <w:tr w:rsidTr="003330CF">
        <w:tblPrEx>
          <w:tblW w:w="5000" w:type="pct"/>
          <w:tblLayout w:type="fixed"/>
          <w:tblLook w:val="00A0"/>
        </w:tblPrEx>
        <w:trPr>
          <w:trHeight w:val="57"/>
        </w:trPr>
        <w:tc>
          <w:tcPr>
            <w:tcW w:w="2356" w:type="pct"/>
            <w:tcBorders>
              <w:right w:val="single" w:sz="4" w:space="0" w:color="auto"/>
            </w:tcBorders>
          </w:tcPr>
          <w:p w:rsidR="00EF4B8C" w:rsidRPr="009D0843" w:rsidP="00EF4B8C">
            <w:pPr>
              <w:pStyle w:val="CSBody0"/>
            </w:pPr>
            <w:r w:rsidRPr="009D0843">
              <w:t>This Document does not constitute a public offer according to the provisions of Law 18.627, Decree 322/2011 and Uruguayan Central Bank Regulations. Therefore, this Document and the Complex Products to be issued under this Document are not and will not be registered before the Financial Services Supervision office of the Uruguayan Central Bank. The Complex Products will not be offered or commercialized, under Uruguayan jurisdiction, except in circumstances which do not constitute a public offering. Open or general offers, as well as any kind of public advertisement of this Document and the Complex Products to be issued under this Document are forbidden.</w:t>
            </w:r>
          </w:p>
        </w:tc>
        <w:tc>
          <w:tcPr>
            <w:tcW w:w="2644" w:type="pct"/>
            <w:tcBorders>
              <w:left w:val="single" w:sz="4" w:space="0" w:color="auto"/>
            </w:tcBorders>
          </w:tcPr>
          <w:p w:rsidR="00EF4B8C" w:rsidRPr="00EF4B8C" w:rsidP="00EF4B8C">
            <w:pPr>
              <w:pStyle w:val="CSBody0"/>
              <w:rPr>
                <w:lang w:val="de-DE"/>
              </w:rPr>
            </w:pPr>
            <w:r w:rsidRPr="00EF4B8C">
              <w:rPr>
                <w:lang w:val="de-DE"/>
              </w:rPr>
              <w:t>Dieses Dokument stellt kein öffentliches Angebot nach den Bestimmungen des Gesetzes 18.627 und der Verordnung 322/2011 sowie den Bestimmungen der Zentralbank von Uruguay dar. Daher sind und werden dieses Dokument und die gemäss diesem Dokument zu begebenden Komplexen Produkte nicht bei der Finanzdienstleistungsaufsicht der Zentralbank von Uruguay registriert. Die Komplexen Produkte werden in der Rechtsordnung von Uruguay weder angeboten noch beworben, es sei denn, dies erfolgt zu Bedingungen, die kein öffentliches Angebot darstellen. Öffentliche oder allgemeine Angebote sowie jede Art von öffentlicher Werbung für dieses Dokument und die gemäss diesem Dokument zu begebenden Komplexen Produkte sind untersagt.</w:t>
            </w:r>
          </w:p>
        </w:tc>
      </w:tr>
    </w:tbl>
    <w:p w:rsidR="009D5DEE" w:rsidP="009C6D81">
      <w:pPr>
        <w:pStyle w:val="CSBody0"/>
        <w:rPr>
          <w:lang w:val="de-DE"/>
        </w:rPr>
      </w:pPr>
    </w:p>
    <w:p w:rsidR="003A08C5" w:rsidRPr="00B34C1C" w:rsidP="009C6D81">
      <w:pPr>
        <w:pStyle w:val="CSBody0"/>
        <w:rPr>
          <w:lang w:val="de-DE"/>
        </w:rPr>
      </w:pPr>
    </w:p>
    <w:p w:rsidR="0017135D" w:rsidRPr="00815842" w:rsidP="009C6D81">
      <w:pPr>
        <w:pStyle w:val="CSBody0"/>
        <w:rPr>
          <w:lang w:val="de-DE"/>
        </w:rPr>
        <w:sectPr w:rsidSect="00E22A75">
          <w:headerReference w:type="even" r:id="rId55"/>
          <w:headerReference w:type="default" r:id="rId56"/>
          <w:footerReference w:type="even" r:id="rId57"/>
          <w:footerReference w:type="default" r:id="rId58"/>
          <w:headerReference w:type="first" r:id="rId59"/>
          <w:footerReference w:type="first" r:id="rId60"/>
          <w:pgSz w:w="11907" w:h="16839"/>
          <w:pgMar w:top="1440" w:right="1134" w:bottom="1440" w:left="1134" w:header="720" w:footer="720" w:gutter="0"/>
          <w:cols w:space="708"/>
          <w:docGrid w:linePitch="360"/>
        </w:sectPr>
      </w:pPr>
    </w:p>
    <w:tbl>
      <w:tblPr>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
      <w:tblGrid>
        <w:gridCol w:w="540"/>
        <w:gridCol w:w="140"/>
        <w:gridCol w:w="425"/>
        <w:gridCol w:w="511"/>
        <w:gridCol w:w="197"/>
        <w:gridCol w:w="851"/>
        <w:gridCol w:w="142"/>
        <w:gridCol w:w="465"/>
        <w:gridCol w:w="11"/>
        <w:gridCol w:w="91"/>
        <w:gridCol w:w="1558"/>
        <w:gridCol w:w="1416"/>
        <w:gridCol w:w="202"/>
        <w:gridCol w:w="87"/>
        <w:gridCol w:w="420"/>
        <w:gridCol w:w="284"/>
        <w:gridCol w:w="708"/>
        <w:gridCol w:w="160"/>
        <w:gridCol w:w="13"/>
        <w:gridCol w:w="820"/>
        <w:gridCol w:w="141"/>
        <w:gridCol w:w="142"/>
        <w:gridCol w:w="543"/>
      </w:tblGrid>
      <w:tr w:rsidTr="004C1EBA">
        <w:tblPrEx>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Ex>
        <w:trPr>
          <w:trHeight w:val="851"/>
        </w:trPr>
        <w:tc>
          <w:tcPr>
            <w:tcW w:w="4931" w:type="dxa"/>
            <w:gridSpan w:val="11"/>
            <w:tcBorders>
              <w:top w:val="nil"/>
              <w:left w:val="nil"/>
              <w:bottom w:val="nil"/>
            </w:tcBorders>
            <w:shd w:val="clear" w:color="auto" w:fill="auto"/>
          </w:tcPr>
          <w:p w:rsidR="0017135D" w:rsidRPr="00624345" w:rsidP="00942F00">
            <w:pPr>
              <w:pStyle w:val="CSHeading1EN"/>
              <w:numPr>
                <w:ilvl w:val="0"/>
                <w:numId w:val="5"/>
              </w:numPr>
              <w:rPr>
                <w:bCs/>
              </w:rPr>
            </w:pPr>
            <w:bookmarkStart w:id="132" w:name="_Toc431933458"/>
            <w:bookmarkStart w:id="133" w:name="_Toc438227546"/>
            <w:r>
              <w:t xml:space="preserve">TERMS AND CONDITIONS OF THE </w:t>
            </w:r>
            <w:bookmarkEnd w:id="132"/>
            <w:r w:rsidR="00942F00">
              <w:t>COMPLEX PRODUCTS</w:t>
            </w:r>
            <w:bookmarkEnd w:id="133"/>
          </w:p>
        </w:tc>
        <w:tc>
          <w:tcPr>
            <w:tcW w:w="4936" w:type="dxa"/>
            <w:gridSpan w:val="12"/>
            <w:tcBorders>
              <w:top w:val="nil"/>
              <w:bottom w:val="nil"/>
              <w:right w:val="nil"/>
            </w:tcBorders>
            <w:shd w:val="clear" w:color="auto" w:fill="auto"/>
          </w:tcPr>
          <w:p w:rsidR="0017135D" w:rsidRPr="00891C12" w:rsidP="00942F00">
            <w:pPr>
              <w:pStyle w:val="CSHeading1DE"/>
            </w:pPr>
            <w:bookmarkStart w:id="134" w:name="_Toc431933528"/>
            <w:bookmarkStart w:id="135" w:name="_Toc438160294"/>
            <w:r>
              <w:t xml:space="preserve">EMISSIONSBEDINGUNGEN </w:t>
            </w:r>
            <w:bookmarkEnd w:id="134"/>
            <w:r w:rsidR="00942F00">
              <w:t>DER KOMPLEXEN PRODUKTE</w:t>
            </w:r>
            <w:bookmarkEnd w:id="135"/>
          </w:p>
        </w:tc>
      </w:tr>
      <w:tr w:rsidTr="004C1EBA">
        <w:tblPrEx>
          <w:tblW w:w="4999" w:type="pct"/>
          <w:tblLayout w:type="fixed"/>
          <w:tblCellMar>
            <w:left w:w="115" w:type="dxa"/>
            <w:right w:w="115" w:type="dxa"/>
          </w:tblCellMar>
          <w:tblLook w:val="04A0"/>
        </w:tblPrEx>
        <w:trPr>
          <w:trHeight w:val="281"/>
        </w:trPr>
        <w:tc>
          <w:tcPr>
            <w:tcW w:w="4931" w:type="dxa"/>
            <w:gridSpan w:val="11"/>
            <w:tcBorders>
              <w:top w:val="nil"/>
              <w:left w:val="nil"/>
              <w:bottom w:val="nil"/>
            </w:tcBorders>
            <w:shd w:val="clear" w:color="auto" w:fill="auto"/>
          </w:tcPr>
          <w:p w:rsidR="0017135D" w:rsidRPr="00BB559C" w:rsidP="00BB559C">
            <w:pPr>
              <w:pStyle w:val="CSBody8ptbold"/>
            </w:pPr>
            <w:r w:rsidRPr="00BB559C">
              <w:t xml:space="preserve">The following are the Terms and Conditions of the Complex Products, which will govern the issue of the Complex Products. These Terms and Conditions should be read in conjunction with all other sections of this Document </w:t>
            </w:r>
            <w:r w:rsidRPr="00792D61">
              <w:t>[</w:t>
            </w:r>
            <w:r w:rsidRPr="00BB559C">
              <w:t>insert in the Final Terms: and the Base Prospectus</w:t>
            </w:r>
            <w:r w:rsidRPr="00792D61">
              <w:t>]</w:t>
            </w:r>
            <w:r w:rsidRPr="00BB559C">
              <w:t>.</w:t>
            </w:r>
          </w:p>
        </w:tc>
        <w:tc>
          <w:tcPr>
            <w:tcW w:w="4936" w:type="dxa"/>
            <w:gridSpan w:val="12"/>
            <w:tcBorders>
              <w:top w:val="nil"/>
              <w:right w:val="nil"/>
            </w:tcBorders>
            <w:shd w:val="clear" w:color="auto" w:fill="auto"/>
          </w:tcPr>
          <w:p w:rsidR="0017135D" w:rsidRPr="00BB559C" w:rsidP="00BB559C">
            <w:pPr>
              <w:pStyle w:val="CSBody8ptbold"/>
              <w:rPr>
                <w:lang w:val="de-DE"/>
              </w:rPr>
            </w:pPr>
            <w:r w:rsidRPr="00BB559C">
              <w:rPr>
                <w:lang w:val="de-DE"/>
              </w:rPr>
              <w:t xml:space="preserve">Im Folgenden sind die Emissionsbedingungen der Komplexen Produkte aufgeführt, welche die Emission der Komplexen Produkte regeln. Diese Emissionsbedingungen sind in Verbindung mit allen anderen Abschnitten dieses Dokuments </w:t>
            </w:r>
            <w:r w:rsidRPr="00792D61">
              <w:rPr>
                <w:lang w:val="de-DE"/>
              </w:rPr>
              <w:t>[</w:t>
            </w:r>
            <w:r w:rsidRPr="00BB559C">
              <w:rPr>
                <w:lang w:val="de-DE"/>
              </w:rPr>
              <w:t>in den Endgültigen Bedingungen einfügen: und des Basisprospekts</w:t>
            </w:r>
            <w:r w:rsidRPr="00792D61">
              <w:rPr>
                <w:lang w:val="de-DE"/>
              </w:rPr>
              <w:t>]</w:t>
            </w:r>
            <w:r w:rsidRPr="00BB559C">
              <w:rPr>
                <w:lang w:val="de-DE"/>
              </w:rPr>
              <w:t xml:space="preserve"> zu lesen.</w:t>
            </w:r>
          </w:p>
        </w:tc>
      </w:tr>
      <w:tr w:rsidTr="004C1EBA">
        <w:tblPrEx>
          <w:tblW w:w="4999" w:type="pct"/>
          <w:tblLayout w:type="fixed"/>
          <w:tblCellMar>
            <w:left w:w="115" w:type="dxa"/>
            <w:right w:w="115" w:type="dxa"/>
          </w:tblCellMar>
          <w:tblLook w:val="04A0"/>
        </w:tblPrEx>
        <w:trPr>
          <w:trHeight w:val="281"/>
        </w:trPr>
        <w:tc>
          <w:tcPr>
            <w:tcW w:w="4931" w:type="dxa"/>
            <w:gridSpan w:val="11"/>
            <w:tcBorders>
              <w:top w:val="nil"/>
              <w:left w:val="nil"/>
              <w:bottom w:val="nil"/>
            </w:tcBorders>
            <w:shd w:val="clear" w:color="auto" w:fill="auto"/>
          </w:tcPr>
          <w:p w:rsidR="0017135D" w:rsidRPr="00BB559C" w:rsidP="004C1EBA">
            <w:pPr>
              <w:pStyle w:val="CSBody8ptbold"/>
            </w:pPr>
            <w:r w:rsidRPr="00BB559C">
              <w:t xml:space="preserve">A Complex Product does not constitute a collective investment scheme within the meaning of the Swiss Federal Act on Collective Investment Schemes ("CISA"). Therefore, it is not subject to authorisation </w:t>
            </w:r>
            <w:r>
              <w:t xml:space="preserve">or supervision </w:t>
            </w:r>
            <w:r w:rsidRPr="00BB559C">
              <w:t xml:space="preserve">by the Swiss Financial Market Supervisory Authority FINMA ("FINMA") </w:t>
            </w:r>
            <w:r>
              <w:t xml:space="preserve">. Investors bear the issuer risk. </w:t>
            </w:r>
            <w:r w:rsidR="0025395A">
              <w:t>[</w:t>
            </w:r>
            <w:r w:rsidRPr="003B00F3" w:rsidR="003B00F3">
              <w:t>The Complex Products are structured products within the meaning of art. 5 CISA. The prospectus requirements of art. 652a/art. 1156 of the Swiss Code of Obligations are not applicable.</w:t>
            </w:r>
            <w:r w:rsidR="0025395A">
              <w:t>]</w:t>
            </w:r>
          </w:p>
        </w:tc>
        <w:tc>
          <w:tcPr>
            <w:tcW w:w="4936" w:type="dxa"/>
            <w:gridSpan w:val="12"/>
            <w:tcBorders>
              <w:top w:val="nil"/>
              <w:right w:val="nil"/>
            </w:tcBorders>
            <w:shd w:val="clear" w:color="auto" w:fill="auto"/>
          </w:tcPr>
          <w:p w:rsidR="0017135D" w:rsidRPr="00BB559C" w:rsidP="004C1EBA">
            <w:pPr>
              <w:pStyle w:val="CSBody8ptbold"/>
              <w:rPr>
                <w:lang w:val="de-DE"/>
              </w:rPr>
            </w:pPr>
            <w:r w:rsidRPr="00BB559C">
              <w:rPr>
                <w:lang w:val="de-DE"/>
              </w:rPr>
              <w:t xml:space="preserve">Ein Komplexes Produkt stellt keine kollektive Kapitalanlage im Sinne des Schweizerischen Bundesgesetzes über die kollektiven Kapitalanlagen ("KAG") dar. Es unterliegt daher nicht der Bewilligung </w:t>
            </w:r>
            <w:r>
              <w:rPr>
                <w:lang w:val="de-DE"/>
              </w:rPr>
              <w:t xml:space="preserve">oder Aufsicht </w:t>
            </w:r>
            <w:r w:rsidRPr="00BB559C">
              <w:rPr>
                <w:lang w:val="de-DE"/>
              </w:rPr>
              <w:t>durch die Eidgenössische Finanzmarktaufsicht FINMA ("FINMA")</w:t>
            </w:r>
            <w:r>
              <w:rPr>
                <w:lang w:val="de-DE"/>
              </w:rPr>
              <w:t xml:space="preserve">. Anleger tragen das Emittentenrisiko. </w:t>
            </w:r>
            <w:r w:rsidR="0025395A">
              <w:rPr>
                <w:lang w:val="de-DE"/>
              </w:rPr>
              <w:t>[</w:t>
            </w:r>
            <w:r w:rsidRPr="003B00F3" w:rsidR="003B00F3">
              <w:rPr>
                <w:lang w:val="de-DE"/>
              </w:rPr>
              <w:t>Bei den Komplexen Produkten handelt es sich um strukturierte Produkte im Sinne von Art. 5 KAG. Die Prospektanforderungen nach Art. 652a/Art. 1156 des Schweizerischen Obligationenrechts finden keine Anwendung.</w:t>
            </w:r>
            <w:r w:rsidR="0025395A">
              <w:rPr>
                <w:lang w:val="de-DE"/>
              </w:rPr>
              <w:t>]</w:t>
            </w:r>
          </w:p>
        </w:tc>
      </w:tr>
      <w:tr w:rsidTr="004C1EBA">
        <w:tblPrEx>
          <w:tblW w:w="4999" w:type="pct"/>
          <w:tblLayout w:type="fixed"/>
          <w:tblCellMar>
            <w:left w:w="115" w:type="dxa"/>
            <w:right w:w="115" w:type="dxa"/>
          </w:tblCellMar>
          <w:tblLook w:val="04A0"/>
        </w:tblPrEx>
        <w:trPr>
          <w:trHeight w:val="118"/>
        </w:trPr>
        <w:tc>
          <w:tcPr>
            <w:tcW w:w="4931" w:type="dxa"/>
            <w:gridSpan w:val="11"/>
            <w:tcBorders>
              <w:top w:val="nil"/>
              <w:left w:val="nil"/>
              <w:bottom w:val="nil"/>
            </w:tcBorders>
            <w:shd w:val="clear" w:color="auto" w:fill="auto"/>
          </w:tcPr>
          <w:p w:rsidR="0017135D" w:rsidRPr="00BB559C" w:rsidP="00BB559C">
            <w:pPr>
              <w:pStyle w:val="CSBody8ptbold"/>
            </w:pPr>
            <w:r>
              <w:t>[</w:t>
            </w:r>
            <w:r w:rsidRPr="00BB559C">
              <w:t>Although many of the definitions set forth in these Terms and Conditions may be similar to the corresponding definitions in the 2014 Credit Derivatives Definitions (as defined herein), they are not identical to such definitions. Furthermore, these Terms and Conditions do not include all of the definitions set forth in the 2014 Credit Derivatives Definitions.</w:t>
            </w:r>
            <w:r>
              <w:t>]</w:t>
            </w:r>
          </w:p>
        </w:tc>
        <w:tc>
          <w:tcPr>
            <w:tcW w:w="4936" w:type="dxa"/>
            <w:gridSpan w:val="12"/>
            <w:tcBorders>
              <w:bottom w:val="nil"/>
              <w:right w:val="nil"/>
            </w:tcBorders>
            <w:shd w:val="clear" w:color="auto" w:fill="auto"/>
          </w:tcPr>
          <w:p w:rsidR="0017135D" w:rsidRPr="00BB559C" w:rsidP="00BB559C">
            <w:pPr>
              <w:pStyle w:val="CSBody8ptbold"/>
              <w:rPr>
                <w:lang w:val="de-DE"/>
              </w:rPr>
            </w:pPr>
            <w:r>
              <w:rPr>
                <w:lang w:val="de-DE"/>
              </w:rPr>
              <w:t>[</w:t>
            </w:r>
            <w:r w:rsidRPr="00BB559C">
              <w:rPr>
                <w:lang w:val="de-DE"/>
              </w:rPr>
              <w:t>Obwohl viele Definitionen dieser Emissionsbedingungen ähnlich sein können wie die entsprechenden Definitionen in den 2014 Kreditderivatdefinitionen (wie nachfolgend definiert), sind sie nicht identisch mit diesen Definitionen. Zudem enthalten diese Emissionsbedingungen nicht sämtliche Definitionen, welche in den 2014 Kreditderivatdefinitionen verwendet werden.</w:t>
            </w:r>
            <w:r>
              <w:rPr>
                <w:lang w:val="de-DE"/>
              </w:rPr>
              <w:t>]</w:t>
            </w:r>
          </w:p>
        </w:tc>
      </w:tr>
      <w:tr w:rsidTr="004C1EBA">
        <w:tblPrEx>
          <w:tblW w:w="4999" w:type="pct"/>
          <w:tblLayout w:type="fixed"/>
          <w:tblCellMar>
            <w:left w:w="115" w:type="dxa"/>
            <w:right w:w="115" w:type="dxa"/>
          </w:tblCellMar>
          <w:tblLook w:val="04A0"/>
        </w:tblPrEx>
        <w:trPr>
          <w:trHeight w:val="23"/>
        </w:trPr>
        <w:tc>
          <w:tcPr>
            <w:tcW w:w="1616" w:type="dxa"/>
            <w:gridSpan w:val="4"/>
            <w:tcBorders>
              <w:top w:val="nil"/>
              <w:left w:val="nil"/>
              <w:bottom w:val="nil"/>
              <w:right w:val="nil"/>
            </w:tcBorders>
            <w:shd w:val="clear" w:color="auto" w:fill="D9D9D9" w:themeFill="background1" w:themeFillShade="D9"/>
          </w:tcPr>
          <w:p w:rsidR="0017135D" w:rsidRPr="003D4711" w:rsidP="00BB559C">
            <w:pPr>
              <w:pStyle w:val="CSbody0bold"/>
            </w:pPr>
            <w:r>
              <w:t>Section 1</w:t>
            </w:r>
          </w:p>
        </w:tc>
        <w:tc>
          <w:tcPr>
            <w:tcW w:w="3315" w:type="dxa"/>
            <w:gridSpan w:val="7"/>
            <w:tcBorders>
              <w:top w:val="nil"/>
              <w:left w:val="nil"/>
              <w:bottom w:val="nil"/>
            </w:tcBorders>
            <w:shd w:val="clear" w:color="auto" w:fill="D9D9D9" w:themeFill="background1" w:themeFillShade="D9"/>
          </w:tcPr>
          <w:p w:rsidR="0017135D" w:rsidRPr="00891C12" w:rsidP="00BB559C">
            <w:pPr>
              <w:pStyle w:val="CSbody0bold"/>
            </w:pPr>
            <w:r w:rsidRPr="00891C12">
              <w:t>Definitions and Key Terms</w:t>
            </w:r>
          </w:p>
        </w:tc>
        <w:tc>
          <w:tcPr>
            <w:tcW w:w="1618" w:type="dxa"/>
            <w:gridSpan w:val="2"/>
            <w:tcBorders>
              <w:top w:val="nil"/>
              <w:bottom w:val="nil"/>
              <w:right w:val="nil"/>
            </w:tcBorders>
            <w:shd w:val="clear" w:color="auto" w:fill="D9D9D9" w:themeFill="background1" w:themeFillShade="D9"/>
          </w:tcPr>
          <w:p w:rsidR="0017135D" w:rsidRPr="00E139A5" w:rsidP="00BB559C">
            <w:pPr>
              <w:pStyle w:val="CSbody0bold"/>
            </w:pPr>
            <w:r>
              <w:t>Ziffer 1</w:t>
            </w:r>
          </w:p>
        </w:tc>
        <w:tc>
          <w:tcPr>
            <w:tcW w:w="3318" w:type="dxa"/>
            <w:gridSpan w:val="10"/>
            <w:tcBorders>
              <w:top w:val="nil"/>
              <w:left w:val="nil"/>
              <w:bottom w:val="nil"/>
              <w:right w:val="nil"/>
            </w:tcBorders>
            <w:shd w:val="clear" w:color="auto" w:fill="D9D9D9" w:themeFill="background1" w:themeFillShade="D9"/>
          </w:tcPr>
          <w:p w:rsidR="0017135D" w:rsidRPr="00E60155" w:rsidP="00D816FA">
            <w:pPr>
              <w:pStyle w:val="CSbody0bold"/>
            </w:pPr>
            <w:r w:rsidRPr="00E60155">
              <w:t>Definitionen und Wichtige Be</w:t>
            </w:r>
            <w:r>
              <w:t>griffe</w:t>
            </w:r>
          </w:p>
        </w:tc>
      </w:tr>
      <w:tr w:rsidTr="004C1EBA">
        <w:tblPrEx>
          <w:tblW w:w="4999" w:type="pct"/>
          <w:tblLayout w:type="fixed"/>
          <w:tblCellMar>
            <w:left w:w="115" w:type="dxa"/>
            <w:right w:w="115" w:type="dxa"/>
          </w:tblCellMar>
          <w:tblLook w:val="04A0"/>
        </w:tblPrEx>
        <w:trPr>
          <w:trHeight w:val="23"/>
        </w:trPr>
        <w:tc>
          <w:tcPr>
            <w:tcW w:w="1616" w:type="dxa"/>
            <w:gridSpan w:val="4"/>
            <w:tcBorders>
              <w:top w:val="nil"/>
              <w:left w:val="nil"/>
              <w:bottom w:val="nil"/>
              <w:right w:val="nil"/>
            </w:tcBorders>
            <w:shd w:val="clear" w:color="auto" w:fill="FFFFFF" w:themeFill="background1"/>
          </w:tcPr>
          <w:p w:rsidR="0017135D" w:rsidRPr="00891C12" w:rsidP="00BB559C">
            <w:pPr>
              <w:pStyle w:val="CSbody0bold"/>
            </w:pPr>
            <w:bookmarkStart w:id="136" w:name="_Ref359160837"/>
            <w:r>
              <w:t>Section 1.1</w:t>
            </w:r>
          </w:p>
        </w:tc>
        <w:tc>
          <w:tcPr>
            <w:tcW w:w="3315" w:type="dxa"/>
            <w:gridSpan w:val="7"/>
            <w:tcBorders>
              <w:top w:val="nil"/>
              <w:left w:val="nil"/>
              <w:bottom w:val="nil"/>
              <w:right w:val="nil"/>
            </w:tcBorders>
            <w:shd w:val="clear" w:color="auto" w:fill="FFFFFF" w:themeFill="background1"/>
          </w:tcPr>
          <w:p w:rsidR="0017135D" w:rsidRPr="00BB559C" w:rsidP="00BB559C">
            <w:pPr>
              <w:pStyle w:val="CSbody0bold"/>
              <w:rPr>
                <w:lang w:val="en-GB"/>
              </w:rPr>
            </w:pPr>
            <w:bookmarkEnd w:id="136"/>
            <w:r w:rsidRPr="00BB559C">
              <w:rPr>
                <w:lang w:val="en-GB"/>
              </w:rPr>
              <w:t>Issue Specific Terms, Definitions and Other Information</w:t>
            </w:r>
          </w:p>
        </w:tc>
        <w:tc>
          <w:tcPr>
            <w:tcW w:w="1618" w:type="dxa"/>
            <w:gridSpan w:val="2"/>
            <w:tcBorders>
              <w:top w:val="nil"/>
              <w:left w:val="nil"/>
              <w:bottom w:val="nil"/>
              <w:right w:val="nil"/>
            </w:tcBorders>
            <w:shd w:val="clear" w:color="auto" w:fill="FFFFFF" w:themeFill="background1"/>
          </w:tcPr>
          <w:p w:rsidR="0017135D" w:rsidRPr="00BB559C" w:rsidP="00BB559C">
            <w:pPr>
              <w:pStyle w:val="CSbody0bold"/>
              <w:rPr>
                <w:lang w:val="en-GB"/>
              </w:rPr>
            </w:pPr>
            <w:r>
              <w:rPr>
                <w:lang w:val="en-GB"/>
              </w:rPr>
              <w:t>Ziffer 1.1</w:t>
            </w:r>
          </w:p>
        </w:tc>
        <w:tc>
          <w:tcPr>
            <w:tcW w:w="3318" w:type="dxa"/>
            <w:gridSpan w:val="10"/>
            <w:tcBorders>
              <w:top w:val="nil"/>
              <w:left w:val="nil"/>
              <w:bottom w:val="nil"/>
              <w:right w:val="nil"/>
            </w:tcBorders>
            <w:shd w:val="clear" w:color="auto" w:fill="FFFFFF" w:themeFill="background1"/>
          </w:tcPr>
          <w:p w:rsidR="0017135D" w:rsidRPr="00E60155" w:rsidP="00BB559C">
            <w:pPr>
              <w:pStyle w:val="CSbody0bold"/>
            </w:pPr>
            <w:r w:rsidRPr="00E60155">
              <w:t>Emissionsspezifische Begriffe, Definitionen und Sonstige Informationen</w:t>
            </w:r>
          </w:p>
        </w:tc>
      </w:tr>
      <w:tr w:rsidTr="004C1EBA">
        <w:tblPrEx>
          <w:tblW w:w="4999" w:type="pct"/>
          <w:tblLayout w:type="fixed"/>
          <w:tblCellMar>
            <w:left w:w="115" w:type="dxa"/>
            <w:right w:w="115" w:type="dxa"/>
          </w:tblCellMar>
          <w:tblLook w:val="04A0"/>
        </w:tblPrEx>
        <w:trPr>
          <w:trHeight w:val="23"/>
        </w:trPr>
        <w:tc>
          <w:tcPr>
            <w:tcW w:w="1616" w:type="dxa"/>
            <w:gridSpan w:val="4"/>
            <w:tcBorders>
              <w:top w:val="nil"/>
              <w:left w:val="nil"/>
              <w:bottom w:val="nil"/>
              <w:right w:val="nil"/>
            </w:tcBorders>
            <w:shd w:val="clear" w:color="auto" w:fill="auto"/>
          </w:tcPr>
          <w:p w:rsidR="0017135D" w:rsidRPr="00B34C1C" w:rsidP="00BB559C">
            <w:pPr>
              <w:pStyle w:val="CSbody0bold"/>
            </w:pPr>
            <w:r>
              <w:t>A.</w:t>
            </w:r>
          </w:p>
        </w:tc>
        <w:tc>
          <w:tcPr>
            <w:tcW w:w="3315" w:type="dxa"/>
            <w:gridSpan w:val="7"/>
            <w:tcBorders>
              <w:top w:val="nil"/>
              <w:left w:val="nil"/>
              <w:bottom w:val="nil"/>
            </w:tcBorders>
            <w:shd w:val="clear" w:color="auto" w:fill="auto"/>
          </w:tcPr>
          <w:p w:rsidR="0017135D" w:rsidRPr="00891C12" w:rsidP="00BB559C">
            <w:pPr>
              <w:pStyle w:val="CSbody0bold"/>
            </w:pPr>
            <w:r w:rsidRPr="00891C12">
              <w:t>Issue Details</w:t>
            </w:r>
          </w:p>
        </w:tc>
        <w:tc>
          <w:tcPr>
            <w:tcW w:w="1618" w:type="dxa"/>
            <w:gridSpan w:val="2"/>
            <w:tcBorders>
              <w:top w:val="nil"/>
              <w:bottom w:val="nil"/>
              <w:right w:val="nil"/>
            </w:tcBorders>
            <w:shd w:val="clear" w:color="auto" w:fill="auto"/>
          </w:tcPr>
          <w:p w:rsidR="0017135D" w:rsidRPr="00891C12" w:rsidP="00BB559C">
            <w:pPr>
              <w:pStyle w:val="CSbody0bold"/>
            </w:pPr>
            <w:r>
              <w:t>A.</w:t>
            </w:r>
          </w:p>
        </w:tc>
        <w:tc>
          <w:tcPr>
            <w:tcW w:w="3318" w:type="dxa"/>
            <w:gridSpan w:val="10"/>
            <w:tcBorders>
              <w:top w:val="nil"/>
              <w:left w:val="nil"/>
              <w:bottom w:val="nil"/>
              <w:right w:val="nil"/>
            </w:tcBorders>
            <w:shd w:val="clear" w:color="auto" w:fill="auto"/>
          </w:tcPr>
          <w:p w:rsidR="0017135D" w:rsidRPr="00E60155" w:rsidP="00D816FA">
            <w:pPr>
              <w:pStyle w:val="CSbody0bold"/>
            </w:pPr>
            <w:r>
              <w:t>Angaben zur</w:t>
            </w:r>
            <w:r w:rsidRPr="00E60155">
              <w:t xml:space="preserve"> Emission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E64B6" w:rsidP="00BB559C">
            <w:pPr>
              <w:pStyle w:val="CSBody8pt"/>
            </w:pPr>
            <w:r w:rsidRPr="00FE64B6">
              <w:t>Name of Product</w:t>
            </w:r>
          </w:p>
        </w:tc>
        <w:tc>
          <w:tcPr>
            <w:tcW w:w="3315" w:type="dxa"/>
            <w:gridSpan w:val="7"/>
            <w:tcBorders>
              <w:top w:val="nil"/>
              <w:left w:val="nil"/>
              <w:bottom w:val="nil"/>
            </w:tcBorders>
            <w:shd w:val="clear" w:color="auto" w:fill="auto"/>
          </w:tcPr>
          <w:p w:rsidR="0017135D" w:rsidP="00BB559C">
            <w:pPr>
              <w:pStyle w:val="CSBody8pt"/>
            </w:pPr>
            <w:r w:rsidRPr="00792D61">
              <w:rPr>
                <w:b/>
              </w:rPr>
              <w:t>[</w:t>
            </w:r>
            <w:r w:rsidRPr="00FE64B6">
              <w:t>Credit-Linked Complex Products</w:t>
            </w:r>
            <w:r w:rsidRPr="00792D61">
              <w:rPr>
                <w:b/>
              </w:rPr>
              <w:t>][</w:t>
            </w:r>
            <w:r w:rsidRPr="00FE64B6">
              <w:t>with Zero-Recovery feature linked to a Basket</w:t>
            </w:r>
            <w:r w:rsidRPr="00792D61">
              <w:rPr>
                <w:b/>
              </w:rPr>
              <w:t>]</w:t>
            </w:r>
            <w:r w:rsidRPr="00FE64B6">
              <w:t xml:space="preserve"> </w:t>
            </w:r>
            <w:r w:rsidRPr="00792D61">
              <w:rPr>
                <w:b/>
              </w:rPr>
              <w:t>[</w:t>
            </w:r>
            <w:r w:rsidRPr="00FE64B6">
              <w:t>Capped</w:t>
            </w:r>
            <w:r w:rsidRPr="00792D61">
              <w:rPr>
                <w:b/>
              </w:rPr>
              <w:t>]</w:t>
            </w:r>
            <w:r w:rsidRPr="00FE64B6">
              <w:t xml:space="preserve"> </w:t>
            </w:r>
            <w:r w:rsidRPr="00792D61">
              <w:rPr>
                <w:b/>
              </w:rPr>
              <w:t>[</w:t>
            </w:r>
            <w:r w:rsidRPr="00FE64B6">
              <w:t>Fixed Rate Notes</w:t>
            </w:r>
            <w:r w:rsidRPr="00792D61">
              <w:rPr>
                <w:b/>
              </w:rPr>
              <w:t>]</w:t>
            </w:r>
            <w:r w:rsidRPr="00FE64B6">
              <w:t xml:space="preserve"> </w:t>
            </w:r>
            <w:r w:rsidRPr="00792D61">
              <w:rPr>
                <w:b/>
              </w:rPr>
              <w:t>[</w:t>
            </w:r>
            <w:r w:rsidRPr="00FE64B6">
              <w:t>Fixed to Floating Rate Notes</w:t>
            </w:r>
            <w:r w:rsidRPr="00792D61">
              <w:rPr>
                <w:b/>
              </w:rPr>
              <w:t>]</w:t>
            </w:r>
            <w:r w:rsidRPr="00FE64B6">
              <w:t xml:space="preserve"> </w:t>
            </w:r>
            <w:r w:rsidRPr="00792D61">
              <w:rPr>
                <w:b/>
              </w:rPr>
              <w:t>[</w:t>
            </w:r>
            <w:r w:rsidRPr="00FE64B6">
              <w:t>Floating Rate Notes</w:t>
            </w:r>
            <w:r w:rsidRPr="00792D61">
              <w:rPr>
                <w:b/>
              </w:rPr>
              <w:t>]</w:t>
            </w:r>
            <w:r w:rsidRPr="00FE64B6">
              <w:t xml:space="preserve"> </w:t>
            </w:r>
            <w:r w:rsidRPr="00792D61">
              <w:rPr>
                <w:b/>
              </w:rPr>
              <w:t>[</w:t>
            </w:r>
            <w:r w:rsidRPr="00FE64B6">
              <w:t>Floored Floaters</w:t>
            </w:r>
            <w:r w:rsidRPr="00792D61">
              <w:rPr>
                <w:b/>
              </w:rPr>
              <w:t>]</w:t>
            </w:r>
            <w:r w:rsidRPr="00FE64B6">
              <w:t xml:space="preserve"> </w:t>
            </w:r>
            <w:r w:rsidRPr="00792D61">
              <w:rPr>
                <w:b/>
              </w:rPr>
              <w:t>[</w:t>
            </w:r>
            <w:r w:rsidRPr="00FE64B6">
              <w:t>Cumulative Reverse Floater Notes</w:t>
            </w:r>
            <w:r w:rsidRPr="00792D61">
              <w:rPr>
                <w:b/>
              </w:rPr>
              <w:t>]</w:t>
            </w:r>
            <w:r w:rsidRPr="00FE64B6">
              <w:t xml:space="preserve"> </w:t>
            </w:r>
            <w:r w:rsidRPr="00792D61">
              <w:rPr>
                <w:b/>
              </w:rPr>
              <w:t>[</w:t>
            </w:r>
            <w:r w:rsidRPr="00FE64B6">
              <w:t>Stairway Notes</w:t>
            </w:r>
            <w:r w:rsidRPr="00792D61">
              <w:rPr>
                <w:b/>
              </w:rPr>
              <w:t>]</w:t>
            </w:r>
            <w:r w:rsidRPr="00FE64B6">
              <w:t xml:space="preserve"> </w:t>
            </w:r>
            <w:r w:rsidRPr="00792D61">
              <w:rPr>
                <w:b/>
              </w:rPr>
              <w:t>[</w:t>
            </w:r>
            <w:r w:rsidRPr="00FE64B6">
              <w:t>Inverse Floating Rate Notes</w:t>
            </w:r>
            <w:r w:rsidRPr="00792D61">
              <w:rPr>
                <w:b/>
              </w:rPr>
              <w:t>]</w:t>
            </w:r>
            <w:r w:rsidRPr="00FE64B6">
              <w:t xml:space="preserve"> </w:t>
            </w:r>
            <w:r w:rsidRPr="00792D61">
              <w:rPr>
                <w:b/>
              </w:rPr>
              <w:t>[</w:t>
            </w:r>
            <w:r w:rsidRPr="00FE64B6">
              <w:t>Spread-Linked Notes</w:t>
            </w:r>
            <w:r w:rsidRPr="00792D61">
              <w:rPr>
                <w:b/>
              </w:rPr>
              <w:t>]</w:t>
            </w:r>
            <w:r w:rsidRPr="00FE64B6">
              <w:t xml:space="preserve"> </w:t>
            </w:r>
            <w:r w:rsidRPr="00792D61">
              <w:rPr>
                <w:b/>
              </w:rPr>
              <w:t>[</w:t>
            </w:r>
            <w:r w:rsidRPr="00FE64B6">
              <w:t>Spread</w:t>
            </w:r>
            <w:r w:rsidRPr="00792D61">
              <w:rPr>
                <w:b/>
              </w:rPr>
              <w:t>]</w:t>
            </w:r>
            <w:r w:rsidRPr="00FE64B6">
              <w:t xml:space="preserve"> </w:t>
            </w:r>
            <w:r w:rsidRPr="00792D61">
              <w:rPr>
                <w:b/>
              </w:rPr>
              <w:t>[</w:t>
            </w:r>
            <w:r w:rsidRPr="00FE64B6">
              <w:t>Range Accrual Notes</w:t>
            </w:r>
            <w:r w:rsidRPr="00792D61">
              <w:rPr>
                <w:b/>
              </w:rPr>
              <w:t>]</w:t>
            </w:r>
            <w:r w:rsidRPr="00FE64B6">
              <w:t xml:space="preserve"> </w:t>
            </w:r>
            <w:r w:rsidRPr="00792D61">
              <w:rPr>
                <w:b/>
              </w:rPr>
              <w:t>[</w:t>
            </w:r>
            <w:r w:rsidRPr="00FE64B6">
              <w:t>Inflation Index-Linked Notes</w:t>
            </w:r>
            <w:r w:rsidRPr="00792D61">
              <w:rPr>
                <w:b/>
              </w:rPr>
              <w:t>]</w:t>
            </w:r>
            <w:r w:rsidRPr="00FE64B6">
              <w:t xml:space="preserve"> </w:t>
            </w:r>
            <w:r w:rsidRPr="00792D61">
              <w:rPr>
                <w:b/>
              </w:rPr>
              <w:t>[</w:t>
            </w:r>
            <w:r w:rsidRPr="00FE64B6">
              <w:t>Step Up Notes</w:t>
            </w:r>
            <w:r w:rsidRPr="00792D61">
              <w:rPr>
                <w:b/>
              </w:rPr>
              <w:t>]</w:t>
            </w:r>
            <w:r w:rsidRPr="00FE64B6">
              <w:t xml:space="preserve"> </w:t>
            </w:r>
            <w:r w:rsidRPr="00792D61">
              <w:rPr>
                <w:b/>
              </w:rPr>
              <w:t>[[</w:t>
            </w:r>
            <w:r>
              <w:rPr>
                <w:rFonts w:ascii="Arial" w:hAnsi="Arial" w:cs="Arial"/>
              </w:rPr>
              <w:t>●</w:t>
            </w:r>
            <w:r w:rsidRPr="00792D61">
              <w:rPr>
                <w:b/>
              </w:rPr>
              <w:t>]]</w:t>
            </w:r>
            <w:r w:rsidRPr="00FE64B6">
              <w:t xml:space="preserve"> </w:t>
            </w:r>
            <w:r w:rsidRPr="00792D61">
              <w:rPr>
                <w:b/>
              </w:rPr>
              <w:t>[</w:t>
            </w:r>
            <w:r w:rsidRPr="00FE64B6">
              <w:t>on</w:t>
            </w:r>
            <w:r w:rsidRPr="00792D61">
              <w:rPr>
                <w:b/>
              </w:rPr>
              <w:t>]</w:t>
            </w:r>
            <w:r w:rsidRPr="00FE64B6">
              <w:t xml:space="preserve"> </w:t>
            </w:r>
            <w:r w:rsidRPr="00792D61">
              <w:rPr>
                <w:b/>
              </w:rPr>
              <w:t>[[</w:t>
            </w:r>
            <w:r>
              <w:rPr>
                <w:rFonts w:ascii="Arial" w:hAnsi="Arial" w:cs="Arial"/>
              </w:rPr>
              <w:t>●</w:t>
            </w:r>
            <w:r w:rsidRPr="00792D61">
              <w:rPr>
                <w:b/>
              </w:rPr>
              <w:t>]]</w:t>
            </w:r>
            <w:r w:rsidRPr="00FE64B6">
              <w:t>.</w:t>
            </w:r>
          </w:p>
        </w:tc>
        <w:tc>
          <w:tcPr>
            <w:tcW w:w="1618" w:type="dxa"/>
            <w:gridSpan w:val="2"/>
            <w:tcBorders>
              <w:top w:val="nil"/>
              <w:bottom w:val="nil"/>
              <w:right w:val="nil"/>
            </w:tcBorders>
            <w:shd w:val="clear" w:color="auto" w:fill="auto"/>
          </w:tcPr>
          <w:p w:rsidR="0017135D" w:rsidRPr="008B4F3E" w:rsidP="00BB559C">
            <w:pPr>
              <w:pStyle w:val="CSBody8pt"/>
            </w:pPr>
            <w:r w:rsidRPr="008B4F3E">
              <w:t>Name des Produkts</w:t>
            </w:r>
          </w:p>
        </w:tc>
        <w:tc>
          <w:tcPr>
            <w:tcW w:w="3318" w:type="dxa"/>
            <w:gridSpan w:val="10"/>
            <w:tcBorders>
              <w:top w:val="nil"/>
              <w:left w:val="nil"/>
              <w:bottom w:val="nil"/>
              <w:right w:val="nil"/>
            </w:tcBorders>
            <w:shd w:val="clear" w:color="auto" w:fill="auto"/>
          </w:tcPr>
          <w:p w:rsidR="0017135D" w:rsidP="00BB559C">
            <w:pPr>
              <w:pStyle w:val="CSBody8pt"/>
            </w:pPr>
            <w:r w:rsidRPr="00792D61">
              <w:rPr>
                <w:b/>
              </w:rPr>
              <w:t>[</w:t>
            </w:r>
            <w:r w:rsidRPr="008B4F3E">
              <w:t>Kreditbezogene Komplexe Produkte</w:t>
            </w:r>
            <w:r w:rsidRPr="00792D61">
              <w:rPr>
                <w:b/>
              </w:rPr>
              <w:t>]</w:t>
            </w:r>
            <w:r w:rsidRPr="008B4F3E">
              <w:t xml:space="preserve"> </w:t>
            </w:r>
            <w:r w:rsidRPr="00792D61">
              <w:rPr>
                <w:b/>
              </w:rPr>
              <w:t>[</w:t>
            </w:r>
            <w:r w:rsidRPr="008B4F3E">
              <w:t>mit Zero-Recovery-Merkmal, die an einen Korb gekoppelt sind</w:t>
            </w:r>
            <w:r w:rsidRPr="00792D61">
              <w:rPr>
                <w:b/>
              </w:rPr>
              <w:t>][</w:t>
            </w:r>
            <w:r w:rsidRPr="008B4F3E">
              <w:t>Capped</w:t>
            </w:r>
            <w:r w:rsidRPr="00792D61">
              <w:rPr>
                <w:b/>
              </w:rPr>
              <w:t>]</w:t>
            </w:r>
            <w:r w:rsidRPr="008B4F3E">
              <w:t xml:space="preserve"> </w:t>
            </w:r>
            <w:r w:rsidRPr="00792D61">
              <w:rPr>
                <w:b/>
              </w:rPr>
              <w:t>[</w:t>
            </w:r>
            <w:r w:rsidRPr="008B4F3E">
              <w:t>Fixed Rate Notes</w:t>
            </w:r>
            <w:r w:rsidRPr="00792D61">
              <w:rPr>
                <w:b/>
              </w:rPr>
              <w:t>]</w:t>
            </w:r>
            <w:r w:rsidRPr="008B4F3E">
              <w:t xml:space="preserve"> </w:t>
            </w:r>
            <w:r w:rsidRPr="00792D61">
              <w:rPr>
                <w:b/>
              </w:rPr>
              <w:t>[</w:t>
            </w:r>
            <w:r w:rsidRPr="008B4F3E">
              <w:t>Fixed to Floating Rate Notes</w:t>
            </w:r>
            <w:r w:rsidRPr="00792D61">
              <w:rPr>
                <w:b/>
              </w:rPr>
              <w:t>]</w:t>
            </w:r>
            <w:r w:rsidRPr="008B4F3E">
              <w:t xml:space="preserve"> </w:t>
            </w:r>
            <w:r w:rsidRPr="00792D61">
              <w:rPr>
                <w:b/>
              </w:rPr>
              <w:t>[</w:t>
            </w:r>
            <w:r w:rsidRPr="008B4F3E">
              <w:t>Floating Rate Notes</w:t>
            </w:r>
            <w:r w:rsidRPr="00792D61">
              <w:rPr>
                <w:b/>
              </w:rPr>
              <w:t>]</w:t>
            </w:r>
            <w:r w:rsidRPr="008B4F3E">
              <w:t xml:space="preserve"> </w:t>
            </w:r>
            <w:r w:rsidRPr="00792D61">
              <w:rPr>
                <w:b/>
              </w:rPr>
              <w:t>[</w:t>
            </w:r>
            <w:r w:rsidRPr="008B4F3E">
              <w:t>Floored Floaters</w:t>
            </w:r>
            <w:r w:rsidRPr="00792D61">
              <w:rPr>
                <w:b/>
              </w:rPr>
              <w:t>]</w:t>
            </w:r>
            <w:r w:rsidRPr="008B4F3E">
              <w:t xml:space="preserve"> </w:t>
            </w:r>
            <w:r w:rsidRPr="00792D61">
              <w:rPr>
                <w:b/>
              </w:rPr>
              <w:t>[</w:t>
            </w:r>
            <w:r w:rsidRPr="008B4F3E">
              <w:t>Cumulative Reverse Floater Notes</w:t>
            </w:r>
            <w:r w:rsidRPr="00792D61">
              <w:rPr>
                <w:b/>
              </w:rPr>
              <w:t>]</w:t>
            </w:r>
            <w:r w:rsidRPr="008B4F3E">
              <w:t xml:space="preserve"> </w:t>
            </w:r>
            <w:r w:rsidRPr="00792D61">
              <w:rPr>
                <w:b/>
              </w:rPr>
              <w:t>[</w:t>
            </w:r>
            <w:r w:rsidRPr="008B4F3E">
              <w:t>Stairway Notes</w:t>
            </w:r>
            <w:r w:rsidRPr="00792D61">
              <w:rPr>
                <w:b/>
              </w:rPr>
              <w:t>]</w:t>
            </w:r>
            <w:r w:rsidRPr="008B4F3E">
              <w:t xml:space="preserve"> </w:t>
            </w:r>
            <w:r w:rsidRPr="00792D61">
              <w:rPr>
                <w:b/>
              </w:rPr>
              <w:t>[</w:t>
            </w:r>
            <w:r w:rsidRPr="008B4F3E">
              <w:t>Inverse Floating Rate Notes</w:t>
            </w:r>
            <w:r w:rsidRPr="00792D61">
              <w:rPr>
                <w:b/>
              </w:rPr>
              <w:t>]</w:t>
            </w:r>
            <w:r w:rsidRPr="008B4F3E">
              <w:t xml:space="preserve"> </w:t>
            </w:r>
            <w:r w:rsidRPr="00792D61">
              <w:rPr>
                <w:b/>
              </w:rPr>
              <w:t>[</w:t>
            </w:r>
            <w:r w:rsidRPr="008B4F3E">
              <w:t>Spread-Linked Notes</w:t>
            </w:r>
            <w:r w:rsidRPr="00792D61">
              <w:rPr>
                <w:b/>
              </w:rPr>
              <w:t>]</w:t>
            </w:r>
            <w:r w:rsidRPr="008B4F3E">
              <w:t xml:space="preserve"> </w:t>
            </w:r>
            <w:r w:rsidRPr="00792D61">
              <w:rPr>
                <w:b/>
              </w:rPr>
              <w:t>[</w:t>
            </w:r>
            <w:r w:rsidRPr="008B4F3E">
              <w:t>Spread</w:t>
            </w:r>
            <w:r w:rsidRPr="00792D61">
              <w:rPr>
                <w:b/>
              </w:rPr>
              <w:t>]</w:t>
            </w:r>
            <w:r w:rsidRPr="008B4F3E">
              <w:t xml:space="preserve"> </w:t>
            </w:r>
            <w:r w:rsidRPr="00792D61">
              <w:rPr>
                <w:b/>
              </w:rPr>
              <w:t>[</w:t>
            </w:r>
            <w:r w:rsidRPr="008B4F3E">
              <w:t>Range Accrual Notes</w:t>
            </w:r>
            <w:r w:rsidRPr="00792D61">
              <w:rPr>
                <w:b/>
              </w:rPr>
              <w:t>]</w:t>
            </w:r>
            <w:r w:rsidRPr="008B4F3E">
              <w:t xml:space="preserve"> </w:t>
            </w:r>
            <w:r w:rsidRPr="00792D61">
              <w:rPr>
                <w:b/>
              </w:rPr>
              <w:t>[</w:t>
            </w:r>
            <w:r w:rsidRPr="008B4F3E">
              <w:t>Inflation Index-Linked Notes</w:t>
            </w:r>
            <w:r w:rsidRPr="00792D61">
              <w:rPr>
                <w:b/>
              </w:rPr>
              <w:t>]</w:t>
            </w:r>
            <w:r w:rsidRPr="008B4F3E">
              <w:t xml:space="preserve"> </w:t>
            </w:r>
            <w:r w:rsidRPr="00792D61">
              <w:rPr>
                <w:b/>
              </w:rPr>
              <w:t>[</w:t>
            </w:r>
            <w:r w:rsidRPr="008B4F3E">
              <w:t>Step Up Notes</w:t>
            </w:r>
            <w:r w:rsidRPr="00792D61">
              <w:rPr>
                <w:b/>
              </w:rPr>
              <w:t>]</w:t>
            </w:r>
            <w:r w:rsidRPr="008B4F3E">
              <w:t xml:space="preserve"> </w:t>
            </w:r>
            <w:r w:rsidRPr="00792D61">
              <w:rPr>
                <w:b/>
              </w:rPr>
              <w:t>[[</w:t>
            </w:r>
            <w:r>
              <w:rPr>
                <w:rFonts w:ascii="Arial" w:hAnsi="Arial" w:cs="Arial"/>
              </w:rPr>
              <w:t>●</w:t>
            </w:r>
            <w:r w:rsidRPr="00792D61">
              <w:rPr>
                <w:b/>
              </w:rPr>
              <w:t>]]</w:t>
            </w:r>
            <w:r w:rsidRPr="008B4F3E">
              <w:t xml:space="preserve"> </w:t>
            </w:r>
            <w:r w:rsidRPr="00792D61">
              <w:rPr>
                <w:b/>
              </w:rPr>
              <w:t>[</w:t>
            </w:r>
            <w:r w:rsidRPr="008B4F3E">
              <w:t>auf</w:t>
            </w:r>
            <w:r w:rsidRPr="00792D61">
              <w:rPr>
                <w:b/>
              </w:rPr>
              <w:t>]</w:t>
            </w:r>
            <w:r w:rsidRPr="008B4F3E">
              <w:t xml:space="preserve"> </w:t>
            </w:r>
            <w:r w:rsidRPr="00792D61">
              <w:rPr>
                <w:b/>
              </w:rPr>
              <w:t>[[</w:t>
            </w:r>
            <w:r>
              <w:rPr>
                <w:rFonts w:ascii="Arial" w:hAnsi="Arial" w:cs="Arial"/>
              </w:rPr>
              <w:t>●</w:t>
            </w:r>
            <w:r w:rsidRPr="00792D61">
              <w:rPr>
                <w:b/>
              </w:rPr>
              <w:t>]]</w:t>
            </w:r>
            <w:r w:rsidRPr="008B4F3E">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D4578" w:rsidP="00BB559C">
            <w:pPr>
              <w:pStyle w:val="CSBody8pt"/>
            </w:pPr>
            <w:r w:rsidRPr="005D4578">
              <w:t>SSPA Product Category</w:t>
            </w:r>
          </w:p>
        </w:tc>
        <w:tc>
          <w:tcPr>
            <w:tcW w:w="3315" w:type="dxa"/>
            <w:gridSpan w:val="7"/>
            <w:tcBorders>
              <w:top w:val="nil"/>
              <w:left w:val="nil"/>
              <w:bottom w:val="nil"/>
            </w:tcBorders>
            <w:shd w:val="clear" w:color="auto" w:fill="auto"/>
          </w:tcPr>
          <w:p w:rsidR="0017135D" w:rsidP="00BB559C">
            <w:pPr>
              <w:pStyle w:val="CSBody8ptbolditalics"/>
            </w:pPr>
            <w:r w:rsidRPr="00792D61">
              <w:t>[</w:t>
            </w:r>
            <w:r w:rsidRPr="005D4578">
              <w:t>in the case of Credit-Linked Complex Products:</w:t>
            </w:r>
          </w:p>
        </w:tc>
        <w:tc>
          <w:tcPr>
            <w:tcW w:w="1618" w:type="dxa"/>
            <w:gridSpan w:val="2"/>
            <w:tcBorders>
              <w:top w:val="nil"/>
              <w:bottom w:val="nil"/>
              <w:right w:val="nil"/>
            </w:tcBorders>
            <w:shd w:val="clear" w:color="auto" w:fill="auto"/>
          </w:tcPr>
          <w:p w:rsidR="0017135D" w:rsidRPr="002130C8" w:rsidP="00BB559C">
            <w:pPr>
              <w:pStyle w:val="CSBody8pt"/>
            </w:pPr>
            <w:r w:rsidRPr="002130C8">
              <w:t>SVSP Produktkategorie</w:t>
            </w:r>
          </w:p>
        </w:tc>
        <w:tc>
          <w:tcPr>
            <w:tcW w:w="3318" w:type="dxa"/>
            <w:gridSpan w:val="10"/>
            <w:tcBorders>
              <w:top w:val="nil"/>
              <w:left w:val="nil"/>
              <w:bottom w:val="nil"/>
              <w:right w:val="nil"/>
            </w:tcBorders>
            <w:shd w:val="clear" w:color="auto" w:fill="auto"/>
          </w:tcPr>
          <w:p w:rsidR="0017135D" w:rsidRPr="00BB559C" w:rsidP="00BB559C">
            <w:pPr>
              <w:pStyle w:val="CSBody8ptbolditalics"/>
            </w:pPr>
            <w:r w:rsidRPr="00792D61">
              <w:t>[</w:t>
            </w:r>
            <w:r w:rsidRPr="00BB559C">
              <w:t>bei Kreditbezogenen Komplexen Produkten: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D38C6" w:rsidP="00BB559C">
            <w:pPr>
              <w:pStyle w:val="CSBody8pt"/>
            </w:pPr>
          </w:p>
        </w:tc>
        <w:tc>
          <w:tcPr>
            <w:tcW w:w="3315" w:type="dxa"/>
            <w:gridSpan w:val="7"/>
            <w:tcBorders>
              <w:top w:val="nil"/>
              <w:left w:val="nil"/>
              <w:bottom w:val="nil"/>
            </w:tcBorders>
            <w:shd w:val="clear" w:color="auto" w:fill="auto"/>
          </w:tcPr>
          <w:p w:rsidR="0017135D" w:rsidP="00BB559C">
            <w:pPr>
              <w:pStyle w:val="CSBody8pt"/>
            </w:pPr>
            <w:r w:rsidRPr="00AD38C6">
              <w:t xml:space="preserve">Investment Products with Reference Entities, </w:t>
            </w:r>
            <w:r w:rsidRPr="00792D61">
              <w:rPr>
                <w:b/>
              </w:rPr>
              <w:t>[</w:t>
            </w:r>
            <w:r w:rsidRPr="00AD38C6">
              <w:t>Reference Entity Certificate with Conditional Capital Protection (1410</w:t>
            </w:r>
            <w:r w:rsidRPr="00792D61">
              <w:rPr>
                <w:b/>
              </w:rPr>
              <w:t>[</w:t>
            </w:r>
            <w:r w:rsidRPr="00AD38C6">
              <w:t>*</w:t>
            </w:r>
            <w:r w:rsidRPr="00792D61">
              <w:rPr>
                <w:b/>
              </w:rPr>
              <w:t>]</w:t>
            </w:r>
            <w:r w:rsidRPr="00AD38C6">
              <w:t>)</w:t>
            </w:r>
            <w:r w:rsidRPr="00792D61">
              <w:rPr>
                <w:b/>
              </w:rPr>
              <w:t>][</w:t>
            </w:r>
            <w:r w:rsidRPr="00AD38C6">
              <w:t>Reference Entity Certificate with Yield Enhancement (1420</w:t>
            </w:r>
            <w:r w:rsidRPr="00792D61">
              <w:rPr>
                <w:b/>
              </w:rPr>
              <w:t>[</w:t>
            </w:r>
            <w:r w:rsidRPr="00AD38C6">
              <w:t>*</w:t>
            </w:r>
            <w:r w:rsidRPr="00792D61">
              <w:rPr>
                <w:b/>
              </w:rPr>
              <w:t>]</w:t>
            </w:r>
            <w:r w:rsidRPr="00AD38C6">
              <w:t>)</w:t>
            </w:r>
            <w:r w:rsidRPr="00792D61">
              <w:rPr>
                <w:b/>
              </w:rPr>
              <w:t>]</w:t>
            </w:r>
            <w:r w:rsidRPr="00AD38C6">
              <w:t xml:space="preserve"> </w:t>
            </w:r>
            <w:r w:rsidRPr="00792D61">
              <w:rPr>
                <w:b/>
              </w:rPr>
              <w:t>[</w:t>
            </w:r>
            <w:r w:rsidRPr="00AD38C6">
              <w:t>Reference Entity Certificate with Participation (1430</w:t>
            </w:r>
            <w:r w:rsidRPr="00792D61">
              <w:rPr>
                <w:b/>
              </w:rPr>
              <w:t>[</w:t>
            </w:r>
            <w:r w:rsidRPr="00AD38C6">
              <w:t>*</w:t>
            </w:r>
            <w:r w:rsidRPr="00792D61">
              <w:rPr>
                <w:b/>
              </w:rPr>
              <w:t>]</w:t>
            </w:r>
            <w:r w:rsidRPr="00AD38C6">
              <w:t>)</w:t>
            </w:r>
            <w:r w:rsidRPr="00792D61">
              <w:rPr>
                <w:b/>
              </w:rPr>
              <w:t>]</w:t>
            </w:r>
            <w:r w:rsidRPr="00AD38C6">
              <w:t xml:space="preserve">, see SSPA Swiss Derivative Map at </w:t>
            </w:r>
            <w:r w:rsidRPr="00BB559C">
              <w:rPr>
                <w:b/>
                <w:color w:val="7898B3"/>
              </w:rPr>
              <w:t>www.sspa-association.ch</w:t>
            </w:r>
          </w:p>
        </w:tc>
        <w:tc>
          <w:tcPr>
            <w:tcW w:w="1618" w:type="dxa"/>
            <w:gridSpan w:val="2"/>
            <w:tcBorders>
              <w:top w:val="nil"/>
              <w:bottom w:val="nil"/>
              <w:right w:val="nil"/>
            </w:tcBorders>
            <w:shd w:val="clear" w:color="auto" w:fill="auto"/>
          </w:tcPr>
          <w:p w:rsidR="0017135D" w:rsidRPr="00891C12" w:rsidP="00BB559C">
            <w:pPr>
              <w:pStyle w:val="CSBody8pt"/>
            </w:pPr>
          </w:p>
        </w:tc>
        <w:tc>
          <w:tcPr>
            <w:tcW w:w="3318" w:type="dxa"/>
            <w:gridSpan w:val="10"/>
            <w:tcBorders>
              <w:top w:val="nil"/>
              <w:left w:val="nil"/>
              <w:bottom w:val="nil"/>
              <w:right w:val="nil"/>
            </w:tcBorders>
            <w:shd w:val="clear" w:color="auto" w:fill="auto"/>
          </w:tcPr>
          <w:p w:rsidR="0017135D" w:rsidRPr="003D4711" w:rsidP="00BB559C">
            <w:pPr>
              <w:pStyle w:val="CSBody8pt"/>
              <w:rPr>
                <w:lang w:val="de-DE"/>
              </w:rPr>
            </w:pPr>
            <w:r w:rsidRPr="003D4711">
              <w:rPr>
                <w:lang w:val="de-DE"/>
              </w:rPr>
              <w:t xml:space="preserve">Anlageprodukte mit Referenzschuldner, </w:t>
            </w:r>
            <w:r w:rsidRPr="00792D61">
              <w:rPr>
                <w:b/>
                <w:lang w:val="de-DE"/>
              </w:rPr>
              <w:t>[</w:t>
            </w:r>
            <w:r w:rsidRPr="003D4711">
              <w:rPr>
                <w:lang w:val="de-DE"/>
              </w:rPr>
              <w:t>Referenzschuldner-Zertifikat mit Bedingtem Kapitalschutz (1410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Referenzschuldner-Zertifikat mit Renditeoptimierung (1420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 xml:space="preserve"> </w:t>
            </w:r>
            <w:r w:rsidRPr="00792D61">
              <w:rPr>
                <w:b/>
                <w:lang w:val="de-DE"/>
              </w:rPr>
              <w:t>[</w:t>
            </w:r>
            <w:r w:rsidRPr="003D4711">
              <w:rPr>
                <w:lang w:val="de-DE"/>
              </w:rPr>
              <w:t>Referenzschuldner-Zertifikat mit Partizipation (1430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 xml:space="preserve">, siehe SVSP Swiss Derivative Map unter </w:t>
            </w:r>
            <w:r w:rsidRPr="00BB559C">
              <w:rPr>
                <w:b/>
                <w:color w:val="7898B3"/>
                <w:lang w:val="de-DE"/>
              </w:rPr>
              <w:t>www.svsp-verband.ch</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BB559C">
            <w:pPr>
              <w:pStyle w:val="CSBody8pt"/>
              <w:rPr>
                <w:lang w:val="de-DE"/>
              </w:rPr>
            </w:pPr>
          </w:p>
        </w:tc>
        <w:tc>
          <w:tcPr>
            <w:tcW w:w="3315" w:type="dxa"/>
            <w:gridSpan w:val="7"/>
            <w:tcBorders>
              <w:top w:val="nil"/>
              <w:left w:val="nil"/>
              <w:bottom w:val="nil"/>
            </w:tcBorders>
            <w:shd w:val="clear" w:color="auto" w:fill="auto"/>
          </w:tcPr>
          <w:p w:rsidR="0017135D" w:rsidRPr="003D4711" w:rsidP="00BB559C">
            <w:pPr>
              <w:pStyle w:val="CSBody8pt"/>
            </w:pPr>
            <w:r w:rsidRPr="00792D61">
              <w:rPr>
                <w:b/>
              </w:rPr>
              <w:t>[</w:t>
            </w:r>
            <w:r w:rsidRPr="00BB559C">
              <w:rPr>
                <w:b/>
                <w:i/>
              </w:rPr>
              <w:t>in the case of Complex Products with a star (*), insert the following text:</w:t>
            </w:r>
            <w:r w:rsidRPr="003D4711">
              <w:t xml:space="preserve"> The Swiss Structured Products Association's classification number set forth above is marked with a star (*), which means that the characteristics of the Complex Products differ slightly from those of </w:t>
            </w:r>
            <w:r w:rsidRPr="00792D61">
              <w:rPr>
                <w:b/>
              </w:rPr>
              <w:t>[</w:t>
            </w:r>
            <w:r w:rsidRPr="003D4711">
              <w:t>Reference Entity Certificate with Conditional Capital Protection (1410)</w:t>
            </w:r>
            <w:r w:rsidRPr="00792D61">
              <w:rPr>
                <w:b/>
              </w:rPr>
              <w:t>][</w:t>
            </w:r>
            <w:r w:rsidRPr="003D4711">
              <w:t>Reference Entity Certificate with Yield Enhancement (1420)</w:t>
            </w:r>
            <w:r w:rsidRPr="00792D61">
              <w:rPr>
                <w:b/>
              </w:rPr>
              <w:t>][</w:t>
            </w:r>
            <w:r w:rsidRPr="003D4711">
              <w:t>Reference Entity Certificate with Participation (1430)</w:t>
            </w:r>
            <w:r w:rsidRPr="00792D61">
              <w:rPr>
                <w:b/>
              </w:rPr>
              <w:t>]</w:t>
            </w:r>
            <w:r w:rsidRPr="003D4711">
              <w:t>, as described in the SSPA Swiss Derivative Map.</w:t>
            </w:r>
            <w:r w:rsidRPr="00792D61">
              <w:rPr>
                <w:b/>
              </w:rPr>
              <w:t>]]</w:t>
            </w:r>
          </w:p>
        </w:tc>
        <w:tc>
          <w:tcPr>
            <w:tcW w:w="1618" w:type="dxa"/>
            <w:gridSpan w:val="2"/>
            <w:tcBorders>
              <w:top w:val="nil"/>
              <w:bottom w:val="nil"/>
              <w:right w:val="nil"/>
            </w:tcBorders>
            <w:shd w:val="clear" w:color="auto" w:fill="auto"/>
          </w:tcPr>
          <w:p w:rsidR="0017135D" w:rsidRPr="003D4711" w:rsidP="00BB559C">
            <w:pPr>
              <w:pStyle w:val="CSBody8pt"/>
            </w:pPr>
          </w:p>
        </w:tc>
        <w:tc>
          <w:tcPr>
            <w:tcW w:w="3318" w:type="dxa"/>
            <w:gridSpan w:val="10"/>
            <w:tcBorders>
              <w:top w:val="nil"/>
              <w:left w:val="nil"/>
              <w:bottom w:val="nil"/>
              <w:right w:val="nil"/>
            </w:tcBorders>
            <w:shd w:val="clear" w:color="auto" w:fill="auto"/>
          </w:tcPr>
          <w:p w:rsidR="0017135D" w:rsidRPr="003D4711">
            <w:pPr>
              <w:pStyle w:val="CSBody8pt"/>
              <w:rPr>
                <w:lang w:val="de-DE"/>
              </w:rPr>
            </w:pPr>
            <w:r w:rsidRPr="00792D61">
              <w:rPr>
                <w:b/>
                <w:lang w:val="de-DE"/>
              </w:rPr>
              <w:t>[</w:t>
            </w:r>
            <w:r w:rsidRPr="00BB559C">
              <w:rPr>
                <w:b/>
                <w:i/>
                <w:lang w:val="de-DE"/>
              </w:rPr>
              <w:t>bei Komplexen Produkten, die mit einem Stern (*) gekennzeichnet sind, ist der nachfolgende Text einzufügen:</w:t>
            </w:r>
            <w:r w:rsidRPr="003D4711">
              <w:rPr>
                <w:lang w:val="de-DE"/>
              </w:rPr>
              <w:t xml:space="preserve"> Die vorstehend angegebene Klassifizierungsnummer des Schweizerischen Verbands für Strukturierte Produkte ist mit einem Stern (*) gekennzeichnet; dies bedeutet, dass sich die Merkmale der Komplexen Produkte geringfügig von den in der SVSP Swiss Derivative Map beschriebenen Merkmalen von </w:t>
            </w:r>
            <w:r w:rsidRPr="00792D61">
              <w:rPr>
                <w:b/>
                <w:lang w:val="de-DE"/>
              </w:rPr>
              <w:t>[</w:t>
            </w:r>
            <w:r w:rsidRPr="003D4711">
              <w:rPr>
                <w:lang w:val="de-DE"/>
              </w:rPr>
              <w:t>Referenzschuldner-Zertifikat mit Bedingtem Kapitalschutz (1410)</w:t>
            </w:r>
            <w:r w:rsidRPr="00792D61">
              <w:rPr>
                <w:b/>
                <w:lang w:val="de-DE"/>
              </w:rPr>
              <w:t>][</w:t>
            </w:r>
            <w:r w:rsidRPr="003D4711">
              <w:rPr>
                <w:lang w:val="de-DE"/>
              </w:rPr>
              <w:t>Referenzschuldner-Zertifikaten mit Renditeoptimierung (1420)</w:t>
            </w:r>
            <w:r w:rsidRPr="00792D61">
              <w:rPr>
                <w:b/>
                <w:lang w:val="de-DE"/>
              </w:rPr>
              <w:t>]</w:t>
            </w:r>
            <w:r w:rsidRPr="003D4711">
              <w:rPr>
                <w:lang w:val="de-DE"/>
              </w:rPr>
              <w:t xml:space="preserve"> </w:t>
            </w:r>
            <w:r w:rsidRPr="00792D61">
              <w:rPr>
                <w:b/>
                <w:lang w:val="de-DE"/>
              </w:rPr>
              <w:t>[</w:t>
            </w:r>
            <w:r w:rsidRPr="003D4711">
              <w:rPr>
                <w:lang w:val="de-DE"/>
              </w:rPr>
              <w:t>Referenzschuldner-Zertifikaten mit Partizipation (1430)</w:t>
            </w:r>
            <w:r w:rsidRPr="00792D61">
              <w:rPr>
                <w:b/>
                <w:lang w:val="de-DE"/>
              </w:rPr>
              <w:t>]</w:t>
            </w:r>
            <w:r w:rsidRPr="003D4711">
              <w:rPr>
                <w:lang w:val="de-DE"/>
              </w:rPr>
              <w:t xml:space="preserve"> unterscheiden.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A457E7">
            <w:pPr>
              <w:pStyle w:val="CSBody0"/>
              <w:rPr>
                <w:lang w:val="de-DE"/>
              </w:rPr>
            </w:pPr>
          </w:p>
        </w:tc>
        <w:tc>
          <w:tcPr>
            <w:tcW w:w="3315" w:type="dxa"/>
            <w:gridSpan w:val="7"/>
            <w:tcBorders>
              <w:top w:val="nil"/>
              <w:left w:val="nil"/>
              <w:bottom w:val="nil"/>
            </w:tcBorders>
            <w:shd w:val="clear" w:color="auto" w:fill="auto"/>
          </w:tcPr>
          <w:p w:rsidR="0017135D" w:rsidRPr="003D4711" w:rsidP="00BB559C">
            <w:pPr>
              <w:pStyle w:val="CSBody8ptbolditalics"/>
            </w:pPr>
            <w:r w:rsidRPr="00792D61">
              <w:t>[</w:t>
            </w:r>
            <w:r w:rsidRPr="003D4711">
              <w:t>in the case of Complex Products with protection of the invested capital equal to or greater than 90% of the Denomination:</w:t>
            </w:r>
          </w:p>
        </w:tc>
        <w:tc>
          <w:tcPr>
            <w:tcW w:w="1618" w:type="dxa"/>
            <w:gridSpan w:val="2"/>
            <w:tcBorders>
              <w:top w:val="nil"/>
              <w:bottom w:val="nil"/>
              <w:right w:val="nil"/>
            </w:tcBorders>
            <w:shd w:val="clear" w:color="auto" w:fill="auto"/>
          </w:tcPr>
          <w:p w:rsidR="0017135D" w:rsidRPr="003D4711" w:rsidP="00BB559C">
            <w:pPr>
              <w:pStyle w:val="CSBody8ptbolditalics"/>
            </w:pPr>
          </w:p>
        </w:tc>
        <w:tc>
          <w:tcPr>
            <w:tcW w:w="3318" w:type="dxa"/>
            <w:gridSpan w:val="10"/>
            <w:tcBorders>
              <w:top w:val="nil"/>
              <w:left w:val="nil"/>
              <w:bottom w:val="nil"/>
              <w:right w:val="nil"/>
            </w:tcBorders>
            <w:shd w:val="clear" w:color="auto" w:fill="auto"/>
          </w:tcPr>
          <w:p w:rsidR="0017135D" w:rsidRPr="003D4711" w:rsidP="00BB559C">
            <w:pPr>
              <w:pStyle w:val="CSBody8ptbolditalics"/>
              <w:rPr>
                <w:lang w:val="de-DE"/>
              </w:rPr>
            </w:pPr>
            <w:r w:rsidRPr="00792D61">
              <w:rPr>
                <w:lang w:val="de-DE"/>
              </w:rPr>
              <w:t>[</w:t>
            </w:r>
            <w:r w:rsidRPr="003D4711">
              <w:rPr>
                <w:lang w:val="de-DE"/>
              </w:rPr>
              <w:t>bei Komplexen Produkten mit Schutz des investierten Kapitals in Höhe von mindestens 90% der Stückelung:</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A457E7">
            <w:pPr>
              <w:pStyle w:val="CSBody0"/>
              <w:rPr>
                <w:lang w:val="de-DE"/>
              </w:rPr>
            </w:pPr>
          </w:p>
        </w:tc>
        <w:tc>
          <w:tcPr>
            <w:tcW w:w="3315" w:type="dxa"/>
            <w:gridSpan w:val="7"/>
            <w:tcBorders>
              <w:top w:val="nil"/>
              <w:left w:val="nil"/>
              <w:bottom w:val="nil"/>
            </w:tcBorders>
            <w:shd w:val="clear" w:color="auto" w:fill="auto"/>
          </w:tcPr>
          <w:p w:rsidR="0017135D" w:rsidRPr="003D4711" w:rsidP="00A457E7">
            <w:pPr>
              <w:pStyle w:val="CSBody0"/>
            </w:pPr>
            <w:r w:rsidRPr="003D4711">
              <w:t>Investment Products, Capital Protection,</w:t>
            </w:r>
            <w:r w:rsidRPr="00792D61">
              <w:rPr>
                <w:b/>
              </w:rPr>
              <w:t>[</w:t>
            </w:r>
            <w:r w:rsidRPr="003D4711">
              <w:t>Capital Protection Certificate with Participation (1100</w:t>
            </w:r>
            <w:r w:rsidRPr="00792D61">
              <w:rPr>
                <w:b/>
              </w:rPr>
              <w:t>[</w:t>
            </w:r>
            <w:r w:rsidRPr="003D4711">
              <w:t>*</w:t>
            </w:r>
            <w:r w:rsidRPr="00792D61">
              <w:rPr>
                <w:b/>
              </w:rPr>
              <w:t>]</w:t>
            </w:r>
            <w:r w:rsidRPr="003D4711">
              <w:t>)</w:t>
            </w:r>
            <w:r w:rsidRPr="00792D61">
              <w:rPr>
                <w:b/>
              </w:rPr>
              <w:t>][</w:t>
            </w:r>
            <w:r w:rsidRPr="003D4711">
              <w:t>Convertible Certificate (1110</w:t>
            </w:r>
            <w:r w:rsidRPr="00792D61">
              <w:rPr>
                <w:b/>
              </w:rPr>
              <w:t>[</w:t>
            </w:r>
            <w:r w:rsidRPr="003D4711">
              <w:t>*</w:t>
            </w:r>
            <w:r w:rsidRPr="00792D61">
              <w:rPr>
                <w:b/>
              </w:rPr>
              <w:t>]</w:t>
            </w:r>
            <w:r w:rsidRPr="003D4711">
              <w:t>)</w:t>
            </w:r>
            <w:r w:rsidRPr="00792D61">
              <w:rPr>
                <w:b/>
              </w:rPr>
              <w:t>][</w:t>
            </w:r>
            <w:r w:rsidRPr="003D4711">
              <w:t>Barrier Capital Proectection Certificate (1130</w:t>
            </w:r>
            <w:r w:rsidRPr="00792D61">
              <w:rPr>
                <w:b/>
              </w:rPr>
              <w:t>[</w:t>
            </w:r>
            <w:r w:rsidRPr="003D4711">
              <w:t>*</w:t>
            </w:r>
            <w:r w:rsidRPr="00792D61">
              <w:rPr>
                <w:b/>
              </w:rPr>
              <w:t>]</w:t>
            </w:r>
            <w:r w:rsidRPr="003D4711">
              <w:t>)</w:t>
            </w:r>
            <w:r w:rsidRPr="00792D61">
              <w:rPr>
                <w:b/>
              </w:rPr>
              <w:t>][</w:t>
            </w:r>
            <w:r w:rsidRPr="003D4711">
              <w:t>Capital Protection Certificate with Coupon (1140</w:t>
            </w:r>
            <w:r w:rsidRPr="00792D61">
              <w:rPr>
                <w:b/>
              </w:rPr>
              <w:t>[</w:t>
            </w:r>
            <w:r w:rsidRPr="003D4711">
              <w:t>*</w:t>
            </w:r>
            <w:r w:rsidRPr="00792D61">
              <w:rPr>
                <w:b/>
              </w:rPr>
              <w:t>]</w:t>
            </w:r>
            <w:r w:rsidRPr="003D4711">
              <w:t>)</w:t>
            </w:r>
            <w:r w:rsidRPr="00792D61">
              <w:rPr>
                <w:b/>
              </w:rPr>
              <w:t>][</w:t>
            </w:r>
            <w:r w:rsidRPr="003D4711">
              <w:t>Miscellaneous Captial Protection Certificates (1199)</w:t>
            </w:r>
            <w:r w:rsidRPr="00792D61">
              <w:rPr>
                <w:b/>
              </w:rPr>
              <w:t>]</w:t>
            </w:r>
            <w:r w:rsidRPr="003D4711">
              <w:t xml:space="preserve">, see SSPA Swiss Derivative Map at </w:t>
            </w:r>
            <w:r w:rsidRPr="00BB559C">
              <w:rPr>
                <w:b/>
                <w:color w:val="7898B3"/>
              </w:rPr>
              <w:t>www.sspa-association.ch</w:t>
            </w:r>
          </w:p>
        </w:tc>
        <w:tc>
          <w:tcPr>
            <w:tcW w:w="1618" w:type="dxa"/>
            <w:gridSpan w:val="2"/>
            <w:tcBorders>
              <w:top w:val="nil"/>
              <w:bottom w:val="nil"/>
              <w:right w:val="nil"/>
            </w:tcBorders>
            <w:shd w:val="clear" w:color="auto" w:fill="auto"/>
          </w:tcPr>
          <w:p w:rsidR="0017135D" w:rsidRPr="003D4711" w:rsidP="00E60155">
            <w:pPr>
              <w:pStyle w:val="CSBody0"/>
            </w:pPr>
          </w:p>
        </w:tc>
        <w:tc>
          <w:tcPr>
            <w:tcW w:w="3318" w:type="dxa"/>
            <w:gridSpan w:val="10"/>
            <w:tcBorders>
              <w:top w:val="nil"/>
              <w:left w:val="nil"/>
              <w:bottom w:val="nil"/>
              <w:right w:val="nil"/>
            </w:tcBorders>
            <w:shd w:val="clear" w:color="auto" w:fill="auto"/>
          </w:tcPr>
          <w:p w:rsidR="0017135D" w:rsidRPr="003D4711" w:rsidP="00E60155">
            <w:pPr>
              <w:pStyle w:val="CSBody0"/>
              <w:rPr>
                <w:lang w:val="de-DE"/>
              </w:rPr>
            </w:pPr>
            <w:r w:rsidRPr="003D4711">
              <w:rPr>
                <w:lang w:val="de-DE"/>
              </w:rPr>
              <w:t xml:space="preserve">Anlageprodukte, Kapitalschutz, </w:t>
            </w:r>
            <w:r w:rsidRPr="00792D61">
              <w:rPr>
                <w:b/>
                <w:lang w:val="de-DE"/>
              </w:rPr>
              <w:t>[</w:t>
            </w:r>
            <w:r w:rsidRPr="003D4711">
              <w:rPr>
                <w:lang w:val="de-DE"/>
              </w:rPr>
              <w:t>Kapitalschutz-Zertifikat mit Partizipation (1100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 xml:space="preserve"> </w:t>
            </w:r>
            <w:r w:rsidRPr="00792D61">
              <w:rPr>
                <w:b/>
                <w:lang w:val="de-DE"/>
              </w:rPr>
              <w:t>[</w:t>
            </w:r>
            <w:r w:rsidRPr="003D4711">
              <w:rPr>
                <w:lang w:val="de-DE"/>
              </w:rPr>
              <w:t>Wandel-Zertifikat (1110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Kapitalschutz-Zertifikat mit Barriere (1130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Kapitalschutz-Zertifikat mit Coupon (1140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Weitere Kapitalschutz-Zertifikate (1199)</w:t>
            </w:r>
            <w:r w:rsidRPr="00792D61">
              <w:rPr>
                <w:b/>
                <w:lang w:val="de-DE"/>
              </w:rPr>
              <w:t>]</w:t>
            </w:r>
            <w:r w:rsidRPr="003D4711">
              <w:rPr>
                <w:lang w:val="de-DE"/>
              </w:rPr>
              <w:t xml:space="preserve">,, siehe SVSP Swiss Derivative Map unter </w:t>
            </w:r>
            <w:r w:rsidRPr="00BB559C">
              <w:rPr>
                <w:b/>
                <w:color w:val="7898B3"/>
                <w:lang w:val="de-DE"/>
              </w:rPr>
              <w:t>www.svsp-verband.ch</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BB559C">
            <w:pPr>
              <w:pStyle w:val="CSBody8pt"/>
              <w:rPr>
                <w:lang w:val="de-DE"/>
              </w:rPr>
            </w:pPr>
          </w:p>
        </w:tc>
        <w:tc>
          <w:tcPr>
            <w:tcW w:w="3315" w:type="dxa"/>
            <w:gridSpan w:val="7"/>
            <w:tcBorders>
              <w:top w:val="nil"/>
              <w:left w:val="nil"/>
              <w:bottom w:val="nil"/>
            </w:tcBorders>
            <w:shd w:val="clear" w:color="auto" w:fill="auto"/>
          </w:tcPr>
          <w:p w:rsidR="0017135D" w:rsidRPr="003D4711" w:rsidP="00BB559C">
            <w:pPr>
              <w:pStyle w:val="CSBody8pt"/>
            </w:pPr>
            <w:r w:rsidRPr="00792D61">
              <w:rPr>
                <w:b/>
              </w:rPr>
              <w:t>[</w:t>
            </w:r>
            <w:r w:rsidRPr="00BB559C">
              <w:rPr>
                <w:b/>
                <w:i/>
              </w:rPr>
              <w:t>in the case of Complex Products with a star (*), insert the following text:</w:t>
            </w:r>
            <w:r w:rsidRPr="003D4711">
              <w:t xml:space="preserve"> The Swiss Structured Products Association's classification number set forth above is marked with a star (*), which means that the characteristics of the Complex Products differ slightly from those of </w:t>
            </w:r>
            <w:r w:rsidRPr="00792D61">
              <w:rPr>
                <w:b/>
              </w:rPr>
              <w:t>[</w:t>
            </w:r>
            <w:r w:rsidRPr="003D4711">
              <w:t>Capital Protection Certificates with Participation (1100)</w:t>
            </w:r>
            <w:r w:rsidRPr="00792D61">
              <w:rPr>
                <w:b/>
              </w:rPr>
              <w:t>][</w:t>
            </w:r>
            <w:r w:rsidRPr="003D4711">
              <w:t>Convertible Certificates (1110)</w:t>
            </w:r>
            <w:r w:rsidRPr="00792D61">
              <w:rPr>
                <w:b/>
              </w:rPr>
              <w:t>][</w:t>
            </w:r>
            <w:r w:rsidRPr="003D4711">
              <w:t>Barrier Capital Protection Certificates (1130)</w:t>
            </w:r>
            <w:r w:rsidRPr="00792D61">
              <w:rPr>
                <w:b/>
              </w:rPr>
              <w:t>][</w:t>
            </w:r>
            <w:r w:rsidRPr="003D4711">
              <w:t>Capital Protection Certificates with Coupon (1140)</w:t>
            </w:r>
            <w:r w:rsidRPr="00792D61">
              <w:rPr>
                <w:b/>
              </w:rPr>
              <w:t>]</w:t>
            </w:r>
            <w:r w:rsidRPr="003D4711">
              <w:t>as described in the SSPA Swiss Derivative Map.</w:t>
            </w:r>
            <w:r w:rsidRPr="00792D61">
              <w:rPr>
                <w:b/>
              </w:rPr>
              <w:t>]]</w:t>
            </w:r>
          </w:p>
        </w:tc>
        <w:tc>
          <w:tcPr>
            <w:tcW w:w="1618" w:type="dxa"/>
            <w:gridSpan w:val="2"/>
            <w:tcBorders>
              <w:top w:val="nil"/>
              <w:bottom w:val="nil"/>
              <w:right w:val="nil"/>
            </w:tcBorders>
            <w:shd w:val="clear" w:color="auto" w:fill="auto"/>
          </w:tcPr>
          <w:p w:rsidR="0017135D" w:rsidRPr="003D4711" w:rsidP="00BB559C">
            <w:pPr>
              <w:pStyle w:val="CSBody8pt"/>
            </w:pPr>
          </w:p>
        </w:tc>
        <w:tc>
          <w:tcPr>
            <w:tcW w:w="3318" w:type="dxa"/>
            <w:gridSpan w:val="10"/>
            <w:tcBorders>
              <w:top w:val="nil"/>
              <w:left w:val="nil"/>
              <w:bottom w:val="nil"/>
              <w:right w:val="nil"/>
            </w:tcBorders>
            <w:shd w:val="clear" w:color="auto" w:fill="auto"/>
          </w:tcPr>
          <w:p w:rsidR="0017135D" w:rsidRPr="003D4711" w:rsidP="00BB559C">
            <w:pPr>
              <w:pStyle w:val="CSBody8pt"/>
              <w:rPr>
                <w:lang w:val="de-DE"/>
              </w:rPr>
            </w:pPr>
            <w:r w:rsidRPr="00792D61">
              <w:rPr>
                <w:b/>
                <w:lang w:val="de-DE"/>
              </w:rPr>
              <w:t>[</w:t>
            </w:r>
            <w:r w:rsidRPr="00BB559C">
              <w:rPr>
                <w:b/>
                <w:i/>
                <w:lang w:val="de-DE"/>
              </w:rPr>
              <w:t>bei Komplexen Produkten, die mit einem Stern (*) gekennzeichnet sind, ist der nachfolgende Text einzufügen:</w:t>
            </w:r>
            <w:r w:rsidRPr="003D4711">
              <w:rPr>
                <w:lang w:val="de-DE"/>
              </w:rPr>
              <w:t xml:space="preserve"> Die vorstehend angegebene Klassifizierungsnummer des Schweizerischen Verbands für Strukturierte Produkte ist mit einem Stern (*) gekennzeichnet; dies bedeutet, dass sich die Merkmale der Komplexen Produkte geringfügig von den in der SVSP Swiss Derivative Map beschriebenen Merkmalen von </w:t>
            </w:r>
            <w:r w:rsidRPr="00792D61">
              <w:rPr>
                <w:b/>
                <w:lang w:val="de-DE"/>
              </w:rPr>
              <w:t>[</w:t>
            </w:r>
            <w:r w:rsidRPr="003D4711">
              <w:rPr>
                <w:lang w:val="de-DE"/>
              </w:rPr>
              <w:t>Kapitalschutz-Zertifikaten mit Partizipation (1100)</w:t>
            </w:r>
            <w:r w:rsidRPr="00792D61">
              <w:rPr>
                <w:b/>
                <w:lang w:val="de-DE"/>
              </w:rPr>
              <w:t>][</w:t>
            </w:r>
            <w:r w:rsidRPr="003D4711">
              <w:rPr>
                <w:lang w:val="de-DE"/>
              </w:rPr>
              <w:t>Wandel-Zertifikaten (1110)</w:t>
            </w:r>
            <w:r w:rsidRPr="00792D61">
              <w:rPr>
                <w:b/>
                <w:lang w:val="de-DE"/>
              </w:rPr>
              <w:t>][</w:t>
            </w:r>
            <w:r w:rsidRPr="003D4711">
              <w:rPr>
                <w:lang w:val="de-DE"/>
              </w:rPr>
              <w:t>Kapitalschutz-Zertifikaten mit Barriere (1130)</w:t>
            </w:r>
            <w:r w:rsidRPr="00792D61">
              <w:rPr>
                <w:b/>
                <w:lang w:val="de-DE"/>
              </w:rPr>
              <w:t>][</w:t>
            </w:r>
            <w:r w:rsidRPr="003D4711">
              <w:rPr>
                <w:lang w:val="de-DE"/>
              </w:rPr>
              <w:t>Kapitalschutz-Zertifikaten mit Coupon (1140)</w:t>
            </w:r>
            <w:r w:rsidRPr="00792D61">
              <w:rPr>
                <w:b/>
                <w:lang w:val="de-DE"/>
              </w:rPr>
              <w:t>]</w:t>
            </w:r>
            <w:r w:rsidRPr="003D4711">
              <w:rPr>
                <w:lang w:val="de-DE"/>
              </w:rPr>
              <w:t>unterscheiden.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A457E7">
            <w:pPr>
              <w:pStyle w:val="CSBody0"/>
              <w:rPr>
                <w:lang w:val="de-DE"/>
              </w:rPr>
            </w:pPr>
          </w:p>
        </w:tc>
        <w:tc>
          <w:tcPr>
            <w:tcW w:w="3315" w:type="dxa"/>
            <w:gridSpan w:val="7"/>
            <w:tcBorders>
              <w:top w:val="nil"/>
              <w:left w:val="nil"/>
              <w:bottom w:val="nil"/>
            </w:tcBorders>
            <w:shd w:val="clear" w:color="auto" w:fill="auto"/>
          </w:tcPr>
          <w:p w:rsidR="0017135D" w:rsidRPr="003D4711" w:rsidP="00BB559C">
            <w:pPr>
              <w:pStyle w:val="CSBody8ptbolditalics"/>
            </w:pPr>
            <w:r w:rsidRPr="00792D61">
              <w:t>[</w:t>
            </w:r>
            <w:r w:rsidRPr="003D4711">
              <w:t>in the case of Complex Products with protection of the invested capital of less than 90% of the Denomination:</w:t>
            </w:r>
          </w:p>
        </w:tc>
        <w:tc>
          <w:tcPr>
            <w:tcW w:w="1618" w:type="dxa"/>
            <w:gridSpan w:val="2"/>
            <w:tcBorders>
              <w:top w:val="nil"/>
              <w:bottom w:val="nil"/>
              <w:right w:val="nil"/>
            </w:tcBorders>
            <w:shd w:val="clear" w:color="auto" w:fill="auto"/>
          </w:tcPr>
          <w:p w:rsidR="0017135D" w:rsidRPr="003D4711" w:rsidP="00BB559C">
            <w:pPr>
              <w:pStyle w:val="CSBody8ptbolditalics"/>
            </w:pPr>
          </w:p>
        </w:tc>
        <w:tc>
          <w:tcPr>
            <w:tcW w:w="3318" w:type="dxa"/>
            <w:gridSpan w:val="10"/>
            <w:tcBorders>
              <w:top w:val="nil"/>
              <w:left w:val="nil"/>
              <w:bottom w:val="nil"/>
              <w:right w:val="nil"/>
            </w:tcBorders>
            <w:shd w:val="clear" w:color="auto" w:fill="auto"/>
          </w:tcPr>
          <w:p w:rsidR="0017135D" w:rsidRPr="003D4711" w:rsidP="00BB559C">
            <w:pPr>
              <w:pStyle w:val="CSBody8ptbolditalics"/>
              <w:rPr>
                <w:lang w:val="de-DE"/>
              </w:rPr>
            </w:pPr>
            <w:r w:rsidRPr="00792D61">
              <w:rPr>
                <w:lang w:val="de-DE"/>
              </w:rPr>
              <w:t>[</w:t>
            </w:r>
            <w:r w:rsidRPr="003D4711">
              <w:rPr>
                <w:lang w:val="de-DE"/>
              </w:rPr>
              <w:t>bei Komplexen Produkten mit Schutz des investierten Kapitals in Höhe von weniger als 90% der Stückelung:</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BB559C">
            <w:pPr>
              <w:pStyle w:val="CSBody8pt"/>
              <w:rPr>
                <w:lang w:val="de-DE"/>
              </w:rPr>
            </w:pPr>
          </w:p>
        </w:tc>
        <w:tc>
          <w:tcPr>
            <w:tcW w:w="3315" w:type="dxa"/>
            <w:gridSpan w:val="7"/>
            <w:tcBorders>
              <w:top w:val="nil"/>
              <w:left w:val="nil"/>
              <w:bottom w:val="nil"/>
            </w:tcBorders>
            <w:shd w:val="clear" w:color="auto" w:fill="auto"/>
          </w:tcPr>
          <w:p w:rsidR="0017135D" w:rsidRPr="004F5B4E" w:rsidP="00BB559C">
            <w:pPr>
              <w:pStyle w:val="CSBody8pt"/>
            </w:pPr>
            <w:r w:rsidRPr="00792D61">
              <w:rPr>
                <w:b/>
              </w:rPr>
              <w:t>[</w:t>
            </w:r>
            <w:r w:rsidRPr="004F5B4E">
              <w:t xml:space="preserve">Investment Products, Participation, </w:t>
            </w:r>
            <w:r w:rsidRPr="00792D61">
              <w:rPr>
                <w:b/>
              </w:rPr>
              <w:t>[</w:t>
            </w:r>
            <w:r w:rsidRPr="004F5B4E">
              <w:t>Tracker Certificates (1300</w:t>
            </w:r>
            <w:r w:rsidRPr="00792D61">
              <w:rPr>
                <w:b/>
              </w:rPr>
              <w:t>[</w:t>
            </w:r>
            <w:r w:rsidRPr="004F5B4E">
              <w:t>*</w:t>
            </w:r>
            <w:r w:rsidRPr="00792D61">
              <w:rPr>
                <w:b/>
              </w:rPr>
              <w:t>]</w:t>
            </w:r>
            <w:r w:rsidRPr="004F5B4E">
              <w:t>)</w:t>
            </w:r>
            <w:r w:rsidRPr="00792D61">
              <w:rPr>
                <w:b/>
              </w:rPr>
              <w:t>][</w:t>
            </w:r>
            <w:r w:rsidRPr="004F5B4E">
              <w:t>Outperformance Certificates (1310</w:t>
            </w:r>
            <w:r w:rsidRPr="00792D61">
              <w:rPr>
                <w:b/>
              </w:rPr>
              <w:t>[</w:t>
            </w:r>
            <w:r w:rsidRPr="004F5B4E">
              <w:t>*</w:t>
            </w:r>
            <w:r w:rsidRPr="00792D61">
              <w:rPr>
                <w:b/>
              </w:rPr>
              <w:t>][</w:t>
            </w:r>
            <w:r w:rsidRPr="004F5B4E">
              <w:t>Bonus Certificates (1320)</w:t>
            </w:r>
            <w:r w:rsidRPr="00792D61">
              <w:rPr>
                <w:b/>
              </w:rPr>
              <w:t>[</w:t>
            </w:r>
            <w:r w:rsidRPr="004F5B4E">
              <w:t>*</w:t>
            </w:r>
            <w:r w:rsidRPr="00792D61">
              <w:rPr>
                <w:b/>
              </w:rPr>
              <w:t>]</w:t>
            </w:r>
            <w:r w:rsidRPr="004F5B4E">
              <w:t>)</w:t>
            </w:r>
            <w:r w:rsidRPr="00792D61">
              <w:rPr>
                <w:b/>
              </w:rPr>
              <w:t>][</w:t>
            </w:r>
            <w:r w:rsidRPr="004F5B4E">
              <w:t>Outperformance Bonus Certificates (1330</w:t>
            </w:r>
            <w:r w:rsidRPr="00792D61">
              <w:rPr>
                <w:b/>
              </w:rPr>
              <w:t>[</w:t>
            </w:r>
            <w:r w:rsidRPr="004F5B4E">
              <w:t>*</w:t>
            </w:r>
            <w:r w:rsidRPr="00792D61">
              <w:rPr>
                <w:b/>
              </w:rPr>
              <w:t>]</w:t>
            </w:r>
            <w:r w:rsidRPr="004F5B4E">
              <w:t>)</w:t>
            </w:r>
            <w:r w:rsidRPr="00792D61">
              <w:rPr>
                <w:b/>
              </w:rPr>
              <w:t>]][</w:t>
            </w:r>
            <w:r w:rsidRPr="004F5B4E">
              <w:t>Twin-Win Certificates (1340</w:t>
            </w:r>
            <w:r w:rsidRPr="00792D61">
              <w:rPr>
                <w:b/>
              </w:rPr>
              <w:t>[</w:t>
            </w:r>
            <w:r w:rsidRPr="004F5B4E">
              <w:t>*</w:t>
            </w:r>
            <w:r w:rsidRPr="00792D61">
              <w:rPr>
                <w:b/>
              </w:rPr>
              <w:t>]</w:t>
            </w:r>
            <w:r w:rsidRPr="004F5B4E">
              <w:t>)</w:t>
            </w:r>
            <w:r w:rsidRPr="00792D61">
              <w:rPr>
                <w:b/>
              </w:rPr>
              <w:t>][</w:t>
            </w:r>
            <w:r w:rsidRPr="004F5B4E">
              <w:t>Miscellaneous Participation Certificates (1399)</w:t>
            </w:r>
            <w:r w:rsidRPr="00792D61">
              <w:rPr>
                <w:b/>
              </w:rPr>
              <w:t>]</w:t>
            </w:r>
            <w:r w:rsidRPr="004F5B4E">
              <w:t xml:space="preserve"> , see SSPA Swiss Derivative Map at </w:t>
            </w:r>
            <w:r w:rsidRPr="00BB559C">
              <w:rPr>
                <w:b/>
                <w:color w:val="7898B3"/>
              </w:rPr>
              <w:t>www.sspa-association.ch</w:t>
            </w:r>
          </w:p>
        </w:tc>
        <w:tc>
          <w:tcPr>
            <w:tcW w:w="1618" w:type="dxa"/>
            <w:gridSpan w:val="2"/>
            <w:tcBorders>
              <w:top w:val="nil"/>
              <w:bottom w:val="nil"/>
              <w:right w:val="nil"/>
            </w:tcBorders>
            <w:shd w:val="clear" w:color="auto" w:fill="auto"/>
          </w:tcPr>
          <w:p w:rsidR="0017135D" w:rsidRPr="003D4711" w:rsidP="00BB559C">
            <w:pPr>
              <w:pStyle w:val="CSBody8pt"/>
            </w:pPr>
          </w:p>
        </w:tc>
        <w:tc>
          <w:tcPr>
            <w:tcW w:w="3318" w:type="dxa"/>
            <w:gridSpan w:val="10"/>
            <w:tcBorders>
              <w:top w:val="nil"/>
              <w:left w:val="nil"/>
              <w:bottom w:val="nil"/>
              <w:right w:val="nil"/>
            </w:tcBorders>
            <w:shd w:val="clear" w:color="auto" w:fill="auto"/>
          </w:tcPr>
          <w:p w:rsidR="0017135D" w:rsidRPr="003D4711" w:rsidP="00BB559C">
            <w:pPr>
              <w:pStyle w:val="CSBody8pt"/>
              <w:rPr>
                <w:lang w:val="de-DE"/>
              </w:rPr>
            </w:pPr>
            <w:r w:rsidRPr="00792D61">
              <w:rPr>
                <w:b/>
                <w:lang w:val="de-DE"/>
              </w:rPr>
              <w:t>[</w:t>
            </w:r>
            <w:r w:rsidRPr="003D4711">
              <w:rPr>
                <w:lang w:val="de-DE"/>
              </w:rPr>
              <w:t xml:space="preserve">Anlageprodukte, Partizipation, </w:t>
            </w:r>
            <w:r w:rsidRPr="00792D61">
              <w:rPr>
                <w:b/>
                <w:lang w:val="de-DE"/>
              </w:rPr>
              <w:t>[</w:t>
            </w:r>
            <w:r w:rsidRPr="003D4711">
              <w:rPr>
                <w:lang w:val="de-DE"/>
              </w:rPr>
              <w:t>Tracker-Zertifikate (1300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 xml:space="preserve"> </w:t>
            </w:r>
            <w:r w:rsidRPr="00792D61">
              <w:rPr>
                <w:b/>
                <w:lang w:val="de-DE"/>
              </w:rPr>
              <w:t>[</w:t>
            </w:r>
            <w:r w:rsidRPr="003D4711">
              <w:rPr>
                <w:lang w:val="de-DE"/>
              </w:rPr>
              <w:t>Outperformance-Zertifikate (1310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Bonus-Zertifikate (1320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 xml:space="preserve"> </w:t>
            </w:r>
            <w:r w:rsidRPr="00792D61">
              <w:rPr>
                <w:b/>
                <w:lang w:val="de-DE"/>
              </w:rPr>
              <w:t>[</w:t>
            </w:r>
            <w:r w:rsidRPr="003D4711">
              <w:rPr>
                <w:lang w:val="de-DE"/>
              </w:rPr>
              <w:t>Outperformance-Bonus-Zertifikate (1330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Twin-Win-Zertifikate (1340</w:t>
            </w:r>
            <w:r w:rsidRPr="00792D61">
              <w:rPr>
                <w:b/>
                <w:lang w:val="de-DE"/>
              </w:rPr>
              <w:t>[</w:t>
            </w:r>
            <w:r w:rsidRPr="003D4711">
              <w:rPr>
                <w:lang w:val="de-DE"/>
              </w:rPr>
              <w:t>*</w:t>
            </w:r>
            <w:r w:rsidRPr="00792D61">
              <w:rPr>
                <w:b/>
                <w:lang w:val="de-DE"/>
              </w:rPr>
              <w:t>]</w:t>
            </w:r>
            <w:r w:rsidRPr="003D4711">
              <w:rPr>
                <w:lang w:val="de-DE"/>
              </w:rPr>
              <w:t>)</w:t>
            </w:r>
            <w:r w:rsidRPr="00792D61">
              <w:rPr>
                <w:b/>
                <w:lang w:val="de-DE"/>
              </w:rPr>
              <w:t>]</w:t>
            </w:r>
            <w:r w:rsidRPr="003D4711">
              <w:rPr>
                <w:lang w:val="de-DE"/>
              </w:rPr>
              <w:t xml:space="preserve"> </w:t>
            </w:r>
            <w:r w:rsidRPr="00792D61">
              <w:rPr>
                <w:b/>
                <w:lang w:val="de-DE"/>
              </w:rPr>
              <w:t>[</w:t>
            </w:r>
            <w:r w:rsidRPr="003D4711">
              <w:rPr>
                <w:lang w:val="de-DE"/>
              </w:rPr>
              <w:t>Weitere Partizipations-Zertifikate (1399)</w:t>
            </w:r>
            <w:r w:rsidRPr="00792D61">
              <w:rPr>
                <w:b/>
                <w:lang w:val="de-DE"/>
              </w:rPr>
              <w:t>]</w:t>
            </w:r>
            <w:r w:rsidRPr="003D4711">
              <w:rPr>
                <w:lang w:val="de-DE"/>
              </w:rPr>
              <w:t xml:space="preserve"> Diverse Par-tizipationsprodukte (1399)</w:t>
            </w:r>
            <w:r w:rsidRPr="00792D61">
              <w:rPr>
                <w:b/>
                <w:lang w:val="de-DE"/>
              </w:rPr>
              <w:t>]</w:t>
            </w:r>
            <w:r w:rsidRPr="003D4711">
              <w:rPr>
                <w:lang w:val="de-DE"/>
              </w:rPr>
              <w:t xml:space="preserve">, siehe SVSP Swiss Derivative Map unter </w:t>
            </w:r>
            <w:r w:rsidRPr="00BB559C">
              <w:rPr>
                <w:b/>
                <w:color w:val="7898B3"/>
                <w:lang w:val="de-DE"/>
              </w:rPr>
              <w:t>www.svsp-verband.ch</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BB559C">
            <w:pPr>
              <w:pStyle w:val="CSBody8pt"/>
              <w:rPr>
                <w:lang w:val="de-DE"/>
              </w:rPr>
            </w:pPr>
          </w:p>
        </w:tc>
        <w:tc>
          <w:tcPr>
            <w:tcW w:w="3315" w:type="dxa"/>
            <w:gridSpan w:val="7"/>
            <w:tcBorders>
              <w:top w:val="nil"/>
              <w:left w:val="nil"/>
              <w:bottom w:val="nil"/>
            </w:tcBorders>
            <w:shd w:val="clear" w:color="auto" w:fill="auto"/>
          </w:tcPr>
          <w:p w:rsidR="0017135D" w:rsidP="00BB559C">
            <w:pPr>
              <w:pStyle w:val="CSBody8pt"/>
            </w:pPr>
            <w:r w:rsidRPr="00792D61">
              <w:rPr>
                <w:b/>
              </w:rPr>
              <w:t>[</w:t>
            </w:r>
            <w:r w:rsidRPr="00BB559C">
              <w:rPr>
                <w:b/>
                <w:i/>
              </w:rPr>
              <w:t>in the case of Complex Products with a star (*), insert the following text:</w:t>
            </w:r>
            <w:r w:rsidRPr="004F5B4E">
              <w:t xml:space="preserve"> The Swiss Structured Products Association's classification number set forth above is marked with a star (*), which means that the characteristics of the Complex Products differ slightly from those of </w:t>
            </w:r>
            <w:r w:rsidRPr="00792D61">
              <w:rPr>
                <w:b/>
              </w:rPr>
              <w:t>[</w:t>
            </w:r>
            <w:r w:rsidRPr="004F5B4E">
              <w:t>Tracker Certificates (1300)</w:t>
            </w:r>
            <w:r w:rsidRPr="00792D61">
              <w:rPr>
                <w:b/>
              </w:rPr>
              <w:t>]</w:t>
            </w:r>
            <w:r w:rsidRPr="004F5B4E">
              <w:t xml:space="preserve"> </w:t>
            </w:r>
            <w:r w:rsidRPr="00792D61">
              <w:rPr>
                <w:b/>
              </w:rPr>
              <w:t>[</w:t>
            </w:r>
            <w:r w:rsidRPr="004F5B4E">
              <w:t>Outperformance Certificates (1310)</w:t>
            </w:r>
            <w:r w:rsidRPr="00792D61">
              <w:rPr>
                <w:b/>
              </w:rPr>
              <w:t>][</w:t>
            </w:r>
            <w:r w:rsidRPr="004F5B4E">
              <w:t>Bonus Certificates (1320)</w:t>
            </w:r>
            <w:r w:rsidRPr="00792D61">
              <w:rPr>
                <w:b/>
              </w:rPr>
              <w:t>][</w:t>
            </w:r>
            <w:r w:rsidRPr="004F5B4E">
              <w:t>Outperformance Bonus Certificates (1330)</w:t>
            </w:r>
            <w:r w:rsidRPr="00792D61">
              <w:rPr>
                <w:b/>
              </w:rPr>
              <w:t>][</w:t>
            </w:r>
            <w:r w:rsidRPr="004F5B4E">
              <w:t>Twin-Win Certificates (1340)</w:t>
            </w:r>
            <w:r w:rsidRPr="00792D61">
              <w:rPr>
                <w:b/>
              </w:rPr>
              <w:t>]</w:t>
            </w:r>
            <w:r w:rsidRPr="004F5B4E">
              <w:t>, as described in the SSPA Swiss Derivative Map.</w:t>
            </w:r>
            <w:r w:rsidRPr="00792D61">
              <w:rPr>
                <w:b/>
              </w:rPr>
              <w:t>]]</w:t>
            </w:r>
          </w:p>
        </w:tc>
        <w:tc>
          <w:tcPr>
            <w:tcW w:w="1618" w:type="dxa"/>
            <w:gridSpan w:val="2"/>
            <w:tcBorders>
              <w:top w:val="nil"/>
              <w:bottom w:val="nil"/>
              <w:right w:val="nil"/>
            </w:tcBorders>
            <w:shd w:val="clear" w:color="auto" w:fill="auto"/>
          </w:tcPr>
          <w:p w:rsidR="0017135D" w:rsidRPr="003D4711" w:rsidP="00BB559C">
            <w:pPr>
              <w:pStyle w:val="CSBody8pt"/>
            </w:pPr>
          </w:p>
        </w:tc>
        <w:tc>
          <w:tcPr>
            <w:tcW w:w="3318" w:type="dxa"/>
            <w:gridSpan w:val="10"/>
            <w:tcBorders>
              <w:top w:val="nil"/>
              <w:left w:val="nil"/>
              <w:bottom w:val="nil"/>
              <w:right w:val="nil"/>
            </w:tcBorders>
            <w:shd w:val="clear" w:color="auto" w:fill="auto"/>
          </w:tcPr>
          <w:p w:rsidR="0017135D" w:rsidRPr="003D4711" w:rsidP="00BB559C">
            <w:pPr>
              <w:pStyle w:val="CSBody8pt"/>
              <w:rPr>
                <w:lang w:val="de-DE"/>
              </w:rPr>
            </w:pPr>
            <w:r w:rsidRPr="00792D61">
              <w:rPr>
                <w:b/>
                <w:lang w:val="de-DE"/>
              </w:rPr>
              <w:t>[</w:t>
            </w:r>
            <w:r w:rsidRPr="00BB559C">
              <w:rPr>
                <w:b/>
                <w:i/>
                <w:lang w:val="de-DE"/>
              </w:rPr>
              <w:t>bei Komplexen Produkten, die mit einem Stern (*) gekennzeichnet sind, ist der nachfolgende Text einzufügen:</w:t>
            </w:r>
            <w:r w:rsidRPr="003D4711">
              <w:rPr>
                <w:lang w:val="de-DE"/>
              </w:rPr>
              <w:t xml:space="preserve"> Die vorstehend angegebene Klassifizierungsnummer des Schweizerischen Verbands für Strukturierte Produkte ist mit einem Stern (*) gekennzeichnet; dies bedeutet, dass sich die Merkmale der Komplexen Produkte geringfügig von den in der SVSP Swiss Derivative Map beschriebenen Merkmalen von </w:t>
            </w:r>
            <w:r w:rsidRPr="00792D61">
              <w:rPr>
                <w:b/>
                <w:lang w:val="de-DE"/>
              </w:rPr>
              <w:t>[</w:t>
            </w:r>
            <w:r w:rsidRPr="003D4711">
              <w:rPr>
                <w:lang w:val="de-DE"/>
              </w:rPr>
              <w:t>Tracker-Zertifikaten (1300)</w:t>
            </w:r>
            <w:r w:rsidRPr="00792D61">
              <w:rPr>
                <w:b/>
                <w:lang w:val="de-DE"/>
              </w:rPr>
              <w:t>][</w:t>
            </w:r>
            <w:r w:rsidRPr="003D4711">
              <w:rPr>
                <w:lang w:val="de-DE"/>
              </w:rPr>
              <w:t>Outperformance-Zertifikaten (1310)</w:t>
            </w:r>
            <w:r w:rsidRPr="00792D61">
              <w:rPr>
                <w:b/>
                <w:lang w:val="de-DE"/>
              </w:rPr>
              <w:t>][</w:t>
            </w:r>
            <w:r w:rsidRPr="003D4711">
              <w:rPr>
                <w:lang w:val="de-DE"/>
              </w:rPr>
              <w:t>Bonus-Zertifikaten (1330)</w:t>
            </w:r>
            <w:r w:rsidRPr="00792D61">
              <w:rPr>
                <w:b/>
                <w:lang w:val="de-DE"/>
              </w:rPr>
              <w:t>][</w:t>
            </w:r>
            <w:r w:rsidRPr="003D4711">
              <w:rPr>
                <w:lang w:val="de-DE"/>
              </w:rPr>
              <w:t>Twin-Win-Zertifikaten (1340)</w:t>
            </w:r>
            <w:r w:rsidRPr="00792D61">
              <w:rPr>
                <w:b/>
                <w:lang w:val="de-DE"/>
              </w:rPr>
              <w:t>]</w:t>
            </w:r>
            <w:r w:rsidRPr="003D4711">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C338DB" w:rsidRPr="00C338DB" w:rsidP="00BB559C">
            <w:pPr>
              <w:pStyle w:val="CSBody8pt"/>
              <w:rPr>
                <w:lang w:val="de-DE"/>
              </w:rPr>
            </w:pPr>
          </w:p>
        </w:tc>
        <w:tc>
          <w:tcPr>
            <w:tcW w:w="3315" w:type="dxa"/>
            <w:gridSpan w:val="7"/>
            <w:tcBorders>
              <w:top w:val="nil"/>
              <w:left w:val="nil"/>
              <w:bottom w:val="nil"/>
            </w:tcBorders>
            <w:shd w:val="clear" w:color="auto" w:fill="auto"/>
          </w:tcPr>
          <w:p w:rsidR="00C338DB" w:rsidRPr="00BD6E0D" w:rsidP="00BB559C">
            <w:pPr>
              <w:pStyle w:val="CSBody8pt"/>
            </w:pPr>
            <w:r w:rsidRPr="00C338DB">
              <w:rPr>
                <w:b/>
              </w:rPr>
              <w:t>[</w:t>
            </w:r>
            <w:r w:rsidRPr="00BD6E0D">
              <w:t>Not classified</w:t>
            </w:r>
            <w:r w:rsidRPr="00C338DB">
              <w:rPr>
                <w:b/>
              </w:rPr>
              <w:t>]</w:t>
            </w:r>
          </w:p>
        </w:tc>
        <w:tc>
          <w:tcPr>
            <w:tcW w:w="1618" w:type="dxa"/>
            <w:gridSpan w:val="2"/>
            <w:tcBorders>
              <w:top w:val="nil"/>
              <w:bottom w:val="nil"/>
              <w:right w:val="nil"/>
            </w:tcBorders>
            <w:shd w:val="clear" w:color="auto" w:fill="auto"/>
          </w:tcPr>
          <w:p w:rsidR="00C338DB" w:rsidRPr="00C338DB" w:rsidP="00BB559C">
            <w:pPr>
              <w:pStyle w:val="CSBody8pt"/>
            </w:pPr>
          </w:p>
        </w:tc>
        <w:tc>
          <w:tcPr>
            <w:tcW w:w="3318" w:type="dxa"/>
            <w:gridSpan w:val="10"/>
            <w:tcBorders>
              <w:top w:val="nil"/>
              <w:left w:val="nil"/>
              <w:bottom w:val="nil"/>
              <w:right w:val="nil"/>
            </w:tcBorders>
            <w:shd w:val="clear" w:color="auto" w:fill="auto"/>
          </w:tcPr>
          <w:p w:rsidR="00C338DB" w:rsidRPr="00BD6E0D" w:rsidP="00BB559C">
            <w:pPr>
              <w:pStyle w:val="CSBody8pt"/>
              <w:rPr>
                <w:lang w:val="de-DE"/>
              </w:rPr>
            </w:pPr>
            <w:r w:rsidRPr="00C338DB">
              <w:rPr>
                <w:b/>
                <w:lang w:val="de-DE"/>
              </w:rPr>
              <w:t>[</w:t>
            </w:r>
            <w:r w:rsidRPr="00BD6E0D">
              <w:rPr>
                <w:lang w:val="de-DE"/>
              </w:rPr>
              <w:t>Keiner Kategorie zugewiesen</w:t>
            </w:r>
            <w:r w:rsidRPr="00C338DB">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BB559C">
            <w:pPr>
              <w:pStyle w:val="CSBody8pt"/>
              <w:rPr>
                <w:lang w:val="de-DE"/>
              </w:rPr>
            </w:pPr>
          </w:p>
        </w:tc>
        <w:tc>
          <w:tcPr>
            <w:tcW w:w="3315" w:type="dxa"/>
            <w:gridSpan w:val="7"/>
            <w:tcBorders>
              <w:top w:val="nil"/>
              <w:left w:val="nil"/>
              <w:bottom w:val="nil"/>
            </w:tcBorders>
            <w:shd w:val="clear" w:color="auto" w:fill="auto"/>
          </w:tcPr>
          <w:p w:rsidR="0017135D" w:rsidRPr="00896A7A" w:rsidP="00BB559C">
            <w:pPr>
              <w:pStyle w:val="CSBody8pt"/>
            </w:pPr>
            <w:r w:rsidRPr="00792D61">
              <w:rPr>
                <w:b/>
              </w:rPr>
              <w:t>[</w:t>
            </w:r>
            <w:r w:rsidRPr="00896A7A">
              <w:t xml:space="preserve">Investment Products, Yield Enhancement, </w:t>
            </w:r>
            <w:r w:rsidRPr="00792D61">
              <w:rPr>
                <w:b/>
              </w:rPr>
              <w:t>[</w:t>
            </w:r>
            <w:r w:rsidRPr="00896A7A">
              <w:t>Discount Certificate (1200</w:t>
            </w:r>
            <w:r w:rsidRPr="00792D61">
              <w:rPr>
                <w:b/>
              </w:rPr>
              <w:t>[</w:t>
            </w:r>
            <w:r w:rsidRPr="00896A7A">
              <w:t>*</w:t>
            </w:r>
            <w:r w:rsidRPr="00792D61">
              <w:rPr>
                <w:b/>
              </w:rPr>
              <w:t>]</w:t>
            </w:r>
            <w:r w:rsidRPr="00896A7A">
              <w:t>)</w:t>
            </w:r>
            <w:r w:rsidRPr="00792D61">
              <w:rPr>
                <w:b/>
              </w:rPr>
              <w:t>][</w:t>
            </w:r>
            <w:r w:rsidRPr="00896A7A">
              <w:t>Barrier Discount Certificate (1210</w:t>
            </w:r>
            <w:r w:rsidRPr="00792D61">
              <w:rPr>
                <w:b/>
              </w:rPr>
              <w:t>[</w:t>
            </w:r>
            <w:r w:rsidRPr="00896A7A">
              <w:t>*</w:t>
            </w:r>
            <w:r w:rsidRPr="00792D61">
              <w:rPr>
                <w:b/>
              </w:rPr>
              <w:t>]</w:t>
            </w:r>
            <w:r w:rsidRPr="00896A7A">
              <w:t>)</w:t>
            </w:r>
            <w:r w:rsidRPr="00792D61">
              <w:rPr>
                <w:b/>
              </w:rPr>
              <w:t>][</w:t>
            </w:r>
            <w:r w:rsidRPr="00896A7A">
              <w:t>Reverse Convertible (1220</w:t>
            </w:r>
            <w:r w:rsidRPr="00792D61">
              <w:rPr>
                <w:b/>
              </w:rPr>
              <w:t>[</w:t>
            </w:r>
            <w:r w:rsidRPr="00896A7A">
              <w:t>*</w:t>
            </w:r>
            <w:r w:rsidRPr="00792D61">
              <w:rPr>
                <w:b/>
              </w:rPr>
              <w:t>]</w:t>
            </w:r>
            <w:r w:rsidRPr="00896A7A">
              <w:t>)</w:t>
            </w:r>
            <w:r w:rsidRPr="00792D61">
              <w:rPr>
                <w:b/>
              </w:rPr>
              <w:t>][</w:t>
            </w:r>
            <w:r w:rsidRPr="00896A7A">
              <w:t>Barrier Reverse Convertible (1230</w:t>
            </w:r>
            <w:r w:rsidRPr="00792D61">
              <w:rPr>
                <w:b/>
              </w:rPr>
              <w:t>[</w:t>
            </w:r>
            <w:r w:rsidRPr="00896A7A">
              <w:t>*</w:t>
            </w:r>
            <w:r w:rsidRPr="00792D61">
              <w:rPr>
                <w:b/>
              </w:rPr>
              <w:t>]</w:t>
            </w:r>
            <w:r w:rsidRPr="00896A7A">
              <w:t>)</w:t>
            </w:r>
            <w:r w:rsidRPr="00792D61">
              <w:rPr>
                <w:b/>
              </w:rPr>
              <w:t>][</w:t>
            </w:r>
            <w:r w:rsidRPr="00896A7A">
              <w:t>Express Certificate (1260</w:t>
            </w:r>
            <w:r w:rsidRPr="00792D61">
              <w:rPr>
                <w:b/>
              </w:rPr>
              <w:t>[</w:t>
            </w:r>
            <w:r w:rsidRPr="00896A7A">
              <w:t>*</w:t>
            </w:r>
            <w:r w:rsidRPr="00792D61">
              <w:rPr>
                <w:b/>
              </w:rPr>
              <w:t>]</w:t>
            </w:r>
            <w:r w:rsidRPr="00896A7A">
              <w:t>)</w:t>
            </w:r>
            <w:r w:rsidRPr="00792D61">
              <w:rPr>
                <w:b/>
              </w:rPr>
              <w:t>][</w:t>
            </w:r>
            <w:r w:rsidRPr="00896A7A">
              <w:t xml:space="preserve">Miscellaneous Yield Enhancement Certificates, see SSPA Swiss Derivative Map at </w:t>
            </w:r>
            <w:r w:rsidRPr="00674A5A">
              <w:rPr>
                <w:b/>
                <w:color w:val="7898B3"/>
              </w:rPr>
              <w:t>www.sspa-association.ch</w:t>
            </w:r>
          </w:p>
        </w:tc>
        <w:tc>
          <w:tcPr>
            <w:tcW w:w="1618" w:type="dxa"/>
            <w:gridSpan w:val="2"/>
            <w:tcBorders>
              <w:top w:val="nil"/>
              <w:bottom w:val="nil"/>
              <w:right w:val="nil"/>
            </w:tcBorders>
            <w:shd w:val="clear" w:color="auto" w:fill="auto"/>
          </w:tcPr>
          <w:p w:rsidR="0017135D" w:rsidRPr="003D4711" w:rsidP="00BB559C">
            <w:pPr>
              <w:pStyle w:val="CSBody8pt"/>
            </w:pPr>
          </w:p>
        </w:tc>
        <w:tc>
          <w:tcPr>
            <w:tcW w:w="3318" w:type="dxa"/>
            <w:gridSpan w:val="10"/>
            <w:tcBorders>
              <w:top w:val="nil"/>
              <w:left w:val="nil"/>
              <w:bottom w:val="nil"/>
              <w:right w:val="nil"/>
            </w:tcBorders>
            <w:shd w:val="clear" w:color="auto" w:fill="auto"/>
          </w:tcPr>
          <w:p w:rsidR="0017135D" w:rsidRPr="007C794B" w:rsidP="00BB559C">
            <w:pPr>
              <w:pStyle w:val="CSBody8pt"/>
            </w:pPr>
            <w:r w:rsidRPr="00792D61">
              <w:rPr>
                <w:b/>
              </w:rPr>
              <w:t>[</w:t>
            </w:r>
            <w:r w:rsidRPr="007C794B">
              <w:t xml:space="preserve">Anlageprodukte, Renditeoptimierung, </w:t>
            </w:r>
            <w:r w:rsidRPr="00792D61">
              <w:rPr>
                <w:b/>
              </w:rPr>
              <w:t>[</w:t>
            </w:r>
            <w:r w:rsidRPr="007C794B">
              <w:t>Discount-Zertifikat (1200</w:t>
            </w:r>
            <w:r w:rsidRPr="00792D61">
              <w:rPr>
                <w:b/>
              </w:rPr>
              <w:t>[</w:t>
            </w:r>
            <w:r w:rsidRPr="007C794B">
              <w:t>*</w:t>
            </w:r>
            <w:r w:rsidRPr="00792D61">
              <w:rPr>
                <w:b/>
              </w:rPr>
              <w:t>]</w:t>
            </w:r>
            <w:r w:rsidRPr="007C794B">
              <w:t>)</w:t>
            </w:r>
            <w:r w:rsidRPr="00792D61">
              <w:rPr>
                <w:b/>
              </w:rPr>
              <w:t>]</w:t>
            </w:r>
            <w:r w:rsidRPr="007C794B">
              <w:t xml:space="preserve"> </w:t>
            </w:r>
            <w:r w:rsidRPr="00792D61">
              <w:rPr>
                <w:b/>
              </w:rPr>
              <w:t>[</w:t>
            </w:r>
            <w:r w:rsidRPr="007C794B">
              <w:t>Barrier-Discount-Zertifikat (1210</w:t>
            </w:r>
            <w:r w:rsidRPr="00792D61">
              <w:rPr>
                <w:b/>
              </w:rPr>
              <w:t>[</w:t>
            </w:r>
            <w:r w:rsidRPr="007C794B">
              <w:t>*</w:t>
            </w:r>
            <w:r w:rsidRPr="00792D61">
              <w:rPr>
                <w:b/>
              </w:rPr>
              <w:t>]</w:t>
            </w:r>
            <w:r w:rsidRPr="007C794B">
              <w:t>)</w:t>
            </w:r>
            <w:r w:rsidRPr="00792D61">
              <w:rPr>
                <w:b/>
              </w:rPr>
              <w:t>]</w:t>
            </w:r>
            <w:r w:rsidRPr="007C794B">
              <w:t>Reverse Convertible (1220</w:t>
            </w:r>
            <w:r w:rsidRPr="00792D61">
              <w:rPr>
                <w:b/>
              </w:rPr>
              <w:t>[</w:t>
            </w:r>
            <w:r w:rsidRPr="007C794B">
              <w:t>*</w:t>
            </w:r>
            <w:r w:rsidRPr="00792D61">
              <w:rPr>
                <w:b/>
              </w:rPr>
              <w:t>]</w:t>
            </w:r>
            <w:r w:rsidRPr="007C794B">
              <w:t>)</w:t>
            </w:r>
            <w:r w:rsidRPr="00792D61">
              <w:rPr>
                <w:b/>
              </w:rPr>
              <w:t>][</w:t>
            </w:r>
            <w:r w:rsidRPr="007C794B">
              <w:t>Barrier Reverse Convertible (1230</w:t>
            </w:r>
            <w:r w:rsidRPr="00792D61">
              <w:rPr>
                <w:b/>
              </w:rPr>
              <w:t>[</w:t>
            </w:r>
            <w:r w:rsidRPr="007C794B">
              <w:t>*</w:t>
            </w:r>
            <w:r w:rsidRPr="00792D61">
              <w:rPr>
                <w:b/>
              </w:rPr>
              <w:t>]</w:t>
            </w:r>
            <w:r w:rsidRPr="007C794B">
              <w:t>)</w:t>
            </w:r>
            <w:r w:rsidRPr="00792D61">
              <w:rPr>
                <w:b/>
              </w:rPr>
              <w:t>][</w:t>
            </w:r>
            <w:r w:rsidRPr="007C794B">
              <w:t>Express-Zertifiikat (1260</w:t>
            </w:r>
            <w:r w:rsidRPr="00792D61">
              <w:rPr>
                <w:b/>
              </w:rPr>
              <w:t>[</w:t>
            </w:r>
            <w:r w:rsidRPr="007C794B">
              <w:t>*</w:t>
            </w:r>
            <w:r w:rsidRPr="00792D61">
              <w:rPr>
                <w:b/>
              </w:rPr>
              <w:t>]</w:t>
            </w:r>
            <w:r w:rsidRPr="007C794B">
              <w:t>)</w:t>
            </w:r>
            <w:r w:rsidRPr="00792D61">
              <w:rPr>
                <w:b/>
              </w:rPr>
              <w:t>]</w:t>
            </w:r>
            <w:r w:rsidRPr="007C794B">
              <w:t xml:space="preserve"> </w:t>
            </w:r>
            <w:r w:rsidRPr="00792D61">
              <w:rPr>
                <w:b/>
              </w:rPr>
              <w:t>[</w:t>
            </w:r>
            <w:r w:rsidRPr="007C794B">
              <w:t>Weitere Renditeoptimierungs-Zertifikate (1299</w:t>
            </w:r>
            <w:r w:rsidRPr="00792D61">
              <w:rPr>
                <w:b/>
              </w:rPr>
              <w:t>]</w:t>
            </w:r>
            <w:r w:rsidRPr="007C794B">
              <w:t xml:space="preserve">, siehe SVSP Swiss Derivative Map unter </w:t>
            </w:r>
            <w:r w:rsidRPr="00674A5A">
              <w:rPr>
                <w:b/>
                <w:color w:val="7898B3"/>
              </w:rPr>
              <w:t>www.svsp-verband.ch</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4711" w:rsidP="00BB559C">
            <w:pPr>
              <w:pStyle w:val="CSBody8pt"/>
            </w:pPr>
          </w:p>
        </w:tc>
        <w:tc>
          <w:tcPr>
            <w:tcW w:w="3315" w:type="dxa"/>
            <w:gridSpan w:val="7"/>
            <w:tcBorders>
              <w:top w:val="nil"/>
              <w:left w:val="nil"/>
              <w:bottom w:val="nil"/>
            </w:tcBorders>
            <w:shd w:val="clear" w:color="auto" w:fill="auto"/>
          </w:tcPr>
          <w:p w:rsidR="0017135D" w:rsidP="00BB559C">
            <w:pPr>
              <w:pStyle w:val="CSBody8pt"/>
            </w:pPr>
            <w:r w:rsidRPr="00792D61">
              <w:rPr>
                <w:b/>
              </w:rPr>
              <w:t>[</w:t>
            </w:r>
            <w:r w:rsidRPr="00BB559C">
              <w:rPr>
                <w:b/>
                <w:i/>
              </w:rPr>
              <w:t>in the case of Complex Products with a star (*), insert the following text:</w:t>
            </w:r>
            <w:r w:rsidRPr="00896A7A">
              <w:t xml:space="preserve"> The Swiss Structured Products Association's classification number set forth above is marked with a star (*), which means that the characteristics of the Complex Products differ slightly from those of </w:t>
            </w:r>
            <w:r w:rsidRPr="00792D61">
              <w:rPr>
                <w:b/>
              </w:rPr>
              <w:t>[</w:t>
            </w:r>
            <w:r w:rsidRPr="00896A7A">
              <w:t>Discount Certifiicates (1200)</w:t>
            </w:r>
            <w:r w:rsidRPr="00792D61">
              <w:rPr>
                <w:b/>
              </w:rPr>
              <w:t>][</w:t>
            </w:r>
            <w:r w:rsidRPr="00896A7A">
              <w:t>Barrier Discount Certificates (1210)</w:t>
            </w:r>
            <w:r w:rsidRPr="00792D61">
              <w:rPr>
                <w:b/>
              </w:rPr>
              <w:t>][</w:t>
            </w:r>
            <w:r w:rsidRPr="00896A7A">
              <w:t>Reverse Convertibles (1220)</w:t>
            </w:r>
            <w:r w:rsidRPr="00792D61">
              <w:rPr>
                <w:b/>
              </w:rPr>
              <w:t>][</w:t>
            </w:r>
            <w:r w:rsidRPr="00896A7A">
              <w:t>Barrier Reverse Convertibles (1230)</w:t>
            </w:r>
            <w:r w:rsidRPr="00792D61">
              <w:rPr>
                <w:b/>
              </w:rPr>
              <w:t>][</w:t>
            </w:r>
            <w:r w:rsidRPr="00896A7A">
              <w:t>Capped Outperformance Certificates (1240)</w:t>
            </w:r>
            <w:r w:rsidRPr="00792D61">
              <w:rPr>
                <w:b/>
              </w:rPr>
              <w:t>][</w:t>
            </w:r>
            <w:r w:rsidRPr="00896A7A">
              <w:t>Capped Bonus Certificates (1250)</w:t>
            </w:r>
            <w:r w:rsidRPr="00792D61">
              <w:rPr>
                <w:b/>
              </w:rPr>
              <w:t>][</w:t>
            </w:r>
            <w:r w:rsidRPr="00896A7A">
              <w:t>Express Certificates (1260)</w:t>
            </w:r>
            <w:r w:rsidRPr="00792D61">
              <w:rPr>
                <w:b/>
              </w:rPr>
              <w:t>]</w:t>
            </w:r>
            <w:r w:rsidRPr="00896A7A">
              <w:t>, as described in the SSPA Swiss Derivative Map.</w:t>
            </w:r>
            <w:r w:rsidRPr="00792D61">
              <w:rPr>
                <w:b/>
              </w:rPr>
              <w:t>]]]</w:t>
            </w:r>
          </w:p>
        </w:tc>
        <w:tc>
          <w:tcPr>
            <w:tcW w:w="1618" w:type="dxa"/>
            <w:gridSpan w:val="2"/>
            <w:tcBorders>
              <w:top w:val="nil"/>
              <w:bottom w:val="nil"/>
              <w:right w:val="nil"/>
            </w:tcBorders>
            <w:shd w:val="clear" w:color="auto" w:fill="auto"/>
          </w:tcPr>
          <w:p w:rsidR="0017135D" w:rsidRPr="003D4711" w:rsidP="00BB559C">
            <w:pPr>
              <w:pStyle w:val="CSBody8pt"/>
            </w:pPr>
          </w:p>
        </w:tc>
        <w:tc>
          <w:tcPr>
            <w:tcW w:w="3318" w:type="dxa"/>
            <w:gridSpan w:val="10"/>
            <w:tcBorders>
              <w:top w:val="nil"/>
              <w:left w:val="nil"/>
              <w:bottom w:val="nil"/>
              <w:right w:val="nil"/>
            </w:tcBorders>
            <w:shd w:val="clear" w:color="auto" w:fill="auto"/>
          </w:tcPr>
          <w:p w:rsidR="0017135D" w:rsidRPr="003D4711" w:rsidP="00BB559C">
            <w:pPr>
              <w:pStyle w:val="CSBody8pt"/>
              <w:rPr>
                <w:lang w:val="de-DE"/>
              </w:rPr>
            </w:pPr>
            <w:r w:rsidRPr="00792D61">
              <w:rPr>
                <w:b/>
                <w:lang w:val="de-DE"/>
              </w:rPr>
              <w:t>[</w:t>
            </w:r>
            <w:r w:rsidRPr="00BB559C">
              <w:rPr>
                <w:b/>
                <w:i/>
                <w:lang w:val="de-DE"/>
              </w:rPr>
              <w:t>bei Komplexen Produkten, die mit einem Stern (*) gekennzeichnet sind, ist der nachfolgende Text einzufügen:</w:t>
            </w:r>
            <w:r w:rsidRPr="003D4711">
              <w:rPr>
                <w:lang w:val="de-DE"/>
              </w:rPr>
              <w:t xml:space="preserve"> Die vorstehend angegebene Klassifizierungsnummer des Schweizerischen Verbands für Strukturierte Produkte ist mit einem Stern (*) gekennzeichnet; dies bedeutet, dass sich die Merkmale der Komplexen Produkte geringfügig von den in der SVSP Swiss Derivative Map beschriebenen Merkmalen von </w:t>
            </w:r>
            <w:r w:rsidRPr="00792D61">
              <w:rPr>
                <w:b/>
                <w:lang w:val="de-DE"/>
              </w:rPr>
              <w:t>[</w:t>
            </w:r>
            <w:r w:rsidRPr="003D4711">
              <w:rPr>
                <w:lang w:val="de-DE"/>
              </w:rPr>
              <w:t>Discount-Zertifikaten (1200)</w:t>
            </w:r>
            <w:r w:rsidRPr="00792D61">
              <w:rPr>
                <w:b/>
                <w:lang w:val="de-DE"/>
              </w:rPr>
              <w:t>][</w:t>
            </w:r>
            <w:r w:rsidRPr="003D4711">
              <w:rPr>
                <w:lang w:val="de-DE"/>
              </w:rPr>
              <w:t>Barrier-Discount-Zertifikaten (1210)</w:t>
            </w:r>
            <w:r w:rsidRPr="00792D61">
              <w:rPr>
                <w:b/>
                <w:lang w:val="de-DE"/>
              </w:rPr>
              <w:t>][</w:t>
            </w:r>
            <w:r w:rsidRPr="003D4711">
              <w:rPr>
                <w:lang w:val="de-DE"/>
              </w:rPr>
              <w:t>Reverse Convertibles (1220)</w:t>
            </w:r>
            <w:r w:rsidRPr="00792D61">
              <w:rPr>
                <w:b/>
                <w:lang w:val="de-DE"/>
              </w:rPr>
              <w:t>][</w:t>
            </w:r>
            <w:r w:rsidRPr="003D4711">
              <w:rPr>
                <w:lang w:val="de-DE"/>
              </w:rPr>
              <w:t>Barrier Reverse Convertibles (1230)</w:t>
            </w:r>
            <w:r w:rsidRPr="00792D61">
              <w:rPr>
                <w:b/>
                <w:lang w:val="de-DE"/>
              </w:rPr>
              <w:t>][</w:t>
            </w:r>
            <w:r w:rsidRPr="003D4711">
              <w:rPr>
                <w:lang w:val="de-DE"/>
              </w:rPr>
              <w:t>Capped-Outperformance-Zertifikaten (1240)</w:t>
            </w:r>
            <w:r w:rsidRPr="00792D61">
              <w:rPr>
                <w:b/>
                <w:lang w:val="de-DE"/>
              </w:rPr>
              <w:t>][</w:t>
            </w:r>
            <w:r w:rsidRPr="003D4711">
              <w:rPr>
                <w:lang w:val="de-DE"/>
              </w:rPr>
              <w:t>Capped Bonus-Zertifikaten (1250)</w:t>
            </w:r>
            <w:r w:rsidRPr="00792D61">
              <w:rPr>
                <w:b/>
                <w:lang w:val="de-DE"/>
              </w:rPr>
              <w:t>][</w:t>
            </w:r>
            <w:r w:rsidRPr="003D4711">
              <w:rPr>
                <w:lang w:val="de-DE"/>
              </w:rPr>
              <w:t>Express-Zertifikaten (1260)</w:t>
            </w:r>
            <w:r w:rsidRPr="00792D61">
              <w:rPr>
                <w:b/>
                <w:lang w:val="de-DE"/>
              </w:rPr>
              <w:t>]</w:t>
            </w:r>
            <w:r w:rsidRPr="003D4711">
              <w:rPr>
                <w:lang w:val="de-DE"/>
              </w:rPr>
              <w:t xml:space="preserve"> unterscheiden.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7E47" w:rsidP="00BB559C">
            <w:pPr>
              <w:pStyle w:val="CSBody8pt"/>
            </w:pPr>
            <w:r w:rsidRPr="00887E47">
              <w:t>COSI</w:t>
            </w:r>
          </w:p>
        </w:tc>
        <w:tc>
          <w:tcPr>
            <w:tcW w:w="3315" w:type="dxa"/>
            <w:gridSpan w:val="7"/>
            <w:tcBorders>
              <w:top w:val="nil"/>
              <w:left w:val="nil"/>
              <w:bottom w:val="nil"/>
            </w:tcBorders>
            <w:shd w:val="clear" w:color="auto" w:fill="auto"/>
          </w:tcPr>
          <w:p w:rsidR="0017135D" w:rsidRPr="00887E47" w:rsidP="00BB559C">
            <w:pPr>
              <w:pStyle w:val="CSBody8pt"/>
            </w:pPr>
            <w:r w:rsidRPr="00792D61">
              <w:rPr>
                <w:b/>
              </w:rPr>
              <w:t>[</w:t>
            </w:r>
            <w:r w:rsidRPr="00887E47">
              <w:t>Applicable</w:t>
            </w:r>
            <w:r w:rsidRPr="00792D61">
              <w:rPr>
                <w:b/>
              </w:rPr>
              <w:t>]</w:t>
            </w:r>
            <w:r>
              <w:br/>
            </w:r>
            <w:r w:rsidRPr="00792D61">
              <w:rPr>
                <w:b/>
              </w:rPr>
              <w:t>[</w:t>
            </w:r>
            <w:r>
              <w:t>Not Applicable</w:t>
            </w:r>
            <w:r w:rsidRPr="00792D61">
              <w:rPr>
                <w:b/>
              </w:rPr>
              <w:t>]</w:t>
            </w:r>
          </w:p>
        </w:tc>
        <w:tc>
          <w:tcPr>
            <w:tcW w:w="1618" w:type="dxa"/>
            <w:gridSpan w:val="2"/>
            <w:tcBorders>
              <w:top w:val="nil"/>
              <w:bottom w:val="nil"/>
              <w:right w:val="nil"/>
            </w:tcBorders>
            <w:shd w:val="clear" w:color="auto" w:fill="auto"/>
          </w:tcPr>
          <w:p w:rsidR="0017135D" w:rsidRPr="00DF0ACB" w:rsidP="00BB559C">
            <w:pPr>
              <w:pStyle w:val="CSBody8pt"/>
            </w:pPr>
            <w:r w:rsidRPr="00DF0ACB">
              <w:t>COSI-Besicherung</w:t>
            </w:r>
          </w:p>
        </w:tc>
        <w:tc>
          <w:tcPr>
            <w:tcW w:w="3318" w:type="dxa"/>
            <w:gridSpan w:val="10"/>
            <w:tcBorders>
              <w:top w:val="nil"/>
              <w:left w:val="nil"/>
              <w:bottom w:val="nil"/>
              <w:right w:val="nil"/>
            </w:tcBorders>
            <w:shd w:val="clear" w:color="auto" w:fill="auto"/>
          </w:tcPr>
          <w:p w:rsidR="0017135D" w:rsidRPr="00DF0ACB" w:rsidP="00BB559C">
            <w:pPr>
              <w:pStyle w:val="CSBody8pt"/>
            </w:pPr>
            <w:r w:rsidRPr="00792D61">
              <w:rPr>
                <w:b/>
              </w:rPr>
              <w:t>[</w:t>
            </w:r>
            <w:r w:rsidRPr="00DF0ACB">
              <w:t>Anwendbar</w:t>
            </w:r>
            <w:r w:rsidRPr="00792D61">
              <w:rPr>
                <w:b/>
              </w:rPr>
              <w:t>]</w:t>
            </w:r>
            <w:r>
              <w:br/>
            </w:r>
            <w:r w:rsidRPr="00792D61">
              <w:rPr>
                <w:b/>
              </w:rPr>
              <w:t>[</w:t>
            </w:r>
            <w:r>
              <w:t>Nicht anwendbar</w:t>
            </w:r>
            <w:r w:rsidRPr="00792D61">
              <w:rPr>
                <w:b/>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121833" w:rsidP="00BB559C">
            <w:pPr>
              <w:pStyle w:val="CSBody8ptbolditalics"/>
            </w:pPr>
            <w:r w:rsidRPr="00792D61">
              <w:t>[</w:t>
            </w:r>
            <w:r w:rsidRPr="00121833">
              <w:t>in the case of Complex Products with a COSI feature, insert:</w:t>
            </w:r>
          </w:p>
        </w:tc>
        <w:tc>
          <w:tcPr>
            <w:tcW w:w="4936" w:type="dxa"/>
            <w:gridSpan w:val="12"/>
            <w:tcBorders>
              <w:top w:val="nil"/>
              <w:bottom w:val="nil"/>
              <w:right w:val="nil"/>
            </w:tcBorders>
            <w:shd w:val="clear" w:color="auto" w:fill="auto"/>
          </w:tcPr>
          <w:p w:rsidR="0017135D" w:rsidRPr="00121833" w:rsidP="00BB559C">
            <w:pPr>
              <w:pStyle w:val="CSBody8ptbolditalics"/>
              <w:rPr>
                <w:lang w:val="de-DE"/>
              </w:rPr>
            </w:pPr>
            <w:r w:rsidRPr="00792D61">
              <w:rPr>
                <w:lang w:val="de-DE"/>
              </w:rPr>
              <w:t>[</w:t>
            </w:r>
            <w:r w:rsidRPr="00121833">
              <w:rPr>
                <w:lang w:val="de-DE"/>
              </w:rPr>
              <w:t>bei Komplexen Produkten mit COSI Merkmal einzufügen: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D4747" w:rsidP="00BB559C">
            <w:pPr>
              <w:pStyle w:val="CSBody8pt"/>
            </w:pPr>
            <w:r w:rsidRPr="00792D61">
              <w:rPr>
                <w:b/>
              </w:rPr>
              <w:t>[</w:t>
            </w:r>
            <w:r w:rsidRPr="005D4747">
              <w:t>Collateralization</w:t>
            </w:r>
          </w:p>
        </w:tc>
        <w:tc>
          <w:tcPr>
            <w:tcW w:w="3315" w:type="dxa"/>
            <w:gridSpan w:val="7"/>
            <w:tcBorders>
              <w:top w:val="nil"/>
              <w:left w:val="nil"/>
              <w:bottom w:val="nil"/>
            </w:tcBorders>
            <w:shd w:val="clear" w:color="auto" w:fill="auto"/>
          </w:tcPr>
          <w:p w:rsidR="0017135D" w:rsidP="00BB559C">
            <w:pPr>
              <w:pStyle w:val="CSBody8pt"/>
            </w:pPr>
            <w:r w:rsidRPr="005D4747">
              <w:t>The Complex Products are collateralized in accordance with the provisions of the SIX Swiss Exchange "Framework Agreement for Collateral-Secured Instruments" (the "</w:t>
            </w:r>
            <w:r w:rsidRPr="00BB559C">
              <w:rPr>
                <w:b/>
              </w:rPr>
              <w:t>Framework Agreement</w:t>
            </w:r>
            <w:r w:rsidRPr="005D4747">
              <w:t>"). Credit Suisse concluded the Framework Agreement on 23 June 2015 and undertakes to secure the value of securities issued by it and collateralized pursuant to the Framework Agreement ("</w:t>
            </w:r>
            <w:r w:rsidRPr="00BB559C">
              <w:rPr>
                <w:b/>
              </w:rPr>
              <w:t>CS COSI Securities</w:t>
            </w:r>
            <w:r w:rsidRPr="005D4747">
              <w:t>") in favour of SIX Swiss Exchange at any time. The rights of investors in connection with the collateralization of CS COSI Securities arise from the Framework Agreement. The principles of collateralization are summarized in an information sheet issued by SIX Swiss Exchange. This information sheet is available from the "</w:t>
            </w:r>
            <w:r w:rsidRPr="00674A5A">
              <w:rPr>
                <w:b/>
                <w:color w:val="7898B3"/>
              </w:rPr>
              <w:t>www.six-swiss-exchange.com</w:t>
            </w:r>
            <w:r w:rsidRPr="005D4747">
              <w:t>" website. The Issuer shall, upon request, provide the Framework Agreement to investors free of charge in the original German version or as an English translation. The Framework Agreement may be obtained from the head office of Credit Suisse in Zurich via telephone at: +41 44 333 21 44 or facsimile at: +41 44 333 84 03.</w:t>
            </w:r>
          </w:p>
        </w:tc>
        <w:tc>
          <w:tcPr>
            <w:tcW w:w="1618" w:type="dxa"/>
            <w:gridSpan w:val="2"/>
            <w:tcBorders>
              <w:top w:val="nil"/>
              <w:bottom w:val="nil"/>
              <w:right w:val="nil"/>
            </w:tcBorders>
            <w:shd w:val="clear" w:color="auto" w:fill="auto"/>
          </w:tcPr>
          <w:p w:rsidR="0017135D" w:rsidRPr="00E70AAA" w:rsidP="00BB559C">
            <w:pPr>
              <w:pStyle w:val="CSBody8pt"/>
            </w:pPr>
            <w:r w:rsidRPr="00792D61">
              <w:rPr>
                <w:b/>
              </w:rPr>
              <w:t>[</w:t>
            </w:r>
            <w:r w:rsidRPr="00E70AAA">
              <w:t>Besicherung</w:t>
            </w:r>
          </w:p>
        </w:tc>
        <w:tc>
          <w:tcPr>
            <w:tcW w:w="3318" w:type="dxa"/>
            <w:gridSpan w:val="10"/>
            <w:tcBorders>
              <w:top w:val="nil"/>
              <w:left w:val="nil"/>
              <w:bottom w:val="nil"/>
              <w:right w:val="nil"/>
            </w:tcBorders>
            <w:shd w:val="clear" w:color="auto" w:fill="auto"/>
          </w:tcPr>
          <w:p w:rsidR="0017135D" w:rsidP="00E968C0">
            <w:pPr>
              <w:pStyle w:val="CSBody8pt"/>
            </w:pPr>
            <w:r w:rsidRPr="007868AC">
              <w:rPr>
                <w:lang w:val="de-DE"/>
              </w:rPr>
              <w:t>Komplexe Produkte mit COSI Merkmal sind nach den Vorschriften des "Rahmenvertrages für Pfandbesicherte Zertifikate" der SIX Swiss Exchange ("</w:t>
            </w:r>
            <w:r w:rsidRPr="00BB559C">
              <w:rPr>
                <w:b/>
                <w:lang w:val="de-DE"/>
              </w:rPr>
              <w:t>Rahmenvertrag</w:t>
            </w:r>
            <w:r w:rsidRPr="007868AC">
              <w:rPr>
                <w:lang w:val="de-DE"/>
              </w:rPr>
              <w:t>") besichert. Credit Suisse hat den Rahmenvertrag am 23. Juni 2015 abgeschlossen und sich zur Sicherstellung des jeweiligen Wertes der Sicherheiten ("</w:t>
            </w:r>
            <w:r w:rsidRPr="00BB559C">
              <w:rPr>
                <w:b/>
                <w:lang w:val="de-DE"/>
              </w:rPr>
              <w:t>CS COSI Wertpapiere</w:t>
            </w:r>
            <w:r w:rsidRPr="007868AC">
              <w:rPr>
                <w:lang w:val="de-DE"/>
              </w:rPr>
              <w:t>") zu Gunsten von SIX Swiss Exchange verpflichtet. Die Rechte der Anleger im Zusammenhang mit der Besicherung der CS COSI Wertpapiere ergeben sich aus dem Rahmenvertrag. Die Grundzüge der Besicherung sind in einem Informationsblatt der SIX Swiss Exchange zusammengefasst, welches auf "</w:t>
            </w:r>
            <w:r w:rsidRPr="00674A5A">
              <w:rPr>
                <w:b/>
                <w:color w:val="7898B3"/>
                <w:lang w:val="de-DE"/>
              </w:rPr>
              <w:t>www.six-swiss-exchange.com</w:t>
            </w:r>
            <w:r w:rsidRPr="007868AC">
              <w:rPr>
                <w:lang w:val="de-DE"/>
              </w:rPr>
              <w:t xml:space="preserve">" verfügbar ist. Der Rahmenvertrag wird den Anlegern auf Verlangen von der Emittentin kostenlos in deutscher Fassung oder in englischer Übersetzung zur Verfügung gestellt. Der Rahmenvertrag kann bezogen werden beim Hauptsitz der Credit Suisse AG in Zürich und kann telefonisch oder per Fax unter den folgenden Nummern angefordert werden: +41 44 333 21 44 (Telefon) bzw. </w:t>
            </w:r>
            <w:r w:rsidRPr="00E70AAA">
              <w:t>+41 44 333 84 03 (Fax).</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948CB" w:rsidP="00BB559C">
            <w:pPr>
              <w:pStyle w:val="CSBody8pt"/>
            </w:pPr>
          </w:p>
        </w:tc>
        <w:tc>
          <w:tcPr>
            <w:tcW w:w="3315" w:type="dxa"/>
            <w:gridSpan w:val="7"/>
            <w:tcBorders>
              <w:top w:val="nil"/>
              <w:left w:val="nil"/>
              <w:bottom w:val="nil"/>
            </w:tcBorders>
            <w:shd w:val="clear" w:color="auto" w:fill="auto"/>
          </w:tcPr>
          <w:p w:rsidR="0017135D" w:rsidP="00BB559C">
            <w:pPr>
              <w:pStyle w:val="CSBody8pt"/>
            </w:pPr>
            <w:r w:rsidRPr="00C948CB">
              <w:t xml:space="preserve">The Current Value (as defined in the Framework Agreement) of the Complex Products shall be determined according to </w:t>
            </w:r>
            <w:r w:rsidRPr="00792D61">
              <w:rPr>
                <w:b/>
              </w:rPr>
              <w:t>[</w:t>
            </w:r>
            <w:r w:rsidRPr="00C948CB">
              <w:t>Method A: "Fair Value Method"</w:t>
            </w:r>
            <w:r w:rsidRPr="00792D61">
              <w:rPr>
                <w:b/>
              </w:rPr>
              <w:t>][</w:t>
            </w:r>
            <w:r w:rsidRPr="00C948CB">
              <w:t>Method B: "Bond Floor Method"</w:t>
            </w:r>
            <w:r w:rsidRPr="00792D61">
              <w:rPr>
                <w:b/>
              </w:rPr>
              <w:t>]</w:t>
            </w:r>
            <w:r w:rsidRPr="00C948CB">
              <w:t xml:space="preserve"> of the Framework Agreement.</w:t>
            </w:r>
            <w:r w:rsidRPr="00792D61">
              <w:rPr>
                <w:b/>
              </w:rPr>
              <w:t>]</w:t>
            </w:r>
          </w:p>
        </w:tc>
        <w:tc>
          <w:tcPr>
            <w:tcW w:w="1618" w:type="dxa"/>
            <w:gridSpan w:val="2"/>
            <w:tcBorders>
              <w:top w:val="nil"/>
              <w:bottom w:val="nil"/>
              <w:right w:val="nil"/>
            </w:tcBorders>
            <w:shd w:val="clear" w:color="auto" w:fill="auto"/>
          </w:tcPr>
          <w:p w:rsidR="0017135D" w:rsidRPr="00724C7C" w:rsidP="00BB559C">
            <w:pPr>
              <w:pStyle w:val="CSBody8pt"/>
            </w:pPr>
          </w:p>
        </w:tc>
        <w:tc>
          <w:tcPr>
            <w:tcW w:w="3318" w:type="dxa"/>
            <w:gridSpan w:val="10"/>
            <w:tcBorders>
              <w:top w:val="nil"/>
              <w:left w:val="nil"/>
              <w:bottom w:val="nil"/>
              <w:right w:val="nil"/>
            </w:tcBorders>
            <w:shd w:val="clear" w:color="auto" w:fill="auto"/>
          </w:tcPr>
          <w:p w:rsidR="0017135D" w:rsidRPr="007868AC" w:rsidP="00BB559C">
            <w:pPr>
              <w:pStyle w:val="CSBody8pt"/>
              <w:rPr>
                <w:lang w:val="de-DE"/>
              </w:rPr>
            </w:pPr>
            <w:r w:rsidRPr="007868AC">
              <w:rPr>
                <w:lang w:val="de-DE"/>
              </w:rPr>
              <w:t xml:space="preserve">Der Aktuelle Wert (im Sinne des Rahmenvertrags) der Komplexen Produkte wird gemäss </w:t>
            </w:r>
            <w:r w:rsidRPr="00792D61">
              <w:rPr>
                <w:b/>
                <w:lang w:val="de-DE"/>
              </w:rPr>
              <w:t>[</w:t>
            </w:r>
            <w:r w:rsidRPr="007868AC">
              <w:rPr>
                <w:lang w:val="de-DE"/>
              </w:rPr>
              <w:t>Methode A: "Fair Value Verfahren"</w:t>
            </w:r>
            <w:r w:rsidRPr="00792D61">
              <w:rPr>
                <w:b/>
                <w:lang w:val="de-DE"/>
              </w:rPr>
              <w:t>][</w:t>
            </w:r>
            <w:r w:rsidRPr="007868AC">
              <w:rPr>
                <w:lang w:val="de-DE"/>
              </w:rPr>
              <w:t>Methode B: "Bond Floor Verfahren"</w:t>
            </w:r>
            <w:r w:rsidRPr="00792D61">
              <w:rPr>
                <w:b/>
                <w:lang w:val="de-DE"/>
              </w:rPr>
              <w:t>]</w:t>
            </w:r>
            <w:r w:rsidRPr="007868AC">
              <w:rPr>
                <w:lang w:val="de-DE"/>
              </w:rPr>
              <w:t xml:space="preserve"> des Rahmenvertrags ermittelt.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vMerge w:val="restart"/>
            <w:tcBorders>
              <w:top w:val="nil"/>
              <w:left w:val="nil"/>
              <w:right w:val="nil"/>
            </w:tcBorders>
            <w:shd w:val="clear" w:color="auto" w:fill="auto"/>
          </w:tcPr>
          <w:p w:rsidR="0017135D" w:rsidRPr="007868AC" w:rsidP="00290E47">
            <w:pPr>
              <w:pStyle w:val="CSBody8pt"/>
              <w:rPr>
                <w:lang w:val="de-DE"/>
              </w:rPr>
            </w:pPr>
            <w:r w:rsidRPr="000A0ABF">
              <w:rPr>
                <w:lang w:val="de-DE"/>
              </w:rPr>
              <w:t>Security Codes</w:t>
            </w:r>
          </w:p>
        </w:tc>
        <w:tc>
          <w:tcPr>
            <w:tcW w:w="1666" w:type="dxa"/>
            <w:gridSpan w:val="5"/>
            <w:tcBorders>
              <w:top w:val="nil"/>
              <w:left w:val="nil"/>
              <w:bottom w:val="nil"/>
              <w:right w:val="nil"/>
            </w:tcBorders>
            <w:shd w:val="clear" w:color="auto" w:fill="auto"/>
          </w:tcPr>
          <w:p w:rsidR="0017135D" w:rsidRPr="007119E7" w:rsidP="00290E47">
            <w:pPr>
              <w:pStyle w:val="CSBody8pt"/>
            </w:pPr>
            <w:r w:rsidRPr="007119E7">
              <w:t>Swiss Sec. No.</w:t>
            </w:r>
          </w:p>
        </w:tc>
        <w:tc>
          <w:tcPr>
            <w:tcW w:w="1649" w:type="dxa"/>
            <w:gridSpan w:val="2"/>
            <w:tcBorders>
              <w:top w:val="nil"/>
              <w:left w:val="nil"/>
              <w:bottom w:val="nil"/>
            </w:tcBorders>
            <w:shd w:val="clear" w:color="auto" w:fill="auto"/>
          </w:tcPr>
          <w:p w:rsidR="0017135D" w:rsidRPr="007119E7" w:rsidP="00290E47">
            <w:pPr>
              <w:pStyle w:val="CSBody8pt"/>
            </w:pPr>
            <w:r w:rsidRPr="00792D61">
              <w:rPr>
                <w:b/>
              </w:rPr>
              <w:t>[</w:t>
            </w:r>
            <w:r w:rsidRPr="007119E7">
              <w:rPr>
                <w:rFonts w:ascii="Arial" w:hAnsi="Arial" w:cs="Arial"/>
              </w:rPr>
              <w:t>●</w:t>
            </w:r>
            <w:r w:rsidRPr="00792D61">
              <w:rPr>
                <w:b/>
              </w:rPr>
              <w:t>]</w:t>
            </w:r>
          </w:p>
        </w:tc>
        <w:tc>
          <w:tcPr>
            <w:tcW w:w="1618" w:type="dxa"/>
            <w:gridSpan w:val="2"/>
            <w:vMerge w:val="restart"/>
            <w:tcBorders>
              <w:top w:val="nil"/>
              <w:right w:val="nil"/>
            </w:tcBorders>
            <w:shd w:val="clear" w:color="auto" w:fill="auto"/>
          </w:tcPr>
          <w:p w:rsidR="0017135D" w:rsidRPr="007868AC" w:rsidP="00290E47">
            <w:pPr>
              <w:pStyle w:val="CSBody8pt"/>
              <w:rPr>
                <w:lang w:val="de-DE"/>
              </w:rPr>
            </w:pPr>
            <w:r w:rsidRPr="000A0ABF">
              <w:rPr>
                <w:lang w:val="de-DE"/>
              </w:rPr>
              <w:t>Kennnummern</w:t>
            </w:r>
          </w:p>
        </w:tc>
        <w:tc>
          <w:tcPr>
            <w:tcW w:w="1672" w:type="dxa"/>
            <w:gridSpan w:val="6"/>
            <w:tcBorders>
              <w:top w:val="nil"/>
              <w:left w:val="nil"/>
              <w:bottom w:val="nil"/>
              <w:right w:val="nil"/>
            </w:tcBorders>
            <w:shd w:val="clear" w:color="auto" w:fill="auto"/>
          </w:tcPr>
          <w:p w:rsidR="0017135D" w:rsidRPr="004D06FB" w:rsidP="00290E47">
            <w:pPr>
              <w:pStyle w:val="CSBody8pt"/>
            </w:pPr>
            <w:r w:rsidRPr="004D06FB">
              <w:t>Valoren Nr.</w:t>
            </w:r>
          </w:p>
        </w:tc>
        <w:tc>
          <w:tcPr>
            <w:tcW w:w="1646" w:type="dxa"/>
            <w:gridSpan w:val="4"/>
            <w:tcBorders>
              <w:top w:val="nil"/>
              <w:left w:val="nil"/>
              <w:bottom w:val="nil"/>
              <w:right w:val="nil"/>
            </w:tcBorders>
            <w:shd w:val="clear" w:color="auto" w:fill="auto"/>
          </w:tcPr>
          <w:p w:rsidR="0017135D" w:rsidRPr="004D06FB" w:rsidP="00290E47">
            <w:pPr>
              <w:pStyle w:val="CSBody8pt"/>
            </w:pPr>
            <w:r w:rsidRPr="00792D61">
              <w:rPr>
                <w:b/>
              </w:rPr>
              <w:t>[</w:t>
            </w:r>
            <w:r w:rsidRPr="004D06FB">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vMerge/>
            <w:tcBorders>
              <w:left w:val="nil"/>
              <w:bottom w:val="nil"/>
              <w:right w:val="nil"/>
            </w:tcBorders>
            <w:shd w:val="clear" w:color="auto" w:fill="auto"/>
          </w:tcPr>
          <w:p w:rsidR="0017135D" w:rsidRPr="007868AC" w:rsidP="00290E47">
            <w:pPr>
              <w:pStyle w:val="CSBody8pt"/>
              <w:rPr>
                <w:lang w:val="de-DE"/>
              </w:rPr>
            </w:pPr>
          </w:p>
        </w:tc>
        <w:tc>
          <w:tcPr>
            <w:tcW w:w="1666" w:type="dxa"/>
            <w:gridSpan w:val="5"/>
            <w:tcBorders>
              <w:top w:val="nil"/>
              <w:left w:val="nil"/>
              <w:bottom w:val="nil"/>
              <w:right w:val="nil"/>
            </w:tcBorders>
            <w:shd w:val="clear" w:color="auto" w:fill="auto"/>
          </w:tcPr>
          <w:p w:rsidR="0017135D" w:rsidRPr="007119E7" w:rsidP="00290E47">
            <w:pPr>
              <w:pStyle w:val="CSBody8pt"/>
            </w:pPr>
            <w:r w:rsidRPr="007119E7">
              <w:t>ISIN</w:t>
            </w:r>
          </w:p>
        </w:tc>
        <w:tc>
          <w:tcPr>
            <w:tcW w:w="1649" w:type="dxa"/>
            <w:gridSpan w:val="2"/>
            <w:tcBorders>
              <w:top w:val="nil"/>
              <w:left w:val="nil"/>
              <w:bottom w:val="nil"/>
            </w:tcBorders>
            <w:shd w:val="clear" w:color="auto" w:fill="auto"/>
          </w:tcPr>
          <w:p w:rsidR="0017135D" w:rsidP="00290E47">
            <w:pPr>
              <w:pStyle w:val="CSBody8pt"/>
            </w:pPr>
            <w:r w:rsidRPr="00792D61">
              <w:rPr>
                <w:b/>
              </w:rPr>
              <w:t>[</w:t>
            </w:r>
            <w:r w:rsidRPr="007119E7">
              <w:rPr>
                <w:rFonts w:ascii="Arial" w:hAnsi="Arial" w:cs="Arial"/>
              </w:rPr>
              <w:t>●</w:t>
            </w:r>
            <w:r w:rsidRPr="00792D61">
              <w:rPr>
                <w:b/>
              </w:rPr>
              <w:t>]</w:t>
            </w:r>
          </w:p>
        </w:tc>
        <w:tc>
          <w:tcPr>
            <w:tcW w:w="1618" w:type="dxa"/>
            <w:gridSpan w:val="2"/>
            <w:vMerge/>
            <w:tcBorders>
              <w:bottom w:val="nil"/>
              <w:right w:val="nil"/>
            </w:tcBorders>
            <w:shd w:val="clear" w:color="auto" w:fill="auto"/>
          </w:tcPr>
          <w:p w:rsidR="0017135D" w:rsidRPr="007868AC" w:rsidP="00290E47">
            <w:pPr>
              <w:pStyle w:val="CSBody8pt"/>
              <w:rPr>
                <w:lang w:val="de-DE"/>
              </w:rPr>
            </w:pPr>
          </w:p>
        </w:tc>
        <w:tc>
          <w:tcPr>
            <w:tcW w:w="1672" w:type="dxa"/>
            <w:gridSpan w:val="6"/>
            <w:tcBorders>
              <w:top w:val="nil"/>
              <w:left w:val="nil"/>
              <w:bottom w:val="nil"/>
              <w:right w:val="nil"/>
            </w:tcBorders>
            <w:shd w:val="clear" w:color="auto" w:fill="auto"/>
          </w:tcPr>
          <w:p w:rsidR="0017135D" w:rsidRPr="004D06FB" w:rsidP="00290E47">
            <w:pPr>
              <w:pStyle w:val="CSBody8pt"/>
            </w:pPr>
            <w:r w:rsidRPr="004D06FB">
              <w:t>ISIN</w:t>
            </w:r>
          </w:p>
        </w:tc>
        <w:tc>
          <w:tcPr>
            <w:tcW w:w="1646" w:type="dxa"/>
            <w:gridSpan w:val="4"/>
            <w:tcBorders>
              <w:top w:val="nil"/>
              <w:left w:val="nil"/>
              <w:bottom w:val="nil"/>
              <w:right w:val="nil"/>
            </w:tcBorders>
            <w:shd w:val="clear" w:color="auto" w:fill="auto"/>
          </w:tcPr>
          <w:p w:rsidR="0017135D" w:rsidP="00290E47">
            <w:pPr>
              <w:pStyle w:val="CSBody8pt"/>
            </w:pPr>
            <w:r w:rsidRPr="00792D61">
              <w:rPr>
                <w:b/>
              </w:rPr>
              <w:t>[</w:t>
            </w:r>
            <w:r w:rsidRPr="004D06FB">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7868AC" w:rsidP="00290E47">
            <w:pPr>
              <w:pStyle w:val="CSBody8pt"/>
              <w:rPr>
                <w:lang w:val="de-DE"/>
              </w:rPr>
            </w:pPr>
          </w:p>
        </w:tc>
        <w:tc>
          <w:tcPr>
            <w:tcW w:w="1666" w:type="dxa"/>
            <w:gridSpan w:val="5"/>
            <w:tcBorders>
              <w:top w:val="nil"/>
              <w:left w:val="nil"/>
              <w:bottom w:val="nil"/>
              <w:right w:val="nil"/>
            </w:tcBorders>
            <w:shd w:val="clear" w:color="auto" w:fill="auto"/>
          </w:tcPr>
          <w:p w:rsidR="0017135D" w:rsidRPr="00162618" w:rsidP="00290E47">
            <w:pPr>
              <w:pStyle w:val="CSBody8pt"/>
            </w:pPr>
            <w:r w:rsidRPr="00792D61">
              <w:rPr>
                <w:b/>
              </w:rPr>
              <w:t>[</w:t>
            </w:r>
            <w:r w:rsidRPr="00162618">
              <w:t>Common Code</w:t>
            </w:r>
          </w:p>
        </w:tc>
        <w:tc>
          <w:tcPr>
            <w:tcW w:w="1649" w:type="dxa"/>
            <w:gridSpan w:val="2"/>
            <w:tcBorders>
              <w:top w:val="nil"/>
              <w:left w:val="nil"/>
              <w:bottom w:val="nil"/>
            </w:tcBorders>
            <w:shd w:val="clear" w:color="auto" w:fill="auto"/>
          </w:tcPr>
          <w:p w:rsidR="0017135D" w:rsidRPr="00162618" w:rsidP="00290E47">
            <w:pPr>
              <w:pStyle w:val="CSBody8pt"/>
            </w:pPr>
            <w:r w:rsidRPr="00792D61">
              <w:rPr>
                <w:b/>
              </w:rPr>
              <w:t>[</w:t>
            </w:r>
            <w:r w:rsidRPr="00162618">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7868AC" w:rsidP="00290E47">
            <w:pPr>
              <w:pStyle w:val="CSBody8pt"/>
              <w:rPr>
                <w:lang w:val="de-DE"/>
              </w:rPr>
            </w:pPr>
          </w:p>
        </w:tc>
        <w:tc>
          <w:tcPr>
            <w:tcW w:w="1672" w:type="dxa"/>
            <w:gridSpan w:val="6"/>
            <w:tcBorders>
              <w:top w:val="nil"/>
              <w:left w:val="nil"/>
              <w:bottom w:val="nil"/>
              <w:right w:val="nil"/>
            </w:tcBorders>
            <w:shd w:val="clear" w:color="auto" w:fill="auto"/>
          </w:tcPr>
          <w:p w:rsidR="0017135D" w:rsidRPr="00D02707" w:rsidP="00290E47">
            <w:pPr>
              <w:pStyle w:val="CSBody8pt"/>
            </w:pPr>
            <w:r w:rsidRPr="00792D61">
              <w:rPr>
                <w:b/>
              </w:rPr>
              <w:t>[</w:t>
            </w:r>
            <w:r w:rsidRPr="00D02707">
              <w:t>Common Code</w:t>
            </w:r>
          </w:p>
        </w:tc>
        <w:tc>
          <w:tcPr>
            <w:tcW w:w="1646" w:type="dxa"/>
            <w:gridSpan w:val="4"/>
            <w:tcBorders>
              <w:top w:val="nil"/>
              <w:left w:val="nil"/>
              <w:bottom w:val="nil"/>
              <w:right w:val="nil"/>
            </w:tcBorders>
            <w:shd w:val="clear" w:color="auto" w:fill="auto"/>
          </w:tcPr>
          <w:p w:rsidR="0017135D" w:rsidRPr="00D02707" w:rsidP="00290E47">
            <w:pPr>
              <w:pStyle w:val="CSBody8pt"/>
            </w:pPr>
            <w:r w:rsidRPr="00792D61">
              <w:rPr>
                <w:b/>
              </w:rPr>
              <w:t>[</w:t>
            </w:r>
            <w:r w:rsidRPr="00D02707">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7868AC" w:rsidP="00290E47">
            <w:pPr>
              <w:pStyle w:val="CSBody8pt"/>
              <w:rPr>
                <w:lang w:val="de-DE"/>
              </w:rPr>
            </w:pPr>
          </w:p>
        </w:tc>
        <w:tc>
          <w:tcPr>
            <w:tcW w:w="1666" w:type="dxa"/>
            <w:gridSpan w:val="5"/>
            <w:tcBorders>
              <w:top w:val="nil"/>
              <w:left w:val="nil"/>
              <w:bottom w:val="nil"/>
              <w:right w:val="nil"/>
            </w:tcBorders>
            <w:shd w:val="clear" w:color="auto" w:fill="auto"/>
          </w:tcPr>
          <w:p w:rsidR="0017135D" w:rsidRPr="00162618" w:rsidP="004C1EBA">
            <w:pPr>
              <w:pStyle w:val="CSBody8pt"/>
            </w:pPr>
            <w:r w:rsidRPr="00792D61">
              <w:rPr>
                <w:b/>
              </w:rPr>
              <w:t>[</w:t>
            </w:r>
            <w:r>
              <w:t>SIX Symbol</w:t>
            </w:r>
          </w:p>
        </w:tc>
        <w:tc>
          <w:tcPr>
            <w:tcW w:w="1649" w:type="dxa"/>
            <w:gridSpan w:val="2"/>
            <w:tcBorders>
              <w:top w:val="nil"/>
              <w:left w:val="nil"/>
              <w:bottom w:val="nil"/>
            </w:tcBorders>
            <w:shd w:val="clear" w:color="auto" w:fill="auto"/>
          </w:tcPr>
          <w:p w:rsidR="0017135D" w:rsidRPr="00162618" w:rsidP="00290E47">
            <w:pPr>
              <w:pStyle w:val="CSBody8pt"/>
            </w:pPr>
            <w:r w:rsidRPr="00792D61">
              <w:rPr>
                <w:b/>
              </w:rPr>
              <w:t>[</w:t>
            </w:r>
            <w:r w:rsidRPr="00162618">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7868AC" w:rsidP="00290E47">
            <w:pPr>
              <w:pStyle w:val="CSBody8pt"/>
              <w:rPr>
                <w:lang w:val="de-DE"/>
              </w:rPr>
            </w:pPr>
          </w:p>
        </w:tc>
        <w:tc>
          <w:tcPr>
            <w:tcW w:w="1672" w:type="dxa"/>
            <w:gridSpan w:val="6"/>
            <w:tcBorders>
              <w:top w:val="nil"/>
              <w:left w:val="nil"/>
              <w:bottom w:val="nil"/>
              <w:right w:val="nil"/>
            </w:tcBorders>
            <w:shd w:val="clear" w:color="auto" w:fill="auto"/>
          </w:tcPr>
          <w:p w:rsidR="0017135D" w:rsidRPr="00D02707" w:rsidP="004C1EBA">
            <w:pPr>
              <w:pStyle w:val="CSBody8pt"/>
            </w:pPr>
            <w:r w:rsidRPr="00792D61">
              <w:rPr>
                <w:b/>
              </w:rPr>
              <w:t>[</w:t>
            </w:r>
            <w:r>
              <w:t>SIX Symbol</w:t>
            </w:r>
          </w:p>
        </w:tc>
        <w:tc>
          <w:tcPr>
            <w:tcW w:w="1646" w:type="dxa"/>
            <w:gridSpan w:val="4"/>
            <w:tcBorders>
              <w:top w:val="nil"/>
              <w:left w:val="nil"/>
              <w:bottom w:val="nil"/>
              <w:right w:val="nil"/>
            </w:tcBorders>
            <w:shd w:val="clear" w:color="auto" w:fill="auto"/>
          </w:tcPr>
          <w:p w:rsidR="0017135D" w:rsidRPr="00D02707" w:rsidP="00290E47">
            <w:pPr>
              <w:pStyle w:val="CSBody8pt"/>
            </w:pPr>
            <w:r w:rsidRPr="00792D61">
              <w:rPr>
                <w:b/>
              </w:rPr>
              <w:t>[</w:t>
            </w:r>
            <w:r w:rsidRPr="00D02707">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7868AC" w:rsidP="00290E47">
            <w:pPr>
              <w:pStyle w:val="CSBody8pt"/>
              <w:rPr>
                <w:lang w:val="de-DE"/>
              </w:rPr>
            </w:pPr>
          </w:p>
        </w:tc>
        <w:tc>
          <w:tcPr>
            <w:tcW w:w="1666" w:type="dxa"/>
            <w:gridSpan w:val="5"/>
            <w:tcBorders>
              <w:top w:val="nil"/>
              <w:left w:val="nil"/>
              <w:bottom w:val="nil"/>
              <w:right w:val="nil"/>
            </w:tcBorders>
            <w:shd w:val="clear" w:color="auto" w:fill="auto"/>
          </w:tcPr>
          <w:p w:rsidR="0017135D" w:rsidRPr="00162618" w:rsidP="00290E47">
            <w:pPr>
              <w:pStyle w:val="CSBody8pt"/>
            </w:pPr>
            <w:r w:rsidRPr="00792D61">
              <w:rPr>
                <w:b/>
              </w:rPr>
              <w:t>[</w:t>
            </w:r>
            <w:r w:rsidRPr="00162618">
              <w:t>WKN</w:t>
            </w:r>
          </w:p>
        </w:tc>
        <w:tc>
          <w:tcPr>
            <w:tcW w:w="1649" w:type="dxa"/>
            <w:gridSpan w:val="2"/>
            <w:tcBorders>
              <w:top w:val="nil"/>
              <w:left w:val="nil"/>
              <w:bottom w:val="nil"/>
            </w:tcBorders>
            <w:shd w:val="clear" w:color="auto" w:fill="auto"/>
          </w:tcPr>
          <w:p w:rsidR="0017135D" w:rsidRPr="00162618" w:rsidP="00290E47">
            <w:pPr>
              <w:pStyle w:val="CSBody8pt"/>
            </w:pPr>
            <w:r w:rsidRPr="00792D61">
              <w:rPr>
                <w:b/>
              </w:rPr>
              <w:t>[</w:t>
            </w:r>
            <w:r w:rsidRPr="00162618">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7868AC" w:rsidP="00290E47">
            <w:pPr>
              <w:pStyle w:val="CSBody8pt"/>
              <w:rPr>
                <w:lang w:val="de-DE"/>
              </w:rPr>
            </w:pPr>
          </w:p>
        </w:tc>
        <w:tc>
          <w:tcPr>
            <w:tcW w:w="1672" w:type="dxa"/>
            <w:gridSpan w:val="6"/>
            <w:tcBorders>
              <w:top w:val="nil"/>
              <w:left w:val="nil"/>
              <w:bottom w:val="nil"/>
              <w:right w:val="nil"/>
            </w:tcBorders>
            <w:shd w:val="clear" w:color="auto" w:fill="auto"/>
          </w:tcPr>
          <w:p w:rsidR="0017135D" w:rsidRPr="00D02707" w:rsidP="00290E47">
            <w:pPr>
              <w:pStyle w:val="CSBody8pt"/>
            </w:pPr>
            <w:r w:rsidRPr="00792D61">
              <w:rPr>
                <w:b/>
              </w:rPr>
              <w:t>[</w:t>
            </w:r>
            <w:r w:rsidRPr="00D02707">
              <w:t>WKN</w:t>
            </w:r>
          </w:p>
        </w:tc>
        <w:tc>
          <w:tcPr>
            <w:tcW w:w="1646" w:type="dxa"/>
            <w:gridSpan w:val="4"/>
            <w:tcBorders>
              <w:top w:val="nil"/>
              <w:left w:val="nil"/>
              <w:bottom w:val="nil"/>
              <w:right w:val="nil"/>
            </w:tcBorders>
            <w:shd w:val="clear" w:color="auto" w:fill="auto"/>
          </w:tcPr>
          <w:p w:rsidR="0017135D" w:rsidRPr="00D02707" w:rsidP="00290E47">
            <w:pPr>
              <w:pStyle w:val="CSBody8pt"/>
            </w:pPr>
            <w:r w:rsidRPr="00792D61">
              <w:rPr>
                <w:b/>
              </w:rPr>
              <w:t>[</w:t>
            </w:r>
            <w:r w:rsidRPr="00D02707">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7868AC" w:rsidP="00290E47">
            <w:pPr>
              <w:pStyle w:val="CSBody8pt"/>
              <w:rPr>
                <w:lang w:val="de-DE"/>
              </w:rPr>
            </w:pPr>
          </w:p>
        </w:tc>
        <w:tc>
          <w:tcPr>
            <w:tcW w:w="1666" w:type="dxa"/>
            <w:gridSpan w:val="5"/>
            <w:tcBorders>
              <w:top w:val="nil"/>
              <w:left w:val="nil"/>
              <w:bottom w:val="nil"/>
              <w:right w:val="nil"/>
            </w:tcBorders>
            <w:shd w:val="clear" w:color="auto" w:fill="auto"/>
          </w:tcPr>
          <w:p w:rsidR="0017135D" w:rsidRPr="00162618" w:rsidP="00290E47">
            <w:pPr>
              <w:pStyle w:val="CSBody8pt"/>
            </w:pPr>
            <w:r w:rsidRPr="00792D61">
              <w:rPr>
                <w:b/>
              </w:rPr>
              <w:t>[</w:t>
            </w:r>
            <w:r w:rsidRPr="00162618">
              <w:t xml:space="preserve">insert additional security code: </w:t>
            </w:r>
            <w:r w:rsidRPr="00792D61">
              <w:rPr>
                <w:b/>
              </w:rPr>
              <w:t>[</w:t>
            </w:r>
            <w:r>
              <w:rPr>
                <w:rFonts w:ascii="Arial" w:hAnsi="Arial" w:cs="Arial"/>
              </w:rPr>
              <w:t>●</w:t>
            </w:r>
            <w:r w:rsidRPr="00792D61">
              <w:rPr>
                <w:b/>
              </w:rPr>
              <w:t>]</w:t>
            </w:r>
          </w:p>
        </w:tc>
        <w:tc>
          <w:tcPr>
            <w:tcW w:w="1649" w:type="dxa"/>
            <w:gridSpan w:val="2"/>
            <w:tcBorders>
              <w:top w:val="nil"/>
              <w:left w:val="nil"/>
              <w:bottom w:val="nil"/>
            </w:tcBorders>
            <w:shd w:val="clear" w:color="auto" w:fill="auto"/>
          </w:tcPr>
          <w:p w:rsidR="0017135D" w:rsidP="00290E47">
            <w:pPr>
              <w:pStyle w:val="CSBody8pt"/>
            </w:pPr>
            <w:r w:rsidRPr="00792D61">
              <w:rPr>
                <w:b/>
              </w:rPr>
              <w:t>[</w:t>
            </w:r>
            <w:r w:rsidRPr="00162618">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7868AC" w:rsidP="00290E47">
            <w:pPr>
              <w:pStyle w:val="CSBody8pt"/>
              <w:rPr>
                <w:lang w:val="de-DE"/>
              </w:rPr>
            </w:pPr>
          </w:p>
        </w:tc>
        <w:tc>
          <w:tcPr>
            <w:tcW w:w="1672" w:type="dxa"/>
            <w:gridSpan w:val="6"/>
            <w:tcBorders>
              <w:top w:val="nil"/>
              <w:left w:val="nil"/>
              <w:bottom w:val="nil"/>
              <w:right w:val="nil"/>
            </w:tcBorders>
            <w:shd w:val="clear" w:color="auto" w:fill="auto"/>
          </w:tcPr>
          <w:p w:rsidR="0017135D" w:rsidRPr="00D02707" w:rsidP="00290E47">
            <w:pPr>
              <w:pStyle w:val="CSBody8pt"/>
            </w:pPr>
            <w:r w:rsidRPr="00792D61">
              <w:rPr>
                <w:b/>
              </w:rPr>
              <w:t>[</w:t>
            </w:r>
            <w:r w:rsidRPr="00D02707">
              <w:t xml:space="preserve">weitere Kennnnummer: </w:t>
            </w:r>
            <w:r w:rsidRPr="00792D61">
              <w:rPr>
                <w:b/>
              </w:rPr>
              <w:t>[</w:t>
            </w:r>
            <w:r>
              <w:rPr>
                <w:rFonts w:ascii="Arial" w:hAnsi="Arial" w:cs="Arial"/>
              </w:rPr>
              <w:t>●</w:t>
            </w:r>
            <w:r w:rsidRPr="00792D61">
              <w:rPr>
                <w:b/>
              </w:rPr>
              <w:t>]]</w:t>
            </w:r>
          </w:p>
        </w:tc>
        <w:tc>
          <w:tcPr>
            <w:tcW w:w="1646" w:type="dxa"/>
            <w:gridSpan w:val="4"/>
            <w:tcBorders>
              <w:top w:val="nil"/>
              <w:left w:val="nil"/>
              <w:bottom w:val="nil"/>
              <w:right w:val="nil"/>
            </w:tcBorders>
            <w:shd w:val="clear" w:color="auto" w:fill="auto"/>
          </w:tcPr>
          <w:p w:rsidR="0017135D" w:rsidP="00290E47">
            <w:pPr>
              <w:pStyle w:val="CSBody8pt"/>
            </w:pPr>
            <w:r w:rsidRPr="00792D61">
              <w:rPr>
                <w:b/>
              </w:rPr>
              <w:t>[</w:t>
            </w:r>
            <w:r w:rsidRPr="00D02707">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6565D" w:rsidP="00290E47">
            <w:pPr>
              <w:pStyle w:val="CSBody8pt"/>
            </w:pPr>
            <w:r w:rsidRPr="0006565D">
              <w:t>Issuer</w:t>
            </w:r>
          </w:p>
        </w:tc>
        <w:tc>
          <w:tcPr>
            <w:tcW w:w="3315" w:type="dxa"/>
            <w:gridSpan w:val="7"/>
            <w:tcBorders>
              <w:top w:val="nil"/>
              <w:left w:val="nil"/>
              <w:bottom w:val="nil"/>
            </w:tcBorders>
            <w:shd w:val="clear" w:color="auto" w:fill="auto"/>
          </w:tcPr>
          <w:p w:rsidR="0017135D" w:rsidP="00290E47">
            <w:pPr>
              <w:pStyle w:val="CSBody8pt"/>
            </w:pPr>
            <w:r w:rsidRPr="0006565D">
              <w:t>Credit Suisse AG, Paradeplatz 8, 8001 Zurich, Switzerland</w:t>
            </w:r>
            <w:r w:rsidRPr="00792D61">
              <w:rPr>
                <w:b/>
              </w:rPr>
              <w:t>[</w:t>
            </w:r>
            <w:r w:rsidRPr="0006565D">
              <w:t xml:space="preserve">,acting through its </w:t>
            </w:r>
            <w:r w:rsidRPr="00792D61">
              <w:rPr>
                <w:b/>
              </w:rPr>
              <w:t>[</w:t>
            </w:r>
            <w:r>
              <w:rPr>
                <w:rFonts w:ascii="Arial" w:hAnsi="Arial" w:cs="Arial"/>
              </w:rPr>
              <w:t>●</w:t>
            </w:r>
            <w:r w:rsidRPr="00792D61">
              <w:rPr>
                <w:b/>
              </w:rPr>
              <w:t>]</w:t>
            </w:r>
            <w:r w:rsidRPr="0006565D">
              <w:t xml:space="preserve"> Branch, </w:t>
            </w:r>
            <w:r w:rsidRPr="00792D61">
              <w:rPr>
                <w:b/>
              </w:rPr>
              <w:t>[</w:t>
            </w:r>
            <w:r w:rsidRPr="0006565D">
              <w:t>city</w:t>
            </w:r>
            <w:r w:rsidRPr="00792D61">
              <w:rPr>
                <w:b/>
              </w:rPr>
              <w:t>]</w:t>
            </w:r>
            <w:r w:rsidRPr="0006565D">
              <w:t xml:space="preserve">, </w:t>
            </w:r>
            <w:r w:rsidRPr="00792D61">
              <w:rPr>
                <w:b/>
              </w:rPr>
              <w:t>[</w:t>
            </w:r>
            <w:r w:rsidRPr="0006565D">
              <w:t>country</w:t>
            </w:r>
            <w:r w:rsidRPr="00792D61">
              <w:rPr>
                <w:b/>
              </w:rPr>
              <w:t>]</w:t>
            </w:r>
            <w:r w:rsidRPr="0006565D">
              <w:t xml:space="preserve"> </w:t>
            </w:r>
            <w:r w:rsidRPr="00792D61">
              <w:rPr>
                <w:b/>
              </w:rPr>
              <w:t>[</w:t>
            </w:r>
            <w:r w:rsidRPr="00290E47">
              <w:rPr>
                <w:b/>
                <w:i/>
              </w:rPr>
              <w:t>if Credit Suisse AG London Branch is the Issuer, insert:</w:t>
            </w:r>
            <w:r w:rsidRPr="0006565D">
              <w:t xml:space="preserve"> Credit Suisse AG, London Branch is authorised and regulated by FINMA in Switzerland, authorised by the Prudential Regulation Authority, and subject to regulation by the Financial Conduct Authority and limited regulation by the Prudential Regulation Authority. Details about the extent of the regulation of Credit Suisse AG London Branch by the Prudential Regulation Authority are available from the Issuer on request.</w:t>
            </w:r>
            <w:r w:rsidRPr="00792D61">
              <w:rPr>
                <w:b/>
              </w:rPr>
              <w:t>]</w:t>
            </w:r>
          </w:p>
        </w:tc>
        <w:tc>
          <w:tcPr>
            <w:tcW w:w="1618" w:type="dxa"/>
            <w:gridSpan w:val="2"/>
            <w:tcBorders>
              <w:top w:val="nil"/>
              <w:bottom w:val="nil"/>
              <w:right w:val="nil"/>
            </w:tcBorders>
            <w:shd w:val="clear" w:color="auto" w:fill="auto"/>
          </w:tcPr>
          <w:p w:rsidR="0017135D" w:rsidRPr="005C52DA" w:rsidP="00290E47">
            <w:pPr>
              <w:pStyle w:val="CSBody8pt"/>
            </w:pPr>
            <w:r w:rsidRPr="005C52DA">
              <w:t>Emittentin</w:t>
            </w:r>
          </w:p>
        </w:tc>
        <w:tc>
          <w:tcPr>
            <w:tcW w:w="3318" w:type="dxa"/>
            <w:gridSpan w:val="10"/>
            <w:tcBorders>
              <w:top w:val="nil"/>
              <w:left w:val="nil"/>
              <w:bottom w:val="nil"/>
              <w:right w:val="nil"/>
            </w:tcBorders>
            <w:shd w:val="clear" w:color="auto" w:fill="auto"/>
          </w:tcPr>
          <w:p w:rsidR="0017135D" w:rsidRPr="00207FE7" w:rsidP="001F08E0">
            <w:pPr>
              <w:pStyle w:val="CSBody8pt"/>
              <w:rPr>
                <w:lang w:val="de-DE"/>
              </w:rPr>
            </w:pPr>
            <w:r w:rsidRPr="00207FE7">
              <w:rPr>
                <w:lang w:val="de-DE"/>
              </w:rPr>
              <w:t>Credit Suisse AG, Paradeplatz 8, 8001 Zürich, Schweiz</w:t>
            </w:r>
            <w:r w:rsidRPr="00792D61">
              <w:rPr>
                <w:b/>
                <w:lang w:val="de-DE"/>
              </w:rPr>
              <w:t>[</w:t>
            </w:r>
            <w:r w:rsidRPr="00207FE7">
              <w:rPr>
                <w:lang w:val="de-DE"/>
              </w:rPr>
              <w:t xml:space="preserve">, handelnd durch ihre Zweigniederlassung </w:t>
            </w:r>
            <w:r w:rsidRPr="00792D61">
              <w:rPr>
                <w:b/>
                <w:lang w:val="de-DE"/>
              </w:rPr>
              <w:t>[</w:t>
            </w:r>
            <w:r>
              <w:rPr>
                <w:rFonts w:ascii="Arial" w:hAnsi="Arial" w:cs="Arial"/>
                <w:lang w:val="de-DE"/>
              </w:rPr>
              <w:t>●</w:t>
            </w:r>
            <w:r w:rsidRPr="00792D61">
              <w:rPr>
                <w:b/>
                <w:lang w:val="de-DE"/>
              </w:rPr>
              <w:t>]</w:t>
            </w:r>
            <w:r w:rsidRPr="00207FE7">
              <w:rPr>
                <w:lang w:val="de-DE"/>
              </w:rPr>
              <w:t xml:space="preserve"> </w:t>
            </w:r>
            <w:r w:rsidRPr="00792D61">
              <w:rPr>
                <w:b/>
                <w:lang w:val="de-DE"/>
              </w:rPr>
              <w:t>[</w:t>
            </w:r>
            <w:r w:rsidRPr="00207FE7">
              <w:rPr>
                <w:lang w:val="de-DE"/>
              </w:rPr>
              <w:t>Stadt</w:t>
            </w:r>
            <w:r w:rsidRPr="00792D61">
              <w:rPr>
                <w:b/>
                <w:lang w:val="de-DE"/>
              </w:rPr>
              <w:t>]</w:t>
            </w:r>
            <w:r w:rsidRPr="00207FE7">
              <w:rPr>
                <w:lang w:val="de-DE"/>
              </w:rPr>
              <w:t xml:space="preserve">, </w:t>
            </w:r>
            <w:r w:rsidRPr="00792D61">
              <w:rPr>
                <w:b/>
                <w:lang w:val="de-DE"/>
              </w:rPr>
              <w:t>[</w:t>
            </w:r>
            <w:r w:rsidRPr="00207FE7">
              <w:rPr>
                <w:lang w:val="de-DE"/>
              </w:rPr>
              <w:t>Land</w:t>
            </w:r>
            <w:r w:rsidRPr="00792D61">
              <w:rPr>
                <w:b/>
                <w:lang w:val="de-DE"/>
              </w:rPr>
              <w:t>]</w:t>
            </w:r>
            <w:r w:rsidRPr="00207FE7">
              <w:rPr>
                <w:lang w:val="de-DE"/>
              </w:rPr>
              <w:t xml:space="preserve"> </w:t>
            </w:r>
            <w:r w:rsidRPr="00792D61">
              <w:rPr>
                <w:b/>
                <w:lang w:val="de-DE"/>
              </w:rPr>
              <w:t>[</w:t>
            </w:r>
            <w:r w:rsidRPr="00290E47">
              <w:rPr>
                <w:b/>
                <w:i/>
                <w:lang w:val="de-DE"/>
              </w:rPr>
              <w:t>im Fall von Credit Suisse AG London Branch als Emittentin einf</w:t>
            </w:r>
            <w:r w:rsidRPr="00290E47">
              <w:rPr>
                <w:rFonts w:cs="Credit Suisse Type Light"/>
                <w:b/>
                <w:i/>
                <w:lang w:val="de-DE"/>
              </w:rPr>
              <w:t>ü</w:t>
            </w:r>
            <w:r w:rsidRPr="00290E47">
              <w:rPr>
                <w:b/>
                <w:i/>
                <w:lang w:val="de-DE"/>
              </w:rPr>
              <w:t>gen:</w:t>
            </w:r>
            <w:r w:rsidRPr="00207FE7">
              <w:rPr>
                <w:lang w:val="de-DE"/>
              </w:rPr>
              <w:t xml:space="preserve"> Credit Suisse AG, London Branch ist durch die FINMA in der Schweiz autorisiert und beaufsichtigt, ist autorisiert durch die Prudential Regulation Authority und unterliegt der Aufsicht durch die Financial Conduct Authority und der beschränkten Aufsicht durch die Prudential Regulation Authority. Einzelheiten zum Umfang der Beaufsichtigung der Credit Suisse AG London Branch durch die Prudential Regulation Authority sind auf Nachfrage bei der Emittentin erhältlich.</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7135D" w:rsidP="00290E47">
            <w:pPr>
              <w:pStyle w:val="CSBody8pt"/>
              <w:rPr>
                <w:lang w:val="de-DE"/>
              </w:rPr>
            </w:pPr>
          </w:p>
        </w:tc>
        <w:tc>
          <w:tcPr>
            <w:tcW w:w="3315" w:type="dxa"/>
            <w:gridSpan w:val="7"/>
            <w:tcBorders>
              <w:top w:val="nil"/>
              <w:left w:val="nil"/>
              <w:bottom w:val="nil"/>
            </w:tcBorders>
            <w:shd w:val="clear" w:color="auto" w:fill="auto"/>
          </w:tcPr>
          <w:p w:rsidR="0017135D" w:rsidRPr="0006565D" w:rsidP="004C1EBA">
            <w:pPr>
              <w:pStyle w:val="CSBody8pt"/>
            </w:pPr>
            <w:r w:rsidRPr="009D08E0">
              <w:rPr>
                <w:b/>
              </w:rPr>
              <w:t>[</w:t>
            </w:r>
            <w:r w:rsidRPr="009D08E0">
              <w:t>The Issuer is authorised and supervised by FINMA in Switzerland</w:t>
            </w:r>
            <w:r>
              <w:t>.</w:t>
            </w:r>
            <w:r w:rsidRPr="009D08E0">
              <w:rPr>
                <w:b/>
              </w:rPr>
              <w:t>]</w:t>
            </w:r>
          </w:p>
        </w:tc>
        <w:tc>
          <w:tcPr>
            <w:tcW w:w="1618" w:type="dxa"/>
            <w:gridSpan w:val="2"/>
            <w:tcBorders>
              <w:top w:val="nil"/>
              <w:bottom w:val="nil"/>
              <w:right w:val="nil"/>
            </w:tcBorders>
            <w:shd w:val="clear" w:color="auto" w:fill="auto"/>
          </w:tcPr>
          <w:p w:rsidR="0017135D" w:rsidRPr="005C52DA" w:rsidP="00290E47">
            <w:pPr>
              <w:pStyle w:val="CSBody8pt"/>
            </w:pPr>
          </w:p>
        </w:tc>
        <w:tc>
          <w:tcPr>
            <w:tcW w:w="3318" w:type="dxa"/>
            <w:gridSpan w:val="10"/>
            <w:tcBorders>
              <w:top w:val="nil"/>
              <w:left w:val="nil"/>
              <w:bottom w:val="nil"/>
              <w:right w:val="nil"/>
            </w:tcBorders>
            <w:shd w:val="clear" w:color="auto" w:fill="auto"/>
          </w:tcPr>
          <w:p w:rsidR="0017135D" w:rsidRPr="009D08E0" w:rsidP="004C1EBA">
            <w:pPr>
              <w:pStyle w:val="CSBody8pt"/>
              <w:rPr>
                <w:lang w:val="de-DE"/>
              </w:rPr>
            </w:pPr>
            <w:r w:rsidRPr="009D08E0">
              <w:rPr>
                <w:b/>
                <w:lang w:val="de-DE"/>
              </w:rPr>
              <w:t>[</w:t>
            </w:r>
            <w:r w:rsidRPr="009D08E0">
              <w:rPr>
                <w:lang w:val="de-DE"/>
              </w:rPr>
              <w:t>Die Emittentin ist durch die FINMA autorisiert und beaufsichtigt</w:t>
            </w:r>
            <w:r w:rsidRPr="009D08E0">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84CF9" w:rsidP="00290E47">
            <w:pPr>
              <w:pStyle w:val="CSBody8pt"/>
            </w:pPr>
            <w:r w:rsidRPr="00584CF9">
              <w:t>Lead Manager</w:t>
            </w:r>
          </w:p>
        </w:tc>
        <w:tc>
          <w:tcPr>
            <w:tcW w:w="3315" w:type="dxa"/>
            <w:gridSpan w:val="7"/>
            <w:tcBorders>
              <w:top w:val="nil"/>
              <w:left w:val="nil"/>
              <w:bottom w:val="nil"/>
            </w:tcBorders>
            <w:shd w:val="clear" w:color="auto" w:fill="auto"/>
          </w:tcPr>
          <w:p w:rsidR="0017135D" w:rsidRPr="00207FE7" w:rsidP="00290E47">
            <w:pPr>
              <w:pStyle w:val="CSBody8pt"/>
              <w:rPr>
                <w:lang w:val="de-DE"/>
              </w:rPr>
            </w:pPr>
            <w:r w:rsidRPr="00207FE7">
              <w:rPr>
                <w:lang w:val="de-DE"/>
              </w:rPr>
              <w:t>Credit Suisse AG, Paradeplatz 8, 8001 Zurich, Switzerland</w:t>
            </w:r>
          </w:p>
        </w:tc>
        <w:tc>
          <w:tcPr>
            <w:tcW w:w="1618" w:type="dxa"/>
            <w:gridSpan w:val="2"/>
            <w:tcBorders>
              <w:top w:val="nil"/>
              <w:bottom w:val="nil"/>
              <w:right w:val="nil"/>
            </w:tcBorders>
            <w:shd w:val="clear" w:color="auto" w:fill="auto"/>
          </w:tcPr>
          <w:p w:rsidR="0017135D" w:rsidRPr="009B3FF9" w:rsidP="00290E47">
            <w:pPr>
              <w:pStyle w:val="CSBody8pt"/>
            </w:pPr>
            <w:r w:rsidRPr="009B3FF9">
              <w:t>Lead Manager</w:t>
            </w:r>
          </w:p>
        </w:tc>
        <w:tc>
          <w:tcPr>
            <w:tcW w:w="3318" w:type="dxa"/>
            <w:gridSpan w:val="10"/>
            <w:tcBorders>
              <w:top w:val="nil"/>
              <w:left w:val="nil"/>
              <w:bottom w:val="nil"/>
              <w:right w:val="nil"/>
            </w:tcBorders>
            <w:shd w:val="clear" w:color="auto" w:fill="auto"/>
          </w:tcPr>
          <w:p w:rsidR="0017135D" w:rsidRPr="00207FE7" w:rsidP="00290E47">
            <w:pPr>
              <w:pStyle w:val="CSBody8pt"/>
              <w:rPr>
                <w:lang w:val="de-DE"/>
              </w:rPr>
            </w:pPr>
            <w:r w:rsidRPr="00207FE7">
              <w:rPr>
                <w:lang w:val="de-DE"/>
              </w:rPr>
              <w:t>Credit Suisse AG, Paradeplatz 8, 8001 Zürich, Schweiz</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42C65" w:rsidP="00290E47">
            <w:pPr>
              <w:pStyle w:val="CSBody8pt"/>
            </w:pPr>
            <w:r w:rsidRPr="00792D61">
              <w:rPr>
                <w:b/>
              </w:rPr>
              <w:t>[[</w:t>
            </w:r>
            <w:r w:rsidRPr="00942C65">
              <w:t>Co-Lead Manager(s)</w:t>
            </w:r>
            <w:r w:rsidRPr="00792D61">
              <w:rPr>
                <w:b/>
              </w:rPr>
              <w:t>]</w:t>
            </w:r>
            <w:r w:rsidRPr="00942C65">
              <w:t xml:space="preserve"> </w:t>
            </w:r>
            <w:r w:rsidRPr="00792D61">
              <w:rPr>
                <w:b/>
              </w:rPr>
              <w:t>[</w:t>
            </w:r>
            <w:r w:rsidRPr="00942C65">
              <w:t>Initiator(s)</w:t>
            </w:r>
            <w:r w:rsidRPr="00792D61">
              <w:rPr>
                <w:b/>
              </w:rPr>
              <w:t>]</w:t>
            </w:r>
          </w:p>
        </w:tc>
        <w:tc>
          <w:tcPr>
            <w:tcW w:w="3315" w:type="dxa"/>
            <w:gridSpan w:val="7"/>
            <w:tcBorders>
              <w:top w:val="nil"/>
              <w:left w:val="nil"/>
              <w:bottom w:val="nil"/>
            </w:tcBorders>
            <w:shd w:val="clear" w:color="auto" w:fill="auto"/>
          </w:tcPr>
          <w:p w:rsidR="0017135D" w:rsidP="00290E47">
            <w:pPr>
              <w:pStyle w:val="CSBody8pt"/>
            </w:pPr>
            <w:r w:rsidRPr="00792D61">
              <w:rPr>
                <w:b/>
              </w:rPr>
              <w:t>[</w:t>
            </w:r>
            <w:r w:rsidRPr="00942C65">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681091" w:rsidP="00290E47">
            <w:pPr>
              <w:pStyle w:val="CSBody8pt"/>
            </w:pPr>
            <w:r w:rsidRPr="00792D61">
              <w:rPr>
                <w:b/>
              </w:rPr>
              <w:t>[[</w:t>
            </w:r>
            <w:r w:rsidRPr="00681091">
              <w:t>Co-Lead Manager(s)</w:t>
            </w:r>
            <w:r w:rsidRPr="00792D61">
              <w:rPr>
                <w:b/>
              </w:rPr>
              <w:t>]</w:t>
            </w:r>
            <w:r w:rsidRPr="00681091">
              <w:t xml:space="preserve"> </w:t>
            </w:r>
            <w:r w:rsidRPr="00792D61">
              <w:rPr>
                <w:b/>
              </w:rPr>
              <w:t>[</w:t>
            </w:r>
            <w:r w:rsidRPr="00681091">
              <w:t>Initiator(en)</w:t>
            </w:r>
            <w:r w:rsidRPr="00792D61">
              <w:rPr>
                <w:b/>
              </w:rPr>
              <w:t>]</w:t>
            </w:r>
          </w:p>
        </w:tc>
        <w:tc>
          <w:tcPr>
            <w:tcW w:w="3318" w:type="dxa"/>
            <w:gridSpan w:val="10"/>
            <w:tcBorders>
              <w:top w:val="nil"/>
              <w:left w:val="nil"/>
              <w:bottom w:val="nil"/>
              <w:right w:val="nil"/>
            </w:tcBorders>
            <w:shd w:val="clear" w:color="auto" w:fill="auto"/>
          </w:tcPr>
          <w:p w:rsidR="0017135D" w:rsidP="00290E47">
            <w:pPr>
              <w:pStyle w:val="CSBody8pt"/>
            </w:pPr>
            <w:r w:rsidRPr="00792D61">
              <w:rPr>
                <w:b/>
              </w:rPr>
              <w:t>[</w:t>
            </w:r>
            <w:r w:rsidRPr="00681091">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A6DF2" w:rsidP="00290E47">
            <w:pPr>
              <w:pStyle w:val="CSBody8pt"/>
            </w:pPr>
            <w:r w:rsidRPr="002A6DF2">
              <w:t>Dealer(s)</w:t>
            </w:r>
          </w:p>
        </w:tc>
        <w:tc>
          <w:tcPr>
            <w:tcW w:w="3315" w:type="dxa"/>
            <w:gridSpan w:val="7"/>
            <w:tcBorders>
              <w:top w:val="nil"/>
              <w:left w:val="nil"/>
              <w:bottom w:val="nil"/>
            </w:tcBorders>
            <w:shd w:val="clear" w:color="auto" w:fill="auto"/>
          </w:tcPr>
          <w:p w:rsidR="0017135D" w:rsidRPr="00207FE7" w:rsidP="00290E47">
            <w:pPr>
              <w:pStyle w:val="CSBody8pt"/>
              <w:rPr>
                <w:lang w:val="de-DE"/>
              </w:rPr>
            </w:pPr>
            <w:r w:rsidRPr="00792D61">
              <w:rPr>
                <w:b/>
                <w:lang w:val="de-DE"/>
              </w:rPr>
              <w:t>[</w:t>
            </w:r>
            <w:r w:rsidRPr="00207FE7">
              <w:rPr>
                <w:lang w:val="de-DE"/>
              </w:rPr>
              <w:t>Credit Suisse AG, Paradeplatz 8, 8001 Zurich, Switzerland</w:t>
            </w:r>
            <w:r w:rsidRPr="00792D61">
              <w:rPr>
                <w:b/>
                <w:lang w:val="de-DE"/>
              </w:rPr>
              <w:t>]</w:t>
            </w:r>
          </w:p>
        </w:tc>
        <w:tc>
          <w:tcPr>
            <w:tcW w:w="1618" w:type="dxa"/>
            <w:gridSpan w:val="2"/>
            <w:tcBorders>
              <w:top w:val="nil"/>
              <w:bottom w:val="nil"/>
              <w:right w:val="nil"/>
            </w:tcBorders>
            <w:shd w:val="clear" w:color="auto" w:fill="auto"/>
          </w:tcPr>
          <w:p w:rsidR="0017135D" w:rsidRPr="002A6DF2" w:rsidP="00290E47">
            <w:pPr>
              <w:pStyle w:val="CSBody8pt"/>
            </w:pPr>
            <w:r w:rsidRPr="002A6DF2">
              <w:t>Platzeur(e):</w:t>
            </w:r>
          </w:p>
        </w:tc>
        <w:tc>
          <w:tcPr>
            <w:tcW w:w="3318" w:type="dxa"/>
            <w:gridSpan w:val="10"/>
            <w:tcBorders>
              <w:top w:val="nil"/>
              <w:left w:val="nil"/>
              <w:bottom w:val="nil"/>
              <w:right w:val="nil"/>
            </w:tcBorders>
            <w:shd w:val="clear" w:color="auto" w:fill="auto"/>
          </w:tcPr>
          <w:p w:rsidR="0017135D" w:rsidRPr="00207FE7" w:rsidP="00290E47">
            <w:pPr>
              <w:pStyle w:val="CSBody8pt"/>
              <w:rPr>
                <w:lang w:val="de-DE"/>
              </w:rPr>
            </w:pPr>
            <w:r w:rsidRPr="00792D61">
              <w:rPr>
                <w:b/>
                <w:lang w:val="de-DE"/>
              </w:rPr>
              <w:t>[</w:t>
            </w:r>
            <w:r w:rsidRPr="00207FE7">
              <w:rPr>
                <w:lang w:val="de-DE"/>
              </w:rPr>
              <w:t>Credit Suisse AG, Paradeplatz 8, 8001 Zürich, Schweiz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07FE7" w:rsidP="00290E47">
            <w:pPr>
              <w:pStyle w:val="CSBody8pt"/>
              <w:rPr>
                <w:lang w:val="de-DE"/>
              </w:rPr>
            </w:pPr>
          </w:p>
        </w:tc>
        <w:tc>
          <w:tcPr>
            <w:tcW w:w="3315" w:type="dxa"/>
            <w:gridSpan w:val="7"/>
            <w:tcBorders>
              <w:top w:val="nil"/>
              <w:left w:val="nil"/>
              <w:bottom w:val="nil"/>
            </w:tcBorders>
            <w:shd w:val="clear" w:color="auto" w:fill="auto"/>
          </w:tcPr>
          <w:p w:rsidR="0017135D" w:rsidRPr="005B6548" w:rsidP="00290E47">
            <w:pPr>
              <w:pStyle w:val="CSBody8pt"/>
            </w:pPr>
            <w:r w:rsidRPr="00792D61">
              <w:rPr>
                <w:b/>
              </w:rPr>
              <w:t>[</w:t>
            </w:r>
            <w:r w:rsidRPr="005B6548">
              <w:t>Credit Suisse International, One Cabot Square, London E14 4QJ, United Kingdom</w:t>
            </w:r>
            <w:r w:rsidRPr="00792D61">
              <w:rPr>
                <w:b/>
              </w:rPr>
              <w:t>]</w:t>
            </w:r>
          </w:p>
        </w:tc>
        <w:tc>
          <w:tcPr>
            <w:tcW w:w="1618" w:type="dxa"/>
            <w:gridSpan w:val="2"/>
            <w:tcBorders>
              <w:top w:val="nil"/>
              <w:bottom w:val="nil"/>
              <w:right w:val="nil"/>
            </w:tcBorders>
            <w:shd w:val="clear" w:color="auto" w:fill="auto"/>
          </w:tcPr>
          <w:p w:rsidR="0017135D" w:rsidRPr="00207FE7" w:rsidP="00290E47">
            <w:pPr>
              <w:pStyle w:val="CSBody8pt"/>
            </w:pPr>
          </w:p>
        </w:tc>
        <w:tc>
          <w:tcPr>
            <w:tcW w:w="3318" w:type="dxa"/>
            <w:gridSpan w:val="10"/>
            <w:tcBorders>
              <w:top w:val="nil"/>
              <w:left w:val="nil"/>
              <w:bottom w:val="nil"/>
              <w:right w:val="nil"/>
            </w:tcBorders>
            <w:shd w:val="clear" w:color="auto" w:fill="auto"/>
          </w:tcPr>
          <w:p w:rsidR="0017135D" w:rsidRPr="00865B10" w:rsidP="00290E47">
            <w:pPr>
              <w:pStyle w:val="CSBody8pt"/>
            </w:pPr>
            <w:r w:rsidRPr="00792D61">
              <w:rPr>
                <w:b/>
              </w:rPr>
              <w:t>[</w:t>
            </w:r>
            <w:r w:rsidRPr="00865B10">
              <w:t>Credit Suisse International, One Cabot Square, London E14 4QJ, Vereinigtes Königreich</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07FE7" w:rsidP="00290E47">
            <w:pPr>
              <w:pStyle w:val="CSBody8pt"/>
            </w:pPr>
          </w:p>
        </w:tc>
        <w:tc>
          <w:tcPr>
            <w:tcW w:w="3315" w:type="dxa"/>
            <w:gridSpan w:val="7"/>
            <w:tcBorders>
              <w:top w:val="nil"/>
              <w:left w:val="nil"/>
              <w:bottom w:val="nil"/>
            </w:tcBorders>
            <w:shd w:val="clear" w:color="auto" w:fill="auto"/>
          </w:tcPr>
          <w:p w:rsidR="0017135D" w:rsidRPr="005B6548" w:rsidP="00290E47">
            <w:pPr>
              <w:pStyle w:val="CSBody8pt"/>
            </w:pPr>
            <w:r w:rsidRPr="00792D61">
              <w:rPr>
                <w:b/>
              </w:rPr>
              <w:t>[</w:t>
            </w:r>
            <w:r w:rsidRPr="005B6548">
              <w:t>Credit Suisse Securities (Europe) Limited, Niederlassung Frankfurt am Main, Junghofstrasse 16, 60311 Frankfurt a.M., Germany</w:t>
            </w:r>
            <w:r w:rsidRPr="00792D61">
              <w:rPr>
                <w:b/>
              </w:rPr>
              <w:t>]</w:t>
            </w:r>
          </w:p>
        </w:tc>
        <w:tc>
          <w:tcPr>
            <w:tcW w:w="1618" w:type="dxa"/>
            <w:gridSpan w:val="2"/>
            <w:tcBorders>
              <w:top w:val="nil"/>
              <w:bottom w:val="nil"/>
              <w:right w:val="nil"/>
            </w:tcBorders>
            <w:shd w:val="clear" w:color="auto" w:fill="auto"/>
          </w:tcPr>
          <w:p w:rsidR="0017135D" w:rsidRPr="00207FE7" w:rsidP="00290E47">
            <w:pPr>
              <w:pStyle w:val="CSBody8pt"/>
              <w:rPr>
                <w:lang w:val="de-DE"/>
              </w:rPr>
            </w:pPr>
          </w:p>
        </w:tc>
        <w:tc>
          <w:tcPr>
            <w:tcW w:w="3318" w:type="dxa"/>
            <w:gridSpan w:val="10"/>
            <w:tcBorders>
              <w:top w:val="nil"/>
              <w:left w:val="nil"/>
              <w:bottom w:val="nil"/>
              <w:right w:val="nil"/>
            </w:tcBorders>
            <w:shd w:val="clear" w:color="auto" w:fill="auto"/>
          </w:tcPr>
          <w:p w:rsidR="0017135D" w:rsidRPr="00F35C57" w:rsidP="00290E47">
            <w:pPr>
              <w:pStyle w:val="CSBody8pt"/>
              <w:rPr>
                <w:lang w:val="de-DE"/>
              </w:rPr>
            </w:pPr>
            <w:r w:rsidRPr="00792D61">
              <w:rPr>
                <w:b/>
                <w:lang w:val="de-DE"/>
              </w:rPr>
              <w:t>[</w:t>
            </w:r>
            <w:r w:rsidRPr="00F35C57">
              <w:rPr>
                <w:lang w:val="de-DE"/>
              </w:rPr>
              <w:t>Credit Suisse Securities (Europe) Limited, Niederlassung Frankfurt am Main, Junghofstrasse 16, 60311 Frankfurt a.M., Deutschland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07FE7" w:rsidP="00290E47">
            <w:pPr>
              <w:pStyle w:val="CSBody8pt"/>
              <w:rPr>
                <w:lang w:val="de-DE"/>
              </w:rPr>
            </w:pPr>
          </w:p>
        </w:tc>
        <w:tc>
          <w:tcPr>
            <w:tcW w:w="3315" w:type="dxa"/>
            <w:gridSpan w:val="7"/>
            <w:tcBorders>
              <w:top w:val="nil"/>
              <w:left w:val="nil"/>
              <w:bottom w:val="nil"/>
            </w:tcBorders>
            <w:shd w:val="clear" w:color="auto" w:fill="auto"/>
          </w:tcPr>
          <w:p w:rsidR="0017135D" w:rsidP="00290E47">
            <w:pPr>
              <w:pStyle w:val="CSBody8pt"/>
            </w:pPr>
            <w:r w:rsidRPr="00792D61">
              <w:rPr>
                <w:b/>
              </w:rPr>
              <w:t>[[</w:t>
            </w:r>
            <w:r w:rsidRPr="005B6548">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207FE7" w:rsidP="00290E47">
            <w:pPr>
              <w:pStyle w:val="CSBody8pt"/>
              <w:rPr>
                <w:lang w:val="de-DE"/>
              </w:rPr>
            </w:pPr>
          </w:p>
        </w:tc>
        <w:tc>
          <w:tcPr>
            <w:tcW w:w="3318" w:type="dxa"/>
            <w:gridSpan w:val="10"/>
            <w:tcBorders>
              <w:top w:val="nil"/>
              <w:left w:val="nil"/>
              <w:bottom w:val="nil"/>
              <w:right w:val="nil"/>
            </w:tcBorders>
            <w:shd w:val="clear" w:color="auto" w:fill="auto"/>
          </w:tcPr>
          <w:p w:rsidR="0017135D" w:rsidP="00290E47">
            <w:pPr>
              <w:pStyle w:val="CSBody8pt"/>
            </w:pPr>
            <w:r w:rsidRPr="00792D61">
              <w:rPr>
                <w:b/>
              </w:rPr>
              <w:t>[[</w:t>
            </w:r>
            <w:r w:rsidRPr="00865B10">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354F3" w:rsidP="00290E47">
            <w:pPr>
              <w:pStyle w:val="CSBody8pt"/>
            </w:pPr>
            <w:r w:rsidRPr="003354F3">
              <w:t>Paying Agent</w:t>
            </w:r>
          </w:p>
        </w:tc>
        <w:tc>
          <w:tcPr>
            <w:tcW w:w="3315" w:type="dxa"/>
            <w:gridSpan w:val="7"/>
            <w:tcBorders>
              <w:top w:val="nil"/>
              <w:left w:val="nil"/>
              <w:bottom w:val="nil"/>
            </w:tcBorders>
            <w:shd w:val="clear" w:color="auto" w:fill="auto"/>
          </w:tcPr>
          <w:p w:rsidR="0017135D" w:rsidRPr="003354F3" w:rsidP="00290E47">
            <w:pPr>
              <w:pStyle w:val="CSBody8pt"/>
            </w:pPr>
            <w:r w:rsidRPr="00792D61">
              <w:rPr>
                <w:b/>
              </w:rPr>
              <w:t>[</w:t>
            </w:r>
            <w:r w:rsidRPr="003354F3">
              <w:t>Credit Suisse AG, Paradeplatz 8, 8001 Zurich, Switzerland</w:t>
            </w:r>
            <w:r w:rsidRPr="00792D61">
              <w:rPr>
                <w:b/>
              </w:rPr>
              <w:t>][[</w:t>
            </w:r>
            <w:r w:rsidRPr="003354F3">
              <w:rPr>
                <w:rFonts w:ascii="Arial" w:hAnsi="Arial" w:cs="Arial"/>
              </w:rPr>
              <w:t>●</w:t>
            </w:r>
            <w:r w:rsidRPr="00792D61">
              <w:rPr>
                <w:b/>
              </w:rPr>
              <w:t>]]</w:t>
            </w:r>
            <w:r w:rsidRPr="003354F3">
              <w:t>, and any agents or other persons acting on behalf of such Paying Agent and any successor appointed by the Issuer.</w:t>
            </w:r>
          </w:p>
        </w:tc>
        <w:tc>
          <w:tcPr>
            <w:tcW w:w="1618" w:type="dxa"/>
            <w:gridSpan w:val="2"/>
            <w:tcBorders>
              <w:top w:val="nil"/>
              <w:bottom w:val="nil"/>
              <w:right w:val="nil"/>
            </w:tcBorders>
            <w:shd w:val="clear" w:color="auto" w:fill="auto"/>
          </w:tcPr>
          <w:p w:rsidR="0017135D" w:rsidRPr="003354F3" w:rsidP="00290E47">
            <w:pPr>
              <w:pStyle w:val="CSBody8pt"/>
            </w:pPr>
            <w:r w:rsidRPr="003354F3">
              <w:t>Zahlstelle</w:t>
            </w:r>
          </w:p>
        </w:tc>
        <w:tc>
          <w:tcPr>
            <w:tcW w:w="3318" w:type="dxa"/>
            <w:gridSpan w:val="10"/>
            <w:tcBorders>
              <w:top w:val="nil"/>
              <w:left w:val="nil"/>
              <w:bottom w:val="nil"/>
              <w:right w:val="nil"/>
            </w:tcBorders>
            <w:shd w:val="clear" w:color="auto" w:fill="auto"/>
          </w:tcPr>
          <w:p w:rsidR="0017135D" w:rsidRPr="00207FE7" w:rsidP="00290E47">
            <w:pPr>
              <w:pStyle w:val="CSBody8pt"/>
              <w:rPr>
                <w:lang w:val="de-DE"/>
              </w:rPr>
            </w:pPr>
            <w:r w:rsidRPr="00792D61">
              <w:rPr>
                <w:b/>
                <w:lang w:val="de-DE"/>
              </w:rPr>
              <w:t>[</w:t>
            </w:r>
            <w:r w:rsidRPr="00207FE7">
              <w:rPr>
                <w:lang w:val="de-DE"/>
              </w:rPr>
              <w:t>Credit Suisse AG, Paradeplatz 8, 8001 Z</w:t>
            </w:r>
            <w:r w:rsidRPr="00207FE7">
              <w:rPr>
                <w:rFonts w:cs="Credit Suisse Type Light"/>
                <w:lang w:val="de-DE"/>
              </w:rPr>
              <w:t>ü</w:t>
            </w:r>
            <w:r w:rsidRPr="00207FE7">
              <w:rPr>
                <w:lang w:val="de-DE"/>
              </w:rPr>
              <w:t>rich, Schweiz,</w:t>
            </w:r>
            <w:r w:rsidRPr="00792D61">
              <w:rPr>
                <w:b/>
                <w:lang w:val="de-DE"/>
              </w:rPr>
              <w:t>][[</w:t>
            </w:r>
            <w:r w:rsidRPr="00207FE7">
              <w:rPr>
                <w:rFonts w:ascii="Arial" w:hAnsi="Arial" w:cs="Arial"/>
                <w:lang w:val="de-DE"/>
              </w:rPr>
              <w:t>●</w:t>
            </w:r>
            <w:r w:rsidRPr="00792D61">
              <w:rPr>
                <w:b/>
                <w:lang w:val="de-DE"/>
              </w:rPr>
              <w:t>]]</w:t>
            </w:r>
            <w:r w:rsidRPr="00207FE7">
              <w:rPr>
                <w:lang w:val="de-DE"/>
              </w:rPr>
              <w:t xml:space="preserve"> und jede weitere Person, welche im Auftrag oder im Namen der Zahlstelle handelt, und jeder durch die Emittentin bestellte Nachfolger.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D28C6" w:rsidP="00290E47">
            <w:pPr>
              <w:pStyle w:val="CSBody8pt"/>
            </w:pPr>
            <w:r w:rsidRPr="00CD28C6">
              <w:t>Calculation Agent</w:t>
            </w:r>
          </w:p>
        </w:tc>
        <w:tc>
          <w:tcPr>
            <w:tcW w:w="3315" w:type="dxa"/>
            <w:gridSpan w:val="7"/>
            <w:tcBorders>
              <w:top w:val="nil"/>
              <w:left w:val="nil"/>
              <w:bottom w:val="nil"/>
            </w:tcBorders>
            <w:shd w:val="clear" w:color="auto" w:fill="auto"/>
          </w:tcPr>
          <w:p w:rsidR="0017135D" w:rsidRPr="00CD28C6" w:rsidP="00290E47">
            <w:pPr>
              <w:pStyle w:val="CSBody8pt"/>
            </w:pPr>
            <w:r w:rsidRPr="00792D61">
              <w:rPr>
                <w:b/>
              </w:rPr>
              <w:t>[</w:t>
            </w:r>
            <w:r w:rsidRPr="00CD28C6">
              <w:t>Credit Suisse AG, Paradeplatz 8, 8001 Zurich, Switzerland</w:t>
            </w:r>
            <w:r w:rsidRPr="00792D61">
              <w:rPr>
                <w:b/>
              </w:rPr>
              <w:t>][</w:t>
            </w:r>
            <w:r w:rsidRPr="00CD28C6">
              <w:t>Credit Suisse International, One Cabot Square, London E14 4QJ, United Kingdom</w:t>
            </w:r>
            <w:r w:rsidRPr="00792D61">
              <w:rPr>
                <w:b/>
              </w:rPr>
              <w:t>][[</w:t>
            </w:r>
            <w:r w:rsidRPr="00CD28C6">
              <w:rPr>
                <w:rFonts w:ascii="Arial" w:hAnsi="Arial" w:cs="Arial"/>
              </w:rPr>
              <w:t>●</w:t>
            </w:r>
            <w:r w:rsidRPr="00792D61">
              <w:rPr>
                <w:b/>
              </w:rPr>
              <w:t>]]</w:t>
            </w:r>
            <w:r w:rsidRPr="00CD28C6">
              <w:t>, and any agents or other persons acting on behalf of such Calculation Agent and any successor appointed by the Issuer.</w:t>
            </w:r>
          </w:p>
        </w:tc>
        <w:tc>
          <w:tcPr>
            <w:tcW w:w="1618" w:type="dxa"/>
            <w:gridSpan w:val="2"/>
            <w:tcBorders>
              <w:top w:val="nil"/>
              <w:bottom w:val="nil"/>
              <w:right w:val="nil"/>
            </w:tcBorders>
            <w:shd w:val="clear" w:color="auto" w:fill="auto"/>
          </w:tcPr>
          <w:p w:rsidR="0017135D" w:rsidRPr="00CD28C6" w:rsidP="00E968C0">
            <w:pPr>
              <w:pStyle w:val="CSBody8pt"/>
            </w:pPr>
            <w:r w:rsidRPr="00CD28C6">
              <w:t>Berechnungsstelle</w:t>
            </w:r>
          </w:p>
        </w:tc>
        <w:tc>
          <w:tcPr>
            <w:tcW w:w="3318" w:type="dxa"/>
            <w:gridSpan w:val="10"/>
            <w:tcBorders>
              <w:top w:val="nil"/>
              <w:left w:val="nil"/>
              <w:bottom w:val="nil"/>
              <w:right w:val="nil"/>
            </w:tcBorders>
            <w:shd w:val="clear" w:color="auto" w:fill="auto"/>
          </w:tcPr>
          <w:p w:rsidR="0017135D" w:rsidRPr="00207FE7" w:rsidP="00290E47">
            <w:pPr>
              <w:pStyle w:val="CSBody8pt"/>
              <w:rPr>
                <w:lang w:val="de-DE"/>
              </w:rPr>
            </w:pPr>
            <w:r w:rsidRPr="00792D61">
              <w:rPr>
                <w:b/>
                <w:lang w:val="de-DE"/>
              </w:rPr>
              <w:t>[</w:t>
            </w:r>
            <w:r w:rsidRPr="00207FE7">
              <w:rPr>
                <w:lang w:val="de-DE"/>
              </w:rPr>
              <w:t>Credit Suisse AG, Paradeplatz 8, 8001 Zürich, Schweiz,</w:t>
            </w:r>
            <w:r w:rsidRPr="00792D61">
              <w:rPr>
                <w:b/>
                <w:lang w:val="de-DE"/>
              </w:rPr>
              <w:t>][</w:t>
            </w:r>
            <w:r w:rsidRPr="00207FE7">
              <w:rPr>
                <w:lang w:val="de-DE"/>
              </w:rPr>
              <w:t>Credit Suisse International, One Cabot Square, London E14 4QJ, Vereinigtes Königreich,</w:t>
            </w:r>
            <w:r w:rsidRPr="00792D61">
              <w:rPr>
                <w:b/>
                <w:lang w:val="de-DE"/>
              </w:rPr>
              <w:t>][[</w:t>
            </w:r>
            <w:r w:rsidRPr="00207FE7">
              <w:rPr>
                <w:rFonts w:ascii="Arial" w:hAnsi="Arial" w:cs="Arial"/>
                <w:lang w:val="de-DE"/>
              </w:rPr>
              <w:t>●</w:t>
            </w:r>
            <w:r w:rsidRPr="00792D61">
              <w:rPr>
                <w:b/>
                <w:lang w:val="de-DE"/>
              </w:rPr>
              <w:t>]]</w:t>
            </w:r>
            <w:r w:rsidRPr="00207FE7">
              <w:rPr>
                <w:lang w:val="de-DE"/>
              </w:rPr>
              <w:t xml:space="preserve"> und jede weitere Person, welche im Auftrag oder im Namen der Berechnungsstelle handelt, und jeder durch die Emittentin bestellte Nachfolger.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9130D" w:rsidP="00290E47">
            <w:pPr>
              <w:pStyle w:val="CSBody8pt"/>
            </w:pPr>
            <w:r w:rsidRPr="00792D61">
              <w:rPr>
                <w:b/>
              </w:rPr>
              <w:t>[</w:t>
            </w:r>
            <w:r w:rsidRPr="0009130D">
              <w:t>Listing Agent</w:t>
            </w:r>
          </w:p>
        </w:tc>
        <w:tc>
          <w:tcPr>
            <w:tcW w:w="3315" w:type="dxa"/>
            <w:gridSpan w:val="7"/>
            <w:tcBorders>
              <w:top w:val="nil"/>
              <w:left w:val="nil"/>
              <w:bottom w:val="nil"/>
            </w:tcBorders>
            <w:shd w:val="clear" w:color="auto" w:fill="auto"/>
          </w:tcPr>
          <w:p w:rsidR="0017135D" w:rsidRPr="0009130D" w:rsidP="00290E47">
            <w:pPr>
              <w:pStyle w:val="CSBody8pt"/>
            </w:pPr>
            <w:r w:rsidRPr="00792D61">
              <w:rPr>
                <w:b/>
              </w:rPr>
              <w:t>[</w:t>
            </w:r>
            <w:r w:rsidRPr="00290E47">
              <w:rPr>
                <w:b/>
                <w:i/>
              </w:rPr>
              <w:t>in the case of Complex Products listed on the SIX Swiss Exchange Ltd:</w:t>
            </w:r>
            <w:r w:rsidRPr="0009130D">
              <w:t xml:space="preserve"> Credit Suisse AG, Paradeplatz 8, 8001 Zurich, Switzerland</w:t>
            </w:r>
            <w:r w:rsidRPr="00792D61">
              <w:rPr>
                <w:b/>
              </w:rPr>
              <w:t>][[</w:t>
            </w:r>
            <w:r w:rsidRPr="0009130D">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09130D" w:rsidP="00290E47">
            <w:pPr>
              <w:pStyle w:val="CSBody8pt"/>
            </w:pPr>
            <w:r w:rsidRPr="00792D61">
              <w:rPr>
                <w:b/>
              </w:rPr>
              <w:t>[</w:t>
            </w:r>
            <w:r w:rsidRPr="0009130D">
              <w:t>Listing Agent</w:t>
            </w:r>
          </w:p>
        </w:tc>
        <w:tc>
          <w:tcPr>
            <w:tcW w:w="3318" w:type="dxa"/>
            <w:gridSpan w:val="10"/>
            <w:tcBorders>
              <w:top w:val="nil"/>
              <w:left w:val="nil"/>
              <w:bottom w:val="nil"/>
              <w:right w:val="nil"/>
            </w:tcBorders>
            <w:shd w:val="clear" w:color="auto" w:fill="auto"/>
          </w:tcPr>
          <w:p w:rsidR="0017135D" w:rsidRPr="00207FE7" w:rsidP="00290E47">
            <w:pPr>
              <w:pStyle w:val="CSBody8pt"/>
              <w:rPr>
                <w:lang w:val="de-DE"/>
              </w:rPr>
            </w:pPr>
            <w:r w:rsidRPr="00792D61">
              <w:rPr>
                <w:b/>
                <w:lang w:val="de-DE"/>
              </w:rPr>
              <w:t>[</w:t>
            </w:r>
            <w:r w:rsidRPr="0025475E">
              <w:rPr>
                <w:b/>
                <w:i/>
                <w:lang w:val="de-DE"/>
              </w:rPr>
              <w:t>bei Komplexen Produkten, die an der SIX Swiss Exchange AG notiert sind:</w:t>
            </w:r>
            <w:r w:rsidRPr="00207FE7">
              <w:rPr>
                <w:lang w:val="de-DE"/>
              </w:rPr>
              <w:t xml:space="preserve"> Credit Suisse AG, Paradeplatz 8, 8001 Zürich, Schweiz</w:t>
            </w:r>
            <w:r w:rsidRPr="00792D61">
              <w:rPr>
                <w:b/>
                <w:lang w:val="de-DE"/>
              </w:rPr>
              <w:t>][[</w:t>
            </w:r>
            <w:r w:rsidRPr="00207FE7">
              <w:rPr>
                <w:rFonts w:ascii="Arial" w:hAnsi="Arial" w:cs="Arial"/>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624D18" w:rsidP="0025475E">
            <w:pPr>
              <w:pStyle w:val="CSBody8ptbolditalics"/>
            </w:pPr>
            <w:r w:rsidRPr="00792D61">
              <w:t>[</w:t>
            </w:r>
            <w:r w:rsidRPr="00624D18">
              <w:t xml:space="preserve">in the case of Credit-Linked Complex Products, insert: </w:t>
            </w:r>
          </w:p>
        </w:tc>
        <w:tc>
          <w:tcPr>
            <w:tcW w:w="4936" w:type="dxa"/>
            <w:gridSpan w:val="12"/>
            <w:tcBorders>
              <w:top w:val="nil"/>
              <w:bottom w:val="nil"/>
              <w:right w:val="nil"/>
            </w:tcBorders>
            <w:shd w:val="clear" w:color="auto" w:fill="auto"/>
          </w:tcPr>
          <w:p w:rsidR="0017135D" w:rsidRPr="000E502F" w:rsidP="0025475E">
            <w:pPr>
              <w:pStyle w:val="CSBody8ptbolditalics"/>
              <w:rPr>
                <w:lang w:val="de-DE"/>
              </w:rPr>
            </w:pPr>
            <w:r w:rsidRPr="00792D61">
              <w:rPr>
                <w:lang w:val="de-DE"/>
              </w:rPr>
              <w:t>[</w:t>
            </w:r>
            <w:r w:rsidRPr="000E502F">
              <w:rPr>
                <w:lang w:val="de-DE"/>
              </w:rPr>
              <w:t>bei Kreditbezogenen Komplexen Produkten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949AF" w:rsidP="0025475E">
            <w:pPr>
              <w:pStyle w:val="CSBody8pt"/>
            </w:pPr>
            <w:r w:rsidRPr="001949AF">
              <w:t>Reference Entity</w:t>
            </w:r>
            <w:r>
              <w:fldChar w:fldCharType="begin"/>
            </w:r>
            <w:r>
              <w:instrText xml:space="preserve"> XE "</w:instrText>
            </w:r>
            <w:r w:rsidRPr="00024485">
              <w:instrText>Reference Entity</w:instrText>
            </w:r>
            <w:r>
              <w:instrText>" \f "EN"</w:instrText>
            </w:r>
            <w:r>
              <w:fldChar w:fldCharType="end"/>
            </w:r>
          </w:p>
        </w:tc>
        <w:tc>
          <w:tcPr>
            <w:tcW w:w="3315" w:type="dxa"/>
            <w:gridSpan w:val="7"/>
            <w:tcBorders>
              <w:top w:val="nil"/>
              <w:left w:val="nil"/>
              <w:bottom w:val="nil"/>
            </w:tcBorders>
            <w:shd w:val="clear" w:color="auto" w:fill="auto"/>
          </w:tcPr>
          <w:p w:rsidR="0017135D" w:rsidRPr="001949AF" w:rsidP="0025475E">
            <w:pPr>
              <w:pStyle w:val="CSBody8ptbolditalics"/>
            </w:pPr>
            <w:r w:rsidRPr="00792D61">
              <w:t>[</w:t>
            </w:r>
            <w:r w:rsidRPr="0025475E">
              <w:t>if no Basket and no N</w:t>
            </w:r>
            <w:r w:rsidRPr="00BD6E0D">
              <w:rPr>
                <w:vertAlign w:val="superscript"/>
              </w:rPr>
              <w:t>th</w:t>
            </w:r>
            <w:r w:rsidRPr="0025475E">
              <w:t>-to-Default structure is applicable, insert:</w:t>
            </w:r>
          </w:p>
        </w:tc>
        <w:tc>
          <w:tcPr>
            <w:tcW w:w="1705" w:type="dxa"/>
            <w:gridSpan w:val="3"/>
            <w:tcBorders>
              <w:top w:val="nil"/>
              <w:bottom w:val="nil"/>
              <w:right w:val="nil"/>
            </w:tcBorders>
            <w:shd w:val="clear" w:color="auto" w:fill="auto"/>
          </w:tcPr>
          <w:p w:rsidR="0017135D" w:rsidRPr="004B2DAC" w:rsidP="0025475E">
            <w:pPr>
              <w:pStyle w:val="CSBody8pt"/>
            </w:pPr>
            <w:r w:rsidRPr="004B2DAC">
              <w:t>Referenzschuldner</w:t>
            </w:r>
            <w:r>
              <w:fldChar w:fldCharType="begin"/>
            </w:r>
            <w:r>
              <w:instrText xml:space="preserve"> XE "</w:instrText>
            </w:r>
            <w:r w:rsidRPr="00F93E62">
              <w:instrText>Referenzschuldner</w:instrText>
            </w:r>
            <w:r>
              <w:instrText xml:space="preserve">" </w:instrText>
            </w:r>
            <w:r>
              <w:fldChar w:fldCharType="end"/>
            </w:r>
          </w:p>
        </w:tc>
        <w:tc>
          <w:tcPr>
            <w:tcW w:w="3231" w:type="dxa"/>
            <w:gridSpan w:val="9"/>
            <w:tcBorders>
              <w:top w:val="nil"/>
              <w:left w:val="nil"/>
              <w:bottom w:val="nil"/>
              <w:right w:val="nil"/>
            </w:tcBorders>
            <w:shd w:val="clear" w:color="auto" w:fill="auto"/>
          </w:tcPr>
          <w:p w:rsidR="0017135D" w:rsidRPr="0025475E" w:rsidP="0025475E">
            <w:pPr>
              <w:pStyle w:val="CSBody8ptbolditalics"/>
              <w:rPr>
                <w:lang w:val="de-DE"/>
              </w:rPr>
            </w:pPr>
            <w:r w:rsidRPr="00792D61">
              <w:rPr>
                <w:lang w:val="de-DE"/>
              </w:rPr>
              <w:t>[</w:t>
            </w:r>
            <w:r w:rsidRPr="0025475E">
              <w:rPr>
                <w:lang w:val="de-DE"/>
              </w:rPr>
              <w:t>falls kein Korb und keine N</w:t>
            </w:r>
            <w:r w:rsidRPr="00BD6E0D">
              <w:rPr>
                <w:vertAlign w:val="superscript"/>
                <w:lang w:val="de-DE"/>
              </w:rPr>
              <w:t>th</w:t>
            </w:r>
            <w:r w:rsidRPr="0025475E">
              <w:rPr>
                <w:lang w:val="de-DE"/>
              </w:rPr>
              <w:t>-to-Default-Struktur anwendbar ist,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07FE7" w:rsidP="0025475E">
            <w:pPr>
              <w:pStyle w:val="CSBody8pt"/>
              <w:rPr>
                <w:lang w:val="de-DE"/>
              </w:rPr>
            </w:pPr>
          </w:p>
        </w:tc>
        <w:tc>
          <w:tcPr>
            <w:tcW w:w="3315" w:type="dxa"/>
            <w:gridSpan w:val="7"/>
            <w:tcBorders>
              <w:top w:val="nil"/>
              <w:left w:val="nil"/>
              <w:bottom w:val="nil"/>
            </w:tcBorders>
            <w:shd w:val="clear" w:color="auto" w:fill="auto"/>
          </w:tcPr>
          <w:p w:rsidR="0017135D" w:rsidRPr="00702075" w:rsidP="0025475E">
            <w:pPr>
              <w:pStyle w:val="CSBody8pt"/>
            </w:pPr>
            <w:r w:rsidRPr="00792D61">
              <w:rPr>
                <w:b/>
              </w:rPr>
              <w:t>[</w:t>
            </w:r>
            <w:r w:rsidRPr="00702075">
              <w:rPr>
                <w:rFonts w:ascii="Arial" w:hAnsi="Arial" w:cs="Arial"/>
              </w:rPr>
              <w:t>●</w:t>
            </w:r>
            <w:r w:rsidRPr="00792D61">
              <w:rPr>
                <w:b/>
              </w:rPr>
              <w:t>]</w:t>
            </w:r>
            <w:r w:rsidRPr="00702075">
              <w:t xml:space="preserve"> </w:t>
            </w:r>
            <w:r w:rsidRPr="00792D61">
              <w:rPr>
                <w:b/>
              </w:rPr>
              <w:t>[</w:t>
            </w:r>
            <w:r w:rsidRPr="0025475E">
              <w:rPr>
                <w:b/>
                <w:i/>
              </w:rPr>
              <w:t>in the case of Credit-Linked Complex Products with auction settlement, insert:</w:t>
            </w:r>
            <w:r w:rsidRPr="00702075">
              <w:t xml:space="preserve"> and following delivery of a Successor Notice with respect to such entity by the Issuer to the Holders in accordance with Section 8 and the Calculation Agent any Successor, identified by the Calculation Agent either:</w:t>
            </w:r>
          </w:p>
        </w:tc>
        <w:tc>
          <w:tcPr>
            <w:tcW w:w="1705" w:type="dxa"/>
            <w:gridSpan w:val="3"/>
            <w:tcBorders>
              <w:top w:val="nil"/>
              <w:bottom w:val="nil"/>
              <w:right w:val="nil"/>
            </w:tcBorders>
            <w:shd w:val="clear" w:color="auto" w:fill="auto"/>
          </w:tcPr>
          <w:p w:rsidR="0017135D" w:rsidRPr="000E502F" w:rsidP="0025475E">
            <w:pPr>
              <w:pStyle w:val="CSBody8pt"/>
            </w:pPr>
          </w:p>
        </w:tc>
        <w:tc>
          <w:tcPr>
            <w:tcW w:w="3231" w:type="dxa"/>
            <w:gridSpan w:val="9"/>
            <w:tcBorders>
              <w:top w:val="nil"/>
              <w:left w:val="nil"/>
              <w:bottom w:val="nil"/>
              <w:right w:val="nil"/>
            </w:tcBorders>
            <w:shd w:val="clear" w:color="auto" w:fill="auto"/>
          </w:tcPr>
          <w:p w:rsidR="0017135D" w:rsidRPr="000E502F" w:rsidP="004C1EBA">
            <w:pPr>
              <w:pStyle w:val="CSBody8pt"/>
              <w:rPr>
                <w:lang w:val="de-DE"/>
              </w:rPr>
            </w:pPr>
            <w:r w:rsidRPr="00792D61">
              <w:rPr>
                <w:b/>
                <w:lang w:val="de-DE"/>
              </w:rPr>
              <w:t>[</w:t>
            </w:r>
            <w:r w:rsidRPr="000E502F">
              <w:rPr>
                <w:rFonts w:ascii="Arial" w:hAnsi="Arial" w:cs="Arial"/>
                <w:lang w:val="de-DE"/>
              </w:rPr>
              <w:t>●</w:t>
            </w:r>
            <w:r w:rsidRPr="00792D61">
              <w:rPr>
                <w:b/>
                <w:lang w:val="de-DE"/>
              </w:rPr>
              <w:t>]</w:t>
            </w:r>
            <w:r w:rsidRPr="000E502F">
              <w:rPr>
                <w:lang w:val="de-DE"/>
              </w:rPr>
              <w:t xml:space="preserve"> </w:t>
            </w:r>
            <w:r w:rsidRPr="00792D61">
              <w:rPr>
                <w:b/>
                <w:lang w:val="de-DE"/>
              </w:rPr>
              <w:t>[</w:t>
            </w:r>
            <w:r w:rsidRPr="0025475E">
              <w:rPr>
                <w:b/>
                <w:i/>
                <w:lang w:val="de-DE"/>
              </w:rPr>
              <w:t>bei Kreditbezogenen Komplexen Produkten mit Auktionsabwicklung einf</w:t>
            </w:r>
            <w:r w:rsidRPr="0025475E">
              <w:rPr>
                <w:rFonts w:cs="Credit Suisse Type Light"/>
                <w:b/>
                <w:i/>
                <w:lang w:val="de-DE"/>
              </w:rPr>
              <w:t>ü</w:t>
            </w:r>
            <w:r w:rsidRPr="0025475E">
              <w:rPr>
                <w:b/>
                <w:i/>
                <w:lang w:val="de-DE"/>
              </w:rPr>
              <w:t>gen:</w:t>
            </w:r>
            <w:r w:rsidRPr="000E502F">
              <w:rPr>
                <w:lang w:val="de-DE"/>
              </w:rPr>
              <w:t xml:space="preserve"> sowie nach </w:t>
            </w:r>
            <w:r w:rsidRPr="000E502F">
              <w:rPr>
                <w:rFonts w:cs="Credit Suisse Type Light"/>
                <w:lang w:val="de-DE"/>
              </w:rPr>
              <w:t>Ü</w:t>
            </w:r>
            <w:r w:rsidRPr="000E502F">
              <w:rPr>
                <w:lang w:val="de-DE"/>
              </w:rPr>
              <w:t xml:space="preserve">bermittlung einer </w:t>
            </w:r>
            <w:r>
              <w:rPr>
                <w:lang w:val="de-DE"/>
              </w:rPr>
              <w:t>Rechtsnachfolge-Mitteilung</w:t>
            </w:r>
            <w:r w:rsidRPr="000E502F">
              <w:rPr>
                <w:lang w:val="de-DE"/>
              </w:rPr>
              <w:t xml:space="preserve"> durch die Emittentin an die Inhaber gem</w:t>
            </w:r>
            <w:r w:rsidRPr="000E502F">
              <w:rPr>
                <w:rFonts w:cs="Credit Suisse Type Light"/>
                <w:lang w:val="de-DE"/>
              </w:rPr>
              <w:t>ä</w:t>
            </w:r>
            <w:r w:rsidRPr="000E502F">
              <w:rPr>
                <w:lang w:val="de-DE"/>
              </w:rPr>
              <w:t xml:space="preserve">ss Ziffer 8 und die Berechnungsstelle jeder </w:t>
            </w:r>
            <w:r w:rsidRPr="0082182E">
              <w:rPr>
                <w:lang w:val="de-DE"/>
              </w:rPr>
              <w:t>Rechtsn</w:t>
            </w:r>
            <w:r w:rsidRPr="000E502F">
              <w:rPr>
                <w:lang w:val="de-DE"/>
              </w:rPr>
              <w:t>achfolger, der von der Berechnungsstelle entweder</w:t>
            </w:r>
            <w:r>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25475E">
            <w:pPr>
              <w:pStyle w:val="CSBody8pt"/>
              <w:rPr>
                <w:lang w:val="de-DE"/>
              </w:rPr>
            </w:pPr>
          </w:p>
        </w:tc>
        <w:tc>
          <w:tcPr>
            <w:tcW w:w="3315" w:type="dxa"/>
            <w:gridSpan w:val="7"/>
            <w:tcBorders>
              <w:top w:val="nil"/>
              <w:left w:val="nil"/>
              <w:bottom w:val="nil"/>
            </w:tcBorders>
            <w:shd w:val="clear" w:color="auto" w:fill="auto"/>
          </w:tcPr>
          <w:p w:rsidR="0017135D" w:rsidRPr="00702075" w:rsidP="00E968C0">
            <w:pPr>
              <w:pStyle w:val="CSManNum8pt"/>
            </w:pPr>
            <w:r w:rsidRPr="00702075">
              <w:t>(i)</w:t>
            </w:r>
            <w:r>
              <w:tab/>
            </w:r>
            <w:r w:rsidRPr="000E502F">
              <w:t>pursuant to the definition of "Successor"; or</w:t>
            </w:r>
          </w:p>
        </w:tc>
        <w:tc>
          <w:tcPr>
            <w:tcW w:w="1705" w:type="dxa"/>
            <w:gridSpan w:val="3"/>
            <w:tcBorders>
              <w:top w:val="nil"/>
              <w:bottom w:val="nil"/>
              <w:right w:val="nil"/>
            </w:tcBorders>
            <w:shd w:val="clear" w:color="auto" w:fill="auto"/>
          </w:tcPr>
          <w:p w:rsidR="0017135D" w:rsidRPr="000E502F" w:rsidP="0025475E">
            <w:pPr>
              <w:pStyle w:val="CSManNum8pt"/>
            </w:pPr>
          </w:p>
        </w:tc>
        <w:tc>
          <w:tcPr>
            <w:tcW w:w="3231" w:type="dxa"/>
            <w:gridSpan w:val="9"/>
            <w:tcBorders>
              <w:top w:val="nil"/>
              <w:left w:val="nil"/>
              <w:bottom w:val="nil"/>
              <w:right w:val="nil"/>
            </w:tcBorders>
            <w:shd w:val="clear" w:color="auto" w:fill="auto"/>
          </w:tcPr>
          <w:p w:rsidR="0017135D" w:rsidRPr="000E502F" w:rsidP="0025475E">
            <w:pPr>
              <w:pStyle w:val="CSManNum8pt"/>
              <w:rPr>
                <w:lang w:val="de-DE"/>
              </w:rPr>
            </w:pPr>
            <w:r>
              <w:rPr>
                <w:lang w:val="de-DE"/>
              </w:rPr>
              <w:t>(i)</w:t>
            </w:r>
            <w:r>
              <w:rPr>
                <w:lang w:val="de-DE"/>
              </w:rPr>
              <w:tab/>
            </w:r>
            <w:r w:rsidRPr="000E502F">
              <w:rPr>
                <w:lang w:val="de-DE"/>
              </w:rPr>
              <w:t>gemäss der Definition "</w:t>
            </w:r>
            <w:r w:rsidRPr="0082182E">
              <w:rPr>
                <w:lang w:val="de-DE"/>
              </w:rPr>
              <w:t>Rechtsn</w:t>
            </w:r>
            <w:r w:rsidRPr="000E502F">
              <w:rPr>
                <w:lang w:val="de-DE"/>
              </w:rPr>
              <w:t>achfolger" bestimmt wird;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25475E">
            <w:pPr>
              <w:pStyle w:val="CSBody8pt"/>
              <w:rPr>
                <w:lang w:val="de-DE"/>
              </w:rPr>
            </w:pPr>
          </w:p>
        </w:tc>
        <w:tc>
          <w:tcPr>
            <w:tcW w:w="3315" w:type="dxa"/>
            <w:gridSpan w:val="7"/>
            <w:tcBorders>
              <w:top w:val="nil"/>
              <w:left w:val="nil"/>
              <w:bottom w:val="nil"/>
            </w:tcBorders>
            <w:shd w:val="clear" w:color="auto" w:fill="auto"/>
          </w:tcPr>
          <w:p w:rsidR="0017135D" w:rsidRPr="00702075" w:rsidP="0025475E">
            <w:pPr>
              <w:pStyle w:val="CSManNum8pt"/>
            </w:pPr>
            <w:r w:rsidRPr="00702075">
              <w:t>(ii)</w:t>
            </w:r>
            <w:r>
              <w:tab/>
            </w:r>
            <w:r w:rsidRPr="000E502F">
              <w:t xml:space="preserve">pursuant to a DC Resolution in respect of a Successor Resolution Request Date and publicly announced by the DC Secretary on or following the </w:t>
            </w:r>
            <w:r w:rsidRPr="00792D61">
              <w:rPr>
                <w:b/>
              </w:rPr>
              <w:t>[</w:t>
            </w:r>
            <w:r w:rsidRPr="000E502F">
              <w:t>Trade</w:t>
            </w:r>
            <w:r w:rsidRPr="00792D61">
              <w:rPr>
                <w:b/>
              </w:rPr>
              <w:t>][</w:t>
            </w:r>
            <w:r w:rsidRPr="000E502F">
              <w:t>Issue</w:t>
            </w:r>
            <w:r w:rsidRPr="00792D61">
              <w:rPr>
                <w:b/>
              </w:rPr>
              <w:t>]</w:t>
            </w:r>
            <w:r w:rsidRPr="000E502F">
              <w:t xml:space="preserve"> Date.</w:t>
            </w:r>
            <w:r w:rsidRPr="00792D61">
              <w:rPr>
                <w:b/>
              </w:rPr>
              <w:t>]</w:t>
            </w:r>
          </w:p>
        </w:tc>
        <w:tc>
          <w:tcPr>
            <w:tcW w:w="1705" w:type="dxa"/>
            <w:gridSpan w:val="3"/>
            <w:tcBorders>
              <w:top w:val="nil"/>
              <w:bottom w:val="nil"/>
              <w:right w:val="nil"/>
            </w:tcBorders>
            <w:shd w:val="clear" w:color="auto" w:fill="auto"/>
          </w:tcPr>
          <w:p w:rsidR="0017135D" w:rsidRPr="000E502F" w:rsidP="0025475E">
            <w:pPr>
              <w:pStyle w:val="CSManNum8pt"/>
            </w:pPr>
          </w:p>
        </w:tc>
        <w:tc>
          <w:tcPr>
            <w:tcW w:w="3231" w:type="dxa"/>
            <w:gridSpan w:val="9"/>
            <w:tcBorders>
              <w:top w:val="nil"/>
              <w:left w:val="nil"/>
              <w:bottom w:val="nil"/>
              <w:right w:val="nil"/>
            </w:tcBorders>
            <w:shd w:val="clear" w:color="auto" w:fill="auto"/>
          </w:tcPr>
          <w:p w:rsidR="0017135D" w:rsidRPr="000E502F">
            <w:pPr>
              <w:pStyle w:val="CSManNum8pt"/>
              <w:rPr>
                <w:lang w:val="de-DE"/>
              </w:rPr>
            </w:pPr>
            <w:r>
              <w:rPr>
                <w:lang w:val="de-DE"/>
              </w:rPr>
              <w:t>(ii)</w:t>
            </w:r>
            <w:r>
              <w:rPr>
                <w:lang w:val="de-DE"/>
              </w:rPr>
              <w:tab/>
            </w:r>
            <w:r w:rsidRPr="000E502F">
              <w:rPr>
                <w:lang w:val="de-DE"/>
              </w:rPr>
              <w:t>unter Bezugnahme auf einen Feststellungsausschussbeschluss in Bezug auf ein</w:t>
            </w:r>
            <w:r w:rsidR="00636F36">
              <w:rPr>
                <w:lang w:val="de-DE"/>
              </w:rPr>
              <w:t xml:space="preserve"> Rechtsnachfolgebeschluss-Antragsdatum</w:t>
            </w:r>
            <w:r w:rsidRPr="000E502F">
              <w:rPr>
                <w:lang w:val="de-DE"/>
              </w:rPr>
              <w:t xml:space="preserve"> bestimmt wird und von dem Secretary am oder nach dem </w:t>
            </w:r>
            <w:r w:rsidRPr="00792D61">
              <w:rPr>
                <w:b/>
                <w:lang w:val="de-DE"/>
              </w:rPr>
              <w:t>[</w:t>
            </w:r>
            <w:r w:rsidRPr="000E502F">
              <w:rPr>
                <w:lang w:val="de-DE"/>
              </w:rPr>
              <w:t>Abschluss-</w:t>
            </w:r>
            <w:r w:rsidRPr="00792D61">
              <w:rPr>
                <w:b/>
                <w:lang w:val="de-DE"/>
              </w:rPr>
              <w:t>][</w:t>
            </w:r>
            <w:r w:rsidRPr="000E502F">
              <w:rPr>
                <w:lang w:val="de-DE"/>
              </w:rPr>
              <w:t>Emissions-</w:t>
            </w:r>
            <w:r w:rsidRPr="00792D61">
              <w:rPr>
                <w:b/>
                <w:lang w:val="de-DE"/>
              </w:rPr>
              <w:t>]</w:t>
            </w:r>
            <w:r w:rsidR="004F5075">
              <w:rPr>
                <w:lang w:val="de-DE"/>
              </w:rPr>
              <w:t>t</w:t>
            </w:r>
            <w:r w:rsidRPr="000E502F">
              <w:rPr>
                <w:lang w:val="de-DE"/>
              </w:rPr>
              <w:t>ag öffentlich bekanntgegeben wird.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25475E">
            <w:pPr>
              <w:pStyle w:val="CSBody8ptbolditalics"/>
              <w:rPr>
                <w:lang w:val="de-DE"/>
              </w:rPr>
            </w:pPr>
          </w:p>
        </w:tc>
        <w:tc>
          <w:tcPr>
            <w:tcW w:w="3315" w:type="dxa"/>
            <w:gridSpan w:val="7"/>
            <w:tcBorders>
              <w:top w:val="nil"/>
              <w:left w:val="nil"/>
              <w:bottom w:val="nil"/>
            </w:tcBorders>
            <w:shd w:val="clear" w:color="auto" w:fill="auto"/>
          </w:tcPr>
          <w:p w:rsidR="0017135D" w:rsidRPr="00312A80" w:rsidP="0025475E">
            <w:pPr>
              <w:pStyle w:val="CSBody8ptbolditalics"/>
            </w:pPr>
            <w:r w:rsidRPr="00792D61">
              <w:t>[</w:t>
            </w:r>
            <w:r w:rsidRPr="00312A80">
              <w:t>if a Basket or a N</w:t>
            </w:r>
            <w:r w:rsidRPr="00BD6E0D">
              <w:rPr>
                <w:vertAlign w:val="superscript"/>
              </w:rPr>
              <w:t>th</w:t>
            </w:r>
            <w:r w:rsidRPr="00312A80">
              <w:t>-to-Default structure is applicable, insert:</w:t>
            </w:r>
          </w:p>
        </w:tc>
        <w:tc>
          <w:tcPr>
            <w:tcW w:w="1705" w:type="dxa"/>
            <w:gridSpan w:val="3"/>
            <w:tcBorders>
              <w:top w:val="nil"/>
              <w:bottom w:val="nil"/>
              <w:right w:val="nil"/>
            </w:tcBorders>
            <w:shd w:val="clear" w:color="auto" w:fill="auto"/>
          </w:tcPr>
          <w:p w:rsidR="0017135D" w:rsidRPr="000E502F" w:rsidP="0025475E">
            <w:pPr>
              <w:pStyle w:val="CSBody8ptbolditalics"/>
            </w:pPr>
          </w:p>
        </w:tc>
        <w:tc>
          <w:tcPr>
            <w:tcW w:w="3231" w:type="dxa"/>
            <w:gridSpan w:val="9"/>
            <w:tcBorders>
              <w:top w:val="nil"/>
              <w:left w:val="nil"/>
              <w:bottom w:val="nil"/>
              <w:right w:val="nil"/>
            </w:tcBorders>
            <w:shd w:val="clear" w:color="auto" w:fill="auto"/>
          </w:tcPr>
          <w:p w:rsidR="0017135D" w:rsidRPr="000E502F" w:rsidP="0025475E">
            <w:pPr>
              <w:pStyle w:val="CSBody8ptbolditalics"/>
              <w:rPr>
                <w:lang w:val="de-DE"/>
              </w:rPr>
            </w:pPr>
            <w:r w:rsidRPr="00792D61">
              <w:rPr>
                <w:lang w:val="de-DE"/>
              </w:rPr>
              <w:t>[</w:t>
            </w:r>
            <w:r w:rsidRPr="000E502F">
              <w:rPr>
                <w:lang w:val="de-DE"/>
              </w:rPr>
              <w:t>falls ein Korb oder eine N</w:t>
            </w:r>
            <w:r w:rsidRPr="00BD6E0D">
              <w:rPr>
                <w:vertAlign w:val="superscript"/>
                <w:lang w:val="de-DE"/>
              </w:rPr>
              <w:t>th</w:t>
            </w:r>
            <w:r w:rsidRPr="000E502F">
              <w:rPr>
                <w:lang w:val="de-DE"/>
              </w:rPr>
              <w:t>-to-Default-Struktur anwendbar ist,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25475E">
            <w:pPr>
              <w:pStyle w:val="CSBody8pt"/>
              <w:rPr>
                <w:lang w:val="de-DE"/>
              </w:rPr>
            </w:pPr>
          </w:p>
        </w:tc>
        <w:tc>
          <w:tcPr>
            <w:tcW w:w="3315" w:type="dxa"/>
            <w:gridSpan w:val="7"/>
            <w:tcBorders>
              <w:top w:val="nil"/>
              <w:left w:val="nil"/>
              <w:bottom w:val="nil"/>
            </w:tcBorders>
            <w:shd w:val="clear" w:color="auto" w:fill="auto"/>
          </w:tcPr>
          <w:p w:rsidR="0017135D" w:rsidP="0025475E">
            <w:pPr>
              <w:pStyle w:val="CSBody8pt"/>
            </w:pPr>
            <w:r w:rsidRPr="00312A80">
              <w:t xml:space="preserve">each Reference Entity specified in </w:t>
            </w:r>
            <w:r w:rsidRPr="0025475E">
              <w:rPr>
                <w:b/>
              </w:rPr>
              <w:t>Table A</w:t>
            </w:r>
            <w:r w:rsidRPr="00312A80">
              <w:t xml:space="preserve"> (see subsection C.5 below), and following delivery of a Successor Notice with respect to any such entity by the Issuer to the Holders and the Calculation Agent, any Successor, identified by the Calculation Agent either:</w:t>
            </w:r>
          </w:p>
        </w:tc>
        <w:tc>
          <w:tcPr>
            <w:tcW w:w="1705" w:type="dxa"/>
            <w:gridSpan w:val="3"/>
            <w:tcBorders>
              <w:top w:val="nil"/>
              <w:bottom w:val="nil"/>
              <w:right w:val="nil"/>
            </w:tcBorders>
            <w:shd w:val="clear" w:color="auto" w:fill="auto"/>
          </w:tcPr>
          <w:p w:rsidR="0017135D" w:rsidRPr="000E502F" w:rsidP="0025475E">
            <w:pPr>
              <w:pStyle w:val="CSBody8pt"/>
            </w:pPr>
          </w:p>
        </w:tc>
        <w:tc>
          <w:tcPr>
            <w:tcW w:w="3231" w:type="dxa"/>
            <w:gridSpan w:val="9"/>
            <w:tcBorders>
              <w:top w:val="nil"/>
              <w:left w:val="nil"/>
              <w:bottom w:val="nil"/>
              <w:right w:val="nil"/>
            </w:tcBorders>
            <w:shd w:val="clear" w:color="auto" w:fill="auto"/>
          </w:tcPr>
          <w:p w:rsidR="0017135D" w:rsidRPr="000E502F" w:rsidP="004C1EBA">
            <w:pPr>
              <w:pStyle w:val="CSBody8pt"/>
              <w:rPr>
                <w:lang w:val="de-DE"/>
              </w:rPr>
            </w:pPr>
            <w:r w:rsidRPr="000E502F">
              <w:rPr>
                <w:lang w:val="de-DE"/>
              </w:rPr>
              <w:t xml:space="preserve">jeder in </w:t>
            </w:r>
            <w:r w:rsidRPr="0025475E">
              <w:rPr>
                <w:b/>
                <w:lang w:val="de-DE"/>
              </w:rPr>
              <w:t>Tabelle A</w:t>
            </w:r>
            <w:r w:rsidRPr="000E502F">
              <w:rPr>
                <w:lang w:val="de-DE"/>
              </w:rPr>
              <w:t xml:space="preserve"> (s</w:t>
            </w:r>
            <w:r>
              <w:rPr>
                <w:lang w:val="de-DE"/>
              </w:rPr>
              <w:t xml:space="preserve">iehe </w:t>
            </w:r>
            <w:r w:rsidRPr="000E502F">
              <w:rPr>
                <w:lang w:val="de-DE"/>
              </w:rPr>
              <w:t xml:space="preserve">nachstehende Unterziffer C.5) bezeichnete Referenzschuldner, sowie nach Übermittlung einer </w:t>
            </w:r>
            <w:r>
              <w:rPr>
                <w:lang w:val="de-DE"/>
              </w:rPr>
              <w:t>Rechtsnachfolge-Mitteilung</w:t>
            </w:r>
            <w:r w:rsidRPr="000E502F">
              <w:rPr>
                <w:lang w:val="de-DE"/>
              </w:rPr>
              <w:t xml:space="preserve"> durch die Emittentin an die Inhaber und die Berechnungsstelle, jeder </w:t>
            </w:r>
            <w:r w:rsidRPr="0082182E">
              <w:rPr>
                <w:lang w:val="de-DE"/>
              </w:rPr>
              <w:t>Rechtsn</w:t>
            </w:r>
            <w:r w:rsidRPr="000E502F">
              <w:rPr>
                <w:lang w:val="de-DE"/>
              </w:rPr>
              <w:t>achfolger, der von der Berechnungsstelle entweder</w:t>
            </w:r>
            <w:r>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A457E7">
            <w:pPr>
              <w:pStyle w:val="CSBody0"/>
              <w:rPr>
                <w:lang w:val="de-DE"/>
              </w:rPr>
            </w:pPr>
          </w:p>
        </w:tc>
        <w:tc>
          <w:tcPr>
            <w:tcW w:w="3315" w:type="dxa"/>
            <w:gridSpan w:val="7"/>
            <w:tcBorders>
              <w:top w:val="nil"/>
              <w:left w:val="nil"/>
              <w:bottom w:val="nil"/>
            </w:tcBorders>
            <w:shd w:val="clear" w:color="auto" w:fill="auto"/>
          </w:tcPr>
          <w:p w:rsidR="0017135D" w:rsidRPr="000E502F" w:rsidP="0025475E">
            <w:pPr>
              <w:pStyle w:val="CSManNum8pt"/>
            </w:pPr>
            <w:r>
              <w:t>(i)</w:t>
            </w:r>
            <w:r>
              <w:tab/>
            </w:r>
            <w:r w:rsidRPr="000E502F">
              <w:t>pursuant to the definition of "Successor"; or</w:t>
            </w:r>
          </w:p>
        </w:tc>
        <w:tc>
          <w:tcPr>
            <w:tcW w:w="1705" w:type="dxa"/>
            <w:gridSpan w:val="3"/>
            <w:tcBorders>
              <w:top w:val="nil"/>
              <w:bottom w:val="nil"/>
              <w:right w:val="nil"/>
            </w:tcBorders>
            <w:shd w:val="clear" w:color="auto" w:fill="auto"/>
          </w:tcPr>
          <w:p w:rsidR="0017135D" w:rsidRPr="000E502F" w:rsidP="0025475E">
            <w:pPr>
              <w:pStyle w:val="CSManNum8pt"/>
            </w:pPr>
          </w:p>
        </w:tc>
        <w:tc>
          <w:tcPr>
            <w:tcW w:w="3231" w:type="dxa"/>
            <w:gridSpan w:val="9"/>
            <w:tcBorders>
              <w:top w:val="nil"/>
              <w:left w:val="nil"/>
              <w:bottom w:val="nil"/>
              <w:right w:val="nil"/>
            </w:tcBorders>
            <w:shd w:val="clear" w:color="auto" w:fill="auto"/>
          </w:tcPr>
          <w:p w:rsidR="0017135D" w:rsidRPr="000E502F" w:rsidP="0025475E">
            <w:pPr>
              <w:pStyle w:val="CSManNum8pt"/>
              <w:rPr>
                <w:lang w:val="de-DE"/>
              </w:rPr>
            </w:pPr>
            <w:r>
              <w:rPr>
                <w:lang w:val="de-DE"/>
              </w:rPr>
              <w:t>(i)</w:t>
            </w:r>
            <w:r>
              <w:rPr>
                <w:lang w:val="de-DE"/>
              </w:rPr>
              <w:tab/>
            </w:r>
            <w:r w:rsidRPr="000E502F">
              <w:rPr>
                <w:lang w:val="de-DE"/>
              </w:rPr>
              <w:t>gemäss der Definition "</w:t>
            </w:r>
            <w:r w:rsidRPr="0082182E">
              <w:rPr>
                <w:lang w:val="de-DE"/>
              </w:rPr>
              <w:t>Rechtsn</w:t>
            </w:r>
            <w:r w:rsidRPr="000E502F">
              <w:rPr>
                <w:lang w:val="de-DE"/>
              </w:rPr>
              <w:t>achfolger" bestimmt wird;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A457E7">
            <w:pPr>
              <w:pStyle w:val="CSBody0"/>
              <w:rPr>
                <w:lang w:val="de-DE"/>
              </w:rPr>
            </w:pPr>
          </w:p>
        </w:tc>
        <w:tc>
          <w:tcPr>
            <w:tcW w:w="3315" w:type="dxa"/>
            <w:gridSpan w:val="7"/>
            <w:tcBorders>
              <w:top w:val="nil"/>
              <w:left w:val="nil"/>
              <w:bottom w:val="nil"/>
            </w:tcBorders>
            <w:shd w:val="clear" w:color="auto" w:fill="auto"/>
          </w:tcPr>
          <w:p w:rsidR="0017135D" w:rsidRPr="000E502F" w:rsidP="0025475E">
            <w:pPr>
              <w:pStyle w:val="CSManNum8pt"/>
            </w:pPr>
            <w:r>
              <w:t>(ii)</w:t>
            </w:r>
            <w:r>
              <w:tab/>
            </w:r>
            <w:r w:rsidRPr="000E502F">
              <w:t xml:space="preserve">pursuant to a DC Resolution in respect of a Successor Resolution Request Date and publicly announced by the DC Secretary on or following the </w:t>
            </w:r>
            <w:r w:rsidRPr="00792D61">
              <w:rPr>
                <w:b/>
              </w:rPr>
              <w:t>[</w:t>
            </w:r>
            <w:r w:rsidRPr="000E502F">
              <w:t>Trade</w:t>
            </w:r>
            <w:r w:rsidRPr="00792D61">
              <w:rPr>
                <w:b/>
              </w:rPr>
              <w:t>][</w:t>
            </w:r>
            <w:r w:rsidRPr="000E502F">
              <w:t>Issue</w:t>
            </w:r>
            <w:r w:rsidRPr="00792D61">
              <w:rPr>
                <w:b/>
              </w:rPr>
              <w:t>]</w:t>
            </w:r>
            <w:r w:rsidRPr="000E502F">
              <w:t xml:space="preserve"> Date.</w:t>
            </w:r>
            <w:r w:rsidRPr="00792D61">
              <w:rPr>
                <w:b/>
              </w:rPr>
              <w:t>]</w:t>
            </w:r>
          </w:p>
        </w:tc>
        <w:tc>
          <w:tcPr>
            <w:tcW w:w="1705" w:type="dxa"/>
            <w:gridSpan w:val="3"/>
            <w:tcBorders>
              <w:top w:val="nil"/>
              <w:bottom w:val="nil"/>
              <w:right w:val="nil"/>
            </w:tcBorders>
            <w:shd w:val="clear" w:color="auto" w:fill="auto"/>
          </w:tcPr>
          <w:p w:rsidR="0017135D" w:rsidRPr="000E502F" w:rsidP="0025475E">
            <w:pPr>
              <w:pStyle w:val="CSManNum8pt"/>
            </w:pPr>
          </w:p>
        </w:tc>
        <w:tc>
          <w:tcPr>
            <w:tcW w:w="3231" w:type="dxa"/>
            <w:gridSpan w:val="9"/>
            <w:tcBorders>
              <w:top w:val="nil"/>
              <w:left w:val="nil"/>
              <w:bottom w:val="nil"/>
              <w:right w:val="nil"/>
            </w:tcBorders>
            <w:shd w:val="clear" w:color="auto" w:fill="auto"/>
          </w:tcPr>
          <w:p w:rsidR="0017135D" w:rsidRPr="000E502F" w:rsidP="00636F36">
            <w:pPr>
              <w:pStyle w:val="CSManNum8pt"/>
              <w:rPr>
                <w:lang w:val="de-DE"/>
              </w:rPr>
            </w:pPr>
            <w:r>
              <w:rPr>
                <w:lang w:val="de-DE"/>
              </w:rPr>
              <w:t>(ii)</w:t>
            </w:r>
            <w:r>
              <w:rPr>
                <w:lang w:val="de-DE"/>
              </w:rPr>
              <w:tab/>
            </w:r>
            <w:r w:rsidRPr="000E502F">
              <w:rPr>
                <w:lang w:val="de-DE"/>
              </w:rPr>
              <w:t>unter Bezugnahme auf einen Feststellungsausschussbeschluss in Bezug auf ein</w:t>
            </w:r>
            <w:r w:rsidR="00636F36">
              <w:rPr>
                <w:lang w:val="de-DE"/>
              </w:rPr>
              <w:t xml:space="preserve"> Rechtsnachfolgebeschluss-Antragsdatum</w:t>
            </w:r>
            <w:r w:rsidRPr="000E502F">
              <w:rPr>
                <w:lang w:val="de-DE"/>
              </w:rPr>
              <w:t xml:space="preserve"> bestimmt wird und von dem Secretary am oder nach dem </w:t>
            </w:r>
            <w:r w:rsidRPr="00792D61">
              <w:rPr>
                <w:b/>
                <w:lang w:val="de-DE"/>
              </w:rPr>
              <w:t>[</w:t>
            </w:r>
            <w:r w:rsidRPr="000E502F">
              <w:rPr>
                <w:lang w:val="de-DE"/>
              </w:rPr>
              <w:t>Abschluss-</w:t>
            </w:r>
            <w:r w:rsidRPr="00792D61">
              <w:rPr>
                <w:b/>
                <w:lang w:val="de-DE"/>
              </w:rPr>
              <w:t>][</w:t>
            </w:r>
            <w:r w:rsidRPr="000E502F">
              <w:rPr>
                <w:lang w:val="de-DE"/>
              </w:rPr>
              <w:t>Emissions-</w:t>
            </w:r>
            <w:r w:rsidRPr="00792D61">
              <w:rPr>
                <w:b/>
                <w:lang w:val="de-DE"/>
              </w:rPr>
              <w:t>]</w:t>
            </w:r>
            <w:r w:rsidRPr="000E502F">
              <w:rPr>
                <w:lang w:val="de-DE"/>
              </w:rPr>
              <w:t xml:space="preserve"> tag öffentlich bekanntgegeben wird.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25475E">
            <w:pPr>
              <w:pStyle w:val="CSBody8pt"/>
              <w:rPr>
                <w:lang w:val="de-DE"/>
              </w:rPr>
            </w:pPr>
          </w:p>
        </w:tc>
        <w:tc>
          <w:tcPr>
            <w:tcW w:w="3315" w:type="dxa"/>
            <w:gridSpan w:val="7"/>
            <w:tcBorders>
              <w:top w:val="nil"/>
              <w:left w:val="nil"/>
              <w:bottom w:val="nil"/>
            </w:tcBorders>
            <w:shd w:val="clear" w:color="auto" w:fill="auto"/>
          </w:tcPr>
          <w:p w:rsidR="0017135D" w:rsidRPr="00DB05B8" w:rsidP="0025475E">
            <w:pPr>
              <w:pStyle w:val="CSBody8pt"/>
            </w:pPr>
            <w:r w:rsidRPr="00792D61">
              <w:rPr>
                <w:b/>
              </w:rPr>
              <w:t>[</w:t>
            </w:r>
            <w:r w:rsidRPr="0025475E">
              <w:rPr>
                <w:b/>
                <w:i/>
              </w:rPr>
              <w:t>in case of Complex Products linked to a Basket of Reference Entities, insert:</w:t>
            </w:r>
            <w:r w:rsidRPr="00DB05B8">
              <w:t>If with respect to any Reference Entity (a "</w:t>
            </w:r>
            <w:r w:rsidRPr="0046463E">
              <w:rPr>
                <w:b/>
              </w:rPr>
              <w:t>Succeeded Reference Entity</w:t>
            </w:r>
            <w:r w:rsidRPr="00DB05B8">
              <w:t>") one or more Successors to such Reference Entity have been identified that are Surviving Reference Entities, the Calculation Agent will select a replacement Reference Entity (a "</w:t>
            </w:r>
            <w:r w:rsidRPr="0046463E">
              <w:rPr>
                <w:b/>
              </w:rPr>
              <w:t>Replacement Reference Entity</w:t>
            </w:r>
            <w:r w:rsidRPr="00DB05B8">
              <w:t>") in its discretion for each such Surviving Reference Entity, which Replacement Reference Entity or Replacement Reference Entities, as the case may be, shall be deemed to be the relevant succeeded Reference Entity’s Successor(s) in place of such Surviving Reference Entity or Surviving Reference Entities, as the case may be.</w:t>
            </w:r>
            <w:r w:rsidRPr="00792D61">
              <w:rPr>
                <w:b/>
              </w:rPr>
              <w:t>]</w:t>
            </w:r>
            <w:r w:rsidRPr="00DB05B8">
              <w:t xml:space="preserve">  </w:t>
            </w:r>
          </w:p>
        </w:tc>
        <w:tc>
          <w:tcPr>
            <w:tcW w:w="1705" w:type="dxa"/>
            <w:gridSpan w:val="3"/>
            <w:tcBorders>
              <w:top w:val="nil"/>
              <w:bottom w:val="nil"/>
              <w:right w:val="nil"/>
            </w:tcBorders>
            <w:shd w:val="clear" w:color="auto" w:fill="auto"/>
          </w:tcPr>
          <w:p w:rsidR="0017135D" w:rsidRPr="000E502F" w:rsidP="0025475E">
            <w:pPr>
              <w:pStyle w:val="CSBody8pt"/>
            </w:pPr>
          </w:p>
        </w:tc>
        <w:tc>
          <w:tcPr>
            <w:tcW w:w="3231" w:type="dxa"/>
            <w:gridSpan w:val="9"/>
            <w:tcBorders>
              <w:top w:val="nil"/>
              <w:left w:val="nil"/>
              <w:bottom w:val="nil"/>
              <w:right w:val="nil"/>
            </w:tcBorders>
            <w:shd w:val="clear" w:color="auto" w:fill="auto"/>
          </w:tcPr>
          <w:p w:rsidR="0017135D" w:rsidRPr="000E502F" w:rsidP="0025475E">
            <w:pPr>
              <w:pStyle w:val="CSBody8pt"/>
              <w:rPr>
                <w:lang w:val="de-DE"/>
              </w:rPr>
            </w:pPr>
            <w:r w:rsidRPr="00792D61">
              <w:rPr>
                <w:b/>
                <w:lang w:val="de-DE"/>
              </w:rPr>
              <w:t>[</w:t>
            </w:r>
            <w:r w:rsidRPr="0025475E">
              <w:rPr>
                <w:b/>
                <w:i/>
                <w:lang w:val="de-DE"/>
              </w:rPr>
              <w:t>bei Komplexen Produkten, die an einen Korb von Referenzschuldnern gekoppelt sind, einfügen:</w:t>
            </w:r>
            <w:r>
              <w:rPr>
                <w:lang w:val="de-DE"/>
              </w:rPr>
              <w:t xml:space="preserve"> </w:t>
            </w:r>
            <w:r w:rsidRPr="000E502F">
              <w:rPr>
                <w:lang w:val="de-DE"/>
              </w:rPr>
              <w:t>Wenn in Bezug auf einen Referenzschuldner (ein "</w:t>
            </w:r>
            <w:r w:rsidRPr="0046463E">
              <w:rPr>
                <w:b/>
                <w:lang w:val="de-DE"/>
              </w:rPr>
              <w:t>Ersetzter Referenzschuldner</w:t>
            </w:r>
            <w:r w:rsidRPr="000E502F">
              <w:rPr>
                <w:lang w:val="de-DE"/>
              </w:rPr>
              <w:t xml:space="preserve">") ein oder mehrere </w:t>
            </w:r>
            <w:r w:rsidRPr="0082182E">
              <w:rPr>
                <w:lang w:val="de-DE"/>
              </w:rPr>
              <w:t>Rechtsn</w:t>
            </w:r>
            <w:r w:rsidRPr="000E502F">
              <w:rPr>
                <w:lang w:val="de-DE"/>
              </w:rPr>
              <w:t>achfolger dieses Referenzschuldners bestimmt wurden, bei denen es sich um Fortbestehende Referenzschuldner handelt, wird die Berechnungsstelle nach ihrem Ermessen einen Ersatz-Referenzschuldner (ein "</w:t>
            </w:r>
            <w:r w:rsidRPr="0046463E">
              <w:rPr>
                <w:b/>
                <w:lang w:val="de-DE"/>
              </w:rPr>
              <w:t>Ersatz-Referenzschuldner</w:t>
            </w:r>
            <w:r w:rsidRPr="000E502F">
              <w:rPr>
                <w:lang w:val="de-DE"/>
              </w:rPr>
              <w:t xml:space="preserve">") für jeden dieser Fortbestehenden Referenzschuldner auswählen, wobei dieser bzw. diese Ersatz-Referenzschuldner als der bzw. die </w:t>
            </w:r>
            <w:r w:rsidRPr="0082182E">
              <w:rPr>
                <w:lang w:val="de-DE"/>
              </w:rPr>
              <w:t>Rechtsn</w:t>
            </w:r>
            <w:r w:rsidRPr="000E502F">
              <w:rPr>
                <w:lang w:val="de-DE"/>
              </w:rPr>
              <w:t>achfolger des jeweiligen Ersetzten Referenzschuldners anstelle dieses Ersetzten Referenzschuldners bzw. dieser Ersetzten Referenzschuldner gilt bzw. gelten.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25475E">
            <w:pPr>
              <w:pStyle w:val="CSBody8pt"/>
              <w:rPr>
                <w:lang w:val="de-DE"/>
              </w:rPr>
            </w:pPr>
          </w:p>
        </w:tc>
        <w:tc>
          <w:tcPr>
            <w:tcW w:w="3315" w:type="dxa"/>
            <w:gridSpan w:val="7"/>
            <w:tcBorders>
              <w:top w:val="nil"/>
              <w:left w:val="nil"/>
              <w:bottom w:val="nil"/>
            </w:tcBorders>
            <w:shd w:val="clear" w:color="auto" w:fill="auto"/>
          </w:tcPr>
          <w:p w:rsidR="0017135D" w:rsidP="0025475E">
            <w:pPr>
              <w:pStyle w:val="CSBody8pt"/>
            </w:pPr>
            <w:r w:rsidRPr="00792D61">
              <w:rPr>
                <w:b/>
              </w:rPr>
              <w:t>[</w:t>
            </w:r>
            <w:r w:rsidRPr="0046463E">
              <w:rPr>
                <w:b/>
                <w:i/>
              </w:rPr>
              <w:t>in case of Complex Products linked to multiple Reference Entities, insert:</w:t>
            </w:r>
            <w:r w:rsidRPr="00DB05B8">
              <w:t xml:space="preserve"> All references to "the Reference Entity" or "a Reference Entity" in these Terms and Conditions shall be construed to refer to the Reference Entity in respect of which the relevant determination falls to be made at any relevant time and all related provisions and determinations will be construed accordingly.</w:t>
            </w:r>
            <w:r w:rsidRPr="00792D61">
              <w:rPr>
                <w:b/>
              </w:rPr>
              <w:t>]]</w:t>
            </w:r>
          </w:p>
        </w:tc>
        <w:tc>
          <w:tcPr>
            <w:tcW w:w="1705" w:type="dxa"/>
            <w:gridSpan w:val="3"/>
            <w:tcBorders>
              <w:top w:val="nil"/>
              <w:bottom w:val="nil"/>
              <w:right w:val="nil"/>
            </w:tcBorders>
            <w:shd w:val="clear" w:color="auto" w:fill="auto"/>
          </w:tcPr>
          <w:p w:rsidR="0017135D" w:rsidRPr="000E502F" w:rsidP="0025475E">
            <w:pPr>
              <w:pStyle w:val="CSBody8pt"/>
            </w:pPr>
          </w:p>
        </w:tc>
        <w:tc>
          <w:tcPr>
            <w:tcW w:w="3231" w:type="dxa"/>
            <w:gridSpan w:val="9"/>
            <w:tcBorders>
              <w:top w:val="nil"/>
              <w:left w:val="nil"/>
              <w:bottom w:val="nil"/>
              <w:right w:val="nil"/>
            </w:tcBorders>
            <w:shd w:val="clear" w:color="auto" w:fill="auto"/>
          </w:tcPr>
          <w:p w:rsidR="0017135D" w:rsidRPr="000E502F" w:rsidP="0025475E">
            <w:pPr>
              <w:pStyle w:val="CSBody8pt"/>
              <w:rPr>
                <w:lang w:val="de-DE"/>
              </w:rPr>
            </w:pPr>
            <w:r w:rsidRPr="00792D61">
              <w:rPr>
                <w:b/>
                <w:lang w:val="de-DE"/>
              </w:rPr>
              <w:t>[</w:t>
            </w:r>
            <w:r w:rsidRPr="0046463E">
              <w:rPr>
                <w:b/>
                <w:i/>
                <w:lang w:val="de-DE"/>
              </w:rPr>
              <w:t>Bei an mehrere Referenzschuldner gekoppelten Komplexen Produkten einfügen:</w:t>
            </w:r>
            <w:r w:rsidRPr="000E502F">
              <w:rPr>
                <w:lang w:val="de-DE"/>
              </w:rPr>
              <w:t xml:space="preserve"> Alle in diesen Emissionsbedingungen enthaltenen Bezugnahmen auf "den Referenzschuldner" bzw. "einen Referenzschuldner" sind als Bezugnahmen auf denjenigen Referenzschuldner zu verstehen, hinsichtlich dessen die massgebliche Feststellung zum massgeblichen Zeitpunkt zu treffen ist, und alle Bestimmungen und Feststellungen in diesem Zusammenhang sind entsprechend auszulegen.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0E502F" w:rsidP="0046463E">
            <w:pPr>
              <w:pStyle w:val="CSBody8ptbolditalics"/>
            </w:pPr>
            <w:r w:rsidRPr="00792D61">
              <w:t>[</w:t>
            </w:r>
            <w:r w:rsidRPr="000E502F">
              <w:t>in case of Complex Products linked to a Reference Obligation:</w:t>
            </w:r>
          </w:p>
          <w:p w:rsidR="0017135D" w:rsidRPr="000E502F" w:rsidP="00980244">
            <w:pPr>
              <w:pStyle w:val="CSBody8pt"/>
            </w:pPr>
            <w:r w:rsidRPr="00F17869">
              <w:t>Reference Obligation</w:t>
            </w:r>
            <w:r>
              <w:fldChar w:fldCharType="begin"/>
            </w:r>
            <w:r w:rsidRPr="00F17869">
              <w:instrText xml:space="preserve"> XE "Reference Obligation" \f "EN"</w:instrText>
            </w:r>
            <w:r>
              <w:fldChar w:fldCharType="end"/>
            </w:r>
          </w:p>
        </w:tc>
        <w:tc>
          <w:tcPr>
            <w:tcW w:w="3315" w:type="dxa"/>
            <w:gridSpan w:val="7"/>
            <w:tcBorders>
              <w:top w:val="nil"/>
              <w:left w:val="nil"/>
            </w:tcBorders>
            <w:shd w:val="clear" w:color="auto" w:fill="auto"/>
          </w:tcPr>
          <w:p w:rsidR="0017135D" w:rsidRPr="000E502F" w:rsidP="0025475E">
            <w:pPr>
              <w:pStyle w:val="CSBody8pt"/>
            </w:pPr>
            <w:r w:rsidRPr="00792D61">
              <w:rPr>
                <w:b/>
              </w:rPr>
              <w:t>[</w:t>
            </w:r>
            <w:r w:rsidRPr="0046463E">
              <w:rPr>
                <w:b/>
                <w:i/>
              </w:rPr>
              <w:t>in the case of Credit-Linked Complex Products with auction settlement linked to a single Reference Entity</w:t>
            </w:r>
            <w:r>
              <w:rPr>
                <w:b/>
                <w:i/>
              </w:rPr>
              <w:t xml:space="preserve"> other than Credit-Linked Complex Products with auction settlement with LPN Reference Obligation</w:t>
            </w:r>
            <w:r w:rsidRPr="0046463E">
              <w:rPr>
                <w:b/>
                <w:i/>
              </w:rPr>
              <w:t xml:space="preserve">, insert: </w:t>
            </w:r>
            <w:r w:rsidRPr="00792D61">
              <w:rPr>
                <w:b/>
                <w:i/>
              </w:rPr>
              <w:t>[</w:t>
            </w:r>
            <w:r w:rsidRPr="0046463E">
              <w:rPr>
                <w:b/>
                <w:i/>
              </w:rPr>
              <w:t>if Standard Reference Obligation is applicable, insert:</w:t>
            </w:r>
            <w:r w:rsidRPr="000E502F">
              <w:t xml:space="preserve"> the Standard Reference Obligation, that is, the obligation of the Reference Entity with the Seniority Level (as defined in the definition of "Seniority Level" in Section 1.2) </w:t>
            </w:r>
            <w:r w:rsidRPr="00792D61">
              <w:rPr>
                <w:b/>
              </w:rPr>
              <w:t>[</w:t>
            </w:r>
            <w:r w:rsidRPr="0046463E">
              <w:rPr>
                <w:b/>
                <w:i/>
              </w:rPr>
              <w:t>insert relevant Seniority Level:</w:t>
            </w:r>
            <w:r w:rsidRPr="000E502F">
              <w:t xml:space="preserve"> </w:t>
            </w:r>
            <w:r w:rsidRPr="00792D61">
              <w:rPr>
                <w:b/>
              </w:rPr>
              <w:t>[</w:t>
            </w:r>
            <w:r w:rsidRPr="000E502F">
              <w:t>Senior Level</w:t>
            </w:r>
            <w:r w:rsidRPr="00792D61">
              <w:rPr>
                <w:b/>
              </w:rPr>
              <w:t>][</w:t>
            </w:r>
            <w:r w:rsidRPr="000E502F">
              <w:t>Subordinated Level</w:t>
            </w:r>
            <w:r w:rsidRPr="00792D61">
              <w:rPr>
                <w:b/>
              </w:rPr>
              <w:t>]]</w:t>
            </w:r>
            <w:r w:rsidRPr="000E502F">
              <w:t xml:space="preserve"> which is specified from time to time on the list of Standard Reference Obligations ("</w:t>
            </w:r>
            <w:r w:rsidRPr="0046463E">
              <w:rPr>
                <w:b/>
              </w:rPr>
              <w:t>SRO-List</w:t>
            </w:r>
            <w:r w:rsidRPr="000E502F">
              <w:t xml:space="preserve">") published by ISDA from time to time on its website at www.isda.org (or any successor website thereto) or by a third party designated by ISDA on its website from time to time. </w:t>
            </w:r>
            <w:r w:rsidRPr="00792D61">
              <w:rPr>
                <w:b/>
              </w:rPr>
              <w:t>[</w:t>
            </w:r>
            <w:r w:rsidRPr="0046463E">
              <w:rPr>
                <w:b/>
                <w:i/>
              </w:rPr>
              <w:t>if in addition to a Standard Reference Obligation a Non-Standard Reference Obligation is specifed, insert:</w:t>
            </w:r>
            <w:r w:rsidRPr="000E502F">
              <w:t xml:space="preserve"> If there is no Standard Reference Obligation, the Reference Obligation will be (A) the Non-Standard Reference Obligation described below to but excluding the first date of publication of the Standard Reference Obligation and (B) the Standard Reference Obligation from such date onwards, provided that the Standard Reference Obligation that is published would have been eligible to be selected as a Substitute Reference Obligation as set out in the definition of "Substitute Reference Obligation" in Section 1.2.</w:t>
            </w:r>
            <w:r w:rsidRPr="00792D61">
              <w:rPr>
                <w:b/>
              </w:rPr>
              <w:t>]</w:t>
            </w:r>
            <w:r w:rsidRPr="000E502F">
              <w:t xml:space="preserve"> If the Standard Reference Obligation is removed from the SRO-List, such obligation shall cease to be the Reference Obligation </w:t>
            </w:r>
            <w:r w:rsidRPr="00792D61">
              <w:rPr>
                <w:b/>
              </w:rPr>
              <w:t>[</w:t>
            </w:r>
            <w:r w:rsidRPr="0046463E">
              <w:rPr>
                <w:b/>
                <w:i/>
              </w:rPr>
              <w:t xml:space="preserve">if </w:t>
            </w:r>
            <w:r>
              <w:rPr>
                <w:b/>
                <w:i/>
              </w:rPr>
              <w:t>"</w:t>
            </w:r>
            <w:r w:rsidRPr="0046463E">
              <w:rPr>
                <w:b/>
                <w:i/>
              </w:rPr>
              <w:t>Not Subordinated</w:t>
            </w:r>
            <w:r>
              <w:rPr>
                <w:b/>
                <w:i/>
              </w:rPr>
              <w:t>"</w:t>
            </w:r>
            <w:r w:rsidRPr="0046463E">
              <w:rPr>
                <w:b/>
                <w:i/>
              </w:rPr>
              <w:t xml:space="preserve"> is an Obligation Characteristic and/or a Valuation Obligation Characteristic, insert:</w:t>
            </w:r>
            <w:r w:rsidRPr="000E502F">
              <w:t xml:space="preserve"> (other than for purposes of the </w:t>
            </w:r>
            <w:r w:rsidRPr="00792D61">
              <w:rPr>
                <w:b/>
              </w:rPr>
              <w:t>[</w:t>
            </w:r>
            <w:r>
              <w:t>"</w:t>
            </w:r>
            <w:r w:rsidRPr="000E502F">
              <w:t>Not Subordinated</w:t>
            </w:r>
            <w:r>
              <w:t>"</w:t>
            </w:r>
            <w:r w:rsidRPr="000E502F">
              <w:t xml:space="preserve"> Obligation Characteristic</w:t>
            </w:r>
            <w:r w:rsidRPr="00792D61">
              <w:rPr>
                <w:b/>
              </w:rPr>
              <w:t>][</w:t>
            </w:r>
            <w:r w:rsidRPr="000E502F">
              <w:t>or</w:t>
            </w:r>
            <w:r w:rsidRPr="00792D61">
              <w:rPr>
                <w:b/>
              </w:rPr>
              <w:t>][</w:t>
            </w:r>
            <w:r>
              <w:t>"</w:t>
            </w:r>
            <w:r w:rsidRPr="000E502F">
              <w:t>Not Subordinated</w:t>
            </w:r>
            <w:r>
              <w:t>"</w:t>
            </w:r>
            <w:r w:rsidRPr="000E502F">
              <w:t xml:space="preserve"> Valuation Obligation Characteristic</w:t>
            </w:r>
            <w:r w:rsidRPr="00792D61">
              <w:rPr>
                <w:b/>
              </w:rPr>
              <w:t>]</w:t>
            </w:r>
            <w:r w:rsidRPr="000E502F">
              <w:t>)</w:t>
            </w:r>
            <w:r w:rsidRPr="00792D61">
              <w:rPr>
                <w:b/>
              </w:rPr>
              <w:t>]</w:t>
            </w:r>
            <w:r w:rsidRPr="000E502F">
              <w:t xml:space="preserve"> and there shall be no Reference Obligation unless and until such obligation is subsequently replaced on the SRO List, in which case, the new Standard Reference Obligation in respect of the Reference Entity shall constitute the Reference Obligation.</w:t>
            </w:r>
            <w:r w:rsidRPr="00792D61">
              <w:rPr>
                <w:b/>
              </w:rPr>
              <w:t>]</w:t>
            </w:r>
            <w:r w:rsidRPr="000E502F">
              <w:t xml:space="preserve"> </w:t>
            </w:r>
            <w:r w:rsidRPr="00792D61">
              <w:rPr>
                <w:b/>
              </w:rPr>
              <w:t>[</w:t>
            </w:r>
            <w:r w:rsidRPr="00E80729">
              <w:rPr>
                <w:b/>
                <w:i/>
              </w:rPr>
              <w:t>if only Non-Standard Reference Obligation is applicable, insert:</w:t>
            </w:r>
            <w:r w:rsidRPr="000E502F">
              <w:t xml:space="preserve"> the Non-Standard Reference Obligation described below.</w:t>
            </w:r>
            <w:r w:rsidRPr="00792D61">
              <w:rPr>
                <w:b/>
              </w:rPr>
              <w:t>]]</w:t>
            </w:r>
          </w:p>
        </w:tc>
        <w:tc>
          <w:tcPr>
            <w:tcW w:w="1705" w:type="dxa"/>
            <w:gridSpan w:val="3"/>
            <w:tcBorders>
              <w:top w:val="nil"/>
              <w:right w:val="nil"/>
            </w:tcBorders>
            <w:shd w:val="clear" w:color="auto" w:fill="auto"/>
          </w:tcPr>
          <w:p w:rsidR="0017135D" w:rsidRPr="000E502F" w:rsidP="0046463E">
            <w:pPr>
              <w:pStyle w:val="CSBody8ptbolditalics"/>
              <w:rPr>
                <w:lang w:val="de-DE"/>
              </w:rPr>
            </w:pPr>
            <w:r w:rsidRPr="00792D61">
              <w:rPr>
                <w:lang w:val="de-DE"/>
              </w:rPr>
              <w:t>[</w:t>
            </w:r>
            <w:r w:rsidRPr="000E502F">
              <w:rPr>
                <w:lang w:val="de-DE"/>
              </w:rPr>
              <w:t>bei an eine Referenzverbindlichkeit gekoppelten Komplexen Produkten:</w:t>
            </w:r>
          </w:p>
          <w:p w:rsidR="0017135D" w:rsidRPr="000E502F" w:rsidP="0025475E">
            <w:pPr>
              <w:pStyle w:val="CSBody8pt"/>
              <w:rPr>
                <w:lang w:val="de-DE"/>
              </w:rPr>
            </w:pPr>
            <w:r w:rsidRPr="00F17869">
              <w:rPr>
                <w:lang w:val="de-DE"/>
              </w:rPr>
              <w:t>Referenzverbindlichkeit</w:t>
            </w:r>
            <w:r>
              <w:rPr>
                <w:lang w:val="de-DE"/>
              </w:rPr>
              <w:fldChar w:fldCharType="begin"/>
            </w:r>
            <w:r w:rsidRPr="00F17869">
              <w:instrText xml:space="preserve"> XE "</w:instrText>
            </w:r>
            <w:r w:rsidRPr="00F17869">
              <w:rPr>
                <w:lang w:val="de-DE"/>
              </w:rPr>
              <w:instrText>Referenzverbindlichkeit</w:instrText>
            </w:r>
            <w:r w:rsidRPr="00F17869">
              <w:instrText xml:space="preserve">" </w:instrText>
            </w:r>
            <w:r>
              <w:rPr>
                <w:lang w:val="de-DE"/>
              </w:rPr>
              <w:fldChar w:fldCharType="end"/>
            </w:r>
          </w:p>
        </w:tc>
        <w:tc>
          <w:tcPr>
            <w:tcW w:w="3231" w:type="dxa"/>
            <w:gridSpan w:val="9"/>
            <w:tcBorders>
              <w:top w:val="nil"/>
              <w:left w:val="nil"/>
              <w:right w:val="nil"/>
            </w:tcBorders>
            <w:shd w:val="clear" w:color="auto" w:fill="auto"/>
          </w:tcPr>
          <w:p w:rsidR="0017135D" w:rsidRPr="000E502F" w:rsidP="004C1EBA">
            <w:pPr>
              <w:pStyle w:val="CSBody8pt"/>
              <w:rPr>
                <w:lang w:val="de-DE"/>
              </w:rPr>
            </w:pPr>
            <w:r w:rsidRPr="00792D61">
              <w:rPr>
                <w:b/>
                <w:lang w:val="de-DE"/>
              </w:rPr>
              <w:t>[</w:t>
            </w:r>
            <w:r w:rsidRPr="0046463E">
              <w:rPr>
                <w:b/>
                <w:i/>
                <w:lang w:val="de-DE"/>
              </w:rPr>
              <w:t>Bei Kreditbezogenen Komplexen Produkten mit Auktionsabwicklung, die an einen einzelnen Referenzschuldner gekoppelt sind,</w:t>
            </w:r>
            <w:r>
              <w:rPr>
                <w:b/>
                <w:i/>
                <w:lang w:val="de-DE"/>
              </w:rPr>
              <w:t xml:space="preserve"> bei denen es sich nicht um Kreditbezogene Komplexe Produkte mit Auktionsabwicklung mit LPN-Referenzverbindlichkeit handelt,</w:t>
            </w:r>
            <w:r w:rsidRPr="0046463E">
              <w:rPr>
                <w:b/>
                <w:i/>
                <w:lang w:val="de-DE"/>
              </w:rPr>
              <w:t xml:space="preserve"> einfügen: </w:t>
            </w:r>
            <w:r w:rsidRPr="00792D61">
              <w:rPr>
                <w:b/>
                <w:i/>
                <w:lang w:val="de-DE"/>
              </w:rPr>
              <w:t>[</w:t>
            </w:r>
            <w:r w:rsidRPr="0046463E">
              <w:rPr>
                <w:b/>
                <w:i/>
                <w:lang w:val="de-DE"/>
              </w:rPr>
              <w:t>falls Standard-Referenzverbindlichkeit anwendbar ist, einfügen:</w:t>
            </w:r>
            <w:r w:rsidRPr="00BD66DD">
              <w:rPr>
                <w:lang w:val="de-DE"/>
              </w:rPr>
              <w:t xml:space="preserve"> die Standard-Referenzverbindlichkeit, </w:t>
            </w:r>
            <w:r>
              <w:rPr>
                <w:lang w:val="de-DE"/>
              </w:rPr>
              <w:t>d.h.</w:t>
            </w:r>
            <w:r w:rsidRPr="00BD66DD">
              <w:rPr>
                <w:lang w:val="de-DE"/>
              </w:rPr>
              <w:t xml:space="preserve"> die Verbindlichkeit des Referenzschuldners mit dem Rang (wie in der Definition von "Rang" in Ziffer 1.2 definiert) </w:t>
            </w:r>
            <w:r w:rsidRPr="00792D61">
              <w:rPr>
                <w:b/>
                <w:lang w:val="de-DE"/>
              </w:rPr>
              <w:t>[</w:t>
            </w:r>
            <w:r w:rsidRPr="0046463E">
              <w:rPr>
                <w:b/>
                <w:i/>
                <w:lang w:val="de-DE"/>
              </w:rPr>
              <w:t>massgeblichen Rang einfügen:</w:t>
            </w:r>
            <w:r w:rsidRPr="00BD66DD">
              <w:rPr>
                <w:lang w:val="de-DE"/>
              </w:rPr>
              <w:t xml:space="preserve"> </w:t>
            </w:r>
            <w:r w:rsidRPr="00792D61">
              <w:rPr>
                <w:b/>
                <w:lang w:val="de-DE"/>
              </w:rPr>
              <w:t>[</w:t>
            </w:r>
            <w:r w:rsidRPr="00BD66DD">
              <w:rPr>
                <w:lang w:val="de-DE"/>
              </w:rPr>
              <w:t>Nicht Nachrangig</w:t>
            </w:r>
            <w:r w:rsidRPr="00792D61">
              <w:rPr>
                <w:b/>
                <w:lang w:val="de-DE"/>
              </w:rPr>
              <w:t>][</w:t>
            </w:r>
            <w:r w:rsidRPr="00BD66DD">
              <w:rPr>
                <w:lang w:val="de-DE"/>
              </w:rPr>
              <w:t>Nachrang</w:t>
            </w:r>
            <w:r w:rsidRPr="00792D61">
              <w:rPr>
                <w:b/>
                <w:lang w:val="de-DE"/>
              </w:rPr>
              <w:t>]]</w:t>
            </w:r>
            <w:r w:rsidRPr="00BD66DD">
              <w:rPr>
                <w:lang w:val="de-DE"/>
              </w:rPr>
              <w:t>, die jeweils in der Liste der Standard-Referenzverbindlichkeiten ("</w:t>
            </w:r>
            <w:r w:rsidRPr="0046463E">
              <w:rPr>
                <w:b/>
                <w:lang w:val="de-DE"/>
              </w:rPr>
              <w:t>SRV-Liste</w:t>
            </w:r>
            <w:r w:rsidRPr="00BD66DD">
              <w:rPr>
                <w:lang w:val="de-DE"/>
              </w:rPr>
              <w:t xml:space="preserve">") angegeben ist, die die ISDA jeweils auf ihrer Internetseite </w:t>
            </w:r>
            <w:r w:rsidRPr="00980244">
              <w:rPr>
                <w:u w:val="single"/>
                <w:lang w:val="de-DE"/>
              </w:rPr>
              <w:t>www.isda.org</w:t>
            </w:r>
            <w:r w:rsidRPr="00BD66DD">
              <w:rPr>
                <w:lang w:val="de-DE"/>
              </w:rPr>
              <w:t xml:space="preserve"> (oder auf einer Nachfolgeseite) oder ein von der ISDA benannter Dritter jeweils auf seiner Internetseite veröffentlicht. </w:t>
            </w:r>
            <w:r w:rsidRPr="00792D61">
              <w:rPr>
                <w:b/>
                <w:lang w:val="de-DE"/>
              </w:rPr>
              <w:t>[</w:t>
            </w:r>
            <w:r w:rsidRPr="0046463E">
              <w:rPr>
                <w:b/>
                <w:i/>
                <w:lang w:val="de-DE"/>
              </w:rPr>
              <w:t>falls zusätzlich zu einer Standard-Referenzverbindlichkeit eine Nicht-Standard-Referenzverbindlichkeit angegeben ist, einfügen:</w:t>
            </w:r>
            <w:r w:rsidRPr="00BD66DD">
              <w:rPr>
                <w:lang w:val="de-DE"/>
              </w:rPr>
              <w:t xml:space="preserve"> Sofern es keine Standard-Referenzverbindlichkeit gibt, ist die Referenzverbindlichkeit (A) die nachstehend beschriebene Nicht-Standard-Referenzverbindlichkeit bis zum ersten Tag der Bekanntgabe der Standard-Referenzverbindlichkeit (ausschliesslich) und (B) ab diesem Tag die Standard-Referenzverbindlichkeit, vorausgesetzt, die bekannt gegebene Standard-Referenzverbindlichkeit hätte die in der Definition von "Ersatz-Referenzverbindlichkeit" in Ziffer 1.2 genannten Auswahlkriterien für eine Ersatz-Referenzverbindlichkeit erfüllt.</w:t>
            </w:r>
            <w:r w:rsidRPr="00792D61">
              <w:rPr>
                <w:b/>
                <w:lang w:val="de-DE"/>
              </w:rPr>
              <w:t>]</w:t>
            </w:r>
            <w:r w:rsidRPr="00BD66DD">
              <w:rPr>
                <w:lang w:val="de-DE"/>
              </w:rPr>
              <w:t xml:space="preserve"> Falls die Standard-Referenzverbindlichkeit aus der SRV-Liste gelöscht wird, ist diese Verbindlichkeit nicht länger die Referenzverbindlichkeit </w:t>
            </w:r>
            <w:r w:rsidRPr="00792D61">
              <w:rPr>
                <w:b/>
                <w:lang w:val="de-DE"/>
              </w:rPr>
              <w:t>[</w:t>
            </w:r>
            <w:r w:rsidRPr="00E80729">
              <w:rPr>
                <w:b/>
                <w:i/>
                <w:lang w:val="de-DE"/>
              </w:rPr>
              <w:t>falls "Nicht Nachrangig</w:t>
            </w:r>
            <w:r>
              <w:rPr>
                <w:b/>
                <w:i/>
                <w:lang w:val="de-DE"/>
              </w:rPr>
              <w:t>"</w:t>
            </w:r>
            <w:r w:rsidRPr="00E80729">
              <w:rPr>
                <w:b/>
                <w:i/>
                <w:lang w:val="de-DE"/>
              </w:rPr>
              <w:t xml:space="preserve"> ein Verbindlichkeitenmerkmal und/oder ein Merkmal der Bewertungsverbindlichkeit ist, einfügen:</w:t>
            </w:r>
            <w:r w:rsidRPr="00BD66DD">
              <w:rPr>
                <w:lang w:val="de-DE"/>
              </w:rPr>
              <w:t xml:space="preserve"> (ausser für Zwecke </w:t>
            </w:r>
            <w:r w:rsidRPr="00792D61">
              <w:rPr>
                <w:b/>
                <w:lang w:val="de-DE"/>
              </w:rPr>
              <w:t>[</w:t>
            </w:r>
            <w:r w:rsidRPr="00BD66DD">
              <w:rPr>
                <w:lang w:val="de-DE"/>
              </w:rPr>
              <w:t>des Verbindlichkeitenmerkmals "Nicht Nachranging</w:t>
            </w:r>
            <w:r>
              <w:rPr>
                <w:lang w:val="de-DE"/>
              </w:rPr>
              <w:t>"</w:t>
            </w:r>
            <w:r w:rsidRPr="00792D61">
              <w:rPr>
                <w:b/>
                <w:lang w:val="de-DE"/>
              </w:rPr>
              <w:t>][</w:t>
            </w:r>
            <w:r w:rsidRPr="00BD66DD">
              <w:rPr>
                <w:lang w:val="de-DE"/>
              </w:rPr>
              <w:t>oder</w:t>
            </w:r>
            <w:r w:rsidRPr="00792D61">
              <w:rPr>
                <w:b/>
                <w:lang w:val="de-DE"/>
              </w:rPr>
              <w:t>][</w:t>
            </w:r>
            <w:r w:rsidRPr="00BD66DD">
              <w:rPr>
                <w:lang w:val="de-DE"/>
              </w:rPr>
              <w:t>des Merkmals der Bewertungsverbindlichkeit "Nicht Nachrangig</w:t>
            </w:r>
            <w:r>
              <w:rPr>
                <w:lang w:val="de-DE"/>
              </w:rPr>
              <w:t>"</w:t>
            </w:r>
            <w:r w:rsidRPr="00792D61">
              <w:rPr>
                <w:b/>
                <w:lang w:val="de-DE"/>
              </w:rPr>
              <w:t>]</w:t>
            </w:r>
            <w:r w:rsidRPr="00BD66DD">
              <w:rPr>
                <w:lang w:val="de-DE"/>
              </w:rPr>
              <w:t>)</w:t>
            </w:r>
            <w:r w:rsidRPr="00792D61">
              <w:rPr>
                <w:b/>
                <w:lang w:val="de-DE"/>
              </w:rPr>
              <w:t>]</w:t>
            </w:r>
            <w:r w:rsidRPr="00BD66DD">
              <w:rPr>
                <w:lang w:val="de-DE"/>
              </w:rPr>
              <w:t xml:space="preserve"> und es wird so lange keine Referenzverbindlichkeit geben, bis in der Folgezeit die Verbindlichkeit auf der SRV-Liste ersetzt wird. Im Fall einer solchen Ersetzung wird die neue Standard-Referenzverbindlichkeit in Bezug auf den Referenzschuldner als Referenzverbindlichkeit behandelt.</w:t>
            </w:r>
            <w:r w:rsidRPr="00792D61">
              <w:rPr>
                <w:b/>
                <w:lang w:val="de-DE"/>
              </w:rPr>
              <w:t>]</w:t>
            </w:r>
            <w:r w:rsidRPr="00BD66DD">
              <w:rPr>
                <w:lang w:val="de-DE"/>
              </w:rPr>
              <w:t xml:space="preserve"> </w:t>
            </w:r>
            <w:r w:rsidRPr="00792D61">
              <w:rPr>
                <w:b/>
                <w:lang w:val="de-DE"/>
              </w:rPr>
              <w:t>[</w:t>
            </w:r>
            <w:r w:rsidRPr="00E80729">
              <w:rPr>
                <w:b/>
                <w:i/>
                <w:lang w:val="de-DE"/>
              </w:rPr>
              <w:t>falls nur Nicht-Standard-Referenzverbindlichkeit anwendbar ist, einfügen:</w:t>
            </w:r>
            <w:r w:rsidRPr="00BD66DD">
              <w:rPr>
                <w:lang w:val="de-DE"/>
              </w:rPr>
              <w:t xml:space="preserve"> die nachfolgend beschriebene Nicht-Standard-Referenzverbindlichkeit.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BD6E0D" w:rsidP="0046463E">
            <w:pPr>
              <w:pStyle w:val="CSBody8ptbolditalics"/>
              <w:rPr>
                <w:lang w:val="de-DE"/>
              </w:rPr>
            </w:pPr>
          </w:p>
        </w:tc>
        <w:tc>
          <w:tcPr>
            <w:tcW w:w="3315" w:type="dxa"/>
            <w:gridSpan w:val="7"/>
            <w:tcBorders>
              <w:top w:val="nil"/>
              <w:left w:val="nil"/>
            </w:tcBorders>
            <w:shd w:val="clear" w:color="auto" w:fill="auto"/>
          </w:tcPr>
          <w:p w:rsidR="0017135D" w:rsidRPr="000E502F" w:rsidP="004C1EBA">
            <w:pPr>
              <w:pStyle w:val="CSBody8pt"/>
            </w:pPr>
            <w:r w:rsidRPr="0030410D">
              <w:rPr>
                <w:b/>
              </w:rPr>
              <w:t>[</w:t>
            </w:r>
            <w:r>
              <w:rPr>
                <w:b/>
                <w:i/>
              </w:rPr>
              <w:t>in case of Credit-Linked Complex Products with auction settlement with LPN Reference Obligation</w:t>
            </w:r>
            <w:r w:rsidRPr="0030410D">
              <w:rPr>
                <w:b/>
                <w:i/>
              </w:rPr>
              <w:t>, insert:</w:t>
            </w:r>
          </w:p>
        </w:tc>
        <w:tc>
          <w:tcPr>
            <w:tcW w:w="1705" w:type="dxa"/>
            <w:gridSpan w:val="3"/>
            <w:tcBorders>
              <w:top w:val="nil"/>
              <w:right w:val="nil"/>
            </w:tcBorders>
            <w:shd w:val="clear" w:color="auto" w:fill="auto"/>
          </w:tcPr>
          <w:p w:rsidR="0017135D" w:rsidRPr="009D08E0" w:rsidP="0046463E">
            <w:pPr>
              <w:pStyle w:val="CSBody8ptbolditalics"/>
            </w:pPr>
          </w:p>
        </w:tc>
        <w:tc>
          <w:tcPr>
            <w:tcW w:w="3231" w:type="dxa"/>
            <w:gridSpan w:val="9"/>
            <w:tcBorders>
              <w:top w:val="nil"/>
              <w:left w:val="nil"/>
              <w:right w:val="nil"/>
            </w:tcBorders>
            <w:shd w:val="clear" w:color="auto" w:fill="auto"/>
          </w:tcPr>
          <w:p w:rsidR="0017135D" w:rsidRPr="00BD66DD">
            <w:pPr>
              <w:pStyle w:val="CSBody8pt"/>
              <w:rPr>
                <w:lang w:val="de-DE"/>
              </w:rPr>
            </w:pPr>
            <w:r w:rsidRPr="009D08E0">
              <w:rPr>
                <w:b/>
                <w:lang w:val="de-DE"/>
              </w:rPr>
              <w:t>[</w:t>
            </w:r>
            <w:r w:rsidRPr="009D08E0">
              <w:rPr>
                <w:b/>
                <w:i/>
                <w:lang w:val="de-DE"/>
              </w:rPr>
              <w:t>bei Kredibezogenen Komplexen Produkten mit Auktionsabwicklung mit LPN-Referenzverbindlichkeit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6463E">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0D2577">
              <w:t>Means each of the following obligations:</w:t>
            </w:r>
          </w:p>
        </w:tc>
        <w:tc>
          <w:tcPr>
            <w:tcW w:w="1705" w:type="dxa"/>
            <w:gridSpan w:val="3"/>
            <w:tcBorders>
              <w:top w:val="nil"/>
              <w:right w:val="nil"/>
            </w:tcBorders>
            <w:shd w:val="clear" w:color="auto" w:fill="auto"/>
          </w:tcPr>
          <w:p w:rsidR="0017135D" w:rsidRPr="009D08E0" w:rsidP="0046463E">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lang w:val="de-DE"/>
              </w:rPr>
              <w:t>Bezeichnet jede der folgenden Verbindlichkeiten:</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6463E">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0D2577">
              <w:rPr>
                <w:b/>
              </w:rPr>
              <w:t>[</w:t>
            </w:r>
            <w:r>
              <w:rPr>
                <w:b/>
                <w:i/>
              </w:rPr>
              <w:t xml:space="preserve">where a specific obligation is to be specified as a Reference Obligation, insert details of such obligation:  </w:t>
            </w:r>
            <w:r>
              <w:t>(i)</w:t>
            </w:r>
            <w:r w:rsidRPr="000D2577">
              <w:rPr>
                <w:b/>
                <w:sz w:val="22"/>
              </w:rPr>
              <w:t xml:space="preserve"> </w:t>
            </w:r>
            <w:r w:rsidRPr="000D2577">
              <w:rPr>
                <w:b/>
              </w:rPr>
              <w:t>[</w:t>
            </w:r>
            <w:r>
              <w:rPr>
                <w:rFonts w:ascii="Wingdings" w:hAnsi="Wingdings"/>
                <w:b/>
              </w:rPr>
              <w:sym w:font="Wingdings" w:char="F06C"/>
            </w:r>
            <w:r w:rsidRPr="000D2577">
              <w:rPr>
                <w:b/>
              </w:rPr>
              <w:t>]</w:t>
            </w:r>
            <w:r>
              <w:t>;</w:t>
            </w:r>
            <w:r w:rsidRPr="00792D61">
              <w:rPr>
                <w:b/>
              </w:rPr>
              <w:t>]</w:t>
            </w:r>
          </w:p>
        </w:tc>
        <w:tc>
          <w:tcPr>
            <w:tcW w:w="1705" w:type="dxa"/>
            <w:gridSpan w:val="3"/>
            <w:tcBorders>
              <w:top w:val="nil"/>
              <w:right w:val="nil"/>
            </w:tcBorders>
            <w:shd w:val="clear" w:color="auto" w:fill="auto"/>
          </w:tcPr>
          <w:p w:rsidR="0017135D" w:rsidRPr="009D08E0" w:rsidP="0046463E">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b/>
                <w:lang w:val="de-DE"/>
              </w:rPr>
              <w:t>[</w:t>
            </w:r>
            <w:r w:rsidRPr="009D08E0">
              <w:rPr>
                <w:b/>
                <w:i/>
                <w:lang w:val="de-DE"/>
              </w:rPr>
              <w:t xml:space="preserve">falls eine bestimmte Verbindlichkeit als eine Referenzverbindlichkeit angegeben werden soll, Einzelheiten dieser Verbindlichkeit einfügen:  </w:t>
            </w:r>
            <w:r w:rsidRPr="009D08E0">
              <w:rPr>
                <w:lang w:val="de-DE"/>
              </w:rPr>
              <w:t>(i)</w:t>
            </w:r>
            <w:r w:rsidRPr="009D08E0">
              <w:rPr>
                <w:b/>
                <w:lang w:val="de-DE"/>
              </w:rPr>
              <w:t xml:space="preserve"> [</w:t>
            </w:r>
            <w:r w:rsidRPr="000D2577">
              <w:rPr>
                <w:rFonts w:ascii="Wingdings" w:hAnsi="Wingdings"/>
                <w:b/>
              </w:rPr>
              <w:sym w:font="Wingdings" w:char="F06C"/>
            </w:r>
            <w:r w:rsidRPr="009D08E0">
              <w:rPr>
                <w:b/>
                <w:lang w:val="de-DE"/>
              </w:rPr>
              <w:t>]</w:t>
            </w:r>
            <w:r w:rsidRPr="009D08E0">
              <w:rPr>
                <w:lang w:val="de-DE"/>
              </w:rPr>
              <w:t>;</w:t>
            </w:r>
            <w:r w:rsidRPr="009D08E0">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6463E">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4542D6">
              <w:rPr>
                <w:b/>
              </w:rPr>
              <w:t>[</w:t>
            </w:r>
            <w:r w:rsidRPr="004542D6">
              <w:t>(i)</w:t>
            </w:r>
            <w:r w:rsidRPr="004542D6">
              <w:rPr>
                <w:b/>
              </w:rPr>
              <w:t>]</w:t>
            </w:r>
            <w:r>
              <w:rPr>
                <w:b/>
              </w:rPr>
              <w:t>[</w:t>
            </w:r>
            <w:r w:rsidRPr="000D2577">
              <w:t>(ii)</w:t>
            </w:r>
            <w:r>
              <w:rPr>
                <w:b/>
              </w:rPr>
              <w:t>]</w:t>
            </w:r>
            <w:r w:rsidRPr="000D2577">
              <w:t xml:space="preserve"> the obligations set forth, as of the Trade Date, on the LPN Reference Obligations list with respect to the Reference Entity (the </w:t>
            </w:r>
            <w:r w:rsidR="003B00F3">
              <w:t>"</w:t>
            </w:r>
            <w:r w:rsidRPr="000D2577">
              <w:rPr>
                <w:b/>
              </w:rPr>
              <w:t>LPN Reference Obligations List</w:t>
            </w:r>
            <w:r w:rsidR="00BF7214">
              <w:t>"</w:t>
            </w:r>
            <w:r w:rsidRPr="000D2577">
              <w:t>), as published by Markit Group Limited, or any successor thereto, which list is currently available at http://www.markit.com/marketing/services.php</w:t>
            </w:r>
          </w:p>
        </w:tc>
        <w:tc>
          <w:tcPr>
            <w:tcW w:w="1705" w:type="dxa"/>
            <w:gridSpan w:val="3"/>
            <w:tcBorders>
              <w:top w:val="nil"/>
              <w:right w:val="nil"/>
            </w:tcBorders>
            <w:shd w:val="clear" w:color="auto" w:fill="auto"/>
          </w:tcPr>
          <w:p w:rsidR="0017135D" w:rsidRPr="009D08E0" w:rsidP="0046463E">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b/>
                <w:lang w:val="de-DE"/>
              </w:rPr>
              <w:t>[</w:t>
            </w:r>
            <w:r w:rsidRPr="009D08E0">
              <w:rPr>
                <w:lang w:val="de-DE"/>
              </w:rPr>
              <w:t>(i)</w:t>
            </w:r>
            <w:r w:rsidRPr="009D08E0">
              <w:rPr>
                <w:b/>
                <w:lang w:val="de-DE"/>
              </w:rPr>
              <w:t>][</w:t>
            </w:r>
            <w:r w:rsidRPr="009D08E0">
              <w:rPr>
                <w:lang w:val="de-DE"/>
              </w:rPr>
              <w:t>(ii)</w:t>
            </w:r>
            <w:r w:rsidRPr="009D08E0">
              <w:rPr>
                <w:b/>
                <w:lang w:val="de-DE"/>
              </w:rPr>
              <w:t>]</w:t>
            </w:r>
            <w:r w:rsidRPr="009D08E0">
              <w:rPr>
                <w:lang w:val="de-DE"/>
              </w:rPr>
              <w:t xml:space="preserve"> die Verbindlichkeiten, die zum Abschlusstag auf der Liste der LPN Referenzverbindlichkeiten in Bezug auf den Referenzschuldner (die </w:t>
            </w:r>
            <w:r w:rsidR="003B00F3">
              <w:rPr>
                <w:lang w:val="de-DE"/>
              </w:rPr>
              <w:t>"</w:t>
            </w:r>
            <w:r w:rsidRPr="00BD6E0D">
              <w:rPr>
                <w:b/>
                <w:lang w:val="de-DE"/>
              </w:rPr>
              <w:t>LPN-Referenzverbindlichkeiten-Liste</w:t>
            </w:r>
            <w:r w:rsidR="00BF7214">
              <w:rPr>
                <w:lang w:val="de-DE"/>
              </w:rPr>
              <w:t>"</w:t>
            </w:r>
            <w:r w:rsidRPr="009D08E0">
              <w:rPr>
                <w:lang w:val="de-DE"/>
              </w:rPr>
              <w:t>), wie von Markit Group Limited (oder einem Nachfolger-Unternehmen) veröffentlicht (zurzeit ist diese Liste unter http://www.markit.com/marketing/services.php verfügbar), aufgeführt sind;</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6463E">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4542D6">
              <w:rPr>
                <w:b/>
              </w:rPr>
              <w:t>[</w:t>
            </w:r>
            <w:r>
              <w:t>(ii</w:t>
            </w:r>
            <w:r w:rsidRPr="004542D6">
              <w:t>)</w:t>
            </w:r>
            <w:r w:rsidRPr="004542D6">
              <w:rPr>
                <w:b/>
              </w:rPr>
              <w:t>]</w:t>
            </w:r>
            <w:r>
              <w:rPr>
                <w:b/>
              </w:rPr>
              <w:t>[</w:t>
            </w:r>
            <w:r w:rsidRPr="000D2577">
              <w:t>(iii)</w:t>
            </w:r>
            <w:r>
              <w:rPr>
                <w:b/>
              </w:rPr>
              <w:t>]</w:t>
            </w:r>
            <w:r w:rsidRPr="000D2577">
              <w:t xml:space="preserve"> any Additional LPN; and</w:t>
            </w:r>
          </w:p>
        </w:tc>
        <w:tc>
          <w:tcPr>
            <w:tcW w:w="1705" w:type="dxa"/>
            <w:gridSpan w:val="3"/>
            <w:tcBorders>
              <w:top w:val="nil"/>
              <w:right w:val="nil"/>
            </w:tcBorders>
            <w:shd w:val="clear" w:color="auto" w:fill="auto"/>
          </w:tcPr>
          <w:p w:rsidR="0017135D" w:rsidRPr="009D08E0" w:rsidP="0046463E">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b/>
                <w:lang w:val="de-DE"/>
              </w:rPr>
              <w:t>[</w:t>
            </w:r>
            <w:r w:rsidRPr="009D08E0">
              <w:rPr>
                <w:lang w:val="de-DE"/>
              </w:rPr>
              <w:t>(ii)</w:t>
            </w:r>
            <w:r w:rsidRPr="009D08E0">
              <w:rPr>
                <w:b/>
                <w:lang w:val="de-DE"/>
              </w:rPr>
              <w:t>][</w:t>
            </w:r>
            <w:r w:rsidRPr="009D08E0">
              <w:rPr>
                <w:lang w:val="de-DE"/>
              </w:rPr>
              <w:t>(iii)</w:t>
            </w:r>
            <w:r w:rsidRPr="009D08E0">
              <w:rPr>
                <w:b/>
                <w:lang w:val="de-DE"/>
              </w:rPr>
              <w:t>]</w:t>
            </w:r>
            <w:r w:rsidRPr="009D08E0">
              <w:rPr>
                <w:lang w:val="de-DE"/>
              </w:rPr>
              <w:t xml:space="preserve"> jede Zusätzliche LPN; und</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6463E">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4542D6">
              <w:rPr>
                <w:b/>
              </w:rPr>
              <w:t>[</w:t>
            </w:r>
            <w:r w:rsidRPr="004542D6">
              <w:t>(i</w:t>
            </w:r>
            <w:r>
              <w:t>i</w:t>
            </w:r>
            <w:r w:rsidRPr="004542D6">
              <w:t>i)</w:t>
            </w:r>
            <w:r w:rsidRPr="004542D6">
              <w:rPr>
                <w:b/>
              </w:rPr>
              <w:t>][</w:t>
            </w:r>
            <w:r>
              <w:t>(</w:t>
            </w:r>
            <w:r w:rsidRPr="004542D6">
              <w:t>i</w:t>
            </w:r>
            <w:r>
              <w:t>v</w:t>
            </w:r>
            <w:r w:rsidRPr="004542D6">
              <w:t>)</w:t>
            </w:r>
            <w:r w:rsidRPr="004542D6">
              <w:rPr>
                <w:b/>
              </w:rPr>
              <w:t>]</w:t>
            </w:r>
            <w:r w:rsidRPr="004542D6">
              <w:t xml:space="preserve"> </w:t>
            </w:r>
            <w:r w:rsidRPr="003748AC">
              <w:t>each Additional Obligation.</w:t>
            </w:r>
          </w:p>
        </w:tc>
        <w:tc>
          <w:tcPr>
            <w:tcW w:w="1705" w:type="dxa"/>
            <w:gridSpan w:val="3"/>
            <w:tcBorders>
              <w:top w:val="nil"/>
              <w:right w:val="nil"/>
            </w:tcBorders>
            <w:shd w:val="clear" w:color="auto" w:fill="auto"/>
          </w:tcPr>
          <w:p w:rsidR="0017135D" w:rsidRPr="009D08E0" w:rsidP="0046463E">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b/>
                <w:lang w:val="de-DE"/>
              </w:rPr>
              <w:t>[</w:t>
            </w:r>
            <w:r w:rsidRPr="009D08E0">
              <w:rPr>
                <w:lang w:val="de-DE"/>
              </w:rPr>
              <w:t>(iii)</w:t>
            </w:r>
            <w:r w:rsidRPr="009D08E0">
              <w:rPr>
                <w:b/>
                <w:lang w:val="de-DE"/>
              </w:rPr>
              <w:t>][</w:t>
            </w:r>
            <w:r w:rsidRPr="009D08E0">
              <w:rPr>
                <w:lang w:val="de-DE"/>
              </w:rPr>
              <w:t>(iv)</w:t>
            </w:r>
            <w:r w:rsidRPr="009D08E0">
              <w:rPr>
                <w:b/>
                <w:lang w:val="de-DE"/>
              </w:rPr>
              <w:t>]</w:t>
            </w:r>
            <w:r w:rsidRPr="009D08E0">
              <w:rPr>
                <w:lang w:val="de-DE"/>
              </w:rPr>
              <w:t xml:space="preserve"> jede Zusätzliche Verbindlichkeit.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6463E">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3748AC">
              <w:t>Each Reference Obligation determined in accordance with the foregoing will be a Reference Obligation notwithstanding anything to the contrary in these Terms and Conditions, and in particular, notwithstanding that the obligation is not an obligation of the Reference Entity.</w:t>
            </w:r>
          </w:p>
        </w:tc>
        <w:tc>
          <w:tcPr>
            <w:tcW w:w="1705" w:type="dxa"/>
            <w:gridSpan w:val="3"/>
            <w:tcBorders>
              <w:top w:val="nil"/>
              <w:right w:val="nil"/>
            </w:tcBorders>
            <w:shd w:val="clear" w:color="auto" w:fill="auto"/>
          </w:tcPr>
          <w:p w:rsidR="0017135D" w:rsidRPr="009D08E0" w:rsidP="0046463E">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lang w:val="de-DE"/>
              </w:rPr>
              <w:t>Jede Referenzverbindlichkeit, die gemäss den vorstehenden Bestimmungen bestimmt wird, gilt als Referenzverbindlichkeit ungeachtet jeglicher gegenteiliger Bestimmungen in diesen Emissionsbedingungen und insbesondere ungeachtet, dass eine solche Verbindlichkeit nicht eine Verbindlichkeit des Referenzschuldners ist.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6463E">
            <w:pPr>
              <w:pStyle w:val="CSBody8ptbolditalics"/>
              <w:rPr>
                <w:b w:val="0"/>
                <w:lang w:val="de-DE"/>
              </w:rPr>
            </w:pPr>
          </w:p>
        </w:tc>
        <w:tc>
          <w:tcPr>
            <w:tcW w:w="3315" w:type="dxa"/>
            <w:gridSpan w:val="7"/>
            <w:tcBorders>
              <w:top w:val="nil"/>
              <w:left w:val="nil"/>
            </w:tcBorders>
            <w:shd w:val="clear" w:color="auto" w:fill="auto"/>
          </w:tcPr>
          <w:p w:rsidR="0017135D" w:rsidRPr="004542D6" w:rsidP="004C1EBA">
            <w:pPr>
              <w:pStyle w:val="CSBody8pt"/>
              <w:rPr>
                <w:b/>
              </w:rPr>
            </w:pPr>
            <w:r w:rsidRPr="004542D6">
              <w:t xml:space="preserve">It is intended that there may be more than one Reference Obligation, as a result of which all applicable references in these Terms and Conditions to </w:t>
            </w:r>
            <w:r w:rsidR="003B00F3">
              <w:t>"</w:t>
            </w:r>
            <w:r w:rsidRPr="004542D6">
              <w:t>the Reference Obligation</w:t>
            </w:r>
            <w:r w:rsidR="00BF7214">
              <w:t>"</w:t>
            </w:r>
            <w:r w:rsidRPr="004542D6">
              <w:t xml:space="preserve"> shall be construed as a reference to </w:t>
            </w:r>
            <w:r w:rsidR="003B00F3">
              <w:t>"</w:t>
            </w:r>
            <w:r w:rsidRPr="004542D6">
              <w:t>a Reference Obligation</w:t>
            </w:r>
            <w:r w:rsidR="00BF7214">
              <w:t>"</w:t>
            </w:r>
            <w:r w:rsidRPr="004542D6">
              <w:t>, and all other provisions of these Terms and Conditions shall be construed accordingly.</w:t>
            </w:r>
            <w:r>
              <w:rPr>
                <w:b/>
              </w:rPr>
              <w:t>]</w:t>
            </w:r>
          </w:p>
        </w:tc>
        <w:tc>
          <w:tcPr>
            <w:tcW w:w="1705" w:type="dxa"/>
            <w:gridSpan w:val="3"/>
            <w:tcBorders>
              <w:top w:val="nil"/>
              <w:right w:val="nil"/>
            </w:tcBorders>
            <w:shd w:val="clear" w:color="auto" w:fill="auto"/>
          </w:tcPr>
          <w:p w:rsidR="0017135D" w:rsidRPr="009D08E0" w:rsidP="0046463E">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4542D6">
              <w:rPr>
                <w:lang w:val="de-CH"/>
              </w:rPr>
              <w:t xml:space="preserve">Es ist beabsichtigt, dass es mehr als eine Referenzverbindlichkeit geben kann. Folglich ist eine Bezugnahme auf </w:t>
            </w:r>
            <w:r w:rsidR="003B00F3">
              <w:rPr>
                <w:lang w:val="de-CH"/>
              </w:rPr>
              <w:t>"</w:t>
            </w:r>
            <w:r w:rsidRPr="004542D6">
              <w:rPr>
                <w:lang w:val="de-CH"/>
              </w:rPr>
              <w:t>die Referenzverbindlichkeit</w:t>
            </w:r>
            <w:r w:rsidR="003B00F3">
              <w:rPr>
                <w:lang w:val="de-CH"/>
              </w:rPr>
              <w:t>"</w:t>
            </w:r>
            <w:r w:rsidRPr="004542D6">
              <w:rPr>
                <w:lang w:val="de-CH"/>
              </w:rPr>
              <w:t xml:space="preserve"> in diesen Emissionsbedingungen als eine Bezugnahme auf </w:t>
            </w:r>
            <w:r w:rsidR="003B00F3">
              <w:rPr>
                <w:lang w:val="de-CH"/>
              </w:rPr>
              <w:t>"</w:t>
            </w:r>
            <w:r w:rsidRPr="004542D6">
              <w:rPr>
                <w:lang w:val="de-CH"/>
              </w:rPr>
              <w:t>eine Referenzverbindlichkeit</w:t>
            </w:r>
            <w:r w:rsidR="003B00F3">
              <w:rPr>
                <w:lang w:val="de-CH"/>
              </w:rPr>
              <w:t>"</w:t>
            </w:r>
            <w:r w:rsidRPr="004542D6">
              <w:rPr>
                <w:lang w:val="de-CH"/>
              </w:rPr>
              <w:t xml:space="preserve"> zu verstehen und alle anderen Bestimmungen dieser Emissionsbedingungen sind entsprechend auszulegen.</w:t>
            </w:r>
            <w:r w:rsidRPr="009D08E0">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E502F" w:rsidP="00E80729">
            <w:pPr>
              <w:pStyle w:val="CSBody8ptbolditalics"/>
              <w:rPr>
                <w:lang w:val="de-DE"/>
              </w:rPr>
            </w:pPr>
          </w:p>
        </w:tc>
        <w:tc>
          <w:tcPr>
            <w:tcW w:w="3315" w:type="dxa"/>
            <w:gridSpan w:val="7"/>
            <w:tcBorders>
              <w:top w:val="nil"/>
              <w:left w:val="nil"/>
              <w:bottom w:val="nil"/>
            </w:tcBorders>
            <w:shd w:val="clear" w:color="auto" w:fill="auto"/>
          </w:tcPr>
          <w:p w:rsidR="0017135D" w:rsidRPr="00233F52" w:rsidP="004C1EBA">
            <w:pPr>
              <w:pStyle w:val="CSBody8ptbolditalics"/>
            </w:pPr>
            <w:r w:rsidRPr="00792D61">
              <w:t>[</w:t>
            </w:r>
            <w:r w:rsidRPr="00233F52">
              <w:t>in the case of Credit-Linked Complex Products with auction settlement linked to a Basket or with a N</w:t>
            </w:r>
            <w:r w:rsidRPr="00BD6E0D">
              <w:rPr>
                <w:vertAlign w:val="superscript"/>
              </w:rPr>
              <w:t>th</w:t>
            </w:r>
            <w:r w:rsidRPr="00233F52">
              <w:t>-to-Default structure or in the case of Credit-Linked Complex Products with Zero-Recovery feature linked to a Basket,</w:t>
            </w:r>
            <w:r>
              <w:t xml:space="preserve"> in each case other than Credit-Linked Complex Products with auction settlement with LPN Reference Obligation,</w:t>
            </w:r>
            <w:r w:rsidRPr="00233F52">
              <w:t xml:space="preserve"> insert:</w:t>
            </w:r>
          </w:p>
        </w:tc>
        <w:tc>
          <w:tcPr>
            <w:tcW w:w="1705" w:type="dxa"/>
            <w:gridSpan w:val="3"/>
            <w:tcBorders>
              <w:top w:val="nil"/>
              <w:bottom w:val="nil"/>
              <w:right w:val="nil"/>
            </w:tcBorders>
            <w:shd w:val="clear" w:color="auto" w:fill="auto"/>
          </w:tcPr>
          <w:p w:rsidR="0017135D" w:rsidRPr="00A67C5B" w:rsidP="00E80729">
            <w:pPr>
              <w:pStyle w:val="CSBody8ptbolditalics"/>
            </w:pPr>
          </w:p>
        </w:tc>
        <w:tc>
          <w:tcPr>
            <w:tcW w:w="3231" w:type="dxa"/>
            <w:gridSpan w:val="9"/>
            <w:tcBorders>
              <w:top w:val="nil"/>
              <w:left w:val="nil"/>
              <w:bottom w:val="nil"/>
              <w:right w:val="nil"/>
            </w:tcBorders>
            <w:shd w:val="clear" w:color="auto" w:fill="auto"/>
          </w:tcPr>
          <w:p w:rsidR="0017135D" w:rsidRPr="00A67C5B" w:rsidP="004C1EBA">
            <w:pPr>
              <w:pStyle w:val="CSBody8ptbolditalics"/>
              <w:rPr>
                <w:lang w:val="de-DE"/>
              </w:rPr>
            </w:pPr>
            <w:r w:rsidRPr="00792D61">
              <w:rPr>
                <w:lang w:val="de-DE"/>
              </w:rPr>
              <w:t>[</w:t>
            </w:r>
            <w:r w:rsidRPr="00A67C5B">
              <w:rPr>
                <w:lang w:val="de-DE"/>
              </w:rPr>
              <w:t>bei Kreditbezogenen Komplexen Produkten mit Auktionsabwicklung, die an einen Korb gebunden sind oder eine N</w:t>
            </w:r>
            <w:r w:rsidRPr="00BD6E0D">
              <w:rPr>
                <w:vertAlign w:val="superscript"/>
                <w:lang w:val="de-DE"/>
              </w:rPr>
              <w:t>th</w:t>
            </w:r>
            <w:r w:rsidRPr="00A67C5B">
              <w:rPr>
                <w:lang w:val="de-DE"/>
              </w:rPr>
              <w:t xml:space="preserve">-to-Default-Struktur aufweisen, oder bei Kreditbezogenen Komplexen Produkten mit Zero-Recovery-Merkmal, die an einen Korb gekoppelt sind, </w:t>
            </w:r>
            <w:r>
              <w:rPr>
                <w:lang w:val="de-DE"/>
              </w:rPr>
              <w:t xml:space="preserve">und bei denen es sich jeweils nicht um Kreditbezogenen Komplexe Produkte mit Auktionsabwicklung und mit LPN-Referenzverbindlichkeit handelt, </w:t>
            </w:r>
            <w:r w:rsidRPr="00A67C5B">
              <w:rPr>
                <w:lang w:val="de-DE"/>
              </w:rPr>
              <w:t>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7C5B" w:rsidP="0025475E">
            <w:pPr>
              <w:pStyle w:val="CSBody8pt"/>
              <w:rPr>
                <w:lang w:val="de-DE"/>
              </w:rPr>
            </w:pPr>
          </w:p>
        </w:tc>
        <w:tc>
          <w:tcPr>
            <w:tcW w:w="3315" w:type="dxa"/>
            <w:gridSpan w:val="7"/>
            <w:tcBorders>
              <w:top w:val="nil"/>
              <w:left w:val="nil"/>
              <w:bottom w:val="nil"/>
            </w:tcBorders>
            <w:shd w:val="clear" w:color="auto" w:fill="auto"/>
          </w:tcPr>
          <w:p w:rsidR="0017135D" w:rsidP="0025475E">
            <w:pPr>
              <w:pStyle w:val="CSBody8pt"/>
            </w:pPr>
            <w:r w:rsidRPr="00792D61">
              <w:rPr>
                <w:b/>
              </w:rPr>
              <w:t>[</w:t>
            </w:r>
            <w:r w:rsidRPr="009F7C7E">
              <w:rPr>
                <w:b/>
                <w:i/>
              </w:rPr>
              <w:t>if Standard Reference Obligation is applicable, insert:</w:t>
            </w:r>
            <w:r w:rsidRPr="00233F52">
              <w:t xml:space="preserve"> with respect to each Reference Entity specified in Table A (see subsection C.5 below), the relevant Standard Reference Obligation, that is, the obligation of the relevant Reference Entity with the Seniority Level (as defined in the definition of "Seniority Level" in Section 1.2) </w:t>
            </w:r>
            <w:r w:rsidRPr="00792D61">
              <w:rPr>
                <w:b/>
              </w:rPr>
              <w:t>[</w:t>
            </w:r>
            <w:r w:rsidRPr="009F7C7E">
              <w:rPr>
                <w:b/>
                <w:i/>
              </w:rPr>
              <w:t xml:space="preserve">insert relevant Seniority Level: </w:t>
            </w:r>
            <w:r w:rsidRPr="00792D61">
              <w:rPr>
                <w:b/>
              </w:rPr>
              <w:t>[</w:t>
            </w:r>
            <w:r w:rsidRPr="00233F52">
              <w:t>Senior Level</w:t>
            </w:r>
            <w:r w:rsidRPr="00792D61">
              <w:rPr>
                <w:b/>
              </w:rPr>
              <w:t>][</w:t>
            </w:r>
            <w:r w:rsidRPr="00233F52">
              <w:t>Subordinated Level</w:t>
            </w:r>
            <w:r w:rsidRPr="00792D61">
              <w:rPr>
                <w:b/>
              </w:rPr>
              <w:t>]]</w:t>
            </w:r>
            <w:r w:rsidRPr="00233F52">
              <w:t xml:space="preserve"> which is specified from time to time on the list of Standard Reference Obligations ("</w:t>
            </w:r>
            <w:r w:rsidRPr="009F7C7E">
              <w:rPr>
                <w:b/>
              </w:rPr>
              <w:t>SRO-List</w:t>
            </w:r>
            <w:r w:rsidRPr="00233F52">
              <w:t>") published by ISDA from time to time on its website at www.isda.org (or any successor website thereto) or by a third party designated by ISDA on its website from time to time.</w:t>
            </w:r>
            <w:r w:rsidRPr="00792D61">
              <w:rPr>
                <w:b/>
              </w:rPr>
              <w:t>]</w:t>
            </w:r>
            <w:r w:rsidRPr="00233F52">
              <w:t xml:space="preserve"> </w:t>
            </w:r>
            <w:r w:rsidRPr="00792D61">
              <w:rPr>
                <w:b/>
              </w:rPr>
              <w:t>[</w:t>
            </w:r>
            <w:r w:rsidRPr="009F7C7E">
              <w:rPr>
                <w:b/>
                <w:i/>
              </w:rPr>
              <w:t>if in addition to a Standard Reference Obligation a Non-Standard Reference Obligation is specifed, insert:</w:t>
            </w:r>
            <w:r w:rsidRPr="00233F52">
              <w:t xml:space="preserve"> If there is no Standard Reference Obligation for the relevant Reference Entity, the Reference Obligation will be (A) the relevant Non-Standard Reference Obligation for such Reference Entity described below to but excluding the first date of publication of the Standard Reference Obligation in respect of the relevant Reference Entity and (B) such Standard Reference Obligation from such date onwards, provided that the Standard Reference Obligation that is published would have been eligible to be selected as a Substitute Reference Obligation in respect of the relevant Reference Entity as set out in the definition of "Substitute Reference Obligation" in Section 1.2.</w:t>
            </w:r>
            <w:r w:rsidRPr="00792D61">
              <w:rPr>
                <w:b/>
              </w:rPr>
              <w:t>]</w:t>
            </w:r>
            <w:r w:rsidRPr="00233F52">
              <w:t xml:space="preserve"> </w:t>
            </w:r>
            <w:r w:rsidRPr="00792D61">
              <w:rPr>
                <w:b/>
              </w:rPr>
              <w:t>[</w:t>
            </w:r>
            <w:r w:rsidRPr="009F7C7E">
              <w:rPr>
                <w:b/>
                <w:i/>
              </w:rPr>
              <w:t>if only Non-Standard Reference Obligation is applicable, insert:</w:t>
            </w:r>
            <w:r w:rsidRPr="00233F52">
              <w:t xml:space="preserve"> with respect to each Reference Entity specified in Table A (see subsection C.5 below), the relevant Non-Standard Reference Obligation described below.</w:t>
            </w:r>
            <w:r w:rsidRPr="00792D61">
              <w:rPr>
                <w:b/>
              </w:rPr>
              <w:t>]]</w:t>
            </w:r>
          </w:p>
        </w:tc>
        <w:tc>
          <w:tcPr>
            <w:tcW w:w="1705" w:type="dxa"/>
            <w:gridSpan w:val="3"/>
            <w:tcBorders>
              <w:top w:val="nil"/>
              <w:bottom w:val="nil"/>
              <w:right w:val="nil"/>
            </w:tcBorders>
            <w:shd w:val="clear" w:color="auto" w:fill="auto"/>
          </w:tcPr>
          <w:p w:rsidR="0017135D" w:rsidRPr="00A67C5B" w:rsidP="0025475E">
            <w:pPr>
              <w:pStyle w:val="CSBody8pt"/>
            </w:pPr>
          </w:p>
        </w:tc>
        <w:tc>
          <w:tcPr>
            <w:tcW w:w="3231" w:type="dxa"/>
            <w:gridSpan w:val="9"/>
            <w:tcBorders>
              <w:top w:val="nil"/>
              <w:left w:val="nil"/>
              <w:bottom w:val="nil"/>
              <w:right w:val="nil"/>
            </w:tcBorders>
            <w:shd w:val="clear" w:color="auto" w:fill="auto"/>
          </w:tcPr>
          <w:p w:rsidR="0017135D" w:rsidRPr="00A67C5B" w:rsidP="004C1EBA">
            <w:pPr>
              <w:pStyle w:val="CSBody8pt"/>
              <w:rPr>
                <w:lang w:val="de-DE"/>
              </w:rPr>
            </w:pPr>
            <w:r w:rsidRPr="00792D61">
              <w:rPr>
                <w:b/>
                <w:lang w:val="de-DE"/>
              </w:rPr>
              <w:t>[</w:t>
            </w:r>
            <w:r w:rsidRPr="009F7C7E">
              <w:rPr>
                <w:b/>
                <w:i/>
                <w:lang w:val="de-DE"/>
              </w:rPr>
              <w:t>falls Standard-Referenzverbindlichkeit anwendbar ist, einfügen:</w:t>
            </w:r>
            <w:r w:rsidRPr="00A67C5B">
              <w:rPr>
                <w:lang w:val="de-DE"/>
              </w:rPr>
              <w:t xml:space="preserve"> die für jeden in Tabelle A (s. nachstehende Unterziffer C.5) bezeichneten Referenzschuldner massgebliche Standard-Referenzverbindlichkeit, </w:t>
            </w:r>
            <w:r>
              <w:rPr>
                <w:lang w:val="de-DE"/>
              </w:rPr>
              <w:t>d.h.</w:t>
            </w:r>
            <w:r w:rsidRPr="00A67C5B">
              <w:rPr>
                <w:lang w:val="de-DE"/>
              </w:rPr>
              <w:t xml:space="preserve"> die Verbindlichkeit des betreffenden Referenzschuldners mit dem Rang (wie in der Definition von "Rang" in Ziffer 1.2 definiert) </w:t>
            </w:r>
            <w:r w:rsidRPr="00792D61">
              <w:rPr>
                <w:b/>
                <w:lang w:val="de-DE"/>
              </w:rPr>
              <w:t>[</w:t>
            </w:r>
            <w:r w:rsidRPr="009F7C7E">
              <w:rPr>
                <w:b/>
                <w:i/>
                <w:lang w:val="de-DE"/>
              </w:rPr>
              <w:t>massgeblichen Rang einfügen:</w:t>
            </w:r>
            <w:r w:rsidRPr="00A67C5B">
              <w:rPr>
                <w:lang w:val="de-DE"/>
              </w:rPr>
              <w:t xml:space="preserve"> </w:t>
            </w:r>
            <w:r w:rsidRPr="00792D61">
              <w:rPr>
                <w:b/>
                <w:lang w:val="de-DE"/>
              </w:rPr>
              <w:t>[</w:t>
            </w:r>
            <w:r w:rsidRPr="00A67C5B">
              <w:rPr>
                <w:lang w:val="de-DE"/>
              </w:rPr>
              <w:t>Nicht Nachrangig</w:t>
            </w:r>
            <w:r w:rsidRPr="00792D61">
              <w:rPr>
                <w:b/>
                <w:lang w:val="de-DE"/>
              </w:rPr>
              <w:t>][</w:t>
            </w:r>
            <w:r w:rsidRPr="00A67C5B">
              <w:rPr>
                <w:lang w:val="de-DE"/>
              </w:rPr>
              <w:t>Nachrang</w:t>
            </w:r>
            <w:r w:rsidRPr="00792D61">
              <w:rPr>
                <w:b/>
                <w:lang w:val="de-DE"/>
              </w:rPr>
              <w:t>]]</w:t>
            </w:r>
            <w:r w:rsidRPr="00A67C5B">
              <w:rPr>
                <w:lang w:val="de-DE"/>
              </w:rPr>
              <w:t>, die jeweils in der Liste der Standard-Referenzverbindlichkeiten ("</w:t>
            </w:r>
            <w:r w:rsidRPr="009F7C7E">
              <w:rPr>
                <w:b/>
                <w:lang w:val="de-DE"/>
              </w:rPr>
              <w:t>SRV-Liste</w:t>
            </w:r>
            <w:r w:rsidRPr="00A67C5B">
              <w:rPr>
                <w:lang w:val="de-DE"/>
              </w:rPr>
              <w:t>") angegeben ist, die die ISDA jeweils auf ihrer Internetseite www.isda.org (oder auf einer Nachfolgeseite) oder ein von der ISDA benannter Dritter jeweils auf seiner Internetseite veröffentlicht.</w:t>
            </w:r>
            <w:r w:rsidRPr="00792D61">
              <w:rPr>
                <w:b/>
                <w:lang w:val="de-DE"/>
              </w:rPr>
              <w:t>][</w:t>
            </w:r>
            <w:r w:rsidRPr="009F7C7E">
              <w:rPr>
                <w:b/>
                <w:i/>
                <w:lang w:val="de-DE"/>
              </w:rPr>
              <w:t>falls zusätzlich zu einer Standard-Referenzverbindlichkeit eine Nicht-Standard-Referenzverbindlichkeit angegeben ist, einfügen:</w:t>
            </w:r>
            <w:r w:rsidRPr="00A67C5B">
              <w:rPr>
                <w:lang w:val="de-DE"/>
              </w:rPr>
              <w:t xml:space="preserve"> Sofern es für den betreffenden Referenzschuldner keine Standard-Referenzverbindlichkeit gibt, ist die Referenzverbindlichkeit (A)  die jeweilige Nicht-Standard-Referenzverbindlichkeit bis zum ersten Tag der Bekanntgabe der Standard-Referenzverbindlichkeit (ausschliesslich) für den betreffenden Referenzschuldner und (B) ab diesem Tag die Standard-Referenzverbindlichkeit, vorausgesetzt, die bekannt gegebene Standard-Referenzverbindlichkeit hätte in Bezug auf den betreffenden Referenzschuldner die in der Definition von "Ersatz-Referenzverbindlichkeit" in Ziffer 1.2 genannten Auswahlkriterien für eine Ersatz-Referenzverbindlichkeit erfüllt.</w:t>
            </w:r>
            <w:r w:rsidRPr="00792D61">
              <w:rPr>
                <w:b/>
                <w:lang w:val="de-DE"/>
              </w:rPr>
              <w:t>]</w:t>
            </w:r>
            <w:r w:rsidRPr="00A67C5B">
              <w:rPr>
                <w:lang w:val="de-DE"/>
              </w:rPr>
              <w:t xml:space="preserve"> </w:t>
            </w:r>
            <w:r w:rsidRPr="00792D61">
              <w:rPr>
                <w:b/>
                <w:lang w:val="de-DE"/>
              </w:rPr>
              <w:t>[</w:t>
            </w:r>
            <w:r w:rsidRPr="009F7C7E">
              <w:rPr>
                <w:b/>
                <w:i/>
                <w:lang w:val="de-DE"/>
              </w:rPr>
              <w:t xml:space="preserve">falls </w:t>
            </w:r>
            <w:r>
              <w:rPr>
                <w:b/>
                <w:i/>
                <w:lang w:val="de-DE"/>
              </w:rPr>
              <w:t xml:space="preserve">nur </w:t>
            </w:r>
            <w:r w:rsidRPr="009F7C7E">
              <w:rPr>
                <w:b/>
                <w:i/>
                <w:lang w:val="de-DE"/>
              </w:rPr>
              <w:t>Nicht-Standard-Referenzverbindlichkeit anwendbar ist, einfügen:</w:t>
            </w:r>
            <w:r w:rsidRPr="00A67C5B">
              <w:rPr>
                <w:lang w:val="de-DE"/>
              </w:rPr>
              <w:t xml:space="preserve"> für jeden in Tabelle A (s. nachstehende Unterziffer C.5) bezeichneten Referenzschuldner in Bezug auf einen Referenzschuldner die nachfolgend beschriebene Nicht-Standard-Referenzverbindlichkeit.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7C5B" w:rsidP="0025475E">
            <w:pPr>
              <w:pStyle w:val="CSBody8pt"/>
              <w:rPr>
                <w:lang w:val="de-DE"/>
              </w:rPr>
            </w:pPr>
          </w:p>
        </w:tc>
        <w:tc>
          <w:tcPr>
            <w:tcW w:w="3315" w:type="dxa"/>
            <w:gridSpan w:val="7"/>
            <w:tcBorders>
              <w:top w:val="nil"/>
              <w:left w:val="nil"/>
              <w:bottom w:val="nil"/>
            </w:tcBorders>
            <w:shd w:val="clear" w:color="auto" w:fill="auto"/>
          </w:tcPr>
          <w:p w:rsidR="0017135D" w:rsidRPr="00233F52" w:rsidP="004C1EBA">
            <w:pPr>
              <w:pStyle w:val="CSBody8pt"/>
            </w:pPr>
            <w:r>
              <w:rPr>
                <w:b/>
              </w:rPr>
              <w:t>[</w:t>
            </w:r>
            <w:r w:rsidRPr="004542D6">
              <w:rPr>
                <w:b/>
                <w:i/>
              </w:rPr>
              <w:t>in the case of Credit-Linked Complex Products with auction settlement</w:t>
            </w:r>
            <w:r>
              <w:rPr>
                <w:b/>
                <w:i/>
              </w:rPr>
              <w:t xml:space="preserve"> with LPN Reference Obligation, either</w:t>
            </w:r>
            <w:r w:rsidRPr="004542D6">
              <w:rPr>
                <w:b/>
                <w:i/>
              </w:rPr>
              <w:t xml:space="preserve"> linked to a Basket or with a N</w:t>
            </w:r>
            <w:r w:rsidRPr="00BD6E0D">
              <w:rPr>
                <w:b/>
                <w:i/>
                <w:vertAlign w:val="superscript"/>
              </w:rPr>
              <w:t>th</w:t>
            </w:r>
            <w:r w:rsidRPr="004542D6">
              <w:rPr>
                <w:b/>
                <w:i/>
              </w:rPr>
              <w:t xml:space="preserve">-to-Default structure or in the case of Credit-Linked Complex Products </w:t>
            </w:r>
            <w:r>
              <w:rPr>
                <w:b/>
                <w:i/>
              </w:rPr>
              <w:t xml:space="preserve">with LPN Reference Obligation </w:t>
            </w:r>
            <w:r w:rsidRPr="004542D6">
              <w:rPr>
                <w:b/>
                <w:i/>
              </w:rPr>
              <w:t>with Zero-Recovery feature linked to a Basket,</w:t>
            </w:r>
          </w:p>
        </w:tc>
        <w:tc>
          <w:tcPr>
            <w:tcW w:w="1705" w:type="dxa"/>
            <w:gridSpan w:val="3"/>
            <w:tcBorders>
              <w:top w:val="nil"/>
              <w:bottom w:val="nil"/>
              <w:right w:val="nil"/>
            </w:tcBorders>
            <w:shd w:val="clear" w:color="auto" w:fill="auto"/>
          </w:tcPr>
          <w:p w:rsidR="0017135D" w:rsidRPr="00A67C5B" w:rsidP="0025475E">
            <w:pPr>
              <w:pStyle w:val="CSBody8pt"/>
            </w:pPr>
          </w:p>
        </w:tc>
        <w:tc>
          <w:tcPr>
            <w:tcW w:w="3231" w:type="dxa"/>
            <w:gridSpan w:val="9"/>
            <w:tcBorders>
              <w:top w:val="nil"/>
              <w:left w:val="nil"/>
              <w:bottom w:val="nil"/>
              <w:right w:val="nil"/>
            </w:tcBorders>
            <w:shd w:val="clear" w:color="auto" w:fill="auto"/>
          </w:tcPr>
          <w:p w:rsidR="0017135D" w:rsidRPr="00A67C5B" w:rsidP="004C1EBA">
            <w:pPr>
              <w:pStyle w:val="CSBody8pt"/>
              <w:rPr>
                <w:lang w:val="de-DE"/>
              </w:rPr>
            </w:pPr>
            <w:r>
              <w:rPr>
                <w:b/>
                <w:lang w:val="de-DE"/>
              </w:rPr>
              <w:t>[</w:t>
            </w:r>
            <w:r w:rsidRPr="004542D6">
              <w:rPr>
                <w:b/>
                <w:i/>
                <w:lang w:val="de-DE"/>
              </w:rPr>
              <w:t>bei Kreditbezogenen Komplexen Produkten mit Auktionsabwicklung</w:t>
            </w:r>
            <w:r>
              <w:rPr>
                <w:b/>
                <w:i/>
                <w:lang w:val="de-DE"/>
              </w:rPr>
              <w:t xml:space="preserve"> mit LPN-Referenzverbindlichkeit</w:t>
            </w:r>
            <w:r w:rsidRPr="004542D6">
              <w:rPr>
                <w:b/>
                <w:i/>
                <w:lang w:val="de-DE"/>
              </w:rPr>
              <w:t xml:space="preserve">, die </w:t>
            </w:r>
            <w:r>
              <w:rPr>
                <w:b/>
                <w:i/>
                <w:lang w:val="de-DE"/>
              </w:rPr>
              <w:t xml:space="preserve">entweder </w:t>
            </w:r>
            <w:r w:rsidRPr="004542D6">
              <w:rPr>
                <w:b/>
                <w:i/>
                <w:lang w:val="de-DE"/>
              </w:rPr>
              <w:t>an einen Korb gebunden sind oder eine N</w:t>
            </w:r>
            <w:r w:rsidRPr="00BD6E0D">
              <w:rPr>
                <w:b/>
                <w:i/>
                <w:vertAlign w:val="superscript"/>
                <w:lang w:val="de-DE"/>
              </w:rPr>
              <w:t>th</w:t>
            </w:r>
            <w:r w:rsidRPr="004542D6">
              <w:rPr>
                <w:b/>
                <w:i/>
                <w:lang w:val="de-DE"/>
              </w:rPr>
              <w:t>-to-Default-Struktur aufweisen, oder bei Kreditbezogenen Komplexen Produkten</w:t>
            </w:r>
            <w:r>
              <w:rPr>
                <w:b/>
                <w:i/>
                <w:lang w:val="de-DE"/>
              </w:rPr>
              <w:t xml:space="preserve"> mit LPN-Referenzverbindlichkeit</w:t>
            </w:r>
            <w:r w:rsidRPr="004542D6">
              <w:rPr>
                <w:b/>
                <w:i/>
                <w:lang w:val="de-DE"/>
              </w:rPr>
              <w:t xml:space="preserve"> mit Zero-Recovery-Merkmal, die an einen Korb gekoppelt sind,</w:t>
            </w:r>
            <w:r>
              <w:rPr>
                <w:b/>
                <w:i/>
                <w:lang w:val="de-DE"/>
              </w:rPr>
              <w:t xml:space="preserve">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542D6" w:rsidP="0025475E">
            <w:pPr>
              <w:pStyle w:val="CSBody8pt"/>
              <w:rPr>
                <w:lang w:val="de-DE"/>
              </w:rPr>
            </w:pPr>
          </w:p>
        </w:tc>
        <w:tc>
          <w:tcPr>
            <w:tcW w:w="3315" w:type="dxa"/>
            <w:gridSpan w:val="7"/>
            <w:tcBorders>
              <w:top w:val="nil"/>
              <w:left w:val="nil"/>
              <w:bottom w:val="nil"/>
            </w:tcBorders>
            <w:shd w:val="clear" w:color="auto" w:fill="auto"/>
          </w:tcPr>
          <w:p w:rsidR="0017135D" w:rsidRPr="004542D6" w:rsidP="004C1EBA">
            <w:pPr>
              <w:pStyle w:val="CSBody8pt"/>
              <w:rPr>
                <w:b/>
              </w:rPr>
            </w:pPr>
            <w:r w:rsidRPr="000D2577">
              <w:t>Means</w:t>
            </w:r>
            <w:r w:rsidRPr="004542D6">
              <w:t xml:space="preserve"> with respect to each Reference Entity specified in Table A (see subsection C.5 below), </w:t>
            </w:r>
            <w:r w:rsidRPr="000D2577">
              <w:t>each of the following obligations:</w:t>
            </w:r>
          </w:p>
        </w:tc>
        <w:tc>
          <w:tcPr>
            <w:tcW w:w="1705" w:type="dxa"/>
            <w:gridSpan w:val="3"/>
            <w:tcBorders>
              <w:top w:val="nil"/>
              <w:bottom w:val="nil"/>
              <w:right w:val="nil"/>
            </w:tcBorders>
            <w:shd w:val="clear" w:color="auto" w:fill="auto"/>
          </w:tcPr>
          <w:p w:rsidR="0017135D" w:rsidRPr="004542D6" w:rsidP="0025475E">
            <w:pPr>
              <w:pStyle w:val="CSBody8pt"/>
            </w:pPr>
          </w:p>
        </w:tc>
        <w:tc>
          <w:tcPr>
            <w:tcW w:w="3231" w:type="dxa"/>
            <w:gridSpan w:val="9"/>
            <w:tcBorders>
              <w:top w:val="nil"/>
              <w:left w:val="nil"/>
              <w:bottom w:val="nil"/>
              <w:right w:val="nil"/>
            </w:tcBorders>
            <w:shd w:val="clear" w:color="auto" w:fill="auto"/>
          </w:tcPr>
          <w:p w:rsidR="0017135D" w:rsidRPr="004542D6" w:rsidP="004C1EBA">
            <w:pPr>
              <w:pStyle w:val="CSBody8pt"/>
              <w:rPr>
                <w:b/>
                <w:lang w:val="de-DE"/>
              </w:rPr>
            </w:pPr>
            <w:r>
              <w:rPr>
                <w:lang w:val="de-DE"/>
              </w:rPr>
              <w:t xml:space="preserve">Bezeichnet </w:t>
            </w:r>
            <w:r w:rsidRPr="004542D6">
              <w:rPr>
                <w:lang w:val="de-DE"/>
              </w:rPr>
              <w:t xml:space="preserve">für jeden in Tabelle A (s. nachstehende Unterziffer C.5) </w:t>
            </w:r>
            <w:r>
              <w:rPr>
                <w:lang w:val="de-DE"/>
              </w:rPr>
              <w:t>aufgeführten</w:t>
            </w:r>
            <w:r w:rsidRPr="004542D6">
              <w:rPr>
                <w:lang w:val="de-DE"/>
              </w:rPr>
              <w:t xml:space="preserve"> Referenzschuldner</w:t>
            </w:r>
            <w:r>
              <w:rPr>
                <w:lang w:val="de-DE"/>
              </w:rPr>
              <w:t xml:space="preserve"> </w:t>
            </w:r>
            <w:r w:rsidRPr="009D08E0">
              <w:rPr>
                <w:lang w:val="de-DE"/>
              </w:rPr>
              <w:t>jede der folgenden Verbindlichkeiten:</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C1EBA">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0D2577">
              <w:rPr>
                <w:b/>
              </w:rPr>
              <w:t>[</w:t>
            </w:r>
            <w:r>
              <w:rPr>
                <w:b/>
                <w:i/>
              </w:rPr>
              <w:t xml:space="preserve">where a specific obligation is to be specified as a Reference Obligation, insert:  </w:t>
            </w:r>
            <w:r>
              <w:t>(i)</w:t>
            </w:r>
            <w:r>
              <w:rPr>
                <w:b/>
              </w:rPr>
              <w:t xml:space="preserve"> </w:t>
            </w:r>
            <w:r>
              <w:t>the obligation specified as Reference Obligation in Table A;</w:t>
            </w:r>
            <w:r w:rsidRPr="00792D61">
              <w:rPr>
                <w:b/>
              </w:rPr>
              <w:t>]</w:t>
            </w:r>
          </w:p>
        </w:tc>
        <w:tc>
          <w:tcPr>
            <w:tcW w:w="1705" w:type="dxa"/>
            <w:gridSpan w:val="3"/>
            <w:tcBorders>
              <w:top w:val="nil"/>
              <w:right w:val="nil"/>
            </w:tcBorders>
            <w:shd w:val="clear" w:color="auto" w:fill="auto"/>
          </w:tcPr>
          <w:p w:rsidR="0017135D" w:rsidRPr="009D08E0" w:rsidP="004C1EBA">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b/>
                <w:lang w:val="de-DE"/>
              </w:rPr>
              <w:t>[</w:t>
            </w:r>
            <w:r w:rsidRPr="009D08E0">
              <w:rPr>
                <w:b/>
                <w:i/>
                <w:lang w:val="de-DE"/>
              </w:rPr>
              <w:t xml:space="preserve">falls eine bestimmte Verbindlichkeit als eine Referenzverbindlichkeit angegeben werden soll, Einzelheiten dieser Verbindlichkeit einfügen:  </w:t>
            </w:r>
            <w:r w:rsidRPr="009D08E0">
              <w:rPr>
                <w:lang w:val="de-DE"/>
              </w:rPr>
              <w:t>(i)</w:t>
            </w:r>
            <w:r w:rsidRPr="009D08E0">
              <w:rPr>
                <w:b/>
                <w:lang w:val="de-DE"/>
              </w:rPr>
              <w:t xml:space="preserve"> </w:t>
            </w:r>
            <w:r w:rsidRPr="009D08E0">
              <w:rPr>
                <w:lang w:val="de-DE"/>
              </w:rPr>
              <w:t>die in Tabelle A als Referenzverbindlichkeit angegebene Verbindlichkeit;</w:t>
            </w:r>
            <w:r w:rsidRPr="009D08E0">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C1EBA">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4542D6">
              <w:rPr>
                <w:b/>
              </w:rPr>
              <w:t>[</w:t>
            </w:r>
            <w:r w:rsidRPr="004542D6">
              <w:t>(i)</w:t>
            </w:r>
            <w:r w:rsidRPr="004542D6">
              <w:rPr>
                <w:b/>
              </w:rPr>
              <w:t>]</w:t>
            </w:r>
            <w:r>
              <w:rPr>
                <w:b/>
              </w:rPr>
              <w:t>[</w:t>
            </w:r>
            <w:r w:rsidRPr="000D2577">
              <w:t>(ii)</w:t>
            </w:r>
            <w:r>
              <w:rPr>
                <w:b/>
              </w:rPr>
              <w:t>]</w:t>
            </w:r>
            <w:r w:rsidRPr="000D2577">
              <w:t xml:space="preserve"> the obligations set forth, as of the Trade Date, on the LPN Reference Obligations list with respect to the Reference Entity (the </w:t>
            </w:r>
            <w:r w:rsidR="003B00F3">
              <w:t>"</w:t>
            </w:r>
            <w:r w:rsidRPr="000D2577">
              <w:rPr>
                <w:b/>
              </w:rPr>
              <w:t>LPN Reference Obligations List</w:t>
            </w:r>
            <w:r w:rsidR="00BF7214">
              <w:t>"</w:t>
            </w:r>
            <w:r w:rsidRPr="000D2577">
              <w:t>), as published by Markit Group Limited, or any successor thereto, which list is currently available at http://www.markit.com/marketing/services.php</w:t>
            </w:r>
          </w:p>
        </w:tc>
        <w:tc>
          <w:tcPr>
            <w:tcW w:w="1705" w:type="dxa"/>
            <w:gridSpan w:val="3"/>
            <w:tcBorders>
              <w:top w:val="nil"/>
              <w:right w:val="nil"/>
            </w:tcBorders>
            <w:shd w:val="clear" w:color="auto" w:fill="auto"/>
          </w:tcPr>
          <w:p w:rsidR="0017135D" w:rsidRPr="009D08E0" w:rsidP="004C1EBA">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b/>
                <w:lang w:val="de-DE"/>
              </w:rPr>
              <w:t>[</w:t>
            </w:r>
            <w:r w:rsidRPr="009D08E0">
              <w:rPr>
                <w:lang w:val="de-DE"/>
              </w:rPr>
              <w:t>(i)</w:t>
            </w:r>
            <w:r w:rsidRPr="009D08E0">
              <w:rPr>
                <w:b/>
                <w:lang w:val="de-DE"/>
              </w:rPr>
              <w:t>][</w:t>
            </w:r>
            <w:r w:rsidRPr="009D08E0">
              <w:rPr>
                <w:lang w:val="de-DE"/>
              </w:rPr>
              <w:t>(ii)</w:t>
            </w:r>
            <w:r w:rsidRPr="009D08E0">
              <w:rPr>
                <w:b/>
                <w:lang w:val="de-DE"/>
              </w:rPr>
              <w:t>]</w:t>
            </w:r>
            <w:r w:rsidRPr="009D08E0">
              <w:rPr>
                <w:lang w:val="de-DE"/>
              </w:rPr>
              <w:t xml:space="preserve"> die Verbindlichkeiten, die zum Abschlusstag auf der Liste der LPN Referenzverbindlichkeiten in Bezug auf den Referenzschuldner (die </w:t>
            </w:r>
            <w:r w:rsidR="003B00F3">
              <w:rPr>
                <w:lang w:val="de-DE"/>
              </w:rPr>
              <w:t>"</w:t>
            </w:r>
            <w:r w:rsidRPr="00BD6E0D">
              <w:rPr>
                <w:b/>
                <w:lang w:val="de-DE"/>
              </w:rPr>
              <w:t>LPN-Referenzverbindlichkeiten-Liste</w:t>
            </w:r>
            <w:r w:rsidR="00BF7214">
              <w:rPr>
                <w:lang w:val="de-DE"/>
              </w:rPr>
              <w:t>"</w:t>
            </w:r>
            <w:r w:rsidRPr="009D08E0">
              <w:rPr>
                <w:lang w:val="de-DE"/>
              </w:rPr>
              <w:t>), wie von Markit Group Limited (oder einem Nachfolger-Unternehmen) veröffentlicht (zurzeit ist diese Liste unter http://www.markit.com/marketing/services.php verfügbar), aufgeführt sind;</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C1EBA">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4542D6">
              <w:rPr>
                <w:b/>
              </w:rPr>
              <w:t>[</w:t>
            </w:r>
            <w:r>
              <w:t>(ii</w:t>
            </w:r>
            <w:r w:rsidRPr="004542D6">
              <w:t>)</w:t>
            </w:r>
            <w:r w:rsidRPr="004542D6">
              <w:rPr>
                <w:b/>
              </w:rPr>
              <w:t>]</w:t>
            </w:r>
            <w:r>
              <w:rPr>
                <w:b/>
              </w:rPr>
              <w:t>[</w:t>
            </w:r>
            <w:r w:rsidRPr="000D2577">
              <w:t>(iii)</w:t>
            </w:r>
            <w:r>
              <w:rPr>
                <w:b/>
              </w:rPr>
              <w:t>]</w:t>
            </w:r>
            <w:r w:rsidRPr="000D2577">
              <w:t xml:space="preserve"> any Additional LPN; and</w:t>
            </w:r>
          </w:p>
        </w:tc>
        <w:tc>
          <w:tcPr>
            <w:tcW w:w="1705" w:type="dxa"/>
            <w:gridSpan w:val="3"/>
            <w:tcBorders>
              <w:top w:val="nil"/>
              <w:right w:val="nil"/>
            </w:tcBorders>
            <w:shd w:val="clear" w:color="auto" w:fill="auto"/>
          </w:tcPr>
          <w:p w:rsidR="0017135D" w:rsidRPr="009D08E0" w:rsidP="004C1EBA">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b/>
                <w:lang w:val="de-DE"/>
              </w:rPr>
              <w:t>[</w:t>
            </w:r>
            <w:r w:rsidRPr="009D08E0">
              <w:rPr>
                <w:lang w:val="de-DE"/>
              </w:rPr>
              <w:t>(ii)</w:t>
            </w:r>
            <w:r w:rsidRPr="009D08E0">
              <w:rPr>
                <w:b/>
                <w:lang w:val="de-DE"/>
              </w:rPr>
              <w:t>][</w:t>
            </w:r>
            <w:r w:rsidRPr="009D08E0">
              <w:rPr>
                <w:lang w:val="de-DE"/>
              </w:rPr>
              <w:t>(iii)</w:t>
            </w:r>
            <w:r w:rsidRPr="009D08E0">
              <w:rPr>
                <w:b/>
                <w:lang w:val="de-DE"/>
              </w:rPr>
              <w:t>]</w:t>
            </w:r>
            <w:r w:rsidRPr="009D08E0">
              <w:rPr>
                <w:lang w:val="de-DE"/>
              </w:rPr>
              <w:t xml:space="preserve"> jede Zusätzliche LPN; und</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C1EBA">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4542D6">
              <w:rPr>
                <w:b/>
              </w:rPr>
              <w:t>[</w:t>
            </w:r>
            <w:r w:rsidRPr="004542D6">
              <w:t>(i</w:t>
            </w:r>
            <w:r>
              <w:t>i</w:t>
            </w:r>
            <w:r w:rsidRPr="004542D6">
              <w:t>i)</w:t>
            </w:r>
            <w:r w:rsidRPr="004542D6">
              <w:rPr>
                <w:b/>
              </w:rPr>
              <w:t>][</w:t>
            </w:r>
            <w:r>
              <w:t>(</w:t>
            </w:r>
            <w:r w:rsidRPr="004542D6">
              <w:t>i</w:t>
            </w:r>
            <w:r>
              <w:t>v</w:t>
            </w:r>
            <w:r w:rsidRPr="004542D6">
              <w:t>)</w:t>
            </w:r>
            <w:r w:rsidRPr="004542D6">
              <w:rPr>
                <w:b/>
              </w:rPr>
              <w:t>]</w:t>
            </w:r>
            <w:r w:rsidRPr="004542D6">
              <w:t xml:space="preserve"> </w:t>
            </w:r>
            <w:r w:rsidRPr="003748AC">
              <w:t>each Additional Obligation.</w:t>
            </w:r>
          </w:p>
        </w:tc>
        <w:tc>
          <w:tcPr>
            <w:tcW w:w="1705" w:type="dxa"/>
            <w:gridSpan w:val="3"/>
            <w:tcBorders>
              <w:top w:val="nil"/>
              <w:right w:val="nil"/>
            </w:tcBorders>
            <w:shd w:val="clear" w:color="auto" w:fill="auto"/>
          </w:tcPr>
          <w:p w:rsidR="0017135D" w:rsidRPr="009D08E0" w:rsidP="004C1EBA">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b/>
                <w:lang w:val="de-DE"/>
              </w:rPr>
              <w:t>[</w:t>
            </w:r>
            <w:r w:rsidRPr="009D08E0">
              <w:rPr>
                <w:lang w:val="de-DE"/>
              </w:rPr>
              <w:t>(iii)</w:t>
            </w:r>
            <w:r w:rsidRPr="009D08E0">
              <w:rPr>
                <w:b/>
                <w:lang w:val="de-DE"/>
              </w:rPr>
              <w:t>][</w:t>
            </w:r>
            <w:r w:rsidRPr="009D08E0">
              <w:rPr>
                <w:lang w:val="de-DE"/>
              </w:rPr>
              <w:t>(iv)</w:t>
            </w:r>
            <w:r w:rsidRPr="009D08E0">
              <w:rPr>
                <w:b/>
                <w:lang w:val="de-DE"/>
              </w:rPr>
              <w:t>]</w:t>
            </w:r>
            <w:r w:rsidRPr="009D08E0">
              <w:rPr>
                <w:lang w:val="de-DE"/>
              </w:rPr>
              <w:t xml:space="preserve"> jede Zusätzliche Verbindlichkeit.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C1EBA">
            <w:pPr>
              <w:pStyle w:val="CSBody8ptbolditalics"/>
              <w:rPr>
                <w:b w:val="0"/>
                <w:lang w:val="de-DE"/>
              </w:rPr>
            </w:pPr>
          </w:p>
        </w:tc>
        <w:tc>
          <w:tcPr>
            <w:tcW w:w="3315" w:type="dxa"/>
            <w:gridSpan w:val="7"/>
            <w:tcBorders>
              <w:top w:val="nil"/>
              <w:left w:val="nil"/>
            </w:tcBorders>
            <w:shd w:val="clear" w:color="auto" w:fill="auto"/>
          </w:tcPr>
          <w:p w:rsidR="0017135D" w:rsidRPr="000D2577" w:rsidP="004C1EBA">
            <w:pPr>
              <w:pStyle w:val="CSBody8pt"/>
            </w:pPr>
            <w:r w:rsidRPr="003748AC">
              <w:t>Each Reference Obligation determined in accordance with the foregoing will be a Reference Obligation notwithstanding anything to the contrary in these Terms and Conditions, and in particular, notwithstanding that the obligation is not an obligation of the Reference Entity.</w:t>
            </w:r>
          </w:p>
        </w:tc>
        <w:tc>
          <w:tcPr>
            <w:tcW w:w="1705" w:type="dxa"/>
            <w:gridSpan w:val="3"/>
            <w:tcBorders>
              <w:top w:val="nil"/>
              <w:right w:val="nil"/>
            </w:tcBorders>
            <w:shd w:val="clear" w:color="auto" w:fill="auto"/>
          </w:tcPr>
          <w:p w:rsidR="0017135D" w:rsidRPr="009D08E0" w:rsidP="004C1EBA">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9D08E0">
              <w:rPr>
                <w:lang w:val="de-DE"/>
              </w:rPr>
              <w:t>Jede Referenzverbindlichkeit, die gemäss den vorstehenden Bestimmungen bestimmt wird, gilt als Referenzverbindlichkeit ungeachtet jeglicher gegenteiliger Bestimmungen in diesen Emissionsbedingungen und insbesondere ungeachtet, dass eine solche Verbindlichkeit nicht eine Verbindlichkeit des Referenzschuldners ist.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9D08E0" w:rsidP="004C1EBA">
            <w:pPr>
              <w:pStyle w:val="CSBody8ptbolditalics"/>
              <w:rPr>
                <w:b w:val="0"/>
                <w:lang w:val="de-DE"/>
              </w:rPr>
            </w:pPr>
          </w:p>
        </w:tc>
        <w:tc>
          <w:tcPr>
            <w:tcW w:w="3315" w:type="dxa"/>
            <w:gridSpan w:val="7"/>
            <w:tcBorders>
              <w:top w:val="nil"/>
              <w:left w:val="nil"/>
            </w:tcBorders>
            <w:shd w:val="clear" w:color="auto" w:fill="auto"/>
          </w:tcPr>
          <w:p w:rsidR="0017135D" w:rsidRPr="004542D6" w:rsidP="004C1EBA">
            <w:pPr>
              <w:pStyle w:val="CSBody8pt"/>
              <w:rPr>
                <w:b/>
              </w:rPr>
            </w:pPr>
            <w:r w:rsidRPr="004542D6">
              <w:t xml:space="preserve">It is intended that there may be more than one Reference Obligation, as a result of which all applicable references in these Terms and Conditions to </w:t>
            </w:r>
            <w:r w:rsidR="003B00F3">
              <w:t>"</w:t>
            </w:r>
            <w:r w:rsidRPr="004542D6">
              <w:t>the Reference Obligation</w:t>
            </w:r>
            <w:r w:rsidR="00BF7214">
              <w:t>"</w:t>
            </w:r>
            <w:r w:rsidRPr="004542D6">
              <w:t xml:space="preserve"> shall be construed as a reference to </w:t>
            </w:r>
            <w:r w:rsidR="003B00F3">
              <w:t>"</w:t>
            </w:r>
            <w:r w:rsidRPr="004542D6">
              <w:t>a Reference Obligation</w:t>
            </w:r>
            <w:r w:rsidR="00BF7214">
              <w:t>"</w:t>
            </w:r>
            <w:r w:rsidRPr="004542D6">
              <w:t>, and all other provisions of these Terms and Conditions shall be construed accordingly.</w:t>
            </w:r>
            <w:r>
              <w:rPr>
                <w:b/>
              </w:rPr>
              <w:t>]</w:t>
            </w:r>
          </w:p>
        </w:tc>
        <w:tc>
          <w:tcPr>
            <w:tcW w:w="1705" w:type="dxa"/>
            <w:gridSpan w:val="3"/>
            <w:tcBorders>
              <w:top w:val="nil"/>
              <w:right w:val="nil"/>
            </w:tcBorders>
            <w:shd w:val="clear" w:color="auto" w:fill="auto"/>
          </w:tcPr>
          <w:p w:rsidR="0017135D" w:rsidRPr="009D08E0" w:rsidP="004C1EBA">
            <w:pPr>
              <w:pStyle w:val="CSBody8ptbolditalics"/>
              <w:rPr>
                <w:b w:val="0"/>
              </w:rPr>
            </w:pPr>
          </w:p>
        </w:tc>
        <w:tc>
          <w:tcPr>
            <w:tcW w:w="3231" w:type="dxa"/>
            <w:gridSpan w:val="9"/>
            <w:tcBorders>
              <w:top w:val="nil"/>
              <w:left w:val="nil"/>
              <w:right w:val="nil"/>
            </w:tcBorders>
            <w:shd w:val="clear" w:color="auto" w:fill="auto"/>
          </w:tcPr>
          <w:p w:rsidR="0017135D" w:rsidRPr="009D08E0" w:rsidP="004C1EBA">
            <w:pPr>
              <w:pStyle w:val="CSBody8pt"/>
              <w:rPr>
                <w:lang w:val="de-DE"/>
              </w:rPr>
            </w:pPr>
            <w:r w:rsidRPr="004542D6">
              <w:rPr>
                <w:lang w:val="de-CH"/>
              </w:rPr>
              <w:t xml:space="preserve">Es ist beabsichtigt, dass es mehr als eine Referenzverbindlichkeit geben kann. Folglich ist eine Bezugnahme auf </w:t>
            </w:r>
            <w:r w:rsidR="003B00F3">
              <w:rPr>
                <w:lang w:val="de-CH"/>
              </w:rPr>
              <w:t>"</w:t>
            </w:r>
            <w:r w:rsidRPr="004542D6">
              <w:rPr>
                <w:lang w:val="de-CH"/>
              </w:rPr>
              <w:t>die Referenzverbindlichkeit</w:t>
            </w:r>
            <w:r w:rsidR="003B00F3">
              <w:rPr>
                <w:lang w:val="de-CH"/>
              </w:rPr>
              <w:t>"</w:t>
            </w:r>
            <w:r w:rsidRPr="004542D6">
              <w:rPr>
                <w:lang w:val="de-CH"/>
              </w:rPr>
              <w:t xml:space="preserve"> in diesen Emissionsbedingungen als eine Bezugnahme auf </w:t>
            </w:r>
            <w:r w:rsidR="003B00F3">
              <w:rPr>
                <w:lang w:val="de-CH"/>
              </w:rPr>
              <w:t>"</w:t>
            </w:r>
            <w:r w:rsidRPr="004542D6">
              <w:rPr>
                <w:lang w:val="de-CH"/>
              </w:rPr>
              <w:t>eine Referenzverbindlichkeit</w:t>
            </w:r>
            <w:r w:rsidR="003B00F3">
              <w:rPr>
                <w:lang w:val="de-CH"/>
              </w:rPr>
              <w:t>"</w:t>
            </w:r>
            <w:r w:rsidRPr="004542D6">
              <w:rPr>
                <w:lang w:val="de-CH"/>
              </w:rPr>
              <w:t xml:space="preserve"> zu verstehen und alle anderen Bestimmungen dieser Emissionsbedingungen sind entsprechend auszulegen.</w:t>
            </w:r>
            <w:r w:rsidRPr="009D08E0">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42F00" w:rsidP="0046463E">
            <w:pPr>
              <w:pStyle w:val="CSBody8ptbolditalics"/>
            </w:pPr>
            <w:r w:rsidRPr="00942F00">
              <w:t>[in case of Complex Products linked to a Reference Obligation</w:t>
            </w:r>
            <w:r w:rsidRPr="00942F00" w:rsidR="00942F00">
              <w:t xml:space="preserve"> other than Complex Products with LPN Reference Obligation</w:t>
            </w:r>
            <w:r w:rsidR="00C87AFC">
              <w:t xml:space="preserve"> insert, if appplicable</w:t>
            </w:r>
            <w:r w:rsidRPr="00942F00">
              <w:t>:</w:t>
            </w:r>
          </w:p>
          <w:p w:rsidR="0017135D" w:rsidRPr="00942F00" w:rsidP="009F7C7E">
            <w:pPr>
              <w:pStyle w:val="CSBody8pt"/>
              <w:rPr>
                <w:lang w:val="de-DE"/>
              </w:rPr>
            </w:pPr>
            <w:r w:rsidRPr="00942F00">
              <w:rPr>
                <w:lang w:val="de-DE"/>
              </w:rPr>
              <w:t>Non-Standard Reference Obligation</w:t>
            </w:r>
            <w:r>
              <w:rPr>
                <w:lang w:val="de-DE"/>
              </w:rPr>
              <w:fldChar w:fldCharType="begin"/>
            </w:r>
            <w:r w:rsidRPr="00942F00">
              <w:instrText xml:space="preserve"> XE "</w:instrText>
            </w:r>
            <w:r w:rsidRPr="00942F00">
              <w:rPr>
                <w:lang w:val="de-DE"/>
              </w:rPr>
              <w:instrText>Non-Standard Reference Obligation</w:instrText>
            </w:r>
            <w:r w:rsidRPr="00942F00">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942F00" w:rsidP="009F7C7E">
            <w:pPr>
              <w:pStyle w:val="CSBody8pt"/>
            </w:pPr>
            <w:r w:rsidRPr="00942F00">
              <w:rPr>
                <w:b/>
              </w:rPr>
              <w:t>[</w:t>
            </w:r>
            <w:r w:rsidRPr="00942F00">
              <w:rPr>
                <w:b/>
                <w:i/>
              </w:rPr>
              <w:t>in the case of Credit-Linked Complex Products with auction settlement linked to a single Reference Entity, insert:</w:t>
            </w:r>
            <w:r w:rsidRPr="00942F00">
              <w:t xml:space="preserve"> The following obligation</w:t>
            </w:r>
            <w:r w:rsidR="0091384B">
              <w:t xml:space="preserve"> </w:t>
            </w:r>
            <w:r w:rsidR="0091384B">
              <w:rPr>
                <w:b/>
              </w:rPr>
              <w:t>[</w:t>
            </w:r>
            <w:r w:rsidR="0091384B">
              <w:t>of the Reference Entity as provider of Guarantee</w:t>
            </w:r>
            <w:r w:rsidR="0091384B">
              <w:rPr>
                <w:b/>
              </w:rPr>
              <w:t>]</w:t>
            </w:r>
            <w:r w:rsidRPr="00942F00">
              <w:t>, subject to a substitution as set out in the definition of "Substitute Reference Obligation" in Section 1.2:</w:t>
            </w:r>
            <w:r w:rsidRPr="00942F00">
              <w:rPr>
                <w:b/>
              </w:rPr>
              <w:t>]</w:t>
            </w:r>
            <w:r w:rsidRPr="00942F00">
              <w:t xml:space="preserve"> </w:t>
            </w:r>
            <w:r w:rsidRPr="00942F00">
              <w:rPr>
                <w:b/>
              </w:rPr>
              <w:t>[</w:t>
            </w:r>
            <w:r w:rsidRPr="00942F00">
              <w:rPr>
                <w:b/>
                <w:i/>
              </w:rPr>
              <w:t>in the case of Credit-Linked Complex Products with auction settlement linked to a Basket or with a N</w:t>
            </w:r>
            <w:r w:rsidRPr="00BD6E0D">
              <w:rPr>
                <w:b/>
                <w:i/>
                <w:vertAlign w:val="superscript"/>
              </w:rPr>
              <w:t>th</w:t>
            </w:r>
            <w:r w:rsidRPr="00942F00">
              <w:rPr>
                <w:b/>
                <w:i/>
              </w:rPr>
              <w:t>-to-Default structure, or in the case of Credit-Linked Complex Products with Zero-Recovery feature linked to a Basket insert:</w:t>
            </w:r>
            <w:r w:rsidRPr="00942F00">
              <w:t xml:space="preserve"> The obligation specified for each Reference Entity in </w:t>
            </w:r>
            <w:r w:rsidRPr="00942F00">
              <w:rPr>
                <w:b/>
              </w:rPr>
              <w:t>Table A</w:t>
            </w:r>
            <w:r w:rsidRPr="00942F00">
              <w:t xml:space="preserve"> (see subsection C.5 below, subject to a substitution as set out in the definition of "Substitute Reference Obligation" in Section 1.2).</w:t>
            </w:r>
            <w:r w:rsidRPr="00942F00">
              <w:rPr>
                <w:b/>
              </w:rPr>
              <w:t>]]</w:t>
            </w:r>
          </w:p>
        </w:tc>
        <w:tc>
          <w:tcPr>
            <w:tcW w:w="1705" w:type="dxa"/>
            <w:gridSpan w:val="3"/>
            <w:tcBorders>
              <w:top w:val="nil"/>
              <w:bottom w:val="nil"/>
              <w:right w:val="nil"/>
            </w:tcBorders>
            <w:shd w:val="clear" w:color="auto" w:fill="auto"/>
          </w:tcPr>
          <w:p w:rsidR="0017135D" w:rsidRPr="00942F00" w:rsidP="0046463E">
            <w:pPr>
              <w:pStyle w:val="CSBody8ptbolditalics"/>
              <w:rPr>
                <w:lang w:val="de-DE"/>
              </w:rPr>
            </w:pPr>
            <w:r w:rsidRPr="00942F00">
              <w:rPr>
                <w:lang w:val="de-DE"/>
              </w:rPr>
              <w:t>[bei an eine Referenzverbindlichkeit gekoppelten Komplexen Produkten</w:t>
            </w:r>
            <w:r w:rsidRPr="00942F00" w:rsidR="00942F00">
              <w:rPr>
                <w:lang w:val="de-DE"/>
              </w:rPr>
              <w:t xml:space="preserve"> ausser Komplexen Produkten mit LPN-Referenzverbindlichkeit</w:t>
            </w:r>
            <w:r w:rsidR="00C87AFC">
              <w:rPr>
                <w:lang w:val="de-DE"/>
              </w:rPr>
              <w:t xml:space="preserve"> einfügen, falls anwendbar</w:t>
            </w:r>
            <w:r w:rsidRPr="00942F00">
              <w:rPr>
                <w:lang w:val="de-DE"/>
              </w:rPr>
              <w:t>:</w:t>
            </w:r>
          </w:p>
          <w:p w:rsidR="0017135D" w:rsidRPr="00942F00" w:rsidP="009F7C7E">
            <w:pPr>
              <w:pStyle w:val="CSBody8pt"/>
            </w:pPr>
            <w:r w:rsidRPr="00942F00">
              <w:t>Nicht-Standard-Referenzverbindlichkeit</w:t>
            </w:r>
            <w:r>
              <w:fldChar w:fldCharType="begin"/>
            </w:r>
            <w:r w:rsidRPr="00942F00">
              <w:instrText xml:space="preserve"> XE "Nicht-Standard-Referenzverbindlichkeit" </w:instrText>
            </w:r>
            <w:r>
              <w:fldChar w:fldCharType="end"/>
            </w:r>
          </w:p>
        </w:tc>
        <w:tc>
          <w:tcPr>
            <w:tcW w:w="3231" w:type="dxa"/>
            <w:gridSpan w:val="9"/>
            <w:tcBorders>
              <w:top w:val="nil"/>
              <w:left w:val="nil"/>
              <w:bottom w:val="nil"/>
              <w:right w:val="nil"/>
            </w:tcBorders>
            <w:shd w:val="clear" w:color="auto" w:fill="auto"/>
          </w:tcPr>
          <w:p w:rsidR="0017135D" w:rsidRPr="003C5ED7" w:rsidP="009F7C7E">
            <w:pPr>
              <w:pStyle w:val="CSBody8pt"/>
              <w:rPr>
                <w:lang w:val="de-DE"/>
              </w:rPr>
            </w:pPr>
            <w:r w:rsidRPr="00942F00">
              <w:rPr>
                <w:b/>
                <w:lang w:val="de-DE"/>
              </w:rPr>
              <w:t>[</w:t>
            </w:r>
            <w:r w:rsidRPr="00942F00">
              <w:rPr>
                <w:b/>
                <w:i/>
                <w:lang w:val="de-DE"/>
              </w:rPr>
              <w:t>Bei Kreditbezogenen Komplexen Produkten mit Auktionsabwicklung, die an einen einzelnen Referenzschuldner gekoppelt sind, einfügen:</w:t>
            </w:r>
            <w:r w:rsidRPr="00942F00">
              <w:rPr>
                <w:lang w:val="de-DE"/>
              </w:rPr>
              <w:t xml:space="preserve"> die folgende Verbindlichkeit</w:t>
            </w:r>
            <w:r w:rsidR="0091384B">
              <w:rPr>
                <w:lang w:val="de-DE"/>
              </w:rPr>
              <w:t xml:space="preserve"> </w:t>
            </w:r>
            <w:r w:rsidR="0091384B">
              <w:rPr>
                <w:b/>
                <w:lang w:val="de-DE"/>
              </w:rPr>
              <w:t>[</w:t>
            </w:r>
            <w:r w:rsidR="0091384B">
              <w:rPr>
                <w:lang w:val="de-DE"/>
              </w:rPr>
              <w:t>des Referenzschuldners als Garantiegeber</w:t>
            </w:r>
            <w:r w:rsidR="0091384B">
              <w:rPr>
                <w:b/>
                <w:lang w:val="de-DE"/>
              </w:rPr>
              <w:t>]</w:t>
            </w:r>
            <w:r w:rsidRPr="00942F00">
              <w:rPr>
                <w:lang w:val="de-DE"/>
              </w:rPr>
              <w:t xml:space="preserve"> (vorbehaltlich einer Ersetzung wie in der Definition von "Ersatz-Referenzverbindlichkeit" in Ziffer 1.2 beschrieben):</w:t>
            </w:r>
            <w:r w:rsidRPr="00942F00">
              <w:rPr>
                <w:b/>
                <w:lang w:val="de-DE"/>
              </w:rPr>
              <w:t>]</w:t>
            </w:r>
            <w:r w:rsidRPr="00942F00">
              <w:rPr>
                <w:lang w:val="de-DE"/>
              </w:rPr>
              <w:t xml:space="preserve"> </w:t>
            </w:r>
            <w:r w:rsidRPr="00942F00">
              <w:rPr>
                <w:b/>
                <w:lang w:val="de-DE"/>
              </w:rPr>
              <w:t>[</w:t>
            </w:r>
            <w:r w:rsidRPr="00942F00">
              <w:rPr>
                <w:b/>
                <w:i/>
                <w:lang w:val="de-DE"/>
              </w:rPr>
              <w:t>bei Kreditbezogenen Komplexen Produkten mit Auktionsabwicklung, die an einen Korb gebunden sind oder eine N</w:t>
            </w:r>
            <w:r w:rsidRPr="00BD6E0D">
              <w:rPr>
                <w:b/>
                <w:i/>
                <w:vertAlign w:val="superscript"/>
                <w:lang w:val="de-DE"/>
              </w:rPr>
              <w:t>th</w:t>
            </w:r>
            <w:r w:rsidRPr="00942F00">
              <w:rPr>
                <w:b/>
                <w:i/>
                <w:lang w:val="de-DE"/>
              </w:rPr>
              <w:t>-to-Default-Struktur aufweisen, oder bei Kreditbezogenen Komplexen Produkten mit Zero-Recovery-Merkmal, die an einen Korb gekoppelt sind, einfügen:</w:t>
            </w:r>
            <w:r w:rsidRPr="00942F00">
              <w:rPr>
                <w:lang w:val="de-DE"/>
              </w:rPr>
              <w:t xml:space="preserve"> die in </w:t>
            </w:r>
            <w:r w:rsidRPr="00942F00">
              <w:rPr>
                <w:b/>
                <w:lang w:val="de-DE"/>
              </w:rPr>
              <w:t>Tabelle A</w:t>
            </w:r>
            <w:r w:rsidRPr="00942F00">
              <w:rPr>
                <w:lang w:val="de-DE"/>
              </w:rPr>
              <w:t xml:space="preserve"> (siehe nachstehende Unterziffer C.5) für jeden Referenzschuldner angegebene Verbindlichkeit (vorbehaltlich einer Ersetzung wie in der Definition von "Ersatz-Referenzverbindlichkeit" in Ziffer 1.2 beschrieben).</w:t>
            </w:r>
            <w:r w:rsidRPr="00942F00">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C5ED7" w:rsidP="009F7C7E">
            <w:pPr>
              <w:pStyle w:val="CSBody8pt"/>
              <w:rPr>
                <w:lang w:val="de-DE"/>
              </w:rPr>
            </w:pPr>
          </w:p>
        </w:tc>
        <w:tc>
          <w:tcPr>
            <w:tcW w:w="3315" w:type="dxa"/>
            <w:gridSpan w:val="7"/>
            <w:tcBorders>
              <w:top w:val="nil"/>
              <w:left w:val="nil"/>
              <w:bottom w:val="nil"/>
            </w:tcBorders>
            <w:shd w:val="clear" w:color="auto" w:fill="auto"/>
          </w:tcPr>
          <w:p w:rsidR="0017135D" w:rsidRPr="003C5ED7" w:rsidP="009F7C7E">
            <w:pPr>
              <w:pStyle w:val="CSBody8pt"/>
            </w:pPr>
            <w:r w:rsidRPr="00792D61">
              <w:rPr>
                <w:b/>
              </w:rPr>
              <w:t>[</w:t>
            </w:r>
            <w:r w:rsidRPr="009F7C7E">
              <w:rPr>
                <w:b/>
                <w:i/>
              </w:rPr>
              <w:t>in the case of Credit-Linked-Complex Products with simplified settlement insert:</w:t>
            </w:r>
            <w:r w:rsidRPr="003C5ED7">
              <w:t xml:space="preserve"> the obligation described below:</w:t>
            </w:r>
            <w:r w:rsidRPr="00792D61">
              <w:rPr>
                <w:b/>
              </w:rPr>
              <w:t>]</w:t>
            </w:r>
          </w:p>
        </w:tc>
        <w:tc>
          <w:tcPr>
            <w:tcW w:w="1705" w:type="dxa"/>
            <w:gridSpan w:val="3"/>
            <w:tcBorders>
              <w:top w:val="nil"/>
              <w:bottom w:val="nil"/>
              <w:right w:val="nil"/>
            </w:tcBorders>
            <w:shd w:val="clear" w:color="auto" w:fill="auto"/>
          </w:tcPr>
          <w:p w:rsidR="0017135D" w:rsidRPr="003C5ED7" w:rsidP="009F7C7E">
            <w:pPr>
              <w:pStyle w:val="CSBody8pt"/>
            </w:pPr>
          </w:p>
        </w:tc>
        <w:tc>
          <w:tcPr>
            <w:tcW w:w="3231" w:type="dxa"/>
            <w:gridSpan w:val="9"/>
            <w:tcBorders>
              <w:top w:val="nil"/>
              <w:left w:val="nil"/>
              <w:bottom w:val="nil"/>
              <w:right w:val="nil"/>
            </w:tcBorders>
            <w:shd w:val="clear" w:color="auto" w:fill="auto"/>
          </w:tcPr>
          <w:p w:rsidR="0017135D" w:rsidRPr="003C5ED7" w:rsidP="009F7C7E">
            <w:pPr>
              <w:pStyle w:val="CSBody8pt"/>
              <w:rPr>
                <w:lang w:val="de-DE"/>
              </w:rPr>
            </w:pPr>
            <w:r w:rsidRPr="00792D61">
              <w:rPr>
                <w:b/>
                <w:lang w:val="de-DE"/>
              </w:rPr>
              <w:t>[</w:t>
            </w:r>
            <w:r w:rsidRPr="009F7C7E">
              <w:rPr>
                <w:b/>
                <w:i/>
                <w:lang w:val="de-DE"/>
              </w:rPr>
              <w:t>bei Kreditbezogenen Komplexen Produkten mit vereinfachter Abwicklung einfügen:</w:t>
            </w:r>
            <w:r w:rsidRPr="003C5ED7">
              <w:rPr>
                <w:lang w:val="de-DE"/>
              </w:rPr>
              <w:t xml:space="preserve"> die nachfolgend beschriebene Verbindlichkeit: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C5ED7" w:rsidP="009F7C7E">
            <w:pPr>
              <w:pStyle w:val="CSBody8pt"/>
              <w:rPr>
                <w:lang w:val="de-DE"/>
              </w:rPr>
            </w:pPr>
          </w:p>
        </w:tc>
        <w:tc>
          <w:tcPr>
            <w:tcW w:w="3315" w:type="dxa"/>
            <w:gridSpan w:val="7"/>
            <w:tcBorders>
              <w:top w:val="nil"/>
              <w:left w:val="nil"/>
              <w:bottom w:val="nil"/>
            </w:tcBorders>
            <w:shd w:val="clear" w:color="auto" w:fill="auto"/>
          </w:tcPr>
          <w:p w:rsidR="0017135D" w:rsidRPr="008538F6" w:rsidP="009F7C7E">
            <w:pPr>
              <w:pStyle w:val="CSBody8pt"/>
              <w:rPr>
                <w:b/>
                <w:i/>
              </w:rPr>
            </w:pPr>
            <w:r w:rsidRPr="00792D61">
              <w:rPr>
                <w:b/>
              </w:rPr>
              <w:t>[</w:t>
            </w:r>
            <w:r>
              <w:rPr>
                <w:b/>
                <w:i/>
              </w:rPr>
              <w:t xml:space="preserve">in the case of Credit-Linked Complex Products with auction settlement linked to a single Reference Entity, or </w:t>
            </w:r>
            <w:r w:rsidRPr="008538F6">
              <w:rPr>
                <w:b/>
                <w:i/>
              </w:rPr>
              <w:t>in the case of Credit-Linked-Complex Products with simplified settlement insert:</w:t>
            </w:r>
          </w:p>
        </w:tc>
        <w:tc>
          <w:tcPr>
            <w:tcW w:w="1705" w:type="dxa"/>
            <w:gridSpan w:val="3"/>
            <w:tcBorders>
              <w:top w:val="nil"/>
              <w:bottom w:val="nil"/>
              <w:right w:val="nil"/>
            </w:tcBorders>
            <w:shd w:val="clear" w:color="auto" w:fill="auto"/>
          </w:tcPr>
          <w:p w:rsidR="0017135D" w:rsidRPr="003C5ED7" w:rsidP="009F7C7E">
            <w:pPr>
              <w:pStyle w:val="CSBody8pt"/>
            </w:pPr>
          </w:p>
        </w:tc>
        <w:tc>
          <w:tcPr>
            <w:tcW w:w="3231" w:type="dxa"/>
            <w:gridSpan w:val="9"/>
            <w:tcBorders>
              <w:top w:val="nil"/>
              <w:left w:val="nil"/>
              <w:bottom w:val="nil"/>
              <w:right w:val="nil"/>
            </w:tcBorders>
            <w:shd w:val="clear" w:color="auto" w:fill="auto"/>
          </w:tcPr>
          <w:p w:rsidR="0017135D" w:rsidRPr="00305516" w:rsidP="009F7C7E">
            <w:pPr>
              <w:pStyle w:val="CSBody8pt"/>
              <w:rPr>
                <w:lang w:val="de-DE"/>
              </w:rPr>
            </w:pPr>
            <w:r w:rsidRPr="00792D61">
              <w:rPr>
                <w:b/>
                <w:lang w:val="de-DE"/>
              </w:rPr>
              <w:t>[</w:t>
            </w:r>
            <w:r w:rsidRPr="00305516">
              <w:rPr>
                <w:b/>
                <w:i/>
                <w:lang w:val="de-DE"/>
              </w:rPr>
              <w:t>Bei Kreditbezogenen Komplexen Produkten mit Auktionsabwicklung, die an einen einzelnen Referenzschuldner gekoppelt sind</w:t>
            </w:r>
            <w:r>
              <w:rPr>
                <w:b/>
                <w:i/>
                <w:lang w:val="de-DE"/>
              </w:rPr>
              <w:t xml:space="preserve"> oder </w:t>
            </w:r>
            <w:r w:rsidRPr="00305516">
              <w:rPr>
                <w:b/>
                <w:i/>
                <w:lang w:val="de-DE"/>
              </w:rPr>
              <w:t>bei Kreditbezogenen Komplexen Produkten mit vereinfachter Abwicklung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05516" w:rsidP="009F7C7E">
            <w:pPr>
              <w:pStyle w:val="CSBody8pt"/>
              <w:rPr>
                <w:lang w:val="de-DE"/>
              </w:rPr>
            </w:pPr>
          </w:p>
        </w:tc>
        <w:tc>
          <w:tcPr>
            <w:tcW w:w="1655" w:type="dxa"/>
            <w:gridSpan w:val="4"/>
            <w:tcBorders>
              <w:top w:val="nil"/>
              <w:left w:val="nil"/>
              <w:bottom w:val="nil"/>
              <w:right w:val="nil"/>
            </w:tcBorders>
            <w:shd w:val="clear" w:color="auto" w:fill="auto"/>
          </w:tcPr>
          <w:p w:rsidR="0017135D" w:rsidRPr="00F414AC" w:rsidP="009F7C7E">
            <w:pPr>
              <w:pStyle w:val="CSBody8pt"/>
            </w:pPr>
            <w:r w:rsidRPr="00F414AC">
              <w:t>Primary Obligor:</w:t>
            </w:r>
          </w:p>
        </w:tc>
        <w:tc>
          <w:tcPr>
            <w:tcW w:w="1660" w:type="dxa"/>
            <w:gridSpan w:val="3"/>
            <w:tcBorders>
              <w:top w:val="nil"/>
              <w:left w:val="nil"/>
              <w:bottom w:val="nil"/>
            </w:tcBorders>
            <w:shd w:val="clear" w:color="auto" w:fill="auto"/>
          </w:tcPr>
          <w:p w:rsidR="0017135D" w:rsidRPr="00F414AC" w:rsidP="009F7C7E">
            <w:pPr>
              <w:pStyle w:val="CSBody8pt"/>
            </w:pPr>
            <w:r w:rsidRPr="00792D61">
              <w:rPr>
                <w:b/>
              </w:rPr>
              <w:t>[</w:t>
            </w:r>
            <w:r w:rsidRPr="00F414AC">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3C5ED7" w:rsidP="009F7C7E">
            <w:pPr>
              <w:pStyle w:val="CSBody8pt"/>
              <w:rPr>
                <w:lang w:val="de-DE"/>
              </w:rPr>
            </w:pPr>
          </w:p>
        </w:tc>
        <w:tc>
          <w:tcPr>
            <w:tcW w:w="1572" w:type="dxa"/>
            <w:gridSpan w:val="4"/>
            <w:tcBorders>
              <w:top w:val="nil"/>
              <w:left w:val="nil"/>
              <w:bottom w:val="nil"/>
              <w:right w:val="nil"/>
            </w:tcBorders>
            <w:shd w:val="clear" w:color="auto" w:fill="auto"/>
          </w:tcPr>
          <w:p w:rsidR="0017135D" w:rsidRPr="00D16C9D" w:rsidP="00980244">
            <w:pPr>
              <w:pStyle w:val="CSBody8pt"/>
            </w:pPr>
            <w:r w:rsidRPr="00D16C9D">
              <w:t>Hauptschuldner:</w:t>
            </w:r>
          </w:p>
        </w:tc>
        <w:tc>
          <w:tcPr>
            <w:tcW w:w="1659" w:type="dxa"/>
            <w:gridSpan w:val="5"/>
            <w:tcBorders>
              <w:top w:val="nil"/>
              <w:left w:val="nil"/>
              <w:bottom w:val="nil"/>
              <w:right w:val="nil"/>
            </w:tcBorders>
            <w:shd w:val="clear" w:color="auto" w:fill="auto"/>
          </w:tcPr>
          <w:p w:rsidR="0017135D" w:rsidRPr="00D16C9D" w:rsidP="009F7C7E">
            <w:pPr>
              <w:pStyle w:val="CSBody8pt"/>
            </w:pPr>
            <w:r w:rsidRPr="00792D61">
              <w:rPr>
                <w:b/>
              </w:rPr>
              <w:t>[</w:t>
            </w:r>
            <w:r w:rsidRPr="00D16C9D">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C5ED7" w:rsidP="009F7C7E">
            <w:pPr>
              <w:pStyle w:val="CSBody8pt"/>
              <w:rPr>
                <w:lang w:val="de-DE"/>
              </w:rPr>
            </w:pPr>
          </w:p>
        </w:tc>
        <w:tc>
          <w:tcPr>
            <w:tcW w:w="1655" w:type="dxa"/>
            <w:gridSpan w:val="4"/>
            <w:tcBorders>
              <w:top w:val="nil"/>
              <w:left w:val="nil"/>
              <w:bottom w:val="nil"/>
              <w:right w:val="nil"/>
            </w:tcBorders>
            <w:shd w:val="clear" w:color="auto" w:fill="auto"/>
          </w:tcPr>
          <w:p w:rsidR="0017135D" w:rsidRPr="00F414AC" w:rsidP="009F7C7E">
            <w:pPr>
              <w:pStyle w:val="CSBody8pt"/>
            </w:pPr>
            <w:r w:rsidRPr="00F414AC">
              <w:t>Guarantor:</w:t>
            </w:r>
          </w:p>
        </w:tc>
        <w:tc>
          <w:tcPr>
            <w:tcW w:w="1660" w:type="dxa"/>
            <w:gridSpan w:val="3"/>
            <w:tcBorders>
              <w:top w:val="nil"/>
              <w:left w:val="nil"/>
              <w:bottom w:val="nil"/>
            </w:tcBorders>
            <w:shd w:val="clear" w:color="auto" w:fill="auto"/>
          </w:tcPr>
          <w:p w:rsidR="0017135D" w:rsidRPr="00F414AC" w:rsidP="009F7C7E">
            <w:pPr>
              <w:pStyle w:val="CSBody8pt"/>
            </w:pPr>
            <w:r w:rsidRPr="00792D61">
              <w:rPr>
                <w:b/>
              </w:rPr>
              <w:t>[</w:t>
            </w:r>
            <w:r w:rsidRPr="00F414AC">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3C5ED7" w:rsidP="009F7C7E">
            <w:pPr>
              <w:pStyle w:val="CSBody8pt"/>
              <w:rPr>
                <w:lang w:val="de-DE"/>
              </w:rPr>
            </w:pPr>
          </w:p>
        </w:tc>
        <w:tc>
          <w:tcPr>
            <w:tcW w:w="1572" w:type="dxa"/>
            <w:gridSpan w:val="4"/>
            <w:tcBorders>
              <w:top w:val="nil"/>
              <w:left w:val="nil"/>
              <w:bottom w:val="nil"/>
              <w:right w:val="nil"/>
            </w:tcBorders>
            <w:shd w:val="clear" w:color="auto" w:fill="auto"/>
          </w:tcPr>
          <w:p w:rsidR="0017135D" w:rsidRPr="00D16C9D" w:rsidP="009F7C7E">
            <w:pPr>
              <w:pStyle w:val="CSBody8pt"/>
            </w:pPr>
            <w:r w:rsidRPr="00D16C9D">
              <w:t>Garantiegeber:</w:t>
            </w:r>
          </w:p>
        </w:tc>
        <w:tc>
          <w:tcPr>
            <w:tcW w:w="1659" w:type="dxa"/>
            <w:gridSpan w:val="5"/>
            <w:tcBorders>
              <w:top w:val="nil"/>
              <w:left w:val="nil"/>
              <w:bottom w:val="nil"/>
              <w:right w:val="nil"/>
            </w:tcBorders>
            <w:shd w:val="clear" w:color="auto" w:fill="auto"/>
          </w:tcPr>
          <w:p w:rsidR="0017135D" w:rsidRPr="00D16C9D" w:rsidP="009F7C7E">
            <w:pPr>
              <w:pStyle w:val="CSBody8pt"/>
            </w:pPr>
            <w:r w:rsidRPr="00792D61">
              <w:rPr>
                <w:b/>
              </w:rPr>
              <w:t>[</w:t>
            </w:r>
            <w:r w:rsidRPr="00D16C9D">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C5ED7" w:rsidP="009F7C7E">
            <w:pPr>
              <w:pStyle w:val="CSBody8pt"/>
              <w:rPr>
                <w:lang w:val="de-DE"/>
              </w:rPr>
            </w:pPr>
          </w:p>
        </w:tc>
        <w:tc>
          <w:tcPr>
            <w:tcW w:w="1655" w:type="dxa"/>
            <w:gridSpan w:val="4"/>
            <w:tcBorders>
              <w:top w:val="nil"/>
              <w:left w:val="nil"/>
              <w:bottom w:val="nil"/>
              <w:right w:val="nil"/>
            </w:tcBorders>
            <w:shd w:val="clear" w:color="auto" w:fill="auto"/>
          </w:tcPr>
          <w:p w:rsidR="0017135D" w:rsidRPr="00F414AC" w:rsidP="009F7C7E">
            <w:pPr>
              <w:pStyle w:val="CSBody8pt"/>
            </w:pPr>
            <w:r w:rsidRPr="00F414AC">
              <w:t xml:space="preserve">Maturity: </w:t>
            </w:r>
          </w:p>
        </w:tc>
        <w:tc>
          <w:tcPr>
            <w:tcW w:w="1660" w:type="dxa"/>
            <w:gridSpan w:val="3"/>
            <w:tcBorders>
              <w:top w:val="nil"/>
              <w:left w:val="nil"/>
              <w:bottom w:val="nil"/>
            </w:tcBorders>
            <w:shd w:val="clear" w:color="auto" w:fill="auto"/>
          </w:tcPr>
          <w:p w:rsidR="0017135D" w:rsidRPr="00F414AC" w:rsidP="009F7C7E">
            <w:pPr>
              <w:pStyle w:val="CSBody8pt"/>
            </w:pPr>
            <w:r w:rsidRPr="00792D61">
              <w:rPr>
                <w:b/>
              </w:rPr>
              <w:t>[</w:t>
            </w:r>
            <w:r w:rsidRPr="00F414AC">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3C5ED7" w:rsidP="009F7C7E">
            <w:pPr>
              <w:pStyle w:val="CSBody8pt"/>
              <w:rPr>
                <w:lang w:val="de-DE"/>
              </w:rPr>
            </w:pPr>
          </w:p>
        </w:tc>
        <w:tc>
          <w:tcPr>
            <w:tcW w:w="1572" w:type="dxa"/>
            <w:gridSpan w:val="4"/>
            <w:tcBorders>
              <w:top w:val="nil"/>
              <w:left w:val="nil"/>
              <w:bottom w:val="nil"/>
              <w:right w:val="nil"/>
            </w:tcBorders>
            <w:shd w:val="clear" w:color="auto" w:fill="auto"/>
          </w:tcPr>
          <w:p w:rsidR="0017135D" w:rsidRPr="00D16C9D" w:rsidP="009F7C7E">
            <w:pPr>
              <w:pStyle w:val="CSBody8pt"/>
            </w:pPr>
            <w:r w:rsidRPr="00D16C9D">
              <w:t>Fälligkeit:</w:t>
            </w:r>
          </w:p>
        </w:tc>
        <w:tc>
          <w:tcPr>
            <w:tcW w:w="1659" w:type="dxa"/>
            <w:gridSpan w:val="5"/>
            <w:tcBorders>
              <w:top w:val="nil"/>
              <w:left w:val="nil"/>
              <w:bottom w:val="nil"/>
              <w:right w:val="nil"/>
            </w:tcBorders>
            <w:shd w:val="clear" w:color="auto" w:fill="auto"/>
          </w:tcPr>
          <w:p w:rsidR="0017135D" w:rsidRPr="00D16C9D" w:rsidP="009F7C7E">
            <w:pPr>
              <w:pStyle w:val="CSBody8pt"/>
            </w:pPr>
            <w:r w:rsidRPr="00792D61">
              <w:rPr>
                <w:b/>
              </w:rPr>
              <w:t>[</w:t>
            </w:r>
            <w:r w:rsidRPr="00D16C9D">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C5ED7" w:rsidP="009F7C7E">
            <w:pPr>
              <w:pStyle w:val="CSBody8pt"/>
              <w:rPr>
                <w:lang w:val="de-DE"/>
              </w:rPr>
            </w:pPr>
          </w:p>
        </w:tc>
        <w:tc>
          <w:tcPr>
            <w:tcW w:w="1655" w:type="dxa"/>
            <w:gridSpan w:val="4"/>
            <w:tcBorders>
              <w:top w:val="nil"/>
              <w:left w:val="nil"/>
              <w:bottom w:val="nil"/>
              <w:right w:val="nil"/>
            </w:tcBorders>
            <w:shd w:val="clear" w:color="auto" w:fill="auto"/>
          </w:tcPr>
          <w:p w:rsidR="0017135D" w:rsidRPr="00F414AC" w:rsidP="009F7C7E">
            <w:pPr>
              <w:pStyle w:val="CSBody8pt"/>
            </w:pPr>
            <w:r w:rsidRPr="00F414AC">
              <w:t xml:space="preserve">Coupon: </w:t>
            </w:r>
          </w:p>
        </w:tc>
        <w:tc>
          <w:tcPr>
            <w:tcW w:w="1660" w:type="dxa"/>
            <w:gridSpan w:val="3"/>
            <w:tcBorders>
              <w:top w:val="nil"/>
              <w:left w:val="nil"/>
              <w:bottom w:val="nil"/>
            </w:tcBorders>
            <w:shd w:val="clear" w:color="auto" w:fill="auto"/>
          </w:tcPr>
          <w:p w:rsidR="0017135D" w:rsidRPr="00F414AC" w:rsidP="009F7C7E">
            <w:pPr>
              <w:pStyle w:val="CSBody8pt"/>
            </w:pPr>
            <w:r w:rsidRPr="00792D61">
              <w:rPr>
                <w:b/>
              </w:rPr>
              <w:t>[</w:t>
            </w:r>
            <w:r w:rsidRPr="00F414AC">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3C5ED7" w:rsidP="009F7C7E">
            <w:pPr>
              <w:pStyle w:val="CSBody8pt"/>
              <w:rPr>
                <w:lang w:val="de-DE"/>
              </w:rPr>
            </w:pPr>
          </w:p>
        </w:tc>
        <w:tc>
          <w:tcPr>
            <w:tcW w:w="1572" w:type="dxa"/>
            <w:gridSpan w:val="4"/>
            <w:tcBorders>
              <w:top w:val="nil"/>
              <w:left w:val="nil"/>
              <w:bottom w:val="nil"/>
              <w:right w:val="nil"/>
            </w:tcBorders>
            <w:shd w:val="clear" w:color="auto" w:fill="auto"/>
          </w:tcPr>
          <w:p w:rsidR="0017135D" w:rsidRPr="00D16C9D" w:rsidP="009F7C7E">
            <w:pPr>
              <w:pStyle w:val="CSBody8pt"/>
            </w:pPr>
            <w:r w:rsidRPr="00D16C9D">
              <w:t>Coupon:</w:t>
            </w:r>
          </w:p>
        </w:tc>
        <w:tc>
          <w:tcPr>
            <w:tcW w:w="1659" w:type="dxa"/>
            <w:gridSpan w:val="5"/>
            <w:tcBorders>
              <w:top w:val="nil"/>
              <w:left w:val="nil"/>
              <w:bottom w:val="nil"/>
              <w:right w:val="nil"/>
            </w:tcBorders>
            <w:shd w:val="clear" w:color="auto" w:fill="auto"/>
          </w:tcPr>
          <w:p w:rsidR="0017135D" w:rsidRPr="00D16C9D" w:rsidP="009F7C7E">
            <w:pPr>
              <w:pStyle w:val="CSBody8pt"/>
            </w:pPr>
            <w:r w:rsidRPr="00792D61">
              <w:rPr>
                <w:b/>
              </w:rPr>
              <w:t>[</w:t>
            </w:r>
            <w:r w:rsidRPr="00D16C9D">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C5ED7" w:rsidP="009F7C7E">
            <w:pPr>
              <w:pStyle w:val="CSBody8pt"/>
              <w:rPr>
                <w:lang w:val="de-DE"/>
              </w:rPr>
            </w:pPr>
          </w:p>
        </w:tc>
        <w:tc>
          <w:tcPr>
            <w:tcW w:w="1655" w:type="dxa"/>
            <w:gridSpan w:val="4"/>
            <w:tcBorders>
              <w:top w:val="nil"/>
              <w:left w:val="nil"/>
              <w:bottom w:val="nil"/>
              <w:right w:val="nil"/>
            </w:tcBorders>
            <w:shd w:val="clear" w:color="auto" w:fill="auto"/>
          </w:tcPr>
          <w:p w:rsidR="0017135D" w:rsidRPr="00F414AC" w:rsidP="009F7C7E">
            <w:pPr>
              <w:pStyle w:val="CSBody8pt"/>
            </w:pPr>
            <w:r w:rsidRPr="00F414AC">
              <w:t>Obligation Currency:</w:t>
            </w:r>
          </w:p>
        </w:tc>
        <w:tc>
          <w:tcPr>
            <w:tcW w:w="1660" w:type="dxa"/>
            <w:gridSpan w:val="3"/>
            <w:tcBorders>
              <w:top w:val="nil"/>
              <w:left w:val="nil"/>
              <w:bottom w:val="nil"/>
            </w:tcBorders>
            <w:shd w:val="clear" w:color="auto" w:fill="auto"/>
          </w:tcPr>
          <w:p w:rsidR="0017135D" w:rsidRPr="00F414AC" w:rsidP="009F7C7E">
            <w:pPr>
              <w:pStyle w:val="CSBody8pt"/>
            </w:pPr>
            <w:r w:rsidRPr="00792D61">
              <w:rPr>
                <w:b/>
              </w:rPr>
              <w:t>[</w:t>
            </w:r>
            <w:r w:rsidRPr="00F414AC">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3C5ED7" w:rsidP="009F7C7E">
            <w:pPr>
              <w:pStyle w:val="CSBody8pt"/>
              <w:rPr>
                <w:lang w:val="de-DE"/>
              </w:rPr>
            </w:pPr>
          </w:p>
        </w:tc>
        <w:tc>
          <w:tcPr>
            <w:tcW w:w="1572" w:type="dxa"/>
            <w:gridSpan w:val="4"/>
            <w:tcBorders>
              <w:top w:val="nil"/>
              <w:left w:val="nil"/>
              <w:bottom w:val="nil"/>
              <w:right w:val="nil"/>
            </w:tcBorders>
            <w:shd w:val="clear" w:color="auto" w:fill="auto"/>
          </w:tcPr>
          <w:p w:rsidR="0017135D" w:rsidRPr="00D16C9D" w:rsidP="009F7C7E">
            <w:pPr>
              <w:pStyle w:val="CSBody8pt"/>
            </w:pPr>
            <w:r w:rsidRPr="00D16C9D">
              <w:t>Verbindlich-keitenwährung:</w:t>
            </w:r>
          </w:p>
        </w:tc>
        <w:tc>
          <w:tcPr>
            <w:tcW w:w="1659" w:type="dxa"/>
            <w:gridSpan w:val="5"/>
            <w:tcBorders>
              <w:top w:val="nil"/>
              <w:left w:val="nil"/>
              <w:bottom w:val="nil"/>
              <w:right w:val="nil"/>
            </w:tcBorders>
            <w:shd w:val="clear" w:color="auto" w:fill="auto"/>
          </w:tcPr>
          <w:p w:rsidR="0017135D" w:rsidRPr="00D16C9D" w:rsidP="009F7C7E">
            <w:pPr>
              <w:pStyle w:val="CSBody8pt"/>
            </w:pPr>
            <w:r w:rsidRPr="00792D61">
              <w:rPr>
                <w:b/>
              </w:rPr>
              <w:t>[</w:t>
            </w:r>
            <w:r w:rsidRPr="00D16C9D">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C5ED7" w:rsidP="009F7C7E">
            <w:pPr>
              <w:pStyle w:val="CSBody8pt"/>
              <w:rPr>
                <w:lang w:val="de-DE"/>
              </w:rPr>
            </w:pPr>
          </w:p>
        </w:tc>
        <w:tc>
          <w:tcPr>
            <w:tcW w:w="1655" w:type="dxa"/>
            <w:gridSpan w:val="4"/>
            <w:tcBorders>
              <w:top w:val="nil"/>
              <w:left w:val="nil"/>
              <w:bottom w:val="nil"/>
              <w:right w:val="nil"/>
            </w:tcBorders>
            <w:shd w:val="clear" w:color="auto" w:fill="auto"/>
          </w:tcPr>
          <w:p w:rsidR="0017135D" w:rsidRPr="00F414AC" w:rsidP="009F7C7E">
            <w:pPr>
              <w:pStyle w:val="CSBody8pt"/>
            </w:pPr>
            <w:r w:rsidRPr="00F414AC">
              <w:t>ISIN:</w:t>
            </w:r>
          </w:p>
        </w:tc>
        <w:tc>
          <w:tcPr>
            <w:tcW w:w="1660" w:type="dxa"/>
            <w:gridSpan w:val="3"/>
            <w:tcBorders>
              <w:top w:val="nil"/>
              <w:left w:val="nil"/>
              <w:bottom w:val="nil"/>
            </w:tcBorders>
            <w:shd w:val="clear" w:color="auto" w:fill="auto"/>
          </w:tcPr>
          <w:p w:rsidR="0017135D" w:rsidRPr="00F414AC" w:rsidP="009F7C7E">
            <w:pPr>
              <w:pStyle w:val="CSBody8pt"/>
            </w:pPr>
            <w:r w:rsidRPr="00792D61">
              <w:rPr>
                <w:b/>
              </w:rPr>
              <w:t>[</w:t>
            </w:r>
            <w:r w:rsidRPr="00F414AC">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3C5ED7" w:rsidP="009F7C7E">
            <w:pPr>
              <w:pStyle w:val="CSBody8pt"/>
              <w:rPr>
                <w:lang w:val="de-DE"/>
              </w:rPr>
            </w:pPr>
          </w:p>
        </w:tc>
        <w:tc>
          <w:tcPr>
            <w:tcW w:w="1572" w:type="dxa"/>
            <w:gridSpan w:val="4"/>
            <w:tcBorders>
              <w:top w:val="nil"/>
              <w:left w:val="nil"/>
              <w:bottom w:val="nil"/>
              <w:right w:val="nil"/>
            </w:tcBorders>
            <w:shd w:val="clear" w:color="auto" w:fill="auto"/>
          </w:tcPr>
          <w:p w:rsidR="0017135D" w:rsidRPr="00D16C9D" w:rsidP="009F7C7E">
            <w:pPr>
              <w:pStyle w:val="CSBody8pt"/>
            </w:pPr>
            <w:r w:rsidRPr="00D16C9D">
              <w:t>ISIN:</w:t>
            </w:r>
          </w:p>
        </w:tc>
        <w:tc>
          <w:tcPr>
            <w:tcW w:w="1659" w:type="dxa"/>
            <w:gridSpan w:val="5"/>
            <w:tcBorders>
              <w:top w:val="nil"/>
              <w:left w:val="nil"/>
              <w:bottom w:val="nil"/>
              <w:right w:val="nil"/>
            </w:tcBorders>
            <w:shd w:val="clear" w:color="auto" w:fill="auto"/>
          </w:tcPr>
          <w:p w:rsidR="0017135D" w:rsidP="009F7C7E">
            <w:pPr>
              <w:pStyle w:val="CSBody8pt"/>
            </w:pPr>
            <w:r w:rsidRPr="00792D61">
              <w:rPr>
                <w:b/>
              </w:rPr>
              <w:t>[</w:t>
            </w:r>
            <w:r w:rsidRPr="00D16C9D">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C5ED7" w:rsidP="009F7C7E">
            <w:pPr>
              <w:pStyle w:val="CSBody8pt"/>
              <w:rPr>
                <w:lang w:val="de-DE"/>
              </w:rPr>
            </w:pPr>
          </w:p>
        </w:tc>
        <w:tc>
          <w:tcPr>
            <w:tcW w:w="1655" w:type="dxa"/>
            <w:gridSpan w:val="4"/>
            <w:tcBorders>
              <w:top w:val="nil"/>
              <w:left w:val="nil"/>
              <w:bottom w:val="nil"/>
              <w:right w:val="nil"/>
            </w:tcBorders>
            <w:shd w:val="clear" w:color="auto" w:fill="auto"/>
          </w:tcPr>
          <w:p w:rsidR="0017135D" w:rsidRPr="00F414AC" w:rsidP="009F7C7E">
            <w:pPr>
              <w:pStyle w:val="CSBody8ptbolditalics"/>
            </w:pPr>
            <w:r w:rsidRPr="00792D61">
              <w:t>[</w:t>
            </w:r>
            <w:r w:rsidRPr="00F414AC">
              <w:t xml:space="preserve">insert further information: </w:t>
            </w:r>
            <w:r w:rsidRPr="00792D61">
              <w:t>[</w:t>
            </w:r>
            <w:r w:rsidRPr="00F414AC">
              <w:rPr>
                <w:rFonts w:ascii="Arial" w:hAnsi="Arial" w:cs="Arial"/>
              </w:rPr>
              <w:t>●</w:t>
            </w:r>
            <w:r w:rsidRPr="00792D61">
              <w:t>]</w:t>
            </w:r>
          </w:p>
        </w:tc>
        <w:tc>
          <w:tcPr>
            <w:tcW w:w="1660" w:type="dxa"/>
            <w:gridSpan w:val="3"/>
            <w:tcBorders>
              <w:top w:val="nil"/>
              <w:left w:val="nil"/>
              <w:bottom w:val="nil"/>
            </w:tcBorders>
            <w:shd w:val="clear" w:color="auto" w:fill="auto"/>
          </w:tcPr>
          <w:p w:rsidR="0017135D" w:rsidP="009F7C7E">
            <w:pPr>
              <w:pStyle w:val="CSBody8pt"/>
            </w:pPr>
            <w:r w:rsidRPr="00792D61">
              <w:rPr>
                <w:b/>
              </w:rPr>
              <w:t>[</w:t>
            </w:r>
            <w:r w:rsidRPr="00F414AC">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3C5ED7" w:rsidP="009F7C7E">
            <w:pPr>
              <w:pStyle w:val="CSBody8pt"/>
              <w:rPr>
                <w:lang w:val="de-DE"/>
              </w:rPr>
            </w:pPr>
          </w:p>
        </w:tc>
        <w:tc>
          <w:tcPr>
            <w:tcW w:w="1572" w:type="dxa"/>
            <w:gridSpan w:val="4"/>
            <w:tcBorders>
              <w:top w:val="nil"/>
              <w:left w:val="nil"/>
              <w:bottom w:val="nil"/>
              <w:right w:val="nil"/>
            </w:tcBorders>
            <w:shd w:val="clear" w:color="auto" w:fill="auto"/>
          </w:tcPr>
          <w:p w:rsidR="0017135D" w:rsidRPr="00D16C9D" w:rsidP="009F7C7E">
            <w:pPr>
              <w:pStyle w:val="CSBody8ptbolditalics"/>
            </w:pPr>
            <w:r w:rsidRPr="00792D61">
              <w:t>[</w:t>
            </w:r>
            <w:r w:rsidRPr="00980244">
              <w:t xml:space="preserve">weitere Informationen einfügen: </w:t>
            </w:r>
            <w:r w:rsidRPr="00792D61">
              <w:t>[</w:t>
            </w:r>
            <w:r w:rsidRPr="00980244">
              <w:rPr>
                <w:rFonts w:ascii="Arial" w:hAnsi="Arial" w:cs="Arial"/>
              </w:rPr>
              <w:t>●</w:t>
            </w:r>
            <w:r w:rsidRPr="00792D61">
              <w:t>]</w:t>
            </w:r>
          </w:p>
        </w:tc>
        <w:tc>
          <w:tcPr>
            <w:tcW w:w="1659" w:type="dxa"/>
            <w:gridSpan w:val="5"/>
            <w:tcBorders>
              <w:top w:val="nil"/>
              <w:left w:val="nil"/>
              <w:bottom w:val="nil"/>
              <w:right w:val="nil"/>
            </w:tcBorders>
            <w:shd w:val="clear" w:color="auto" w:fill="auto"/>
          </w:tcPr>
          <w:p w:rsidR="0017135D" w:rsidRPr="00D16C9D" w:rsidP="009F7C7E">
            <w:pPr>
              <w:pStyle w:val="CSBody8pt"/>
            </w:pPr>
            <w:r w:rsidRPr="00792D61">
              <w:rPr>
                <w:b/>
              </w:rPr>
              <w:t>[</w:t>
            </w:r>
            <w:r w:rsidRPr="00D16C9D">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rPr>
          <w:trHeight w:val="2401"/>
        </w:trPr>
        <w:tc>
          <w:tcPr>
            <w:tcW w:w="1616" w:type="dxa"/>
            <w:gridSpan w:val="4"/>
            <w:tcBorders>
              <w:top w:val="nil"/>
              <w:left w:val="nil"/>
              <w:right w:val="nil"/>
            </w:tcBorders>
            <w:shd w:val="clear" w:color="auto" w:fill="auto"/>
          </w:tcPr>
          <w:p w:rsidR="0017135D" w:rsidRPr="000E3941" w:rsidP="009F7C7E">
            <w:pPr>
              <w:pStyle w:val="CSBody8ptbolditalics"/>
            </w:pPr>
            <w:r w:rsidRPr="00792D61">
              <w:t>[</w:t>
            </w:r>
            <w:r w:rsidRPr="000E3941">
              <w:t>in the case of Credit-Linked Complex Products and if a Basket is applicable, insert:</w:t>
            </w:r>
          </w:p>
          <w:p w:rsidR="0017135D" w:rsidRPr="000E3941" w:rsidP="009F7C7E">
            <w:pPr>
              <w:pStyle w:val="CSBody8pt"/>
            </w:pPr>
            <w:r w:rsidRPr="00F17869">
              <w:rPr>
                <w:lang w:val="de-DE"/>
              </w:rPr>
              <w:t>Weighting</w:t>
            </w:r>
            <w:r>
              <w:rPr>
                <w:lang w:val="de-DE"/>
              </w:rPr>
              <w:fldChar w:fldCharType="begin"/>
            </w:r>
            <w:r w:rsidRPr="00F17869">
              <w:instrText xml:space="preserve"> XE "</w:instrText>
            </w:r>
            <w:r w:rsidRPr="00F17869">
              <w:rPr>
                <w:lang w:val="de-DE"/>
              </w:rPr>
              <w:instrText>Weighting</w:instrText>
            </w:r>
            <w:r w:rsidRPr="00F17869">
              <w:instrText>" \f "EN"</w:instrText>
            </w:r>
            <w:r>
              <w:rPr>
                <w:lang w:val="de-DE"/>
              </w:rPr>
              <w:fldChar w:fldCharType="end"/>
            </w:r>
          </w:p>
        </w:tc>
        <w:tc>
          <w:tcPr>
            <w:tcW w:w="3315" w:type="dxa"/>
            <w:gridSpan w:val="7"/>
            <w:tcBorders>
              <w:top w:val="nil"/>
              <w:left w:val="nil"/>
            </w:tcBorders>
            <w:shd w:val="clear" w:color="auto" w:fill="auto"/>
          </w:tcPr>
          <w:p w:rsidR="0017135D" w:rsidRPr="000E3941" w:rsidP="009F7C7E">
            <w:pPr>
              <w:pStyle w:val="CSBody8pt"/>
            </w:pPr>
            <w:r w:rsidRPr="000E3941">
              <w:t xml:space="preserve">with respect to any Reference Entity, the relevant Weighting specified in </w:t>
            </w:r>
            <w:r w:rsidRPr="009F7C7E">
              <w:rPr>
                <w:b/>
              </w:rPr>
              <w:t>Table A</w:t>
            </w:r>
            <w:r w:rsidRPr="000E3941">
              <w:t xml:space="preserve"> (see subsection C.5 below).</w:t>
            </w:r>
            <w:r w:rsidRPr="00792D61">
              <w:rPr>
                <w:b/>
              </w:rPr>
              <w:t>]</w:t>
            </w:r>
          </w:p>
        </w:tc>
        <w:tc>
          <w:tcPr>
            <w:tcW w:w="1705" w:type="dxa"/>
            <w:gridSpan w:val="3"/>
            <w:tcBorders>
              <w:top w:val="nil"/>
              <w:right w:val="nil"/>
            </w:tcBorders>
            <w:shd w:val="clear" w:color="auto" w:fill="auto"/>
          </w:tcPr>
          <w:p w:rsidR="0017135D" w:rsidRPr="002C7FCE" w:rsidP="009F7C7E">
            <w:pPr>
              <w:pStyle w:val="CSBody8ptbolditalics"/>
              <w:rPr>
                <w:lang w:val="de-DE"/>
              </w:rPr>
            </w:pPr>
            <w:r w:rsidRPr="00792D61">
              <w:rPr>
                <w:lang w:val="de-DE"/>
              </w:rPr>
              <w:t>[</w:t>
            </w:r>
            <w:r>
              <w:rPr>
                <w:lang w:val="de-DE"/>
              </w:rPr>
              <w:t>bei Kredit</w:t>
            </w:r>
            <w:r w:rsidRPr="002C7FCE">
              <w:rPr>
                <w:lang w:val="de-DE"/>
              </w:rPr>
              <w:t>bezogenen Komplexen Produkten und falls ein Korb anwendbar ist, einfügen:</w:t>
            </w:r>
          </w:p>
          <w:p w:rsidR="0017135D" w:rsidRPr="002C7FCE" w:rsidP="009F7C7E">
            <w:pPr>
              <w:pStyle w:val="CSBody8pt"/>
              <w:rPr>
                <w:lang w:val="de-DE"/>
              </w:rPr>
            </w:pPr>
            <w:r w:rsidRPr="00F17869">
              <w:rPr>
                <w:lang w:val="de-DE"/>
              </w:rPr>
              <w:t>Gewichtung</w:t>
            </w:r>
            <w:r>
              <w:rPr>
                <w:lang w:val="de-DE"/>
              </w:rPr>
              <w:fldChar w:fldCharType="begin"/>
            </w:r>
            <w:r w:rsidRPr="00F17869">
              <w:instrText xml:space="preserve"> XE "</w:instrText>
            </w:r>
            <w:r w:rsidRPr="00F17869">
              <w:rPr>
                <w:lang w:val="de-DE"/>
              </w:rPr>
              <w:instrText>Gewichtung</w:instrText>
            </w:r>
            <w:r w:rsidRPr="00F17869">
              <w:instrText xml:space="preserve">" </w:instrText>
            </w:r>
            <w:r>
              <w:rPr>
                <w:lang w:val="de-DE"/>
              </w:rPr>
              <w:fldChar w:fldCharType="end"/>
            </w:r>
          </w:p>
        </w:tc>
        <w:tc>
          <w:tcPr>
            <w:tcW w:w="3231" w:type="dxa"/>
            <w:gridSpan w:val="9"/>
            <w:tcBorders>
              <w:top w:val="nil"/>
              <w:left w:val="nil"/>
              <w:right w:val="nil"/>
            </w:tcBorders>
            <w:shd w:val="clear" w:color="auto" w:fill="auto"/>
          </w:tcPr>
          <w:p w:rsidR="0017135D" w:rsidRPr="002C7FCE" w:rsidP="009F7C7E">
            <w:pPr>
              <w:pStyle w:val="CSBody8pt"/>
              <w:rPr>
                <w:lang w:val="de-DE"/>
              </w:rPr>
            </w:pPr>
            <w:r w:rsidRPr="002C7FCE">
              <w:rPr>
                <w:lang w:val="de-DE"/>
              </w:rPr>
              <w:t xml:space="preserve">die in Bezug auf einen Referenzschuldner in </w:t>
            </w:r>
            <w:r w:rsidRPr="009F7C7E">
              <w:rPr>
                <w:b/>
                <w:lang w:val="de-DE"/>
              </w:rPr>
              <w:t>Tabelle A</w:t>
            </w:r>
            <w:r w:rsidRPr="002C7FCE">
              <w:rPr>
                <w:lang w:val="de-DE"/>
              </w:rPr>
              <w:t xml:space="preserve"> (s. nachstehende Unterziffer C.5) bezeichnete massgebliche Gewichtung.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5382F" w:rsidP="009F7C7E">
            <w:pPr>
              <w:pStyle w:val="CSBody8pt"/>
            </w:pPr>
            <w:r w:rsidRPr="00792D61">
              <w:rPr>
                <w:b/>
              </w:rPr>
              <w:t>[</w:t>
            </w:r>
            <w:r w:rsidRPr="0095382F">
              <w:t>Underwriting and Placement Arrangements</w:t>
            </w:r>
          </w:p>
        </w:tc>
        <w:tc>
          <w:tcPr>
            <w:tcW w:w="3315" w:type="dxa"/>
            <w:gridSpan w:val="7"/>
            <w:tcBorders>
              <w:top w:val="nil"/>
              <w:left w:val="nil"/>
              <w:bottom w:val="nil"/>
            </w:tcBorders>
            <w:shd w:val="clear" w:color="auto" w:fill="auto"/>
          </w:tcPr>
          <w:p w:rsidR="0017135D" w:rsidRPr="0095382F" w:rsidP="009F7C7E">
            <w:pPr>
              <w:pStyle w:val="CSBody8ptbolditalics"/>
            </w:pPr>
            <w:r w:rsidRPr="00792D61">
              <w:t>[</w:t>
            </w:r>
            <w:r w:rsidRPr="0095382F">
              <w:t>insert entities agreeing to underwrite the Complex Products on a firm commitment basis, entities agreeing to place the Complex Products under "best efforts" and date on which any such agreements have been or will be entered into</w:t>
            </w:r>
            <w:r>
              <w:t xml:space="preserve">: </w:t>
            </w:r>
            <w:r w:rsidRPr="00792D61">
              <w:rPr>
                <w:i w:val="0"/>
              </w:rPr>
              <w:t>[</w:t>
            </w:r>
            <w:r w:rsidRPr="00305516">
              <w:rPr>
                <w:rFonts w:ascii="Arial" w:hAnsi="Arial" w:cs="Arial"/>
                <w:i w:val="0"/>
              </w:rPr>
              <w:t>●</w:t>
            </w:r>
            <w:r w:rsidRPr="00792D61">
              <w:rPr>
                <w:rFonts w:ascii="Arial" w:hAnsi="Arial" w:cs="Arial"/>
                <w:i w:val="0"/>
              </w:rPr>
              <w:t>]</w:t>
            </w:r>
            <w:r w:rsidRPr="00792D61">
              <w:t>]]</w:t>
            </w:r>
          </w:p>
        </w:tc>
        <w:tc>
          <w:tcPr>
            <w:tcW w:w="1705" w:type="dxa"/>
            <w:gridSpan w:val="3"/>
            <w:tcBorders>
              <w:top w:val="nil"/>
              <w:bottom w:val="nil"/>
              <w:right w:val="nil"/>
            </w:tcBorders>
            <w:shd w:val="clear" w:color="auto" w:fill="auto"/>
          </w:tcPr>
          <w:p w:rsidR="0017135D" w:rsidRPr="0095382F" w:rsidP="00907128">
            <w:pPr>
              <w:pStyle w:val="CSBody8pt"/>
            </w:pPr>
            <w:r w:rsidRPr="00792D61">
              <w:rPr>
                <w:b/>
              </w:rPr>
              <w:t>[</w:t>
            </w:r>
            <w:r w:rsidRPr="0095382F">
              <w:t>Übernahme- und Platzierungsverträge</w:t>
            </w:r>
          </w:p>
        </w:tc>
        <w:tc>
          <w:tcPr>
            <w:tcW w:w="3231" w:type="dxa"/>
            <w:gridSpan w:val="9"/>
            <w:tcBorders>
              <w:top w:val="nil"/>
              <w:left w:val="nil"/>
              <w:bottom w:val="nil"/>
              <w:right w:val="nil"/>
            </w:tcBorders>
            <w:shd w:val="clear" w:color="auto" w:fill="auto"/>
          </w:tcPr>
          <w:p w:rsidR="0017135D" w:rsidRPr="002C7FCE" w:rsidP="009F7C7E">
            <w:pPr>
              <w:pStyle w:val="CSBody8ptbolditalics"/>
              <w:rPr>
                <w:lang w:val="de-DE"/>
              </w:rPr>
            </w:pPr>
            <w:r w:rsidRPr="00792D61">
              <w:rPr>
                <w:lang w:val="de-DE"/>
              </w:rPr>
              <w:t>[</w:t>
            </w:r>
            <w:r w:rsidRPr="002C7FCE">
              <w:rPr>
                <w:lang w:val="de-DE"/>
              </w:rPr>
              <w:t>Unternehmen einfügen, die sich auf Basis einer festen Zusage zur Übernahme der Komplexen Produkte verpflichten, sowie Unternehmen, die sich auf "Best-Efforts"-Basis zur Platzierung der Komplexen Produkte verpflichten, und das Datum, an dem die betreffenden Verträge abgeschlossen wurden bzw. werden</w:t>
            </w:r>
            <w:r>
              <w:rPr>
                <w:lang w:val="de-DE"/>
              </w:rPr>
              <w:t xml:space="preserve">: </w:t>
            </w:r>
            <w:r w:rsidRPr="00792D61">
              <w:rPr>
                <w:i w:val="0"/>
                <w:lang w:val="de-DE"/>
              </w:rPr>
              <w:t>[</w:t>
            </w:r>
            <w:r w:rsidRPr="00305516">
              <w:rPr>
                <w:rFonts w:ascii="Arial" w:hAnsi="Arial" w:cs="Arial"/>
                <w:i w:val="0"/>
                <w:lang w:val="de-DE"/>
              </w:rPr>
              <w:t>●</w:t>
            </w:r>
            <w:r w:rsidRPr="00792D61">
              <w:rPr>
                <w:i w:val="0"/>
                <w:lang w:val="de-DE"/>
              </w:rPr>
              <w:t>]</w:t>
            </w:r>
            <w:r w:rsidRPr="00792D61">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27DF1" w:rsidP="00907128">
            <w:pPr>
              <w:pStyle w:val="CSBody8pt"/>
            </w:pPr>
            <w:r w:rsidRPr="00792D61">
              <w:rPr>
                <w:b/>
              </w:rPr>
              <w:t>[</w:t>
            </w:r>
            <w:r w:rsidRPr="00427DF1">
              <w:t>Underwriting and Placement Fees</w:t>
            </w:r>
          </w:p>
        </w:tc>
        <w:tc>
          <w:tcPr>
            <w:tcW w:w="3315" w:type="dxa"/>
            <w:gridSpan w:val="7"/>
            <w:tcBorders>
              <w:top w:val="nil"/>
              <w:left w:val="nil"/>
              <w:bottom w:val="nil"/>
            </w:tcBorders>
            <w:shd w:val="clear" w:color="auto" w:fill="auto"/>
          </w:tcPr>
          <w:p w:rsidR="0017135D" w:rsidRPr="00427DF1" w:rsidP="00907128">
            <w:pPr>
              <w:pStyle w:val="CSBody8pt"/>
            </w:pPr>
            <w:r w:rsidRPr="00792D61">
              <w:rPr>
                <w:b/>
              </w:rPr>
              <w:t>[</w:t>
            </w:r>
            <w:r w:rsidRPr="00427DF1">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427DF1" w:rsidP="00907128">
            <w:pPr>
              <w:pStyle w:val="CSBody8pt"/>
            </w:pPr>
            <w:r w:rsidRPr="00792D61">
              <w:rPr>
                <w:b/>
              </w:rPr>
              <w:t>[</w:t>
            </w:r>
            <w:r w:rsidRPr="00427DF1">
              <w:rPr>
                <w:rFonts w:cs="Credit Suisse Type Light"/>
              </w:rPr>
              <w:t>Ü</w:t>
            </w:r>
            <w:r w:rsidRPr="00427DF1">
              <w:t>bernahme- und Platzierungsgeb</w:t>
            </w:r>
            <w:r w:rsidRPr="00427DF1">
              <w:rPr>
                <w:rFonts w:cs="Credit Suisse Type Light"/>
              </w:rPr>
              <w:t>ü</w:t>
            </w:r>
            <w:r w:rsidRPr="00427DF1">
              <w:t>hren</w:t>
            </w:r>
          </w:p>
        </w:tc>
        <w:tc>
          <w:tcPr>
            <w:tcW w:w="3231" w:type="dxa"/>
            <w:gridSpan w:val="9"/>
            <w:tcBorders>
              <w:top w:val="nil"/>
              <w:left w:val="nil"/>
              <w:bottom w:val="nil"/>
              <w:right w:val="nil"/>
            </w:tcBorders>
            <w:shd w:val="clear" w:color="auto" w:fill="auto"/>
          </w:tcPr>
          <w:p w:rsidR="0017135D" w:rsidP="00907128">
            <w:pPr>
              <w:pStyle w:val="CSBody8pt"/>
            </w:pPr>
            <w:r w:rsidRPr="00792D61">
              <w:rPr>
                <w:b/>
              </w:rPr>
              <w:t>[</w:t>
            </w:r>
            <w:r w:rsidRPr="00427DF1">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73B62" w:rsidP="004C1EBA">
            <w:pPr>
              <w:pStyle w:val="CSBody8pt"/>
            </w:pPr>
            <w:r w:rsidRPr="009D08E0">
              <w:rPr>
                <w:b/>
              </w:rPr>
              <w:t>[[</w:t>
            </w:r>
            <w:r w:rsidRPr="009D08E0">
              <w:t>Subscription Fee</w:t>
            </w:r>
            <w:r w:rsidRPr="009D08E0">
              <w:rPr>
                <w:b/>
              </w:rPr>
              <w:t>]</w:t>
            </w:r>
            <w:r w:rsidRPr="009D08E0">
              <w:t xml:space="preserve"> </w:t>
            </w:r>
            <w:r w:rsidRPr="00792D61">
              <w:rPr>
                <w:b/>
              </w:rPr>
              <w:t>[</w:t>
            </w:r>
            <w:r w:rsidRPr="00A73B62">
              <w:t>Sales Fee</w:t>
            </w:r>
            <w:r w:rsidRPr="009D08E0">
              <w:rPr>
                <w:b/>
              </w:rPr>
              <w:t>]</w:t>
            </w:r>
          </w:p>
        </w:tc>
        <w:tc>
          <w:tcPr>
            <w:tcW w:w="3315" w:type="dxa"/>
            <w:gridSpan w:val="7"/>
            <w:tcBorders>
              <w:top w:val="nil"/>
              <w:left w:val="nil"/>
              <w:bottom w:val="nil"/>
            </w:tcBorders>
            <w:shd w:val="clear" w:color="auto" w:fill="auto"/>
          </w:tcPr>
          <w:p w:rsidR="0017135D" w:rsidRPr="00A73B62" w:rsidP="00907128">
            <w:pPr>
              <w:pStyle w:val="CSBody8pt"/>
            </w:pPr>
            <w:r w:rsidRPr="00792D61">
              <w:rPr>
                <w:b/>
              </w:rPr>
              <w:t>[</w:t>
            </w:r>
            <w:r w:rsidRPr="00A73B62">
              <w:t>up to</w:t>
            </w:r>
            <w:r w:rsidRPr="00792D61">
              <w:rPr>
                <w:b/>
              </w:rPr>
              <w:t>]</w:t>
            </w:r>
            <w:r w:rsidRPr="00A73B62">
              <w:t xml:space="preserve"> </w:t>
            </w:r>
            <w:r w:rsidRPr="00792D61">
              <w:rPr>
                <w:b/>
              </w:rPr>
              <w:t>[</w:t>
            </w:r>
            <w:r w:rsidRPr="00A73B62">
              <w:rPr>
                <w:rFonts w:ascii="Arial" w:hAnsi="Arial" w:cs="Arial"/>
              </w:rPr>
              <w:t>●</w:t>
            </w:r>
            <w:r w:rsidRPr="00792D61">
              <w:rPr>
                <w:b/>
              </w:rPr>
              <w:t>]</w:t>
            </w:r>
            <w:r w:rsidRPr="00A73B62">
              <w:t xml:space="preserve">, being the amount charged at issuance by </w:t>
            </w:r>
            <w:r w:rsidRPr="00792D61">
              <w:rPr>
                <w:b/>
              </w:rPr>
              <w:t>[</w:t>
            </w:r>
            <w:r w:rsidRPr="00A73B62">
              <w:t>the distributor</w:t>
            </w:r>
            <w:r w:rsidRPr="00792D61">
              <w:rPr>
                <w:b/>
              </w:rPr>
              <w:t>][[</w:t>
            </w:r>
            <w:r w:rsidRPr="00A73B62">
              <w:rPr>
                <w:rFonts w:ascii="Arial" w:hAnsi="Arial" w:cs="Arial"/>
              </w:rPr>
              <w:t>●</w:t>
            </w:r>
            <w:r w:rsidRPr="00792D61">
              <w:rPr>
                <w:b/>
              </w:rPr>
              <w:t>]]</w:t>
            </w:r>
            <w:r w:rsidRPr="00A73B62">
              <w:t xml:space="preserve"> per Complex Product to the relevant Holder upon purchase.</w:t>
            </w:r>
            <w:r w:rsidRPr="00792D61">
              <w:rPr>
                <w:b/>
              </w:rPr>
              <w:t>]</w:t>
            </w:r>
          </w:p>
        </w:tc>
        <w:tc>
          <w:tcPr>
            <w:tcW w:w="1705" w:type="dxa"/>
            <w:gridSpan w:val="3"/>
            <w:tcBorders>
              <w:top w:val="nil"/>
              <w:bottom w:val="nil"/>
              <w:right w:val="nil"/>
            </w:tcBorders>
            <w:shd w:val="clear" w:color="auto" w:fill="auto"/>
          </w:tcPr>
          <w:p w:rsidR="0017135D" w:rsidRPr="00A73B62" w:rsidP="004C1EBA">
            <w:pPr>
              <w:pStyle w:val="CSBody8pt"/>
            </w:pPr>
            <w:r w:rsidRPr="00172464">
              <w:rPr>
                <w:b/>
              </w:rPr>
              <w:t>[</w:t>
            </w:r>
            <w:r w:rsidRPr="00EB1225">
              <w:rPr>
                <w:b/>
              </w:rPr>
              <w:t>[</w:t>
            </w:r>
            <w:r>
              <w:t>Zeichnungs</w:t>
            </w:r>
            <w:r w:rsidRPr="00EB1225">
              <w:t>gebühr</w:t>
            </w:r>
            <w:r w:rsidRPr="00EB1225">
              <w:rPr>
                <w:b/>
              </w:rPr>
              <w:t>]</w:t>
            </w:r>
            <w:r w:rsidRPr="00EB1225">
              <w:t xml:space="preserve"> </w:t>
            </w:r>
            <w:r w:rsidRPr="00792D61">
              <w:rPr>
                <w:b/>
              </w:rPr>
              <w:t>[</w:t>
            </w:r>
            <w:r>
              <w:t>Ausgabeaufschlag</w:t>
            </w:r>
            <w:r w:rsidRPr="009D08E0">
              <w:rPr>
                <w:b/>
              </w:rPr>
              <w:t>]</w:t>
            </w:r>
          </w:p>
        </w:tc>
        <w:tc>
          <w:tcPr>
            <w:tcW w:w="3231" w:type="dxa"/>
            <w:gridSpan w:val="9"/>
            <w:tcBorders>
              <w:top w:val="nil"/>
              <w:left w:val="nil"/>
              <w:bottom w:val="nil"/>
              <w:right w:val="nil"/>
            </w:tcBorders>
            <w:shd w:val="clear" w:color="auto" w:fill="auto"/>
          </w:tcPr>
          <w:p w:rsidR="0017135D" w:rsidRPr="002A528D" w:rsidP="00907128">
            <w:pPr>
              <w:pStyle w:val="CSBody8pt"/>
              <w:rPr>
                <w:lang w:val="de-DE"/>
              </w:rPr>
            </w:pPr>
            <w:r w:rsidRPr="00792D61">
              <w:rPr>
                <w:b/>
                <w:lang w:val="de-DE"/>
              </w:rPr>
              <w:t>[</w:t>
            </w:r>
            <w:r w:rsidRPr="002A528D">
              <w:rPr>
                <w:lang w:val="de-DE"/>
              </w:rPr>
              <w:t>bis zu</w:t>
            </w:r>
            <w:r w:rsidRPr="00792D61">
              <w:rPr>
                <w:b/>
                <w:lang w:val="de-DE"/>
              </w:rPr>
              <w:t>]</w:t>
            </w:r>
            <w:r w:rsidRPr="002A528D">
              <w:rPr>
                <w:lang w:val="de-DE"/>
              </w:rPr>
              <w:t xml:space="preserve"> </w:t>
            </w:r>
            <w:r w:rsidRPr="00792D61">
              <w:rPr>
                <w:b/>
                <w:lang w:val="de-DE"/>
              </w:rPr>
              <w:t>[</w:t>
            </w:r>
            <w:r w:rsidRPr="002A528D">
              <w:rPr>
                <w:rFonts w:ascii="Arial" w:hAnsi="Arial" w:cs="Arial"/>
                <w:lang w:val="de-DE"/>
              </w:rPr>
              <w:t>●</w:t>
            </w:r>
            <w:r w:rsidRPr="00792D61">
              <w:rPr>
                <w:b/>
                <w:lang w:val="de-DE"/>
              </w:rPr>
              <w:t>]</w:t>
            </w:r>
            <w:r w:rsidRPr="002A528D">
              <w:rPr>
                <w:lang w:val="de-DE"/>
              </w:rPr>
              <w:t xml:space="preserve">; hierbei handelt es sich um den Betrag je Komplexes Produkt, den </w:t>
            </w:r>
            <w:r w:rsidRPr="00792D61">
              <w:rPr>
                <w:b/>
                <w:lang w:val="de-DE"/>
              </w:rPr>
              <w:t>[</w:t>
            </w:r>
            <w:r w:rsidRPr="002A528D">
              <w:rPr>
                <w:lang w:val="de-DE"/>
              </w:rPr>
              <w:t>die Vertriebsstelle</w:t>
            </w:r>
            <w:r w:rsidRPr="00792D61">
              <w:rPr>
                <w:b/>
                <w:lang w:val="de-DE"/>
              </w:rPr>
              <w:t>][[</w:t>
            </w:r>
            <w:r w:rsidRPr="002A528D">
              <w:rPr>
                <w:rFonts w:ascii="Arial" w:hAnsi="Arial" w:cs="Arial"/>
                <w:lang w:val="de-DE"/>
              </w:rPr>
              <w:t>●</w:t>
            </w:r>
            <w:r w:rsidRPr="00792D61">
              <w:rPr>
                <w:b/>
                <w:lang w:val="de-DE"/>
              </w:rPr>
              <w:t>]]</w:t>
            </w:r>
            <w:r w:rsidRPr="002A528D">
              <w:rPr>
                <w:lang w:val="de-DE"/>
              </w:rPr>
              <w:t xml:space="preserve"> dem jeweiligen Inhaber bei der Emission f</w:t>
            </w:r>
            <w:r w:rsidRPr="002A528D">
              <w:rPr>
                <w:rFonts w:cs="Credit Suisse Type Light"/>
                <w:lang w:val="de-DE"/>
              </w:rPr>
              <w:t>ü</w:t>
            </w:r>
            <w:r w:rsidRPr="002A528D">
              <w:rPr>
                <w:lang w:val="de-DE"/>
              </w:rPr>
              <w:t>r den Kauf in Rechnung stellt.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D08E0" w:rsidP="004C1EBA">
            <w:pPr>
              <w:pStyle w:val="CSBody8pt"/>
              <w:rPr>
                <w:b/>
              </w:rPr>
            </w:pPr>
            <w:r w:rsidRPr="00172464">
              <w:rPr>
                <w:b/>
              </w:rPr>
              <w:t>[</w:t>
            </w:r>
            <w:r>
              <w:t>Distribution Fee</w:t>
            </w:r>
          </w:p>
        </w:tc>
        <w:tc>
          <w:tcPr>
            <w:tcW w:w="3315" w:type="dxa"/>
            <w:gridSpan w:val="7"/>
            <w:tcBorders>
              <w:top w:val="nil"/>
              <w:left w:val="nil"/>
              <w:bottom w:val="nil"/>
            </w:tcBorders>
            <w:shd w:val="clear" w:color="auto" w:fill="auto"/>
          </w:tcPr>
          <w:p w:rsidR="0017135D" w:rsidRPr="00A73B62" w:rsidP="004C1EBA">
            <w:pPr>
              <w:pStyle w:val="CSBody8pt"/>
            </w:pPr>
            <w:r w:rsidRPr="00792D61">
              <w:rPr>
                <w:b/>
              </w:rPr>
              <w:t>[[</w:t>
            </w:r>
            <w:r w:rsidRPr="00172464">
              <w:t>up to</w:t>
            </w:r>
            <w:r w:rsidRPr="00792D61">
              <w:rPr>
                <w:b/>
              </w:rPr>
              <w:t>]</w:t>
            </w:r>
            <w:r>
              <w:rPr>
                <w:b/>
              </w:rPr>
              <w:t xml:space="preserve"> </w:t>
            </w:r>
            <w:r w:rsidRPr="00792D61">
              <w:rPr>
                <w:b/>
              </w:rPr>
              <w:t>[</w:t>
            </w:r>
            <w:r w:rsidRPr="00A07589">
              <w:rPr>
                <w:rFonts w:ascii="Arial" w:hAnsi="Arial" w:cs="Arial"/>
              </w:rPr>
              <w:t>●</w:t>
            </w:r>
            <w:r w:rsidRPr="00792D61">
              <w:rPr>
                <w:b/>
              </w:rPr>
              <w:t>]</w:t>
            </w:r>
            <w:r>
              <w:rPr>
                <w:b/>
              </w:rPr>
              <w:t xml:space="preserve"> </w:t>
            </w:r>
            <w:r w:rsidRPr="00172464">
              <w:t>(in percent of the Denomination and included in the Issue Price)</w:t>
            </w:r>
            <w:r w:rsidRPr="00792D61">
              <w:rPr>
                <w:b/>
              </w:rPr>
              <w:t>]</w:t>
            </w:r>
            <w:r w:rsidRPr="00172464">
              <w:rPr>
                <w:b/>
                <w:sz w:val="22"/>
              </w:rPr>
              <w:t xml:space="preserve"> </w:t>
            </w:r>
            <w:r w:rsidRPr="00172464">
              <w:rPr>
                <w:b/>
              </w:rPr>
              <w:t>[</w:t>
            </w:r>
            <w:r w:rsidRPr="00172464">
              <w:rPr>
                <w:rFonts w:ascii="Arial" w:hAnsi="Arial" w:cs="Arial"/>
                <w:b/>
              </w:rPr>
              <w:t>●</w:t>
            </w:r>
            <w:r w:rsidRPr="00172464">
              <w:rPr>
                <w:b/>
              </w:rPr>
              <w:t>]</w:t>
            </w:r>
            <w:r>
              <w:rPr>
                <w:b/>
              </w:rPr>
              <w:t>.</w:t>
            </w:r>
            <w:r w:rsidRPr="00172464">
              <w:rPr>
                <w:b/>
              </w:rPr>
              <w:t>]</w:t>
            </w:r>
          </w:p>
        </w:tc>
        <w:tc>
          <w:tcPr>
            <w:tcW w:w="1705" w:type="dxa"/>
            <w:gridSpan w:val="3"/>
            <w:tcBorders>
              <w:top w:val="nil"/>
              <w:bottom w:val="nil"/>
              <w:right w:val="nil"/>
            </w:tcBorders>
            <w:shd w:val="clear" w:color="auto" w:fill="auto"/>
          </w:tcPr>
          <w:p w:rsidR="0017135D" w:rsidRPr="00172464" w:rsidP="004C1EBA">
            <w:pPr>
              <w:pStyle w:val="CSBody8pt"/>
              <w:rPr>
                <w:b/>
              </w:rPr>
            </w:pPr>
            <w:r w:rsidRPr="00172464">
              <w:rPr>
                <w:b/>
              </w:rPr>
              <w:t>[</w:t>
            </w:r>
            <w:r w:rsidRPr="00172464">
              <w:t>Vertriebsgebühr</w:t>
            </w:r>
          </w:p>
        </w:tc>
        <w:tc>
          <w:tcPr>
            <w:tcW w:w="3231" w:type="dxa"/>
            <w:gridSpan w:val="9"/>
            <w:tcBorders>
              <w:top w:val="nil"/>
              <w:left w:val="nil"/>
              <w:bottom w:val="nil"/>
              <w:right w:val="nil"/>
            </w:tcBorders>
            <w:shd w:val="clear" w:color="auto" w:fill="auto"/>
          </w:tcPr>
          <w:p w:rsidR="0017135D" w:rsidRPr="00172464" w:rsidP="004C1EBA">
            <w:pPr>
              <w:pStyle w:val="CSBody8pt"/>
              <w:rPr>
                <w:lang w:val="de-DE"/>
              </w:rPr>
            </w:pPr>
            <w:r w:rsidRPr="00172464">
              <w:rPr>
                <w:b/>
                <w:lang w:val="de-DE"/>
              </w:rPr>
              <w:t>[[</w:t>
            </w:r>
            <w:r w:rsidRPr="00172464">
              <w:rPr>
                <w:lang w:val="de-DE"/>
              </w:rPr>
              <w:t>bis zu</w:t>
            </w:r>
            <w:r w:rsidRPr="00172464">
              <w:rPr>
                <w:b/>
                <w:lang w:val="de-DE"/>
              </w:rPr>
              <w:t>] [</w:t>
            </w:r>
            <w:r w:rsidRPr="00172464">
              <w:rPr>
                <w:rFonts w:ascii="Arial" w:hAnsi="Arial" w:cs="Arial"/>
                <w:lang w:val="de-DE"/>
              </w:rPr>
              <w:t>●</w:t>
            </w:r>
            <w:r w:rsidRPr="00172464">
              <w:rPr>
                <w:b/>
                <w:lang w:val="de-DE"/>
              </w:rPr>
              <w:t>] (</w:t>
            </w:r>
            <w:r w:rsidRPr="00172464">
              <w:rPr>
                <w:lang w:val="de-DE"/>
              </w:rPr>
              <w:t>in Prozent der Stückelung und im Emissionspreis enthalten)]</w:t>
            </w:r>
            <w:r w:rsidRPr="00172464">
              <w:rPr>
                <w:b/>
                <w:lang w:val="de-DE"/>
              </w:rPr>
              <w:t xml:space="preserve"> [</w:t>
            </w:r>
            <w:r w:rsidRPr="00172464">
              <w:rPr>
                <w:rFonts w:ascii="Arial" w:hAnsi="Arial" w:cs="Arial"/>
                <w:lang w:val="de-DE"/>
              </w:rPr>
              <w:t>●</w:t>
            </w:r>
            <w:r w:rsidRPr="00172464">
              <w:rPr>
                <w:b/>
                <w:lang w:val="de-DE"/>
              </w:rPr>
              <w:t>]</w:t>
            </w:r>
            <w:r>
              <w:rPr>
                <w:b/>
                <w:lang w:val="de-DE"/>
              </w:rPr>
              <w:t>.</w:t>
            </w:r>
            <w:r w:rsidRPr="00172464">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07589" w:rsidP="00907128">
            <w:pPr>
              <w:pStyle w:val="CSBody8pt"/>
            </w:pPr>
            <w:r w:rsidRPr="00A07589">
              <w:t>Expenses/ Fees charged by the Issuer to the Holders Post-Issuance</w:t>
            </w:r>
          </w:p>
        </w:tc>
        <w:tc>
          <w:tcPr>
            <w:tcW w:w="3315" w:type="dxa"/>
            <w:gridSpan w:val="7"/>
            <w:tcBorders>
              <w:top w:val="nil"/>
              <w:left w:val="nil"/>
              <w:bottom w:val="nil"/>
            </w:tcBorders>
            <w:shd w:val="clear" w:color="auto" w:fill="auto"/>
          </w:tcPr>
          <w:p w:rsidR="0017135D" w:rsidRPr="00A07589" w:rsidP="00907128">
            <w:pPr>
              <w:pStyle w:val="CSBody8pt"/>
            </w:pPr>
            <w:r w:rsidRPr="00792D61">
              <w:rPr>
                <w:b/>
              </w:rPr>
              <w:t>[</w:t>
            </w:r>
            <w:r w:rsidRPr="00A07589">
              <w:t>None</w:t>
            </w:r>
            <w:r w:rsidRPr="00792D61">
              <w:rPr>
                <w:b/>
              </w:rPr>
              <w:t>][[</w:t>
            </w:r>
            <w:r w:rsidRPr="00A07589">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2A528D" w:rsidP="00907128">
            <w:pPr>
              <w:pStyle w:val="CSBody8pt"/>
              <w:rPr>
                <w:lang w:val="de-DE"/>
              </w:rPr>
            </w:pPr>
            <w:r w:rsidRPr="002A528D">
              <w:rPr>
                <w:lang w:val="de-DE"/>
              </w:rPr>
              <w:t>Aufwendungen/Geb</w:t>
            </w:r>
            <w:r w:rsidRPr="002A528D">
              <w:rPr>
                <w:rFonts w:cs="Credit Suisse Type Light"/>
                <w:lang w:val="de-DE"/>
              </w:rPr>
              <w:t>ü</w:t>
            </w:r>
            <w:r w:rsidRPr="002A528D">
              <w:rPr>
                <w:lang w:val="de-DE"/>
              </w:rPr>
              <w:t>hren, die den Inhabern nach der Emission von der Emittentin in Rechnung gestellt werden</w:t>
            </w:r>
          </w:p>
        </w:tc>
        <w:tc>
          <w:tcPr>
            <w:tcW w:w="3231" w:type="dxa"/>
            <w:gridSpan w:val="9"/>
            <w:tcBorders>
              <w:top w:val="nil"/>
              <w:left w:val="nil"/>
              <w:bottom w:val="nil"/>
              <w:right w:val="nil"/>
            </w:tcBorders>
            <w:shd w:val="clear" w:color="auto" w:fill="auto"/>
          </w:tcPr>
          <w:p w:rsidR="0017135D" w:rsidP="00907128">
            <w:pPr>
              <w:pStyle w:val="CSBody8pt"/>
            </w:pPr>
            <w:r w:rsidRPr="00792D61">
              <w:rPr>
                <w:b/>
              </w:rPr>
              <w:t>[</w:t>
            </w:r>
            <w:r w:rsidRPr="00A07589">
              <w:t>Keine</w:t>
            </w:r>
            <w:r w:rsidRPr="00792D61">
              <w:rPr>
                <w:b/>
              </w:rPr>
              <w:t>][[</w:t>
            </w:r>
            <w:r w:rsidRPr="00A07589">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825F8" w:rsidP="00907128">
            <w:pPr>
              <w:pStyle w:val="CSBody8ptbolditalics"/>
            </w:pPr>
            <w:r w:rsidRPr="00792D61">
              <w:t>[[</w:t>
            </w:r>
            <w:r w:rsidRPr="00A825F8">
              <w:t xml:space="preserve">insert any addi-tional fees charged to the Investor, Subscriber or Purchaser: </w:t>
            </w:r>
            <w:r w:rsidRPr="00792D61">
              <w:rPr>
                <w:i w:val="0"/>
              </w:rPr>
              <w:t>[</w:t>
            </w:r>
            <w:r w:rsidRPr="00305516">
              <w:rPr>
                <w:rFonts w:ascii="Arial" w:hAnsi="Arial" w:cs="Arial"/>
                <w:i w:val="0"/>
              </w:rPr>
              <w:t>●</w:t>
            </w:r>
            <w:r w:rsidRPr="00792D61">
              <w:rPr>
                <w:i w:val="0"/>
              </w:rPr>
              <w:t>]</w:t>
            </w:r>
          </w:p>
        </w:tc>
        <w:tc>
          <w:tcPr>
            <w:tcW w:w="3315" w:type="dxa"/>
            <w:gridSpan w:val="7"/>
            <w:tcBorders>
              <w:top w:val="nil"/>
              <w:left w:val="nil"/>
              <w:bottom w:val="nil"/>
            </w:tcBorders>
            <w:shd w:val="clear" w:color="auto" w:fill="auto"/>
          </w:tcPr>
          <w:p w:rsidR="0017135D" w:rsidRPr="00A825F8" w:rsidP="00907128">
            <w:pPr>
              <w:pStyle w:val="CSBody8pt"/>
            </w:pPr>
            <w:r w:rsidRPr="00792D61">
              <w:rPr>
                <w:b/>
              </w:rPr>
              <w:t>[</w:t>
            </w:r>
            <w:r w:rsidRPr="00A825F8">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3C010D" w:rsidP="00E968C0">
            <w:pPr>
              <w:pStyle w:val="CSBody8ptbolditalics"/>
              <w:rPr>
                <w:lang w:val="de-DE"/>
              </w:rPr>
            </w:pPr>
            <w:r w:rsidRPr="00792D61">
              <w:rPr>
                <w:lang w:val="de-DE"/>
              </w:rPr>
              <w:t>[</w:t>
            </w:r>
            <w:r w:rsidRPr="003C010D">
              <w:rPr>
                <w:lang w:val="de-DE"/>
              </w:rPr>
              <w:t>etwaige zus</w:t>
            </w:r>
            <w:r w:rsidRPr="003C010D">
              <w:rPr>
                <w:rFonts w:cs="Credit Suisse Type Light"/>
                <w:lang w:val="de-DE"/>
              </w:rPr>
              <w:t>ä</w:t>
            </w:r>
            <w:r w:rsidRPr="003C010D">
              <w:rPr>
                <w:lang w:val="de-DE"/>
              </w:rPr>
              <w:t>tzliche Geb</w:t>
            </w:r>
            <w:r w:rsidRPr="003C010D">
              <w:rPr>
                <w:rFonts w:cs="Credit Suisse Type Light"/>
                <w:lang w:val="de-DE"/>
              </w:rPr>
              <w:t>ü</w:t>
            </w:r>
            <w:r w:rsidRPr="003C010D">
              <w:rPr>
                <w:lang w:val="de-DE"/>
              </w:rPr>
              <w:t>hren einf</w:t>
            </w:r>
            <w:r w:rsidRPr="003C010D">
              <w:rPr>
                <w:rFonts w:cs="Credit Suisse Type Light"/>
                <w:lang w:val="de-DE"/>
              </w:rPr>
              <w:t>ü</w:t>
            </w:r>
            <w:r w:rsidRPr="003C010D">
              <w:rPr>
                <w:lang w:val="de-DE"/>
              </w:rPr>
              <w:t>gen, die dem Investor, Zeichner bzw. dem K</w:t>
            </w:r>
            <w:r w:rsidRPr="003C010D">
              <w:rPr>
                <w:rFonts w:cs="Credit Suisse Type Light"/>
                <w:lang w:val="de-DE"/>
              </w:rPr>
              <w:t>ä</w:t>
            </w:r>
            <w:r w:rsidRPr="003C010D">
              <w:rPr>
                <w:lang w:val="de-DE"/>
              </w:rPr>
              <w:t xml:space="preserve">ufer gesondert in Rechnung gestellt werden: </w:t>
            </w:r>
            <w:r w:rsidRPr="00792D61">
              <w:rPr>
                <w:i w:val="0"/>
                <w:lang w:val="de-DE"/>
              </w:rPr>
              <w:t>[</w:t>
            </w:r>
            <w:r w:rsidRPr="00305516">
              <w:rPr>
                <w:rFonts w:ascii="Arial" w:hAnsi="Arial" w:cs="Arial"/>
                <w:i w:val="0"/>
                <w:lang w:val="de-DE"/>
              </w:rPr>
              <w:t>●</w:t>
            </w:r>
            <w:r w:rsidRPr="00792D61">
              <w:rPr>
                <w:i w:val="0"/>
                <w:lang w:val="de-DE"/>
              </w:rPr>
              <w:t>]</w:t>
            </w:r>
          </w:p>
        </w:tc>
        <w:tc>
          <w:tcPr>
            <w:tcW w:w="3231" w:type="dxa"/>
            <w:gridSpan w:val="9"/>
            <w:tcBorders>
              <w:top w:val="nil"/>
              <w:left w:val="nil"/>
              <w:bottom w:val="nil"/>
              <w:right w:val="nil"/>
            </w:tcBorders>
            <w:shd w:val="clear" w:color="auto" w:fill="auto"/>
          </w:tcPr>
          <w:p w:rsidR="0017135D" w:rsidRPr="00A825F8" w:rsidP="00907128">
            <w:pPr>
              <w:pStyle w:val="CSBody8pt"/>
            </w:pPr>
            <w:r w:rsidRPr="00792D61">
              <w:rPr>
                <w:b/>
              </w:rPr>
              <w:t>[</w:t>
            </w:r>
            <w:r w:rsidRPr="00A825F8">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17869" w:rsidP="00907128">
            <w:pPr>
              <w:pStyle w:val="CSBody8pt"/>
            </w:pPr>
            <w:r w:rsidRPr="00792D61">
              <w:rPr>
                <w:b/>
              </w:rPr>
              <w:t>[</w:t>
            </w:r>
            <w:r w:rsidRPr="00F17869">
              <w:t xml:space="preserve">Trading </w:t>
            </w:r>
            <w:r w:rsidRPr="00792D61">
              <w:rPr>
                <w:b/>
              </w:rPr>
              <w:t>[</w:t>
            </w:r>
            <w:r w:rsidRPr="00F17869">
              <w:t>and Offering</w:t>
            </w:r>
            <w:r w:rsidRPr="00792D61">
              <w:rPr>
                <w:b/>
              </w:rPr>
              <w:t>]</w:t>
            </w:r>
            <w:r w:rsidRPr="00F17869">
              <w:t xml:space="preserve"> (Secondary Market)</w:t>
            </w:r>
            <w:r w:rsidRPr="00792D61">
              <w:rPr>
                <w:b/>
              </w:rPr>
              <w:t>]</w:t>
            </w:r>
            <w:r w:rsidRPr="00F17869">
              <w:t xml:space="preserve"> </w:t>
            </w:r>
            <w:r w:rsidRPr="00792D61">
              <w:rPr>
                <w:b/>
              </w:rPr>
              <w:t>[</w:t>
            </w:r>
            <w:r w:rsidRPr="00F17869">
              <w:t>Liquidity /Buy Back</w:t>
            </w:r>
            <w:r w:rsidRPr="00792D61">
              <w:rPr>
                <w:b/>
              </w:rPr>
              <w:t>]</w:t>
            </w:r>
          </w:p>
        </w:tc>
        <w:tc>
          <w:tcPr>
            <w:tcW w:w="3315" w:type="dxa"/>
            <w:gridSpan w:val="7"/>
            <w:tcBorders>
              <w:top w:val="nil"/>
              <w:left w:val="nil"/>
              <w:bottom w:val="nil"/>
            </w:tcBorders>
            <w:shd w:val="clear" w:color="auto" w:fill="auto"/>
          </w:tcPr>
          <w:p w:rsidR="0017135D" w:rsidRPr="00F17869" w:rsidP="00907128">
            <w:pPr>
              <w:pStyle w:val="CSBody8pt"/>
            </w:pPr>
            <w:r w:rsidRPr="00792D61">
              <w:rPr>
                <w:b/>
              </w:rPr>
              <w:t>[</w:t>
            </w:r>
            <w:r w:rsidRPr="00F17869">
              <w:t>The Complex Products will be placed directly in the secondary market on market terms.</w:t>
            </w:r>
            <w:r w:rsidRPr="00792D61">
              <w:rPr>
                <w:b/>
              </w:rPr>
              <w:t>]</w:t>
            </w:r>
            <w:r w:rsidRPr="00F17869">
              <w:t xml:space="preserve"> </w:t>
            </w:r>
            <w:r w:rsidRPr="00792D61">
              <w:rPr>
                <w:b/>
              </w:rPr>
              <w:t>[</w:t>
            </w:r>
            <w:r w:rsidRPr="00F17869">
              <w:t xml:space="preserve">Under normal market conditions, </w:t>
            </w:r>
            <w:r w:rsidRPr="00792D61">
              <w:rPr>
                <w:b/>
              </w:rPr>
              <w:t>[</w:t>
            </w:r>
            <w:r w:rsidRPr="00F17869">
              <w:t>Credit Suisse AG, Paradeplatz 8, 8001 Zurich, Switzerland,</w:t>
            </w:r>
            <w:r w:rsidRPr="00792D61">
              <w:rPr>
                <w:b/>
              </w:rPr>
              <w:t>]</w:t>
            </w:r>
            <w:r w:rsidRPr="00F17869">
              <w:t xml:space="preserve"> </w:t>
            </w:r>
            <w:r w:rsidRPr="00792D61">
              <w:rPr>
                <w:b/>
              </w:rPr>
              <w:t>[</w:t>
            </w:r>
            <w:r w:rsidRPr="00F17869">
              <w:t>Credit Suisse International, One Cabot Square, London E14 4QJ, United Kingdom,</w:t>
            </w:r>
            <w:r w:rsidRPr="00792D61">
              <w:rPr>
                <w:b/>
              </w:rPr>
              <w:t>]</w:t>
            </w:r>
            <w:r w:rsidRPr="00F17869">
              <w:t xml:space="preserve"> will endeavour to provide a secondary market</w:t>
            </w:r>
            <w:r w:rsidRPr="00792D61">
              <w:rPr>
                <w:b/>
              </w:rPr>
              <w:t>[</w:t>
            </w:r>
            <w:r w:rsidRPr="00F17869">
              <w:t xml:space="preserve"> with a bidask spread of </w:t>
            </w:r>
            <w:r w:rsidRPr="00792D61">
              <w:rPr>
                <w:b/>
              </w:rPr>
              <w:t>[</w:t>
            </w:r>
            <w:r w:rsidRPr="00F17869">
              <w:rPr>
                <w:rFonts w:ascii="Arial" w:hAnsi="Arial" w:cs="Arial"/>
              </w:rPr>
              <w:t>●</w:t>
            </w:r>
            <w:r w:rsidRPr="00792D61">
              <w:rPr>
                <w:b/>
              </w:rPr>
              <w:t>]</w:t>
            </w:r>
            <w:r w:rsidRPr="00F17869">
              <w:t xml:space="preserve">% </w:t>
            </w:r>
            <w:r w:rsidRPr="00792D61">
              <w:rPr>
                <w:b/>
              </w:rPr>
              <w:t>[</w:t>
            </w:r>
            <w:r w:rsidRPr="00F17869">
              <w:t xml:space="preserve">and a size of </w:t>
            </w:r>
            <w:r w:rsidRPr="00792D61">
              <w:rPr>
                <w:b/>
              </w:rPr>
              <w:t>[</w:t>
            </w:r>
            <w:r w:rsidRPr="00F17869">
              <w:rPr>
                <w:rFonts w:ascii="Arial" w:hAnsi="Arial" w:cs="Arial"/>
              </w:rPr>
              <w:t>●</w:t>
            </w:r>
            <w:r w:rsidRPr="00792D61">
              <w:rPr>
                <w:b/>
              </w:rPr>
              <w:t>]]]</w:t>
            </w:r>
            <w:r w:rsidRPr="00F17869">
              <w:t>, but is under no legal obligation to do so.</w:t>
            </w:r>
            <w:r w:rsidRPr="00792D61">
              <w:rPr>
                <w:b/>
              </w:rPr>
              <w:t>]</w:t>
            </w:r>
          </w:p>
        </w:tc>
        <w:tc>
          <w:tcPr>
            <w:tcW w:w="1705" w:type="dxa"/>
            <w:gridSpan w:val="3"/>
            <w:tcBorders>
              <w:top w:val="nil"/>
              <w:bottom w:val="nil"/>
              <w:right w:val="nil"/>
            </w:tcBorders>
            <w:shd w:val="clear" w:color="auto" w:fill="auto"/>
          </w:tcPr>
          <w:p w:rsidR="0017135D" w:rsidRPr="00F17869" w:rsidP="00CB4335">
            <w:pPr>
              <w:pStyle w:val="CSBody8pt"/>
              <w:rPr>
                <w:lang w:val="de-DE"/>
              </w:rPr>
            </w:pPr>
            <w:r w:rsidRPr="00792D61">
              <w:rPr>
                <w:b/>
                <w:lang w:val="de-DE"/>
              </w:rPr>
              <w:t>[</w:t>
            </w:r>
            <w:r w:rsidRPr="00F17869">
              <w:rPr>
                <w:lang w:val="de-DE"/>
              </w:rPr>
              <w:t xml:space="preserve">Handel </w:t>
            </w:r>
            <w:r w:rsidRPr="00792D61">
              <w:rPr>
                <w:b/>
                <w:lang w:val="de-DE"/>
              </w:rPr>
              <w:t>[</w:t>
            </w:r>
            <w:r w:rsidRPr="00F17869">
              <w:rPr>
                <w:lang w:val="de-DE"/>
              </w:rPr>
              <w:t>und Angebot</w:t>
            </w:r>
            <w:r w:rsidRPr="00792D61">
              <w:rPr>
                <w:b/>
                <w:lang w:val="de-DE"/>
              </w:rPr>
              <w:t>]</w:t>
            </w:r>
            <w:r w:rsidRPr="00F17869">
              <w:rPr>
                <w:lang w:val="de-DE"/>
              </w:rPr>
              <w:t xml:space="preserve"> (Sekundärmarkt)</w:t>
            </w:r>
            <w:r w:rsidRPr="00792D61">
              <w:rPr>
                <w:b/>
                <w:lang w:val="de-DE"/>
              </w:rPr>
              <w:t>]</w:t>
            </w:r>
            <w:r w:rsidRPr="00F17869">
              <w:rPr>
                <w:lang w:val="de-DE"/>
              </w:rPr>
              <w:t xml:space="preserve"> </w:t>
            </w:r>
            <w:r w:rsidRPr="00792D61">
              <w:rPr>
                <w:b/>
                <w:lang w:val="de-DE"/>
              </w:rPr>
              <w:t>[</w:t>
            </w:r>
            <w:r w:rsidRPr="00F17869">
              <w:rPr>
                <w:lang w:val="de-DE"/>
              </w:rPr>
              <w:t>Liquidität /Rückkauf</w:t>
            </w:r>
            <w:r w:rsidRPr="00792D61">
              <w:rPr>
                <w:b/>
                <w:lang w:val="de-DE"/>
              </w:rPr>
              <w:t>]</w:t>
            </w:r>
          </w:p>
        </w:tc>
        <w:tc>
          <w:tcPr>
            <w:tcW w:w="3231" w:type="dxa"/>
            <w:gridSpan w:val="9"/>
            <w:tcBorders>
              <w:top w:val="nil"/>
              <w:left w:val="nil"/>
              <w:bottom w:val="nil"/>
              <w:right w:val="nil"/>
            </w:tcBorders>
            <w:shd w:val="clear" w:color="auto" w:fill="auto"/>
          </w:tcPr>
          <w:p w:rsidR="0017135D" w:rsidRPr="00E968C0" w:rsidP="00E968C0">
            <w:pPr>
              <w:pStyle w:val="CSBody8pt"/>
              <w:rPr>
                <w:lang w:val="de-DE"/>
              </w:rPr>
            </w:pPr>
            <w:r w:rsidRPr="00792D61">
              <w:rPr>
                <w:b/>
                <w:lang w:val="de-DE"/>
              </w:rPr>
              <w:t>[</w:t>
            </w:r>
            <w:r w:rsidRPr="00F17869">
              <w:rPr>
                <w:lang w:val="de-DE"/>
              </w:rPr>
              <w:t>Die Platzierung der Komplexen Produkte erfolgt direkt am Sekundärmarkt zu Marktkonditionen.</w:t>
            </w:r>
            <w:r w:rsidRPr="00792D61">
              <w:rPr>
                <w:b/>
                <w:lang w:val="de-DE"/>
              </w:rPr>
              <w:t>]</w:t>
            </w:r>
            <w:r w:rsidRPr="00F17869">
              <w:rPr>
                <w:lang w:val="de-DE"/>
              </w:rPr>
              <w:t xml:space="preserve"> </w:t>
            </w:r>
            <w:r w:rsidRPr="00792D61">
              <w:rPr>
                <w:b/>
                <w:lang w:val="de-DE"/>
              </w:rPr>
              <w:t>[</w:t>
            </w:r>
            <w:r w:rsidRPr="00F17869">
              <w:rPr>
                <w:lang w:val="de-DE"/>
              </w:rPr>
              <w:t xml:space="preserve">Unter normalen Marktbedingungen wird sich die </w:t>
            </w:r>
            <w:r w:rsidRPr="00792D61">
              <w:rPr>
                <w:b/>
                <w:lang w:val="de-DE"/>
              </w:rPr>
              <w:t>[</w:t>
            </w:r>
            <w:r w:rsidRPr="00F17869">
              <w:rPr>
                <w:lang w:val="de-DE"/>
              </w:rPr>
              <w:t xml:space="preserve">Credit Suisse AG, Paradeplatz 8, </w:t>
            </w:r>
            <w:r>
              <w:rPr>
                <w:lang w:val="de-DE"/>
              </w:rPr>
              <w:t xml:space="preserve">8001 </w:t>
            </w:r>
            <w:r w:rsidRPr="00F17869">
              <w:rPr>
                <w:lang w:val="de-DE"/>
              </w:rPr>
              <w:t>Zürich, Schweiz,</w:t>
            </w:r>
            <w:r w:rsidRPr="00792D61">
              <w:rPr>
                <w:b/>
                <w:lang w:val="de-DE"/>
              </w:rPr>
              <w:t>][</w:t>
            </w:r>
            <w:r w:rsidRPr="00F17869">
              <w:rPr>
                <w:lang w:val="de-DE"/>
              </w:rPr>
              <w:t>Credit Suisse International, One Cabot Square, London E14 4QJ, Vereinigtes Königreich,</w:t>
            </w:r>
            <w:r w:rsidRPr="00792D61">
              <w:rPr>
                <w:b/>
                <w:lang w:val="de-DE"/>
              </w:rPr>
              <w:t>]</w:t>
            </w:r>
            <w:r w:rsidRPr="00F17869">
              <w:rPr>
                <w:lang w:val="de-DE"/>
              </w:rPr>
              <w:t xml:space="preserve"> bemühen, einen Sekundärmarkt </w:t>
            </w:r>
            <w:r w:rsidRPr="00792D61">
              <w:rPr>
                <w:b/>
                <w:lang w:val="de-DE"/>
              </w:rPr>
              <w:t>[</w:t>
            </w:r>
            <w:r w:rsidRPr="00F17869">
              <w:rPr>
                <w:lang w:val="de-DE"/>
              </w:rPr>
              <w:t>mit einem Spread zwischen An</w:t>
            </w:r>
            <w:r>
              <w:rPr>
                <w:lang w:val="de-DE"/>
              </w:rPr>
              <w:t>-</w:t>
            </w:r>
            <w:r w:rsidRPr="00F17869">
              <w:rPr>
                <w:lang w:val="de-DE"/>
              </w:rPr>
              <w:t xml:space="preserve"> und Verkaufspreisen von </w:t>
            </w:r>
            <w:r w:rsidRPr="00792D61">
              <w:rPr>
                <w:b/>
                <w:lang w:val="de-DE"/>
              </w:rPr>
              <w:t>[</w:t>
            </w:r>
            <w:r w:rsidRPr="00F17869">
              <w:rPr>
                <w:rFonts w:ascii="Arial" w:hAnsi="Arial" w:cs="Arial"/>
                <w:lang w:val="de-DE"/>
              </w:rPr>
              <w:t>●</w:t>
            </w:r>
            <w:r w:rsidRPr="00792D61">
              <w:rPr>
                <w:b/>
                <w:lang w:val="de-DE"/>
              </w:rPr>
              <w:t>]</w:t>
            </w:r>
            <w:r w:rsidRPr="00F17869">
              <w:rPr>
                <w:lang w:val="de-DE"/>
              </w:rPr>
              <w:t xml:space="preserve">% </w:t>
            </w:r>
            <w:r w:rsidRPr="00792D61">
              <w:rPr>
                <w:b/>
                <w:lang w:val="de-DE"/>
              </w:rPr>
              <w:t>[</w:t>
            </w:r>
            <w:r w:rsidRPr="00F17869">
              <w:rPr>
                <w:lang w:val="de-DE"/>
              </w:rPr>
              <w:t xml:space="preserve">und einem Volumen von </w:t>
            </w:r>
            <w:r w:rsidRPr="00792D61">
              <w:rPr>
                <w:b/>
                <w:lang w:val="de-DE"/>
              </w:rPr>
              <w:t>[</w:t>
            </w:r>
            <w:r w:rsidRPr="00F17869">
              <w:rPr>
                <w:rFonts w:ascii="Arial" w:hAnsi="Arial" w:cs="Arial"/>
                <w:lang w:val="de-DE"/>
              </w:rPr>
              <w:t>●</w:t>
            </w:r>
            <w:r w:rsidRPr="00792D61">
              <w:rPr>
                <w:b/>
                <w:lang w:val="de-DE"/>
              </w:rPr>
              <w:t>]]]</w:t>
            </w:r>
            <w:r w:rsidRPr="00F17869">
              <w:rPr>
                <w:lang w:val="de-DE"/>
              </w:rPr>
              <w:t xml:space="preserve"> zu stellen. Eine rechtliche Verpflichtung hierzu besteht jedoch nicht.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968C0" w:rsidP="00907128">
            <w:pPr>
              <w:pStyle w:val="CSBody8ptbolditalics"/>
              <w:rPr>
                <w:lang w:val="de-DE"/>
              </w:rPr>
            </w:pPr>
          </w:p>
        </w:tc>
        <w:tc>
          <w:tcPr>
            <w:tcW w:w="3315" w:type="dxa"/>
            <w:gridSpan w:val="7"/>
            <w:tcBorders>
              <w:top w:val="nil"/>
              <w:left w:val="nil"/>
              <w:bottom w:val="nil"/>
            </w:tcBorders>
            <w:shd w:val="clear" w:color="auto" w:fill="auto"/>
          </w:tcPr>
          <w:p w:rsidR="0017135D" w:rsidRPr="00C35065" w:rsidP="00907128">
            <w:pPr>
              <w:pStyle w:val="CSBody8ptbolditalics"/>
            </w:pPr>
            <w:r w:rsidRPr="00792D61">
              <w:t>[</w:t>
            </w:r>
            <w:r w:rsidRPr="00C35065">
              <w:t xml:space="preserve">insert any other provisions regarding the secondary market, including market-making: </w:t>
            </w:r>
            <w:r w:rsidRPr="00792D61">
              <w:t>[</w:t>
            </w:r>
            <w:r w:rsidRPr="00C35065">
              <w:rPr>
                <w:rFonts w:ascii="Arial" w:hAnsi="Arial" w:cs="Arial"/>
              </w:rPr>
              <w:t>●</w:t>
            </w:r>
            <w:r w:rsidRPr="00792D61">
              <w:t>]]</w:t>
            </w:r>
          </w:p>
        </w:tc>
        <w:tc>
          <w:tcPr>
            <w:tcW w:w="1705" w:type="dxa"/>
            <w:gridSpan w:val="3"/>
            <w:tcBorders>
              <w:top w:val="nil"/>
              <w:bottom w:val="nil"/>
              <w:right w:val="nil"/>
            </w:tcBorders>
            <w:shd w:val="clear" w:color="auto" w:fill="auto"/>
          </w:tcPr>
          <w:p w:rsidR="0017135D" w:rsidRPr="003C010D" w:rsidP="00907128">
            <w:pPr>
              <w:pStyle w:val="CSBody8ptbolditalics"/>
            </w:pPr>
          </w:p>
        </w:tc>
        <w:tc>
          <w:tcPr>
            <w:tcW w:w="3231" w:type="dxa"/>
            <w:gridSpan w:val="9"/>
            <w:tcBorders>
              <w:top w:val="nil"/>
              <w:left w:val="nil"/>
              <w:bottom w:val="nil"/>
              <w:right w:val="nil"/>
            </w:tcBorders>
            <w:shd w:val="clear" w:color="auto" w:fill="auto"/>
          </w:tcPr>
          <w:p w:rsidR="0017135D" w:rsidRPr="005775A2" w:rsidP="00907128">
            <w:pPr>
              <w:pStyle w:val="CSBody8ptbolditalics"/>
              <w:rPr>
                <w:lang w:val="de-DE"/>
              </w:rPr>
            </w:pPr>
            <w:r w:rsidRPr="00792D61">
              <w:rPr>
                <w:lang w:val="de-DE"/>
              </w:rPr>
              <w:t>[</w:t>
            </w:r>
            <w:r w:rsidRPr="005775A2">
              <w:rPr>
                <w:lang w:val="de-DE"/>
              </w:rPr>
              <w:t xml:space="preserve">andere Bestimmungen betreffend den Sekundärmarkt einfügen, einschliesslich Bestimmungen betreffend das Market-Making: </w:t>
            </w:r>
            <w:r w:rsidRPr="00792D61">
              <w:rPr>
                <w:lang w:val="de-DE"/>
              </w:rPr>
              <w:t>[</w:t>
            </w:r>
            <w:r w:rsidRPr="005775A2">
              <w:rPr>
                <w:rFonts w:ascii="Arial" w:hAnsi="Arial" w:cs="Arial"/>
                <w:lang w:val="de-DE"/>
              </w:rPr>
              <w:t>●</w:t>
            </w:r>
            <w:r w:rsidRPr="00792D61">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775A2" w:rsidP="00907128">
            <w:pPr>
              <w:pStyle w:val="CSBody8pt"/>
              <w:rPr>
                <w:lang w:val="de-DE"/>
              </w:rPr>
            </w:pPr>
          </w:p>
        </w:tc>
        <w:tc>
          <w:tcPr>
            <w:tcW w:w="3315" w:type="dxa"/>
            <w:gridSpan w:val="7"/>
            <w:tcBorders>
              <w:top w:val="nil"/>
              <w:left w:val="nil"/>
              <w:bottom w:val="nil"/>
            </w:tcBorders>
            <w:shd w:val="clear" w:color="auto" w:fill="auto"/>
          </w:tcPr>
          <w:p w:rsidR="0017135D" w:rsidP="00907128">
            <w:pPr>
              <w:pStyle w:val="CSBody8pt"/>
            </w:pPr>
            <w:r w:rsidRPr="00792D61">
              <w:rPr>
                <w:b/>
              </w:rPr>
              <w:t>[</w:t>
            </w:r>
            <w:r w:rsidRPr="00C35065">
              <w:t xml:space="preserve">The Complex Products are </w:t>
            </w:r>
            <w:r w:rsidRPr="00792D61">
              <w:rPr>
                <w:b/>
              </w:rPr>
              <w:t>[</w:t>
            </w:r>
            <w:r w:rsidRPr="00C35065">
              <w:t>traded</w:t>
            </w:r>
            <w:r w:rsidRPr="00792D61">
              <w:rPr>
                <w:b/>
              </w:rPr>
              <w:t>][</w:t>
            </w:r>
            <w:r w:rsidRPr="00C35065">
              <w:t>quoted</w:t>
            </w:r>
            <w:r w:rsidRPr="00792D61">
              <w:rPr>
                <w:b/>
              </w:rPr>
              <w:t>]</w:t>
            </w:r>
            <w:r w:rsidRPr="00C35065">
              <w:t xml:space="preserve"> in </w:t>
            </w:r>
            <w:r w:rsidRPr="00792D61">
              <w:rPr>
                <w:b/>
              </w:rPr>
              <w:t>[</w:t>
            </w:r>
            <w:r w:rsidRPr="00C35065">
              <w:t>units</w:t>
            </w:r>
            <w:r w:rsidRPr="00792D61">
              <w:rPr>
                <w:b/>
              </w:rPr>
              <w:t>][</w:t>
            </w:r>
            <w:r w:rsidRPr="00C35065">
              <w:t xml:space="preserve"> percentage of the Denomination</w:t>
            </w:r>
            <w:r w:rsidRPr="00792D61">
              <w:rPr>
                <w:b/>
              </w:rPr>
              <w:t>]</w:t>
            </w:r>
            <w:r w:rsidRPr="00C35065">
              <w:t xml:space="preserve"> </w:t>
            </w:r>
            <w:r w:rsidRPr="00792D61">
              <w:rPr>
                <w:b/>
              </w:rPr>
              <w:t>[</w:t>
            </w:r>
            <w:r w:rsidRPr="00C35065">
              <w:t>at a full price (dirty price), including interest</w:t>
            </w:r>
            <w:r w:rsidRPr="00792D61">
              <w:rPr>
                <w:b/>
              </w:rPr>
              <w:t>][</w:t>
            </w:r>
            <w:r w:rsidRPr="00C35065">
              <w:t xml:space="preserve">at a clean price, </w:t>
            </w:r>
            <w:r w:rsidRPr="007E3558">
              <w:rPr>
                <w:i/>
              </w:rPr>
              <w:t>i.e.</w:t>
            </w:r>
            <w:r w:rsidRPr="00C35065">
              <w:t>, the trading price does not contain accrued interest, which is calculated separately</w:t>
            </w:r>
            <w:r w:rsidRPr="00792D61">
              <w:rPr>
                <w:b/>
              </w:rPr>
              <w:t>]</w:t>
            </w:r>
            <w:r w:rsidRPr="00C35065">
              <w:t>, and are booked accordingly.</w:t>
            </w:r>
            <w:r w:rsidRPr="00792D61">
              <w:rPr>
                <w:b/>
              </w:rPr>
              <w:t>]</w:t>
            </w:r>
          </w:p>
        </w:tc>
        <w:tc>
          <w:tcPr>
            <w:tcW w:w="1705" w:type="dxa"/>
            <w:gridSpan w:val="3"/>
            <w:tcBorders>
              <w:top w:val="nil"/>
              <w:bottom w:val="nil"/>
              <w:right w:val="nil"/>
            </w:tcBorders>
            <w:shd w:val="clear" w:color="auto" w:fill="auto"/>
          </w:tcPr>
          <w:p w:rsidR="0017135D" w:rsidRPr="003C010D" w:rsidP="00907128">
            <w:pPr>
              <w:pStyle w:val="CSBody8pt"/>
            </w:pPr>
          </w:p>
        </w:tc>
        <w:tc>
          <w:tcPr>
            <w:tcW w:w="3231" w:type="dxa"/>
            <w:gridSpan w:val="9"/>
            <w:tcBorders>
              <w:top w:val="nil"/>
              <w:left w:val="nil"/>
              <w:bottom w:val="nil"/>
              <w:right w:val="nil"/>
            </w:tcBorders>
            <w:shd w:val="clear" w:color="auto" w:fill="auto"/>
          </w:tcPr>
          <w:p w:rsidR="0017135D" w:rsidRPr="005775A2" w:rsidP="004C1EBA">
            <w:pPr>
              <w:pStyle w:val="CSBody8pt"/>
              <w:rPr>
                <w:lang w:val="de-DE"/>
              </w:rPr>
            </w:pPr>
            <w:r w:rsidRPr="00792D61">
              <w:rPr>
                <w:b/>
                <w:lang w:val="de-DE"/>
              </w:rPr>
              <w:t>[[</w:t>
            </w:r>
            <w:r w:rsidRPr="005775A2">
              <w:rPr>
                <w:lang w:val="de-DE"/>
              </w:rPr>
              <w:t>Für die</w:t>
            </w:r>
            <w:r w:rsidRPr="00792D61">
              <w:rPr>
                <w:b/>
                <w:lang w:val="de-DE"/>
              </w:rPr>
              <w:t>][</w:t>
            </w:r>
            <w:r w:rsidRPr="005775A2">
              <w:rPr>
                <w:lang w:val="de-DE"/>
              </w:rPr>
              <w:t>Die</w:t>
            </w:r>
            <w:r w:rsidRPr="00792D61">
              <w:rPr>
                <w:b/>
                <w:lang w:val="de-DE"/>
              </w:rPr>
              <w:t>]</w:t>
            </w:r>
            <w:r w:rsidRPr="005775A2">
              <w:rPr>
                <w:lang w:val="de-DE"/>
              </w:rPr>
              <w:t xml:space="preserve"> Komplexen Produkte werden </w:t>
            </w:r>
            <w:r w:rsidRPr="00792D61">
              <w:rPr>
                <w:b/>
                <w:lang w:val="de-DE"/>
              </w:rPr>
              <w:t>[</w:t>
            </w:r>
            <w:r>
              <w:rPr>
                <w:lang w:val="de-DE"/>
              </w:rPr>
              <w:t>Kaufpreise gestellt</w:t>
            </w:r>
            <w:r w:rsidRPr="00792D61">
              <w:rPr>
                <w:b/>
                <w:lang w:val="de-DE"/>
              </w:rPr>
              <w:t>]</w:t>
            </w:r>
            <w:r>
              <w:rPr>
                <w:lang w:val="de-DE"/>
              </w:rPr>
              <w:t xml:space="preserve"> </w:t>
            </w:r>
            <w:r w:rsidRPr="00792D61">
              <w:rPr>
                <w:b/>
                <w:lang w:val="de-DE"/>
              </w:rPr>
              <w:t>[</w:t>
            </w:r>
            <w:r w:rsidRPr="005775A2">
              <w:rPr>
                <w:lang w:val="de-DE"/>
              </w:rPr>
              <w:t>in</w:t>
            </w:r>
            <w:r w:rsidRPr="00792D61">
              <w:rPr>
                <w:b/>
                <w:lang w:val="de-DE"/>
              </w:rPr>
              <w:t>][</w:t>
            </w:r>
            <w:r w:rsidRPr="005775A2">
              <w:rPr>
                <w:lang w:val="de-DE"/>
              </w:rPr>
              <w:t>als</w:t>
            </w:r>
            <w:r w:rsidRPr="00792D61">
              <w:rPr>
                <w:b/>
                <w:lang w:val="de-DE"/>
              </w:rPr>
              <w:t>]</w:t>
            </w:r>
            <w:r w:rsidRPr="005775A2">
              <w:rPr>
                <w:lang w:val="de-DE"/>
              </w:rPr>
              <w:t xml:space="preserve"> </w:t>
            </w:r>
            <w:r w:rsidRPr="00792D61">
              <w:rPr>
                <w:b/>
                <w:lang w:val="de-DE"/>
              </w:rPr>
              <w:t>[</w:t>
            </w:r>
            <w:r w:rsidRPr="005775A2">
              <w:rPr>
                <w:lang w:val="de-DE"/>
              </w:rPr>
              <w:t>Stücknotiz</w:t>
            </w:r>
            <w:r w:rsidRPr="00792D61">
              <w:rPr>
                <w:b/>
                <w:lang w:val="de-DE"/>
              </w:rPr>
              <w:t>][</w:t>
            </w:r>
            <w:r w:rsidRPr="005775A2">
              <w:rPr>
                <w:lang w:val="de-DE"/>
              </w:rPr>
              <w:t>Prozentnotiz</w:t>
            </w:r>
            <w:r w:rsidRPr="00792D61">
              <w:rPr>
                <w:b/>
                <w:lang w:val="de-DE"/>
              </w:rPr>
              <w:t>]</w:t>
            </w:r>
            <w:r w:rsidRPr="005775A2">
              <w:rPr>
                <w:lang w:val="de-DE"/>
              </w:rPr>
              <w:t xml:space="preserve"> </w:t>
            </w:r>
            <w:r w:rsidRPr="00792D61">
              <w:rPr>
                <w:b/>
                <w:lang w:val="de-DE"/>
              </w:rPr>
              <w:t>[</w:t>
            </w:r>
            <w:r w:rsidRPr="005775A2">
              <w:rPr>
                <w:lang w:val="de-DE"/>
              </w:rPr>
              <w:t>zum Bruttokurs (dirty price), einschliesslich Ansprüchen auf Zinsen</w:t>
            </w:r>
            <w:r w:rsidRPr="00792D61">
              <w:rPr>
                <w:b/>
                <w:lang w:val="de-DE"/>
              </w:rPr>
              <w:t>][</w:t>
            </w:r>
            <w:r w:rsidRPr="005775A2">
              <w:rPr>
                <w:lang w:val="de-DE"/>
              </w:rPr>
              <w:t>zum Nettokurs (clean price) (d .h. der Börsenkurs enthält keine aufgelaufenen Zinsen, die gesondert berechnet werden)</w:t>
            </w:r>
            <w:r w:rsidRPr="00792D61">
              <w:rPr>
                <w:b/>
                <w:lang w:val="de-DE"/>
              </w:rPr>
              <w:t>]</w:t>
            </w:r>
            <w:r w:rsidRPr="005775A2">
              <w:rPr>
                <w:lang w:val="de-DE"/>
              </w:rPr>
              <w:t xml:space="preserve">, </w:t>
            </w:r>
            <w:r w:rsidRPr="00792D61">
              <w:rPr>
                <w:b/>
                <w:lang w:val="de-DE"/>
              </w:rPr>
              <w:t>[</w:t>
            </w:r>
            <w:r w:rsidRPr="005775A2">
              <w:rPr>
                <w:lang w:val="de-DE"/>
              </w:rPr>
              <w:t>gehandelt</w:t>
            </w:r>
            <w:r w:rsidRPr="00792D61">
              <w:rPr>
                <w:b/>
                <w:lang w:val="de-DE"/>
              </w:rPr>
              <w:t>][]</w:t>
            </w:r>
            <w:r w:rsidRPr="005775A2">
              <w:rPr>
                <w:lang w:val="de-DE"/>
              </w:rPr>
              <w:t xml:space="preserve"> und entsprechend verbucht.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775A2" w:rsidP="00907128">
            <w:pPr>
              <w:pStyle w:val="CSBody8pt"/>
              <w:rPr>
                <w:lang w:val="de-DE"/>
              </w:rPr>
            </w:pPr>
          </w:p>
        </w:tc>
        <w:tc>
          <w:tcPr>
            <w:tcW w:w="3315" w:type="dxa"/>
            <w:gridSpan w:val="7"/>
            <w:tcBorders>
              <w:top w:val="nil"/>
              <w:left w:val="nil"/>
              <w:bottom w:val="nil"/>
            </w:tcBorders>
            <w:shd w:val="clear" w:color="auto" w:fill="auto"/>
          </w:tcPr>
          <w:p w:rsidR="0017135D" w:rsidRPr="005775A2" w:rsidP="00CB4335">
            <w:pPr>
              <w:pStyle w:val="CSBody8pt"/>
            </w:pPr>
            <w:r w:rsidRPr="00792D61">
              <w:rPr>
                <w:b/>
              </w:rPr>
              <w:t>[</w:t>
            </w:r>
            <w:r w:rsidRPr="005775A2">
              <w:t xml:space="preserve">Indicative trading prices may be obtained on </w:t>
            </w:r>
            <w:r w:rsidRPr="00792D61">
              <w:rPr>
                <w:b/>
              </w:rPr>
              <w:t>[</w:t>
            </w:r>
            <w:r w:rsidRPr="005775A2">
              <w:t xml:space="preserve">Reuters </w:t>
            </w:r>
            <w:r w:rsidRPr="00792D61">
              <w:rPr>
                <w:b/>
              </w:rPr>
              <w:t>[</w:t>
            </w:r>
            <w:r w:rsidRPr="000F4148">
              <w:rPr>
                <w:rFonts w:ascii="Arial" w:hAnsi="Arial" w:cs="Arial"/>
              </w:rPr>
              <w:t>●</w:t>
            </w:r>
            <w:r w:rsidRPr="00792D61">
              <w:rPr>
                <w:b/>
              </w:rPr>
              <w:t>]][</w:t>
            </w:r>
            <w:r w:rsidRPr="005775A2">
              <w:t>and</w:t>
            </w:r>
            <w:r w:rsidRPr="00792D61">
              <w:rPr>
                <w:b/>
              </w:rPr>
              <w:t>][</w:t>
            </w:r>
            <w:r w:rsidRPr="005775A2">
              <w:t xml:space="preserve">Bloomberg </w:t>
            </w:r>
            <w:r w:rsidRPr="00792D61">
              <w:rPr>
                <w:b/>
              </w:rPr>
              <w:t>[</w:t>
            </w:r>
            <w:r w:rsidRPr="000F4148">
              <w:rPr>
                <w:rFonts w:ascii="Arial" w:hAnsi="Arial" w:cs="Arial"/>
              </w:rPr>
              <w:t>●</w:t>
            </w:r>
            <w:r w:rsidRPr="00792D61">
              <w:rPr>
                <w:b/>
              </w:rPr>
              <w:t>]][</w:t>
            </w:r>
            <w:r w:rsidRPr="000F4148">
              <w:rPr>
                <w:rFonts w:ascii="Arial" w:hAnsi="Arial" w:cs="Arial"/>
              </w:rPr>
              <w:t>●</w:t>
            </w:r>
            <w:r w:rsidRPr="00792D61">
              <w:rPr>
                <w:b/>
              </w:rPr>
              <w:t>]</w:t>
            </w:r>
            <w:r w:rsidRPr="005775A2">
              <w:t>.</w:t>
            </w:r>
            <w:r w:rsidRPr="00792D61">
              <w:rPr>
                <w:b/>
              </w:rPr>
              <w:t>]</w:t>
            </w:r>
          </w:p>
        </w:tc>
        <w:tc>
          <w:tcPr>
            <w:tcW w:w="1705" w:type="dxa"/>
            <w:gridSpan w:val="3"/>
            <w:tcBorders>
              <w:top w:val="nil"/>
              <w:bottom w:val="nil"/>
              <w:right w:val="nil"/>
            </w:tcBorders>
            <w:shd w:val="clear" w:color="auto" w:fill="auto"/>
          </w:tcPr>
          <w:p w:rsidR="0017135D" w:rsidRPr="005775A2" w:rsidP="00907128">
            <w:pPr>
              <w:pStyle w:val="CSBody8pt"/>
            </w:pPr>
          </w:p>
        </w:tc>
        <w:tc>
          <w:tcPr>
            <w:tcW w:w="3231" w:type="dxa"/>
            <w:gridSpan w:val="9"/>
            <w:tcBorders>
              <w:top w:val="nil"/>
              <w:left w:val="nil"/>
              <w:bottom w:val="nil"/>
              <w:right w:val="nil"/>
            </w:tcBorders>
            <w:shd w:val="clear" w:color="auto" w:fill="auto"/>
          </w:tcPr>
          <w:p w:rsidR="0017135D" w:rsidRPr="005775A2" w:rsidP="00CB4335">
            <w:pPr>
              <w:pStyle w:val="CSBody8pt"/>
              <w:rPr>
                <w:lang w:val="de-DE"/>
              </w:rPr>
            </w:pPr>
            <w:r w:rsidRPr="00792D61">
              <w:rPr>
                <w:b/>
                <w:lang w:val="de-DE"/>
              </w:rPr>
              <w:t>[</w:t>
            </w:r>
            <w:r w:rsidRPr="005775A2">
              <w:rPr>
                <w:lang w:val="de-DE"/>
              </w:rPr>
              <w:t xml:space="preserve">Indikative Preise sind über </w:t>
            </w:r>
            <w:r w:rsidRPr="00792D61">
              <w:rPr>
                <w:b/>
                <w:lang w:val="de-DE"/>
              </w:rPr>
              <w:t>[</w:t>
            </w:r>
            <w:r w:rsidRPr="005775A2">
              <w:rPr>
                <w:lang w:val="de-DE"/>
              </w:rPr>
              <w:t xml:space="preserve">Reuters </w:t>
            </w:r>
            <w:r w:rsidRPr="00792D61">
              <w:rPr>
                <w:b/>
                <w:lang w:val="de-DE"/>
              </w:rPr>
              <w:t>[</w:t>
            </w:r>
            <w:r w:rsidRPr="000F4148">
              <w:rPr>
                <w:rFonts w:ascii="Arial" w:hAnsi="Arial" w:cs="Arial"/>
                <w:lang w:val="de-DE"/>
              </w:rPr>
              <w:t>●</w:t>
            </w:r>
            <w:r w:rsidRPr="00792D61">
              <w:rPr>
                <w:b/>
                <w:lang w:val="de-DE"/>
              </w:rPr>
              <w:t>]][</w:t>
            </w:r>
            <w:r w:rsidRPr="005775A2">
              <w:rPr>
                <w:lang w:val="de-DE"/>
              </w:rPr>
              <w:t>und</w:t>
            </w:r>
            <w:r w:rsidRPr="00792D61">
              <w:rPr>
                <w:b/>
                <w:lang w:val="de-DE"/>
              </w:rPr>
              <w:t>][</w:t>
            </w:r>
            <w:r w:rsidRPr="005775A2">
              <w:rPr>
                <w:lang w:val="de-DE"/>
              </w:rPr>
              <w:t xml:space="preserve">Bloomberg </w:t>
            </w:r>
            <w:r w:rsidRPr="00792D61">
              <w:rPr>
                <w:b/>
                <w:lang w:val="de-DE"/>
              </w:rPr>
              <w:t>[</w:t>
            </w:r>
            <w:r w:rsidRPr="000F4148">
              <w:rPr>
                <w:rFonts w:ascii="Arial" w:hAnsi="Arial" w:cs="Arial"/>
                <w:lang w:val="de-DE"/>
              </w:rPr>
              <w:t>●</w:t>
            </w:r>
            <w:r w:rsidRPr="00792D61">
              <w:rPr>
                <w:b/>
                <w:lang w:val="de-DE"/>
              </w:rPr>
              <w:t>]][</w:t>
            </w:r>
            <w:r w:rsidRPr="000F4148">
              <w:rPr>
                <w:rFonts w:ascii="Arial" w:hAnsi="Arial" w:cs="Arial"/>
                <w:lang w:val="de-DE"/>
              </w:rPr>
              <w:t>●</w:t>
            </w:r>
            <w:r w:rsidRPr="00792D61">
              <w:rPr>
                <w:b/>
                <w:lang w:val="de-DE"/>
              </w:rPr>
              <w:t>]</w:t>
            </w:r>
            <w:r w:rsidRPr="005775A2">
              <w:rPr>
                <w:lang w:val="de-DE"/>
              </w:rPr>
              <w:t xml:space="preserve"> erhältlich.</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43924" w:rsidP="00907128">
            <w:pPr>
              <w:pStyle w:val="CSBody8pt"/>
            </w:pPr>
            <w:r w:rsidRPr="00A43924">
              <w:t>Listing and Admission to Trading</w:t>
            </w:r>
          </w:p>
        </w:tc>
        <w:tc>
          <w:tcPr>
            <w:tcW w:w="3315" w:type="dxa"/>
            <w:gridSpan w:val="7"/>
            <w:tcBorders>
              <w:top w:val="nil"/>
              <w:left w:val="nil"/>
              <w:bottom w:val="nil"/>
            </w:tcBorders>
            <w:shd w:val="clear" w:color="auto" w:fill="auto"/>
          </w:tcPr>
          <w:p w:rsidR="0017135D" w:rsidRPr="00A43924" w:rsidP="00907128">
            <w:pPr>
              <w:pStyle w:val="CSBody8pt"/>
            </w:pPr>
            <w:r w:rsidRPr="00792D61">
              <w:rPr>
                <w:b/>
              </w:rPr>
              <w:t>[</w:t>
            </w:r>
            <w:r w:rsidRPr="00907128">
              <w:rPr>
                <w:b/>
                <w:i/>
              </w:rPr>
              <w:t>in the case of Complex Products listed on the SIX Swiss Exchange:</w:t>
            </w:r>
            <w:r w:rsidRPr="00A43924">
              <w:t xml:space="preserve"> Application will be made to list the Complex Products on the SIX Swiss Exchange Ltd for trading on the platform of SIX Structured Products Exchange Ltd. It is expected that the Complex Products will be admitted to trading on the SIX Swiss Exchange Ltd on a provisional basis as of </w:t>
            </w:r>
            <w:r w:rsidRPr="00792D61">
              <w:rPr>
                <w:b/>
              </w:rPr>
              <w:t>[</w:t>
            </w:r>
            <w:r w:rsidRPr="00A43924">
              <w:rPr>
                <w:rFonts w:ascii="Arial" w:hAnsi="Arial" w:cs="Arial"/>
              </w:rPr>
              <w:t>●</w:t>
            </w:r>
            <w:r w:rsidRPr="00792D61">
              <w:rPr>
                <w:b/>
              </w:rPr>
              <w:t>]</w:t>
            </w:r>
            <w:r w:rsidRPr="00A43924">
              <w:t>.</w:t>
            </w:r>
            <w:r w:rsidRPr="00792D61">
              <w:rPr>
                <w:b/>
              </w:rPr>
              <w:t>]</w:t>
            </w:r>
          </w:p>
        </w:tc>
        <w:tc>
          <w:tcPr>
            <w:tcW w:w="1705" w:type="dxa"/>
            <w:gridSpan w:val="3"/>
            <w:tcBorders>
              <w:top w:val="nil"/>
              <w:bottom w:val="nil"/>
              <w:right w:val="nil"/>
            </w:tcBorders>
            <w:shd w:val="clear" w:color="auto" w:fill="auto"/>
          </w:tcPr>
          <w:p w:rsidR="0017135D" w:rsidRPr="005775A2" w:rsidP="00CB4335">
            <w:pPr>
              <w:pStyle w:val="CSBody8pt"/>
              <w:rPr>
                <w:lang w:val="de-DE"/>
              </w:rPr>
            </w:pPr>
            <w:r w:rsidRPr="005775A2">
              <w:rPr>
                <w:lang w:val="de-DE"/>
              </w:rPr>
              <w:t>B</w:t>
            </w:r>
            <w:r w:rsidRPr="005775A2">
              <w:rPr>
                <w:rFonts w:cs="Credit Suisse Type Light"/>
                <w:lang w:val="de-DE"/>
              </w:rPr>
              <w:t>ö</w:t>
            </w:r>
            <w:r w:rsidRPr="005775A2">
              <w:rPr>
                <w:lang w:val="de-DE"/>
              </w:rPr>
              <w:t>rsennotierung und Zulassung zum Handel</w:t>
            </w:r>
          </w:p>
        </w:tc>
        <w:tc>
          <w:tcPr>
            <w:tcW w:w="3231" w:type="dxa"/>
            <w:gridSpan w:val="9"/>
            <w:tcBorders>
              <w:top w:val="nil"/>
              <w:left w:val="nil"/>
              <w:bottom w:val="nil"/>
              <w:right w:val="nil"/>
            </w:tcBorders>
            <w:shd w:val="clear" w:color="auto" w:fill="auto"/>
          </w:tcPr>
          <w:p w:rsidR="0017135D" w:rsidRPr="005775A2" w:rsidP="00907128">
            <w:pPr>
              <w:pStyle w:val="CSBody8pt"/>
              <w:rPr>
                <w:lang w:val="de-DE"/>
              </w:rPr>
            </w:pPr>
            <w:r w:rsidRPr="00792D61">
              <w:rPr>
                <w:b/>
                <w:lang w:val="de-DE"/>
              </w:rPr>
              <w:t>[</w:t>
            </w:r>
            <w:r w:rsidRPr="00907128">
              <w:rPr>
                <w:b/>
                <w:i/>
                <w:lang w:val="de-DE"/>
              </w:rPr>
              <w:t>bei Komplexen Produkten, die an der SIX Swiss Exchange notiert sind:</w:t>
            </w:r>
            <w:r w:rsidRPr="005775A2">
              <w:rPr>
                <w:lang w:val="de-DE"/>
              </w:rPr>
              <w:t xml:space="preserve"> Die Notierung der Komplexen Produkte an der SIX Swiss Exchange AG zum Handel an der Plattform der SIX Structured Products Exchange AG wird beantragt. Die Komplexen Produkte werden voraussichtlich ab </w:t>
            </w:r>
            <w:r w:rsidRPr="00792D61">
              <w:rPr>
                <w:b/>
                <w:lang w:val="de-DE"/>
              </w:rPr>
              <w:t>[</w:t>
            </w:r>
            <w:r w:rsidRPr="005775A2">
              <w:rPr>
                <w:rFonts w:ascii="Arial" w:hAnsi="Arial" w:cs="Arial"/>
                <w:lang w:val="de-DE"/>
              </w:rPr>
              <w:t>●</w:t>
            </w:r>
            <w:r w:rsidRPr="00792D61">
              <w:rPr>
                <w:b/>
                <w:lang w:val="de-DE"/>
              </w:rPr>
              <w:t>]</w:t>
            </w:r>
            <w:r w:rsidRPr="005775A2">
              <w:rPr>
                <w:lang w:val="de-DE"/>
              </w:rPr>
              <w:t xml:space="preserve"> zum provisorischen Handel an der SIX Swiss Exchange AG zugelassen.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775A2" w:rsidP="00CB4335">
            <w:pPr>
              <w:pStyle w:val="CSBody8pt"/>
              <w:rPr>
                <w:lang w:val="de-DE"/>
              </w:rPr>
            </w:pPr>
          </w:p>
        </w:tc>
        <w:tc>
          <w:tcPr>
            <w:tcW w:w="3315" w:type="dxa"/>
            <w:gridSpan w:val="7"/>
            <w:tcBorders>
              <w:top w:val="nil"/>
              <w:left w:val="nil"/>
              <w:bottom w:val="nil"/>
            </w:tcBorders>
            <w:shd w:val="clear" w:color="auto" w:fill="auto"/>
          </w:tcPr>
          <w:p w:rsidR="0017135D" w:rsidRPr="005775A2" w:rsidP="00CB4335">
            <w:pPr>
              <w:pStyle w:val="CSBody8pt"/>
            </w:pPr>
            <w:r w:rsidRPr="00792D61">
              <w:rPr>
                <w:b/>
              </w:rPr>
              <w:t>[</w:t>
            </w:r>
            <w:r w:rsidRPr="00907128">
              <w:rPr>
                <w:b/>
                <w:i/>
              </w:rPr>
              <w:t>in the case of Complex Products listed on the Frankfurt Stock Exchange:</w:t>
            </w:r>
            <w:r w:rsidRPr="005775A2">
              <w:t xml:space="preserve"> Application will be made to include the Complex Products to trading on the Open Market (Freiverkehr) of the Frankfurt Stock Exchange </w:t>
            </w:r>
            <w:r w:rsidRPr="00792D61">
              <w:rPr>
                <w:b/>
              </w:rPr>
              <w:t>[</w:t>
            </w:r>
            <w:r w:rsidRPr="005775A2">
              <w:t>(Börse Frankfurt Zertifikate AG platform</w:t>
            </w:r>
            <w:r w:rsidRPr="00792D61">
              <w:rPr>
                <w:b/>
              </w:rPr>
              <w:t>[</w:t>
            </w:r>
            <w:r w:rsidRPr="005775A2">
              <w:t>, Premium Segment</w:t>
            </w:r>
            <w:r w:rsidRPr="00792D61">
              <w:rPr>
                <w:b/>
              </w:rPr>
              <w:t>]</w:t>
            </w:r>
            <w:r w:rsidRPr="005775A2">
              <w:t>)</w:t>
            </w:r>
            <w:r w:rsidRPr="00792D61">
              <w:rPr>
                <w:b/>
              </w:rPr>
              <w:t>]</w:t>
            </w:r>
            <w:r w:rsidRPr="005775A2">
              <w:t xml:space="preserve">. </w:t>
            </w:r>
            <w:r w:rsidRPr="00792D61">
              <w:rPr>
                <w:b/>
              </w:rPr>
              <w:t>[</w:t>
            </w:r>
            <w:r w:rsidRPr="005775A2">
              <w:t xml:space="preserve">It is expected that the Complex Products will be included to trading on the Frankfurt Stock Exchange as of </w:t>
            </w:r>
            <w:r w:rsidRPr="00792D61">
              <w:rPr>
                <w:b/>
              </w:rPr>
              <w:t>[</w:t>
            </w:r>
            <w:r w:rsidRPr="005775A2">
              <w:rPr>
                <w:rFonts w:ascii="Arial" w:hAnsi="Arial" w:cs="Arial"/>
              </w:rPr>
              <w:t>●</w:t>
            </w:r>
            <w:r w:rsidRPr="00792D61">
              <w:rPr>
                <w:b/>
              </w:rPr>
              <w:t>]</w:t>
            </w:r>
            <w:r w:rsidRPr="005775A2">
              <w:t>.</w:t>
            </w:r>
            <w:r w:rsidRPr="00792D61">
              <w:rPr>
                <w:b/>
              </w:rPr>
              <w:t>]]</w:t>
            </w:r>
          </w:p>
        </w:tc>
        <w:tc>
          <w:tcPr>
            <w:tcW w:w="1705" w:type="dxa"/>
            <w:gridSpan w:val="3"/>
            <w:tcBorders>
              <w:top w:val="nil"/>
              <w:bottom w:val="nil"/>
              <w:right w:val="nil"/>
            </w:tcBorders>
            <w:shd w:val="clear" w:color="auto" w:fill="auto"/>
          </w:tcPr>
          <w:p w:rsidR="0017135D" w:rsidRPr="005775A2" w:rsidP="00CB4335">
            <w:pPr>
              <w:pStyle w:val="CSBody8pt"/>
            </w:pPr>
          </w:p>
        </w:tc>
        <w:tc>
          <w:tcPr>
            <w:tcW w:w="3231" w:type="dxa"/>
            <w:gridSpan w:val="9"/>
            <w:tcBorders>
              <w:top w:val="nil"/>
              <w:left w:val="nil"/>
              <w:bottom w:val="nil"/>
              <w:right w:val="nil"/>
            </w:tcBorders>
            <w:shd w:val="clear" w:color="auto" w:fill="auto"/>
          </w:tcPr>
          <w:p w:rsidR="0017135D" w:rsidRPr="005775A2" w:rsidP="00CB4335">
            <w:pPr>
              <w:pStyle w:val="CSBody8pt"/>
              <w:rPr>
                <w:lang w:val="de-DE"/>
              </w:rPr>
            </w:pPr>
            <w:r w:rsidRPr="00792D61">
              <w:rPr>
                <w:b/>
                <w:lang w:val="de-DE"/>
              </w:rPr>
              <w:t>[</w:t>
            </w:r>
            <w:r w:rsidRPr="00907128">
              <w:rPr>
                <w:b/>
                <w:i/>
                <w:lang w:val="de-DE"/>
              </w:rPr>
              <w:t>bei Komplexen Produkten, die an der Frankfurter Wertpapierbörse notiert sind:</w:t>
            </w:r>
            <w:r w:rsidRPr="005775A2">
              <w:rPr>
                <w:lang w:val="de-DE"/>
              </w:rPr>
              <w:t xml:space="preserve"> Die Einbeziehung der Komplexen Produkte in den Handel im Freiverkehr der Frankfurter Wertpapierbörse </w:t>
            </w:r>
            <w:r w:rsidRPr="00792D61">
              <w:rPr>
                <w:b/>
                <w:lang w:val="de-DE"/>
              </w:rPr>
              <w:t>[</w:t>
            </w:r>
            <w:r w:rsidRPr="005775A2">
              <w:rPr>
                <w:lang w:val="de-DE"/>
              </w:rPr>
              <w:t>(Plattform der Börse Frankfurt Zertifikate AG</w:t>
            </w:r>
            <w:r w:rsidRPr="00792D61">
              <w:rPr>
                <w:b/>
                <w:lang w:val="de-DE"/>
              </w:rPr>
              <w:t>[</w:t>
            </w:r>
            <w:r w:rsidRPr="005775A2">
              <w:rPr>
                <w:lang w:val="de-DE"/>
              </w:rPr>
              <w:t>, Premium Segment</w:t>
            </w:r>
            <w:r w:rsidRPr="00792D61">
              <w:rPr>
                <w:b/>
                <w:lang w:val="de-DE"/>
              </w:rPr>
              <w:t>]</w:t>
            </w:r>
            <w:r w:rsidRPr="005775A2">
              <w:rPr>
                <w:lang w:val="de-DE"/>
              </w:rPr>
              <w:t>)</w:t>
            </w:r>
            <w:r w:rsidRPr="00792D61">
              <w:rPr>
                <w:b/>
                <w:lang w:val="de-DE"/>
              </w:rPr>
              <w:t>]</w:t>
            </w:r>
            <w:r w:rsidRPr="005775A2">
              <w:rPr>
                <w:lang w:val="de-DE"/>
              </w:rPr>
              <w:t xml:space="preserve"> wird beantragt. </w:t>
            </w:r>
            <w:r w:rsidRPr="00792D61">
              <w:rPr>
                <w:b/>
                <w:lang w:val="de-DE"/>
              </w:rPr>
              <w:t>[</w:t>
            </w:r>
            <w:r w:rsidRPr="005775A2">
              <w:rPr>
                <w:lang w:val="de-DE"/>
              </w:rPr>
              <w:t xml:space="preserve">Die Komplexen Produkte werden voraussichtlich ab </w:t>
            </w:r>
            <w:r w:rsidRPr="00792D61">
              <w:rPr>
                <w:b/>
                <w:lang w:val="de-DE"/>
              </w:rPr>
              <w:t>[</w:t>
            </w:r>
            <w:r w:rsidRPr="005775A2">
              <w:rPr>
                <w:rFonts w:ascii="Arial" w:hAnsi="Arial" w:cs="Arial"/>
                <w:lang w:val="de-DE"/>
              </w:rPr>
              <w:t>●</w:t>
            </w:r>
            <w:r w:rsidRPr="00792D61">
              <w:rPr>
                <w:b/>
                <w:lang w:val="de-DE"/>
              </w:rPr>
              <w:t>]</w:t>
            </w:r>
            <w:r w:rsidRPr="005775A2">
              <w:rPr>
                <w:lang w:val="de-DE"/>
              </w:rPr>
              <w:t xml:space="preserve"> zum Handel an der Frankfurter Wertpapierb</w:t>
            </w:r>
            <w:r w:rsidRPr="005775A2">
              <w:rPr>
                <w:rFonts w:cs="Credit Suisse Type Light"/>
                <w:lang w:val="de-DE"/>
              </w:rPr>
              <w:t>ö</w:t>
            </w:r>
            <w:r w:rsidRPr="005775A2">
              <w:rPr>
                <w:lang w:val="de-DE"/>
              </w:rPr>
              <w:t>rse zugelassen.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775A2" w:rsidP="00907128">
            <w:pPr>
              <w:pStyle w:val="CSBody8pt"/>
              <w:rPr>
                <w:lang w:val="de-DE"/>
              </w:rPr>
            </w:pPr>
          </w:p>
        </w:tc>
        <w:tc>
          <w:tcPr>
            <w:tcW w:w="3315" w:type="dxa"/>
            <w:gridSpan w:val="7"/>
            <w:tcBorders>
              <w:top w:val="nil"/>
              <w:left w:val="nil"/>
              <w:bottom w:val="nil"/>
            </w:tcBorders>
            <w:shd w:val="clear" w:color="auto" w:fill="auto"/>
          </w:tcPr>
          <w:p w:rsidR="0017135D" w:rsidRPr="005775A2" w:rsidP="00907128">
            <w:pPr>
              <w:pStyle w:val="CSBody8pt"/>
              <w:rPr>
                <w:lang w:val="de-DE"/>
              </w:rPr>
            </w:pPr>
            <w:r w:rsidRPr="00792D61">
              <w:rPr>
                <w:b/>
                <w:lang w:val="de-DE"/>
              </w:rPr>
              <w:t>[</w:t>
            </w:r>
            <w:r w:rsidRPr="005775A2">
              <w:rPr>
                <w:lang w:val="de-DE"/>
              </w:rPr>
              <w:t>None</w:t>
            </w:r>
            <w:r w:rsidRPr="00792D61">
              <w:rPr>
                <w:b/>
                <w:lang w:val="de-DE"/>
              </w:rPr>
              <w:t>]</w:t>
            </w:r>
          </w:p>
        </w:tc>
        <w:tc>
          <w:tcPr>
            <w:tcW w:w="1705" w:type="dxa"/>
            <w:gridSpan w:val="3"/>
            <w:tcBorders>
              <w:top w:val="nil"/>
              <w:bottom w:val="nil"/>
              <w:right w:val="nil"/>
            </w:tcBorders>
            <w:shd w:val="clear" w:color="auto" w:fill="auto"/>
          </w:tcPr>
          <w:p w:rsidR="0017135D" w:rsidRPr="005775A2" w:rsidP="00907128">
            <w:pPr>
              <w:pStyle w:val="CSBody8pt"/>
              <w:rPr>
                <w:lang w:val="de-DE"/>
              </w:rPr>
            </w:pPr>
          </w:p>
        </w:tc>
        <w:tc>
          <w:tcPr>
            <w:tcW w:w="3231" w:type="dxa"/>
            <w:gridSpan w:val="9"/>
            <w:tcBorders>
              <w:top w:val="nil"/>
              <w:left w:val="nil"/>
              <w:bottom w:val="nil"/>
              <w:right w:val="nil"/>
            </w:tcBorders>
            <w:shd w:val="clear" w:color="auto" w:fill="auto"/>
          </w:tcPr>
          <w:p w:rsidR="0017135D" w:rsidRPr="005775A2" w:rsidP="00907128">
            <w:pPr>
              <w:pStyle w:val="CSBody8pt"/>
              <w:rPr>
                <w:lang w:val="de-DE"/>
              </w:rPr>
            </w:pPr>
            <w:r w:rsidRPr="00792D61">
              <w:rPr>
                <w:b/>
                <w:lang w:val="de-DE"/>
              </w:rPr>
              <w:t>[</w:t>
            </w:r>
            <w:r w:rsidRPr="005775A2">
              <w:rPr>
                <w:lang w:val="de-DE"/>
              </w:rPr>
              <w:t>Keine</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D0B31" w:rsidP="00907128">
            <w:pPr>
              <w:pStyle w:val="CSBody8pt"/>
            </w:pPr>
            <w:r w:rsidRPr="004D0B31">
              <w:t xml:space="preserve">Issue Size </w:t>
            </w:r>
            <w:r w:rsidRPr="00792D61">
              <w:rPr>
                <w:b/>
              </w:rPr>
              <w:t>[</w:t>
            </w:r>
            <w:r w:rsidRPr="004D0B31">
              <w:t>/ Offer Size</w:t>
            </w:r>
            <w:r w:rsidRPr="00792D61">
              <w:rPr>
                <w:b/>
              </w:rPr>
              <w:t>]</w:t>
            </w:r>
          </w:p>
        </w:tc>
        <w:tc>
          <w:tcPr>
            <w:tcW w:w="3315" w:type="dxa"/>
            <w:gridSpan w:val="7"/>
            <w:tcBorders>
              <w:top w:val="nil"/>
              <w:left w:val="nil"/>
              <w:bottom w:val="nil"/>
            </w:tcBorders>
            <w:shd w:val="clear" w:color="auto" w:fill="auto"/>
          </w:tcPr>
          <w:p w:rsidR="0017135D" w:rsidRPr="004D0B31" w:rsidP="00907128">
            <w:pPr>
              <w:pStyle w:val="CSBody8pt"/>
            </w:pPr>
            <w:r w:rsidRPr="00792D61">
              <w:rPr>
                <w:b/>
              </w:rPr>
              <w:t>[</w:t>
            </w:r>
            <w:r w:rsidRPr="004D0B31">
              <w:t>up to</w:t>
            </w:r>
            <w:r w:rsidRPr="00792D61">
              <w:rPr>
                <w:b/>
              </w:rPr>
              <w:t>]</w:t>
            </w:r>
            <w:r w:rsidRPr="004D0B31">
              <w:t xml:space="preserve"> </w:t>
            </w:r>
            <w:r w:rsidRPr="00792D61">
              <w:rPr>
                <w:b/>
              </w:rPr>
              <w:t>[[</w:t>
            </w:r>
            <w:r w:rsidRPr="00907128">
              <w:rPr>
                <w:b/>
                <w:i/>
              </w:rPr>
              <w:t>insert amount:</w:t>
            </w:r>
            <w:r w:rsidRPr="004D0B31">
              <w:t xml:space="preserve"> </w:t>
            </w:r>
            <w:r w:rsidRPr="00792D61">
              <w:rPr>
                <w:b/>
              </w:rPr>
              <w:t>[</w:t>
            </w:r>
            <w:r w:rsidRPr="004D0B31">
              <w:rPr>
                <w:rFonts w:ascii="Arial" w:hAnsi="Arial" w:cs="Arial"/>
              </w:rPr>
              <w:t>●</w:t>
            </w:r>
            <w:r w:rsidRPr="00792D61">
              <w:rPr>
                <w:b/>
              </w:rPr>
              <w:t>]]</w:t>
            </w:r>
            <w:r w:rsidRPr="004D0B31">
              <w:t xml:space="preserve"> </w:t>
            </w:r>
            <w:r w:rsidRPr="00792D61">
              <w:rPr>
                <w:b/>
              </w:rPr>
              <w:t>[</w:t>
            </w:r>
            <w:r w:rsidRPr="004D0B31">
              <w:t>Complex Products</w:t>
            </w:r>
            <w:r w:rsidRPr="00792D61">
              <w:rPr>
                <w:b/>
              </w:rPr>
              <w:t>]</w:t>
            </w:r>
            <w:r w:rsidRPr="004D0B31">
              <w:t xml:space="preserve"> will be offered</w:t>
            </w:r>
            <w:r w:rsidRPr="00792D61">
              <w:rPr>
                <w:b/>
              </w:rPr>
              <w:t>][</w:t>
            </w:r>
            <w:r w:rsidRPr="004D0B31">
              <w:t>,</w:t>
            </w:r>
            <w:r w:rsidRPr="00792D61">
              <w:rPr>
                <w:b/>
              </w:rPr>
              <w:t>]</w:t>
            </w:r>
            <w:r w:rsidRPr="004D0B31">
              <w:t xml:space="preserve"> </w:t>
            </w:r>
            <w:r w:rsidRPr="00792D61">
              <w:rPr>
                <w:b/>
              </w:rPr>
              <w:t>[</w:t>
            </w:r>
            <w:r w:rsidRPr="004D0B31">
              <w:t>up to</w:t>
            </w:r>
            <w:r w:rsidRPr="00792D61">
              <w:rPr>
                <w:b/>
              </w:rPr>
              <w:t>]</w:t>
            </w:r>
            <w:r w:rsidRPr="004D0B31">
              <w:t xml:space="preserve"> </w:t>
            </w:r>
            <w:r w:rsidRPr="00792D61">
              <w:rPr>
                <w:b/>
              </w:rPr>
              <w:t>[[</w:t>
            </w:r>
            <w:r w:rsidRPr="004D0B31">
              <w:rPr>
                <w:rFonts w:ascii="Arial" w:hAnsi="Arial" w:cs="Arial"/>
              </w:rPr>
              <w:t>●</w:t>
            </w:r>
            <w:r w:rsidRPr="00792D61">
              <w:rPr>
                <w:b/>
              </w:rPr>
              <w:t>]</w:t>
            </w:r>
            <w:r w:rsidRPr="004D0B31">
              <w:t xml:space="preserve"> Complex Products will be issued</w:t>
            </w:r>
            <w:r w:rsidRPr="00792D61">
              <w:rPr>
                <w:b/>
              </w:rPr>
              <w:t>]</w:t>
            </w:r>
            <w:r w:rsidRPr="004D0B31">
              <w:t xml:space="preserve"> </w:t>
            </w:r>
            <w:r w:rsidRPr="00792D61">
              <w:rPr>
                <w:b/>
              </w:rPr>
              <w:t>[</w:t>
            </w:r>
            <w:r w:rsidRPr="004D0B31">
              <w:t>(may be increased/decreased at any time)</w:t>
            </w:r>
            <w:r w:rsidRPr="00792D61">
              <w:rPr>
                <w:b/>
              </w:rPr>
              <w:t>][[</w:t>
            </w:r>
            <w:r>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4D0B31" w:rsidP="00907128">
            <w:pPr>
              <w:pStyle w:val="CSBody8pt"/>
            </w:pPr>
            <w:r w:rsidRPr="004D0B31">
              <w:t xml:space="preserve">Emissionsvolumen </w:t>
            </w:r>
            <w:r w:rsidRPr="00792D61">
              <w:rPr>
                <w:b/>
              </w:rPr>
              <w:t>[</w:t>
            </w:r>
            <w:r w:rsidRPr="004D0B31">
              <w:t>/Angebotsvolumen</w:t>
            </w:r>
            <w:r w:rsidRPr="00792D61">
              <w:rPr>
                <w:b/>
              </w:rPr>
              <w:t>]</w:t>
            </w:r>
          </w:p>
        </w:tc>
        <w:tc>
          <w:tcPr>
            <w:tcW w:w="3231" w:type="dxa"/>
            <w:gridSpan w:val="9"/>
            <w:tcBorders>
              <w:top w:val="nil"/>
              <w:left w:val="nil"/>
              <w:bottom w:val="nil"/>
              <w:right w:val="nil"/>
            </w:tcBorders>
            <w:shd w:val="clear" w:color="auto" w:fill="auto"/>
          </w:tcPr>
          <w:p w:rsidR="0017135D" w:rsidRPr="005775A2" w:rsidP="00907128">
            <w:pPr>
              <w:pStyle w:val="CSBody8pt"/>
              <w:rPr>
                <w:lang w:val="de-DE"/>
              </w:rPr>
            </w:pPr>
            <w:r w:rsidRPr="00792D61">
              <w:rPr>
                <w:b/>
                <w:lang w:val="de-DE"/>
              </w:rPr>
              <w:t>[</w:t>
            </w:r>
            <w:r w:rsidRPr="005775A2">
              <w:rPr>
                <w:lang w:val="de-DE"/>
              </w:rPr>
              <w:t>Angeboten werden</w:t>
            </w:r>
            <w:r w:rsidRPr="00792D61">
              <w:rPr>
                <w:b/>
                <w:lang w:val="de-DE"/>
              </w:rPr>
              <w:t>]</w:t>
            </w:r>
            <w:r w:rsidRPr="005775A2">
              <w:rPr>
                <w:lang w:val="de-DE"/>
              </w:rPr>
              <w:t xml:space="preserve"> </w:t>
            </w:r>
            <w:r w:rsidRPr="00792D61">
              <w:rPr>
                <w:b/>
                <w:lang w:val="de-DE"/>
              </w:rPr>
              <w:t>[</w:t>
            </w:r>
            <w:r w:rsidRPr="005775A2">
              <w:rPr>
                <w:lang w:val="de-DE"/>
              </w:rPr>
              <w:t>bis zu</w:t>
            </w:r>
            <w:r w:rsidRPr="00792D61">
              <w:rPr>
                <w:b/>
                <w:lang w:val="de-DE"/>
              </w:rPr>
              <w:t>]</w:t>
            </w:r>
            <w:r w:rsidRPr="005775A2">
              <w:rPr>
                <w:lang w:val="de-DE"/>
              </w:rPr>
              <w:t xml:space="preserve"> </w:t>
            </w:r>
            <w:r w:rsidRPr="00792D61">
              <w:rPr>
                <w:b/>
                <w:lang w:val="de-DE"/>
              </w:rPr>
              <w:t>[[</w:t>
            </w:r>
            <w:r w:rsidRPr="00907128">
              <w:rPr>
                <w:b/>
                <w:i/>
                <w:lang w:val="de-DE"/>
              </w:rPr>
              <w:t>Betrag einfügen:</w:t>
            </w:r>
            <w:r w:rsidRPr="005775A2">
              <w:rPr>
                <w:lang w:val="de-DE"/>
              </w:rPr>
              <w:t xml:space="preserve"> </w:t>
            </w:r>
            <w:r w:rsidRPr="00792D61">
              <w:rPr>
                <w:b/>
                <w:lang w:val="de-DE"/>
              </w:rPr>
              <w:t>[</w:t>
            </w:r>
            <w:r w:rsidRPr="005775A2">
              <w:rPr>
                <w:rFonts w:ascii="Arial" w:hAnsi="Arial" w:cs="Arial"/>
                <w:lang w:val="de-DE"/>
              </w:rPr>
              <w:t>●</w:t>
            </w:r>
            <w:r w:rsidRPr="00792D61">
              <w:rPr>
                <w:b/>
                <w:lang w:val="de-DE"/>
              </w:rPr>
              <w:t>]]</w:t>
            </w:r>
            <w:r w:rsidRPr="005775A2">
              <w:rPr>
                <w:lang w:val="de-DE"/>
              </w:rPr>
              <w:t xml:space="preserve"> </w:t>
            </w:r>
            <w:r w:rsidRPr="00792D61">
              <w:rPr>
                <w:b/>
                <w:lang w:val="de-DE"/>
              </w:rPr>
              <w:t>[</w:t>
            </w:r>
            <w:r w:rsidRPr="005775A2">
              <w:rPr>
                <w:lang w:val="de-DE"/>
              </w:rPr>
              <w:t>Komplexe Produkte</w:t>
            </w:r>
            <w:r w:rsidRPr="00792D61">
              <w:rPr>
                <w:b/>
                <w:lang w:val="de-DE"/>
              </w:rPr>
              <w:t>]][</w:t>
            </w:r>
            <w:r w:rsidRPr="005775A2">
              <w:rPr>
                <w:lang w:val="de-DE"/>
              </w:rPr>
              <w:t>,</w:t>
            </w:r>
            <w:r w:rsidRPr="00792D61">
              <w:rPr>
                <w:b/>
                <w:lang w:val="de-DE"/>
              </w:rPr>
              <w:t>]</w:t>
            </w:r>
            <w:r w:rsidRPr="005775A2">
              <w:rPr>
                <w:lang w:val="de-DE"/>
              </w:rPr>
              <w:t xml:space="preserve"> </w:t>
            </w:r>
            <w:r w:rsidRPr="00792D61">
              <w:rPr>
                <w:b/>
                <w:lang w:val="de-DE"/>
              </w:rPr>
              <w:t>[</w:t>
            </w:r>
            <w:r w:rsidRPr="005775A2">
              <w:rPr>
                <w:lang w:val="de-DE"/>
              </w:rPr>
              <w:t>emittiert werden</w:t>
            </w:r>
            <w:r w:rsidRPr="00792D61">
              <w:rPr>
                <w:b/>
                <w:lang w:val="de-DE"/>
              </w:rPr>
              <w:t>]</w:t>
            </w:r>
            <w:r w:rsidRPr="005775A2">
              <w:rPr>
                <w:lang w:val="de-DE"/>
              </w:rPr>
              <w:t xml:space="preserve"> </w:t>
            </w:r>
            <w:r w:rsidRPr="00792D61">
              <w:rPr>
                <w:b/>
                <w:lang w:val="de-DE"/>
              </w:rPr>
              <w:t>[</w:t>
            </w:r>
            <w:r w:rsidRPr="005775A2">
              <w:rPr>
                <w:lang w:val="de-DE"/>
              </w:rPr>
              <w:t>bis zu</w:t>
            </w:r>
            <w:r w:rsidRPr="00792D61">
              <w:rPr>
                <w:b/>
                <w:lang w:val="de-DE"/>
              </w:rPr>
              <w:t>]</w:t>
            </w:r>
            <w:r w:rsidRPr="005775A2">
              <w:rPr>
                <w:lang w:val="de-DE"/>
              </w:rPr>
              <w:t xml:space="preserve"> </w:t>
            </w:r>
            <w:r w:rsidRPr="00792D61">
              <w:rPr>
                <w:b/>
                <w:lang w:val="de-DE"/>
              </w:rPr>
              <w:t>[[</w:t>
            </w:r>
            <w:r w:rsidRPr="005775A2">
              <w:rPr>
                <w:rFonts w:ascii="Arial" w:hAnsi="Arial" w:cs="Arial"/>
                <w:lang w:val="de-DE"/>
              </w:rPr>
              <w:t>●</w:t>
            </w:r>
            <w:r w:rsidRPr="00792D61">
              <w:rPr>
                <w:b/>
                <w:lang w:val="de-DE"/>
              </w:rPr>
              <w:t>]]</w:t>
            </w:r>
            <w:r w:rsidRPr="005775A2">
              <w:rPr>
                <w:lang w:val="de-DE"/>
              </w:rPr>
              <w:t xml:space="preserve"> </w:t>
            </w:r>
            <w:r w:rsidRPr="00792D61">
              <w:rPr>
                <w:b/>
                <w:lang w:val="de-DE"/>
              </w:rPr>
              <w:t>[</w:t>
            </w:r>
            <w:r w:rsidRPr="005775A2">
              <w:rPr>
                <w:lang w:val="de-DE"/>
              </w:rPr>
              <w:t>Komplexe Produkte</w:t>
            </w:r>
            <w:r w:rsidRPr="00792D61">
              <w:rPr>
                <w:b/>
                <w:lang w:val="de-DE"/>
              </w:rPr>
              <w:t>]</w:t>
            </w:r>
            <w:r w:rsidRPr="005775A2">
              <w:rPr>
                <w:lang w:val="de-DE"/>
              </w:rPr>
              <w:t xml:space="preserve"> </w:t>
            </w:r>
            <w:r w:rsidRPr="00792D61">
              <w:rPr>
                <w:b/>
                <w:lang w:val="de-DE"/>
              </w:rPr>
              <w:t>[</w:t>
            </w:r>
            <w:r w:rsidRPr="005775A2">
              <w:rPr>
                <w:lang w:val="de-DE"/>
              </w:rPr>
              <w:t>(kann jederzeit aufgestockt/verringert werden)</w:t>
            </w:r>
            <w:r w:rsidRPr="00792D61">
              <w:rPr>
                <w:b/>
                <w:lang w:val="de-DE"/>
              </w:rPr>
              <w:t>]</w:t>
            </w:r>
            <w:r w:rsidRPr="005775A2">
              <w:rPr>
                <w:lang w:val="de-DE"/>
              </w:rPr>
              <w:t xml:space="preserve"> </w:t>
            </w:r>
            <w:r w:rsidRPr="00792D61">
              <w:rPr>
                <w:b/>
                <w:lang w:val="de-DE"/>
              </w:rPr>
              <w:t>[[</w:t>
            </w:r>
            <w:r w:rsidRPr="005775A2">
              <w:rPr>
                <w:rFonts w:ascii="Arial" w:hAnsi="Arial" w:cs="Arial"/>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775A2" w:rsidP="00907128">
            <w:pPr>
              <w:pStyle w:val="CSBody8pt"/>
              <w:rPr>
                <w:lang w:val="de-DE"/>
              </w:rPr>
            </w:pPr>
          </w:p>
        </w:tc>
        <w:tc>
          <w:tcPr>
            <w:tcW w:w="3315" w:type="dxa"/>
            <w:gridSpan w:val="7"/>
            <w:tcBorders>
              <w:top w:val="nil"/>
              <w:left w:val="nil"/>
              <w:bottom w:val="nil"/>
            </w:tcBorders>
            <w:shd w:val="clear" w:color="auto" w:fill="auto"/>
          </w:tcPr>
          <w:p w:rsidR="0017135D" w:rsidRPr="00A53D02" w:rsidP="00907128">
            <w:pPr>
              <w:pStyle w:val="CSBody8pt"/>
            </w:pPr>
            <w:r w:rsidRPr="00792D61">
              <w:rPr>
                <w:b/>
              </w:rPr>
              <w:t>[</w:t>
            </w:r>
            <w:r w:rsidRPr="00907128">
              <w:rPr>
                <w:b/>
                <w:i/>
              </w:rPr>
              <w:t>in the case of Complex Products with a Subscription Period and an "up to" Issue Size insert:</w:t>
            </w:r>
            <w:r w:rsidRPr="00A53D02">
              <w:t xml:space="preserve"> It is expected that the Issuer will publish the final Issue Size after the Subscription Period has expired by making it available to Holders at the office of the Paying Agent</w:t>
            </w:r>
            <w:r w:rsidRPr="00792D61">
              <w:rPr>
                <w:b/>
              </w:rPr>
              <w:t>]</w:t>
            </w:r>
            <w:r w:rsidRPr="00A53D02">
              <w:t xml:space="preserve"> </w:t>
            </w:r>
          </w:p>
        </w:tc>
        <w:tc>
          <w:tcPr>
            <w:tcW w:w="1705" w:type="dxa"/>
            <w:gridSpan w:val="3"/>
            <w:tcBorders>
              <w:top w:val="nil"/>
              <w:bottom w:val="nil"/>
              <w:right w:val="nil"/>
            </w:tcBorders>
            <w:shd w:val="clear" w:color="auto" w:fill="auto"/>
          </w:tcPr>
          <w:p w:rsidR="0017135D" w:rsidRPr="005775A2" w:rsidP="00907128">
            <w:pPr>
              <w:pStyle w:val="CSBody8pt"/>
            </w:pPr>
          </w:p>
        </w:tc>
        <w:tc>
          <w:tcPr>
            <w:tcW w:w="3231" w:type="dxa"/>
            <w:gridSpan w:val="9"/>
            <w:tcBorders>
              <w:top w:val="nil"/>
              <w:left w:val="nil"/>
              <w:bottom w:val="nil"/>
              <w:right w:val="nil"/>
            </w:tcBorders>
            <w:shd w:val="clear" w:color="auto" w:fill="auto"/>
          </w:tcPr>
          <w:p w:rsidR="0017135D" w:rsidRPr="005775A2" w:rsidP="00907128">
            <w:pPr>
              <w:pStyle w:val="CSBody8pt"/>
              <w:rPr>
                <w:lang w:val="de-DE"/>
              </w:rPr>
            </w:pPr>
            <w:r w:rsidRPr="00792D61">
              <w:rPr>
                <w:b/>
                <w:lang w:val="de-DE"/>
              </w:rPr>
              <w:t>[</w:t>
            </w:r>
            <w:r w:rsidRPr="00907128">
              <w:rPr>
                <w:b/>
                <w:i/>
                <w:lang w:val="de-DE"/>
              </w:rPr>
              <w:t>einfügen bei Komplexen Produkten mit einer Zeichnungsfrist und einem "bis zu" Emissionsvolumen:</w:t>
            </w:r>
            <w:r w:rsidRPr="005775A2">
              <w:rPr>
                <w:lang w:val="de-DE"/>
              </w:rPr>
              <w:t xml:space="preserve"> Die Emittentin wird das endgültige Emissionsvolumen voraussichtlich nach Ablauf der Zeichnungsfrist veröffentlichen, indem sie es für Inhaber bei der Geschäftsstelle der Zahlstelle bereit hält.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775A2" w:rsidP="00907128">
            <w:pPr>
              <w:pStyle w:val="CSBody8pt"/>
              <w:rPr>
                <w:lang w:val="de-DE"/>
              </w:rPr>
            </w:pPr>
          </w:p>
        </w:tc>
        <w:tc>
          <w:tcPr>
            <w:tcW w:w="3315" w:type="dxa"/>
            <w:gridSpan w:val="7"/>
            <w:tcBorders>
              <w:top w:val="nil"/>
              <w:left w:val="nil"/>
              <w:bottom w:val="nil"/>
            </w:tcBorders>
            <w:shd w:val="clear" w:color="auto" w:fill="auto"/>
          </w:tcPr>
          <w:p w:rsidR="0017135D" w:rsidRPr="00A53D02" w:rsidP="00907128">
            <w:pPr>
              <w:pStyle w:val="CSBody8pt"/>
            </w:pPr>
            <w:r w:rsidRPr="00792D61">
              <w:rPr>
                <w:b/>
              </w:rPr>
              <w:t>[</w:t>
            </w:r>
            <w:r w:rsidRPr="00907128">
              <w:rPr>
                <w:b/>
                <w:i/>
              </w:rPr>
              <w:t>in the case of Complex Products with a Subscription Period and subsequent offering and with an "up to" Issue Size insert:</w:t>
            </w:r>
            <w:r w:rsidRPr="00A53D02">
              <w:t xml:space="preserve"> The initial Issue Size after expiry of the Subscription Period will be published by making it available to Holders at the office of the Paying Agent.</w:t>
            </w:r>
            <w:r>
              <w:t xml:space="preserve"> </w:t>
            </w:r>
            <w:r w:rsidRPr="00A53D02">
              <w:t>During the term of the Complex Products the Issuer will provide information concerning the current Issue Size upon request of Holders.</w:t>
            </w:r>
            <w:r w:rsidRPr="00792D61">
              <w:rPr>
                <w:b/>
              </w:rPr>
              <w:t>]</w:t>
            </w:r>
          </w:p>
        </w:tc>
        <w:tc>
          <w:tcPr>
            <w:tcW w:w="1705" w:type="dxa"/>
            <w:gridSpan w:val="3"/>
            <w:tcBorders>
              <w:top w:val="nil"/>
              <w:bottom w:val="nil"/>
              <w:right w:val="nil"/>
            </w:tcBorders>
            <w:shd w:val="clear" w:color="auto" w:fill="auto"/>
          </w:tcPr>
          <w:p w:rsidR="0017135D" w:rsidRPr="005775A2" w:rsidP="00907128">
            <w:pPr>
              <w:pStyle w:val="CSBody8pt"/>
            </w:pPr>
          </w:p>
        </w:tc>
        <w:tc>
          <w:tcPr>
            <w:tcW w:w="3231" w:type="dxa"/>
            <w:gridSpan w:val="9"/>
            <w:tcBorders>
              <w:top w:val="nil"/>
              <w:left w:val="nil"/>
              <w:bottom w:val="nil"/>
              <w:right w:val="nil"/>
            </w:tcBorders>
            <w:shd w:val="clear" w:color="auto" w:fill="auto"/>
          </w:tcPr>
          <w:p w:rsidR="0017135D" w:rsidRPr="005775A2" w:rsidP="00907128">
            <w:pPr>
              <w:pStyle w:val="CSBody8pt"/>
              <w:rPr>
                <w:lang w:val="de-DE"/>
              </w:rPr>
            </w:pPr>
            <w:r w:rsidRPr="00792D61">
              <w:rPr>
                <w:b/>
                <w:lang w:val="de-DE"/>
              </w:rPr>
              <w:t>[</w:t>
            </w:r>
            <w:r w:rsidRPr="00907128">
              <w:rPr>
                <w:b/>
                <w:i/>
                <w:lang w:val="de-DE"/>
              </w:rPr>
              <w:t>einfügen bei Komplexen Produkten mit einer Zeichnungsfrist und anschliessendem Angebot und mit einem "bis zu" Emissionsvolumen:</w:t>
            </w:r>
            <w:r w:rsidRPr="005775A2">
              <w:rPr>
                <w:lang w:val="de-DE"/>
              </w:rPr>
              <w:t xml:space="preserve"> Das anfängliche Emissionsvolumen nach Ablauf der Zeichnungsfrist wird veröffentlicht, indem diese Information für Inhaber bei der Geschäftsstelle der Zahlstelle bereit gehalten wird. Während der Laufzeit der Komplexen Produkte wird die Emittentin auf Nachfrage </w:t>
            </w:r>
            <w:r>
              <w:rPr>
                <w:lang w:val="de-DE"/>
              </w:rPr>
              <w:t xml:space="preserve">der Inhaber </w:t>
            </w:r>
            <w:r w:rsidRPr="005775A2">
              <w:rPr>
                <w:lang w:val="de-DE"/>
              </w:rPr>
              <w:t>Auskunft über das aktuelle Emissionsvolumen erteilen.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775A2" w:rsidP="00907128">
            <w:pPr>
              <w:pStyle w:val="CSBody8ptbolditalics"/>
              <w:rPr>
                <w:lang w:val="de-DE"/>
              </w:rPr>
            </w:pPr>
          </w:p>
        </w:tc>
        <w:tc>
          <w:tcPr>
            <w:tcW w:w="3315" w:type="dxa"/>
            <w:gridSpan w:val="7"/>
            <w:tcBorders>
              <w:top w:val="nil"/>
              <w:left w:val="nil"/>
              <w:bottom w:val="nil"/>
            </w:tcBorders>
            <w:shd w:val="clear" w:color="auto" w:fill="auto"/>
          </w:tcPr>
          <w:p w:rsidR="0017135D" w:rsidP="00907128">
            <w:pPr>
              <w:pStyle w:val="CSBody8ptbolditalics"/>
            </w:pPr>
            <w:r w:rsidRPr="00792D61">
              <w:t>[</w:t>
            </w:r>
            <w:r w:rsidRPr="00A53D02">
              <w:t xml:space="preserve">insert other provision regarding publication of final Issue Size: </w:t>
            </w:r>
            <w:r w:rsidRPr="00792D61">
              <w:t>[</w:t>
            </w:r>
            <w:r w:rsidRPr="00A53D02">
              <w:rPr>
                <w:rFonts w:ascii="Arial" w:hAnsi="Arial" w:cs="Arial"/>
              </w:rPr>
              <w:t>●</w:t>
            </w:r>
            <w:r w:rsidRPr="00792D61">
              <w:t>]]]</w:t>
            </w:r>
          </w:p>
        </w:tc>
        <w:tc>
          <w:tcPr>
            <w:tcW w:w="1705" w:type="dxa"/>
            <w:gridSpan w:val="3"/>
            <w:tcBorders>
              <w:top w:val="nil"/>
              <w:bottom w:val="nil"/>
              <w:right w:val="nil"/>
            </w:tcBorders>
            <w:shd w:val="clear" w:color="auto" w:fill="auto"/>
          </w:tcPr>
          <w:p w:rsidR="0017135D" w:rsidRPr="005775A2" w:rsidP="00907128">
            <w:pPr>
              <w:pStyle w:val="CSBody8ptbolditalics"/>
            </w:pPr>
          </w:p>
        </w:tc>
        <w:tc>
          <w:tcPr>
            <w:tcW w:w="3231" w:type="dxa"/>
            <w:gridSpan w:val="9"/>
            <w:tcBorders>
              <w:top w:val="nil"/>
              <w:left w:val="nil"/>
              <w:bottom w:val="nil"/>
              <w:right w:val="nil"/>
            </w:tcBorders>
            <w:shd w:val="clear" w:color="auto" w:fill="auto"/>
          </w:tcPr>
          <w:p w:rsidR="0017135D" w:rsidRPr="005775A2" w:rsidP="00907128">
            <w:pPr>
              <w:pStyle w:val="CSBody8ptbolditalics"/>
              <w:rPr>
                <w:lang w:val="de-DE"/>
              </w:rPr>
            </w:pPr>
            <w:r w:rsidRPr="00792D61">
              <w:rPr>
                <w:lang w:val="de-DE"/>
              </w:rPr>
              <w:t>[</w:t>
            </w:r>
            <w:r w:rsidRPr="005775A2">
              <w:rPr>
                <w:lang w:val="de-DE"/>
              </w:rPr>
              <w:t xml:space="preserve">andere Regelung zur Veröffentlichung des endgültigen Emissionsvolumens einfügen: </w:t>
            </w:r>
            <w:r w:rsidRPr="00792D61">
              <w:rPr>
                <w:lang w:val="de-DE"/>
              </w:rPr>
              <w:t>[</w:t>
            </w:r>
            <w:r w:rsidRPr="005775A2">
              <w:rPr>
                <w:rFonts w:ascii="Arial" w:hAnsi="Arial" w:cs="Arial"/>
                <w:lang w:val="de-DE"/>
              </w:rPr>
              <w:t>●</w:t>
            </w:r>
            <w:r w:rsidRPr="00792D61">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64657">
            <w:pPr>
              <w:pStyle w:val="CSBody8pt"/>
            </w:pPr>
            <w:r w:rsidRPr="00164657">
              <w:rPr>
                <w:b/>
              </w:rPr>
              <w:t>[</w:t>
            </w:r>
            <w:r w:rsidRPr="00164657">
              <w:t>Specified Denomination</w:t>
            </w:r>
            <w:r>
              <w:fldChar w:fldCharType="begin"/>
            </w:r>
            <w:r w:rsidR="002C5825">
              <w:instrText xml:space="preserve"> XE "</w:instrText>
            </w:r>
            <w:r w:rsidRPr="002157D4" w:rsidR="002C5825">
              <w:instrText>Denomination</w:instrText>
            </w:r>
            <w:r w:rsidR="002C5825">
              <w:instrText>" \f "EN"</w:instrText>
            </w:r>
            <w:r>
              <w:fldChar w:fldCharType="end"/>
            </w:r>
            <w:r>
              <w:fldChar w:fldCharType="begin"/>
            </w:r>
            <w:r w:rsidRPr="00164657">
              <w:instrText xml:space="preserve"> XE "Specified Denomination" \f "EN"</w:instrText>
            </w:r>
            <w:r>
              <w:fldChar w:fldCharType="end"/>
            </w:r>
          </w:p>
        </w:tc>
        <w:tc>
          <w:tcPr>
            <w:tcW w:w="3315" w:type="dxa"/>
            <w:gridSpan w:val="7"/>
            <w:tcBorders>
              <w:top w:val="nil"/>
              <w:left w:val="nil"/>
              <w:bottom w:val="nil"/>
            </w:tcBorders>
            <w:shd w:val="clear" w:color="auto" w:fill="auto"/>
          </w:tcPr>
          <w:p w:rsidR="0017135D" w:rsidRPr="00164657" w:rsidP="00907128">
            <w:pPr>
              <w:pStyle w:val="CSBody8pt"/>
            </w:pPr>
            <w:r w:rsidRPr="00164657">
              <w:rPr>
                <w:b/>
              </w:rPr>
              <w:t>[[</w:t>
            </w:r>
            <w:r w:rsidRPr="00164657">
              <w:rPr>
                <w:rFonts w:ascii="Arial" w:hAnsi="Arial" w:cs="Arial"/>
              </w:rPr>
              <w:t>●</w:t>
            </w:r>
            <w:r w:rsidRPr="00164657">
              <w:rPr>
                <w:b/>
              </w:rPr>
              <w:t>]</w:t>
            </w:r>
            <w:r w:rsidRPr="00164657">
              <w:t xml:space="preserve"> and integral multiples </w:t>
            </w:r>
            <w:r w:rsidRPr="00164657">
              <w:rPr>
                <w:b/>
              </w:rPr>
              <w:t>[</w:t>
            </w:r>
            <w:r w:rsidRPr="00164657">
              <w:t xml:space="preserve">of </w:t>
            </w:r>
            <w:r w:rsidRPr="00164657">
              <w:rPr>
                <w:b/>
              </w:rPr>
              <w:t>[</w:t>
            </w:r>
            <w:r w:rsidRPr="00164657">
              <w:rPr>
                <w:rFonts w:ascii="Arial" w:hAnsi="Arial" w:cs="Arial"/>
              </w:rPr>
              <w:t>●</w:t>
            </w:r>
            <w:r w:rsidRPr="00164657">
              <w:rPr>
                <w:b/>
              </w:rPr>
              <w:t>]</w:t>
            </w:r>
            <w:r w:rsidRPr="00164657">
              <w:t xml:space="preserve"> in excess</w:t>
            </w:r>
            <w:r w:rsidRPr="00164657">
              <w:rPr>
                <w:b/>
              </w:rPr>
              <w:t>]</w:t>
            </w:r>
            <w:r w:rsidRPr="00164657">
              <w:t xml:space="preserve"> thereof</w:t>
            </w:r>
            <w:r w:rsidRPr="00164657">
              <w:rPr>
                <w:b/>
              </w:rPr>
              <w:t>]</w:t>
            </w:r>
            <w:r w:rsidRPr="00164657">
              <w:t xml:space="preserve"> </w:t>
            </w:r>
            <w:r w:rsidRPr="00164657">
              <w:rPr>
                <w:b/>
              </w:rPr>
              <w:t>[[</w:t>
            </w:r>
            <w:r w:rsidRPr="00164657">
              <w:rPr>
                <w:rFonts w:ascii="Arial" w:hAnsi="Arial" w:cs="Arial"/>
              </w:rPr>
              <w:t>●</w:t>
            </w:r>
            <w:r w:rsidRPr="00164657">
              <w:rPr>
                <w:b/>
              </w:rPr>
              <w:t>]]</w:t>
            </w:r>
            <w:r w:rsidRPr="00164657" w:rsidR="00164657">
              <w:rPr>
                <w:b/>
              </w:rPr>
              <w:t>]</w:t>
            </w:r>
          </w:p>
        </w:tc>
        <w:tc>
          <w:tcPr>
            <w:tcW w:w="1705" w:type="dxa"/>
            <w:gridSpan w:val="3"/>
            <w:tcBorders>
              <w:top w:val="nil"/>
              <w:bottom w:val="nil"/>
              <w:right w:val="nil"/>
            </w:tcBorders>
            <w:shd w:val="clear" w:color="auto" w:fill="auto"/>
          </w:tcPr>
          <w:p w:rsidR="0017135D" w:rsidRPr="00164657" w:rsidP="00907128">
            <w:pPr>
              <w:pStyle w:val="CSBody8pt"/>
            </w:pPr>
            <w:r w:rsidRPr="00164657">
              <w:rPr>
                <w:b/>
              </w:rPr>
              <w:t>[</w:t>
            </w:r>
            <w:r w:rsidRPr="00BD6E0D" w:rsidR="00C87AFC">
              <w:t xml:space="preserve">Festgelegte </w:t>
            </w:r>
            <w:r w:rsidRPr="00164657">
              <w:t>Stückelung</w:t>
            </w:r>
            <w:r>
              <w:fldChar w:fldCharType="begin"/>
            </w:r>
            <w:r w:rsidRPr="00164657">
              <w:instrText xml:space="preserve"> XE "Stückelung" </w:instrText>
            </w:r>
            <w:r>
              <w:fldChar w:fldCharType="end"/>
            </w:r>
          </w:p>
        </w:tc>
        <w:tc>
          <w:tcPr>
            <w:tcW w:w="3231" w:type="dxa"/>
            <w:gridSpan w:val="9"/>
            <w:tcBorders>
              <w:top w:val="nil"/>
              <w:left w:val="nil"/>
              <w:bottom w:val="nil"/>
              <w:right w:val="nil"/>
            </w:tcBorders>
            <w:shd w:val="clear" w:color="auto" w:fill="auto"/>
          </w:tcPr>
          <w:p w:rsidR="0017135D" w:rsidRPr="00164657">
            <w:pPr>
              <w:pStyle w:val="CSBody8pt"/>
              <w:rPr>
                <w:lang w:val="de-DE"/>
              </w:rPr>
            </w:pPr>
            <w:r w:rsidRPr="00164657">
              <w:rPr>
                <w:b/>
                <w:lang w:val="de-DE"/>
              </w:rPr>
              <w:t>[[</w:t>
            </w:r>
            <w:r w:rsidRPr="00164657">
              <w:rPr>
                <w:rFonts w:ascii="Arial" w:hAnsi="Arial" w:cs="Arial"/>
                <w:lang w:val="de-DE"/>
              </w:rPr>
              <w:t>●</w:t>
            </w:r>
            <w:r w:rsidRPr="00164657">
              <w:rPr>
                <w:b/>
                <w:lang w:val="de-DE"/>
              </w:rPr>
              <w:t>]</w:t>
            </w:r>
            <w:r w:rsidRPr="00164657">
              <w:rPr>
                <w:lang w:val="de-DE"/>
              </w:rPr>
              <w:t xml:space="preserve"> und </w:t>
            </w:r>
            <w:r w:rsidRPr="00BD6E0D" w:rsidR="006F0893">
              <w:rPr>
                <w:b/>
                <w:lang w:val="de-DE"/>
              </w:rPr>
              <w:t>[</w:t>
            </w:r>
            <w:r w:rsidR="00C17ED4">
              <w:rPr>
                <w:lang w:val="de-DE"/>
              </w:rPr>
              <w:t>ganzzahlige Vielfache von diesem Betrag</w:t>
            </w:r>
            <w:r w:rsidRPr="00164657">
              <w:rPr>
                <w:b/>
                <w:lang w:val="de-DE"/>
              </w:rPr>
              <w:t>]</w:t>
            </w:r>
            <w:r w:rsidR="00C17ED4">
              <w:rPr>
                <w:b/>
                <w:lang w:val="de-DE"/>
              </w:rPr>
              <w:t>[</w:t>
            </w:r>
            <w:r w:rsidR="00C17ED4">
              <w:rPr>
                <w:lang w:val="de-DE"/>
              </w:rPr>
              <w:t xml:space="preserve">über diesen Betrag hinaus ganzzahlige Vielfache von </w:t>
            </w:r>
            <w:r w:rsidR="00C17ED4">
              <w:rPr>
                <w:b/>
                <w:lang w:val="de-DE"/>
              </w:rPr>
              <w:t>[</w:t>
            </w:r>
            <w:r w:rsidR="00C17ED4">
              <w:rPr>
                <w:rFonts w:ascii="Wingdings" w:hAnsi="Wingdings"/>
                <w:b/>
                <w:lang w:val="de-DE"/>
              </w:rPr>
              <w:sym w:font="Wingdings" w:char="F06C"/>
            </w:r>
            <w:r w:rsidRPr="00BD6E0D" w:rsidR="00C17ED4">
              <w:rPr>
                <w:b/>
                <w:lang w:val="de-DE"/>
              </w:rPr>
              <w:t>]</w:t>
            </w:r>
            <w:r w:rsidR="00C17ED4">
              <w:rPr>
                <w:lang w:val="de-DE"/>
              </w:rPr>
              <w:t>]</w:t>
            </w:r>
            <w:r w:rsidRPr="00164657">
              <w:rPr>
                <w:lang w:val="de-DE"/>
              </w:rPr>
              <w:t xml:space="preserve"> </w:t>
            </w:r>
            <w:r w:rsidRPr="00164657">
              <w:rPr>
                <w:b/>
                <w:lang w:val="de-DE"/>
              </w:rPr>
              <w:t>[[</w:t>
            </w:r>
            <w:r w:rsidRPr="00164657">
              <w:rPr>
                <w:rFonts w:ascii="Arial" w:hAnsi="Arial" w:cs="Arial"/>
                <w:lang w:val="de-DE"/>
              </w:rPr>
              <w:t>●</w:t>
            </w:r>
            <w:r w:rsidRPr="00164657">
              <w:rPr>
                <w:b/>
                <w:lang w:val="de-DE"/>
              </w:rPr>
              <w:t>]]</w:t>
            </w:r>
            <w:r w:rsidRPr="00164657" w:rsidR="00164657">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64657" w:rsidP="00907128">
            <w:pPr>
              <w:pStyle w:val="CSBody8pt"/>
              <w:rPr>
                <w:b/>
                <w:lang w:val="de-DE"/>
              </w:rPr>
            </w:pPr>
            <w:r w:rsidRPr="00164657">
              <w:rPr>
                <w:lang w:val="de-DE"/>
              </w:rPr>
              <w:t xml:space="preserve">Denomination </w:t>
            </w:r>
            <w:r w:rsidRPr="00164657" w:rsidR="00164657">
              <w:rPr>
                <w:b/>
                <w:lang w:val="de-DE"/>
              </w:rPr>
              <w:t>[</w:t>
            </w:r>
            <w:r w:rsidRPr="00164657">
              <w:rPr>
                <w:lang w:val="de-DE"/>
              </w:rPr>
              <w:t>(for calculation purposes)</w:t>
            </w:r>
            <w:r w:rsidRPr="00164657" w:rsidR="00164657">
              <w:rPr>
                <w:b/>
                <w:lang w:val="de-DE"/>
              </w:rPr>
              <w:t>]</w:t>
            </w:r>
          </w:p>
        </w:tc>
        <w:tc>
          <w:tcPr>
            <w:tcW w:w="3315" w:type="dxa"/>
            <w:gridSpan w:val="7"/>
            <w:tcBorders>
              <w:top w:val="nil"/>
              <w:left w:val="nil"/>
              <w:bottom w:val="nil"/>
            </w:tcBorders>
            <w:shd w:val="clear" w:color="auto" w:fill="auto"/>
          </w:tcPr>
          <w:p w:rsidR="0017135D" w:rsidRPr="00164657" w:rsidP="00907128">
            <w:pPr>
              <w:pStyle w:val="CSBody8pt"/>
            </w:pPr>
            <w:r w:rsidRPr="00164657">
              <w:rPr>
                <w:b/>
              </w:rPr>
              <w:t>[</w:t>
            </w:r>
            <w:r w:rsidRPr="00164657">
              <w:rPr>
                <w:rFonts w:ascii="Arial" w:hAnsi="Arial" w:cs="Arial"/>
              </w:rPr>
              <w:t>●</w:t>
            </w:r>
            <w:r w:rsidRPr="00164657">
              <w:rPr>
                <w:b/>
              </w:rPr>
              <w:t>]</w:t>
            </w:r>
          </w:p>
        </w:tc>
        <w:tc>
          <w:tcPr>
            <w:tcW w:w="1705" w:type="dxa"/>
            <w:gridSpan w:val="3"/>
            <w:tcBorders>
              <w:top w:val="nil"/>
              <w:bottom w:val="nil"/>
              <w:right w:val="nil"/>
            </w:tcBorders>
            <w:shd w:val="clear" w:color="auto" w:fill="auto"/>
          </w:tcPr>
          <w:p w:rsidR="0017135D" w:rsidRPr="00164657" w:rsidP="00907128">
            <w:pPr>
              <w:pStyle w:val="CSBody8pt"/>
              <w:rPr>
                <w:b/>
              </w:rPr>
            </w:pPr>
            <w:r w:rsidRPr="00164657">
              <w:t xml:space="preserve">Stückelung </w:t>
            </w:r>
            <w:r w:rsidRPr="00164657" w:rsidR="00164657">
              <w:rPr>
                <w:b/>
              </w:rPr>
              <w:t>[</w:t>
            </w:r>
            <w:r w:rsidRPr="00164657">
              <w:t>(für Berechnungen)</w:t>
            </w:r>
            <w:r w:rsidRPr="00164657" w:rsidR="00164657">
              <w:rPr>
                <w:b/>
              </w:rPr>
              <w:t>]</w:t>
            </w:r>
          </w:p>
        </w:tc>
        <w:tc>
          <w:tcPr>
            <w:tcW w:w="3231" w:type="dxa"/>
            <w:gridSpan w:val="9"/>
            <w:tcBorders>
              <w:top w:val="nil"/>
              <w:left w:val="nil"/>
              <w:bottom w:val="nil"/>
              <w:right w:val="nil"/>
            </w:tcBorders>
            <w:shd w:val="clear" w:color="auto" w:fill="auto"/>
          </w:tcPr>
          <w:p w:rsidR="0017135D" w:rsidRPr="00164657" w:rsidP="00164657">
            <w:pPr>
              <w:pStyle w:val="CSBody8pt"/>
            </w:pPr>
            <w:r w:rsidRPr="00164657">
              <w:rPr>
                <w:b/>
              </w:rPr>
              <w:t>[</w:t>
            </w:r>
            <w:r w:rsidRPr="00164657">
              <w:rPr>
                <w:rFonts w:ascii="Arial" w:hAnsi="Arial" w:cs="Arial"/>
              </w:rPr>
              <w:t>●</w:t>
            </w:r>
            <w:r w:rsidRPr="00164657">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907128">
            <w:pPr>
              <w:pStyle w:val="CSBody8pt"/>
              <w:rPr>
                <w:lang w:val="de-DE"/>
              </w:rPr>
            </w:pPr>
            <w:r w:rsidRPr="00792D61">
              <w:rPr>
                <w:b/>
                <w:lang w:val="de-DE"/>
              </w:rPr>
              <w:t>[</w:t>
            </w:r>
            <w:r w:rsidRPr="00CB4335">
              <w:rPr>
                <w:lang w:val="de-DE"/>
              </w:rPr>
              <w:t>Principal Amount</w:t>
            </w:r>
            <w:r>
              <w:rPr>
                <w:lang w:val="de-DE"/>
              </w:rPr>
              <w:fldChar w:fldCharType="begin"/>
            </w:r>
            <w:r>
              <w:instrText xml:space="preserve"> XE "</w:instrText>
            </w:r>
            <w:r w:rsidRPr="00736D0B">
              <w:rPr>
                <w:lang w:val="de-DE"/>
              </w:rPr>
              <w:instrText>Principal Amount</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CB4335" w:rsidP="00907128">
            <w:pPr>
              <w:pStyle w:val="CSBody8pt"/>
            </w:pPr>
            <w:r w:rsidRPr="00792D61">
              <w:rPr>
                <w:b/>
              </w:rPr>
              <w:t>[</w:t>
            </w:r>
            <w:r w:rsidRPr="00CB4335">
              <w:t>the Denomination</w:t>
            </w:r>
            <w:r w:rsidRPr="00792D61">
              <w:rPr>
                <w:b/>
              </w:rPr>
              <w:t>][[</w:t>
            </w:r>
            <w:r w:rsidRPr="00CB4335">
              <w:rPr>
                <w:rFonts w:ascii="Arial" w:hAnsi="Arial" w:cs="Arial"/>
              </w:rPr>
              <w:t>●</w:t>
            </w:r>
            <w:r w:rsidRPr="00792D61">
              <w:rPr>
                <w:b/>
              </w:rPr>
              <w:t>]]]</w:t>
            </w:r>
          </w:p>
        </w:tc>
        <w:tc>
          <w:tcPr>
            <w:tcW w:w="1705" w:type="dxa"/>
            <w:gridSpan w:val="3"/>
            <w:tcBorders>
              <w:top w:val="nil"/>
              <w:bottom w:val="nil"/>
              <w:right w:val="nil"/>
            </w:tcBorders>
            <w:shd w:val="clear" w:color="auto" w:fill="auto"/>
          </w:tcPr>
          <w:p w:rsidR="0017135D" w:rsidRPr="00CB4335" w:rsidP="00907128">
            <w:pPr>
              <w:pStyle w:val="CSBody8pt"/>
            </w:pPr>
            <w:r w:rsidRPr="00792D61">
              <w:rPr>
                <w:b/>
              </w:rPr>
              <w:t>[</w:t>
            </w:r>
            <w:r w:rsidRPr="00CB4335">
              <w:t>Nennbetrag</w:t>
            </w:r>
            <w:r>
              <w:fldChar w:fldCharType="begin"/>
            </w:r>
            <w:r>
              <w:instrText xml:space="preserve"> XE "</w:instrText>
            </w:r>
            <w:r w:rsidRPr="009F70B7">
              <w:instrText>Nennbetrag</w:instrText>
            </w:r>
            <w:r>
              <w:instrText xml:space="preserve">" </w:instrText>
            </w:r>
            <w:r>
              <w:fldChar w:fldCharType="end"/>
            </w:r>
          </w:p>
        </w:tc>
        <w:tc>
          <w:tcPr>
            <w:tcW w:w="3231" w:type="dxa"/>
            <w:gridSpan w:val="9"/>
            <w:tcBorders>
              <w:top w:val="nil"/>
              <w:left w:val="nil"/>
              <w:bottom w:val="nil"/>
              <w:right w:val="nil"/>
            </w:tcBorders>
            <w:shd w:val="clear" w:color="auto" w:fill="auto"/>
          </w:tcPr>
          <w:p w:rsidR="0017135D" w:rsidRPr="00CB4335" w:rsidP="00907128">
            <w:pPr>
              <w:pStyle w:val="CSBody8pt"/>
              <w:rPr>
                <w:lang w:val="de-DE"/>
              </w:rPr>
            </w:pPr>
            <w:r w:rsidRPr="00792D61">
              <w:rPr>
                <w:b/>
                <w:lang w:val="de-DE"/>
              </w:rPr>
              <w:t>[</w:t>
            </w:r>
            <w:r w:rsidRPr="00CB4335">
              <w:rPr>
                <w:lang w:val="de-DE"/>
              </w:rPr>
              <w:t>die Stückelung</w:t>
            </w:r>
            <w:r w:rsidRPr="00792D61">
              <w:rPr>
                <w:b/>
                <w:lang w:val="de-DE"/>
              </w:rPr>
              <w:t>][[</w:t>
            </w:r>
            <w:r>
              <w:rPr>
                <w:rFonts w:ascii="Arial" w:hAnsi="Arial" w:cs="Arial"/>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CB4335" w:rsidP="00907128">
            <w:pPr>
              <w:pStyle w:val="CSBody8ptbolditalics"/>
            </w:pPr>
            <w:r w:rsidRPr="00792D61">
              <w:t>[</w:t>
            </w:r>
            <w:r w:rsidRPr="00CB4335">
              <w:t>in the case of Credit-Linked Complex Products with auction settlement and a Basket or in the case of Credit-Linked Complex Products with Zero-Recovery feature linked to a Basket, insert:</w:t>
            </w:r>
          </w:p>
        </w:tc>
        <w:tc>
          <w:tcPr>
            <w:tcW w:w="4936" w:type="dxa"/>
            <w:gridSpan w:val="12"/>
            <w:tcBorders>
              <w:top w:val="nil"/>
              <w:bottom w:val="nil"/>
              <w:right w:val="nil"/>
            </w:tcBorders>
            <w:shd w:val="clear" w:color="auto" w:fill="auto"/>
          </w:tcPr>
          <w:p w:rsidR="0017135D" w:rsidRPr="00CB4335" w:rsidP="00907128">
            <w:pPr>
              <w:pStyle w:val="CSBody8ptbolditalics"/>
              <w:rPr>
                <w:lang w:val="de-DE"/>
              </w:rPr>
            </w:pPr>
            <w:r w:rsidRPr="00792D61">
              <w:rPr>
                <w:lang w:val="de-DE"/>
              </w:rPr>
              <w:t>[</w:t>
            </w:r>
            <w:r w:rsidRPr="00CB4335">
              <w:rPr>
                <w:lang w:val="de-DE"/>
              </w:rPr>
              <w:t>bei Kreditbezogenen Komplexen Produkten mit Auktionsabwicklung und einem Korb oder bei Kreditbezogenen Komplexen Produkten mit Zero-Recovery-Merkmal, die an einen Korb gekoppelt sind,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907128">
            <w:pPr>
              <w:pStyle w:val="CSBody8pt"/>
            </w:pPr>
            <w:r w:rsidRPr="00CB4335">
              <w:t>Outstanding Principal Amount</w:t>
            </w:r>
            <w:r>
              <w:fldChar w:fldCharType="begin"/>
            </w:r>
            <w:r>
              <w:instrText xml:space="preserve"> XE "</w:instrText>
            </w:r>
            <w:r w:rsidRPr="006B562D">
              <w:instrText>Outstanding Principal Amount</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CB4335" w:rsidP="00907128">
            <w:pPr>
              <w:pStyle w:val="CSBody8pt"/>
            </w:pPr>
            <w:r w:rsidRPr="00CB4335">
              <w:t>at any time, the Principal Amount less the Reference Entity Principal Amount for each Affected Reference Entity at such time.</w:t>
            </w:r>
          </w:p>
        </w:tc>
        <w:tc>
          <w:tcPr>
            <w:tcW w:w="1618" w:type="dxa"/>
            <w:gridSpan w:val="2"/>
            <w:tcBorders>
              <w:top w:val="nil"/>
              <w:bottom w:val="nil"/>
              <w:right w:val="nil"/>
            </w:tcBorders>
            <w:shd w:val="clear" w:color="auto" w:fill="auto"/>
          </w:tcPr>
          <w:p w:rsidR="0017135D" w:rsidRPr="00CB4335" w:rsidP="00907128">
            <w:pPr>
              <w:pStyle w:val="CSBody8pt"/>
            </w:pPr>
            <w:r w:rsidRPr="00CB4335">
              <w:t>Ausstehender Nennbetrag</w:t>
            </w:r>
            <w:r>
              <w:fldChar w:fldCharType="begin"/>
            </w:r>
            <w:r>
              <w:instrText xml:space="preserve"> XE "</w:instrText>
            </w:r>
            <w:r w:rsidRPr="001E1338">
              <w:instrText>Ausstehender Nennbetrag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CB4335" w:rsidP="00907128">
            <w:pPr>
              <w:pStyle w:val="CSBody8pt"/>
              <w:rPr>
                <w:lang w:val="de-DE"/>
              </w:rPr>
            </w:pPr>
            <w:r w:rsidRPr="00CB4335">
              <w:rPr>
                <w:lang w:val="de-DE"/>
              </w:rPr>
              <w:t>zu jedem Zeitpunkt der Nennbetrag abzüglich des Referenzschuldner-Nennbetrags für jeden zu diesem Zeitpunkt Betroffenen Referenzschuldner.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907128">
            <w:pPr>
              <w:pStyle w:val="CSBody8pt"/>
              <w:rPr>
                <w:lang w:val="de-DE"/>
              </w:rPr>
            </w:pPr>
            <w:r w:rsidRPr="00CB4335">
              <w:rPr>
                <w:lang w:val="de-DE"/>
              </w:rPr>
              <w:t>Reference Entity Principal Amount</w:t>
            </w:r>
            <w:r>
              <w:rPr>
                <w:lang w:val="de-DE"/>
              </w:rPr>
              <w:fldChar w:fldCharType="begin"/>
            </w:r>
            <w:r>
              <w:instrText xml:space="preserve"> XE "</w:instrText>
            </w:r>
            <w:r w:rsidRPr="00CE4CF9">
              <w:rPr>
                <w:lang w:val="de-DE"/>
              </w:rPr>
              <w:instrText>Reference Entity Principal Amount</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CB4335" w:rsidP="00907128">
            <w:pPr>
              <w:pStyle w:val="CSBody8pt"/>
            </w:pPr>
            <w:r w:rsidRPr="00CB4335">
              <w:t>with respect to any Reference Entity, the Principal Amount multiplied by the Weighting of such Reference Entity.</w:t>
            </w:r>
            <w:r w:rsidRPr="00792D61">
              <w:rPr>
                <w:b/>
              </w:rPr>
              <w:t>]</w:t>
            </w:r>
          </w:p>
        </w:tc>
        <w:tc>
          <w:tcPr>
            <w:tcW w:w="1618" w:type="dxa"/>
            <w:gridSpan w:val="2"/>
            <w:tcBorders>
              <w:top w:val="nil"/>
              <w:bottom w:val="nil"/>
              <w:right w:val="nil"/>
            </w:tcBorders>
            <w:shd w:val="clear" w:color="auto" w:fill="auto"/>
          </w:tcPr>
          <w:p w:rsidR="0017135D" w:rsidRPr="00CB4335" w:rsidP="00CB4335">
            <w:pPr>
              <w:pStyle w:val="CSBody8pt"/>
            </w:pPr>
            <w:r w:rsidRPr="00CB4335">
              <w:t>Referenzschuldner-Nennbetrag</w:t>
            </w:r>
            <w:r>
              <w:fldChar w:fldCharType="begin"/>
            </w:r>
            <w:r>
              <w:instrText xml:space="preserve"> XE "</w:instrText>
            </w:r>
            <w:r w:rsidRPr="00D62056">
              <w:instrText>Referenzschuldner-Nennbetrag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CB4335" w:rsidP="00E968C0">
            <w:pPr>
              <w:pStyle w:val="CSBody8pt"/>
              <w:rPr>
                <w:lang w:val="de-DE"/>
              </w:rPr>
            </w:pPr>
            <w:r w:rsidRPr="00CB4335">
              <w:rPr>
                <w:lang w:val="de-DE"/>
              </w:rPr>
              <w:t>in Bezug auf einen Referenzschuldner der Nennbetrag multipliziert mit der Gewichtung dieses Referenzschuldners.</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907128">
            <w:pPr>
              <w:pStyle w:val="CSBody8pt"/>
            </w:pPr>
            <w:r w:rsidRPr="00CB4335">
              <w:t>Issue Currency</w:t>
            </w:r>
            <w:r>
              <w:fldChar w:fldCharType="begin"/>
            </w:r>
            <w:r>
              <w:instrText xml:space="preserve"> XE "</w:instrText>
            </w:r>
            <w:r w:rsidRPr="002D202C">
              <w:instrText>Issue Currency</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CB4335" w:rsidP="00CB4335">
            <w:pPr>
              <w:pStyle w:val="CSBody8pt"/>
            </w:pPr>
            <w:r w:rsidRPr="00CB4335">
              <w:t>Emissionswährung</w:t>
            </w:r>
            <w:r>
              <w:fldChar w:fldCharType="begin"/>
            </w:r>
            <w:r>
              <w:instrText xml:space="preserve"> XE "</w:instrText>
            </w:r>
            <w:r w:rsidRPr="000E2820">
              <w:instrText>Emissionswährung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907128">
            <w:pPr>
              <w:pStyle w:val="CSBody8pt"/>
            </w:pPr>
            <w:r w:rsidRPr="00CB4335">
              <w:t>Settlement Currency</w:t>
            </w:r>
            <w:r>
              <w:fldChar w:fldCharType="begin"/>
            </w:r>
            <w:r>
              <w:instrText xml:space="preserve"> XE "</w:instrText>
            </w:r>
            <w:r w:rsidRPr="00ED6765">
              <w:instrText>Settlement Currency</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CB4335" w:rsidP="00CB4335">
            <w:pPr>
              <w:pStyle w:val="CSBody8pt"/>
            </w:pPr>
            <w:r w:rsidRPr="00CB4335">
              <w:t>Abwicklungswährung</w:t>
            </w:r>
            <w:r>
              <w:fldChar w:fldCharType="begin"/>
            </w:r>
            <w:r>
              <w:instrText xml:space="preserve"> XE "</w:instrText>
            </w:r>
            <w:r w:rsidRPr="004528E6">
              <w:instrText>Abwicklungswährung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907128">
            <w:pPr>
              <w:pStyle w:val="CSBody8pt"/>
            </w:pPr>
            <w:r w:rsidRPr="00CB4335">
              <w:t xml:space="preserve">Issue Price </w:t>
            </w:r>
            <w:r w:rsidRPr="00792D61">
              <w:rPr>
                <w:b/>
              </w:rPr>
              <w:t>[</w:t>
            </w:r>
            <w:r w:rsidRPr="00CB4335">
              <w:t>/Offer Price</w:t>
            </w:r>
            <w:r w:rsidRPr="00792D61">
              <w:rPr>
                <w:b/>
              </w:rPr>
              <w:t>]</w:t>
            </w:r>
            <w:r>
              <w:fldChar w:fldCharType="begin"/>
            </w:r>
            <w:r>
              <w:instrText xml:space="preserve"> XE "</w:instrText>
            </w:r>
            <w:r w:rsidRPr="00B313C3">
              <w:instrText xml:space="preserve">Issue Price </w:instrText>
            </w:r>
            <w:r w:rsidRPr="00792D61">
              <w:rPr>
                <w:b/>
              </w:rPr>
              <w:instrText>[</w:instrText>
            </w:r>
            <w:r w:rsidRPr="00B313C3">
              <w:instrText>/Offer Price</w:instrText>
            </w:r>
            <w:r w:rsidRPr="00792D61">
              <w:rPr>
                <w:b/>
              </w:rPr>
              <w:instrText>]</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r w:rsidRPr="00CB4335">
              <w:rPr>
                <w:rFonts w:ascii="Arial" w:hAnsi="Arial" w:cs="Arial"/>
              </w:rPr>
              <w:t>●</w:t>
            </w:r>
            <w:r w:rsidRPr="00792D61">
              <w:rPr>
                <w:b/>
              </w:rPr>
              <w:t>]</w:t>
            </w:r>
            <w:r w:rsidRPr="00CB4335">
              <w:t>% of the Principal Amount</w:t>
            </w:r>
            <w:r w:rsidRPr="00792D61">
              <w:rPr>
                <w:b/>
              </w:rPr>
              <w:t>]</w:t>
            </w:r>
          </w:p>
        </w:tc>
        <w:tc>
          <w:tcPr>
            <w:tcW w:w="1618" w:type="dxa"/>
            <w:gridSpan w:val="2"/>
            <w:tcBorders>
              <w:top w:val="nil"/>
              <w:bottom w:val="nil"/>
              <w:right w:val="nil"/>
            </w:tcBorders>
            <w:shd w:val="clear" w:color="auto" w:fill="auto"/>
          </w:tcPr>
          <w:p w:rsidR="0017135D" w:rsidRPr="00CB4335" w:rsidP="00907128">
            <w:pPr>
              <w:pStyle w:val="CSBody8pt"/>
            </w:pPr>
            <w:r w:rsidRPr="00CB4335">
              <w:t xml:space="preserve">Emissionspreis </w:t>
            </w:r>
            <w:r w:rsidRPr="00792D61">
              <w:rPr>
                <w:b/>
              </w:rPr>
              <w:t>[</w:t>
            </w:r>
            <w:r w:rsidRPr="00CB4335">
              <w:t>/Angebotspreis</w:t>
            </w:r>
            <w:r w:rsidRPr="00792D61">
              <w:rPr>
                <w:b/>
              </w:rPr>
              <w:t>]</w:t>
            </w:r>
            <w:r>
              <w:fldChar w:fldCharType="begin"/>
            </w:r>
            <w:r>
              <w:instrText xml:space="preserve"> XE "</w:instrText>
            </w:r>
            <w:r w:rsidRPr="00B62432">
              <w:instrText xml:space="preserve">Emissionspreis </w:instrText>
            </w:r>
            <w:r w:rsidRPr="00792D61">
              <w:rPr>
                <w:b/>
              </w:rPr>
              <w:instrText>[</w:instrText>
            </w:r>
            <w:r w:rsidRPr="00B62432">
              <w:instrText>/Angebotspreis</w:instrText>
            </w:r>
            <w:r w:rsidRPr="00792D61">
              <w:rPr>
                <w:b/>
              </w:rPr>
              <w:instrText>]</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r w:rsidRPr="00CB4335">
              <w:rPr>
                <w:rFonts w:ascii="Arial" w:hAnsi="Arial" w:cs="Arial"/>
              </w:rPr>
              <w:t>●</w:t>
            </w:r>
            <w:r w:rsidRPr="00792D61">
              <w:rPr>
                <w:b/>
              </w:rPr>
              <w:t>]</w:t>
            </w:r>
            <w:r w:rsidRPr="00CB4335">
              <w:t>% des Nennbetrags</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907128">
            <w:pPr>
              <w:pStyle w:val="CSBody8pt"/>
            </w:pPr>
            <w:r w:rsidRPr="00792D61">
              <w:rPr>
                <w:b/>
              </w:rPr>
              <w:t>[</w:t>
            </w:r>
            <w:r w:rsidRPr="00CB4335">
              <w:t>Reference Price</w:t>
            </w:r>
            <w:r>
              <w:fldChar w:fldCharType="begin"/>
            </w:r>
            <w:r>
              <w:instrText xml:space="preserve"> XE "</w:instrText>
            </w:r>
            <w:r w:rsidRPr="00550804">
              <w:instrText>Reference Price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r w:rsidRPr="00CB4335">
              <w:rPr>
                <w:rFonts w:ascii="Arial" w:hAnsi="Arial" w:cs="Arial"/>
              </w:rPr>
              <w:t>●</w:t>
            </w:r>
            <w:r w:rsidRPr="00792D61">
              <w:rPr>
                <w:b/>
              </w:rPr>
              <w:t>][</w:t>
            </w:r>
            <w:r w:rsidRPr="00CB4335">
              <w:t>100</w:t>
            </w:r>
            <w:r w:rsidRPr="00792D61">
              <w:rPr>
                <w:b/>
              </w:rPr>
              <w:t>]</w:t>
            </w:r>
            <w:r w:rsidRPr="00CB4335">
              <w:t>% of the Principal Amount</w:t>
            </w:r>
            <w:r w:rsidRPr="00792D61">
              <w:rPr>
                <w:b/>
              </w:rPr>
              <w:t>]]</w:t>
            </w:r>
          </w:p>
        </w:tc>
        <w:tc>
          <w:tcPr>
            <w:tcW w:w="1618" w:type="dxa"/>
            <w:gridSpan w:val="2"/>
            <w:tcBorders>
              <w:top w:val="nil"/>
              <w:bottom w:val="nil"/>
              <w:right w:val="nil"/>
            </w:tcBorders>
            <w:shd w:val="clear" w:color="auto" w:fill="auto"/>
          </w:tcPr>
          <w:p w:rsidR="0017135D" w:rsidRPr="00CB4335" w:rsidP="00907128">
            <w:pPr>
              <w:pStyle w:val="CSBody8pt"/>
            </w:pPr>
            <w:r w:rsidRPr="00792D61">
              <w:rPr>
                <w:b/>
              </w:rPr>
              <w:t>[</w:t>
            </w:r>
            <w:r w:rsidRPr="00CB4335">
              <w:t>Referenzpreis</w:t>
            </w:r>
            <w:r>
              <w:fldChar w:fldCharType="begin"/>
            </w:r>
            <w:r>
              <w:instrText xml:space="preserve"> XE "</w:instrText>
            </w:r>
            <w:r w:rsidRPr="00324D5F">
              <w:instrText>Referenzpreis</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r w:rsidRPr="00CB4335">
              <w:rPr>
                <w:rFonts w:ascii="Arial" w:hAnsi="Arial" w:cs="Arial"/>
              </w:rPr>
              <w:t>●</w:t>
            </w:r>
            <w:r w:rsidRPr="00792D61">
              <w:rPr>
                <w:b/>
              </w:rPr>
              <w:t>][</w:t>
            </w:r>
            <w:r w:rsidRPr="00CB4335">
              <w:t>100</w:t>
            </w:r>
            <w:r w:rsidRPr="00792D61">
              <w:rPr>
                <w:b/>
              </w:rPr>
              <w:t>]</w:t>
            </w:r>
            <w:r w:rsidRPr="00CB4335">
              <w:t>% des Nennbetrags</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907128">
            <w:pPr>
              <w:pStyle w:val="CSBody8pt"/>
            </w:pPr>
            <w:r w:rsidRPr="00CB4335">
              <w:t>Subscription Period</w:t>
            </w:r>
            <w:r>
              <w:fldChar w:fldCharType="begin"/>
            </w:r>
            <w:r>
              <w:instrText xml:space="preserve"> XE "</w:instrText>
            </w:r>
            <w:r w:rsidRPr="00A400AB">
              <w:instrText>Subscription Period</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r w:rsidRPr="00CB4335">
              <w:t>None</w:t>
            </w:r>
            <w:r w:rsidRPr="00792D61">
              <w:rPr>
                <w:b/>
              </w:rPr>
              <w:t>]</w:t>
            </w:r>
            <w:r w:rsidRPr="00CB4335">
              <w:t xml:space="preserve"> </w:t>
            </w:r>
            <w:r w:rsidRPr="00792D61">
              <w:rPr>
                <w:b/>
              </w:rPr>
              <w:t>[</w:t>
            </w:r>
            <w:r w:rsidRPr="00CB4335">
              <w:t>The Issuer reserves the right not to issue the Complex Products without giving any reason.</w:t>
            </w:r>
            <w:r w:rsidRPr="00792D61">
              <w:rPr>
                <w:b/>
              </w:rPr>
              <w:t>]</w:t>
            </w:r>
          </w:p>
        </w:tc>
        <w:tc>
          <w:tcPr>
            <w:tcW w:w="1618" w:type="dxa"/>
            <w:gridSpan w:val="2"/>
            <w:tcBorders>
              <w:top w:val="nil"/>
              <w:bottom w:val="nil"/>
              <w:right w:val="nil"/>
            </w:tcBorders>
            <w:shd w:val="clear" w:color="auto" w:fill="auto"/>
          </w:tcPr>
          <w:p w:rsidR="0017135D" w:rsidRPr="00CB4335" w:rsidP="00907128">
            <w:pPr>
              <w:pStyle w:val="CSBody8pt"/>
            </w:pPr>
            <w:r w:rsidRPr="00CB4335">
              <w:t>Zeichnungsfrist</w:t>
            </w:r>
            <w:r>
              <w:fldChar w:fldCharType="begin"/>
            </w:r>
            <w:r>
              <w:instrText xml:space="preserve"> XE "</w:instrText>
            </w:r>
            <w:r w:rsidRPr="00D71819">
              <w:instrText>Zeichnungsfrist</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CB4335" w:rsidP="004C1EBA">
            <w:pPr>
              <w:pStyle w:val="CSBody8pt"/>
              <w:rPr>
                <w:lang w:val="de-DE"/>
              </w:rPr>
            </w:pPr>
            <w:r w:rsidRPr="00792D61">
              <w:rPr>
                <w:b/>
                <w:lang w:val="de-DE"/>
              </w:rPr>
              <w:t>[[</w:t>
            </w:r>
            <w:r w:rsidRPr="00CB4335">
              <w:rPr>
                <w:rFonts w:ascii="Arial" w:hAnsi="Arial" w:cs="Arial"/>
                <w:lang w:val="de-DE"/>
              </w:rPr>
              <w:t>●</w:t>
            </w:r>
            <w:r w:rsidRPr="00792D61">
              <w:rPr>
                <w:b/>
                <w:lang w:val="de-DE"/>
              </w:rPr>
              <w:t>]][</w:t>
            </w:r>
            <w:r w:rsidRPr="00CB4335">
              <w:rPr>
                <w:lang w:val="de-DE"/>
              </w:rPr>
              <w:t>Keine</w:t>
            </w:r>
            <w:r w:rsidRPr="00792D61">
              <w:rPr>
                <w:b/>
                <w:lang w:val="de-DE"/>
              </w:rPr>
              <w:t>]</w:t>
            </w:r>
            <w:r w:rsidRPr="00CB4335">
              <w:rPr>
                <w:lang w:val="de-DE"/>
              </w:rPr>
              <w:t xml:space="preserve"> </w:t>
            </w:r>
            <w:r w:rsidRPr="00792D61">
              <w:rPr>
                <w:b/>
                <w:lang w:val="de-DE"/>
              </w:rPr>
              <w:t>[</w:t>
            </w:r>
            <w:r w:rsidRPr="00CB4335">
              <w:rPr>
                <w:lang w:val="de-DE"/>
              </w:rPr>
              <w:t>Die Emittentin beh</w:t>
            </w:r>
            <w:r w:rsidRPr="00CB4335">
              <w:rPr>
                <w:rFonts w:cs="Credit Suisse Type Light"/>
                <w:lang w:val="de-DE"/>
              </w:rPr>
              <w:t>ä</w:t>
            </w:r>
            <w:r w:rsidRPr="00CB4335">
              <w:rPr>
                <w:lang w:val="de-DE"/>
              </w:rPr>
              <w:t xml:space="preserve">lt sich das Recht vor, die Emission der Komplexen Produkte ohne Angabe von </w:t>
            </w:r>
            <w:r>
              <w:rPr>
                <w:lang w:val="de-DE"/>
              </w:rPr>
              <w:t>G</w:t>
            </w:r>
            <w:r w:rsidRPr="00CB4335">
              <w:rPr>
                <w:lang w:val="de-DE"/>
              </w:rPr>
              <w:t>r</w:t>
            </w:r>
            <w:r w:rsidRPr="00CB4335">
              <w:rPr>
                <w:rFonts w:cs="Credit Suisse Type Light"/>
                <w:lang w:val="de-DE"/>
              </w:rPr>
              <w:t>ü</w:t>
            </w:r>
            <w:r w:rsidRPr="00CB4335">
              <w:rPr>
                <w:lang w:val="de-DE"/>
              </w:rPr>
              <w:t>nden nicht vorzunehmen.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4335" w:rsidP="0001648F">
            <w:pPr>
              <w:pStyle w:val="CSBody8ptbolditalics"/>
            </w:pPr>
            <w:r w:rsidRPr="00792D61">
              <w:t>[</w:t>
            </w:r>
            <w:r w:rsidRPr="00CB4335">
              <w:t>insert any additional conditions of the Offering</w:t>
            </w:r>
          </w:p>
        </w:tc>
        <w:tc>
          <w:tcPr>
            <w:tcW w:w="3315" w:type="dxa"/>
            <w:gridSpan w:val="7"/>
            <w:tcBorders>
              <w:top w:val="nil"/>
              <w:left w:val="nil"/>
              <w:bottom w:val="nil"/>
            </w:tcBorders>
            <w:shd w:val="clear" w:color="auto" w:fill="auto"/>
          </w:tcPr>
          <w:p w:rsidR="0017135D" w:rsidRPr="00CB4335" w:rsidP="00907128">
            <w:pPr>
              <w:pStyle w:val="CSBody8pt"/>
            </w:pPr>
            <w:r w:rsidRPr="00792D61">
              <w:rPr>
                <w:b/>
              </w:rPr>
              <w:t>[</w:t>
            </w:r>
            <w:r w:rsidRPr="00CB4335">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CB4335" w:rsidP="0001648F">
            <w:pPr>
              <w:pStyle w:val="CSBody8ptbolditalics"/>
              <w:rPr>
                <w:lang w:val="de-DE"/>
              </w:rPr>
            </w:pPr>
            <w:r w:rsidRPr="00792D61">
              <w:rPr>
                <w:lang w:val="de-DE"/>
              </w:rPr>
              <w:t>[</w:t>
            </w:r>
            <w:r w:rsidRPr="00CB4335">
              <w:rPr>
                <w:lang w:val="de-DE"/>
              </w:rPr>
              <w:t>etwaige weitere Bedingungen des Angebots einfügen</w:t>
            </w:r>
          </w:p>
        </w:tc>
        <w:tc>
          <w:tcPr>
            <w:tcW w:w="3318" w:type="dxa"/>
            <w:gridSpan w:val="10"/>
            <w:tcBorders>
              <w:top w:val="nil"/>
              <w:left w:val="nil"/>
              <w:bottom w:val="nil"/>
              <w:right w:val="nil"/>
            </w:tcBorders>
            <w:shd w:val="clear" w:color="auto" w:fill="auto"/>
          </w:tcPr>
          <w:p w:rsidR="0017135D" w:rsidP="00907128">
            <w:pPr>
              <w:pStyle w:val="CSBody8pt"/>
            </w:pPr>
            <w:r w:rsidRPr="00792D61">
              <w:rPr>
                <w:b/>
              </w:rPr>
              <w:t>[</w:t>
            </w:r>
            <w:r w:rsidRPr="00CB4335">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117F6" w:rsidP="00907128">
            <w:pPr>
              <w:pStyle w:val="CSBody8pt"/>
            </w:pPr>
            <w:r w:rsidRPr="005117F6">
              <w:t>Issue Date</w:t>
            </w:r>
          </w:p>
        </w:tc>
        <w:tc>
          <w:tcPr>
            <w:tcW w:w="3315" w:type="dxa"/>
            <w:gridSpan w:val="7"/>
            <w:tcBorders>
              <w:top w:val="nil"/>
              <w:left w:val="nil"/>
              <w:bottom w:val="nil"/>
            </w:tcBorders>
            <w:shd w:val="clear" w:color="auto" w:fill="auto"/>
          </w:tcPr>
          <w:p w:rsidR="0017135D" w:rsidRPr="005117F6" w:rsidP="00907128">
            <w:pPr>
              <w:pStyle w:val="CSBody8pt"/>
            </w:pPr>
            <w:r w:rsidRPr="00792D61">
              <w:rPr>
                <w:b/>
              </w:rPr>
              <w:t>[</w:t>
            </w:r>
            <w:r w:rsidRPr="005117F6">
              <w:rPr>
                <w:rFonts w:ascii="Arial" w:hAnsi="Arial" w:cs="Arial"/>
              </w:rPr>
              <w:t>●</w:t>
            </w:r>
            <w:r w:rsidRPr="00792D61">
              <w:rPr>
                <w:b/>
              </w:rPr>
              <w:t>]</w:t>
            </w:r>
            <w:r w:rsidRPr="005117F6">
              <w:t>, being the date on which the Complex Products are issued and the Issue Price is paid.</w:t>
            </w:r>
          </w:p>
        </w:tc>
        <w:tc>
          <w:tcPr>
            <w:tcW w:w="1618" w:type="dxa"/>
            <w:gridSpan w:val="2"/>
            <w:tcBorders>
              <w:top w:val="nil"/>
              <w:bottom w:val="nil"/>
              <w:right w:val="nil"/>
            </w:tcBorders>
            <w:shd w:val="clear" w:color="auto" w:fill="auto"/>
          </w:tcPr>
          <w:p w:rsidR="0017135D" w:rsidRPr="005117F6" w:rsidP="00907128">
            <w:pPr>
              <w:pStyle w:val="CSBody8pt"/>
            </w:pPr>
            <w:r w:rsidRPr="005117F6">
              <w:t>Emissionstag</w:t>
            </w:r>
          </w:p>
        </w:tc>
        <w:tc>
          <w:tcPr>
            <w:tcW w:w="3318" w:type="dxa"/>
            <w:gridSpan w:val="10"/>
            <w:tcBorders>
              <w:top w:val="nil"/>
              <w:left w:val="nil"/>
              <w:bottom w:val="nil"/>
              <w:right w:val="nil"/>
            </w:tcBorders>
            <w:shd w:val="clear" w:color="auto" w:fill="auto"/>
          </w:tcPr>
          <w:p w:rsidR="0017135D" w:rsidRPr="005117F6" w:rsidP="00907128">
            <w:pPr>
              <w:pStyle w:val="CSBody8pt"/>
              <w:rPr>
                <w:lang w:val="de-DE"/>
              </w:rPr>
            </w:pPr>
            <w:r w:rsidRPr="00792D61">
              <w:rPr>
                <w:b/>
                <w:lang w:val="de-DE"/>
              </w:rPr>
              <w:t>[</w:t>
            </w:r>
            <w:r w:rsidRPr="005117F6">
              <w:rPr>
                <w:rFonts w:ascii="Arial" w:hAnsi="Arial" w:cs="Arial"/>
                <w:lang w:val="de-DE"/>
              </w:rPr>
              <w:t>●</w:t>
            </w:r>
            <w:r w:rsidRPr="00792D61">
              <w:rPr>
                <w:b/>
                <w:lang w:val="de-DE"/>
              </w:rPr>
              <w:t>]</w:t>
            </w:r>
            <w:r w:rsidRPr="005117F6">
              <w:rPr>
                <w:lang w:val="de-DE"/>
              </w:rPr>
              <w:t>; hierbei handelt es sich um den Tag, an dem die Komplexen Produkte emittiert werden und der Emissionspreis bezahlt wird.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117F6" w:rsidP="00907128">
            <w:pPr>
              <w:pStyle w:val="CSBody8pt"/>
            </w:pPr>
            <w:r w:rsidRPr="00792D61">
              <w:rPr>
                <w:b/>
              </w:rPr>
              <w:t>[</w:t>
            </w:r>
            <w:r w:rsidRPr="005117F6">
              <w:t>Trade Date</w:t>
            </w:r>
            <w:r>
              <w:fldChar w:fldCharType="begin"/>
            </w:r>
            <w:r>
              <w:instrText xml:space="preserve"> XE "</w:instrText>
            </w:r>
            <w:r w:rsidRPr="004D255A">
              <w:instrText>Trade Date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5117F6" w:rsidP="00907128">
            <w:pPr>
              <w:pStyle w:val="CSBody8pt"/>
            </w:pPr>
            <w:r w:rsidRPr="00792D61">
              <w:rPr>
                <w:b/>
              </w:rPr>
              <w:t>[</w:t>
            </w:r>
            <w:r w:rsidRPr="005117F6">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5117F6" w:rsidP="00907128">
            <w:pPr>
              <w:pStyle w:val="CSBody8pt"/>
            </w:pPr>
            <w:r w:rsidRPr="00792D61">
              <w:rPr>
                <w:b/>
              </w:rPr>
              <w:t>[</w:t>
            </w:r>
            <w:r w:rsidRPr="005117F6">
              <w:t>Abschlusstag</w:t>
            </w:r>
            <w:r>
              <w:fldChar w:fldCharType="begin"/>
            </w:r>
            <w:r>
              <w:instrText xml:space="preserve"> XE "</w:instrText>
            </w:r>
            <w:r w:rsidRPr="00DB1461">
              <w:instrText>Abschlusstag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5117F6" w:rsidP="00907128">
            <w:pPr>
              <w:pStyle w:val="CSBody8pt"/>
            </w:pPr>
            <w:r w:rsidRPr="00792D61">
              <w:rPr>
                <w:b/>
              </w:rPr>
              <w:t>[</w:t>
            </w:r>
            <w:r w:rsidRPr="005117F6">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117F6" w:rsidP="00907128">
            <w:pPr>
              <w:pStyle w:val="CSBody8pt"/>
            </w:pPr>
            <w:r w:rsidRPr="005117F6">
              <w:t>Last Trading Date</w:t>
            </w:r>
            <w:r>
              <w:fldChar w:fldCharType="begin"/>
            </w:r>
            <w:r>
              <w:instrText xml:space="preserve"> XE "</w:instrText>
            </w:r>
            <w:r w:rsidRPr="00426D11">
              <w:instrText>Last Trading Date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5117F6" w:rsidP="004C1EBA">
            <w:pPr>
              <w:pStyle w:val="CSBody8pt"/>
            </w:pPr>
            <w:r w:rsidRPr="00792D61">
              <w:rPr>
                <w:b/>
              </w:rPr>
              <w:t>[</w:t>
            </w:r>
            <w:r w:rsidRPr="005117F6">
              <w:rPr>
                <w:rFonts w:ascii="Arial" w:hAnsi="Arial" w:cs="Arial"/>
              </w:rPr>
              <w:t>●</w:t>
            </w:r>
            <w:r w:rsidRPr="00792D61">
              <w:rPr>
                <w:b/>
              </w:rPr>
              <w:t>][</w:t>
            </w:r>
            <w:r w:rsidRPr="005117F6">
              <w:t xml:space="preserve">, until </w:t>
            </w:r>
            <w:r w:rsidRPr="00792D61">
              <w:rPr>
                <w:b/>
              </w:rPr>
              <w:t>[</w:t>
            </w:r>
            <w:r w:rsidRPr="005117F6">
              <w:t xml:space="preserve">the official close of trading on </w:t>
            </w:r>
            <w:r w:rsidRPr="00792D61">
              <w:rPr>
                <w:b/>
              </w:rPr>
              <w:t>[</w:t>
            </w:r>
            <w:r w:rsidRPr="005117F6">
              <w:t>SIX Structured Products Exchange Ltd</w:t>
            </w:r>
            <w:r w:rsidRPr="00792D61">
              <w:rPr>
                <w:b/>
              </w:rPr>
              <w:t>][</w:t>
            </w:r>
            <w:r w:rsidRPr="005117F6">
              <w:t>B</w:t>
            </w:r>
            <w:r w:rsidRPr="005117F6">
              <w:rPr>
                <w:rFonts w:cs="Credit Suisse Type Light"/>
              </w:rPr>
              <w:t>ö</w:t>
            </w:r>
            <w:r w:rsidRPr="005117F6">
              <w:t>rse Frankfurt Zertifikate AG</w:t>
            </w:r>
            <w:r w:rsidRPr="00792D61">
              <w:rPr>
                <w:b/>
              </w:rPr>
              <w:t>][</w:t>
            </w:r>
            <w:r w:rsidRPr="005117F6">
              <w:t>the SIX Swiss Exchange Ltd.</w:t>
            </w:r>
            <w:r w:rsidRPr="00792D61">
              <w:rPr>
                <w:b/>
              </w:rPr>
              <w:t>][</w:t>
            </w:r>
            <w:r w:rsidRPr="005117F6">
              <w:t>the Frankfurt Stock Exchange</w:t>
            </w:r>
            <w:r w:rsidRPr="00792D61">
              <w:rPr>
                <w:b/>
              </w:rPr>
              <w:t>]]</w:t>
            </w:r>
            <w:r w:rsidRPr="005117F6">
              <w:t xml:space="preserve"> </w:t>
            </w:r>
            <w:r w:rsidRPr="00792D61">
              <w:rPr>
                <w:b/>
              </w:rPr>
              <w:t>[[</w:t>
            </w:r>
            <w:r w:rsidRPr="005117F6">
              <w:rPr>
                <w:rFonts w:ascii="Arial" w:hAnsi="Arial" w:cs="Arial"/>
              </w:rPr>
              <w:t>●</w:t>
            </w:r>
            <w:r w:rsidRPr="00792D61">
              <w:rPr>
                <w:b/>
              </w:rPr>
              <w:t>]</w:t>
            </w:r>
            <w:r w:rsidRPr="005117F6">
              <w:t xml:space="preserve"> CET</w:t>
            </w:r>
            <w:r w:rsidRPr="00792D61">
              <w:rPr>
                <w:b/>
              </w:rPr>
              <w:t>]]</w:t>
            </w:r>
            <w:r w:rsidRPr="005117F6">
              <w:t>, being the last date on which the Complex Products may be traded.</w:t>
            </w:r>
          </w:p>
        </w:tc>
        <w:tc>
          <w:tcPr>
            <w:tcW w:w="1618" w:type="dxa"/>
            <w:gridSpan w:val="2"/>
            <w:tcBorders>
              <w:top w:val="nil"/>
              <w:bottom w:val="nil"/>
              <w:right w:val="nil"/>
            </w:tcBorders>
            <w:shd w:val="clear" w:color="auto" w:fill="auto"/>
          </w:tcPr>
          <w:p w:rsidR="0017135D" w:rsidRPr="005117F6" w:rsidP="00907128">
            <w:pPr>
              <w:pStyle w:val="CSBody8pt"/>
            </w:pPr>
            <w:r w:rsidRPr="005117F6">
              <w:t>Letzter Handelstag</w:t>
            </w:r>
            <w:r>
              <w:fldChar w:fldCharType="begin"/>
            </w:r>
            <w:r>
              <w:instrText xml:space="preserve"> XE "</w:instrText>
            </w:r>
            <w:r w:rsidRPr="00A508D3">
              <w:instrText>Letzter Handelstag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5117F6" w:rsidP="004C1EBA">
            <w:pPr>
              <w:pStyle w:val="CSBody8pt"/>
              <w:rPr>
                <w:lang w:val="de-DE"/>
              </w:rPr>
            </w:pPr>
            <w:r w:rsidRPr="00792D61">
              <w:rPr>
                <w:b/>
                <w:lang w:val="de-DE"/>
              </w:rPr>
              <w:t>[</w:t>
            </w:r>
            <w:r w:rsidRPr="005117F6">
              <w:rPr>
                <w:rFonts w:ascii="Arial" w:hAnsi="Arial" w:cs="Arial"/>
                <w:lang w:val="de-DE"/>
              </w:rPr>
              <w:t>●</w:t>
            </w:r>
            <w:r w:rsidRPr="00792D61">
              <w:rPr>
                <w:b/>
                <w:lang w:val="de-DE"/>
              </w:rPr>
              <w:t>][</w:t>
            </w:r>
            <w:r w:rsidRPr="005117F6">
              <w:rPr>
                <w:lang w:val="de-DE"/>
              </w:rPr>
              <w:t xml:space="preserve">, bis </w:t>
            </w:r>
            <w:r w:rsidRPr="00792D61">
              <w:rPr>
                <w:b/>
                <w:lang w:val="de-DE"/>
              </w:rPr>
              <w:t>[</w:t>
            </w:r>
            <w:r w:rsidRPr="005117F6">
              <w:rPr>
                <w:lang w:val="de-DE"/>
              </w:rPr>
              <w:t xml:space="preserve">zum offiziellen Handelsschluss an der </w:t>
            </w:r>
            <w:r w:rsidRPr="00792D61">
              <w:rPr>
                <w:b/>
                <w:lang w:val="de-DE"/>
              </w:rPr>
              <w:t>[</w:t>
            </w:r>
            <w:r w:rsidRPr="005117F6">
              <w:rPr>
                <w:lang w:val="de-DE"/>
              </w:rPr>
              <w:t>SIX Structured Products Exchange AG</w:t>
            </w:r>
            <w:r w:rsidRPr="00792D61">
              <w:rPr>
                <w:b/>
                <w:lang w:val="de-DE"/>
              </w:rPr>
              <w:t>][</w:t>
            </w:r>
            <w:r w:rsidRPr="005117F6">
              <w:rPr>
                <w:lang w:val="de-DE"/>
              </w:rPr>
              <w:t>B</w:t>
            </w:r>
            <w:r w:rsidRPr="005117F6">
              <w:rPr>
                <w:rFonts w:cs="Credit Suisse Type Light"/>
                <w:lang w:val="de-DE"/>
              </w:rPr>
              <w:t>ö</w:t>
            </w:r>
            <w:r w:rsidRPr="005117F6">
              <w:rPr>
                <w:lang w:val="de-DE"/>
              </w:rPr>
              <w:t>rse Frankfurt Zertifikate AG</w:t>
            </w:r>
            <w:r w:rsidRPr="00792D61">
              <w:rPr>
                <w:b/>
                <w:lang w:val="de-DE"/>
              </w:rPr>
              <w:t>][</w:t>
            </w:r>
            <w:r w:rsidRPr="005117F6">
              <w:rPr>
                <w:lang w:val="de-DE"/>
              </w:rPr>
              <w:t>SIX Swiss Exchange AG</w:t>
            </w:r>
            <w:r w:rsidRPr="00792D61">
              <w:rPr>
                <w:b/>
                <w:lang w:val="de-DE"/>
              </w:rPr>
              <w:t>][</w:t>
            </w:r>
            <w:r w:rsidRPr="005117F6">
              <w:rPr>
                <w:lang w:val="de-DE"/>
              </w:rPr>
              <w:t>Frankfurter Wertpapierbörse</w:t>
            </w:r>
            <w:r w:rsidRPr="00792D61">
              <w:rPr>
                <w:b/>
                <w:lang w:val="de-DE"/>
              </w:rPr>
              <w:t>]]</w:t>
            </w:r>
            <w:r w:rsidRPr="005117F6">
              <w:rPr>
                <w:lang w:val="de-DE"/>
              </w:rPr>
              <w:t xml:space="preserve"> </w:t>
            </w:r>
            <w:r w:rsidRPr="00792D61">
              <w:rPr>
                <w:b/>
                <w:lang w:val="de-DE"/>
              </w:rPr>
              <w:t>[[</w:t>
            </w:r>
            <w:r w:rsidRPr="005117F6">
              <w:rPr>
                <w:rFonts w:ascii="Arial" w:hAnsi="Arial" w:cs="Arial"/>
                <w:lang w:val="de-DE"/>
              </w:rPr>
              <w:t>●</w:t>
            </w:r>
            <w:r w:rsidRPr="00792D61">
              <w:rPr>
                <w:b/>
                <w:lang w:val="de-DE"/>
              </w:rPr>
              <w:t>]</w:t>
            </w:r>
            <w:r w:rsidRPr="005117F6">
              <w:rPr>
                <w:lang w:val="de-DE"/>
              </w:rPr>
              <w:t xml:space="preserve"> MEZ</w:t>
            </w:r>
            <w:r w:rsidRPr="00792D61">
              <w:rPr>
                <w:b/>
                <w:lang w:val="de-DE"/>
              </w:rPr>
              <w:t>]]</w:t>
            </w:r>
            <w:r w:rsidRPr="005117F6">
              <w:rPr>
                <w:lang w:val="de-DE"/>
              </w:rPr>
              <w:t>; an diesem Tag k</w:t>
            </w:r>
            <w:r w:rsidRPr="005117F6">
              <w:rPr>
                <w:rFonts w:cs="Credit Suisse Type Light"/>
                <w:lang w:val="de-DE"/>
              </w:rPr>
              <w:t>ö</w:t>
            </w:r>
            <w:r w:rsidRPr="005117F6">
              <w:rPr>
                <w:lang w:val="de-DE"/>
              </w:rPr>
              <w:t>nnen die Komplexen Produkte letztmalig gehandelt werden.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117F6">
            <w:pPr>
              <w:pStyle w:val="CSBody8pt"/>
            </w:pPr>
            <w:r w:rsidRPr="005117F6">
              <w:t>Minimum Trading Lot</w:t>
            </w:r>
            <w:r w:rsidRPr="00792D61">
              <w:rPr>
                <w:b/>
              </w:rPr>
              <w:t>[</w:t>
            </w:r>
            <w:r w:rsidRPr="005117F6">
              <w:t>/Minimum Subscription Amount</w:t>
            </w:r>
            <w:r w:rsidRPr="00792D61">
              <w:rPr>
                <w:b/>
              </w:rPr>
              <w:t>]</w:t>
            </w:r>
            <w:r>
              <w:fldChar w:fldCharType="begin"/>
            </w:r>
            <w:r>
              <w:instrText xml:space="preserve"> XE "</w:instrText>
            </w:r>
            <w:r w:rsidRPr="009841F7">
              <w:instrText>Minimum Trading Lot</w:instrText>
            </w:r>
            <w:r w:rsidRPr="00792D61">
              <w:rPr>
                <w:b/>
              </w:rPr>
              <w:instrText>[</w:instrText>
            </w:r>
            <w:r w:rsidRPr="009841F7">
              <w:instrText>/Minimum Subscription Amount</w:instrText>
            </w:r>
            <w:r w:rsidRPr="00792D61">
              <w:rPr>
                <w:b/>
              </w:rPr>
              <w:instrText>]]</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5117F6" w:rsidP="00907128">
            <w:pPr>
              <w:pStyle w:val="CSBody8pt"/>
            </w:pPr>
            <w:r w:rsidRPr="00792D61">
              <w:rPr>
                <w:b/>
              </w:rPr>
              <w:t>[[</w:t>
            </w:r>
            <w:r w:rsidRPr="005117F6">
              <w:rPr>
                <w:rFonts w:ascii="Arial" w:hAnsi="Arial" w:cs="Arial"/>
              </w:rPr>
              <w:t>●</w:t>
            </w:r>
            <w:r w:rsidRPr="00792D61">
              <w:rPr>
                <w:b/>
              </w:rPr>
              <w:t>]</w:t>
            </w:r>
            <w:r w:rsidRPr="005117F6">
              <w:t xml:space="preserve"> Complex Product(s)</w:t>
            </w:r>
            <w:r w:rsidRPr="00792D61">
              <w:rPr>
                <w:b/>
              </w:rPr>
              <w:t>][[</w:t>
            </w:r>
            <w:r w:rsidRPr="005117F6">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5117F6" w:rsidP="00907128">
            <w:pPr>
              <w:pStyle w:val="CSBody8pt"/>
              <w:rPr>
                <w:lang w:val="de-DE"/>
              </w:rPr>
            </w:pPr>
            <w:r w:rsidRPr="005117F6">
              <w:rPr>
                <w:lang w:val="de-DE"/>
              </w:rPr>
              <w:t xml:space="preserve">Mindest-Anzahl für den Handel </w:t>
            </w:r>
            <w:r w:rsidRPr="00792D61">
              <w:rPr>
                <w:b/>
                <w:lang w:val="de-DE"/>
              </w:rPr>
              <w:t>[</w:t>
            </w:r>
            <w:r w:rsidRPr="005117F6">
              <w:rPr>
                <w:lang w:val="de-DE"/>
              </w:rPr>
              <w:t>/Mindest-Zeichnungsbetrag</w:t>
            </w:r>
            <w:r w:rsidRPr="00792D61">
              <w:rPr>
                <w:b/>
                <w:lang w:val="de-DE"/>
              </w:rPr>
              <w:t>]</w:t>
            </w:r>
            <w:r>
              <w:rPr>
                <w:lang w:val="de-DE"/>
              </w:rPr>
              <w:fldChar w:fldCharType="begin"/>
            </w:r>
            <w:r w:rsidRPr="005117F6">
              <w:rPr>
                <w:lang w:val="de-DE"/>
              </w:rPr>
              <w:instrText xml:space="preserve"> XE "</w:instrText>
            </w:r>
            <w:r w:rsidRPr="00EA6682">
              <w:rPr>
                <w:lang w:val="de-DE"/>
              </w:rPr>
              <w:instrText xml:space="preserve">Mindest-Anzahl für den Handel </w:instrText>
            </w:r>
            <w:r w:rsidRPr="00792D61">
              <w:rPr>
                <w:b/>
                <w:lang w:val="de-DE"/>
              </w:rPr>
              <w:instrText>[</w:instrText>
            </w:r>
            <w:r w:rsidRPr="00EA6682">
              <w:rPr>
                <w:lang w:val="de-DE"/>
              </w:rPr>
              <w:instrText>/Mindest-Zeichnungsbetrag</w:instrText>
            </w:r>
            <w:r w:rsidRPr="00792D61">
              <w:rPr>
                <w:b/>
                <w:lang w:val="de-DE"/>
              </w:rPr>
              <w:instrText>]</w:instrText>
            </w:r>
            <w:r w:rsidRPr="005117F6">
              <w:rPr>
                <w:lang w:val="de-DE"/>
              </w:rPr>
              <w:instrText xml:space="preserve">" </w:instrText>
            </w:r>
            <w:r>
              <w:rPr>
                <w:lang w:val="de-DE"/>
              </w:rPr>
              <w:fldChar w:fldCharType="end"/>
            </w:r>
          </w:p>
        </w:tc>
        <w:tc>
          <w:tcPr>
            <w:tcW w:w="3318" w:type="dxa"/>
            <w:gridSpan w:val="10"/>
            <w:tcBorders>
              <w:top w:val="nil"/>
              <w:left w:val="nil"/>
              <w:bottom w:val="nil"/>
              <w:right w:val="nil"/>
            </w:tcBorders>
            <w:shd w:val="clear" w:color="auto" w:fill="auto"/>
          </w:tcPr>
          <w:p w:rsidR="0017135D" w:rsidRPr="00AE528C" w:rsidP="00907128">
            <w:pPr>
              <w:pStyle w:val="CSBody8pt"/>
            </w:pPr>
            <w:r w:rsidRPr="00792D61">
              <w:rPr>
                <w:b/>
              </w:rPr>
              <w:t>[[</w:t>
            </w:r>
            <w:r w:rsidRPr="005117F6">
              <w:rPr>
                <w:rFonts w:ascii="Arial" w:hAnsi="Arial" w:cs="Arial"/>
              </w:rPr>
              <w:t>●</w:t>
            </w:r>
            <w:r w:rsidRPr="00792D61">
              <w:rPr>
                <w:b/>
              </w:rPr>
              <w:t>]</w:t>
            </w:r>
            <w:r w:rsidRPr="005117F6">
              <w:t xml:space="preserve"> Komplexe(s) Produkt(e)</w:t>
            </w:r>
            <w:r w:rsidRPr="00792D61">
              <w:rPr>
                <w:b/>
              </w:rPr>
              <w:t>][[</w:t>
            </w:r>
            <w:r w:rsidRPr="005117F6">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50EE5" w:rsidP="00907128">
            <w:pPr>
              <w:pStyle w:val="CSBody8pt"/>
            </w:pPr>
            <w:r w:rsidRPr="00792D61">
              <w:rPr>
                <w:b/>
              </w:rPr>
              <w:t>[</w:t>
            </w:r>
            <w:r w:rsidRPr="00907128">
              <w:rPr>
                <w:b/>
                <w:i/>
              </w:rPr>
              <w:t>insert in case of an offer not limited to Switzerland and if offer is targeting specific cateogories of investors:</w:t>
            </w:r>
            <w:r w:rsidRPr="00950EE5">
              <w:t xml:space="preserve"> Categories of potential investors to which the Complex Products are offered</w:t>
            </w:r>
          </w:p>
        </w:tc>
        <w:tc>
          <w:tcPr>
            <w:tcW w:w="3315" w:type="dxa"/>
            <w:gridSpan w:val="7"/>
            <w:tcBorders>
              <w:top w:val="nil"/>
              <w:left w:val="nil"/>
              <w:bottom w:val="nil"/>
            </w:tcBorders>
            <w:shd w:val="clear" w:color="auto" w:fill="auto"/>
          </w:tcPr>
          <w:p w:rsidR="0017135D" w:rsidP="00907128">
            <w:pPr>
              <w:pStyle w:val="CSBody8pt"/>
            </w:pPr>
            <w:r w:rsidRPr="00792D61">
              <w:rPr>
                <w:b/>
              </w:rPr>
              <w:t>[</w:t>
            </w:r>
            <w:r w:rsidRPr="00C65054">
              <w:t>public offer</w:t>
            </w:r>
            <w:r w:rsidRPr="00792D61">
              <w:rPr>
                <w:b/>
              </w:rPr>
              <w:t>]</w:t>
            </w:r>
          </w:p>
          <w:p w:rsidR="0017135D" w:rsidRPr="00C65054" w:rsidP="00907128">
            <w:pPr>
              <w:pStyle w:val="CSBody8pt"/>
            </w:pPr>
            <w:r w:rsidRPr="00792D61">
              <w:rPr>
                <w:b/>
              </w:rPr>
              <w:t>[</w:t>
            </w:r>
            <w:r w:rsidRPr="00E978AB">
              <w:t>private placement</w:t>
            </w:r>
            <w:r w:rsidRPr="00792D61">
              <w:rPr>
                <w:b/>
              </w:rPr>
              <w:t>]]</w:t>
            </w:r>
          </w:p>
        </w:tc>
        <w:tc>
          <w:tcPr>
            <w:tcW w:w="1618" w:type="dxa"/>
            <w:gridSpan w:val="2"/>
            <w:tcBorders>
              <w:top w:val="nil"/>
              <w:bottom w:val="nil"/>
              <w:right w:val="nil"/>
            </w:tcBorders>
            <w:shd w:val="clear" w:color="auto" w:fill="auto"/>
          </w:tcPr>
          <w:p w:rsidR="0017135D" w:rsidRPr="00E978AB" w:rsidP="00907128">
            <w:pPr>
              <w:pStyle w:val="CSBody8pt"/>
              <w:rPr>
                <w:lang w:val="de-DE"/>
              </w:rPr>
            </w:pPr>
            <w:r w:rsidRPr="00792D61">
              <w:rPr>
                <w:b/>
                <w:lang w:val="de-DE"/>
              </w:rPr>
              <w:t>[</w:t>
            </w:r>
            <w:r w:rsidRPr="00907128">
              <w:rPr>
                <w:b/>
                <w:i/>
                <w:lang w:val="de-DE"/>
              </w:rPr>
              <w:t>einfügen, wenn das Angebot nicht nur auf die Schweiz beschränkt ist und sich das Angebot an bestimmte Kategorien von Anlegern richtet:</w:t>
            </w:r>
            <w:r w:rsidRPr="00E978AB">
              <w:rPr>
                <w:lang w:val="de-DE"/>
              </w:rPr>
              <w:t xml:space="preserve"> Kategorien potenzieller Anleger, denen die Komplexen Produkte angeboten werden</w:t>
            </w:r>
          </w:p>
        </w:tc>
        <w:tc>
          <w:tcPr>
            <w:tcW w:w="3318" w:type="dxa"/>
            <w:gridSpan w:val="10"/>
            <w:tcBorders>
              <w:top w:val="nil"/>
              <w:left w:val="nil"/>
              <w:bottom w:val="nil"/>
              <w:right w:val="nil"/>
            </w:tcBorders>
            <w:shd w:val="clear" w:color="auto" w:fill="auto"/>
          </w:tcPr>
          <w:p w:rsidR="0017135D" w:rsidP="00907128">
            <w:pPr>
              <w:pStyle w:val="CSBody8pt"/>
            </w:pPr>
            <w:r w:rsidRPr="00792D61">
              <w:rPr>
                <w:b/>
              </w:rPr>
              <w:t>[</w:t>
            </w:r>
            <w:r w:rsidRPr="00AE528C">
              <w:t>öffentliches Angebot</w:t>
            </w:r>
            <w:r w:rsidRPr="00792D61">
              <w:rPr>
                <w:b/>
              </w:rPr>
              <w:t>]</w:t>
            </w:r>
          </w:p>
          <w:p w:rsidR="0017135D" w:rsidRPr="00AE528C" w:rsidP="00907128">
            <w:pPr>
              <w:pStyle w:val="CSBody8pt"/>
            </w:pPr>
            <w:r w:rsidRPr="00792D61">
              <w:rPr>
                <w:b/>
              </w:rPr>
              <w:t>[</w:t>
            </w:r>
            <w:r w:rsidRPr="00E978AB">
              <w:t>Privatplatzierung</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16759" w:rsidP="00907128">
            <w:pPr>
              <w:pStyle w:val="CSBody8pt"/>
            </w:pPr>
            <w:r w:rsidRPr="00792D61">
              <w:rPr>
                <w:b/>
              </w:rPr>
              <w:t>[</w:t>
            </w:r>
            <w:r w:rsidRPr="00116759">
              <w:t>Minimum Investment Amount</w:t>
            </w:r>
            <w:r>
              <w:fldChar w:fldCharType="begin"/>
            </w:r>
            <w:r>
              <w:instrText xml:space="preserve"> XE "</w:instrText>
            </w:r>
            <w:r w:rsidRPr="00E3785A">
              <w:instrText>Minimum Investment Amount</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116759" w:rsidP="00907128">
            <w:pPr>
              <w:pStyle w:val="CSBody8pt"/>
            </w:pPr>
            <w:r w:rsidRPr="00792D61">
              <w:rPr>
                <w:b/>
              </w:rPr>
              <w:t>[</w:t>
            </w:r>
            <w:r w:rsidRPr="00116759">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116759" w:rsidP="00E968C0">
            <w:pPr>
              <w:pStyle w:val="CSBody8pt"/>
            </w:pPr>
            <w:r w:rsidRPr="00792D61">
              <w:rPr>
                <w:b/>
              </w:rPr>
              <w:t>[</w:t>
            </w:r>
            <w:r w:rsidRPr="00116759">
              <w:t>Mindestinvestitionsbetrag</w:t>
            </w:r>
            <w:r>
              <w:fldChar w:fldCharType="begin"/>
            </w:r>
            <w:r>
              <w:instrText xml:space="preserve"> XE "</w:instrText>
            </w:r>
            <w:r w:rsidRPr="003072B3">
              <w:instrText>Mindestinvestitionsbetrag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E968C0" w:rsidP="00907128">
            <w:pPr>
              <w:pStyle w:val="CSBody8pt"/>
              <w:rPr>
                <w:lang w:val="de-DE"/>
              </w:rPr>
            </w:pPr>
            <w:r w:rsidRPr="00792D61">
              <w:rPr>
                <w:b/>
                <w:lang w:val="de-DE"/>
              </w:rPr>
              <w:t>[</w:t>
            </w:r>
            <w:r w:rsidRPr="00116759">
              <w:rPr>
                <w:rFonts w:ascii="Arial" w:hAnsi="Arial" w:cs="Arial"/>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C461B" w:rsidP="00907128">
            <w:pPr>
              <w:pStyle w:val="CSBody8pt"/>
            </w:pPr>
            <w:r w:rsidRPr="00792D61">
              <w:rPr>
                <w:b/>
              </w:rPr>
              <w:t>[</w:t>
            </w:r>
            <w:r w:rsidRPr="00907128">
              <w:rPr>
                <w:b/>
                <w:i/>
              </w:rPr>
              <w:t>insert in case of fixed rate Complex Products offered outside Switzerland:</w:t>
            </w:r>
            <w:r w:rsidRPr="00BC461B">
              <w:t xml:space="preserve"> Yield</w:t>
            </w:r>
          </w:p>
        </w:tc>
        <w:tc>
          <w:tcPr>
            <w:tcW w:w="3315" w:type="dxa"/>
            <w:gridSpan w:val="7"/>
            <w:tcBorders>
              <w:top w:val="nil"/>
              <w:left w:val="nil"/>
              <w:bottom w:val="nil"/>
            </w:tcBorders>
            <w:shd w:val="clear" w:color="auto" w:fill="auto"/>
          </w:tcPr>
          <w:p w:rsidR="0017135D" w:rsidRPr="009C10E6" w:rsidP="00485E27">
            <w:pPr>
              <w:pStyle w:val="CSBody8ptbolditalics"/>
            </w:pPr>
            <w:r w:rsidRPr="00792D61">
              <w:t>[</w:t>
            </w:r>
            <w:r w:rsidRPr="009C10E6">
              <w:t xml:space="preserve">insert yield and method for calculation of yield: </w:t>
            </w:r>
            <w:r w:rsidRPr="00792D61">
              <w:t>[</w:t>
            </w:r>
            <w:r w:rsidRPr="009C10E6">
              <w:rPr>
                <w:rFonts w:ascii="Arial" w:hAnsi="Arial" w:cs="Arial"/>
              </w:rPr>
              <w:t>●</w:t>
            </w:r>
            <w:r w:rsidRPr="00792D61">
              <w:t>]]]</w:t>
            </w:r>
          </w:p>
        </w:tc>
        <w:tc>
          <w:tcPr>
            <w:tcW w:w="1618" w:type="dxa"/>
            <w:gridSpan w:val="2"/>
            <w:tcBorders>
              <w:top w:val="nil"/>
              <w:bottom w:val="nil"/>
              <w:right w:val="nil"/>
            </w:tcBorders>
            <w:shd w:val="clear" w:color="auto" w:fill="auto"/>
          </w:tcPr>
          <w:p w:rsidR="0017135D" w:rsidRPr="00E978AB" w:rsidP="00907128">
            <w:pPr>
              <w:pStyle w:val="CSBody8pt"/>
              <w:rPr>
                <w:lang w:val="de-DE"/>
              </w:rPr>
            </w:pPr>
            <w:r w:rsidRPr="00792D61">
              <w:rPr>
                <w:b/>
                <w:lang w:val="de-DE"/>
              </w:rPr>
              <w:t>[</w:t>
            </w:r>
            <w:r w:rsidRPr="00907128">
              <w:rPr>
                <w:b/>
                <w:i/>
                <w:lang w:val="de-DE"/>
              </w:rPr>
              <w:t>bei festverzinslichen Komplexen Produkten, die ausserhalb der Schweiz angeboten werden, einfügen:</w:t>
            </w:r>
            <w:r w:rsidRPr="00E978AB">
              <w:rPr>
                <w:lang w:val="de-DE"/>
              </w:rPr>
              <w:t xml:space="preserve"> Rendite</w:t>
            </w:r>
          </w:p>
        </w:tc>
        <w:tc>
          <w:tcPr>
            <w:tcW w:w="3318" w:type="dxa"/>
            <w:gridSpan w:val="10"/>
            <w:tcBorders>
              <w:top w:val="nil"/>
              <w:left w:val="nil"/>
              <w:bottom w:val="nil"/>
              <w:right w:val="nil"/>
            </w:tcBorders>
            <w:shd w:val="clear" w:color="auto" w:fill="auto"/>
          </w:tcPr>
          <w:p w:rsidR="0017135D" w:rsidRPr="00E978AB" w:rsidP="00485E27">
            <w:pPr>
              <w:pStyle w:val="CSBody8ptbolditalics"/>
              <w:rPr>
                <w:lang w:val="de-DE"/>
              </w:rPr>
            </w:pPr>
            <w:r w:rsidRPr="00792D61">
              <w:rPr>
                <w:lang w:val="de-DE"/>
              </w:rPr>
              <w:t>[</w:t>
            </w:r>
            <w:r w:rsidRPr="00E978AB">
              <w:rPr>
                <w:lang w:val="de-DE"/>
              </w:rPr>
              <w:t xml:space="preserve">Rendite und Methode zur Berechnung der Rendite einfügen: </w:t>
            </w:r>
            <w:r w:rsidRPr="00792D61">
              <w:rPr>
                <w:lang w:val="de-DE"/>
              </w:rPr>
              <w:t>[</w:t>
            </w:r>
            <w:r w:rsidRPr="00E978AB">
              <w:rPr>
                <w:rFonts w:ascii="Arial" w:hAnsi="Arial" w:cs="Arial"/>
                <w:lang w:val="de-DE"/>
              </w:rPr>
              <w:t>●</w:t>
            </w:r>
            <w:r w:rsidRPr="00792D61">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C461B" w:rsidP="00907128">
            <w:pPr>
              <w:pStyle w:val="CSBody8pt"/>
            </w:pPr>
            <w:r w:rsidRPr="00792D61">
              <w:rPr>
                <w:b/>
              </w:rPr>
              <w:t>[</w:t>
            </w:r>
            <w:r w:rsidRPr="00296FA9">
              <w:rPr>
                <w:b/>
                <w:i/>
              </w:rPr>
              <w:t>in case of special selling restriction for the UK:</w:t>
            </w:r>
            <w:r w:rsidRPr="00BC461B">
              <w:t xml:space="preserve"> Selling Restrictions</w:t>
            </w:r>
          </w:p>
        </w:tc>
        <w:tc>
          <w:tcPr>
            <w:tcW w:w="3315" w:type="dxa"/>
            <w:gridSpan w:val="7"/>
            <w:tcBorders>
              <w:top w:val="nil"/>
              <w:left w:val="nil"/>
              <w:bottom w:val="nil"/>
            </w:tcBorders>
            <w:shd w:val="clear" w:color="auto" w:fill="auto"/>
          </w:tcPr>
          <w:p w:rsidR="0017135D" w:rsidRPr="009C10E6" w:rsidP="00907128">
            <w:pPr>
              <w:pStyle w:val="CSBody8pt"/>
            </w:pPr>
            <w:r w:rsidRPr="009C10E6">
              <w:t>United Kingdom: Notwithstanding the selling restrictions set out in the Base Prospectus, the following additional selling restriction applies in respect of the United Kingdom: No invitation or inducement to engage in investment activity (within the meaning of section 21 of the Financial Services and Markets Act 2000) will be made in, and no Complex Product will be offered or sold in or to any investor in, the United Kingdom.</w:t>
            </w:r>
            <w:r w:rsidRPr="00792D61">
              <w:rPr>
                <w:b/>
              </w:rPr>
              <w:t>]</w:t>
            </w:r>
          </w:p>
        </w:tc>
        <w:tc>
          <w:tcPr>
            <w:tcW w:w="1618" w:type="dxa"/>
            <w:gridSpan w:val="2"/>
            <w:tcBorders>
              <w:top w:val="nil"/>
              <w:bottom w:val="nil"/>
              <w:right w:val="nil"/>
            </w:tcBorders>
            <w:shd w:val="clear" w:color="auto" w:fill="auto"/>
          </w:tcPr>
          <w:p w:rsidR="0017135D" w:rsidRPr="00E978AB" w:rsidP="00907128">
            <w:pPr>
              <w:pStyle w:val="CSBody8pt"/>
              <w:rPr>
                <w:lang w:val="de-DE"/>
              </w:rPr>
            </w:pPr>
            <w:r w:rsidRPr="00792D61">
              <w:rPr>
                <w:b/>
                <w:lang w:val="de-DE"/>
              </w:rPr>
              <w:t>[</w:t>
            </w:r>
            <w:r w:rsidRPr="00296FA9">
              <w:rPr>
                <w:b/>
                <w:i/>
                <w:lang w:val="de-DE"/>
              </w:rPr>
              <w:t>bei spezieller Verkaufsbeschränkung für UK:</w:t>
            </w:r>
            <w:r w:rsidRPr="00E978AB">
              <w:rPr>
                <w:lang w:val="de-DE"/>
              </w:rPr>
              <w:t xml:space="preserve"> Verkaufsbeschränkungen</w:t>
            </w:r>
          </w:p>
        </w:tc>
        <w:tc>
          <w:tcPr>
            <w:tcW w:w="3318" w:type="dxa"/>
            <w:gridSpan w:val="10"/>
            <w:tcBorders>
              <w:top w:val="nil"/>
              <w:left w:val="nil"/>
              <w:bottom w:val="nil"/>
              <w:right w:val="nil"/>
            </w:tcBorders>
            <w:shd w:val="clear" w:color="auto" w:fill="auto"/>
          </w:tcPr>
          <w:p w:rsidR="0017135D" w:rsidRPr="00E978AB" w:rsidP="00907128">
            <w:pPr>
              <w:pStyle w:val="CSBody8pt"/>
              <w:rPr>
                <w:lang w:val="de-DE"/>
              </w:rPr>
            </w:pPr>
            <w:r w:rsidRPr="00E978AB">
              <w:rPr>
                <w:lang w:val="de-DE"/>
              </w:rPr>
              <w:t>Vereinigtes Königreich: Abweichend von den im Basisprospekt beschriebenen Verkaufsbeschränkungen gilt folgende zusätzliche Verkaufsbeschränkung für das Vereinigte Königreich: Es erfolgen in Bezug auf Komplexe Produkte keine Einladungen oder Aufforderungen zur Ausübung von Anlageaktivitäten (investment activities) im Sinne von Ziffer 21 des britischen Finanzdienstleistungsgesetzes von 2000 (Financial Services and Markets Act 2000) und keine Komplexen Produkte werden innerhalb des Vereinigten Königreichs oder an Investoren aus dem Vereinigten Königreich angeboten oder verkauft.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296FA9">
            <w:pPr>
              <w:pStyle w:val="CSBody8pt"/>
            </w:pPr>
            <w:r w:rsidRPr="00792D61">
              <w:rPr>
                <w:b/>
              </w:rPr>
              <w:t>[</w:t>
            </w:r>
            <w:r w:rsidRPr="00296FA9">
              <w:rPr>
                <w:b/>
                <w:i/>
              </w:rPr>
              <w:t>in the case of Complex Products that will only be distributed in or from Switzerland to qualified investors:</w:t>
            </w:r>
            <w:r w:rsidRPr="00BC461B">
              <w:t xml:space="preserve"> Selling Restrictions</w:t>
            </w:r>
          </w:p>
        </w:tc>
        <w:tc>
          <w:tcPr>
            <w:tcW w:w="3315" w:type="dxa"/>
            <w:gridSpan w:val="7"/>
            <w:tcBorders>
              <w:top w:val="nil"/>
              <w:left w:val="nil"/>
              <w:bottom w:val="nil"/>
            </w:tcBorders>
            <w:shd w:val="clear" w:color="auto" w:fill="auto"/>
          </w:tcPr>
          <w:p w:rsidR="0017135D" w:rsidP="00296FA9">
            <w:pPr>
              <w:pStyle w:val="CSBody8pt"/>
            </w:pPr>
            <w:r w:rsidRPr="009C10E6">
              <w:t>Switzerland: The Complex Products may not be sold or offered or any offering materials relating thereto distributed to the public within the meaning of article 652a/article 1156 of the Swiss Code of Obligations ("</w:t>
            </w:r>
            <w:r w:rsidRPr="00296FA9">
              <w:rPr>
                <w:b/>
              </w:rPr>
              <w:t>CO</w:t>
            </w:r>
            <w:r w:rsidRPr="009C10E6">
              <w:t xml:space="preserve">"). </w:t>
            </w:r>
            <w:r w:rsidRPr="00792D61">
              <w:rPr>
                <w:b/>
              </w:rPr>
              <w:t>[</w:t>
            </w:r>
            <w:r w:rsidRPr="009C10E6">
              <w:t>In addition, the Complex Products may not be distributed in or from Switzerland in the meaning of article 3 of the Collective Investment Schemes Act ("</w:t>
            </w:r>
            <w:r w:rsidRPr="00296FA9">
              <w:rPr>
                <w:b/>
              </w:rPr>
              <w:t>CISA</w:t>
            </w:r>
            <w:r w:rsidRPr="009C10E6">
              <w:t>"), except to qualified investors as defined in the CISA (article 10 CISA) and the Collective Investment Schemes Ordinance ("</w:t>
            </w:r>
            <w:r w:rsidRPr="00296FA9">
              <w:rPr>
                <w:b/>
              </w:rPr>
              <w:t>CISO</w:t>
            </w:r>
            <w:r w:rsidRPr="009C10E6">
              <w:t>") (article 6 CISO), and only in compliance with all other applicable laws and regulations.</w:t>
            </w:r>
            <w:r w:rsidRPr="00792D61">
              <w:rPr>
                <w:b/>
              </w:rPr>
              <w:t>]]</w:t>
            </w:r>
          </w:p>
        </w:tc>
        <w:tc>
          <w:tcPr>
            <w:tcW w:w="1618" w:type="dxa"/>
            <w:gridSpan w:val="2"/>
            <w:tcBorders>
              <w:top w:val="nil"/>
              <w:bottom w:val="nil"/>
              <w:right w:val="nil"/>
            </w:tcBorders>
            <w:shd w:val="clear" w:color="auto" w:fill="auto"/>
          </w:tcPr>
          <w:p w:rsidR="0017135D" w:rsidRPr="00E978AB" w:rsidP="00296FA9">
            <w:pPr>
              <w:pStyle w:val="CSBody8pt"/>
              <w:rPr>
                <w:lang w:val="de-DE"/>
              </w:rPr>
            </w:pPr>
            <w:r w:rsidRPr="00792D61">
              <w:rPr>
                <w:b/>
                <w:lang w:val="de-DE"/>
              </w:rPr>
              <w:t>[</w:t>
            </w:r>
            <w:r w:rsidRPr="00296FA9">
              <w:rPr>
                <w:b/>
                <w:i/>
                <w:lang w:val="de-DE"/>
              </w:rPr>
              <w:t>bei Komplexen Produkten, die nur in oder von der Schweiz aus an qualifizierte Anleger vertrieben werden:</w:t>
            </w:r>
            <w:r w:rsidRPr="00E978AB">
              <w:rPr>
                <w:lang w:val="de-DE"/>
              </w:rPr>
              <w:t xml:space="preserve"> Verkaufsbeschränkungen</w:t>
            </w:r>
          </w:p>
        </w:tc>
        <w:tc>
          <w:tcPr>
            <w:tcW w:w="3318" w:type="dxa"/>
            <w:gridSpan w:val="10"/>
            <w:tcBorders>
              <w:top w:val="nil"/>
              <w:left w:val="nil"/>
              <w:bottom w:val="nil"/>
              <w:right w:val="nil"/>
            </w:tcBorders>
            <w:shd w:val="clear" w:color="auto" w:fill="auto"/>
          </w:tcPr>
          <w:p w:rsidR="0017135D" w:rsidRPr="00E978AB" w:rsidP="00296FA9">
            <w:pPr>
              <w:pStyle w:val="CSBody8pt"/>
              <w:rPr>
                <w:lang w:val="de-DE"/>
              </w:rPr>
            </w:pPr>
            <w:r w:rsidRPr="00E978AB">
              <w:rPr>
                <w:lang w:val="de-DE"/>
              </w:rPr>
              <w:t>Schweiz: Die Komplexen Produkte dürfen nicht im Sinne der Art. 652a/Art. 1156 des Schweizerischen Obligationenrecht ("</w:t>
            </w:r>
            <w:r w:rsidRPr="00296FA9">
              <w:rPr>
                <w:b/>
                <w:lang w:val="de-DE"/>
              </w:rPr>
              <w:t>OR</w:t>
            </w:r>
            <w:r w:rsidRPr="00E978AB">
              <w:rPr>
                <w:lang w:val="de-DE"/>
              </w:rPr>
              <w:t xml:space="preserve">") öffentlich verkauft oder angeboten werden oder Angebotsmaterial, das sich auf die Komplexen Produkte bezieht, öffentlich vertrieben werden. </w:t>
            </w:r>
            <w:r w:rsidRPr="00792D61">
              <w:rPr>
                <w:b/>
                <w:lang w:val="de-DE"/>
              </w:rPr>
              <w:t>[</w:t>
            </w:r>
            <w:r w:rsidRPr="00E978AB">
              <w:rPr>
                <w:lang w:val="de-DE"/>
              </w:rPr>
              <w:t>Darüber hinaus dürfen die Komplexen Produkte nicht im Sinne des Art. 3 des Bundesgesetzes über die kollektiven Kapitalanlagen ("</w:t>
            </w:r>
            <w:r w:rsidRPr="00296FA9">
              <w:rPr>
                <w:b/>
                <w:lang w:val="de-DE"/>
              </w:rPr>
              <w:t>KAG</w:t>
            </w:r>
            <w:r w:rsidRPr="00E978AB">
              <w:rPr>
                <w:lang w:val="de-DE"/>
              </w:rPr>
              <w:t>") in der Schweiz oder von der Schweiz aus vertrieben werden, ausser an qualifizierte Anleger im Sinne des KAG (Art. 10 KAG) sowie der Verordnung über die kollektiven Kapitalanlagen ("</w:t>
            </w:r>
            <w:r w:rsidRPr="00296FA9">
              <w:rPr>
                <w:b/>
                <w:lang w:val="de-DE"/>
              </w:rPr>
              <w:t>KKV</w:t>
            </w:r>
            <w:r w:rsidRPr="00E978AB">
              <w:rPr>
                <w:lang w:val="de-DE"/>
              </w:rPr>
              <w:t>") (Art. 6 KKV) und ausschliesslich nach Massgabe aller sonstigen geltenden Gesetze und Verordnungen.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677F4" w:rsidP="00296FA9">
            <w:pPr>
              <w:pStyle w:val="CSBody8pt"/>
            </w:pPr>
            <w:r w:rsidRPr="00792D61">
              <w:rPr>
                <w:b/>
              </w:rPr>
              <w:t>[</w:t>
            </w:r>
            <w:r w:rsidRPr="00F677F4">
              <w:t>Countries where a public offer of Complex Products takes place:</w:t>
            </w:r>
          </w:p>
        </w:tc>
        <w:tc>
          <w:tcPr>
            <w:tcW w:w="3315" w:type="dxa"/>
            <w:gridSpan w:val="7"/>
            <w:tcBorders>
              <w:top w:val="nil"/>
              <w:left w:val="nil"/>
              <w:bottom w:val="nil"/>
            </w:tcBorders>
            <w:shd w:val="clear" w:color="auto" w:fill="auto"/>
          </w:tcPr>
          <w:p w:rsidR="0017135D" w:rsidRPr="00243281" w:rsidP="00B52D9D">
            <w:pPr>
              <w:pStyle w:val="CSBody8pt"/>
            </w:pPr>
            <w:r w:rsidRPr="00792D61">
              <w:rPr>
                <w:b/>
              </w:rPr>
              <w:t>[</w:t>
            </w:r>
            <w:r w:rsidRPr="00B52D9D">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B1609A" w:rsidP="00296FA9">
            <w:pPr>
              <w:pStyle w:val="CSBody8pt"/>
              <w:rPr>
                <w:lang w:val="de-DE"/>
              </w:rPr>
            </w:pPr>
            <w:r w:rsidRPr="00792D61">
              <w:rPr>
                <w:b/>
                <w:lang w:val="de-DE"/>
              </w:rPr>
              <w:t>[</w:t>
            </w:r>
            <w:r w:rsidRPr="00B1609A">
              <w:rPr>
                <w:lang w:val="de-DE"/>
              </w:rPr>
              <w:t>Länder, in denen ein öffentliches Angebot der Komplexen Produkte stattfindet:</w:t>
            </w:r>
          </w:p>
        </w:tc>
        <w:tc>
          <w:tcPr>
            <w:tcW w:w="3318" w:type="dxa"/>
            <w:gridSpan w:val="10"/>
            <w:tcBorders>
              <w:top w:val="nil"/>
              <w:left w:val="nil"/>
              <w:bottom w:val="nil"/>
              <w:right w:val="nil"/>
            </w:tcBorders>
            <w:shd w:val="clear" w:color="auto" w:fill="auto"/>
          </w:tcPr>
          <w:p w:rsidR="0017135D" w:rsidRPr="00AA53FA" w:rsidP="00B52D9D">
            <w:pPr>
              <w:pStyle w:val="CSBody8pt"/>
            </w:pPr>
            <w:r w:rsidRPr="00792D61">
              <w:rPr>
                <w:b/>
              </w:rPr>
              <w:t>[</w:t>
            </w:r>
            <w:r w:rsidRPr="00B52D9D">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296FA9">
            <w:pPr>
              <w:pStyle w:val="CSBody8pt"/>
            </w:pPr>
            <w:r w:rsidRPr="00792D61">
              <w:rPr>
                <w:b/>
              </w:rPr>
              <w:t>[</w:t>
            </w:r>
            <w:r w:rsidRPr="00F677F4">
              <w:t>Rating of the Complex Products:</w:t>
            </w:r>
          </w:p>
        </w:tc>
        <w:tc>
          <w:tcPr>
            <w:tcW w:w="3315" w:type="dxa"/>
            <w:gridSpan w:val="7"/>
            <w:tcBorders>
              <w:top w:val="nil"/>
              <w:left w:val="nil"/>
              <w:bottom w:val="nil"/>
            </w:tcBorders>
            <w:shd w:val="clear" w:color="auto" w:fill="auto"/>
          </w:tcPr>
          <w:p w:rsidR="0017135D" w:rsidP="00296FA9">
            <w:pPr>
              <w:pStyle w:val="CSBody8pt"/>
            </w:pPr>
            <w:r w:rsidRPr="00792D61">
              <w:rPr>
                <w:b/>
              </w:rPr>
              <w:t>[</w:t>
            </w:r>
            <w:r w:rsidRPr="00243281">
              <w:t xml:space="preserve">The Complex Products </w:t>
            </w:r>
            <w:r w:rsidRPr="00792D61">
              <w:rPr>
                <w:b/>
              </w:rPr>
              <w:t>[</w:t>
            </w:r>
            <w:r w:rsidRPr="00243281">
              <w:t>have been</w:t>
            </w:r>
            <w:r w:rsidRPr="00792D61">
              <w:rPr>
                <w:b/>
              </w:rPr>
              <w:t>][</w:t>
            </w:r>
            <w:r w:rsidRPr="00243281">
              <w:t>are expected to be</w:t>
            </w:r>
            <w:r w:rsidRPr="00792D61">
              <w:rPr>
                <w:b/>
              </w:rPr>
              <w:t>]</w:t>
            </w:r>
            <w:r w:rsidRPr="00243281">
              <w:t xml:space="preserve"> rated </w:t>
            </w:r>
            <w:r w:rsidRPr="00792D61">
              <w:rPr>
                <w:b/>
              </w:rPr>
              <w:t>[</w:t>
            </w:r>
            <w:r w:rsidRPr="00243281">
              <w:t>specify rating(s) of Complex Products being issued</w:t>
            </w:r>
            <w:r w:rsidRPr="00792D61">
              <w:rPr>
                <w:b/>
              </w:rPr>
              <w:t>]</w:t>
            </w:r>
            <w:r w:rsidRPr="00243281">
              <w:t xml:space="preserve"> by </w:t>
            </w:r>
            <w:r w:rsidRPr="00792D61">
              <w:rPr>
                <w:b/>
              </w:rPr>
              <w:t>[</w:t>
            </w:r>
            <w:r w:rsidRPr="00243281">
              <w:t>specify rating agent(s)</w:t>
            </w:r>
            <w:r w:rsidRPr="00792D61">
              <w:rPr>
                <w:b/>
              </w:rPr>
              <w:t>]</w:t>
            </w:r>
            <w:r w:rsidRPr="00243281">
              <w:t>.</w:t>
            </w:r>
            <w:r w:rsidRPr="00792D61">
              <w:rPr>
                <w:b/>
              </w:rPr>
              <w:t>]</w:t>
            </w:r>
          </w:p>
        </w:tc>
        <w:tc>
          <w:tcPr>
            <w:tcW w:w="1618" w:type="dxa"/>
            <w:gridSpan w:val="2"/>
            <w:tcBorders>
              <w:top w:val="nil"/>
              <w:bottom w:val="nil"/>
              <w:right w:val="nil"/>
            </w:tcBorders>
            <w:shd w:val="clear" w:color="auto" w:fill="auto"/>
          </w:tcPr>
          <w:p w:rsidR="0017135D" w:rsidP="00296FA9">
            <w:pPr>
              <w:pStyle w:val="CSBody8pt"/>
            </w:pPr>
            <w:r w:rsidRPr="00792D61">
              <w:rPr>
                <w:b/>
              </w:rPr>
              <w:t>[</w:t>
            </w:r>
            <w:r w:rsidRPr="00301078">
              <w:t>Rating der Komplexen Produkte:</w:t>
            </w:r>
          </w:p>
        </w:tc>
        <w:tc>
          <w:tcPr>
            <w:tcW w:w="3318" w:type="dxa"/>
            <w:gridSpan w:val="10"/>
            <w:tcBorders>
              <w:top w:val="nil"/>
              <w:left w:val="nil"/>
              <w:bottom w:val="nil"/>
              <w:right w:val="nil"/>
            </w:tcBorders>
            <w:shd w:val="clear" w:color="auto" w:fill="auto"/>
          </w:tcPr>
          <w:p w:rsidR="0017135D" w:rsidRPr="00B1609A" w:rsidP="00296FA9">
            <w:pPr>
              <w:pStyle w:val="CSBody8pt"/>
              <w:rPr>
                <w:lang w:val="de-DE"/>
              </w:rPr>
            </w:pPr>
            <w:r w:rsidRPr="00792D61">
              <w:rPr>
                <w:b/>
                <w:lang w:val="de-DE"/>
              </w:rPr>
              <w:t>[</w:t>
            </w:r>
            <w:r w:rsidRPr="00B1609A">
              <w:rPr>
                <w:lang w:val="de-DE"/>
              </w:rPr>
              <w:t xml:space="preserve">Für die Komplexen Produkte </w:t>
            </w:r>
            <w:r w:rsidRPr="00792D61">
              <w:rPr>
                <w:b/>
                <w:lang w:val="de-DE"/>
              </w:rPr>
              <w:t>[[</w:t>
            </w:r>
            <w:r w:rsidRPr="00B1609A">
              <w:rPr>
                <w:lang w:val="de-DE"/>
              </w:rPr>
              <w:t>wurde</w:t>
            </w:r>
            <w:r w:rsidRPr="00792D61">
              <w:rPr>
                <w:b/>
                <w:lang w:val="de-DE"/>
              </w:rPr>
              <w:t>]</w:t>
            </w:r>
            <w:r w:rsidRPr="00B1609A">
              <w:rPr>
                <w:lang w:val="de-DE"/>
              </w:rPr>
              <w:t xml:space="preserve"> </w:t>
            </w:r>
            <w:r w:rsidRPr="00792D61">
              <w:rPr>
                <w:b/>
                <w:lang w:val="de-DE"/>
              </w:rPr>
              <w:t>[</w:t>
            </w:r>
            <w:r w:rsidRPr="00B1609A">
              <w:rPr>
                <w:lang w:val="de-DE"/>
              </w:rPr>
              <w:t>wurden</w:t>
            </w:r>
            <w:r w:rsidRPr="00792D61">
              <w:rPr>
                <w:b/>
                <w:lang w:val="de-DE"/>
              </w:rPr>
              <w:t>]]</w:t>
            </w:r>
            <w:r w:rsidRPr="00B1609A">
              <w:rPr>
                <w:lang w:val="de-DE"/>
              </w:rPr>
              <w:t xml:space="preserve"> </w:t>
            </w:r>
            <w:r w:rsidRPr="00792D61">
              <w:rPr>
                <w:b/>
                <w:lang w:val="de-DE"/>
              </w:rPr>
              <w:t>[[</w:t>
            </w:r>
            <w:r w:rsidRPr="00B1609A">
              <w:rPr>
                <w:lang w:val="de-DE"/>
              </w:rPr>
              <w:t>wird</w:t>
            </w:r>
            <w:r w:rsidRPr="00792D61">
              <w:rPr>
                <w:b/>
                <w:lang w:val="de-DE"/>
              </w:rPr>
              <w:t>]</w:t>
            </w:r>
            <w:r w:rsidRPr="00B1609A">
              <w:rPr>
                <w:lang w:val="de-DE"/>
              </w:rPr>
              <w:t xml:space="preserve"> </w:t>
            </w:r>
            <w:r w:rsidRPr="00792D61">
              <w:rPr>
                <w:b/>
                <w:lang w:val="de-DE"/>
              </w:rPr>
              <w:t>[</w:t>
            </w:r>
            <w:r w:rsidRPr="00B1609A">
              <w:rPr>
                <w:lang w:val="de-DE"/>
              </w:rPr>
              <w:t>werden</w:t>
            </w:r>
            <w:r w:rsidRPr="00792D61">
              <w:rPr>
                <w:b/>
                <w:lang w:val="de-DE"/>
              </w:rPr>
              <w:t>]</w:t>
            </w:r>
            <w:r w:rsidRPr="00B1609A">
              <w:rPr>
                <w:lang w:val="de-DE"/>
              </w:rPr>
              <w:t xml:space="preserve"> voraussichtlich</w:t>
            </w:r>
            <w:r w:rsidRPr="00792D61">
              <w:rPr>
                <w:b/>
                <w:lang w:val="de-DE"/>
              </w:rPr>
              <w:t>]</w:t>
            </w:r>
            <w:r w:rsidRPr="00B1609A">
              <w:rPr>
                <w:lang w:val="de-DE"/>
              </w:rPr>
              <w:t xml:space="preserve"> von </w:t>
            </w:r>
            <w:r w:rsidRPr="00792D61">
              <w:rPr>
                <w:b/>
                <w:lang w:val="de-DE"/>
              </w:rPr>
              <w:t>[</w:t>
            </w:r>
            <w:r w:rsidRPr="00B1609A">
              <w:rPr>
                <w:lang w:val="de-DE"/>
              </w:rPr>
              <w:t>Ratingagentur(en) einfügen</w:t>
            </w:r>
            <w:r w:rsidRPr="00792D61">
              <w:rPr>
                <w:b/>
                <w:lang w:val="de-DE"/>
              </w:rPr>
              <w:t>]</w:t>
            </w:r>
            <w:r w:rsidRPr="00B1609A">
              <w:rPr>
                <w:lang w:val="de-DE"/>
              </w:rPr>
              <w:t xml:space="preserve"> </w:t>
            </w:r>
            <w:r w:rsidRPr="00792D61">
              <w:rPr>
                <w:b/>
                <w:lang w:val="de-DE"/>
              </w:rPr>
              <w:t>[</w:t>
            </w:r>
            <w:r w:rsidRPr="00B1609A">
              <w:rPr>
                <w:lang w:val="de-DE"/>
              </w:rPr>
              <w:t>ein Rating</w:t>
            </w:r>
            <w:r w:rsidRPr="00792D61">
              <w:rPr>
                <w:b/>
                <w:lang w:val="de-DE"/>
              </w:rPr>
              <w:t>]</w:t>
            </w:r>
            <w:r w:rsidRPr="00B1609A">
              <w:rPr>
                <w:lang w:val="de-DE"/>
              </w:rPr>
              <w:t xml:space="preserve"> </w:t>
            </w:r>
            <w:r w:rsidRPr="00792D61">
              <w:rPr>
                <w:b/>
                <w:lang w:val="de-DE"/>
              </w:rPr>
              <w:t>[</w:t>
            </w:r>
            <w:r w:rsidRPr="00B1609A">
              <w:rPr>
                <w:lang w:val="de-DE"/>
              </w:rPr>
              <w:t>Ratings</w:t>
            </w:r>
            <w:r w:rsidRPr="00792D61">
              <w:rPr>
                <w:b/>
                <w:lang w:val="de-DE"/>
              </w:rPr>
              <w:t>]</w:t>
            </w:r>
            <w:r w:rsidRPr="00B1609A">
              <w:rPr>
                <w:lang w:val="de-DE"/>
              </w:rPr>
              <w:t xml:space="preserve"> </w:t>
            </w:r>
            <w:r w:rsidRPr="00792D61">
              <w:rPr>
                <w:b/>
                <w:lang w:val="de-DE"/>
              </w:rPr>
              <w:t>[</w:t>
            </w:r>
            <w:r w:rsidRPr="00116759">
              <w:rPr>
                <w:b/>
                <w:i/>
                <w:lang w:val="de-DE"/>
              </w:rPr>
              <w:t>Rating(s) der begebenen Komplexen Produkte einfügen</w:t>
            </w:r>
            <w:r w:rsidRPr="00792D61">
              <w:rPr>
                <w:b/>
                <w:lang w:val="de-DE"/>
              </w:rPr>
              <w:t>]</w:t>
            </w:r>
            <w:r w:rsidRPr="00B1609A">
              <w:rPr>
                <w:lang w:val="de-DE"/>
              </w:rPr>
              <w:t xml:space="preserve"> vergeben.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296FA9">
            <w:pPr>
              <w:pStyle w:val="CSBody8pt"/>
              <w:rPr>
                <w:lang w:val="de-DE"/>
              </w:rPr>
            </w:pPr>
          </w:p>
        </w:tc>
        <w:tc>
          <w:tcPr>
            <w:tcW w:w="3315" w:type="dxa"/>
            <w:gridSpan w:val="7"/>
            <w:tcBorders>
              <w:top w:val="nil"/>
              <w:left w:val="nil"/>
              <w:bottom w:val="nil"/>
            </w:tcBorders>
            <w:shd w:val="clear" w:color="auto" w:fill="auto"/>
          </w:tcPr>
          <w:p w:rsidR="0017135D" w:rsidRPr="00B1609A" w:rsidP="00296FA9">
            <w:pPr>
              <w:pStyle w:val="CSBody8pt"/>
            </w:pPr>
            <w:r w:rsidRPr="00792D61">
              <w:rPr>
                <w:b/>
              </w:rPr>
              <w:t>[</w:t>
            </w:r>
            <w:r w:rsidRPr="00B1609A">
              <w:t>No ratings have been assigned to the Complex Products at the request of or with the co-operation of the Issuer in the rating process.</w:t>
            </w:r>
            <w:r w:rsidRPr="00792D61">
              <w:rPr>
                <w:b/>
              </w:rPr>
              <w:t>]]</w:t>
            </w:r>
          </w:p>
        </w:tc>
        <w:tc>
          <w:tcPr>
            <w:tcW w:w="1618" w:type="dxa"/>
            <w:gridSpan w:val="2"/>
            <w:tcBorders>
              <w:top w:val="nil"/>
              <w:bottom w:val="nil"/>
              <w:right w:val="nil"/>
            </w:tcBorders>
            <w:shd w:val="clear" w:color="auto" w:fill="auto"/>
          </w:tcPr>
          <w:p w:rsidR="0017135D" w:rsidRPr="00B1609A" w:rsidP="00296FA9">
            <w:pPr>
              <w:pStyle w:val="CSBody8pt"/>
            </w:pPr>
          </w:p>
        </w:tc>
        <w:tc>
          <w:tcPr>
            <w:tcW w:w="3318" w:type="dxa"/>
            <w:gridSpan w:val="10"/>
            <w:tcBorders>
              <w:top w:val="nil"/>
              <w:left w:val="nil"/>
              <w:bottom w:val="nil"/>
              <w:right w:val="nil"/>
            </w:tcBorders>
            <w:shd w:val="clear" w:color="auto" w:fill="auto"/>
          </w:tcPr>
          <w:p w:rsidR="0017135D" w:rsidRPr="00B1609A" w:rsidP="00296FA9">
            <w:pPr>
              <w:pStyle w:val="CSBody8pt"/>
              <w:rPr>
                <w:lang w:val="de-DE"/>
              </w:rPr>
            </w:pPr>
            <w:r w:rsidRPr="00792D61">
              <w:rPr>
                <w:b/>
                <w:lang w:val="de-DE"/>
              </w:rPr>
              <w:t>[</w:t>
            </w:r>
            <w:r w:rsidRPr="00B1609A">
              <w:rPr>
                <w:lang w:val="de-DE"/>
              </w:rPr>
              <w:t>Weder auf Anfrage noch unter Mitwirkung der Emittentin wurden Ratings für die Komplexen Produkte vergeben.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34D87" w:rsidP="00296FA9">
            <w:pPr>
              <w:pStyle w:val="CSbody0bold"/>
            </w:pPr>
            <w:r w:rsidRPr="00E34D87">
              <w:t>B.</w:t>
            </w:r>
          </w:p>
        </w:tc>
        <w:tc>
          <w:tcPr>
            <w:tcW w:w="3315" w:type="dxa"/>
            <w:gridSpan w:val="7"/>
            <w:tcBorders>
              <w:top w:val="nil"/>
              <w:left w:val="nil"/>
              <w:bottom w:val="nil"/>
            </w:tcBorders>
            <w:shd w:val="clear" w:color="auto" w:fill="auto"/>
          </w:tcPr>
          <w:p w:rsidR="0017135D" w:rsidRPr="00E34D87" w:rsidP="00296FA9">
            <w:pPr>
              <w:pStyle w:val="CSbody0bold"/>
            </w:pPr>
            <w:r w:rsidRPr="00E34D87">
              <w:t>Interest</w:t>
            </w:r>
          </w:p>
        </w:tc>
        <w:tc>
          <w:tcPr>
            <w:tcW w:w="1618" w:type="dxa"/>
            <w:gridSpan w:val="2"/>
            <w:tcBorders>
              <w:top w:val="nil"/>
              <w:bottom w:val="nil"/>
              <w:right w:val="nil"/>
            </w:tcBorders>
            <w:shd w:val="clear" w:color="auto" w:fill="auto"/>
          </w:tcPr>
          <w:p w:rsidR="0017135D" w:rsidRPr="00E34D87" w:rsidP="00296FA9">
            <w:pPr>
              <w:pStyle w:val="CSbody0bold"/>
            </w:pPr>
            <w:r w:rsidRPr="00E34D87">
              <w:t>B.</w:t>
            </w:r>
          </w:p>
        </w:tc>
        <w:tc>
          <w:tcPr>
            <w:tcW w:w="3318" w:type="dxa"/>
            <w:gridSpan w:val="10"/>
            <w:tcBorders>
              <w:top w:val="nil"/>
              <w:left w:val="nil"/>
              <w:bottom w:val="nil"/>
              <w:right w:val="nil"/>
            </w:tcBorders>
            <w:shd w:val="clear" w:color="auto" w:fill="auto"/>
          </w:tcPr>
          <w:p w:rsidR="0017135D" w:rsidP="00296FA9">
            <w:pPr>
              <w:pStyle w:val="CSbody0bold"/>
            </w:pPr>
            <w:r w:rsidRPr="00E34D87">
              <w:t>Zinsen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665BD" w:rsidP="00296FA9">
            <w:pPr>
              <w:pStyle w:val="CSBody8pt"/>
            </w:pPr>
            <w:r w:rsidRPr="001665BD">
              <w:t>Interest</w:t>
            </w:r>
          </w:p>
        </w:tc>
        <w:tc>
          <w:tcPr>
            <w:tcW w:w="3315" w:type="dxa"/>
            <w:gridSpan w:val="7"/>
            <w:tcBorders>
              <w:top w:val="nil"/>
              <w:left w:val="nil"/>
              <w:bottom w:val="nil"/>
            </w:tcBorders>
            <w:shd w:val="clear" w:color="auto" w:fill="auto"/>
          </w:tcPr>
          <w:p w:rsidR="0017135D" w:rsidP="00296FA9">
            <w:pPr>
              <w:pStyle w:val="CSBody8ptbolditalics"/>
            </w:pPr>
            <w:r w:rsidRPr="00792D61">
              <w:t>[</w:t>
            </w:r>
            <w:r w:rsidRPr="001665BD">
              <w:t>in the case of Credit-Linked Complex Products with auction settlement, one Interest Payment Date and no Basket, insert:</w:t>
            </w:r>
          </w:p>
        </w:tc>
        <w:tc>
          <w:tcPr>
            <w:tcW w:w="1618" w:type="dxa"/>
            <w:gridSpan w:val="2"/>
            <w:tcBorders>
              <w:top w:val="nil"/>
              <w:bottom w:val="nil"/>
              <w:right w:val="nil"/>
            </w:tcBorders>
            <w:shd w:val="clear" w:color="auto" w:fill="auto"/>
          </w:tcPr>
          <w:p w:rsidR="0017135D" w:rsidRPr="00C12629" w:rsidP="00296FA9">
            <w:pPr>
              <w:pStyle w:val="CSBody8pt"/>
            </w:pPr>
            <w:r w:rsidRPr="00C12629">
              <w:t>Zinsen</w:t>
            </w:r>
          </w:p>
        </w:tc>
        <w:tc>
          <w:tcPr>
            <w:tcW w:w="3318" w:type="dxa"/>
            <w:gridSpan w:val="10"/>
            <w:tcBorders>
              <w:top w:val="nil"/>
              <w:left w:val="nil"/>
              <w:bottom w:val="nil"/>
              <w:right w:val="nil"/>
            </w:tcBorders>
            <w:shd w:val="clear" w:color="auto" w:fill="auto"/>
          </w:tcPr>
          <w:p w:rsidR="0017135D" w:rsidRPr="00B1609A" w:rsidP="00296FA9">
            <w:pPr>
              <w:pStyle w:val="CSBody8ptbolditalics"/>
              <w:rPr>
                <w:lang w:val="de-DE"/>
              </w:rPr>
            </w:pPr>
            <w:r w:rsidRPr="00792D61">
              <w:rPr>
                <w:lang w:val="de-DE"/>
              </w:rPr>
              <w:t>[</w:t>
            </w:r>
            <w:r w:rsidRPr="00B1609A">
              <w:rPr>
                <w:lang w:val="de-DE"/>
              </w:rPr>
              <w:t>bei Kreditbezogenen Komplexen Produkten mit Auktionsabwicklung, einem Zinszahlungstag und ohne Korb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296FA9">
            <w:pPr>
              <w:pStyle w:val="CSBody8pt"/>
              <w:rPr>
                <w:lang w:val="de-DE"/>
              </w:rPr>
            </w:pPr>
          </w:p>
        </w:tc>
        <w:tc>
          <w:tcPr>
            <w:tcW w:w="3315" w:type="dxa"/>
            <w:gridSpan w:val="7"/>
            <w:tcBorders>
              <w:top w:val="nil"/>
              <w:left w:val="nil"/>
              <w:bottom w:val="nil"/>
            </w:tcBorders>
            <w:shd w:val="clear" w:color="auto" w:fill="auto"/>
          </w:tcPr>
          <w:p w:rsidR="0017135D" w:rsidRPr="00B1609A" w:rsidP="00296FA9">
            <w:pPr>
              <w:pStyle w:val="CSBody8pt"/>
            </w:pPr>
            <w:r w:rsidRPr="00B1609A">
              <w:t xml:space="preserve">Subject to the immediately succeeding paragraph, the Issuer shall pay the Interest Payment Amount per Complex Product on the Interest Payment Date to the Holder thereof, provided that (i) the Complex Products have not been redeemed, repurchased or cancelled on or prior to the Interest Payment Date and (ii) no Credit Event Determination Date </w:t>
            </w:r>
            <w:r w:rsidRPr="00792D61">
              <w:rPr>
                <w:b/>
              </w:rPr>
              <w:t>[</w:t>
            </w:r>
            <w:r w:rsidRPr="00296FA9">
              <w:rPr>
                <w:b/>
                <w:i/>
              </w:rPr>
              <w:t>in the case of Complex Products with N</w:t>
            </w:r>
            <w:r w:rsidRPr="00BD6E0D">
              <w:rPr>
                <w:b/>
                <w:i/>
                <w:vertAlign w:val="superscript"/>
              </w:rPr>
              <w:t>th</w:t>
            </w:r>
            <w:r w:rsidRPr="00296FA9">
              <w:rPr>
                <w:b/>
                <w:i/>
              </w:rPr>
              <w:t>-to-Default structure, insert:</w:t>
            </w:r>
            <w:r w:rsidRPr="00B1609A">
              <w:t xml:space="preserve"> with respect to the </w:t>
            </w:r>
            <w:r w:rsidRPr="00792D61">
              <w:rPr>
                <w:b/>
              </w:rPr>
              <w:t>[</w:t>
            </w:r>
            <w:r w:rsidRPr="00296FA9">
              <w:rPr>
                <w:b/>
                <w:i/>
              </w:rPr>
              <w:t>insert relevant number:</w:t>
            </w:r>
            <w:r w:rsidRPr="00B1609A">
              <w:t xml:space="preserve"> </w:t>
            </w:r>
            <w:r w:rsidRPr="00792D61">
              <w:rPr>
                <w:b/>
              </w:rPr>
              <w:t>[</w:t>
            </w:r>
            <w:r w:rsidRPr="00B1609A">
              <w:t>1st</w:t>
            </w:r>
            <w:r w:rsidRPr="00792D61">
              <w:rPr>
                <w:b/>
              </w:rPr>
              <w:t>][</w:t>
            </w:r>
            <w:r w:rsidRPr="00B1609A">
              <w:t>2nd</w:t>
            </w:r>
            <w:r w:rsidRPr="00792D61">
              <w:rPr>
                <w:b/>
              </w:rPr>
              <w:t>][</w:t>
            </w:r>
            <w:r w:rsidRPr="00B1609A">
              <w:t>3rd</w:t>
            </w:r>
            <w:r w:rsidRPr="00792D61">
              <w:rPr>
                <w:b/>
              </w:rPr>
              <w:t>][[</w:t>
            </w:r>
            <w:r w:rsidRPr="00B1609A">
              <w:rPr>
                <w:rFonts w:ascii="Arial" w:hAnsi="Arial" w:cs="Arial"/>
              </w:rPr>
              <w:t>●</w:t>
            </w:r>
            <w:r w:rsidRPr="00792D61">
              <w:rPr>
                <w:b/>
              </w:rPr>
              <w:t>]]]</w:t>
            </w:r>
            <w:r w:rsidRPr="00B1609A">
              <w:t>-to-Default Reference Entity</w:t>
            </w:r>
            <w:r w:rsidRPr="00792D61">
              <w:rPr>
                <w:b/>
              </w:rPr>
              <w:t>]</w:t>
            </w:r>
            <w:r w:rsidRPr="00B1609A">
              <w:t xml:space="preserve"> has occurred prior to the Interest Payment Date. For the avoidance of doubt, it being understood that, if (A) the Complex Products are redeemed, repurchased or cancelled on or prior to the Interest Payment Date or (B) a Credit Event Determination Date </w:t>
            </w:r>
            <w:r w:rsidRPr="00792D61">
              <w:rPr>
                <w:b/>
              </w:rPr>
              <w:t>[</w:t>
            </w:r>
            <w:r w:rsidRPr="00296FA9">
              <w:rPr>
                <w:b/>
                <w:i/>
              </w:rPr>
              <w:t>in the case of Complex Products with N</w:t>
            </w:r>
            <w:r w:rsidRPr="00BD6E0D">
              <w:rPr>
                <w:b/>
                <w:i/>
                <w:vertAlign w:val="superscript"/>
              </w:rPr>
              <w:t>th</w:t>
            </w:r>
            <w:r w:rsidRPr="00296FA9">
              <w:rPr>
                <w:b/>
                <w:i/>
              </w:rPr>
              <w:t>-to-Default structure, insert:</w:t>
            </w:r>
            <w:r w:rsidRPr="00B1609A">
              <w:t xml:space="preserve"> with respect to the </w:t>
            </w:r>
            <w:r w:rsidRPr="00792D61">
              <w:rPr>
                <w:b/>
              </w:rPr>
              <w:t>[</w:t>
            </w:r>
            <w:r w:rsidRPr="00296FA9">
              <w:rPr>
                <w:b/>
                <w:i/>
              </w:rPr>
              <w:t>insert relevant number:</w:t>
            </w:r>
            <w:r w:rsidRPr="00B1609A">
              <w:t xml:space="preserve"> </w:t>
            </w:r>
            <w:r w:rsidRPr="00792D61">
              <w:rPr>
                <w:b/>
              </w:rPr>
              <w:t>[</w:t>
            </w:r>
            <w:r w:rsidRPr="00B1609A">
              <w:t>1st</w:t>
            </w:r>
            <w:r w:rsidRPr="00792D61">
              <w:rPr>
                <w:b/>
              </w:rPr>
              <w:t>][</w:t>
            </w:r>
            <w:r w:rsidRPr="00B1609A">
              <w:t>2nd</w:t>
            </w:r>
            <w:r w:rsidRPr="00792D61">
              <w:rPr>
                <w:b/>
              </w:rPr>
              <w:t>][</w:t>
            </w:r>
            <w:r w:rsidRPr="00B1609A">
              <w:t>3rd</w:t>
            </w:r>
            <w:r w:rsidRPr="00792D61">
              <w:rPr>
                <w:b/>
              </w:rPr>
              <w:t>][[</w:t>
            </w:r>
            <w:r w:rsidRPr="00B1609A">
              <w:rPr>
                <w:rFonts w:ascii="Arial" w:hAnsi="Arial" w:cs="Arial"/>
              </w:rPr>
              <w:t>●</w:t>
            </w:r>
            <w:r w:rsidRPr="00792D61">
              <w:rPr>
                <w:b/>
              </w:rPr>
              <w:t>]]]</w:t>
            </w:r>
            <w:r w:rsidRPr="00B1609A">
              <w:t>-to-Default Reference Entity</w:t>
            </w:r>
            <w:r w:rsidRPr="00792D61">
              <w:rPr>
                <w:b/>
              </w:rPr>
              <w:t>]</w:t>
            </w:r>
            <w:r w:rsidRPr="00B1609A">
              <w:t xml:space="preserve"> has occurred prior to the Interest Payment Date, any portion of the Interest Payment Amount that has accrued as of the date of such redemption, repurchase, cancellation or the date on which such Credit Event Determination Date occurred, as the case may be, will </w:t>
            </w:r>
            <w:r w:rsidRPr="00792D61">
              <w:rPr>
                <w:b/>
              </w:rPr>
              <w:t>[</w:t>
            </w:r>
            <w:r w:rsidRPr="00B1609A">
              <w:t>not</w:t>
            </w:r>
            <w:r w:rsidRPr="00792D61">
              <w:rPr>
                <w:b/>
              </w:rPr>
              <w:t>]</w:t>
            </w:r>
            <w:r w:rsidRPr="00B1609A">
              <w:t xml:space="preserve"> be paid.</w:t>
            </w:r>
            <w:r w:rsidRPr="00792D61">
              <w:rPr>
                <w:b/>
              </w:rPr>
              <w:t>]</w:t>
            </w:r>
          </w:p>
        </w:tc>
        <w:tc>
          <w:tcPr>
            <w:tcW w:w="1618" w:type="dxa"/>
            <w:gridSpan w:val="2"/>
            <w:tcBorders>
              <w:top w:val="nil"/>
              <w:bottom w:val="nil"/>
              <w:right w:val="nil"/>
            </w:tcBorders>
            <w:shd w:val="clear" w:color="auto" w:fill="auto"/>
          </w:tcPr>
          <w:p w:rsidR="0017135D" w:rsidRPr="00B1609A" w:rsidP="00296FA9">
            <w:pPr>
              <w:pStyle w:val="CSBody8pt"/>
            </w:pPr>
          </w:p>
        </w:tc>
        <w:tc>
          <w:tcPr>
            <w:tcW w:w="3318" w:type="dxa"/>
            <w:gridSpan w:val="10"/>
            <w:tcBorders>
              <w:top w:val="nil"/>
              <w:left w:val="nil"/>
              <w:bottom w:val="nil"/>
              <w:right w:val="nil"/>
            </w:tcBorders>
            <w:shd w:val="clear" w:color="auto" w:fill="auto"/>
          </w:tcPr>
          <w:p w:rsidR="0017135D" w:rsidRPr="00B1609A" w:rsidP="003278BE">
            <w:pPr>
              <w:pStyle w:val="CSBody8pt"/>
              <w:rPr>
                <w:lang w:val="de-DE"/>
              </w:rPr>
            </w:pPr>
            <w:r w:rsidRPr="00B1609A">
              <w:rPr>
                <w:lang w:val="de-DE"/>
              </w:rPr>
              <w:t xml:space="preserve">Vorbehaltlich des unmittelbar nachfolgenden Absatzes zahlt die Emittentin den Zinszahlungsbetrag pro Komplexes Produkt am Zinszahlungstag an den jeweiligen Inhaber, sofern (i) die Komplexen Produkte nicht bereits an oder vor dem Zinszahlungstag zurückgezahlt, zurückgekauft oder entwertet wurden und (ii) vor dem Zinszahlungstag kein Kreditereignis-Feststellungstag </w:t>
            </w:r>
            <w:r w:rsidRPr="00792D61">
              <w:rPr>
                <w:b/>
                <w:lang w:val="de-DE"/>
              </w:rPr>
              <w:t>[</w:t>
            </w:r>
            <w:r w:rsidRPr="00296FA9">
              <w:rPr>
                <w:b/>
                <w:i/>
                <w:lang w:val="de-DE"/>
              </w:rPr>
              <w:t>bei Komplexen Produkten mit N</w:t>
            </w:r>
            <w:r w:rsidRPr="00BD6E0D">
              <w:rPr>
                <w:b/>
                <w:i/>
                <w:vertAlign w:val="superscript"/>
                <w:lang w:val="de-DE"/>
              </w:rPr>
              <w:t>th</w:t>
            </w:r>
            <w:r w:rsidRPr="00296FA9">
              <w:rPr>
                <w:b/>
                <w:i/>
                <w:lang w:val="de-DE"/>
              </w:rPr>
              <w:t>-to-Default-Struktur einfügen:</w:t>
            </w:r>
            <w:r w:rsidRPr="00B1609A">
              <w:rPr>
                <w:lang w:val="de-DE"/>
              </w:rPr>
              <w:t xml:space="preserve"> in Bezug auf den </w:t>
            </w:r>
            <w:r w:rsidRPr="00792D61">
              <w:rPr>
                <w:b/>
                <w:lang w:val="de-DE"/>
              </w:rPr>
              <w:t>[</w:t>
            </w:r>
            <w:r w:rsidRPr="00296FA9">
              <w:rPr>
                <w:b/>
                <w:i/>
                <w:lang w:val="de-DE"/>
              </w:rPr>
              <w:t>jeweilige Zahl einfügen:</w:t>
            </w:r>
            <w:r w:rsidRPr="00B1609A">
              <w:rPr>
                <w:lang w:val="de-DE"/>
              </w:rPr>
              <w:t xml:space="preserve"> </w:t>
            </w:r>
            <w:r w:rsidRPr="00792D61">
              <w:rPr>
                <w:b/>
                <w:lang w:val="de-DE"/>
              </w:rPr>
              <w:t>[</w:t>
            </w:r>
            <w:r w:rsidRPr="00B1609A">
              <w:rPr>
                <w:lang w:val="de-DE"/>
              </w:rPr>
              <w:t>1st</w:t>
            </w:r>
            <w:r w:rsidRPr="00792D61">
              <w:rPr>
                <w:b/>
                <w:lang w:val="de-DE"/>
              </w:rPr>
              <w:t>][</w:t>
            </w:r>
            <w:r w:rsidRPr="00B1609A">
              <w:rPr>
                <w:lang w:val="de-DE"/>
              </w:rPr>
              <w:t>2nd</w:t>
            </w:r>
            <w:r w:rsidRPr="00792D61">
              <w:rPr>
                <w:b/>
                <w:lang w:val="de-DE"/>
              </w:rPr>
              <w:t>][</w:t>
            </w:r>
            <w:r w:rsidRPr="00B1609A">
              <w:rPr>
                <w:lang w:val="de-DE"/>
              </w:rPr>
              <w:t>3rd</w:t>
            </w:r>
            <w:r w:rsidRPr="00792D61">
              <w:rPr>
                <w:b/>
                <w:lang w:val="de-DE"/>
              </w:rPr>
              <w:t>][[</w:t>
            </w:r>
            <w:r w:rsidRPr="00B1609A">
              <w:rPr>
                <w:rFonts w:ascii="Arial" w:hAnsi="Arial" w:cs="Arial"/>
                <w:lang w:val="de-DE"/>
              </w:rPr>
              <w:t>●</w:t>
            </w:r>
            <w:r w:rsidRPr="00792D61">
              <w:rPr>
                <w:b/>
                <w:lang w:val="de-DE"/>
              </w:rPr>
              <w:t>]]]</w:t>
            </w:r>
            <w:r w:rsidRPr="00B1609A">
              <w:rPr>
                <w:lang w:val="de-DE"/>
              </w:rPr>
              <w:t>-to-Default-Referenzschuldner</w:t>
            </w:r>
            <w:r w:rsidRPr="00792D61">
              <w:rPr>
                <w:b/>
                <w:lang w:val="de-DE"/>
              </w:rPr>
              <w:t>]</w:t>
            </w:r>
            <w:r w:rsidRPr="00B1609A">
              <w:rPr>
                <w:lang w:val="de-DE"/>
              </w:rPr>
              <w:t xml:space="preserve"> eingetreten ist. Zur Klarstellung wird festgehalten, dass im Fall (A) einer bzw. eines am oder vor dem Zinszahlungstag erfolgenden Rückzahlung, Rückkaufs oder Entwertung der Komplexen Produkte oder (B) des Eint</w:t>
            </w:r>
            <w:r>
              <w:rPr>
                <w:lang w:val="de-DE"/>
              </w:rPr>
              <w:t>ritts eines Kreditereignis-Fest</w:t>
            </w:r>
            <w:r w:rsidRPr="00B1609A">
              <w:rPr>
                <w:lang w:val="de-DE"/>
              </w:rPr>
              <w:t xml:space="preserve">stellungstags </w:t>
            </w:r>
            <w:r w:rsidRPr="00792D61">
              <w:rPr>
                <w:b/>
                <w:lang w:val="de-DE"/>
              </w:rPr>
              <w:t>[</w:t>
            </w:r>
            <w:r w:rsidRPr="00296FA9">
              <w:rPr>
                <w:b/>
                <w:i/>
                <w:lang w:val="de-DE"/>
              </w:rPr>
              <w:t>bei Komplexen Produkten mit N</w:t>
            </w:r>
            <w:r w:rsidRPr="00BD6E0D">
              <w:rPr>
                <w:b/>
                <w:i/>
                <w:vertAlign w:val="superscript"/>
                <w:lang w:val="de-DE"/>
              </w:rPr>
              <w:t>th</w:t>
            </w:r>
            <w:r w:rsidRPr="00296FA9">
              <w:rPr>
                <w:b/>
                <w:i/>
                <w:lang w:val="de-DE"/>
              </w:rPr>
              <w:t xml:space="preserve">-to-Default-Struktur einfügen: </w:t>
            </w:r>
            <w:r w:rsidRPr="00296FA9">
              <w:rPr>
                <w:lang w:val="de-DE"/>
              </w:rPr>
              <w:t xml:space="preserve">in Bezug auf den </w:t>
            </w:r>
            <w:r w:rsidRPr="00792D61">
              <w:rPr>
                <w:b/>
                <w:i/>
                <w:lang w:val="de-DE"/>
              </w:rPr>
              <w:t>[</w:t>
            </w:r>
            <w:r w:rsidRPr="00296FA9">
              <w:rPr>
                <w:b/>
                <w:i/>
                <w:lang w:val="de-DE"/>
              </w:rPr>
              <w:t>jeweilige Zahl einfügen:</w:t>
            </w:r>
            <w:r w:rsidRPr="00B1609A">
              <w:rPr>
                <w:lang w:val="de-DE"/>
              </w:rPr>
              <w:t xml:space="preserve"> </w:t>
            </w:r>
            <w:r w:rsidRPr="00792D61">
              <w:rPr>
                <w:b/>
                <w:lang w:val="de-DE"/>
              </w:rPr>
              <w:t>[</w:t>
            </w:r>
            <w:r w:rsidRPr="00B1609A">
              <w:rPr>
                <w:lang w:val="de-DE"/>
              </w:rPr>
              <w:t>1st</w:t>
            </w:r>
            <w:r w:rsidRPr="00792D61">
              <w:rPr>
                <w:b/>
                <w:lang w:val="de-DE"/>
              </w:rPr>
              <w:t>]</w:t>
            </w:r>
            <w:r w:rsidRPr="00B1609A">
              <w:rPr>
                <w:lang w:val="de-DE"/>
              </w:rPr>
              <w:t xml:space="preserve"> </w:t>
            </w:r>
            <w:r w:rsidRPr="00792D61">
              <w:rPr>
                <w:b/>
                <w:lang w:val="de-DE"/>
              </w:rPr>
              <w:t>[</w:t>
            </w:r>
            <w:r w:rsidRPr="00B1609A">
              <w:rPr>
                <w:lang w:val="de-DE"/>
              </w:rPr>
              <w:t>2nd</w:t>
            </w:r>
            <w:r w:rsidRPr="00792D61">
              <w:rPr>
                <w:b/>
                <w:lang w:val="de-DE"/>
              </w:rPr>
              <w:t>][</w:t>
            </w:r>
            <w:r w:rsidRPr="00B1609A">
              <w:rPr>
                <w:lang w:val="de-DE"/>
              </w:rPr>
              <w:t>3rd</w:t>
            </w:r>
            <w:r w:rsidRPr="00792D61">
              <w:rPr>
                <w:b/>
                <w:lang w:val="de-DE"/>
              </w:rPr>
              <w:t>][[</w:t>
            </w:r>
            <w:r w:rsidRPr="00B1609A">
              <w:rPr>
                <w:rFonts w:ascii="Arial" w:hAnsi="Arial" w:cs="Arial"/>
                <w:lang w:val="de-DE"/>
              </w:rPr>
              <w:t>●</w:t>
            </w:r>
            <w:r w:rsidRPr="00792D61">
              <w:rPr>
                <w:b/>
                <w:lang w:val="de-DE"/>
              </w:rPr>
              <w:t>]]]</w:t>
            </w:r>
            <w:r w:rsidRPr="00B1609A">
              <w:rPr>
                <w:lang w:val="de-DE"/>
              </w:rPr>
              <w:t>-to-Default-Referenzschuldner</w:t>
            </w:r>
            <w:r w:rsidRPr="00792D61">
              <w:rPr>
                <w:b/>
                <w:lang w:val="de-DE"/>
              </w:rPr>
              <w:t>]</w:t>
            </w:r>
            <w:r w:rsidRPr="00B1609A">
              <w:rPr>
                <w:lang w:val="de-DE"/>
              </w:rPr>
              <w:t xml:space="preserve"> vor dem Zinszahlungstag die Teile des Zinszahlungsbetrags, die zum Termin dieser R</w:t>
            </w:r>
            <w:r w:rsidRPr="00B1609A">
              <w:rPr>
                <w:rFonts w:cs="Credit Suisse Type Light"/>
                <w:lang w:val="de-DE"/>
              </w:rPr>
              <w:t>ü</w:t>
            </w:r>
            <w:r w:rsidRPr="00B1609A">
              <w:rPr>
                <w:lang w:val="de-DE"/>
              </w:rPr>
              <w:t>ckzahlung, dieses R</w:t>
            </w:r>
            <w:r w:rsidRPr="00B1609A">
              <w:rPr>
                <w:rFonts w:cs="Credit Suisse Type Light"/>
                <w:lang w:val="de-DE"/>
              </w:rPr>
              <w:t>ü</w:t>
            </w:r>
            <w:r w:rsidRPr="00B1609A">
              <w:rPr>
                <w:lang w:val="de-DE"/>
              </w:rPr>
              <w:t xml:space="preserve">ckkaufs bzw. dieser Entwertung bzw. zum Termin des Eintritts dieses Kreditereignis-Feststellungstags aufgelaufen sind, </w:t>
            </w:r>
            <w:r w:rsidRPr="00792D61">
              <w:rPr>
                <w:b/>
                <w:lang w:val="de-DE"/>
              </w:rPr>
              <w:t>[</w:t>
            </w:r>
            <w:r w:rsidRPr="00B1609A">
              <w:rPr>
                <w:lang w:val="de-DE"/>
              </w:rPr>
              <w:t>nicht</w:t>
            </w:r>
            <w:r w:rsidRPr="00792D61">
              <w:rPr>
                <w:b/>
                <w:lang w:val="de-DE"/>
              </w:rPr>
              <w:t>]</w:t>
            </w:r>
            <w:r w:rsidRPr="00B1609A">
              <w:rPr>
                <w:lang w:val="de-DE"/>
              </w:rPr>
              <w:t xml:space="preserve"> zur Auszahlung gelangen.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296FA9">
            <w:pPr>
              <w:pStyle w:val="CSBody8ptbolditalics"/>
              <w:rPr>
                <w:lang w:val="de-DE"/>
              </w:rPr>
            </w:pPr>
          </w:p>
        </w:tc>
        <w:tc>
          <w:tcPr>
            <w:tcW w:w="3315" w:type="dxa"/>
            <w:gridSpan w:val="7"/>
            <w:tcBorders>
              <w:top w:val="nil"/>
              <w:left w:val="nil"/>
              <w:bottom w:val="nil"/>
            </w:tcBorders>
            <w:shd w:val="clear" w:color="auto" w:fill="auto"/>
          </w:tcPr>
          <w:p w:rsidR="0017135D" w:rsidRPr="00BE5518" w:rsidP="00296FA9">
            <w:pPr>
              <w:pStyle w:val="CSBody8ptbolditalics"/>
            </w:pPr>
            <w:r w:rsidRPr="00792D61">
              <w:t>[</w:t>
            </w:r>
            <w:r w:rsidRPr="00BE5518">
              <w:t>in the case of Credit-Linked Complex Products with simplified settlement and one Interest Payment Date, insert:</w:t>
            </w:r>
          </w:p>
        </w:tc>
        <w:tc>
          <w:tcPr>
            <w:tcW w:w="1618" w:type="dxa"/>
            <w:gridSpan w:val="2"/>
            <w:tcBorders>
              <w:top w:val="nil"/>
              <w:bottom w:val="nil"/>
              <w:right w:val="nil"/>
            </w:tcBorders>
            <w:shd w:val="clear" w:color="auto" w:fill="auto"/>
          </w:tcPr>
          <w:p w:rsidR="0017135D" w:rsidRPr="00B1609A" w:rsidP="00296FA9">
            <w:pPr>
              <w:pStyle w:val="CSBody8ptbolditalics"/>
            </w:pPr>
          </w:p>
        </w:tc>
        <w:tc>
          <w:tcPr>
            <w:tcW w:w="3318" w:type="dxa"/>
            <w:gridSpan w:val="10"/>
            <w:tcBorders>
              <w:top w:val="nil"/>
              <w:left w:val="nil"/>
              <w:bottom w:val="nil"/>
              <w:right w:val="nil"/>
            </w:tcBorders>
            <w:shd w:val="clear" w:color="auto" w:fill="auto"/>
          </w:tcPr>
          <w:p w:rsidR="0017135D" w:rsidRPr="00B1609A" w:rsidP="00296FA9">
            <w:pPr>
              <w:pStyle w:val="CSBody8ptbolditalics"/>
              <w:rPr>
                <w:lang w:val="de-DE"/>
              </w:rPr>
            </w:pPr>
            <w:r w:rsidRPr="00792D61">
              <w:rPr>
                <w:lang w:val="de-DE"/>
              </w:rPr>
              <w:t>[</w:t>
            </w:r>
            <w:r w:rsidRPr="00B1609A">
              <w:rPr>
                <w:lang w:val="de-DE"/>
              </w:rPr>
              <w:t>bei Kreditbezogenen Komplexen Produkten mit vereinfachter Abwicklung und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296FA9">
            <w:pPr>
              <w:pStyle w:val="CSBody8pt"/>
              <w:rPr>
                <w:lang w:val="de-DE"/>
              </w:rPr>
            </w:pPr>
          </w:p>
        </w:tc>
        <w:tc>
          <w:tcPr>
            <w:tcW w:w="3315" w:type="dxa"/>
            <w:gridSpan w:val="7"/>
            <w:tcBorders>
              <w:top w:val="nil"/>
              <w:left w:val="nil"/>
              <w:bottom w:val="nil"/>
            </w:tcBorders>
            <w:shd w:val="clear" w:color="auto" w:fill="auto"/>
          </w:tcPr>
          <w:p w:rsidR="0017135D" w:rsidP="00296FA9">
            <w:pPr>
              <w:pStyle w:val="CSBody8pt"/>
            </w:pPr>
            <w:r w:rsidRPr="00BE5518">
              <w:t>Subject to the immediately succeeding paragraph, the Issuer shall pay the Interest Payment Amount per Complex Product on the Interest Payment Date to the Holder thereof, provided that (i) the Complex Products have not been redeemed, repurchased or cancelled on or prior to the Interest Payment Date and (ii) no Credit Redemption Event has occurred prior to the Interest Payment Date. For the avoidance of doubt, it being understood that, if (A) the Complex Products are redeemed, repurchased or cancelled on or prior to the Interest Payment Date or (B) a Credit Redemption Event has occurred prior to the Interest Payment Date, any portion of the Interest Payment Amount that has accrued as of the date of such redemption, repurchase, cancellation or the date on which such Credit Event occurred, as the case may be, will not be paid.</w:t>
            </w:r>
            <w:r w:rsidRPr="00792D61">
              <w:rPr>
                <w:b/>
              </w:rPr>
              <w:t>]</w:t>
            </w:r>
          </w:p>
        </w:tc>
        <w:tc>
          <w:tcPr>
            <w:tcW w:w="1618" w:type="dxa"/>
            <w:gridSpan w:val="2"/>
            <w:tcBorders>
              <w:top w:val="nil"/>
              <w:bottom w:val="nil"/>
              <w:right w:val="nil"/>
            </w:tcBorders>
            <w:shd w:val="clear" w:color="auto" w:fill="auto"/>
          </w:tcPr>
          <w:p w:rsidR="0017135D" w:rsidRPr="00B1609A" w:rsidP="00296FA9">
            <w:pPr>
              <w:pStyle w:val="CSBody8pt"/>
            </w:pPr>
          </w:p>
        </w:tc>
        <w:tc>
          <w:tcPr>
            <w:tcW w:w="3318" w:type="dxa"/>
            <w:gridSpan w:val="10"/>
            <w:tcBorders>
              <w:top w:val="nil"/>
              <w:left w:val="nil"/>
              <w:bottom w:val="nil"/>
              <w:right w:val="nil"/>
            </w:tcBorders>
            <w:shd w:val="clear" w:color="auto" w:fill="auto"/>
          </w:tcPr>
          <w:p w:rsidR="0017135D" w:rsidRPr="00B1609A" w:rsidP="003B2F7F">
            <w:pPr>
              <w:pStyle w:val="CSBody8pt"/>
              <w:rPr>
                <w:lang w:val="de-DE"/>
              </w:rPr>
            </w:pPr>
            <w:r w:rsidRPr="00B1609A">
              <w:rPr>
                <w:lang w:val="de-DE"/>
              </w:rPr>
              <w:t>Vorbehaltlich des unmittelbar nachfolgenden Absatzes zahlt die Emittentin den Zinszahlungsbetrag pro Komplexes Produkt am Zinszahlungstag an den jeweiligen Inhaber, sofern (i) die Komplexen Produkte nicht bereits an oder vor dem Zinszahlungstag zurückgezahlt, zurückgekauft oder entwertet wurden und (ii) vor dem Zinszahlungstag kein Kredit-Rückzahlungsereignis eingetreten ist. Zur Klarstellung wird festgehalten, dass im Fall (A) einer bzw. eines an oder vor dem Zinszahlungstag erfolgenden Rückzahlung, Rückkaufs oder Entwertung der Komplexen Produkte oder (B) des Eintritts eines Kredit-Rückzahlungsereignisses vor dem Zinszahlungstag die Teile des Zinszahlungsbetrags, die zum Termin dieser Rückzahlung, dieses Rückkaufs bzw. dieser Entwertung bzw. zum Termin des Eintritts dieses Kredit-Rückzahlungsereignisses aufgelaufen sind, nicht zur Auszahlung gelangen.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296FA9">
            <w:pPr>
              <w:pStyle w:val="CSBody8ptbolditalics"/>
              <w:rPr>
                <w:lang w:val="de-DE"/>
              </w:rPr>
            </w:pPr>
          </w:p>
        </w:tc>
        <w:tc>
          <w:tcPr>
            <w:tcW w:w="3315" w:type="dxa"/>
            <w:gridSpan w:val="7"/>
            <w:tcBorders>
              <w:top w:val="nil"/>
              <w:left w:val="nil"/>
              <w:bottom w:val="nil"/>
            </w:tcBorders>
            <w:shd w:val="clear" w:color="auto" w:fill="auto"/>
          </w:tcPr>
          <w:p w:rsidR="0017135D" w:rsidRPr="004D05F6" w:rsidP="00296FA9">
            <w:pPr>
              <w:pStyle w:val="CSBody8ptbolditalics"/>
            </w:pPr>
            <w:r w:rsidRPr="00792D61">
              <w:t>[</w:t>
            </w:r>
            <w:r w:rsidRPr="004D05F6">
              <w:t>in the case of (i) Credit-Linked Complex Products with auction settlement and a Basket or Credit-Linked Complex Products with Zero-Recovery feature linked to a Basket and one Interest Payment Date or (ii) other Complex Products (other than Credit-Linked Complex Products) with one Interest Payment Date, insert:</w:t>
            </w:r>
          </w:p>
        </w:tc>
        <w:tc>
          <w:tcPr>
            <w:tcW w:w="1618" w:type="dxa"/>
            <w:gridSpan w:val="2"/>
            <w:tcBorders>
              <w:top w:val="nil"/>
              <w:bottom w:val="nil"/>
              <w:right w:val="nil"/>
            </w:tcBorders>
            <w:shd w:val="clear" w:color="auto" w:fill="auto"/>
          </w:tcPr>
          <w:p w:rsidR="0017135D" w:rsidRPr="00B1609A" w:rsidP="00296FA9">
            <w:pPr>
              <w:pStyle w:val="CSBody8ptbolditalics"/>
            </w:pPr>
          </w:p>
        </w:tc>
        <w:tc>
          <w:tcPr>
            <w:tcW w:w="3318" w:type="dxa"/>
            <w:gridSpan w:val="10"/>
            <w:tcBorders>
              <w:top w:val="nil"/>
              <w:left w:val="nil"/>
              <w:bottom w:val="nil"/>
              <w:right w:val="nil"/>
            </w:tcBorders>
            <w:shd w:val="clear" w:color="auto" w:fill="auto"/>
          </w:tcPr>
          <w:p w:rsidR="0017135D" w:rsidRPr="00B1609A" w:rsidP="00296FA9">
            <w:pPr>
              <w:pStyle w:val="CSBody8ptbolditalics"/>
              <w:rPr>
                <w:lang w:val="de-DE"/>
              </w:rPr>
            </w:pPr>
            <w:r w:rsidRPr="00792D61">
              <w:rPr>
                <w:lang w:val="de-DE"/>
              </w:rPr>
              <w:t>[</w:t>
            </w:r>
            <w:r w:rsidRPr="00B1609A">
              <w:rPr>
                <w:lang w:val="de-DE"/>
              </w:rPr>
              <w:t>bei (i) Kreditbezogenen Komplexen Produkten mit Auktionsabwicklung und einem Korb oder bei Kreditbezogenen Komplexen Produkten mit Zero-Recovery-Merkmal, die an einen Korb gekoppelt sind, und einem Zinszahlungstag oder (ii) anderen Komplexen Produkten (ausser Kreditbezogenen Komplexen Produkten) mit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296FA9">
            <w:pPr>
              <w:pStyle w:val="CSBody8pt"/>
              <w:rPr>
                <w:lang w:val="de-DE"/>
              </w:rPr>
            </w:pPr>
          </w:p>
        </w:tc>
        <w:tc>
          <w:tcPr>
            <w:tcW w:w="3315" w:type="dxa"/>
            <w:gridSpan w:val="7"/>
            <w:tcBorders>
              <w:top w:val="nil"/>
              <w:left w:val="nil"/>
              <w:bottom w:val="nil"/>
            </w:tcBorders>
            <w:shd w:val="clear" w:color="auto" w:fill="auto"/>
          </w:tcPr>
          <w:p w:rsidR="0017135D" w:rsidP="00296FA9">
            <w:pPr>
              <w:pStyle w:val="CSBody8pt"/>
            </w:pPr>
            <w:r w:rsidRPr="00792D61">
              <w:rPr>
                <w:b/>
              </w:rPr>
              <w:t>[</w:t>
            </w:r>
            <w:r w:rsidRPr="00296FA9">
              <w:rPr>
                <w:b/>
                <w:i/>
              </w:rPr>
              <w:t>in the case of Credit-Linked Complex Products, insert:</w:t>
            </w:r>
            <w:r w:rsidRPr="004D05F6">
              <w:t xml:space="preserve"> Subject to the immediately succeeding paragraph, the</w:t>
            </w:r>
            <w:r w:rsidRPr="00792D61">
              <w:rPr>
                <w:b/>
              </w:rPr>
              <w:t>][</w:t>
            </w:r>
            <w:r w:rsidRPr="004D05F6">
              <w:t>The</w:t>
            </w:r>
            <w:r w:rsidRPr="00792D61">
              <w:rPr>
                <w:b/>
              </w:rPr>
              <w:t>]</w:t>
            </w:r>
            <w:r w:rsidRPr="004D05F6">
              <w:t xml:space="preserve"> Issuer shall pay the Interest Payment Amount per Complex Product on the Interest Payment Date to the Holder thereof, provided that the Complex Products have not been redeemed, repurchased or cancelled on or prior to the Interest Payment Date. For the avoidance of doubt, it being understood that, if the Complex Products are redeemed, repurchased or cancelled on or prior to the Interest Payment Date, any portion of the Interest Payment Amount that has accrued as of the date of such redemption, repurchase, cancellation will </w:t>
            </w:r>
            <w:r w:rsidRPr="00792D61">
              <w:rPr>
                <w:b/>
              </w:rPr>
              <w:t>[</w:t>
            </w:r>
            <w:r w:rsidRPr="004D05F6">
              <w:t>not</w:t>
            </w:r>
            <w:r w:rsidRPr="00792D61">
              <w:rPr>
                <w:b/>
              </w:rPr>
              <w:t>]</w:t>
            </w:r>
            <w:r w:rsidRPr="004D05F6">
              <w:t xml:space="preserve"> be paid. </w:t>
            </w:r>
            <w:r w:rsidRPr="00792D61">
              <w:rPr>
                <w:b/>
              </w:rPr>
              <w:t>[</w:t>
            </w:r>
            <w:r w:rsidRPr="00296FA9">
              <w:rPr>
                <w:b/>
                <w:i/>
              </w:rPr>
              <w:t>in the case of Credit-Linked Complex Products with auction settlement or Credit-Linked Complex Products with Zero-Recovery feature linked to a Basket:</w:t>
            </w:r>
            <w:r w:rsidRPr="004D05F6">
              <w:t xml:space="preserve"> Further, if a Credit Event Determination Date has occurred with respect to any Reference Entity/Entities prior to the Interest Payment Date, the portion(s) of the Principal Amount of the Complex Products equal to the Reference Entity Principal Amount(s) of such Affected Reference Entity/Entities will cease to bear interest and any accrued and unpaid interest on such Reference Entity Principal Amount(s) as of the date on which such Credit Event Determination Date has occurred will be cancelled and not be paid to the Holder thereof on the Interest Payment Date.</w:t>
            </w:r>
            <w:r w:rsidRPr="00792D61">
              <w:rPr>
                <w:b/>
              </w:rPr>
              <w:t>]]</w:t>
            </w:r>
          </w:p>
        </w:tc>
        <w:tc>
          <w:tcPr>
            <w:tcW w:w="1618" w:type="dxa"/>
            <w:gridSpan w:val="2"/>
            <w:tcBorders>
              <w:top w:val="nil"/>
              <w:bottom w:val="nil"/>
              <w:right w:val="nil"/>
            </w:tcBorders>
            <w:shd w:val="clear" w:color="auto" w:fill="auto"/>
          </w:tcPr>
          <w:p w:rsidR="0017135D" w:rsidRPr="00B1609A" w:rsidP="00296FA9">
            <w:pPr>
              <w:pStyle w:val="CSBody8pt"/>
            </w:pPr>
          </w:p>
        </w:tc>
        <w:tc>
          <w:tcPr>
            <w:tcW w:w="3318" w:type="dxa"/>
            <w:gridSpan w:val="10"/>
            <w:tcBorders>
              <w:top w:val="nil"/>
              <w:left w:val="nil"/>
              <w:bottom w:val="nil"/>
              <w:right w:val="nil"/>
            </w:tcBorders>
            <w:shd w:val="clear" w:color="auto" w:fill="auto"/>
          </w:tcPr>
          <w:p w:rsidR="0017135D" w:rsidRPr="00B1609A">
            <w:pPr>
              <w:pStyle w:val="CSBody8pt"/>
              <w:rPr>
                <w:lang w:val="de-DE"/>
              </w:rPr>
            </w:pPr>
            <w:r w:rsidRPr="00792D61">
              <w:rPr>
                <w:b/>
                <w:lang w:val="de-DE"/>
              </w:rPr>
              <w:t>[</w:t>
            </w:r>
            <w:r w:rsidRPr="00296FA9">
              <w:rPr>
                <w:b/>
                <w:i/>
                <w:lang w:val="de-DE"/>
              </w:rPr>
              <w:t>bei Kreditbezogenen Komplexen Produkten einfügen:</w:t>
            </w:r>
            <w:r w:rsidRPr="00B1609A">
              <w:rPr>
                <w:lang w:val="de-DE"/>
              </w:rPr>
              <w:t xml:space="preserve"> Vorbehaltlich des unmittelbar nachfolgenden Absatzes zahlt die Emittentin</w:t>
            </w:r>
            <w:r w:rsidRPr="00792D61">
              <w:rPr>
                <w:b/>
                <w:lang w:val="de-DE"/>
              </w:rPr>
              <w:t>][</w:t>
            </w:r>
            <w:r w:rsidRPr="00B1609A">
              <w:rPr>
                <w:lang w:val="de-DE"/>
              </w:rPr>
              <w:t>Die Emittentin zahlt</w:t>
            </w:r>
            <w:r w:rsidRPr="00792D61">
              <w:rPr>
                <w:b/>
                <w:lang w:val="de-DE"/>
              </w:rPr>
              <w:t>]</w:t>
            </w:r>
            <w:r w:rsidRPr="00B1609A">
              <w:rPr>
                <w:lang w:val="de-DE"/>
              </w:rPr>
              <w:t xml:space="preserve"> den Zinszahlungsbetrag pro Komplexes Produkt am Zinszahlungstag an den jeweiligen Inhaber, sofern die Komplexen Produkte nicht bereits an oder vor dem Zinszahlungstag zurückgezahlt, zurückgekauft oder entwertet wurden. Zur Klarstellung wird festgehalten, dass im Fall einer bzw. eines an oder vor dem Zinszahlungstag erfolgenden Rückzahlung, Rückkaufs oder Entwertung der Komplexen Produkte die zum Termin dieser Rückzahlung, dieses Rückkaufs bzw. dieser Entwertung aufgelaufenen Teile des Zinsbetrags </w:t>
            </w:r>
            <w:r w:rsidRPr="00792D61">
              <w:rPr>
                <w:b/>
                <w:lang w:val="de-DE"/>
              </w:rPr>
              <w:t>[</w:t>
            </w:r>
            <w:r w:rsidRPr="00B1609A">
              <w:rPr>
                <w:lang w:val="de-DE"/>
              </w:rPr>
              <w:t>nicht</w:t>
            </w:r>
            <w:r w:rsidRPr="00792D61">
              <w:rPr>
                <w:b/>
                <w:lang w:val="de-DE"/>
              </w:rPr>
              <w:t>]</w:t>
            </w:r>
            <w:r w:rsidRPr="00B1609A">
              <w:rPr>
                <w:lang w:val="de-DE"/>
              </w:rPr>
              <w:t xml:space="preserve"> zur Auszahlung gelangen. </w:t>
            </w:r>
            <w:r w:rsidRPr="00792D61">
              <w:rPr>
                <w:b/>
                <w:lang w:val="de-DE"/>
              </w:rPr>
              <w:t>[</w:t>
            </w:r>
            <w:r w:rsidRPr="00296FA9">
              <w:rPr>
                <w:b/>
                <w:i/>
                <w:lang w:val="de-DE"/>
              </w:rPr>
              <w:t>bei Kreditbezogenen Komplexen Produkten mit Auktionsabwicklung oder Kreditbezogenen Komplexen Produkten mit Zero-Recovery-Merkmal, die an einen Korb gekoppelt sind:</w:t>
            </w:r>
            <w:r w:rsidRPr="00B1609A">
              <w:rPr>
                <w:lang w:val="de-DE"/>
              </w:rPr>
              <w:t xml:space="preserve"> Ausserdem gilt für den Fall des Eintritts eines Kreditereignis-Feststellungstags in Bezug auf einen oder mehrere Referenzschuldner vor dem Zinszahlungstag, dass die Verzinsung des Teils/der Teile des Nennbetrags der Komplexen Produkte, der bzw. die dem Referenzschuldner-Nennbetrag/den Referenzschuldner-Nennbeträgen dieses Betroffenen Referenzschuldners/ dieser Betroffenen Referenzschuldner entspricht bzw. entsprechen, endet und etwaige zum Termin des Eintritts des Kreditereignis-Feststellungstags auf diesen Referenzschuldner-Nennbetrag/diese Referenzschuldner</w:t>
            </w:r>
            <w:r w:rsidR="0036261D">
              <w:rPr>
                <w:lang w:val="de-DE"/>
              </w:rPr>
              <w:t>-N</w:t>
            </w:r>
            <w:r w:rsidRPr="00B1609A">
              <w:rPr>
                <w:lang w:val="de-DE"/>
              </w:rPr>
              <w:t>ennbeträge aufgelaufene und noch nicht gezahlte Zinsen verfallen und nicht am Zinszahlungstag an den Inhaber dieses Komplexen Produkts gezahlt werden.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296FA9">
            <w:pPr>
              <w:pStyle w:val="CSBody8ptbolditalics"/>
              <w:rPr>
                <w:lang w:val="de-DE"/>
              </w:rPr>
            </w:pPr>
          </w:p>
        </w:tc>
        <w:tc>
          <w:tcPr>
            <w:tcW w:w="3315" w:type="dxa"/>
            <w:gridSpan w:val="7"/>
            <w:tcBorders>
              <w:top w:val="nil"/>
              <w:left w:val="nil"/>
              <w:bottom w:val="nil"/>
            </w:tcBorders>
            <w:shd w:val="clear" w:color="auto" w:fill="auto"/>
          </w:tcPr>
          <w:p w:rsidR="0017135D" w:rsidRPr="00AC6E4B" w:rsidP="00296FA9">
            <w:pPr>
              <w:pStyle w:val="CSBody8ptbolditalics"/>
            </w:pPr>
            <w:r w:rsidRPr="00792D61">
              <w:t>[</w:t>
            </w:r>
            <w:r w:rsidRPr="00AC6E4B">
              <w:t>in the case of Credit-Linked Complex Products with auction settlement, multiple Interest Payment Dates and no Basket, insert:</w:t>
            </w:r>
          </w:p>
        </w:tc>
        <w:tc>
          <w:tcPr>
            <w:tcW w:w="1618" w:type="dxa"/>
            <w:gridSpan w:val="2"/>
            <w:tcBorders>
              <w:top w:val="nil"/>
              <w:bottom w:val="nil"/>
              <w:right w:val="nil"/>
            </w:tcBorders>
            <w:shd w:val="clear" w:color="auto" w:fill="auto"/>
          </w:tcPr>
          <w:p w:rsidR="0017135D" w:rsidRPr="00B1609A" w:rsidP="00296FA9">
            <w:pPr>
              <w:pStyle w:val="CSBody8ptbolditalics"/>
            </w:pPr>
          </w:p>
        </w:tc>
        <w:tc>
          <w:tcPr>
            <w:tcW w:w="3318" w:type="dxa"/>
            <w:gridSpan w:val="10"/>
            <w:tcBorders>
              <w:top w:val="nil"/>
              <w:left w:val="nil"/>
              <w:bottom w:val="nil"/>
              <w:right w:val="nil"/>
            </w:tcBorders>
            <w:shd w:val="clear" w:color="auto" w:fill="auto"/>
          </w:tcPr>
          <w:p w:rsidR="0017135D" w:rsidRPr="00B1609A" w:rsidP="00296FA9">
            <w:pPr>
              <w:pStyle w:val="CSBody8ptbolditalics"/>
              <w:rPr>
                <w:lang w:val="de-DE"/>
              </w:rPr>
            </w:pPr>
            <w:r w:rsidRPr="00792D61">
              <w:rPr>
                <w:lang w:val="de-DE"/>
              </w:rPr>
              <w:t>[</w:t>
            </w:r>
            <w:r w:rsidRPr="00B1609A">
              <w:rPr>
                <w:lang w:val="de-DE"/>
              </w:rPr>
              <w:t>bei Kreditbezogenen Komplexen Produkten mit Auktionsabwicklung, mehreren Zinszahlungstagen und ohne Korb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296FA9">
            <w:pPr>
              <w:pStyle w:val="CSBody8pt"/>
              <w:rPr>
                <w:lang w:val="de-DE"/>
              </w:rPr>
            </w:pPr>
          </w:p>
        </w:tc>
        <w:tc>
          <w:tcPr>
            <w:tcW w:w="3315" w:type="dxa"/>
            <w:gridSpan w:val="7"/>
            <w:tcBorders>
              <w:top w:val="nil"/>
              <w:left w:val="nil"/>
              <w:bottom w:val="nil"/>
            </w:tcBorders>
            <w:shd w:val="clear" w:color="auto" w:fill="auto"/>
          </w:tcPr>
          <w:p w:rsidR="0017135D" w:rsidP="00296FA9">
            <w:pPr>
              <w:pStyle w:val="CSBody8pt"/>
            </w:pPr>
            <w:r w:rsidRPr="00AC6E4B">
              <w:t xml:space="preserve">Subject to the immediately succeeding paragraph, the Issuer shall pay the </w:t>
            </w:r>
            <w:r w:rsidRPr="00792D61">
              <w:rPr>
                <w:b/>
              </w:rPr>
              <w:t>[</w:t>
            </w:r>
            <w:r w:rsidRPr="00AC6E4B">
              <w:t>relevant</w:t>
            </w:r>
            <w:r w:rsidRPr="00792D61">
              <w:rPr>
                <w:b/>
              </w:rPr>
              <w:t>]</w:t>
            </w:r>
            <w:r w:rsidRPr="00AC6E4B">
              <w:t xml:space="preserve"> Interest Payment Amount per Complex Product on each Interest Payment Date to the Holder thereof, provided that (i) the Complex Products have not been redeemed, repurchased or cancelled on or prior to such Interest Payment Date and (ii) no Credit Event Determination Date </w:t>
            </w:r>
            <w:r w:rsidRPr="00792D61">
              <w:rPr>
                <w:b/>
              </w:rPr>
              <w:t>[</w:t>
            </w:r>
            <w:r w:rsidRPr="00296FA9">
              <w:rPr>
                <w:b/>
                <w:i/>
              </w:rPr>
              <w:t>in the case of Complex Products with N</w:t>
            </w:r>
            <w:r w:rsidRPr="00BD6E0D">
              <w:rPr>
                <w:b/>
                <w:i/>
                <w:vertAlign w:val="superscript"/>
              </w:rPr>
              <w:t>th</w:t>
            </w:r>
            <w:r w:rsidRPr="00296FA9">
              <w:rPr>
                <w:b/>
                <w:i/>
              </w:rPr>
              <w:t>-to-Default structure, insert:</w:t>
            </w:r>
            <w:r w:rsidRPr="00AC6E4B">
              <w:t xml:space="preserve"> with respect to the </w:t>
            </w:r>
            <w:r w:rsidRPr="00792D61">
              <w:rPr>
                <w:b/>
              </w:rPr>
              <w:t>[</w:t>
            </w:r>
            <w:r w:rsidRPr="00296FA9">
              <w:rPr>
                <w:b/>
                <w:i/>
              </w:rPr>
              <w:t>insert relevant number:</w:t>
            </w:r>
            <w:r w:rsidRPr="00AC6E4B">
              <w:t xml:space="preserve"> </w:t>
            </w:r>
            <w:r w:rsidRPr="00792D61">
              <w:rPr>
                <w:b/>
              </w:rPr>
              <w:t>[</w:t>
            </w:r>
            <w:r w:rsidRPr="00AC6E4B">
              <w:t>1st</w:t>
            </w:r>
            <w:r w:rsidRPr="00792D61">
              <w:rPr>
                <w:b/>
              </w:rPr>
              <w:t>][</w:t>
            </w:r>
            <w:r w:rsidRPr="00AC6E4B">
              <w:t>2nd</w:t>
            </w:r>
            <w:r w:rsidRPr="00792D61">
              <w:rPr>
                <w:b/>
              </w:rPr>
              <w:t>][</w:t>
            </w:r>
            <w:r w:rsidRPr="00AC6E4B">
              <w:t>3rd</w:t>
            </w:r>
            <w:r w:rsidRPr="00792D61">
              <w:rPr>
                <w:b/>
              </w:rPr>
              <w:t>][[</w:t>
            </w:r>
            <w:r w:rsidRPr="00AC6E4B">
              <w:rPr>
                <w:rFonts w:ascii="Arial" w:hAnsi="Arial" w:cs="Arial"/>
              </w:rPr>
              <w:t>●</w:t>
            </w:r>
            <w:r w:rsidRPr="00792D61">
              <w:rPr>
                <w:b/>
              </w:rPr>
              <w:t>]]]</w:t>
            </w:r>
            <w:r w:rsidRPr="00AC6E4B">
              <w:t>-to-Default Reference Entity</w:t>
            </w:r>
            <w:r w:rsidRPr="00792D61">
              <w:rPr>
                <w:b/>
              </w:rPr>
              <w:t>]</w:t>
            </w:r>
            <w:r w:rsidRPr="00AC6E4B">
              <w:t xml:space="preserve"> has occurred prior to such Interest Payment Date. For the avoidance of doubt, it being understood that, if (A) the Complex Products are redeemed, repurchased or cancelled on or prior to the relevant Interest Payment Date or (B) a Credit Event Determination Date </w:t>
            </w:r>
            <w:r w:rsidRPr="00792D61">
              <w:rPr>
                <w:b/>
              </w:rPr>
              <w:t>[</w:t>
            </w:r>
            <w:r w:rsidRPr="00296FA9">
              <w:rPr>
                <w:b/>
                <w:i/>
              </w:rPr>
              <w:t>in the case of Complex Products with N</w:t>
            </w:r>
            <w:r w:rsidRPr="00BD6E0D">
              <w:rPr>
                <w:b/>
                <w:i/>
                <w:vertAlign w:val="superscript"/>
              </w:rPr>
              <w:t>th</w:t>
            </w:r>
            <w:r w:rsidRPr="00296FA9">
              <w:rPr>
                <w:b/>
                <w:i/>
              </w:rPr>
              <w:t>-to-Default structure, insert:</w:t>
            </w:r>
            <w:r w:rsidRPr="00AC6E4B">
              <w:t xml:space="preserve"> with respect to the </w:t>
            </w:r>
            <w:r w:rsidRPr="00792D61">
              <w:rPr>
                <w:b/>
              </w:rPr>
              <w:t>[</w:t>
            </w:r>
            <w:r w:rsidRPr="00296FA9">
              <w:rPr>
                <w:b/>
                <w:i/>
              </w:rPr>
              <w:t>insert relevant number:</w:t>
            </w:r>
            <w:r w:rsidRPr="00AC6E4B">
              <w:t xml:space="preserve"> </w:t>
            </w:r>
            <w:r w:rsidRPr="00792D61">
              <w:rPr>
                <w:b/>
              </w:rPr>
              <w:t>[</w:t>
            </w:r>
            <w:r w:rsidRPr="00AC6E4B">
              <w:t>1st</w:t>
            </w:r>
            <w:r w:rsidRPr="00792D61">
              <w:rPr>
                <w:b/>
              </w:rPr>
              <w:t>][</w:t>
            </w:r>
            <w:r w:rsidRPr="00AC6E4B">
              <w:t>2nd</w:t>
            </w:r>
            <w:r w:rsidRPr="00792D61">
              <w:rPr>
                <w:b/>
              </w:rPr>
              <w:t>][</w:t>
            </w:r>
            <w:r w:rsidRPr="00AC6E4B">
              <w:t>3rd</w:t>
            </w:r>
            <w:r w:rsidRPr="00792D61">
              <w:rPr>
                <w:b/>
              </w:rPr>
              <w:t>][[</w:t>
            </w:r>
            <w:r w:rsidRPr="00AC6E4B">
              <w:rPr>
                <w:rFonts w:ascii="Arial" w:hAnsi="Arial" w:cs="Arial"/>
              </w:rPr>
              <w:t>●</w:t>
            </w:r>
            <w:r w:rsidRPr="00792D61">
              <w:rPr>
                <w:b/>
              </w:rPr>
              <w:t>]]]</w:t>
            </w:r>
            <w:r w:rsidRPr="00AC6E4B">
              <w:t>-to-Default Reference Entity</w:t>
            </w:r>
            <w:r w:rsidRPr="00792D61">
              <w:rPr>
                <w:b/>
              </w:rPr>
              <w:t>]</w:t>
            </w:r>
            <w:r w:rsidRPr="00AC6E4B">
              <w:t xml:space="preserve"> has occurred prior to the relevant Interest Payment Date, any portion of the </w:t>
            </w:r>
            <w:r w:rsidRPr="00792D61">
              <w:rPr>
                <w:b/>
              </w:rPr>
              <w:t>[</w:t>
            </w:r>
            <w:r w:rsidRPr="00AC6E4B">
              <w:t>relevant</w:t>
            </w:r>
            <w:r w:rsidRPr="00792D61">
              <w:rPr>
                <w:b/>
              </w:rPr>
              <w:t>]</w:t>
            </w:r>
            <w:r w:rsidRPr="00AC6E4B">
              <w:t xml:space="preserve"> Interest Payment Amount that would otherwise be due on such Interest Payment Date that has accrued as of the date of such redemption, repurchase or cancellation or the date on which such Credit Event Determination Date occurred, as the case may be, will </w:t>
            </w:r>
            <w:r w:rsidRPr="00792D61">
              <w:rPr>
                <w:b/>
              </w:rPr>
              <w:t>[</w:t>
            </w:r>
            <w:r w:rsidRPr="00AC6E4B">
              <w:t>not</w:t>
            </w:r>
            <w:r w:rsidRPr="00792D61">
              <w:rPr>
                <w:b/>
              </w:rPr>
              <w:t>]</w:t>
            </w:r>
            <w:r w:rsidRPr="00AC6E4B">
              <w:t xml:space="preserve"> be paid.</w:t>
            </w:r>
            <w:r w:rsidRPr="00792D61">
              <w:rPr>
                <w:b/>
              </w:rPr>
              <w:t>]</w:t>
            </w:r>
          </w:p>
        </w:tc>
        <w:tc>
          <w:tcPr>
            <w:tcW w:w="1618" w:type="dxa"/>
            <w:gridSpan w:val="2"/>
            <w:tcBorders>
              <w:top w:val="nil"/>
              <w:bottom w:val="nil"/>
              <w:right w:val="nil"/>
            </w:tcBorders>
            <w:shd w:val="clear" w:color="auto" w:fill="auto"/>
          </w:tcPr>
          <w:p w:rsidR="0017135D" w:rsidRPr="00B1609A" w:rsidP="00296FA9">
            <w:pPr>
              <w:pStyle w:val="CSBody8pt"/>
            </w:pPr>
          </w:p>
        </w:tc>
        <w:tc>
          <w:tcPr>
            <w:tcW w:w="3318" w:type="dxa"/>
            <w:gridSpan w:val="10"/>
            <w:tcBorders>
              <w:top w:val="nil"/>
              <w:left w:val="nil"/>
              <w:bottom w:val="nil"/>
              <w:right w:val="nil"/>
            </w:tcBorders>
            <w:shd w:val="clear" w:color="auto" w:fill="auto"/>
          </w:tcPr>
          <w:p w:rsidR="0017135D" w:rsidRPr="00B1609A" w:rsidP="003B2F7F">
            <w:pPr>
              <w:pStyle w:val="CSBody8pt"/>
              <w:rPr>
                <w:lang w:val="de-DE"/>
              </w:rPr>
            </w:pPr>
            <w:r w:rsidRPr="00B1609A">
              <w:rPr>
                <w:lang w:val="de-DE"/>
              </w:rPr>
              <w:t xml:space="preserve">Vorbehaltlich des unmittelbar nachfolgenden Absatzes zahlt die Emittentin den </w:t>
            </w:r>
            <w:r w:rsidRPr="00792D61">
              <w:rPr>
                <w:b/>
                <w:lang w:val="de-DE"/>
              </w:rPr>
              <w:t>[</w:t>
            </w:r>
            <w:r w:rsidRPr="00B1609A">
              <w:rPr>
                <w:lang w:val="de-DE"/>
              </w:rPr>
              <w:t>jeweiligen</w:t>
            </w:r>
            <w:r w:rsidRPr="00792D61">
              <w:rPr>
                <w:b/>
                <w:lang w:val="de-DE"/>
              </w:rPr>
              <w:t>]</w:t>
            </w:r>
            <w:r w:rsidRPr="00B1609A">
              <w:rPr>
                <w:lang w:val="de-DE"/>
              </w:rPr>
              <w:t xml:space="preserve"> Zinszahlungsbetrag pro Komplexes Produkt an jedem Zinszahlungstag an den jeweiligen Inhaber, sofern (i) die Komplexen Produkte nicht bereits an oder vor diesem Zinszahlungstag zurückgezahlt, zurückgekauft oder entwertet wurden und (ii) vor diesem Zinszahlungstag kein Kreditereignis-Feststellungstag </w:t>
            </w:r>
            <w:r w:rsidRPr="00792D61">
              <w:rPr>
                <w:b/>
                <w:lang w:val="de-DE"/>
              </w:rPr>
              <w:t>[</w:t>
            </w:r>
            <w:r w:rsidRPr="00296FA9">
              <w:rPr>
                <w:b/>
                <w:i/>
                <w:lang w:val="de-DE"/>
              </w:rPr>
              <w:t>bei Komplexen Produkten mit N</w:t>
            </w:r>
            <w:r w:rsidRPr="00BD6E0D">
              <w:rPr>
                <w:b/>
                <w:i/>
                <w:vertAlign w:val="superscript"/>
                <w:lang w:val="de-DE"/>
              </w:rPr>
              <w:t>th</w:t>
            </w:r>
            <w:r w:rsidRPr="00296FA9">
              <w:rPr>
                <w:b/>
                <w:i/>
                <w:lang w:val="de-DE"/>
              </w:rPr>
              <w:t>-to-Default-Struktur einfügen:</w:t>
            </w:r>
            <w:r w:rsidRPr="00B1609A">
              <w:rPr>
                <w:lang w:val="de-DE"/>
              </w:rPr>
              <w:t xml:space="preserve"> in Bezug auf den </w:t>
            </w:r>
            <w:r w:rsidRPr="00792D61">
              <w:rPr>
                <w:b/>
                <w:lang w:val="de-DE"/>
              </w:rPr>
              <w:t>[</w:t>
            </w:r>
            <w:r w:rsidRPr="00296FA9">
              <w:rPr>
                <w:b/>
                <w:i/>
                <w:lang w:val="de-DE"/>
              </w:rPr>
              <w:t>jeweilige Zahl einfügen:</w:t>
            </w:r>
            <w:r w:rsidRPr="00B1609A">
              <w:rPr>
                <w:lang w:val="de-DE"/>
              </w:rPr>
              <w:t xml:space="preserve"> </w:t>
            </w:r>
            <w:r w:rsidRPr="00792D61">
              <w:rPr>
                <w:b/>
                <w:lang w:val="de-DE"/>
              </w:rPr>
              <w:t>[</w:t>
            </w:r>
            <w:r w:rsidRPr="00B1609A">
              <w:rPr>
                <w:lang w:val="de-DE"/>
              </w:rPr>
              <w:t>1st</w:t>
            </w:r>
            <w:r w:rsidRPr="00792D61">
              <w:rPr>
                <w:b/>
                <w:lang w:val="de-DE"/>
              </w:rPr>
              <w:t>][</w:t>
            </w:r>
            <w:r w:rsidRPr="00B1609A">
              <w:rPr>
                <w:lang w:val="de-DE"/>
              </w:rPr>
              <w:t>2nd</w:t>
            </w:r>
            <w:r w:rsidRPr="00792D61">
              <w:rPr>
                <w:b/>
                <w:lang w:val="de-DE"/>
              </w:rPr>
              <w:t>][</w:t>
            </w:r>
            <w:r w:rsidRPr="00B1609A">
              <w:rPr>
                <w:lang w:val="de-DE"/>
              </w:rPr>
              <w:t>3rd</w:t>
            </w:r>
            <w:r w:rsidRPr="00792D61">
              <w:rPr>
                <w:b/>
                <w:lang w:val="de-DE"/>
              </w:rPr>
              <w:t>][[</w:t>
            </w:r>
            <w:r w:rsidRPr="00B1609A">
              <w:rPr>
                <w:rFonts w:ascii="Arial" w:hAnsi="Arial" w:cs="Arial"/>
                <w:lang w:val="de-DE"/>
              </w:rPr>
              <w:t>●</w:t>
            </w:r>
            <w:r w:rsidRPr="00792D61">
              <w:rPr>
                <w:b/>
                <w:lang w:val="de-DE"/>
              </w:rPr>
              <w:t>]]]</w:t>
            </w:r>
            <w:r w:rsidRPr="00B1609A">
              <w:rPr>
                <w:lang w:val="de-DE"/>
              </w:rPr>
              <w:t>-to-Default-Referenzschuldner</w:t>
            </w:r>
            <w:r w:rsidRPr="00792D61">
              <w:rPr>
                <w:b/>
                <w:lang w:val="de-DE"/>
              </w:rPr>
              <w:t>]</w:t>
            </w:r>
            <w:r w:rsidRPr="00B1609A">
              <w:rPr>
                <w:lang w:val="de-DE"/>
              </w:rPr>
              <w:t xml:space="preserve"> eingetreten ist. Zur Klarstellung wird festgehalten, dass im Fall (A) einer bzw. eines an oder vor dem jeweiligen Zinszahlungstag erfolgenden R</w:t>
            </w:r>
            <w:r w:rsidRPr="00B1609A">
              <w:rPr>
                <w:rFonts w:cs="Credit Suisse Type Light"/>
                <w:lang w:val="de-DE"/>
              </w:rPr>
              <w:t>ü</w:t>
            </w:r>
            <w:r w:rsidRPr="00B1609A">
              <w:rPr>
                <w:lang w:val="de-DE"/>
              </w:rPr>
              <w:t>ckzahlung, R</w:t>
            </w:r>
            <w:r w:rsidRPr="00B1609A">
              <w:rPr>
                <w:rFonts w:cs="Credit Suisse Type Light"/>
                <w:lang w:val="de-DE"/>
              </w:rPr>
              <w:t>ü</w:t>
            </w:r>
            <w:r w:rsidRPr="00B1609A">
              <w:rPr>
                <w:lang w:val="de-DE"/>
              </w:rPr>
              <w:t xml:space="preserve">ckkaufs oder Entwertung der Komplexen Produkte oder (B) des Eintritts eines Kreditereignis-Feststellungstags </w:t>
            </w:r>
            <w:r w:rsidRPr="00792D61">
              <w:rPr>
                <w:b/>
                <w:lang w:val="de-DE"/>
              </w:rPr>
              <w:t>[</w:t>
            </w:r>
            <w:r w:rsidRPr="00296FA9">
              <w:rPr>
                <w:b/>
                <w:i/>
                <w:lang w:val="de-DE"/>
              </w:rPr>
              <w:t>bei Komplexen Produkten mit N</w:t>
            </w:r>
            <w:r w:rsidRPr="00BD6E0D">
              <w:rPr>
                <w:b/>
                <w:i/>
                <w:vertAlign w:val="superscript"/>
                <w:lang w:val="de-DE"/>
              </w:rPr>
              <w:t>th</w:t>
            </w:r>
            <w:r w:rsidRPr="00296FA9">
              <w:rPr>
                <w:b/>
                <w:i/>
                <w:lang w:val="de-DE"/>
              </w:rPr>
              <w:t>-to-Default-Struktur einfügen:</w:t>
            </w:r>
            <w:r w:rsidRPr="00B1609A">
              <w:rPr>
                <w:lang w:val="de-DE"/>
              </w:rPr>
              <w:t xml:space="preserve"> in Bezug auf den </w:t>
            </w:r>
            <w:r w:rsidRPr="00792D61">
              <w:rPr>
                <w:b/>
                <w:lang w:val="de-DE"/>
              </w:rPr>
              <w:t>[</w:t>
            </w:r>
            <w:r w:rsidRPr="00296FA9">
              <w:rPr>
                <w:b/>
                <w:i/>
                <w:lang w:val="de-DE"/>
              </w:rPr>
              <w:t>jeweilige Zahl einfügen:</w:t>
            </w:r>
            <w:r w:rsidRPr="00B1609A">
              <w:rPr>
                <w:lang w:val="de-DE"/>
              </w:rPr>
              <w:t xml:space="preserve"> </w:t>
            </w:r>
            <w:r w:rsidRPr="00792D61">
              <w:rPr>
                <w:b/>
                <w:lang w:val="de-DE"/>
              </w:rPr>
              <w:t>[</w:t>
            </w:r>
            <w:r w:rsidRPr="00B1609A">
              <w:rPr>
                <w:lang w:val="de-DE"/>
              </w:rPr>
              <w:t>1st</w:t>
            </w:r>
            <w:r w:rsidRPr="00792D61">
              <w:rPr>
                <w:b/>
                <w:lang w:val="de-DE"/>
              </w:rPr>
              <w:t>][</w:t>
            </w:r>
            <w:r w:rsidRPr="00B1609A">
              <w:rPr>
                <w:lang w:val="de-DE"/>
              </w:rPr>
              <w:t>2nd</w:t>
            </w:r>
            <w:r w:rsidRPr="00792D61">
              <w:rPr>
                <w:b/>
                <w:lang w:val="de-DE"/>
              </w:rPr>
              <w:t>][</w:t>
            </w:r>
            <w:r w:rsidRPr="00B1609A">
              <w:rPr>
                <w:lang w:val="de-DE"/>
              </w:rPr>
              <w:t>3rd</w:t>
            </w:r>
            <w:r w:rsidRPr="00792D61">
              <w:rPr>
                <w:b/>
                <w:lang w:val="de-DE"/>
              </w:rPr>
              <w:t>][[</w:t>
            </w:r>
            <w:r w:rsidRPr="00B1609A">
              <w:rPr>
                <w:rFonts w:ascii="Arial" w:hAnsi="Arial" w:cs="Arial"/>
                <w:lang w:val="de-DE"/>
              </w:rPr>
              <w:t>●</w:t>
            </w:r>
            <w:r w:rsidRPr="00792D61">
              <w:rPr>
                <w:b/>
                <w:lang w:val="de-DE"/>
              </w:rPr>
              <w:t>]]]</w:t>
            </w:r>
            <w:r w:rsidRPr="00B1609A">
              <w:rPr>
                <w:lang w:val="de-DE"/>
              </w:rPr>
              <w:t>-to-Default-Referenzschuldner</w:t>
            </w:r>
            <w:r w:rsidRPr="00792D61">
              <w:rPr>
                <w:b/>
                <w:lang w:val="de-DE"/>
              </w:rPr>
              <w:t>]</w:t>
            </w:r>
            <w:r w:rsidRPr="00B1609A">
              <w:rPr>
                <w:lang w:val="de-DE"/>
              </w:rPr>
              <w:t xml:space="preserve"> vor dem jeweiligen Zinszahlungstag diejenigen Teile des ansonsten an diesem Zinszahlungstag fälligen </w:t>
            </w:r>
            <w:r w:rsidRPr="00792D61">
              <w:rPr>
                <w:b/>
                <w:lang w:val="de-DE"/>
              </w:rPr>
              <w:t>[</w:t>
            </w:r>
            <w:r w:rsidRPr="00B1609A">
              <w:rPr>
                <w:lang w:val="de-DE"/>
              </w:rPr>
              <w:t>jeweiligen</w:t>
            </w:r>
            <w:r w:rsidRPr="00792D61">
              <w:rPr>
                <w:b/>
                <w:lang w:val="de-DE"/>
              </w:rPr>
              <w:t>]</w:t>
            </w:r>
            <w:r w:rsidRPr="00B1609A">
              <w:rPr>
                <w:lang w:val="de-DE"/>
              </w:rPr>
              <w:t xml:space="preserve"> Zinszahlungsbetrags, die zum Termin dieser Rückzahlung, dieses Rückkaufs bzw. dieser Entwertung bzw. zum Termin des Eintritts dieses Kreditereignis-Feststellungstags aufgelaufen sind, </w:t>
            </w:r>
            <w:r w:rsidRPr="00792D61">
              <w:rPr>
                <w:b/>
                <w:lang w:val="de-DE"/>
              </w:rPr>
              <w:t>[</w:t>
            </w:r>
            <w:r w:rsidRPr="00B1609A">
              <w:rPr>
                <w:lang w:val="de-DE"/>
              </w:rPr>
              <w:t>nicht</w:t>
            </w:r>
            <w:r w:rsidRPr="00792D61">
              <w:rPr>
                <w:b/>
                <w:lang w:val="de-DE"/>
              </w:rPr>
              <w:t>]</w:t>
            </w:r>
            <w:r w:rsidRPr="00B1609A">
              <w:rPr>
                <w:lang w:val="de-DE"/>
              </w:rPr>
              <w:t xml:space="preserve"> zur Auszahlung gelangen.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E51D81">
            <w:pPr>
              <w:pStyle w:val="CSBody8ptbolditalics"/>
              <w:rPr>
                <w:lang w:val="de-DE"/>
              </w:rPr>
            </w:pPr>
          </w:p>
        </w:tc>
        <w:tc>
          <w:tcPr>
            <w:tcW w:w="3315" w:type="dxa"/>
            <w:gridSpan w:val="7"/>
            <w:tcBorders>
              <w:top w:val="nil"/>
              <w:left w:val="nil"/>
              <w:bottom w:val="nil"/>
            </w:tcBorders>
            <w:shd w:val="clear" w:color="auto" w:fill="auto"/>
          </w:tcPr>
          <w:p w:rsidR="0017135D" w:rsidRPr="00581DE7" w:rsidP="00E51D81">
            <w:pPr>
              <w:pStyle w:val="CSBody8ptbolditalics"/>
            </w:pPr>
            <w:r w:rsidRPr="00792D61">
              <w:t>[</w:t>
            </w:r>
            <w:r w:rsidRPr="00581DE7">
              <w:t>in the case of Credit-Linked Complex Products with simplified settlement and multiple Interest Payment Dates:</w:t>
            </w:r>
          </w:p>
        </w:tc>
        <w:tc>
          <w:tcPr>
            <w:tcW w:w="1618" w:type="dxa"/>
            <w:gridSpan w:val="2"/>
            <w:tcBorders>
              <w:top w:val="nil"/>
              <w:bottom w:val="nil"/>
              <w:right w:val="nil"/>
            </w:tcBorders>
            <w:shd w:val="clear" w:color="auto" w:fill="auto"/>
          </w:tcPr>
          <w:p w:rsidR="0017135D" w:rsidRPr="00B1609A" w:rsidP="00E51D81">
            <w:pPr>
              <w:pStyle w:val="CSBody8ptbolditalics"/>
            </w:pPr>
          </w:p>
        </w:tc>
        <w:tc>
          <w:tcPr>
            <w:tcW w:w="3318" w:type="dxa"/>
            <w:gridSpan w:val="10"/>
            <w:tcBorders>
              <w:top w:val="nil"/>
              <w:left w:val="nil"/>
              <w:bottom w:val="nil"/>
              <w:right w:val="nil"/>
            </w:tcBorders>
            <w:shd w:val="clear" w:color="auto" w:fill="auto"/>
          </w:tcPr>
          <w:p w:rsidR="0017135D" w:rsidRPr="00B1609A" w:rsidP="00E51D81">
            <w:pPr>
              <w:pStyle w:val="CSBody8ptbolditalics"/>
              <w:rPr>
                <w:lang w:val="de-DE"/>
              </w:rPr>
            </w:pPr>
            <w:r w:rsidRPr="00792D61">
              <w:rPr>
                <w:lang w:val="de-DE"/>
              </w:rPr>
              <w:t>[</w:t>
            </w:r>
            <w:r w:rsidRPr="00B1609A">
              <w:rPr>
                <w:lang w:val="de-DE"/>
              </w:rPr>
              <w:t>bei Kreditbezogenen Komplexen Produkten mit vereinfachter Abwicklung und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E51D81">
            <w:pPr>
              <w:pStyle w:val="CSBody8pt"/>
              <w:rPr>
                <w:lang w:val="de-DE"/>
              </w:rPr>
            </w:pPr>
          </w:p>
        </w:tc>
        <w:tc>
          <w:tcPr>
            <w:tcW w:w="3315" w:type="dxa"/>
            <w:gridSpan w:val="7"/>
            <w:tcBorders>
              <w:top w:val="nil"/>
              <w:left w:val="nil"/>
              <w:bottom w:val="nil"/>
            </w:tcBorders>
            <w:shd w:val="clear" w:color="auto" w:fill="auto"/>
          </w:tcPr>
          <w:p w:rsidR="0017135D" w:rsidP="00E51D81">
            <w:pPr>
              <w:pStyle w:val="CSBody8pt"/>
            </w:pPr>
            <w:r w:rsidRPr="00581DE7">
              <w:t xml:space="preserve">Subject to the immediately succeeding paragraph, the Issuer shall pay the </w:t>
            </w:r>
            <w:r w:rsidRPr="00792D61">
              <w:rPr>
                <w:b/>
              </w:rPr>
              <w:t>[</w:t>
            </w:r>
            <w:r w:rsidRPr="00581DE7">
              <w:t>relevant</w:t>
            </w:r>
            <w:r w:rsidRPr="00792D61">
              <w:rPr>
                <w:b/>
              </w:rPr>
              <w:t>]</w:t>
            </w:r>
            <w:r w:rsidRPr="00581DE7">
              <w:t xml:space="preserve"> Interest Payment Amount per Complex Product on each Interest Payment Date to the Holder thereof, provided that (i) the Complex Products have not been redeemed, repurchased or cancelled on or prior to such Interest Payment Date and (ii) no Credit Redemption Event has occurred prior to such Interest Payment Date. For the avoidance of doubt, it being understood that, if (A) the Complex Products are redeemed, repurchased or cancelled on or prior to the relevant Interest Payment Date or (B) a Credit Redemption Event has occurred prior to the relevant Interest Payment Date, any portion of the </w:t>
            </w:r>
            <w:r w:rsidRPr="00792D61">
              <w:rPr>
                <w:b/>
              </w:rPr>
              <w:t>[</w:t>
            </w:r>
            <w:r w:rsidRPr="00581DE7">
              <w:t>relevant</w:t>
            </w:r>
            <w:r w:rsidRPr="00792D61">
              <w:rPr>
                <w:b/>
              </w:rPr>
              <w:t>]</w:t>
            </w:r>
            <w:r w:rsidRPr="00581DE7">
              <w:t xml:space="preserve"> Interest Payment Amount that would otherwise be due on such Interest Payment Date that has accrued as of the date of such redemption, repurchase or cancellation or the date on which such Credit Redemption Event occurred, as the case may be, will </w:t>
            </w:r>
            <w:r w:rsidRPr="00792D61">
              <w:rPr>
                <w:b/>
              </w:rPr>
              <w:t>[</w:t>
            </w:r>
            <w:r w:rsidRPr="00581DE7">
              <w:t>not</w:t>
            </w:r>
            <w:r w:rsidRPr="00792D61">
              <w:rPr>
                <w:b/>
              </w:rPr>
              <w:t>]</w:t>
            </w:r>
            <w:r w:rsidRPr="00581DE7">
              <w:t xml:space="preserve"> be paid.</w:t>
            </w:r>
            <w:r w:rsidRPr="00792D61">
              <w:rPr>
                <w:b/>
              </w:rPr>
              <w:t>]</w:t>
            </w:r>
          </w:p>
        </w:tc>
        <w:tc>
          <w:tcPr>
            <w:tcW w:w="1618" w:type="dxa"/>
            <w:gridSpan w:val="2"/>
            <w:tcBorders>
              <w:top w:val="nil"/>
              <w:bottom w:val="nil"/>
              <w:right w:val="nil"/>
            </w:tcBorders>
            <w:shd w:val="clear" w:color="auto" w:fill="auto"/>
          </w:tcPr>
          <w:p w:rsidR="0017135D" w:rsidRPr="00B1609A" w:rsidP="00E51D81">
            <w:pPr>
              <w:pStyle w:val="CSBody8pt"/>
            </w:pPr>
          </w:p>
        </w:tc>
        <w:tc>
          <w:tcPr>
            <w:tcW w:w="3318" w:type="dxa"/>
            <w:gridSpan w:val="10"/>
            <w:tcBorders>
              <w:top w:val="nil"/>
              <w:left w:val="nil"/>
              <w:bottom w:val="nil"/>
              <w:right w:val="nil"/>
            </w:tcBorders>
            <w:shd w:val="clear" w:color="auto" w:fill="auto"/>
          </w:tcPr>
          <w:p w:rsidR="0017135D" w:rsidRPr="00B1609A" w:rsidP="003B2F7F">
            <w:pPr>
              <w:pStyle w:val="CSBody8pt"/>
              <w:rPr>
                <w:lang w:val="de-DE"/>
              </w:rPr>
            </w:pPr>
            <w:r w:rsidRPr="00B1609A">
              <w:rPr>
                <w:lang w:val="de-DE"/>
              </w:rPr>
              <w:t xml:space="preserve">Vorbehaltlich des unmittelbar nachfolgenden Absatzes zahlt die Emittentin den </w:t>
            </w:r>
            <w:r w:rsidRPr="00792D61">
              <w:rPr>
                <w:b/>
                <w:lang w:val="de-DE"/>
              </w:rPr>
              <w:t>[</w:t>
            </w:r>
            <w:r w:rsidRPr="00B1609A">
              <w:rPr>
                <w:lang w:val="de-DE"/>
              </w:rPr>
              <w:t>jeweiligen</w:t>
            </w:r>
            <w:r w:rsidRPr="00792D61">
              <w:rPr>
                <w:b/>
                <w:lang w:val="de-DE"/>
              </w:rPr>
              <w:t>]</w:t>
            </w:r>
            <w:r w:rsidRPr="00B1609A">
              <w:rPr>
                <w:lang w:val="de-DE"/>
              </w:rPr>
              <w:t xml:space="preserve"> Zinszahlungsbetrag pro Komplexes Produkt an jedem Zinszahlungstag an den jeweiligen Inhaber, sofern (i) die Komplexen Produkte nicht bereits an oder vor diesem Zinszahlungstag zurückgezahlt, zurückgekauft oder entwertet wurden und (ii) vor diesem Zinszahlungstag kein Kredit-Rückzahlungsereignis eingetreten ist. Zur Klarstellung wird festgehalten, dass im Fall (A) einer bzw. eines an oder vor dem jeweiligen Zinszahlungstag erfolgenden Rückzahlung, Rückkaufs oder Entwertung der Komplexen Produkte oder (B) des Eintritts eines Kredit-Rückzahlungsereignisses vor dem jeweiligen Zinszahlungstag die Teile des </w:t>
            </w:r>
            <w:r w:rsidRPr="00792D61">
              <w:rPr>
                <w:b/>
                <w:lang w:val="de-DE"/>
              </w:rPr>
              <w:t>[</w:t>
            </w:r>
            <w:r w:rsidRPr="00B1609A">
              <w:rPr>
                <w:lang w:val="de-DE"/>
              </w:rPr>
              <w:t>jeweiligen</w:t>
            </w:r>
            <w:r w:rsidRPr="00792D61">
              <w:rPr>
                <w:b/>
                <w:lang w:val="de-DE"/>
              </w:rPr>
              <w:t>]</w:t>
            </w:r>
            <w:r w:rsidRPr="00B1609A">
              <w:rPr>
                <w:lang w:val="de-DE"/>
              </w:rPr>
              <w:t xml:space="preserve"> Zinszahlungsbetrags, die zum Termin dieser Rückzahlung, dieses Rückkaufs bzw. dieser Entwertung bzw. zum Termin des Eintritts dieses Kredit-Rückzahlungsereignisses aufgelaufen sind, </w:t>
            </w:r>
            <w:r w:rsidRPr="00792D61">
              <w:rPr>
                <w:b/>
                <w:lang w:val="de-DE"/>
              </w:rPr>
              <w:t>[</w:t>
            </w:r>
            <w:r w:rsidRPr="00B1609A">
              <w:rPr>
                <w:lang w:val="de-DE"/>
              </w:rPr>
              <w:t>nicht</w:t>
            </w:r>
            <w:r w:rsidRPr="00792D61">
              <w:rPr>
                <w:b/>
                <w:lang w:val="de-DE"/>
              </w:rPr>
              <w:t>]</w:t>
            </w:r>
            <w:r w:rsidRPr="00B1609A">
              <w:rPr>
                <w:lang w:val="de-DE"/>
              </w:rPr>
              <w:t xml:space="preserve"> zur Auszahlung gelangen.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E51D81">
            <w:pPr>
              <w:pStyle w:val="CSBody8ptbolditalics"/>
              <w:rPr>
                <w:lang w:val="de-DE"/>
              </w:rPr>
            </w:pPr>
          </w:p>
        </w:tc>
        <w:tc>
          <w:tcPr>
            <w:tcW w:w="3315" w:type="dxa"/>
            <w:gridSpan w:val="7"/>
            <w:tcBorders>
              <w:top w:val="nil"/>
              <w:left w:val="nil"/>
              <w:bottom w:val="nil"/>
            </w:tcBorders>
            <w:shd w:val="clear" w:color="auto" w:fill="auto"/>
          </w:tcPr>
          <w:p w:rsidR="0017135D" w:rsidRPr="009861F0" w:rsidP="00E51D81">
            <w:pPr>
              <w:pStyle w:val="CSBody8ptbolditalics"/>
            </w:pPr>
            <w:r w:rsidRPr="00792D61">
              <w:t>[</w:t>
            </w:r>
            <w:r w:rsidRPr="009861F0">
              <w:t>in the case of (i) Credit-Linked Complex Products with auction settlement and a Basket or Credit-Linked Complex Products with Zero-Recovery feature linked to a Basket and multiple Interest Payment Dates or (ii) other Complex Products (other than Credit-Linked Complex Products) with multiple Interest Payment Dates, insert:</w:t>
            </w:r>
          </w:p>
        </w:tc>
        <w:tc>
          <w:tcPr>
            <w:tcW w:w="1618" w:type="dxa"/>
            <w:gridSpan w:val="2"/>
            <w:tcBorders>
              <w:top w:val="nil"/>
              <w:bottom w:val="nil"/>
              <w:right w:val="nil"/>
            </w:tcBorders>
            <w:shd w:val="clear" w:color="auto" w:fill="auto"/>
          </w:tcPr>
          <w:p w:rsidR="0017135D" w:rsidRPr="00B1609A" w:rsidP="00E51D81">
            <w:pPr>
              <w:pStyle w:val="CSBody8ptbolditalics"/>
            </w:pPr>
          </w:p>
        </w:tc>
        <w:tc>
          <w:tcPr>
            <w:tcW w:w="3318" w:type="dxa"/>
            <w:gridSpan w:val="10"/>
            <w:tcBorders>
              <w:top w:val="nil"/>
              <w:left w:val="nil"/>
              <w:bottom w:val="nil"/>
              <w:right w:val="nil"/>
            </w:tcBorders>
            <w:shd w:val="clear" w:color="auto" w:fill="auto"/>
          </w:tcPr>
          <w:p w:rsidR="0017135D" w:rsidRPr="00B1609A" w:rsidP="00E51D81">
            <w:pPr>
              <w:pStyle w:val="CSBody8ptbolditalics"/>
              <w:rPr>
                <w:lang w:val="de-DE"/>
              </w:rPr>
            </w:pPr>
            <w:r w:rsidRPr="00792D61">
              <w:rPr>
                <w:lang w:val="de-DE"/>
              </w:rPr>
              <w:t>[</w:t>
            </w:r>
            <w:r w:rsidRPr="00B1609A">
              <w:rPr>
                <w:lang w:val="de-DE"/>
              </w:rPr>
              <w:t>bei (i) Kreditbezogenen Komplexen Produkten mit Auktionsabwicklung und einem Korb oder Kreditbezogenen Komplexen Produkten mit Zero-Recovery-Merkmal, die an einen Korb gekoppelt sind, und mehreren Zinszahlungstagen oder (ii) anderen Komplexen Produkten (ausser Kreditbezogenen Komplexen Produkten) mit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E51D81">
            <w:pPr>
              <w:pStyle w:val="CSBody8pt"/>
              <w:rPr>
                <w:lang w:val="de-DE"/>
              </w:rPr>
            </w:pPr>
          </w:p>
        </w:tc>
        <w:tc>
          <w:tcPr>
            <w:tcW w:w="3315" w:type="dxa"/>
            <w:gridSpan w:val="7"/>
            <w:tcBorders>
              <w:top w:val="nil"/>
              <w:left w:val="nil"/>
              <w:bottom w:val="nil"/>
            </w:tcBorders>
            <w:shd w:val="clear" w:color="auto" w:fill="auto"/>
          </w:tcPr>
          <w:p w:rsidR="0017135D" w:rsidP="00E51D81">
            <w:pPr>
              <w:pStyle w:val="CSBody8pt"/>
            </w:pPr>
            <w:r w:rsidRPr="00792D61">
              <w:rPr>
                <w:b/>
              </w:rPr>
              <w:t>[</w:t>
            </w:r>
            <w:r w:rsidRPr="00E51D81">
              <w:rPr>
                <w:b/>
                <w:i/>
              </w:rPr>
              <w:t>in the case of Credit-Linked Complex Products, insert:</w:t>
            </w:r>
            <w:r w:rsidRPr="009861F0">
              <w:t xml:space="preserve"> Subject to the immediately succeeding paragraph, the</w:t>
            </w:r>
            <w:r w:rsidRPr="00792D61">
              <w:rPr>
                <w:b/>
              </w:rPr>
              <w:t>][</w:t>
            </w:r>
            <w:r w:rsidRPr="009861F0">
              <w:t>The</w:t>
            </w:r>
            <w:r w:rsidRPr="00792D61">
              <w:rPr>
                <w:b/>
              </w:rPr>
              <w:t>]</w:t>
            </w:r>
            <w:r w:rsidRPr="009861F0">
              <w:t xml:space="preserve"> Issuer shall pay the </w:t>
            </w:r>
            <w:r w:rsidRPr="00792D61">
              <w:rPr>
                <w:b/>
              </w:rPr>
              <w:t>[</w:t>
            </w:r>
            <w:r w:rsidRPr="009861F0">
              <w:t>relevant</w:t>
            </w:r>
            <w:r w:rsidRPr="00792D61">
              <w:rPr>
                <w:b/>
              </w:rPr>
              <w:t>]</w:t>
            </w:r>
            <w:r w:rsidRPr="009861F0">
              <w:t xml:space="preserve"> Interest Payment Amount per Complex Product on each Interest Payment Date to the Holder thereof, provided that the Complex Products have not been redeemed, repurchased or cancelled on or prior to such Interest Payment Date. For the avoidance of doubt, it being understood that, if the Complex Products are redeemed, repurchased or cancelled on or prior to the relevant Interest Payment Date, any portion of the </w:t>
            </w:r>
            <w:r w:rsidRPr="00792D61">
              <w:rPr>
                <w:b/>
              </w:rPr>
              <w:t>[</w:t>
            </w:r>
            <w:r w:rsidRPr="009861F0">
              <w:t>relevant</w:t>
            </w:r>
            <w:r w:rsidRPr="00792D61">
              <w:rPr>
                <w:b/>
              </w:rPr>
              <w:t>]</w:t>
            </w:r>
            <w:r w:rsidRPr="009861F0">
              <w:t xml:space="preserve"> Interest Payment Amount that would otherwise be due on such Interest Payment Date that has accrued as of the date of such redemption, repurchase or cancellation will </w:t>
            </w:r>
            <w:r w:rsidRPr="00792D61">
              <w:rPr>
                <w:b/>
              </w:rPr>
              <w:t>[</w:t>
            </w:r>
            <w:r w:rsidRPr="009861F0">
              <w:t>not</w:t>
            </w:r>
            <w:r w:rsidRPr="00792D61">
              <w:rPr>
                <w:b/>
              </w:rPr>
              <w:t>]</w:t>
            </w:r>
            <w:r w:rsidRPr="009861F0">
              <w:t xml:space="preserve"> be paid.</w:t>
            </w:r>
            <w:r w:rsidRPr="00792D61">
              <w:rPr>
                <w:b/>
              </w:rPr>
              <w:t>[</w:t>
            </w:r>
            <w:r w:rsidRPr="00E51D81">
              <w:rPr>
                <w:b/>
                <w:i/>
              </w:rPr>
              <w:t>in the case of Credit-Linked Complex Products with auction settlement or Credit-Linked Complex Products with Zero-Recovery feature linked to a Basket:</w:t>
            </w:r>
            <w:r w:rsidRPr="009861F0">
              <w:t xml:space="preserve"> Further, if a Credit Event Determination Date has occurred with respect to any Reference Entity/Entities prior to an Interest Payment Date, the portion(s) of the Principal Amount of the Complex Products equal to the Reference Entity Principal Amount(s) of such Affected Reference Entity/Entities will cease to bear interest and any accrued and unpaid interest on such Reference Entity Principal Amount(s) as of the date on which such Credit Event Determination Date has occurred will be cancelled and not be paid to the Holder thereof on the relevant Interest Payment Date.</w:t>
            </w:r>
            <w:r w:rsidRPr="00792D61">
              <w:rPr>
                <w:b/>
              </w:rPr>
              <w:t>]]</w:t>
            </w:r>
          </w:p>
        </w:tc>
        <w:tc>
          <w:tcPr>
            <w:tcW w:w="1618" w:type="dxa"/>
            <w:gridSpan w:val="2"/>
            <w:tcBorders>
              <w:top w:val="nil"/>
              <w:bottom w:val="nil"/>
              <w:right w:val="nil"/>
            </w:tcBorders>
            <w:shd w:val="clear" w:color="auto" w:fill="auto"/>
          </w:tcPr>
          <w:p w:rsidR="0017135D" w:rsidRPr="00B1609A" w:rsidP="00E51D81">
            <w:pPr>
              <w:pStyle w:val="CSBody8pt"/>
            </w:pPr>
          </w:p>
        </w:tc>
        <w:tc>
          <w:tcPr>
            <w:tcW w:w="3318" w:type="dxa"/>
            <w:gridSpan w:val="10"/>
            <w:tcBorders>
              <w:top w:val="nil"/>
              <w:left w:val="nil"/>
              <w:bottom w:val="nil"/>
              <w:right w:val="nil"/>
            </w:tcBorders>
            <w:shd w:val="clear" w:color="auto" w:fill="auto"/>
          </w:tcPr>
          <w:p w:rsidR="0017135D" w:rsidRPr="00B1609A">
            <w:pPr>
              <w:pStyle w:val="CSBody8pt"/>
              <w:rPr>
                <w:lang w:val="de-DE"/>
              </w:rPr>
            </w:pPr>
            <w:r w:rsidRPr="00792D61">
              <w:rPr>
                <w:b/>
                <w:lang w:val="de-DE"/>
              </w:rPr>
              <w:t>[</w:t>
            </w:r>
            <w:r w:rsidRPr="00E51D81">
              <w:rPr>
                <w:b/>
                <w:i/>
                <w:lang w:val="de-DE"/>
              </w:rPr>
              <w:t>bei Kreditbezogenen Komplexen Produkten einfügen:</w:t>
            </w:r>
            <w:r w:rsidRPr="00B1609A">
              <w:rPr>
                <w:lang w:val="de-DE"/>
              </w:rPr>
              <w:t xml:space="preserve"> Vorbehaltlich des unmittelbar nachfolgenden Absatzes zahlt die Emittentin</w:t>
            </w:r>
            <w:r w:rsidRPr="00792D61">
              <w:rPr>
                <w:b/>
                <w:lang w:val="de-DE"/>
              </w:rPr>
              <w:t>]</w:t>
            </w:r>
            <w:r w:rsidRPr="00B1609A">
              <w:rPr>
                <w:lang w:val="de-DE"/>
              </w:rPr>
              <w:t xml:space="preserve"> </w:t>
            </w:r>
            <w:r w:rsidRPr="00792D61">
              <w:rPr>
                <w:b/>
                <w:lang w:val="de-DE"/>
              </w:rPr>
              <w:t>[</w:t>
            </w:r>
            <w:r w:rsidRPr="00B1609A">
              <w:rPr>
                <w:lang w:val="de-DE"/>
              </w:rPr>
              <w:t>Die Emittentin zahlt</w:t>
            </w:r>
            <w:r w:rsidRPr="00792D61">
              <w:rPr>
                <w:b/>
                <w:lang w:val="de-DE"/>
              </w:rPr>
              <w:t>]</w:t>
            </w:r>
            <w:r w:rsidRPr="00B1609A">
              <w:rPr>
                <w:lang w:val="de-DE"/>
              </w:rPr>
              <w:t xml:space="preserve"> den </w:t>
            </w:r>
            <w:r w:rsidRPr="00792D61">
              <w:rPr>
                <w:b/>
                <w:lang w:val="de-DE"/>
              </w:rPr>
              <w:t>[</w:t>
            </w:r>
            <w:r w:rsidRPr="00B1609A">
              <w:rPr>
                <w:lang w:val="de-DE"/>
              </w:rPr>
              <w:t>jeweiligen</w:t>
            </w:r>
            <w:r w:rsidRPr="00792D61">
              <w:rPr>
                <w:b/>
                <w:lang w:val="de-DE"/>
              </w:rPr>
              <w:t>]</w:t>
            </w:r>
            <w:r w:rsidRPr="00B1609A">
              <w:rPr>
                <w:lang w:val="de-DE"/>
              </w:rPr>
              <w:t xml:space="preserve"> Zinszahlungsbetrag pro Komplexes Produkt an jedem Zinszahlungstag an den jeweiligen Inhaber, sofern die Komplexen Produkte nicht bereits an oder vor diesem Zinszahlungstag zurückgezahlt, zurückgekauft oder entwertet wurden. Zur Klarstellung wird festgehalten, dass im Fall einer bzw. eines an oder vor dem jeweiligen Zinszahlungstag erfolgenden Rückzahlung, Rückkaufs oder Entwertung der Komplexen Produkte diejenigen Teile des ansonsten an dem jeweiligen Zinszahlungstag fälligen </w:t>
            </w:r>
            <w:r w:rsidRPr="00792D61">
              <w:rPr>
                <w:b/>
                <w:lang w:val="de-DE"/>
              </w:rPr>
              <w:t>[</w:t>
            </w:r>
            <w:r w:rsidRPr="00B1609A">
              <w:rPr>
                <w:lang w:val="de-DE"/>
              </w:rPr>
              <w:t>jeweiligen</w:t>
            </w:r>
            <w:r w:rsidRPr="00792D61">
              <w:rPr>
                <w:b/>
                <w:lang w:val="de-DE"/>
              </w:rPr>
              <w:t>]</w:t>
            </w:r>
            <w:r w:rsidRPr="00B1609A">
              <w:rPr>
                <w:lang w:val="de-DE"/>
              </w:rPr>
              <w:t xml:space="preserve"> Zinszahlungsbetrags, die zum Termin dieser Rückzahlung, dieses Rückkaufs bzw. dieser Entwertung aufgelaufen sind, </w:t>
            </w:r>
            <w:r w:rsidRPr="00792D61">
              <w:rPr>
                <w:b/>
                <w:lang w:val="de-DE"/>
              </w:rPr>
              <w:t>[</w:t>
            </w:r>
            <w:r w:rsidRPr="00B1609A">
              <w:rPr>
                <w:lang w:val="de-DE"/>
              </w:rPr>
              <w:t>nicht</w:t>
            </w:r>
            <w:r w:rsidRPr="00792D61">
              <w:rPr>
                <w:b/>
                <w:lang w:val="de-DE"/>
              </w:rPr>
              <w:t>]</w:t>
            </w:r>
            <w:r w:rsidRPr="00B1609A">
              <w:rPr>
                <w:lang w:val="de-DE"/>
              </w:rPr>
              <w:t xml:space="preserve"> zur Auszahlung gelangen. </w:t>
            </w:r>
            <w:r w:rsidRPr="00792D61">
              <w:rPr>
                <w:b/>
                <w:lang w:val="de-DE"/>
              </w:rPr>
              <w:t>[</w:t>
            </w:r>
            <w:r w:rsidRPr="00E51D81">
              <w:rPr>
                <w:b/>
                <w:i/>
                <w:lang w:val="de-DE"/>
              </w:rPr>
              <w:t>bei Kreditbezogenen Komplexen Produkten mit Auktionsabwicklung oder Kreditbezogenen Komplexen Produkten mit Zero-Recovery-Merkmal, die an einen Korb gekoppelt sind:</w:t>
            </w:r>
            <w:r w:rsidRPr="00B1609A">
              <w:rPr>
                <w:lang w:val="de-DE"/>
              </w:rPr>
              <w:t xml:space="preserve"> Ausserdem gilt für den Fall des Eintritts eines Kreditereignis-Feststellungstags in Bezug auf einen oder mehrere Referenzschuldner vor einem Zinszahlungstag, dass die Verzinsung des Teils/der Teile des Nennbetrags der Komplexen Produkte, der bzw. die dem Referenzschuldner-Nennbetrag/den Referenzschuldner-Nennbeträgen dieses Betroffenen Referenzschuldners/ dieser Betroffenen Referenzschuldner entspricht bzw. entsprechen, endet und etwaige zum Termin des Eintritts des Kreditereignis-Feststellungstags auf diesen Referenzschuldner-Nennbetrag/ diese Referenzschuldner</w:t>
            </w:r>
            <w:r w:rsidR="0036261D">
              <w:rPr>
                <w:lang w:val="de-DE"/>
              </w:rPr>
              <w:t>-N</w:t>
            </w:r>
            <w:r w:rsidRPr="00B1609A">
              <w:rPr>
                <w:lang w:val="de-DE"/>
              </w:rPr>
              <w:t>ennbeträge aufgelaufene und noch nicht gezahlte Zinsen verfallen und nicht am jeweiligen Zinszahlungstag an den Inhaber dieses Komplexen Produkts gezahlt werden.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E51D81">
            <w:pPr>
              <w:pStyle w:val="CSBody8ptbolditalics"/>
              <w:rPr>
                <w:lang w:val="de-DE"/>
              </w:rPr>
            </w:pPr>
          </w:p>
        </w:tc>
        <w:tc>
          <w:tcPr>
            <w:tcW w:w="3315" w:type="dxa"/>
            <w:gridSpan w:val="7"/>
            <w:tcBorders>
              <w:top w:val="nil"/>
              <w:left w:val="nil"/>
              <w:bottom w:val="nil"/>
            </w:tcBorders>
            <w:shd w:val="clear" w:color="auto" w:fill="auto"/>
          </w:tcPr>
          <w:p w:rsidR="0017135D" w:rsidRPr="00562FF4" w:rsidP="00E51D81">
            <w:pPr>
              <w:pStyle w:val="CSBody8ptbolditalics"/>
            </w:pPr>
            <w:r w:rsidRPr="00792D61">
              <w:t>[</w:t>
            </w:r>
            <w:r w:rsidRPr="00562FF4">
              <w:t>in the case of Credit-Linked Complex Products with auction settlement and one Reference Entity, insert:</w:t>
            </w:r>
          </w:p>
        </w:tc>
        <w:tc>
          <w:tcPr>
            <w:tcW w:w="1618" w:type="dxa"/>
            <w:gridSpan w:val="2"/>
            <w:tcBorders>
              <w:top w:val="nil"/>
              <w:bottom w:val="nil"/>
              <w:right w:val="nil"/>
            </w:tcBorders>
            <w:shd w:val="clear" w:color="auto" w:fill="auto"/>
          </w:tcPr>
          <w:p w:rsidR="0017135D" w:rsidRPr="00B1609A" w:rsidP="00E51D81">
            <w:pPr>
              <w:pStyle w:val="CSBody8ptbolditalics"/>
            </w:pPr>
          </w:p>
        </w:tc>
        <w:tc>
          <w:tcPr>
            <w:tcW w:w="3318" w:type="dxa"/>
            <w:gridSpan w:val="10"/>
            <w:tcBorders>
              <w:top w:val="nil"/>
              <w:left w:val="nil"/>
              <w:bottom w:val="nil"/>
              <w:right w:val="nil"/>
            </w:tcBorders>
            <w:shd w:val="clear" w:color="auto" w:fill="auto"/>
          </w:tcPr>
          <w:p w:rsidR="0017135D" w:rsidRPr="00EB1652" w:rsidP="00E51D81">
            <w:pPr>
              <w:pStyle w:val="CSBody8ptbolditalics"/>
              <w:rPr>
                <w:lang w:val="de-DE"/>
              </w:rPr>
            </w:pPr>
            <w:r w:rsidRPr="00EB1652">
              <w:rPr>
                <w:lang w:val="de-DE"/>
              </w:rPr>
              <w:t>[bei Kreditbezogenen Komplexen Produkten mit Auktionsabwicklung und einem Referenzschuldner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E51D81">
            <w:pPr>
              <w:pStyle w:val="CSBody8pt"/>
              <w:rPr>
                <w:lang w:val="de-DE"/>
              </w:rPr>
            </w:pPr>
          </w:p>
        </w:tc>
        <w:tc>
          <w:tcPr>
            <w:tcW w:w="3315" w:type="dxa"/>
            <w:gridSpan w:val="7"/>
            <w:tcBorders>
              <w:top w:val="nil"/>
              <w:left w:val="nil"/>
              <w:bottom w:val="nil"/>
            </w:tcBorders>
            <w:shd w:val="clear" w:color="auto" w:fill="auto"/>
          </w:tcPr>
          <w:p w:rsidR="0017135D" w:rsidP="00E51D81">
            <w:pPr>
              <w:pStyle w:val="CSBody8pt"/>
            </w:pPr>
            <w:r w:rsidRPr="00562FF4">
              <w:t xml:space="preserve">Notwithstanding the immediately preceding paragraph, if a Potential Credit Event Period has occurred prior to, and is continuing on, </w:t>
            </w:r>
            <w:r w:rsidRPr="00792D61">
              <w:rPr>
                <w:b/>
              </w:rPr>
              <w:t>[</w:t>
            </w:r>
            <w:r w:rsidRPr="00562FF4">
              <w:t>the</w:t>
            </w:r>
            <w:r w:rsidRPr="00792D61">
              <w:rPr>
                <w:b/>
              </w:rPr>
              <w:t>][</w:t>
            </w:r>
            <w:r w:rsidRPr="00562FF4">
              <w:t>such</w:t>
            </w:r>
            <w:r w:rsidRPr="00792D61">
              <w:rPr>
                <w:b/>
              </w:rPr>
              <w:t>]</w:t>
            </w:r>
            <w:r w:rsidRPr="00562FF4">
              <w:t xml:space="preserve"> Interest Payment Date, the following shall apply:</w:t>
            </w:r>
          </w:p>
        </w:tc>
        <w:tc>
          <w:tcPr>
            <w:tcW w:w="1618" w:type="dxa"/>
            <w:gridSpan w:val="2"/>
            <w:tcBorders>
              <w:top w:val="nil"/>
              <w:bottom w:val="nil"/>
              <w:right w:val="nil"/>
            </w:tcBorders>
            <w:shd w:val="clear" w:color="auto" w:fill="auto"/>
          </w:tcPr>
          <w:p w:rsidR="0017135D" w:rsidRPr="00B1609A" w:rsidP="00E51D81">
            <w:pPr>
              <w:pStyle w:val="CSBody8pt"/>
            </w:pPr>
          </w:p>
        </w:tc>
        <w:tc>
          <w:tcPr>
            <w:tcW w:w="3318" w:type="dxa"/>
            <w:gridSpan w:val="10"/>
            <w:tcBorders>
              <w:top w:val="nil"/>
              <w:left w:val="nil"/>
              <w:bottom w:val="nil"/>
              <w:right w:val="nil"/>
            </w:tcBorders>
            <w:shd w:val="clear" w:color="auto" w:fill="auto"/>
          </w:tcPr>
          <w:p w:rsidR="0017135D" w:rsidRPr="00EB1652">
            <w:pPr>
              <w:pStyle w:val="CSBody8pt"/>
              <w:rPr>
                <w:lang w:val="de-DE"/>
              </w:rPr>
            </w:pPr>
            <w:r w:rsidRPr="00EB1652">
              <w:rPr>
                <w:lang w:val="de-DE"/>
              </w:rPr>
              <w:t xml:space="preserve">Ungeachtet des unmittelbar vorangehenden Absatzes gilt </w:t>
            </w:r>
            <w:r w:rsidRPr="00BD6E0D" w:rsidR="006E51A9">
              <w:rPr>
                <w:lang w:val="de-DE"/>
              </w:rPr>
              <w:t>i</w:t>
            </w:r>
            <w:r w:rsidRPr="00EB1652">
              <w:rPr>
                <w:lang w:val="de-DE"/>
              </w:rPr>
              <w:t xml:space="preserve">m Fall, dass ein Zeitraum eines Potenziellen Kreditereignisses vor dem </w:t>
            </w:r>
            <w:r w:rsidRPr="00BD6E0D" w:rsidR="00EB1652">
              <w:rPr>
                <w:b/>
                <w:lang w:val="de-DE"/>
              </w:rPr>
              <w:t>[</w:t>
            </w:r>
            <w:r w:rsidRPr="00EB1652">
              <w:rPr>
                <w:lang w:val="de-DE"/>
              </w:rPr>
              <w:t>jeweiligen</w:t>
            </w:r>
            <w:r w:rsidRPr="00EB1652">
              <w:rPr>
                <w:b/>
                <w:lang w:val="de-DE"/>
              </w:rPr>
              <w:t>]</w:t>
            </w:r>
            <w:r w:rsidRPr="00EB1652">
              <w:rPr>
                <w:lang w:val="de-DE"/>
              </w:rPr>
              <w:t xml:space="preserve"> Zinszahlungstag begonnen hat und an diesem Zinszahlungstag andauert, folgendes:</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E51D81">
            <w:pPr>
              <w:pStyle w:val="CSManNum8pt"/>
              <w:rPr>
                <w:lang w:val="de-DE"/>
              </w:rPr>
            </w:pPr>
          </w:p>
        </w:tc>
        <w:tc>
          <w:tcPr>
            <w:tcW w:w="3315" w:type="dxa"/>
            <w:gridSpan w:val="7"/>
            <w:tcBorders>
              <w:top w:val="nil"/>
              <w:left w:val="nil"/>
              <w:bottom w:val="nil"/>
            </w:tcBorders>
            <w:shd w:val="clear" w:color="auto" w:fill="auto"/>
          </w:tcPr>
          <w:p w:rsidR="0017135D" w:rsidRPr="00B1609A" w:rsidP="00E51D81">
            <w:pPr>
              <w:pStyle w:val="CSManNum8pt"/>
            </w:pPr>
            <w:r w:rsidRPr="00B1609A">
              <w:t>(i)</w:t>
            </w:r>
            <w:r w:rsidRPr="00B1609A">
              <w:tab/>
              <w:t xml:space="preserve">if the relevant Potential Failure to Pay </w:t>
            </w:r>
            <w:r w:rsidRPr="00792D61">
              <w:rPr>
                <w:b/>
              </w:rPr>
              <w:t>[</w:t>
            </w:r>
            <w:r w:rsidRPr="00E51D81">
              <w:rPr>
                <w:b/>
                <w:i/>
              </w:rPr>
              <w:t>if "Repudiation/Moratorium" is applicable, insert:</w:t>
            </w:r>
            <w:r w:rsidRPr="00B1609A">
              <w:t xml:space="preserve"> , Potential Repudiation/Moratorium</w:t>
            </w:r>
            <w:r w:rsidRPr="00792D61">
              <w:rPr>
                <w:b/>
              </w:rPr>
              <w:t>]</w:t>
            </w:r>
            <w:r w:rsidRPr="00B1609A">
              <w:t xml:space="preserve"> or DC Pending Request, as the case may be, </w:t>
            </w:r>
            <w:r w:rsidRPr="00E51D81">
              <w:rPr>
                <w:b/>
              </w:rPr>
              <w:t>results</w:t>
            </w:r>
            <w:r w:rsidRPr="00B1609A">
              <w:t xml:space="preserve"> in the occurrence of a Credit Event Determination Date prior to the </w:t>
            </w:r>
            <w:r w:rsidRPr="00792D61">
              <w:rPr>
                <w:b/>
              </w:rPr>
              <w:t>[</w:t>
            </w:r>
            <w:r w:rsidRPr="00B1609A">
              <w:t>relevant</w:t>
            </w:r>
            <w:r w:rsidRPr="00792D61">
              <w:rPr>
                <w:b/>
              </w:rPr>
              <w:t>]</w:t>
            </w:r>
            <w:r w:rsidRPr="00B1609A">
              <w:t xml:space="preserve"> Interest Payment Date </w:t>
            </w:r>
            <w:r w:rsidRPr="00792D61">
              <w:rPr>
                <w:b/>
              </w:rPr>
              <w:t>[</w:t>
            </w:r>
            <w:r w:rsidRPr="00E51D81">
              <w:rPr>
                <w:b/>
                <w:i/>
              </w:rPr>
              <w:t xml:space="preserve">if (i) </w:t>
            </w:r>
            <w:r>
              <w:rPr>
                <w:b/>
                <w:i/>
              </w:rPr>
              <w:t>"</w:t>
            </w:r>
            <w:r w:rsidRPr="00E51D81">
              <w:rPr>
                <w:b/>
                <w:i/>
              </w:rPr>
              <w:t>Failure to Pay</w:t>
            </w:r>
            <w:r>
              <w:rPr>
                <w:b/>
                <w:i/>
              </w:rPr>
              <w:t>"</w:t>
            </w:r>
            <w:r w:rsidRPr="00E51D81">
              <w:rPr>
                <w:b/>
                <w:i/>
              </w:rPr>
              <w:t xml:space="preserve"> and </w:t>
            </w:r>
            <w:r>
              <w:rPr>
                <w:b/>
                <w:i/>
              </w:rPr>
              <w:t>"</w:t>
            </w:r>
            <w:r w:rsidRPr="00E51D81">
              <w:rPr>
                <w:b/>
                <w:i/>
              </w:rPr>
              <w:t>Grace Period Extension</w:t>
            </w:r>
            <w:r>
              <w:rPr>
                <w:b/>
                <w:i/>
              </w:rPr>
              <w:t>"</w:t>
            </w:r>
            <w:r w:rsidRPr="00E51D81">
              <w:rPr>
                <w:b/>
                <w:i/>
              </w:rPr>
              <w:t xml:space="preserve"> and/or (ii) </w:t>
            </w:r>
            <w:r>
              <w:rPr>
                <w:b/>
                <w:i/>
              </w:rPr>
              <w:t>"</w:t>
            </w:r>
            <w:r w:rsidRPr="00E51D81">
              <w:rPr>
                <w:b/>
                <w:i/>
              </w:rPr>
              <w:t>Repudiation/Moratorium is applicable, insert:</w:t>
            </w:r>
            <w:r w:rsidRPr="00B1609A">
              <w:t xml:space="preserve"> or, if later, the Extension Date relating to </w:t>
            </w:r>
            <w:r w:rsidRPr="00792D61">
              <w:rPr>
                <w:b/>
              </w:rPr>
              <w:t>[</w:t>
            </w:r>
            <w:r w:rsidRPr="00B1609A">
              <w:t>such Potential Failure to Pay</w:t>
            </w:r>
            <w:r w:rsidRPr="00792D61">
              <w:rPr>
                <w:b/>
              </w:rPr>
              <w:t>][</w:t>
            </w:r>
            <w:r w:rsidRPr="00B1609A">
              <w:t>or</w:t>
            </w:r>
            <w:r w:rsidRPr="00792D61">
              <w:rPr>
                <w:b/>
              </w:rPr>
              <w:t>][</w:t>
            </w:r>
            <w:r w:rsidRPr="00B1609A">
              <w:t>such Potential Repudiation/Moratorium</w:t>
            </w:r>
            <w:r w:rsidRPr="00792D61">
              <w:rPr>
                <w:b/>
              </w:rPr>
              <w:t>]]</w:t>
            </w:r>
            <w:r w:rsidRPr="00B1609A">
              <w:t xml:space="preserve">, as determined on or prior to the last day of such Potential Credit Event Period, the Issuer shall not pay the </w:t>
            </w:r>
            <w:r w:rsidRPr="00792D61">
              <w:rPr>
                <w:b/>
              </w:rPr>
              <w:t>[</w:t>
            </w:r>
            <w:r w:rsidRPr="00B1609A">
              <w:t>relevant</w:t>
            </w:r>
            <w:r w:rsidRPr="00792D61">
              <w:rPr>
                <w:b/>
              </w:rPr>
              <w:t>]</w:t>
            </w:r>
            <w:r w:rsidRPr="00B1609A">
              <w:t xml:space="preserve"> Interest Payment Amount; or</w:t>
            </w:r>
          </w:p>
        </w:tc>
        <w:tc>
          <w:tcPr>
            <w:tcW w:w="1618" w:type="dxa"/>
            <w:gridSpan w:val="2"/>
            <w:tcBorders>
              <w:top w:val="nil"/>
              <w:bottom w:val="nil"/>
              <w:right w:val="nil"/>
            </w:tcBorders>
            <w:shd w:val="clear" w:color="auto" w:fill="auto"/>
          </w:tcPr>
          <w:p w:rsidR="0017135D" w:rsidRPr="00B1609A" w:rsidP="00E51D81">
            <w:pPr>
              <w:pStyle w:val="CSManNum8pt"/>
            </w:pPr>
          </w:p>
        </w:tc>
        <w:tc>
          <w:tcPr>
            <w:tcW w:w="3318" w:type="dxa"/>
            <w:gridSpan w:val="10"/>
            <w:tcBorders>
              <w:top w:val="nil"/>
              <w:left w:val="nil"/>
              <w:bottom w:val="nil"/>
              <w:right w:val="nil"/>
            </w:tcBorders>
            <w:shd w:val="clear" w:color="auto" w:fill="auto"/>
          </w:tcPr>
          <w:p w:rsidR="0017135D" w:rsidRPr="00EB1652">
            <w:pPr>
              <w:pStyle w:val="CSManNum8pt"/>
              <w:rPr>
                <w:lang w:val="de-DE"/>
              </w:rPr>
            </w:pPr>
            <w:r w:rsidRPr="00EB1652">
              <w:rPr>
                <w:lang w:val="de-DE"/>
              </w:rPr>
              <w:t>(i)</w:t>
            </w:r>
            <w:r w:rsidRPr="00EB1652">
              <w:rPr>
                <w:lang w:val="de-DE"/>
              </w:rPr>
              <w:tab/>
              <w:t xml:space="preserve">falls die jeweilige Potenzielle Nichtzahlung </w:t>
            </w:r>
            <w:r w:rsidRPr="00EB1652">
              <w:rPr>
                <w:b/>
                <w:lang w:val="de-DE"/>
              </w:rPr>
              <w:t>[</w:t>
            </w:r>
            <w:r w:rsidRPr="00EB1652">
              <w:rPr>
                <w:b/>
                <w:i/>
                <w:lang w:val="de-DE"/>
              </w:rPr>
              <w:t>falls "Nichtanerke</w:t>
            </w:r>
            <w:r w:rsidRPr="00BD6E0D" w:rsidR="00EB1652">
              <w:rPr>
                <w:b/>
                <w:i/>
                <w:lang w:val="de-DE"/>
              </w:rPr>
              <w:t>n</w:t>
            </w:r>
            <w:r w:rsidRPr="00EB1652">
              <w:rPr>
                <w:b/>
                <w:i/>
                <w:lang w:val="de-DE"/>
              </w:rPr>
              <w:t>nung/Moratorium" anwendbar ist, einfügen:</w:t>
            </w:r>
            <w:r w:rsidRPr="00EB1652">
              <w:rPr>
                <w:lang w:val="de-DE"/>
              </w:rPr>
              <w:t xml:space="preserve"> oder die jeweilige Potenzielle Nichtanerkennung/ das jeweilige Potenzielle Moratorium</w:t>
            </w:r>
            <w:r w:rsidRPr="00EB1652">
              <w:rPr>
                <w:b/>
                <w:lang w:val="de-DE"/>
              </w:rPr>
              <w:t>]</w:t>
            </w:r>
            <w:r w:rsidRPr="00EB1652">
              <w:rPr>
                <w:lang w:val="de-DE"/>
              </w:rPr>
              <w:t xml:space="preserve"> oder ein Ausstehender Antrag zu einem Kreditereignis-Feststellungstag vor dem </w:t>
            </w:r>
            <w:r w:rsidRPr="00EB1652">
              <w:rPr>
                <w:b/>
                <w:lang w:val="de-DE"/>
              </w:rPr>
              <w:t>[</w:t>
            </w:r>
            <w:r w:rsidRPr="00EB1652">
              <w:rPr>
                <w:lang w:val="de-DE"/>
              </w:rPr>
              <w:t>jeweiligen</w:t>
            </w:r>
            <w:r w:rsidRPr="00EB1652">
              <w:rPr>
                <w:b/>
                <w:lang w:val="de-DE"/>
              </w:rPr>
              <w:t>]</w:t>
            </w:r>
            <w:r w:rsidRPr="00EB1652">
              <w:rPr>
                <w:lang w:val="de-DE"/>
              </w:rPr>
              <w:t xml:space="preserve"> Zinszahlungstag </w:t>
            </w:r>
            <w:r w:rsidRPr="00EB1652">
              <w:rPr>
                <w:b/>
                <w:lang w:val="de-DE"/>
              </w:rPr>
              <w:t>[</w:t>
            </w:r>
            <w:r w:rsidRPr="00EB1652">
              <w:rPr>
                <w:b/>
                <w:i/>
                <w:lang w:val="de-DE"/>
              </w:rPr>
              <w:t>falls (i) "Nichtzahlung" und "Verlängerung wegen Nachfrist" und/oder (ii) "Nichtanerkennung/Moratorium" anwendbar sind, einfügen:</w:t>
            </w:r>
            <w:r w:rsidRPr="00EB1652">
              <w:rPr>
                <w:lang w:val="de-DE"/>
              </w:rPr>
              <w:t xml:space="preserve"> oder, falls später, dem Verlängerungstag bezüglich </w:t>
            </w:r>
            <w:r w:rsidRPr="00EB1652">
              <w:rPr>
                <w:b/>
                <w:lang w:val="de-DE"/>
              </w:rPr>
              <w:t>[</w:t>
            </w:r>
            <w:r w:rsidRPr="00EB1652">
              <w:rPr>
                <w:lang w:val="de-DE"/>
              </w:rPr>
              <w:t>dieser Potenziellen Nichtzahlung</w:t>
            </w:r>
            <w:r w:rsidRPr="00EB1652">
              <w:rPr>
                <w:b/>
                <w:lang w:val="de-DE"/>
              </w:rPr>
              <w:t>][</w:t>
            </w:r>
            <w:r w:rsidRPr="00EB1652">
              <w:rPr>
                <w:lang w:val="de-DE"/>
              </w:rPr>
              <w:t>oder</w:t>
            </w:r>
            <w:r w:rsidRPr="00EB1652">
              <w:rPr>
                <w:b/>
                <w:lang w:val="de-DE"/>
              </w:rPr>
              <w:t>][</w:t>
            </w:r>
            <w:r w:rsidRPr="00EB1652">
              <w:rPr>
                <w:lang w:val="de-DE"/>
              </w:rPr>
              <w:t>dieser Potenziellen Nichtanerkennung/dieses Potenziellen Moratoriums</w:t>
            </w:r>
            <w:r w:rsidRPr="00EB1652">
              <w:rPr>
                <w:b/>
                <w:lang w:val="de-DE"/>
              </w:rPr>
              <w:t>]]</w:t>
            </w:r>
            <w:r w:rsidRPr="00BD6E0D" w:rsidR="00117C26">
              <w:rPr>
                <w:lang w:val="de-DE"/>
              </w:rPr>
              <w:t xml:space="preserve"> führt</w:t>
            </w:r>
            <w:r w:rsidRPr="00EB1652">
              <w:rPr>
                <w:lang w:val="de-DE"/>
              </w:rPr>
              <w:t xml:space="preserve">, wie an oder vor dem letzten Tag dieses Zeitraums eines Potenziellen Kreditereignisses festgestellt, zahlt die Emittentin den </w:t>
            </w:r>
            <w:r w:rsidRPr="00EB1652">
              <w:rPr>
                <w:b/>
                <w:lang w:val="de-DE"/>
              </w:rPr>
              <w:t>[</w:t>
            </w:r>
            <w:r w:rsidRPr="00EB1652">
              <w:rPr>
                <w:lang w:val="de-DE"/>
              </w:rPr>
              <w:t>jeweiligen</w:t>
            </w:r>
            <w:r w:rsidRPr="00EB1652">
              <w:rPr>
                <w:b/>
                <w:lang w:val="de-DE"/>
              </w:rPr>
              <w:t>]</w:t>
            </w:r>
            <w:r w:rsidRPr="00EB1652">
              <w:rPr>
                <w:lang w:val="de-DE"/>
              </w:rPr>
              <w:t xml:space="preserve"> Zinszahlungsbetrag nicht;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803F9D">
            <w:pPr>
              <w:pStyle w:val="CSManNum8pt"/>
              <w:rPr>
                <w:lang w:val="de-DE"/>
              </w:rPr>
            </w:pPr>
          </w:p>
        </w:tc>
        <w:tc>
          <w:tcPr>
            <w:tcW w:w="3315" w:type="dxa"/>
            <w:gridSpan w:val="7"/>
            <w:tcBorders>
              <w:top w:val="nil"/>
              <w:left w:val="nil"/>
              <w:bottom w:val="nil"/>
            </w:tcBorders>
            <w:shd w:val="clear" w:color="auto" w:fill="auto"/>
          </w:tcPr>
          <w:p w:rsidR="0017135D" w:rsidRPr="00B1609A" w:rsidP="00803F9D">
            <w:pPr>
              <w:pStyle w:val="CSManNum8pt"/>
            </w:pPr>
            <w:r w:rsidRPr="00B1609A">
              <w:t>(ii)</w:t>
            </w:r>
            <w:r w:rsidRPr="00B1609A">
              <w:tab/>
              <w:t xml:space="preserve">if the relevant Potential Failure to Pay </w:t>
            </w:r>
            <w:r w:rsidRPr="00792D61">
              <w:rPr>
                <w:b/>
              </w:rPr>
              <w:t>[</w:t>
            </w:r>
            <w:r w:rsidRPr="00803F9D">
              <w:rPr>
                <w:b/>
                <w:i/>
              </w:rPr>
              <w:t>if "Repudiation/Moratorium" is applicable, insert:</w:t>
            </w:r>
            <w:r w:rsidRPr="00B1609A">
              <w:t xml:space="preserve"> , Potential Repudiation/Moratorium</w:t>
            </w:r>
            <w:r w:rsidRPr="00792D61">
              <w:rPr>
                <w:b/>
              </w:rPr>
              <w:t>]</w:t>
            </w:r>
            <w:r w:rsidRPr="00B1609A">
              <w:t xml:space="preserve"> or DC Pending Request, as the case may be, </w:t>
            </w:r>
            <w:r w:rsidRPr="00EC00FA">
              <w:rPr>
                <w:b/>
              </w:rPr>
              <w:t xml:space="preserve">does not result </w:t>
            </w:r>
            <w:r w:rsidRPr="00B1609A">
              <w:t xml:space="preserve">in the occurrence of a Credit Event Determination Date prior to the </w:t>
            </w:r>
            <w:r w:rsidRPr="00792D61">
              <w:rPr>
                <w:b/>
              </w:rPr>
              <w:t>[</w:t>
            </w:r>
            <w:r w:rsidRPr="00B1609A">
              <w:t>relevant</w:t>
            </w:r>
            <w:r w:rsidRPr="00792D61">
              <w:rPr>
                <w:b/>
              </w:rPr>
              <w:t>]</w:t>
            </w:r>
            <w:r w:rsidRPr="00B1609A">
              <w:t xml:space="preserve"> Interest Payment Date </w:t>
            </w:r>
            <w:r w:rsidRPr="00792D61">
              <w:rPr>
                <w:b/>
              </w:rPr>
              <w:t>[</w:t>
            </w:r>
            <w:r w:rsidRPr="00803F9D">
              <w:rPr>
                <w:b/>
                <w:i/>
              </w:rPr>
              <w:t xml:space="preserve">if (i) </w:t>
            </w:r>
            <w:r>
              <w:rPr>
                <w:b/>
                <w:i/>
              </w:rPr>
              <w:t>"</w:t>
            </w:r>
            <w:r w:rsidRPr="00803F9D">
              <w:rPr>
                <w:b/>
                <w:i/>
              </w:rPr>
              <w:t>Failure to Pay</w:t>
            </w:r>
            <w:r>
              <w:rPr>
                <w:b/>
                <w:i/>
              </w:rPr>
              <w:t>"</w:t>
            </w:r>
            <w:r w:rsidRPr="00803F9D">
              <w:rPr>
                <w:b/>
                <w:i/>
              </w:rPr>
              <w:t xml:space="preserve"> and </w:t>
            </w:r>
            <w:r>
              <w:rPr>
                <w:b/>
                <w:i/>
              </w:rPr>
              <w:t>"</w:t>
            </w:r>
            <w:r w:rsidRPr="00803F9D">
              <w:rPr>
                <w:b/>
                <w:i/>
              </w:rPr>
              <w:t>Grace Period Extension</w:t>
            </w:r>
            <w:r>
              <w:rPr>
                <w:b/>
                <w:i/>
              </w:rPr>
              <w:t>"</w:t>
            </w:r>
            <w:r w:rsidRPr="00803F9D">
              <w:rPr>
                <w:b/>
                <w:i/>
              </w:rPr>
              <w:t xml:space="preserve"> and/or (ii) </w:t>
            </w:r>
            <w:r>
              <w:rPr>
                <w:b/>
                <w:i/>
              </w:rPr>
              <w:t>"</w:t>
            </w:r>
            <w:r w:rsidRPr="00803F9D">
              <w:rPr>
                <w:b/>
                <w:i/>
              </w:rPr>
              <w:t>Repudiation/Moratorium is applicable, insert:</w:t>
            </w:r>
            <w:r w:rsidRPr="00B1609A">
              <w:t xml:space="preserve"> or, if later, the Extension Date relating to </w:t>
            </w:r>
            <w:r w:rsidRPr="00792D61">
              <w:rPr>
                <w:b/>
              </w:rPr>
              <w:t>[</w:t>
            </w:r>
            <w:r w:rsidRPr="00B1609A">
              <w:t>such Potential Failure to Pay</w:t>
            </w:r>
            <w:r w:rsidRPr="00792D61">
              <w:rPr>
                <w:b/>
              </w:rPr>
              <w:t>][</w:t>
            </w:r>
            <w:r w:rsidRPr="00B1609A">
              <w:t>or</w:t>
            </w:r>
            <w:r w:rsidRPr="00792D61">
              <w:rPr>
                <w:b/>
              </w:rPr>
              <w:t>][</w:t>
            </w:r>
            <w:r w:rsidRPr="00B1609A">
              <w:t>such Potential Repudiation/Moratorium</w:t>
            </w:r>
            <w:r w:rsidRPr="00792D61">
              <w:rPr>
                <w:b/>
              </w:rPr>
              <w:t>]]</w:t>
            </w:r>
            <w:r w:rsidRPr="00B1609A">
              <w:t xml:space="preserve">, as determined on or prior to the last day of such Potential Credit Event Period, instead of paying the </w:t>
            </w:r>
            <w:r w:rsidRPr="00792D61">
              <w:rPr>
                <w:b/>
              </w:rPr>
              <w:t>[</w:t>
            </w:r>
            <w:r w:rsidRPr="00B1609A">
              <w:t>relevant</w:t>
            </w:r>
            <w:r w:rsidRPr="00792D61">
              <w:rPr>
                <w:b/>
              </w:rPr>
              <w:t>]</w:t>
            </w:r>
            <w:r w:rsidRPr="00B1609A">
              <w:t xml:space="preserve"> Interest Payment Amount on </w:t>
            </w:r>
            <w:r w:rsidRPr="00792D61">
              <w:rPr>
                <w:b/>
              </w:rPr>
              <w:t>[</w:t>
            </w:r>
            <w:r w:rsidRPr="00B1609A">
              <w:t>the</w:t>
            </w:r>
            <w:r w:rsidRPr="00792D61">
              <w:rPr>
                <w:b/>
              </w:rPr>
              <w:t>][</w:t>
            </w:r>
            <w:r w:rsidRPr="00B1609A">
              <w:t>such</w:t>
            </w:r>
            <w:r w:rsidRPr="00792D61">
              <w:rPr>
                <w:b/>
              </w:rPr>
              <w:t>]</w:t>
            </w:r>
            <w:r w:rsidRPr="00B1609A">
              <w:t xml:space="preserve"> Interest Payment Date, the Issuer shall pay the </w:t>
            </w:r>
            <w:r w:rsidRPr="00792D61">
              <w:rPr>
                <w:b/>
              </w:rPr>
              <w:t>[</w:t>
            </w:r>
            <w:r w:rsidRPr="00B1609A">
              <w:t>relevant</w:t>
            </w:r>
            <w:r w:rsidRPr="00792D61">
              <w:rPr>
                <w:b/>
              </w:rPr>
              <w:t>]</w:t>
            </w:r>
            <w:r w:rsidRPr="00B1609A">
              <w:t xml:space="preserve"> Interest Payment Amount per Complex Product on the </w:t>
            </w:r>
            <w:r w:rsidRPr="00792D61">
              <w:rPr>
                <w:b/>
              </w:rPr>
              <w:t>[</w:t>
            </w:r>
            <w:r w:rsidRPr="00B1609A">
              <w:t>fifth</w:t>
            </w:r>
            <w:r w:rsidRPr="00792D61">
              <w:rPr>
                <w:b/>
              </w:rPr>
              <w:t>][[</w:t>
            </w:r>
            <w:r w:rsidRPr="00B1609A">
              <w:rPr>
                <w:rFonts w:ascii="Arial" w:hAnsi="Arial" w:cs="Arial"/>
              </w:rPr>
              <w:t>●</w:t>
            </w:r>
            <w:r w:rsidRPr="00792D61">
              <w:rPr>
                <w:b/>
              </w:rPr>
              <w:t>]]</w:t>
            </w:r>
            <w:r w:rsidRPr="00B1609A">
              <w:t xml:space="preserve"> Business Day following the last day of such Potential Credit Event Period to the Holder thereof</w:t>
            </w:r>
            <w:r w:rsidRPr="00792D61">
              <w:rPr>
                <w:b/>
              </w:rPr>
              <w:t>[</w:t>
            </w:r>
            <w:r w:rsidRPr="00B1609A">
              <w:t>.</w:t>
            </w:r>
            <w:r w:rsidRPr="00792D61">
              <w:rPr>
                <w:b/>
              </w:rPr>
              <w:t>][</w:t>
            </w:r>
            <w:r w:rsidRPr="00803F9D">
              <w:rPr>
                <w:b/>
                <w:i/>
              </w:rPr>
              <w:t>if applicable, insert:</w:t>
            </w:r>
            <w:r w:rsidRPr="00B1609A">
              <w:t xml:space="preserve"> ;</w:t>
            </w:r>
          </w:p>
        </w:tc>
        <w:tc>
          <w:tcPr>
            <w:tcW w:w="1618" w:type="dxa"/>
            <w:gridSpan w:val="2"/>
            <w:tcBorders>
              <w:top w:val="nil"/>
              <w:bottom w:val="nil"/>
              <w:right w:val="nil"/>
            </w:tcBorders>
            <w:shd w:val="clear" w:color="auto" w:fill="auto"/>
          </w:tcPr>
          <w:p w:rsidR="0017135D" w:rsidRPr="00B1609A" w:rsidP="00803F9D">
            <w:pPr>
              <w:pStyle w:val="CSManNum8pt"/>
            </w:pPr>
          </w:p>
        </w:tc>
        <w:tc>
          <w:tcPr>
            <w:tcW w:w="3318" w:type="dxa"/>
            <w:gridSpan w:val="10"/>
            <w:tcBorders>
              <w:top w:val="nil"/>
              <w:left w:val="nil"/>
              <w:bottom w:val="nil"/>
              <w:right w:val="nil"/>
            </w:tcBorders>
            <w:shd w:val="clear" w:color="auto" w:fill="auto"/>
          </w:tcPr>
          <w:p w:rsidR="0017135D" w:rsidRPr="00EB1652" w:rsidP="00EB1652">
            <w:pPr>
              <w:pStyle w:val="CSManNum8pt"/>
              <w:rPr>
                <w:lang w:val="de-DE"/>
              </w:rPr>
            </w:pPr>
            <w:r w:rsidRPr="00EB1652">
              <w:rPr>
                <w:lang w:val="de-DE"/>
              </w:rPr>
              <w:t>(ii)</w:t>
            </w:r>
            <w:r w:rsidRPr="00EB1652">
              <w:rPr>
                <w:lang w:val="de-DE"/>
              </w:rPr>
              <w:tab/>
              <w:t xml:space="preserve">falls die jeweilige Potenzielle Nichtzahlung </w:t>
            </w:r>
            <w:r w:rsidRPr="00EB1652">
              <w:rPr>
                <w:b/>
                <w:lang w:val="de-DE"/>
              </w:rPr>
              <w:t>[</w:t>
            </w:r>
            <w:r w:rsidRPr="00EB1652">
              <w:rPr>
                <w:b/>
                <w:i/>
                <w:lang w:val="de-DE"/>
              </w:rPr>
              <w:t>falls "Nichtanerkennung/Moratorium" anwendbar ist, einfügen:</w:t>
            </w:r>
            <w:r w:rsidRPr="00EB1652">
              <w:rPr>
                <w:lang w:val="de-DE"/>
              </w:rPr>
              <w:t xml:space="preserve"> oder die jeweilige Potenzielle Nichtanerkennung/ das jeweilige Potenzielle Moratorium</w:t>
            </w:r>
            <w:r w:rsidRPr="00EB1652">
              <w:rPr>
                <w:b/>
                <w:lang w:val="de-DE"/>
              </w:rPr>
              <w:t>]</w:t>
            </w:r>
            <w:r w:rsidRPr="00EB1652">
              <w:rPr>
                <w:lang w:val="de-DE"/>
              </w:rPr>
              <w:t xml:space="preserve"> oder ein Ausstehender Antrag </w:t>
            </w:r>
            <w:r w:rsidRPr="00EB1652">
              <w:rPr>
                <w:b/>
                <w:lang w:val="de-DE"/>
              </w:rPr>
              <w:t>nicht</w:t>
            </w:r>
            <w:r w:rsidRPr="00EB1652">
              <w:rPr>
                <w:lang w:val="de-DE"/>
              </w:rPr>
              <w:t xml:space="preserve"> zu einem Kreditereignis-Feststellungstag vor dem </w:t>
            </w:r>
            <w:r w:rsidRPr="00EB1652">
              <w:rPr>
                <w:b/>
                <w:lang w:val="de-DE"/>
              </w:rPr>
              <w:t>[</w:t>
            </w:r>
            <w:r w:rsidRPr="00EB1652">
              <w:rPr>
                <w:lang w:val="de-DE"/>
              </w:rPr>
              <w:t>jeweiligen</w:t>
            </w:r>
            <w:r w:rsidRPr="00EB1652">
              <w:rPr>
                <w:b/>
                <w:lang w:val="de-DE"/>
              </w:rPr>
              <w:t>]</w:t>
            </w:r>
            <w:r w:rsidRPr="00EB1652">
              <w:rPr>
                <w:lang w:val="de-DE"/>
              </w:rPr>
              <w:t xml:space="preserve"> Zinszahlungstag </w:t>
            </w:r>
            <w:r w:rsidRPr="00EB1652">
              <w:rPr>
                <w:b/>
                <w:lang w:val="de-DE"/>
              </w:rPr>
              <w:t>[</w:t>
            </w:r>
            <w:r w:rsidRPr="00EB1652">
              <w:rPr>
                <w:b/>
                <w:i/>
                <w:lang w:val="de-DE"/>
              </w:rPr>
              <w:t>falls (i) "Nichtzahlung" und "Verlängerung wegen Nachfrist" und/oder (ii) "Nichtanerkennung/Moratorium" anwendbar sind, einfügen:</w:t>
            </w:r>
            <w:r w:rsidRPr="00EB1652">
              <w:rPr>
                <w:lang w:val="de-DE"/>
              </w:rPr>
              <w:t xml:space="preserve"> oder, falls später, dem Verlängerungstag bezüglich </w:t>
            </w:r>
            <w:r w:rsidRPr="00EB1652">
              <w:rPr>
                <w:b/>
                <w:lang w:val="de-DE"/>
              </w:rPr>
              <w:t>[</w:t>
            </w:r>
            <w:r w:rsidRPr="00EB1652">
              <w:rPr>
                <w:lang w:val="de-DE"/>
              </w:rPr>
              <w:t>dieser Potenziellen Nichtzahlung</w:t>
            </w:r>
            <w:r w:rsidRPr="00EB1652">
              <w:rPr>
                <w:b/>
                <w:lang w:val="de-DE"/>
              </w:rPr>
              <w:t>][</w:t>
            </w:r>
            <w:r w:rsidRPr="00EB1652">
              <w:rPr>
                <w:lang w:val="de-DE"/>
              </w:rPr>
              <w:t>oder</w:t>
            </w:r>
            <w:r w:rsidRPr="00EB1652">
              <w:rPr>
                <w:b/>
                <w:lang w:val="de-DE"/>
              </w:rPr>
              <w:t>][</w:t>
            </w:r>
            <w:r w:rsidRPr="00EB1652">
              <w:rPr>
                <w:lang w:val="de-DE"/>
              </w:rPr>
              <w:t>dieser Potenziellen Nichtanerkennung/dieses Potenziellen Moratoriums</w:t>
            </w:r>
            <w:r w:rsidRPr="00EB1652">
              <w:rPr>
                <w:b/>
                <w:lang w:val="de-DE"/>
              </w:rPr>
              <w:t>]]</w:t>
            </w:r>
            <w:r w:rsidRPr="00BD6E0D" w:rsidR="00117C26">
              <w:rPr>
                <w:lang w:val="de-DE"/>
              </w:rPr>
              <w:t xml:space="preserve"> führt</w:t>
            </w:r>
            <w:r w:rsidRPr="00EB1652">
              <w:rPr>
                <w:lang w:val="de-DE"/>
              </w:rPr>
              <w:t xml:space="preserve">, wie an oder vor dem letzten Tag dieses Zeitraums eines Potenziellen Kreditereignisses festgestellt, zahlt die Emittentin den </w:t>
            </w:r>
            <w:r w:rsidRPr="00EB1652">
              <w:rPr>
                <w:b/>
                <w:lang w:val="de-DE"/>
              </w:rPr>
              <w:t>[</w:t>
            </w:r>
            <w:r w:rsidRPr="00EB1652">
              <w:rPr>
                <w:lang w:val="de-DE"/>
              </w:rPr>
              <w:t>jeweiligen</w:t>
            </w:r>
            <w:r w:rsidRPr="00EB1652">
              <w:rPr>
                <w:b/>
                <w:lang w:val="de-DE"/>
              </w:rPr>
              <w:t>]</w:t>
            </w:r>
            <w:r w:rsidRPr="00EB1652">
              <w:rPr>
                <w:lang w:val="de-DE"/>
              </w:rPr>
              <w:t xml:space="preserve"> Zinszahlungsbetrag pro Komplexes Produkt anstatt am </w:t>
            </w:r>
            <w:r w:rsidRPr="00EB1652">
              <w:rPr>
                <w:b/>
                <w:lang w:val="de-DE"/>
              </w:rPr>
              <w:t>[</w:t>
            </w:r>
            <w:r w:rsidRPr="00EB1652">
              <w:rPr>
                <w:lang w:val="de-DE"/>
              </w:rPr>
              <w:t>jeweiligen</w:t>
            </w:r>
            <w:r w:rsidRPr="00EB1652">
              <w:rPr>
                <w:b/>
                <w:lang w:val="de-DE"/>
              </w:rPr>
              <w:t>]</w:t>
            </w:r>
            <w:r w:rsidRPr="00EB1652">
              <w:rPr>
                <w:lang w:val="de-DE"/>
              </w:rPr>
              <w:t xml:space="preserve"> Zinszahlungstag an dem </w:t>
            </w:r>
            <w:r w:rsidRPr="00EB1652">
              <w:rPr>
                <w:b/>
                <w:lang w:val="de-DE"/>
              </w:rPr>
              <w:t>[</w:t>
            </w:r>
            <w:r w:rsidRPr="00EB1652">
              <w:rPr>
                <w:lang w:val="de-DE"/>
              </w:rPr>
              <w:t>fünften</w:t>
            </w:r>
            <w:r w:rsidRPr="00EB1652">
              <w:rPr>
                <w:b/>
                <w:lang w:val="de-DE"/>
              </w:rPr>
              <w:t>][[</w:t>
            </w:r>
            <w:r w:rsidRPr="00EB1652">
              <w:rPr>
                <w:lang w:val="de-DE"/>
              </w:rPr>
              <w:t>•</w:t>
            </w:r>
            <w:r w:rsidRPr="00EB1652">
              <w:rPr>
                <w:b/>
                <w:lang w:val="de-DE"/>
              </w:rPr>
              <w:t>]]</w:t>
            </w:r>
            <w:r w:rsidRPr="00EB1652">
              <w:rPr>
                <w:lang w:val="de-DE"/>
              </w:rPr>
              <w:t xml:space="preserve"> Geschäftstag nach dem letzten Tag dieses Zeitraums eines Potenziellen Kreditereignisses an den jeweiligen Inhaber</w:t>
            </w:r>
            <w:r w:rsidRPr="00EB1652">
              <w:rPr>
                <w:b/>
                <w:lang w:val="de-DE"/>
              </w:rPr>
              <w:t>[</w:t>
            </w:r>
            <w:r w:rsidRPr="00EB1652">
              <w:rPr>
                <w:lang w:val="de-DE"/>
              </w:rPr>
              <w:t>.</w:t>
            </w:r>
            <w:r w:rsidRPr="00EB1652">
              <w:rPr>
                <w:b/>
                <w:lang w:val="de-DE"/>
              </w:rPr>
              <w:t>][</w:t>
            </w:r>
            <w:r w:rsidRPr="00EB1652">
              <w:rPr>
                <w:b/>
                <w:i/>
                <w:lang w:val="de-DE"/>
              </w:rPr>
              <w:t>einfügen falls anwendbar:</w:t>
            </w:r>
            <w:r w:rsidRPr="00EB1652">
              <w:rPr>
                <w:lang w:val="de-DE"/>
              </w:rPr>
              <w:t xml:space="preserve">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1609A" w:rsidP="00803F9D">
            <w:pPr>
              <w:pStyle w:val="CSManNum8pt"/>
              <w:rPr>
                <w:lang w:val="de-DE"/>
              </w:rPr>
            </w:pPr>
          </w:p>
        </w:tc>
        <w:tc>
          <w:tcPr>
            <w:tcW w:w="3315" w:type="dxa"/>
            <w:gridSpan w:val="7"/>
            <w:tcBorders>
              <w:top w:val="nil"/>
              <w:left w:val="nil"/>
              <w:bottom w:val="nil"/>
            </w:tcBorders>
            <w:shd w:val="clear" w:color="auto" w:fill="auto"/>
          </w:tcPr>
          <w:p w:rsidR="0017135D" w:rsidRPr="00DE5C77" w:rsidP="00803F9D">
            <w:pPr>
              <w:pStyle w:val="CSManNum8pt"/>
            </w:pPr>
            <w:r w:rsidRPr="00BD6E0D">
              <w:rPr>
                <w:lang w:val="de-DE"/>
              </w:rPr>
              <w:tab/>
            </w:r>
            <w:r w:rsidRPr="00DE5C77">
              <w:t xml:space="preserve">provided, however, that the Issuer may elect in its discretion to pay the </w:t>
            </w:r>
            <w:r w:rsidRPr="00792D61">
              <w:rPr>
                <w:b/>
              </w:rPr>
              <w:t>[</w:t>
            </w:r>
            <w:r w:rsidRPr="00DE5C77">
              <w:t>relevant</w:t>
            </w:r>
            <w:r w:rsidRPr="00792D61">
              <w:rPr>
                <w:b/>
              </w:rPr>
              <w:t>]</w:t>
            </w:r>
            <w:r w:rsidRPr="00DE5C77">
              <w:t xml:space="preserve"> Interest Payment Amount per Complex Product at any time during such Potential Credit Event Period to the Holder thereof, so long as the relevant Potential Failure to Pay </w:t>
            </w:r>
            <w:r w:rsidRPr="00792D61">
              <w:rPr>
                <w:b/>
              </w:rPr>
              <w:t>[</w:t>
            </w:r>
            <w:r w:rsidRPr="00803F9D">
              <w:rPr>
                <w:b/>
                <w:i/>
              </w:rPr>
              <w:t>if "Repudiation/Moratorium" is applicable, insert:</w:t>
            </w:r>
            <w:r w:rsidRPr="00DE5C77">
              <w:t xml:space="preserve"> , Potential Repudiation/Moratorium</w:t>
            </w:r>
            <w:r w:rsidRPr="00792D61">
              <w:rPr>
                <w:b/>
              </w:rPr>
              <w:t>]</w:t>
            </w:r>
            <w:r w:rsidRPr="00DE5C77">
              <w:t xml:space="preserve"> or DC Pending Request, as the case may be, has not resulted in the occurrence of a Credit Event Determination Date as of the date of such payment.</w:t>
            </w:r>
            <w:r w:rsidRPr="00792D61">
              <w:rPr>
                <w:b/>
              </w:rPr>
              <w:t>]</w:t>
            </w:r>
            <w:r w:rsidRPr="00DE5C77">
              <w:t xml:space="preserve"> For any postponement of the payment of an Interest Payment Amount no default interest or other compensation payments shall be payable to the Holders.</w:t>
            </w:r>
            <w:r w:rsidRPr="00792D61">
              <w:rPr>
                <w:b/>
              </w:rPr>
              <w:t>]</w:t>
            </w:r>
          </w:p>
        </w:tc>
        <w:tc>
          <w:tcPr>
            <w:tcW w:w="1618" w:type="dxa"/>
            <w:gridSpan w:val="2"/>
            <w:tcBorders>
              <w:top w:val="nil"/>
              <w:bottom w:val="nil"/>
              <w:right w:val="nil"/>
            </w:tcBorders>
            <w:shd w:val="clear" w:color="auto" w:fill="auto"/>
          </w:tcPr>
          <w:p w:rsidR="0017135D" w:rsidRPr="00DE5C77" w:rsidP="00803F9D">
            <w:pPr>
              <w:pStyle w:val="CSManNum8pt"/>
            </w:pPr>
          </w:p>
        </w:tc>
        <w:tc>
          <w:tcPr>
            <w:tcW w:w="3318" w:type="dxa"/>
            <w:gridSpan w:val="10"/>
            <w:tcBorders>
              <w:top w:val="nil"/>
              <w:left w:val="nil"/>
              <w:bottom w:val="nil"/>
              <w:right w:val="nil"/>
            </w:tcBorders>
            <w:shd w:val="clear" w:color="auto" w:fill="auto"/>
          </w:tcPr>
          <w:p w:rsidR="0017135D" w:rsidRPr="00DE5C77" w:rsidP="003B2F7F">
            <w:pPr>
              <w:pStyle w:val="CSManNum8pt"/>
              <w:rPr>
                <w:lang w:val="de-DE"/>
              </w:rPr>
            </w:pPr>
            <w:r w:rsidRPr="00DE5C77">
              <w:tab/>
            </w:r>
            <w:r w:rsidRPr="00DE5C77">
              <w:rPr>
                <w:lang w:val="de-DE"/>
              </w:rPr>
              <w:t xml:space="preserve">wobei jedoch die Emittentin nach ihrem Ermessen den </w:t>
            </w:r>
            <w:r w:rsidRPr="00792D61">
              <w:rPr>
                <w:b/>
                <w:lang w:val="de-DE"/>
              </w:rPr>
              <w:t>[</w:t>
            </w:r>
            <w:r w:rsidRPr="00DE5C77">
              <w:rPr>
                <w:lang w:val="de-DE"/>
              </w:rPr>
              <w:t>jeweiligen</w:t>
            </w:r>
            <w:r w:rsidRPr="00792D61">
              <w:rPr>
                <w:b/>
                <w:lang w:val="de-DE"/>
              </w:rPr>
              <w:t>]</w:t>
            </w:r>
            <w:r w:rsidRPr="00DE5C77">
              <w:rPr>
                <w:lang w:val="de-DE"/>
              </w:rPr>
              <w:t xml:space="preserve"> Zinszahlungsbetrag pro Komplexes Produkt zu jedem Zeitpunkt eines solchen Zeitraums eines Potenziellen Kreditereignisses an den jeweiligen Inhaber zahlen kann, solange zum Zeitpunkt der Zahlung die jeweilige Potenzielle Nichtzahlung </w:t>
            </w:r>
            <w:r w:rsidRPr="00792D61">
              <w:rPr>
                <w:b/>
                <w:lang w:val="de-DE"/>
              </w:rPr>
              <w:t>[</w:t>
            </w:r>
            <w:r w:rsidRPr="00803F9D">
              <w:rPr>
                <w:b/>
                <w:i/>
                <w:lang w:val="de-DE"/>
              </w:rPr>
              <w:t>falls "Nichtanerkennung/Moratorium" anwendbar ist, einfügen:</w:t>
            </w:r>
            <w:r w:rsidRPr="00DE5C77">
              <w:rPr>
                <w:lang w:val="de-DE"/>
              </w:rPr>
              <w:t xml:space="preserve"> oder die jeweilige Potenzielle Nichtanerkennung / das jeweilige Potenzielle Moratorium</w:t>
            </w:r>
            <w:r w:rsidRPr="00792D61">
              <w:rPr>
                <w:b/>
                <w:lang w:val="de-DE"/>
              </w:rPr>
              <w:t>]</w:t>
            </w:r>
            <w:r w:rsidRPr="00DE5C77">
              <w:rPr>
                <w:lang w:val="de-DE"/>
              </w:rPr>
              <w:t xml:space="preserve"> oder ein Ausstehender Antrag nicht zu einem Kreditereignis-Feststellungstag geführt hat.</w:t>
            </w:r>
            <w:r w:rsidRPr="00792D61">
              <w:rPr>
                <w:b/>
                <w:lang w:val="de-DE"/>
              </w:rPr>
              <w:t>]</w:t>
            </w:r>
            <w:r w:rsidRPr="00DE5C77">
              <w:rPr>
                <w:lang w:val="de-DE"/>
              </w:rPr>
              <w:t xml:space="preserve"> Für jede Verschiebung der Zahlung eines Zinszahlungsbetrags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E5C77" w:rsidP="00803F9D">
            <w:pPr>
              <w:pStyle w:val="CSBody8ptbolditalics"/>
              <w:rPr>
                <w:lang w:val="de-DE"/>
              </w:rPr>
            </w:pPr>
          </w:p>
        </w:tc>
        <w:tc>
          <w:tcPr>
            <w:tcW w:w="3315" w:type="dxa"/>
            <w:gridSpan w:val="7"/>
            <w:tcBorders>
              <w:top w:val="nil"/>
              <w:left w:val="nil"/>
              <w:bottom w:val="nil"/>
            </w:tcBorders>
            <w:shd w:val="clear" w:color="auto" w:fill="auto"/>
          </w:tcPr>
          <w:p w:rsidR="0017135D" w:rsidRPr="005405E7" w:rsidP="00803F9D">
            <w:pPr>
              <w:pStyle w:val="CSBody8ptbolditalics"/>
            </w:pPr>
            <w:r w:rsidRPr="00792D61">
              <w:t>[</w:t>
            </w:r>
            <w:r w:rsidRPr="005405E7">
              <w:t>in the case of Credit-Linked Complex Products with auction settlement and an N</w:t>
            </w:r>
            <w:r w:rsidRPr="00BD6E0D">
              <w:rPr>
                <w:vertAlign w:val="superscript"/>
              </w:rPr>
              <w:t>th</w:t>
            </w:r>
            <w:r w:rsidRPr="005405E7">
              <w:t>-to-Default structure, insert:</w:t>
            </w:r>
          </w:p>
        </w:tc>
        <w:tc>
          <w:tcPr>
            <w:tcW w:w="1618" w:type="dxa"/>
            <w:gridSpan w:val="2"/>
            <w:tcBorders>
              <w:top w:val="nil"/>
              <w:bottom w:val="nil"/>
              <w:right w:val="nil"/>
            </w:tcBorders>
            <w:shd w:val="clear" w:color="auto" w:fill="auto"/>
          </w:tcPr>
          <w:p w:rsidR="0017135D" w:rsidRPr="00DE5C77" w:rsidP="00803F9D">
            <w:pPr>
              <w:pStyle w:val="CSBody8ptbolditalics"/>
            </w:pPr>
          </w:p>
        </w:tc>
        <w:tc>
          <w:tcPr>
            <w:tcW w:w="3318" w:type="dxa"/>
            <w:gridSpan w:val="10"/>
            <w:tcBorders>
              <w:top w:val="nil"/>
              <w:left w:val="nil"/>
              <w:bottom w:val="nil"/>
              <w:right w:val="nil"/>
            </w:tcBorders>
            <w:shd w:val="clear" w:color="auto" w:fill="auto"/>
          </w:tcPr>
          <w:p w:rsidR="0017135D" w:rsidRPr="00DE5C77" w:rsidP="00803F9D">
            <w:pPr>
              <w:pStyle w:val="CSBody8ptbolditalics"/>
              <w:rPr>
                <w:lang w:val="de-DE"/>
              </w:rPr>
            </w:pPr>
            <w:r w:rsidRPr="00792D61">
              <w:rPr>
                <w:lang w:val="de-DE"/>
              </w:rPr>
              <w:t>[</w:t>
            </w:r>
            <w:r w:rsidRPr="00DE5C77">
              <w:rPr>
                <w:lang w:val="de-DE"/>
              </w:rPr>
              <w:t>bei Kreditbezogenen Komplexen Produkten mit Auktionsabwicklung und einer N</w:t>
            </w:r>
            <w:r w:rsidRPr="00BD6E0D">
              <w:rPr>
                <w:vertAlign w:val="superscript"/>
                <w:lang w:val="de-DE"/>
              </w:rPr>
              <w:t>th</w:t>
            </w:r>
            <w:r w:rsidRPr="00DE5C77">
              <w:rPr>
                <w:lang w:val="de-DE"/>
              </w:rPr>
              <w:t>-to-Default-Struktur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E5C77" w:rsidP="00803F9D">
            <w:pPr>
              <w:pStyle w:val="CSBody8pt"/>
              <w:rPr>
                <w:lang w:val="de-DE"/>
              </w:rPr>
            </w:pPr>
          </w:p>
        </w:tc>
        <w:tc>
          <w:tcPr>
            <w:tcW w:w="3315" w:type="dxa"/>
            <w:gridSpan w:val="7"/>
            <w:tcBorders>
              <w:top w:val="nil"/>
              <w:left w:val="nil"/>
              <w:bottom w:val="nil"/>
            </w:tcBorders>
            <w:shd w:val="clear" w:color="auto" w:fill="auto"/>
          </w:tcPr>
          <w:p w:rsidR="0017135D" w:rsidP="00803F9D">
            <w:pPr>
              <w:pStyle w:val="CSBody8pt"/>
            </w:pPr>
            <w:r w:rsidRPr="005405E7">
              <w:t xml:space="preserve">Notwithstanding the immediately preceding paragraph, if a Potential Credit Event Period with respect to one or more Reference Entities has occurred prior to, and is continuing on </w:t>
            </w:r>
            <w:r w:rsidRPr="00792D61">
              <w:rPr>
                <w:b/>
              </w:rPr>
              <w:t>[</w:t>
            </w:r>
            <w:r w:rsidRPr="005405E7">
              <w:t>the</w:t>
            </w:r>
            <w:r w:rsidRPr="00792D61">
              <w:rPr>
                <w:b/>
              </w:rPr>
              <w:t>][</w:t>
            </w:r>
            <w:r w:rsidRPr="005405E7">
              <w:t>such</w:t>
            </w:r>
            <w:r w:rsidRPr="00792D61">
              <w:rPr>
                <w:b/>
              </w:rPr>
              <w:t>]</w:t>
            </w:r>
            <w:r w:rsidRPr="005405E7">
              <w:t xml:space="preserve"> Interest Payment Date, and each such Reference Entity is a Potential </w:t>
            </w:r>
            <w:r w:rsidRPr="00792D61">
              <w:rPr>
                <w:b/>
              </w:rPr>
              <w:t>[</w:t>
            </w:r>
            <w:r w:rsidRPr="00803F9D">
              <w:rPr>
                <w:b/>
                <w:i/>
              </w:rPr>
              <w:t>insert relevant number:</w:t>
            </w:r>
            <w:r w:rsidRPr="005405E7">
              <w:t xml:space="preserve"> </w:t>
            </w:r>
            <w:r w:rsidRPr="00792D61">
              <w:rPr>
                <w:b/>
              </w:rPr>
              <w:t>[</w:t>
            </w:r>
            <w:r w:rsidRPr="005405E7">
              <w:t>1st</w:t>
            </w:r>
            <w:r w:rsidRPr="00792D61">
              <w:rPr>
                <w:b/>
              </w:rPr>
              <w:t>][</w:t>
            </w:r>
            <w:r w:rsidRPr="005405E7">
              <w:t>2nd</w:t>
            </w:r>
            <w:r w:rsidRPr="00792D61">
              <w:rPr>
                <w:b/>
              </w:rPr>
              <w:t>][</w:t>
            </w:r>
            <w:r w:rsidRPr="005405E7">
              <w:t>3rd</w:t>
            </w:r>
            <w:r w:rsidRPr="00792D61">
              <w:rPr>
                <w:b/>
              </w:rPr>
              <w:t>]</w:t>
            </w:r>
            <w:r w:rsidRPr="005405E7">
              <w:t xml:space="preserve"> </w:t>
            </w:r>
            <w:r w:rsidRPr="00792D61">
              <w:rPr>
                <w:b/>
              </w:rPr>
              <w:t>[[</w:t>
            </w:r>
            <w:r w:rsidRPr="005405E7">
              <w:rPr>
                <w:rFonts w:ascii="Arial" w:hAnsi="Arial" w:cs="Arial"/>
              </w:rPr>
              <w:t>●</w:t>
            </w:r>
            <w:r w:rsidRPr="00792D61">
              <w:rPr>
                <w:b/>
              </w:rPr>
              <w:t>]]]</w:t>
            </w:r>
            <w:r w:rsidRPr="005405E7">
              <w:t>-to-Default Reference Entity, the following shall apply:</w:t>
            </w:r>
          </w:p>
        </w:tc>
        <w:tc>
          <w:tcPr>
            <w:tcW w:w="1618" w:type="dxa"/>
            <w:gridSpan w:val="2"/>
            <w:tcBorders>
              <w:top w:val="nil"/>
              <w:bottom w:val="nil"/>
              <w:right w:val="nil"/>
            </w:tcBorders>
            <w:shd w:val="clear" w:color="auto" w:fill="auto"/>
          </w:tcPr>
          <w:p w:rsidR="0017135D" w:rsidRPr="00DE5C77" w:rsidP="00803F9D">
            <w:pPr>
              <w:pStyle w:val="CSBody8pt"/>
            </w:pPr>
          </w:p>
        </w:tc>
        <w:tc>
          <w:tcPr>
            <w:tcW w:w="3318" w:type="dxa"/>
            <w:gridSpan w:val="10"/>
            <w:tcBorders>
              <w:top w:val="nil"/>
              <w:left w:val="nil"/>
              <w:bottom w:val="nil"/>
              <w:right w:val="nil"/>
            </w:tcBorders>
            <w:shd w:val="clear" w:color="auto" w:fill="auto"/>
          </w:tcPr>
          <w:p w:rsidR="0017135D" w:rsidRPr="00DE5C77" w:rsidP="00803F9D">
            <w:pPr>
              <w:pStyle w:val="CSBody8pt"/>
              <w:rPr>
                <w:lang w:val="de-DE"/>
              </w:rPr>
            </w:pPr>
            <w:r w:rsidRPr="00DE5C77">
              <w:rPr>
                <w:lang w:val="de-DE"/>
              </w:rPr>
              <w:t xml:space="preserve">Ungeachtet des unmittelbar vorangehenden Absatzes gilt im Fall, dass ein Zeitraum eines Potenziellen Kreditereignisses bezüglich eines oder mehrerer der Referenzschuldner vor </w:t>
            </w:r>
            <w:r w:rsidRPr="00792D61">
              <w:rPr>
                <w:b/>
                <w:lang w:val="de-DE"/>
              </w:rPr>
              <w:t>[</w:t>
            </w:r>
            <w:r w:rsidRPr="00DE5C77">
              <w:rPr>
                <w:lang w:val="de-DE"/>
              </w:rPr>
              <w:t>dem</w:t>
            </w:r>
            <w:r w:rsidRPr="00792D61">
              <w:rPr>
                <w:b/>
                <w:lang w:val="de-DE"/>
              </w:rPr>
              <w:t>][</w:t>
            </w:r>
            <w:r w:rsidRPr="00DE5C77">
              <w:rPr>
                <w:lang w:val="de-DE"/>
              </w:rPr>
              <w:t>dem jeweiligen</w:t>
            </w:r>
            <w:r w:rsidRPr="00792D61">
              <w:rPr>
                <w:b/>
                <w:lang w:val="de-DE"/>
              </w:rPr>
              <w:t>]</w:t>
            </w:r>
            <w:r w:rsidRPr="00DE5C77">
              <w:rPr>
                <w:lang w:val="de-DE"/>
              </w:rPr>
              <w:t xml:space="preserve"> Zinszahlungstag begonnen hat und an diesem Zinszahlungstag andauert und jeder dieser Referenzschuldner ein Potenzieller </w:t>
            </w:r>
            <w:r w:rsidRPr="00792D61">
              <w:rPr>
                <w:b/>
                <w:lang w:val="de-DE"/>
              </w:rPr>
              <w:t>[</w:t>
            </w:r>
            <w:r w:rsidRPr="00803F9D">
              <w:rPr>
                <w:b/>
                <w:i/>
                <w:lang w:val="de-DE"/>
              </w:rPr>
              <w:t>jeweilige Zahl einfügen:</w:t>
            </w:r>
            <w:r w:rsidRPr="00DE5C77">
              <w:rPr>
                <w:lang w:val="de-DE"/>
              </w:rPr>
              <w:t xml:space="preserve"> </w:t>
            </w:r>
            <w:r w:rsidRPr="00792D61">
              <w:rPr>
                <w:b/>
                <w:lang w:val="de-DE"/>
              </w:rPr>
              <w:t>[</w:t>
            </w:r>
            <w:r w:rsidRPr="00DE5C77">
              <w:rPr>
                <w:lang w:val="de-DE"/>
              </w:rPr>
              <w:t>1st</w:t>
            </w:r>
            <w:r w:rsidRPr="00792D61">
              <w:rPr>
                <w:b/>
                <w:lang w:val="de-DE"/>
              </w:rPr>
              <w:t>][</w:t>
            </w:r>
            <w:r w:rsidRPr="00DE5C77">
              <w:rPr>
                <w:lang w:val="de-DE"/>
              </w:rPr>
              <w:t>2nd</w:t>
            </w:r>
            <w:r w:rsidRPr="00792D61">
              <w:rPr>
                <w:b/>
                <w:lang w:val="de-DE"/>
              </w:rPr>
              <w:t>][</w:t>
            </w:r>
            <w:r w:rsidRPr="00DE5C77">
              <w:rPr>
                <w:lang w:val="de-DE"/>
              </w:rPr>
              <w:t>3rd</w:t>
            </w:r>
            <w:r w:rsidRPr="00792D61">
              <w:rPr>
                <w:b/>
                <w:lang w:val="de-DE"/>
              </w:rPr>
              <w:t>]</w:t>
            </w:r>
            <w:r w:rsidRPr="00DE5C77">
              <w:rPr>
                <w:lang w:val="de-DE"/>
              </w:rPr>
              <w:t xml:space="preserve"> </w:t>
            </w:r>
            <w:r w:rsidRPr="00792D61">
              <w:rPr>
                <w:b/>
                <w:lang w:val="de-DE"/>
              </w:rPr>
              <w:t>[[</w:t>
            </w:r>
            <w:r w:rsidRPr="00DE5C77">
              <w:rPr>
                <w:rFonts w:ascii="Arial" w:hAnsi="Arial" w:cs="Arial"/>
                <w:lang w:val="de-DE"/>
              </w:rPr>
              <w:t>●</w:t>
            </w:r>
            <w:r w:rsidRPr="00792D61">
              <w:rPr>
                <w:b/>
                <w:lang w:val="de-DE"/>
              </w:rPr>
              <w:t>]]]</w:t>
            </w:r>
            <w:r w:rsidRPr="00DE5C77">
              <w:rPr>
                <w:lang w:val="de-DE"/>
              </w:rPr>
              <w:t xml:space="preserve">-to-Default-Referenzschuldner ist, folgendes: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E5C77" w:rsidP="00803F9D">
            <w:pPr>
              <w:pStyle w:val="CSManNum8pt"/>
              <w:rPr>
                <w:lang w:val="de-DE"/>
              </w:rPr>
            </w:pPr>
          </w:p>
        </w:tc>
        <w:tc>
          <w:tcPr>
            <w:tcW w:w="3315" w:type="dxa"/>
            <w:gridSpan w:val="7"/>
            <w:tcBorders>
              <w:top w:val="nil"/>
              <w:left w:val="nil"/>
              <w:bottom w:val="nil"/>
            </w:tcBorders>
            <w:shd w:val="clear" w:color="auto" w:fill="auto"/>
          </w:tcPr>
          <w:p w:rsidR="0017135D" w:rsidRPr="00DE5C77" w:rsidP="00803F9D">
            <w:pPr>
              <w:pStyle w:val="CSManNum8pt"/>
            </w:pPr>
            <w:r w:rsidRPr="00DE5C77">
              <w:t>(i)</w:t>
            </w:r>
            <w:r w:rsidRPr="00DE5C77">
              <w:tab/>
              <w:t xml:space="preserve">if the relevant Potential Failure to Pay </w:t>
            </w:r>
            <w:r w:rsidRPr="00792D61">
              <w:rPr>
                <w:b/>
              </w:rPr>
              <w:t>[</w:t>
            </w:r>
            <w:r w:rsidRPr="00803F9D">
              <w:rPr>
                <w:b/>
                <w:i/>
              </w:rPr>
              <w:t>if "Repudiation/Moratorium" is applicable, insert:</w:t>
            </w:r>
            <w:r w:rsidRPr="00DE5C77">
              <w:t xml:space="preserve"> , Potential Repudiation/Moratorium</w:t>
            </w:r>
            <w:r w:rsidRPr="00792D61">
              <w:rPr>
                <w:b/>
              </w:rPr>
              <w:t>]</w:t>
            </w:r>
            <w:r w:rsidRPr="00DE5C77">
              <w:t xml:space="preserve"> or DC Pending Request, as the case may be, </w:t>
            </w:r>
            <w:r w:rsidRPr="00EC00FA">
              <w:rPr>
                <w:b/>
              </w:rPr>
              <w:t>results</w:t>
            </w:r>
            <w:r w:rsidRPr="00DE5C77">
              <w:t xml:space="preserve"> in the occurrence of a Credit Event Determination Date with respect to any such Potential </w:t>
            </w:r>
            <w:r w:rsidRPr="00792D61">
              <w:rPr>
                <w:b/>
              </w:rPr>
              <w:t>[</w:t>
            </w:r>
            <w:r w:rsidRPr="00803F9D">
              <w:rPr>
                <w:b/>
                <w:i/>
              </w:rPr>
              <w:t>insert relevant number:</w:t>
            </w:r>
            <w:r w:rsidRPr="00DE5C77">
              <w:t xml:space="preserve"> </w:t>
            </w:r>
            <w:r w:rsidRPr="00792D61">
              <w:rPr>
                <w:b/>
              </w:rPr>
              <w:t>[</w:t>
            </w:r>
            <w:r w:rsidRPr="00DE5C77">
              <w:t>1st</w:t>
            </w:r>
            <w:r w:rsidRPr="00792D61">
              <w:rPr>
                <w:b/>
              </w:rPr>
              <w:t>][</w:t>
            </w:r>
            <w:r w:rsidRPr="00DE5C77">
              <w:t>2nd</w:t>
            </w:r>
            <w:r w:rsidRPr="00792D61">
              <w:rPr>
                <w:b/>
              </w:rPr>
              <w:t>][</w:t>
            </w:r>
            <w:r w:rsidRPr="00DE5C77">
              <w:t>3rd</w:t>
            </w:r>
            <w:r w:rsidRPr="00792D61">
              <w:rPr>
                <w:b/>
              </w:rPr>
              <w:t>][[</w:t>
            </w:r>
            <w:r w:rsidRPr="00DE5C77">
              <w:rPr>
                <w:rFonts w:ascii="Arial" w:hAnsi="Arial" w:cs="Arial"/>
              </w:rPr>
              <w:t>●</w:t>
            </w:r>
            <w:r w:rsidRPr="00792D61">
              <w:rPr>
                <w:b/>
              </w:rPr>
              <w:t>]]]</w:t>
            </w:r>
            <w:r w:rsidRPr="00DE5C77">
              <w:t xml:space="preserve">-to-Default Reference Entity prior to the </w:t>
            </w:r>
            <w:r w:rsidRPr="00792D61">
              <w:rPr>
                <w:b/>
              </w:rPr>
              <w:t>[</w:t>
            </w:r>
            <w:r w:rsidRPr="00DE5C77">
              <w:t>relevant</w:t>
            </w:r>
            <w:r w:rsidRPr="00792D61">
              <w:rPr>
                <w:b/>
              </w:rPr>
              <w:t>]</w:t>
            </w:r>
            <w:r w:rsidRPr="00DE5C77">
              <w:t xml:space="preserve"> Interest Payment Date </w:t>
            </w:r>
            <w:r w:rsidRPr="00792D61">
              <w:rPr>
                <w:b/>
              </w:rPr>
              <w:t>[</w:t>
            </w:r>
            <w:r w:rsidRPr="00803F9D">
              <w:rPr>
                <w:b/>
                <w:i/>
              </w:rPr>
              <w:t xml:space="preserve">if (i) </w:t>
            </w:r>
            <w:r>
              <w:rPr>
                <w:b/>
                <w:i/>
              </w:rPr>
              <w:t>"</w:t>
            </w:r>
            <w:r w:rsidRPr="00803F9D">
              <w:rPr>
                <w:b/>
                <w:i/>
              </w:rPr>
              <w:t>Failure to Pay</w:t>
            </w:r>
            <w:r>
              <w:rPr>
                <w:b/>
                <w:i/>
              </w:rPr>
              <w:t>"</w:t>
            </w:r>
            <w:r w:rsidRPr="00803F9D">
              <w:rPr>
                <w:b/>
                <w:i/>
              </w:rPr>
              <w:t xml:space="preserve"> and </w:t>
            </w:r>
            <w:r>
              <w:rPr>
                <w:b/>
                <w:i/>
              </w:rPr>
              <w:t>"</w:t>
            </w:r>
            <w:r w:rsidRPr="00803F9D">
              <w:rPr>
                <w:b/>
                <w:i/>
              </w:rPr>
              <w:t>Grace Period Extension</w:t>
            </w:r>
            <w:r>
              <w:rPr>
                <w:b/>
                <w:i/>
              </w:rPr>
              <w:t>"</w:t>
            </w:r>
            <w:r w:rsidRPr="00803F9D">
              <w:rPr>
                <w:b/>
                <w:i/>
              </w:rPr>
              <w:t xml:space="preserve"> and/or (ii) </w:t>
            </w:r>
            <w:r>
              <w:rPr>
                <w:b/>
                <w:i/>
              </w:rPr>
              <w:t>"</w:t>
            </w:r>
            <w:r w:rsidRPr="00803F9D">
              <w:rPr>
                <w:b/>
                <w:i/>
              </w:rPr>
              <w:t>Repudiation/Moratorium is applicable, insert:</w:t>
            </w:r>
            <w:r w:rsidRPr="00DE5C77">
              <w:t xml:space="preserve"> or, if later, the Extension Date relating to </w:t>
            </w:r>
            <w:r w:rsidRPr="00792D61">
              <w:rPr>
                <w:b/>
              </w:rPr>
              <w:t>[</w:t>
            </w:r>
            <w:r w:rsidRPr="00DE5C77">
              <w:t>such Potential Failure to Pay</w:t>
            </w:r>
            <w:r w:rsidRPr="00792D61">
              <w:rPr>
                <w:b/>
              </w:rPr>
              <w:t>][</w:t>
            </w:r>
            <w:r w:rsidRPr="00DE5C77">
              <w:t>or</w:t>
            </w:r>
            <w:r w:rsidRPr="00792D61">
              <w:rPr>
                <w:b/>
              </w:rPr>
              <w:t>][</w:t>
            </w:r>
            <w:r w:rsidRPr="00DE5C77">
              <w:t>such Potential Repudiation/Moratorium</w:t>
            </w:r>
            <w:r w:rsidRPr="00792D61">
              <w:rPr>
                <w:b/>
              </w:rPr>
              <w:t>]]</w:t>
            </w:r>
            <w:r w:rsidRPr="00DE5C77">
              <w:t xml:space="preserve"> and such Reference Entity is determined to be the </w:t>
            </w:r>
            <w:r w:rsidRPr="00792D61">
              <w:rPr>
                <w:b/>
              </w:rPr>
              <w:t>[</w:t>
            </w:r>
            <w:r w:rsidRPr="00803F9D">
              <w:rPr>
                <w:b/>
                <w:i/>
              </w:rPr>
              <w:t>insert relevant number:</w:t>
            </w:r>
            <w:r w:rsidRPr="00DE5C77">
              <w:t xml:space="preserve"> </w:t>
            </w:r>
            <w:r w:rsidRPr="00792D61">
              <w:rPr>
                <w:b/>
              </w:rPr>
              <w:t>[</w:t>
            </w:r>
            <w:r w:rsidRPr="00DE5C77">
              <w:t>1st</w:t>
            </w:r>
            <w:r w:rsidRPr="00792D61">
              <w:rPr>
                <w:b/>
              </w:rPr>
              <w:t>][</w:t>
            </w:r>
            <w:r w:rsidRPr="00DE5C77">
              <w:t>2nd</w:t>
            </w:r>
            <w:r w:rsidRPr="00792D61">
              <w:rPr>
                <w:b/>
              </w:rPr>
              <w:t>][</w:t>
            </w:r>
            <w:r w:rsidRPr="00DE5C77">
              <w:t>3rd</w:t>
            </w:r>
            <w:r w:rsidRPr="00792D61">
              <w:rPr>
                <w:b/>
              </w:rPr>
              <w:t>][[</w:t>
            </w:r>
            <w:r w:rsidRPr="00DE5C77">
              <w:rPr>
                <w:rFonts w:ascii="Arial" w:hAnsi="Arial" w:cs="Arial"/>
              </w:rPr>
              <w:t>●</w:t>
            </w:r>
            <w:r w:rsidRPr="00792D61">
              <w:rPr>
                <w:b/>
              </w:rPr>
              <w:t>]]]</w:t>
            </w:r>
            <w:r w:rsidRPr="00DE5C77">
              <w:t xml:space="preserve">-to-Default Reference Entity on or prior to the last day of the related Potential Credit Event Period, the Issuer shall not pay the </w:t>
            </w:r>
            <w:r w:rsidRPr="00792D61">
              <w:rPr>
                <w:b/>
              </w:rPr>
              <w:t>[</w:t>
            </w:r>
            <w:r w:rsidRPr="00DE5C77">
              <w:t>relevant</w:t>
            </w:r>
            <w:r w:rsidRPr="00792D61">
              <w:rPr>
                <w:b/>
              </w:rPr>
              <w:t>]</w:t>
            </w:r>
            <w:r w:rsidRPr="00DE5C77">
              <w:t xml:space="preserve"> Interest Payment Amount; or</w:t>
            </w:r>
          </w:p>
        </w:tc>
        <w:tc>
          <w:tcPr>
            <w:tcW w:w="1618" w:type="dxa"/>
            <w:gridSpan w:val="2"/>
            <w:tcBorders>
              <w:top w:val="nil"/>
              <w:bottom w:val="nil"/>
              <w:right w:val="nil"/>
            </w:tcBorders>
            <w:shd w:val="clear" w:color="auto" w:fill="auto"/>
          </w:tcPr>
          <w:p w:rsidR="0017135D" w:rsidRPr="00DE5C77" w:rsidP="00803F9D">
            <w:pPr>
              <w:pStyle w:val="CSManNum8pt"/>
            </w:pPr>
          </w:p>
        </w:tc>
        <w:tc>
          <w:tcPr>
            <w:tcW w:w="3318" w:type="dxa"/>
            <w:gridSpan w:val="10"/>
            <w:tcBorders>
              <w:top w:val="nil"/>
              <w:left w:val="nil"/>
              <w:bottom w:val="nil"/>
              <w:right w:val="nil"/>
            </w:tcBorders>
            <w:shd w:val="clear" w:color="auto" w:fill="auto"/>
          </w:tcPr>
          <w:p w:rsidR="0017135D" w:rsidRPr="00DE5C77" w:rsidP="00516CB4">
            <w:pPr>
              <w:pStyle w:val="CSManNum8pt"/>
              <w:rPr>
                <w:lang w:val="de-DE"/>
              </w:rPr>
            </w:pPr>
            <w:r w:rsidRPr="00DE5C77">
              <w:rPr>
                <w:lang w:val="de-DE"/>
              </w:rPr>
              <w:t>(i)</w:t>
            </w:r>
            <w:r w:rsidRPr="00DE5C77">
              <w:rPr>
                <w:lang w:val="de-DE"/>
              </w:rPr>
              <w:tab/>
              <w:t xml:space="preserve">falls die jeweilige Potenzielle Nichtzahlung </w:t>
            </w:r>
            <w:r w:rsidRPr="00792D61">
              <w:rPr>
                <w:b/>
                <w:lang w:val="de-DE"/>
              </w:rPr>
              <w:t>[</w:t>
            </w:r>
            <w:r w:rsidRPr="00803F9D">
              <w:rPr>
                <w:b/>
                <w:i/>
                <w:lang w:val="de-DE"/>
              </w:rPr>
              <w:t>falls "Nichtanerkenung/Moratorium" anwendbar ist, einfügen:</w:t>
            </w:r>
            <w:r w:rsidRPr="00DE5C77">
              <w:rPr>
                <w:lang w:val="de-DE"/>
              </w:rPr>
              <w:t xml:space="preserve"> oder die jeweilige Potenzielle Nichtanerkennung/ das jeweilige Potenzielle Moratorium</w:t>
            </w:r>
            <w:r w:rsidRPr="00792D61">
              <w:rPr>
                <w:b/>
                <w:lang w:val="de-DE"/>
              </w:rPr>
              <w:t>]</w:t>
            </w:r>
            <w:r w:rsidRPr="00DE5C77">
              <w:rPr>
                <w:lang w:val="de-DE"/>
              </w:rPr>
              <w:t xml:space="preserve"> oder ein Ausstehender Antrag zu einem Kreditereignis-Feststellungstag bezüglich irgend eines dieser Potenziellen </w:t>
            </w:r>
            <w:r w:rsidRPr="00792D61">
              <w:rPr>
                <w:b/>
                <w:lang w:val="de-DE"/>
              </w:rPr>
              <w:t>[</w:t>
            </w:r>
            <w:r w:rsidRPr="00803F9D">
              <w:rPr>
                <w:b/>
                <w:i/>
                <w:lang w:val="de-DE"/>
              </w:rPr>
              <w:t>jeweilige Zahl einfügen:</w:t>
            </w:r>
            <w:r w:rsidRPr="00DE5C77">
              <w:rPr>
                <w:lang w:val="de-DE"/>
              </w:rPr>
              <w:t xml:space="preserve"> </w:t>
            </w:r>
            <w:r w:rsidRPr="00792D61">
              <w:rPr>
                <w:b/>
                <w:lang w:val="de-DE"/>
              </w:rPr>
              <w:t>[</w:t>
            </w:r>
            <w:r w:rsidRPr="00DE5C77">
              <w:rPr>
                <w:lang w:val="de-DE"/>
              </w:rPr>
              <w:t>1st</w:t>
            </w:r>
            <w:r w:rsidRPr="00792D61">
              <w:rPr>
                <w:b/>
                <w:lang w:val="de-DE"/>
              </w:rPr>
              <w:t>][</w:t>
            </w:r>
            <w:r w:rsidRPr="00DE5C77">
              <w:rPr>
                <w:lang w:val="de-DE"/>
              </w:rPr>
              <w:t>2nd</w:t>
            </w:r>
            <w:r w:rsidRPr="00792D61">
              <w:rPr>
                <w:b/>
                <w:lang w:val="de-DE"/>
              </w:rPr>
              <w:t>][</w:t>
            </w:r>
            <w:r w:rsidRPr="00DE5C77">
              <w:rPr>
                <w:lang w:val="de-DE"/>
              </w:rPr>
              <w:t>3rd</w:t>
            </w:r>
            <w:r w:rsidRPr="00792D61">
              <w:rPr>
                <w:b/>
                <w:lang w:val="de-DE"/>
              </w:rPr>
              <w:t>]</w:t>
            </w:r>
            <w:r w:rsidRPr="00DE5C77">
              <w:rPr>
                <w:lang w:val="de-DE"/>
              </w:rPr>
              <w:t xml:space="preserve"> </w:t>
            </w:r>
            <w:r w:rsidRPr="00792D61">
              <w:rPr>
                <w:b/>
                <w:lang w:val="de-DE"/>
              </w:rPr>
              <w:t>[[</w:t>
            </w:r>
            <w:r w:rsidRPr="00DE5C77">
              <w:rPr>
                <w:rFonts w:ascii="Arial" w:hAnsi="Arial" w:cs="Arial"/>
                <w:lang w:val="de-DE"/>
              </w:rPr>
              <w:t>●</w:t>
            </w:r>
            <w:r w:rsidRPr="00792D61">
              <w:rPr>
                <w:b/>
                <w:lang w:val="de-DE"/>
              </w:rPr>
              <w:t>]]]</w:t>
            </w:r>
            <w:r w:rsidRPr="00DE5C77">
              <w:rPr>
                <w:lang w:val="de-DE"/>
              </w:rPr>
              <w:t xml:space="preserve">-to-Default-Referenzschuldner vor dem </w:t>
            </w:r>
            <w:r w:rsidRPr="00792D61">
              <w:rPr>
                <w:b/>
                <w:lang w:val="de-DE"/>
              </w:rPr>
              <w:t>[</w:t>
            </w:r>
            <w:r w:rsidRPr="00DE5C77">
              <w:rPr>
                <w:lang w:val="de-DE"/>
              </w:rPr>
              <w:t>jeweiligen</w:t>
            </w:r>
            <w:r w:rsidRPr="00792D61">
              <w:rPr>
                <w:b/>
                <w:lang w:val="de-DE"/>
              </w:rPr>
              <w:t>]</w:t>
            </w:r>
            <w:r w:rsidRPr="00DE5C77">
              <w:rPr>
                <w:lang w:val="de-DE"/>
              </w:rPr>
              <w:t xml:space="preserve"> Zinszahlungstag </w:t>
            </w:r>
            <w:r w:rsidRPr="00792D61">
              <w:rPr>
                <w:b/>
                <w:lang w:val="de-DE"/>
              </w:rPr>
              <w:t>[</w:t>
            </w:r>
            <w:r w:rsidRPr="00803F9D">
              <w:rPr>
                <w:b/>
                <w:i/>
                <w:lang w:val="de-DE"/>
              </w:rPr>
              <w:t>falls (i) "Nichtzahlung</w:t>
            </w:r>
            <w:r>
              <w:rPr>
                <w:rFonts w:cs="Credit Suisse Type Light"/>
                <w:b/>
                <w:i/>
                <w:lang w:val="de-DE"/>
              </w:rPr>
              <w:t>"</w:t>
            </w:r>
            <w:r w:rsidRPr="00803F9D">
              <w:rPr>
                <w:b/>
                <w:i/>
                <w:lang w:val="de-DE"/>
              </w:rPr>
              <w:t xml:space="preserve"> und "Verl</w:t>
            </w:r>
            <w:r w:rsidRPr="00803F9D">
              <w:rPr>
                <w:rFonts w:cs="Credit Suisse Type Light"/>
                <w:b/>
                <w:i/>
                <w:lang w:val="de-DE"/>
              </w:rPr>
              <w:t>ä</w:t>
            </w:r>
            <w:r w:rsidRPr="00803F9D">
              <w:rPr>
                <w:b/>
                <w:i/>
                <w:lang w:val="de-DE"/>
              </w:rPr>
              <w:t>ngerung wegen Nachfrist</w:t>
            </w:r>
            <w:r>
              <w:rPr>
                <w:rFonts w:cs="Credit Suisse Type Light"/>
                <w:b/>
                <w:i/>
                <w:lang w:val="de-DE"/>
              </w:rPr>
              <w:t>"</w:t>
            </w:r>
            <w:r w:rsidRPr="00803F9D">
              <w:rPr>
                <w:b/>
                <w:i/>
                <w:lang w:val="de-DE"/>
              </w:rPr>
              <w:t xml:space="preserve"> und/oder (ii) "Nichtanerkennung/Moratorium</w:t>
            </w:r>
            <w:r>
              <w:rPr>
                <w:b/>
                <w:i/>
                <w:lang w:val="de-DE"/>
              </w:rPr>
              <w:t>"</w:t>
            </w:r>
            <w:r w:rsidRPr="00803F9D">
              <w:rPr>
                <w:b/>
                <w:i/>
                <w:lang w:val="de-DE"/>
              </w:rPr>
              <w:t xml:space="preserve"> anwendbar sind, einfügen:</w:t>
            </w:r>
            <w:r w:rsidRPr="00DE5C77">
              <w:rPr>
                <w:lang w:val="de-DE"/>
              </w:rPr>
              <w:t xml:space="preserve"> oder, falls später, dem Verlängerungstag bezüglich </w:t>
            </w:r>
            <w:r w:rsidRPr="00792D61">
              <w:rPr>
                <w:b/>
                <w:lang w:val="de-DE"/>
              </w:rPr>
              <w:t>[</w:t>
            </w:r>
            <w:r w:rsidRPr="00DE5C77">
              <w:rPr>
                <w:lang w:val="de-DE"/>
              </w:rPr>
              <w:t>dieser Potenziellen Nichtzahlung</w:t>
            </w:r>
            <w:r w:rsidRPr="00792D61">
              <w:rPr>
                <w:b/>
                <w:lang w:val="de-DE"/>
              </w:rPr>
              <w:t>][</w:t>
            </w:r>
            <w:r w:rsidRPr="00DE5C77">
              <w:rPr>
                <w:lang w:val="de-DE"/>
              </w:rPr>
              <w:t>oder</w:t>
            </w:r>
            <w:r w:rsidRPr="00792D61">
              <w:rPr>
                <w:b/>
                <w:lang w:val="de-DE"/>
              </w:rPr>
              <w:t>][</w:t>
            </w:r>
            <w:r w:rsidRPr="00DE5C77">
              <w:rPr>
                <w:lang w:val="de-DE"/>
              </w:rPr>
              <w:t>dieser Potenziellen Nichtanerkennung/dieses Potenziellen Moratoriums</w:t>
            </w:r>
            <w:r w:rsidRPr="00792D61">
              <w:rPr>
                <w:b/>
                <w:lang w:val="de-DE"/>
              </w:rPr>
              <w:t>]]</w:t>
            </w:r>
            <w:r w:rsidRPr="00DE5C77">
              <w:rPr>
                <w:lang w:val="de-DE"/>
              </w:rPr>
              <w:t xml:space="preserve"> </w:t>
            </w:r>
            <w:r w:rsidRPr="00EC00FA">
              <w:rPr>
                <w:b/>
                <w:lang w:val="de-DE"/>
              </w:rPr>
              <w:t>führt</w:t>
            </w:r>
            <w:r w:rsidRPr="00DE5C77">
              <w:rPr>
                <w:lang w:val="de-DE"/>
              </w:rPr>
              <w:t xml:space="preserve"> und an oder vor dem letzten Tag des diesbezüglichen Zeitraums eines Potenziellen Kreditereignisses festgestellt wird, dass dieser Referenzschuldner der </w:t>
            </w:r>
            <w:r w:rsidRPr="00792D61">
              <w:rPr>
                <w:b/>
                <w:lang w:val="de-DE"/>
              </w:rPr>
              <w:t>[</w:t>
            </w:r>
            <w:r w:rsidRPr="00803F9D">
              <w:rPr>
                <w:b/>
                <w:i/>
                <w:lang w:val="de-DE"/>
              </w:rPr>
              <w:t>jeweilige Zahl einfügen:</w:t>
            </w:r>
            <w:r w:rsidRPr="00DE5C77">
              <w:rPr>
                <w:lang w:val="de-DE"/>
              </w:rPr>
              <w:t xml:space="preserve"> </w:t>
            </w:r>
            <w:r w:rsidRPr="00792D61">
              <w:rPr>
                <w:b/>
                <w:lang w:val="de-DE"/>
              </w:rPr>
              <w:t>[</w:t>
            </w:r>
            <w:r w:rsidRPr="00DE5C77">
              <w:rPr>
                <w:lang w:val="de-DE"/>
              </w:rPr>
              <w:t>1st</w:t>
            </w:r>
            <w:r w:rsidRPr="00792D61">
              <w:rPr>
                <w:b/>
                <w:lang w:val="de-DE"/>
              </w:rPr>
              <w:t>][</w:t>
            </w:r>
            <w:r w:rsidRPr="00DE5C77">
              <w:rPr>
                <w:lang w:val="de-DE"/>
              </w:rPr>
              <w:t>2nd</w:t>
            </w:r>
            <w:r w:rsidRPr="00792D61">
              <w:rPr>
                <w:b/>
                <w:lang w:val="de-DE"/>
              </w:rPr>
              <w:t>][</w:t>
            </w:r>
            <w:r w:rsidRPr="00DE5C77">
              <w:rPr>
                <w:lang w:val="de-DE"/>
              </w:rPr>
              <w:t>3rd</w:t>
            </w:r>
            <w:r w:rsidRPr="00792D61">
              <w:rPr>
                <w:b/>
                <w:lang w:val="de-DE"/>
              </w:rPr>
              <w:t>]</w:t>
            </w:r>
            <w:r w:rsidRPr="00DE5C77">
              <w:rPr>
                <w:lang w:val="de-DE"/>
              </w:rPr>
              <w:t xml:space="preserve"> </w:t>
            </w:r>
            <w:r w:rsidRPr="00792D61">
              <w:rPr>
                <w:b/>
                <w:lang w:val="de-DE"/>
              </w:rPr>
              <w:t>[[</w:t>
            </w:r>
            <w:r w:rsidRPr="00DE5C77">
              <w:rPr>
                <w:rFonts w:ascii="Arial" w:hAnsi="Arial" w:cs="Arial"/>
                <w:lang w:val="de-DE"/>
              </w:rPr>
              <w:t>●</w:t>
            </w:r>
            <w:r w:rsidRPr="00792D61">
              <w:rPr>
                <w:b/>
                <w:lang w:val="de-DE"/>
              </w:rPr>
              <w:t>]]]</w:t>
            </w:r>
            <w:r w:rsidRPr="00DE5C77">
              <w:rPr>
                <w:lang w:val="de-DE"/>
              </w:rPr>
              <w:t xml:space="preserve">-to-Default-Referenzschuldner ist, zahlt die Emittentin den </w:t>
            </w:r>
            <w:r w:rsidRPr="00792D61">
              <w:rPr>
                <w:b/>
                <w:lang w:val="de-DE"/>
              </w:rPr>
              <w:t>[</w:t>
            </w:r>
            <w:r w:rsidRPr="00DE5C77">
              <w:rPr>
                <w:lang w:val="de-DE"/>
              </w:rPr>
              <w:t>jeweiligen</w:t>
            </w:r>
            <w:r w:rsidRPr="00792D61">
              <w:rPr>
                <w:b/>
                <w:lang w:val="de-DE"/>
              </w:rPr>
              <w:t>]</w:t>
            </w:r>
            <w:r w:rsidRPr="00DE5C77">
              <w:rPr>
                <w:lang w:val="de-DE"/>
              </w:rPr>
              <w:t xml:space="preserve"> Zinszahlungsbetrag nicht;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E5C77" w:rsidP="00803F9D">
            <w:pPr>
              <w:pStyle w:val="CSManNum8pt"/>
              <w:rPr>
                <w:lang w:val="de-DE"/>
              </w:rPr>
            </w:pPr>
          </w:p>
        </w:tc>
        <w:tc>
          <w:tcPr>
            <w:tcW w:w="3315" w:type="dxa"/>
            <w:gridSpan w:val="7"/>
            <w:tcBorders>
              <w:top w:val="nil"/>
              <w:left w:val="nil"/>
              <w:bottom w:val="nil"/>
            </w:tcBorders>
            <w:shd w:val="clear" w:color="auto" w:fill="auto"/>
          </w:tcPr>
          <w:p w:rsidR="0017135D" w:rsidRPr="00164657" w:rsidP="00164657">
            <w:pPr>
              <w:pStyle w:val="CSManNum8pt"/>
            </w:pPr>
            <w:r w:rsidRPr="00164657">
              <w:t>(ii)</w:t>
            </w:r>
            <w:r w:rsidRPr="00164657">
              <w:tab/>
              <w:t xml:space="preserve">if the relevant Potential Failure to Pay </w:t>
            </w:r>
            <w:r w:rsidRPr="00164657">
              <w:rPr>
                <w:b/>
              </w:rPr>
              <w:t>[</w:t>
            </w:r>
            <w:r w:rsidRPr="00164657">
              <w:rPr>
                <w:b/>
                <w:i/>
              </w:rPr>
              <w:t>if "Repudiation/Moratorium" is applicable, insert:</w:t>
            </w:r>
            <w:r w:rsidRPr="00164657">
              <w:t xml:space="preserve"> , Potential Repudiation/Moratorium</w:t>
            </w:r>
            <w:r w:rsidRPr="00164657">
              <w:rPr>
                <w:b/>
              </w:rPr>
              <w:t>]</w:t>
            </w:r>
            <w:r w:rsidRPr="00164657">
              <w:t xml:space="preserve"> or DC Pending Request, as the case may be, </w:t>
            </w:r>
            <w:r w:rsidRPr="00164657">
              <w:rPr>
                <w:b/>
              </w:rPr>
              <w:t xml:space="preserve">does not result </w:t>
            </w:r>
            <w:r w:rsidRPr="00164657">
              <w:t xml:space="preserve">in the occurrence of a Credit Event Determination Date with respect to any such Potential </w:t>
            </w:r>
            <w:r w:rsidRPr="00164657">
              <w:rPr>
                <w:b/>
              </w:rPr>
              <w:t>[</w:t>
            </w:r>
            <w:r w:rsidRPr="00164657">
              <w:rPr>
                <w:b/>
                <w:i/>
              </w:rPr>
              <w:t>insert relevant number:</w:t>
            </w:r>
            <w:r w:rsidRPr="00164657">
              <w:t xml:space="preserve"> </w:t>
            </w:r>
            <w:r w:rsidRPr="00164657">
              <w:rPr>
                <w:b/>
              </w:rPr>
              <w:t>[</w:t>
            </w:r>
            <w:r w:rsidRPr="00164657">
              <w:t>1st</w:t>
            </w:r>
            <w:r w:rsidRPr="00164657">
              <w:rPr>
                <w:b/>
              </w:rPr>
              <w:t>][</w:t>
            </w:r>
            <w:r w:rsidRPr="00164657">
              <w:t>2nd</w:t>
            </w:r>
            <w:r w:rsidRPr="00164657">
              <w:rPr>
                <w:b/>
              </w:rPr>
              <w:t>][</w:t>
            </w:r>
            <w:r w:rsidRPr="00164657">
              <w:t>3rd</w:t>
            </w:r>
            <w:r w:rsidRPr="00164657">
              <w:rPr>
                <w:b/>
              </w:rPr>
              <w:t>][[</w:t>
            </w:r>
            <w:r w:rsidRPr="00164657">
              <w:rPr>
                <w:rFonts w:ascii="Arial" w:hAnsi="Arial" w:cs="Arial"/>
              </w:rPr>
              <w:t>●</w:t>
            </w:r>
            <w:r w:rsidRPr="00164657">
              <w:rPr>
                <w:b/>
              </w:rPr>
              <w:t>]]]</w:t>
            </w:r>
            <w:r w:rsidRPr="00164657">
              <w:t xml:space="preserve">-to-Default Reference Entity prior to the </w:t>
            </w:r>
            <w:r w:rsidRPr="00164657">
              <w:rPr>
                <w:b/>
              </w:rPr>
              <w:t>[</w:t>
            </w:r>
            <w:r w:rsidRPr="00164657">
              <w:t>relevant</w:t>
            </w:r>
            <w:r w:rsidRPr="00164657">
              <w:rPr>
                <w:b/>
              </w:rPr>
              <w:t>]</w:t>
            </w:r>
            <w:r w:rsidRPr="00164657">
              <w:t xml:space="preserve"> Interest Payment Date </w:t>
            </w:r>
            <w:r w:rsidRPr="00164657">
              <w:rPr>
                <w:b/>
              </w:rPr>
              <w:t>[</w:t>
            </w:r>
            <w:r w:rsidRPr="00164657">
              <w:rPr>
                <w:b/>
                <w:i/>
              </w:rPr>
              <w:t xml:space="preserve">if (i) </w:t>
            </w:r>
            <w:r w:rsidRPr="00164657">
              <w:rPr>
                <w:rFonts w:cs="Credit Suisse Type Light"/>
                <w:b/>
                <w:i/>
              </w:rPr>
              <w:t>"</w:t>
            </w:r>
            <w:r w:rsidRPr="00164657">
              <w:rPr>
                <w:b/>
                <w:i/>
              </w:rPr>
              <w:t>Failure to Pay</w:t>
            </w:r>
            <w:r w:rsidRPr="00164657">
              <w:rPr>
                <w:rFonts w:cs="Credit Suisse Type Light"/>
                <w:b/>
                <w:i/>
              </w:rPr>
              <w:t>"</w:t>
            </w:r>
            <w:r w:rsidRPr="00164657">
              <w:rPr>
                <w:b/>
                <w:i/>
              </w:rPr>
              <w:t xml:space="preserve"> and </w:t>
            </w:r>
            <w:r w:rsidRPr="00164657">
              <w:rPr>
                <w:rFonts w:cs="Credit Suisse Type Light"/>
                <w:b/>
                <w:i/>
              </w:rPr>
              <w:t>"</w:t>
            </w:r>
            <w:r w:rsidRPr="00164657">
              <w:rPr>
                <w:b/>
                <w:i/>
              </w:rPr>
              <w:t>Grace Period Extension</w:t>
            </w:r>
            <w:r w:rsidRPr="00164657">
              <w:rPr>
                <w:rFonts w:cs="Credit Suisse Type Light"/>
                <w:b/>
                <w:i/>
              </w:rPr>
              <w:t>"</w:t>
            </w:r>
            <w:r w:rsidRPr="00164657">
              <w:rPr>
                <w:b/>
                <w:i/>
              </w:rPr>
              <w:t xml:space="preserve"> and/or (ii) </w:t>
            </w:r>
            <w:r w:rsidRPr="00164657">
              <w:rPr>
                <w:rFonts w:cs="Credit Suisse Type Light"/>
                <w:b/>
                <w:i/>
              </w:rPr>
              <w:t>"</w:t>
            </w:r>
            <w:r w:rsidRPr="00164657">
              <w:rPr>
                <w:b/>
                <w:i/>
              </w:rPr>
              <w:t>Repudiation/Moratorium is applicable, insert:</w:t>
            </w:r>
            <w:r w:rsidRPr="00164657">
              <w:t xml:space="preserve"> or, if later, the Extension Date relating to </w:t>
            </w:r>
            <w:r w:rsidRPr="00164657">
              <w:rPr>
                <w:b/>
              </w:rPr>
              <w:t>[</w:t>
            </w:r>
            <w:r w:rsidRPr="00164657">
              <w:t>such Potential Failure to Pay</w:t>
            </w:r>
            <w:r w:rsidRPr="00164657">
              <w:rPr>
                <w:b/>
              </w:rPr>
              <w:t>][</w:t>
            </w:r>
            <w:r w:rsidRPr="00164657">
              <w:t>or</w:t>
            </w:r>
            <w:r w:rsidRPr="00164657">
              <w:rPr>
                <w:b/>
              </w:rPr>
              <w:t>][</w:t>
            </w:r>
            <w:r w:rsidRPr="00164657">
              <w:t>such Potential Repudiation/Moratorium</w:t>
            </w:r>
            <w:r w:rsidRPr="00164657">
              <w:rPr>
                <w:b/>
              </w:rPr>
              <w:t>]]</w:t>
            </w:r>
            <w:r w:rsidRPr="00164657">
              <w:t xml:space="preserve">  and no such Reference Entity is determined to be the </w:t>
            </w:r>
            <w:r w:rsidRPr="00164657">
              <w:rPr>
                <w:b/>
              </w:rPr>
              <w:t>[</w:t>
            </w:r>
            <w:r w:rsidRPr="00164657">
              <w:rPr>
                <w:b/>
                <w:i/>
              </w:rPr>
              <w:t>insert relevant number:</w:t>
            </w:r>
            <w:r w:rsidRPr="00164657">
              <w:t xml:space="preserve"> </w:t>
            </w:r>
            <w:r w:rsidRPr="00164657">
              <w:rPr>
                <w:b/>
              </w:rPr>
              <w:t>[</w:t>
            </w:r>
            <w:r w:rsidRPr="00164657">
              <w:t>1st</w:t>
            </w:r>
            <w:r w:rsidRPr="00164657">
              <w:rPr>
                <w:b/>
              </w:rPr>
              <w:t>][</w:t>
            </w:r>
            <w:r w:rsidRPr="00164657">
              <w:t>2nd</w:t>
            </w:r>
            <w:r w:rsidRPr="00164657">
              <w:rPr>
                <w:b/>
              </w:rPr>
              <w:t>][</w:t>
            </w:r>
            <w:r w:rsidRPr="00164657">
              <w:t>3rd</w:t>
            </w:r>
            <w:r w:rsidRPr="00164657">
              <w:rPr>
                <w:b/>
              </w:rPr>
              <w:t>][[</w:t>
            </w:r>
            <w:r w:rsidRPr="00164657">
              <w:rPr>
                <w:rFonts w:ascii="Arial" w:hAnsi="Arial" w:cs="Arial"/>
              </w:rPr>
              <w:t>●</w:t>
            </w:r>
            <w:r w:rsidRPr="00164657">
              <w:rPr>
                <w:b/>
              </w:rPr>
              <w:t>]]]</w:t>
            </w:r>
            <w:r w:rsidRPr="00164657">
              <w:t xml:space="preserve">-to-Default Reference Entity on or prior to the last day of the related Potential Credit Event Period, instead of paying the </w:t>
            </w:r>
            <w:r w:rsidRPr="00164657">
              <w:rPr>
                <w:b/>
              </w:rPr>
              <w:t>[</w:t>
            </w:r>
            <w:r w:rsidRPr="00164657">
              <w:t>relevant</w:t>
            </w:r>
            <w:r w:rsidRPr="00164657">
              <w:rPr>
                <w:b/>
              </w:rPr>
              <w:t>]</w:t>
            </w:r>
            <w:r w:rsidRPr="00164657">
              <w:t xml:space="preserve"> Interest Payment Amount on </w:t>
            </w:r>
            <w:r w:rsidRPr="00164657">
              <w:rPr>
                <w:b/>
              </w:rPr>
              <w:t>[</w:t>
            </w:r>
            <w:r w:rsidRPr="00164657">
              <w:t>the</w:t>
            </w:r>
            <w:r w:rsidRPr="00164657">
              <w:rPr>
                <w:b/>
              </w:rPr>
              <w:t>][</w:t>
            </w:r>
            <w:r w:rsidRPr="00164657">
              <w:t>such</w:t>
            </w:r>
            <w:r w:rsidRPr="00164657">
              <w:rPr>
                <w:b/>
              </w:rPr>
              <w:t>]</w:t>
            </w:r>
            <w:r w:rsidRPr="00164657">
              <w:t xml:space="preserve"> Interest Payment Date, the Issuer shall pay the </w:t>
            </w:r>
            <w:r w:rsidRPr="00164657">
              <w:rPr>
                <w:b/>
              </w:rPr>
              <w:t>[</w:t>
            </w:r>
            <w:r w:rsidRPr="00164657">
              <w:t>relevant</w:t>
            </w:r>
            <w:r w:rsidRPr="00164657">
              <w:rPr>
                <w:b/>
              </w:rPr>
              <w:t>]</w:t>
            </w:r>
            <w:r w:rsidRPr="00164657">
              <w:t xml:space="preserve"> Interest Payment Amount per Complex Product on the </w:t>
            </w:r>
            <w:r w:rsidRPr="00164657">
              <w:rPr>
                <w:b/>
              </w:rPr>
              <w:t>[</w:t>
            </w:r>
            <w:r w:rsidRPr="00164657">
              <w:t>fifth</w:t>
            </w:r>
            <w:r w:rsidRPr="00164657">
              <w:rPr>
                <w:b/>
              </w:rPr>
              <w:t>][[</w:t>
            </w:r>
            <w:r w:rsidRPr="00164657">
              <w:rPr>
                <w:rFonts w:ascii="Arial" w:hAnsi="Arial" w:cs="Arial"/>
              </w:rPr>
              <w:t>●</w:t>
            </w:r>
            <w:r w:rsidRPr="00164657">
              <w:rPr>
                <w:b/>
              </w:rPr>
              <w:t>]]</w:t>
            </w:r>
            <w:r w:rsidRPr="00164657">
              <w:t xml:space="preserve"> Business Day following the last day of the related Potential Credit Event Period to the Holder thereof</w:t>
            </w:r>
            <w:r w:rsidRPr="00164657">
              <w:rPr>
                <w:b/>
              </w:rPr>
              <w:t>[</w:t>
            </w:r>
            <w:r w:rsidRPr="00164657">
              <w:t>.</w:t>
            </w:r>
            <w:r w:rsidRPr="00164657">
              <w:rPr>
                <w:b/>
              </w:rPr>
              <w:t>][</w:t>
            </w:r>
            <w:r w:rsidRPr="00164657">
              <w:rPr>
                <w:b/>
                <w:i/>
              </w:rPr>
              <w:t>if applicable, insert:</w:t>
            </w:r>
            <w:r w:rsidRPr="00164657">
              <w:t xml:space="preserve"> ;</w:t>
            </w:r>
          </w:p>
        </w:tc>
        <w:tc>
          <w:tcPr>
            <w:tcW w:w="1618" w:type="dxa"/>
            <w:gridSpan w:val="2"/>
            <w:tcBorders>
              <w:top w:val="nil"/>
              <w:bottom w:val="nil"/>
              <w:right w:val="nil"/>
            </w:tcBorders>
            <w:shd w:val="clear" w:color="auto" w:fill="auto"/>
          </w:tcPr>
          <w:p w:rsidR="0017135D" w:rsidRPr="00164657" w:rsidP="00803F9D">
            <w:pPr>
              <w:pStyle w:val="CSManNum8pt"/>
            </w:pPr>
          </w:p>
        </w:tc>
        <w:tc>
          <w:tcPr>
            <w:tcW w:w="3318" w:type="dxa"/>
            <w:gridSpan w:val="10"/>
            <w:tcBorders>
              <w:top w:val="nil"/>
              <w:left w:val="nil"/>
              <w:bottom w:val="nil"/>
              <w:right w:val="nil"/>
            </w:tcBorders>
            <w:shd w:val="clear" w:color="auto" w:fill="auto"/>
          </w:tcPr>
          <w:p w:rsidR="0017135D" w:rsidRPr="003E3970" w:rsidP="00EC00FA">
            <w:pPr>
              <w:pStyle w:val="CSManNum8pt"/>
              <w:rPr>
                <w:lang w:val="de-DE"/>
              </w:rPr>
            </w:pPr>
            <w:r w:rsidRPr="00164657">
              <w:rPr>
                <w:lang w:val="de-DE"/>
              </w:rPr>
              <w:t>(ii)</w:t>
            </w:r>
            <w:r w:rsidRPr="00164657">
              <w:rPr>
                <w:lang w:val="de-DE"/>
              </w:rPr>
              <w:tab/>
              <w:t xml:space="preserve">falls die jeweilige Potenzielle Nichtzahlung </w:t>
            </w:r>
            <w:r w:rsidRPr="00164657">
              <w:rPr>
                <w:b/>
                <w:lang w:val="de-DE"/>
              </w:rPr>
              <w:t>[</w:t>
            </w:r>
            <w:r w:rsidRPr="00164657">
              <w:rPr>
                <w:b/>
                <w:i/>
                <w:lang w:val="de-DE"/>
              </w:rPr>
              <w:t>falls "Nichtanerkennung/Moratorium" anwendbar ist, einfügen:</w:t>
            </w:r>
            <w:r w:rsidRPr="00164657">
              <w:rPr>
                <w:lang w:val="de-DE"/>
              </w:rPr>
              <w:t xml:space="preserve"> oder die jeweilige Potenzielle Nichtanerkennung/ das jeweilige Potenzielle Moratorium</w:t>
            </w:r>
            <w:r w:rsidRPr="00164657">
              <w:rPr>
                <w:b/>
                <w:lang w:val="de-DE"/>
              </w:rPr>
              <w:t>]</w:t>
            </w:r>
            <w:r w:rsidRPr="00164657">
              <w:rPr>
                <w:lang w:val="de-DE"/>
              </w:rPr>
              <w:t xml:space="preserve"> oder ein Ausstehender Antrag </w:t>
            </w:r>
            <w:r w:rsidRPr="00164657">
              <w:rPr>
                <w:b/>
                <w:lang w:val="de-DE"/>
              </w:rPr>
              <w:t>nicht</w:t>
            </w:r>
            <w:r w:rsidRPr="00164657">
              <w:rPr>
                <w:lang w:val="de-DE"/>
              </w:rPr>
              <w:t xml:space="preserve"> zu einem Kreditereignis-Feststellungstag bezüglich irgend eines dieser Potenziellen </w:t>
            </w:r>
            <w:r w:rsidRPr="00164657">
              <w:rPr>
                <w:b/>
                <w:lang w:val="de-DE"/>
              </w:rPr>
              <w:t>[</w:t>
            </w:r>
            <w:r w:rsidRPr="00164657">
              <w:rPr>
                <w:b/>
                <w:i/>
                <w:lang w:val="de-DE"/>
              </w:rPr>
              <w:t>jeweilige Zahl einfügen:</w:t>
            </w:r>
            <w:r w:rsidRPr="00164657">
              <w:rPr>
                <w:lang w:val="de-DE"/>
              </w:rPr>
              <w:t xml:space="preserve"> </w:t>
            </w:r>
            <w:r w:rsidRPr="00164657">
              <w:rPr>
                <w:b/>
                <w:lang w:val="de-DE"/>
              </w:rPr>
              <w:t>[</w:t>
            </w:r>
            <w:r w:rsidRPr="00164657">
              <w:rPr>
                <w:lang w:val="de-DE"/>
              </w:rPr>
              <w:t>1st</w:t>
            </w:r>
            <w:r w:rsidRPr="00164657">
              <w:rPr>
                <w:b/>
                <w:lang w:val="de-DE"/>
              </w:rPr>
              <w:t>][</w:t>
            </w:r>
            <w:r w:rsidRPr="00164657">
              <w:rPr>
                <w:lang w:val="de-DE"/>
              </w:rPr>
              <w:t>2nd</w:t>
            </w:r>
            <w:r w:rsidRPr="00164657">
              <w:rPr>
                <w:b/>
                <w:lang w:val="de-DE"/>
              </w:rPr>
              <w:t>][</w:t>
            </w:r>
            <w:r w:rsidRPr="00164657">
              <w:rPr>
                <w:lang w:val="de-DE"/>
              </w:rPr>
              <w:t>3rd</w:t>
            </w:r>
            <w:r w:rsidRPr="00164657">
              <w:rPr>
                <w:b/>
                <w:lang w:val="de-DE"/>
              </w:rPr>
              <w:t>]</w:t>
            </w:r>
            <w:r w:rsidRPr="00164657">
              <w:rPr>
                <w:lang w:val="de-DE"/>
              </w:rPr>
              <w:t xml:space="preserve"> </w:t>
            </w:r>
            <w:r w:rsidRPr="00164657">
              <w:rPr>
                <w:b/>
                <w:lang w:val="de-DE"/>
              </w:rPr>
              <w:t>[[</w:t>
            </w:r>
            <w:r w:rsidRPr="00164657">
              <w:rPr>
                <w:rFonts w:ascii="Arial" w:hAnsi="Arial" w:cs="Arial"/>
                <w:lang w:val="de-DE"/>
              </w:rPr>
              <w:t>●</w:t>
            </w:r>
            <w:r w:rsidRPr="00164657">
              <w:rPr>
                <w:b/>
                <w:lang w:val="de-DE"/>
              </w:rPr>
              <w:t>]]]</w:t>
            </w:r>
            <w:r w:rsidRPr="00164657">
              <w:rPr>
                <w:lang w:val="de-DE"/>
              </w:rPr>
              <w:t xml:space="preserve">-to-Default-Referenzschuldner vor dem </w:t>
            </w:r>
            <w:r w:rsidRPr="00164657">
              <w:rPr>
                <w:b/>
                <w:lang w:val="de-DE"/>
              </w:rPr>
              <w:t>[</w:t>
            </w:r>
            <w:r w:rsidRPr="00164657">
              <w:rPr>
                <w:lang w:val="de-DE"/>
              </w:rPr>
              <w:t>jeweiligen</w:t>
            </w:r>
            <w:r w:rsidRPr="00164657">
              <w:rPr>
                <w:b/>
                <w:lang w:val="de-DE"/>
              </w:rPr>
              <w:t>]</w:t>
            </w:r>
            <w:r w:rsidRPr="00164657">
              <w:rPr>
                <w:lang w:val="de-DE"/>
              </w:rPr>
              <w:t xml:space="preserve"> Zinszahlungstag </w:t>
            </w:r>
            <w:r w:rsidRPr="00164657">
              <w:rPr>
                <w:b/>
                <w:lang w:val="de-DE"/>
              </w:rPr>
              <w:t>[</w:t>
            </w:r>
            <w:r w:rsidRPr="00164657">
              <w:rPr>
                <w:b/>
                <w:i/>
                <w:lang w:val="de-DE"/>
              </w:rPr>
              <w:t>falls (i) "Nichtzahlung</w:t>
            </w:r>
            <w:r w:rsidRPr="00164657">
              <w:rPr>
                <w:rFonts w:cs="Credit Suisse Type Light"/>
                <w:b/>
                <w:i/>
                <w:lang w:val="de-DE"/>
              </w:rPr>
              <w:t>"</w:t>
            </w:r>
            <w:r w:rsidRPr="00164657">
              <w:rPr>
                <w:b/>
                <w:i/>
                <w:lang w:val="de-DE"/>
              </w:rPr>
              <w:t xml:space="preserve"> und "Verl</w:t>
            </w:r>
            <w:r w:rsidRPr="00164657">
              <w:rPr>
                <w:rFonts w:cs="Credit Suisse Type Light"/>
                <w:b/>
                <w:i/>
                <w:lang w:val="de-DE"/>
              </w:rPr>
              <w:t>ä</w:t>
            </w:r>
            <w:r w:rsidRPr="00164657">
              <w:rPr>
                <w:b/>
                <w:i/>
                <w:lang w:val="de-DE"/>
              </w:rPr>
              <w:t>ngerung wegen Nachfrist</w:t>
            </w:r>
            <w:r w:rsidRPr="00164657">
              <w:rPr>
                <w:rFonts w:cs="Credit Suisse Type Light"/>
                <w:b/>
                <w:i/>
                <w:lang w:val="de-DE"/>
              </w:rPr>
              <w:t>"</w:t>
            </w:r>
            <w:r w:rsidRPr="00164657">
              <w:rPr>
                <w:b/>
                <w:i/>
                <w:lang w:val="de-DE"/>
              </w:rPr>
              <w:t xml:space="preserve"> und/oder (ii) "Nichtanerkennung/Moratorium</w:t>
            </w:r>
            <w:r w:rsidRPr="00164657">
              <w:rPr>
                <w:rFonts w:cs="Credit Suisse Type Light"/>
                <w:b/>
                <w:i/>
                <w:lang w:val="de-DE"/>
              </w:rPr>
              <w:t>"</w:t>
            </w:r>
            <w:r w:rsidRPr="00164657">
              <w:rPr>
                <w:b/>
                <w:i/>
                <w:lang w:val="de-DE"/>
              </w:rPr>
              <w:t xml:space="preserve"> anwendbar sind, einf</w:t>
            </w:r>
            <w:r w:rsidRPr="00164657">
              <w:rPr>
                <w:rFonts w:cs="Credit Suisse Type Light"/>
                <w:b/>
                <w:i/>
                <w:lang w:val="de-DE"/>
              </w:rPr>
              <w:t>ü</w:t>
            </w:r>
            <w:r w:rsidRPr="00164657">
              <w:rPr>
                <w:b/>
                <w:i/>
                <w:lang w:val="de-DE"/>
              </w:rPr>
              <w:t>gen:</w:t>
            </w:r>
            <w:r w:rsidRPr="00164657">
              <w:rPr>
                <w:lang w:val="de-DE"/>
              </w:rPr>
              <w:t xml:space="preserve"> oder, falls sp</w:t>
            </w:r>
            <w:r w:rsidRPr="00164657">
              <w:rPr>
                <w:rFonts w:cs="Credit Suisse Type Light"/>
                <w:lang w:val="de-DE"/>
              </w:rPr>
              <w:t>ä</w:t>
            </w:r>
            <w:r w:rsidRPr="00164657">
              <w:rPr>
                <w:lang w:val="de-DE"/>
              </w:rPr>
              <w:t>ter, dem Verl</w:t>
            </w:r>
            <w:r w:rsidRPr="00164657">
              <w:rPr>
                <w:rFonts w:cs="Credit Suisse Type Light"/>
                <w:lang w:val="de-DE"/>
              </w:rPr>
              <w:t>ä</w:t>
            </w:r>
            <w:r w:rsidRPr="00164657">
              <w:rPr>
                <w:lang w:val="de-DE"/>
              </w:rPr>
              <w:t xml:space="preserve">ngerungstag bezüglich </w:t>
            </w:r>
            <w:r w:rsidRPr="00164657">
              <w:rPr>
                <w:b/>
                <w:lang w:val="de-DE"/>
              </w:rPr>
              <w:t>[</w:t>
            </w:r>
            <w:r w:rsidRPr="00164657">
              <w:rPr>
                <w:lang w:val="de-DE"/>
              </w:rPr>
              <w:t>dieser Potenziellen Nichtzahlung</w:t>
            </w:r>
            <w:r w:rsidRPr="00164657">
              <w:rPr>
                <w:b/>
                <w:lang w:val="de-DE"/>
              </w:rPr>
              <w:t>][</w:t>
            </w:r>
            <w:r w:rsidRPr="00164657">
              <w:rPr>
                <w:lang w:val="de-DE"/>
              </w:rPr>
              <w:t>oder</w:t>
            </w:r>
            <w:r w:rsidRPr="00164657">
              <w:rPr>
                <w:b/>
                <w:lang w:val="de-DE"/>
              </w:rPr>
              <w:t>][</w:t>
            </w:r>
            <w:r w:rsidRPr="00164657">
              <w:rPr>
                <w:lang w:val="de-DE"/>
              </w:rPr>
              <w:t>dieser Potenziellen Nichtanerkennung/dieses Potenziellen Moratoriums</w:t>
            </w:r>
            <w:r w:rsidRPr="00164657">
              <w:rPr>
                <w:b/>
                <w:lang w:val="de-DE"/>
              </w:rPr>
              <w:t>]]</w:t>
            </w:r>
            <w:r w:rsidRPr="00164657">
              <w:rPr>
                <w:lang w:val="de-DE"/>
              </w:rPr>
              <w:t xml:space="preserve"> </w:t>
            </w:r>
            <w:r w:rsidRPr="00164657">
              <w:rPr>
                <w:b/>
                <w:lang w:val="de-DE"/>
              </w:rPr>
              <w:t>führt</w:t>
            </w:r>
            <w:r w:rsidRPr="00164657">
              <w:rPr>
                <w:lang w:val="de-DE"/>
              </w:rPr>
              <w:t xml:space="preserve"> und an oder vor dem letzten Tag des diesbezüglichen Zeitraums eines Potenziellen Kreditereignisses keiner dieser Referenzschuldner als </w:t>
            </w:r>
            <w:r w:rsidRPr="00164657">
              <w:rPr>
                <w:b/>
                <w:lang w:val="de-DE"/>
              </w:rPr>
              <w:t>[</w:t>
            </w:r>
            <w:r w:rsidRPr="00164657">
              <w:rPr>
                <w:b/>
                <w:i/>
                <w:lang w:val="de-DE"/>
              </w:rPr>
              <w:t>jeweilige Zahl einfügen:</w:t>
            </w:r>
            <w:r w:rsidRPr="00164657">
              <w:rPr>
                <w:lang w:val="de-DE"/>
              </w:rPr>
              <w:t xml:space="preserve"> </w:t>
            </w:r>
            <w:r w:rsidRPr="00164657">
              <w:rPr>
                <w:b/>
                <w:lang w:val="de-DE"/>
              </w:rPr>
              <w:t>[</w:t>
            </w:r>
            <w:r w:rsidRPr="00164657">
              <w:rPr>
                <w:lang w:val="de-DE"/>
              </w:rPr>
              <w:t>1st</w:t>
            </w:r>
            <w:r w:rsidRPr="00164657">
              <w:rPr>
                <w:b/>
                <w:lang w:val="de-DE"/>
              </w:rPr>
              <w:t>][</w:t>
            </w:r>
            <w:r w:rsidRPr="00164657">
              <w:rPr>
                <w:lang w:val="de-DE"/>
              </w:rPr>
              <w:t>2nd</w:t>
            </w:r>
            <w:r w:rsidRPr="00164657">
              <w:rPr>
                <w:b/>
                <w:lang w:val="de-DE"/>
              </w:rPr>
              <w:t>][</w:t>
            </w:r>
            <w:r w:rsidRPr="00164657">
              <w:rPr>
                <w:lang w:val="de-DE"/>
              </w:rPr>
              <w:t>3rd</w:t>
            </w:r>
            <w:r w:rsidRPr="00164657">
              <w:rPr>
                <w:b/>
                <w:lang w:val="de-DE"/>
              </w:rPr>
              <w:t>]</w:t>
            </w:r>
            <w:r w:rsidRPr="00164657">
              <w:rPr>
                <w:lang w:val="de-DE"/>
              </w:rPr>
              <w:t xml:space="preserve"> </w:t>
            </w:r>
            <w:r w:rsidRPr="00164657">
              <w:rPr>
                <w:b/>
                <w:lang w:val="de-DE"/>
              </w:rPr>
              <w:t>[[</w:t>
            </w:r>
            <w:r w:rsidRPr="00164657">
              <w:rPr>
                <w:rFonts w:ascii="Arial" w:hAnsi="Arial" w:cs="Arial"/>
                <w:lang w:val="de-DE"/>
              </w:rPr>
              <w:t>●</w:t>
            </w:r>
            <w:r w:rsidRPr="00164657">
              <w:rPr>
                <w:b/>
                <w:lang w:val="de-DE"/>
              </w:rPr>
              <w:t>]]]</w:t>
            </w:r>
            <w:r w:rsidRPr="00164657">
              <w:rPr>
                <w:lang w:val="de-DE"/>
              </w:rPr>
              <w:t xml:space="preserve">-to-Default-Referenzschuldner bestimmt wird, zahlt die Emittentin den </w:t>
            </w:r>
            <w:r w:rsidRPr="00164657">
              <w:rPr>
                <w:b/>
                <w:lang w:val="de-DE"/>
              </w:rPr>
              <w:t>[</w:t>
            </w:r>
            <w:r w:rsidRPr="00164657">
              <w:rPr>
                <w:lang w:val="de-DE"/>
              </w:rPr>
              <w:t>jeweiligen</w:t>
            </w:r>
            <w:r w:rsidRPr="00164657">
              <w:rPr>
                <w:b/>
                <w:lang w:val="de-DE"/>
              </w:rPr>
              <w:t>]</w:t>
            </w:r>
            <w:r w:rsidRPr="00164657">
              <w:rPr>
                <w:lang w:val="de-DE"/>
              </w:rPr>
              <w:t xml:space="preserve"> Zinszahlungsbetrag pro Komplexes Produkt anstatt am </w:t>
            </w:r>
            <w:r w:rsidRPr="00164657">
              <w:rPr>
                <w:b/>
                <w:lang w:val="de-DE"/>
              </w:rPr>
              <w:t>[</w:t>
            </w:r>
            <w:r w:rsidRPr="00164657">
              <w:rPr>
                <w:lang w:val="de-DE"/>
              </w:rPr>
              <w:t>jeweiligen</w:t>
            </w:r>
            <w:r w:rsidRPr="00164657">
              <w:rPr>
                <w:b/>
                <w:lang w:val="de-DE"/>
              </w:rPr>
              <w:t>]</w:t>
            </w:r>
            <w:r w:rsidRPr="00164657">
              <w:rPr>
                <w:lang w:val="de-DE"/>
              </w:rPr>
              <w:t xml:space="preserve"> Zinszahlungstag am </w:t>
            </w:r>
            <w:r w:rsidRPr="00164657">
              <w:rPr>
                <w:b/>
                <w:lang w:val="de-DE"/>
              </w:rPr>
              <w:t>[</w:t>
            </w:r>
            <w:r w:rsidRPr="00164657">
              <w:rPr>
                <w:lang w:val="de-DE"/>
              </w:rPr>
              <w:t>f</w:t>
            </w:r>
            <w:r w:rsidRPr="00164657">
              <w:rPr>
                <w:rFonts w:cs="Credit Suisse Type Light"/>
                <w:lang w:val="de-DE"/>
              </w:rPr>
              <w:t>ü</w:t>
            </w:r>
            <w:r w:rsidRPr="00164657">
              <w:rPr>
                <w:lang w:val="de-DE"/>
              </w:rPr>
              <w:t>nften</w:t>
            </w:r>
            <w:r w:rsidRPr="00164657">
              <w:rPr>
                <w:b/>
                <w:lang w:val="de-DE"/>
              </w:rPr>
              <w:t>][[</w:t>
            </w:r>
            <w:r w:rsidRPr="00164657">
              <w:rPr>
                <w:rFonts w:cs="Credit Suisse Type Light"/>
                <w:lang w:val="de-DE"/>
              </w:rPr>
              <w:t>•</w:t>
            </w:r>
            <w:r w:rsidRPr="00164657">
              <w:rPr>
                <w:b/>
                <w:lang w:val="de-DE"/>
              </w:rPr>
              <w:t>]]</w:t>
            </w:r>
            <w:r w:rsidRPr="00164657">
              <w:rPr>
                <w:lang w:val="de-DE"/>
              </w:rPr>
              <w:t xml:space="preserve"> Gesch</w:t>
            </w:r>
            <w:r w:rsidRPr="00164657">
              <w:rPr>
                <w:rFonts w:cs="Credit Suisse Type Light"/>
                <w:lang w:val="de-DE"/>
              </w:rPr>
              <w:t>ä</w:t>
            </w:r>
            <w:r w:rsidRPr="00164657">
              <w:rPr>
                <w:lang w:val="de-DE"/>
              </w:rPr>
              <w:t>ftstag nach dem letzten Tag des diesbezüglichen Zeitraums eines Potenziellen Kreditereignisses an den jeweiligen Inhaber</w:t>
            </w:r>
            <w:r w:rsidRPr="00164657">
              <w:rPr>
                <w:b/>
                <w:lang w:val="de-DE"/>
              </w:rPr>
              <w:t>[</w:t>
            </w:r>
            <w:r w:rsidRPr="00164657">
              <w:rPr>
                <w:lang w:val="de-DE"/>
              </w:rPr>
              <w:t>.</w:t>
            </w:r>
            <w:r w:rsidRPr="00164657">
              <w:rPr>
                <w:b/>
                <w:lang w:val="de-DE"/>
              </w:rPr>
              <w:t>][</w:t>
            </w:r>
            <w:r w:rsidRPr="00164657">
              <w:rPr>
                <w:b/>
                <w:i/>
                <w:lang w:val="de-DE"/>
              </w:rPr>
              <w:t>falls anwendbar, einfügen:</w:t>
            </w:r>
            <w:r w:rsidRPr="00164657">
              <w:rPr>
                <w:lang w:val="de-DE"/>
              </w:rPr>
              <w:t xml:space="preserve">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803F9D">
            <w:pPr>
              <w:pStyle w:val="CSManNum8pt"/>
              <w:rPr>
                <w:lang w:val="de-DE"/>
              </w:rPr>
            </w:pPr>
          </w:p>
        </w:tc>
        <w:tc>
          <w:tcPr>
            <w:tcW w:w="3315" w:type="dxa"/>
            <w:gridSpan w:val="7"/>
            <w:tcBorders>
              <w:top w:val="nil"/>
              <w:left w:val="nil"/>
              <w:bottom w:val="nil"/>
            </w:tcBorders>
            <w:shd w:val="clear" w:color="auto" w:fill="auto"/>
          </w:tcPr>
          <w:p w:rsidR="0017135D" w:rsidRPr="003E3970" w:rsidP="00803F9D">
            <w:pPr>
              <w:pStyle w:val="CSManNum8pt"/>
            </w:pPr>
            <w:r w:rsidRPr="00BD6E0D">
              <w:rPr>
                <w:lang w:val="de-DE"/>
              </w:rPr>
              <w:tab/>
            </w:r>
            <w:r w:rsidRPr="003E3970">
              <w:t xml:space="preserve">provided, however, that the Issuer may elect in its discretion to pay the </w:t>
            </w:r>
            <w:r w:rsidRPr="00792D61">
              <w:rPr>
                <w:b/>
              </w:rPr>
              <w:t>[</w:t>
            </w:r>
            <w:r w:rsidRPr="003E3970">
              <w:t>relevant</w:t>
            </w:r>
            <w:r w:rsidRPr="00792D61">
              <w:rPr>
                <w:b/>
              </w:rPr>
              <w:t>]</w:t>
            </w:r>
            <w:r w:rsidRPr="003E3970">
              <w:t xml:space="preserve"> Interest Payment Amount per Complex Product at any time during the related Potential Credit Event Period to the Holder thereof, so long as the relevant Potential Failure to Pay </w:t>
            </w:r>
            <w:r w:rsidRPr="00792D61">
              <w:rPr>
                <w:b/>
              </w:rPr>
              <w:t>[</w:t>
            </w:r>
            <w:r w:rsidRPr="00803F9D">
              <w:rPr>
                <w:b/>
                <w:i/>
              </w:rPr>
              <w:t>if "Repudiation/Moratorium" is applicable, insert:</w:t>
            </w:r>
            <w:r w:rsidRPr="003E3970">
              <w:t xml:space="preserve"> , Potential Repudiation/Moratorium</w:t>
            </w:r>
            <w:r w:rsidRPr="00792D61">
              <w:rPr>
                <w:b/>
              </w:rPr>
              <w:t>]</w:t>
            </w:r>
            <w:r w:rsidRPr="003E3970">
              <w:t xml:space="preserve"> or DC Pending Request, as the case may be, has not resulted in the occurrence of a Credit Event Determination Date with respect to any such Potential </w:t>
            </w:r>
            <w:r w:rsidRPr="00792D61">
              <w:rPr>
                <w:b/>
              </w:rPr>
              <w:t>[</w:t>
            </w:r>
            <w:r w:rsidRPr="00803F9D">
              <w:rPr>
                <w:b/>
                <w:i/>
              </w:rPr>
              <w:t>insert relevant number:</w:t>
            </w:r>
            <w:r w:rsidRPr="003E3970">
              <w:t xml:space="preserve"> </w:t>
            </w:r>
            <w:r w:rsidRPr="00792D61">
              <w:rPr>
                <w:b/>
              </w:rPr>
              <w:t>[</w:t>
            </w:r>
            <w:r w:rsidRPr="003E3970">
              <w:t>1st</w:t>
            </w:r>
            <w:r w:rsidRPr="00792D61">
              <w:rPr>
                <w:b/>
              </w:rPr>
              <w:t>][</w:t>
            </w:r>
            <w:r w:rsidRPr="003E3970">
              <w:t>2nd</w:t>
            </w:r>
            <w:r w:rsidRPr="00792D61">
              <w:rPr>
                <w:b/>
              </w:rPr>
              <w:t>][</w:t>
            </w:r>
            <w:r w:rsidRPr="003E3970">
              <w:t>3rd</w:t>
            </w:r>
            <w:r w:rsidRPr="00792D61">
              <w:rPr>
                <w:b/>
              </w:rPr>
              <w:t>][[</w:t>
            </w:r>
            <w:r w:rsidRPr="003E3970">
              <w:rPr>
                <w:rFonts w:ascii="Arial" w:hAnsi="Arial" w:cs="Arial"/>
              </w:rPr>
              <w:t>●</w:t>
            </w:r>
            <w:r w:rsidRPr="00792D61">
              <w:rPr>
                <w:b/>
              </w:rPr>
              <w:t>]]]</w:t>
            </w:r>
            <w:r w:rsidRPr="003E3970">
              <w:t xml:space="preserve">-to-Default Reference Entity and no such Reference Entity has been determined to be the </w:t>
            </w:r>
            <w:r w:rsidRPr="00792D61">
              <w:rPr>
                <w:b/>
              </w:rPr>
              <w:t>[</w:t>
            </w:r>
            <w:r w:rsidRPr="00803F9D">
              <w:rPr>
                <w:b/>
                <w:i/>
              </w:rPr>
              <w:t>insert relevant number:</w:t>
            </w:r>
            <w:r w:rsidRPr="003E3970">
              <w:t xml:space="preserve"> </w:t>
            </w:r>
            <w:r w:rsidRPr="00792D61">
              <w:rPr>
                <w:b/>
              </w:rPr>
              <w:t>[</w:t>
            </w:r>
            <w:r w:rsidRPr="003E3970">
              <w:t>1st</w:t>
            </w:r>
            <w:r w:rsidRPr="00792D61">
              <w:rPr>
                <w:b/>
              </w:rPr>
              <w:t>][</w:t>
            </w:r>
            <w:r w:rsidRPr="003E3970">
              <w:t>2nd</w:t>
            </w:r>
            <w:r w:rsidRPr="00792D61">
              <w:rPr>
                <w:b/>
              </w:rPr>
              <w:t>][</w:t>
            </w:r>
            <w:r w:rsidRPr="003E3970">
              <w:t>3rd</w:t>
            </w:r>
            <w:r w:rsidRPr="00792D61">
              <w:rPr>
                <w:b/>
              </w:rPr>
              <w:t>][[</w:t>
            </w:r>
            <w:r w:rsidRPr="003E3970">
              <w:rPr>
                <w:rFonts w:ascii="Arial" w:hAnsi="Arial" w:cs="Arial"/>
              </w:rPr>
              <w:t>●</w:t>
            </w:r>
            <w:r w:rsidRPr="00792D61">
              <w:rPr>
                <w:b/>
              </w:rPr>
              <w:t>]]]</w:t>
            </w:r>
            <w:r w:rsidRPr="003E3970">
              <w:t>-to-Default Reference Entity as of the date of such payment.</w:t>
            </w:r>
            <w:r w:rsidRPr="00792D61">
              <w:rPr>
                <w:b/>
              </w:rPr>
              <w:t>]</w:t>
            </w:r>
            <w:r w:rsidRPr="003E3970">
              <w:t xml:space="preserve"> For any postponement of the payment of an Interest Payment Amount no default interest or other compensation payments shall be payable to the Holders.</w:t>
            </w:r>
            <w:r w:rsidRPr="00792D61">
              <w:rPr>
                <w:b/>
              </w:rPr>
              <w:t>]</w:t>
            </w:r>
          </w:p>
        </w:tc>
        <w:tc>
          <w:tcPr>
            <w:tcW w:w="1618" w:type="dxa"/>
            <w:gridSpan w:val="2"/>
            <w:tcBorders>
              <w:top w:val="nil"/>
              <w:bottom w:val="nil"/>
              <w:right w:val="nil"/>
            </w:tcBorders>
            <w:shd w:val="clear" w:color="auto" w:fill="auto"/>
          </w:tcPr>
          <w:p w:rsidR="0017135D" w:rsidRPr="003E3970" w:rsidP="00803F9D">
            <w:pPr>
              <w:pStyle w:val="CSManNum8pt"/>
            </w:pPr>
          </w:p>
        </w:tc>
        <w:tc>
          <w:tcPr>
            <w:tcW w:w="3318" w:type="dxa"/>
            <w:gridSpan w:val="10"/>
            <w:tcBorders>
              <w:top w:val="nil"/>
              <w:left w:val="nil"/>
              <w:bottom w:val="nil"/>
              <w:right w:val="nil"/>
            </w:tcBorders>
            <w:shd w:val="clear" w:color="auto" w:fill="auto"/>
          </w:tcPr>
          <w:p w:rsidR="0017135D" w:rsidRPr="003E3970" w:rsidP="00803F9D">
            <w:pPr>
              <w:pStyle w:val="CSManNum8pt"/>
              <w:rPr>
                <w:lang w:val="de-DE"/>
              </w:rPr>
            </w:pPr>
            <w:r w:rsidRPr="003E3970">
              <w:tab/>
            </w:r>
            <w:r w:rsidRPr="003E3970">
              <w:rPr>
                <w:lang w:val="de-DE"/>
              </w:rPr>
              <w:t xml:space="preserve">wobei jedoch die Emittentin nach ihrem Ermessen den </w:t>
            </w:r>
            <w:r w:rsidRPr="00792D61">
              <w:rPr>
                <w:b/>
                <w:lang w:val="de-DE"/>
              </w:rPr>
              <w:t>[</w:t>
            </w:r>
            <w:r w:rsidRPr="003E3970">
              <w:rPr>
                <w:lang w:val="de-DE"/>
              </w:rPr>
              <w:t>jeweiligen</w:t>
            </w:r>
            <w:r w:rsidRPr="00792D61">
              <w:rPr>
                <w:b/>
                <w:lang w:val="de-DE"/>
              </w:rPr>
              <w:t>]</w:t>
            </w:r>
            <w:r w:rsidRPr="003E3970">
              <w:rPr>
                <w:lang w:val="de-DE"/>
              </w:rPr>
              <w:t xml:space="preserve"> Zinszahlungsbetrag pro Komplexes Produkt zu jedem Zeitpunkt des diesbezüglichen Zeitraums eines Potenziellen Kreditereignisses an den jeweiligen Inhaber zahlen kann, solange zum Zeitpunkt der Zahlung die jeweilige Potenzielle Nichtzahlung </w:t>
            </w:r>
            <w:r w:rsidRPr="00792D61">
              <w:rPr>
                <w:b/>
                <w:lang w:val="de-DE"/>
              </w:rPr>
              <w:t>[</w:t>
            </w:r>
            <w:r w:rsidRPr="001919A5">
              <w:rPr>
                <w:b/>
                <w:i/>
                <w:lang w:val="de-DE"/>
              </w:rPr>
              <w:t>falls "Nichtanerkennung/Moratorium" anwendbar ist, einfügen:</w:t>
            </w:r>
            <w:r w:rsidRPr="003E3970">
              <w:rPr>
                <w:lang w:val="de-DE"/>
              </w:rPr>
              <w:t xml:space="preserve"> oder die jeweilige Potenzielle Nichtanerkennung / das jeweilige Potenzielle Moratorium</w:t>
            </w:r>
            <w:r w:rsidRPr="00792D61">
              <w:rPr>
                <w:b/>
                <w:lang w:val="de-DE"/>
              </w:rPr>
              <w:t>]</w:t>
            </w:r>
            <w:r w:rsidRPr="003E3970">
              <w:rPr>
                <w:lang w:val="de-DE"/>
              </w:rPr>
              <w:t xml:space="preserve"> oder ein Ausstehender Antrag nicht zu einem Kreditereignis-Feststellungstag bezüglich irgend eines dieser Potenziellen </w:t>
            </w:r>
            <w:r w:rsidRPr="00792D61">
              <w:rPr>
                <w:b/>
                <w:lang w:val="de-DE"/>
              </w:rPr>
              <w:t>[</w:t>
            </w:r>
            <w:r w:rsidRPr="001919A5">
              <w:rPr>
                <w:b/>
                <w:i/>
                <w:lang w:val="de-DE"/>
              </w:rPr>
              <w:t>jeweilige Zahl einfügen:</w:t>
            </w:r>
            <w:r w:rsidRPr="003E3970">
              <w:rPr>
                <w:lang w:val="de-DE"/>
              </w:rPr>
              <w:t xml:space="preserve"> </w:t>
            </w:r>
            <w:r w:rsidRPr="00792D61">
              <w:rPr>
                <w:b/>
                <w:lang w:val="de-DE"/>
              </w:rPr>
              <w:t>[</w:t>
            </w:r>
            <w:r w:rsidRPr="003E3970">
              <w:rPr>
                <w:lang w:val="de-DE"/>
              </w:rPr>
              <w:t>1st</w:t>
            </w:r>
            <w:r w:rsidRPr="00792D61">
              <w:rPr>
                <w:b/>
                <w:lang w:val="de-DE"/>
              </w:rPr>
              <w:t>][</w:t>
            </w:r>
            <w:r w:rsidRPr="003E3970">
              <w:rPr>
                <w:lang w:val="de-DE"/>
              </w:rPr>
              <w:t>2nd</w:t>
            </w:r>
            <w:r w:rsidRPr="00792D61">
              <w:rPr>
                <w:b/>
                <w:lang w:val="de-DE"/>
              </w:rPr>
              <w:t>][</w:t>
            </w:r>
            <w:r w:rsidRPr="003E3970">
              <w:rPr>
                <w:lang w:val="de-DE"/>
              </w:rPr>
              <w:t>3rd</w:t>
            </w:r>
            <w:r w:rsidRPr="00792D61">
              <w:rPr>
                <w:b/>
                <w:lang w:val="de-DE"/>
              </w:rPr>
              <w:t>]</w:t>
            </w:r>
            <w:r w:rsidRPr="003E3970">
              <w:rPr>
                <w:lang w:val="de-DE"/>
              </w:rPr>
              <w:t xml:space="preserve"> </w:t>
            </w:r>
            <w:r w:rsidRPr="00792D61">
              <w:rPr>
                <w:b/>
                <w:lang w:val="de-DE"/>
              </w:rPr>
              <w:t>[[</w:t>
            </w:r>
            <w:r w:rsidRPr="003E3970">
              <w:rPr>
                <w:rFonts w:ascii="Arial" w:hAnsi="Arial" w:cs="Arial"/>
                <w:lang w:val="de-DE"/>
              </w:rPr>
              <w:t>●</w:t>
            </w:r>
            <w:r w:rsidRPr="00792D61">
              <w:rPr>
                <w:b/>
                <w:lang w:val="de-DE"/>
              </w:rPr>
              <w:t>]]]</w:t>
            </w:r>
            <w:r w:rsidRPr="003E3970">
              <w:rPr>
                <w:lang w:val="de-DE"/>
              </w:rPr>
              <w:t>-to-Default-Referenzschuldner gef</w:t>
            </w:r>
            <w:r w:rsidRPr="003E3970">
              <w:rPr>
                <w:rFonts w:cs="Credit Suisse Type Light"/>
                <w:lang w:val="de-DE"/>
              </w:rPr>
              <w:t>ü</w:t>
            </w:r>
            <w:r w:rsidRPr="003E3970">
              <w:rPr>
                <w:lang w:val="de-DE"/>
              </w:rPr>
              <w:t xml:space="preserve">hrt hat und keiner dieser Referenzschuldner als </w:t>
            </w:r>
            <w:r w:rsidRPr="00792D61">
              <w:rPr>
                <w:b/>
                <w:lang w:val="de-DE"/>
              </w:rPr>
              <w:t>[</w:t>
            </w:r>
            <w:r w:rsidRPr="001919A5">
              <w:rPr>
                <w:b/>
                <w:i/>
                <w:lang w:val="de-DE"/>
              </w:rPr>
              <w:t>jeweilige Zahl einf</w:t>
            </w:r>
            <w:r w:rsidRPr="001919A5">
              <w:rPr>
                <w:rFonts w:cs="Credit Suisse Type Light"/>
                <w:b/>
                <w:i/>
                <w:lang w:val="de-DE"/>
              </w:rPr>
              <w:t>ü</w:t>
            </w:r>
            <w:r w:rsidRPr="001919A5">
              <w:rPr>
                <w:b/>
                <w:i/>
                <w:lang w:val="de-DE"/>
              </w:rPr>
              <w:t>gen:</w:t>
            </w:r>
            <w:r w:rsidRPr="003E3970">
              <w:rPr>
                <w:lang w:val="de-DE"/>
              </w:rPr>
              <w:t xml:space="preserve"> </w:t>
            </w:r>
            <w:r w:rsidRPr="00792D61">
              <w:rPr>
                <w:b/>
                <w:lang w:val="de-DE"/>
              </w:rPr>
              <w:t>[</w:t>
            </w:r>
            <w:r w:rsidRPr="003E3970">
              <w:rPr>
                <w:lang w:val="de-DE"/>
              </w:rPr>
              <w:t>1st</w:t>
            </w:r>
            <w:r w:rsidRPr="00792D61">
              <w:rPr>
                <w:b/>
                <w:lang w:val="de-DE"/>
              </w:rPr>
              <w:t>][</w:t>
            </w:r>
            <w:r w:rsidRPr="003E3970">
              <w:rPr>
                <w:lang w:val="de-DE"/>
              </w:rPr>
              <w:t>2nd</w:t>
            </w:r>
            <w:r w:rsidRPr="00792D61">
              <w:rPr>
                <w:b/>
                <w:lang w:val="de-DE"/>
              </w:rPr>
              <w:t>][</w:t>
            </w:r>
            <w:r w:rsidRPr="003E3970">
              <w:rPr>
                <w:lang w:val="de-DE"/>
              </w:rPr>
              <w:t>3rd</w:t>
            </w:r>
            <w:r w:rsidRPr="00792D61">
              <w:rPr>
                <w:b/>
                <w:lang w:val="de-DE"/>
              </w:rPr>
              <w:t>]</w:t>
            </w:r>
            <w:r w:rsidRPr="003E3970">
              <w:rPr>
                <w:lang w:val="de-DE"/>
              </w:rPr>
              <w:t xml:space="preserve"> </w:t>
            </w:r>
            <w:r w:rsidRPr="00792D61">
              <w:rPr>
                <w:b/>
                <w:lang w:val="de-DE"/>
              </w:rPr>
              <w:t>[[</w:t>
            </w:r>
            <w:r w:rsidRPr="003E3970">
              <w:rPr>
                <w:rFonts w:ascii="Arial" w:hAnsi="Arial" w:cs="Arial"/>
                <w:lang w:val="de-DE"/>
              </w:rPr>
              <w:t>●</w:t>
            </w:r>
            <w:r w:rsidRPr="00792D61">
              <w:rPr>
                <w:b/>
                <w:lang w:val="de-DE"/>
              </w:rPr>
              <w:t>]]]</w:t>
            </w:r>
            <w:r w:rsidRPr="003E3970">
              <w:rPr>
                <w:lang w:val="de-DE"/>
              </w:rPr>
              <w:t>-to-Default-Referenzschuldner bestimmt wurde.</w:t>
            </w:r>
            <w:r w:rsidRPr="00792D61">
              <w:rPr>
                <w:b/>
                <w:lang w:val="de-DE"/>
              </w:rPr>
              <w:t>]</w:t>
            </w:r>
            <w:r w:rsidRPr="003E3970">
              <w:rPr>
                <w:lang w:val="de-DE"/>
              </w:rPr>
              <w:t xml:space="preserve"> Für jede Verschiebung der Zahlung eines Zinszahlungsbetrags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1919A5">
            <w:pPr>
              <w:pStyle w:val="CSBody8ptbolditalics"/>
              <w:rPr>
                <w:lang w:val="de-DE"/>
              </w:rPr>
            </w:pPr>
          </w:p>
        </w:tc>
        <w:tc>
          <w:tcPr>
            <w:tcW w:w="3315" w:type="dxa"/>
            <w:gridSpan w:val="7"/>
            <w:tcBorders>
              <w:top w:val="nil"/>
              <w:left w:val="nil"/>
              <w:bottom w:val="nil"/>
            </w:tcBorders>
            <w:shd w:val="clear" w:color="auto" w:fill="auto"/>
          </w:tcPr>
          <w:p w:rsidR="0017135D" w:rsidRPr="00F63D31" w:rsidP="001919A5">
            <w:pPr>
              <w:pStyle w:val="CSBody8ptbolditalics"/>
            </w:pPr>
            <w:r w:rsidRPr="00792D61">
              <w:t>[</w:t>
            </w:r>
            <w:r w:rsidRPr="00F63D31">
              <w:t>in the case of Credit-Linked Complex Products with auction settlement and a Basket or Credit-Linked Complex Products with Zero-Recovery feature linked to a Basket, insert:</w:t>
            </w:r>
          </w:p>
        </w:tc>
        <w:tc>
          <w:tcPr>
            <w:tcW w:w="1618" w:type="dxa"/>
            <w:gridSpan w:val="2"/>
            <w:tcBorders>
              <w:top w:val="nil"/>
              <w:bottom w:val="nil"/>
              <w:right w:val="nil"/>
            </w:tcBorders>
            <w:shd w:val="clear" w:color="auto" w:fill="auto"/>
          </w:tcPr>
          <w:p w:rsidR="0017135D" w:rsidRPr="003E3970" w:rsidP="001919A5">
            <w:pPr>
              <w:pStyle w:val="CSBody8ptbolditalics"/>
            </w:pPr>
          </w:p>
        </w:tc>
        <w:tc>
          <w:tcPr>
            <w:tcW w:w="3318" w:type="dxa"/>
            <w:gridSpan w:val="10"/>
            <w:tcBorders>
              <w:top w:val="nil"/>
              <w:left w:val="nil"/>
              <w:bottom w:val="nil"/>
              <w:right w:val="nil"/>
            </w:tcBorders>
            <w:shd w:val="clear" w:color="auto" w:fill="auto"/>
          </w:tcPr>
          <w:p w:rsidR="0017135D" w:rsidRPr="003E3970" w:rsidP="001919A5">
            <w:pPr>
              <w:pStyle w:val="CSBody8ptbolditalics"/>
              <w:rPr>
                <w:lang w:val="de-DE"/>
              </w:rPr>
            </w:pPr>
            <w:r w:rsidRPr="00792D61">
              <w:rPr>
                <w:lang w:val="de-DE"/>
              </w:rPr>
              <w:t>[</w:t>
            </w:r>
            <w:r w:rsidRPr="003E3970">
              <w:rPr>
                <w:lang w:val="de-DE"/>
              </w:rPr>
              <w:t>bei Kreditbezogenen Komplexen Produkten mit Auktionsabwicklung und einem Korb  oder bei Kreditbezogenen Komplexen Produkten mit Zero-Recovery-Merkmal die an einen Korb gekoppelt sind,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1919A5">
            <w:pPr>
              <w:pStyle w:val="CSBody8pt"/>
              <w:rPr>
                <w:lang w:val="de-DE"/>
              </w:rPr>
            </w:pPr>
          </w:p>
        </w:tc>
        <w:tc>
          <w:tcPr>
            <w:tcW w:w="3315" w:type="dxa"/>
            <w:gridSpan w:val="7"/>
            <w:tcBorders>
              <w:top w:val="nil"/>
              <w:left w:val="nil"/>
              <w:bottom w:val="nil"/>
            </w:tcBorders>
            <w:shd w:val="clear" w:color="auto" w:fill="auto"/>
          </w:tcPr>
          <w:p w:rsidR="0017135D" w:rsidP="004C1EBA">
            <w:pPr>
              <w:pStyle w:val="CSBody8pt"/>
            </w:pPr>
            <w:r w:rsidRPr="00F63D31">
              <w:t xml:space="preserve">Notwithstanding the immediately preceding paragraph, if a Potential Credit Event Period with respect to </w:t>
            </w:r>
            <w:r>
              <w:t>one or more</w:t>
            </w:r>
            <w:r w:rsidRPr="00F63D31">
              <w:t xml:space="preserve"> Reference Entit</w:t>
            </w:r>
            <w:r>
              <w:t>ies</w:t>
            </w:r>
            <w:r w:rsidRPr="00F63D31">
              <w:t xml:space="preserve"> that </w:t>
            </w:r>
            <w:r>
              <w:t>are</w:t>
            </w:r>
            <w:r w:rsidRPr="00F63D31">
              <w:t xml:space="preserve"> not an Affected Reference Entit</w:t>
            </w:r>
            <w:r>
              <w:t>ies</w:t>
            </w:r>
            <w:r w:rsidRPr="00F63D31">
              <w:t xml:space="preserve"> has occurred prior to, and is continuing on, </w:t>
            </w:r>
            <w:r w:rsidRPr="00792D61">
              <w:rPr>
                <w:b/>
              </w:rPr>
              <w:t>[</w:t>
            </w:r>
            <w:r w:rsidRPr="00F63D31">
              <w:t>the</w:t>
            </w:r>
            <w:r w:rsidRPr="00792D61">
              <w:rPr>
                <w:b/>
              </w:rPr>
              <w:t>][</w:t>
            </w:r>
            <w:r w:rsidRPr="00F63D31">
              <w:t>such</w:t>
            </w:r>
            <w:r w:rsidRPr="00792D61">
              <w:rPr>
                <w:b/>
              </w:rPr>
              <w:t>]</w:t>
            </w:r>
            <w:r w:rsidRPr="00F63D31">
              <w:t xml:space="preserve"> Interest Payment Date, the following shall apply:</w:t>
            </w:r>
          </w:p>
        </w:tc>
        <w:tc>
          <w:tcPr>
            <w:tcW w:w="1618" w:type="dxa"/>
            <w:gridSpan w:val="2"/>
            <w:tcBorders>
              <w:top w:val="nil"/>
              <w:bottom w:val="nil"/>
              <w:right w:val="nil"/>
            </w:tcBorders>
            <w:shd w:val="clear" w:color="auto" w:fill="auto"/>
          </w:tcPr>
          <w:p w:rsidR="0017135D" w:rsidRPr="003E3970" w:rsidP="001919A5">
            <w:pPr>
              <w:pStyle w:val="CSBody8pt"/>
            </w:pPr>
          </w:p>
        </w:tc>
        <w:tc>
          <w:tcPr>
            <w:tcW w:w="3318" w:type="dxa"/>
            <w:gridSpan w:val="10"/>
            <w:tcBorders>
              <w:top w:val="nil"/>
              <w:left w:val="nil"/>
              <w:bottom w:val="nil"/>
              <w:right w:val="nil"/>
            </w:tcBorders>
            <w:shd w:val="clear" w:color="auto" w:fill="auto"/>
          </w:tcPr>
          <w:p w:rsidR="0017135D" w:rsidRPr="003E3970" w:rsidP="004C1EBA">
            <w:pPr>
              <w:pStyle w:val="CSBody8pt"/>
              <w:rPr>
                <w:lang w:val="de-DE"/>
              </w:rPr>
            </w:pPr>
            <w:r w:rsidRPr="003E3970">
              <w:rPr>
                <w:lang w:val="de-DE"/>
              </w:rPr>
              <w:t xml:space="preserve">Ungeachtet des unmittelbar vorangehenden Absatzes gilt im Fall, dass ein Zeitraum eines Potenziellen Kreditereignisses in Bezug auf einen </w:t>
            </w:r>
            <w:r>
              <w:rPr>
                <w:lang w:val="de-DE"/>
              </w:rPr>
              <w:t xml:space="preserve">oder mehrere </w:t>
            </w:r>
            <w:r w:rsidRPr="003E3970">
              <w:rPr>
                <w:lang w:val="de-DE"/>
              </w:rPr>
              <w:t xml:space="preserve">Referenzschuldner, </w:t>
            </w:r>
            <w:r>
              <w:rPr>
                <w:lang w:val="de-DE"/>
              </w:rPr>
              <w:t>die</w:t>
            </w:r>
            <w:r w:rsidRPr="003E3970">
              <w:rPr>
                <w:lang w:val="de-DE"/>
              </w:rPr>
              <w:t xml:space="preserve"> kein</w:t>
            </w:r>
            <w:r>
              <w:rPr>
                <w:lang w:val="de-DE"/>
              </w:rPr>
              <w:t>e</w:t>
            </w:r>
            <w:r w:rsidRPr="003E3970">
              <w:rPr>
                <w:lang w:val="de-DE"/>
              </w:rPr>
              <w:t xml:space="preserve"> Betroffene</w:t>
            </w:r>
            <w:r>
              <w:rPr>
                <w:lang w:val="de-DE"/>
              </w:rPr>
              <w:t>n</w:t>
            </w:r>
            <w:r w:rsidRPr="003E3970">
              <w:rPr>
                <w:lang w:val="de-DE"/>
              </w:rPr>
              <w:t xml:space="preserve"> Referenzschuldner </w:t>
            </w:r>
            <w:r>
              <w:rPr>
                <w:lang w:val="de-DE"/>
              </w:rPr>
              <w:t>sind</w:t>
            </w:r>
            <w:r w:rsidRPr="003E3970">
              <w:rPr>
                <w:lang w:val="de-DE"/>
              </w:rPr>
              <w:t xml:space="preserve">, an oder vor dem </w:t>
            </w:r>
            <w:r w:rsidRPr="00792D61">
              <w:rPr>
                <w:b/>
                <w:lang w:val="de-DE"/>
              </w:rPr>
              <w:t>[</w:t>
            </w:r>
            <w:r w:rsidRPr="003E3970">
              <w:rPr>
                <w:lang w:val="de-DE"/>
              </w:rPr>
              <w:t>jeweiligen</w:t>
            </w:r>
            <w:r w:rsidRPr="00792D61">
              <w:rPr>
                <w:b/>
                <w:lang w:val="de-DE"/>
              </w:rPr>
              <w:t>]</w:t>
            </w:r>
            <w:r w:rsidRPr="003E3970">
              <w:rPr>
                <w:lang w:val="de-DE"/>
              </w:rPr>
              <w:t xml:space="preserve"> Zinszahlungstag begonnen hat und an diesem Tag andauert, folgendes:</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1919A5">
            <w:pPr>
              <w:pStyle w:val="CSManNum8pt"/>
              <w:rPr>
                <w:lang w:val="de-DE"/>
              </w:rPr>
            </w:pPr>
          </w:p>
        </w:tc>
        <w:tc>
          <w:tcPr>
            <w:tcW w:w="3315" w:type="dxa"/>
            <w:gridSpan w:val="7"/>
            <w:tcBorders>
              <w:top w:val="nil"/>
              <w:left w:val="nil"/>
              <w:bottom w:val="nil"/>
            </w:tcBorders>
            <w:shd w:val="clear" w:color="auto" w:fill="auto"/>
          </w:tcPr>
          <w:p w:rsidR="0017135D" w:rsidRPr="003E3970" w:rsidP="004C1EBA">
            <w:pPr>
              <w:pStyle w:val="CSManNum8pt"/>
            </w:pPr>
            <w:r w:rsidRPr="003E3970">
              <w:t>(i)</w:t>
            </w:r>
            <w:r w:rsidRPr="003E3970">
              <w:tab/>
              <w:t xml:space="preserve">(a) the Calculation Agent shall calculate the </w:t>
            </w:r>
            <w:r w:rsidRPr="00792D61">
              <w:rPr>
                <w:b/>
              </w:rPr>
              <w:t>[</w:t>
            </w:r>
            <w:r w:rsidRPr="003E3970">
              <w:t>relevant</w:t>
            </w:r>
            <w:r w:rsidRPr="00792D61">
              <w:rPr>
                <w:b/>
              </w:rPr>
              <w:t>]</w:t>
            </w:r>
            <w:r w:rsidRPr="003E3970">
              <w:t xml:space="preserve"> Interest Payment Amount per Complex Product as if </w:t>
            </w:r>
            <w:r>
              <w:t xml:space="preserve">all </w:t>
            </w:r>
            <w:r w:rsidRPr="003E3970">
              <w:t>such Reference Entit</w:t>
            </w:r>
            <w:r>
              <w:t>ies</w:t>
            </w:r>
            <w:r w:rsidRPr="003E3970">
              <w:t xml:space="preserve"> were</w:t>
            </w:r>
            <w:r w:rsidR="00C338DB">
              <w:t xml:space="preserve"> </w:t>
            </w:r>
            <w:r w:rsidRPr="003E3970">
              <w:t>Affected Reference Entit</w:t>
            </w:r>
            <w:r>
              <w:t>ies</w:t>
            </w:r>
            <w:r w:rsidRPr="003E3970">
              <w:t xml:space="preserve"> (such amount, the "</w:t>
            </w:r>
            <w:r w:rsidRPr="002126D4">
              <w:rPr>
                <w:b/>
              </w:rPr>
              <w:t>Non-Affected Interest Payment Amount</w:t>
            </w:r>
            <w:r w:rsidRPr="003E3970">
              <w:t xml:space="preserve">"), and (b) the Issuer shall pay an amount in cash per Complex Product equal to the Non-Affected Interest Payment Amount on </w:t>
            </w:r>
            <w:r w:rsidRPr="00792D61">
              <w:rPr>
                <w:b/>
              </w:rPr>
              <w:t>[</w:t>
            </w:r>
            <w:r w:rsidRPr="003E3970">
              <w:t>the</w:t>
            </w:r>
            <w:r w:rsidRPr="00792D61">
              <w:rPr>
                <w:b/>
              </w:rPr>
              <w:t>][</w:t>
            </w:r>
            <w:r w:rsidRPr="003E3970">
              <w:t>such</w:t>
            </w:r>
            <w:r w:rsidRPr="00792D61">
              <w:rPr>
                <w:b/>
              </w:rPr>
              <w:t>]</w:t>
            </w:r>
            <w:r w:rsidRPr="003E3970">
              <w:t xml:space="preserve"> Interest Payment Date to the Holder thereof;</w:t>
            </w:r>
          </w:p>
        </w:tc>
        <w:tc>
          <w:tcPr>
            <w:tcW w:w="1618" w:type="dxa"/>
            <w:gridSpan w:val="2"/>
            <w:tcBorders>
              <w:top w:val="nil"/>
              <w:bottom w:val="nil"/>
              <w:right w:val="nil"/>
            </w:tcBorders>
            <w:shd w:val="clear" w:color="auto" w:fill="auto"/>
          </w:tcPr>
          <w:p w:rsidR="0017135D" w:rsidRPr="003E3970" w:rsidP="001919A5">
            <w:pPr>
              <w:pStyle w:val="CSManNum8pt"/>
            </w:pPr>
          </w:p>
        </w:tc>
        <w:tc>
          <w:tcPr>
            <w:tcW w:w="3318" w:type="dxa"/>
            <w:gridSpan w:val="10"/>
            <w:tcBorders>
              <w:top w:val="nil"/>
              <w:left w:val="nil"/>
              <w:bottom w:val="nil"/>
              <w:right w:val="nil"/>
            </w:tcBorders>
            <w:shd w:val="clear" w:color="auto" w:fill="auto"/>
          </w:tcPr>
          <w:p w:rsidR="0017135D" w:rsidRPr="003E3970" w:rsidP="004C1EBA">
            <w:pPr>
              <w:pStyle w:val="CSManNum8pt"/>
              <w:rPr>
                <w:lang w:val="de-DE"/>
              </w:rPr>
            </w:pPr>
            <w:r w:rsidRPr="003E3970">
              <w:rPr>
                <w:lang w:val="de-DE"/>
              </w:rPr>
              <w:t>(i)</w:t>
            </w:r>
            <w:r w:rsidRPr="003E3970">
              <w:rPr>
                <w:lang w:val="de-DE"/>
              </w:rPr>
              <w:tab/>
              <w:t xml:space="preserve">(a) die Berechnungsstelle wird den </w:t>
            </w:r>
            <w:r w:rsidRPr="00792D61">
              <w:rPr>
                <w:b/>
                <w:lang w:val="de-DE"/>
              </w:rPr>
              <w:t>[</w:t>
            </w:r>
            <w:r w:rsidRPr="003E3970">
              <w:rPr>
                <w:lang w:val="de-DE"/>
              </w:rPr>
              <w:t>jeweiligen</w:t>
            </w:r>
            <w:r w:rsidRPr="00792D61">
              <w:rPr>
                <w:b/>
                <w:lang w:val="de-DE"/>
              </w:rPr>
              <w:t>]</w:t>
            </w:r>
            <w:r w:rsidRPr="003E3970">
              <w:rPr>
                <w:lang w:val="de-DE"/>
              </w:rPr>
              <w:t xml:space="preserve"> Zinszahlungsbetrag pro Komplexes Produkt (ein solcher Betrag der "</w:t>
            </w:r>
            <w:r w:rsidRPr="002126D4">
              <w:rPr>
                <w:b/>
                <w:lang w:val="de-DE"/>
              </w:rPr>
              <w:t>Nicht-Betroffene-Zinszahlungsbetrag</w:t>
            </w:r>
            <w:r w:rsidRPr="003E3970">
              <w:rPr>
                <w:lang w:val="de-DE"/>
              </w:rPr>
              <w:t xml:space="preserve">") so berechnen, als ob </w:t>
            </w:r>
            <w:r>
              <w:rPr>
                <w:lang w:val="de-DE"/>
              </w:rPr>
              <w:t xml:space="preserve">all </w:t>
            </w:r>
            <w:r w:rsidRPr="003E3970">
              <w:rPr>
                <w:lang w:val="de-DE"/>
              </w:rPr>
              <w:t>diese Referenzschuldner Betroffene Referenzschuldner wäre</w:t>
            </w:r>
            <w:r>
              <w:rPr>
                <w:lang w:val="de-DE"/>
              </w:rPr>
              <w:t>n</w:t>
            </w:r>
            <w:r w:rsidRPr="003E3970">
              <w:rPr>
                <w:lang w:val="de-DE"/>
              </w:rPr>
              <w:t xml:space="preserve"> und (b) die Emittentin wird den Geldbetrag pro Komplexes Produkt, der dem Nicht-Betroffenen Zinszahlungsbetrag am </w:t>
            </w:r>
            <w:r w:rsidRPr="00792D61">
              <w:rPr>
                <w:b/>
                <w:lang w:val="de-DE"/>
              </w:rPr>
              <w:t>[</w:t>
            </w:r>
            <w:r w:rsidRPr="003E3970">
              <w:rPr>
                <w:lang w:val="de-DE"/>
              </w:rPr>
              <w:t>jeweiligen</w:t>
            </w:r>
            <w:r w:rsidRPr="00792D61">
              <w:rPr>
                <w:b/>
                <w:lang w:val="de-DE"/>
              </w:rPr>
              <w:t>]</w:t>
            </w:r>
            <w:r w:rsidRPr="003E3970">
              <w:rPr>
                <w:lang w:val="de-DE"/>
              </w:rPr>
              <w:t xml:space="preserve"> Zinszahlungstag entspricht, an den jeweiligen Inhaber zahlen;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1919A5">
            <w:pPr>
              <w:pStyle w:val="CSManNum8pt"/>
              <w:rPr>
                <w:lang w:val="de-DE"/>
              </w:rPr>
            </w:pPr>
          </w:p>
        </w:tc>
        <w:tc>
          <w:tcPr>
            <w:tcW w:w="3315" w:type="dxa"/>
            <w:gridSpan w:val="7"/>
            <w:tcBorders>
              <w:top w:val="nil"/>
              <w:left w:val="nil"/>
              <w:bottom w:val="nil"/>
            </w:tcBorders>
            <w:shd w:val="clear" w:color="auto" w:fill="auto"/>
          </w:tcPr>
          <w:p w:rsidR="0017135D" w:rsidRPr="003E3970" w:rsidP="004C1EBA">
            <w:pPr>
              <w:pStyle w:val="CSManNum8pt"/>
            </w:pPr>
            <w:r w:rsidRPr="003E3970">
              <w:t>(ii)</w:t>
            </w:r>
            <w:r w:rsidRPr="003E3970">
              <w:tab/>
              <w:t xml:space="preserve">if the relevant Potential Failure to Pay </w:t>
            </w:r>
            <w:r w:rsidRPr="00792D61">
              <w:rPr>
                <w:b/>
              </w:rPr>
              <w:t>[</w:t>
            </w:r>
            <w:r w:rsidRPr="002126D4">
              <w:rPr>
                <w:b/>
                <w:i/>
              </w:rPr>
              <w:t>if "Repudiation/Moratorium" is applicable, insert:</w:t>
            </w:r>
            <w:r w:rsidRPr="003E3970">
              <w:t xml:space="preserve"> , Potential Repudiation/Moratorium</w:t>
            </w:r>
            <w:r w:rsidRPr="00792D61">
              <w:rPr>
                <w:b/>
              </w:rPr>
              <w:t>]</w:t>
            </w:r>
            <w:r w:rsidRPr="003E3970">
              <w:t xml:space="preserve"> or DC Pending Request, as the case may be, with respect to </w:t>
            </w:r>
            <w:r>
              <w:t xml:space="preserve">any </w:t>
            </w:r>
            <w:r w:rsidRPr="003E3970">
              <w:t xml:space="preserve">such Reference Entity </w:t>
            </w:r>
            <w:r w:rsidRPr="002126D4">
              <w:rPr>
                <w:b/>
              </w:rPr>
              <w:t>results</w:t>
            </w:r>
            <w:r w:rsidRPr="003E3970">
              <w:t xml:space="preserve"> in the occurrence of a Credit Event Determination Date with respect to such Reference Entity, as determined on or prior to the last day of </w:t>
            </w:r>
            <w:r>
              <w:t>the relevant</w:t>
            </w:r>
            <w:r w:rsidRPr="003E3970">
              <w:t xml:space="preserve"> Potential Credit Event Period, the Issuer shall make no </w:t>
            </w:r>
            <w:r>
              <w:t>further</w:t>
            </w:r>
            <w:r w:rsidRPr="003E3970">
              <w:t xml:space="preserve"> interest payments in relation to such Reference Entity; and</w:t>
            </w:r>
          </w:p>
        </w:tc>
        <w:tc>
          <w:tcPr>
            <w:tcW w:w="1618" w:type="dxa"/>
            <w:gridSpan w:val="2"/>
            <w:tcBorders>
              <w:top w:val="nil"/>
              <w:bottom w:val="nil"/>
              <w:right w:val="nil"/>
            </w:tcBorders>
            <w:shd w:val="clear" w:color="auto" w:fill="auto"/>
          </w:tcPr>
          <w:p w:rsidR="0017135D" w:rsidRPr="003E3970" w:rsidP="001919A5">
            <w:pPr>
              <w:pStyle w:val="CSManNum8pt"/>
            </w:pPr>
          </w:p>
        </w:tc>
        <w:tc>
          <w:tcPr>
            <w:tcW w:w="3318" w:type="dxa"/>
            <w:gridSpan w:val="10"/>
            <w:tcBorders>
              <w:top w:val="nil"/>
              <w:left w:val="nil"/>
              <w:bottom w:val="nil"/>
              <w:right w:val="nil"/>
            </w:tcBorders>
            <w:shd w:val="clear" w:color="auto" w:fill="auto"/>
          </w:tcPr>
          <w:p w:rsidR="0017135D" w:rsidRPr="003E3970" w:rsidP="004C1EBA">
            <w:pPr>
              <w:pStyle w:val="CSManNum8pt"/>
              <w:rPr>
                <w:lang w:val="de-DE"/>
              </w:rPr>
            </w:pPr>
            <w:r w:rsidRPr="003E3970">
              <w:rPr>
                <w:lang w:val="de-DE"/>
              </w:rPr>
              <w:t>(ii)</w:t>
            </w:r>
            <w:r w:rsidRPr="003E3970">
              <w:rPr>
                <w:lang w:val="de-DE"/>
              </w:rPr>
              <w:tab/>
              <w:t xml:space="preserve">falls die jeweilige Potenzielle Nichtzahlung </w:t>
            </w:r>
            <w:r w:rsidRPr="00792D61">
              <w:rPr>
                <w:b/>
                <w:lang w:val="de-DE"/>
              </w:rPr>
              <w:t>[</w:t>
            </w:r>
            <w:r w:rsidRPr="002126D4">
              <w:rPr>
                <w:b/>
                <w:i/>
                <w:lang w:val="de-DE"/>
              </w:rPr>
              <w:t>falls "Nichtanerkennung/Moratorium" anwendbar ist, einfügen:</w:t>
            </w:r>
            <w:r w:rsidRPr="003E3970">
              <w:rPr>
                <w:lang w:val="de-DE"/>
              </w:rPr>
              <w:t xml:space="preserve"> die jeweilige Potenzielle Nichtanerkennung / das jeweilige Potenzielle Moratorium</w:t>
            </w:r>
            <w:r w:rsidRPr="00792D61">
              <w:rPr>
                <w:b/>
                <w:lang w:val="de-DE"/>
              </w:rPr>
              <w:t>]</w:t>
            </w:r>
            <w:r w:rsidRPr="003E3970">
              <w:rPr>
                <w:lang w:val="de-DE"/>
              </w:rPr>
              <w:t xml:space="preserve"> oder ein Ausstehender Antrag in Bezug auf </w:t>
            </w:r>
            <w:r>
              <w:rPr>
                <w:lang w:val="de-DE"/>
              </w:rPr>
              <w:t>einen dieser</w:t>
            </w:r>
            <w:r w:rsidRPr="003E3970">
              <w:rPr>
                <w:lang w:val="de-DE"/>
              </w:rPr>
              <w:t xml:space="preserve"> Referenzschuldner zu einem Kreditereignis-Feststellungstag in Bezug auf diesen Referenzschuldner </w:t>
            </w:r>
            <w:r w:rsidRPr="002126D4">
              <w:rPr>
                <w:b/>
                <w:lang w:val="de-DE"/>
              </w:rPr>
              <w:t>führt</w:t>
            </w:r>
            <w:r w:rsidRPr="003E3970">
              <w:rPr>
                <w:lang w:val="de-DE"/>
              </w:rPr>
              <w:t xml:space="preserve">, wie an oder vor dem letzten Tag </w:t>
            </w:r>
            <w:r>
              <w:rPr>
                <w:lang w:val="de-DE"/>
              </w:rPr>
              <w:t>des jeweiligen</w:t>
            </w:r>
            <w:r w:rsidRPr="003E3970">
              <w:rPr>
                <w:lang w:val="de-DE"/>
              </w:rPr>
              <w:t xml:space="preserve"> Zeitraums eines Potenziellen Kredit-ereignisses festgestellt wird die Emittentin keine </w:t>
            </w:r>
            <w:r>
              <w:rPr>
                <w:lang w:val="de-DE"/>
              </w:rPr>
              <w:t>weiteren</w:t>
            </w:r>
            <w:r w:rsidRPr="003E3970">
              <w:rPr>
                <w:lang w:val="de-DE"/>
              </w:rPr>
              <w:t xml:space="preserve"> Zinszahlungen in Bezug auf diesen Referenzschuldner vornehmen; and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2126D4">
            <w:pPr>
              <w:pStyle w:val="CSManNum8pt"/>
              <w:rPr>
                <w:lang w:val="de-DE"/>
              </w:rPr>
            </w:pPr>
          </w:p>
        </w:tc>
        <w:tc>
          <w:tcPr>
            <w:tcW w:w="3315" w:type="dxa"/>
            <w:gridSpan w:val="7"/>
            <w:tcBorders>
              <w:top w:val="nil"/>
              <w:left w:val="nil"/>
              <w:bottom w:val="nil"/>
            </w:tcBorders>
            <w:shd w:val="clear" w:color="auto" w:fill="auto"/>
          </w:tcPr>
          <w:p w:rsidR="0017135D" w:rsidRPr="003E3970" w:rsidP="00942F00">
            <w:pPr>
              <w:pStyle w:val="CSManNum8pt"/>
            </w:pPr>
            <w:r w:rsidRPr="003E3970">
              <w:t>(iii)</w:t>
            </w:r>
            <w:r w:rsidRPr="003E3970">
              <w:tab/>
              <w:t xml:space="preserve">if the relevant Potential Failure to Pay </w:t>
            </w:r>
            <w:r w:rsidRPr="00792D61">
              <w:rPr>
                <w:b/>
              </w:rPr>
              <w:t>[</w:t>
            </w:r>
            <w:r w:rsidRPr="003E3970">
              <w:t>if "Repudiation/Moratorium" is applicable, insert: , Potential Repudiation/Moratorium</w:t>
            </w:r>
            <w:r w:rsidRPr="00792D61">
              <w:rPr>
                <w:b/>
              </w:rPr>
              <w:t>]</w:t>
            </w:r>
            <w:r w:rsidRPr="003E3970">
              <w:t xml:space="preserve"> or DC Pending Request, as the case may be, with respect to</w:t>
            </w:r>
            <w:r>
              <w:t xml:space="preserve"> any</w:t>
            </w:r>
            <w:r w:rsidRPr="003E3970">
              <w:t xml:space="preserve"> such Reference Entity </w:t>
            </w:r>
            <w:r w:rsidRPr="002126D4">
              <w:rPr>
                <w:b/>
              </w:rPr>
              <w:t>does not result</w:t>
            </w:r>
            <w:r w:rsidRPr="003E3970">
              <w:t xml:space="preserve"> in the occurrence of a Credit Event Determination Date with respect to such Reference Entity, as determined on or prior to the last day of </w:t>
            </w:r>
            <w:r>
              <w:t>the relevant</w:t>
            </w:r>
            <w:r w:rsidRPr="003E3970">
              <w:t xml:space="preserve"> Potential Credit Event Period, (a) the Calculation Agent shall calculate the difference between (1) the </w:t>
            </w:r>
            <w:r w:rsidRPr="00792D61">
              <w:rPr>
                <w:b/>
              </w:rPr>
              <w:t>[</w:t>
            </w:r>
            <w:r w:rsidRPr="003E3970">
              <w:t>relevant</w:t>
            </w:r>
            <w:r w:rsidRPr="00792D61">
              <w:rPr>
                <w:b/>
              </w:rPr>
              <w:t>]</w:t>
            </w:r>
            <w:r w:rsidRPr="003E3970">
              <w:t xml:space="preserve"> Interest Payment Amount per Complex Product that would have been paid on </w:t>
            </w:r>
            <w:r w:rsidRPr="00792D61">
              <w:rPr>
                <w:b/>
              </w:rPr>
              <w:t>[</w:t>
            </w:r>
            <w:r w:rsidRPr="003E3970">
              <w:t>the</w:t>
            </w:r>
            <w:r w:rsidRPr="00792D61">
              <w:rPr>
                <w:b/>
              </w:rPr>
              <w:t>][</w:t>
            </w:r>
            <w:r w:rsidRPr="003E3970">
              <w:t>such</w:t>
            </w:r>
            <w:r w:rsidRPr="00792D61">
              <w:rPr>
                <w:b/>
              </w:rPr>
              <w:t>]</w:t>
            </w:r>
            <w:r w:rsidRPr="003E3970">
              <w:t xml:space="preserve"> Interest Payment Date if such Reference Entity had not been treated as an Affected Reference Entity, and (2) the Non-Affected Interest Payment Amount (such difference, the "</w:t>
            </w:r>
            <w:r w:rsidRPr="002126D4">
              <w:rPr>
                <w:b/>
              </w:rPr>
              <w:t>Remaining Interest Payment Amount</w:t>
            </w:r>
            <w:r w:rsidRPr="003E3970">
              <w:t xml:space="preserve">") and (b) the Issuer shall pay an amount in cash per Complex Product equal to the Remaining Interest Payment Amount on the </w:t>
            </w:r>
            <w:r w:rsidRPr="00792D61">
              <w:rPr>
                <w:b/>
              </w:rPr>
              <w:t>[</w:t>
            </w:r>
            <w:r w:rsidRPr="003E3970">
              <w:t>fifth</w:t>
            </w:r>
            <w:r w:rsidRPr="00792D61">
              <w:rPr>
                <w:b/>
              </w:rPr>
              <w:t>][[</w:t>
            </w:r>
            <w:r w:rsidRPr="003E3970">
              <w:rPr>
                <w:rFonts w:ascii="Arial" w:hAnsi="Arial" w:cs="Arial"/>
              </w:rPr>
              <w:t>●</w:t>
            </w:r>
            <w:r w:rsidRPr="00792D61">
              <w:rPr>
                <w:b/>
              </w:rPr>
              <w:t>]]</w:t>
            </w:r>
            <w:r w:rsidRPr="003E3970">
              <w:t xml:space="preserve"> Business Day following the last day of </w:t>
            </w:r>
            <w:r w:rsidR="00942F00">
              <w:t>such</w:t>
            </w:r>
            <w:r w:rsidRPr="003E3970">
              <w:t xml:space="preserve"> Potential Credit Event Period to the Holder thereof </w:t>
            </w:r>
            <w:r w:rsidRPr="00792D61">
              <w:rPr>
                <w:b/>
              </w:rPr>
              <w:t>[</w:t>
            </w:r>
            <w:r w:rsidRPr="003E3970">
              <w:t>.</w:t>
            </w:r>
            <w:r w:rsidRPr="00792D61">
              <w:rPr>
                <w:b/>
              </w:rPr>
              <w:t>][</w:t>
            </w:r>
            <w:r w:rsidRPr="002126D4">
              <w:rPr>
                <w:b/>
                <w:i/>
              </w:rPr>
              <w:t>if applicable, insert:</w:t>
            </w:r>
            <w:r w:rsidRPr="003E3970">
              <w:t xml:space="preserve"> ;</w:t>
            </w:r>
            <w:r w:rsidRPr="00792D61">
              <w:rPr>
                <w:b/>
              </w:rPr>
              <w:t>]</w:t>
            </w:r>
          </w:p>
        </w:tc>
        <w:tc>
          <w:tcPr>
            <w:tcW w:w="1618" w:type="dxa"/>
            <w:gridSpan w:val="2"/>
            <w:tcBorders>
              <w:top w:val="nil"/>
              <w:bottom w:val="nil"/>
              <w:right w:val="nil"/>
            </w:tcBorders>
            <w:shd w:val="clear" w:color="auto" w:fill="auto"/>
          </w:tcPr>
          <w:p w:rsidR="0017135D" w:rsidRPr="003E3970" w:rsidP="002126D4">
            <w:pPr>
              <w:pStyle w:val="CSManNum8pt"/>
            </w:pPr>
          </w:p>
        </w:tc>
        <w:tc>
          <w:tcPr>
            <w:tcW w:w="3318" w:type="dxa"/>
            <w:gridSpan w:val="10"/>
            <w:tcBorders>
              <w:top w:val="nil"/>
              <w:left w:val="nil"/>
              <w:bottom w:val="nil"/>
              <w:right w:val="nil"/>
            </w:tcBorders>
            <w:shd w:val="clear" w:color="auto" w:fill="auto"/>
          </w:tcPr>
          <w:p w:rsidR="0017135D" w:rsidRPr="003E3970" w:rsidP="00942F00">
            <w:pPr>
              <w:pStyle w:val="CSManNum8pt"/>
              <w:rPr>
                <w:lang w:val="de-DE"/>
              </w:rPr>
            </w:pPr>
            <w:r w:rsidRPr="003E3970">
              <w:rPr>
                <w:lang w:val="de-DE"/>
              </w:rPr>
              <w:t>(iii)</w:t>
            </w:r>
            <w:r w:rsidRPr="003E3970">
              <w:rPr>
                <w:lang w:val="de-DE"/>
              </w:rPr>
              <w:tab/>
              <w:t xml:space="preserve">falls die jeweilige Potenzielle Nichtzahlung </w:t>
            </w:r>
            <w:r w:rsidRPr="00792D61">
              <w:rPr>
                <w:b/>
                <w:lang w:val="de-DE"/>
              </w:rPr>
              <w:t>[</w:t>
            </w:r>
            <w:r w:rsidRPr="003E3970">
              <w:rPr>
                <w:lang w:val="de-DE"/>
              </w:rPr>
              <w:t>falls "Nichtanerkennung/Moratorium" anwendbar ist, einfügen: oder die jeweilige Potenzielle Nichtanerkennung / das jeweilige Potenzielle Moratorium</w:t>
            </w:r>
            <w:r w:rsidRPr="00792D61">
              <w:rPr>
                <w:b/>
                <w:lang w:val="de-DE"/>
              </w:rPr>
              <w:t>]</w:t>
            </w:r>
            <w:r w:rsidRPr="003E3970">
              <w:rPr>
                <w:lang w:val="de-DE"/>
              </w:rPr>
              <w:t xml:space="preserve"> oder ein Ausstehender Antrag in Bezug auf </w:t>
            </w:r>
            <w:r>
              <w:rPr>
                <w:lang w:val="de-DE"/>
              </w:rPr>
              <w:t>einen dieser</w:t>
            </w:r>
            <w:r w:rsidRPr="003E3970">
              <w:rPr>
                <w:lang w:val="de-DE"/>
              </w:rPr>
              <w:t xml:space="preserve"> Referenzschuldner </w:t>
            </w:r>
            <w:r w:rsidRPr="002126D4">
              <w:rPr>
                <w:b/>
                <w:lang w:val="de-DE"/>
              </w:rPr>
              <w:t>nicht</w:t>
            </w:r>
            <w:r w:rsidRPr="003E3970">
              <w:rPr>
                <w:lang w:val="de-DE"/>
              </w:rPr>
              <w:t xml:space="preserve"> zu einem Kreditereignis-Feststellungstag in Bezug auf </w:t>
            </w:r>
            <w:r w:rsidR="00942F00">
              <w:rPr>
                <w:lang w:val="de-DE"/>
              </w:rPr>
              <w:t>diesen</w:t>
            </w:r>
            <w:r w:rsidRPr="003E3970">
              <w:rPr>
                <w:lang w:val="de-DE"/>
              </w:rPr>
              <w:t xml:space="preserve"> Referenzschuldner </w:t>
            </w:r>
            <w:r w:rsidRPr="002126D4">
              <w:rPr>
                <w:b/>
                <w:lang w:val="de-DE"/>
              </w:rPr>
              <w:t>führt</w:t>
            </w:r>
            <w:r w:rsidRPr="003E3970">
              <w:rPr>
                <w:lang w:val="de-DE"/>
              </w:rPr>
              <w:t xml:space="preserve">, wie an oder vor dem letzten Tag dieses Zeitraums eines Potenziellen Kreditereignisses festgestellt, (a) wird die Berechnungsstelle die Differenz aus (1) dem </w:t>
            </w:r>
            <w:r w:rsidRPr="00792D61">
              <w:rPr>
                <w:b/>
                <w:lang w:val="de-DE"/>
              </w:rPr>
              <w:t>[</w:t>
            </w:r>
            <w:r w:rsidRPr="003E3970">
              <w:rPr>
                <w:lang w:val="de-DE"/>
              </w:rPr>
              <w:t>jeweiligen</w:t>
            </w:r>
            <w:r w:rsidRPr="00792D61">
              <w:rPr>
                <w:b/>
                <w:lang w:val="de-DE"/>
              </w:rPr>
              <w:t>]</w:t>
            </w:r>
            <w:r w:rsidRPr="003E3970">
              <w:rPr>
                <w:lang w:val="de-DE"/>
              </w:rPr>
              <w:t xml:space="preserve"> Zinszahlungsbetrag pro Komplexes Produkt, der am </w:t>
            </w:r>
            <w:r w:rsidRPr="00792D61">
              <w:rPr>
                <w:b/>
                <w:lang w:val="de-DE"/>
              </w:rPr>
              <w:t>[</w:t>
            </w:r>
            <w:r w:rsidRPr="003E3970">
              <w:rPr>
                <w:lang w:val="de-DE"/>
              </w:rPr>
              <w:t>jeweiligen</w:t>
            </w:r>
            <w:r w:rsidRPr="00792D61">
              <w:rPr>
                <w:b/>
                <w:lang w:val="de-DE"/>
              </w:rPr>
              <w:t>]</w:t>
            </w:r>
            <w:r w:rsidRPr="003E3970">
              <w:rPr>
                <w:lang w:val="de-DE"/>
              </w:rPr>
              <w:t xml:space="preserve"> Zinszahlungstag gezahlt worden wäre, wenn dieser Referenzschuldner nicht als Betroffener Referenzschuldner behandelt worden wäre, und (2) dem Nicht-Betroffenen Zinszahlungsbetrag (diese Differenz der "</w:t>
            </w:r>
            <w:r w:rsidRPr="00EC00FA">
              <w:rPr>
                <w:b/>
                <w:lang w:val="de-DE"/>
              </w:rPr>
              <w:t>Rest-Zinszahlungsbetrag</w:t>
            </w:r>
            <w:r w:rsidRPr="003E3970">
              <w:rPr>
                <w:lang w:val="de-DE"/>
              </w:rPr>
              <w:t xml:space="preserve">") berechnen und (b) wird die Emittentin einen Geldbetrag pro Komplexes Produkt, der dem Rest-Zinszahlungsbetrag entspricht, am </w:t>
            </w:r>
            <w:r w:rsidRPr="00792D61">
              <w:rPr>
                <w:b/>
                <w:lang w:val="de-DE"/>
              </w:rPr>
              <w:t>[</w:t>
            </w:r>
            <w:r w:rsidRPr="003E3970">
              <w:rPr>
                <w:lang w:val="de-DE"/>
              </w:rPr>
              <w:t>fünften</w:t>
            </w:r>
            <w:r w:rsidRPr="00792D61">
              <w:rPr>
                <w:b/>
                <w:lang w:val="de-DE"/>
              </w:rPr>
              <w:t>][[</w:t>
            </w:r>
            <w:r w:rsidRPr="003E3970">
              <w:rPr>
                <w:rFonts w:ascii="Arial" w:hAnsi="Arial" w:cs="Arial"/>
                <w:lang w:val="de-DE"/>
              </w:rPr>
              <w:t>●</w:t>
            </w:r>
            <w:r w:rsidRPr="00792D61">
              <w:rPr>
                <w:b/>
                <w:lang w:val="de-DE"/>
              </w:rPr>
              <w:t>]]</w:t>
            </w:r>
            <w:r w:rsidRPr="003E3970">
              <w:rPr>
                <w:lang w:val="de-DE"/>
              </w:rPr>
              <w:t xml:space="preserve"> Gesch</w:t>
            </w:r>
            <w:r w:rsidRPr="003E3970">
              <w:rPr>
                <w:rFonts w:cs="Credit Suisse Type Light"/>
                <w:lang w:val="de-DE"/>
              </w:rPr>
              <w:t>ä</w:t>
            </w:r>
            <w:r w:rsidRPr="003E3970">
              <w:rPr>
                <w:lang w:val="de-DE"/>
              </w:rPr>
              <w:t xml:space="preserve">ftstag nach dem letzten Tag </w:t>
            </w:r>
            <w:r w:rsidR="00942F00">
              <w:rPr>
                <w:lang w:val="de-DE"/>
              </w:rPr>
              <w:t>dieses</w:t>
            </w:r>
            <w:r w:rsidRPr="003E3970">
              <w:rPr>
                <w:lang w:val="de-DE"/>
              </w:rPr>
              <w:t xml:space="preserve"> Zeitraums eines Potenziellen Kreditereignisses an den jeweiligen Inhaber zahlen </w:t>
            </w:r>
            <w:r w:rsidRPr="00792D61">
              <w:rPr>
                <w:b/>
                <w:lang w:val="de-DE"/>
              </w:rPr>
              <w:t>[</w:t>
            </w:r>
            <w:r w:rsidRPr="003E3970">
              <w:rPr>
                <w:lang w:val="de-DE"/>
              </w:rPr>
              <w:t>.</w:t>
            </w:r>
            <w:r w:rsidRPr="00792D61">
              <w:rPr>
                <w:b/>
                <w:lang w:val="de-DE"/>
              </w:rPr>
              <w:t>][</w:t>
            </w:r>
            <w:r w:rsidRPr="002126D4">
              <w:rPr>
                <w:b/>
                <w:i/>
                <w:lang w:val="de-DE"/>
              </w:rPr>
              <w:t>falls anwendbar, einfügen:</w:t>
            </w:r>
            <w:r w:rsidRPr="003E3970">
              <w:rPr>
                <w:lang w:val="de-DE"/>
              </w:rPr>
              <w:t xml:space="preserve">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2126D4">
            <w:pPr>
              <w:pStyle w:val="CSManNum8pt"/>
              <w:rPr>
                <w:lang w:val="de-DE"/>
              </w:rPr>
            </w:pPr>
          </w:p>
        </w:tc>
        <w:tc>
          <w:tcPr>
            <w:tcW w:w="3315" w:type="dxa"/>
            <w:gridSpan w:val="7"/>
            <w:tcBorders>
              <w:top w:val="nil"/>
              <w:left w:val="nil"/>
              <w:bottom w:val="nil"/>
            </w:tcBorders>
            <w:shd w:val="clear" w:color="auto" w:fill="auto"/>
          </w:tcPr>
          <w:p w:rsidR="0017135D" w:rsidRPr="004F7386" w:rsidP="00942F00">
            <w:pPr>
              <w:pStyle w:val="CSManNum8pt"/>
            </w:pPr>
            <w:r w:rsidRPr="00BD6E0D">
              <w:rPr>
                <w:lang w:val="de-DE"/>
              </w:rPr>
              <w:tab/>
            </w:r>
            <w:r w:rsidRPr="008E7633">
              <w:rPr>
                <w:i/>
              </w:rPr>
              <w:t>provided, however</w:t>
            </w:r>
            <w:r w:rsidRPr="004F7386">
              <w:t xml:space="preserve">, that the Issuer may elect in its discretion to pay the Remaining Interest Payment Amount per Complex Product </w:t>
            </w:r>
            <w:r>
              <w:t xml:space="preserve">for any or all such Reference Entities </w:t>
            </w:r>
            <w:r w:rsidRPr="004F7386">
              <w:t xml:space="preserve">at any time during </w:t>
            </w:r>
            <w:r>
              <w:t xml:space="preserve">the related </w:t>
            </w:r>
            <w:r w:rsidRPr="004F7386">
              <w:t xml:space="preserve">Potential Credit Event Period to the </w:t>
            </w:r>
            <w:r>
              <w:t>Holder</w:t>
            </w:r>
            <w:r w:rsidRPr="004F7386">
              <w:t xml:space="preserve"> thereof, so long as the relevant Potential Failure to Pay </w:t>
            </w:r>
            <w:r w:rsidRPr="00792D61">
              <w:rPr>
                <w:b/>
              </w:rPr>
              <w:t>[</w:t>
            </w:r>
            <w:r w:rsidRPr="002126D4">
              <w:rPr>
                <w:b/>
                <w:i/>
              </w:rPr>
              <w:t>if "Repudiation/Moratorium" is applicable, insert:</w:t>
            </w:r>
            <w:r w:rsidRPr="004F7386">
              <w:t xml:space="preserve"> , Potential Repudiation/Moratorium</w:t>
            </w:r>
            <w:r w:rsidRPr="00792D61">
              <w:rPr>
                <w:b/>
              </w:rPr>
              <w:t>]</w:t>
            </w:r>
            <w:r w:rsidRPr="004F7386">
              <w:t xml:space="preserve"> or DC Pending Request, as the case may be, has not resulted in the occurrence of a Credit Event Determination Date with respect to the relevant Reference Entity as of the date of such payment.</w:t>
            </w:r>
            <w:r w:rsidRPr="00792D61">
              <w:rPr>
                <w:b/>
              </w:rPr>
              <w:t>]</w:t>
            </w:r>
            <w:r w:rsidRPr="004F7386">
              <w:t xml:space="preserve"> For any postponement of the payment of an Interest Payment Amount no default interest or other compensation payments shall be payable to the holders.</w:t>
            </w:r>
            <w:r w:rsidRPr="00792D61">
              <w:rPr>
                <w:b/>
              </w:rPr>
              <w:t>]</w:t>
            </w:r>
          </w:p>
        </w:tc>
        <w:tc>
          <w:tcPr>
            <w:tcW w:w="1618" w:type="dxa"/>
            <w:gridSpan w:val="2"/>
            <w:tcBorders>
              <w:top w:val="nil"/>
              <w:bottom w:val="nil"/>
              <w:right w:val="nil"/>
            </w:tcBorders>
            <w:shd w:val="clear" w:color="auto" w:fill="auto"/>
          </w:tcPr>
          <w:p w:rsidR="0017135D" w:rsidRPr="003E3970" w:rsidP="002126D4">
            <w:pPr>
              <w:pStyle w:val="CSManNum8pt"/>
            </w:pPr>
          </w:p>
        </w:tc>
        <w:tc>
          <w:tcPr>
            <w:tcW w:w="3318" w:type="dxa"/>
            <w:gridSpan w:val="10"/>
            <w:tcBorders>
              <w:top w:val="nil"/>
              <w:left w:val="nil"/>
              <w:bottom w:val="nil"/>
              <w:right w:val="nil"/>
            </w:tcBorders>
            <w:shd w:val="clear" w:color="auto" w:fill="auto"/>
          </w:tcPr>
          <w:p w:rsidR="0017135D" w:rsidRPr="003E3970" w:rsidP="00942F00">
            <w:pPr>
              <w:pStyle w:val="CSManNum8pt"/>
              <w:rPr>
                <w:lang w:val="de-DE"/>
              </w:rPr>
            </w:pPr>
            <w:r w:rsidRPr="00392DBD">
              <w:tab/>
            </w:r>
            <w:r w:rsidRPr="00BD6E0D">
              <w:rPr>
                <w:i/>
                <w:lang w:val="de-DE"/>
              </w:rPr>
              <w:t>wobei jedoch</w:t>
            </w:r>
            <w:r w:rsidRPr="003E3970">
              <w:rPr>
                <w:lang w:val="de-DE"/>
              </w:rPr>
              <w:t xml:space="preserve"> die Emittentin nach ihrem Ermessen den Rest-Zinszahlungsbetrag pro Komplexes Produkt</w:t>
            </w:r>
            <w:r>
              <w:rPr>
                <w:lang w:val="de-DE"/>
              </w:rPr>
              <w:t xml:space="preserve"> für einzelne oder alle dieser Referenzschuldner</w:t>
            </w:r>
            <w:r w:rsidRPr="003E3970">
              <w:rPr>
                <w:lang w:val="de-DE"/>
              </w:rPr>
              <w:t xml:space="preserve"> zu jedem Zeitpunkt des </w:t>
            </w:r>
            <w:r>
              <w:rPr>
                <w:lang w:val="de-DE"/>
              </w:rPr>
              <w:t>jeweiligen</w:t>
            </w:r>
            <w:r w:rsidRPr="003E3970">
              <w:rPr>
                <w:lang w:val="de-DE"/>
              </w:rPr>
              <w:t xml:space="preserve"> Zeitraums eines Potenziellen Kreditereignisses an den jeweiligen Inhaber zahlen kann, solange zum Zeitpunkt der Zahlung die jeweilige Potenzielle Nichtzahlung </w:t>
            </w:r>
            <w:r w:rsidRPr="00792D61">
              <w:rPr>
                <w:b/>
                <w:lang w:val="de-DE"/>
              </w:rPr>
              <w:t>[</w:t>
            </w:r>
            <w:r w:rsidRPr="002126D4">
              <w:rPr>
                <w:b/>
                <w:i/>
                <w:lang w:val="de-DE"/>
              </w:rPr>
              <w:t>falls "Nichtanerkennung/Moratorium" anwendbar ist, einfügen:</w:t>
            </w:r>
            <w:r w:rsidRPr="003E3970">
              <w:rPr>
                <w:lang w:val="de-DE"/>
              </w:rPr>
              <w:t xml:space="preserve"> oder die jeweilige Potenzielle Nichtanerkennung / das jeweilige Potenzielle Moratorium</w:t>
            </w:r>
            <w:r w:rsidRPr="00792D61">
              <w:rPr>
                <w:b/>
                <w:lang w:val="de-DE"/>
              </w:rPr>
              <w:t>]</w:t>
            </w:r>
            <w:r w:rsidRPr="003E3970">
              <w:rPr>
                <w:lang w:val="de-DE"/>
              </w:rPr>
              <w:t xml:space="preserve"> oder ein Ausstehender Antrag nicht zu einem Kreditereignis-Feststellungstag bezüglich des jeweiligen Referenzschuldners.</w:t>
            </w:r>
            <w:r w:rsidRPr="00792D61">
              <w:rPr>
                <w:b/>
                <w:lang w:val="de-DE"/>
              </w:rPr>
              <w:t>]</w:t>
            </w:r>
            <w:r w:rsidRPr="003E3970">
              <w:rPr>
                <w:lang w:val="de-DE"/>
              </w:rPr>
              <w:t xml:space="preserve"> Für jede Verschiebung der Zahlung eines Zinszahlungsbetrags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2126D4">
            <w:pPr>
              <w:pStyle w:val="CSBody8ptbolditalics"/>
              <w:rPr>
                <w:lang w:val="de-DE"/>
              </w:rPr>
            </w:pPr>
          </w:p>
        </w:tc>
        <w:tc>
          <w:tcPr>
            <w:tcW w:w="3315" w:type="dxa"/>
            <w:gridSpan w:val="7"/>
            <w:tcBorders>
              <w:top w:val="nil"/>
              <w:left w:val="nil"/>
              <w:bottom w:val="nil"/>
            </w:tcBorders>
            <w:shd w:val="clear" w:color="auto" w:fill="auto"/>
          </w:tcPr>
          <w:p w:rsidR="0017135D" w:rsidRPr="004F7386" w:rsidP="002126D4">
            <w:pPr>
              <w:pStyle w:val="CSBody8ptbolditalics"/>
            </w:pPr>
            <w:r w:rsidRPr="00792D61">
              <w:t>[</w:t>
            </w:r>
            <w:r w:rsidRPr="004F7386">
              <w:t>in the case of Credit-Linked Complex Products with simplified settlement, insert:</w:t>
            </w:r>
          </w:p>
        </w:tc>
        <w:tc>
          <w:tcPr>
            <w:tcW w:w="1618" w:type="dxa"/>
            <w:gridSpan w:val="2"/>
            <w:tcBorders>
              <w:top w:val="nil"/>
              <w:bottom w:val="nil"/>
              <w:right w:val="nil"/>
            </w:tcBorders>
            <w:shd w:val="clear" w:color="auto" w:fill="auto"/>
          </w:tcPr>
          <w:p w:rsidR="0017135D" w:rsidRPr="003E3970" w:rsidP="002126D4">
            <w:pPr>
              <w:pStyle w:val="CSBody8ptbolditalics"/>
            </w:pPr>
          </w:p>
        </w:tc>
        <w:tc>
          <w:tcPr>
            <w:tcW w:w="3318" w:type="dxa"/>
            <w:gridSpan w:val="10"/>
            <w:tcBorders>
              <w:top w:val="nil"/>
              <w:left w:val="nil"/>
              <w:bottom w:val="nil"/>
              <w:right w:val="nil"/>
            </w:tcBorders>
            <w:shd w:val="clear" w:color="auto" w:fill="auto"/>
          </w:tcPr>
          <w:p w:rsidR="0017135D" w:rsidRPr="003E3970" w:rsidP="002126D4">
            <w:pPr>
              <w:pStyle w:val="CSBody8ptbolditalics"/>
              <w:rPr>
                <w:lang w:val="de-DE"/>
              </w:rPr>
            </w:pPr>
            <w:r w:rsidRPr="00792D61">
              <w:rPr>
                <w:lang w:val="de-DE"/>
              </w:rPr>
              <w:t>[</w:t>
            </w:r>
            <w:r w:rsidRPr="003E3970">
              <w:rPr>
                <w:lang w:val="de-DE"/>
              </w:rPr>
              <w:t>bei Kreditbezogenen Komplexen Produkten mit vereinfachter Abwicklung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2126D4">
            <w:pPr>
              <w:pStyle w:val="CSBody8pt"/>
              <w:rPr>
                <w:lang w:val="de-DE"/>
              </w:rPr>
            </w:pPr>
          </w:p>
        </w:tc>
        <w:tc>
          <w:tcPr>
            <w:tcW w:w="3315" w:type="dxa"/>
            <w:gridSpan w:val="7"/>
            <w:tcBorders>
              <w:top w:val="nil"/>
              <w:left w:val="nil"/>
              <w:bottom w:val="nil"/>
            </w:tcBorders>
            <w:shd w:val="clear" w:color="auto" w:fill="auto"/>
          </w:tcPr>
          <w:p w:rsidR="0017135D" w:rsidP="002126D4">
            <w:pPr>
              <w:pStyle w:val="CSBody8pt"/>
            </w:pPr>
            <w:r w:rsidRPr="004F7386">
              <w:t xml:space="preserve">Notwithstanding the immediately preceding paragraph, if a Suspension Period has occurred prior to, and is continuing on, </w:t>
            </w:r>
            <w:r w:rsidRPr="00792D61">
              <w:rPr>
                <w:b/>
              </w:rPr>
              <w:t>[</w:t>
            </w:r>
            <w:r w:rsidRPr="004F7386">
              <w:t>the</w:t>
            </w:r>
            <w:r w:rsidRPr="00792D61">
              <w:rPr>
                <w:b/>
              </w:rPr>
              <w:t>][</w:t>
            </w:r>
            <w:r w:rsidRPr="004F7386">
              <w:t>such</w:t>
            </w:r>
            <w:r w:rsidRPr="00792D61">
              <w:rPr>
                <w:b/>
              </w:rPr>
              <w:t>]</w:t>
            </w:r>
            <w:r w:rsidRPr="004F7386">
              <w:t xml:space="preserve"> Interest Payment Date, and</w:t>
            </w:r>
          </w:p>
        </w:tc>
        <w:tc>
          <w:tcPr>
            <w:tcW w:w="1618" w:type="dxa"/>
            <w:gridSpan w:val="2"/>
            <w:tcBorders>
              <w:top w:val="nil"/>
              <w:bottom w:val="nil"/>
              <w:right w:val="nil"/>
            </w:tcBorders>
            <w:shd w:val="clear" w:color="auto" w:fill="auto"/>
          </w:tcPr>
          <w:p w:rsidR="0017135D" w:rsidRPr="003E3970" w:rsidP="002126D4">
            <w:pPr>
              <w:pStyle w:val="CSBody8pt"/>
            </w:pPr>
          </w:p>
        </w:tc>
        <w:tc>
          <w:tcPr>
            <w:tcW w:w="3318" w:type="dxa"/>
            <w:gridSpan w:val="10"/>
            <w:tcBorders>
              <w:top w:val="nil"/>
              <w:left w:val="nil"/>
              <w:bottom w:val="nil"/>
              <w:right w:val="nil"/>
            </w:tcBorders>
            <w:shd w:val="clear" w:color="auto" w:fill="auto"/>
          </w:tcPr>
          <w:p w:rsidR="0017135D" w:rsidRPr="003E3970" w:rsidP="002126D4">
            <w:pPr>
              <w:pStyle w:val="CSBody8pt"/>
              <w:rPr>
                <w:lang w:val="de-DE"/>
              </w:rPr>
            </w:pPr>
            <w:r w:rsidRPr="003E3970">
              <w:rPr>
                <w:lang w:val="de-DE"/>
              </w:rPr>
              <w:t xml:space="preserve">Ungeachtet des unmittelbar vorangehenden Absatzes gilt Folgendes: Im Fall, dass ein Aussetzungszeitraum vor dem </w:t>
            </w:r>
            <w:r w:rsidRPr="00792D61">
              <w:rPr>
                <w:b/>
                <w:lang w:val="de-DE"/>
              </w:rPr>
              <w:t>[</w:t>
            </w:r>
            <w:r w:rsidRPr="003E3970">
              <w:rPr>
                <w:lang w:val="de-DE"/>
              </w:rPr>
              <w:t>jeweiligen</w:t>
            </w:r>
            <w:r w:rsidRPr="00792D61">
              <w:rPr>
                <w:b/>
                <w:lang w:val="de-DE"/>
              </w:rPr>
              <w:t>]</w:t>
            </w:r>
            <w:r w:rsidRPr="003E3970">
              <w:rPr>
                <w:lang w:val="de-DE"/>
              </w:rPr>
              <w:t xml:space="preserve"> Zinszahlungstag begonnen hat und an diesem Tag andauert, und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2126D4">
            <w:pPr>
              <w:pStyle w:val="CSManNum8pt"/>
              <w:rPr>
                <w:lang w:val="de-DE"/>
              </w:rPr>
            </w:pPr>
          </w:p>
        </w:tc>
        <w:tc>
          <w:tcPr>
            <w:tcW w:w="3315" w:type="dxa"/>
            <w:gridSpan w:val="7"/>
            <w:tcBorders>
              <w:top w:val="nil"/>
              <w:left w:val="nil"/>
              <w:bottom w:val="nil"/>
            </w:tcBorders>
            <w:shd w:val="clear" w:color="auto" w:fill="auto"/>
          </w:tcPr>
          <w:p w:rsidR="0017135D" w:rsidRPr="003E3970" w:rsidP="002126D4">
            <w:pPr>
              <w:pStyle w:val="CSManNum8pt"/>
            </w:pPr>
            <w:r w:rsidRPr="003E3970">
              <w:t>(i)</w:t>
            </w:r>
            <w:r w:rsidRPr="003E3970">
              <w:tab/>
              <w:t xml:space="preserve">a Credit Redemption Event occurs on or prior to the last day of the Suspension Period, the Issuer shall not pay the </w:t>
            </w:r>
            <w:r w:rsidRPr="00792D61">
              <w:rPr>
                <w:b/>
              </w:rPr>
              <w:t>[</w:t>
            </w:r>
            <w:r w:rsidRPr="003E3970">
              <w:t>relevant</w:t>
            </w:r>
            <w:r w:rsidRPr="00792D61">
              <w:rPr>
                <w:b/>
              </w:rPr>
              <w:t>]</w:t>
            </w:r>
            <w:r w:rsidRPr="003E3970">
              <w:t xml:space="preserve"> Interest Payment Amount; or</w:t>
            </w:r>
          </w:p>
        </w:tc>
        <w:tc>
          <w:tcPr>
            <w:tcW w:w="1618" w:type="dxa"/>
            <w:gridSpan w:val="2"/>
            <w:tcBorders>
              <w:top w:val="nil"/>
              <w:bottom w:val="nil"/>
              <w:right w:val="nil"/>
            </w:tcBorders>
            <w:shd w:val="clear" w:color="auto" w:fill="auto"/>
          </w:tcPr>
          <w:p w:rsidR="0017135D" w:rsidRPr="003E3970" w:rsidP="002126D4">
            <w:pPr>
              <w:pStyle w:val="CSManNum8pt"/>
            </w:pPr>
          </w:p>
        </w:tc>
        <w:tc>
          <w:tcPr>
            <w:tcW w:w="3318" w:type="dxa"/>
            <w:gridSpan w:val="10"/>
            <w:tcBorders>
              <w:top w:val="nil"/>
              <w:left w:val="nil"/>
              <w:bottom w:val="nil"/>
              <w:right w:val="nil"/>
            </w:tcBorders>
            <w:shd w:val="clear" w:color="auto" w:fill="auto"/>
          </w:tcPr>
          <w:p w:rsidR="0017135D" w:rsidRPr="003E3970" w:rsidP="003B2F7F">
            <w:pPr>
              <w:pStyle w:val="CSManNum8pt"/>
              <w:rPr>
                <w:lang w:val="de-DE"/>
              </w:rPr>
            </w:pPr>
            <w:r w:rsidRPr="003E3970">
              <w:rPr>
                <w:lang w:val="de-DE"/>
              </w:rPr>
              <w:t>(i)</w:t>
            </w:r>
            <w:r w:rsidRPr="003E3970">
              <w:rPr>
                <w:lang w:val="de-DE"/>
              </w:rPr>
              <w:tab/>
              <w:t xml:space="preserve">an oder vor dem letzten Tag des Aussetzungszeitraums ein Kredit-Rückzahlungsereignis eintritt, zahlt die Emittentin den </w:t>
            </w:r>
            <w:r w:rsidRPr="00792D61">
              <w:rPr>
                <w:b/>
                <w:lang w:val="de-DE"/>
              </w:rPr>
              <w:t>[</w:t>
            </w:r>
            <w:r w:rsidRPr="003E3970">
              <w:rPr>
                <w:lang w:val="de-DE"/>
              </w:rPr>
              <w:t>jeweiligen</w:t>
            </w:r>
            <w:r w:rsidRPr="00792D61">
              <w:rPr>
                <w:b/>
                <w:lang w:val="de-DE"/>
              </w:rPr>
              <w:t>]</w:t>
            </w:r>
            <w:r w:rsidRPr="003E3970">
              <w:rPr>
                <w:lang w:val="de-DE"/>
              </w:rPr>
              <w:t xml:space="preserve"> Zinszahlungsbetrag nicht;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2126D4">
            <w:pPr>
              <w:pStyle w:val="CSManNum8pt"/>
              <w:rPr>
                <w:lang w:val="de-DE"/>
              </w:rPr>
            </w:pPr>
          </w:p>
        </w:tc>
        <w:tc>
          <w:tcPr>
            <w:tcW w:w="3315" w:type="dxa"/>
            <w:gridSpan w:val="7"/>
            <w:tcBorders>
              <w:top w:val="nil"/>
              <w:left w:val="nil"/>
              <w:bottom w:val="nil"/>
            </w:tcBorders>
            <w:shd w:val="clear" w:color="auto" w:fill="auto"/>
          </w:tcPr>
          <w:p w:rsidR="0017135D" w:rsidRPr="003E3970" w:rsidP="002126D4">
            <w:pPr>
              <w:pStyle w:val="CSManNum8pt"/>
            </w:pPr>
            <w:r w:rsidRPr="003E3970">
              <w:t>(ii)</w:t>
            </w:r>
            <w:r w:rsidRPr="003E3970">
              <w:tab/>
            </w:r>
            <w:r w:rsidRPr="002126D4">
              <w:rPr>
                <w:b/>
              </w:rPr>
              <w:t>no Credit Redemption Event occurs</w:t>
            </w:r>
            <w:r w:rsidRPr="003E3970">
              <w:t xml:space="preserve"> on or prior to the last day of the Suspension Period, instead of paying the </w:t>
            </w:r>
            <w:r w:rsidRPr="00792D61">
              <w:rPr>
                <w:b/>
              </w:rPr>
              <w:t>[</w:t>
            </w:r>
            <w:r w:rsidRPr="003E3970">
              <w:t>relevant</w:t>
            </w:r>
            <w:r w:rsidRPr="00792D61">
              <w:rPr>
                <w:b/>
              </w:rPr>
              <w:t>]</w:t>
            </w:r>
            <w:r w:rsidRPr="003E3970">
              <w:t xml:space="preserve"> Interest Payment Amount on </w:t>
            </w:r>
            <w:r w:rsidRPr="00792D61">
              <w:rPr>
                <w:b/>
              </w:rPr>
              <w:t>[</w:t>
            </w:r>
            <w:r w:rsidRPr="003E3970">
              <w:t>the</w:t>
            </w:r>
            <w:r w:rsidRPr="00792D61">
              <w:rPr>
                <w:b/>
              </w:rPr>
              <w:t>][</w:t>
            </w:r>
            <w:r w:rsidRPr="003E3970">
              <w:t>such</w:t>
            </w:r>
            <w:r w:rsidRPr="00792D61">
              <w:rPr>
                <w:b/>
              </w:rPr>
              <w:t>]</w:t>
            </w:r>
            <w:r w:rsidRPr="003E3970">
              <w:t xml:space="preserve"> Interest Payment Date, the Issuer shall pay the </w:t>
            </w:r>
            <w:r w:rsidRPr="00792D61">
              <w:rPr>
                <w:b/>
              </w:rPr>
              <w:t>[</w:t>
            </w:r>
            <w:r w:rsidRPr="003E3970">
              <w:t>relevant</w:t>
            </w:r>
            <w:r w:rsidRPr="00792D61">
              <w:rPr>
                <w:b/>
              </w:rPr>
              <w:t>]</w:t>
            </w:r>
            <w:r w:rsidRPr="003E3970">
              <w:t xml:space="preserve"> Interest Payment Amount per Complex Product on the </w:t>
            </w:r>
            <w:r w:rsidRPr="00792D61">
              <w:rPr>
                <w:b/>
              </w:rPr>
              <w:t>[</w:t>
            </w:r>
            <w:r w:rsidRPr="003E3970">
              <w:t>second</w:t>
            </w:r>
            <w:r w:rsidRPr="00792D61">
              <w:rPr>
                <w:b/>
              </w:rPr>
              <w:t>][[</w:t>
            </w:r>
            <w:r w:rsidRPr="003E3970">
              <w:rPr>
                <w:rFonts w:ascii="Arial" w:hAnsi="Arial" w:cs="Arial"/>
              </w:rPr>
              <w:t>●</w:t>
            </w:r>
            <w:r w:rsidRPr="00792D61">
              <w:rPr>
                <w:b/>
              </w:rPr>
              <w:t>]]</w:t>
            </w:r>
            <w:r w:rsidRPr="003E3970">
              <w:t xml:space="preserve"> Business Day following the last day of the Suspension Period to the Holder thereof.</w:t>
            </w:r>
            <w:r w:rsidRPr="00792D61">
              <w:rPr>
                <w:b/>
              </w:rPr>
              <w:t>]</w:t>
            </w:r>
          </w:p>
        </w:tc>
        <w:tc>
          <w:tcPr>
            <w:tcW w:w="1618" w:type="dxa"/>
            <w:gridSpan w:val="2"/>
            <w:tcBorders>
              <w:top w:val="nil"/>
              <w:bottom w:val="nil"/>
              <w:right w:val="nil"/>
            </w:tcBorders>
            <w:shd w:val="clear" w:color="auto" w:fill="auto"/>
          </w:tcPr>
          <w:p w:rsidR="0017135D" w:rsidRPr="003E3970" w:rsidP="002126D4">
            <w:pPr>
              <w:pStyle w:val="CSManNum8pt"/>
            </w:pPr>
          </w:p>
        </w:tc>
        <w:tc>
          <w:tcPr>
            <w:tcW w:w="3318" w:type="dxa"/>
            <w:gridSpan w:val="10"/>
            <w:tcBorders>
              <w:top w:val="nil"/>
              <w:left w:val="nil"/>
              <w:bottom w:val="nil"/>
              <w:right w:val="nil"/>
            </w:tcBorders>
            <w:shd w:val="clear" w:color="auto" w:fill="auto"/>
          </w:tcPr>
          <w:p w:rsidR="0017135D" w:rsidRPr="003E3970" w:rsidP="00516CB4">
            <w:pPr>
              <w:pStyle w:val="CSManNum8pt"/>
              <w:rPr>
                <w:lang w:val="de-DE"/>
              </w:rPr>
            </w:pPr>
            <w:r w:rsidRPr="003E3970">
              <w:rPr>
                <w:lang w:val="de-DE"/>
              </w:rPr>
              <w:t>(ii)</w:t>
            </w:r>
            <w:r w:rsidRPr="003E3970">
              <w:rPr>
                <w:lang w:val="de-DE"/>
              </w:rPr>
              <w:tab/>
              <w:t xml:space="preserve">an oder vor dem letzten Tag des Aussetzungszeitraums </w:t>
            </w:r>
            <w:r w:rsidRPr="002126D4">
              <w:rPr>
                <w:b/>
                <w:lang w:val="de-DE"/>
              </w:rPr>
              <w:t>kein Kredit-Rück-zahlungsereignis eintritt</w:t>
            </w:r>
            <w:r w:rsidRPr="003E3970">
              <w:rPr>
                <w:lang w:val="de-DE"/>
              </w:rPr>
              <w:t xml:space="preserve">, zahlt die Emittentin den </w:t>
            </w:r>
            <w:r w:rsidRPr="00792D61">
              <w:rPr>
                <w:b/>
                <w:lang w:val="de-DE"/>
              </w:rPr>
              <w:t>[</w:t>
            </w:r>
            <w:r w:rsidRPr="003E3970">
              <w:rPr>
                <w:lang w:val="de-DE"/>
              </w:rPr>
              <w:t>jeweiligen</w:t>
            </w:r>
            <w:r w:rsidRPr="00792D61">
              <w:rPr>
                <w:b/>
                <w:lang w:val="de-DE"/>
              </w:rPr>
              <w:t>]</w:t>
            </w:r>
            <w:r w:rsidRPr="003E3970">
              <w:rPr>
                <w:lang w:val="de-DE"/>
              </w:rPr>
              <w:t xml:space="preserve"> Zinszahlungsbetrag pro Komplexes Produkt anstatt am </w:t>
            </w:r>
            <w:r w:rsidRPr="00792D61">
              <w:rPr>
                <w:b/>
                <w:lang w:val="de-DE"/>
              </w:rPr>
              <w:t>[</w:t>
            </w:r>
            <w:r w:rsidRPr="003E3970">
              <w:rPr>
                <w:lang w:val="de-DE"/>
              </w:rPr>
              <w:t>jeweiligen</w:t>
            </w:r>
            <w:r w:rsidRPr="00792D61">
              <w:rPr>
                <w:b/>
                <w:lang w:val="de-DE"/>
              </w:rPr>
              <w:t>]</w:t>
            </w:r>
            <w:r w:rsidRPr="003E3970">
              <w:rPr>
                <w:lang w:val="de-DE"/>
              </w:rPr>
              <w:t xml:space="preserve"> Zinszahlungstag am </w:t>
            </w:r>
            <w:r w:rsidRPr="00792D61">
              <w:rPr>
                <w:b/>
                <w:lang w:val="de-DE"/>
              </w:rPr>
              <w:t>[</w:t>
            </w:r>
            <w:r w:rsidRPr="003E3970">
              <w:rPr>
                <w:lang w:val="de-DE"/>
              </w:rPr>
              <w:t>zweiten</w:t>
            </w:r>
            <w:r w:rsidRPr="00792D61">
              <w:rPr>
                <w:b/>
                <w:lang w:val="de-DE"/>
              </w:rPr>
              <w:t>]</w:t>
            </w:r>
            <w:r w:rsidRPr="003E3970">
              <w:rPr>
                <w:lang w:val="de-DE"/>
              </w:rPr>
              <w:t xml:space="preserve"> </w:t>
            </w:r>
            <w:r w:rsidRPr="00792D61">
              <w:rPr>
                <w:b/>
                <w:lang w:val="de-DE"/>
              </w:rPr>
              <w:t>[[</w:t>
            </w:r>
            <w:r w:rsidRPr="003E3970">
              <w:rPr>
                <w:lang w:val="de-DE"/>
              </w:rPr>
              <w:t>•</w:t>
            </w:r>
            <w:r w:rsidRPr="00792D61">
              <w:rPr>
                <w:b/>
                <w:lang w:val="de-DE"/>
              </w:rPr>
              <w:t>]]</w:t>
            </w:r>
            <w:r w:rsidRPr="003E3970">
              <w:rPr>
                <w:lang w:val="de-DE"/>
              </w:rPr>
              <w:t xml:space="preserve"> Geschäftstag nach dem letzten Tag des Aussetzungszeitraums an den jeweiligen Inhaber.</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B2F7F">
            <w:pPr>
              <w:pStyle w:val="CSManNum8pt"/>
              <w:ind w:left="0" w:firstLine="0"/>
              <w:jc w:val="left"/>
              <w:rPr>
                <w:lang w:val="de-DE"/>
              </w:rPr>
            </w:pPr>
            <w:r w:rsidRPr="003E3970">
              <w:rPr>
                <w:lang w:val="de-DE"/>
              </w:rPr>
              <w:t>Interest Payment Amount</w:t>
            </w:r>
          </w:p>
        </w:tc>
        <w:tc>
          <w:tcPr>
            <w:tcW w:w="3315" w:type="dxa"/>
            <w:gridSpan w:val="7"/>
            <w:tcBorders>
              <w:top w:val="nil"/>
              <w:left w:val="nil"/>
              <w:bottom w:val="nil"/>
            </w:tcBorders>
            <w:shd w:val="clear" w:color="auto" w:fill="auto"/>
          </w:tcPr>
          <w:p w:rsidR="0017135D" w:rsidRPr="003E3970" w:rsidP="002126D4">
            <w:pPr>
              <w:pStyle w:val="CSBody8ptbolditalics"/>
            </w:pPr>
            <w:r w:rsidRPr="00792D61">
              <w:t>[</w:t>
            </w:r>
            <w:r w:rsidRPr="003E3970">
              <w:t>in the case of Complex Products other than (i) Fixed to Floating Rate Notes, Cumulative Reverse Floater Notes and Stairway Notes and (ii) Inverse Floating Rate Notes, Spread-Linked Notes and Inflation Index-Linked Notes with a Fixed Interest Payment Amount, insert:</w:t>
            </w:r>
          </w:p>
        </w:tc>
        <w:tc>
          <w:tcPr>
            <w:tcW w:w="1618" w:type="dxa"/>
            <w:gridSpan w:val="2"/>
            <w:tcBorders>
              <w:top w:val="nil"/>
              <w:bottom w:val="nil"/>
              <w:right w:val="nil"/>
            </w:tcBorders>
            <w:shd w:val="clear" w:color="auto" w:fill="auto"/>
          </w:tcPr>
          <w:p w:rsidR="0017135D" w:rsidRPr="003E3970" w:rsidP="00516CB4">
            <w:pPr>
              <w:pStyle w:val="CSBody8pt"/>
            </w:pPr>
            <w:r w:rsidRPr="003E3970">
              <w:t>Zinszahlungsbetrag</w:t>
            </w:r>
          </w:p>
        </w:tc>
        <w:tc>
          <w:tcPr>
            <w:tcW w:w="3318" w:type="dxa"/>
            <w:gridSpan w:val="10"/>
            <w:tcBorders>
              <w:top w:val="nil"/>
              <w:left w:val="nil"/>
              <w:bottom w:val="nil"/>
              <w:right w:val="nil"/>
            </w:tcBorders>
            <w:shd w:val="clear" w:color="auto" w:fill="auto"/>
          </w:tcPr>
          <w:p w:rsidR="0017135D" w:rsidRPr="003E3970" w:rsidP="002126D4">
            <w:pPr>
              <w:pStyle w:val="CSBody8ptbolditalics"/>
            </w:pPr>
            <w:r w:rsidRPr="00792D61">
              <w:t>[</w:t>
            </w:r>
            <w:r w:rsidRPr="003E3970">
              <w:t>bei Komplexen Produkten ausser (i) Fixed to Floating Rate Notes, Cumulative Reverse Floater Notes und Stairway Notes und (ii) Inverse Floating Rate Notes, Spread-Linked Notes und Inflation Index-Linked Notes mit einem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2126D4">
            <w:pPr>
              <w:pStyle w:val="CSBody8pt"/>
            </w:pPr>
          </w:p>
        </w:tc>
        <w:tc>
          <w:tcPr>
            <w:tcW w:w="3315" w:type="dxa"/>
            <w:gridSpan w:val="7"/>
            <w:tcBorders>
              <w:top w:val="nil"/>
              <w:left w:val="nil"/>
              <w:bottom w:val="nil"/>
            </w:tcBorders>
            <w:shd w:val="clear" w:color="auto" w:fill="auto"/>
          </w:tcPr>
          <w:p w:rsidR="0017135D" w:rsidRPr="00AF52E2" w:rsidP="002126D4">
            <w:pPr>
              <w:pStyle w:val="CSBody8pt"/>
            </w:pPr>
            <w:r w:rsidRPr="00792D61">
              <w:rPr>
                <w:b/>
              </w:rPr>
              <w:t>[</w:t>
            </w:r>
            <w:r w:rsidRPr="002126D4">
              <w:rPr>
                <w:b/>
                <w:i/>
              </w:rPr>
              <w:t>in the case of one Interest Payment Date, insert:</w:t>
            </w:r>
            <w:r w:rsidRPr="00AF52E2">
              <w:t xml:space="preserve"> a cash amount equal to the product of (i) </w:t>
            </w:r>
            <w:r w:rsidRPr="00792D61">
              <w:rPr>
                <w:b/>
              </w:rPr>
              <w:t>[</w:t>
            </w:r>
            <w:r w:rsidRPr="00AF52E2">
              <w:t xml:space="preserve">in </w:t>
            </w:r>
            <w:r w:rsidRPr="006052E7">
              <w:rPr>
                <w:b/>
                <w:i/>
              </w:rPr>
              <w:t>the case of Credit-Linked Complex Products, insert:</w:t>
            </w:r>
            <w:r w:rsidRPr="00AF52E2">
              <w:t xml:space="preserve"> the </w:t>
            </w:r>
            <w:r w:rsidRPr="00792D61">
              <w:rPr>
                <w:b/>
              </w:rPr>
              <w:t>[</w:t>
            </w:r>
            <w:r w:rsidRPr="002126D4">
              <w:rPr>
                <w:b/>
                <w:i/>
              </w:rPr>
              <w:t>if a Basket is applicable, insert:</w:t>
            </w:r>
            <w:r w:rsidRPr="00AF52E2">
              <w:t xml:space="preserve"> Outstanding Principal Amount on the Interest Payment Date</w:t>
            </w:r>
            <w:r w:rsidRPr="00792D61">
              <w:rPr>
                <w:b/>
              </w:rPr>
              <w:t>][</w:t>
            </w:r>
            <w:r w:rsidRPr="00392DBD">
              <w:rPr>
                <w:b/>
                <w:i/>
              </w:rPr>
              <w:t xml:space="preserve">if no Basket is applicable, insert: </w:t>
            </w:r>
            <w:r w:rsidRPr="00392DBD">
              <w:t>Principal Amount</w:t>
            </w:r>
            <w:r w:rsidRPr="00792D61">
              <w:rPr>
                <w:b/>
              </w:rPr>
              <w:t>]][</w:t>
            </w:r>
            <w:r w:rsidRPr="00392DBD">
              <w:rPr>
                <w:b/>
                <w:i/>
              </w:rPr>
              <w:t>in the case of Complex Products that are not Credit-Linked Complex Products, insert:</w:t>
            </w:r>
            <w:r w:rsidRPr="00AF52E2">
              <w:t xml:space="preserve"> the Denomination</w:t>
            </w:r>
            <w:r w:rsidRPr="00792D61">
              <w:rPr>
                <w:b/>
              </w:rPr>
              <w:t>]</w:t>
            </w:r>
            <w:r w:rsidRPr="00AF52E2">
              <w:t>, (ii) the Day Count Fraction with respect to the Interest Period and (iii) the Interest Rate.</w:t>
            </w:r>
            <w:r w:rsidRPr="00792D61">
              <w:rPr>
                <w:b/>
              </w:rPr>
              <w:t>]</w:t>
            </w:r>
          </w:p>
        </w:tc>
        <w:tc>
          <w:tcPr>
            <w:tcW w:w="1618" w:type="dxa"/>
            <w:gridSpan w:val="2"/>
            <w:tcBorders>
              <w:top w:val="nil"/>
              <w:bottom w:val="nil"/>
              <w:right w:val="nil"/>
            </w:tcBorders>
            <w:shd w:val="clear" w:color="auto" w:fill="auto"/>
          </w:tcPr>
          <w:p w:rsidR="0017135D" w:rsidRPr="003E3970" w:rsidP="002126D4">
            <w:pPr>
              <w:pStyle w:val="CSBody8pt"/>
            </w:pPr>
          </w:p>
        </w:tc>
        <w:tc>
          <w:tcPr>
            <w:tcW w:w="3318" w:type="dxa"/>
            <w:gridSpan w:val="10"/>
            <w:tcBorders>
              <w:top w:val="nil"/>
              <w:left w:val="nil"/>
              <w:bottom w:val="nil"/>
              <w:right w:val="nil"/>
            </w:tcBorders>
            <w:shd w:val="clear" w:color="auto" w:fill="auto"/>
          </w:tcPr>
          <w:p w:rsidR="0017135D" w:rsidRPr="003E3970" w:rsidP="00516CB4">
            <w:pPr>
              <w:pStyle w:val="CSBody8pt"/>
              <w:rPr>
                <w:lang w:val="de-DE"/>
              </w:rPr>
            </w:pPr>
            <w:r w:rsidRPr="00792D61">
              <w:rPr>
                <w:b/>
                <w:lang w:val="de-DE"/>
              </w:rPr>
              <w:t>[</w:t>
            </w:r>
            <w:r w:rsidRPr="002126D4">
              <w:rPr>
                <w:b/>
                <w:i/>
                <w:lang w:val="de-DE"/>
              </w:rPr>
              <w:t>bei nur einem Zahlungstag für Festzinsen einfügen:</w:t>
            </w:r>
            <w:r w:rsidRPr="003E3970">
              <w:rPr>
                <w:lang w:val="de-DE"/>
              </w:rPr>
              <w:t xml:space="preserve"> ein Geldbetrag in Höhe des Produkts aus (i) </w:t>
            </w:r>
            <w:r w:rsidRPr="00792D61">
              <w:rPr>
                <w:b/>
                <w:lang w:val="de-DE"/>
              </w:rPr>
              <w:t>[</w:t>
            </w:r>
            <w:r w:rsidRPr="006052E7">
              <w:rPr>
                <w:b/>
                <w:i/>
                <w:lang w:val="de-DE"/>
              </w:rPr>
              <w:t>bei Kreditbezogenen Komplexen Produkten einfügen:</w:t>
            </w:r>
            <w:r w:rsidRPr="003E3970">
              <w:rPr>
                <w:lang w:val="de-DE"/>
              </w:rPr>
              <w:t xml:space="preserve"> dem </w:t>
            </w:r>
            <w:r w:rsidRPr="00792D61">
              <w:rPr>
                <w:b/>
                <w:lang w:val="de-DE"/>
              </w:rPr>
              <w:t>[</w:t>
            </w:r>
            <w:r w:rsidRPr="008231AB">
              <w:rPr>
                <w:b/>
                <w:i/>
                <w:lang w:val="de-DE"/>
              </w:rPr>
              <w:t>falls ein Korb anwendbar ist, einfügen:</w:t>
            </w:r>
            <w:r w:rsidRPr="003E3970">
              <w:rPr>
                <w:lang w:val="de-DE"/>
              </w:rPr>
              <w:t xml:space="preserve"> Ausstehenden Nennbetrag am Zinszahlungstag</w:t>
            </w:r>
            <w:r w:rsidRPr="00792D61">
              <w:rPr>
                <w:b/>
                <w:lang w:val="de-DE"/>
              </w:rPr>
              <w:t>][</w:t>
            </w:r>
            <w:r w:rsidRPr="003E3970">
              <w:rPr>
                <w:lang w:val="de-DE"/>
              </w:rPr>
              <w:t xml:space="preserve"> </w:t>
            </w:r>
            <w:r w:rsidRPr="00392DBD">
              <w:rPr>
                <w:b/>
                <w:i/>
                <w:lang w:val="de-DE"/>
              </w:rPr>
              <w:t>falls kein Korb anwendbar ist, einfügen:</w:t>
            </w:r>
            <w:r w:rsidRPr="003E3970">
              <w:rPr>
                <w:lang w:val="de-DE"/>
              </w:rPr>
              <w:t xml:space="preserve"> Nennbetrag</w:t>
            </w:r>
            <w:r w:rsidRPr="00792D61">
              <w:rPr>
                <w:b/>
                <w:lang w:val="de-DE"/>
              </w:rPr>
              <w:t>][</w:t>
            </w:r>
            <w:r w:rsidRPr="00392DBD">
              <w:rPr>
                <w:b/>
                <w:i/>
                <w:lang w:val="de-DE"/>
              </w:rPr>
              <w:t>bei Komplexen Produkten, die keine Kreditbezogenen Komplexen Produkte sind, einfügen:</w:t>
            </w:r>
            <w:r w:rsidRPr="003E3970">
              <w:rPr>
                <w:lang w:val="de-DE"/>
              </w:rPr>
              <w:t xml:space="preserve"> der Stückelung</w:t>
            </w:r>
            <w:r w:rsidRPr="00792D61">
              <w:rPr>
                <w:b/>
                <w:lang w:val="de-DE"/>
              </w:rPr>
              <w:t>]</w:t>
            </w:r>
            <w:r w:rsidRPr="003E3970">
              <w:rPr>
                <w:lang w:val="de-DE"/>
              </w:rPr>
              <w:t>, (ii) dem Zinstagequotienten in Bezug auf die Zinsperiode und (iii) dem 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
              <w:rPr>
                <w:lang w:val="de-DE"/>
              </w:rPr>
            </w:pPr>
          </w:p>
        </w:tc>
        <w:tc>
          <w:tcPr>
            <w:tcW w:w="3315" w:type="dxa"/>
            <w:gridSpan w:val="7"/>
            <w:tcBorders>
              <w:top w:val="nil"/>
              <w:left w:val="nil"/>
              <w:bottom w:val="nil"/>
            </w:tcBorders>
            <w:shd w:val="clear" w:color="auto" w:fill="auto"/>
          </w:tcPr>
          <w:p w:rsidR="0017135D" w:rsidRPr="00AF52E2" w:rsidP="00392DBD">
            <w:pPr>
              <w:pStyle w:val="CSBody8pt"/>
            </w:pPr>
            <w:r w:rsidRPr="00792D61">
              <w:rPr>
                <w:b/>
              </w:rPr>
              <w:t>[</w:t>
            </w:r>
            <w:r w:rsidRPr="00392DBD">
              <w:rPr>
                <w:b/>
                <w:i/>
              </w:rPr>
              <w:t>in the case of multiple Interest Payment Dates, insert:</w:t>
            </w:r>
            <w:r w:rsidRPr="00AF52E2">
              <w:t xml:space="preserve"> with respect to any Interest Payment Date, a cash amount equal to the product of (i) </w:t>
            </w:r>
            <w:r w:rsidRPr="00792D61">
              <w:rPr>
                <w:b/>
              </w:rPr>
              <w:t>[</w:t>
            </w:r>
            <w:r w:rsidRPr="00392DBD">
              <w:rPr>
                <w:b/>
                <w:i/>
              </w:rPr>
              <w:t>in the case of Credit-Linked Complex Products, insert:</w:t>
            </w:r>
            <w:r w:rsidRPr="00AF52E2">
              <w:t xml:space="preserve"> the </w:t>
            </w:r>
            <w:r w:rsidRPr="00792D61">
              <w:rPr>
                <w:b/>
              </w:rPr>
              <w:t>[</w:t>
            </w:r>
            <w:r w:rsidRPr="00392DBD">
              <w:rPr>
                <w:b/>
                <w:i/>
              </w:rPr>
              <w:t>if a Basket is applicable, insert:</w:t>
            </w:r>
            <w:r w:rsidRPr="00AF52E2">
              <w:t xml:space="preserve"> Outstanding Principal Amount on such Interest Payment Date</w:t>
            </w:r>
            <w:r w:rsidRPr="00792D61">
              <w:rPr>
                <w:b/>
              </w:rPr>
              <w:t>][</w:t>
            </w:r>
            <w:r w:rsidRPr="00392DBD">
              <w:rPr>
                <w:b/>
                <w:i/>
              </w:rPr>
              <w:t>if no Basket is applicable, insert:</w:t>
            </w:r>
            <w:r w:rsidRPr="00AF52E2">
              <w:t xml:space="preserve"> Principal Amount</w:t>
            </w:r>
            <w:r w:rsidRPr="00792D61">
              <w:rPr>
                <w:b/>
              </w:rPr>
              <w:t>]][</w:t>
            </w:r>
            <w:r w:rsidRPr="00392DBD">
              <w:rPr>
                <w:b/>
                <w:i/>
              </w:rPr>
              <w:t>in the case of Complex Products that are not Credit-Linked Complex Products, insert:</w:t>
            </w:r>
            <w:r w:rsidRPr="00AF52E2">
              <w:t xml:space="preserve"> the Denomination</w:t>
            </w:r>
            <w:r w:rsidRPr="00792D61">
              <w:rPr>
                <w:b/>
              </w:rPr>
              <w:t>]</w:t>
            </w:r>
            <w:r w:rsidRPr="00AF52E2">
              <w:t>, (ii) the Day Count Fraction with respect to the relevant Interest Period and (iii) the relevant Interest Rate.</w:t>
            </w:r>
            <w:r w:rsidRPr="00792D61">
              <w:rPr>
                <w:b/>
              </w:rPr>
              <w:t>]]</w:t>
            </w:r>
          </w:p>
        </w:tc>
        <w:tc>
          <w:tcPr>
            <w:tcW w:w="1618" w:type="dxa"/>
            <w:gridSpan w:val="2"/>
            <w:tcBorders>
              <w:top w:val="nil"/>
              <w:bottom w:val="nil"/>
              <w:right w:val="nil"/>
            </w:tcBorders>
            <w:shd w:val="clear" w:color="auto" w:fill="auto"/>
          </w:tcPr>
          <w:p w:rsidR="0017135D" w:rsidRPr="003E3970" w:rsidP="00392DBD">
            <w:pPr>
              <w:pStyle w:val="CSBody8pt"/>
            </w:pPr>
          </w:p>
        </w:tc>
        <w:tc>
          <w:tcPr>
            <w:tcW w:w="3318" w:type="dxa"/>
            <w:gridSpan w:val="10"/>
            <w:tcBorders>
              <w:top w:val="nil"/>
              <w:left w:val="nil"/>
              <w:bottom w:val="nil"/>
              <w:right w:val="nil"/>
            </w:tcBorders>
            <w:shd w:val="clear" w:color="auto" w:fill="auto"/>
          </w:tcPr>
          <w:p w:rsidR="0017135D" w:rsidRPr="003E3970" w:rsidP="00392DBD">
            <w:pPr>
              <w:pStyle w:val="CSBody8pt"/>
              <w:rPr>
                <w:lang w:val="de-DE"/>
              </w:rPr>
            </w:pPr>
            <w:r w:rsidRPr="00792D61">
              <w:rPr>
                <w:b/>
                <w:lang w:val="de-DE"/>
              </w:rPr>
              <w:t>[</w:t>
            </w:r>
            <w:r w:rsidRPr="00392DBD">
              <w:rPr>
                <w:b/>
                <w:i/>
                <w:lang w:val="de-DE"/>
              </w:rPr>
              <w:t>bei mehreren Zinszahlungstagen einfügen:</w:t>
            </w:r>
            <w:r w:rsidRPr="003E3970">
              <w:rPr>
                <w:lang w:val="de-DE"/>
              </w:rPr>
              <w:t xml:space="preserve"> in Bezug auf einen Zinszahlungstag ein Geldbetrag in Höhe des Produkts aus (i) </w:t>
            </w:r>
            <w:r w:rsidRPr="00792D61">
              <w:rPr>
                <w:b/>
                <w:lang w:val="de-DE"/>
              </w:rPr>
              <w:t>[</w:t>
            </w:r>
            <w:r w:rsidRPr="00392DBD">
              <w:rPr>
                <w:b/>
                <w:i/>
                <w:lang w:val="de-DE"/>
              </w:rPr>
              <w:t>bei Kreditbezogenen Komplexen Produkten einfügen:</w:t>
            </w:r>
            <w:r w:rsidRPr="003E3970">
              <w:rPr>
                <w:lang w:val="de-DE"/>
              </w:rPr>
              <w:t xml:space="preserve"> dem </w:t>
            </w:r>
            <w:r w:rsidRPr="00792D61">
              <w:rPr>
                <w:b/>
                <w:lang w:val="de-DE"/>
              </w:rPr>
              <w:t>[</w:t>
            </w:r>
            <w:r w:rsidRPr="00392DBD">
              <w:rPr>
                <w:b/>
                <w:i/>
                <w:lang w:val="de-DE"/>
              </w:rPr>
              <w:t>falls ein Korb anwendbar ist, einfügen</w:t>
            </w:r>
            <w:r w:rsidRPr="003E3970">
              <w:rPr>
                <w:lang w:val="de-DE"/>
              </w:rPr>
              <w:t>: Ausstehenden Nennbetrag an einem solchen Zinszahlungstag</w:t>
            </w:r>
            <w:r w:rsidRPr="00792D61">
              <w:rPr>
                <w:b/>
                <w:lang w:val="de-DE"/>
              </w:rPr>
              <w:t>][</w:t>
            </w:r>
            <w:r w:rsidRPr="00392DBD">
              <w:rPr>
                <w:b/>
                <w:i/>
                <w:lang w:val="de-DE"/>
              </w:rPr>
              <w:t>falls kein Korb anwendbar ist, einfügen:</w:t>
            </w:r>
            <w:r w:rsidRPr="003E3970">
              <w:rPr>
                <w:lang w:val="de-DE"/>
              </w:rPr>
              <w:t xml:space="preserve"> Nennbetrag</w:t>
            </w:r>
            <w:r w:rsidRPr="00792D61">
              <w:rPr>
                <w:b/>
                <w:lang w:val="de-DE"/>
              </w:rPr>
              <w:t>][</w:t>
            </w:r>
            <w:r w:rsidRPr="00392DBD">
              <w:rPr>
                <w:b/>
                <w:i/>
                <w:lang w:val="de-DE"/>
              </w:rPr>
              <w:t>bei Komplexen Produkten, die keine Kredit-bezogenen Komplexen Produkte sind, einfügen:</w:t>
            </w:r>
            <w:r w:rsidRPr="003E3970">
              <w:rPr>
                <w:lang w:val="de-DE"/>
              </w:rPr>
              <w:t xml:space="preserve"> der Stückelung</w:t>
            </w:r>
            <w:r w:rsidRPr="00792D61">
              <w:rPr>
                <w:b/>
                <w:lang w:val="de-DE"/>
              </w:rPr>
              <w:t>]</w:t>
            </w:r>
            <w:r w:rsidRPr="003E3970">
              <w:rPr>
                <w:lang w:val="de-DE"/>
              </w:rPr>
              <w:t>, (ii) dem Zinstagequotienten in Bezug auf die jeweilige Zinsperiode und (iii) dem jeweiligen 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right w:val="nil"/>
            </w:tcBorders>
            <w:shd w:val="clear" w:color="auto" w:fill="auto"/>
          </w:tcPr>
          <w:p w:rsidR="0017135D" w:rsidRPr="003E3970" w:rsidP="00392DBD">
            <w:pPr>
              <w:pStyle w:val="CSBody8ptbolditalics"/>
              <w:rPr>
                <w:lang w:val="de-DE"/>
              </w:rPr>
            </w:pPr>
          </w:p>
        </w:tc>
        <w:tc>
          <w:tcPr>
            <w:tcW w:w="3315" w:type="dxa"/>
            <w:gridSpan w:val="7"/>
            <w:tcBorders>
              <w:top w:val="nil"/>
              <w:left w:val="nil"/>
              <w:bottom w:val="nil"/>
            </w:tcBorders>
            <w:shd w:val="clear" w:color="auto" w:fill="auto"/>
          </w:tcPr>
          <w:p w:rsidR="0017135D" w:rsidP="00392DBD">
            <w:pPr>
              <w:pStyle w:val="CSBody8ptbolditalics"/>
            </w:pPr>
            <w:r w:rsidRPr="00792D61">
              <w:t>[</w:t>
            </w:r>
            <w:r w:rsidRPr="00AF52E2">
              <w:t>in the case of (i) Fixed to Floating Rate Notes, Cumulative Reverse Floater Notes and Stairway Notes and (ii) Inverse Floating Rate Notes, Spread-Linked Notes and Inflation Index-Linked Notes with a Fixed Interest Payment Amount, insert:</w:t>
            </w:r>
          </w:p>
        </w:tc>
        <w:tc>
          <w:tcPr>
            <w:tcW w:w="1618" w:type="dxa"/>
            <w:gridSpan w:val="2"/>
            <w:tcBorders>
              <w:top w:val="nil"/>
              <w:bottom w:val="nil"/>
              <w:right w:val="nil"/>
            </w:tcBorders>
            <w:shd w:val="clear" w:color="auto" w:fill="auto"/>
          </w:tcPr>
          <w:p w:rsidR="0017135D" w:rsidRPr="003E3970" w:rsidP="00392DBD">
            <w:pPr>
              <w:pStyle w:val="CSBody8ptbolditalics"/>
            </w:pPr>
          </w:p>
        </w:tc>
        <w:tc>
          <w:tcPr>
            <w:tcW w:w="3318" w:type="dxa"/>
            <w:gridSpan w:val="10"/>
            <w:tcBorders>
              <w:top w:val="nil"/>
              <w:left w:val="nil"/>
              <w:bottom w:val="nil"/>
              <w:right w:val="nil"/>
            </w:tcBorders>
            <w:shd w:val="clear" w:color="auto" w:fill="auto"/>
          </w:tcPr>
          <w:p w:rsidR="0017135D" w:rsidP="00392DBD">
            <w:pPr>
              <w:pStyle w:val="CSBody8ptbolditalics"/>
            </w:pPr>
            <w:r w:rsidRPr="00792D61">
              <w:t>[</w:t>
            </w:r>
            <w:r w:rsidRPr="00173411">
              <w:t>bei (i) Fixed to Floating Rate Notes, Cumulative Reverse Floater Notes und Stairway Notes und (ii) Inverse Floating Rate Notes, Spread-Linked Notes und Inflation Index-Linked Notes mit einem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left w:val="nil"/>
              <w:bottom w:val="nil"/>
              <w:right w:val="nil"/>
            </w:tcBorders>
            <w:shd w:val="clear" w:color="auto" w:fill="auto"/>
          </w:tcPr>
          <w:p w:rsidR="0017135D" w:rsidRPr="003E3970" w:rsidP="00392DBD">
            <w:pPr>
              <w:pStyle w:val="CSBody8pt"/>
            </w:pPr>
          </w:p>
        </w:tc>
        <w:tc>
          <w:tcPr>
            <w:tcW w:w="3315" w:type="dxa"/>
            <w:gridSpan w:val="7"/>
            <w:tcBorders>
              <w:top w:val="nil"/>
              <w:left w:val="nil"/>
              <w:bottom w:val="nil"/>
            </w:tcBorders>
            <w:shd w:val="clear" w:color="auto" w:fill="auto"/>
          </w:tcPr>
          <w:p w:rsidR="0017135D" w:rsidRPr="003E3970" w:rsidP="00392DBD">
            <w:pPr>
              <w:pStyle w:val="CSBody8pt"/>
            </w:pPr>
            <w:r w:rsidRPr="003E3970">
              <w:t xml:space="preserve">with respect to any Fixed Interest Payment Date, the Fixed Interest Payment Amount, and, with respect to any Variable Interest Payment Date, the </w:t>
            </w:r>
            <w:r w:rsidRPr="00792D61">
              <w:rPr>
                <w:b/>
              </w:rPr>
              <w:t>[</w:t>
            </w:r>
            <w:r w:rsidRPr="003E3970">
              <w:t>relevant</w:t>
            </w:r>
            <w:r w:rsidRPr="00792D61">
              <w:rPr>
                <w:b/>
              </w:rPr>
              <w:t>]</w:t>
            </w:r>
            <w:r w:rsidRPr="003E3970">
              <w:t xml:space="preserve"> Variable Interest Payment Amount.</w:t>
            </w:r>
            <w:r w:rsidRPr="00792D61">
              <w:rPr>
                <w:b/>
              </w:rPr>
              <w:t>]</w:t>
            </w:r>
          </w:p>
        </w:tc>
        <w:tc>
          <w:tcPr>
            <w:tcW w:w="1618" w:type="dxa"/>
            <w:gridSpan w:val="2"/>
            <w:tcBorders>
              <w:top w:val="nil"/>
              <w:bottom w:val="nil"/>
              <w:right w:val="nil"/>
            </w:tcBorders>
            <w:shd w:val="clear" w:color="auto" w:fill="auto"/>
          </w:tcPr>
          <w:p w:rsidR="0017135D" w:rsidRPr="003E3970" w:rsidP="00392DBD">
            <w:pPr>
              <w:pStyle w:val="CSBody8pt"/>
            </w:pPr>
          </w:p>
        </w:tc>
        <w:tc>
          <w:tcPr>
            <w:tcW w:w="3318" w:type="dxa"/>
            <w:gridSpan w:val="10"/>
            <w:tcBorders>
              <w:top w:val="nil"/>
              <w:left w:val="nil"/>
              <w:bottom w:val="nil"/>
              <w:right w:val="nil"/>
            </w:tcBorders>
            <w:shd w:val="clear" w:color="auto" w:fill="auto"/>
          </w:tcPr>
          <w:p w:rsidR="0017135D" w:rsidRPr="003E3970" w:rsidP="00392DBD">
            <w:pPr>
              <w:pStyle w:val="CSBody8pt"/>
              <w:rPr>
                <w:lang w:val="de-DE"/>
              </w:rPr>
            </w:pPr>
            <w:r w:rsidRPr="003E3970">
              <w:rPr>
                <w:lang w:val="de-DE"/>
              </w:rPr>
              <w:t xml:space="preserve">In Bezug auf einen Zahlungstag für Festzinsen der Zahlungsbetrag für Festzinsen und in Bezug auf einen Zahlungstag für Variable Zinsen der </w:t>
            </w:r>
            <w:r w:rsidRPr="00792D61">
              <w:rPr>
                <w:b/>
                <w:lang w:val="de-DE"/>
              </w:rPr>
              <w:t>[</w:t>
            </w:r>
            <w:r w:rsidRPr="003E3970">
              <w:rPr>
                <w:lang w:val="de-DE"/>
              </w:rPr>
              <w:t>jeweilige</w:t>
            </w:r>
            <w:r w:rsidRPr="00792D61">
              <w:rPr>
                <w:b/>
                <w:lang w:val="de-DE"/>
              </w:rPr>
              <w:t>]</w:t>
            </w:r>
            <w:r w:rsidRPr="003E3970">
              <w:rPr>
                <w:lang w:val="de-DE"/>
              </w:rPr>
              <w:t xml:space="preserve"> Zahlungsbetrag für Variable Zinsen.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8B4190" w:rsidP="00516CB4">
            <w:pPr>
              <w:pStyle w:val="CSBody8ptbolditalics"/>
            </w:pPr>
            <w:r w:rsidRPr="00792D61">
              <w:t>[</w:t>
            </w:r>
            <w:r w:rsidRPr="008B4190">
              <w:t>in the case of (i) Fixed to Floating Rate Notes, Cumulative Reverse Floater Notes and Stairway Notes and (ii) Inverse Floating Rate Notes, Spread-Linked Notes and Inflation Index-Linked Notes with a Fixed Interest Payment Amount, insert:</w:t>
            </w:r>
          </w:p>
        </w:tc>
        <w:tc>
          <w:tcPr>
            <w:tcW w:w="4936" w:type="dxa"/>
            <w:gridSpan w:val="12"/>
            <w:tcBorders>
              <w:bottom w:val="nil"/>
              <w:right w:val="nil"/>
            </w:tcBorders>
            <w:shd w:val="clear" w:color="auto" w:fill="auto"/>
          </w:tcPr>
          <w:p w:rsidR="0017135D" w:rsidP="00392DBD">
            <w:pPr>
              <w:pStyle w:val="CSBody8ptbolditalics"/>
            </w:pPr>
            <w:r w:rsidRPr="00792D61">
              <w:t>[</w:t>
            </w:r>
            <w:r w:rsidRPr="008B4190">
              <w:t>bei (i) Fixed to Floating Rate Notes, Cumulative Reverse Floater Notes und Stairway Notes und (ii) Inverse Floating Rate Notes, Spread-Linked Notes und Inflation Index-Linked Notes mit einem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left w:val="nil"/>
              <w:bottom w:val="nil"/>
              <w:right w:val="nil"/>
            </w:tcBorders>
            <w:shd w:val="clear" w:color="auto" w:fill="auto"/>
          </w:tcPr>
          <w:p w:rsidR="0017135D" w:rsidRPr="003E3970" w:rsidP="00392DBD">
            <w:pPr>
              <w:pStyle w:val="CSBody8pt"/>
            </w:pPr>
            <w:r w:rsidRPr="003E3970">
              <w:t>Fixed Interest Payment Amount</w:t>
            </w:r>
          </w:p>
        </w:tc>
        <w:tc>
          <w:tcPr>
            <w:tcW w:w="3315" w:type="dxa"/>
            <w:gridSpan w:val="7"/>
            <w:tcBorders>
              <w:top w:val="nil"/>
              <w:left w:val="nil"/>
              <w:bottom w:val="nil"/>
            </w:tcBorders>
            <w:shd w:val="clear" w:color="auto" w:fill="auto"/>
          </w:tcPr>
          <w:p w:rsidR="0017135D" w:rsidRPr="0037304A" w:rsidP="00392DBD">
            <w:pPr>
              <w:pStyle w:val="CSBody8pt"/>
            </w:pPr>
            <w:r w:rsidRPr="00792D61">
              <w:rPr>
                <w:b/>
              </w:rPr>
              <w:t>[</w:t>
            </w:r>
            <w:r w:rsidRPr="00392DBD">
              <w:rPr>
                <w:b/>
                <w:i/>
              </w:rPr>
              <w:t>in the case of one Fixed Interest Payment Date, insert:</w:t>
            </w:r>
            <w:r w:rsidRPr="0037304A">
              <w:t xml:space="preserve"> a cash amount equal to the product of (i) the Denomination, (ii) the Day Count Fraction with respect to the relevant Interest Period and (iii) the Fixed Interest Rate.</w:t>
            </w:r>
            <w:r w:rsidRPr="00792D61">
              <w:rPr>
                <w:b/>
              </w:rPr>
              <w:t>]</w:t>
            </w:r>
          </w:p>
        </w:tc>
        <w:tc>
          <w:tcPr>
            <w:tcW w:w="1618" w:type="dxa"/>
            <w:gridSpan w:val="2"/>
            <w:tcBorders>
              <w:top w:val="nil"/>
              <w:bottom w:val="nil"/>
              <w:right w:val="nil"/>
            </w:tcBorders>
            <w:shd w:val="clear" w:color="auto" w:fill="auto"/>
          </w:tcPr>
          <w:p w:rsidR="0017135D" w:rsidRPr="003E3970" w:rsidP="00392DBD">
            <w:pPr>
              <w:pStyle w:val="CSBody8pt"/>
            </w:pPr>
            <w:r w:rsidRPr="003E3970">
              <w:t>Zahlungsbetrag für Festzinsen</w:t>
            </w:r>
          </w:p>
        </w:tc>
        <w:tc>
          <w:tcPr>
            <w:tcW w:w="3318" w:type="dxa"/>
            <w:gridSpan w:val="10"/>
            <w:tcBorders>
              <w:top w:val="nil"/>
              <w:left w:val="nil"/>
              <w:bottom w:val="nil"/>
              <w:right w:val="nil"/>
            </w:tcBorders>
            <w:shd w:val="clear" w:color="auto" w:fill="auto"/>
          </w:tcPr>
          <w:p w:rsidR="0017135D" w:rsidRPr="003E3970" w:rsidP="00392DBD">
            <w:pPr>
              <w:pStyle w:val="CSBody8pt"/>
              <w:rPr>
                <w:lang w:val="de-DE"/>
              </w:rPr>
            </w:pPr>
            <w:r w:rsidRPr="00792D61">
              <w:rPr>
                <w:b/>
                <w:lang w:val="de-DE"/>
              </w:rPr>
              <w:t>[</w:t>
            </w:r>
            <w:r w:rsidRPr="00392DBD">
              <w:rPr>
                <w:b/>
                <w:i/>
                <w:lang w:val="de-DE"/>
              </w:rPr>
              <w:t>bei nur einem Zahlungstag für Festzinsen einfügen:</w:t>
            </w:r>
            <w:r w:rsidRPr="003E3970">
              <w:rPr>
                <w:lang w:val="de-DE"/>
              </w:rPr>
              <w:t xml:space="preserve"> ein Geldbetrag in Höhe des Produkts aus (i) der Stückelung, (ii) dem Zinstagequotienten in Bezug auf die jeweilige Zinsperiode und (iii) dem Festzinssatz.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
              <w:rPr>
                <w:lang w:val="de-DE"/>
              </w:rPr>
            </w:pPr>
          </w:p>
        </w:tc>
        <w:tc>
          <w:tcPr>
            <w:tcW w:w="3315" w:type="dxa"/>
            <w:gridSpan w:val="7"/>
            <w:tcBorders>
              <w:top w:val="nil"/>
              <w:left w:val="nil"/>
              <w:bottom w:val="nil"/>
            </w:tcBorders>
            <w:shd w:val="clear" w:color="auto" w:fill="auto"/>
          </w:tcPr>
          <w:p w:rsidR="0017135D" w:rsidP="00392DBD">
            <w:pPr>
              <w:pStyle w:val="CSBody8pt"/>
            </w:pPr>
            <w:r w:rsidRPr="00792D61">
              <w:rPr>
                <w:b/>
              </w:rPr>
              <w:t>[</w:t>
            </w:r>
            <w:r w:rsidRPr="00392DBD">
              <w:rPr>
                <w:b/>
                <w:i/>
              </w:rPr>
              <w:t>in the case of multiple Fixed Interest Payment Dates, insert:</w:t>
            </w:r>
            <w:r w:rsidRPr="0037304A">
              <w:t xml:space="preserve"> with respect to any Fixed Interest Payment Date, a cash amount equal to the product of (i) the Denomination, (ii) the Day Count Fraction with respect to the relevant Interest Period and (iii) the Fixed Interest Rate.</w:t>
            </w:r>
            <w:r w:rsidRPr="00792D61">
              <w:rPr>
                <w:b/>
              </w:rPr>
              <w:t>]</w:t>
            </w:r>
          </w:p>
        </w:tc>
        <w:tc>
          <w:tcPr>
            <w:tcW w:w="1618" w:type="dxa"/>
            <w:gridSpan w:val="2"/>
            <w:tcBorders>
              <w:top w:val="nil"/>
              <w:bottom w:val="nil"/>
              <w:right w:val="nil"/>
            </w:tcBorders>
            <w:shd w:val="clear" w:color="auto" w:fill="auto"/>
          </w:tcPr>
          <w:p w:rsidR="0017135D" w:rsidRPr="003E3970" w:rsidP="00392DBD">
            <w:pPr>
              <w:pStyle w:val="CSBody8pt"/>
            </w:pPr>
          </w:p>
        </w:tc>
        <w:tc>
          <w:tcPr>
            <w:tcW w:w="3318" w:type="dxa"/>
            <w:gridSpan w:val="10"/>
            <w:tcBorders>
              <w:top w:val="nil"/>
              <w:left w:val="nil"/>
              <w:bottom w:val="nil"/>
              <w:right w:val="nil"/>
            </w:tcBorders>
            <w:shd w:val="clear" w:color="auto" w:fill="auto"/>
          </w:tcPr>
          <w:p w:rsidR="0017135D" w:rsidRPr="003E3970" w:rsidP="00392DBD">
            <w:pPr>
              <w:pStyle w:val="CSBody8pt"/>
              <w:rPr>
                <w:lang w:val="de-DE"/>
              </w:rPr>
            </w:pPr>
            <w:r w:rsidRPr="00792D61">
              <w:rPr>
                <w:b/>
                <w:lang w:val="de-DE"/>
              </w:rPr>
              <w:t>[</w:t>
            </w:r>
            <w:r w:rsidRPr="00392DBD">
              <w:rPr>
                <w:b/>
                <w:i/>
                <w:lang w:val="de-DE"/>
              </w:rPr>
              <w:t>bei mehreren Zahlungstagen für Festzinsen einfügen:</w:t>
            </w:r>
            <w:r w:rsidRPr="003E3970">
              <w:rPr>
                <w:lang w:val="de-DE"/>
              </w:rPr>
              <w:t xml:space="preserve"> in Bezug auf einen Zahlungstag für Festzinsen ein Geldbetrag in Höhe des Produkts aus (i) der Stückelung, (ii) dem Zinstagequotienten in Bezug auf die jeweilige Zinsperiode und (iii) dem Festzinssatz.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
              <w:rPr>
                <w:lang w:val="de-DE"/>
              </w:rPr>
            </w:pPr>
            <w:r w:rsidRPr="003E3970">
              <w:rPr>
                <w:lang w:val="de-DE"/>
              </w:rPr>
              <w:t>Variable Interest Payment Amount</w:t>
            </w:r>
          </w:p>
        </w:tc>
        <w:tc>
          <w:tcPr>
            <w:tcW w:w="3315" w:type="dxa"/>
            <w:gridSpan w:val="7"/>
            <w:tcBorders>
              <w:top w:val="nil"/>
              <w:left w:val="nil"/>
              <w:bottom w:val="nil"/>
            </w:tcBorders>
            <w:shd w:val="clear" w:color="auto" w:fill="auto"/>
          </w:tcPr>
          <w:p w:rsidR="0017135D" w:rsidRPr="003D5DE6" w:rsidP="00392DBD">
            <w:pPr>
              <w:pStyle w:val="CSBody8pt"/>
            </w:pPr>
            <w:r w:rsidRPr="00792D61">
              <w:rPr>
                <w:b/>
              </w:rPr>
              <w:t>[</w:t>
            </w:r>
            <w:r w:rsidRPr="00392DBD">
              <w:rPr>
                <w:b/>
                <w:i/>
              </w:rPr>
              <w:t>in the case of one Variable Interest Payment Date, insert:</w:t>
            </w:r>
            <w:r w:rsidRPr="003D5DE6">
              <w:t xml:space="preserve"> a cash amount equal to the product of (i) the Denomination, (ii) the Day Count Fraction with respect to the relevant Interest Period and (iii) the Variable Interest Rate.</w:t>
            </w:r>
            <w:r w:rsidRPr="00792D61">
              <w:rPr>
                <w:b/>
              </w:rPr>
              <w:t>]</w:t>
            </w:r>
          </w:p>
        </w:tc>
        <w:tc>
          <w:tcPr>
            <w:tcW w:w="1618" w:type="dxa"/>
            <w:gridSpan w:val="2"/>
            <w:tcBorders>
              <w:top w:val="nil"/>
              <w:bottom w:val="nil"/>
              <w:right w:val="nil"/>
            </w:tcBorders>
            <w:shd w:val="clear" w:color="auto" w:fill="auto"/>
          </w:tcPr>
          <w:p w:rsidR="0017135D" w:rsidRPr="003E3970" w:rsidP="00392DBD">
            <w:pPr>
              <w:pStyle w:val="CSBody8pt"/>
            </w:pPr>
            <w:r w:rsidRPr="003E3970">
              <w:t>Zahlungsbetrag für Variable Zinsen</w:t>
            </w:r>
          </w:p>
        </w:tc>
        <w:tc>
          <w:tcPr>
            <w:tcW w:w="3318" w:type="dxa"/>
            <w:gridSpan w:val="10"/>
            <w:tcBorders>
              <w:top w:val="nil"/>
              <w:left w:val="nil"/>
              <w:bottom w:val="nil"/>
              <w:right w:val="nil"/>
            </w:tcBorders>
            <w:shd w:val="clear" w:color="auto" w:fill="auto"/>
          </w:tcPr>
          <w:p w:rsidR="0017135D" w:rsidRPr="003E3970" w:rsidP="00392DBD">
            <w:pPr>
              <w:pStyle w:val="CSBody8pt"/>
              <w:rPr>
                <w:lang w:val="de-DE"/>
              </w:rPr>
            </w:pPr>
            <w:r w:rsidRPr="00792D61">
              <w:rPr>
                <w:b/>
                <w:lang w:val="de-DE"/>
              </w:rPr>
              <w:t>[</w:t>
            </w:r>
            <w:r w:rsidRPr="00392DBD">
              <w:rPr>
                <w:b/>
                <w:i/>
                <w:lang w:val="de-DE"/>
              </w:rPr>
              <w:t>bei nur einem Zahlungstag für Variable Zinsen einfügen:</w:t>
            </w:r>
            <w:r w:rsidRPr="003E3970">
              <w:rPr>
                <w:lang w:val="de-DE"/>
              </w:rPr>
              <w:t xml:space="preserve"> ein Geldbetrag in Höhe des Produkts aus (i) der Stückelung, (ii) dem Zinstagequotienten in Bezug auf die jeweilige Zinsperiode und (iii) dem Variablen 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
              <w:rPr>
                <w:lang w:val="de-DE"/>
              </w:rPr>
            </w:pPr>
          </w:p>
        </w:tc>
        <w:tc>
          <w:tcPr>
            <w:tcW w:w="3315" w:type="dxa"/>
            <w:gridSpan w:val="7"/>
            <w:tcBorders>
              <w:top w:val="nil"/>
              <w:left w:val="nil"/>
              <w:bottom w:val="nil"/>
            </w:tcBorders>
            <w:shd w:val="clear" w:color="auto" w:fill="auto"/>
          </w:tcPr>
          <w:p w:rsidR="0017135D" w:rsidP="00392DBD">
            <w:pPr>
              <w:pStyle w:val="CSBody8pt"/>
            </w:pPr>
            <w:r w:rsidRPr="00792D61">
              <w:rPr>
                <w:b/>
              </w:rPr>
              <w:t>[</w:t>
            </w:r>
            <w:r w:rsidRPr="00392DBD">
              <w:rPr>
                <w:b/>
                <w:i/>
              </w:rPr>
              <w:t>in the case of multiple Variable Interest Payment Dates, insert:</w:t>
            </w:r>
            <w:r w:rsidRPr="003D5DE6">
              <w:t xml:space="preserve"> with respect to any Variable Interest Payment Date, a cash amount equal to the product of (i) the Denomination, (ii) the Day Count Fraction with respect to the relevant Interest Period and (iii) the relevant Variable Interest Rate.</w:t>
            </w:r>
            <w:r w:rsidRPr="00792D61">
              <w:rPr>
                <w:b/>
              </w:rPr>
              <w:t>]]</w:t>
            </w:r>
          </w:p>
        </w:tc>
        <w:tc>
          <w:tcPr>
            <w:tcW w:w="1618" w:type="dxa"/>
            <w:gridSpan w:val="2"/>
            <w:tcBorders>
              <w:top w:val="nil"/>
              <w:bottom w:val="nil"/>
              <w:right w:val="nil"/>
            </w:tcBorders>
            <w:shd w:val="clear" w:color="auto" w:fill="auto"/>
          </w:tcPr>
          <w:p w:rsidR="0017135D" w:rsidRPr="003E3970" w:rsidP="00392DBD">
            <w:pPr>
              <w:pStyle w:val="CSBody8pt"/>
            </w:pPr>
          </w:p>
        </w:tc>
        <w:tc>
          <w:tcPr>
            <w:tcW w:w="3318" w:type="dxa"/>
            <w:gridSpan w:val="10"/>
            <w:tcBorders>
              <w:top w:val="nil"/>
              <w:left w:val="nil"/>
              <w:bottom w:val="nil"/>
              <w:right w:val="nil"/>
            </w:tcBorders>
            <w:shd w:val="clear" w:color="auto" w:fill="auto"/>
          </w:tcPr>
          <w:p w:rsidR="0017135D" w:rsidRPr="003E3970" w:rsidP="00392DBD">
            <w:pPr>
              <w:pStyle w:val="CSBody8pt"/>
              <w:rPr>
                <w:lang w:val="de-DE"/>
              </w:rPr>
            </w:pPr>
            <w:r w:rsidRPr="00792D61">
              <w:rPr>
                <w:b/>
                <w:lang w:val="de-DE"/>
              </w:rPr>
              <w:t>[</w:t>
            </w:r>
            <w:r w:rsidRPr="00392DBD">
              <w:rPr>
                <w:b/>
                <w:i/>
                <w:lang w:val="de-DE"/>
              </w:rPr>
              <w:t>bei mehreren Zahlungstagen für Variable Zinsen einfügen:</w:t>
            </w:r>
            <w:r w:rsidRPr="003E3970">
              <w:rPr>
                <w:lang w:val="de-DE"/>
              </w:rPr>
              <w:t xml:space="preserve"> in Bezug auf einen Zahlungstag für Variable Zinsen ein Geldbetrag in Höhe des Produkts aus (i) der Stückelung, (ii) dem Zinstagequotienten in Bezug auf die jeweilige Zinsperiode und (iii) dem jeweiligen Variablen 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052E7" w:rsidP="008C7B66">
            <w:pPr>
              <w:pStyle w:val="CSBody8pt"/>
            </w:pPr>
            <w:r w:rsidRPr="006052E7">
              <w:t>Interest Commencement Date</w:t>
            </w:r>
            <w:r>
              <w:fldChar w:fldCharType="begin"/>
            </w:r>
            <w:r>
              <w:instrText xml:space="preserve"> XE "</w:instrText>
            </w:r>
            <w:r w:rsidRPr="004F117D">
              <w:instrText>Interest Commencement Date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6052E7" w:rsidP="00392DBD">
            <w:pPr>
              <w:pStyle w:val="CSBody8pt"/>
            </w:pPr>
            <w:r w:rsidRPr="00792D61">
              <w:rPr>
                <w:b/>
              </w:rPr>
              <w:t>[</w:t>
            </w:r>
            <w:r w:rsidRPr="006052E7">
              <w:t>the Issue Date</w:t>
            </w:r>
            <w:r w:rsidRPr="00792D61">
              <w:rPr>
                <w:b/>
              </w:rPr>
              <w:t>][[</w:t>
            </w:r>
            <w:r w:rsidRPr="006052E7">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6052E7" w:rsidP="008C7B66">
            <w:pPr>
              <w:pStyle w:val="CSBody8pt"/>
            </w:pPr>
            <w:r w:rsidRPr="006052E7">
              <w:t>Verzinsungsbeginn</w:t>
            </w:r>
            <w:r>
              <w:fldChar w:fldCharType="begin"/>
            </w:r>
            <w:r>
              <w:instrText xml:space="preserve"> XE "</w:instrText>
            </w:r>
            <w:r w:rsidRPr="00870768">
              <w:instrText>Verzinsungsbeginn</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6052E7" w:rsidP="00392DBD">
            <w:pPr>
              <w:pStyle w:val="CSBody8pt"/>
            </w:pPr>
            <w:r w:rsidRPr="00792D61">
              <w:rPr>
                <w:b/>
              </w:rPr>
              <w:t>[</w:t>
            </w:r>
            <w:r w:rsidRPr="006052E7">
              <w:t>der Emissionstag</w:t>
            </w:r>
            <w:r w:rsidRPr="00792D61">
              <w:rPr>
                <w:b/>
              </w:rPr>
              <w:t>][[</w:t>
            </w:r>
            <w:r w:rsidRPr="006052E7">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052E7" w:rsidP="00392DBD">
            <w:pPr>
              <w:pStyle w:val="CSBody8pt"/>
            </w:pPr>
            <w:r w:rsidRPr="006052E7">
              <w:t>Interest Payment Date(s)</w:t>
            </w:r>
            <w:r>
              <w:fldChar w:fldCharType="begin"/>
            </w:r>
            <w:r>
              <w:instrText xml:space="preserve"> XE "</w:instrText>
            </w:r>
            <w:r w:rsidRPr="00E573D5">
              <w:instrText>Interest Payment Date(s)</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6052E7" w:rsidP="00392DBD">
            <w:pPr>
              <w:pStyle w:val="CSBody8ptbolditalics"/>
            </w:pPr>
            <w:r w:rsidRPr="00792D61">
              <w:t>[</w:t>
            </w:r>
            <w:r w:rsidRPr="006052E7">
              <w:t>in the case of Complex Products other than (i) Fixed to Floating Rate Notes, Cumulative Reverse Floater Notes and Stairway Notes and (ii) Inverse Floating Rate Notes, Spread-Linked Notes and Inflation Index-Linked Notes with a Fixed Interest Payment Amount, insert:</w:t>
            </w:r>
          </w:p>
        </w:tc>
        <w:tc>
          <w:tcPr>
            <w:tcW w:w="1618" w:type="dxa"/>
            <w:gridSpan w:val="2"/>
            <w:tcBorders>
              <w:top w:val="nil"/>
              <w:bottom w:val="nil"/>
              <w:right w:val="nil"/>
            </w:tcBorders>
            <w:shd w:val="clear" w:color="auto" w:fill="auto"/>
          </w:tcPr>
          <w:p w:rsidR="0017135D" w:rsidRPr="006052E7" w:rsidP="008C7B66">
            <w:pPr>
              <w:pStyle w:val="CSBody8pt"/>
            </w:pPr>
            <w:r w:rsidRPr="006052E7">
              <w:t>Zinszahlungstag(e)</w:t>
            </w:r>
            <w:r>
              <w:fldChar w:fldCharType="begin"/>
            </w:r>
            <w:r>
              <w:instrText xml:space="preserve"> XE "</w:instrText>
            </w:r>
            <w:r w:rsidRPr="007B4D60">
              <w:instrText>Zinszahlungstag(e)</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P="00392DBD">
            <w:pPr>
              <w:pStyle w:val="CSBody8ptbolditalics"/>
            </w:pPr>
            <w:r w:rsidRPr="00792D61">
              <w:t>[</w:t>
            </w:r>
            <w:r w:rsidRPr="006052E7">
              <w:t>bei Komplexen Produkten ausser (i) Fixed to Floating Rate Notes, Cumulative Reverse Floater Notes und Stairway Notes und (ii) Inverse Floating Rate Notes, Spread-Linked Notes und Inflation Index-Linked Notes mit einem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
            </w:pPr>
          </w:p>
        </w:tc>
        <w:tc>
          <w:tcPr>
            <w:tcW w:w="3315" w:type="dxa"/>
            <w:gridSpan w:val="7"/>
            <w:tcBorders>
              <w:top w:val="nil"/>
              <w:left w:val="nil"/>
              <w:bottom w:val="nil"/>
            </w:tcBorders>
            <w:shd w:val="clear" w:color="auto" w:fill="auto"/>
          </w:tcPr>
          <w:p w:rsidR="0017135D" w:rsidRPr="009B285F" w:rsidP="00392DBD">
            <w:pPr>
              <w:pStyle w:val="CSBody8pt"/>
            </w:pPr>
            <w:r w:rsidRPr="00792D61">
              <w:rPr>
                <w:b/>
              </w:rPr>
              <w:t>[</w:t>
            </w:r>
            <w:r w:rsidRPr="00392DBD">
              <w:rPr>
                <w:b/>
                <w:i/>
              </w:rPr>
              <w:t>in the case of one Interest Payment Date, insert:</w:t>
            </w:r>
            <w:r w:rsidRPr="009B285F">
              <w:t xml:space="preserve"> the </w:t>
            </w:r>
            <w:r w:rsidRPr="00792D61">
              <w:rPr>
                <w:b/>
              </w:rPr>
              <w:t>[</w:t>
            </w:r>
            <w:r w:rsidRPr="009B285F">
              <w:t>Final Redemption Date</w:t>
            </w:r>
            <w:r w:rsidRPr="00792D61">
              <w:rPr>
                <w:b/>
              </w:rPr>
              <w:t>][</w:t>
            </w:r>
            <w:r w:rsidRPr="009B285F">
              <w:t>Scheduled Maturity Date</w:t>
            </w:r>
            <w:r w:rsidRPr="00792D61">
              <w:rPr>
                <w:b/>
              </w:rPr>
              <w:t>]</w:t>
            </w:r>
            <w:r w:rsidRPr="009B285F">
              <w:t>, being the date on which the Issuer shall pay the Interest Payment Amount per Complex Product to the Holders.</w:t>
            </w:r>
            <w:r w:rsidRPr="00792D61">
              <w:rPr>
                <w:b/>
              </w:rPr>
              <w:t>]</w:t>
            </w:r>
          </w:p>
        </w:tc>
        <w:tc>
          <w:tcPr>
            <w:tcW w:w="1618" w:type="dxa"/>
            <w:gridSpan w:val="2"/>
            <w:tcBorders>
              <w:top w:val="nil"/>
              <w:bottom w:val="nil"/>
              <w:right w:val="nil"/>
            </w:tcBorders>
            <w:shd w:val="clear" w:color="auto" w:fill="auto"/>
          </w:tcPr>
          <w:p w:rsidR="0017135D" w:rsidRPr="003E3970" w:rsidP="00392DBD">
            <w:pPr>
              <w:pStyle w:val="CSBody8pt"/>
            </w:pPr>
          </w:p>
        </w:tc>
        <w:tc>
          <w:tcPr>
            <w:tcW w:w="3318" w:type="dxa"/>
            <w:gridSpan w:val="10"/>
            <w:tcBorders>
              <w:top w:val="nil"/>
              <w:left w:val="nil"/>
              <w:bottom w:val="nil"/>
              <w:right w:val="nil"/>
            </w:tcBorders>
            <w:shd w:val="clear" w:color="auto" w:fill="auto"/>
          </w:tcPr>
          <w:p w:rsidR="0017135D" w:rsidRPr="003E3970" w:rsidP="00392DBD">
            <w:pPr>
              <w:pStyle w:val="CSBody8pt"/>
              <w:rPr>
                <w:lang w:val="de-DE"/>
              </w:rPr>
            </w:pPr>
            <w:r w:rsidRPr="00792D61">
              <w:rPr>
                <w:b/>
                <w:lang w:val="de-DE"/>
              </w:rPr>
              <w:t>[</w:t>
            </w:r>
            <w:r w:rsidRPr="00392DBD">
              <w:rPr>
                <w:b/>
                <w:i/>
                <w:lang w:val="de-DE"/>
              </w:rPr>
              <w:t>bei nur einem Zinszahlungstag einfügen:</w:t>
            </w:r>
            <w:r w:rsidRPr="003E3970">
              <w:rPr>
                <w:lang w:val="de-DE"/>
              </w:rPr>
              <w:t xml:space="preserve"> der </w:t>
            </w:r>
            <w:r w:rsidRPr="00792D61">
              <w:rPr>
                <w:b/>
                <w:lang w:val="de-DE"/>
              </w:rPr>
              <w:t>[</w:t>
            </w:r>
            <w:r w:rsidRPr="003E3970">
              <w:rPr>
                <w:lang w:val="de-DE"/>
              </w:rPr>
              <w:t>Finale Rückzahlungstag</w:t>
            </w:r>
            <w:r w:rsidRPr="00792D61">
              <w:rPr>
                <w:b/>
                <w:lang w:val="de-DE"/>
              </w:rPr>
              <w:t>][</w:t>
            </w:r>
            <w:r w:rsidRPr="003E3970">
              <w:rPr>
                <w:lang w:val="de-DE"/>
              </w:rPr>
              <w:t>Planmässige Fälligkeitstag</w:t>
            </w:r>
            <w:r w:rsidRPr="00792D61">
              <w:rPr>
                <w:b/>
                <w:lang w:val="de-DE"/>
              </w:rPr>
              <w:t>]</w:t>
            </w:r>
            <w:r w:rsidRPr="003E3970">
              <w:rPr>
                <w:lang w:val="de-DE"/>
              </w:rPr>
              <w:t>, dies ist der Tag, an dem die Emittentin den Zinszahlungsbetrag für jedes Komplexe Produkt an dessen Inhaber zahlt.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
              <w:rPr>
                <w:lang w:val="de-DE"/>
              </w:rPr>
            </w:pPr>
          </w:p>
        </w:tc>
        <w:tc>
          <w:tcPr>
            <w:tcW w:w="3315" w:type="dxa"/>
            <w:gridSpan w:val="7"/>
            <w:tcBorders>
              <w:top w:val="nil"/>
              <w:left w:val="nil"/>
              <w:bottom w:val="nil"/>
            </w:tcBorders>
            <w:shd w:val="clear" w:color="auto" w:fill="auto"/>
          </w:tcPr>
          <w:p w:rsidR="0017135D" w:rsidRPr="009B285F" w:rsidP="00392DBD">
            <w:pPr>
              <w:pStyle w:val="CSBody8ptbolditalics"/>
            </w:pPr>
            <w:r w:rsidRPr="00792D61">
              <w:t>[</w:t>
            </w:r>
            <w:r w:rsidRPr="009B285F">
              <w:t>in the case of multiple Interest Payment Dates, insert:</w:t>
            </w:r>
          </w:p>
        </w:tc>
        <w:tc>
          <w:tcPr>
            <w:tcW w:w="1618" w:type="dxa"/>
            <w:gridSpan w:val="2"/>
            <w:tcBorders>
              <w:top w:val="nil"/>
              <w:bottom w:val="nil"/>
              <w:right w:val="nil"/>
            </w:tcBorders>
            <w:shd w:val="clear" w:color="auto" w:fill="auto"/>
          </w:tcPr>
          <w:p w:rsidR="0017135D" w:rsidRPr="003E3970" w:rsidP="00392DBD">
            <w:pPr>
              <w:pStyle w:val="CSBody8pt"/>
            </w:pPr>
          </w:p>
        </w:tc>
        <w:tc>
          <w:tcPr>
            <w:tcW w:w="3318" w:type="dxa"/>
            <w:gridSpan w:val="10"/>
            <w:tcBorders>
              <w:top w:val="nil"/>
              <w:left w:val="nil"/>
              <w:bottom w:val="nil"/>
              <w:right w:val="nil"/>
            </w:tcBorders>
            <w:shd w:val="clear" w:color="auto" w:fill="auto"/>
          </w:tcPr>
          <w:p w:rsidR="0017135D" w:rsidRPr="00251CA5" w:rsidP="00392DBD">
            <w:pPr>
              <w:pStyle w:val="CSBody8ptbolditalics"/>
            </w:pPr>
            <w:r w:rsidRPr="00792D61">
              <w:t>[</w:t>
            </w:r>
            <w:r w:rsidRPr="00251CA5">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
              <w:rPr>
                <w:b/>
              </w:rPr>
            </w:pPr>
          </w:p>
        </w:tc>
        <w:tc>
          <w:tcPr>
            <w:tcW w:w="3315" w:type="dxa"/>
            <w:gridSpan w:val="7"/>
            <w:tcBorders>
              <w:top w:val="nil"/>
              <w:left w:val="nil"/>
              <w:bottom w:val="nil"/>
            </w:tcBorders>
            <w:shd w:val="clear" w:color="auto" w:fill="auto"/>
          </w:tcPr>
          <w:p w:rsidR="0017135D" w:rsidP="00392DBD">
            <w:pPr>
              <w:pStyle w:val="CSBody8pt"/>
            </w:pPr>
            <w:r w:rsidRPr="00792D61">
              <w:rPr>
                <w:b/>
              </w:rPr>
              <w:t>[[</w:t>
            </w:r>
            <w:r w:rsidRPr="009B285F">
              <w:rPr>
                <w:rFonts w:ascii="Arial" w:hAnsi="Arial" w:cs="Arial"/>
              </w:rPr>
              <w:t>●</w:t>
            </w:r>
            <w:r w:rsidRPr="00792D61">
              <w:rPr>
                <w:b/>
              </w:rPr>
              <w:t>]</w:t>
            </w:r>
            <w:r w:rsidRPr="009B285F">
              <w:t xml:space="preserve"> </w:t>
            </w:r>
            <w:r w:rsidRPr="00792D61">
              <w:rPr>
                <w:b/>
              </w:rPr>
              <w:t>[</w:t>
            </w:r>
            <w:r w:rsidRPr="009B285F">
              <w:t>...</w:t>
            </w:r>
            <w:r w:rsidRPr="00792D61">
              <w:rPr>
                <w:b/>
              </w:rPr>
              <w:t>]</w:t>
            </w:r>
            <w:r w:rsidRPr="009B285F">
              <w:t xml:space="preserve"> and the </w:t>
            </w:r>
            <w:r w:rsidRPr="00792D61">
              <w:rPr>
                <w:b/>
              </w:rPr>
              <w:t>[</w:t>
            </w:r>
            <w:r w:rsidRPr="009B285F">
              <w:t>Final Redemption Date</w:t>
            </w:r>
            <w:r w:rsidRPr="00792D61">
              <w:rPr>
                <w:b/>
              </w:rPr>
              <w:t>]</w:t>
            </w:r>
            <w:r w:rsidRPr="009B285F">
              <w:t xml:space="preserve"> </w:t>
            </w:r>
            <w:r w:rsidRPr="00792D61">
              <w:rPr>
                <w:b/>
              </w:rPr>
              <w:t>[</w:t>
            </w:r>
            <w:r w:rsidRPr="009B285F">
              <w:t>Scheduled Maturity Date</w:t>
            </w:r>
            <w:r w:rsidRPr="00792D61">
              <w:rPr>
                <w:b/>
              </w:rPr>
              <w:t>]][[</w:t>
            </w:r>
            <w:r w:rsidRPr="009B285F">
              <w:rPr>
                <w:rFonts w:ascii="Arial" w:hAnsi="Arial" w:cs="Arial"/>
              </w:rPr>
              <w:t>●</w:t>
            </w:r>
            <w:r w:rsidRPr="00792D61">
              <w:rPr>
                <w:b/>
              </w:rPr>
              <w:t>]</w:t>
            </w:r>
            <w:r w:rsidRPr="009B285F">
              <w:t xml:space="preserve"> of each year, the first Interest Payment Date being </w:t>
            </w:r>
            <w:r w:rsidRPr="00792D61">
              <w:rPr>
                <w:b/>
              </w:rPr>
              <w:t>[</w:t>
            </w:r>
            <w:r w:rsidRPr="009B285F">
              <w:rPr>
                <w:rFonts w:ascii="Arial" w:hAnsi="Arial" w:cs="Arial"/>
              </w:rPr>
              <w:t>●</w:t>
            </w:r>
            <w:r w:rsidRPr="00792D61">
              <w:rPr>
                <w:b/>
              </w:rPr>
              <w:t>]</w:t>
            </w:r>
            <w:r w:rsidRPr="009B285F">
              <w:t xml:space="preserve"> and the last Interest Payment Date being </w:t>
            </w:r>
            <w:r w:rsidRPr="00792D61">
              <w:rPr>
                <w:b/>
              </w:rPr>
              <w:t>[</w:t>
            </w:r>
            <w:r w:rsidRPr="009B285F">
              <w:rPr>
                <w:rFonts w:ascii="Arial" w:hAnsi="Arial" w:cs="Arial"/>
              </w:rPr>
              <w:t>●</w:t>
            </w:r>
            <w:r w:rsidRPr="00792D61">
              <w:rPr>
                <w:b/>
              </w:rPr>
              <w:t>]]</w:t>
            </w:r>
            <w:r w:rsidRPr="009B285F">
              <w:t xml:space="preserve">, being the dates on which the Issuer shall pay the </w:t>
            </w:r>
            <w:r w:rsidRPr="00792D61">
              <w:rPr>
                <w:b/>
              </w:rPr>
              <w:t>[</w:t>
            </w:r>
            <w:r w:rsidRPr="009B285F">
              <w:t>relevant</w:t>
            </w:r>
            <w:r w:rsidRPr="00792D61">
              <w:rPr>
                <w:b/>
              </w:rPr>
              <w:t>]</w:t>
            </w:r>
            <w:r w:rsidRPr="009B285F">
              <w:t xml:space="preserve"> Interest Payment Amount per Complex Product to the Holders.</w:t>
            </w:r>
            <w:r w:rsidRPr="00792D61">
              <w:rPr>
                <w:b/>
              </w:rPr>
              <w:t>]]</w:t>
            </w:r>
          </w:p>
        </w:tc>
        <w:tc>
          <w:tcPr>
            <w:tcW w:w="1618" w:type="dxa"/>
            <w:gridSpan w:val="2"/>
            <w:tcBorders>
              <w:top w:val="nil"/>
              <w:bottom w:val="nil"/>
              <w:right w:val="nil"/>
            </w:tcBorders>
            <w:shd w:val="clear" w:color="auto" w:fill="auto"/>
          </w:tcPr>
          <w:p w:rsidR="0017135D" w:rsidRPr="003E3970" w:rsidP="00392DBD">
            <w:pPr>
              <w:pStyle w:val="CSBody8pt"/>
            </w:pPr>
          </w:p>
        </w:tc>
        <w:tc>
          <w:tcPr>
            <w:tcW w:w="3318" w:type="dxa"/>
            <w:gridSpan w:val="10"/>
            <w:tcBorders>
              <w:top w:val="nil"/>
              <w:left w:val="nil"/>
              <w:bottom w:val="nil"/>
              <w:right w:val="nil"/>
            </w:tcBorders>
            <w:shd w:val="clear" w:color="auto" w:fill="auto"/>
          </w:tcPr>
          <w:p w:rsidR="0017135D" w:rsidRPr="003E3970" w:rsidP="008C7B66">
            <w:pPr>
              <w:pStyle w:val="CSBody8pt"/>
              <w:rPr>
                <w:lang w:val="de-DE"/>
              </w:rPr>
            </w:pPr>
            <w:r w:rsidRPr="00792D61">
              <w:rPr>
                <w:b/>
                <w:lang w:val="de-DE"/>
              </w:rPr>
              <w:t>[[</w:t>
            </w:r>
            <w:r w:rsidRPr="003E3970">
              <w:rPr>
                <w:rFonts w:ascii="Arial" w:hAnsi="Arial" w:cs="Arial"/>
                <w:lang w:val="de-DE"/>
              </w:rPr>
              <w:t>●</w:t>
            </w:r>
            <w:r w:rsidRPr="00792D61">
              <w:rPr>
                <w:b/>
                <w:lang w:val="de-DE"/>
              </w:rPr>
              <w:t>]</w:t>
            </w:r>
            <w:r w:rsidRPr="003E3970">
              <w:rPr>
                <w:lang w:val="de-DE"/>
              </w:rPr>
              <w:t xml:space="preserve"> </w:t>
            </w:r>
            <w:r w:rsidRPr="00792D61">
              <w:rPr>
                <w:b/>
                <w:lang w:val="de-DE"/>
              </w:rPr>
              <w:t>[</w:t>
            </w:r>
            <w:r w:rsidRPr="003E3970">
              <w:rPr>
                <w:lang w:val="de-DE"/>
              </w:rPr>
              <w:t>...</w:t>
            </w:r>
            <w:r w:rsidRPr="00792D61">
              <w:rPr>
                <w:b/>
                <w:lang w:val="de-DE"/>
              </w:rPr>
              <w:t>]</w:t>
            </w:r>
            <w:r w:rsidRPr="003E3970">
              <w:rPr>
                <w:lang w:val="de-DE"/>
              </w:rPr>
              <w:t xml:space="preserve"> und der </w:t>
            </w:r>
            <w:r w:rsidRPr="00792D61">
              <w:rPr>
                <w:b/>
                <w:lang w:val="de-DE"/>
              </w:rPr>
              <w:t>[</w:t>
            </w:r>
            <w:r w:rsidRPr="003E3970">
              <w:rPr>
                <w:lang w:val="de-DE"/>
              </w:rPr>
              <w:t>Finale R</w:t>
            </w:r>
            <w:r w:rsidRPr="003E3970">
              <w:rPr>
                <w:rFonts w:cs="Credit Suisse Type Light"/>
                <w:lang w:val="de-DE"/>
              </w:rPr>
              <w:t>ü</w:t>
            </w:r>
            <w:r w:rsidRPr="003E3970">
              <w:rPr>
                <w:lang w:val="de-DE"/>
              </w:rPr>
              <w:t>ckzahlungstag</w:t>
            </w:r>
            <w:r w:rsidRPr="00792D61">
              <w:rPr>
                <w:b/>
                <w:lang w:val="de-DE"/>
              </w:rPr>
              <w:t>]</w:t>
            </w:r>
            <w:r w:rsidRPr="003E3970">
              <w:rPr>
                <w:lang w:val="de-DE"/>
              </w:rPr>
              <w:t xml:space="preserve"> </w:t>
            </w:r>
            <w:r w:rsidRPr="00792D61">
              <w:rPr>
                <w:b/>
                <w:lang w:val="de-DE"/>
              </w:rPr>
              <w:t>[</w:t>
            </w:r>
            <w:r w:rsidRPr="003E3970">
              <w:rPr>
                <w:lang w:val="de-DE"/>
              </w:rPr>
              <w:t>Planm</w:t>
            </w:r>
            <w:r w:rsidRPr="003E3970">
              <w:rPr>
                <w:rFonts w:cs="Credit Suisse Type Light"/>
                <w:lang w:val="de-DE"/>
              </w:rPr>
              <w:t>ä</w:t>
            </w:r>
            <w:r w:rsidRPr="003E3970">
              <w:rPr>
                <w:lang w:val="de-DE"/>
              </w:rPr>
              <w:t>ssige F</w:t>
            </w:r>
            <w:r w:rsidRPr="003E3970">
              <w:rPr>
                <w:rFonts w:cs="Credit Suisse Type Light"/>
                <w:lang w:val="de-DE"/>
              </w:rPr>
              <w:t>ä</w:t>
            </w:r>
            <w:r w:rsidRPr="003E3970">
              <w:rPr>
                <w:lang w:val="de-DE"/>
              </w:rPr>
              <w:t>lligkeitstag</w:t>
            </w:r>
            <w:r w:rsidRPr="00792D61">
              <w:rPr>
                <w:b/>
                <w:lang w:val="de-DE"/>
              </w:rPr>
              <w:t>]][[</w:t>
            </w:r>
            <w:r w:rsidRPr="003E3970">
              <w:rPr>
                <w:rFonts w:ascii="Arial" w:hAnsi="Arial" w:cs="Arial"/>
                <w:lang w:val="de-DE"/>
              </w:rPr>
              <w:t>●</w:t>
            </w:r>
            <w:r w:rsidRPr="00792D61">
              <w:rPr>
                <w:b/>
                <w:lang w:val="de-DE"/>
              </w:rPr>
              <w:t>]</w:t>
            </w:r>
            <w:r w:rsidRPr="003E3970">
              <w:rPr>
                <w:lang w:val="de-DE"/>
              </w:rPr>
              <w:t xml:space="preserve"> jedes Jahres; hierbei ist der erste Zinszahlungstag </w:t>
            </w:r>
            <w:r w:rsidRPr="00792D61">
              <w:rPr>
                <w:b/>
                <w:lang w:val="de-DE"/>
              </w:rPr>
              <w:t>[</w:t>
            </w:r>
            <w:r w:rsidRPr="003E3970">
              <w:rPr>
                <w:rFonts w:ascii="Arial" w:hAnsi="Arial" w:cs="Arial"/>
                <w:lang w:val="de-DE"/>
              </w:rPr>
              <w:t>●</w:t>
            </w:r>
            <w:r w:rsidRPr="00792D61">
              <w:rPr>
                <w:b/>
                <w:lang w:val="de-DE"/>
              </w:rPr>
              <w:t>]</w:t>
            </w:r>
            <w:r w:rsidRPr="003E3970">
              <w:rPr>
                <w:lang w:val="de-DE"/>
              </w:rPr>
              <w:t xml:space="preserve"> und der letzte Zinszahlungstag </w:t>
            </w:r>
            <w:r w:rsidRPr="00792D61">
              <w:rPr>
                <w:b/>
                <w:lang w:val="de-DE"/>
              </w:rPr>
              <w:t>[</w:t>
            </w:r>
            <w:r w:rsidRPr="003E3970">
              <w:rPr>
                <w:rFonts w:ascii="Arial" w:hAnsi="Arial" w:cs="Arial"/>
                <w:lang w:val="de-DE"/>
              </w:rPr>
              <w:t>●</w:t>
            </w:r>
            <w:r w:rsidRPr="00792D61">
              <w:rPr>
                <w:b/>
                <w:lang w:val="de-DE"/>
              </w:rPr>
              <w:t>]]</w:t>
            </w:r>
            <w:r w:rsidRPr="003E3970">
              <w:rPr>
                <w:lang w:val="de-DE"/>
              </w:rPr>
              <w:t xml:space="preserve">, dies sind die Tage, an denen die Emittentin den </w:t>
            </w:r>
            <w:r w:rsidRPr="00792D61">
              <w:rPr>
                <w:b/>
                <w:lang w:val="de-DE"/>
              </w:rPr>
              <w:t>[</w:t>
            </w:r>
            <w:r w:rsidRPr="003E3970">
              <w:rPr>
                <w:lang w:val="de-DE"/>
              </w:rPr>
              <w:t>jeweiligen</w:t>
            </w:r>
            <w:r w:rsidRPr="00792D61">
              <w:rPr>
                <w:b/>
                <w:lang w:val="de-DE"/>
              </w:rPr>
              <w:t>]</w:t>
            </w:r>
            <w:r w:rsidRPr="003E3970">
              <w:rPr>
                <w:lang w:val="de-DE"/>
              </w:rPr>
              <w:t xml:space="preserve"> Zinszahlungsbetrag f</w:t>
            </w:r>
            <w:r w:rsidRPr="003E3970">
              <w:rPr>
                <w:rFonts w:cs="Credit Suisse Type Light"/>
                <w:lang w:val="de-DE"/>
              </w:rPr>
              <w:t>ü</w:t>
            </w:r>
            <w:r w:rsidRPr="003E3970">
              <w:rPr>
                <w:lang w:val="de-DE"/>
              </w:rPr>
              <w:t>r jedes Komplexe Produkt an dessen Inhaber zahlt.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bolditalics"/>
              <w:rPr>
                <w:lang w:val="de-DE"/>
              </w:rPr>
            </w:pPr>
          </w:p>
        </w:tc>
        <w:tc>
          <w:tcPr>
            <w:tcW w:w="3315" w:type="dxa"/>
            <w:gridSpan w:val="7"/>
            <w:tcBorders>
              <w:top w:val="nil"/>
              <w:left w:val="nil"/>
              <w:bottom w:val="nil"/>
            </w:tcBorders>
            <w:shd w:val="clear" w:color="auto" w:fill="auto"/>
          </w:tcPr>
          <w:p w:rsidR="0017135D" w:rsidRPr="0015465D" w:rsidP="00392DBD">
            <w:pPr>
              <w:pStyle w:val="CSBody8ptbolditalics"/>
            </w:pPr>
            <w:r w:rsidRPr="00792D61">
              <w:t>[</w:t>
            </w:r>
            <w:r w:rsidRPr="0015465D">
              <w:t>in the case of (i) Fixed to Floating Rate Notes, Cumulative Reverse Floater and Stairway Notes and (ii) Inverse Floating Rate Notes, Spread-Linked Notes and Inflation Index-Linked Notes with a Fixed Interest Payment Amount, insert:</w:t>
            </w:r>
          </w:p>
        </w:tc>
        <w:tc>
          <w:tcPr>
            <w:tcW w:w="1618" w:type="dxa"/>
            <w:gridSpan w:val="2"/>
            <w:tcBorders>
              <w:top w:val="nil"/>
              <w:bottom w:val="nil"/>
              <w:right w:val="nil"/>
            </w:tcBorders>
            <w:shd w:val="clear" w:color="auto" w:fill="auto"/>
          </w:tcPr>
          <w:p w:rsidR="0017135D" w:rsidRPr="003E3970" w:rsidP="00392DBD">
            <w:pPr>
              <w:pStyle w:val="CSBody8ptbolditalics"/>
            </w:pPr>
          </w:p>
        </w:tc>
        <w:tc>
          <w:tcPr>
            <w:tcW w:w="3318" w:type="dxa"/>
            <w:gridSpan w:val="10"/>
            <w:tcBorders>
              <w:top w:val="nil"/>
              <w:left w:val="nil"/>
              <w:bottom w:val="nil"/>
              <w:right w:val="nil"/>
            </w:tcBorders>
            <w:shd w:val="clear" w:color="auto" w:fill="auto"/>
          </w:tcPr>
          <w:p w:rsidR="0017135D" w:rsidRPr="00F20BC3" w:rsidP="00392DBD">
            <w:pPr>
              <w:pStyle w:val="CSBody8ptbolditalics"/>
            </w:pPr>
            <w:r w:rsidRPr="00792D61">
              <w:t>[</w:t>
            </w:r>
            <w:r w:rsidRPr="00F20BC3">
              <w:t>bei (i) Fixed to Floating Rate Notes, Cumulative Reverse Floater Notes und Stairway Notes und (ii) Inverse Floating Rate Notes, Spread-Linked Notes und Inflation Index-Linked Notes mit einem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E3970" w:rsidP="00392DBD">
            <w:pPr>
              <w:pStyle w:val="CSBody8pt"/>
            </w:pPr>
          </w:p>
        </w:tc>
        <w:tc>
          <w:tcPr>
            <w:tcW w:w="3315" w:type="dxa"/>
            <w:gridSpan w:val="7"/>
            <w:tcBorders>
              <w:top w:val="nil"/>
              <w:left w:val="nil"/>
              <w:bottom w:val="nil"/>
              <w:right w:val="nil"/>
            </w:tcBorders>
            <w:shd w:val="clear" w:color="auto" w:fill="auto"/>
          </w:tcPr>
          <w:p w:rsidR="0017135D" w:rsidP="00392DBD">
            <w:pPr>
              <w:pStyle w:val="CSBody8pt"/>
            </w:pPr>
            <w:r w:rsidRPr="0015465D">
              <w:t>the Fixed Interest Payment Dates and the Variable Interest Payment Dates, being the dates on which the Issuer shall pay the relevant Interest Payment Amount per Complex Product to the Holders.</w:t>
            </w:r>
            <w:r w:rsidRPr="00792D61">
              <w:rPr>
                <w:b/>
              </w:rPr>
              <w:t>]</w:t>
            </w:r>
          </w:p>
        </w:tc>
        <w:tc>
          <w:tcPr>
            <w:tcW w:w="1618" w:type="dxa"/>
            <w:gridSpan w:val="2"/>
            <w:tcBorders>
              <w:top w:val="nil"/>
              <w:bottom w:val="nil"/>
              <w:right w:val="nil"/>
            </w:tcBorders>
          </w:tcPr>
          <w:p w:rsidR="0017135D" w:rsidRPr="003E3970" w:rsidP="00392DBD">
            <w:pPr>
              <w:pStyle w:val="CSBody8pt"/>
            </w:pPr>
          </w:p>
        </w:tc>
        <w:tc>
          <w:tcPr>
            <w:tcW w:w="3318" w:type="dxa"/>
            <w:gridSpan w:val="10"/>
            <w:tcBorders>
              <w:top w:val="nil"/>
              <w:left w:val="nil"/>
              <w:bottom w:val="nil"/>
              <w:right w:val="nil"/>
            </w:tcBorders>
            <w:shd w:val="clear" w:color="auto" w:fill="auto"/>
          </w:tcPr>
          <w:p w:rsidR="0017135D" w:rsidRPr="003E3970" w:rsidP="00392DBD">
            <w:pPr>
              <w:pStyle w:val="CSBody8pt"/>
              <w:rPr>
                <w:lang w:val="de-DE"/>
              </w:rPr>
            </w:pPr>
            <w:r w:rsidRPr="003E3970">
              <w:rPr>
                <w:lang w:val="de-DE"/>
              </w:rPr>
              <w:t>die Zahlungstage für Festzinsen und die Zahlungstage für Variable Zinsen; an diesen Tagen zahlt die Emittentin den jeweiligen Zinszahlungsbetrag für jedes Komplexe Produkt an dessen Inhaber.</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F9403B" w:rsidP="00516CB4">
            <w:pPr>
              <w:pStyle w:val="CSBody8ptbolditalics"/>
            </w:pPr>
            <w:r w:rsidRPr="00792D61">
              <w:t>[</w:t>
            </w:r>
            <w:r w:rsidRPr="00F9403B">
              <w:t>in the case of (i) Fixed to Floating Rate Notes, Cumulative Reverse Floater Notes and Stairway Notes and (ii) Inverse Floating Rate Notes, Spread-Linked Notes and Inflation Index-Linked Notes with a Fixed Interest Payment Amount, insert:</w:t>
            </w:r>
          </w:p>
        </w:tc>
        <w:tc>
          <w:tcPr>
            <w:tcW w:w="4936" w:type="dxa"/>
            <w:gridSpan w:val="12"/>
            <w:tcBorders>
              <w:top w:val="nil"/>
              <w:bottom w:val="nil"/>
              <w:right w:val="nil"/>
            </w:tcBorders>
            <w:shd w:val="clear" w:color="auto" w:fill="auto"/>
          </w:tcPr>
          <w:p w:rsidR="0017135D" w:rsidP="00392DBD">
            <w:pPr>
              <w:pStyle w:val="CSBody8ptbolditalics"/>
            </w:pPr>
            <w:r w:rsidRPr="00792D61">
              <w:t>[</w:t>
            </w:r>
            <w:r w:rsidRPr="00F9403B">
              <w:t>bei (i) Fixed to Floating Rate Notes, Cumulative Reverse Floater Notes und Stairway Notes und (ii) Inverse Floating Rate Notes, Spread-Linked Notes und Inflation Index-Linked Notes mit einem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80951" w:rsidP="00392DBD">
            <w:pPr>
              <w:pStyle w:val="CSBody8pt"/>
            </w:pPr>
            <w:r w:rsidRPr="00D80951">
              <w:t>Fixed Interest Payment Date(s)</w:t>
            </w:r>
          </w:p>
        </w:tc>
        <w:tc>
          <w:tcPr>
            <w:tcW w:w="3315" w:type="dxa"/>
            <w:gridSpan w:val="7"/>
            <w:tcBorders>
              <w:top w:val="nil"/>
              <w:left w:val="nil"/>
              <w:bottom w:val="nil"/>
            </w:tcBorders>
            <w:shd w:val="clear" w:color="auto" w:fill="auto"/>
          </w:tcPr>
          <w:p w:rsidR="0017135D" w:rsidRPr="00D2238B" w:rsidP="00392DBD">
            <w:pPr>
              <w:pStyle w:val="CSBody8pt"/>
            </w:pPr>
            <w:r w:rsidRPr="00792D61">
              <w:rPr>
                <w:b/>
              </w:rPr>
              <w:t>[[</w:t>
            </w:r>
            <w:r w:rsidRPr="00D2238B">
              <w:rPr>
                <w:rFonts w:ascii="Arial" w:hAnsi="Arial" w:cs="Arial"/>
              </w:rPr>
              <w:t>●</w:t>
            </w:r>
            <w:r w:rsidRPr="00792D61">
              <w:rPr>
                <w:b/>
              </w:rPr>
              <w:t>]][[</w:t>
            </w:r>
            <w:r w:rsidRPr="00D2238B">
              <w:rPr>
                <w:rFonts w:ascii="Arial" w:hAnsi="Arial" w:cs="Arial"/>
              </w:rPr>
              <w:t>●</w:t>
            </w:r>
            <w:r w:rsidRPr="00792D61">
              <w:rPr>
                <w:b/>
              </w:rPr>
              <w:t>]</w:t>
            </w:r>
            <w:r w:rsidRPr="00D2238B">
              <w:t xml:space="preserve"> of each year, the first Fixed Interest Payment Date being </w:t>
            </w:r>
            <w:r w:rsidRPr="00792D61">
              <w:rPr>
                <w:b/>
              </w:rPr>
              <w:t>[</w:t>
            </w:r>
            <w:r w:rsidRPr="00D2238B">
              <w:rPr>
                <w:rFonts w:ascii="Arial" w:hAnsi="Arial" w:cs="Arial"/>
              </w:rPr>
              <w:t>●</w:t>
            </w:r>
            <w:r w:rsidRPr="00792D61">
              <w:rPr>
                <w:b/>
              </w:rPr>
              <w:t>]</w:t>
            </w:r>
            <w:r w:rsidRPr="00D2238B">
              <w:t xml:space="preserve"> and the last Fixed Interest Payment Date being </w:t>
            </w:r>
            <w:r w:rsidRPr="00792D61">
              <w:rPr>
                <w:b/>
              </w:rPr>
              <w:t>[</w:t>
            </w:r>
            <w:r w:rsidRPr="00D2238B">
              <w:rPr>
                <w:rFonts w:ascii="Arial" w:hAnsi="Arial" w:cs="Arial"/>
              </w:rPr>
              <w:t>●</w:t>
            </w:r>
            <w:r w:rsidRPr="00792D61">
              <w:rPr>
                <w:b/>
              </w:rPr>
              <w:t>]]</w:t>
            </w:r>
            <w:r w:rsidRPr="00D2238B">
              <w:t>, being the date(s) on which the Issuer shall pay the Fixed Interest Payment Amount per Complex Product to the Holders.</w:t>
            </w:r>
          </w:p>
        </w:tc>
        <w:tc>
          <w:tcPr>
            <w:tcW w:w="1618" w:type="dxa"/>
            <w:gridSpan w:val="2"/>
            <w:tcBorders>
              <w:top w:val="nil"/>
              <w:bottom w:val="nil"/>
              <w:right w:val="nil"/>
            </w:tcBorders>
            <w:shd w:val="clear" w:color="auto" w:fill="auto"/>
          </w:tcPr>
          <w:p w:rsidR="0017135D" w:rsidRPr="0011719B" w:rsidP="00392DBD">
            <w:pPr>
              <w:pStyle w:val="CSBody8pt"/>
            </w:pPr>
            <w:r w:rsidRPr="0011719B">
              <w:t>Zahlungstag(e) für Festzinsen</w:t>
            </w:r>
          </w:p>
        </w:tc>
        <w:tc>
          <w:tcPr>
            <w:tcW w:w="3318" w:type="dxa"/>
            <w:gridSpan w:val="10"/>
            <w:tcBorders>
              <w:top w:val="nil"/>
              <w:left w:val="nil"/>
              <w:bottom w:val="nil"/>
              <w:right w:val="nil"/>
            </w:tcBorders>
            <w:shd w:val="clear" w:color="auto" w:fill="auto"/>
          </w:tcPr>
          <w:p w:rsidR="0017135D" w:rsidRPr="00EA5CA0" w:rsidP="00392DBD">
            <w:pPr>
              <w:pStyle w:val="CSBody8pt"/>
              <w:rPr>
                <w:lang w:val="de-DE"/>
              </w:rPr>
            </w:pPr>
            <w:r w:rsidRPr="00792D61">
              <w:rPr>
                <w:b/>
                <w:lang w:val="de-DE"/>
              </w:rPr>
              <w:t>[[</w:t>
            </w:r>
            <w:r w:rsidRPr="00EA5CA0">
              <w:rPr>
                <w:rFonts w:ascii="Arial" w:hAnsi="Arial" w:cs="Arial"/>
                <w:lang w:val="de-DE"/>
              </w:rPr>
              <w:t>●</w:t>
            </w:r>
            <w:r w:rsidRPr="00792D61">
              <w:rPr>
                <w:b/>
                <w:lang w:val="de-DE"/>
              </w:rPr>
              <w:t>]][[</w:t>
            </w:r>
            <w:r w:rsidRPr="00EA5CA0">
              <w:rPr>
                <w:rFonts w:ascii="Arial" w:hAnsi="Arial" w:cs="Arial"/>
                <w:lang w:val="de-DE"/>
              </w:rPr>
              <w:t>●</w:t>
            </w:r>
            <w:r w:rsidRPr="00792D61">
              <w:rPr>
                <w:b/>
                <w:lang w:val="de-DE"/>
              </w:rPr>
              <w:t>]</w:t>
            </w:r>
            <w:r w:rsidRPr="00EA5CA0">
              <w:rPr>
                <w:lang w:val="de-DE"/>
              </w:rPr>
              <w:t xml:space="preserve"> jedes Jahres; hierbei ist der erste Zinszahlungstag f</w:t>
            </w:r>
            <w:r w:rsidRPr="00EA5CA0">
              <w:rPr>
                <w:rFonts w:cs="Credit Suisse Type Light"/>
                <w:lang w:val="de-DE"/>
              </w:rPr>
              <w:t>ü</w:t>
            </w:r>
            <w:r w:rsidRPr="00EA5CA0">
              <w:rPr>
                <w:lang w:val="de-DE"/>
              </w:rPr>
              <w:t xml:space="preserve">r Festzinsen </w:t>
            </w:r>
            <w:r w:rsidRPr="00792D61">
              <w:rPr>
                <w:b/>
                <w:lang w:val="de-DE"/>
              </w:rPr>
              <w:t>[</w:t>
            </w:r>
            <w:r w:rsidRPr="00EA5CA0">
              <w:rPr>
                <w:rFonts w:ascii="Arial" w:hAnsi="Arial" w:cs="Arial"/>
                <w:lang w:val="de-DE"/>
              </w:rPr>
              <w:t>●</w:t>
            </w:r>
            <w:r w:rsidRPr="00792D61">
              <w:rPr>
                <w:b/>
                <w:lang w:val="de-DE"/>
              </w:rPr>
              <w:t>]</w:t>
            </w:r>
            <w:r w:rsidRPr="00EA5CA0">
              <w:rPr>
                <w:lang w:val="de-DE"/>
              </w:rPr>
              <w:t xml:space="preserve"> und der letzte Zinszahlungstag f</w:t>
            </w:r>
            <w:r w:rsidRPr="00EA5CA0">
              <w:rPr>
                <w:rFonts w:cs="Credit Suisse Type Light"/>
                <w:lang w:val="de-DE"/>
              </w:rPr>
              <w:t>ü</w:t>
            </w:r>
            <w:r w:rsidRPr="00EA5CA0">
              <w:rPr>
                <w:lang w:val="de-DE"/>
              </w:rPr>
              <w:t xml:space="preserve">r Festzinsen </w:t>
            </w:r>
            <w:r w:rsidRPr="00792D61">
              <w:rPr>
                <w:b/>
                <w:lang w:val="de-DE"/>
              </w:rPr>
              <w:t>[</w:t>
            </w:r>
            <w:r w:rsidRPr="00EA5CA0">
              <w:rPr>
                <w:rFonts w:ascii="Arial" w:hAnsi="Arial" w:cs="Arial"/>
                <w:lang w:val="de-DE"/>
              </w:rPr>
              <w:t>●</w:t>
            </w:r>
            <w:r w:rsidRPr="00792D61">
              <w:rPr>
                <w:b/>
                <w:lang w:val="de-DE"/>
              </w:rPr>
              <w:t>]]</w:t>
            </w:r>
            <w:r w:rsidRPr="00EA5CA0">
              <w:rPr>
                <w:lang w:val="de-DE"/>
              </w:rPr>
              <w:t>, dies ist bzw. dies sind der Tag bzw. die Tage, an dem bzw. denen die Emittentin den Zahlungsbetrag f</w:t>
            </w:r>
            <w:r w:rsidRPr="00EA5CA0">
              <w:rPr>
                <w:rFonts w:cs="Credit Suisse Type Light"/>
                <w:lang w:val="de-DE"/>
              </w:rPr>
              <w:t>ü</w:t>
            </w:r>
            <w:r w:rsidRPr="00EA5CA0">
              <w:rPr>
                <w:lang w:val="de-DE"/>
              </w:rPr>
              <w:t>r Festzinsen f</w:t>
            </w:r>
            <w:r w:rsidRPr="00EA5CA0">
              <w:rPr>
                <w:rFonts w:cs="Credit Suisse Type Light"/>
                <w:lang w:val="de-DE"/>
              </w:rPr>
              <w:t>ü</w:t>
            </w:r>
            <w:r w:rsidRPr="00EA5CA0">
              <w:rPr>
                <w:lang w:val="de-DE"/>
              </w:rPr>
              <w:t>r jedes Komplexe Produkt an dessen Inhaber zahlt.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42F00" w:rsidP="00392DBD">
            <w:pPr>
              <w:pStyle w:val="CSBody8pt"/>
            </w:pPr>
            <w:r w:rsidRPr="00942F00">
              <w:t>Variable Interest Payment Date(s)</w:t>
            </w:r>
          </w:p>
        </w:tc>
        <w:tc>
          <w:tcPr>
            <w:tcW w:w="3315" w:type="dxa"/>
            <w:gridSpan w:val="7"/>
            <w:tcBorders>
              <w:top w:val="nil"/>
              <w:left w:val="nil"/>
              <w:bottom w:val="nil"/>
            </w:tcBorders>
            <w:shd w:val="clear" w:color="auto" w:fill="auto"/>
          </w:tcPr>
          <w:p w:rsidR="0017135D" w:rsidRPr="00942F00" w:rsidP="004C1EBA">
            <w:pPr>
              <w:pStyle w:val="CSBody8pt"/>
            </w:pPr>
            <w:r w:rsidRPr="00942F00">
              <w:rPr>
                <w:b/>
              </w:rPr>
              <w:t>[</w:t>
            </w:r>
            <w:r w:rsidRPr="00942F00">
              <w:rPr>
                <w:rFonts w:ascii="Arial" w:hAnsi="Arial" w:cs="Arial"/>
              </w:rPr>
              <w:t>●</w:t>
            </w:r>
            <w:r w:rsidRPr="00942F00">
              <w:rPr>
                <w:b/>
              </w:rPr>
              <w:t>][[</w:t>
            </w:r>
            <w:r w:rsidRPr="00942F00">
              <w:rPr>
                <w:rFonts w:ascii="Arial" w:hAnsi="Arial" w:cs="Arial"/>
              </w:rPr>
              <w:t>●</w:t>
            </w:r>
            <w:r w:rsidRPr="00942F00">
              <w:rPr>
                <w:b/>
              </w:rPr>
              <w:t>]</w:t>
            </w:r>
            <w:r w:rsidRPr="00942F00">
              <w:t>,</w:t>
            </w:r>
            <w:r w:rsidRPr="00942F00" w:rsidR="00942F00">
              <w:rPr>
                <w:b/>
              </w:rPr>
              <w:t>[</w:t>
            </w:r>
            <w:r w:rsidRPr="00942F00" w:rsidR="00942F00">
              <w:rPr>
                <w:rFonts w:ascii="Arial" w:hAnsi="Arial" w:cs="Arial"/>
                <w:b/>
              </w:rPr>
              <w:t>●</w:t>
            </w:r>
            <w:r w:rsidRPr="00942F00" w:rsidR="00942F00">
              <w:rPr>
                <w:b/>
              </w:rPr>
              <w:t>]</w:t>
            </w:r>
            <w:r w:rsidRPr="00942F00">
              <w:t xml:space="preserve"> and the </w:t>
            </w:r>
            <w:r w:rsidRPr="00942F00">
              <w:rPr>
                <w:b/>
              </w:rPr>
              <w:t>[</w:t>
            </w:r>
            <w:r w:rsidRPr="00942F00">
              <w:t>Final Redemption Date</w:t>
            </w:r>
            <w:r w:rsidRPr="00942F00">
              <w:rPr>
                <w:b/>
              </w:rPr>
              <w:t>][</w:t>
            </w:r>
            <w:r w:rsidRPr="00942F00">
              <w:t>Scheduled Maturity Date</w:t>
            </w:r>
            <w:r w:rsidRPr="00942F00">
              <w:rPr>
                <w:b/>
              </w:rPr>
              <w:t>]][[</w:t>
            </w:r>
            <w:r w:rsidRPr="00942F00">
              <w:rPr>
                <w:rFonts w:ascii="Arial" w:hAnsi="Arial" w:cs="Arial"/>
              </w:rPr>
              <w:t>●</w:t>
            </w:r>
            <w:r w:rsidRPr="00942F00">
              <w:rPr>
                <w:b/>
              </w:rPr>
              <w:t>]</w:t>
            </w:r>
            <w:r w:rsidRPr="00942F00">
              <w:t xml:space="preserve"> of each year, the first Variable Interest Payment Date being </w:t>
            </w:r>
            <w:r w:rsidRPr="00942F00">
              <w:rPr>
                <w:b/>
              </w:rPr>
              <w:t>[</w:t>
            </w:r>
            <w:r w:rsidRPr="00942F00">
              <w:rPr>
                <w:rFonts w:ascii="Arial" w:hAnsi="Arial" w:cs="Arial"/>
              </w:rPr>
              <w:t>●</w:t>
            </w:r>
            <w:r w:rsidRPr="00942F00">
              <w:rPr>
                <w:b/>
              </w:rPr>
              <w:t>]</w:t>
            </w:r>
            <w:r w:rsidRPr="00942F00">
              <w:t xml:space="preserve"> and the last Variable Interest Payment Date being </w:t>
            </w:r>
            <w:r w:rsidRPr="00942F00">
              <w:rPr>
                <w:b/>
              </w:rPr>
              <w:t>[[</w:t>
            </w:r>
            <w:r w:rsidRPr="00942F00">
              <w:rPr>
                <w:rFonts w:ascii="Arial" w:hAnsi="Arial" w:cs="Arial"/>
              </w:rPr>
              <w:t>●</w:t>
            </w:r>
            <w:r w:rsidRPr="00942F00">
              <w:rPr>
                <w:b/>
              </w:rPr>
              <w:t>]][</w:t>
            </w:r>
            <w:r w:rsidRPr="00942F00">
              <w:t xml:space="preserve">the </w:t>
            </w:r>
            <w:r w:rsidRPr="00942F00">
              <w:rPr>
                <w:b/>
              </w:rPr>
              <w:t>[</w:t>
            </w:r>
            <w:r w:rsidRPr="00942F00">
              <w:t>Final Redemption Date</w:t>
            </w:r>
            <w:r w:rsidRPr="00942F00">
              <w:rPr>
                <w:b/>
              </w:rPr>
              <w:t>]</w:t>
            </w:r>
            <w:r w:rsidRPr="00942F00">
              <w:t xml:space="preserve"> </w:t>
            </w:r>
            <w:r w:rsidRPr="00942F00">
              <w:rPr>
                <w:b/>
              </w:rPr>
              <w:t>[</w:t>
            </w:r>
            <w:r w:rsidRPr="00942F00">
              <w:t>Scheduled Maturity Date</w:t>
            </w:r>
            <w:r w:rsidRPr="00942F00">
              <w:rPr>
                <w:b/>
              </w:rPr>
              <w:t>]]]</w:t>
            </w:r>
            <w:r w:rsidRPr="00942F00">
              <w:t>, being the date(s) on which the Issuer shall pay the Variable Interest Payment Amount per Complex Product to the Holders.</w:t>
            </w:r>
            <w:r w:rsidRPr="00942F00">
              <w:rPr>
                <w:b/>
              </w:rPr>
              <w:t>]</w:t>
            </w:r>
          </w:p>
        </w:tc>
        <w:tc>
          <w:tcPr>
            <w:tcW w:w="1618" w:type="dxa"/>
            <w:gridSpan w:val="2"/>
            <w:tcBorders>
              <w:top w:val="nil"/>
              <w:bottom w:val="nil"/>
              <w:right w:val="nil"/>
            </w:tcBorders>
            <w:shd w:val="clear" w:color="auto" w:fill="auto"/>
          </w:tcPr>
          <w:p w:rsidR="0017135D" w:rsidRPr="00942F00" w:rsidP="00392DBD">
            <w:pPr>
              <w:pStyle w:val="CSBody8pt"/>
              <w:rPr>
                <w:lang w:val="de-DE"/>
              </w:rPr>
            </w:pPr>
            <w:r w:rsidRPr="00942F00">
              <w:rPr>
                <w:lang w:val="de-DE"/>
              </w:rPr>
              <w:t>Zahlungstag(e) für Variable Zinsen</w:t>
            </w:r>
          </w:p>
        </w:tc>
        <w:tc>
          <w:tcPr>
            <w:tcW w:w="3318" w:type="dxa"/>
            <w:gridSpan w:val="10"/>
            <w:tcBorders>
              <w:top w:val="nil"/>
              <w:left w:val="nil"/>
              <w:bottom w:val="nil"/>
              <w:right w:val="nil"/>
            </w:tcBorders>
            <w:shd w:val="clear" w:color="auto" w:fill="auto"/>
          </w:tcPr>
          <w:p w:rsidR="0017135D" w:rsidRPr="00EA5CA0" w:rsidP="004C1EBA">
            <w:pPr>
              <w:pStyle w:val="CSBody8pt"/>
              <w:rPr>
                <w:lang w:val="de-DE"/>
              </w:rPr>
            </w:pPr>
            <w:r w:rsidRPr="00942F00">
              <w:rPr>
                <w:b/>
                <w:lang w:val="de-DE"/>
              </w:rPr>
              <w:t>[</w:t>
            </w:r>
            <w:r w:rsidRPr="00942F00">
              <w:rPr>
                <w:rFonts w:ascii="Arial" w:hAnsi="Arial" w:cs="Arial"/>
                <w:lang w:val="de-DE"/>
              </w:rPr>
              <w:t>●</w:t>
            </w:r>
            <w:r w:rsidRPr="00942F00">
              <w:rPr>
                <w:b/>
                <w:lang w:val="de-DE"/>
              </w:rPr>
              <w:t>][[</w:t>
            </w:r>
            <w:r w:rsidRPr="00942F00">
              <w:rPr>
                <w:rFonts w:ascii="Arial" w:hAnsi="Arial" w:cs="Arial"/>
                <w:lang w:val="de-DE"/>
              </w:rPr>
              <w:t>●</w:t>
            </w:r>
            <w:r w:rsidRPr="00942F00">
              <w:rPr>
                <w:b/>
                <w:lang w:val="de-DE"/>
              </w:rPr>
              <w:t>]</w:t>
            </w:r>
            <w:r w:rsidRPr="00942F00">
              <w:rPr>
                <w:lang w:val="de-DE"/>
              </w:rPr>
              <w:t>,</w:t>
            </w:r>
            <w:r w:rsidRPr="00BD6E0D" w:rsidR="00942F00">
              <w:rPr>
                <w:b/>
                <w:lang w:val="de-DE"/>
              </w:rPr>
              <w:t>[</w:t>
            </w:r>
            <w:r w:rsidRPr="00BD6E0D" w:rsidR="00942F00">
              <w:rPr>
                <w:rFonts w:ascii="Arial" w:hAnsi="Arial" w:cs="Arial"/>
                <w:b/>
                <w:lang w:val="de-DE"/>
              </w:rPr>
              <w:t>●</w:t>
            </w:r>
            <w:r w:rsidRPr="00BD6E0D" w:rsidR="00942F00">
              <w:rPr>
                <w:b/>
                <w:lang w:val="de-DE"/>
              </w:rPr>
              <w:t>]</w:t>
            </w:r>
            <w:r w:rsidRPr="00942F00">
              <w:rPr>
                <w:lang w:val="de-DE"/>
              </w:rPr>
              <w:t xml:space="preserve">und der </w:t>
            </w:r>
            <w:r w:rsidRPr="00942F00">
              <w:rPr>
                <w:b/>
                <w:lang w:val="de-DE"/>
              </w:rPr>
              <w:t>[</w:t>
            </w:r>
            <w:r w:rsidRPr="00942F00">
              <w:rPr>
                <w:lang w:val="de-DE"/>
              </w:rPr>
              <w:t>Finale R</w:t>
            </w:r>
            <w:r w:rsidRPr="00942F00">
              <w:rPr>
                <w:rFonts w:cs="Credit Suisse Type Light"/>
                <w:lang w:val="de-DE"/>
              </w:rPr>
              <w:t>ü</w:t>
            </w:r>
            <w:r w:rsidRPr="00942F00">
              <w:rPr>
                <w:lang w:val="de-DE"/>
              </w:rPr>
              <w:t>ckzahlungstag</w:t>
            </w:r>
            <w:r w:rsidRPr="00942F00">
              <w:rPr>
                <w:b/>
                <w:lang w:val="de-DE"/>
              </w:rPr>
              <w:t>]</w:t>
            </w:r>
            <w:r w:rsidRPr="00942F00">
              <w:rPr>
                <w:lang w:val="de-DE"/>
              </w:rPr>
              <w:t xml:space="preserve"> </w:t>
            </w:r>
            <w:r w:rsidRPr="00942F00">
              <w:rPr>
                <w:b/>
                <w:lang w:val="de-DE"/>
              </w:rPr>
              <w:t>[</w:t>
            </w:r>
            <w:r w:rsidRPr="00942F00">
              <w:rPr>
                <w:lang w:val="de-DE"/>
              </w:rPr>
              <w:t>Planm</w:t>
            </w:r>
            <w:r w:rsidRPr="00942F00">
              <w:rPr>
                <w:rFonts w:cs="Credit Suisse Type Light"/>
                <w:lang w:val="de-DE"/>
              </w:rPr>
              <w:t>ä</w:t>
            </w:r>
            <w:r w:rsidRPr="00942F00">
              <w:rPr>
                <w:lang w:val="de-DE"/>
              </w:rPr>
              <w:t>ssige F</w:t>
            </w:r>
            <w:r w:rsidRPr="00942F00">
              <w:rPr>
                <w:rFonts w:cs="Credit Suisse Type Light"/>
                <w:lang w:val="de-DE"/>
              </w:rPr>
              <w:t>ä</w:t>
            </w:r>
            <w:r w:rsidRPr="00942F00">
              <w:rPr>
                <w:lang w:val="de-DE"/>
              </w:rPr>
              <w:t>lligkeitstag</w:t>
            </w:r>
            <w:r w:rsidRPr="00942F00">
              <w:rPr>
                <w:b/>
                <w:lang w:val="de-DE"/>
              </w:rPr>
              <w:t>]][[</w:t>
            </w:r>
            <w:r w:rsidRPr="00942F00">
              <w:rPr>
                <w:rFonts w:ascii="Arial" w:hAnsi="Arial" w:cs="Arial"/>
                <w:lang w:val="de-DE"/>
              </w:rPr>
              <w:t>●</w:t>
            </w:r>
            <w:r w:rsidRPr="00942F00">
              <w:rPr>
                <w:b/>
                <w:lang w:val="de-DE"/>
              </w:rPr>
              <w:t>]</w:t>
            </w:r>
            <w:r w:rsidRPr="00942F00">
              <w:rPr>
                <w:lang w:val="de-DE"/>
              </w:rPr>
              <w:t xml:space="preserve"> jedes Jahres; hierbei ist der erste Zahlungstag f</w:t>
            </w:r>
            <w:r w:rsidRPr="00942F00">
              <w:rPr>
                <w:rFonts w:cs="Credit Suisse Type Light"/>
                <w:lang w:val="de-DE"/>
              </w:rPr>
              <w:t>ü</w:t>
            </w:r>
            <w:r w:rsidRPr="00942F00">
              <w:rPr>
                <w:lang w:val="de-DE"/>
              </w:rPr>
              <w:t xml:space="preserve">r Variable Zinsen </w:t>
            </w:r>
            <w:r w:rsidRPr="00942F00">
              <w:rPr>
                <w:b/>
                <w:lang w:val="de-DE"/>
              </w:rPr>
              <w:t>[</w:t>
            </w:r>
            <w:r w:rsidRPr="00942F00">
              <w:rPr>
                <w:rFonts w:ascii="Arial" w:hAnsi="Arial" w:cs="Arial"/>
                <w:lang w:val="de-DE"/>
              </w:rPr>
              <w:t>●</w:t>
            </w:r>
            <w:r w:rsidRPr="00942F00">
              <w:rPr>
                <w:b/>
                <w:lang w:val="de-DE"/>
              </w:rPr>
              <w:t>]</w:t>
            </w:r>
            <w:r w:rsidRPr="00942F00">
              <w:rPr>
                <w:lang w:val="de-DE"/>
              </w:rPr>
              <w:t xml:space="preserve"> und der letzte Zahlungstag f</w:t>
            </w:r>
            <w:r w:rsidRPr="00942F00">
              <w:rPr>
                <w:rFonts w:cs="Credit Suisse Type Light"/>
                <w:lang w:val="de-DE"/>
              </w:rPr>
              <w:t>ü</w:t>
            </w:r>
            <w:r w:rsidRPr="00942F00">
              <w:rPr>
                <w:lang w:val="de-DE"/>
              </w:rPr>
              <w:t xml:space="preserve">r Variable Zinsen </w:t>
            </w:r>
            <w:r w:rsidRPr="00942F00">
              <w:rPr>
                <w:b/>
                <w:lang w:val="de-DE"/>
              </w:rPr>
              <w:t>[[</w:t>
            </w:r>
            <w:r w:rsidRPr="00942F00">
              <w:rPr>
                <w:rFonts w:ascii="Arial" w:hAnsi="Arial" w:cs="Arial"/>
                <w:lang w:val="de-DE"/>
              </w:rPr>
              <w:t>●</w:t>
            </w:r>
            <w:r w:rsidRPr="00942F00">
              <w:rPr>
                <w:b/>
                <w:lang w:val="de-DE"/>
              </w:rPr>
              <w:t>]][</w:t>
            </w:r>
            <w:r w:rsidRPr="00942F00">
              <w:rPr>
                <w:lang w:val="de-DE"/>
              </w:rPr>
              <w:t xml:space="preserve">der </w:t>
            </w:r>
            <w:r w:rsidRPr="00942F00">
              <w:rPr>
                <w:b/>
                <w:lang w:val="de-DE"/>
              </w:rPr>
              <w:t>[</w:t>
            </w:r>
            <w:r w:rsidRPr="00942F00">
              <w:rPr>
                <w:lang w:val="de-DE"/>
              </w:rPr>
              <w:t>Finale Rückzahlungstag</w:t>
            </w:r>
            <w:r w:rsidRPr="00942F00">
              <w:rPr>
                <w:b/>
                <w:lang w:val="de-DE"/>
              </w:rPr>
              <w:t>]</w:t>
            </w:r>
            <w:r w:rsidRPr="00942F00">
              <w:rPr>
                <w:lang w:val="de-DE"/>
              </w:rPr>
              <w:t xml:space="preserve"> </w:t>
            </w:r>
            <w:r w:rsidRPr="00942F00">
              <w:rPr>
                <w:b/>
                <w:lang w:val="de-DE"/>
              </w:rPr>
              <w:t>[</w:t>
            </w:r>
            <w:r w:rsidRPr="00942F00">
              <w:rPr>
                <w:lang w:val="de-DE"/>
              </w:rPr>
              <w:t>Planmässige Fälligkeitstag</w:t>
            </w:r>
            <w:r w:rsidRPr="00942F00">
              <w:rPr>
                <w:b/>
                <w:lang w:val="de-DE"/>
              </w:rPr>
              <w:t>]]]</w:t>
            </w:r>
            <w:r w:rsidRPr="00942F00">
              <w:rPr>
                <w:lang w:val="de-DE"/>
              </w:rPr>
              <w:t>, dies ist bzw. dies sind der Tag bzw. die Tage, an dem bzw. denen die Emittentin den Zahlungsbetrag für Variable Zinsen für jedes Komplexe Produkt an dessen Inhaber zahlt.</w:t>
            </w:r>
            <w:r w:rsidRPr="00942F00">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052E7" w:rsidP="00392DBD">
            <w:pPr>
              <w:pStyle w:val="CSBody8pt"/>
              <w:rPr>
                <w:lang w:val="de-DE"/>
              </w:rPr>
            </w:pPr>
            <w:r w:rsidRPr="006052E7">
              <w:rPr>
                <w:lang w:val="de-DE"/>
              </w:rPr>
              <w:t>Interest Ex-Date(s)</w:t>
            </w:r>
            <w:r>
              <w:rPr>
                <w:lang w:val="de-DE"/>
              </w:rPr>
              <w:fldChar w:fldCharType="begin"/>
            </w:r>
            <w:r>
              <w:instrText xml:space="preserve"> XE "</w:instrText>
            </w:r>
            <w:r w:rsidRPr="00462683">
              <w:rPr>
                <w:lang w:val="de-DE"/>
              </w:rPr>
              <w:instrText>Interest Ex-Date(s)</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6052E7" w:rsidP="00392DBD">
            <w:pPr>
              <w:pStyle w:val="CSBody8pt"/>
            </w:pPr>
            <w:r w:rsidRPr="00792D61">
              <w:rPr>
                <w:b/>
              </w:rPr>
              <w:t>[[</w:t>
            </w:r>
            <w:r w:rsidRPr="006052E7">
              <w:rPr>
                <w:rFonts w:ascii="Arial" w:hAnsi="Arial" w:cs="Arial"/>
              </w:rPr>
              <w:t>●</w:t>
            </w:r>
            <w:r w:rsidRPr="00792D61">
              <w:rPr>
                <w:b/>
              </w:rPr>
              <w:t>]</w:t>
            </w:r>
            <w:r w:rsidRPr="006052E7">
              <w:t>, being the date(s) on which the Complex Products are traded ex-interest.</w:t>
            </w:r>
            <w:r w:rsidRPr="00792D61">
              <w:rPr>
                <w:b/>
              </w:rPr>
              <w:t>]</w:t>
            </w:r>
          </w:p>
        </w:tc>
        <w:tc>
          <w:tcPr>
            <w:tcW w:w="1618" w:type="dxa"/>
            <w:gridSpan w:val="2"/>
            <w:tcBorders>
              <w:top w:val="nil"/>
              <w:bottom w:val="nil"/>
              <w:right w:val="nil"/>
            </w:tcBorders>
            <w:shd w:val="clear" w:color="auto" w:fill="auto"/>
          </w:tcPr>
          <w:p w:rsidR="0017135D" w:rsidRPr="006052E7" w:rsidP="00392DBD">
            <w:pPr>
              <w:pStyle w:val="CSBody8pt"/>
            </w:pPr>
            <w:r w:rsidRPr="006052E7">
              <w:t>Ex-Zinstag(e)</w:t>
            </w:r>
            <w:r>
              <w:fldChar w:fldCharType="begin"/>
            </w:r>
            <w:r>
              <w:instrText xml:space="preserve"> XE "</w:instrText>
            </w:r>
            <w:r w:rsidRPr="00543BC9">
              <w:instrText>Ex-Zinstag(e)</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6052E7" w:rsidP="00392DBD">
            <w:pPr>
              <w:pStyle w:val="CSBody8pt"/>
              <w:rPr>
                <w:lang w:val="de-DE"/>
              </w:rPr>
            </w:pPr>
            <w:r w:rsidRPr="00792D61">
              <w:rPr>
                <w:b/>
                <w:lang w:val="de-DE"/>
              </w:rPr>
              <w:t>[[</w:t>
            </w:r>
            <w:r w:rsidRPr="006052E7">
              <w:rPr>
                <w:rFonts w:ascii="Arial" w:hAnsi="Arial" w:cs="Arial"/>
                <w:lang w:val="de-DE"/>
              </w:rPr>
              <w:t>●</w:t>
            </w:r>
            <w:r w:rsidRPr="00792D61">
              <w:rPr>
                <w:b/>
                <w:lang w:val="de-DE"/>
              </w:rPr>
              <w:t>]</w:t>
            </w:r>
            <w:r w:rsidRPr="006052E7">
              <w:rPr>
                <w:lang w:val="de-DE"/>
              </w:rPr>
              <w:t>; an diesem Tag bzw. diesen Tagen werden die Komplexen Produkte ex-Zinsen gehandelt.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052E7" w:rsidP="00392DBD">
            <w:pPr>
              <w:pStyle w:val="CSBody8pt"/>
              <w:rPr>
                <w:lang w:val="de-DE"/>
              </w:rPr>
            </w:pPr>
          </w:p>
        </w:tc>
        <w:tc>
          <w:tcPr>
            <w:tcW w:w="3315" w:type="dxa"/>
            <w:gridSpan w:val="7"/>
            <w:tcBorders>
              <w:top w:val="nil"/>
              <w:left w:val="nil"/>
              <w:bottom w:val="nil"/>
            </w:tcBorders>
            <w:shd w:val="clear" w:color="auto" w:fill="auto"/>
          </w:tcPr>
          <w:p w:rsidR="0017135D" w:rsidRPr="006052E7" w:rsidP="00392DBD">
            <w:pPr>
              <w:pStyle w:val="CSBody8pt"/>
            </w:pPr>
            <w:r w:rsidRPr="00792D61">
              <w:rPr>
                <w:b/>
              </w:rPr>
              <w:t>[</w:t>
            </w:r>
            <w:r w:rsidRPr="006052E7">
              <w:t>None</w:t>
            </w:r>
            <w:r w:rsidRPr="00792D61">
              <w:rPr>
                <w:b/>
              </w:rPr>
              <w:t>]</w:t>
            </w:r>
          </w:p>
        </w:tc>
        <w:tc>
          <w:tcPr>
            <w:tcW w:w="1618" w:type="dxa"/>
            <w:gridSpan w:val="2"/>
            <w:tcBorders>
              <w:top w:val="nil"/>
              <w:bottom w:val="nil"/>
              <w:right w:val="nil"/>
            </w:tcBorders>
            <w:shd w:val="clear" w:color="auto" w:fill="auto"/>
          </w:tcPr>
          <w:p w:rsidR="0017135D" w:rsidRPr="006052E7" w:rsidP="00392DBD">
            <w:pPr>
              <w:pStyle w:val="CSBody8pt"/>
              <w:rPr>
                <w:lang w:val="de-DE"/>
              </w:rPr>
            </w:pPr>
          </w:p>
        </w:tc>
        <w:tc>
          <w:tcPr>
            <w:tcW w:w="3318" w:type="dxa"/>
            <w:gridSpan w:val="10"/>
            <w:tcBorders>
              <w:top w:val="nil"/>
              <w:left w:val="nil"/>
              <w:bottom w:val="nil"/>
              <w:right w:val="nil"/>
            </w:tcBorders>
            <w:shd w:val="clear" w:color="auto" w:fill="auto"/>
          </w:tcPr>
          <w:p w:rsidR="0017135D" w:rsidRPr="006052E7" w:rsidP="00392DBD">
            <w:pPr>
              <w:pStyle w:val="CSBody8pt"/>
            </w:pPr>
            <w:r w:rsidRPr="00792D61">
              <w:rPr>
                <w:b/>
              </w:rPr>
              <w:t>[</w:t>
            </w:r>
            <w:r w:rsidRPr="006052E7">
              <w:t>Keiner</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052E7" w:rsidP="00392DBD">
            <w:pPr>
              <w:pStyle w:val="CSBody8pt"/>
              <w:rPr>
                <w:lang w:val="de-DE"/>
              </w:rPr>
            </w:pPr>
            <w:r w:rsidRPr="006052E7">
              <w:rPr>
                <w:lang w:val="de-DE"/>
              </w:rPr>
              <w:t>Interest Period</w:t>
            </w:r>
            <w:r>
              <w:rPr>
                <w:lang w:val="de-DE"/>
              </w:rPr>
              <w:fldChar w:fldCharType="begin"/>
            </w:r>
            <w:r>
              <w:instrText xml:space="preserve"> XE "</w:instrText>
            </w:r>
            <w:r w:rsidRPr="00BF6278">
              <w:rPr>
                <w:lang w:val="de-DE"/>
              </w:rPr>
              <w:instrText>Interest Period</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6052E7" w:rsidP="00392DBD">
            <w:pPr>
              <w:pStyle w:val="CSBody8pt"/>
            </w:pPr>
            <w:r w:rsidRPr="00792D61">
              <w:rPr>
                <w:b/>
              </w:rPr>
              <w:t>[</w:t>
            </w:r>
            <w:r w:rsidRPr="006052E7">
              <w:rPr>
                <w:b/>
                <w:i/>
              </w:rPr>
              <w:t>in the case of one Interest Payment Date, insert:</w:t>
            </w:r>
            <w:r w:rsidRPr="006052E7">
              <w:t xml:space="preserve"> the period from and including the Interest Commencement Date to and excluding the Interest Payment Date.</w:t>
            </w:r>
            <w:r w:rsidRPr="00792D61">
              <w:rPr>
                <w:b/>
              </w:rPr>
              <w:t>]</w:t>
            </w:r>
          </w:p>
        </w:tc>
        <w:tc>
          <w:tcPr>
            <w:tcW w:w="1618" w:type="dxa"/>
            <w:gridSpan w:val="2"/>
            <w:tcBorders>
              <w:top w:val="nil"/>
              <w:bottom w:val="nil"/>
              <w:right w:val="nil"/>
            </w:tcBorders>
            <w:shd w:val="clear" w:color="auto" w:fill="auto"/>
          </w:tcPr>
          <w:p w:rsidR="0017135D" w:rsidRPr="006052E7" w:rsidP="00392DBD">
            <w:pPr>
              <w:pStyle w:val="CSBody8pt"/>
            </w:pPr>
            <w:r w:rsidRPr="006052E7">
              <w:t>Zinsperiode</w:t>
            </w:r>
            <w:r>
              <w:fldChar w:fldCharType="begin"/>
            </w:r>
            <w:r>
              <w:instrText xml:space="preserve"> XE "</w:instrText>
            </w:r>
            <w:r w:rsidRPr="00FF6BD9">
              <w:instrText>Zinsperiode</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763B25" w:rsidP="00392DBD">
            <w:pPr>
              <w:pStyle w:val="CSBody8pt"/>
              <w:rPr>
                <w:lang w:val="de-DE"/>
              </w:rPr>
            </w:pPr>
            <w:r w:rsidRPr="00792D61">
              <w:rPr>
                <w:b/>
                <w:lang w:val="de-DE"/>
              </w:rPr>
              <w:t>[</w:t>
            </w:r>
            <w:r w:rsidRPr="006052E7">
              <w:rPr>
                <w:b/>
                <w:i/>
                <w:lang w:val="de-DE"/>
              </w:rPr>
              <w:t>bei nur einem Zinszahlungstag einfügen:</w:t>
            </w:r>
            <w:r w:rsidRPr="006052E7">
              <w:rPr>
                <w:lang w:val="de-DE"/>
              </w:rPr>
              <w:t xml:space="preserve"> der Zeitraum vom Verzinsungsbeginn (einschliesslich) bis zum Zinszahlungstag (ausschliesslich).</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763B25" w:rsidP="00392DBD">
            <w:pPr>
              <w:pStyle w:val="CSBody8pt"/>
              <w:rPr>
                <w:lang w:val="de-DE"/>
              </w:rPr>
            </w:pPr>
          </w:p>
        </w:tc>
        <w:tc>
          <w:tcPr>
            <w:tcW w:w="3315" w:type="dxa"/>
            <w:gridSpan w:val="7"/>
            <w:tcBorders>
              <w:top w:val="nil"/>
              <w:left w:val="nil"/>
              <w:bottom w:val="nil"/>
            </w:tcBorders>
            <w:shd w:val="clear" w:color="auto" w:fill="auto"/>
          </w:tcPr>
          <w:p w:rsidR="0017135D" w:rsidP="00392DBD">
            <w:pPr>
              <w:pStyle w:val="CSBody8pt"/>
            </w:pPr>
            <w:r w:rsidRPr="00792D61">
              <w:rPr>
                <w:b/>
              </w:rPr>
              <w:t>[</w:t>
            </w:r>
            <w:r w:rsidRPr="00392DBD">
              <w:rPr>
                <w:b/>
                <w:i/>
              </w:rPr>
              <w:t>in the case of multiple Interest Payment Dates, insert:</w:t>
            </w:r>
            <w:r w:rsidRPr="00AF5EB5">
              <w:t xml:space="preserve"> (i) with respect to the first Interest Payment Date, the period from and including the Interest Commencement Date to and excluding such Interest Payment Date, and (ii) with respect to any other Interest Payment Date, the period from and including the immediately preceding Interest Payment Date to and excluding such Interest Payment Date.</w:t>
            </w:r>
            <w:r w:rsidRPr="00792D61">
              <w:rPr>
                <w:b/>
              </w:rPr>
              <w:t>]</w:t>
            </w:r>
          </w:p>
        </w:tc>
        <w:tc>
          <w:tcPr>
            <w:tcW w:w="1618" w:type="dxa"/>
            <w:gridSpan w:val="2"/>
            <w:tcBorders>
              <w:top w:val="nil"/>
              <w:bottom w:val="nil"/>
              <w:right w:val="nil"/>
            </w:tcBorders>
            <w:shd w:val="clear" w:color="auto" w:fill="auto"/>
          </w:tcPr>
          <w:p w:rsidR="0017135D" w:rsidRPr="00763B25" w:rsidP="00392DBD">
            <w:pPr>
              <w:pStyle w:val="CSBody8pt"/>
            </w:pPr>
          </w:p>
        </w:tc>
        <w:tc>
          <w:tcPr>
            <w:tcW w:w="3318" w:type="dxa"/>
            <w:gridSpan w:val="10"/>
            <w:tcBorders>
              <w:top w:val="nil"/>
              <w:left w:val="nil"/>
              <w:bottom w:val="nil"/>
              <w:right w:val="nil"/>
            </w:tcBorders>
            <w:shd w:val="clear" w:color="auto" w:fill="auto"/>
          </w:tcPr>
          <w:p w:rsidR="0017135D" w:rsidRPr="00763B25" w:rsidP="00516CB4">
            <w:pPr>
              <w:pStyle w:val="CSBody8pt"/>
              <w:rPr>
                <w:lang w:val="de-DE"/>
              </w:rPr>
            </w:pPr>
            <w:r w:rsidRPr="00792D61">
              <w:rPr>
                <w:b/>
                <w:lang w:val="de-DE"/>
              </w:rPr>
              <w:t>[</w:t>
            </w:r>
            <w:r w:rsidRPr="00392DBD">
              <w:rPr>
                <w:b/>
                <w:i/>
                <w:lang w:val="de-DE"/>
              </w:rPr>
              <w:t>bei mehreren Zinszahlungstagen einfügen:</w:t>
            </w:r>
            <w:r w:rsidRPr="00763B25">
              <w:rPr>
                <w:lang w:val="de-DE"/>
              </w:rPr>
              <w:t xml:space="preserve"> (i) in Bezug auf den ersten Zinszahlungstag der Zeitraum vom Verzinsungsbeginn (einschliesslich) bis zu diesem Zinszahlungstag (ausschliesslich) und (ii) in Bezug auf alle anderen Zinszahlungstage der Zeitraum vom unmittelbar vorangegangenen Zinszahlungstag (einschliesslich) bis zu diesem Zinszahlungstag (ausschliesslich).</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052E7" w:rsidP="00392DBD">
            <w:pPr>
              <w:pStyle w:val="CSBody8pt"/>
              <w:rPr>
                <w:lang w:val="de-DE"/>
              </w:rPr>
            </w:pPr>
            <w:r w:rsidRPr="006052E7">
              <w:rPr>
                <w:lang w:val="de-DE"/>
              </w:rPr>
              <w:t>Day Count Fraction</w:t>
            </w:r>
            <w:r>
              <w:rPr>
                <w:lang w:val="de-DE"/>
              </w:rPr>
              <w:fldChar w:fldCharType="begin"/>
            </w:r>
            <w:r>
              <w:instrText xml:space="preserve"> XE "</w:instrText>
            </w:r>
            <w:r w:rsidRPr="00322B5E">
              <w:rPr>
                <w:lang w:val="de-DE"/>
              </w:rPr>
              <w:instrText>Day Count Fraction</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6052E7" w:rsidP="00392DBD">
            <w:pPr>
              <w:pStyle w:val="CSBody8pt"/>
            </w:pPr>
            <w:r w:rsidRPr="00792D61">
              <w:rPr>
                <w:b/>
              </w:rPr>
              <w:t>[[</w:t>
            </w:r>
            <w:r w:rsidRPr="006052E7">
              <w:t>30/360</w:t>
            </w:r>
            <w:r w:rsidRPr="00792D61">
              <w:rPr>
                <w:b/>
              </w:rPr>
              <w:t>][</w:t>
            </w:r>
            <w:r w:rsidRPr="006052E7">
              <w:t>360/360</w:t>
            </w:r>
            <w:r w:rsidRPr="00792D61">
              <w:rPr>
                <w:b/>
              </w:rPr>
              <w:t>]</w:t>
            </w:r>
            <w:r w:rsidRPr="006052E7">
              <w:t xml:space="preserve">, </w:t>
            </w:r>
            <w:r w:rsidRPr="007E3558">
              <w:rPr>
                <w:i/>
              </w:rPr>
              <w:t>i.e.</w:t>
            </w:r>
            <w:r w:rsidRPr="006052E7">
              <w:t xml:space="preserve">, the number of days in the </w:t>
            </w:r>
            <w:r w:rsidRPr="00792D61">
              <w:rPr>
                <w:b/>
              </w:rPr>
              <w:t>[</w:t>
            </w:r>
            <w:r w:rsidRPr="006052E7">
              <w:t>relevant</w:t>
            </w:r>
            <w:r w:rsidRPr="00792D61">
              <w:rPr>
                <w:b/>
              </w:rPr>
              <w:t>]</w:t>
            </w:r>
            <w:r w:rsidRPr="006052E7">
              <w:t xml:space="preserve"> Interest Period divided by 360, calculated on the basis of the following formula:</w:t>
            </w:r>
          </w:p>
        </w:tc>
        <w:tc>
          <w:tcPr>
            <w:tcW w:w="1618" w:type="dxa"/>
            <w:gridSpan w:val="2"/>
            <w:tcBorders>
              <w:top w:val="nil"/>
              <w:bottom w:val="nil"/>
              <w:right w:val="nil"/>
            </w:tcBorders>
            <w:shd w:val="clear" w:color="auto" w:fill="auto"/>
          </w:tcPr>
          <w:p w:rsidR="0017135D" w:rsidRPr="006052E7" w:rsidP="00392DBD">
            <w:pPr>
              <w:pStyle w:val="CSBody8pt"/>
            </w:pPr>
            <w:r w:rsidRPr="006052E7">
              <w:t>Zinstagequotient</w:t>
            </w:r>
            <w:r>
              <w:fldChar w:fldCharType="begin"/>
            </w:r>
            <w:r>
              <w:instrText xml:space="preserve"> XE "</w:instrText>
            </w:r>
            <w:r w:rsidRPr="008F5998">
              <w:instrText>Zinstagequotient</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FA5FE8" w:rsidP="00392DBD">
            <w:pPr>
              <w:pStyle w:val="CSBody8pt"/>
              <w:rPr>
                <w:lang w:val="de-DE"/>
              </w:rPr>
            </w:pPr>
            <w:r w:rsidRPr="00792D61">
              <w:rPr>
                <w:b/>
                <w:lang w:val="de-DE"/>
              </w:rPr>
              <w:t>[[</w:t>
            </w:r>
            <w:r w:rsidRPr="006052E7">
              <w:rPr>
                <w:lang w:val="de-DE"/>
              </w:rPr>
              <w:t>30/360</w:t>
            </w:r>
            <w:r w:rsidRPr="00792D61">
              <w:rPr>
                <w:b/>
                <w:lang w:val="de-DE"/>
              </w:rPr>
              <w:t>][</w:t>
            </w:r>
            <w:r w:rsidRPr="006052E7">
              <w:rPr>
                <w:lang w:val="de-DE"/>
              </w:rPr>
              <w:t>360/360</w:t>
            </w:r>
            <w:r w:rsidRPr="00792D61">
              <w:rPr>
                <w:b/>
                <w:lang w:val="de-DE"/>
              </w:rPr>
              <w:t>]</w:t>
            </w:r>
            <w:r w:rsidRPr="006052E7">
              <w:rPr>
                <w:lang w:val="de-DE"/>
              </w:rPr>
              <w:t xml:space="preserve">, </w:t>
            </w:r>
            <w:r>
              <w:rPr>
                <w:lang w:val="de-DE"/>
              </w:rPr>
              <w:t>d.h.</w:t>
            </w:r>
            <w:r w:rsidRPr="006052E7">
              <w:rPr>
                <w:lang w:val="de-DE"/>
              </w:rPr>
              <w:t xml:space="preserve"> die Anzahl von Tagen in der </w:t>
            </w:r>
            <w:r w:rsidRPr="00792D61">
              <w:rPr>
                <w:b/>
                <w:lang w:val="de-DE"/>
              </w:rPr>
              <w:t>[</w:t>
            </w:r>
            <w:r w:rsidRPr="006052E7">
              <w:rPr>
                <w:lang w:val="de-DE"/>
              </w:rPr>
              <w:t>jeweiligen</w:t>
            </w:r>
            <w:r w:rsidRPr="00792D61">
              <w:rPr>
                <w:b/>
                <w:lang w:val="de-DE"/>
              </w:rPr>
              <w:t>]</w:t>
            </w:r>
            <w:r w:rsidRPr="006052E7">
              <w:rPr>
                <w:lang w:val="de-DE"/>
              </w:rPr>
              <w:t xml:space="preserve"> Zinsperiode geteilt durch 360, auf Basis der folgenden Formel errechnet: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B84937" w:rsidP="00B84937">
            <w:pPr>
              <w:pStyle w:val="CSBody0"/>
              <w:spacing w:before="120" w:after="120"/>
              <w:rPr>
                <w:sz w:val="14"/>
                <w:szCs w:val="14"/>
              </w:rPr>
            </w:pPr>
            <m:oMathPara>
              <m:oMath>
                <m:r>
                  <m:rPr>
                    <m:nor/>
                  </m:rPr>
                  <w:rPr>
                    <w:rFonts w:ascii="Cambria Math" w:hAnsi="Cambria Math"/>
                    <w:sz w:val="14"/>
                    <w:szCs w:val="14"/>
                  </w:rPr>
                  <m:t>Day Count Fraction =</m:t>
                </m:r>
                <m:f>
                  <m:fPr>
                    <m:ctrlPr>
                      <w:rPr>
                        <w:rFonts w:ascii="Cambria Math" w:hAnsi="Cambria Math"/>
                        <w:i/>
                        <w:sz w:val="14"/>
                        <w:szCs w:val="14"/>
                      </w:rPr>
                    </m:ctrlPr>
                  </m:fPr>
                  <m:num>
                    <m:d>
                      <m:dPr>
                        <m:begChr m:val="["/>
                        <m:endChr m:val="]"/>
                        <m:ctrlPr>
                          <w:rPr>
                            <w:rFonts w:ascii="Cambria Math" w:hAnsi="Cambria Math"/>
                            <w:i/>
                            <w:sz w:val="14"/>
                            <w:szCs w:val="14"/>
                          </w:rPr>
                        </m:ctrlPr>
                      </m:dPr>
                      <m:e>
                        <m:r>
                          <w:rPr>
                            <w:rFonts w:ascii="Cambria Math" w:hAnsi="Cambria Math"/>
                            <w:sz w:val="14"/>
                            <w:szCs w:val="14"/>
                          </w:rPr>
                          <m:t>360</m:t>
                        </m:r>
                        <m:d>
                          <m:dPr>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Y</m:t>
                                </m:r>
                              </m:e>
                              <m:sub>
                                <m:r>
                                  <w:rPr>
                                    <w:rFonts w:ascii="Cambria Math" w:hAnsi="Cambria Math"/>
                                    <w:sz w:val="14"/>
                                    <w:szCs w:val="14"/>
                                  </w:rPr>
                                  <m:t>2</m:t>
                                </m:r>
                              </m:sub>
                            </m:sSub>
                            <m:r>
                              <w:rPr>
                                <w:rFonts w:ascii="Cambria Math" w:hAnsi="Cambria Math"/>
                                <w:sz w:val="14"/>
                                <w:szCs w:val="14"/>
                              </w:rPr>
                              <m:t>-</m:t>
                            </m:r>
                            <m:sSub>
                              <m:sSubPr>
                                <m:ctrlPr>
                                  <w:rPr>
                                    <w:rFonts w:ascii="Cambria Math" w:hAnsi="Cambria Math"/>
                                    <w:i/>
                                    <w:sz w:val="14"/>
                                    <w:szCs w:val="14"/>
                                  </w:rPr>
                                </m:ctrlPr>
                              </m:sSubPr>
                              <m:e>
                                <m:r>
                                  <w:rPr>
                                    <w:rFonts w:ascii="Cambria Math" w:hAnsi="Cambria Math"/>
                                    <w:sz w:val="14"/>
                                    <w:szCs w:val="14"/>
                                  </w:rPr>
                                  <m:t>Y</m:t>
                                </m:r>
                              </m:e>
                              <m:sub>
                                <m:r>
                                  <w:rPr>
                                    <w:rFonts w:ascii="Cambria Math" w:hAnsi="Cambria Math"/>
                                    <w:sz w:val="14"/>
                                    <w:szCs w:val="14"/>
                                  </w:rPr>
                                  <m:t>1</m:t>
                                </m:r>
                              </m:sub>
                            </m:sSub>
                          </m:e>
                        </m:d>
                        <m:r>
                          <w:rPr>
                            <w:rFonts w:ascii="Cambria Math" w:hAnsi="Cambria Math"/>
                            <w:sz w:val="14"/>
                            <w:szCs w:val="14"/>
                          </w:rPr>
                          <m:t>+</m:t>
                        </m:r>
                        <m:d>
                          <m:dPr>
                            <m:begChr m:val="["/>
                            <m:endChr m:val="]"/>
                            <m:ctrlPr>
                              <w:rPr>
                                <w:rFonts w:ascii="Cambria Math" w:hAnsi="Cambria Math"/>
                                <w:i/>
                                <w:sz w:val="14"/>
                                <w:szCs w:val="14"/>
                              </w:rPr>
                            </m:ctrlPr>
                          </m:dPr>
                          <m:e>
                            <m:r>
                              <w:rPr>
                                <w:rFonts w:ascii="Cambria Math" w:hAnsi="Cambria Math"/>
                                <w:sz w:val="14"/>
                                <w:szCs w:val="14"/>
                              </w:rPr>
                              <m:t>30×</m:t>
                            </m:r>
                            <m:d>
                              <m:dPr>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M</m:t>
                                    </m:r>
                                  </m:e>
                                  <m:sub>
                                    <m:r>
                                      <w:rPr>
                                        <w:rFonts w:ascii="Cambria Math" w:hAnsi="Cambria Math"/>
                                        <w:sz w:val="14"/>
                                        <w:szCs w:val="14"/>
                                      </w:rPr>
                                      <m:t>2</m:t>
                                    </m:r>
                                  </m:sub>
                                </m:sSub>
                                <m:r>
                                  <w:rPr>
                                    <w:rFonts w:ascii="Cambria Math" w:hAnsi="Cambria Math"/>
                                    <w:sz w:val="14"/>
                                    <w:szCs w:val="14"/>
                                  </w:rPr>
                                  <m:t>-</m:t>
                                </m:r>
                                <m:sSub>
                                  <m:sSubPr>
                                    <m:ctrlPr>
                                      <w:rPr>
                                        <w:rFonts w:ascii="Cambria Math" w:hAnsi="Cambria Math"/>
                                        <w:i/>
                                        <w:sz w:val="14"/>
                                        <w:szCs w:val="14"/>
                                      </w:rPr>
                                    </m:ctrlPr>
                                  </m:sSubPr>
                                  <m:e>
                                    <m:r>
                                      <w:rPr>
                                        <w:rFonts w:ascii="Cambria Math" w:hAnsi="Cambria Math"/>
                                        <w:sz w:val="14"/>
                                        <w:szCs w:val="14"/>
                                      </w:rPr>
                                      <m:t>M</m:t>
                                    </m:r>
                                  </m:e>
                                  <m:sub>
                                    <m:r>
                                      <w:rPr>
                                        <w:rFonts w:ascii="Cambria Math" w:hAnsi="Cambria Math"/>
                                        <w:sz w:val="14"/>
                                        <w:szCs w:val="14"/>
                                      </w:rPr>
                                      <m:t>1</m:t>
                                    </m:r>
                                  </m:sub>
                                </m:sSub>
                              </m:e>
                            </m:d>
                          </m:e>
                        </m:d>
                        <m:r>
                          <w:rPr>
                            <w:rFonts w:ascii="Cambria Math" w:hAnsi="Cambria Math"/>
                            <w:sz w:val="14"/>
                            <w:szCs w:val="14"/>
                          </w:rPr>
                          <m:t>+</m:t>
                        </m:r>
                        <m:d>
                          <m:dPr>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D</m:t>
                                </m:r>
                              </m:e>
                              <m:sub>
                                <m:r>
                                  <w:rPr>
                                    <w:rFonts w:ascii="Cambria Math" w:hAnsi="Cambria Math"/>
                                    <w:sz w:val="14"/>
                                    <w:szCs w:val="14"/>
                                  </w:rPr>
                                  <m:t>2</m:t>
                                </m:r>
                              </m:sub>
                            </m:sSub>
                            <m:r>
                              <w:rPr>
                                <w:rFonts w:ascii="Cambria Math" w:hAnsi="Cambria Math"/>
                                <w:sz w:val="14"/>
                                <w:szCs w:val="14"/>
                              </w:rPr>
                              <m:t>-</m:t>
                            </m:r>
                            <m:sSub>
                              <m:sSubPr>
                                <m:ctrlPr>
                                  <w:rPr>
                                    <w:rFonts w:ascii="Cambria Math" w:hAnsi="Cambria Math"/>
                                    <w:i/>
                                    <w:sz w:val="14"/>
                                    <w:szCs w:val="14"/>
                                  </w:rPr>
                                </m:ctrlPr>
                              </m:sSubPr>
                              <m:e>
                                <m:r>
                                  <w:rPr>
                                    <w:rFonts w:ascii="Cambria Math" w:hAnsi="Cambria Math"/>
                                    <w:sz w:val="14"/>
                                    <w:szCs w:val="14"/>
                                  </w:rPr>
                                  <m:t>D</m:t>
                                </m:r>
                              </m:e>
                              <m:sub>
                                <m:r>
                                  <w:rPr>
                                    <w:rFonts w:ascii="Cambria Math" w:hAnsi="Cambria Math"/>
                                    <w:sz w:val="14"/>
                                    <w:szCs w:val="14"/>
                                  </w:rPr>
                                  <m:t>1</m:t>
                                </m:r>
                              </m:sub>
                            </m:sSub>
                          </m:e>
                        </m:d>
                      </m:e>
                    </m:d>
                  </m:num>
                  <m:den>
                    <m:r>
                      <w:rPr>
                        <w:rFonts w:ascii="Cambria Math" w:hAnsi="Cambria Math"/>
                        <w:sz w:val="14"/>
                        <w:szCs w:val="14"/>
                      </w:rPr>
                      <m:t>360</m:t>
                    </m:r>
                  </m:den>
                </m:f>
              </m:oMath>
            </m:oMathPara>
          </w:p>
        </w:tc>
        <w:tc>
          <w:tcPr>
            <w:tcW w:w="4936" w:type="dxa"/>
            <w:gridSpan w:val="12"/>
            <w:tcBorders>
              <w:top w:val="nil"/>
              <w:bottom w:val="nil"/>
              <w:right w:val="nil"/>
            </w:tcBorders>
            <w:shd w:val="clear" w:color="auto" w:fill="auto"/>
          </w:tcPr>
          <w:p w:rsidR="0017135D" w:rsidRPr="00B84937" w:rsidP="001C662F">
            <w:pPr>
              <w:pStyle w:val="CSBody0"/>
              <w:spacing w:before="120" w:after="120"/>
              <w:rPr>
                <w:sz w:val="14"/>
                <w:szCs w:val="14"/>
                <w:lang w:val="de-DE"/>
              </w:rPr>
            </w:pPr>
            <m:oMathPara>
              <m:oMath>
                <m:r>
                  <m:rPr>
                    <m:nor/>
                  </m:rPr>
                  <w:rPr>
                    <w:rFonts w:ascii="Cambria Math" w:hAnsi="Cambria Math"/>
                    <w:sz w:val="14"/>
                    <w:szCs w:val="14"/>
                    <w:lang w:val="de-DE"/>
                  </w:rPr>
                  <m:t>Zinstagequotient =</m:t>
                </m:r>
                <m:f>
                  <m:fPr>
                    <m:ctrlPr>
                      <w:rPr>
                        <w:rFonts w:ascii="Cambria Math" w:hAnsi="Cambria Math"/>
                        <w:i/>
                        <w:sz w:val="14"/>
                        <w:szCs w:val="14"/>
                      </w:rPr>
                    </m:ctrlPr>
                  </m:fPr>
                  <m:num>
                    <m:d>
                      <m:dPr>
                        <m:begChr m:val="["/>
                        <m:endChr m:val="]"/>
                        <m:ctrlPr>
                          <w:rPr>
                            <w:rFonts w:ascii="Cambria Math" w:hAnsi="Cambria Math"/>
                            <w:i/>
                            <w:sz w:val="14"/>
                            <w:szCs w:val="14"/>
                          </w:rPr>
                        </m:ctrlPr>
                      </m:dPr>
                      <m:e>
                        <m:r>
                          <w:rPr>
                            <w:rFonts w:ascii="Cambria Math" w:hAnsi="Cambria Math"/>
                            <w:sz w:val="14"/>
                            <w:szCs w:val="14"/>
                            <w:lang w:val="de-DE"/>
                          </w:rPr>
                          <m:t>360×</m:t>
                        </m:r>
                        <m:d>
                          <m:dPr>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Y</m:t>
                                </m:r>
                              </m:e>
                              <m:sub>
                                <m:r>
                                  <w:rPr>
                                    <w:rFonts w:ascii="Cambria Math" w:hAnsi="Cambria Math"/>
                                    <w:sz w:val="14"/>
                                    <w:szCs w:val="14"/>
                                    <w:lang w:val="de-DE"/>
                                  </w:rPr>
                                  <m:t>2</m:t>
                                </m:r>
                              </m:sub>
                            </m:sSub>
                            <m:r>
                              <w:rPr>
                                <w:rFonts w:ascii="Cambria Math" w:hAnsi="Cambria Math"/>
                                <w:sz w:val="14"/>
                                <w:szCs w:val="14"/>
                                <w:lang w:val="de-DE"/>
                              </w:rPr>
                              <m:t>-</m:t>
                            </m:r>
                            <m:sSub>
                              <m:sSubPr>
                                <m:ctrlPr>
                                  <w:rPr>
                                    <w:rFonts w:ascii="Cambria Math" w:hAnsi="Cambria Math"/>
                                    <w:i/>
                                    <w:sz w:val="14"/>
                                    <w:szCs w:val="14"/>
                                  </w:rPr>
                                </m:ctrlPr>
                              </m:sSubPr>
                              <m:e>
                                <m:r>
                                  <w:rPr>
                                    <w:rFonts w:ascii="Cambria Math" w:hAnsi="Cambria Math"/>
                                    <w:sz w:val="14"/>
                                    <w:szCs w:val="14"/>
                                  </w:rPr>
                                  <m:t>Y</m:t>
                                </m:r>
                              </m:e>
                              <m:sub>
                                <m:r>
                                  <w:rPr>
                                    <w:rFonts w:ascii="Cambria Math" w:hAnsi="Cambria Math"/>
                                    <w:sz w:val="14"/>
                                    <w:szCs w:val="14"/>
                                    <w:lang w:val="de-DE"/>
                                  </w:rPr>
                                  <m:t>1</m:t>
                                </m:r>
                              </m:sub>
                            </m:sSub>
                          </m:e>
                        </m:d>
                        <m:r>
                          <w:rPr>
                            <w:rFonts w:ascii="Cambria Math" w:hAnsi="Cambria Math"/>
                            <w:sz w:val="14"/>
                            <w:szCs w:val="14"/>
                            <w:lang w:val="de-DE"/>
                          </w:rPr>
                          <m:t>+</m:t>
                        </m:r>
                        <m:d>
                          <m:dPr>
                            <m:begChr m:val="["/>
                            <m:endChr m:val="]"/>
                            <m:ctrlPr>
                              <w:rPr>
                                <w:rFonts w:ascii="Cambria Math" w:hAnsi="Cambria Math"/>
                                <w:i/>
                                <w:sz w:val="14"/>
                                <w:szCs w:val="14"/>
                              </w:rPr>
                            </m:ctrlPr>
                          </m:dPr>
                          <m:e>
                            <m:r>
                              <w:rPr>
                                <w:rFonts w:ascii="Cambria Math" w:hAnsi="Cambria Math"/>
                                <w:sz w:val="14"/>
                                <w:szCs w:val="14"/>
                                <w:lang w:val="de-DE"/>
                              </w:rPr>
                              <m:t>30×</m:t>
                            </m:r>
                            <m:d>
                              <m:dPr>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M</m:t>
                                    </m:r>
                                  </m:e>
                                  <m:sub>
                                    <m:r>
                                      <w:rPr>
                                        <w:rFonts w:ascii="Cambria Math" w:hAnsi="Cambria Math"/>
                                        <w:sz w:val="14"/>
                                        <w:szCs w:val="14"/>
                                        <w:lang w:val="de-DE"/>
                                      </w:rPr>
                                      <m:t>2</m:t>
                                    </m:r>
                                  </m:sub>
                                </m:sSub>
                                <m:r>
                                  <w:rPr>
                                    <w:rFonts w:ascii="Cambria Math" w:hAnsi="Cambria Math"/>
                                    <w:sz w:val="14"/>
                                    <w:szCs w:val="14"/>
                                    <w:lang w:val="de-DE"/>
                                  </w:rPr>
                                  <m:t>-</m:t>
                                </m:r>
                                <m:sSub>
                                  <m:sSubPr>
                                    <m:ctrlPr>
                                      <w:rPr>
                                        <w:rFonts w:ascii="Cambria Math" w:hAnsi="Cambria Math"/>
                                        <w:i/>
                                        <w:sz w:val="14"/>
                                        <w:szCs w:val="14"/>
                                      </w:rPr>
                                    </m:ctrlPr>
                                  </m:sSubPr>
                                  <m:e>
                                    <m:r>
                                      <w:rPr>
                                        <w:rFonts w:ascii="Cambria Math" w:hAnsi="Cambria Math"/>
                                        <w:sz w:val="14"/>
                                        <w:szCs w:val="14"/>
                                      </w:rPr>
                                      <m:t>M</m:t>
                                    </m:r>
                                  </m:e>
                                  <m:sub>
                                    <m:r>
                                      <w:rPr>
                                        <w:rFonts w:ascii="Cambria Math" w:hAnsi="Cambria Math"/>
                                        <w:sz w:val="14"/>
                                        <w:szCs w:val="14"/>
                                        <w:lang w:val="de-DE"/>
                                      </w:rPr>
                                      <m:t>1</m:t>
                                    </m:r>
                                  </m:sub>
                                </m:sSub>
                              </m:e>
                            </m:d>
                          </m:e>
                        </m:d>
                        <m:r>
                          <w:rPr>
                            <w:rFonts w:ascii="Cambria Math" w:hAnsi="Cambria Math"/>
                            <w:sz w:val="14"/>
                            <w:szCs w:val="14"/>
                            <w:lang w:val="de-DE"/>
                          </w:rPr>
                          <m:t>+</m:t>
                        </m:r>
                        <m:d>
                          <m:dPr>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D</m:t>
                                </m:r>
                              </m:e>
                              <m:sub>
                                <m:r>
                                  <w:rPr>
                                    <w:rFonts w:ascii="Cambria Math" w:hAnsi="Cambria Math"/>
                                    <w:sz w:val="14"/>
                                    <w:szCs w:val="14"/>
                                    <w:lang w:val="de-DE"/>
                                  </w:rPr>
                                  <m:t>2</m:t>
                                </m:r>
                              </m:sub>
                            </m:sSub>
                            <m:r>
                              <w:rPr>
                                <w:rFonts w:ascii="Cambria Math" w:hAnsi="Cambria Math"/>
                                <w:sz w:val="14"/>
                                <w:szCs w:val="14"/>
                                <w:lang w:val="de-DE"/>
                              </w:rPr>
                              <m:t>-</m:t>
                            </m:r>
                            <m:sSub>
                              <m:sSubPr>
                                <m:ctrlPr>
                                  <w:rPr>
                                    <w:rFonts w:ascii="Cambria Math" w:hAnsi="Cambria Math"/>
                                    <w:i/>
                                    <w:sz w:val="14"/>
                                    <w:szCs w:val="14"/>
                                  </w:rPr>
                                </m:ctrlPr>
                              </m:sSubPr>
                              <m:e>
                                <m:r>
                                  <w:rPr>
                                    <w:rFonts w:ascii="Cambria Math" w:hAnsi="Cambria Math"/>
                                    <w:sz w:val="14"/>
                                    <w:szCs w:val="14"/>
                                  </w:rPr>
                                  <m:t>D</m:t>
                                </m:r>
                              </m:e>
                              <m:sub>
                                <m:r>
                                  <w:rPr>
                                    <w:rFonts w:ascii="Cambria Math" w:hAnsi="Cambria Math"/>
                                    <w:sz w:val="14"/>
                                    <w:szCs w:val="14"/>
                                    <w:lang w:val="de-DE"/>
                                  </w:rPr>
                                  <m:t>1</m:t>
                                </m:r>
                              </m:sub>
                            </m:sSub>
                          </m:e>
                        </m:d>
                      </m:e>
                    </m:d>
                  </m:num>
                  <m:den>
                    <m:r>
                      <w:rPr>
                        <w:rFonts w:ascii="Cambria Math" w:hAnsi="Cambria Math"/>
                        <w:sz w:val="14"/>
                        <w:szCs w:val="14"/>
                        <w:lang w:val="de-DE"/>
                      </w:rPr>
                      <m:t>360</m:t>
                    </m:r>
                  </m:den>
                </m:f>
              </m:oMath>
            </m:oMathPara>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42FE5" w:rsidP="002358D9">
            <w:pPr>
              <w:pStyle w:val="CSBody8pt"/>
              <w:rPr>
                <w:lang w:val="de-DE"/>
              </w:rPr>
            </w:pPr>
          </w:p>
        </w:tc>
        <w:tc>
          <w:tcPr>
            <w:tcW w:w="3315" w:type="dxa"/>
            <w:gridSpan w:val="7"/>
            <w:tcBorders>
              <w:top w:val="nil"/>
              <w:left w:val="nil"/>
              <w:bottom w:val="nil"/>
            </w:tcBorders>
            <w:shd w:val="clear" w:color="auto" w:fill="auto"/>
          </w:tcPr>
          <w:p w:rsidR="0017135D" w:rsidRPr="00AA4ED4" w:rsidP="002358D9">
            <w:pPr>
              <w:pStyle w:val="CSBody8pt"/>
            </w:pPr>
            <w:r w:rsidRPr="00AA4ED4">
              <w:t>where</w:t>
            </w:r>
          </w:p>
        </w:tc>
        <w:tc>
          <w:tcPr>
            <w:tcW w:w="1618" w:type="dxa"/>
            <w:gridSpan w:val="2"/>
            <w:tcBorders>
              <w:top w:val="nil"/>
              <w:bottom w:val="nil"/>
              <w:right w:val="nil"/>
            </w:tcBorders>
            <w:shd w:val="clear" w:color="auto" w:fill="auto"/>
          </w:tcPr>
          <w:p w:rsidR="0017135D" w:rsidRPr="00FA5FE8" w:rsidP="002358D9">
            <w:pPr>
              <w:pStyle w:val="CSBody8pt"/>
            </w:pPr>
          </w:p>
        </w:tc>
        <w:tc>
          <w:tcPr>
            <w:tcW w:w="3318" w:type="dxa"/>
            <w:gridSpan w:val="10"/>
            <w:tcBorders>
              <w:top w:val="nil"/>
              <w:left w:val="nil"/>
              <w:bottom w:val="nil"/>
              <w:right w:val="nil"/>
            </w:tcBorders>
            <w:shd w:val="clear" w:color="auto" w:fill="auto"/>
          </w:tcPr>
          <w:p w:rsidR="0017135D" w:rsidRPr="00F706C8" w:rsidP="002358D9">
            <w:pPr>
              <w:pStyle w:val="CSBody8pt"/>
            </w:pPr>
            <w:r w:rsidRPr="00F706C8">
              <w:t>wobei</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2358D9">
            <w:pPr>
              <w:pStyle w:val="CSBody8pt"/>
              <w:rPr>
                <w:b/>
              </w:rPr>
            </w:pPr>
          </w:p>
        </w:tc>
        <w:tc>
          <w:tcPr>
            <w:tcW w:w="3315" w:type="dxa"/>
            <w:gridSpan w:val="7"/>
            <w:tcBorders>
              <w:top w:val="nil"/>
              <w:left w:val="nil"/>
              <w:bottom w:val="nil"/>
            </w:tcBorders>
            <w:shd w:val="clear" w:color="auto" w:fill="auto"/>
          </w:tcPr>
          <w:p w:rsidR="0017135D" w:rsidRPr="00AA4ED4" w:rsidP="002358D9">
            <w:pPr>
              <w:pStyle w:val="CSBody8pt"/>
            </w:pPr>
            <w:r w:rsidRPr="00AA4ED4">
              <w:t>"Y1" is the year, expressed as a number, in which the first day of the Interest Period falls;</w:t>
            </w:r>
          </w:p>
        </w:tc>
        <w:tc>
          <w:tcPr>
            <w:tcW w:w="1618" w:type="dxa"/>
            <w:gridSpan w:val="2"/>
            <w:tcBorders>
              <w:top w:val="nil"/>
              <w:bottom w:val="nil"/>
              <w:right w:val="nil"/>
            </w:tcBorders>
            <w:shd w:val="clear" w:color="auto" w:fill="auto"/>
          </w:tcPr>
          <w:p w:rsidR="0017135D" w:rsidRPr="00FA5FE8" w:rsidP="002358D9">
            <w:pPr>
              <w:pStyle w:val="CSBody8pt"/>
            </w:pPr>
          </w:p>
        </w:tc>
        <w:tc>
          <w:tcPr>
            <w:tcW w:w="3318" w:type="dxa"/>
            <w:gridSpan w:val="10"/>
            <w:tcBorders>
              <w:top w:val="nil"/>
              <w:left w:val="nil"/>
              <w:bottom w:val="nil"/>
              <w:right w:val="nil"/>
            </w:tcBorders>
            <w:shd w:val="clear" w:color="auto" w:fill="auto"/>
          </w:tcPr>
          <w:p w:rsidR="0017135D" w:rsidRPr="00FA5FE8" w:rsidP="002358D9">
            <w:pPr>
              <w:pStyle w:val="CSBody8pt"/>
              <w:rPr>
                <w:lang w:val="de-DE"/>
              </w:rPr>
            </w:pPr>
            <w:r w:rsidRPr="00FA5FE8">
              <w:rPr>
                <w:lang w:val="de-DE"/>
              </w:rPr>
              <w:t>"Y1" das als Zahl angegebene Jahr ist, in das der erste Tag der Zinsperiode fällt;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2358D9">
            <w:pPr>
              <w:pStyle w:val="CSBody8pt"/>
              <w:rPr>
                <w:b/>
                <w:lang w:val="de-DE"/>
              </w:rPr>
            </w:pPr>
          </w:p>
        </w:tc>
        <w:tc>
          <w:tcPr>
            <w:tcW w:w="3315" w:type="dxa"/>
            <w:gridSpan w:val="7"/>
            <w:tcBorders>
              <w:top w:val="nil"/>
              <w:left w:val="nil"/>
              <w:bottom w:val="nil"/>
            </w:tcBorders>
            <w:shd w:val="clear" w:color="auto" w:fill="auto"/>
          </w:tcPr>
          <w:p w:rsidR="0017135D" w:rsidP="002358D9">
            <w:pPr>
              <w:pStyle w:val="CSBody8pt"/>
            </w:pPr>
            <w:r w:rsidRPr="00AA4ED4">
              <w:t>"Y2" is the year, expressed as a number, in which the day immediately following the last day of the Interest Period falls;</w:t>
            </w:r>
          </w:p>
        </w:tc>
        <w:tc>
          <w:tcPr>
            <w:tcW w:w="1618" w:type="dxa"/>
            <w:gridSpan w:val="2"/>
            <w:tcBorders>
              <w:top w:val="nil"/>
              <w:bottom w:val="nil"/>
              <w:right w:val="nil"/>
            </w:tcBorders>
            <w:shd w:val="clear" w:color="auto" w:fill="auto"/>
          </w:tcPr>
          <w:p w:rsidR="0017135D" w:rsidRPr="00FA5FE8" w:rsidP="002358D9">
            <w:pPr>
              <w:pStyle w:val="CSBody8pt"/>
            </w:pPr>
          </w:p>
        </w:tc>
        <w:tc>
          <w:tcPr>
            <w:tcW w:w="3318" w:type="dxa"/>
            <w:gridSpan w:val="10"/>
            <w:tcBorders>
              <w:top w:val="nil"/>
              <w:left w:val="nil"/>
              <w:bottom w:val="nil"/>
              <w:right w:val="nil"/>
            </w:tcBorders>
            <w:shd w:val="clear" w:color="auto" w:fill="auto"/>
          </w:tcPr>
          <w:p w:rsidR="0017135D" w:rsidRPr="00FA5FE8" w:rsidP="002358D9">
            <w:pPr>
              <w:pStyle w:val="CSBody8pt"/>
              <w:rPr>
                <w:lang w:val="de-DE"/>
              </w:rPr>
            </w:pPr>
            <w:r w:rsidRPr="00FA5FE8">
              <w:rPr>
                <w:lang w:val="de-DE"/>
              </w:rPr>
              <w:t>"Y2" das als Zahl angegebene Jahr ist, in das der unmittelbar auf den letzten Tag der Zinsperiode folgende Tag fällt;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2358D9">
            <w:pPr>
              <w:pStyle w:val="CSBody8pt"/>
              <w:rPr>
                <w:lang w:val="de-DE"/>
              </w:rPr>
            </w:pPr>
          </w:p>
        </w:tc>
        <w:tc>
          <w:tcPr>
            <w:tcW w:w="3315" w:type="dxa"/>
            <w:gridSpan w:val="7"/>
            <w:tcBorders>
              <w:top w:val="nil"/>
              <w:left w:val="nil"/>
              <w:bottom w:val="nil"/>
            </w:tcBorders>
            <w:shd w:val="clear" w:color="auto" w:fill="auto"/>
          </w:tcPr>
          <w:p w:rsidR="0017135D" w:rsidRPr="00E30C79" w:rsidP="002358D9">
            <w:pPr>
              <w:pStyle w:val="CSBody8pt"/>
            </w:pPr>
            <w:r w:rsidRPr="00E30C79">
              <w:t>"M1" is the calendar month, expressed as a number, in which the first day of the Interest Period falls;</w:t>
            </w:r>
          </w:p>
        </w:tc>
        <w:tc>
          <w:tcPr>
            <w:tcW w:w="1618" w:type="dxa"/>
            <w:gridSpan w:val="2"/>
            <w:tcBorders>
              <w:top w:val="nil"/>
              <w:bottom w:val="nil"/>
              <w:right w:val="nil"/>
            </w:tcBorders>
            <w:shd w:val="clear" w:color="auto" w:fill="auto"/>
          </w:tcPr>
          <w:p w:rsidR="0017135D" w:rsidRPr="00FA5FE8" w:rsidP="002358D9">
            <w:pPr>
              <w:pStyle w:val="CSBody8pt"/>
            </w:pPr>
          </w:p>
        </w:tc>
        <w:tc>
          <w:tcPr>
            <w:tcW w:w="3318" w:type="dxa"/>
            <w:gridSpan w:val="10"/>
            <w:tcBorders>
              <w:top w:val="nil"/>
              <w:left w:val="nil"/>
              <w:bottom w:val="nil"/>
              <w:right w:val="nil"/>
            </w:tcBorders>
            <w:shd w:val="clear" w:color="auto" w:fill="auto"/>
          </w:tcPr>
          <w:p w:rsidR="0017135D" w:rsidRPr="00FA5FE8" w:rsidP="002358D9">
            <w:pPr>
              <w:pStyle w:val="CSBody8pt"/>
              <w:rPr>
                <w:lang w:val="de-DE"/>
              </w:rPr>
            </w:pPr>
            <w:r w:rsidRPr="00FA5FE8">
              <w:rPr>
                <w:lang w:val="de-DE"/>
              </w:rPr>
              <w:t>"M1" der als Zahl angegebene Kalendermonat ist, in den der erste Tag der Zinsperiode fällt;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2358D9">
            <w:pPr>
              <w:pStyle w:val="CSBody8pt"/>
              <w:rPr>
                <w:b/>
                <w:lang w:val="de-DE"/>
              </w:rPr>
            </w:pPr>
          </w:p>
        </w:tc>
        <w:tc>
          <w:tcPr>
            <w:tcW w:w="3315" w:type="dxa"/>
            <w:gridSpan w:val="7"/>
            <w:tcBorders>
              <w:top w:val="nil"/>
              <w:left w:val="nil"/>
              <w:bottom w:val="nil"/>
            </w:tcBorders>
            <w:shd w:val="clear" w:color="auto" w:fill="auto"/>
          </w:tcPr>
          <w:p w:rsidR="0017135D" w:rsidRPr="00E30C79" w:rsidP="002358D9">
            <w:pPr>
              <w:pStyle w:val="CSBody8pt"/>
            </w:pPr>
            <w:r w:rsidRPr="00E30C79">
              <w:t>"M2" is the calendar month, expressed as a number, in which the day immediately following the last day of the Interest Period falls;</w:t>
            </w:r>
          </w:p>
        </w:tc>
        <w:tc>
          <w:tcPr>
            <w:tcW w:w="1618" w:type="dxa"/>
            <w:gridSpan w:val="2"/>
            <w:tcBorders>
              <w:top w:val="nil"/>
              <w:bottom w:val="nil"/>
              <w:right w:val="nil"/>
            </w:tcBorders>
            <w:shd w:val="clear" w:color="auto" w:fill="auto"/>
          </w:tcPr>
          <w:p w:rsidR="0017135D" w:rsidRPr="00FA5FE8" w:rsidP="002358D9">
            <w:pPr>
              <w:pStyle w:val="CSBody8pt"/>
              <w:rPr>
                <w:b/>
              </w:rPr>
            </w:pPr>
          </w:p>
        </w:tc>
        <w:tc>
          <w:tcPr>
            <w:tcW w:w="3318" w:type="dxa"/>
            <w:gridSpan w:val="10"/>
            <w:tcBorders>
              <w:top w:val="nil"/>
              <w:left w:val="nil"/>
              <w:bottom w:val="nil"/>
              <w:right w:val="nil"/>
            </w:tcBorders>
            <w:shd w:val="clear" w:color="auto" w:fill="auto"/>
          </w:tcPr>
          <w:p w:rsidR="0017135D" w:rsidRPr="00FA5FE8" w:rsidP="002358D9">
            <w:pPr>
              <w:pStyle w:val="CSBody8pt"/>
              <w:rPr>
                <w:lang w:val="de-DE"/>
              </w:rPr>
            </w:pPr>
            <w:r w:rsidRPr="00FA5FE8">
              <w:rPr>
                <w:lang w:val="de-DE"/>
              </w:rPr>
              <w:t>"M2" der als Zahl angegebene Kalendermonat ist, in den der unmittelbar auf den letzten Tag der Zinsperiode folgende Tag fällt;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RPr="00E30C79" w:rsidP="00942FE5">
            <w:pPr>
              <w:pStyle w:val="CSBody8pt"/>
            </w:pPr>
            <w:r w:rsidRPr="00E30C79">
              <w:t>"D1" is the first calendar day, expressed as a number, of the Interest Period, unless such number is 31, in which case "D1" will be 30; and;</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FA5FE8">
              <w:rPr>
                <w:lang w:val="de-DE"/>
              </w:rPr>
              <w:t>"D1" der als Zahl angegebene erste Kalendertag der Zinsperiode ist, es sei denn, diese Zahl lautet 31; in diesem Fall entspricht "D1" 30; und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P="00942FE5">
            <w:pPr>
              <w:pStyle w:val="CSBody8pt"/>
            </w:pPr>
            <w:r w:rsidRPr="00E30C79">
              <w:t>"D2" is the calendar day, expressed as a number, immediately following the last day included in the Interest Period falls, unless such number is 31 and "D1" is greater than 29, in which case "D2" will be 30.</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FA5FE8">
              <w:rPr>
                <w:lang w:val="de-DE"/>
              </w:rPr>
              <w:t>"D2" der als Zahl angegebene Kalendertag ist, der unmittelbar auf den letzten in die Zinsperiode fallenden Tag folgt, es sei denn, diese Zahl lautet 31 und "D1" ist grösser als 29; in diesem Fall entspricht "D2" 30.</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RPr="009D7451" w:rsidP="00942FE5">
            <w:pPr>
              <w:pStyle w:val="CSBody8pt"/>
            </w:pPr>
            <w:r w:rsidRPr="00792D61">
              <w:rPr>
                <w:b/>
              </w:rPr>
              <w:t>[</w:t>
            </w:r>
            <w:r w:rsidRPr="009D7451">
              <w:t xml:space="preserve">Actual/Actual, </w:t>
            </w:r>
            <w:r w:rsidRPr="007E3558">
              <w:rPr>
                <w:i/>
              </w:rPr>
              <w:t>i.e.</w:t>
            </w:r>
            <w:r w:rsidRPr="009D7451">
              <w:t xml:space="preserve">, the actual number of days in the </w:t>
            </w:r>
            <w:r w:rsidRPr="00792D61">
              <w:rPr>
                <w:b/>
              </w:rPr>
              <w:t>[</w:t>
            </w:r>
            <w:r w:rsidRPr="009D7451">
              <w:t>relevant</w:t>
            </w:r>
            <w:r w:rsidRPr="00792D61">
              <w:rPr>
                <w:b/>
              </w:rPr>
              <w:t>]</w:t>
            </w:r>
            <w:r w:rsidRPr="009D7451">
              <w:t xml:space="preserve"> Interest Period divided by 365 (or, if any portion of the </w:t>
            </w:r>
            <w:r w:rsidRPr="00792D61">
              <w:rPr>
                <w:b/>
              </w:rPr>
              <w:t>[</w:t>
            </w:r>
            <w:r w:rsidRPr="009D7451">
              <w:t>relevant</w:t>
            </w:r>
            <w:r w:rsidRPr="00792D61">
              <w:rPr>
                <w:b/>
              </w:rPr>
              <w:t>]</w:t>
            </w:r>
            <w:r w:rsidRPr="009D7451">
              <w:t xml:space="preserve"> Interest Period falls in a leap year, the sum of (i) the actual number of days in that portion of the </w:t>
            </w:r>
            <w:r w:rsidRPr="00792D61">
              <w:rPr>
                <w:b/>
              </w:rPr>
              <w:t>[</w:t>
            </w:r>
            <w:r w:rsidRPr="009D7451">
              <w:t>relevant</w:t>
            </w:r>
            <w:r w:rsidRPr="00792D61">
              <w:rPr>
                <w:b/>
              </w:rPr>
              <w:t>]</w:t>
            </w:r>
            <w:r w:rsidRPr="009D7451">
              <w:t xml:space="preserve"> Interest Period falling in a leap year divided by 366 and (ii) the actual number of days in that portion of the </w:t>
            </w:r>
            <w:r w:rsidRPr="00792D61">
              <w:rPr>
                <w:b/>
              </w:rPr>
              <w:t>[</w:t>
            </w:r>
            <w:r w:rsidRPr="009D7451">
              <w:t>relevant</w:t>
            </w:r>
            <w:r w:rsidRPr="00792D61">
              <w:rPr>
                <w:b/>
              </w:rPr>
              <w:t>]</w:t>
            </w:r>
            <w:r w:rsidRPr="009D7451">
              <w:t xml:space="preserve"> Interest Period falling in a non-leap year divided by 365.</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792D61">
              <w:rPr>
                <w:b/>
                <w:lang w:val="de-DE"/>
              </w:rPr>
              <w:t>[</w:t>
            </w:r>
            <w:r w:rsidRPr="00FA5FE8">
              <w:rPr>
                <w:lang w:val="de-DE"/>
              </w:rPr>
              <w:t xml:space="preserve">Actual/Actual, </w:t>
            </w:r>
            <w:r>
              <w:rPr>
                <w:lang w:val="de-DE"/>
              </w:rPr>
              <w:t>d.h.</w:t>
            </w:r>
            <w:r w:rsidRPr="00FA5FE8">
              <w:rPr>
                <w:lang w:val="de-DE"/>
              </w:rPr>
              <w:t xml:space="preserve"> die tatsächliche Anzahl der Tage in der </w:t>
            </w:r>
            <w:r w:rsidRPr="00792D61">
              <w:rPr>
                <w:b/>
                <w:lang w:val="de-DE"/>
              </w:rPr>
              <w:t>[</w:t>
            </w:r>
            <w:r w:rsidRPr="00FA5FE8">
              <w:rPr>
                <w:lang w:val="de-DE"/>
              </w:rPr>
              <w:t>jeweiligen</w:t>
            </w:r>
            <w:r w:rsidRPr="00792D61">
              <w:rPr>
                <w:b/>
                <w:lang w:val="de-DE"/>
              </w:rPr>
              <w:t>]</w:t>
            </w:r>
            <w:r w:rsidRPr="00FA5FE8">
              <w:rPr>
                <w:lang w:val="de-DE"/>
              </w:rPr>
              <w:t xml:space="preserve"> Zinsperiode geteilt durch 365 (oder, falls ein Teil der </w:t>
            </w:r>
            <w:r w:rsidRPr="00792D61">
              <w:rPr>
                <w:b/>
                <w:lang w:val="de-DE"/>
              </w:rPr>
              <w:t>[</w:t>
            </w:r>
            <w:r w:rsidRPr="00FA5FE8">
              <w:rPr>
                <w:lang w:val="de-DE"/>
              </w:rPr>
              <w:t>jeweiligen</w:t>
            </w:r>
            <w:r w:rsidRPr="00792D61">
              <w:rPr>
                <w:b/>
                <w:lang w:val="de-DE"/>
              </w:rPr>
              <w:t>]</w:t>
            </w:r>
            <w:r w:rsidRPr="00FA5FE8">
              <w:rPr>
                <w:lang w:val="de-DE"/>
              </w:rPr>
              <w:t xml:space="preserve"> Zinsperiode in ein Schaltjahr fällt, die Summe aus (i) der tatsächlichen Anzahl der Tage in dem Teil der </w:t>
            </w:r>
            <w:r w:rsidRPr="00792D61">
              <w:rPr>
                <w:b/>
                <w:lang w:val="de-DE"/>
              </w:rPr>
              <w:t>[</w:t>
            </w:r>
            <w:r w:rsidRPr="00FA5FE8">
              <w:rPr>
                <w:lang w:val="de-DE"/>
              </w:rPr>
              <w:t>jeweiligen</w:t>
            </w:r>
            <w:r w:rsidRPr="00792D61">
              <w:rPr>
                <w:b/>
                <w:lang w:val="de-DE"/>
              </w:rPr>
              <w:t>]</w:t>
            </w:r>
            <w:r w:rsidRPr="00FA5FE8">
              <w:rPr>
                <w:lang w:val="de-DE"/>
              </w:rPr>
              <w:t xml:space="preserve"> Zinsperiode, der in das Schaltjahr fällt, geteilt durch 366 und (ii) der tatsächlichen Anzahl der Tage in dem Teil der </w:t>
            </w:r>
            <w:r w:rsidRPr="00792D61">
              <w:rPr>
                <w:b/>
                <w:lang w:val="de-DE"/>
              </w:rPr>
              <w:t>[</w:t>
            </w:r>
            <w:r w:rsidRPr="00FA5FE8">
              <w:rPr>
                <w:lang w:val="de-DE"/>
              </w:rPr>
              <w:t>jeweiligen</w:t>
            </w:r>
            <w:r w:rsidRPr="00792D61">
              <w:rPr>
                <w:b/>
                <w:lang w:val="de-DE"/>
              </w:rPr>
              <w:t>]</w:t>
            </w:r>
            <w:r w:rsidRPr="00FA5FE8">
              <w:rPr>
                <w:lang w:val="de-DE"/>
              </w:rPr>
              <w:t xml:space="preserve"> Zinsperiode, der nicht in das Schaltjahr fällt, geteilt durch 365).</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b/>
                <w:lang w:val="de-DE"/>
              </w:rPr>
            </w:pPr>
          </w:p>
        </w:tc>
        <w:tc>
          <w:tcPr>
            <w:tcW w:w="3315" w:type="dxa"/>
            <w:gridSpan w:val="7"/>
            <w:tcBorders>
              <w:top w:val="nil"/>
              <w:left w:val="nil"/>
              <w:bottom w:val="nil"/>
            </w:tcBorders>
            <w:shd w:val="clear" w:color="auto" w:fill="auto"/>
          </w:tcPr>
          <w:p w:rsidR="0017135D" w:rsidRPr="009D7451" w:rsidP="00942FE5">
            <w:pPr>
              <w:pStyle w:val="CSBody8pt"/>
            </w:pPr>
            <w:r w:rsidRPr="00792D61">
              <w:rPr>
                <w:b/>
              </w:rPr>
              <w:t>[</w:t>
            </w:r>
            <w:r w:rsidRPr="009D7451">
              <w:t xml:space="preserve">Actual/365, </w:t>
            </w:r>
            <w:r w:rsidRPr="007E3558">
              <w:rPr>
                <w:i/>
              </w:rPr>
              <w:t>i.e.</w:t>
            </w:r>
            <w:r w:rsidRPr="009D7451">
              <w:t xml:space="preserve">, the actual number of days in the </w:t>
            </w:r>
            <w:r w:rsidRPr="00792D61">
              <w:rPr>
                <w:b/>
              </w:rPr>
              <w:t>[</w:t>
            </w:r>
            <w:r w:rsidRPr="009D7451">
              <w:t>relevant</w:t>
            </w:r>
            <w:r w:rsidRPr="00792D61">
              <w:rPr>
                <w:b/>
              </w:rPr>
              <w:t>]</w:t>
            </w:r>
            <w:r w:rsidRPr="009D7451">
              <w:t xml:space="preserve"> Interest Period divided by 365 </w:t>
            </w:r>
            <w:r w:rsidRPr="00792D61">
              <w:rPr>
                <w:b/>
              </w:rPr>
              <w:t>[</w:t>
            </w:r>
            <w:r w:rsidRPr="009D7451">
              <w:t xml:space="preserve">or, if the </w:t>
            </w:r>
            <w:r w:rsidRPr="00792D61">
              <w:rPr>
                <w:b/>
              </w:rPr>
              <w:t>[</w:t>
            </w:r>
            <w:r w:rsidRPr="009D7451">
              <w:t>relevant</w:t>
            </w:r>
            <w:r w:rsidRPr="00792D61">
              <w:rPr>
                <w:b/>
              </w:rPr>
              <w:t>]</w:t>
            </w:r>
            <w:r w:rsidRPr="009D7451">
              <w:t xml:space="preserve"> Interest Period falls in a leap year, 366</w:t>
            </w:r>
            <w:r w:rsidRPr="00792D61">
              <w:rPr>
                <w:b/>
              </w:rPr>
              <w:t>]</w:t>
            </w:r>
            <w:r w:rsidRPr="009D7451">
              <w:t>.</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rPr>
                <w:b/>
              </w:rPr>
            </w:pP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792D61">
              <w:rPr>
                <w:b/>
                <w:lang w:val="de-DE"/>
              </w:rPr>
              <w:t>[</w:t>
            </w:r>
            <w:r w:rsidRPr="00FA5FE8">
              <w:rPr>
                <w:lang w:val="de-DE"/>
              </w:rPr>
              <w:t xml:space="preserve">Actual/365, </w:t>
            </w:r>
            <w:r>
              <w:rPr>
                <w:lang w:val="de-DE"/>
              </w:rPr>
              <w:t>d.h.</w:t>
            </w:r>
            <w:r w:rsidRPr="00FA5FE8">
              <w:rPr>
                <w:lang w:val="de-DE"/>
              </w:rPr>
              <w:t xml:space="preserve"> die tatsächliche Anzahl der Tage in der </w:t>
            </w:r>
            <w:r w:rsidRPr="00792D61">
              <w:rPr>
                <w:b/>
                <w:lang w:val="de-DE"/>
              </w:rPr>
              <w:t>[</w:t>
            </w:r>
            <w:r w:rsidRPr="00FA5FE8">
              <w:rPr>
                <w:lang w:val="de-DE"/>
              </w:rPr>
              <w:t>jeweiligen</w:t>
            </w:r>
            <w:r w:rsidRPr="00792D61">
              <w:rPr>
                <w:b/>
                <w:lang w:val="de-DE"/>
              </w:rPr>
              <w:t>]</w:t>
            </w:r>
            <w:r w:rsidRPr="00FA5FE8">
              <w:rPr>
                <w:lang w:val="de-DE"/>
              </w:rPr>
              <w:t xml:space="preserve"> Zinsperiode geteilt durch 365 </w:t>
            </w:r>
            <w:r w:rsidRPr="00792D61">
              <w:rPr>
                <w:b/>
                <w:lang w:val="de-DE"/>
              </w:rPr>
              <w:t>[</w:t>
            </w:r>
            <w:r w:rsidRPr="00FA5FE8">
              <w:rPr>
                <w:lang w:val="de-DE"/>
              </w:rPr>
              <w:t xml:space="preserve">oder, falls die </w:t>
            </w:r>
            <w:r w:rsidRPr="00792D61">
              <w:rPr>
                <w:b/>
                <w:lang w:val="de-DE"/>
              </w:rPr>
              <w:t>[</w:t>
            </w:r>
            <w:r w:rsidRPr="00FA5FE8">
              <w:rPr>
                <w:lang w:val="de-DE"/>
              </w:rPr>
              <w:t>jeweilige</w:t>
            </w:r>
            <w:r w:rsidRPr="00792D61">
              <w:rPr>
                <w:b/>
                <w:lang w:val="de-DE"/>
              </w:rPr>
              <w:t>]</w:t>
            </w:r>
            <w:r w:rsidRPr="00FA5FE8">
              <w:rPr>
                <w:lang w:val="de-DE"/>
              </w:rPr>
              <w:t xml:space="preserve"> Zinsperiode in ein Schaltjahr fällt, geteilt durch 366</w:t>
            </w:r>
            <w:r w:rsidRPr="00792D61">
              <w:rPr>
                <w:b/>
                <w:lang w:val="de-DE"/>
              </w:rPr>
              <w:t>]</w:t>
            </w:r>
            <w:r w:rsidRPr="00FA5FE8">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RPr="009D7451" w:rsidP="00942FE5">
            <w:pPr>
              <w:pStyle w:val="CSBody8pt"/>
            </w:pPr>
            <w:r w:rsidRPr="00792D61">
              <w:rPr>
                <w:b/>
              </w:rPr>
              <w:t>[</w:t>
            </w:r>
            <w:r w:rsidRPr="009D7451">
              <w:t xml:space="preserve">Actual/360, </w:t>
            </w:r>
            <w:r w:rsidRPr="007E3558">
              <w:rPr>
                <w:i/>
              </w:rPr>
              <w:t>i.e.</w:t>
            </w:r>
            <w:r w:rsidRPr="009D7451">
              <w:t xml:space="preserve">, the actual number of days in the </w:t>
            </w:r>
            <w:r w:rsidRPr="00792D61">
              <w:rPr>
                <w:b/>
              </w:rPr>
              <w:t>[</w:t>
            </w:r>
            <w:r w:rsidRPr="009D7451">
              <w:t>relevant</w:t>
            </w:r>
            <w:r w:rsidRPr="00792D61">
              <w:rPr>
                <w:b/>
              </w:rPr>
              <w:t>]</w:t>
            </w:r>
            <w:r w:rsidRPr="009D7451">
              <w:t xml:space="preserve"> Interest Period divided by 360.</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792D61">
              <w:rPr>
                <w:b/>
                <w:lang w:val="de-DE"/>
              </w:rPr>
              <w:t>[</w:t>
            </w:r>
            <w:r w:rsidRPr="00FA5FE8">
              <w:rPr>
                <w:lang w:val="de-DE"/>
              </w:rPr>
              <w:t xml:space="preserve">Actual/360, d .h. die tatsächliche Anzahl der Tage in der </w:t>
            </w:r>
            <w:r w:rsidRPr="00792D61">
              <w:rPr>
                <w:b/>
                <w:lang w:val="de-DE"/>
              </w:rPr>
              <w:t>[</w:t>
            </w:r>
            <w:r w:rsidRPr="00FA5FE8">
              <w:rPr>
                <w:lang w:val="de-DE"/>
              </w:rPr>
              <w:t>jeweiligen</w:t>
            </w:r>
            <w:r w:rsidRPr="00792D61">
              <w:rPr>
                <w:b/>
                <w:lang w:val="de-DE"/>
              </w:rPr>
              <w:t>]</w:t>
            </w:r>
            <w:r w:rsidRPr="00FA5FE8">
              <w:rPr>
                <w:lang w:val="de-DE"/>
              </w:rPr>
              <w:t xml:space="preserve"> Zinsperiode geteilt durch 360.</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RPr="009D08E0" w:rsidP="00942FE5">
            <w:pPr>
              <w:pStyle w:val="CSBody8pt"/>
              <w:rPr>
                <w:lang w:val="es-ES"/>
              </w:rPr>
            </w:pPr>
            <w:r w:rsidRPr="009D08E0">
              <w:rPr>
                <w:b/>
                <w:lang w:val="es-ES"/>
              </w:rPr>
              <w:t>[</w:t>
            </w:r>
            <w:r w:rsidRPr="009D08E0">
              <w:rPr>
                <w:lang w:val="es-ES"/>
              </w:rPr>
              <w:t>30S/360 (ISMA 30/360)</w:t>
            </w:r>
            <w:r w:rsidRPr="009D08E0">
              <w:rPr>
                <w:b/>
                <w:lang w:val="es-ES"/>
              </w:rPr>
              <w:t>]</w:t>
            </w:r>
            <w:r w:rsidRPr="009D08E0">
              <w:rPr>
                <w:lang w:val="es-ES"/>
              </w:rPr>
              <w:t xml:space="preserve"> </w:t>
            </w:r>
            <w:r w:rsidRPr="009D08E0">
              <w:rPr>
                <w:b/>
                <w:lang w:val="es-ES"/>
              </w:rPr>
              <w:t>[</w:t>
            </w:r>
            <w:r w:rsidRPr="009D08E0">
              <w:rPr>
                <w:lang w:val="es-ES"/>
              </w:rPr>
              <w:t>ISMA actual/365L</w:t>
            </w:r>
            <w:r w:rsidRPr="009D08E0">
              <w:rPr>
                <w:b/>
                <w:lang w:val="es-ES"/>
              </w:rPr>
              <w:t>][</w:t>
            </w:r>
            <w:r w:rsidRPr="009D08E0">
              <w:rPr>
                <w:lang w:val="es-ES"/>
              </w:rPr>
              <w:t>ISMA actual/normal</w:t>
            </w:r>
            <w:r w:rsidRPr="009D08E0">
              <w:rPr>
                <w:b/>
                <w:lang w:val="es-ES"/>
              </w:rPr>
              <w:t>][</w:t>
            </w:r>
            <w:r w:rsidRPr="009D08E0">
              <w:rPr>
                <w:lang w:val="es-ES"/>
              </w:rPr>
              <w:t>ISMA actual/ultimo</w:t>
            </w:r>
            <w:r w:rsidRPr="009D08E0">
              <w:rPr>
                <w:b/>
                <w:lang w:val="es-ES"/>
              </w:rPr>
              <w:t>][</w:t>
            </w:r>
            <w:r w:rsidRPr="009D08E0">
              <w:rPr>
                <w:lang w:val="es-ES"/>
              </w:rPr>
              <w:t>30U/360</w:t>
            </w:r>
            <w:r w:rsidRPr="009D08E0">
              <w:rPr>
                <w:b/>
                <w:lang w:val="es-ES"/>
              </w:rPr>
              <w:t>]</w:t>
            </w:r>
          </w:p>
        </w:tc>
        <w:tc>
          <w:tcPr>
            <w:tcW w:w="1618" w:type="dxa"/>
            <w:gridSpan w:val="2"/>
            <w:tcBorders>
              <w:top w:val="nil"/>
              <w:bottom w:val="nil"/>
              <w:right w:val="nil"/>
            </w:tcBorders>
            <w:shd w:val="clear" w:color="auto" w:fill="auto"/>
          </w:tcPr>
          <w:p w:rsidR="0017135D" w:rsidRPr="009D08E0" w:rsidP="00942FE5">
            <w:pPr>
              <w:pStyle w:val="CSBody8pt"/>
              <w:rPr>
                <w:lang w:val="es-ES"/>
              </w:rPr>
            </w:pPr>
          </w:p>
        </w:tc>
        <w:tc>
          <w:tcPr>
            <w:tcW w:w="3318" w:type="dxa"/>
            <w:gridSpan w:val="10"/>
            <w:tcBorders>
              <w:top w:val="nil"/>
              <w:left w:val="nil"/>
              <w:bottom w:val="nil"/>
              <w:right w:val="nil"/>
            </w:tcBorders>
            <w:shd w:val="clear" w:color="auto" w:fill="auto"/>
          </w:tcPr>
          <w:p w:rsidR="0017135D" w:rsidRPr="009D08E0" w:rsidP="00942FE5">
            <w:pPr>
              <w:pStyle w:val="CSBody8pt"/>
              <w:rPr>
                <w:lang w:val="es-ES"/>
              </w:rPr>
            </w:pPr>
            <w:r w:rsidRPr="009D08E0">
              <w:rPr>
                <w:b/>
                <w:lang w:val="es-ES"/>
              </w:rPr>
              <w:t>[</w:t>
            </w:r>
            <w:r w:rsidRPr="009D08E0">
              <w:rPr>
                <w:lang w:val="es-ES"/>
              </w:rPr>
              <w:t>30S/360 (ISMA 30/360)</w:t>
            </w:r>
            <w:r w:rsidRPr="009D08E0">
              <w:rPr>
                <w:b/>
                <w:lang w:val="es-ES"/>
              </w:rPr>
              <w:t>]</w:t>
            </w:r>
            <w:r w:rsidRPr="009D08E0">
              <w:rPr>
                <w:lang w:val="es-ES"/>
              </w:rPr>
              <w:t xml:space="preserve"> </w:t>
            </w:r>
            <w:r w:rsidRPr="009D08E0">
              <w:rPr>
                <w:b/>
                <w:lang w:val="es-ES"/>
              </w:rPr>
              <w:t>[</w:t>
            </w:r>
            <w:r w:rsidRPr="009D08E0">
              <w:rPr>
                <w:lang w:val="es-ES"/>
              </w:rPr>
              <w:t>ISMA actual/365L</w:t>
            </w:r>
            <w:r w:rsidRPr="009D08E0">
              <w:rPr>
                <w:b/>
                <w:lang w:val="es-ES"/>
              </w:rPr>
              <w:t>][</w:t>
            </w:r>
            <w:r w:rsidRPr="009D08E0">
              <w:rPr>
                <w:lang w:val="es-ES"/>
              </w:rPr>
              <w:t>ISMA actual/normal</w:t>
            </w:r>
            <w:r w:rsidRPr="009D08E0">
              <w:rPr>
                <w:b/>
                <w:lang w:val="es-ES"/>
              </w:rPr>
              <w:t>][</w:t>
            </w:r>
            <w:r w:rsidRPr="009D08E0">
              <w:rPr>
                <w:lang w:val="es-ES"/>
              </w:rPr>
              <w:t>ISMA actual/ultimo</w:t>
            </w:r>
            <w:r w:rsidRPr="009D08E0">
              <w:rPr>
                <w:b/>
                <w:lang w:val="es-ES"/>
              </w:rPr>
              <w:t>][</w:t>
            </w:r>
            <w:r w:rsidRPr="009D08E0">
              <w:rPr>
                <w:lang w:val="es-ES"/>
              </w:rPr>
              <w:t>30U/360</w:t>
            </w:r>
            <w:r w:rsidRPr="009D08E0">
              <w:rPr>
                <w:b/>
                <w:lang w:val="es-ES"/>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2C35CB" w:rsidP="00942FE5">
            <w:pPr>
              <w:pStyle w:val="CSBody8ptbolditalics"/>
            </w:pPr>
            <w:r w:rsidRPr="00792D61">
              <w:t>[[</w:t>
            </w:r>
            <w:r w:rsidRPr="002C35CB">
              <w:t>in the case of Credit-Linked Complex Products with auction settlement, insert:</w:t>
            </w:r>
          </w:p>
        </w:tc>
        <w:tc>
          <w:tcPr>
            <w:tcW w:w="4936" w:type="dxa"/>
            <w:gridSpan w:val="12"/>
            <w:tcBorders>
              <w:top w:val="nil"/>
              <w:bottom w:val="nil"/>
              <w:right w:val="nil"/>
            </w:tcBorders>
            <w:shd w:val="clear" w:color="auto" w:fill="auto"/>
          </w:tcPr>
          <w:p w:rsidR="0017135D" w:rsidRPr="00FA5FE8" w:rsidP="008C7B66">
            <w:pPr>
              <w:pStyle w:val="CSBody8ptbolditalics"/>
              <w:rPr>
                <w:lang w:val="de-DE"/>
              </w:rPr>
            </w:pPr>
            <w:r w:rsidRPr="00792D61">
              <w:rPr>
                <w:lang w:val="de-DE"/>
              </w:rPr>
              <w:t>[[</w:t>
            </w:r>
            <w:r w:rsidRPr="00FA5FE8">
              <w:rPr>
                <w:lang w:val="de-DE"/>
              </w:rPr>
              <w:t>bei Kreditbezogenen Komplexen Produkten mit Auktionsabwicklung,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052E7" w:rsidP="00942FE5">
            <w:pPr>
              <w:pStyle w:val="CSBody8pt"/>
              <w:rPr>
                <w:lang w:val="de-DE"/>
              </w:rPr>
            </w:pPr>
            <w:r w:rsidRPr="006052E7">
              <w:rPr>
                <w:lang w:val="de-DE"/>
              </w:rPr>
              <w:t>Interest</w:t>
            </w:r>
            <w:r w:rsidRPr="00792D61">
              <w:rPr>
                <w:b/>
                <w:lang w:val="de-DE"/>
              </w:rPr>
              <w:t>]</w:t>
            </w:r>
            <w:r w:rsidRPr="006052E7">
              <w:rPr>
                <w:lang w:val="de-DE"/>
              </w:rPr>
              <w:t xml:space="preserve"> Business Day Convention</w:t>
            </w:r>
            <w:r>
              <w:rPr>
                <w:lang w:val="de-DE"/>
              </w:rPr>
              <w:fldChar w:fldCharType="begin"/>
            </w:r>
            <w:r>
              <w:instrText xml:space="preserve"> XE "</w:instrText>
            </w:r>
            <w:r w:rsidRPr="00590A5D">
              <w:rPr>
                <w:lang w:val="de-DE"/>
              </w:rPr>
              <w:instrText>Interest</w:instrText>
            </w:r>
            <w:r w:rsidRPr="00792D61">
              <w:rPr>
                <w:b/>
                <w:lang w:val="de-DE"/>
              </w:rPr>
              <w:instrText>]</w:instrText>
            </w:r>
            <w:r w:rsidRPr="00590A5D">
              <w:rPr>
                <w:lang w:val="de-DE"/>
              </w:rPr>
              <w:instrText xml:space="preserve"> Business Day Convention</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6052E7" w:rsidP="00942FE5">
            <w:pPr>
              <w:pStyle w:val="CSBody8pt"/>
            </w:pPr>
            <w:r w:rsidRPr="00792D61">
              <w:rPr>
                <w:b/>
              </w:rPr>
              <w:t>[</w:t>
            </w:r>
            <w:r w:rsidRPr="006052E7">
              <w:rPr>
                <w:b/>
                <w:i/>
              </w:rPr>
              <w:t>in the case of non-adjusted, insert:</w:t>
            </w:r>
            <w:r w:rsidRPr="006052E7">
              <w:t xml:space="preserve"> if </w:t>
            </w:r>
            <w:r w:rsidRPr="00792D61">
              <w:rPr>
                <w:b/>
              </w:rPr>
              <w:t>[</w:t>
            </w:r>
            <w:r w:rsidRPr="006052E7">
              <w:t>the</w:t>
            </w:r>
            <w:r w:rsidRPr="00792D61">
              <w:rPr>
                <w:b/>
              </w:rPr>
              <w:t>][</w:t>
            </w:r>
            <w:r w:rsidRPr="006052E7">
              <w:t>any</w:t>
            </w:r>
            <w:r w:rsidRPr="00792D61">
              <w:rPr>
                <w:b/>
              </w:rPr>
              <w:t>]</w:t>
            </w:r>
            <w:r w:rsidRPr="006052E7">
              <w:t xml:space="preserve"> Interest Payment Date would fall on a day that is not a Business Day, then</w:t>
            </w:r>
          </w:p>
        </w:tc>
        <w:tc>
          <w:tcPr>
            <w:tcW w:w="1618" w:type="dxa"/>
            <w:gridSpan w:val="2"/>
            <w:tcBorders>
              <w:top w:val="nil"/>
              <w:bottom w:val="nil"/>
              <w:right w:val="nil"/>
            </w:tcBorders>
            <w:shd w:val="clear" w:color="auto" w:fill="auto"/>
          </w:tcPr>
          <w:p w:rsidR="0017135D" w:rsidRPr="006052E7" w:rsidP="008C7B66">
            <w:pPr>
              <w:pStyle w:val="CSBody8pt"/>
            </w:pPr>
            <w:r w:rsidRPr="006052E7">
              <w:t>Zins-</w:t>
            </w:r>
            <w:r w:rsidRPr="00792D61">
              <w:rPr>
                <w:b/>
              </w:rPr>
              <w:t>]</w:t>
            </w:r>
            <w:r w:rsidRPr="006052E7">
              <w:t>Geschäftstag-Konvention</w:t>
            </w:r>
            <w:r>
              <w:fldChar w:fldCharType="begin"/>
            </w:r>
            <w:r>
              <w:instrText xml:space="preserve"> XE "</w:instrText>
            </w:r>
            <w:r w:rsidRPr="00C91D04">
              <w:instrText>Zins-</w:instrText>
            </w:r>
            <w:r w:rsidRPr="00792D61">
              <w:rPr>
                <w:b/>
              </w:rPr>
              <w:instrText>]</w:instrText>
            </w:r>
            <w:r w:rsidRPr="00C91D04">
              <w:instrText>Geschäftstag-Konvention</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792D61">
              <w:rPr>
                <w:b/>
                <w:lang w:val="de-DE"/>
              </w:rPr>
              <w:t>[</w:t>
            </w:r>
            <w:r w:rsidRPr="006052E7">
              <w:rPr>
                <w:b/>
                <w:i/>
                <w:lang w:val="de-DE"/>
              </w:rPr>
              <w:t>falls ohne Anpassung, einfügen:</w:t>
            </w:r>
            <w:r w:rsidRPr="006052E7">
              <w:rPr>
                <w:lang w:val="de-DE"/>
              </w:rPr>
              <w:t xml:space="preserve"> wenn </w:t>
            </w:r>
            <w:r w:rsidRPr="00792D61">
              <w:rPr>
                <w:b/>
                <w:lang w:val="de-DE"/>
              </w:rPr>
              <w:t>[</w:t>
            </w:r>
            <w:r w:rsidRPr="006052E7">
              <w:rPr>
                <w:lang w:val="de-DE"/>
              </w:rPr>
              <w:t>der</w:t>
            </w:r>
            <w:r w:rsidRPr="00792D61">
              <w:rPr>
                <w:b/>
                <w:lang w:val="de-DE"/>
              </w:rPr>
              <w:t>][</w:t>
            </w:r>
            <w:r w:rsidRPr="006052E7">
              <w:rPr>
                <w:lang w:val="de-DE"/>
              </w:rPr>
              <w:t>ein</w:t>
            </w:r>
            <w:r w:rsidRPr="00792D61">
              <w:rPr>
                <w:b/>
                <w:lang w:val="de-DE"/>
              </w:rPr>
              <w:t>]</w:t>
            </w:r>
            <w:r w:rsidRPr="006052E7">
              <w:rPr>
                <w:lang w:val="de-DE"/>
              </w:rPr>
              <w:t xml:space="preserve"> Zinszahlungstag auf einen Tag fallen würde, der kein Geschäftstag ist, so wird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b/>
                <w:lang w:val="de-DE"/>
              </w:rPr>
            </w:pPr>
          </w:p>
        </w:tc>
        <w:tc>
          <w:tcPr>
            <w:tcW w:w="3315" w:type="dxa"/>
            <w:gridSpan w:val="7"/>
            <w:tcBorders>
              <w:top w:val="nil"/>
              <w:left w:val="nil"/>
              <w:bottom w:val="nil"/>
            </w:tcBorders>
            <w:shd w:val="clear" w:color="auto" w:fill="auto"/>
          </w:tcPr>
          <w:p w:rsidR="0017135D" w:rsidRPr="0020381F" w:rsidP="00942FE5">
            <w:pPr>
              <w:pStyle w:val="CSBody8pt"/>
            </w:pPr>
            <w:r w:rsidRPr="0020381F">
              <w:t xml:space="preserve">for purposes of calculating the amount of interest payable under the Complex Products, </w:t>
            </w:r>
            <w:r w:rsidRPr="00792D61">
              <w:rPr>
                <w:b/>
              </w:rPr>
              <w:t>[</w:t>
            </w:r>
            <w:r w:rsidRPr="0020381F">
              <w:t>the</w:t>
            </w:r>
            <w:r w:rsidRPr="00792D61">
              <w:rPr>
                <w:b/>
              </w:rPr>
              <w:t>][</w:t>
            </w:r>
            <w:r w:rsidRPr="0020381F">
              <w:t>such</w:t>
            </w:r>
            <w:r w:rsidRPr="00792D61">
              <w:rPr>
                <w:b/>
              </w:rPr>
              <w:t>]</w:t>
            </w:r>
            <w:r w:rsidRPr="0020381F">
              <w:t xml:space="preserve"> Interest Payment Date shall not be adjusted, and</w:t>
            </w:r>
          </w:p>
        </w:tc>
        <w:tc>
          <w:tcPr>
            <w:tcW w:w="1618" w:type="dxa"/>
            <w:gridSpan w:val="2"/>
            <w:tcBorders>
              <w:top w:val="nil"/>
              <w:bottom w:val="nil"/>
              <w:right w:val="nil"/>
            </w:tcBorders>
            <w:shd w:val="clear" w:color="auto" w:fill="auto"/>
          </w:tcPr>
          <w:p w:rsidR="0017135D" w:rsidRPr="00FA5FE8" w:rsidP="00942FE5">
            <w:pPr>
              <w:pStyle w:val="CSBody8pt"/>
              <w:rPr>
                <w:b/>
              </w:rPr>
            </w:pP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FA5FE8">
              <w:rPr>
                <w:lang w:val="de-DE"/>
              </w:rPr>
              <w:t xml:space="preserve">für die Zwecke der Berechnung der Höhe der auf die Komplexen Produkte zahlbaren Zinsen </w:t>
            </w:r>
            <w:r w:rsidRPr="00792D61">
              <w:rPr>
                <w:b/>
                <w:lang w:val="de-DE"/>
              </w:rPr>
              <w:t>[</w:t>
            </w:r>
            <w:r w:rsidRPr="00FA5FE8">
              <w:rPr>
                <w:lang w:val="de-DE"/>
              </w:rPr>
              <w:t>der</w:t>
            </w:r>
            <w:r w:rsidRPr="00792D61">
              <w:rPr>
                <w:b/>
                <w:lang w:val="de-DE"/>
              </w:rPr>
              <w:t>][</w:t>
            </w:r>
            <w:r w:rsidRPr="00FA5FE8">
              <w:rPr>
                <w:lang w:val="de-DE"/>
              </w:rPr>
              <w:t>dieser</w:t>
            </w:r>
            <w:r w:rsidRPr="00792D61">
              <w:rPr>
                <w:b/>
                <w:lang w:val="de-DE"/>
              </w:rPr>
              <w:t>]</w:t>
            </w:r>
            <w:r w:rsidRPr="00FA5FE8">
              <w:rPr>
                <w:lang w:val="de-DE"/>
              </w:rPr>
              <w:t xml:space="preserve"> Zinszahlungstag nicht angepasst, und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RPr="0020381F" w:rsidP="00942FE5">
            <w:pPr>
              <w:pStyle w:val="CSBody8pt"/>
            </w:pPr>
            <w:r w:rsidRPr="0020381F">
              <w:t xml:space="preserve">for all other purposes, </w:t>
            </w:r>
            <w:r w:rsidRPr="00792D61">
              <w:rPr>
                <w:b/>
              </w:rPr>
              <w:t>[</w:t>
            </w:r>
            <w:r w:rsidRPr="00942FE5">
              <w:rPr>
                <w:b/>
                <w:i/>
              </w:rPr>
              <w:t>in the case of Modified Following Business Day, insert:</w:t>
            </w:r>
            <w:r w:rsidRPr="0020381F">
              <w:t xml:space="preserve"> </w:t>
            </w:r>
            <w:r w:rsidRPr="00792D61">
              <w:rPr>
                <w:b/>
              </w:rPr>
              <w:t>[</w:t>
            </w:r>
            <w:r w:rsidRPr="0020381F">
              <w:t>the</w:t>
            </w:r>
            <w:r w:rsidRPr="00792D61">
              <w:rPr>
                <w:b/>
              </w:rPr>
              <w:t>][</w:t>
            </w:r>
            <w:r w:rsidRPr="0020381F">
              <w:t>such</w:t>
            </w:r>
            <w:r w:rsidRPr="00792D61">
              <w:rPr>
                <w:b/>
              </w:rPr>
              <w:t>]</w:t>
            </w:r>
            <w:r w:rsidRPr="0020381F">
              <w:t xml:space="preserve"> Interest Payment Date shall be postponed to the next day that is a Business Day unless it would thereby fall into the next calendar month, in which case </w:t>
            </w:r>
            <w:r w:rsidRPr="00792D61">
              <w:rPr>
                <w:b/>
              </w:rPr>
              <w:t>[</w:t>
            </w:r>
            <w:r w:rsidRPr="0020381F">
              <w:t>the</w:t>
            </w:r>
            <w:r w:rsidRPr="00792D61">
              <w:rPr>
                <w:b/>
              </w:rPr>
              <w:t>][</w:t>
            </w:r>
            <w:r w:rsidRPr="0020381F">
              <w:t>such</w:t>
            </w:r>
            <w:r w:rsidRPr="00792D61">
              <w:rPr>
                <w:b/>
              </w:rPr>
              <w:t>]</w:t>
            </w:r>
            <w:r w:rsidRPr="0020381F">
              <w:t xml:space="preserve"> Interest Payment Date shall be brought forward to the immediately preceding day that is a Business Day.</w:t>
            </w:r>
            <w:r w:rsidRPr="00792D61">
              <w:rPr>
                <w:b/>
              </w:rPr>
              <w:t>][</w:t>
            </w:r>
            <w:r w:rsidRPr="00942FE5">
              <w:rPr>
                <w:b/>
                <w:i/>
              </w:rPr>
              <w:t>in the case of Following Business Day Convention, insert:</w:t>
            </w:r>
            <w:r w:rsidRPr="0020381F">
              <w:t xml:space="preserve"> </w:t>
            </w:r>
            <w:r w:rsidRPr="00792D61">
              <w:rPr>
                <w:b/>
              </w:rPr>
              <w:t>[</w:t>
            </w:r>
            <w:r w:rsidRPr="0020381F">
              <w:t>the</w:t>
            </w:r>
            <w:r w:rsidRPr="00792D61">
              <w:rPr>
                <w:b/>
              </w:rPr>
              <w:t>][</w:t>
            </w:r>
            <w:r w:rsidRPr="0020381F">
              <w:t>such</w:t>
            </w:r>
            <w:r w:rsidRPr="00792D61">
              <w:rPr>
                <w:b/>
              </w:rPr>
              <w:t>]</w:t>
            </w:r>
            <w:r w:rsidRPr="0020381F">
              <w:t xml:space="preserve"> Interest Payment Date shall be postponed to the next day that is a Business Day.</w:t>
            </w:r>
            <w:r w:rsidRPr="00792D61">
              <w:rPr>
                <w:b/>
              </w:rPr>
              <w:t>][</w:t>
            </w:r>
            <w:r w:rsidRPr="00942FE5">
              <w:rPr>
                <w:b/>
                <w:i/>
              </w:rPr>
              <w:t>in the case of Preceding Business Day Convention, insert:</w:t>
            </w:r>
            <w:r w:rsidRPr="0020381F">
              <w:t xml:space="preserve"> </w:t>
            </w:r>
            <w:r w:rsidRPr="00792D61">
              <w:rPr>
                <w:b/>
              </w:rPr>
              <w:t>[</w:t>
            </w:r>
            <w:r w:rsidRPr="0020381F">
              <w:t>the</w:t>
            </w:r>
            <w:r w:rsidRPr="00792D61">
              <w:rPr>
                <w:b/>
              </w:rPr>
              <w:t>][</w:t>
            </w:r>
            <w:r w:rsidRPr="0020381F">
              <w:t>such</w:t>
            </w:r>
            <w:r w:rsidRPr="00792D61">
              <w:rPr>
                <w:b/>
              </w:rPr>
              <w:t>]</w:t>
            </w:r>
            <w:r w:rsidRPr="0020381F">
              <w:t xml:space="preserve"> Interest Payment Date shall be the immediately preceding Business Day.</w:t>
            </w:r>
            <w:r w:rsidRPr="00792D61">
              <w:rPr>
                <w:b/>
              </w:rPr>
              <w:t>][[</w:t>
            </w:r>
            <w:r w:rsidRPr="0020381F">
              <w:rPr>
                <w:rFonts w:ascii="Arial" w:hAnsi="Arial" w:cs="Arial"/>
              </w:rPr>
              <w:t>●</w:t>
            </w:r>
            <w:r w:rsidRPr="00792D61">
              <w:rPr>
                <w:b/>
              </w:rPr>
              <w:t>]</w:t>
            </w:r>
            <w:r w:rsidRPr="0020381F">
              <w:t>.</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516CB4">
            <w:pPr>
              <w:pStyle w:val="CSBody8pt"/>
              <w:rPr>
                <w:lang w:val="de-DE"/>
              </w:rPr>
            </w:pPr>
            <w:r w:rsidRPr="00FA5FE8">
              <w:rPr>
                <w:lang w:val="de-DE"/>
              </w:rPr>
              <w:t xml:space="preserve">für alle anderen Zwecke </w:t>
            </w:r>
            <w:r w:rsidRPr="00792D61">
              <w:rPr>
                <w:b/>
                <w:lang w:val="de-DE"/>
              </w:rPr>
              <w:t>[</w:t>
            </w:r>
            <w:r w:rsidRPr="00942FE5">
              <w:rPr>
                <w:b/>
                <w:i/>
                <w:lang w:val="de-DE"/>
              </w:rPr>
              <w:t>bei Modifizierter Folgender-Geschäftstag-Konvention einfügen:</w:t>
            </w:r>
            <w:r w:rsidRPr="00FA5FE8">
              <w:rPr>
                <w:lang w:val="de-DE"/>
              </w:rPr>
              <w:t xml:space="preserve"> </w:t>
            </w:r>
            <w:r w:rsidRPr="00792D61">
              <w:rPr>
                <w:b/>
                <w:lang w:val="de-DE"/>
              </w:rPr>
              <w:t>[</w:t>
            </w:r>
            <w:r w:rsidRPr="00FA5FE8">
              <w:rPr>
                <w:lang w:val="de-DE"/>
              </w:rPr>
              <w:t>der</w:t>
            </w:r>
            <w:r w:rsidRPr="00792D61">
              <w:rPr>
                <w:b/>
                <w:lang w:val="de-DE"/>
              </w:rPr>
              <w:t>][</w:t>
            </w:r>
            <w:r w:rsidRPr="00FA5FE8">
              <w:rPr>
                <w:lang w:val="de-DE"/>
              </w:rPr>
              <w:t>dieser</w:t>
            </w:r>
            <w:r w:rsidRPr="00792D61">
              <w:rPr>
                <w:b/>
                <w:lang w:val="de-DE"/>
              </w:rPr>
              <w:t>]</w:t>
            </w:r>
            <w:r w:rsidRPr="00FA5FE8">
              <w:rPr>
                <w:lang w:val="de-DE"/>
              </w:rPr>
              <w:t xml:space="preserve"> Zinszahlungstag auf den nächsten Tag verschoben, der ein Geschäftstag ist, es sei denn, er würde dadurch in den nächsten Kalendermonat fallen; in diesem Fall wird </w:t>
            </w:r>
            <w:r w:rsidRPr="00792D61">
              <w:rPr>
                <w:b/>
                <w:lang w:val="de-DE"/>
              </w:rPr>
              <w:t>[</w:t>
            </w:r>
            <w:r w:rsidRPr="00FA5FE8">
              <w:rPr>
                <w:lang w:val="de-DE"/>
              </w:rPr>
              <w:t>der</w:t>
            </w:r>
            <w:r w:rsidRPr="00792D61">
              <w:rPr>
                <w:b/>
                <w:lang w:val="de-DE"/>
              </w:rPr>
              <w:t>][</w:t>
            </w:r>
            <w:r w:rsidRPr="00FA5FE8">
              <w:rPr>
                <w:lang w:val="de-DE"/>
              </w:rPr>
              <w:t>dieser</w:t>
            </w:r>
            <w:r w:rsidRPr="00792D61">
              <w:rPr>
                <w:b/>
                <w:lang w:val="de-DE"/>
              </w:rPr>
              <w:t>]</w:t>
            </w:r>
            <w:r w:rsidRPr="00FA5FE8">
              <w:rPr>
                <w:lang w:val="de-DE"/>
              </w:rPr>
              <w:t xml:space="preserve"> Zinszahlungstag auf den unmittelbar vorhergehenden Tag vorgezogen, der ein Geschäftstag ist.</w:t>
            </w:r>
            <w:r w:rsidRPr="00792D61">
              <w:rPr>
                <w:b/>
                <w:lang w:val="de-DE"/>
              </w:rPr>
              <w:t>][</w:t>
            </w:r>
            <w:r w:rsidRPr="00942FE5">
              <w:rPr>
                <w:b/>
                <w:i/>
                <w:lang w:val="de-DE"/>
              </w:rPr>
              <w:t>bei Folgender-Geschäftstag-Konvention einfügen:</w:t>
            </w:r>
            <w:r w:rsidRPr="00FA5FE8">
              <w:rPr>
                <w:lang w:val="de-DE"/>
              </w:rPr>
              <w:t xml:space="preserve"> </w:t>
            </w:r>
            <w:r w:rsidRPr="00792D61">
              <w:rPr>
                <w:b/>
                <w:lang w:val="de-DE"/>
              </w:rPr>
              <w:t>[</w:t>
            </w:r>
            <w:r w:rsidRPr="00FA5FE8">
              <w:rPr>
                <w:lang w:val="de-DE"/>
              </w:rPr>
              <w:t>der</w:t>
            </w:r>
            <w:r w:rsidRPr="00792D61">
              <w:rPr>
                <w:b/>
                <w:lang w:val="de-DE"/>
              </w:rPr>
              <w:t>]</w:t>
            </w:r>
            <w:r w:rsidRPr="00FA5FE8">
              <w:rPr>
                <w:lang w:val="de-DE"/>
              </w:rPr>
              <w:t xml:space="preserve"> </w:t>
            </w:r>
            <w:r w:rsidRPr="00792D61">
              <w:rPr>
                <w:b/>
                <w:lang w:val="de-DE"/>
              </w:rPr>
              <w:t>[</w:t>
            </w:r>
            <w:r w:rsidRPr="00FA5FE8">
              <w:rPr>
                <w:lang w:val="de-DE"/>
              </w:rPr>
              <w:t>dieser</w:t>
            </w:r>
            <w:r w:rsidRPr="00792D61">
              <w:rPr>
                <w:b/>
                <w:lang w:val="de-DE"/>
              </w:rPr>
              <w:t>]</w:t>
            </w:r>
            <w:r w:rsidRPr="00FA5FE8">
              <w:rPr>
                <w:lang w:val="de-DE"/>
              </w:rPr>
              <w:t xml:space="preserve"> Zinszahlungstag auf den nächsten Tag verschoben, der ein Geschäftstag ist.</w:t>
            </w:r>
            <w:r w:rsidRPr="00792D61">
              <w:rPr>
                <w:b/>
                <w:lang w:val="de-DE"/>
              </w:rPr>
              <w:t>][</w:t>
            </w:r>
            <w:r>
              <w:rPr>
                <w:b/>
                <w:i/>
                <w:lang w:val="de-DE"/>
              </w:rPr>
              <w:t>bei Vora</w:t>
            </w:r>
            <w:r w:rsidRPr="00942FE5">
              <w:rPr>
                <w:b/>
                <w:i/>
                <w:lang w:val="de-DE"/>
              </w:rPr>
              <w:t>ngegangener-Geschäftstag-Konvention einfügen:</w:t>
            </w:r>
            <w:r w:rsidRPr="00FA5FE8">
              <w:rPr>
                <w:lang w:val="de-DE"/>
              </w:rPr>
              <w:t xml:space="preserve"> gilt der der unmittelbar vorhergehende Geschäftstag als </w:t>
            </w:r>
            <w:r w:rsidRPr="00792D61">
              <w:rPr>
                <w:b/>
                <w:lang w:val="de-DE"/>
              </w:rPr>
              <w:t>[</w:t>
            </w:r>
            <w:r w:rsidRPr="00FA5FE8">
              <w:rPr>
                <w:lang w:val="de-DE"/>
              </w:rPr>
              <w:t>der</w:t>
            </w:r>
            <w:r w:rsidRPr="00792D61">
              <w:rPr>
                <w:b/>
                <w:lang w:val="de-DE"/>
              </w:rPr>
              <w:t>][</w:t>
            </w:r>
            <w:r w:rsidRPr="00FA5FE8">
              <w:rPr>
                <w:lang w:val="de-DE"/>
              </w:rPr>
              <w:t>dieser</w:t>
            </w:r>
            <w:r w:rsidRPr="00792D61">
              <w:rPr>
                <w:b/>
                <w:lang w:val="de-DE"/>
              </w:rPr>
              <w:t>]</w:t>
            </w:r>
            <w:r w:rsidRPr="00FA5FE8">
              <w:rPr>
                <w:lang w:val="de-DE"/>
              </w:rPr>
              <w:t xml:space="preserve"> Zinszahlungstag.</w:t>
            </w:r>
            <w:r w:rsidRPr="00792D61">
              <w:rPr>
                <w:b/>
                <w:lang w:val="de-DE"/>
              </w:rPr>
              <w:t>][[</w:t>
            </w:r>
            <w:r w:rsidRPr="00FA5FE8">
              <w:rPr>
                <w:rFonts w:ascii="Arial" w:hAnsi="Arial" w:cs="Arial"/>
                <w:lang w:val="de-DE"/>
              </w:rPr>
              <w:t>●</w:t>
            </w:r>
            <w:r w:rsidRPr="00792D61">
              <w:rPr>
                <w:b/>
                <w:lang w:val="de-DE"/>
              </w:rPr>
              <w:t>]</w:t>
            </w:r>
            <w:r w:rsidRPr="00FA5FE8">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P="00942FE5">
            <w:pPr>
              <w:pStyle w:val="CSBody8pt"/>
            </w:pPr>
            <w:r w:rsidRPr="00792D61">
              <w:rPr>
                <w:b/>
              </w:rPr>
              <w:t>[</w:t>
            </w:r>
            <w:r w:rsidRPr="00942FE5">
              <w:rPr>
                <w:b/>
                <w:i/>
              </w:rPr>
              <w:t>in the case of adjusted, insert:</w:t>
            </w:r>
            <w:r w:rsidRPr="0020381F">
              <w:t xml:space="preserve"> if </w:t>
            </w:r>
            <w:r w:rsidRPr="00792D61">
              <w:rPr>
                <w:b/>
              </w:rPr>
              <w:t>[</w:t>
            </w:r>
            <w:r w:rsidRPr="0020381F">
              <w:t>the</w:t>
            </w:r>
            <w:r w:rsidRPr="00792D61">
              <w:rPr>
                <w:b/>
              </w:rPr>
              <w:t>][</w:t>
            </w:r>
            <w:r w:rsidRPr="0020381F">
              <w:t>any</w:t>
            </w:r>
            <w:r w:rsidRPr="00792D61">
              <w:rPr>
                <w:b/>
              </w:rPr>
              <w:t>]</w:t>
            </w:r>
            <w:r w:rsidRPr="0020381F">
              <w:t xml:space="preserve"> Interest Payment Date would fall on a day that is not a Business Day, then for all purposes (including the calculation of any interest amount payable under the Complex Products), </w:t>
            </w:r>
            <w:r w:rsidRPr="00792D61">
              <w:rPr>
                <w:b/>
              </w:rPr>
              <w:t>[</w:t>
            </w:r>
            <w:r w:rsidRPr="00942FE5">
              <w:rPr>
                <w:b/>
                <w:i/>
              </w:rPr>
              <w:t>in the case of Modified Following Business Day, insert:</w:t>
            </w:r>
            <w:r w:rsidRPr="0020381F">
              <w:t xml:space="preserve"> </w:t>
            </w:r>
            <w:r w:rsidRPr="00792D61">
              <w:rPr>
                <w:b/>
              </w:rPr>
              <w:t>[</w:t>
            </w:r>
            <w:r w:rsidRPr="0020381F">
              <w:t>the</w:t>
            </w:r>
            <w:r w:rsidRPr="00792D61">
              <w:rPr>
                <w:b/>
              </w:rPr>
              <w:t>][</w:t>
            </w:r>
            <w:r w:rsidRPr="0020381F">
              <w:t>such</w:t>
            </w:r>
            <w:r w:rsidRPr="00792D61">
              <w:rPr>
                <w:b/>
              </w:rPr>
              <w:t>]</w:t>
            </w:r>
            <w:r w:rsidRPr="0020381F">
              <w:t xml:space="preserve"> Interest Payment Date shall be postponed to the next day that is a Business Day unless it would thereby fall into the next calendar month, in which case </w:t>
            </w:r>
            <w:r w:rsidRPr="00792D61">
              <w:rPr>
                <w:b/>
              </w:rPr>
              <w:t>[</w:t>
            </w:r>
            <w:r w:rsidRPr="0020381F">
              <w:t>the</w:t>
            </w:r>
            <w:r w:rsidRPr="00792D61">
              <w:rPr>
                <w:b/>
              </w:rPr>
              <w:t>][</w:t>
            </w:r>
            <w:r w:rsidRPr="0020381F">
              <w:t>such</w:t>
            </w:r>
            <w:r w:rsidRPr="00792D61">
              <w:rPr>
                <w:b/>
              </w:rPr>
              <w:t>]</w:t>
            </w:r>
            <w:r w:rsidRPr="0020381F">
              <w:t xml:space="preserve"> Interest Payment Date shall be brought forward to the immediately preceding day that is a Business Day.</w:t>
            </w:r>
            <w:r w:rsidRPr="00792D61">
              <w:rPr>
                <w:b/>
              </w:rPr>
              <w:t>][</w:t>
            </w:r>
            <w:r w:rsidRPr="00942FE5">
              <w:rPr>
                <w:b/>
                <w:i/>
              </w:rPr>
              <w:t>in the case of Following Business Day Convention, insert:</w:t>
            </w:r>
            <w:r w:rsidRPr="0020381F">
              <w:t xml:space="preserve"> </w:t>
            </w:r>
            <w:r w:rsidRPr="00792D61">
              <w:rPr>
                <w:b/>
              </w:rPr>
              <w:t>[</w:t>
            </w:r>
            <w:r w:rsidRPr="0020381F">
              <w:t>the</w:t>
            </w:r>
            <w:r w:rsidRPr="00792D61">
              <w:rPr>
                <w:b/>
              </w:rPr>
              <w:t>][</w:t>
            </w:r>
            <w:r w:rsidRPr="0020381F">
              <w:t>such</w:t>
            </w:r>
            <w:r w:rsidRPr="00792D61">
              <w:rPr>
                <w:b/>
              </w:rPr>
              <w:t>]</w:t>
            </w:r>
            <w:r w:rsidRPr="0020381F">
              <w:t xml:space="preserve"> Interest Payment Date shall be postponed to the next day that is a Business Day.</w:t>
            </w:r>
            <w:r w:rsidRPr="00792D61">
              <w:rPr>
                <w:b/>
              </w:rPr>
              <w:t>][</w:t>
            </w:r>
            <w:r w:rsidRPr="00942FE5">
              <w:rPr>
                <w:b/>
                <w:i/>
              </w:rPr>
              <w:t>in the case of Preceding Business Day Convention, insert:</w:t>
            </w:r>
            <w:r w:rsidRPr="0020381F">
              <w:t xml:space="preserve"> </w:t>
            </w:r>
            <w:r w:rsidRPr="00792D61">
              <w:rPr>
                <w:b/>
              </w:rPr>
              <w:t>[</w:t>
            </w:r>
            <w:r w:rsidRPr="0020381F">
              <w:t>the</w:t>
            </w:r>
            <w:r w:rsidRPr="00792D61">
              <w:rPr>
                <w:b/>
              </w:rPr>
              <w:t>][</w:t>
            </w:r>
            <w:r w:rsidRPr="0020381F">
              <w:t>such</w:t>
            </w:r>
            <w:r w:rsidRPr="00792D61">
              <w:rPr>
                <w:b/>
              </w:rPr>
              <w:t>]</w:t>
            </w:r>
            <w:r w:rsidRPr="0020381F">
              <w:t xml:space="preserve"> Interest Payment Date shall be the immediately preceding Business Day.</w:t>
            </w:r>
            <w:r w:rsidRPr="00792D61">
              <w:rPr>
                <w:b/>
              </w:rPr>
              <w:t>][[</w:t>
            </w:r>
            <w:r w:rsidRPr="0020381F">
              <w:rPr>
                <w:rFonts w:ascii="Arial" w:hAnsi="Arial" w:cs="Arial"/>
              </w:rPr>
              <w:t>●</w:t>
            </w:r>
            <w:r w:rsidRPr="00792D61">
              <w:rPr>
                <w:b/>
              </w:rPr>
              <w:t>]</w:t>
            </w:r>
            <w:r w:rsidRPr="0020381F">
              <w:t>.</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pPr>
              <w:pStyle w:val="CSBody8pt"/>
              <w:rPr>
                <w:lang w:val="de-DE"/>
              </w:rPr>
            </w:pPr>
            <w:r w:rsidRPr="00792D61">
              <w:rPr>
                <w:b/>
                <w:lang w:val="de-DE"/>
              </w:rPr>
              <w:t>[</w:t>
            </w:r>
            <w:r w:rsidRPr="00942FE5">
              <w:rPr>
                <w:b/>
                <w:i/>
                <w:lang w:val="de-DE"/>
              </w:rPr>
              <w:t>falls mit Anpassung, einfügen:</w:t>
            </w:r>
            <w:r w:rsidRPr="00FA5FE8">
              <w:rPr>
                <w:lang w:val="de-DE"/>
              </w:rPr>
              <w:t xml:space="preserve"> wenn </w:t>
            </w:r>
            <w:r w:rsidRPr="00792D61">
              <w:rPr>
                <w:b/>
                <w:lang w:val="de-DE"/>
              </w:rPr>
              <w:t>[</w:t>
            </w:r>
            <w:r w:rsidRPr="00FA5FE8">
              <w:rPr>
                <w:lang w:val="de-DE"/>
              </w:rPr>
              <w:t>der</w:t>
            </w:r>
            <w:r w:rsidRPr="00792D61">
              <w:rPr>
                <w:b/>
                <w:lang w:val="de-DE"/>
              </w:rPr>
              <w:t>][</w:t>
            </w:r>
            <w:r w:rsidRPr="00FA5FE8">
              <w:rPr>
                <w:lang w:val="de-DE"/>
              </w:rPr>
              <w:t>ein</w:t>
            </w:r>
            <w:r w:rsidRPr="00792D61">
              <w:rPr>
                <w:b/>
                <w:lang w:val="de-DE"/>
              </w:rPr>
              <w:t>]</w:t>
            </w:r>
            <w:r w:rsidRPr="00FA5FE8">
              <w:rPr>
                <w:lang w:val="de-DE"/>
              </w:rPr>
              <w:t xml:space="preserve"> Zinszahlungstag auf einen Tag fallen würde, der kein Geschäftstag ist, so wird für alle Zwecke (einschliesslich zur Berechnung der auf die Komplexen Produkte zahlbaren Zinsbeträge) </w:t>
            </w:r>
            <w:r w:rsidRPr="00792D61">
              <w:rPr>
                <w:b/>
                <w:lang w:val="de-DE"/>
              </w:rPr>
              <w:t>[</w:t>
            </w:r>
            <w:r w:rsidRPr="00942FE5">
              <w:rPr>
                <w:b/>
                <w:i/>
                <w:lang w:val="de-DE"/>
              </w:rPr>
              <w:t>bei Modifizierter Folgende-Geschäftstag-Konvention einfügen:</w:t>
            </w:r>
            <w:r w:rsidRPr="00FA5FE8">
              <w:rPr>
                <w:lang w:val="de-DE"/>
              </w:rPr>
              <w:t xml:space="preserve"> </w:t>
            </w:r>
            <w:r w:rsidRPr="00792D61">
              <w:rPr>
                <w:b/>
                <w:lang w:val="de-DE"/>
              </w:rPr>
              <w:t>[</w:t>
            </w:r>
            <w:r w:rsidRPr="00FA5FE8">
              <w:rPr>
                <w:lang w:val="de-DE"/>
              </w:rPr>
              <w:t>der</w:t>
            </w:r>
            <w:r w:rsidRPr="00792D61">
              <w:rPr>
                <w:b/>
                <w:lang w:val="de-DE"/>
              </w:rPr>
              <w:t>][</w:t>
            </w:r>
            <w:r w:rsidRPr="00FA5FE8">
              <w:rPr>
                <w:lang w:val="de-DE"/>
              </w:rPr>
              <w:t>dieser</w:t>
            </w:r>
            <w:r w:rsidRPr="00792D61">
              <w:rPr>
                <w:b/>
                <w:lang w:val="de-DE"/>
              </w:rPr>
              <w:t>]</w:t>
            </w:r>
            <w:r w:rsidRPr="00FA5FE8">
              <w:rPr>
                <w:lang w:val="de-DE"/>
              </w:rPr>
              <w:t xml:space="preserve"> Zinszah-lungstag auf den nächsten Tag verschoben, der ein Geschäftstag ist, es sei denn, er würde dadurch in den nächsten Kalendermonat fallen; in diesem Fall wird </w:t>
            </w:r>
            <w:r w:rsidRPr="00792D61">
              <w:rPr>
                <w:b/>
                <w:lang w:val="de-DE"/>
              </w:rPr>
              <w:t>[</w:t>
            </w:r>
            <w:r w:rsidRPr="00FA5FE8">
              <w:rPr>
                <w:lang w:val="de-DE"/>
              </w:rPr>
              <w:t>der</w:t>
            </w:r>
            <w:r w:rsidRPr="00792D61">
              <w:rPr>
                <w:b/>
                <w:lang w:val="de-DE"/>
              </w:rPr>
              <w:t>][</w:t>
            </w:r>
            <w:r w:rsidRPr="00FA5FE8">
              <w:rPr>
                <w:lang w:val="de-DE"/>
              </w:rPr>
              <w:t>dieser</w:t>
            </w:r>
            <w:r w:rsidRPr="00792D61">
              <w:rPr>
                <w:b/>
                <w:lang w:val="de-DE"/>
              </w:rPr>
              <w:t>]</w:t>
            </w:r>
            <w:r w:rsidRPr="00FA5FE8">
              <w:rPr>
                <w:lang w:val="de-DE"/>
              </w:rPr>
              <w:t xml:space="preserve"> Zinszahlungstag auf den unmittelbar vorhergehenden Tag vorgezogen, der ein Geschäftstag ist.</w:t>
            </w:r>
            <w:r w:rsidRPr="00792D61">
              <w:rPr>
                <w:b/>
                <w:lang w:val="de-DE"/>
              </w:rPr>
              <w:t>][</w:t>
            </w:r>
            <w:r w:rsidRPr="00942FE5">
              <w:rPr>
                <w:b/>
                <w:i/>
                <w:lang w:val="de-DE"/>
              </w:rPr>
              <w:t>bei Folgender-Geschäftstag-Konvention einfügen:</w:t>
            </w:r>
            <w:r w:rsidRPr="00FA5FE8">
              <w:rPr>
                <w:lang w:val="de-DE"/>
              </w:rPr>
              <w:t xml:space="preserve"> </w:t>
            </w:r>
            <w:r w:rsidRPr="00792D61">
              <w:rPr>
                <w:b/>
                <w:lang w:val="de-DE"/>
              </w:rPr>
              <w:t>[</w:t>
            </w:r>
            <w:r w:rsidRPr="00FA5FE8">
              <w:rPr>
                <w:lang w:val="de-DE"/>
              </w:rPr>
              <w:t>der</w:t>
            </w:r>
            <w:r w:rsidRPr="00792D61">
              <w:rPr>
                <w:b/>
                <w:lang w:val="de-DE"/>
              </w:rPr>
              <w:t>][</w:t>
            </w:r>
            <w:r w:rsidRPr="00FA5FE8">
              <w:rPr>
                <w:lang w:val="de-DE"/>
              </w:rPr>
              <w:t>dieser</w:t>
            </w:r>
            <w:r w:rsidRPr="00792D61">
              <w:rPr>
                <w:b/>
                <w:lang w:val="de-DE"/>
              </w:rPr>
              <w:t>]</w:t>
            </w:r>
            <w:r w:rsidRPr="00FA5FE8">
              <w:rPr>
                <w:lang w:val="de-DE"/>
              </w:rPr>
              <w:t xml:space="preserve"> Zinszahlungstag auf den nächsten Tag verschoben, der ein Geschäftstag ist.</w:t>
            </w:r>
            <w:r w:rsidRPr="00792D61">
              <w:rPr>
                <w:b/>
                <w:lang w:val="de-DE"/>
              </w:rPr>
              <w:t>][</w:t>
            </w:r>
            <w:r w:rsidRPr="00942FE5">
              <w:rPr>
                <w:b/>
                <w:i/>
                <w:lang w:val="de-DE"/>
              </w:rPr>
              <w:t>bei Vorangegangener-Geschäftstag-Konvention einfügen:</w:t>
            </w:r>
            <w:r w:rsidRPr="00FA5FE8">
              <w:rPr>
                <w:lang w:val="de-DE"/>
              </w:rPr>
              <w:t xml:space="preserve"> der unmittelbar vorhergehende Geschäftstag als </w:t>
            </w:r>
            <w:r w:rsidRPr="00792D61">
              <w:rPr>
                <w:b/>
                <w:lang w:val="de-DE"/>
              </w:rPr>
              <w:t>[</w:t>
            </w:r>
            <w:r w:rsidRPr="00FA5FE8">
              <w:rPr>
                <w:lang w:val="de-DE"/>
              </w:rPr>
              <w:t>der</w:t>
            </w:r>
            <w:r w:rsidRPr="00792D61">
              <w:rPr>
                <w:b/>
                <w:lang w:val="de-DE"/>
              </w:rPr>
              <w:t>][</w:t>
            </w:r>
            <w:r w:rsidRPr="00FA5FE8">
              <w:rPr>
                <w:lang w:val="de-DE"/>
              </w:rPr>
              <w:t>dieser</w:t>
            </w:r>
            <w:r w:rsidRPr="00792D61">
              <w:rPr>
                <w:b/>
                <w:lang w:val="de-DE"/>
              </w:rPr>
              <w:t>]</w:t>
            </w:r>
            <w:r w:rsidRPr="00FA5FE8">
              <w:rPr>
                <w:lang w:val="de-DE"/>
              </w:rPr>
              <w:t xml:space="preserve"> Zinszahlungstag.</w:t>
            </w:r>
            <w:r w:rsidRPr="00792D61">
              <w:rPr>
                <w:b/>
                <w:lang w:val="de-DE"/>
              </w:rPr>
              <w:t>][[</w:t>
            </w:r>
            <w:r w:rsidRPr="00FA5FE8">
              <w:rPr>
                <w:rFonts w:ascii="Arial" w:hAnsi="Arial" w:cs="Arial"/>
                <w:lang w:val="de-DE"/>
              </w:rPr>
              <w:t>●</w:t>
            </w:r>
            <w:r w:rsidRPr="00792D61">
              <w:rPr>
                <w:b/>
                <w:lang w:val="de-DE"/>
              </w:rPr>
              <w:t>]</w:t>
            </w:r>
            <w:r w:rsidRPr="00FA5FE8">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052E7">
            <w:pPr>
              <w:pStyle w:val="CSBody8pt"/>
              <w:rPr>
                <w:lang w:val="de-DE"/>
              </w:rPr>
            </w:pPr>
            <w:r w:rsidRPr="00792D61">
              <w:rPr>
                <w:b/>
                <w:lang w:val="de-DE"/>
              </w:rPr>
              <w:t>[</w:t>
            </w:r>
            <w:r w:rsidRPr="006052E7">
              <w:rPr>
                <w:lang w:val="de-DE"/>
              </w:rPr>
              <w:t>Interest Rate</w:t>
            </w:r>
            <w:r>
              <w:rPr>
                <w:lang w:val="de-DE"/>
              </w:rPr>
              <w:fldChar w:fldCharType="begin"/>
            </w:r>
            <w:r w:rsidR="0041243C">
              <w:instrText xml:space="preserve"> XE "</w:instrText>
            </w:r>
            <w:r w:rsidRPr="004C060B" w:rsidR="0041243C">
              <w:rPr>
                <w:lang w:val="de-DE"/>
              </w:rPr>
              <w:instrText>Interest Rate</w:instrText>
            </w:r>
            <w:r w:rsidR="0041243C">
              <w:instrText>" \f "EN"</w:instrText>
            </w:r>
            <w:r>
              <w:rPr>
                <w:lang w:val="de-DE"/>
              </w:rPr>
              <w:fldChar w:fldCharType="end"/>
            </w:r>
          </w:p>
        </w:tc>
        <w:tc>
          <w:tcPr>
            <w:tcW w:w="3315" w:type="dxa"/>
            <w:gridSpan w:val="7"/>
            <w:tcBorders>
              <w:top w:val="nil"/>
              <w:left w:val="nil"/>
              <w:bottom w:val="nil"/>
            </w:tcBorders>
            <w:shd w:val="clear" w:color="auto" w:fill="auto"/>
          </w:tcPr>
          <w:p w:rsidR="0017135D" w:rsidRPr="006052E7" w:rsidP="00942FE5">
            <w:pPr>
              <w:pStyle w:val="CSBody8pt"/>
            </w:pPr>
            <w:r w:rsidRPr="00792D61">
              <w:rPr>
                <w:b/>
              </w:rPr>
              <w:t>[</w:t>
            </w:r>
            <w:r w:rsidRPr="006052E7">
              <w:rPr>
                <w:b/>
                <w:i/>
              </w:rPr>
              <w:t>in the case of Complex Products with a single fixed rate of interest, insert:</w:t>
            </w:r>
            <w:r w:rsidRPr="006052E7">
              <w:t xml:space="preserve"> </w:t>
            </w:r>
            <w:r w:rsidRPr="00792D61">
              <w:rPr>
                <w:b/>
              </w:rPr>
              <w:t>[</w:t>
            </w:r>
            <w:r w:rsidRPr="006052E7">
              <w:rPr>
                <w:rFonts w:ascii="Arial" w:hAnsi="Arial" w:cs="Arial"/>
              </w:rPr>
              <w:t>●</w:t>
            </w:r>
            <w:r w:rsidRPr="00792D61">
              <w:rPr>
                <w:b/>
              </w:rPr>
              <w:t>]</w:t>
            </w:r>
            <w:r w:rsidRPr="006052E7">
              <w:t>% per annum.</w:t>
            </w:r>
            <w:r w:rsidRPr="00792D61">
              <w:rPr>
                <w:b/>
              </w:rPr>
              <w:t>]</w:t>
            </w:r>
          </w:p>
        </w:tc>
        <w:tc>
          <w:tcPr>
            <w:tcW w:w="1618" w:type="dxa"/>
            <w:gridSpan w:val="2"/>
            <w:tcBorders>
              <w:top w:val="nil"/>
              <w:bottom w:val="nil"/>
              <w:right w:val="nil"/>
            </w:tcBorders>
            <w:shd w:val="clear" w:color="auto" w:fill="auto"/>
          </w:tcPr>
          <w:p w:rsidR="0017135D" w:rsidRPr="006052E7">
            <w:pPr>
              <w:pStyle w:val="CSBody8pt"/>
            </w:pPr>
            <w:r w:rsidRPr="00792D61">
              <w:rPr>
                <w:b/>
              </w:rPr>
              <w:t>[</w:t>
            </w:r>
            <w:r w:rsidRPr="006052E7">
              <w:t>Zinssatz</w:t>
            </w:r>
            <w:r>
              <w:fldChar w:fldCharType="begin"/>
            </w:r>
            <w:r w:rsidR="0041243C">
              <w:instrText xml:space="preserve"> XE "</w:instrText>
            </w:r>
            <w:r w:rsidRPr="00094970" w:rsidR="0041243C">
              <w:instrText>Zinssatz</w:instrText>
            </w:r>
            <w:r w:rsidR="0041243C">
              <w:instrText>" \f "EN"</w:instrText>
            </w:r>
            <w:r>
              <w:fldChar w:fldCharType="end"/>
            </w: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792D61">
              <w:rPr>
                <w:b/>
                <w:lang w:val="de-DE"/>
              </w:rPr>
              <w:t>[</w:t>
            </w:r>
            <w:r w:rsidRPr="006052E7">
              <w:rPr>
                <w:b/>
                <w:i/>
                <w:lang w:val="de-DE"/>
              </w:rPr>
              <w:t>bei Komplexen Produkten mit einem einheitlichen Festzinssatz einfügen:</w:t>
            </w:r>
            <w:r w:rsidRPr="006052E7">
              <w:rPr>
                <w:lang w:val="de-DE"/>
              </w:rPr>
              <w:t xml:space="preserve"> </w:t>
            </w:r>
            <w:r w:rsidRPr="00792D61">
              <w:rPr>
                <w:b/>
                <w:lang w:val="de-DE"/>
              </w:rPr>
              <w:t>[</w:t>
            </w:r>
            <w:r w:rsidRPr="006052E7">
              <w:rPr>
                <w:rFonts w:ascii="Arial" w:hAnsi="Arial" w:cs="Arial"/>
                <w:lang w:val="de-DE"/>
              </w:rPr>
              <w:t>●</w:t>
            </w:r>
            <w:r w:rsidRPr="00792D61">
              <w:rPr>
                <w:b/>
                <w:lang w:val="de-DE"/>
              </w:rPr>
              <w:t>]</w:t>
            </w:r>
            <w:r w:rsidRPr="006052E7">
              <w:rPr>
                <w:lang w:val="de-DE"/>
              </w:rPr>
              <w:t>% per annum.</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RPr="00E442D6" w:rsidP="00942FE5">
            <w:pPr>
              <w:pStyle w:val="CSBody8ptbolditalics"/>
            </w:pPr>
            <w:r w:rsidRPr="00792D61">
              <w:t>[</w:t>
            </w:r>
            <w:r w:rsidRPr="00E442D6">
              <w:t>in the case of Floating Rate Notes without a Cap or a Floor, insert: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9D08E0" w:rsidP="00942FE5">
            <w:pPr>
              <w:pStyle w:val="CSBody8ptbolditalics"/>
              <w:rPr>
                <w:lang w:val="de-DE"/>
              </w:rPr>
            </w:pPr>
            <w:r w:rsidRPr="009D08E0">
              <w:rPr>
                <w:lang w:val="de-DE"/>
              </w:rPr>
              <w:t>[bei Floating Rate Notes ohne Cap oder Floor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D08E0" w:rsidP="00942FE5">
            <w:pPr>
              <w:pStyle w:val="CSBody8pt"/>
              <w:rPr>
                <w:lang w:val="de-DE"/>
              </w:rPr>
            </w:pPr>
          </w:p>
        </w:tc>
        <w:tc>
          <w:tcPr>
            <w:tcW w:w="3315" w:type="dxa"/>
            <w:gridSpan w:val="7"/>
            <w:tcBorders>
              <w:top w:val="nil"/>
              <w:left w:val="nil"/>
              <w:bottom w:val="nil"/>
            </w:tcBorders>
            <w:shd w:val="clear" w:color="auto" w:fill="auto"/>
          </w:tcPr>
          <w:p w:rsidR="0017135D" w:rsidRPr="00E442D6" w:rsidP="00942FE5">
            <w:pPr>
              <w:pStyle w:val="CSBody8ptbolditalics"/>
            </w:pPr>
            <w:r w:rsidRPr="00792D61">
              <w:t>[</w:t>
            </w:r>
            <w:r w:rsidRPr="00E442D6">
              <w:t>in the case of one Interest Payment Date, insert: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942FE5">
            <w:pPr>
              <w:pStyle w:val="CSBody8ptbolditalics"/>
              <w:rPr>
                <w:lang w:val="de-DE"/>
              </w:rPr>
            </w:pPr>
            <w:r w:rsidRPr="00792D61">
              <w:rPr>
                <w:lang w:val="de-DE"/>
              </w:rPr>
              <w:t>[</w:t>
            </w:r>
            <w:r w:rsidRPr="00FA5FE8">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RPr="00E442D6" w:rsidP="00942FE5">
            <w:pPr>
              <w:pStyle w:val="CSBody8pt"/>
            </w:pPr>
            <w:r w:rsidRPr="00E442D6">
              <w:t xml:space="preserve">a rate per annum equal to </w:t>
            </w:r>
            <w:r w:rsidRPr="00792D61">
              <w:rPr>
                <w:b/>
              </w:rPr>
              <w:t>[</w:t>
            </w:r>
            <w:r w:rsidRPr="00E442D6">
              <w:t>the sum of</w:t>
            </w:r>
            <w:r w:rsidRPr="00792D61">
              <w:rPr>
                <w:b/>
              </w:rPr>
              <w:t>]</w:t>
            </w:r>
            <w:r w:rsidRPr="00E442D6">
              <w:t xml:space="preserve"> the Reference Rate on the Interest Determination Date </w:t>
            </w:r>
            <w:r w:rsidRPr="00792D61">
              <w:rPr>
                <w:b/>
              </w:rPr>
              <w:t>[</w:t>
            </w:r>
            <w:r w:rsidRPr="00E442D6">
              <w:t xml:space="preserve">and </w:t>
            </w:r>
            <w:r w:rsidRPr="00792D61">
              <w:rPr>
                <w:b/>
              </w:rPr>
              <w:t>[</w:t>
            </w:r>
            <w:r w:rsidRPr="00E442D6">
              <w:rPr>
                <w:rFonts w:ascii="Arial" w:hAnsi="Arial" w:cs="Arial"/>
              </w:rPr>
              <w:t>●</w:t>
            </w:r>
            <w:r w:rsidRPr="00792D61">
              <w:rPr>
                <w:b/>
              </w:rPr>
              <w:t>]</w:t>
            </w:r>
            <w:r w:rsidRPr="00E442D6">
              <w:t>% per annum</w:t>
            </w:r>
            <w:r w:rsidRPr="00792D61">
              <w:rPr>
                <w:b/>
              </w:rPr>
              <w:t>]</w:t>
            </w:r>
            <w:r w:rsidRPr="00E442D6">
              <w:t>.</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516CB4">
            <w:pPr>
              <w:pStyle w:val="CSBody8pt"/>
              <w:rPr>
                <w:lang w:val="de-DE"/>
              </w:rPr>
            </w:pPr>
            <w:r w:rsidRPr="00FA5FE8">
              <w:rPr>
                <w:lang w:val="de-DE"/>
              </w:rPr>
              <w:t xml:space="preserve">ein Satz per annum in Höhe </w:t>
            </w:r>
            <w:r w:rsidRPr="00792D61">
              <w:rPr>
                <w:b/>
                <w:lang w:val="de-DE"/>
              </w:rPr>
              <w:t>[</w:t>
            </w:r>
            <w:r w:rsidRPr="00FA5FE8">
              <w:rPr>
                <w:lang w:val="de-DE"/>
              </w:rPr>
              <w:t>der Summe aus dem</w:t>
            </w:r>
            <w:r w:rsidRPr="00792D61">
              <w:rPr>
                <w:b/>
                <w:lang w:val="de-DE"/>
              </w:rPr>
              <w:t>]</w:t>
            </w:r>
            <w:r w:rsidRPr="00FA5FE8">
              <w:rPr>
                <w:lang w:val="de-DE"/>
              </w:rPr>
              <w:t xml:space="preserve"> </w:t>
            </w:r>
            <w:r w:rsidRPr="00792D61">
              <w:rPr>
                <w:b/>
                <w:lang w:val="de-DE"/>
              </w:rPr>
              <w:t>[</w:t>
            </w:r>
            <w:r w:rsidRPr="00FA5FE8">
              <w:rPr>
                <w:lang w:val="de-DE"/>
              </w:rPr>
              <w:t>des</w:t>
            </w:r>
            <w:r w:rsidRPr="00792D61">
              <w:rPr>
                <w:b/>
                <w:lang w:val="de-DE"/>
              </w:rPr>
              <w:t>]</w:t>
            </w:r>
            <w:r w:rsidRPr="00FA5FE8">
              <w:rPr>
                <w:lang w:val="de-DE"/>
              </w:rPr>
              <w:t xml:space="preserve"> Referenzsatz</w:t>
            </w:r>
            <w:r w:rsidRPr="00792D61">
              <w:rPr>
                <w:b/>
                <w:lang w:val="de-DE"/>
              </w:rPr>
              <w:t>[</w:t>
            </w:r>
            <w:r w:rsidRPr="00FA5FE8">
              <w:rPr>
                <w:lang w:val="de-DE"/>
              </w:rPr>
              <w:t>es</w:t>
            </w:r>
            <w:r w:rsidRPr="00792D61">
              <w:rPr>
                <w:b/>
                <w:lang w:val="de-DE"/>
              </w:rPr>
              <w:t>]</w:t>
            </w:r>
            <w:r w:rsidRPr="00FA5FE8">
              <w:rPr>
                <w:lang w:val="de-DE"/>
              </w:rPr>
              <w:t xml:space="preserve"> am Zinsfeststellungstag </w:t>
            </w:r>
            <w:r w:rsidRPr="00792D61">
              <w:rPr>
                <w:b/>
                <w:lang w:val="de-DE"/>
              </w:rPr>
              <w:t>[</w:t>
            </w:r>
            <w:r w:rsidRPr="00FA5FE8">
              <w:rPr>
                <w:lang w:val="de-DE"/>
              </w:rPr>
              <w:t xml:space="preserve">und </w:t>
            </w:r>
            <w:r w:rsidRPr="00792D61">
              <w:rPr>
                <w:b/>
                <w:lang w:val="de-DE"/>
              </w:rPr>
              <w:t>[</w:t>
            </w:r>
            <w:r w:rsidRPr="00FA5FE8">
              <w:rPr>
                <w:rFonts w:ascii="Arial" w:hAnsi="Arial" w:cs="Arial"/>
                <w:lang w:val="de-DE"/>
              </w:rPr>
              <w:t>●</w:t>
            </w:r>
            <w:r w:rsidRPr="00792D61">
              <w:rPr>
                <w:b/>
                <w:lang w:val="de-DE"/>
              </w:rPr>
              <w:t>]</w:t>
            </w:r>
            <w:r w:rsidRPr="00FA5FE8">
              <w:rPr>
                <w:lang w:val="de-DE"/>
              </w:rPr>
              <w:t>% per annum</w:t>
            </w:r>
            <w:r w:rsidRPr="00792D61">
              <w:rPr>
                <w:b/>
                <w:lang w:val="de-DE"/>
              </w:rPr>
              <w:t>]</w:t>
            </w:r>
            <w:r w:rsidRPr="00FA5FE8">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P="00942FE5">
            <w:pPr>
              <w:pStyle w:val="CSBody8ptbolditalics"/>
            </w:pPr>
            <w:r w:rsidRPr="00792D61">
              <w:t>[</w:t>
            </w:r>
            <w:r w:rsidRPr="00E442D6">
              <w:t>in the case of multiple Interest Payment Dates, insert: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P="00942FE5">
            <w:pPr>
              <w:pStyle w:val="CSBody8ptbolditalics"/>
            </w:pPr>
            <w:r w:rsidRPr="00792D61">
              <w:t>[</w:t>
            </w:r>
            <w:r w:rsidRPr="006C199B">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pPr>
          </w:p>
        </w:tc>
        <w:tc>
          <w:tcPr>
            <w:tcW w:w="3315" w:type="dxa"/>
            <w:gridSpan w:val="7"/>
            <w:tcBorders>
              <w:top w:val="nil"/>
              <w:left w:val="nil"/>
              <w:bottom w:val="nil"/>
            </w:tcBorders>
            <w:shd w:val="clear" w:color="auto" w:fill="auto"/>
          </w:tcPr>
          <w:p w:rsidR="0017135D" w:rsidRPr="008043DF" w:rsidP="00942FE5">
            <w:pPr>
              <w:pStyle w:val="CSBody8pt"/>
            </w:pPr>
            <w:r w:rsidRPr="008043DF">
              <w:t xml:space="preserve">with respect to any Interest Payment Date, a rate per annum equal to </w:t>
            </w:r>
            <w:r w:rsidRPr="00792D61">
              <w:rPr>
                <w:b/>
              </w:rPr>
              <w:t>[</w:t>
            </w:r>
            <w:r w:rsidRPr="008043DF">
              <w:t>the sum of</w:t>
            </w:r>
            <w:r w:rsidRPr="00792D61">
              <w:rPr>
                <w:b/>
              </w:rPr>
              <w:t>]</w:t>
            </w:r>
            <w:r w:rsidRPr="008043DF">
              <w:t xml:space="preserve"> the Reference Rate on the relevant Interest Determination Date </w:t>
            </w:r>
            <w:r w:rsidRPr="00792D61">
              <w:rPr>
                <w:b/>
              </w:rPr>
              <w:t>[</w:t>
            </w:r>
            <w:r w:rsidRPr="008043DF">
              <w:t xml:space="preserve">and </w:t>
            </w:r>
            <w:r w:rsidRPr="00792D61">
              <w:rPr>
                <w:b/>
              </w:rPr>
              <w:t>[</w:t>
            </w:r>
            <w:r w:rsidRPr="008043DF">
              <w:rPr>
                <w:rFonts w:ascii="Arial" w:hAnsi="Arial" w:cs="Arial"/>
              </w:rPr>
              <w:t>●</w:t>
            </w:r>
            <w:r w:rsidRPr="00792D61">
              <w:rPr>
                <w:b/>
              </w:rPr>
              <w:t>]</w:t>
            </w:r>
            <w:r w:rsidRPr="008043DF">
              <w:t>% per annum</w:t>
            </w:r>
            <w:r w:rsidRPr="00792D61">
              <w:rPr>
                <w:b/>
              </w:rPr>
              <w:t>]</w:t>
            </w:r>
            <w:r w:rsidRPr="008043DF">
              <w:t>.</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792D61">
              <w:rPr>
                <w:b/>
                <w:lang w:val="de-DE"/>
              </w:rPr>
              <w:t>[</w:t>
            </w:r>
            <w:r w:rsidRPr="00FA5FE8">
              <w:rPr>
                <w:lang w:val="de-DE"/>
              </w:rPr>
              <w:t xml:space="preserve">in Bezug auf einen Zinszahlungstag ein Satz per annum in Höhe </w:t>
            </w:r>
            <w:r w:rsidRPr="00792D61">
              <w:rPr>
                <w:b/>
                <w:lang w:val="de-DE"/>
              </w:rPr>
              <w:t>[</w:t>
            </w:r>
            <w:r w:rsidRPr="00FA5FE8">
              <w:rPr>
                <w:lang w:val="de-DE"/>
              </w:rPr>
              <w:t>der Summe aus dem</w:t>
            </w:r>
            <w:r w:rsidRPr="00792D61">
              <w:rPr>
                <w:b/>
                <w:lang w:val="de-DE"/>
              </w:rPr>
              <w:t>]</w:t>
            </w:r>
            <w:r w:rsidRPr="00FA5FE8">
              <w:rPr>
                <w:lang w:val="de-DE"/>
              </w:rPr>
              <w:t xml:space="preserve"> </w:t>
            </w:r>
            <w:r w:rsidRPr="00792D61">
              <w:rPr>
                <w:b/>
                <w:lang w:val="de-DE"/>
              </w:rPr>
              <w:t>[</w:t>
            </w:r>
            <w:r w:rsidRPr="00FA5FE8">
              <w:rPr>
                <w:lang w:val="de-DE"/>
              </w:rPr>
              <w:t>des</w:t>
            </w:r>
            <w:r w:rsidRPr="00792D61">
              <w:rPr>
                <w:b/>
                <w:lang w:val="de-DE"/>
              </w:rPr>
              <w:t>]</w:t>
            </w:r>
            <w:r w:rsidRPr="00FA5FE8">
              <w:rPr>
                <w:lang w:val="de-DE"/>
              </w:rPr>
              <w:t xml:space="preserve"> Referenzsatz</w:t>
            </w:r>
            <w:r w:rsidRPr="00792D61">
              <w:rPr>
                <w:b/>
                <w:lang w:val="de-DE"/>
              </w:rPr>
              <w:t>[</w:t>
            </w:r>
            <w:r w:rsidRPr="00FA5FE8">
              <w:rPr>
                <w:lang w:val="de-DE"/>
              </w:rPr>
              <w:t>es</w:t>
            </w:r>
            <w:r w:rsidRPr="00792D61">
              <w:rPr>
                <w:b/>
                <w:lang w:val="de-DE"/>
              </w:rPr>
              <w:t>]</w:t>
            </w:r>
            <w:r w:rsidRPr="00FA5FE8">
              <w:rPr>
                <w:lang w:val="de-DE"/>
              </w:rPr>
              <w:t xml:space="preserve"> an dem jeweiligen Zinsfeststellungstag </w:t>
            </w:r>
            <w:r w:rsidRPr="00792D61">
              <w:rPr>
                <w:b/>
                <w:lang w:val="de-DE"/>
              </w:rPr>
              <w:t>[</w:t>
            </w:r>
            <w:r w:rsidRPr="00FA5FE8">
              <w:rPr>
                <w:lang w:val="de-DE"/>
              </w:rPr>
              <w:t xml:space="preserve">und </w:t>
            </w:r>
            <w:r w:rsidRPr="00792D61">
              <w:rPr>
                <w:b/>
                <w:lang w:val="de-DE"/>
              </w:rPr>
              <w:t>[</w:t>
            </w:r>
            <w:r w:rsidRPr="00FA5FE8">
              <w:rPr>
                <w:rFonts w:ascii="Arial" w:hAnsi="Arial" w:cs="Arial"/>
                <w:lang w:val="de-DE"/>
              </w:rPr>
              <w:t>●</w:t>
            </w:r>
            <w:r w:rsidRPr="00792D61">
              <w:rPr>
                <w:b/>
                <w:lang w:val="de-DE"/>
              </w:rPr>
              <w:t>]</w:t>
            </w:r>
            <w:r w:rsidRPr="00FA5FE8">
              <w:rPr>
                <w:lang w:val="de-DE"/>
              </w:rPr>
              <w:t>% per annum</w:t>
            </w:r>
            <w:r w:rsidRPr="00792D61">
              <w:rPr>
                <w:b/>
                <w:lang w:val="de-DE"/>
              </w:rPr>
              <w:t>]</w:t>
            </w:r>
            <w:r w:rsidRPr="00FA5FE8">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RPr="008043DF" w:rsidP="00942FE5">
            <w:pPr>
              <w:pStyle w:val="CSBody8ptbolditalics"/>
            </w:pPr>
            <w:r w:rsidRPr="00792D61">
              <w:t>[</w:t>
            </w:r>
            <w:r w:rsidRPr="008043DF">
              <w:t>in the case of Floored Floaters, insert: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AB5CEE" w:rsidP="00942FE5">
            <w:pPr>
              <w:pStyle w:val="CSBody8ptbolditalics"/>
            </w:pPr>
            <w:r w:rsidRPr="00792D61">
              <w:t>[</w:t>
            </w:r>
            <w:r w:rsidRPr="00AB5CEE">
              <w:t>bei Floored Floaters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pPr>
          </w:p>
        </w:tc>
        <w:tc>
          <w:tcPr>
            <w:tcW w:w="3315" w:type="dxa"/>
            <w:gridSpan w:val="7"/>
            <w:tcBorders>
              <w:top w:val="nil"/>
              <w:left w:val="nil"/>
              <w:bottom w:val="nil"/>
            </w:tcBorders>
            <w:shd w:val="clear" w:color="auto" w:fill="auto"/>
          </w:tcPr>
          <w:p w:rsidR="0017135D" w:rsidRPr="008043DF" w:rsidP="00942FE5">
            <w:pPr>
              <w:pStyle w:val="CSBody8ptbolditalics"/>
            </w:pPr>
            <w:r w:rsidRPr="00792D61">
              <w:t>[</w:t>
            </w:r>
            <w:r w:rsidRPr="008043DF">
              <w:t>in the case of one Interest Payment Date, insert: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942FE5">
            <w:pPr>
              <w:pStyle w:val="CSBody8ptbolditalics"/>
              <w:rPr>
                <w:lang w:val="de-DE"/>
              </w:rPr>
            </w:pPr>
            <w:r w:rsidRPr="00792D61">
              <w:rPr>
                <w:lang w:val="de-DE"/>
              </w:rPr>
              <w:t>[</w:t>
            </w:r>
            <w:r w:rsidRPr="00FA5FE8">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942FE5">
            <w:pPr>
              <w:pStyle w:val="CSBody8pt"/>
              <w:rPr>
                <w:lang w:val="de-DE"/>
              </w:rPr>
            </w:pPr>
          </w:p>
        </w:tc>
        <w:tc>
          <w:tcPr>
            <w:tcW w:w="3315" w:type="dxa"/>
            <w:gridSpan w:val="7"/>
            <w:tcBorders>
              <w:top w:val="nil"/>
              <w:left w:val="nil"/>
              <w:bottom w:val="nil"/>
            </w:tcBorders>
            <w:shd w:val="clear" w:color="auto" w:fill="auto"/>
          </w:tcPr>
          <w:p w:rsidR="0017135D" w:rsidP="00942FE5">
            <w:pPr>
              <w:pStyle w:val="CSBody8pt"/>
            </w:pPr>
            <w:r w:rsidRPr="008043DF">
              <w:t xml:space="preserve">a rate per annum equal to the greater of (i) the Minimum Interest Rate and (ii) </w:t>
            </w:r>
            <w:r w:rsidRPr="00792D61">
              <w:rPr>
                <w:b/>
              </w:rPr>
              <w:t>[</w:t>
            </w:r>
            <w:r w:rsidRPr="008043DF">
              <w:t>the sum of</w:t>
            </w:r>
            <w:r w:rsidRPr="00792D61">
              <w:rPr>
                <w:b/>
              </w:rPr>
              <w:t>]</w:t>
            </w:r>
            <w:r w:rsidRPr="008043DF">
              <w:t xml:space="preserve"> the Reference Rate on the Interest Determination Date </w:t>
            </w:r>
            <w:r w:rsidRPr="00792D61">
              <w:rPr>
                <w:b/>
              </w:rPr>
              <w:t>[</w:t>
            </w:r>
            <w:r w:rsidRPr="008043DF">
              <w:t xml:space="preserve">and </w:t>
            </w:r>
            <w:r w:rsidRPr="00792D61">
              <w:rPr>
                <w:b/>
              </w:rPr>
              <w:t>[</w:t>
            </w:r>
            <w:r w:rsidRPr="008043DF">
              <w:rPr>
                <w:rFonts w:ascii="Arial" w:hAnsi="Arial" w:cs="Arial"/>
              </w:rPr>
              <w:t>●</w:t>
            </w:r>
            <w:r w:rsidRPr="00792D61">
              <w:rPr>
                <w:b/>
              </w:rPr>
              <w:t>]</w:t>
            </w:r>
            <w:r w:rsidRPr="008043DF">
              <w:t>% per annum</w:t>
            </w:r>
            <w:r w:rsidRPr="00792D61">
              <w:rPr>
                <w:b/>
              </w:rPr>
              <w:t>]</w:t>
            </w:r>
            <w:r w:rsidRPr="008043DF">
              <w:t>.</w:t>
            </w:r>
            <w:r w:rsidRPr="00792D61">
              <w:rPr>
                <w:b/>
              </w:rPr>
              <w:t>]</w:t>
            </w:r>
          </w:p>
        </w:tc>
        <w:tc>
          <w:tcPr>
            <w:tcW w:w="1618" w:type="dxa"/>
            <w:gridSpan w:val="2"/>
            <w:tcBorders>
              <w:top w:val="nil"/>
              <w:bottom w:val="nil"/>
              <w:right w:val="nil"/>
            </w:tcBorders>
            <w:shd w:val="clear" w:color="auto" w:fill="auto"/>
          </w:tcPr>
          <w:p w:rsidR="0017135D" w:rsidRPr="00FA5FE8" w:rsidP="00942FE5">
            <w:pPr>
              <w:pStyle w:val="CSBody8pt"/>
            </w:pPr>
          </w:p>
        </w:tc>
        <w:tc>
          <w:tcPr>
            <w:tcW w:w="3318" w:type="dxa"/>
            <w:gridSpan w:val="10"/>
            <w:tcBorders>
              <w:top w:val="nil"/>
              <w:left w:val="nil"/>
              <w:bottom w:val="nil"/>
              <w:right w:val="nil"/>
            </w:tcBorders>
            <w:shd w:val="clear" w:color="auto" w:fill="auto"/>
          </w:tcPr>
          <w:p w:rsidR="0017135D" w:rsidRPr="00FA5FE8" w:rsidP="00942FE5">
            <w:pPr>
              <w:pStyle w:val="CSBody8pt"/>
              <w:rPr>
                <w:lang w:val="de-DE"/>
              </w:rPr>
            </w:pPr>
            <w:r w:rsidRPr="00FA5FE8">
              <w:rPr>
                <w:lang w:val="de-DE"/>
              </w:rPr>
              <w:t xml:space="preserve">ein Satz per annum in Höhe des jeweils grösseren der folgenden Beträge: (i) der Mindestzinssatz oder (ii) </w:t>
            </w:r>
            <w:r w:rsidRPr="00792D61">
              <w:rPr>
                <w:b/>
                <w:lang w:val="de-DE"/>
              </w:rPr>
              <w:t>[</w:t>
            </w:r>
            <w:r w:rsidRPr="00FA5FE8">
              <w:rPr>
                <w:lang w:val="de-DE"/>
              </w:rPr>
              <w:t>die Summe aus dem</w:t>
            </w:r>
            <w:r w:rsidRPr="00792D61">
              <w:rPr>
                <w:b/>
                <w:lang w:val="de-DE"/>
              </w:rPr>
              <w:t>]</w:t>
            </w:r>
            <w:r w:rsidRPr="00FA5FE8">
              <w:rPr>
                <w:lang w:val="de-DE"/>
              </w:rPr>
              <w:t xml:space="preserve"> </w:t>
            </w:r>
            <w:r w:rsidRPr="00792D61">
              <w:rPr>
                <w:b/>
                <w:lang w:val="de-DE"/>
              </w:rPr>
              <w:t>[</w:t>
            </w:r>
            <w:r w:rsidRPr="00FA5FE8">
              <w:rPr>
                <w:lang w:val="de-DE"/>
              </w:rPr>
              <w:t>der</w:t>
            </w:r>
            <w:r w:rsidRPr="00792D61">
              <w:rPr>
                <w:b/>
                <w:lang w:val="de-DE"/>
              </w:rPr>
              <w:t>]</w:t>
            </w:r>
            <w:r w:rsidRPr="00FA5FE8">
              <w:rPr>
                <w:lang w:val="de-DE"/>
              </w:rPr>
              <w:t xml:space="preserve"> Referenzsatz am Zinsfeststellungstag </w:t>
            </w:r>
            <w:r w:rsidRPr="00792D61">
              <w:rPr>
                <w:b/>
                <w:lang w:val="de-DE"/>
              </w:rPr>
              <w:t>[</w:t>
            </w:r>
            <w:r w:rsidRPr="00FA5FE8">
              <w:rPr>
                <w:lang w:val="de-DE"/>
              </w:rPr>
              <w:t xml:space="preserve">und </w:t>
            </w:r>
            <w:r w:rsidRPr="00792D61">
              <w:rPr>
                <w:b/>
                <w:lang w:val="de-DE"/>
              </w:rPr>
              <w:t>[</w:t>
            </w:r>
            <w:r w:rsidRPr="00FA5FE8">
              <w:rPr>
                <w:rFonts w:ascii="Arial" w:hAnsi="Arial" w:cs="Arial"/>
                <w:lang w:val="de-DE"/>
              </w:rPr>
              <w:t>●</w:t>
            </w:r>
            <w:r w:rsidRPr="00792D61">
              <w:rPr>
                <w:b/>
                <w:lang w:val="de-DE"/>
              </w:rPr>
              <w:t>]</w:t>
            </w:r>
            <w:r w:rsidRPr="00FA5FE8">
              <w:rPr>
                <w:lang w:val="de-DE"/>
              </w:rPr>
              <w:t>% per annum</w:t>
            </w:r>
            <w:r w:rsidRPr="00792D61">
              <w:rPr>
                <w:b/>
                <w:lang w:val="de-DE"/>
              </w:rPr>
              <w:t>]</w:t>
            </w:r>
            <w:r w:rsidRPr="00FA5FE8">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5FE8" w:rsidP="00A457E7">
            <w:pPr>
              <w:pStyle w:val="CSBody0"/>
              <w:rPr>
                <w:lang w:val="de-DE"/>
              </w:rPr>
            </w:pPr>
          </w:p>
        </w:tc>
        <w:tc>
          <w:tcPr>
            <w:tcW w:w="3315" w:type="dxa"/>
            <w:gridSpan w:val="7"/>
            <w:tcBorders>
              <w:top w:val="nil"/>
              <w:left w:val="nil"/>
              <w:bottom w:val="nil"/>
            </w:tcBorders>
            <w:shd w:val="clear" w:color="auto" w:fill="auto"/>
          </w:tcPr>
          <w:p w:rsidR="0017135D" w:rsidRPr="004D5892" w:rsidP="00942FE5">
            <w:pPr>
              <w:pStyle w:val="CSBody8ptbolditalics"/>
            </w:pPr>
            <w:r w:rsidRPr="00792D61">
              <w:t>[</w:t>
            </w:r>
            <w:r w:rsidRPr="004D5892">
              <w:t>in the case of multiple Interest Payment Dates, insert:</w:t>
            </w:r>
          </w:p>
        </w:tc>
        <w:tc>
          <w:tcPr>
            <w:tcW w:w="1618" w:type="dxa"/>
            <w:gridSpan w:val="2"/>
            <w:tcBorders>
              <w:top w:val="nil"/>
              <w:bottom w:val="nil"/>
              <w:right w:val="nil"/>
            </w:tcBorders>
            <w:shd w:val="clear" w:color="auto" w:fill="auto"/>
          </w:tcPr>
          <w:p w:rsidR="0017135D" w:rsidRPr="00923F73" w:rsidP="00942FE5">
            <w:pPr>
              <w:pStyle w:val="CSBody8ptbolditalics"/>
            </w:pPr>
          </w:p>
        </w:tc>
        <w:tc>
          <w:tcPr>
            <w:tcW w:w="3318" w:type="dxa"/>
            <w:gridSpan w:val="10"/>
            <w:tcBorders>
              <w:top w:val="nil"/>
              <w:left w:val="nil"/>
              <w:bottom w:val="nil"/>
              <w:right w:val="nil"/>
            </w:tcBorders>
            <w:shd w:val="clear" w:color="auto" w:fill="auto"/>
          </w:tcPr>
          <w:p w:rsidR="0017135D" w:rsidRPr="00326C4A" w:rsidP="00942FE5">
            <w:pPr>
              <w:pStyle w:val="CSBody8ptbolditalics"/>
            </w:pPr>
            <w:r w:rsidRPr="00792D61">
              <w:t>[</w:t>
            </w:r>
            <w:r w:rsidRPr="00326C4A">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23F73" w:rsidP="00942FE5">
            <w:pPr>
              <w:pStyle w:val="CSBody8pt"/>
            </w:pPr>
          </w:p>
        </w:tc>
        <w:tc>
          <w:tcPr>
            <w:tcW w:w="3315" w:type="dxa"/>
            <w:gridSpan w:val="7"/>
            <w:tcBorders>
              <w:top w:val="nil"/>
              <w:left w:val="nil"/>
              <w:bottom w:val="nil"/>
            </w:tcBorders>
            <w:shd w:val="clear" w:color="auto" w:fill="auto"/>
          </w:tcPr>
          <w:p w:rsidR="0017135D" w:rsidRPr="004D5892" w:rsidP="00942FE5">
            <w:pPr>
              <w:pStyle w:val="CSBody8pt"/>
            </w:pPr>
            <w:r w:rsidRPr="004D5892">
              <w:t xml:space="preserve">with respect to any Interest Payment Date, a rate per annum equal to the greater of (i) the </w:t>
            </w:r>
            <w:r w:rsidRPr="00792D61">
              <w:rPr>
                <w:b/>
              </w:rPr>
              <w:t>[</w:t>
            </w:r>
            <w:r w:rsidRPr="004D5892">
              <w:t>relevant</w:t>
            </w:r>
            <w:r w:rsidRPr="00792D61">
              <w:rPr>
                <w:b/>
              </w:rPr>
              <w:t>]</w:t>
            </w:r>
            <w:r w:rsidRPr="004D5892">
              <w:t xml:space="preserve"> Minimum Interest Rate and (ii) </w:t>
            </w:r>
            <w:r w:rsidRPr="00792D61">
              <w:rPr>
                <w:b/>
              </w:rPr>
              <w:t>[</w:t>
            </w:r>
            <w:r w:rsidRPr="004D5892">
              <w:t>the sum of</w:t>
            </w:r>
            <w:r w:rsidRPr="00792D61">
              <w:rPr>
                <w:b/>
              </w:rPr>
              <w:t>]</w:t>
            </w:r>
            <w:r w:rsidRPr="004D5892">
              <w:t xml:space="preserve"> the Reference Rate on the relevant Interest Determination Date </w:t>
            </w:r>
            <w:r w:rsidRPr="00792D61">
              <w:rPr>
                <w:b/>
              </w:rPr>
              <w:t>[</w:t>
            </w:r>
            <w:r w:rsidRPr="004D5892">
              <w:t xml:space="preserve">and </w:t>
            </w:r>
            <w:r w:rsidRPr="00792D61">
              <w:rPr>
                <w:b/>
              </w:rPr>
              <w:t>[</w:t>
            </w:r>
            <w:r w:rsidRPr="004D5892">
              <w:rPr>
                <w:rFonts w:ascii="Arial" w:hAnsi="Arial" w:cs="Arial"/>
              </w:rPr>
              <w:t>●</w:t>
            </w:r>
            <w:r w:rsidRPr="00792D61">
              <w:rPr>
                <w:b/>
              </w:rPr>
              <w:t>]</w:t>
            </w:r>
            <w:r w:rsidRPr="004D5892">
              <w:t>% per annum</w:t>
            </w:r>
            <w:r w:rsidRPr="00792D61">
              <w:rPr>
                <w:b/>
              </w:rPr>
              <w:t>]</w:t>
            </w:r>
            <w:r w:rsidRPr="004D5892">
              <w:t>.</w:t>
            </w:r>
            <w:r w:rsidRPr="00792D61">
              <w:rPr>
                <w:b/>
              </w:rPr>
              <w:t>]]</w:t>
            </w:r>
          </w:p>
        </w:tc>
        <w:tc>
          <w:tcPr>
            <w:tcW w:w="1618" w:type="dxa"/>
            <w:gridSpan w:val="2"/>
            <w:tcBorders>
              <w:top w:val="nil"/>
              <w:bottom w:val="nil"/>
              <w:right w:val="nil"/>
            </w:tcBorders>
            <w:shd w:val="clear" w:color="auto" w:fill="auto"/>
          </w:tcPr>
          <w:p w:rsidR="0017135D" w:rsidRPr="00923F73" w:rsidP="00942FE5">
            <w:pPr>
              <w:pStyle w:val="CSBody8pt"/>
            </w:pPr>
          </w:p>
        </w:tc>
        <w:tc>
          <w:tcPr>
            <w:tcW w:w="3318" w:type="dxa"/>
            <w:gridSpan w:val="10"/>
            <w:tcBorders>
              <w:top w:val="nil"/>
              <w:left w:val="nil"/>
              <w:bottom w:val="nil"/>
              <w:right w:val="nil"/>
            </w:tcBorders>
            <w:shd w:val="clear" w:color="auto" w:fill="auto"/>
          </w:tcPr>
          <w:p w:rsidR="0017135D" w:rsidRPr="00923F73" w:rsidP="00516CB4">
            <w:pPr>
              <w:pStyle w:val="CSBody8pt"/>
              <w:rPr>
                <w:lang w:val="de-DE"/>
              </w:rPr>
            </w:pPr>
            <w:r w:rsidRPr="00923F73">
              <w:rPr>
                <w:lang w:val="de-DE"/>
              </w:rPr>
              <w:t>in Bezug auf einen Zinszahlungstag ein Satz per annum in Höhe des jeweils grösseren der folgenden Beträ</w:t>
            </w:r>
            <w:r>
              <w:rPr>
                <w:lang w:val="de-DE"/>
              </w:rPr>
              <w:t xml:space="preserve">ge: (i) der </w:t>
            </w:r>
            <w:r w:rsidRPr="00792D61">
              <w:rPr>
                <w:b/>
                <w:lang w:val="de-DE"/>
              </w:rPr>
              <w:t>[</w:t>
            </w:r>
            <w:r>
              <w:rPr>
                <w:lang w:val="de-DE"/>
              </w:rPr>
              <w:t>jeweilige</w:t>
            </w:r>
            <w:r w:rsidRPr="00792D61">
              <w:rPr>
                <w:b/>
                <w:lang w:val="de-DE"/>
              </w:rPr>
              <w:t>]</w:t>
            </w:r>
            <w:r>
              <w:rPr>
                <w:lang w:val="de-DE"/>
              </w:rPr>
              <w:t xml:space="preserve"> Mindestz</w:t>
            </w:r>
            <w:r w:rsidRPr="00923F73">
              <w:rPr>
                <w:lang w:val="de-DE"/>
              </w:rPr>
              <w:t xml:space="preserve">inssatz oder (ii) </w:t>
            </w:r>
            <w:r w:rsidRPr="00792D61">
              <w:rPr>
                <w:b/>
                <w:lang w:val="de-DE"/>
              </w:rPr>
              <w:t>[</w:t>
            </w:r>
            <w:r w:rsidRPr="00923F73">
              <w:rPr>
                <w:lang w:val="de-DE"/>
              </w:rPr>
              <w:t>die Summe aus dem</w:t>
            </w:r>
            <w:r w:rsidRPr="00792D61">
              <w:rPr>
                <w:b/>
                <w:lang w:val="de-DE"/>
              </w:rPr>
              <w:t>]</w:t>
            </w:r>
            <w:r w:rsidRPr="00923F73">
              <w:rPr>
                <w:lang w:val="de-DE"/>
              </w:rPr>
              <w:t xml:space="preserve"> </w:t>
            </w:r>
            <w:r w:rsidRPr="00792D61">
              <w:rPr>
                <w:b/>
                <w:lang w:val="de-DE"/>
              </w:rPr>
              <w:t>[</w:t>
            </w:r>
            <w:r w:rsidRPr="00923F73">
              <w:rPr>
                <w:lang w:val="de-DE"/>
              </w:rPr>
              <w:t>der</w:t>
            </w:r>
            <w:r w:rsidRPr="00792D61">
              <w:rPr>
                <w:b/>
                <w:lang w:val="de-DE"/>
              </w:rPr>
              <w:t>]</w:t>
            </w:r>
            <w:r w:rsidRPr="00923F73">
              <w:rPr>
                <w:lang w:val="de-DE"/>
              </w:rPr>
              <w:t xml:space="preserve"> Referenzsatz an dem jeweiligen Zinsfeststellungstag </w:t>
            </w:r>
            <w:r w:rsidRPr="00792D61">
              <w:rPr>
                <w:b/>
                <w:lang w:val="de-DE"/>
              </w:rPr>
              <w:t>[</w:t>
            </w:r>
            <w:r w:rsidRPr="00923F73">
              <w:rPr>
                <w:lang w:val="de-DE"/>
              </w:rPr>
              <w:t xml:space="preserve">und </w:t>
            </w:r>
            <w:r w:rsidRPr="00792D61">
              <w:rPr>
                <w:b/>
                <w:lang w:val="de-DE"/>
              </w:rPr>
              <w:t>[</w:t>
            </w:r>
            <w:r w:rsidRPr="00923F73">
              <w:rPr>
                <w:rFonts w:ascii="Arial" w:hAnsi="Arial" w:cs="Arial"/>
                <w:lang w:val="de-DE"/>
              </w:rPr>
              <w:t>●</w:t>
            </w:r>
            <w:r w:rsidRPr="00792D61">
              <w:rPr>
                <w:b/>
                <w:lang w:val="de-DE"/>
              </w:rPr>
              <w:t>]</w:t>
            </w:r>
            <w:r w:rsidRPr="00923F73">
              <w:rPr>
                <w:lang w:val="de-DE"/>
              </w:rPr>
              <w:t>% per annum</w:t>
            </w:r>
            <w:r w:rsidRPr="00792D61">
              <w:rPr>
                <w:b/>
                <w:lang w:val="de-DE"/>
              </w:rPr>
              <w:t>]</w:t>
            </w:r>
            <w:r w:rsidRPr="00923F73">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23F73" w:rsidP="00A457E7">
            <w:pPr>
              <w:pStyle w:val="CSBody0"/>
              <w:rPr>
                <w:lang w:val="de-DE"/>
              </w:rPr>
            </w:pPr>
          </w:p>
        </w:tc>
        <w:tc>
          <w:tcPr>
            <w:tcW w:w="3315" w:type="dxa"/>
            <w:gridSpan w:val="7"/>
            <w:tcBorders>
              <w:top w:val="nil"/>
              <w:left w:val="nil"/>
              <w:bottom w:val="nil"/>
            </w:tcBorders>
            <w:shd w:val="clear" w:color="auto" w:fill="auto"/>
          </w:tcPr>
          <w:p w:rsidR="0017135D" w:rsidRPr="004D5892" w:rsidP="00942FE5">
            <w:pPr>
              <w:pStyle w:val="CSBody8ptbolditalics"/>
            </w:pPr>
            <w:r w:rsidRPr="00792D61">
              <w:t>[</w:t>
            </w:r>
            <w:r w:rsidRPr="004D5892">
              <w:t>in the case of Capped Floaters, insert:</w:t>
            </w:r>
          </w:p>
        </w:tc>
        <w:tc>
          <w:tcPr>
            <w:tcW w:w="1618" w:type="dxa"/>
            <w:gridSpan w:val="2"/>
            <w:tcBorders>
              <w:top w:val="nil"/>
              <w:bottom w:val="nil"/>
              <w:right w:val="nil"/>
            </w:tcBorders>
            <w:shd w:val="clear" w:color="auto" w:fill="auto"/>
          </w:tcPr>
          <w:p w:rsidR="0017135D" w:rsidRPr="00923F73" w:rsidP="00E60155">
            <w:pPr>
              <w:pStyle w:val="CSBody0"/>
            </w:pPr>
          </w:p>
        </w:tc>
        <w:tc>
          <w:tcPr>
            <w:tcW w:w="3318" w:type="dxa"/>
            <w:gridSpan w:val="10"/>
            <w:tcBorders>
              <w:top w:val="nil"/>
              <w:left w:val="nil"/>
              <w:bottom w:val="nil"/>
              <w:right w:val="nil"/>
            </w:tcBorders>
            <w:shd w:val="clear" w:color="auto" w:fill="auto"/>
          </w:tcPr>
          <w:p w:rsidR="0017135D" w:rsidRPr="00326C4A" w:rsidP="00942FE5">
            <w:pPr>
              <w:pStyle w:val="CSBody8ptbolditalics"/>
            </w:pPr>
            <w:r w:rsidRPr="00792D61">
              <w:t>[</w:t>
            </w:r>
            <w:r w:rsidRPr="00326C4A">
              <w:t>bei Capped Floaters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23F73" w:rsidP="00A457E7">
            <w:pPr>
              <w:pStyle w:val="CSBody0"/>
            </w:pPr>
          </w:p>
        </w:tc>
        <w:tc>
          <w:tcPr>
            <w:tcW w:w="3315" w:type="dxa"/>
            <w:gridSpan w:val="7"/>
            <w:tcBorders>
              <w:top w:val="nil"/>
              <w:left w:val="nil"/>
              <w:bottom w:val="nil"/>
            </w:tcBorders>
            <w:shd w:val="clear" w:color="auto" w:fill="auto"/>
          </w:tcPr>
          <w:p w:rsidR="0017135D" w:rsidP="00942FE5">
            <w:pPr>
              <w:pStyle w:val="CSBody8ptbolditalics"/>
            </w:pPr>
            <w:r w:rsidRPr="00792D61">
              <w:t>[</w:t>
            </w:r>
            <w:r w:rsidRPr="004D5892">
              <w:t>in the case of one Interest Payment Date, insert:</w:t>
            </w:r>
          </w:p>
        </w:tc>
        <w:tc>
          <w:tcPr>
            <w:tcW w:w="1618" w:type="dxa"/>
            <w:gridSpan w:val="2"/>
            <w:tcBorders>
              <w:top w:val="nil"/>
              <w:bottom w:val="nil"/>
              <w:right w:val="nil"/>
            </w:tcBorders>
            <w:shd w:val="clear" w:color="auto" w:fill="auto"/>
          </w:tcPr>
          <w:p w:rsidR="0017135D" w:rsidRPr="00923F73" w:rsidP="00E60155">
            <w:pPr>
              <w:pStyle w:val="CSBody0"/>
            </w:pPr>
          </w:p>
        </w:tc>
        <w:tc>
          <w:tcPr>
            <w:tcW w:w="3318" w:type="dxa"/>
            <w:gridSpan w:val="10"/>
            <w:tcBorders>
              <w:top w:val="nil"/>
              <w:left w:val="nil"/>
              <w:bottom w:val="nil"/>
              <w:right w:val="nil"/>
            </w:tcBorders>
            <w:shd w:val="clear" w:color="auto" w:fill="auto"/>
          </w:tcPr>
          <w:p w:rsidR="0017135D" w:rsidRPr="00923F73" w:rsidP="00942FE5">
            <w:pPr>
              <w:pStyle w:val="CSBody8ptbolditalics"/>
              <w:rPr>
                <w:lang w:val="de-DE"/>
              </w:rPr>
            </w:pPr>
            <w:r w:rsidRPr="00792D61">
              <w:rPr>
                <w:lang w:val="de-DE"/>
              </w:rPr>
              <w:t>[</w:t>
            </w:r>
            <w:r w:rsidRPr="00923F73">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23F73" w:rsidP="00942FE5">
            <w:pPr>
              <w:pStyle w:val="CSBody8pt"/>
              <w:rPr>
                <w:lang w:val="de-DE"/>
              </w:rPr>
            </w:pPr>
          </w:p>
        </w:tc>
        <w:tc>
          <w:tcPr>
            <w:tcW w:w="3315" w:type="dxa"/>
            <w:gridSpan w:val="7"/>
            <w:tcBorders>
              <w:top w:val="nil"/>
              <w:left w:val="nil"/>
              <w:bottom w:val="nil"/>
            </w:tcBorders>
            <w:shd w:val="clear" w:color="auto" w:fill="auto"/>
          </w:tcPr>
          <w:p w:rsidR="0017135D" w:rsidRPr="00B74A61" w:rsidP="00942FE5">
            <w:pPr>
              <w:pStyle w:val="CSBody8pt"/>
            </w:pPr>
            <w:r w:rsidRPr="00B74A61">
              <w:t xml:space="preserve">a rate per annum equal to the lesser of (i) the Maximum Interest Rate and (ii) </w:t>
            </w:r>
            <w:r w:rsidRPr="00792D61">
              <w:rPr>
                <w:b/>
              </w:rPr>
              <w:t>[</w:t>
            </w:r>
            <w:r w:rsidRPr="00B74A61">
              <w:t>the sum of</w:t>
            </w:r>
            <w:r w:rsidRPr="00792D61">
              <w:rPr>
                <w:b/>
              </w:rPr>
              <w:t>]</w:t>
            </w:r>
            <w:r w:rsidRPr="00B74A61">
              <w:t xml:space="preserve"> the Reference Rate on the Interest Determination Date </w:t>
            </w:r>
            <w:r w:rsidRPr="00792D61">
              <w:rPr>
                <w:b/>
              </w:rPr>
              <w:t>[</w:t>
            </w:r>
            <w:r w:rsidRPr="00B74A61">
              <w:t xml:space="preserve">and </w:t>
            </w:r>
            <w:r w:rsidRPr="00792D61">
              <w:rPr>
                <w:b/>
              </w:rPr>
              <w:t>[</w:t>
            </w:r>
            <w:r w:rsidRPr="00B74A61">
              <w:rPr>
                <w:rFonts w:ascii="Arial" w:hAnsi="Arial" w:cs="Arial"/>
              </w:rPr>
              <w:t>●</w:t>
            </w:r>
            <w:r w:rsidRPr="00792D61">
              <w:rPr>
                <w:b/>
              </w:rPr>
              <w:t>]</w:t>
            </w:r>
            <w:r w:rsidRPr="00B74A61">
              <w:t>% per annum</w:t>
            </w:r>
            <w:r w:rsidRPr="00792D61">
              <w:rPr>
                <w:b/>
              </w:rPr>
              <w:t>]</w:t>
            </w:r>
            <w:r w:rsidRPr="00B74A61">
              <w:t>.</w:t>
            </w:r>
            <w:r w:rsidRPr="00792D61">
              <w:rPr>
                <w:b/>
              </w:rPr>
              <w:t>]</w:t>
            </w:r>
          </w:p>
        </w:tc>
        <w:tc>
          <w:tcPr>
            <w:tcW w:w="1618" w:type="dxa"/>
            <w:gridSpan w:val="2"/>
            <w:tcBorders>
              <w:top w:val="nil"/>
              <w:bottom w:val="nil"/>
              <w:right w:val="nil"/>
            </w:tcBorders>
            <w:shd w:val="clear" w:color="auto" w:fill="auto"/>
          </w:tcPr>
          <w:p w:rsidR="0017135D" w:rsidRPr="00A60665" w:rsidP="00942FE5">
            <w:pPr>
              <w:pStyle w:val="CSBody8pt"/>
            </w:pPr>
          </w:p>
        </w:tc>
        <w:tc>
          <w:tcPr>
            <w:tcW w:w="3318" w:type="dxa"/>
            <w:gridSpan w:val="10"/>
            <w:tcBorders>
              <w:top w:val="nil"/>
              <w:left w:val="nil"/>
              <w:bottom w:val="nil"/>
              <w:right w:val="nil"/>
            </w:tcBorders>
            <w:shd w:val="clear" w:color="auto" w:fill="auto"/>
          </w:tcPr>
          <w:p w:rsidR="0017135D" w:rsidRPr="00A60665" w:rsidP="00942FE5">
            <w:pPr>
              <w:pStyle w:val="CSBody8pt"/>
              <w:rPr>
                <w:lang w:val="de-DE"/>
              </w:rPr>
            </w:pPr>
            <w:r w:rsidRPr="00A60665">
              <w:rPr>
                <w:lang w:val="de-DE"/>
              </w:rPr>
              <w:t xml:space="preserve">ein Satz per annum in Höhe des jeweils kleineren der folgenden Beträge: (i) der Höchstzinssatz oder (ii) </w:t>
            </w:r>
            <w:r w:rsidRPr="00792D61">
              <w:rPr>
                <w:b/>
                <w:lang w:val="de-DE"/>
              </w:rPr>
              <w:t>[</w:t>
            </w:r>
            <w:r w:rsidRPr="00A60665">
              <w:rPr>
                <w:lang w:val="de-DE"/>
              </w:rPr>
              <w:t>die Summe aus dem</w:t>
            </w:r>
            <w:r w:rsidRPr="00792D61">
              <w:rPr>
                <w:b/>
                <w:lang w:val="de-DE"/>
              </w:rPr>
              <w:t>]</w:t>
            </w:r>
            <w:r w:rsidRPr="00A60665">
              <w:rPr>
                <w:lang w:val="de-DE"/>
              </w:rPr>
              <w:t xml:space="preserve"> </w:t>
            </w:r>
            <w:r w:rsidRPr="00792D61">
              <w:rPr>
                <w:b/>
                <w:lang w:val="de-DE"/>
              </w:rPr>
              <w:t>[</w:t>
            </w:r>
            <w:r w:rsidRPr="00A60665">
              <w:rPr>
                <w:lang w:val="de-DE"/>
              </w:rPr>
              <w:t>der</w:t>
            </w:r>
            <w:r w:rsidRPr="00792D61">
              <w:rPr>
                <w:b/>
                <w:lang w:val="de-DE"/>
              </w:rPr>
              <w:t>]</w:t>
            </w:r>
            <w:r w:rsidRPr="00A60665">
              <w:rPr>
                <w:lang w:val="de-DE"/>
              </w:rPr>
              <w:t xml:space="preserve"> Referenzsatz am Zinsfeststellungstag </w:t>
            </w:r>
            <w:r w:rsidRPr="00792D61">
              <w:rPr>
                <w:b/>
                <w:lang w:val="de-DE"/>
              </w:rPr>
              <w:t>[</w:t>
            </w:r>
            <w:r w:rsidRPr="00A60665">
              <w:rPr>
                <w:lang w:val="de-DE"/>
              </w:rPr>
              <w:t xml:space="preserve">und </w:t>
            </w:r>
            <w:r w:rsidRPr="00792D61">
              <w:rPr>
                <w:b/>
                <w:lang w:val="de-DE"/>
              </w:rPr>
              <w:t>[</w:t>
            </w:r>
            <w:r w:rsidRPr="00A60665">
              <w:rPr>
                <w:rFonts w:ascii="Arial" w:hAnsi="Arial" w:cs="Arial"/>
                <w:lang w:val="de-DE"/>
              </w:rPr>
              <w:t>●</w:t>
            </w:r>
            <w:r w:rsidRPr="00792D61">
              <w:rPr>
                <w:b/>
                <w:lang w:val="de-DE"/>
              </w:rPr>
              <w:t>]</w:t>
            </w:r>
            <w:r w:rsidRPr="00A60665">
              <w:rPr>
                <w:lang w:val="de-DE"/>
              </w:rPr>
              <w:t>% per annum</w:t>
            </w:r>
            <w:r w:rsidRPr="00792D61">
              <w:rPr>
                <w:b/>
                <w:lang w:val="de-DE"/>
              </w:rPr>
              <w:t>]</w:t>
            </w:r>
            <w:r w:rsidRPr="00A60665">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A457E7">
            <w:pPr>
              <w:pStyle w:val="CSBody0"/>
              <w:rPr>
                <w:b/>
                <w:lang w:val="de-DE"/>
              </w:rPr>
            </w:pPr>
          </w:p>
        </w:tc>
        <w:tc>
          <w:tcPr>
            <w:tcW w:w="3315" w:type="dxa"/>
            <w:gridSpan w:val="7"/>
            <w:tcBorders>
              <w:top w:val="nil"/>
              <w:left w:val="nil"/>
              <w:bottom w:val="nil"/>
            </w:tcBorders>
            <w:shd w:val="clear" w:color="auto" w:fill="auto"/>
          </w:tcPr>
          <w:p w:rsidR="0017135D" w:rsidRPr="00B74A61" w:rsidP="00942FE5">
            <w:pPr>
              <w:pStyle w:val="CSBody8ptbolditalics"/>
            </w:pPr>
            <w:r w:rsidRPr="00792D61">
              <w:t>[</w:t>
            </w:r>
            <w:r w:rsidRPr="00B74A61">
              <w:t>in the case of multiple Interest Payment Dates, insert:</w:t>
            </w:r>
          </w:p>
        </w:tc>
        <w:tc>
          <w:tcPr>
            <w:tcW w:w="1618" w:type="dxa"/>
            <w:gridSpan w:val="2"/>
            <w:tcBorders>
              <w:top w:val="nil"/>
              <w:bottom w:val="nil"/>
              <w:right w:val="nil"/>
            </w:tcBorders>
            <w:shd w:val="clear" w:color="auto" w:fill="auto"/>
          </w:tcPr>
          <w:p w:rsidR="0017135D" w:rsidRPr="00A60665" w:rsidP="00942FE5">
            <w:pPr>
              <w:pStyle w:val="CSBody8ptbolditalics"/>
            </w:pPr>
          </w:p>
        </w:tc>
        <w:tc>
          <w:tcPr>
            <w:tcW w:w="3318" w:type="dxa"/>
            <w:gridSpan w:val="10"/>
            <w:tcBorders>
              <w:top w:val="nil"/>
              <w:left w:val="nil"/>
              <w:bottom w:val="nil"/>
              <w:right w:val="nil"/>
            </w:tcBorders>
            <w:shd w:val="clear" w:color="auto" w:fill="auto"/>
          </w:tcPr>
          <w:p w:rsidR="0017135D" w:rsidRPr="00A62CDC" w:rsidP="00942FE5">
            <w:pPr>
              <w:pStyle w:val="CSBody8ptbolditalics"/>
            </w:pPr>
            <w:r w:rsidRPr="00792D61">
              <w:t>[</w:t>
            </w:r>
            <w:r w:rsidRPr="00A62CDC">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942FE5">
            <w:pPr>
              <w:pStyle w:val="CSBody8pt"/>
            </w:pPr>
          </w:p>
        </w:tc>
        <w:tc>
          <w:tcPr>
            <w:tcW w:w="3315" w:type="dxa"/>
            <w:gridSpan w:val="7"/>
            <w:tcBorders>
              <w:top w:val="nil"/>
              <w:left w:val="nil"/>
              <w:bottom w:val="nil"/>
            </w:tcBorders>
            <w:shd w:val="clear" w:color="auto" w:fill="auto"/>
          </w:tcPr>
          <w:p w:rsidR="0017135D" w:rsidRPr="00B74A61" w:rsidP="00942FE5">
            <w:pPr>
              <w:pStyle w:val="CSBody8pt"/>
            </w:pPr>
            <w:r w:rsidRPr="00B74A61">
              <w:t xml:space="preserve">with respect to any Interest Payment Date, a rate per annum equal to the lesser of (i) the </w:t>
            </w:r>
            <w:r w:rsidRPr="00792D61">
              <w:rPr>
                <w:b/>
              </w:rPr>
              <w:t>[</w:t>
            </w:r>
            <w:r w:rsidRPr="00B74A61">
              <w:t>relevant</w:t>
            </w:r>
            <w:r w:rsidRPr="00792D61">
              <w:rPr>
                <w:b/>
              </w:rPr>
              <w:t>]</w:t>
            </w:r>
            <w:r w:rsidRPr="00B74A61">
              <w:t xml:space="preserve"> Maximum Interest Rate and (ii) </w:t>
            </w:r>
            <w:r w:rsidRPr="00792D61">
              <w:rPr>
                <w:b/>
              </w:rPr>
              <w:t>[</w:t>
            </w:r>
            <w:r w:rsidRPr="00B74A61">
              <w:t>the sum of</w:t>
            </w:r>
            <w:r w:rsidRPr="00792D61">
              <w:rPr>
                <w:b/>
              </w:rPr>
              <w:t>]</w:t>
            </w:r>
            <w:r w:rsidRPr="00B74A61">
              <w:t xml:space="preserve"> the Reference Rate on the relevant Interest Determination Date </w:t>
            </w:r>
            <w:r w:rsidRPr="00792D61">
              <w:rPr>
                <w:b/>
              </w:rPr>
              <w:t>[</w:t>
            </w:r>
            <w:r w:rsidRPr="00B74A61">
              <w:t xml:space="preserve">and </w:t>
            </w:r>
            <w:r w:rsidRPr="00792D61">
              <w:rPr>
                <w:b/>
              </w:rPr>
              <w:t>[</w:t>
            </w:r>
            <w:r w:rsidRPr="00B74A61">
              <w:rPr>
                <w:rFonts w:ascii="Arial" w:hAnsi="Arial" w:cs="Arial"/>
              </w:rPr>
              <w:t>●</w:t>
            </w:r>
            <w:r w:rsidRPr="00792D61">
              <w:rPr>
                <w:b/>
              </w:rPr>
              <w:t>]</w:t>
            </w:r>
            <w:r w:rsidRPr="00B74A61">
              <w:t>% per annum</w:t>
            </w:r>
            <w:r w:rsidRPr="00792D61">
              <w:rPr>
                <w:b/>
              </w:rPr>
              <w:t>]</w:t>
            </w:r>
            <w:r w:rsidRPr="00B74A61">
              <w:t>.</w:t>
            </w:r>
            <w:r w:rsidRPr="00792D61">
              <w:rPr>
                <w:b/>
              </w:rPr>
              <w:t>]]</w:t>
            </w:r>
          </w:p>
        </w:tc>
        <w:tc>
          <w:tcPr>
            <w:tcW w:w="1618" w:type="dxa"/>
            <w:gridSpan w:val="2"/>
            <w:tcBorders>
              <w:top w:val="nil"/>
              <w:bottom w:val="nil"/>
              <w:right w:val="nil"/>
            </w:tcBorders>
            <w:shd w:val="clear" w:color="auto" w:fill="auto"/>
          </w:tcPr>
          <w:p w:rsidR="0017135D" w:rsidRPr="00A60665" w:rsidP="00942FE5">
            <w:pPr>
              <w:pStyle w:val="CSBody8pt"/>
              <w:rPr>
                <w:i/>
              </w:rPr>
            </w:pPr>
          </w:p>
        </w:tc>
        <w:tc>
          <w:tcPr>
            <w:tcW w:w="3318" w:type="dxa"/>
            <w:gridSpan w:val="10"/>
            <w:tcBorders>
              <w:top w:val="nil"/>
              <w:left w:val="nil"/>
              <w:bottom w:val="nil"/>
              <w:right w:val="nil"/>
            </w:tcBorders>
            <w:shd w:val="clear" w:color="auto" w:fill="auto"/>
          </w:tcPr>
          <w:p w:rsidR="0017135D" w:rsidRPr="00A60665" w:rsidP="00942FE5">
            <w:pPr>
              <w:pStyle w:val="CSBody8pt"/>
              <w:rPr>
                <w:lang w:val="de-DE"/>
              </w:rPr>
            </w:pPr>
            <w:r w:rsidRPr="00A60665">
              <w:rPr>
                <w:lang w:val="de-DE"/>
              </w:rPr>
              <w:t xml:space="preserve">in Bezug auf einen Zinszahlungstag ein Satz per annum in Höhe des jeweils kleineren der folgenden Beträge: (i) der </w:t>
            </w:r>
            <w:r w:rsidRPr="00792D61">
              <w:rPr>
                <w:b/>
                <w:lang w:val="de-DE"/>
              </w:rPr>
              <w:t>[</w:t>
            </w:r>
            <w:r w:rsidRPr="00A60665">
              <w:rPr>
                <w:lang w:val="de-DE"/>
              </w:rPr>
              <w:t>jeweilige</w:t>
            </w:r>
            <w:r w:rsidRPr="00792D61">
              <w:rPr>
                <w:b/>
                <w:lang w:val="de-DE"/>
              </w:rPr>
              <w:t>]</w:t>
            </w:r>
            <w:r w:rsidRPr="00A60665">
              <w:rPr>
                <w:lang w:val="de-DE"/>
              </w:rPr>
              <w:t xml:space="preserve"> Höchstzinssatz oder (ii) </w:t>
            </w:r>
            <w:r w:rsidRPr="00792D61">
              <w:rPr>
                <w:b/>
                <w:lang w:val="de-DE"/>
              </w:rPr>
              <w:t>[</w:t>
            </w:r>
            <w:r w:rsidRPr="00A60665">
              <w:rPr>
                <w:lang w:val="de-DE"/>
              </w:rPr>
              <w:t>die Summe aus dem</w:t>
            </w:r>
            <w:r w:rsidRPr="00792D61">
              <w:rPr>
                <w:b/>
                <w:lang w:val="de-DE"/>
              </w:rPr>
              <w:t>]</w:t>
            </w:r>
            <w:r w:rsidRPr="00A60665">
              <w:rPr>
                <w:lang w:val="de-DE"/>
              </w:rPr>
              <w:t xml:space="preserve"> </w:t>
            </w:r>
            <w:r w:rsidRPr="00792D61">
              <w:rPr>
                <w:b/>
                <w:lang w:val="de-DE"/>
              </w:rPr>
              <w:t>[</w:t>
            </w:r>
            <w:r w:rsidRPr="00A60665">
              <w:rPr>
                <w:lang w:val="de-DE"/>
              </w:rPr>
              <w:t>der</w:t>
            </w:r>
            <w:r w:rsidRPr="00792D61">
              <w:rPr>
                <w:b/>
                <w:lang w:val="de-DE"/>
              </w:rPr>
              <w:t>]</w:t>
            </w:r>
            <w:r w:rsidRPr="00A60665">
              <w:rPr>
                <w:lang w:val="de-DE"/>
              </w:rPr>
              <w:t xml:space="preserve"> Referenzsatz an dem jeweiligen Zinsfeststellungstag </w:t>
            </w:r>
            <w:r w:rsidRPr="00792D61">
              <w:rPr>
                <w:b/>
                <w:lang w:val="de-DE"/>
              </w:rPr>
              <w:t>[</w:t>
            </w:r>
            <w:r w:rsidRPr="00A60665">
              <w:rPr>
                <w:lang w:val="de-DE"/>
              </w:rPr>
              <w:t xml:space="preserve">und </w:t>
            </w:r>
            <w:r w:rsidRPr="00792D61">
              <w:rPr>
                <w:b/>
                <w:lang w:val="de-DE"/>
              </w:rPr>
              <w:t>[</w:t>
            </w:r>
            <w:r w:rsidRPr="00A60665">
              <w:rPr>
                <w:rFonts w:ascii="Arial" w:hAnsi="Arial" w:cs="Arial"/>
                <w:lang w:val="de-DE"/>
              </w:rPr>
              <w:t>●</w:t>
            </w:r>
            <w:r w:rsidRPr="00792D61">
              <w:rPr>
                <w:b/>
                <w:lang w:val="de-DE"/>
              </w:rPr>
              <w:t>]</w:t>
            </w:r>
            <w:r w:rsidRPr="00A60665">
              <w:rPr>
                <w:lang w:val="de-DE"/>
              </w:rPr>
              <w:t>% per annum</w:t>
            </w:r>
            <w:r w:rsidRPr="00792D61">
              <w:rPr>
                <w:b/>
                <w:lang w:val="de-DE"/>
              </w:rPr>
              <w:t>]</w:t>
            </w:r>
            <w:r w:rsidRPr="00A60665">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A457E7">
            <w:pPr>
              <w:pStyle w:val="CSBody0"/>
              <w:rPr>
                <w:b/>
                <w:lang w:val="de-DE"/>
              </w:rPr>
            </w:pPr>
          </w:p>
        </w:tc>
        <w:tc>
          <w:tcPr>
            <w:tcW w:w="3315" w:type="dxa"/>
            <w:gridSpan w:val="7"/>
            <w:tcBorders>
              <w:top w:val="nil"/>
              <w:left w:val="nil"/>
              <w:bottom w:val="nil"/>
            </w:tcBorders>
            <w:shd w:val="clear" w:color="auto" w:fill="auto"/>
          </w:tcPr>
          <w:p w:rsidR="0017135D" w:rsidP="00942FE5">
            <w:pPr>
              <w:pStyle w:val="CSBody8ptbolditalics"/>
            </w:pPr>
            <w:r w:rsidRPr="00792D61">
              <w:t>[</w:t>
            </w:r>
            <w:r w:rsidRPr="00B74A61">
              <w:t>in the case of Capped Floored Floaters without Participation, insert:</w:t>
            </w:r>
          </w:p>
        </w:tc>
        <w:tc>
          <w:tcPr>
            <w:tcW w:w="1618" w:type="dxa"/>
            <w:gridSpan w:val="2"/>
            <w:tcBorders>
              <w:top w:val="nil"/>
              <w:bottom w:val="nil"/>
              <w:right w:val="nil"/>
            </w:tcBorders>
            <w:shd w:val="clear" w:color="auto" w:fill="auto"/>
          </w:tcPr>
          <w:p w:rsidR="0017135D" w:rsidRPr="00A60665" w:rsidP="00E60155">
            <w:pPr>
              <w:pStyle w:val="CSBody0"/>
              <w:rPr>
                <w:b/>
                <w:i/>
              </w:rPr>
            </w:pPr>
          </w:p>
        </w:tc>
        <w:tc>
          <w:tcPr>
            <w:tcW w:w="3318" w:type="dxa"/>
            <w:gridSpan w:val="10"/>
            <w:tcBorders>
              <w:top w:val="nil"/>
              <w:left w:val="nil"/>
              <w:bottom w:val="nil"/>
              <w:right w:val="nil"/>
            </w:tcBorders>
            <w:shd w:val="clear" w:color="auto" w:fill="auto"/>
          </w:tcPr>
          <w:p w:rsidR="0017135D" w:rsidP="00942FE5">
            <w:pPr>
              <w:pStyle w:val="CSBody8ptbolditalics"/>
            </w:pPr>
            <w:r w:rsidRPr="00792D61">
              <w:t>[</w:t>
            </w:r>
            <w:r w:rsidRPr="00A62CDC">
              <w:t>bei Capped Floored Floaters ohne Partizipation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A457E7">
            <w:pPr>
              <w:pStyle w:val="CSBody0"/>
              <w:rPr>
                <w:b/>
              </w:rPr>
            </w:pPr>
          </w:p>
        </w:tc>
        <w:tc>
          <w:tcPr>
            <w:tcW w:w="3315" w:type="dxa"/>
            <w:gridSpan w:val="7"/>
            <w:tcBorders>
              <w:top w:val="nil"/>
              <w:left w:val="nil"/>
              <w:bottom w:val="nil"/>
            </w:tcBorders>
            <w:shd w:val="clear" w:color="auto" w:fill="auto"/>
          </w:tcPr>
          <w:p w:rsidR="0017135D" w:rsidRPr="004F21ED" w:rsidP="00942FE5">
            <w:pPr>
              <w:pStyle w:val="CSBody8ptbolditalics"/>
            </w:pPr>
            <w:r w:rsidRPr="00792D61">
              <w:t>[</w:t>
            </w:r>
            <w:r w:rsidRPr="004F21ED">
              <w:t>in the case of one Interest Payment Date, insert:</w:t>
            </w:r>
          </w:p>
        </w:tc>
        <w:tc>
          <w:tcPr>
            <w:tcW w:w="1618" w:type="dxa"/>
            <w:gridSpan w:val="2"/>
            <w:tcBorders>
              <w:top w:val="nil"/>
              <w:bottom w:val="nil"/>
              <w:right w:val="nil"/>
            </w:tcBorders>
            <w:shd w:val="clear" w:color="auto" w:fill="auto"/>
          </w:tcPr>
          <w:p w:rsidR="0017135D" w:rsidRPr="00A60665" w:rsidP="00E60155">
            <w:pPr>
              <w:pStyle w:val="CSBody0"/>
              <w:rPr>
                <w:b/>
                <w:i/>
              </w:rPr>
            </w:pPr>
          </w:p>
        </w:tc>
        <w:tc>
          <w:tcPr>
            <w:tcW w:w="3318" w:type="dxa"/>
            <w:gridSpan w:val="10"/>
            <w:tcBorders>
              <w:top w:val="nil"/>
              <w:left w:val="nil"/>
              <w:bottom w:val="nil"/>
              <w:right w:val="nil"/>
            </w:tcBorders>
            <w:shd w:val="clear" w:color="auto" w:fill="auto"/>
          </w:tcPr>
          <w:p w:rsidR="0017135D" w:rsidRPr="00A60665" w:rsidP="00942FE5">
            <w:pPr>
              <w:pStyle w:val="CSBody8ptbolditalics"/>
              <w:rPr>
                <w:lang w:val="de-DE"/>
              </w:rPr>
            </w:pPr>
            <w:r w:rsidRPr="00792D61">
              <w:rPr>
                <w:lang w:val="de-DE"/>
              </w:rPr>
              <w:t>[</w:t>
            </w:r>
            <w:r w:rsidRPr="00A60665">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942FE5">
            <w:pPr>
              <w:pStyle w:val="CSBody8pt"/>
              <w:rPr>
                <w:lang w:val="de-DE"/>
              </w:rPr>
            </w:pPr>
          </w:p>
        </w:tc>
        <w:tc>
          <w:tcPr>
            <w:tcW w:w="3315" w:type="dxa"/>
            <w:gridSpan w:val="7"/>
            <w:tcBorders>
              <w:top w:val="nil"/>
              <w:left w:val="nil"/>
              <w:bottom w:val="nil"/>
            </w:tcBorders>
            <w:shd w:val="clear" w:color="auto" w:fill="auto"/>
          </w:tcPr>
          <w:p w:rsidR="0017135D" w:rsidRPr="004F21ED" w:rsidP="00942FE5">
            <w:pPr>
              <w:pStyle w:val="CSBody8pt"/>
            </w:pPr>
            <w:r w:rsidRPr="004F21ED">
              <w:t xml:space="preserve">a rate per annum equal to the lesser of (i) the Maximum Interest Rate and (ii) the greater of (x) </w:t>
            </w:r>
            <w:r w:rsidRPr="00792D61">
              <w:rPr>
                <w:b/>
              </w:rPr>
              <w:t>[</w:t>
            </w:r>
            <w:r w:rsidRPr="004F21ED">
              <w:t>the sum of</w:t>
            </w:r>
            <w:r w:rsidRPr="00792D61">
              <w:rPr>
                <w:b/>
              </w:rPr>
              <w:t>]</w:t>
            </w:r>
            <w:r w:rsidRPr="004F21ED">
              <w:t xml:space="preserve"> the Reference Rate on the Interest Determination Date </w:t>
            </w:r>
            <w:r w:rsidRPr="00792D61">
              <w:rPr>
                <w:b/>
              </w:rPr>
              <w:t>[</w:t>
            </w:r>
            <w:r w:rsidRPr="004F21ED">
              <w:t xml:space="preserve">and </w:t>
            </w:r>
            <w:r w:rsidRPr="00792D61">
              <w:rPr>
                <w:b/>
              </w:rPr>
              <w:t>[</w:t>
            </w:r>
            <w:r w:rsidRPr="004F21ED">
              <w:rPr>
                <w:rFonts w:ascii="Arial" w:hAnsi="Arial" w:cs="Arial"/>
              </w:rPr>
              <w:t>●</w:t>
            </w:r>
            <w:r w:rsidRPr="00792D61">
              <w:rPr>
                <w:b/>
              </w:rPr>
              <w:t>]</w:t>
            </w:r>
            <w:r w:rsidRPr="004F21ED">
              <w:t>% per annum</w:t>
            </w:r>
            <w:r w:rsidRPr="00792D61">
              <w:rPr>
                <w:b/>
              </w:rPr>
              <w:t>]</w:t>
            </w:r>
            <w:r w:rsidRPr="004F21ED">
              <w:t xml:space="preserve"> and (y) the Minimum Interest Rate.</w:t>
            </w:r>
            <w:r w:rsidRPr="00792D61">
              <w:rPr>
                <w:b/>
              </w:rPr>
              <w:t>]</w:t>
            </w:r>
          </w:p>
        </w:tc>
        <w:tc>
          <w:tcPr>
            <w:tcW w:w="1618" w:type="dxa"/>
            <w:gridSpan w:val="2"/>
            <w:tcBorders>
              <w:top w:val="nil"/>
              <w:bottom w:val="nil"/>
              <w:right w:val="nil"/>
            </w:tcBorders>
            <w:shd w:val="clear" w:color="auto" w:fill="auto"/>
          </w:tcPr>
          <w:p w:rsidR="0017135D" w:rsidRPr="00A60665" w:rsidP="00942FE5">
            <w:pPr>
              <w:pStyle w:val="CSBody8pt"/>
              <w:rPr>
                <w:i/>
              </w:rPr>
            </w:pPr>
          </w:p>
        </w:tc>
        <w:tc>
          <w:tcPr>
            <w:tcW w:w="3318" w:type="dxa"/>
            <w:gridSpan w:val="10"/>
            <w:tcBorders>
              <w:top w:val="nil"/>
              <w:left w:val="nil"/>
              <w:bottom w:val="nil"/>
              <w:right w:val="nil"/>
            </w:tcBorders>
            <w:shd w:val="clear" w:color="auto" w:fill="auto"/>
          </w:tcPr>
          <w:p w:rsidR="0017135D" w:rsidRPr="00A60665" w:rsidP="00942FE5">
            <w:pPr>
              <w:pStyle w:val="CSBody8pt"/>
              <w:rPr>
                <w:lang w:val="de-DE"/>
              </w:rPr>
            </w:pPr>
            <w:r w:rsidRPr="00A60665">
              <w:rPr>
                <w:lang w:val="de-DE"/>
              </w:rPr>
              <w:t xml:space="preserve">ein Satz per annum in Höhe des jeweils kleineren der folgenden Beträge: (i) der Höchstzinssatz oder (ii) der jeweils grössere der folgenden Beträge: (x) </w:t>
            </w:r>
            <w:r w:rsidRPr="00792D61">
              <w:rPr>
                <w:b/>
                <w:lang w:val="de-DE"/>
              </w:rPr>
              <w:t>[</w:t>
            </w:r>
            <w:r w:rsidRPr="00A60665">
              <w:rPr>
                <w:lang w:val="de-DE"/>
              </w:rPr>
              <w:t>die Summe aus dem</w:t>
            </w:r>
            <w:r w:rsidRPr="00792D61">
              <w:rPr>
                <w:b/>
                <w:lang w:val="de-DE"/>
              </w:rPr>
              <w:t>]</w:t>
            </w:r>
            <w:r w:rsidRPr="00A60665">
              <w:rPr>
                <w:lang w:val="de-DE"/>
              </w:rPr>
              <w:t xml:space="preserve"> </w:t>
            </w:r>
            <w:r w:rsidRPr="00792D61">
              <w:rPr>
                <w:b/>
                <w:lang w:val="de-DE"/>
              </w:rPr>
              <w:t>[</w:t>
            </w:r>
            <w:r w:rsidRPr="00A60665">
              <w:rPr>
                <w:lang w:val="de-DE"/>
              </w:rPr>
              <w:t>der</w:t>
            </w:r>
            <w:r w:rsidRPr="00792D61">
              <w:rPr>
                <w:b/>
                <w:lang w:val="de-DE"/>
              </w:rPr>
              <w:t>]</w:t>
            </w:r>
            <w:r w:rsidRPr="00A60665">
              <w:rPr>
                <w:lang w:val="de-DE"/>
              </w:rPr>
              <w:t xml:space="preserve"> Referenzsatz am Zinsfeststellungstag </w:t>
            </w:r>
            <w:r w:rsidRPr="00792D61">
              <w:rPr>
                <w:b/>
                <w:lang w:val="de-DE"/>
              </w:rPr>
              <w:t>[</w:t>
            </w:r>
            <w:r w:rsidRPr="00A60665">
              <w:rPr>
                <w:lang w:val="de-DE"/>
              </w:rPr>
              <w:t xml:space="preserve">und </w:t>
            </w:r>
            <w:r w:rsidRPr="00792D61">
              <w:rPr>
                <w:b/>
                <w:lang w:val="de-DE"/>
              </w:rPr>
              <w:t>[</w:t>
            </w:r>
            <w:r w:rsidRPr="00A60665">
              <w:rPr>
                <w:rFonts w:ascii="Arial" w:hAnsi="Arial" w:cs="Arial"/>
                <w:lang w:val="de-DE"/>
              </w:rPr>
              <w:t>●</w:t>
            </w:r>
            <w:r w:rsidRPr="00792D61">
              <w:rPr>
                <w:b/>
                <w:lang w:val="de-DE"/>
              </w:rPr>
              <w:t>]</w:t>
            </w:r>
            <w:r w:rsidRPr="00A60665">
              <w:rPr>
                <w:lang w:val="de-DE"/>
              </w:rPr>
              <w:t>% per annum</w:t>
            </w:r>
            <w:r w:rsidRPr="00792D61">
              <w:rPr>
                <w:b/>
                <w:lang w:val="de-DE"/>
              </w:rPr>
              <w:t>]</w:t>
            </w:r>
            <w:r w:rsidRPr="00A60665">
              <w:rPr>
                <w:lang w:val="de-DE"/>
              </w:rPr>
              <w:t xml:space="preserve"> oder (y) der Mindestzinssatz.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A457E7">
            <w:pPr>
              <w:pStyle w:val="CSBody0"/>
              <w:rPr>
                <w:b/>
                <w:lang w:val="de-DE"/>
              </w:rPr>
            </w:pPr>
          </w:p>
        </w:tc>
        <w:tc>
          <w:tcPr>
            <w:tcW w:w="3315" w:type="dxa"/>
            <w:gridSpan w:val="7"/>
            <w:tcBorders>
              <w:top w:val="nil"/>
              <w:left w:val="nil"/>
              <w:bottom w:val="nil"/>
            </w:tcBorders>
            <w:shd w:val="clear" w:color="auto" w:fill="auto"/>
          </w:tcPr>
          <w:p w:rsidR="0017135D" w:rsidRPr="004F21ED" w:rsidP="00942FE5">
            <w:pPr>
              <w:pStyle w:val="CSBody8ptbolditalics"/>
            </w:pPr>
            <w:r w:rsidRPr="00792D61">
              <w:t>[</w:t>
            </w:r>
            <w:r w:rsidRPr="004F21ED">
              <w:t>in the case of multiple Interest Payment Dates, insert:</w:t>
            </w:r>
          </w:p>
        </w:tc>
        <w:tc>
          <w:tcPr>
            <w:tcW w:w="1618" w:type="dxa"/>
            <w:gridSpan w:val="2"/>
            <w:tcBorders>
              <w:top w:val="nil"/>
              <w:bottom w:val="nil"/>
              <w:right w:val="nil"/>
            </w:tcBorders>
            <w:shd w:val="clear" w:color="auto" w:fill="auto"/>
          </w:tcPr>
          <w:p w:rsidR="0017135D" w:rsidRPr="00A60665" w:rsidP="00942FE5">
            <w:pPr>
              <w:pStyle w:val="CSBody8ptbolditalics"/>
            </w:pPr>
          </w:p>
        </w:tc>
        <w:tc>
          <w:tcPr>
            <w:tcW w:w="3318" w:type="dxa"/>
            <w:gridSpan w:val="10"/>
            <w:tcBorders>
              <w:top w:val="nil"/>
              <w:left w:val="nil"/>
              <w:bottom w:val="nil"/>
              <w:right w:val="nil"/>
            </w:tcBorders>
            <w:shd w:val="clear" w:color="auto" w:fill="auto"/>
          </w:tcPr>
          <w:p w:rsidR="0017135D" w:rsidRPr="008468EA" w:rsidP="00942FE5">
            <w:pPr>
              <w:pStyle w:val="CSBody8ptbolditalics"/>
            </w:pPr>
            <w:r w:rsidRPr="00792D61">
              <w:t>[</w:t>
            </w:r>
            <w:r w:rsidRPr="008468EA">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942FE5">
            <w:pPr>
              <w:pStyle w:val="CSBody8pt"/>
            </w:pPr>
          </w:p>
        </w:tc>
        <w:tc>
          <w:tcPr>
            <w:tcW w:w="3315" w:type="dxa"/>
            <w:gridSpan w:val="7"/>
            <w:tcBorders>
              <w:top w:val="nil"/>
              <w:left w:val="nil"/>
              <w:bottom w:val="nil"/>
            </w:tcBorders>
            <w:shd w:val="clear" w:color="auto" w:fill="auto"/>
          </w:tcPr>
          <w:p w:rsidR="0017135D" w:rsidP="00942FE5">
            <w:pPr>
              <w:pStyle w:val="CSBody8pt"/>
            </w:pPr>
            <w:r w:rsidRPr="004F21ED">
              <w:t xml:space="preserve">with respect to any Interest Payment Date, a rate per annum equal to the lesser of (i) the </w:t>
            </w:r>
            <w:r w:rsidRPr="00792D61">
              <w:rPr>
                <w:b/>
              </w:rPr>
              <w:t>[</w:t>
            </w:r>
            <w:r w:rsidRPr="004F21ED">
              <w:t>relevant</w:t>
            </w:r>
            <w:r w:rsidRPr="00792D61">
              <w:rPr>
                <w:b/>
              </w:rPr>
              <w:t>]</w:t>
            </w:r>
            <w:r w:rsidRPr="004F21ED">
              <w:t xml:space="preserve"> Maximum Interest Rate and (ii) the greater of (x) </w:t>
            </w:r>
            <w:r w:rsidRPr="00792D61">
              <w:rPr>
                <w:b/>
              </w:rPr>
              <w:t>[</w:t>
            </w:r>
            <w:r w:rsidRPr="004F21ED">
              <w:t>the sum of</w:t>
            </w:r>
            <w:r w:rsidRPr="00792D61">
              <w:rPr>
                <w:b/>
              </w:rPr>
              <w:t>]</w:t>
            </w:r>
            <w:r w:rsidRPr="004F21ED">
              <w:t xml:space="preserve"> the Reference Rate on the relevant Interest Determination Date </w:t>
            </w:r>
            <w:r w:rsidRPr="00792D61">
              <w:rPr>
                <w:b/>
              </w:rPr>
              <w:t>[</w:t>
            </w:r>
            <w:r w:rsidRPr="004F21ED">
              <w:t xml:space="preserve">and </w:t>
            </w:r>
            <w:r w:rsidRPr="00792D61">
              <w:rPr>
                <w:b/>
              </w:rPr>
              <w:t>[</w:t>
            </w:r>
            <w:r w:rsidRPr="004F21ED">
              <w:rPr>
                <w:rFonts w:ascii="Arial" w:hAnsi="Arial" w:cs="Arial"/>
              </w:rPr>
              <w:t>●</w:t>
            </w:r>
            <w:r w:rsidRPr="00792D61">
              <w:rPr>
                <w:b/>
              </w:rPr>
              <w:t>]</w:t>
            </w:r>
            <w:r w:rsidRPr="004F21ED">
              <w:t>% per annum</w:t>
            </w:r>
            <w:r w:rsidRPr="00792D61">
              <w:rPr>
                <w:b/>
              </w:rPr>
              <w:t>]</w:t>
            </w:r>
            <w:r w:rsidRPr="004F21ED">
              <w:t xml:space="preserve"> and (y) the </w:t>
            </w:r>
            <w:r w:rsidRPr="00792D61">
              <w:rPr>
                <w:b/>
              </w:rPr>
              <w:t>[</w:t>
            </w:r>
            <w:r w:rsidRPr="004F21ED">
              <w:t>relevant</w:t>
            </w:r>
            <w:r w:rsidRPr="00792D61">
              <w:rPr>
                <w:b/>
              </w:rPr>
              <w:t>]</w:t>
            </w:r>
            <w:r w:rsidRPr="004F21ED">
              <w:t xml:space="preserve"> Minimum Interest Rate.</w:t>
            </w:r>
            <w:r w:rsidRPr="00792D61">
              <w:rPr>
                <w:b/>
              </w:rPr>
              <w:t>]]</w:t>
            </w:r>
          </w:p>
        </w:tc>
        <w:tc>
          <w:tcPr>
            <w:tcW w:w="1618" w:type="dxa"/>
            <w:gridSpan w:val="2"/>
            <w:tcBorders>
              <w:top w:val="nil"/>
              <w:bottom w:val="nil"/>
              <w:right w:val="nil"/>
            </w:tcBorders>
            <w:shd w:val="clear" w:color="auto" w:fill="auto"/>
          </w:tcPr>
          <w:p w:rsidR="0017135D" w:rsidRPr="00A60665" w:rsidP="00942FE5">
            <w:pPr>
              <w:pStyle w:val="CSBody8pt"/>
              <w:rPr>
                <w:i/>
              </w:rPr>
            </w:pPr>
          </w:p>
        </w:tc>
        <w:tc>
          <w:tcPr>
            <w:tcW w:w="3318" w:type="dxa"/>
            <w:gridSpan w:val="10"/>
            <w:tcBorders>
              <w:top w:val="nil"/>
              <w:left w:val="nil"/>
              <w:bottom w:val="nil"/>
              <w:right w:val="nil"/>
            </w:tcBorders>
            <w:shd w:val="clear" w:color="auto" w:fill="auto"/>
          </w:tcPr>
          <w:p w:rsidR="0017135D" w:rsidRPr="00A60665" w:rsidP="00516CB4">
            <w:pPr>
              <w:pStyle w:val="CSBody8pt"/>
              <w:rPr>
                <w:lang w:val="de-DE"/>
              </w:rPr>
            </w:pPr>
            <w:r w:rsidRPr="00A60665">
              <w:rPr>
                <w:lang w:val="de-DE"/>
              </w:rPr>
              <w:t xml:space="preserve">in Bezug auf einen Zinszahlungstag ein Satz per annum in Höhe des jeweils kleineren der folgenden Beträge: (i) der </w:t>
            </w:r>
            <w:r w:rsidRPr="00792D61">
              <w:rPr>
                <w:b/>
                <w:lang w:val="de-DE"/>
              </w:rPr>
              <w:t>[</w:t>
            </w:r>
            <w:r w:rsidRPr="00A60665">
              <w:rPr>
                <w:lang w:val="de-DE"/>
              </w:rPr>
              <w:t>jeweilige</w:t>
            </w:r>
            <w:r w:rsidRPr="00792D61">
              <w:rPr>
                <w:b/>
                <w:lang w:val="de-DE"/>
              </w:rPr>
              <w:t>]</w:t>
            </w:r>
            <w:r w:rsidRPr="00A60665">
              <w:rPr>
                <w:lang w:val="de-DE"/>
              </w:rPr>
              <w:t xml:space="preserve"> Höchstzinssatz oder (ii) der jeweils grössere der folgenden Beträge: (x) </w:t>
            </w:r>
            <w:r w:rsidRPr="00792D61">
              <w:rPr>
                <w:b/>
                <w:lang w:val="de-DE"/>
              </w:rPr>
              <w:t>[</w:t>
            </w:r>
            <w:r w:rsidRPr="00A60665">
              <w:rPr>
                <w:lang w:val="de-DE"/>
              </w:rPr>
              <w:t>die Summe aus dem</w:t>
            </w:r>
            <w:r w:rsidRPr="00792D61">
              <w:rPr>
                <w:b/>
                <w:lang w:val="de-DE"/>
              </w:rPr>
              <w:t>]</w:t>
            </w:r>
            <w:r w:rsidRPr="00A60665">
              <w:rPr>
                <w:lang w:val="de-DE"/>
              </w:rPr>
              <w:t xml:space="preserve"> </w:t>
            </w:r>
            <w:r w:rsidRPr="00792D61">
              <w:rPr>
                <w:b/>
                <w:lang w:val="de-DE"/>
              </w:rPr>
              <w:t>[</w:t>
            </w:r>
            <w:r w:rsidRPr="00A60665">
              <w:rPr>
                <w:lang w:val="de-DE"/>
              </w:rPr>
              <w:t>der</w:t>
            </w:r>
            <w:r w:rsidRPr="00792D61">
              <w:rPr>
                <w:b/>
                <w:lang w:val="de-DE"/>
              </w:rPr>
              <w:t>]</w:t>
            </w:r>
            <w:r w:rsidRPr="00A60665">
              <w:rPr>
                <w:lang w:val="de-DE"/>
              </w:rPr>
              <w:t xml:space="preserve"> Referenzsatz an dem jeweiligen Zinsfeststellungstag </w:t>
            </w:r>
            <w:r w:rsidRPr="00792D61">
              <w:rPr>
                <w:b/>
                <w:lang w:val="de-DE"/>
              </w:rPr>
              <w:t>[</w:t>
            </w:r>
            <w:r w:rsidRPr="00A60665">
              <w:rPr>
                <w:lang w:val="de-DE"/>
              </w:rPr>
              <w:t xml:space="preserve">und </w:t>
            </w:r>
            <w:r w:rsidRPr="00792D61">
              <w:rPr>
                <w:b/>
                <w:lang w:val="de-DE"/>
              </w:rPr>
              <w:t>[</w:t>
            </w:r>
            <w:r w:rsidRPr="00A60665">
              <w:rPr>
                <w:rFonts w:ascii="Arial" w:hAnsi="Arial" w:cs="Arial"/>
                <w:lang w:val="de-DE"/>
              </w:rPr>
              <w:t>●</w:t>
            </w:r>
            <w:r w:rsidRPr="00792D61">
              <w:rPr>
                <w:b/>
                <w:lang w:val="de-DE"/>
              </w:rPr>
              <w:t>]</w:t>
            </w:r>
            <w:r w:rsidRPr="00A60665">
              <w:rPr>
                <w:lang w:val="de-DE"/>
              </w:rPr>
              <w:t>% per annum</w:t>
            </w:r>
            <w:r w:rsidRPr="00792D61">
              <w:rPr>
                <w:b/>
                <w:lang w:val="de-DE"/>
              </w:rPr>
              <w:t>]</w:t>
            </w:r>
            <w:r w:rsidRPr="00A60665">
              <w:rPr>
                <w:lang w:val="de-DE"/>
              </w:rPr>
              <w:t xml:space="preserve"> oder (y) der </w:t>
            </w:r>
            <w:r w:rsidRPr="00792D61">
              <w:rPr>
                <w:b/>
                <w:lang w:val="de-DE"/>
              </w:rPr>
              <w:t>[</w:t>
            </w:r>
            <w:r w:rsidRPr="00A60665">
              <w:rPr>
                <w:lang w:val="de-DE"/>
              </w:rPr>
              <w:t>jeweilige</w:t>
            </w:r>
            <w:r w:rsidRPr="00792D61">
              <w:rPr>
                <w:b/>
                <w:lang w:val="de-DE"/>
              </w:rPr>
              <w:t>]</w:t>
            </w:r>
            <w:r w:rsidRPr="00A60665">
              <w:rPr>
                <w:lang w:val="de-DE"/>
              </w:rPr>
              <w:t xml:space="preserve"> Mindestzinssatz.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A457E7">
            <w:pPr>
              <w:pStyle w:val="CSBody0"/>
              <w:rPr>
                <w:b/>
                <w:lang w:val="de-DE"/>
              </w:rPr>
            </w:pPr>
          </w:p>
        </w:tc>
        <w:tc>
          <w:tcPr>
            <w:tcW w:w="3315" w:type="dxa"/>
            <w:gridSpan w:val="7"/>
            <w:tcBorders>
              <w:top w:val="nil"/>
              <w:left w:val="nil"/>
              <w:bottom w:val="nil"/>
            </w:tcBorders>
            <w:shd w:val="clear" w:color="auto" w:fill="auto"/>
          </w:tcPr>
          <w:p w:rsidR="0017135D" w:rsidRPr="00BE6AA8" w:rsidP="00942FE5">
            <w:pPr>
              <w:pStyle w:val="CSBody8ptbolditalics"/>
            </w:pPr>
            <w:r w:rsidRPr="00792D61">
              <w:t>[</w:t>
            </w:r>
            <w:r w:rsidRPr="00BE6AA8">
              <w:t>in the case of Capped Floored Floaters with Participation, insert:</w:t>
            </w:r>
          </w:p>
        </w:tc>
        <w:tc>
          <w:tcPr>
            <w:tcW w:w="1618" w:type="dxa"/>
            <w:gridSpan w:val="2"/>
            <w:tcBorders>
              <w:top w:val="nil"/>
              <w:bottom w:val="nil"/>
              <w:right w:val="nil"/>
            </w:tcBorders>
            <w:shd w:val="clear" w:color="auto" w:fill="auto"/>
          </w:tcPr>
          <w:p w:rsidR="0017135D" w:rsidRPr="00A60665" w:rsidP="00E60155">
            <w:pPr>
              <w:pStyle w:val="CSBody0"/>
              <w:rPr>
                <w:b/>
                <w:i/>
              </w:rPr>
            </w:pPr>
          </w:p>
        </w:tc>
        <w:tc>
          <w:tcPr>
            <w:tcW w:w="3318" w:type="dxa"/>
            <w:gridSpan w:val="10"/>
            <w:tcBorders>
              <w:top w:val="nil"/>
              <w:left w:val="nil"/>
              <w:bottom w:val="nil"/>
              <w:right w:val="nil"/>
            </w:tcBorders>
            <w:shd w:val="clear" w:color="auto" w:fill="auto"/>
          </w:tcPr>
          <w:p w:rsidR="0017135D" w:rsidRPr="00AA73CB" w:rsidP="00942FE5">
            <w:pPr>
              <w:pStyle w:val="CSBody8ptbolditalics"/>
            </w:pPr>
            <w:r w:rsidRPr="00792D61">
              <w:t>[</w:t>
            </w:r>
            <w:r w:rsidRPr="00AA73CB">
              <w:t>bei Capped Floored Floaters mit Partizipation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A457E7">
            <w:pPr>
              <w:pStyle w:val="CSBody0"/>
              <w:rPr>
                <w:b/>
              </w:rPr>
            </w:pPr>
          </w:p>
        </w:tc>
        <w:tc>
          <w:tcPr>
            <w:tcW w:w="3315" w:type="dxa"/>
            <w:gridSpan w:val="7"/>
            <w:tcBorders>
              <w:top w:val="nil"/>
              <w:left w:val="nil"/>
              <w:bottom w:val="nil"/>
            </w:tcBorders>
            <w:shd w:val="clear" w:color="auto" w:fill="auto"/>
          </w:tcPr>
          <w:p w:rsidR="0017135D" w:rsidRPr="00BE6AA8" w:rsidP="00942FE5">
            <w:pPr>
              <w:pStyle w:val="CSBody8ptbolditalics"/>
            </w:pPr>
            <w:r w:rsidRPr="00792D61">
              <w:t>[</w:t>
            </w:r>
            <w:r w:rsidRPr="00BE6AA8">
              <w:t>in the case of one Interest Payment Date, insert:</w:t>
            </w:r>
          </w:p>
        </w:tc>
        <w:tc>
          <w:tcPr>
            <w:tcW w:w="1618" w:type="dxa"/>
            <w:gridSpan w:val="2"/>
            <w:tcBorders>
              <w:top w:val="nil"/>
              <w:bottom w:val="nil"/>
              <w:right w:val="nil"/>
            </w:tcBorders>
            <w:shd w:val="clear" w:color="auto" w:fill="auto"/>
          </w:tcPr>
          <w:p w:rsidR="0017135D" w:rsidRPr="00A60665" w:rsidP="00E60155">
            <w:pPr>
              <w:pStyle w:val="CSBody0"/>
              <w:rPr>
                <w:b/>
                <w:i/>
              </w:rPr>
            </w:pPr>
          </w:p>
        </w:tc>
        <w:tc>
          <w:tcPr>
            <w:tcW w:w="3318" w:type="dxa"/>
            <w:gridSpan w:val="10"/>
            <w:tcBorders>
              <w:top w:val="nil"/>
              <w:left w:val="nil"/>
              <w:bottom w:val="nil"/>
              <w:right w:val="nil"/>
            </w:tcBorders>
            <w:shd w:val="clear" w:color="auto" w:fill="auto"/>
          </w:tcPr>
          <w:p w:rsidR="0017135D" w:rsidRPr="00A60665" w:rsidP="00942FE5">
            <w:pPr>
              <w:pStyle w:val="CSBody8ptbolditalics"/>
              <w:rPr>
                <w:lang w:val="de-DE"/>
              </w:rPr>
            </w:pPr>
            <w:r w:rsidRPr="00792D61">
              <w:rPr>
                <w:lang w:val="de-DE"/>
              </w:rPr>
              <w:t>[</w:t>
            </w:r>
            <w:r w:rsidRPr="00A60665">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942FE5">
            <w:pPr>
              <w:pStyle w:val="CSBody8pt"/>
              <w:rPr>
                <w:lang w:val="de-DE"/>
              </w:rPr>
            </w:pPr>
          </w:p>
        </w:tc>
        <w:tc>
          <w:tcPr>
            <w:tcW w:w="3315" w:type="dxa"/>
            <w:gridSpan w:val="7"/>
            <w:tcBorders>
              <w:top w:val="nil"/>
              <w:left w:val="nil"/>
              <w:bottom w:val="nil"/>
            </w:tcBorders>
            <w:shd w:val="clear" w:color="auto" w:fill="auto"/>
          </w:tcPr>
          <w:p w:rsidR="0017135D" w:rsidP="00942FE5">
            <w:pPr>
              <w:pStyle w:val="CSBody8pt"/>
            </w:pPr>
            <w:r w:rsidRPr="00BE6AA8">
              <w:t>a rate per annum equal to the lesser of (i) the Maximum Interest Rate (IR</w:t>
            </w:r>
            <w:r w:rsidRPr="00A205FA">
              <w:rPr>
                <w:vertAlign w:val="subscript"/>
              </w:rPr>
              <w:t>max</w:t>
            </w:r>
            <w:r w:rsidRPr="00BE6AA8">
              <w:t xml:space="preserve">) and (ii) the greater of (x) the sum of (I) the product of (A) </w:t>
            </w:r>
            <w:r w:rsidRPr="00792D61">
              <w:rPr>
                <w:b/>
              </w:rPr>
              <w:t>[</w:t>
            </w:r>
            <w:r w:rsidRPr="00BE6AA8">
              <w:t>the sum of</w:t>
            </w:r>
            <w:r w:rsidRPr="00792D61">
              <w:rPr>
                <w:b/>
              </w:rPr>
              <w:t>]</w:t>
            </w:r>
            <w:r w:rsidRPr="00BE6AA8">
              <w:t xml:space="preserve"> the Reference Rate on the Interest Determination Date </w:t>
            </w:r>
            <w:r w:rsidRPr="00A205FA">
              <w:rPr>
                <w:i/>
              </w:rPr>
              <w:t>(RR)</w:t>
            </w:r>
            <w:r w:rsidRPr="00BE6AA8">
              <w:t xml:space="preserve"> </w:t>
            </w:r>
            <w:r w:rsidRPr="00792D61">
              <w:rPr>
                <w:b/>
              </w:rPr>
              <w:t>[</w:t>
            </w:r>
            <w:r w:rsidRPr="00BE6AA8">
              <w:t xml:space="preserve">and </w:t>
            </w:r>
            <w:r w:rsidRPr="00792D61">
              <w:rPr>
                <w:b/>
              </w:rPr>
              <w:t>[</w:t>
            </w:r>
            <w:r w:rsidRPr="00BE6AA8">
              <w:rPr>
                <w:rFonts w:ascii="Arial" w:hAnsi="Arial" w:cs="Arial"/>
              </w:rPr>
              <w:t>●</w:t>
            </w:r>
            <w:r w:rsidRPr="00792D61">
              <w:rPr>
                <w:b/>
              </w:rPr>
              <w:t>]</w:t>
            </w:r>
            <w:r w:rsidRPr="00BE6AA8">
              <w:t>% per annum,</w:t>
            </w:r>
            <w:r w:rsidRPr="00792D61">
              <w:rPr>
                <w:b/>
              </w:rPr>
              <w:t>]</w:t>
            </w:r>
            <w:r w:rsidRPr="00BE6AA8">
              <w:t xml:space="preserve"> less </w:t>
            </w:r>
            <w:r w:rsidRPr="00792D61">
              <w:rPr>
                <w:b/>
              </w:rPr>
              <w:t>[</w:t>
            </w:r>
            <w:r w:rsidRPr="00BE6AA8">
              <w:t>the Minimum Interest Rate (</w:t>
            </w:r>
            <w:r w:rsidRPr="00A205FA">
              <w:rPr>
                <w:i/>
              </w:rPr>
              <w:t>IR</w:t>
            </w:r>
            <w:r w:rsidRPr="00A205FA">
              <w:rPr>
                <w:i/>
                <w:vertAlign w:val="subscript"/>
              </w:rPr>
              <w:t>min</w:t>
            </w:r>
            <w:r w:rsidRPr="00BE6AA8">
              <w:t>)</w:t>
            </w:r>
            <w:r w:rsidRPr="00792D61">
              <w:rPr>
                <w:b/>
              </w:rPr>
              <w:t>][[</w:t>
            </w:r>
            <w:r w:rsidRPr="00BE6AA8">
              <w:rPr>
                <w:rFonts w:ascii="Arial" w:hAnsi="Arial" w:cs="Arial"/>
              </w:rPr>
              <w:t>●</w:t>
            </w:r>
            <w:r w:rsidRPr="00792D61">
              <w:rPr>
                <w:b/>
              </w:rPr>
              <w:t>]]</w:t>
            </w:r>
            <w:r w:rsidRPr="00BE6AA8">
              <w:t xml:space="preserve"> and (B) the Participation, and (II) </w:t>
            </w:r>
            <w:r w:rsidRPr="00792D61">
              <w:rPr>
                <w:b/>
              </w:rPr>
              <w:t>[</w:t>
            </w:r>
            <w:r w:rsidRPr="00BE6AA8">
              <w:t>the Minimum Interest Rate (</w:t>
            </w:r>
            <w:r w:rsidRPr="00A205FA">
              <w:rPr>
                <w:i/>
              </w:rPr>
              <w:t>IR</w:t>
            </w:r>
            <w:r w:rsidRPr="00A205FA">
              <w:rPr>
                <w:i/>
                <w:vertAlign w:val="subscript"/>
              </w:rPr>
              <w:t>min</w:t>
            </w:r>
            <w:r w:rsidRPr="00BE6AA8">
              <w:t>)</w:t>
            </w:r>
            <w:r w:rsidRPr="00792D61">
              <w:rPr>
                <w:b/>
              </w:rPr>
              <w:t>][[</w:t>
            </w:r>
            <w:r w:rsidRPr="00BE6AA8">
              <w:rPr>
                <w:rFonts w:ascii="Arial" w:hAnsi="Arial" w:cs="Arial"/>
              </w:rPr>
              <w:t>●</w:t>
            </w:r>
            <w:r w:rsidRPr="00792D61">
              <w:rPr>
                <w:b/>
              </w:rPr>
              <w:t>]]</w:t>
            </w:r>
            <w:r w:rsidRPr="00BE6AA8">
              <w:t>, and (y) the Minimum Interest Rate (</w:t>
            </w:r>
            <w:r w:rsidRPr="00A205FA">
              <w:rPr>
                <w:i/>
              </w:rPr>
              <w:t>IR</w:t>
            </w:r>
            <w:r w:rsidRPr="00A205FA">
              <w:rPr>
                <w:i/>
                <w:vertAlign w:val="subscript"/>
              </w:rPr>
              <w:t>min</w:t>
            </w:r>
            <w:r w:rsidRPr="00BE6AA8">
              <w:t>), calculated in accordance with the following formula:</w:t>
            </w:r>
            <w:r w:rsidRPr="00792D61">
              <w:rPr>
                <w:b/>
              </w:rPr>
              <w:t>]</w:t>
            </w:r>
          </w:p>
        </w:tc>
        <w:tc>
          <w:tcPr>
            <w:tcW w:w="1618" w:type="dxa"/>
            <w:gridSpan w:val="2"/>
            <w:tcBorders>
              <w:top w:val="nil"/>
              <w:bottom w:val="nil"/>
              <w:right w:val="nil"/>
            </w:tcBorders>
            <w:shd w:val="clear" w:color="auto" w:fill="auto"/>
          </w:tcPr>
          <w:p w:rsidR="0017135D" w:rsidRPr="00A60665" w:rsidP="00942FE5">
            <w:pPr>
              <w:pStyle w:val="CSBody8pt"/>
              <w:rPr>
                <w:i/>
              </w:rPr>
            </w:pPr>
          </w:p>
        </w:tc>
        <w:tc>
          <w:tcPr>
            <w:tcW w:w="3318" w:type="dxa"/>
            <w:gridSpan w:val="10"/>
            <w:tcBorders>
              <w:top w:val="nil"/>
              <w:left w:val="nil"/>
              <w:bottom w:val="nil"/>
              <w:right w:val="nil"/>
            </w:tcBorders>
            <w:shd w:val="clear" w:color="auto" w:fill="auto"/>
          </w:tcPr>
          <w:p w:rsidR="0017135D" w:rsidRPr="00A60665" w:rsidP="00942FE5">
            <w:pPr>
              <w:pStyle w:val="CSBody8pt"/>
              <w:rPr>
                <w:lang w:val="de-DE"/>
              </w:rPr>
            </w:pPr>
            <w:r w:rsidRPr="00A60665">
              <w:rPr>
                <w:lang w:val="de-DE"/>
              </w:rPr>
              <w:t>ein Satz per annum in Höhe des jeweils kleineren der folgenden Beträge: (i) der Höchstzinssatz (</w:t>
            </w:r>
            <w:r w:rsidRPr="00A205FA">
              <w:rPr>
                <w:i/>
                <w:lang w:val="de-DE"/>
              </w:rPr>
              <w:t>IR</w:t>
            </w:r>
            <w:r w:rsidRPr="00A205FA">
              <w:rPr>
                <w:i/>
                <w:vertAlign w:val="subscript"/>
                <w:lang w:val="de-DE"/>
              </w:rPr>
              <w:t>max</w:t>
            </w:r>
            <w:r w:rsidRPr="00A60665">
              <w:rPr>
                <w:lang w:val="de-DE"/>
              </w:rPr>
              <w:t xml:space="preserve">) oder (ii) der jeweils grössere der folgenden Beträge: (x) die Summe aus (I) dem Produkt aus (A) </w:t>
            </w:r>
            <w:r w:rsidRPr="00792D61">
              <w:rPr>
                <w:b/>
                <w:lang w:val="de-DE"/>
              </w:rPr>
              <w:t>[</w:t>
            </w:r>
            <w:r w:rsidRPr="00A60665">
              <w:rPr>
                <w:lang w:val="de-DE"/>
              </w:rPr>
              <w:t>der Summe aus</w:t>
            </w:r>
            <w:r w:rsidRPr="00792D61">
              <w:rPr>
                <w:b/>
                <w:lang w:val="de-DE"/>
              </w:rPr>
              <w:t>]</w:t>
            </w:r>
            <w:r w:rsidRPr="00A60665">
              <w:rPr>
                <w:lang w:val="de-DE"/>
              </w:rPr>
              <w:t xml:space="preserve"> dem Referenzsatz am Zinsfeststellungstag </w:t>
            </w:r>
            <w:r w:rsidRPr="00A205FA">
              <w:rPr>
                <w:i/>
                <w:lang w:val="de-DE"/>
              </w:rPr>
              <w:t>(RR)</w:t>
            </w:r>
            <w:r w:rsidRPr="00A60665">
              <w:rPr>
                <w:lang w:val="de-DE"/>
              </w:rPr>
              <w:t xml:space="preserve"> </w:t>
            </w:r>
            <w:r w:rsidRPr="00792D61">
              <w:rPr>
                <w:b/>
                <w:lang w:val="de-DE"/>
              </w:rPr>
              <w:t>[</w:t>
            </w:r>
            <w:r w:rsidRPr="00A60665">
              <w:rPr>
                <w:lang w:val="de-DE"/>
              </w:rPr>
              <w:t xml:space="preserve">und </w:t>
            </w:r>
            <w:r w:rsidRPr="00792D61">
              <w:rPr>
                <w:b/>
                <w:lang w:val="de-DE"/>
              </w:rPr>
              <w:t>[</w:t>
            </w:r>
            <w:r w:rsidRPr="00A60665">
              <w:rPr>
                <w:rFonts w:ascii="Arial" w:hAnsi="Arial" w:cs="Arial"/>
                <w:lang w:val="de-DE"/>
              </w:rPr>
              <w:t>●</w:t>
            </w:r>
            <w:r w:rsidRPr="00792D61">
              <w:rPr>
                <w:b/>
                <w:lang w:val="de-DE"/>
              </w:rPr>
              <w:t>]</w:t>
            </w:r>
            <w:r w:rsidRPr="00A60665">
              <w:rPr>
                <w:lang w:val="de-DE"/>
              </w:rPr>
              <w:t>% per annum</w:t>
            </w:r>
            <w:r w:rsidRPr="00792D61">
              <w:rPr>
                <w:b/>
                <w:lang w:val="de-DE"/>
              </w:rPr>
              <w:t>]</w:t>
            </w:r>
            <w:r w:rsidRPr="00A60665">
              <w:rPr>
                <w:lang w:val="de-DE"/>
              </w:rPr>
              <w:t xml:space="preserve"> minus </w:t>
            </w:r>
            <w:r w:rsidRPr="00792D61">
              <w:rPr>
                <w:b/>
                <w:lang w:val="de-DE"/>
              </w:rPr>
              <w:t>[</w:t>
            </w:r>
            <w:r w:rsidRPr="00A60665">
              <w:rPr>
                <w:lang w:val="de-DE"/>
              </w:rPr>
              <w:t xml:space="preserve">den Mindestzinssatz </w:t>
            </w:r>
            <w:r w:rsidRPr="00A205FA">
              <w:rPr>
                <w:i/>
                <w:lang w:val="de-DE"/>
              </w:rPr>
              <w:t>(IR</w:t>
            </w:r>
            <w:r w:rsidRPr="00A205FA">
              <w:rPr>
                <w:i/>
                <w:vertAlign w:val="subscript"/>
                <w:lang w:val="de-DE"/>
              </w:rPr>
              <w:t>min</w:t>
            </w:r>
            <w:r w:rsidRPr="00A205FA">
              <w:rPr>
                <w:i/>
                <w:lang w:val="de-DE"/>
              </w:rPr>
              <w:t>)</w:t>
            </w:r>
            <w:r w:rsidRPr="00792D61">
              <w:rPr>
                <w:b/>
                <w:lang w:val="de-DE"/>
              </w:rPr>
              <w:t>][[</w:t>
            </w:r>
            <w:r w:rsidRPr="00A60665">
              <w:rPr>
                <w:rFonts w:ascii="Arial" w:hAnsi="Arial" w:cs="Arial"/>
                <w:lang w:val="de-DE"/>
              </w:rPr>
              <w:t>●</w:t>
            </w:r>
            <w:r w:rsidRPr="00792D61">
              <w:rPr>
                <w:b/>
                <w:lang w:val="de-DE"/>
              </w:rPr>
              <w:t>]]</w:t>
            </w:r>
            <w:r w:rsidRPr="00A60665">
              <w:rPr>
                <w:lang w:val="de-DE"/>
              </w:rPr>
              <w:t xml:space="preserve"> und (B) der Partizipation </w:t>
            </w:r>
            <w:r w:rsidRPr="00A205FA">
              <w:rPr>
                <w:i/>
                <w:lang w:val="de-DE"/>
              </w:rPr>
              <w:t>(Participation)</w:t>
            </w:r>
            <w:r w:rsidRPr="00A60665">
              <w:rPr>
                <w:lang w:val="de-DE"/>
              </w:rPr>
              <w:t xml:space="preserve"> und (II) </w:t>
            </w:r>
            <w:r w:rsidRPr="00792D61">
              <w:rPr>
                <w:b/>
                <w:lang w:val="de-DE"/>
              </w:rPr>
              <w:t>[</w:t>
            </w:r>
            <w:r w:rsidRPr="00A60665">
              <w:rPr>
                <w:lang w:val="de-DE"/>
              </w:rPr>
              <w:t>dem Mindestzinssatz (</w:t>
            </w:r>
            <w:r w:rsidRPr="00A205FA">
              <w:rPr>
                <w:i/>
                <w:lang w:val="de-DE"/>
              </w:rPr>
              <w:t>IR</w:t>
            </w:r>
            <w:r w:rsidRPr="00A205FA">
              <w:rPr>
                <w:i/>
                <w:vertAlign w:val="subscript"/>
                <w:lang w:val="de-DE"/>
              </w:rPr>
              <w:t>min</w:t>
            </w:r>
            <w:r w:rsidRPr="00A60665">
              <w:rPr>
                <w:lang w:val="de-DE"/>
              </w:rPr>
              <w:t>)</w:t>
            </w:r>
            <w:r w:rsidRPr="00792D61">
              <w:rPr>
                <w:b/>
                <w:lang w:val="de-DE"/>
              </w:rPr>
              <w:t>][[</w:t>
            </w:r>
            <w:r w:rsidRPr="00A60665">
              <w:rPr>
                <w:rFonts w:ascii="Arial" w:hAnsi="Arial" w:cs="Arial"/>
                <w:lang w:val="de-DE"/>
              </w:rPr>
              <w:t>●</w:t>
            </w:r>
            <w:r w:rsidRPr="00792D61">
              <w:rPr>
                <w:b/>
                <w:lang w:val="de-DE"/>
              </w:rPr>
              <w:t>]]</w:t>
            </w:r>
            <w:r w:rsidRPr="00A60665">
              <w:rPr>
                <w:lang w:val="de-DE"/>
              </w:rPr>
              <w:t xml:space="preserve"> oder (y) der Mindestzinssatz (</w:t>
            </w:r>
            <w:r w:rsidRPr="00A205FA">
              <w:rPr>
                <w:i/>
                <w:lang w:val="de-DE"/>
              </w:rPr>
              <w:t>IR</w:t>
            </w:r>
            <w:r w:rsidRPr="00A205FA">
              <w:rPr>
                <w:i/>
                <w:vertAlign w:val="subscript"/>
                <w:lang w:val="de-DE"/>
              </w:rPr>
              <w:t>min</w:t>
            </w:r>
            <w:r w:rsidRPr="00A60665">
              <w:rPr>
                <w:lang w:val="de-DE"/>
              </w:rPr>
              <w:t>), berechnet nach der folgenden Formel:</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A457E7">
            <w:pPr>
              <w:pStyle w:val="CSBody0"/>
              <w:rPr>
                <w:b/>
                <w:lang w:val="de-DE"/>
              </w:rPr>
            </w:pPr>
          </w:p>
        </w:tc>
        <w:tc>
          <w:tcPr>
            <w:tcW w:w="3315" w:type="dxa"/>
            <w:gridSpan w:val="7"/>
            <w:tcBorders>
              <w:top w:val="nil"/>
              <w:left w:val="nil"/>
              <w:bottom w:val="nil"/>
            </w:tcBorders>
            <w:shd w:val="clear" w:color="auto" w:fill="auto"/>
          </w:tcPr>
          <w:p w:rsidR="0017135D" w:rsidRPr="00751687" w:rsidP="00942FE5">
            <w:pPr>
              <w:pStyle w:val="CSBody8ptbolditalics"/>
            </w:pPr>
            <w:r w:rsidRPr="00792D61">
              <w:t>[</w:t>
            </w:r>
            <w:r w:rsidRPr="00751687">
              <w:t>in the case of multiple Interest Payment Dates, insert:</w:t>
            </w:r>
          </w:p>
        </w:tc>
        <w:tc>
          <w:tcPr>
            <w:tcW w:w="1618" w:type="dxa"/>
            <w:gridSpan w:val="2"/>
            <w:tcBorders>
              <w:top w:val="nil"/>
              <w:bottom w:val="nil"/>
              <w:right w:val="nil"/>
            </w:tcBorders>
            <w:shd w:val="clear" w:color="auto" w:fill="auto"/>
          </w:tcPr>
          <w:p w:rsidR="0017135D" w:rsidRPr="00A60665" w:rsidP="00942FE5">
            <w:pPr>
              <w:pStyle w:val="CSBody8ptbolditalics"/>
            </w:pPr>
          </w:p>
        </w:tc>
        <w:tc>
          <w:tcPr>
            <w:tcW w:w="3318" w:type="dxa"/>
            <w:gridSpan w:val="10"/>
            <w:tcBorders>
              <w:top w:val="nil"/>
              <w:left w:val="nil"/>
              <w:bottom w:val="nil"/>
              <w:right w:val="nil"/>
            </w:tcBorders>
            <w:shd w:val="clear" w:color="auto" w:fill="auto"/>
          </w:tcPr>
          <w:p w:rsidR="0017135D" w:rsidRPr="00894A40" w:rsidP="00942FE5">
            <w:pPr>
              <w:pStyle w:val="CSBody8ptbolditalics"/>
            </w:pPr>
            <w:r w:rsidRPr="00792D61">
              <w:t>[</w:t>
            </w:r>
            <w:r w:rsidRPr="00894A40">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942FE5">
            <w:pPr>
              <w:pStyle w:val="CSBody8pt"/>
            </w:pPr>
          </w:p>
        </w:tc>
        <w:tc>
          <w:tcPr>
            <w:tcW w:w="3315" w:type="dxa"/>
            <w:gridSpan w:val="7"/>
            <w:tcBorders>
              <w:top w:val="nil"/>
              <w:left w:val="nil"/>
              <w:bottom w:val="nil"/>
            </w:tcBorders>
            <w:shd w:val="clear" w:color="auto" w:fill="auto"/>
          </w:tcPr>
          <w:p w:rsidR="0017135D" w:rsidP="00942FE5">
            <w:pPr>
              <w:pStyle w:val="CSBody8pt"/>
            </w:pPr>
            <w:r w:rsidRPr="00751687">
              <w:t xml:space="preserve">with respect to any Interest Payment Date, a rate per annum equal to the lesser of (i) the </w:t>
            </w:r>
            <w:r w:rsidRPr="00792D61">
              <w:rPr>
                <w:b/>
              </w:rPr>
              <w:t>[</w:t>
            </w:r>
            <w:r w:rsidRPr="00751687">
              <w:t>relevant</w:t>
            </w:r>
            <w:r w:rsidRPr="00792D61">
              <w:rPr>
                <w:b/>
              </w:rPr>
              <w:t>]</w:t>
            </w:r>
            <w:r w:rsidRPr="00751687">
              <w:t xml:space="preserve"> Maximum Interest Rate </w:t>
            </w:r>
            <w:r w:rsidRPr="00A205FA">
              <w:rPr>
                <w:i/>
              </w:rPr>
              <w:t>(IR</w:t>
            </w:r>
            <w:r w:rsidRPr="00A205FA">
              <w:rPr>
                <w:i/>
                <w:vertAlign w:val="subscript"/>
              </w:rPr>
              <w:t>max</w:t>
            </w:r>
            <w:r w:rsidRPr="00A205FA">
              <w:rPr>
                <w:i/>
              </w:rPr>
              <w:t>)</w:t>
            </w:r>
            <w:r w:rsidRPr="00751687">
              <w:t xml:space="preserve"> and (ii) the greater of (x) the sum of (I) the product of (A) </w:t>
            </w:r>
            <w:r w:rsidRPr="00792D61">
              <w:rPr>
                <w:b/>
              </w:rPr>
              <w:t>[</w:t>
            </w:r>
            <w:r w:rsidRPr="00751687">
              <w:t>the sum of</w:t>
            </w:r>
            <w:r w:rsidRPr="00792D61">
              <w:rPr>
                <w:b/>
              </w:rPr>
              <w:t>]</w:t>
            </w:r>
            <w:r w:rsidRPr="00751687">
              <w:t xml:space="preserve"> the Reference Rate on the relevant Interest Determination Date </w:t>
            </w:r>
            <w:r w:rsidRPr="00A205FA">
              <w:rPr>
                <w:i/>
              </w:rPr>
              <w:t>(RR)</w:t>
            </w:r>
            <w:r w:rsidRPr="00751687">
              <w:t xml:space="preserve"> </w:t>
            </w:r>
            <w:r w:rsidRPr="00792D61">
              <w:rPr>
                <w:b/>
              </w:rPr>
              <w:t>[</w:t>
            </w:r>
            <w:r w:rsidRPr="00751687">
              <w:t xml:space="preserve">and </w:t>
            </w:r>
            <w:r w:rsidRPr="00792D61">
              <w:rPr>
                <w:b/>
              </w:rPr>
              <w:t>[</w:t>
            </w:r>
            <w:r w:rsidRPr="00751687">
              <w:rPr>
                <w:rFonts w:ascii="Arial" w:hAnsi="Arial" w:cs="Arial"/>
              </w:rPr>
              <w:t>●</w:t>
            </w:r>
            <w:r w:rsidRPr="00792D61">
              <w:rPr>
                <w:b/>
              </w:rPr>
              <w:t>]</w:t>
            </w:r>
            <w:r w:rsidRPr="00751687">
              <w:t>% per annum,</w:t>
            </w:r>
            <w:r w:rsidRPr="00792D61">
              <w:rPr>
                <w:b/>
              </w:rPr>
              <w:t>]</w:t>
            </w:r>
            <w:r w:rsidRPr="00751687">
              <w:t xml:space="preserve"> less </w:t>
            </w:r>
            <w:r w:rsidRPr="00792D61">
              <w:rPr>
                <w:b/>
              </w:rPr>
              <w:t>[</w:t>
            </w:r>
            <w:r w:rsidRPr="00751687">
              <w:t xml:space="preserve">the </w:t>
            </w:r>
            <w:r w:rsidRPr="00792D61">
              <w:rPr>
                <w:b/>
              </w:rPr>
              <w:t>[</w:t>
            </w:r>
            <w:r w:rsidRPr="00751687">
              <w:t>relevant</w:t>
            </w:r>
            <w:r w:rsidRPr="00792D61">
              <w:rPr>
                <w:b/>
              </w:rPr>
              <w:t>]</w:t>
            </w:r>
            <w:r w:rsidRPr="00751687">
              <w:t xml:space="preserve"> Minimum Interest Rate (</w:t>
            </w:r>
            <w:r w:rsidRPr="00A205FA">
              <w:rPr>
                <w:i/>
              </w:rPr>
              <w:t>IR</w:t>
            </w:r>
            <w:r w:rsidRPr="00A205FA">
              <w:rPr>
                <w:i/>
                <w:vertAlign w:val="subscript"/>
              </w:rPr>
              <w:t>min</w:t>
            </w:r>
            <w:r w:rsidRPr="00751687">
              <w:t>)</w:t>
            </w:r>
            <w:r w:rsidRPr="00792D61">
              <w:rPr>
                <w:b/>
              </w:rPr>
              <w:t>][[</w:t>
            </w:r>
            <w:r w:rsidRPr="00751687">
              <w:rPr>
                <w:rFonts w:ascii="Arial" w:hAnsi="Arial" w:cs="Arial"/>
              </w:rPr>
              <w:t>●</w:t>
            </w:r>
            <w:r w:rsidRPr="00792D61">
              <w:rPr>
                <w:b/>
              </w:rPr>
              <w:t>]]</w:t>
            </w:r>
            <w:r w:rsidRPr="00751687">
              <w:t xml:space="preserve"> and (B) the Participation, and (II) </w:t>
            </w:r>
            <w:r w:rsidRPr="00792D61">
              <w:rPr>
                <w:b/>
              </w:rPr>
              <w:t>[</w:t>
            </w:r>
            <w:r w:rsidRPr="00751687">
              <w:t xml:space="preserve">the </w:t>
            </w:r>
            <w:r w:rsidRPr="00792D61">
              <w:rPr>
                <w:b/>
              </w:rPr>
              <w:t>[</w:t>
            </w:r>
            <w:r w:rsidRPr="00751687">
              <w:t>relevant</w:t>
            </w:r>
            <w:r w:rsidRPr="00792D61">
              <w:rPr>
                <w:b/>
              </w:rPr>
              <w:t>]</w:t>
            </w:r>
            <w:r w:rsidRPr="00751687">
              <w:t xml:space="preserve"> Minimum Interest Rate (</w:t>
            </w:r>
            <w:r w:rsidRPr="00A205FA">
              <w:rPr>
                <w:i/>
              </w:rPr>
              <w:t>IR</w:t>
            </w:r>
            <w:r w:rsidRPr="00A205FA">
              <w:rPr>
                <w:i/>
                <w:vertAlign w:val="subscript"/>
              </w:rPr>
              <w:t>min</w:t>
            </w:r>
            <w:r w:rsidRPr="00751687">
              <w:t>)</w:t>
            </w:r>
            <w:r w:rsidRPr="00792D61">
              <w:rPr>
                <w:b/>
              </w:rPr>
              <w:t>][[</w:t>
            </w:r>
            <w:r w:rsidRPr="00751687">
              <w:rPr>
                <w:rFonts w:ascii="Arial" w:hAnsi="Arial" w:cs="Arial"/>
              </w:rPr>
              <w:t>●</w:t>
            </w:r>
            <w:r w:rsidRPr="00792D61">
              <w:rPr>
                <w:b/>
              </w:rPr>
              <w:t>]]</w:t>
            </w:r>
            <w:r w:rsidRPr="00751687">
              <w:t xml:space="preserve">, and (y) the </w:t>
            </w:r>
            <w:r w:rsidRPr="00792D61">
              <w:rPr>
                <w:b/>
              </w:rPr>
              <w:t>[</w:t>
            </w:r>
            <w:r w:rsidRPr="00751687">
              <w:t>relevant</w:t>
            </w:r>
            <w:r w:rsidRPr="00792D61">
              <w:rPr>
                <w:b/>
              </w:rPr>
              <w:t>]</w:t>
            </w:r>
            <w:r w:rsidRPr="00751687">
              <w:t xml:space="preserve"> Minimum Interest Rate (</w:t>
            </w:r>
            <w:r w:rsidRPr="00A205FA">
              <w:rPr>
                <w:i/>
              </w:rPr>
              <w:t>IR</w:t>
            </w:r>
            <w:r w:rsidRPr="00A205FA">
              <w:rPr>
                <w:i/>
                <w:vertAlign w:val="subscript"/>
              </w:rPr>
              <w:t>min</w:t>
            </w:r>
            <w:r w:rsidRPr="00751687">
              <w:t>), calculated in accordance with the following formula:</w:t>
            </w:r>
            <w:r w:rsidRPr="00792D61">
              <w:rPr>
                <w:b/>
              </w:rPr>
              <w:t>]</w:t>
            </w:r>
          </w:p>
        </w:tc>
        <w:tc>
          <w:tcPr>
            <w:tcW w:w="1618" w:type="dxa"/>
            <w:gridSpan w:val="2"/>
            <w:tcBorders>
              <w:top w:val="nil"/>
              <w:bottom w:val="nil"/>
              <w:right w:val="nil"/>
            </w:tcBorders>
            <w:shd w:val="clear" w:color="auto" w:fill="auto"/>
          </w:tcPr>
          <w:p w:rsidR="0017135D" w:rsidRPr="00A60665" w:rsidP="00942FE5">
            <w:pPr>
              <w:pStyle w:val="CSBody8pt"/>
              <w:rPr>
                <w:i/>
              </w:rPr>
            </w:pPr>
          </w:p>
        </w:tc>
        <w:tc>
          <w:tcPr>
            <w:tcW w:w="3318" w:type="dxa"/>
            <w:gridSpan w:val="10"/>
            <w:tcBorders>
              <w:top w:val="nil"/>
              <w:left w:val="nil"/>
              <w:bottom w:val="nil"/>
              <w:right w:val="nil"/>
            </w:tcBorders>
            <w:shd w:val="clear" w:color="auto" w:fill="auto"/>
          </w:tcPr>
          <w:p w:rsidR="0017135D" w:rsidRPr="00A60665" w:rsidP="00516CB4">
            <w:pPr>
              <w:pStyle w:val="CSBody8pt"/>
              <w:rPr>
                <w:lang w:val="de-DE"/>
              </w:rPr>
            </w:pPr>
            <w:r w:rsidRPr="00A60665">
              <w:rPr>
                <w:lang w:val="de-DE"/>
              </w:rPr>
              <w:t xml:space="preserve">in Bezug auf einen Zinszahlungstag ein Satz per annum in Höhe des jeweils kleineren der folgenden Beträge: (i) der </w:t>
            </w:r>
            <w:r w:rsidRPr="00792D61">
              <w:rPr>
                <w:b/>
                <w:lang w:val="de-DE"/>
              </w:rPr>
              <w:t>[</w:t>
            </w:r>
            <w:r w:rsidRPr="00A60665">
              <w:rPr>
                <w:lang w:val="de-DE"/>
              </w:rPr>
              <w:t>jeweilige</w:t>
            </w:r>
            <w:r w:rsidRPr="00792D61">
              <w:rPr>
                <w:b/>
                <w:lang w:val="de-DE"/>
              </w:rPr>
              <w:t>]</w:t>
            </w:r>
            <w:r w:rsidRPr="00A60665">
              <w:rPr>
                <w:lang w:val="de-DE"/>
              </w:rPr>
              <w:t xml:space="preserve"> Höchstzinssatz (</w:t>
            </w:r>
            <w:r w:rsidRPr="00A205FA">
              <w:rPr>
                <w:i/>
                <w:lang w:val="de-DE"/>
              </w:rPr>
              <w:t>IR</w:t>
            </w:r>
            <w:r w:rsidRPr="00A205FA">
              <w:rPr>
                <w:i/>
                <w:vertAlign w:val="subscript"/>
                <w:lang w:val="de-DE"/>
              </w:rPr>
              <w:t>max</w:t>
            </w:r>
            <w:r w:rsidRPr="00A60665">
              <w:rPr>
                <w:lang w:val="de-DE"/>
              </w:rPr>
              <w:t xml:space="preserve">) oder (ii) der jeweils grössere der folgenden Beträge: (x) die Summe aus (I) dem Produkt aus (A) </w:t>
            </w:r>
            <w:r w:rsidRPr="00792D61">
              <w:rPr>
                <w:b/>
                <w:lang w:val="de-DE"/>
              </w:rPr>
              <w:t>[</w:t>
            </w:r>
            <w:r w:rsidRPr="00A60665">
              <w:rPr>
                <w:lang w:val="de-DE"/>
              </w:rPr>
              <w:t>der Summe aus</w:t>
            </w:r>
            <w:r w:rsidRPr="00792D61">
              <w:rPr>
                <w:b/>
                <w:lang w:val="de-DE"/>
              </w:rPr>
              <w:t>]</w:t>
            </w:r>
            <w:r w:rsidRPr="00A60665">
              <w:rPr>
                <w:lang w:val="de-DE"/>
              </w:rPr>
              <w:t xml:space="preserve"> dem Referenzsatz an dem jeweiligen Zinsfeststellungstag </w:t>
            </w:r>
            <w:r w:rsidRPr="00A205FA">
              <w:rPr>
                <w:i/>
                <w:lang w:val="de-DE"/>
              </w:rPr>
              <w:t>(RR)</w:t>
            </w:r>
            <w:r w:rsidRPr="00A60665">
              <w:rPr>
                <w:lang w:val="de-DE"/>
              </w:rPr>
              <w:t xml:space="preserve"> </w:t>
            </w:r>
            <w:r w:rsidRPr="00792D61">
              <w:rPr>
                <w:b/>
                <w:lang w:val="de-DE"/>
              </w:rPr>
              <w:t>[</w:t>
            </w:r>
            <w:r w:rsidRPr="00A60665">
              <w:rPr>
                <w:lang w:val="de-DE"/>
              </w:rPr>
              <w:t xml:space="preserve">und </w:t>
            </w:r>
            <w:r w:rsidRPr="00792D61">
              <w:rPr>
                <w:b/>
                <w:lang w:val="de-DE"/>
              </w:rPr>
              <w:t>[</w:t>
            </w:r>
            <w:r w:rsidRPr="00A60665">
              <w:rPr>
                <w:rFonts w:ascii="Arial" w:hAnsi="Arial" w:cs="Arial"/>
                <w:lang w:val="de-DE"/>
              </w:rPr>
              <w:t>●</w:t>
            </w:r>
            <w:r w:rsidRPr="00792D61">
              <w:rPr>
                <w:b/>
                <w:lang w:val="de-DE"/>
              </w:rPr>
              <w:t>]</w:t>
            </w:r>
            <w:r w:rsidRPr="00A60665">
              <w:rPr>
                <w:lang w:val="de-DE"/>
              </w:rPr>
              <w:t>% per annum</w:t>
            </w:r>
            <w:r w:rsidRPr="00792D61">
              <w:rPr>
                <w:b/>
                <w:lang w:val="de-DE"/>
              </w:rPr>
              <w:t>]</w:t>
            </w:r>
            <w:r w:rsidRPr="00A60665">
              <w:rPr>
                <w:lang w:val="de-DE"/>
              </w:rPr>
              <w:t xml:space="preserve"> minus </w:t>
            </w:r>
            <w:r w:rsidRPr="00792D61">
              <w:rPr>
                <w:b/>
                <w:lang w:val="de-DE"/>
              </w:rPr>
              <w:t>[</w:t>
            </w:r>
            <w:r w:rsidRPr="00A60665">
              <w:rPr>
                <w:lang w:val="de-DE"/>
              </w:rPr>
              <w:t xml:space="preserve">der </w:t>
            </w:r>
            <w:r w:rsidRPr="00792D61">
              <w:rPr>
                <w:b/>
                <w:lang w:val="de-DE"/>
              </w:rPr>
              <w:t>[</w:t>
            </w:r>
            <w:r w:rsidRPr="00A60665">
              <w:rPr>
                <w:lang w:val="de-DE"/>
              </w:rPr>
              <w:t>jeweilige</w:t>
            </w:r>
            <w:r w:rsidRPr="00792D61">
              <w:rPr>
                <w:b/>
                <w:lang w:val="de-DE"/>
              </w:rPr>
              <w:t>]</w:t>
            </w:r>
            <w:r w:rsidRPr="00A60665">
              <w:rPr>
                <w:lang w:val="de-DE"/>
              </w:rPr>
              <w:t xml:space="preserve"> Mindestzinssatz (</w:t>
            </w:r>
            <w:r w:rsidRPr="00A205FA">
              <w:rPr>
                <w:i/>
                <w:lang w:val="de-DE"/>
              </w:rPr>
              <w:t>IR</w:t>
            </w:r>
            <w:r w:rsidRPr="00A205FA">
              <w:rPr>
                <w:i/>
                <w:vertAlign w:val="subscript"/>
                <w:lang w:val="de-DE"/>
              </w:rPr>
              <w:t>min</w:t>
            </w:r>
            <w:r w:rsidRPr="00A60665">
              <w:rPr>
                <w:lang w:val="de-DE"/>
              </w:rPr>
              <w:t>)</w:t>
            </w:r>
            <w:r w:rsidRPr="00792D61">
              <w:rPr>
                <w:b/>
                <w:lang w:val="de-DE"/>
              </w:rPr>
              <w:t>][[</w:t>
            </w:r>
            <w:r w:rsidRPr="00A60665">
              <w:rPr>
                <w:rFonts w:ascii="Arial" w:hAnsi="Arial" w:cs="Arial"/>
                <w:lang w:val="de-DE"/>
              </w:rPr>
              <w:t>●</w:t>
            </w:r>
            <w:r w:rsidRPr="00792D61">
              <w:rPr>
                <w:b/>
                <w:lang w:val="de-DE"/>
              </w:rPr>
              <w:t>]]</w:t>
            </w:r>
            <w:r w:rsidRPr="00A60665">
              <w:rPr>
                <w:lang w:val="de-DE"/>
              </w:rPr>
              <w:t xml:space="preserve"> und (B) der Partizipation </w:t>
            </w:r>
            <w:r w:rsidRPr="00A205FA">
              <w:rPr>
                <w:i/>
                <w:lang w:val="de-DE"/>
              </w:rPr>
              <w:t>(Participation)</w:t>
            </w:r>
            <w:r w:rsidRPr="00A60665">
              <w:rPr>
                <w:lang w:val="de-DE"/>
              </w:rPr>
              <w:t xml:space="preserve"> und (II) </w:t>
            </w:r>
            <w:r w:rsidRPr="00792D61">
              <w:rPr>
                <w:b/>
                <w:lang w:val="de-DE"/>
              </w:rPr>
              <w:t>[</w:t>
            </w:r>
            <w:r w:rsidRPr="00A60665">
              <w:rPr>
                <w:lang w:val="de-DE"/>
              </w:rPr>
              <w:t xml:space="preserve">dem </w:t>
            </w:r>
            <w:r w:rsidRPr="00792D61">
              <w:rPr>
                <w:b/>
                <w:lang w:val="de-DE"/>
              </w:rPr>
              <w:t>[</w:t>
            </w:r>
            <w:r w:rsidRPr="00A60665">
              <w:rPr>
                <w:lang w:val="de-DE"/>
              </w:rPr>
              <w:t>jeweiligen</w:t>
            </w:r>
            <w:r w:rsidRPr="00792D61">
              <w:rPr>
                <w:b/>
                <w:lang w:val="de-DE"/>
              </w:rPr>
              <w:t>]</w:t>
            </w:r>
            <w:r w:rsidRPr="00A60665">
              <w:rPr>
                <w:lang w:val="de-DE"/>
              </w:rPr>
              <w:t xml:space="preserve"> Mindestzinssatz (</w:t>
            </w:r>
            <w:r w:rsidRPr="00A205FA">
              <w:rPr>
                <w:i/>
                <w:lang w:val="de-DE"/>
              </w:rPr>
              <w:t>IR</w:t>
            </w:r>
            <w:r w:rsidRPr="00A205FA">
              <w:rPr>
                <w:i/>
                <w:vertAlign w:val="subscript"/>
                <w:lang w:val="de-DE"/>
              </w:rPr>
              <w:t>min</w:t>
            </w:r>
            <w:r w:rsidRPr="00A60665">
              <w:rPr>
                <w:lang w:val="de-DE"/>
              </w:rPr>
              <w:t>)</w:t>
            </w:r>
            <w:r w:rsidRPr="00792D61">
              <w:rPr>
                <w:b/>
                <w:lang w:val="de-DE"/>
              </w:rPr>
              <w:t>][[</w:t>
            </w:r>
            <w:r w:rsidRPr="00A60665">
              <w:rPr>
                <w:rFonts w:ascii="Arial" w:hAnsi="Arial" w:cs="Arial"/>
                <w:lang w:val="de-DE"/>
              </w:rPr>
              <w:t>●</w:t>
            </w:r>
            <w:r w:rsidRPr="00792D61">
              <w:rPr>
                <w:b/>
                <w:lang w:val="de-DE"/>
              </w:rPr>
              <w:t>]]</w:t>
            </w:r>
            <w:r w:rsidRPr="00A60665">
              <w:rPr>
                <w:lang w:val="de-DE"/>
              </w:rPr>
              <w:t xml:space="preserve"> oder (y) der </w:t>
            </w:r>
            <w:r w:rsidRPr="00792D61">
              <w:rPr>
                <w:b/>
                <w:lang w:val="de-DE"/>
              </w:rPr>
              <w:t>[</w:t>
            </w:r>
            <w:r w:rsidRPr="00A60665">
              <w:rPr>
                <w:lang w:val="de-DE"/>
              </w:rPr>
              <w:t>jeweilige</w:t>
            </w:r>
            <w:r w:rsidRPr="00792D61">
              <w:rPr>
                <w:b/>
                <w:lang w:val="de-DE"/>
              </w:rPr>
              <w:t>]</w:t>
            </w:r>
            <w:r w:rsidRPr="00A60665">
              <w:rPr>
                <w:lang w:val="de-DE"/>
              </w:rPr>
              <w:t xml:space="preserve"> Mindestzinssatz (</w:t>
            </w:r>
            <w:r w:rsidRPr="00A205FA">
              <w:rPr>
                <w:i/>
                <w:lang w:val="de-DE"/>
              </w:rPr>
              <w:t>IR</w:t>
            </w:r>
            <w:r w:rsidRPr="00A205FA">
              <w:rPr>
                <w:i/>
                <w:vertAlign w:val="subscript"/>
                <w:lang w:val="de-DE"/>
              </w:rPr>
              <w:t>min</w:t>
            </w:r>
            <w:r w:rsidRPr="00A60665">
              <w:rPr>
                <w:lang w:val="de-DE"/>
              </w:rPr>
              <w:t>), berechnet nach der folgenden Formel:</w:t>
            </w:r>
            <w:r w:rsidRPr="00792D61">
              <w:rPr>
                <w:b/>
                <w:lang w:val="de-DE"/>
              </w:rPr>
              <w:t>]</w:t>
            </w:r>
          </w:p>
        </w:tc>
      </w:tr>
      <w:tr w:rsidTr="009D1540">
        <w:tblPrEx>
          <w:tblW w:w="4999" w:type="pct"/>
          <w:tblLayout w:type="fixed"/>
          <w:tblCellMar>
            <w:left w:w="115" w:type="dxa"/>
            <w:right w:w="115" w:type="dxa"/>
          </w:tblCellMar>
          <w:tblLook w:val="04A0"/>
        </w:tblPrEx>
        <w:tc>
          <w:tcPr>
            <w:tcW w:w="9867" w:type="dxa"/>
            <w:gridSpan w:val="23"/>
            <w:tcBorders>
              <w:top w:val="nil"/>
              <w:left w:val="nil"/>
              <w:bottom w:val="nil"/>
              <w:right w:val="nil"/>
            </w:tcBorders>
            <w:shd w:val="clear" w:color="auto" w:fill="auto"/>
          </w:tcPr>
          <w:p w:rsidR="0017135D" w:rsidRPr="005B1A26" w:rsidP="00FB415C">
            <w:pPr>
              <w:pStyle w:val="CSBody0"/>
              <w:spacing w:before="120" w:after="120"/>
              <w:jc w:val="center"/>
              <w:rPr>
                <w:b/>
                <w:bCs/>
                <w:lang w:val="de-DE"/>
              </w:rPr>
            </w:pPr>
            <m:oMath>
              <m:r>
                <w:rPr>
                  <w:rFonts w:ascii="Cambria Math" w:hAnsi="Cambria Math"/>
                  <w:sz w:val="14"/>
                  <w:lang w:val="de-DE"/>
                </w:rPr>
                <m:t>min</m:t>
              </m:r>
              <m:d>
                <m:dPr>
                  <m:ctrlPr>
                    <w:rPr>
                      <w:rFonts w:ascii="Cambria Math" w:hAnsi="Cambria Math"/>
                      <w:bCs/>
                      <w:i/>
                      <w:sz w:val="14"/>
                      <w:lang w:val="de-DE"/>
                    </w:rPr>
                  </m:ctrlPr>
                </m:dPr>
                <m:e>
                  <m:sSub>
                    <m:sSubPr>
                      <m:ctrlPr>
                        <w:rPr>
                          <w:rFonts w:ascii="Cambria Math" w:hAnsi="Cambria Math"/>
                          <w:bCs/>
                          <w:i/>
                          <w:sz w:val="14"/>
                          <w:lang w:val="de-DE"/>
                        </w:rPr>
                      </m:ctrlPr>
                    </m:sSubPr>
                    <m:e>
                      <m:r>
                        <w:rPr>
                          <w:rFonts w:ascii="Cambria Math" w:hAnsi="Cambria Math"/>
                          <w:sz w:val="14"/>
                          <w:lang w:val="de-DE"/>
                        </w:rPr>
                        <m:t>IR</m:t>
                      </m:r>
                    </m:e>
                    <m:sub>
                      <m:r>
                        <w:rPr>
                          <w:rFonts w:ascii="Cambria Math" w:hAnsi="Cambria Math"/>
                          <w:sz w:val="14"/>
                          <w:lang w:val="de-DE"/>
                        </w:rPr>
                        <m:t>max</m:t>
                      </m:r>
                    </m:sub>
                  </m:sSub>
                  <m:r>
                    <w:rPr>
                      <w:rFonts w:ascii="Cambria Math" w:hAnsi="Cambria Math"/>
                      <w:sz w:val="14"/>
                      <w:lang w:val="de-DE"/>
                    </w:rPr>
                    <m:t>;max</m:t>
                  </m:r>
                  <m:d>
                    <m:dPr>
                      <m:begChr m:val="["/>
                      <m:endChr m:val="]"/>
                      <m:ctrlPr>
                        <w:rPr>
                          <w:rFonts w:ascii="Cambria Math" w:hAnsi="Cambria Math"/>
                          <w:bCs/>
                          <w:i/>
                          <w:sz w:val="14"/>
                          <w:lang w:val="de-DE"/>
                        </w:rPr>
                      </m:ctrlPr>
                    </m:dPr>
                    <m:e>
                      <m:d>
                        <m:dPr>
                          <m:ctrlPr>
                            <w:rPr>
                              <w:rFonts w:ascii="Cambria Math" w:hAnsi="Cambria Math"/>
                              <w:bCs/>
                              <w:i/>
                              <w:sz w:val="14"/>
                              <w:lang w:val="de-DE"/>
                            </w:rPr>
                          </m:ctrlPr>
                        </m:dPr>
                        <m:e>
                          <m:d>
                            <m:dPr>
                              <m:ctrlPr>
                                <w:rPr>
                                  <w:rFonts w:ascii="Cambria Math" w:hAnsi="Cambria Math"/>
                                  <w:bCs/>
                                  <w:i/>
                                  <w:sz w:val="14"/>
                                  <w:lang w:val="de-DE"/>
                                </w:rPr>
                              </m:ctrlPr>
                            </m:dPr>
                            <m:e>
                              <m:r>
                                <w:rPr>
                                  <w:rFonts w:ascii="Cambria Math" w:hAnsi="Cambria Math"/>
                                  <w:sz w:val="14"/>
                                  <w:lang w:val="de-DE"/>
                                </w:rPr>
                                <m:t>RR</m:t>
                              </m:r>
                              <m:d>
                                <m:dPr>
                                  <m:begChr m:val="["/>
                                  <m:endChr m:val="]"/>
                                  <m:ctrlPr>
                                    <w:rPr>
                                      <w:rFonts w:ascii="Cambria Math" w:hAnsi="Cambria Math"/>
                                      <w:bCs/>
                                      <w:i/>
                                      <w:sz w:val="14"/>
                                      <w:lang w:val="de-DE"/>
                                    </w:rPr>
                                  </m:ctrlPr>
                                </m:dPr>
                                <m:e>
                                  <m:r>
                                    <w:rPr>
                                      <w:rFonts w:ascii="Cambria Math" w:hAnsi="Cambria Math"/>
                                      <w:sz w:val="14"/>
                                      <w:lang w:val="de-DE"/>
                                    </w:rPr>
                                    <m:t>+</m:t>
                                  </m:r>
                                  <m:d>
                                    <m:dPr>
                                      <m:begChr m:val="["/>
                                      <m:endChr m:val="]"/>
                                      <m:ctrlPr>
                                        <w:rPr>
                                          <w:rFonts w:ascii="Cambria Math" w:hAnsi="Cambria Math"/>
                                          <w:bCs/>
                                          <w:i/>
                                          <w:sz w:val="14"/>
                                          <w:lang w:val="de-DE"/>
                                        </w:rPr>
                                      </m:ctrlPr>
                                    </m:dPr>
                                    <m:e>
                                      <m:r>
                                        <m:rPr>
                                          <m:sty m:val="p"/>
                                        </m:rPr>
                                        <w:rPr>
                                          <w:rFonts w:ascii="Times New Roman" w:hAnsi="Times New Roman"/>
                                          <w:sz w:val="14"/>
                                          <w:lang w:val="de-DE"/>
                                        </w:rPr>
                                        <m:t>●●</m:t>
                                      </m:r>
                                    </m:e>
                                  </m:d>
                                  <m:r>
                                    <w:rPr>
                                      <w:rFonts w:ascii="Cambria Math" w:hAnsi="Cambria Math"/>
                                      <w:sz w:val="14"/>
                                      <w:lang w:val="de-DE"/>
                                    </w:rPr>
                                    <m:t>%p.a.</m:t>
                                  </m:r>
                                </m:e>
                              </m:d>
                              <m:r>
                                <w:rPr>
                                  <w:rFonts w:ascii="Cambria Math" w:hAnsi="Cambria Math"/>
                                  <w:sz w:val="14"/>
                                  <w:lang w:val="de-DE"/>
                                </w:rPr>
                                <m:t>-</m:t>
                              </m:r>
                              <m:d>
                                <m:dPr>
                                  <m:begChr m:val="["/>
                                  <m:endChr m:val="]"/>
                                  <m:ctrlPr>
                                    <w:rPr>
                                      <w:rFonts w:ascii="Cambria Math" w:hAnsi="Cambria Math"/>
                                      <w:bCs/>
                                      <w:i/>
                                      <w:sz w:val="14"/>
                                      <w:lang w:val="de-DE"/>
                                    </w:rPr>
                                  </m:ctrlPr>
                                </m:dPr>
                                <m:e>
                                  <m:sSub>
                                    <m:sSubPr>
                                      <m:ctrlPr>
                                        <w:rPr>
                                          <w:rFonts w:ascii="Cambria Math" w:hAnsi="Cambria Math"/>
                                          <w:bCs/>
                                          <w:i/>
                                          <w:sz w:val="14"/>
                                          <w:lang w:val="de-DE"/>
                                        </w:rPr>
                                      </m:ctrlPr>
                                    </m:sSubPr>
                                    <m:e>
                                      <m:r>
                                        <w:rPr>
                                          <w:rFonts w:ascii="Cambria Math" w:hAnsi="Cambria Math"/>
                                          <w:sz w:val="14"/>
                                          <w:lang w:val="de-DE"/>
                                        </w:rPr>
                                        <m:t>IR</m:t>
                                      </m:r>
                                    </m:e>
                                    <m:sub>
                                      <m:r>
                                        <w:rPr>
                                          <w:rFonts w:ascii="Cambria Math" w:hAnsi="Cambria Math"/>
                                          <w:sz w:val="14"/>
                                          <w:lang w:val="de-DE"/>
                                        </w:rPr>
                                        <m:t>min</m:t>
                                      </m:r>
                                    </m:sub>
                                  </m:sSub>
                                </m:e>
                              </m:d>
                              <m:d>
                                <m:dPr>
                                  <m:begChr m:val="["/>
                                  <m:endChr m:val="]"/>
                                  <m:ctrlPr>
                                    <w:rPr>
                                      <w:rFonts w:ascii="Cambria Math" w:hAnsi="Cambria Math"/>
                                      <w:bCs/>
                                      <w:i/>
                                      <w:sz w:val="14"/>
                                      <w:lang w:val="de-DE"/>
                                    </w:rPr>
                                  </m:ctrlPr>
                                </m:dPr>
                                <m:e>
                                  <m:d>
                                    <m:dPr>
                                      <m:begChr m:val="["/>
                                      <m:endChr m:val="]"/>
                                      <m:ctrlPr>
                                        <w:rPr>
                                          <w:rFonts w:ascii="Cambria Math" w:hAnsi="Cambria Math"/>
                                          <w:bCs/>
                                          <w:i/>
                                          <w:sz w:val="14"/>
                                          <w:lang w:val="de-DE"/>
                                        </w:rPr>
                                      </m:ctrlPr>
                                    </m:dPr>
                                    <m:e>
                                      <m:r>
                                        <m:rPr>
                                          <m:sty m:val="p"/>
                                        </m:rPr>
                                        <w:rPr>
                                          <w:rFonts w:ascii="Times New Roman" w:hAnsi="Times New Roman"/>
                                          <w:sz w:val="14"/>
                                          <w:lang w:val="de-DE"/>
                                        </w:rPr>
                                        <m:t>●●</m:t>
                                      </m:r>
                                    </m:e>
                                  </m:d>
                                </m:e>
                              </m:d>
                            </m:e>
                          </m:d>
                          <m:r>
                            <w:rPr>
                              <w:rFonts w:ascii="Cambria Math" w:hAnsi="Cambria Math"/>
                              <w:sz w:val="14"/>
                              <w:lang w:val="de-DE"/>
                            </w:rPr>
                            <m:t>×Participation</m:t>
                          </m:r>
                        </m:e>
                      </m:d>
                      <m:r>
                        <w:rPr>
                          <w:rFonts w:ascii="Cambria Math" w:hAnsi="Cambria Math"/>
                          <w:sz w:val="14"/>
                          <w:lang w:val="de-DE"/>
                        </w:rPr>
                        <m:t>+</m:t>
                      </m:r>
                      <m:d>
                        <m:dPr>
                          <m:begChr m:val="["/>
                          <m:endChr m:val="]"/>
                          <m:ctrlPr>
                            <w:rPr>
                              <w:rFonts w:ascii="Cambria Math" w:hAnsi="Cambria Math"/>
                              <w:bCs/>
                              <w:i/>
                              <w:sz w:val="14"/>
                              <w:lang w:val="de-DE"/>
                            </w:rPr>
                          </m:ctrlPr>
                        </m:dPr>
                        <m:e>
                          <m:sSub>
                            <m:sSubPr>
                              <m:ctrlPr>
                                <w:rPr>
                                  <w:rFonts w:ascii="Cambria Math" w:hAnsi="Cambria Math"/>
                                  <w:bCs/>
                                  <w:i/>
                                  <w:sz w:val="14"/>
                                  <w:lang w:val="de-DE"/>
                                </w:rPr>
                              </m:ctrlPr>
                            </m:sSubPr>
                            <m:e>
                              <m:r>
                                <w:rPr>
                                  <w:rFonts w:ascii="Cambria Math" w:hAnsi="Cambria Math"/>
                                  <w:sz w:val="14"/>
                                  <w:lang w:val="de-DE"/>
                                </w:rPr>
                                <m:t>IR</m:t>
                              </m:r>
                            </m:e>
                            <m:sub>
                              <m:r>
                                <w:rPr>
                                  <w:rFonts w:ascii="Cambria Math" w:hAnsi="Cambria Math"/>
                                  <w:sz w:val="14"/>
                                  <w:lang w:val="de-DE"/>
                                </w:rPr>
                                <m:t>min</m:t>
                              </m:r>
                            </m:sub>
                          </m:sSub>
                        </m:e>
                      </m:d>
                      <m:d>
                        <m:dPr>
                          <m:begChr m:val="["/>
                          <m:endChr m:val="]"/>
                          <m:ctrlPr>
                            <w:rPr>
                              <w:rFonts w:ascii="Cambria Math" w:hAnsi="Cambria Math"/>
                              <w:bCs/>
                              <w:i/>
                              <w:sz w:val="14"/>
                              <w:lang w:val="de-DE"/>
                            </w:rPr>
                          </m:ctrlPr>
                        </m:dPr>
                        <m:e>
                          <m:d>
                            <m:dPr>
                              <m:begChr m:val="["/>
                              <m:endChr m:val="]"/>
                              <m:ctrlPr>
                                <w:rPr>
                                  <w:rFonts w:ascii="Cambria Math" w:hAnsi="Cambria Math"/>
                                  <w:bCs/>
                                  <w:i/>
                                  <w:sz w:val="14"/>
                                  <w:lang w:val="de-DE"/>
                                </w:rPr>
                              </m:ctrlPr>
                            </m:dPr>
                            <m:e>
                              <m:r>
                                <m:rPr>
                                  <m:sty m:val="p"/>
                                </m:rPr>
                                <w:rPr>
                                  <w:rFonts w:ascii="Times New Roman" w:hAnsi="Times New Roman"/>
                                  <w:sz w:val="14"/>
                                  <w:lang w:val="de-DE"/>
                                </w:rPr>
                                <m:t>●●●</m:t>
                              </m:r>
                            </m:e>
                          </m:d>
                        </m:e>
                      </m:d>
                      <m:r>
                        <w:rPr>
                          <w:rFonts w:ascii="Cambria Math" w:hAnsi="Cambria Math"/>
                          <w:sz w:val="14"/>
                          <w:lang w:val="de-DE"/>
                        </w:rPr>
                        <m:t>;</m:t>
                      </m:r>
                      <m:sSub>
                        <m:sSubPr>
                          <m:ctrlPr>
                            <w:rPr>
                              <w:rFonts w:ascii="Cambria Math" w:hAnsi="Cambria Math"/>
                              <w:bCs/>
                              <w:i/>
                              <w:sz w:val="14"/>
                              <w:lang w:val="de-DE"/>
                            </w:rPr>
                          </m:ctrlPr>
                        </m:sSubPr>
                        <m:e>
                          <m:r>
                            <w:rPr>
                              <w:rFonts w:ascii="Cambria Math" w:hAnsi="Cambria Math"/>
                              <w:sz w:val="14"/>
                              <w:lang w:val="de-DE"/>
                            </w:rPr>
                            <m:t>IR</m:t>
                          </m:r>
                        </m:e>
                        <m:sub>
                          <m:r>
                            <w:rPr>
                              <w:rFonts w:ascii="Cambria Math" w:hAnsi="Cambria Math"/>
                              <w:sz w:val="14"/>
                              <w:lang w:val="de-DE"/>
                            </w:rPr>
                            <m:t>min</m:t>
                          </m:r>
                        </m:sub>
                      </m:sSub>
                    </m:e>
                  </m:d>
                </m:e>
              </m:d>
            </m:oMath>
            <w:r>
              <w:rPr>
                <w:rFonts w:eastAsiaTheme="minorEastAsia"/>
                <w:bCs/>
                <w:lang w:val="de-DE"/>
              </w:rPr>
              <w:t>.</w:t>
            </w:r>
            <w:r w:rsidRPr="00792D61">
              <w:rPr>
                <w:rFonts w:eastAsiaTheme="minorEastAsia"/>
                <w:b/>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0665" w:rsidP="00A457E7">
            <w:pPr>
              <w:pStyle w:val="CSBody0"/>
              <w:rPr>
                <w:b/>
                <w:lang w:val="de-DE"/>
              </w:rPr>
            </w:pPr>
          </w:p>
        </w:tc>
        <w:tc>
          <w:tcPr>
            <w:tcW w:w="3315" w:type="dxa"/>
            <w:gridSpan w:val="7"/>
            <w:tcBorders>
              <w:top w:val="nil"/>
              <w:left w:val="nil"/>
              <w:bottom w:val="nil"/>
            </w:tcBorders>
            <w:shd w:val="clear" w:color="auto" w:fill="auto"/>
          </w:tcPr>
          <w:p w:rsidR="0017135D" w:rsidRPr="00F31125" w:rsidP="00FB415C">
            <w:pPr>
              <w:pStyle w:val="CSBody8ptbolditalics"/>
            </w:pPr>
            <w:r w:rsidRPr="00792D61">
              <w:t>[</w:t>
            </w:r>
            <w:r w:rsidRPr="00F31125">
              <w:t>in the case of Inverse Floating Rate Notes without a Fixed Interest Payment Amount, insert:</w:t>
            </w:r>
          </w:p>
        </w:tc>
        <w:tc>
          <w:tcPr>
            <w:tcW w:w="1618" w:type="dxa"/>
            <w:gridSpan w:val="2"/>
            <w:tcBorders>
              <w:top w:val="nil"/>
              <w:bottom w:val="nil"/>
              <w:right w:val="nil"/>
            </w:tcBorders>
            <w:shd w:val="clear" w:color="auto" w:fill="auto"/>
          </w:tcPr>
          <w:p w:rsidR="0017135D" w:rsidRPr="005B1A26" w:rsidP="00E60155">
            <w:pPr>
              <w:pStyle w:val="CSBody0"/>
              <w:rPr>
                <w:b/>
                <w:i/>
              </w:rPr>
            </w:pPr>
          </w:p>
        </w:tc>
        <w:tc>
          <w:tcPr>
            <w:tcW w:w="3318" w:type="dxa"/>
            <w:gridSpan w:val="10"/>
            <w:tcBorders>
              <w:top w:val="nil"/>
              <w:left w:val="nil"/>
              <w:bottom w:val="nil"/>
              <w:right w:val="nil"/>
            </w:tcBorders>
            <w:shd w:val="clear" w:color="auto" w:fill="auto"/>
          </w:tcPr>
          <w:p w:rsidR="0017135D" w:rsidRPr="005B1A26" w:rsidP="00FB415C">
            <w:pPr>
              <w:pStyle w:val="CSBody8ptbolditalics"/>
              <w:rPr>
                <w:lang w:val="de-DE"/>
              </w:rPr>
            </w:pPr>
            <w:r w:rsidRPr="00792D61">
              <w:rPr>
                <w:lang w:val="de-DE"/>
              </w:rPr>
              <w:t>[</w:t>
            </w:r>
            <w:r w:rsidRPr="005B1A26">
              <w:rPr>
                <w:lang w:val="de-DE"/>
              </w:rPr>
              <w:t xml:space="preserve">bei Inverse Floating Rate Notes ohne Zinszahlungsbetrag für Festzinsen einfügen: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F31125" w:rsidP="00FB415C">
            <w:pPr>
              <w:pStyle w:val="CSBody8ptbolditalics"/>
            </w:pPr>
            <w:r w:rsidRPr="00792D61">
              <w:t>[</w:t>
            </w:r>
            <w:r w:rsidRPr="00F31125">
              <w:t>in the case of one Interest Payment Date, insert:</w:t>
            </w:r>
          </w:p>
        </w:tc>
        <w:tc>
          <w:tcPr>
            <w:tcW w:w="1618" w:type="dxa"/>
            <w:gridSpan w:val="2"/>
            <w:tcBorders>
              <w:top w:val="nil"/>
              <w:bottom w:val="nil"/>
              <w:right w:val="nil"/>
            </w:tcBorders>
            <w:shd w:val="clear" w:color="auto" w:fill="auto"/>
          </w:tcPr>
          <w:p w:rsidR="0017135D" w:rsidRPr="005B1A26" w:rsidP="00E60155">
            <w:pPr>
              <w:pStyle w:val="CSBody0"/>
              <w:rPr>
                <w:b/>
                <w:i/>
              </w:rPr>
            </w:pPr>
          </w:p>
        </w:tc>
        <w:tc>
          <w:tcPr>
            <w:tcW w:w="3318" w:type="dxa"/>
            <w:gridSpan w:val="10"/>
            <w:tcBorders>
              <w:top w:val="nil"/>
              <w:left w:val="nil"/>
              <w:bottom w:val="nil"/>
              <w:right w:val="nil"/>
            </w:tcBorders>
            <w:shd w:val="clear" w:color="auto" w:fill="auto"/>
          </w:tcPr>
          <w:p w:rsidR="0017135D" w:rsidRPr="005B1A26" w:rsidP="00FB415C">
            <w:pPr>
              <w:pStyle w:val="CSBody8ptbolditalics"/>
              <w:rPr>
                <w:lang w:val="de-DE"/>
              </w:rPr>
            </w:pPr>
            <w:r w:rsidRPr="00792D61">
              <w:rPr>
                <w:lang w:val="de-DE"/>
              </w:rPr>
              <w:t>[</w:t>
            </w:r>
            <w:r w:rsidRPr="005B1A26">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FB415C">
            <w:pPr>
              <w:pStyle w:val="CSBody8pt"/>
              <w:rPr>
                <w:lang w:val="de-DE"/>
              </w:rPr>
            </w:pPr>
          </w:p>
        </w:tc>
        <w:tc>
          <w:tcPr>
            <w:tcW w:w="3315" w:type="dxa"/>
            <w:gridSpan w:val="7"/>
            <w:tcBorders>
              <w:top w:val="nil"/>
              <w:left w:val="nil"/>
              <w:bottom w:val="nil"/>
            </w:tcBorders>
            <w:shd w:val="clear" w:color="auto" w:fill="auto"/>
          </w:tcPr>
          <w:p w:rsidR="0017135D" w:rsidP="00FB415C">
            <w:pPr>
              <w:pStyle w:val="CSBody8pt"/>
            </w:pPr>
            <w:r w:rsidRPr="00F31125">
              <w:t xml:space="preserve">a rate per annum equal to the greater of (i) </w:t>
            </w:r>
            <w:r w:rsidRPr="00792D61">
              <w:rPr>
                <w:b/>
              </w:rPr>
              <w:t>[</w:t>
            </w:r>
            <w:r w:rsidRPr="00F31125">
              <w:t>zero (0)</w:t>
            </w:r>
            <w:r w:rsidRPr="00792D61">
              <w:rPr>
                <w:b/>
              </w:rPr>
              <w:t>][</w:t>
            </w:r>
            <w:r w:rsidRPr="00F31125">
              <w:t xml:space="preserve">the </w:t>
            </w:r>
            <w:r w:rsidRPr="00792D61">
              <w:rPr>
                <w:b/>
              </w:rPr>
              <w:t>[</w:t>
            </w:r>
            <w:r w:rsidRPr="00F31125">
              <w:t>relevant</w:t>
            </w:r>
            <w:r w:rsidRPr="00792D61">
              <w:rPr>
                <w:b/>
              </w:rPr>
              <w:t>]</w:t>
            </w:r>
            <w:r w:rsidRPr="00F31125">
              <w:t xml:space="preserve"> Minimum Interest Rate</w:t>
            </w:r>
            <w:r w:rsidRPr="00792D61">
              <w:rPr>
                <w:b/>
              </w:rPr>
              <w:t>]</w:t>
            </w:r>
            <w:r w:rsidRPr="00F31125">
              <w:t xml:space="preserve"> and (ii) the Spread Rate less </w:t>
            </w:r>
            <w:r w:rsidRPr="00792D61">
              <w:rPr>
                <w:b/>
              </w:rPr>
              <w:t>[</w:t>
            </w:r>
            <w:r w:rsidRPr="00F31125">
              <w:t>the sum of (x)</w:t>
            </w:r>
            <w:r w:rsidRPr="00792D61">
              <w:rPr>
                <w:b/>
              </w:rPr>
              <w:t>]</w:t>
            </w:r>
            <w:r w:rsidRPr="00F31125">
              <w:t xml:space="preserve"> the Reference Rate on the Interest Determination Date </w:t>
            </w:r>
            <w:r w:rsidRPr="00792D61">
              <w:rPr>
                <w:b/>
              </w:rPr>
              <w:t>[</w:t>
            </w:r>
            <w:r w:rsidRPr="00F31125">
              <w:t xml:space="preserve">and (y) </w:t>
            </w:r>
            <w:r w:rsidRPr="00792D61">
              <w:rPr>
                <w:b/>
              </w:rPr>
              <w:t>[</w:t>
            </w:r>
            <w:r w:rsidRPr="00F31125">
              <w:rPr>
                <w:rFonts w:ascii="Arial" w:hAnsi="Arial" w:cs="Arial"/>
              </w:rPr>
              <w:t>●</w:t>
            </w:r>
            <w:r w:rsidRPr="00792D61">
              <w:rPr>
                <w:b/>
              </w:rPr>
              <w:t>]</w:t>
            </w:r>
            <w:r w:rsidRPr="00F31125">
              <w:t>% per annum</w:t>
            </w:r>
            <w:r w:rsidRPr="00792D61">
              <w:rPr>
                <w:b/>
              </w:rPr>
              <w:t>]</w:t>
            </w:r>
            <w:r w:rsidRPr="00F31125">
              <w:t>.</w:t>
            </w:r>
            <w:r w:rsidRPr="00792D61">
              <w:rPr>
                <w:b/>
              </w:rPr>
              <w:t>]</w:t>
            </w:r>
          </w:p>
        </w:tc>
        <w:tc>
          <w:tcPr>
            <w:tcW w:w="1618" w:type="dxa"/>
            <w:gridSpan w:val="2"/>
            <w:tcBorders>
              <w:top w:val="nil"/>
              <w:bottom w:val="nil"/>
              <w:right w:val="nil"/>
            </w:tcBorders>
            <w:shd w:val="clear" w:color="auto" w:fill="auto"/>
          </w:tcPr>
          <w:p w:rsidR="0017135D" w:rsidRPr="005B1A26" w:rsidP="00FB415C">
            <w:pPr>
              <w:pStyle w:val="CSBody8pt"/>
              <w:rPr>
                <w:i/>
              </w:rPr>
            </w:pPr>
          </w:p>
        </w:tc>
        <w:tc>
          <w:tcPr>
            <w:tcW w:w="3318" w:type="dxa"/>
            <w:gridSpan w:val="10"/>
            <w:tcBorders>
              <w:top w:val="nil"/>
              <w:left w:val="nil"/>
              <w:bottom w:val="nil"/>
              <w:right w:val="nil"/>
            </w:tcBorders>
            <w:shd w:val="clear" w:color="auto" w:fill="auto"/>
          </w:tcPr>
          <w:p w:rsidR="0017135D" w:rsidRPr="005B1A26" w:rsidP="00FB415C">
            <w:pPr>
              <w:pStyle w:val="CSBody8pt"/>
              <w:rPr>
                <w:lang w:val="de-DE"/>
              </w:rPr>
            </w:pPr>
            <w:r w:rsidRPr="005B1A26">
              <w:rPr>
                <w:lang w:val="de-DE"/>
              </w:rPr>
              <w:t xml:space="preserve">ein Satz per annum in Höhe des jeweils grösseren der folgenden Beträge: (i) </w:t>
            </w:r>
            <w:r w:rsidRPr="00792D61">
              <w:rPr>
                <w:b/>
                <w:lang w:val="de-DE"/>
              </w:rPr>
              <w:t>[</w:t>
            </w:r>
            <w:r w:rsidRPr="005B1A26">
              <w:rPr>
                <w:lang w:val="de-DE"/>
              </w:rPr>
              <w:t>null (0)</w:t>
            </w:r>
            <w:r w:rsidRPr="00792D61">
              <w:rPr>
                <w:b/>
                <w:lang w:val="de-DE"/>
              </w:rPr>
              <w:t>][</w:t>
            </w:r>
            <w:r w:rsidRPr="005B1A26">
              <w:rPr>
                <w:lang w:val="de-DE"/>
              </w:rPr>
              <w:t xml:space="preserve">der </w:t>
            </w:r>
            <w:r w:rsidRPr="00792D61">
              <w:rPr>
                <w:b/>
                <w:lang w:val="de-DE"/>
              </w:rPr>
              <w:t>[</w:t>
            </w:r>
            <w:r w:rsidRPr="005B1A26">
              <w:rPr>
                <w:lang w:val="de-DE"/>
              </w:rPr>
              <w:t>jeweilige</w:t>
            </w:r>
            <w:r w:rsidRPr="00792D61">
              <w:rPr>
                <w:b/>
                <w:lang w:val="de-DE"/>
              </w:rPr>
              <w:t>]</w:t>
            </w:r>
            <w:r w:rsidRPr="005B1A26">
              <w:rPr>
                <w:lang w:val="de-DE"/>
              </w:rPr>
              <w:t xml:space="preserve"> Mindestzinssatz</w:t>
            </w:r>
            <w:r w:rsidRPr="00792D61">
              <w:rPr>
                <w:b/>
                <w:lang w:val="de-DE"/>
              </w:rPr>
              <w:t>]</w:t>
            </w:r>
            <w:r w:rsidRPr="005B1A26">
              <w:rPr>
                <w:lang w:val="de-DE"/>
              </w:rPr>
              <w:t xml:space="preserve"> oder (ii) der Spreadsatz minus </w:t>
            </w:r>
            <w:r w:rsidRPr="00792D61">
              <w:rPr>
                <w:b/>
                <w:lang w:val="de-DE"/>
              </w:rPr>
              <w:t>[</w:t>
            </w:r>
            <w:r w:rsidRPr="005B1A26">
              <w:rPr>
                <w:lang w:val="de-DE"/>
              </w:rPr>
              <w:t>die Summe aus (x) dem</w:t>
            </w:r>
            <w:r w:rsidRPr="00792D61">
              <w:rPr>
                <w:b/>
                <w:lang w:val="de-DE"/>
              </w:rPr>
              <w:t>]</w:t>
            </w:r>
            <w:r w:rsidRPr="005B1A26">
              <w:rPr>
                <w:lang w:val="de-DE"/>
              </w:rPr>
              <w:t xml:space="preserve"> </w:t>
            </w:r>
            <w:r w:rsidRPr="00792D61">
              <w:rPr>
                <w:b/>
                <w:lang w:val="de-DE"/>
              </w:rPr>
              <w:t>[</w:t>
            </w:r>
            <w:r w:rsidRPr="005B1A26">
              <w:rPr>
                <w:lang w:val="de-DE"/>
              </w:rPr>
              <w:t>den</w:t>
            </w:r>
            <w:r w:rsidRPr="00792D61">
              <w:rPr>
                <w:b/>
                <w:lang w:val="de-DE"/>
              </w:rPr>
              <w:t>]</w:t>
            </w:r>
            <w:r w:rsidRPr="005B1A26">
              <w:rPr>
                <w:lang w:val="de-DE"/>
              </w:rPr>
              <w:t xml:space="preserve"> Referenzsatz am Zinsfeststellungstag </w:t>
            </w:r>
            <w:r w:rsidRPr="00792D61">
              <w:rPr>
                <w:b/>
                <w:lang w:val="de-DE"/>
              </w:rPr>
              <w:t>[</w:t>
            </w:r>
            <w:r w:rsidRPr="005B1A26">
              <w:rPr>
                <w:lang w:val="de-DE"/>
              </w:rPr>
              <w:t xml:space="preserve">und (y) </w:t>
            </w:r>
            <w:r w:rsidRPr="00792D61">
              <w:rPr>
                <w:b/>
                <w:lang w:val="de-DE"/>
              </w:rPr>
              <w:t>[</w:t>
            </w:r>
            <w:r w:rsidRPr="005B1A26">
              <w:rPr>
                <w:rFonts w:ascii="Arial" w:hAnsi="Arial" w:cs="Arial"/>
                <w:lang w:val="de-DE"/>
              </w:rPr>
              <w:t>●</w:t>
            </w:r>
            <w:r w:rsidRPr="00792D61">
              <w:rPr>
                <w:b/>
                <w:lang w:val="de-DE"/>
              </w:rPr>
              <w:t>]</w:t>
            </w:r>
            <w:r w:rsidRPr="005B1A26">
              <w:rPr>
                <w:lang w:val="de-DE"/>
              </w:rPr>
              <w:t>% per annum</w:t>
            </w:r>
            <w:r w:rsidRPr="00792D61">
              <w:rPr>
                <w:b/>
                <w:lang w:val="de-DE"/>
              </w:rPr>
              <w:t>]</w:t>
            </w:r>
            <w:r w:rsidRPr="005B1A26">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B5516E" w:rsidP="00FB415C">
            <w:pPr>
              <w:pStyle w:val="CSBody8ptbolditalics"/>
            </w:pPr>
            <w:r w:rsidRPr="00792D61">
              <w:t>[</w:t>
            </w:r>
            <w:r w:rsidRPr="00B5516E">
              <w:t>in the case of multiple Interest Payment Dates, insert:</w:t>
            </w:r>
          </w:p>
        </w:tc>
        <w:tc>
          <w:tcPr>
            <w:tcW w:w="1618" w:type="dxa"/>
            <w:gridSpan w:val="2"/>
            <w:tcBorders>
              <w:top w:val="nil"/>
              <w:bottom w:val="nil"/>
              <w:right w:val="nil"/>
            </w:tcBorders>
            <w:shd w:val="clear" w:color="auto" w:fill="auto"/>
          </w:tcPr>
          <w:p w:rsidR="0017135D" w:rsidRPr="005B1A26" w:rsidP="00FB415C">
            <w:pPr>
              <w:pStyle w:val="CSBody8ptbolditalics"/>
            </w:pPr>
          </w:p>
        </w:tc>
        <w:tc>
          <w:tcPr>
            <w:tcW w:w="3318" w:type="dxa"/>
            <w:gridSpan w:val="10"/>
            <w:tcBorders>
              <w:top w:val="nil"/>
              <w:left w:val="nil"/>
              <w:bottom w:val="nil"/>
              <w:right w:val="nil"/>
            </w:tcBorders>
            <w:shd w:val="clear" w:color="auto" w:fill="auto"/>
          </w:tcPr>
          <w:p w:rsidR="0017135D" w:rsidRPr="00F1293E" w:rsidP="00FB415C">
            <w:pPr>
              <w:pStyle w:val="CSBody8ptbolditalics"/>
            </w:pPr>
            <w:r w:rsidRPr="00792D61">
              <w:t>[</w:t>
            </w:r>
            <w:r w:rsidRPr="00F1293E">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FB415C">
            <w:pPr>
              <w:pStyle w:val="CSBody8pt"/>
            </w:pPr>
          </w:p>
        </w:tc>
        <w:tc>
          <w:tcPr>
            <w:tcW w:w="3315" w:type="dxa"/>
            <w:gridSpan w:val="7"/>
            <w:tcBorders>
              <w:top w:val="nil"/>
              <w:left w:val="nil"/>
              <w:bottom w:val="nil"/>
            </w:tcBorders>
            <w:shd w:val="clear" w:color="auto" w:fill="auto"/>
          </w:tcPr>
          <w:p w:rsidR="0017135D" w:rsidRPr="00B5516E" w:rsidP="00FB415C">
            <w:pPr>
              <w:pStyle w:val="CSBody8pt"/>
            </w:pPr>
            <w:r w:rsidRPr="00B5516E">
              <w:t xml:space="preserve">with respect to any Interest Payment Date, a rate per annum equal to the greater of (i) </w:t>
            </w:r>
            <w:r w:rsidRPr="00792D61">
              <w:rPr>
                <w:b/>
              </w:rPr>
              <w:t>[</w:t>
            </w:r>
            <w:r w:rsidRPr="00B5516E">
              <w:t>zero (0)</w:t>
            </w:r>
            <w:r w:rsidRPr="00792D61">
              <w:rPr>
                <w:b/>
              </w:rPr>
              <w:t>][</w:t>
            </w:r>
            <w:r w:rsidRPr="00B5516E">
              <w:t xml:space="preserve">the </w:t>
            </w:r>
            <w:r w:rsidRPr="00792D61">
              <w:rPr>
                <w:b/>
              </w:rPr>
              <w:t>[</w:t>
            </w:r>
            <w:r w:rsidRPr="00B5516E">
              <w:t>relevant</w:t>
            </w:r>
            <w:r w:rsidRPr="00792D61">
              <w:rPr>
                <w:b/>
              </w:rPr>
              <w:t>]</w:t>
            </w:r>
            <w:r w:rsidRPr="00B5516E">
              <w:t xml:space="preserve"> Minimum Interest Rate</w:t>
            </w:r>
            <w:r w:rsidRPr="00792D61">
              <w:rPr>
                <w:b/>
              </w:rPr>
              <w:t>]</w:t>
            </w:r>
            <w:r w:rsidRPr="00B5516E">
              <w:t xml:space="preserve"> and (ii) the relevant Spread Rate less </w:t>
            </w:r>
            <w:r w:rsidRPr="00792D61">
              <w:rPr>
                <w:b/>
              </w:rPr>
              <w:t>[</w:t>
            </w:r>
            <w:r w:rsidRPr="00B5516E">
              <w:t>the sum of (x)</w:t>
            </w:r>
            <w:r w:rsidRPr="00792D61">
              <w:rPr>
                <w:b/>
              </w:rPr>
              <w:t>]</w:t>
            </w:r>
            <w:r w:rsidRPr="00B5516E">
              <w:t xml:space="preserve"> the Reference Rate on the relevant Interest Determination Date </w:t>
            </w:r>
            <w:r w:rsidRPr="00792D61">
              <w:rPr>
                <w:b/>
              </w:rPr>
              <w:t>[</w:t>
            </w:r>
            <w:r w:rsidRPr="00B5516E">
              <w:t xml:space="preserve">and (y) </w:t>
            </w:r>
            <w:r w:rsidRPr="00792D61">
              <w:rPr>
                <w:b/>
              </w:rPr>
              <w:t>[</w:t>
            </w:r>
            <w:r w:rsidRPr="00B5516E">
              <w:rPr>
                <w:rFonts w:ascii="Arial" w:hAnsi="Arial" w:cs="Arial"/>
              </w:rPr>
              <w:t>●</w:t>
            </w:r>
            <w:r w:rsidRPr="00792D61">
              <w:rPr>
                <w:b/>
              </w:rPr>
              <w:t>]</w:t>
            </w:r>
            <w:r w:rsidRPr="00B5516E">
              <w:t>% per annum</w:t>
            </w:r>
            <w:r w:rsidRPr="00792D61">
              <w:rPr>
                <w:b/>
              </w:rPr>
              <w:t>]</w:t>
            </w:r>
            <w:r w:rsidRPr="00B5516E">
              <w:t>.</w:t>
            </w:r>
            <w:r w:rsidRPr="00792D61">
              <w:rPr>
                <w:b/>
              </w:rPr>
              <w:t>]]</w:t>
            </w:r>
          </w:p>
        </w:tc>
        <w:tc>
          <w:tcPr>
            <w:tcW w:w="1618" w:type="dxa"/>
            <w:gridSpan w:val="2"/>
            <w:tcBorders>
              <w:top w:val="nil"/>
              <w:bottom w:val="nil"/>
              <w:right w:val="nil"/>
            </w:tcBorders>
            <w:shd w:val="clear" w:color="auto" w:fill="auto"/>
          </w:tcPr>
          <w:p w:rsidR="0017135D" w:rsidRPr="005B1A26" w:rsidP="00FB415C">
            <w:pPr>
              <w:pStyle w:val="CSBody8pt"/>
              <w:rPr>
                <w:i/>
              </w:rPr>
            </w:pPr>
          </w:p>
        </w:tc>
        <w:tc>
          <w:tcPr>
            <w:tcW w:w="3318" w:type="dxa"/>
            <w:gridSpan w:val="10"/>
            <w:tcBorders>
              <w:top w:val="nil"/>
              <w:left w:val="nil"/>
              <w:bottom w:val="nil"/>
              <w:right w:val="nil"/>
            </w:tcBorders>
            <w:shd w:val="clear" w:color="auto" w:fill="auto"/>
          </w:tcPr>
          <w:p w:rsidR="0017135D" w:rsidRPr="005B1A26" w:rsidP="00FB415C">
            <w:pPr>
              <w:pStyle w:val="CSBody8pt"/>
              <w:rPr>
                <w:lang w:val="de-DE"/>
              </w:rPr>
            </w:pPr>
            <w:r w:rsidRPr="005B1A26">
              <w:rPr>
                <w:lang w:val="de-DE"/>
              </w:rPr>
              <w:t xml:space="preserve">in Bezug auf einen Zinszahlungstag ein Satz per annum in Höhe des jeweils grösseren der folgenden Beträge: (i) </w:t>
            </w:r>
            <w:r w:rsidRPr="00792D61">
              <w:rPr>
                <w:b/>
                <w:lang w:val="de-DE"/>
              </w:rPr>
              <w:t>[</w:t>
            </w:r>
            <w:r w:rsidRPr="005B1A26">
              <w:rPr>
                <w:lang w:val="de-DE"/>
              </w:rPr>
              <w:t>null (0)</w:t>
            </w:r>
            <w:r w:rsidRPr="00792D61">
              <w:rPr>
                <w:b/>
                <w:lang w:val="de-DE"/>
              </w:rPr>
              <w:t>][</w:t>
            </w:r>
            <w:r w:rsidRPr="005B1A26">
              <w:rPr>
                <w:lang w:val="de-DE"/>
              </w:rPr>
              <w:t xml:space="preserve">der </w:t>
            </w:r>
            <w:r w:rsidRPr="00792D61">
              <w:rPr>
                <w:b/>
                <w:lang w:val="de-DE"/>
              </w:rPr>
              <w:t>[</w:t>
            </w:r>
            <w:r w:rsidRPr="005B1A26">
              <w:rPr>
                <w:lang w:val="de-DE"/>
              </w:rPr>
              <w:t>jeweilige</w:t>
            </w:r>
            <w:r w:rsidRPr="00792D61">
              <w:rPr>
                <w:b/>
                <w:lang w:val="de-DE"/>
              </w:rPr>
              <w:t>]</w:t>
            </w:r>
            <w:r w:rsidRPr="005B1A26">
              <w:rPr>
                <w:lang w:val="de-DE"/>
              </w:rPr>
              <w:t xml:space="preserve"> Mindestzinssatz</w:t>
            </w:r>
            <w:r w:rsidRPr="00792D61">
              <w:rPr>
                <w:b/>
                <w:lang w:val="de-DE"/>
              </w:rPr>
              <w:t>]</w:t>
            </w:r>
            <w:r w:rsidRPr="005B1A26">
              <w:rPr>
                <w:lang w:val="de-DE"/>
              </w:rPr>
              <w:t xml:space="preserve"> oder (ii) der jeweilige Spreadsatz minus </w:t>
            </w:r>
            <w:r w:rsidRPr="00792D61">
              <w:rPr>
                <w:b/>
                <w:lang w:val="de-DE"/>
              </w:rPr>
              <w:t>[</w:t>
            </w:r>
            <w:r w:rsidRPr="005B1A26">
              <w:rPr>
                <w:lang w:val="de-DE"/>
              </w:rPr>
              <w:t>die Summe aus (x) dem</w:t>
            </w:r>
            <w:r w:rsidRPr="00792D61">
              <w:rPr>
                <w:b/>
                <w:lang w:val="de-DE"/>
              </w:rPr>
              <w:t>]</w:t>
            </w:r>
            <w:r w:rsidRPr="005B1A26">
              <w:rPr>
                <w:lang w:val="de-DE"/>
              </w:rPr>
              <w:t xml:space="preserve"> </w:t>
            </w:r>
            <w:r w:rsidRPr="00792D61">
              <w:rPr>
                <w:b/>
                <w:lang w:val="de-DE"/>
              </w:rPr>
              <w:t>[</w:t>
            </w:r>
            <w:r w:rsidRPr="005B1A26">
              <w:rPr>
                <w:lang w:val="de-DE"/>
              </w:rPr>
              <w:t>den</w:t>
            </w:r>
            <w:r w:rsidRPr="00792D61">
              <w:rPr>
                <w:b/>
                <w:lang w:val="de-DE"/>
              </w:rPr>
              <w:t>]</w:t>
            </w:r>
            <w:r w:rsidRPr="005B1A26">
              <w:rPr>
                <w:lang w:val="de-DE"/>
              </w:rPr>
              <w:t xml:space="preserve"> Referenzsatz an dem jeweiligen Zinsfeststellungstag </w:t>
            </w:r>
            <w:r w:rsidRPr="00792D61">
              <w:rPr>
                <w:b/>
                <w:lang w:val="de-DE"/>
              </w:rPr>
              <w:t>[</w:t>
            </w:r>
            <w:r w:rsidRPr="005B1A26">
              <w:rPr>
                <w:lang w:val="de-DE"/>
              </w:rPr>
              <w:t xml:space="preserve">und (y) </w:t>
            </w:r>
            <w:r w:rsidRPr="00792D61">
              <w:rPr>
                <w:b/>
                <w:lang w:val="de-DE"/>
              </w:rPr>
              <w:t>[</w:t>
            </w:r>
            <w:r w:rsidRPr="005B1A26">
              <w:rPr>
                <w:rFonts w:ascii="Arial" w:hAnsi="Arial" w:cs="Arial"/>
                <w:lang w:val="de-DE"/>
              </w:rPr>
              <w:t>●</w:t>
            </w:r>
            <w:r w:rsidRPr="00792D61">
              <w:rPr>
                <w:b/>
                <w:lang w:val="de-DE"/>
              </w:rPr>
              <w:t>]</w:t>
            </w:r>
            <w:r w:rsidRPr="005B1A26">
              <w:rPr>
                <w:lang w:val="de-DE"/>
              </w:rPr>
              <w:t>% per annum</w:t>
            </w:r>
            <w:r w:rsidRPr="00792D61">
              <w:rPr>
                <w:b/>
                <w:lang w:val="de-DE"/>
              </w:rPr>
              <w:t>]</w:t>
            </w:r>
            <w:r w:rsidRPr="005B1A26">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B5516E" w:rsidP="00FB415C">
            <w:pPr>
              <w:pStyle w:val="CSBody8ptbolditalics"/>
            </w:pPr>
            <w:r w:rsidRPr="00792D61">
              <w:t>[</w:t>
            </w:r>
            <w:r w:rsidRPr="00B5516E">
              <w:t>in the case of Spread-Linked Notes without a Fixed Interest Payment Amount, insert:</w:t>
            </w:r>
          </w:p>
        </w:tc>
        <w:tc>
          <w:tcPr>
            <w:tcW w:w="1618" w:type="dxa"/>
            <w:gridSpan w:val="2"/>
            <w:tcBorders>
              <w:top w:val="nil"/>
              <w:bottom w:val="nil"/>
              <w:right w:val="nil"/>
            </w:tcBorders>
            <w:shd w:val="clear" w:color="auto" w:fill="auto"/>
          </w:tcPr>
          <w:p w:rsidR="0017135D" w:rsidRPr="005B1A26" w:rsidP="00FB415C">
            <w:pPr>
              <w:pStyle w:val="CSBody8ptbolditalics"/>
            </w:pPr>
          </w:p>
        </w:tc>
        <w:tc>
          <w:tcPr>
            <w:tcW w:w="3318" w:type="dxa"/>
            <w:gridSpan w:val="10"/>
            <w:tcBorders>
              <w:top w:val="nil"/>
              <w:left w:val="nil"/>
              <w:bottom w:val="nil"/>
              <w:right w:val="nil"/>
            </w:tcBorders>
            <w:shd w:val="clear" w:color="auto" w:fill="auto"/>
          </w:tcPr>
          <w:p w:rsidR="0017135D" w:rsidRPr="005B1A26" w:rsidP="008C7B66">
            <w:pPr>
              <w:pStyle w:val="CSBody8ptbolditalics"/>
              <w:rPr>
                <w:lang w:val="de-DE"/>
              </w:rPr>
            </w:pPr>
            <w:r w:rsidRPr="00792D61">
              <w:rPr>
                <w:lang w:val="de-DE"/>
              </w:rPr>
              <w:t>[</w:t>
            </w:r>
            <w:r w:rsidRPr="005B1A26">
              <w:rPr>
                <w:lang w:val="de-DE"/>
              </w:rPr>
              <w:t>bei Spread-Linked Notes ohne Zinszahlungsbetrag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P="00FB415C">
            <w:pPr>
              <w:pStyle w:val="CSBody8ptbolditalics"/>
            </w:pPr>
            <w:r w:rsidRPr="00792D61">
              <w:t>[</w:t>
            </w:r>
            <w:r w:rsidRPr="00B5516E">
              <w:t>Option 1:</w:t>
            </w:r>
          </w:p>
        </w:tc>
        <w:tc>
          <w:tcPr>
            <w:tcW w:w="1618" w:type="dxa"/>
            <w:gridSpan w:val="2"/>
            <w:tcBorders>
              <w:top w:val="nil"/>
              <w:bottom w:val="nil"/>
              <w:right w:val="nil"/>
            </w:tcBorders>
            <w:shd w:val="clear" w:color="auto" w:fill="auto"/>
          </w:tcPr>
          <w:p w:rsidR="0017135D" w:rsidRPr="005B1A26" w:rsidP="00FB415C">
            <w:pPr>
              <w:pStyle w:val="CSBody8ptbolditalics"/>
              <w:rPr>
                <w:lang w:val="de-DE"/>
              </w:rPr>
            </w:pPr>
          </w:p>
        </w:tc>
        <w:tc>
          <w:tcPr>
            <w:tcW w:w="3318" w:type="dxa"/>
            <w:gridSpan w:val="10"/>
            <w:tcBorders>
              <w:top w:val="nil"/>
              <w:left w:val="nil"/>
              <w:bottom w:val="nil"/>
              <w:right w:val="nil"/>
            </w:tcBorders>
            <w:shd w:val="clear" w:color="auto" w:fill="auto"/>
          </w:tcPr>
          <w:p w:rsidR="0017135D" w:rsidP="00FB415C">
            <w:pPr>
              <w:pStyle w:val="CSBody8ptbolditalics"/>
            </w:pPr>
            <w:r w:rsidRPr="00792D61">
              <w:t>[</w:t>
            </w:r>
            <w:r w:rsidRPr="00F1293E">
              <w:t>Option 1:</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A47EDD" w:rsidP="00FB415C">
            <w:pPr>
              <w:pStyle w:val="CSBody8ptbolditalics"/>
            </w:pPr>
            <w:r w:rsidRPr="00792D61">
              <w:t>[</w:t>
            </w:r>
            <w:r w:rsidRPr="00A47EDD">
              <w:t>in the case of one Interest Payment Date, insert:</w:t>
            </w:r>
          </w:p>
        </w:tc>
        <w:tc>
          <w:tcPr>
            <w:tcW w:w="1618" w:type="dxa"/>
            <w:gridSpan w:val="2"/>
            <w:tcBorders>
              <w:top w:val="nil"/>
              <w:bottom w:val="nil"/>
              <w:right w:val="nil"/>
            </w:tcBorders>
            <w:shd w:val="clear" w:color="auto" w:fill="auto"/>
          </w:tcPr>
          <w:p w:rsidR="0017135D" w:rsidRPr="005B1A26" w:rsidP="00FB415C">
            <w:pPr>
              <w:pStyle w:val="CSBody8ptbolditalics"/>
            </w:pPr>
          </w:p>
        </w:tc>
        <w:tc>
          <w:tcPr>
            <w:tcW w:w="3318" w:type="dxa"/>
            <w:gridSpan w:val="10"/>
            <w:tcBorders>
              <w:top w:val="nil"/>
              <w:left w:val="nil"/>
              <w:bottom w:val="nil"/>
              <w:right w:val="nil"/>
            </w:tcBorders>
            <w:shd w:val="clear" w:color="auto" w:fill="auto"/>
          </w:tcPr>
          <w:p w:rsidR="0017135D" w:rsidRPr="005B1A26" w:rsidP="00FB415C">
            <w:pPr>
              <w:pStyle w:val="CSBody8ptbolditalics"/>
              <w:rPr>
                <w:lang w:val="de-DE"/>
              </w:rPr>
            </w:pPr>
            <w:r w:rsidRPr="00792D61">
              <w:rPr>
                <w:lang w:val="de-DE"/>
              </w:rPr>
              <w:t>[</w:t>
            </w:r>
            <w:r w:rsidRPr="005B1A26">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FB415C">
            <w:pPr>
              <w:pStyle w:val="CSBody8pt"/>
              <w:rPr>
                <w:lang w:val="de-DE"/>
              </w:rPr>
            </w:pPr>
          </w:p>
        </w:tc>
        <w:tc>
          <w:tcPr>
            <w:tcW w:w="3315" w:type="dxa"/>
            <w:gridSpan w:val="7"/>
            <w:tcBorders>
              <w:top w:val="nil"/>
              <w:left w:val="nil"/>
              <w:bottom w:val="nil"/>
            </w:tcBorders>
            <w:shd w:val="clear" w:color="auto" w:fill="auto"/>
          </w:tcPr>
          <w:p w:rsidR="0017135D" w:rsidRPr="00A47EDD" w:rsidP="00FB415C">
            <w:pPr>
              <w:pStyle w:val="CSBody8pt"/>
            </w:pPr>
            <w:r w:rsidRPr="00A47EDD">
              <w:t>a rate per annum equal to the greater of (i) zero (0) and (ii) the product of (x) the Participation and (y) the difference between Reference Rate 1 on the Interest Determination Date and Reference Rate 2 on the Interest Determination Date, calculated in accordance with the following formula:</w:t>
            </w:r>
          </w:p>
        </w:tc>
        <w:tc>
          <w:tcPr>
            <w:tcW w:w="1618" w:type="dxa"/>
            <w:gridSpan w:val="2"/>
            <w:tcBorders>
              <w:top w:val="nil"/>
              <w:bottom w:val="nil"/>
              <w:right w:val="nil"/>
            </w:tcBorders>
            <w:shd w:val="clear" w:color="auto" w:fill="auto"/>
          </w:tcPr>
          <w:p w:rsidR="0017135D" w:rsidRPr="005B1A26" w:rsidP="00FB415C">
            <w:pPr>
              <w:pStyle w:val="CSBody8pt"/>
              <w:rPr>
                <w:i/>
              </w:rPr>
            </w:pPr>
          </w:p>
        </w:tc>
        <w:tc>
          <w:tcPr>
            <w:tcW w:w="3318" w:type="dxa"/>
            <w:gridSpan w:val="10"/>
            <w:tcBorders>
              <w:top w:val="nil"/>
              <w:left w:val="nil"/>
              <w:bottom w:val="nil"/>
              <w:right w:val="nil"/>
            </w:tcBorders>
            <w:shd w:val="clear" w:color="auto" w:fill="auto"/>
          </w:tcPr>
          <w:p w:rsidR="0017135D" w:rsidRPr="005B1A26" w:rsidP="00FB415C">
            <w:pPr>
              <w:pStyle w:val="CSBody8pt"/>
              <w:rPr>
                <w:lang w:val="de-DE"/>
              </w:rPr>
            </w:pPr>
            <w:r w:rsidRPr="005B1A26">
              <w:rPr>
                <w:lang w:val="de-DE"/>
              </w:rPr>
              <w:t xml:space="preserve">ein Satz per annum in Höhe des jeweils grösseren der folgenden Beträge: (i) null (0) und (ii) des Produkts aus (x) der Partizipation </w:t>
            </w:r>
            <w:r w:rsidRPr="00A205FA">
              <w:rPr>
                <w:i/>
                <w:lang w:val="de-DE"/>
              </w:rPr>
              <w:t>(Participation)</w:t>
            </w:r>
            <w:r w:rsidRPr="005B1A26">
              <w:rPr>
                <w:lang w:val="de-DE"/>
              </w:rPr>
              <w:t xml:space="preserve"> und (y) der Differenz aus dem Referenzsatz 1 am Zinsfeststellungstag und dem Referenzsatz 2 am Zinsfeststellungstag,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A47EDD" w:rsidP="00595441">
            <w:pPr>
              <w:spacing w:before="120" w:after="120"/>
              <w:jc w:val="cente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rPr>
                    <m:t>0;Participation×</m:t>
                  </m:r>
                  <m:d>
                    <m:dPr>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RR</m:t>
                          </m:r>
                        </m:e>
                        <m:sub>
                          <m:r>
                            <w:rPr>
                              <w:rFonts w:ascii="Cambria Math" w:hAnsi="Cambria Math"/>
                              <w:sz w:val="14"/>
                              <w:szCs w:val="14"/>
                            </w:rPr>
                            <m:t>1</m:t>
                          </m:r>
                        </m:sub>
                      </m:sSub>
                      <m:r>
                        <w:rPr>
                          <w:rFonts w:ascii="Cambria Math" w:hAnsi="Cambria Math"/>
                          <w:sz w:val="14"/>
                          <w:szCs w:val="14"/>
                        </w:rPr>
                        <m:t>-</m:t>
                      </m:r>
                      <m:sSub>
                        <m:sSubPr>
                          <m:ctrlPr>
                            <w:rPr>
                              <w:rFonts w:ascii="Cambria Math" w:hAnsi="Cambria Math"/>
                              <w:i/>
                              <w:sz w:val="14"/>
                              <w:szCs w:val="14"/>
                            </w:rPr>
                          </m:ctrlPr>
                        </m:sSubPr>
                        <m:e>
                          <m:r>
                            <w:rPr>
                              <w:rFonts w:ascii="Cambria Math" w:hAnsi="Cambria Math"/>
                              <w:sz w:val="14"/>
                              <w:szCs w:val="14"/>
                            </w:rPr>
                            <m:t>RR</m:t>
                          </m:r>
                        </m:e>
                        <m:sub>
                          <m:r>
                            <w:rPr>
                              <w:rFonts w:ascii="Cambria Math" w:hAnsi="Cambria Math"/>
                              <w:sz w:val="14"/>
                              <w:szCs w:val="14"/>
                            </w:rPr>
                            <m:t>2</m:t>
                          </m:r>
                        </m:sub>
                      </m:sSub>
                    </m:e>
                  </m:d>
                </m:e>
              </m:d>
            </m:oMath>
            <w:r>
              <w:rPr>
                <w:rFonts w:eastAsiaTheme="minorEastAsia"/>
                <w:sz w:val="14"/>
                <w:szCs w:val="14"/>
              </w:rPr>
              <w:t>.</w:t>
            </w:r>
            <w:r w:rsidRPr="00792D61">
              <w:rPr>
                <w:rFonts w:eastAsiaTheme="minorEastAsia"/>
                <w:b/>
                <w:sz w:val="14"/>
                <w:szCs w:val="14"/>
              </w:rPr>
              <w:t>]</w:t>
            </w:r>
          </w:p>
        </w:tc>
        <w:tc>
          <w:tcPr>
            <w:tcW w:w="1618" w:type="dxa"/>
            <w:gridSpan w:val="2"/>
            <w:tcBorders>
              <w:top w:val="nil"/>
              <w:bottom w:val="nil"/>
              <w:right w:val="nil"/>
            </w:tcBorders>
            <w:shd w:val="clear" w:color="auto" w:fill="auto"/>
          </w:tcPr>
          <w:p w:rsidR="0017135D" w:rsidRPr="005B1A26" w:rsidP="00E60155">
            <w:pPr>
              <w:pStyle w:val="CSBody0"/>
              <w:rPr>
                <w:b/>
                <w:i/>
              </w:rPr>
            </w:pPr>
          </w:p>
        </w:tc>
        <w:tc>
          <w:tcPr>
            <w:tcW w:w="3318" w:type="dxa"/>
            <w:gridSpan w:val="10"/>
            <w:tcBorders>
              <w:top w:val="nil"/>
              <w:left w:val="nil"/>
              <w:bottom w:val="nil"/>
              <w:right w:val="nil"/>
            </w:tcBorders>
            <w:shd w:val="clear" w:color="auto" w:fill="auto"/>
          </w:tcPr>
          <w:p w:rsidR="0017135D" w:rsidRPr="00A47EDD" w:rsidP="00595441">
            <w:pPr>
              <w:spacing w:before="120" w:after="120"/>
              <w:jc w:val="cente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rPr>
                    <m:t>0;Participation×</m:t>
                  </m:r>
                  <m:d>
                    <m:dPr>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RR</m:t>
                          </m:r>
                        </m:e>
                        <m:sub>
                          <m:r>
                            <w:rPr>
                              <w:rFonts w:ascii="Cambria Math" w:hAnsi="Cambria Math"/>
                              <w:sz w:val="14"/>
                              <w:szCs w:val="14"/>
                            </w:rPr>
                            <m:t>1</m:t>
                          </m:r>
                        </m:sub>
                      </m:sSub>
                      <m:r>
                        <w:rPr>
                          <w:rFonts w:ascii="Cambria Math" w:hAnsi="Cambria Math"/>
                          <w:sz w:val="14"/>
                          <w:szCs w:val="14"/>
                        </w:rPr>
                        <m:t>-</m:t>
                      </m:r>
                      <m:sSub>
                        <m:sSubPr>
                          <m:ctrlPr>
                            <w:rPr>
                              <w:rFonts w:ascii="Cambria Math" w:hAnsi="Cambria Math"/>
                              <w:i/>
                              <w:sz w:val="14"/>
                              <w:szCs w:val="14"/>
                            </w:rPr>
                          </m:ctrlPr>
                        </m:sSubPr>
                        <m:e>
                          <m:r>
                            <w:rPr>
                              <w:rFonts w:ascii="Cambria Math" w:hAnsi="Cambria Math"/>
                              <w:sz w:val="14"/>
                              <w:szCs w:val="14"/>
                            </w:rPr>
                            <m:t>RR</m:t>
                          </m:r>
                        </m:e>
                        <m:sub>
                          <m:r>
                            <w:rPr>
                              <w:rFonts w:ascii="Cambria Math" w:hAnsi="Cambria Math"/>
                              <w:sz w:val="14"/>
                              <w:szCs w:val="14"/>
                            </w:rPr>
                            <m:t>2</m:t>
                          </m:r>
                        </m:sub>
                      </m:sSub>
                    </m:e>
                  </m:d>
                </m:e>
              </m:d>
            </m:oMath>
            <w:r>
              <w:rPr>
                <w:rFonts w:eastAsiaTheme="minorEastAsia"/>
                <w:sz w:val="14"/>
                <w:szCs w:val="14"/>
              </w:rPr>
              <w:t>.</w:t>
            </w:r>
            <w:r w:rsidRPr="00792D61">
              <w:rPr>
                <w:rFonts w:eastAsiaTheme="minorEastAsia"/>
                <w:b/>
                <w:sz w:val="14"/>
                <w:szCs w:val="14"/>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rPr>
            </w:pPr>
          </w:p>
        </w:tc>
        <w:tc>
          <w:tcPr>
            <w:tcW w:w="3315" w:type="dxa"/>
            <w:gridSpan w:val="7"/>
            <w:tcBorders>
              <w:top w:val="nil"/>
              <w:left w:val="nil"/>
              <w:bottom w:val="nil"/>
            </w:tcBorders>
            <w:shd w:val="clear" w:color="auto" w:fill="auto"/>
          </w:tcPr>
          <w:p w:rsidR="0017135D" w:rsidP="00FB415C">
            <w:pPr>
              <w:pStyle w:val="CSBody8ptbolditalics"/>
            </w:pPr>
            <w:r w:rsidRPr="00792D61">
              <w:t>[</w:t>
            </w:r>
            <w:r w:rsidRPr="00A47EDD">
              <w:t>in the case of multiple Interest Payment Dates, insert:</w:t>
            </w:r>
          </w:p>
        </w:tc>
        <w:tc>
          <w:tcPr>
            <w:tcW w:w="1618" w:type="dxa"/>
            <w:gridSpan w:val="2"/>
            <w:tcBorders>
              <w:top w:val="nil"/>
              <w:bottom w:val="nil"/>
              <w:right w:val="nil"/>
            </w:tcBorders>
            <w:shd w:val="clear" w:color="auto" w:fill="auto"/>
          </w:tcPr>
          <w:p w:rsidR="0017135D" w:rsidRPr="005B1A26" w:rsidP="00FB415C">
            <w:pPr>
              <w:pStyle w:val="CSBody8ptbolditalics"/>
            </w:pPr>
          </w:p>
        </w:tc>
        <w:tc>
          <w:tcPr>
            <w:tcW w:w="3318" w:type="dxa"/>
            <w:gridSpan w:val="10"/>
            <w:tcBorders>
              <w:top w:val="nil"/>
              <w:left w:val="nil"/>
              <w:bottom w:val="nil"/>
              <w:right w:val="nil"/>
            </w:tcBorders>
            <w:shd w:val="clear" w:color="auto" w:fill="auto"/>
          </w:tcPr>
          <w:p w:rsidR="0017135D" w:rsidP="00FB415C">
            <w:pPr>
              <w:pStyle w:val="CSBody8ptbolditalics"/>
            </w:pPr>
            <w:r w:rsidRPr="00792D61">
              <w:t>[</w:t>
            </w:r>
            <w:r w:rsidRPr="004F2F5E">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595441">
            <w:pPr>
              <w:pStyle w:val="CSBody8pt"/>
            </w:pPr>
          </w:p>
        </w:tc>
        <w:tc>
          <w:tcPr>
            <w:tcW w:w="3315" w:type="dxa"/>
            <w:gridSpan w:val="7"/>
            <w:tcBorders>
              <w:top w:val="nil"/>
              <w:left w:val="nil"/>
              <w:bottom w:val="nil"/>
            </w:tcBorders>
            <w:shd w:val="clear" w:color="auto" w:fill="auto"/>
          </w:tcPr>
          <w:p w:rsidR="0017135D" w:rsidRPr="00FE1777" w:rsidP="00595441">
            <w:pPr>
              <w:pStyle w:val="CSBody8pt"/>
            </w:pPr>
            <w:r w:rsidRPr="00FE1777">
              <w:t>with respect to any Interest Payment Date (</w:t>
            </w:r>
            <w:r w:rsidRPr="00116653">
              <w:rPr>
                <w:i/>
              </w:rPr>
              <w:t>t</w:t>
            </w:r>
            <w:r w:rsidRPr="00FE1777">
              <w:t>), a rate per annum equal to the greater of (i) zero (0) and (ii) the product of (x) the Participation and (y) the difference between Reference Rate 1 on the Interest Rate Determination Date applicable to such Interest Payment Date (</w:t>
            </w:r>
            <w:r w:rsidRPr="00116653">
              <w:rPr>
                <w:i/>
              </w:rPr>
              <w:t>t</w:t>
            </w:r>
            <w:r w:rsidRPr="00FE1777">
              <w:t>) and Reference Rate 2 on the Interest Rate Determination Date applicable to such Interest Payment Date (</w:t>
            </w:r>
            <w:r w:rsidRPr="00116653">
              <w:rPr>
                <w:i/>
              </w:rPr>
              <w:t>t</w:t>
            </w:r>
            <w:r w:rsidRPr="00FE1777">
              <w:t>), calculated in accordance with the following formula:</w:t>
            </w:r>
          </w:p>
        </w:tc>
        <w:tc>
          <w:tcPr>
            <w:tcW w:w="1618" w:type="dxa"/>
            <w:gridSpan w:val="2"/>
            <w:tcBorders>
              <w:top w:val="nil"/>
              <w:bottom w:val="nil"/>
              <w:right w:val="nil"/>
            </w:tcBorders>
            <w:shd w:val="clear" w:color="auto" w:fill="auto"/>
          </w:tcPr>
          <w:p w:rsidR="0017135D" w:rsidRPr="005B1A26" w:rsidP="00595441">
            <w:pPr>
              <w:pStyle w:val="CSBody8pt"/>
              <w:rPr>
                <w:i/>
              </w:rPr>
            </w:pPr>
          </w:p>
        </w:tc>
        <w:tc>
          <w:tcPr>
            <w:tcW w:w="3318" w:type="dxa"/>
            <w:gridSpan w:val="10"/>
            <w:tcBorders>
              <w:top w:val="nil"/>
              <w:left w:val="nil"/>
              <w:bottom w:val="nil"/>
              <w:right w:val="nil"/>
            </w:tcBorders>
            <w:shd w:val="clear" w:color="auto" w:fill="auto"/>
          </w:tcPr>
          <w:p w:rsidR="0017135D" w:rsidRPr="005B1A26" w:rsidP="00595441">
            <w:pPr>
              <w:pStyle w:val="CSBody8pt"/>
              <w:rPr>
                <w:lang w:val="de-DE"/>
              </w:rPr>
            </w:pPr>
            <w:r w:rsidRPr="005B1A26">
              <w:rPr>
                <w:lang w:val="de-DE"/>
              </w:rPr>
              <w:t>in Bezug auf einen Zinszahlungstag (</w:t>
            </w:r>
            <w:r w:rsidRPr="00116653">
              <w:rPr>
                <w:i/>
                <w:lang w:val="de-DE"/>
              </w:rPr>
              <w:t>t</w:t>
            </w:r>
            <w:r w:rsidRPr="005B1A26">
              <w:rPr>
                <w:lang w:val="de-DE"/>
              </w:rPr>
              <w:t xml:space="preserve">) ein Satz per annum in Höhe des jeweils grösseren der folgenden Beträge: (i) null (0) und (ii) des Produkts aus (x) der Partizipation </w:t>
            </w:r>
            <w:r w:rsidRPr="00A205FA">
              <w:rPr>
                <w:i/>
                <w:lang w:val="de-DE"/>
              </w:rPr>
              <w:t>(Participation)</w:t>
            </w:r>
            <w:r w:rsidRPr="005B1A26">
              <w:rPr>
                <w:lang w:val="de-DE"/>
              </w:rPr>
              <w:t xml:space="preserve"> und (y) der Differenz aus dem Referenzsatz 1 an dem für diesen Zinszahlungstag (</w:t>
            </w:r>
            <w:r w:rsidRPr="00116653">
              <w:rPr>
                <w:i/>
                <w:lang w:val="de-DE"/>
              </w:rPr>
              <w:t>t</w:t>
            </w:r>
            <w:r w:rsidRPr="005B1A26">
              <w:rPr>
                <w:lang w:val="de-DE"/>
              </w:rPr>
              <w:t>) geltenden Zinsfeststellungstag und dem Referenzsatz 2 an dem für diesen Zinszahlungstag (</w:t>
            </w:r>
            <w:r w:rsidRPr="00116653">
              <w:rPr>
                <w:i/>
                <w:lang w:val="de-DE"/>
              </w:rPr>
              <w:t>t</w:t>
            </w:r>
            <w:r w:rsidRPr="005B1A26">
              <w:rPr>
                <w:lang w:val="de-DE"/>
              </w:rPr>
              <w:t>) geltenden Zinsfeststellungstag,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595441" w:rsidP="00595441">
            <w:pPr>
              <w:spacing w:before="120" w:after="120"/>
              <w:jc w:val="center"/>
              <w:rPr>
                <w:lang w:val="de-DE"/>
              </w:rP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1</m:t>
                          </m:r>
                        </m:sup>
                      </m:sSubSup>
                      <m:r>
                        <w:rPr>
                          <w:rFonts w:ascii="Cambria Math" w:hAnsi="Cambria Math"/>
                          <w:sz w:val="14"/>
                          <w:szCs w:val="14"/>
                          <w:lang w:val="de-DE"/>
                        </w:rPr>
                        <m:t>-</m:t>
                      </m:r>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2</m:t>
                          </m:r>
                        </m:sup>
                      </m:sSubSup>
                    </m:e>
                  </m:d>
                </m:e>
              </m:d>
            </m:oMath>
            <w:r w:rsidRPr="00595441">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595441"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595441" w:rsidP="00595441">
            <w:pPr>
              <w:spacing w:before="120" w:after="120"/>
              <w:jc w:val="center"/>
              <w:rPr>
                <w:lang w:val="de-DE"/>
              </w:rP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1</m:t>
                          </m:r>
                        </m:sup>
                      </m:sSubSup>
                      <m:r>
                        <w:rPr>
                          <w:rFonts w:ascii="Cambria Math" w:hAnsi="Cambria Math"/>
                          <w:sz w:val="14"/>
                          <w:szCs w:val="14"/>
                          <w:lang w:val="de-DE"/>
                        </w:rPr>
                        <m:t>-</m:t>
                      </m:r>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2</m:t>
                          </m:r>
                        </m:sup>
                      </m:sSubSup>
                    </m:e>
                  </m:d>
                </m:e>
              </m:d>
            </m:oMath>
            <w:r w:rsidRPr="00595441">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95441" w:rsidP="00A457E7">
            <w:pPr>
              <w:pStyle w:val="CSBody0"/>
              <w:rPr>
                <w:b/>
                <w:lang w:val="de-DE"/>
              </w:rPr>
            </w:pPr>
          </w:p>
        </w:tc>
        <w:tc>
          <w:tcPr>
            <w:tcW w:w="3315" w:type="dxa"/>
            <w:gridSpan w:val="7"/>
            <w:tcBorders>
              <w:top w:val="nil"/>
              <w:left w:val="nil"/>
              <w:bottom w:val="nil"/>
            </w:tcBorders>
            <w:shd w:val="clear" w:color="auto" w:fill="auto"/>
          </w:tcPr>
          <w:p w:rsidR="0017135D" w:rsidRPr="00FE1777" w:rsidP="004D1147">
            <w:pPr>
              <w:pStyle w:val="CSBody8ptbolditalics"/>
            </w:pPr>
            <w:r w:rsidRPr="00792D61">
              <w:t>[</w:t>
            </w:r>
            <w:r w:rsidRPr="00FE1777">
              <w:t>Option 2:</w:t>
            </w:r>
          </w:p>
        </w:tc>
        <w:tc>
          <w:tcPr>
            <w:tcW w:w="1618" w:type="dxa"/>
            <w:gridSpan w:val="2"/>
            <w:tcBorders>
              <w:top w:val="nil"/>
              <w:bottom w:val="nil"/>
              <w:right w:val="nil"/>
            </w:tcBorders>
            <w:shd w:val="clear" w:color="auto" w:fill="auto"/>
          </w:tcPr>
          <w:p w:rsidR="0017135D" w:rsidRPr="005B1A26" w:rsidP="00E60155">
            <w:pPr>
              <w:pStyle w:val="CSBody0"/>
              <w:rPr>
                <w:b/>
                <w:i/>
              </w:rPr>
            </w:pPr>
          </w:p>
        </w:tc>
        <w:tc>
          <w:tcPr>
            <w:tcW w:w="3318" w:type="dxa"/>
            <w:gridSpan w:val="10"/>
            <w:tcBorders>
              <w:top w:val="nil"/>
              <w:left w:val="nil"/>
              <w:bottom w:val="nil"/>
              <w:right w:val="nil"/>
            </w:tcBorders>
            <w:shd w:val="clear" w:color="auto" w:fill="auto"/>
          </w:tcPr>
          <w:p w:rsidR="0017135D" w:rsidRPr="00002576" w:rsidP="004D1147">
            <w:pPr>
              <w:pStyle w:val="CSBody8ptbolditalics"/>
            </w:pPr>
            <w:r w:rsidRPr="00792D61">
              <w:t>[</w:t>
            </w:r>
            <w:r w:rsidRPr="00002576">
              <w:t>Option 2:</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rPr>
            </w:pPr>
          </w:p>
        </w:tc>
        <w:tc>
          <w:tcPr>
            <w:tcW w:w="3315" w:type="dxa"/>
            <w:gridSpan w:val="7"/>
            <w:tcBorders>
              <w:top w:val="nil"/>
              <w:left w:val="nil"/>
              <w:bottom w:val="nil"/>
            </w:tcBorders>
            <w:shd w:val="clear" w:color="auto" w:fill="auto"/>
          </w:tcPr>
          <w:p w:rsidR="0017135D" w:rsidP="004D1147">
            <w:pPr>
              <w:pStyle w:val="CSBody8ptbolditalics"/>
            </w:pPr>
            <w:r w:rsidRPr="00792D61">
              <w:t>[</w:t>
            </w:r>
            <w:r w:rsidRPr="00FE1777">
              <w:t>in the case of one Interest Payment Date, insert:</w:t>
            </w:r>
          </w:p>
        </w:tc>
        <w:tc>
          <w:tcPr>
            <w:tcW w:w="1618" w:type="dxa"/>
            <w:gridSpan w:val="2"/>
            <w:tcBorders>
              <w:top w:val="nil"/>
              <w:bottom w:val="nil"/>
              <w:right w:val="nil"/>
            </w:tcBorders>
            <w:shd w:val="clear" w:color="auto" w:fill="auto"/>
          </w:tcPr>
          <w:p w:rsidR="0017135D" w:rsidRPr="005B1A26" w:rsidP="00E60155">
            <w:pPr>
              <w:pStyle w:val="CSBody0"/>
              <w:rPr>
                <w:b/>
                <w:i/>
              </w:rPr>
            </w:pPr>
          </w:p>
        </w:tc>
        <w:tc>
          <w:tcPr>
            <w:tcW w:w="3318" w:type="dxa"/>
            <w:gridSpan w:val="10"/>
            <w:tcBorders>
              <w:top w:val="nil"/>
              <w:left w:val="nil"/>
              <w:bottom w:val="nil"/>
              <w:right w:val="nil"/>
            </w:tcBorders>
            <w:shd w:val="clear" w:color="auto" w:fill="auto"/>
          </w:tcPr>
          <w:p w:rsidR="0017135D" w:rsidRPr="005B1A26" w:rsidP="004D1147">
            <w:pPr>
              <w:pStyle w:val="CSBody8ptbolditalics"/>
              <w:rPr>
                <w:lang w:val="de-DE"/>
              </w:rPr>
            </w:pPr>
            <w:r w:rsidRPr="00792D61">
              <w:rPr>
                <w:lang w:val="de-DE"/>
              </w:rPr>
              <w:t>[</w:t>
            </w:r>
            <w:r w:rsidRPr="005B1A26">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4D1147">
            <w:pPr>
              <w:pStyle w:val="CSBody8pt"/>
              <w:rPr>
                <w:lang w:val="de-DE"/>
              </w:rPr>
            </w:pPr>
          </w:p>
        </w:tc>
        <w:tc>
          <w:tcPr>
            <w:tcW w:w="3315" w:type="dxa"/>
            <w:gridSpan w:val="7"/>
            <w:tcBorders>
              <w:top w:val="nil"/>
              <w:left w:val="nil"/>
              <w:bottom w:val="nil"/>
            </w:tcBorders>
            <w:shd w:val="clear" w:color="auto" w:fill="auto"/>
          </w:tcPr>
          <w:p w:rsidR="0017135D" w:rsidRPr="00E97DF2" w:rsidP="004D1147">
            <w:pPr>
              <w:pStyle w:val="CSBody8pt"/>
            </w:pPr>
            <w:r w:rsidRPr="00E97DF2">
              <w:t xml:space="preserve">a rate per annum equal to the greater of (i) zero (0) and (ii) the sum of (x) </w:t>
            </w:r>
            <w:r w:rsidRPr="00792D61">
              <w:rPr>
                <w:b/>
              </w:rPr>
              <w:t>[</w:t>
            </w:r>
            <w:r w:rsidRPr="00E97DF2">
              <w:rPr>
                <w:rFonts w:ascii="Arial" w:hAnsi="Arial" w:cs="Arial"/>
              </w:rPr>
              <w:t>●</w:t>
            </w:r>
            <w:r w:rsidRPr="00792D61">
              <w:rPr>
                <w:b/>
              </w:rPr>
              <w:t>]</w:t>
            </w:r>
            <w:r w:rsidRPr="00E97DF2">
              <w:t>% per annum and (y) the difference between Reference Rate 1 on the Interest Determination Date and Reference Rate 2 on the Interest Determination Date, calculated in accordance with the following formula:</w:t>
            </w:r>
          </w:p>
        </w:tc>
        <w:tc>
          <w:tcPr>
            <w:tcW w:w="1618" w:type="dxa"/>
            <w:gridSpan w:val="2"/>
            <w:tcBorders>
              <w:top w:val="nil"/>
              <w:bottom w:val="nil"/>
              <w:right w:val="nil"/>
            </w:tcBorders>
            <w:shd w:val="clear" w:color="auto" w:fill="auto"/>
          </w:tcPr>
          <w:p w:rsidR="0017135D" w:rsidRPr="005B1A26" w:rsidP="004D1147">
            <w:pPr>
              <w:pStyle w:val="CSBody8pt"/>
              <w:rPr>
                <w:i/>
              </w:rPr>
            </w:pPr>
          </w:p>
        </w:tc>
        <w:tc>
          <w:tcPr>
            <w:tcW w:w="3318" w:type="dxa"/>
            <w:gridSpan w:val="10"/>
            <w:tcBorders>
              <w:top w:val="nil"/>
              <w:left w:val="nil"/>
              <w:bottom w:val="nil"/>
              <w:right w:val="nil"/>
            </w:tcBorders>
            <w:shd w:val="clear" w:color="auto" w:fill="auto"/>
          </w:tcPr>
          <w:p w:rsidR="0017135D" w:rsidRPr="005B1A26" w:rsidP="004D1147">
            <w:pPr>
              <w:pStyle w:val="CSBody8pt"/>
              <w:rPr>
                <w:lang w:val="de-DE"/>
              </w:rPr>
            </w:pPr>
            <w:r w:rsidRPr="005B1A26">
              <w:rPr>
                <w:lang w:val="de-DE"/>
              </w:rPr>
              <w:t xml:space="preserve">ein Satz per annum in Höhe des jeweils grösseren der folgenden Beträge: (i) null (0) und (ii) der Summe aus (x) </w:t>
            </w:r>
            <w:r w:rsidRPr="00792D61">
              <w:rPr>
                <w:b/>
                <w:lang w:val="de-DE"/>
              </w:rPr>
              <w:t>[</w:t>
            </w:r>
            <w:r w:rsidRPr="005B1A26">
              <w:rPr>
                <w:rFonts w:ascii="Arial" w:hAnsi="Arial" w:cs="Arial"/>
                <w:lang w:val="de-DE"/>
              </w:rPr>
              <w:t>●</w:t>
            </w:r>
            <w:r w:rsidRPr="00792D61">
              <w:rPr>
                <w:b/>
                <w:lang w:val="de-DE"/>
              </w:rPr>
              <w:t>]</w:t>
            </w:r>
            <w:r w:rsidRPr="005B1A26">
              <w:rPr>
                <w:lang w:val="de-DE"/>
              </w:rPr>
              <w:t>% per annum und (y) der Differenz aus dem Referenzsatz 1 am Zinsfeststellungstag und dem Referenzsatz 2 am Zinsfeststellungstag,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15550F" w:rsidP="00347398">
            <w:pPr>
              <w:spacing w:before="120" w:after="120"/>
              <w:jc w:val="center"/>
              <w:rPr>
                <w:lang w:val="de-DE"/>
              </w:rPr>
            </w:pPr>
            <m:oMath>
              <m:r>
                <w:rPr>
                  <w:rFonts w:ascii="Cambria Math" w:hAnsi="Cambria Math"/>
                  <w:sz w:val="14"/>
                  <w:szCs w:val="14"/>
                  <w:lang w:val="de-DE"/>
                </w:rPr>
                <m:t>max</m:t>
              </m:r>
              <m:d>
                <m:dPr>
                  <m:begChr m:val="["/>
                  <m:endChr m:val="]"/>
                  <m:ctrlPr>
                    <w:rPr>
                      <w:rFonts w:ascii="Cambria Math" w:hAnsi="Cambria Math"/>
                      <w:i/>
                      <w:sz w:val="14"/>
                      <w:szCs w:val="14"/>
                      <w:lang w:val="de-DE"/>
                    </w:rPr>
                  </m:ctrlPr>
                </m:dPr>
                <m:e>
                  <m:r>
                    <w:rPr>
                      <w:rFonts w:ascii="Cambria Math" w:hAnsi="Cambria Math"/>
                      <w:sz w:val="14"/>
                      <w:szCs w:val="14"/>
                      <w:lang w:val="de-DE"/>
                    </w:rPr>
                    <m:t>0;</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%p.a.+</m:t>
                  </m:r>
                  <m:d>
                    <m:dPr>
                      <m:ctrlPr>
                        <w:rPr>
                          <w:rFonts w:ascii="Cambria Math" w:hAnsi="Cambria Math"/>
                          <w:i/>
                          <w:sz w:val="14"/>
                          <w:szCs w:val="14"/>
                          <w:lang w:val="de-DE"/>
                        </w:rPr>
                      </m:ctrlPr>
                    </m:dPr>
                    <m:e>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1</m:t>
                          </m:r>
                        </m:sub>
                      </m:sSub>
                      <m:r>
                        <w:rPr>
                          <w:rFonts w:ascii="Cambria Math" w:hAnsi="Cambria Math"/>
                          <w:sz w:val="14"/>
                          <w:szCs w:val="14"/>
                          <w:lang w:val="de-DE"/>
                        </w:rPr>
                        <m:t>-</m:t>
                      </m:r>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2</m:t>
                          </m:r>
                        </m:sub>
                      </m:sSub>
                    </m:e>
                  </m:d>
                </m:e>
              </m:d>
            </m:oMath>
            <w:r>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15550F"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15550F" w:rsidP="00347398">
            <w:pPr>
              <w:spacing w:before="120" w:after="120"/>
              <w:jc w:val="center"/>
              <w:rPr>
                <w:lang w:val="de-DE"/>
              </w:rPr>
            </w:pPr>
            <m:oMath>
              <m:r>
                <w:rPr>
                  <w:rFonts w:ascii="Cambria Math" w:hAnsi="Cambria Math"/>
                  <w:sz w:val="14"/>
                  <w:szCs w:val="14"/>
                  <w:lang w:val="de-DE"/>
                </w:rPr>
                <m:t>max</m:t>
              </m:r>
              <m:d>
                <m:dPr>
                  <m:begChr m:val="["/>
                  <m:endChr m:val="]"/>
                  <m:ctrlPr>
                    <w:rPr>
                      <w:rFonts w:ascii="Cambria Math" w:hAnsi="Cambria Math"/>
                      <w:i/>
                      <w:sz w:val="14"/>
                      <w:szCs w:val="14"/>
                      <w:lang w:val="de-DE"/>
                    </w:rPr>
                  </m:ctrlPr>
                </m:dPr>
                <m:e>
                  <m:r>
                    <w:rPr>
                      <w:rFonts w:ascii="Cambria Math" w:hAnsi="Cambria Math"/>
                      <w:sz w:val="14"/>
                      <w:szCs w:val="14"/>
                      <w:lang w:val="de-DE"/>
                    </w:rPr>
                    <m:t>0;</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%p.a.+</m:t>
                  </m:r>
                  <m:d>
                    <m:dPr>
                      <m:ctrlPr>
                        <w:rPr>
                          <w:rFonts w:ascii="Cambria Math" w:hAnsi="Cambria Math"/>
                          <w:i/>
                          <w:sz w:val="14"/>
                          <w:szCs w:val="14"/>
                          <w:lang w:val="de-DE"/>
                        </w:rPr>
                      </m:ctrlPr>
                    </m:dPr>
                    <m:e>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1</m:t>
                          </m:r>
                        </m:sub>
                      </m:sSub>
                      <m:r>
                        <w:rPr>
                          <w:rFonts w:ascii="Cambria Math" w:hAnsi="Cambria Math"/>
                          <w:sz w:val="14"/>
                          <w:szCs w:val="14"/>
                          <w:lang w:val="de-DE"/>
                        </w:rPr>
                        <m:t>-</m:t>
                      </m:r>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2</m:t>
                          </m:r>
                        </m:sub>
                      </m:sSub>
                    </m:e>
                  </m:d>
                </m:e>
              </m:d>
            </m:oMath>
            <w:r>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4D1147">
            <w:pPr>
              <w:pStyle w:val="CSBody8ptbolditalics"/>
              <w:rPr>
                <w:lang w:val="de-DE"/>
              </w:rPr>
            </w:pPr>
          </w:p>
        </w:tc>
        <w:tc>
          <w:tcPr>
            <w:tcW w:w="3315" w:type="dxa"/>
            <w:gridSpan w:val="7"/>
            <w:tcBorders>
              <w:top w:val="nil"/>
              <w:left w:val="nil"/>
              <w:bottom w:val="nil"/>
            </w:tcBorders>
            <w:shd w:val="clear" w:color="auto" w:fill="auto"/>
          </w:tcPr>
          <w:p w:rsidR="0017135D" w:rsidRPr="00E97DF2" w:rsidP="004D1147">
            <w:pPr>
              <w:pStyle w:val="CSBody8ptbolditalics"/>
            </w:pPr>
            <w:r w:rsidRPr="00792D61">
              <w:t>[</w:t>
            </w:r>
            <w:r w:rsidRPr="00E97DF2">
              <w:t>in the case of multiple Interest Payment Dates, insert:</w:t>
            </w:r>
          </w:p>
        </w:tc>
        <w:tc>
          <w:tcPr>
            <w:tcW w:w="1618" w:type="dxa"/>
            <w:gridSpan w:val="2"/>
            <w:tcBorders>
              <w:top w:val="nil"/>
              <w:bottom w:val="nil"/>
              <w:right w:val="nil"/>
            </w:tcBorders>
            <w:shd w:val="clear" w:color="auto" w:fill="auto"/>
          </w:tcPr>
          <w:p w:rsidR="0017135D" w:rsidRPr="005B1A26" w:rsidP="004D1147">
            <w:pPr>
              <w:pStyle w:val="CSBody8ptbolditalics"/>
            </w:pPr>
          </w:p>
        </w:tc>
        <w:tc>
          <w:tcPr>
            <w:tcW w:w="3318" w:type="dxa"/>
            <w:gridSpan w:val="10"/>
            <w:tcBorders>
              <w:top w:val="nil"/>
              <w:left w:val="nil"/>
              <w:bottom w:val="nil"/>
              <w:right w:val="nil"/>
            </w:tcBorders>
            <w:shd w:val="clear" w:color="auto" w:fill="auto"/>
          </w:tcPr>
          <w:p w:rsidR="0017135D" w:rsidRPr="00CA57D7" w:rsidP="004D1147">
            <w:pPr>
              <w:pStyle w:val="CSBody8ptbolditalics"/>
            </w:pPr>
            <w:r w:rsidRPr="00792D61">
              <w:t>[</w:t>
            </w:r>
            <w:r w:rsidRPr="00CA57D7">
              <w:t>bei mehreren Zinszahlungstagen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4D1147">
            <w:pPr>
              <w:pStyle w:val="CSBody8pt"/>
            </w:pPr>
          </w:p>
        </w:tc>
        <w:tc>
          <w:tcPr>
            <w:tcW w:w="3315" w:type="dxa"/>
            <w:gridSpan w:val="7"/>
            <w:tcBorders>
              <w:top w:val="nil"/>
              <w:left w:val="nil"/>
              <w:bottom w:val="nil"/>
            </w:tcBorders>
            <w:shd w:val="clear" w:color="auto" w:fill="auto"/>
          </w:tcPr>
          <w:p w:rsidR="0017135D" w:rsidP="004D1147">
            <w:pPr>
              <w:pStyle w:val="CSBody8pt"/>
            </w:pPr>
            <w:r w:rsidRPr="00E97DF2">
              <w:t>with respect to any Interest Payment Date (</w:t>
            </w:r>
            <w:r w:rsidRPr="00116653">
              <w:rPr>
                <w:i/>
              </w:rPr>
              <w:t>t</w:t>
            </w:r>
            <w:r w:rsidRPr="00E97DF2">
              <w:t xml:space="preserve">), a rate per annum equal to the greater of (i) zero (0) and (ii) the sum of (x) </w:t>
            </w:r>
            <w:r w:rsidRPr="00792D61">
              <w:rPr>
                <w:b/>
              </w:rPr>
              <w:t>[</w:t>
            </w:r>
            <w:r w:rsidRPr="00E97DF2">
              <w:rPr>
                <w:rFonts w:ascii="Arial" w:hAnsi="Arial" w:cs="Arial"/>
              </w:rPr>
              <w:t>●</w:t>
            </w:r>
            <w:r w:rsidRPr="00792D61">
              <w:rPr>
                <w:b/>
              </w:rPr>
              <w:t>]</w:t>
            </w:r>
            <w:r w:rsidRPr="00E97DF2">
              <w:t>% per annum and (y) the difference between Reference Rate 1 on the Interest Rate Determination Date applicable to such Interest Payment Date (</w:t>
            </w:r>
            <w:r w:rsidRPr="00116653">
              <w:rPr>
                <w:i/>
              </w:rPr>
              <w:t>t</w:t>
            </w:r>
            <w:r w:rsidRPr="00E97DF2">
              <w:t>) and Reference Rate 2 on the Interest Rate Determination Date applicable to such Interest Payment Date (</w:t>
            </w:r>
            <w:r w:rsidRPr="00116653">
              <w:rPr>
                <w:i/>
              </w:rPr>
              <w:t>t</w:t>
            </w:r>
            <w:r w:rsidRPr="00E97DF2">
              <w:t>), calculated in accordance with the following formula:</w:t>
            </w:r>
          </w:p>
        </w:tc>
        <w:tc>
          <w:tcPr>
            <w:tcW w:w="1618" w:type="dxa"/>
            <w:gridSpan w:val="2"/>
            <w:tcBorders>
              <w:top w:val="nil"/>
              <w:bottom w:val="nil"/>
              <w:right w:val="nil"/>
            </w:tcBorders>
            <w:shd w:val="clear" w:color="auto" w:fill="auto"/>
          </w:tcPr>
          <w:p w:rsidR="0017135D" w:rsidRPr="005B1A26" w:rsidP="004D1147">
            <w:pPr>
              <w:pStyle w:val="CSBody8pt"/>
              <w:rPr>
                <w:i/>
              </w:rPr>
            </w:pPr>
          </w:p>
        </w:tc>
        <w:tc>
          <w:tcPr>
            <w:tcW w:w="3318" w:type="dxa"/>
            <w:gridSpan w:val="10"/>
            <w:tcBorders>
              <w:top w:val="nil"/>
              <w:left w:val="nil"/>
              <w:bottom w:val="nil"/>
              <w:right w:val="nil"/>
            </w:tcBorders>
            <w:shd w:val="clear" w:color="auto" w:fill="auto"/>
          </w:tcPr>
          <w:p w:rsidR="0017135D" w:rsidRPr="005B1A26" w:rsidP="00516CB4">
            <w:pPr>
              <w:pStyle w:val="CSBody8pt"/>
              <w:rPr>
                <w:lang w:val="de-DE"/>
              </w:rPr>
            </w:pPr>
            <w:r w:rsidRPr="005B1A26">
              <w:rPr>
                <w:lang w:val="de-DE"/>
              </w:rPr>
              <w:t>in Bezug auf einen Zinszahlungstag (</w:t>
            </w:r>
            <w:r w:rsidRPr="00116653">
              <w:rPr>
                <w:i/>
                <w:lang w:val="de-DE"/>
              </w:rPr>
              <w:t>t</w:t>
            </w:r>
            <w:r w:rsidRPr="005B1A26">
              <w:rPr>
                <w:lang w:val="de-DE"/>
              </w:rPr>
              <w:t xml:space="preserve">) ein Satz per annum in Höhe des jeweils grösseren der folgenden Beträge: (i) null (0) und (ii) der Summe aus (x) </w:t>
            </w:r>
            <w:r w:rsidRPr="00792D61">
              <w:rPr>
                <w:b/>
                <w:lang w:val="de-DE"/>
              </w:rPr>
              <w:t>[</w:t>
            </w:r>
            <w:r w:rsidRPr="005B1A26">
              <w:rPr>
                <w:rFonts w:ascii="Arial" w:hAnsi="Arial" w:cs="Arial"/>
                <w:lang w:val="de-DE"/>
              </w:rPr>
              <w:t>●</w:t>
            </w:r>
            <w:r w:rsidRPr="00792D61">
              <w:rPr>
                <w:b/>
                <w:lang w:val="de-DE"/>
              </w:rPr>
              <w:t>]</w:t>
            </w:r>
            <w:r w:rsidRPr="005B1A26">
              <w:rPr>
                <w:lang w:val="de-DE"/>
              </w:rPr>
              <w:t>% per annum und (y) der Differenz aus dem Referenzsatz 1 an dem f</w:t>
            </w:r>
            <w:r w:rsidRPr="005B1A26">
              <w:rPr>
                <w:rFonts w:cs="Credit Suisse Type Light"/>
                <w:lang w:val="de-DE"/>
              </w:rPr>
              <w:t>ü</w:t>
            </w:r>
            <w:r w:rsidRPr="005B1A26">
              <w:rPr>
                <w:lang w:val="de-DE"/>
              </w:rPr>
              <w:t>r diesen Zinszahlungstag (</w:t>
            </w:r>
            <w:r w:rsidRPr="00116653">
              <w:rPr>
                <w:i/>
                <w:lang w:val="de-DE"/>
              </w:rPr>
              <w:t>t</w:t>
            </w:r>
            <w:r w:rsidRPr="005B1A26">
              <w:rPr>
                <w:lang w:val="de-DE"/>
              </w:rPr>
              <w:t>) geltenden Zinsfeststellungstag und dem Referenzsatz 2 an dem f</w:t>
            </w:r>
            <w:r w:rsidRPr="005B1A26">
              <w:rPr>
                <w:rFonts w:cs="Credit Suisse Type Light"/>
                <w:lang w:val="de-DE"/>
              </w:rPr>
              <w:t>ü</w:t>
            </w:r>
            <w:r w:rsidRPr="005B1A26">
              <w:rPr>
                <w:lang w:val="de-DE"/>
              </w:rPr>
              <w:t>r diesen Zinszahlungstag (</w:t>
            </w:r>
            <w:r w:rsidRPr="00116653">
              <w:rPr>
                <w:i/>
                <w:lang w:val="de-DE"/>
              </w:rPr>
              <w:t>t</w:t>
            </w:r>
            <w:r w:rsidRPr="005B1A26">
              <w:rPr>
                <w:lang w:val="de-DE"/>
              </w:rPr>
              <w:t>) geltenden Zinsfeststellungstag,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4D1147" w:rsidP="009019A0">
            <w:pPr>
              <w:spacing w:before="120" w:after="120"/>
              <w:jc w:val="center"/>
              <w:rPr>
                <w:sz w:val="14"/>
                <w:szCs w:val="14"/>
                <w:lang w:val="de-DE"/>
              </w:rPr>
            </w:pPr>
            <m:oMath>
              <m:r>
                <w:rPr>
                  <w:rFonts w:ascii="Cambria Math" w:hAnsi="Cambria Math"/>
                  <w:sz w:val="14"/>
                  <w:szCs w:val="14"/>
                  <w:lang w:val="de-DE"/>
                </w:rPr>
                <m:t>max</m:t>
              </m:r>
              <m:d>
                <m:dPr>
                  <m:begChr m:val="["/>
                  <m:endChr m:val="]"/>
                  <m:ctrlPr>
                    <w:rPr>
                      <w:rFonts w:ascii="Cambria Math" w:hAnsi="Cambria Math"/>
                      <w:i/>
                      <w:sz w:val="14"/>
                      <w:szCs w:val="14"/>
                      <w:lang w:val="de-DE"/>
                    </w:rPr>
                  </m:ctrlPr>
                </m:dPr>
                <m:e>
                  <m:r>
                    <w:rPr>
                      <w:rFonts w:ascii="Cambria Math" w:hAnsi="Cambria Math"/>
                      <w:sz w:val="14"/>
                      <w:szCs w:val="14"/>
                      <w:lang w:val="de-DE"/>
                    </w:rPr>
                    <m:t>0;</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%p.a.+</m:t>
                  </m:r>
                  <m:d>
                    <m:dPr>
                      <m:ctrlPr>
                        <w:rPr>
                          <w:rFonts w:ascii="Cambria Math" w:hAnsi="Cambria Math"/>
                          <w:i/>
                          <w:sz w:val="14"/>
                          <w:szCs w:val="14"/>
                          <w:lang w:val="de-DE"/>
                        </w:rPr>
                      </m:ctrlPr>
                    </m:dPr>
                    <m:e>
                      <m:sSubSup>
                        <m:sSubSupPr>
                          <m:ctrlPr>
                            <w:rPr>
                              <w:rFonts w:ascii="Cambria Math" w:hAnsi="Cambria Math"/>
                              <w:i/>
                              <w:sz w:val="14"/>
                              <w:szCs w:val="14"/>
                              <w:lang w:val="de-DE"/>
                            </w:rPr>
                          </m:ctrlPr>
                        </m:sSubSupPr>
                        <m:e>
                          <m:r>
                            <w:rPr>
                              <w:rFonts w:ascii="Cambria Math" w:hAnsi="Cambria Math"/>
                              <w:sz w:val="14"/>
                              <w:szCs w:val="14"/>
                              <w:lang w:val="de-DE"/>
                            </w:rPr>
                            <m:t>RR</m:t>
                          </m:r>
                        </m:e>
                        <m:sub>
                          <m:r>
                            <w:rPr>
                              <w:rFonts w:ascii="Cambria Math" w:hAnsi="Cambria Math"/>
                              <w:sz w:val="14"/>
                              <w:szCs w:val="14"/>
                              <w:lang w:val="de-DE"/>
                            </w:rPr>
                            <m:t>t</m:t>
                          </m:r>
                        </m:sub>
                        <m:sup>
                          <m:r>
                            <w:rPr>
                              <w:rFonts w:ascii="Cambria Math" w:hAnsi="Cambria Math"/>
                              <w:sz w:val="14"/>
                              <w:szCs w:val="14"/>
                              <w:lang w:val="de-DE"/>
                            </w:rPr>
                            <m:t>1</m:t>
                          </m:r>
                        </m:sup>
                      </m:sSubSup>
                      <m:r>
                        <w:rPr>
                          <w:rFonts w:ascii="Cambria Math" w:hAnsi="Cambria Math"/>
                          <w:sz w:val="14"/>
                          <w:szCs w:val="14"/>
                          <w:lang w:val="de-DE"/>
                        </w:rPr>
                        <m:t>-</m:t>
                      </m:r>
                      <m:sSubSup>
                        <m:sSubSupPr>
                          <m:ctrlPr>
                            <w:rPr>
                              <w:rFonts w:ascii="Cambria Math" w:hAnsi="Cambria Math"/>
                              <w:i/>
                              <w:sz w:val="14"/>
                              <w:szCs w:val="14"/>
                              <w:lang w:val="de-DE"/>
                            </w:rPr>
                          </m:ctrlPr>
                        </m:sSubSupPr>
                        <m:e>
                          <m:r>
                            <w:rPr>
                              <w:rFonts w:ascii="Cambria Math" w:hAnsi="Cambria Math"/>
                              <w:sz w:val="14"/>
                              <w:szCs w:val="14"/>
                              <w:lang w:val="de-DE"/>
                            </w:rPr>
                            <m:t>RR</m:t>
                          </m:r>
                        </m:e>
                        <m:sub>
                          <m:r>
                            <w:rPr>
                              <w:rFonts w:ascii="Cambria Math" w:hAnsi="Cambria Math"/>
                              <w:sz w:val="14"/>
                              <w:szCs w:val="14"/>
                              <w:lang w:val="de-DE"/>
                            </w:rPr>
                            <m:t>t</m:t>
                          </m:r>
                        </m:sub>
                        <m:sup>
                          <m:r>
                            <w:rPr>
                              <w:rFonts w:ascii="Cambria Math" w:hAnsi="Cambria Math"/>
                              <w:sz w:val="14"/>
                              <w:szCs w:val="14"/>
                              <w:lang w:val="de-DE"/>
                            </w:rPr>
                            <m:t>2</m:t>
                          </m:r>
                        </m:sup>
                      </m:sSubSup>
                    </m:e>
                  </m:d>
                </m:e>
              </m:d>
            </m:oMath>
            <w:r>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5B1A26"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4D1147" w:rsidP="009019A0">
            <w:pPr>
              <w:spacing w:before="120" w:after="120"/>
              <w:jc w:val="center"/>
              <w:rPr>
                <w:sz w:val="14"/>
                <w:szCs w:val="14"/>
                <w:lang w:val="de-DE"/>
              </w:rPr>
            </w:pPr>
            <m:oMath>
              <m:r>
                <w:rPr>
                  <w:rFonts w:ascii="Cambria Math" w:hAnsi="Cambria Math"/>
                  <w:sz w:val="14"/>
                  <w:szCs w:val="14"/>
                  <w:lang w:val="de-DE"/>
                </w:rPr>
                <m:t>max</m:t>
              </m:r>
              <m:d>
                <m:dPr>
                  <m:begChr m:val="["/>
                  <m:endChr m:val="]"/>
                  <m:ctrlPr>
                    <w:rPr>
                      <w:rFonts w:ascii="Cambria Math" w:hAnsi="Cambria Math"/>
                      <w:i/>
                      <w:sz w:val="14"/>
                      <w:szCs w:val="14"/>
                      <w:lang w:val="de-DE"/>
                    </w:rPr>
                  </m:ctrlPr>
                </m:dPr>
                <m:e>
                  <m:r>
                    <w:rPr>
                      <w:rFonts w:ascii="Cambria Math" w:hAnsi="Cambria Math"/>
                      <w:sz w:val="14"/>
                      <w:szCs w:val="14"/>
                      <w:lang w:val="de-DE"/>
                    </w:rPr>
                    <m:t>0;</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%p.a.+</m:t>
                  </m:r>
                  <m:d>
                    <m:dPr>
                      <m:ctrlPr>
                        <w:rPr>
                          <w:rFonts w:ascii="Cambria Math" w:hAnsi="Cambria Math"/>
                          <w:i/>
                          <w:sz w:val="14"/>
                          <w:szCs w:val="14"/>
                          <w:lang w:val="de-DE"/>
                        </w:rPr>
                      </m:ctrlPr>
                    </m:dPr>
                    <m:e>
                      <m:sSubSup>
                        <m:sSubSupPr>
                          <m:ctrlPr>
                            <w:rPr>
                              <w:rFonts w:ascii="Cambria Math" w:hAnsi="Cambria Math"/>
                              <w:i/>
                              <w:sz w:val="14"/>
                              <w:szCs w:val="14"/>
                              <w:lang w:val="de-DE"/>
                            </w:rPr>
                          </m:ctrlPr>
                        </m:sSubSupPr>
                        <m:e>
                          <m:r>
                            <w:rPr>
                              <w:rFonts w:ascii="Cambria Math" w:hAnsi="Cambria Math"/>
                              <w:sz w:val="14"/>
                              <w:szCs w:val="14"/>
                              <w:lang w:val="de-DE"/>
                            </w:rPr>
                            <m:t>RR</m:t>
                          </m:r>
                        </m:e>
                        <m:sub>
                          <m:r>
                            <w:rPr>
                              <w:rFonts w:ascii="Cambria Math" w:hAnsi="Cambria Math"/>
                              <w:sz w:val="14"/>
                              <w:szCs w:val="14"/>
                              <w:lang w:val="de-DE"/>
                            </w:rPr>
                            <m:t>t</m:t>
                          </m:r>
                        </m:sub>
                        <m:sup>
                          <m:r>
                            <w:rPr>
                              <w:rFonts w:ascii="Cambria Math" w:hAnsi="Cambria Math"/>
                              <w:sz w:val="14"/>
                              <w:szCs w:val="14"/>
                              <w:lang w:val="de-DE"/>
                            </w:rPr>
                            <m:t>1</m:t>
                          </m:r>
                        </m:sup>
                      </m:sSubSup>
                      <m:r>
                        <w:rPr>
                          <w:rFonts w:ascii="Cambria Math" w:hAnsi="Cambria Math"/>
                          <w:sz w:val="14"/>
                          <w:szCs w:val="14"/>
                          <w:lang w:val="de-DE"/>
                        </w:rPr>
                        <m:t>-</m:t>
                      </m:r>
                      <m:sSubSup>
                        <m:sSubSupPr>
                          <m:ctrlPr>
                            <w:rPr>
                              <w:rFonts w:ascii="Cambria Math" w:hAnsi="Cambria Math"/>
                              <w:i/>
                              <w:sz w:val="14"/>
                              <w:szCs w:val="14"/>
                              <w:lang w:val="de-DE"/>
                            </w:rPr>
                          </m:ctrlPr>
                        </m:sSubSupPr>
                        <m:e>
                          <m:r>
                            <w:rPr>
                              <w:rFonts w:ascii="Cambria Math" w:hAnsi="Cambria Math"/>
                              <w:sz w:val="14"/>
                              <w:szCs w:val="14"/>
                              <w:lang w:val="de-DE"/>
                            </w:rPr>
                            <m:t>RR</m:t>
                          </m:r>
                        </m:e>
                        <m:sub>
                          <m:r>
                            <w:rPr>
                              <w:rFonts w:ascii="Cambria Math" w:hAnsi="Cambria Math"/>
                              <w:sz w:val="14"/>
                              <w:szCs w:val="14"/>
                              <w:lang w:val="de-DE"/>
                            </w:rPr>
                            <m:t>t</m:t>
                          </m:r>
                        </m:sub>
                        <m:sup>
                          <m:r>
                            <w:rPr>
                              <w:rFonts w:ascii="Cambria Math" w:hAnsi="Cambria Math"/>
                              <w:sz w:val="14"/>
                              <w:szCs w:val="14"/>
                              <w:lang w:val="de-DE"/>
                            </w:rPr>
                            <m:t>2</m:t>
                          </m:r>
                        </m:sup>
                      </m:sSubSup>
                    </m:e>
                  </m:d>
                </m:e>
              </m:d>
            </m:oMath>
            <w:r>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FD5835" w:rsidP="004D1147">
            <w:pPr>
              <w:pStyle w:val="CSBody8ptbolditalics"/>
            </w:pPr>
            <w:r w:rsidRPr="00792D61">
              <w:t>[</w:t>
            </w:r>
            <w:r w:rsidRPr="00FD5835">
              <w:t>in the case of Inflation Index-Linked Notes without a Fixed Interest Payment Amount, insert:</w:t>
            </w:r>
          </w:p>
        </w:tc>
        <w:tc>
          <w:tcPr>
            <w:tcW w:w="1618" w:type="dxa"/>
            <w:gridSpan w:val="2"/>
            <w:tcBorders>
              <w:top w:val="nil"/>
              <w:bottom w:val="nil"/>
              <w:right w:val="nil"/>
            </w:tcBorders>
            <w:shd w:val="clear" w:color="auto" w:fill="auto"/>
          </w:tcPr>
          <w:p w:rsidR="0017135D" w:rsidRPr="005B1A26" w:rsidP="00E60155">
            <w:pPr>
              <w:pStyle w:val="CSBody0"/>
              <w:rPr>
                <w:b/>
                <w:i/>
              </w:rPr>
            </w:pPr>
          </w:p>
        </w:tc>
        <w:tc>
          <w:tcPr>
            <w:tcW w:w="3318" w:type="dxa"/>
            <w:gridSpan w:val="10"/>
            <w:tcBorders>
              <w:top w:val="nil"/>
              <w:left w:val="nil"/>
              <w:bottom w:val="nil"/>
              <w:right w:val="nil"/>
            </w:tcBorders>
            <w:shd w:val="clear" w:color="auto" w:fill="auto"/>
          </w:tcPr>
          <w:p w:rsidR="0017135D" w:rsidRPr="005B1A26" w:rsidP="004D1147">
            <w:pPr>
              <w:pStyle w:val="CSBody8ptbolditalics"/>
              <w:rPr>
                <w:lang w:val="de-DE"/>
              </w:rPr>
            </w:pPr>
            <w:r w:rsidRPr="00792D61">
              <w:rPr>
                <w:lang w:val="de-DE"/>
              </w:rPr>
              <w:t>[</w:t>
            </w:r>
            <w:r w:rsidRPr="005B1A26">
              <w:rPr>
                <w:lang w:val="de-DE"/>
              </w:rPr>
              <w:t>bei Inflation Index-Linked Notes ohne einen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FD5835" w:rsidP="004D1147">
            <w:pPr>
              <w:pStyle w:val="CSBody8ptbolditalics"/>
            </w:pPr>
            <w:r w:rsidRPr="00792D61">
              <w:t>[</w:t>
            </w:r>
            <w:r w:rsidRPr="00FD5835">
              <w:t>Option 1:</w:t>
            </w:r>
          </w:p>
        </w:tc>
        <w:tc>
          <w:tcPr>
            <w:tcW w:w="1618" w:type="dxa"/>
            <w:gridSpan w:val="2"/>
            <w:tcBorders>
              <w:top w:val="nil"/>
              <w:bottom w:val="nil"/>
              <w:right w:val="nil"/>
            </w:tcBorders>
            <w:shd w:val="clear" w:color="auto" w:fill="auto"/>
          </w:tcPr>
          <w:p w:rsidR="0017135D" w:rsidRPr="005B1A26"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9031BA" w:rsidP="004D1147">
            <w:pPr>
              <w:pStyle w:val="CSBody8ptbolditalics"/>
            </w:pPr>
            <w:r w:rsidRPr="00792D61">
              <w:t>[</w:t>
            </w:r>
            <w:r w:rsidRPr="009031BA">
              <w:t>Option 1:</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P="004D1147">
            <w:pPr>
              <w:pStyle w:val="CSBody8ptbolditalics"/>
            </w:pPr>
            <w:r w:rsidRPr="00792D61">
              <w:t>[</w:t>
            </w:r>
            <w:r w:rsidRPr="00FD5835">
              <w:t>in the case of one Interest Payment Date, insert:</w:t>
            </w:r>
          </w:p>
        </w:tc>
        <w:tc>
          <w:tcPr>
            <w:tcW w:w="1618" w:type="dxa"/>
            <w:gridSpan w:val="2"/>
            <w:tcBorders>
              <w:top w:val="nil"/>
              <w:bottom w:val="nil"/>
              <w:right w:val="nil"/>
            </w:tcBorders>
            <w:shd w:val="clear" w:color="auto" w:fill="auto"/>
          </w:tcPr>
          <w:p w:rsidR="0017135D" w:rsidRPr="005B1A26" w:rsidP="00E60155">
            <w:pPr>
              <w:pStyle w:val="CSBody0"/>
              <w:rPr>
                <w:b/>
                <w:i/>
              </w:rPr>
            </w:pPr>
          </w:p>
        </w:tc>
        <w:tc>
          <w:tcPr>
            <w:tcW w:w="3318" w:type="dxa"/>
            <w:gridSpan w:val="10"/>
            <w:tcBorders>
              <w:top w:val="nil"/>
              <w:left w:val="nil"/>
              <w:bottom w:val="nil"/>
              <w:right w:val="nil"/>
            </w:tcBorders>
            <w:shd w:val="clear" w:color="auto" w:fill="auto"/>
          </w:tcPr>
          <w:p w:rsidR="0017135D" w:rsidP="004D1147">
            <w:pPr>
              <w:pStyle w:val="CSBody8ptbolditalics"/>
            </w:pPr>
            <w:r w:rsidRPr="00792D61">
              <w:t>[</w:t>
            </w:r>
            <w:r w:rsidRPr="009031BA">
              <w:t>bei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04656F">
            <w:pPr>
              <w:pStyle w:val="CSBody8pt"/>
            </w:pPr>
          </w:p>
        </w:tc>
        <w:tc>
          <w:tcPr>
            <w:tcW w:w="3315" w:type="dxa"/>
            <w:gridSpan w:val="7"/>
            <w:tcBorders>
              <w:top w:val="nil"/>
              <w:left w:val="nil"/>
              <w:bottom w:val="nil"/>
            </w:tcBorders>
            <w:shd w:val="clear" w:color="auto" w:fill="auto"/>
          </w:tcPr>
          <w:p w:rsidR="0017135D" w:rsidRPr="003F41A3" w:rsidP="0004656F">
            <w:pPr>
              <w:pStyle w:val="CSBody8pt"/>
            </w:pPr>
            <w:r w:rsidRPr="003F41A3">
              <w:t>a rate per annum equal to the greater of (i) zero (o) and (ii) the Participation multiplied by the difference between (x) the Reference Rate for Reference Month(</w:t>
            </w:r>
            <w:r w:rsidRPr="00792D61">
              <w:rPr>
                <w:b/>
              </w:rPr>
              <w:t>[</w:t>
            </w:r>
            <w:r w:rsidRPr="003F41A3">
              <w:rPr>
                <w:rFonts w:ascii="Arial" w:hAnsi="Arial" w:cs="Arial"/>
              </w:rPr>
              <w:t>●</w:t>
            </w:r>
            <w:r w:rsidRPr="00792D61">
              <w:rPr>
                <w:b/>
              </w:rPr>
              <w:t>]</w:t>
            </w:r>
            <w:r w:rsidRPr="003F41A3">
              <w:t>m) (</w:t>
            </w:r>
            <w:r w:rsidRPr="008851E8">
              <w:rPr>
                <w:i/>
              </w:rPr>
              <w:t>RR</w:t>
            </w:r>
            <w:r w:rsidRPr="00792D61">
              <w:rPr>
                <w:b/>
                <w:i/>
              </w:rPr>
              <w:t>[</w:t>
            </w:r>
            <w:r w:rsidRPr="008851E8">
              <w:rPr>
                <w:rFonts w:ascii="Arial" w:hAnsi="Arial" w:cs="Arial"/>
                <w:i/>
              </w:rPr>
              <w:t>●</w:t>
            </w:r>
            <w:r w:rsidRPr="00792D61">
              <w:rPr>
                <w:b/>
                <w:i/>
              </w:rPr>
              <w:t>]</w:t>
            </w:r>
            <w:r w:rsidRPr="008851E8">
              <w:rPr>
                <w:i/>
              </w:rPr>
              <w:t>m</w:t>
            </w:r>
            <w:r w:rsidRPr="003F41A3">
              <w:t>), divided by the Reference Rate for Reference Month(</w:t>
            </w:r>
            <w:r w:rsidRPr="00792D61">
              <w:rPr>
                <w:b/>
              </w:rPr>
              <w:t>[</w:t>
            </w:r>
            <w:r w:rsidRPr="003F41A3">
              <w:rPr>
                <w:rFonts w:ascii="Arial" w:hAnsi="Arial" w:cs="Arial"/>
              </w:rPr>
              <w:t>●</w:t>
            </w:r>
            <w:r w:rsidRPr="00792D61">
              <w:rPr>
                <w:b/>
              </w:rPr>
              <w:t>]</w:t>
            </w:r>
            <w:r w:rsidRPr="003F41A3">
              <w:t>m) (</w:t>
            </w:r>
            <w:r w:rsidRPr="008851E8">
              <w:rPr>
                <w:i/>
              </w:rPr>
              <w:t>RR</w:t>
            </w:r>
            <w:r w:rsidRPr="00792D61">
              <w:rPr>
                <w:b/>
                <w:i/>
              </w:rPr>
              <w:t>[</w:t>
            </w:r>
            <w:r w:rsidRPr="008851E8">
              <w:rPr>
                <w:rFonts w:ascii="Arial" w:hAnsi="Arial" w:cs="Arial"/>
                <w:i/>
              </w:rPr>
              <w:t>●</w:t>
            </w:r>
            <w:r w:rsidRPr="00792D61">
              <w:rPr>
                <w:b/>
                <w:i/>
              </w:rPr>
              <w:t>]</w:t>
            </w:r>
            <w:r w:rsidRPr="008851E8">
              <w:rPr>
                <w:i/>
              </w:rPr>
              <w:t>m</w:t>
            </w:r>
            <w:r w:rsidRPr="003F41A3">
              <w:t>), and (y) one (1), calculated in accordance with the following formula:</w:t>
            </w:r>
          </w:p>
        </w:tc>
        <w:tc>
          <w:tcPr>
            <w:tcW w:w="1618" w:type="dxa"/>
            <w:gridSpan w:val="2"/>
            <w:tcBorders>
              <w:top w:val="nil"/>
              <w:bottom w:val="nil"/>
              <w:right w:val="nil"/>
            </w:tcBorders>
            <w:shd w:val="clear" w:color="auto" w:fill="auto"/>
          </w:tcPr>
          <w:p w:rsidR="0017135D" w:rsidRPr="005B1A26" w:rsidP="0004656F">
            <w:pPr>
              <w:pStyle w:val="CSBody8pt"/>
              <w:rPr>
                <w:i/>
              </w:rPr>
            </w:pPr>
          </w:p>
        </w:tc>
        <w:tc>
          <w:tcPr>
            <w:tcW w:w="3318" w:type="dxa"/>
            <w:gridSpan w:val="10"/>
            <w:tcBorders>
              <w:top w:val="nil"/>
              <w:left w:val="nil"/>
              <w:bottom w:val="nil"/>
              <w:right w:val="nil"/>
            </w:tcBorders>
            <w:shd w:val="clear" w:color="auto" w:fill="auto"/>
          </w:tcPr>
          <w:p w:rsidR="0017135D" w:rsidRPr="005B1A26" w:rsidP="0004656F">
            <w:pPr>
              <w:pStyle w:val="CSBody8pt"/>
              <w:rPr>
                <w:lang w:val="de-DE"/>
              </w:rPr>
            </w:pPr>
            <w:r w:rsidRPr="005B1A26">
              <w:rPr>
                <w:lang w:val="de-DE"/>
              </w:rPr>
              <w:t xml:space="preserve">ein Satz per annum in Höhe des jeweils grösseren der folgenden Beträge: (i) null (0) oder (ii) der Partizipation </w:t>
            </w:r>
            <w:r w:rsidRPr="00A205FA">
              <w:rPr>
                <w:i/>
                <w:lang w:val="de-DE"/>
              </w:rPr>
              <w:t>(Participation)</w:t>
            </w:r>
            <w:r w:rsidRPr="005B1A26">
              <w:rPr>
                <w:lang w:val="de-DE"/>
              </w:rPr>
              <w:t xml:space="preserve"> multipliziert mit der Differenz aus (x) dem Referenzsatz für den Referenzmonat(</w:t>
            </w:r>
            <w:r w:rsidRPr="00792D61">
              <w:rPr>
                <w:b/>
                <w:lang w:val="de-DE"/>
              </w:rPr>
              <w:t>[</w:t>
            </w:r>
            <w:r w:rsidRPr="005B1A26">
              <w:rPr>
                <w:rFonts w:ascii="Arial" w:hAnsi="Arial" w:cs="Arial"/>
                <w:lang w:val="de-DE"/>
              </w:rPr>
              <w:t>●</w:t>
            </w:r>
            <w:r w:rsidRPr="00792D61">
              <w:rPr>
                <w:b/>
                <w:lang w:val="de-DE"/>
              </w:rPr>
              <w:t>]</w:t>
            </w:r>
            <w:r w:rsidRPr="005B1A26">
              <w:rPr>
                <w:lang w:val="de-DE"/>
              </w:rPr>
              <w:t>m) (</w:t>
            </w:r>
            <w:r w:rsidRPr="008851E8">
              <w:rPr>
                <w:i/>
                <w:lang w:val="de-DE"/>
              </w:rPr>
              <w:t>RR</w:t>
            </w:r>
            <w:r w:rsidRPr="00792D61">
              <w:rPr>
                <w:b/>
                <w:i/>
                <w:lang w:val="de-DE"/>
              </w:rPr>
              <w:t>[</w:t>
            </w:r>
            <w:r w:rsidRPr="008851E8">
              <w:rPr>
                <w:rFonts w:ascii="Arial" w:hAnsi="Arial" w:cs="Arial"/>
                <w:i/>
                <w:lang w:val="de-DE"/>
              </w:rPr>
              <w:t>●</w:t>
            </w:r>
            <w:r w:rsidRPr="00792D61">
              <w:rPr>
                <w:b/>
                <w:i/>
                <w:lang w:val="de-DE"/>
              </w:rPr>
              <w:t>]</w:t>
            </w:r>
            <w:r w:rsidRPr="008851E8">
              <w:rPr>
                <w:i/>
                <w:lang w:val="de-DE"/>
              </w:rPr>
              <w:t>m</w:t>
            </w:r>
            <w:r w:rsidRPr="005B1A26">
              <w:rPr>
                <w:lang w:val="de-DE"/>
              </w:rPr>
              <w:t>) dividiert durch den Referenzmonat(</w:t>
            </w:r>
            <w:r w:rsidRPr="00792D61">
              <w:rPr>
                <w:b/>
                <w:lang w:val="de-DE"/>
              </w:rPr>
              <w:t>[</w:t>
            </w:r>
            <w:r w:rsidRPr="005B1A26">
              <w:rPr>
                <w:rFonts w:ascii="Arial" w:hAnsi="Arial" w:cs="Arial"/>
                <w:lang w:val="de-DE"/>
              </w:rPr>
              <w:t>●</w:t>
            </w:r>
            <w:r w:rsidRPr="00792D61">
              <w:rPr>
                <w:b/>
                <w:lang w:val="de-DE"/>
              </w:rPr>
              <w:t>]</w:t>
            </w:r>
            <w:r w:rsidRPr="005B1A26">
              <w:rPr>
                <w:lang w:val="de-DE"/>
              </w:rPr>
              <w:t>m) (</w:t>
            </w:r>
            <w:r w:rsidRPr="008851E8">
              <w:rPr>
                <w:i/>
                <w:lang w:val="de-DE"/>
              </w:rPr>
              <w:t>RR</w:t>
            </w:r>
            <w:r w:rsidRPr="00792D61">
              <w:rPr>
                <w:b/>
                <w:i/>
                <w:lang w:val="de-DE"/>
              </w:rPr>
              <w:t>[</w:t>
            </w:r>
            <w:r w:rsidRPr="008851E8">
              <w:rPr>
                <w:rFonts w:ascii="Arial" w:hAnsi="Arial" w:cs="Arial"/>
                <w:i/>
                <w:lang w:val="de-DE"/>
              </w:rPr>
              <w:t>●</w:t>
            </w:r>
            <w:r w:rsidRPr="00792D61">
              <w:rPr>
                <w:b/>
                <w:i/>
                <w:lang w:val="de-DE"/>
              </w:rPr>
              <w:t>]</w:t>
            </w:r>
            <w:r w:rsidRPr="008851E8">
              <w:rPr>
                <w:i/>
                <w:lang w:val="de-DE"/>
              </w:rPr>
              <w:t>m</w:t>
            </w:r>
            <w:r w:rsidRPr="005B1A26">
              <w:rPr>
                <w:lang w:val="de-DE"/>
              </w:rPr>
              <w:t>) und (y) eins (1),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04656F" w:rsidP="0004656F">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num>
                        <m:den>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den>
                      </m:f>
                      <m:r>
                        <w:rPr>
                          <w:rFonts w:ascii="Cambria Math" w:hAnsi="Cambria Math"/>
                          <w:sz w:val="14"/>
                          <w:szCs w:val="14"/>
                          <w:lang w:val="de-DE"/>
                        </w:rPr>
                        <m:t>-1</m:t>
                      </m:r>
                    </m:e>
                  </m:d>
                </m:e>
              </m:d>
            </m:oMath>
            <w:r w:rsidRPr="0004656F">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04656F"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04656F" w:rsidP="001812A4">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num>
                        <m:den>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den>
                      </m:f>
                      <m:r>
                        <w:rPr>
                          <w:rFonts w:ascii="Cambria Math" w:hAnsi="Cambria Math"/>
                          <w:sz w:val="14"/>
                          <w:szCs w:val="14"/>
                          <w:lang w:val="de-DE"/>
                        </w:rPr>
                        <m:t>-1</m:t>
                      </m:r>
                    </m:e>
                  </m:d>
                </m:e>
              </m:d>
            </m:oMath>
            <w:r w:rsidRPr="0004656F">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F3A31" w:rsidP="0004656F">
            <w:pPr>
              <w:pStyle w:val="CSBody8ptbolditalics"/>
              <w:rPr>
                <w:lang w:val="de-DE"/>
              </w:rPr>
            </w:pPr>
          </w:p>
        </w:tc>
        <w:tc>
          <w:tcPr>
            <w:tcW w:w="3315" w:type="dxa"/>
            <w:gridSpan w:val="7"/>
            <w:tcBorders>
              <w:top w:val="nil"/>
              <w:left w:val="nil"/>
              <w:bottom w:val="nil"/>
            </w:tcBorders>
            <w:shd w:val="clear" w:color="auto" w:fill="auto"/>
          </w:tcPr>
          <w:p w:rsidR="0017135D" w:rsidRPr="003F41A3" w:rsidP="0004656F">
            <w:pPr>
              <w:pStyle w:val="CSBody8ptbolditalics"/>
            </w:pPr>
            <w:r w:rsidRPr="00792D61">
              <w:t>[</w:t>
            </w:r>
            <w:r w:rsidRPr="003F41A3">
              <w:t>in the case of multiple Interest Payment Dates, insert:</w:t>
            </w:r>
          </w:p>
        </w:tc>
        <w:tc>
          <w:tcPr>
            <w:tcW w:w="1618" w:type="dxa"/>
            <w:gridSpan w:val="2"/>
            <w:tcBorders>
              <w:top w:val="nil"/>
              <w:bottom w:val="nil"/>
              <w:right w:val="nil"/>
            </w:tcBorders>
            <w:shd w:val="clear" w:color="auto" w:fill="auto"/>
          </w:tcPr>
          <w:p w:rsidR="0017135D" w:rsidRPr="005B1A26" w:rsidP="0004656F">
            <w:pPr>
              <w:pStyle w:val="CSBody8ptbolditalics"/>
            </w:pPr>
          </w:p>
        </w:tc>
        <w:tc>
          <w:tcPr>
            <w:tcW w:w="3318" w:type="dxa"/>
            <w:gridSpan w:val="10"/>
            <w:tcBorders>
              <w:top w:val="nil"/>
              <w:left w:val="nil"/>
              <w:bottom w:val="nil"/>
              <w:right w:val="nil"/>
            </w:tcBorders>
            <w:shd w:val="clear" w:color="auto" w:fill="auto"/>
          </w:tcPr>
          <w:p w:rsidR="0017135D" w:rsidRPr="005B1A26" w:rsidP="0004656F">
            <w:pPr>
              <w:pStyle w:val="CSBody8ptbolditalics"/>
              <w:rPr>
                <w:lang w:val="de-DE"/>
              </w:rPr>
            </w:pPr>
            <w:r w:rsidRPr="00792D61">
              <w:rPr>
                <w:lang w:val="de-DE"/>
              </w:rPr>
              <w:t>[</w:t>
            </w:r>
            <w:r w:rsidRPr="005B1A26">
              <w:rPr>
                <w:lang w:val="de-DE"/>
              </w:rPr>
              <w:t>bei mehreren Zahlungstagen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04656F">
            <w:pPr>
              <w:pStyle w:val="CSBody8pt"/>
              <w:rPr>
                <w:lang w:val="de-DE"/>
              </w:rPr>
            </w:pPr>
          </w:p>
        </w:tc>
        <w:tc>
          <w:tcPr>
            <w:tcW w:w="3315" w:type="dxa"/>
            <w:gridSpan w:val="7"/>
            <w:tcBorders>
              <w:top w:val="nil"/>
              <w:left w:val="nil"/>
              <w:bottom w:val="nil"/>
            </w:tcBorders>
            <w:shd w:val="clear" w:color="auto" w:fill="auto"/>
          </w:tcPr>
          <w:p w:rsidR="0017135D" w:rsidP="0004656F">
            <w:pPr>
              <w:pStyle w:val="CSBody8pt"/>
            </w:pPr>
            <w:r w:rsidRPr="003F41A3">
              <w:t>with respect to any Interest Payment Date (</w:t>
            </w:r>
            <w:r w:rsidRPr="00116653">
              <w:rPr>
                <w:i/>
              </w:rPr>
              <w:t>t</w:t>
            </w:r>
            <w:r w:rsidRPr="003F41A3">
              <w:t>), a rate per annum equal to the greater of (i) zero (0) and (ii) the Participation multiplied by the difference between (x) the Reference Rate for the Reference Month(</w:t>
            </w:r>
            <w:r w:rsidRPr="00792D61">
              <w:rPr>
                <w:b/>
              </w:rPr>
              <w:t>[</w:t>
            </w:r>
            <w:r w:rsidRPr="003F41A3">
              <w:rPr>
                <w:rFonts w:ascii="Arial" w:hAnsi="Arial" w:cs="Arial"/>
              </w:rPr>
              <w:t>●</w:t>
            </w:r>
            <w:r w:rsidRPr="00792D61">
              <w:rPr>
                <w:b/>
              </w:rPr>
              <w:t>]</w:t>
            </w:r>
            <w:r w:rsidRPr="003F41A3">
              <w:t>m) (</w:t>
            </w:r>
            <w:r w:rsidRPr="008851E8">
              <w:rPr>
                <w:i/>
              </w:rPr>
              <w:t>RR</w:t>
            </w:r>
            <w:r w:rsidRPr="00792D61">
              <w:rPr>
                <w:b/>
                <w:i/>
              </w:rPr>
              <w:t>[</w:t>
            </w:r>
            <w:r w:rsidRPr="008851E8">
              <w:rPr>
                <w:rFonts w:ascii="Arial" w:hAnsi="Arial" w:cs="Arial"/>
                <w:i/>
              </w:rPr>
              <w:t>●</w:t>
            </w:r>
            <w:r w:rsidRPr="00792D61">
              <w:rPr>
                <w:b/>
                <w:i/>
              </w:rPr>
              <w:t>]</w:t>
            </w:r>
            <w:r w:rsidRPr="008851E8">
              <w:rPr>
                <w:i/>
              </w:rPr>
              <w:t>m</w:t>
            </w:r>
            <w:r w:rsidRPr="003F41A3">
              <w:t>) applicable to such Interest Payment Date (</w:t>
            </w:r>
            <w:r w:rsidRPr="00116653">
              <w:rPr>
                <w:i/>
              </w:rPr>
              <w:t>t</w:t>
            </w:r>
            <w:r w:rsidRPr="003F41A3">
              <w:t>), divided by the Reference Rate for the Reference Month(</w:t>
            </w:r>
            <w:r w:rsidRPr="00792D61">
              <w:rPr>
                <w:b/>
              </w:rPr>
              <w:t>[</w:t>
            </w:r>
            <w:r w:rsidRPr="003F41A3">
              <w:rPr>
                <w:rFonts w:ascii="Arial" w:hAnsi="Arial" w:cs="Arial"/>
              </w:rPr>
              <w:t>●</w:t>
            </w:r>
            <w:r w:rsidRPr="00792D61">
              <w:rPr>
                <w:b/>
              </w:rPr>
              <w:t>]</w:t>
            </w:r>
            <w:r w:rsidRPr="003F41A3">
              <w:t>m) (</w:t>
            </w:r>
            <w:r w:rsidRPr="008851E8">
              <w:rPr>
                <w:i/>
              </w:rPr>
              <w:t>RR</w:t>
            </w:r>
            <w:r w:rsidRPr="00792D61">
              <w:rPr>
                <w:b/>
                <w:i/>
              </w:rPr>
              <w:t>[</w:t>
            </w:r>
            <w:r w:rsidRPr="008851E8">
              <w:rPr>
                <w:rFonts w:ascii="Arial" w:hAnsi="Arial" w:cs="Arial"/>
                <w:i/>
              </w:rPr>
              <w:t>●</w:t>
            </w:r>
            <w:r w:rsidRPr="00792D61">
              <w:rPr>
                <w:b/>
                <w:i/>
              </w:rPr>
              <w:t>]</w:t>
            </w:r>
            <w:r w:rsidRPr="008851E8">
              <w:rPr>
                <w:i/>
              </w:rPr>
              <w:t>m</w:t>
            </w:r>
            <w:r w:rsidRPr="003F41A3">
              <w:t>) applicable to such Interest Payment Date (</w:t>
            </w:r>
            <w:r w:rsidRPr="00116653">
              <w:rPr>
                <w:i/>
              </w:rPr>
              <w:t>t</w:t>
            </w:r>
            <w:r w:rsidRPr="003F41A3">
              <w:t>), and (y) one (1), calculated in accordance with the following formula:</w:t>
            </w:r>
          </w:p>
        </w:tc>
        <w:tc>
          <w:tcPr>
            <w:tcW w:w="1618" w:type="dxa"/>
            <w:gridSpan w:val="2"/>
            <w:tcBorders>
              <w:top w:val="nil"/>
              <w:bottom w:val="nil"/>
              <w:right w:val="nil"/>
            </w:tcBorders>
            <w:shd w:val="clear" w:color="auto" w:fill="auto"/>
          </w:tcPr>
          <w:p w:rsidR="0017135D" w:rsidRPr="005B1A26" w:rsidP="0004656F">
            <w:pPr>
              <w:pStyle w:val="CSBody8pt"/>
              <w:rPr>
                <w:i/>
              </w:rPr>
            </w:pPr>
          </w:p>
        </w:tc>
        <w:tc>
          <w:tcPr>
            <w:tcW w:w="3318" w:type="dxa"/>
            <w:gridSpan w:val="10"/>
            <w:tcBorders>
              <w:top w:val="nil"/>
              <w:left w:val="nil"/>
              <w:bottom w:val="nil"/>
              <w:right w:val="nil"/>
            </w:tcBorders>
            <w:shd w:val="clear" w:color="auto" w:fill="auto"/>
          </w:tcPr>
          <w:p w:rsidR="0017135D" w:rsidRPr="005B1A26" w:rsidP="00516CB4">
            <w:pPr>
              <w:pStyle w:val="CSBody8pt"/>
              <w:rPr>
                <w:lang w:val="de-DE"/>
              </w:rPr>
            </w:pPr>
            <w:r w:rsidRPr="005B1A26">
              <w:rPr>
                <w:lang w:val="de-DE"/>
              </w:rPr>
              <w:t>in Bezug auf einen Zinszahlungstag (</w:t>
            </w:r>
            <w:r w:rsidRPr="00116653">
              <w:rPr>
                <w:i/>
                <w:lang w:val="de-DE"/>
              </w:rPr>
              <w:t>t</w:t>
            </w:r>
            <w:r w:rsidRPr="005B1A26">
              <w:rPr>
                <w:lang w:val="de-DE"/>
              </w:rPr>
              <w:t xml:space="preserve">) ein Satz per annum in Höhe des jeweils grösseren der folgenden Beträge: (i) null (0) oder (ii) der Partizipation </w:t>
            </w:r>
            <w:r w:rsidRPr="00A205FA">
              <w:rPr>
                <w:i/>
                <w:lang w:val="de-DE"/>
              </w:rPr>
              <w:t>(Participation)</w:t>
            </w:r>
            <w:r w:rsidRPr="005B1A26">
              <w:rPr>
                <w:lang w:val="de-DE"/>
              </w:rPr>
              <w:t xml:space="preserve"> multipliziert mit der Differenz aus (x) dem für diesen Zinszahlungstag</w:t>
            </w:r>
            <w:r>
              <w:rPr>
                <w:lang w:val="de-DE"/>
              </w:rPr>
              <w:t xml:space="preserve"> </w:t>
            </w:r>
            <w:r w:rsidRPr="005B1A26">
              <w:rPr>
                <w:lang w:val="de-DE"/>
              </w:rPr>
              <w:t>(</w:t>
            </w:r>
            <w:r w:rsidRPr="00116653">
              <w:rPr>
                <w:i/>
                <w:lang w:val="de-DE"/>
              </w:rPr>
              <w:t>t</w:t>
            </w:r>
            <w:r w:rsidRPr="005B1A26">
              <w:rPr>
                <w:lang w:val="de-DE"/>
              </w:rPr>
              <w:t>) geltenden Referenzsatz für den Referenzmonat(</w:t>
            </w:r>
            <w:r w:rsidRPr="00792D61">
              <w:rPr>
                <w:b/>
                <w:lang w:val="de-DE"/>
              </w:rPr>
              <w:t>[</w:t>
            </w:r>
            <w:r w:rsidRPr="005B1A26">
              <w:rPr>
                <w:rFonts w:ascii="Arial" w:hAnsi="Arial" w:cs="Arial"/>
                <w:lang w:val="de-DE"/>
              </w:rPr>
              <w:t>●</w:t>
            </w:r>
            <w:r w:rsidRPr="00792D61">
              <w:rPr>
                <w:b/>
                <w:lang w:val="de-DE"/>
              </w:rPr>
              <w:t>]</w:t>
            </w:r>
            <w:r w:rsidRPr="005B1A26">
              <w:rPr>
                <w:lang w:val="de-DE"/>
              </w:rPr>
              <w:t>m) (</w:t>
            </w:r>
            <w:r w:rsidRPr="008851E8">
              <w:rPr>
                <w:i/>
                <w:lang w:val="de-DE"/>
              </w:rPr>
              <w:t>RR</w:t>
            </w:r>
            <w:r w:rsidRPr="00792D61">
              <w:rPr>
                <w:b/>
                <w:i/>
                <w:lang w:val="de-DE"/>
              </w:rPr>
              <w:t>[</w:t>
            </w:r>
            <w:r w:rsidRPr="008851E8">
              <w:rPr>
                <w:rFonts w:ascii="Arial" w:hAnsi="Arial" w:cs="Arial"/>
                <w:i/>
                <w:lang w:val="de-DE"/>
              </w:rPr>
              <w:t>●</w:t>
            </w:r>
            <w:r w:rsidRPr="00792D61">
              <w:rPr>
                <w:b/>
                <w:i/>
                <w:lang w:val="de-DE"/>
              </w:rPr>
              <w:t>]</w:t>
            </w:r>
            <w:r w:rsidRPr="008851E8">
              <w:rPr>
                <w:i/>
                <w:lang w:val="de-DE"/>
              </w:rPr>
              <w:t>m</w:t>
            </w:r>
            <w:r w:rsidRPr="005B1A26">
              <w:rPr>
                <w:lang w:val="de-DE"/>
              </w:rPr>
              <w:t>) dividiert durch den f</w:t>
            </w:r>
            <w:r w:rsidRPr="005B1A26">
              <w:rPr>
                <w:rFonts w:cs="Credit Suisse Type Light"/>
                <w:lang w:val="de-DE"/>
              </w:rPr>
              <w:t>ü</w:t>
            </w:r>
            <w:r w:rsidRPr="005B1A26">
              <w:rPr>
                <w:lang w:val="de-DE"/>
              </w:rPr>
              <w:t>r diesen Zinszahlungstag</w:t>
            </w:r>
            <w:r>
              <w:rPr>
                <w:lang w:val="de-DE"/>
              </w:rPr>
              <w:t xml:space="preserve"> </w:t>
            </w:r>
            <w:r w:rsidRPr="005B1A26">
              <w:rPr>
                <w:lang w:val="de-DE"/>
              </w:rPr>
              <w:t>(</w:t>
            </w:r>
            <w:r w:rsidRPr="00116653">
              <w:rPr>
                <w:i/>
                <w:lang w:val="de-DE"/>
              </w:rPr>
              <w:t>t</w:t>
            </w:r>
            <w:r w:rsidRPr="005B1A26">
              <w:rPr>
                <w:lang w:val="de-DE"/>
              </w:rPr>
              <w:t>) geltenden Referenzmonat(</w:t>
            </w:r>
            <w:r w:rsidRPr="00792D61">
              <w:rPr>
                <w:b/>
                <w:lang w:val="de-DE"/>
              </w:rPr>
              <w:t>[</w:t>
            </w:r>
            <w:r w:rsidRPr="005B1A26">
              <w:rPr>
                <w:rFonts w:ascii="Arial" w:hAnsi="Arial" w:cs="Arial"/>
                <w:lang w:val="de-DE"/>
              </w:rPr>
              <w:t>●</w:t>
            </w:r>
            <w:r w:rsidRPr="00792D61">
              <w:rPr>
                <w:b/>
                <w:lang w:val="de-DE"/>
              </w:rPr>
              <w:t>]</w:t>
            </w:r>
            <w:r w:rsidRPr="005B1A26">
              <w:rPr>
                <w:lang w:val="de-DE"/>
              </w:rPr>
              <w:t>m) (RR</w:t>
            </w:r>
            <w:r w:rsidRPr="00792D61">
              <w:rPr>
                <w:b/>
                <w:lang w:val="de-DE"/>
              </w:rPr>
              <w:t>[</w:t>
            </w:r>
            <w:r w:rsidRPr="005B1A26">
              <w:rPr>
                <w:rFonts w:ascii="Arial" w:hAnsi="Arial" w:cs="Arial"/>
                <w:lang w:val="de-DE"/>
              </w:rPr>
              <w:t>●</w:t>
            </w:r>
            <w:r w:rsidRPr="00792D61">
              <w:rPr>
                <w:b/>
                <w:lang w:val="de-DE"/>
              </w:rPr>
              <w:t>]</w:t>
            </w:r>
            <w:r w:rsidRPr="005B1A26">
              <w:rPr>
                <w:lang w:val="de-DE"/>
              </w:rPr>
              <w:t>m) und (y) eins (1),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04656F" w:rsidP="0004656F">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lang w:val="de-DE"/>
                        </w:rPr>
                      </m:ctrlPr>
                    </m:dPr>
                    <m:e>
                      <m:f>
                        <m:fPr>
                          <m:ctrlPr>
                            <w:rPr>
                              <w:rFonts w:ascii="Cambria Math" w:hAnsi="Cambria Math"/>
                              <w:i/>
                              <w:sz w:val="14"/>
                              <w:szCs w:val="14"/>
                              <w:lang w:val="de-DE"/>
                            </w:rPr>
                          </m:ctrlPr>
                        </m:fPr>
                        <m:num>
                          <m:sSup>
                            <m:sSupPr>
                              <m:ctrlPr>
                                <w:rPr>
                                  <w:rFonts w:ascii="Cambria Math" w:hAnsi="Cambria Math"/>
                                  <w:i/>
                                  <w:sz w:val="14"/>
                                  <w:szCs w:val="14"/>
                                  <w:lang w:val="de-DE"/>
                                </w:rPr>
                              </m:ctrlPr>
                            </m:sSupPr>
                            <m:e>
                              <m:r>
                                <w:rPr>
                                  <w:rFonts w:ascii="Cambria Math" w:hAnsi="Cambria Math"/>
                                  <w:sz w:val="14"/>
                                  <w:szCs w:val="14"/>
                                  <w:lang w:val="de-DE"/>
                                </w:rPr>
                                <m:t>RR</m:t>
                              </m:r>
                            </m:e>
                            <m:sup>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m:t>
                              </m:r>
                            </m:sup>
                          </m:sSup>
                        </m:num>
                        <m:den>
                          <m:sSup>
                            <m:sSupPr>
                              <m:ctrlPr>
                                <w:rPr>
                                  <w:rFonts w:ascii="Cambria Math" w:hAnsi="Cambria Math"/>
                                  <w:i/>
                                  <w:sz w:val="14"/>
                                  <w:szCs w:val="14"/>
                                  <w:lang w:val="de-DE"/>
                                </w:rPr>
                              </m:ctrlPr>
                            </m:sSupPr>
                            <m:e>
                              <m:r>
                                <w:rPr>
                                  <w:rFonts w:ascii="Cambria Math" w:hAnsi="Cambria Math"/>
                                  <w:sz w:val="14"/>
                                  <w:szCs w:val="14"/>
                                  <w:lang w:val="de-DE"/>
                                </w:rPr>
                                <m:t>RR</m:t>
                              </m:r>
                            </m:e>
                            <m:sup>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m:t>
                              </m:r>
                            </m:sup>
                          </m:sSup>
                        </m:den>
                      </m:f>
                      <m:r>
                        <w:rPr>
                          <w:rFonts w:ascii="Cambria Math" w:hAnsi="Cambria Math"/>
                          <w:sz w:val="14"/>
                          <w:szCs w:val="14"/>
                          <w:lang w:val="de-DE"/>
                        </w:rPr>
                        <m:t>-1</m:t>
                      </m:r>
                    </m:e>
                  </m:d>
                </m:e>
              </m:d>
            </m:oMath>
            <w:r w:rsidRPr="0004656F">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5B1A26"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04656F" w:rsidP="001812A4">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lang w:val="de-DE"/>
                        </w:rPr>
                      </m:ctrlPr>
                    </m:dPr>
                    <m:e>
                      <m:f>
                        <m:fPr>
                          <m:ctrlPr>
                            <w:rPr>
                              <w:rFonts w:ascii="Cambria Math" w:hAnsi="Cambria Math"/>
                              <w:i/>
                              <w:sz w:val="14"/>
                              <w:szCs w:val="14"/>
                              <w:lang w:val="de-DE"/>
                            </w:rPr>
                          </m:ctrlPr>
                        </m:fPr>
                        <m:num>
                          <m:sSup>
                            <m:sSupPr>
                              <m:ctrlPr>
                                <w:rPr>
                                  <w:rFonts w:ascii="Cambria Math" w:hAnsi="Cambria Math"/>
                                  <w:i/>
                                  <w:sz w:val="14"/>
                                  <w:szCs w:val="14"/>
                                  <w:lang w:val="de-DE"/>
                                </w:rPr>
                              </m:ctrlPr>
                            </m:sSupPr>
                            <m:e>
                              <m:r>
                                <w:rPr>
                                  <w:rFonts w:ascii="Cambria Math" w:hAnsi="Cambria Math"/>
                                  <w:sz w:val="14"/>
                                  <w:szCs w:val="14"/>
                                  <w:lang w:val="de-DE"/>
                                </w:rPr>
                                <m:t>RR</m:t>
                              </m:r>
                            </m:e>
                            <m:sup>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m:t>
                              </m:r>
                            </m:sup>
                          </m:sSup>
                        </m:num>
                        <m:den>
                          <m:sSup>
                            <m:sSupPr>
                              <m:ctrlPr>
                                <w:rPr>
                                  <w:rFonts w:ascii="Cambria Math" w:hAnsi="Cambria Math"/>
                                  <w:i/>
                                  <w:sz w:val="14"/>
                                  <w:szCs w:val="14"/>
                                  <w:lang w:val="de-DE"/>
                                </w:rPr>
                              </m:ctrlPr>
                            </m:sSupPr>
                            <m:e>
                              <m:r>
                                <w:rPr>
                                  <w:rFonts w:ascii="Cambria Math" w:hAnsi="Cambria Math"/>
                                  <w:sz w:val="14"/>
                                  <w:szCs w:val="14"/>
                                  <w:lang w:val="de-DE"/>
                                </w:rPr>
                                <m:t>RR</m:t>
                              </m:r>
                            </m:e>
                            <m:sup>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m:t>
                              </m:r>
                            </m:sup>
                          </m:sSup>
                        </m:den>
                      </m:f>
                      <m:r>
                        <w:rPr>
                          <w:rFonts w:ascii="Cambria Math" w:hAnsi="Cambria Math"/>
                          <w:sz w:val="14"/>
                          <w:szCs w:val="14"/>
                          <w:lang w:val="de-DE"/>
                        </w:rPr>
                        <m:t>-1</m:t>
                      </m:r>
                    </m:e>
                  </m:d>
                </m:e>
              </m:d>
            </m:oMath>
            <w:r w:rsidRPr="0004656F">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BF45B2" w:rsidP="0004656F">
            <w:pPr>
              <w:pStyle w:val="CSBody8ptbolditalics"/>
            </w:pPr>
            <w:r w:rsidRPr="00792D61">
              <w:t>[</w:t>
            </w:r>
            <w:r w:rsidRPr="00BF45B2">
              <w:t>Option 2:</w:t>
            </w:r>
          </w:p>
        </w:tc>
        <w:tc>
          <w:tcPr>
            <w:tcW w:w="1618" w:type="dxa"/>
            <w:gridSpan w:val="2"/>
            <w:tcBorders>
              <w:top w:val="nil"/>
              <w:bottom w:val="nil"/>
              <w:right w:val="nil"/>
            </w:tcBorders>
            <w:shd w:val="clear" w:color="auto" w:fill="auto"/>
          </w:tcPr>
          <w:p w:rsidR="0017135D" w:rsidRPr="005B1A26"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512FF6" w:rsidP="0004656F">
            <w:pPr>
              <w:pStyle w:val="CSBody8ptbolditalics"/>
            </w:pPr>
            <w:r w:rsidRPr="00792D61">
              <w:t>[</w:t>
            </w:r>
            <w:r w:rsidRPr="00512FF6">
              <w:t>Option 2:</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BF45B2" w:rsidP="0004656F">
            <w:pPr>
              <w:pStyle w:val="CSBody8ptbolditalics"/>
            </w:pPr>
            <w:r w:rsidRPr="00792D61">
              <w:t>[</w:t>
            </w:r>
            <w:r w:rsidRPr="00BF45B2">
              <w:t>in the case of one Interest Payment Date, insert:</w:t>
            </w:r>
          </w:p>
        </w:tc>
        <w:tc>
          <w:tcPr>
            <w:tcW w:w="1618" w:type="dxa"/>
            <w:gridSpan w:val="2"/>
            <w:tcBorders>
              <w:top w:val="nil"/>
              <w:bottom w:val="nil"/>
              <w:right w:val="nil"/>
            </w:tcBorders>
            <w:shd w:val="clear" w:color="auto" w:fill="auto"/>
          </w:tcPr>
          <w:p w:rsidR="0017135D" w:rsidRPr="005B1A26" w:rsidP="00E60155">
            <w:pPr>
              <w:pStyle w:val="CSBody0"/>
              <w:rPr>
                <w:b/>
                <w:i/>
              </w:rPr>
            </w:pPr>
          </w:p>
        </w:tc>
        <w:tc>
          <w:tcPr>
            <w:tcW w:w="3318" w:type="dxa"/>
            <w:gridSpan w:val="10"/>
            <w:tcBorders>
              <w:top w:val="nil"/>
              <w:left w:val="nil"/>
              <w:bottom w:val="nil"/>
              <w:right w:val="nil"/>
            </w:tcBorders>
            <w:shd w:val="clear" w:color="auto" w:fill="auto"/>
          </w:tcPr>
          <w:p w:rsidR="0017135D" w:rsidRPr="00512FF6" w:rsidP="0004656F">
            <w:pPr>
              <w:pStyle w:val="CSBody8ptbolditalics"/>
            </w:pPr>
            <w:r w:rsidRPr="00792D61">
              <w:t>[</w:t>
            </w:r>
            <w:r w:rsidRPr="00512FF6">
              <w:t>bei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9D08CA">
            <w:pPr>
              <w:pStyle w:val="CSBody8pt"/>
            </w:pPr>
          </w:p>
        </w:tc>
        <w:tc>
          <w:tcPr>
            <w:tcW w:w="3315" w:type="dxa"/>
            <w:gridSpan w:val="7"/>
            <w:tcBorders>
              <w:top w:val="nil"/>
              <w:left w:val="nil"/>
              <w:bottom w:val="nil"/>
            </w:tcBorders>
            <w:shd w:val="clear" w:color="auto" w:fill="auto"/>
          </w:tcPr>
          <w:p w:rsidR="0017135D" w:rsidP="009D08CA">
            <w:pPr>
              <w:pStyle w:val="CSBody8pt"/>
            </w:pPr>
            <w:r w:rsidRPr="00BF45B2">
              <w:t>a rate per annum equal to the greater of (i) zero (o) and (ii) the sum of (x) the Participation multiplied by the difference between (A) the Reference Rate for Reference Month(</w:t>
            </w:r>
            <w:r w:rsidRPr="00792D61">
              <w:rPr>
                <w:b/>
              </w:rPr>
              <w:t>[</w:t>
            </w:r>
            <w:r w:rsidRPr="00BF45B2">
              <w:rPr>
                <w:rFonts w:ascii="Arial" w:hAnsi="Arial" w:cs="Arial"/>
              </w:rPr>
              <w:t>●</w:t>
            </w:r>
            <w:r w:rsidRPr="00792D61">
              <w:rPr>
                <w:b/>
              </w:rPr>
              <w:t>]</w:t>
            </w:r>
            <w:r w:rsidRPr="00BF45B2">
              <w:t>m) (</w:t>
            </w:r>
            <w:r w:rsidRPr="00347398">
              <w:rPr>
                <w:i/>
              </w:rPr>
              <w:t>RR</w:t>
            </w:r>
            <w:r w:rsidRPr="00792D61">
              <w:rPr>
                <w:b/>
                <w:i/>
              </w:rPr>
              <w:t>[</w:t>
            </w:r>
            <w:r w:rsidRPr="00347398">
              <w:rPr>
                <w:rFonts w:ascii="Arial" w:hAnsi="Arial" w:cs="Arial"/>
                <w:i/>
              </w:rPr>
              <w:t>●</w:t>
            </w:r>
            <w:r w:rsidRPr="00792D61">
              <w:rPr>
                <w:b/>
                <w:i/>
              </w:rPr>
              <w:t>]</w:t>
            </w:r>
            <w:r w:rsidRPr="00347398">
              <w:rPr>
                <w:i/>
              </w:rPr>
              <w:t>m</w:t>
            </w:r>
            <w:r w:rsidRPr="00BF45B2">
              <w:t>), divided by the Reference Rate for Reference Month(</w:t>
            </w:r>
            <w:r w:rsidRPr="00792D61">
              <w:rPr>
                <w:b/>
              </w:rPr>
              <w:t>[</w:t>
            </w:r>
            <w:r w:rsidRPr="00BF45B2">
              <w:rPr>
                <w:rFonts w:ascii="Arial" w:hAnsi="Arial" w:cs="Arial"/>
              </w:rPr>
              <w:t>●</w:t>
            </w:r>
            <w:r w:rsidRPr="00792D61">
              <w:rPr>
                <w:b/>
              </w:rPr>
              <w:t>]</w:t>
            </w:r>
            <w:r w:rsidRPr="00BF45B2">
              <w:t>m) (</w:t>
            </w:r>
            <w:r w:rsidRPr="00347398">
              <w:rPr>
                <w:i/>
              </w:rPr>
              <w:t>RR</w:t>
            </w:r>
            <w:r w:rsidRPr="00792D61">
              <w:rPr>
                <w:b/>
                <w:i/>
              </w:rPr>
              <w:t>[</w:t>
            </w:r>
            <w:r w:rsidRPr="00347398">
              <w:rPr>
                <w:rFonts w:ascii="Arial" w:hAnsi="Arial" w:cs="Arial"/>
                <w:i/>
              </w:rPr>
              <w:t>●</w:t>
            </w:r>
            <w:r w:rsidRPr="00792D61">
              <w:rPr>
                <w:b/>
                <w:i/>
              </w:rPr>
              <w:t>]</w:t>
            </w:r>
            <w:r w:rsidRPr="00347398">
              <w:rPr>
                <w:i/>
              </w:rPr>
              <w:t>m</w:t>
            </w:r>
            <w:r w:rsidRPr="00BF45B2">
              <w:t xml:space="preserve">), and (B) one (1) and (y) </w:t>
            </w:r>
            <w:r w:rsidRPr="00792D61">
              <w:rPr>
                <w:b/>
              </w:rPr>
              <w:t>[</w:t>
            </w:r>
            <w:r w:rsidRPr="00BF45B2">
              <w:rPr>
                <w:rFonts w:cs="Credit Suisse Type Light"/>
              </w:rPr>
              <w:t>•</w:t>
            </w:r>
            <w:r w:rsidRPr="00792D61">
              <w:rPr>
                <w:b/>
              </w:rPr>
              <w:t>]</w:t>
            </w:r>
            <w:r w:rsidRPr="00BF45B2">
              <w:t>%, calculated in accordance with the following formula:</w:t>
            </w:r>
          </w:p>
        </w:tc>
        <w:tc>
          <w:tcPr>
            <w:tcW w:w="1618" w:type="dxa"/>
            <w:gridSpan w:val="2"/>
            <w:tcBorders>
              <w:top w:val="nil"/>
              <w:bottom w:val="nil"/>
              <w:right w:val="nil"/>
            </w:tcBorders>
            <w:shd w:val="clear" w:color="auto" w:fill="auto"/>
          </w:tcPr>
          <w:p w:rsidR="0017135D" w:rsidRPr="005B1A26" w:rsidP="009D08CA">
            <w:pPr>
              <w:pStyle w:val="CSBody8pt"/>
              <w:rPr>
                <w:i/>
              </w:rPr>
            </w:pPr>
          </w:p>
        </w:tc>
        <w:tc>
          <w:tcPr>
            <w:tcW w:w="3318" w:type="dxa"/>
            <w:gridSpan w:val="10"/>
            <w:tcBorders>
              <w:top w:val="nil"/>
              <w:left w:val="nil"/>
              <w:bottom w:val="nil"/>
              <w:right w:val="nil"/>
            </w:tcBorders>
            <w:shd w:val="clear" w:color="auto" w:fill="auto"/>
          </w:tcPr>
          <w:p w:rsidR="0017135D" w:rsidRPr="005B1A26" w:rsidP="00347398">
            <w:pPr>
              <w:pStyle w:val="CSBody8pt"/>
              <w:rPr>
                <w:lang w:val="de-DE"/>
              </w:rPr>
            </w:pPr>
            <w:r w:rsidRPr="005B1A26">
              <w:rPr>
                <w:lang w:val="de-DE"/>
              </w:rPr>
              <w:t xml:space="preserve">ein Satz per annum in Höhe des jeweils grösseren der folgenden Beträge: (i) null (0) oder (ii) der Summe aus (x) der Partizipation </w:t>
            </w:r>
            <w:r w:rsidRPr="00A205FA">
              <w:rPr>
                <w:i/>
                <w:lang w:val="de-DE"/>
              </w:rPr>
              <w:t>(Participation)</w:t>
            </w:r>
            <w:r w:rsidRPr="005B1A26">
              <w:rPr>
                <w:lang w:val="de-DE"/>
              </w:rPr>
              <w:t xml:space="preserve"> multipliziert mit der Differenz aus (A) dem Referenzsatz für den Referenzmonat(</w:t>
            </w:r>
            <w:r w:rsidRPr="00792D61">
              <w:rPr>
                <w:b/>
                <w:lang w:val="de-DE"/>
              </w:rPr>
              <w:t>[</w:t>
            </w:r>
            <w:r w:rsidRPr="005B1A26">
              <w:rPr>
                <w:rFonts w:ascii="Arial" w:hAnsi="Arial" w:cs="Arial"/>
                <w:lang w:val="de-DE"/>
              </w:rPr>
              <w:t>●</w:t>
            </w:r>
            <w:r w:rsidRPr="00792D61">
              <w:rPr>
                <w:b/>
                <w:lang w:val="de-DE"/>
              </w:rPr>
              <w:t>]</w:t>
            </w:r>
            <w:r w:rsidRPr="005B1A26">
              <w:rPr>
                <w:lang w:val="de-DE"/>
              </w:rPr>
              <w:t>m) (</w:t>
            </w:r>
            <w:r w:rsidRPr="00347398">
              <w:rPr>
                <w:i/>
                <w:lang w:val="de-DE"/>
              </w:rPr>
              <w:t>RR</w:t>
            </w:r>
            <w:r w:rsidRPr="00792D61">
              <w:rPr>
                <w:b/>
                <w:i/>
                <w:lang w:val="de-DE"/>
              </w:rPr>
              <w:t>[</w:t>
            </w:r>
            <w:r w:rsidRPr="00347398">
              <w:rPr>
                <w:rFonts w:ascii="Arial" w:hAnsi="Arial" w:cs="Arial"/>
                <w:i/>
                <w:lang w:val="de-DE"/>
              </w:rPr>
              <w:t>●</w:t>
            </w:r>
            <w:r w:rsidRPr="00792D61">
              <w:rPr>
                <w:b/>
                <w:i/>
                <w:lang w:val="de-DE"/>
              </w:rPr>
              <w:t>]</w:t>
            </w:r>
            <w:r w:rsidRPr="00347398">
              <w:rPr>
                <w:i/>
                <w:lang w:val="de-DE"/>
              </w:rPr>
              <w:t>m</w:t>
            </w:r>
            <w:r w:rsidRPr="005B1A26">
              <w:rPr>
                <w:lang w:val="de-DE"/>
              </w:rPr>
              <w:t>) dividiert durch den Referenzmonat(</w:t>
            </w:r>
            <w:r w:rsidRPr="00792D61">
              <w:rPr>
                <w:b/>
                <w:lang w:val="de-DE"/>
              </w:rPr>
              <w:t>[</w:t>
            </w:r>
            <w:r w:rsidRPr="005B1A26">
              <w:rPr>
                <w:rFonts w:ascii="Arial" w:hAnsi="Arial" w:cs="Arial"/>
                <w:lang w:val="de-DE"/>
              </w:rPr>
              <w:t>●</w:t>
            </w:r>
            <w:r w:rsidRPr="00792D61">
              <w:rPr>
                <w:b/>
                <w:lang w:val="de-DE"/>
              </w:rPr>
              <w:t>]</w:t>
            </w:r>
            <w:r w:rsidRPr="005B1A26">
              <w:rPr>
                <w:lang w:val="de-DE"/>
              </w:rPr>
              <w:t>m) (</w:t>
            </w:r>
            <w:r w:rsidRPr="00347398">
              <w:rPr>
                <w:i/>
                <w:lang w:val="de-DE"/>
              </w:rPr>
              <w:t>RR</w:t>
            </w:r>
            <w:r w:rsidRPr="00792D61">
              <w:rPr>
                <w:b/>
                <w:i/>
                <w:lang w:val="de-DE"/>
              </w:rPr>
              <w:t>[</w:t>
            </w:r>
            <w:r w:rsidRPr="00347398">
              <w:rPr>
                <w:rFonts w:ascii="Arial" w:hAnsi="Arial" w:cs="Arial"/>
                <w:i/>
                <w:lang w:val="de-DE"/>
              </w:rPr>
              <w:t>●</w:t>
            </w:r>
            <w:r w:rsidRPr="00792D61">
              <w:rPr>
                <w:b/>
                <w:i/>
                <w:lang w:val="de-DE"/>
              </w:rPr>
              <w:t>]</w:t>
            </w:r>
            <w:r w:rsidRPr="00347398">
              <w:rPr>
                <w:i/>
                <w:lang w:val="de-DE"/>
              </w:rPr>
              <w:t>m</w:t>
            </w:r>
            <w:r w:rsidRPr="005B1A26">
              <w:rPr>
                <w:lang w:val="de-DE"/>
              </w:rPr>
              <w:t xml:space="preserve">) und (B) eins (1) und (y) </w:t>
            </w:r>
            <w:r w:rsidRPr="00792D61">
              <w:rPr>
                <w:b/>
                <w:lang w:val="de-DE"/>
              </w:rPr>
              <w:t>[</w:t>
            </w:r>
            <w:r w:rsidRPr="005B1A26">
              <w:rPr>
                <w:rFonts w:cs="Credit Suisse Type Light"/>
                <w:lang w:val="de-DE"/>
              </w:rPr>
              <w:t>•</w:t>
            </w:r>
            <w:r w:rsidRPr="00792D61">
              <w:rPr>
                <w:b/>
                <w:lang w:val="de-DE"/>
              </w:rPr>
              <w:t>]</w:t>
            </w:r>
            <w:r w:rsidRPr="005B1A26">
              <w:rPr>
                <w:lang w:val="de-DE"/>
              </w:rPr>
              <w:t>%,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04656F" w:rsidP="001812A4">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num>
                        <m:den>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den>
                      </m:f>
                      <m:r>
                        <w:rPr>
                          <w:rFonts w:ascii="Cambria Math" w:hAnsi="Cambria Math"/>
                          <w:sz w:val="14"/>
                          <w:szCs w:val="14"/>
                          <w:lang w:val="de-DE"/>
                        </w:rPr>
                        <m:t>-1</m:t>
                      </m:r>
                    </m:e>
                  </m:d>
                  <m:r>
                    <w:rPr>
                      <w:rFonts w:ascii="Cambria Math" w:hAnsi="Cambria Math"/>
                      <w:sz w:val="14"/>
                      <w:szCs w:val="14"/>
                      <w:lang w:val="de-DE"/>
                    </w:rPr>
                    <m:t>+</m:t>
                  </m:r>
                  <m:r>
                    <m:rPr>
                      <m:sty m:val="bi"/>
                    </m:rPr>
                    <w:rPr>
                      <w:rFonts w:ascii="Cambria Math" w:hAnsi="Cambria Math"/>
                      <w:sz w:val="14"/>
                      <w:szCs w:val="14"/>
                      <w:lang w:val="de-DE"/>
                    </w:rPr>
                    <m:t>[</m:t>
                  </m:r>
                  <m:r>
                    <m:rPr>
                      <m:sty m:val="p"/>
                    </m:rPr>
                    <w:rPr>
                      <w:rFonts w:ascii="Times New Roman" w:hAnsi="Times New Roman"/>
                      <w:sz w:val="14"/>
                      <w:szCs w:val="14"/>
                      <w:lang w:val="de-DE"/>
                    </w:rPr>
                    <m:t>●</m:t>
                  </m:r>
                  <m:r>
                    <m:rPr>
                      <m:sty m:val="bi"/>
                    </m:rPr>
                    <w:rPr>
                      <w:rFonts w:ascii="Cambria Math" w:hAnsi="Cambria Math"/>
                      <w:sz w:val="14"/>
                      <w:szCs w:val="14"/>
                      <w:lang w:val="de-DE"/>
                    </w:rPr>
                    <m:t>]</m:t>
                  </m:r>
                  <m:r>
                    <w:rPr>
                      <w:rFonts w:ascii="Cambria Math" w:hAnsi="Cambria Math"/>
                      <w:sz w:val="14"/>
                      <w:szCs w:val="14"/>
                      <w:lang w:val="de-DE"/>
                    </w:rPr>
                    <m:t>%</m:t>
                  </m:r>
                </m:e>
              </m:d>
            </m:oMath>
            <w:r w:rsidRPr="0004656F">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9D08CA"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04656F" w:rsidP="001812A4">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num>
                        <m:den>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den>
                      </m:f>
                      <m:r>
                        <w:rPr>
                          <w:rFonts w:ascii="Cambria Math" w:hAnsi="Cambria Math"/>
                          <w:sz w:val="14"/>
                          <w:szCs w:val="14"/>
                          <w:lang w:val="de-DE"/>
                        </w:rPr>
                        <m:t>-1</m:t>
                      </m:r>
                    </m:e>
                  </m:d>
                  <m:r>
                    <w:rPr>
                      <w:rFonts w:ascii="Cambria Math" w:hAnsi="Cambria Math"/>
                      <w:sz w:val="14"/>
                      <w:szCs w:val="14"/>
                      <w:lang w:val="de-DE"/>
                    </w:rPr>
                    <m:t>+</m:t>
                  </m:r>
                  <m:r>
                    <m:rPr>
                      <m:sty m:val="bi"/>
                    </m:rPr>
                    <w:rPr>
                      <w:rFonts w:ascii="Cambria Math" w:hAnsi="Cambria Math"/>
                      <w:sz w:val="14"/>
                      <w:szCs w:val="14"/>
                      <w:lang w:val="de-DE"/>
                    </w:rPr>
                    <m:t>[</m:t>
                  </m:r>
                  <m:r>
                    <m:rPr>
                      <m:sty m:val="p"/>
                    </m:rPr>
                    <w:rPr>
                      <w:rFonts w:ascii="Times New Roman" w:hAnsi="Times New Roman"/>
                      <w:sz w:val="14"/>
                      <w:szCs w:val="14"/>
                      <w:lang w:val="de-DE"/>
                    </w:rPr>
                    <m:t>●</m:t>
                  </m:r>
                  <m:r>
                    <m:rPr>
                      <m:sty m:val="bi"/>
                    </m:rPr>
                    <w:rPr>
                      <w:rFonts w:ascii="Cambria Math" w:hAnsi="Cambria Math"/>
                      <w:sz w:val="14"/>
                      <w:szCs w:val="14"/>
                      <w:lang w:val="de-DE"/>
                    </w:rPr>
                    <m:t>]</m:t>
                  </m:r>
                  <m:r>
                    <w:rPr>
                      <w:rFonts w:ascii="Cambria Math" w:hAnsi="Cambria Math"/>
                      <w:sz w:val="14"/>
                      <w:szCs w:val="14"/>
                      <w:lang w:val="de-DE"/>
                    </w:rPr>
                    <m:t>%</m:t>
                  </m:r>
                </m:e>
              </m:d>
            </m:oMath>
            <w:r w:rsidRPr="0004656F">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F3A31" w:rsidP="009D08CA">
            <w:pPr>
              <w:pStyle w:val="CSBody8ptbolditalics"/>
              <w:rPr>
                <w:lang w:val="de-DE"/>
              </w:rPr>
            </w:pPr>
          </w:p>
        </w:tc>
        <w:tc>
          <w:tcPr>
            <w:tcW w:w="3315" w:type="dxa"/>
            <w:gridSpan w:val="7"/>
            <w:tcBorders>
              <w:top w:val="nil"/>
              <w:left w:val="nil"/>
              <w:bottom w:val="nil"/>
            </w:tcBorders>
            <w:shd w:val="clear" w:color="auto" w:fill="auto"/>
          </w:tcPr>
          <w:p w:rsidR="0017135D" w:rsidRPr="00B845ED" w:rsidP="009D08CA">
            <w:pPr>
              <w:pStyle w:val="CSBody8ptbolditalics"/>
            </w:pPr>
            <w:r w:rsidRPr="00792D61">
              <w:t>[</w:t>
            </w:r>
            <w:r w:rsidRPr="00B845ED">
              <w:t>in the case of multiple Interest Payment Dates, insert:</w:t>
            </w:r>
          </w:p>
        </w:tc>
        <w:tc>
          <w:tcPr>
            <w:tcW w:w="1618" w:type="dxa"/>
            <w:gridSpan w:val="2"/>
            <w:tcBorders>
              <w:top w:val="nil"/>
              <w:bottom w:val="nil"/>
              <w:right w:val="nil"/>
            </w:tcBorders>
            <w:shd w:val="clear" w:color="auto" w:fill="auto"/>
          </w:tcPr>
          <w:p w:rsidR="0017135D" w:rsidRPr="005B1A26" w:rsidP="009D08CA">
            <w:pPr>
              <w:pStyle w:val="CSBody8ptbolditalics"/>
            </w:pPr>
          </w:p>
        </w:tc>
        <w:tc>
          <w:tcPr>
            <w:tcW w:w="3318" w:type="dxa"/>
            <w:gridSpan w:val="10"/>
            <w:tcBorders>
              <w:top w:val="nil"/>
              <w:left w:val="nil"/>
              <w:bottom w:val="nil"/>
              <w:right w:val="nil"/>
            </w:tcBorders>
            <w:shd w:val="clear" w:color="auto" w:fill="auto"/>
          </w:tcPr>
          <w:p w:rsidR="0017135D" w:rsidRPr="005B1A26" w:rsidP="009D08CA">
            <w:pPr>
              <w:pStyle w:val="CSBody8ptbolditalics"/>
              <w:rPr>
                <w:lang w:val="de-DE"/>
              </w:rPr>
            </w:pPr>
            <w:r w:rsidRPr="00792D61">
              <w:rPr>
                <w:lang w:val="de-DE"/>
              </w:rPr>
              <w:t>[</w:t>
            </w:r>
            <w:r w:rsidRPr="005B1A26">
              <w:rPr>
                <w:lang w:val="de-DE"/>
              </w:rPr>
              <w:t>bei mehreren Zahlungstagen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9D08CA">
            <w:pPr>
              <w:pStyle w:val="CSBody8pt"/>
              <w:rPr>
                <w:lang w:val="de-DE"/>
              </w:rPr>
            </w:pPr>
          </w:p>
        </w:tc>
        <w:tc>
          <w:tcPr>
            <w:tcW w:w="3315" w:type="dxa"/>
            <w:gridSpan w:val="7"/>
            <w:tcBorders>
              <w:top w:val="nil"/>
              <w:left w:val="nil"/>
              <w:bottom w:val="nil"/>
            </w:tcBorders>
            <w:shd w:val="clear" w:color="auto" w:fill="auto"/>
          </w:tcPr>
          <w:p w:rsidR="0017135D" w:rsidRPr="00B845ED" w:rsidP="009D08CA">
            <w:pPr>
              <w:pStyle w:val="CSBody8pt"/>
            </w:pPr>
            <w:r w:rsidRPr="00B845ED">
              <w:t>with respect to any Interest Payment Date (</w:t>
            </w:r>
            <w:r w:rsidRPr="00116653">
              <w:rPr>
                <w:i/>
              </w:rPr>
              <w:t>t</w:t>
            </w:r>
            <w:r w:rsidRPr="00B845ED">
              <w:t>), a rate per annum equal to the greater of (i) zero (0) and (ii) the sum of (x) the Participation multiplied by the difference between (A) the Reference Rate for the Reference Month(</w:t>
            </w:r>
            <w:r w:rsidRPr="00792D61">
              <w:rPr>
                <w:b/>
              </w:rPr>
              <w:t>[</w:t>
            </w:r>
            <w:r w:rsidRPr="00B845ED">
              <w:rPr>
                <w:rFonts w:ascii="Arial" w:hAnsi="Arial" w:cs="Arial"/>
              </w:rPr>
              <w:t>●</w:t>
            </w:r>
            <w:r w:rsidRPr="00792D61">
              <w:rPr>
                <w:b/>
              </w:rPr>
              <w:t>]</w:t>
            </w:r>
            <w:r w:rsidRPr="00B845ED">
              <w:t>m) (</w:t>
            </w:r>
            <w:r w:rsidRPr="008851E8">
              <w:rPr>
                <w:i/>
              </w:rPr>
              <w:t>RR</w:t>
            </w:r>
            <w:r w:rsidRPr="00792D61">
              <w:rPr>
                <w:b/>
                <w:i/>
              </w:rPr>
              <w:t>[</w:t>
            </w:r>
            <w:r w:rsidRPr="008851E8">
              <w:rPr>
                <w:rFonts w:ascii="Arial" w:hAnsi="Arial" w:cs="Arial"/>
                <w:i/>
              </w:rPr>
              <w:t>●</w:t>
            </w:r>
            <w:r w:rsidRPr="00792D61">
              <w:rPr>
                <w:b/>
                <w:i/>
              </w:rPr>
              <w:t>]</w:t>
            </w:r>
            <w:r w:rsidRPr="008851E8">
              <w:rPr>
                <w:i/>
              </w:rPr>
              <w:t>m</w:t>
            </w:r>
            <w:r w:rsidRPr="00B845ED">
              <w:t>) applicable to such Interest Payment Date (</w:t>
            </w:r>
            <w:r w:rsidRPr="00116653">
              <w:rPr>
                <w:i/>
              </w:rPr>
              <w:t>t</w:t>
            </w:r>
            <w:r w:rsidRPr="00B845ED">
              <w:t>), divided by the Reference Rate for the Reference Month(</w:t>
            </w:r>
            <w:r w:rsidRPr="00792D61">
              <w:rPr>
                <w:b/>
              </w:rPr>
              <w:t>[</w:t>
            </w:r>
            <w:r w:rsidRPr="00B845ED">
              <w:rPr>
                <w:rFonts w:ascii="Arial" w:hAnsi="Arial" w:cs="Arial"/>
              </w:rPr>
              <w:t>●</w:t>
            </w:r>
            <w:r w:rsidRPr="00792D61">
              <w:rPr>
                <w:b/>
              </w:rPr>
              <w:t>]</w:t>
            </w:r>
            <w:r w:rsidRPr="00B845ED">
              <w:t>m) (</w:t>
            </w:r>
            <w:r w:rsidRPr="008851E8">
              <w:rPr>
                <w:i/>
              </w:rPr>
              <w:t>RR</w:t>
            </w:r>
            <w:r w:rsidRPr="00792D61">
              <w:rPr>
                <w:b/>
                <w:i/>
              </w:rPr>
              <w:t>[</w:t>
            </w:r>
            <w:r w:rsidRPr="008851E8">
              <w:rPr>
                <w:rFonts w:ascii="Arial" w:hAnsi="Arial" w:cs="Arial"/>
                <w:i/>
              </w:rPr>
              <w:t>●</w:t>
            </w:r>
            <w:r w:rsidRPr="00792D61">
              <w:rPr>
                <w:b/>
                <w:i/>
              </w:rPr>
              <w:t>]</w:t>
            </w:r>
            <w:r w:rsidRPr="008851E8">
              <w:rPr>
                <w:i/>
              </w:rPr>
              <w:t>m</w:t>
            </w:r>
            <w:r w:rsidRPr="00B845ED">
              <w:t>) applicable to such Interest Payment Date (</w:t>
            </w:r>
            <w:r w:rsidRPr="00116653">
              <w:rPr>
                <w:i/>
              </w:rPr>
              <w:t>t</w:t>
            </w:r>
            <w:r w:rsidRPr="00B845ED">
              <w:t xml:space="preserve">), and (B) one (1) and (y) </w:t>
            </w:r>
            <w:r w:rsidRPr="00792D61">
              <w:rPr>
                <w:b/>
              </w:rPr>
              <w:t>[</w:t>
            </w:r>
            <w:r w:rsidRPr="00B845ED">
              <w:rPr>
                <w:rFonts w:cs="Credit Suisse Type Light"/>
              </w:rPr>
              <w:t>•</w:t>
            </w:r>
            <w:r w:rsidRPr="00792D61">
              <w:rPr>
                <w:b/>
              </w:rPr>
              <w:t>]</w:t>
            </w:r>
            <w:r w:rsidRPr="00B845ED">
              <w:t>%, calculated in accordance with the following formula:</w:t>
            </w:r>
          </w:p>
        </w:tc>
        <w:tc>
          <w:tcPr>
            <w:tcW w:w="1618" w:type="dxa"/>
            <w:gridSpan w:val="2"/>
            <w:tcBorders>
              <w:top w:val="nil"/>
              <w:bottom w:val="nil"/>
              <w:right w:val="nil"/>
            </w:tcBorders>
            <w:shd w:val="clear" w:color="auto" w:fill="auto"/>
          </w:tcPr>
          <w:p w:rsidR="0017135D" w:rsidRPr="005B1A26" w:rsidP="009D08CA">
            <w:pPr>
              <w:pStyle w:val="CSBody8pt"/>
              <w:rPr>
                <w:i/>
              </w:rPr>
            </w:pPr>
          </w:p>
        </w:tc>
        <w:tc>
          <w:tcPr>
            <w:tcW w:w="3318" w:type="dxa"/>
            <w:gridSpan w:val="10"/>
            <w:tcBorders>
              <w:top w:val="nil"/>
              <w:left w:val="nil"/>
              <w:bottom w:val="nil"/>
              <w:right w:val="nil"/>
            </w:tcBorders>
            <w:shd w:val="clear" w:color="auto" w:fill="auto"/>
          </w:tcPr>
          <w:p w:rsidR="0017135D" w:rsidRPr="005B1A26" w:rsidP="00516CB4">
            <w:pPr>
              <w:pStyle w:val="CSBody8pt"/>
              <w:rPr>
                <w:lang w:val="de-DE"/>
              </w:rPr>
            </w:pPr>
            <w:r w:rsidRPr="005B1A26">
              <w:rPr>
                <w:lang w:val="de-DE"/>
              </w:rPr>
              <w:t>in Bezug auf einen Zinszahlungstag (</w:t>
            </w:r>
            <w:r w:rsidRPr="00116653">
              <w:rPr>
                <w:i/>
                <w:lang w:val="de-DE"/>
              </w:rPr>
              <w:t>t</w:t>
            </w:r>
            <w:r w:rsidRPr="005B1A26">
              <w:rPr>
                <w:lang w:val="de-DE"/>
              </w:rPr>
              <w:t xml:space="preserve">) ein Satz per annum in Höhe des jeweils grösseren der folgenden Beträge: (i) null (0) oder (ii) der Summe aus (x) der Partizipation </w:t>
            </w:r>
            <w:r w:rsidRPr="00A205FA">
              <w:rPr>
                <w:i/>
                <w:lang w:val="de-DE"/>
              </w:rPr>
              <w:t>(Participation)</w:t>
            </w:r>
            <w:r w:rsidRPr="005B1A26">
              <w:rPr>
                <w:lang w:val="de-DE"/>
              </w:rPr>
              <w:t xml:space="preserve"> multipliziert mit der Differenz aus (B) dem für diesen Zinszahlungstag</w:t>
            </w:r>
            <w:r>
              <w:rPr>
                <w:lang w:val="de-DE"/>
              </w:rPr>
              <w:t xml:space="preserve"> </w:t>
            </w:r>
            <w:r w:rsidRPr="005B1A26">
              <w:rPr>
                <w:lang w:val="de-DE"/>
              </w:rPr>
              <w:t>(</w:t>
            </w:r>
            <w:r w:rsidRPr="00116653">
              <w:rPr>
                <w:i/>
                <w:lang w:val="de-DE"/>
              </w:rPr>
              <w:t>t</w:t>
            </w:r>
            <w:r w:rsidRPr="005B1A26">
              <w:rPr>
                <w:lang w:val="de-DE"/>
              </w:rPr>
              <w:t>) geltenden Referenzsatz für den Referenzmonat(</w:t>
            </w:r>
            <w:r w:rsidRPr="00792D61">
              <w:rPr>
                <w:b/>
                <w:lang w:val="de-DE"/>
              </w:rPr>
              <w:t>[</w:t>
            </w:r>
            <w:r w:rsidRPr="005B1A26">
              <w:rPr>
                <w:rFonts w:ascii="Arial" w:hAnsi="Arial" w:cs="Arial"/>
                <w:lang w:val="de-DE"/>
              </w:rPr>
              <w:t>●</w:t>
            </w:r>
            <w:r w:rsidRPr="00792D61">
              <w:rPr>
                <w:b/>
                <w:lang w:val="de-DE"/>
              </w:rPr>
              <w:t>]</w:t>
            </w:r>
            <w:r w:rsidRPr="005B1A26">
              <w:rPr>
                <w:lang w:val="de-DE"/>
              </w:rPr>
              <w:t>m) (</w:t>
            </w:r>
            <w:r w:rsidRPr="008851E8">
              <w:rPr>
                <w:i/>
                <w:lang w:val="de-DE"/>
              </w:rPr>
              <w:t>RR</w:t>
            </w:r>
            <w:r w:rsidRPr="00792D61">
              <w:rPr>
                <w:b/>
                <w:i/>
                <w:lang w:val="de-DE"/>
              </w:rPr>
              <w:t>[</w:t>
            </w:r>
            <w:r w:rsidRPr="008851E8">
              <w:rPr>
                <w:rFonts w:ascii="Arial" w:hAnsi="Arial" w:cs="Arial"/>
                <w:i/>
                <w:lang w:val="de-DE"/>
              </w:rPr>
              <w:t>●</w:t>
            </w:r>
            <w:r w:rsidRPr="00792D61">
              <w:rPr>
                <w:b/>
                <w:i/>
                <w:lang w:val="de-DE"/>
              </w:rPr>
              <w:t>]</w:t>
            </w:r>
            <w:r w:rsidRPr="008851E8">
              <w:rPr>
                <w:i/>
                <w:lang w:val="de-DE"/>
              </w:rPr>
              <w:t>m</w:t>
            </w:r>
            <w:r w:rsidRPr="005B1A26">
              <w:rPr>
                <w:lang w:val="de-DE"/>
              </w:rPr>
              <w:t>) dividiert durch den f</w:t>
            </w:r>
            <w:r w:rsidRPr="005B1A26">
              <w:rPr>
                <w:rFonts w:cs="Credit Suisse Type Light"/>
                <w:lang w:val="de-DE"/>
              </w:rPr>
              <w:t>ü</w:t>
            </w:r>
            <w:r w:rsidRPr="005B1A26">
              <w:rPr>
                <w:lang w:val="de-DE"/>
              </w:rPr>
              <w:t>r diesen Zinszahlungstag</w:t>
            </w:r>
            <w:r>
              <w:rPr>
                <w:lang w:val="de-DE"/>
              </w:rPr>
              <w:t xml:space="preserve"> </w:t>
            </w:r>
            <w:r w:rsidRPr="005B1A26">
              <w:rPr>
                <w:lang w:val="de-DE"/>
              </w:rPr>
              <w:t>(</w:t>
            </w:r>
            <w:r w:rsidRPr="00116653">
              <w:rPr>
                <w:i/>
                <w:lang w:val="de-DE"/>
              </w:rPr>
              <w:t>t</w:t>
            </w:r>
            <w:r w:rsidRPr="005B1A26">
              <w:rPr>
                <w:lang w:val="de-DE"/>
              </w:rPr>
              <w:t>) geltenden Referenzmonat(</w:t>
            </w:r>
            <w:r w:rsidRPr="00792D61">
              <w:rPr>
                <w:b/>
                <w:lang w:val="de-DE"/>
              </w:rPr>
              <w:t>[</w:t>
            </w:r>
            <w:r w:rsidRPr="005B1A26">
              <w:rPr>
                <w:rFonts w:ascii="Arial" w:hAnsi="Arial" w:cs="Arial"/>
                <w:lang w:val="de-DE"/>
              </w:rPr>
              <w:t>●</w:t>
            </w:r>
            <w:r w:rsidRPr="00792D61">
              <w:rPr>
                <w:b/>
                <w:lang w:val="de-DE"/>
              </w:rPr>
              <w:t>]</w:t>
            </w:r>
            <w:r w:rsidRPr="005B1A26">
              <w:rPr>
                <w:lang w:val="de-DE"/>
              </w:rPr>
              <w:t>m) (</w:t>
            </w:r>
            <w:r w:rsidRPr="008851E8">
              <w:rPr>
                <w:i/>
                <w:lang w:val="de-DE"/>
              </w:rPr>
              <w:t>RR</w:t>
            </w:r>
            <w:r w:rsidRPr="00792D61">
              <w:rPr>
                <w:b/>
                <w:i/>
                <w:lang w:val="de-DE"/>
              </w:rPr>
              <w:t>[</w:t>
            </w:r>
            <w:r w:rsidRPr="008851E8">
              <w:rPr>
                <w:rFonts w:ascii="Arial" w:hAnsi="Arial" w:cs="Arial"/>
                <w:i/>
                <w:lang w:val="de-DE"/>
              </w:rPr>
              <w:t>●</w:t>
            </w:r>
            <w:r w:rsidRPr="00792D61">
              <w:rPr>
                <w:b/>
                <w:i/>
                <w:lang w:val="de-DE"/>
              </w:rPr>
              <w:t>]</w:t>
            </w:r>
            <w:r w:rsidRPr="008851E8">
              <w:rPr>
                <w:i/>
                <w:lang w:val="de-DE"/>
              </w:rPr>
              <w:t>m</w:t>
            </w:r>
            <w:r w:rsidRPr="005B1A26">
              <w:rPr>
                <w:lang w:val="de-DE"/>
              </w:rPr>
              <w:t xml:space="preserve">) und (B) eins (1) und (y) </w:t>
            </w:r>
            <w:r w:rsidRPr="00792D61">
              <w:rPr>
                <w:b/>
                <w:lang w:val="de-DE"/>
              </w:rPr>
              <w:t>[</w:t>
            </w:r>
            <w:r w:rsidRPr="005B1A26">
              <w:rPr>
                <w:rFonts w:cs="Credit Suisse Type Light"/>
                <w:lang w:val="de-DE"/>
              </w:rPr>
              <w:t>•</w:t>
            </w:r>
            <w:r w:rsidRPr="00792D61">
              <w:rPr>
                <w:b/>
                <w:lang w:val="de-DE"/>
              </w:rPr>
              <w:t>]</w:t>
            </w:r>
            <w:r w:rsidRPr="005B1A26">
              <w:rPr>
                <w:lang w:val="de-DE"/>
              </w:rPr>
              <w:t>%,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A457E7">
            <w:pPr>
              <w:pStyle w:val="CSBody0"/>
              <w:rPr>
                <w:b/>
                <w:lang w:val="de-DE"/>
              </w:rPr>
            </w:pPr>
          </w:p>
        </w:tc>
        <w:tc>
          <w:tcPr>
            <w:tcW w:w="3315" w:type="dxa"/>
            <w:gridSpan w:val="7"/>
            <w:tcBorders>
              <w:top w:val="nil"/>
              <w:left w:val="nil"/>
              <w:bottom w:val="nil"/>
            </w:tcBorders>
            <w:shd w:val="clear" w:color="auto" w:fill="auto"/>
          </w:tcPr>
          <w:p w:rsidR="0017135D" w:rsidRPr="0004656F" w:rsidP="009D08CA">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lang w:val="de-DE"/>
                        </w:rPr>
                      </m:ctrlPr>
                    </m:dPr>
                    <m:e>
                      <m:f>
                        <m:fPr>
                          <m:ctrlPr>
                            <w:rPr>
                              <w:rFonts w:ascii="Cambria Math" w:hAnsi="Cambria Math"/>
                              <w:i/>
                              <w:sz w:val="14"/>
                              <w:szCs w:val="14"/>
                              <w:lang w:val="de-DE"/>
                            </w:rPr>
                          </m:ctrlPr>
                        </m:fPr>
                        <m:num>
                          <m:sSup>
                            <m:sSupPr>
                              <m:ctrlPr>
                                <w:rPr>
                                  <w:rFonts w:ascii="Cambria Math" w:hAnsi="Cambria Math"/>
                                  <w:i/>
                                  <w:sz w:val="14"/>
                                  <w:szCs w:val="14"/>
                                  <w:lang w:val="de-DE"/>
                                </w:rPr>
                              </m:ctrlPr>
                            </m:sSupPr>
                            <m:e>
                              <m:r>
                                <w:rPr>
                                  <w:rFonts w:ascii="Cambria Math" w:hAnsi="Cambria Math"/>
                                  <w:sz w:val="14"/>
                                  <w:szCs w:val="14"/>
                                  <w:lang w:val="de-DE"/>
                                </w:rPr>
                                <m:t>RR</m:t>
                              </m:r>
                            </m:e>
                            <m:sup>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m:t>
                              </m:r>
                            </m:sup>
                          </m:sSup>
                        </m:num>
                        <m:den>
                          <m:sSup>
                            <m:sSupPr>
                              <m:ctrlPr>
                                <w:rPr>
                                  <w:rFonts w:ascii="Cambria Math" w:hAnsi="Cambria Math"/>
                                  <w:i/>
                                  <w:sz w:val="14"/>
                                  <w:szCs w:val="14"/>
                                  <w:lang w:val="de-DE"/>
                                </w:rPr>
                              </m:ctrlPr>
                            </m:sSupPr>
                            <m:e>
                              <m:r>
                                <w:rPr>
                                  <w:rFonts w:ascii="Cambria Math" w:hAnsi="Cambria Math"/>
                                  <w:sz w:val="14"/>
                                  <w:szCs w:val="14"/>
                                  <w:lang w:val="de-DE"/>
                                </w:rPr>
                                <m:t>RR</m:t>
                              </m:r>
                            </m:e>
                            <m:sup>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m:t>
                              </m:r>
                            </m:sup>
                          </m:sSup>
                        </m:den>
                      </m:f>
                      <m:r>
                        <w:rPr>
                          <w:rFonts w:ascii="Cambria Math" w:hAnsi="Cambria Math"/>
                          <w:sz w:val="14"/>
                          <w:szCs w:val="14"/>
                          <w:lang w:val="de-DE"/>
                        </w:rPr>
                        <m:t>-1</m:t>
                      </m:r>
                    </m:e>
                  </m:d>
                  <m:r>
                    <w:rPr>
                      <w:rFonts w:ascii="Cambria Math" w:hAnsi="Cambria Math"/>
                      <w:sz w:val="14"/>
                      <w:szCs w:val="14"/>
                      <w:lang w:val="de-DE"/>
                    </w:rPr>
                    <m:t>+</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t>
                  </m:r>
                </m:e>
              </m:d>
            </m:oMath>
            <w:r w:rsidRPr="0004656F">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5B1A26"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04656F" w:rsidP="001812A4">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lang w:val="de-DE"/>
                        </w:rPr>
                      </m:ctrlPr>
                    </m:dPr>
                    <m:e>
                      <m:f>
                        <m:fPr>
                          <m:ctrlPr>
                            <w:rPr>
                              <w:rFonts w:ascii="Cambria Math" w:hAnsi="Cambria Math"/>
                              <w:i/>
                              <w:sz w:val="14"/>
                              <w:szCs w:val="14"/>
                              <w:lang w:val="de-DE"/>
                            </w:rPr>
                          </m:ctrlPr>
                        </m:fPr>
                        <m:num>
                          <m:sSup>
                            <m:sSupPr>
                              <m:ctrlPr>
                                <w:rPr>
                                  <w:rFonts w:ascii="Cambria Math" w:hAnsi="Cambria Math"/>
                                  <w:i/>
                                  <w:sz w:val="14"/>
                                  <w:szCs w:val="14"/>
                                  <w:lang w:val="de-DE"/>
                                </w:rPr>
                              </m:ctrlPr>
                            </m:sSupPr>
                            <m:e>
                              <m:r>
                                <w:rPr>
                                  <w:rFonts w:ascii="Cambria Math" w:hAnsi="Cambria Math"/>
                                  <w:sz w:val="14"/>
                                  <w:szCs w:val="14"/>
                                  <w:lang w:val="de-DE"/>
                                </w:rPr>
                                <m:t>RR</m:t>
                              </m:r>
                            </m:e>
                            <m:sup>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m:t>
                              </m:r>
                            </m:sup>
                          </m:sSup>
                        </m:num>
                        <m:den>
                          <m:sSup>
                            <m:sSupPr>
                              <m:ctrlPr>
                                <w:rPr>
                                  <w:rFonts w:ascii="Cambria Math" w:hAnsi="Cambria Math"/>
                                  <w:i/>
                                  <w:sz w:val="14"/>
                                  <w:szCs w:val="14"/>
                                  <w:lang w:val="de-DE"/>
                                </w:rPr>
                              </m:ctrlPr>
                            </m:sSupPr>
                            <m:e>
                              <m:r>
                                <w:rPr>
                                  <w:rFonts w:ascii="Cambria Math" w:hAnsi="Cambria Math"/>
                                  <w:sz w:val="14"/>
                                  <w:szCs w:val="14"/>
                                  <w:lang w:val="de-DE"/>
                                </w:rPr>
                                <m:t>RR</m:t>
                              </m:r>
                            </m:e>
                            <m:sup>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m:t>
                              </m:r>
                            </m:sup>
                          </m:sSup>
                        </m:den>
                      </m:f>
                      <m:r>
                        <w:rPr>
                          <w:rFonts w:ascii="Cambria Math" w:hAnsi="Cambria Math"/>
                          <w:sz w:val="14"/>
                          <w:szCs w:val="14"/>
                          <w:lang w:val="de-DE"/>
                        </w:rPr>
                        <m:t>-1</m:t>
                      </m:r>
                    </m:e>
                  </m:d>
                  <m:r>
                    <w:rPr>
                      <w:rFonts w:ascii="Cambria Math" w:hAnsi="Cambria Math"/>
                      <w:sz w:val="14"/>
                      <w:szCs w:val="14"/>
                      <w:lang w:val="de-DE"/>
                    </w:rPr>
                    <m:t>+</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m:t>
                  </m:r>
                </m:e>
              </m:d>
            </m:oMath>
            <w:r w:rsidRPr="0004656F">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5B1A26" w:rsidP="009D08CA">
            <w:pPr>
              <w:pStyle w:val="CSBody8pt"/>
              <w:rPr>
                <w:lang w:val="de-DE"/>
              </w:rPr>
            </w:pPr>
          </w:p>
        </w:tc>
        <w:tc>
          <w:tcPr>
            <w:tcW w:w="3315" w:type="dxa"/>
            <w:gridSpan w:val="7"/>
            <w:tcBorders>
              <w:top w:val="nil"/>
              <w:left w:val="nil"/>
              <w:bottom w:val="nil"/>
            </w:tcBorders>
            <w:shd w:val="clear" w:color="auto" w:fill="auto"/>
          </w:tcPr>
          <w:p w:rsidR="0017135D" w:rsidRPr="00A209BF" w:rsidP="009D08CA">
            <w:pPr>
              <w:pStyle w:val="CSBody8pt"/>
            </w:pPr>
            <w:r w:rsidRPr="00792D61">
              <w:rPr>
                <w:b/>
              </w:rPr>
              <w:t>[</w:t>
            </w:r>
            <w:r w:rsidRPr="009D08CA">
              <w:rPr>
                <w:b/>
                <w:i/>
              </w:rPr>
              <w:t>in the case of (i) Fixed to Floating Rate Notes, Cumulative Reverse Floater Notes and Stairway Notes and (ii) Inverse Floating Rate Notes, Spread-Linked Notes and Inflation Index-Linked Notes with a Fixed Interest Payment Amount, insert:</w:t>
            </w:r>
            <w:r w:rsidRPr="00A209BF">
              <w:t xml:space="preserve"> with respect to any Fixed Interest Payment Date, the Fixed Interest Rate, and, with respect to any Variable Interest Payment Date, the </w:t>
            </w:r>
            <w:r w:rsidRPr="00792D61">
              <w:rPr>
                <w:b/>
              </w:rPr>
              <w:t>[</w:t>
            </w:r>
            <w:r w:rsidRPr="00A209BF">
              <w:t>relevant</w:t>
            </w:r>
            <w:r w:rsidRPr="00792D61">
              <w:rPr>
                <w:b/>
              </w:rPr>
              <w:t>]</w:t>
            </w:r>
            <w:r w:rsidRPr="00A209BF">
              <w:t xml:space="preserve"> Variable Interest Rate.</w:t>
            </w:r>
            <w:r w:rsidRPr="00792D61">
              <w:rPr>
                <w:b/>
              </w:rPr>
              <w:t>]</w:t>
            </w:r>
          </w:p>
        </w:tc>
        <w:tc>
          <w:tcPr>
            <w:tcW w:w="1618" w:type="dxa"/>
            <w:gridSpan w:val="2"/>
            <w:tcBorders>
              <w:top w:val="nil"/>
              <w:bottom w:val="nil"/>
              <w:right w:val="nil"/>
            </w:tcBorders>
            <w:shd w:val="clear" w:color="auto" w:fill="auto"/>
          </w:tcPr>
          <w:p w:rsidR="0017135D" w:rsidRPr="00CC580A" w:rsidP="009D08CA">
            <w:pPr>
              <w:pStyle w:val="CSBody8pt"/>
              <w:rPr>
                <w:i/>
              </w:rPr>
            </w:pPr>
          </w:p>
        </w:tc>
        <w:tc>
          <w:tcPr>
            <w:tcW w:w="3318" w:type="dxa"/>
            <w:gridSpan w:val="10"/>
            <w:tcBorders>
              <w:top w:val="nil"/>
              <w:left w:val="nil"/>
              <w:bottom w:val="nil"/>
              <w:right w:val="nil"/>
            </w:tcBorders>
            <w:shd w:val="clear" w:color="auto" w:fill="auto"/>
          </w:tcPr>
          <w:p w:rsidR="0017135D" w:rsidRPr="00CC580A" w:rsidP="009D08CA">
            <w:pPr>
              <w:pStyle w:val="CSBody8pt"/>
              <w:rPr>
                <w:lang w:val="de-DE"/>
              </w:rPr>
            </w:pPr>
            <w:r w:rsidRPr="00792D61">
              <w:rPr>
                <w:b/>
                <w:lang w:val="de-DE"/>
              </w:rPr>
              <w:t>[</w:t>
            </w:r>
            <w:r w:rsidRPr="009D08CA">
              <w:rPr>
                <w:b/>
                <w:i/>
                <w:lang w:val="de-DE"/>
              </w:rPr>
              <w:t>bei (i) Fixed to Floating Rate Notes, Cumulative Reverse Floater Notes und Stairway Notes und (ii) Inverse Floating Rate Note, Spread-Linked Notes und Inflation Index-Linked Notes mit einem Zahlungsbetrag für Festzinsen einfügen:</w:t>
            </w:r>
            <w:r w:rsidRPr="00CC580A">
              <w:rPr>
                <w:lang w:val="de-DE"/>
              </w:rPr>
              <w:t xml:space="preserve"> in Bezug auf einen Zahlungstag für Festzinsen der Festzinssatz und in Bezug auf einen Zahlungstag für Variable Zinsen der </w:t>
            </w:r>
            <w:r w:rsidRPr="00792D61">
              <w:rPr>
                <w:b/>
                <w:lang w:val="de-DE"/>
              </w:rPr>
              <w:t>[</w:t>
            </w:r>
            <w:r w:rsidRPr="00CC580A">
              <w:rPr>
                <w:lang w:val="de-DE"/>
              </w:rPr>
              <w:t>jeweilige</w:t>
            </w:r>
            <w:r w:rsidRPr="00792D61">
              <w:rPr>
                <w:b/>
                <w:lang w:val="de-DE"/>
              </w:rPr>
              <w:t>]</w:t>
            </w:r>
            <w:r w:rsidRPr="00CC580A">
              <w:rPr>
                <w:lang w:val="de-DE"/>
              </w:rPr>
              <w:t xml:space="preserve"> Variable 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9D08CA">
            <w:pPr>
              <w:pStyle w:val="CSBody8ptbolditalics"/>
              <w:rPr>
                <w:lang w:val="de-DE"/>
              </w:rPr>
            </w:pPr>
          </w:p>
        </w:tc>
        <w:tc>
          <w:tcPr>
            <w:tcW w:w="3315" w:type="dxa"/>
            <w:gridSpan w:val="7"/>
            <w:tcBorders>
              <w:top w:val="nil"/>
              <w:left w:val="nil"/>
              <w:bottom w:val="nil"/>
            </w:tcBorders>
            <w:shd w:val="clear" w:color="auto" w:fill="auto"/>
          </w:tcPr>
          <w:p w:rsidR="0017135D" w:rsidRPr="00A209BF" w:rsidP="009D08CA">
            <w:pPr>
              <w:pStyle w:val="CSBody8ptbolditalics"/>
            </w:pPr>
            <w:r w:rsidRPr="00792D61">
              <w:t>[</w:t>
            </w:r>
            <w:r w:rsidRPr="00A209BF">
              <w:t>in the case of Range Accrual Notes, insert:</w:t>
            </w:r>
          </w:p>
        </w:tc>
        <w:tc>
          <w:tcPr>
            <w:tcW w:w="1618" w:type="dxa"/>
            <w:gridSpan w:val="2"/>
            <w:tcBorders>
              <w:top w:val="nil"/>
              <w:bottom w:val="nil"/>
              <w:right w:val="nil"/>
            </w:tcBorders>
            <w:shd w:val="clear" w:color="auto" w:fill="auto"/>
          </w:tcPr>
          <w:p w:rsidR="0017135D" w:rsidRPr="00CC580A" w:rsidP="009D08CA">
            <w:pPr>
              <w:pStyle w:val="CSBody8ptbolditalics"/>
            </w:pPr>
          </w:p>
        </w:tc>
        <w:tc>
          <w:tcPr>
            <w:tcW w:w="3318" w:type="dxa"/>
            <w:gridSpan w:val="10"/>
            <w:tcBorders>
              <w:top w:val="nil"/>
              <w:left w:val="nil"/>
              <w:bottom w:val="nil"/>
              <w:right w:val="nil"/>
            </w:tcBorders>
            <w:shd w:val="clear" w:color="auto" w:fill="auto"/>
          </w:tcPr>
          <w:p w:rsidR="0017135D" w:rsidRPr="009D08E0" w:rsidP="009D08CA">
            <w:pPr>
              <w:pStyle w:val="CSBody8ptbolditalics"/>
              <w:rPr>
                <w:lang w:val="de-DE"/>
              </w:rPr>
            </w:pPr>
            <w:r w:rsidRPr="009D08E0">
              <w:rPr>
                <w:lang w:val="de-DE"/>
              </w:rPr>
              <w:t>[bei Range Accrual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D08E0" w:rsidP="009D08CA">
            <w:pPr>
              <w:pStyle w:val="CSBody8pt"/>
              <w:rPr>
                <w:lang w:val="de-DE"/>
              </w:rPr>
            </w:pPr>
          </w:p>
        </w:tc>
        <w:tc>
          <w:tcPr>
            <w:tcW w:w="3315" w:type="dxa"/>
            <w:gridSpan w:val="7"/>
            <w:tcBorders>
              <w:top w:val="nil"/>
              <w:left w:val="nil"/>
              <w:bottom w:val="nil"/>
            </w:tcBorders>
            <w:shd w:val="clear" w:color="auto" w:fill="auto"/>
          </w:tcPr>
          <w:p w:rsidR="0017135D" w:rsidP="009D08CA">
            <w:pPr>
              <w:pStyle w:val="CSBody8pt"/>
            </w:pPr>
            <w:r w:rsidRPr="00792D61">
              <w:rPr>
                <w:b/>
              </w:rPr>
              <w:t>[</w:t>
            </w:r>
            <w:r w:rsidRPr="00A209BF">
              <w:t>with respect to any Interest Payment Date,</w:t>
            </w:r>
            <w:r w:rsidRPr="00792D61">
              <w:rPr>
                <w:b/>
              </w:rPr>
              <w:t>]</w:t>
            </w:r>
            <w:r w:rsidRPr="00A209BF">
              <w:t xml:space="preserve"> a rate per annum equal to the greater of (i) zero (0) and (ii) the product of (x) the number of Barrier Observation Dates </w:t>
            </w:r>
            <w:r w:rsidRPr="00792D61">
              <w:rPr>
                <w:b/>
              </w:rPr>
              <w:t>[</w:t>
            </w:r>
            <w:r w:rsidRPr="00A209BF">
              <w:t xml:space="preserve">during the </w:t>
            </w:r>
            <w:r w:rsidRPr="00792D61">
              <w:rPr>
                <w:b/>
              </w:rPr>
              <w:t>[</w:t>
            </w:r>
            <w:r w:rsidRPr="00A209BF">
              <w:t>relevant</w:t>
            </w:r>
            <w:r w:rsidRPr="00792D61">
              <w:rPr>
                <w:b/>
              </w:rPr>
              <w:t>]</w:t>
            </w:r>
            <w:r w:rsidRPr="00A209BF">
              <w:t xml:space="preserve"> Barrier Observation Period</w:t>
            </w:r>
            <w:r w:rsidRPr="00792D61">
              <w:rPr>
                <w:b/>
              </w:rPr>
              <w:t>]</w:t>
            </w:r>
            <w:r w:rsidRPr="00A209BF">
              <w:t xml:space="preserve"> on which </w:t>
            </w:r>
            <w:r w:rsidRPr="00792D61">
              <w:rPr>
                <w:b/>
              </w:rPr>
              <w:t>[</w:t>
            </w:r>
            <w:r w:rsidRPr="00A209BF">
              <w:t>a Barrier Event did not occur</w:t>
            </w:r>
            <w:r w:rsidRPr="00792D61">
              <w:rPr>
                <w:b/>
              </w:rPr>
              <w:t>][</w:t>
            </w:r>
            <w:r w:rsidRPr="00A209BF">
              <w:t>neither an Upper Barrier Event nor a Lower Barrier Event occurred</w:t>
            </w:r>
            <w:r w:rsidRPr="00792D61">
              <w:rPr>
                <w:b/>
              </w:rPr>
              <w:t>]</w:t>
            </w:r>
            <w:r w:rsidRPr="00A209BF">
              <w:t xml:space="preserve"> (</w:t>
            </w:r>
            <w:r w:rsidRPr="008851E8">
              <w:rPr>
                <w:i/>
              </w:rPr>
              <w:t>n</w:t>
            </w:r>
            <w:r w:rsidRPr="00A209BF">
              <w:t xml:space="preserve">), divided by the total number of Barrier Observation Dates </w:t>
            </w:r>
            <w:r w:rsidRPr="00792D61">
              <w:rPr>
                <w:b/>
              </w:rPr>
              <w:t>[</w:t>
            </w:r>
            <w:r w:rsidRPr="00A209BF">
              <w:t xml:space="preserve">during the </w:t>
            </w:r>
            <w:r w:rsidRPr="00792D61">
              <w:rPr>
                <w:b/>
              </w:rPr>
              <w:t>[</w:t>
            </w:r>
            <w:r w:rsidRPr="00A209BF">
              <w:t>relevant</w:t>
            </w:r>
            <w:r w:rsidRPr="00792D61">
              <w:rPr>
                <w:b/>
              </w:rPr>
              <w:t>]</w:t>
            </w:r>
            <w:r w:rsidRPr="00A209BF">
              <w:t xml:space="preserve"> Barrier Observation Period</w:t>
            </w:r>
            <w:r w:rsidRPr="00792D61">
              <w:rPr>
                <w:b/>
              </w:rPr>
              <w:t>]</w:t>
            </w:r>
            <w:r w:rsidRPr="00A209BF">
              <w:t xml:space="preserve"> (</w:t>
            </w:r>
            <w:r w:rsidRPr="008851E8">
              <w:rPr>
                <w:i/>
              </w:rPr>
              <w:t>N</w:t>
            </w:r>
            <w:r w:rsidRPr="00A209BF">
              <w:t xml:space="preserve">), and (y) </w:t>
            </w:r>
            <w:r w:rsidRPr="00792D61">
              <w:rPr>
                <w:b/>
              </w:rPr>
              <w:t>[</w:t>
            </w:r>
            <w:r w:rsidRPr="00A209BF">
              <w:rPr>
                <w:rFonts w:ascii="Arial" w:hAnsi="Arial" w:cs="Arial"/>
              </w:rPr>
              <w:t>●</w:t>
            </w:r>
            <w:r w:rsidRPr="00792D61">
              <w:rPr>
                <w:b/>
              </w:rPr>
              <w:t>]</w:t>
            </w:r>
            <w:r w:rsidRPr="00A209BF">
              <w:t>% per annum, calculated in accordance with the following formula:</w:t>
            </w:r>
          </w:p>
        </w:tc>
        <w:tc>
          <w:tcPr>
            <w:tcW w:w="1618" w:type="dxa"/>
            <w:gridSpan w:val="2"/>
            <w:tcBorders>
              <w:top w:val="nil"/>
              <w:bottom w:val="nil"/>
              <w:right w:val="nil"/>
            </w:tcBorders>
            <w:shd w:val="clear" w:color="auto" w:fill="auto"/>
          </w:tcPr>
          <w:p w:rsidR="0017135D" w:rsidRPr="00CC580A" w:rsidP="009D08CA">
            <w:pPr>
              <w:pStyle w:val="CSBody8pt"/>
              <w:rPr>
                <w:i/>
              </w:rPr>
            </w:pPr>
          </w:p>
        </w:tc>
        <w:tc>
          <w:tcPr>
            <w:tcW w:w="3318" w:type="dxa"/>
            <w:gridSpan w:val="10"/>
            <w:tcBorders>
              <w:top w:val="nil"/>
              <w:left w:val="nil"/>
              <w:bottom w:val="nil"/>
              <w:right w:val="nil"/>
            </w:tcBorders>
            <w:shd w:val="clear" w:color="auto" w:fill="auto"/>
          </w:tcPr>
          <w:p w:rsidR="0017135D" w:rsidRPr="00CC580A" w:rsidP="00516CB4">
            <w:pPr>
              <w:pStyle w:val="CSBody8pt"/>
              <w:rPr>
                <w:lang w:val="de-DE"/>
              </w:rPr>
            </w:pPr>
            <w:r w:rsidRPr="00792D61">
              <w:rPr>
                <w:b/>
                <w:lang w:val="de-DE"/>
              </w:rPr>
              <w:t>[</w:t>
            </w:r>
            <w:r w:rsidRPr="00CC580A">
              <w:rPr>
                <w:lang w:val="de-DE"/>
              </w:rPr>
              <w:t>in Bezug auf einen Zinszahlungstag</w:t>
            </w:r>
            <w:r w:rsidRPr="00792D61">
              <w:rPr>
                <w:b/>
                <w:lang w:val="de-DE"/>
              </w:rPr>
              <w:t>]</w:t>
            </w:r>
            <w:r w:rsidRPr="00CC580A">
              <w:rPr>
                <w:lang w:val="de-DE"/>
              </w:rPr>
              <w:t xml:space="preserve"> ein Satz per annum in Höhe des jeweils grösseren der folgenden Beträge: (i) null (0) und (ii) dem Produkt aus (x) der Anzahl der Barriere-Beobachtungstage </w:t>
            </w:r>
            <w:r w:rsidRPr="00792D61">
              <w:rPr>
                <w:b/>
                <w:lang w:val="de-DE"/>
              </w:rPr>
              <w:t>[</w:t>
            </w:r>
            <w:r w:rsidRPr="00CC580A">
              <w:rPr>
                <w:lang w:val="de-DE"/>
              </w:rPr>
              <w:t xml:space="preserve">während des </w:t>
            </w:r>
            <w:r w:rsidRPr="00792D61">
              <w:rPr>
                <w:b/>
                <w:lang w:val="de-DE"/>
              </w:rPr>
              <w:t>[</w:t>
            </w:r>
            <w:r w:rsidRPr="00CC580A">
              <w:rPr>
                <w:lang w:val="de-DE"/>
              </w:rPr>
              <w:t>jeweiligen</w:t>
            </w:r>
            <w:r w:rsidRPr="00792D61">
              <w:rPr>
                <w:b/>
                <w:lang w:val="de-DE"/>
              </w:rPr>
              <w:t>]</w:t>
            </w:r>
            <w:r w:rsidRPr="00CC580A">
              <w:rPr>
                <w:lang w:val="de-DE"/>
              </w:rPr>
              <w:t xml:space="preserve"> Barriere-Beobachtungszeitraums</w:t>
            </w:r>
            <w:r w:rsidRPr="00792D61">
              <w:rPr>
                <w:b/>
                <w:lang w:val="de-DE"/>
              </w:rPr>
              <w:t>]</w:t>
            </w:r>
            <w:r w:rsidRPr="00CC580A">
              <w:rPr>
                <w:lang w:val="de-DE"/>
              </w:rPr>
              <w:t xml:space="preserve">, an dem </w:t>
            </w:r>
            <w:r w:rsidRPr="00792D61">
              <w:rPr>
                <w:b/>
                <w:lang w:val="de-DE"/>
              </w:rPr>
              <w:t>[</w:t>
            </w:r>
            <w:r w:rsidRPr="00CC580A">
              <w:rPr>
                <w:lang w:val="de-DE"/>
              </w:rPr>
              <w:t>kein Barriereereignis eingetreten ist</w:t>
            </w:r>
            <w:r w:rsidRPr="00792D61">
              <w:rPr>
                <w:b/>
                <w:lang w:val="de-DE"/>
              </w:rPr>
              <w:t>][</w:t>
            </w:r>
            <w:r w:rsidRPr="00CC580A">
              <w:rPr>
                <w:lang w:val="de-DE"/>
              </w:rPr>
              <w:t>weder ein Oberes Barriereereignis noch ein Unteres Barriereereignis eingetreten ist</w:t>
            </w:r>
            <w:r w:rsidRPr="00792D61">
              <w:rPr>
                <w:b/>
                <w:lang w:val="de-DE"/>
              </w:rPr>
              <w:t>]</w:t>
            </w:r>
            <w:r w:rsidRPr="00CC580A">
              <w:rPr>
                <w:lang w:val="de-DE"/>
              </w:rPr>
              <w:t xml:space="preserve"> (</w:t>
            </w:r>
            <w:r w:rsidRPr="008851E8">
              <w:rPr>
                <w:i/>
                <w:lang w:val="de-DE"/>
              </w:rPr>
              <w:t>n</w:t>
            </w:r>
            <w:r w:rsidRPr="00CC580A">
              <w:rPr>
                <w:lang w:val="de-DE"/>
              </w:rPr>
              <w:t xml:space="preserve">), dividiert durch die Gesamtzahl der Barriere-Beobachtungstage </w:t>
            </w:r>
            <w:r w:rsidRPr="00792D61">
              <w:rPr>
                <w:b/>
                <w:lang w:val="de-DE"/>
              </w:rPr>
              <w:t>[</w:t>
            </w:r>
            <w:r w:rsidRPr="00CC580A">
              <w:rPr>
                <w:lang w:val="de-DE"/>
              </w:rPr>
              <w:t xml:space="preserve">während des </w:t>
            </w:r>
            <w:r w:rsidRPr="00792D61">
              <w:rPr>
                <w:b/>
                <w:lang w:val="de-DE"/>
              </w:rPr>
              <w:t>[</w:t>
            </w:r>
            <w:r w:rsidRPr="00CC580A">
              <w:rPr>
                <w:lang w:val="de-DE"/>
              </w:rPr>
              <w:t>jeweiligen</w:t>
            </w:r>
            <w:r w:rsidRPr="00792D61">
              <w:rPr>
                <w:b/>
                <w:lang w:val="de-DE"/>
              </w:rPr>
              <w:t>]</w:t>
            </w:r>
            <w:r w:rsidRPr="00CC580A">
              <w:rPr>
                <w:lang w:val="de-DE"/>
              </w:rPr>
              <w:t xml:space="preserve"> Barriere-Beobachtungszeitraums</w:t>
            </w:r>
            <w:r w:rsidRPr="00792D61">
              <w:rPr>
                <w:b/>
                <w:lang w:val="de-DE"/>
              </w:rPr>
              <w:t>]</w:t>
            </w:r>
            <w:r w:rsidRPr="00CC580A">
              <w:rPr>
                <w:lang w:val="de-DE"/>
              </w:rPr>
              <w:t xml:space="preserve"> (</w:t>
            </w:r>
            <w:r w:rsidRPr="008851E8">
              <w:rPr>
                <w:i/>
                <w:lang w:val="de-DE"/>
              </w:rPr>
              <w:t>N</w:t>
            </w:r>
            <w:r w:rsidRPr="00CC580A">
              <w:rPr>
                <w:lang w:val="de-DE"/>
              </w:rPr>
              <w:t xml:space="preserve">), multipliziert mit (y) </w:t>
            </w:r>
            <w:r w:rsidRPr="00792D61">
              <w:rPr>
                <w:b/>
                <w:lang w:val="de-DE"/>
              </w:rPr>
              <w:t>[</w:t>
            </w:r>
            <w:r w:rsidRPr="00CC580A">
              <w:rPr>
                <w:rFonts w:ascii="Arial" w:hAnsi="Arial" w:cs="Arial"/>
                <w:lang w:val="de-DE"/>
              </w:rPr>
              <w:t>●</w:t>
            </w:r>
            <w:r w:rsidRPr="00792D61">
              <w:rPr>
                <w:b/>
                <w:lang w:val="de-DE"/>
              </w:rPr>
              <w:t>]</w:t>
            </w:r>
            <w:r w:rsidRPr="00CC580A">
              <w:rPr>
                <w:lang w:val="de-DE"/>
              </w:rPr>
              <w:t>% per annum, der nach der folgenden Formel berechnet wird: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A457E7">
            <w:pPr>
              <w:pStyle w:val="CSBody0"/>
              <w:rPr>
                <w:b/>
                <w:lang w:val="de-DE"/>
              </w:rPr>
            </w:pPr>
          </w:p>
        </w:tc>
        <w:tc>
          <w:tcPr>
            <w:tcW w:w="3315" w:type="dxa"/>
            <w:gridSpan w:val="7"/>
            <w:tcBorders>
              <w:top w:val="nil"/>
              <w:left w:val="nil"/>
              <w:bottom w:val="nil"/>
            </w:tcBorders>
            <w:shd w:val="clear" w:color="auto" w:fill="auto"/>
          </w:tcPr>
          <w:p w:rsidR="0017135D" w:rsidRPr="001812A4" w:rsidP="001812A4">
            <w:pPr>
              <w:spacing w:before="120" w:after="120"/>
              <w:jc w:val="center"/>
              <w:rPr>
                <w:sz w:val="14"/>
                <w:szCs w:val="14"/>
                <w:lang w:val="de-DE"/>
              </w:rPr>
            </w:pPr>
            <m:oMath>
              <m:r>
                <w:rPr>
                  <w:rFonts w:ascii="Cambria Math" w:hAnsi="Cambria Math"/>
                  <w:sz w:val="14"/>
                  <w:szCs w:val="14"/>
                  <w:lang w:val="de-DE"/>
                </w:rPr>
                <m:t>max</m:t>
              </m:r>
              <m:d>
                <m:dPr>
                  <m:ctrlPr>
                    <w:rPr>
                      <w:rFonts w:ascii="Cambria Math" w:hAnsi="Cambria Math"/>
                      <w:i/>
                      <w:sz w:val="14"/>
                      <w:szCs w:val="14"/>
                      <w:lang w:val="de-DE"/>
                    </w:rPr>
                  </m:ctrlPr>
                </m:dPr>
                <m:e>
                  <m:r>
                    <w:rPr>
                      <w:rFonts w:ascii="Cambria Math" w:hAnsi="Cambria Math"/>
                      <w:sz w:val="14"/>
                      <w:szCs w:val="14"/>
                      <w:lang w:val="de-DE"/>
                    </w:rPr>
                    <m:t>0;</m:t>
                  </m:r>
                  <m:f>
                    <m:fPr>
                      <m:ctrlPr>
                        <w:rPr>
                          <w:rFonts w:ascii="Cambria Math" w:hAnsi="Cambria Math"/>
                          <w:i/>
                          <w:sz w:val="14"/>
                          <w:szCs w:val="14"/>
                          <w:lang w:val="de-DE"/>
                        </w:rPr>
                      </m:ctrlPr>
                    </m:fPr>
                    <m:num>
                      <m:r>
                        <w:rPr>
                          <w:rFonts w:ascii="Cambria Math" w:hAnsi="Cambria Math"/>
                          <w:sz w:val="14"/>
                          <w:szCs w:val="14"/>
                          <w:lang w:val="de-DE"/>
                        </w:rPr>
                        <m:t>n</m:t>
                      </m:r>
                    </m:num>
                    <m:den>
                      <m:r>
                        <w:rPr>
                          <w:rFonts w:ascii="Cambria Math" w:hAnsi="Cambria Math"/>
                          <w:sz w:val="14"/>
                          <w:szCs w:val="14"/>
                          <w:lang w:val="de-DE"/>
                        </w:rPr>
                        <m:t>N</m:t>
                      </m:r>
                    </m:den>
                  </m:f>
                  <m:r>
                    <w:rPr>
                      <w:rFonts w:ascii="Cambria Math" w:hAnsi="Cambria Math"/>
                      <w:sz w:val="14"/>
                      <w:szCs w:val="14"/>
                      <w:lang w:val="de-DE"/>
                    </w:rPr>
                    <m:t>×</m:t>
                  </m:r>
                  <m:d>
                    <m:dPr>
                      <m:begChr m:val="["/>
                      <m:endChr m:val="]"/>
                      <m:ctrlPr>
                        <w:rPr>
                          <w:rFonts w:ascii="Cambria Math" w:hAnsi="Cambria Math"/>
                          <w:i/>
                          <w:sz w:val="14"/>
                          <w:szCs w:val="14"/>
                          <w:lang w:val="de-DE"/>
                        </w:rPr>
                      </m:ctrlPr>
                    </m:dPr>
                    <m:e>
                      <m:r>
                        <m:rPr>
                          <m:sty m:val="p"/>
                        </m:rPr>
                        <w:rPr>
                          <w:rFonts w:ascii="Times New Roman" w:hAnsi="Times New Roman"/>
                          <w:sz w:val="14"/>
                          <w:szCs w:val="14"/>
                        </w:rPr>
                        <m:t>●</m:t>
                      </m:r>
                    </m:e>
                  </m:d>
                  <m:r>
                    <w:rPr>
                      <w:rFonts w:ascii="Cambria Math" w:hAnsi="Cambria Math"/>
                      <w:sz w:val="14"/>
                      <w:szCs w:val="14"/>
                      <w:lang w:val="de-DE"/>
                    </w:rPr>
                    <m:t>%p.a.</m:t>
                  </m:r>
                </m:e>
              </m:d>
            </m:oMath>
            <w:r>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CC580A"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1812A4" w:rsidP="001812A4">
            <w:pPr>
              <w:spacing w:before="120" w:after="120"/>
              <w:jc w:val="center"/>
              <w:rPr>
                <w:sz w:val="14"/>
                <w:szCs w:val="14"/>
                <w:lang w:val="de-DE"/>
              </w:rPr>
            </w:pPr>
            <m:oMath>
              <m:r>
                <w:rPr>
                  <w:rFonts w:ascii="Cambria Math" w:hAnsi="Cambria Math"/>
                  <w:sz w:val="14"/>
                  <w:szCs w:val="14"/>
                  <w:lang w:val="de-DE"/>
                </w:rPr>
                <m:t>max</m:t>
              </m:r>
              <m:d>
                <m:dPr>
                  <m:ctrlPr>
                    <w:rPr>
                      <w:rFonts w:ascii="Cambria Math" w:hAnsi="Cambria Math"/>
                      <w:i/>
                      <w:sz w:val="14"/>
                      <w:szCs w:val="14"/>
                      <w:lang w:val="de-DE"/>
                    </w:rPr>
                  </m:ctrlPr>
                </m:dPr>
                <m:e>
                  <m:r>
                    <w:rPr>
                      <w:rFonts w:ascii="Cambria Math" w:hAnsi="Cambria Math"/>
                      <w:sz w:val="14"/>
                      <w:szCs w:val="14"/>
                      <w:lang w:val="de-DE"/>
                    </w:rPr>
                    <m:t>0;</m:t>
                  </m:r>
                  <m:f>
                    <m:fPr>
                      <m:ctrlPr>
                        <w:rPr>
                          <w:rFonts w:ascii="Cambria Math" w:hAnsi="Cambria Math"/>
                          <w:i/>
                          <w:sz w:val="14"/>
                          <w:szCs w:val="14"/>
                          <w:lang w:val="de-DE"/>
                        </w:rPr>
                      </m:ctrlPr>
                    </m:fPr>
                    <m:num>
                      <m:r>
                        <w:rPr>
                          <w:rFonts w:ascii="Cambria Math" w:hAnsi="Cambria Math"/>
                          <w:sz w:val="14"/>
                          <w:szCs w:val="14"/>
                          <w:lang w:val="de-DE"/>
                        </w:rPr>
                        <m:t>n</m:t>
                      </m:r>
                    </m:num>
                    <m:den>
                      <m:r>
                        <w:rPr>
                          <w:rFonts w:ascii="Cambria Math" w:hAnsi="Cambria Math"/>
                          <w:sz w:val="14"/>
                          <w:szCs w:val="14"/>
                          <w:lang w:val="de-DE"/>
                        </w:rPr>
                        <m:t>N</m:t>
                      </m:r>
                    </m:den>
                  </m:f>
                  <m:r>
                    <w:rPr>
                      <w:rFonts w:ascii="Cambria Math" w:hAnsi="Cambria Math"/>
                      <w:sz w:val="14"/>
                      <w:szCs w:val="14"/>
                      <w:lang w:val="de-DE"/>
                    </w:rPr>
                    <m:t>×</m:t>
                  </m:r>
                  <m:d>
                    <m:dPr>
                      <m:begChr m:val="["/>
                      <m:endChr m:val="]"/>
                      <m:ctrlPr>
                        <w:rPr>
                          <w:rFonts w:ascii="Cambria Math" w:hAnsi="Cambria Math"/>
                          <w:i/>
                          <w:sz w:val="14"/>
                          <w:szCs w:val="14"/>
                          <w:lang w:val="de-DE"/>
                        </w:rPr>
                      </m:ctrlPr>
                    </m:dPr>
                    <m:e>
                      <m:r>
                        <m:rPr>
                          <m:sty m:val="p"/>
                        </m:rPr>
                        <w:rPr>
                          <w:rFonts w:ascii="Times New Roman" w:hAnsi="Times New Roman"/>
                          <w:sz w:val="14"/>
                          <w:szCs w:val="14"/>
                        </w:rPr>
                        <m:t>●</m:t>
                      </m:r>
                    </m:e>
                  </m:d>
                  <m:r>
                    <w:rPr>
                      <w:rFonts w:ascii="Cambria Math" w:hAnsi="Cambria Math"/>
                      <w:sz w:val="14"/>
                      <w:szCs w:val="14"/>
                      <w:lang w:val="de-DE"/>
                    </w:rPr>
                    <m:t>%p.a.</m:t>
                  </m:r>
                </m:e>
              </m:d>
            </m:oMath>
            <w:r>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1812A4">
            <w:pPr>
              <w:pStyle w:val="CSBody8ptbolditalics"/>
              <w:rPr>
                <w:lang w:val="de-DE"/>
              </w:rPr>
            </w:pPr>
          </w:p>
        </w:tc>
        <w:tc>
          <w:tcPr>
            <w:tcW w:w="3315" w:type="dxa"/>
            <w:gridSpan w:val="7"/>
            <w:tcBorders>
              <w:top w:val="nil"/>
              <w:left w:val="nil"/>
              <w:bottom w:val="nil"/>
            </w:tcBorders>
            <w:shd w:val="clear" w:color="auto" w:fill="auto"/>
          </w:tcPr>
          <w:p w:rsidR="0017135D" w:rsidRPr="00BD5845" w:rsidP="001812A4">
            <w:pPr>
              <w:pStyle w:val="CSBody8ptbolditalics"/>
            </w:pPr>
            <w:r w:rsidRPr="00792D61">
              <w:t>[</w:t>
            </w:r>
            <w:r w:rsidRPr="00BD5845">
              <w:t>in the case of Spread Range Accrual Notes, insert:</w:t>
            </w:r>
          </w:p>
        </w:tc>
        <w:tc>
          <w:tcPr>
            <w:tcW w:w="1618" w:type="dxa"/>
            <w:gridSpan w:val="2"/>
            <w:tcBorders>
              <w:top w:val="nil"/>
              <w:bottom w:val="nil"/>
              <w:right w:val="nil"/>
            </w:tcBorders>
            <w:shd w:val="clear" w:color="auto" w:fill="auto"/>
          </w:tcPr>
          <w:p w:rsidR="0017135D" w:rsidRPr="00CC580A" w:rsidP="001812A4">
            <w:pPr>
              <w:pStyle w:val="CSBody8ptbolditalics"/>
            </w:pPr>
          </w:p>
        </w:tc>
        <w:tc>
          <w:tcPr>
            <w:tcW w:w="3318" w:type="dxa"/>
            <w:gridSpan w:val="10"/>
            <w:tcBorders>
              <w:top w:val="nil"/>
              <w:left w:val="nil"/>
              <w:bottom w:val="nil"/>
              <w:right w:val="nil"/>
            </w:tcBorders>
            <w:shd w:val="clear" w:color="auto" w:fill="auto"/>
          </w:tcPr>
          <w:p w:rsidR="0017135D" w:rsidRPr="00EB4659" w:rsidP="001812A4">
            <w:pPr>
              <w:pStyle w:val="CSBody8ptbolditalics"/>
            </w:pPr>
            <w:r w:rsidRPr="00792D61">
              <w:t>[</w:t>
            </w:r>
            <w:r w:rsidRPr="00EB4659">
              <w:t>bei Spread Range Accrual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1812A4">
            <w:pPr>
              <w:pStyle w:val="CSBody8pt"/>
            </w:pPr>
          </w:p>
        </w:tc>
        <w:tc>
          <w:tcPr>
            <w:tcW w:w="3315" w:type="dxa"/>
            <w:gridSpan w:val="7"/>
            <w:tcBorders>
              <w:top w:val="nil"/>
              <w:left w:val="nil"/>
              <w:bottom w:val="nil"/>
            </w:tcBorders>
            <w:shd w:val="clear" w:color="auto" w:fill="auto"/>
          </w:tcPr>
          <w:p w:rsidR="0017135D" w:rsidP="001812A4">
            <w:pPr>
              <w:pStyle w:val="CSBody8pt"/>
            </w:pPr>
            <w:r w:rsidRPr="00792D61">
              <w:rPr>
                <w:b/>
              </w:rPr>
              <w:t>[</w:t>
            </w:r>
            <w:r w:rsidRPr="00BD5845">
              <w:t>with respect to any Interest Payment Date (</w:t>
            </w:r>
            <w:r w:rsidRPr="00116653">
              <w:rPr>
                <w:i/>
              </w:rPr>
              <w:t>t</w:t>
            </w:r>
            <w:r w:rsidRPr="00BD5845">
              <w:t>),</w:t>
            </w:r>
            <w:r w:rsidRPr="00792D61">
              <w:rPr>
                <w:b/>
              </w:rPr>
              <w:t>]</w:t>
            </w:r>
            <w:r w:rsidRPr="00BD5845">
              <w:t xml:space="preserve"> a rate per annum equal to the greater of (i) zero (0) and (ii) the product of (x) the number of Barrier Observation Dates </w:t>
            </w:r>
            <w:r w:rsidRPr="00792D61">
              <w:rPr>
                <w:b/>
              </w:rPr>
              <w:t>[</w:t>
            </w:r>
            <w:r w:rsidRPr="00BD5845">
              <w:t xml:space="preserve">during the </w:t>
            </w:r>
            <w:r w:rsidRPr="00792D61">
              <w:rPr>
                <w:b/>
              </w:rPr>
              <w:t>[</w:t>
            </w:r>
            <w:r w:rsidRPr="00BD5845">
              <w:t>relevant</w:t>
            </w:r>
            <w:r w:rsidRPr="00792D61">
              <w:rPr>
                <w:b/>
              </w:rPr>
              <w:t>]</w:t>
            </w:r>
            <w:r w:rsidRPr="00BD5845">
              <w:t xml:space="preserve"> Barrier Observation Period</w:t>
            </w:r>
            <w:r w:rsidRPr="00792D61">
              <w:rPr>
                <w:b/>
              </w:rPr>
              <w:t>]</w:t>
            </w:r>
            <w:r w:rsidRPr="00BD5845">
              <w:t xml:space="preserve"> on which </w:t>
            </w:r>
            <w:r w:rsidRPr="00792D61">
              <w:rPr>
                <w:b/>
              </w:rPr>
              <w:t>[</w:t>
            </w:r>
            <w:r w:rsidRPr="00BD5845">
              <w:t>a Barrier Event did not occur</w:t>
            </w:r>
            <w:r w:rsidRPr="00792D61">
              <w:rPr>
                <w:b/>
              </w:rPr>
              <w:t>][</w:t>
            </w:r>
            <w:r w:rsidRPr="00BD5845">
              <w:t>neither an Upper Barrier Event nor a Lower Barrier Event occurred</w:t>
            </w:r>
            <w:r w:rsidRPr="00792D61">
              <w:rPr>
                <w:b/>
              </w:rPr>
              <w:t>]</w:t>
            </w:r>
            <w:r w:rsidRPr="00BD5845">
              <w:t xml:space="preserve"> (</w:t>
            </w:r>
            <w:r w:rsidRPr="008851E8">
              <w:rPr>
                <w:i/>
              </w:rPr>
              <w:t>n</w:t>
            </w:r>
            <w:r w:rsidRPr="00BD5845">
              <w:t xml:space="preserve">), divided by the total number of Barrier Observation Dates </w:t>
            </w:r>
            <w:r w:rsidRPr="00792D61">
              <w:rPr>
                <w:b/>
              </w:rPr>
              <w:t>[</w:t>
            </w:r>
            <w:r w:rsidRPr="00BD5845">
              <w:t xml:space="preserve">during the </w:t>
            </w:r>
            <w:r w:rsidRPr="00792D61">
              <w:rPr>
                <w:b/>
              </w:rPr>
              <w:t>[</w:t>
            </w:r>
            <w:r w:rsidRPr="00BD5845">
              <w:t>relevant</w:t>
            </w:r>
            <w:r w:rsidRPr="00792D61">
              <w:rPr>
                <w:b/>
              </w:rPr>
              <w:t>]</w:t>
            </w:r>
            <w:r w:rsidRPr="00BD5845">
              <w:t xml:space="preserve"> Barrier Observation Period</w:t>
            </w:r>
            <w:r w:rsidRPr="00792D61">
              <w:rPr>
                <w:b/>
              </w:rPr>
              <w:t>]</w:t>
            </w:r>
            <w:r w:rsidRPr="00BD5845">
              <w:t xml:space="preserve"> (</w:t>
            </w:r>
            <w:r w:rsidRPr="008851E8">
              <w:rPr>
                <w:i/>
              </w:rPr>
              <w:t>N</w:t>
            </w:r>
            <w:r w:rsidRPr="00BD5845">
              <w:t xml:space="preserve">), and (y) the sum of Reference Rate 1 on the Interest Determination Date </w:t>
            </w:r>
            <w:r w:rsidRPr="006E7651">
              <w:t>(</w:t>
            </w:r>
            <w:r w:rsidRPr="006E7651">
              <w:rPr>
                <w:i/>
              </w:rPr>
              <w:t>RR1/</w:t>
            </w:r>
            <w:r w:rsidRPr="00792D61">
              <w:rPr>
                <w:b/>
                <w:i/>
              </w:rPr>
              <w:t>[</w:t>
            </w:r>
            <w:r w:rsidRPr="006E7651">
              <w:rPr>
                <w:i/>
              </w:rPr>
              <w:t>t</w:t>
            </w:r>
            <w:r w:rsidRPr="00792D61">
              <w:rPr>
                <w:b/>
                <w:i/>
              </w:rPr>
              <w:t>]</w:t>
            </w:r>
            <w:r w:rsidRPr="006E7651">
              <w:t>)</w:t>
            </w:r>
            <w:r w:rsidRPr="00BD5845">
              <w:t xml:space="preserve"> </w:t>
            </w:r>
            <w:r w:rsidRPr="00792D61">
              <w:rPr>
                <w:b/>
              </w:rPr>
              <w:t>[</w:t>
            </w:r>
            <w:r w:rsidRPr="00BD5845">
              <w:t>applicable to such Interest Payment Date (</w:t>
            </w:r>
            <w:r w:rsidRPr="008851E8">
              <w:rPr>
                <w:i/>
              </w:rPr>
              <w:t>t</w:t>
            </w:r>
            <w:r w:rsidRPr="00BD5845">
              <w:t>)</w:t>
            </w:r>
            <w:r w:rsidRPr="00792D61">
              <w:rPr>
                <w:b/>
              </w:rPr>
              <w:t>]</w:t>
            </w:r>
            <w:r w:rsidRPr="00BD5845">
              <w:t xml:space="preserve"> and </w:t>
            </w:r>
            <w:r w:rsidRPr="00792D61">
              <w:rPr>
                <w:b/>
              </w:rPr>
              <w:t>[</w:t>
            </w:r>
            <w:r w:rsidRPr="00BD5845">
              <w:rPr>
                <w:rFonts w:ascii="Arial" w:hAnsi="Arial" w:cs="Arial"/>
              </w:rPr>
              <w:t>●</w:t>
            </w:r>
            <w:r w:rsidRPr="00792D61">
              <w:rPr>
                <w:b/>
              </w:rPr>
              <w:t>]</w:t>
            </w:r>
            <w:r w:rsidRPr="00BD5845">
              <w:t>% per annum, calculated in accordance with the following formula:</w:t>
            </w:r>
          </w:p>
        </w:tc>
        <w:tc>
          <w:tcPr>
            <w:tcW w:w="1618" w:type="dxa"/>
            <w:gridSpan w:val="2"/>
            <w:tcBorders>
              <w:top w:val="nil"/>
              <w:bottom w:val="nil"/>
              <w:right w:val="nil"/>
            </w:tcBorders>
            <w:shd w:val="clear" w:color="auto" w:fill="auto"/>
          </w:tcPr>
          <w:p w:rsidR="0017135D" w:rsidRPr="00CC580A" w:rsidP="001812A4">
            <w:pPr>
              <w:pStyle w:val="CSBody8pt"/>
              <w:rPr>
                <w:i/>
              </w:rPr>
            </w:pPr>
          </w:p>
        </w:tc>
        <w:tc>
          <w:tcPr>
            <w:tcW w:w="3318" w:type="dxa"/>
            <w:gridSpan w:val="10"/>
            <w:tcBorders>
              <w:top w:val="nil"/>
              <w:left w:val="nil"/>
              <w:bottom w:val="nil"/>
              <w:right w:val="nil"/>
            </w:tcBorders>
            <w:shd w:val="clear" w:color="auto" w:fill="auto"/>
          </w:tcPr>
          <w:p w:rsidR="0017135D" w:rsidRPr="00CC580A" w:rsidP="006E7651">
            <w:pPr>
              <w:pStyle w:val="CSBody8pt"/>
              <w:rPr>
                <w:lang w:val="de-DE"/>
              </w:rPr>
            </w:pPr>
            <w:r w:rsidRPr="00792D61">
              <w:rPr>
                <w:b/>
                <w:lang w:val="de-DE"/>
              </w:rPr>
              <w:t>[</w:t>
            </w:r>
            <w:r w:rsidRPr="00CC580A">
              <w:rPr>
                <w:lang w:val="de-DE"/>
              </w:rPr>
              <w:t>in Bezug auf einen Zinszahlungstag (</w:t>
            </w:r>
            <w:r w:rsidRPr="00116653">
              <w:rPr>
                <w:i/>
                <w:lang w:val="de-DE"/>
              </w:rPr>
              <w:t>t</w:t>
            </w:r>
            <w:r w:rsidRPr="00CC580A">
              <w:rPr>
                <w:lang w:val="de-DE"/>
              </w:rPr>
              <w:t>)</w:t>
            </w:r>
            <w:r w:rsidRPr="00792D61">
              <w:rPr>
                <w:b/>
                <w:lang w:val="de-DE"/>
              </w:rPr>
              <w:t>]</w:t>
            </w:r>
            <w:r w:rsidRPr="00CC580A">
              <w:rPr>
                <w:lang w:val="de-DE"/>
              </w:rPr>
              <w:t xml:space="preserve"> ein Satz per annum in Höhe des jeweils grösseren der folgenden Beträge: (i) null (0) und (ii) das Produkt aus (x) der Anzahl der Barriere-Beobachtungstage </w:t>
            </w:r>
            <w:r w:rsidRPr="00792D61">
              <w:rPr>
                <w:b/>
                <w:lang w:val="de-DE"/>
              </w:rPr>
              <w:t>[</w:t>
            </w:r>
            <w:r w:rsidRPr="00CC580A">
              <w:rPr>
                <w:lang w:val="de-DE"/>
              </w:rPr>
              <w:t xml:space="preserve">während des </w:t>
            </w:r>
            <w:r w:rsidRPr="00792D61">
              <w:rPr>
                <w:b/>
                <w:lang w:val="de-DE"/>
              </w:rPr>
              <w:t>[</w:t>
            </w:r>
            <w:r w:rsidRPr="00CC580A">
              <w:rPr>
                <w:lang w:val="de-DE"/>
              </w:rPr>
              <w:t>jeweiligen</w:t>
            </w:r>
            <w:r w:rsidRPr="00792D61">
              <w:rPr>
                <w:b/>
                <w:lang w:val="de-DE"/>
              </w:rPr>
              <w:t>]</w:t>
            </w:r>
            <w:r w:rsidRPr="00CC580A">
              <w:rPr>
                <w:lang w:val="de-DE"/>
              </w:rPr>
              <w:t xml:space="preserve"> Barriere-Beobachtungszeitraums</w:t>
            </w:r>
            <w:r w:rsidRPr="00792D61">
              <w:rPr>
                <w:b/>
                <w:lang w:val="de-DE"/>
              </w:rPr>
              <w:t>]</w:t>
            </w:r>
            <w:r w:rsidRPr="00CC580A">
              <w:rPr>
                <w:lang w:val="de-DE"/>
              </w:rPr>
              <w:t xml:space="preserve">, an dem </w:t>
            </w:r>
            <w:r w:rsidRPr="00792D61">
              <w:rPr>
                <w:b/>
                <w:lang w:val="de-DE"/>
              </w:rPr>
              <w:t>[</w:t>
            </w:r>
            <w:r w:rsidRPr="00CC580A">
              <w:rPr>
                <w:lang w:val="de-DE"/>
              </w:rPr>
              <w:t>kein Barriereereignis eingetreten ist</w:t>
            </w:r>
            <w:r w:rsidRPr="00792D61">
              <w:rPr>
                <w:b/>
                <w:lang w:val="de-DE"/>
              </w:rPr>
              <w:t>][</w:t>
            </w:r>
            <w:r w:rsidRPr="00CC580A">
              <w:rPr>
                <w:lang w:val="de-DE"/>
              </w:rPr>
              <w:t>weder ein Oberes Barriereereignis noch ein Unteres Barriereereignis eingetreten ist</w:t>
            </w:r>
            <w:r w:rsidRPr="00792D61">
              <w:rPr>
                <w:b/>
                <w:lang w:val="de-DE"/>
              </w:rPr>
              <w:t>]</w:t>
            </w:r>
            <w:r w:rsidRPr="00CC580A">
              <w:rPr>
                <w:lang w:val="de-DE"/>
              </w:rPr>
              <w:t xml:space="preserve"> (</w:t>
            </w:r>
            <w:r w:rsidRPr="008851E8">
              <w:rPr>
                <w:i/>
                <w:lang w:val="de-DE"/>
              </w:rPr>
              <w:t>n</w:t>
            </w:r>
            <w:r w:rsidRPr="00CC580A">
              <w:rPr>
                <w:lang w:val="de-DE"/>
              </w:rPr>
              <w:t xml:space="preserve">), dividiert durch die Gesamtzahl der Barriere-Beobachtungstage </w:t>
            </w:r>
            <w:r w:rsidRPr="00792D61">
              <w:rPr>
                <w:b/>
                <w:lang w:val="de-DE"/>
              </w:rPr>
              <w:t>[</w:t>
            </w:r>
            <w:r w:rsidRPr="00CC580A">
              <w:rPr>
                <w:lang w:val="de-DE"/>
              </w:rPr>
              <w:t xml:space="preserve">während des </w:t>
            </w:r>
            <w:r w:rsidRPr="00792D61">
              <w:rPr>
                <w:b/>
                <w:lang w:val="de-DE"/>
              </w:rPr>
              <w:t>[</w:t>
            </w:r>
            <w:r w:rsidRPr="00CC580A">
              <w:rPr>
                <w:lang w:val="de-DE"/>
              </w:rPr>
              <w:t>jeweiligen</w:t>
            </w:r>
            <w:r w:rsidRPr="00792D61">
              <w:rPr>
                <w:b/>
                <w:lang w:val="de-DE"/>
              </w:rPr>
              <w:t>]</w:t>
            </w:r>
            <w:r w:rsidRPr="00CC580A">
              <w:rPr>
                <w:lang w:val="de-DE"/>
              </w:rPr>
              <w:t xml:space="preserve"> Barriere-Beobachtungszeitraums</w:t>
            </w:r>
            <w:r w:rsidRPr="00792D61">
              <w:rPr>
                <w:b/>
                <w:lang w:val="de-DE"/>
              </w:rPr>
              <w:t>]</w:t>
            </w:r>
            <w:r w:rsidRPr="00CC580A">
              <w:rPr>
                <w:lang w:val="de-DE"/>
              </w:rPr>
              <w:t xml:space="preserve"> (</w:t>
            </w:r>
            <w:r w:rsidRPr="00116653">
              <w:rPr>
                <w:i/>
                <w:lang w:val="de-DE"/>
              </w:rPr>
              <w:t>N</w:t>
            </w:r>
            <w:r w:rsidRPr="00CC580A">
              <w:rPr>
                <w:lang w:val="de-DE"/>
              </w:rPr>
              <w:t xml:space="preserve">), multipliziert mit (y) der Summe des Referenzsatzes 1 (an dem </w:t>
            </w:r>
            <w:r w:rsidRPr="00792D61">
              <w:rPr>
                <w:b/>
                <w:lang w:val="de-DE"/>
              </w:rPr>
              <w:t>[</w:t>
            </w:r>
            <w:r w:rsidRPr="00CC580A">
              <w:rPr>
                <w:lang w:val="de-DE"/>
              </w:rPr>
              <w:t>für diesen Zinszahlungstag (</w:t>
            </w:r>
            <w:r w:rsidRPr="00116653">
              <w:rPr>
                <w:i/>
                <w:lang w:val="de-DE"/>
              </w:rPr>
              <w:t>t</w:t>
            </w:r>
            <w:r w:rsidRPr="00CC580A">
              <w:rPr>
                <w:lang w:val="de-DE"/>
              </w:rPr>
              <w:t>) geltenden</w:t>
            </w:r>
            <w:r w:rsidRPr="00792D61">
              <w:rPr>
                <w:b/>
                <w:lang w:val="de-DE"/>
              </w:rPr>
              <w:t>]</w:t>
            </w:r>
            <w:r w:rsidRPr="00CC580A">
              <w:rPr>
                <w:lang w:val="de-DE"/>
              </w:rPr>
              <w:t xml:space="preserve"> Zinsfeststellungstag (</w:t>
            </w:r>
            <w:r w:rsidRPr="008851E8">
              <w:rPr>
                <w:i/>
                <w:lang w:val="de-DE"/>
              </w:rPr>
              <w:t>RR1/</w:t>
            </w:r>
            <w:r w:rsidRPr="00792D61">
              <w:rPr>
                <w:b/>
                <w:i/>
                <w:lang w:val="de-DE"/>
              </w:rPr>
              <w:t>[</w:t>
            </w:r>
            <w:r w:rsidRPr="008851E8">
              <w:rPr>
                <w:i/>
                <w:lang w:val="de-DE"/>
              </w:rPr>
              <w:t>t</w:t>
            </w:r>
            <w:r w:rsidRPr="00792D61">
              <w:rPr>
                <w:b/>
                <w:i/>
                <w:lang w:val="de-DE"/>
              </w:rPr>
              <w:t>]</w:t>
            </w:r>
            <w:r w:rsidRPr="00CC580A">
              <w:rPr>
                <w:lang w:val="de-DE"/>
              </w:rPr>
              <w:t xml:space="preserve">) und </w:t>
            </w:r>
            <w:r w:rsidRPr="00792D61">
              <w:rPr>
                <w:b/>
                <w:lang w:val="de-DE"/>
              </w:rPr>
              <w:t>[</w:t>
            </w:r>
            <w:r w:rsidRPr="00CC580A">
              <w:rPr>
                <w:rFonts w:ascii="Arial" w:hAnsi="Arial" w:cs="Arial"/>
                <w:lang w:val="de-DE"/>
              </w:rPr>
              <w:t>●</w:t>
            </w:r>
            <w:r w:rsidRPr="00792D61">
              <w:rPr>
                <w:b/>
                <w:lang w:val="de-DE"/>
              </w:rPr>
              <w:t>]</w:t>
            </w:r>
            <w:r w:rsidRPr="00CC580A">
              <w:rPr>
                <w:lang w:val="de-DE"/>
              </w:rPr>
              <w:t>% per annum, der nach der folgenden Formel berechnet wird: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A457E7">
            <w:pPr>
              <w:pStyle w:val="CSBody0"/>
              <w:rPr>
                <w:b/>
                <w:lang w:val="de-DE"/>
              </w:rPr>
            </w:pPr>
          </w:p>
        </w:tc>
        <w:tc>
          <w:tcPr>
            <w:tcW w:w="3315" w:type="dxa"/>
            <w:gridSpan w:val="7"/>
            <w:tcBorders>
              <w:top w:val="nil"/>
              <w:left w:val="nil"/>
              <w:bottom w:val="nil"/>
            </w:tcBorders>
            <w:shd w:val="clear" w:color="auto" w:fill="auto"/>
          </w:tcPr>
          <w:p w:rsidR="0017135D" w:rsidRPr="001812A4" w:rsidP="001812A4">
            <w:pPr>
              <w:spacing w:before="120" w:after="120"/>
              <w:jc w:val="center"/>
              <w:rPr>
                <w:sz w:val="14"/>
                <w:szCs w:val="14"/>
                <w:lang w:val="de-DE"/>
              </w:rP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lang w:val="de-DE"/>
                    </w:rPr>
                    <m:t>0;</m:t>
                  </m:r>
                  <m:f>
                    <m:fPr>
                      <m:type m:val="skw"/>
                      <m:ctrlPr>
                        <w:rPr>
                          <w:rFonts w:ascii="Cambria Math" w:hAnsi="Cambria Math"/>
                          <w:i/>
                          <w:sz w:val="14"/>
                          <w:szCs w:val="14"/>
                        </w:rPr>
                      </m:ctrlPr>
                    </m:fPr>
                    <m:num>
                      <m:r>
                        <w:rPr>
                          <w:rFonts w:ascii="Cambria Math" w:hAnsi="Cambria Math"/>
                          <w:sz w:val="14"/>
                          <w:szCs w:val="14"/>
                        </w:rPr>
                        <m:t>n</m:t>
                      </m:r>
                    </m:num>
                    <m:den>
                      <m:r>
                        <w:rPr>
                          <w:rFonts w:ascii="Cambria Math" w:hAnsi="Cambria Math"/>
                          <w:sz w:val="14"/>
                          <w:szCs w:val="14"/>
                        </w:rPr>
                        <m:t>N</m:t>
                      </m:r>
                    </m:den>
                  </m:f>
                  <m:r>
                    <w:rPr>
                      <w:rFonts w:ascii="Cambria Math" w:hAnsi="Cambria Math"/>
                      <w:sz w:val="14"/>
                      <w:szCs w:val="14"/>
                      <w:lang w:val="de-DE"/>
                    </w:rPr>
                    <m:t>×</m:t>
                  </m:r>
                  <m:d>
                    <m:dPr>
                      <m:ctrlPr>
                        <w:rPr>
                          <w:rFonts w:ascii="Cambria Math" w:hAnsi="Cambria Math"/>
                          <w:i/>
                          <w:sz w:val="14"/>
                          <w:szCs w:val="14"/>
                        </w:rPr>
                      </m:ctrlPr>
                    </m:dPr>
                    <m:e>
                      <m:sSubSup>
                        <m:sSubSupPr>
                          <m:ctrlPr>
                            <w:rPr>
                              <w:rFonts w:ascii="Cambria Math" w:hAnsi="Cambria Math"/>
                              <w:i/>
                              <w:sz w:val="14"/>
                              <w:szCs w:val="14"/>
                            </w:rPr>
                          </m:ctrlPr>
                        </m:sSubSupPr>
                        <m:e>
                          <m:r>
                            <w:rPr>
                              <w:rFonts w:ascii="Cambria Math" w:hAnsi="Cambria Math"/>
                              <w:sz w:val="14"/>
                              <w:szCs w:val="14"/>
                            </w:rPr>
                            <m:t>RR</m:t>
                          </m:r>
                        </m:e>
                        <m:sub>
                          <m:d>
                            <m:dPr>
                              <m:begChr m:val="["/>
                              <m:endChr m:val="]"/>
                              <m:ctrlPr>
                                <w:rPr>
                                  <w:rFonts w:ascii="Cambria Math" w:hAnsi="Cambria Math"/>
                                  <w:i/>
                                  <w:sz w:val="14"/>
                                  <w:szCs w:val="14"/>
                                </w:rPr>
                              </m:ctrlPr>
                            </m:dPr>
                            <m:e>
                              <m:r>
                                <w:rPr>
                                  <w:rFonts w:ascii="Cambria Math" w:hAnsi="Cambria Math"/>
                                  <w:sz w:val="14"/>
                                  <w:szCs w:val="14"/>
                                </w:rPr>
                                <m:t>t</m:t>
                              </m:r>
                            </m:e>
                          </m:d>
                        </m:sub>
                        <m:sup>
                          <m:r>
                            <w:rPr>
                              <w:rFonts w:ascii="Cambria Math" w:hAnsi="Cambria Math"/>
                              <w:sz w:val="14"/>
                              <w:szCs w:val="14"/>
                              <w:lang w:val="de-DE"/>
                            </w:rPr>
                            <m:t>1</m:t>
                          </m:r>
                        </m:sup>
                      </m:sSubSup>
                      <m:r>
                        <w:rPr>
                          <w:rFonts w:ascii="Cambria Math" w:hAnsi="Cambria Math"/>
                          <w:sz w:val="14"/>
                          <w:szCs w:val="14"/>
                          <w:lang w:val="de-DE"/>
                        </w:rPr>
                        <m:t>+</m:t>
                      </m:r>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lang w:val="de-DE"/>
                        </w:rPr>
                        <m:t>%</m:t>
                      </m:r>
                      <m:r>
                        <w:rPr>
                          <w:rFonts w:ascii="Cambria Math" w:hAnsi="Cambria Math"/>
                          <w:sz w:val="14"/>
                          <w:szCs w:val="14"/>
                        </w:rPr>
                        <m:t>p</m:t>
                      </m:r>
                      <m:r>
                        <w:rPr>
                          <w:rFonts w:ascii="Cambria Math" w:hAnsi="Cambria Math"/>
                          <w:sz w:val="14"/>
                          <w:szCs w:val="14"/>
                          <w:lang w:val="de-DE"/>
                        </w:rPr>
                        <m:t>.</m:t>
                      </m:r>
                      <m:r>
                        <w:rPr>
                          <w:rFonts w:ascii="Cambria Math" w:hAnsi="Cambria Math"/>
                          <w:sz w:val="14"/>
                          <w:szCs w:val="14"/>
                        </w:rPr>
                        <m:t>a</m:t>
                      </m:r>
                      <m:r>
                        <w:rPr>
                          <w:rFonts w:ascii="Cambria Math" w:hAnsi="Cambria Math"/>
                          <w:sz w:val="14"/>
                          <w:szCs w:val="14"/>
                          <w:lang w:val="de-DE"/>
                        </w:rPr>
                        <m:t>.</m:t>
                      </m:r>
                    </m:e>
                  </m:d>
                </m:e>
              </m:d>
            </m:oMath>
            <w:r w:rsidRPr="001812A4">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CC580A"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1812A4" w:rsidP="001812A4">
            <w:pPr>
              <w:spacing w:before="120" w:after="120"/>
              <w:jc w:val="center"/>
              <w:rPr>
                <w:sz w:val="14"/>
                <w:szCs w:val="14"/>
                <w:lang w:val="de-DE"/>
              </w:rP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lang w:val="de-DE"/>
                    </w:rPr>
                    <m:t>0;</m:t>
                  </m:r>
                  <m:f>
                    <m:fPr>
                      <m:type m:val="skw"/>
                      <m:ctrlPr>
                        <w:rPr>
                          <w:rFonts w:ascii="Cambria Math" w:hAnsi="Cambria Math"/>
                          <w:i/>
                          <w:sz w:val="14"/>
                          <w:szCs w:val="14"/>
                        </w:rPr>
                      </m:ctrlPr>
                    </m:fPr>
                    <m:num>
                      <m:r>
                        <w:rPr>
                          <w:rFonts w:ascii="Cambria Math" w:hAnsi="Cambria Math"/>
                          <w:sz w:val="14"/>
                          <w:szCs w:val="14"/>
                        </w:rPr>
                        <m:t>n</m:t>
                      </m:r>
                    </m:num>
                    <m:den>
                      <m:r>
                        <w:rPr>
                          <w:rFonts w:ascii="Cambria Math" w:hAnsi="Cambria Math"/>
                          <w:sz w:val="14"/>
                          <w:szCs w:val="14"/>
                        </w:rPr>
                        <m:t>N</m:t>
                      </m:r>
                    </m:den>
                  </m:f>
                  <m:r>
                    <w:rPr>
                      <w:rFonts w:ascii="Cambria Math" w:hAnsi="Cambria Math"/>
                      <w:sz w:val="14"/>
                      <w:szCs w:val="14"/>
                      <w:lang w:val="de-DE"/>
                    </w:rPr>
                    <m:t>×</m:t>
                  </m:r>
                  <m:d>
                    <m:dPr>
                      <m:ctrlPr>
                        <w:rPr>
                          <w:rFonts w:ascii="Cambria Math" w:hAnsi="Cambria Math"/>
                          <w:i/>
                          <w:sz w:val="14"/>
                          <w:szCs w:val="14"/>
                        </w:rPr>
                      </m:ctrlPr>
                    </m:dPr>
                    <m:e>
                      <m:sSubSup>
                        <m:sSubSupPr>
                          <m:ctrlPr>
                            <w:rPr>
                              <w:rFonts w:ascii="Cambria Math" w:hAnsi="Cambria Math"/>
                              <w:i/>
                              <w:sz w:val="14"/>
                              <w:szCs w:val="14"/>
                            </w:rPr>
                          </m:ctrlPr>
                        </m:sSubSupPr>
                        <m:e>
                          <m:r>
                            <w:rPr>
                              <w:rFonts w:ascii="Cambria Math" w:hAnsi="Cambria Math"/>
                              <w:sz w:val="14"/>
                              <w:szCs w:val="14"/>
                            </w:rPr>
                            <m:t>RR</m:t>
                          </m:r>
                        </m:e>
                        <m:sub>
                          <m:d>
                            <m:dPr>
                              <m:begChr m:val="["/>
                              <m:endChr m:val="]"/>
                              <m:ctrlPr>
                                <w:rPr>
                                  <w:rFonts w:ascii="Cambria Math" w:hAnsi="Cambria Math"/>
                                  <w:i/>
                                  <w:sz w:val="14"/>
                                  <w:szCs w:val="14"/>
                                </w:rPr>
                              </m:ctrlPr>
                            </m:dPr>
                            <m:e>
                              <m:r>
                                <w:rPr>
                                  <w:rFonts w:ascii="Cambria Math" w:hAnsi="Cambria Math"/>
                                  <w:sz w:val="14"/>
                                  <w:szCs w:val="14"/>
                                </w:rPr>
                                <m:t>t</m:t>
                              </m:r>
                            </m:e>
                          </m:d>
                        </m:sub>
                        <m:sup>
                          <m:r>
                            <w:rPr>
                              <w:rFonts w:ascii="Cambria Math" w:hAnsi="Cambria Math"/>
                              <w:sz w:val="14"/>
                              <w:szCs w:val="14"/>
                              <w:lang w:val="de-DE"/>
                            </w:rPr>
                            <m:t>1</m:t>
                          </m:r>
                        </m:sup>
                      </m:sSubSup>
                      <m:r>
                        <w:rPr>
                          <w:rFonts w:ascii="Cambria Math" w:hAnsi="Cambria Math"/>
                          <w:sz w:val="14"/>
                          <w:szCs w:val="14"/>
                          <w:lang w:val="de-DE"/>
                        </w:rPr>
                        <m:t>+</m:t>
                      </m:r>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lang w:val="de-DE"/>
                        </w:rPr>
                        <m:t>%</m:t>
                      </m:r>
                      <m:r>
                        <w:rPr>
                          <w:rFonts w:ascii="Cambria Math" w:hAnsi="Cambria Math"/>
                          <w:sz w:val="14"/>
                          <w:szCs w:val="14"/>
                        </w:rPr>
                        <m:t>p</m:t>
                      </m:r>
                      <m:r>
                        <w:rPr>
                          <w:rFonts w:ascii="Cambria Math" w:hAnsi="Cambria Math"/>
                          <w:sz w:val="14"/>
                          <w:szCs w:val="14"/>
                          <w:lang w:val="de-DE"/>
                        </w:rPr>
                        <m:t>.</m:t>
                      </m:r>
                      <m:r>
                        <w:rPr>
                          <w:rFonts w:ascii="Cambria Math" w:hAnsi="Cambria Math"/>
                          <w:sz w:val="14"/>
                          <w:szCs w:val="14"/>
                        </w:rPr>
                        <m:t>a</m:t>
                      </m:r>
                      <m:r>
                        <w:rPr>
                          <w:rFonts w:ascii="Cambria Math" w:hAnsi="Cambria Math"/>
                          <w:sz w:val="14"/>
                          <w:szCs w:val="14"/>
                          <w:lang w:val="de-DE"/>
                        </w:rPr>
                        <m:t>.</m:t>
                      </m:r>
                    </m:e>
                  </m:d>
                </m:e>
              </m:d>
            </m:oMath>
            <w:r w:rsidRPr="001812A4">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1812A4">
            <w:pPr>
              <w:pStyle w:val="CSBody8ptbolditalics"/>
              <w:rPr>
                <w:lang w:val="de-DE"/>
              </w:rPr>
            </w:pPr>
          </w:p>
        </w:tc>
        <w:tc>
          <w:tcPr>
            <w:tcW w:w="3315" w:type="dxa"/>
            <w:gridSpan w:val="7"/>
            <w:tcBorders>
              <w:top w:val="nil"/>
              <w:left w:val="nil"/>
              <w:bottom w:val="nil"/>
            </w:tcBorders>
            <w:shd w:val="clear" w:color="auto" w:fill="auto"/>
          </w:tcPr>
          <w:p w:rsidR="0017135D" w:rsidRPr="001C5E40" w:rsidP="001812A4">
            <w:pPr>
              <w:pStyle w:val="CSBody8ptbolditalics"/>
            </w:pPr>
            <w:r w:rsidRPr="00792D61">
              <w:t>[</w:t>
            </w:r>
            <w:r w:rsidRPr="001C5E40">
              <w:t>in the case of Step Up Notes, insert:</w:t>
            </w:r>
          </w:p>
        </w:tc>
        <w:tc>
          <w:tcPr>
            <w:tcW w:w="1618" w:type="dxa"/>
            <w:gridSpan w:val="2"/>
            <w:tcBorders>
              <w:top w:val="nil"/>
              <w:bottom w:val="nil"/>
              <w:right w:val="nil"/>
            </w:tcBorders>
            <w:shd w:val="clear" w:color="auto" w:fill="auto"/>
          </w:tcPr>
          <w:p w:rsidR="0017135D" w:rsidRPr="00CC580A" w:rsidP="001812A4">
            <w:pPr>
              <w:pStyle w:val="CSBody8ptbolditalics"/>
            </w:pPr>
          </w:p>
        </w:tc>
        <w:tc>
          <w:tcPr>
            <w:tcW w:w="3318" w:type="dxa"/>
            <w:gridSpan w:val="10"/>
            <w:tcBorders>
              <w:top w:val="nil"/>
              <w:left w:val="nil"/>
              <w:bottom w:val="nil"/>
              <w:right w:val="nil"/>
            </w:tcBorders>
            <w:shd w:val="clear" w:color="auto" w:fill="auto"/>
          </w:tcPr>
          <w:p w:rsidR="0017135D" w:rsidRPr="00CC580A" w:rsidP="001812A4">
            <w:pPr>
              <w:pStyle w:val="CSBody8ptbolditalics"/>
              <w:rPr>
                <w:lang w:val="de-DE"/>
              </w:rPr>
            </w:pPr>
            <w:r w:rsidRPr="00792D61">
              <w:rPr>
                <w:lang w:val="de-DE"/>
              </w:rPr>
              <w:t>[</w:t>
            </w:r>
            <w:r w:rsidRPr="00CC580A">
              <w:rPr>
                <w:lang w:val="de-DE"/>
              </w:rPr>
              <w:t>bei Step Up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1812A4">
            <w:pPr>
              <w:pStyle w:val="CSBody8pt"/>
              <w:rPr>
                <w:lang w:val="de-DE"/>
              </w:rPr>
            </w:pPr>
          </w:p>
        </w:tc>
        <w:tc>
          <w:tcPr>
            <w:tcW w:w="3315" w:type="dxa"/>
            <w:gridSpan w:val="7"/>
            <w:tcBorders>
              <w:top w:val="nil"/>
              <w:left w:val="nil"/>
              <w:bottom w:val="nil"/>
            </w:tcBorders>
            <w:shd w:val="clear" w:color="auto" w:fill="auto"/>
          </w:tcPr>
          <w:p w:rsidR="0017135D" w:rsidP="001812A4">
            <w:pPr>
              <w:pStyle w:val="CSBody8pt"/>
            </w:pPr>
            <w:r w:rsidRPr="001C5E40">
              <w:t>with respect to any Interest Payment Date, the relevant Interest Rate set forth in the table below:</w:t>
            </w:r>
          </w:p>
        </w:tc>
        <w:tc>
          <w:tcPr>
            <w:tcW w:w="1618" w:type="dxa"/>
            <w:gridSpan w:val="2"/>
            <w:tcBorders>
              <w:top w:val="nil"/>
              <w:bottom w:val="nil"/>
              <w:right w:val="nil"/>
            </w:tcBorders>
            <w:shd w:val="clear" w:color="auto" w:fill="auto"/>
          </w:tcPr>
          <w:p w:rsidR="0017135D" w:rsidRPr="00CC580A" w:rsidP="001812A4">
            <w:pPr>
              <w:pStyle w:val="CSBody8pt"/>
              <w:rPr>
                <w:i/>
              </w:rPr>
            </w:pPr>
          </w:p>
        </w:tc>
        <w:tc>
          <w:tcPr>
            <w:tcW w:w="3318" w:type="dxa"/>
            <w:gridSpan w:val="10"/>
            <w:tcBorders>
              <w:top w:val="nil"/>
              <w:left w:val="nil"/>
              <w:bottom w:val="nil"/>
              <w:right w:val="nil"/>
            </w:tcBorders>
            <w:shd w:val="clear" w:color="auto" w:fill="auto"/>
          </w:tcPr>
          <w:p w:rsidR="0017135D" w:rsidRPr="00CC580A" w:rsidP="001812A4">
            <w:pPr>
              <w:pStyle w:val="CSBody8pt"/>
              <w:rPr>
                <w:lang w:val="de-DE"/>
              </w:rPr>
            </w:pPr>
            <w:r w:rsidRPr="00CC580A">
              <w:rPr>
                <w:lang w:val="de-DE"/>
              </w:rPr>
              <w:t>in Bezug auf einen Zinszahlungstag der jeweilige Zinssatz wie in untenstehender Tabelle angegeben: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A457E7">
            <w:pPr>
              <w:pStyle w:val="CSBody0"/>
              <w:rPr>
                <w:b/>
                <w:lang w:val="de-DE"/>
              </w:rPr>
            </w:pPr>
          </w:p>
        </w:tc>
        <w:tc>
          <w:tcPr>
            <w:tcW w:w="3315" w:type="dxa"/>
            <w:gridSpan w:val="7"/>
            <w:tcBorders>
              <w:top w:val="nil"/>
              <w:left w:val="nil"/>
              <w:bottom w:val="nil"/>
              <w:right w:val="nil"/>
            </w:tcBorders>
            <w:shd w:val="clear" w:color="auto" w:fill="auto"/>
          </w:tcPr>
          <w:p w:rsidR="0017135D" w:rsidRPr="0015550F" w:rsidP="006B47D3">
            <w:pPr>
              <w:rPr>
                <w:lang w:val="de-DE"/>
              </w:rPr>
            </w:pPr>
          </w:p>
        </w:tc>
        <w:tc>
          <w:tcPr>
            <w:tcW w:w="1618" w:type="dxa"/>
            <w:gridSpan w:val="2"/>
            <w:tcBorders>
              <w:top w:val="nil"/>
              <w:left w:val="nil"/>
              <w:bottom w:val="nil"/>
              <w:right w:val="nil"/>
            </w:tcBorders>
            <w:shd w:val="clear" w:color="auto" w:fill="auto"/>
          </w:tcPr>
          <w:p w:rsidR="0017135D" w:rsidRPr="0015550F"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CC580A" w:rsidP="006B47D3">
            <w:pPr>
              <w:rPr>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CC580A" w:rsidP="001812A4">
            <w:pPr>
              <w:pStyle w:val="CSBody8pt"/>
              <w:rPr>
                <w:lang w:val="de-DE"/>
              </w:rPr>
            </w:pPr>
          </w:p>
        </w:tc>
        <w:tc>
          <w:tcPr>
            <w:tcW w:w="2126"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CD19F8" w:rsidP="001812A4">
            <w:pPr>
              <w:pStyle w:val="CSBody8pt"/>
            </w:pPr>
            <w:r w:rsidRPr="00CD19F8">
              <w:t xml:space="preserve">Interest Payment Date / </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2605E5" w:rsidP="001812A4">
            <w:pPr>
              <w:pStyle w:val="CSBody8pt"/>
            </w:pPr>
            <w:r w:rsidRPr="002605E5">
              <w:t>Interest Rate</w:t>
            </w:r>
          </w:p>
        </w:tc>
        <w:tc>
          <w:tcPr>
            <w:tcW w:w="2409"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2058B5" w:rsidP="001812A4">
            <w:pPr>
              <w:pStyle w:val="CSBody8pt"/>
            </w:pPr>
            <w:r w:rsidRPr="002058B5">
              <w:t xml:space="preserve">Zinszahlungstag </w:t>
            </w:r>
          </w:p>
        </w:tc>
        <w:tc>
          <w:tcPr>
            <w:tcW w:w="1842"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0D2073" w:rsidP="001812A4">
            <w:pPr>
              <w:pStyle w:val="CSBody8pt"/>
            </w:pPr>
            <w:r w:rsidRPr="000D2073">
              <w:t>Zinssatz</w:t>
            </w:r>
          </w:p>
        </w:tc>
        <w:tc>
          <w:tcPr>
            <w:tcW w:w="685" w:type="dxa"/>
            <w:gridSpan w:val="2"/>
            <w:tcBorders>
              <w:top w:val="nil"/>
              <w:left w:val="single" w:sz="4" w:space="0" w:color="auto"/>
              <w:bottom w:val="nil"/>
              <w:right w:val="nil"/>
            </w:tcBorders>
            <w:shd w:val="clear" w:color="auto" w:fill="auto"/>
          </w:tcPr>
          <w:p w:rsidR="0017135D" w:rsidRPr="00CC580A" w:rsidP="001812A4">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CC580A" w:rsidP="001812A4">
            <w:pPr>
              <w:pStyle w:val="CSBody8pt"/>
              <w:rPr>
                <w:lang w:val="de-DE"/>
              </w:rPr>
            </w:pPr>
          </w:p>
        </w:tc>
        <w:tc>
          <w:tcPr>
            <w:tcW w:w="2126"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CD19F8" w:rsidP="001812A4">
            <w:pPr>
              <w:pStyle w:val="CSBody8pt"/>
            </w:pPr>
            <w:r w:rsidRPr="00792D61">
              <w:rPr>
                <w:b/>
              </w:rPr>
              <w:t>[</w:t>
            </w:r>
            <w:r w:rsidRPr="00CD19F8">
              <w:rPr>
                <w:rFonts w:ascii="Arial" w:hAnsi="Arial" w:cs="Arial"/>
              </w:rPr>
              <w:t>●</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2605E5" w:rsidP="001812A4">
            <w:pPr>
              <w:pStyle w:val="CSBody8pt"/>
            </w:pPr>
            <w:r w:rsidRPr="00792D61">
              <w:rPr>
                <w:b/>
              </w:rPr>
              <w:t>[</w:t>
            </w:r>
            <w:r w:rsidRPr="002605E5">
              <w:rPr>
                <w:rFonts w:ascii="Arial" w:hAnsi="Arial" w:cs="Arial"/>
              </w:rPr>
              <w:t>●</w:t>
            </w:r>
            <w:r w:rsidRPr="00792D61">
              <w:rPr>
                <w:b/>
              </w:rPr>
              <w:t>]</w:t>
            </w:r>
            <w:r w:rsidRPr="002605E5">
              <w:t>% per annum</w:t>
            </w:r>
          </w:p>
        </w:tc>
        <w:tc>
          <w:tcPr>
            <w:tcW w:w="2409"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2058B5" w:rsidP="001812A4">
            <w:pPr>
              <w:pStyle w:val="CSBody8pt"/>
            </w:pPr>
            <w:r w:rsidRPr="00792D61">
              <w:rPr>
                <w:b/>
              </w:rPr>
              <w:t>[</w:t>
            </w:r>
            <w:r w:rsidRPr="002058B5">
              <w:rPr>
                <w:rFonts w:ascii="Arial" w:hAnsi="Arial" w:cs="Arial"/>
              </w:rPr>
              <w:t>●</w:t>
            </w:r>
            <w:r w:rsidRPr="00792D61">
              <w:rPr>
                <w:b/>
              </w:rPr>
              <w:t>]</w:t>
            </w:r>
            <w:r w:rsidRPr="002058B5">
              <w:t xml:space="preserve"> </w:t>
            </w:r>
          </w:p>
        </w:tc>
        <w:tc>
          <w:tcPr>
            <w:tcW w:w="1842"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0D2073" w:rsidP="001812A4">
            <w:pPr>
              <w:pStyle w:val="CSBody8pt"/>
            </w:pPr>
            <w:r w:rsidRPr="00792D61">
              <w:rPr>
                <w:b/>
              </w:rPr>
              <w:t>[</w:t>
            </w:r>
            <w:r w:rsidRPr="000D2073">
              <w:rPr>
                <w:rFonts w:ascii="Arial" w:hAnsi="Arial" w:cs="Arial"/>
              </w:rPr>
              <w:t>●</w:t>
            </w:r>
            <w:r w:rsidRPr="00792D61">
              <w:rPr>
                <w:b/>
              </w:rPr>
              <w:t>]</w:t>
            </w:r>
            <w:r w:rsidRPr="000D2073">
              <w:t>% per annum</w:t>
            </w:r>
          </w:p>
        </w:tc>
        <w:tc>
          <w:tcPr>
            <w:tcW w:w="685" w:type="dxa"/>
            <w:gridSpan w:val="2"/>
            <w:tcBorders>
              <w:top w:val="nil"/>
              <w:left w:val="single" w:sz="4" w:space="0" w:color="auto"/>
              <w:bottom w:val="nil"/>
              <w:right w:val="nil"/>
            </w:tcBorders>
            <w:shd w:val="clear" w:color="auto" w:fill="auto"/>
          </w:tcPr>
          <w:p w:rsidR="0017135D" w:rsidRPr="00CC580A" w:rsidP="001812A4">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CC580A" w:rsidP="001812A4">
            <w:pPr>
              <w:pStyle w:val="CSBody8pt"/>
              <w:rPr>
                <w:lang w:val="de-DE"/>
              </w:rPr>
            </w:pPr>
          </w:p>
        </w:tc>
        <w:tc>
          <w:tcPr>
            <w:tcW w:w="2126"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1812A4">
            <w:pPr>
              <w:pStyle w:val="CSBody8pt"/>
            </w:pPr>
            <w:r w:rsidRPr="00792D61">
              <w:rPr>
                <w:b/>
              </w:rPr>
              <w:t>[</w:t>
            </w:r>
            <w:r w:rsidRPr="00CD19F8">
              <w:rPr>
                <w:rFonts w:ascii="Arial" w:hAnsi="Arial" w:cs="Arial"/>
              </w:rPr>
              <w:t>●</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P="001812A4">
            <w:pPr>
              <w:pStyle w:val="CSBody8pt"/>
            </w:pPr>
            <w:r w:rsidRPr="00792D61">
              <w:rPr>
                <w:b/>
              </w:rPr>
              <w:t>[</w:t>
            </w:r>
            <w:r w:rsidRPr="002605E5">
              <w:rPr>
                <w:rFonts w:ascii="Arial" w:hAnsi="Arial" w:cs="Arial"/>
              </w:rPr>
              <w:t>●</w:t>
            </w:r>
            <w:r w:rsidRPr="00792D61">
              <w:rPr>
                <w:b/>
              </w:rPr>
              <w:t>]</w:t>
            </w:r>
            <w:r w:rsidRPr="002605E5">
              <w:t>% per annum</w:t>
            </w:r>
          </w:p>
        </w:tc>
        <w:tc>
          <w:tcPr>
            <w:tcW w:w="2409"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1812A4">
            <w:pPr>
              <w:pStyle w:val="CSBody8pt"/>
            </w:pPr>
            <w:r w:rsidRPr="00792D61">
              <w:rPr>
                <w:b/>
              </w:rPr>
              <w:t>[</w:t>
            </w:r>
            <w:r w:rsidRPr="002058B5">
              <w:rPr>
                <w:rFonts w:ascii="Arial" w:hAnsi="Arial" w:cs="Arial"/>
              </w:rPr>
              <w:t>●</w:t>
            </w:r>
            <w:r w:rsidRPr="00792D61">
              <w:rPr>
                <w:b/>
              </w:rPr>
              <w:t>]</w:t>
            </w:r>
            <w:r w:rsidRPr="002058B5">
              <w:t xml:space="preserve"> </w:t>
            </w:r>
          </w:p>
        </w:tc>
        <w:tc>
          <w:tcPr>
            <w:tcW w:w="1842"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1812A4">
            <w:pPr>
              <w:pStyle w:val="CSBody8pt"/>
            </w:pPr>
            <w:r w:rsidRPr="00792D61">
              <w:rPr>
                <w:b/>
              </w:rPr>
              <w:t>[</w:t>
            </w:r>
            <w:r w:rsidRPr="000D2073">
              <w:rPr>
                <w:rFonts w:ascii="Arial" w:hAnsi="Arial" w:cs="Arial"/>
              </w:rPr>
              <w:t>●</w:t>
            </w:r>
            <w:r w:rsidRPr="00792D61">
              <w:rPr>
                <w:b/>
              </w:rPr>
              <w:t>]</w:t>
            </w:r>
            <w:r w:rsidRPr="000D2073">
              <w:t>% per annum</w:t>
            </w:r>
          </w:p>
        </w:tc>
        <w:tc>
          <w:tcPr>
            <w:tcW w:w="685" w:type="dxa"/>
            <w:gridSpan w:val="2"/>
            <w:tcBorders>
              <w:top w:val="nil"/>
              <w:left w:val="single" w:sz="4" w:space="0" w:color="auto"/>
              <w:bottom w:val="nil"/>
              <w:right w:val="nil"/>
            </w:tcBorders>
            <w:shd w:val="clear" w:color="auto" w:fill="auto"/>
          </w:tcPr>
          <w:p w:rsidR="0017135D" w:rsidRPr="00CC580A" w:rsidP="001812A4">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CC580A" w:rsidP="001812A4">
            <w:pPr>
              <w:pStyle w:val="CSBody8pt"/>
              <w:rPr>
                <w:lang w:val="de-DE"/>
              </w:rPr>
            </w:pPr>
          </w:p>
        </w:tc>
        <w:tc>
          <w:tcPr>
            <w:tcW w:w="4251"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897AD4" w:rsidP="001812A4">
            <w:pPr>
              <w:pStyle w:val="CSBody8pt"/>
            </w:pPr>
            <w:r w:rsidRPr="00897AD4">
              <w:t xml:space="preserve">(repeat as applicable) </w:t>
            </w:r>
          </w:p>
        </w:tc>
        <w:tc>
          <w:tcPr>
            <w:tcW w:w="4251" w:type="dxa"/>
            <w:gridSpan w:val="10"/>
            <w:tcBorders>
              <w:top w:val="single" w:sz="4" w:space="0" w:color="auto"/>
              <w:left w:val="single" w:sz="4" w:space="0" w:color="auto"/>
              <w:bottom w:val="single" w:sz="4" w:space="0" w:color="auto"/>
              <w:right w:val="single" w:sz="4" w:space="0" w:color="auto"/>
            </w:tcBorders>
            <w:shd w:val="clear" w:color="auto" w:fill="auto"/>
          </w:tcPr>
          <w:p w:rsidR="0017135D" w:rsidP="001812A4">
            <w:pPr>
              <w:pStyle w:val="CSBody8pt"/>
            </w:pPr>
            <w:r w:rsidRPr="00897AD4">
              <w:t xml:space="preserve"> (wiederholen, soweit erforderlich)</w:t>
            </w:r>
          </w:p>
        </w:tc>
        <w:tc>
          <w:tcPr>
            <w:tcW w:w="685" w:type="dxa"/>
            <w:gridSpan w:val="2"/>
            <w:tcBorders>
              <w:top w:val="nil"/>
              <w:left w:val="single" w:sz="4" w:space="0" w:color="auto"/>
              <w:bottom w:val="nil"/>
              <w:right w:val="nil"/>
            </w:tcBorders>
            <w:shd w:val="clear" w:color="auto" w:fill="auto"/>
          </w:tcPr>
          <w:p w:rsidR="0017135D" w:rsidRPr="00CC580A" w:rsidP="001812A4">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CC580A" w:rsidP="001812A4">
            <w:pPr>
              <w:pStyle w:val="CSBody8pt"/>
              <w:rPr>
                <w:lang w:val="de-DE"/>
              </w:rPr>
            </w:pPr>
          </w:p>
        </w:tc>
        <w:tc>
          <w:tcPr>
            <w:tcW w:w="2126"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9A2A75" w:rsidP="001812A4">
            <w:pPr>
              <w:pStyle w:val="CSBody8pt"/>
            </w:pPr>
            <w:r w:rsidRPr="00792D61">
              <w:rPr>
                <w:b/>
              </w:rPr>
              <w:t>[</w:t>
            </w:r>
            <w:r w:rsidRPr="009A2A75">
              <w:t>Final Redemption Date</w:t>
            </w:r>
            <w:r w:rsidRPr="00792D61">
              <w:rPr>
                <w:b/>
              </w:rPr>
              <w:t>]</w:t>
            </w:r>
          </w:p>
          <w:p w:rsidR="0017135D" w:rsidRPr="009A2A75" w:rsidP="001812A4">
            <w:pPr>
              <w:pStyle w:val="CSBody8pt"/>
            </w:pPr>
            <w:r w:rsidRPr="00792D61">
              <w:rPr>
                <w:b/>
              </w:rPr>
              <w:t>[</w:t>
            </w:r>
            <w:r w:rsidRPr="009A2A75">
              <w:t>Scheduled Maturity Date</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CC580A" w:rsidP="001812A4">
            <w:pPr>
              <w:pStyle w:val="CSBody8pt"/>
              <w:rPr>
                <w:lang w:val="de-DE"/>
              </w:rPr>
            </w:pPr>
            <w:r w:rsidRPr="00792D61">
              <w:rPr>
                <w:b/>
                <w:lang w:val="de-DE"/>
              </w:rPr>
              <w:t>[</w:t>
            </w:r>
            <w:r w:rsidRPr="0015550F">
              <w:rPr>
                <w:rFonts w:ascii="Arial" w:hAnsi="Arial" w:cs="Arial"/>
                <w:lang w:val="de-DE"/>
              </w:rPr>
              <w:t>●</w:t>
            </w:r>
            <w:r w:rsidRPr="00792D61">
              <w:rPr>
                <w:b/>
                <w:lang w:val="de-DE"/>
              </w:rPr>
              <w:t>]</w:t>
            </w:r>
            <w:r w:rsidRPr="0015550F">
              <w:rPr>
                <w:lang w:val="de-DE"/>
              </w:rPr>
              <w:t>% per annum</w:t>
            </w:r>
          </w:p>
        </w:tc>
        <w:tc>
          <w:tcPr>
            <w:tcW w:w="2409"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E7651" w:rsidP="001812A4">
            <w:pPr>
              <w:pStyle w:val="CSBody8pt"/>
              <w:rPr>
                <w:lang w:val="de-DE"/>
              </w:rPr>
            </w:pPr>
            <w:r w:rsidRPr="00792D61">
              <w:rPr>
                <w:b/>
                <w:lang w:val="de-DE"/>
              </w:rPr>
              <w:t>[</w:t>
            </w:r>
            <w:r w:rsidRPr="006E7651">
              <w:rPr>
                <w:lang w:val="de-DE"/>
              </w:rPr>
              <w:t>Finaler Rückzahlungstag</w:t>
            </w:r>
            <w:r w:rsidRPr="00792D61">
              <w:rPr>
                <w:b/>
                <w:lang w:val="de-DE"/>
              </w:rPr>
              <w:t>]</w:t>
            </w:r>
            <w:r w:rsidRPr="006E7651">
              <w:rPr>
                <w:lang w:val="de-DE"/>
              </w:rPr>
              <w:t xml:space="preserve"> </w:t>
            </w:r>
            <w:r w:rsidRPr="00792D61">
              <w:rPr>
                <w:b/>
                <w:lang w:val="de-DE"/>
              </w:rPr>
              <w:t>[</w:t>
            </w:r>
            <w:r w:rsidRPr="006E7651">
              <w:rPr>
                <w:lang w:val="de-DE"/>
              </w:rPr>
              <w:t>Planmässiger Fälligkeitstag</w:t>
            </w:r>
            <w:r w:rsidRPr="00792D61">
              <w:rPr>
                <w:b/>
                <w:lang w:val="de-DE"/>
              </w:rPr>
              <w:t>]</w:t>
            </w:r>
          </w:p>
        </w:tc>
        <w:tc>
          <w:tcPr>
            <w:tcW w:w="1842"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CC580A" w:rsidP="001812A4">
            <w:pPr>
              <w:pStyle w:val="CSBody8pt"/>
              <w:rPr>
                <w:bCs/>
                <w:lang w:val="de-DE"/>
              </w:rPr>
            </w:pPr>
            <w:r w:rsidRPr="00792D61">
              <w:rPr>
                <w:b/>
                <w:bCs/>
                <w:lang w:val="de-DE"/>
              </w:rPr>
              <w:t>[</w:t>
            </w:r>
            <w:r w:rsidRPr="0015550F">
              <w:rPr>
                <w:rFonts w:ascii="Arial" w:hAnsi="Arial" w:cs="Arial"/>
                <w:bCs/>
                <w:lang w:val="de-DE"/>
              </w:rPr>
              <w:t>●</w:t>
            </w:r>
            <w:r w:rsidRPr="00792D61">
              <w:rPr>
                <w:b/>
                <w:bCs/>
                <w:lang w:val="de-DE"/>
              </w:rPr>
              <w:t>]</w:t>
            </w:r>
            <w:r w:rsidRPr="0015550F">
              <w:rPr>
                <w:bCs/>
                <w:lang w:val="de-DE"/>
              </w:rPr>
              <w:t>% per annum</w:t>
            </w:r>
          </w:p>
        </w:tc>
        <w:tc>
          <w:tcPr>
            <w:tcW w:w="685" w:type="dxa"/>
            <w:gridSpan w:val="2"/>
            <w:tcBorders>
              <w:top w:val="nil"/>
              <w:left w:val="single" w:sz="4" w:space="0" w:color="auto"/>
              <w:bottom w:val="nil"/>
              <w:right w:val="nil"/>
            </w:tcBorders>
            <w:shd w:val="clear" w:color="auto" w:fill="auto"/>
          </w:tcPr>
          <w:p w:rsidR="0017135D" w:rsidRPr="00CC580A" w:rsidP="001812A4">
            <w:pPr>
              <w:pStyle w:val="CSBody8pt"/>
              <w:rPr>
                <w:bCs/>
                <w:lang w:val="de-DE"/>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C580A" w:rsidP="00A457E7">
            <w:pPr>
              <w:pStyle w:val="CSBody0"/>
              <w:rPr>
                <w:b/>
                <w:lang w:val="de-DE"/>
              </w:rPr>
            </w:pPr>
          </w:p>
        </w:tc>
        <w:tc>
          <w:tcPr>
            <w:tcW w:w="3315" w:type="dxa"/>
            <w:gridSpan w:val="7"/>
            <w:tcBorders>
              <w:top w:val="nil"/>
              <w:left w:val="nil"/>
              <w:bottom w:val="nil"/>
              <w:right w:val="nil"/>
            </w:tcBorders>
            <w:shd w:val="clear" w:color="auto" w:fill="auto"/>
          </w:tcPr>
          <w:p w:rsidR="0017135D" w:rsidRPr="00CC580A" w:rsidP="00A457E7">
            <w:pPr>
              <w:pStyle w:val="CSBody0"/>
              <w:rPr>
                <w:b/>
                <w:lang w:val="de-DE"/>
              </w:rPr>
            </w:pPr>
          </w:p>
        </w:tc>
        <w:tc>
          <w:tcPr>
            <w:tcW w:w="1618" w:type="dxa"/>
            <w:gridSpan w:val="2"/>
            <w:tcBorders>
              <w:top w:val="nil"/>
              <w:left w:val="nil"/>
              <w:bottom w:val="nil"/>
              <w:right w:val="nil"/>
            </w:tcBorders>
            <w:shd w:val="clear" w:color="auto" w:fill="auto"/>
          </w:tcPr>
          <w:p w:rsidR="0017135D" w:rsidRPr="00CC580A"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CC580A" w:rsidP="00E60155">
            <w:pPr>
              <w:pStyle w:val="CSBody0"/>
              <w:rPr>
                <w:b/>
                <w:bCs/>
                <w:lang w:val="de-DE"/>
              </w:rPr>
            </w:pP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B14EC7" w:rsidP="001812A4">
            <w:pPr>
              <w:pStyle w:val="CSBody8ptbolditalics"/>
            </w:pPr>
            <w:r w:rsidRPr="00792D61">
              <w:t>[</w:t>
            </w:r>
            <w:r w:rsidRPr="00B14EC7">
              <w:t>in the case of (i) Fixed to Floating Rate Notes, Cumulative Reverse Floater Notes and Stairway Notes and (ii) Inverse Floating Rate Notes, Spread-Linked Notes and Inflation Index-Linked Notes with a Fixed Interest Payment Amount, insert:</w:t>
            </w:r>
          </w:p>
        </w:tc>
        <w:tc>
          <w:tcPr>
            <w:tcW w:w="4936" w:type="dxa"/>
            <w:gridSpan w:val="12"/>
            <w:tcBorders>
              <w:top w:val="nil"/>
              <w:bottom w:val="nil"/>
              <w:right w:val="nil"/>
            </w:tcBorders>
            <w:shd w:val="clear" w:color="auto" w:fill="auto"/>
          </w:tcPr>
          <w:p w:rsidR="0017135D" w:rsidP="001812A4">
            <w:pPr>
              <w:pStyle w:val="CSBody8ptbolditalics"/>
            </w:pPr>
            <w:r w:rsidRPr="00792D61">
              <w:t>[</w:t>
            </w:r>
            <w:r w:rsidRPr="00B14EC7">
              <w:t>bei (i) Fixed to Floating Rate Notes, Cumulative Reverse Floater Notes und Stairway Notes und (ii) Inverse Floating Rate Notes, Spread-Linked Notes und Inflation Index-Linked Notes mit einem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F4FE9" w:rsidP="001812A4">
            <w:pPr>
              <w:pStyle w:val="CSBody8pt"/>
            </w:pPr>
            <w:r w:rsidRPr="004F4FE9">
              <w:t>Fixed Interest Rate</w:t>
            </w:r>
          </w:p>
        </w:tc>
        <w:tc>
          <w:tcPr>
            <w:tcW w:w="3315" w:type="dxa"/>
            <w:gridSpan w:val="7"/>
            <w:tcBorders>
              <w:top w:val="nil"/>
              <w:left w:val="nil"/>
              <w:bottom w:val="nil"/>
            </w:tcBorders>
            <w:shd w:val="clear" w:color="auto" w:fill="auto"/>
          </w:tcPr>
          <w:p w:rsidR="0017135D" w:rsidRPr="00416DE2" w:rsidP="001812A4">
            <w:pPr>
              <w:pStyle w:val="CSBody8pt"/>
            </w:pPr>
            <w:r w:rsidRPr="00792D61">
              <w:rPr>
                <w:b/>
              </w:rPr>
              <w:t>[</w:t>
            </w:r>
            <w:r w:rsidRPr="00416DE2">
              <w:rPr>
                <w:rFonts w:ascii="Arial" w:hAnsi="Arial" w:cs="Arial"/>
              </w:rPr>
              <w:t>●</w:t>
            </w:r>
            <w:r w:rsidRPr="00792D61">
              <w:rPr>
                <w:b/>
              </w:rPr>
              <w:t>]</w:t>
            </w:r>
            <w:r w:rsidRPr="00416DE2">
              <w:t>% per annum.</w:t>
            </w:r>
          </w:p>
        </w:tc>
        <w:tc>
          <w:tcPr>
            <w:tcW w:w="1618" w:type="dxa"/>
            <w:gridSpan w:val="2"/>
            <w:tcBorders>
              <w:top w:val="nil"/>
              <w:bottom w:val="nil"/>
              <w:right w:val="nil"/>
            </w:tcBorders>
            <w:shd w:val="clear" w:color="auto" w:fill="auto"/>
          </w:tcPr>
          <w:p w:rsidR="0017135D" w:rsidRPr="000B70B0" w:rsidP="001812A4">
            <w:pPr>
              <w:pStyle w:val="CSBody8pt"/>
            </w:pPr>
            <w:r w:rsidRPr="000B70B0">
              <w:t>Festzinssatz</w:t>
            </w:r>
          </w:p>
        </w:tc>
        <w:tc>
          <w:tcPr>
            <w:tcW w:w="3318" w:type="dxa"/>
            <w:gridSpan w:val="10"/>
            <w:tcBorders>
              <w:top w:val="nil"/>
              <w:left w:val="nil"/>
              <w:bottom w:val="nil"/>
              <w:right w:val="nil"/>
            </w:tcBorders>
            <w:shd w:val="clear" w:color="auto" w:fill="auto"/>
          </w:tcPr>
          <w:p w:rsidR="0017135D" w:rsidRPr="00BC495D" w:rsidP="001812A4">
            <w:pPr>
              <w:pStyle w:val="CSBody8pt"/>
            </w:pPr>
            <w:r w:rsidRPr="00792D61">
              <w:rPr>
                <w:b/>
              </w:rPr>
              <w:t>[</w:t>
            </w:r>
            <w:r w:rsidRPr="00BC495D">
              <w:rPr>
                <w:rFonts w:ascii="Arial" w:hAnsi="Arial" w:cs="Arial"/>
              </w:rPr>
              <w:t>●</w:t>
            </w:r>
            <w:r w:rsidRPr="00792D61">
              <w:rPr>
                <w:b/>
              </w:rPr>
              <w:t>]</w:t>
            </w:r>
            <w:r w:rsidRPr="00BC495D">
              <w:t>% per annum.</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1812A4">
            <w:pPr>
              <w:pStyle w:val="CSBody8pt"/>
            </w:pPr>
            <w:r w:rsidRPr="004F4FE9">
              <w:t>Variable Interest Rate</w:t>
            </w:r>
          </w:p>
        </w:tc>
        <w:tc>
          <w:tcPr>
            <w:tcW w:w="3315" w:type="dxa"/>
            <w:gridSpan w:val="7"/>
            <w:tcBorders>
              <w:top w:val="nil"/>
              <w:left w:val="nil"/>
              <w:bottom w:val="nil"/>
            </w:tcBorders>
            <w:shd w:val="clear" w:color="auto" w:fill="auto"/>
          </w:tcPr>
          <w:p w:rsidR="0017135D" w:rsidRPr="00416DE2" w:rsidP="001812A4">
            <w:pPr>
              <w:pStyle w:val="CSBody8ptbolditalics"/>
            </w:pPr>
            <w:r w:rsidRPr="00792D61">
              <w:t>[</w:t>
            </w:r>
            <w:r w:rsidRPr="00416DE2">
              <w:t>in the case of Fixed to Floating Rate Notes without a Cap or Floor, insert:</w:t>
            </w:r>
          </w:p>
        </w:tc>
        <w:tc>
          <w:tcPr>
            <w:tcW w:w="1618" w:type="dxa"/>
            <w:gridSpan w:val="2"/>
            <w:tcBorders>
              <w:top w:val="nil"/>
              <w:bottom w:val="nil"/>
              <w:right w:val="nil"/>
            </w:tcBorders>
            <w:shd w:val="clear" w:color="auto" w:fill="auto"/>
          </w:tcPr>
          <w:p w:rsidR="0017135D" w:rsidRPr="000B70B0" w:rsidP="001812A4">
            <w:pPr>
              <w:pStyle w:val="CSBody8pt"/>
            </w:pPr>
            <w:r>
              <w:t>Variabler Zinssatz</w:t>
            </w:r>
          </w:p>
        </w:tc>
        <w:tc>
          <w:tcPr>
            <w:tcW w:w="3318" w:type="dxa"/>
            <w:gridSpan w:val="10"/>
            <w:tcBorders>
              <w:top w:val="nil"/>
              <w:left w:val="nil"/>
              <w:bottom w:val="nil"/>
              <w:right w:val="nil"/>
            </w:tcBorders>
            <w:shd w:val="clear" w:color="auto" w:fill="auto"/>
          </w:tcPr>
          <w:p w:rsidR="0017135D" w:rsidRPr="00BC495D" w:rsidP="001812A4">
            <w:pPr>
              <w:pStyle w:val="CSBody8ptbolditalics"/>
            </w:pPr>
            <w:r w:rsidRPr="00792D61">
              <w:t>[</w:t>
            </w:r>
            <w:r w:rsidRPr="00BC495D">
              <w:t>bei Fixed to Floating Rate Notes ohne Cap oder Floor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
              <w:rPr>
                <w:b/>
              </w:rPr>
            </w:pPr>
          </w:p>
        </w:tc>
        <w:tc>
          <w:tcPr>
            <w:tcW w:w="3315" w:type="dxa"/>
            <w:gridSpan w:val="7"/>
            <w:tcBorders>
              <w:top w:val="nil"/>
              <w:left w:val="nil"/>
              <w:bottom w:val="nil"/>
            </w:tcBorders>
            <w:shd w:val="clear" w:color="auto" w:fill="auto"/>
          </w:tcPr>
          <w:p w:rsidR="0017135D" w:rsidRPr="00416DE2" w:rsidP="001812A4">
            <w:pPr>
              <w:pStyle w:val="CSBody8pt"/>
            </w:pPr>
            <w:r w:rsidRPr="00792D61">
              <w:rPr>
                <w:b/>
              </w:rPr>
              <w:t>[</w:t>
            </w:r>
            <w:r w:rsidRPr="001812A4">
              <w:rPr>
                <w:b/>
                <w:i/>
              </w:rPr>
              <w:t>in the case of one Variable Interest Payment Date, insert:</w:t>
            </w:r>
            <w:r w:rsidRPr="00416DE2">
              <w:t xml:space="preserve"> a rate per annum equal to </w:t>
            </w:r>
            <w:r w:rsidRPr="00792D61">
              <w:rPr>
                <w:b/>
              </w:rPr>
              <w:t>[</w:t>
            </w:r>
            <w:r w:rsidRPr="00416DE2">
              <w:t>the sum of</w:t>
            </w:r>
            <w:r w:rsidRPr="00792D61">
              <w:rPr>
                <w:b/>
              </w:rPr>
              <w:t>]</w:t>
            </w:r>
            <w:r w:rsidRPr="00416DE2">
              <w:t xml:space="preserve"> the Reference Rate on the Interest Determination Date </w:t>
            </w:r>
            <w:r w:rsidRPr="00792D61">
              <w:rPr>
                <w:b/>
              </w:rPr>
              <w:t>[</w:t>
            </w:r>
            <w:r w:rsidRPr="00416DE2">
              <w:t xml:space="preserve"> and </w:t>
            </w:r>
            <w:r w:rsidRPr="00792D61">
              <w:rPr>
                <w:b/>
              </w:rPr>
              <w:t>[</w:t>
            </w:r>
            <w:r w:rsidRPr="00416DE2">
              <w:rPr>
                <w:rFonts w:ascii="Arial" w:hAnsi="Arial" w:cs="Arial"/>
              </w:rPr>
              <w:t>●</w:t>
            </w:r>
            <w:r w:rsidRPr="00792D61">
              <w:rPr>
                <w:b/>
              </w:rPr>
              <w:t>]</w:t>
            </w:r>
            <w:r w:rsidRPr="00416DE2">
              <w:t>% per annum</w:t>
            </w:r>
            <w:r w:rsidRPr="00792D61">
              <w:rPr>
                <w:b/>
              </w:rPr>
              <w:t>]</w:t>
            </w:r>
            <w:r w:rsidRPr="00416DE2">
              <w:t>.</w:t>
            </w:r>
            <w:r w:rsidRPr="00792D61">
              <w:rPr>
                <w:b/>
              </w:rPr>
              <w:t>]</w:t>
            </w:r>
          </w:p>
        </w:tc>
        <w:tc>
          <w:tcPr>
            <w:tcW w:w="1618" w:type="dxa"/>
            <w:gridSpan w:val="2"/>
            <w:tcBorders>
              <w:top w:val="nil"/>
              <w:bottom w:val="nil"/>
              <w:right w:val="nil"/>
            </w:tcBorders>
            <w:shd w:val="clear" w:color="auto" w:fill="auto"/>
          </w:tcPr>
          <w:p w:rsidR="0017135D" w:rsidRPr="0015550F" w:rsidP="001812A4">
            <w:pPr>
              <w:pStyle w:val="CSBody8pt"/>
              <w:rPr>
                <w:b/>
                <w:i/>
              </w:rPr>
            </w:pPr>
          </w:p>
        </w:tc>
        <w:tc>
          <w:tcPr>
            <w:tcW w:w="3318" w:type="dxa"/>
            <w:gridSpan w:val="10"/>
            <w:tcBorders>
              <w:top w:val="nil"/>
              <w:left w:val="nil"/>
              <w:bottom w:val="nil"/>
              <w:right w:val="nil"/>
            </w:tcBorders>
            <w:shd w:val="clear" w:color="auto" w:fill="auto"/>
          </w:tcPr>
          <w:p w:rsidR="0017135D" w:rsidRPr="0015550F" w:rsidP="001812A4">
            <w:pPr>
              <w:pStyle w:val="CSBody8pt"/>
              <w:rPr>
                <w:lang w:val="de-DE"/>
              </w:rPr>
            </w:pPr>
            <w:r w:rsidRPr="00792D61">
              <w:rPr>
                <w:b/>
                <w:lang w:val="de-DE"/>
              </w:rPr>
              <w:t>[</w:t>
            </w:r>
            <w:r w:rsidRPr="001812A4">
              <w:rPr>
                <w:b/>
                <w:i/>
                <w:lang w:val="de-DE"/>
              </w:rPr>
              <w:t>bei nur einem Zahlungstag für Variable Zinsen einfügen:</w:t>
            </w:r>
            <w:r w:rsidRPr="0015550F">
              <w:rPr>
                <w:lang w:val="de-DE"/>
              </w:rPr>
              <w:t xml:space="preserve"> ein Satz per annum in Höhe </w:t>
            </w:r>
            <w:r w:rsidRPr="00792D61">
              <w:rPr>
                <w:b/>
                <w:lang w:val="de-DE"/>
              </w:rPr>
              <w:t>[</w:t>
            </w:r>
            <w:r w:rsidRPr="0015550F">
              <w:rPr>
                <w:lang w:val="de-DE"/>
              </w:rPr>
              <w:t>der Summe aus dem</w:t>
            </w:r>
            <w:r w:rsidRPr="00792D61">
              <w:rPr>
                <w:b/>
                <w:lang w:val="de-DE"/>
              </w:rPr>
              <w:t>]</w:t>
            </w:r>
            <w:r w:rsidRPr="0015550F">
              <w:rPr>
                <w:lang w:val="de-DE"/>
              </w:rPr>
              <w:t xml:space="preserve"> </w:t>
            </w:r>
            <w:r w:rsidRPr="00792D61">
              <w:rPr>
                <w:b/>
                <w:lang w:val="de-DE"/>
              </w:rPr>
              <w:t>[</w:t>
            </w:r>
            <w:r w:rsidRPr="0015550F">
              <w:rPr>
                <w:lang w:val="de-DE"/>
              </w:rPr>
              <w:t>des</w:t>
            </w:r>
            <w:r w:rsidRPr="00792D61">
              <w:rPr>
                <w:b/>
                <w:lang w:val="de-DE"/>
              </w:rPr>
              <w:t>]</w:t>
            </w:r>
            <w:r w:rsidRPr="0015550F">
              <w:rPr>
                <w:lang w:val="de-DE"/>
              </w:rPr>
              <w:t xml:space="preserve"> Referenzsatz</w:t>
            </w:r>
            <w:r w:rsidRPr="00792D61">
              <w:rPr>
                <w:b/>
                <w:lang w:val="de-DE"/>
              </w:rPr>
              <w:t>[</w:t>
            </w:r>
            <w:r w:rsidRPr="0015550F">
              <w:rPr>
                <w:lang w:val="de-DE"/>
              </w:rPr>
              <w:t>es</w:t>
            </w:r>
            <w:r w:rsidRPr="00792D61">
              <w:rPr>
                <w:b/>
                <w:lang w:val="de-DE"/>
              </w:rPr>
              <w:t>]</w:t>
            </w:r>
            <w:r w:rsidRPr="0015550F">
              <w:rPr>
                <w:lang w:val="de-DE"/>
              </w:rPr>
              <w:t xml:space="preserve"> am Zinsfeststellungstag </w:t>
            </w:r>
            <w:r w:rsidRPr="00792D61">
              <w:rPr>
                <w:b/>
                <w:lang w:val="de-DE"/>
              </w:rPr>
              <w:t>[</w:t>
            </w:r>
            <w:r w:rsidRPr="0015550F">
              <w:rPr>
                <w:lang w:val="de-DE"/>
              </w:rPr>
              <w:t xml:space="preserve">und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
              <w:rPr>
                <w:lang w:val="de-DE"/>
              </w:rPr>
            </w:pPr>
          </w:p>
        </w:tc>
        <w:tc>
          <w:tcPr>
            <w:tcW w:w="3315" w:type="dxa"/>
            <w:gridSpan w:val="7"/>
            <w:tcBorders>
              <w:top w:val="nil"/>
              <w:left w:val="nil"/>
              <w:bottom w:val="nil"/>
            </w:tcBorders>
            <w:shd w:val="clear" w:color="auto" w:fill="auto"/>
          </w:tcPr>
          <w:p w:rsidR="0017135D" w:rsidP="001812A4">
            <w:pPr>
              <w:pStyle w:val="CSBody8pt"/>
            </w:pPr>
            <w:r w:rsidRPr="00792D61">
              <w:rPr>
                <w:b/>
              </w:rPr>
              <w:t>[</w:t>
            </w:r>
            <w:r w:rsidRPr="001812A4">
              <w:rPr>
                <w:b/>
                <w:i/>
              </w:rPr>
              <w:t>in the case of multiple Variable Interest Payment Dates, insert:</w:t>
            </w:r>
            <w:r w:rsidRPr="00416DE2">
              <w:t xml:space="preserve"> with respect to any Variable Interest Payment Date, a rate per annum equal to </w:t>
            </w:r>
            <w:r w:rsidRPr="00792D61">
              <w:rPr>
                <w:b/>
              </w:rPr>
              <w:t>[</w:t>
            </w:r>
            <w:r w:rsidRPr="00416DE2">
              <w:t>the sum of</w:t>
            </w:r>
            <w:r w:rsidRPr="00792D61">
              <w:rPr>
                <w:b/>
              </w:rPr>
              <w:t>]</w:t>
            </w:r>
            <w:r w:rsidRPr="00416DE2">
              <w:t xml:space="preserve"> the Reference Rate on the relevant Interest Determination Date </w:t>
            </w:r>
            <w:r w:rsidRPr="00792D61">
              <w:rPr>
                <w:b/>
              </w:rPr>
              <w:t>[</w:t>
            </w:r>
            <w:r w:rsidRPr="00416DE2">
              <w:t xml:space="preserve">and </w:t>
            </w:r>
            <w:r w:rsidRPr="00792D61">
              <w:rPr>
                <w:b/>
              </w:rPr>
              <w:t>[</w:t>
            </w:r>
            <w:r w:rsidRPr="00416DE2">
              <w:rPr>
                <w:rFonts w:ascii="Arial" w:hAnsi="Arial" w:cs="Arial"/>
              </w:rPr>
              <w:t>●</w:t>
            </w:r>
            <w:r w:rsidRPr="00792D61">
              <w:rPr>
                <w:b/>
              </w:rPr>
              <w:t>]</w:t>
            </w:r>
            <w:r w:rsidRPr="00416DE2">
              <w:t>% per annum</w:t>
            </w:r>
            <w:r w:rsidRPr="00792D61">
              <w:rPr>
                <w:b/>
              </w:rPr>
              <w:t>]</w:t>
            </w:r>
            <w:r w:rsidRPr="00416DE2">
              <w:t>.</w:t>
            </w:r>
            <w:r w:rsidRPr="00792D61">
              <w:rPr>
                <w:b/>
              </w:rPr>
              <w:t>]]</w:t>
            </w:r>
          </w:p>
        </w:tc>
        <w:tc>
          <w:tcPr>
            <w:tcW w:w="1618" w:type="dxa"/>
            <w:gridSpan w:val="2"/>
            <w:tcBorders>
              <w:top w:val="nil"/>
              <w:bottom w:val="nil"/>
              <w:right w:val="nil"/>
            </w:tcBorders>
            <w:shd w:val="clear" w:color="auto" w:fill="auto"/>
          </w:tcPr>
          <w:p w:rsidR="0017135D" w:rsidRPr="0015550F" w:rsidP="001812A4">
            <w:pPr>
              <w:pStyle w:val="CSBody8pt"/>
              <w:rPr>
                <w:i/>
              </w:rPr>
            </w:pPr>
          </w:p>
        </w:tc>
        <w:tc>
          <w:tcPr>
            <w:tcW w:w="3318" w:type="dxa"/>
            <w:gridSpan w:val="10"/>
            <w:tcBorders>
              <w:top w:val="nil"/>
              <w:left w:val="nil"/>
              <w:bottom w:val="nil"/>
              <w:right w:val="nil"/>
            </w:tcBorders>
            <w:shd w:val="clear" w:color="auto" w:fill="auto"/>
          </w:tcPr>
          <w:p w:rsidR="0017135D" w:rsidRPr="0015550F" w:rsidP="001812A4">
            <w:pPr>
              <w:pStyle w:val="CSBody8pt"/>
              <w:rPr>
                <w:lang w:val="de-DE"/>
              </w:rPr>
            </w:pPr>
            <w:r w:rsidRPr="00792D61">
              <w:rPr>
                <w:b/>
                <w:lang w:val="de-DE"/>
              </w:rPr>
              <w:t>[</w:t>
            </w:r>
            <w:r w:rsidRPr="001812A4">
              <w:rPr>
                <w:b/>
                <w:i/>
                <w:lang w:val="de-DE"/>
              </w:rPr>
              <w:t>bei mehreren Zahlungstagen für Variable Zinsen einfügen:</w:t>
            </w:r>
            <w:r w:rsidRPr="0015550F">
              <w:rPr>
                <w:lang w:val="de-DE"/>
              </w:rPr>
              <w:t xml:space="preserve"> in Bezug auf einen Zahlungstag für Variable Zinsen ein Satz per annum in Höhe </w:t>
            </w:r>
            <w:r w:rsidRPr="00792D61">
              <w:rPr>
                <w:b/>
                <w:lang w:val="de-DE"/>
              </w:rPr>
              <w:t>[</w:t>
            </w:r>
            <w:r w:rsidRPr="0015550F">
              <w:rPr>
                <w:lang w:val="de-DE"/>
              </w:rPr>
              <w:t>der Summe aus dem</w:t>
            </w:r>
            <w:r w:rsidRPr="00792D61">
              <w:rPr>
                <w:b/>
                <w:lang w:val="de-DE"/>
              </w:rPr>
              <w:t>]</w:t>
            </w:r>
            <w:r w:rsidRPr="0015550F">
              <w:rPr>
                <w:lang w:val="de-DE"/>
              </w:rPr>
              <w:t xml:space="preserve"> </w:t>
            </w:r>
            <w:r w:rsidRPr="00792D61">
              <w:rPr>
                <w:b/>
                <w:lang w:val="de-DE"/>
              </w:rPr>
              <w:t>[</w:t>
            </w:r>
            <w:r w:rsidRPr="0015550F">
              <w:rPr>
                <w:lang w:val="de-DE"/>
              </w:rPr>
              <w:t>des</w:t>
            </w:r>
            <w:r w:rsidRPr="00792D61">
              <w:rPr>
                <w:b/>
                <w:lang w:val="de-DE"/>
              </w:rPr>
              <w:t>]</w:t>
            </w:r>
            <w:r w:rsidRPr="0015550F">
              <w:rPr>
                <w:lang w:val="de-DE"/>
              </w:rPr>
              <w:t xml:space="preserve"> Referenzsatz</w:t>
            </w:r>
            <w:r w:rsidRPr="00792D61">
              <w:rPr>
                <w:b/>
                <w:lang w:val="de-DE"/>
              </w:rPr>
              <w:t>[</w:t>
            </w:r>
            <w:r w:rsidRPr="0015550F">
              <w:rPr>
                <w:lang w:val="de-DE"/>
              </w:rPr>
              <w:t>es</w:t>
            </w:r>
            <w:r w:rsidRPr="00792D61">
              <w:rPr>
                <w:b/>
                <w:lang w:val="de-DE"/>
              </w:rPr>
              <w:t>]</w:t>
            </w:r>
            <w:r w:rsidRPr="0015550F">
              <w:rPr>
                <w:lang w:val="de-DE"/>
              </w:rPr>
              <w:t xml:space="preserve"> an dem jeweiligen Zinsfeststellungstag </w:t>
            </w:r>
            <w:r w:rsidRPr="00792D61">
              <w:rPr>
                <w:b/>
                <w:lang w:val="de-DE"/>
              </w:rPr>
              <w:t>[</w:t>
            </w:r>
            <w:r w:rsidRPr="0015550F">
              <w:rPr>
                <w:lang w:val="de-DE"/>
              </w:rPr>
              <w:t xml:space="preserve">und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bolditalics"/>
              <w:rPr>
                <w:lang w:val="de-DE"/>
              </w:rPr>
            </w:pPr>
          </w:p>
        </w:tc>
        <w:tc>
          <w:tcPr>
            <w:tcW w:w="3315" w:type="dxa"/>
            <w:gridSpan w:val="7"/>
            <w:tcBorders>
              <w:top w:val="nil"/>
              <w:left w:val="nil"/>
              <w:bottom w:val="nil"/>
            </w:tcBorders>
            <w:shd w:val="clear" w:color="auto" w:fill="auto"/>
          </w:tcPr>
          <w:p w:rsidR="0017135D" w:rsidRPr="00C32FD5" w:rsidP="001812A4">
            <w:pPr>
              <w:pStyle w:val="CSBody8ptbolditalics"/>
            </w:pPr>
            <w:r w:rsidRPr="00792D61">
              <w:t>[</w:t>
            </w:r>
            <w:r w:rsidRPr="00C32FD5">
              <w:t>in the case of Fixed to Floating Rate Notes with a Cap and a Floor, insert:</w:t>
            </w:r>
          </w:p>
        </w:tc>
        <w:tc>
          <w:tcPr>
            <w:tcW w:w="1618" w:type="dxa"/>
            <w:gridSpan w:val="2"/>
            <w:tcBorders>
              <w:top w:val="nil"/>
              <w:bottom w:val="nil"/>
              <w:right w:val="nil"/>
            </w:tcBorders>
            <w:shd w:val="clear" w:color="auto" w:fill="auto"/>
          </w:tcPr>
          <w:p w:rsidR="0017135D" w:rsidRPr="0015550F" w:rsidP="001812A4">
            <w:pPr>
              <w:pStyle w:val="CSBody8ptbolditalics"/>
            </w:pPr>
          </w:p>
        </w:tc>
        <w:tc>
          <w:tcPr>
            <w:tcW w:w="3318" w:type="dxa"/>
            <w:gridSpan w:val="10"/>
            <w:tcBorders>
              <w:top w:val="nil"/>
              <w:left w:val="nil"/>
              <w:bottom w:val="nil"/>
              <w:right w:val="nil"/>
            </w:tcBorders>
            <w:shd w:val="clear" w:color="auto" w:fill="auto"/>
          </w:tcPr>
          <w:p w:rsidR="0017135D" w:rsidRPr="001E6192" w:rsidP="001812A4">
            <w:pPr>
              <w:pStyle w:val="CSBody8ptbolditalics"/>
            </w:pPr>
            <w:r w:rsidRPr="00792D61">
              <w:t>[</w:t>
            </w:r>
            <w:r w:rsidRPr="001E6192">
              <w:t>bei Fixed to Floating Rate Notes mit Cap oder Floor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
            </w:pPr>
          </w:p>
        </w:tc>
        <w:tc>
          <w:tcPr>
            <w:tcW w:w="3315" w:type="dxa"/>
            <w:gridSpan w:val="7"/>
            <w:tcBorders>
              <w:top w:val="nil"/>
              <w:left w:val="nil"/>
              <w:bottom w:val="nil"/>
            </w:tcBorders>
            <w:shd w:val="clear" w:color="auto" w:fill="auto"/>
          </w:tcPr>
          <w:p w:rsidR="0017135D" w:rsidRPr="00C32FD5" w:rsidP="001812A4">
            <w:pPr>
              <w:pStyle w:val="CSBody8pt"/>
            </w:pPr>
            <w:r w:rsidRPr="00792D61">
              <w:rPr>
                <w:b/>
              </w:rPr>
              <w:t>[</w:t>
            </w:r>
            <w:r w:rsidRPr="001812A4">
              <w:rPr>
                <w:b/>
                <w:i/>
              </w:rPr>
              <w:t>in the case of one Variable Interest Payment Date, insert:</w:t>
            </w:r>
            <w:r w:rsidRPr="00C32FD5">
              <w:t xml:space="preserve"> a rate per annum equal to the lesser of (i) the Maximum Interest Rate and (ii) the greater of (x) </w:t>
            </w:r>
            <w:r w:rsidRPr="00792D61">
              <w:rPr>
                <w:b/>
              </w:rPr>
              <w:t>[</w:t>
            </w:r>
            <w:r w:rsidRPr="00C32FD5">
              <w:t>the sum of</w:t>
            </w:r>
            <w:r w:rsidRPr="00792D61">
              <w:rPr>
                <w:b/>
              </w:rPr>
              <w:t>]</w:t>
            </w:r>
            <w:r w:rsidRPr="00C32FD5">
              <w:t xml:space="preserve"> the Reference Rate on the Interest Determination Date </w:t>
            </w:r>
            <w:r w:rsidRPr="00792D61">
              <w:rPr>
                <w:b/>
              </w:rPr>
              <w:t>[</w:t>
            </w:r>
            <w:r w:rsidRPr="00C32FD5">
              <w:t xml:space="preserve">and </w:t>
            </w:r>
            <w:r w:rsidRPr="00792D61">
              <w:rPr>
                <w:b/>
              </w:rPr>
              <w:t>[</w:t>
            </w:r>
            <w:r w:rsidRPr="00C32FD5">
              <w:rPr>
                <w:rFonts w:ascii="Arial" w:hAnsi="Arial" w:cs="Arial"/>
              </w:rPr>
              <w:t>●</w:t>
            </w:r>
            <w:r w:rsidRPr="00792D61">
              <w:rPr>
                <w:b/>
              </w:rPr>
              <w:t>]</w:t>
            </w:r>
            <w:r w:rsidRPr="00C32FD5">
              <w:t>% per annum</w:t>
            </w:r>
            <w:r w:rsidRPr="00792D61">
              <w:rPr>
                <w:b/>
              </w:rPr>
              <w:t>]</w:t>
            </w:r>
            <w:r w:rsidRPr="00C32FD5">
              <w:t xml:space="preserve"> and (y) the Minimum Interest Rate.</w:t>
            </w:r>
            <w:r w:rsidRPr="00792D61">
              <w:rPr>
                <w:b/>
              </w:rPr>
              <w:t>]</w:t>
            </w:r>
          </w:p>
        </w:tc>
        <w:tc>
          <w:tcPr>
            <w:tcW w:w="1618" w:type="dxa"/>
            <w:gridSpan w:val="2"/>
            <w:tcBorders>
              <w:top w:val="nil"/>
              <w:bottom w:val="nil"/>
              <w:right w:val="nil"/>
            </w:tcBorders>
            <w:shd w:val="clear" w:color="auto" w:fill="auto"/>
          </w:tcPr>
          <w:p w:rsidR="0017135D" w:rsidRPr="0015550F" w:rsidP="001812A4">
            <w:pPr>
              <w:pStyle w:val="CSBody8pt"/>
              <w:rPr>
                <w:i/>
              </w:rPr>
            </w:pPr>
          </w:p>
        </w:tc>
        <w:tc>
          <w:tcPr>
            <w:tcW w:w="3318" w:type="dxa"/>
            <w:gridSpan w:val="10"/>
            <w:tcBorders>
              <w:top w:val="nil"/>
              <w:left w:val="nil"/>
              <w:bottom w:val="nil"/>
              <w:right w:val="nil"/>
            </w:tcBorders>
            <w:shd w:val="clear" w:color="auto" w:fill="auto"/>
          </w:tcPr>
          <w:p w:rsidR="0017135D" w:rsidRPr="0015550F" w:rsidP="001812A4">
            <w:pPr>
              <w:pStyle w:val="CSBody8pt"/>
              <w:rPr>
                <w:lang w:val="de-DE"/>
              </w:rPr>
            </w:pPr>
            <w:r w:rsidRPr="00792D61">
              <w:rPr>
                <w:b/>
                <w:lang w:val="de-DE"/>
              </w:rPr>
              <w:t>[</w:t>
            </w:r>
            <w:r w:rsidRPr="001812A4">
              <w:rPr>
                <w:b/>
                <w:i/>
                <w:lang w:val="de-DE"/>
              </w:rPr>
              <w:t>bei nur einem Zahlungstag für Variable Zinsen einfügen:</w:t>
            </w:r>
            <w:r w:rsidRPr="0015550F">
              <w:rPr>
                <w:lang w:val="de-DE"/>
              </w:rPr>
              <w:t xml:space="preserve"> ein Satz per annum in Höhe des jeweils kleineren der folgenden Beträge: (i) der Höchstzinssatz oder (ii) der jeweils grössere der folgenden Beträge: (x) </w:t>
            </w:r>
            <w:r w:rsidRPr="00792D61">
              <w:rPr>
                <w:b/>
                <w:lang w:val="de-DE"/>
              </w:rPr>
              <w:t>[</w:t>
            </w:r>
            <w:r w:rsidRPr="0015550F">
              <w:rPr>
                <w:lang w:val="de-DE"/>
              </w:rPr>
              <w:t>die Summe aus dem</w:t>
            </w:r>
            <w:r w:rsidRPr="00792D61">
              <w:rPr>
                <w:b/>
                <w:lang w:val="de-DE"/>
              </w:rPr>
              <w:t>]</w:t>
            </w:r>
            <w:r w:rsidRPr="0015550F">
              <w:rPr>
                <w:lang w:val="de-DE"/>
              </w:rPr>
              <w:t xml:space="preserve"> </w:t>
            </w:r>
            <w:r w:rsidRPr="00792D61">
              <w:rPr>
                <w:b/>
                <w:lang w:val="de-DE"/>
              </w:rPr>
              <w:t>[</w:t>
            </w:r>
            <w:r w:rsidRPr="0015550F">
              <w:rPr>
                <w:lang w:val="de-DE"/>
              </w:rPr>
              <w:t>der</w:t>
            </w:r>
            <w:r w:rsidRPr="00792D61">
              <w:rPr>
                <w:b/>
                <w:lang w:val="de-DE"/>
              </w:rPr>
              <w:t>]</w:t>
            </w:r>
            <w:r w:rsidRPr="0015550F">
              <w:rPr>
                <w:lang w:val="de-DE"/>
              </w:rPr>
              <w:t xml:space="preserve"> Referenzsatz am Zinsfeststellungstag </w:t>
            </w:r>
            <w:r w:rsidRPr="00792D61">
              <w:rPr>
                <w:b/>
                <w:lang w:val="de-DE"/>
              </w:rPr>
              <w:t>[</w:t>
            </w:r>
            <w:r w:rsidRPr="0015550F">
              <w:rPr>
                <w:lang w:val="de-DE"/>
              </w:rPr>
              <w:t xml:space="preserve">und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 xml:space="preserve"> oder (y) der Mindestzinssatz.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
              <w:rPr>
                <w:lang w:val="de-DE"/>
              </w:rPr>
            </w:pPr>
          </w:p>
        </w:tc>
        <w:tc>
          <w:tcPr>
            <w:tcW w:w="3315" w:type="dxa"/>
            <w:gridSpan w:val="7"/>
            <w:tcBorders>
              <w:top w:val="nil"/>
              <w:left w:val="nil"/>
              <w:bottom w:val="nil"/>
            </w:tcBorders>
            <w:shd w:val="clear" w:color="auto" w:fill="auto"/>
          </w:tcPr>
          <w:p w:rsidR="0017135D" w:rsidRPr="00C32FD5" w:rsidP="001812A4">
            <w:pPr>
              <w:pStyle w:val="CSBody8pt"/>
            </w:pPr>
            <w:r w:rsidRPr="00792D61">
              <w:rPr>
                <w:b/>
              </w:rPr>
              <w:t>[</w:t>
            </w:r>
            <w:r w:rsidRPr="001812A4">
              <w:rPr>
                <w:b/>
                <w:i/>
              </w:rPr>
              <w:t>in the case of multiple Variable Interest Payment Dates, insert:</w:t>
            </w:r>
            <w:r w:rsidRPr="00C32FD5">
              <w:t xml:space="preserve"> with respect to any Variable Interest Payment Date, a rate per annum equal to the lesser of (i) the </w:t>
            </w:r>
            <w:r w:rsidRPr="00792D61">
              <w:rPr>
                <w:b/>
              </w:rPr>
              <w:t>[</w:t>
            </w:r>
            <w:r w:rsidRPr="00C32FD5">
              <w:t>relevant</w:t>
            </w:r>
            <w:r w:rsidRPr="00792D61">
              <w:rPr>
                <w:b/>
              </w:rPr>
              <w:t>]</w:t>
            </w:r>
            <w:r w:rsidRPr="00C32FD5">
              <w:t xml:space="preserve"> Maximum Interest Rate and (ii) the greater of (x) </w:t>
            </w:r>
            <w:r w:rsidRPr="00792D61">
              <w:rPr>
                <w:b/>
              </w:rPr>
              <w:t>[</w:t>
            </w:r>
            <w:r w:rsidRPr="00C32FD5">
              <w:t>the sum of</w:t>
            </w:r>
            <w:r w:rsidRPr="00792D61">
              <w:rPr>
                <w:b/>
              </w:rPr>
              <w:t>]</w:t>
            </w:r>
            <w:r w:rsidRPr="00C32FD5">
              <w:t xml:space="preserve"> the Reference Rate on the relevant Interest Determination Date </w:t>
            </w:r>
            <w:r w:rsidRPr="00792D61">
              <w:rPr>
                <w:b/>
              </w:rPr>
              <w:t>[</w:t>
            </w:r>
            <w:r w:rsidRPr="00C32FD5">
              <w:t xml:space="preserve">and </w:t>
            </w:r>
            <w:r w:rsidRPr="00792D61">
              <w:rPr>
                <w:b/>
              </w:rPr>
              <w:t>[</w:t>
            </w:r>
            <w:r w:rsidRPr="00C32FD5">
              <w:rPr>
                <w:rFonts w:ascii="Arial" w:hAnsi="Arial" w:cs="Arial"/>
              </w:rPr>
              <w:t>●</w:t>
            </w:r>
            <w:r w:rsidRPr="00792D61">
              <w:rPr>
                <w:b/>
              </w:rPr>
              <w:t>]</w:t>
            </w:r>
            <w:r w:rsidRPr="00C32FD5">
              <w:t>% per annum</w:t>
            </w:r>
            <w:r w:rsidRPr="00792D61">
              <w:rPr>
                <w:b/>
              </w:rPr>
              <w:t>]</w:t>
            </w:r>
            <w:r w:rsidRPr="00C32FD5">
              <w:t xml:space="preserve"> and (y) the </w:t>
            </w:r>
            <w:r w:rsidRPr="00792D61">
              <w:rPr>
                <w:b/>
              </w:rPr>
              <w:t>[</w:t>
            </w:r>
            <w:r w:rsidRPr="00C32FD5">
              <w:t>relevant</w:t>
            </w:r>
            <w:r w:rsidRPr="00792D61">
              <w:rPr>
                <w:b/>
              </w:rPr>
              <w:t>]</w:t>
            </w:r>
            <w:r w:rsidRPr="00C32FD5">
              <w:t xml:space="preserve"> Minimum Interest Rate.</w:t>
            </w:r>
            <w:r w:rsidRPr="00792D61">
              <w:rPr>
                <w:b/>
              </w:rPr>
              <w:t>]]</w:t>
            </w:r>
          </w:p>
        </w:tc>
        <w:tc>
          <w:tcPr>
            <w:tcW w:w="1618" w:type="dxa"/>
            <w:gridSpan w:val="2"/>
            <w:tcBorders>
              <w:top w:val="nil"/>
              <w:bottom w:val="nil"/>
              <w:right w:val="nil"/>
            </w:tcBorders>
            <w:shd w:val="clear" w:color="auto" w:fill="auto"/>
          </w:tcPr>
          <w:p w:rsidR="0017135D" w:rsidRPr="0015550F" w:rsidP="001812A4">
            <w:pPr>
              <w:pStyle w:val="CSBody8pt"/>
              <w:rPr>
                <w:i/>
              </w:rPr>
            </w:pPr>
          </w:p>
        </w:tc>
        <w:tc>
          <w:tcPr>
            <w:tcW w:w="3318" w:type="dxa"/>
            <w:gridSpan w:val="10"/>
            <w:tcBorders>
              <w:top w:val="nil"/>
              <w:left w:val="nil"/>
              <w:bottom w:val="nil"/>
              <w:right w:val="nil"/>
            </w:tcBorders>
            <w:shd w:val="clear" w:color="auto" w:fill="auto"/>
          </w:tcPr>
          <w:p w:rsidR="0017135D" w:rsidRPr="0015550F" w:rsidP="001812A4">
            <w:pPr>
              <w:pStyle w:val="CSBody8pt"/>
              <w:rPr>
                <w:lang w:val="de-DE"/>
              </w:rPr>
            </w:pPr>
            <w:r w:rsidRPr="00792D61">
              <w:rPr>
                <w:b/>
                <w:lang w:val="de-DE"/>
              </w:rPr>
              <w:t>[</w:t>
            </w:r>
            <w:r w:rsidRPr="001812A4">
              <w:rPr>
                <w:b/>
                <w:i/>
                <w:lang w:val="de-DE"/>
              </w:rPr>
              <w:t>bei mehreren Zahlungstagen für Variable Zinsen einfügen:</w:t>
            </w:r>
            <w:r w:rsidRPr="0015550F">
              <w:rPr>
                <w:lang w:val="de-DE"/>
              </w:rPr>
              <w:t xml:space="preserve"> in Bezug auf einen Zahlungstag für Variable Zinsen ein Satz per annum in Höhe des jeweils kleineren der folgenden Beträge: (i) der </w:t>
            </w:r>
            <w:r w:rsidRPr="00792D61">
              <w:rPr>
                <w:b/>
                <w:lang w:val="de-DE"/>
              </w:rPr>
              <w:t>[</w:t>
            </w:r>
            <w:r w:rsidRPr="0015550F">
              <w:rPr>
                <w:lang w:val="de-DE"/>
              </w:rPr>
              <w:t>jeweilige</w:t>
            </w:r>
            <w:r w:rsidRPr="00792D61">
              <w:rPr>
                <w:b/>
                <w:lang w:val="de-DE"/>
              </w:rPr>
              <w:t>]</w:t>
            </w:r>
            <w:r w:rsidRPr="0015550F">
              <w:rPr>
                <w:lang w:val="de-DE"/>
              </w:rPr>
              <w:t xml:space="preserve"> Höchstzinssatz oder (ii) der jeweils grössere der folgenden Beträge: (x) </w:t>
            </w:r>
            <w:r w:rsidRPr="00792D61">
              <w:rPr>
                <w:b/>
                <w:lang w:val="de-DE"/>
              </w:rPr>
              <w:t>[</w:t>
            </w:r>
            <w:r w:rsidRPr="0015550F">
              <w:rPr>
                <w:lang w:val="de-DE"/>
              </w:rPr>
              <w:t>die Summe aus dem</w:t>
            </w:r>
            <w:r w:rsidRPr="00792D61">
              <w:rPr>
                <w:b/>
                <w:lang w:val="de-DE"/>
              </w:rPr>
              <w:t>]</w:t>
            </w:r>
            <w:r w:rsidRPr="0015550F">
              <w:rPr>
                <w:lang w:val="de-DE"/>
              </w:rPr>
              <w:t xml:space="preserve"> </w:t>
            </w:r>
            <w:r w:rsidRPr="00792D61">
              <w:rPr>
                <w:b/>
                <w:lang w:val="de-DE"/>
              </w:rPr>
              <w:t>[</w:t>
            </w:r>
            <w:r w:rsidRPr="0015550F">
              <w:rPr>
                <w:lang w:val="de-DE"/>
              </w:rPr>
              <w:t>der</w:t>
            </w:r>
            <w:r w:rsidRPr="00792D61">
              <w:rPr>
                <w:b/>
                <w:lang w:val="de-DE"/>
              </w:rPr>
              <w:t>]</w:t>
            </w:r>
            <w:r w:rsidRPr="0015550F">
              <w:rPr>
                <w:lang w:val="de-DE"/>
              </w:rPr>
              <w:t xml:space="preserve"> Referenzsatz an dem jeweiligen Zinsfeststellungstag </w:t>
            </w:r>
            <w:r w:rsidRPr="00792D61">
              <w:rPr>
                <w:b/>
                <w:lang w:val="de-DE"/>
              </w:rPr>
              <w:t>[</w:t>
            </w:r>
            <w:r w:rsidRPr="0015550F">
              <w:rPr>
                <w:lang w:val="de-DE"/>
              </w:rPr>
              <w:t xml:space="preserve">und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 xml:space="preserve"> oder (y) der </w:t>
            </w:r>
            <w:r w:rsidRPr="00792D61">
              <w:rPr>
                <w:b/>
                <w:lang w:val="de-DE"/>
              </w:rPr>
              <w:t>[</w:t>
            </w:r>
            <w:r w:rsidRPr="0015550F">
              <w:rPr>
                <w:lang w:val="de-DE"/>
              </w:rPr>
              <w:t>jeweilige</w:t>
            </w:r>
            <w:r w:rsidRPr="00792D61">
              <w:rPr>
                <w:b/>
                <w:lang w:val="de-DE"/>
              </w:rPr>
              <w:t>]</w:t>
            </w:r>
            <w:r w:rsidRPr="0015550F">
              <w:rPr>
                <w:lang w:val="de-DE"/>
              </w:rPr>
              <w:t xml:space="preserve"> Mindestzinssatz.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bolditalics"/>
              <w:rPr>
                <w:lang w:val="de-DE"/>
              </w:rPr>
            </w:pPr>
          </w:p>
        </w:tc>
        <w:tc>
          <w:tcPr>
            <w:tcW w:w="3315" w:type="dxa"/>
            <w:gridSpan w:val="7"/>
            <w:tcBorders>
              <w:top w:val="nil"/>
              <w:left w:val="nil"/>
              <w:bottom w:val="nil"/>
            </w:tcBorders>
            <w:shd w:val="clear" w:color="auto" w:fill="auto"/>
          </w:tcPr>
          <w:p w:rsidR="0017135D" w:rsidP="001812A4">
            <w:pPr>
              <w:pStyle w:val="CSBody8ptbolditalics"/>
            </w:pPr>
            <w:r w:rsidRPr="00792D61">
              <w:t>[</w:t>
            </w:r>
            <w:r w:rsidRPr="00C32FD5">
              <w:t>in the case of Fixed to Floating Rate Notes with a Cap but no Floor, insert:</w:t>
            </w:r>
          </w:p>
        </w:tc>
        <w:tc>
          <w:tcPr>
            <w:tcW w:w="1618" w:type="dxa"/>
            <w:gridSpan w:val="2"/>
            <w:tcBorders>
              <w:top w:val="nil"/>
              <w:bottom w:val="nil"/>
              <w:right w:val="nil"/>
            </w:tcBorders>
            <w:shd w:val="clear" w:color="auto" w:fill="auto"/>
          </w:tcPr>
          <w:p w:rsidR="0017135D" w:rsidRPr="0015550F" w:rsidP="001812A4">
            <w:pPr>
              <w:pStyle w:val="CSBody8ptbolditalics"/>
            </w:pPr>
          </w:p>
        </w:tc>
        <w:tc>
          <w:tcPr>
            <w:tcW w:w="3318" w:type="dxa"/>
            <w:gridSpan w:val="10"/>
            <w:tcBorders>
              <w:top w:val="nil"/>
              <w:left w:val="nil"/>
              <w:bottom w:val="nil"/>
              <w:right w:val="nil"/>
            </w:tcBorders>
            <w:shd w:val="clear" w:color="auto" w:fill="auto"/>
          </w:tcPr>
          <w:p w:rsidR="0017135D" w:rsidP="001812A4">
            <w:pPr>
              <w:pStyle w:val="CSBody8ptbolditalics"/>
            </w:pPr>
            <w:r w:rsidRPr="00792D61">
              <w:t>[</w:t>
            </w:r>
            <w:r w:rsidRPr="001E6192">
              <w:t>bei Fixed to Floating Rate Notes mit Cap aber ohne Floor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
            </w:pPr>
          </w:p>
        </w:tc>
        <w:tc>
          <w:tcPr>
            <w:tcW w:w="3315" w:type="dxa"/>
            <w:gridSpan w:val="7"/>
            <w:tcBorders>
              <w:top w:val="nil"/>
              <w:left w:val="nil"/>
              <w:bottom w:val="nil"/>
            </w:tcBorders>
            <w:shd w:val="clear" w:color="auto" w:fill="auto"/>
          </w:tcPr>
          <w:p w:rsidR="0017135D" w:rsidRPr="00083EFA" w:rsidP="001812A4">
            <w:pPr>
              <w:pStyle w:val="CSBody8pt"/>
            </w:pPr>
            <w:r w:rsidRPr="00792D61">
              <w:rPr>
                <w:b/>
              </w:rPr>
              <w:t>[</w:t>
            </w:r>
            <w:r w:rsidRPr="001812A4">
              <w:rPr>
                <w:b/>
                <w:i/>
              </w:rPr>
              <w:t>in the case of one Variable Interest Payment Date, insert:</w:t>
            </w:r>
            <w:r w:rsidRPr="00083EFA">
              <w:t xml:space="preserve"> a rate per annum equal to the lesser of (i) the Maximum Interest Rate and (ii) </w:t>
            </w:r>
            <w:r w:rsidRPr="00792D61">
              <w:rPr>
                <w:b/>
              </w:rPr>
              <w:t>[</w:t>
            </w:r>
            <w:r w:rsidRPr="00083EFA">
              <w:t>the sum of</w:t>
            </w:r>
            <w:r w:rsidRPr="00792D61">
              <w:rPr>
                <w:b/>
              </w:rPr>
              <w:t>]</w:t>
            </w:r>
            <w:r w:rsidRPr="00083EFA">
              <w:t xml:space="preserve"> the Reference Rate on the Interest Determination Date </w:t>
            </w:r>
            <w:r w:rsidRPr="00792D61">
              <w:rPr>
                <w:b/>
              </w:rPr>
              <w:t>[</w:t>
            </w:r>
            <w:r w:rsidRPr="00083EFA">
              <w:t xml:space="preserve">and </w:t>
            </w:r>
            <w:r w:rsidRPr="00792D61">
              <w:rPr>
                <w:b/>
              </w:rPr>
              <w:t>[</w:t>
            </w:r>
            <w:r w:rsidRPr="00083EFA">
              <w:rPr>
                <w:rFonts w:ascii="Arial" w:hAnsi="Arial" w:cs="Arial"/>
              </w:rPr>
              <w:t>●</w:t>
            </w:r>
            <w:r w:rsidRPr="00792D61">
              <w:rPr>
                <w:b/>
              </w:rPr>
              <w:t>]</w:t>
            </w:r>
            <w:r w:rsidRPr="00083EFA">
              <w:t>% per annum</w:t>
            </w:r>
            <w:r w:rsidRPr="00792D61">
              <w:rPr>
                <w:b/>
              </w:rPr>
              <w:t>]</w:t>
            </w:r>
            <w:r w:rsidRPr="00083EFA">
              <w:t>.</w:t>
            </w:r>
            <w:r w:rsidRPr="00792D61">
              <w:rPr>
                <w:b/>
              </w:rPr>
              <w:t>]</w:t>
            </w:r>
          </w:p>
        </w:tc>
        <w:tc>
          <w:tcPr>
            <w:tcW w:w="1618" w:type="dxa"/>
            <w:gridSpan w:val="2"/>
            <w:tcBorders>
              <w:top w:val="nil"/>
              <w:bottom w:val="nil"/>
              <w:right w:val="nil"/>
            </w:tcBorders>
            <w:shd w:val="clear" w:color="auto" w:fill="auto"/>
          </w:tcPr>
          <w:p w:rsidR="0017135D" w:rsidRPr="0015550F" w:rsidP="001812A4">
            <w:pPr>
              <w:pStyle w:val="CSBody8pt"/>
              <w:rPr>
                <w:i/>
              </w:rPr>
            </w:pPr>
          </w:p>
        </w:tc>
        <w:tc>
          <w:tcPr>
            <w:tcW w:w="3318" w:type="dxa"/>
            <w:gridSpan w:val="10"/>
            <w:tcBorders>
              <w:top w:val="nil"/>
              <w:left w:val="nil"/>
              <w:bottom w:val="nil"/>
              <w:right w:val="nil"/>
            </w:tcBorders>
            <w:shd w:val="clear" w:color="auto" w:fill="auto"/>
          </w:tcPr>
          <w:p w:rsidR="0017135D" w:rsidRPr="0015550F" w:rsidP="00516CB4">
            <w:pPr>
              <w:pStyle w:val="CSBody8pt"/>
              <w:rPr>
                <w:lang w:val="de-DE"/>
              </w:rPr>
            </w:pPr>
            <w:r w:rsidRPr="00792D61">
              <w:rPr>
                <w:b/>
                <w:lang w:val="de-DE"/>
              </w:rPr>
              <w:t>[</w:t>
            </w:r>
            <w:r w:rsidRPr="001812A4">
              <w:rPr>
                <w:b/>
                <w:i/>
                <w:lang w:val="de-DE"/>
              </w:rPr>
              <w:t>bei nur einem Zahlungstag für Variable Zinsen einfügen:</w:t>
            </w:r>
            <w:r w:rsidRPr="0015550F">
              <w:rPr>
                <w:lang w:val="de-DE"/>
              </w:rPr>
              <w:t xml:space="preserve"> ein Satz per annum in Höhe des jeweils kleineren der folgenden Beträge: (i) der Höchstzinssatz oder (ii) </w:t>
            </w:r>
            <w:r w:rsidRPr="00792D61">
              <w:rPr>
                <w:b/>
                <w:lang w:val="de-DE"/>
              </w:rPr>
              <w:t>[</w:t>
            </w:r>
            <w:r w:rsidRPr="0015550F">
              <w:rPr>
                <w:lang w:val="de-DE"/>
              </w:rPr>
              <w:t>die Summe aus dem</w:t>
            </w:r>
            <w:r w:rsidRPr="00792D61">
              <w:rPr>
                <w:b/>
                <w:lang w:val="de-DE"/>
              </w:rPr>
              <w:t>]</w:t>
            </w:r>
            <w:r w:rsidRPr="0015550F">
              <w:rPr>
                <w:lang w:val="de-DE"/>
              </w:rPr>
              <w:t xml:space="preserve"> </w:t>
            </w:r>
            <w:r w:rsidRPr="00792D61">
              <w:rPr>
                <w:b/>
                <w:lang w:val="de-DE"/>
              </w:rPr>
              <w:t>[</w:t>
            </w:r>
            <w:r w:rsidRPr="0015550F">
              <w:rPr>
                <w:lang w:val="de-DE"/>
              </w:rPr>
              <w:t>der</w:t>
            </w:r>
            <w:r w:rsidRPr="00792D61">
              <w:rPr>
                <w:b/>
                <w:lang w:val="de-DE"/>
              </w:rPr>
              <w:t>]</w:t>
            </w:r>
            <w:r w:rsidRPr="0015550F">
              <w:rPr>
                <w:lang w:val="de-DE"/>
              </w:rPr>
              <w:t xml:space="preserve"> Referenzsatz am Zinsfeststellungstag </w:t>
            </w:r>
            <w:r w:rsidRPr="00792D61">
              <w:rPr>
                <w:b/>
                <w:lang w:val="de-DE"/>
              </w:rPr>
              <w:t>[</w:t>
            </w:r>
            <w:r w:rsidRPr="0015550F">
              <w:rPr>
                <w:lang w:val="de-DE"/>
              </w:rPr>
              <w:t xml:space="preserve">und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
              <w:rPr>
                <w:lang w:val="de-DE"/>
              </w:rPr>
            </w:pPr>
          </w:p>
        </w:tc>
        <w:tc>
          <w:tcPr>
            <w:tcW w:w="3315" w:type="dxa"/>
            <w:gridSpan w:val="7"/>
            <w:tcBorders>
              <w:top w:val="nil"/>
              <w:left w:val="nil"/>
              <w:bottom w:val="nil"/>
            </w:tcBorders>
            <w:shd w:val="clear" w:color="auto" w:fill="auto"/>
          </w:tcPr>
          <w:p w:rsidR="0017135D" w:rsidP="001812A4">
            <w:pPr>
              <w:pStyle w:val="CSBody8pt"/>
            </w:pPr>
            <w:r w:rsidRPr="00792D61">
              <w:rPr>
                <w:b/>
              </w:rPr>
              <w:t>[</w:t>
            </w:r>
            <w:r w:rsidRPr="001812A4">
              <w:rPr>
                <w:b/>
                <w:i/>
              </w:rPr>
              <w:t>in the case of multiple Variable Interest Payment Dates, insert:</w:t>
            </w:r>
            <w:r w:rsidRPr="00083EFA">
              <w:t xml:space="preserve"> with respect to any Variable Interest Payment Date, a rate per annum equal to the lesser of (i) the </w:t>
            </w:r>
            <w:r w:rsidRPr="00792D61">
              <w:rPr>
                <w:b/>
              </w:rPr>
              <w:t>[</w:t>
            </w:r>
            <w:r w:rsidRPr="00083EFA">
              <w:t>relevant</w:t>
            </w:r>
            <w:r w:rsidRPr="00792D61">
              <w:rPr>
                <w:b/>
              </w:rPr>
              <w:t>]</w:t>
            </w:r>
            <w:r w:rsidRPr="00083EFA">
              <w:t xml:space="preserve"> Maximum Interest Rate and (ii) </w:t>
            </w:r>
            <w:r w:rsidRPr="00792D61">
              <w:rPr>
                <w:b/>
              </w:rPr>
              <w:t>[</w:t>
            </w:r>
            <w:r w:rsidRPr="00083EFA">
              <w:t>the sum of</w:t>
            </w:r>
            <w:r w:rsidRPr="00792D61">
              <w:rPr>
                <w:b/>
              </w:rPr>
              <w:t>]</w:t>
            </w:r>
            <w:r w:rsidRPr="00083EFA">
              <w:t xml:space="preserve"> the Reference Rate on the relevant Interest Determination Date </w:t>
            </w:r>
            <w:r w:rsidRPr="00792D61">
              <w:rPr>
                <w:b/>
              </w:rPr>
              <w:t>[</w:t>
            </w:r>
            <w:r w:rsidRPr="00083EFA">
              <w:t xml:space="preserve">and </w:t>
            </w:r>
            <w:r w:rsidRPr="00792D61">
              <w:rPr>
                <w:b/>
              </w:rPr>
              <w:t>[</w:t>
            </w:r>
            <w:r w:rsidRPr="00083EFA">
              <w:rPr>
                <w:rFonts w:ascii="Arial" w:hAnsi="Arial" w:cs="Arial"/>
              </w:rPr>
              <w:t>●</w:t>
            </w:r>
            <w:r w:rsidRPr="00792D61">
              <w:rPr>
                <w:b/>
              </w:rPr>
              <w:t>]</w:t>
            </w:r>
            <w:r w:rsidRPr="00083EFA">
              <w:t>% per annum</w:t>
            </w:r>
            <w:r w:rsidRPr="00792D61">
              <w:rPr>
                <w:b/>
              </w:rPr>
              <w:t>]</w:t>
            </w:r>
            <w:r w:rsidRPr="00083EFA">
              <w:t>.</w:t>
            </w:r>
            <w:r w:rsidRPr="00792D61">
              <w:rPr>
                <w:b/>
              </w:rPr>
              <w:t>]]</w:t>
            </w:r>
          </w:p>
        </w:tc>
        <w:tc>
          <w:tcPr>
            <w:tcW w:w="1618" w:type="dxa"/>
            <w:gridSpan w:val="2"/>
            <w:tcBorders>
              <w:top w:val="nil"/>
              <w:bottom w:val="nil"/>
              <w:right w:val="nil"/>
            </w:tcBorders>
            <w:shd w:val="clear" w:color="auto" w:fill="auto"/>
          </w:tcPr>
          <w:p w:rsidR="0017135D" w:rsidRPr="0015550F" w:rsidP="001812A4">
            <w:pPr>
              <w:pStyle w:val="CSBody8pt"/>
              <w:rPr>
                <w:i/>
              </w:rPr>
            </w:pPr>
          </w:p>
        </w:tc>
        <w:tc>
          <w:tcPr>
            <w:tcW w:w="3318" w:type="dxa"/>
            <w:gridSpan w:val="10"/>
            <w:tcBorders>
              <w:top w:val="nil"/>
              <w:left w:val="nil"/>
              <w:bottom w:val="nil"/>
              <w:right w:val="nil"/>
            </w:tcBorders>
            <w:shd w:val="clear" w:color="auto" w:fill="auto"/>
          </w:tcPr>
          <w:p w:rsidR="0017135D" w:rsidRPr="0015550F" w:rsidP="001812A4">
            <w:pPr>
              <w:pStyle w:val="CSBody8pt"/>
              <w:rPr>
                <w:lang w:val="de-DE"/>
              </w:rPr>
            </w:pPr>
            <w:r w:rsidRPr="00792D61">
              <w:rPr>
                <w:b/>
                <w:lang w:val="de-DE"/>
              </w:rPr>
              <w:t>[</w:t>
            </w:r>
            <w:r w:rsidRPr="001812A4">
              <w:rPr>
                <w:b/>
                <w:i/>
                <w:lang w:val="de-DE"/>
              </w:rPr>
              <w:t>bei mehreren Zahlungstagen für Variable Zinsen einfügen:</w:t>
            </w:r>
            <w:r w:rsidRPr="0015550F">
              <w:rPr>
                <w:lang w:val="de-DE"/>
              </w:rPr>
              <w:t xml:space="preserve"> in Bezug auf einen Zahlungstag für Variable Zinsen ein Satz per annum in Höhe des jeweils kleineren der folgenden Beträge: (i) der </w:t>
            </w:r>
            <w:r w:rsidRPr="00792D61">
              <w:rPr>
                <w:b/>
                <w:lang w:val="de-DE"/>
              </w:rPr>
              <w:t>[</w:t>
            </w:r>
            <w:r w:rsidRPr="0015550F">
              <w:rPr>
                <w:lang w:val="de-DE"/>
              </w:rPr>
              <w:t>jeweilige</w:t>
            </w:r>
            <w:r w:rsidRPr="00792D61">
              <w:rPr>
                <w:b/>
                <w:lang w:val="de-DE"/>
              </w:rPr>
              <w:t>]</w:t>
            </w:r>
            <w:r w:rsidRPr="0015550F">
              <w:rPr>
                <w:lang w:val="de-DE"/>
              </w:rPr>
              <w:t xml:space="preserve"> Höchstzinssatz oder (ii) </w:t>
            </w:r>
            <w:r w:rsidRPr="00792D61">
              <w:rPr>
                <w:b/>
                <w:lang w:val="de-DE"/>
              </w:rPr>
              <w:t>[</w:t>
            </w:r>
            <w:r w:rsidRPr="0015550F">
              <w:rPr>
                <w:lang w:val="de-DE"/>
              </w:rPr>
              <w:t>die Summe aus dem</w:t>
            </w:r>
            <w:r w:rsidRPr="00792D61">
              <w:rPr>
                <w:b/>
                <w:lang w:val="de-DE"/>
              </w:rPr>
              <w:t>][</w:t>
            </w:r>
            <w:r w:rsidRPr="0015550F">
              <w:rPr>
                <w:lang w:val="de-DE"/>
              </w:rPr>
              <w:t>der</w:t>
            </w:r>
            <w:r w:rsidRPr="00792D61">
              <w:rPr>
                <w:b/>
                <w:lang w:val="de-DE"/>
              </w:rPr>
              <w:t>]</w:t>
            </w:r>
            <w:r w:rsidRPr="0015550F">
              <w:rPr>
                <w:lang w:val="de-DE"/>
              </w:rPr>
              <w:t xml:space="preserve"> Referenzsatz an dem jeweiligen Zinsfeststellungstag </w:t>
            </w:r>
            <w:r w:rsidRPr="00792D61">
              <w:rPr>
                <w:b/>
                <w:lang w:val="de-DE"/>
              </w:rPr>
              <w:t>[</w:t>
            </w:r>
            <w:r w:rsidRPr="0015550F">
              <w:rPr>
                <w:lang w:val="de-DE"/>
              </w:rPr>
              <w:t xml:space="preserve">und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1812A4">
            <w:pPr>
              <w:pStyle w:val="CSBody8ptbolditalics"/>
              <w:rPr>
                <w:lang w:val="de-DE"/>
              </w:rPr>
            </w:pPr>
          </w:p>
        </w:tc>
        <w:tc>
          <w:tcPr>
            <w:tcW w:w="3315" w:type="dxa"/>
            <w:gridSpan w:val="7"/>
            <w:tcBorders>
              <w:top w:val="nil"/>
              <w:left w:val="nil"/>
              <w:bottom w:val="nil"/>
            </w:tcBorders>
            <w:shd w:val="clear" w:color="auto" w:fill="auto"/>
          </w:tcPr>
          <w:p w:rsidR="0017135D" w:rsidRPr="008E5FD1" w:rsidP="001812A4">
            <w:pPr>
              <w:pStyle w:val="CSBody8ptbolditalics"/>
            </w:pPr>
            <w:r w:rsidRPr="00792D61">
              <w:t>[</w:t>
            </w:r>
            <w:r w:rsidRPr="008E5FD1">
              <w:t>in the case of Fixed to Floating Rate Notes with a Floor but no Cap, insert:</w:t>
            </w:r>
          </w:p>
        </w:tc>
        <w:tc>
          <w:tcPr>
            <w:tcW w:w="1618" w:type="dxa"/>
            <w:gridSpan w:val="2"/>
            <w:tcBorders>
              <w:top w:val="nil"/>
              <w:bottom w:val="nil"/>
              <w:right w:val="nil"/>
            </w:tcBorders>
            <w:shd w:val="clear" w:color="auto" w:fill="auto"/>
          </w:tcPr>
          <w:p w:rsidR="0017135D" w:rsidRPr="0015550F" w:rsidP="001812A4">
            <w:pPr>
              <w:pStyle w:val="CSBody8ptbolditalics"/>
            </w:pPr>
          </w:p>
        </w:tc>
        <w:tc>
          <w:tcPr>
            <w:tcW w:w="3318" w:type="dxa"/>
            <w:gridSpan w:val="10"/>
            <w:tcBorders>
              <w:top w:val="nil"/>
              <w:left w:val="nil"/>
              <w:bottom w:val="nil"/>
              <w:right w:val="nil"/>
            </w:tcBorders>
            <w:shd w:val="clear" w:color="auto" w:fill="auto"/>
          </w:tcPr>
          <w:p w:rsidR="0017135D" w:rsidRPr="00BD6E0D" w:rsidP="001812A4">
            <w:pPr>
              <w:pStyle w:val="CSBody8ptbolditalics"/>
            </w:pPr>
            <w:r w:rsidRPr="00BD6E0D">
              <w:t xml:space="preserve">[bei Fixed to Floating Rate Notes mit </w:t>
            </w:r>
            <w:r w:rsidRPr="00BD6E0D" w:rsidR="00C2522A">
              <w:t>Floor</w:t>
            </w:r>
            <w:r w:rsidRPr="00BD6E0D">
              <w:t xml:space="preserve"> aber ohne </w:t>
            </w:r>
            <w:r w:rsidRPr="00BD6E0D" w:rsidR="00C2522A">
              <w:t>Cap</w:t>
            </w:r>
            <w:r w:rsidRPr="00BD6E0D">
              <w:t xml:space="preserve">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812A4" w:rsidP="001812A4">
            <w:pPr>
              <w:pStyle w:val="CSBody8pt"/>
            </w:pPr>
          </w:p>
        </w:tc>
        <w:tc>
          <w:tcPr>
            <w:tcW w:w="3315" w:type="dxa"/>
            <w:gridSpan w:val="7"/>
            <w:tcBorders>
              <w:top w:val="nil"/>
              <w:left w:val="nil"/>
              <w:bottom w:val="nil"/>
            </w:tcBorders>
            <w:shd w:val="clear" w:color="auto" w:fill="auto"/>
          </w:tcPr>
          <w:p w:rsidR="0017135D" w:rsidRPr="001812A4" w:rsidP="001812A4">
            <w:pPr>
              <w:pStyle w:val="CSBody8pt"/>
            </w:pPr>
            <w:r w:rsidRPr="00792D61">
              <w:rPr>
                <w:b/>
              </w:rPr>
              <w:t>[</w:t>
            </w:r>
            <w:r w:rsidRPr="001812A4">
              <w:rPr>
                <w:b/>
                <w:i/>
              </w:rPr>
              <w:t>in the case of one Variable Interest Payment Date, insert:</w:t>
            </w:r>
            <w:r w:rsidRPr="001812A4">
              <w:t xml:space="preserve"> a rate per annum equal to the greater of (i) the Minimum Interest Rate and (ii) </w:t>
            </w:r>
            <w:r w:rsidRPr="00792D61">
              <w:rPr>
                <w:b/>
              </w:rPr>
              <w:t>[</w:t>
            </w:r>
            <w:r w:rsidRPr="001812A4">
              <w:t>the sum of</w:t>
            </w:r>
            <w:r w:rsidRPr="00792D61">
              <w:rPr>
                <w:b/>
              </w:rPr>
              <w:t>]</w:t>
            </w:r>
            <w:r w:rsidRPr="001812A4">
              <w:t xml:space="preserve"> the Reference Rate on the Interest Determination Date </w:t>
            </w:r>
            <w:r w:rsidRPr="00792D61">
              <w:rPr>
                <w:b/>
              </w:rPr>
              <w:t>[</w:t>
            </w:r>
            <w:r w:rsidRPr="001812A4">
              <w:t xml:space="preserve">and </w:t>
            </w:r>
            <w:r w:rsidRPr="00792D61">
              <w:rPr>
                <w:b/>
              </w:rPr>
              <w:t>[</w:t>
            </w:r>
            <w:r w:rsidRPr="001812A4">
              <w:rPr>
                <w:rFonts w:ascii="Arial" w:hAnsi="Arial" w:cs="Arial"/>
              </w:rPr>
              <w:t>●</w:t>
            </w:r>
            <w:r w:rsidRPr="00792D61">
              <w:rPr>
                <w:b/>
              </w:rPr>
              <w:t>]</w:t>
            </w:r>
            <w:r w:rsidRPr="001812A4">
              <w:t>% per annum</w:t>
            </w:r>
            <w:r w:rsidRPr="00792D61">
              <w:rPr>
                <w:b/>
              </w:rPr>
              <w:t>]</w:t>
            </w:r>
            <w:r w:rsidRPr="001812A4">
              <w:t>.</w:t>
            </w:r>
            <w:r w:rsidRPr="00792D61">
              <w:rPr>
                <w:b/>
              </w:rPr>
              <w:t>]</w:t>
            </w:r>
          </w:p>
        </w:tc>
        <w:tc>
          <w:tcPr>
            <w:tcW w:w="1618" w:type="dxa"/>
            <w:gridSpan w:val="2"/>
            <w:tcBorders>
              <w:top w:val="nil"/>
              <w:bottom w:val="nil"/>
              <w:right w:val="nil"/>
            </w:tcBorders>
            <w:shd w:val="clear" w:color="auto" w:fill="auto"/>
          </w:tcPr>
          <w:p w:rsidR="0017135D" w:rsidRPr="001812A4" w:rsidP="001812A4">
            <w:pPr>
              <w:pStyle w:val="CSBody8pt"/>
            </w:pPr>
          </w:p>
        </w:tc>
        <w:tc>
          <w:tcPr>
            <w:tcW w:w="3318" w:type="dxa"/>
            <w:gridSpan w:val="10"/>
            <w:tcBorders>
              <w:top w:val="nil"/>
              <w:left w:val="nil"/>
              <w:bottom w:val="nil"/>
              <w:right w:val="nil"/>
            </w:tcBorders>
            <w:shd w:val="clear" w:color="auto" w:fill="auto"/>
          </w:tcPr>
          <w:p w:rsidR="0017135D" w:rsidRPr="00EF3A31" w:rsidP="00516CB4">
            <w:pPr>
              <w:pStyle w:val="CSBody8pt"/>
              <w:rPr>
                <w:lang w:val="de-DE"/>
              </w:rPr>
            </w:pPr>
            <w:r w:rsidRPr="00792D61">
              <w:rPr>
                <w:b/>
                <w:lang w:val="de-DE"/>
              </w:rPr>
              <w:t>[</w:t>
            </w:r>
            <w:r w:rsidRPr="00EF3A31">
              <w:rPr>
                <w:b/>
                <w:i/>
                <w:lang w:val="de-DE"/>
              </w:rPr>
              <w:t>bei nur einem Zahlungstag für Variable Zinsen einfügen:</w:t>
            </w:r>
            <w:r w:rsidRPr="00EF3A31">
              <w:rPr>
                <w:lang w:val="de-DE"/>
              </w:rPr>
              <w:t xml:space="preserve"> ein Satz per annum in Höhe des jeweils </w:t>
            </w:r>
            <w:r w:rsidR="00C2522A">
              <w:rPr>
                <w:lang w:val="de-DE"/>
              </w:rPr>
              <w:t>grösseren</w:t>
            </w:r>
            <w:r w:rsidRPr="00EF3A31">
              <w:rPr>
                <w:lang w:val="de-DE"/>
              </w:rPr>
              <w:t xml:space="preserve"> der folgenden Beträge: (i) der </w:t>
            </w:r>
            <w:r w:rsidR="00C2522A">
              <w:rPr>
                <w:lang w:val="de-DE"/>
              </w:rPr>
              <w:t>Mindestzinssatz</w:t>
            </w:r>
            <w:r w:rsidRPr="00EF3A31">
              <w:rPr>
                <w:lang w:val="de-DE"/>
              </w:rPr>
              <w:t xml:space="preserve"> oder (ii) </w:t>
            </w:r>
            <w:r w:rsidRPr="00792D61">
              <w:rPr>
                <w:b/>
                <w:lang w:val="de-DE"/>
              </w:rPr>
              <w:t>[</w:t>
            </w:r>
            <w:r w:rsidRPr="00EF3A31">
              <w:rPr>
                <w:lang w:val="de-DE"/>
              </w:rPr>
              <w:t>die Summe aus dem</w:t>
            </w:r>
            <w:r w:rsidRPr="00792D61">
              <w:rPr>
                <w:b/>
                <w:lang w:val="de-DE"/>
              </w:rPr>
              <w:t>]</w:t>
            </w:r>
            <w:r w:rsidRPr="00EF3A31">
              <w:rPr>
                <w:lang w:val="de-DE"/>
              </w:rPr>
              <w:t xml:space="preserve"> </w:t>
            </w:r>
            <w:r w:rsidRPr="00792D61">
              <w:rPr>
                <w:b/>
                <w:lang w:val="de-DE"/>
              </w:rPr>
              <w:t>[</w:t>
            </w:r>
            <w:r w:rsidRPr="00EF3A31">
              <w:rPr>
                <w:lang w:val="de-DE"/>
              </w:rPr>
              <w:t>der</w:t>
            </w:r>
            <w:r w:rsidRPr="00792D61">
              <w:rPr>
                <w:b/>
                <w:lang w:val="de-DE"/>
              </w:rPr>
              <w:t>]</w:t>
            </w:r>
            <w:r w:rsidRPr="00EF3A31">
              <w:rPr>
                <w:lang w:val="de-DE"/>
              </w:rPr>
              <w:t xml:space="preserve"> Referenzsatz am Zinsfeststellungstag </w:t>
            </w:r>
            <w:r w:rsidRPr="00792D61">
              <w:rPr>
                <w:b/>
                <w:lang w:val="de-DE"/>
              </w:rPr>
              <w:t>[</w:t>
            </w:r>
            <w:r w:rsidRPr="00EF3A31">
              <w:rPr>
                <w:lang w:val="de-DE"/>
              </w:rPr>
              <w:t xml:space="preserve">und </w:t>
            </w:r>
            <w:r w:rsidRPr="00792D61">
              <w:rPr>
                <w:b/>
                <w:lang w:val="de-DE"/>
              </w:rPr>
              <w:t>[</w:t>
            </w:r>
            <w:r w:rsidRPr="00EF3A31">
              <w:rPr>
                <w:rFonts w:ascii="Arial" w:hAnsi="Arial" w:cs="Arial"/>
                <w:lang w:val="de-DE"/>
              </w:rPr>
              <w:t>●</w:t>
            </w:r>
            <w:r w:rsidRPr="00792D61">
              <w:rPr>
                <w:b/>
                <w:lang w:val="de-DE"/>
              </w:rPr>
              <w:t>]</w:t>
            </w:r>
            <w:r w:rsidRPr="00EF3A31">
              <w:rPr>
                <w:lang w:val="de-DE"/>
              </w:rPr>
              <w:t>% per annum</w:t>
            </w:r>
            <w:r w:rsidRPr="00792D61">
              <w:rPr>
                <w:b/>
                <w:lang w:val="de-DE"/>
              </w:rPr>
              <w:t>]</w:t>
            </w:r>
            <w:r w:rsidRPr="00EF3A31">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F3A31" w:rsidP="001812A4">
            <w:pPr>
              <w:pStyle w:val="CSBody8pt"/>
              <w:rPr>
                <w:lang w:val="de-DE"/>
              </w:rPr>
            </w:pPr>
          </w:p>
        </w:tc>
        <w:tc>
          <w:tcPr>
            <w:tcW w:w="3315" w:type="dxa"/>
            <w:gridSpan w:val="7"/>
            <w:tcBorders>
              <w:top w:val="nil"/>
              <w:left w:val="nil"/>
              <w:bottom w:val="nil"/>
            </w:tcBorders>
            <w:shd w:val="clear" w:color="auto" w:fill="auto"/>
          </w:tcPr>
          <w:p w:rsidR="0017135D" w:rsidRPr="001812A4" w:rsidP="001812A4">
            <w:pPr>
              <w:pStyle w:val="CSBody8pt"/>
            </w:pPr>
            <w:r w:rsidRPr="00792D61">
              <w:rPr>
                <w:b/>
              </w:rPr>
              <w:t>[</w:t>
            </w:r>
            <w:r w:rsidRPr="001812A4">
              <w:rPr>
                <w:b/>
                <w:i/>
              </w:rPr>
              <w:t>in the case of multiple Variable Interest Payment Dates, insert:</w:t>
            </w:r>
            <w:r w:rsidRPr="001812A4">
              <w:t xml:space="preserve"> with respect to any Variable Interest Payment Date, a rate per annum equal to the greater of (i) the </w:t>
            </w:r>
            <w:r w:rsidRPr="00792D61">
              <w:rPr>
                <w:b/>
              </w:rPr>
              <w:t>[</w:t>
            </w:r>
            <w:r w:rsidRPr="001812A4">
              <w:t>relevant</w:t>
            </w:r>
            <w:r w:rsidRPr="00792D61">
              <w:rPr>
                <w:b/>
              </w:rPr>
              <w:t>]</w:t>
            </w:r>
            <w:r w:rsidRPr="001812A4">
              <w:t xml:space="preserve"> Minimum Interest Rate and (ii) </w:t>
            </w:r>
            <w:r w:rsidRPr="00792D61">
              <w:rPr>
                <w:b/>
              </w:rPr>
              <w:t>[</w:t>
            </w:r>
            <w:r w:rsidRPr="001812A4">
              <w:t>the sum of</w:t>
            </w:r>
            <w:r w:rsidRPr="00792D61">
              <w:rPr>
                <w:b/>
              </w:rPr>
              <w:t>]</w:t>
            </w:r>
            <w:r w:rsidRPr="001812A4">
              <w:t xml:space="preserve"> the Reference Rate on the relevant Interest Determination Date </w:t>
            </w:r>
            <w:r w:rsidRPr="00792D61">
              <w:rPr>
                <w:b/>
              </w:rPr>
              <w:t>[</w:t>
            </w:r>
            <w:r w:rsidRPr="001812A4">
              <w:t xml:space="preserve">and </w:t>
            </w:r>
            <w:r w:rsidRPr="00792D61">
              <w:rPr>
                <w:b/>
              </w:rPr>
              <w:t>[</w:t>
            </w:r>
            <w:r w:rsidRPr="001812A4">
              <w:rPr>
                <w:rFonts w:ascii="Arial" w:hAnsi="Arial" w:cs="Arial"/>
              </w:rPr>
              <w:t>●</w:t>
            </w:r>
            <w:r w:rsidRPr="00792D61">
              <w:rPr>
                <w:b/>
              </w:rPr>
              <w:t>]</w:t>
            </w:r>
            <w:r w:rsidRPr="001812A4">
              <w:t>% per annum</w:t>
            </w:r>
            <w:r w:rsidRPr="00792D61">
              <w:rPr>
                <w:b/>
              </w:rPr>
              <w:t>]</w:t>
            </w:r>
            <w:r w:rsidRPr="001812A4">
              <w:t>.</w:t>
            </w:r>
            <w:r w:rsidRPr="00792D61">
              <w:rPr>
                <w:b/>
              </w:rPr>
              <w:t>]]</w:t>
            </w:r>
          </w:p>
        </w:tc>
        <w:tc>
          <w:tcPr>
            <w:tcW w:w="1618" w:type="dxa"/>
            <w:gridSpan w:val="2"/>
            <w:tcBorders>
              <w:top w:val="nil"/>
              <w:bottom w:val="nil"/>
              <w:right w:val="nil"/>
            </w:tcBorders>
            <w:shd w:val="clear" w:color="auto" w:fill="auto"/>
          </w:tcPr>
          <w:p w:rsidR="0017135D" w:rsidRPr="001812A4" w:rsidP="001812A4">
            <w:pPr>
              <w:pStyle w:val="CSBody8pt"/>
            </w:pPr>
          </w:p>
        </w:tc>
        <w:tc>
          <w:tcPr>
            <w:tcW w:w="3318" w:type="dxa"/>
            <w:gridSpan w:val="10"/>
            <w:tcBorders>
              <w:top w:val="nil"/>
              <w:left w:val="nil"/>
              <w:bottom w:val="nil"/>
              <w:right w:val="nil"/>
            </w:tcBorders>
            <w:shd w:val="clear" w:color="auto" w:fill="auto"/>
          </w:tcPr>
          <w:p w:rsidR="0017135D" w:rsidRPr="00EF3A31" w:rsidP="001812A4">
            <w:pPr>
              <w:pStyle w:val="CSBody8pt"/>
              <w:rPr>
                <w:lang w:val="de-DE"/>
              </w:rPr>
            </w:pPr>
            <w:r w:rsidRPr="00792D61">
              <w:rPr>
                <w:b/>
                <w:lang w:val="de-DE"/>
              </w:rPr>
              <w:t>[</w:t>
            </w:r>
            <w:r w:rsidRPr="00EF3A31">
              <w:rPr>
                <w:b/>
                <w:i/>
                <w:lang w:val="de-DE"/>
              </w:rPr>
              <w:t>bei mehreren Zahlungstagen für Variable Zinsen einfügen:</w:t>
            </w:r>
            <w:r w:rsidRPr="00EF3A31">
              <w:rPr>
                <w:lang w:val="de-DE"/>
              </w:rPr>
              <w:t xml:space="preserve"> in Bezug auf einen Zahlungstag für Variable Zinsen ein Satz per annum in Höhe des jeweils grösseren der folgenden Beträge: (i) der </w:t>
            </w:r>
            <w:r w:rsidRPr="00792D61">
              <w:rPr>
                <w:b/>
                <w:lang w:val="de-DE"/>
              </w:rPr>
              <w:t>[</w:t>
            </w:r>
            <w:r w:rsidRPr="00EF3A31">
              <w:rPr>
                <w:lang w:val="de-DE"/>
              </w:rPr>
              <w:t>jeweilige</w:t>
            </w:r>
            <w:r w:rsidRPr="00792D61">
              <w:rPr>
                <w:b/>
                <w:lang w:val="de-DE"/>
              </w:rPr>
              <w:t>]</w:t>
            </w:r>
            <w:r w:rsidRPr="00EF3A31">
              <w:rPr>
                <w:lang w:val="de-DE"/>
              </w:rPr>
              <w:t xml:space="preserve"> Mindestzinssatz oder (ii) </w:t>
            </w:r>
            <w:r w:rsidRPr="00792D61">
              <w:rPr>
                <w:b/>
                <w:lang w:val="de-DE"/>
              </w:rPr>
              <w:t>[</w:t>
            </w:r>
            <w:r w:rsidRPr="00EF3A31">
              <w:rPr>
                <w:lang w:val="de-DE"/>
              </w:rPr>
              <w:t>die Summe aus dem</w:t>
            </w:r>
            <w:r w:rsidRPr="00792D61">
              <w:rPr>
                <w:b/>
                <w:lang w:val="de-DE"/>
              </w:rPr>
              <w:t>][</w:t>
            </w:r>
            <w:r w:rsidRPr="00EF3A31">
              <w:rPr>
                <w:lang w:val="de-DE"/>
              </w:rPr>
              <w:t>der</w:t>
            </w:r>
            <w:r w:rsidRPr="00792D61">
              <w:rPr>
                <w:b/>
                <w:lang w:val="de-DE"/>
              </w:rPr>
              <w:t>]</w:t>
            </w:r>
            <w:r w:rsidRPr="00EF3A31">
              <w:rPr>
                <w:lang w:val="de-DE"/>
              </w:rPr>
              <w:t xml:space="preserve"> Referenzsatz an dem jeweiligen Zinsfeststellungstag </w:t>
            </w:r>
            <w:r w:rsidRPr="00792D61">
              <w:rPr>
                <w:b/>
                <w:lang w:val="de-DE"/>
              </w:rPr>
              <w:t>[</w:t>
            </w:r>
            <w:r w:rsidRPr="00EF3A31">
              <w:rPr>
                <w:lang w:val="de-DE"/>
              </w:rPr>
              <w:t xml:space="preserve">und </w:t>
            </w:r>
            <w:r w:rsidRPr="00792D61">
              <w:rPr>
                <w:b/>
                <w:lang w:val="de-DE"/>
              </w:rPr>
              <w:t>[</w:t>
            </w:r>
            <w:r w:rsidRPr="00EF3A31">
              <w:rPr>
                <w:rFonts w:ascii="Arial" w:hAnsi="Arial" w:cs="Arial"/>
                <w:lang w:val="de-DE"/>
              </w:rPr>
              <w:t>●</w:t>
            </w:r>
            <w:r w:rsidRPr="00792D61">
              <w:rPr>
                <w:b/>
                <w:lang w:val="de-DE"/>
              </w:rPr>
              <w:t>]</w:t>
            </w:r>
            <w:r w:rsidRPr="00EF3A31">
              <w:rPr>
                <w:lang w:val="de-DE"/>
              </w:rPr>
              <w:t>% per annum</w:t>
            </w:r>
            <w:r w:rsidRPr="00792D61">
              <w:rPr>
                <w:b/>
                <w:lang w:val="de-DE"/>
              </w:rPr>
              <w:t>]</w:t>
            </w:r>
            <w:r w:rsidRPr="00EF3A31">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812A4" w:rsidP="00554374">
            <w:pPr>
              <w:pStyle w:val="CSBody8pt"/>
              <w:rPr>
                <w:lang w:val="de-DE"/>
              </w:rPr>
            </w:pPr>
          </w:p>
        </w:tc>
        <w:tc>
          <w:tcPr>
            <w:tcW w:w="3315" w:type="dxa"/>
            <w:gridSpan w:val="7"/>
            <w:tcBorders>
              <w:top w:val="nil"/>
              <w:left w:val="nil"/>
              <w:bottom w:val="nil"/>
            </w:tcBorders>
            <w:shd w:val="clear" w:color="auto" w:fill="auto"/>
          </w:tcPr>
          <w:p w:rsidR="0017135D" w:rsidRPr="00554374" w:rsidP="00554374">
            <w:pPr>
              <w:pStyle w:val="CSBody8pt"/>
            </w:pPr>
            <w:r w:rsidRPr="00792D61">
              <w:rPr>
                <w:b/>
              </w:rPr>
              <w:t>[</w:t>
            </w:r>
            <w:r w:rsidRPr="00554374">
              <w:rPr>
                <w:b/>
                <w:i/>
              </w:rPr>
              <w:t>in the case of Cumulative Reverse Floater (Snowball) Notes, insert:</w:t>
            </w:r>
            <w:r w:rsidRPr="00554374">
              <w:t xml:space="preserve"> with respect to any Variable Interest Payment Date, a rate per annum equal to the </w:t>
            </w:r>
            <w:r w:rsidRPr="00792D61">
              <w:rPr>
                <w:b/>
              </w:rPr>
              <w:t>[</w:t>
            </w:r>
            <w:r w:rsidRPr="00554374">
              <w:t>greater</w:t>
            </w:r>
            <w:r w:rsidRPr="00792D61">
              <w:rPr>
                <w:b/>
              </w:rPr>
              <w:t>][</w:t>
            </w:r>
            <w:r w:rsidRPr="00554374">
              <w:t>lesser</w:t>
            </w:r>
            <w:r w:rsidRPr="00792D61">
              <w:rPr>
                <w:b/>
              </w:rPr>
              <w:t>]</w:t>
            </w:r>
            <w:r w:rsidRPr="00554374">
              <w:t xml:space="preserve"> of (i) </w:t>
            </w:r>
            <w:r w:rsidRPr="00792D61">
              <w:rPr>
                <w:b/>
              </w:rPr>
              <w:t>[</w:t>
            </w:r>
            <w:r w:rsidRPr="00554374">
              <w:t>zero (0)</w:t>
            </w:r>
            <w:r w:rsidRPr="00792D61">
              <w:rPr>
                <w:b/>
              </w:rPr>
              <w:t>][</w:t>
            </w:r>
            <w:r w:rsidRPr="00554374">
              <w:t xml:space="preserve">the </w:t>
            </w:r>
            <w:r w:rsidRPr="00792D61">
              <w:rPr>
                <w:b/>
              </w:rPr>
              <w:t>[</w:t>
            </w:r>
            <w:r w:rsidRPr="00554374">
              <w:t>relevant</w:t>
            </w:r>
            <w:r w:rsidRPr="00792D61">
              <w:rPr>
                <w:b/>
              </w:rPr>
              <w:t>]</w:t>
            </w:r>
            <w:r w:rsidRPr="00554374">
              <w:t xml:space="preserve"> Minimum Interest Rate</w:t>
            </w:r>
            <w:r w:rsidRPr="00792D61">
              <w:rPr>
                <w:b/>
              </w:rPr>
              <w:t>]</w:t>
            </w:r>
            <w:r w:rsidRPr="00554374">
              <w:t xml:space="preserve"> </w:t>
            </w:r>
            <w:r w:rsidRPr="00792D61">
              <w:rPr>
                <w:b/>
              </w:rPr>
              <w:t>[</w:t>
            </w:r>
            <w:r w:rsidRPr="00554374">
              <w:t xml:space="preserve">the </w:t>
            </w:r>
            <w:r w:rsidRPr="00792D61">
              <w:rPr>
                <w:b/>
              </w:rPr>
              <w:t>[</w:t>
            </w:r>
            <w:r w:rsidRPr="00554374">
              <w:t>relevant</w:t>
            </w:r>
            <w:r w:rsidRPr="00792D61">
              <w:rPr>
                <w:b/>
              </w:rPr>
              <w:t>]</w:t>
            </w:r>
            <w:r w:rsidRPr="00554374">
              <w:t xml:space="preserve"> Maximum Interest Rate</w:t>
            </w:r>
            <w:r w:rsidRPr="00792D61">
              <w:rPr>
                <w:b/>
              </w:rPr>
              <w:t>]</w:t>
            </w:r>
            <w:r w:rsidRPr="00554374">
              <w:t xml:space="preserve"> and (ii) </w:t>
            </w:r>
            <w:r w:rsidRPr="00792D61">
              <w:rPr>
                <w:b/>
              </w:rPr>
              <w:t>[</w:t>
            </w:r>
            <w:r w:rsidRPr="00554374">
              <w:t>the greater of (a)</w:t>
            </w:r>
            <w:r w:rsidRPr="00792D61">
              <w:rPr>
                <w:b/>
              </w:rPr>
              <w:t>]</w:t>
            </w:r>
            <w:r w:rsidRPr="00554374">
              <w:t xml:space="preserve"> the sum of (x) the Interest Rate applicable to the immediately preceding Interest Payment Date and (y) the relevant Spread Rate less </w:t>
            </w:r>
            <w:r w:rsidRPr="00792D61">
              <w:rPr>
                <w:b/>
              </w:rPr>
              <w:t>[</w:t>
            </w:r>
            <w:r w:rsidRPr="00554374">
              <w:t>the sum of (x)</w:t>
            </w:r>
            <w:r w:rsidRPr="00792D61">
              <w:rPr>
                <w:b/>
              </w:rPr>
              <w:t>]</w:t>
            </w:r>
            <w:r w:rsidRPr="00554374">
              <w:t xml:space="preserve"> the Reference Rate on the relevant Interest Determination Date </w:t>
            </w:r>
            <w:r w:rsidRPr="00792D61">
              <w:rPr>
                <w:b/>
              </w:rPr>
              <w:t>[</w:t>
            </w:r>
            <w:r w:rsidRPr="00554374">
              <w:t xml:space="preserve">and (y) </w:t>
            </w:r>
            <w:r w:rsidRPr="00792D61">
              <w:rPr>
                <w:b/>
              </w:rPr>
              <w:t>[</w:t>
            </w:r>
            <w:r w:rsidRPr="00554374">
              <w:rPr>
                <w:rFonts w:ascii="Arial" w:hAnsi="Arial" w:cs="Arial"/>
              </w:rPr>
              <w:t>●</w:t>
            </w:r>
            <w:r w:rsidRPr="00792D61">
              <w:rPr>
                <w:b/>
              </w:rPr>
              <w:t>]</w:t>
            </w:r>
            <w:r w:rsidRPr="00554374">
              <w:t>% per annum</w:t>
            </w:r>
            <w:r w:rsidRPr="00792D61">
              <w:rPr>
                <w:b/>
              </w:rPr>
              <w:t>][</w:t>
            </w:r>
            <w:r w:rsidRPr="00554374">
              <w:t xml:space="preserve">and </w:t>
            </w:r>
            <w:r w:rsidRPr="00792D61">
              <w:rPr>
                <w:b/>
              </w:rPr>
              <w:t>[</w:t>
            </w:r>
            <w:r w:rsidRPr="00554374">
              <w:t>zero (0)</w:t>
            </w:r>
            <w:r w:rsidRPr="00792D61">
              <w:rPr>
                <w:b/>
              </w:rPr>
              <w:t>][</w:t>
            </w:r>
            <w:r w:rsidRPr="00554374">
              <w:t xml:space="preserve">the </w:t>
            </w:r>
            <w:r w:rsidRPr="00792D61">
              <w:rPr>
                <w:b/>
              </w:rPr>
              <w:t>[</w:t>
            </w:r>
            <w:r w:rsidRPr="00554374">
              <w:t>relevant</w:t>
            </w:r>
            <w:r w:rsidRPr="00792D61">
              <w:rPr>
                <w:b/>
              </w:rPr>
              <w:t>]</w:t>
            </w:r>
            <w:r w:rsidRPr="00554374">
              <w:t xml:space="preserve"> Minimum Interest Rate</w:t>
            </w:r>
            <w:r w:rsidRPr="00792D61">
              <w:rPr>
                <w:b/>
              </w:rPr>
              <w:t>]</w:t>
            </w:r>
            <w:r w:rsidRPr="00554374">
              <w:t>.</w:t>
            </w:r>
            <w:r w:rsidRPr="00792D61">
              <w:rPr>
                <w:b/>
              </w:rPr>
              <w:t>]</w:t>
            </w:r>
          </w:p>
        </w:tc>
        <w:tc>
          <w:tcPr>
            <w:tcW w:w="1618" w:type="dxa"/>
            <w:gridSpan w:val="2"/>
            <w:tcBorders>
              <w:top w:val="nil"/>
              <w:bottom w:val="nil"/>
              <w:right w:val="nil"/>
            </w:tcBorders>
            <w:shd w:val="clear" w:color="auto" w:fill="auto"/>
          </w:tcPr>
          <w:p w:rsidR="0017135D" w:rsidRPr="00554374" w:rsidP="00554374">
            <w:pPr>
              <w:pStyle w:val="CSBody8pt"/>
              <w:rPr>
                <w:i/>
              </w:rPr>
            </w:pPr>
          </w:p>
        </w:tc>
        <w:tc>
          <w:tcPr>
            <w:tcW w:w="3318" w:type="dxa"/>
            <w:gridSpan w:val="10"/>
            <w:tcBorders>
              <w:top w:val="nil"/>
              <w:left w:val="nil"/>
              <w:bottom w:val="nil"/>
              <w:right w:val="nil"/>
            </w:tcBorders>
            <w:shd w:val="clear" w:color="auto" w:fill="auto"/>
          </w:tcPr>
          <w:p w:rsidR="0017135D" w:rsidRPr="0015550F" w:rsidP="00554374">
            <w:pPr>
              <w:pStyle w:val="CSBody8pt"/>
              <w:rPr>
                <w:lang w:val="de-DE"/>
              </w:rPr>
            </w:pPr>
            <w:r w:rsidRPr="00792D61">
              <w:rPr>
                <w:b/>
                <w:lang w:val="de-DE"/>
              </w:rPr>
              <w:t>[</w:t>
            </w:r>
            <w:r w:rsidRPr="00554374">
              <w:rPr>
                <w:b/>
                <w:i/>
                <w:lang w:val="de-DE"/>
              </w:rPr>
              <w:t>bei Cumulative Reverse Floater (Snowball) Notes einfügen:</w:t>
            </w:r>
            <w:r w:rsidRPr="0015550F">
              <w:rPr>
                <w:lang w:val="de-DE"/>
              </w:rPr>
              <w:t xml:space="preserve"> in Bezug auf einen Zahlungstag für Variable Zinsen ein Satz per annum in Höhe des jeweils </w:t>
            </w:r>
            <w:r w:rsidRPr="00792D61">
              <w:rPr>
                <w:b/>
                <w:lang w:val="de-DE"/>
              </w:rPr>
              <w:t>[</w:t>
            </w:r>
            <w:r w:rsidRPr="0015550F">
              <w:rPr>
                <w:lang w:val="de-DE"/>
              </w:rPr>
              <w:t>grösseren</w:t>
            </w:r>
            <w:r w:rsidRPr="00792D61">
              <w:rPr>
                <w:b/>
                <w:lang w:val="de-DE"/>
              </w:rPr>
              <w:t>][</w:t>
            </w:r>
            <w:r w:rsidRPr="0015550F">
              <w:rPr>
                <w:lang w:val="de-DE"/>
              </w:rPr>
              <w:t>kleineren</w:t>
            </w:r>
            <w:r w:rsidRPr="00792D61">
              <w:rPr>
                <w:b/>
                <w:lang w:val="de-DE"/>
              </w:rPr>
              <w:t>]</w:t>
            </w:r>
            <w:r w:rsidRPr="0015550F">
              <w:rPr>
                <w:lang w:val="de-DE"/>
              </w:rPr>
              <w:t xml:space="preserve"> der folgenden Beträge: (i) </w:t>
            </w:r>
            <w:r w:rsidRPr="00792D61">
              <w:rPr>
                <w:b/>
                <w:lang w:val="de-DE"/>
              </w:rPr>
              <w:t>[</w:t>
            </w:r>
            <w:r w:rsidRPr="0015550F">
              <w:rPr>
                <w:lang w:val="de-DE"/>
              </w:rPr>
              <w:t>null (0)</w:t>
            </w:r>
            <w:r w:rsidRPr="00792D61">
              <w:rPr>
                <w:b/>
                <w:lang w:val="de-DE"/>
              </w:rPr>
              <w:t>][</w:t>
            </w:r>
            <w:r w:rsidRPr="0015550F">
              <w:rPr>
                <w:lang w:val="de-DE"/>
              </w:rPr>
              <w:t xml:space="preserve">der </w:t>
            </w:r>
            <w:r w:rsidRPr="00792D61">
              <w:rPr>
                <w:b/>
                <w:lang w:val="de-DE"/>
              </w:rPr>
              <w:t>[</w:t>
            </w:r>
            <w:r w:rsidRPr="0015550F">
              <w:rPr>
                <w:lang w:val="de-DE"/>
              </w:rPr>
              <w:t>jeweilige</w:t>
            </w:r>
            <w:r w:rsidRPr="00792D61">
              <w:rPr>
                <w:b/>
                <w:lang w:val="de-DE"/>
              </w:rPr>
              <w:t>]</w:t>
            </w:r>
            <w:r w:rsidRPr="0015550F">
              <w:rPr>
                <w:lang w:val="de-DE"/>
              </w:rPr>
              <w:t xml:space="preserve"> Mindestzinssatz</w:t>
            </w:r>
            <w:r w:rsidRPr="00792D61">
              <w:rPr>
                <w:b/>
                <w:lang w:val="de-DE"/>
              </w:rPr>
              <w:t>][</w:t>
            </w:r>
            <w:r w:rsidRPr="0015550F">
              <w:rPr>
                <w:lang w:val="de-DE"/>
              </w:rPr>
              <w:t xml:space="preserve">der </w:t>
            </w:r>
            <w:r w:rsidRPr="00792D61">
              <w:rPr>
                <w:b/>
                <w:lang w:val="de-DE"/>
              </w:rPr>
              <w:t>[</w:t>
            </w:r>
            <w:r w:rsidRPr="0015550F">
              <w:rPr>
                <w:lang w:val="de-DE"/>
              </w:rPr>
              <w:t>jeweilige</w:t>
            </w:r>
            <w:r w:rsidRPr="00792D61">
              <w:rPr>
                <w:b/>
                <w:lang w:val="de-DE"/>
              </w:rPr>
              <w:t>]</w:t>
            </w:r>
            <w:r w:rsidRPr="0015550F">
              <w:rPr>
                <w:lang w:val="de-DE"/>
              </w:rPr>
              <w:t xml:space="preserve"> Höchstzinssatz</w:t>
            </w:r>
            <w:r w:rsidRPr="00792D61">
              <w:rPr>
                <w:b/>
                <w:lang w:val="de-DE"/>
              </w:rPr>
              <w:t>]</w:t>
            </w:r>
            <w:r w:rsidRPr="0015550F">
              <w:rPr>
                <w:lang w:val="de-DE"/>
              </w:rPr>
              <w:t xml:space="preserve"> oder (ii) </w:t>
            </w:r>
            <w:r w:rsidRPr="00792D61">
              <w:rPr>
                <w:b/>
                <w:lang w:val="de-DE"/>
              </w:rPr>
              <w:t>[</w:t>
            </w:r>
            <w:r w:rsidRPr="0015550F">
              <w:rPr>
                <w:lang w:val="de-DE"/>
              </w:rPr>
              <w:t>der jeweils grössere der Folgenden Beträge: (a)</w:t>
            </w:r>
            <w:r w:rsidRPr="00792D61">
              <w:rPr>
                <w:b/>
                <w:lang w:val="de-DE"/>
              </w:rPr>
              <w:t>]</w:t>
            </w:r>
            <w:r w:rsidRPr="0015550F">
              <w:rPr>
                <w:lang w:val="de-DE"/>
              </w:rPr>
              <w:t xml:space="preserve"> die Summe aus (x) dem für den jeweils unmittelbar vorhergehenden Zinszahlungstag geltenden Zinssatz und (y) dem jeweiligen Spreadsatz minus </w:t>
            </w:r>
            <w:r w:rsidRPr="00792D61">
              <w:rPr>
                <w:b/>
                <w:lang w:val="de-DE"/>
              </w:rPr>
              <w:t>[</w:t>
            </w:r>
            <w:r w:rsidRPr="0015550F">
              <w:rPr>
                <w:lang w:val="de-DE"/>
              </w:rPr>
              <w:t>die Summe aus (x) dem</w:t>
            </w:r>
            <w:r w:rsidRPr="00792D61">
              <w:rPr>
                <w:b/>
                <w:lang w:val="de-DE"/>
              </w:rPr>
              <w:t>]</w:t>
            </w:r>
            <w:r w:rsidRPr="0015550F">
              <w:rPr>
                <w:lang w:val="de-DE"/>
              </w:rPr>
              <w:t xml:space="preserve"> </w:t>
            </w:r>
            <w:r w:rsidRPr="00792D61">
              <w:rPr>
                <w:b/>
                <w:lang w:val="de-DE"/>
              </w:rPr>
              <w:t>[</w:t>
            </w:r>
            <w:r w:rsidRPr="0015550F">
              <w:rPr>
                <w:lang w:val="de-DE"/>
              </w:rPr>
              <w:t>den</w:t>
            </w:r>
            <w:r w:rsidRPr="00792D61">
              <w:rPr>
                <w:b/>
                <w:lang w:val="de-DE"/>
              </w:rPr>
              <w:t>]</w:t>
            </w:r>
            <w:r w:rsidRPr="0015550F">
              <w:rPr>
                <w:lang w:val="de-DE"/>
              </w:rPr>
              <w:t xml:space="preserve"> Referenzsatz an dem jeweiligen Zinsfeststellungstag </w:t>
            </w:r>
            <w:r w:rsidRPr="00792D61">
              <w:rPr>
                <w:b/>
                <w:lang w:val="de-DE"/>
              </w:rPr>
              <w:t>[</w:t>
            </w:r>
            <w:r w:rsidRPr="0015550F">
              <w:rPr>
                <w:lang w:val="de-DE"/>
              </w:rPr>
              <w:t xml:space="preserve">und (y)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 xml:space="preserve">und (b) </w:t>
            </w:r>
            <w:r w:rsidRPr="00792D61">
              <w:rPr>
                <w:b/>
                <w:lang w:val="de-DE"/>
              </w:rPr>
              <w:t>[</w:t>
            </w:r>
            <w:r w:rsidRPr="0015550F">
              <w:rPr>
                <w:lang w:val="de-DE"/>
              </w:rPr>
              <w:t>null (0)</w:t>
            </w:r>
            <w:r w:rsidRPr="00792D61">
              <w:rPr>
                <w:b/>
                <w:lang w:val="de-DE"/>
              </w:rPr>
              <w:t>][</w:t>
            </w:r>
            <w:r w:rsidRPr="0015550F">
              <w:rPr>
                <w:lang w:val="de-DE"/>
              </w:rPr>
              <w:t xml:space="preserve">der </w:t>
            </w:r>
            <w:r w:rsidRPr="00792D61">
              <w:rPr>
                <w:b/>
                <w:lang w:val="de-DE"/>
              </w:rPr>
              <w:t>[</w:t>
            </w:r>
            <w:r w:rsidRPr="0015550F">
              <w:rPr>
                <w:lang w:val="de-DE"/>
              </w:rPr>
              <w:t>jeweilige</w:t>
            </w:r>
            <w:r w:rsidRPr="00792D61">
              <w:rPr>
                <w:b/>
                <w:lang w:val="de-DE"/>
              </w:rPr>
              <w:t>]</w:t>
            </w:r>
            <w:r w:rsidRPr="0015550F">
              <w:rPr>
                <w:lang w:val="de-DE"/>
              </w:rPr>
              <w:t xml:space="preserve"> Mindestzinssatz</w:t>
            </w:r>
            <w:r w:rsidRPr="00792D61">
              <w:rPr>
                <w:b/>
                <w:lang w:val="de-DE"/>
              </w:rPr>
              <w:t>]</w:t>
            </w:r>
            <w:r w:rsidRPr="0015550F">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8498E">
            <w:pPr>
              <w:pStyle w:val="CSBody8ptbolditalics"/>
              <w:rPr>
                <w:lang w:val="de-DE"/>
              </w:rPr>
            </w:pPr>
          </w:p>
        </w:tc>
        <w:tc>
          <w:tcPr>
            <w:tcW w:w="3315" w:type="dxa"/>
            <w:gridSpan w:val="7"/>
            <w:tcBorders>
              <w:top w:val="nil"/>
              <w:left w:val="nil"/>
              <w:bottom w:val="nil"/>
            </w:tcBorders>
            <w:shd w:val="clear" w:color="auto" w:fill="auto"/>
          </w:tcPr>
          <w:p w:rsidR="0017135D" w:rsidRPr="004F4082" w:rsidP="0068498E">
            <w:pPr>
              <w:pStyle w:val="CSBody8ptbolditalics"/>
            </w:pPr>
            <w:r w:rsidRPr="00792D61">
              <w:t>[</w:t>
            </w:r>
            <w:r w:rsidRPr="004F4082">
              <w:t>in the case of Inverse Floating Rate Notes, insert:</w:t>
            </w:r>
          </w:p>
        </w:tc>
        <w:tc>
          <w:tcPr>
            <w:tcW w:w="1618" w:type="dxa"/>
            <w:gridSpan w:val="2"/>
            <w:tcBorders>
              <w:top w:val="nil"/>
              <w:bottom w:val="nil"/>
              <w:right w:val="nil"/>
            </w:tcBorders>
            <w:shd w:val="clear" w:color="auto" w:fill="auto"/>
          </w:tcPr>
          <w:p w:rsidR="0017135D" w:rsidRPr="0015550F" w:rsidP="0068498E">
            <w:pPr>
              <w:pStyle w:val="CSBody8ptbolditalics"/>
            </w:pPr>
          </w:p>
        </w:tc>
        <w:tc>
          <w:tcPr>
            <w:tcW w:w="3318" w:type="dxa"/>
            <w:gridSpan w:val="10"/>
            <w:tcBorders>
              <w:top w:val="nil"/>
              <w:left w:val="nil"/>
              <w:bottom w:val="nil"/>
              <w:right w:val="nil"/>
            </w:tcBorders>
            <w:shd w:val="clear" w:color="auto" w:fill="auto"/>
          </w:tcPr>
          <w:p w:rsidR="0017135D" w:rsidRPr="0015550F" w:rsidP="0068498E">
            <w:pPr>
              <w:pStyle w:val="CSBody8ptbolditalics"/>
              <w:rPr>
                <w:lang w:val="de-DE"/>
              </w:rPr>
            </w:pPr>
            <w:r w:rsidRPr="00792D61">
              <w:rPr>
                <w:lang w:val="de-DE"/>
              </w:rPr>
              <w:t>[</w:t>
            </w:r>
            <w:r w:rsidRPr="0015550F">
              <w:rPr>
                <w:lang w:val="de-DE"/>
              </w:rPr>
              <w:t>bei Inverse Floating Rate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8498E">
            <w:pPr>
              <w:pStyle w:val="CSBody8pt"/>
              <w:rPr>
                <w:lang w:val="de-DE"/>
              </w:rPr>
            </w:pPr>
          </w:p>
        </w:tc>
        <w:tc>
          <w:tcPr>
            <w:tcW w:w="3315" w:type="dxa"/>
            <w:gridSpan w:val="7"/>
            <w:tcBorders>
              <w:top w:val="nil"/>
              <w:left w:val="nil"/>
              <w:bottom w:val="nil"/>
            </w:tcBorders>
            <w:shd w:val="clear" w:color="auto" w:fill="auto"/>
          </w:tcPr>
          <w:p w:rsidR="0017135D" w:rsidRPr="004F4082" w:rsidP="0068498E">
            <w:pPr>
              <w:pStyle w:val="CSBody8pt"/>
            </w:pPr>
            <w:r w:rsidRPr="00792D61">
              <w:rPr>
                <w:b/>
              </w:rPr>
              <w:t>[</w:t>
            </w:r>
            <w:r w:rsidRPr="0068498E">
              <w:rPr>
                <w:b/>
                <w:i/>
              </w:rPr>
              <w:t>in the case of one Variable Interest Payment Date, insert:</w:t>
            </w:r>
            <w:r w:rsidRPr="004F4082">
              <w:t xml:space="preserve"> a rate per annum equal to the greater of (i) </w:t>
            </w:r>
            <w:r w:rsidRPr="00792D61">
              <w:rPr>
                <w:b/>
              </w:rPr>
              <w:t>[</w:t>
            </w:r>
            <w:r w:rsidRPr="004F4082">
              <w:t>zero (0)</w:t>
            </w:r>
            <w:r w:rsidRPr="00792D61">
              <w:rPr>
                <w:b/>
              </w:rPr>
              <w:t>][</w:t>
            </w:r>
            <w:r w:rsidRPr="004F4082">
              <w:t xml:space="preserve">the </w:t>
            </w:r>
            <w:r w:rsidRPr="00792D61">
              <w:rPr>
                <w:b/>
              </w:rPr>
              <w:t>[</w:t>
            </w:r>
            <w:r w:rsidRPr="004F4082">
              <w:t>relevant</w:t>
            </w:r>
            <w:r w:rsidRPr="00792D61">
              <w:rPr>
                <w:b/>
              </w:rPr>
              <w:t>]</w:t>
            </w:r>
            <w:r w:rsidRPr="004F4082">
              <w:t xml:space="preserve"> Minimum Interest Rate</w:t>
            </w:r>
            <w:r w:rsidRPr="00792D61">
              <w:rPr>
                <w:b/>
              </w:rPr>
              <w:t>]</w:t>
            </w:r>
            <w:r w:rsidRPr="004F4082">
              <w:t xml:space="preserve"> and (ii) the Spread Rate less </w:t>
            </w:r>
            <w:r w:rsidRPr="00792D61">
              <w:rPr>
                <w:b/>
              </w:rPr>
              <w:t>[</w:t>
            </w:r>
            <w:r w:rsidRPr="004F4082">
              <w:t>the sum of (x)</w:t>
            </w:r>
            <w:r w:rsidRPr="00792D61">
              <w:rPr>
                <w:b/>
              </w:rPr>
              <w:t>]</w:t>
            </w:r>
            <w:r w:rsidRPr="004F4082">
              <w:t xml:space="preserve"> the Reference Rate on the Interest Determination Date </w:t>
            </w:r>
            <w:r w:rsidRPr="00792D61">
              <w:rPr>
                <w:b/>
              </w:rPr>
              <w:t>[</w:t>
            </w:r>
            <w:r w:rsidRPr="004F4082">
              <w:t xml:space="preserve">and (y) </w:t>
            </w:r>
            <w:r w:rsidRPr="00792D61">
              <w:rPr>
                <w:b/>
              </w:rPr>
              <w:t>[</w:t>
            </w:r>
            <w:r w:rsidRPr="004F4082">
              <w:rPr>
                <w:rFonts w:ascii="Arial" w:hAnsi="Arial" w:cs="Arial"/>
              </w:rPr>
              <w:t>●</w:t>
            </w:r>
            <w:r w:rsidRPr="00792D61">
              <w:rPr>
                <w:b/>
              </w:rPr>
              <w:t>]</w:t>
            </w:r>
            <w:r w:rsidRPr="004F4082">
              <w:t>% per annum</w:t>
            </w:r>
            <w:r w:rsidRPr="00792D61">
              <w:rPr>
                <w:b/>
              </w:rPr>
              <w:t>]</w:t>
            </w:r>
            <w:r w:rsidRPr="004F4082">
              <w:t>.</w:t>
            </w:r>
            <w:r w:rsidRPr="00792D61">
              <w:rPr>
                <w:b/>
              </w:rPr>
              <w:t>]</w:t>
            </w:r>
          </w:p>
        </w:tc>
        <w:tc>
          <w:tcPr>
            <w:tcW w:w="1618" w:type="dxa"/>
            <w:gridSpan w:val="2"/>
            <w:tcBorders>
              <w:top w:val="nil"/>
              <w:bottom w:val="nil"/>
              <w:right w:val="nil"/>
            </w:tcBorders>
            <w:shd w:val="clear" w:color="auto" w:fill="auto"/>
          </w:tcPr>
          <w:p w:rsidR="0017135D" w:rsidRPr="0015550F" w:rsidP="0068498E">
            <w:pPr>
              <w:pStyle w:val="CSBody8pt"/>
              <w:rPr>
                <w:i/>
              </w:rPr>
            </w:pPr>
          </w:p>
        </w:tc>
        <w:tc>
          <w:tcPr>
            <w:tcW w:w="3318" w:type="dxa"/>
            <w:gridSpan w:val="10"/>
            <w:tcBorders>
              <w:top w:val="nil"/>
              <w:left w:val="nil"/>
              <w:bottom w:val="nil"/>
              <w:right w:val="nil"/>
            </w:tcBorders>
            <w:shd w:val="clear" w:color="auto" w:fill="auto"/>
          </w:tcPr>
          <w:p w:rsidR="0017135D" w:rsidRPr="0015550F" w:rsidP="0068498E">
            <w:pPr>
              <w:pStyle w:val="CSBody8pt"/>
              <w:rPr>
                <w:lang w:val="de-DE"/>
              </w:rPr>
            </w:pPr>
            <w:r w:rsidRPr="00792D61">
              <w:rPr>
                <w:b/>
                <w:lang w:val="de-DE"/>
              </w:rPr>
              <w:t>[</w:t>
            </w:r>
            <w:r w:rsidRPr="0068498E">
              <w:rPr>
                <w:b/>
                <w:i/>
                <w:lang w:val="de-DE"/>
              </w:rPr>
              <w:t>bei nur einem Zahlungstag für Variable Zinsen einfügen:</w:t>
            </w:r>
            <w:r w:rsidRPr="0015550F">
              <w:rPr>
                <w:lang w:val="de-DE"/>
              </w:rPr>
              <w:t xml:space="preserve"> ein Satz per annum in Höhe des jeweils grösseren der folgenden Beträge: (i) </w:t>
            </w:r>
            <w:r w:rsidRPr="00792D61">
              <w:rPr>
                <w:b/>
                <w:lang w:val="de-DE"/>
              </w:rPr>
              <w:t>[</w:t>
            </w:r>
            <w:r w:rsidRPr="0015550F">
              <w:rPr>
                <w:lang w:val="de-DE"/>
              </w:rPr>
              <w:t>null (0)</w:t>
            </w:r>
            <w:r w:rsidRPr="00792D61">
              <w:rPr>
                <w:b/>
                <w:lang w:val="de-DE"/>
              </w:rPr>
              <w:t>][</w:t>
            </w:r>
            <w:r w:rsidRPr="0015550F">
              <w:rPr>
                <w:lang w:val="de-DE"/>
              </w:rPr>
              <w:t xml:space="preserve">der </w:t>
            </w:r>
            <w:r w:rsidRPr="00792D61">
              <w:rPr>
                <w:b/>
                <w:lang w:val="de-DE"/>
              </w:rPr>
              <w:t>[</w:t>
            </w:r>
            <w:r w:rsidRPr="0015550F">
              <w:rPr>
                <w:lang w:val="de-DE"/>
              </w:rPr>
              <w:t>jeweilige</w:t>
            </w:r>
            <w:r w:rsidRPr="00792D61">
              <w:rPr>
                <w:b/>
                <w:lang w:val="de-DE"/>
              </w:rPr>
              <w:t>]</w:t>
            </w:r>
            <w:r w:rsidRPr="0015550F">
              <w:rPr>
                <w:lang w:val="de-DE"/>
              </w:rPr>
              <w:t xml:space="preserve"> Mindestzinssatz</w:t>
            </w:r>
            <w:r w:rsidRPr="00792D61">
              <w:rPr>
                <w:b/>
                <w:lang w:val="de-DE"/>
              </w:rPr>
              <w:t>]</w:t>
            </w:r>
            <w:r w:rsidRPr="0015550F">
              <w:rPr>
                <w:lang w:val="de-DE"/>
              </w:rPr>
              <w:t xml:space="preserve"> oder (ii) der Spreadsatz minus </w:t>
            </w:r>
            <w:r w:rsidRPr="00792D61">
              <w:rPr>
                <w:b/>
                <w:lang w:val="de-DE"/>
              </w:rPr>
              <w:t>[</w:t>
            </w:r>
            <w:r w:rsidRPr="0015550F">
              <w:rPr>
                <w:lang w:val="de-DE"/>
              </w:rPr>
              <w:t>die Summe aus (x) dem</w:t>
            </w:r>
            <w:r w:rsidRPr="00792D61">
              <w:rPr>
                <w:b/>
                <w:lang w:val="de-DE"/>
              </w:rPr>
              <w:t>]</w:t>
            </w:r>
            <w:r w:rsidRPr="0015550F">
              <w:rPr>
                <w:lang w:val="de-DE"/>
              </w:rPr>
              <w:t xml:space="preserve"> </w:t>
            </w:r>
            <w:r w:rsidRPr="00792D61">
              <w:rPr>
                <w:b/>
                <w:lang w:val="de-DE"/>
              </w:rPr>
              <w:t>[</w:t>
            </w:r>
            <w:r w:rsidRPr="0015550F">
              <w:rPr>
                <w:lang w:val="de-DE"/>
              </w:rPr>
              <w:t>den</w:t>
            </w:r>
            <w:r w:rsidRPr="00792D61">
              <w:rPr>
                <w:b/>
                <w:lang w:val="de-DE"/>
              </w:rPr>
              <w:t>]</w:t>
            </w:r>
            <w:r w:rsidRPr="0015550F">
              <w:rPr>
                <w:lang w:val="de-DE"/>
              </w:rPr>
              <w:t xml:space="preserve"> Referenzsatz am Zinsfeststellungstag </w:t>
            </w:r>
            <w:r w:rsidRPr="00792D61">
              <w:rPr>
                <w:b/>
                <w:lang w:val="de-DE"/>
              </w:rPr>
              <w:t>[</w:t>
            </w:r>
            <w:r w:rsidRPr="0015550F">
              <w:rPr>
                <w:lang w:val="de-DE"/>
              </w:rPr>
              <w:t xml:space="preserve">und (y)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8498E">
            <w:pPr>
              <w:pStyle w:val="CSBody8pt"/>
              <w:rPr>
                <w:lang w:val="de-DE"/>
              </w:rPr>
            </w:pPr>
          </w:p>
        </w:tc>
        <w:tc>
          <w:tcPr>
            <w:tcW w:w="3315" w:type="dxa"/>
            <w:gridSpan w:val="7"/>
            <w:tcBorders>
              <w:top w:val="nil"/>
              <w:left w:val="nil"/>
              <w:bottom w:val="nil"/>
            </w:tcBorders>
            <w:shd w:val="clear" w:color="auto" w:fill="auto"/>
          </w:tcPr>
          <w:p w:rsidR="0017135D" w:rsidP="0068498E">
            <w:pPr>
              <w:pStyle w:val="CSBody8pt"/>
            </w:pPr>
            <w:r w:rsidRPr="00792D61">
              <w:rPr>
                <w:b/>
              </w:rPr>
              <w:t>[</w:t>
            </w:r>
            <w:r w:rsidRPr="006F217C">
              <w:rPr>
                <w:b/>
                <w:i/>
              </w:rPr>
              <w:t>in the case of multiple Variable Interest Payment Dates, insert:</w:t>
            </w:r>
            <w:r w:rsidRPr="004F4082">
              <w:t xml:space="preserve"> with respect to any Variable Interest Payment Date, a rate per annum equal to the greater of (i) </w:t>
            </w:r>
            <w:r w:rsidRPr="00792D61">
              <w:rPr>
                <w:b/>
              </w:rPr>
              <w:t>[</w:t>
            </w:r>
            <w:r w:rsidRPr="004F4082">
              <w:t>zero (0)</w:t>
            </w:r>
            <w:r w:rsidRPr="00792D61">
              <w:rPr>
                <w:b/>
              </w:rPr>
              <w:t>][</w:t>
            </w:r>
            <w:r w:rsidRPr="004F4082">
              <w:t xml:space="preserve">the </w:t>
            </w:r>
            <w:r w:rsidRPr="00792D61">
              <w:rPr>
                <w:b/>
              </w:rPr>
              <w:t>[</w:t>
            </w:r>
            <w:r w:rsidRPr="004F4082">
              <w:t>relevant</w:t>
            </w:r>
            <w:r w:rsidRPr="00792D61">
              <w:rPr>
                <w:b/>
              </w:rPr>
              <w:t>]</w:t>
            </w:r>
            <w:r w:rsidRPr="004F4082">
              <w:t xml:space="preserve"> Minimum Interest Rate</w:t>
            </w:r>
            <w:r w:rsidRPr="00792D61">
              <w:rPr>
                <w:b/>
              </w:rPr>
              <w:t>]</w:t>
            </w:r>
            <w:r w:rsidRPr="004F4082">
              <w:t xml:space="preserve"> and (ii) the relevant Spread Rate less </w:t>
            </w:r>
            <w:r w:rsidRPr="00792D61">
              <w:rPr>
                <w:b/>
              </w:rPr>
              <w:t>[</w:t>
            </w:r>
            <w:r w:rsidRPr="004F4082">
              <w:t>the sum of (x)</w:t>
            </w:r>
            <w:r w:rsidRPr="00792D61">
              <w:rPr>
                <w:b/>
              </w:rPr>
              <w:t>]</w:t>
            </w:r>
            <w:r w:rsidRPr="004F4082">
              <w:t xml:space="preserve"> the Reference Rate on the relevant Interest Determination Date </w:t>
            </w:r>
            <w:r w:rsidRPr="00792D61">
              <w:rPr>
                <w:b/>
              </w:rPr>
              <w:t>[</w:t>
            </w:r>
            <w:r w:rsidRPr="004F4082">
              <w:t xml:space="preserve">and (y) </w:t>
            </w:r>
            <w:r w:rsidRPr="00792D61">
              <w:rPr>
                <w:b/>
              </w:rPr>
              <w:t>[</w:t>
            </w:r>
            <w:r w:rsidRPr="004F4082">
              <w:rPr>
                <w:rFonts w:ascii="Arial" w:hAnsi="Arial" w:cs="Arial"/>
              </w:rPr>
              <w:t>●</w:t>
            </w:r>
            <w:r w:rsidRPr="00792D61">
              <w:rPr>
                <w:b/>
              </w:rPr>
              <w:t>]</w:t>
            </w:r>
            <w:r w:rsidRPr="004F4082">
              <w:t>% per annum</w:t>
            </w:r>
            <w:r w:rsidRPr="00792D61">
              <w:rPr>
                <w:b/>
              </w:rPr>
              <w:t>]</w:t>
            </w:r>
            <w:r w:rsidRPr="004F4082">
              <w:t>.</w:t>
            </w:r>
            <w:r w:rsidRPr="00792D61">
              <w:rPr>
                <w:b/>
              </w:rPr>
              <w:t>]]</w:t>
            </w:r>
          </w:p>
        </w:tc>
        <w:tc>
          <w:tcPr>
            <w:tcW w:w="1618" w:type="dxa"/>
            <w:gridSpan w:val="2"/>
            <w:tcBorders>
              <w:top w:val="nil"/>
              <w:bottom w:val="nil"/>
              <w:right w:val="nil"/>
            </w:tcBorders>
            <w:shd w:val="clear" w:color="auto" w:fill="auto"/>
          </w:tcPr>
          <w:p w:rsidR="0017135D" w:rsidRPr="0015550F" w:rsidP="0068498E">
            <w:pPr>
              <w:pStyle w:val="CSBody8pt"/>
              <w:rPr>
                <w:i/>
              </w:rPr>
            </w:pPr>
          </w:p>
        </w:tc>
        <w:tc>
          <w:tcPr>
            <w:tcW w:w="3318" w:type="dxa"/>
            <w:gridSpan w:val="10"/>
            <w:tcBorders>
              <w:top w:val="nil"/>
              <w:left w:val="nil"/>
              <w:bottom w:val="nil"/>
              <w:right w:val="nil"/>
            </w:tcBorders>
            <w:shd w:val="clear" w:color="auto" w:fill="auto"/>
          </w:tcPr>
          <w:p w:rsidR="0017135D" w:rsidRPr="0015550F" w:rsidP="0068498E">
            <w:pPr>
              <w:pStyle w:val="CSBody8pt"/>
              <w:rPr>
                <w:lang w:val="de-DE"/>
              </w:rPr>
            </w:pPr>
            <w:r w:rsidRPr="00792D61">
              <w:rPr>
                <w:b/>
                <w:lang w:val="de-DE"/>
              </w:rPr>
              <w:t>[</w:t>
            </w:r>
            <w:r w:rsidRPr="006F217C">
              <w:rPr>
                <w:b/>
                <w:i/>
                <w:lang w:val="de-DE"/>
              </w:rPr>
              <w:t>bei mehreren Zahlungstagen für Variable Zinsen einfügen:</w:t>
            </w:r>
            <w:r w:rsidRPr="0015550F">
              <w:rPr>
                <w:lang w:val="de-DE"/>
              </w:rPr>
              <w:t xml:space="preserve"> in Bezug auf einen Zahlungstag für Variable Zinsen ein Satz per annum in Höhe des jeweils grösseren der folgenden Beträge: (i) </w:t>
            </w:r>
            <w:r w:rsidRPr="00792D61">
              <w:rPr>
                <w:b/>
                <w:lang w:val="de-DE"/>
              </w:rPr>
              <w:t>[</w:t>
            </w:r>
            <w:r w:rsidRPr="0015550F">
              <w:rPr>
                <w:lang w:val="de-DE"/>
              </w:rPr>
              <w:t>null (0)</w:t>
            </w:r>
            <w:r w:rsidRPr="00792D61">
              <w:rPr>
                <w:b/>
                <w:lang w:val="de-DE"/>
              </w:rPr>
              <w:t>][</w:t>
            </w:r>
            <w:r w:rsidRPr="0015550F">
              <w:rPr>
                <w:lang w:val="de-DE"/>
              </w:rPr>
              <w:t xml:space="preserve">der </w:t>
            </w:r>
            <w:r w:rsidRPr="00792D61">
              <w:rPr>
                <w:b/>
                <w:lang w:val="de-DE"/>
              </w:rPr>
              <w:t>[</w:t>
            </w:r>
            <w:r w:rsidRPr="0015550F">
              <w:rPr>
                <w:lang w:val="de-DE"/>
              </w:rPr>
              <w:t>jeweilige</w:t>
            </w:r>
            <w:r w:rsidRPr="00792D61">
              <w:rPr>
                <w:b/>
                <w:lang w:val="de-DE"/>
              </w:rPr>
              <w:t>]</w:t>
            </w:r>
            <w:r w:rsidRPr="0015550F">
              <w:rPr>
                <w:lang w:val="de-DE"/>
              </w:rPr>
              <w:t xml:space="preserve"> Mindestzinssatz</w:t>
            </w:r>
            <w:r w:rsidRPr="00792D61">
              <w:rPr>
                <w:b/>
                <w:lang w:val="de-DE"/>
              </w:rPr>
              <w:t>]</w:t>
            </w:r>
            <w:r w:rsidRPr="0015550F">
              <w:rPr>
                <w:lang w:val="de-DE"/>
              </w:rPr>
              <w:t xml:space="preserve"> oder (ii) der jeweilige Spreadsatz minus </w:t>
            </w:r>
            <w:r w:rsidRPr="00792D61">
              <w:rPr>
                <w:b/>
                <w:lang w:val="de-DE"/>
              </w:rPr>
              <w:t>[</w:t>
            </w:r>
            <w:r w:rsidRPr="0015550F">
              <w:rPr>
                <w:lang w:val="de-DE"/>
              </w:rPr>
              <w:t>die Summe aus (x) dem</w:t>
            </w:r>
            <w:r w:rsidRPr="00792D61">
              <w:rPr>
                <w:b/>
                <w:lang w:val="de-DE"/>
              </w:rPr>
              <w:t>]</w:t>
            </w:r>
            <w:r w:rsidRPr="0015550F">
              <w:rPr>
                <w:lang w:val="de-DE"/>
              </w:rPr>
              <w:t xml:space="preserve"> </w:t>
            </w:r>
            <w:r w:rsidRPr="00792D61">
              <w:rPr>
                <w:b/>
                <w:lang w:val="de-DE"/>
              </w:rPr>
              <w:t>[</w:t>
            </w:r>
            <w:r w:rsidRPr="0015550F">
              <w:rPr>
                <w:lang w:val="de-DE"/>
              </w:rPr>
              <w:t>den</w:t>
            </w:r>
            <w:r w:rsidRPr="00792D61">
              <w:rPr>
                <w:b/>
                <w:lang w:val="de-DE"/>
              </w:rPr>
              <w:t>]</w:t>
            </w:r>
            <w:r w:rsidRPr="0015550F">
              <w:rPr>
                <w:lang w:val="de-DE"/>
              </w:rPr>
              <w:t xml:space="preserve"> Referenzsatz an dem jeweiligen Zinsfeststellungstag </w:t>
            </w:r>
            <w:r w:rsidRPr="00792D61">
              <w:rPr>
                <w:b/>
                <w:lang w:val="de-DE"/>
              </w:rPr>
              <w:t>[</w:t>
            </w:r>
            <w:r w:rsidRPr="0015550F">
              <w:rPr>
                <w:lang w:val="de-DE"/>
              </w:rPr>
              <w:t xml:space="preserve">und (y)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8498E">
            <w:pPr>
              <w:pStyle w:val="CSBody8pt"/>
              <w:rPr>
                <w:lang w:val="de-DE"/>
              </w:rPr>
            </w:pPr>
          </w:p>
        </w:tc>
        <w:tc>
          <w:tcPr>
            <w:tcW w:w="3315" w:type="dxa"/>
            <w:gridSpan w:val="7"/>
            <w:tcBorders>
              <w:top w:val="nil"/>
              <w:left w:val="nil"/>
              <w:bottom w:val="nil"/>
            </w:tcBorders>
            <w:shd w:val="clear" w:color="auto" w:fill="auto"/>
          </w:tcPr>
          <w:p w:rsidR="0017135D" w:rsidRPr="001D555D" w:rsidP="0068498E">
            <w:pPr>
              <w:pStyle w:val="CSBody8pt"/>
            </w:pPr>
            <w:r w:rsidRPr="00792D61">
              <w:rPr>
                <w:b/>
              </w:rPr>
              <w:t>[</w:t>
            </w:r>
            <w:r w:rsidRPr="006F217C">
              <w:rPr>
                <w:b/>
                <w:i/>
              </w:rPr>
              <w:t>in the case of Stairway Notes, insert:</w:t>
            </w:r>
            <w:r w:rsidRPr="001D555D">
              <w:t xml:space="preserve"> with respect to any Variable Interest Payment Date, a rate per annum equal to the lesser of (i) the relevant Maximum Interest Rate and (ii) the greater of (x) </w:t>
            </w:r>
            <w:r w:rsidRPr="00792D61">
              <w:rPr>
                <w:b/>
              </w:rPr>
              <w:t>[</w:t>
            </w:r>
            <w:r w:rsidRPr="001D555D">
              <w:t>the sum of</w:t>
            </w:r>
            <w:r w:rsidRPr="00792D61">
              <w:rPr>
                <w:b/>
              </w:rPr>
              <w:t>]</w:t>
            </w:r>
            <w:r w:rsidRPr="001D555D">
              <w:t xml:space="preserve"> the Reference Rate on the relevant Interest Determination Date </w:t>
            </w:r>
            <w:r w:rsidRPr="00792D61">
              <w:rPr>
                <w:b/>
              </w:rPr>
              <w:t>[</w:t>
            </w:r>
            <w:r w:rsidRPr="001D555D">
              <w:t xml:space="preserve">and </w:t>
            </w:r>
            <w:r w:rsidRPr="00792D61">
              <w:rPr>
                <w:b/>
              </w:rPr>
              <w:t>[</w:t>
            </w:r>
            <w:r w:rsidRPr="001D555D">
              <w:rPr>
                <w:rFonts w:ascii="Arial" w:hAnsi="Arial" w:cs="Arial"/>
              </w:rPr>
              <w:t>●</w:t>
            </w:r>
            <w:r w:rsidRPr="00792D61">
              <w:rPr>
                <w:b/>
              </w:rPr>
              <w:t>]</w:t>
            </w:r>
            <w:r w:rsidRPr="001D555D">
              <w:t>% per annum</w:t>
            </w:r>
            <w:r w:rsidRPr="00792D61">
              <w:rPr>
                <w:b/>
              </w:rPr>
              <w:t>]</w:t>
            </w:r>
            <w:r w:rsidRPr="001D555D">
              <w:t xml:space="preserve"> and (y) the relevant Minimum Interest Rate.</w:t>
            </w:r>
            <w:r w:rsidRPr="00792D61">
              <w:rPr>
                <w:b/>
              </w:rPr>
              <w:t>]</w:t>
            </w:r>
          </w:p>
        </w:tc>
        <w:tc>
          <w:tcPr>
            <w:tcW w:w="1618" w:type="dxa"/>
            <w:gridSpan w:val="2"/>
            <w:tcBorders>
              <w:top w:val="nil"/>
              <w:bottom w:val="nil"/>
              <w:right w:val="nil"/>
            </w:tcBorders>
            <w:shd w:val="clear" w:color="auto" w:fill="auto"/>
          </w:tcPr>
          <w:p w:rsidR="0017135D" w:rsidRPr="0015550F" w:rsidP="0068498E">
            <w:pPr>
              <w:pStyle w:val="CSBody8pt"/>
              <w:rPr>
                <w:i/>
              </w:rPr>
            </w:pPr>
          </w:p>
        </w:tc>
        <w:tc>
          <w:tcPr>
            <w:tcW w:w="3318" w:type="dxa"/>
            <w:gridSpan w:val="10"/>
            <w:tcBorders>
              <w:top w:val="nil"/>
              <w:left w:val="nil"/>
              <w:bottom w:val="nil"/>
              <w:right w:val="nil"/>
            </w:tcBorders>
            <w:shd w:val="clear" w:color="auto" w:fill="auto"/>
          </w:tcPr>
          <w:p w:rsidR="0017135D" w:rsidRPr="0015550F" w:rsidP="0068498E">
            <w:pPr>
              <w:pStyle w:val="CSBody8pt"/>
              <w:rPr>
                <w:lang w:val="de-DE"/>
              </w:rPr>
            </w:pPr>
            <w:r w:rsidRPr="00792D61">
              <w:rPr>
                <w:b/>
                <w:lang w:val="de-DE"/>
              </w:rPr>
              <w:t>[</w:t>
            </w:r>
            <w:r w:rsidRPr="006F217C">
              <w:rPr>
                <w:b/>
                <w:i/>
                <w:lang w:val="de-DE"/>
              </w:rPr>
              <w:t>bei Stairway Notes einfügen:</w:t>
            </w:r>
            <w:r w:rsidRPr="0015550F">
              <w:rPr>
                <w:lang w:val="de-DE"/>
              </w:rPr>
              <w:t xml:space="preserve"> in Bezug auf einen Zahlungstag für Variable Zinsen ein Satz per annum in Höhe des jeweils kleineren der folgenden Beträge: (i) der jeweilige Höchstzinssatz oder (ii) der jeweils grössere der folgenden Beträge: (x) </w:t>
            </w:r>
            <w:r w:rsidRPr="00792D61">
              <w:rPr>
                <w:b/>
                <w:lang w:val="de-DE"/>
              </w:rPr>
              <w:t>[</w:t>
            </w:r>
            <w:r w:rsidRPr="0015550F">
              <w:rPr>
                <w:lang w:val="de-DE"/>
              </w:rPr>
              <w:t>die Summe aus dem</w:t>
            </w:r>
            <w:r w:rsidRPr="00792D61">
              <w:rPr>
                <w:b/>
                <w:lang w:val="de-DE"/>
              </w:rPr>
              <w:t>]</w:t>
            </w:r>
            <w:r w:rsidRPr="0015550F">
              <w:rPr>
                <w:lang w:val="de-DE"/>
              </w:rPr>
              <w:t xml:space="preserve"> </w:t>
            </w:r>
            <w:r w:rsidRPr="00792D61">
              <w:rPr>
                <w:b/>
                <w:lang w:val="de-DE"/>
              </w:rPr>
              <w:t>[</w:t>
            </w:r>
            <w:r w:rsidRPr="0015550F">
              <w:rPr>
                <w:lang w:val="de-DE"/>
              </w:rPr>
              <w:t>der</w:t>
            </w:r>
            <w:r w:rsidRPr="00792D61">
              <w:rPr>
                <w:b/>
                <w:lang w:val="de-DE"/>
              </w:rPr>
              <w:t>]</w:t>
            </w:r>
            <w:r w:rsidRPr="0015550F">
              <w:rPr>
                <w:lang w:val="de-DE"/>
              </w:rPr>
              <w:t xml:space="preserve"> Referenzsatz an dem jeweiligen Zinsfeststellungstag </w:t>
            </w:r>
            <w:r w:rsidRPr="00792D61">
              <w:rPr>
                <w:b/>
                <w:lang w:val="de-DE"/>
              </w:rPr>
              <w:t>[</w:t>
            </w:r>
            <w:r w:rsidRPr="0015550F">
              <w:rPr>
                <w:lang w:val="de-DE"/>
              </w:rPr>
              <w:t xml:space="preserve">und </w:t>
            </w:r>
            <w:r w:rsidRPr="00792D61">
              <w:rPr>
                <w:b/>
                <w:lang w:val="de-DE"/>
              </w:rPr>
              <w:t>[</w:t>
            </w:r>
            <w:r w:rsidRPr="0015550F">
              <w:rPr>
                <w:rFonts w:ascii="Arial" w:hAnsi="Arial" w:cs="Arial"/>
                <w:lang w:val="de-DE"/>
              </w:rPr>
              <w:t>●</w:t>
            </w:r>
            <w:r w:rsidRPr="00792D61">
              <w:rPr>
                <w:b/>
                <w:lang w:val="de-DE"/>
              </w:rPr>
              <w:t>]</w:t>
            </w:r>
            <w:r w:rsidRPr="0015550F">
              <w:rPr>
                <w:lang w:val="de-DE"/>
              </w:rPr>
              <w:t>% per annum</w:t>
            </w:r>
            <w:r w:rsidRPr="00792D61">
              <w:rPr>
                <w:b/>
                <w:lang w:val="de-DE"/>
              </w:rPr>
              <w:t>]</w:t>
            </w:r>
            <w:r w:rsidRPr="0015550F">
              <w:rPr>
                <w:lang w:val="de-DE"/>
              </w:rPr>
              <w:t xml:space="preserve"> oder (y) der jeweilige Mindestzinssatz.</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F217C">
            <w:pPr>
              <w:pStyle w:val="CSBody8ptbolditalics"/>
              <w:rPr>
                <w:lang w:val="de-DE"/>
              </w:rPr>
            </w:pPr>
          </w:p>
        </w:tc>
        <w:tc>
          <w:tcPr>
            <w:tcW w:w="3315" w:type="dxa"/>
            <w:gridSpan w:val="7"/>
            <w:tcBorders>
              <w:top w:val="nil"/>
              <w:left w:val="nil"/>
              <w:bottom w:val="nil"/>
            </w:tcBorders>
            <w:shd w:val="clear" w:color="auto" w:fill="auto"/>
          </w:tcPr>
          <w:p w:rsidR="0017135D" w:rsidRPr="001D555D" w:rsidP="006F217C">
            <w:pPr>
              <w:pStyle w:val="CSBody8ptbolditalics"/>
            </w:pPr>
            <w:r w:rsidRPr="00792D61">
              <w:t>[</w:t>
            </w:r>
            <w:r w:rsidRPr="001D555D">
              <w:t>in the case of Spread-Linked Notes with a Fixed Interest Payment Amount, insert:</w:t>
            </w:r>
          </w:p>
        </w:tc>
        <w:tc>
          <w:tcPr>
            <w:tcW w:w="1618" w:type="dxa"/>
            <w:gridSpan w:val="2"/>
            <w:tcBorders>
              <w:top w:val="nil"/>
              <w:bottom w:val="nil"/>
              <w:right w:val="nil"/>
            </w:tcBorders>
            <w:shd w:val="clear" w:color="auto" w:fill="auto"/>
          </w:tcPr>
          <w:p w:rsidR="0017135D" w:rsidRPr="0015550F" w:rsidP="006F217C">
            <w:pPr>
              <w:pStyle w:val="CSBody8ptbolditalics"/>
            </w:pPr>
          </w:p>
        </w:tc>
        <w:tc>
          <w:tcPr>
            <w:tcW w:w="3318" w:type="dxa"/>
            <w:gridSpan w:val="10"/>
            <w:tcBorders>
              <w:top w:val="nil"/>
              <w:left w:val="nil"/>
              <w:bottom w:val="nil"/>
              <w:right w:val="nil"/>
            </w:tcBorders>
            <w:shd w:val="clear" w:color="auto" w:fill="auto"/>
          </w:tcPr>
          <w:p w:rsidR="0017135D" w:rsidRPr="0015550F" w:rsidP="006F217C">
            <w:pPr>
              <w:pStyle w:val="CSBody8ptbolditalics"/>
              <w:rPr>
                <w:lang w:val="de-DE"/>
              </w:rPr>
            </w:pPr>
            <w:r w:rsidRPr="00792D61">
              <w:rPr>
                <w:lang w:val="de-DE"/>
              </w:rPr>
              <w:t>[</w:t>
            </w:r>
            <w:r w:rsidRPr="0015550F">
              <w:rPr>
                <w:lang w:val="de-DE"/>
              </w:rPr>
              <w:t>bei Spread-Linked Notes mit Zinszahlungsbetrag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F217C">
            <w:pPr>
              <w:pStyle w:val="CSBody8ptbolditalics"/>
              <w:rPr>
                <w:lang w:val="de-DE"/>
              </w:rPr>
            </w:pPr>
          </w:p>
        </w:tc>
        <w:tc>
          <w:tcPr>
            <w:tcW w:w="3315" w:type="dxa"/>
            <w:gridSpan w:val="7"/>
            <w:tcBorders>
              <w:top w:val="nil"/>
              <w:left w:val="nil"/>
              <w:bottom w:val="nil"/>
            </w:tcBorders>
            <w:shd w:val="clear" w:color="auto" w:fill="auto"/>
          </w:tcPr>
          <w:p w:rsidR="0017135D" w:rsidRPr="001D555D" w:rsidP="006F217C">
            <w:pPr>
              <w:pStyle w:val="CSBody8ptbolditalics"/>
            </w:pPr>
            <w:r w:rsidRPr="00792D61">
              <w:t>[</w:t>
            </w:r>
            <w:r w:rsidRPr="001D555D">
              <w:t>Option 1:</w:t>
            </w:r>
          </w:p>
        </w:tc>
        <w:tc>
          <w:tcPr>
            <w:tcW w:w="1618" w:type="dxa"/>
            <w:gridSpan w:val="2"/>
            <w:tcBorders>
              <w:top w:val="nil"/>
              <w:bottom w:val="nil"/>
              <w:right w:val="nil"/>
            </w:tcBorders>
            <w:shd w:val="clear" w:color="auto" w:fill="auto"/>
          </w:tcPr>
          <w:p w:rsidR="0017135D" w:rsidRPr="0015550F" w:rsidP="006F217C">
            <w:pPr>
              <w:pStyle w:val="CSBody8ptbolditalics"/>
              <w:rPr>
                <w:lang w:val="de-DE"/>
              </w:rPr>
            </w:pPr>
          </w:p>
        </w:tc>
        <w:tc>
          <w:tcPr>
            <w:tcW w:w="3318" w:type="dxa"/>
            <w:gridSpan w:val="10"/>
            <w:tcBorders>
              <w:top w:val="nil"/>
              <w:left w:val="nil"/>
              <w:bottom w:val="nil"/>
              <w:right w:val="nil"/>
            </w:tcBorders>
            <w:shd w:val="clear" w:color="auto" w:fill="auto"/>
          </w:tcPr>
          <w:p w:rsidR="0017135D" w:rsidRPr="00F16EAB" w:rsidP="006F217C">
            <w:pPr>
              <w:pStyle w:val="CSBody8ptbolditalics"/>
            </w:pPr>
            <w:r w:rsidRPr="00792D61">
              <w:t>[</w:t>
            </w:r>
            <w:r w:rsidRPr="00F16EAB">
              <w:t>Option 1:</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F217C">
            <w:pPr>
              <w:pStyle w:val="CSBody8ptbolditalics"/>
              <w:rPr>
                <w:lang w:val="de-DE"/>
              </w:rPr>
            </w:pPr>
          </w:p>
        </w:tc>
        <w:tc>
          <w:tcPr>
            <w:tcW w:w="3315" w:type="dxa"/>
            <w:gridSpan w:val="7"/>
            <w:tcBorders>
              <w:top w:val="nil"/>
              <w:left w:val="nil"/>
              <w:bottom w:val="nil"/>
            </w:tcBorders>
            <w:shd w:val="clear" w:color="auto" w:fill="auto"/>
          </w:tcPr>
          <w:p w:rsidR="0017135D" w:rsidP="006F217C">
            <w:pPr>
              <w:pStyle w:val="CSBody8ptbolditalics"/>
            </w:pPr>
            <w:r w:rsidRPr="00792D61">
              <w:t>[</w:t>
            </w:r>
            <w:r w:rsidRPr="001D555D">
              <w:t>in the case of one Variable Interest Payment Date, insert:</w:t>
            </w:r>
          </w:p>
        </w:tc>
        <w:tc>
          <w:tcPr>
            <w:tcW w:w="1618" w:type="dxa"/>
            <w:gridSpan w:val="2"/>
            <w:tcBorders>
              <w:top w:val="nil"/>
              <w:bottom w:val="nil"/>
              <w:right w:val="nil"/>
            </w:tcBorders>
            <w:shd w:val="clear" w:color="auto" w:fill="auto"/>
          </w:tcPr>
          <w:p w:rsidR="0017135D" w:rsidRPr="0015550F" w:rsidP="006F217C">
            <w:pPr>
              <w:pStyle w:val="CSBody8ptbolditalics"/>
            </w:pPr>
          </w:p>
        </w:tc>
        <w:tc>
          <w:tcPr>
            <w:tcW w:w="3318" w:type="dxa"/>
            <w:gridSpan w:val="10"/>
            <w:tcBorders>
              <w:top w:val="nil"/>
              <w:left w:val="nil"/>
              <w:bottom w:val="nil"/>
              <w:right w:val="nil"/>
            </w:tcBorders>
            <w:shd w:val="clear" w:color="auto" w:fill="auto"/>
          </w:tcPr>
          <w:p w:rsidR="0017135D" w:rsidRPr="0015550F" w:rsidP="006F217C">
            <w:pPr>
              <w:pStyle w:val="CSBody8ptbolditalics"/>
              <w:rPr>
                <w:lang w:val="de-DE"/>
              </w:rPr>
            </w:pPr>
            <w:r w:rsidRPr="00792D61">
              <w:rPr>
                <w:lang w:val="de-DE"/>
              </w:rPr>
              <w:t>[</w:t>
            </w:r>
            <w:r w:rsidRPr="0015550F">
              <w:rPr>
                <w:lang w:val="de-DE"/>
              </w:rPr>
              <w:t>bei nur einem Zahlungstag für Variable 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F217C">
            <w:pPr>
              <w:pStyle w:val="CSBody8pt"/>
              <w:rPr>
                <w:lang w:val="de-DE"/>
              </w:rPr>
            </w:pPr>
          </w:p>
        </w:tc>
        <w:tc>
          <w:tcPr>
            <w:tcW w:w="3315" w:type="dxa"/>
            <w:gridSpan w:val="7"/>
            <w:tcBorders>
              <w:top w:val="nil"/>
              <w:left w:val="nil"/>
              <w:bottom w:val="nil"/>
            </w:tcBorders>
            <w:shd w:val="clear" w:color="auto" w:fill="auto"/>
          </w:tcPr>
          <w:p w:rsidR="0017135D" w:rsidRPr="003125AF" w:rsidP="006F217C">
            <w:pPr>
              <w:pStyle w:val="CSBody8pt"/>
            </w:pPr>
            <w:r w:rsidRPr="003125AF">
              <w:t>a rate per annum equal to the greater of (i) zero (0) and (ii) the product of (x) the Participation and (y) the difference between (A) Reference Rate 1 on the Interest Determination Date and (B) Reference Rate 2 on the Interest Determination Date, calculated in accordance with the following formula:</w:t>
            </w:r>
          </w:p>
        </w:tc>
        <w:tc>
          <w:tcPr>
            <w:tcW w:w="1618" w:type="dxa"/>
            <w:gridSpan w:val="2"/>
            <w:tcBorders>
              <w:top w:val="nil"/>
              <w:bottom w:val="nil"/>
              <w:right w:val="nil"/>
            </w:tcBorders>
            <w:shd w:val="clear" w:color="auto" w:fill="auto"/>
          </w:tcPr>
          <w:p w:rsidR="0017135D" w:rsidRPr="0015550F" w:rsidP="006F217C">
            <w:pPr>
              <w:pStyle w:val="CSBody8pt"/>
              <w:rPr>
                <w:i/>
              </w:rPr>
            </w:pPr>
          </w:p>
        </w:tc>
        <w:tc>
          <w:tcPr>
            <w:tcW w:w="3318" w:type="dxa"/>
            <w:gridSpan w:val="10"/>
            <w:tcBorders>
              <w:top w:val="nil"/>
              <w:left w:val="nil"/>
              <w:bottom w:val="nil"/>
              <w:right w:val="nil"/>
            </w:tcBorders>
            <w:shd w:val="clear" w:color="auto" w:fill="auto"/>
          </w:tcPr>
          <w:p w:rsidR="0017135D" w:rsidRPr="0015550F" w:rsidP="006F217C">
            <w:pPr>
              <w:pStyle w:val="CSBody8pt"/>
              <w:rPr>
                <w:lang w:val="de-DE"/>
              </w:rPr>
            </w:pPr>
            <w:r w:rsidRPr="0015550F">
              <w:rPr>
                <w:lang w:val="de-DE"/>
              </w:rPr>
              <w:t xml:space="preserve">ein Satz per annum in Höhe des jeweils grösseren der folgenden Beträge: (i) null (0) oder (ii) des Produkts aus (x) der Partizipation </w:t>
            </w:r>
            <w:r w:rsidRPr="00A205FA">
              <w:rPr>
                <w:i/>
                <w:lang w:val="de-DE"/>
              </w:rPr>
              <w:t>(Participation)</w:t>
            </w:r>
            <w:r w:rsidRPr="0015550F">
              <w:rPr>
                <w:lang w:val="de-DE"/>
              </w:rPr>
              <w:t xml:space="preserve"> und (y) der Differenz aus (A) dem Referenzsatz 1 am Zinsfeststellungstag und (B) dem Referenzsatz 2 am Zinsfeststellungstag,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A457E7">
            <w:pPr>
              <w:pStyle w:val="CSBody0"/>
              <w:rPr>
                <w:b/>
                <w:lang w:val="de-DE"/>
              </w:rPr>
            </w:pPr>
          </w:p>
        </w:tc>
        <w:tc>
          <w:tcPr>
            <w:tcW w:w="3315" w:type="dxa"/>
            <w:gridSpan w:val="7"/>
            <w:tcBorders>
              <w:top w:val="nil"/>
              <w:left w:val="nil"/>
              <w:bottom w:val="nil"/>
            </w:tcBorders>
            <w:shd w:val="clear" w:color="auto" w:fill="auto"/>
          </w:tcPr>
          <w:p w:rsidR="0017135D" w:rsidRPr="006E683F" w:rsidP="006E683F">
            <w:pPr>
              <w:spacing w:before="120" w:after="120"/>
              <w:jc w:val="center"/>
              <w:rPr>
                <w:sz w:val="14"/>
                <w:szCs w:val="14"/>
                <w:lang w:val="de-DE"/>
              </w:rPr>
            </w:pPr>
            <m:oMath>
              <m:r>
                <w:rPr>
                  <w:rFonts w:ascii="Cambria Math" w:hAnsi="Cambria Math"/>
                  <w:sz w:val="14"/>
                  <w:szCs w:val="14"/>
                  <w:lang w:val="de-DE"/>
                </w:rPr>
                <m:t>max</m:t>
              </m:r>
              <m:d>
                <m:dPr>
                  <m:begChr m:val="["/>
                  <m:endChr m:val="]"/>
                  <m:ctrlPr>
                    <w:rPr>
                      <w:rFonts w:ascii="Cambria Math" w:hAnsi="Cambria Math"/>
                      <w:i/>
                      <w:sz w:val="14"/>
                      <w:szCs w:val="14"/>
                      <w:lang w:val="de-DE"/>
                    </w:rPr>
                  </m:ctrlPr>
                </m:dPr>
                <m:e>
                  <m:r>
                    <w:rPr>
                      <w:rFonts w:ascii="Cambria Math" w:hAnsi="Cambria Math"/>
                      <w:sz w:val="14"/>
                      <w:szCs w:val="14"/>
                      <w:lang w:val="de-DE"/>
                    </w:rPr>
                    <m:t>0;Participation×</m:t>
                  </m:r>
                  <m:d>
                    <m:dPr>
                      <m:ctrlPr>
                        <w:rPr>
                          <w:rFonts w:ascii="Cambria Math" w:hAnsi="Cambria Math"/>
                          <w:i/>
                          <w:sz w:val="14"/>
                          <w:szCs w:val="14"/>
                          <w:lang w:val="de-DE"/>
                        </w:rPr>
                      </m:ctrlPr>
                    </m:dPr>
                    <m:e>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1</m:t>
                          </m:r>
                        </m:sub>
                      </m:sSub>
                      <m:r>
                        <w:rPr>
                          <w:rFonts w:ascii="Cambria Math" w:hAnsi="Cambria Math"/>
                          <w:sz w:val="14"/>
                          <w:szCs w:val="14"/>
                          <w:lang w:val="de-DE"/>
                        </w:rPr>
                        <m:t>-</m:t>
                      </m:r>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2</m:t>
                          </m:r>
                        </m:sub>
                      </m:sSub>
                    </m:e>
                  </m:d>
                </m:e>
              </m:d>
            </m:oMath>
            <w:r>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6E683F"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6E683F" w:rsidP="00EF3A31">
            <w:pPr>
              <w:spacing w:before="120" w:after="120"/>
              <w:jc w:val="center"/>
              <w:rPr>
                <w:sz w:val="14"/>
                <w:szCs w:val="14"/>
                <w:lang w:val="de-DE"/>
              </w:rPr>
            </w:pPr>
            <m:oMath>
              <m:r>
                <w:rPr>
                  <w:rFonts w:ascii="Cambria Math" w:hAnsi="Cambria Math"/>
                  <w:sz w:val="14"/>
                  <w:szCs w:val="14"/>
                  <w:lang w:val="de-DE"/>
                </w:rPr>
                <m:t>max</m:t>
              </m:r>
              <m:d>
                <m:dPr>
                  <m:begChr m:val="["/>
                  <m:endChr m:val="]"/>
                  <m:ctrlPr>
                    <w:rPr>
                      <w:rFonts w:ascii="Cambria Math" w:hAnsi="Cambria Math"/>
                      <w:i/>
                      <w:sz w:val="14"/>
                      <w:szCs w:val="14"/>
                      <w:lang w:val="de-DE"/>
                    </w:rPr>
                  </m:ctrlPr>
                </m:dPr>
                <m:e>
                  <m:r>
                    <w:rPr>
                      <w:rFonts w:ascii="Cambria Math" w:hAnsi="Cambria Math"/>
                      <w:sz w:val="14"/>
                      <w:szCs w:val="14"/>
                      <w:lang w:val="de-DE"/>
                    </w:rPr>
                    <m:t>0;Participation×</m:t>
                  </m:r>
                  <m:d>
                    <m:dPr>
                      <m:ctrlPr>
                        <w:rPr>
                          <w:rFonts w:ascii="Cambria Math" w:hAnsi="Cambria Math"/>
                          <w:i/>
                          <w:sz w:val="14"/>
                          <w:szCs w:val="14"/>
                          <w:lang w:val="de-DE"/>
                        </w:rPr>
                      </m:ctrlPr>
                    </m:dPr>
                    <m:e>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1</m:t>
                          </m:r>
                        </m:sub>
                      </m:sSub>
                      <m:r>
                        <w:rPr>
                          <w:rFonts w:ascii="Cambria Math" w:hAnsi="Cambria Math"/>
                          <w:sz w:val="14"/>
                          <w:szCs w:val="14"/>
                          <w:lang w:val="de-DE"/>
                        </w:rPr>
                        <m:t>-</m:t>
                      </m:r>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2</m:t>
                          </m:r>
                        </m:sub>
                      </m:sSub>
                    </m:e>
                  </m:d>
                </m:e>
              </m:d>
            </m:oMath>
            <w:r>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E683F">
            <w:pPr>
              <w:pStyle w:val="CSBody8ptbolditalics"/>
            </w:pPr>
          </w:p>
        </w:tc>
        <w:tc>
          <w:tcPr>
            <w:tcW w:w="3315" w:type="dxa"/>
            <w:gridSpan w:val="7"/>
            <w:tcBorders>
              <w:top w:val="nil"/>
              <w:left w:val="nil"/>
              <w:bottom w:val="nil"/>
            </w:tcBorders>
            <w:shd w:val="clear" w:color="auto" w:fill="auto"/>
          </w:tcPr>
          <w:p w:rsidR="0017135D" w:rsidRPr="003125AF" w:rsidP="006E683F">
            <w:pPr>
              <w:pStyle w:val="CSBody8ptbolditalics"/>
            </w:pPr>
            <w:r w:rsidRPr="00792D61">
              <w:t>[</w:t>
            </w:r>
            <w:r w:rsidRPr="003125AF">
              <w:t>in the case of multiple Variable Interest Payment Dates, insert:</w:t>
            </w:r>
          </w:p>
        </w:tc>
        <w:tc>
          <w:tcPr>
            <w:tcW w:w="1618" w:type="dxa"/>
            <w:gridSpan w:val="2"/>
            <w:tcBorders>
              <w:top w:val="nil"/>
              <w:bottom w:val="nil"/>
              <w:right w:val="nil"/>
            </w:tcBorders>
            <w:shd w:val="clear" w:color="auto" w:fill="auto"/>
          </w:tcPr>
          <w:p w:rsidR="0017135D" w:rsidRPr="0015550F" w:rsidP="006E683F">
            <w:pPr>
              <w:pStyle w:val="CSBody8ptbolditalics"/>
            </w:pPr>
          </w:p>
        </w:tc>
        <w:tc>
          <w:tcPr>
            <w:tcW w:w="3318" w:type="dxa"/>
            <w:gridSpan w:val="10"/>
            <w:tcBorders>
              <w:top w:val="nil"/>
              <w:left w:val="nil"/>
              <w:bottom w:val="nil"/>
              <w:right w:val="nil"/>
            </w:tcBorders>
            <w:shd w:val="clear" w:color="auto" w:fill="auto"/>
          </w:tcPr>
          <w:p w:rsidR="0017135D" w:rsidRPr="0015550F" w:rsidP="006E683F">
            <w:pPr>
              <w:pStyle w:val="CSBody8ptbolditalics"/>
              <w:rPr>
                <w:lang w:val="de-DE"/>
              </w:rPr>
            </w:pPr>
            <w:r w:rsidRPr="00792D61">
              <w:rPr>
                <w:lang w:val="de-DE"/>
              </w:rPr>
              <w:t>[</w:t>
            </w:r>
            <w:r w:rsidRPr="0015550F">
              <w:rPr>
                <w:lang w:val="de-DE"/>
              </w:rPr>
              <w:t>bei mehreren Zahlungstagen für Variable 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E683F">
            <w:pPr>
              <w:pStyle w:val="CSBody8pt"/>
              <w:rPr>
                <w:lang w:val="de-DE"/>
              </w:rPr>
            </w:pPr>
          </w:p>
        </w:tc>
        <w:tc>
          <w:tcPr>
            <w:tcW w:w="3315" w:type="dxa"/>
            <w:gridSpan w:val="7"/>
            <w:tcBorders>
              <w:top w:val="nil"/>
              <w:left w:val="nil"/>
              <w:bottom w:val="nil"/>
            </w:tcBorders>
            <w:shd w:val="clear" w:color="auto" w:fill="auto"/>
          </w:tcPr>
          <w:p w:rsidR="0017135D" w:rsidP="006E683F">
            <w:pPr>
              <w:pStyle w:val="CSBody8pt"/>
            </w:pPr>
            <w:r w:rsidRPr="003125AF">
              <w:t>with respect to any Variable Interest Payment Date (</w:t>
            </w:r>
            <w:r w:rsidRPr="00116653">
              <w:rPr>
                <w:i/>
              </w:rPr>
              <w:t>t</w:t>
            </w:r>
            <w:r w:rsidRPr="003125AF">
              <w:t>), a rate per annum equal to the greater of (i) zero (0) and (ii) the product of (x) the Participation and (y) the difference between (A) Reference Rate 1 on the Interest Rate Determination Date applicable to such Variable Interest Payment Date (</w:t>
            </w:r>
            <w:r w:rsidRPr="00116653">
              <w:rPr>
                <w:i/>
              </w:rPr>
              <w:t>t</w:t>
            </w:r>
            <w:r w:rsidRPr="003125AF">
              <w:t>) and (B) Reference Rate 2 on the Interest Rate Determination Date applicable to such Variable Interest Payment Date (</w:t>
            </w:r>
            <w:r w:rsidRPr="00116653">
              <w:rPr>
                <w:i/>
              </w:rPr>
              <w:t>t</w:t>
            </w:r>
            <w:r w:rsidRPr="003125AF">
              <w:t>), calculated in accordance with the following formula:</w:t>
            </w:r>
          </w:p>
        </w:tc>
        <w:tc>
          <w:tcPr>
            <w:tcW w:w="1618" w:type="dxa"/>
            <w:gridSpan w:val="2"/>
            <w:tcBorders>
              <w:top w:val="nil"/>
              <w:bottom w:val="nil"/>
              <w:right w:val="nil"/>
            </w:tcBorders>
            <w:shd w:val="clear" w:color="auto" w:fill="auto"/>
          </w:tcPr>
          <w:p w:rsidR="0017135D" w:rsidRPr="0015550F" w:rsidP="006E683F">
            <w:pPr>
              <w:pStyle w:val="CSBody8pt"/>
              <w:rPr>
                <w:i/>
              </w:rPr>
            </w:pPr>
          </w:p>
        </w:tc>
        <w:tc>
          <w:tcPr>
            <w:tcW w:w="3318" w:type="dxa"/>
            <w:gridSpan w:val="10"/>
            <w:tcBorders>
              <w:top w:val="nil"/>
              <w:left w:val="nil"/>
              <w:bottom w:val="nil"/>
              <w:right w:val="nil"/>
            </w:tcBorders>
            <w:shd w:val="clear" w:color="auto" w:fill="auto"/>
          </w:tcPr>
          <w:p w:rsidR="0017135D" w:rsidRPr="0015550F" w:rsidP="00516CB4">
            <w:pPr>
              <w:pStyle w:val="CSBody8pt"/>
              <w:rPr>
                <w:lang w:val="de-DE"/>
              </w:rPr>
            </w:pPr>
            <w:r w:rsidRPr="0015550F">
              <w:rPr>
                <w:lang w:val="de-DE"/>
              </w:rPr>
              <w:t>in Bezug auf einen Zahlungstag für Variable Zinsen (</w:t>
            </w:r>
            <w:r w:rsidRPr="00116653">
              <w:rPr>
                <w:i/>
                <w:lang w:val="de-DE"/>
              </w:rPr>
              <w:t>t</w:t>
            </w:r>
            <w:r w:rsidRPr="0015550F">
              <w:rPr>
                <w:lang w:val="de-DE"/>
              </w:rPr>
              <w:t xml:space="preserve">) ein Satz per annum in Höhe des jeweils grösseren der folgenden Beträge: (i) null (0) oder (ii) des Produkts aus (x) der Partizipation </w:t>
            </w:r>
            <w:r w:rsidRPr="00A205FA">
              <w:rPr>
                <w:i/>
                <w:lang w:val="de-DE"/>
              </w:rPr>
              <w:t>(Participation)</w:t>
            </w:r>
            <w:r w:rsidRPr="0015550F">
              <w:rPr>
                <w:lang w:val="de-DE"/>
              </w:rPr>
              <w:t xml:space="preserve"> und (y) der Differenz aus (A) dem Referenzsatz 1 an dem für diesen Zahlungstag für Variable Zinsen (</w:t>
            </w:r>
            <w:r w:rsidRPr="00116653">
              <w:rPr>
                <w:i/>
                <w:lang w:val="de-DE"/>
              </w:rPr>
              <w:t>t</w:t>
            </w:r>
            <w:r w:rsidRPr="0015550F">
              <w:rPr>
                <w:lang w:val="de-DE"/>
              </w:rPr>
              <w:t>) geltenden Zinsfeststellungstag und (B) dem Referenzsatz 2 an dem für diesen Zahlungstag für Variable Zinsen (</w:t>
            </w:r>
            <w:r w:rsidRPr="00116653">
              <w:rPr>
                <w:i/>
                <w:lang w:val="de-DE"/>
              </w:rPr>
              <w:t>t</w:t>
            </w:r>
            <w:r w:rsidRPr="0015550F">
              <w:rPr>
                <w:lang w:val="de-DE"/>
              </w:rPr>
              <w:t>) geltenden Zinsfeststellungstag,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A457E7">
            <w:pPr>
              <w:pStyle w:val="CSBody0"/>
              <w:rPr>
                <w:b/>
                <w:lang w:val="de-DE"/>
              </w:rPr>
            </w:pPr>
          </w:p>
        </w:tc>
        <w:tc>
          <w:tcPr>
            <w:tcW w:w="3315" w:type="dxa"/>
            <w:gridSpan w:val="7"/>
            <w:tcBorders>
              <w:top w:val="nil"/>
              <w:left w:val="nil"/>
              <w:bottom w:val="nil"/>
            </w:tcBorders>
            <w:shd w:val="clear" w:color="auto" w:fill="auto"/>
          </w:tcPr>
          <w:p w:rsidR="0017135D" w:rsidRPr="006E683F" w:rsidP="00EF3A31">
            <w:pPr>
              <w:spacing w:before="120" w:after="120"/>
              <w:jc w:val="center"/>
              <w:rPr>
                <w:sz w:val="14"/>
                <w:szCs w:val="14"/>
                <w:lang w:val="de-DE"/>
              </w:rP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1</m:t>
                          </m:r>
                        </m:sup>
                      </m:sSubSup>
                      <m:r>
                        <w:rPr>
                          <w:rFonts w:ascii="Cambria Math" w:hAnsi="Cambria Math"/>
                          <w:sz w:val="14"/>
                          <w:szCs w:val="14"/>
                          <w:lang w:val="de-DE"/>
                        </w:rPr>
                        <m:t>-</m:t>
                      </m:r>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2</m:t>
                          </m:r>
                        </m:sup>
                      </m:sSubSup>
                    </m:e>
                  </m:d>
                </m:e>
              </m:d>
            </m:oMath>
            <w:r w:rsidRPr="006E683F">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15550F"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6E683F" w:rsidP="00EF3A31">
            <w:pPr>
              <w:spacing w:before="120" w:after="120"/>
              <w:jc w:val="center"/>
              <w:rPr>
                <w:sz w:val="14"/>
                <w:szCs w:val="14"/>
                <w:lang w:val="de-DE"/>
              </w:rP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1</m:t>
                          </m:r>
                        </m:sup>
                      </m:sSubSup>
                      <m:r>
                        <w:rPr>
                          <w:rFonts w:ascii="Cambria Math" w:hAnsi="Cambria Math"/>
                          <w:sz w:val="14"/>
                          <w:szCs w:val="14"/>
                          <w:lang w:val="de-DE"/>
                        </w:rPr>
                        <m:t>-</m:t>
                      </m:r>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2</m:t>
                          </m:r>
                        </m:sup>
                      </m:sSubSup>
                    </m:e>
                  </m:d>
                </m:e>
              </m:d>
            </m:oMath>
            <w:r w:rsidRPr="006E683F">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E683F">
            <w:pPr>
              <w:pStyle w:val="CSBody8ptbolditalics"/>
              <w:rPr>
                <w:lang w:val="de-DE"/>
              </w:rPr>
            </w:pPr>
          </w:p>
        </w:tc>
        <w:tc>
          <w:tcPr>
            <w:tcW w:w="3315" w:type="dxa"/>
            <w:gridSpan w:val="7"/>
            <w:tcBorders>
              <w:top w:val="nil"/>
              <w:left w:val="nil"/>
              <w:bottom w:val="nil"/>
            </w:tcBorders>
            <w:shd w:val="clear" w:color="auto" w:fill="auto"/>
          </w:tcPr>
          <w:p w:rsidR="0017135D" w:rsidRPr="005A4818" w:rsidP="006E683F">
            <w:pPr>
              <w:pStyle w:val="CSBody8ptbolditalics"/>
            </w:pPr>
            <w:r w:rsidRPr="00792D61">
              <w:t>[</w:t>
            </w:r>
            <w:r w:rsidRPr="005A4818">
              <w:t>Option 2:</w:t>
            </w:r>
          </w:p>
        </w:tc>
        <w:tc>
          <w:tcPr>
            <w:tcW w:w="1618" w:type="dxa"/>
            <w:gridSpan w:val="2"/>
            <w:tcBorders>
              <w:top w:val="nil"/>
              <w:bottom w:val="nil"/>
              <w:right w:val="nil"/>
            </w:tcBorders>
            <w:shd w:val="clear" w:color="auto" w:fill="auto"/>
          </w:tcPr>
          <w:p w:rsidR="0017135D" w:rsidRPr="0015550F" w:rsidP="006E683F">
            <w:pPr>
              <w:pStyle w:val="CSBody8ptbolditalics"/>
              <w:rPr>
                <w:lang w:val="de-DE"/>
              </w:rPr>
            </w:pPr>
          </w:p>
        </w:tc>
        <w:tc>
          <w:tcPr>
            <w:tcW w:w="3318" w:type="dxa"/>
            <w:gridSpan w:val="10"/>
            <w:tcBorders>
              <w:top w:val="nil"/>
              <w:left w:val="nil"/>
              <w:bottom w:val="nil"/>
              <w:right w:val="nil"/>
            </w:tcBorders>
            <w:shd w:val="clear" w:color="auto" w:fill="auto"/>
          </w:tcPr>
          <w:p w:rsidR="0017135D" w:rsidRPr="00E63AAB" w:rsidP="006E683F">
            <w:pPr>
              <w:pStyle w:val="CSBody8ptbolditalics"/>
            </w:pPr>
            <w:r w:rsidRPr="00792D61">
              <w:t>[</w:t>
            </w:r>
            <w:r w:rsidRPr="00E63AAB">
              <w:t>Option 2:</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E683F">
            <w:pPr>
              <w:pStyle w:val="CSBody8ptbolditalics"/>
              <w:rPr>
                <w:lang w:val="de-DE"/>
              </w:rPr>
            </w:pPr>
          </w:p>
        </w:tc>
        <w:tc>
          <w:tcPr>
            <w:tcW w:w="3315" w:type="dxa"/>
            <w:gridSpan w:val="7"/>
            <w:tcBorders>
              <w:top w:val="nil"/>
              <w:left w:val="nil"/>
              <w:bottom w:val="nil"/>
            </w:tcBorders>
            <w:shd w:val="clear" w:color="auto" w:fill="auto"/>
          </w:tcPr>
          <w:p w:rsidR="0017135D" w:rsidRPr="005A4818" w:rsidP="006E683F">
            <w:pPr>
              <w:pStyle w:val="CSBody8ptbolditalics"/>
            </w:pPr>
            <w:r w:rsidRPr="00792D61">
              <w:t>[</w:t>
            </w:r>
            <w:r w:rsidRPr="005A4818">
              <w:t>in the case of one Variable Interest Payment Date, insert:</w:t>
            </w:r>
          </w:p>
        </w:tc>
        <w:tc>
          <w:tcPr>
            <w:tcW w:w="1618" w:type="dxa"/>
            <w:gridSpan w:val="2"/>
            <w:tcBorders>
              <w:top w:val="nil"/>
              <w:bottom w:val="nil"/>
              <w:right w:val="nil"/>
            </w:tcBorders>
            <w:shd w:val="clear" w:color="auto" w:fill="auto"/>
          </w:tcPr>
          <w:p w:rsidR="0017135D" w:rsidRPr="0015550F" w:rsidP="006E683F">
            <w:pPr>
              <w:pStyle w:val="CSBody8ptbolditalics"/>
            </w:pPr>
          </w:p>
        </w:tc>
        <w:tc>
          <w:tcPr>
            <w:tcW w:w="3318" w:type="dxa"/>
            <w:gridSpan w:val="10"/>
            <w:tcBorders>
              <w:top w:val="nil"/>
              <w:left w:val="nil"/>
              <w:bottom w:val="nil"/>
              <w:right w:val="nil"/>
            </w:tcBorders>
            <w:shd w:val="clear" w:color="auto" w:fill="auto"/>
          </w:tcPr>
          <w:p w:rsidR="0017135D" w:rsidRPr="0015550F" w:rsidP="006E683F">
            <w:pPr>
              <w:pStyle w:val="CSBody8ptbolditalics"/>
              <w:rPr>
                <w:lang w:val="de-DE"/>
              </w:rPr>
            </w:pPr>
            <w:r w:rsidRPr="00792D61">
              <w:rPr>
                <w:lang w:val="de-DE"/>
              </w:rPr>
              <w:t>[</w:t>
            </w:r>
            <w:r w:rsidRPr="0015550F">
              <w:rPr>
                <w:lang w:val="de-DE"/>
              </w:rPr>
              <w:t>bei nur einem Zinszahlungstag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E683F">
            <w:pPr>
              <w:pStyle w:val="CSBody8pt"/>
              <w:rPr>
                <w:lang w:val="de-DE"/>
              </w:rPr>
            </w:pPr>
          </w:p>
        </w:tc>
        <w:tc>
          <w:tcPr>
            <w:tcW w:w="3315" w:type="dxa"/>
            <w:gridSpan w:val="7"/>
            <w:tcBorders>
              <w:top w:val="nil"/>
              <w:left w:val="nil"/>
              <w:bottom w:val="nil"/>
            </w:tcBorders>
            <w:shd w:val="clear" w:color="auto" w:fill="auto"/>
          </w:tcPr>
          <w:p w:rsidR="0017135D" w:rsidP="006E683F">
            <w:pPr>
              <w:pStyle w:val="CSBody8pt"/>
            </w:pPr>
            <w:r w:rsidRPr="005A4818">
              <w:t xml:space="preserve">a rate per annum equal to the greater of (i) zero (0) and (ii) the sum of (x) </w:t>
            </w:r>
            <w:r w:rsidRPr="00792D61">
              <w:rPr>
                <w:b/>
              </w:rPr>
              <w:t>[</w:t>
            </w:r>
            <w:r w:rsidRPr="005A4818">
              <w:rPr>
                <w:rFonts w:ascii="Arial" w:hAnsi="Arial" w:cs="Arial"/>
              </w:rPr>
              <w:t>●</w:t>
            </w:r>
            <w:r w:rsidRPr="00792D61">
              <w:rPr>
                <w:b/>
              </w:rPr>
              <w:t>]</w:t>
            </w:r>
            <w:r w:rsidRPr="005A4818">
              <w:t>% per annum and (y) the difference between (A) Reference Rate 1 on the Interest Determination Date and (B) Reference Rate 2 on the Interest Determination Date, calculated in accordance with the following formula:</w:t>
            </w:r>
          </w:p>
        </w:tc>
        <w:tc>
          <w:tcPr>
            <w:tcW w:w="1618" w:type="dxa"/>
            <w:gridSpan w:val="2"/>
            <w:tcBorders>
              <w:top w:val="nil"/>
              <w:bottom w:val="nil"/>
              <w:right w:val="nil"/>
            </w:tcBorders>
            <w:shd w:val="clear" w:color="auto" w:fill="auto"/>
          </w:tcPr>
          <w:p w:rsidR="0017135D" w:rsidRPr="0015550F" w:rsidP="006E683F">
            <w:pPr>
              <w:pStyle w:val="CSBody8pt"/>
              <w:rPr>
                <w:i/>
              </w:rPr>
            </w:pPr>
          </w:p>
        </w:tc>
        <w:tc>
          <w:tcPr>
            <w:tcW w:w="3318" w:type="dxa"/>
            <w:gridSpan w:val="10"/>
            <w:tcBorders>
              <w:top w:val="nil"/>
              <w:left w:val="nil"/>
              <w:bottom w:val="nil"/>
              <w:right w:val="nil"/>
            </w:tcBorders>
            <w:shd w:val="clear" w:color="auto" w:fill="auto"/>
          </w:tcPr>
          <w:p w:rsidR="0017135D" w:rsidRPr="0015550F" w:rsidP="006E683F">
            <w:pPr>
              <w:pStyle w:val="CSBody8pt"/>
              <w:rPr>
                <w:lang w:val="de-DE"/>
              </w:rPr>
            </w:pPr>
            <w:r w:rsidRPr="0015550F">
              <w:rPr>
                <w:lang w:val="de-DE"/>
              </w:rPr>
              <w:t xml:space="preserve">ein Satz per annum in Höhe des jeweils grösseren der folgenden Beträge: (i) null (0) oder (ii) der Summe aus (x) </w:t>
            </w:r>
            <w:r w:rsidRPr="00792D61">
              <w:rPr>
                <w:b/>
                <w:lang w:val="de-DE"/>
              </w:rPr>
              <w:t>[</w:t>
            </w:r>
            <w:r w:rsidRPr="0015550F">
              <w:rPr>
                <w:rFonts w:ascii="Arial" w:hAnsi="Arial" w:cs="Arial"/>
                <w:lang w:val="de-DE"/>
              </w:rPr>
              <w:t>●</w:t>
            </w:r>
            <w:r w:rsidRPr="00792D61">
              <w:rPr>
                <w:b/>
                <w:lang w:val="de-DE"/>
              </w:rPr>
              <w:t>]</w:t>
            </w:r>
            <w:r w:rsidRPr="0015550F">
              <w:rPr>
                <w:lang w:val="de-DE"/>
              </w:rPr>
              <w:t>% per annum und (y) der Differenz aus (A) dem Referenzsatz 1 am Zinsfeststellungstag und (B) dem Referenzsatz 2 am Zinsfeststellungstag,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A457E7">
            <w:pPr>
              <w:pStyle w:val="CSBody0"/>
              <w:rPr>
                <w:b/>
                <w:lang w:val="de-DE"/>
              </w:rPr>
            </w:pPr>
          </w:p>
        </w:tc>
        <w:tc>
          <w:tcPr>
            <w:tcW w:w="3315" w:type="dxa"/>
            <w:gridSpan w:val="7"/>
            <w:tcBorders>
              <w:top w:val="nil"/>
              <w:left w:val="nil"/>
              <w:bottom w:val="nil"/>
            </w:tcBorders>
            <w:shd w:val="clear" w:color="auto" w:fill="auto"/>
          </w:tcPr>
          <w:p w:rsidR="0017135D" w:rsidRPr="006E683F" w:rsidP="006E683F">
            <w:pPr>
              <w:spacing w:before="120" w:after="120"/>
              <w:jc w:val="center"/>
              <w:rPr>
                <w:sz w:val="14"/>
                <w:szCs w:val="14"/>
                <w:lang w:val="de-DE"/>
              </w:rPr>
            </w:pPr>
            <m:oMath>
              <m:r>
                <w:rPr>
                  <w:rFonts w:ascii="Cambria Math" w:hAnsi="Cambria Math"/>
                  <w:sz w:val="14"/>
                  <w:szCs w:val="14"/>
                  <w:lang w:val="de-DE"/>
                </w:rPr>
                <m:t>max</m:t>
              </m:r>
              <m:d>
                <m:dPr>
                  <m:begChr m:val="["/>
                  <m:endChr m:val="]"/>
                  <m:ctrlPr>
                    <w:rPr>
                      <w:rFonts w:ascii="Cambria Math" w:hAnsi="Cambria Math"/>
                      <w:i/>
                      <w:sz w:val="14"/>
                      <w:szCs w:val="14"/>
                      <w:lang w:val="de-DE"/>
                    </w:rPr>
                  </m:ctrlPr>
                </m:dPr>
                <m:e>
                  <m:r>
                    <w:rPr>
                      <w:rFonts w:ascii="Cambria Math" w:hAnsi="Cambria Math"/>
                      <w:sz w:val="14"/>
                      <w:szCs w:val="14"/>
                      <w:lang w:val="de-DE"/>
                    </w:rPr>
                    <m:t>0;</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%p.a.+</m:t>
                  </m:r>
                  <m:d>
                    <m:dPr>
                      <m:ctrlPr>
                        <w:rPr>
                          <w:rFonts w:ascii="Cambria Math" w:hAnsi="Cambria Math"/>
                          <w:i/>
                          <w:sz w:val="14"/>
                          <w:szCs w:val="14"/>
                          <w:lang w:val="de-DE"/>
                        </w:rPr>
                      </m:ctrlPr>
                    </m:dPr>
                    <m:e>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1</m:t>
                          </m:r>
                        </m:sub>
                      </m:sSub>
                      <m:r>
                        <w:rPr>
                          <w:rFonts w:ascii="Cambria Math" w:hAnsi="Cambria Math"/>
                          <w:sz w:val="14"/>
                          <w:szCs w:val="14"/>
                          <w:lang w:val="de-DE"/>
                        </w:rPr>
                        <m:t>-</m:t>
                      </m:r>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2</m:t>
                          </m:r>
                        </m:sub>
                      </m:sSub>
                    </m:e>
                  </m:d>
                </m:e>
              </m:d>
            </m:oMath>
            <w:r>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15550F"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6E683F" w:rsidP="00EF3A31">
            <w:pPr>
              <w:spacing w:before="120" w:after="120"/>
              <w:jc w:val="center"/>
              <w:rPr>
                <w:sz w:val="14"/>
                <w:szCs w:val="14"/>
                <w:lang w:val="de-DE"/>
              </w:rPr>
            </w:pPr>
            <m:oMath>
              <m:r>
                <w:rPr>
                  <w:rFonts w:ascii="Cambria Math" w:hAnsi="Cambria Math"/>
                  <w:sz w:val="14"/>
                  <w:szCs w:val="14"/>
                  <w:lang w:val="de-DE"/>
                </w:rPr>
                <m:t>max</m:t>
              </m:r>
              <m:d>
                <m:dPr>
                  <m:begChr m:val="["/>
                  <m:endChr m:val="]"/>
                  <m:ctrlPr>
                    <w:rPr>
                      <w:rFonts w:ascii="Cambria Math" w:hAnsi="Cambria Math"/>
                      <w:i/>
                      <w:sz w:val="14"/>
                      <w:szCs w:val="14"/>
                      <w:lang w:val="de-DE"/>
                    </w:rPr>
                  </m:ctrlPr>
                </m:dPr>
                <m:e>
                  <m:r>
                    <w:rPr>
                      <w:rFonts w:ascii="Cambria Math" w:hAnsi="Cambria Math"/>
                      <w:sz w:val="14"/>
                      <w:szCs w:val="14"/>
                      <w:lang w:val="de-DE"/>
                    </w:rPr>
                    <m:t>0;</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%p.a.+</m:t>
                  </m:r>
                  <m:d>
                    <m:dPr>
                      <m:ctrlPr>
                        <w:rPr>
                          <w:rFonts w:ascii="Cambria Math" w:hAnsi="Cambria Math"/>
                          <w:i/>
                          <w:sz w:val="14"/>
                          <w:szCs w:val="14"/>
                          <w:lang w:val="de-DE"/>
                        </w:rPr>
                      </m:ctrlPr>
                    </m:dPr>
                    <m:e>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1</m:t>
                          </m:r>
                        </m:sub>
                      </m:sSub>
                      <m:r>
                        <w:rPr>
                          <w:rFonts w:ascii="Cambria Math" w:hAnsi="Cambria Math"/>
                          <w:sz w:val="14"/>
                          <w:szCs w:val="14"/>
                          <w:lang w:val="de-DE"/>
                        </w:rPr>
                        <m:t>-</m:t>
                      </m:r>
                      <m:sSub>
                        <m:sSubPr>
                          <m:ctrlPr>
                            <w:rPr>
                              <w:rFonts w:ascii="Cambria Math" w:hAnsi="Cambria Math"/>
                              <w:i/>
                              <w:sz w:val="14"/>
                              <w:szCs w:val="14"/>
                              <w:lang w:val="de-DE"/>
                            </w:rPr>
                          </m:ctrlPr>
                        </m:sSubPr>
                        <m:e>
                          <m:r>
                            <w:rPr>
                              <w:rFonts w:ascii="Cambria Math" w:hAnsi="Cambria Math"/>
                              <w:sz w:val="14"/>
                              <w:szCs w:val="14"/>
                              <w:lang w:val="de-DE"/>
                            </w:rPr>
                            <m:t>RR</m:t>
                          </m:r>
                        </m:e>
                        <m:sub>
                          <m:r>
                            <w:rPr>
                              <w:rFonts w:ascii="Cambria Math" w:hAnsi="Cambria Math"/>
                              <w:sz w:val="14"/>
                              <w:szCs w:val="14"/>
                              <w:lang w:val="de-DE"/>
                            </w:rPr>
                            <m:t>2</m:t>
                          </m:r>
                        </m:sub>
                      </m:sSub>
                    </m:e>
                  </m:d>
                </m:e>
              </m:d>
            </m:oMath>
            <w:r>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E683F">
            <w:pPr>
              <w:pStyle w:val="CSBody8ptbolditalics"/>
              <w:rPr>
                <w:lang w:val="de-DE"/>
              </w:rPr>
            </w:pPr>
          </w:p>
        </w:tc>
        <w:tc>
          <w:tcPr>
            <w:tcW w:w="3315" w:type="dxa"/>
            <w:gridSpan w:val="7"/>
            <w:tcBorders>
              <w:top w:val="nil"/>
              <w:left w:val="nil"/>
              <w:bottom w:val="nil"/>
            </w:tcBorders>
            <w:shd w:val="clear" w:color="auto" w:fill="auto"/>
          </w:tcPr>
          <w:p w:rsidR="0017135D" w:rsidRPr="00EE124A" w:rsidP="006E683F">
            <w:pPr>
              <w:pStyle w:val="CSBody8ptbolditalics"/>
            </w:pPr>
            <w:r w:rsidRPr="00792D61">
              <w:t>[</w:t>
            </w:r>
            <w:r w:rsidRPr="00EE124A">
              <w:t>in the case of multiple Variable Interest Payment Dates, insert:</w:t>
            </w:r>
          </w:p>
        </w:tc>
        <w:tc>
          <w:tcPr>
            <w:tcW w:w="1618" w:type="dxa"/>
            <w:gridSpan w:val="2"/>
            <w:tcBorders>
              <w:top w:val="nil"/>
              <w:bottom w:val="nil"/>
              <w:right w:val="nil"/>
            </w:tcBorders>
            <w:shd w:val="clear" w:color="auto" w:fill="auto"/>
          </w:tcPr>
          <w:p w:rsidR="0017135D" w:rsidRPr="0015550F" w:rsidP="006E683F">
            <w:pPr>
              <w:pStyle w:val="CSBody8ptbolditalics"/>
            </w:pPr>
          </w:p>
        </w:tc>
        <w:tc>
          <w:tcPr>
            <w:tcW w:w="3318" w:type="dxa"/>
            <w:gridSpan w:val="10"/>
            <w:tcBorders>
              <w:top w:val="nil"/>
              <w:left w:val="nil"/>
              <w:bottom w:val="nil"/>
              <w:right w:val="nil"/>
            </w:tcBorders>
            <w:shd w:val="clear" w:color="auto" w:fill="auto"/>
          </w:tcPr>
          <w:p w:rsidR="0017135D" w:rsidRPr="0015550F" w:rsidP="006E683F">
            <w:pPr>
              <w:pStyle w:val="CSBody8ptbolditalics"/>
              <w:rPr>
                <w:lang w:val="de-DE"/>
              </w:rPr>
            </w:pPr>
            <w:r w:rsidRPr="00792D61">
              <w:rPr>
                <w:lang w:val="de-DE"/>
              </w:rPr>
              <w:t>[</w:t>
            </w:r>
            <w:r w:rsidRPr="0015550F">
              <w:rPr>
                <w:lang w:val="de-DE"/>
              </w:rPr>
              <w:t>bei mehreren Zinszahlungstagen für Variable 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6E683F">
            <w:pPr>
              <w:pStyle w:val="CSBody8pt"/>
              <w:rPr>
                <w:lang w:val="de-DE"/>
              </w:rPr>
            </w:pPr>
          </w:p>
        </w:tc>
        <w:tc>
          <w:tcPr>
            <w:tcW w:w="3315" w:type="dxa"/>
            <w:gridSpan w:val="7"/>
            <w:tcBorders>
              <w:top w:val="nil"/>
              <w:left w:val="nil"/>
              <w:bottom w:val="nil"/>
            </w:tcBorders>
            <w:shd w:val="clear" w:color="auto" w:fill="auto"/>
          </w:tcPr>
          <w:p w:rsidR="0017135D" w:rsidRPr="00EE124A" w:rsidP="006E683F">
            <w:pPr>
              <w:pStyle w:val="CSBody8pt"/>
            </w:pPr>
            <w:r w:rsidRPr="00EE124A">
              <w:t>with respect to any Variable Interest Payment Date (</w:t>
            </w:r>
            <w:r w:rsidRPr="00116653">
              <w:rPr>
                <w:i/>
              </w:rPr>
              <w:t>t</w:t>
            </w:r>
            <w:r w:rsidRPr="00EE124A">
              <w:t xml:space="preserve">), a rate per annum equal to the greater of (i) zero (0) and (ii) the sum of (x) </w:t>
            </w:r>
            <w:r w:rsidRPr="00792D61">
              <w:rPr>
                <w:b/>
              </w:rPr>
              <w:t>[</w:t>
            </w:r>
            <w:r w:rsidRPr="00EE124A">
              <w:rPr>
                <w:rFonts w:ascii="Arial" w:hAnsi="Arial" w:cs="Arial"/>
              </w:rPr>
              <w:t>●</w:t>
            </w:r>
            <w:r w:rsidRPr="00792D61">
              <w:rPr>
                <w:b/>
              </w:rPr>
              <w:t>]</w:t>
            </w:r>
            <w:r w:rsidRPr="00EE124A">
              <w:t>% per annum and (y) the difference between (A) Reference Rate 1 on the Interest Rate Determination Date applicable to such Variable Interest Payment Date (</w:t>
            </w:r>
            <w:r w:rsidRPr="00116653">
              <w:rPr>
                <w:i/>
              </w:rPr>
              <w:t>t)</w:t>
            </w:r>
            <w:r w:rsidRPr="00EE124A">
              <w:t xml:space="preserve"> and (B) Reference Rate 2 on the Interest Rate Determination Date applicable to such Variable Interest Payment Date (</w:t>
            </w:r>
            <w:r w:rsidRPr="00116653">
              <w:rPr>
                <w:i/>
              </w:rPr>
              <w:t>t</w:t>
            </w:r>
            <w:r w:rsidRPr="00EE124A">
              <w:t>), calculated in accordance with the following formula:</w:t>
            </w:r>
          </w:p>
        </w:tc>
        <w:tc>
          <w:tcPr>
            <w:tcW w:w="1618" w:type="dxa"/>
            <w:gridSpan w:val="2"/>
            <w:tcBorders>
              <w:top w:val="nil"/>
              <w:bottom w:val="nil"/>
              <w:right w:val="nil"/>
            </w:tcBorders>
            <w:shd w:val="clear" w:color="auto" w:fill="auto"/>
          </w:tcPr>
          <w:p w:rsidR="0017135D" w:rsidRPr="0015550F" w:rsidP="006E683F">
            <w:pPr>
              <w:pStyle w:val="CSBody8pt"/>
              <w:rPr>
                <w:i/>
              </w:rPr>
            </w:pPr>
          </w:p>
        </w:tc>
        <w:tc>
          <w:tcPr>
            <w:tcW w:w="3318" w:type="dxa"/>
            <w:gridSpan w:val="10"/>
            <w:tcBorders>
              <w:top w:val="nil"/>
              <w:left w:val="nil"/>
              <w:bottom w:val="nil"/>
              <w:right w:val="nil"/>
            </w:tcBorders>
            <w:shd w:val="clear" w:color="auto" w:fill="auto"/>
          </w:tcPr>
          <w:p w:rsidR="0017135D" w:rsidRPr="0015550F" w:rsidP="006E683F">
            <w:pPr>
              <w:pStyle w:val="CSBody8pt"/>
              <w:rPr>
                <w:lang w:val="de-DE"/>
              </w:rPr>
            </w:pPr>
            <w:r w:rsidRPr="0015550F">
              <w:rPr>
                <w:lang w:val="de-DE"/>
              </w:rPr>
              <w:t>in Bezug auf einen Zahlungstag für Variable Zinsen (</w:t>
            </w:r>
            <w:r w:rsidRPr="00116653">
              <w:rPr>
                <w:i/>
                <w:lang w:val="de-DE"/>
              </w:rPr>
              <w:t>t</w:t>
            </w:r>
            <w:r w:rsidRPr="0015550F">
              <w:rPr>
                <w:lang w:val="de-DE"/>
              </w:rPr>
              <w:t xml:space="preserve">) ein Satz per annum in Höhe des jeweils grösseren der folgenden Beträge: (i) null (0) oder (ii) der Summe aus (x) </w:t>
            </w:r>
            <w:r w:rsidRPr="00792D61">
              <w:rPr>
                <w:b/>
                <w:lang w:val="de-DE"/>
              </w:rPr>
              <w:t>[</w:t>
            </w:r>
            <w:r w:rsidRPr="0015550F">
              <w:rPr>
                <w:rFonts w:ascii="Arial" w:hAnsi="Arial" w:cs="Arial"/>
                <w:lang w:val="de-DE"/>
              </w:rPr>
              <w:t>●</w:t>
            </w:r>
            <w:r w:rsidRPr="00792D61">
              <w:rPr>
                <w:b/>
                <w:lang w:val="de-DE"/>
              </w:rPr>
              <w:t>]</w:t>
            </w:r>
            <w:r w:rsidRPr="0015550F">
              <w:rPr>
                <w:lang w:val="de-DE"/>
              </w:rPr>
              <w:t>% per annum und (y) der Differenz aus (A) dem Referenzsatz 1 an dem f</w:t>
            </w:r>
            <w:r w:rsidRPr="0015550F">
              <w:rPr>
                <w:rFonts w:cs="Credit Suisse Type Light"/>
                <w:lang w:val="de-DE"/>
              </w:rPr>
              <w:t>ü</w:t>
            </w:r>
            <w:r w:rsidRPr="0015550F">
              <w:rPr>
                <w:lang w:val="de-DE"/>
              </w:rPr>
              <w:t>r diesen Zahlungstag für Variable Zinsen (</w:t>
            </w:r>
            <w:r w:rsidRPr="00116653">
              <w:rPr>
                <w:i/>
                <w:lang w:val="de-DE"/>
              </w:rPr>
              <w:t>t</w:t>
            </w:r>
            <w:r w:rsidRPr="0015550F">
              <w:rPr>
                <w:lang w:val="de-DE"/>
              </w:rPr>
              <w:t>) geltenden Zinsfeststellungstag und (B) dem Referenzsatz 2 an dem für diesen Zahlungstag für Variable Zinsen (</w:t>
            </w:r>
            <w:r w:rsidRPr="00116653">
              <w:rPr>
                <w:i/>
                <w:lang w:val="de-DE"/>
              </w:rPr>
              <w:t>t</w:t>
            </w:r>
            <w:r w:rsidRPr="0015550F">
              <w:rPr>
                <w:lang w:val="de-DE"/>
              </w:rPr>
              <w:t>) geltenden Zinsfeststellungstag,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A457E7">
            <w:pPr>
              <w:pStyle w:val="CSBody0"/>
              <w:rPr>
                <w:b/>
                <w:lang w:val="de-DE"/>
              </w:rPr>
            </w:pPr>
          </w:p>
        </w:tc>
        <w:tc>
          <w:tcPr>
            <w:tcW w:w="3315" w:type="dxa"/>
            <w:gridSpan w:val="7"/>
            <w:tcBorders>
              <w:top w:val="nil"/>
              <w:left w:val="nil"/>
              <w:bottom w:val="nil"/>
            </w:tcBorders>
            <w:shd w:val="clear" w:color="auto" w:fill="auto"/>
          </w:tcPr>
          <w:p w:rsidR="0017135D" w:rsidRPr="006E683F" w:rsidP="00341691">
            <w:pPr>
              <w:spacing w:before="120" w:after="120"/>
              <w:jc w:val="center"/>
              <w:rPr>
                <w:sz w:val="14"/>
                <w:szCs w:val="14"/>
                <w:lang w:val="de-DE"/>
              </w:rP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lang w:val="de-DE"/>
                    </w:rPr>
                    <m:t>0;</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%p.a.</m:t>
                  </m:r>
                  <m:d>
                    <m:dPr>
                      <m:ctrlPr>
                        <w:rPr>
                          <w:rFonts w:ascii="Cambria Math" w:hAnsi="Cambria Math"/>
                          <w:i/>
                          <w:sz w:val="14"/>
                          <w:szCs w:val="14"/>
                        </w:rPr>
                      </m:ctrlPr>
                    </m:dPr>
                    <m:e>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1</m:t>
                          </m:r>
                        </m:sup>
                      </m:sSubSup>
                      <m:r>
                        <w:rPr>
                          <w:rFonts w:ascii="Cambria Math" w:hAnsi="Cambria Math"/>
                          <w:sz w:val="14"/>
                          <w:szCs w:val="14"/>
                          <w:lang w:val="de-DE"/>
                        </w:rPr>
                        <m:t>-</m:t>
                      </m:r>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2</m:t>
                          </m:r>
                        </m:sup>
                      </m:sSubSup>
                    </m:e>
                  </m:d>
                </m:e>
              </m:d>
            </m:oMath>
            <w:r w:rsidRPr="006E683F">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9A2A75"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6E683F" w:rsidP="00EF3A31">
            <w:pPr>
              <w:spacing w:before="120" w:after="120"/>
              <w:jc w:val="center"/>
              <w:rPr>
                <w:sz w:val="14"/>
                <w:szCs w:val="14"/>
                <w:lang w:val="de-DE"/>
              </w:rPr>
            </w:pPr>
            <m:oMath>
              <m:r>
                <w:rPr>
                  <w:rFonts w:ascii="Cambria Math" w:hAnsi="Cambria Math"/>
                  <w:sz w:val="14"/>
                  <w:szCs w:val="14"/>
                </w:rPr>
                <m:t>max</m:t>
              </m:r>
              <m:d>
                <m:dPr>
                  <m:begChr m:val="["/>
                  <m:endChr m:val="]"/>
                  <m:ctrlPr>
                    <w:rPr>
                      <w:rFonts w:ascii="Cambria Math" w:hAnsi="Cambria Math"/>
                      <w:i/>
                      <w:sz w:val="14"/>
                      <w:szCs w:val="14"/>
                    </w:rPr>
                  </m:ctrlPr>
                </m:dPr>
                <m:e>
                  <m:r>
                    <w:rPr>
                      <w:rFonts w:ascii="Cambria Math" w:hAnsi="Cambria Math"/>
                      <w:sz w:val="14"/>
                      <w:szCs w:val="14"/>
                      <w:lang w:val="de-DE"/>
                    </w:rPr>
                    <m:t>0;</m:t>
                  </m:r>
                  <m:d>
                    <m:dPr>
                      <m:begChr m:val="["/>
                      <m:endChr m:val="]"/>
                      <m:ctrlPr>
                        <w:rPr>
                          <w:rFonts w:ascii="Cambria Math" w:hAnsi="Cambria Math"/>
                          <w:i/>
                          <w:sz w:val="14"/>
                          <w:szCs w:val="14"/>
                          <w:lang w:val="de-DE"/>
                        </w:rPr>
                      </m:ctrlPr>
                    </m:dPr>
                    <m:e>
                      <m:r>
                        <m:rPr>
                          <m:sty m:val="p"/>
                        </m:rPr>
                        <w:rPr>
                          <w:rFonts w:ascii="Times New Roman" w:hAnsi="Times New Roman"/>
                          <w:sz w:val="14"/>
                          <w:szCs w:val="14"/>
                          <w:lang w:val="de-DE"/>
                        </w:rPr>
                        <m:t>●●</m:t>
                      </m:r>
                    </m:e>
                  </m:d>
                  <m:r>
                    <w:rPr>
                      <w:rFonts w:ascii="Cambria Math" w:hAnsi="Cambria Math"/>
                      <w:sz w:val="14"/>
                      <w:szCs w:val="14"/>
                      <w:lang w:val="de-DE"/>
                    </w:rPr>
                    <m:t>%p.a.</m:t>
                  </m:r>
                  <m:d>
                    <m:dPr>
                      <m:ctrlPr>
                        <w:rPr>
                          <w:rFonts w:ascii="Cambria Math" w:hAnsi="Cambria Math"/>
                          <w:i/>
                          <w:sz w:val="14"/>
                          <w:szCs w:val="14"/>
                        </w:rPr>
                      </m:ctrlPr>
                    </m:dPr>
                    <m:e>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1</m:t>
                          </m:r>
                        </m:sup>
                      </m:sSubSup>
                      <m:r>
                        <w:rPr>
                          <w:rFonts w:ascii="Cambria Math" w:hAnsi="Cambria Math"/>
                          <w:sz w:val="14"/>
                          <w:szCs w:val="14"/>
                          <w:lang w:val="de-DE"/>
                        </w:rPr>
                        <m:t>-</m:t>
                      </m:r>
                      <m:sSubSup>
                        <m:sSubSupPr>
                          <m:ctrlPr>
                            <w:rPr>
                              <w:rFonts w:ascii="Cambria Math" w:hAnsi="Cambria Math"/>
                              <w:i/>
                              <w:sz w:val="14"/>
                              <w:szCs w:val="14"/>
                            </w:rPr>
                          </m:ctrlPr>
                        </m:sSubSupPr>
                        <m:e>
                          <m:r>
                            <w:rPr>
                              <w:rFonts w:ascii="Cambria Math" w:hAnsi="Cambria Math"/>
                              <w:sz w:val="14"/>
                              <w:szCs w:val="14"/>
                            </w:rPr>
                            <m:t>RR</m:t>
                          </m:r>
                        </m:e>
                        <m:sub>
                          <m:r>
                            <w:rPr>
                              <w:rFonts w:ascii="Cambria Math" w:hAnsi="Cambria Math"/>
                              <w:sz w:val="14"/>
                              <w:szCs w:val="14"/>
                            </w:rPr>
                            <m:t>t</m:t>
                          </m:r>
                        </m:sub>
                        <m:sup>
                          <m:r>
                            <w:rPr>
                              <w:rFonts w:ascii="Cambria Math" w:hAnsi="Cambria Math"/>
                              <w:sz w:val="14"/>
                              <w:szCs w:val="14"/>
                              <w:lang w:val="de-DE"/>
                            </w:rPr>
                            <m:t>2</m:t>
                          </m:r>
                        </m:sup>
                      </m:sSubSup>
                    </m:e>
                  </m:d>
                </m:e>
              </m:d>
            </m:oMath>
            <w:r w:rsidRPr="006E683F">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A2A75" w:rsidP="00341691">
            <w:pPr>
              <w:pStyle w:val="CSBody8ptbolditalics"/>
              <w:rPr>
                <w:lang w:val="de-DE"/>
              </w:rPr>
            </w:pPr>
          </w:p>
        </w:tc>
        <w:tc>
          <w:tcPr>
            <w:tcW w:w="3315" w:type="dxa"/>
            <w:gridSpan w:val="7"/>
            <w:tcBorders>
              <w:top w:val="nil"/>
              <w:left w:val="nil"/>
              <w:bottom w:val="nil"/>
            </w:tcBorders>
            <w:shd w:val="clear" w:color="auto" w:fill="auto"/>
          </w:tcPr>
          <w:p w:rsidR="0017135D" w:rsidRPr="00F31968" w:rsidP="00341691">
            <w:pPr>
              <w:pStyle w:val="CSBody8ptbolditalics"/>
            </w:pPr>
            <w:r w:rsidRPr="00792D61">
              <w:t>[</w:t>
            </w:r>
            <w:r w:rsidRPr="00F31968">
              <w:t>in the case of Inflation Index-Linked Notes with a Fixed Interest Payment Amount, insert:</w:t>
            </w:r>
          </w:p>
        </w:tc>
        <w:tc>
          <w:tcPr>
            <w:tcW w:w="1618" w:type="dxa"/>
            <w:gridSpan w:val="2"/>
            <w:tcBorders>
              <w:top w:val="nil"/>
              <w:bottom w:val="nil"/>
              <w:right w:val="nil"/>
            </w:tcBorders>
            <w:shd w:val="clear" w:color="auto" w:fill="auto"/>
          </w:tcPr>
          <w:p w:rsidR="0017135D" w:rsidRPr="0015550F" w:rsidP="00341691">
            <w:pPr>
              <w:pStyle w:val="CSBody8ptbolditalics"/>
            </w:pPr>
          </w:p>
        </w:tc>
        <w:tc>
          <w:tcPr>
            <w:tcW w:w="3318" w:type="dxa"/>
            <w:gridSpan w:val="10"/>
            <w:tcBorders>
              <w:top w:val="nil"/>
              <w:left w:val="nil"/>
              <w:bottom w:val="nil"/>
              <w:right w:val="nil"/>
            </w:tcBorders>
            <w:shd w:val="clear" w:color="auto" w:fill="auto"/>
          </w:tcPr>
          <w:p w:rsidR="0017135D" w:rsidRPr="006B47D3" w:rsidP="00341691">
            <w:pPr>
              <w:pStyle w:val="CSBody8ptbolditalics"/>
              <w:rPr>
                <w:lang w:val="de-DE"/>
              </w:rPr>
            </w:pPr>
            <w:r w:rsidRPr="00792D61">
              <w:rPr>
                <w:lang w:val="de-DE"/>
              </w:rPr>
              <w:t>[</w:t>
            </w:r>
            <w:r w:rsidRPr="006B47D3">
              <w:rPr>
                <w:lang w:val="de-DE"/>
              </w:rPr>
              <w:t>bei Inflation Index-Linked Notes mit einem Zahlungsbetrag für Festzinsen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341691">
            <w:pPr>
              <w:pStyle w:val="CSBody8ptbolditalics"/>
              <w:rPr>
                <w:lang w:val="de-DE"/>
              </w:rPr>
            </w:pPr>
          </w:p>
        </w:tc>
        <w:tc>
          <w:tcPr>
            <w:tcW w:w="3315" w:type="dxa"/>
            <w:gridSpan w:val="7"/>
            <w:tcBorders>
              <w:top w:val="nil"/>
              <w:left w:val="nil"/>
              <w:bottom w:val="nil"/>
            </w:tcBorders>
            <w:shd w:val="clear" w:color="auto" w:fill="auto"/>
          </w:tcPr>
          <w:p w:rsidR="0017135D" w:rsidRPr="00F31968" w:rsidP="00341691">
            <w:pPr>
              <w:pStyle w:val="CSBody8ptbolditalics"/>
            </w:pPr>
            <w:r w:rsidRPr="00792D61">
              <w:t>[</w:t>
            </w:r>
            <w:r w:rsidRPr="00F31968">
              <w:t>Option 1:</w:t>
            </w:r>
          </w:p>
        </w:tc>
        <w:tc>
          <w:tcPr>
            <w:tcW w:w="1618" w:type="dxa"/>
            <w:gridSpan w:val="2"/>
            <w:tcBorders>
              <w:top w:val="nil"/>
              <w:bottom w:val="nil"/>
              <w:right w:val="nil"/>
            </w:tcBorders>
            <w:shd w:val="clear" w:color="auto" w:fill="auto"/>
          </w:tcPr>
          <w:p w:rsidR="0017135D" w:rsidRPr="0015550F" w:rsidP="00341691">
            <w:pPr>
              <w:pStyle w:val="CSBody8ptbolditalics"/>
            </w:pPr>
          </w:p>
        </w:tc>
        <w:tc>
          <w:tcPr>
            <w:tcW w:w="3318" w:type="dxa"/>
            <w:gridSpan w:val="10"/>
            <w:tcBorders>
              <w:top w:val="nil"/>
              <w:left w:val="nil"/>
              <w:bottom w:val="nil"/>
              <w:right w:val="nil"/>
            </w:tcBorders>
            <w:shd w:val="clear" w:color="auto" w:fill="auto"/>
          </w:tcPr>
          <w:p w:rsidR="0017135D" w:rsidRPr="00230D71" w:rsidP="00341691">
            <w:pPr>
              <w:pStyle w:val="CSBody8ptbolditalics"/>
            </w:pPr>
            <w:r w:rsidRPr="00792D61">
              <w:t>[</w:t>
            </w:r>
            <w:r w:rsidRPr="00230D71">
              <w:t>Option 1:</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5550F" w:rsidP="00341691">
            <w:pPr>
              <w:pStyle w:val="CSBody8ptbolditalics"/>
            </w:pPr>
          </w:p>
        </w:tc>
        <w:tc>
          <w:tcPr>
            <w:tcW w:w="3315" w:type="dxa"/>
            <w:gridSpan w:val="7"/>
            <w:tcBorders>
              <w:top w:val="nil"/>
              <w:left w:val="nil"/>
              <w:bottom w:val="nil"/>
            </w:tcBorders>
            <w:shd w:val="clear" w:color="auto" w:fill="auto"/>
          </w:tcPr>
          <w:p w:rsidR="0017135D" w:rsidRPr="00F31968" w:rsidP="00341691">
            <w:pPr>
              <w:pStyle w:val="CSBody8ptbolditalics"/>
            </w:pPr>
            <w:r w:rsidRPr="00792D61">
              <w:t>[</w:t>
            </w:r>
            <w:r w:rsidRPr="00F31968">
              <w:t>in the case of one Variable Interest Payment Date, insert:</w:t>
            </w:r>
          </w:p>
        </w:tc>
        <w:tc>
          <w:tcPr>
            <w:tcW w:w="1618" w:type="dxa"/>
            <w:gridSpan w:val="2"/>
            <w:tcBorders>
              <w:top w:val="nil"/>
              <w:bottom w:val="nil"/>
              <w:right w:val="nil"/>
            </w:tcBorders>
            <w:shd w:val="clear" w:color="auto" w:fill="auto"/>
          </w:tcPr>
          <w:p w:rsidR="0017135D" w:rsidRPr="0015550F" w:rsidP="00341691">
            <w:pPr>
              <w:pStyle w:val="CSBody8ptbolditalics"/>
            </w:pPr>
          </w:p>
        </w:tc>
        <w:tc>
          <w:tcPr>
            <w:tcW w:w="3318" w:type="dxa"/>
            <w:gridSpan w:val="10"/>
            <w:tcBorders>
              <w:top w:val="nil"/>
              <w:left w:val="nil"/>
              <w:bottom w:val="nil"/>
              <w:right w:val="nil"/>
            </w:tcBorders>
            <w:shd w:val="clear" w:color="auto" w:fill="auto"/>
          </w:tcPr>
          <w:p w:rsidR="0017135D" w:rsidRPr="006B47D3" w:rsidP="00341691">
            <w:pPr>
              <w:pStyle w:val="CSBody8ptbolditalics"/>
              <w:rPr>
                <w:lang w:val="de-DE"/>
              </w:rPr>
            </w:pPr>
            <w:r w:rsidRPr="00792D61">
              <w:rPr>
                <w:lang w:val="de-DE"/>
              </w:rPr>
              <w:t>[</w:t>
            </w:r>
            <w:r w:rsidRPr="006B47D3">
              <w:rPr>
                <w:lang w:val="de-DE"/>
              </w:rPr>
              <w:t>bei einem Zinszahlungstag für Variable 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341691">
            <w:pPr>
              <w:pStyle w:val="CSBody8pt"/>
              <w:rPr>
                <w:lang w:val="de-DE"/>
              </w:rPr>
            </w:pPr>
          </w:p>
        </w:tc>
        <w:tc>
          <w:tcPr>
            <w:tcW w:w="3315" w:type="dxa"/>
            <w:gridSpan w:val="7"/>
            <w:tcBorders>
              <w:top w:val="nil"/>
              <w:left w:val="nil"/>
              <w:bottom w:val="nil"/>
            </w:tcBorders>
            <w:shd w:val="clear" w:color="auto" w:fill="auto"/>
          </w:tcPr>
          <w:p w:rsidR="0017135D" w:rsidRPr="00F31968" w:rsidP="00341691">
            <w:pPr>
              <w:pStyle w:val="CSBody8pt"/>
            </w:pPr>
            <w:r w:rsidRPr="00F31968">
              <w:t>a rate per annum equal to the greater of (i) zero (o) and (ii) the Participation multiplied by the difference between (x) the Reference Rate for Reference Month(</w:t>
            </w:r>
            <w:r w:rsidRPr="00792D61">
              <w:rPr>
                <w:b/>
              </w:rPr>
              <w:t>[</w:t>
            </w:r>
            <w:r w:rsidRPr="00F31968">
              <w:rPr>
                <w:rFonts w:ascii="Arial" w:hAnsi="Arial" w:cs="Arial"/>
              </w:rPr>
              <w:t>●</w:t>
            </w:r>
            <w:r w:rsidRPr="00792D61">
              <w:rPr>
                <w:b/>
              </w:rPr>
              <w:t>]</w:t>
            </w:r>
            <w:r w:rsidRPr="00F31968">
              <w:t>m) (</w:t>
            </w:r>
            <w:r w:rsidRPr="006E7651">
              <w:rPr>
                <w:i/>
              </w:rPr>
              <w:t>RR</w:t>
            </w:r>
            <w:r w:rsidRPr="00792D61">
              <w:rPr>
                <w:b/>
                <w:i/>
              </w:rPr>
              <w:t>[</w:t>
            </w:r>
            <w:r w:rsidRPr="006E7651">
              <w:rPr>
                <w:rFonts w:ascii="Arial" w:hAnsi="Arial" w:cs="Arial"/>
                <w:i/>
              </w:rPr>
              <w:t>●</w:t>
            </w:r>
            <w:r w:rsidRPr="00792D61">
              <w:rPr>
                <w:b/>
                <w:i/>
              </w:rPr>
              <w:t>]</w:t>
            </w:r>
            <w:r w:rsidRPr="006E7651">
              <w:rPr>
                <w:i/>
              </w:rPr>
              <w:t>m</w:t>
            </w:r>
            <w:r w:rsidRPr="00F31968">
              <w:t>), divided by the Reference Rate for Reference Month(</w:t>
            </w:r>
            <w:r w:rsidRPr="00792D61">
              <w:rPr>
                <w:b/>
              </w:rPr>
              <w:t>[</w:t>
            </w:r>
            <w:r w:rsidRPr="00F31968">
              <w:rPr>
                <w:rFonts w:ascii="Arial" w:hAnsi="Arial" w:cs="Arial"/>
              </w:rPr>
              <w:t>●</w:t>
            </w:r>
            <w:r w:rsidRPr="00792D61">
              <w:rPr>
                <w:b/>
              </w:rPr>
              <w:t>]</w:t>
            </w:r>
            <w:r w:rsidRPr="00F31968">
              <w:t>m) (</w:t>
            </w:r>
            <w:r w:rsidRPr="006E7651">
              <w:rPr>
                <w:i/>
              </w:rPr>
              <w:t>RR</w:t>
            </w:r>
            <w:r w:rsidRPr="00792D61">
              <w:rPr>
                <w:b/>
                <w:i/>
              </w:rPr>
              <w:t>[</w:t>
            </w:r>
            <w:r w:rsidRPr="006E7651">
              <w:rPr>
                <w:rFonts w:ascii="Arial" w:hAnsi="Arial" w:cs="Arial"/>
                <w:i/>
              </w:rPr>
              <w:t>●</w:t>
            </w:r>
            <w:r w:rsidRPr="00792D61">
              <w:rPr>
                <w:b/>
                <w:i/>
              </w:rPr>
              <w:t>]</w:t>
            </w:r>
            <w:r w:rsidRPr="006E7651">
              <w:rPr>
                <w:i/>
              </w:rPr>
              <w:t>m</w:t>
            </w:r>
            <w:r w:rsidRPr="00F31968">
              <w:t>), and (y) one (1), calculated in accordance with the following formula:</w:t>
            </w:r>
          </w:p>
        </w:tc>
        <w:tc>
          <w:tcPr>
            <w:tcW w:w="1618" w:type="dxa"/>
            <w:gridSpan w:val="2"/>
            <w:tcBorders>
              <w:top w:val="nil"/>
              <w:bottom w:val="nil"/>
              <w:right w:val="nil"/>
            </w:tcBorders>
            <w:shd w:val="clear" w:color="auto" w:fill="auto"/>
          </w:tcPr>
          <w:p w:rsidR="0017135D" w:rsidRPr="0015550F" w:rsidP="00341691">
            <w:pPr>
              <w:pStyle w:val="CSBody8pt"/>
              <w:rPr>
                <w:i/>
              </w:rPr>
            </w:pPr>
          </w:p>
        </w:tc>
        <w:tc>
          <w:tcPr>
            <w:tcW w:w="3318" w:type="dxa"/>
            <w:gridSpan w:val="10"/>
            <w:tcBorders>
              <w:top w:val="nil"/>
              <w:left w:val="nil"/>
              <w:bottom w:val="nil"/>
              <w:right w:val="nil"/>
            </w:tcBorders>
            <w:shd w:val="clear" w:color="auto" w:fill="auto"/>
          </w:tcPr>
          <w:p w:rsidR="0017135D" w:rsidRPr="006B47D3" w:rsidP="00341691">
            <w:pPr>
              <w:pStyle w:val="CSBody8pt"/>
              <w:rPr>
                <w:lang w:val="de-DE"/>
              </w:rPr>
            </w:pPr>
            <w:r w:rsidRPr="006B47D3">
              <w:rPr>
                <w:lang w:val="de-DE"/>
              </w:rPr>
              <w:t xml:space="preserve">ein Satz per annum in Höhe des jeweils grösseren der folgenden Beträge: (i) null (0) oder (ii) der Partizipation </w:t>
            </w:r>
            <w:r w:rsidRPr="00A205FA">
              <w:rPr>
                <w:i/>
                <w:lang w:val="de-DE"/>
              </w:rPr>
              <w:t>(Participation)</w:t>
            </w:r>
            <w:r w:rsidRPr="006B47D3">
              <w:rPr>
                <w:lang w:val="de-DE"/>
              </w:rPr>
              <w:t xml:space="preserve"> multipliziert mit der Differenz aus (x) dem Referenzsatz für den Referenzmonat(</w:t>
            </w:r>
            <w:r w:rsidRPr="00792D61">
              <w:rPr>
                <w:b/>
                <w:lang w:val="de-DE"/>
              </w:rPr>
              <w:t>[</w:t>
            </w:r>
            <w:r w:rsidRPr="006B47D3">
              <w:rPr>
                <w:rFonts w:ascii="Arial" w:hAnsi="Arial" w:cs="Arial"/>
                <w:lang w:val="de-DE"/>
              </w:rPr>
              <w:t>●</w:t>
            </w:r>
            <w:r w:rsidRPr="00792D61">
              <w:rPr>
                <w:b/>
                <w:lang w:val="de-DE"/>
              </w:rPr>
              <w:t>]</w:t>
            </w:r>
            <w:r w:rsidRPr="006B47D3">
              <w:rPr>
                <w:lang w:val="de-DE"/>
              </w:rPr>
              <w:t>m) (</w:t>
            </w:r>
            <w:r w:rsidRPr="006E7651">
              <w:rPr>
                <w:i/>
                <w:lang w:val="de-DE"/>
              </w:rPr>
              <w:t>RR</w:t>
            </w:r>
            <w:r w:rsidRPr="00792D61">
              <w:rPr>
                <w:b/>
                <w:i/>
                <w:lang w:val="de-DE"/>
              </w:rPr>
              <w:t>[</w:t>
            </w:r>
            <w:r w:rsidRPr="006E7651">
              <w:rPr>
                <w:rFonts w:ascii="Arial" w:hAnsi="Arial" w:cs="Arial"/>
                <w:i/>
                <w:lang w:val="de-DE"/>
              </w:rPr>
              <w:t>●</w:t>
            </w:r>
            <w:r w:rsidRPr="00792D61">
              <w:rPr>
                <w:b/>
                <w:i/>
                <w:lang w:val="de-DE"/>
              </w:rPr>
              <w:t>]</w:t>
            </w:r>
            <w:r w:rsidRPr="006E7651">
              <w:rPr>
                <w:i/>
                <w:lang w:val="de-DE"/>
              </w:rPr>
              <w:t>m</w:t>
            </w:r>
            <w:r w:rsidRPr="006B47D3">
              <w:rPr>
                <w:lang w:val="de-DE"/>
              </w:rPr>
              <w:t>) dividiert durch den Referenzmonat(</w:t>
            </w:r>
            <w:r w:rsidRPr="00792D61">
              <w:rPr>
                <w:b/>
                <w:lang w:val="de-DE"/>
              </w:rPr>
              <w:t>[</w:t>
            </w:r>
            <w:r w:rsidRPr="006B47D3">
              <w:rPr>
                <w:rFonts w:ascii="Arial" w:hAnsi="Arial" w:cs="Arial"/>
                <w:lang w:val="de-DE"/>
              </w:rPr>
              <w:t>●</w:t>
            </w:r>
            <w:r w:rsidRPr="00792D61">
              <w:rPr>
                <w:b/>
                <w:lang w:val="de-DE"/>
              </w:rPr>
              <w:t>]</w:t>
            </w:r>
            <w:r w:rsidRPr="006B47D3">
              <w:rPr>
                <w:lang w:val="de-DE"/>
              </w:rPr>
              <w:t>m) (</w:t>
            </w:r>
            <w:r w:rsidRPr="006E7651">
              <w:rPr>
                <w:i/>
                <w:lang w:val="de-DE"/>
              </w:rPr>
              <w:t>RR</w:t>
            </w:r>
            <w:r w:rsidRPr="00792D61">
              <w:rPr>
                <w:b/>
                <w:i/>
                <w:lang w:val="de-DE"/>
              </w:rPr>
              <w:t>[</w:t>
            </w:r>
            <w:r w:rsidRPr="006E7651">
              <w:rPr>
                <w:rFonts w:ascii="Arial" w:hAnsi="Arial" w:cs="Arial"/>
                <w:i/>
                <w:lang w:val="de-DE"/>
              </w:rPr>
              <w:t>●</w:t>
            </w:r>
            <w:r w:rsidRPr="00792D61">
              <w:rPr>
                <w:b/>
                <w:i/>
                <w:lang w:val="de-DE"/>
              </w:rPr>
              <w:t>]</w:t>
            </w:r>
            <w:r w:rsidRPr="006E7651">
              <w:rPr>
                <w:i/>
                <w:lang w:val="de-DE"/>
              </w:rPr>
              <w:t>m</w:t>
            </w:r>
            <w:r w:rsidRPr="006B47D3">
              <w:rPr>
                <w:lang w:val="de-DE"/>
              </w:rPr>
              <w:t>) und (y) eins (1),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A457E7">
            <w:pPr>
              <w:pStyle w:val="CSBody0"/>
              <w:rPr>
                <w:b/>
                <w:lang w:val="de-DE"/>
              </w:rPr>
            </w:pPr>
          </w:p>
        </w:tc>
        <w:tc>
          <w:tcPr>
            <w:tcW w:w="3315" w:type="dxa"/>
            <w:gridSpan w:val="7"/>
            <w:tcBorders>
              <w:top w:val="nil"/>
              <w:left w:val="nil"/>
              <w:bottom w:val="nil"/>
            </w:tcBorders>
            <w:shd w:val="clear" w:color="auto" w:fill="auto"/>
          </w:tcPr>
          <w:p w:rsidR="0017135D" w:rsidRPr="00341691" w:rsidP="00341691">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num>
                        <m:den>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den>
                      </m:f>
                      <m:r>
                        <w:rPr>
                          <w:rFonts w:ascii="Cambria Math" w:hAnsi="Cambria Math"/>
                          <w:sz w:val="14"/>
                          <w:szCs w:val="14"/>
                          <w:lang w:val="de-DE"/>
                        </w:rPr>
                        <m:t>-1</m:t>
                      </m:r>
                    </m:e>
                  </m:d>
                </m:e>
              </m:d>
            </m:oMath>
            <w:r w:rsidRPr="00341691">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341691"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341691" w:rsidP="00EF3A31">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num>
                        <m:den>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den>
                      </m:f>
                      <m:r>
                        <w:rPr>
                          <w:rFonts w:ascii="Cambria Math" w:hAnsi="Cambria Math"/>
                          <w:sz w:val="14"/>
                          <w:szCs w:val="14"/>
                          <w:lang w:val="de-DE"/>
                        </w:rPr>
                        <m:t>-1</m:t>
                      </m:r>
                    </m:e>
                  </m:d>
                </m:e>
              </m:d>
            </m:oMath>
            <w:r w:rsidRPr="00341691">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71807" w:rsidP="00341691">
            <w:pPr>
              <w:pStyle w:val="CSBody8ptbolditalics"/>
              <w:rPr>
                <w:lang w:val="de-DE"/>
              </w:rPr>
            </w:pPr>
          </w:p>
        </w:tc>
        <w:tc>
          <w:tcPr>
            <w:tcW w:w="3315" w:type="dxa"/>
            <w:gridSpan w:val="7"/>
            <w:tcBorders>
              <w:top w:val="nil"/>
              <w:left w:val="nil"/>
              <w:bottom w:val="nil"/>
            </w:tcBorders>
            <w:shd w:val="clear" w:color="auto" w:fill="auto"/>
          </w:tcPr>
          <w:p w:rsidR="0017135D" w:rsidRPr="00C20206" w:rsidP="00341691">
            <w:pPr>
              <w:pStyle w:val="CSBody8ptbolditalics"/>
            </w:pPr>
            <w:r w:rsidRPr="00792D61">
              <w:t>[</w:t>
            </w:r>
            <w:r w:rsidRPr="00C20206">
              <w:t>in the case of multiple Variable Interest Payment Dates, insert:</w:t>
            </w:r>
          </w:p>
        </w:tc>
        <w:tc>
          <w:tcPr>
            <w:tcW w:w="1618" w:type="dxa"/>
            <w:gridSpan w:val="2"/>
            <w:tcBorders>
              <w:top w:val="nil"/>
              <w:bottom w:val="nil"/>
              <w:right w:val="nil"/>
            </w:tcBorders>
            <w:shd w:val="clear" w:color="auto" w:fill="auto"/>
          </w:tcPr>
          <w:p w:rsidR="0017135D" w:rsidRPr="006B47D3" w:rsidP="00341691">
            <w:pPr>
              <w:pStyle w:val="CSBody8ptbolditalics"/>
            </w:pPr>
          </w:p>
        </w:tc>
        <w:tc>
          <w:tcPr>
            <w:tcW w:w="3318" w:type="dxa"/>
            <w:gridSpan w:val="10"/>
            <w:tcBorders>
              <w:top w:val="nil"/>
              <w:left w:val="nil"/>
              <w:bottom w:val="nil"/>
              <w:right w:val="nil"/>
            </w:tcBorders>
            <w:shd w:val="clear" w:color="auto" w:fill="auto"/>
          </w:tcPr>
          <w:p w:rsidR="0017135D" w:rsidRPr="006B47D3" w:rsidP="00341691">
            <w:pPr>
              <w:pStyle w:val="CSBody8ptbolditalics"/>
              <w:rPr>
                <w:lang w:val="de-DE"/>
              </w:rPr>
            </w:pPr>
            <w:r w:rsidRPr="00792D61">
              <w:rPr>
                <w:lang w:val="de-DE"/>
              </w:rPr>
              <w:t>[</w:t>
            </w:r>
            <w:r w:rsidRPr="006B47D3">
              <w:rPr>
                <w:lang w:val="de-DE"/>
              </w:rPr>
              <w:t>bei mehreren Zahlungstagen für Variable 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341691">
            <w:pPr>
              <w:pStyle w:val="CSBody8pt"/>
              <w:rPr>
                <w:lang w:val="de-DE"/>
              </w:rPr>
            </w:pPr>
          </w:p>
        </w:tc>
        <w:tc>
          <w:tcPr>
            <w:tcW w:w="3315" w:type="dxa"/>
            <w:gridSpan w:val="7"/>
            <w:tcBorders>
              <w:top w:val="nil"/>
              <w:left w:val="nil"/>
              <w:bottom w:val="nil"/>
            </w:tcBorders>
            <w:shd w:val="clear" w:color="auto" w:fill="auto"/>
          </w:tcPr>
          <w:p w:rsidR="0017135D" w:rsidRPr="00C20206" w:rsidP="00341691">
            <w:pPr>
              <w:pStyle w:val="CSBody8pt"/>
            </w:pPr>
            <w:r w:rsidRPr="00C20206">
              <w:t>with respect to any Interest Payment Date (</w:t>
            </w:r>
            <w:r w:rsidRPr="00116653">
              <w:rPr>
                <w:i/>
              </w:rPr>
              <w:t>t</w:t>
            </w:r>
            <w:r w:rsidRPr="00C20206">
              <w:t>), a rate per annum equal to the greater of (i) zero (0) and (ii) the Participation multiplied by the difference between (x) the Reference Rate for the Reference Month(</w:t>
            </w:r>
            <w:r w:rsidRPr="00792D61">
              <w:rPr>
                <w:b/>
              </w:rPr>
              <w:t>[</w:t>
            </w:r>
            <w:r w:rsidRPr="00C20206">
              <w:rPr>
                <w:rFonts w:ascii="Arial" w:hAnsi="Arial" w:cs="Arial"/>
              </w:rPr>
              <w:t>●</w:t>
            </w:r>
            <w:r w:rsidRPr="00792D61">
              <w:rPr>
                <w:b/>
              </w:rPr>
              <w:t>]</w:t>
            </w:r>
            <w:r w:rsidRPr="00C20206">
              <w:t>m) (</w:t>
            </w:r>
            <w:r w:rsidRPr="006E7651">
              <w:rPr>
                <w:i/>
              </w:rPr>
              <w:t>RR</w:t>
            </w:r>
            <w:r w:rsidRPr="00792D61">
              <w:rPr>
                <w:b/>
                <w:i/>
              </w:rPr>
              <w:t>[</w:t>
            </w:r>
            <w:r w:rsidRPr="006E7651">
              <w:rPr>
                <w:rFonts w:ascii="Arial" w:hAnsi="Arial" w:cs="Arial"/>
                <w:i/>
              </w:rPr>
              <w:t>●</w:t>
            </w:r>
            <w:r w:rsidRPr="00792D61">
              <w:rPr>
                <w:b/>
                <w:i/>
              </w:rPr>
              <w:t>]</w:t>
            </w:r>
            <w:r w:rsidRPr="006E7651">
              <w:rPr>
                <w:i/>
              </w:rPr>
              <w:t>m</w:t>
            </w:r>
            <w:r w:rsidRPr="00C20206">
              <w:t>) applicable to such Interest Payment Date (</w:t>
            </w:r>
            <w:r w:rsidRPr="00116653">
              <w:rPr>
                <w:i/>
                <w:u w:val="single"/>
              </w:rPr>
              <w:t>t</w:t>
            </w:r>
            <w:r w:rsidRPr="00C20206">
              <w:t>), divided by the Reference Rate for the Reference Month(</w:t>
            </w:r>
            <w:r w:rsidRPr="00792D61">
              <w:rPr>
                <w:b/>
              </w:rPr>
              <w:t>[</w:t>
            </w:r>
            <w:r w:rsidRPr="00C20206">
              <w:rPr>
                <w:rFonts w:ascii="Arial" w:hAnsi="Arial" w:cs="Arial"/>
              </w:rPr>
              <w:t>●</w:t>
            </w:r>
            <w:r w:rsidRPr="00792D61">
              <w:rPr>
                <w:b/>
              </w:rPr>
              <w:t>]</w:t>
            </w:r>
            <w:r w:rsidRPr="00C20206">
              <w:t>m) (</w:t>
            </w:r>
            <w:r w:rsidRPr="006E7651">
              <w:rPr>
                <w:i/>
              </w:rPr>
              <w:t>RR</w:t>
            </w:r>
            <w:r w:rsidRPr="00792D61">
              <w:rPr>
                <w:b/>
                <w:i/>
              </w:rPr>
              <w:t>[</w:t>
            </w:r>
            <w:r w:rsidRPr="006E7651">
              <w:rPr>
                <w:rFonts w:ascii="Arial" w:hAnsi="Arial" w:cs="Arial"/>
                <w:i/>
              </w:rPr>
              <w:t>●</w:t>
            </w:r>
            <w:r w:rsidRPr="00792D61">
              <w:rPr>
                <w:b/>
                <w:i/>
              </w:rPr>
              <w:t>]</w:t>
            </w:r>
            <w:r w:rsidRPr="006E7651">
              <w:rPr>
                <w:i/>
              </w:rPr>
              <w:t>m</w:t>
            </w:r>
            <w:r w:rsidRPr="00C20206">
              <w:t>) applicable to such Interest Payment Date (</w:t>
            </w:r>
            <w:r w:rsidRPr="00116653">
              <w:rPr>
                <w:i/>
              </w:rPr>
              <w:t>t</w:t>
            </w:r>
            <w:r w:rsidRPr="00C20206">
              <w:t>), and (y) one (1), calculated in accordance with the following formula:</w:t>
            </w:r>
          </w:p>
        </w:tc>
        <w:tc>
          <w:tcPr>
            <w:tcW w:w="1618" w:type="dxa"/>
            <w:gridSpan w:val="2"/>
            <w:tcBorders>
              <w:top w:val="nil"/>
              <w:bottom w:val="nil"/>
              <w:right w:val="nil"/>
            </w:tcBorders>
            <w:shd w:val="clear" w:color="auto" w:fill="auto"/>
          </w:tcPr>
          <w:p w:rsidR="0017135D" w:rsidRPr="006B47D3" w:rsidP="00341691">
            <w:pPr>
              <w:pStyle w:val="CSBody8pt"/>
              <w:rPr>
                <w:i/>
              </w:rPr>
            </w:pPr>
          </w:p>
        </w:tc>
        <w:tc>
          <w:tcPr>
            <w:tcW w:w="3318" w:type="dxa"/>
            <w:gridSpan w:val="10"/>
            <w:tcBorders>
              <w:top w:val="nil"/>
              <w:left w:val="nil"/>
              <w:bottom w:val="nil"/>
              <w:right w:val="nil"/>
            </w:tcBorders>
            <w:shd w:val="clear" w:color="auto" w:fill="auto"/>
          </w:tcPr>
          <w:p w:rsidR="0017135D" w:rsidRPr="006B47D3" w:rsidP="00516CB4">
            <w:pPr>
              <w:pStyle w:val="CSBody8pt"/>
              <w:rPr>
                <w:lang w:val="de-DE"/>
              </w:rPr>
            </w:pPr>
            <w:r w:rsidRPr="006B47D3">
              <w:rPr>
                <w:lang w:val="de-DE"/>
              </w:rPr>
              <w:t>in Bezug auf einen Zinszahlungstag (</w:t>
            </w:r>
            <w:r w:rsidRPr="00116653">
              <w:rPr>
                <w:i/>
                <w:lang w:val="de-DE"/>
              </w:rPr>
              <w:t>t</w:t>
            </w:r>
            <w:r w:rsidRPr="006B47D3">
              <w:rPr>
                <w:lang w:val="de-DE"/>
              </w:rPr>
              <w:t xml:space="preserve">) ein Satz per annum in Höhe des jeweils grösseren der folgenden Beträge: (i) null (0) oder (ii) der Partizipation </w:t>
            </w:r>
            <w:r w:rsidRPr="00A205FA">
              <w:rPr>
                <w:i/>
                <w:lang w:val="de-DE"/>
              </w:rPr>
              <w:t>(Participation)</w:t>
            </w:r>
            <w:r w:rsidRPr="006B47D3">
              <w:rPr>
                <w:lang w:val="de-DE"/>
              </w:rPr>
              <w:t xml:space="preserve"> multipliziert mit der Differenz aus (x) dem für diesen Zinszahlungstag</w:t>
            </w:r>
            <w:r>
              <w:rPr>
                <w:lang w:val="de-DE"/>
              </w:rPr>
              <w:t xml:space="preserve"> </w:t>
            </w:r>
            <w:r w:rsidRPr="006B47D3">
              <w:rPr>
                <w:lang w:val="de-DE"/>
              </w:rPr>
              <w:t>(</w:t>
            </w:r>
            <w:r w:rsidRPr="00116653">
              <w:rPr>
                <w:i/>
                <w:lang w:val="de-DE"/>
              </w:rPr>
              <w:t>t</w:t>
            </w:r>
            <w:r w:rsidRPr="006B47D3">
              <w:rPr>
                <w:lang w:val="de-DE"/>
              </w:rPr>
              <w:t>) geltenden Referenzsatz für den Referenzmonat(</w:t>
            </w:r>
            <w:r w:rsidRPr="00792D61">
              <w:rPr>
                <w:b/>
                <w:lang w:val="de-DE"/>
              </w:rPr>
              <w:t>[</w:t>
            </w:r>
            <w:r w:rsidRPr="006B47D3">
              <w:rPr>
                <w:rFonts w:ascii="Arial" w:hAnsi="Arial" w:cs="Arial"/>
                <w:lang w:val="de-DE"/>
              </w:rPr>
              <w:t>●</w:t>
            </w:r>
            <w:r w:rsidRPr="00792D61">
              <w:rPr>
                <w:b/>
                <w:lang w:val="de-DE"/>
              </w:rPr>
              <w:t>]</w:t>
            </w:r>
            <w:r w:rsidRPr="006B47D3">
              <w:rPr>
                <w:lang w:val="de-DE"/>
              </w:rPr>
              <w:t>m) (</w:t>
            </w:r>
            <w:r w:rsidRPr="006E7651">
              <w:rPr>
                <w:i/>
                <w:lang w:val="de-DE"/>
              </w:rPr>
              <w:t>RR</w:t>
            </w:r>
            <w:r w:rsidRPr="00792D61">
              <w:rPr>
                <w:b/>
                <w:i/>
                <w:lang w:val="de-DE"/>
              </w:rPr>
              <w:t>[</w:t>
            </w:r>
            <w:r w:rsidRPr="006E7651">
              <w:rPr>
                <w:rFonts w:ascii="Arial" w:hAnsi="Arial" w:cs="Arial"/>
                <w:i/>
                <w:lang w:val="de-DE"/>
              </w:rPr>
              <w:t>●</w:t>
            </w:r>
            <w:r w:rsidRPr="00792D61">
              <w:rPr>
                <w:b/>
                <w:i/>
                <w:lang w:val="de-DE"/>
              </w:rPr>
              <w:t>]</w:t>
            </w:r>
            <w:r w:rsidRPr="006E7651">
              <w:rPr>
                <w:i/>
                <w:lang w:val="de-DE"/>
              </w:rPr>
              <w:t>m</w:t>
            </w:r>
            <w:r w:rsidRPr="006B47D3">
              <w:rPr>
                <w:lang w:val="de-DE"/>
              </w:rPr>
              <w:t>) dividiert durch den f</w:t>
            </w:r>
            <w:r w:rsidRPr="006B47D3">
              <w:rPr>
                <w:rFonts w:cs="Credit Suisse Type Light"/>
                <w:lang w:val="de-DE"/>
              </w:rPr>
              <w:t>ü</w:t>
            </w:r>
            <w:r w:rsidRPr="006B47D3">
              <w:rPr>
                <w:lang w:val="de-DE"/>
              </w:rPr>
              <w:t>r diesen Zinszahlungstag</w:t>
            </w:r>
            <w:r>
              <w:rPr>
                <w:lang w:val="de-DE"/>
              </w:rPr>
              <w:t xml:space="preserve"> </w:t>
            </w:r>
            <w:r w:rsidRPr="006B47D3">
              <w:rPr>
                <w:lang w:val="de-DE"/>
              </w:rPr>
              <w:t>(</w:t>
            </w:r>
            <w:r w:rsidRPr="00116653">
              <w:rPr>
                <w:i/>
                <w:lang w:val="de-DE"/>
              </w:rPr>
              <w:t>t</w:t>
            </w:r>
            <w:r w:rsidRPr="006B47D3">
              <w:rPr>
                <w:lang w:val="de-DE"/>
              </w:rPr>
              <w:t>) geltenden Referenzmonat(</w:t>
            </w:r>
            <w:r w:rsidRPr="00792D61">
              <w:rPr>
                <w:b/>
                <w:lang w:val="de-DE"/>
              </w:rPr>
              <w:t>[</w:t>
            </w:r>
            <w:r w:rsidRPr="006B47D3">
              <w:rPr>
                <w:rFonts w:ascii="Arial" w:hAnsi="Arial" w:cs="Arial"/>
                <w:lang w:val="de-DE"/>
              </w:rPr>
              <w:t>●</w:t>
            </w:r>
            <w:r w:rsidRPr="00792D61">
              <w:rPr>
                <w:b/>
                <w:lang w:val="de-DE"/>
              </w:rPr>
              <w:t>]</w:t>
            </w:r>
            <w:r w:rsidRPr="006B47D3">
              <w:rPr>
                <w:lang w:val="de-DE"/>
              </w:rPr>
              <w:t>m) (</w:t>
            </w:r>
            <w:r w:rsidRPr="006E7651">
              <w:rPr>
                <w:i/>
                <w:lang w:val="de-DE"/>
              </w:rPr>
              <w:t>RR</w:t>
            </w:r>
            <w:r w:rsidRPr="00792D61">
              <w:rPr>
                <w:b/>
                <w:i/>
                <w:lang w:val="de-DE"/>
              </w:rPr>
              <w:t>[</w:t>
            </w:r>
            <w:r w:rsidRPr="006E7651">
              <w:rPr>
                <w:rFonts w:ascii="Arial" w:hAnsi="Arial" w:cs="Arial"/>
                <w:i/>
                <w:lang w:val="de-DE"/>
              </w:rPr>
              <w:t>●</w:t>
            </w:r>
            <w:r w:rsidRPr="00792D61">
              <w:rPr>
                <w:b/>
                <w:i/>
                <w:lang w:val="de-DE"/>
              </w:rPr>
              <w:t>]</w:t>
            </w:r>
            <w:r w:rsidRPr="006E7651">
              <w:rPr>
                <w:i/>
                <w:lang w:val="de-DE"/>
              </w:rPr>
              <w:t>m</w:t>
            </w:r>
            <w:r w:rsidRPr="006B47D3">
              <w:rPr>
                <w:lang w:val="de-DE"/>
              </w:rPr>
              <w:t>) und (y) eins (1),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A457E7">
            <w:pPr>
              <w:pStyle w:val="CSBody0"/>
              <w:rPr>
                <w:b/>
                <w:lang w:val="de-DE"/>
              </w:rPr>
            </w:pPr>
          </w:p>
        </w:tc>
        <w:tc>
          <w:tcPr>
            <w:tcW w:w="3315" w:type="dxa"/>
            <w:gridSpan w:val="7"/>
            <w:tcBorders>
              <w:top w:val="nil"/>
              <w:left w:val="nil"/>
              <w:bottom w:val="nil"/>
            </w:tcBorders>
            <w:shd w:val="clear" w:color="auto" w:fill="auto"/>
          </w:tcPr>
          <w:p w:rsidR="0017135D" w:rsidRPr="00EF3A31" w:rsidP="00EF3A31">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p>
                            <m:sSupPr>
                              <m:ctrlPr>
                                <w:rPr>
                                  <w:rFonts w:ascii="Cambria Math" w:hAnsi="Cambria Math"/>
                                  <w:i/>
                                  <w:sz w:val="14"/>
                                  <w:szCs w:val="14"/>
                                </w:rPr>
                              </m:ctrlPr>
                            </m:sSupPr>
                            <m:e>
                              <m:r>
                                <w:rPr>
                                  <w:rFonts w:ascii="Cambria Math" w:hAnsi="Cambria Math"/>
                                  <w:sz w:val="14"/>
                                  <w:szCs w:val="14"/>
                                </w:rPr>
                                <m:t>RR</m:t>
                              </m:r>
                            </m:e>
                            <m:sup>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p>
                          </m:sSup>
                        </m:num>
                        <m:den>
                          <m:sSup>
                            <m:sSupPr>
                              <m:ctrlPr>
                                <w:rPr>
                                  <w:rFonts w:ascii="Cambria Math" w:hAnsi="Cambria Math"/>
                                  <w:i/>
                                  <w:sz w:val="14"/>
                                  <w:szCs w:val="14"/>
                                </w:rPr>
                              </m:ctrlPr>
                            </m:sSupPr>
                            <m:e>
                              <m:r>
                                <w:rPr>
                                  <w:rFonts w:ascii="Cambria Math" w:hAnsi="Cambria Math"/>
                                  <w:sz w:val="14"/>
                                  <w:szCs w:val="14"/>
                                </w:rPr>
                                <m:t>RR</m:t>
                              </m:r>
                            </m:e>
                            <m:sup>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p>
                          </m:sSup>
                        </m:den>
                      </m:f>
                      <m:r>
                        <w:rPr>
                          <w:rFonts w:ascii="Cambria Math" w:hAnsi="Cambria Math"/>
                          <w:sz w:val="14"/>
                          <w:szCs w:val="14"/>
                          <w:lang w:val="de-DE"/>
                        </w:rPr>
                        <m:t>-1</m:t>
                      </m:r>
                    </m:e>
                  </m:d>
                </m:e>
              </m:d>
            </m:oMath>
            <w:r w:rsidRPr="00EF3A31">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6B47D3"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EF3A31" w:rsidP="00EF3A31">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p>
                            <m:sSupPr>
                              <m:ctrlPr>
                                <w:rPr>
                                  <w:rFonts w:ascii="Cambria Math" w:hAnsi="Cambria Math"/>
                                  <w:i/>
                                  <w:sz w:val="14"/>
                                  <w:szCs w:val="14"/>
                                </w:rPr>
                              </m:ctrlPr>
                            </m:sSupPr>
                            <m:e>
                              <m:r>
                                <w:rPr>
                                  <w:rFonts w:ascii="Cambria Math" w:hAnsi="Cambria Math"/>
                                  <w:sz w:val="14"/>
                                  <w:szCs w:val="14"/>
                                </w:rPr>
                                <m:t>RR</m:t>
                              </m:r>
                            </m:e>
                            <m:sup>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p>
                          </m:sSup>
                        </m:num>
                        <m:den>
                          <m:sSup>
                            <m:sSupPr>
                              <m:ctrlPr>
                                <w:rPr>
                                  <w:rFonts w:ascii="Cambria Math" w:hAnsi="Cambria Math"/>
                                  <w:i/>
                                  <w:sz w:val="14"/>
                                  <w:szCs w:val="14"/>
                                </w:rPr>
                              </m:ctrlPr>
                            </m:sSupPr>
                            <m:e>
                              <m:r>
                                <w:rPr>
                                  <w:rFonts w:ascii="Cambria Math" w:hAnsi="Cambria Math"/>
                                  <w:sz w:val="14"/>
                                  <w:szCs w:val="14"/>
                                </w:rPr>
                                <m:t>RR</m:t>
                              </m:r>
                            </m:e>
                            <m:sup>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p>
                          </m:sSup>
                        </m:den>
                      </m:f>
                      <m:r>
                        <w:rPr>
                          <w:rFonts w:ascii="Cambria Math" w:hAnsi="Cambria Math"/>
                          <w:sz w:val="14"/>
                          <w:szCs w:val="14"/>
                          <w:lang w:val="de-DE"/>
                        </w:rPr>
                        <m:t>-1</m:t>
                      </m:r>
                    </m:e>
                  </m:d>
                </m:e>
              </m:d>
            </m:oMath>
            <w:r w:rsidRPr="00EF3A31">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EF3A31">
            <w:pPr>
              <w:pStyle w:val="CSBody8ptbolditalics"/>
              <w:rPr>
                <w:lang w:val="de-DE"/>
              </w:rPr>
            </w:pPr>
          </w:p>
        </w:tc>
        <w:tc>
          <w:tcPr>
            <w:tcW w:w="3315" w:type="dxa"/>
            <w:gridSpan w:val="7"/>
            <w:tcBorders>
              <w:top w:val="nil"/>
              <w:left w:val="nil"/>
              <w:bottom w:val="nil"/>
            </w:tcBorders>
            <w:shd w:val="clear" w:color="auto" w:fill="auto"/>
          </w:tcPr>
          <w:p w:rsidR="0017135D" w:rsidRPr="006C1319" w:rsidP="00EF3A31">
            <w:pPr>
              <w:pStyle w:val="CSBody8ptbolditalics"/>
            </w:pPr>
            <w:r w:rsidRPr="00792D61">
              <w:t>[</w:t>
            </w:r>
            <w:r w:rsidRPr="006C1319">
              <w:t>Option 2:</w:t>
            </w:r>
          </w:p>
        </w:tc>
        <w:tc>
          <w:tcPr>
            <w:tcW w:w="1618" w:type="dxa"/>
            <w:gridSpan w:val="2"/>
            <w:tcBorders>
              <w:top w:val="nil"/>
              <w:bottom w:val="nil"/>
              <w:right w:val="nil"/>
            </w:tcBorders>
            <w:shd w:val="clear" w:color="auto" w:fill="auto"/>
          </w:tcPr>
          <w:p w:rsidR="0017135D" w:rsidRPr="006B47D3" w:rsidP="00EF3A31">
            <w:pPr>
              <w:pStyle w:val="CSBody8ptbolditalics"/>
              <w:rPr>
                <w:lang w:val="de-DE"/>
              </w:rPr>
            </w:pPr>
          </w:p>
        </w:tc>
        <w:tc>
          <w:tcPr>
            <w:tcW w:w="3318" w:type="dxa"/>
            <w:gridSpan w:val="10"/>
            <w:tcBorders>
              <w:top w:val="nil"/>
              <w:left w:val="nil"/>
              <w:bottom w:val="nil"/>
              <w:right w:val="nil"/>
            </w:tcBorders>
            <w:shd w:val="clear" w:color="auto" w:fill="auto"/>
          </w:tcPr>
          <w:p w:rsidR="0017135D" w:rsidRPr="00987EDC" w:rsidP="00EF3A31">
            <w:pPr>
              <w:pStyle w:val="CSBody8ptbolditalics"/>
            </w:pPr>
            <w:r w:rsidRPr="00792D61">
              <w:t>[</w:t>
            </w:r>
            <w:r w:rsidRPr="00987EDC">
              <w:t>Option 2:</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EF3A31">
            <w:pPr>
              <w:pStyle w:val="CSBody8ptbolditalics"/>
              <w:rPr>
                <w:lang w:val="de-DE"/>
              </w:rPr>
            </w:pPr>
          </w:p>
        </w:tc>
        <w:tc>
          <w:tcPr>
            <w:tcW w:w="3315" w:type="dxa"/>
            <w:gridSpan w:val="7"/>
            <w:tcBorders>
              <w:top w:val="nil"/>
              <w:left w:val="nil"/>
              <w:bottom w:val="nil"/>
            </w:tcBorders>
            <w:shd w:val="clear" w:color="auto" w:fill="auto"/>
          </w:tcPr>
          <w:p w:rsidR="0017135D" w:rsidRPr="006C1319" w:rsidP="00EF3A31">
            <w:pPr>
              <w:pStyle w:val="CSBody8ptbolditalics"/>
            </w:pPr>
            <w:r w:rsidRPr="00792D61">
              <w:t>[</w:t>
            </w:r>
            <w:r w:rsidRPr="006C1319">
              <w:t>in the case of one Variable Interest Payment Date, insert:</w:t>
            </w:r>
          </w:p>
        </w:tc>
        <w:tc>
          <w:tcPr>
            <w:tcW w:w="1618" w:type="dxa"/>
            <w:gridSpan w:val="2"/>
            <w:tcBorders>
              <w:top w:val="nil"/>
              <w:bottom w:val="nil"/>
              <w:right w:val="nil"/>
            </w:tcBorders>
            <w:shd w:val="clear" w:color="auto" w:fill="auto"/>
          </w:tcPr>
          <w:p w:rsidR="0017135D" w:rsidRPr="006B47D3" w:rsidP="00EF3A31">
            <w:pPr>
              <w:pStyle w:val="CSBody8ptbolditalics"/>
            </w:pPr>
          </w:p>
        </w:tc>
        <w:tc>
          <w:tcPr>
            <w:tcW w:w="3318" w:type="dxa"/>
            <w:gridSpan w:val="10"/>
            <w:tcBorders>
              <w:top w:val="nil"/>
              <w:left w:val="nil"/>
              <w:bottom w:val="nil"/>
              <w:right w:val="nil"/>
            </w:tcBorders>
            <w:shd w:val="clear" w:color="auto" w:fill="auto"/>
          </w:tcPr>
          <w:p w:rsidR="0017135D" w:rsidRPr="006B47D3" w:rsidP="00EF3A31">
            <w:pPr>
              <w:pStyle w:val="CSBody8ptbolditalics"/>
              <w:rPr>
                <w:lang w:val="de-DE"/>
              </w:rPr>
            </w:pPr>
            <w:r w:rsidRPr="00792D61">
              <w:rPr>
                <w:lang w:val="de-DE"/>
              </w:rPr>
              <w:t>[</w:t>
            </w:r>
            <w:r w:rsidRPr="006B47D3">
              <w:rPr>
                <w:lang w:val="de-DE"/>
              </w:rPr>
              <w:t>bei einem Zinszahlungstag für Variable 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EF3A31">
            <w:pPr>
              <w:pStyle w:val="CSBody8pt"/>
              <w:rPr>
                <w:lang w:val="de-DE"/>
              </w:rPr>
            </w:pPr>
          </w:p>
        </w:tc>
        <w:tc>
          <w:tcPr>
            <w:tcW w:w="3315" w:type="dxa"/>
            <w:gridSpan w:val="7"/>
            <w:tcBorders>
              <w:top w:val="nil"/>
              <w:left w:val="nil"/>
              <w:bottom w:val="nil"/>
            </w:tcBorders>
            <w:shd w:val="clear" w:color="auto" w:fill="auto"/>
          </w:tcPr>
          <w:p w:rsidR="0017135D" w:rsidRPr="006C1319" w:rsidP="00EF3A31">
            <w:pPr>
              <w:pStyle w:val="CSBody8pt"/>
            </w:pPr>
            <w:r w:rsidRPr="006C1319">
              <w:t>a rate per annum equal to the greater of (i) zero (o) and (ii) the sum of (x) the Participation multiplied by the difference between (A) the Reference Rate for Reference Month(</w:t>
            </w:r>
            <w:r w:rsidRPr="00792D61">
              <w:rPr>
                <w:b/>
              </w:rPr>
              <w:t>[</w:t>
            </w:r>
            <w:r w:rsidRPr="006C1319">
              <w:rPr>
                <w:rFonts w:ascii="Arial" w:hAnsi="Arial" w:cs="Arial"/>
              </w:rPr>
              <w:t>●</w:t>
            </w:r>
            <w:r w:rsidRPr="00792D61">
              <w:rPr>
                <w:b/>
              </w:rPr>
              <w:t>]</w:t>
            </w:r>
            <w:r w:rsidRPr="006C1319">
              <w:t>m) (</w:t>
            </w:r>
            <w:r w:rsidRPr="006E7651">
              <w:rPr>
                <w:i/>
              </w:rPr>
              <w:t>RR</w:t>
            </w:r>
            <w:r w:rsidRPr="00792D61">
              <w:rPr>
                <w:b/>
                <w:i/>
              </w:rPr>
              <w:t>[</w:t>
            </w:r>
            <w:r w:rsidRPr="006E7651">
              <w:rPr>
                <w:rFonts w:ascii="Arial" w:hAnsi="Arial" w:cs="Arial"/>
                <w:i/>
              </w:rPr>
              <w:t>●</w:t>
            </w:r>
            <w:r w:rsidRPr="00792D61">
              <w:rPr>
                <w:b/>
                <w:i/>
              </w:rPr>
              <w:t>]</w:t>
            </w:r>
            <w:r w:rsidRPr="006E7651">
              <w:rPr>
                <w:i/>
              </w:rPr>
              <w:t>m</w:t>
            </w:r>
            <w:r w:rsidRPr="006C1319">
              <w:t>), divided by the Reference Rate for Reference Month(</w:t>
            </w:r>
            <w:r w:rsidRPr="00792D61">
              <w:rPr>
                <w:b/>
              </w:rPr>
              <w:t>[</w:t>
            </w:r>
            <w:r w:rsidRPr="006C1319">
              <w:rPr>
                <w:rFonts w:ascii="Arial" w:hAnsi="Arial" w:cs="Arial"/>
              </w:rPr>
              <w:t>●</w:t>
            </w:r>
            <w:r w:rsidRPr="00792D61">
              <w:rPr>
                <w:b/>
              </w:rPr>
              <w:t>]</w:t>
            </w:r>
            <w:r w:rsidRPr="006C1319">
              <w:t>m) (</w:t>
            </w:r>
            <w:r w:rsidRPr="006E7651">
              <w:rPr>
                <w:i/>
              </w:rPr>
              <w:t>RR</w:t>
            </w:r>
            <w:r w:rsidRPr="00792D61">
              <w:rPr>
                <w:b/>
                <w:i/>
              </w:rPr>
              <w:t>[</w:t>
            </w:r>
            <w:r w:rsidRPr="006E7651">
              <w:rPr>
                <w:rFonts w:ascii="Arial" w:hAnsi="Arial" w:cs="Arial"/>
                <w:i/>
              </w:rPr>
              <w:t>●</w:t>
            </w:r>
            <w:r w:rsidRPr="00792D61">
              <w:rPr>
                <w:b/>
                <w:i/>
              </w:rPr>
              <w:t>]</w:t>
            </w:r>
            <w:r w:rsidRPr="006E7651">
              <w:rPr>
                <w:i/>
              </w:rPr>
              <w:t>m</w:t>
            </w:r>
            <w:r w:rsidRPr="006C1319">
              <w:t xml:space="preserve">), and (B) one (1) and (y) </w:t>
            </w:r>
            <w:r w:rsidRPr="00792D61">
              <w:rPr>
                <w:b/>
              </w:rPr>
              <w:t>[</w:t>
            </w:r>
            <w:r w:rsidRPr="006C1319">
              <w:t>•</w:t>
            </w:r>
            <w:r w:rsidRPr="00792D61">
              <w:rPr>
                <w:b/>
              </w:rPr>
              <w:t>]</w:t>
            </w:r>
            <w:r w:rsidRPr="006C1319">
              <w:t>%, calculated in accordance with the following formula:</w:t>
            </w:r>
          </w:p>
        </w:tc>
        <w:tc>
          <w:tcPr>
            <w:tcW w:w="1618" w:type="dxa"/>
            <w:gridSpan w:val="2"/>
            <w:tcBorders>
              <w:top w:val="nil"/>
              <w:bottom w:val="nil"/>
              <w:right w:val="nil"/>
            </w:tcBorders>
            <w:shd w:val="clear" w:color="auto" w:fill="auto"/>
          </w:tcPr>
          <w:p w:rsidR="0017135D" w:rsidRPr="006B47D3" w:rsidP="00EF3A31">
            <w:pPr>
              <w:pStyle w:val="CSBody8pt"/>
              <w:rPr>
                <w:i/>
              </w:rPr>
            </w:pPr>
          </w:p>
        </w:tc>
        <w:tc>
          <w:tcPr>
            <w:tcW w:w="3318" w:type="dxa"/>
            <w:gridSpan w:val="10"/>
            <w:tcBorders>
              <w:top w:val="nil"/>
              <w:left w:val="nil"/>
              <w:bottom w:val="nil"/>
              <w:right w:val="nil"/>
            </w:tcBorders>
            <w:shd w:val="clear" w:color="auto" w:fill="auto"/>
          </w:tcPr>
          <w:p w:rsidR="0017135D" w:rsidRPr="006B47D3" w:rsidP="00EF3A31">
            <w:pPr>
              <w:pStyle w:val="CSBody8pt"/>
              <w:rPr>
                <w:lang w:val="de-DE"/>
              </w:rPr>
            </w:pPr>
            <w:r w:rsidRPr="006B47D3">
              <w:rPr>
                <w:lang w:val="de-DE"/>
              </w:rPr>
              <w:t xml:space="preserve">ein Satz per annum in Höhe des jeweils grösseren der folgenden Beträge: (i) null (0) oder (ii) der Summe aus (x) der Partizipation </w:t>
            </w:r>
            <w:r w:rsidRPr="00A205FA">
              <w:rPr>
                <w:i/>
                <w:lang w:val="de-DE"/>
              </w:rPr>
              <w:t>(Participation)</w:t>
            </w:r>
            <w:r w:rsidRPr="006B47D3">
              <w:rPr>
                <w:lang w:val="de-DE"/>
              </w:rPr>
              <w:t xml:space="preserve"> multipliziert mit der Differenz aus (A) dem Referenzsatz für den Referenzmonat(</w:t>
            </w:r>
            <w:r w:rsidRPr="00792D61">
              <w:rPr>
                <w:b/>
                <w:lang w:val="de-DE"/>
              </w:rPr>
              <w:t>[</w:t>
            </w:r>
            <w:r w:rsidRPr="006B47D3">
              <w:rPr>
                <w:rFonts w:ascii="Arial" w:hAnsi="Arial" w:cs="Arial"/>
                <w:lang w:val="de-DE"/>
              </w:rPr>
              <w:t>●</w:t>
            </w:r>
            <w:r w:rsidRPr="00792D61">
              <w:rPr>
                <w:b/>
                <w:lang w:val="de-DE"/>
              </w:rPr>
              <w:t>]</w:t>
            </w:r>
            <w:r w:rsidRPr="006B47D3">
              <w:rPr>
                <w:lang w:val="de-DE"/>
              </w:rPr>
              <w:t>m) (</w:t>
            </w:r>
            <w:r w:rsidRPr="006E7651">
              <w:rPr>
                <w:i/>
                <w:lang w:val="de-DE"/>
              </w:rPr>
              <w:t>RR</w:t>
            </w:r>
            <w:r w:rsidRPr="00792D61">
              <w:rPr>
                <w:b/>
                <w:i/>
                <w:lang w:val="de-DE"/>
              </w:rPr>
              <w:t>[</w:t>
            </w:r>
            <w:r w:rsidRPr="006E7651">
              <w:rPr>
                <w:rFonts w:ascii="Arial" w:hAnsi="Arial" w:cs="Arial"/>
                <w:i/>
                <w:lang w:val="de-DE"/>
              </w:rPr>
              <w:t>●</w:t>
            </w:r>
            <w:r w:rsidRPr="00792D61">
              <w:rPr>
                <w:b/>
                <w:i/>
                <w:lang w:val="de-DE"/>
              </w:rPr>
              <w:t>]</w:t>
            </w:r>
            <w:r w:rsidRPr="006E7651">
              <w:rPr>
                <w:i/>
                <w:lang w:val="de-DE"/>
              </w:rPr>
              <w:t>m</w:t>
            </w:r>
            <w:r w:rsidRPr="006B47D3">
              <w:rPr>
                <w:lang w:val="de-DE"/>
              </w:rPr>
              <w:t>) dividiert durch den Referenzmonat(</w:t>
            </w:r>
            <w:r w:rsidRPr="00792D61">
              <w:rPr>
                <w:b/>
                <w:lang w:val="de-DE"/>
              </w:rPr>
              <w:t>[</w:t>
            </w:r>
            <w:r w:rsidRPr="006B47D3">
              <w:rPr>
                <w:rFonts w:ascii="Arial" w:hAnsi="Arial" w:cs="Arial"/>
                <w:lang w:val="de-DE"/>
              </w:rPr>
              <w:t>●</w:t>
            </w:r>
            <w:r w:rsidRPr="00792D61">
              <w:rPr>
                <w:b/>
                <w:lang w:val="de-DE"/>
              </w:rPr>
              <w:t>]</w:t>
            </w:r>
            <w:r w:rsidRPr="006B47D3">
              <w:rPr>
                <w:lang w:val="de-DE"/>
              </w:rPr>
              <w:t>m) (</w:t>
            </w:r>
            <w:r w:rsidRPr="006E7651">
              <w:rPr>
                <w:i/>
                <w:lang w:val="de-DE"/>
              </w:rPr>
              <w:t>RR</w:t>
            </w:r>
            <w:r w:rsidRPr="00792D61">
              <w:rPr>
                <w:b/>
                <w:i/>
                <w:lang w:val="de-DE"/>
              </w:rPr>
              <w:t>[</w:t>
            </w:r>
            <w:r w:rsidRPr="006E7651">
              <w:rPr>
                <w:rFonts w:ascii="Arial" w:hAnsi="Arial" w:cs="Arial"/>
                <w:i/>
                <w:lang w:val="de-DE"/>
              </w:rPr>
              <w:t>●</w:t>
            </w:r>
            <w:r w:rsidRPr="00792D61">
              <w:rPr>
                <w:b/>
                <w:i/>
                <w:lang w:val="de-DE"/>
              </w:rPr>
              <w:t>]</w:t>
            </w:r>
            <w:r w:rsidRPr="006E7651">
              <w:rPr>
                <w:i/>
                <w:lang w:val="de-DE"/>
              </w:rPr>
              <w:t>m</w:t>
            </w:r>
            <w:r w:rsidRPr="006B47D3">
              <w:rPr>
                <w:lang w:val="de-DE"/>
              </w:rPr>
              <w:t xml:space="preserve">) und (B) eins (1) und (y) </w:t>
            </w:r>
            <w:r w:rsidRPr="00792D61">
              <w:rPr>
                <w:b/>
                <w:lang w:val="de-DE"/>
              </w:rPr>
              <w:t>[</w:t>
            </w:r>
            <w:r w:rsidRPr="006B47D3">
              <w:rPr>
                <w:rFonts w:cs="Credit Suisse Type Light"/>
                <w:lang w:val="de-DE"/>
              </w:rPr>
              <w:t>•</w:t>
            </w:r>
            <w:r w:rsidRPr="00792D61">
              <w:rPr>
                <w:b/>
                <w:lang w:val="de-DE"/>
              </w:rPr>
              <w:t>]</w:t>
            </w:r>
            <w:r w:rsidRPr="006B47D3">
              <w:rPr>
                <w:lang w:val="de-DE"/>
              </w:rPr>
              <w:t>%,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B47D3" w:rsidP="00A457E7">
            <w:pPr>
              <w:pStyle w:val="CSBody0"/>
              <w:rPr>
                <w:b/>
                <w:lang w:val="de-DE"/>
              </w:rPr>
            </w:pPr>
          </w:p>
        </w:tc>
        <w:tc>
          <w:tcPr>
            <w:tcW w:w="3315" w:type="dxa"/>
            <w:gridSpan w:val="7"/>
            <w:tcBorders>
              <w:top w:val="nil"/>
              <w:left w:val="nil"/>
              <w:bottom w:val="nil"/>
            </w:tcBorders>
            <w:shd w:val="clear" w:color="auto" w:fill="auto"/>
          </w:tcPr>
          <w:p w:rsidR="0017135D" w:rsidRPr="00341691" w:rsidP="00EF3A31">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num>
                        <m:den>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den>
                      </m:f>
                      <m:r>
                        <w:rPr>
                          <w:rFonts w:ascii="Cambria Math" w:hAnsi="Cambria Math"/>
                          <w:sz w:val="14"/>
                          <w:szCs w:val="14"/>
                          <w:lang w:val="de-DE"/>
                        </w:rPr>
                        <m:t>-1</m:t>
                      </m:r>
                    </m:e>
                  </m:d>
                  <m:r>
                    <w:rPr>
                      <w:rFonts w:ascii="Cambria Math" w:hAnsi="Cambria Math"/>
                      <w:sz w:val="14"/>
                      <w:szCs w:val="14"/>
                      <w:lang w:val="de-DE"/>
                    </w:rPr>
                    <m:t>+</m:t>
                  </m:r>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lang w:val="de-DE"/>
                    </w:rPr>
                    <m:t>%</m:t>
                  </m:r>
                </m:e>
              </m:d>
            </m:oMath>
            <w:r w:rsidRPr="00341691">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EF3A31"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341691" w:rsidP="00EF3A31">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num>
                        <m:den>
                          <m:sSub>
                            <m:sSubPr>
                              <m:ctrlPr>
                                <w:rPr>
                                  <w:rFonts w:ascii="Cambria Math" w:hAnsi="Cambria Math"/>
                                  <w:i/>
                                  <w:sz w:val="14"/>
                                  <w:szCs w:val="14"/>
                                </w:rPr>
                              </m:ctrlPr>
                            </m:sSubPr>
                            <m:e>
                              <m:r>
                                <w:rPr>
                                  <w:rFonts w:ascii="Cambria Math" w:hAnsi="Cambria Math"/>
                                  <w:sz w:val="14"/>
                                  <w:szCs w:val="14"/>
                                </w:rPr>
                                <m:t>RR</m:t>
                              </m:r>
                            </m:e>
                            <m:sub>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b>
                          </m:sSub>
                        </m:den>
                      </m:f>
                      <m:r>
                        <w:rPr>
                          <w:rFonts w:ascii="Cambria Math" w:hAnsi="Cambria Math"/>
                          <w:sz w:val="14"/>
                          <w:szCs w:val="14"/>
                          <w:lang w:val="de-DE"/>
                        </w:rPr>
                        <m:t>-1</m:t>
                      </m:r>
                    </m:e>
                  </m:d>
                  <m:r>
                    <w:rPr>
                      <w:rFonts w:ascii="Cambria Math" w:hAnsi="Cambria Math"/>
                      <w:sz w:val="14"/>
                      <w:szCs w:val="14"/>
                      <w:lang w:val="de-DE"/>
                    </w:rPr>
                    <m:t>+</m:t>
                  </m:r>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lang w:val="de-DE"/>
                    </w:rPr>
                    <m:t>%</m:t>
                  </m:r>
                </m:e>
              </m:d>
            </m:oMath>
            <w:r w:rsidRPr="00341691">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71807" w:rsidP="00EF3A31">
            <w:pPr>
              <w:pStyle w:val="CSBody8ptbolditalics"/>
              <w:rPr>
                <w:lang w:val="de-DE"/>
              </w:rPr>
            </w:pPr>
          </w:p>
        </w:tc>
        <w:tc>
          <w:tcPr>
            <w:tcW w:w="3315" w:type="dxa"/>
            <w:gridSpan w:val="7"/>
            <w:tcBorders>
              <w:top w:val="nil"/>
              <w:left w:val="nil"/>
              <w:bottom w:val="nil"/>
            </w:tcBorders>
            <w:shd w:val="clear" w:color="auto" w:fill="auto"/>
          </w:tcPr>
          <w:p w:rsidR="0017135D" w:rsidRPr="009D7859" w:rsidP="00EF3A31">
            <w:pPr>
              <w:pStyle w:val="CSBody8ptbolditalics"/>
            </w:pPr>
            <w:r w:rsidRPr="00792D61">
              <w:t>[</w:t>
            </w:r>
            <w:r w:rsidRPr="009D7859">
              <w:t>in the case of multiple Variable Interest Payment Dates, insert:</w:t>
            </w:r>
          </w:p>
        </w:tc>
        <w:tc>
          <w:tcPr>
            <w:tcW w:w="1618" w:type="dxa"/>
            <w:gridSpan w:val="2"/>
            <w:tcBorders>
              <w:top w:val="nil"/>
              <w:bottom w:val="nil"/>
              <w:right w:val="nil"/>
            </w:tcBorders>
            <w:shd w:val="clear" w:color="auto" w:fill="auto"/>
          </w:tcPr>
          <w:p w:rsidR="0017135D" w:rsidRPr="006B47D3" w:rsidP="00EF3A31">
            <w:pPr>
              <w:pStyle w:val="CSBody8ptbolditalics"/>
            </w:pPr>
          </w:p>
        </w:tc>
        <w:tc>
          <w:tcPr>
            <w:tcW w:w="3318" w:type="dxa"/>
            <w:gridSpan w:val="10"/>
            <w:tcBorders>
              <w:top w:val="nil"/>
              <w:left w:val="nil"/>
              <w:bottom w:val="nil"/>
              <w:right w:val="nil"/>
            </w:tcBorders>
            <w:shd w:val="clear" w:color="auto" w:fill="auto"/>
          </w:tcPr>
          <w:p w:rsidR="0017135D" w:rsidRPr="00B4168E" w:rsidP="00EF3A31">
            <w:pPr>
              <w:pStyle w:val="CSBody8ptbolditalics"/>
              <w:rPr>
                <w:lang w:val="de-DE"/>
              </w:rPr>
            </w:pPr>
            <w:r w:rsidRPr="00792D61">
              <w:rPr>
                <w:lang w:val="de-DE"/>
              </w:rPr>
              <w:t>[</w:t>
            </w:r>
            <w:r w:rsidRPr="00B4168E">
              <w:rPr>
                <w:lang w:val="de-DE"/>
              </w:rPr>
              <w:t>bei mehreren Zahlungstagen für Variable Zinsen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4168E" w:rsidP="00EF3A31">
            <w:pPr>
              <w:pStyle w:val="CSBody8pt"/>
              <w:rPr>
                <w:lang w:val="de-DE"/>
              </w:rPr>
            </w:pPr>
          </w:p>
        </w:tc>
        <w:tc>
          <w:tcPr>
            <w:tcW w:w="3315" w:type="dxa"/>
            <w:gridSpan w:val="7"/>
            <w:tcBorders>
              <w:top w:val="nil"/>
              <w:left w:val="nil"/>
              <w:bottom w:val="nil"/>
            </w:tcBorders>
            <w:shd w:val="clear" w:color="auto" w:fill="auto"/>
          </w:tcPr>
          <w:p w:rsidR="0017135D" w:rsidRPr="009D7859" w:rsidP="00EF3A31">
            <w:pPr>
              <w:pStyle w:val="CSBody8pt"/>
            </w:pPr>
            <w:r w:rsidRPr="009D7859">
              <w:t>with respect to any Interest Payment Date (</w:t>
            </w:r>
            <w:r w:rsidRPr="00116653">
              <w:rPr>
                <w:i/>
              </w:rPr>
              <w:t>t</w:t>
            </w:r>
            <w:r w:rsidRPr="009D7859">
              <w:t>), a rate per annum equal to the greater of (i) zero (0) and (ii) the sum of (x) the Participation multiplied by the difference between (A) the Reference Rate for the Reference Month(</w:t>
            </w:r>
            <w:r w:rsidRPr="00792D61">
              <w:rPr>
                <w:b/>
              </w:rPr>
              <w:t>[</w:t>
            </w:r>
            <w:r w:rsidRPr="009D7859">
              <w:rPr>
                <w:rFonts w:ascii="Arial" w:hAnsi="Arial" w:cs="Arial"/>
              </w:rPr>
              <w:t>●</w:t>
            </w:r>
            <w:r w:rsidRPr="00792D61">
              <w:rPr>
                <w:b/>
              </w:rPr>
              <w:t>]</w:t>
            </w:r>
            <w:r w:rsidRPr="009D7859">
              <w:t>m) (</w:t>
            </w:r>
            <w:r w:rsidRPr="008C6A79">
              <w:rPr>
                <w:i/>
              </w:rPr>
              <w:t>RR</w:t>
            </w:r>
            <w:r w:rsidRPr="00792D61">
              <w:rPr>
                <w:b/>
                <w:i/>
              </w:rPr>
              <w:t>[</w:t>
            </w:r>
            <w:r w:rsidRPr="008C6A79">
              <w:rPr>
                <w:rFonts w:ascii="Arial" w:hAnsi="Arial" w:cs="Arial"/>
                <w:i/>
              </w:rPr>
              <w:t>●</w:t>
            </w:r>
            <w:r w:rsidRPr="00792D61">
              <w:rPr>
                <w:b/>
                <w:i/>
              </w:rPr>
              <w:t>]</w:t>
            </w:r>
            <w:r w:rsidRPr="008C6A79">
              <w:rPr>
                <w:i/>
              </w:rPr>
              <w:t>m</w:t>
            </w:r>
            <w:r w:rsidRPr="009D7859">
              <w:t>) applicable to such Interest Payment Date (</w:t>
            </w:r>
            <w:r w:rsidRPr="00116653">
              <w:rPr>
                <w:i/>
              </w:rPr>
              <w:t>t</w:t>
            </w:r>
            <w:r w:rsidRPr="009D7859">
              <w:t>), divided by the Reference Rate for the Reference Month(</w:t>
            </w:r>
            <w:r w:rsidRPr="00792D61">
              <w:rPr>
                <w:b/>
              </w:rPr>
              <w:t>[</w:t>
            </w:r>
            <w:r w:rsidRPr="009D7859">
              <w:rPr>
                <w:rFonts w:ascii="Arial" w:hAnsi="Arial" w:cs="Arial"/>
              </w:rPr>
              <w:t>●</w:t>
            </w:r>
            <w:r w:rsidRPr="00792D61">
              <w:rPr>
                <w:b/>
              </w:rPr>
              <w:t>]</w:t>
            </w:r>
            <w:r w:rsidRPr="009D7859">
              <w:t>m) (</w:t>
            </w:r>
            <w:r w:rsidRPr="008C6A79">
              <w:rPr>
                <w:i/>
              </w:rPr>
              <w:t>RR</w:t>
            </w:r>
            <w:r w:rsidRPr="00792D61">
              <w:rPr>
                <w:b/>
                <w:i/>
              </w:rPr>
              <w:t>[</w:t>
            </w:r>
            <w:r w:rsidRPr="008C6A79">
              <w:rPr>
                <w:rFonts w:ascii="Arial" w:hAnsi="Arial" w:cs="Arial"/>
                <w:i/>
              </w:rPr>
              <w:t>●</w:t>
            </w:r>
            <w:r w:rsidRPr="00792D61">
              <w:rPr>
                <w:b/>
                <w:i/>
              </w:rPr>
              <w:t>]</w:t>
            </w:r>
            <w:r w:rsidRPr="008C6A79">
              <w:rPr>
                <w:i/>
              </w:rPr>
              <w:t>m</w:t>
            </w:r>
            <w:r w:rsidRPr="009D7859">
              <w:t>) applicable to such Interest Payment Date (</w:t>
            </w:r>
            <w:r w:rsidRPr="00116653">
              <w:rPr>
                <w:i/>
              </w:rPr>
              <w:t>t</w:t>
            </w:r>
            <w:r w:rsidRPr="009D7859">
              <w:t xml:space="preserve">), and (B) one (1) and (y) </w:t>
            </w:r>
            <w:r w:rsidRPr="00792D61">
              <w:rPr>
                <w:b/>
              </w:rPr>
              <w:t>[</w:t>
            </w:r>
            <w:r w:rsidRPr="009D7859">
              <w:rPr>
                <w:rFonts w:cs="Credit Suisse Type Light"/>
              </w:rPr>
              <w:t>•</w:t>
            </w:r>
            <w:r w:rsidRPr="00792D61">
              <w:rPr>
                <w:b/>
              </w:rPr>
              <w:t>]</w:t>
            </w:r>
            <w:r w:rsidRPr="009D7859">
              <w:t>%, calculated in accordance with the following formula:</w:t>
            </w:r>
          </w:p>
        </w:tc>
        <w:tc>
          <w:tcPr>
            <w:tcW w:w="1618" w:type="dxa"/>
            <w:gridSpan w:val="2"/>
            <w:tcBorders>
              <w:top w:val="nil"/>
              <w:bottom w:val="nil"/>
              <w:right w:val="nil"/>
            </w:tcBorders>
            <w:shd w:val="clear" w:color="auto" w:fill="auto"/>
          </w:tcPr>
          <w:p w:rsidR="0017135D" w:rsidRPr="006B47D3" w:rsidP="00EF3A31">
            <w:pPr>
              <w:pStyle w:val="CSBody8pt"/>
              <w:rPr>
                <w:i/>
              </w:rPr>
            </w:pPr>
          </w:p>
        </w:tc>
        <w:tc>
          <w:tcPr>
            <w:tcW w:w="3318" w:type="dxa"/>
            <w:gridSpan w:val="10"/>
            <w:tcBorders>
              <w:top w:val="nil"/>
              <w:left w:val="nil"/>
              <w:bottom w:val="nil"/>
              <w:right w:val="nil"/>
            </w:tcBorders>
            <w:shd w:val="clear" w:color="auto" w:fill="auto"/>
          </w:tcPr>
          <w:p w:rsidR="0017135D" w:rsidRPr="00B4168E" w:rsidP="00516CB4">
            <w:pPr>
              <w:pStyle w:val="CSBody8pt"/>
              <w:rPr>
                <w:lang w:val="de-DE"/>
              </w:rPr>
            </w:pPr>
            <w:r w:rsidRPr="00B4168E">
              <w:rPr>
                <w:lang w:val="de-DE"/>
              </w:rPr>
              <w:t>in Bezug auf einen Zinszahlungstag (</w:t>
            </w:r>
            <w:r w:rsidRPr="00116653">
              <w:rPr>
                <w:i/>
                <w:lang w:val="de-DE"/>
              </w:rPr>
              <w:t>t</w:t>
            </w:r>
            <w:r w:rsidRPr="00B4168E">
              <w:rPr>
                <w:lang w:val="de-DE"/>
              </w:rPr>
              <w:t xml:space="preserve">) ein Satz per annum in Höhe des jeweils grösseren der folgenden Beträge: (i) null (0) oder (ii) der Summe aus (x) der Partizipation </w:t>
            </w:r>
            <w:r w:rsidRPr="00A205FA">
              <w:rPr>
                <w:i/>
                <w:lang w:val="de-DE"/>
              </w:rPr>
              <w:t>(Participation)</w:t>
            </w:r>
            <w:r w:rsidRPr="00B4168E">
              <w:rPr>
                <w:lang w:val="de-DE"/>
              </w:rPr>
              <w:t xml:space="preserve"> multipliziert mit der Differenz aus (B) dem für diesen Zinszahlungstag</w:t>
            </w:r>
            <w:r>
              <w:rPr>
                <w:lang w:val="de-DE"/>
              </w:rPr>
              <w:t xml:space="preserve"> </w:t>
            </w:r>
            <w:r w:rsidRPr="00B4168E">
              <w:rPr>
                <w:lang w:val="de-DE"/>
              </w:rPr>
              <w:t>(</w:t>
            </w:r>
            <w:r w:rsidRPr="00116653">
              <w:rPr>
                <w:i/>
                <w:lang w:val="de-DE"/>
              </w:rPr>
              <w:t>t</w:t>
            </w:r>
            <w:r w:rsidRPr="00B4168E">
              <w:rPr>
                <w:lang w:val="de-DE"/>
              </w:rPr>
              <w:t>) geltenden Referenzsatz für den Referenzmonat(</w:t>
            </w:r>
            <w:r w:rsidRPr="00792D61">
              <w:rPr>
                <w:b/>
                <w:lang w:val="de-DE"/>
              </w:rPr>
              <w:t>[</w:t>
            </w:r>
            <w:r w:rsidRPr="00B4168E">
              <w:rPr>
                <w:rFonts w:ascii="Arial" w:hAnsi="Arial" w:cs="Arial"/>
                <w:lang w:val="de-DE"/>
              </w:rPr>
              <w:t>●</w:t>
            </w:r>
            <w:r w:rsidRPr="00792D61">
              <w:rPr>
                <w:b/>
                <w:lang w:val="de-DE"/>
              </w:rPr>
              <w:t>]</w:t>
            </w:r>
            <w:r w:rsidRPr="00B4168E">
              <w:rPr>
                <w:lang w:val="de-DE"/>
              </w:rPr>
              <w:t>m) (</w:t>
            </w:r>
            <w:r w:rsidRPr="008C6A79">
              <w:rPr>
                <w:i/>
                <w:lang w:val="de-DE"/>
              </w:rPr>
              <w:t>RR</w:t>
            </w:r>
            <w:r w:rsidRPr="00792D61">
              <w:rPr>
                <w:b/>
                <w:i/>
                <w:lang w:val="de-DE"/>
              </w:rPr>
              <w:t>[</w:t>
            </w:r>
            <w:r w:rsidRPr="008C6A79">
              <w:rPr>
                <w:rFonts w:ascii="Arial" w:hAnsi="Arial" w:cs="Arial"/>
                <w:i/>
                <w:lang w:val="de-DE"/>
              </w:rPr>
              <w:t>●</w:t>
            </w:r>
            <w:r w:rsidRPr="00792D61">
              <w:rPr>
                <w:b/>
                <w:i/>
                <w:lang w:val="de-DE"/>
              </w:rPr>
              <w:t>]</w:t>
            </w:r>
            <w:r w:rsidRPr="008C6A79">
              <w:rPr>
                <w:i/>
                <w:lang w:val="de-DE"/>
              </w:rPr>
              <w:t>m</w:t>
            </w:r>
            <w:r w:rsidRPr="00B4168E">
              <w:rPr>
                <w:lang w:val="de-DE"/>
              </w:rPr>
              <w:t>) dividiert durch den f</w:t>
            </w:r>
            <w:r w:rsidRPr="00B4168E">
              <w:rPr>
                <w:rFonts w:cs="Credit Suisse Type Light"/>
                <w:lang w:val="de-DE"/>
              </w:rPr>
              <w:t>ü</w:t>
            </w:r>
            <w:r w:rsidRPr="00B4168E">
              <w:rPr>
                <w:lang w:val="de-DE"/>
              </w:rPr>
              <w:t>r diesen Zinszahlungstag</w:t>
            </w:r>
            <w:r>
              <w:rPr>
                <w:lang w:val="de-DE"/>
              </w:rPr>
              <w:t xml:space="preserve"> </w:t>
            </w:r>
            <w:r w:rsidRPr="00B4168E">
              <w:rPr>
                <w:lang w:val="de-DE"/>
              </w:rPr>
              <w:t>(</w:t>
            </w:r>
            <w:r w:rsidRPr="00116653">
              <w:rPr>
                <w:i/>
                <w:lang w:val="de-DE"/>
              </w:rPr>
              <w:t>t</w:t>
            </w:r>
            <w:r w:rsidRPr="00B4168E">
              <w:rPr>
                <w:lang w:val="de-DE"/>
              </w:rPr>
              <w:t>) geltenden Referenzmonat(</w:t>
            </w:r>
            <w:r w:rsidRPr="00792D61">
              <w:rPr>
                <w:b/>
                <w:lang w:val="de-DE"/>
              </w:rPr>
              <w:t>[</w:t>
            </w:r>
            <w:r w:rsidRPr="00B4168E">
              <w:rPr>
                <w:rFonts w:ascii="Arial" w:hAnsi="Arial" w:cs="Arial"/>
                <w:lang w:val="de-DE"/>
              </w:rPr>
              <w:t>●</w:t>
            </w:r>
            <w:r w:rsidRPr="00792D61">
              <w:rPr>
                <w:b/>
                <w:lang w:val="de-DE"/>
              </w:rPr>
              <w:t>]</w:t>
            </w:r>
            <w:r w:rsidRPr="00B4168E">
              <w:rPr>
                <w:lang w:val="de-DE"/>
              </w:rPr>
              <w:t>m) (</w:t>
            </w:r>
            <w:r w:rsidRPr="008C6A79">
              <w:rPr>
                <w:i/>
                <w:lang w:val="de-DE"/>
              </w:rPr>
              <w:t>RR</w:t>
            </w:r>
            <w:r w:rsidRPr="00792D61">
              <w:rPr>
                <w:b/>
                <w:i/>
                <w:lang w:val="de-DE"/>
              </w:rPr>
              <w:t>[</w:t>
            </w:r>
            <w:r w:rsidRPr="008C6A79">
              <w:rPr>
                <w:rFonts w:ascii="Arial" w:hAnsi="Arial" w:cs="Arial"/>
                <w:i/>
                <w:lang w:val="de-DE"/>
              </w:rPr>
              <w:t>●</w:t>
            </w:r>
            <w:r w:rsidRPr="00792D61">
              <w:rPr>
                <w:b/>
                <w:i/>
                <w:lang w:val="de-DE"/>
              </w:rPr>
              <w:t>]</w:t>
            </w:r>
            <w:r w:rsidRPr="008C6A79">
              <w:rPr>
                <w:i/>
                <w:lang w:val="de-DE"/>
              </w:rPr>
              <w:t>m</w:t>
            </w:r>
            <w:r w:rsidRPr="00B4168E">
              <w:rPr>
                <w:lang w:val="de-DE"/>
              </w:rPr>
              <w:t xml:space="preserve">) und (B) eins (1) und (y) </w:t>
            </w:r>
            <w:r w:rsidRPr="00792D61">
              <w:rPr>
                <w:b/>
                <w:lang w:val="de-DE"/>
              </w:rPr>
              <w:t>[</w:t>
            </w:r>
            <w:r w:rsidRPr="00B4168E">
              <w:rPr>
                <w:rFonts w:cs="Credit Suisse Type Light"/>
                <w:lang w:val="de-DE"/>
              </w:rPr>
              <w:t>•</w:t>
            </w:r>
            <w:r w:rsidRPr="00792D61">
              <w:rPr>
                <w:b/>
                <w:lang w:val="de-DE"/>
              </w:rPr>
              <w:t>]</w:t>
            </w:r>
            <w:r w:rsidRPr="00B4168E">
              <w:rPr>
                <w:lang w:val="de-DE"/>
              </w:rPr>
              <w:t>%, berechnet nach der folgenden Formel:</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4168E" w:rsidP="00A457E7">
            <w:pPr>
              <w:pStyle w:val="CSBody0"/>
              <w:rPr>
                <w:b/>
                <w:lang w:val="de-DE"/>
              </w:rPr>
            </w:pPr>
          </w:p>
        </w:tc>
        <w:tc>
          <w:tcPr>
            <w:tcW w:w="3315" w:type="dxa"/>
            <w:gridSpan w:val="7"/>
            <w:tcBorders>
              <w:top w:val="nil"/>
              <w:left w:val="nil"/>
              <w:bottom w:val="nil"/>
            </w:tcBorders>
            <w:shd w:val="clear" w:color="auto" w:fill="auto"/>
          </w:tcPr>
          <w:p w:rsidR="0017135D" w:rsidRPr="00EF3A31" w:rsidP="00EF3A31">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p>
                            <m:sSupPr>
                              <m:ctrlPr>
                                <w:rPr>
                                  <w:rFonts w:ascii="Cambria Math" w:hAnsi="Cambria Math"/>
                                  <w:i/>
                                  <w:sz w:val="14"/>
                                  <w:szCs w:val="14"/>
                                </w:rPr>
                              </m:ctrlPr>
                            </m:sSupPr>
                            <m:e>
                              <m:r>
                                <w:rPr>
                                  <w:rFonts w:ascii="Cambria Math" w:hAnsi="Cambria Math"/>
                                  <w:sz w:val="14"/>
                                  <w:szCs w:val="14"/>
                                </w:rPr>
                                <m:t>RR</m:t>
                              </m:r>
                            </m:e>
                            <m:sup>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p>
                          </m:sSup>
                        </m:num>
                        <m:den>
                          <m:sSup>
                            <m:sSupPr>
                              <m:ctrlPr>
                                <w:rPr>
                                  <w:rFonts w:ascii="Cambria Math" w:hAnsi="Cambria Math"/>
                                  <w:i/>
                                  <w:sz w:val="14"/>
                                  <w:szCs w:val="14"/>
                                </w:rPr>
                              </m:ctrlPr>
                            </m:sSupPr>
                            <m:e>
                              <m:r>
                                <w:rPr>
                                  <w:rFonts w:ascii="Cambria Math" w:hAnsi="Cambria Math"/>
                                  <w:sz w:val="14"/>
                                  <w:szCs w:val="14"/>
                                </w:rPr>
                                <m:t>RR</m:t>
                              </m:r>
                            </m:e>
                            <m:sup>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p>
                          </m:sSup>
                        </m:den>
                      </m:f>
                      <m:r>
                        <w:rPr>
                          <w:rFonts w:ascii="Cambria Math" w:hAnsi="Cambria Math"/>
                          <w:sz w:val="14"/>
                          <w:szCs w:val="14"/>
                          <w:lang w:val="de-DE"/>
                        </w:rPr>
                        <m:t>-1</m:t>
                      </m:r>
                    </m:e>
                  </m:d>
                  <m:r>
                    <w:rPr>
                      <w:rFonts w:ascii="Cambria Math" w:hAnsi="Cambria Math"/>
                      <w:sz w:val="14"/>
                      <w:szCs w:val="14"/>
                      <w:lang w:val="de-DE"/>
                    </w:rPr>
                    <m:t>+</m:t>
                  </m:r>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lang w:val="de-DE"/>
                    </w:rPr>
                    <m:t>%</m:t>
                  </m:r>
                </m:e>
              </m:d>
            </m:oMath>
            <w:r w:rsidRPr="00EF3A31">
              <w:rPr>
                <w:rFonts w:eastAsiaTheme="minorEastAsia"/>
                <w:sz w:val="14"/>
                <w:szCs w:val="14"/>
                <w:lang w:val="de-DE"/>
              </w:rPr>
              <w:t>.</w:t>
            </w:r>
            <w:r w:rsidRPr="00792D61">
              <w:rPr>
                <w:rFonts w:eastAsiaTheme="minorEastAsia"/>
                <w:b/>
                <w:sz w:val="14"/>
                <w:szCs w:val="14"/>
                <w:lang w:val="de-DE"/>
              </w:rPr>
              <w:t>]]]</w:t>
            </w:r>
          </w:p>
        </w:tc>
        <w:tc>
          <w:tcPr>
            <w:tcW w:w="1618" w:type="dxa"/>
            <w:gridSpan w:val="2"/>
            <w:tcBorders>
              <w:top w:val="nil"/>
              <w:bottom w:val="nil"/>
              <w:right w:val="nil"/>
            </w:tcBorders>
            <w:shd w:val="clear" w:color="auto" w:fill="auto"/>
          </w:tcPr>
          <w:p w:rsidR="0017135D" w:rsidRPr="00EF3A31"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EF3A31" w:rsidP="00EF3A31">
            <w:pPr>
              <w:spacing w:before="120" w:after="120"/>
              <w:jc w:val="center"/>
              <w:rPr>
                <w:sz w:val="14"/>
                <w:szCs w:val="14"/>
                <w:lang w:val="de-DE"/>
              </w:rPr>
            </w:pPr>
            <m:oMath>
              <m:r>
                <w:rPr>
                  <w:rFonts w:ascii="Cambria Math" w:hAnsi="Cambria Math"/>
                  <w:sz w:val="14"/>
                  <w:szCs w:val="14"/>
                </w:rPr>
                <m:t>max</m:t>
              </m:r>
              <m:d>
                <m:dPr>
                  <m:ctrlPr>
                    <w:rPr>
                      <w:rFonts w:ascii="Cambria Math" w:hAnsi="Cambria Math"/>
                      <w:i/>
                      <w:sz w:val="14"/>
                      <w:szCs w:val="14"/>
                    </w:rPr>
                  </m:ctrlPr>
                </m:dPr>
                <m:e>
                  <m:r>
                    <w:rPr>
                      <w:rFonts w:ascii="Cambria Math" w:hAnsi="Cambria Math"/>
                      <w:sz w:val="14"/>
                      <w:szCs w:val="14"/>
                      <w:lang w:val="de-DE"/>
                    </w:rPr>
                    <m:t>0;</m:t>
                  </m:r>
                  <m:r>
                    <w:rPr>
                      <w:rFonts w:ascii="Cambria Math" w:hAnsi="Cambria Math"/>
                      <w:sz w:val="14"/>
                      <w:szCs w:val="14"/>
                    </w:rPr>
                    <m:t>Participation</m:t>
                  </m:r>
                  <m:r>
                    <w:rPr>
                      <w:rFonts w:ascii="Cambria Math" w:hAnsi="Cambria Math"/>
                      <w:sz w:val="14"/>
                      <w:szCs w:val="14"/>
                      <w:lang w:val="de-DE"/>
                    </w:rPr>
                    <m:t>×</m:t>
                  </m:r>
                  <m:d>
                    <m:dPr>
                      <m:ctrlPr>
                        <w:rPr>
                          <w:rFonts w:ascii="Cambria Math" w:hAnsi="Cambria Math"/>
                          <w:i/>
                          <w:sz w:val="14"/>
                          <w:szCs w:val="14"/>
                        </w:rPr>
                      </m:ctrlPr>
                    </m:dPr>
                    <m:e>
                      <m:f>
                        <m:fPr>
                          <m:ctrlPr>
                            <w:rPr>
                              <w:rFonts w:ascii="Cambria Math" w:hAnsi="Cambria Math"/>
                              <w:i/>
                              <w:sz w:val="14"/>
                              <w:szCs w:val="14"/>
                            </w:rPr>
                          </m:ctrlPr>
                        </m:fPr>
                        <m:num>
                          <m:sSup>
                            <m:sSupPr>
                              <m:ctrlPr>
                                <w:rPr>
                                  <w:rFonts w:ascii="Cambria Math" w:hAnsi="Cambria Math"/>
                                  <w:i/>
                                  <w:sz w:val="14"/>
                                  <w:szCs w:val="14"/>
                                </w:rPr>
                              </m:ctrlPr>
                            </m:sSupPr>
                            <m:e>
                              <m:r>
                                <w:rPr>
                                  <w:rFonts w:ascii="Cambria Math" w:hAnsi="Cambria Math"/>
                                  <w:sz w:val="14"/>
                                  <w:szCs w:val="14"/>
                                </w:rPr>
                                <m:t>RR</m:t>
                              </m:r>
                            </m:e>
                            <m:sup>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p>
                          </m:sSup>
                        </m:num>
                        <m:den>
                          <m:sSup>
                            <m:sSupPr>
                              <m:ctrlPr>
                                <w:rPr>
                                  <w:rFonts w:ascii="Cambria Math" w:hAnsi="Cambria Math"/>
                                  <w:i/>
                                  <w:sz w:val="14"/>
                                  <w:szCs w:val="14"/>
                                </w:rPr>
                              </m:ctrlPr>
                            </m:sSupPr>
                            <m:e>
                              <m:r>
                                <w:rPr>
                                  <w:rFonts w:ascii="Cambria Math" w:hAnsi="Cambria Math"/>
                                  <w:sz w:val="14"/>
                                  <w:szCs w:val="14"/>
                                </w:rPr>
                                <m:t>RR</m:t>
                              </m:r>
                            </m:e>
                            <m:sup>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rPr>
                                <m:t>m</m:t>
                              </m:r>
                            </m:sup>
                          </m:sSup>
                        </m:den>
                      </m:f>
                      <m:r>
                        <w:rPr>
                          <w:rFonts w:ascii="Cambria Math" w:hAnsi="Cambria Math"/>
                          <w:sz w:val="14"/>
                          <w:szCs w:val="14"/>
                          <w:lang w:val="de-DE"/>
                        </w:rPr>
                        <m:t>-1</m:t>
                      </m:r>
                    </m:e>
                  </m:d>
                  <m:r>
                    <w:rPr>
                      <w:rFonts w:ascii="Cambria Math" w:hAnsi="Cambria Math"/>
                      <w:sz w:val="14"/>
                      <w:szCs w:val="14"/>
                      <w:lang w:val="de-DE"/>
                    </w:rPr>
                    <m:t>+</m:t>
                  </m:r>
                  <m:d>
                    <m:dPr>
                      <m:begChr m:val="["/>
                      <m:endChr m:val="]"/>
                      <m:ctrlPr>
                        <w:rPr>
                          <w:rFonts w:ascii="Cambria Math" w:hAnsi="Cambria Math"/>
                          <w:i/>
                          <w:sz w:val="14"/>
                          <w:szCs w:val="14"/>
                        </w:rPr>
                      </m:ctrlPr>
                    </m:dPr>
                    <m:e>
                      <m:r>
                        <m:rPr>
                          <m:sty m:val="p"/>
                        </m:rPr>
                        <w:rPr>
                          <w:rFonts w:ascii="Times New Roman" w:hAnsi="Times New Roman"/>
                          <w:sz w:val="14"/>
                          <w:szCs w:val="14"/>
                          <w:lang w:val="de-DE"/>
                        </w:rPr>
                        <m:t>●</m:t>
                      </m:r>
                    </m:e>
                  </m:d>
                  <m:r>
                    <w:rPr>
                      <w:rFonts w:ascii="Cambria Math" w:hAnsi="Cambria Math"/>
                      <w:sz w:val="14"/>
                      <w:szCs w:val="14"/>
                      <w:lang w:val="de-DE"/>
                    </w:rPr>
                    <m:t>%</m:t>
                  </m:r>
                </m:e>
              </m:d>
            </m:oMath>
            <w:r w:rsidRPr="00EF3A31">
              <w:rPr>
                <w:rFonts w:eastAsiaTheme="minorEastAsia"/>
                <w:sz w:val="14"/>
                <w:szCs w:val="14"/>
                <w:lang w:val="de-DE"/>
              </w:rPr>
              <w:t>.</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C6A79">
            <w:pPr>
              <w:pStyle w:val="CSBody8pt"/>
            </w:pPr>
            <w:r w:rsidRPr="00792D61">
              <w:rPr>
                <w:b/>
              </w:rPr>
              <w:t>[</w:t>
            </w:r>
            <w:r w:rsidRPr="008C6A79">
              <w:t>Maximum Interest Rate</w:t>
            </w:r>
            <w:r>
              <w:fldChar w:fldCharType="begin"/>
            </w:r>
            <w:r w:rsidR="0041243C">
              <w:instrText xml:space="preserve"> XE "</w:instrText>
            </w:r>
            <w:r w:rsidRPr="000476BC" w:rsidR="0041243C">
              <w:instrText>Maximum Interest Rate</w:instrText>
            </w:r>
            <w:r w:rsidR="0041243C">
              <w:instrText>" \f "EN"</w:instrText>
            </w:r>
            <w:r>
              <w:fldChar w:fldCharType="end"/>
            </w:r>
          </w:p>
        </w:tc>
        <w:tc>
          <w:tcPr>
            <w:tcW w:w="3315" w:type="dxa"/>
            <w:gridSpan w:val="7"/>
            <w:tcBorders>
              <w:top w:val="nil"/>
              <w:left w:val="nil"/>
              <w:bottom w:val="nil"/>
            </w:tcBorders>
            <w:shd w:val="clear" w:color="auto" w:fill="auto"/>
          </w:tcPr>
          <w:p w:rsidR="0017135D" w:rsidRPr="008C6A79" w:rsidP="00EF3A31">
            <w:pPr>
              <w:pStyle w:val="CSBody8pt"/>
            </w:pPr>
            <w:r w:rsidRPr="00792D61">
              <w:rPr>
                <w:b/>
              </w:rPr>
              <w:t>[</w:t>
            </w:r>
            <w:r w:rsidRPr="008C6A79">
              <w:rPr>
                <w:b/>
                <w:i/>
              </w:rPr>
              <w:t>in the case of Stairway Notes, insert:</w:t>
            </w:r>
            <w:r w:rsidRPr="008C6A79">
              <w:t xml:space="preserve"> with respect to any Variable Interest Payment Date, the Interest Rate applicable to the immediately preceding Interest Payment Date </w:t>
            </w:r>
            <w:r w:rsidRPr="00792D61">
              <w:rPr>
                <w:b/>
              </w:rPr>
              <w:t>[</w:t>
            </w:r>
            <w:r w:rsidRPr="008C6A79">
              <w:t xml:space="preserve">plus </w:t>
            </w:r>
            <w:r w:rsidRPr="00792D61">
              <w:rPr>
                <w:b/>
              </w:rPr>
              <w:t>[</w:t>
            </w:r>
            <w:r w:rsidRPr="008C6A79">
              <w:rPr>
                <w:rFonts w:ascii="Arial" w:hAnsi="Arial" w:cs="Arial"/>
              </w:rPr>
              <w:t>●</w:t>
            </w:r>
            <w:r w:rsidRPr="00792D61">
              <w:rPr>
                <w:b/>
              </w:rPr>
              <w:t>]</w:t>
            </w:r>
            <w:r w:rsidRPr="008C6A79">
              <w:t>% per annum</w:t>
            </w:r>
            <w:r w:rsidRPr="00792D61">
              <w:rPr>
                <w:b/>
              </w:rPr>
              <w:t>]</w:t>
            </w:r>
            <w:r w:rsidRPr="008C6A79">
              <w:t>.</w:t>
            </w:r>
            <w:r w:rsidRPr="00792D61">
              <w:rPr>
                <w:b/>
              </w:rPr>
              <w:t>]</w:t>
            </w:r>
          </w:p>
        </w:tc>
        <w:tc>
          <w:tcPr>
            <w:tcW w:w="1618" w:type="dxa"/>
            <w:gridSpan w:val="2"/>
            <w:tcBorders>
              <w:top w:val="nil"/>
              <w:bottom w:val="nil"/>
              <w:right w:val="nil"/>
            </w:tcBorders>
            <w:shd w:val="clear" w:color="auto" w:fill="auto"/>
          </w:tcPr>
          <w:p w:rsidR="0017135D" w:rsidRPr="008C6A79">
            <w:pPr>
              <w:pStyle w:val="CSBody8pt"/>
            </w:pPr>
            <w:r w:rsidRPr="00792D61">
              <w:rPr>
                <w:b/>
              </w:rPr>
              <w:t>[</w:t>
            </w:r>
            <w:r w:rsidRPr="008C6A79">
              <w:t>Höchstzinssatz</w:t>
            </w:r>
            <w:r>
              <w:fldChar w:fldCharType="begin"/>
            </w:r>
            <w:r w:rsidR="0041243C">
              <w:instrText xml:space="preserve"> XE "</w:instrText>
            </w:r>
            <w:r w:rsidRPr="00B3508A" w:rsidR="0041243C">
              <w:instrText>Höchstzinssatz</w:instrText>
            </w:r>
            <w:r w:rsidR="0041243C">
              <w:instrText xml:space="preserve">" </w:instrText>
            </w:r>
            <w:r>
              <w:fldChar w:fldCharType="end"/>
            </w:r>
          </w:p>
        </w:tc>
        <w:tc>
          <w:tcPr>
            <w:tcW w:w="3318" w:type="dxa"/>
            <w:gridSpan w:val="10"/>
            <w:tcBorders>
              <w:top w:val="nil"/>
              <w:left w:val="nil"/>
              <w:bottom w:val="nil"/>
              <w:right w:val="nil"/>
            </w:tcBorders>
            <w:shd w:val="clear" w:color="auto" w:fill="auto"/>
          </w:tcPr>
          <w:p w:rsidR="0017135D" w:rsidRPr="00B4168E" w:rsidP="00516CB4">
            <w:pPr>
              <w:pStyle w:val="CSBody8pt"/>
              <w:rPr>
                <w:lang w:val="de-DE"/>
              </w:rPr>
            </w:pPr>
            <w:r w:rsidRPr="00792D61">
              <w:rPr>
                <w:b/>
                <w:lang w:val="de-DE"/>
              </w:rPr>
              <w:t>[</w:t>
            </w:r>
            <w:r w:rsidRPr="008C6A79">
              <w:rPr>
                <w:b/>
                <w:i/>
                <w:lang w:val="de-DE"/>
              </w:rPr>
              <w:t>bei Stairway Notes einfügen:</w:t>
            </w:r>
            <w:r w:rsidRPr="008C6A79">
              <w:rPr>
                <w:lang w:val="de-DE"/>
              </w:rPr>
              <w:t xml:space="preserve"> in Bezug auf einen Zahlungstag für Variable Zinsen der für den jeweils unmittelbar vorhergehenden Zinszahlungstag geltende Zinssatz </w:t>
            </w:r>
            <w:r w:rsidRPr="00792D61">
              <w:rPr>
                <w:b/>
                <w:lang w:val="de-DE"/>
              </w:rPr>
              <w:t>[</w:t>
            </w:r>
            <w:r w:rsidRPr="008C6A79">
              <w:rPr>
                <w:lang w:val="de-DE"/>
              </w:rPr>
              <w:t xml:space="preserve">plus </w:t>
            </w:r>
            <w:r w:rsidRPr="00792D61">
              <w:rPr>
                <w:b/>
                <w:lang w:val="de-DE"/>
              </w:rPr>
              <w:t>[</w:t>
            </w:r>
            <w:r w:rsidRPr="008C6A79">
              <w:rPr>
                <w:rFonts w:ascii="Arial" w:hAnsi="Arial" w:cs="Arial"/>
                <w:lang w:val="de-DE"/>
              </w:rPr>
              <w:t>●</w:t>
            </w:r>
            <w:r w:rsidRPr="00792D61">
              <w:rPr>
                <w:b/>
                <w:lang w:val="de-DE"/>
              </w:rPr>
              <w:t>]</w:t>
            </w:r>
            <w:r w:rsidRPr="008C6A79">
              <w:rPr>
                <w:lang w:val="de-DE"/>
              </w:rPr>
              <w:t>% per annum</w:t>
            </w:r>
            <w:r w:rsidRPr="00792D61">
              <w:rPr>
                <w:b/>
                <w:lang w:val="de-DE"/>
              </w:rPr>
              <w:t>]</w:t>
            </w:r>
            <w:r w:rsidRPr="008C6A79">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4168E" w:rsidP="00EF3A31">
            <w:pPr>
              <w:pStyle w:val="CSBody8pt"/>
              <w:rPr>
                <w:lang w:val="de-DE"/>
              </w:rPr>
            </w:pPr>
          </w:p>
        </w:tc>
        <w:tc>
          <w:tcPr>
            <w:tcW w:w="3315" w:type="dxa"/>
            <w:gridSpan w:val="7"/>
            <w:tcBorders>
              <w:top w:val="nil"/>
              <w:left w:val="nil"/>
              <w:bottom w:val="nil"/>
            </w:tcBorders>
            <w:shd w:val="clear" w:color="auto" w:fill="auto"/>
          </w:tcPr>
          <w:p w:rsidR="0017135D" w:rsidRPr="00826B11" w:rsidP="00EF3A31">
            <w:pPr>
              <w:pStyle w:val="CSBody8ptbolditalics"/>
            </w:pPr>
            <w:r w:rsidRPr="00792D61">
              <w:t>[</w:t>
            </w:r>
            <w:r w:rsidRPr="00826B11">
              <w:t>in the case of Complex Products with a Maximum Interest Rate other than Stairway Notes, insert:</w:t>
            </w:r>
          </w:p>
        </w:tc>
        <w:tc>
          <w:tcPr>
            <w:tcW w:w="1618" w:type="dxa"/>
            <w:gridSpan w:val="2"/>
            <w:tcBorders>
              <w:top w:val="nil"/>
              <w:bottom w:val="nil"/>
              <w:right w:val="nil"/>
            </w:tcBorders>
            <w:shd w:val="clear" w:color="auto" w:fill="auto"/>
          </w:tcPr>
          <w:p w:rsidR="0017135D" w:rsidRPr="006B47D3" w:rsidP="00EF3A31">
            <w:pPr>
              <w:pStyle w:val="CSBody8pt"/>
              <w:rPr>
                <w:i/>
              </w:rPr>
            </w:pPr>
          </w:p>
        </w:tc>
        <w:tc>
          <w:tcPr>
            <w:tcW w:w="3318" w:type="dxa"/>
            <w:gridSpan w:val="10"/>
            <w:tcBorders>
              <w:top w:val="nil"/>
              <w:left w:val="nil"/>
              <w:bottom w:val="nil"/>
              <w:right w:val="nil"/>
            </w:tcBorders>
            <w:shd w:val="clear" w:color="auto" w:fill="auto"/>
          </w:tcPr>
          <w:p w:rsidR="0017135D" w:rsidRPr="00B4168E" w:rsidP="00EF3A31">
            <w:pPr>
              <w:pStyle w:val="CSBody8ptbolditalics"/>
              <w:rPr>
                <w:lang w:val="de-DE"/>
              </w:rPr>
            </w:pPr>
            <w:r w:rsidRPr="00792D61">
              <w:rPr>
                <w:lang w:val="de-DE"/>
              </w:rPr>
              <w:t>[</w:t>
            </w:r>
            <w:r w:rsidRPr="00B4168E">
              <w:rPr>
                <w:lang w:val="de-DE"/>
              </w:rPr>
              <w:t>bei anderen Komplexen Produkten mit Höchstzinssatz als Stairway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4168E" w:rsidP="00EF3A31">
            <w:pPr>
              <w:pStyle w:val="CSBody8pt"/>
              <w:rPr>
                <w:lang w:val="de-DE"/>
              </w:rPr>
            </w:pPr>
          </w:p>
        </w:tc>
        <w:tc>
          <w:tcPr>
            <w:tcW w:w="3315" w:type="dxa"/>
            <w:gridSpan w:val="7"/>
            <w:tcBorders>
              <w:top w:val="nil"/>
              <w:left w:val="nil"/>
              <w:bottom w:val="nil"/>
            </w:tcBorders>
            <w:shd w:val="clear" w:color="auto" w:fill="auto"/>
          </w:tcPr>
          <w:p w:rsidR="0017135D" w:rsidRPr="00826B11" w:rsidP="00EF3A31">
            <w:pPr>
              <w:pStyle w:val="CSBody8ptbolditalics"/>
            </w:pPr>
            <w:r w:rsidRPr="00792D61">
              <w:t>[</w:t>
            </w:r>
            <w:r w:rsidRPr="00826B11">
              <w:t xml:space="preserve">in the case of Complex Products for which Maximum Interest Rate is always the same, insert: </w:t>
            </w:r>
            <w:r w:rsidRPr="00792D61">
              <w:rPr>
                <w:i w:val="0"/>
              </w:rPr>
              <w:t>[</w:t>
            </w:r>
            <w:r w:rsidRPr="008C6A79">
              <w:rPr>
                <w:rFonts w:ascii="Arial" w:hAnsi="Arial" w:cs="Arial"/>
                <w:b w:val="0"/>
                <w:i w:val="0"/>
              </w:rPr>
              <w:t>●</w:t>
            </w:r>
            <w:r w:rsidRPr="00792D61">
              <w:rPr>
                <w:i w:val="0"/>
              </w:rPr>
              <w:t>]</w:t>
            </w:r>
            <w:r w:rsidRPr="008C6A79">
              <w:rPr>
                <w:b w:val="0"/>
                <w:i w:val="0"/>
              </w:rPr>
              <w:t>% per annum.</w:t>
            </w:r>
            <w:r w:rsidRPr="00792D61">
              <w:rPr>
                <w:i w:val="0"/>
              </w:rPr>
              <w:t>]</w:t>
            </w:r>
          </w:p>
        </w:tc>
        <w:tc>
          <w:tcPr>
            <w:tcW w:w="1618" w:type="dxa"/>
            <w:gridSpan w:val="2"/>
            <w:tcBorders>
              <w:top w:val="nil"/>
              <w:bottom w:val="nil"/>
              <w:right w:val="nil"/>
            </w:tcBorders>
            <w:shd w:val="clear" w:color="auto" w:fill="auto"/>
          </w:tcPr>
          <w:p w:rsidR="0017135D" w:rsidRPr="006B47D3" w:rsidP="00EF3A31">
            <w:pPr>
              <w:pStyle w:val="CSBody8pt"/>
              <w:rPr>
                <w:i/>
              </w:rPr>
            </w:pPr>
          </w:p>
        </w:tc>
        <w:tc>
          <w:tcPr>
            <w:tcW w:w="3318" w:type="dxa"/>
            <w:gridSpan w:val="10"/>
            <w:tcBorders>
              <w:top w:val="nil"/>
              <w:left w:val="nil"/>
              <w:bottom w:val="nil"/>
              <w:right w:val="nil"/>
            </w:tcBorders>
            <w:shd w:val="clear" w:color="auto" w:fill="auto"/>
          </w:tcPr>
          <w:p w:rsidR="0017135D" w:rsidRPr="00B4168E" w:rsidP="00EF3A31">
            <w:pPr>
              <w:pStyle w:val="CSBody8ptbolditalics"/>
              <w:rPr>
                <w:lang w:val="de-DE"/>
              </w:rPr>
            </w:pPr>
            <w:r w:rsidRPr="00792D61">
              <w:rPr>
                <w:lang w:val="de-DE"/>
              </w:rPr>
              <w:t>[</w:t>
            </w:r>
            <w:r w:rsidRPr="00B4168E">
              <w:rPr>
                <w:lang w:val="de-DE"/>
              </w:rPr>
              <w:t>bei Komplexen Produkten, bei denen der Höchstzinssatz stets gleich ist, einfügen:</w:t>
            </w:r>
            <w:r w:rsidRPr="008C6A79">
              <w:rPr>
                <w:b w:val="0"/>
                <w:i w:val="0"/>
                <w:lang w:val="de-DE"/>
              </w:rPr>
              <w:t xml:space="preserve"> </w:t>
            </w:r>
            <w:r w:rsidRPr="00792D61">
              <w:rPr>
                <w:i w:val="0"/>
                <w:lang w:val="de-DE"/>
              </w:rPr>
              <w:t>[</w:t>
            </w:r>
            <w:r w:rsidRPr="008C6A79">
              <w:rPr>
                <w:rFonts w:ascii="Arial" w:hAnsi="Arial" w:cs="Arial"/>
                <w:b w:val="0"/>
                <w:i w:val="0"/>
                <w:lang w:val="de-DE"/>
              </w:rPr>
              <w:t>●</w:t>
            </w:r>
            <w:r w:rsidRPr="00792D61">
              <w:rPr>
                <w:i w:val="0"/>
                <w:lang w:val="de-DE"/>
              </w:rPr>
              <w:t>]</w:t>
            </w:r>
            <w:r w:rsidRPr="008C6A79">
              <w:rPr>
                <w:b w:val="0"/>
                <w:i w:val="0"/>
                <w:lang w:val="de-DE"/>
              </w:rPr>
              <w:t>% per annum.</w:t>
            </w:r>
            <w:r w:rsidRPr="00792D61">
              <w:rPr>
                <w:i w:val="0"/>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4168E" w:rsidP="00EF3A31">
            <w:pPr>
              <w:pStyle w:val="CSBody8pt"/>
              <w:rPr>
                <w:lang w:val="de-DE"/>
              </w:rPr>
            </w:pPr>
          </w:p>
        </w:tc>
        <w:tc>
          <w:tcPr>
            <w:tcW w:w="3315" w:type="dxa"/>
            <w:gridSpan w:val="7"/>
            <w:tcBorders>
              <w:top w:val="nil"/>
              <w:left w:val="nil"/>
              <w:bottom w:val="nil"/>
            </w:tcBorders>
            <w:shd w:val="clear" w:color="auto" w:fill="auto"/>
          </w:tcPr>
          <w:p w:rsidR="0017135D" w:rsidP="00EF3A31">
            <w:pPr>
              <w:pStyle w:val="CSBody8pt"/>
            </w:pPr>
            <w:r w:rsidRPr="00792D61">
              <w:rPr>
                <w:b/>
              </w:rPr>
              <w:t>[</w:t>
            </w:r>
            <w:r w:rsidRPr="00EF3A31">
              <w:rPr>
                <w:b/>
                <w:i/>
              </w:rPr>
              <w:t>in the case of Complex Products with different Maximum Interest Rates, insert:</w:t>
            </w:r>
            <w:r w:rsidRPr="00826B11">
              <w:t xml:space="preserve"> with respect to any Interest Payment Date, the applicable Maximum Interest Rate specified in the table below:</w:t>
            </w:r>
          </w:p>
        </w:tc>
        <w:tc>
          <w:tcPr>
            <w:tcW w:w="1618" w:type="dxa"/>
            <w:gridSpan w:val="2"/>
            <w:tcBorders>
              <w:top w:val="nil"/>
              <w:bottom w:val="nil"/>
              <w:right w:val="nil"/>
            </w:tcBorders>
            <w:shd w:val="clear" w:color="auto" w:fill="auto"/>
          </w:tcPr>
          <w:p w:rsidR="0017135D" w:rsidRPr="006B47D3" w:rsidP="00EF3A31">
            <w:pPr>
              <w:pStyle w:val="CSBody8pt"/>
              <w:rPr>
                <w:i/>
              </w:rPr>
            </w:pPr>
          </w:p>
        </w:tc>
        <w:tc>
          <w:tcPr>
            <w:tcW w:w="3318" w:type="dxa"/>
            <w:gridSpan w:val="10"/>
            <w:tcBorders>
              <w:top w:val="nil"/>
              <w:left w:val="nil"/>
              <w:bottom w:val="nil"/>
              <w:right w:val="nil"/>
            </w:tcBorders>
            <w:shd w:val="clear" w:color="auto" w:fill="auto"/>
          </w:tcPr>
          <w:p w:rsidR="0017135D" w:rsidRPr="00B4168E" w:rsidP="00EF3A31">
            <w:pPr>
              <w:pStyle w:val="CSBody8pt"/>
              <w:rPr>
                <w:lang w:val="de-DE"/>
              </w:rPr>
            </w:pPr>
            <w:r w:rsidRPr="00792D61">
              <w:rPr>
                <w:b/>
                <w:lang w:val="de-DE"/>
              </w:rPr>
              <w:t>[</w:t>
            </w:r>
            <w:r w:rsidRPr="00EF3A31">
              <w:rPr>
                <w:b/>
                <w:i/>
                <w:lang w:val="de-DE"/>
              </w:rPr>
              <w:t>bei Komplexen Produkten mit unterschiedlichen Höchstzinssätzen einfügen:</w:t>
            </w:r>
            <w:r w:rsidRPr="00B4168E">
              <w:rPr>
                <w:lang w:val="de-DE"/>
              </w:rPr>
              <w:t xml:space="preserve"> in Bezug auf einen Zinszahlungstag der jeweilige Höchstzinssatz wie in untenstehender Tabelle angegeben: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4168E" w:rsidP="00A457E7">
            <w:pPr>
              <w:pStyle w:val="CSBody0"/>
              <w:rPr>
                <w:b/>
                <w:lang w:val="de-DE"/>
              </w:rPr>
            </w:pPr>
          </w:p>
        </w:tc>
        <w:tc>
          <w:tcPr>
            <w:tcW w:w="3315" w:type="dxa"/>
            <w:gridSpan w:val="7"/>
            <w:tcBorders>
              <w:top w:val="nil"/>
              <w:left w:val="nil"/>
              <w:bottom w:val="nil"/>
              <w:right w:val="nil"/>
            </w:tcBorders>
            <w:shd w:val="clear" w:color="auto" w:fill="auto"/>
          </w:tcPr>
          <w:p w:rsidR="0017135D" w:rsidRPr="00B4168E" w:rsidP="00A457E7">
            <w:pPr>
              <w:pStyle w:val="CSBody0"/>
              <w:rPr>
                <w:b/>
                <w:lang w:val="de-DE"/>
              </w:rPr>
            </w:pPr>
          </w:p>
        </w:tc>
        <w:tc>
          <w:tcPr>
            <w:tcW w:w="1618" w:type="dxa"/>
            <w:gridSpan w:val="2"/>
            <w:tcBorders>
              <w:top w:val="nil"/>
              <w:left w:val="nil"/>
              <w:bottom w:val="nil"/>
              <w:right w:val="nil"/>
            </w:tcBorders>
            <w:shd w:val="clear" w:color="auto" w:fill="auto"/>
          </w:tcPr>
          <w:p w:rsidR="0017135D" w:rsidRPr="00B4168E"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B4168E" w:rsidP="00E60155">
            <w:pPr>
              <w:pStyle w:val="CSBody0"/>
              <w:rPr>
                <w:b/>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5B7279">
              <w:t>Interest Payment Date</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5B7279">
              <w:t>Maximum Interest Rate</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605C00">
              <w:t>Zinszahlungstag</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605C00">
              <w:t>Höchstzinssatz</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r w:rsidRPr="005B7279">
              <w:t>% per annum</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r w:rsidRPr="00605C00">
              <w:t>% per annum</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5B7279">
              <w:rPr>
                <w:rFonts w:ascii="Arial" w:hAnsi="Arial" w:cs="Arial"/>
              </w:rPr>
              <w:t>●</w:t>
            </w:r>
            <w:r w:rsidRPr="00792D61">
              <w:rPr>
                <w:b/>
              </w:rPr>
              <w:t>]</w:t>
            </w:r>
            <w:r w:rsidRPr="005B7279">
              <w:t>% per annum</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605C00">
              <w:rPr>
                <w:rFonts w:ascii="Arial" w:hAnsi="Arial" w:cs="Arial"/>
              </w:rPr>
              <w:t>●</w:t>
            </w:r>
            <w:r w:rsidRPr="00792D61">
              <w:rPr>
                <w:b/>
              </w:rPr>
              <w:t>]</w:t>
            </w:r>
            <w:r w:rsidRPr="00605C00">
              <w:t>% per annum</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4251"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8C6A79" w:rsidP="008C6A79">
            <w:pPr>
              <w:pStyle w:val="CSBody8pt"/>
              <w:jc w:val="center"/>
              <w:rPr>
                <w:i/>
              </w:rPr>
            </w:pPr>
            <w:r w:rsidRPr="008C6A79">
              <w:rPr>
                <w:i/>
              </w:rPr>
              <w:t>(repeat as applicable)</w:t>
            </w:r>
          </w:p>
        </w:tc>
        <w:tc>
          <w:tcPr>
            <w:tcW w:w="4110"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8C6A79" w:rsidP="008C6A79">
            <w:pPr>
              <w:pStyle w:val="CSBody8pt"/>
              <w:jc w:val="center"/>
              <w:rPr>
                <w:i/>
              </w:rPr>
            </w:pPr>
            <w:r w:rsidRPr="008C6A79">
              <w:rPr>
                <w:i/>
              </w:rPr>
              <w:t>(wiederholen, soweit erforderlich)</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DE3974" w:rsidP="008C6A79">
            <w:pPr>
              <w:pStyle w:val="CSBody8pt"/>
              <w:jc w:val="center"/>
            </w:pPr>
            <w:r w:rsidRPr="00792D61">
              <w:rPr>
                <w:b/>
              </w:rPr>
              <w:t>[</w:t>
            </w:r>
            <w:r w:rsidRPr="00DE3974">
              <w:t>Final Redemption Date</w:t>
            </w:r>
            <w:r w:rsidRPr="00792D61">
              <w:rPr>
                <w:b/>
              </w:rPr>
              <w:t>][</w:t>
            </w:r>
            <w:r w:rsidRPr="00DE3974">
              <w:t>Scheduled Maturity Date</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DE3974" w:rsidP="008C6A79">
            <w:pPr>
              <w:pStyle w:val="CSBody8pt"/>
              <w:jc w:val="center"/>
            </w:pPr>
            <w:r w:rsidRPr="00792D61">
              <w:rPr>
                <w:b/>
              </w:rPr>
              <w:t>[</w:t>
            </w:r>
            <w:r w:rsidRPr="00DE3974">
              <w:rPr>
                <w:rFonts w:ascii="Arial" w:hAnsi="Arial" w:cs="Arial"/>
              </w:rPr>
              <w:t>●</w:t>
            </w:r>
            <w:r w:rsidRPr="00792D61">
              <w:rPr>
                <w:b/>
              </w:rPr>
              <w:t>]</w:t>
            </w:r>
            <w:r w:rsidRPr="00DE3974">
              <w:t>% per annum</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98704D" w:rsidP="008C6A79">
            <w:pPr>
              <w:pStyle w:val="CSBody8pt"/>
              <w:jc w:val="center"/>
            </w:pPr>
            <w:r w:rsidRPr="00792D61">
              <w:rPr>
                <w:b/>
              </w:rPr>
              <w:t>[</w:t>
            </w:r>
            <w:r w:rsidRPr="0098704D">
              <w:t>Finaler Rückzahlungstag</w:t>
            </w:r>
            <w:r w:rsidRPr="00792D61">
              <w:rPr>
                <w:b/>
              </w:rPr>
              <w:t>]</w:t>
            </w:r>
            <w:r w:rsidRPr="0098704D">
              <w:t xml:space="preserve"> </w:t>
            </w:r>
            <w:r w:rsidRPr="00792D61">
              <w:rPr>
                <w:b/>
              </w:rPr>
              <w:t>[</w:t>
            </w:r>
            <w:r w:rsidRPr="0098704D">
              <w:t>Planmässiger Fälligkeitstag</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98704D">
              <w:rPr>
                <w:rFonts w:ascii="Arial" w:hAnsi="Arial" w:cs="Arial"/>
              </w:rPr>
              <w:t>●</w:t>
            </w:r>
            <w:r w:rsidRPr="00792D61">
              <w:rPr>
                <w:b/>
              </w:rPr>
              <w:t>]</w:t>
            </w:r>
            <w:r w:rsidRPr="0098704D">
              <w:t>% per annum</w:t>
            </w:r>
            <w:r w:rsidRPr="00792D61">
              <w:rPr>
                <w:b/>
              </w:rPr>
              <w:t>]]]</w:t>
            </w:r>
          </w:p>
        </w:tc>
        <w:tc>
          <w:tcPr>
            <w:tcW w:w="826" w:type="dxa"/>
            <w:gridSpan w:val="3"/>
            <w:tcBorders>
              <w:top w:val="nil"/>
              <w:left w:val="single" w:sz="4" w:space="0" w:color="auto"/>
              <w:bottom w:val="nil"/>
              <w:right w:val="nil"/>
            </w:tcBorders>
            <w:shd w:val="clear" w:color="auto" w:fill="auto"/>
          </w:tcPr>
          <w:p w:rsidR="0017135D" w:rsidRPr="00DE3974" w:rsidP="00EF3A31">
            <w:pPr>
              <w:pStyle w:val="CSBody8pt"/>
              <w:rPr>
                <w:bCs/>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E3974" w:rsidP="00A457E7">
            <w:pPr>
              <w:pStyle w:val="CSBody0"/>
              <w:rPr>
                <w:b/>
              </w:rPr>
            </w:pPr>
          </w:p>
        </w:tc>
        <w:tc>
          <w:tcPr>
            <w:tcW w:w="3315" w:type="dxa"/>
            <w:gridSpan w:val="7"/>
            <w:tcBorders>
              <w:top w:val="nil"/>
              <w:left w:val="nil"/>
              <w:bottom w:val="nil"/>
              <w:right w:val="nil"/>
            </w:tcBorders>
            <w:shd w:val="clear" w:color="auto" w:fill="auto"/>
          </w:tcPr>
          <w:p w:rsidR="0017135D" w:rsidRPr="00DE3974" w:rsidP="00A457E7">
            <w:pPr>
              <w:pStyle w:val="CSBody0"/>
              <w:rPr>
                <w:b/>
              </w:rPr>
            </w:pPr>
          </w:p>
        </w:tc>
        <w:tc>
          <w:tcPr>
            <w:tcW w:w="1618" w:type="dxa"/>
            <w:gridSpan w:val="2"/>
            <w:tcBorders>
              <w:top w:val="nil"/>
              <w:left w:val="nil"/>
              <w:bottom w:val="nil"/>
              <w:right w:val="nil"/>
            </w:tcBorders>
            <w:shd w:val="clear" w:color="auto" w:fill="auto"/>
          </w:tcPr>
          <w:p w:rsidR="0017135D" w:rsidRPr="00DE3974" w:rsidP="00E60155">
            <w:pPr>
              <w:pStyle w:val="CSBody0"/>
              <w:rPr>
                <w:b/>
                <w:i/>
              </w:rPr>
            </w:pPr>
          </w:p>
        </w:tc>
        <w:tc>
          <w:tcPr>
            <w:tcW w:w="3318" w:type="dxa"/>
            <w:gridSpan w:val="10"/>
            <w:tcBorders>
              <w:top w:val="nil"/>
              <w:left w:val="nil"/>
              <w:bottom w:val="nil"/>
              <w:right w:val="nil"/>
            </w:tcBorders>
            <w:shd w:val="clear" w:color="auto" w:fill="auto"/>
          </w:tcPr>
          <w:p w:rsidR="0017135D" w:rsidRPr="00DE3974" w:rsidP="00E60155">
            <w:pPr>
              <w:pStyle w:val="CSBody0"/>
              <w:rPr>
                <w:b/>
                <w:bCs/>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C6A79">
            <w:pPr>
              <w:pStyle w:val="CSBody8pt"/>
            </w:pPr>
            <w:r w:rsidRPr="00792D61">
              <w:rPr>
                <w:b/>
              </w:rPr>
              <w:t>[</w:t>
            </w:r>
            <w:r w:rsidRPr="008C6A79">
              <w:t>Minimum Interest Rate</w:t>
            </w:r>
            <w:r>
              <w:fldChar w:fldCharType="begin"/>
            </w:r>
            <w:r w:rsidR="0041243C">
              <w:instrText xml:space="preserve"> XE "</w:instrText>
            </w:r>
            <w:r w:rsidRPr="008B225C" w:rsidR="0041243C">
              <w:instrText>Minimum Interest Rate</w:instrText>
            </w:r>
            <w:r w:rsidR="0041243C">
              <w:instrText>" \f "EN"</w:instrText>
            </w:r>
            <w:r>
              <w:fldChar w:fldCharType="end"/>
            </w:r>
          </w:p>
        </w:tc>
        <w:tc>
          <w:tcPr>
            <w:tcW w:w="3315" w:type="dxa"/>
            <w:gridSpan w:val="7"/>
            <w:tcBorders>
              <w:top w:val="nil"/>
              <w:left w:val="nil"/>
              <w:bottom w:val="nil"/>
            </w:tcBorders>
            <w:shd w:val="clear" w:color="auto" w:fill="auto"/>
          </w:tcPr>
          <w:p w:rsidR="0017135D" w:rsidRPr="008C6A79" w:rsidP="00EF3A31">
            <w:pPr>
              <w:pStyle w:val="CSBody8pt"/>
            </w:pPr>
            <w:r w:rsidRPr="00792D61">
              <w:rPr>
                <w:b/>
              </w:rPr>
              <w:t>[</w:t>
            </w:r>
            <w:r w:rsidRPr="008C6A79">
              <w:rPr>
                <w:b/>
                <w:i/>
              </w:rPr>
              <w:t>in the case of Stairway Notes, insert:</w:t>
            </w:r>
            <w:r w:rsidRPr="008C6A79">
              <w:t xml:space="preserve"> with respect to any Variable Interest Payment Date, the Interest Rate applicable to the immediately preceding Interest Payment Date</w:t>
            </w:r>
            <w:r w:rsidRPr="00792D61">
              <w:rPr>
                <w:b/>
              </w:rPr>
              <w:t>[</w:t>
            </w:r>
            <w:r w:rsidRPr="008C6A79">
              <w:t xml:space="preserve">plus </w:t>
            </w:r>
            <w:r w:rsidRPr="00792D61">
              <w:rPr>
                <w:b/>
              </w:rPr>
              <w:t>[</w:t>
            </w:r>
            <w:r w:rsidRPr="008C6A79">
              <w:rPr>
                <w:rFonts w:ascii="Arial" w:hAnsi="Arial" w:cs="Arial"/>
              </w:rPr>
              <w:t>●</w:t>
            </w:r>
            <w:r w:rsidRPr="00792D61">
              <w:rPr>
                <w:b/>
              </w:rPr>
              <w:t>]</w:t>
            </w:r>
            <w:r w:rsidRPr="008C6A79">
              <w:t>% per annum</w:t>
            </w:r>
            <w:r w:rsidRPr="00792D61">
              <w:rPr>
                <w:b/>
              </w:rPr>
              <w:t>]</w:t>
            </w:r>
            <w:r w:rsidRPr="008C6A79">
              <w:t>.</w:t>
            </w:r>
            <w:r w:rsidRPr="00792D61">
              <w:rPr>
                <w:b/>
              </w:rPr>
              <w:t>]</w:t>
            </w:r>
          </w:p>
        </w:tc>
        <w:tc>
          <w:tcPr>
            <w:tcW w:w="1618" w:type="dxa"/>
            <w:gridSpan w:val="2"/>
            <w:tcBorders>
              <w:top w:val="nil"/>
              <w:bottom w:val="nil"/>
              <w:right w:val="nil"/>
            </w:tcBorders>
            <w:shd w:val="clear" w:color="auto" w:fill="auto"/>
          </w:tcPr>
          <w:p w:rsidR="0017135D" w:rsidRPr="00BD6E0D">
            <w:pPr>
              <w:pStyle w:val="CSBody8pt"/>
            </w:pPr>
            <w:r w:rsidRPr="00BD6E0D">
              <w:rPr>
                <w:b/>
              </w:rPr>
              <w:t>[</w:t>
            </w:r>
            <w:r w:rsidRPr="00BD6E0D">
              <w:t>Mindestzinssatz</w:t>
            </w:r>
            <w:r>
              <w:fldChar w:fldCharType="begin"/>
            </w:r>
            <w:r w:rsidR="0041243C">
              <w:instrText xml:space="preserve"> XE "</w:instrText>
            </w:r>
            <w:r w:rsidRPr="00BD6E0D" w:rsidR="0041243C">
              <w:instrText>Mindestzinssatz</w:instrText>
            </w:r>
            <w:r w:rsidR="0041243C">
              <w:instrText xml:space="preserve">" </w:instrText>
            </w:r>
            <w:r>
              <w:fldChar w:fldCharType="end"/>
            </w:r>
          </w:p>
        </w:tc>
        <w:tc>
          <w:tcPr>
            <w:tcW w:w="3318" w:type="dxa"/>
            <w:gridSpan w:val="10"/>
            <w:tcBorders>
              <w:top w:val="nil"/>
              <w:left w:val="nil"/>
              <w:bottom w:val="nil"/>
              <w:right w:val="nil"/>
            </w:tcBorders>
            <w:shd w:val="clear" w:color="auto" w:fill="auto"/>
          </w:tcPr>
          <w:p w:rsidR="0017135D" w:rsidRPr="00035B0F" w:rsidP="00516CB4">
            <w:pPr>
              <w:pStyle w:val="CSBody8pt"/>
              <w:rPr>
                <w:lang w:val="de-DE"/>
              </w:rPr>
            </w:pPr>
            <w:r w:rsidRPr="00792D61">
              <w:rPr>
                <w:b/>
                <w:lang w:val="de-DE"/>
              </w:rPr>
              <w:t>[</w:t>
            </w:r>
            <w:r w:rsidRPr="008C6A79">
              <w:rPr>
                <w:b/>
                <w:i/>
                <w:lang w:val="de-DE"/>
              </w:rPr>
              <w:t>bei Stairway Notes einfügen:</w:t>
            </w:r>
            <w:r w:rsidRPr="008C6A79">
              <w:rPr>
                <w:lang w:val="de-DE"/>
              </w:rPr>
              <w:t xml:space="preserve"> in Bezug auf einen Zahlungstag für Variable Zinsen der für den jeweils unmittelbar vorhergehenden Zinszahlungstag geltende Zinssatz </w:t>
            </w:r>
            <w:r w:rsidRPr="00792D61">
              <w:rPr>
                <w:b/>
                <w:lang w:val="de-DE"/>
              </w:rPr>
              <w:t>[</w:t>
            </w:r>
            <w:r w:rsidRPr="008C6A79">
              <w:rPr>
                <w:lang w:val="de-DE"/>
              </w:rPr>
              <w:t xml:space="preserve">plus </w:t>
            </w:r>
            <w:r w:rsidRPr="00792D61">
              <w:rPr>
                <w:b/>
                <w:lang w:val="de-DE"/>
              </w:rPr>
              <w:t>[</w:t>
            </w:r>
            <w:r w:rsidRPr="008C6A79">
              <w:rPr>
                <w:rFonts w:ascii="Arial" w:hAnsi="Arial" w:cs="Arial"/>
                <w:lang w:val="de-DE"/>
              </w:rPr>
              <w:t>●</w:t>
            </w:r>
            <w:r w:rsidRPr="00792D61">
              <w:rPr>
                <w:b/>
                <w:lang w:val="de-DE"/>
              </w:rPr>
              <w:t>]</w:t>
            </w:r>
            <w:r w:rsidRPr="008C6A79">
              <w:rPr>
                <w:lang w:val="de-DE"/>
              </w:rPr>
              <w:t>% per annum</w:t>
            </w:r>
            <w:r w:rsidRPr="00792D61">
              <w:rPr>
                <w:b/>
                <w:lang w:val="de-DE"/>
              </w:rPr>
              <w:t>]</w:t>
            </w:r>
            <w:r w:rsidRPr="008C6A79">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35B0F" w:rsidP="00EF3A31">
            <w:pPr>
              <w:pStyle w:val="CSBody8pt"/>
              <w:rPr>
                <w:lang w:val="de-DE"/>
              </w:rPr>
            </w:pPr>
          </w:p>
        </w:tc>
        <w:tc>
          <w:tcPr>
            <w:tcW w:w="3315" w:type="dxa"/>
            <w:gridSpan w:val="7"/>
            <w:tcBorders>
              <w:top w:val="nil"/>
              <w:left w:val="nil"/>
              <w:bottom w:val="nil"/>
            </w:tcBorders>
            <w:shd w:val="clear" w:color="auto" w:fill="auto"/>
          </w:tcPr>
          <w:p w:rsidR="0017135D" w:rsidRPr="00E43860" w:rsidP="00EF3A31">
            <w:pPr>
              <w:pStyle w:val="CSBody8pt"/>
              <w:rPr>
                <w:b/>
                <w:i/>
              </w:rPr>
            </w:pPr>
            <w:r w:rsidRPr="00792D61">
              <w:rPr>
                <w:b/>
                <w:i/>
              </w:rPr>
              <w:t>[</w:t>
            </w:r>
            <w:r w:rsidRPr="00E43860">
              <w:rPr>
                <w:b/>
                <w:i/>
              </w:rPr>
              <w:t>in the case of Complex Products with a Minimum Interest Rate other than Stairway Notes, insert:</w:t>
            </w:r>
          </w:p>
        </w:tc>
        <w:tc>
          <w:tcPr>
            <w:tcW w:w="1618" w:type="dxa"/>
            <w:gridSpan w:val="2"/>
            <w:tcBorders>
              <w:top w:val="nil"/>
              <w:bottom w:val="nil"/>
              <w:right w:val="nil"/>
            </w:tcBorders>
            <w:shd w:val="clear" w:color="auto" w:fill="auto"/>
          </w:tcPr>
          <w:p w:rsidR="0017135D" w:rsidRPr="00E43860" w:rsidP="00EF3A31">
            <w:pPr>
              <w:pStyle w:val="CSBody8pt"/>
              <w:rPr>
                <w:b/>
                <w:i/>
              </w:rPr>
            </w:pPr>
          </w:p>
        </w:tc>
        <w:tc>
          <w:tcPr>
            <w:tcW w:w="3318" w:type="dxa"/>
            <w:gridSpan w:val="10"/>
            <w:tcBorders>
              <w:top w:val="nil"/>
              <w:left w:val="nil"/>
              <w:bottom w:val="nil"/>
              <w:right w:val="nil"/>
            </w:tcBorders>
            <w:shd w:val="clear" w:color="auto" w:fill="auto"/>
          </w:tcPr>
          <w:p w:rsidR="0017135D" w:rsidRPr="00E43860" w:rsidP="00EF3A31">
            <w:pPr>
              <w:pStyle w:val="CSBody8pt"/>
              <w:rPr>
                <w:b/>
                <w:i/>
                <w:lang w:val="de-DE"/>
              </w:rPr>
            </w:pPr>
            <w:r w:rsidRPr="00792D61">
              <w:rPr>
                <w:b/>
                <w:i/>
                <w:lang w:val="de-DE"/>
              </w:rPr>
              <w:t>[</w:t>
            </w:r>
            <w:r w:rsidRPr="00E43860">
              <w:rPr>
                <w:b/>
                <w:i/>
                <w:lang w:val="de-DE"/>
              </w:rPr>
              <w:t>bei anderen Komplexen Produkten mit Mindestzinssatz als Stairway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35B0F" w:rsidP="00EF3A31">
            <w:pPr>
              <w:pStyle w:val="CSBody8pt"/>
              <w:rPr>
                <w:lang w:val="de-DE"/>
              </w:rPr>
            </w:pPr>
          </w:p>
        </w:tc>
        <w:tc>
          <w:tcPr>
            <w:tcW w:w="3315" w:type="dxa"/>
            <w:gridSpan w:val="7"/>
            <w:tcBorders>
              <w:top w:val="nil"/>
              <w:left w:val="nil"/>
              <w:bottom w:val="nil"/>
            </w:tcBorders>
            <w:shd w:val="clear" w:color="auto" w:fill="auto"/>
          </w:tcPr>
          <w:p w:rsidR="0017135D" w:rsidRPr="007360D4" w:rsidP="00EF3A31">
            <w:pPr>
              <w:pStyle w:val="CSBody8pt"/>
            </w:pPr>
            <w:r w:rsidRPr="00792D61">
              <w:rPr>
                <w:b/>
              </w:rPr>
              <w:t>[</w:t>
            </w:r>
            <w:r w:rsidRPr="00EF3A31">
              <w:rPr>
                <w:b/>
                <w:i/>
              </w:rPr>
              <w:t>in the case of Complex Products for which Minimum Interest Rate is always the same, insert:</w:t>
            </w:r>
            <w:r w:rsidRPr="007360D4">
              <w:t xml:space="preserve"> </w:t>
            </w:r>
            <w:r w:rsidRPr="00792D61">
              <w:rPr>
                <w:b/>
              </w:rPr>
              <w:t>[</w:t>
            </w:r>
            <w:r w:rsidRPr="007360D4">
              <w:rPr>
                <w:rFonts w:ascii="Arial" w:hAnsi="Arial" w:cs="Arial"/>
              </w:rPr>
              <w:t>●</w:t>
            </w:r>
            <w:r w:rsidRPr="00792D61">
              <w:rPr>
                <w:b/>
              </w:rPr>
              <w:t>]</w:t>
            </w:r>
            <w:r w:rsidRPr="007360D4">
              <w:t>% per annum.</w:t>
            </w:r>
            <w:r w:rsidRPr="00792D61">
              <w:rPr>
                <w:b/>
              </w:rPr>
              <w:t>]</w:t>
            </w:r>
          </w:p>
        </w:tc>
        <w:tc>
          <w:tcPr>
            <w:tcW w:w="1618" w:type="dxa"/>
            <w:gridSpan w:val="2"/>
            <w:tcBorders>
              <w:top w:val="nil"/>
              <w:bottom w:val="nil"/>
              <w:right w:val="nil"/>
            </w:tcBorders>
            <w:shd w:val="clear" w:color="auto" w:fill="auto"/>
          </w:tcPr>
          <w:p w:rsidR="0017135D" w:rsidRPr="00DE3974" w:rsidP="00EF3A31">
            <w:pPr>
              <w:pStyle w:val="CSBody8pt"/>
              <w:rPr>
                <w:i/>
              </w:rPr>
            </w:pPr>
          </w:p>
        </w:tc>
        <w:tc>
          <w:tcPr>
            <w:tcW w:w="3318" w:type="dxa"/>
            <w:gridSpan w:val="10"/>
            <w:tcBorders>
              <w:top w:val="nil"/>
              <w:left w:val="nil"/>
              <w:bottom w:val="nil"/>
              <w:right w:val="nil"/>
            </w:tcBorders>
            <w:shd w:val="clear" w:color="auto" w:fill="auto"/>
          </w:tcPr>
          <w:p w:rsidR="0017135D" w:rsidRPr="00035B0F" w:rsidP="00EF3A31">
            <w:pPr>
              <w:pStyle w:val="CSBody8pt"/>
              <w:rPr>
                <w:lang w:val="de-DE"/>
              </w:rPr>
            </w:pPr>
            <w:r w:rsidRPr="00792D61">
              <w:rPr>
                <w:b/>
                <w:lang w:val="de-DE"/>
              </w:rPr>
              <w:t>[</w:t>
            </w:r>
            <w:r w:rsidRPr="00EF3A31">
              <w:rPr>
                <w:b/>
                <w:i/>
                <w:lang w:val="de-DE"/>
              </w:rPr>
              <w:t>bei Komplexen Produkten, bei denen der Mindestzinssatz stets gleich ist, einfügen:</w:t>
            </w:r>
            <w:r w:rsidRPr="00035B0F">
              <w:rPr>
                <w:lang w:val="de-DE"/>
              </w:rPr>
              <w:t xml:space="preserve"> </w:t>
            </w:r>
            <w:r w:rsidRPr="00792D61">
              <w:rPr>
                <w:b/>
                <w:lang w:val="de-DE"/>
              </w:rPr>
              <w:t>[</w:t>
            </w:r>
            <w:r w:rsidRPr="00035B0F">
              <w:rPr>
                <w:rFonts w:ascii="Arial" w:hAnsi="Arial" w:cs="Arial"/>
                <w:lang w:val="de-DE"/>
              </w:rPr>
              <w:t>●</w:t>
            </w:r>
            <w:r w:rsidRPr="00792D61">
              <w:rPr>
                <w:b/>
                <w:lang w:val="de-DE"/>
              </w:rPr>
              <w:t>]</w:t>
            </w:r>
            <w:r w:rsidRPr="00035B0F">
              <w:rPr>
                <w:lang w:val="de-DE"/>
              </w:rPr>
              <w:t>% per annum.</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35B0F" w:rsidP="00EF3A31">
            <w:pPr>
              <w:pStyle w:val="CSBody8pt"/>
              <w:rPr>
                <w:lang w:val="de-DE"/>
              </w:rPr>
            </w:pPr>
          </w:p>
        </w:tc>
        <w:tc>
          <w:tcPr>
            <w:tcW w:w="3315" w:type="dxa"/>
            <w:gridSpan w:val="7"/>
            <w:tcBorders>
              <w:top w:val="nil"/>
              <w:left w:val="nil"/>
              <w:bottom w:val="nil"/>
            </w:tcBorders>
            <w:shd w:val="clear" w:color="auto" w:fill="auto"/>
          </w:tcPr>
          <w:p w:rsidR="0017135D" w:rsidP="00EF3A31">
            <w:pPr>
              <w:pStyle w:val="CSBody8pt"/>
            </w:pPr>
            <w:r w:rsidRPr="00792D61">
              <w:rPr>
                <w:b/>
              </w:rPr>
              <w:t>[</w:t>
            </w:r>
            <w:r w:rsidRPr="00EF3A31">
              <w:rPr>
                <w:b/>
                <w:i/>
              </w:rPr>
              <w:t>in the case of Complex Products with different Minimum Interest Rates, insert:</w:t>
            </w:r>
            <w:r w:rsidRPr="007360D4">
              <w:t xml:space="preserve"> with respect to any Interest Payment Date, the applicable Minimum Interest Rate specified in the table below:</w:t>
            </w:r>
          </w:p>
        </w:tc>
        <w:tc>
          <w:tcPr>
            <w:tcW w:w="1618" w:type="dxa"/>
            <w:gridSpan w:val="2"/>
            <w:tcBorders>
              <w:top w:val="nil"/>
              <w:bottom w:val="nil"/>
              <w:right w:val="nil"/>
            </w:tcBorders>
            <w:shd w:val="clear" w:color="auto" w:fill="auto"/>
          </w:tcPr>
          <w:p w:rsidR="0017135D" w:rsidRPr="00DE3974" w:rsidP="00EF3A31">
            <w:pPr>
              <w:pStyle w:val="CSBody8pt"/>
              <w:rPr>
                <w:i/>
              </w:rPr>
            </w:pPr>
          </w:p>
        </w:tc>
        <w:tc>
          <w:tcPr>
            <w:tcW w:w="3318" w:type="dxa"/>
            <w:gridSpan w:val="10"/>
            <w:tcBorders>
              <w:top w:val="nil"/>
              <w:left w:val="nil"/>
              <w:bottom w:val="nil"/>
              <w:right w:val="nil"/>
            </w:tcBorders>
            <w:shd w:val="clear" w:color="auto" w:fill="auto"/>
          </w:tcPr>
          <w:p w:rsidR="0017135D" w:rsidRPr="00035B0F" w:rsidP="00EF3A31">
            <w:pPr>
              <w:pStyle w:val="CSBody8pt"/>
              <w:rPr>
                <w:lang w:val="de-DE"/>
              </w:rPr>
            </w:pPr>
            <w:r w:rsidRPr="00792D61">
              <w:rPr>
                <w:b/>
                <w:lang w:val="de-DE"/>
              </w:rPr>
              <w:t>[</w:t>
            </w:r>
            <w:r w:rsidRPr="00EF3A31">
              <w:rPr>
                <w:b/>
                <w:i/>
                <w:lang w:val="de-DE"/>
              </w:rPr>
              <w:t>bei Komplexen Produkten mit unterschiedlichen Mindestzinssätzen einfügen:</w:t>
            </w:r>
            <w:r w:rsidRPr="00035B0F">
              <w:rPr>
                <w:lang w:val="de-DE"/>
              </w:rPr>
              <w:t xml:space="preserve"> in Bezug auf einen Zinszahlungstag der jeweilige Mindestzinssatz wie in untenstehender Tabelle angegeben: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35B0F" w:rsidP="00A457E7">
            <w:pPr>
              <w:pStyle w:val="CSBody0"/>
              <w:rPr>
                <w:b/>
                <w:lang w:val="de-DE"/>
              </w:rPr>
            </w:pPr>
          </w:p>
        </w:tc>
        <w:tc>
          <w:tcPr>
            <w:tcW w:w="3315" w:type="dxa"/>
            <w:gridSpan w:val="7"/>
            <w:tcBorders>
              <w:top w:val="nil"/>
              <w:left w:val="nil"/>
              <w:bottom w:val="nil"/>
              <w:right w:val="nil"/>
            </w:tcBorders>
            <w:shd w:val="clear" w:color="auto" w:fill="auto"/>
          </w:tcPr>
          <w:p w:rsidR="0017135D" w:rsidRPr="00035B0F" w:rsidP="00A457E7">
            <w:pPr>
              <w:pStyle w:val="CSBody0"/>
              <w:rPr>
                <w:b/>
                <w:lang w:val="de-DE"/>
              </w:rPr>
            </w:pPr>
          </w:p>
        </w:tc>
        <w:tc>
          <w:tcPr>
            <w:tcW w:w="1618" w:type="dxa"/>
            <w:gridSpan w:val="2"/>
            <w:tcBorders>
              <w:top w:val="nil"/>
              <w:left w:val="nil"/>
              <w:bottom w:val="nil"/>
              <w:right w:val="nil"/>
            </w:tcBorders>
            <w:shd w:val="clear" w:color="auto" w:fill="auto"/>
          </w:tcPr>
          <w:p w:rsidR="0017135D" w:rsidRPr="00035B0F"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035B0F" w:rsidP="00E60155">
            <w:pPr>
              <w:pStyle w:val="CSBody0"/>
              <w:rPr>
                <w:b/>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5B7279">
              <w:t>Interest Payment Date</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5B7279">
              <w:t>Maximum Interest Rate</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605C00">
              <w:t>Zinszahlungstag</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t>Mindestzins</w:t>
            </w:r>
            <w:r w:rsidRPr="00605C00">
              <w:t>satz</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r w:rsidRPr="005B7279">
              <w:t>% per annum</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r w:rsidRPr="00605C00">
              <w:t>% per annum</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5B7279">
              <w:rPr>
                <w:rFonts w:ascii="Arial" w:hAnsi="Arial" w:cs="Arial"/>
              </w:rPr>
              <w:t>●</w:t>
            </w:r>
            <w:r w:rsidRPr="00792D61">
              <w:rPr>
                <w:b/>
              </w:rPr>
              <w:t>]</w:t>
            </w:r>
            <w:r w:rsidRPr="005B7279">
              <w:t>% per annum</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605C00">
              <w:rPr>
                <w:rFonts w:ascii="Arial" w:hAnsi="Arial" w:cs="Arial"/>
              </w:rPr>
              <w:t>●</w:t>
            </w:r>
            <w:r w:rsidRPr="00792D61">
              <w:rPr>
                <w:b/>
              </w:rPr>
              <w:t>]</w:t>
            </w:r>
            <w:r w:rsidRPr="00605C00">
              <w:t>% per annum</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4251"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8C6A79" w:rsidP="008C6A79">
            <w:pPr>
              <w:pStyle w:val="CSBody8pt"/>
              <w:jc w:val="center"/>
              <w:rPr>
                <w:i/>
              </w:rPr>
            </w:pPr>
            <w:r w:rsidRPr="008C6A79">
              <w:rPr>
                <w:i/>
              </w:rPr>
              <w:t>(repeat as applicable)</w:t>
            </w:r>
          </w:p>
        </w:tc>
        <w:tc>
          <w:tcPr>
            <w:tcW w:w="4110"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8C6A79" w:rsidP="008C6A79">
            <w:pPr>
              <w:pStyle w:val="CSBody8pt"/>
              <w:jc w:val="center"/>
              <w:rPr>
                <w:i/>
              </w:rPr>
            </w:pPr>
            <w:r w:rsidRPr="008C6A79">
              <w:rPr>
                <w:i/>
              </w:rPr>
              <w:t>(wiederholen, soweit erforderlich)</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DE3974" w:rsidP="008C6A79">
            <w:pPr>
              <w:pStyle w:val="CSBody8pt"/>
              <w:jc w:val="center"/>
            </w:pPr>
            <w:r w:rsidRPr="00792D61">
              <w:rPr>
                <w:b/>
              </w:rPr>
              <w:t>[</w:t>
            </w:r>
            <w:r w:rsidRPr="00DE3974">
              <w:t>Final Redemption Date</w:t>
            </w:r>
            <w:r w:rsidRPr="00792D61">
              <w:rPr>
                <w:b/>
              </w:rPr>
              <w:t>][</w:t>
            </w:r>
            <w:r w:rsidRPr="00DE3974">
              <w:t>Scheduled Maturity Date</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DE3974" w:rsidP="008C6A79">
            <w:pPr>
              <w:pStyle w:val="CSBody8pt"/>
              <w:jc w:val="center"/>
            </w:pPr>
            <w:r w:rsidRPr="00792D61">
              <w:rPr>
                <w:b/>
              </w:rPr>
              <w:t>[</w:t>
            </w:r>
            <w:r w:rsidRPr="00DE3974">
              <w:rPr>
                <w:rFonts w:ascii="Arial" w:hAnsi="Arial" w:cs="Arial"/>
              </w:rPr>
              <w:t>●</w:t>
            </w:r>
            <w:r w:rsidRPr="00792D61">
              <w:rPr>
                <w:b/>
              </w:rPr>
              <w:t>]</w:t>
            </w:r>
            <w:r w:rsidRPr="00DE3974">
              <w:t>% per annum</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98704D" w:rsidP="008C6A79">
            <w:pPr>
              <w:pStyle w:val="CSBody8pt"/>
              <w:jc w:val="center"/>
            </w:pPr>
            <w:r w:rsidRPr="00792D61">
              <w:rPr>
                <w:b/>
              </w:rPr>
              <w:t>[</w:t>
            </w:r>
            <w:r w:rsidRPr="0098704D">
              <w:t>Finaler Rückzahlungstag</w:t>
            </w:r>
            <w:r w:rsidRPr="00792D61">
              <w:rPr>
                <w:b/>
              </w:rPr>
              <w:t>]</w:t>
            </w:r>
            <w:r w:rsidRPr="0098704D">
              <w:t xml:space="preserve"> </w:t>
            </w:r>
            <w:r w:rsidRPr="00792D61">
              <w:rPr>
                <w:b/>
              </w:rPr>
              <w:t>[</w:t>
            </w:r>
            <w:r w:rsidRPr="0098704D">
              <w:t>Planmässiger Fälligkeitstag</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98704D">
              <w:rPr>
                <w:rFonts w:ascii="Arial" w:hAnsi="Arial" w:cs="Arial"/>
              </w:rPr>
              <w:t>●</w:t>
            </w:r>
            <w:r w:rsidRPr="00792D61">
              <w:rPr>
                <w:b/>
              </w:rPr>
              <w:t>]</w:t>
            </w:r>
            <w:r w:rsidRPr="0098704D">
              <w:t>% per annum</w:t>
            </w:r>
            <w:r w:rsidRPr="00792D61">
              <w:rPr>
                <w:b/>
              </w:rPr>
              <w:t>]]]</w:t>
            </w:r>
          </w:p>
        </w:tc>
        <w:tc>
          <w:tcPr>
            <w:tcW w:w="826" w:type="dxa"/>
            <w:gridSpan w:val="3"/>
            <w:tcBorders>
              <w:top w:val="nil"/>
              <w:left w:val="single" w:sz="4" w:space="0" w:color="auto"/>
              <w:bottom w:val="nil"/>
              <w:right w:val="nil"/>
            </w:tcBorders>
            <w:shd w:val="clear" w:color="auto" w:fill="auto"/>
          </w:tcPr>
          <w:p w:rsidR="0017135D" w:rsidRPr="00DE3974" w:rsidP="00EF3A31">
            <w:pPr>
              <w:pStyle w:val="CSBody8pt"/>
              <w:rPr>
                <w:bCs/>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E3974" w:rsidP="000C038C">
            <w:pPr>
              <w:pStyle w:val="CSBody0"/>
              <w:rPr>
                <w:b/>
              </w:rPr>
            </w:pPr>
          </w:p>
        </w:tc>
        <w:tc>
          <w:tcPr>
            <w:tcW w:w="3315" w:type="dxa"/>
            <w:gridSpan w:val="7"/>
            <w:tcBorders>
              <w:top w:val="nil"/>
              <w:left w:val="nil"/>
              <w:bottom w:val="nil"/>
              <w:right w:val="nil"/>
            </w:tcBorders>
            <w:shd w:val="clear" w:color="auto" w:fill="auto"/>
          </w:tcPr>
          <w:p w:rsidR="0017135D" w:rsidRPr="00DE3974" w:rsidP="000C038C">
            <w:pPr>
              <w:pStyle w:val="CSBody0"/>
              <w:rPr>
                <w:b/>
              </w:rPr>
            </w:pPr>
          </w:p>
        </w:tc>
        <w:tc>
          <w:tcPr>
            <w:tcW w:w="1618" w:type="dxa"/>
            <w:gridSpan w:val="2"/>
            <w:tcBorders>
              <w:top w:val="nil"/>
              <w:left w:val="nil"/>
              <w:bottom w:val="nil"/>
              <w:right w:val="nil"/>
            </w:tcBorders>
            <w:shd w:val="clear" w:color="auto" w:fill="auto"/>
          </w:tcPr>
          <w:p w:rsidR="0017135D" w:rsidRPr="00DE3974" w:rsidP="000C038C">
            <w:pPr>
              <w:pStyle w:val="CSBody0"/>
              <w:rPr>
                <w:b/>
                <w:i/>
              </w:rPr>
            </w:pPr>
          </w:p>
        </w:tc>
        <w:tc>
          <w:tcPr>
            <w:tcW w:w="3318" w:type="dxa"/>
            <w:gridSpan w:val="10"/>
            <w:tcBorders>
              <w:top w:val="nil"/>
              <w:left w:val="nil"/>
              <w:bottom w:val="nil"/>
              <w:right w:val="nil"/>
            </w:tcBorders>
            <w:shd w:val="clear" w:color="auto" w:fill="auto"/>
          </w:tcPr>
          <w:p w:rsidR="0017135D" w:rsidRPr="00DE3974" w:rsidP="000C038C">
            <w:pPr>
              <w:pStyle w:val="CSBody0"/>
              <w:rPr>
                <w:b/>
                <w:bCs/>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EF3A31">
            <w:pPr>
              <w:pStyle w:val="CSBody8pt"/>
            </w:pPr>
            <w:r w:rsidRPr="00792D61">
              <w:rPr>
                <w:b/>
              </w:rPr>
              <w:t>[</w:t>
            </w:r>
            <w:r w:rsidRPr="00EF3A31">
              <w:rPr>
                <w:b/>
                <w:i/>
              </w:rPr>
              <w:t xml:space="preserve">in the case of Capped Floored Floaters with Participation, insert: </w:t>
            </w:r>
            <w:r w:rsidRPr="00BD7132">
              <w:t>Participation</w:t>
            </w:r>
          </w:p>
        </w:tc>
        <w:tc>
          <w:tcPr>
            <w:tcW w:w="3315" w:type="dxa"/>
            <w:gridSpan w:val="7"/>
            <w:tcBorders>
              <w:top w:val="nil"/>
              <w:left w:val="nil"/>
              <w:bottom w:val="nil"/>
            </w:tcBorders>
            <w:shd w:val="clear" w:color="auto" w:fill="auto"/>
          </w:tcPr>
          <w:p w:rsidR="0017135D" w:rsidRPr="00BD7132" w:rsidP="00EF3A31">
            <w:pPr>
              <w:pStyle w:val="CSBody8pt"/>
            </w:pPr>
            <w:r w:rsidRPr="00792D61">
              <w:rPr>
                <w:b/>
              </w:rPr>
              <w:t>[</w:t>
            </w:r>
            <w:r w:rsidRPr="00BD7132">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BD7132" w:rsidP="00EF3A31">
            <w:pPr>
              <w:pStyle w:val="CSBody8pt"/>
              <w:rPr>
                <w:i/>
              </w:rPr>
            </w:pPr>
            <w:r w:rsidRPr="00792D61">
              <w:rPr>
                <w:b/>
                <w:i/>
              </w:rPr>
              <w:t>[</w:t>
            </w:r>
            <w:r w:rsidRPr="00EF3A31">
              <w:rPr>
                <w:b/>
              </w:rPr>
              <w:t xml:space="preserve">bei Capped Floored Floaters mit Partizipation einfügen: </w:t>
            </w:r>
            <w:r w:rsidRPr="00EF3A31">
              <w:t>Partizipation</w:t>
            </w:r>
          </w:p>
        </w:tc>
        <w:tc>
          <w:tcPr>
            <w:tcW w:w="3318" w:type="dxa"/>
            <w:gridSpan w:val="10"/>
            <w:tcBorders>
              <w:top w:val="nil"/>
              <w:left w:val="nil"/>
              <w:bottom w:val="nil"/>
              <w:right w:val="nil"/>
            </w:tcBorders>
            <w:shd w:val="clear" w:color="auto" w:fill="auto"/>
          </w:tcPr>
          <w:p w:rsidR="0017135D" w:rsidRPr="00BD7132" w:rsidP="00EF3A31">
            <w:pPr>
              <w:pStyle w:val="CSBody8pt"/>
              <w:rPr>
                <w:bCs/>
              </w:rPr>
            </w:pPr>
            <w:r w:rsidRPr="00792D61">
              <w:rPr>
                <w:b/>
                <w:bCs/>
              </w:rPr>
              <w:t>[</w:t>
            </w:r>
            <w:r w:rsidRPr="00BD7132">
              <w:rPr>
                <w:rFonts w:ascii="Arial" w:hAnsi="Arial" w:cs="Arial"/>
                <w:bCs/>
              </w:rPr>
              <w:t>●</w:t>
            </w:r>
            <w:r w:rsidRPr="00792D61">
              <w:rPr>
                <w:b/>
                <w:bCs/>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FA68F8" w:rsidP="00EF3A31">
            <w:pPr>
              <w:pStyle w:val="CSBody8ptbolditalics"/>
            </w:pPr>
            <w:r w:rsidRPr="00792D61">
              <w:t>[</w:t>
            </w:r>
            <w:r w:rsidRPr="00FA68F8">
              <w:t>in the case of Cumulative Reverse Floater (Snowball) Notes and Inverse Floating Rate Notes, insert:</w:t>
            </w:r>
          </w:p>
        </w:tc>
        <w:tc>
          <w:tcPr>
            <w:tcW w:w="4936" w:type="dxa"/>
            <w:gridSpan w:val="12"/>
            <w:tcBorders>
              <w:top w:val="nil"/>
              <w:bottom w:val="nil"/>
              <w:right w:val="nil"/>
            </w:tcBorders>
            <w:shd w:val="clear" w:color="auto" w:fill="auto"/>
          </w:tcPr>
          <w:p w:rsidR="0017135D" w:rsidP="00EF3A31">
            <w:pPr>
              <w:pStyle w:val="CSBody8ptbolditalics"/>
            </w:pPr>
            <w:r w:rsidRPr="00792D61">
              <w:t>[</w:t>
            </w:r>
            <w:r w:rsidRPr="00FA68F8">
              <w:t>bei Cumulative Reverse Floater (Snowball) Notes und Inverse Floating Rate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EF3A31">
            <w:pPr>
              <w:pStyle w:val="CSBody8pt"/>
            </w:pPr>
            <w:r w:rsidRPr="00BD7132">
              <w:t>Spread Rate</w:t>
            </w:r>
          </w:p>
        </w:tc>
        <w:tc>
          <w:tcPr>
            <w:tcW w:w="3315" w:type="dxa"/>
            <w:gridSpan w:val="7"/>
            <w:tcBorders>
              <w:top w:val="nil"/>
              <w:left w:val="nil"/>
              <w:bottom w:val="nil"/>
            </w:tcBorders>
            <w:shd w:val="clear" w:color="auto" w:fill="auto"/>
          </w:tcPr>
          <w:p w:rsidR="0017135D" w:rsidRPr="00BD7132" w:rsidP="00EF3A31">
            <w:pPr>
              <w:pStyle w:val="CSBody8pt"/>
            </w:pPr>
            <w:r w:rsidRPr="00BD7132">
              <w:t>with respect to any Variable Interest Payment Date, the applicable Spread Rate specified in the table below:</w:t>
            </w:r>
          </w:p>
        </w:tc>
        <w:tc>
          <w:tcPr>
            <w:tcW w:w="1618" w:type="dxa"/>
            <w:gridSpan w:val="2"/>
            <w:tcBorders>
              <w:top w:val="nil"/>
              <w:bottom w:val="nil"/>
              <w:right w:val="nil"/>
            </w:tcBorders>
            <w:shd w:val="clear" w:color="auto" w:fill="auto"/>
          </w:tcPr>
          <w:p w:rsidR="0017135D" w:rsidRPr="00BD7132" w:rsidP="00EF3A31">
            <w:pPr>
              <w:pStyle w:val="CSBody8pt"/>
              <w:rPr>
                <w:i/>
              </w:rPr>
            </w:pPr>
            <w:r w:rsidRPr="00BD7132">
              <w:rPr>
                <w:i/>
              </w:rPr>
              <w:t>Spreadsatz</w:t>
            </w:r>
          </w:p>
        </w:tc>
        <w:tc>
          <w:tcPr>
            <w:tcW w:w="3318" w:type="dxa"/>
            <w:gridSpan w:val="10"/>
            <w:tcBorders>
              <w:top w:val="nil"/>
              <w:left w:val="nil"/>
              <w:bottom w:val="nil"/>
              <w:right w:val="nil"/>
            </w:tcBorders>
            <w:shd w:val="clear" w:color="auto" w:fill="auto"/>
          </w:tcPr>
          <w:p w:rsidR="0017135D" w:rsidRPr="00BD7132" w:rsidP="00EF3A31">
            <w:pPr>
              <w:pStyle w:val="CSBody8pt"/>
              <w:rPr>
                <w:bCs/>
                <w:lang w:val="de-DE"/>
              </w:rPr>
            </w:pPr>
            <w:r w:rsidRPr="00BD7132">
              <w:rPr>
                <w:bCs/>
                <w:lang w:val="de-DE"/>
              </w:rPr>
              <w:t>in Bezug auf einen Zinszahlungstag für Variable Zinsen der geltende Spreadsatz wie in untenstehender Tabelle angegeben: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A457E7">
            <w:pPr>
              <w:pStyle w:val="CSBody0"/>
              <w:rPr>
                <w:b/>
                <w:lang w:val="de-DE"/>
              </w:rPr>
            </w:pPr>
          </w:p>
        </w:tc>
        <w:tc>
          <w:tcPr>
            <w:tcW w:w="3315" w:type="dxa"/>
            <w:gridSpan w:val="7"/>
            <w:tcBorders>
              <w:top w:val="nil"/>
              <w:left w:val="nil"/>
              <w:bottom w:val="nil"/>
              <w:right w:val="nil"/>
            </w:tcBorders>
            <w:shd w:val="clear" w:color="auto" w:fill="auto"/>
          </w:tcPr>
          <w:p w:rsidR="0017135D" w:rsidRPr="00BD7132" w:rsidP="00A457E7">
            <w:pPr>
              <w:pStyle w:val="CSBody0"/>
              <w:rPr>
                <w:b/>
                <w:lang w:val="de-DE"/>
              </w:rPr>
            </w:pPr>
          </w:p>
        </w:tc>
        <w:tc>
          <w:tcPr>
            <w:tcW w:w="1618" w:type="dxa"/>
            <w:gridSpan w:val="2"/>
            <w:tcBorders>
              <w:top w:val="nil"/>
              <w:left w:val="nil"/>
              <w:bottom w:val="nil"/>
              <w:right w:val="nil"/>
            </w:tcBorders>
            <w:shd w:val="clear" w:color="auto" w:fill="auto"/>
          </w:tcPr>
          <w:p w:rsidR="0017135D" w:rsidRPr="00BD7132"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BD7132" w:rsidP="00E60155">
            <w:pPr>
              <w:pStyle w:val="CSBody0"/>
              <w:rPr>
                <w:b/>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t>Variable Interest Payment Date</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t>Spread Rate</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605C00">
              <w:t xml:space="preserve">Zinszahlungstag </w:t>
            </w:r>
            <w:r>
              <w:t>für Variable Zinsen</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t>Spreadsatz</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r w:rsidRPr="005B7279">
              <w:t>% per annum</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r w:rsidRPr="00605C00">
              <w:t>% per annum</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8C6A79">
            <w:pPr>
              <w:pStyle w:val="CSBody8pt"/>
              <w:jc w:val="center"/>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5B7279">
              <w:rPr>
                <w:rFonts w:ascii="Arial" w:hAnsi="Arial" w:cs="Arial"/>
              </w:rPr>
              <w:t>●</w:t>
            </w:r>
            <w:r w:rsidRPr="00792D61">
              <w:rPr>
                <w:b/>
              </w:rPr>
              <w:t>]</w:t>
            </w:r>
            <w:r w:rsidRPr="005B7279">
              <w:t>% per annum</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8C6A79">
            <w:pPr>
              <w:pStyle w:val="CSBody8pt"/>
              <w:jc w:val="center"/>
            </w:pPr>
            <w:r w:rsidRPr="00792D61">
              <w:rPr>
                <w:b/>
              </w:rPr>
              <w:t>[</w:t>
            </w:r>
            <w:r w:rsidRPr="00605C00">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605C00">
              <w:rPr>
                <w:rFonts w:ascii="Arial" w:hAnsi="Arial" w:cs="Arial"/>
              </w:rPr>
              <w:t>●</w:t>
            </w:r>
            <w:r w:rsidRPr="00792D61">
              <w:rPr>
                <w:b/>
              </w:rPr>
              <w:t>]</w:t>
            </w:r>
            <w:r w:rsidRPr="00605C00">
              <w:t>% per annum</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4251"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DD7137" w:rsidP="008C6A79">
            <w:pPr>
              <w:pStyle w:val="CSBody8pt"/>
              <w:jc w:val="center"/>
            </w:pPr>
            <w:r w:rsidRPr="00DD7137">
              <w:t>(repeat as applicable)</w:t>
            </w:r>
          </w:p>
        </w:tc>
        <w:tc>
          <w:tcPr>
            <w:tcW w:w="4110" w:type="dxa"/>
            <w:gridSpan w:val="9"/>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DD7137">
              <w:t>(wiederholen, soweit erforderlich)</w:t>
            </w:r>
          </w:p>
        </w:tc>
        <w:tc>
          <w:tcPr>
            <w:tcW w:w="826" w:type="dxa"/>
            <w:gridSpan w:val="3"/>
            <w:tcBorders>
              <w:top w:val="nil"/>
              <w:left w:val="single" w:sz="4" w:space="0" w:color="auto"/>
              <w:bottom w:val="nil"/>
              <w:right w:val="nil"/>
            </w:tcBorders>
            <w:shd w:val="clear" w:color="auto" w:fill="auto"/>
          </w:tcPr>
          <w:p w:rsidR="0017135D" w:rsidRPr="00B4168E" w:rsidP="00EF3A31">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F3A31">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DE3974" w:rsidP="008C6A79">
            <w:pPr>
              <w:pStyle w:val="CSBody8pt"/>
              <w:jc w:val="center"/>
            </w:pPr>
            <w:r w:rsidRPr="00792D61">
              <w:rPr>
                <w:b/>
              </w:rPr>
              <w:t>[</w:t>
            </w:r>
            <w:r w:rsidRPr="00DE3974">
              <w:t>Final Redemption Date</w:t>
            </w:r>
            <w:r w:rsidRPr="00792D61">
              <w:rPr>
                <w:b/>
              </w:rPr>
              <w:t>][</w:t>
            </w:r>
            <w:r w:rsidRPr="00DE3974">
              <w:t>Scheduled Maturity Date</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DE3974" w:rsidP="008C6A79">
            <w:pPr>
              <w:pStyle w:val="CSBody8pt"/>
              <w:jc w:val="center"/>
            </w:pPr>
            <w:r w:rsidRPr="00792D61">
              <w:rPr>
                <w:b/>
              </w:rPr>
              <w:t>[</w:t>
            </w:r>
            <w:r w:rsidRPr="00DE3974">
              <w:rPr>
                <w:rFonts w:ascii="Arial" w:hAnsi="Arial" w:cs="Arial"/>
              </w:rPr>
              <w:t>●</w:t>
            </w:r>
            <w:r w:rsidRPr="00792D61">
              <w:rPr>
                <w:b/>
              </w:rPr>
              <w:t>]</w:t>
            </w:r>
            <w:r w:rsidRPr="00DE3974">
              <w:t>% per annum</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98704D" w:rsidP="008C6A79">
            <w:pPr>
              <w:pStyle w:val="CSBody8pt"/>
              <w:jc w:val="center"/>
            </w:pPr>
            <w:r w:rsidRPr="00792D61">
              <w:rPr>
                <w:b/>
              </w:rPr>
              <w:t>[</w:t>
            </w:r>
            <w:r w:rsidRPr="0098704D">
              <w:t>Finaler Rückzahlungstag</w:t>
            </w:r>
            <w:r w:rsidRPr="00792D61">
              <w:rPr>
                <w:b/>
              </w:rPr>
              <w:t>]</w:t>
            </w:r>
            <w:r w:rsidRPr="0098704D">
              <w:t xml:space="preserve"> </w:t>
            </w:r>
            <w:r w:rsidRPr="00792D61">
              <w:rPr>
                <w:b/>
              </w:rPr>
              <w:t>[</w:t>
            </w:r>
            <w:r w:rsidRPr="0098704D">
              <w:t>Planmässiger Fälligkeitstag</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8C6A79">
            <w:pPr>
              <w:pStyle w:val="CSBody8pt"/>
              <w:jc w:val="center"/>
            </w:pPr>
            <w:r w:rsidRPr="00792D61">
              <w:rPr>
                <w:b/>
              </w:rPr>
              <w:t>[</w:t>
            </w:r>
            <w:r w:rsidRPr="0098704D">
              <w:rPr>
                <w:rFonts w:ascii="Arial" w:hAnsi="Arial" w:cs="Arial"/>
              </w:rPr>
              <w:t>●</w:t>
            </w:r>
            <w:r w:rsidRPr="00792D61">
              <w:rPr>
                <w:b/>
              </w:rPr>
              <w:t>]</w:t>
            </w:r>
            <w:r w:rsidRPr="0098704D">
              <w:t>% per annum</w:t>
            </w:r>
            <w:r w:rsidRPr="00792D61">
              <w:rPr>
                <w:b/>
              </w:rPr>
              <w:t>]</w:t>
            </w:r>
          </w:p>
        </w:tc>
        <w:tc>
          <w:tcPr>
            <w:tcW w:w="826" w:type="dxa"/>
            <w:gridSpan w:val="3"/>
            <w:tcBorders>
              <w:top w:val="nil"/>
              <w:left w:val="single" w:sz="4" w:space="0" w:color="auto"/>
              <w:bottom w:val="nil"/>
              <w:right w:val="nil"/>
            </w:tcBorders>
            <w:shd w:val="clear" w:color="auto" w:fill="auto"/>
          </w:tcPr>
          <w:p w:rsidR="0017135D" w:rsidRPr="00DE3974" w:rsidP="00EF3A31">
            <w:pPr>
              <w:pStyle w:val="CSBody8pt"/>
              <w:rPr>
                <w:bCs/>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A457E7">
            <w:pPr>
              <w:pStyle w:val="CSBody0"/>
              <w:rPr>
                <w:b/>
                <w:lang w:val="de-DE"/>
              </w:rPr>
            </w:pPr>
          </w:p>
        </w:tc>
        <w:tc>
          <w:tcPr>
            <w:tcW w:w="3315" w:type="dxa"/>
            <w:gridSpan w:val="7"/>
            <w:tcBorders>
              <w:top w:val="nil"/>
              <w:left w:val="nil"/>
              <w:bottom w:val="nil"/>
              <w:right w:val="nil"/>
            </w:tcBorders>
            <w:shd w:val="clear" w:color="auto" w:fill="auto"/>
          </w:tcPr>
          <w:p w:rsidR="0017135D" w:rsidRPr="00BD7132" w:rsidP="00A457E7">
            <w:pPr>
              <w:pStyle w:val="CSBody0"/>
              <w:rPr>
                <w:b/>
                <w:lang w:val="de-DE"/>
              </w:rPr>
            </w:pPr>
          </w:p>
        </w:tc>
        <w:tc>
          <w:tcPr>
            <w:tcW w:w="1618" w:type="dxa"/>
            <w:gridSpan w:val="2"/>
            <w:tcBorders>
              <w:top w:val="nil"/>
              <w:left w:val="nil"/>
              <w:bottom w:val="nil"/>
              <w:right w:val="nil"/>
            </w:tcBorders>
            <w:shd w:val="clear" w:color="auto" w:fill="auto"/>
          </w:tcPr>
          <w:p w:rsidR="0017135D" w:rsidRPr="00BD7132"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BD7132" w:rsidP="00E60155">
            <w:pPr>
              <w:pStyle w:val="CSBody0"/>
              <w:rPr>
                <w:b/>
                <w:bCs/>
                <w:lang w:val="de-DE"/>
              </w:rPr>
            </w:pP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432C3F" w:rsidP="00EF3A31">
            <w:pPr>
              <w:pStyle w:val="CSBody8ptbolditalics"/>
            </w:pPr>
            <w:r w:rsidRPr="00792D61">
              <w:t>[</w:t>
            </w:r>
            <w:r w:rsidRPr="00432C3F">
              <w:t>in the case of Complex Products, other than Step Up Notes, Inflation Index-Linked Notes and Complex Products with a single fixed interest rate, insert:</w:t>
            </w:r>
          </w:p>
        </w:tc>
        <w:tc>
          <w:tcPr>
            <w:tcW w:w="4936" w:type="dxa"/>
            <w:gridSpan w:val="12"/>
            <w:tcBorders>
              <w:top w:val="nil"/>
              <w:bottom w:val="nil"/>
              <w:right w:val="nil"/>
            </w:tcBorders>
            <w:shd w:val="clear" w:color="auto" w:fill="auto"/>
          </w:tcPr>
          <w:p w:rsidR="0017135D" w:rsidRPr="00BD7132" w:rsidP="00EF3A31">
            <w:pPr>
              <w:pStyle w:val="CSBody8ptbolditalics"/>
              <w:rPr>
                <w:lang w:val="de-DE"/>
              </w:rPr>
            </w:pPr>
            <w:r w:rsidRPr="00792D61">
              <w:rPr>
                <w:lang w:val="de-DE"/>
              </w:rPr>
              <w:t>[</w:t>
            </w:r>
            <w:r w:rsidRPr="00BD7132">
              <w:rPr>
                <w:lang w:val="de-DE"/>
              </w:rPr>
              <w:t>bei Komplexen Produkten ausser Step Up Notes, Inflation Index-Linked Notes und bei Komplexen Produkten mit einem einheitlichen Festzinssatz einfügen:</w:t>
            </w:r>
          </w:p>
        </w:tc>
      </w:tr>
      <w:tr w:rsidTr="004C1EBA">
        <w:tblPrEx>
          <w:tblW w:w="4999" w:type="pct"/>
          <w:tblLayout w:type="fixed"/>
          <w:tblCellMar>
            <w:left w:w="115" w:type="dxa"/>
            <w:right w:w="115" w:type="dxa"/>
          </w:tblCellMar>
          <w:tblLook w:val="04A0"/>
        </w:tblPrEx>
        <w:trPr>
          <w:trHeight w:val="2210"/>
        </w:trPr>
        <w:tc>
          <w:tcPr>
            <w:tcW w:w="1616" w:type="dxa"/>
            <w:gridSpan w:val="4"/>
            <w:tcBorders>
              <w:top w:val="nil"/>
              <w:left w:val="nil"/>
              <w:right w:val="nil"/>
            </w:tcBorders>
            <w:shd w:val="clear" w:color="auto" w:fill="auto"/>
          </w:tcPr>
          <w:p w:rsidR="0017135D" w:rsidRPr="00AD2F86" w:rsidP="00EF3A31">
            <w:pPr>
              <w:pStyle w:val="CSBody8ptbolditalics"/>
            </w:pPr>
            <w:r w:rsidRPr="00792D61">
              <w:t>[</w:t>
            </w:r>
            <w:r w:rsidRPr="00AD2F86">
              <w:t xml:space="preserve">in the case of Spread-Linked Notes and Spread Range Accrual Notes, insert: </w:t>
            </w:r>
          </w:p>
          <w:p w:rsidR="0017135D" w:rsidRPr="00AD2F86" w:rsidP="00EF3A31">
            <w:pPr>
              <w:pStyle w:val="CSBody8pt"/>
            </w:pPr>
            <w:r w:rsidRPr="008C6A79">
              <w:t>Reference Rate</w:t>
            </w:r>
            <w:r>
              <w:fldChar w:fldCharType="begin"/>
            </w:r>
            <w:r>
              <w:instrText xml:space="preserve"> XE "</w:instrText>
            </w:r>
            <w:r w:rsidRPr="0013113A">
              <w:instrText>Reference Rate</w:instrText>
            </w:r>
            <w:r>
              <w:instrText xml:space="preserve">" \f "EN" </w:instrText>
            </w:r>
            <w:r>
              <w:fldChar w:fldCharType="end"/>
            </w:r>
          </w:p>
        </w:tc>
        <w:tc>
          <w:tcPr>
            <w:tcW w:w="3315" w:type="dxa"/>
            <w:gridSpan w:val="7"/>
            <w:tcBorders>
              <w:top w:val="nil"/>
              <w:left w:val="nil"/>
            </w:tcBorders>
            <w:shd w:val="clear" w:color="auto" w:fill="auto"/>
          </w:tcPr>
          <w:p w:rsidR="0017135D" w:rsidRPr="008C6A79" w:rsidP="00EF3A31">
            <w:pPr>
              <w:pStyle w:val="CSBody8pt"/>
            </w:pPr>
            <w:r w:rsidRPr="008C6A79">
              <w:t>Each of Reference Rate 1</w:t>
            </w:r>
            <w:r w:rsidRPr="00792D61">
              <w:rPr>
                <w:b/>
              </w:rPr>
              <w:t>[</w:t>
            </w:r>
            <w:r w:rsidRPr="008C6A79">
              <w:t>,</w:t>
            </w:r>
            <w:r w:rsidRPr="00792D61">
              <w:rPr>
                <w:b/>
              </w:rPr>
              <w:t>][</w:t>
            </w:r>
            <w:r w:rsidRPr="008C6A79">
              <w:t xml:space="preserve"> and</w:t>
            </w:r>
            <w:r w:rsidRPr="00792D61">
              <w:rPr>
                <w:b/>
              </w:rPr>
              <w:t>]</w:t>
            </w:r>
            <w:r w:rsidRPr="008C6A79">
              <w:t xml:space="preserve"> Reference Rate 2</w:t>
            </w:r>
            <w:r w:rsidRPr="00792D61">
              <w:rPr>
                <w:b/>
              </w:rPr>
              <w:t>[</w:t>
            </w:r>
            <w:r w:rsidRPr="008C6A79">
              <w:t xml:space="preserve"> and Reference Rate 3</w:t>
            </w:r>
            <w:r w:rsidRPr="00792D61">
              <w:rPr>
                <w:b/>
              </w:rPr>
              <w:t>]</w:t>
            </w:r>
            <w:r w:rsidRPr="008C6A79">
              <w:t>.</w:t>
            </w:r>
            <w:r w:rsidRPr="00792D61">
              <w:rPr>
                <w:b/>
              </w:rPr>
              <w:t>]</w:t>
            </w:r>
          </w:p>
        </w:tc>
        <w:tc>
          <w:tcPr>
            <w:tcW w:w="1618" w:type="dxa"/>
            <w:gridSpan w:val="2"/>
            <w:tcBorders>
              <w:top w:val="nil"/>
              <w:right w:val="nil"/>
            </w:tcBorders>
            <w:shd w:val="clear" w:color="auto" w:fill="auto"/>
          </w:tcPr>
          <w:p w:rsidR="0017135D" w:rsidRPr="00BD6E0D" w:rsidP="00EF3A31">
            <w:pPr>
              <w:pStyle w:val="CSBody8ptbolditalics"/>
            </w:pPr>
            <w:r w:rsidRPr="00BD6E0D">
              <w:t xml:space="preserve">[bei Spread-Linked Notes und Spread Range Accrual Notes, einfügen: </w:t>
            </w:r>
          </w:p>
          <w:p w:rsidR="0017135D" w:rsidRPr="009D08E0" w:rsidP="00EF3A31">
            <w:pPr>
              <w:pStyle w:val="CSBody8pt"/>
              <w:rPr>
                <w:lang w:val="de-DE"/>
              </w:rPr>
            </w:pPr>
            <w:r w:rsidRPr="009D08E0">
              <w:rPr>
                <w:lang w:val="de-DE"/>
              </w:rPr>
              <w:t>Referenzsatz</w:t>
            </w:r>
            <w:r>
              <w:fldChar w:fldCharType="begin"/>
            </w:r>
            <w:r w:rsidRPr="009D08E0">
              <w:rPr>
                <w:lang w:val="de-DE"/>
              </w:rPr>
              <w:instrText xml:space="preserve"> XE "Referenzsatz" </w:instrText>
            </w:r>
            <w:r>
              <w:fldChar w:fldCharType="end"/>
            </w:r>
          </w:p>
        </w:tc>
        <w:tc>
          <w:tcPr>
            <w:tcW w:w="3318" w:type="dxa"/>
            <w:gridSpan w:val="10"/>
            <w:tcBorders>
              <w:top w:val="nil"/>
              <w:left w:val="nil"/>
              <w:right w:val="nil"/>
            </w:tcBorders>
            <w:shd w:val="clear" w:color="auto" w:fill="auto"/>
          </w:tcPr>
          <w:p w:rsidR="0017135D" w:rsidRPr="008C6A79" w:rsidP="00EF3A31">
            <w:pPr>
              <w:pStyle w:val="CSBody8pt"/>
              <w:rPr>
                <w:bCs/>
                <w:lang w:val="de-DE"/>
              </w:rPr>
            </w:pPr>
            <w:r w:rsidRPr="008C6A79">
              <w:rPr>
                <w:bCs/>
                <w:lang w:val="de-DE"/>
              </w:rPr>
              <w:t>Jeder der folgenden Referenzsätze: Referenzsatz 1</w:t>
            </w:r>
            <w:r w:rsidRPr="00792D61">
              <w:rPr>
                <w:b/>
                <w:bCs/>
                <w:lang w:val="de-DE"/>
              </w:rPr>
              <w:t>[</w:t>
            </w:r>
            <w:r w:rsidRPr="008C6A79">
              <w:rPr>
                <w:bCs/>
                <w:lang w:val="de-DE"/>
              </w:rPr>
              <w:t>,</w:t>
            </w:r>
            <w:r w:rsidRPr="00792D61">
              <w:rPr>
                <w:b/>
                <w:bCs/>
                <w:lang w:val="de-DE"/>
              </w:rPr>
              <w:t>][</w:t>
            </w:r>
            <w:r w:rsidRPr="008C6A79">
              <w:rPr>
                <w:bCs/>
                <w:lang w:val="de-DE"/>
              </w:rPr>
              <w:t>und</w:t>
            </w:r>
            <w:r w:rsidRPr="00792D61">
              <w:rPr>
                <w:b/>
                <w:bCs/>
                <w:lang w:val="de-DE"/>
              </w:rPr>
              <w:t>]</w:t>
            </w:r>
            <w:r w:rsidRPr="008C6A79">
              <w:rPr>
                <w:bCs/>
                <w:lang w:val="de-DE"/>
              </w:rPr>
              <w:t xml:space="preserve"> Referenzsatz 2</w:t>
            </w:r>
            <w:r w:rsidRPr="00792D61">
              <w:rPr>
                <w:b/>
                <w:bCs/>
                <w:lang w:val="de-DE"/>
              </w:rPr>
              <w:t>[</w:t>
            </w:r>
            <w:r w:rsidRPr="008C6A79">
              <w:rPr>
                <w:bCs/>
                <w:lang w:val="de-DE"/>
              </w:rPr>
              <w:t>und Referenzsatz 3</w:t>
            </w:r>
            <w:r w:rsidRPr="00792D61">
              <w:rPr>
                <w:b/>
                <w:bCs/>
                <w:lang w:val="de-DE"/>
              </w:rPr>
              <w:t>]</w:t>
            </w:r>
            <w:r w:rsidRPr="008C6A79">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F3A31" w:rsidP="00EF3A31">
            <w:pPr>
              <w:pStyle w:val="CSBody8pt"/>
            </w:pPr>
            <w:r w:rsidRPr="00EF3A31">
              <w:t xml:space="preserve">Reference Rate </w:t>
            </w:r>
            <w:r w:rsidRPr="00792D61">
              <w:rPr>
                <w:b/>
              </w:rPr>
              <w:t>[</w:t>
            </w:r>
            <w:r w:rsidRPr="00EF3A31">
              <w:rPr>
                <w:b/>
                <w:i/>
              </w:rPr>
              <w:t>in the case of Spread-Linked Notes and Spread Range Accrual Notes, insert:</w:t>
            </w:r>
            <w:r w:rsidRPr="00EF3A31">
              <w:t xml:space="preserve"> 1</w:t>
            </w:r>
            <w:r w:rsidRPr="00792D61">
              <w:rPr>
                <w:b/>
              </w:rPr>
              <w:t>]</w:t>
            </w:r>
          </w:p>
        </w:tc>
        <w:tc>
          <w:tcPr>
            <w:tcW w:w="3315" w:type="dxa"/>
            <w:gridSpan w:val="7"/>
            <w:tcBorders>
              <w:top w:val="nil"/>
              <w:left w:val="nil"/>
              <w:bottom w:val="nil"/>
            </w:tcBorders>
            <w:shd w:val="clear" w:color="auto" w:fill="auto"/>
          </w:tcPr>
          <w:p w:rsidR="0017135D" w:rsidRPr="00EF3A31" w:rsidP="00EF3A31">
            <w:pPr>
              <w:pStyle w:val="CSBody8ptbolditalics"/>
            </w:pPr>
            <w:r w:rsidRPr="00792D61">
              <w:t>[</w:t>
            </w:r>
            <w:r w:rsidRPr="00EF3A31">
              <w:t>in the case of all Complex Products other than Range Accrual Notes, insert:</w:t>
            </w:r>
          </w:p>
        </w:tc>
        <w:tc>
          <w:tcPr>
            <w:tcW w:w="1618" w:type="dxa"/>
            <w:gridSpan w:val="2"/>
            <w:tcBorders>
              <w:top w:val="nil"/>
              <w:bottom w:val="nil"/>
              <w:right w:val="nil"/>
            </w:tcBorders>
            <w:shd w:val="clear" w:color="auto" w:fill="auto"/>
          </w:tcPr>
          <w:p w:rsidR="0017135D" w:rsidRPr="00EF3A31" w:rsidP="00EF3A31">
            <w:pPr>
              <w:pStyle w:val="CSBody8pt"/>
            </w:pPr>
            <w:r w:rsidRPr="00EF3A31">
              <w:t xml:space="preserve">Referenzsatz </w:t>
            </w:r>
            <w:r w:rsidRPr="00792D61">
              <w:rPr>
                <w:b/>
              </w:rPr>
              <w:t>[</w:t>
            </w:r>
            <w:r w:rsidRPr="00EF3A31">
              <w:rPr>
                <w:b/>
                <w:i/>
              </w:rPr>
              <w:t>bei Spread-Linked Notes und Spread Range Accrual Notes einfügen:</w:t>
            </w:r>
            <w:r w:rsidRPr="00EF3A31">
              <w:t xml:space="preserve"> 1</w:t>
            </w:r>
            <w:r w:rsidRPr="00792D61">
              <w:rPr>
                <w:b/>
              </w:rPr>
              <w:t>]</w:t>
            </w:r>
          </w:p>
        </w:tc>
        <w:tc>
          <w:tcPr>
            <w:tcW w:w="3318" w:type="dxa"/>
            <w:gridSpan w:val="10"/>
            <w:tcBorders>
              <w:top w:val="nil"/>
              <w:left w:val="nil"/>
              <w:bottom w:val="nil"/>
              <w:right w:val="nil"/>
            </w:tcBorders>
            <w:shd w:val="clear" w:color="auto" w:fill="auto"/>
          </w:tcPr>
          <w:p w:rsidR="0017135D" w:rsidRPr="00F71807" w:rsidP="00EF3A31">
            <w:pPr>
              <w:pStyle w:val="CSBody8ptbolditalics"/>
              <w:rPr>
                <w:lang w:val="de-DE"/>
              </w:rPr>
            </w:pPr>
            <w:r w:rsidRPr="00792D61">
              <w:rPr>
                <w:lang w:val="de-DE"/>
              </w:rPr>
              <w:t>[</w:t>
            </w:r>
            <w:r w:rsidRPr="00F71807">
              <w:rPr>
                <w:lang w:val="de-DE"/>
              </w:rPr>
              <w:t>bei allen Komplexen Produkten ausser Range Accrual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71807" w:rsidP="00EF3A31">
            <w:pPr>
              <w:pStyle w:val="CSBody8pt"/>
              <w:rPr>
                <w:lang w:val="de-DE"/>
              </w:rPr>
            </w:pPr>
          </w:p>
        </w:tc>
        <w:tc>
          <w:tcPr>
            <w:tcW w:w="3315" w:type="dxa"/>
            <w:gridSpan w:val="7"/>
            <w:tcBorders>
              <w:top w:val="nil"/>
              <w:left w:val="nil"/>
              <w:bottom w:val="nil"/>
            </w:tcBorders>
            <w:shd w:val="clear" w:color="auto" w:fill="auto"/>
          </w:tcPr>
          <w:p w:rsidR="0017135D" w:rsidRPr="00EF3A31" w:rsidP="00EF3A31">
            <w:pPr>
              <w:pStyle w:val="CSBody8pt"/>
            </w:pPr>
            <w:r w:rsidRPr="00792D61">
              <w:rPr>
                <w:b/>
              </w:rPr>
              <w:t>[[</w:t>
            </w:r>
            <w:r w:rsidRPr="00EF3A31">
              <w:rPr>
                <w:rFonts w:ascii="Arial" w:hAnsi="Arial" w:cs="Arial"/>
              </w:rPr>
              <w:t>●</w:t>
            </w:r>
            <w:r w:rsidRPr="00792D61">
              <w:rPr>
                <w:b/>
              </w:rPr>
              <w:t>]</w:t>
            </w:r>
            <w:r w:rsidRPr="00EF3A31">
              <w:t xml:space="preserve"> month </w:t>
            </w:r>
            <w:r w:rsidRPr="00792D61">
              <w:rPr>
                <w:b/>
              </w:rPr>
              <w:t>[</w:t>
            </w:r>
            <w:r w:rsidRPr="00EF3A31">
              <w:rPr>
                <w:rFonts w:ascii="Arial" w:hAnsi="Arial" w:cs="Arial"/>
              </w:rPr>
              <w:t>●</w:t>
            </w:r>
            <w:r w:rsidRPr="00792D61">
              <w:rPr>
                <w:b/>
              </w:rPr>
              <w:t>]</w:t>
            </w:r>
            <w:r w:rsidRPr="00EF3A31">
              <w:t xml:space="preserve"> LIBOR, </w:t>
            </w:r>
            <w:r w:rsidRPr="007E3558">
              <w:rPr>
                <w:i/>
              </w:rPr>
              <w:t>i.e.</w:t>
            </w:r>
            <w:r w:rsidRPr="00EF3A31">
              <w:t xml:space="preserve">, the London interbank offered rate for deposits in </w:t>
            </w:r>
            <w:r w:rsidRPr="00792D61">
              <w:rPr>
                <w:b/>
              </w:rPr>
              <w:t>[</w:t>
            </w:r>
            <w:r w:rsidRPr="00EF3A31">
              <w:rPr>
                <w:rFonts w:ascii="Arial" w:hAnsi="Arial" w:cs="Arial"/>
              </w:rPr>
              <w:t>●</w:t>
            </w:r>
            <w:r w:rsidRPr="00792D61">
              <w:rPr>
                <w:b/>
              </w:rPr>
              <w:t>]</w:t>
            </w:r>
            <w:r w:rsidRPr="00EF3A31">
              <w:t xml:space="preserve"> with a </w:t>
            </w:r>
            <w:r w:rsidRPr="00792D61">
              <w:rPr>
                <w:b/>
              </w:rPr>
              <w:t>[</w:t>
            </w:r>
            <w:r w:rsidRPr="00EF3A31">
              <w:rPr>
                <w:rFonts w:ascii="Arial" w:hAnsi="Arial" w:cs="Arial"/>
              </w:rPr>
              <w:t>●</w:t>
            </w:r>
            <w:r w:rsidRPr="00792D61">
              <w:rPr>
                <w:b/>
              </w:rPr>
              <w:t>]</w:t>
            </w:r>
            <w:r w:rsidRPr="00EF3A31">
              <w:t>-month maturity</w:t>
            </w:r>
            <w:r w:rsidRPr="00792D61">
              <w:rPr>
                <w:b/>
              </w:rPr>
              <w:t>][[</w:t>
            </w:r>
            <w:r w:rsidRPr="00EF3A31">
              <w:rPr>
                <w:rFonts w:ascii="Arial" w:hAnsi="Arial" w:cs="Arial"/>
              </w:rPr>
              <w:t>●</w:t>
            </w:r>
            <w:r w:rsidRPr="00792D61">
              <w:rPr>
                <w:b/>
              </w:rPr>
              <w:t>]</w:t>
            </w:r>
            <w:r w:rsidRPr="00EF3A31">
              <w:t xml:space="preserve"> month EURIBOR, </w:t>
            </w:r>
            <w:r w:rsidRPr="007E3558">
              <w:rPr>
                <w:i/>
              </w:rPr>
              <w:t>i.e.</w:t>
            </w:r>
            <w:r w:rsidRPr="00EF3A31">
              <w:t xml:space="preserve">, the rate for deposits in euro, designated as "EURIBOR" and sponsored jointly by the European Banking Federation and ACI-the Financial Market Association, or any company established by the joint sponsors for purposes of compiling and publishing such rate, with a </w:t>
            </w:r>
            <w:r w:rsidRPr="00792D61">
              <w:rPr>
                <w:b/>
              </w:rPr>
              <w:t>[</w:t>
            </w:r>
            <w:r w:rsidRPr="00EF3A31">
              <w:rPr>
                <w:rFonts w:ascii="Arial" w:hAnsi="Arial" w:cs="Arial"/>
              </w:rPr>
              <w:t>●</w:t>
            </w:r>
            <w:r w:rsidRPr="00792D61">
              <w:rPr>
                <w:b/>
              </w:rPr>
              <w:t>]</w:t>
            </w:r>
            <w:r w:rsidRPr="00EF3A31">
              <w:t>-month maturity</w:t>
            </w:r>
            <w:r w:rsidRPr="00792D61">
              <w:rPr>
                <w:b/>
              </w:rPr>
              <w:t>][</w:t>
            </w:r>
            <w:r w:rsidRPr="00EF3A31">
              <w:t xml:space="preserve">USD </w:t>
            </w:r>
            <w:r w:rsidRPr="00792D61">
              <w:rPr>
                <w:b/>
              </w:rPr>
              <w:t>[</w:t>
            </w:r>
            <w:r w:rsidRPr="00EF3A31">
              <w:rPr>
                <w:rFonts w:ascii="Arial" w:hAnsi="Arial" w:cs="Arial"/>
              </w:rPr>
              <w:t>●</w:t>
            </w:r>
            <w:r w:rsidRPr="00792D61">
              <w:rPr>
                <w:b/>
              </w:rPr>
              <w:t>]</w:t>
            </w:r>
            <w:r w:rsidRPr="00EF3A31">
              <w:t xml:space="preserve"> year CMS, </w:t>
            </w:r>
            <w:r w:rsidRPr="007E3558">
              <w:rPr>
                <w:i/>
              </w:rPr>
              <w:t>i.e.</w:t>
            </w:r>
            <w:r w:rsidRPr="00EF3A31">
              <w:t xml:space="preserve">, the rate for U.S. dollar swaps with a </w:t>
            </w:r>
            <w:r w:rsidRPr="00792D61">
              <w:rPr>
                <w:b/>
              </w:rPr>
              <w:t>[</w:t>
            </w:r>
            <w:r w:rsidRPr="00EF3A31">
              <w:rPr>
                <w:rFonts w:ascii="Arial" w:hAnsi="Arial" w:cs="Arial"/>
              </w:rPr>
              <w:t>●</w:t>
            </w:r>
            <w:r w:rsidRPr="00792D61">
              <w:rPr>
                <w:b/>
              </w:rPr>
              <w:t>]</w:t>
            </w:r>
            <w:r w:rsidRPr="00EF3A31">
              <w:t>-year maturity</w:t>
            </w:r>
            <w:r w:rsidRPr="00792D61">
              <w:rPr>
                <w:b/>
              </w:rPr>
              <w:t>][[</w:t>
            </w:r>
            <w:r w:rsidRPr="00EF3A31">
              <w:rPr>
                <w:rFonts w:ascii="Arial" w:hAnsi="Arial" w:cs="Arial"/>
              </w:rPr>
              <w:t>●</w:t>
            </w:r>
            <w:r w:rsidRPr="00792D61">
              <w:rPr>
                <w:b/>
              </w:rPr>
              <w:t>]]</w:t>
            </w:r>
            <w:r w:rsidRPr="00EF3A31">
              <w:t xml:space="preserve">, which, with respect to </w:t>
            </w:r>
            <w:r w:rsidRPr="00792D61">
              <w:rPr>
                <w:b/>
              </w:rPr>
              <w:t>[</w:t>
            </w:r>
            <w:r w:rsidRPr="00EF3A31">
              <w:t>any</w:t>
            </w:r>
            <w:r w:rsidRPr="00792D61">
              <w:rPr>
                <w:b/>
              </w:rPr>
              <w:t>][</w:t>
            </w:r>
            <w:r w:rsidRPr="00EF3A31">
              <w:t>the</w:t>
            </w:r>
            <w:r w:rsidRPr="00792D61">
              <w:rPr>
                <w:b/>
              </w:rPr>
              <w:t>]</w:t>
            </w:r>
            <w:r w:rsidRPr="00EF3A31">
              <w:t xml:space="preserve"> Interest Determination Date, shall be determined in accordance with the definition "Determination of Reference Rate </w:t>
            </w:r>
            <w:r w:rsidRPr="00792D61">
              <w:rPr>
                <w:b/>
              </w:rPr>
              <w:t>[</w:t>
            </w:r>
            <w:r w:rsidRPr="00244AFC">
              <w:rPr>
                <w:b/>
                <w:i/>
              </w:rPr>
              <w:t>in the case of Spread-Linked Notes and Spread Range Accrual Notes, insert:</w:t>
            </w:r>
            <w:r w:rsidRPr="00EF3A31">
              <w:t xml:space="preserve"> 1</w:t>
            </w:r>
            <w:r w:rsidRPr="00792D61">
              <w:rPr>
                <w:b/>
              </w:rPr>
              <w:t>]</w:t>
            </w:r>
            <w:r w:rsidRPr="00EF3A31">
              <w:t>".</w:t>
            </w:r>
            <w:r w:rsidRPr="00792D61">
              <w:rPr>
                <w:b/>
              </w:rPr>
              <w:t>]</w:t>
            </w:r>
          </w:p>
        </w:tc>
        <w:tc>
          <w:tcPr>
            <w:tcW w:w="1618" w:type="dxa"/>
            <w:gridSpan w:val="2"/>
            <w:tcBorders>
              <w:top w:val="nil"/>
              <w:bottom w:val="nil"/>
              <w:right w:val="nil"/>
            </w:tcBorders>
            <w:shd w:val="clear" w:color="auto" w:fill="auto"/>
          </w:tcPr>
          <w:p w:rsidR="0017135D" w:rsidRPr="00EF3A31" w:rsidP="00EF3A31">
            <w:pPr>
              <w:pStyle w:val="CSBody8pt"/>
            </w:pPr>
          </w:p>
        </w:tc>
        <w:tc>
          <w:tcPr>
            <w:tcW w:w="3318" w:type="dxa"/>
            <w:gridSpan w:val="10"/>
            <w:tcBorders>
              <w:top w:val="nil"/>
              <w:left w:val="nil"/>
              <w:bottom w:val="nil"/>
              <w:right w:val="nil"/>
            </w:tcBorders>
            <w:shd w:val="clear" w:color="auto" w:fill="auto"/>
          </w:tcPr>
          <w:p w:rsidR="0017135D" w:rsidRPr="00F71807" w:rsidP="00244AFC">
            <w:pPr>
              <w:pStyle w:val="CSBody8pt"/>
              <w:rPr>
                <w:lang w:val="de-DE"/>
              </w:rPr>
            </w:pPr>
            <w:r w:rsidRPr="00792D61">
              <w:rPr>
                <w:b/>
                <w:lang w:val="de-DE"/>
              </w:rPr>
              <w:t>[[</w:t>
            </w:r>
            <w:r w:rsidRPr="00F71807">
              <w:rPr>
                <w:rFonts w:ascii="Arial" w:hAnsi="Arial" w:cs="Arial"/>
                <w:lang w:val="de-DE"/>
              </w:rPr>
              <w:t>●</w:t>
            </w:r>
            <w:r w:rsidRPr="00792D61">
              <w:rPr>
                <w:b/>
                <w:lang w:val="de-DE"/>
              </w:rPr>
              <w:t>]</w:t>
            </w:r>
            <w:r w:rsidRPr="00F71807">
              <w:rPr>
                <w:lang w:val="de-DE"/>
              </w:rPr>
              <w:t xml:space="preserve">-Monats- </w:t>
            </w:r>
            <w:r w:rsidRPr="00792D61">
              <w:rPr>
                <w:b/>
                <w:lang w:val="de-DE"/>
              </w:rPr>
              <w:t>[</w:t>
            </w:r>
            <w:r w:rsidRPr="00F71807">
              <w:rPr>
                <w:rFonts w:ascii="Arial" w:hAnsi="Arial" w:cs="Arial"/>
                <w:lang w:val="de-DE"/>
              </w:rPr>
              <w:t>●</w:t>
            </w:r>
            <w:r w:rsidRPr="00792D61">
              <w:rPr>
                <w:b/>
                <w:lang w:val="de-DE"/>
              </w:rPr>
              <w:t>]</w:t>
            </w:r>
            <w:r w:rsidRPr="00F71807">
              <w:rPr>
                <w:lang w:val="de-DE"/>
              </w:rPr>
              <w:t xml:space="preserve"> LIBOR, </w:t>
            </w:r>
            <w:r>
              <w:rPr>
                <w:lang w:val="de-DE"/>
              </w:rPr>
              <w:t>d.h.</w:t>
            </w:r>
            <w:r w:rsidRPr="00F71807">
              <w:rPr>
                <w:lang w:val="de-DE"/>
              </w:rPr>
              <w:t xml:space="preserve"> der Londoner Interbankensatz (London interbank offered rate) für Einlagen in </w:t>
            </w:r>
            <w:r w:rsidRPr="00792D61">
              <w:rPr>
                <w:b/>
                <w:lang w:val="de-DE"/>
              </w:rPr>
              <w:t>[</w:t>
            </w:r>
            <w:r w:rsidRPr="00F71807">
              <w:rPr>
                <w:rFonts w:ascii="Arial" w:hAnsi="Arial" w:cs="Arial"/>
                <w:lang w:val="de-DE"/>
              </w:rPr>
              <w:t>●</w:t>
            </w:r>
            <w:r w:rsidRPr="00792D61">
              <w:rPr>
                <w:b/>
                <w:lang w:val="de-DE"/>
              </w:rPr>
              <w:t>]</w:t>
            </w:r>
            <w:r w:rsidRPr="00F71807">
              <w:rPr>
                <w:lang w:val="de-DE"/>
              </w:rPr>
              <w:t xml:space="preserve"> mit einer Laufzeit von </w:t>
            </w:r>
            <w:r w:rsidRPr="00792D61">
              <w:rPr>
                <w:b/>
                <w:lang w:val="de-DE"/>
              </w:rPr>
              <w:t>[</w:t>
            </w:r>
            <w:r w:rsidRPr="00F71807">
              <w:rPr>
                <w:rFonts w:ascii="Arial" w:hAnsi="Arial" w:cs="Arial"/>
                <w:lang w:val="de-DE"/>
              </w:rPr>
              <w:t>●</w:t>
            </w:r>
            <w:r w:rsidRPr="00792D61">
              <w:rPr>
                <w:b/>
                <w:lang w:val="de-DE"/>
              </w:rPr>
              <w:t>]</w:t>
            </w:r>
            <w:r w:rsidRPr="00F71807">
              <w:rPr>
                <w:lang w:val="de-DE"/>
              </w:rPr>
              <w:t xml:space="preserve"> Monat</w:t>
            </w:r>
            <w:r w:rsidRPr="00792D61">
              <w:rPr>
                <w:b/>
                <w:lang w:val="de-DE"/>
              </w:rPr>
              <w:t>[</w:t>
            </w:r>
            <w:r w:rsidRPr="00F71807">
              <w:rPr>
                <w:lang w:val="de-DE"/>
              </w:rPr>
              <w:t>en</w:t>
            </w:r>
            <w:r w:rsidRPr="00792D61">
              <w:rPr>
                <w:b/>
                <w:lang w:val="de-DE"/>
              </w:rPr>
              <w:t>]][[</w:t>
            </w:r>
            <w:r w:rsidRPr="00F71807">
              <w:rPr>
                <w:rFonts w:ascii="Arial" w:hAnsi="Arial" w:cs="Arial"/>
                <w:lang w:val="de-DE"/>
              </w:rPr>
              <w:t>●</w:t>
            </w:r>
            <w:r w:rsidRPr="00792D61">
              <w:rPr>
                <w:b/>
                <w:lang w:val="de-DE"/>
              </w:rPr>
              <w:t>]</w:t>
            </w:r>
            <w:r w:rsidRPr="00F71807">
              <w:rPr>
                <w:lang w:val="de-DE"/>
              </w:rPr>
              <w:t xml:space="preserve">-Monats-EURIBOR, </w:t>
            </w:r>
            <w:r>
              <w:rPr>
                <w:lang w:val="de-DE"/>
              </w:rPr>
              <w:t>d.h.</w:t>
            </w:r>
            <w:r w:rsidRPr="00F71807">
              <w:rPr>
                <w:lang w:val="de-DE"/>
              </w:rPr>
              <w:t xml:space="preserve"> der Zinssatz für Einlagen in Euro unter der Bezeichnung "EURIBOR", bei dem die European Banking Federation und ACI – The Financial Market Association gemeinsam oder ein von den gemeinsamen Sponsoren zur Ermittlung und Veröffentlichung dieses Zinssatzes gegründetes Unternehmen als Sponsor fungieren, mit einer Laufzeit von </w:t>
            </w:r>
            <w:r w:rsidRPr="00792D61">
              <w:rPr>
                <w:b/>
                <w:lang w:val="de-DE"/>
              </w:rPr>
              <w:t>[</w:t>
            </w:r>
            <w:r w:rsidRPr="00F71807">
              <w:rPr>
                <w:rFonts w:ascii="Arial" w:hAnsi="Arial" w:cs="Arial"/>
                <w:lang w:val="de-DE"/>
              </w:rPr>
              <w:t>●</w:t>
            </w:r>
            <w:r w:rsidRPr="00792D61">
              <w:rPr>
                <w:b/>
                <w:lang w:val="de-DE"/>
              </w:rPr>
              <w:t>]</w:t>
            </w:r>
            <w:r w:rsidRPr="00F71807">
              <w:rPr>
                <w:lang w:val="de-DE"/>
              </w:rPr>
              <w:t xml:space="preserve"> Monat</w:t>
            </w:r>
            <w:r w:rsidRPr="00792D61">
              <w:rPr>
                <w:b/>
                <w:lang w:val="de-DE"/>
              </w:rPr>
              <w:t>[</w:t>
            </w:r>
            <w:r w:rsidRPr="00F71807">
              <w:rPr>
                <w:lang w:val="de-DE"/>
              </w:rPr>
              <w:t>en</w:t>
            </w:r>
            <w:r w:rsidRPr="00792D61">
              <w:rPr>
                <w:b/>
                <w:lang w:val="de-DE"/>
              </w:rPr>
              <w:t>]</w:t>
            </w:r>
            <w:r w:rsidRPr="00F71807">
              <w:rPr>
                <w:lang w:val="de-DE"/>
              </w:rPr>
              <w:t xml:space="preserve"> </w:t>
            </w:r>
            <w:r w:rsidRPr="00792D61">
              <w:rPr>
                <w:b/>
                <w:lang w:val="de-DE"/>
              </w:rPr>
              <w:t>][</w:t>
            </w:r>
            <w:r w:rsidRPr="00F71807">
              <w:rPr>
                <w:lang w:val="de-DE"/>
              </w:rPr>
              <w:t xml:space="preserve">USD </w:t>
            </w:r>
            <w:r w:rsidRPr="00792D61">
              <w:rPr>
                <w:b/>
                <w:lang w:val="de-DE"/>
              </w:rPr>
              <w:t>[</w:t>
            </w:r>
            <w:r w:rsidRPr="00F71807">
              <w:rPr>
                <w:rFonts w:ascii="Arial" w:hAnsi="Arial" w:cs="Arial"/>
                <w:lang w:val="de-DE"/>
              </w:rPr>
              <w:t>●</w:t>
            </w:r>
            <w:r w:rsidRPr="00792D61">
              <w:rPr>
                <w:b/>
                <w:lang w:val="de-DE"/>
              </w:rPr>
              <w:t>]</w:t>
            </w:r>
            <w:r w:rsidRPr="00F71807">
              <w:rPr>
                <w:lang w:val="de-DE"/>
              </w:rPr>
              <w:t xml:space="preserve">-Jahres-CMS, </w:t>
            </w:r>
            <w:r>
              <w:rPr>
                <w:lang w:val="de-DE"/>
              </w:rPr>
              <w:t>d.h.</w:t>
            </w:r>
            <w:r w:rsidRPr="00F71807">
              <w:rPr>
                <w:lang w:val="de-DE"/>
              </w:rPr>
              <w:t xml:space="preserve"> der Satz für US-Dollar-Swaps mit einer Laufzeit von </w:t>
            </w:r>
            <w:r w:rsidRPr="00792D61">
              <w:rPr>
                <w:b/>
                <w:lang w:val="de-DE"/>
              </w:rPr>
              <w:t>[</w:t>
            </w:r>
            <w:r w:rsidRPr="00F71807">
              <w:rPr>
                <w:rFonts w:ascii="Arial" w:hAnsi="Arial" w:cs="Arial"/>
                <w:lang w:val="de-DE"/>
              </w:rPr>
              <w:t>●</w:t>
            </w:r>
            <w:r w:rsidRPr="00792D61">
              <w:rPr>
                <w:b/>
                <w:lang w:val="de-DE"/>
              </w:rPr>
              <w:t>]</w:t>
            </w:r>
            <w:r w:rsidRPr="00F71807">
              <w:rPr>
                <w:lang w:val="de-DE"/>
              </w:rPr>
              <w:t xml:space="preserve"> Jahr</w:t>
            </w:r>
            <w:r w:rsidRPr="00792D61">
              <w:rPr>
                <w:b/>
                <w:lang w:val="de-DE"/>
              </w:rPr>
              <w:t>[</w:t>
            </w:r>
            <w:r w:rsidRPr="00F71807">
              <w:rPr>
                <w:lang w:val="de-DE"/>
              </w:rPr>
              <w:t>en</w:t>
            </w:r>
            <w:r w:rsidRPr="00792D61">
              <w:rPr>
                <w:b/>
                <w:lang w:val="de-DE"/>
              </w:rPr>
              <w:t>]][[</w:t>
            </w:r>
            <w:r w:rsidRPr="00F71807">
              <w:rPr>
                <w:rFonts w:ascii="Arial" w:hAnsi="Arial" w:cs="Arial"/>
                <w:lang w:val="de-DE"/>
              </w:rPr>
              <w:t>●</w:t>
            </w:r>
            <w:r w:rsidRPr="00792D61">
              <w:rPr>
                <w:b/>
                <w:lang w:val="de-DE"/>
              </w:rPr>
              <w:t>]]</w:t>
            </w:r>
            <w:r w:rsidRPr="00F71807">
              <w:rPr>
                <w:lang w:val="de-DE"/>
              </w:rPr>
              <w:t xml:space="preserve">, der in Bezug auf </w:t>
            </w:r>
            <w:r w:rsidRPr="00792D61">
              <w:rPr>
                <w:b/>
                <w:lang w:val="de-DE"/>
              </w:rPr>
              <w:t>[</w:t>
            </w:r>
            <w:r w:rsidRPr="00F71807">
              <w:rPr>
                <w:lang w:val="de-DE"/>
              </w:rPr>
              <w:t>einen</w:t>
            </w:r>
            <w:r w:rsidRPr="00792D61">
              <w:rPr>
                <w:b/>
                <w:lang w:val="de-DE"/>
              </w:rPr>
              <w:t>][</w:t>
            </w:r>
            <w:r w:rsidRPr="00F71807">
              <w:rPr>
                <w:lang w:val="de-DE"/>
              </w:rPr>
              <w:t>den</w:t>
            </w:r>
            <w:r w:rsidRPr="00792D61">
              <w:rPr>
                <w:b/>
                <w:lang w:val="de-DE"/>
              </w:rPr>
              <w:t>]</w:t>
            </w:r>
            <w:r w:rsidRPr="00F71807">
              <w:rPr>
                <w:lang w:val="de-DE"/>
              </w:rPr>
              <w:t xml:space="preserve"> Zinsfeststellungstag gemäss der Definition "Feststellung des Referenzsatzes </w:t>
            </w:r>
            <w:r w:rsidRPr="00792D61">
              <w:rPr>
                <w:b/>
                <w:lang w:val="de-DE"/>
              </w:rPr>
              <w:t>[</w:t>
            </w:r>
            <w:r w:rsidRPr="00244AFC">
              <w:rPr>
                <w:b/>
                <w:i/>
                <w:lang w:val="de-DE"/>
              </w:rPr>
              <w:t>bei Spread-Linked Notes und Spread Range Accrual Notes einfügen:</w:t>
            </w:r>
            <w:r w:rsidRPr="00F71807">
              <w:rPr>
                <w:lang w:val="de-DE"/>
              </w:rPr>
              <w:t xml:space="preserve"> 1</w:t>
            </w:r>
            <w:r w:rsidRPr="00792D61">
              <w:rPr>
                <w:b/>
                <w:lang w:val="de-DE"/>
              </w:rPr>
              <w:t>]</w:t>
            </w:r>
            <w:r w:rsidRPr="00F71807">
              <w:rPr>
                <w:lang w:val="de-DE"/>
              </w:rPr>
              <w:t>" festgestellt wird.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C038C" w:rsidP="00244AFC">
            <w:pPr>
              <w:pStyle w:val="CSBody8ptbolditalics"/>
              <w:rPr>
                <w:lang w:val="de-DE"/>
              </w:rPr>
            </w:pPr>
          </w:p>
        </w:tc>
        <w:tc>
          <w:tcPr>
            <w:tcW w:w="3315" w:type="dxa"/>
            <w:gridSpan w:val="7"/>
            <w:tcBorders>
              <w:top w:val="nil"/>
              <w:left w:val="nil"/>
              <w:bottom w:val="nil"/>
            </w:tcBorders>
            <w:shd w:val="clear" w:color="auto" w:fill="auto"/>
          </w:tcPr>
          <w:p w:rsidR="0017135D" w:rsidRPr="00EC3AE8" w:rsidP="00244AFC">
            <w:pPr>
              <w:pStyle w:val="CSBody8ptbolditalics"/>
            </w:pPr>
            <w:r w:rsidRPr="00792D61">
              <w:t>[</w:t>
            </w:r>
            <w:r w:rsidRPr="00EC3AE8">
              <w:t>in the case of Range Accrual Notes, insert:</w:t>
            </w:r>
          </w:p>
        </w:tc>
        <w:tc>
          <w:tcPr>
            <w:tcW w:w="1618" w:type="dxa"/>
            <w:gridSpan w:val="2"/>
            <w:tcBorders>
              <w:top w:val="nil"/>
              <w:bottom w:val="nil"/>
              <w:right w:val="nil"/>
            </w:tcBorders>
            <w:shd w:val="clear" w:color="auto" w:fill="auto"/>
          </w:tcPr>
          <w:p w:rsidR="0017135D" w:rsidRPr="000C038C" w:rsidP="00244AFC">
            <w:pPr>
              <w:pStyle w:val="CSBody8ptbolditalics"/>
            </w:pPr>
          </w:p>
        </w:tc>
        <w:tc>
          <w:tcPr>
            <w:tcW w:w="3318" w:type="dxa"/>
            <w:gridSpan w:val="10"/>
            <w:tcBorders>
              <w:top w:val="nil"/>
              <w:left w:val="nil"/>
              <w:bottom w:val="nil"/>
              <w:right w:val="nil"/>
            </w:tcBorders>
            <w:shd w:val="clear" w:color="auto" w:fill="auto"/>
          </w:tcPr>
          <w:p w:rsidR="0017135D" w:rsidRPr="009D08E0" w:rsidP="00244AFC">
            <w:pPr>
              <w:pStyle w:val="CSBody8ptbolditalics"/>
              <w:rPr>
                <w:lang w:val="de-DE"/>
              </w:rPr>
            </w:pPr>
            <w:r w:rsidRPr="009D08E0">
              <w:rPr>
                <w:lang w:val="de-DE"/>
              </w:rPr>
              <w:t>[bei Range Accrual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D08E0" w:rsidP="00EF3A31">
            <w:pPr>
              <w:pStyle w:val="CSBody8pt"/>
              <w:rPr>
                <w:lang w:val="de-DE"/>
              </w:rPr>
            </w:pPr>
          </w:p>
        </w:tc>
        <w:tc>
          <w:tcPr>
            <w:tcW w:w="3315" w:type="dxa"/>
            <w:gridSpan w:val="7"/>
            <w:tcBorders>
              <w:top w:val="nil"/>
              <w:left w:val="nil"/>
              <w:bottom w:val="nil"/>
            </w:tcBorders>
            <w:shd w:val="clear" w:color="auto" w:fill="auto"/>
          </w:tcPr>
          <w:p w:rsidR="0017135D" w:rsidP="00EF3A31">
            <w:pPr>
              <w:pStyle w:val="CSBody8pt"/>
            </w:pPr>
            <w:r w:rsidRPr="00792D61">
              <w:rPr>
                <w:b/>
              </w:rPr>
              <w:t>[[</w:t>
            </w:r>
            <w:r w:rsidRPr="00EC3AE8">
              <w:rPr>
                <w:rFonts w:ascii="Arial" w:hAnsi="Arial" w:cs="Arial"/>
              </w:rPr>
              <w:t>●</w:t>
            </w:r>
            <w:r w:rsidRPr="00792D61">
              <w:rPr>
                <w:b/>
              </w:rPr>
              <w:t>]</w:t>
            </w:r>
            <w:r w:rsidRPr="00EC3AE8">
              <w:t xml:space="preserve"> month </w:t>
            </w:r>
            <w:r w:rsidRPr="00792D61">
              <w:rPr>
                <w:b/>
              </w:rPr>
              <w:t>[</w:t>
            </w:r>
            <w:r w:rsidRPr="00EC3AE8">
              <w:rPr>
                <w:rFonts w:ascii="Arial" w:hAnsi="Arial" w:cs="Arial"/>
              </w:rPr>
              <w:t>●</w:t>
            </w:r>
            <w:r w:rsidRPr="00792D61">
              <w:rPr>
                <w:b/>
              </w:rPr>
              <w:t>]</w:t>
            </w:r>
            <w:r w:rsidRPr="00EC3AE8">
              <w:t xml:space="preserve"> LIBOR, </w:t>
            </w:r>
            <w:r w:rsidRPr="007E3558">
              <w:rPr>
                <w:i/>
              </w:rPr>
              <w:t>i.e.</w:t>
            </w:r>
            <w:r w:rsidRPr="00EC3AE8">
              <w:t xml:space="preserve">, the London interbank offered rate for deposits in </w:t>
            </w:r>
            <w:r w:rsidRPr="00792D61">
              <w:rPr>
                <w:b/>
              </w:rPr>
              <w:t>[</w:t>
            </w:r>
            <w:r w:rsidRPr="00EC3AE8">
              <w:rPr>
                <w:rFonts w:ascii="Arial" w:hAnsi="Arial" w:cs="Arial"/>
              </w:rPr>
              <w:t>●</w:t>
            </w:r>
            <w:r w:rsidRPr="00792D61">
              <w:rPr>
                <w:b/>
              </w:rPr>
              <w:t>]</w:t>
            </w:r>
            <w:r w:rsidRPr="00EC3AE8">
              <w:t xml:space="preserve"> with a </w:t>
            </w:r>
            <w:r w:rsidRPr="00792D61">
              <w:rPr>
                <w:b/>
              </w:rPr>
              <w:t>[</w:t>
            </w:r>
            <w:r w:rsidRPr="00EC3AE8">
              <w:rPr>
                <w:rFonts w:ascii="Arial" w:hAnsi="Arial" w:cs="Arial"/>
              </w:rPr>
              <w:t>●</w:t>
            </w:r>
            <w:r w:rsidRPr="00792D61">
              <w:rPr>
                <w:b/>
              </w:rPr>
              <w:t>]</w:t>
            </w:r>
            <w:r w:rsidRPr="00EC3AE8">
              <w:t>-month maturity</w:t>
            </w:r>
            <w:r w:rsidRPr="00792D61">
              <w:rPr>
                <w:b/>
              </w:rPr>
              <w:t>][[</w:t>
            </w:r>
            <w:r w:rsidRPr="00EC3AE8">
              <w:rPr>
                <w:rFonts w:ascii="Arial" w:hAnsi="Arial" w:cs="Arial"/>
              </w:rPr>
              <w:t>●</w:t>
            </w:r>
            <w:r w:rsidRPr="00792D61">
              <w:rPr>
                <w:b/>
              </w:rPr>
              <w:t>]</w:t>
            </w:r>
            <w:r w:rsidRPr="00EC3AE8">
              <w:t xml:space="preserve"> month EURIBOR, </w:t>
            </w:r>
            <w:r w:rsidRPr="007E3558">
              <w:rPr>
                <w:i/>
              </w:rPr>
              <w:t>i.e.</w:t>
            </w:r>
            <w:r w:rsidRPr="00EC3AE8">
              <w:t xml:space="preserve">, the rate for deposits in euro, designated as "EURIBOR" and sponsored jointly by the European Banking Federation and ACI-the Financial Market Association, or any company established by the joint sponsors for purposes of compiling and publishing such rate, with a </w:t>
            </w:r>
            <w:r w:rsidRPr="00792D61">
              <w:rPr>
                <w:b/>
              </w:rPr>
              <w:t>[</w:t>
            </w:r>
            <w:r w:rsidRPr="00EC3AE8">
              <w:rPr>
                <w:rFonts w:ascii="Arial" w:hAnsi="Arial" w:cs="Arial"/>
              </w:rPr>
              <w:t>●</w:t>
            </w:r>
            <w:r w:rsidRPr="00792D61">
              <w:rPr>
                <w:b/>
              </w:rPr>
              <w:t>]</w:t>
            </w:r>
            <w:r w:rsidRPr="00EC3AE8">
              <w:t>-month maturity</w:t>
            </w:r>
            <w:r w:rsidRPr="00792D61">
              <w:rPr>
                <w:b/>
              </w:rPr>
              <w:t>][</w:t>
            </w:r>
            <w:r w:rsidRPr="00EC3AE8">
              <w:t xml:space="preserve">USD </w:t>
            </w:r>
            <w:r w:rsidRPr="00792D61">
              <w:rPr>
                <w:b/>
              </w:rPr>
              <w:t>[</w:t>
            </w:r>
            <w:r w:rsidRPr="00EC3AE8">
              <w:rPr>
                <w:rFonts w:ascii="Arial" w:hAnsi="Arial" w:cs="Arial"/>
              </w:rPr>
              <w:t>●</w:t>
            </w:r>
            <w:r w:rsidRPr="00792D61">
              <w:rPr>
                <w:b/>
              </w:rPr>
              <w:t>]</w:t>
            </w:r>
            <w:r w:rsidRPr="00EC3AE8">
              <w:t xml:space="preserve"> year CMS, </w:t>
            </w:r>
            <w:r w:rsidRPr="007E3558">
              <w:rPr>
                <w:i/>
              </w:rPr>
              <w:t>i.e.</w:t>
            </w:r>
            <w:r w:rsidRPr="00EC3AE8">
              <w:t xml:space="preserve">, the rate for U.S. dollar swaps with a </w:t>
            </w:r>
            <w:r w:rsidRPr="00792D61">
              <w:rPr>
                <w:b/>
              </w:rPr>
              <w:t>[</w:t>
            </w:r>
            <w:r w:rsidRPr="00EC3AE8">
              <w:rPr>
                <w:rFonts w:ascii="Arial" w:hAnsi="Arial" w:cs="Arial"/>
              </w:rPr>
              <w:t>●</w:t>
            </w:r>
            <w:r w:rsidRPr="00792D61">
              <w:rPr>
                <w:b/>
              </w:rPr>
              <w:t>]</w:t>
            </w:r>
            <w:r w:rsidRPr="00EC3AE8">
              <w:t>-year maturity</w:t>
            </w:r>
            <w:r w:rsidRPr="00792D61">
              <w:rPr>
                <w:b/>
              </w:rPr>
              <w:t>][[</w:t>
            </w:r>
            <w:r w:rsidRPr="00EC3AE8">
              <w:rPr>
                <w:rFonts w:ascii="Arial" w:hAnsi="Arial" w:cs="Arial"/>
              </w:rPr>
              <w:t>●</w:t>
            </w:r>
            <w:r w:rsidRPr="00792D61">
              <w:rPr>
                <w:b/>
              </w:rPr>
              <w:t>]]</w:t>
            </w:r>
            <w:r w:rsidRPr="00EC3AE8">
              <w:t xml:space="preserve">, which, with respect to </w:t>
            </w:r>
            <w:r w:rsidRPr="00792D61">
              <w:rPr>
                <w:b/>
              </w:rPr>
              <w:t>[</w:t>
            </w:r>
            <w:r w:rsidRPr="00EC3AE8">
              <w:t>any</w:t>
            </w:r>
            <w:r w:rsidRPr="00792D61">
              <w:rPr>
                <w:b/>
              </w:rPr>
              <w:t>][</w:t>
            </w:r>
            <w:r w:rsidRPr="00EC3AE8">
              <w:t>the</w:t>
            </w:r>
            <w:r w:rsidRPr="00792D61">
              <w:rPr>
                <w:b/>
              </w:rPr>
              <w:t>]</w:t>
            </w:r>
            <w:r w:rsidRPr="00EC3AE8">
              <w:t xml:space="preserve"> Barrier Observation Date, shall be determined in accordance with the definition "Determination of Reference Rate".</w:t>
            </w:r>
            <w:r w:rsidRPr="00792D61">
              <w:rPr>
                <w:b/>
              </w:rPr>
              <w:t>]</w:t>
            </w:r>
          </w:p>
        </w:tc>
        <w:tc>
          <w:tcPr>
            <w:tcW w:w="1618" w:type="dxa"/>
            <w:gridSpan w:val="2"/>
            <w:tcBorders>
              <w:top w:val="nil"/>
              <w:bottom w:val="nil"/>
              <w:right w:val="nil"/>
            </w:tcBorders>
            <w:shd w:val="clear" w:color="auto" w:fill="auto"/>
          </w:tcPr>
          <w:p w:rsidR="0017135D" w:rsidRPr="000C038C" w:rsidP="00EF3A31">
            <w:pPr>
              <w:pStyle w:val="CSBody8pt"/>
              <w:rPr>
                <w:i/>
              </w:rPr>
            </w:pPr>
          </w:p>
        </w:tc>
        <w:tc>
          <w:tcPr>
            <w:tcW w:w="3318" w:type="dxa"/>
            <w:gridSpan w:val="10"/>
            <w:tcBorders>
              <w:top w:val="nil"/>
              <w:left w:val="nil"/>
              <w:bottom w:val="nil"/>
              <w:right w:val="nil"/>
            </w:tcBorders>
            <w:shd w:val="clear" w:color="auto" w:fill="auto"/>
          </w:tcPr>
          <w:p w:rsidR="0017135D" w:rsidRPr="000C038C" w:rsidP="00244AFC">
            <w:pPr>
              <w:pStyle w:val="CSBody8pt"/>
              <w:rPr>
                <w:lang w:val="de-DE"/>
              </w:rPr>
            </w:pPr>
            <w:r w:rsidRPr="00792D61">
              <w:rPr>
                <w:b/>
                <w:lang w:val="de-DE"/>
              </w:rPr>
              <w:t>[[</w:t>
            </w:r>
            <w:r w:rsidRPr="000C038C">
              <w:rPr>
                <w:rFonts w:ascii="Arial" w:hAnsi="Arial" w:cs="Arial"/>
                <w:lang w:val="de-DE"/>
              </w:rPr>
              <w:t>●</w:t>
            </w:r>
            <w:r w:rsidRPr="00792D61">
              <w:rPr>
                <w:b/>
                <w:lang w:val="de-DE"/>
              </w:rPr>
              <w:t>]</w:t>
            </w:r>
            <w:r w:rsidRPr="000C038C">
              <w:rPr>
                <w:lang w:val="de-DE"/>
              </w:rPr>
              <w:t xml:space="preserve">-Monats- </w:t>
            </w:r>
            <w:r w:rsidRPr="00792D61">
              <w:rPr>
                <w:b/>
                <w:lang w:val="de-DE"/>
              </w:rPr>
              <w:t>[</w:t>
            </w:r>
            <w:r w:rsidRPr="000C038C">
              <w:rPr>
                <w:rFonts w:ascii="Arial" w:hAnsi="Arial" w:cs="Arial"/>
                <w:lang w:val="de-DE"/>
              </w:rPr>
              <w:t>●</w:t>
            </w:r>
            <w:r w:rsidRPr="00792D61">
              <w:rPr>
                <w:b/>
                <w:lang w:val="de-DE"/>
              </w:rPr>
              <w:t>]</w:t>
            </w:r>
            <w:r w:rsidRPr="000C038C">
              <w:rPr>
                <w:lang w:val="de-DE"/>
              </w:rPr>
              <w:t xml:space="preserve"> LIBOR, </w:t>
            </w:r>
            <w:r>
              <w:rPr>
                <w:lang w:val="de-DE"/>
              </w:rPr>
              <w:t>d.h.</w:t>
            </w:r>
            <w:r w:rsidRPr="000C038C">
              <w:rPr>
                <w:lang w:val="de-DE"/>
              </w:rPr>
              <w:t xml:space="preserve"> der Londoner Interbankensatz (London interbank offered rate) f</w:t>
            </w:r>
            <w:r w:rsidRPr="000C038C">
              <w:rPr>
                <w:rFonts w:cs="Credit Suisse Type Light"/>
                <w:lang w:val="de-DE"/>
              </w:rPr>
              <w:t>ü</w:t>
            </w:r>
            <w:r w:rsidRPr="000C038C">
              <w:rPr>
                <w:lang w:val="de-DE"/>
              </w:rPr>
              <w:t xml:space="preserve">r Einlagen in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Monat</w:t>
            </w:r>
            <w:r w:rsidRPr="00792D61">
              <w:rPr>
                <w:b/>
                <w:lang w:val="de-DE"/>
              </w:rPr>
              <w:t>[</w:t>
            </w:r>
            <w:r w:rsidRPr="000C038C">
              <w:rPr>
                <w:lang w:val="de-DE"/>
              </w:rPr>
              <w:t>en</w:t>
            </w:r>
            <w:r w:rsidRPr="00792D61">
              <w:rPr>
                <w:b/>
                <w:lang w:val="de-DE"/>
              </w:rPr>
              <w:t>]][[</w:t>
            </w:r>
            <w:r w:rsidRPr="000C038C">
              <w:rPr>
                <w:rFonts w:ascii="Arial" w:hAnsi="Arial" w:cs="Arial"/>
                <w:lang w:val="de-DE"/>
              </w:rPr>
              <w:t>●</w:t>
            </w:r>
            <w:r w:rsidRPr="00792D61">
              <w:rPr>
                <w:b/>
                <w:lang w:val="de-DE"/>
              </w:rPr>
              <w:t>]</w:t>
            </w:r>
            <w:r w:rsidRPr="000C038C">
              <w:rPr>
                <w:lang w:val="de-DE"/>
              </w:rPr>
              <w:t xml:space="preserve">-Monats-EURIBOR, </w:t>
            </w:r>
            <w:r>
              <w:rPr>
                <w:lang w:val="de-DE"/>
              </w:rPr>
              <w:t>d.h.</w:t>
            </w:r>
            <w:r w:rsidRPr="000C038C">
              <w:rPr>
                <w:lang w:val="de-DE"/>
              </w:rPr>
              <w:t xml:space="preserve"> der Zinssatz f</w:t>
            </w:r>
            <w:r w:rsidRPr="000C038C">
              <w:rPr>
                <w:rFonts w:cs="Credit Suisse Type Light"/>
                <w:lang w:val="de-DE"/>
              </w:rPr>
              <w:t>ü</w:t>
            </w:r>
            <w:r w:rsidRPr="000C038C">
              <w:rPr>
                <w:lang w:val="de-DE"/>
              </w:rPr>
              <w:t xml:space="preserve">r Einlagen in Euro unter der Bezeichnung "EURIBOR", bei dem die European Banking Federation und ACI – The Financial Market Association gemeinsam oder ein von den gemeinsamen Sponsoren zur Ermittlung und Veröffentlichung dieses Zinssatzes gegründetes Unternehmen als Sponsor fungieren,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Monat</w:t>
            </w:r>
            <w:r w:rsidRPr="00792D61">
              <w:rPr>
                <w:b/>
                <w:lang w:val="de-DE"/>
              </w:rPr>
              <w:t>[</w:t>
            </w:r>
            <w:r w:rsidRPr="000C038C">
              <w:rPr>
                <w:lang w:val="de-DE"/>
              </w:rPr>
              <w:t>en</w:t>
            </w:r>
            <w:r w:rsidRPr="00792D61">
              <w:rPr>
                <w:b/>
                <w:lang w:val="de-DE"/>
              </w:rPr>
              <w:t>]][</w:t>
            </w:r>
            <w:r w:rsidRPr="000C038C">
              <w:rPr>
                <w:lang w:val="de-DE"/>
              </w:rPr>
              <w:t xml:space="preserve">USD </w:t>
            </w:r>
            <w:r w:rsidRPr="00792D61">
              <w:rPr>
                <w:b/>
                <w:lang w:val="de-DE"/>
              </w:rPr>
              <w:t>[</w:t>
            </w:r>
            <w:r w:rsidRPr="000C038C">
              <w:rPr>
                <w:rFonts w:ascii="Arial" w:hAnsi="Arial" w:cs="Arial"/>
                <w:lang w:val="de-DE"/>
              </w:rPr>
              <w:t>●</w:t>
            </w:r>
            <w:r w:rsidRPr="00792D61">
              <w:rPr>
                <w:b/>
                <w:lang w:val="de-DE"/>
              </w:rPr>
              <w:t>]</w:t>
            </w:r>
            <w:r w:rsidRPr="000C038C">
              <w:rPr>
                <w:lang w:val="de-DE"/>
              </w:rPr>
              <w:t xml:space="preserve">-Jahres-CMS, </w:t>
            </w:r>
            <w:r>
              <w:rPr>
                <w:lang w:val="de-DE"/>
              </w:rPr>
              <w:t>d.h.</w:t>
            </w:r>
            <w:r w:rsidRPr="000C038C">
              <w:rPr>
                <w:lang w:val="de-DE"/>
              </w:rPr>
              <w:t xml:space="preserve"> der Satz f</w:t>
            </w:r>
            <w:r w:rsidRPr="000C038C">
              <w:rPr>
                <w:rFonts w:cs="Credit Suisse Type Light"/>
                <w:lang w:val="de-DE"/>
              </w:rPr>
              <w:t>ü</w:t>
            </w:r>
            <w:r w:rsidRPr="000C038C">
              <w:rPr>
                <w:lang w:val="de-DE"/>
              </w:rPr>
              <w:t xml:space="preserve">r US-Dollar-Swaps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Jahr</w:t>
            </w:r>
            <w:r w:rsidRPr="00792D61">
              <w:rPr>
                <w:b/>
                <w:lang w:val="de-DE"/>
              </w:rPr>
              <w:t>[</w:t>
            </w:r>
            <w:r w:rsidRPr="000C038C">
              <w:rPr>
                <w:lang w:val="de-DE"/>
              </w:rPr>
              <w:t>en</w:t>
            </w:r>
            <w:r w:rsidRPr="00792D61">
              <w:rPr>
                <w:b/>
                <w:lang w:val="de-DE"/>
              </w:rPr>
              <w:t>]][[</w:t>
            </w:r>
            <w:r w:rsidRPr="000C038C">
              <w:rPr>
                <w:rFonts w:ascii="Arial" w:hAnsi="Arial" w:cs="Arial"/>
                <w:lang w:val="de-DE"/>
              </w:rPr>
              <w:t>●</w:t>
            </w:r>
            <w:r w:rsidRPr="00792D61">
              <w:rPr>
                <w:b/>
                <w:lang w:val="de-DE"/>
              </w:rPr>
              <w:t>]]</w:t>
            </w:r>
            <w:r w:rsidRPr="000C038C">
              <w:rPr>
                <w:lang w:val="de-DE"/>
              </w:rPr>
              <w:t xml:space="preserve">, der in Bezug auf </w:t>
            </w:r>
            <w:r w:rsidRPr="00792D61">
              <w:rPr>
                <w:b/>
                <w:lang w:val="de-DE"/>
              </w:rPr>
              <w:t>[</w:t>
            </w:r>
            <w:r w:rsidRPr="000C038C">
              <w:rPr>
                <w:lang w:val="de-DE"/>
              </w:rPr>
              <w:t>einen</w:t>
            </w:r>
            <w:r w:rsidRPr="00792D61">
              <w:rPr>
                <w:b/>
                <w:lang w:val="de-DE"/>
              </w:rPr>
              <w:t>][</w:t>
            </w:r>
            <w:r w:rsidRPr="000C038C">
              <w:rPr>
                <w:lang w:val="de-DE"/>
              </w:rPr>
              <w:t>den</w:t>
            </w:r>
            <w:r w:rsidRPr="00792D61">
              <w:rPr>
                <w:b/>
                <w:lang w:val="de-DE"/>
              </w:rPr>
              <w:t>]</w:t>
            </w:r>
            <w:r w:rsidRPr="000C038C">
              <w:rPr>
                <w:lang w:val="de-DE"/>
              </w:rPr>
              <w:t xml:space="preserve"> Barriere-Beobachtungstag gem</w:t>
            </w:r>
            <w:r w:rsidRPr="000C038C">
              <w:rPr>
                <w:rFonts w:cs="Credit Suisse Type Light"/>
                <w:lang w:val="de-DE"/>
              </w:rPr>
              <w:t>ä</w:t>
            </w:r>
            <w:r w:rsidRPr="000C038C">
              <w:rPr>
                <w:lang w:val="de-DE"/>
              </w:rPr>
              <w:t>ss der Definition "Feststellung des Referenzsatzes" festgestellt wird.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C038C" w:rsidP="00EF3A31">
            <w:pPr>
              <w:pStyle w:val="CSBody8pt"/>
            </w:pPr>
            <w:r w:rsidRPr="00792D61">
              <w:rPr>
                <w:b/>
              </w:rPr>
              <w:t>[</w:t>
            </w:r>
            <w:r w:rsidRPr="00EF3A31">
              <w:rPr>
                <w:b/>
                <w:i/>
              </w:rPr>
              <w:t>in the case of Spread-Linked Notes and Spread Range Accrual Notes, insert:</w:t>
            </w:r>
            <w:r w:rsidRPr="000C038C">
              <w:t xml:space="preserve"> Reference Rate 2</w:t>
            </w:r>
          </w:p>
        </w:tc>
        <w:tc>
          <w:tcPr>
            <w:tcW w:w="3315" w:type="dxa"/>
            <w:gridSpan w:val="7"/>
            <w:tcBorders>
              <w:top w:val="nil"/>
              <w:left w:val="nil"/>
              <w:bottom w:val="nil"/>
            </w:tcBorders>
            <w:shd w:val="clear" w:color="auto" w:fill="auto"/>
          </w:tcPr>
          <w:p w:rsidR="0017135D" w:rsidRPr="006C142C" w:rsidP="00EF3A31">
            <w:pPr>
              <w:pStyle w:val="CSBody8ptbolditalics"/>
            </w:pPr>
            <w:r w:rsidRPr="00792D61">
              <w:t>[</w:t>
            </w:r>
            <w:r w:rsidRPr="006C142C">
              <w:t>in the case of Spread-Linked Notes, insert:</w:t>
            </w:r>
          </w:p>
        </w:tc>
        <w:tc>
          <w:tcPr>
            <w:tcW w:w="1618" w:type="dxa"/>
            <w:gridSpan w:val="2"/>
            <w:tcBorders>
              <w:top w:val="nil"/>
              <w:bottom w:val="nil"/>
              <w:right w:val="nil"/>
            </w:tcBorders>
            <w:shd w:val="clear" w:color="auto" w:fill="auto"/>
          </w:tcPr>
          <w:p w:rsidR="0017135D" w:rsidP="00EF3A31">
            <w:pPr>
              <w:pStyle w:val="CSBody8pt"/>
            </w:pPr>
            <w:r w:rsidRPr="00792D61">
              <w:rPr>
                <w:b/>
              </w:rPr>
              <w:t>[</w:t>
            </w:r>
            <w:r w:rsidRPr="00EF3A31">
              <w:rPr>
                <w:b/>
                <w:i/>
              </w:rPr>
              <w:t>bei Spread-Linked Notes und Spread Range Accrual Notes einfügen:</w:t>
            </w:r>
            <w:r w:rsidRPr="00DD4627">
              <w:t xml:space="preserve"> Referenzsatz 2</w:t>
            </w:r>
          </w:p>
        </w:tc>
        <w:tc>
          <w:tcPr>
            <w:tcW w:w="3318" w:type="dxa"/>
            <w:gridSpan w:val="10"/>
            <w:tcBorders>
              <w:top w:val="nil"/>
              <w:left w:val="nil"/>
              <w:bottom w:val="nil"/>
              <w:right w:val="nil"/>
            </w:tcBorders>
            <w:shd w:val="clear" w:color="auto" w:fill="auto"/>
          </w:tcPr>
          <w:p w:rsidR="0017135D" w:rsidRPr="000C038C" w:rsidP="00EF3A31">
            <w:pPr>
              <w:pStyle w:val="CSBody8ptbolditalics"/>
              <w:rPr>
                <w:lang w:val="de-DE"/>
              </w:rPr>
            </w:pPr>
            <w:r w:rsidRPr="00792D61">
              <w:rPr>
                <w:lang w:val="de-DE"/>
              </w:rPr>
              <w:t>[</w:t>
            </w:r>
            <w:r w:rsidRPr="000C038C">
              <w:rPr>
                <w:lang w:val="de-DE"/>
              </w:rPr>
              <w:t>bei Spread-Linked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C038C" w:rsidP="00EF3A31">
            <w:pPr>
              <w:pStyle w:val="CSBody8pt"/>
              <w:rPr>
                <w:lang w:val="de-DE"/>
              </w:rPr>
            </w:pPr>
          </w:p>
        </w:tc>
        <w:tc>
          <w:tcPr>
            <w:tcW w:w="3315" w:type="dxa"/>
            <w:gridSpan w:val="7"/>
            <w:tcBorders>
              <w:top w:val="nil"/>
              <w:left w:val="nil"/>
              <w:bottom w:val="nil"/>
            </w:tcBorders>
            <w:shd w:val="clear" w:color="auto" w:fill="auto"/>
          </w:tcPr>
          <w:p w:rsidR="0017135D" w:rsidP="00EF3A31">
            <w:pPr>
              <w:pStyle w:val="CSBody8pt"/>
            </w:pPr>
            <w:r w:rsidRPr="00792D61">
              <w:rPr>
                <w:b/>
              </w:rPr>
              <w:t>[[</w:t>
            </w:r>
            <w:r w:rsidRPr="006C142C">
              <w:rPr>
                <w:rFonts w:ascii="Arial" w:hAnsi="Arial" w:cs="Arial"/>
              </w:rPr>
              <w:t>●</w:t>
            </w:r>
            <w:r w:rsidRPr="00792D61">
              <w:rPr>
                <w:b/>
              </w:rPr>
              <w:t>]</w:t>
            </w:r>
            <w:r w:rsidRPr="006C142C">
              <w:t xml:space="preserve"> month </w:t>
            </w:r>
            <w:r w:rsidRPr="00792D61">
              <w:rPr>
                <w:b/>
              </w:rPr>
              <w:t>[</w:t>
            </w:r>
            <w:r w:rsidRPr="006C142C">
              <w:rPr>
                <w:rFonts w:ascii="Arial" w:hAnsi="Arial" w:cs="Arial"/>
              </w:rPr>
              <w:t>●</w:t>
            </w:r>
            <w:r w:rsidRPr="00792D61">
              <w:rPr>
                <w:b/>
              </w:rPr>
              <w:t>]</w:t>
            </w:r>
            <w:r w:rsidRPr="006C142C">
              <w:t xml:space="preserve"> LIBOR, </w:t>
            </w:r>
            <w:r w:rsidRPr="007E3558">
              <w:rPr>
                <w:i/>
              </w:rPr>
              <w:t>i.e.</w:t>
            </w:r>
            <w:r w:rsidRPr="006C142C">
              <w:t xml:space="preserve">, the London interbank offered rate for deposits in </w:t>
            </w:r>
            <w:r w:rsidRPr="00792D61">
              <w:rPr>
                <w:b/>
              </w:rPr>
              <w:t>[</w:t>
            </w:r>
            <w:r w:rsidRPr="006C142C">
              <w:rPr>
                <w:rFonts w:ascii="Arial" w:hAnsi="Arial" w:cs="Arial"/>
              </w:rPr>
              <w:t>●</w:t>
            </w:r>
            <w:r w:rsidRPr="00792D61">
              <w:rPr>
                <w:b/>
              </w:rPr>
              <w:t>]</w:t>
            </w:r>
            <w:r w:rsidRPr="006C142C">
              <w:t xml:space="preserve"> with a </w:t>
            </w:r>
            <w:r w:rsidRPr="00792D61">
              <w:rPr>
                <w:b/>
              </w:rPr>
              <w:t>[</w:t>
            </w:r>
            <w:r w:rsidRPr="006C142C">
              <w:rPr>
                <w:rFonts w:ascii="Arial" w:hAnsi="Arial" w:cs="Arial"/>
              </w:rPr>
              <w:t>●</w:t>
            </w:r>
            <w:r w:rsidRPr="00792D61">
              <w:rPr>
                <w:b/>
              </w:rPr>
              <w:t>]</w:t>
            </w:r>
            <w:r w:rsidRPr="006C142C">
              <w:t>-month maturity</w:t>
            </w:r>
            <w:r w:rsidRPr="00792D61">
              <w:rPr>
                <w:b/>
              </w:rPr>
              <w:t>][[</w:t>
            </w:r>
            <w:r w:rsidRPr="006C142C">
              <w:rPr>
                <w:rFonts w:ascii="Arial" w:hAnsi="Arial" w:cs="Arial"/>
              </w:rPr>
              <w:t>●</w:t>
            </w:r>
            <w:r w:rsidRPr="00792D61">
              <w:rPr>
                <w:b/>
              </w:rPr>
              <w:t>]</w:t>
            </w:r>
            <w:r w:rsidRPr="006C142C">
              <w:t xml:space="preserve"> month EURIBOR, </w:t>
            </w:r>
            <w:r w:rsidRPr="007E3558">
              <w:rPr>
                <w:i/>
              </w:rPr>
              <w:t>i.e.</w:t>
            </w:r>
            <w:r w:rsidRPr="006C142C">
              <w:t xml:space="preserve">, the rate for deposits in euro, designated as "EURIBOR" and sponsored jointly by the European Banking Federation and ACI-the Financial Market Association, or any company established by the joint sponsors for purposes of compiling and publishing such rate, with a </w:t>
            </w:r>
            <w:r w:rsidRPr="00792D61">
              <w:rPr>
                <w:b/>
              </w:rPr>
              <w:t>[</w:t>
            </w:r>
            <w:r w:rsidRPr="006C142C">
              <w:rPr>
                <w:rFonts w:ascii="Arial" w:hAnsi="Arial" w:cs="Arial"/>
              </w:rPr>
              <w:t>●</w:t>
            </w:r>
            <w:r w:rsidRPr="00792D61">
              <w:rPr>
                <w:b/>
              </w:rPr>
              <w:t>]</w:t>
            </w:r>
            <w:r w:rsidRPr="006C142C">
              <w:t>-month maturity</w:t>
            </w:r>
            <w:r w:rsidRPr="00792D61">
              <w:rPr>
                <w:b/>
              </w:rPr>
              <w:t>][</w:t>
            </w:r>
            <w:r w:rsidRPr="006C142C">
              <w:t xml:space="preserve">USD </w:t>
            </w:r>
            <w:r w:rsidRPr="00792D61">
              <w:rPr>
                <w:b/>
              </w:rPr>
              <w:t>[</w:t>
            </w:r>
            <w:r w:rsidRPr="006C142C">
              <w:rPr>
                <w:rFonts w:ascii="Arial" w:hAnsi="Arial" w:cs="Arial"/>
              </w:rPr>
              <w:t>●</w:t>
            </w:r>
            <w:r w:rsidRPr="00792D61">
              <w:rPr>
                <w:b/>
              </w:rPr>
              <w:t>]</w:t>
            </w:r>
            <w:r w:rsidRPr="006C142C">
              <w:t xml:space="preserve"> year CMS, </w:t>
            </w:r>
            <w:r w:rsidRPr="007E3558">
              <w:rPr>
                <w:i/>
              </w:rPr>
              <w:t>i.e.</w:t>
            </w:r>
            <w:r w:rsidRPr="006C142C">
              <w:t xml:space="preserve">, the rate for U.S. dollar swaps with a </w:t>
            </w:r>
            <w:r w:rsidRPr="00792D61">
              <w:rPr>
                <w:b/>
              </w:rPr>
              <w:t>[</w:t>
            </w:r>
            <w:r w:rsidRPr="006C142C">
              <w:rPr>
                <w:rFonts w:ascii="Arial" w:hAnsi="Arial" w:cs="Arial"/>
              </w:rPr>
              <w:t>●</w:t>
            </w:r>
            <w:r w:rsidRPr="00792D61">
              <w:rPr>
                <w:b/>
              </w:rPr>
              <w:t>]</w:t>
            </w:r>
            <w:r w:rsidRPr="006C142C">
              <w:t>-year maturity</w:t>
            </w:r>
            <w:r w:rsidRPr="00792D61">
              <w:rPr>
                <w:b/>
              </w:rPr>
              <w:t>][[</w:t>
            </w:r>
            <w:r w:rsidRPr="006C142C">
              <w:rPr>
                <w:rFonts w:ascii="Arial" w:hAnsi="Arial" w:cs="Arial"/>
              </w:rPr>
              <w:t>●</w:t>
            </w:r>
            <w:r w:rsidRPr="00792D61">
              <w:rPr>
                <w:b/>
              </w:rPr>
              <w:t>]]</w:t>
            </w:r>
            <w:r w:rsidRPr="006C142C">
              <w:t xml:space="preserve">, which, with respect to </w:t>
            </w:r>
            <w:r w:rsidRPr="00792D61">
              <w:rPr>
                <w:b/>
              </w:rPr>
              <w:t>[</w:t>
            </w:r>
            <w:r w:rsidRPr="006C142C">
              <w:t>any</w:t>
            </w:r>
            <w:r w:rsidRPr="00792D61">
              <w:rPr>
                <w:b/>
              </w:rPr>
              <w:t>][</w:t>
            </w:r>
            <w:r w:rsidRPr="006C142C">
              <w:t>the</w:t>
            </w:r>
            <w:r w:rsidRPr="00792D61">
              <w:rPr>
                <w:b/>
              </w:rPr>
              <w:t>]</w:t>
            </w:r>
            <w:r w:rsidRPr="006C142C">
              <w:t xml:space="preserve"> Interest Determination Date, shall be determined in accordance with the definition "Determination of Reference Rate 2".</w:t>
            </w:r>
            <w:r w:rsidRPr="00792D61">
              <w:rPr>
                <w:b/>
              </w:rPr>
              <w:t>]</w:t>
            </w:r>
          </w:p>
        </w:tc>
        <w:tc>
          <w:tcPr>
            <w:tcW w:w="1618" w:type="dxa"/>
            <w:gridSpan w:val="2"/>
            <w:tcBorders>
              <w:top w:val="nil"/>
              <w:bottom w:val="nil"/>
              <w:right w:val="nil"/>
            </w:tcBorders>
            <w:shd w:val="clear" w:color="auto" w:fill="auto"/>
          </w:tcPr>
          <w:p w:rsidR="0017135D" w:rsidP="00EF3A31">
            <w:pPr>
              <w:pStyle w:val="CSBody8pt"/>
            </w:pPr>
          </w:p>
        </w:tc>
        <w:tc>
          <w:tcPr>
            <w:tcW w:w="3318" w:type="dxa"/>
            <w:gridSpan w:val="10"/>
            <w:tcBorders>
              <w:top w:val="nil"/>
              <w:left w:val="nil"/>
              <w:bottom w:val="nil"/>
              <w:right w:val="nil"/>
            </w:tcBorders>
            <w:shd w:val="clear" w:color="auto" w:fill="auto"/>
          </w:tcPr>
          <w:p w:rsidR="0017135D" w:rsidRPr="000C038C" w:rsidP="00EF3A31">
            <w:pPr>
              <w:pStyle w:val="CSBody8pt"/>
              <w:rPr>
                <w:lang w:val="de-DE"/>
              </w:rPr>
            </w:pPr>
            <w:r w:rsidRPr="00792D61">
              <w:rPr>
                <w:b/>
                <w:lang w:val="de-DE"/>
              </w:rPr>
              <w:t>[[</w:t>
            </w:r>
            <w:r w:rsidRPr="000C038C">
              <w:rPr>
                <w:rFonts w:ascii="Arial" w:hAnsi="Arial" w:cs="Arial"/>
                <w:lang w:val="de-DE"/>
              </w:rPr>
              <w:t>●</w:t>
            </w:r>
            <w:r w:rsidRPr="00792D61">
              <w:rPr>
                <w:b/>
                <w:lang w:val="de-DE"/>
              </w:rPr>
              <w:t>]</w:t>
            </w:r>
            <w:r w:rsidRPr="000C038C">
              <w:rPr>
                <w:lang w:val="de-DE"/>
              </w:rPr>
              <w:t xml:space="preserve">-Monats- </w:t>
            </w:r>
            <w:r w:rsidRPr="00792D61">
              <w:rPr>
                <w:b/>
                <w:lang w:val="de-DE"/>
              </w:rPr>
              <w:t>[</w:t>
            </w:r>
            <w:r w:rsidRPr="000C038C">
              <w:rPr>
                <w:rFonts w:ascii="Arial" w:hAnsi="Arial" w:cs="Arial"/>
                <w:lang w:val="de-DE"/>
              </w:rPr>
              <w:t>●</w:t>
            </w:r>
            <w:r w:rsidRPr="00792D61">
              <w:rPr>
                <w:b/>
                <w:lang w:val="de-DE"/>
              </w:rPr>
              <w:t>]</w:t>
            </w:r>
            <w:r w:rsidRPr="000C038C">
              <w:rPr>
                <w:lang w:val="de-DE"/>
              </w:rPr>
              <w:t xml:space="preserve"> LIBOR, </w:t>
            </w:r>
            <w:r>
              <w:rPr>
                <w:lang w:val="de-DE"/>
              </w:rPr>
              <w:t>d.h.</w:t>
            </w:r>
            <w:r w:rsidRPr="000C038C">
              <w:rPr>
                <w:lang w:val="de-DE"/>
              </w:rPr>
              <w:t xml:space="preserve"> der Londoner Interbankensatz (London interbank offered rate) f</w:t>
            </w:r>
            <w:r w:rsidRPr="000C038C">
              <w:rPr>
                <w:rFonts w:cs="Credit Suisse Type Light"/>
                <w:lang w:val="de-DE"/>
              </w:rPr>
              <w:t>ü</w:t>
            </w:r>
            <w:r w:rsidRPr="000C038C">
              <w:rPr>
                <w:lang w:val="de-DE"/>
              </w:rPr>
              <w:t xml:space="preserve">r Einlagen in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Monat</w:t>
            </w:r>
            <w:r w:rsidRPr="00792D61">
              <w:rPr>
                <w:b/>
                <w:lang w:val="de-DE"/>
              </w:rPr>
              <w:t>[</w:t>
            </w:r>
            <w:r w:rsidRPr="000C038C">
              <w:rPr>
                <w:lang w:val="de-DE"/>
              </w:rPr>
              <w:t>en</w:t>
            </w:r>
            <w:r w:rsidRPr="00792D61">
              <w:rPr>
                <w:b/>
                <w:lang w:val="de-DE"/>
              </w:rPr>
              <w:t>]][[</w:t>
            </w:r>
            <w:r w:rsidRPr="000C038C">
              <w:rPr>
                <w:rFonts w:ascii="Arial" w:hAnsi="Arial" w:cs="Arial"/>
                <w:lang w:val="de-DE"/>
              </w:rPr>
              <w:t>●</w:t>
            </w:r>
            <w:r w:rsidRPr="00792D61">
              <w:rPr>
                <w:b/>
                <w:lang w:val="de-DE"/>
              </w:rPr>
              <w:t>]</w:t>
            </w:r>
            <w:r w:rsidRPr="000C038C">
              <w:rPr>
                <w:lang w:val="de-DE"/>
              </w:rPr>
              <w:t xml:space="preserve">-Monats-EURIBOR, </w:t>
            </w:r>
            <w:r>
              <w:rPr>
                <w:lang w:val="de-DE"/>
              </w:rPr>
              <w:t>d.h.</w:t>
            </w:r>
            <w:r w:rsidRPr="000C038C">
              <w:rPr>
                <w:lang w:val="de-DE"/>
              </w:rPr>
              <w:t xml:space="preserve"> der Zinssatz f</w:t>
            </w:r>
            <w:r w:rsidRPr="000C038C">
              <w:rPr>
                <w:rFonts w:cs="Credit Suisse Type Light"/>
                <w:lang w:val="de-DE"/>
              </w:rPr>
              <w:t>ü</w:t>
            </w:r>
            <w:r w:rsidRPr="000C038C">
              <w:rPr>
                <w:lang w:val="de-DE"/>
              </w:rPr>
              <w:t xml:space="preserve">r Einlagen in Euro unter der Bezeichnung "EURIBOR", bei dem die European Banking Federation und ACI – The Financial Market Association gemeinsam oder ein von den gemeinsamen Sponsoren zur Ermittlung und Veröffentlichung dieses Zinssatzes gegründetes Unternehmen als Sponsor fungieren,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Monat</w:t>
            </w:r>
            <w:r w:rsidRPr="00792D61">
              <w:rPr>
                <w:b/>
                <w:lang w:val="de-DE"/>
              </w:rPr>
              <w:t>[</w:t>
            </w:r>
            <w:r w:rsidRPr="000C038C">
              <w:rPr>
                <w:lang w:val="de-DE"/>
              </w:rPr>
              <w:t>en</w:t>
            </w:r>
            <w:r w:rsidRPr="00792D61">
              <w:rPr>
                <w:b/>
                <w:lang w:val="de-DE"/>
              </w:rPr>
              <w:t>]][</w:t>
            </w:r>
            <w:r w:rsidRPr="000C038C">
              <w:rPr>
                <w:lang w:val="de-DE"/>
              </w:rPr>
              <w:t xml:space="preserve">USD </w:t>
            </w:r>
            <w:r w:rsidRPr="00792D61">
              <w:rPr>
                <w:b/>
                <w:lang w:val="de-DE"/>
              </w:rPr>
              <w:t>[</w:t>
            </w:r>
            <w:r w:rsidRPr="000C038C">
              <w:rPr>
                <w:rFonts w:ascii="Arial" w:hAnsi="Arial" w:cs="Arial"/>
                <w:lang w:val="de-DE"/>
              </w:rPr>
              <w:t>●</w:t>
            </w:r>
            <w:r w:rsidRPr="00792D61">
              <w:rPr>
                <w:b/>
                <w:lang w:val="de-DE"/>
              </w:rPr>
              <w:t>]</w:t>
            </w:r>
            <w:r w:rsidRPr="000C038C">
              <w:rPr>
                <w:lang w:val="de-DE"/>
              </w:rPr>
              <w:t xml:space="preserve">-Jahres-CMS, </w:t>
            </w:r>
            <w:r>
              <w:rPr>
                <w:lang w:val="de-DE"/>
              </w:rPr>
              <w:t>d.h.</w:t>
            </w:r>
            <w:r w:rsidRPr="000C038C">
              <w:rPr>
                <w:lang w:val="de-DE"/>
              </w:rPr>
              <w:t xml:space="preserve"> der Satz f</w:t>
            </w:r>
            <w:r w:rsidRPr="000C038C">
              <w:rPr>
                <w:rFonts w:cs="Credit Suisse Type Light"/>
                <w:lang w:val="de-DE"/>
              </w:rPr>
              <w:t>ü</w:t>
            </w:r>
            <w:r w:rsidRPr="000C038C">
              <w:rPr>
                <w:lang w:val="de-DE"/>
              </w:rPr>
              <w:t xml:space="preserve">r US-Dollar-Swaps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Jahr</w:t>
            </w:r>
            <w:r w:rsidRPr="00792D61">
              <w:rPr>
                <w:b/>
                <w:lang w:val="de-DE"/>
              </w:rPr>
              <w:t>[</w:t>
            </w:r>
            <w:r w:rsidRPr="000C038C">
              <w:rPr>
                <w:lang w:val="de-DE"/>
              </w:rPr>
              <w:t>en</w:t>
            </w:r>
            <w:r w:rsidRPr="00792D61">
              <w:rPr>
                <w:b/>
                <w:lang w:val="de-DE"/>
              </w:rPr>
              <w:t>]][[</w:t>
            </w:r>
            <w:r w:rsidRPr="000C038C">
              <w:rPr>
                <w:rFonts w:ascii="Arial" w:hAnsi="Arial" w:cs="Arial"/>
                <w:lang w:val="de-DE"/>
              </w:rPr>
              <w:t>●</w:t>
            </w:r>
            <w:r w:rsidRPr="00792D61">
              <w:rPr>
                <w:b/>
                <w:lang w:val="de-DE"/>
              </w:rPr>
              <w:t>]]</w:t>
            </w:r>
            <w:r w:rsidRPr="000C038C">
              <w:rPr>
                <w:lang w:val="de-DE"/>
              </w:rPr>
              <w:t xml:space="preserve">, der in Bezug auf </w:t>
            </w:r>
            <w:r w:rsidRPr="00792D61">
              <w:rPr>
                <w:b/>
                <w:lang w:val="de-DE"/>
              </w:rPr>
              <w:t>[</w:t>
            </w:r>
            <w:r w:rsidRPr="000C038C">
              <w:rPr>
                <w:lang w:val="de-DE"/>
              </w:rPr>
              <w:t>einen</w:t>
            </w:r>
            <w:r w:rsidRPr="00792D61">
              <w:rPr>
                <w:b/>
                <w:lang w:val="de-DE"/>
              </w:rPr>
              <w:t>][</w:t>
            </w:r>
            <w:r w:rsidRPr="000C038C">
              <w:rPr>
                <w:lang w:val="de-DE"/>
              </w:rPr>
              <w:t>den</w:t>
            </w:r>
            <w:r w:rsidRPr="00792D61">
              <w:rPr>
                <w:b/>
                <w:lang w:val="de-DE"/>
              </w:rPr>
              <w:t>]</w:t>
            </w:r>
            <w:r w:rsidRPr="000C038C">
              <w:rPr>
                <w:lang w:val="de-DE"/>
              </w:rPr>
              <w:t xml:space="preserve"> Zinsfeststellungstag gem</w:t>
            </w:r>
            <w:r w:rsidRPr="000C038C">
              <w:rPr>
                <w:rFonts w:cs="Credit Suisse Type Light"/>
                <w:lang w:val="de-DE"/>
              </w:rPr>
              <w:t>ä</w:t>
            </w:r>
            <w:r w:rsidRPr="000C038C">
              <w:rPr>
                <w:lang w:val="de-DE"/>
              </w:rPr>
              <w:t>ss der Definition  "Feststellung des Referenzsatzes 2" festgestellt wird.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C038C" w:rsidP="00EF3A31">
            <w:pPr>
              <w:pStyle w:val="CSBody8ptbolditalics"/>
              <w:rPr>
                <w:lang w:val="de-DE"/>
              </w:rPr>
            </w:pPr>
          </w:p>
        </w:tc>
        <w:tc>
          <w:tcPr>
            <w:tcW w:w="3315" w:type="dxa"/>
            <w:gridSpan w:val="7"/>
            <w:tcBorders>
              <w:top w:val="nil"/>
              <w:left w:val="nil"/>
              <w:bottom w:val="nil"/>
            </w:tcBorders>
            <w:shd w:val="clear" w:color="auto" w:fill="auto"/>
          </w:tcPr>
          <w:p w:rsidR="0017135D" w:rsidRPr="001E37EA" w:rsidP="00EF3A31">
            <w:pPr>
              <w:pStyle w:val="CSBody8ptbolditalics"/>
            </w:pPr>
            <w:r w:rsidRPr="00792D61">
              <w:t>[</w:t>
            </w:r>
            <w:r w:rsidRPr="001E37EA">
              <w:t>in the case of Spread Range Accrual Notes, insert:</w:t>
            </w:r>
          </w:p>
        </w:tc>
        <w:tc>
          <w:tcPr>
            <w:tcW w:w="1618" w:type="dxa"/>
            <w:gridSpan w:val="2"/>
            <w:tcBorders>
              <w:top w:val="nil"/>
              <w:bottom w:val="nil"/>
              <w:right w:val="nil"/>
            </w:tcBorders>
            <w:shd w:val="clear" w:color="auto" w:fill="auto"/>
          </w:tcPr>
          <w:p w:rsidR="0017135D" w:rsidRPr="000C038C" w:rsidP="00EF3A31">
            <w:pPr>
              <w:pStyle w:val="CSBody8ptbolditalics"/>
            </w:pPr>
          </w:p>
        </w:tc>
        <w:tc>
          <w:tcPr>
            <w:tcW w:w="3318" w:type="dxa"/>
            <w:gridSpan w:val="10"/>
            <w:tcBorders>
              <w:top w:val="nil"/>
              <w:left w:val="nil"/>
              <w:bottom w:val="nil"/>
              <w:right w:val="nil"/>
            </w:tcBorders>
            <w:shd w:val="clear" w:color="auto" w:fill="auto"/>
          </w:tcPr>
          <w:p w:rsidR="0017135D" w:rsidRPr="008D0765" w:rsidP="00EF3A31">
            <w:pPr>
              <w:pStyle w:val="CSBody8ptbolditalics"/>
            </w:pPr>
            <w:r w:rsidRPr="00792D61">
              <w:t>[</w:t>
            </w:r>
            <w:r w:rsidRPr="008D0765">
              <w:t>bei Spread Range Accrual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C038C" w:rsidP="00EF3A31">
            <w:pPr>
              <w:pStyle w:val="CSBody8pt"/>
            </w:pPr>
          </w:p>
        </w:tc>
        <w:tc>
          <w:tcPr>
            <w:tcW w:w="3315" w:type="dxa"/>
            <w:gridSpan w:val="7"/>
            <w:tcBorders>
              <w:top w:val="nil"/>
              <w:left w:val="nil"/>
              <w:bottom w:val="nil"/>
            </w:tcBorders>
            <w:shd w:val="clear" w:color="auto" w:fill="auto"/>
          </w:tcPr>
          <w:p w:rsidR="0017135D" w:rsidP="00EF3A31">
            <w:pPr>
              <w:pStyle w:val="CSBody8pt"/>
            </w:pPr>
            <w:r w:rsidRPr="00792D61">
              <w:rPr>
                <w:b/>
              </w:rPr>
              <w:t>[[</w:t>
            </w:r>
            <w:r w:rsidRPr="001E37EA">
              <w:rPr>
                <w:rFonts w:ascii="Arial" w:hAnsi="Arial" w:cs="Arial"/>
              </w:rPr>
              <w:t>●</w:t>
            </w:r>
            <w:r w:rsidRPr="00792D61">
              <w:rPr>
                <w:b/>
              </w:rPr>
              <w:t>]</w:t>
            </w:r>
            <w:r w:rsidRPr="001E37EA">
              <w:t xml:space="preserve"> month </w:t>
            </w:r>
            <w:r w:rsidRPr="00792D61">
              <w:rPr>
                <w:b/>
              </w:rPr>
              <w:t>[</w:t>
            </w:r>
            <w:r w:rsidRPr="001E37EA">
              <w:rPr>
                <w:rFonts w:ascii="Arial" w:hAnsi="Arial" w:cs="Arial"/>
              </w:rPr>
              <w:t>●</w:t>
            </w:r>
            <w:r w:rsidRPr="00792D61">
              <w:rPr>
                <w:b/>
              </w:rPr>
              <w:t>]</w:t>
            </w:r>
            <w:r w:rsidRPr="001E37EA">
              <w:t xml:space="preserve"> LIBOR, </w:t>
            </w:r>
            <w:r w:rsidRPr="007E3558">
              <w:rPr>
                <w:i/>
              </w:rPr>
              <w:t>i.e.</w:t>
            </w:r>
            <w:r w:rsidRPr="001E37EA">
              <w:t xml:space="preserve">, the London interbank offered rate for deposits in </w:t>
            </w:r>
            <w:r w:rsidRPr="00792D61">
              <w:rPr>
                <w:b/>
              </w:rPr>
              <w:t>[</w:t>
            </w:r>
            <w:r w:rsidRPr="001E37EA">
              <w:rPr>
                <w:rFonts w:ascii="Arial" w:hAnsi="Arial" w:cs="Arial"/>
              </w:rPr>
              <w:t>●</w:t>
            </w:r>
            <w:r w:rsidRPr="00792D61">
              <w:rPr>
                <w:b/>
              </w:rPr>
              <w:t>]</w:t>
            </w:r>
            <w:r w:rsidRPr="001E37EA">
              <w:t xml:space="preserve"> with a </w:t>
            </w:r>
            <w:r w:rsidRPr="00792D61">
              <w:rPr>
                <w:b/>
              </w:rPr>
              <w:t>[</w:t>
            </w:r>
            <w:r w:rsidRPr="001E37EA">
              <w:rPr>
                <w:rFonts w:ascii="Arial" w:hAnsi="Arial" w:cs="Arial"/>
              </w:rPr>
              <w:t>●</w:t>
            </w:r>
            <w:r w:rsidRPr="00792D61">
              <w:rPr>
                <w:b/>
              </w:rPr>
              <w:t>]</w:t>
            </w:r>
            <w:r w:rsidRPr="001E37EA">
              <w:t>-month maturity</w:t>
            </w:r>
            <w:r w:rsidRPr="00792D61">
              <w:rPr>
                <w:b/>
              </w:rPr>
              <w:t>][[</w:t>
            </w:r>
            <w:r w:rsidRPr="001E37EA">
              <w:rPr>
                <w:rFonts w:ascii="Arial" w:hAnsi="Arial" w:cs="Arial"/>
              </w:rPr>
              <w:t>●</w:t>
            </w:r>
            <w:r w:rsidRPr="00792D61">
              <w:rPr>
                <w:b/>
              </w:rPr>
              <w:t>]</w:t>
            </w:r>
            <w:r w:rsidRPr="001E37EA">
              <w:t xml:space="preserve"> month EURIBOR, </w:t>
            </w:r>
            <w:r w:rsidRPr="007E3558">
              <w:rPr>
                <w:i/>
              </w:rPr>
              <w:t>i.e.</w:t>
            </w:r>
            <w:r w:rsidRPr="001E37EA">
              <w:t xml:space="preserve">, the rate for deposits in euro, designated as "EURIBOR" and sponsored jointly by the European Banking Federation and ACI-the Financial Market Association, or any company established by the joint sponsors for purposes of compiling and publishing such rate, with a </w:t>
            </w:r>
            <w:r w:rsidRPr="00792D61">
              <w:rPr>
                <w:b/>
              </w:rPr>
              <w:t>[</w:t>
            </w:r>
            <w:r w:rsidRPr="001E37EA">
              <w:rPr>
                <w:rFonts w:ascii="Arial" w:hAnsi="Arial" w:cs="Arial"/>
              </w:rPr>
              <w:t>●</w:t>
            </w:r>
            <w:r w:rsidRPr="00792D61">
              <w:rPr>
                <w:b/>
              </w:rPr>
              <w:t>]</w:t>
            </w:r>
            <w:r w:rsidRPr="001E37EA">
              <w:t>-month maturity</w:t>
            </w:r>
            <w:r w:rsidRPr="00792D61">
              <w:rPr>
                <w:b/>
              </w:rPr>
              <w:t>][</w:t>
            </w:r>
            <w:r w:rsidRPr="001E37EA">
              <w:t xml:space="preserve">USD </w:t>
            </w:r>
            <w:r w:rsidRPr="00792D61">
              <w:rPr>
                <w:b/>
              </w:rPr>
              <w:t>[</w:t>
            </w:r>
            <w:r w:rsidRPr="001E37EA">
              <w:rPr>
                <w:rFonts w:ascii="Arial" w:hAnsi="Arial" w:cs="Arial"/>
              </w:rPr>
              <w:t>●</w:t>
            </w:r>
            <w:r w:rsidRPr="00792D61">
              <w:rPr>
                <w:b/>
              </w:rPr>
              <w:t>]</w:t>
            </w:r>
            <w:r w:rsidRPr="001E37EA">
              <w:t xml:space="preserve"> year CMS, </w:t>
            </w:r>
            <w:r w:rsidRPr="007E3558">
              <w:rPr>
                <w:i/>
              </w:rPr>
              <w:t>i.e.</w:t>
            </w:r>
            <w:r w:rsidRPr="001E37EA">
              <w:t xml:space="preserve">, the rate for U.S. dollar swaps with a </w:t>
            </w:r>
            <w:r w:rsidRPr="00792D61">
              <w:rPr>
                <w:b/>
              </w:rPr>
              <w:t>[</w:t>
            </w:r>
            <w:r w:rsidRPr="001E37EA">
              <w:rPr>
                <w:rFonts w:ascii="Arial" w:hAnsi="Arial" w:cs="Arial"/>
              </w:rPr>
              <w:t>●</w:t>
            </w:r>
            <w:r w:rsidRPr="00792D61">
              <w:rPr>
                <w:b/>
              </w:rPr>
              <w:t>]</w:t>
            </w:r>
            <w:r w:rsidRPr="001E37EA">
              <w:t>-year maturity</w:t>
            </w:r>
            <w:r w:rsidRPr="00792D61">
              <w:rPr>
                <w:b/>
              </w:rPr>
              <w:t>][[</w:t>
            </w:r>
            <w:r w:rsidRPr="001E37EA">
              <w:rPr>
                <w:rFonts w:ascii="Arial" w:hAnsi="Arial" w:cs="Arial"/>
              </w:rPr>
              <w:t>●</w:t>
            </w:r>
            <w:r w:rsidRPr="00792D61">
              <w:rPr>
                <w:b/>
              </w:rPr>
              <w:t>]]</w:t>
            </w:r>
            <w:r w:rsidRPr="001E37EA">
              <w:t xml:space="preserve">, which, with respect to </w:t>
            </w:r>
            <w:r w:rsidRPr="00792D61">
              <w:rPr>
                <w:b/>
              </w:rPr>
              <w:t>[</w:t>
            </w:r>
            <w:r w:rsidRPr="001E37EA">
              <w:t>any</w:t>
            </w:r>
            <w:r w:rsidRPr="00792D61">
              <w:rPr>
                <w:b/>
              </w:rPr>
              <w:t>][</w:t>
            </w:r>
            <w:r w:rsidRPr="001E37EA">
              <w:t>the</w:t>
            </w:r>
            <w:r w:rsidRPr="00792D61">
              <w:rPr>
                <w:b/>
              </w:rPr>
              <w:t>]</w:t>
            </w:r>
            <w:r w:rsidRPr="001E37EA">
              <w:t xml:space="preserve"> Barrier Observation Date, shall be determined in accordance with the definition "Determination of Reference Rate 2".</w:t>
            </w:r>
            <w:r w:rsidRPr="00792D61">
              <w:rPr>
                <w:b/>
              </w:rPr>
              <w:t>]]</w:t>
            </w:r>
          </w:p>
        </w:tc>
        <w:tc>
          <w:tcPr>
            <w:tcW w:w="1618" w:type="dxa"/>
            <w:gridSpan w:val="2"/>
            <w:tcBorders>
              <w:top w:val="nil"/>
              <w:bottom w:val="nil"/>
              <w:right w:val="nil"/>
            </w:tcBorders>
            <w:shd w:val="clear" w:color="auto" w:fill="auto"/>
          </w:tcPr>
          <w:p w:rsidR="0017135D" w:rsidRPr="000C038C" w:rsidP="00EF3A31">
            <w:pPr>
              <w:pStyle w:val="CSBody8pt"/>
              <w:rPr>
                <w:i/>
              </w:rPr>
            </w:pPr>
          </w:p>
        </w:tc>
        <w:tc>
          <w:tcPr>
            <w:tcW w:w="3318" w:type="dxa"/>
            <w:gridSpan w:val="10"/>
            <w:tcBorders>
              <w:top w:val="nil"/>
              <w:left w:val="nil"/>
              <w:bottom w:val="nil"/>
              <w:right w:val="nil"/>
            </w:tcBorders>
            <w:shd w:val="clear" w:color="auto" w:fill="auto"/>
          </w:tcPr>
          <w:p w:rsidR="0017135D" w:rsidRPr="000C038C" w:rsidP="00244AFC">
            <w:pPr>
              <w:pStyle w:val="CSBody8pt"/>
              <w:rPr>
                <w:lang w:val="de-DE"/>
              </w:rPr>
            </w:pPr>
            <w:r w:rsidRPr="00792D61">
              <w:rPr>
                <w:b/>
                <w:lang w:val="de-DE"/>
              </w:rPr>
              <w:t>[[</w:t>
            </w:r>
            <w:r w:rsidRPr="000C038C">
              <w:rPr>
                <w:rFonts w:ascii="Arial" w:hAnsi="Arial" w:cs="Arial"/>
                <w:lang w:val="de-DE"/>
              </w:rPr>
              <w:t>●</w:t>
            </w:r>
            <w:r w:rsidRPr="00792D61">
              <w:rPr>
                <w:b/>
                <w:lang w:val="de-DE"/>
              </w:rPr>
              <w:t>]</w:t>
            </w:r>
            <w:r w:rsidRPr="000C038C">
              <w:rPr>
                <w:lang w:val="de-DE"/>
              </w:rPr>
              <w:t xml:space="preserve">-Monats- </w:t>
            </w:r>
            <w:r w:rsidRPr="00792D61">
              <w:rPr>
                <w:b/>
                <w:lang w:val="de-DE"/>
              </w:rPr>
              <w:t>[</w:t>
            </w:r>
            <w:r w:rsidRPr="000C038C">
              <w:rPr>
                <w:rFonts w:ascii="Arial" w:hAnsi="Arial" w:cs="Arial"/>
                <w:lang w:val="de-DE"/>
              </w:rPr>
              <w:t>●</w:t>
            </w:r>
            <w:r w:rsidRPr="00792D61">
              <w:rPr>
                <w:b/>
                <w:lang w:val="de-DE"/>
              </w:rPr>
              <w:t>]</w:t>
            </w:r>
            <w:r w:rsidRPr="000C038C">
              <w:rPr>
                <w:lang w:val="de-DE"/>
              </w:rPr>
              <w:t xml:space="preserve"> LIBOR, </w:t>
            </w:r>
            <w:r>
              <w:rPr>
                <w:lang w:val="de-DE"/>
              </w:rPr>
              <w:t>d.h.</w:t>
            </w:r>
            <w:r w:rsidRPr="000C038C">
              <w:rPr>
                <w:lang w:val="de-DE"/>
              </w:rPr>
              <w:t xml:space="preserve"> der Londoner Interbankensatz (London interbank offered rate) für Einlagen in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Monat</w:t>
            </w:r>
            <w:r w:rsidRPr="00792D61">
              <w:rPr>
                <w:b/>
                <w:lang w:val="de-DE"/>
              </w:rPr>
              <w:t>[</w:t>
            </w:r>
            <w:r w:rsidRPr="000C038C">
              <w:rPr>
                <w:lang w:val="de-DE"/>
              </w:rPr>
              <w:t>en</w:t>
            </w:r>
            <w:r w:rsidRPr="00792D61">
              <w:rPr>
                <w:b/>
                <w:lang w:val="de-DE"/>
              </w:rPr>
              <w:t>]][[</w:t>
            </w:r>
            <w:r w:rsidRPr="000C038C">
              <w:rPr>
                <w:rFonts w:ascii="Arial" w:hAnsi="Arial" w:cs="Arial"/>
                <w:lang w:val="de-DE"/>
              </w:rPr>
              <w:t>●</w:t>
            </w:r>
            <w:r w:rsidRPr="00792D61">
              <w:rPr>
                <w:b/>
                <w:lang w:val="de-DE"/>
              </w:rPr>
              <w:t>]</w:t>
            </w:r>
            <w:r w:rsidRPr="000C038C">
              <w:rPr>
                <w:lang w:val="de-DE"/>
              </w:rPr>
              <w:t xml:space="preserve">-Monats-EURIBOR, </w:t>
            </w:r>
            <w:r>
              <w:rPr>
                <w:lang w:val="de-DE"/>
              </w:rPr>
              <w:t>d.h.</w:t>
            </w:r>
            <w:r w:rsidRPr="000C038C">
              <w:rPr>
                <w:lang w:val="de-DE"/>
              </w:rPr>
              <w:t xml:space="preserve"> der Zinssatz f</w:t>
            </w:r>
            <w:r w:rsidRPr="000C038C">
              <w:rPr>
                <w:rFonts w:cs="Credit Suisse Type Light"/>
                <w:lang w:val="de-DE"/>
              </w:rPr>
              <w:t>ü</w:t>
            </w:r>
            <w:r w:rsidRPr="000C038C">
              <w:rPr>
                <w:lang w:val="de-DE"/>
              </w:rPr>
              <w:t xml:space="preserve">r Einlagen in Euro unter der Bezeichnung "EURIBOR", bei dem die European Banking Federation und ACI </w:t>
            </w:r>
            <w:r w:rsidRPr="000C038C">
              <w:rPr>
                <w:rFonts w:cs="Credit Suisse Type Light"/>
                <w:lang w:val="de-DE"/>
              </w:rPr>
              <w:t>–</w:t>
            </w:r>
            <w:r w:rsidRPr="000C038C">
              <w:rPr>
                <w:lang w:val="de-DE"/>
              </w:rPr>
              <w:t xml:space="preserve"> The Financial Market Association gemeinsam oder ein von den gemeinsamen Sponsoren zur Ermittlung und Veröffentlichung dieses Zinssatzes gegründetes Unternehmen als Sponsor fungieren,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Monat</w:t>
            </w:r>
            <w:r w:rsidRPr="00792D61">
              <w:rPr>
                <w:b/>
                <w:lang w:val="de-DE"/>
              </w:rPr>
              <w:t>[</w:t>
            </w:r>
            <w:r w:rsidRPr="000C038C">
              <w:rPr>
                <w:lang w:val="de-DE"/>
              </w:rPr>
              <w:t>en</w:t>
            </w:r>
            <w:r w:rsidRPr="00792D61">
              <w:rPr>
                <w:b/>
                <w:lang w:val="de-DE"/>
              </w:rPr>
              <w:t>]]</w:t>
            </w:r>
            <w:r w:rsidRPr="000C038C">
              <w:rPr>
                <w:lang w:val="de-DE"/>
              </w:rPr>
              <w:t xml:space="preserve"> </w:t>
            </w:r>
            <w:r w:rsidRPr="00792D61">
              <w:rPr>
                <w:b/>
                <w:lang w:val="de-DE"/>
              </w:rPr>
              <w:t>[</w:t>
            </w:r>
            <w:r w:rsidRPr="000C038C">
              <w:rPr>
                <w:lang w:val="de-DE"/>
              </w:rPr>
              <w:t xml:space="preserve">USD </w:t>
            </w:r>
            <w:r w:rsidRPr="00792D61">
              <w:rPr>
                <w:b/>
                <w:lang w:val="de-DE"/>
              </w:rPr>
              <w:t>[</w:t>
            </w:r>
            <w:r w:rsidRPr="000C038C">
              <w:rPr>
                <w:rFonts w:ascii="Arial" w:hAnsi="Arial" w:cs="Arial"/>
                <w:lang w:val="de-DE"/>
              </w:rPr>
              <w:t>●</w:t>
            </w:r>
            <w:r w:rsidRPr="00792D61">
              <w:rPr>
                <w:b/>
                <w:lang w:val="de-DE"/>
              </w:rPr>
              <w:t>]</w:t>
            </w:r>
            <w:r w:rsidRPr="000C038C">
              <w:rPr>
                <w:lang w:val="de-DE"/>
              </w:rPr>
              <w:t xml:space="preserve">-Jahres-CMS, </w:t>
            </w:r>
            <w:r>
              <w:rPr>
                <w:lang w:val="de-DE"/>
              </w:rPr>
              <w:t>d.h.</w:t>
            </w:r>
            <w:r w:rsidRPr="000C038C">
              <w:rPr>
                <w:lang w:val="de-DE"/>
              </w:rPr>
              <w:t xml:space="preserve"> der Satz f</w:t>
            </w:r>
            <w:r w:rsidRPr="000C038C">
              <w:rPr>
                <w:rFonts w:cs="Credit Suisse Type Light"/>
                <w:lang w:val="de-DE"/>
              </w:rPr>
              <w:t>ü</w:t>
            </w:r>
            <w:r w:rsidRPr="000C038C">
              <w:rPr>
                <w:lang w:val="de-DE"/>
              </w:rPr>
              <w:t xml:space="preserve">r US-Dollar-Swaps mit einer Laufzeit von </w:t>
            </w:r>
            <w:r w:rsidRPr="00792D61">
              <w:rPr>
                <w:b/>
                <w:lang w:val="de-DE"/>
              </w:rPr>
              <w:t>[</w:t>
            </w:r>
            <w:r w:rsidRPr="000C038C">
              <w:rPr>
                <w:rFonts w:ascii="Arial" w:hAnsi="Arial" w:cs="Arial"/>
                <w:lang w:val="de-DE"/>
              </w:rPr>
              <w:t>●</w:t>
            </w:r>
            <w:r w:rsidRPr="00792D61">
              <w:rPr>
                <w:b/>
                <w:lang w:val="de-DE"/>
              </w:rPr>
              <w:t>]</w:t>
            </w:r>
            <w:r w:rsidRPr="000C038C">
              <w:rPr>
                <w:lang w:val="de-DE"/>
              </w:rPr>
              <w:t xml:space="preserve"> Jahr</w:t>
            </w:r>
            <w:r w:rsidRPr="00792D61">
              <w:rPr>
                <w:b/>
                <w:lang w:val="de-DE"/>
              </w:rPr>
              <w:t>[</w:t>
            </w:r>
            <w:r w:rsidRPr="000C038C">
              <w:rPr>
                <w:lang w:val="de-DE"/>
              </w:rPr>
              <w:t>en</w:t>
            </w:r>
            <w:r w:rsidRPr="00792D61">
              <w:rPr>
                <w:b/>
                <w:lang w:val="de-DE"/>
              </w:rPr>
              <w:t>]][[</w:t>
            </w:r>
            <w:r w:rsidRPr="000C038C">
              <w:rPr>
                <w:rFonts w:ascii="Arial" w:hAnsi="Arial" w:cs="Arial"/>
                <w:lang w:val="de-DE"/>
              </w:rPr>
              <w:t>●</w:t>
            </w:r>
            <w:r w:rsidRPr="00792D61">
              <w:rPr>
                <w:b/>
                <w:lang w:val="de-DE"/>
              </w:rPr>
              <w:t>]]</w:t>
            </w:r>
            <w:r w:rsidRPr="000C038C">
              <w:rPr>
                <w:lang w:val="de-DE"/>
              </w:rPr>
              <w:t xml:space="preserve">, der in Bezug auf </w:t>
            </w:r>
            <w:r w:rsidRPr="00792D61">
              <w:rPr>
                <w:b/>
                <w:lang w:val="de-DE"/>
              </w:rPr>
              <w:t>[</w:t>
            </w:r>
            <w:r w:rsidRPr="000C038C">
              <w:rPr>
                <w:lang w:val="de-DE"/>
              </w:rPr>
              <w:t>einen</w:t>
            </w:r>
            <w:r w:rsidRPr="00792D61">
              <w:rPr>
                <w:b/>
                <w:lang w:val="de-DE"/>
              </w:rPr>
              <w:t>][</w:t>
            </w:r>
            <w:r w:rsidRPr="000C038C">
              <w:rPr>
                <w:lang w:val="de-DE"/>
              </w:rPr>
              <w:t>den</w:t>
            </w:r>
            <w:r w:rsidRPr="00792D61">
              <w:rPr>
                <w:b/>
                <w:lang w:val="de-DE"/>
              </w:rPr>
              <w:t>]</w:t>
            </w:r>
            <w:r w:rsidRPr="000C038C">
              <w:rPr>
                <w:lang w:val="de-DE"/>
              </w:rPr>
              <w:t xml:space="preserve"> Barriere-Beobachtungstag gem</w:t>
            </w:r>
            <w:r w:rsidRPr="000C038C">
              <w:rPr>
                <w:rFonts w:cs="Credit Suisse Type Light"/>
                <w:lang w:val="de-DE"/>
              </w:rPr>
              <w:t>ä</w:t>
            </w:r>
            <w:r w:rsidRPr="000C038C">
              <w:rPr>
                <w:lang w:val="de-DE"/>
              </w:rPr>
              <w:t>ss der Definition  "Feststellung des Referenzsatzes 2" festgestellt wird.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C038C" w:rsidP="00EF3A31">
            <w:pPr>
              <w:pStyle w:val="CSBody8pt"/>
            </w:pPr>
            <w:r w:rsidRPr="00792D61">
              <w:rPr>
                <w:b/>
              </w:rPr>
              <w:t>[</w:t>
            </w:r>
            <w:r w:rsidRPr="00EF3A31">
              <w:rPr>
                <w:b/>
                <w:i/>
              </w:rPr>
              <w:t>in the case of Spread Range Accrual Notes, insert:</w:t>
            </w:r>
            <w:r w:rsidRPr="000C038C">
              <w:t xml:space="preserve"> Reference Rate 3</w:t>
            </w:r>
          </w:p>
        </w:tc>
        <w:tc>
          <w:tcPr>
            <w:tcW w:w="3315" w:type="dxa"/>
            <w:gridSpan w:val="7"/>
            <w:tcBorders>
              <w:top w:val="nil"/>
              <w:left w:val="nil"/>
              <w:bottom w:val="nil"/>
            </w:tcBorders>
            <w:shd w:val="clear" w:color="auto" w:fill="auto"/>
          </w:tcPr>
          <w:p w:rsidR="0017135D" w:rsidRPr="000C038C" w:rsidP="00EF3A31">
            <w:pPr>
              <w:pStyle w:val="CSBody8pt"/>
            </w:pPr>
            <w:r w:rsidRPr="00792D61">
              <w:rPr>
                <w:b/>
              </w:rPr>
              <w:t>[[</w:t>
            </w:r>
            <w:r w:rsidRPr="000C038C">
              <w:rPr>
                <w:rFonts w:ascii="Arial" w:hAnsi="Arial" w:cs="Arial"/>
              </w:rPr>
              <w:t>●</w:t>
            </w:r>
            <w:r w:rsidRPr="00792D61">
              <w:rPr>
                <w:b/>
              </w:rPr>
              <w:t>]</w:t>
            </w:r>
            <w:r w:rsidRPr="000C038C">
              <w:t xml:space="preserve"> month </w:t>
            </w:r>
            <w:r w:rsidRPr="00792D61">
              <w:rPr>
                <w:b/>
              </w:rPr>
              <w:t>[</w:t>
            </w:r>
            <w:r w:rsidRPr="000C038C">
              <w:rPr>
                <w:rFonts w:ascii="Arial" w:hAnsi="Arial" w:cs="Arial"/>
              </w:rPr>
              <w:t>●</w:t>
            </w:r>
            <w:r w:rsidRPr="00792D61">
              <w:rPr>
                <w:b/>
              </w:rPr>
              <w:t>]</w:t>
            </w:r>
            <w:r w:rsidRPr="000C038C">
              <w:t xml:space="preserve"> LIBOR, </w:t>
            </w:r>
            <w:r w:rsidRPr="007E3558">
              <w:rPr>
                <w:i/>
              </w:rPr>
              <w:t>i.e.</w:t>
            </w:r>
            <w:r w:rsidRPr="000C038C">
              <w:t xml:space="preserve">, the London interbank offered rate for deposits in </w:t>
            </w:r>
            <w:r w:rsidRPr="00792D61">
              <w:rPr>
                <w:b/>
              </w:rPr>
              <w:t>[</w:t>
            </w:r>
            <w:r w:rsidRPr="000C038C">
              <w:rPr>
                <w:rFonts w:ascii="Arial" w:hAnsi="Arial" w:cs="Arial"/>
              </w:rPr>
              <w:t>●</w:t>
            </w:r>
            <w:r w:rsidRPr="00792D61">
              <w:rPr>
                <w:b/>
              </w:rPr>
              <w:t>]</w:t>
            </w:r>
            <w:r w:rsidRPr="000C038C">
              <w:t xml:space="preserve"> with a </w:t>
            </w:r>
            <w:r w:rsidRPr="00792D61">
              <w:rPr>
                <w:b/>
              </w:rPr>
              <w:t>[</w:t>
            </w:r>
            <w:r w:rsidRPr="000C038C">
              <w:rPr>
                <w:rFonts w:ascii="Arial" w:hAnsi="Arial" w:cs="Arial"/>
              </w:rPr>
              <w:t>●</w:t>
            </w:r>
            <w:r w:rsidRPr="00792D61">
              <w:rPr>
                <w:b/>
              </w:rPr>
              <w:t>]</w:t>
            </w:r>
            <w:r w:rsidRPr="000C038C">
              <w:t>-month maturity</w:t>
            </w:r>
            <w:r w:rsidRPr="00792D61">
              <w:rPr>
                <w:b/>
              </w:rPr>
              <w:t>][[</w:t>
            </w:r>
            <w:r w:rsidRPr="000C038C">
              <w:rPr>
                <w:rFonts w:ascii="Arial" w:hAnsi="Arial" w:cs="Arial"/>
              </w:rPr>
              <w:t>●</w:t>
            </w:r>
            <w:r w:rsidRPr="00792D61">
              <w:rPr>
                <w:b/>
              </w:rPr>
              <w:t>]</w:t>
            </w:r>
            <w:r w:rsidRPr="000C038C">
              <w:t xml:space="preserve"> month EURIBOR, </w:t>
            </w:r>
            <w:r w:rsidRPr="007E3558">
              <w:rPr>
                <w:i/>
              </w:rPr>
              <w:t>i.e.</w:t>
            </w:r>
            <w:r w:rsidRPr="000C038C">
              <w:t xml:space="preserve">, the rate for deposits in euro, designated as "EURIBOR" and sponsored jointly by the European Banking Federation and ACI-the Financial Market Association, or any company established by the joint sponsors for purposes of compiling and publishing such rate, with a </w:t>
            </w:r>
            <w:r w:rsidRPr="00792D61">
              <w:rPr>
                <w:b/>
              </w:rPr>
              <w:t>[</w:t>
            </w:r>
            <w:r w:rsidRPr="000C038C">
              <w:rPr>
                <w:rFonts w:ascii="Arial" w:hAnsi="Arial" w:cs="Arial"/>
              </w:rPr>
              <w:t>●</w:t>
            </w:r>
            <w:r w:rsidRPr="00792D61">
              <w:rPr>
                <w:b/>
              </w:rPr>
              <w:t>]</w:t>
            </w:r>
            <w:r w:rsidRPr="000C038C">
              <w:t>-month maturity</w:t>
            </w:r>
            <w:r w:rsidRPr="00792D61">
              <w:rPr>
                <w:b/>
              </w:rPr>
              <w:t>][</w:t>
            </w:r>
            <w:r w:rsidRPr="000C038C">
              <w:t xml:space="preserve">USD </w:t>
            </w:r>
            <w:r w:rsidRPr="00792D61">
              <w:rPr>
                <w:b/>
              </w:rPr>
              <w:t>[</w:t>
            </w:r>
            <w:r w:rsidRPr="000C038C">
              <w:rPr>
                <w:rFonts w:ascii="Arial" w:hAnsi="Arial" w:cs="Arial"/>
              </w:rPr>
              <w:t>●</w:t>
            </w:r>
            <w:r w:rsidRPr="00792D61">
              <w:rPr>
                <w:b/>
              </w:rPr>
              <w:t>]</w:t>
            </w:r>
            <w:r w:rsidRPr="000C038C">
              <w:t xml:space="preserve"> year CMS, </w:t>
            </w:r>
            <w:r w:rsidRPr="007E3558">
              <w:rPr>
                <w:i/>
              </w:rPr>
              <w:t>i.e.</w:t>
            </w:r>
            <w:r w:rsidRPr="000C038C">
              <w:t xml:space="preserve">, the rate for U.S. dollar swaps with a </w:t>
            </w:r>
            <w:r w:rsidRPr="00792D61">
              <w:rPr>
                <w:b/>
              </w:rPr>
              <w:t>[</w:t>
            </w:r>
            <w:r w:rsidRPr="000C038C">
              <w:rPr>
                <w:rFonts w:ascii="Arial" w:hAnsi="Arial" w:cs="Arial"/>
              </w:rPr>
              <w:t>●</w:t>
            </w:r>
            <w:r w:rsidRPr="00792D61">
              <w:rPr>
                <w:b/>
              </w:rPr>
              <w:t>]</w:t>
            </w:r>
            <w:r w:rsidRPr="000C038C">
              <w:t>-year maturity</w:t>
            </w:r>
            <w:r w:rsidRPr="00792D61">
              <w:rPr>
                <w:b/>
              </w:rPr>
              <w:t>][[</w:t>
            </w:r>
            <w:r w:rsidRPr="000C038C">
              <w:rPr>
                <w:rFonts w:ascii="Arial" w:hAnsi="Arial" w:cs="Arial"/>
              </w:rPr>
              <w:t>●</w:t>
            </w:r>
            <w:r w:rsidRPr="00792D61">
              <w:rPr>
                <w:b/>
              </w:rPr>
              <w:t>]]</w:t>
            </w:r>
            <w:r w:rsidRPr="000C038C">
              <w:t xml:space="preserve">, which, with respect to </w:t>
            </w:r>
            <w:r w:rsidRPr="00792D61">
              <w:rPr>
                <w:b/>
              </w:rPr>
              <w:t>[</w:t>
            </w:r>
            <w:r w:rsidRPr="000C038C">
              <w:t>any</w:t>
            </w:r>
            <w:r w:rsidRPr="00792D61">
              <w:rPr>
                <w:b/>
              </w:rPr>
              <w:t>][</w:t>
            </w:r>
            <w:r w:rsidRPr="000C038C">
              <w:t>the</w:t>
            </w:r>
            <w:r w:rsidRPr="00792D61">
              <w:rPr>
                <w:b/>
              </w:rPr>
              <w:t>]</w:t>
            </w:r>
            <w:r w:rsidRPr="000C038C">
              <w:t xml:space="preserve"> Barrier Observation Date, shall be determined in accordance with the definition "Determination of Reference Rate 3".</w:t>
            </w:r>
            <w:r w:rsidRPr="00792D61">
              <w:rPr>
                <w:b/>
              </w:rPr>
              <w:t>]</w:t>
            </w:r>
          </w:p>
        </w:tc>
        <w:tc>
          <w:tcPr>
            <w:tcW w:w="1618" w:type="dxa"/>
            <w:gridSpan w:val="2"/>
            <w:tcBorders>
              <w:top w:val="nil"/>
              <w:bottom w:val="nil"/>
              <w:right w:val="nil"/>
            </w:tcBorders>
            <w:shd w:val="clear" w:color="auto" w:fill="auto"/>
          </w:tcPr>
          <w:p w:rsidR="0017135D" w:rsidRPr="009D08E0" w:rsidP="00EF3A31">
            <w:pPr>
              <w:pStyle w:val="CSBody8pt"/>
              <w:rPr>
                <w:i/>
                <w:lang w:val="de-DE"/>
              </w:rPr>
            </w:pPr>
            <w:r w:rsidRPr="009D08E0">
              <w:rPr>
                <w:b/>
                <w:i/>
                <w:lang w:val="de-DE"/>
              </w:rPr>
              <w:t>[bei Spread Range Accrual Notes einfügen:</w:t>
            </w:r>
            <w:r w:rsidRPr="009D08E0">
              <w:rPr>
                <w:i/>
                <w:lang w:val="de-DE"/>
              </w:rPr>
              <w:t xml:space="preserve"> </w:t>
            </w:r>
            <w:r w:rsidRPr="009D08E0">
              <w:rPr>
                <w:lang w:val="de-DE"/>
              </w:rPr>
              <w:t>Referenzsatz 3</w:t>
            </w:r>
          </w:p>
        </w:tc>
        <w:tc>
          <w:tcPr>
            <w:tcW w:w="3318" w:type="dxa"/>
            <w:gridSpan w:val="10"/>
            <w:tcBorders>
              <w:top w:val="nil"/>
              <w:left w:val="nil"/>
              <w:bottom w:val="nil"/>
              <w:right w:val="nil"/>
            </w:tcBorders>
            <w:shd w:val="clear" w:color="auto" w:fill="auto"/>
          </w:tcPr>
          <w:p w:rsidR="0017135D" w:rsidRPr="000C038C" w:rsidP="00EF3A31">
            <w:pPr>
              <w:pStyle w:val="CSBody8pt"/>
              <w:rPr>
                <w:bCs/>
                <w:lang w:val="de-DE"/>
              </w:rPr>
            </w:pP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-Monats- </w:t>
            </w: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 LIBOR, </w:t>
            </w:r>
            <w:r>
              <w:rPr>
                <w:bCs/>
                <w:lang w:val="de-DE"/>
              </w:rPr>
              <w:t>d.h.</w:t>
            </w:r>
            <w:r w:rsidRPr="000C038C">
              <w:rPr>
                <w:bCs/>
                <w:lang w:val="de-DE"/>
              </w:rPr>
              <w:t xml:space="preserve"> der Londoner Interbankensatz (London interbank offered rate) f</w:t>
            </w:r>
            <w:r w:rsidRPr="000C038C">
              <w:rPr>
                <w:rFonts w:cs="Credit Suisse Type Light"/>
                <w:bCs/>
                <w:lang w:val="de-DE"/>
              </w:rPr>
              <w:t>ü</w:t>
            </w:r>
            <w:r w:rsidRPr="000C038C">
              <w:rPr>
                <w:bCs/>
                <w:lang w:val="de-DE"/>
              </w:rPr>
              <w:t xml:space="preserve">r Einlagen in </w:t>
            </w: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 mit einer Laufzeit von </w:t>
            </w: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 Monat</w:t>
            </w:r>
            <w:r w:rsidRPr="00792D61">
              <w:rPr>
                <w:b/>
                <w:bCs/>
                <w:lang w:val="de-DE"/>
              </w:rPr>
              <w:t>[</w:t>
            </w:r>
            <w:r w:rsidRPr="000C038C">
              <w:rPr>
                <w:bCs/>
                <w:lang w:val="de-DE"/>
              </w:rPr>
              <w:t>en</w:t>
            </w: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-Monats-EURIBOR, </w:t>
            </w:r>
            <w:r>
              <w:rPr>
                <w:bCs/>
                <w:lang w:val="de-DE"/>
              </w:rPr>
              <w:t>d.h.</w:t>
            </w:r>
            <w:r w:rsidRPr="000C038C">
              <w:rPr>
                <w:bCs/>
                <w:lang w:val="de-DE"/>
              </w:rPr>
              <w:t xml:space="preserve"> der Zinssatz f</w:t>
            </w:r>
            <w:r w:rsidRPr="000C038C">
              <w:rPr>
                <w:rFonts w:cs="Credit Suisse Type Light"/>
                <w:bCs/>
                <w:lang w:val="de-DE"/>
              </w:rPr>
              <w:t>ü</w:t>
            </w:r>
            <w:r w:rsidRPr="000C038C">
              <w:rPr>
                <w:bCs/>
                <w:lang w:val="de-DE"/>
              </w:rPr>
              <w:t xml:space="preserve">r Einlagen in Euro unter der Bezeichnung "EURIBOR", bei dem die European Banking Federation und ACI – The Financial Market Association gemeinsam oder ein von den gemeinsamen Sponsoren zur Ermittlung und Veröffentlichung dieses Zinssatzes gegründetes Unternehmen als Sponsor fungieren, mit einer Laufzeit von </w:t>
            </w: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 Monat</w:t>
            </w:r>
            <w:r w:rsidRPr="00792D61">
              <w:rPr>
                <w:b/>
                <w:bCs/>
                <w:lang w:val="de-DE"/>
              </w:rPr>
              <w:t>[</w:t>
            </w:r>
            <w:r w:rsidRPr="000C038C">
              <w:rPr>
                <w:bCs/>
                <w:lang w:val="de-DE"/>
              </w:rPr>
              <w:t>en</w:t>
            </w:r>
            <w:r w:rsidRPr="00792D61">
              <w:rPr>
                <w:b/>
                <w:bCs/>
                <w:lang w:val="de-DE"/>
              </w:rPr>
              <w:t>]][</w:t>
            </w:r>
            <w:r w:rsidRPr="000C038C">
              <w:rPr>
                <w:bCs/>
                <w:lang w:val="de-DE"/>
              </w:rPr>
              <w:t xml:space="preserve">USD </w:t>
            </w: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-Jahres-CMS, </w:t>
            </w:r>
            <w:r>
              <w:rPr>
                <w:bCs/>
                <w:lang w:val="de-DE"/>
              </w:rPr>
              <w:t>d.h.</w:t>
            </w:r>
            <w:r w:rsidRPr="000C038C">
              <w:rPr>
                <w:bCs/>
                <w:lang w:val="de-DE"/>
              </w:rPr>
              <w:t xml:space="preserve"> der Satz f</w:t>
            </w:r>
            <w:r w:rsidRPr="000C038C">
              <w:rPr>
                <w:rFonts w:cs="Credit Suisse Type Light"/>
                <w:bCs/>
                <w:lang w:val="de-DE"/>
              </w:rPr>
              <w:t>ü</w:t>
            </w:r>
            <w:r w:rsidRPr="000C038C">
              <w:rPr>
                <w:bCs/>
                <w:lang w:val="de-DE"/>
              </w:rPr>
              <w:t xml:space="preserve">r US-Dollar-Swaps mit einer Laufzeit von </w:t>
            </w: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 Jahr</w:t>
            </w:r>
            <w:r w:rsidRPr="00792D61">
              <w:rPr>
                <w:b/>
                <w:bCs/>
                <w:lang w:val="de-DE"/>
              </w:rPr>
              <w:t>[</w:t>
            </w:r>
            <w:r w:rsidRPr="000C038C">
              <w:rPr>
                <w:bCs/>
                <w:lang w:val="de-DE"/>
              </w:rPr>
              <w:t>en</w:t>
            </w:r>
            <w:r w:rsidRPr="00792D61">
              <w:rPr>
                <w:b/>
                <w:bCs/>
                <w:lang w:val="de-DE"/>
              </w:rPr>
              <w:t>]][[</w:t>
            </w:r>
            <w:r w:rsidRPr="000C038C">
              <w:rPr>
                <w:rFonts w:ascii="Arial" w:hAnsi="Arial" w:cs="Arial"/>
                <w:bCs/>
                <w:lang w:val="de-DE"/>
              </w:rPr>
              <w:t>●</w:t>
            </w:r>
            <w:r w:rsidRPr="00792D61">
              <w:rPr>
                <w:b/>
                <w:bCs/>
                <w:lang w:val="de-DE"/>
              </w:rPr>
              <w:t>]]</w:t>
            </w:r>
            <w:r w:rsidRPr="000C038C">
              <w:rPr>
                <w:bCs/>
                <w:lang w:val="de-DE"/>
              </w:rPr>
              <w:t xml:space="preserve">, der in Bezug auf </w:t>
            </w:r>
            <w:r w:rsidRPr="00792D61">
              <w:rPr>
                <w:b/>
                <w:bCs/>
                <w:lang w:val="de-DE"/>
              </w:rPr>
              <w:t>[</w:t>
            </w:r>
            <w:r w:rsidRPr="000C038C">
              <w:rPr>
                <w:bCs/>
                <w:lang w:val="de-DE"/>
              </w:rPr>
              <w:t>einen</w:t>
            </w:r>
            <w:r w:rsidRPr="00792D61">
              <w:rPr>
                <w:b/>
                <w:bCs/>
                <w:lang w:val="de-DE"/>
              </w:rPr>
              <w:t>][</w:t>
            </w:r>
            <w:r w:rsidRPr="000C038C">
              <w:rPr>
                <w:bCs/>
                <w:lang w:val="de-DE"/>
              </w:rPr>
              <w:t>den</w:t>
            </w:r>
            <w:r w:rsidRPr="00792D61">
              <w:rPr>
                <w:b/>
                <w:bCs/>
                <w:lang w:val="de-DE"/>
              </w:rPr>
              <w:t>]</w:t>
            </w:r>
            <w:r w:rsidRPr="000C038C">
              <w:rPr>
                <w:bCs/>
                <w:lang w:val="de-DE"/>
              </w:rPr>
              <w:t xml:space="preserve"> Barriere-Beobachtungstag gem</w:t>
            </w:r>
            <w:r w:rsidRPr="000C038C">
              <w:rPr>
                <w:rFonts w:cs="Credit Suisse Type Light"/>
                <w:bCs/>
                <w:lang w:val="de-DE"/>
              </w:rPr>
              <w:t>ä</w:t>
            </w:r>
            <w:r w:rsidRPr="000C038C">
              <w:rPr>
                <w:bCs/>
                <w:lang w:val="de-DE"/>
              </w:rPr>
              <w:t>ss der Definition  "Feststellung des Referenzsatzes 3" festgestellt wird.</w:t>
            </w:r>
            <w:r w:rsidRPr="00792D61">
              <w:rPr>
                <w:b/>
                <w:bCs/>
                <w:lang w:val="de-DE"/>
              </w:rPr>
              <w:t>]</w:t>
            </w:r>
          </w:p>
        </w:tc>
      </w:tr>
      <w:tr w:rsidTr="004C1EBA">
        <w:tblPrEx>
          <w:tblW w:w="4999" w:type="pct"/>
          <w:tblLayout w:type="fixed"/>
          <w:tblCellMar>
            <w:left w:w="115" w:type="dxa"/>
            <w:right w:w="115" w:type="dxa"/>
          </w:tblCellMar>
          <w:tblLook w:val="04A0"/>
        </w:tblPrEx>
        <w:trPr>
          <w:trHeight w:val="2603"/>
        </w:trPr>
        <w:tc>
          <w:tcPr>
            <w:tcW w:w="1616" w:type="dxa"/>
            <w:gridSpan w:val="4"/>
            <w:tcBorders>
              <w:top w:val="nil"/>
              <w:left w:val="nil"/>
              <w:right w:val="nil"/>
            </w:tcBorders>
            <w:shd w:val="clear" w:color="auto" w:fill="auto"/>
          </w:tcPr>
          <w:p w:rsidR="0017135D" w:rsidRPr="00244AFC" w:rsidP="00EF3A31">
            <w:pPr>
              <w:pStyle w:val="CSBody8pt"/>
            </w:pPr>
            <w:r w:rsidRPr="00244AFC">
              <w:t>Determination of Reference Rate</w:t>
            </w:r>
            <w:r>
              <w:fldChar w:fldCharType="begin"/>
            </w:r>
            <w:r>
              <w:instrText xml:space="preserve"> XE "</w:instrText>
            </w:r>
            <w:r w:rsidRPr="00CB6F0D">
              <w:instrText>Determination of Reference Rate</w:instrText>
            </w:r>
            <w:r>
              <w:instrText xml:space="preserve">" \f "EN" </w:instrText>
            </w:r>
            <w:r>
              <w:fldChar w:fldCharType="end"/>
            </w:r>
            <w:r w:rsidRPr="00244AFC">
              <w:t xml:space="preserve"> </w:t>
            </w:r>
          </w:p>
          <w:p w:rsidR="0017135D" w:rsidRPr="00244AFC" w:rsidP="00EF3A31">
            <w:pPr>
              <w:pStyle w:val="CSBody8pt"/>
            </w:pPr>
            <w:r w:rsidRPr="00792D61">
              <w:rPr>
                <w:b/>
              </w:rPr>
              <w:t>[</w:t>
            </w:r>
            <w:r w:rsidRPr="00EF3A31">
              <w:rPr>
                <w:b/>
                <w:i/>
              </w:rPr>
              <w:t>in the case of Spread-Linked Notes and Spread Range Accrual Notes, insert:</w:t>
            </w:r>
            <w:r w:rsidRPr="00FD0277">
              <w:t xml:space="preserve"> 1</w:t>
            </w:r>
            <w:r w:rsidRPr="00792D61">
              <w:rPr>
                <w:b/>
              </w:rPr>
              <w:t>]</w:t>
            </w:r>
          </w:p>
        </w:tc>
        <w:tc>
          <w:tcPr>
            <w:tcW w:w="3315" w:type="dxa"/>
            <w:gridSpan w:val="7"/>
            <w:tcBorders>
              <w:top w:val="nil"/>
              <w:left w:val="nil"/>
            </w:tcBorders>
            <w:shd w:val="clear" w:color="auto" w:fill="auto"/>
          </w:tcPr>
          <w:p w:rsidR="0017135D" w:rsidRPr="00244AFC" w:rsidP="00EF3A31">
            <w:pPr>
              <w:pStyle w:val="CSBody8pt"/>
            </w:pPr>
            <w:r w:rsidRPr="00792D61">
              <w:rPr>
                <w:b/>
              </w:rPr>
              <w:t>[</w:t>
            </w:r>
            <w:r w:rsidRPr="00244AFC">
              <w:rPr>
                <w:b/>
                <w:i/>
              </w:rPr>
              <w:t>in the case of Complex Products other than Spread-Linked Notes and Spread Range Accrual Notes, insert:</w:t>
            </w:r>
            <w:r w:rsidRPr="00244AFC">
              <w:t xml:space="preserve"> the Reference Rate</w:t>
            </w:r>
            <w:r w:rsidRPr="00792D61">
              <w:rPr>
                <w:b/>
              </w:rPr>
              <w:t>][</w:t>
            </w:r>
            <w:r w:rsidRPr="00244AFC">
              <w:rPr>
                <w:b/>
                <w:i/>
              </w:rPr>
              <w:t>in the case of Spread-Linked Notes and Spread Range Accrual Notes, insert:</w:t>
            </w:r>
            <w:r w:rsidRPr="00244AFC">
              <w:t xml:space="preserve"> Reference Rate 1</w:t>
            </w:r>
            <w:r w:rsidRPr="00792D61">
              <w:rPr>
                <w:b/>
              </w:rPr>
              <w:t>]</w:t>
            </w:r>
            <w:r w:rsidRPr="00244AFC">
              <w:t xml:space="preserve"> on </w:t>
            </w:r>
            <w:r w:rsidRPr="00792D61">
              <w:rPr>
                <w:b/>
              </w:rPr>
              <w:t>[</w:t>
            </w:r>
            <w:r w:rsidRPr="00244AFC">
              <w:rPr>
                <w:b/>
                <w:i/>
              </w:rPr>
              <w:t>in the case of all Complex Products other than Range Accrual Notes, insert:</w:t>
            </w:r>
            <w:r w:rsidRPr="00244AFC">
              <w:t xml:space="preserve"> </w:t>
            </w:r>
            <w:r w:rsidRPr="00792D61">
              <w:rPr>
                <w:b/>
              </w:rPr>
              <w:t>[</w:t>
            </w:r>
            <w:r w:rsidRPr="00244AFC">
              <w:t>any</w:t>
            </w:r>
            <w:r w:rsidRPr="00792D61">
              <w:rPr>
                <w:b/>
              </w:rPr>
              <w:t>][</w:t>
            </w:r>
            <w:r w:rsidRPr="00244AFC">
              <w:t>the</w:t>
            </w:r>
            <w:r w:rsidRPr="00792D61">
              <w:rPr>
                <w:b/>
              </w:rPr>
              <w:t>]</w:t>
            </w:r>
            <w:r w:rsidRPr="00244AFC">
              <w:t xml:space="preserve"> Interest Determination Date</w:t>
            </w:r>
            <w:r w:rsidRPr="00792D61">
              <w:rPr>
                <w:b/>
              </w:rPr>
              <w:t>][</w:t>
            </w:r>
            <w:r w:rsidRPr="00244AFC">
              <w:rPr>
                <w:b/>
                <w:i/>
              </w:rPr>
              <w:t>in the case of Range Accrual Notes, insert:</w:t>
            </w:r>
            <w:r w:rsidRPr="00244AFC">
              <w:t xml:space="preserve"> </w:t>
            </w:r>
            <w:r w:rsidRPr="00792D61">
              <w:rPr>
                <w:b/>
              </w:rPr>
              <w:t>[</w:t>
            </w:r>
            <w:r w:rsidRPr="00244AFC">
              <w:t>any</w:t>
            </w:r>
            <w:r w:rsidRPr="00792D61">
              <w:rPr>
                <w:b/>
              </w:rPr>
              <w:t>][</w:t>
            </w:r>
            <w:r w:rsidRPr="00244AFC">
              <w:t>the</w:t>
            </w:r>
            <w:r w:rsidRPr="00792D61">
              <w:rPr>
                <w:b/>
              </w:rPr>
              <w:t>]</w:t>
            </w:r>
            <w:r w:rsidRPr="00244AFC">
              <w:t xml:space="preserve"> Barrier Observation Date</w:t>
            </w:r>
            <w:r w:rsidRPr="00792D61">
              <w:rPr>
                <w:b/>
              </w:rPr>
              <w:t>]</w:t>
            </w:r>
            <w:r w:rsidRPr="00244AFC">
              <w:t>, shall be:</w:t>
            </w:r>
          </w:p>
        </w:tc>
        <w:tc>
          <w:tcPr>
            <w:tcW w:w="1618" w:type="dxa"/>
            <w:gridSpan w:val="2"/>
            <w:tcBorders>
              <w:top w:val="nil"/>
              <w:right w:val="nil"/>
            </w:tcBorders>
            <w:shd w:val="clear" w:color="auto" w:fill="auto"/>
          </w:tcPr>
          <w:p w:rsidR="0017135D" w:rsidRPr="0004588B" w:rsidP="00EF3A31">
            <w:pPr>
              <w:pStyle w:val="CSBody8pt"/>
              <w:rPr>
                <w:lang w:val="de-DE"/>
              </w:rPr>
            </w:pPr>
            <w:r w:rsidRPr="0004588B">
              <w:rPr>
                <w:lang w:val="de-DE"/>
              </w:rPr>
              <w:t>Feststellung des Referenzsatzes</w:t>
            </w:r>
            <w:r>
              <w:fldChar w:fldCharType="begin"/>
            </w:r>
            <w:r w:rsidRPr="0004588B">
              <w:rPr>
                <w:lang w:val="de-DE"/>
              </w:rPr>
              <w:instrText xml:space="preserve"> XE "Feststellung des Referenzsatzes" </w:instrText>
            </w:r>
            <w:r>
              <w:fldChar w:fldCharType="end"/>
            </w:r>
            <w:r w:rsidRPr="0004588B">
              <w:rPr>
                <w:lang w:val="de-DE"/>
              </w:rPr>
              <w:t xml:space="preserve"> </w:t>
            </w:r>
          </w:p>
          <w:p w:rsidR="0017135D" w:rsidRPr="0004588B" w:rsidP="00EF3A31">
            <w:pPr>
              <w:pStyle w:val="CSBody8pt"/>
              <w:rPr>
                <w:lang w:val="de-DE"/>
              </w:rPr>
            </w:pPr>
            <w:r w:rsidRPr="00792D61">
              <w:rPr>
                <w:b/>
                <w:lang w:val="de-DE"/>
              </w:rPr>
              <w:t>[</w:t>
            </w:r>
            <w:r w:rsidRPr="0004588B">
              <w:rPr>
                <w:b/>
                <w:i/>
                <w:lang w:val="de-DE"/>
              </w:rPr>
              <w:t>bei Spread-Linked Notes und Spread Range Accrual Notes einfügen:</w:t>
            </w:r>
            <w:r w:rsidRPr="0004588B">
              <w:rPr>
                <w:lang w:val="de-DE"/>
              </w:rPr>
              <w:t xml:space="preserve"> 1</w:t>
            </w:r>
            <w:r w:rsidRPr="00792D61">
              <w:rPr>
                <w:b/>
                <w:lang w:val="de-DE"/>
              </w:rPr>
              <w:t>]</w:t>
            </w:r>
          </w:p>
        </w:tc>
        <w:tc>
          <w:tcPr>
            <w:tcW w:w="3318" w:type="dxa"/>
            <w:gridSpan w:val="10"/>
            <w:tcBorders>
              <w:top w:val="nil"/>
              <w:left w:val="nil"/>
              <w:right w:val="nil"/>
            </w:tcBorders>
            <w:shd w:val="clear" w:color="auto" w:fill="auto"/>
          </w:tcPr>
          <w:p w:rsidR="0017135D" w:rsidRPr="00F71807" w:rsidP="00516CB4">
            <w:pPr>
              <w:pStyle w:val="CSBody8pt"/>
              <w:rPr>
                <w:lang w:val="de-DE"/>
              </w:rPr>
            </w:pPr>
            <w:r w:rsidRPr="00792D61">
              <w:rPr>
                <w:b/>
                <w:lang w:val="de-DE"/>
              </w:rPr>
              <w:t>[</w:t>
            </w:r>
            <w:r w:rsidRPr="00244AFC">
              <w:rPr>
                <w:b/>
                <w:i/>
                <w:lang w:val="de-DE"/>
              </w:rPr>
              <w:t>bei Komplexen Produkten ausser Spread-Linked Notes und Spread Range Accrual Notes einfügen:</w:t>
            </w:r>
            <w:r w:rsidRPr="00244AFC">
              <w:rPr>
                <w:lang w:val="de-DE"/>
              </w:rPr>
              <w:t xml:space="preserve"> der Referenzsatz</w:t>
            </w:r>
            <w:r w:rsidRPr="00792D61">
              <w:rPr>
                <w:b/>
                <w:lang w:val="de-DE"/>
              </w:rPr>
              <w:t>][</w:t>
            </w:r>
            <w:r w:rsidRPr="00244AFC">
              <w:rPr>
                <w:b/>
                <w:i/>
                <w:lang w:val="de-DE"/>
              </w:rPr>
              <w:t>bei Spread-Linked Notes und Spread Range Accrual Notes einfügen:</w:t>
            </w:r>
            <w:r w:rsidRPr="00244AFC">
              <w:rPr>
                <w:lang w:val="de-DE"/>
              </w:rPr>
              <w:t xml:space="preserve"> der Referenzsatz 1</w:t>
            </w:r>
            <w:r w:rsidRPr="00792D61">
              <w:rPr>
                <w:b/>
                <w:lang w:val="de-DE"/>
              </w:rPr>
              <w:t>]</w:t>
            </w:r>
            <w:r w:rsidRPr="00244AFC">
              <w:rPr>
                <w:lang w:val="de-DE"/>
              </w:rPr>
              <w:t xml:space="preserve"> an </w:t>
            </w:r>
            <w:r w:rsidRPr="00792D61">
              <w:rPr>
                <w:b/>
                <w:lang w:val="de-DE"/>
              </w:rPr>
              <w:t>[</w:t>
            </w:r>
            <w:r w:rsidRPr="00244AFC">
              <w:rPr>
                <w:b/>
                <w:i/>
                <w:lang w:val="de-DE"/>
              </w:rPr>
              <w:t>bei allen Komplexen Produkten ausser Range Accrual Notes einfügen:</w:t>
            </w:r>
            <w:r w:rsidRPr="00244AFC">
              <w:rPr>
                <w:lang w:val="de-DE"/>
              </w:rPr>
              <w:t xml:space="preserve"> </w:t>
            </w:r>
            <w:r w:rsidRPr="00792D61">
              <w:rPr>
                <w:b/>
                <w:lang w:val="de-DE"/>
              </w:rPr>
              <w:t>[</w:t>
            </w:r>
            <w:r w:rsidRPr="00244AFC">
              <w:rPr>
                <w:lang w:val="de-DE"/>
              </w:rPr>
              <w:t>einem</w:t>
            </w:r>
            <w:r w:rsidRPr="00792D61">
              <w:rPr>
                <w:b/>
                <w:lang w:val="de-DE"/>
              </w:rPr>
              <w:t>][</w:t>
            </w:r>
            <w:r w:rsidRPr="00244AFC">
              <w:rPr>
                <w:lang w:val="de-DE"/>
              </w:rPr>
              <w:t>dem</w:t>
            </w:r>
            <w:r w:rsidRPr="00792D61">
              <w:rPr>
                <w:b/>
                <w:lang w:val="de-DE"/>
              </w:rPr>
              <w:t>]</w:t>
            </w:r>
            <w:r w:rsidRPr="00244AFC">
              <w:rPr>
                <w:lang w:val="de-DE"/>
              </w:rPr>
              <w:t xml:space="preserve"> Zinsfeststellungstag</w:t>
            </w:r>
            <w:r w:rsidRPr="00792D61">
              <w:rPr>
                <w:b/>
                <w:lang w:val="de-DE"/>
              </w:rPr>
              <w:t>][</w:t>
            </w:r>
            <w:r w:rsidRPr="00244AFC">
              <w:rPr>
                <w:b/>
                <w:i/>
                <w:lang w:val="de-DE"/>
              </w:rPr>
              <w:t>bei Range Accrual Notes einfügen:</w:t>
            </w:r>
            <w:r w:rsidRPr="00244AFC">
              <w:rPr>
                <w:lang w:val="de-DE"/>
              </w:rPr>
              <w:t xml:space="preserve"> </w:t>
            </w:r>
            <w:r w:rsidRPr="00792D61">
              <w:rPr>
                <w:b/>
                <w:lang w:val="de-DE"/>
              </w:rPr>
              <w:t>[</w:t>
            </w:r>
            <w:r w:rsidRPr="00244AFC">
              <w:rPr>
                <w:lang w:val="de-DE"/>
              </w:rPr>
              <w:t>einem</w:t>
            </w:r>
            <w:r w:rsidRPr="00792D61">
              <w:rPr>
                <w:b/>
                <w:lang w:val="de-DE"/>
              </w:rPr>
              <w:t>][</w:t>
            </w:r>
            <w:r w:rsidRPr="00244AFC">
              <w:rPr>
                <w:lang w:val="de-DE"/>
              </w:rPr>
              <w:t>dem</w:t>
            </w:r>
            <w:r w:rsidRPr="00792D61">
              <w:rPr>
                <w:b/>
                <w:lang w:val="de-DE"/>
              </w:rPr>
              <w:t>]</w:t>
            </w:r>
            <w:r w:rsidRPr="00244AFC">
              <w:rPr>
                <w:lang w:val="de-DE"/>
              </w:rPr>
              <w:t xml:space="preserve"> Barriere-Beobachtungstag</w:t>
            </w:r>
            <w:r w:rsidRPr="00792D61">
              <w:rPr>
                <w:b/>
                <w:lang w:val="de-DE"/>
              </w:rPr>
              <w:t>]</w:t>
            </w:r>
            <w:r w:rsidRPr="00244AFC">
              <w:rPr>
                <w:lang w:val="de-DE"/>
              </w:rPr>
              <w:t xml:space="preserve"> ist: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4588B" w:rsidP="00EF3A31">
            <w:pPr>
              <w:pStyle w:val="CSBody8pt"/>
              <w:rPr>
                <w:b/>
                <w:lang w:val="de-DE"/>
              </w:rPr>
            </w:pPr>
          </w:p>
        </w:tc>
        <w:tc>
          <w:tcPr>
            <w:tcW w:w="3315" w:type="dxa"/>
            <w:gridSpan w:val="7"/>
            <w:tcBorders>
              <w:top w:val="nil"/>
              <w:left w:val="nil"/>
              <w:bottom w:val="nil"/>
            </w:tcBorders>
            <w:shd w:val="clear" w:color="auto" w:fill="auto"/>
          </w:tcPr>
          <w:p w:rsidR="0017135D" w:rsidRPr="00EF3A31" w:rsidP="00A205FA">
            <w:pPr>
              <w:pStyle w:val="CSManNum8pt"/>
            </w:pPr>
            <w:r w:rsidRPr="00792D61">
              <w:rPr>
                <w:b/>
              </w:rPr>
              <w:t>[</w:t>
            </w:r>
            <w:r w:rsidRPr="00EF3A31">
              <w:t>(i)</w:t>
            </w:r>
            <w:r w:rsidRPr="00792D61">
              <w:rPr>
                <w:b/>
              </w:rPr>
              <w:t>]</w:t>
            </w:r>
            <w:r w:rsidRPr="00EF3A31">
              <w:tab/>
              <w:t xml:space="preserve">if there is </w:t>
            </w:r>
            <w:r w:rsidRPr="00792D61">
              <w:rPr>
                <w:b/>
              </w:rPr>
              <w:t>[</w:t>
            </w:r>
            <w:r w:rsidRPr="00EF3A31">
              <w:t>only</w:t>
            </w:r>
            <w:r w:rsidRPr="00792D61">
              <w:rPr>
                <w:b/>
              </w:rPr>
              <w:t>]</w:t>
            </w:r>
            <w:r w:rsidRPr="00EF3A31">
              <w:t xml:space="preserve"> one offered quotation on the </w:t>
            </w:r>
            <w:r w:rsidRPr="00792D61">
              <w:rPr>
                <w:b/>
              </w:rPr>
              <w:t>[</w:t>
            </w:r>
            <w:r w:rsidRPr="00EF3A31">
              <w:rPr>
                <w:b/>
                <w:i/>
              </w:rPr>
              <w:t>in the case of Spread-Linked Notes and Spread Range Accrual Notes, insert:</w:t>
            </w:r>
            <w:r w:rsidRPr="00EF3A31">
              <w:t xml:space="preserve"> relevant</w:t>
            </w:r>
            <w:r w:rsidRPr="00792D61">
              <w:rPr>
                <w:b/>
              </w:rPr>
              <w:t>]</w:t>
            </w:r>
            <w:r w:rsidRPr="00EF3A31">
              <w:t xml:space="preserve"> Rate Source, the offered quotation, </w:t>
            </w:r>
            <w:r w:rsidRPr="00792D61">
              <w:rPr>
                <w:b/>
              </w:rPr>
              <w:t>[</w:t>
            </w:r>
            <w:r w:rsidRPr="00EF3A31">
              <w:t>or</w:t>
            </w:r>
            <w:r w:rsidRPr="00792D61">
              <w:rPr>
                <w:b/>
              </w:rPr>
              <w:t>]</w:t>
            </w:r>
          </w:p>
        </w:tc>
        <w:tc>
          <w:tcPr>
            <w:tcW w:w="1618" w:type="dxa"/>
            <w:gridSpan w:val="2"/>
            <w:tcBorders>
              <w:top w:val="nil"/>
              <w:bottom w:val="nil"/>
              <w:right w:val="nil"/>
            </w:tcBorders>
            <w:shd w:val="clear" w:color="auto" w:fill="auto"/>
          </w:tcPr>
          <w:p w:rsidR="0017135D" w:rsidRPr="003458F4" w:rsidP="00EF3A31">
            <w:pPr>
              <w:pStyle w:val="CSBody8pt"/>
              <w:rPr>
                <w:b/>
                <w:i/>
              </w:rPr>
            </w:pPr>
          </w:p>
        </w:tc>
        <w:tc>
          <w:tcPr>
            <w:tcW w:w="3318" w:type="dxa"/>
            <w:gridSpan w:val="10"/>
            <w:tcBorders>
              <w:top w:val="nil"/>
              <w:left w:val="nil"/>
              <w:bottom w:val="nil"/>
              <w:right w:val="nil"/>
            </w:tcBorders>
            <w:shd w:val="clear" w:color="auto" w:fill="auto"/>
          </w:tcPr>
          <w:p w:rsidR="0017135D" w:rsidRPr="00F71807" w:rsidP="00A205FA">
            <w:pPr>
              <w:pStyle w:val="CSManNum8pt"/>
              <w:rPr>
                <w:lang w:val="de-DE"/>
              </w:rPr>
            </w:pPr>
            <w:r w:rsidRPr="00792D61">
              <w:rPr>
                <w:b/>
                <w:lang w:val="de-DE"/>
              </w:rPr>
              <w:t>[</w:t>
            </w:r>
            <w:r w:rsidRPr="00F71807">
              <w:rPr>
                <w:lang w:val="de-DE"/>
              </w:rPr>
              <w:t>(i)</w:t>
            </w:r>
            <w:r w:rsidRPr="00792D61">
              <w:rPr>
                <w:b/>
                <w:lang w:val="de-DE"/>
              </w:rPr>
              <w:t>]</w:t>
            </w:r>
            <w:r w:rsidRPr="00F71807">
              <w:rPr>
                <w:lang w:val="de-DE"/>
              </w:rPr>
              <w:tab/>
              <w:t xml:space="preserve">wenn es auf der </w:t>
            </w:r>
            <w:r w:rsidRPr="00792D61">
              <w:rPr>
                <w:b/>
                <w:lang w:val="de-DE"/>
              </w:rPr>
              <w:t>[</w:t>
            </w:r>
            <w:r w:rsidRPr="00F71807">
              <w:rPr>
                <w:b/>
                <w:i/>
                <w:lang w:val="de-DE"/>
              </w:rPr>
              <w:t>bei Spread-Linked Notes und S</w:t>
            </w:r>
            <w:r>
              <w:rPr>
                <w:b/>
                <w:i/>
                <w:lang w:val="de-DE"/>
              </w:rPr>
              <w:t>pread Range Accrual Notes einfü</w:t>
            </w:r>
            <w:r w:rsidRPr="00F71807">
              <w:rPr>
                <w:b/>
                <w:i/>
                <w:lang w:val="de-DE"/>
              </w:rPr>
              <w:t>gen:</w:t>
            </w:r>
            <w:r w:rsidRPr="00F71807">
              <w:rPr>
                <w:lang w:val="de-DE"/>
              </w:rPr>
              <w:t xml:space="preserve"> massgeblichen</w:t>
            </w:r>
            <w:r w:rsidRPr="00792D61">
              <w:rPr>
                <w:b/>
                <w:lang w:val="de-DE"/>
              </w:rPr>
              <w:t>]</w:t>
            </w:r>
            <w:r w:rsidRPr="00F71807">
              <w:rPr>
                <w:lang w:val="de-DE"/>
              </w:rPr>
              <w:t xml:space="preserve"> Kursquelle </w:t>
            </w:r>
            <w:r w:rsidRPr="00792D61">
              <w:rPr>
                <w:b/>
                <w:lang w:val="de-DE"/>
              </w:rPr>
              <w:t>[</w:t>
            </w:r>
            <w:r w:rsidRPr="00F71807">
              <w:rPr>
                <w:lang w:val="de-DE"/>
              </w:rPr>
              <w:t>nur</w:t>
            </w:r>
            <w:r w:rsidRPr="00792D61">
              <w:rPr>
                <w:b/>
                <w:lang w:val="de-DE"/>
              </w:rPr>
              <w:t>]</w:t>
            </w:r>
            <w:r w:rsidRPr="00F71807">
              <w:rPr>
                <w:lang w:val="de-DE"/>
              </w:rPr>
              <w:t xml:space="preserve"> eine Angebotsquotierung gibt, diese Angebotsquotierung, </w:t>
            </w:r>
            <w:r w:rsidRPr="00792D61">
              <w:rPr>
                <w:b/>
                <w:lang w:val="de-DE"/>
              </w:rPr>
              <w:t>[</w:t>
            </w:r>
            <w:r w:rsidRPr="00F71807">
              <w:rPr>
                <w:lang w:val="de-DE"/>
              </w:rPr>
              <w:t>oder</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458F4" w:rsidP="00EF3A31">
            <w:pPr>
              <w:pStyle w:val="CSBody8pt"/>
              <w:rPr>
                <w:lang w:val="de-DE"/>
              </w:rPr>
            </w:pPr>
          </w:p>
        </w:tc>
        <w:tc>
          <w:tcPr>
            <w:tcW w:w="3315" w:type="dxa"/>
            <w:gridSpan w:val="7"/>
            <w:tcBorders>
              <w:top w:val="nil"/>
              <w:left w:val="nil"/>
              <w:bottom w:val="nil"/>
            </w:tcBorders>
            <w:shd w:val="clear" w:color="auto" w:fill="auto"/>
          </w:tcPr>
          <w:p w:rsidR="0017135D" w:rsidRPr="00EF3A31" w:rsidP="00A205FA">
            <w:pPr>
              <w:pStyle w:val="CSManNum8pt"/>
            </w:pPr>
            <w:r w:rsidRPr="00792D61">
              <w:rPr>
                <w:b/>
              </w:rPr>
              <w:t>[</w:t>
            </w:r>
            <w:r w:rsidRPr="00EF3A31">
              <w:t>(ii)</w:t>
            </w:r>
            <w:r w:rsidRPr="00EF3A31">
              <w:tab/>
              <w:t xml:space="preserve">if there is more than one offered quotation on the </w:t>
            </w:r>
            <w:r w:rsidRPr="00792D61">
              <w:rPr>
                <w:b/>
              </w:rPr>
              <w:t>[</w:t>
            </w:r>
            <w:r w:rsidRPr="00EF3A31">
              <w:rPr>
                <w:b/>
                <w:i/>
              </w:rPr>
              <w:t>in the case of Spread-Linked Notes and Spread Range Accrual Notes, insert:</w:t>
            </w:r>
            <w:r w:rsidRPr="00EF3A31">
              <w:t xml:space="preserve"> relevant</w:t>
            </w:r>
            <w:r w:rsidRPr="00792D61">
              <w:rPr>
                <w:b/>
              </w:rPr>
              <w:t>]</w:t>
            </w:r>
            <w:r w:rsidRPr="00EF3A31">
              <w:t xml:space="preserve"> Rate Source, the arithmetic mean (rounded if necessary to the nearest one thousandth of a percentage point, with </w:t>
            </w:r>
            <w:r w:rsidRPr="00792D61">
              <w:rPr>
                <w:b/>
              </w:rPr>
              <w:t>[</w:t>
            </w:r>
            <w:r w:rsidRPr="00EF3A31">
              <w:t>0.0005</w:t>
            </w:r>
            <w:r w:rsidRPr="00792D61">
              <w:rPr>
                <w:b/>
              </w:rPr>
              <w:t>][</w:t>
            </w:r>
            <w:r w:rsidRPr="00EF3A31">
              <w:t xml:space="preserve"> </w:t>
            </w:r>
            <w:r w:rsidRPr="00792D61">
              <w:rPr>
                <w:b/>
              </w:rPr>
              <w:t>[</w:t>
            </w:r>
            <w:r w:rsidRPr="00EF3A31">
              <w:rPr>
                <w:rFonts w:ascii="Arial" w:hAnsi="Arial" w:cs="Arial"/>
              </w:rPr>
              <w:t>●</w:t>
            </w:r>
            <w:r w:rsidRPr="00792D61">
              <w:rPr>
                <w:b/>
              </w:rPr>
              <w:t>]]</w:t>
            </w:r>
            <w:r w:rsidRPr="00EF3A31">
              <w:t xml:space="preserve"> being rounded upwards) of such offered quotations,</w:t>
            </w:r>
            <w:r w:rsidRPr="00792D61">
              <w:rPr>
                <w:b/>
              </w:rPr>
              <w:t>]</w:t>
            </w:r>
          </w:p>
        </w:tc>
        <w:tc>
          <w:tcPr>
            <w:tcW w:w="1618" w:type="dxa"/>
            <w:gridSpan w:val="2"/>
            <w:tcBorders>
              <w:top w:val="nil"/>
              <w:bottom w:val="nil"/>
              <w:right w:val="nil"/>
            </w:tcBorders>
            <w:shd w:val="clear" w:color="auto" w:fill="auto"/>
          </w:tcPr>
          <w:p w:rsidR="0017135D" w:rsidRPr="003458F4" w:rsidP="00EF3A31">
            <w:pPr>
              <w:pStyle w:val="CSBody8pt"/>
              <w:rPr>
                <w:i/>
              </w:rPr>
            </w:pPr>
          </w:p>
        </w:tc>
        <w:tc>
          <w:tcPr>
            <w:tcW w:w="3318" w:type="dxa"/>
            <w:gridSpan w:val="10"/>
            <w:tcBorders>
              <w:top w:val="nil"/>
              <w:left w:val="nil"/>
              <w:bottom w:val="nil"/>
              <w:right w:val="nil"/>
            </w:tcBorders>
            <w:shd w:val="clear" w:color="auto" w:fill="auto"/>
          </w:tcPr>
          <w:p w:rsidR="0017135D" w:rsidRPr="00F71807" w:rsidP="00A205FA">
            <w:pPr>
              <w:pStyle w:val="CSManNum8pt"/>
              <w:rPr>
                <w:lang w:val="de-DE"/>
              </w:rPr>
            </w:pPr>
            <w:r w:rsidRPr="00792D61">
              <w:rPr>
                <w:b/>
                <w:lang w:val="de-DE"/>
              </w:rPr>
              <w:t>[</w:t>
            </w:r>
            <w:r w:rsidRPr="00F71807">
              <w:rPr>
                <w:lang w:val="de-DE"/>
              </w:rPr>
              <w:t>(ii)</w:t>
            </w:r>
            <w:r w:rsidRPr="00F71807">
              <w:rPr>
                <w:lang w:val="de-DE"/>
              </w:rPr>
              <w:tab/>
              <w:t xml:space="preserve">wenn es auf der </w:t>
            </w:r>
            <w:r w:rsidRPr="00792D61">
              <w:rPr>
                <w:b/>
                <w:lang w:val="de-DE"/>
              </w:rPr>
              <w:t>[</w:t>
            </w:r>
            <w:r w:rsidRPr="00F71807">
              <w:rPr>
                <w:b/>
                <w:i/>
                <w:lang w:val="de-DE"/>
              </w:rPr>
              <w:t>bei Spread-Linked Notes und Spread Range Accrual Notes einfügen:</w:t>
            </w:r>
            <w:r w:rsidRPr="00F71807">
              <w:rPr>
                <w:lang w:val="de-DE"/>
              </w:rPr>
              <w:t xml:space="preserve"> massgeblichen</w:t>
            </w:r>
            <w:r w:rsidRPr="00792D61">
              <w:rPr>
                <w:b/>
                <w:lang w:val="de-DE"/>
              </w:rPr>
              <w:t>]</w:t>
            </w:r>
            <w:r w:rsidRPr="00F71807">
              <w:rPr>
                <w:lang w:val="de-DE"/>
              </w:rPr>
              <w:t xml:space="preserve"> Kursquelle mehr als eine Angebotsquotierung gibt, das arithmetische Mittel (falls erforderlich, auf- oder abgerundet auf das nächste Tausendstel eines Prozentpunktes, wobei </w:t>
            </w:r>
            <w:r w:rsidRPr="00792D61">
              <w:rPr>
                <w:b/>
                <w:lang w:val="de-DE"/>
              </w:rPr>
              <w:t>[</w:t>
            </w:r>
            <w:r w:rsidRPr="00F71807">
              <w:rPr>
                <w:lang w:val="de-DE"/>
              </w:rPr>
              <w:t>0,0005</w:t>
            </w:r>
            <w:r w:rsidRPr="00792D61">
              <w:rPr>
                <w:b/>
                <w:lang w:val="de-DE"/>
              </w:rPr>
              <w:t>][</w:t>
            </w:r>
            <w:r w:rsidRPr="00F71807">
              <w:rPr>
                <w:lang w:val="de-DE"/>
              </w:rPr>
              <w:t xml:space="preserve"> </w:t>
            </w:r>
            <w:r w:rsidRPr="00792D61">
              <w:rPr>
                <w:b/>
                <w:lang w:val="de-DE"/>
              </w:rPr>
              <w:t>[</w:t>
            </w:r>
            <w:r w:rsidRPr="00F71807">
              <w:rPr>
                <w:rFonts w:ascii="Arial" w:hAnsi="Arial" w:cs="Arial"/>
                <w:lang w:val="de-DE"/>
              </w:rPr>
              <w:t>●</w:t>
            </w:r>
            <w:r w:rsidRPr="00792D61">
              <w:rPr>
                <w:b/>
                <w:lang w:val="de-DE"/>
              </w:rPr>
              <w:t>]]</w:t>
            </w:r>
            <w:r w:rsidRPr="00F71807">
              <w:rPr>
                <w:lang w:val="de-DE"/>
              </w:rPr>
              <w:t xml:space="preserve"> aufgerundet wird) dieser Angebotsquotierungen,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458F4" w:rsidP="00EF3A31">
            <w:pPr>
              <w:pStyle w:val="CSBody8pt"/>
              <w:rPr>
                <w:lang w:val="de-DE"/>
              </w:rPr>
            </w:pPr>
          </w:p>
        </w:tc>
        <w:tc>
          <w:tcPr>
            <w:tcW w:w="3315" w:type="dxa"/>
            <w:gridSpan w:val="7"/>
            <w:tcBorders>
              <w:top w:val="nil"/>
              <w:left w:val="nil"/>
              <w:bottom w:val="nil"/>
            </w:tcBorders>
            <w:shd w:val="clear" w:color="auto" w:fill="auto"/>
          </w:tcPr>
          <w:p w:rsidR="0017135D" w:rsidRPr="000910DA" w:rsidP="00EF3A31">
            <w:pPr>
              <w:pStyle w:val="CSBody8pt"/>
            </w:pPr>
            <w:r w:rsidRPr="00792D61">
              <w:rPr>
                <w:b/>
              </w:rPr>
              <w:t>[</w:t>
            </w:r>
            <w:r w:rsidRPr="000910DA">
              <w:t>in each case,</w:t>
            </w:r>
            <w:r w:rsidRPr="00792D61">
              <w:rPr>
                <w:b/>
              </w:rPr>
              <w:t>]</w:t>
            </w:r>
            <w:r w:rsidRPr="000910DA">
              <w:t xml:space="preserve"> as of </w:t>
            </w:r>
            <w:r w:rsidRPr="00792D61">
              <w:rPr>
                <w:b/>
              </w:rPr>
              <w:t>[</w:t>
            </w:r>
            <w:r w:rsidRPr="000910DA">
              <w:t>11:00 a.m.</w:t>
            </w:r>
            <w:r w:rsidRPr="00792D61">
              <w:rPr>
                <w:b/>
              </w:rPr>
              <w:t>][[</w:t>
            </w:r>
            <w:r w:rsidRPr="000910DA">
              <w:rPr>
                <w:rFonts w:ascii="Arial" w:hAnsi="Arial" w:cs="Arial"/>
              </w:rPr>
              <w:t>●</w:t>
            </w:r>
            <w:r w:rsidRPr="00792D61">
              <w:rPr>
                <w:b/>
              </w:rPr>
              <w:t>]]</w:t>
            </w:r>
            <w:r w:rsidRPr="000910DA">
              <w:t xml:space="preserve">, </w:t>
            </w:r>
            <w:r w:rsidRPr="00792D61">
              <w:rPr>
                <w:b/>
              </w:rPr>
              <w:t>[</w:t>
            </w:r>
            <w:r w:rsidRPr="000910DA">
              <w:t>London</w:t>
            </w:r>
            <w:r w:rsidRPr="00792D61">
              <w:rPr>
                <w:b/>
              </w:rPr>
              <w:t>][</w:t>
            </w:r>
            <w:r w:rsidRPr="000910DA">
              <w:t>Brussels</w:t>
            </w:r>
            <w:r w:rsidRPr="00792D61">
              <w:rPr>
                <w:b/>
              </w:rPr>
              <w:t>][</w:t>
            </w:r>
            <w:r w:rsidRPr="000910DA">
              <w:t>New York City</w:t>
            </w:r>
            <w:r w:rsidRPr="00792D61">
              <w:rPr>
                <w:b/>
              </w:rPr>
              <w:t>][[</w:t>
            </w:r>
            <w:r w:rsidRPr="000910DA">
              <w:rPr>
                <w:rFonts w:ascii="Arial" w:hAnsi="Arial" w:cs="Arial"/>
              </w:rPr>
              <w:t>●</w:t>
            </w:r>
            <w:r w:rsidRPr="00792D61">
              <w:rPr>
                <w:b/>
              </w:rPr>
              <w:t>]]</w:t>
            </w:r>
            <w:r w:rsidRPr="000910DA">
              <w:t xml:space="preserve"> time, on </w:t>
            </w:r>
            <w:r w:rsidRPr="00792D61">
              <w:rPr>
                <w:b/>
              </w:rPr>
              <w:t>[</w:t>
            </w:r>
            <w:r w:rsidRPr="000910DA">
              <w:t>the</w:t>
            </w:r>
            <w:r w:rsidRPr="00792D61">
              <w:rPr>
                <w:b/>
              </w:rPr>
              <w:t>][</w:t>
            </w:r>
            <w:r w:rsidRPr="000910DA">
              <w:t>such</w:t>
            </w:r>
            <w:r w:rsidRPr="00792D61">
              <w:rPr>
                <w:b/>
              </w:rPr>
              <w:t>]</w:t>
            </w:r>
            <w:r w:rsidRPr="000910DA">
              <w:t xml:space="preserve"> </w:t>
            </w:r>
            <w:r w:rsidRPr="00792D61">
              <w:rPr>
                <w:b/>
              </w:rPr>
              <w:t>[</w:t>
            </w:r>
            <w:r w:rsidRPr="000910DA">
              <w:t>Interest Determination Date</w:t>
            </w:r>
            <w:r w:rsidRPr="00792D61">
              <w:rPr>
                <w:b/>
              </w:rPr>
              <w:t>][</w:t>
            </w:r>
            <w:r w:rsidRPr="000910DA">
              <w:t>Barrier Observation Date</w:t>
            </w:r>
            <w:r w:rsidRPr="00792D61">
              <w:rPr>
                <w:b/>
              </w:rPr>
              <w:t>]</w:t>
            </w:r>
            <w:r w:rsidRPr="000910DA">
              <w:t xml:space="preserve"> for </w:t>
            </w:r>
            <w:r w:rsidRPr="00792D61">
              <w:rPr>
                <w:b/>
              </w:rPr>
              <w:t>[</w:t>
            </w:r>
            <w:r w:rsidRPr="000910DA">
              <w:t xml:space="preserve">deposits in the </w:t>
            </w:r>
            <w:r w:rsidRPr="00792D61">
              <w:rPr>
                <w:b/>
              </w:rPr>
              <w:t>[</w:t>
            </w:r>
            <w:r w:rsidRPr="00EF3A31">
              <w:rPr>
                <w:b/>
                <w:i/>
              </w:rPr>
              <w:t>in the case of Spread-Linked Notes and Spread Range Accrual Notes, insert:</w:t>
            </w:r>
            <w:r w:rsidRPr="000910DA">
              <w:t xml:space="preserve"> relevant</w:t>
            </w:r>
            <w:r w:rsidRPr="00792D61">
              <w:rPr>
                <w:b/>
              </w:rPr>
              <w:t>]</w:t>
            </w:r>
            <w:r w:rsidRPr="000910DA">
              <w:t xml:space="preserve"> Specified Reference Rate Currency</w:t>
            </w:r>
            <w:r w:rsidRPr="00792D61">
              <w:rPr>
                <w:b/>
              </w:rPr>
              <w:t>][</w:t>
            </w:r>
            <w:r w:rsidRPr="000910DA">
              <w:t>U.S. dollar swaps</w:t>
            </w:r>
            <w:r w:rsidRPr="00792D61">
              <w:rPr>
                <w:b/>
              </w:rPr>
              <w:t>]</w:t>
            </w:r>
            <w:r w:rsidRPr="000910DA">
              <w:t xml:space="preserve"> with </w:t>
            </w:r>
            <w:r w:rsidRPr="00792D61">
              <w:rPr>
                <w:b/>
              </w:rPr>
              <w:t>[</w:t>
            </w:r>
            <w:r w:rsidRPr="000910DA">
              <w:rPr>
                <w:rFonts w:ascii="Arial" w:hAnsi="Arial" w:cs="Arial"/>
              </w:rPr>
              <w:t>●</w:t>
            </w:r>
            <w:r w:rsidRPr="00792D61">
              <w:rPr>
                <w:b/>
              </w:rPr>
              <w:t>]</w:t>
            </w:r>
            <w:r w:rsidRPr="000910DA">
              <w:t>-</w:t>
            </w:r>
            <w:r w:rsidRPr="00792D61">
              <w:rPr>
                <w:b/>
              </w:rPr>
              <w:t>[</w:t>
            </w:r>
            <w:r w:rsidRPr="000910DA">
              <w:t>month</w:t>
            </w:r>
            <w:r w:rsidRPr="00792D61">
              <w:rPr>
                <w:b/>
              </w:rPr>
              <w:t>][</w:t>
            </w:r>
            <w:r w:rsidRPr="000910DA">
              <w:t>year</w:t>
            </w:r>
            <w:r w:rsidRPr="00792D61">
              <w:rPr>
                <w:b/>
              </w:rPr>
              <w:t>]</w:t>
            </w:r>
            <w:r w:rsidRPr="000910DA">
              <w:t xml:space="preserve"> maturity, as determined by the Calculation Agent and as expressed as a percentage rate per annum.</w:t>
            </w:r>
          </w:p>
        </w:tc>
        <w:tc>
          <w:tcPr>
            <w:tcW w:w="1618" w:type="dxa"/>
            <w:gridSpan w:val="2"/>
            <w:tcBorders>
              <w:top w:val="nil"/>
              <w:bottom w:val="nil"/>
              <w:right w:val="nil"/>
            </w:tcBorders>
            <w:shd w:val="clear" w:color="auto" w:fill="auto"/>
          </w:tcPr>
          <w:p w:rsidR="0017135D" w:rsidRPr="003458F4" w:rsidP="00EF3A31">
            <w:pPr>
              <w:pStyle w:val="CSBody8pt"/>
              <w:rPr>
                <w:i/>
              </w:rPr>
            </w:pPr>
          </w:p>
        </w:tc>
        <w:tc>
          <w:tcPr>
            <w:tcW w:w="3318" w:type="dxa"/>
            <w:gridSpan w:val="10"/>
            <w:tcBorders>
              <w:top w:val="nil"/>
              <w:left w:val="nil"/>
              <w:bottom w:val="nil"/>
              <w:right w:val="nil"/>
            </w:tcBorders>
            <w:shd w:val="clear" w:color="auto" w:fill="auto"/>
          </w:tcPr>
          <w:p w:rsidR="0017135D" w:rsidRPr="003458F4" w:rsidP="00516CB4">
            <w:pPr>
              <w:pStyle w:val="CSBody8pt"/>
              <w:rPr>
                <w:lang w:val="de-DE"/>
              </w:rPr>
            </w:pPr>
            <w:r w:rsidRPr="00792D61">
              <w:rPr>
                <w:b/>
                <w:lang w:val="de-DE"/>
              </w:rPr>
              <w:t>[</w:t>
            </w:r>
            <w:r w:rsidRPr="003458F4">
              <w:rPr>
                <w:lang w:val="de-DE"/>
              </w:rPr>
              <w:t>jeweils</w:t>
            </w:r>
            <w:r w:rsidRPr="00792D61">
              <w:rPr>
                <w:b/>
                <w:lang w:val="de-DE"/>
              </w:rPr>
              <w:t>]</w:t>
            </w:r>
            <w:r w:rsidRPr="003458F4">
              <w:rPr>
                <w:lang w:val="de-DE"/>
              </w:rPr>
              <w:t xml:space="preserve"> um </w:t>
            </w:r>
            <w:r w:rsidRPr="00792D61">
              <w:rPr>
                <w:b/>
                <w:lang w:val="de-DE"/>
              </w:rPr>
              <w:t>[</w:t>
            </w:r>
            <w:r w:rsidRPr="003458F4">
              <w:rPr>
                <w:lang w:val="de-DE"/>
              </w:rPr>
              <w:t>11:00 Uhr</w:t>
            </w:r>
            <w:r w:rsidRPr="00792D61">
              <w:rPr>
                <w:b/>
                <w:lang w:val="de-DE"/>
              </w:rPr>
              <w:t>][[</w:t>
            </w:r>
            <w:r w:rsidRPr="003458F4">
              <w:rPr>
                <w:rFonts w:ascii="Arial" w:hAnsi="Arial" w:cs="Arial"/>
                <w:lang w:val="de-DE"/>
              </w:rPr>
              <w:t>●</w:t>
            </w:r>
            <w:r w:rsidRPr="00792D61">
              <w:rPr>
                <w:b/>
                <w:lang w:val="de-DE"/>
              </w:rPr>
              <w:t>]]</w:t>
            </w:r>
            <w:r w:rsidRPr="003458F4">
              <w:rPr>
                <w:lang w:val="de-DE"/>
              </w:rPr>
              <w:t xml:space="preserve"> </w:t>
            </w:r>
            <w:r w:rsidRPr="00792D61">
              <w:rPr>
                <w:b/>
                <w:lang w:val="de-DE"/>
              </w:rPr>
              <w:t>[</w:t>
            </w:r>
            <w:r w:rsidRPr="003458F4">
              <w:rPr>
                <w:lang w:val="de-DE"/>
              </w:rPr>
              <w:t>Londoner</w:t>
            </w:r>
            <w:r w:rsidRPr="00792D61">
              <w:rPr>
                <w:b/>
                <w:lang w:val="de-DE"/>
              </w:rPr>
              <w:t>]</w:t>
            </w:r>
            <w:r w:rsidRPr="003458F4">
              <w:rPr>
                <w:lang w:val="de-DE"/>
              </w:rPr>
              <w:t xml:space="preserve"> </w:t>
            </w:r>
            <w:r w:rsidRPr="00792D61">
              <w:rPr>
                <w:b/>
                <w:lang w:val="de-DE"/>
              </w:rPr>
              <w:t>[</w:t>
            </w:r>
            <w:r w:rsidRPr="003458F4">
              <w:rPr>
                <w:lang w:val="de-DE"/>
              </w:rPr>
              <w:t>Br</w:t>
            </w:r>
            <w:r w:rsidRPr="003458F4">
              <w:rPr>
                <w:rFonts w:cs="Credit Suisse Type Light"/>
                <w:lang w:val="de-DE"/>
              </w:rPr>
              <w:t>ü</w:t>
            </w:r>
            <w:r w:rsidRPr="003458F4">
              <w:rPr>
                <w:lang w:val="de-DE"/>
              </w:rPr>
              <w:t>sseler</w:t>
            </w:r>
            <w:r w:rsidRPr="00792D61">
              <w:rPr>
                <w:b/>
                <w:lang w:val="de-DE"/>
              </w:rPr>
              <w:t>][</w:t>
            </w:r>
            <w:r w:rsidRPr="003458F4">
              <w:rPr>
                <w:lang w:val="de-DE"/>
              </w:rPr>
              <w:t>New Yorker</w:t>
            </w:r>
            <w:r w:rsidRPr="00792D61">
              <w:rPr>
                <w:b/>
                <w:lang w:val="de-DE"/>
              </w:rPr>
              <w:t>][[</w:t>
            </w:r>
            <w:r w:rsidRPr="003458F4">
              <w:rPr>
                <w:rFonts w:ascii="Arial" w:hAnsi="Arial" w:cs="Arial"/>
                <w:lang w:val="de-DE"/>
              </w:rPr>
              <w:t>●</w:t>
            </w:r>
            <w:r w:rsidRPr="00792D61">
              <w:rPr>
                <w:b/>
                <w:lang w:val="de-DE"/>
              </w:rPr>
              <w:t>]]</w:t>
            </w:r>
            <w:r w:rsidRPr="003458F4">
              <w:rPr>
                <w:lang w:val="de-DE"/>
              </w:rPr>
              <w:t xml:space="preserve"> Ortszeit an </w:t>
            </w:r>
            <w:r w:rsidRPr="00792D61">
              <w:rPr>
                <w:b/>
                <w:lang w:val="de-DE"/>
              </w:rPr>
              <w:t>[</w:t>
            </w:r>
            <w:r w:rsidRPr="003458F4">
              <w:rPr>
                <w:lang w:val="de-DE"/>
              </w:rPr>
              <w:t>dem</w:t>
            </w:r>
            <w:r w:rsidRPr="00792D61">
              <w:rPr>
                <w:b/>
                <w:lang w:val="de-DE"/>
              </w:rPr>
              <w:t>]</w:t>
            </w:r>
            <w:r w:rsidRPr="003458F4">
              <w:rPr>
                <w:lang w:val="de-DE"/>
              </w:rPr>
              <w:t xml:space="preserve"> </w:t>
            </w:r>
            <w:r w:rsidRPr="00792D61">
              <w:rPr>
                <w:b/>
                <w:lang w:val="de-DE"/>
              </w:rPr>
              <w:t>[</w:t>
            </w:r>
            <w:r w:rsidRPr="003458F4">
              <w:rPr>
                <w:lang w:val="de-DE"/>
              </w:rPr>
              <w:t>dem jeweiligen</w:t>
            </w:r>
            <w:r w:rsidRPr="00792D61">
              <w:rPr>
                <w:b/>
                <w:lang w:val="de-DE"/>
              </w:rPr>
              <w:t>]</w:t>
            </w:r>
            <w:r w:rsidRPr="003458F4">
              <w:rPr>
                <w:lang w:val="de-DE"/>
              </w:rPr>
              <w:t xml:space="preserve"> </w:t>
            </w:r>
            <w:r w:rsidRPr="00792D61">
              <w:rPr>
                <w:b/>
                <w:lang w:val="de-DE"/>
              </w:rPr>
              <w:t>[</w:t>
            </w:r>
            <w:r w:rsidRPr="003458F4">
              <w:rPr>
                <w:lang w:val="de-DE"/>
              </w:rPr>
              <w:t>Zinsfeststellungstag</w:t>
            </w:r>
            <w:r w:rsidRPr="00792D61">
              <w:rPr>
                <w:b/>
                <w:lang w:val="de-DE"/>
              </w:rPr>
              <w:t>]</w:t>
            </w:r>
            <w:r w:rsidRPr="003458F4">
              <w:rPr>
                <w:lang w:val="de-DE"/>
              </w:rPr>
              <w:t xml:space="preserve"> </w:t>
            </w:r>
            <w:r w:rsidRPr="00792D61">
              <w:rPr>
                <w:b/>
                <w:lang w:val="de-DE"/>
              </w:rPr>
              <w:t>[</w:t>
            </w:r>
            <w:r w:rsidRPr="003458F4">
              <w:rPr>
                <w:lang w:val="de-DE"/>
              </w:rPr>
              <w:t>Barriere-Beobachtungstag</w:t>
            </w:r>
            <w:r w:rsidRPr="00792D61">
              <w:rPr>
                <w:b/>
                <w:lang w:val="de-DE"/>
              </w:rPr>
              <w:t>]</w:t>
            </w:r>
            <w:r w:rsidRPr="003458F4">
              <w:rPr>
                <w:lang w:val="de-DE"/>
              </w:rPr>
              <w:t xml:space="preserve"> f</w:t>
            </w:r>
            <w:r w:rsidRPr="003458F4">
              <w:rPr>
                <w:rFonts w:cs="Credit Suisse Type Light"/>
                <w:lang w:val="de-DE"/>
              </w:rPr>
              <w:t>ü</w:t>
            </w:r>
            <w:r w:rsidRPr="003458F4">
              <w:rPr>
                <w:lang w:val="de-DE"/>
              </w:rPr>
              <w:t xml:space="preserve">r </w:t>
            </w:r>
            <w:r w:rsidRPr="00792D61">
              <w:rPr>
                <w:b/>
                <w:lang w:val="de-DE"/>
              </w:rPr>
              <w:t>[</w:t>
            </w:r>
            <w:r w:rsidRPr="003458F4">
              <w:rPr>
                <w:lang w:val="de-DE"/>
              </w:rPr>
              <w:t xml:space="preserve">Einlagen in der </w:t>
            </w:r>
            <w:r w:rsidRPr="00792D61">
              <w:rPr>
                <w:b/>
                <w:lang w:val="de-DE"/>
              </w:rPr>
              <w:t>[</w:t>
            </w:r>
            <w:r w:rsidRPr="00EF3A31">
              <w:rPr>
                <w:b/>
                <w:i/>
                <w:lang w:val="de-DE"/>
              </w:rPr>
              <w:t>bei Spread-Linked Notes und Spread Range Accrual Notes einf</w:t>
            </w:r>
            <w:r w:rsidRPr="00EF3A31">
              <w:rPr>
                <w:rFonts w:cs="Credit Suisse Type Light"/>
                <w:b/>
                <w:i/>
                <w:lang w:val="de-DE"/>
              </w:rPr>
              <w:t>ü</w:t>
            </w:r>
            <w:r w:rsidRPr="00EF3A31">
              <w:rPr>
                <w:b/>
                <w:i/>
                <w:lang w:val="de-DE"/>
              </w:rPr>
              <w:t>gen:</w:t>
            </w:r>
            <w:r w:rsidRPr="003458F4">
              <w:rPr>
                <w:lang w:val="de-DE"/>
              </w:rPr>
              <w:t xml:space="preserve"> massgeblichen</w:t>
            </w:r>
            <w:r w:rsidRPr="00792D61">
              <w:rPr>
                <w:b/>
                <w:lang w:val="de-DE"/>
              </w:rPr>
              <w:t>]</w:t>
            </w:r>
            <w:r w:rsidRPr="003458F4">
              <w:rPr>
                <w:lang w:val="de-DE"/>
              </w:rPr>
              <w:t xml:space="preserve"> Festgelegten Referenzsatz-Währung</w:t>
            </w:r>
            <w:r w:rsidRPr="00792D61">
              <w:rPr>
                <w:b/>
                <w:lang w:val="de-DE"/>
              </w:rPr>
              <w:t>][</w:t>
            </w:r>
            <w:r w:rsidRPr="003458F4">
              <w:rPr>
                <w:lang w:val="de-DE"/>
              </w:rPr>
              <w:t>US-Dollar-Swaps</w:t>
            </w:r>
            <w:r w:rsidRPr="00792D61">
              <w:rPr>
                <w:b/>
                <w:lang w:val="de-DE"/>
              </w:rPr>
              <w:t>]</w:t>
            </w:r>
            <w:r w:rsidRPr="003458F4">
              <w:rPr>
                <w:lang w:val="de-DE"/>
              </w:rPr>
              <w:t xml:space="preserve"> mit einer Laufzeit von </w:t>
            </w:r>
            <w:r w:rsidRPr="00792D61">
              <w:rPr>
                <w:b/>
                <w:lang w:val="de-DE"/>
              </w:rPr>
              <w:t>[</w:t>
            </w:r>
            <w:r w:rsidRPr="003458F4">
              <w:rPr>
                <w:rFonts w:ascii="Arial" w:hAnsi="Arial" w:cs="Arial"/>
                <w:lang w:val="de-DE"/>
              </w:rPr>
              <w:t>●</w:t>
            </w:r>
            <w:r w:rsidRPr="00792D61">
              <w:rPr>
                <w:b/>
                <w:lang w:val="de-DE"/>
              </w:rPr>
              <w:t>]</w:t>
            </w:r>
            <w:r w:rsidRPr="003458F4">
              <w:rPr>
                <w:lang w:val="de-DE"/>
              </w:rPr>
              <w:t xml:space="preserve"> </w:t>
            </w:r>
            <w:r w:rsidRPr="00792D61">
              <w:rPr>
                <w:b/>
                <w:lang w:val="de-DE"/>
              </w:rPr>
              <w:t>[</w:t>
            </w:r>
            <w:r w:rsidRPr="003458F4">
              <w:rPr>
                <w:lang w:val="de-DE"/>
              </w:rPr>
              <w:t>Monat</w:t>
            </w:r>
            <w:r w:rsidRPr="00792D61">
              <w:rPr>
                <w:b/>
                <w:lang w:val="de-DE"/>
              </w:rPr>
              <w:t>[</w:t>
            </w:r>
            <w:r w:rsidRPr="003458F4">
              <w:rPr>
                <w:lang w:val="de-DE"/>
              </w:rPr>
              <w:t>en</w:t>
            </w:r>
            <w:r w:rsidRPr="00792D61">
              <w:rPr>
                <w:b/>
                <w:lang w:val="de-DE"/>
              </w:rPr>
              <w:t>]]</w:t>
            </w:r>
            <w:r w:rsidRPr="003458F4">
              <w:rPr>
                <w:lang w:val="de-DE"/>
              </w:rPr>
              <w:t xml:space="preserve"> </w:t>
            </w:r>
            <w:r w:rsidRPr="00792D61">
              <w:rPr>
                <w:b/>
                <w:lang w:val="de-DE"/>
              </w:rPr>
              <w:t>[</w:t>
            </w:r>
            <w:r w:rsidRPr="003458F4">
              <w:rPr>
                <w:lang w:val="de-DE"/>
              </w:rPr>
              <w:t>Jahr</w:t>
            </w:r>
            <w:r w:rsidRPr="00792D61">
              <w:rPr>
                <w:b/>
                <w:lang w:val="de-DE"/>
              </w:rPr>
              <w:t>[</w:t>
            </w:r>
            <w:r w:rsidRPr="003458F4">
              <w:rPr>
                <w:lang w:val="de-DE"/>
              </w:rPr>
              <w:t>en</w:t>
            </w:r>
            <w:r w:rsidRPr="00792D61">
              <w:rPr>
                <w:b/>
                <w:lang w:val="de-DE"/>
              </w:rPr>
              <w:t>]]</w:t>
            </w:r>
            <w:r w:rsidRPr="003458F4">
              <w:rPr>
                <w:lang w:val="de-DE"/>
              </w:rPr>
              <w:t>, wie von der Berechnungsstelle festgestellt und als Prozentsatz per annum ausgedr</w:t>
            </w:r>
            <w:r w:rsidRPr="003458F4">
              <w:rPr>
                <w:rFonts w:cs="Credit Suisse Type Light"/>
                <w:lang w:val="de-DE"/>
              </w:rPr>
              <w:t>ü</w:t>
            </w:r>
            <w:r w:rsidRPr="003458F4">
              <w:rPr>
                <w:lang w:val="de-DE"/>
              </w:rPr>
              <w:t>ckt.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458F4" w:rsidP="004350C0">
            <w:pPr>
              <w:pStyle w:val="CSBody8pt"/>
              <w:rPr>
                <w:lang w:val="de-DE"/>
              </w:rPr>
            </w:pPr>
          </w:p>
        </w:tc>
        <w:tc>
          <w:tcPr>
            <w:tcW w:w="3315" w:type="dxa"/>
            <w:gridSpan w:val="7"/>
            <w:tcBorders>
              <w:top w:val="nil"/>
              <w:left w:val="nil"/>
              <w:bottom w:val="nil"/>
            </w:tcBorders>
            <w:shd w:val="clear" w:color="auto" w:fill="auto"/>
          </w:tcPr>
          <w:p w:rsidR="0017135D" w:rsidRPr="000910DA" w:rsidP="004350C0">
            <w:pPr>
              <w:pStyle w:val="CSBody8pt"/>
            </w:pPr>
            <w:r w:rsidRPr="00792D61">
              <w:rPr>
                <w:b/>
              </w:rPr>
              <w:t>[</w:t>
            </w:r>
            <w:r w:rsidRPr="00244AFC">
              <w:t>If, in the case of clause (ii) above, five or more offered quotations are available on the</w:t>
            </w:r>
            <w:r w:rsidRPr="00831A24">
              <w:rPr>
                <w:b/>
                <w:i/>
              </w:rPr>
              <w:t xml:space="preserve"> </w:t>
            </w:r>
            <w:r w:rsidRPr="00792D61">
              <w:rPr>
                <w:b/>
                <w:i/>
              </w:rPr>
              <w:t>[</w:t>
            </w:r>
            <w:r w:rsidRPr="00831A24">
              <w:rPr>
                <w:b/>
                <w:i/>
              </w:rPr>
              <w:t>in the case of Spread-Linked Notes and Spread Range Accrual Notes, insert:</w:t>
            </w:r>
            <w:r w:rsidRPr="000910DA">
              <w:t xml:space="preserve"> relevant</w:t>
            </w:r>
            <w:r w:rsidRPr="00792D61">
              <w:rPr>
                <w:b/>
              </w:rPr>
              <w:t>]</w:t>
            </w:r>
            <w:r w:rsidRPr="000910DA">
              <w:t xml:space="preserve"> Rate Source, the highest (or, if there is more than one such highest rate, only one of such rates) and the lowest (or, if there is more than one such lowest rate, only one of such rates) shall be disregarded by the Calculation Agent for purposes of determining the arithmetic mean (rounded as provided above) of such offered quotations.</w:t>
            </w:r>
            <w:r w:rsidRPr="00792D61">
              <w:rPr>
                <w:b/>
              </w:rPr>
              <w:t>]</w:t>
            </w:r>
          </w:p>
        </w:tc>
        <w:tc>
          <w:tcPr>
            <w:tcW w:w="1618" w:type="dxa"/>
            <w:gridSpan w:val="2"/>
            <w:tcBorders>
              <w:top w:val="nil"/>
              <w:bottom w:val="nil"/>
              <w:right w:val="nil"/>
            </w:tcBorders>
            <w:shd w:val="clear" w:color="auto" w:fill="auto"/>
          </w:tcPr>
          <w:p w:rsidR="0017135D" w:rsidRPr="003458F4" w:rsidP="004350C0">
            <w:pPr>
              <w:pStyle w:val="CSBody8pt"/>
              <w:rPr>
                <w:i/>
              </w:rPr>
            </w:pPr>
          </w:p>
        </w:tc>
        <w:tc>
          <w:tcPr>
            <w:tcW w:w="3318" w:type="dxa"/>
            <w:gridSpan w:val="10"/>
            <w:tcBorders>
              <w:top w:val="nil"/>
              <w:left w:val="nil"/>
              <w:bottom w:val="nil"/>
              <w:right w:val="nil"/>
            </w:tcBorders>
            <w:shd w:val="clear" w:color="auto" w:fill="auto"/>
          </w:tcPr>
          <w:p w:rsidR="0017135D" w:rsidRPr="003458F4" w:rsidP="004350C0">
            <w:pPr>
              <w:pStyle w:val="CSBody8pt"/>
              <w:rPr>
                <w:lang w:val="de-DE"/>
              </w:rPr>
            </w:pPr>
            <w:r w:rsidRPr="00792D61">
              <w:rPr>
                <w:b/>
                <w:lang w:val="de-DE"/>
              </w:rPr>
              <w:t>[</w:t>
            </w:r>
            <w:r w:rsidRPr="003458F4">
              <w:rPr>
                <w:lang w:val="de-DE"/>
              </w:rPr>
              <w:t xml:space="preserve">Ergeben sich im vorstehend unter (ii) beschriebenen Fall aus der </w:t>
            </w:r>
            <w:r w:rsidRPr="00792D61">
              <w:rPr>
                <w:b/>
                <w:lang w:val="de-DE"/>
              </w:rPr>
              <w:t>[</w:t>
            </w:r>
            <w:r w:rsidRPr="00831A24">
              <w:rPr>
                <w:b/>
                <w:i/>
                <w:lang w:val="de-DE"/>
              </w:rPr>
              <w:t>bei Spread-Linked Notes und Spread Range Accrual Notes einfügen:</w:t>
            </w:r>
            <w:r w:rsidRPr="003458F4">
              <w:rPr>
                <w:lang w:val="de-DE"/>
              </w:rPr>
              <w:t xml:space="preserve"> massgeblichen</w:t>
            </w:r>
            <w:r w:rsidRPr="00792D61">
              <w:rPr>
                <w:b/>
                <w:lang w:val="de-DE"/>
              </w:rPr>
              <w:t>]</w:t>
            </w:r>
            <w:r w:rsidRPr="003458F4">
              <w:rPr>
                <w:lang w:val="de-DE"/>
              </w:rPr>
              <w:t xml:space="preserve"> Kursquelle fünf oder mehr Angebotsquotierungen, so werden die höchste (falls es mehr als einen solchen höchsten Satz gibt, nur einer dieser Sätze) und die niedrigste (falls es mehr als einen solchen niedrigsten Satz gibt, nur einer dieser Sätze) von der Berechnungsstelle für die Bestimmung des arithmetischen Mittels der Angebotsquotierungen (das wie vorstehend beschrieben auf- oder abgerundet wird) ausser Acht gelassen.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458F4" w:rsidP="00831A24">
            <w:pPr>
              <w:pStyle w:val="CSBody8pt"/>
              <w:rPr>
                <w:lang w:val="de-DE"/>
              </w:rPr>
            </w:pPr>
          </w:p>
        </w:tc>
        <w:tc>
          <w:tcPr>
            <w:tcW w:w="3315" w:type="dxa"/>
            <w:gridSpan w:val="7"/>
            <w:tcBorders>
              <w:top w:val="nil"/>
              <w:left w:val="nil"/>
              <w:bottom w:val="nil"/>
            </w:tcBorders>
            <w:shd w:val="clear" w:color="auto" w:fill="auto"/>
          </w:tcPr>
          <w:p w:rsidR="0017135D" w:rsidP="00831A24">
            <w:pPr>
              <w:pStyle w:val="CSBody8pt"/>
            </w:pPr>
            <w:r w:rsidRPr="000910DA">
              <w:t xml:space="preserve">If the </w:t>
            </w:r>
            <w:r w:rsidRPr="00792D61">
              <w:rPr>
                <w:b/>
              </w:rPr>
              <w:t>[</w:t>
            </w:r>
            <w:r w:rsidRPr="00831A24">
              <w:rPr>
                <w:b/>
                <w:i/>
              </w:rPr>
              <w:t>in the case of Spread-Linked Notes and Spread Range Accrual Notes, insert:</w:t>
            </w:r>
            <w:r w:rsidRPr="000910DA">
              <w:t xml:space="preserve"> relevant</w:t>
            </w:r>
            <w:r w:rsidRPr="00792D61">
              <w:rPr>
                <w:b/>
              </w:rPr>
              <w:t>]</w:t>
            </w:r>
            <w:r w:rsidRPr="000910DA">
              <w:t xml:space="preserve"> Rate Source is not available or </w:t>
            </w:r>
            <w:r w:rsidRPr="00792D61">
              <w:rPr>
                <w:b/>
              </w:rPr>
              <w:t>[</w:t>
            </w:r>
            <w:r w:rsidRPr="000910DA">
              <w:t>if, in the case of clause (i) above,</w:t>
            </w:r>
            <w:r w:rsidRPr="00792D61">
              <w:rPr>
                <w:b/>
              </w:rPr>
              <w:t>]</w:t>
            </w:r>
            <w:r w:rsidRPr="000910DA">
              <w:t xml:space="preserve"> no such quotation appears </w:t>
            </w:r>
            <w:r w:rsidRPr="00792D61">
              <w:rPr>
                <w:b/>
              </w:rPr>
              <w:t>[</w:t>
            </w:r>
            <w:r w:rsidRPr="000910DA">
              <w:t xml:space="preserve">or, in the case of clause (ii) above, fewer than </w:t>
            </w:r>
            <w:r w:rsidRPr="00792D61">
              <w:rPr>
                <w:b/>
              </w:rPr>
              <w:t>[</w:t>
            </w:r>
            <w:r w:rsidRPr="000910DA">
              <w:t>three</w:t>
            </w:r>
            <w:r w:rsidRPr="00792D61">
              <w:rPr>
                <w:b/>
              </w:rPr>
              <w:t>][</w:t>
            </w:r>
            <w:r w:rsidRPr="000910DA">
              <w:t>two</w:t>
            </w:r>
            <w:r w:rsidRPr="00792D61">
              <w:rPr>
                <w:b/>
              </w:rPr>
              <w:t>]</w:t>
            </w:r>
            <w:r w:rsidRPr="000910DA">
              <w:t xml:space="preserve"> offered quotations appear</w:t>
            </w:r>
            <w:r w:rsidRPr="00792D61">
              <w:rPr>
                <w:b/>
              </w:rPr>
              <w:t>]</w:t>
            </w:r>
            <w:r w:rsidRPr="000910DA">
              <w:t xml:space="preserve">, </w:t>
            </w:r>
            <w:r w:rsidRPr="00792D61">
              <w:rPr>
                <w:b/>
              </w:rPr>
              <w:t>[</w:t>
            </w:r>
            <w:r w:rsidRPr="000910DA">
              <w:t>the Reference Rate</w:t>
            </w:r>
            <w:r w:rsidRPr="00792D61">
              <w:rPr>
                <w:b/>
              </w:rPr>
              <w:t>][</w:t>
            </w:r>
            <w:r w:rsidRPr="000910DA">
              <w:t>Reference Rate 1</w:t>
            </w:r>
            <w:r w:rsidRPr="00792D61">
              <w:rPr>
                <w:b/>
              </w:rPr>
              <w:t>]</w:t>
            </w:r>
            <w:r w:rsidRPr="000910DA">
              <w:t xml:space="preserve"> shall be determined on the basis of the rates, at approximately </w:t>
            </w:r>
            <w:r w:rsidRPr="00792D61">
              <w:rPr>
                <w:b/>
              </w:rPr>
              <w:t>[</w:t>
            </w:r>
            <w:r w:rsidRPr="000910DA">
              <w:t>11:00 a.m.</w:t>
            </w:r>
            <w:r w:rsidRPr="00792D61">
              <w:rPr>
                <w:b/>
              </w:rPr>
              <w:t>][[</w:t>
            </w:r>
            <w:r w:rsidRPr="000910DA">
              <w:rPr>
                <w:rFonts w:ascii="Arial" w:hAnsi="Arial" w:cs="Arial"/>
              </w:rPr>
              <w:t>●</w:t>
            </w:r>
            <w:r w:rsidRPr="00792D61">
              <w:rPr>
                <w:b/>
              </w:rPr>
              <w:t>]]</w:t>
            </w:r>
            <w:r w:rsidRPr="000910DA">
              <w:t xml:space="preserve">, </w:t>
            </w:r>
            <w:r w:rsidRPr="00792D61">
              <w:rPr>
                <w:b/>
              </w:rPr>
              <w:t>[</w:t>
            </w:r>
            <w:r w:rsidRPr="000910DA">
              <w:t>London</w:t>
            </w:r>
            <w:r w:rsidRPr="00792D61">
              <w:rPr>
                <w:b/>
              </w:rPr>
              <w:t>]</w:t>
            </w:r>
            <w:r w:rsidRPr="000910DA">
              <w:t xml:space="preserve"> </w:t>
            </w:r>
            <w:r w:rsidRPr="00792D61">
              <w:rPr>
                <w:b/>
              </w:rPr>
              <w:t>[</w:t>
            </w:r>
            <w:r w:rsidRPr="000910DA">
              <w:t>Brussels</w:t>
            </w:r>
            <w:r w:rsidRPr="00792D61">
              <w:rPr>
                <w:b/>
              </w:rPr>
              <w:t>][</w:t>
            </w:r>
            <w:r w:rsidRPr="000910DA">
              <w:t>New York City</w:t>
            </w:r>
            <w:r w:rsidRPr="00792D61">
              <w:rPr>
                <w:b/>
              </w:rPr>
              <w:t>][[</w:t>
            </w:r>
            <w:r w:rsidRPr="000910DA">
              <w:rPr>
                <w:rFonts w:ascii="Arial" w:hAnsi="Arial" w:cs="Arial"/>
              </w:rPr>
              <w:t>●</w:t>
            </w:r>
            <w:r w:rsidRPr="00792D61">
              <w:rPr>
                <w:b/>
              </w:rPr>
              <w:t>]]</w:t>
            </w:r>
            <w:r w:rsidRPr="000910DA">
              <w:t xml:space="preserve"> time, on </w:t>
            </w:r>
            <w:r w:rsidRPr="00792D61">
              <w:rPr>
                <w:b/>
              </w:rPr>
              <w:t>[</w:t>
            </w:r>
            <w:r w:rsidRPr="000910DA">
              <w:t>the</w:t>
            </w:r>
            <w:r w:rsidRPr="00792D61">
              <w:rPr>
                <w:b/>
              </w:rPr>
              <w:t>]</w:t>
            </w:r>
            <w:r w:rsidRPr="000910DA">
              <w:t xml:space="preserve"> </w:t>
            </w:r>
            <w:r w:rsidRPr="00792D61">
              <w:rPr>
                <w:b/>
              </w:rPr>
              <w:t>[</w:t>
            </w:r>
            <w:r w:rsidRPr="000910DA">
              <w:t>such</w:t>
            </w:r>
            <w:r w:rsidRPr="00792D61">
              <w:rPr>
                <w:b/>
              </w:rPr>
              <w:t>]</w:t>
            </w:r>
            <w:r w:rsidRPr="000910DA">
              <w:t xml:space="preserve"> </w:t>
            </w:r>
            <w:r w:rsidRPr="00792D61">
              <w:rPr>
                <w:b/>
              </w:rPr>
              <w:t>[</w:t>
            </w:r>
            <w:r w:rsidRPr="000910DA">
              <w:t>Interest Determination Date</w:t>
            </w:r>
            <w:r w:rsidRPr="00792D61">
              <w:rPr>
                <w:b/>
              </w:rPr>
              <w:t>][</w:t>
            </w:r>
            <w:r w:rsidRPr="000910DA">
              <w:t>Barrier Observation Date</w:t>
            </w:r>
            <w:r w:rsidRPr="00792D61">
              <w:rPr>
                <w:b/>
              </w:rPr>
              <w:t>]</w:t>
            </w:r>
            <w:r w:rsidRPr="000910DA">
              <w:t xml:space="preserve">, at which </w:t>
            </w:r>
            <w:r w:rsidRPr="00792D61">
              <w:rPr>
                <w:b/>
              </w:rPr>
              <w:t>[</w:t>
            </w:r>
            <w:r w:rsidRPr="000910DA">
              <w:t xml:space="preserve">deposits in the </w:t>
            </w:r>
            <w:r w:rsidRPr="00792D61">
              <w:rPr>
                <w:b/>
              </w:rPr>
              <w:t>[</w:t>
            </w:r>
            <w:r w:rsidRPr="00831A24">
              <w:rPr>
                <w:b/>
                <w:i/>
              </w:rPr>
              <w:t>in the case of Spread-Linked Notes and Spread Range Accrual Notes, insert:</w:t>
            </w:r>
            <w:r w:rsidRPr="000910DA">
              <w:t xml:space="preserve"> relevant</w:t>
            </w:r>
            <w:r w:rsidRPr="00792D61">
              <w:rPr>
                <w:b/>
              </w:rPr>
              <w:t>]</w:t>
            </w:r>
            <w:r w:rsidRPr="000910DA">
              <w:t xml:space="preserve"> Specified Currency</w:t>
            </w:r>
            <w:r w:rsidRPr="00792D61">
              <w:rPr>
                <w:b/>
              </w:rPr>
              <w:t>][</w:t>
            </w:r>
            <w:r w:rsidRPr="000910DA">
              <w:t>swaps in U.S. dollars</w:t>
            </w:r>
            <w:r w:rsidRPr="00792D61">
              <w:rPr>
                <w:b/>
              </w:rPr>
              <w:t>]</w:t>
            </w:r>
            <w:r w:rsidRPr="000910DA">
              <w:t xml:space="preserve"> with </w:t>
            </w:r>
            <w:r w:rsidRPr="00792D61">
              <w:rPr>
                <w:b/>
              </w:rPr>
              <w:t>[</w:t>
            </w:r>
            <w:r w:rsidRPr="000910DA">
              <w:rPr>
                <w:rFonts w:ascii="Arial" w:hAnsi="Arial" w:cs="Arial"/>
              </w:rPr>
              <w:t>●</w:t>
            </w:r>
            <w:r w:rsidRPr="00792D61">
              <w:rPr>
                <w:b/>
              </w:rPr>
              <w:t>]</w:t>
            </w:r>
            <w:r w:rsidRPr="000910DA">
              <w:t>-</w:t>
            </w:r>
            <w:r w:rsidRPr="00792D61">
              <w:rPr>
                <w:b/>
              </w:rPr>
              <w:t>[</w:t>
            </w:r>
            <w:r w:rsidRPr="000910DA">
              <w:t>month</w:t>
            </w:r>
            <w:r w:rsidRPr="00792D61">
              <w:rPr>
                <w:b/>
              </w:rPr>
              <w:t>][</w:t>
            </w:r>
            <w:r w:rsidRPr="000910DA">
              <w:t>year</w:t>
            </w:r>
            <w:r w:rsidRPr="00792D61">
              <w:rPr>
                <w:b/>
              </w:rPr>
              <w:t>]</w:t>
            </w:r>
            <w:r w:rsidRPr="000910DA">
              <w:t xml:space="preserve"> maturity are offered to </w:t>
            </w:r>
            <w:r w:rsidRPr="00792D61">
              <w:rPr>
                <w:b/>
              </w:rPr>
              <w:t>[</w:t>
            </w:r>
            <w:r w:rsidRPr="000910DA">
              <w:t>prime banks in the London interbank market</w:t>
            </w:r>
            <w:r w:rsidRPr="00792D61">
              <w:rPr>
                <w:b/>
              </w:rPr>
              <w:t>][</w:t>
            </w:r>
            <w:r w:rsidRPr="000910DA">
              <w:t>prime banks in the euro-zone interbank market</w:t>
            </w:r>
            <w:r w:rsidRPr="00792D61">
              <w:rPr>
                <w:b/>
              </w:rPr>
              <w:t>]</w:t>
            </w:r>
            <w:r w:rsidRPr="000910DA">
              <w:t xml:space="preserve"> </w:t>
            </w:r>
            <w:r w:rsidRPr="00792D61">
              <w:rPr>
                <w:b/>
              </w:rPr>
              <w:t>[</w:t>
            </w:r>
            <w:r w:rsidRPr="000910DA">
              <w:t>participants in the U.S. dollar swap market</w:t>
            </w:r>
            <w:r w:rsidRPr="00792D61">
              <w:rPr>
                <w:b/>
              </w:rPr>
              <w:t>][[</w:t>
            </w:r>
            <w:r w:rsidRPr="000910DA">
              <w:rPr>
                <w:rFonts w:ascii="Arial" w:hAnsi="Arial" w:cs="Arial"/>
              </w:rPr>
              <w:t>●</w:t>
            </w:r>
            <w:r w:rsidRPr="00792D61">
              <w:rPr>
                <w:b/>
              </w:rPr>
              <w:t>]]</w:t>
            </w:r>
            <w:r w:rsidRPr="000910DA">
              <w:t xml:space="preserve"> by </w:t>
            </w:r>
            <w:r w:rsidRPr="00792D61">
              <w:rPr>
                <w:b/>
              </w:rPr>
              <w:t>[</w:t>
            </w:r>
            <w:r w:rsidRPr="000910DA">
              <w:t>four major banks in the London interbank market selected by the Calculation Agent</w:t>
            </w:r>
            <w:r w:rsidRPr="00792D61">
              <w:rPr>
                <w:b/>
              </w:rPr>
              <w:t>][</w:t>
            </w:r>
            <w:r w:rsidRPr="000910DA">
              <w:t>four major banks in the euro-zone interbank market selected by the Calculation Agent</w:t>
            </w:r>
            <w:r w:rsidRPr="00792D61">
              <w:rPr>
                <w:b/>
              </w:rPr>
              <w:t>][</w:t>
            </w:r>
            <w:r w:rsidRPr="000910DA">
              <w:t>five leading swap dealers in the New York City interbank market</w:t>
            </w:r>
            <w:r w:rsidRPr="00792D61">
              <w:rPr>
                <w:b/>
              </w:rPr>
              <w:t>][</w:t>
            </w:r>
            <w:r w:rsidRPr="000910DA">
              <w:t>the Reference Banks</w:t>
            </w:r>
            <w:r w:rsidRPr="00792D61">
              <w:rPr>
                <w:b/>
              </w:rPr>
              <w:t>]</w:t>
            </w:r>
            <w:r w:rsidRPr="000910DA">
              <w:t xml:space="preserve">. The Calculation Agent shall request the principal </w:t>
            </w:r>
            <w:r w:rsidRPr="00792D61">
              <w:rPr>
                <w:b/>
              </w:rPr>
              <w:t>[</w:t>
            </w:r>
            <w:r w:rsidRPr="000910DA">
              <w:t>London</w:t>
            </w:r>
            <w:r w:rsidRPr="00792D61">
              <w:rPr>
                <w:b/>
              </w:rPr>
              <w:t>][</w:t>
            </w:r>
            <w:r w:rsidRPr="000910DA">
              <w:t>euro-zone</w:t>
            </w:r>
            <w:r w:rsidRPr="00792D61">
              <w:rPr>
                <w:b/>
              </w:rPr>
              <w:t>][</w:t>
            </w:r>
            <w:r w:rsidRPr="000910DA">
              <w:t>New York City</w:t>
            </w:r>
            <w:r w:rsidRPr="00792D61">
              <w:rPr>
                <w:b/>
              </w:rPr>
              <w:t>][[</w:t>
            </w:r>
            <w:r w:rsidRPr="000910DA">
              <w:rPr>
                <w:rFonts w:ascii="Arial" w:hAnsi="Arial" w:cs="Arial"/>
              </w:rPr>
              <w:t>●</w:t>
            </w:r>
            <w:r w:rsidRPr="00792D61">
              <w:rPr>
                <w:b/>
              </w:rPr>
              <w:t>]]</w:t>
            </w:r>
            <w:r w:rsidRPr="000910DA">
              <w:t xml:space="preserve"> office of each </w:t>
            </w:r>
            <w:r w:rsidRPr="00792D61">
              <w:rPr>
                <w:b/>
              </w:rPr>
              <w:t>[</w:t>
            </w:r>
            <w:r w:rsidRPr="000910DA">
              <w:t>such bank</w:t>
            </w:r>
            <w:r w:rsidRPr="00792D61">
              <w:rPr>
                <w:b/>
              </w:rPr>
              <w:t>][</w:t>
            </w:r>
            <w:r w:rsidRPr="000910DA">
              <w:t>swap dealer</w:t>
            </w:r>
            <w:r w:rsidRPr="00792D61">
              <w:rPr>
                <w:b/>
              </w:rPr>
              <w:t>][</w:t>
            </w:r>
            <w:r w:rsidRPr="000910DA">
              <w:t>Reference Bank</w:t>
            </w:r>
            <w:r w:rsidRPr="00792D61">
              <w:rPr>
                <w:b/>
              </w:rPr>
              <w:t>]</w:t>
            </w:r>
            <w:r w:rsidRPr="000910DA">
              <w:t xml:space="preserve"> to provide a quotation of its rate.</w:t>
            </w:r>
          </w:p>
        </w:tc>
        <w:tc>
          <w:tcPr>
            <w:tcW w:w="1618" w:type="dxa"/>
            <w:gridSpan w:val="2"/>
            <w:tcBorders>
              <w:top w:val="nil"/>
              <w:bottom w:val="nil"/>
              <w:right w:val="nil"/>
            </w:tcBorders>
            <w:shd w:val="clear" w:color="auto" w:fill="auto"/>
          </w:tcPr>
          <w:p w:rsidR="0017135D" w:rsidRPr="003458F4" w:rsidP="00831A24">
            <w:pPr>
              <w:pStyle w:val="CSBody8pt"/>
              <w:rPr>
                <w:i/>
              </w:rPr>
            </w:pPr>
          </w:p>
        </w:tc>
        <w:tc>
          <w:tcPr>
            <w:tcW w:w="3318" w:type="dxa"/>
            <w:gridSpan w:val="10"/>
            <w:tcBorders>
              <w:top w:val="nil"/>
              <w:left w:val="nil"/>
              <w:bottom w:val="nil"/>
              <w:right w:val="nil"/>
            </w:tcBorders>
            <w:shd w:val="clear" w:color="auto" w:fill="auto"/>
          </w:tcPr>
          <w:p w:rsidR="0017135D" w:rsidRPr="003458F4" w:rsidP="00516CB4">
            <w:pPr>
              <w:pStyle w:val="CSBody8pt"/>
              <w:rPr>
                <w:lang w:val="de-DE"/>
              </w:rPr>
            </w:pPr>
            <w:r w:rsidRPr="003458F4">
              <w:rPr>
                <w:lang w:val="de-DE"/>
              </w:rPr>
              <w:t xml:space="preserve">Steht die </w:t>
            </w:r>
            <w:r w:rsidRPr="00792D61">
              <w:rPr>
                <w:b/>
                <w:lang w:val="de-DE"/>
              </w:rPr>
              <w:t>[</w:t>
            </w:r>
            <w:r w:rsidRPr="00831A24">
              <w:rPr>
                <w:b/>
                <w:i/>
                <w:lang w:val="de-DE"/>
              </w:rPr>
              <w:t>bei Spread-Linked Notes und Spread Range Accrual Notes einfügen:</w:t>
            </w:r>
            <w:r w:rsidRPr="003458F4">
              <w:rPr>
                <w:lang w:val="de-DE"/>
              </w:rPr>
              <w:t xml:space="preserve"> massgebliche</w:t>
            </w:r>
            <w:r w:rsidRPr="00792D61">
              <w:rPr>
                <w:b/>
                <w:lang w:val="de-DE"/>
              </w:rPr>
              <w:t>]</w:t>
            </w:r>
            <w:r w:rsidRPr="003458F4">
              <w:rPr>
                <w:lang w:val="de-DE"/>
              </w:rPr>
              <w:t xml:space="preserve"> Kursquelle nicht zur Verfügung oder werden </w:t>
            </w:r>
            <w:r w:rsidRPr="00792D61">
              <w:rPr>
                <w:b/>
                <w:lang w:val="de-DE"/>
              </w:rPr>
              <w:t>[</w:t>
            </w:r>
            <w:r w:rsidRPr="003458F4">
              <w:rPr>
                <w:lang w:val="de-DE"/>
              </w:rPr>
              <w:t>dort im vorstehend unter (i) beschriebenen Fall</w:t>
            </w:r>
            <w:r w:rsidRPr="00792D61">
              <w:rPr>
                <w:b/>
                <w:lang w:val="de-DE"/>
              </w:rPr>
              <w:t>]</w:t>
            </w:r>
            <w:r w:rsidRPr="003458F4">
              <w:rPr>
                <w:lang w:val="de-DE"/>
              </w:rPr>
              <w:t xml:space="preserve"> keine solchen Quotierungen </w:t>
            </w:r>
            <w:r w:rsidRPr="00792D61">
              <w:rPr>
                <w:b/>
                <w:lang w:val="de-DE"/>
              </w:rPr>
              <w:t>[</w:t>
            </w:r>
            <w:r w:rsidRPr="003458F4">
              <w:rPr>
                <w:lang w:val="de-DE"/>
              </w:rPr>
              <w:t xml:space="preserve">bzw. im vorstehend unter (ii) beschriebenen Fall weniger als </w:t>
            </w:r>
            <w:r w:rsidRPr="00792D61">
              <w:rPr>
                <w:b/>
                <w:lang w:val="de-DE"/>
              </w:rPr>
              <w:t>[</w:t>
            </w:r>
            <w:r w:rsidRPr="003458F4">
              <w:rPr>
                <w:lang w:val="de-DE"/>
              </w:rPr>
              <w:t>drei</w:t>
            </w:r>
            <w:r w:rsidRPr="00792D61">
              <w:rPr>
                <w:b/>
                <w:lang w:val="de-DE"/>
              </w:rPr>
              <w:t>][</w:t>
            </w:r>
            <w:r w:rsidRPr="003458F4">
              <w:rPr>
                <w:lang w:val="de-DE"/>
              </w:rPr>
              <w:t>zwei</w:t>
            </w:r>
            <w:r w:rsidRPr="00792D61">
              <w:rPr>
                <w:b/>
                <w:lang w:val="de-DE"/>
              </w:rPr>
              <w:t>]</w:t>
            </w:r>
            <w:r w:rsidRPr="003458F4">
              <w:rPr>
                <w:lang w:val="de-DE"/>
              </w:rPr>
              <w:t xml:space="preserve"> solcher Angebotsquotierungen</w:t>
            </w:r>
            <w:r w:rsidRPr="00792D61">
              <w:rPr>
                <w:b/>
                <w:lang w:val="de-DE"/>
              </w:rPr>
              <w:t>]</w:t>
            </w:r>
            <w:r w:rsidRPr="003458F4">
              <w:rPr>
                <w:lang w:val="de-DE"/>
              </w:rPr>
              <w:t xml:space="preserve"> angezeigt, so wird der </w:t>
            </w:r>
            <w:r w:rsidRPr="00792D61">
              <w:rPr>
                <w:b/>
                <w:lang w:val="de-DE"/>
              </w:rPr>
              <w:t>[</w:t>
            </w:r>
            <w:r w:rsidRPr="003458F4">
              <w:rPr>
                <w:lang w:val="de-DE"/>
              </w:rPr>
              <w:t>Referenzsatz</w:t>
            </w:r>
            <w:r w:rsidRPr="00792D61">
              <w:rPr>
                <w:b/>
                <w:lang w:val="de-DE"/>
              </w:rPr>
              <w:t>]</w:t>
            </w:r>
            <w:r w:rsidRPr="003458F4">
              <w:rPr>
                <w:lang w:val="de-DE"/>
              </w:rPr>
              <w:t xml:space="preserve"> </w:t>
            </w:r>
            <w:r w:rsidRPr="00792D61">
              <w:rPr>
                <w:b/>
                <w:lang w:val="de-DE"/>
              </w:rPr>
              <w:t>[</w:t>
            </w:r>
            <w:r w:rsidRPr="003458F4">
              <w:rPr>
                <w:lang w:val="de-DE"/>
              </w:rPr>
              <w:t>Referenzsatz 1</w:t>
            </w:r>
            <w:r w:rsidRPr="00792D61">
              <w:rPr>
                <w:b/>
                <w:lang w:val="de-DE"/>
              </w:rPr>
              <w:t>]</w:t>
            </w:r>
            <w:r w:rsidRPr="003458F4">
              <w:rPr>
                <w:lang w:val="de-DE"/>
              </w:rPr>
              <w:t xml:space="preserve"> um ca. </w:t>
            </w:r>
            <w:r w:rsidRPr="00792D61">
              <w:rPr>
                <w:b/>
                <w:lang w:val="de-DE"/>
              </w:rPr>
              <w:t>[</w:t>
            </w:r>
            <w:r w:rsidRPr="003458F4">
              <w:rPr>
                <w:lang w:val="de-DE"/>
              </w:rPr>
              <w:t>11:00 Uhr</w:t>
            </w:r>
            <w:r w:rsidRPr="00792D61">
              <w:rPr>
                <w:b/>
                <w:lang w:val="de-DE"/>
              </w:rPr>
              <w:t>][[</w:t>
            </w:r>
            <w:r w:rsidRPr="003458F4">
              <w:rPr>
                <w:rFonts w:ascii="Arial" w:hAnsi="Arial" w:cs="Arial"/>
                <w:lang w:val="de-DE"/>
              </w:rPr>
              <w:t>●</w:t>
            </w:r>
            <w:r w:rsidRPr="00792D61">
              <w:rPr>
                <w:b/>
                <w:lang w:val="de-DE"/>
              </w:rPr>
              <w:t>]]</w:t>
            </w:r>
            <w:r w:rsidRPr="003458F4">
              <w:rPr>
                <w:lang w:val="de-DE"/>
              </w:rPr>
              <w:t xml:space="preserve"> </w:t>
            </w:r>
            <w:r w:rsidRPr="00792D61">
              <w:rPr>
                <w:b/>
                <w:lang w:val="de-DE"/>
              </w:rPr>
              <w:t>[</w:t>
            </w:r>
            <w:r w:rsidRPr="003458F4">
              <w:rPr>
                <w:lang w:val="de-DE"/>
              </w:rPr>
              <w:t>Londoner</w:t>
            </w:r>
            <w:r w:rsidRPr="00792D61">
              <w:rPr>
                <w:b/>
                <w:lang w:val="de-DE"/>
              </w:rPr>
              <w:t>]</w:t>
            </w:r>
            <w:r w:rsidRPr="003458F4">
              <w:rPr>
                <w:lang w:val="de-DE"/>
              </w:rPr>
              <w:t xml:space="preserve"> </w:t>
            </w:r>
            <w:r w:rsidRPr="00792D61">
              <w:rPr>
                <w:b/>
                <w:lang w:val="de-DE"/>
              </w:rPr>
              <w:t>[</w:t>
            </w:r>
            <w:r w:rsidRPr="003458F4">
              <w:rPr>
                <w:lang w:val="de-DE"/>
              </w:rPr>
              <w:t>Br</w:t>
            </w:r>
            <w:r w:rsidRPr="003458F4">
              <w:rPr>
                <w:rFonts w:cs="Credit Suisse Type Light"/>
                <w:lang w:val="de-DE"/>
              </w:rPr>
              <w:t>ü</w:t>
            </w:r>
            <w:r w:rsidRPr="003458F4">
              <w:rPr>
                <w:lang w:val="de-DE"/>
              </w:rPr>
              <w:t>sseler</w:t>
            </w:r>
            <w:r w:rsidRPr="00792D61">
              <w:rPr>
                <w:b/>
                <w:lang w:val="de-DE"/>
              </w:rPr>
              <w:t>][</w:t>
            </w:r>
            <w:r w:rsidRPr="003458F4">
              <w:rPr>
                <w:lang w:val="de-DE"/>
              </w:rPr>
              <w:t>New Yorker</w:t>
            </w:r>
            <w:r w:rsidRPr="00792D61">
              <w:rPr>
                <w:b/>
                <w:lang w:val="de-DE"/>
              </w:rPr>
              <w:t>][[</w:t>
            </w:r>
            <w:r w:rsidRPr="003458F4">
              <w:rPr>
                <w:rFonts w:ascii="Arial" w:hAnsi="Arial" w:cs="Arial"/>
                <w:lang w:val="de-DE"/>
              </w:rPr>
              <w:t>●</w:t>
            </w:r>
            <w:r w:rsidRPr="00792D61">
              <w:rPr>
                <w:b/>
                <w:lang w:val="de-DE"/>
              </w:rPr>
              <w:t>]]</w:t>
            </w:r>
            <w:r w:rsidRPr="003458F4">
              <w:rPr>
                <w:lang w:val="de-DE"/>
              </w:rPr>
              <w:t xml:space="preserve"> Ortszeit an </w:t>
            </w:r>
            <w:r w:rsidRPr="00792D61">
              <w:rPr>
                <w:b/>
                <w:lang w:val="de-DE"/>
              </w:rPr>
              <w:t>[</w:t>
            </w:r>
            <w:r w:rsidRPr="003458F4">
              <w:rPr>
                <w:lang w:val="de-DE"/>
              </w:rPr>
              <w:t>dem</w:t>
            </w:r>
            <w:r w:rsidRPr="00792D61">
              <w:rPr>
                <w:b/>
                <w:lang w:val="de-DE"/>
              </w:rPr>
              <w:t>][</w:t>
            </w:r>
            <w:r w:rsidRPr="003458F4">
              <w:rPr>
                <w:lang w:val="de-DE"/>
              </w:rPr>
              <w:t>dem jeweiligen</w:t>
            </w:r>
            <w:r w:rsidRPr="00792D61">
              <w:rPr>
                <w:b/>
                <w:lang w:val="de-DE"/>
              </w:rPr>
              <w:t>][</w:t>
            </w:r>
            <w:r w:rsidRPr="003458F4">
              <w:rPr>
                <w:lang w:val="de-DE"/>
              </w:rPr>
              <w:t>Zinsfeststellungstag</w:t>
            </w:r>
            <w:r w:rsidRPr="00792D61">
              <w:rPr>
                <w:b/>
                <w:lang w:val="de-DE"/>
              </w:rPr>
              <w:t>]</w:t>
            </w:r>
            <w:r w:rsidRPr="003458F4">
              <w:rPr>
                <w:lang w:val="de-DE"/>
              </w:rPr>
              <w:t xml:space="preserve"> </w:t>
            </w:r>
            <w:r w:rsidRPr="00792D61">
              <w:rPr>
                <w:b/>
                <w:lang w:val="de-DE"/>
              </w:rPr>
              <w:t>[</w:t>
            </w:r>
            <w:r w:rsidRPr="003458F4">
              <w:rPr>
                <w:lang w:val="de-DE"/>
              </w:rPr>
              <w:t>Barriere- Beobachtungstag</w:t>
            </w:r>
            <w:r w:rsidRPr="00792D61">
              <w:rPr>
                <w:b/>
                <w:lang w:val="de-DE"/>
              </w:rPr>
              <w:t>]</w:t>
            </w:r>
            <w:r w:rsidRPr="003458F4">
              <w:rPr>
                <w:lang w:val="de-DE"/>
              </w:rPr>
              <w:t xml:space="preserve"> auf Grundlage der Sätze festgestellt, zu denen </w:t>
            </w:r>
            <w:r w:rsidRPr="00792D61">
              <w:rPr>
                <w:b/>
                <w:lang w:val="de-DE"/>
              </w:rPr>
              <w:t>[</w:t>
            </w:r>
            <w:r w:rsidRPr="003458F4">
              <w:rPr>
                <w:lang w:val="de-DE"/>
              </w:rPr>
              <w:t xml:space="preserve">Einlagen in der </w:t>
            </w:r>
            <w:r w:rsidRPr="00792D61">
              <w:rPr>
                <w:b/>
                <w:lang w:val="de-DE"/>
              </w:rPr>
              <w:t>[</w:t>
            </w:r>
            <w:r w:rsidRPr="00831A24">
              <w:rPr>
                <w:b/>
                <w:i/>
                <w:lang w:val="de-DE"/>
              </w:rPr>
              <w:t>bei Spread-Linked Notes und Spread Range Accrual Notes einfügen:</w:t>
            </w:r>
            <w:r w:rsidRPr="003458F4">
              <w:rPr>
                <w:lang w:val="de-DE"/>
              </w:rPr>
              <w:t xml:space="preserve"> massgeblichen</w:t>
            </w:r>
            <w:r w:rsidRPr="00792D61">
              <w:rPr>
                <w:b/>
                <w:lang w:val="de-DE"/>
              </w:rPr>
              <w:t>]</w:t>
            </w:r>
            <w:r w:rsidRPr="003458F4">
              <w:rPr>
                <w:lang w:val="de-DE"/>
              </w:rPr>
              <w:t xml:space="preserve"> Festgelegten Währung</w:t>
            </w:r>
            <w:r w:rsidRPr="00792D61">
              <w:rPr>
                <w:b/>
                <w:lang w:val="de-DE"/>
              </w:rPr>
              <w:t>][</w:t>
            </w:r>
            <w:r w:rsidRPr="003458F4">
              <w:rPr>
                <w:lang w:val="de-DE"/>
              </w:rPr>
              <w:t>Swaps in US-Dollar</w:t>
            </w:r>
            <w:r w:rsidRPr="00792D61">
              <w:rPr>
                <w:b/>
                <w:lang w:val="de-DE"/>
              </w:rPr>
              <w:t>]</w:t>
            </w:r>
            <w:r w:rsidRPr="003458F4">
              <w:rPr>
                <w:lang w:val="de-DE"/>
              </w:rPr>
              <w:t xml:space="preserve"> mit einer Laufzeit von </w:t>
            </w:r>
            <w:r w:rsidRPr="00792D61">
              <w:rPr>
                <w:b/>
                <w:lang w:val="de-DE"/>
              </w:rPr>
              <w:t>[</w:t>
            </w:r>
            <w:r w:rsidRPr="003458F4">
              <w:rPr>
                <w:rFonts w:ascii="Arial" w:hAnsi="Arial" w:cs="Arial"/>
                <w:lang w:val="de-DE"/>
              </w:rPr>
              <w:t>●</w:t>
            </w:r>
            <w:r w:rsidRPr="00792D61">
              <w:rPr>
                <w:b/>
                <w:lang w:val="de-DE"/>
              </w:rPr>
              <w:t>]</w:t>
            </w:r>
            <w:r w:rsidRPr="003458F4">
              <w:rPr>
                <w:lang w:val="de-DE"/>
              </w:rPr>
              <w:t xml:space="preserve"> </w:t>
            </w:r>
            <w:r w:rsidRPr="00792D61">
              <w:rPr>
                <w:b/>
                <w:lang w:val="de-DE"/>
              </w:rPr>
              <w:t>[</w:t>
            </w:r>
            <w:r w:rsidRPr="003458F4">
              <w:rPr>
                <w:lang w:val="de-DE"/>
              </w:rPr>
              <w:t>Monat</w:t>
            </w:r>
            <w:r w:rsidRPr="00792D61">
              <w:rPr>
                <w:b/>
                <w:lang w:val="de-DE"/>
              </w:rPr>
              <w:t>[</w:t>
            </w:r>
            <w:r w:rsidRPr="003458F4">
              <w:rPr>
                <w:lang w:val="de-DE"/>
              </w:rPr>
              <w:t>en</w:t>
            </w:r>
            <w:r w:rsidRPr="00792D61">
              <w:rPr>
                <w:b/>
                <w:lang w:val="de-DE"/>
              </w:rPr>
              <w:t>]][</w:t>
            </w:r>
            <w:r w:rsidRPr="003458F4">
              <w:rPr>
                <w:lang w:val="de-DE"/>
              </w:rPr>
              <w:t>Jahr</w:t>
            </w:r>
            <w:r w:rsidRPr="00792D61">
              <w:rPr>
                <w:b/>
                <w:lang w:val="de-DE"/>
              </w:rPr>
              <w:t>[</w:t>
            </w:r>
            <w:r w:rsidRPr="003458F4">
              <w:rPr>
                <w:lang w:val="de-DE"/>
              </w:rPr>
              <w:t>en</w:t>
            </w:r>
            <w:r w:rsidRPr="00792D61">
              <w:rPr>
                <w:b/>
                <w:lang w:val="de-DE"/>
              </w:rPr>
              <w:t>]]</w:t>
            </w:r>
            <w:r w:rsidRPr="003458F4">
              <w:rPr>
                <w:lang w:val="de-DE"/>
              </w:rPr>
              <w:t xml:space="preserve"> gegen</w:t>
            </w:r>
            <w:r w:rsidRPr="003458F4">
              <w:rPr>
                <w:rFonts w:cs="Credit Suisse Type Light"/>
                <w:lang w:val="de-DE"/>
              </w:rPr>
              <w:t>ü</w:t>
            </w:r>
            <w:r w:rsidRPr="003458F4">
              <w:rPr>
                <w:lang w:val="de-DE"/>
              </w:rPr>
              <w:t xml:space="preserve">ber </w:t>
            </w:r>
            <w:r w:rsidRPr="00792D61">
              <w:rPr>
                <w:b/>
                <w:lang w:val="de-DE"/>
              </w:rPr>
              <w:t>[</w:t>
            </w:r>
            <w:r w:rsidRPr="003458F4">
              <w:rPr>
                <w:lang w:val="de-DE"/>
              </w:rPr>
              <w:t>f</w:t>
            </w:r>
            <w:r w:rsidRPr="003458F4">
              <w:rPr>
                <w:rFonts w:cs="Credit Suisse Type Light"/>
                <w:lang w:val="de-DE"/>
              </w:rPr>
              <w:t>ü</w:t>
            </w:r>
            <w:r w:rsidRPr="003458F4">
              <w:rPr>
                <w:lang w:val="de-DE"/>
              </w:rPr>
              <w:t>hrenden Banken im Londoner Interbankenmarkt</w:t>
            </w:r>
            <w:r w:rsidRPr="00792D61">
              <w:rPr>
                <w:b/>
                <w:lang w:val="de-DE"/>
              </w:rPr>
              <w:t>][</w:t>
            </w:r>
            <w:r w:rsidRPr="003458F4">
              <w:rPr>
                <w:lang w:val="de-DE"/>
              </w:rPr>
              <w:t>führenden Banken im Interbankenmarkt der Eurozone</w:t>
            </w:r>
            <w:r w:rsidRPr="00792D61">
              <w:rPr>
                <w:b/>
                <w:lang w:val="de-DE"/>
              </w:rPr>
              <w:t>][</w:t>
            </w:r>
            <w:r w:rsidRPr="003458F4">
              <w:rPr>
                <w:lang w:val="de-DE"/>
              </w:rPr>
              <w:t>Teilnehmern im Markt für US-Dollar-Swaps</w:t>
            </w:r>
            <w:r w:rsidRPr="00792D61">
              <w:rPr>
                <w:b/>
                <w:lang w:val="de-DE"/>
              </w:rPr>
              <w:t>][[</w:t>
            </w:r>
            <w:r w:rsidRPr="003458F4">
              <w:rPr>
                <w:rFonts w:ascii="Arial" w:hAnsi="Arial" w:cs="Arial"/>
                <w:lang w:val="de-DE"/>
              </w:rPr>
              <w:t>●</w:t>
            </w:r>
            <w:r w:rsidRPr="00792D61">
              <w:rPr>
                <w:b/>
                <w:lang w:val="de-DE"/>
              </w:rPr>
              <w:t>]]</w:t>
            </w:r>
            <w:r w:rsidRPr="003458F4">
              <w:rPr>
                <w:lang w:val="de-DE"/>
              </w:rPr>
              <w:t xml:space="preserve"> von </w:t>
            </w:r>
            <w:r w:rsidRPr="00792D61">
              <w:rPr>
                <w:b/>
                <w:lang w:val="de-DE"/>
              </w:rPr>
              <w:t>[</w:t>
            </w:r>
            <w:r w:rsidRPr="003458F4">
              <w:rPr>
                <w:lang w:val="de-DE"/>
              </w:rPr>
              <w:t>vier von der Berechnungsstelle ausgew</w:t>
            </w:r>
            <w:r w:rsidRPr="003458F4">
              <w:rPr>
                <w:rFonts w:cs="Credit Suisse Type Light"/>
                <w:lang w:val="de-DE"/>
              </w:rPr>
              <w:t>ä</w:t>
            </w:r>
            <w:r w:rsidRPr="003458F4">
              <w:rPr>
                <w:lang w:val="de-DE"/>
              </w:rPr>
              <w:t>hlten Grossbanken im Londoner Interbankenmarkt</w:t>
            </w:r>
            <w:r w:rsidRPr="00792D61">
              <w:rPr>
                <w:b/>
                <w:lang w:val="de-DE"/>
              </w:rPr>
              <w:t>][</w:t>
            </w:r>
            <w:r w:rsidRPr="003458F4">
              <w:rPr>
                <w:lang w:val="de-DE"/>
              </w:rPr>
              <w:t>vier von der Berechnungsstelle ausgewählten Grossbanken im Interbankenmarkt der Eurozone</w:t>
            </w:r>
            <w:r w:rsidRPr="00792D61">
              <w:rPr>
                <w:b/>
                <w:lang w:val="de-DE"/>
              </w:rPr>
              <w:t>]</w:t>
            </w:r>
            <w:r w:rsidRPr="003458F4">
              <w:rPr>
                <w:lang w:val="de-DE"/>
              </w:rPr>
              <w:t xml:space="preserve"> </w:t>
            </w:r>
            <w:r w:rsidRPr="00792D61">
              <w:rPr>
                <w:b/>
                <w:lang w:val="de-DE"/>
              </w:rPr>
              <w:t>[</w:t>
            </w:r>
            <w:r w:rsidRPr="003458F4">
              <w:rPr>
                <w:lang w:val="de-DE"/>
              </w:rPr>
              <w:t>fünf führenden Swap-Händlern im Interbankenmarkt in New York</w:t>
            </w:r>
            <w:r w:rsidRPr="00792D61">
              <w:rPr>
                <w:b/>
                <w:lang w:val="de-DE"/>
              </w:rPr>
              <w:t>][</w:t>
            </w:r>
            <w:r w:rsidRPr="003458F4">
              <w:rPr>
                <w:lang w:val="de-DE"/>
              </w:rPr>
              <w:t>den Referenzbanken</w:t>
            </w:r>
            <w:r w:rsidRPr="00792D61">
              <w:rPr>
                <w:b/>
                <w:lang w:val="de-DE"/>
              </w:rPr>
              <w:t>]</w:t>
            </w:r>
            <w:r w:rsidRPr="003458F4">
              <w:rPr>
                <w:lang w:val="de-DE"/>
              </w:rPr>
              <w:t xml:space="preserve"> angeboten werden. Die Berechnungsstelle holt von der Hauptniederlassung </w:t>
            </w:r>
            <w:r w:rsidRPr="00792D61">
              <w:rPr>
                <w:b/>
                <w:lang w:val="de-DE"/>
              </w:rPr>
              <w:t>[</w:t>
            </w:r>
            <w:r w:rsidRPr="003458F4">
              <w:rPr>
                <w:lang w:val="de-DE"/>
              </w:rPr>
              <w:t>jeder dieser Banken</w:t>
            </w:r>
            <w:r w:rsidRPr="00792D61">
              <w:rPr>
                <w:b/>
                <w:lang w:val="de-DE"/>
              </w:rPr>
              <w:t>][</w:t>
            </w:r>
            <w:r w:rsidRPr="003458F4">
              <w:rPr>
                <w:lang w:val="de-DE"/>
              </w:rPr>
              <w:t>jedes Swap-Händlers</w:t>
            </w:r>
            <w:r w:rsidRPr="00792D61">
              <w:rPr>
                <w:b/>
                <w:lang w:val="de-DE"/>
              </w:rPr>
              <w:t>][</w:t>
            </w:r>
            <w:r w:rsidRPr="003458F4">
              <w:rPr>
                <w:lang w:val="de-DE"/>
              </w:rPr>
              <w:t>jeder Referenzbank</w:t>
            </w:r>
            <w:r w:rsidRPr="00792D61">
              <w:rPr>
                <w:b/>
                <w:lang w:val="de-DE"/>
              </w:rPr>
              <w:t>]</w:t>
            </w:r>
            <w:r w:rsidRPr="003458F4">
              <w:rPr>
                <w:lang w:val="de-DE"/>
              </w:rPr>
              <w:t xml:space="preserve"> in </w:t>
            </w:r>
            <w:r w:rsidRPr="00792D61">
              <w:rPr>
                <w:b/>
                <w:lang w:val="de-DE"/>
              </w:rPr>
              <w:t>[</w:t>
            </w:r>
            <w:r w:rsidRPr="003458F4">
              <w:rPr>
                <w:lang w:val="de-DE"/>
              </w:rPr>
              <w:t>London</w:t>
            </w:r>
            <w:r w:rsidRPr="00792D61">
              <w:rPr>
                <w:b/>
                <w:lang w:val="de-DE"/>
              </w:rPr>
              <w:t>][</w:t>
            </w:r>
            <w:r w:rsidRPr="003458F4">
              <w:rPr>
                <w:lang w:val="de-DE"/>
              </w:rPr>
              <w:t>der Eurozone</w:t>
            </w:r>
            <w:r w:rsidRPr="00792D61">
              <w:rPr>
                <w:b/>
                <w:lang w:val="de-DE"/>
              </w:rPr>
              <w:t>][</w:t>
            </w:r>
            <w:r w:rsidRPr="003458F4">
              <w:rPr>
                <w:lang w:val="de-DE"/>
              </w:rPr>
              <w:t>New York</w:t>
            </w:r>
            <w:r w:rsidRPr="00792D61">
              <w:rPr>
                <w:b/>
                <w:lang w:val="de-DE"/>
              </w:rPr>
              <w:t>][[</w:t>
            </w:r>
            <w:r w:rsidRPr="003458F4">
              <w:rPr>
                <w:rFonts w:ascii="Arial" w:hAnsi="Arial" w:cs="Arial"/>
                <w:lang w:val="de-DE"/>
              </w:rPr>
              <w:t>●</w:t>
            </w:r>
            <w:r w:rsidRPr="00792D61">
              <w:rPr>
                <w:b/>
                <w:lang w:val="de-DE"/>
              </w:rPr>
              <w:t>]]</w:t>
            </w:r>
            <w:r w:rsidRPr="003458F4">
              <w:rPr>
                <w:lang w:val="de-DE"/>
              </w:rPr>
              <w:t xml:space="preserve"> eine Quotierung ihres Satzes ein.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458F4" w:rsidP="00831A24">
            <w:pPr>
              <w:pStyle w:val="CSBody8pt"/>
              <w:rPr>
                <w:lang w:val="de-DE"/>
              </w:rPr>
            </w:pPr>
          </w:p>
        </w:tc>
        <w:tc>
          <w:tcPr>
            <w:tcW w:w="3315" w:type="dxa"/>
            <w:gridSpan w:val="7"/>
            <w:tcBorders>
              <w:top w:val="nil"/>
              <w:left w:val="nil"/>
              <w:bottom w:val="nil"/>
            </w:tcBorders>
            <w:shd w:val="clear" w:color="auto" w:fill="auto"/>
          </w:tcPr>
          <w:p w:rsidR="0017135D" w:rsidRPr="000F25EA" w:rsidP="00831A24">
            <w:pPr>
              <w:pStyle w:val="CSBody8pt"/>
            </w:pPr>
            <w:r w:rsidRPr="000F25EA">
              <w:t xml:space="preserve">If two or more </w:t>
            </w:r>
            <w:r w:rsidRPr="00792D61">
              <w:rPr>
                <w:b/>
              </w:rPr>
              <w:t>[</w:t>
            </w:r>
            <w:r w:rsidRPr="000F25EA">
              <w:t>banks</w:t>
            </w:r>
            <w:r w:rsidRPr="00792D61">
              <w:rPr>
                <w:b/>
              </w:rPr>
              <w:t>][</w:t>
            </w:r>
            <w:r w:rsidRPr="000F25EA">
              <w:t>swap dealers</w:t>
            </w:r>
            <w:r w:rsidRPr="00792D61">
              <w:rPr>
                <w:b/>
              </w:rPr>
              <w:t>][</w:t>
            </w:r>
            <w:r w:rsidRPr="000F25EA">
              <w:t>Reference Banks</w:t>
            </w:r>
            <w:r w:rsidRPr="00792D61">
              <w:rPr>
                <w:b/>
              </w:rPr>
              <w:t>]</w:t>
            </w:r>
            <w:r w:rsidRPr="000F25EA">
              <w:t xml:space="preserve"> provide the Calculation Agent with such offered quotations, </w:t>
            </w:r>
            <w:r w:rsidRPr="00792D61">
              <w:rPr>
                <w:b/>
              </w:rPr>
              <w:t>[</w:t>
            </w:r>
            <w:r w:rsidRPr="000F25EA">
              <w:t>the Reference Rate</w:t>
            </w:r>
            <w:r w:rsidRPr="00792D61">
              <w:rPr>
                <w:b/>
              </w:rPr>
              <w:t>]</w:t>
            </w:r>
            <w:r w:rsidRPr="000F25EA">
              <w:t xml:space="preserve"> </w:t>
            </w:r>
            <w:r w:rsidRPr="00792D61">
              <w:rPr>
                <w:b/>
              </w:rPr>
              <w:t>[</w:t>
            </w:r>
            <w:r w:rsidRPr="000F25EA">
              <w:t>Reference Rate 1</w:t>
            </w:r>
            <w:r w:rsidRPr="00792D61">
              <w:rPr>
                <w:b/>
              </w:rPr>
              <w:t>]</w:t>
            </w:r>
            <w:r w:rsidRPr="000F25EA">
              <w:t xml:space="preserve"> on </w:t>
            </w:r>
            <w:r w:rsidRPr="00792D61">
              <w:rPr>
                <w:b/>
              </w:rPr>
              <w:t>[</w:t>
            </w:r>
            <w:r w:rsidRPr="000F25EA">
              <w:t>the</w:t>
            </w:r>
            <w:r w:rsidRPr="00792D61">
              <w:rPr>
                <w:b/>
              </w:rPr>
              <w:t>][</w:t>
            </w:r>
            <w:r w:rsidRPr="000F25EA">
              <w:t>such</w:t>
            </w:r>
            <w:r w:rsidRPr="00792D61">
              <w:rPr>
                <w:b/>
              </w:rPr>
              <w:t>]</w:t>
            </w:r>
            <w:r w:rsidRPr="000F25EA">
              <w:t xml:space="preserve"> </w:t>
            </w:r>
            <w:r w:rsidRPr="00792D61">
              <w:rPr>
                <w:b/>
              </w:rPr>
              <w:t>[</w:t>
            </w:r>
            <w:r w:rsidRPr="000F25EA">
              <w:t>Interest Determination Date</w:t>
            </w:r>
            <w:r w:rsidRPr="00792D61">
              <w:rPr>
                <w:b/>
              </w:rPr>
              <w:t>][</w:t>
            </w:r>
            <w:r w:rsidRPr="000F25EA">
              <w:t>Barrier Observation Date</w:t>
            </w:r>
            <w:r w:rsidRPr="00792D61">
              <w:rPr>
                <w:b/>
              </w:rPr>
              <w:t>]</w:t>
            </w:r>
            <w:r w:rsidRPr="000F25EA">
              <w:t xml:space="preserve"> shall be the arithmetic mean (rounded if necessary to the nearest one thousandth of a percentage point, with </w:t>
            </w:r>
            <w:r w:rsidRPr="00792D61">
              <w:rPr>
                <w:b/>
              </w:rPr>
              <w:t>[</w:t>
            </w:r>
            <w:r w:rsidRPr="000F25EA">
              <w:t>0.0005</w:t>
            </w:r>
            <w:r w:rsidRPr="00792D61">
              <w:rPr>
                <w:b/>
              </w:rPr>
              <w:t>][[</w:t>
            </w:r>
            <w:r w:rsidRPr="000F25EA">
              <w:rPr>
                <w:rFonts w:ascii="Arial" w:hAnsi="Arial" w:cs="Arial"/>
              </w:rPr>
              <w:t>●</w:t>
            </w:r>
            <w:r w:rsidRPr="00792D61">
              <w:rPr>
                <w:b/>
              </w:rPr>
              <w:t>]]</w:t>
            </w:r>
            <w:r w:rsidRPr="000F25EA">
              <w:t xml:space="preserve"> being rounded upwards) of such offered quotations, as determined by the Calculation Agent and expressed as a percentage per annum.</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831A24">
            <w:pPr>
              <w:pStyle w:val="CSBody8pt"/>
              <w:rPr>
                <w:lang w:val="de-DE"/>
              </w:rPr>
            </w:pPr>
            <w:r w:rsidRPr="0067153B">
              <w:rPr>
                <w:lang w:val="de-DE"/>
              </w:rPr>
              <w:t xml:space="preserve">Nennen zwei oder mehr </w:t>
            </w:r>
            <w:r w:rsidRPr="00792D61">
              <w:rPr>
                <w:b/>
                <w:lang w:val="de-DE"/>
              </w:rPr>
              <w:t>[</w:t>
            </w:r>
            <w:r w:rsidRPr="0067153B">
              <w:rPr>
                <w:lang w:val="de-DE"/>
              </w:rPr>
              <w:t>Banken</w:t>
            </w:r>
            <w:r w:rsidRPr="00792D61">
              <w:rPr>
                <w:b/>
                <w:lang w:val="de-DE"/>
              </w:rPr>
              <w:t>][</w:t>
            </w:r>
            <w:r w:rsidRPr="0067153B">
              <w:rPr>
                <w:lang w:val="de-DE"/>
              </w:rPr>
              <w:t>Swap-Händler</w:t>
            </w:r>
            <w:r w:rsidRPr="00792D61">
              <w:rPr>
                <w:b/>
                <w:lang w:val="de-DE"/>
              </w:rPr>
              <w:t>][</w:t>
            </w:r>
            <w:r w:rsidRPr="0067153B">
              <w:rPr>
                <w:lang w:val="de-DE"/>
              </w:rPr>
              <w:t>Referenzbanken</w:t>
            </w:r>
            <w:r w:rsidRPr="00792D61">
              <w:rPr>
                <w:b/>
                <w:lang w:val="de-DE"/>
              </w:rPr>
              <w:t>]</w:t>
            </w:r>
            <w:r w:rsidRPr="0067153B">
              <w:rPr>
                <w:lang w:val="de-DE"/>
              </w:rPr>
              <w:t xml:space="preserve"> der Berechnungsstelle solche Angebotsquotierungen, so ist der </w:t>
            </w:r>
            <w:r w:rsidRPr="00792D61">
              <w:rPr>
                <w:b/>
                <w:lang w:val="de-DE"/>
              </w:rPr>
              <w:t>[</w:t>
            </w:r>
            <w:r w:rsidRPr="0067153B">
              <w:rPr>
                <w:lang w:val="de-DE"/>
              </w:rPr>
              <w:t>Referenzsatz</w:t>
            </w:r>
            <w:r w:rsidRPr="00792D61">
              <w:rPr>
                <w:b/>
                <w:lang w:val="de-DE"/>
              </w:rPr>
              <w:t>][</w:t>
            </w:r>
            <w:r w:rsidRPr="0067153B">
              <w:rPr>
                <w:lang w:val="de-DE"/>
              </w:rPr>
              <w:t>Referenzsatz 1</w:t>
            </w:r>
            <w:r w:rsidRPr="00792D61">
              <w:rPr>
                <w:b/>
                <w:lang w:val="de-DE"/>
              </w:rPr>
              <w:t>]</w:t>
            </w:r>
            <w:r w:rsidRPr="0067153B">
              <w:rPr>
                <w:lang w:val="de-DE"/>
              </w:rPr>
              <w:t xml:space="preserve"> an </w:t>
            </w:r>
            <w:r w:rsidRPr="00792D61">
              <w:rPr>
                <w:b/>
                <w:lang w:val="de-DE"/>
              </w:rPr>
              <w:t>[</w:t>
            </w:r>
            <w:r w:rsidRPr="0067153B">
              <w:rPr>
                <w:lang w:val="de-DE"/>
              </w:rPr>
              <w:t>dem</w:t>
            </w:r>
            <w:r w:rsidRPr="00792D61">
              <w:rPr>
                <w:b/>
                <w:lang w:val="de-DE"/>
              </w:rPr>
              <w:t>][</w:t>
            </w:r>
            <w:r w:rsidRPr="0067153B">
              <w:rPr>
                <w:lang w:val="de-DE"/>
              </w:rPr>
              <w:t>dem jeweiligen</w:t>
            </w:r>
            <w:r w:rsidRPr="00792D61">
              <w:rPr>
                <w:b/>
                <w:lang w:val="de-DE"/>
              </w:rPr>
              <w:t>]</w:t>
            </w:r>
            <w:r w:rsidRPr="0067153B">
              <w:rPr>
                <w:lang w:val="de-DE"/>
              </w:rPr>
              <w:t xml:space="preserve"> </w:t>
            </w:r>
            <w:r w:rsidRPr="00792D61">
              <w:rPr>
                <w:b/>
                <w:lang w:val="de-DE"/>
              </w:rPr>
              <w:t>[</w:t>
            </w:r>
            <w:r w:rsidRPr="0067153B">
              <w:rPr>
                <w:lang w:val="de-DE"/>
              </w:rPr>
              <w:t>Zinsfeststellungstag</w:t>
            </w:r>
            <w:r w:rsidRPr="00792D61">
              <w:rPr>
                <w:b/>
                <w:lang w:val="de-DE"/>
              </w:rPr>
              <w:t>][</w:t>
            </w:r>
            <w:r w:rsidRPr="0067153B">
              <w:rPr>
                <w:lang w:val="de-DE"/>
              </w:rPr>
              <w:t>Barriere-Beobachtungstag</w:t>
            </w:r>
            <w:r w:rsidRPr="00792D61">
              <w:rPr>
                <w:b/>
                <w:lang w:val="de-DE"/>
              </w:rPr>
              <w:t>]</w:t>
            </w:r>
            <w:r w:rsidRPr="0067153B">
              <w:rPr>
                <w:lang w:val="de-DE"/>
              </w:rPr>
              <w:t xml:space="preserve"> das arithmetische Mittel (falls erforderlich, auf- oder abgerundet auf das nächste Tausendstel eines Prozentpunktes, wobei </w:t>
            </w:r>
            <w:r w:rsidRPr="00792D61">
              <w:rPr>
                <w:b/>
                <w:lang w:val="de-DE"/>
              </w:rPr>
              <w:t>[</w:t>
            </w:r>
            <w:r w:rsidRPr="0067153B">
              <w:rPr>
                <w:lang w:val="de-DE"/>
              </w:rPr>
              <w:t>0,0005</w:t>
            </w:r>
            <w:r w:rsidRPr="00792D61">
              <w:rPr>
                <w:b/>
                <w:lang w:val="de-DE"/>
              </w:rPr>
              <w:t>][[</w:t>
            </w:r>
            <w:r w:rsidRPr="0067153B">
              <w:rPr>
                <w:rFonts w:ascii="Arial" w:hAnsi="Arial" w:cs="Arial"/>
                <w:lang w:val="de-DE"/>
              </w:rPr>
              <w:t>●</w:t>
            </w:r>
            <w:r w:rsidRPr="00792D61">
              <w:rPr>
                <w:b/>
                <w:lang w:val="de-DE"/>
              </w:rPr>
              <w:t>]]</w:t>
            </w:r>
            <w:r w:rsidRPr="0067153B">
              <w:rPr>
                <w:lang w:val="de-DE"/>
              </w:rPr>
              <w:t xml:space="preserve"> aufgerundet wird) dieser Angebotsquotierungen, wie von der Berechnungsstelle festgestellt und als Prozentsatz per annum ausgedr</w:t>
            </w:r>
            <w:r w:rsidRPr="0067153B">
              <w:rPr>
                <w:rFonts w:cs="Credit Suisse Type Light"/>
                <w:lang w:val="de-DE"/>
              </w:rPr>
              <w:t>ü</w:t>
            </w:r>
            <w:r w:rsidRPr="0067153B">
              <w:rPr>
                <w:lang w:val="de-DE"/>
              </w:rPr>
              <w:t>ckt.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rPr>
                <w:lang w:val="de-DE"/>
              </w:rPr>
            </w:pPr>
          </w:p>
        </w:tc>
        <w:tc>
          <w:tcPr>
            <w:tcW w:w="3315" w:type="dxa"/>
            <w:gridSpan w:val="7"/>
            <w:tcBorders>
              <w:top w:val="nil"/>
              <w:left w:val="nil"/>
              <w:bottom w:val="nil"/>
            </w:tcBorders>
            <w:shd w:val="clear" w:color="auto" w:fill="auto"/>
          </w:tcPr>
          <w:p w:rsidR="0017135D" w:rsidP="00831A24">
            <w:pPr>
              <w:pStyle w:val="CSBody8pt"/>
            </w:pPr>
            <w:r w:rsidRPr="000F25EA">
              <w:t xml:space="preserve">If only one or no </w:t>
            </w:r>
            <w:r w:rsidRPr="00792D61">
              <w:rPr>
                <w:b/>
              </w:rPr>
              <w:t>[</w:t>
            </w:r>
            <w:r w:rsidRPr="000F25EA">
              <w:t>bank</w:t>
            </w:r>
            <w:r w:rsidRPr="00792D61">
              <w:rPr>
                <w:b/>
              </w:rPr>
              <w:t>][</w:t>
            </w:r>
            <w:r w:rsidRPr="000F25EA">
              <w:t>swap dealer</w:t>
            </w:r>
            <w:r w:rsidRPr="00792D61">
              <w:rPr>
                <w:b/>
              </w:rPr>
              <w:t>][</w:t>
            </w:r>
            <w:r w:rsidRPr="000F25EA">
              <w:t>Reference Bank</w:t>
            </w:r>
            <w:r w:rsidRPr="00792D61">
              <w:rPr>
                <w:b/>
              </w:rPr>
              <w:t>]</w:t>
            </w:r>
            <w:r w:rsidRPr="000F25EA">
              <w:t xml:space="preserve"> provides the Calculation Agent with such offered quotations, </w:t>
            </w:r>
            <w:r w:rsidRPr="00792D61">
              <w:rPr>
                <w:b/>
              </w:rPr>
              <w:t>[</w:t>
            </w:r>
            <w:r w:rsidRPr="000F25EA">
              <w:t>the Reference Rate</w:t>
            </w:r>
            <w:r w:rsidRPr="00792D61">
              <w:rPr>
                <w:b/>
              </w:rPr>
              <w:t>]</w:t>
            </w:r>
            <w:r w:rsidRPr="000F25EA">
              <w:t xml:space="preserve"> </w:t>
            </w:r>
            <w:r w:rsidRPr="00792D61">
              <w:rPr>
                <w:b/>
              </w:rPr>
              <w:t>[</w:t>
            </w:r>
            <w:r w:rsidRPr="000F25EA">
              <w:t>Reference Rate 1</w:t>
            </w:r>
            <w:r w:rsidRPr="00792D61">
              <w:rPr>
                <w:b/>
              </w:rPr>
              <w:t>]</w:t>
            </w:r>
            <w:r w:rsidRPr="000F25EA">
              <w:t xml:space="preserve"> on </w:t>
            </w:r>
            <w:r w:rsidRPr="00792D61">
              <w:rPr>
                <w:b/>
              </w:rPr>
              <w:t>[</w:t>
            </w:r>
            <w:r w:rsidRPr="000F25EA">
              <w:t>the</w:t>
            </w:r>
            <w:r w:rsidRPr="00792D61">
              <w:rPr>
                <w:b/>
              </w:rPr>
              <w:t>][</w:t>
            </w:r>
            <w:r w:rsidRPr="000F25EA">
              <w:t>such</w:t>
            </w:r>
            <w:r w:rsidRPr="00792D61">
              <w:rPr>
                <w:b/>
              </w:rPr>
              <w:t>]</w:t>
            </w:r>
            <w:r w:rsidRPr="000F25EA">
              <w:t xml:space="preserve"> </w:t>
            </w:r>
            <w:r w:rsidRPr="00792D61">
              <w:rPr>
                <w:b/>
              </w:rPr>
              <w:t>[</w:t>
            </w:r>
            <w:r w:rsidRPr="000F25EA">
              <w:t>Interest Determination Date</w:t>
            </w:r>
            <w:r w:rsidRPr="00792D61">
              <w:rPr>
                <w:b/>
              </w:rPr>
              <w:t>][</w:t>
            </w:r>
            <w:r w:rsidRPr="000F25EA">
              <w:t>Barrier Observation Date</w:t>
            </w:r>
            <w:r w:rsidRPr="00792D61">
              <w:rPr>
                <w:b/>
              </w:rPr>
              <w:t>]</w:t>
            </w:r>
            <w:r w:rsidRPr="000F25EA">
              <w:t xml:space="preserve"> shall be </w:t>
            </w:r>
            <w:r w:rsidRPr="00792D61">
              <w:rPr>
                <w:b/>
              </w:rPr>
              <w:t>[</w:t>
            </w:r>
            <w:r w:rsidRPr="00831A24">
              <w:rPr>
                <w:b/>
                <w:i/>
              </w:rPr>
              <w:t>option 1:</w:t>
            </w:r>
            <w:r w:rsidRPr="000F25EA">
              <w:t xml:space="preserve"> the offered quotation or arithmetic mean of the offered quotations on the Rate Source, each as determined as described above, on the last day preceding </w:t>
            </w:r>
            <w:r w:rsidRPr="00792D61">
              <w:rPr>
                <w:b/>
              </w:rPr>
              <w:t>[</w:t>
            </w:r>
            <w:r w:rsidRPr="000F25EA">
              <w:t>the</w:t>
            </w:r>
            <w:r w:rsidRPr="00792D61">
              <w:rPr>
                <w:b/>
              </w:rPr>
              <w:t>][</w:t>
            </w:r>
            <w:r w:rsidRPr="000F25EA">
              <w:t>such</w:t>
            </w:r>
            <w:r w:rsidRPr="00792D61">
              <w:rPr>
                <w:b/>
              </w:rPr>
              <w:t>]</w:t>
            </w:r>
            <w:r w:rsidRPr="000F25EA">
              <w:t xml:space="preserve"> </w:t>
            </w:r>
            <w:r w:rsidRPr="00792D61">
              <w:rPr>
                <w:b/>
              </w:rPr>
              <w:t>[</w:t>
            </w:r>
            <w:r w:rsidRPr="000F25EA">
              <w:t>Interest Determination Date</w:t>
            </w:r>
            <w:r w:rsidRPr="00792D61">
              <w:rPr>
                <w:b/>
              </w:rPr>
              <w:t>][</w:t>
            </w:r>
            <w:r w:rsidRPr="000F25EA">
              <w:t>Barrier Observation Date</w:t>
            </w:r>
            <w:r w:rsidRPr="00792D61">
              <w:rPr>
                <w:b/>
              </w:rPr>
              <w:t>]</w:t>
            </w:r>
            <w:r w:rsidRPr="000F25EA">
              <w:t xml:space="preserve"> on which such quotations were offered</w:t>
            </w:r>
            <w:r w:rsidRPr="00792D61">
              <w:rPr>
                <w:b/>
              </w:rPr>
              <w:t>][</w:t>
            </w:r>
            <w:r w:rsidRPr="00831A24">
              <w:rPr>
                <w:b/>
                <w:i/>
              </w:rPr>
              <w:t>option 2:</w:t>
            </w:r>
            <w:r w:rsidRPr="000F25EA">
              <w:t xml:space="preserve"> </w:t>
            </w:r>
            <w:r w:rsidRPr="00792D61">
              <w:rPr>
                <w:b/>
              </w:rPr>
              <w:t>[</w:t>
            </w:r>
            <w:r w:rsidRPr="000F25EA">
              <w:t>the Reference Rate</w:t>
            </w:r>
            <w:r w:rsidRPr="00792D61">
              <w:rPr>
                <w:b/>
              </w:rPr>
              <w:t>][</w:t>
            </w:r>
            <w:r w:rsidRPr="000F25EA">
              <w:t>Reference Rate 1</w:t>
            </w:r>
            <w:r w:rsidRPr="00792D61">
              <w:rPr>
                <w:b/>
              </w:rPr>
              <w:t>]</w:t>
            </w:r>
            <w:r w:rsidRPr="000F25EA">
              <w:t xml:space="preserve"> on the immediately preceding </w:t>
            </w:r>
            <w:r w:rsidRPr="00792D61">
              <w:rPr>
                <w:b/>
              </w:rPr>
              <w:t>[</w:t>
            </w:r>
            <w:r w:rsidRPr="000F25EA">
              <w:t>Interest Determination Date</w:t>
            </w:r>
            <w:r w:rsidRPr="00792D61">
              <w:rPr>
                <w:b/>
              </w:rPr>
              <w:t>][</w:t>
            </w:r>
            <w:r w:rsidRPr="000F25EA">
              <w:t>Barrier Observation Date</w:t>
            </w:r>
            <w:r w:rsidRPr="00792D61">
              <w:rPr>
                <w:b/>
              </w:rPr>
              <w:t>][</w:t>
            </w:r>
            <w:r w:rsidRPr="000F25EA">
              <w:t>Reference Rate Business Day</w:t>
            </w:r>
            <w:r w:rsidRPr="00792D61">
              <w:rPr>
                <w:b/>
              </w:rPr>
              <w:t>]][</w:t>
            </w:r>
            <w:r w:rsidRPr="00831A24">
              <w:rPr>
                <w:b/>
                <w:i/>
              </w:rPr>
              <w:t>option 3:</w:t>
            </w:r>
            <w:r w:rsidRPr="000F25EA">
              <w:t xml:space="preserve"> </w:t>
            </w:r>
            <w:r w:rsidRPr="00792D61">
              <w:rPr>
                <w:b/>
              </w:rPr>
              <w:t>[</w:t>
            </w:r>
            <w:r w:rsidRPr="000F25EA">
              <w:t>the Reference Rate</w:t>
            </w:r>
            <w:r w:rsidRPr="00792D61">
              <w:rPr>
                <w:b/>
              </w:rPr>
              <w:t>]</w:t>
            </w:r>
            <w:r w:rsidRPr="000F25EA">
              <w:t xml:space="preserve"> </w:t>
            </w:r>
            <w:r w:rsidRPr="00792D61">
              <w:rPr>
                <w:b/>
              </w:rPr>
              <w:t>[</w:t>
            </w:r>
            <w:r w:rsidRPr="000F25EA">
              <w:t>Reference Rate 1</w:t>
            </w:r>
            <w:r w:rsidRPr="00792D61">
              <w:rPr>
                <w:b/>
              </w:rPr>
              <w:t>]</w:t>
            </w:r>
            <w:r w:rsidRPr="000F25EA">
              <w:t xml:space="preserve"> in effect for the immediately preceding Interest Period</w:t>
            </w:r>
            <w:r w:rsidRPr="00792D61">
              <w:rPr>
                <w:b/>
              </w:rPr>
              <w:t>][</w:t>
            </w:r>
            <w:r w:rsidRPr="00831A24">
              <w:rPr>
                <w:b/>
                <w:i/>
              </w:rPr>
              <w:t>option 4:</w:t>
            </w:r>
            <w:r w:rsidRPr="000F25EA">
              <w:t xml:space="preserve"> the arithmetic mean of the rates quoted by major banks to leading European banks in </w:t>
            </w:r>
            <w:r w:rsidRPr="00792D61">
              <w:rPr>
                <w:b/>
              </w:rPr>
              <w:t>[</w:t>
            </w:r>
            <w:r w:rsidRPr="000F25EA">
              <w:t>Zurich</w:t>
            </w:r>
            <w:r w:rsidRPr="00792D61">
              <w:rPr>
                <w:b/>
              </w:rPr>
              <w:t>][</w:t>
            </w:r>
            <w:r w:rsidRPr="000F25EA">
              <w:t>New York City</w:t>
            </w:r>
            <w:r w:rsidRPr="00792D61">
              <w:rPr>
                <w:b/>
              </w:rPr>
              <w:t>]</w:t>
            </w:r>
            <w:r w:rsidRPr="000F25EA">
              <w:t>, selected by the Calculation Agent, at or around 11.00 hrs. (</w:t>
            </w:r>
            <w:r w:rsidRPr="00792D61">
              <w:rPr>
                <w:b/>
              </w:rPr>
              <w:t>[</w:t>
            </w:r>
            <w:r w:rsidRPr="000F25EA">
              <w:t>Zurich</w:t>
            </w:r>
            <w:r w:rsidRPr="00792D61">
              <w:rPr>
                <w:b/>
              </w:rPr>
              <w:t>][</w:t>
            </w:r>
            <w:r w:rsidRPr="000F25EA">
              <w:t>New York City</w:t>
            </w:r>
            <w:r w:rsidRPr="00792D61">
              <w:rPr>
                <w:b/>
              </w:rPr>
              <w:t>]</w:t>
            </w:r>
            <w:r w:rsidRPr="000F25EA">
              <w:t xml:space="preserve"> local time)</w:t>
            </w:r>
            <w:r w:rsidRPr="00792D61">
              <w:rPr>
                <w:b/>
              </w:rPr>
              <w:t>][</w:t>
            </w:r>
            <w:r w:rsidRPr="00831A24">
              <w:rPr>
                <w:b/>
                <w:i/>
              </w:rPr>
              <w:t>option 5:</w:t>
            </w:r>
            <w:r w:rsidRPr="000F25EA">
              <w:t xml:space="preserve"> the interest rate determined by the Calculation Agent at its reasonable discretion taking into account the prevailing market conditions</w:t>
            </w:r>
            <w:r w:rsidRPr="00792D61">
              <w:rPr>
                <w:b/>
              </w:rPr>
              <w:t>]</w:t>
            </w:r>
            <w:r w:rsidRPr="000F25EA">
              <w:t>.</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831A24">
            <w:pPr>
              <w:pStyle w:val="CSBody8pt"/>
              <w:rPr>
                <w:lang w:val="de-DE"/>
              </w:rPr>
            </w:pPr>
            <w:r w:rsidRPr="0067153B">
              <w:rPr>
                <w:lang w:val="de-DE"/>
              </w:rPr>
              <w:t>Nennt nur ein</w:t>
            </w:r>
            <w:r w:rsidRPr="00792D61">
              <w:rPr>
                <w:b/>
                <w:lang w:val="de-DE"/>
              </w:rPr>
              <w:t>[</w:t>
            </w:r>
            <w:r w:rsidRPr="0067153B">
              <w:rPr>
                <w:lang w:val="de-DE"/>
              </w:rPr>
              <w:t>e</w:t>
            </w:r>
            <w:r w:rsidRPr="00792D61">
              <w:rPr>
                <w:b/>
                <w:lang w:val="de-DE"/>
              </w:rPr>
              <w:t>]</w:t>
            </w:r>
            <w:r w:rsidRPr="0067153B">
              <w:rPr>
                <w:lang w:val="de-DE"/>
              </w:rPr>
              <w:t xml:space="preserve"> oder kein</w:t>
            </w:r>
            <w:r w:rsidRPr="00792D61">
              <w:rPr>
                <w:b/>
                <w:lang w:val="de-DE"/>
              </w:rPr>
              <w:t>[</w:t>
            </w:r>
            <w:r w:rsidRPr="0067153B">
              <w:rPr>
                <w:lang w:val="de-DE"/>
              </w:rPr>
              <w:t>e</w:t>
            </w:r>
            <w:r w:rsidRPr="00792D61">
              <w:rPr>
                <w:b/>
                <w:lang w:val="de-DE"/>
              </w:rPr>
              <w:t>]</w:t>
            </w:r>
            <w:r w:rsidRPr="0067153B">
              <w:rPr>
                <w:lang w:val="de-DE"/>
              </w:rPr>
              <w:t xml:space="preserve"> </w:t>
            </w:r>
            <w:r w:rsidRPr="00792D61">
              <w:rPr>
                <w:b/>
                <w:lang w:val="de-DE"/>
              </w:rPr>
              <w:t>[</w:t>
            </w:r>
            <w:r w:rsidRPr="0067153B">
              <w:rPr>
                <w:lang w:val="de-DE"/>
              </w:rPr>
              <w:t>Bank</w:t>
            </w:r>
            <w:r w:rsidRPr="00792D61">
              <w:rPr>
                <w:b/>
                <w:lang w:val="de-DE"/>
              </w:rPr>
              <w:t>][</w:t>
            </w:r>
            <w:r w:rsidRPr="0067153B">
              <w:rPr>
                <w:lang w:val="de-DE"/>
              </w:rPr>
              <w:t>Swap-Händler</w:t>
            </w:r>
            <w:r w:rsidRPr="00792D61">
              <w:rPr>
                <w:b/>
                <w:lang w:val="de-DE"/>
              </w:rPr>
              <w:t>][</w:t>
            </w:r>
            <w:r w:rsidRPr="0067153B">
              <w:rPr>
                <w:lang w:val="de-DE"/>
              </w:rPr>
              <w:t>Referenzbank</w:t>
            </w:r>
            <w:r w:rsidRPr="00792D61">
              <w:rPr>
                <w:b/>
                <w:lang w:val="de-DE"/>
              </w:rPr>
              <w:t>]</w:t>
            </w:r>
            <w:r w:rsidRPr="0067153B">
              <w:rPr>
                <w:lang w:val="de-DE"/>
              </w:rPr>
              <w:t xml:space="preserve"> der Berechnungsstelle solche Angebotsquotierungen, so entspricht der </w:t>
            </w:r>
            <w:r w:rsidRPr="00792D61">
              <w:rPr>
                <w:b/>
                <w:lang w:val="de-DE"/>
              </w:rPr>
              <w:t>[</w:t>
            </w:r>
            <w:r w:rsidRPr="0067153B">
              <w:rPr>
                <w:lang w:val="de-DE"/>
              </w:rPr>
              <w:t>Referenzsatz</w:t>
            </w:r>
            <w:r w:rsidRPr="00792D61">
              <w:rPr>
                <w:b/>
                <w:lang w:val="de-DE"/>
              </w:rPr>
              <w:t>][</w:t>
            </w:r>
            <w:r w:rsidRPr="0067153B">
              <w:rPr>
                <w:lang w:val="de-DE"/>
              </w:rPr>
              <w:t>Referenzsatz 1</w:t>
            </w:r>
            <w:r w:rsidRPr="00792D61">
              <w:rPr>
                <w:b/>
                <w:lang w:val="de-DE"/>
              </w:rPr>
              <w:t>]</w:t>
            </w:r>
            <w:r w:rsidRPr="0067153B">
              <w:rPr>
                <w:lang w:val="de-DE"/>
              </w:rPr>
              <w:t xml:space="preserve"> an </w:t>
            </w:r>
            <w:r w:rsidRPr="00792D61">
              <w:rPr>
                <w:b/>
                <w:lang w:val="de-DE"/>
              </w:rPr>
              <w:t>[</w:t>
            </w:r>
            <w:r w:rsidRPr="0067153B">
              <w:rPr>
                <w:lang w:val="de-DE"/>
              </w:rPr>
              <w:t>dem</w:t>
            </w:r>
            <w:r w:rsidRPr="00792D61">
              <w:rPr>
                <w:b/>
                <w:lang w:val="de-DE"/>
              </w:rPr>
              <w:t>][</w:t>
            </w:r>
            <w:r w:rsidRPr="0067153B">
              <w:rPr>
                <w:lang w:val="de-DE"/>
              </w:rPr>
              <w:t>dem jeweiligen</w:t>
            </w:r>
            <w:r w:rsidRPr="00792D61">
              <w:rPr>
                <w:b/>
                <w:lang w:val="de-DE"/>
              </w:rPr>
              <w:t>]</w:t>
            </w:r>
            <w:r w:rsidRPr="0067153B">
              <w:rPr>
                <w:lang w:val="de-DE"/>
              </w:rPr>
              <w:t xml:space="preserve"> </w:t>
            </w:r>
            <w:r w:rsidRPr="00792D61">
              <w:rPr>
                <w:b/>
                <w:lang w:val="de-DE"/>
              </w:rPr>
              <w:t>[</w:t>
            </w:r>
            <w:r w:rsidRPr="0067153B">
              <w:rPr>
                <w:lang w:val="de-DE"/>
              </w:rPr>
              <w:t>Zinsfeststellungstag</w:t>
            </w:r>
            <w:r w:rsidRPr="00792D61">
              <w:rPr>
                <w:b/>
                <w:lang w:val="de-DE"/>
              </w:rPr>
              <w:t>][</w:t>
            </w:r>
            <w:r w:rsidRPr="0067153B">
              <w:rPr>
                <w:lang w:val="de-DE"/>
              </w:rPr>
              <w:t>Barriere-Beobachtungstag</w:t>
            </w:r>
            <w:r w:rsidRPr="00792D61">
              <w:rPr>
                <w:b/>
                <w:lang w:val="de-DE"/>
              </w:rPr>
              <w:t>]</w:t>
            </w:r>
            <w:r w:rsidRPr="0067153B">
              <w:rPr>
                <w:lang w:val="de-DE"/>
              </w:rPr>
              <w:t xml:space="preserve"> </w:t>
            </w:r>
            <w:r w:rsidRPr="00792D61">
              <w:rPr>
                <w:b/>
                <w:lang w:val="de-DE"/>
              </w:rPr>
              <w:t>[</w:t>
            </w:r>
            <w:r w:rsidRPr="00831A24">
              <w:rPr>
                <w:b/>
                <w:i/>
                <w:lang w:val="de-DE"/>
              </w:rPr>
              <w:t>Option 1:</w:t>
            </w:r>
            <w:r w:rsidRPr="0067153B">
              <w:rPr>
                <w:lang w:val="de-DE"/>
              </w:rPr>
              <w:t xml:space="preserve"> der Angebotsquotierung oder dem arithmetischen Mittel der Angebotsquotierungen wie sie sich aus der Kursquelle ergeben, jeweils wie vorstehend beschrieben festgestellt, am letzten Tag vor </w:t>
            </w:r>
            <w:r w:rsidRPr="00792D61">
              <w:rPr>
                <w:b/>
                <w:lang w:val="de-DE"/>
              </w:rPr>
              <w:t>[</w:t>
            </w:r>
            <w:r w:rsidRPr="0067153B">
              <w:rPr>
                <w:lang w:val="de-DE"/>
              </w:rPr>
              <w:t>dem</w:t>
            </w:r>
            <w:r w:rsidRPr="00792D61">
              <w:rPr>
                <w:b/>
                <w:lang w:val="de-DE"/>
              </w:rPr>
              <w:t>][</w:t>
            </w:r>
            <w:r w:rsidRPr="0067153B">
              <w:rPr>
                <w:lang w:val="de-DE"/>
              </w:rPr>
              <w:t>dem jeweiligen</w:t>
            </w:r>
            <w:r w:rsidRPr="00792D61">
              <w:rPr>
                <w:b/>
                <w:lang w:val="de-DE"/>
              </w:rPr>
              <w:t>]</w:t>
            </w:r>
            <w:r w:rsidRPr="0067153B">
              <w:rPr>
                <w:lang w:val="de-DE"/>
              </w:rPr>
              <w:t xml:space="preserve"> </w:t>
            </w:r>
            <w:r w:rsidRPr="00792D61">
              <w:rPr>
                <w:b/>
                <w:lang w:val="de-DE"/>
              </w:rPr>
              <w:t>[</w:t>
            </w:r>
            <w:r w:rsidRPr="0067153B">
              <w:rPr>
                <w:lang w:val="de-DE"/>
              </w:rPr>
              <w:t>Zinsfeststellungstag</w:t>
            </w:r>
            <w:r w:rsidRPr="00792D61">
              <w:rPr>
                <w:b/>
                <w:lang w:val="de-DE"/>
              </w:rPr>
              <w:t>]</w:t>
            </w:r>
            <w:r w:rsidRPr="0067153B">
              <w:rPr>
                <w:lang w:val="de-DE"/>
              </w:rPr>
              <w:t xml:space="preserve"> </w:t>
            </w:r>
            <w:r w:rsidRPr="00792D61">
              <w:rPr>
                <w:b/>
                <w:lang w:val="de-DE"/>
              </w:rPr>
              <w:t>[</w:t>
            </w:r>
            <w:r w:rsidRPr="0067153B">
              <w:rPr>
                <w:lang w:val="de-DE"/>
              </w:rPr>
              <w:t>Barriere-Beobachtungstag</w:t>
            </w:r>
            <w:r w:rsidRPr="00792D61">
              <w:rPr>
                <w:b/>
                <w:lang w:val="de-DE"/>
              </w:rPr>
              <w:t>]</w:t>
            </w:r>
            <w:r w:rsidRPr="0067153B">
              <w:rPr>
                <w:lang w:val="de-DE"/>
              </w:rPr>
              <w:t>, an dem diese Quotierungen angeboten wurden</w:t>
            </w:r>
            <w:r w:rsidRPr="00792D61">
              <w:rPr>
                <w:b/>
                <w:lang w:val="de-DE"/>
              </w:rPr>
              <w:t>][</w:t>
            </w:r>
            <w:r w:rsidRPr="00831A24">
              <w:rPr>
                <w:b/>
                <w:i/>
                <w:lang w:val="de-DE"/>
              </w:rPr>
              <w:t>Option 2:</w:t>
            </w:r>
            <w:r w:rsidRPr="0067153B">
              <w:rPr>
                <w:lang w:val="de-DE"/>
              </w:rPr>
              <w:t xml:space="preserve"> dem </w:t>
            </w:r>
            <w:r w:rsidRPr="00792D61">
              <w:rPr>
                <w:b/>
                <w:lang w:val="de-DE"/>
              </w:rPr>
              <w:t>[</w:t>
            </w:r>
            <w:r w:rsidRPr="0067153B">
              <w:rPr>
                <w:lang w:val="de-DE"/>
              </w:rPr>
              <w:t>Referenz-satz</w:t>
            </w:r>
            <w:r w:rsidRPr="00792D61">
              <w:rPr>
                <w:b/>
                <w:lang w:val="de-DE"/>
              </w:rPr>
              <w:t>][</w:t>
            </w:r>
            <w:r w:rsidRPr="0067153B">
              <w:rPr>
                <w:lang w:val="de-DE"/>
              </w:rPr>
              <w:t>Referenzsatz 1</w:t>
            </w:r>
            <w:r w:rsidRPr="00792D61">
              <w:rPr>
                <w:b/>
                <w:lang w:val="de-DE"/>
              </w:rPr>
              <w:t>]</w:t>
            </w:r>
            <w:r w:rsidRPr="0067153B">
              <w:rPr>
                <w:lang w:val="de-DE"/>
              </w:rPr>
              <w:t xml:space="preserve"> am unmittelbar vorangehenden </w:t>
            </w:r>
            <w:r w:rsidRPr="00792D61">
              <w:rPr>
                <w:b/>
                <w:lang w:val="de-DE"/>
              </w:rPr>
              <w:t>[</w:t>
            </w:r>
            <w:r w:rsidRPr="0067153B">
              <w:rPr>
                <w:lang w:val="de-DE"/>
              </w:rPr>
              <w:t>Zinsfeststellungstag</w:t>
            </w:r>
            <w:r w:rsidRPr="00792D61">
              <w:rPr>
                <w:b/>
                <w:lang w:val="de-DE"/>
              </w:rPr>
              <w:t>]</w:t>
            </w:r>
            <w:r w:rsidRPr="0067153B">
              <w:rPr>
                <w:lang w:val="de-DE"/>
              </w:rPr>
              <w:t xml:space="preserve"> </w:t>
            </w:r>
            <w:r w:rsidRPr="00792D61">
              <w:rPr>
                <w:b/>
                <w:lang w:val="de-DE"/>
              </w:rPr>
              <w:t>[</w:t>
            </w:r>
            <w:r w:rsidRPr="0067153B">
              <w:rPr>
                <w:lang w:val="de-DE"/>
              </w:rPr>
              <w:t>Barriere-Beobachtungstag</w:t>
            </w:r>
            <w:r w:rsidRPr="00792D61">
              <w:rPr>
                <w:b/>
                <w:lang w:val="de-DE"/>
              </w:rPr>
              <w:t>][</w:t>
            </w:r>
            <w:r w:rsidRPr="0067153B">
              <w:rPr>
                <w:lang w:val="de-DE"/>
              </w:rPr>
              <w:t>Referenzsatz-Geschäftstag</w:t>
            </w:r>
            <w:r w:rsidRPr="00792D61">
              <w:rPr>
                <w:b/>
                <w:lang w:val="de-DE"/>
              </w:rPr>
              <w:t>]]</w:t>
            </w:r>
            <w:r w:rsidRPr="0067153B">
              <w:rPr>
                <w:lang w:val="de-DE"/>
              </w:rPr>
              <w:t xml:space="preserve"> </w:t>
            </w:r>
            <w:r w:rsidRPr="00792D61">
              <w:rPr>
                <w:b/>
                <w:lang w:val="de-DE"/>
              </w:rPr>
              <w:t>[</w:t>
            </w:r>
            <w:r w:rsidRPr="00831A24">
              <w:rPr>
                <w:b/>
                <w:i/>
                <w:lang w:val="de-DE"/>
              </w:rPr>
              <w:t>Option 3:</w:t>
            </w:r>
            <w:r w:rsidRPr="0067153B">
              <w:rPr>
                <w:lang w:val="de-DE"/>
              </w:rPr>
              <w:t xml:space="preserve"> dem für die unmittelbar vorangehende Zinsperiode geltenden </w:t>
            </w:r>
            <w:r w:rsidRPr="00792D61">
              <w:rPr>
                <w:b/>
                <w:lang w:val="de-DE"/>
              </w:rPr>
              <w:t>[</w:t>
            </w:r>
            <w:r w:rsidRPr="0067153B">
              <w:rPr>
                <w:lang w:val="de-DE"/>
              </w:rPr>
              <w:t>Referenzsatz</w:t>
            </w:r>
            <w:r w:rsidRPr="00792D61">
              <w:rPr>
                <w:b/>
                <w:lang w:val="de-DE"/>
              </w:rPr>
              <w:t>]</w:t>
            </w:r>
            <w:r w:rsidRPr="0067153B">
              <w:rPr>
                <w:lang w:val="de-DE"/>
              </w:rPr>
              <w:t xml:space="preserve"> </w:t>
            </w:r>
            <w:r w:rsidRPr="00792D61">
              <w:rPr>
                <w:b/>
                <w:lang w:val="de-DE"/>
              </w:rPr>
              <w:t>[</w:t>
            </w:r>
            <w:r w:rsidRPr="0067153B">
              <w:rPr>
                <w:lang w:val="de-DE"/>
              </w:rPr>
              <w:t>Referenzsatz 1</w:t>
            </w:r>
            <w:r w:rsidRPr="00792D61">
              <w:rPr>
                <w:b/>
                <w:lang w:val="de-DE"/>
              </w:rPr>
              <w:t>][</w:t>
            </w:r>
            <w:r w:rsidRPr="00831A24">
              <w:rPr>
                <w:b/>
                <w:i/>
                <w:lang w:val="de-DE"/>
              </w:rPr>
              <w:t>Option 4:</w:t>
            </w:r>
            <w:r w:rsidRPr="0067153B">
              <w:rPr>
                <w:lang w:val="de-DE"/>
              </w:rPr>
              <w:t xml:space="preserve"> dem arithmetischen Mittel der Angebotsätze von Grossbanken an europäische Grossbanken in </w:t>
            </w:r>
            <w:r w:rsidRPr="00792D61">
              <w:rPr>
                <w:b/>
                <w:lang w:val="de-DE"/>
              </w:rPr>
              <w:t>[</w:t>
            </w:r>
            <w:r w:rsidRPr="0067153B">
              <w:rPr>
                <w:lang w:val="de-DE"/>
              </w:rPr>
              <w:t>Zürich</w:t>
            </w:r>
            <w:r w:rsidRPr="00792D61">
              <w:rPr>
                <w:b/>
                <w:lang w:val="de-DE"/>
              </w:rPr>
              <w:t>][</w:t>
            </w:r>
            <w:r w:rsidRPr="0067153B">
              <w:rPr>
                <w:lang w:val="de-DE"/>
              </w:rPr>
              <w:t>New York City</w:t>
            </w:r>
            <w:r w:rsidRPr="00792D61">
              <w:rPr>
                <w:b/>
                <w:lang w:val="de-DE"/>
              </w:rPr>
              <w:t>]</w:t>
            </w:r>
            <w:r w:rsidRPr="0067153B">
              <w:rPr>
                <w:lang w:val="de-DE"/>
              </w:rPr>
              <w:t xml:space="preserve">, wie von der Berechnungsstelle ausgewählt, um oder gegen 11.00 Uhr Ortszeit </w:t>
            </w:r>
            <w:r w:rsidRPr="00792D61">
              <w:rPr>
                <w:b/>
                <w:lang w:val="de-DE"/>
              </w:rPr>
              <w:t>[</w:t>
            </w:r>
            <w:r w:rsidRPr="0067153B">
              <w:rPr>
                <w:lang w:val="de-DE"/>
              </w:rPr>
              <w:t>Zürich</w:t>
            </w:r>
            <w:r w:rsidRPr="00792D61">
              <w:rPr>
                <w:b/>
                <w:lang w:val="de-DE"/>
              </w:rPr>
              <w:t>][</w:t>
            </w:r>
            <w:r w:rsidRPr="0067153B">
              <w:rPr>
                <w:lang w:val="de-DE"/>
              </w:rPr>
              <w:t>New York City</w:t>
            </w:r>
            <w:r w:rsidRPr="00792D61">
              <w:rPr>
                <w:b/>
                <w:lang w:val="de-DE"/>
              </w:rPr>
              <w:t>]][</w:t>
            </w:r>
            <w:r w:rsidRPr="00831A24">
              <w:rPr>
                <w:b/>
                <w:i/>
                <w:lang w:val="de-DE"/>
              </w:rPr>
              <w:t>Option 5:</w:t>
            </w:r>
            <w:r w:rsidRPr="0067153B">
              <w:rPr>
                <w:lang w:val="de-DE"/>
              </w:rPr>
              <w:t xml:space="preserve"> dem von der Berechnungsstelle nach billigem Ermessen unter Berücksichtigung der Marktgegebenheiten festgelegten Zinssatz</w:t>
            </w:r>
            <w:r w:rsidRPr="00792D61">
              <w:rPr>
                <w:b/>
                <w:lang w:val="de-DE"/>
              </w:rPr>
              <w:t>]</w:t>
            </w:r>
            <w:r w:rsidRPr="0067153B">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pPr>
            <w:r w:rsidRPr="00792D61">
              <w:rPr>
                <w:b/>
              </w:rPr>
              <w:t>[</w:t>
            </w:r>
            <w:r w:rsidRPr="00831A24">
              <w:rPr>
                <w:b/>
                <w:i/>
              </w:rPr>
              <w:t xml:space="preserve">in the case of Spread-Linked Notes and Spread Range Accrual Notes, insert: </w:t>
            </w:r>
            <w:r w:rsidRPr="0067153B">
              <w:t>Determination of Reference Rate 2</w:t>
            </w:r>
          </w:p>
        </w:tc>
        <w:tc>
          <w:tcPr>
            <w:tcW w:w="3315" w:type="dxa"/>
            <w:gridSpan w:val="7"/>
            <w:tcBorders>
              <w:top w:val="nil"/>
              <w:left w:val="nil"/>
              <w:bottom w:val="nil"/>
            </w:tcBorders>
            <w:shd w:val="clear" w:color="auto" w:fill="auto"/>
          </w:tcPr>
          <w:p w:rsidR="0017135D" w:rsidRPr="0067153B" w:rsidP="00831A24">
            <w:pPr>
              <w:pStyle w:val="CSBody8pt"/>
            </w:pPr>
            <w:r w:rsidRPr="0067153B">
              <w:t xml:space="preserve">Reference Rate 2 on </w:t>
            </w:r>
            <w:r w:rsidRPr="00792D61">
              <w:rPr>
                <w:b/>
              </w:rPr>
              <w:t>[</w:t>
            </w:r>
            <w:r w:rsidRPr="0067153B">
              <w:t>any</w:t>
            </w:r>
            <w:r w:rsidRPr="00792D61">
              <w:rPr>
                <w:b/>
              </w:rPr>
              <w:t>][</w:t>
            </w:r>
            <w:r w:rsidRPr="0067153B">
              <w:t>the</w:t>
            </w:r>
            <w:r w:rsidRPr="00792D61">
              <w:rPr>
                <w:b/>
              </w:rPr>
              <w:t>]</w:t>
            </w:r>
            <w:r w:rsidRPr="0067153B">
              <w:t xml:space="preserve"> </w:t>
            </w:r>
            <w:r w:rsidRPr="00792D61">
              <w:rPr>
                <w:b/>
              </w:rPr>
              <w:t>[</w:t>
            </w:r>
            <w:r w:rsidRPr="00831A24">
              <w:rPr>
                <w:b/>
                <w:i/>
              </w:rPr>
              <w:t>in the case of Spread-Linked Notes, insert:</w:t>
            </w:r>
            <w:r w:rsidRPr="0067153B">
              <w:t xml:space="preserve"> Interest Determination Date</w:t>
            </w:r>
            <w:r w:rsidRPr="00792D61">
              <w:rPr>
                <w:b/>
              </w:rPr>
              <w:t>][</w:t>
            </w:r>
            <w:r w:rsidRPr="0067153B">
              <w:t>in the case of Spread Range Accrual Notes, insert: Barrier Observation Date</w:t>
            </w:r>
            <w:r w:rsidRPr="00792D61">
              <w:rPr>
                <w:b/>
              </w:rPr>
              <w:t>]</w:t>
            </w:r>
            <w:r w:rsidRPr="0067153B">
              <w:t>, shall be:</w:t>
            </w:r>
          </w:p>
        </w:tc>
        <w:tc>
          <w:tcPr>
            <w:tcW w:w="1618" w:type="dxa"/>
            <w:gridSpan w:val="2"/>
            <w:tcBorders>
              <w:top w:val="nil"/>
              <w:bottom w:val="nil"/>
              <w:right w:val="nil"/>
            </w:tcBorders>
            <w:shd w:val="clear" w:color="auto" w:fill="auto"/>
          </w:tcPr>
          <w:p w:rsidR="0017135D" w:rsidRPr="0067153B" w:rsidP="00831A24">
            <w:pPr>
              <w:pStyle w:val="CSBody8pt"/>
              <w:rPr>
                <w:i/>
                <w:lang w:val="de-DE"/>
              </w:rPr>
            </w:pPr>
            <w:r w:rsidRPr="00792D61">
              <w:rPr>
                <w:b/>
                <w:i/>
                <w:lang w:val="de-DE"/>
              </w:rPr>
              <w:t>[</w:t>
            </w:r>
            <w:r w:rsidRPr="00831A24">
              <w:rPr>
                <w:b/>
                <w:lang w:val="de-DE"/>
              </w:rPr>
              <w:t xml:space="preserve">bei Spread-Linked Notes und Spread Range Accrual Notes einfügen: </w:t>
            </w:r>
            <w:r w:rsidRPr="0067153B">
              <w:rPr>
                <w:i/>
                <w:lang w:val="de-DE"/>
              </w:rPr>
              <w:t>Feststellung des Referenzsatzes 2</w:t>
            </w:r>
          </w:p>
        </w:tc>
        <w:tc>
          <w:tcPr>
            <w:tcW w:w="3318" w:type="dxa"/>
            <w:gridSpan w:val="10"/>
            <w:tcBorders>
              <w:top w:val="nil"/>
              <w:left w:val="nil"/>
              <w:bottom w:val="nil"/>
              <w:right w:val="nil"/>
            </w:tcBorders>
            <w:shd w:val="clear" w:color="auto" w:fill="auto"/>
          </w:tcPr>
          <w:p w:rsidR="0017135D" w:rsidRPr="0067153B" w:rsidP="00516CB4">
            <w:pPr>
              <w:pStyle w:val="CSBody8pt"/>
              <w:rPr>
                <w:bCs/>
                <w:lang w:val="de-DE"/>
              </w:rPr>
            </w:pPr>
            <w:r w:rsidRPr="0067153B">
              <w:rPr>
                <w:bCs/>
                <w:lang w:val="de-DE"/>
              </w:rPr>
              <w:t xml:space="preserve">Der Referenzsatz 2 an </w:t>
            </w:r>
            <w:r w:rsidRPr="00792D61">
              <w:rPr>
                <w:b/>
                <w:bCs/>
                <w:lang w:val="de-DE"/>
              </w:rPr>
              <w:t>[</w:t>
            </w:r>
            <w:r w:rsidRPr="0067153B">
              <w:rPr>
                <w:bCs/>
                <w:lang w:val="de-DE"/>
              </w:rPr>
              <w:t>einem</w:t>
            </w:r>
            <w:r w:rsidRPr="00792D61">
              <w:rPr>
                <w:b/>
                <w:bCs/>
                <w:lang w:val="de-DE"/>
              </w:rPr>
              <w:t>][</w:t>
            </w:r>
            <w:r w:rsidRPr="0067153B">
              <w:rPr>
                <w:bCs/>
                <w:lang w:val="de-DE"/>
              </w:rPr>
              <w:t>dem</w:t>
            </w:r>
            <w:r w:rsidRPr="00792D61">
              <w:rPr>
                <w:b/>
                <w:bCs/>
                <w:lang w:val="de-DE"/>
              </w:rPr>
              <w:t>]</w:t>
            </w:r>
            <w:r w:rsidRPr="0067153B">
              <w:rPr>
                <w:bCs/>
                <w:lang w:val="de-DE"/>
              </w:rPr>
              <w:t xml:space="preserve"> </w:t>
            </w:r>
            <w:r w:rsidRPr="00792D61">
              <w:rPr>
                <w:b/>
                <w:bCs/>
                <w:lang w:val="de-DE"/>
              </w:rPr>
              <w:t>[</w:t>
            </w:r>
            <w:r w:rsidRPr="00831A24">
              <w:rPr>
                <w:b/>
                <w:bCs/>
                <w:i/>
                <w:lang w:val="de-DE"/>
              </w:rPr>
              <w:t>bei Spread-Linked Notes einfügen:</w:t>
            </w:r>
            <w:r w:rsidRPr="0067153B">
              <w:rPr>
                <w:bCs/>
                <w:lang w:val="de-DE"/>
              </w:rPr>
              <w:t xml:space="preserve"> Zinsfeststellungstag</w:t>
            </w:r>
            <w:r w:rsidRPr="00792D61">
              <w:rPr>
                <w:b/>
                <w:bCs/>
                <w:lang w:val="de-DE"/>
              </w:rPr>
              <w:t>][</w:t>
            </w:r>
            <w:r w:rsidRPr="0067153B">
              <w:rPr>
                <w:bCs/>
                <w:lang w:val="de-DE"/>
              </w:rPr>
              <w:t>bei Spread Range Accrual Notes einfügen: Barriere-Beobachtungstag</w:t>
            </w:r>
            <w:r w:rsidRPr="00792D61">
              <w:rPr>
                <w:b/>
                <w:bCs/>
                <w:lang w:val="de-DE"/>
              </w:rPr>
              <w:t>]</w:t>
            </w:r>
            <w:r w:rsidRPr="0067153B">
              <w:rPr>
                <w:bCs/>
                <w:lang w:val="de-DE"/>
              </w:rPr>
              <w:t xml:space="preserve"> ist: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rPr>
                <w:lang w:val="de-DE"/>
              </w:rPr>
            </w:pPr>
          </w:p>
        </w:tc>
        <w:tc>
          <w:tcPr>
            <w:tcW w:w="3315" w:type="dxa"/>
            <w:gridSpan w:val="7"/>
            <w:tcBorders>
              <w:top w:val="nil"/>
              <w:left w:val="nil"/>
              <w:bottom w:val="nil"/>
            </w:tcBorders>
            <w:shd w:val="clear" w:color="auto" w:fill="auto"/>
          </w:tcPr>
          <w:p w:rsidR="0017135D" w:rsidRPr="005C755C" w:rsidP="00A205FA">
            <w:pPr>
              <w:pStyle w:val="CSManNum8pt"/>
            </w:pPr>
            <w:r w:rsidRPr="00792D61">
              <w:rPr>
                <w:b/>
              </w:rPr>
              <w:t>[</w:t>
            </w:r>
            <w:r w:rsidRPr="0067153B">
              <w:t>(i)</w:t>
            </w:r>
            <w:r w:rsidRPr="00792D61">
              <w:rPr>
                <w:b/>
              </w:rPr>
              <w:t>]</w:t>
            </w:r>
            <w:r w:rsidRPr="0067153B">
              <w:tab/>
              <w:t xml:space="preserve">if there is </w:t>
            </w:r>
            <w:r w:rsidRPr="00792D61">
              <w:rPr>
                <w:b/>
              </w:rPr>
              <w:t>[</w:t>
            </w:r>
            <w:r w:rsidRPr="0067153B">
              <w:t>only</w:t>
            </w:r>
            <w:r w:rsidRPr="00792D61">
              <w:rPr>
                <w:b/>
              </w:rPr>
              <w:t>]</w:t>
            </w:r>
            <w:r w:rsidRPr="0067153B">
              <w:t xml:space="preserve"> one offered quotation on the relevant Rate Source, the offered quotation, </w:t>
            </w:r>
            <w:r w:rsidRPr="00792D61">
              <w:rPr>
                <w:b/>
              </w:rPr>
              <w:t>[</w:t>
            </w:r>
            <w:r w:rsidRPr="0067153B">
              <w:t>or</w:t>
            </w:r>
            <w:r w:rsidRPr="00792D61">
              <w:rPr>
                <w:b/>
              </w:rPr>
              <w:t>]</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94769A">
            <w:pPr>
              <w:pStyle w:val="CSBody8pt"/>
              <w:rPr>
                <w:bCs/>
                <w:lang w:val="de-DE"/>
              </w:rPr>
            </w:pPr>
            <w:r w:rsidRPr="00792D61">
              <w:rPr>
                <w:b/>
                <w:bCs/>
                <w:lang w:val="de-DE"/>
              </w:rPr>
              <w:t>[</w:t>
            </w:r>
            <w:r w:rsidRPr="0067153B">
              <w:rPr>
                <w:bCs/>
                <w:lang w:val="de-DE"/>
              </w:rPr>
              <w:t>(i)</w:t>
            </w:r>
            <w:r w:rsidRPr="00792D61">
              <w:rPr>
                <w:b/>
                <w:bCs/>
                <w:lang w:val="de-DE"/>
              </w:rPr>
              <w:t>]</w:t>
            </w:r>
            <w:r w:rsidRPr="0067153B">
              <w:rPr>
                <w:bCs/>
                <w:lang w:val="de-DE"/>
              </w:rPr>
              <w:tab/>
              <w:t xml:space="preserve">wenn sich aus der massgeblichen Kursquelle </w:t>
            </w:r>
            <w:r w:rsidRPr="00792D61">
              <w:rPr>
                <w:b/>
                <w:bCs/>
                <w:lang w:val="de-DE"/>
              </w:rPr>
              <w:t>[</w:t>
            </w:r>
            <w:r w:rsidRPr="0067153B">
              <w:rPr>
                <w:bCs/>
                <w:lang w:val="de-DE"/>
              </w:rPr>
              <w:t>nur</w:t>
            </w:r>
            <w:r w:rsidRPr="00792D61">
              <w:rPr>
                <w:b/>
                <w:bCs/>
                <w:lang w:val="de-DE"/>
              </w:rPr>
              <w:t>]</w:t>
            </w:r>
            <w:r w:rsidRPr="0067153B">
              <w:rPr>
                <w:bCs/>
                <w:lang w:val="de-DE"/>
              </w:rPr>
              <w:t xml:space="preserve"> eine Angebotsquotierung ergibt, diese Angebotsquotierung, </w:t>
            </w:r>
            <w:r w:rsidRPr="00792D61">
              <w:rPr>
                <w:b/>
                <w:bCs/>
                <w:lang w:val="de-DE"/>
              </w:rPr>
              <w:t>[</w:t>
            </w:r>
            <w:r w:rsidRPr="0067153B">
              <w:rPr>
                <w:bCs/>
                <w:lang w:val="de-DE"/>
              </w:rPr>
              <w:t>oder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rPr>
                <w:lang w:val="de-DE"/>
              </w:rPr>
            </w:pPr>
          </w:p>
        </w:tc>
        <w:tc>
          <w:tcPr>
            <w:tcW w:w="3315" w:type="dxa"/>
            <w:gridSpan w:val="7"/>
            <w:tcBorders>
              <w:top w:val="nil"/>
              <w:left w:val="nil"/>
              <w:bottom w:val="nil"/>
            </w:tcBorders>
            <w:shd w:val="clear" w:color="auto" w:fill="auto"/>
          </w:tcPr>
          <w:p w:rsidR="0017135D" w:rsidRPr="005C755C" w:rsidP="00A205FA">
            <w:pPr>
              <w:pStyle w:val="CSManNum8pt"/>
            </w:pPr>
            <w:r w:rsidRPr="00792D61">
              <w:rPr>
                <w:b/>
              </w:rPr>
              <w:t>[</w:t>
            </w:r>
            <w:r w:rsidRPr="0067153B">
              <w:t>(ii)</w:t>
            </w:r>
            <w:r w:rsidRPr="0067153B">
              <w:tab/>
              <w:t xml:space="preserve">if there is more than one offered quotation on the relevant Rate Source, the arithmetic mean (rounded if necessary to the nearest one thousandth of a percentage point, with </w:t>
            </w:r>
            <w:r w:rsidRPr="00792D61">
              <w:rPr>
                <w:b/>
              </w:rPr>
              <w:t>[</w:t>
            </w:r>
            <w:r w:rsidRPr="0067153B">
              <w:t>0.0005</w:t>
            </w:r>
            <w:r w:rsidRPr="00792D61">
              <w:rPr>
                <w:b/>
              </w:rPr>
              <w:t>][</w:t>
            </w:r>
            <w:r w:rsidRPr="0067153B">
              <w:t xml:space="preserve"> </w:t>
            </w:r>
            <w:r w:rsidRPr="00792D61">
              <w:rPr>
                <w:b/>
              </w:rPr>
              <w:t>[</w:t>
            </w:r>
            <w:r w:rsidRPr="0067153B">
              <w:rPr>
                <w:rFonts w:ascii="Arial" w:hAnsi="Arial" w:cs="Arial"/>
              </w:rPr>
              <w:t>●</w:t>
            </w:r>
            <w:r w:rsidRPr="00792D61">
              <w:rPr>
                <w:b/>
              </w:rPr>
              <w:t>]]</w:t>
            </w:r>
            <w:r w:rsidRPr="0067153B">
              <w:t xml:space="preserve"> being rounded upwards) of such offered quotations,</w:t>
            </w:r>
            <w:r w:rsidRPr="00792D61">
              <w:rPr>
                <w:b/>
              </w:rPr>
              <w:t>]</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94769A">
            <w:pPr>
              <w:pStyle w:val="CSBody8pt"/>
              <w:rPr>
                <w:bCs/>
                <w:lang w:val="de-DE"/>
              </w:rPr>
            </w:pPr>
            <w:r w:rsidRPr="00792D61">
              <w:rPr>
                <w:b/>
                <w:bCs/>
                <w:lang w:val="de-DE"/>
              </w:rPr>
              <w:t>[</w:t>
            </w:r>
            <w:r w:rsidRPr="0067153B">
              <w:rPr>
                <w:bCs/>
                <w:lang w:val="de-DE"/>
              </w:rPr>
              <w:t>(ii)</w:t>
            </w:r>
            <w:r w:rsidRPr="0067153B">
              <w:rPr>
                <w:bCs/>
                <w:lang w:val="de-DE"/>
              </w:rPr>
              <w:tab/>
              <w:t xml:space="preserve">wenn sich aus der massgeblichen Kursquelle mehr als eine Angebotsquotierung ergibt, das arithmetische Mittel (falls erforderlich, auf- oder abgerundet auf das nächste Tausendstel eines Prozentpunktes, wobei </w:t>
            </w:r>
            <w:r w:rsidRPr="00792D61">
              <w:rPr>
                <w:b/>
                <w:bCs/>
                <w:lang w:val="de-DE"/>
              </w:rPr>
              <w:t>[</w:t>
            </w:r>
            <w:r w:rsidRPr="0067153B">
              <w:rPr>
                <w:bCs/>
                <w:lang w:val="de-DE"/>
              </w:rPr>
              <w:t>0,0005</w:t>
            </w:r>
            <w:r w:rsidRPr="00792D61">
              <w:rPr>
                <w:b/>
                <w:bCs/>
                <w:lang w:val="de-DE"/>
              </w:rPr>
              <w:t>][</w:t>
            </w:r>
            <w:r w:rsidRPr="0067153B">
              <w:rPr>
                <w:bCs/>
                <w:lang w:val="de-DE"/>
              </w:rPr>
              <w:t xml:space="preserve"> </w:t>
            </w:r>
            <w:r w:rsidRPr="00792D61">
              <w:rPr>
                <w:b/>
                <w:bCs/>
                <w:lang w:val="de-DE"/>
              </w:rPr>
              <w:t>[</w:t>
            </w:r>
            <w:r w:rsidRPr="0067153B">
              <w:rPr>
                <w:rFonts w:ascii="Arial" w:hAnsi="Arial" w:cs="Arial"/>
                <w:bCs/>
                <w:lang w:val="de-DE"/>
              </w:rPr>
              <w:t>●</w:t>
            </w:r>
            <w:r w:rsidRPr="00792D61">
              <w:rPr>
                <w:b/>
                <w:bCs/>
                <w:lang w:val="de-DE"/>
              </w:rPr>
              <w:t>]]</w:t>
            </w:r>
            <w:r w:rsidRPr="0067153B">
              <w:rPr>
                <w:bCs/>
                <w:lang w:val="de-DE"/>
              </w:rPr>
              <w:t xml:space="preserve"> aufgerundet wird) dieser Angebotsquotierungen,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rPr>
                <w:lang w:val="de-DE"/>
              </w:rPr>
            </w:pPr>
          </w:p>
        </w:tc>
        <w:tc>
          <w:tcPr>
            <w:tcW w:w="3315" w:type="dxa"/>
            <w:gridSpan w:val="7"/>
            <w:tcBorders>
              <w:top w:val="nil"/>
              <w:left w:val="nil"/>
              <w:bottom w:val="nil"/>
            </w:tcBorders>
            <w:shd w:val="clear" w:color="auto" w:fill="auto"/>
          </w:tcPr>
          <w:p w:rsidR="0017135D" w:rsidRPr="00D41ACF" w:rsidP="00831A24">
            <w:pPr>
              <w:pStyle w:val="CSBody8pt"/>
            </w:pPr>
            <w:r w:rsidRPr="00792D61">
              <w:rPr>
                <w:b/>
              </w:rPr>
              <w:t>[</w:t>
            </w:r>
            <w:r w:rsidRPr="00D41ACF">
              <w:t>in each case,</w:t>
            </w:r>
            <w:r w:rsidRPr="00792D61">
              <w:rPr>
                <w:b/>
              </w:rPr>
              <w:t>]</w:t>
            </w:r>
            <w:r w:rsidRPr="00D41ACF">
              <w:t xml:space="preserve"> as of </w:t>
            </w:r>
            <w:r w:rsidRPr="00792D61">
              <w:rPr>
                <w:b/>
              </w:rPr>
              <w:t>[</w:t>
            </w:r>
            <w:r w:rsidRPr="00D41ACF">
              <w:t>11:00 a.m.</w:t>
            </w:r>
            <w:r w:rsidRPr="00792D61">
              <w:rPr>
                <w:b/>
              </w:rPr>
              <w:t>][[</w:t>
            </w:r>
            <w:r w:rsidRPr="00D41ACF">
              <w:rPr>
                <w:rFonts w:ascii="Arial" w:hAnsi="Arial" w:cs="Arial"/>
              </w:rPr>
              <w:t>●</w:t>
            </w:r>
            <w:r w:rsidRPr="00792D61">
              <w:rPr>
                <w:b/>
              </w:rPr>
              <w:t>]]</w:t>
            </w:r>
            <w:r w:rsidRPr="00D41ACF">
              <w:t xml:space="preserve">, </w:t>
            </w:r>
            <w:r w:rsidRPr="00792D61">
              <w:rPr>
                <w:b/>
              </w:rPr>
              <w:t>[</w:t>
            </w:r>
            <w:r w:rsidRPr="00D41ACF">
              <w:t>London</w:t>
            </w:r>
            <w:r w:rsidRPr="00792D61">
              <w:rPr>
                <w:b/>
              </w:rPr>
              <w:t>]</w:t>
            </w:r>
            <w:r w:rsidRPr="00D41ACF">
              <w:t xml:space="preserve"> </w:t>
            </w:r>
            <w:r w:rsidRPr="00792D61">
              <w:rPr>
                <w:b/>
              </w:rPr>
              <w:t>[</w:t>
            </w:r>
            <w:r w:rsidRPr="00D41ACF">
              <w:t>Brussels</w:t>
            </w:r>
            <w:r w:rsidRPr="00792D61">
              <w:rPr>
                <w:b/>
              </w:rPr>
              <w:t>][</w:t>
            </w:r>
            <w:r w:rsidRPr="00D41ACF">
              <w:t>New York City</w:t>
            </w:r>
            <w:r w:rsidRPr="00792D61">
              <w:rPr>
                <w:b/>
              </w:rPr>
              <w:t>][[</w:t>
            </w:r>
            <w:r w:rsidRPr="00D41ACF">
              <w:rPr>
                <w:rFonts w:ascii="Arial" w:hAnsi="Arial" w:cs="Arial"/>
              </w:rPr>
              <w:t>●</w:t>
            </w:r>
            <w:r w:rsidRPr="00792D61">
              <w:rPr>
                <w:b/>
              </w:rPr>
              <w:t>]]</w:t>
            </w:r>
            <w:r w:rsidRPr="00D41ACF">
              <w:t xml:space="preserve"> time, on </w:t>
            </w:r>
            <w:r w:rsidRPr="00792D61">
              <w:rPr>
                <w:b/>
              </w:rPr>
              <w:t>[</w:t>
            </w:r>
            <w:r w:rsidRPr="00D41ACF">
              <w:t>the</w:t>
            </w:r>
            <w:r w:rsidRPr="00792D61">
              <w:rPr>
                <w:b/>
              </w:rPr>
              <w:t>]</w:t>
            </w:r>
            <w:r w:rsidRPr="00D41ACF">
              <w:t xml:space="preserve"> </w:t>
            </w:r>
            <w:r w:rsidRPr="00792D61">
              <w:rPr>
                <w:b/>
              </w:rPr>
              <w:t>[</w:t>
            </w:r>
            <w:r w:rsidRPr="00D41ACF">
              <w:t>such</w:t>
            </w:r>
            <w:r w:rsidRPr="00792D61">
              <w:rPr>
                <w:b/>
              </w:rPr>
              <w:t>]</w:t>
            </w:r>
            <w:r w:rsidRPr="00D41ACF">
              <w:t xml:space="preserve"> </w:t>
            </w:r>
            <w:r w:rsidRPr="00792D61">
              <w:rPr>
                <w:b/>
              </w:rPr>
              <w:t>[</w:t>
            </w:r>
            <w:r w:rsidRPr="00D41ACF">
              <w:t>Interest Determination Date</w:t>
            </w:r>
            <w:r w:rsidRPr="00792D61">
              <w:rPr>
                <w:b/>
              </w:rPr>
              <w:t>][</w:t>
            </w:r>
            <w:r w:rsidRPr="00D41ACF">
              <w:t>Barrier Observation Date</w:t>
            </w:r>
            <w:r w:rsidRPr="00792D61">
              <w:rPr>
                <w:b/>
              </w:rPr>
              <w:t>]</w:t>
            </w:r>
            <w:r w:rsidRPr="00D41ACF">
              <w:t xml:space="preserve"> for </w:t>
            </w:r>
            <w:r w:rsidRPr="00792D61">
              <w:rPr>
                <w:b/>
              </w:rPr>
              <w:t>[</w:t>
            </w:r>
            <w:r w:rsidRPr="00D41ACF">
              <w:t>deposits in the relevant Specified Reference Rate Currency</w:t>
            </w:r>
            <w:r w:rsidRPr="00792D61">
              <w:rPr>
                <w:b/>
              </w:rPr>
              <w:t>][</w:t>
            </w:r>
            <w:r w:rsidRPr="00D41ACF">
              <w:t>U.S. dollar swaps</w:t>
            </w:r>
            <w:r w:rsidRPr="00792D61">
              <w:rPr>
                <w:b/>
              </w:rPr>
              <w:t>]</w:t>
            </w:r>
            <w:r w:rsidRPr="00D41ACF">
              <w:t xml:space="preserve"> with </w:t>
            </w:r>
            <w:r w:rsidRPr="00792D61">
              <w:rPr>
                <w:b/>
              </w:rPr>
              <w:t>[</w:t>
            </w:r>
            <w:r w:rsidRPr="00D41ACF">
              <w:rPr>
                <w:rFonts w:ascii="Arial" w:hAnsi="Arial" w:cs="Arial"/>
              </w:rPr>
              <w:t>●</w:t>
            </w:r>
            <w:r w:rsidRPr="00792D61">
              <w:rPr>
                <w:b/>
              </w:rPr>
              <w:t>]</w:t>
            </w:r>
            <w:r w:rsidRPr="00D41ACF">
              <w:t>-</w:t>
            </w:r>
            <w:r w:rsidRPr="00792D61">
              <w:rPr>
                <w:b/>
              </w:rPr>
              <w:t>[</w:t>
            </w:r>
            <w:r w:rsidRPr="00D41ACF">
              <w:t>month</w:t>
            </w:r>
            <w:r w:rsidRPr="00792D61">
              <w:rPr>
                <w:b/>
              </w:rPr>
              <w:t>][</w:t>
            </w:r>
            <w:r w:rsidRPr="00D41ACF">
              <w:t>year</w:t>
            </w:r>
            <w:r w:rsidRPr="00792D61">
              <w:rPr>
                <w:b/>
              </w:rPr>
              <w:t>]</w:t>
            </w:r>
            <w:r w:rsidRPr="00D41ACF">
              <w:t xml:space="preserve"> maturity, as determined by the Calculation Agent and as expressed as a percentage rate per annum.</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831A24">
            <w:pPr>
              <w:pStyle w:val="CSBody8pt"/>
              <w:rPr>
                <w:lang w:val="de-DE"/>
              </w:rPr>
            </w:pPr>
            <w:r w:rsidRPr="00792D61">
              <w:rPr>
                <w:b/>
                <w:lang w:val="de-DE"/>
              </w:rPr>
              <w:t>[</w:t>
            </w:r>
            <w:r w:rsidRPr="0067153B">
              <w:rPr>
                <w:lang w:val="de-DE"/>
              </w:rPr>
              <w:t>jeweils</w:t>
            </w:r>
            <w:r w:rsidRPr="00792D61">
              <w:rPr>
                <w:b/>
                <w:lang w:val="de-DE"/>
              </w:rPr>
              <w:t>]</w:t>
            </w:r>
            <w:r w:rsidRPr="0067153B">
              <w:rPr>
                <w:lang w:val="de-DE"/>
              </w:rPr>
              <w:t xml:space="preserve"> um </w:t>
            </w:r>
            <w:r w:rsidRPr="00792D61">
              <w:rPr>
                <w:b/>
                <w:lang w:val="de-DE"/>
              </w:rPr>
              <w:t>[</w:t>
            </w:r>
            <w:r w:rsidRPr="0067153B">
              <w:rPr>
                <w:lang w:val="de-DE"/>
              </w:rPr>
              <w:t>11:00 Uhr</w:t>
            </w:r>
            <w:r w:rsidRPr="00792D61">
              <w:rPr>
                <w:b/>
                <w:lang w:val="de-DE"/>
              </w:rPr>
              <w:t>][[</w:t>
            </w:r>
            <w:r w:rsidRPr="0067153B">
              <w:rPr>
                <w:rFonts w:ascii="Arial" w:hAnsi="Arial" w:cs="Arial"/>
                <w:lang w:val="de-DE"/>
              </w:rPr>
              <w:t>●</w:t>
            </w:r>
            <w:r w:rsidRPr="00792D61">
              <w:rPr>
                <w:b/>
                <w:lang w:val="de-DE"/>
              </w:rPr>
              <w:t>]]</w:t>
            </w:r>
            <w:r w:rsidRPr="0067153B">
              <w:rPr>
                <w:lang w:val="de-DE"/>
              </w:rPr>
              <w:t xml:space="preserve"> </w:t>
            </w:r>
            <w:r w:rsidRPr="00792D61">
              <w:rPr>
                <w:b/>
                <w:lang w:val="de-DE"/>
              </w:rPr>
              <w:t>[</w:t>
            </w:r>
            <w:r w:rsidRPr="0067153B">
              <w:rPr>
                <w:lang w:val="de-DE"/>
              </w:rPr>
              <w:t>Londoner</w:t>
            </w:r>
            <w:r w:rsidRPr="00792D61">
              <w:rPr>
                <w:b/>
                <w:lang w:val="de-DE"/>
              </w:rPr>
              <w:t>]</w:t>
            </w:r>
            <w:r w:rsidRPr="0067153B">
              <w:rPr>
                <w:lang w:val="de-DE"/>
              </w:rPr>
              <w:t xml:space="preserve"> </w:t>
            </w:r>
            <w:r w:rsidRPr="00792D61">
              <w:rPr>
                <w:b/>
                <w:lang w:val="de-DE"/>
              </w:rPr>
              <w:t>[</w:t>
            </w:r>
            <w:r w:rsidRPr="0067153B">
              <w:rPr>
                <w:lang w:val="de-DE"/>
              </w:rPr>
              <w:t>Br</w:t>
            </w:r>
            <w:r w:rsidRPr="0067153B">
              <w:rPr>
                <w:rFonts w:cs="Credit Suisse Type Light"/>
                <w:lang w:val="de-DE"/>
              </w:rPr>
              <w:t>ü</w:t>
            </w:r>
            <w:r w:rsidRPr="0067153B">
              <w:rPr>
                <w:lang w:val="de-DE"/>
              </w:rPr>
              <w:t>sseler</w:t>
            </w:r>
            <w:r w:rsidRPr="00792D61">
              <w:rPr>
                <w:b/>
                <w:lang w:val="de-DE"/>
              </w:rPr>
              <w:t>][</w:t>
            </w:r>
            <w:r w:rsidRPr="0067153B">
              <w:rPr>
                <w:lang w:val="de-DE"/>
              </w:rPr>
              <w:t>New Yorker</w:t>
            </w:r>
            <w:r w:rsidRPr="00792D61">
              <w:rPr>
                <w:b/>
                <w:lang w:val="de-DE"/>
              </w:rPr>
              <w:t>][[</w:t>
            </w:r>
            <w:r w:rsidRPr="0067153B">
              <w:rPr>
                <w:rFonts w:ascii="Arial" w:hAnsi="Arial" w:cs="Arial"/>
                <w:lang w:val="de-DE"/>
              </w:rPr>
              <w:t>●</w:t>
            </w:r>
            <w:r w:rsidRPr="00792D61">
              <w:rPr>
                <w:b/>
                <w:lang w:val="de-DE"/>
              </w:rPr>
              <w:t>]]</w:t>
            </w:r>
            <w:r w:rsidRPr="0067153B">
              <w:rPr>
                <w:lang w:val="de-DE"/>
              </w:rPr>
              <w:t xml:space="preserve"> Ortszeit an </w:t>
            </w:r>
            <w:r w:rsidRPr="00792D61">
              <w:rPr>
                <w:b/>
                <w:lang w:val="de-DE"/>
              </w:rPr>
              <w:t>[</w:t>
            </w:r>
            <w:r w:rsidRPr="0067153B">
              <w:rPr>
                <w:lang w:val="de-DE"/>
              </w:rPr>
              <w:t>dem</w:t>
            </w:r>
            <w:r w:rsidRPr="00792D61">
              <w:rPr>
                <w:b/>
                <w:lang w:val="de-DE"/>
              </w:rPr>
              <w:t>][</w:t>
            </w:r>
            <w:r w:rsidRPr="0067153B">
              <w:rPr>
                <w:lang w:val="de-DE"/>
              </w:rPr>
              <w:t>dem jeweiligen</w:t>
            </w:r>
            <w:r w:rsidRPr="00792D61">
              <w:rPr>
                <w:b/>
                <w:lang w:val="de-DE"/>
              </w:rPr>
              <w:t>]</w:t>
            </w:r>
            <w:r w:rsidRPr="0067153B">
              <w:rPr>
                <w:lang w:val="de-DE"/>
              </w:rPr>
              <w:t xml:space="preserve"> </w:t>
            </w:r>
            <w:r w:rsidRPr="00792D61">
              <w:rPr>
                <w:b/>
                <w:lang w:val="de-DE"/>
              </w:rPr>
              <w:t>[</w:t>
            </w:r>
            <w:r w:rsidRPr="0067153B">
              <w:rPr>
                <w:lang w:val="de-DE"/>
              </w:rPr>
              <w:t>Zinsfeststellungstag</w:t>
            </w:r>
            <w:r w:rsidRPr="00792D61">
              <w:rPr>
                <w:b/>
                <w:lang w:val="de-DE"/>
              </w:rPr>
              <w:t>]</w:t>
            </w:r>
            <w:r w:rsidRPr="0067153B">
              <w:rPr>
                <w:lang w:val="de-DE"/>
              </w:rPr>
              <w:t xml:space="preserve"> </w:t>
            </w:r>
            <w:r w:rsidRPr="00792D61">
              <w:rPr>
                <w:b/>
                <w:lang w:val="de-DE"/>
              </w:rPr>
              <w:t>[</w:t>
            </w:r>
            <w:r w:rsidRPr="0067153B">
              <w:rPr>
                <w:lang w:val="de-DE"/>
              </w:rPr>
              <w:t>Barriere-Beobachtungstag</w:t>
            </w:r>
            <w:r w:rsidRPr="00792D61">
              <w:rPr>
                <w:b/>
                <w:lang w:val="de-DE"/>
              </w:rPr>
              <w:t>]</w:t>
            </w:r>
            <w:r w:rsidRPr="0067153B">
              <w:rPr>
                <w:lang w:val="de-DE"/>
              </w:rPr>
              <w:t xml:space="preserve"> f</w:t>
            </w:r>
            <w:r w:rsidRPr="0067153B">
              <w:rPr>
                <w:rFonts w:cs="Credit Suisse Type Light"/>
                <w:lang w:val="de-DE"/>
              </w:rPr>
              <w:t>ü</w:t>
            </w:r>
            <w:r w:rsidRPr="0067153B">
              <w:rPr>
                <w:lang w:val="de-DE"/>
              </w:rPr>
              <w:t xml:space="preserve">r </w:t>
            </w:r>
            <w:r w:rsidRPr="00792D61">
              <w:rPr>
                <w:b/>
                <w:lang w:val="de-DE"/>
              </w:rPr>
              <w:t>[</w:t>
            </w:r>
            <w:r w:rsidRPr="0067153B">
              <w:rPr>
                <w:lang w:val="de-DE"/>
              </w:rPr>
              <w:t>Einlagen in der massgeblichen Festgelegten Referenzsatz-W</w:t>
            </w:r>
            <w:r w:rsidRPr="0067153B">
              <w:rPr>
                <w:rFonts w:cs="Credit Suisse Type Light"/>
                <w:lang w:val="de-DE"/>
              </w:rPr>
              <w:t>ä</w:t>
            </w:r>
            <w:r w:rsidRPr="0067153B">
              <w:rPr>
                <w:lang w:val="de-DE"/>
              </w:rPr>
              <w:t>hrung</w:t>
            </w:r>
            <w:r w:rsidRPr="00792D61">
              <w:rPr>
                <w:b/>
                <w:lang w:val="de-DE"/>
              </w:rPr>
              <w:t>][</w:t>
            </w:r>
            <w:r w:rsidRPr="0067153B">
              <w:rPr>
                <w:lang w:val="de-DE"/>
              </w:rPr>
              <w:t>US-Dollar-Swaps</w:t>
            </w:r>
            <w:r w:rsidRPr="00792D61">
              <w:rPr>
                <w:b/>
                <w:lang w:val="de-DE"/>
              </w:rPr>
              <w:t>]</w:t>
            </w:r>
            <w:r w:rsidRPr="0067153B">
              <w:rPr>
                <w:lang w:val="de-DE"/>
              </w:rPr>
              <w:t xml:space="preserve"> mit einer Laufzeit von </w:t>
            </w:r>
            <w:r w:rsidRPr="00792D61">
              <w:rPr>
                <w:b/>
                <w:lang w:val="de-DE"/>
              </w:rPr>
              <w:t>[</w:t>
            </w:r>
            <w:r w:rsidRPr="0067153B">
              <w:rPr>
                <w:rFonts w:ascii="Arial" w:hAnsi="Arial" w:cs="Arial"/>
                <w:lang w:val="de-DE"/>
              </w:rPr>
              <w:t>●</w:t>
            </w:r>
            <w:r w:rsidRPr="00792D61">
              <w:rPr>
                <w:b/>
                <w:lang w:val="de-DE"/>
              </w:rPr>
              <w:t>]</w:t>
            </w:r>
            <w:r w:rsidRPr="0067153B">
              <w:rPr>
                <w:lang w:val="de-DE"/>
              </w:rPr>
              <w:t xml:space="preserve"> </w:t>
            </w:r>
            <w:r w:rsidRPr="00792D61">
              <w:rPr>
                <w:b/>
                <w:lang w:val="de-DE"/>
              </w:rPr>
              <w:t>[</w:t>
            </w:r>
            <w:r w:rsidRPr="0067153B">
              <w:rPr>
                <w:lang w:val="de-DE"/>
              </w:rPr>
              <w:t>Monat</w:t>
            </w:r>
            <w:r w:rsidRPr="00792D61">
              <w:rPr>
                <w:b/>
                <w:lang w:val="de-DE"/>
              </w:rPr>
              <w:t>[</w:t>
            </w:r>
            <w:r w:rsidRPr="0067153B">
              <w:rPr>
                <w:lang w:val="de-DE"/>
              </w:rPr>
              <w:t>en</w:t>
            </w:r>
            <w:r w:rsidRPr="00792D61">
              <w:rPr>
                <w:b/>
                <w:lang w:val="de-DE"/>
              </w:rPr>
              <w:t>]][</w:t>
            </w:r>
            <w:r w:rsidRPr="0067153B">
              <w:rPr>
                <w:lang w:val="de-DE"/>
              </w:rPr>
              <w:t>Jahr</w:t>
            </w:r>
            <w:r w:rsidRPr="00792D61">
              <w:rPr>
                <w:b/>
                <w:lang w:val="de-DE"/>
              </w:rPr>
              <w:t>[</w:t>
            </w:r>
            <w:r w:rsidRPr="0067153B">
              <w:rPr>
                <w:lang w:val="de-DE"/>
              </w:rPr>
              <w:t>en</w:t>
            </w:r>
            <w:r w:rsidRPr="00792D61">
              <w:rPr>
                <w:b/>
                <w:lang w:val="de-DE"/>
              </w:rPr>
              <w:t>]]</w:t>
            </w:r>
            <w:r w:rsidRPr="0067153B">
              <w:rPr>
                <w:lang w:val="de-DE"/>
              </w:rPr>
              <w:t>, wie von der Berechnungsstelle festgestellt und als Prozentsatz per annum ausgedr</w:t>
            </w:r>
            <w:r w:rsidRPr="0067153B">
              <w:rPr>
                <w:rFonts w:cs="Credit Suisse Type Light"/>
                <w:lang w:val="de-DE"/>
              </w:rPr>
              <w:t>ü</w:t>
            </w:r>
            <w:r w:rsidRPr="0067153B">
              <w:rPr>
                <w:lang w:val="de-DE"/>
              </w:rPr>
              <w:t>ckt.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rPr>
                <w:lang w:val="de-DE"/>
              </w:rPr>
            </w:pPr>
          </w:p>
        </w:tc>
        <w:tc>
          <w:tcPr>
            <w:tcW w:w="3315" w:type="dxa"/>
            <w:gridSpan w:val="7"/>
            <w:tcBorders>
              <w:top w:val="nil"/>
              <w:left w:val="nil"/>
              <w:bottom w:val="nil"/>
            </w:tcBorders>
            <w:shd w:val="clear" w:color="auto" w:fill="auto"/>
          </w:tcPr>
          <w:p w:rsidR="0017135D" w:rsidP="00831A24">
            <w:pPr>
              <w:pStyle w:val="CSBody8pt"/>
            </w:pPr>
            <w:r w:rsidRPr="00792D61">
              <w:rPr>
                <w:b/>
              </w:rPr>
              <w:t>[</w:t>
            </w:r>
            <w:r w:rsidRPr="00D41ACF">
              <w:t>If, in the case of clause (ii) above, five or more offered quotations are available on the relevant Rate Source, the highest (or, if there is more than one such highest rate, only one of such rates) and the lowest (or, if there is more than one such lowest rate, only one of such rates) shall be disregarded by the Calculation Agent for purposes of determining the arithmetic mean (rounded as provided above) of such offered quotations.</w:t>
            </w:r>
            <w:r w:rsidRPr="00792D61">
              <w:rPr>
                <w:b/>
              </w:rPr>
              <w:t>]</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831A24">
            <w:pPr>
              <w:pStyle w:val="CSBody8pt"/>
              <w:rPr>
                <w:lang w:val="de-DE"/>
              </w:rPr>
            </w:pPr>
            <w:r w:rsidRPr="00792D61">
              <w:rPr>
                <w:b/>
                <w:lang w:val="de-DE"/>
              </w:rPr>
              <w:t>[</w:t>
            </w:r>
            <w:r w:rsidRPr="0067153B">
              <w:rPr>
                <w:lang w:val="de-DE"/>
              </w:rPr>
              <w:t>Ergeben sich im vorstehend unter (ii) beschriebenen Fall aus der massgeblichen Kursquelle fünf oder mehr Angebotsquotierungen, so werden die höchste (falls es mehr als einen solchen höchsten Satz gibt, nur einer dieser Sätze) und die niedrigste (falls es mehr als einen solchen niedrigsten Satz gibt, nur einer dieser Sätze) von der Berechnungsstelle für die Bestimmung des arithmetischen Mittels der Angebotsquotierungen (das wie vorstehend beschrieben auf- oder abgerundet wird) ausser Acht gelassen.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rPr>
                <w:lang w:val="de-DE"/>
              </w:rPr>
            </w:pPr>
          </w:p>
        </w:tc>
        <w:tc>
          <w:tcPr>
            <w:tcW w:w="3315" w:type="dxa"/>
            <w:gridSpan w:val="7"/>
            <w:tcBorders>
              <w:top w:val="nil"/>
              <w:left w:val="nil"/>
              <w:bottom w:val="nil"/>
            </w:tcBorders>
            <w:shd w:val="clear" w:color="auto" w:fill="auto"/>
          </w:tcPr>
          <w:p w:rsidR="0017135D" w:rsidRPr="0067153B" w:rsidP="00831A24">
            <w:pPr>
              <w:pStyle w:val="CSBody8pt"/>
            </w:pPr>
            <w:r w:rsidRPr="0067153B">
              <w:t xml:space="preserve">If the relevant Rate Source is not available or </w:t>
            </w:r>
            <w:r w:rsidRPr="00792D61">
              <w:rPr>
                <w:b/>
              </w:rPr>
              <w:t>[</w:t>
            </w:r>
            <w:r w:rsidRPr="0067153B">
              <w:t>if, in the case of clause (i) above,</w:t>
            </w:r>
            <w:r w:rsidRPr="00792D61">
              <w:rPr>
                <w:b/>
              </w:rPr>
              <w:t>]</w:t>
            </w:r>
            <w:r w:rsidRPr="0067153B">
              <w:t xml:space="preserve"> no such quotation appears </w:t>
            </w:r>
            <w:r w:rsidRPr="00792D61">
              <w:rPr>
                <w:b/>
              </w:rPr>
              <w:t>[</w:t>
            </w:r>
            <w:r w:rsidRPr="0067153B">
              <w:t xml:space="preserve">or, in the case of clause (ii) above, fewer than </w:t>
            </w:r>
            <w:r w:rsidRPr="00792D61">
              <w:rPr>
                <w:b/>
              </w:rPr>
              <w:t>[</w:t>
            </w:r>
            <w:r w:rsidRPr="0067153B">
              <w:t>three</w:t>
            </w:r>
            <w:r w:rsidRPr="00792D61">
              <w:rPr>
                <w:b/>
              </w:rPr>
              <w:t>][</w:t>
            </w:r>
            <w:r w:rsidRPr="0067153B">
              <w:t>two</w:t>
            </w:r>
            <w:r w:rsidRPr="00792D61">
              <w:rPr>
                <w:b/>
              </w:rPr>
              <w:t>]</w:t>
            </w:r>
            <w:r w:rsidRPr="0067153B">
              <w:t xml:space="preserve"> offered quotations appear</w:t>
            </w:r>
            <w:r w:rsidRPr="00792D61">
              <w:rPr>
                <w:b/>
              </w:rPr>
              <w:t>]</w:t>
            </w:r>
            <w:r w:rsidRPr="0067153B">
              <w:t xml:space="preserve">, Reference Rate 2 shall be determined on the basis of the rates, at approximately </w:t>
            </w:r>
            <w:r w:rsidRPr="00792D61">
              <w:rPr>
                <w:b/>
              </w:rPr>
              <w:t>[</w:t>
            </w:r>
            <w:r w:rsidRPr="0067153B">
              <w:t>11:00 a.m.</w:t>
            </w:r>
            <w:r w:rsidRPr="00792D61">
              <w:rPr>
                <w:b/>
              </w:rPr>
              <w:t>][[</w:t>
            </w:r>
            <w:r w:rsidRPr="0067153B">
              <w:rPr>
                <w:rFonts w:ascii="Arial" w:hAnsi="Arial" w:cs="Arial"/>
              </w:rPr>
              <w:t>●</w:t>
            </w:r>
            <w:r w:rsidRPr="00792D61">
              <w:rPr>
                <w:b/>
              </w:rPr>
              <w:t>]]</w:t>
            </w:r>
            <w:r w:rsidRPr="0067153B">
              <w:t xml:space="preserve">, </w:t>
            </w:r>
            <w:r w:rsidRPr="00792D61">
              <w:rPr>
                <w:b/>
              </w:rPr>
              <w:t>[</w:t>
            </w:r>
            <w:r w:rsidRPr="0067153B">
              <w:t>London</w:t>
            </w:r>
            <w:r w:rsidRPr="00792D61">
              <w:rPr>
                <w:b/>
              </w:rPr>
              <w:t>][</w:t>
            </w:r>
            <w:r w:rsidRPr="0067153B">
              <w:t>Brussels</w:t>
            </w:r>
            <w:r w:rsidRPr="00792D61">
              <w:rPr>
                <w:b/>
              </w:rPr>
              <w:t>][</w:t>
            </w:r>
            <w:r w:rsidRPr="0067153B">
              <w:t>New York City</w:t>
            </w:r>
            <w:r w:rsidRPr="00792D61">
              <w:rPr>
                <w:b/>
              </w:rPr>
              <w:t>][[</w:t>
            </w:r>
            <w:r w:rsidRPr="0067153B">
              <w:rPr>
                <w:rFonts w:ascii="Arial" w:hAnsi="Arial" w:cs="Arial"/>
              </w:rPr>
              <w:t>●</w:t>
            </w:r>
            <w:r w:rsidRPr="00792D61">
              <w:rPr>
                <w:b/>
              </w:rPr>
              <w:t>]]</w:t>
            </w:r>
            <w:r w:rsidRPr="0067153B">
              <w:t xml:space="preserve"> time, on </w:t>
            </w:r>
            <w:r w:rsidRPr="00792D61">
              <w:rPr>
                <w:b/>
              </w:rPr>
              <w:t>[</w:t>
            </w:r>
            <w:r w:rsidRPr="0067153B">
              <w:t>the</w:t>
            </w:r>
            <w:r w:rsidRPr="00792D61">
              <w:rPr>
                <w:b/>
              </w:rPr>
              <w:t>][</w:t>
            </w:r>
            <w:r w:rsidRPr="0067153B">
              <w:t>such</w:t>
            </w:r>
            <w:r w:rsidRPr="00792D61">
              <w:rPr>
                <w:b/>
              </w:rPr>
              <w:t>]</w:t>
            </w:r>
            <w:r w:rsidRPr="0067153B">
              <w:t xml:space="preserve"> </w:t>
            </w:r>
            <w:r w:rsidRPr="00792D61">
              <w:rPr>
                <w:b/>
              </w:rPr>
              <w:t>[</w:t>
            </w:r>
            <w:r w:rsidRPr="0067153B">
              <w:t>Interest Determination Date</w:t>
            </w:r>
            <w:r w:rsidRPr="00792D61">
              <w:rPr>
                <w:b/>
              </w:rPr>
              <w:t>][</w:t>
            </w:r>
            <w:r w:rsidRPr="0067153B">
              <w:t>Barrier Observation Date</w:t>
            </w:r>
            <w:r w:rsidRPr="00792D61">
              <w:rPr>
                <w:b/>
              </w:rPr>
              <w:t>]</w:t>
            </w:r>
            <w:r w:rsidRPr="0067153B">
              <w:t xml:space="preserve">, at which </w:t>
            </w:r>
            <w:r w:rsidRPr="00792D61">
              <w:rPr>
                <w:b/>
              </w:rPr>
              <w:t>[</w:t>
            </w:r>
            <w:r w:rsidRPr="0067153B">
              <w:t>deposits in the relevant Specified Currency</w:t>
            </w:r>
            <w:r w:rsidRPr="00792D61">
              <w:rPr>
                <w:b/>
              </w:rPr>
              <w:t>][</w:t>
            </w:r>
            <w:r w:rsidRPr="0067153B">
              <w:t>swaps in U.S. dollars</w:t>
            </w:r>
            <w:r w:rsidRPr="00792D61">
              <w:rPr>
                <w:b/>
              </w:rPr>
              <w:t>]</w:t>
            </w:r>
            <w:r w:rsidRPr="0067153B">
              <w:t xml:space="preserve"> with </w:t>
            </w:r>
            <w:r w:rsidRPr="00792D61">
              <w:rPr>
                <w:b/>
              </w:rPr>
              <w:t>[</w:t>
            </w:r>
            <w:r w:rsidRPr="0067153B">
              <w:rPr>
                <w:rFonts w:ascii="Arial" w:hAnsi="Arial" w:cs="Arial"/>
              </w:rPr>
              <w:t>●</w:t>
            </w:r>
            <w:r w:rsidRPr="00792D61">
              <w:rPr>
                <w:b/>
              </w:rPr>
              <w:t>]</w:t>
            </w:r>
            <w:r w:rsidRPr="0067153B">
              <w:t>-</w:t>
            </w:r>
            <w:r w:rsidRPr="00792D61">
              <w:rPr>
                <w:b/>
              </w:rPr>
              <w:t>[</w:t>
            </w:r>
            <w:r w:rsidRPr="0067153B">
              <w:t>month</w:t>
            </w:r>
            <w:r w:rsidRPr="00792D61">
              <w:rPr>
                <w:b/>
              </w:rPr>
              <w:t>][</w:t>
            </w:r>
            <w:r w:rsidRPr="0067153B">
              <w:t>year</w:t>
            </w:r>
            <w:r w:rsidRPr="00792D61">
              <w:rPr>
                <w:b/>
              </w:rPr>
              <w:t>]</w:t>
            </w:r>
            <w:r w:rsidRPr="0067153B">
              <w:t xml:space="preserve"> maturity are offered to </w:t>
            </w:r>
            <w:r w:rsidRPr="00792D61">
              <w:rPr>
                <w:b/>
              </w:rPr>
              <w:t>[</w:t>
            </w:r>
            <w:r w:rsidRPr="0067153B">
              <w:t>prime banks in the London interbank market</w:t>
            </w:r>
            <w:r w:rsidRPr="00792D61">
              <w:rPr>
                <w:b/>
              </w:rPr>
              <w:t>][</w:t>
            </w:r>
            <w:r w:rsidRPr="0067153B">
              <w:t>prime banks in the euro-zone interbank market</w:t>
            </w:r>
            <w:r w:rsidRPr="00792D61">
              <w:rPr>
                <w:b/>
              </w:rPr>
              <w:t>][</w:t>
            </w:r>
            <w:r w:rsidRPr="0067153B">
              <w:t>participants in the U.S. dollar swap market</w:t>
            </w:r>
            <w:r w:rsidRPr="00792D61">
              <w:rPr>
                <w:b/>
              </w:rPr>
              <w:t>][[</w:t>
            </w:r>
            <w:r w:rsidRPr="0067153B">
              <w:rPr>
                <w:rFonts w:ascii="Arial" w:hAnsi="Arial" w:cs="Arial"/>
              </w:rPr>
              <w:t>●</w:t>
            </w:r>
            <w:r w:rsidRPr="00792D61">
              <w:rPr>
                <w:b/>
              </w:rPr>
              <w:t>]]</w:t>
            </w:r>
            <w:r w:rsidRPr="0067153B">
              <w:t xml:space="preserve"> by </w:t>
            </w:r>
            <w:r w:rsidRPr="00792D61">
              <w:rPr>
                <w:b/>
              </w:rPr>
              <w:t>[</w:t>
            </w:r>
            <w:r w:rsidRPr="0067153B">
              <w:t>four major banks in the London interbank market selected by the Calculation Agent</w:t>
            </w:r>
            <w:r w:rsidRPr="00792D61">
              <w:rPr>
                <w:b/>
              </w:rPr>
              <w:t>][</w:t>
            </w:r>
            <w:r w:rsidRPr="0067153B">
              <w:t>four major banks in the euro-zone interbank market selected by the Calculation Agent</w:t>
            </w:r>
            <w:r w:rsidRPr="00792D61">
              <w:rPr>
                <w:b/>
              </w:rPr>
              <w:t>][</w:t>
            </w:r>
            <w:r w:rsidRPr="0067153B">
              <w:t>five leading swap dealers in the New York City interbank market</w:t>
            </w:r>
            <w:r w:rsidRPr="00792D61">
              <w:rPr>
                <w:b/>
              </w:rPr>
              <w:t>][</w:t>
            </w:r>
            <w:r w:rsidRPr="0067153B">
              <w:t>the Reference Banks</w:t>
            </w:r>
            <w:r w:rsidRPr="00792D61">
              <w:rPr>
                <w:b/>
              </w:rPr>
              <w:t>]</w:t>
            </w:r>
            <w:r w:rsidRPr="0067153B">
              <w:t xml:space="preserve">. The Calculation Agent shall request the principal </w:t>
            </w:r>
            <w:r w:rsidRPr="00792D61">
              <w:rPr>
                <w:b/>
              </w:rPr>
              <w:t>[</w:t>
            </w:r>
            <w:r w:rsidRPr="0067153B">
              <w:t>London</w:t>
            </w:r>
            <w:r w:rsidRPr="00792D61">
              <w:rPr>
                <w:b/>
              </w:rPr>
              <w:t>][</w:t>
            </w:r>
            <w:r w:rsidRPr="0067153B">
              <w:t>euro-zone</w:t>
            </w:r>
            <w:r w:rsidRPr="00792D61">
              <w:rPr>
                <w:b/>
              </w:rPr>
              <w:t>][</w:t>
            </w:r>
            <w:r w:rsidRPr="0067153B">
              <w:t>New York City</w:t>
            </w:r>
            <w:r w:rsidRPr="00792D61">
              <w:rPr>
                <w:b/>
              </w:rPr>
              <w:t>][[</w:t>
            </w:r>
            <w:r w:rsidRPr="0067153B">
              <w:rPr>
                <w:rFonts w:ascii="Arial" w:hAnsi="Arial" w:cs="Arial"/>
              </w:rPr>
              <w:t>●</w:t>
            </w:r>
            <w:r w:rsidRPr="00792D61">
              <w:rPr>
                <w:b/>
              </w:rPr>
              <w:t>]]</w:t>
            </w:r>
            <w:r w:rsidRPr="0067153B">
              <w:t xml:space="preserve"> office of each </w:t>
            </w:r>
            <w:r w:rsidRPr="00792D61">
              <w:rPr>
                <w:b/>
              </w:rPr>
              <w:t>[</w:t>
            </w:r>
            <w:r w:rsidRPr="0067153B">
              <w:t>such bank</w:t>
            </w:r>
            <w:r w:rsidRPr="00792D61">
              <w:rPr>
                <w:b/>
              </w:rPr>
              <w:t>][</w:t>
            </w:r>
            <w:r w:rsidRPr="0067153B">
              <w:t>swap dealer</w:t>
            </w:r>
            <w:r w:rsidRPr="00792D61">
              <w:rPr>
                <w:b/>
              </w:rPr>
              <w:t>][</w:t>
            </w:r>
            <w:r w:rsidRPr="0067153B">
              <w:t>Reference Bank</w:t>
            </w:r>
            <w:r w:rsidRPr="00792D61">
              <w:rPr>
                <w:b/>
              </w:rPr>
              <w:t>]</w:t>
            </w:r>
            <w:r w:rsidRPr="0067153B">
              <w:t xml:space="preserve"> to provide a quotation of its rate.</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94769A">
            <w:pPr>
              <w:pStyle w:val="CSBody8pt"/>
              <w:rPr>
                <w:bCs/>
                <w:lang w:val="de-DE"/>
              </w:rPr>
            </w:pPr>
            <w:r w:rsidRPr="0067153B">
              <w:rPr>
                <w:bCs/>
                <w:lang w:val="de-DE"/>
              </w:rPr>
              <w:t xml:space="preserve">Steht die massgebliche Kursquelle nicht zur Verfügung oder werden </w:t>
            </w:r>
            <w:r w:rsidRPr="00792D61">
              <w:rPr>
                <w:b/>
                <w:bCs/>
                <w:lang w:val="de-DE"/>
              </w:rPr>
              <w:t>[</w:t>
            </w:r>
            <w:r w:rsidRPr="0067153B">
              <w:rPr>
                <w:bCs/>
                <w:lang w:val="de-DE"/>
              </w:rPr>
              <w:t>dort im vorstehend unter (i) beschriebenen Fall</w:t>
            </w:r>
            <w:r w:rsidRPr="00792D61">
              <w:rPr>
                <w:b/>
                <w:bCs/>
                <w:lang w:val="de-DE"/>
              </w:rPr>
              <w:t>]</w:t>
            </w:r>
            <w:r w:rsidRPr="0067153B">
              <w:rPr>
                <w:bCs/>
                <w:lang w:val="de-DE"/>
              </w:rPr>
              <w:t xml:space="preserve"> keine solchen Quotierungen </w:t>
            </w:r>
            <w:r w:rsidRPr="00792D61">
              <w:rPr>
                <w:b/>
                <w:bCs/>
                <w:lang w:val="de-DE"/>
              </w:rPr>
              <w:t>[</w:t>
            </w:r>
            <w:r w:rsidRPr="0067153B">
              <w:rPr>
                <w:bCs/>
                <w:lang w:val="de-DE"/>
              </w:rPr>
              <w:t xml:space="preserve">bzw. im vorstehend unter (ii) beschriebenen Fall weniger als </w:t>
            </w:r>
            <w:r w:rsidRPr="00792D61">
              <w:rPr>
                <w:b/>
                <w:bCs/>
                <w:lang w:val="de-DE"/>
              </w:rPr>
              <w:t>[</w:t>
            </w:r>
            <w:r w:rsidRPr="0067153B">
              <w:rPr>
                <w:bCs/>
                <w:lang w:val="de-DE"/>
              </w:rPr>
              <w:t>drei</w:t>
            </w:r>
            <w:r w:rsidRPr="00792D61">
              <w:rPr>
                <w:b/>
                <w:bCs/>
                <w:lang w:val="de-DE"/>
              </w:rPr>
              <w:t>][</w:t>
            </w:r>
            <w:r w:rsidRPr="0067153B">
              <w:rPr>
                <w:bCs/>
                <w:lang w:val="de-DE"/>
              </w:rPr>
              <w:t>zwei</w:t>
            </w:r>
            <w:r w:rsidRPr="00792D61">
              <w:rPr>
                <w:b/>
                <w:bCs/>
                <w:lang w:val="de-DE"/>
              </w:rPr>
              <w:t>]</w:t>
            </w:r>
            <w:r w:rsidRPr="0067153B">
              <w:rPr>
                <w:bCs/>
                <w:lang w:val="de-DE"/>
              </w:rPr>
              <w:t xml:space="preserve"> solcher Angebotsquotierungen</w:t>
            </w:r>
            <w:r w:rsidRPr="00792D61">
              <w:rPr>
                <w:b/>
                <w:bCs/>
                <w:lang w:val="de-DE"/>
              </w:rPr>
              <w:t>]</w:t>
            </w:r>
            <w:r w:rsidRPr="0067153B">
              <w:rPr>
                <w:bCs/>
                <w:lang w:val="de-DE"/>
              </w:rPr>
              <w:t xml:space="preserve"> angezeigt, so wird der Referenzsatz 2 um ca. </w:t>
            </w:r>
            <w:r w:rsidRPr="00792D61">
              <w:rPr>
                <w:b/>
                <w:bCs/>
                <w:lang w:val="de-DE"/>
              </w:rPr>
              <w:t>[</w:t>
            </w:r>
            <w:r w:rsidRPr="0067153B">
              <w:rPr>
                <w:bCs/>
                <w:lang w:val="de-DE"/>
              </w:rPr>
              <w:t>11:00 Uhr</w:t>
            </w:r>
            <w:r w:rsidRPr="00792D61">
              <w:rPr>
                <w:b/>
                <w:bCs/>
                <w:lang w:val="de-DE"/>
              </w:rPr>
              <w:t>][[</w:t>
            </w:r>
            <w:r w:rsidRPr="0067153B">
              <w:rPr>
                <w:rFonts w:ascii="Arial" w:hAnsi="Arial" w:cs="Arial"/>
                <w:bCs/>
                <w:lang w:val="de-DE"/>
              </w:rPr>
              <w:t>●</w:t>
            </w:r>
            <w:r w:rsidRPr="00792D61">
              <w:rPr>
                <w:b/>
                <w:bCs/>
                <w:lang w:val="de-DE"/>
              </w:rPr>
              <w:t>]]</w:t>
            </w:r>
            <w:r w:rsidRPr="0067153B">
              <w:rPr>
                <w:bCs/>
                <w:lang w:val="de-DE"/>
              </w:rPr>
              <w:t xml:space="preserve"> </w:t>
            </w:r>
            <w:r w:rsidRPr="00792D61">
              <w:rPr>
                <w:b/>
                <w:bCs/>
                <w:lang w:val="de-DE"/>
              </w:rPr>
              <w:t>[</w:t>
            </w:r>
            <w:r w:rsidRPr="0067153B">
              <w:rPr>
                <w:bCs/>
                <w:lang w:val="de-DE"/>
              </w:rPr>
              <w:t>Londoner</w:t>
            </w:r>
            <w:r w:rsidRPr="00792D61">
              <w:rPr>
                <w:b/>
                <w:bCs/>
                <w:lang w:val="de-DE"/>
              </w:rPr>
              <w:t>][</w:t>
            </w:r>
            <w:r w:rsidRPr="0067153B">
              <w:rPr>
                <w:bCs/>
                <w:lang w:val="de-DE"/>
              </w:rPr>
              <w:t>Br</w:t>
            </w:r>
            <w:r w:rsidRPr="0067153B">
              <w:rPr>
                <w:rFonts w:cs="Credit Suisse Type Light"/>
                <w:bCs/>
                <w:lang w:val="de-DE"/>
              </w:rPr>
              <w:t>ü</w:t>
            </w:r>
            <w:r w:rsidRPr="0067153B">
              <w:rPr>
                <w:bCs/>
                <w:lang w:val="de-DE"/>
              </w:rPr>
              <w:t>sseler</w:t>
            </w:r>
            <w:r w:rsidRPr="00792D61">
              <w:rPr>
                <w:b/>
                <w:bCs/>
                <w:lang w:val="de-DE"/>
              </w:rPr>
              <w:t>][</w:t>
            </w:r>
            <w:r w:rsidRPr="0067153B">
              <w:rPr>
                <w:bCs/>
                <w:lang w:val="de-DE"/>
              </w:rPr>
              <w:t>New Yorker</w:t>
            </w:r>
            <w:r w:rsidRPr="00792D61">
              <w:rPr>
                <w:b/>
                <w:bCs/>
                <w:lang w:val="de-DE"/>
              </w:rPr>
              <w:t>][[</w:t>
            </w:r>
            <w:r w:rsidRPr="0067153B">
              <w:rPr>
                <w:rFonts w:ascii="Arial" w:hAnsi="Arial" w:cs="Arial"/>
                <w:bCs/>
                <w:lang w:val="de-DE"/>
              </w:rPr>
              <w:t>●</w:t>
            </w:r>
            <w:r w:rsidRPr="00792D61">
              <w:rPr>
                <w:b/>
                <w:bCs/>
                <w:lang w:val="de-DE"/>
              </w:rPr>
              <w:t>]]</w:t>
            </w:r>
            <w:r w:rsidRPr="0067153B">
              <w:rPr>
                <w:bCs/>
                <w:lang w:val="de-DE"/>
              </w:rPr>
              <w:t xml:space="preserve"> Ortszeit an </w:t>
            </w:r>
            <w:r w:rsidRPr="00792D61">
              <w:rPr>
                <w:b/>
                <w:bCs/>
                <w:lang w:val="de-DE"/>
              </w:rPr>
              <w:t>[</w:t>
            </w:r>
            <w:r w:rsidRPr="0067153B">
              <w:rPr>
                <w:bCs/>
                <w:lang w:val="de-DE"/>
              </w:rPr>
              <w:t>dem</w:t>
            </w:r>
            <w:r w:rsidRPr="00792D61">
              <w:rPr>
                <w:b/>
                <w:bCs/>
                <w:lang w:val="de-DE"/>
              </w:rPr>
              <w:t>][</w:t>
            </w:r>
            <w:r w:rsidRPr="0067153B">
              <w:rPr>
                <w:bCs/>
                <w:lang w:val="de-DE"/>
              </w:rPr>
              <w:t>dem jeweiligen</w:t>
            </w:r>
            <w:r w:rsidRPr="00792D61">
              <w:rPr>
                <w:b/>
                <w:bCs/>
                <w:lang w:val="de-DE"/>
              </w:rPr>
              <w:t>]</w:t>
            </w:r>
            <w:r w:rsidRPr="0067153B">
              <w:rPr>
                <w:bCs/>
                <w:lang w:val="de-DE"/>
              </w:rPr>
              <w:t xml:space="preserve"> </w:t>
            </w:r>
            <w:r w:rsidRPr="00792D61">
              <w:rPr>
                <w:b/>
                <w:bCs/>
                <w:lang w:val="de-DE"/>
              </w:rPr>
              <w:t>[</w:t>
            </w:r>
            <w:r w:rsidRPr="0067153B">
              <w:rPr>
                <w:bCs/>
                <w:lang w:val="de-DE"/>
              </w:rPr>
              <w:t>Zinsfeststellungstag</w:t>
            </w:r>
            <w:r w:rsidRPr="00792D61">
              <w:rPr>
                <w:b/>
                <w:bCs/>
                <w:lang w:val="de-DE"/>
              </w:rPr>
              <w:t>][</w:t>
            </w:r>
            <w:r w:rsidRPr="0067153B">
              <w:rPr>
                <w:bCs/>
                <w:lang w:val="de-DE"/>
              </w:rPr>
              <w:t>Barriere-Beobachtungstag</w:t>
            </w:r>
            <w:r w:rsidRPr="00792D61">
              <w:rPr>
                <w:b/>
                <w:bCs/>
                <w:lang w:val="de-DE"/>
              </w:rPr>
              <w:t>]</w:t>
            </w:r>
            <w:r w:rsidRPr="0067153B">
              <w:rPr>
                <w:bCs/>
                <w:lang w:val="de-DE"/>
              </w:rPr>
              <w:t xml:space="preserve"> auf Grundlage der Sätze festgestellt, zu denen </w:t>
            </w:r>
            <w:r w:rsidRPr="00792D61">
              <w:rPr>
                <w:b/>
                <w:bCs/>
                <w:lang w:val="de-DE"/>
              </w:rPr>
              <w:t>[</w:t>
            </w:r>
            <w:r w:rsidRPr="0067153B">
              <w:rPr>
                <w:bCs/>
                <w:lang w:val="de-DE"/>
              </w:rPr>
              <w:t>Einlagen in der massgeblichen Festgelegten Währung</w:t>
            </w:r>
            <w:r w:rsidRPr="00792D61">
              <w:rPr>
                <w:b/>
                <w:bCs/>
                <w:lang w:val="de-DE"/>
              </w:rPr>
              <w:t>][</w:t>
            </w:r>
            <w:r w:rsidRPr="0067153B">
              <w:rPr>
                <w:bCs/>
                <w:lang w:val="de-DE"/>
              </w:rPr>
              <w:t>Swaps in US-Dollar</w:t>
            </w:r>
            <w:r w:rsidRPr="00792D61">
              <w:rPr>
                <w:b/>
                <w:bCs/>
                <w:lang w:val="de-DE"/>
              </w:rPr>
              <w:t>]</w:t>
            </w:r>
            <w:r w:rsidRPr="0067153B">
              <w:rPr>
                <w:bCs/>
                <w:lang w:val="de-DE"/>
              </w:rPr>
              <w:t xml:space="preserve"> mit einer Laufzeit von </w:t>
            </w:r>
            <w:r w:rsidRPr="00792D61">
              <w:rPr>
                <w:b/>
                <w:bCs/>
                <w:lang w:val="de-DE"/>
              </w:rPr>
              <w:t>[</w:t>
            </w:r>
            <w:r w:rsidRPr="0067153B">
              <w:rPr>
                <w:rFonts w:ascii="Arial" w:hAnsi="Arial" w:cs="Arial"/>
                <w:bCs/>
                <w:lang w:val="de-DE"/>
              </w:rPr>
              <w:t>●</w:t>
            </w:r>
            <w:r w:rsidRPr="00792D61">
              <w:rPr>
                <w:b/>
                <w:bCs/>
                <w:lang w:val="de-DE"/>
              </w:rPr>
              <w:t>]</w:t>
            </w:r>
            <w:r w:rsidRPr="0067153B">
              <w:rPr>
                <w:bCs/>
                <w:lang w:val="de-DE"/>
              </w:rPr>
              <w:t xml:space="preserve"> </w:t>
            </w:r>
            <w:r w:rsidRPr="00792D61">
              <w:rPr>
                <w:b/>
                <w:bCs/>
                <w:lang w:val="de-DE"/>
              </w:rPr>
              <w:t>[</w:t>
            </w:r>
            <w:r w:rsidRPr="0067153B">
              <w:rPr>
                <w:bCs/>
                <w:lang w:val="de-DE"/>
              </w:rPr>
              <w:t>Monat</w:t>
            </w:r>
            <w:r w:rsidRPr="00792D61">
              <w:rPr>
                <w:b/>
                <w:bCs/>
                <w:lang w:val="de-DE"/>
              </w:rPr>
              <w:t>[</w:t>
            </w:r>
            <w:r w:rsidRPr="0067153B">
              <w:rPr>
                <w:bCs/>
                <w:lang w:val="de-DE"/>
              </w:rPr>
              <w:t>en</w:t>
            </w:r>
            <w:r w:rsidRPr="00792D61">
              <w:rPr>
                <w:b/>
                <w:bCs/>
                <w:lang w:val="de-DE"/>
              </w:rPr>
              <w:t>]][</w:t>
            </w:r>
            <w:r w:rsidRPr="0067153B">
              <w:rPr>
                <w:bCs/>
                <w:lang w:val="de-DE"/>
              </w:rPr>
              <w:t>Jahr</w:t>
            </w:r>
            <w:r w:rsidRPr="00792D61">
              <w:rPr>
                <w:b/>
                <w:bCs/>
                <w:lang w:val="de-DE"/>
              </w:rPr>
              <w:t>[</w:t>
            </w:r>
            <w:r w:rsidRPr="0067153B">
              <w:rPr>
                <w:bCs/>
                <w:lang w:val="de-DE"/>
              </w:rPr>
              <w:t>en</w:t>
            </w:r>
            <w:r w:rsidRPr="00792D61">
              <w:rPr>
                <w:b/>
                <w:bCs/>
                <w:lang w:val="de-DE"/>
              </w:rPr>
              <w:t>]]</w:t>
            </w:r>
            <w:r w:rsidRPr="0067153B">
              <w:rPr>
                <w:bCs/>
                <w:lang w:val="de-DE"/>
              </w:rPr>
              <w:t xml:space="preserve"> gegen</w:t>
            </w:r>
            <w:r w:rsidRPr="0067153B">
              <w:rPr>
                <w:rFonts w:cs="Credit Suisse Type Light"/>
                <w:bCs/>
                <w:lang w:val="de-DE"/>
              </w:rPr>
              <w:t>ü</w:t>
            </w:r>
            <w:r w:rsidRPr="0067153B">
              <w:rPr>
                <w:bCs/>
                <w:lang w:val="de-DE"/>
              </w:rPr>
              <w:t xml:space="preserve">ber </w:t>
            </w:r>
            <w:r w:rsidRPr="00792D61">
              <w:rPr>
                <w:b/>
                <w:bCs/>
                <w:lang w:val="de-DE"/>
              </w:rPr>
              <w:t>[</w:t>
            </w:r>
            <w:r w:rsidRPr="0067153B">
              <w:rPr>
                <w:bCs/>
                <w:lang w:val="de-DE"/>
              </w:rPr>
              <w:t>f</w:t>
            </w:r>
            <w:r w:rsidRPr="0067153B">
              <w:rPr>
                <w:rFonts w:cs="Credit Suisse Type Light"/>
                <w:bCs/>
                <w:lang w:val="de-DE"/>
              </w:rPr>
              <w:t>ü</w:t>
            </w:r>
            <w:r w:rsidRPr="0067153B">
              <w:rPr>
                <w:bCs/>
                <w:lang w:val="de-DE"/>
              </w:rPr>
              <w:t>hrenden Banken im Londoner Interbankenmarkt</w:t>
            </w:r>
            <w:r w:rsidRPr="00792D61">
              <w:rPr>
                <w:b/>
                <w:bCs/>
                <w:lang w:val="de-DE"/>
              </w:rPr>
              <w:t>][</w:t>
            </w:r>
            <w:r w:rsidRPr="0067153B">
              <w:rPr>
                <w:bCs/>
                <w:lang w:val="de-DE"/>
              </w:rPr>
              <w:t>führenden Banken im Interbankenmarkt der Eurozone</w:t>
            </w:r>
            <w:r w:rsidRPr="00792D61">
              <w:rPr>
                <w:b/>
                <w:bCs/>
                <w:lang w:val="de-DE"/>
              </w:rPr>
              <w:t>][</w:t>
            </w:r>
            <w:r w:rsidRPr="0067153B">
              <w:rPr>
                <w:bCs/>
                <w:lang w:val="de-DE"/>
              </w:rPr>
              <w:t>Teilnehmern im Markt für US-Dollar-Swaps</w:t>
            </w:r>
            <w:r w:rsidRPr="00792D61">
              <w:rPr>
                <w:b/>
                <w:bCs/>
                <w:lang w:val="de-DE"/>
              </w:rPr>
              <w:t>][[</w:t>
            </w:r>
            <w:r w:rsidRPr="0067153B">
              <w:rPr>
                <w:rFonts w:ascii="Arial" w:hAnsi="Arial" w:cs="Arial"/>
                <w:bCs/>
                <w:lang w:val="de-DE"/>
              </w:rPr>
              <w:t>●</w:t>
            </w:r>
            <w:r w:rsidRPr="00792D61">
              <w:rPr>
                <w:b/>
                <w:bCs/>
                <w:lang w:val="de-DE"/>
              </w:rPr>
              <w:t>]]</w:t>
            </w:r>
            <w:r w:rsidRPr="0067153B">
              <w:rPr>
                <w:bCs/>
                <w:lang w:val="de-DE"/>
              </w:rPr>
              <w:t xml:space="preserve"> von </w:t>
            </w:r>
            <w:r w:rsidRPr="00792D61">
              <w:rPr>
                <w:b/>
                <w:bCs/>
                <w:lang w:val="de-DE"/>
              </w:rPr>
              <w:t>[</w:t>
            </w:r>
            <w:r w:rsidRPr="0067153B">
              <w:rPr>
                <w:bCs/>
                <w:lang w:val="de-DE"/>
              </w:rPr>
              <w:t>vier von der Berechnungsstelle ausgew</w:t>
            </w:r>
            <w:r w:rsidRPr="0067153B">
              <w:rPr>
                <w:rFonts w:cs="Credit Suisse Type Light"/>
                <w:bCs/>
                <w:lang w:val="de-DE"/>
              </w:rPr>
              <w:t>ä</w:t>
            </w:r>
            <w:r w:rsidRPr="0067153B">
              <w:rPr>
                <w:bCs/>
                <w:lang w:val="de-DE"/>
              </w:rPr>
              <w:t>hlten Grossbanken im Londoner Interbankenmarkt</w:t>
            </w:r>
            <w:r w:rsidRPr="00792D61">
              <w:rPr>
                <w:b/>
                <w:bCs/>
                <w:lang w:val="de-DE"/>
              </w:rPr>
              <w:t>][</w:t>
            </w:r>
            <w:r w:rsidRPr="0067153B">
              <w:rPr>
                <w:bCs/>
                <w:lang w:val="de-DE"/>
              </w:rPr>
              <w:t>vier von der Berechnungsstelle ausgew</w:t>
            </w:r>
            <w:r w:rsidRPr="0067153B">
              <w:rPr>
                <w:rFonts w:cs="Credit Suisse Type Light"/>
                <w:bCs/>
                <w:lang w:val="de-DE"/>
              </w:rPr>
              <w:t>ä</w:t>
            </w:r>
            <w:r w:rsidRPr="0067153B">
              <w:rPr>
                <w:bCs/>
                <w:lang w:val="de-DE"/>
              </w:rPr>
              <w:t>hlten Grossbanken im Interbankenmarkt der Euro-zone</w:t>
            </w:r>
            <w:r w:rsidRPr="00792D61">
              <w:rPr>
                <w:b/>
                <w:bCs/>
                <w:lang w:val="de-DE"/>
              </w:rPr>
              <w:t>][</w:t>
            </w:r>
            <w:r w:rsidRPr="0067153B">
              <w:rPr>
                <w:bCs/>
                <w:lang w:val="de-DE"/>
              </w:rPr>
              <w:t>fünf führenden Swap-Händlern im Interbankenmarkt in New York</w:t>
            </w:r>
            <w:r w:rsidRPr="00792D61">
              <w:rPr>
                <w:b/>
                <w:bCs/>
                <w:lang w:val="de-DE"/>
              </w:rPr>
              <w:t>][</w:t>
            </w:r>
            <w:r w:rsidRPr="0067153B">
              <w:rPr>
                <w:bCs/>
                <w:lang w:val="de-DE"/>
              </w:rPr>
              <w:t>den Referenzbanken</w:t>
            </w:r>
            <w:r w:rsidRPr="00792D61">
              <w:rPr>
                <w:b/>
                <w:bCs/>
                <w:lang w:val="de-DE"/>
              </w:rPr>
              <w:t>]</w:t>
            </w:r>
            <w:r w:rsidRPr="0067153B">
              <w:rPr>
                <w:bCs/>
                <w:lang w:val="de-DE"/>
              </w:rPr>
              <w:t xml:space="preserve"> angeboten werden. Die Berechnungsstelle holt von der Hauptniederlassung </w:t>
            </w:r>
            <w:r w:rsidRPr="00792D61">
              <w:rPr>
                <w:b/>
                <w:bCs/>
                <w:lang w:val="de-DE"/>
              </w:rPr>
              <w:t>[</w:t>
            </w:r>
            <w:r w:rsidRPr="0067153B">
              <w:rPr>
                <w:bCs/>
                <w:lang w:val="de-DE"/>
              </w:rPr>
              <w:t>jeder dieser Banken</w:t>
            </w:r>
            <w:r w:rsidRPr="00792D61">
              <w:rPr>
                <w:b/>
                <w:bCs/>
                <w:lang w:val="de-DE"/>
              </w:rPr>
              <w:t>][</w:t>
            </w:r>
            <w:r w:rsidRPr="0067153B">
              <w:rPr>
                <w:bCs/>
                <w:lang w:val="de-DE"/>
              </w:rPr>
              <w:t>jedes Swap-Händlers</w:t>
            </w:r>
            <w:r w:rsidRPr="00792D61">
              <w:rPr>
                <w:b/>
                <w:bCs/>
                <w:lang w:val="de-DE"/>
              </w:rPr>
              <w:t>][</w:t>
            </w:r>
            <w:r w:rsidRPr="0067153B">
              <w:rPr>
                <w:bCs/>
                <w:lang w:val="de-DE"/>
              </w:rPr>
              <w:t>jeder Referenzbank</w:t>
            </w:r>
            <w:r w:rsidRPr="00792D61">
              <w:rPr>
                <w:b/>
                <w:bCs/>
                <w:lang w:val="de-DE"/>
              </w:rPr>
              <w:t>]</w:t>
            </w:r>
            <w:r w:rsidRPr="0067153B">
              <w:rPr>
                <w:bCs/>
                <w:lang w:val="de-DE"/>
              </w:rPr>
              <w:t xml:space="preserve"> in </w:t>
            </w:r>
            <w:r w:rsidRPr="00792D61">
              <w:rPr>
                <w:b/>
                <w:bCs/>
                <w:lang w:val="de-DE"/>
              </w:rPr>
              <w:t>[</w:t>
            </w:r>
            <w:r w:rsidRPr="0067153B">
              <w:rPr>
                <w:bCs/>
                <w:lang w:val="de-DE"/>
              </w:rPr>
              <w:t>London</w:t>
            </w:r>
            <w:r w:rsidRPr="00792D61">
              <w:rPr>
                <w:b/>
                <w:bCs/>
                <w:lang w:val="de-DE"/>
              </w:rPr>
              <w:t>][</w:t>
            </w:r>
            <w:r w:rsidRPr="0067153B">
              <w:rPr>
                <w:bCs/>
                <w:lang w:val="de-DE"/>
              </w:rPr>
              <w:t>der Eurozone</w:t>
            </w:r>
            <w:r w:rsidRPr="00792D61">
              <w:rPr>
                <w:b/>
                <w:bCs/>
                <w:lang w:val="de-DE"/>
              </w:rPr>
              <w:t>][</w:t>
            </w:r>
            <w:r w:rsidRPr="0067153B">
              <w:rPr>
                <w:bCs/>
                <w:lang w:val="de-DE"/>
              </w:rPr>
              <w:t>New York</w:t>
            </w:r>
            <w:r w:rsidRPr="00792D61">
              <w:rPr>
                <w:b/>
                <w:bCs/>
                <w:lang w:val="de-DE"/>
              </w:rPr>
              <w:t>][[</w:t>
            </w:r>
            <w:r w:rsidRPr="0067153B">
              <w:rPr>
                <w:rFonts w:ascii="Arial" w:hAnsi="Arial" w:cs="Arial"/>
                <w:bCs/>
                <w:lang w:val="de-DE"/>
              </w:rPr>
              <w:t>●</w:t>
            </w:r>
            <w:r w:rsidRPr="00792D61">
              <w:rPr>
                <w:b/>
                <w:bCs/>
                <w:lang w:val="de-DE"/>
              </w:rPr>
              <w:t>]]</w:t>
            </w:r>
            <w:r w:rsidRPr="0067153B">
              <w:rPr>
                <w:bCs/>
                <w:lang w:val="de-DE"/>
              </w:rPr>
              <w:t xml:space="preserve"> eine Quotierung ihres Satzes ein.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rPr>
                <w:lang w:val="de-DE"/>
              </w:rPr>
            </w:pPr>
          </w:p>
        </w:tc>
        <w:tc>
          <w:tcPr>
            <w:tcW w:w="3315" w:type="dxa"/>
            <w:gridSpan w:val="7"/>
            <w:tcBorders>
              <w:top w:val="nil"/>
              <w:left w:val="nil"/>
              <w:bottom w:val="nil"/>
            </w:tcBorders>
            <w:shd w:val="clear" w:color="auto" w:fill="auto"/>
          </w:tcPr>
          <w:p w:rsidR="0017135D" w:rsidRPr="004C3E4A" w:rsidP="00831A24">
            <w:pPr>
              <w:pStyle w:val="CSBody8pt"/>
            </w:pPr>
            <w:r w:rsidRPr="004C3E4A">
              <w:t xml:space="preserve">If two or more </w:t>
            </w:r>
            <w:r w:rsidRPr="00792D61">
              <w:rPr>
                <w:b/>
              </w:rPr>
              <w:t>[</w:t>
            </w:r>
            <w:r w:rsidRPr="004C3E4A">
              <w:t>banks</w:t>
            </w:r>
            <w:r w:rsidRPr="00792D61">
              <w:rPr>
                <w:b/>
              </w:rPr>
              <w:t>][</w:t>
            </w:r>
            <w:r w:rsidRPr="004C3E4A">
              <w:t>swap dealers</w:t>
            </w:r>
            <w:r w:rsidRPr="00792D61">
              <w:rPr>
                <w:b/>
              </w:rPr>
              <w:t>][</w:t>
            </w:r>
            <w:r w:rsidRPr="004C3E4A">
              <w:t>Reference Banks</w:t>
            </w:r>
            <w:r w:rsidRPr="00792D61">
              <w:rPr>
                <w:b/>
              </w:rPr>
              <w:t>]</w:t>
            </w:r>
            <w:r w:rsidRPr="004C3E4A">
              <w:t xml:space="preserve"> provide the Calculation Agent with such offered quotations, Reference Rate 2 on </w:t>
            </w:r>
            <w:r w:rsidRPr="00792D61">
              <w:rPr>
                <w:b/>
              </w:rPr>
              <w:t>[</w:t>
            </w:r>
            <w:r w:rsidRPr="004C3E4A">
              <w:t>the</w:t>
            </w:r>
            <w:r w:rsidRPr="00792D61">
              <w:rPr>
                <w:b/>
              </w:rPr>
              <w:t>][</w:t>
            </w:r>
            <w:r w:rsidRPr="004C3E4A">
              <w:t>such</w:t>
            </w:r>
            <w:r w:rsidRPr="00792D61">
              <w:rPr>
                <w:b/>
              </w:rPr>
              <w:t>]</w:t>
            </w:r>
            <w:r w:rsidRPr="004C3E4A">
              <w:t xml:space="preserve"> </w:t>
            </w:r>
            <w:r w:rsidRPr="00792D61">
              <w:rPr>
                <w:b/>
              </w:rPr>
              <w:t>[</w:t>
            </w:r>
            <w:r w:rsidRPr="004C3E4A">
              <w:t>Interest Determination Date</w:t>
            </w:r>
            <w:r w:rsidRPr="00792D61">
              <w:rPr>
                <w:b/>
              </w:rPr>
              <w:t>][</w:t>
            </w:r>
            <w:r w:rsidRPr="004C3E4A">
              <w:t>Barrier Observation Date</w:t>
            </w:r>
            <w:r w:rsidRPr="00792D61">
              <w:rPr>
                <w:b/>
              </w:rPr>
              <w:t>]</w:t>
            </w:r>
            <w:r w:rsidRPr="004C3E4A">
              <w:t xml:space="preserve"> shall be the arithmetic mean (rounded if necessary to the nearest one thousandth of a percentage point, with </w:t>
            </w:r>
            <w:r w:rsidRPr="00792D61">
              <w:rPr>
                <w:b/>
              </w:rPr>
              <w:t>[</w:t>
            </w:r>
            <w:r w:rsidRPr="004C3E4A">
              <w:t>0.0005</w:t>
            </w:r>
            <w:r w:rsidRPr="00792D61">
              <w:rPr>
                <w:b/>
              </w:rPr>
              <w:t>][[</w:t>
            </w:r>
            <w:r w:rsidRPr="004C3E4A">
              <w:rPr>
                <w:rFonts w:ascii="Arial" w:hAnsi="Arial" w:cs="Arial"/>
              </w:rPr>
              <w:t>●</w:t>
            </w:r>
            <w:r w:rsidRPr="00792D61">
              <w:rPr>
                <w:b/>
              </w:rPr>
              <w:t>]]</w:t>
            </w:r>
            <w:r w:rsidRPr="004C3E4A">
              <w:t xml:space="preserve"> being rounded upwards) of such offered quotations, as determined by the Calculation Agent and expressed as a percentage per annum.</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831A24">
            <w:pPr>
              <w:pStyle w:val="CSBody8pt"/>
              <w:rPr>
                <w:lang w:val="de-DE"/>
              </w:rPr>
            </w:pPr>
            <w:r w:rsidRPr="0067153B">
              <w:rPr>
                <w:lang w:val="de-DE"/>
              </w:rPr>
              <w:t xml:space="preserve">Nennen zwei oder mehr </w:t>
            </w:r>
            <w:r w:rsidRPr="00792D61">
              <w:rPr>
                <w:b/>
                <w:lang w:val="de-DE"/>
              </w:rPr>
              <w:t>[</w:t>
            </w:r>
            <w:r w:rsidRPr="0067153B">
              <w:rPr>
                <w:lang w:val="de-DE"/>
              </w:rPr>
              <w:t>Banken</w:t>
            </w:r>
            <w:r w:rsidRPr="00792D61">
              <w:rPr>
                <w:b/>
                <w:lang w:val="de-DE"/>
              </w:rPr>
              <w:t>][</w:t>
            </w:r>
            <w:r w:rsidRPr="0067153B">
              <w:rPr>
                <w:lang w:val="de-DE"/>
              </w:rPr>
              <w:t>Swap-Händler</w:t>
            </w:r>
            <w:r w:rsidRPr="00792D61">
              <w:rPr>
                <w:b/>
                <w:lang w:val="de-DE"/>
              </w:rPr>
              <w:t>][</w:t>
            </w:r>
            <w:r w:rsidRPr="0067153B">
              <w:rPr>
                <w:lang w:val="de-DE"/>
              </w:rPr>
              <w:t>Referenzbanken</w:t>
            </w:r>
            <w:r w:rsidRPr="00792D61">
              <w:rPr>
                <w:b/>
                <w:lang w:val="de-DE"/>
              </w:rPr>
              <w:t>]</w:t>
            </w:r>
            <w:r w:rsidRPr="0067153B">
              <w:rPr>
                <w:lang w:val="de-DE"/>
              </w:rPr>
              <w:t xml:space="preserve"> der Berechnungsstelle solche Angebotsquotierungen, so ist der Referenzsatz 2 an </w:t>
            </w:r>
            <w:r w:rsidRPr="00792D61">
              <w:rPr>
                <w:b/>
                <w:lang w:val="de-DE"/>
              </w:rPr>
              <w:t>[</w:t>
            </w:r>
            <w:r w:rsidRPr="0067153B">
              <w:rPr>
                <w:lang w:val="de-DE"/>
              </w:rPr>
              <w:t>dem</w:t>
            </w:r>
            <w:r w:rsidRPr="00792D61">
              <w:rPr>
                <w:b/>
                <w:lang w:val="de-DE"/>
              </w:rPr>
              <w:t>][</w:t>
            </w:r>
            <w:r w:rsidRPr="0067153B">
              <w:rPr>
                <w:lang w:val="de-DE"/>
              </w:rPr>
              <w:t>dem jeweiligen</w:t>
            </w:r>
            <w:r w:rsidRPr="00792D61">
              <w:rPr>
                <w:b/>
                <w:lang w:val="de-DE"/>
              </w:rPr>
              <w:t>]</w:t>
            </w:r>
            <w:r w:rsidRPr="0067153B">
              <w:rPr>
                <w:lang w:val="de-DE"/>
              </w:rPr>
              <w:t xml:space="preserve"> </w:t>
            </w:r>
            <w:r w:rsidRPr="00792D61">
              <w:rPr>
                <w:b/>
                <w:lang w:val="de-DE"/>
              </w:rPr>
              <w:t>[</w:t>
            </w:r>
            <w:r w:rsidRPr="0067153B">
              <w:rPr>
                <w:lang w:val="de-DE"/>
              </w:rPr>
              <w:t>Zinsfeststellungstag</w:t>
            </w:r>
            <w:r w:rsidRPr="00792D61">
              <w:rPr>
                <w:b/>
                <w:lang w:val="de-DE"/>
              </w:rPr>
              <w:t>][</w:t>
            </w:r>
            <w:r w:rsidRPr="0067153B">
              <w:rPr>
                <w:lang w:val="de-DE"/>
              </w:rPr>
              <w:t>Barriere-Beobachtungstag</w:t>
            </w:r>
            <w:r w:rsidRPr="00792D61">
              <w:rPr>
                <w:b/>
                <w:lang w:val="de-DE"/>
              </w:rPr>
              <w:t>]</w:t>
            </w:r>
            <w:r w:rsidRPr="0067153B">
              <w:rPr>
                <w:lang w:val="de-DE"/>
              </w:rPr>
              <w:t xml:space="preserve"> das arithmetische Mittel (falls erforderlich, auf- oder abgerundet auf das nächste Tausendstel eines Prozentpunktes, wobei </w:t>
            </w:r>
            <w:r w:rsidRPr="00792D61">
              <w:rPr>
                <w:b/>
                <w:lang w:val="de-DE"/>
              </w:rPr>
              <w:t>[</w:t>
            </w:r>
            <w:r w:rsidRPr="0067153B">
              <w:rPr>
                <w:lang w:val="de-DE"/>
              </w:rPr>
              <w:t>0,0005</w:t>
            </w:r>
            <w:r w:rsidRPr="00792D61">
              <w:rPr>
                <w:b/>
                <w:lang w:val="de-DE"/>
              </w:rPr>
              <w:t>][[</w:t>
            </w:r>
            <w:r w:rsidRPr="0067153B">
              <w:rPr>
                <w:rFonts w:ascii="Arial" w:hAnsi="Arial" w:cs="Arial"/>
                <w:lang w:val="de-DE"/>
              </w:rPr>
              <w:t>●</w:t>
            </w:r>
            <w:r w:rsidRPr="00792D61">
              <w:rPr>
                <w:b/>
                <w:lang w:val="de-DE"/>
              </w:rPr>
              <w:t>]]</w:t>
            </w:r>
            <w:r w:rsidRPr="0067153B">
              <w:rPr>
                <w:lang w:val="de-DE"/>
              </w:rPr>
              <w:t xml:space="preserve"> aufgerundet wird) dieser Angebotsquotierungen, wie von der Berechnungsstelle festgestellt und als Prozentsatz per annum ausgedr</w:t>
            </w:r>
            <w:r w:rsidRPr="0067153B">
              <w:rPr>
                <w:rFonts w:cs="Credit Suisse Type Light"/>
                <w:lang w:val="de-DE"/>
              </w:rPr>
              <w:t>ü</w:t>
            </w:r>
            <w:r w:rsidRPr="0067153B">
              <w:rPr>
                <w:lang w:val="de-DE"/>
              </w:rPr>
              <w:t>ckt.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3B" w:rsidP="00831A24">
            <w:pPr>
              <w:pStyle w:val="CSBody8pt"/>
              <w:rPr>
                <w:lang w:val="de-DE"/>
              </w:rPr>
            </w:pPr>
          </w:p>
        </w:tc>
        <w:tc>
          <w:tcPr>
            <w:tcW w:w="3315" w:type="dxa"/>
            <w:gridSpan w:val="7"/>
            <w:tcBorders>
              <w:top w:val="nil"/>
              <w:left w:val="nil"/>
              <w:bottom w:val="nil"/>
            </w:tcBorders>
            <w:shd w:val="clear" w:color="auto" w:fill="auto"/>
          </w:tcPr>
          <w:p w:rsidR="0017135D" w:rsidP="00831A24">
            <w:pPr>
              <w:pStyle w:val="CSBody8pt"/>
            </w:pPr>
            <w:r w:rsidRPr="004C3E4A">
              <w:t xml:space="preserve">If only one or no </w:t>
            </w:r>
            <w:r w:rsidRPr="00792D61">
              <w:rPr>
                <w:b/>
              </w:rPr>
              <w:t>[</w:t>
            </w:r>
            <w:r w:rsidRPr="004C3E4A">
              <w:t>bank</w:t>
            </w:r>
            <w:r w:rsidRPr="00792D61">
              <w:rPr>
                <w:b/>
              </w:rPr>
              <w:t>][</w:t>
            </w:r>
            <w:r w:rsidRPr="004C3E4A">
              <w:t>swap dealer</w:t>
            </w:r>
            <w:r w:rsidRPr="00792D61">
              <w:rPr>
                <w:b/>
              </w:rPr>
              <w:t>][</w:t>
            </w:r>
            <w:r w:rsidRPr="004C3E4A">
              <w:t>Reference Bank</w:t>
            </w:r>
            <w:r w:rsidRPr="00792D61">
              <w:rPr>
                <w:b/>
              </w:rPr>
              <w:t>]</w:t>
            </w:r>
            <w:r w:rsidRPr="004C3E4A">
              <w:t xml:space="preserve"> provides the Calculation Agent with such offered quotations, Reference Rate 2 on </w:t>
            </w:r>
            <w:r w:rsidRPr="00792D61">
              <w:rPr>
                <w:b/>
              </w:rPr>
              <w:t>[</w:t>
            </w:r>
            <w:r w:rsidRPr="004C3E4A">
              <w:t>the</w:t>
            </w:r>
            <w:r w:rsidRPr="00792D61">
              <w:rPr>
                <w:b/>
              </w:rPr>
              <w:t>][</w:t>
            </w:r>
            <w:r w:rsidRPr="004C3E4A">
              <w:t>such</w:t>
            </w:r>
            <w:r w:rsidRPr="00792D61">
              <w:rPr>
                <w:b/>
              </w:rPr>
              <w:t>]</w:t>
            </w:r>
            <w:r w:rsidRPr="004C3E4A">
              <w:t xml:space="preserve"> </w:t>
            </w:r>
            <w:r w:rsidRPr="00792D61">
              <w:rPr>
                <w:b/>
              </w:rPr>
              <w:t>[</w:t>
            </w:r>
            <w:r w:rsidRPr="004C3E4A">
              <w:t>Interest Determination Date</w:t>
            </w:r>
            <w:r w:rsidRPr="00792D61">
              <w:rPr>
                <w:b/>
              </w:rPr>
              <w:t>][</w:t>
            </w:r>
            <w:r w:rsidRPr="004C3E4A">
              <w:t>Barrier Observation Date</w:t>
            </w:r>
            <w:r w:rsidRPr="00792D61">
              <w:rPr>
                <w:b/>
              </w:rPr>
              <w:t>]</w:t>
            </w:r>
            <w:r w:rsidRPr="004C3E4A">
              <w:t xml:space="preserve"> shall be </w:t>
            </w:r>
            <w:r w:rsidRPr="00792D61">
              <w:rPr>
                <w:b/>
              </w:rPr>
              <w:t>[</w:t>
            </w:r>
            <w:r w:rsidRPr="00831A24">
              <w:rPr>
                <w:b/>
                <w:i/>
              </w:rPr>
              <w:t>option 1:</w:t>
            </w:r>
            <w:r w:rsidRPr="004C3E4A">
              <w:t xml:space="preserve"> the offered quotation or arithmetic mean of the offered quotations on the Rate Source, each as determined as described above, on the last day preceding </w:t>
            </w:r>
            <w:r w:rsidRPr="00792D61">
              <w:rPr>
                <w:b/>
              </w:rPr>
              <w:t>[</w:t>
            </w:r>
            <w:r w:rsidRPr="004C3E4A">
              <w:t>the</w:t>
            </w:r>
            <w:r w:rsidRPr="00792D61">
              <w:rPr>
                <w:b/>
              </w:rPr>
              <w:t>][</w:t>
            </w:r>
            <w:r w:rsidRPr="004C3E4A">
              <w:t>such</w:t>
            </w:r>
            <w:r w:rsidRPr="00792D61">
              <w:rPr>
                <w:b/>
              </w:rPr>
              <w:t>]</w:t>
            </w:r>
            <w:r w:rsidRPr="004C3E4A">
              <w:t xml:space="preserve"> </w:t>
            </w:r>
            <w:r w:rsidRPr="00792D61">
              <w:rPr>
                <w:b/>
              </w:rPr>
              <w:t>[</w:t>
            </w:r>
            <w:r w:rsidRPr="004C3E4A">
              <w:t>Interest Determination Date</w:t>
            </w:r>
            <w:r w:rsidRPr="00792D61">
              <w:rPr>
                <w:b/>
              </w:rPr>
              <w:t>][</w:t>
            </w:r>
            <w:r w:rsidRPr="004C3E4A">
              <w:t>Barrier Observation Date</w:t>
            </w:r>
            <w:r w:rsidRPr="00792D61">
              <w:rPr>
                <w:b/>
              </w:rPr>
              <w:t>]</w:t>
            </w:r>
            <w:r w:rsidRPr="004C3E4A">
              <w:t xml:space="preserve"> on which such quotations were offered</w:t>
            </w:r>
            <w:r w:rsidRPr="00792D61">
              <w:rPr>
                <w:b/>
              </w:rPr>
              <w:t>][</w:t>
            </w:r>
            <w:r w:rsidRPr="00831A24">
              <w:rPr>
                <w:b/>
                <w:i/>
              </w:rPr>
              <w:t>option 2:</w:t>
            </w:r>
            <w:r w:rsidRPr="004C3E4A">
              <w:t xml:space="preserve"> Reference Rate 2 on the immediately preceding </w:t>
            </w:r>
            <w:r w:rsidRPr="00792D61">
              <w:rPr>
                <w:b/>
              </w:rPr>
              <w:t>[</w:t>
            </w:r>
            <w:r w:rsidRPr="004C3E4A">
              <w:t>Interest Determination Date</w:t>
            </w:r>
            <w:r w:rsidRPr="00792D61">
              <w:rPr>
                <w:b/>
              </w:rPr>
              <w:t>][</w:t>
            </w:r>
            <w:r w:rsidRPr="004C3E4A">
              <w:t>Barrier Observation Date</w:t>
            </w:r>
            <w:r w:rsidRPr="00792D61">
              <w:rPr>
                <w:b/>
              </w:rPr>
              <w:t>]</w:t>
            </w:r>
            <w:r w:rsidRPr="004C3E4A">
              <w:t xml:space="preserve"> </w:t>
            </w:r>
            <w:r w:rsidRPr="00792D61">
              <w:rPr>
                <w:b/>
              </w:rPr>
              <w:t>[</w:t>
            </w:r>
            <w:r w:rsidRPr="004C3E4A">
              <w:t>Reference Rate Business Day</w:t>
            </w:r>
            <w:r w:rsidRPr="00792D61">
              <w:rPr>
                <w:b/>
              </w:rPr>
              <w:t>]][</w:t>
            </w:r>
            <w:r w:rsidRPr="00831A24">
              <w:rPr>
                <w:b/>
                <w:i/>
              </w:rPr>
              <w:t>option 3:</w:t>
            </w:r>
            <w:r w:rsidRPr="004C3E4A">
              <w:t xml:space="preserve"> Reference Rate 2 in effect for the immediately preceding Interest Period</w:t>
            </w:r>
            <w:r w:rsidRPr="00792D61">
              <w:rPr>
                <w:b/>
              </w:rPr>
              <w:t>][</w:t>
            </w:r>
            <w:r w:rsidRPr="00831A24">
              <w:rPr>
                <w:b/>
                <w:i/>
              </w:rPr>
              <w:t>option 4:</w:t>
            </w:r>
            <w:r w:rsidRPr="004C3E4A">
              <w:t xml:space="preserve"> the arithmetic mean of the rates quoted by major banks to leading European banks in </w:t>
            </w:r>
            <w:r w:rsidRPr="00792D61">
              <w:rPr>
                <w:b/>
              </w:rPr>
              <w:t>[</w:t>
            </w:r>
            <w:r w:rsidRPr="004C3E4A">
              <w:t>Zurich</w:t>
            </w:r>
            <w:r w:rsidRPr="00792D61">
              <w:rPr>
                <w:b/>
              </w:rPr>
              <w:t>][</w:t>
            </w:r>
            <w:r w:rsidRPr="004C3E4A">
              <w:t>New York City</w:t>
            </w:r>
            <w:r w:rsidRPr="00792D61">
              <w:rPr>
                <w:b/>
              </w:rPr>
              <w:t>]</w:t>
            </w:r>
            <w:r w:rsidRPr="004C3E4A">
              <w:t>, selected by the Calculation Agent, at or around 11.00 hrs. (</w:t>
            </w:r>
            <w:r w:rsidRPr="00792D61">
              <w:rPr>
                <w:b/>
              </w:rPr>
              <w:t>[</w:t>
            </w:r>
            <w:r w:rsidRPr="004C3E4A">
              <w:t>Zurich</w:t>
            </w:r>
            <w:r w:rsidRPr="00792D61">
              <w:rPr>
                <w:b/>
              </w:rPr>
              <w:t>][</w:t>
            </w:r>
            <w:r w:rsidRPr="004C3E4A">
              <w:t>New York City</w:t>
            </w:r>
            <w:r w:rsidRPr="00792D61">
              <w:rPr>
                <w:b/>
              </w:rPr>
              <w:t>]</w:t>
            </w:r>
            <w:r w:rsidRPr="004C3E4A">
              <w:t xml:space="preserve"> local time)</w:t>
            </w:r>
            <w:r w:rsidRPr="00792D61">
              <w:rPr>
                <w:b/>
              </w:rPr>
              <w:t>][</w:t>
            </w:r>
            <w:r w:rsidRPr="00831A24">
              <w:rPr>
                <w:b/>
                <w:i/>
              </w:rPr>
              <w:t>option 5:</w:t>
            </w:r>
            <w:r w:rsidRPr="004C3E4A">
              <w:t xml:space="preserve"> the interest rate determined by the Calculation Agent at its reasonable discretion taking into account the prevailing market conditions</w:t>
            </w:r>
            <w:r w:rsidRPr="00792D61">
              <w:rPr>
                <w:b/>
              </w:rPr>
              <w:t>]</w:t>
            </w:r>
            <w:r w:rsidRPr="004C3E4A">
              <w:t>.</w:t>
            </w:r>
            <w:r w:rsidRPr="00792D61">
              <w:rPr>
                <w:b/>
              </w:rPr>
              <w:t>]</w:t>
            </w:r>
          </w:p>
        </w:tc>
        <w:tc>
          <w:tcPr>
            <w:tcW w:w="1618" w:type="dxa"/>
            <w:gridSpan w:val="2"/>
            <w:tcBorders>
              <w:top w:val="nil"/>
              <w:bottom w:val="nil"/>
              <w:right w:val="nil"/>
            </w:tcBorders>
            <w:shd w:val="clear" w:color="auto" w:fill="auto"/>
          </w:tcPr>
          <w:p w:rsidR="0017135D" w:rsidRPr="0067153B" w:rsidP="00831A24">
            <w:pPr>
              <w:pStyle w:val="CSBody8pt"/>
              <w:rPr>
                <w:i/>
              </w:rPr>
            </w:pPr>
          </w:p>
        </w:tc>
        <w:tc>
          <w:tcPr>
            <w:tcW w:w="3318" w:type="dxa"/>
            <w:gridSpan w:val="10"/>
            <w:tcBorders>
              <w:top w:val="nil"/>
              <w:left w:val="nil"/>
              <w:bottom w:val="nil"/>
              <w:right w:val="nil"/>
            </w:tcBorders>
            <w:shd w:val="clear" w:color="auto" w:fill="auto"/>
          </w:tcPr>
          <w:p w:rsidR="0017135D" w:rsidRPr="0067153B" w:rsidP="00831A24">
            <w:pPr>
              <w:pStyle w:val="CSBody8pt"/>
              <w:rPr>
                <w:lang w:val="de-DE"/>
              </w:rPr>
            </w:pPr>
            <w:r w:rsidRPr="0067153B">
              <w:rPr>
                <w:lang w:val="de-DE"/>
              </w:rPr>
              <w:t>Nennt nur ein</w:t>
            </w:r>
            <w:r w:rsidRPr="00792D61">
              <w:rPr>
                <w:b/>
                <w:lang w:val="de-DE"/>
              </w:rPr>
              <w:t>[</w:t>
            </w:r>
            <w:r w:rsidRPr="0067153B">
              <w:rPr>
                <w:lang w:val="de-DE"/>
              </w:rPr>
              <w:t>e</w:t>
            </w:r>
            <w:r w:rsidRPr="00792D61">
              <w:rPr>
                <w:b/>
                <w:lang w:val="de-DE"/>
              </w:rPr>
              <w:t>]</w:t>
            </w:r>
            <w:r w:rsidRPr="0067153B">
              <w:rPr>
                <w:lang w:val="de-DE"/>
              </w:rPr>
              <w:t xml:space="preserve"> oder kein</w:t>
            </w:r>
            <w:r w:rsidRPr="00792D61">
              <w:rPr>
                <w:b/>
                <w:lang w:val="de-DE"/>
              </w:rPr>
              <w:t>[</w:t>
            </w:r>
            <w:r w:rsidRPr="0067153B">
              <w:rPr>
                <w:lang w:val="de-DE"/>
              </w:rPr>
              <w:t>e</w:t>
            </w:r>
            <w:r w:rsidRPr="00792D61">
              <w:rPr>
                <w:b/>
                <w:lang w:val="de-DE"/>
              </w:rPr>
              <w:t>]</w:t>
            </w:r>
            <w:r w:rsidRPr="0067153B">
              <w:rPr>
                <w:lang w:val="de-DE"/>
              </w:rPr>
              <w:t xml:space="preserve"> </w:t>
            </w:r>
            <w:r w:rsidRPr="00792D61">
              <w:rPr>
                <w:b/>
                <w:lang w:val="de-DE"/>
              </w:rPr>
              <w:t>[</w:t>
            </w:r>
            <w:r w:rsidRPr="0067153B">
              <w:rPr>
                <w:lang w:val="de-DE"/>
              </w:rPr>
              <w:t>Bank</w:t>
            </w:r>
            <w:r w:rsidRPr="00792D61">
              <w:rPr>
                <w:b/>
                <w:lang w:val="de-DE"/>
              </w:rPr>
              <w:t>][</w:t>
            </w:r>
            <w:r w:rsidRPr="0067153B">
              <w:rPr>
                <w:lang w:val="de-DE"/>
              </w:rPr>
              <w:t>Swap-Händler</w:t>
            </w:r>
            <w:r w:rsidRPr="00792D61">
              <w:rPr>
                <w:b/>
                <w:lang w:val="de-DE"/>
              </w:rPr>
              <w:t>][</w:t>
            </w:r>
            <w:r w:rsidRPr="0067153B">
              <w:rPr>
                <w:lang w:val="de-DE"/>
              </w:rPr>
              <w:t>Referenzbank</w:t>
            </w:r>
            <w:r w:rsidRPr="00792D61">
              <w:rPr>
                <w:b/>
                <w:lang w:val="de-DE"/>
              </w:rPr>
              <w:t>]</w:t>
            </w:r>
            <w:r w:rsidRPr="0067153B">
              <w:rPr>
                <w:lang w:val="de-DE"/>
              </w:rPr>
              <w:t xml:space="preserve"> der Berechnungsstelle solche Angebotsquotierungen, so entspricht der Referenzsatz 2 an </w:t>
            </w:r>
            <w:r w:rsidRPr="00792D61">
              <w:rPr>
                <w:b/>
                <w:lang w:val="de-DE"/>
              </w:rPr>
              <w:t>[</w:t>
            </w:r>
            <w:r w:rsidRPr="0067153B">
              <w:rPr>
                <w:lang w:val="de-DE"/>
              </w:rPr>
              <w:t>dem</w:t>
            </w:r>
            <w:r w:rsidRPr="00792D61">
              <w:rPr>
                <w:b/>
                <w:lang w:val="de-DE"/>
              </w:rPr>
              <w:t>][</w:t>
            </w:r>
            <w:r w:rsidRPr="0067153B">
              <w:rPr>
                <w:lang w:val="de-DE"/>
              </w:rPr>
              <w:t>dem jeweiligen</w:t>
            </w:r>
            <w:r w:rsidRPr="00792D61">
              <w:rPr>
                <w:b/>
                <w:lang w:val="de-DE"/>
              </w:rPr>
              <w:t>]</w:t>
            </w:r>
            <w:r w:rsidRPr="0067153B">
              <w:rPr>
                <w:lang w:val="de-DE"/>
              </w:rPr>
              <w:t xml:space="preserve"> </w:t>
            </w:r>
            <w:r w:rsidRPr="00792D61">
              <w:rPr>
                <w:b/>
                <w:lang w:val="de-DE"/>
              </w:rPr>
              <w:t>[</w:t>
            </w:r>
            <w:r w:rsidRPr="0067153B">
              <w:rPr>
                <w:lang w:val="de-DE"/>
              </w:rPr>
              <w:t>Zinsfeststellungstag</w:t>
            </w:r>
            <w:r w:rsidRPr="00792D61">
              <w:rPr>
                <w:b/>
                <w:lang w:val="de-DE"/>
              </w:rPr>
              <w:t>][</w:t>
            </w:r>
            <w:r w:rsidRPr="0067153B">
              <w:rPr>
                <w:lang w:val="de-DE"/>
              </w:rPr>
              <w:t>Barriere-Beobachtungstag</w:t>
            </w:r>
            <w:r w:rsidRPr="00792D61">
              <w:rPr>
                <w:b/>
                <w:lang w:val="de-DE"/>
              </w:rPr>
              <w:t>]</w:t>
            </w:r>
            <w:r w:rsidRPr="0067153B">
              <w:rPr>
                <w:lang w:val="de-DE"/>
              </w:rPr>
              <w:t xml:space="preserve"> </w:t>
            </w:r>
            <w:r w:rsidRPr="00792D61">
              <w:rPr>
                <w:b/>
                <w:lang w:val="de-DE"/>
              </w:rPr>
              <w:t>[</w:t>
            </w:r>
            <w:r w:rsidRPr="00831A24">
              <w:rPr>
                <w:b/>
                <w:i/>
                <w:lang w:val="de-DE"/>
              </w:rPr>
              <w:t>Option 1:</w:t>
            </w:r>
            <w:r w:rsidRPr="0067153B">
              <w:rPr>
                <w:lang w:val="de-DE"/>
              </w:rPr>
              <w:t xml:space="preserve"> der Angebotsquotierung oder dem arithmetischen Mittel der Angebotsquotierungen wie sie sich aus der Kursquelle ergeben, jeweils wie vorstehend beschrieben festgestellt, am letzten Tag vor </w:t>
            </w:r>
            <w:r w:rsidRPr="00792D61">
              <w:rPr>
                <w:b/>
                <w:lang w:val="de-DE"/>
              </w:rPr>
              <w:t>[</w:t>
            </w:r>
            <w:r w:rsidRPr="0067153B">
              <w:rPr>
                <w:lang w:val="de-DE"/>
              </w:rPr>
              <w:t>dem</w:t>
            </w:r>
            <w:r w:rsidRPr="00792D61">
              <w:rPr>
                <w:b/>
                <w:lang w:val="de-DE"/>
              </w:rPr>
              <w:t>][</w:t>
            </w:r>
            <w:r w:rsidRPr="0067153B">
              <w:rPr>
                <w:lang w:val="de-DE"/>
              </w:rPr>
              <w:t>dem jeweiligen</w:t>
            </w:r>
            <w:r w:rsidRPr="00792D61">
              <w:rPr>
                <w:b/>
                <w:lang w:val="de-DE"/>
              </w:rPr>
              <w:t>]</w:t>
            </w:r>
            <w:r w:rsidRPr="0067153B">
              <w:rPr>
                <w:lang w:val="de-DE"/>
              </w:rPr>
              <w:t xml:space="preserve"> </w:t>
            </w:r>
            <w:r w:rsidRPr="00792D61">
              <w:rPr>
                <w:b/>
                <w:lang w:val="de-DE"/>
              </w:rPr>
              <w:t>[</w:t>
            </w:r>
            <w:r w:rsidRPr="0067153B">
              <w:rPr>
                <w:lang w:val="de-DE"/>
              </w:rPr>
              <w:t>Zinsfeststellungstag</w:t>
            </w:r>
            <w:r w:rsidRPr="00792D61">
              <w:rPr>
                <w:b/>
                <w:lang w:val="de-DE"/>
              </w:rPr>
              <w:t>]</w:t>
            </w:r>
            <w:r w:rsidRPr="0067153B">
              <w:rPr>
                <w:lang w:val="de-DE"/>
              </w:rPr>
              <w:t xml:space="preserve"> </w:t>
            </w:r>
            <w:r w:rsidRPr="00792D61">
              <w:rPr>
                <w:b/>
                <w:lang w:val="de-DE"/>
              </w:rPr>
              <w:t>[</w:t>
            </w:r>
            <w:r w:rsidRPr="0067153B">
              <w:rPr>
                <w:lang w:val="de-DE"/>
              </w:rPr>
              <w:t>Barriere-Beobachtungstag</w:t>
            </w:r>
            <w:r w:rsidRPr="00792D61">
              <w:rPr>
                <w:b/>
                <w:lang w:val="de-DE"/>
              </w:rPr>
              <w:t>]</w:t>
            </w:r>
            <w:r w:rsidRPr="0067153B">
              <w:rPr>
                <w:lang w:val="de-DE"/>
              </w:rPr>
              <w:t>, an dem diese Quotierungen angeboten wurden</w:t>
            </w:r>
            <w:r w:rsidRPr="00792D61">
              <w:rPr>
                <w:b/>
                <w:lang w:val="de-DE"/>
              </w:rPr>
              <w:t>][</w:t>
            </w:r>
            <w:r w:rsidRPr="00831A24">
              <w:rPr>
                <w:b/>
                <w:i/>
                <w:lang w:val="de-DE"/>
              </w:rPr>
              <w:t>Option 2:</w:t>
            </w:r>
            <w:r w:rsidRPr="0067153B">
              <w:rPr>
                <w:lang w:val="de-DE"/>
              </w:rPr>
              <w:t xml:space="preserve"> dem Referenzsatz 2 am unmittelbar vorangehenden </w:t>
            </w:r>
            <w:r w:rsidRPr="00792D61">
              <w:rPr>
                <w:b/>
                <w:lang w:val="de-DE"/>
              </w:rPr>
              <w:t>[</w:t>
            </w:r>
            <w:r w:rsidRPr="0067153B">
              <w:rPr>
                <w:lang w:val="de-DE"/>
              </w:rPr>
              <w:t>Zinsfeststellungstag</w:t>
            </w:r>
            <w:r w:rsidRPr="00792D61">
              <w:rPr>
                <w:b/>
                <w:lang w:val="de-DE"/>
              </w:rPr>
              <w:t>]</w:t>
            </w:r>
            <w:r w:rsidRPr="0067153B">
              <w:rPr>
                <w:lang w:val="de-DE"/>
              </w:rPr>
              <w:t xml:space="preserve"> </w:t>
            </w:r>
            <w:r w:rsidRPr="00792D61">
              <w:rPr>
                <w:b/>
                <w:lang w:val="de-DE"/>
              </w:rPr>
              <w:t>[</w:t>
            </w:r>
            <w:r w:rsidRPr="0067153B">
              <w:rPr>
                <w:lang w:val="de-DE"/>
              </w:rPr>
              <w:t>Barriere-Beobachtungstag</w:t>
            </w:r>
            <w:r w:rsidRPr="00792D61">
              <w:rPr>
                <w:b/>
                <w:lang w:val="de-DE"/>
              </w:rPr>
              <w:t>][</w:t>
            </w:r>
            <w:r w:rsidRPr="0067153B">
              <w:rPr>
                <w:lang w:val="de-DE"/>
              </w:rPr>
              <w:t>Referenzsatz-Geschäftstag</w:t>
            </w:r>
            <w:r w:rsidRPr="00792D61">
              <w:rPr>
                <w:b/>
                <w:lang w:val="de-DE"/>
              </w:rPr>
              <w:t>]][</w:t>
            </w:r>
            <w:r w:rsidRPr="00831A24">
              <w:rPr>
                <w:b/>
                <w:i/>
                <w:lang w:val="de-DE"/>
              </w:rPr>
              <w:t>Option 3:</w:t>
            </w:r>
            <w:r w:rsidRPr="0067153B">
              <w:rPr>
                <w:lang w:val="de-DE"/>
              </w:rPr>
              <w:t xml:space="preserve"> dem für die unmittelbar vorangehende Zinsperiode geltenden Referenz-satz 2</w:t>
            </w:r>
            <w:r w:rsidRPr="00792D61">
              <w:rPr>
                <w:b/>
                <w:lang w:val="de-DE"/>
              </w:rPr>
              <w:t>][</w:t>
            </w:r>
            <w:r w:rsidRPr="00831A24">
              <w:rPr>
                <w:b/>
                <w:i/>
                <w:lang w:val="de-DE"/>
              </w:rPr>
              <w:t>Option 4:</w:t>
            </w:r>
            <w:r w:rsidRPr="0067153B">
              <w:rPr>
                <w:lang w:val="de-DE"/>
              </w:rPr>
              <w:t xml:space="preserve"> dem arithmetischen Mittel der Angebotsätze von Grossbanken an europäische Grossbanken in </w:t>
            </w:r>
            <w:r w:rsidRPr="00792D61">
              <w:rPr>
                <w:b/>
                <w:lang w:val="de-DE"/>
              </w:rPr>
              <w:t>[</w:t>
            </w:r>
            <w:r w:rsidRPr="0067153B">
              <w:rPr>
                <w:lang w:val="de-DE"/>
              </w:rPr>
              <w:t>Zürich</w:t>
            </w:r>
            <w:r w:rsidRPr="00792D61">
              <w:rPr>
                <w:b/>
                <w:lang w:val="de-DE"/>
              </w:rPr>
              <w:t>][</w:t>
            </w:r>
            <w:r w:rsidRPr="0067153B">
              <w:rPr>
                <w:lang w:val="de-DE"/>
              </w:rPr>
              <w:t>New York City</w:t>
            </w:r>
            <w:r w:rsidRPr="00792D61">
              <w:rPr>
                <w:b/>
                <w:lang w:val="de-DE"/>
              </w:rPr>
              <w:t>]</w:t>
            </w:r>
            <w:r w:rsidRPr="0067153B">
              <w:rPr>
                <w:lang w:val="de-DE"/>
              </w:rPr>
              <w:t xml:space="preserve">, wie von der Berechnungsstelle ausgewählt, um oder gegen 11.00 Uhr Ortszeit </w:t>
            </w:r>
            <w:r w:rsidRPr="00792D61">
              <w:rPr>
                <w:b/>
                <w:lang w:val="de-DE"/>
              </w:rPr>
              <w:t>[</w:t>
            </w:r>
            <w:r w:rsidRPr="0067153B">
              <w:rPr>
                <w:lang w:val="de-DE"/>
              </w:rPr>
              <w:t>Zürich</w:t>
            </w:r>
            <w:r w:rsidRPr="00792D61">
              <w:rPr>
                <w:b/>
                <w:lang w:val="de-DE"/>
              </w:rPr>
              <w:t>][</w:t>
            </w:r>
            <w:r w:rsidRPr="0067153B">
              <w:rPr>
                <w:lang w:val="de-DE"/>
              </w:rPr>
              <w:t>New York City</w:t>
            </w:r>
            <w:r w:rsidRPr="00792D61">
              <w:rPr>
                <w:b/>
                <w:lang w:val="de-DE"/>
              </w:rPr>
              <w:t>]][</w:t>
            </w:r>
            <w:r w:rsidRPr="00831A24">
              <w:rPr>
                <w:b/>
                <w:i/>
                <w:lang w:val="de-DE"/>
              </w:rPr>
              <w:t>Option 5:</w:t>
            </w:r>
            <w:r w:rsidRPr="0067153B">
              <w:rPr>
                <w:lang w:val="de-DE"/>
              </w:rPr>
              <w:t xml:space="preserve"> dem von der Berechnungsstelle nach billigem Ermessen unter Berücksichtigung der Marktgegebenheiten festgelegten Zinssatz</w:t>
            </w:r>
            <w:r w:rsidRPr="00792D61">
              <w:rPr>
                <w:b/>
                <w:lang w:val="de-DE"/>
              </w:rPr>
              <w:t>]</w:t>
            </w:r>
            <w:r w:rsidRPr="0067153B">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831A24">
            <w:pPr>
              <w:pStyle w:val="CSBody8pt"/>
            </w:pPr>
            <w:r w:rsidRPr="00792D61">
              <w:rPr>
                <w:b/>
              </w:rPr>
              <w:t>[</w:t>
            </w:r>
            <w:r w:rsidRPr="00831A24">
              <w:rPr>
                <w:b/>
                <w:i/>
              </w:rPr>
              <w:t xml:space="preserve">in the case of Spread Range Accrual Notes, insert: </w:t>
            </w:r>
            <w:r w:rsidRPr="00213AB9">
              <w:t>Determination of Reference Rate 3</w:t>
            </w:r>
          </w:p>
        </w:tc>
        <w:tc>
          <w:tcPr>
            <w:tcW w:w="3315" w:type="dxa"/>
            <w:gridSpan w:val="7"/>
            <w:tcBorders>
              <w:top w:val="nil"/>
              <w:left w:val="nil"/>
              <w:bottom w:val="nil"/>
            </w:tcBorders>
            <w:shd w:val="clear" w:color="auto" w:fill="auto"/>
          </w:tcPr>
          <w:p w:rsidR="0017135D" w:rsidRPr="00213AB9" w:rsidP="00831A24">
            <w:pPr>
              <w:pStyle w:val="CSBody8pt"/>
            </w:pPr>
            <w:r w:rsidRPr="00213AB9">
              <w:t xml:space="preserve">Reference Rate 3 on </w:t>
            </w:r>
            <w:r w:rsidRPr="00792D61">
              <w:rPr>
                <w:b/>
              </w:rPr>
              <w:t>[</w:t>
            </w:r>
            <w:r w:rsidRPr="00213AB9">
              <w:t>any</w:t>
            </w:r>
            <w:r w:rsidRPr="00792D61">
              <w:rPr>
                <w:b/>
              </w:rPr>
              <w:t>][</w:t>
            </w:r>
            <w:r w:rsidRPr="00213AB9">
              <w:t>the</w:t>
            </w:r>
            <w:r w:rsidRPr="00792D61">
              <w:rPr>
                <w:b/>
              </w:rPr>
              <w:t>]</w:t>
            </w:r>
            <w:r w:rsidRPr="00213AB9">
              <w:t xml:space="preserve"> Barrier Observation Date, shall be:</w:t>
            </w:r>
          </w:p>
        </w:tc>
        <w:tc>
          <w:tcPr>
            <w:tcW w:w="1618" w:type="dxa"/>
            <w:gridSpan w:val="2"/>
            <w:tcBorders>
              <w:top w:val="nil"/>
              <w:bottom w:val="nil"/>
              <w:right w:val="nil"/>
            </w:tcBorders>
            <w:shd w:val="clear" w:color="auto" w:fill="auto"/>
          </w:tcPr>
          <w:p w:rsidR="0017135D" w:rsidRPr="00213AB9" w:rsidP="00831A24">
            <w:pPr>
              <w:pStyle w:val="CSBody8pt"/>
              <w:rPr>
                <w:i/>
                <w:lang w:val="de-DE"/>
              </w:rPr>
            </w:pPr>
            <w:r w:rsidRPr="00792D61">
              <w:rPr>
                <w:b/>
                <w:i/>
                <w:lang w:val="de-DE"/>
              </w:rPr>
              <w:t>[</w:t>
            </w:r>
            <w:r w:rsidRPr="00831A24">
              <w:rPr>
                <w:b/>
                <w:lang w:val="de-DE"/>
              </w:rPr>
              <w:t xml:space="preserve">bei Spread Range Accrual Notes einfügen: </w:t>
            </w:r>
            <w:r w:rsidRPr="00213AB9">
              <w:rPr>
                <w:i/>
                <w:lang w:val="de-DE"/>
              </w:rPr>
              <w:t>Feststellung des Referenzsatzes 3</w:t>
            </w:r>
          </w:p>
        </w:tc>
        <w:tc>
          <w:tcPr>
            <w:tcW w:w="3318" w:type="dxa"/>
            <w:gridSpan w:val="10"/>
            <w:tcBorders>
              <w:top w:val="nil"/>
              <w:left w:val="nil"/>
              <w:bottom w:val="nil"/>
              <w:right w:val="nil"/>
            </w:tcBorders>
            <w:shd w:val="clear" w:color="auto" w:fill="auto"/>
          </w:tcPr>
          <w:p w:rsidR="0017135D" w:rsidRPr="009A2A75" w:rsidP="00831A24">
            <w:pPr>
              <w:pStyle w:val="CSBody8pt"/>
              <w:rPr>
                <w:bCs/>
                <w:lang w:val="de-DE"/>
              </w:rPr>
            </w:pPr>
            <w:r w:rsidRPr="009A2A75">
              <w:rPr>
                <w:bCs/>
                <w:lang w:val="de-DE"/>
              </w:rPr>
              <w:t xml:space="preserve">Der Referenzsatz 3 an </w:t>
            </w:r>
            <w:r w:rsidRPr="00792D61">
              <w:rPr>
                <w:b/>
                <w:bCs/>
                <w:lang w:val="de-DE"/>
              </w:rPr>
              <w:t>[</w:t>
            </w:r>
            <w:r w:rsidRPr="009A2A75">
              <w:rPr>
                <w:bCs/>
                <w:lang w:val="de-DE"/>
              </w:rPr>
              <w:t>einem</w:t>
            </w:r>
            <w:r w:rsidRPr="00792D61">
              <w:rPr>
                <w:b/>
                <w:bCs/>
                <w:lang w:val="de-DE"/>
              </w:rPr>
              <w:t>][</w:t>
            </w:r>
            <w:r w:rsidRPr="009A2A75">
              <w:rPr>
                <w:bCs/>
                <w:lang w:val="de-DE"/>
              </w:rPr>
              <w:t>dem</w:t>
            </w:r>
            <w:r w:rsidRPr="00792D61">
              <w:rPr>
                <w:b/>
                <w:bCs/>
                <w:lang w:val="de-DE"/>
              </w:rPr>
              <w:t>]</w:t>
            </w:r>
            <w:r w:rsidRPr="009A2A75">
              <w:rPr>
                <w:bCs/>
                <w:lang w:val="de-DE"/>
              </w:rPr>
              <w:t xml:space="preserve"> Barriere-Beobachtungstag ist: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A2A75" w:rsidP="00831A24">
            <w:pPr>
              <w:pStyle w:val="CSBody8pt"/>
              <w:rPr>
                <w:lang w:val="de-DE"/>
              </w:rPr>
            </w:pPr>
          </w:p>
        </w:tc>
        <w:tc>
          <w:tcPr>
            <w:tcW w:w="3315" w:type="dxa"/>
            <w:gridSpan w:val="7"/>
            <w:tcBorders>
              <w:top w:val="nil"/>
              <w:left w:val="nil"/>
              <w:bottom w:val="nil"/>
            </w:tcBorders>
            <w:shd w:val="clear" w:color="auto" w:fill="auto"/>
          </w:tcPr>
          <w:p w:rsidR="0017135D" w:rsidRPr="00213AB9" w:rsidP="00831A24">
            <w:pPr>
              <w:pStyle w:val="CSBody8pt"/>
            </w:pPr>
            <w:r w:rsidRPr="00792D61">
              <w:rPr>
                <w:b/>
              </w:rPr>
              <w:t>[</w:t>
            </w:r>
            <w:r w:rsidRPr="00213AB9">
              <w:t>(i)</w:t>
            </w:r>
            <w:r w:rsidRPr="00792D61">
              <w:rPr>
                <w:b/>
              </w:rPr>
              <w:t>]</w:t>
            </w:r>
            <w:r w:rsidRPr="00213AB9">
              <w:tab/>
              <w:t xml:space="preserve">if there is </w:t>
            </w:r>
            <w:r w:rsidRPr="00792D61">
              <w:rPr>
                <w:b/>
              </w:rPr>
              <w:t>[</w:t>
            </w:r>
            <w:r w:rsidRPr="00213AB9">
              <w:t>only</w:t>
            </w:r>
            <w:r w:rsidRPr="00792D61">
              <w:rPr>
                <w:b/>
              </w:rPr>
              <w:t>]</w:t>
            </w:r>
            <w:r w:rsidRPr="00213AB9">
              <w:t xml:space="preserve"> one offered quotation on the relevant Rate Source, the offered quotation, </w:t>
            </w:r>
            <w:r w:rsidRPr="00792D61">
              <w:rPr>
                <w:b/>
              </w:rPr>
              <w:t>[</w:t>
            </w:r>
            <w:r w:rsidRPr="00213AB9">
              <w:t>or</w:t>
            </w:r>
            <w:r w:rsidRPr="00792D61">
              <w:rPr>
                <w:b/>
              </w:rPr>
              <w:t>]</w:t>
            </w:r>
          </w:p>
        </w:tc>
        <w:tc>
          <w:tcPr>
            <w:tcW w:w="1618" w:type="dxa"/>
            <w:gridSpan w:val="2"/>
            <w:tcBorders>
              <w:top w:val="nil"/>
              <w:bottom w:val="nil"/>
              <w:right w:val="nil"/>
            </w:tcBorders>
            <w:shd w:val="clear" w:color="auto" w:fill="auto"/>
          </w:tcPr>
          <w:p w:rsidR="0017135D" w:rsidRPr="00213AB9" w:rsidP="00831A24">
            <w:pPr>
              <w:pStyle w:val="CSBody8pt"/>
              <w:rPr>
                <w:i/>
              </w:rPr>
            </w:pPr>
          </w:p>
        </w:tc>
        <w:tc>
          <w:tcPr>
            <w:tcW w:w="3318" w:type="dxa"/>
            <w:gridSpan w:val="10"/>
            <w:tcBorders>
              <w:top w:val="nil"/>
              <w:left w:val="nil"/>
              <w:bottom w:val="nil"/>
              <w:right w:val="nil"/>
            </w:tcBorders>
            <w:shd w:val="clear" w:color="auto" w:fill="auto"/>
          </w:tcPr>
          <w:p w:rsidR="0017135D" w:rsidRPr="00213AB9" w:rsidP="0094769A">
            <w:pPr>
              <w:pStyle w:val="CSBody8pt"/>
              <w:rPr>
                <w:bCs/>
                <w:lang w:val="de-DE"/>
              </w:rPr>
            </w:pPr>
            <w:r w:rsidRPr="00BD6E0D">
              <w:rPr>
                <w:b/>
                <w:bCs/>
                <w:lang w:val="de-DE"/>
              </w:rPr>
              <w:t>[</w:t>
            </w:r>
            <w:r>
              <w:rPr>
                <w:bCs/>
                <w:lang w:val="de-DE"/>
              </w:rPr>
              <w:t>(i)</w:t>
            </w:r>
            <w:r w:rsidRPr="00BD6E0D">
              <w:rPr>
                <w:b/>
                <w:bCs/>
                <w:lang w:val="de-DE"/>
              </w:rPr>
              <w:t>]</w:t>
            </w:r>
            <w:r w:rsidRPr="00BD6E0D">
              <w:rPr>
                <w:lang w:val="de-DE"/>
              </w:rPr>
              <w:t xml:space="preserve"> </w:t>
            </w:r>
            <w:r w:rsidRPr="00BD6E0D">
              <w:rPr>
                <w:lang w:val="de-DE"/>
              </w:rPr>
              <w:tab/>
            </w:r>
            <w:r>
              <w:rPr>
                <w:lang w:val="de-DE"/>
              </w:rPr>
              <w:t xml:space="preserve">wenn sich aus der </w:t>
            </w:r>
            <w:r w:rsidRPr="00213AB9">
              <w:rPr>
                <w:bCs/>
                <w:lang w:val="de-DE"/>
              </w:rPr>
              <w:t xml:space="preserve">massgeblichen Kursquelle </w:t>
            </w:r>
            <w:r w:rsidRPr="00792D61">
              <w:rPr>
                <w:b/>
                <w:bCs/>
                <w:lang w:val="de-DE"/>
              </w:rPr>
              <w:t>[</w:t>
            </w:r>
            <w:r w:rsidRPr="00213AB9">
              <w:rPr>
                <w:bCs/>
                <w:lang w:val="de-DE"/>
              </w:rPr>
              <w:t>nur</w:t>
            </w:r>
            <w:r w:rsidRPr="00792D61">
              <w:rPr>
                <w:b/>
                <w:bCs/>
                <w:lang w:val="de-DE"/>
              </w:rPr>
              <w:t>]</w:t>
            </w:r>
            <w:r w:rsidRPr="00213AB9">
              <w:rPr>
                <w:bCs/>
                <w:lang w:val="de-DE"/>
              </w:rPr>
              <w:t xml:space="preserve"> eine Angebotsquotierung ergibt, diese Angebotsquotierung, </w:t>
            </w:r>
            <w:r w:rsidRPr="00792D61">
              <w:rPr>
                <w:b/>
                <w:bCs/>
                <w:lang w:val="de-DE"/>
              </w:rPr>
              <w:t>[</w:t>
            </w:r>
            <w:r w:rsidRPr="00213AB9">
              <w:rPr>
                <w:bCs/>
                <w:lang w:val="de-DE"/>
              </w:rPr>
              <w:t>oder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831A24">
            <w:pPr>
              <w:pStyle w:val="CSBody8pt"/>
              <w:rPr>
                <w:lang w:val="de-DE"/>
              </w:rPr>
            </w:pPr>
          </w:p>
        </w:tc>
        <w:tc>
          <w:tcPr>
            <w:tcW w:w="3315" w:type="dxa"/>
            <w:gridSpan w:val="7"/>
            <w:tcBorders>
              <w:top w:val="nil"/>
              <w:left w:val="nil"/>
              <w:bottom w:val="nil"/>
            </w:tcBorders>
            <w:shd w:val="clear" w:color="auto" w:fill="auto"/>
          </w:tcPr>
          <w:p w:rsidR="0017135D" w:rsidRPr="00213AB9" w:rsidP="00831A24">
            <w:pPr>
              <w:pStyle w:val="CSBody8pt"/>
            </w:pPr>
            <w:r w:rsidRPr="00792D61">
              <w:rPr>
                <w:b/>
              </w:rPr>
              <w:t>[</w:t>
            </w:r>
            <w:r w:rsidRPr="00213AB9">
              <w:t>(ii)</w:t>
            </w:r>
            <w:r w:rsidRPr="00213AB9">
              <w:tab/>
              <w:t xml:space="preserve">if there is more than one offered quotation on the relevant Rate Source, the arithmetic mean (rounded if necessary to the nearest one thousandth of a percentage point, with </w:t>
            </w:r>
            <w:r w:rsidRPr="00792D61">
              <w:rPr>
                <w:b/>
              </w:rPr>
              <w:t>[</w:t>
            </w:r>
            <w:r w:rsidRPr="00213AB9">
              <w:t>0.0005</w:t>
            </w:r>
            <w:r w:rsidRPr="00792D61">
              <w:rPr>
                <w:b/>
              </w:rPr>
              <w:t>][</w:t>
            </w:r>
            <w:r w:rsidRPr="00213AB9">
              <w:t xml:space="preserve"> </w:t>
            </w:r>
            <w:r w:rsidRPr="00792D61">
              <w:rPr>
                <w:b/>
              </w:rPr>
              <w:t>[</w:t>
            </w:r>
            <w:r w:rsidRPr="00213AB9">
              <w:rPr>
                <w:rFonts w:ascii="Arial" w:hAnsi="Arial" w:cs="Arial"/>
              </w:rPr>
              <w:t>●</w:t>
            </w:r>
            <w:r w:rsidRPr="00792D61">
              <w:rPr>
                <w:b/>
              </w:rPr>
              <w:t>]]</w:t>
            </w:r>
            <w:r w:rsidRPr="00213AB9">
              <w:t xml:space="preserve"> being rounded upwards) of such offered quotations,</w:t>
            </w:r>
            <w:r w:rsidRPr="00792D61">
              <w:rPr>
                <w:b/>
              </w:rPr>
              <w:t>]</w:t>
            </w:r>
          </w:p>
        </w:tc>
        <w:tc>
          <w:tcPr>
            <w:tcW w:w="1618" w:type="dxa"/>
            <w:gridSpan w:val="2"/>
            <w:tcBorders>
              <w:top w:val="nil"/>
              <w:bottom w:val="nil"/>
              <w:right w:val="nil"/>
            </w:tcBorders>
            <w:shd w:val="clear" w:color="auto" w:fill="auto"/>
          </w:tcPr>
          <w:p w:rsidR="0017135D" w:rsidRPr="00213AB9" w:rsidP="00831A24">
            <w:pPr>
              <w:pStyle w:val="CSBody8pt"/>
              <w:rPr>
                <w:i/>
              </w:rPr>
            </w:pPr>
          </w:p>
        </w:tc>
        <w:tc>
          <w:tcPr>
            <w:tcW w:w="3318" w:type="dxa"/>
            <w:gridSpan w:val="10"/>
            <w:tcBorders>
              <w:top w:val="nil"/>
              <w:left w:val="nil"/>
              <w:bottom w:val="nil"/>
              <w:right w:val="nil"/>
            </w:tcBorders>
            <w:shd w:val="clear" w:color="auto" w:fill="auto"/>
          </w:tcPr>
          <w:p w:rsidR="0017135D" w:rsidRPr="00213AB9" w:rsidP="0094769A">
            <w:pPr>
              <w:pStyle w:val="CSBody8pt"/>
              <w:rPr>
                <w:bCs/>
                <w:lang w:val="de-DE"/>
              </w:rPr>
            </w:pPr>
            <w:r w:rsidRPr="00792D61">
              <w:rPr>
                <w:b/>
                <w:bCs/>
                <w:lang w:val="de-DE"/>
              </w:rPr>
              <w:t>[</w:t>
            </w:r>
            <w:r w:rsidRPr="00213AB9">
              <w:rPr>
                <w:bCs/>
                <w:lang w:val="de-DE"/>
              </w:rPr>
              <w:t>(ii)</w:t>
            </w:r>
            <w:r w:rsidRPr="00213AB9">
              <w:rPr>
                <w:bCs/>
                <w:lang w:val="de-DE"/>
              </w:rPr>
              <w:tab/>
              <w:t xml:space="preserve">wenn sich aus der massgeblichen Kursquelle mehr als eine Angebotsquotierung ergibt, das arithmetische Mittel (falls erforderlich, auf- oder abgerundet auf das nächste Tausendstel eines Prozentpunktes, wobei </w:t>
            </w:r>
            <w:r w:rsidRPr="00792D61">
              <w:rPr>
                <w:b/>
                <w:bCs/>
                <w:lang w:val="de-DE"/>
              </w:rPr>
              <w:t>[</w:t>
            </w:r>
            <w:r w:rsidRPr="00213AB9">
              <w:rPr>
                <w:bCs/>
                <w:lang w:val="de-DE"/>
              </w:rPr>
              <w:t>0,0005</w:t>
            </w:r>
            <w:r w:rsidRPr="00792D61">
              <w:rPr>
                <w:b/>
                <w:bCs/>
                <w:lang w:val="de-DE"/>
              </w:rPr>
              <w:t>][</w:t>
            </w:r>
            <w:r w:rsidRPr="00213AB9">
              <w:rPr>
                <w:bCs/>
                <w:lang w:val="de-DE"/>
              </w:rPr>
              <w:t xml:space="preserve"> </w:t>
            </w:r>
            <w:r w:rsidRPr="00792D61">
              <w:rPr>
                <w:b/>
                <w:bCs/>
                <w:lang w:val="de-DE"/>
              </w:rPr>
              <w:t>[</w:t>
            </w:r>
            <w:r w:rsidRPr="00213AB9">
              <w:rPr>
                <w:rFonts w:ascii="Arial" w:hAnsi="Arial" w:cs="Arial"/>
                <w:bCs/>
                <w:lang w:val="de-DE"/>
              </w:rPr>
              <w:t>●</w:t>
            </w:r>
            <w:r w:rsidRPr="00792D61">
              <w:rPr>
                <w:b/>
                <w:bCs/>
                <w:lang w:val="de-DE"/>
              </w:rPr>
              <w:t>]]</w:t>
            </w:r>
            <w:r w:rsidRPr="00213AB9">
              <w:rPr>
                <w:bCs/>
                <w:lang w:val="de-DE"/>
              </w:rPr>
              <w:t xml:space="preserve"> aufgerundet wird) dieser Angebotsquotierungen,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831A24">
            <w:pPr>
              <w:pStyle w:val="CSBody8pt"/>
              <w:rPr>
                <w:lang w:val="de-DE"/>
              </w:rPr>
            </w:pPr>
          </w:p>
        </w:tc>
        <w:tc>
          <w:tcPr>
            <w:tcW w:w="3315" w:type="dxa"/>
            <w:gridSpan w:val="7"/>
            <w:tcBorders>
              <w:top w:val="nil"/>
              <w:left w:val="nil"/>
              <w:bottom w:val="nil"/>
            </w:tcBorders>
            <w:shd w:val="clear" w:color="auto" w:fill="auto"/>
          </w:tcPr>
          <w:p w:rsidR="0017135D" w:rsidRPr="00472A74" w:rsidP="00831A24">
            <w:pPr>
              <w:pStyle w:val="CSBody8pt"/>
            </w:pPr>
            <w:r w:rsidRPr="00792D61">
              <w:rPr>
                <w:b/>
              </w:rPr>
              <w:t>[</w:t>
            </w:r>
            <w:r w:rsidRPr="00472A74">
              <w:t>in each case,</w:t>
            </w:r>
            <w:r w:rsidRPr="00792D61">
              <w:rPr>
                <w:b/>
              </w:rPr>
              <w:t>]</w:t>
            </w:r>
            <w:r w:rsidRPr="00472A74">
              <w:t xml:space="preserve"> as of </w:t>
            </w:r>
            <w:r w:rsidRPr="00792D61">
              <w:rPr>
                <w:b/>
              </w:rPr>
              <w:t>[</w:t>
            </w:r>
            <w:r w:rsidRPr="00472A74">
              <w:t>11:00 a.m.</w:t>
            </w:r>
            <w:r w:rsidRPr="00792D61">
              <w:rPr>
                <w:b/>
              </w:rPr>
              <w:t>][[</w:t>
            </w:r>
            <w:r w:rsidRPr="00472A74">
              <w:rPr>
                <w:rFonts w:ascii="Arial" w:hAnsi="Arial" w:cs="Arial"/>
              </w:rPr>
              <w:t>●</w:t>
            </w:r>
            <w:r w:rsidRPr="00792D61">
              <w:rPr>
                <w:b/>
              </w:rPr>
              <w:t>]]</w:t>
            </w:r>
            <w:r w:rsidRPr="00472A74">
              <w:t xml:space="preserve">, </w:t>
            </w:r>
            <w:r w:rsidRPr="00792D61">
              <w:rPr>
                <w:b/>
              </w:rPr>
              <w:t>[</w:t>
            </w:r>
            <w:r w:rsidRPr="00472A74">
              <w:t>London</w:t>
            </w:r>
            <w:r w:rsidRPr="00792D61">
              <w:rPr>
                <w:b/>
              </w:rPr>
              <w:t>][</w:t>
            </w:r>
            <w:r w:rsidRPr="00472A74">
              <w:t>Brussels</w:t>
            </w:r>
            <w:r w:rsidRPr="00792D61">
              <w:rPr>
                <w:b/>
              </w:rPr>
              <w:t>][</w:t>
            </w:r>
            <w:r w:rsidRPr="00472A74">
              <w:t>New York City</w:t>
            </w:r>
            <w:r w:rsidRPr="00792D61">
              <w:rPr>
                <w:b/>
              </w:rPr>
              <w:t>][[</w:t>
            </w:r>
            <w:r w:rsidRPr="00472A74">
              <w:rPr>
                <w:rFonts w:ascii="Arial" w:hAnsi="Arial" w:cs="Arial"/>
              </w:rPr>
              <w:t>●</w:t>
            </w:r>
            <w:r w:rsidRPr="00792D61">
              <w:rPr>
                <w:b/>
              </w:rPr>
              <w:t>]]</w:t>
            </w:r>
            <w:r w:rsidRPr="00472A74">
              <w:t xml:space="preserve"> time, on </w:t>
            </w:r>
            <w:r w:rsidRPr="00792D61">
              <w:rPr>
                <w:b/>
              </w:rPr>
              <w:t>[</w:t>
            </w:r>
            <w:r w:rsidRPr="00472A74">
              <w:t>the</w:t>
            </w:r>
            <w:r w:rsidRPr="00792D61">
              <w:rPr>
                <w:b/>
              </w:rPr>
              <w:t>][</w:t>
            </w:r>
            <w:r w:rsidRPr="00472A74">
              <w:t>such</w:t>
            </w:r>
            <w:r w:rsidRPr="00792D61">
              <w:rPr>
                <w:b/>
              </w:rPr>
              <w:t>]</w:t>
            </w:r>
            <w:r w:rsidRPr="00472A74">
              <w:t xml:space="preserve"> Barrier Observation Date for </w:t>
            </w:r>
            <w:r w:rsidRPr="00792D61">
              <w:rPr>
                <w:b/>
              </w:rPr>
              <w:t>[</w:t>
            </w:r>
            <w:r w:rsidRPr="00472A74">
              <w:t>deposits in the relevant Specified Reference Rate Currency</w:t>
            </w:r>
            <w:r w:rsidRPr="00792D61">
              <w:rPr>
                <w:b/>
              </w:rPr>
              <w:t>][</w:t>
            </w:r>
            <w:r w:rsidRPr="00472A74">
              <w:t>U.S. dollar swaps</w:t>
            </w:r>
            <w:r w:rsidRPr="00792D61">
              <w:rPr>
                <w:b/>
              </w:rPr>
              <w:t>]</w:t>
            </w:r>
            <w:r w:rsidRPr="00472A74">
              <w:t xml:space="preserve"> with </w:t>
            </w:r>
            <w:r w:rsidRPr="00792D61">
              <w:rPr>
                <w:b/>
              </w:rPr>
              <w:t>[</w:t>
            </w:r>
            <w:r w:rsidRPr="00472A74">
              <w:rPr>
                <w:rFonts w:ascii="Arial" w:hAnsi="Arial" w:cs="Arial"/>
              </w:rPr>
              <w:t>●</w:t>
            </w:r>
            <w:r w:rsidRPr="00792D61">
              <w:rPr>
                <w:b/>
              </w:rPr>
              <w:t>]</w:t>
            </w:r>
            <w:r w:rsidRPr="00472A74">
              <w:t>-</w:t>
            </w:r>
            <w:r w:rsidRPr="00792D61">
              <w:rPr>
                <w:b/>
              </w:rPr>
              <w:t>[</w:t>
            </w:r>
            <w:r w:rsidRPr="00472A74">
              <w:t>month</w:t>
            </w:r>
            <w:r w:rsidRPr="00792D61">
              <w:rPr>
                <w:b/>
              </w:rPr>
              <w:t>]</w:t>
            </w:r>
            <w:r w:rsidRPr="00472A74">
              <w:t xml:space="preserve"> </w:t>
            </w:r>
            <w:r w:rsidRPr="00792D61">
              <w:rPr>
                <w:b/>
              </w:rPr>
              <w:t>[</w:t>
            </w:r>
            <w:r w:rsidRPr="00472A74">
              <w:t>year</w:t>
            </w:r>
            <w:r w:rsidRPr="00792D61">
              <w:rPr>
                <w:b/>
              </w:rPr>
              <w:t>]</w:t>
            </w:r>
            <w:r w:rsidRPr="00472A74">
              <w:t xml:space="preserve"> maturity, as determined by the Calculation Agent and as expressed as a percentage rate per annum.</w:t>
            </w:r>
          </w:p>
        </w:tc>
        <w:tc>
          <w:tcPr>
            <w:tcW w:w="1618" w:type="dxa"/>
            <w:gridSpan w:val="2"/>
            <w:tcBorders>
              <w:top w:val="nil"/>
              <w:bottom w:val="nil"/>
              <w:right w:val="nil"/>
            </w:tcBorders>
            <w:shd w:val="clear" w:color="auto" w:fill="auto"/>
          </w:tcPr>
          <w:p w:rsidR="0017135D" w:rsidRPr="00213AB9" w:rsidP="00831A24">
            <w:pPr>
              <w:pStyle w:val="CSBody8pt"/>
              <w:rPr>
                <w:i/>
              </w:rPr>
            </w:pPr>
          </w:p>
        </w:tc>
        <w:tc>
          <w:tcPr>
            <w:tcW w:w="3318" w:type="dxa"/>
            <w:gridSpan w:val="10"/>
            <w:tcBorders>
              <w:top w:val="nil"/>
              <w:left w:val="nil"/>
              <w:bottom w:val="nil"/>
              <w:right w:val="nil"/>
            </w:tcBorders>
            <w:shd w:val="clear" w:color="auto" w:fill="auto"/>
          </w:tcPr>
          <w:p w:rsidR="0017135D" w:rsidRPr="00213AB9" w:rsidP="0094769A">
            <w:pPr>
              <w:pStyle w:val="CSBody8pt"/>
              <w:rPr>
                <w:lang w:val="de-DE"/>
              </w:rPr>
            </w:pPr>
            <w:r w:rsidRPr="00792D61">
              <w:rPr>
                <w:b/>
                <w:lang w:val="de-DE"/>
              </w:rPr>
              <w:t>[</w:t>
            </w:r>
            <w:r w:rsidRPr="00213AB9">
              <w:rPr>
                <w:lang w:val="de-DE"/>
              </w:rPr>
              <w:t>jeweils</w:t>
            </w:r>
            <w:r w:rsidRPr="00792D61">
              <w:rPr>
                <w:b/>
                <w:lang w:val="de-DE"/>
              </w:rPr>
              <w:t>]</w:t>
            </w:r>
            <w:r w:rsidRPr="00213AB9">
              <w:rPr>
                <w:lang w:val="de-DE"/>
              </w:rPr>
              <w:t xml:space="preserve"> um </w:t>
            </w:r>
            <w:r w:rsidRPr="00792D61">
              <w:rPr>
                <w:b/>
                <w:lang w:val="de-DE"/>
              </w:rPr>
              <w:t>[</w:t>
            </w:r>
            <w:r w:rsidRPr="00213AB9">
              <w:rPr>
                <w:lang w:val="de-DE"/>
              </w:rPr>
              <w:t>11:00 Uhr</w:t>
            </w:r>
            <w:r w:rsidRPr="00792D61">
              <w:rPr>
                <w:b/>
                <w:lang w:val="de-DE"/>
              </w:rPr>
              <w:t>][[</w:t>
            </w:r>
            <w:r w:rsidRPr="00213AB9">
              <w:rPr>
                <w:rFonts w:ascii="Arial" w:hAnsi="Arial" w:cs="Arial"/>
                <w:lang w:val="de-DE"/>
              </w:rPr>
              <w:t>●</w:t>
            </w:r>
            <w:r w:rsidRPr="00792D61">
              <w:rPr>
                <w:b/>
                <w:lang w:val="de-DE"/>
              </w:rPr>
              <w:t>]]</w:t>
            </w:r>
            <w:r w:rsidRPr="00213AB9">
              <w:rPr>
                <w:lang w:val="de-DE"/>
              </w:rPr>
              <w:t xml:space="preserve"> </w:t>
            </w:r>
            <w:r w:rsidRPr="00792D61">
              <w:rPr>
                <w:b/>
                <w:lang w:val="de-DE"/>
              </w:rPr>
              <w:t>[</w:t>
            </w:r>
            <w:r w:rsidRPr="00213AB9">
              <w:rPr>
                <w:lang w:val="de-DE"/>
              </w:rPr>
              <w:t>Londoner</w:t>
            </w:r>
            <w:r w:rsidRPr="00792D61">
              <w:rPr>
                <w:b/>
                <w:lang w:val="de-DE"/>
              </w:rPr>
              <w:t>]</w:t>
            </w:r>
            <w:r w:rsidRPr="00213AB9">
              <w:rPr>
                <w:lang w:val="de-DE"/>
              </w:rPr>
              <w:t xml:space="preserve"> </w:t>
            </w:r>
            <w:r w:rsidRPr="00792D61">
              <w:rPr>
                <w:b/>
                <w:lang w:val="de-DE"/>
              </w:rPr>
              <w:t>[</w:t>
            </w:r>
            <w:r w:rsidRPr="00213AB9">
              <w:rPr>
                <w:lang w:val="de-DE"/>
              </w:rPr>
              <w:t>Br</w:t>
            </w:r>
            <w:r w:rsidRPr="00213AB9">
              <w:rPr>
                <w:rFonts w:cs="Credit Suisse Type Light"/>
                <w:lang w:val="de-DE"/>
              </w:rPr>
              <w:t>ü</w:t>
            </w:r>
            <w:r w:rsidRPr="00213AB9">
              <w:rPr>
                <w:lang w:val="de-DE"/>
              </w:rPr>
              <w:t>sseler</w:t>
            </w:r>
            <w:r w:rsidRPr="00792D61">
              <w:rPr>
                <w:b/>
                <w:lang w:val="de-DE"/>
              </w:rPr>
              <w:t>][</w:t>
            </w:r>
            <w:r w:rsidRPr="00213AB9">
              <w:rPr>
                <w:lang w:val="de-DE"/>
              </w:rPr>
              <w:t>New Yorker</w:t>
            </w:r>
            <w:r w:rsidRPr="00792D61">
              <w:rPr>
                <w:b/>
                <w:lang w:val="de-DE"/>
              </w:rPr>
              <w:t>][[</w:t>
            </w:r>
            <w:r w:rsidRPr="00213AB9">
              <w:rPr>
                <w:rFonts w:ascii="Arial" w:hAnsi="Arial" w:cs="Arial"/>
                <w:lang w:val="de-DE"/>
              </w:rPr>
              <w:t>●</w:t>
            </w:r>
            <w:r w:rsidRPr="00792D61">
              <w:rPr>
                <w:b/>
                <w:lang w:val="de-DE"/>
              </w:rPr>
              <w:t>]]</w:t>
            </w:r>
            <w:r w:rsidRPr="00213AB9">
              <w:rPr>
                <w:lang w:val="de-DE"/>
              </w:rPr>
              <w:t xml:space="preserve"> Ortszeit an </w:t>
            </w:r>
            <w:r w:rsidRPr="00792D61">
              <w:rPr>
                <w:b/>
                <w:lang w:val="de-DE"/>
              </w:rPr>
              <w:t>[</w:t>
            </w:r>
            <w:r w:rsidRPr="00213AB9">
              <w:rPr>
                <w:lang w:val="de-DE"/>
              </w:rPr>
              <w:t>dem</w:t>
            </w:r>
            <w:r w:rsidRPr="00792D61">
              <w:rPr>
                <w:b/>
                <w:lang w:val="de-DE"/>
              </w:rPr>
              <w:t>][</w:t>
            </w:r>
            <w:r w:rsidRPr="00213AB9">
              <w:rPr>
                <w:lang w:val="de-DE"/>
              </w:rPr>
              <w:t>dem jeweiligen</w:t>
            </w:r>
            <w:r w:rsidRPr="00792D61">
              <w:rPr>
                <w:b/>
                <w:lang w:val="de-DE"/>
              </w:rPr>
              <w:t>]</w:t>
            </w:r>
            <w:r w:rsidRPr="00213AB9">
              <w:rPr>
                <w:lang w:val="de-DE"/>
              </w:rPr>
              <w:t xml:space="preserve"> Barriere-Beobachtungstag f</w:t>
            </w:r>
            <w:r w:rsidRPr="00213AB9">
              <w:rPr>
                <w:rFonts w:cs="Credit Suisse Type Light"/>
                <w:lang w:val="de-DE"/>
              </w:rPr>
              <w:t>ü</w:t>
            </w:r>
            <w:r w:rsidRPr="00213AB9">
              <w:rPr>
                <w:lang w:val="de-DE"/>
              </w:rPr>
              <w:t xml:space="preserve">r </w:t>
            </w:r>
            <w:r w:rsidRPr="00792D61">
              <w:rPr>
                <w:b/>
                <w:lang w:val="de-DE"/>
              </w:rPr>
              <w:t>[</w:t>
            </w:r>
            <w:r w:rsidRPr="00213AB9">
              <w:rPr>
                <w:lang w:val="de-DE"/>
              </w:rPr>
              <w:t>Einlagen in der massgeblichen Festgelegten Referenzsatz-W</w:t>
            </w:r>
            <w:r w:rsidRPr="00213AB9">
              <w:rPr>
                <w:rFonts w:cs="Credit Suisse Type Light"/>
                <w:lang w:val="de-DE"/>
              </w:rPr>
              <w:t>ä</w:t>
            </w:r>
            <w:r w:rsidRPr="00213AB9">
              <w:rPr>
                <w:lang w:val="de-DE"/>
              </w:rPr>
              <w:t>hrung</w:t>
            </w:r>
            <w:r w:rsidRPr="00792D61">
              <w:rPr>
                <w:b/>
                <w:lang w:val="de-DE"/>
              </w:rPr>
              <w:t>][</w:t>
            </w:r>
            <w:r w:rsidRPr="00213AB9">
              <w:rPr>
                <w:lang w:val="de-DE"/>
              </w:rPr>
              <w:t>US-Dollar-Swaps</w:t>
            </w:r>
            <w:r w:rsidRPr="00792D61">
              <w:rPr>
                <w:b/>
                <w:lang w:val="de-DE"/>
              </w:rPr>
              <w:t>]</w:t>
            </w:r>
            <w:r w:rsidRPr="00213AB9">
              <w:rPr>
                <w:lang w:val="de-DE"/>
              </w:rPr>
              <w:t xml:space="preserve"> mit einer Laufzeit von </w:t>
            </w:r>
            <w:r w:rsidRPr="00792D61">
              <w:rPr>
                <w:b/>
                <w:lang w:val="de-DE"/>
              </w:rPr>
              <w:t>[</w:t>
            </w:r>
            <w:r w:rsidRPr="00213AB9">
              <w:rPr>
                <w:rFonts w:ascii="Arial" w:hAnsi="Arial" w:cs="Arial"/>
                <w:lang w:val="de-DE"/>
              </w:rPr>
              <w:t>●</w:t>
            </w:r>
            <w:r w:rsidRPr="00792D61">
              <w:rPr>
                <w:b/>
                <w:lang w:val="de-DE"/>
              </w:rPr>
              <w:t>]</w:t>
            </w:r>
            <w:r w:rsidRPr="00213AB9">
              <w:rPr>
                <w:lang w:val="de-DE"/>
              </w:rPr>
              <w:t xml:space="preserve"> </w:t>
            </w:r>
            <w:r w:rsidRPr="00792D61">
              <w:rPr>
                <w:b/>
                <w:lang w:val="de-DE"/>
              </w:rPr>
              <w:t>[</w:t>
            </w:r>
            <w:r w:rsidRPr="00213AB9">
              <w:rPr>
                <w:lang w:val="de-DE"/>
              </w:rPr>
              <w:t>Monat</w:t>
            </w:r>
            <w:r w:rsidRPr="00792D61">
              <w:rPr>
                <w:b/>
                <w:lang w:val="de-DE"/>
              </w:rPr>
              <w:t>[</w:t>
            </w:r>
            <w:r w:rsidRPr="00213AB9">
              <w:rPr>
                <w:lang w:val="de-DE"/>
              </w:rPr>
              <w:t>en</w:t>
            </w:r>
            <w:r w:rsidRPr="00792D61">
              <w:rPr>
                <w:b/>
                <w:lang w:val="de-DE"/>
              </w:rPr>
              <w:t>]]</w:t>
            </w:r>
            <w:r w:rsidRPr="00213AB9">
              <w:rPr>
                <w:lang w:val="de-DE"/>
              </w:rPr>
              <w:t xml:space="preserve"> </w:t>
            </w:r>
            <w:r w:rsidRPr="00792D61">
              <w:rPr>
                <w:b/>
                <w:lang w:val="de-DE"/>
              </w:rPr>
              <w:t>[</w:t>
            </w:r>
            <w:r w:rsidRPr="00213AB9">
              <w:rPr>
                <w:lang w:val="de-DE"/>
              </w:rPr>
              <w:t>Jahr</w:t>
            </w:r>
            <w:r w:rsidRPr="00792D61">
              <w:rPr>
                <w:b/>
                <w:lang w:val="de-DE"/>
              </w:rPr>
              <w:t>[</w:t>
            </w:r>
            <w:r w:rsidRPr="00213AB9">
              <w:rPr>
                <w:lang w:val="de-DE"/>
              </w:rPr>
              <w:t>en</w:t>
            </w:r>
            <w:r w:rsidRPr="00792D61">
              <w:rPr>
                <w:b/>
                <w:lang w:val="de-DE"/>
              </w:rPr>
              <w:t>]]</w:t>
            </w:r>
            <w:r w:rsidRPr="00213AB9">
              <w:rPr>
                <w:lang w:val="de-DE"/>
              </w:rPr>
              <w:t>, wie von der Berechnungsstelle festgestellt und als Prozentsatz per annum ausgedrückt.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831A24">
            <w:pPr>
              <w:pStyle w:val="CSBody8pt"/>
              <w:rPr>
                <w:lang w:val="de-DE"/>
              </w:rPr>
            </w:pPr>
          </w:p>
        </w:tc>
        <w:tc>
          <w:tcPr>
            <w:tcW w:w="3315" w:type="dxa"/>
            <w:gridSpan w:val="7"/>
            <w:tcBorders>
              <w:top w:val="nil"/>
              <w:left w:val="nil"/>
              <w:bottom w:val="nil"/>
            </w:tcBorders>
            <w:shd w:val="clear" w:color="auto" w:fill="auto"/>
          </w:tcPr>
          <w:p w:rsidR="0017135D" w:rsidRPr="00472A74" w:rsidP="00831A24">
            <w:pPr>
              <w:pStyle w:val="CSBody8pt"/>
            </w:pPr>
            <w:r w:rsidRPr="00792D61">
              <w:rPr>
                <w:b/>
              </w:rPr>
              <w:t>[</w:t>
            </w:r>
            <w:r w:rsidRPr="00472A74">
              <w:t>If, in the case of clause (ii) above, five or more offered quotations are available on the relevant Rate Source, the highest (or, if there is more than one such highest rate, only one of such rates) and the lowest (or, if there is more than one such lowest rate, only one of such rates) shall be disregarded by the Calculation Agent for purposes of determining the arithmetic mean (rounded as provided above) of such offered quotations.</w:t>
            </w:r>
            <w:r w:rsidRPr="00792D61">
              <w:rPr>
                <w:b/>
              </w:rPr>
              <w:t>]</w:t>
            </w:r>
          </w:p>
        </w:tc>
        <w:tc>
          <w:tcPr>
            <w:tcW w:w="1618" w:type="dxa"/>
            <w:gridSpan w:val="2"/>
            <w:tcBorders>
              <w:top w:val="nil"/>
              <w:bottom w:val="nil"/>
              <w:right w:val="nil"/>
            </w:tcBorders>
            <w:shd w:val="clear" w:color="auto" w:fill="auto"/>
          </w:tcPr>
          <w:p w:rsidR="0017135D" w:rsidRPr="00213AB9" w:rsidP="00831A24">
            <w:pPr>
              <w:pStyle w:val="CSBody8pt"/>
              <w:rPr>
                <w:i/>
              </w:rPr>
            </w:pPr>
          </w:p>
        </w:tc>
        <w:tc>
          <w:tcPr>
            <w:tcW w:w="3318" w:type="dxa"/>
            <w:gridSpan w:val="10"/>
            <w:tcBorders>
              <w:top w:val="nil"/>
              <w:left w:val="nil"/>
              <w:bottom w:val="nil"/>
              <w:right w:val="nil"/>
            </w:tcBorders>
            <w:shd w:val="clear" w:color="auto" w:fill="auto"/>
          </w:tcPr>
          <w:p w:rsidR="0017135D" w:rsidRPr="00213AB9" w:rsidP="00831A24">
            <w:pPr>
              <w:pStyle w:val="CSBody8pt"/>
              <w:rPr>
                <w:lang w:val="de-DE"/>
              </w:rPr>
            </w:pPr>
            <w:r w:rsidRPr="00792D61">
              <w:rPr>
                <w:b/>
                <w:lang w:val="de-DE"/>
              </w:rPr>
              <w:t>[</w:t>
            </w:r>
            <w:r w:rsidRPr="00213AB9">
              <w:rPr>
                <w:lang w:val="de-DE"/>
              </w:rPr>
              <w:t>Ergeben sich im vorstehend unter (ii) beschriebenen Fall aus der massgeblichen Kursquelle fünf oder mehr Angebotsquotierungen, so werden die höchste (falls es mehr als einen solchen höchsten Satz gibt, nur einer dieser Sätze) und die niedrigste (falls es mehr als einen solchen niedrigsten Satz gibt, nur einer dieser Sätze) von der Berechnungsstelle für die Bestimmung des arithmetischen Mittels der Angebotsquotierungen (das wie vorstehend beschrieben auf- oder abgerundet wird) ausser Acht gelassen.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831A24">
            <w:pPr>
              <w:pStyle w:val="CSBody8pt"/>
              <w:rPr>
                <w:lang w:val="de-DE"/>
              </w:rPr>
            </w:pPr>
          </w:p>
        </w:tc>
        <w:tc>
          <w:tcPr>
            <w:tcW w:w="3315" w:type="dxa"/>
            <w:gridSpan w:val="7"/>
            <w:tcBorders>
              <w:top w:val="nil"/>
              <w:left w:val="nil"/>
              <w:bottom w:val="nil"/>
            </w:tcBorders>
            <w:shd w:val="clear" w:color="auto" w:fill="auto"/>
          </w:tcPr>
          <w:p w:rsidR="0017135D" w:rsidP="00831A24">
            <w:pPr>
              <w:pStyle w:val="CSBody8pt"/>
            </w:pPr>
            <w:r w:rsidRPr="00472A74">
              <w:t xml:space="preserve">If the relevant Rate Source is not available or </w:t>
            </w:r>
            <w:r w:rsidRPr="00792D61">
              <w:rPr>
                <w:b/>
              </w:rPr>
              <w:t>[</w:t>
            </w:r>
            <w:r w:rsidRPr="00472A74">
              <w:t>if, in the case of clause (i) above,</w:t>
            </w:r>
            <w:r w:rsidRPr="00792D61">
              <w:rPr>
                <w:b/>
              </w:rPr>
              <w:t>]</w:t>
            </w:r>
            <w:r w:rsidRPr="00472A74">
              <w:t xml:space="preserve"> no such quotation appears </w:t>
            </w:r>
            <w:r w:rsidRPr="00792D61">
              <w:rPr>
                <w:b/>
              </w:rPr>
              <w:t>[</w:t>
            </w:r>
            <w:r w:rsidRPr="00472A74">
              <w:t xml:space="preserve">or, in the case of clause (ii) above, fewer than </w:t>
            </w:r>
            <w:r w:rsidRPr="00792D61">
              <w:rPr>
                <w:b/>
              </w:rPr>
              <w:t>[</w:t>
            </w:r>
            <w:r w:rsidRPr="00472A74">
              <w:t>three</w:t>
            </w:r>
            <w:r w:rsidRPr="00792D61">
              <w:rPr>
                <w:b/>
              </w:rPr>
              <w:t>][</w:t>
            </w:r>
            <w:r w:rsidRPr="00472A74">
              <w:t>two</w:t>
            </w:r>
            <w:r w:rsidRPr="00792D61">
              <w:rPr>
                <w:b/>
              </w:rPr>
              <w:t>]</w:t>
            </w:r>
            <w:r w:rsidRPr="00472A74">
              <w:t xml:space="preserve"> offered quotations appear</w:t>
            </w:r>
            <w:r w:rsidRPr="00792D61">
              <w:rPr>
                <w:b/>
              </w:rPr>
              <w:t>]</w:t>
            </w:r>
            <w:r w:rsidRPr="00472A74">
              <w:t xml:space="preserve">, Reference Rate 3 shall be determined on the basis of the rates, at approximately </w:t>
            </w:r>
            <w:r w:rsidRPr="00792D61">
              <w:rPr>
                <w:b/>
              </w:rPr>
              <w:t>[</w:t>
            </w:r>
            <w:r w:rsidRPr="00472A74">
              <w:t>11:00 a.m.</w:t>
            </w:r>
            <w:r w:rsidRPr="00792D61">
              <w:rPr>
                <w:b/>
              </w:rPr>
              <w:t>][[</w:t>
            </w:r>
            <w:r w:rsidRPr="00472A74">
              <w:rPr>
                <w:rFonts w:ascii="Arial" w:hAnsi="Arial" w:cs="Arial"/>
              </w:rPr>
              <w:t>●</w:t>
            </w:r>
            <w:r w:rsidRPr="00792D61">
              <w:rPr>
                <w:b/>
              </w:rPr>
              <w:t>]]</w:t>
            </w:r>
            <w:r w:rsidRPr="00472A74">
              <w:t xml:space="preserve">, </w:t>
            </w:r>
            <w:r w:rsidRPr="00792D61">
              <w:rPr>
                <w:b/>
              </w:rPr>
              <w:t>[</w:t>
            </w:r>
            <w:r w:rsidRPr="00472A74">
              <w:t>London</w:t>
            </w:r>
            <w:r w:rsidRPr="00792D61">
              <w:rPr>
                <w:b/>
              </w:rPr>
              <w:t>][</w:t>
            </w:r>
            <w:r w:rsidRPr="00472A74">
              <w:t>Brussels</w:t>
            </w:r>
            <w:r w:rsidRPr="00792D61">
              <w:rPr>
                <w:b/>
              </w:rPr>
              <w:t>][</w:t>
            </w:r>
            <w:r w:rsidRPr="00472A74">
              <w:t>New York City</w:t>
            </w:r>
            <w:r w:rsidRPr="00792D61">
              <w:rPr>
                <w:b/>
              </w:rPr>
              <w:t>][[</w:t>
            </w:r>
            <w:r w:rsidRPr="00472A74">
              <w:rPr>
                <w:rFonts w:ascii="Arial" w:hAnsi="Arial" w:cs="Arial"/>
              </w:rPr>
              <w:t>●</w:t>
            </w:r>
            <w:r w:rsidRPr="00792D61">
              <w:rPr>
                <w:b/>
              </w:rPr>
              <w:t>]]</w:t>
            </w:r>
            <w:r w:rsidRPr="00472A74">
              <w:t xml:space="preserve">, on </w:t>
            </w:r>
            <w:r w:rsidRPr="00792D61">
              <w:rPr>
                <w:b/>
              </w:rPr>
              <w:t>[</w:t>
            </w:r>
            <w:r w:rsidRPr="00472A74">
              <w:t>the</w:t>
            </w:r>
            <w:r w:rsidRPr="00792D61">
              <w:rPr>
                <w:b/>
              </w:rPr>
              <w:t>][</w:t>
            </w:r>
            <w:r w:rsidRPr="00472A74">
              <w:t>such</w:t>
            </w:r>
            <w:r w:rsidRPr="00792D61">
              <w:rPr>
                <w:b/>
              </w:rPr>
              <w:t>]</w:t>
            </w:r>
            <w:r w:rsidRPr="00472A74">
              <w:t xml:space="preserve"> Barrier Observation Date, at which </w:t>
            </w:r>
            <w:r w:rsidRPr="00792D61">
              <w:rPr>
                <w:b/>
              </w:rPr>
              <w:t>[</w:t>
            </w:r>
            <w:r w:rsidRPr="00472A74">
              <w:t>deposits in the relevant Specified Currency</w:t>
            </w:r>
            <w:r w:rsidRPr="00792D61">
              <w:rPr>
                <w:b/>
              </w:rPr>
              <w:t>]</w:t>
            </w:r>
            <w:r w:rsidRPr="00472A74">
              <w:t xml:space="preserve"> </w:t>
            </w:r>
            <w:r w:rsidRPr="00792D61">
              <w:rPr>
                <w:b/>
              </w:rPr>
              <w:t>[</w:t>
            </w:r>
            <w:r w:rsidRPr="00472A74">
              <w:t>swaps in U.S. dollars</w:t>
            </w:r>
            <w:r w:rsidRPr="00792D61">
              <w:rPr>
                <w:b/>
              </w:rPr>
              <w:t>]</w:t>
            </w:r>
            <w:r w:rsidRPr="00472A74">
              <w:t xml:space="preserve"> with </w:t>
            </w:r>
            <w:r w:rsidRPr="00792D61">
              <w:rPr>
                <w:b/>
              </w:rPr>
              <w:t>[</w:t>
            </w:r>
            <w:r w:rsidRPr="00472A74">
              <w:rPr>
                <w:rFonts w:ascii="Arial" w:hAnsi="Arial" w:cs="Arial"/>
              </w:rPr>
              <w:t>●</w:t>
            </w:r>
            <w:r w:rsidRPr="00792D61">
              <w:rPr>
                <w:b/>
              </w:rPr>
              <w:t>]</w:t>
            </w:r>
            <w:r w:rsidRPr="00472A74">
              <w:t>-</w:t>
            </w:r>
            <w:r w:rsidRPr="00792D61">
              <w:rPr>
                <w:b/>
              </w:rPr>
              <w:t>[</w:t>
            </w:r>
            <w:r w:rsidRPr="00472A74">
              <w:t>month</w:t>
            </w:r>
            <w:r w:rsidRPr="00792D61">
              <w:rPr>
                <w:b/>
              </w:rPr>
              <w:t>][</w:t>
            </w:r>
            <w:r w:rsidRPr="00472A74">
              <w:t>year</w:t>
            </w:r>
            <w:r w:rsidRPr="00792D61">
              <w:rPr>
                <w:b/>
              </w:rPr>
              <w:t>]</w:t>
            </w:r>
            <w:r w:rsidRPr="00472A74">
              <w:t xml:space="preserve"> maturity are offered to </w:t>
            </w:r>
            <w:r w:rsidRPr="00792D61">
              <w:rPr>
                <w:b/>
              </w:rPr>
              <w:t>[</w:t>
            </w:r>
            <w:r w:rsidRPr="00472A74">
              <w:t>prime banks in the London interbank market</w:t>
            </w:r>
            <w:r w:rsidRPr="00792D61">
              <w:rPr>
                <w:b/>
              </w:rPr>
              <w:t>][</w:t>
            </w:r>
            <w:r w:rsidRPr="00472A74">
              <w:t>prime banks in the euro-zone interbank market</w:t>
            </w:r>
            <w:r w:rsidRPr="00792D61">
              <w:rPr>
                <w:b/>
              </w:rPr>
              <w:t>][</w:t>
            </w:r>
            <w:r w:rsidRPr="00472A74">
              <w:t>participants in the U.S. dollar swap market</w:t>
            </w:r>
            <w:r w:rsidRPr="00792D61">
              <w:rPr>
                <w:b/>
              </w:rPr>
              <w:t>][[</w:t>
            </w:r>
            <w:r w:rsidRPr="00472A74">
              <w:rPr>
                <w:rFonts w:ascii="Arial" w:hAnsi="Arial" w:cs="Arial"/>
              </w:rPr>
              <w:t>●</w:t>
            </w:r>
            <w:r w:rsidRPr="00792D61">
              <w:rPr>
                <w:b/>
              </w:rPr>
              <w:t>]]</w:t>
            </w:r>
            <w:r w:rsidRPr="00472A74">
              <w:t xml:space="preserve"> by </w:t>
            </w:r>
            <w:r w:rsidRPr="00792D61">
              <w:rPr>
                <w:b/>
              </w:rPr>
              <w:t>[</w:t>
            </w:r>
            <w:r w:rsidRPr="00472A74">
              <w:t>four major banks in the London interbank market selected by the Calculation Agent</w:t>
            </w:r>
            <w:r w:rsidRPr="00792D61">
              <w:rPr>
                <w:b/>
              </w:rPr>
              <w:t>][</w:t>
            </w:r>
            <w:r w:rsidRPr="00472A74">
              <w:t>four major banks in the euro-zone interbank market selected by the Calculation Agent</w:t>
            </w:r>
            <w:r w:rsidRPr="00792D61">
              <w:rPr>
                <w:b/>
              </w:rPr>
              <w:t>][</w:t>
            </w:r>
            <w:r w:rsidRPr="00472A74">
              <w:t>five leading swap dealers in the New York City interbank market</w:t>
            </w:r>
            <w:r w:rsidRPr="00792D61">
              <w:rPr>
                <w:b/>
              </w:rPr>
              <w:t>][</w:t>
            </w:r>
            <w:r w:rsidRPr="00472A74">
              <w:t>the Reference Banks</w:t>
            </w:r>
            <w:r w:rsidRPr="00792D61">
              <w:rPr>
                <w:b/>
              </w:rPr>
              <w:t>]</w:t>
            </w:r>
            <w:r w:rsidRPr="00472A74">
              <w:t xml:space="preserve">. The Calculation Agent shall request the principal </w:t>
            </w:r>
            <w:r w:rsidRPr="00792D61">
              <w:rPr>
                <w:b/>
              </w:rPr>
              <w:t>[</w:t>
            </w:r>
            <w:r w:rsidRPr="00472A74">
              <w:t>London</w:t>
            </w:r>
            <w:r w:rsidRPr="00792D61">
              <w:rPr>
                <w:b/>
              </w:rPr>
              <w:t>][</w:t>
            </w:r>
            <w:r w:rsidRPr="00472A74">
              <w:t>euro-zone</w:t>
            </w:r>
            <w:r w:rsidRPr="00792D61">
              <w:rPr>
                <w:b/>
              </w:rPr>
              <w:t>][</w:t>
            </w:r>
            <w:r w:rsidRPr="00472A74">
              <w:t>New York City</w:t>
            </w:r>
            <w:r w:rsidRPr="00792D61">
              <w:rPr>
                <w:b/>
              </w:rPr>
              <w:t>][[</w:t>
            </w:r>
            <w:r w:rsidRPr="00472A74">
              <w:rPr>
                <w:rFonts w:ascii="Arial" w:hAnsi="Arial" w:cs="Arial"/>
              </w:rPr>
              <w:t>●</w:t>
            </w:r>
            <w:r w:rsidRPr="00792D61">
              <w:rPr>
                <w:b/>
              </w:rPr>
              <w:t>]]</w:t>
            </w:r>
            <w:r w:rsidRPr="00472A74">
              <w:t xml:space="preserve"> office of each </w:t>
            </w:r>
            <w:r w:rsidRPr="00792D61">
              <w:rPr>
                <w:b/>
              </w:rPr>
              <w:t>[</w:t>
            </w:r>
            <w:r w:rsidRPr="00472A74">
              <w:t>such bank</w:t>
            </w:r>
            <w:r w:rsidRPr="00792D61">
              <w:rPr>
                <w:b/>
              </w:rPr>
              <w:t>][</w:t>
            </w:r>
            <w:r w:rsidRPr="00472A74">
              <w:t>swap dealer</w:t>
            </w:r>
            <w:r w:rsidRPr="00792D61">
              <w:rPr>
                <w:b/>
              </w:rPr>
              <w:t>][</w:t>
            </w:r>
            <w:r w:rsidRPr="00472A74">
              <w:t>Reference Bank</w:t>
            </w:r>
            <w:r w:rsidRPr="00792D61">
              <w:rPr>
                <w:b/>
              </w:rPr>
              <w:t>]</w:t>
            </w:r>
            <w:r w:rsidRPr="00472A74">
              <w:t xml:space="preserve"> to provide a quotation of its rate.</w:t>
            </w:r>
          </w:p>
        </w:tc>
        <w:tc>
          <w:tcPr>
            <w:tcW w:w="1618" w:type="dxa"/>
            <w:gridSpan w:val="2"/>
            <w:tcBorders>
              <w:top w:val="nil"/>
              <w:bottom w:val="nil"/>
              <w:right w:val="nil"/>
            </w:tcBorders>
            <w:shd w:val="clear" w:color="auto" w:fill="auto"/>
          </w:tcPr>
          <w:p w:rsidR="0017135D" w:rsidRPr="00213AB9" w:rsidP="00831A24">
            <w:pPr>
              <w:pStyle w:val="CSBody8pt"/>
              <w:rPr>
                <w:i/>
              </w:rPr>
            </w:pPr>
          </w:p>
        </w:tc>
        <w:tc>
          <w:tcPr>
            <w:tcW w:w="3318" w:type="dxa"/>
            <w:gridSpan w:val="10"/>
            <w:tcBorders>
              <w:top w:val="nil"/>
              <w:left w:val="nil"/>
              <w:bottom w:val="nil"/>
              <w:right w:val="nil"/>
            </w:tcBorders>
            <w:shd w:val="clear" w:color="auto" w:fill="auto"/>
          </w:tcPr>
          <w:p w:rsidR="0017135D" w:rsidRPr="00213AB9" w:rsidP="0094769A">
            <w:pPr>
              <w:pStyle w:val="CSBody8pt"/>
              <w:rPr>
                <w:lang w:val="de-DE"/>
              </w:rPr>
            </w:pPr>
            <w:r w:rsidRPr="00213AB9">
              <w:rPr>
                <w:lang w:val="de-DE"/>
              </w:rPr>
              <w:t xml:space="preserve">Steht die massgebliche Kursquelle nicht zur Verfügung oder werden </w:t>
            </w:r>
            <w:r w:rsidRPr="00792D61">
              <w:rPr>
                <w:b/>
                <w:lang w:val="de-DE"/>
              </w:rPr>
              <w:t>[</w:t>
            </w:r>
            <w:r w:rsidRPr="00213AB9">
              <w:rPr>
                <w:lang w:val="de-DE"/>
              </w:rPr>
              <w:t>dort im vorstehend unter (i) beschriebenen Fall</w:t>
            </w:r>
            <w:r w:rsidRPr="00792D61">
              <w:rPr>
                <w:b/>
                <w:lang w:val="de-DE"/>
              </w:rPr>
              <w:t>]</w:t>
            </w:r>
            <w:r w:rsidRPr="00213AB9">
              <w:rPr>
                <w:lang w:val="de-DE"/>
              </w:rPr>
              <w:t xml:space="preserve"> keine solchen Quotierungen </w:t>
            </w:r>
            <w:r w:rsidRPr="00792D61">
              <w:rPr>
                <w:b/>
                <w:lang w:val="de-DE"/>
              </w:rPr>
              <w:t>[</w:t>
            </w:r>
            <w:r w:rsidRPr="00213AB9">
              <w:rPr>
                <w:lang w:val="de-DE"/>
              </w:rPr>
              <w:t xml:space="preserve">bzw. im vorstehend unter (ii) beschriebenen Fall weniger als </w:t>
            </w:r>
            <w:r w:rsidRPr="00792D61">
              <w:rPr>
                <w:b/>
                <w:lang w:val="de-DE"/>
              </w:rPr>
              <w:t>[</w:t>
            </w:r>
            <w:r w:rsidRPr="00213AB9">
              <w:rPr>
                <w:lang w:val="de-DE"/>
              </w:rPr>
              <w:t>drei</w:t>
            </w:r>
            <w:r w:rsidRPr="00792D61">
              <w:rPr>
                <w:b/>
                <w:lang w:val="de-DE"/>
              </w:rPr>
              <w:t>][</w:t>
            </w:r>
            <w:r w:rsidRPr="00213AB9">
              <w:rPr>
                <w:lang w:val="de-DE"/>
              </w:rPr>
              <w:t>zwei</w:t>
            </w:r>
            <w:r w:rsidRPr="00792D61">
              <w:rPr>
                <w:b/>
                <w:lang w:val="de-DE"/>
              </w:rPr>
              <w:t>]</w:t>
            </w:r>
            <w:r w:rsidRPr="00213AB9">
              <w:rPr>
                <w:lang w:val="de-DE"/>
              </w:rPr>
              <w:t xml:space="preserve"> solcher Angebotsquotierungen</w:t>
            </w:r>
            <w:r w:rsidRPr="00792D61">
              <w:rPr>
                <w:b/>
                <w:lang w:val="de-DE"/>
              </w:rPr>
              <w:t>]</w:t>
            </w:r>
            <w:r w:rsidRPr="00213AB9">
              <w:rPr>
                <w:lang w:val="de-DE"/>
              </w:rPr>
              <w:t xml:space="preserve"> angezeigt, so wird der Referenzsatz 3 um ca. </w:t>
            </w:r>
            <w:r w:rsidRPr="00792D61">
              <w:rPr>
                <w:b/>
                <w:lang w:val="de-DE"/>
              </w:rPr>
              <w:t>[</w:t>
            </w:r>
            <w:r w:rsidRPr="00213AB9">
              <w:rPr>
                <w:lang w:val="de-DE"/>
              </w:rPr>
              <w:t>11:00 Uhr</w:t>
            </w:r>
            <w:r w:rsidRPr="00792D61">
              <w:rPr>
                <w:b/>
                <w:lang w:val="de-DE"/>
              </w:rPr>
              <w:t>][[</w:t>
            </w:r>
            <w:r w:rsidRPr="00213AB9">
              <w:rPr>
                <w:rFonts w:ascii="Arial" w:hAnsi="Arial" w:cs="Arial"/>
                <w:lang w:val="de-DE"/>
              </w:rPr>
              <w:t>●</w:t>
            </w:r>
            <w:r w:rsidRPr="00792D61">
              <w:rPr>
                <w:b/>
                <w:lang w:val="de-DE"/>
              </w:rPr>
              <w:t>]]</w:t>
            </w:r>
            <w:r w:rsidRPr="00213AB9">
              <w:rPr>
                <w:lang w:val="de-DE"/>
              </w:rPr>
              <w:t xml:space="preserve"> </w:t>
            </w:r>
            <w:r w:rsidRPr="00792D61">
              <w:rPr>
                <w:b/>
                <w:lang w:val="de-DE"/>
              </w:rPr>
              <w:t>[</w:t>
            </w:r>
            <w:r w:rsidRPr="00213AB9">
              <w:rPr>
                <w:lang w:val="de-DE"/>
              </w:rPr>
              <w:t>Londoner</w:t>
            </w:r>
            <w:r w:rsidRPr="00792D61">
              <w:rPr>
                <w:b/>
                <w:lang w:val="de-DE"/>
              </w:rPr>
              <w:t>]</w:t>
            </w:r>
            <w:r w:rsidRPr="00213AB9">
              <w:rPr>
                <w:lang w:val="de-DE"/>
              </w:rPr>
              <w:t xml:space="preserve"> </w:t>
            </w:r>
            <w:r w:rsidRPr="00792D61">
              <w:rPr>
                <w:b/>
                <w:lang w:val="de-DE"/>
              </w:rPr>
              <w:t>[</w:t>
            </w:r>
            <w:r w:rsidRPr="00213AB9">
              <w:rPr>
                <w:lang w:val="de-DE"/>
              </w:rPr>
              <w:t>Br</w:t>
            </w:r>
            <w:r w:rsidRPr="00213AB9">
              <w:rPr>
                <w:rFonts w:cs="Credit Suisse Type Light"/>
                <w:lang w:val="de-DE"/>
              </w:rPr>
              <w:t>ü</w:t>
            </w:r>
            <w:r w:rsidRPr="00213AB9">
              <w:rPr>
                <w:lang w:val="de-DE"/>
              </w:rPr>
              <w:t>sseler</w:t>
            </w:r>
            <w:r w:rsidRPr="00792D61">
              <w:rPr>
                <w:b/>
                <w:lang w:val="de-DE"/>
              </w:rPr>
              <w:t>][</w:t>
            </w:r>
            <w:r w:rsidRPr="00213AB9">
              <w:rPr>
                <w:lang w:val="de-DE"/>
              </w:rPr>
              <w:t>New Yorker</w:t>
            </w:r>
            <w:r w:rsidRPr="00792D61">
              <w:rPr>
                <w:b/>
                <w:lang w:val="de-DE"/>
              </w:rPr>
              <w:t>][[</w:t>
            </w:r>
            <w:r w:rsidRPr="00213AB9">
              <w:rPr>
                <w:rFonts w:ascii="Arial" w:hAnsi="Arial" w:cs="Arial"/>
                <w:lang w:val="de-DE"/>
              </w:rPr>
              <w:t>●</w:t>
            </w:r>
            <w:r w:rsidRPr="00792D61">
              <w:rPr>
                <w:b/>
                <w:lang w:val="de-DE"/>
              </w:rPr>
              <w:t>]]</w:t>
            </w:r>
            <w:r w:rsidRPr="00213AB9">
              <w:rPr>
                <w:lang w:val="de-DE"/>
              </w:rPr>
              <w:t xml:space="preserve"> Ortszeit an </w:t>
            </w:r>
            <w:r w:rsidRPr="00792D61">
              <w:rPr>
                <w:b/>
                <w:lang w:val="de-DE"/>
              </w:rPr>
              <w:t>[</w:t>
            </w:r>
            <w:r w:rsidRPr="00213AB9">
              <w:rPr>
                <w:lang w:val="de-DE"/>
              </w:rPr>
              <w:t>dem</w:t>
            </w:r>
            <w:r w:rsidRPr="00792D61">
              <w:rPr>
                <w:b/>
                <w:lang w:val="de-DE"/>
              </w:rPr>
              <w:t>][</w:t>
            </w:r>
            <w:r w:rsidRPr="00213AB9">
              <w:rPr>
                <w:lang w:val="de-DE"/>
              </w:rPr>
              <w:t>dem jeweiligen</w:t>
            </w:r>
            <w:r w:rsidRPr="00792D61">
              <w:rPr>
                <w:b/>
                <w:lang w:val="de-DE"/>
              </w:rPr>
              <w:t>]</w:t>
            </w:r>
            <w:r w:rsidRPr="00213AB9">
              <w:rPr>
                <w:lang w:val="de-DE"/>
              </w:rPr>
              <w:t xml:space="preserve"> Barriere-Beobachtungstag auf Grundlage der Sätze festgestellt, zu denen </w:t>
            </w:r>
            <w:r w:rsidRPr="00792D61">
              <w:rPr>
                <w:b/>
                <w:lang w:val="de-DE"/>
              </w:rPr>
              <w:t>[</w:t>
            </w:r>
            <w:r w:rsidRPr="00213AB9">
              <w:rPr>
                <w:lang w:val="de-DE"/>
              </w:rPr>
              <w:t>Einlagen in der massgeblichen Festgelegten Währung</w:t>
            </w:r>
            <w:r w:rsidRPr="00792D61">
              <w:rPr>
                <w:b/>
                <w:lang w:val="de-DE"/>
              </w:rPr>
              <w:t>][</w:t>
            </w:r>
            <w:r w:rsidRPr="00213AB9">
              <w:rPr>
                <w:lang w:val="de-DE"/>
              </w:rPr>
              <w:t>Swaps in US-Dollar</w:t>
            </w:r>
            <w:r w:rsidRPr="00792D61">
              <w:rPr>
                <w:b/>
                <w:lang w:val="de-DE"/>
              </w:rPr>
              <w:t>]</w:t>
            </w:r>
            <w:r w:rsidRPr="00213AB9">
              <w:rPr>
                <w:lang w:val="de-DE"/>
              </w:rPr>
              <w:t xml:space="preserve"> mit einer Laufzeit von </w:t>
            </w:r>
            <w:r w:rsidRPr="00792D61">
              <w:rPr>
                <w:b/>
                <w:lang w:val="de-DE"/>
              </w:rPr>
              <w:t>[</w:t>
            </w:r>
            <w:r w:rsidRPr="00213AB9">
              <w:rPr>
                <w:rFonts w:ascii="Arial" w:hAnsi="Arial" w:cs="Arial"/>
                <w:lang w:val="de-DE"/>
              </w:rPr>
              <w:t>●</w:t>
            </w:r>
            <w:r w:rsidRPr="00792D61">
              <w:rPr>
                <w:b/>
                <w:lang w:val="de-DE"/>
              </w:rPr>
              <w:t>]</w:t>
            </w:r>
            <w:r w:rsidRPr="00213AB9">
              <w:rPr>
                <w:lang w:val="de-DE"/>
              </w:rPr>
              <w:t xml:space="preserve"> </w:t>
            </w:r>
            <w:r w:rsidRPr="00792D61">
              <w:rPr>
                <w:b/>
                <w:lang w:val="de-DE"/>
              </w:rPr>
              <w:t>[</w:t>
            </w:r>
            <w:r w:rsidRPr="00213AB9">
              <w:rPr>
                <w:lang w:val="de-DE"/>
              </w:rPr>
              <w:t>Monat</w:t>
            </w:r>
            <w:r w:rsidRPr="00792D61">
              <w:rPr>
                <w:b/>
                <w:lang w:val="de-DE"/>
              </w:rPr>
              <w:t>[</w:t>
            </w:r>
            <w:r w:rsidRPr="00213AB9">
              <w:rPr>
                <w:lang w:val="de-DE"/>
              </w:rPr>
              <w:t>en</w:t>
            </w:r>
            <w:r w:rsidRPr="00792D61">
              <w:rPr>
                <w:b/>
                <w:lang w:val="de-DE"/>
              </w:rPr>
              <w:t>]]</w:t>
            </w:r>
            <w:r w:rsidRPr="00213AB9">
              <w:rPr>
                <w:lang w:val="de-DE"/>
              </w:rPr>
              <w:t xml:space="preserve"> </w:t>
            </w:r>
            <w:r w:rsidRPr="00792D61">
              <w:rPr>
                <w:b/>
                <w:lang w:val="de-DE"/>
              </w:rPr>
              <w:t>[</w:t>
            </w:r>
            <w:r w:rsidRPr="00213AB9">
              <w:rPr>
                <w:lang w:val="de-DE"/>
              </w:rPr>
              <w:t>Jahr</w:t>
            </w:r>
            <w:r w:rsidRPr="00792D61">
              <w:rPr>
                <w:b/>
                <w:lang w:val="de-DE"/>
              </w:rPr>
              <w:t>[</w:t>
            </w:r>
            <w:r w:rsidRPr="00213AB9">
              <w:rPr>
                <w:lang w:val="de-DE"/>
              </w:rPr>
              <w:t>en</w:t>
            </w:r>
            <w:r w:rsidRPr="00792D61">
              <w:rPr>
                <w:b/>
                <w:lang w:val="de-DE"/>
              </w:rPr>
              <w:t>]]</w:t>
            </w:r>
            <w:r w:rsidRPr="00213AB9">
              <w:rPr>
                <w:lang w:val="de-DE"/>
              </w:rPr>
              <w:t xml:space="preserve"> gegen</w:t>
            </w:r>
            <w:r w:rsidRPr="00213AB9">
              <w:rPr>
                <w:rFonts w:cs="Credit Suisse Type Light"/>
                <w:lang w:val="de-DE"/>
              </w:rPr>
              <w:t>ü</w:t>
            </w:r>
            <w:r w:rsidRPr="00213AB9">
              <w:rPr>
                <w:lang w:val="de-DE"/>
              </w:rPr>
              <w:t xml:space="preserve">ber </w:t>
            </w:r>
            <w:r w:rsidRPr="00792D61">
              <w:rPr>
                <w:b/>
                <w:lang w:val="de-DE"/>
              </w:rPr>
              <w:t>[</w:t>
            </w:r>
            <w:r w:rsidRPr="00213AB9">
              <w:rPr>
                <w:lang w:val="de-DE"/>
              </w:rPr>
              <w:t>f</w:t>
            </w:r>
            <w:r w:rsidRPr="00213AB9">
              <w:rPr>
                <w:rFonts w:cs="Credit Suisse Type Light"/>
                <w:lang w:val="de-DE"/>
              </w:rPr>
              <w:t>ü</w:t>
            </w:r>
            <w:r w:rsidRPr="00213AB9">
              <w:rPr>
                <w:lang w:val="de-DE"/>
              </w:rPr>
              <w:t>hrenden Banken im Londoner Interbankenmarkt</w:t>
            </w:r>
            <w:r w:rsidRPr="00792D61">
              <w:rPr>
                <w:b/>
                <w:lang w:val="de-DE"/>
              </w:rPr>
              <w:t>]</w:t>
            </w:r>
            <w:r w:rsidRPr="00213AB9">
              <w:rPr>
                <w:lang w:val="de-DE"/>
              </w:rPr>
              <w:t xml:space="preserve"> </w:t>
            </w:r>
            <w:r w:rsidRPr="00792D61">
              <w:rPr>
                <w:b/>
                <w:lang w:val="de-DE"/>
              </w:rPr>
              <w:t>[</w:t>
            </w:r>
            <w:r w:rsidRPr="00213AB9">
              <w:rPr>
                <w:lang w:val="de-DE"/>
              </w:rPr>
              <w:t>f</w:t>
            </w:r>
            <w:r w:rsidRPr="00213AB9">
              <w:rPr>
                <w:rFonts w:cs="Credit Suisse Type Light"/>
                <w:lang w:val="de-DE"/>
              </w:rPr>
              <w:t>ü</w:t>
            </w:r>
            <w:r w:rsidRPr="00213AB9">
              <w:rPr>
                <w:lang w:val="de-DE"/>
              </w:rPr>
              <w:t>hrenden Banken im Interbankenmarkt der Eurozone</w:t>
            </w:r>
            <w:r w:rsidRPr="00792D61">
              <w:rPr>
                <w:b/>
                <w:lang w:val="de-DE"/>
              </w:rPr>
              <w:t>]</w:t>
            </w:r>
            <w:r w:rsidRPr="00213AB9">
              <w:rPr>
                <w:lang w:val="de-DE"/>
              </w:rPr>
              <w:t xml:space="preserve"> </w:t>
            </w:r>
            <w:r w:rsidRPr="00792D61">
              <w:rPr>
                <w:b/>
                <w:lang w:val="de-DE"/>
              </w:rPr>
              <w:t>[</w:t>
            </w:r>
            <w:r w:rsidRPr="00213AB9">
              <w:rPr>
                <w:lang w:val="de-DE"/>
              </w:rPr>
              <w:t>Teilnehmern im Markt für US-Dollar-Swaps</w:t>
            </w:r>
            <w:r w:rsidRPr="00792D61">
              <w:rPr>
                <w:b/>
                <w:lang w:val="de-DE"/>
              </w:rPr>
              <w:t>][[</w:t>
            </w:r>
            <w:r w:rsidRPr="00213AB9">
              <w:rPr>
                <w:rFonts w:ascii="Arial" w:hAnsi="Arial" w:cs="Arial"/>
                <w:lang w:val="de-DE"/>
              </w:rPr>
              <w:t>●</w:t>
            </w:r>
            <w:r w:rsidRPr="00792D61">
              <w:rPr>
                <w:b/>
                <w:lang w:val="de-DE"/>
              </w:rPr>
              <w:t>]]</w:t>
            </w:r>
            <w:r w:rsidRPr="00213AB9">
              <w:rPr>
                <w:lang w:val="de-DE"/>
              </w:rPr>
              <w:t xml:space="preserve"> von </w:t>
            </w:r>
            <w:r w:rsidRPr="00792D61">
              <w:rPr>
                <w:b/>
                <w:lang w:val="de-DE"/>
              </w:rPr>
              <w:t>[</w:t>
            </w:r>
            <w:r w:rsidRPr="00213AB9">
              <w:rPr>
                <w:lang w:val="de-DE"/>
              </w:rPr>
              <w:t>vier von der Berechnungsstelle ausgew</w:t>
            </w:r>
            <w:r w:rsidRPr="00213AB9">
              <w:rPr>
                <w:rFonts w:cs="Credit Suisse Type Light"/>
                <w:lang w:val="de-DE"/>
              </w:rPr>
              <w:t>ä</w:t>
            </w:r>
            <w:r w:rsidRPr="00213AB9">
              <w:rPr>
                <w:lang w:val="de-DE"/>
              </w:rPr>
              <w:t>hlten Grossbanken im Londoner Interbankenmarkt</w:t>
            </w:r>
            <w:r w:rsidRPr="00792D61">
              <w:rPr>
                <w:b/>
                <w:lang w:val="de-DE"/>
              </w:rPr>
              <w:t>][</w:t>
            </w:r>
            <w:r w:rsidRPr="00213AB9">
              <w:rPr>
                <w:lang w:val="de-DE"/>
              </w:rPr>
              <w:t>vier von der Berechnungsstelle ausgew</w:t>
            </w:r>
            <w:r w:rsidRPr="00213AB9">
              <w:rPr>
                <w:rFonts w:cs="Credit Suisse Type Light"/>
                <w:lang w:val="de-DE"/>
              </w:rPr>
              <w:t>ä</w:t>
            </w:r>
            <w:r w:rsidRPr="00213AB9">
              <w:rPr>
                <w:lang w:val="de-DE"/>
              </w:rPr>
              <w:t>hlten Grossbanken im Interbankenmarkt der Eurozone</w:t>
            </w:r>
            <w:r w:rsidRPr="00792D61">
              <w:rPr>
                <w:b/>
                <w:lang w:val="de-DE"/>
              </w:rPr>
              <w:t>][</w:t>
            </w:r>
            <w:r w:rsidRPr="00213AB9">
              <w:rPr>
                <w:lang w:val="de-DE"/>
              </w:rPr>
              <w:t>f</w:t>
            </w:r>
            <w:r w:rsidRPr="00213AB9">
              <w:rPr>
                <w:rFonts w:cs="Credit Suisse Type Light"/>
                <w:lang w:val="de-DE"/>
              </w:rPr>
              <w:t>ü</w:t>
            </w:r>
            <w:r w:rsidRPr="00213AB9">
              <w:rPr>
                <w:lang w:val="de-DE"/>
              </w:rPr>
              <w:t>nf f</w:t>
            </w:r>
            <w:r w:rsidRPr="00213AB9">
              <w:rPr>
                <w:rFonts w:cs="Credit Suisse Type Light"/>
                <w:lang w:val="de-DE"/>
              </w:rPr>
              <w:t>ü</w:t>
            </w:r>
            <w:r w:rsidRPr="00213AB9">
              <w:rPr>
                <w:lang w:val="de-DE"/>
              </w:rPr>
              <w:t>hrenden Swap-Händlern im Interbankenmarkt in New York</w:t>
            </w:r>
            <w:r w:rsidRPr="00792D61">
              <w:rPr>
                <w:b/>
                <w:lang w:val="de-DE"/>
              </w:rPr>
              <w:t>][</w:t>
            </w:r>
            <w:r w:rsidRPr="00213AB9">
              <w:rPr>
                <w:lang w:val="de-DE"/>
              </w:rPr>
              <w:t>den Referenzbanken</w:t>
            </w:r>
            <w:r w:rsidRPr="00792D61">
              <w:rPr>
                <w:b/>
                <w:lang w:val="de-DE"/>
              </w:rPr>
              <w:t>]</w:t>
            </w:r>
            <w:r w:rsidRPr="00213AB9">
              <w:rPr>
                <w:lang w:val="de-DE"/>
              </w:rPr>
              <w:t xml:space="preserve"> angeboten werden. Die Berechnungsstelle holt von der Hauptniederlassung </w:t>
            </w:r>
            <w:r w:rsidRPr="00792D61">
              <w:rPr>
                <w:b/>
                <w:lang w:val="de-DE"/>
              </w:rPr>
              <w:t>[</w:t>
            </w:r>
            <w:r w:rsidRPr="00213AB9">
              <w:rPr>
                <w:lang w:val="de-DE"/>
              </w:rPr>
              <w:t>jeder dieser Banken</w:t>
            </w:r>
            <w:r w:rsidRPr="00792D61">
              <w:rPr>
                <w:b/>
                <w:lang w:val="de-DE"/>
              </w:rPr>
              <w:t>][</w:t>
            </w:r>
            <w:r w:rsidRPr="00213AB9">
              <w:rPr>
                <w:lang w:val="de-DE"/>
              </w:rPr>
              <w:t>jedes Swap-Händlers</w:t>
            </w:r>
            <w:r w:rsidRPr="00792D61">
              <w:rPr>
                <w:b/>
                <w:lang w:val="de-DE"/>
              </w:rPr>
              <w:t>]</w:t>
            </w:r>
            <w:r w:rsidRPr="00213AB9">
              <w:rPr>
                <w:lang w:val="de-DE"/>
              </w:rPr>
              <w:t xml:space="preserve"> </w:t>
            </w:r>
            <w:r w:rsidRPr="00792D61">
              <w:rPr>
                <w:b/>
                <w:lang w:val="de-DE"/>
              </w:rPr>
              <w:t>[</w:t>
            </w:r>
            <w:r w:rsidRPr="00213AB9">
              <w:rPr>
                <w:lang w:val="de-DE"/>
              </w:rPr>
              <w:t>jeder Referenzbank</w:t>
            </w:r>
            <w:r w:rsidRPr="00792D61">
              <w:rPr>
                <w:b/>
                <w:lang w:val="de-DE"/>
              </w:rPr>
              <w:t>]</w:t>
            </w:r>
            <w:r w:rsidRPr="00213AB9">
              <w:rPr>
                <w:lang w:val="de-DE"/>
              </w:rPr>
              <w:t xml:space="preserve"> in </w:t>
            </w:r>
            <w:r w:rsidRPr="00792D61">
              <w:rPr>
                <w:b/>
                <w:lang w:val="de-DE"/>
              </w:rPr>
              <w:t>[</w:t>
            </w:r>
            <w:r w:rsidRPr="00213AB9">
              <w:rPr>
                <w:lang w:val="de-DE"/>
              </w:rPr>
              <w:t>London</w:t>
            </w:r>
            <w:r w:rsidRPr="00792D61">
              <w:rPr>
                <w:b/>
                <w:lang w:val="de-DE"/>
              </w:rPr>
              <w:t>][</w:t>
            </w:r>
            <w:r w:rsidRPr="00213AB9">
              <w:rPr>
                <w:lang w:val="de-DE"/>
              </w:rPr>
              <w:t>der Eurozone</w:t>
            </w:r>
            <w:r w:rsidRPr="00792D61">
              <w:rPr>
                <w:b/>
                <w:lang w:val="de-DE"/>
              </w:rPr>
              <w:t>][</w:t>
            </w:r>
            <w:r w:rsidRPr="00213AB9">
              <w:rPr>
                <w:lang w:val="de-DE"/>
              </w:rPr>
              <w:t>New York</w:t>
            </w:r>
            <w:r w:rsidRPr="00792D61">
              <w:rPr>
                <w:b/>
                <w:lang w:val="de-DE"/>
              </w:rPr>
              <w:t>][[</w:t>
            </w:r>
            <w:r w:rsidRPr="00213AB9">
              <w:rPr>
                <w:rFonts w:ascii="Arial" w:hAnsi="Arial" w:cs="Arial"/>
                <w:lang w:val="de-DE"/>
              </w:rPr>
              <w:t>●</w:t>
            </w:r>
            <w:r w:rsidRPr="00792D61">
              <w:rPr>
                <w:b/>
                <w:lang w:val="de-DE"/>
              </w:rPr>
              <w:t>]]</w:t>
            </w:r>
            <w:r w:rsidRPr="00213AB9">
              <w:rPr>
                <w:lang w:val="de-DE"/>
              </w:rPr>
              <w:t xml:space="preserve"> eine Quotierung ihres Satzes ein.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831A24">
            <w:pPr>
              <w:pStyle w:val="CSBody8pt"/>
              <w:rPr>
                <w:lang w:val="de-DE"/>
              </w:rPr>
            </w:pPr>
          </w:p>
        </w:tc>
        <w:tc>
          <w:tcPr>
            <w:tcW w:w="3315" w:type="dxa"/>
            <w:gridSpan w:val="7"/>
            <w:tcBorders>
              <w:top w:val="nil"/>
              <w:left w:val="nil"/>
              <w:bottom w:val="nil"/>
            </w:tcBorders>
            <w:shd w:val="clear" w:color="auto" w:fill="auto"/>
          </w:tcPr>
          <w:p w:rsidR="0017135D" w:rsidRPr="0002768E" w:rsidP="00831A24">
            <w:pPr>
              <w:pStyle w:val="CSBody8pt"/>
            </w:pPr>
            <w:r w:rsidRPr="0002768E">
              <w:t xml:space="preserve">If two or more </w:t>
            </w:r>
            <w:r w:rsidRPr="00792D61">
              <w:rPr>
                <w:b/>
              </w:rPr>
              <w:t>[</w:t>
            </w:r>
            <w:r w:rsidRPr="0002768E">
              <w:t>banks</w:t>
            </w:r>
            <w:r w:rsidRPr="00792D61">
              <w:rPr>
                <w:b/>
              </w:rPr>
              <w:t>][</w:t>
            </w:r>
            <w:r w:rsidRPr="0002768E">
              <w:t>swap dealers</w:t>
            </w:r>
            <w:r w:rsidRPr="00792D61">
              <w:rPr>
                <w:b/>
              </w:rPr>
              <w:t>][</w:t>
            </w:r>
            <w:r w:rsidRPr="0002768E">
              <w:t>Reference Banks</w:t>
            </w:r>
            <w:r w:rsidRPr="00792D61">
              <w:rPr>
                <w:b/>
              </w:rPr>
              <w:t>]</w:t>
            </w:r>
            <w:r w:rsidRPr="0002768E">
              <w:t xml:space="preserve"> provide the Calculation Agent with such offered quotations, Reference Rate 3 on </w:t>
            </w:r>
            <w:r w:rsidRPr="00792D61">
              <w:rPr>
                <w:b/>
              </w:rPr>
              <w:t>[</w:t>
            </w:r>
            <w:r w:rsidRPr="0002768E">
              <w:t>the</w:t>
            </w:r>
            <w:r w:rsidRPr="00792D61">
              <w:rPr>
                <w:b/>
              </w:rPr>
              <w:t>][</w:t>
            </w:r>
            <w:r w:rsidRPr="0002768E">
              <w:t>such</w:t>
            </w:r>
            <w:r w:rsidRPr="00792D61">
              <w:rPr>
                <w:b/>
              </w:rPr>
              <w:t>]</w:t>
            </w:r>
            <w:r w:rsidRPr="0002768E">
              <w:t xml:space="preserve"> Barrier Observation Date shall be the arithmetic mean (rounded if necessary to the nearest one thousandth of a percentage point, with </w:t>
            </w:r>
            <w:r w:rsidRPr="00792D61">
              <w:rPr>
                <w:b/>
              </w:rPr>
              <w:t>[</w:t>
            </w:r>
            <w:r w:rsidRPr="0002768E">
              <w:t>0.0005</w:t>
            </w:r>
            <w:r w:rsidRPr="00792D61">
              <w:rPr>
                <w:b/>
              </w:rPr>
              <w:t>][[</w:t>
            </w:r>
            <w:r w:rsidRPr="0002768E">
              <w:rPr>
                <w:rFonts w:ascii="Arial" w:hAnsi="Arial" w:cs="Arial"/>
              </w:rPr>
              <w:t>●</w:t>
            </w:r>
            <w:r w:rsidRPr="00792D61">
              <w:rPr>
                <w:b/>
              </w:rPr>
              <w:t>]]</w:t>
            </w:r>
            <w:r w:rsidRPr="0002768E">
              <w:t xml:space="preserve"> being rounded upwards) of such offered quotations, as determined by the Calculation Agent and expressed as a percentage per annum.</w:t>
            </w:r>
          </w:p>
        </w:tc>
        <w:tc>
          <w:tcPr>
            <w:tcW w:w="1618" w:type="dxa"/>
            <w:gridSpan w:val="2"/>
            <w:tcBorders>
              <w:top w:val="nil"/>
              <w:bottom w:val="nil"/>
              <w:right w:val="nil"/>
            </w:tcBorders>
            <w:shd w:val="clear" w:color="auto" w:fill="auto"/>
          </w:tcPr>
          <w:p w:rsidR="0017135D" w:rsidRPr="00213AB9" w:rsidP="00831A24">
            <w:pPr>
              <w:pStyle w:val="CSBody8pt"/>
              <w:rPr>
                <w:i/>
              </w:rPr>
            </w:pPr>
          </w:p>
        </w:tc>
        <w:tc>
          <w:tcPr>
            <w:tcW w:w="3318" w:type="dxa"/>
            <w:gridSpan w:val="10"/>
            <w:tcBorders>
              <w:top w:val="nil"/>
              <w:left w:val="nil"/>
              <w:bottom w:val="nil"/>
              <w:right w:val="nil"/>
            </w:tcBorders>
            <w:shd w:val="clear" w:color="auto" w:fill="auto"/>
          </w:tcPr>
          <w:p w:rsidR="0017135D" w:rsidRPr="00213AB9" w:rsidP="00831A24">
            <w:pPr>
              <w:pStyle w:val="CSBody8pt"/>
              <w:rPr>
                <w:lang w:val="de-DE"/>
              </w:rPr>
            </w:pPr>
            <w:r w:rsidRPr="00213AB9">
              <w:rPr>
                <w:lang w:val="de-DE"/>
              </w:rPr>
              <w:t xml:space="preserve">Nennen zwei oder mehr </w:t>
            </w:r>
            <w:r w:rsidRPr="00792D61">
              <w:rPr>
                <w:b/>
                <w:lang w:val="de-DE"/>
              </w:rPr>
              <w:t>[</w:t>
            </w:r>
            <w:r w:rsidRPr="00213AB9">
              <w:rPr>
                <w:lang w:val="de-DE"/>
              </w:rPr>
              <w:t>Banken</w:t>
            </w:r>
            <w:r w:rsidRPr="00792D61">
              <w:rPr>
                <w:b/>
                <w:lang w:val="de-DE"/>
              </w:rPr>
              <w:t>][</w:t>
            </w:r>
            <w:r w:rsidRPr="00213AB9">
              <w:rPr>
                <w:lang w:val="de-DE"/>
              </w:rPr>
              <w:t>Swap-Händler</w:t>
            </w:r>
            <w:r w:rsidRPr="00792D61">
              <w:rPr>
                <w:b/>
                <w:lang w:val="de-DE"/>
              </w:rPr>
              <w:t>][</w:t>
            </w:r>
            <w:r w:rsidRPr="00213AB9">
              <w:rPr>
                <w:lang w:val="de-DE"/>
              </w:rPr>
              <w:t>Referenzbanken</w:t>
            </w:r>
            <w:r w:rsidRPr="00792D61">
              <w:rPr>
                <w:b/>
                <w:lang w:val="de-DE"/>
              </w:rPr>
              <w:t>]</w:t>
            </w:r>
            <w:r w:rsidRPr="00213AB9">
              <w:rPr>
                <w:lang w:val="de-DE"/>
              </w:rPr>
              <w:t xml:space="preserve"> der Berechnungsstelle solche Angebotsquotierungen, so ist der Referenzsatz 3 an </w:t>
            </w:r>
            <w:r w:rsidRPr="00792D61">
              <w:rPr>
                <w:b/>
                <w:lang w:val="de-DE"/>
              </w:rPr>
              <w:t>[</w:t>
            </w:r>
            <w:r w:rsidRPr="00213AB9">
              <w:rPr>
                <w:lang w:val="de-DE"/>
              </w:rPr>
              <w:t>dem</w:t>
            </w:r>
            <w:r w:rsidRPr="00792D61">
              <w:rPr>
                <w:b/>
                <w:lang w:val="de-DE"/>
              </w:rPr>
              <w:t>][</w:t>
            </w:r>
            <w:r w:rsidRPr="00213AB9">
              <w:rPr>
                <w:lang w:val="de-DE"/>
              </w:rPr>
              <w:t>dem jeweiligen</w:t>
            </w:r>
            <w:r w:rsidRPr="00792D61">
              <w:rPr>
                <w:b/>
                <w:lang w:val="de-DE"/>
              </w:rPr>
              <w:t>]</w:t>
            </w:r>
            <w:r w:rsidRPr="00213AB9">
              <w:rPr>
                <w:lang w:val="de-DE"/>
              </w:rPr>
              <w:t xml:space="preserve"> Barriere-Beobachtungstag das arithmetische Mittel (falls erforderlich, auf- oder abgerundet auf das nächste Tausendstel eines Prozentpunktes, wobei </w:t>
            </w:r>
            <w:r w:rsidRPr="00792D61">
              <w:rPr>
                <w:b/>
                <w:lang w:val="de-DE"/>
              </w:rPr>
              <w:t>[</w:t>
            </w:r>
            <w:r w:rsidRPr="00213AB9">
              <w:rPr>
                <w:lang w:val="de-DE"/>
              </w:rPr>
              <w:t>0,0005</w:t>
            </w:r>
            <w:r w:rsidRPr="00792D61">
              <w:rPr>
                <w:b/>
                <w:lang w:val="de-DE"/>
              </w:rPr>
              <w:t>][[</w:t>
            </w:r>
            <w:r w:rsidRPr="00213AB9">
              <w:rPr>
                <w:rFonts w:ascii="Arial" w:hAnsi="Arial" w:cs="Arial"/>
                <w:lang w:val="de-DE"/>
              </w:rPr>
              <w:t>●</w:t>
            </w:r>
            <w:r w:rsidRPr="00792D61">
              <w:rPr>
                <w:b/>
                <w:lang w:val="de-DE"/>
              </w:rPr>
              <w:t>]]</w:t>
            </w:r>
            <w:r w:rsidRPr="00213AB9">
              <w:rPr>
                <w:lang w:val="de-DE"/>
              </w:rPr>
              <w:t xml:space="preserve"> aufgerundet wird) dieser Angebotsquotierungen, wie von der Berechnungsstelle festgestellt und als Prozentsatz per annum ausgedr</w:t>
            </w:r>
            <w:r w:rsidRPr="00213AB9">
              <w:rPr>
                <w:rFonts w:cs="Credit Suisse Type Light"/>
                <w:lang w:val="de-DE"/>
              </w:rPr>
              <w:t>ü</w:t>
            </w:r>
            <w:r w:rsidRPr="00213AB9">
              <w:rPr>
                <w:lang w:val="de-DE"/>
              </w:rPr>
              <w:t>ckt.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831A24">
            <w:pPr>
              <w:pStyle w:val="CSBody8pt"/>
              <w:rPr>
                <w:lang w:val="de-DE"/>
              </w:rPr>
            </w:pPr>
          </w:p>
        </w:tc>
        <w:tc>
          <w:tcPr>
            <w:tcW w:w="3315" w:type="dxa"/>
            <w:gridSpan w:val="7"/>
            <w:tcBorders>
              <w:top w:val="nil"/>
              <w:left w:val="nil"/>
              <w:bottom w:val="nil"/>
            </w:tcBorders>
            <w:shd w:val="clear" w:color="auto" w:fill="auto"/>
          </w:tcPr>
          <w:p w:rsidR="0017135D" w:rsidP="00831A24">
            <w:pPr>
              <w:pStyle w:val="CSBody8pt"/>
            </w:pPr>
            <w:r w:rsidRPr="0002768E">
              <w:t xml:space="preserve">If only one or no </w:t>
            </w:r>
            <w:r w:rsidRPr="00792D61">
              <w:rPr>
                <w:b/>
              </w:rPr>
              <w:t>[</w:t>
            </w:r>
            <w:r w:rsidRPr="0002768E">
              <w:t>bank</w:t>
            </w:r>
            <w:r w:rsidRPr="00792D61">
              <w:rPr>
                <w:b/>
              </w:rPr>
              <w:t>][</w:t>
            </w:r>
            <w:r w:rsidRPr="0002768E">
              <w:t>swap dealer</w:t>
            </w:r>
            <w:r w:rsidRPr="00792D61">
              <w:rPr>
                <w:b/>
              </w:rPr>
              <w:t>][</w:t>
            </w:r>
            <w:r w:rsidRPr="0002768E">
              <w:t>Reference Bank</w:t>
            </w:r>
            <w:r w:rsidRPr="00792D61">
              <w:rPr>
                <w:b/>
              </w:rPr>
              <w:t>]</w:t>
            </w:r>
            <w:r w:rsidRPr="0002768E">
              <w:t xml:space="preserve"> provides the Calculation Agent with such offered quotations, Reference Rate 3 on </w:t>
            </w:r>
            <w:r w:rsidRPr="00792D61">
              <w:rPr>
                <w:b/>
              </w:rPr>
              <w:t>[</w:t>
            </w:r>
            <w:r w:rsidRPr="0002768E">
              <w:t>the</w:t>
            </w:r>
            <w:r w:rsidRPr="00792D61">
              <w:rPr>
                <w:b/>
              </w:rPr>
              <w:t>][</w:t>
            </w:r>
            <w:r w:rsidRPr="0002768E">
              <w:t>such</w:t>
            </w:r>
            <w:r w:rsidRPr="00792D61">
              <w:rPr>
                <w:b/>
              </w:rPr>
              <w:t>]</w:t>
            </w:r>
            <w:r w:rsidRPr="0002768E">
              <w:t xml:space="preserve"> Barrier Observation Date shall be </w:t>
            </w:r>
            <w:r w:rsidRPr="00792D61">
              <w:rPr>
                <w:b/>
              </w:rPr>
              <w:t>[</w:t>
            </w:r>
            <w:r w:rsidRPr="00831A24">
              <w:rPr>
                <w:b/>
                <w:i/>
              </w:rPr>
              <w:t>option 1:</w:t>
            </w:r>
            <w:r w:rsidRPr="0002768E">
              <w:t xml:space="preserve"> the offered quotation or arithmetic mean of the offered quotations on the Rate Source, each as determined as described above, on the last day preceding </w:t>
            </w:r>
            <w:r w:rsidRPr="00792D61">
              <w:rPr>
                <w:b/>
              </w:rPr>
              <w:t>[</w:t>
            </w:r>
            <w:r w:rsidRPr="0002768E">
              <w:t>the</w:t>
            </w:r>
            <w:r w:rsidRPr="00792D61">
              <w:rPr>
                <w:b/>
              </w:rPr>
              <w:t>][</w:t>
            </w:r>
            <w:r w:rsidRPr="0002768E">
              <w:t>such</w:t>
            </w:r>
            <w:r w:rsidRPr="00792D61">
              <w:rPr>
                <w:b/>
              </w:rPr>
              <w:t>]</w:t>
            </w:r>
            <w:r w:rsidRPr="0002768E">
              <w:t xml:space="preserve"> Barrier Observation Date on which such quotations were offered</w:t>
            </w:r>
            <w:r w:rsidRPr="00792D61">
              <w:rPr>
                <w:b/>
              </w:rPr>
              <w:t>][</w:t>
            </w:r>
            <w:r w:rsidRPr="00831A24">
              <w:rPr>
                <w:b/>
                <w:i/>
              </w:rPr>
              <w:t>option 2:</w:t>
            </w:r>
            <w:r w:rsidRPr="0002768E">
              <w:t xml:space="preserve"> Reference Rate 3 on the immediately preceding </w:t>
            </w:r>
            <w:r w:rsidRPr="00792D61">
              <w:rPr>
                <w:b/>
              </w:rPr>
              <w:t>[</w:t>
            </w:r>
            <w:r w:rsidRPr="0002768E">
              <w:t>Barrier Observation Date or, in the case of the first Barrier Observation Date, on the Issue Date</w:t>
            </w:r>
            <w:r w:rsidRPr="00792D61">
              <w:rPr>
                <w:b/>
              </w:rPr>
              <w:t>][</w:t>
            </w:r>
            <w:r w:rsidRPr="0002768E">
              <w:t>Reference Rate Business Day</w:t>
            </w:r>
            <w:r w:rsidRPr="00792D61">
              <w:rPr>
                <w:b/>
              </w:rPr>
              <w:t>]][</w:t>
            </w:r>
            <w:r w:rsidRPr="00831A24">
              <w:rPr>
                <w:b/>
                <w:i/>
              </w:rPr>
              <w:t>option 3:</w:t>
            </w:r>
            <w:r w:rsidRPr="0002768E">
              <w:t xml:space="preserve"> Reference Rate 3 in effect for the immediately preceding Interest Period</w:t>
            </w:r>
            <w:r w:rsidRPr="00792D61">
              <w:rPr>
                <w:b/>
              </w:rPr>
              <w:t>][</w:t>
            </w:r>
            <w:r w:rsidRPr="00831A24">
              <w:rPr>
                <w:b/>
                <w:i/>
              </w:rPr>
              <w:t>option 4:</w:t>
            </w:r>
            <w:r w:rsidRPr="0002768E">
              <w:t xml:space="preserve"> the arithmetic mean of the rates quoted by major banks to leading European banks in </w:t>
            </w:r>
            <w:r w:rsidRPr="00792D61">
              <w:rPr>
                <w:b/>
              </w:rPr>
              <w:t>[</w:t>
            </w:r>
            <w:r w:rsidRPr="0002768E">
              <w:t>Zurich</w:t>
            </w:r>
            <w:r w:rsidRPr="00792D61">
              <w:rPr>
                <w:b/>
              </w:rPr>
              <w:t>][</w:t>
            </w:r>
            <w:r w:rsidRPr="0002768E">
              <w:t>New York City</w:t>
            </w:r>
            <w:r w:rsidRPr="00792D61">
              <w:rPr>
                <w:b/>
              </w:rPr>
              <w:t>]</w:t>
            </w:r>
            <w:r w:rsidRPr="0002768E">
              <w:t>, selected by the Calculation Agent, at or around 11.00 hrs. (</w:t>
            </w:r>
            <w:r w:rsidRPr="00792D61">
              <w:rPr>
                <w:b/>
              </w:rPr>
              <w:t>[</w:t>
            </w:r>
            <w:r w:rsidRPr="0002768E">
              <w:t>Zurich</w:t>
            </w:r>
            <w:r w:rsidRPr="00792D61">
              <w:rPr>
                <w:b/>
              </w:rPr>
              <w:t>][</w:t>
            </w:r>
            <w:r w:rsidRPr="0002768E">
              <w:t>New York City</w:t>
            </w:r>
            <w:r w:rsidRPr="00792D61">
              <w:rPr>
                <w:b/>
              </w:rPr>
              <w:t>]</w:t>
            </w:r>
            <w:r w:rsidRPr="0002768E">
              <w:t xml:space="preserve"> local time)</w:t>
            </w:r>
            <w:r w:rsidRPr="00792D61">
              <w:rPr>
                <w:b/>
              </w:rPr>
              <w:t>][</w:t>
            </w:r>
            <w:r w:rsidRPr="00831A24">
              <w:rPr>
                <w:b/>
                <w:i/>
              </w:rPr>
              <w:t>option 5:</w:t>
            </w:r>
            <w:r w:rsidRPr="0002768E">
              <w:t xml:space="preserve"> the interest rate determined by the Calculation Agent at its reasonable discretion taking into account the prevailing market conditions</w:t>
            </w:r>
            <w:r w:rsidRPr="00792D61">
              <w:rPr>
                <w:b/>
              </w:rPr>
              <w:t>]</w:t>
            </w:r>
            <w:r w:rsidRPr="0002768E">
              <w:t>.</w:t>
            </w:r>
            <w:r w:rsidRPr="00792D61">
              <w:rPr>
                <w:b/>
              </w:rPr>
              <w:t>]</w:t>
            </w:r>
          </w:p>
        </w:tc>
        <w:tc>
          <w:tcPr>
            <w:tcW w:w="1618" w:type="dxa"/>
            <w:gridSpan w:val="2"/>
            <w:tcBorders>
              <w:top w:val="nil"/>
              <w:bottom w:val="nil"/>
              <w:right w:val="nil"/>
            </w:tcBorders>
            <w:shd w:val="clear" w:color="auto" w:fill="auto"/>
          </w:tcPr>
          <w:p w:rsidR="0017135D" w:rsidRPr="00213AB9" w:rsidP="00831A24">
            <w:pPr>
              <w:pStyle w:val="CSBody8pt"/>
              <w:rPr>
                <w:i/>
              </w:rPr>
            </w:pPr>
          </w:p>
        </w:tc>
        <w:tc>
          <w:tcPr>
            <w:tcW w:w="3318" w:type="dxa"/>
            <w:gridSpan w:val="10"/>
            <w:tcBorders>
              <w:top w:val="nil"/>
              <w:left w:val="nil"/>
              <w:bottom w:val="nil"/>
              <w:right w:val="nil"/>
            </w:tcBorders>
            <w:shd w:val="clear" w:color="auto" w:fill="auto"/>
          </w:tcPr>
          <w:p w:rsidR="0017135D" w:rsidRPr="00213AB9" w:rsidP="0094769A">
            <w:pPr>
              <w:pStyle w:val="CSBody8pt"/>
              <w:rPr>
                <w:lang w:val="de-DE"/>
              </w:rPr>
            </w:pPr>
            <w:r w:rsidRPr="00213AB9">
              <w:rPr>
                <w:lang w:val="de-DE"/>
              </w:rPr>
              <w:t>Nennt nur ein</w:t>
            </w:r>
            <w:r w:rsidRPr="00792D61">
              <w:rPr>
                <w:b/>
                <w:lang w:val="de-DE"/>
              </w:rPr>
              <w:t>[</w:t>
            </w:r>
            <w:r w:rsidRPr="00213AB9">
              <w:rPr>
                <w:lang w:val="de-DE"/>
              </w:rPr>
              <w:t>e</w:t>
            </w:r>
            <w:r w:rsidRPr="00792D61">
              <w:rPr>
                <w:b/>
                <w:lang w:val="de-DE"/>
              </w:rPr>
              <w:t>]</w:t>
            </w:r>
            <w:r w:rsidRPr="00213AB9">
              <w:rPr>
                <w:lang w:val="de-DE"/>
              </w:rPr>
              <w:t xml:space="preserve"> oder kein</w:t>
            </w:r>
            <w:r w:rsidRPr="00792D61">
              <w:rPr>
                <w:b/>
                <w:lang w:val="de-DE"/>
              </w:rPr>
              <w:t>[</w:t>
            </w:r>
            <w:r w:rsidRPr="00213AB9">
              <w:rPr>
                <w:lang w:val="de-DE"/>
              </w:rPr>
              <w:t>e</w:t>
            </w:r>
            <w:r w:rsidRPr="00792D61">
              <w:rPr>
                <w:b/>
                <w:lang w:val="de-DE"/>
              </w:rPr>
              <w:t>]</w:t>
            </w:r>
            <w:r w:rsidRPr="00213AB9">
              <w:rPr>
                <w:lang w:val="de-DE"/>
              </w:rPr>
              <w:t xml:space="preserve"> </w:t>
            </w:r>
            <w:r w:rsidRPr="00792D61">
              <w:rPr>
                <w:b/>
                <w:lang w:val="de-DE"/>
              </w:rPr>
              <w:t>[</w:t>
            </w:r>
            <w:r w:rsidRPr="00213AB9">
              <w:rPr>
                <w:lang w:val="de-DE"/>
              </w:rPr>
              <w:t>Bank</w:t>
            </w:r>
            <w:r w:rsidRPr="00792D61">
              <w:rPr>
                <w:b/>
                <w:lang w:val="de-DE"/>
              </w:rPr>
              <w:t>][</w:t>
            </w:r>
            <w:r w:rsidRPr="00213AB9">
              <w:rPr>
                <w:lang w:val="de-DE"/>
              </w:rPr>
              <w:t>Swap-Händler</w:t>
            </w:r>
            <w:r w:rsidRPr="00792D61">
              <w:rPr>
                <w:b/>
                <w:lang w:val="de-DE"/>
              </w:rPr>
              <w:t>][</w:t>
            </w:r>
            <w:r w:rsidRPr="00213AB9">
              <w:rPr>
                <w:lang w:val="de-DE"/>
              </w:rPr>
              <w:t>Referenzbank</w:t>
            </w:r>
            <w:r w:rsidRPr="00792D61">
              <w:rPr>
                <w:b/>
                <w:lang w:val="de-DE"/>
              </w:rPr>
              <w:t>]</w:t>
            </w:r>
            <w:r w:rsidRPr="00213AB9">
              <w:rPr>
                <w:lang w:val="de-DE"/>
              </w:rPr>
              <w:t xml:space="preserve"> der Berechnungsstelle solche Angebotsquotierungen, so entspricht der Referenzsatz 3 an </w:t>
            </w:r>
            <w:r w:rsidRPr="00792D61">
              <w:rPr>
                <w:b/>
                <w:lang w:val="de-DE"/>
              </w:rPr>
              <w:t>[</w:t>
            </w:r>
            <w:r w:rsidRPr="00213AB9">
              <w:rPr>
                <w:lang w:val="de-DE"/>
              </w:rPr>
              <w:t>dem</w:t>
            </w:r>
            <w:r w:rsidRPr="00792D61">
              <w:rPr>
                <w:b/>
                <w:lang w:val="de-DE"/>
              </w:rPr>
              <w:t>][</w:t>
            </w:r>
            <w:r w:rsidRPr="00213AB9">
              <w:rPr>
                <w:lang w:val="de-DE"/>
              </w:rPr>
              <w:t>dem jeweiligen</w:t>
            </w:r>
            <w:r w:rsidRPr="00792D61">
              <w:rPr>
                <w:b/>
                <w:lang w:val="de-DE"/>
              </w:rPr>
              <w:t>]</w:t>
            </w:r>
            <w:r w:rsidRPr="00213AB9">
              <w:rPr>
                <w:lang w:val="de-DE"/>
              </w:rPr>
              <w:t xml:space="preserve"> Barriere-Beobachtungstag </w:t>
            </w:r>
            <w:r w:rsidRPr="00792D61">
              <w:rPr>
                <w:b/>
                <w:lang w:val="de-DE"/>
              </w:rPr>
              <w:t>[</w:t>
            </w:r>
            <w:r w:rsidRPr="00831A24">
              <w:rPr>
                <w:b/>
                <w:i/>
                <w:lang w:val="de-DE"/>
              </w:rPr>
              <w:t>Option 1:</w:t>
            </w:r>
            <w:r w:rsidRPr="00213AB9">
              <w:rPr>
                <w:lang w:val="de-DE"/>
              </w:rPr>
              <w:t xml:space="preserve"> der Angebotsquotierung oder dem arithmetischen Mittel der Angebotsquotierungen wie sie sich aus der Kursquelle ergeben, jeweils wie vorstehend beschrieben festgestellt, am letzten Tag vor </w:t>
            </w:r>
            <w:r w:rsidRPr="00792D61">
              <w:rPr>
                <w:b/>
                <w:lang w:val="de-DE"/>
              </w:rPr>
              <w:t>[</w:t>
            </w:r>
            <w:r w:rsidRPr="00213AB9">
              <w:rPr>
                <w:lang w:val="de-DE"/>
              </w:rPr>
              <w:t>dem</w:t>
            </w:r>
            <w:r w:rsidRPr="00792D61">
              <w:rPr>
                <w:b/>
                <w:lang w:val="de-DE"/>
              </w:rPr>
              <w:t>][</w:t>
            </w:r>
            <w:r w:rsidRPr="00213AB9">
              <w:rPr>
                <w:lang w:val="de-DE"/>
              </w:rPr>
              <w:t>dem jeweiligen</w:t>
            </w:r>
            <w:r w:rsidRPr="00792D61">
              <w:rPr>
                <w:b/>
                <w:lang w:val="de-DE"/>
              </w:rPr>
              <w:t>]</w:t>
            </w:r>
            <w:r w:rsidRPr="00213AB9">
              <w:rPr>
                <w:lang w:val="de-DE"/>
              </w:rPr>
              <w:t xml:space="preserve"> Barriere-Beobachtungstag, an dem diese Quotierungen angeboten wurden</w:t>
            </w:r>
            <w:r w:rsidRPr="00792D61">
              <w:rPr>
                <w:b/>
                <w:lang w:val="de-DE"/>
              </w:rPr>
              <w:t>][</w:t>
            </w:r>
            <w:r w:rsidRPr="00831A24">
              <w:rPr>
                <w:b/>
                <w:i/>
                <w:lang w:val="de-DE"/>
              </w:rPr>
              <w:t>Option 2:</w:t>
            </w:r>
            <w:r w:rsidRPr="00213AB9">
              <w:rPr>
                <w:lang w:val="de-DE"/>
              </w:rPr>
              <w:t xml:space="preserve"> dem Referenzsatz 3 am unmittelbar vorangehenden </w:t>
            </w:r>
            <w:r w:rsidRPr="00792D61">
              <w:rPr>
                <w:b/>
                <w:lang w:val="de-DE"/>
              </w:rPr>
              <w:t>[</w:t>
            </w:r>
            <w:r w:rsidRPr="00213AB9">
              <w:rPr>
                <w:lang w:val="de-DE"/>
              </w:rPr>
              <w:t>Barriere-Beobachtungstag oder, im Falle des ersten Barriere-Beobachtungstags, am Emissionstag</w:t>
            </w:r>
            <w:r w:rsidRPr="00792D61">
              <w:rPr>
                <w:b/>
                <w:lang w:val="de-DE"/>
              </w:rPr>
              <w:t>]</w:t>
            </w:r>
            <w:r w:rsidRPr="00213AB9">
              <w:rPr>
                <w:lang w:val="de-DE"/>
              </w:rPr>
              <w:t xml:space="preserve"> </w:t>
            </w:r>
            <w:r w:rsidRPr="00792D61">
              <w:rPr>
                <w:b/>
                <w:lang w:val="de-DE"/>
              </w:rPr>
              <w:t>[</w:t>
            </w:r>
            <w:r w:rsidRPr="00213AB9">
              <w:rPr>
                <w:lang w:val="de-DE"/>
              </w:rPr>
              <w:t>Referenzsatz-Geschäftstag</w:t>
            </w:r>
            <w:r w:rsidRPr="00792D61">
              <w:rPr>
                <w:b/>
                <w:lang w:val="de-DE"/>
              </w:rPr>
              <w:t>]][</w:t>
            </w:r>
            <w:r w:rsidRPr="00831A24">
              <w:rPr>
                <w:b/>
                <w:i/>
                <w:lang w:val="de-DE"/>
              </w:rPr>
              <w:t>Option 3:</w:t>
            </w:r>
            <w:r w:rsidRPr="00213AB9">
              <w:rPr>
                <w:lang w:val="de-DE"/>
              </w:rPr>
              <w:t xml:space="preserve"> dem für die unmittelbar vorangehende Zinsperiode geltenden Referenzsatz 3</w:t>
            </w:r>
            <w:r w:rsidRPr="00792D61">
              <w:rPr>
                <w:b/>
                <w:lang w:val="de-DE"/>
              </w:rPr>
              <w:t>][</w:t>
            </w:r>
            <w:r w:rsidRPr="00831A24">
              <w:rPr>
                <w:b/>
                <w:i/>
                <w:lang w:val="de-DE"/>
              </w:rPr>
              <w:t>Option 4:</w:t>
            </w:r>
            <w:r w:rsidRPr="00213AB9">
              <w:rPr>
                <w:lang w:val="de-DE"/>
              </w:rPr>
              <w:t xml:space="preserve"> dem arithmetischen Mittel der Angebotsätze von Grossbanken an europäische Grossbanken in </w:t>
            </w:r>
            <w:r w:rsidRPr="00792D61">
              <w:rPr>
                <w:b/>
                <w:lang w:val="de-DE"/>
              </w:rPr>
              <w:t>[</w:t>
            </w:r>
            <w:r w:rsidRPr="00213AB9">
              <w:rPr>
                <w:lang w:val="de-DE"/>
              </w:rPr>
              <w:t>Zürich</w:t>
            </w:r>
            <w:r w:rsidRPr="00792D61">
              <w:rPr>
                <w:b/>
                <w:lang w:val="de-DE"/>
              </w:rPr>
              <w:t>][</w:t>
            </w:r>
            <w:r w:rsidRPr="00213AB9">
              <w:rPr>
                <w:lang w:val="de-DE"/>
              </w:rPr>
              <w:t>New York City</w:t>
            </w:r>
            <w:r w:rsidRPr="00792D61">
              <w:rPr>
                <w:b/>
                <w:lang w:val="de-DE"/>
              </w:rPr>
              <w:t>]</w:t>
            </w:r>
            <w:r w:rsidRPr="00213AB9">
              <w:rPr>
                <w:lang w:val="de-DE"/>
              </w:rPr>
              <w:t xml:space="preserve">, wie von der Berechnungsstelle ausgewählt, um oder gegen 11.00 Uhr Ortszeit </w:t>
            </w:r>
            <w:r w:rsidRPr="00792D61">
              <w:rPr>
                <w:b/>
                <w:lang w:val="de-DE"/>
              </w:rPr>
              <w:t>[</w:t>
            </w:r>
            <w:r w:rsidRPr="00213AB9">
              <w:rPr>
                <w:lang w:val="de-DE"/>
              </w:rPr>
              <w:t>Zürich</w:t>
            </w:r>
            <w:r w:rsidRPr="00792D61">
              <w:rPr>
                <w:b/>
                <w:lang w:val="de-DE"/>
              </w:rPr>
              <w:t>][</w:t>
            </w:r>
            <w:r w:rsidRPr="00213AB9">
              <w:rPr>
                <w:lang w:val="de-DE"/>
              </w:rPr>
              <w:t>New York City</w:t>
            </w:r>
            <w:r w:rsidRPr="00792D61">
              <w:rPr>
                <w:b/>
                <w:lang w:val="de-DE"/>
              </w:rPr>
              <w:t>]][</w:t>
            </w:r>
            <w:r w:rsidRPr="00831A24">
              <w:rPr>
                <w:b/>
                <w:i/>
                <w:lang w:val="de-DE"/>
              </w:rPr>
              <w:t>Option 5:</w:t>
            </w:r>
            <w:r w:rsidRPr="00213AB9">
              <w:rPr>
                <w:lang w:val="de-DE"/>
              </w:rPr>
              <w:t xml:space="preserve"> dem von der Berechnungsstelle nach billigem Ermessen unter Berücksichtigung der Marktgegebenheiten festgelegten Zinssatz</w:t>
            </w:r>
            <w:r w:rsidRPr="00792D61">
              <w:rPr>
                <w:b/>
                <w:lang w:val="de-DE"/>
              </w:rPr>
              <w:t>]</w:t>
            </w:r>
            <w:r w:rsidRPr="00213AB9">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44AFC" w:rsidP="00831A24">
            <w:pPr>
              <w:pStyle w:val="CSBody8pt"/>
            </w:pPr>
            <w:r w:rsidRPr="00244AFC">
              <w:t>Rate Source</w:t>
            </w:r>
            <w:r>
              <w:fldChar w:fldCharType="begin"/>
            </w:r>
            <w:r>
              <w:instrText xml:space="preserve"> XE "</w:instrText>
            </w:r>
            <w:r w:rsidRPr="002B6B38">
              <w:instrText>Rate Source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244AFC" w:rsidP="00831A24">
            <w:pPr>
              <w:pStyle w:val="CSBody8pt"/>
            </w:pPr>
            <w:r w:rsidRPr="00792D61">
              <w:rPr>
                <w:b/>
              </w:rPr>
              <w:t>[</w:t>
            </w:r>
            <w:r w:rsidRPr="00244AFC">
              <w:rPr>
                <w:b/>
                <w:i/>
              </w:rPr>
              <w:t>in the case of Complex Products other than Spread-Linked Notes and Spread Range Accrual Notes, insert:</w:t>
            </w:r>
            <w:r w:rsidRPr="00244AFC">
              <w:t xml:space="preserve"> </w:t>
            </w:r>
            <w:r w:rsidRPr="00792D61">
              <w:rPr>
                <w:b/>
              </w:rPr>
              <w:t>[</w:t>
            </w:r>
            <w:r w:rsidRPr="00244AFC">
              <w:t>the display designated as "</w:t>
            </w:r>
            <w:r w:rsidRPr="00792D61">
              <w:rPr>
                <w:b/>
              </w:rPr>
              <w:t>[</w:t>
            </w:r>
            <w:r w:rsidRPr="00244AFC">
              <w:rPr>
                <w:rFonts w:ascii="Arial" w:hAnsi="Arial" w:cs="Arial"/>
              </w:rPr>
              <w:t>●</w:t>
            </w:r>
            <w:r w:rsidRPr="00792D61">
              <w:rPr>
                <w:b/>
              </w:rPr>
              <w:t>]</w:t>
            </w:r>
            <w:r w:rsidRPr="00244AFC">
              <w:t xml:space="preserve">" on </w:t>
            </w:r>
            <w:r w:rsidRPr="00792D61">
              <w:rPr>
                <w:b/>
              </w:rPr>
              <w:t>[</w:t>
            </w:r>
            <w:r w:rsidRPr="00244AFC">
              <w:rPr>
                <w:rFonts w:ascii="Arial" w:hAnsi="Arial" w:cs="Arial"/>
              </w:rPr>
              <w:t>●</w:t>
            </w:r>
            <w:r w:rsidRPr="00792D61">
              <w:rPr>
                <w:b/>
              </w:rPr>
              <w:t>]</w:t>
            </w:r>
            <w:r w:rsidRPr="00244AFC">
              <w:t xml:space="preserve"> (or any successor service)</w:t>
            </w:r>
            <w:r w:rsidRPr="00792D61">
              <w:rPr>
                <w:b/>
              </w:rPr>
              <w:t>][[</w:t>
            </w:r>
            <w:r w:rsidRPr="00244AFC">
              <w:rPr>
                <w:rFonts w:ascii="Arial" w:hAnsi="Arial" w:cs="Arial"/>
              </w:rPr>
              <w:t>●</w:t>
            </w:r>
            <w:r w:rsidRPr="00792D61">
              <w:rPr>
                <w:b/>
              </w:rPr>
              <w:t>]]</w:t>
            </w:r>
            <w:r w:rsidRPr="00244AFC">
              <w:t>.</w:t>
            </w:r>
            <w:r w:rsidRPr="00792D61">
              <w:rPr>
                <w:b/>
              </w:rPr>
              <w:t>]</w:t>
            </w:r>
          </w:p>
        </w:tc>
        <w:tc>
          <w:tcPr>
            <w:tcW w:w="1618" w:type="dxa"/>
            <w:gridSpan w:val="2"/>
            <w:tcBorders>
              <w:top w:val="nil"/>
              <w:bottom w:val="nil"/>
              <w:right w:val="nil"/>
            </w:tcBorders>
            <w:shd w:val="clear" w:color="auto" w:fill="auto"/>
          </w:tcPr>
          <w:p w:rsidR="0017135D" w:rsidRPr="00244AFC" w:rsidP="00831A24">
            <w:pPr>
              <w:pStyle w:val="CSBody8pt"/>
            </w:pPr>
            <w:r w:rsidRPr="00244AFC">
              <w:t>Kursquelle</w:t>
            </w:r>
            <w:r>
              <w:fldChar w:fldCharType="begin"/>
            </w:r>
            <w:r>
              <w:instrText xml:space="preserve"> XE "</w:instrText>
            </w:r>
            <w:r w:rsidRPr="00EF2666">
              <w:instrText>Kursquelle</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F71807" w:rsidP="00831A24">
            <w:pPr>
              <w:pStyle w:val="CSBody8pt"/>
              <w:rPr>
                <w:lang w:val="de-DE"/>
              </w:rPr>
            </w:pPr>
            <w:r w:rsidRPr="00792D61">
              <w:rPr>
                <w:b/>
                <w:lang w:val="de-DE"/>
              </w:rPr>
              <w:t>[</w:t>
            </w:r>
            <w:r w:rsidRPr="00244AFC">
              <w:rPr>
                <w:b/>
                <w:i/>
                <w:lang w:val="de-DE"/>
              </w:rPr>
              <w:t>bei Komplexen Produkten ausser Spread-Linked Notes und Spread Range Accrual Notes einfügen:</w:t>
            </w:r>
            <w:r w:rsidRPr="00244AFC">
              <w:rPr>
                <w:lang w:val="de-DE"/>
              </w:rPr>
              <w:t xml:space="preserve"> </w:t>
            </w:r>
            <w:r w:rsidRPr="00792D61">
              <w:rPr>
                <w:b/>
                <w:lang w:val="de-DE"/>
              </w:rPr>
              <w:t>[</w:t>
            </w:r>
            <w:r w:rsidRPr="00244AFC">
              <w:rPr>
                <w:lang w:val="de-DE"/>
              </w:rPr>
              <w:t>die Seite "</w:t>
            </w:r>
            <w:r w:rsidRPr="00792D61">
              <w:rPr>
                <w:b/>
                <w:lang w:val="de-DE"/>
              </w:rPr>
              <w:t>[</w:t>
            </w:r>
            <w:r w:rsidRPr="00244AFC">
              <w:rPr>
                <w:rFonts w:ascii="Arial" w:hAnsi="Arial" w:cs="Arial"/>
                <w:lang w:val="de-DE"/>
              </w:rPr>
              <w:t>●</w:t>
            </w:r>
            <w:r w:rsidRPr="00792D61">
              <w:rPr>
                <w:b/>
                <w:lang w:val="de-DE"/>
              </w:rPr>
              <w:t>]</w:t>
            </w:r>
            <w:r w:rsidRPr="00244AFC">
              <w:rPr>
                <w:lang w:val="de-DE"/>
              </w:rPr>
              <w:t xml:space="preserve">" bei </w:t>
            </w:r>
            <w:r w:rsidRPr="00792D61">
              <w:rPr>
                <w:b/>
                <w:lang w:val="de-DE"/>
              </w:rPr>
              <w:t>[</w:t>
            </w:r>
            <w:r w:rsidRPr="00244AFC">
              <w:rPr>
                <w:rFonts w:ascii="Arial" w:hAnsi="Arial" w:cs="Arial"/>
                <w:lang w:val="de-DE"/>
              </w:rPr>
              <w:t>●</w:t>
            </w:r>
            <w:r w:rsidRPr="00792D61">
              <w:rPr>
                <w:b/>
                <w:lang w:val="de-DE"/>
              </w:rPr>
              <w:t>]</w:t>
            </w:r>
            <w:r w:rsidRPr="00244AFC">
              <w:rPr>
                <w:lang w:val="de-DE"/>
              </w:rPr>
              <w:t xml:space="preserve"> (oder einem Nachfolgedienst)</w:t>
            </w:r>
            <w:r w:rsidRPr="00792D61">
              <w:rPr>
                <w:b/>
                <w:lang w:val="de-DE"/>
              </w:rPr>
              <w:t>][[</w:t>
            </w:r>
            <w:r w:rsidRPr="00244AFC">
              <w:rPr>
                <w:rFonts w:ascii="Arial" w:hAnsi="Arial" w:cs="Arial"/>
                <w:lang w:val="de-DE"/>
              </w:rPr>
              <w:t>●</w:t>
            </w:r>
            <w:r w:rsidRPr="00792D61">
              <w:rPr>
                <w:b/>
                <w:lang w:val="de-DE"/>
              </w:rPr>
              <w:t>]]</w:t>
            </w:r>
            <w:r w:rsidRPr="00244AFC">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71807" w:rsidP="00831A24">
            <w:pPr>
              <w:pStyle w:val="CSBody8pt"/>
              <w:rPr>
                <w:lang w:val="de-DE"/>
              </w:rPr>
            </w:pPr>
          </w:p>
        </w:tc>
        <w:tc>
          <w:tcPr>
            <w:tcW w:w="3315" w:type="dxa"/>
            <w:gridSpan w:val="7"/>
            <w:tcBorders>
              <w:top w:val="nil"/>
              <w:left w:val="nil"/>
              <w:bottom w:val="nil"/>
            </w:tcBorders>
            <w:shd w:val="clear" w:color="auto" w:fill="auto"/>
          </w:tcPr>
          <w:p w:rsidR="0017135D" w:rsidRPr="00831A24" w:rsidP="00831A24">
            <w:pPr>
              <w:pStyle w:val="CSBody8pt"/>
            </w:pPr>
            <w:r w:rsidRPr="00792D61">
              <w:rPr>
                <w:b/>
              </w:rPr>
              <w:t>[</w:t>
            </w:r>
            <w:r w:rsidRPr="00831A24">
              <w:rPr>
                <w:b/>
                <w:i/>
              </w:rPr>
              <w:t>in the case of Spread-Linked Notes, insert:</w:t>
            </w:r>
            <w:r w:rsidRPr="00831A24">
              <w:t xml:space="preserve"> with respect to Reference Rate 1, </w:t>
            </w:r>
            <w:r w:rsidRPr="00792D61">
              <w:rPr>
                <w:b/>
              </w:rPr>
              <w:t>[</w:t>
            </w:r>
            <w:r w:rsidRPr="00831A24">
              <w:t>the display designated as "</w:t>
            </w:r>
            <w:r w:rsidRPr="00792D61">
              <w:rPr>
                <w:b/>
              </w:rPr>
              <w:t>[</w:t>
            </w:r>
            <w:r w:rsidRPr="00831A24">
              <w:rPr>
                <w:rFonts w:ascii="Arial" w:hAnsi="Arial" w:cs="Arial"/>
              </w:rPr>
              <w:t>●</w:t>
            </w:r>
            <w:r w:rsidRPr="00792D61">
              <w:rPr>
                <w:b/>
              </w:rPr>
              <w:t>]</w:t>
            </w:r>
            <w:r w:rsidRPr="00831A24">
              <w:t xml:space="preserve">" on </w:t>
            </w:r>
            <w:r w:rsidRPr="00792D61">
              <w:rPr>
                <w:b/>
              </w:rPr>
              <w:t>[</w:t>
            </w:r>
            <w:r w:rsidRPr="00831A24">
              <w:rPr>
                <w:rFonts w:ascii="Arial" w:hAnsi="Arial" w:cs="Arial"/>
              </w:rPr>
              <w:t>●</w:t>
            </w:r>
            <w:r w:rsidRPr="00792D61">
              <w:rPr>
                <w:b/>
              </w:rPr>
              <w:t>]</w:t>
            </w:r>
            <w:r w:rsidRPr="00831A24">
              <w:t xml:space="preserve"> (or any successor service)</w:t>
            </w:r>
            <w:r w:rsidRPr="00792D61">
              <w:rPr>
                <w:b/>
              </w:rPr>
              <w:t>][[</w:t>
            </w:r>
            <w:r w:rsidRPr="00831A24">
              <w:rPr>
                <w:rFonts w:ascii="Arial" w:hAnsi="Arial" w:cs="Arial"/>
              </w:rPr>
              <w:t>●</w:t>
            </w:r>
            <w:r w:rsidRPr="00792D61">
              <w:rPr>
                <w:b/>
              </w:rPr>
              <w:t>]]</w:t>
            </w:r>
            <w:r w:rsidRPr="00831A24">
              <w:t xml:space="preserve">, and, with respect to Reference Rate 2, </w:t>
            </w:r>
            <w:r w:rsidRPr="00792D61">
              <w:rPr>
                <w:b/>
              </w:rPr>
              <w:t>[</w:t>
            </w:r>
            <w:r w:rsidRPr="00831A24">
              <w:t>the display designated as "</w:t>
            </w:r>
            <w:r w:rsidRPr="00792D61">
              <w:rPr>
                <w:b/>
              </w:rPr>
              <w:t>[</w:t>
            </w:r>
            <w:r w:rsidRPr="00831A24">
              <w:rPr>
                <w:rFonts w:ascii="Arial" w:hAnsi="Arial" w:cs="Arial"/>
              </w:rPr>
              <w:t>●</w:t>
            </w:r>
            <w:r w:rsidRPr="00792D61">
              <w:rPr>
                <w:b/>
              </w:rPr>
              <w:t>]</w:t>
            </w:r>
            <w:r w:rsidRPr="00831A24">
              <w:t xml:space="preserve">" on </w:t>
            </w:r>
            <w:r w:rsidRPr="00792D61">
              <w:rPr>
                <w:b/>
              </w:rPr>
              <w:t>[</w:t>
            </w:r>
            <w:r w:rsidRPr="00831A24">
              <w:rPr>
                <w:rFonts w:ascii="Arial" w:hAnsi="Arial" w:cs="Arial"/>
              </w:rPr>
              <w:t>●</w:t>
            </w:r>
            <w:r w:rsidRPr="00792D61">
              <w:rPr>
                <w:b/>
              </w:rPr>
              <w:t>]</w:t>
            </w:r>
            <w:r w:rsidRPr="00831A24">
              <w:t xml:space="preserve"> (or any successor service)</w:t>
            </w:r>
            <w:r w:rsidRPr="00792D61">
              <w:rPr>
                <w:b/>
              </w:rPr>
              <w:t>][[</w:t>
            </w:r>
            <w:r w:rsidRPr="00831A24">
              <w:rPr>
                <w:rFonts w:ascii="Arial" w:hAnsi="Arial" w:cs="Arial"/>
              </w:rPr>
              <w:t>●</w:t>
            </w:r>
            <w:r w:rsidRPr="00792D61">
              <w:rPr>
                <w:b/>
              </w:rPr>
              <w:t>]]</w:t>
            </w:r>
            <w:r w:rsidRPr="00831A24">
              <w:t>.</w:t>
            </w:r>
            <w:r w:rsidRPr="00792D61">
              <w:rPr>
                <w:b/>
              </w:rPr>
              <w:t>]</w:t>
            </w:r>
          </w:p>
        </w:tc>
        <w:tc>
          <w:tcPr>
            <w:tcW w:w="1618" w:type="dxa"/>
            <w:gridSpan w:val="2"/>
            <w:tcBorders>
              <w:top w:val="nil"/>
              <w:bottom w:val="nil"/>
              <w:right w:val="nil"/>
            </w:tcBorders>
            <w:shd w:val="clear" w:color="auto" w:fill="auto"/>
          </w:tcPr>
          <w:p w:rsidR="0017135D" w:rsidRPr="00831A24" w:rsidP="00831A24">
            <w:pPr>
              <w:pStyle w:val="CSBody8pt"/>
            </w:pPr>
          </w:p>
        </w:tc>
        <w:tc>
          <w:tcPr>
            <w:tcW w:w="3318" w:type="dxa"/>
            <w:gridSpan w:val="10"/>
            <w:tcBorders>
              <w:top w:val="nil"/>
              <w:left w:val="nil"/>
              <w:bottom w:val="nil"/>
              <w:right w:val="nil"/>
            </w:tcBorders>
            <w:shd w:val="clear" w:color="auto" w:fill="auto"/>
          </w:tcPr>
          <w:p w:rsidR="0017135D" w:rsidRPr="00F71807" w:rsidP="00831A24">
            <w:pPr>
              <w:pStyle w:val="CSBody8pt"/>
              <w:rPr>
                <w:lang w:val="de-DE"/>
              </w:rPr>
            </w:pPr>
            <w:r w:rsidRPr="00792D61">
              <w:rPr>
                <w:b/>
                <w:lang w:val="de-DE"/>
              </w:rPr>
              <w:t>[</w:t>
            </w:r>
            <w:r w:rsidRPr="00F71807">
              <w:rPr>
                <w:b/>
                <w:i/>
                <w:lang w:val="de-DE"/>
              </w:rPr>
              <w:t>bei Spread-Linked Notes einfügen:</w:t>
            </w:r>
            <w:r w:rsidRPr="00F71807">
              <w:rPr>
                <w:lang w:val="de-DE"/>
              </w:rPr>
              <w:t xml:space="preserve"> in Bezug auf den Referenzsatz 1 </w:t>
            </w:r>
            <w:r w:rsidRPr="00792D61">
              <w:rPr>
                <w:b/>
                <w:lang w:val="de-DE"/>
              </w:rPr>
              <w:t>[</w:t>
            </w:r>
            <w:r w:rsidRPr="00F71807">
              <w:rPr>
                <w:lang w:val="de-DE"/>
              </w:rPr>
              <w:t>die Seite "</w:t>
            </w:r>
            <w:r w:rsidRPr="00792D61">
              <w:rPr>
                <w:b/>
                <w:lang w:val="de-DE"/>
              </w:rPr>
              <w:t>[</w:t>
            </w:r>
            <w:r w:rsidRPr="00F71807">
              <w:rPr>
                <w:rFonts w:ascii="Arial" w:hAnsi="Arial" w:cs="Arial"/>
                <w:lang w:val="de-DE"/>
              </w:rPr>
              <w:t>●</w:t>
            </w:r>
            <w:r w:rsidRPr="00792D61">
              <w:rPr>
                <w:b/>
                <w:lang w:val="de-DE"/>
              </w:rPr>
              <w:t>]</w:t>
            </w:r>
            <w:r w:rsidRPr="00F71807">
              <w:rPr>
                <w:lang w:val="de-DE"/>
              </w:rPr>
              <w:t xml:space="preserve">" bei </w:t>
            </w:r>
            <w:r w:rsidRPr="00792D61">
              <w:rPr>
                <w:b/>
                <w:lang w:val="de-DE"/>
              </w:rPr>
              <w:t>[</w:t>
            </w:r>
            <w:r w:rsidRPr="00F71807">
              <w:rPr>
                <w:rFonts w:ascii="Arial" w:hAnsi="Arial" w:cs="Arial"/>
                <w:lang w:val="de-DE"/>
              </w:rPr>
              <w:t>●</w:t>
            </w:r>
            <w:r w:rsidRPr="00792D61">
              <w:rPr>
                <w:b/>
                <w:lang w:val="de-DE"/>
              </w:rPr>
              <w:t>]</w:t>
            </w:r>
            <w:r w:rsidRPr="00F71807">
              <w:rPr>
                <w:lang w:val="de-DE"/>
              </w:rPr>
              <w:t xml:space="preserve"> (oder einem Nachfolgedienst)</w:t>
            </w:r>
            <w:r w:rsidRPr="00792D61">
              <w:rPr>
                <w:b/>
                <w:lang w:val="de-DE"/>
              </w:rPr>
              <w:t>][[</w:t>
            </w:r>
            <w:r w:rsidRPr="00F71807">
              <w:rPr>
                <w:rFonts w:ascii="Arial" w:hAnsi="Arial" w:cs="Arial"/>
                <w:lang w:val="de-DE"/>
              </w:rPr>
              <w:t>●</w:t>
            </w:r>
            <w:r w:rsidRPr="00792D61">
              <w:rPr>
                <w:b/>
                <w:lang w:val="de-DE"/>
              </w:rPr>
              <w:t>]]</w:t>
            </w:r>
            <w:r w:rsidRPr="00F71807">
              <w:rPr>
                <w:lang w:val="de-DE"/>
              </w:rPr>
              <w:t xml:space="preserve"> und in Bezug auf den Referenzsatz 2 </w:t>
            </w:r>
            <w:r w:rsidRPr="00792D61">
              <w:rPr>
                <w:b/>
                <w:lang w:val="de-DE"/>
              </w:rPr>
              <w:t>[</w:t>
            </w:r>
            <w:r w:rsidRPr="00F71807">
              <w:rPr>
                <w:lang w:val="de-DE"/>
              </w:rPr>
              <w:t>die Seite "</w:t>
            </w:r>
            <w:r w:rsidRPr="00792D61">
              <w:rPr>
                <w:b/>
                <w:lang w:val="de-DE"/>
              </w:rPr>
              <w:t>[</w:t>
            </w:r>
            <w:r w:rsidRPr="00F71807">
              <w:rPr>
                <w:rFonts w:ascii="Arial" w:hAnsi="Arial" w:cs="Arial"/>
                <w:lang w:val="de-DE"/>
              </w:rPr>
              <w:t>●</w:t>
            </w:r>
            <w:r w:rsidRPr="00792D61">
              <w:rPr>
                <w:b/>
                <w:lang w:val="de-DE"/>
              </w:rPr>
              <w:t>]</w:t>
            </w:r>
            <w:r w:rsidRPr="00F71807">
              <w:rPr>
                <w:lang w:val="de-DE"/>
              </w:rPr>
              <w:t xml:space="preserve">" bei </w:t>
            </w:r>
            <w:r w:rsidRPr="00792D61">
              <w:rPr>
                <w:b/>
                <w:lang w:val="de-DE"/>
              </w:rPr>
              <w:t>[</w:t>
            </w:r>
            <w:r w:rsidRPr="00F71807">
              <w:rPr>
                <w:rFonts w:ascii="Arial" w:hAnsi="Arial" w:cs="Arial"/>
                <w:lang w:val="de-DE"/>
              </w:rPr>
              <w:t>●</w:t>
            </w:r>
            <w:r w:rsidRPr="00792D61">
              <w:rPr>
                <w:b/>
                <w:lang w:val="de-DE"/>
              </w:rPr>
              <w:t>]</w:t>
            </w:r>
            <w:r w:rsidRPr="00F71807">
              <w:rPr>
                <w:lang w:val="de-DE"/>
              </w:rPr>
              <w:t xml:space="preserve"> (oder einem Nachfolgedienst)</w:t>
            </w:r>
            <w:r w:rsidRPr="00792D61">
              <w:rPr>
                <w:b/>
                <w:lang w:val="de-DE"/>
              </w:rPr>
              <w:t>][[</w:t>
            </w:r>
            <w:r w:rsidRPr="00F71807">
              <w:rPr>
                <w:rFonts w:ascii="Arial" w:hAnsi="Arial" w:cs="Arial"/>
                <w:lang w:val="de-DE"/>
              </w:rPr>
              <w:t>●</w:t>
            </w:r>
            <w:r w:rsidRPr="00792D61">
              <w:rPr>
                <w:b/>
                <w:lang w:val="de-DE"/>
              </w:rPr>
              <w:t>]]</w:t>
            </w:r>
            <w:r w:rsidRPr="00F71807">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71807" w:rsidP="00831A24">
            <w:pPr>
              <w:pStyle w:val="CSBody8pt"/>
              <w:rPr>
                <w:lang w:val="de-DE"/>
              </w:rPr>
            </w:pPr>
          </w:p>
        </w:tc>
        <w:tc>
          <w:tcPr>
            <w:tcW w:w="3315" w:type="dxa"/>
            <w:gridSpan w:val="7"/>
            <w:tcBorders>
              <w:top w:val="nil"/>
              <w:left w:val="nil"/>
              <w:bottom w:val="nil"/>
            </w:tcBorders>
            <w:shd w:val="clear" w:color="auto" w:fill="auto"/>
          </w:tcPr>
          <w:p w:rsidR="0017135D" w:rsidRPr="00831A24" w:rsidP="00831A24">
            <w:pPr>
              <w:pStyle w:val="CSBody8pt"/>
            </w:pPr>
            <w:r w:rsidRPr="00792D61">
              <w:rPr>
                <w:b/>
              </w:rPr>
              <w:t>[</w:t>
            </w:r>
            <w:r w:rsidRPr="00831A24">
              <w:rPr>
                <w:b/>
                <w:i/>
              </w:rPr>
              <w:t>in the case of Spread Range Accrual Notes, insert:</w:t>
            </w:r>
            <w:r w:rsidRPr="00831A24">
              <w:t xml:space="preserve"> with respect to Reference Rate 1, </w:t>
            </w:r>
            <w:r w:rsidRPr="00792D61">
              <w:rPr>
                <w:b/>
              </w:rPr>
              <w:t>[</w:t>
            </w:r>
            <w:r w:rsidRPr="00831A24">
              <w:t>the display designated as "</w:t>
            </w:r>
            <w:r w:rsidRPr="00792D61">
              <w:rPr>
                <w:b/>
              </w:rPr>
              <w:t>[</w:t>
            </w:r>
            <w:r w:rsidRPr="00831A24">
              <w:rPr>
                <w:rFonts w:ascii="Arial" w:hAnsi="Arial" w:cs="Arial"/>
              </w:rPr>
              <w:t>●</w:t>
            </w:r>
            <w:r w:rsidRPr="00792D61">
              <w:rPr>
                <w:b/>
              </w:rPr>
              <w:t>]</w:t>
            </w:r>
            <w:r w:rsidRPr="00831A24">
              <w:t xml:space="preserve">" on </w:t>
            </w:r>
            <w:r w:rsidRPr="00792D61">
              <w:rPr>
                <w:b/>
              </w:rPr>
              <w:t>[</w:t>
            </w:r>
            <w:r w:rsidRPr="00831A24">
              <w:rPr>
                <w:rFonts w:ascii="Arial" w:hAnsi="Arial" w:cs="Arial"/>
              </w:rPr>
              <w:t>●</w:t>
            </w:r>
            <w:r w:rsidRPr="00792D61">
              <w:rPr>
                <w:b/>
              </w:rPr>
              <w:t>]</w:t>
            </w:r>
            <w:r w:rsidRPr="00831A24">
              <w:t xml:space="preserve"> (or any successor service)</w:t>
            </w:r>
            <w:r w:rsidRPr="00792D61">
              <w:rPr>
                <w:b/>
              </w:rPr>
              <w:t>][[</w:t>
            </w:r>
            <w:r w:rsidRPr="00831A24">
              <w:rPr>
                <w:rFonts w:ascii="Arial" w:hAnsi="Arial" w:cs="Arial"/>
              </w:rPr>
              <w:t>●</w:t>
            </w:r>
            <w:r w:rsidRPr="00792D61">
              <w:rPr>
                <w:b/>
              </w:rPr>
              <w:t>]]</w:t>
            </w:r>
            <w:r w:rsidRPr="00831A24">
              <w:t xml:space="preserve">, with respect to Reference Rate 2, </w:t>
            </w:r>
            <w:r w:rsidRPr="00792D61">
              <w:rPr>
                <w:b/>
              </w:rPr>
              <w:t>[</w:t>
            </w:r>
            <w:r w:rsidRPr="00831A24">
              <w:t>the display designated as "</w:t>
            </w:r>
            <w:r w:rsidRPr="00792D61">
              <w:rPr>
                <w:b/>
              </w:rPr>
              <w:t>[</w:t>
            </w:r>
            <w:r w:rsidRPr="00831A24">
              <w:rPr>
                <w:rFonts w:ascii="Arial" w:hAnsi="Arial" w:cs="Arial"/>
              </w:rPr>
              <w:t>●</w:t>
            </w:r>
            <w:r w:rsidRPr="00792D61">
              <w:rPr>
                <w:b/>
              </w:rPr>
              <w:t>]</w:t>
            </w:r>
            <w:r w:rsidRPr="00831A24">
              <w:t xml:space="preserve">" on </w:t>
            </w:r>
            <w:r w:rsidRPr="00792D61">
              <w:rPr>
                <w:b/>
              </w:rPr>
              <w:t>[</w:t>
            </w:r>
            <w:r w:rsidRPr="00831A24">
              <w:rPr>
                <w:rFonts w:ascii="Arial" w:hAnsi="Arial" w:cs="Arial"/>
              </w:rPr>
              <w:t>●</w:t>
            </w:r>
            <w:r w:rsidRPr="00792D61">
              <w:rPr>
                <w:b/>
              </w:rPr>
              <w:t>]</w:t>
            </w:r>
            <w:r w:rsidRPr="00831A24">
              <w:t xml:space="preserve"> (or any successor service)</w:t>
            </w:r>
            <w:r w:rsidRPr="00792D61">
              <w:rPr>
                <w:b/>
              </w:rPr>
              <w:t>][[</w:t>
            </w:r>
            <w:r w:rsidRPr="00831A24">
              <w:rPr>
                <w:rFonts w:ascii="Arial" w:hAnsi="Arial" w:cs="Arial"/>
              </w:rPr>
              <w:t>●</w:t>
            </w:r>
            <w:r w:rsidRPr="00792D61">
              <w:rPr>
                <w:b/>
              </w:rPr>
              <w:t>]]</w:t>
            </w:r>
            <w:r w:rsidRPr="00831A24">
              <w:t xml:space="preserve">, and, with respect to Reference Rate 3, </w:t>
            </w:r>
            <w:r w:rsidRPr="00792D61">
              <w:rPr>
                <w:b/>
              </w:rPr>
              <w:t>[</w:t>
            </w:r>
            <w:r w:rsidRPr="00831A24">
              <w:t>the display designated as "</w:t>
            </w:r>
            <w:r w:rsidRPr="00792D61">
              <w:rPr>
                <w:b/>
              </w:rPr>
              <w:t>[</w:t>
            </w:r>
            <w:r w:rsidRPr="00831A24">
              <w:rPr>
                <w:rFonts w:ascii="Arial" w:hAnsi="Arial" w:cs="Arial"/>
              </w:rPr>
              <w:t>●</w:t>
            </w:r>
            <w:r w:rsidRPr="00792D61">
              <w:rPr>
                <w:b/>
              </w:rPr>
              <w:t>]</w:t>
            </w:r>
            <w:r w:rsidRPr="00831A24">
              <w:t xml:space="preserve">" on </w:t>
            </w:r>
            <w:r w:rsidRPr="00792D61">
              <w:rPr>
                <w:b/>
              </w:rPr>
              <w:t>[</w:t>
            </w:r>
            <w:r w:rsidRPr="00831A24">
              <w:rPr>
                <w:rFonts w:ascii="Arial" w:hAnsi="Arial" w:cs="Arial"/>
              </w:rPr>
              <w:t>●</w:t>
            </w:r>
            <w:r w:rsidRPr="00792D61">
              <w:rPr>
                <w:b/>
              </w:rPr>
              <w:t>]</w:t>
            </w:r>
            <w:r w:rsidRPr="00831A24">
              <w:t xml:space="preserve"> (or any successor service)</w:t>
            </w:r>
            <w:r w:rsidRPr="00792D61">
              <w:rPr>
                <w:b/>
              </w:rPr>
              <w:t>][[</w:t>
            </w:r>
            <w:r w:rsidRPr="00831A24">
              <w:rPr>
                <w:rFonts w:ascii="Arial" w:hAnsi="Arial" w:cs="Arial"/>
              </w:rPr>
              <w:t>●</w:t>
            </w:r>
            <w:r w:rsidRPr="00792D61">
              <w:rPr>
                <w:b/>
              </w:rPr>
              <w:t>]]</w:t>
            </w:r>
            <w:r w:rsidRPr="00831A24">
              <w:t>.</w:t>
            </w:r>
            <w:r w:rsidRPr="00792D61">
              <w:rPr>
                <w:b/>
              </w:rPr>
              <w:t>]</w:t>
            </w:r>
          </w:p>
        </w:tc>
        <w:tc>
          <w:tcPr>
            <w:tcW w:w="1618" w:type="dxa"/>
            <w:gridSpan w:val="2"/>
            <w:tcBorders>
              <w:top w:val="nil"/>
              <w:bottom w:val="nil"/>
              <w:right w:val="nil"/>
            </w:tcBorders>
            <w:shd w:val="clear" w:color="auto" w:fill="auto"/>
          </w:tcPr>
          <w:p w:rsidR="0017135D" w:rsidRPr="00831A24" w:rsidP="00831A24">
            <w:pPr>
              <w:pStyle w:val="CSBody8pt"/>
            </w:pPr>
          </w:p>
        </w:tc>
        <w:tc>
          <w:tcPr>
            <w:tcW w:w="3318" w:type="dxa"/>
            <w:gridSpan w:val="10"/>
            <w:tcBorders>
              <w:top w:val="nil"/>
              <w:left w:val="nil"/>
              <w:bottom w:val="nil"/>
              <w:right w:val="nil"/>
            </w:tcBorders>
            <w:shd w:val="clear" w:color="auto" w:fill="auto"/>
          </w:tcPr>
          <w:p w:rsidR="0017135D" w:rsidRPr="00F71807" w:rsidP="00831A24">
            <w:pPr>
              <w:pStyle w:val="CSBody8pt"/>
              <w:rPr>
                <w:lang w:val="de-DE"/>
              </w:rPr>
            </w:pPr>
            <w:r w:rsidRPr="00792D61">
              <w:rPr>
                <w:b/>
                <w:lang w:val="de-DE"/>
              </w:rPr>
              <w:t>[</w:t>
            </w:r>
            <w:r w:rsidRPr="00F71807">
              <w:rPr>
                <w:b/>
                <w:i/>
                <w:lang w:val="de-DE"/>
              </w:rPr>
              <w:t>bei Spread Range Accrual Notes einfügen:</w:t>
            </w:r>
            <w:r w:rsidRPr="00F71807">
              <w:rPr>
                <w:lang w:val="de-DE"/>
              </w:rPr>
              <w:t xml:space="preserve"> in Bezug auf den Referenzsatz 1 </w:t>
            </w:r>
            <w:r w:rsidRPr="00792D61">
              <w:rPr>
                <w:b/>
                <w:lang w:val="de-DE"/>
              </w:rPr>
              <w:t>[</w:t>
            </w:r>
            <w:r w:rsidRPr="00F71807">
              <w:rPr>
                <w:lang w:val="de-DE"/>
              </w:rPr>
              <w:t>die Seite "</w:t>
            </w:r>
            <w:r w:rsidRPr="00792D61">
              <w:rPr>
                <w:b/>
                <w:lang w:val="de-DE"/>
              </w:rPr>
              <w:t>[</w:t>
            </w:r>
            <w:r w:rsidRPr="00F71807">
              <w:rPr>
                <w:rFonts w:ascii="Arial" w:hAnsi="Arial" w:cs="Arial"/>
                <w:lang w:val="de-DE"/>
              </w:rPr>
              <w:t>●</w:t>
            </w:r>
            <w:r w:rsidRPr="00792D61">
              <w:rPr>
                <w:b/>
                <w:lang w:val="de-DE"/>
              </w:rPr>
              <w:t>]</w:t>
            </w:r>
            <w:r w:rsidRPr="00F71807">
              <w:rPr>
                <w:lang w:val="de-DE"/>
              </w:rPr>
              <w:t xml:space="preserve">" bei </w:t>
            </w:r>
            <w:r w:rsidRPr="00792D61">
              <w:rPr>
                <w:b/>
                <w:lang w:val="de-DE"/>
              </w:rPr>
              <w:t>[</w:t>
            </w:r>
            <w:r w:rsidRPr="00F71807">
              <w:rPr>
                <w:rFonts w:ascii="Arial" w:hAnsi="Arial" w:cs="Arial"/>
                <w:lang w:val="de-DE"/>
              </w:rPr>
              <w:t>●</w:t>
            </w:r>
            <w:r w:rsidRPr="00792D61">
              <w:rPr>
                <w:b/>
                <w:lang w:val="de-DE"/>
              </w:rPr>
              <w:t>]</w:t>
            </w:r>
            <w:r w:rsidRPr="00F71807">
              <w:rPr>
                <w:lang w:val="de-DE"/>
              </w:rPr>
              <w:t xml:space="preserve"> (oder einem Nachfolgedienst)</w:t>
            </w:r>
            <w:r w:rsidRPr="00792D61">
              <w:rPr>
                <w:b/>
                <w:lang w:val="de-DE"/>
              </w:rPr>
              <w:t>][[</w:t>
            </w:r>
            <w:r w:rsidRPr="00F71807">
              <w:rPr>
                <w:rFonts w:ascii="Arial" w:hAnsi="Arial" w:cs="Arial"/>
                <w:lang w:val="de-DE"/>
              </w:rPr>
              <w:t>●</w:t>
            </w:r>
            <w:r w:rsidRPr="00792D61">
              <w:rPr>
                <w:b/>
                <w:lang w:val="de-DE"/>
              </w:rPr>
              <w:t>]]</w:t>
            </w:r>
            <w:r w:rsidRPr="00F71807">
              <w:rPr>
                <w:lang w:val="de-DE"/>
              </w:rPr>
              <w:t xml:space="preserve">, in Bezug auf den Referenzsatz 2 </w:t>
            </w:r>
            <w:r w:rsidRPr="00792D61">
              <w:rPr>
                <w:b/>
                <w:lang w:val="de-DE"/>
              </w:rPr>
              <w:t>[</w:t>
            </w:r>
            <w:r w:rsidRPr="00F71807">
              <w:rPr>
                <w:lang w:val="de-DE"/>
              </w:rPr>
              <w:t>die Seite "</w:t>
            </w:r>
            <w:r w:rsidRPr="00792D61">
              <w:rPr>
                <w:b/>
                <w:lang w:val="de-DE"/>
              </w:rPr>
              <w:t>[</w:t>
            </w:r>
            <w:r w:rsidRPr="00F71807">
              <w:rPr>
                <w:rFonts w:ascii="Arial" w:hAnsi="Arial" w:cs="Arial"/>
                <w:lang w:val="de-DE"/>
              </w:rPr>
              <w:t>●</w:t>
            </w:r>
            <w:r w:rsidRPr="00792D61">
              <w:rPr>
                <w:b/>
                <w:lang w:val="de-DE"/>
              </w:rPr>
              <w:t>]</w:t>
            </w:r>
            <w:r w:rsidRPr="00F71807">
              <w:rPr>
                <w:lang w:val="de-DE"/>
              </w:rPr>
              <w:t xml:space="preserve">" bei </w:t>
            </w:r>
            <w:r w:rsidRPr="00792D61">
              <w:rPr>
                <w:b/>
                <w:lang w:val="de-DE"/>
              </w:rPr>
              <w:t>[</w:t>
            </w:r>
            <w:r w:rsidRPr="00F71807">
              <w:rPr>
                <w:rFonts w:ascii="Arial" w:hAnsi="Arial" w:cs="Arial"/>
                <w:lang w:val="de-DE"/>
              </w:rPr>
              <w:t>●</w:t>
            </w:r>
            <w:r w:rsidRPr="00792D61">
              <w:rPr>
                <w:b/>
                <w:lang w:val="de-DE"/>
              </w:rPr>
              <w:t>]</w:t>
            </w:r>
            <w:r w:rsidRPr="00F71807">
              <w:rPr>
                <w:lang w:val="de-DE"/>
              </w:rPr>
              <w:t xml:space="preserve"> (oder einem Nachfolgedienst)</w:t>
            </w:r>
            <w:r w:rsidRPr="00792D61">
              <w:rPr>
                <w:b/>
                <w:lang w:val="de-DE"/>
              </w:rPr>
              <w:t>][[</w:t>
            </w:r>
            <w:r w:rsidRPr="00F71807">
              <w:rPr>
                <w:rFonts w:ascii="Arial" w:hAnsi="Arial" w:cs="Arial"/>
                <w:lang w:val="de-DE"/>
              </w:rPr>
              <w:t>●</w:t>
            </w:r>
            <w:r w:rsidRPr="00792D61">
              <w:rPr>
                <w:b/>
                <w:lang w:val="de-DE"/>
              </w:rPr>
              <w:t>]]</w:t>
            </w:r>
            <w:r w:rsidRPr="00F71807">
              <w:rPr>
                <w:lang w:val="de-DE"/>
              </w:rPr>
              <w:t xml:space="preserve"> und in Bezug auf den Referenzsatz 3 </w:t>
            </w:r>
            <w:r w:rsidRPr="00792D61">
              <w:rPr>
                <w:b/>
                <w:lang w:val="de-DE"/>
              </w:rPr>
              <w:t>[</w:t>
            </w:r>
            <w:r w:rsidRPr="00F71807">
              <w:rPr>
                <w:lang w:val="de-DE"/>
              </w:rPr>
              <w:t>die Seite "</w:t>
            </w:r>
            <w:r w:rsidRPr="00792D61">
              <w:rPr>
                <w:b/>
                <w:lang w:val="de-DE"/>
              </w:rPr>
              <w:t>[</w:t>
            </w:r>
            <w:r w:rsidRPr="00F71807">
              <w:rPr>
                <w:rFonts w:ascii="Arial" w:hAnsi="Arial" w:cs="Arial"/>
                <w:lang w:val="de-DE"/>
              </w:rPr>
              <w:t>●</w:t>
            </w:r>
            <w:r w:rsidRPr="00792D61">
              <w:rPr>
                <w:b/>
                <w:lang w:val="de-DE"/>
              </w:rPr>
              <w:t>]</w:t>
            </w:r>
            <w:r w:rsidRPr="00F71807">
              <w:rPr>
                <w:lang w:val="de-DE"/>
              </w:rPr>
              <w:t xml:space="preserve">" bei </w:t>
            </w:r>
            <w:r w:rsidRPr="00792D61">
              <w:rPr>
                <w:b/>
                <w:lang w:val="de-DE"/>
              </w:rPr>
              <w:t>[</w:t>
            </w:r>
            <w:r w:rsidRPr="00F71807">
              <w:rPr>
                <w:rFonts w:ascii="Arial" w:hAnsi="Arial" w:cs="Arial"/>
                <w:lang w:val="de-DE"/>
              </w:rPr>
              <w:t>●</w:t>
            </w:r>
            <w:r w:rsidRPr="00792D61">
              <w:rPr>
                <w:b/>
                <w:lang w:val="de-DE"/>
              </w:rPr>
              <w:t>]</w:t>
            </w:r>
            <w:r w:rsidRPr="00F71807">
              <w:rPr>
                <w:lang w:val="de-DE"/>
              </w:rPr>
              <w:t xml:space="preserve"> (oder einem Nachfolgedienst)</w:t>
            </w:r>
            <w:r w:rsidRPr="00792D61">
              <w:rPr>
                <w:b/>
                <w:lang w:val="de-DE"/>
              </w:rPr>
              <w:t>][[</w:t>
            </w:r>
            <w:r w:rsidRPr="00F71807">
              <w:rPr>
                <w:rFonts w:ascii="Arial" w:hAnsi="Arial" w:cs="Arial"/>
                <w:lang w:val="de-DE"/>
              </w:rPr>
              <w:t>●</w:t>
            </w:r>
            <w:r w:rsidRPr="00792D61">
              <w:rPr>
                <w:b/>
                <w:lang w:val="de-DE"/>
              </w:rPr>
              <w:t>]]</w:t>
            </w:r>
            <w:r w:rsidRPr="00F71807">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44AFC">
            <w:pPr>
              <w:pStyle w:val="CSBody8pt"/>
              <w:rPr>
                <w:lang w:val="de-DE"/>
              </w:rPr>
            </w:pPr>
            <w:r w:rsidRPr="00792D61">
              <w:rPr>
                <w:b/>
                <w:lang w:val="de-DE"/>
              </w:rPr>
              <w:t>[</w:t>
            </w:r>
            <w:r w:rsidRPr="00244AFC">
              <w:rPr>
                <w:lang w:val="de-DE"/>
              </w:rPr>
              <w:t>Specified Reference Rate Currency</w:t>
            </w:r>
            <w:r>
              <w:rPr>
                <w:lang w:val="de-DE"/>
              </w:rPr>
              <w:fldChar w:fldCharType="begin"/>
            </w:r>
            <w:r w:rsidR="0041243C">
              <w:instrText xml:space="preserve"> XE "</w:instrText>
            </w:r>
            <w:r w:rsidRPr="008A5875" w:rsidR="0041243C">
              <w:rPr>
                <w:lang w:val="de-DE"/>
              </w:rPr>
              <w:instrText>Specified Reference Rate Currency</w:instrText>
            </w:r>
            <w:r w:rsidR="0041243C">
              <w:instrText>" \f "EN"</w:instrText>
            </w:r>
            <w:r>
              <w:rPr>
                <w:lang w:val="de-DE"/>
              </w:rPr>
              <w:fldChar w:fldCharType="end"/>
            </w:r>
          </w:p>
        </w:tc>
        <w:tc>
          <w:tcPr>
            <w:tcW w:w="3315" w:type="dxa"/>
            <w:gridSpan w:val="7"/>
            <w:tcBorders>
              <w:top w:val="nil"/>
              <w:left w:val="nil"/>
              <w:bottom w:val="nil"/>
            </w:tcBorders>
            <w:shd w:val="clear" w:color="auto" w:fill="auto"/>
          </w:tcPr>
          <w:p w:rsidR="0017135D" w:rsidRPr="00244AFC" w:rsidP="002E38FE">
            <w:pPr>
              <w:pStyle w:val="CSBody8pt"/>
            </w:pPr>
            <w:r w:rsidRPr="00792D61">
              <w:rPr>
                <w:b/>
              </w:rPr>
              <w:t>[</w:t>
            </w:r>
            <w:r w:rsidRPr="00244AFC">
              <w:rPr>
                <w:b/>
                <w:i/>
              </w:rPr>
              <w:t>in the case of Complex Products other than Spread-Linked Notes and Spread Range Accrual Notes, insert:</w:t>
            </w:r>
            <w:r w:rsidRPr="00244AFC">
              <w:t xml:space="preserve"> </w:t>
            </w:r>
            <w:r w:rsidRPr="00792D61">
              <w:rPr>
                <w:b/>
              </w:rPr>
              <w:t>[</w:t>
            </w:r>
            <w:r w:rsidRPr="00244AFC">
              <w:rPr>
                <w:rFonts w:ascii="Arial" w:hAnsi="Arial" w:cs="Arial"/>
              </w:rPr>
              <w:t>●</w:t>
            </w:r>
            <w:r w:rsidRPr="00792D61">
              <w:rPr>
                <w:b/>
              </w:rPr>
              <w:t>]</w:t>
            </w:r>
            <w:r w:rsidRPr="00244AFC">
              <w:t>.</w:t>
            </w:r>
            <w:r w:rsidRPr="00792D61">
              <w:rPr>
                <w:b/>
              </w:rPr>
              <w:t>]</w:t>
            </w:r>
          </w:p>
        </w:tc>
        <w:tc>
          <w:tcPr>
            <w:tcW w:w="1618" w:type="dxa"/>
            <w:gridSpan w:val="2"/>
            <w:tcBorders>
              <w:top w:val="nil"/>
              <w:bottom w:val="nil"/>
              <w:right w:val="nil"/>
            </w:tcBorders>
            <w:shd w:val="clear" w:color="auto" w:fill="auto"/>
          </w:tcPr>
          <w:p w:rsidR="0017135D" w:rsidRPr="00244AFC">
            <w:pPr>
              <w:pStyle w:val="CSBody8pt"/>
            </w:pPr>
            <w:r w:rsidRPr="00792D61">
              <w:rPr>
                <w:b/>
              </w:rPr>
              <w:t>[</w:t>
            </w:r>
            <w:r w:rsidRPr="00244AFC">
              <w:t>Festgelegte Referenzsatz-Währung</w:t>
            </w:r>
            <w:r>
              <w:fldChar w:fldCharType="begin"/>
            </w:r>
            <w:r w:rsidR="0041243C">
              <w:instrText xml:space="preserve"> XE "</w:instrText>
            </w:r>
            <w:r w:rsidRPr="0015766D" w:rsidR="0041243C">
              <w:instrText>Festgelegte Referenzsatz-Währung</w:instrText>
            </w:r>
            <w:r w:rsidR="0041243C">
              <w:instrText xml:space="preserve">" </w:instrText>
            </w:r>
            <w:r>
              <w:fldChar w:fldCharType="end"/>
            </w:r>
          </w:p>
        </w:tc>
        <w:tc>
          <w:tcPr>
            <w:tcW w:w="3318" w:type="dxa"/>
            <w:gridSpan w:val="10"/>
            <w:tcBorders>
              <w:top w:val="nil"/>
              <w:left w:val="nil"/>
              <w:bottom w:val="nil"/>
              <w:right w:val="nil"/>
            </w:tcBorders>
            <w:shd w:val="clear" w:color="auto" w:fill="auto"/>
          </w:tcPr>
          <w:p w:rsidR="0017135D" w:rsidRPr="00213AB9" w:rsidP="002E38FE">
            <w:pPr>
              <w:pStyle w:val="CSBody8pt"/>
              <w:rPr>
                <w:lang w:val="de-DE"/>
              </w:rPr>
            </w:pPr>
            <w:r w:rsidRPr="00792D61">
              <w:rPr>
                <w:b/>
                <w:lang w:val="de-DE"/>
              </w:rPr>
              <w:t>[</w:t>
            </w:r>
            <w:r w:rsidRPr="00244AFC">
              <w:rPr>
                <w:b/>
                <w:i/>
                <w:lang w:val="de-DE"/>
              </w:rPr>
              <w:t>bei Komplexen Produkten ausser Spread-Linked Notes und Spread Range Accrual Notes einfügen:</w:t>
            </w:r>
            <w:r w:rsidRPr="00244AFC">
              <w:rPr>
                <w:lang w:val="de-DE"/>
              </w:rPr>
              <w:t xml:space="preserve"> </w:t>
            </w:r>
            <w:r w:rsidRPr="00792D61">
              <w:rPr>
                <w:b/>
                <w:lang w:val="de-DE"/>
              </w:rPr>
              <w:t>[</w:t>
            </w:r>
            <w:r w:rsidRPr="00244AFC">
              <w:rPr>
                <w:rFonts w:ascii="Arial" w:hAnsi="Arial" w:cs="Arial"/>
                <w:lang w:val="de-DE"/>
              </w:rPr>
              <w:t>●</w:t>
            </w:r>
            <w:r w:rsidRPr="00792D61">
              <w:rPr>
                <w:b/>
                <w:lang w:val="de-DE"/>
              </w:rPr>
              <w:t>]</w:t>
            </w:r>
            <w:r w:rsidRPr="00244AFC">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2E38FE">
            <w:pPr>
              <w:pStyle w:val="CSBody8pt"/>
              <w:rPr>
                <w:lang w:val="de-DE"/>
              </w:rPr>
            </w:pPr>
          </w:p>
        </w:tc>
        <w:tc>
          <w:tcPr>
            <w:tcW w:w="3315" w:type="dxa"/>
            <w:gridSpan w:val="7"/>
            <w:tcBorders>
              <w:top w:val="nil"/>
              <w:left w:val="nil"/>
              <w:bottom w:val="nil"/>
            </w:tcBorders>
            <w:shd w:val="clear" w:color="auto" w:fill="auto"/>
          </w:tcPr>
          <w:p w:rsidR="0017135D" w:rsidRPr="00C91E32" w:rsidP="002E38FE">
            <w:pPr>
              <w:pStyle w:val="CSBody8pt"/>
            </w:pPr>
            <w:r w:rsidRPr="00792D61">
              <w:rPr>
                <w:b/>
              </w:rPr>
              <w:t>[</w:t>
            </w:r>
            <w:r w:rsidRPr="002E38FE">
              <w:rPr>
                <w:b/>
                <w:i/>
              </w:rPr>
              <w:t>in the case of Spread-Linked Notes, insert:</w:t>
            </w:r>
            <w:r w:rsidRPr="00C91E32">
              <w:t xml:space="preserve"> with respect to Reference Rate 1, </w:t>
            </w:r>
            <w:r w:rsidRPr="00792D61">
              <w:rPr>
                <w:b/>
              </w:rPr>
              <w:t>[</w:t>
            </w:r>
            <w:r w:rsidRPr="00C91E32">
              <w:rPr>
                <w:rFonts w:ascii="Arial" w:hAnsi="Arial" w:cs="Arial"/>
              </w:rPr>
              <w:t>●</w:t>
            </w:r>
            <w:r w:rsidRPr="00792D61">
              <w:rPr>
                <w:b/>
              </w:rPr>
              <w:t>]</w:t>
            </w:r>
            <w:r w:rsidRPr="00C91E32">
              <w:t xml:space="preserve">, and, with respect to Reference Rate 2, </w:t>
            </w:r>
            <w:r w:rsidRPr="00792D61">
              <w:rPr>
                <w:b/>
              </w:rPr>
              <w:t>[</w:t>
            </w:r>
            <w:r w:rsidRPr="00C91E32">
              <w:rPr>
                <w:rFonts w:ascii="Arial" w:hAnsi="Arial" w:cs="Arial"/>
              </w:rPr>
              <w:t>●</w:t>
            </w:r>
            <w:r w:rsidRPr="00792D61">
              <w:rPr>
                <w:b/>
              </w:rPr>
              <w:t>]</w:t>
            </w:r>
            <w:r w:rsidRPr="00C91E32">
              <w:t>.</w:t>
            </w:r>
            <w:r w:rsidRPr="00792D61">
              <w:rPr>
                <w:b/>
              </w:rPr>
              <w:t>]</w:t>
            </w:r>
          </w:p>
        </w:tc>
        <w:tc>
          <w:tcPr>
            <w:tcW w:w="1618" w:type="dxa"/>
            <w:gridSpan w:val="2"/>
            <w:tcBorders>
              <w:top w:val="nil"/>
              <w:bottom w:val="nil"/>
              <w:right w:val="nil"/>
            </w:tcBorders>
            <w:shd w:val="clear" w:color="auto" w:fill="auto"/>
          </w:tcPr>
          <w:p w:rsidR="0017135D" w:rsidRPr="00213AB9" w:rsidP="002E38FE">
            <w:pPr>
              <w:pStyle w:val="CSBody8pt"/>
              <w:rPr>
                <w:i/>
              </w:rPr>
            </w:pPr>
          </w:p>
        </w:tc>
        <w:tc>
          <w:tcPr>
            <w:tcW w:w="3318" w:type="dxa"/>
            <w:gridSpan w:val="10"/>
            <w:tcBorders>
              <w:top w:val="nil"/>
              <w:left w:val="nil"/>
              <w:bottom w:val="nil"/>
              <w:right w:val="nil"/>
            </w:tcBorders>
            <w:shd w:val="clear" w:color="auto" w:fill="auto"/>
          </w:tcPr>
          <w:p w:rsidR="0017135D" w:rsidRPr="00213AB9" w:rsidP="002E38FE">
            <w:pPr>
              <w:pStyle w:val="CSBody8pt"/>
              <w:rPr>
                <w:lang w:val="de-DE"/>
              </w:rPr>
            </w:pPr>
            <w:r w:rsidRPr="00792D61">
              <w:rPr>
                <w:b/>
                <w:lang w:val="de-DE"/>
              </w:rPr>
              <w:t>[</w:t>
            </w:r>
            <w:r w:rsidRPr="002E38FE">
              <w:rPr>
                <w:b/>
                <w:i/>
                <w:lang w:val="de-DE"/>
              </w:rPr>
              <w:t>bei Spread-Linked Notes einfügen:</w:t>
            </w:r>
            <w:r w:rsidRPr="00213AB9">
              <w:rPr>
                <w:lang w:val="de-DE"/>
              </w:rPr>
              <w:t xml:space="preserve"> in Bezug auf den Referenzsatz 1 </w:t>
            </w:r>
            <w:r w:rsidRPr="00792D61">
              <w:rPr>
                <w:b/>
                <w:lang w:val="de-DE"/>
              </w:rPr>
              <w:t>[</w:t>
            </w:r>
            <w:r w:rsidRPr="00213AB9">
              <w:rPr>
                <w:rFonts w:ascii="Arial" w:hAnsi="Arial" w:cs="Arial"/>
                <w:lang w:val="de-DE"/>
              </w:rPr>
              <w:t>●</w:t>
            </w:r>
            <w:r w:rsidRPr="00792D61">
              <w:rPr>
                <w:b/>
                <w:lang w:val="de-DE"/>
              </w:rPr>
              <w:t>]</w:t>
            </w:r>
            <w:r w:rsidRPr="00213AB9">
              <w:rPr>
                <w:lang w:val="de-DE"/>
              </w:rPr>
              <w:t xml:space="preserve"> und in Bezug auf den Referenzsatz 2 </w:t>
            </w:r>
            <w:r w:rsidRPr="00792D61">
              <w:rPr>
                <w:b/>
                <w:lang w:val="de-DE"/>
              </w:rPr>
              <w:t>[</w:t>
            </w:r>
            <w:r w:rsidRPr="00213AB9">
              <w:rPr>
                <w:rFonts w:ascii="Arial" w:hAnsi="Arial" w:cs="Arial"/>
                <w:lang w:val="de-DE"/>
              </w:rPr>
              <w:t>●</w:t>
            </w:r>
            <w:r w:rsidRPr="00792D61">
              <w:rPr>
                <w:b/>
                <w:lang w:val="de-DE"/>
              </w:rPr>
              <w:t>]</w:t>
            </w:r>
            <w:r w:rsidRPr="00213AB9">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2E38FE">
            <w:pPr>
              <w:pStyle w:val="CSBody8pt"/>
              <w:rPr>
                <w:lang w:val="de-DE"/>
              </w:rPr>
            </w:pPr>
          </w:p>
        </w:tc>
        <w:tc>
          <w:tcPr>
            <w:tcW w:w="3315" w:type="dxa"/>
            <w:gridSpan w:val="7"/>
            <w:tcBorders>
              <w:top w:val="nil"/>
              <w:left w:val="nil"/>
              <w:bottom w:val="nil"/>
            </w:tcBorders>
            <w:shd w:val="clear" w:color="auto" w:fill="auto"/>
          </w:tcPr>
          <w:p w:rsidR="0017135D" w:rsidP="002E38FE">
            <w:pPr>
              <w:pStyle w:val="CSBody8pt"/>
            </w:pPr>
            <w:r w:rsidRPr="00792D61">
              <w:rPr>
                <w:b/>
              </w:rPr>
              <w:t>[</w:t>
            </w:r>
            <w:r w:rsidRPr="002E38FE">
              <w:rPr>
                <w:b/>
                <w:i/>
              </w:rPr>
              <w:t>in the case of Spread Range Accrual Notes, insert:</w:t>
            </w:r>
            <w:r w:rsidRPr="00C91E32">
              <w:t xml:space="preserve"> with respect to Reference Rate 1, </w:t>
            </w:r>
            <w:r w:rsidRPr="00792D61">
              <w:rPr>
                <w:b/>
              </w:rPr>
              <w:t>[</w:t>
            </w:r>
            <w:r w:rsidRPr="00C91E32">
              <w:rPr>
                <w:rFonts w:ascii="Arial" w:hAnsi="Arial" w:cs="Arial"/>
              </w:rPr>
              <w:t>●</w:t>
            </w:r>
            <w:r w:rsidRPr="00792D61">
              <w:rPr>
                <w:b/>
              </w:rPr>
              <w:t>]</w:t>
            </w:r>
            <w:r w:rsidRPr="00C91E32">
              <w:t xml:space="preserve">, , with respect to Reference Rate 2, </w:t>
            </w:r>
            <w:r w:rsidRPr="00792D61">
              <w:rPr>
                <w:b/>
              </w:rPr>
              <w:t>[</w:t>
            </w:r>
            <w:r w:rsidRPr="00C91E32">
              <w:rPr>
                <w:rFonts w:ascii="Arial" w:hAnsi="Arial" w:cs="Arial"/>
              </w:rPr>
              <w:t>●</w:t>
            </w:r>
            <w:r w:rsidRPr="00792D61">
              <w:rPr>
                <w:b/>
              </w:rPr>
              <w:t>]</w:t>
            </w:r>
            <w:r w:rsidRPr="00C91E32">
              <w:t xml:space="preserve">, and with respect to Reference Rate 3, </w:t>
            </w:r>
            <w:r w:rsidRPr="00792D61">
              <w:rPr>
                <w:b/>
              </w:rPr>
              <w:t>[</w:t>
            </w:r>
            <w:r w:rsidRPr="00C91E32">
              <w:rPr>
                <w:rFonts w:ascii="Arial" w:hAnsi="Arial" w:cs="Arial"/>
              </w:rPr>
              <w:t>●</w:t>
            </w:r>
            <w:r w:rsidRPr="00792D61">
              <w:rPr>
                <w:b/>
              </w:rPr>
              <w:t>]</w:t>
            </w:r>
            <w:r w:rsidRPr="00C91E32">
              <w:t>.</w:t>
            </w:r>
            <w:r w:rsidRPr="00792D61">
              <w:rPr>
                <w:b/>
              </w:rPr>
              <w:t>]]</w:t>
            </w:r>
          </w:p>
        </w:tc>
        <w:tc>
          <w:tcPr>
            <w:tcW w:w="1618" w:type="dxa"/>
            <w:gridSpan w:val="2"/>
            <w:tcBorders>
              <w:top w:val="nil"/>
              <w:bottom w:val="nil"/>
              <w:right w:val="nil"/>
            </w:tcBorders>
            <w:shd w:val="clear" w:color="auto" w:fill="auto"/>
          </w:tcPr>
          <w:p w:rsidR="0017135D" w:rsidRPr="00213AB9" w:rsidP="002E38FE">
            <w:pPr>
              <w:pStyle w:val="CSBody8pt"/>
              <w:rPr>
                <w:i/>
              </w:rPr>
            </w:pPr>
          </w:p>
        </w:tc>
        <w:tc>
          <w:tcPr>
            <w:tcW w:w="3318" w:type="dxa"/>
            <w:gridSpan w:val="10"/>
            <w:tcBorders>
              <w:top w:val="nil"/>
              <w:left w:val="nil"/>
              <w:bottom w:val="nil"/>
              <w:right w:val="nil"/>
            </w:tcBorders>
            <w:shd w:val="clear" w:color="auto" w:fill="auto"/>
          </w:tcPr>
          <w:p w:rsidR="0017135D" w:rsidRPr="00213AB9" w:rsidP="002E38FE">
            <w:pPr>
              <w:pStyle w:val="CSBody8pt"/>
              <w:rPr>
                <w:lang w:val="de-DE"/>
              </w:rPr>
            </w:pPr>
            <w:r w:rsidRPr="00792D61">
              <w:rPr>
                <w:b/>
                <w:lang w:val="de-DE"/>
              </w:rPr>
              <w:t>[</w:t>
            </w:r>
            <w:r w:rsidRPr="002E38FE">
              <w:rPr>
                <w:b/>
                <w:i/>
                <w:lang w:val="de-DE"/>
              </w:rPr>
              <w:t>bei Spread Range Accrual Notes einfügen:</w:t>
            </w:r>
            <w:r w:rsidRPr="00213AB9">
              <w:rPr>
                <w:lang w:val="de-DE"/>
              </w:rPr>
              <w:t xml:space="preserve"> in Bezug auf den Referenzsatz 1 </w:t>
            </w:r>
            <w:r w:rsidRPr="00792D61">
              <w:rPr>
                <w:b/>
                <w:lang w:val="de-DE"/>
              </w:rPr>
              <w:t>[</w:t>
            </w:r>
            <w:r w:rsidRPr="00213AB9">
              <w:rPr>
                <w:rFonts w:ascii="Arial" w:hAnsi="Arial" w:cs="Arial"/>
                <w:lang w:val="de-DE"/>
              </w:rPr>
              <w:t>●</w:t>
            </w:r>
            <w:r w:rsidRPr="00792D61">
              <w:rPr>
                <w:b/>
                <w:lang w:val="de-DE"/>
              </w:rPr>
              <w:t>]</w:t>
            </w:r>
            <w:r w:rsidRPr="00213AB9">
              <w:rPr>
                <w:lang w:val="de-DE"/>
              </w:rPr>
              <w:t xml:space="preserve">, in Bezug auf den Referenzsatz 2 </w:t>
            </w:r>
            <w:r w:rsidRPr="00792D61">
              <w:rPr>
                <w:b/>
                <w:lang w:val="de-DE"/>
              </w:rPr>
              <w:t>[</w:t>
            </w:r>
            <w:r w:rsidRPr="00213AB9">
              <w:rPr>
                <w:rFonts w:ascii="Arial" w:hAnsi="Arial" w:cs="Arial"/>
                <w:lang w:val="de-DE"/>
              </w:rPr>
              <w:t>●</w:t>
            </w:r>
            <w:r w:rsidRPr="00792D61">
              <w:rPr>
                <w:b/>
                <w:lang w:val="de-DE"/>
              </w:rPr>
              <w:t>]</w:t>
            </w:r>
            <w:r w:rsidRPr="00213AB9">
              <w:rPr>
                <w:lang w:val="de-DE"/>
              </w:rPr>
              <w:t xml:space="preserve"> und in Bezug auf den Referenzsatz 3 </w:t>
            </w:r>
            <w:r w:rsidRPr="00792D61">
              <w:rPr>
                <w:b/>
                <w:lang w:val="de-DE"/>
              </w:rPr>
              <w:t>[</w:t>
            </w:r>
            <w:r w:rsidRPr="00213AB9">
              <w:rPr>
                <w:rFonts w:ascii="Arial" w:hAnsi="Arial" w:cs="Arial"/>
                <w:lang w:val="de-DE"/>
              </w:rPr>
              <w:t>●</w:t>
            </w:r>
            <w:r w:rsidRPr="00792D61">
              <w:rPr>
                <w:b/>
                <w:lang w:val="de-DE"/>
              </w:rPr>
              <w:t>]</w:t>
            </w:r>
            <w:r w:rsidRPr="00213AB9">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44AFC">
            <w:pPr>
              <w:pStyle w:val="CSBody8pt"/>
              <w:rPr>
                <w:lang w:val="de-DE"/>
              </w:rPr>
            </w:pPr>
            <w:r w:rsidRPr="00792D61">
              <w:rPr>
                <w:b/>
                <w:lang w:val="de-DE"/>
              </w:rPr>
              <w:t>[</w:t>
            </w:r>
            <w:r w:rsidRPr="00244AFC">
              <w:rPr>
                <w:lang w:val="de-DE"/>
              </w:rPr>
              <w:t>Reference Banks</w:t>
            </w:r>
            <w:r>
              <w:rPr>
                <w:lang w:val="de-DE"/>
              </w:rPr>
              <w:fldChar w:fldCharType="begin"/>
            </w:r>
            <w:r w:rsidR="0041243C">
              <w:instrText xml:space="preserve"> XE "</w:instrText>
            </w:r>
            <w:r w:rsidRPr="004D747C" w:rsidR="0041243C">
              <w:rPr>
                <w:lang w:val="de-DE"/>
              </w:rPr>
              <w:instrText>Reference Banks</w:instrText>
            </w:r>
            <w:r w:rsidR="0041243C">
              <w:instrText>" \f "EN"</w:instrText>
            </w:r>
            <w:r>
              <w:rPr>
                <w:lang w:val="de-DE"/>
              </w:rPr>
              <w:fldChar w:fldCharType="end"/>
            </w:r>
          </w:p>
        </w:tc>
        <w:tc>
          <w:tcPr>
            <w:tcW w:w="3315" w:type="dxa"/>
            <w:gridSpan w:val="7"/>
            <w:tcBorders>
              <w:top w:val="nil"/>
              <w:left w:val="nil"/>
              <w:bottom w:val="nil"/>
            </w:tcBorders>
            <w:shd w:val="clear" w:color="auto" w:fill="auto"/>
          </w:tcPr>
          <w:p w:rsidR="0017135D" w:rsidRPr="00244AFC" w:rsidP="002E38FE">
            <w:pPr>
              <w:pStyle w:val="CSBody8pt"/>
            </w:pPr>
            <w:r w:rsidRPr="00792D61">
              <w:rPr>
                <w:b/>
              </w:rPr>
              <w:t>[</w:t>
            </w:r>
            <w:r w:rsidRPr="00244AFC">
              <w:rPr>
                <w:b/>
                <w:i/>
              </w:rPr>
              <w:t>in the case of Complex Products other than Spread-Linked Notes, Spread Range Accrual Notes and Inflation Index-Linked Notes, insert:</w:t>
            </w:r>
            <w:r w:rsidRPr="00244AFC">
              <w:t xml:space="preserve"> </w:t>
            </w:r>
            <w:r w:rsidRPr="00792D61">
              <w:rPr>
                <w:b/>
              </w:rPr>
              <w:t>[</w:t>
            </w:r>
            <w:r w:rsidRPr="00244AFC">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244AFC">
            <w:pPr>
              <w:pStyle w:val="CSBody8pt"/>
            </w:pPr>
            <w:r w:rsidRPr="00792D61">
              <w:rPr>
                <w:b/>
              </w:rPr>
              <w:t>[</w:t>
            </w:r>
            <w:r w:rsidRPr="00244AFC">
              <w:t>Referenzbanken</w:t>
            </w:r>
            <w:r>
              <w:fldChar w:fldCharType="begin"/>
            </w:r>
            <w:r w:rsidR="0041243C">
              <w:instrText xml:space="preserve"> XE "</w:instrText>
            </w:r>
            <w:r w:rsidRPr="00844F1A" w:rsidR="0041243C">
              <w:instrText>Referenzbanken</w:instrText>
            </w:r>
            <w:r w:rsidR="0041243C">
              <w:instrText xml:space="preserve">" </w:instrText>
            </w:r>
            <w:r>
              <w:fldChar w:fldCharType="end"/>
            </w:r>
          </w:p>
        </w:tc>
        <w:tc>
          <w:tcPr>
            <w:tcW w:w="3318" w:type="dxa"/>
            <w:gridSpan w:val="10"/>
            <w:tcBorders>
              <w:top w:val="nil"/>
              <w:left w:val="nil"/>
              <w:bottom w:val="nil"/>
              <w:right w:val="nil"/>
            </w:tcBorders>
            <w:shd w:val="clear" w:color="auto" w:fill="auto"/>
          </w:tcPr>
          <w:p w:rsidR="0017135D" w:rsidRPr="0046254D" w:rsidP="002E38FE">
            <w:pPr>
              <w:pStyle w:val="CSBody8pt"/>
            </w:pPr>
            <w:r w:rsidRPr="00792D61">
              <w:rPr>
                <w:b/>
              </w:rPr>
              <w:t>[</w:t>
            </w:r>
            <w:r w:rsidRPr="00244AFC">
              <w:rPr>
                <w:b/>
                <w:i/>
              </w:rPr>
              <w:t>bei Komplexen Produkten ausser Spread-Linked Notes, Spread Range Accrual Notes und Inflation Index-Linked Notes einfügen:</w:t>
            </w:r>
            <w:r w:rsidRPr="00244AFC">
              <w:t xml:space="preserve"> </w:t>
            </w:r>
            <w:r w:rsidRPr="00792D61">
              <w:rPr>
                <w:b/>
              </w:rPr>
              <w:t>[</w:t>
            </w:r>
            <w:r w:rsidRPr="00244AFC">
              <w:rPr>
                <w:rFonts w:ascii="Arial" w:hAnsi="Arial" w:cs="Arial"/>
              </w:rPr>
              <w:t>●</w:t>
            </w:r>
            <w:r w:rsidRPr="00792D61">
              <w:rPr>
                <w:b/>
              </w:rPr>
              <w:t>]</w:t>
            </w:r>
            <w:r w:rsidRPr="00244AFC">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2E38FE">
            <w:pPr>
              <w:pStyle w:val="CSBody8pt"/>
            </w:pPr>
          </w:p>
        </w:tc>
        <w:tc>
          <w:tcPr>
            <w:tcW w:w="3315" w:type="dxa"/>
            <w:gridSpan w:val="7"/>
            <w:tcBorders>
              <w:top w:val="nil"/>
              <w:left w:val="nil"/>
              <w:bottom w:val="nil"/>
            </w:tcBorders>
            <w:shd w:val="clear" w:color="auto" w:fill="auto"/>
          </w:tcPr>
          <w:p w:rsidR="0017135D" w:rsidRPr="00DA7700" w:rsidP="002E38FE">
            <w:pPr>
              <w:pStyle w:val="CSBody8pt"/>
            </w:pPr>
            <w:r w:rsidRPr="00792D61">
              <w:rPr>
                <w:b/>
              </w:rPr>
              <w:t>[</w:t>
            </w:r>
            <w:r w:rsidRPr="002E38FE">
              <w:rPr>
                <w:b/>
                <w:i/>
              </w:rPr>
              <w:t>in the case of Spread-Linked Notes, insert:</w:t>
            </w:r>
            <w:r w:rsidRPr="00DA7700">
              <w:t xml:space="preserve"> with respect to Reference Rate 1, </w:t>
            </w:r>
            <w:r w:rsidRPr="00792D61">
              <w:rPr>
                <w:b/>
              </w:rPr>
              <w:t>[</w:t>
            </w:r>
            <w:r w:rsidRPr="00DA7700">
              <w:rPr>
                <w:rFonts w:ascii="Arial" w:hAnsi="Arial" w:cs="Arial"/>
              </w:rPr>
              <w:t>●</w:t>
            </w:r>
            <w:r w:rsidRPr="00792D61">
              <w:rPr>
                <w:b/>
              </w:rPr>
              <w:t>]</w:t>
            </w:r>
            <w:r w:rsidRPr="00DA7700">
              <w:t xml:space="preserve">, and, with respect to Reference Rate 2, </w:t>
            </w:r>
            <w:r w:rsidRPr="00792D61">
              <w:rPr>
                <w:b/>
              </w:rPr>
              <w:t>[</w:t>
            </w:r>
            <w:r w:rsidRPr="00DA7700">
              <w:rPr>
                <w:rFonts w:ascii="Arial" w:hAnsi="Arial" w:cs="Arial"/>
              </w:rPr>
              <w:t>●</w:t>
            </w:r>
            <w:r w:rsidRPr="00792D61">
              <w:rPr>
                <w:b/>
              </w:rPr>
              <w:t>]</w:t>
            </w:r>
            <w:r w:rsidRPr="00DA7700">
              <w:t>.</w:t>
            </w:r>
            <w:r w:rsidRPr="00792D61">
              <w:rPr>
                <w:b/>
              </w:rPr>
              <w:t>]</w:t>
            </w:r>
          </w:p>
        </w:tc>
        <w:tc>
          <w:tcPr>
            <w:tcW w:w="1618" w:type="dxa"/>
            <w:gridSpan w:val="2"/>
            <w:tcBorders>
              <w:top w:val="nil"/>
              <w:bottom w:val="nil"/>
              <w:right w:val="nil"/>
            </w:tcBorders>
            <w:shd w:val="clear" w:color="auto" w:fill="auto"/>
          </w:tcPr>
          <w:p w:rsidR="0017135D" w:rsidRPr="00213AB9" w:rsidP="002E38FE">
            <w:pPr>
              <w:pStyle w:val="CSBody8pt"/>
              <w:rPr>
                <w:i/>
              </w:rPr>
            </w:pPr>
          </w:p>
        </w:tc>
        <w:tc>
          <w:tcPr>
            <w:tcW w:w="3318" w:type="dxa"/>
            <w:gridSpan w:val="10"/>
            <w:tcBorders>
              <w:top w:val="nil"/>
              <w:left w:val="nil"/>
              <w:bottom w:val="nil"/>
              <w:right w:val="nil"/>
            </w:tcBorders>
            <w:shd w:val="clear" w:color="auto" w:fill="auto"/>
          </w:tcPr>
          <w:p w:rsidR="0017135D" w:rsidRPr="00213AB9" w:rsidP="002E38FE">
            <w:pPr>
              <w:pStyle w:val="CSBody8pt"/>
              <w:rPr>
                <w:lang w:val="de-DE"/>
              </w:rPr>
            </w:pPr>
            <w:r w:rsidRPr="00792D61">
              <w:rPr>
                <w:b/>
                <w:lang w:val="de-DE"/>
              </w:rPr>
              <w:t>[</w:t>
            </w:r>
            <w:r w:rsidRPr="002E38FE">
              <w:rPr>
                <w:b/>
                <w:i/>
                <w:lang w:val="de-DE"/>
              </w:rPr>
              <w:t>bei Spread-Linked Notes einfügen:</w:t>
            </w:r>
            <w:r w:rsidRPr="00213AB9">
              <w:rPr>
                <w:lang w:val="de-DE"/>
              </w:rPr>
              <w:t xml:space="preserve"> in Bezug auf den Referenzsatz 1 </w:t>
            </w:r>
            <w:r w:rsidRPr="00792D61">
              <w:rPr>
                <w:b/>
                <w:lang w:val="de-DE"/>
              </w:rPr>
              <w:t>[</w:t>
            </w:r>
            <w:r w:rsidRPr="00213AB9">
              <w:rPr>
                <w:rFonts w:ascii="Arial" w:hAnsi="Arial" w:cs="Arial"/>
                <w:lang w:val="de-DE"/>
              </w:rPr>
              <w:t>●</w:t>
            </w:r>
            <w:r w:rsidRPr="00792D61">
              <w:rPr>
                <w:b/>
                <w:lang w:val="de-DE"/>
              </w:rPr>
              <w:t>]</w:t>
            </w:r>
            <w:r w:rsidRPr="00213AB9">
              <w:rPr>
                <w:lang w:val="de-DE"/>
              </w:rPr>
              <w:t xml:space="preserve"> und in Bezug auf den Referenzsatz 2 </w:t>
            </w:r>
            <w:r w:rsidRPr="00792D61">
              <w:rPr>
                <w:b/>
                <w:lang w:val="de-DE"/>
              </w:rPr>
              <w:t>[</w:t>
            </w:r>
            <w:r w:rsidRPr="00213AB9">
              <w:rPr>
                <w:rFonts w:ascii="Arial" w:hAnsi="Arial" w:cs="Arial"/>
                <w:lang w:val="de-DE"/>
              </w:rPr>
              <w:t>●</w:t>
            </w:r>
            <w:r w:rsidRPr="00792D61">
              <w:rPr>
                <w:b/>
                <w:lang w:val="de-DE"/>
              </w:rPr>
              <w:t>]</w:t>
            </w:r>
            <w:r w:rsidRPr="00213AB9">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13AB9" w:rsidP="002E38FE">
            <w:pPr>
              <w:pStyle w:val="CSBody8pt"/>
              <w:rPr>
                <w:lang w:val="de-DE"/>
              </w:rPr>
            </w:pPr>
          </w:p>
        </w:tc>
        <w:tc>
          <w:tcPr>
            <w:tcW w:w="3315" w:type="dxa"/>
            <w:gridSpan w:val="7"/>
            <w:tcBorders>
              <w:top w:val="nil"/>
              <w:left w:val="nil"/>
              <w:bottom w:val="nil"/>
            </w:tcBorders>
            <w:shd w:val="clear" w:color="auto" w:fill="auto"/>
          </w:tcPr>
          <w:p w:rsidR="0017135D" w:rsidP="002E38FE">
            <w:pPr>
              <w:pStyle w:val="CSBody8pt"/>
            </w:pPr>
            <w:r w:rsidRPr="00792D61">
              <w:rPr>
                <w:b/>
              </w:rPr>
              <w:t>[</w:t>
            </w:r>
            <w:r w:rsidRPr="002E38FE">
              <w:rPr>
                <w:b/>
                <w:i/>
              </w:rPr>
              <w:t>in the case of Spread Range Accrual Notes, insert:</w:t>
            </w:r>
            <w:r w:rsidRPr="00DA7700">
              <w:t xml:space="preserve"> with respect to Reference Rate 1, </w:t>
            </w:r>
            <w:r w:rsidRPr="00792D61">
              <w:rPr>
                <w:b/>
              </w:rPr>
              <w:t>[</w:t>
            </w:r>
            <w:r w:rsidRPr="00DA7700">
              <w:rPr>
                <w:rFonts w:ascii="Arial" w:hAnsi="Arial" w:cs="Arial"/>
              </w:rPr>
              <w:t>●</w:t>
            </w:r>
            <w:r w:rsidRPr="00792D61">
              <w:rPr>
                <w:b/>
              </w:rPr>
              <w:t>]</w:t>
            </w:r>
            <w:r w:rsidRPr="00DA7700">
              <w:t xml:space="preserve">, , with respect to Reference Rate 2, </w:t>
            </w:r>
            <w:r w:rsidRPr="00792D61">
              <w:rPr>
                <w:b/>
              </w:rPr>
              <w:t>[</w:t>
            </w:r>
            <w:r w:rsidRPr="00DA7700">
              <w:rPr>
                <w:rFonts w:ascii="Arial" w:hAnsi="Arial" w:cs="Arial"/>
              </w:rPr>
              <w:t>●</w:t>
            </w:r>
            <w:r w:rsidRPr="00792D61">
              <w:rPr>
                <w:b/>
              </w:rPr>
              <w:t>]</w:t>
            </w:r>
            <w:r w:rsidRPr="00DA7700">
              <w:t xml:space="preserve">, and with respect to Reference Rate 3, </w:t>
            </w:r>
            <w:r w:rsidRPr="00792D61">
              <w:rPr>
                <w:b/>
              </w:rPr>
              <w:t>[</w:t>
            </w:r>
            <w:r w:rsidRPr="00DA7700">
              <w:rPr>
                <w:rFonts w:ascii="Arial" w:hAnsi="Arial" w:cs="Arial"/>
              </w:rPr>
              <w:t>●</w:t>
            </w:r>
            <w:r w:rsidRPr="00792D61">
              <w:rPr>
                <w:b/>
              </w:rPr>
              <w:t>]</w:t>
            </w:r>
            <w:r w:rsidRPr="00DA7700">
              <w:t>.</w:t>
            </w:r>
            <w:r w:rsidRPr="00792D61">
              <w:rPr>
                <w:b/>
              </w:rPr>
              <w:t>]]</w:t>
            </w:r>
          </w:p>
        </w:tc>
        <w:tc>
          <w:tcPr>
            <w:tcW w:w="1618" w:type="dxa"/>
            <w:gridSpan w:val="2"/>
            <w:tcBorders>
              <w:top w:val="nil"/>
              <w:bottom w:val="nil"/>
              <w:right w:val="nil"/>
            </w:tcBorders>
            <w:shd w:val="clear" w:color="auto" w:fill="auto"/>
          </w:tcPr>
          <w:p w:rsidR="0017135D" w:rsidRPr="00213AB9" w:rsidP="002E38FE">
            <w:pPr>
              <w:pStyle w:val="CSBody8pt"/>
              <w:rPr>
                <w:i/>
              </w:rPr>
            </w:pPr>
          </w:p>
        </w:tc>
        <w:tc>
          <w:tcPr>
            <w:tcW w:w="3318" w:type="dxa"/>
            <w:gridSpan w:val="10"/>
            <w:tcBorders>
              <w:top w:val="nil"/>
              <w:left w:val="nil"/>
              <w:bottom w:val="nil"/>
              <w:right w:val="nil"/>
            </w:tcBorders>
            <w:shd w:val="clear" w:color="auto" w:fill="auto"/>
          </w:tcPr>
          <w:p w:rsidR="0017135D" w:rsidRPr="00213AB9" w:rsidP="002E38FE">
            <w:pPr>
              <w:pStyle w:val="CSBody8pt"/>
              <w:rPr>
                <w:lang w:val="de-DE"/>
              </w:rPr>
            </w:pPr>
            <w:r w:rsidRPr="00792D61">
              <w:rPr>
                <w:b/>
                <w:lang w:val="de-DE"/>
              </w:rPr>
              <w:t>[</w:t>
            </w:r>
            <w:r w:rsidRPr="002E38FE">
              <w:rPr>
                <w:b/>
                <w:i/>
                <w:lang w:val="de-DE"/>
              </w:rPr>
              <w:t>bei Spread Range Accrual Notes einfügen:</w:t>
            </w:r>
            <w:r w:rsidRPr="00213AB9">
              <w:rPr>
                <w:lang w:val="de-DE"/>
              </w:rPr>
              <w:t xml:space="preserve"> in Bezug auf den Referenzsatz 1 </w:t>
            </w:r>
            <w:r w:rsidRPr="00792D61">
              <w:rPr>
                <w:b/>
                <w:lang w:val="de-DE"/>
              </w:rPr>
              <w:t>[</w:t>
            </w:r>
            <w:r w:rsidRPr="00213AB9">
              <w:rPr>
                <w:rFonts w:ascii="Arial" w:hAnsi="Arial" w:cs="Arial"/>
                <w:lang w:val="de-DE"/>
              </w:rPr>
              <w:t>●</w:t>
            </w:r>
            <w:r w:rsidRPr="00792D61">
              <w:rPr>
                <w:b/>
                <w:lang w:val="de-DE"/>
              </w:rPr>
              <w:t>]</w:t>
            </w:r>
            <w:r w:rsidRPr="00213AB9">
              <w:rPr>
                <w:lang w:val="de-DE"/>
              </w:rPr>
              <w:t xml:space="preserve">, in Bezug auf den Referenzsatz 2 </w:t>
            </w:r>
            <w:r w:rsidRPr="00792D61">
              <w:rPr>
                <w:b/>
                <w:lang w:val="de-DE"/>
              </w:rPr>
              <w:t>[</w:t>
            </w:r>
            <w:r w:rsidRPr="00213AB9">
              <w:rPr>
                <w:rFonts w:ascii="Arial" w:hAnsi="Arial" w:cs="Arial"/>
                <w:lang w:val="de-DE"/>
              </w:rPr>
              <w:t>●</w:t>
            </w:r>
            <w:r w:rsidRPr="00792D61">
              <w:rPr>
                <w:b/>
                <w:lang w:val="de-DE"/>
              </w:rPr>
              <w:t>]</w:t>
            </w:r>
            <w:r w:rsidRPr="00213AB9">
              <w:rPr>
                <w:lang w:val="de-DE"/>
              </w:rPr>
              <w:t xml:space="preserve"> und in Bezug auf den Referenzsatz 3 </w:t>
            </w:r>
            <w:r w:rsidRPr="00792D61">
              <w:rPr>
                <w:b/>
                <w:lang w:val="de-DE"/>
              </w:rPr>
              <w:t>[</w:t>
            </w:r>
            <w:r w:rsidRPr="00213AB9">
              <w:rPr>
                <w:rFonts w:ascii="Arial" w:hAnsi="Arial" w:cs="Arial"/>
                <w:lang w:val="de-DE"/>
              </w:rPr>
              <w:t>●</w:t>
            </w:r>
            <w:r w:rsidRPr="00792D61">
              <w:rPr>
                <w:b/>
                <w:lang w:val="de-DE"/>
              </w:rPr>
              <w:t>]</w:t>
            </w:r>
            <w:r w:rsidRPr="00213AB9">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4016C5" w:rsidP="002E38FE">
            <w:pPr>
              <w:pStyle w:val="CSBody8ptbolditalics"/>
            </w:pPr>
            <w:r w:rsidRPr="00792D61">
              <w:t>[</w:t>
            </w:r>
            <w:r w:rsidRPr="004016C5">
              <w:t>in the case of Inflation Index-Linked Notes, insert:</w:t>
            </w:r>
          </w:p>
        </w:tc>
        <w:tc>
          <w:tcPr>
            <w:tcW w:w="4936" w:type="dxa"/>
            <w:gridSpan w:val="12"/>
            <w:tcBorders>
              <w:top w:val="nil"/>
              <w:bottom w:val="nil"/>
              <w:right w:val="nil"/>
            </w:tcBorders>
            <w:shd w:val="clear" w:color="auto" w:fill="auto"/>
          </w:tcPr>
          <w:p w:rsidR="0017135D" w:rsidRPr="00213AB9" w:rsidP="002E38FE">
            <w:pPr>
              <w:pStyle w:val="CSBody8ptbolditalics"/>
              <w:rPr>
                <w:lang w:val="de-DE"/>
              </w:rPr>
            </w:pPr>
            <w:r w:rsidRPr="00792D61">
              <w:rPr>
                <w:lang w:val="de-DE"/>
              </w:rPr>
              <w:t>[</w:t>
            </w:r>
            <w:r w:rsidRPr="00213AB9">
              <w:rPr>
                <w:lang w:val="de-DE"/>
              </w:rPr>
              <w:t>bei Inflation Index-Linked Notes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7D088A" w:rsidP="002E38FE">
            <w:pPr>
              <w:pStyle w:val="CSBody8pt"/>
            </w:pPr>
            <w:r w:rsidRPr="007D088A">
              <w:t>Inflation Index</w:t>
            </w:r>
          </w:p>
        </w:tc>
        <w:tc>
          <w:tcPr>
            <w:tcW w:w="3315" w:type="dxa"/>
            <w:gridSpan w:val="7"/>
            <w:tcBorders>
              <w:top w:val="nil"/>
              <w:left w:val="nil"/>
              <w:bottom w:val="nil"/>
            </w:tcBorders>
            <w:shd w:val="clear" w:color="auto" w:fill="auto"/>
          </w:tcPr>
          <w:p w:rsidR="0017135D" w:rsidRPr="001563B0" w:rsidP="002E38FE">
            <w:pPr>
              <w:pStyle w:val="CSBody8pt"/>
            </w:pPr>
            <w:r w:rsidRPr="00792D61">
              <w:rPr>
                <w:b/>
              </w:rPr>
              <w:t>[</w:t>
            </w:r>
            <w:r w:rsidRPr="001563B0">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EF4AD5" w:rsidP="002E38FE">
            <w:pPr>
              <w:pStyle w:val="CSBody8pt"/>
            </w:pPr>
            <w:r w:rsidRPr="00EF4AD5">
              <w:t>Inflationsindex</w:t>
            </w:r>
          </w:p>
        </w:tc>
        <w:tc>
          <w:tcPr>
            <w:tcW w:w="3318" w:type="dxa"/>
            <w:gridSpan w:val="10"/>
            <w:tcBorders>
              <w:top w:val="nil"/>
              <w:left w:val="nil"/>
              <w:bottom w:val="nil"/>
              <w:right w:val="nil"/>
            </w:tcBorders>
            <w:shd w:val="clear" w:color="auto" w:fill="auto"/>
          </w:tcPr>
          <w:p w:rsidR="0017135D" w:rsidRPr="0072491F" w:rsidP="002E38FE">
            <w:pPr>
              <w:pStyle w:val="CSBody8pt"/>
            </w:pPr>
            <w:r w:rsidRPr="00792D61">
              <w:rPr>
                <w:b/>
              </w:rPr>
              <w:t>[</w:t>
            </w:r>
            <w:r w:rsidRPr="0072491F">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7D088A" w:rsidP="002E38FE">
            <w:pPr>
              <w:pStyle w:val="CSBody8pt"/>
            </w:pPr>
            <w:r w:rsidRPr="007D088A">
              <w:t>Rate Source</w:t>
            </w:r>
          </w:p>
        </w:tc>
        <w:tc>
          <w:tcPr>
            <w:tcW w:w="3315" w:type="dxa"/>
            <w:gridSpan w:val="7"/>
            <w:tcBorders>
              <w:top w:val="nil"/>
              <w:left w:val="nil"/>
              <w:bottom w:val="nil"/>
            </w:tcBorders>
            <w:shd w:val="clear" w:color="auto" w:fill="auto"/>
          </w:tcPr>
          <w:p w:rsidR="0017135D" w:rsidRPr="001563B0" w:rsidP="002E38FE">
            <w:pPr>
              <w:pStyle w:val="CSBody8pt"/>
            </w:pPr>
            <w:r w:rsidRPr="00792D61">
              <w:rPr>
                <w:b/>
              </w:rPr>
              <w:t>[</w:t>
            </w:r>
            <w:r w:rsidRPr="001563B0">
              <w:t>the display designated as "</w:t>
            </w:r>
            <w:r w:rsidRPr="00792D61">
              <w:rPr>
                <w:b/>
              </w:rPr>
              <w:t>[</w:t>
            </w:r>
            <w:r w:rsidRPr="001563B0">
              <w:rPr>
                <w:rFonts w:ascii="Arial" w:hAnsi="Arial" w:cs="Arial"/>
              </w:rPr>
              <w:t>●</w:t>
            </w:r>
            <w:r w:rsidRPr="00792D61">
              <w:rPr>
                <w:b/>
              </w:rPr>
              <w:t>]</w:t>
            </w:r>
            <w:r w:rsidRPr="001563B0">
              <w:t xml:space="preserve">" on </w:t>
            </w:r>
            <w:r w:rsidRPr="00792D61">
              <w:rPr>
                <w:b/>
              </w:rPr>
              <w:t>[</w:t>
            </w:r>
            <w:r w:rsidRPr="001563B0">
              <w:rPr>
                <w:rFonts w:ascii="Arial" w:hAnsi="Arial" w:cs="Arial"/>
              </w:rPr>
              <w:t>●</w:t>
            </w:r>
            <w:r w:rsidRPr="00792D61">
              <w:rPr>
                <w:b/>
              </w:rPr>
              <w:t>]</w:t>
            </w:r>
            <w:r w:rsidRPr="001563B0">
              <w:t xml:space="preserve"> (or any successor service)</w:t>
            </w:r>
            <w:r w:rsidRPr="00792D61">
              <w:rPr>
                <w:b/>
              </w:rPr>
              <w:t>][[</w:t>
            </w:r>
            <w:r w:rsidRPr="001563B0">
              <w:rPr>
                <w:rFonts w:ascii="Arial" w:hAnsi="Arial" w:cs="Arial"/>
              </w:rPr>
              <w:t>●</w:t>
            </w:r>
            <w:r w:rsidRPr="00792D61">
              <w:rPr>
                <w:b/>
              </w:rPr>
              <w:t>]]</w:t>
            </w:r>
            <w:r w:rsidRPr="001563B0">
              <w:t>.</w:t>
            </w:r>
          </w:p>
        </w:tc>
        <w:tc>
          <w:tcPr>
            <w:tcW w:w="1618" w:type="dxa"/>
            <w:gridSpan w:val="2"/>
            <w:tcBorders>
              <w:top w:val="nil"/>
              <w:bottom w:val="nil"/>
              <w:right w:val="nil"/>
            </w:tcBorders>
            <w:shd w:val="clear" w:color="auto" w:fill="auto"/>
          </w:tcPr>
          <w:p w:rsidR="0017135D" w:rsidRPr="00EF4AD5" w:rsidP="002E38FE">
            <w:pPr>
              <w:pStyle w:val="CSBody8pt"/>
            </w:pPr>
            <w:r w:rsidRPr="00EF4AD5">
              <w:t>Kursquelle</w:t>
            </w:r>
          </w:p>
        </w:tc>
        <w:tc>
          <w:tcPr>
            <w:tcW w:w="3318" w:type="dxa"/>
            <w:gridSpan w:val="10"/>
            <w:tcBorders>
              <w:top w:val="nil"/>
              <w:left w:val="nil"/>
              <w:bottom w:val="nil"/>
              <w:right w:val="nil"/>
            </w:tcBorders>
            <w:shd w:val="clear" w:color="auto" w:fill="auto"/>
          </w:tcPr>
          <w:p w:rsidR="0017135D" w:rsidRPr="00B44551" w:rsidP="002E38FE">
            <w:pPr>
              <w:pStyle w:val="CSBody8pt"/>
              <w:rPr>
                <w:lang w:val="de-DE"/>
              </w:rPr>
            </w:pPr>
            <w:r w:rsidRPr="00792D61">
              <w:rPr>
                <w:b/>
                <w:lang w:val="de-DE"/>
              </w:rPr>
              <w:t>[</w:t>
            </w:r>
            <w:r w:rsidRPr="00B44551">
              <w:rPr>
                <w:lang w:val="de-DE"/>
              </w:rPr>
              <w:t>die Seite "</w:t>
            </w:r>
            <w:r w:rsidRPr="00792D61">
              <w:rPr>
                <w:b/>
                <w:lang w:val="de-DE"/>
              </w:rPr>
              <w:t>[</w:t>
            </w:r>
            <w:r w:rsidRPr="00B44551">
              <w:rPr>
                <w:rFonts w:ascii="Arial" w:hAnsi="Arial" w:cs="Arial"/>
                <w:lang w:val="de-DE"/>
              </w:rPr>
              <w:t>●</w:t>
            </w:r>
            <w:r w:rsidRPr="00792D61">
              <w:rPr>
                <w:b/>
                <w:lang w:val="de-DE"/>
              </w:rPr>
              <w:t>]</w:t>
            </w:r>
            <w:r w:rsidRPr="00B44551">
              <w:rPr>
                <w:lang w:val="de-DE"/>
              </w:rPr>
              <w:t xml:space="preserve">" bei </w:t>
            </w:r>
            <w:r w:rsidRPr="00792D61">
              <w:rPr>
                <w:b/>
                <w:lang w:val="de-DE"/>
              </w:rPr>
              <w:t>[</w:t>
            </w:r>
            <w:r w:rsidRPr="00B44551">
              <w:rPr>
                <w:rFonts w:ascii="Arial" w:hAnsi="Arial" w:cs="Arial"/>
                <w:lang w:val="de-DE"/>
              </w:rPr>
              <w:t>●</w:t>
            </w:r>
            <w:r w:rsidRPr="00792D61">
              <w:rPr>
                <w:b/>
                <w:lang w:val="de-DE"/>
              </w:rPr>
              <w:t>]</w:t>
            </w:r>
            <w:r w:rsidRPr="00B44551">
              <w:rPr>
                <w:lang w:val="de-DE"/>
              </w:rPr>
              <w:t xml:space="preserve"> (oder einem Nachfolgedienst)</w:t>
            </w:r>
            <w:r w:rsidRPr="00792D61">
              <w:rPr>
                <w:b/>
                <w:lang w:val="de-DE"/>
              </w:rPr>
              <w:t>][[</w:t>
            </w:r>
            <w:r w:rsidRPr="00B44551">
              <w:rPr>
                <w:rFonts w:ascii="Arial" w:hAnsi="Arial" w:cs="Arial"/>
                <w:lang w:val="de-DE"/>
              </w:rPr>
              <w:t>●</w:t>
            </w:r>
            <w:r w:rsidRPr="00792D61">
              <w:rPr>
                <w:b/>
                <w:lang w:val="de-DE"/>
              </w:rPr>
              <w:t>]]</w:t>
            </w:r>
            <w:r w:rsidRPr="00B44551">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2E38FE">
            <w:pPr>
              <w:pStyle w:val="CSBody8pt"/>
            </w:pPr>
            <w:r w:rsidRPr="007D088A">
              <w:t>Inflation Fixing Month</w:t>
            </w:r>
          </w:p>
        </w:tc>
        <w:tc>
          <w:tcPr>
            <w:tcW w:w="3315" w:type="dxa"/>
            <w:gridSpan w:val="7"/>
            <w:tcBorders>
              <w:top w:val="nil"/>
              <w:left w:val="nil"/>
              <w:bottom w:val="nil"/>
            </w:tcBorders>
            <w:shd w:val="clear" w:color="auto" w:fill="auto"/>
          </w:tcPr>
          <w:p w:rsidR="0017135D" w:rsidP="002E38FE">
            <w:pPr>
              <w:pStyle w:val="CSBody8pt"/>
            </w:pPr>
            <w:r w:rsidRPr="00792D61">
              <w:rPr>
                <w:b/>
              </w:rPr>
              <w:t>[</w:t>
            </w:r>
            <w:r w:rsidRPr="001563B0">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P="002E38FE">
            <w:pPr>
              <w:pStyle w:val="CSBody8pt"/>
            </w:pPr>
            <w:r>
              <w:t>Inflations-Feststellungs</w:t>
            </w:r>
            <w:r w:rsidRPr="00EF4AD5">
              <w:t>monat</w:t>
            </w:r>
          </w:p>
        </w:tc>
        <w:tc>
          <w:tcPr>
            <w:tcW w:w="3318" w:type="dxa"/>
            <w:gridSpan w:val="10"/>
            <w:tcBorders>
              <w:top w:val="nil"/>
              <w:left w:val="nil"/>
              <w:bottom w:val="nil"/>
              <w:right w:val="nil"/>
            </w:tcBorders>
            <w:shd w:val="clear" w:color="auto" w:fill="auto"/>
          </w:tcPr>
          <w:p w:rsidR="0017135D" w:rsidP="002E38FE">
            <w:pPr>
              <w:pStyle w:val="CSBody8pt"/>
            </w:pPr>
            <w:r w:rsidRPr="00792D61">
              <w:rPr>
                <w:b/>
              </w:rPr>
              <w:t>[</w:t>
            </w:r>
            <w:r w:rsidRPr="0072491F">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352E5" w:rsidP="002E38FE">
            <w:pPr>
              <w:pStyle w:val="CSBody8pt"/>
            </w:pPr>
            <w:r w:rsidRPr="00C352E5">
              <w:t>Reference Rate</w:t>
            </w:r>
          </w:p>
        </w:tc>
        <w:tc>
          <w:tcPr>
            <w:tcW w:w="3315" w:type="dxa"/>
            <w:gridSpan w:val="7"/>
            <w:tcBorders>
              <w:top w:val="nil"/>
              <w:left w:val="nil"/>
              <w:bottom w:val="nil"/>
            </w:tcBorders>
            <w:shd w:val="clear" w:color="auto" w:fill="auto"/>
          </w:tcPr>
          <w:p w:rsidR="0017135D" w:rsidRPr="00CA4554" w:rsidP="002E38FE">
            <w:pPr>
              <w:pStyle w:val="CSBody8pt"/>
            </w:pPr>
            <w:r w:rsidRPr="00CA4554">
              <w:t xml:space="preserve">with respect to any Inflation Fixing Month, the </w:t>
            </w:r>
            <w:r w:rsidRPr="00792D61">
              <w:rPr>
                <w:b/>
              </w:rPr>
              <w:t>[</w:t>
            </w:r>
            <w:r w:rsidRPr="00CA4554">
              <w:t>closing</w:t>
            </w:r>
            <w:r w:rsidRPr="00792D61">
              <w:rPr>
                <w:b/>
              </w:rPr>
              <w:t>][</w:t>
            </w:r>
            <w:r w:rsidRPr="00CA4554">
              <w:t>level</w:t>
            </w:r>
            <w:r w:rsidRPr="00792D61">
              <w:rPr>
                <w:b/>
              </w:rPr>
              <w:t>][</w:t>
            </w:r>
            <w:r w:rsidRPr="00CA4554">
              <w:t>value</w:t>
            </w:r>
            <w:r w:rsidRPr="00792D61">
              <w:rPr>
                <w:b/>
              </w:rPr>
              <w:t>]</w:t>
            </w:r>
            <w:r w:rsidRPr="00CA4554">
              <w:t xml:space="preserve"> of the Inflation Index for such Inflation Fixing Month, as published or announced by the Rate Source or determined by the Calculation Agent pursuant to Section 5.</w:t>
            </w:r>
          </w:p>
        </w:tc>
        <w:tc>
          <w:tcPr>
            <w:tcW w:w="1618" w:type="dxa"/>
            <w:gridSpan w:val="2"/>
            <w:tcBorders>
              <w:top w:val="nil"/>
              <w:bottom w:val="nil"/>
              <w:right w:val="nil"/>
            </w:tcBorders>
            <w:shd w:val="clear" w:color="auto" w:fill="auto"/>
          </w:tcPr>
          <w:p w:rsidR="0017135D" w:rsidRPr="00780733" w:rsidP="002E38FE">
            <w:pPr>
              <w:pStyle w:val="CSBody8pt"/>
            </w:pPr>
            <w:r w:rsidRPr="00780733">
              <w:t>Referenzsatz</w:t>
            </w:r>
          </w:p>
        </w:tc>
        <w:tc>
          <w:tcPr>
            <w:tcW w:w="3318" w:type="dxa"/>
            <w:gridSpan w:val="10"/>
            <w:tcBorders>
              <w:top w:val="nil"/>
              <w:left w:val="nil"/>
              <w:bottom w:val="nil"/>
              <w:right w:val="nil"/>
            </w:tcBorders>
            <w:shd w:val="clear" w:color="auto" w:fill="auto"/>
          </w:tcPr>
          <w:p w:rsidR="0017135D" w:rsidRPr="00B44551" w:rsidP="002E38FE">
            <w:pPr>
              <w:pStyle w:val="CSBody8pt"/>
              <w:rPr>
                <w:lang w:val="de-DE"/>
              </w:rPr>
            </w:pPr>
            <w:r w:rsidRPr="00B44551">
              <w:rPr>
                <w:lang w:val="de-DE"/>
              </w:rPr>
              <w:t xml:space="preserve">In Bezug einen Inflations-Feststellungsmonat der </w:t>
            </w:r>
            <w:r w:rsidRPr="00792D61">
              <w:rPr>
                <w:b/>
                <w:lang w:val="de-DE"/>
              </w:rPr>
              <w:t>[</w:t>
            </w:r>
            <w:r w:rsidRPr="00B44551">
              <w:rPr>
                <w:lang w:val="de-DE"/>
              </w:rPr>
              <w:t>Schluss-</w:t>
            </w:r>
            <w:r w:rsidRPr="00792D61">
              <w:rPr>
                <w:b/>
                <w:lang w:val="de-DE"/>
              </w:rPr>
              <w:t>][</w:t>
            </w:r>
            <w:r w:rsidRPr="00B44551">
              <w:rPr>
                <w:lang w:val="de-DE"/>
              </w:rPr>
              <w:t>Stand</w:t>
            </w:r>
            <w:r w:rsidRPr="00792D61">
              <w:rPr>
                <w:b/>
                <w:lang w:val="de-DE"/>
              </w:rPr>
              <w:t>][</w:t>
            </w:r>
            <w:r w:rsidRPr="00B44551">
              <w:rPr>
                <w:lang w:val="de-DE"/>
              </w:rPr>
              <w:t>Kurs</w:t>
            </w:r>
            <w:r w:rsidRPr="00792D61">
              <w:rPr>
                <w:b/>
                <w:lang w:val="de-DE"/>
              </w:rPr>
              <w:t>]</w:t>
            </w:r>
            <w:r w:rsidRPr="00B44551">
              <w:rPr>
                <w:lang w:val="de-DE"/>
              </w:rPr>
              <w:t xml:space="preserve"> des Inflationsindex für diesen Inflations-Feststellungsmonat, wie von der Kursquelle veröffentlicht oder bekannt gegeben oder wie durch die Berechnungsstelle gemäss Ziffer 5 festgestellt.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352E5" w:rsidP="002E38FE">
            <w:pPr>
              <w:pStyle w:val="CSBody8pt"/>
            </w:pPr>
            <w:r w:rsidRPr="00C352E5">
              <w:t>Reference Month(</w:t>
            </w:r>
            <w:r w:rsidRPr="00792D61">
              <w:rPr>
                <w:b/>
              </w:rPr>
              <w:t>[</w:t>
            </w:r>
            <w:r w:rsidRPr="00C352E5">
              <w:rPr>
                <w:rFonts w:ascii="Arial" w:hAnsi="Arial" w:cs="Arial"/>
              </w:rPr>
              <w:t>●</w:t>
            </w:r>
            <w:r w:rsidRPr="00792D61">
              <w:rPr>
                <w:b/>
              </w:rPr>
              <w:t>]</w:t>
            </w:r>
            <w:r w:rsidRPr="00C352E5">
              <w:t>m)</w:t>
            </w:r>
          </w:p>
        </w:tc>
        <w:tc>
          <w:tcPr>
            <w:tcW w:w="3315" w:type="dxa"/>
            <w:gridSpan w:val="7"/>
            <w:tcBorders>
              <w:top w:val="nil"/>
              <w:left w:val="nil"/>
              <w:bottom w:val="nil"/>
            </w:tcBorders>
            <w:shd w:val="clear" w:color="auto" w:fill="auto"/>
          </w:tcPr>
          <w:p w:rsidR="0017135D" w:rsidRPr="00CA4554" w:rsidP="002E38FE">
            <w:pPr>
              <w:pStyle w:val="CSBody8pt"/>
            </w:pPr>
            <w:r w:rsidRPr="00792D61">
              <w:rPr>
                <w:b/>
              </w:rPr>
              <w:t>[</w:t>
            </w:r>
            <w:r w:rsidRPr="00CA4554">
              <w:t xml:space="preserve">with respect to any </w:t>
            </w:r>
            <w:r w:rsidRPr="00792D61">
              <w:rPr>
                <w:b/>
              </w:rPr>
              <w:t>[</w:t>
            </w:r>
            <w:r w:rsidRPr="00CA4554">
              <w:t>Variable</w:t>
            </w:r>
            <w:r w:rsidRPr="00792D61">
              <w:rPr>
                <w:b/>
              </w:rPr>
              <w:t>]</w:t>
            </w:r>
            <w:r w:rsidRPr="00CA4554">
              <w:t xml:space="preserve"> Interest Payment Date,</w:t>
            </w:r>
            <w:r w:rsidRPr="00792D61">
              <w:rPr>
                <w:b/>
              </w:rPr>
              <w:t>]</w:t>
            </w:r>
            <w:r w:rsidRPr="00CA4554">
              <w:t xml:space="preserve"> the Inflation Fixing Month that is </w:t>
            </w:r>
            <w:r w:rsidRPr="00792D61">
              <w:rPr>
                <w:b/>
              </w:rPr>
              <w:t>[</w:t>
            </w:r>
            <w:r w:rsidRPr="00CA4554">
              <w:rPr>
                <w:rFonts w:ascii="Arial" w:hAnsi="Arial" w:cs="Arial"/>
              </w:rPr>
              <w:t>●</w:t>
            </w:r>
            <w:r w:rsidRPr="00792D61">
              <w:rPr>
                <w:b/>
              </w:rPr>
              <w:t>]</w:t>
            </w:r>
            <w:r w:rsidRPr="00CA4554">
              <w:t xml:space="preserve"> calendar months prior to the Interest Determination Date </w:t>
            </w:r>
            <w:r w:rsidRPr="00792D61">
              <w:rPr>
                <w:b/>
              </w:rPr>
              <w:t>[</w:t>
            </w:r>
            <w:r w:rsidRPr="00CA4554">
              <w:t xml:space="preserve">applicable to such </w:t>
            </w:r>
            <w:r w:rsidRPr="00792D61">
              <w:rPr>
                <w:b/>
              </w:rPr>
              <w:t>[</w:t>
            </w:r>
            <w:r w:rsidRPr="00CA4554">
              <w:t>Variable</w:t>
            </w:r>
            <w:r w:rsidRPr="00792D61">
              <w:rPr>
                <w:b/>
              </w:rPr>
              <w:t>]</w:t>
            </w:r>
            <w:r w:rsidRPr="00CA4554">
              <w:t xml:space="preserve"> Interest Payment Date</w:t>
            </w:r>
            <w:r w:rsidRPr="00792D61">
              <w:rPr>
                <w:b/>
              </w:rPr>
              <w:t>]</w:t>
            </w:r>
            <w:r w:rsidRPr="00CA4554">
              <w:t>.</w:t>
            </w:r>
          </w:p>
        </w:tc>
        <w:tc>
          <w:tcPr>
            <w:tcW w:w="1618" w:type="dxa"/>
            <w:gridSpan w:val="2"/>
            <w:tcBorders>
              <w:top w:val="nil"/>
              <w:bottom w:val="nil"/>
              <w:right w:val="nil"/>
            </w:tcBorders>
            <w:shd w:val="clear" w:color="auto" w:fill="auto"/>
          </w:tcPr>
          <w:p w:rsidR="0017135D" w:rsidRPr="00780733" w:rsidP="002E38FE">
            <w:pPr>
              <w:pStyle w:val="CSBody8pt"/>
            </w:pPr>
            <w:r w:rsidRPr="00780733">
              <w:t>Referenz-Monat(</w:t>
            </w:r>
            <w:r w:rsidRPr="00792D61">
              <w:rPr>
                <w:b/>
              </w:rPr>
              <w:t>[</w:t>
            </w:r>
            <w:r w:rsidRPr="00780733">
              <w:rPr>
                <w:rFonts w:ascii="Arial" w:hAnsi="Arial" w:cs="Arial"/>
              </w:rPr>
              <w:t>●</w:t>
            </w:r>
            <w:r w:rsidRPr="00792D61">
              <w:rPr>
                <w:b/>
              </w:rPr>
              <w:t>]</w:t>
            </w:r>
            <w:r w:rsidRPr="00780733">
              <w:t>m)</w:t>
            </w:r>
          </w:p>
        </w:tc>
        <w:tc>
          <w:tcPr>
            <w:tcW w:w="3318" w:type="dxa"/>
            <w:gridSpan w:val="10"/>
            <w:tcBorders>
              <w:top w:val="nil"/>
              <w:left w:val="nil"/>
              <w:bottom w:val="nil"/>
              <w:right w:val="nil"/>
            </w:tcBorders>
            <w:shd w:val="clear" w:color="auto" w:fill="auto"/>
          </w:tcPr>
          <w:p w:rsidR="0017135D" w:rsidRPr="00B44551" w:rsidP="002E38FE">
            <w:pPr>
              <w:pStyle w:val="CSBody8pt"/>
              <w:rPr>
                <w:lang w:val="de-DE"/>
              </w:rPr>
            </w:pPr>
            <w:r w:rsidRPr="00792D61">
              <w:rPr>
                <w:b/>
                <w:lang w:val="de-DE"/>
              </w:rPr>
              <w:t>[</w:t>
            </w:r>
            <w:r w:rsidRPr="00B44551">
              <w:rPr>
                <w:lang w:val="de-DE"/>
              </w:rPr>
              <w:t xml:space="preserve">in Bezug auf einen </w:t>
            </w:r>
            <w:r w:rsidRPr="00792D61">
              <w:rPr>
                <w:b/>
                <w:lang w:val="de-DE"/>
              </w:rPr>
              <w:t>[</w:t>
            </w:r>
            <w:r w:rsidRPr="00B44551">
              <w:rPr>
                <w:lang w:val="de-DE"/>
              </w:rPr>
              <w:t>Zinszahlungstag</w:t>
            </w:r>
            <w:r w:rsidRPr="00792D61">
              <w:rPr>
                <w:b/>
                <w:lang w:val="de-DE"/>
              </w:rPr>
              <w:t>]</w:t>
            </w:r>
            <w:r w:rsidRPr="00B44551">
              <w:rPr>
                <w:lang w:val="de-DE"/>
              </w:rPr>
              <w:t xml:space="preserve"> </w:t>
            </w:r>
            <w:r w:rsidRPr="00792D61">
              <w:rPr>
                <w:b/>
                <w:lang w:val="de-DE"/>
              </w:rPr>
              <w:t>[</w:t>
            </w:r>
            <w:r w:rsidRPr="00B44551">
              <w:rPr>
                <w:lang w:val="de-DE"/>
              </w:rPr>
              <w:t>Zahlungstag für Variable Zinsen</w:t>
            </w:r>
            <w:r w:rsidRPr="00792D61">
              <w:rPr>
                <w:b/>
                <w:lang w:val="de-DE"/>
              </w:rPr>
              <w:t>]]</w:t>
            </w:r>
            <w:r w:rsidRPr="00B44551">
              <w:rPr>
                <w:lang w:val="de-DE"/>
              </w:rPr>
              <w:t xml:space="preserve"> der Inflations-Feststellungsmonat, der </w:t>
            </w:r>
            <w:r w:rsidRPr="00792D61">
              <w:rPr>
                <w:b/>
                <w:lang w:val="de-DE"/>
              </w:rPr>
              <w:t>[</w:t>
            </w:r>
            <w:r w:rsidRPr="00B44551">
              <w:rPr>
                <w:rFonts w:ascii="Arial" w:hAnsi="Arial" w:cs="Arial"/>
                <w:lang w:val="de-DE"/>
              </w:rPr>
              <w:t>●</w:t>
            </w:r>
            <w:r w:rsidRPr="00792D61">
              <w:rPr>
                <w:b/>
                <w:lang w:val="de-DE"/>
              </w:rPr>
              <w:t>]</w:t>
            </w:r>
            <w:r w:rsidRPr="00B44551">
              <w:rPr>
                <w:lang w:val="de-DE"/>
              </w:rPr>
              <w:t xml:space="preserve"> Kalendermonate vor dem </w:t>
            </w:r>
            <w:r w:rsidRPr="00792D61">
              <w:rPr>
                <w:b/>
                <w:lang w:val="de-DE"/>
              </w:rPr>
              <w:t>[</w:t>
            </w:r>
            <w:r w:rsidRPr="00B44551">
              <w:rPr>
                <w:lang w:val="de-DE"/>
              </w:rPr>
              <w:t>f</w:t>
            </w:r>
            <w:r w:rsidRPr="00B44551">
              <w:rPr>
                <w:rFonts w:cs="Credit Suisse Type Light"/>
                <w:lang w:val="de-DE"/>
              </w:rPr>
              <w:t>ü</w:t>
            </w:r>
            <w:r>
              <w:rPr>
                <w:lang w:val="de-DE"/>
              </w:rPr>
              <w:t xml:space="preserve">r diesen </w:t>
            </w:r>
            <w:r w:rsidRPr="00792D61">
              <w:rPr>
                <w:b/>
                <w:lang w:val="de-DE"/>
              </w:rPr>
              <w:t>[</w:t>
            </w:r>
            <w:r>
              <w:rPr>
                <w:lang w:val="de-DE"/>
              </w:rPr>
              <w:t>Zins</w:t>
            </w:r>
            <w:r w:rsidRPr="00B44551">
              <w:rPr>
                <w:lang w:val="de-DE"/>
              </w:rPr>
              <w:t>zahlungstag</w:t>
            </w:r>
            <w:r w:rsidRPr="00792D61">
              <w:rPr>
                <w:b/>
                <w:lang w:val="de-DE"/>
              </w:rPr>
              <w:t>][</w:t>
            </w:r>
            <w:r w:rsidRPr="00B44551">
              <w:rPr>
                <w:lang w:val="de-DE"/>
              </w:rPr>
              <w:t>Zahlungstag f</w:t>
            </w:r>
            <w:r w:rsidRPr="00B44551">
              <w:rPr>
                <w:rFonts w:cs="Credit Suisse Type Light"/>
                <w:lang w:val="de-DE"/>
              </w:rPr>
              <w:t>ü</w:t>
            </w:r>
            <w:r w:rsidRPr="00B44551">
              <w:rPr>
                <w:lang w:val="de-DE"/>
              </w:rPr>
              <w:t>r Variable Zinsen</w:t>
            </w:r>
            <w:r w:rsidRPr="00792D61">
              <w:rPr>
                <w:b/>
                <w:lang w:val="de-DE"/>
              </w:rPr>
              <w:t>]</w:t>
            </w:r>
            <w:r w:rsidRPr="00B44551">
              <w:rPr>
                <w:lang w:val="de-DE"/>
              </w:rPr>
              <w:t xml:space="preserve"> geltenden</w:t>
            </w:r>
            <w:r w:rsidRPr="00792D61">
              <w:rPr>
                <w:b/>
                <w:lang w:val="de-DE"/>
              </w:rPr>
              <w:t>]</w:t>
            </w:r>
            <w:r w:rsidRPr="00B44551">
              <w:rPr>
                <w:lang w:val="de-DE"/>
              </w:rPr>
              <w:t xml:space="preserve"> Zinsfeststellungstag liegt.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2E38FE">
            <w:pPr>
              <w:pStyle w:val="CSBody8pt"/>
            </w:pPr>
            <w:r w:rsidRPr="00C352E5">
              <w:t>Reference Month(</w:t>
            </w:r>
            <w:r w:rsidRPr="00792D61">
              <w:rPr>
                <w:b/>
              </w:rPr>
              <w:t>[</w:t>
            </w:r>
            <w:r w:rsidRPr="00C352E5">
              <w:rPr>
                <w:rFonts w:ascii="Arial" w:hAnsi="Arial" w:cs="Arial"/>
              </w:rPr>
              <w:t>●</w:t>
            </w:r>
            <w:r w:rsidRPr="00792D61">
              <w:rPr>
                <w:b/>
              </w:rPr>
              <w:t>]</w:t>
            </w:r>
            <w:r w:rsidRPr="00C352E5">
              <w:t>m)</w:t>
            </w:r>
          </w:p>
        </w:tc>
        <w:tc>
          <w:tcPr>
            <w:tcW w:w="3315" w:type="dxa"/>
            <w:gridSpan w:val="7"/>
            <w:tcBorders>
              <w:top w:val="nil"/>
              <w:left w:val="nil"/>
              <w:bottom w:val="nil"/>
            </w:tcBorders>
            <w:shd w:val="clear" w:color="auto" w:fill="auto"/>
          </w:tcPr>
          <w:p w:rsidR="0017135D" w:rsidP="002E38FE">
            <w:pPr>
              <w:pStyle w:val="CSBody8pt"/>
            </w:pPr>
            <w:r w:rsidRPr="00792D61">
              <w:rPr>
                <w:b/>
              </w:rPr>
              <w:t>[</w:t>
            </w:r>
            <w:r w:rsidRPr="00CA4554">
              <w:t xml:space="preserve">with respect to any </w:t>
            </w:r>
            <w:r w:rsidRPr="00792D61">
              <w:rPr>
                <w:b/>
              </w:rPr>
              <w:t>[</w:t>
            </w:r>
            <w:r w:rsidRPr="00CA4554">
              <w:t>Variable</w:t>
            </w:r>
            <w:r w:rsidRPr="00792D61">
              <w:rPr>
                <w:b/>
              </w:rPr>
              <w:t>]</w:t>
            </w:r>
            <w:r w:rsidRPr="00CA4554">
              <w:t xml:space="preserve"> Interest Payment Date,</w:t>
            </w:r>
            <w:r w:rsidRPr="00792D61">
              <w:rPr>
                <w:b/>
              </w:rPr>
              <w:t>]</w:t>
            </w:r>
            <w:r w:rsidRPr="00CA4554">
              <w:t xml:space="preserve"> the Inflation Fixing Month that is </w:t>
            </w:r>
            <w:r w:rsidRPr="00792D61">
              <w:rPr>
                <w:b/>
              </w:rPr>
              <w:t>[</w:t>
            </w:r>
            <w:r w:rsidRPr="00CA4554">
              <w:rPr>
                <w:rFonts w:ascii="Arial" w:hAnsi="Arial" w:cs="Arial"/>
              </w:rPr>
              <w:t>●</w:t>
            </w:r>
            <w:r w:rsidRPr="00792D61">
              <w:rPr>
                <w:b/>
              </w:rPr>
              <w:t>]</w:t>
            </w:r>
            <w:r w:rsidRPr="00CA4554">
              <w:t xml:space="preserve"> calendar months prior to the Interest Determination Date </w:t>
            </w:r>
            <w:r w:rsidRPr="00792D61">
              <w:rPr>
                <w:b/>
              </w:rPr>
              <w:t>[</w:t>
            </w:r>
            <w:r w:rsidRPr="00CA4554">
              <w:t xml:space="preserve">applicable to such </w:t>
            </w:r>
            <w:r w:rsidRPr="00792D61">
              <w:rPr>
                <w:b/>
              </w:rPr>
              <w:t>[</w:t>
            </w:r>
            <w:r w:rsidRPr="00CA4554">
              <w:t>Variable</w:t>
            </w:r>
            <w:r w:rsidRPr="00792D61">
              <w:rPr>
                <w:b/>
              </w:rPr>
              <w:t>]</w:t>
            </w:r>
            <w:r w:rsidRPr="00CA4554">
              <w:t xml:space="preserve"> Interest Payment Date</w:t>
            </w:r>
            <w:r w:rsidRPr="00792D61">
              <w:rPr>
                <w:b/>
              </w:rPr>
              <w:t>]</w:t>
            </w:r>
            <w:r w:rsidRPr="00CA4554">
              <w:t>.</w:t>
            </w:r>
          </w:p>
        </w:tc>
        <w:tc>
          <w:tcPr>
            <w:tcW w:w="1618" w:type="dxa"/>
            <w:gridSpan w:val="2"/>
            <w:tcBorders>
              <w:top w:val="nil"/>
              <w:bottom w:val="nil"/>
              <w:right w:val="nil"/>
            </w:tcBorders>
            <w:shd w:val="clear" w:color="auto" w:fill="auto"/>
          </w:tcPr>
          <w:p w:rsidR="0017135D" w:rsidP="002E38FE">
            <w:pPr>
              <w:pStyle w:val="CSBody8pt"/>
            </w:pPr>
            <w:r w:rsidRPr="00780733">
              <w:t>Referenz-monat(</w:t>
            </w:r>
            <w:r w:rsidRPr="00792D61">
              <w:rPr>
                <w:b/>
              </w:rPr>
              <w:t>[</w:t>
            </w:r>
            <w:r w:rsidRPr="00780733">
              <w:rPr>
                <w:rFonts w:ascii="Arial" w:hAnsi="Arial" w:cs="Arial"/>
              </w:rPr>
              <w:t>●</w:t>
            </w:r>
            <w:r w:rsidRPr="00792D61">
              <w:rPr>
                <w:b/>
              </w:rPr>
              <w:t>]</w:t>
            </w:r>
            <w:r w:rsidRPr="00780733">
              <w:t>m)</w:t>
            </w:r>
          </w:p>
        </w:tc>
        <w:tc>
          <w:tcPr>
            <w:tcW w:w="3318" w:type="dxa"/>
            <w:gridSpan w:val="10"/>
            <w:tcBorders>
              <w:top w:val="nil"/>
              <w:left w:val="nil"/>
              <w:bottom w:val="nil"/>
              <w:right w:val="nil"/>
            </w:tcBorders>
            <w:shd w:val="clear" w:color="auto" w:fill="auto"/>
          </w:tcPr>
          <w:p w:rsidR="0017135D" w:rsidRPr="00B44551" w:rsidP="002E38FE">
            <w:pPr>
              <w:pStyle w:val="CSBody8pt"/>
              <w:rPr>
                <w:lang w:val="de-DE"/>
              </w:rPr>
            </w:pPr>
            <w:r w:rsidRPr="00792D61">
              <w:rPr>
                <w:b/>
                <w:lang w:val="de-DE"/>
              </w:rPr>
              <w:t>[</w:t>
            </w:r>
            <w:r w:rsidRPr="00B44551">
              <w:rPr>
                <w:lang w:val="de-DE"/>
              </w:rPr>
              <w:t xml:space="preserve">in Bezug auf einen </w:t>
            </w:r>
            <w:r w:rsidRPr="00792D61">
              <w:rPr>
                <w:b/>
                <w:lang w:val="de-DE"/>
              </w:rPr>
              <w:t>[</w:t>
            </w:r>
            <w:r w:rsidRPr="00B44551">
              <w:rPr>
                <w:lang w:val="de-DE"/>
              </w:rPr>
              <w:t>Zinzahlungstag</w:t>
            </w:r>
            <w:r w:rsidRPr="00792D61">
              <w:rPr>
                <w:b/>
                <w:lang w:val="de-DE"/>
              </w:rPr>
              <w:t>][</w:t>
            </w:r>
            <w:r w:rsidRPr="00B44551">
              <w:rPr>
                <w:lang w:val="de-DE"/>
              </w:rPr>
              <w:t>Zahlungstag für Variable Zinsen</w:t>
            </w:r>
            <w:r w:rsidRPr="00792D61">
              <w:rPr>
                <w:b/>
                <w:lang w:val="de-DE"/>
              </w:rPr>
              <w:t>]]</w:t>
            </w:r>
            <w:r w:rsidRPr="00B44551">
              <w:rPr>
                <w:lang w:val="de-DE"/>
              </w:rPr>
              <w:t xml:space="preserve"> der Inflations-Feststellungsmonat, der </w:t>
            </w:r>
            <w:r w:rsidRPr="00792D61">
              <w:rPr>
                <w:b/>
                <w:lang w:val="de-DE"/>
              </w:rPr>
              <w:t>[</w:t>
            </w:r>
            <w:r w:rsidRPr="00B44551">
              <w:rPr>
                <w:rFonts w:ascii="Arial" w:hAnsi="Arial" w:cs="Arial"/>
                <w:lang w:val="de-DE"/>
              </w:rPr>
              <w:t>●</w:t>
            </w:r>
            <w:r w:rsidRPr="00792D61">
              <w:rPr>
                <w:b/>
                <w:lang w:val="de-DE"/>
              </w:rPr>
              <w:t>]</w:t>
            </w:r>
            <w:r w:rsidRPr="00B44551">
              <w:rPr>
                <w:lang w:val="de-DE"/>
              </w:rPr>
              <w:t xml:space="preserve"> Kalendermonate vor dem </w:t>
            </w:r>
            <w:r w:rsidRPr="00792D61">
              <w:rPr>
                <w:b/>
                <w:lang w:val="de-DE"/>
              </w:rPr>
              <w:t>[</w:t>
            </w:r>
            <w:r w:rsidRPr="00B44551">
              <w:rPr>
                <w:lang w:val="de-DE"/>
              </w:rPr>
              <w:t>f</w:t>
            </w:r>
            <w:r w:rsidRPr="00B44551">
              <w:rPr>
                <w:rFonts w:cs="Credit Suisse Type Light"/>
                <w:lang w:val="de-DE"/>
              </w:rPr>
              <w:t>ü</w:t>
            </w:r>
            <w:r w:rsidRPr="00B44551">
              <w:rPr>
                <w:lang w:val="de-DE"/>
              </w:rPr>
              <w:t xml:space="preserve">r diesen </w:t>
            </w:r>
            <w:r w:rsidRPr="00792D61">
              <w:rPr>
                <w:b/>
                <w:lang w:val="de-DE"/>
              </w:rPr>
              <w:t>[</w:t>
            </w:r>
            <w:r w:rsidRPr="00B44551">
              <w:rPr>
                <w:lang w:val="de-DE"/>
              </w:rPr>
              <w:t>Zinszahlungstag</w:t>
            </w:r>
            <w:r w:rsidRPr="00792D61">
              <w:rPr>
                <w:b/>
                <w:lang w:val="de-DE"/>
              </w:rPr>
              <w:t>]</w:t>
            </w:r>
            <w:r w:rsidRPr="00B44551">
              <w:rPr>
                <w:lang w:val="de-DE"/>
              </w:rPr>
              <w:t xml:space="preserve"> </w:t>
            </w:r>
            <w:r w:rsidRPr="00792D61">
              <w:rPr>
                <w:b/>
                <w:lang w:val="de-DE"/>
              </w:rPr>
              <w:t>[</w:t>
            </w:r>
            <w:r w:rsidRPr="00B44551">
              <w:rPr>
                <w:lang w:val="de-DE"/>
              </w:rPr>
              <w:t>Zahlungstag f</w:t>
            </w:r>
            <w:r w:rsidRPr="00B44551">
              <w:rPr>
                <w:rFonts w:cs="Credit Suisse Type Light"/>
                <w:lang w:val="de-DE"/>
              </w:rPr>
              <w:t>ü</w:t>
            </w:r>
            <w:r w:rsidRPr="00B44551">
              <w:rPr>
                <w:lang w:val="de-DE"/>
              </w:rPr>
              <w:t>r Variable Zinsen</w:t>
            </w:r>
            <w:r w:rsidRPr="00792D61">
              <w:rPr>
                <w:b/>
                <w:lang w:val="de-DE"/>
              </w:rPr>
              <w:t>]</w:t>
            </w:r>
            <w:r w:rsidRPr="00B44551">
              <w:rPr>
                <w:lang w:val="de-DE"/>
              </w:rPr>
              <w:t xml:space="preserve"> geltenden</w:t>
            </w:r>
            <w:r w:rsidRPr="00792D61">
              <w:rPr>
                <w:b/>
                <w:lang w:val="de-DE"/>
              </w:rPr>
              <w:t>]</w:t>
            </w:r>
            <w:r w:rsidRPr="00B44551">
              <w:rPr>
                <w:lang w:val="de-DE"/>
              </w:rPr>
              <w:t xml:space="preserve"> Zinsfeststellungstag liegt.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A90C68" w:rsidP="002E38FE">
            <w:pPr>
              <w:pStyle w:val="CSBody8pt"/>
            </w:pPr>
            <w:r w:rsidRPr="00A90C68">
              <w:t>For the avoidance of doubt, the definitions "Inflation Index" through "Reference Reference Month(</w:t>
            </w:r>
            <w:r w:rsidRPr="00792D61">
              <w:rPr>
                <w:b/>
              </w:rPr>
              <w:t>[</w:t>
            </w:r>
            <w:r w:rsidRPr="00A90C68">
              <w:rPr>
                <w:rFonts w:ascii="Arial" w:hAnsi="Arial" w:cs="Arial"/>
              </w:rPr>
              <w:t>●</w:t>
            </w:r>
            <w:r w:rsidRPr="00792D61">
              <w:rPr>
                <w:b/>
              </w:rPr>
              <w:t>]</w:t>
            </w:r>
            <w:r w:rsidRPr="00A90C68">
              <w:t>m)" set forth above are subject to Section 5.</w:t>
            </w:r>
            <w:r w:rsidRPr="00792D61">
              <w:rPr>
                <w:b/>
              </w:rPr>
              <w:t>]</w:t>
            </w:r>
          </w:p>
        </w:tc>
        <w:tc>
          <w:tcPr>
            <w:tcW w:w="4936" w:type="dxa"/>
            <w:gridSpan w:val="12"/>
            <w:tcBorders>
              <w:top w:val="nil"/>
              <w:bottom w:val="nil"/>
              <w:right w:val="nil"/>
            </w:tcBorders>
            <w:shd w:val="clear" w:color="auto" w:fill="auto"/>
          </w:tcPr>
          <w:p w:rsidR="0017135D" w:rsidRPr="00A14178" w:rsidP="002E38FE">
            <w:pPr>
              <w:pStyle w:val="CSBody8pt"/>
              <w:rPr>
                <w:lang w:val="de-DE"/>
              </w:rPr>
            </w:pPr>
            <w:r w:rsidRPr="00A14178">
              <w:rPr>
                <w:lang w:val="de-DE"/>
              </w:rPr>
              <w:t>Zur Klarstellung wir</w:t>
            </w:r>
            <w:r>
              <w:rPr>
                <w:lang w:val="de-DE"/>
              </w:rPr>
              <w:t>d</w:t>
            </w:r>
            <w:r w:rsidRPr="00A14178">
              <w:rPr>
                <w:lang w:val="de-DE"/>
              </w:rPr>
              <w:t xml:space="preserve"> darauf hingewiesen, dass die vorstehend dargelegten Definitionen "Inflationsindex" bis "Referenzmonat(</w:t>
            </w:r>
            <w:r w:rsidRPr="00792D61">
              <w:rPr>
                <w:b/>
                <w:lang w:val="de-DE"/>
              </w:rPr>
              <w:t>[</w:t>
            </w:r>
            <w:r w:rsidRPr="00A14178">
              <w:rPr>
                <w:rFonts w:ascii="Arial" w:hAnsi="Arial" w:cs="Arial"/>
                <w:lang w:val="de-DE"/>
              </w:rPr>
              <w:t>●</w:t>
            </w:r>
            <w:r w:rsidRPr="00792D61">
              <w:rPr>
                <w:b/>
                <w:lang w:val="de-DE"/>
              </w:rPr>
              <w:t>]</w:t>
            </w:r>
            <w:r w:rsidRPr="00A14178">
              <w:rPr>
                <w:lang w:val="de-DE"/>
              </w:rPr>
              <w:t>m)" vorbehaltlich Ziffer 5 gelten.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P="002E38FE">
            <w:pPr>
              <w:pStyle w:val="CSBody8ptbolditalics"/>
            </w:pPr>
            <w:r w:rsidRPr="00792D61">
              <w:t>[</w:t>
            </w:r>
            <w:r w:rsidRPr="00A90C68">
              <w:t>in the case of Complex Products, that provide for a Reference Rate Business Day, insert:</w:t>
            </w:r>
          </w:p>
        </w:tc>
        <w:tc>
          <w:tcPr>
            <w:tcW w:w="4936" w:type="dxa"/>
            <w:gridSpan w:val="12"/>
            <w:tcBorders>
              <w:top w:val="nil"/>
              <w:bottom w:val="nil"/>
              <w:right w:val="nil"/>
            </w:tcBorders>
            <w:shd w:val="clear" w:color="auto" w:fill="auto"/>
          </w:tcPr>
          <w:p w:rsidR="0017135D" w:rsidRPr="00A14178" w:rsidP="002E38FE">
            <w:pPr>
              <w:pStyle w:val="CSBody8ptbolditalics"/>
              <w:rPr>
                <w:lang w:val="de-DE"/>
              </w:rPr>
            </w:pPr>
            <w:r w:rsidRPr="00792D61">
              <w:rPr>
                <w:lang w:val="de-DE"/>
              </w:rPr>
              <w:t>[</w:t>
            </w:r>
            <w:r w:rsidRPr="00A14178">
              <w:rPr>
                <w:lang w:val="de-DE"/>
              </w:rPr>
              <w:t>bei Komplexen Produkten, die einen Referenzsatz-Geschäftstag vorsehen,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44AFC" w:rsidP="002E38FE">
            <w:pPr>
              <w:pStyle w:val="CSBody8pt"/>
              <w:rPr>
                <w:lang w:val="de-DE"/>
              </w:rPr>
            </w:pPr>
            <w:r w:rsidRPr="00244AFC">
              <w:rPr>
                <w:lang w:val="de-DE"/>
              </w:rPr>
              <w:t>Reference Rate Business Day</w:t>
            </w:r>
            <w:r>
              <w:rPr>
                <w:lang w:val="de-DE"/>
              </w:rPr>
              <w:fldChar w:fldCharType="begin"/>
            </w:r>
            <w:r>
              <w:instrText xml:space="preserve"> XE "</w:instrText>
            </w:r>
            <w:r w:rsidRPr="000027E9">
              <w:rPr>
                <w:lang w:val="de-DE"/>
              </w:rPr>
              <w:instrText>Reference Rate Business Day</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244AFC" w:rsidP="002E38FE">
            <w:pPr>
              <w:pStyle w:val="CSBody8pt"/>
            </w:pPr>
            <w:r w:rsidRPr="00792D61">
              <w:rPr>
                <w:b/>
              </w:rPr>
              <w:t>[</w:t>
            </w:r>
            <w:r w:rsidRPr="00244AFC">
              <w:rPr>
                <w:b/>
                <w:i/>
              </w:rPr>
              <w:t>in the case of Complex Products other than Spread-Linked Notes and Spread Range Accrual Notes, insert:</w:t>
            </w:r>
            <w:r w:rsidRPr="00244AFC">
              <w:t xml:space="preserve"> </w:t>
            </w:r>
            <w:r w:rsidRPr="00792D61">
              <w:rPr>
                <w:b/>
              </w:rPr>
              <w:t>[</w:t>
            </w:r>
            <w:r w:rsidRPr="00244AFC">
              <w:rPr>
                <w:rFonts w:ascii="Arial" w:hAnsi="Arial" w:cs="Arial"/>
              </w:rPr>
              <w:t>●</w:t>
            </w:r>
            <w:r w:rsidRPr="00792D61">
              <w:rPr>
                <w:b/>
              </w:rPr>
              <w:t>]</w:t>
            </w:r>
            <w:r w:rsidRPr="00244AFC">
              <w:t>.</w:t>
            </w:r>
            <w:r w:rsidRPr="00792D61">
              <w:rPr>
                <w:b/>
              </w:rPr>
              <w:t>]</w:t>
            </w:r>
          </w:p>
        </w:tc>
        <w:tc>
          <w:tcPr>
            <w:tcW w:w="1618" w:type="dxa"/>
            <w:gridSpan w:val="2"/>
            <w:tcBorders>
              <w:top w:val="nil"/>
              <w:bottom w:val="nil"/>
              <w:right w:val="nil"/>
            </w:tcBorders>
            <w:shd w:val="clear" w:color="auto" w:fill="auto"/>
          </w:tcPr>
          <w:p w:rsidR="0017135D" w:rsidRPr="00244AFC" w:rsidP="002E38FE">
            <w:pPr>
              <w:pStyle w:val="CSBody8pt"/>
            </w:pPr>
            <w:r w:rsidRPr="00244AFC">
              <w:t>Referenzsatz-Geschäftstag</w:t>
            </w:r>
            <w:r>
              <w:fldChar w:fldCharType="begin"/>
            </w:r>
            <w:r>
              <w:instrText xml:space="preserve"> XE "</w:instrText>
            </w:r>
            <w:r w:rsidRPr="005F4958">
              <w:instrText>Referenzsatz-Geschäftstag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A14178" w:rsidP="002E38FE">
            <w:pPr>
              <w:pStyle w:val="CSBody8pt"/>
              <w:rPr>
                <w:lang w:val="de-DE"/>
              </w:rPr>
            </w:pPr>
            <w:r w:rsidRPr="00792D61">
              <w:rPr>
                <w:b/>
                <w:lang w:val="de-DE"/>
              </w:rPr>
              <w:t>[</w:t>
            </w:r>
            <w:r w:rsidRPr="00244AFC">
              <w:rPr>
                <w:b/>
                <w:i/>
                <w:lang w:val="de-DE"/>
              </w:rPr>
              <w:t>bei Komplexen Produkten ausser Spread-Linked Notes und Spread Range Accrual Notes einfügen:</w:t>
            </w:r>
            <w:r w:rsidRPr="00244AFC">
              <w:rPr>
                <w:lang w:val="de-DE"/>
              </w:rPr>
              <w:t xml:space="preserve"> </w:t>
            </w:r>
            <w:r w:rsidRPr="00792D61">
              <w:rPr>
                <w:b/>
                <w:lang w:val="de-DE"/>
              </w:rPr>
              <w:t>[</w:t>
            </w:r>
            <w:r w:rsidRPr="00244AFC">
              <w:rPr>
                <w:rFonts w:ascii="Arial" w:hAnsi="Arial" w:cs="Arial"/>
                <w:lang w:val="de-DE"/>
              </w:rPr>
              <w:t>●</w:t>
            </w:r>
            <w:r w:rsidRPr="00792D61">
              <w:rPr>
                <w:b/>
                <w:lang w:val="de-DE"/>
              </w:rPr>
              <w:t>]</w:t>
            </w:r>
            <w:r w:rsidRPr="00244AFC">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14178" w:rsidP="002E38FE">
            <w:pPr>
              <w:pStyle w:val="CSBody8pt"/>
              <w:rPr>
                <w:lang w:val="de-DE"/>
              </w:rPr>
            </w:pPr>
          </w:p>
        </w:tc>
        <w:tc>
          <w:tcPr>
            <w:tcW w:w="3315" w:type="dxa"/>
            <w:gridSpan w:val="7"/>
            <w:tcBorders>
              <w:top w:val="nil"/>
              <w:left w:val="nil"/>
              <w:bottom w:val="nil"/>
            </w:tcBorders>
            <w:shd w:val="clear" w:color="auto" w:fill="auto"/>
          </w:tcPr>
          <w:p w:rsidR="0017135D" w:rsidRPr="00944030" w:rsidP="002E38FE">
            <w:pPr>
              <w:pStyle w:val="CSBody8pt"/>
            </w:pPr>
            <w:r w:rsidRPr="00792D61">
              <w:rPr>
                <w:b/>
              </w:rPr>
              <w:t>[</w:t>
            </w:r>
            <w:r w:rsidRPr="002E38FE">
              <w:rPr>
                <w:b/>
                <w:i/>
              </w:rPr>
              <w:t>in the case of Spread-Linked Notes, insert:</w:t>
            </w:r>
            <w:r w:rsidRPr="00944030">
              <w:t xml:space="preserve"> with respect to Reference Rate 1, </w:t>
            </w:r>
            <w:r w:rsidRPr="00792D61">
              <w:rPr>
                <w:b/>
              </w:rPr>
              <w:t>[</w:t>
            </w:r>
            <w:r w:rsidRPr="00944030">
              <w:rPr>
                <w:rFonts w:ascii="Arial" w:hAnsi="Arial" w:cs="Arial"/>
              </w:rPr>
              <w:t>●</w:t>
            </w:r>
            <w:r w:rsidRPr="00792D61">
              <w:rPr>
                <w:b/>
              </w:rPr>
              <w:t>]</w:t>
            </w:r>
            <w:r w:rsidRPr="00944030">
              <w:t xml:space="preserve">, and, with respect to Reference Rate 2, </w:t>
            </w:r>
            <w:r w:rsidRPr="00792D61">
              <w:rPr>
                <w:b/>
              </w:rPr>
              <w:t>[</w:t>
            </w:r>
            <w:r w:rsidRPr="00944030">
              <w:rPr>
                <w:rFonts w:ascii="Arial" w:hAnsi="Arial" w:cs="Arial"/>
              </w:rPr>
              <w:t>●</w:t>
            </w:r>
            <w:r w:rsidRPr="00792D61">
              <w:rPr>
                <w:b/>
              </w:rPr>
              <w:t>]</w:t>
            </w:r>
            <w:r w:rsidRPr="00944030">
              <w:t>.</w:t>
            </w:r>
            <w:r w:rsidRPr="00792D61">
              <w:rPr>
                <w:b/>
              </w:rPr>
              <w:t>]</w:t>
            </w:r>
          </w:p>
        </w:tc>
        <w:tc>
          <w:tcPr>
            <w:tcW w:w="1618" w:type="dxa"/>
            <w:gridSpan w:val="2"/>
            <w:tcBorders>
              <w:top w:val="nil"/>
              <w:bottom w:val="nil"/>
              <w:right w:val="nil"/>
            </w:tcBorders>
            <w:shd w:val="clear" w:color="auto" w:fill="auto"/>
          </w:tcPr>
          <w:p w:rsidR="0017135D" w:rsidRPr="00A14178" w:rsidP="002E38FE">
            <w:pPr>
              <w:pStyle w:val="CSBody8pt"/>
              <w:rPr>
                <w:i/>
              </w:rPr>
            </w:pPr>
          </w:p>
        </w:tc>
        <w:tc>
          <w:tcPr>
            <w:tcW w:w="3318" w:type="dxa"/>
            <w:gridSpan w:val="10"/>
            <w:tcBorders>
              <w:top w:val="nil"/>
              <w:left w:val="nil"/>
              <w:bottom w:val="nil"/>
              <w:right w:val="nil"/>
            </w:tcBorders>
            <w:shd w:val="clear" w:color="auto" w:fill="auto"/>
          </w:tcPr>
          <w:p w:rsidR="0017135D" w:rsidRPr="00A14178" w:rsidP="002E38FE">
            <w:pPr>
              <w:pStyle w:val="CSBody8pt"/>
              <w:rPr>
                <w:lang w:val="de-DE"/>
              </w:rPr>
            </w:pPr>
            <w:r w:rsidRPr="00792D61">
              <w:rPr>
                <w:b/>
                <w:lang w:val="de-DE"/>
              </w:rPr>
              <w:t>[</w:t>
            </w:r>
            <w:r w:rsidRPr="002E38FE">
              <w:rPr>
                <w:b/>
                <w:i/>
                <w:lang w:val="de-DE"/>
              </w:rPr>
              <w:t>bei Spread-Linked Notes einfügen:</w:t>
            </w:r>
            <w:r w:rsidRPr="00A14178">
              <w:rPr>
                <w:lang w:val="de-DE"/>
              </w:rPr>
              <w:t xml:space="preserve"> in Bezug auf den Referenzsatz 1 </w:t>
            </w:r>
            <w:r w:rsidRPr="00792D61">
              <w:rPr>
                <w:b/>
                <w:lang w:val="de-DE"/>
              </w:rPr>
              <w:t>[</w:t>
            </w:r>
            <w:r w:rsidRPr="00A14178">
              <w:rPr>
                <w:rFonts w:ascii="Arial" w:hAnsi="Arial" w:cs="Arial"/>
                <w:lang w:val="de-DE"/>
              </w:rPr>
              <w:t>●</w:t>
            </w:r>
            <w:r w:rsidRPr="00792D61">
              <w:rPr>
                <w:b/>
                <w:lang w:val="de-DE"/>
              </w:rPr>
              <w:t>]</w:t>
            </w:r>
            <w:r w:rsidRPr="00A14178">
              <w:rPr>
                <w:lang w:val="de-DE"/>
              </w:rPr>
              <w:t xml:space="preserve"> und in Bezug auf den Referenzsatz 2 </w:t>
            </w:r>
            <w:r w:rsidRPr="00792D61">
              <w:rPr>
                <w:b/>
                <w:lang w:val="de-DE"/>
              </w:rPr>
              <w:t>[</w:t>
            </w:r>
            <w:r w:rsidRPr="00A14178">
              <w:rPr>
                <w:rFonts w:ascii="Arial" w:hAnsi="Arial" w:cs="Arial"/>
                <w:lang w:val="de-DE"/>
              </w:rPr>
              <w:t>●</w:t>
            </w:r>
            <w:r w:rsidRPr="00792D61">
              <w:rPr>
                <w:b/>
                <w:lang w:val="de-DE"/>
              </w:rPr>
              <w:t>]</w:t>
            </w:r>
            <w:r w:rsidRPr="00A14178">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14178" w:rsidP="002E38FE">
            <w:pPr>
              <w:pStyle w:val="CSBody8pt"/>
              <w:rPr>
                <w:lang w:val="de-DE"/>
              </w:rPr>
            </w:pPr>
          </w:p>
        </w:tc>
        <w:tc>
          <w:tcPr>
            <w:tcW w:w="3315" w:type="dxa"/>
            <w:gridSpan w:val="7"/>
            <w:tcBorders>
              <w:top w:val="nil"/>
              <w:left w:val="nil"/>
              <w:bottom w:val="nil"/>
            </w:tcBorders>
            <w:shd w:val="clear" w:color="auto" w:fill="auto"/>
          </w:tcPr>
          <w:p w:rsidR="0017135D" w:rsidP="002E38FE">
            <w:pPr>
              <w:pStyle w:val="CSBody8pt"/>
            </w:pPr>
            <w:r w:rsidRPr="00792D61">
              <w:rPr>
                <w:b/>
              </w:rPr>
              <w:t>[</w:t>
            </w:r>
            <w:r w:rsidRPr="002E38FE">
              <w:rPr>
                <w:b/>
                <w:i/>
              </w:rPr>
              <w:t>in the case of Spread Range Accrual Notes, insert:</w:t>
            </w:r>
            <w:r w:rsidRPr="00944030">
              <w:t xml:space="preserve"> with respect to Reference Rate 1, </w:t>
            </w:r>
            <w:r w:rsidRPr="00792D61">
              <w:rPr>
                <w:b/>
              </w:rPr>
              <w:t>[</w:t>
            </w:r>
            <w:r w:rsidRPr="00944030">
              <w:rPr>
                <w:rFonts w:ascii="Arial" w:hAnsi="Arial" w:cs="Arial"/>
              </w:rPr>
              <w:t>●</w:t>
            </w:r>
            <w:r w:rsidRPr="00792D61">
              <w:rPr>
                <w:b/>
              </w:rPr>
              <w:t>]</w:t>
            </w:r>
            <w:r w:rsidRPr="00944030">
              <w:t xml:space="preserve">, , with respect to Reference Rate 2, </w:t>
            </w:r>
            <w:r w:rsidRPr="00792D61">
              <w:rPr>
                <w:b/>
              </w:rPr>
              <w:t>[</w:t>
            </w:r>
            <w:r w:rsidRPr="00944030">
              <w:rPr>
                <w:rFonts w:ascii="Arial" w:hAnsi="Arial" w:cs="Arial"/>
              </w:rPr>
              <w:t>●</w:t>
            </w:r>
            <w:r w:rsidRPr="00792D61">
              <w:rPr>
                <w:b/>
              </w:rPr>
              <w:t>]</w:t>
            </w:r>
            <w:r w:rsidRPr="00944030">
              <w:t xml:space="preserve">, and with respect to Reference Rate 3, </w:t>
            </w:r>
            <w:r w:rsidRPr="00792D61">
              <w:rPr>
                <w:b/>
              </w:rPr>
              <w:t>[</w:t>
            </w:r>
            <w:r w:rsidRPr="00944030">
              <w:rPr>
                <w:rFonts w:ascii="Arial" w:hAnsi="Arial" w:cs="Arial"/>
              </w:rPr>
              <w:t>●</w:t>
            </w:r>
            <w:r w:rsidRPr="00792D61">
              <w:rPr>
                <w:b/>
              </w:rPr>
              <w:t>]</w:t>
            </w:r>
            <w:r w:rsidRPr="00944030">
              <w:t>.</w:t>
            </w:r>
            <w:r w:rsidRPr="00792D61">
              <w:rPr>
                <w:b/>
              </w:rPr>
              <w:t>]</w:t>
            </w:r>
          </w:p>
        </w:tc>
        <w:tc>
          <w:tcPr>
            <w:tcW w:w="1618" w:type="dxa"/>
            <w:gridSpan w:val="2"/>
            <w:tcBorders>
              <w:top w:val="nil"/>
              <w:bottom w:val="nil"/>
              <w:right w:val="nil"/>
            </w:tcBorders>
            <w:shd w:val="clear" w:color="auto" w:fill="auto"/>
          </w:tcPr>
          <w:p w:rsidR="0017135D" w:rsidRPr="00A14178" w:rsidP="002E38FE">
            <w:pPr>
              <w:pStyle w:val="CSBody8pt"/>
              <w:rPr>
                <w:i/>
              </w:rPr>
            </w:pPr>
          </w:p>
        </w:tc>
        <w:tc>
          <w:tcPr>
            <w:tcW w:w="3318" w:type="dxa"/>
            <w:gridSpan w:val="10"/>
            <w:tcBorders>
              <w:top w:val="nil"/>
              <w:left w:val="nil"/>
              <w:bottom w:val="nil"/>
              <w:right w:val="nil"/>
            </w:tcBorders>
            <w:shd w:val="clear" w:color="auto" w:fill="auto"/>
          </w:tcPr>
          <w:p w:rsidR="0017135D" w:rsidRPr="00A14178" w:rsidP="002E38FE">
            <w:pPr>
              <w:pStyle w:val="CSBody8pt"/>
              <w:rPr>
                <w:lang w:val="de-DE"/>
              </w:rPr>
            </w:pPr>
            <w:r w:rsidRPr="00792D61">
              <w:rPr>
                <w:b/>
                <w:lang w:val="de-DE"/>
              </w:rPr>
              <w:t>[</w:t>
            </w:r>
            <w:r w:rsidRPr="002E38FE">
              <w:rPr>
                <w:b/>
                <w:i/>
                <w:lang w:val="de-DE"/>
              </w:rPr>
              <w:t>bei Spread Range Accrual Notes einfügen:</w:t>
            </w:r>
            <w:r w:rsidRPr="00A14178">
              <w:rPr>
                <w:lang w:val="de-DE"/>
              </w:rPr>
              <w:t xml:space="preserve"> in Bezug auf den Referenzsatz 1 </w:t>
            </w:r>
            <w:r w:rsidRPr="00792D61">
              <w:rPr>
                <w:b/>
                <w:lang w:val="de-DE"/>
              </w:rPr>
              <w:t>[</w:t>
            </w:r>
            <w:r w:rsidRPr="00A14178">
              <w:rPr>
                <w:rFonts w:ascii="Arial" w:hAnsi="Arial" w:cs="Arial"/>
                <w:lang w:val="de-DE"/>
              </w:rPr>
              <w:t>●</w:t>
            </w:r>
            <w:r w:rsidRPr="00792D61">
              <w:rPr>
                <w:b/>
                <w:lang w:val="de-DE"/>
              </w:rPr>
              <w:t>]</w:t>
            </w:r>
            <w:r w:rsidRPr="00A14178">
              <w:rPr>
                <w:lang w:val="de-DE"/>
              </w:rPr>
              <w:t xml:space="preserve">, in Bezug auf den Referenzsatz 2 </w:t>
            </w:r>
            <w:r w:rsidRPr="00792D61">
              <w:rPr>
                <w:b/>
                <w:lang w:val="de-DE"/>
              </w:rPr>
              <w:t>[</w:t>
            </w:r>
            <w:r w:rsidRPr="00A14178">
              <w:rPr>
                <w:rFonts w:ascii="Arial" w:hAnsi="Arial" w:cs="Arial"/>
                <w:lang w:val="de-DE"/>
              </w:rPr>
              <w:t>●</w:t>
            </w:r>
            <w:r w:rsidRPr="00792D61">
              <w:rPr>
                <w:b/>
                <w:lang w:val="de-DE"/>
              </w:rPr>
              <w:t>]</w:t>
            </w:r>
            <w:r w:rsidRPr="00A14178">
              <w:rPr>
                <w:lang w:val="de-DE"/>
              </w:rPr>
              <w:t xml:space="preserve"> und in Bezug auf den Referenzsatz 3 </w:t>
            </w:r>
            <w:r w:rsidRPr="00792D61">
              <w:rPr>
                <w:b/>
                <w:lang w:val="de-DE"/>
              </w:rPr>
              <w:t>[</w:t>
            </w:r>
            <w:r w:rsidRPr="00A14178">
              <w:rPr>
                <w:rFonts w:ascii="Arial" w:hAnsi="Arial" w:cs="Arial"/>
                <w:lang w:val="de-DE"/>
              </w:rPr>
              <w:t>●</w:t>
            </w:r>
            <w:r w:rsidRPr="00792D61">
              <w:rPr>
                <w:b/>
                <w:lang w:val="de-DE"/>
              </w:rPr>
              <w:t>]</w:t>
            </w:r>
            <w:r w:rsidRPr="00A14178">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44AFC" w:rsidP="00B8054A">
            <w:pPr>
              <w:pStyle w:val="CSBody8pt"/>
              <w:rPr>
                <w:lang w:val="de-DE"/>
              </w:rPr>
            </w:pPr>
            <w:r w:rsidRPr="00244AFC">
              <w:rPr>
                <w:lang w:val="de-DE"/>
              </w:rPr>
              <w:t>Interest Deter-mination Date</w:t>
            </w:r>
            <w:r>
              <w:rPr>
                <w:lang w:val="de-DE"/>
              </w:rPr>
              <w:fldChar w:fldCharType="begin"/>
            </w:r>
            <w:r>
              <w:instrText xml:space="preserve"> XE "</w:instrText>
            </w:r>
            <w:r w:rsidRPr="002E2B4E">
              <w:rPr>
                <w:lang w:val="de-DE"/>
              </w:rPr>
              <w:instrText>Interest Determination Date</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244AFC" w:rsidP="002E38FE">
            <w:pPr>
              <w:pStyle w:val="CSBody8pt"/>
            </w:pPr>
            <w:r w:rsidRPr="00792D61">
              <w:rPr>
                <w:b/>
              </w:rPr>
              <w:t>[</w:t>
            </w:r>
            <w:r w:rsidRPr="00244AFC">
              <w:rPr>
                <w:b/>
                <w:i/>
              </w:rPr>
              <w:t>in the case of one Interest Payment Date, insert:</w:t>
            </w:r>
            <w:r w:rsidRPr="00244AFC">
              <w:t xml:space="preserve"> the </w:t>
            </w:r>
            <w:r w:rsidRPr="00792D61">
              <w:rPr>
                <w:b/>
              </w:rPr>
              <w:t>[</w:t>
            </w:r>
            <w:r w:rsidRPr="00244AFC">
              <w:rPr>
                <w:rFonts w:ascii="Arial" w:hAnsi="Arial" w:cs="Arial"/>
              </w:rPr>
              <w:t>●</w:t>
            </w:r>
            <w:r w:rsidRPr="00792D61">
              <w:rPr>
                <w:b/>
              </w:rPr>
              <w:t>]</w:t>
            </w:r>
            <w:r w:rsidRPr="00244AFC">
              <w:t xml:space="preserve"> </w:t>
            </w:r>
            <w:r w:rsidRPr="00792D61">
              <w:rPr>
                <w:b/>
              </w:rPr>
              <w:t>[</w:t>
            </w:r>
            <w:r w:rsidRPr="00244AFC">
              <w:t>Business Day</w:t>
            </w:r>
            <w:r w:rsidRPr="00792D61">
              <w:rPr>
                <w:b/>
              </w:rPr>
              <w:t>][</w:t>
            </w:r>
            <w:r w:rsidRPr="00244AFC">
              <w:t>Reference Rate Business Day</w:t>
            </w:r>
            <w:r w:rsidRPr="00792D61">
              <w:rPr>
                <w:b/>
              </w:rPr>
              <w:t>]</w:t>
            </w:r>
            <w:r w:rsidRPr="00244AFC">
              <w:t xml:space="preserve"> prior to the first calendar day of the Interest Period.</w:t>
            </w:r>
            <w:r w:rsidRPr="00792D61">
              <w:rPr>
                <w:b/>
              </w:rPr>
              <w:t>]</w:t>
            </w:r>
          </w:p>
        </w:tc>
        <w:tc>
          <w:tcPr>
            <w:tcW w:w="1618" w:type="dxa"/>
            <w:gridSpan w:val="2"/>
            <w:tcBorders>
              <w:top w:val="nil"/>
              <w:bottom w:val="nil"/>
              <w:right w:val="nil"/>
            </w:tcBorders>
            <w:shd w:val="clear" w:color="auto" w:fill="auto"/>
          </w:tcPr>
          <w:p w:rsidR="0017135D" w:rsidRPr="00244AFC">
            <w:pPr>
              <w:pStyle w:val="CSBody8pt"/>
            </w:pPr>
            <w:r w:rsidRPr="00244AFC">
              <w:t>Zinsfeststellungstag</w:t>
            </w:r>
            <w:r>
              <w:fldChar w:fldCharType="begin"/>
            </w:r>
            <w:r>
              <w:instrText xml:space="preserve"> XE "</w:instrText>
            </w:r>
            <w:r w:rsidRPr="001E5B14">
              <w:instrText>Zinsfeststellungstag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A14178" w:rsidP="002E38FE">
            <w:pPr>
              <w:pStyle w:val="CSBody8pt"/>
              <w:rPr>
                <w:lang w:val="de-DE"/>
              </w:rPr>
            </w:pPr>
            <w:r w:rsidRPr="00792D61">
              <w:rPr>
                <w:b/>
                <w:lang w:val="de-DE"/>
              </w:rPr>
              <w:t>[</w:t>
            </w:r>
            <w:r w:rsidRPr="00244AFC">
              <w:rPr>
                <w:b/>
                <w:i/>
                <w:lang w:val="de-DE"/>
              </w:rPr>
              <w:t>bei nur einem Zinszahlungstag einfügen:</w:t>
            </w:r>
            <w:r w:rsidRPr="00244AFC">
              <w:rPr>
                <w:lang w:val="de-DE"/>
              </w:rPr>
              <w:t xml:space="preserve"> der </w:t>
            </w:r>
            <w:r w:rsidRPr="00792D61">
              <w:rPr>
                <w:b/>
                <w:lang w:val="de-DE"/>
              </w:rPr>
              <w:t>[</w:t>
            </w:r>
            <w:r w:rsidRPr="00244AFC">
              <w:rPr>
                <w:rFonts w:ascii="Arial" w:hAnsi="Arial" w:cs="Arial"/>
                <w:lang w:val="de-DE"/>
              </w:rPr>
              <w:t>●</w:t>
            </w:r>
            <w:r w:rsidRPr="00792D61">
              <w:rPr>
                <w:b/>
                <w:lang w:val="de-DE"/>
              </w:rPr>
              <w:t>]</w:t>
            </w:r>
            <w:r w:rsidRPr="00244AFC">
              <w:rPr>
                <w:lang w:val="de-DE"/>
              </w:rPr>
              <w:t xml:space="preserve"> </w:t>
            </w:r>
            <w:r w:rsidRPr="00792D61">
              <w:rPr>
                <w:b/>
                <w:lang w:val="de-DE"/>
              </w:rPr>
              <w:t>[</w:t>
            </w:r>
            <w:r w:rsidRPr="00244AFC">
              <w:rPr>
                <w:lang w:val="de-DE"/>
              </w:rPr>
              <w:t>Gesch</w:t>
            </w:r>
            <w:r w:rsidRPr="00244AFC">
              <w:rPr>
                <w:rFonts w:cs="Credit Suisse Type Light"/>
                <w:lang w:val="de-DE"/>
              </w:rPr>
              <w:t>ä</w:t>
            </w:r>
            <w:r w:rsidRPr="00244AFC">
              <w:rPr>
                <w:lang w:val="de-DE"/>
              </w:rPr>
              <w:t>ftstag</w:t>
            </w:r>
            <w:r w:rsidRPr="00792D61">
              <w:rPr>
                <w:b/>
                <w:lang w:val="de-DE"/>
              </w:rPr>
              <w:t>][</w:t>
            </w:r>
            <w:r w:rsidRPr="00244AFC">
              <w:rPr>
                <w:lang w:val="de-DE"/>
              </w:rPr>
              <w:t>Referenzsatz-Gesch</w:t>
            </w:r>
            <w:r w:rsidRPr="00244AFC">
              <w:rPr>
                <w:rFonts w:cs="Credit Suisse Type Light"/>
                <w:lang w:val="de-DE"/>
              </w:rPr>
              <w:t>ä</w:t>
            </w:r>
            <w:r w:rsidRPr="00244AFC">
              <w:rPr>
                <w:lang w:val="de-DE"/>
              </w:rPr>
              <w:t>ftstag</w:t>
            </w:r>
            <w:r w:rsidRPr="00792D61">
              <w:rPr>
                <w:b/>
                <w:lang w:val="de-DE"/>
              </w:rPr>
              <w:t>]</w:t>
            </w:r>
            <w:r w:rsidRPr="00244AFC">
              <w:rPr>
                <w:lang w:val="de-DE"/>
              </w:rPr>
              <w:t xml:space="preserve"> vor dem ersten Kalendertag der Zinsperiode.</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14178" w:rsidP="002E38FE">
            <w:pPr>
              <w:pStyle w:val="CSBody8pt"/>
              <w:rPr>
                <w:lang w:val="de-DE"/>
              </w:rPr>
            </w:pPr>
          </w:p>
        </w:tc>
        <w:tc>
          <w:tcPr>
            <w:tcW w:w="3315" w:type="dxa"/>
            <w:gridSpan w:val="7"/>
            <w:tcBorders>
              <w:top w:val="nil"/>
              <w:left w:val="nil"/>
              <w:bottom w:val="nil"/>
            </w:tcBorders>
            <w:shd w:val="clear" w:color="auto" w:fill="auto"/>
          </w:tcPr>
          <w:p w:rsidR="0017135D" w:rsidRPr="008B43DB" w:rsidP="002E38FE">
            <w:pPr>
              <w:pStyle w:val="CSBody8pt"/>
            </w:pPr>
            <w:r w:rsidRPr="00792D61">
              <w:rPr>
                <w:b/>
              </w:rPr>
              <w:t>[</w:t>
            </w:r>
            <w:r w:rsidRPr="002E38FE">
              <w:rPr>
                <w:b/>
                <w:i/>
              </w:rPr>
              <w:t>in the case of multiple Interest Payment Dates, but no Fixed Interest Payment Dates, insert:</w:t>
            </w:r>
            <w:r w:rsidRPr="008B43DB">
              <w:t xml:space="preserve"> with respect to any Interest Payment Date, the </w:t>
            </w:r>
            <w:r w:rsidRPr="00792D61">
              <w:rPr>
                <w:b/>
              </w:rPr>
              <w:t>[</w:t>
            </w:r>
            <w:r w:rsidRPr="008B43DB">
              <w:rPr>
                <w:rFonts w:ascii="Arial" w:hAnsi="Arial" w:cs="Arial"/>
              </w:rPr>
              <w:t>●</w:t>
            </w:r>
            <w:r w:rsidRPr="00792D61">
              <w:rPr>
                <w:b/>
              </w:rPr>
              <w:t>]</w:t>
            </w:r>
            <w:r w:rsidRPr="008B43DB">
              <w:t xml:space="preserve"> </w:t>
            </w:r>
            <w:r w:rsidRPr="00792D61">
              <w:rPr>
                <w:b/>
              </w:rPr>
              <w:t>[</w:t>
            </w:r>
            <w:r w:rsidRPr="008B43DB">
              <w:t>Business Day</w:t>
            </w:r>
            <w:r w:rsidRPr="00792D61">
              <w:rPr>
                <w:b/>
              </w:rPr>
              <w:t>][</w:t>
            </w:r>
            <w:r w:rsidRPr="008B43DB">
              <w:t>Reference Rate Business Day</w:t>
            </w:r>
            <w:r w:rsidRPr="00792D61">
              <w:rPr>
                <w:b/>
              </w:rPr>
              <w:t>]</w:t>
            </w:r>
            <w:r w:rsidRPr="008B43DB">
              <w:t xml:space="preserve"> prior to the first calendar day of the relevant Interest Period.</w:t>
            </w:r>
            <w:r w:rsidRPr="00792D61">
              <w:rPr>
                <w:b/>
              </w:rPr>
              <w:t>]</w:t>
            </w:r>
          </w:p>
        </w:tc>
        <w:tc>
          <w:tcPr>
            <w:tcW w:w="1618" w:type="dxa"/>
            <w:gridSpan w:val="2"/>
            <w:tcBorders>
              <w:top w:val="nil"/>
              <w:bottom w:val="nil"/>
              <w:right w:val="nil"/>
            </w:tcBorders>
            <w:shd w:val="clear" w:color="auto" w:fill="auto"/>
          </w:tcPr>
          <w:p w:rsidR="0017135D" w:rsidRPr="00A14178" w:rsidP="002E38FE">
            <w:pPr>
              <w:pStyle w:val="CSBody8pt"/>
              <w:rPr>
                <w:i/>
              </w:rPr>
            </w:pPr>
          </w:p>
        </w:tc>
        <w:tc>
          <w:tcPr>
            <w:tcW w:w="3318" w:type="dxa"/>
            <w:gridSpan w:val="10"/>
            <w:tcBorders>
              <w:top w:val="nil"/>
              <w:left w:val="nil"/>
              <w:bottom w:val="nil"/>
              <w:right w:val="nil"/>
            </w:tcBorders>
            <w:shd w:val="clear" w:color="auto" w:fill="auto"/>
          </w:tcPr>
          <w:p w:rsidR="0017135D" w:rsidRPr="00A14178" w:rsidP="002E38FE">
            <w:pPr>
              <w:pStyle w:val="CSBody8pt"/>
              <w:rPr>
                <w:lang w:val="de-DE"/>
              </w:rPr>
            </w:pPr>
            <w:r w:rsidRPr="00792D61">
              <w:rPr>
                <w:b/>
                <w:lang w:val="de-DE"/>
              </w:rPr>
              <w:t>[</w:t>
            </w:r>
            <w:r w:rsidRPr="002E38FE">
              <w:rPr>
                <w:b/>
                <w:i/>
                <w:lang w:val="de-DE"/>
              </w:rPr>
              <w:t>bei mehreren Zinszahlungstagen ohne Zahlungstage für Festzinsen einfügen:</w:t>
            </w:r>
            <w:r w:rsidRPr="00A14178">
              <w:rPr>
                <w:lang w:val="de-DE"/>
              </w:rPr>
              <w:t xml:space="preserve"> in Bezug auf einen Zinszahlungstag der </w:t>
            </w:r>
            <w:r w:rsidRPr="00792D61">
              <w:rPr>
                <w:b/>
                <w:lang w:val="de-DE"/>
              </w:rPr>
              <w:t>[</w:t>
            </w:r>
            <w:r w:rsidRPr="00A14178">
              <w:rPr>
                <w:rFonts w:ascii="Arial" w:hAnsi="Arial" w:cs="Arial"/>
                <w:lang w:val="de-DE"/>
              </w:rPr>
              <w:t>●</w:t>
            </w:r>
            <w:r w:rsidRPr="00792D61">
              <w:rPr>
                <w:b/>
                <w:lang w:val="de-DE"/>
              </w:rPr>
              <w:t>]</w:t>
            </w:r>
            <w:r w:rsidRPr="00A14178">
              <w:rPr>
                <w:lang w:val="de-DE"/>
              </w:rPr>
              <w:t xml:space="preserve"> </w:t>
            </w:r>
            <w:r w:rsidRPr="00792D61">
              <w:rPr>
                <w:b/>
                <w:lang w:val="de-DE"/>
              </w:rPr>
              <w:t>[</w:t>
            </w:r>
            <w:r w:rsidRPr="00A14178">
              <w:rPr>
                <w:lang w:val="de-DE"/>
              </w:rPr>
              <w:t>Geschäftstag</w:t>
            </w:r>
            <w:r w:rsidRPr="00792D61">
              <w:rPr>
                <w:b/>
                <w:lang w:val="de-DE"/>
              </w:rPr>
              <w:t>][</w:t>
            </w:r>
            <w:r w:rsidRPr="00A14178">
              <w:rPr>
                <w:lang w:val="de-DE"/>
              </w:rPr>
              <w:t>Referenzsatz-Geschäftstag</w:t>
            </w:r>
            <w:r w:rsidRPr="00792D61">
              <w:rPr>
                <w:b/>
                <w:lang w:val="de-DE"/>
              </w:rPr>
              <w:t>]</w:t>
            </w:r>
            <w:r w:rsidRPr="00A14178">
              <w:rPr>
                <w:lang w:val="de-DE"/>
              </w:rPr>
              <w:t xml:space="preserve"> vor dem ersten Kalendertag der betreffenden Zinsperiode.</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14178" w:rsidP="002E38FE">
            <w:pPr>
              <w:pStyle w:val="CSBody8pt"/>
              <w:rPr>
                <w:lang w:val="de-DE"/>
              </w:rPr>
            </w:pPr>
          </w:p>
        </w:tc>
        <w:tc>
          <w:tcPr>
            <w:tcW w:w="3315" w:type="dxa"/>
            <w:gridSpan w:val="7"/>
            <w:tcBorders>
              <w:top w:val="nil"/>
              <w:left w:val="nil"/>
              <w:bottom w:val="nil"/>
            </w:tcBorders>
            <w:shd w:val="clear" w:color="auto" w:fill="auto"/>
          </w:tcPr>
          <w:p w:rsidR="0017135D" w:rsidP="002E38FE">
            <w:pPr>
              <w:pStyle w:val="CSBody8pt"/>
            </w:pPr>
            <w:r w:rsidRPr="00792D61">
              <w:rPr>
                <w:b/>
              </w:rPr>
              <w:t>[</w:t>
            </w:r>
            <w:r w:rsidRPr="002E38FE">
              <w:rPr>
                <w:b/>
                <w:i/>
              </w:rPr>
              <w:t>in the case of multiple Interest Payment Dates, some of which are Fixed Interest Payment Dates, insert:</w:t>
            </w:r>
            <w:r w:rsidRPr="008B43DB">
              <w:t xml:space="preserve"> with respect to any Variable Interest Payment Date, the </w:t>
            </w:r>
            <w:r w:rsidRPr="00792D61">
              <w:rPr>
                <w:b/>
              </w:rPr>
              <w:t>[</w:t>
            </w:r>
            <w:r w:rsidRPr="008B43DB">
              <w:rPr>
                <w:rFonts w:ascii="Arial" w:hAnsi="Arial" w:cs="Arial"/>
              </w:rPr>
              <w:t>●</w:t>
            </w:r>
            <w:r w:rsidRPr="00792D61">
              <w:rPr>
                <w:b/>
              </w:rPr>
              <w:t>]</w:t>
            </w:r>
            <w:r w:rsidRPr="008B43DB">
              <w:t xml:space="preserve"> </w:t>
            </w:r>
            <w:r w:rsidRPr="00792D61">
              <w:rPr>
                <w:b/>
              </w:rPr>
              <w:t>[</w:t>
            </w:r>
            <w:r w:rsidRPr="008B43DB">
              <w:t>Business Day</w:t>
            </w:r>
            <w:r w:rsidRPr="00792D61">
              <w:rPr>
                <w:b/>
              </w:rPr>
              <w:t>][</w:t>
            </w:r>
            <w:r w:rsidRPr="008B43DB">
              <w:t>Reference Rate Business Day</w:t>
            </w:r>
            <w:r w:rsidRPr="00792D61">
              <w:rPr>
                <w:b/>
              </w:rPr>
              <w:t>]</w:t>
            </w:r>
            <w:r w:rsidRPr="008B43DB">
              <w:t xml:space="preserve"> prior to the first calendar day of the relevant Interest Period.</w:t>
            </w:r>
            <w:r w:rsidRPr="00792D61">
              <w:rPr>
                <w:b/>
              </w:rPr>
              <w:t>]]</w:t>
            </w:r>
          </w:p>
        </w:tc>
        <w:tc>
          <w:tcPr>
            <w:tcW w:w="1618" w:type="dxa"/>
            <w:gridSpan w:val="2"/>
            <w:tcBorders>
              <w:top w:val="nil"/>
              <w:bottom w:val="nil"/>
              <w:right w:val="nil"/>
            </w:tcBorders>
            <w:shd w:val="clear" w:color="auto" w:fill="auto"/>
          </w:tcPr>
          <w:p w:rsidR="0017135D" w:rsidRPr="00A14178" w:rsidP="002E38FE">
            <w:pPr>
              <w:pStyle w:val="CSBody8pt"/>
              <w:rPr>
                <w:i/>
              </w:rPr>
            </w:pPr>
          </w:p>
        </w:tc>
        <w:tc>
          <w:tcPr>
            <w:tcW w:w="3318" w:type="dxa"/>
            <w:gridSpan w:val="10"/>
            <w:tcBorders>
              <w:top w:val="nil"/>
              <w:left w:val="nil"/>
              <w:bottom w:val="nil"/>
              <w:right w:val="nil"/>
            </w:tcBorders>
            <w:shd w:val="clear" w:color="auto" w:fill="auto"/>
          </w:tcPr>
          <w:p w:rsidR="0017135D" w:rsidRPr="00A14178" w:rsidP="002E38FE">
            <w:pPr>
              <w:pStyle w:val="CSBody8pt"/>
              <w:rPr>
                <w:lang w:val="de-DE"/>
              </w:rPr>
            </w:pPr>
            <w:r w:rsidRPr="00792D61">
              <w:rPr>
                <w:b/>
                <w:lang w:val="de-DE"/>
              </w:rPr>
              <w:t>[</w:t>
            </w:r>
            <w:r w:rsidRPr="002E38FE">
              <w:rPr>
                <w:b/>
                <w:i/>
                <w:lang w:val="de-DE"/>
              </w:rPr>
              <w:t>bei mehreren Zinszahlungstagen, unter denen auch Zahlungstage für Festzinsen sind, einfügen:</w:t>
            </w:r>
            <w:r w:rsidRPr="00A14178">
              <w:rPr>
                <w:lang w:val="de-DE"/>
              </w:rPr>
              <w:t xml:space="preserve"> in Bezug auf einen Zahlungstag für Variable Zinsen der </w:t>
            </w:r>
            <w:r w:rsidRPr="00792D61">
              <w:rPr>
                <w:b/>
                <w:lang w:val="de-DE"/>
              </w:rPr>
              <w:t>[</w:t>
            </w:r>
            <w:r w:rsidRPr="00A14178">
              <w:rPr>
                <w:rFonts w:ascii="Arial" w:hAnsi="Arial" w:cs="Arial"/>
                <w:lang w:val="de-DE"/>
              </w:rPr>
              <w:t>●</w:t>
            </w:r>
            <w:r w:rsidRPr="00792D61">
              <w:rPr>
                <w:b/>
                <w:lang w:val="de-DE"/>
              </w:rPr>
              <w:t>]</w:t>
            </w:r>
            <w:r w:rsidRPr="00A14178">
              <w:rPr>
                <w:lang w:val="de-DE"/>
              </w:rPr>
              <w:t xml:space="preserve"> </w:t>
            </w:r>
            <w:r w:rsidRPr="00792D61">
              <w:rPr>
                <w:b/>
                <w:lang w:val="de-DE"/>
              </w:rPr>
              <w:t>[</w:t>
            </w:r>
            <w:r w:rsidRPr="00A14178">
              <w:rPr>
                <w:lang w:val="de-DE"/>
              </w:rPr>
              <w:t>Geschäftstag</w:t>
            </w:r>
            <w:r w:rsidRPr="00792D61">
              <w:rPr>
                <w:b/>
                <w:lang w:val="de-DE"/>
              </w:rPr>
              <w:t>]</w:t>
            </w:r>
            <w:r w:rsidRPr="00A14178">
              <w:rPr>
                <w:lang w:val="de-DE"/>
              </w:rPr>
              <w:t xml:space="preserve"> </w:t>
            </w:r>
            <w:r w:rsidRPr="00792D61">
              <w:rPr>
                <w:b/>
                <w:lang w:val="de-DE"/>
              </w:rPr>
              <w:t>[</w:t>
            </w:r>
            <w:r w:rsidRPr="00A14178">
              <w:rPr>
                <w:lang w:val="de-DE"/>
              </w:rPr>
              <w:t>Referenzsatz-Geschäftstag</w:t>
            </w:r>
            <w:r w:rsidRPr="00792D61">
              <w:rPr>
                <w:b/>
                <w:lang w:val="de-DE"/>
              </w:rPr>
              <w:t>]</w:t>
            </w:r>
            <w:r w:rsidRPr="00A14178">
              <w:rPr>
                <w:lang w:val="de-DE"/>
              </w:rPr>
              <w:t xml:space="preserve"> vor dem ersten Kalendertag der betreffenden Zinsperiode.</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84629B" w:rsidP="002E38FE">
            <w:pPr>
              <w:pStyle w:val="CSBody8ptbolditalics"/>
            </w:pPr>
            <w:r w:rsidRPr="00792D61">
              <w:t>[</w:t>
            </w:r>
            <w:r w:rsidRPr="0084629B">
              <w:t>in the case of Spread Range Accrual Notes and Range Accrual Notes, insert the definitions "Barrier" through "Barrier Observation Period(s)", as applicable:</w:t>
            </w:r>
          </w:p>
        </w:tc>
        <w:tc>
          <w:tcPr>
            <w:tcW w:w="4936" w:type="dxa"/>
            <w:gridSpan w:val="12"/>
            <w:tcBorders>
              <w:top w:val="nil"/>
              <w:bottom w:val="nil"/>
              <w:right w:val="nil"/>
            </w:tcBorders>
            <w:shd w:val="clear" w:color="auto" w:fill="auto"/>
          </w:tcPr>
          <w:p w:rsidR="0017135D" w:rsidRPr="00A14178" w:rsidP="002E38FE">
            <w:pPr>
              <w:pStyle w:val="CSBody8ptbolditalics"/>
              <w:rPr>
                <w:lang w:val="de-DE"/>
              </w:rPr>
            </w:pPr>
            <w:r w:rsidRPr="00792D61">
              <w:rPr>
                <w:lang w:val="de-DE"/>
              </w:rPr>
              <w:t>[</w:t>
            </w:r>
            <w:r w:rsidRPr="00A14178">
              <w:rPr>
                <w:lang w:val="de-DE"/>
              </w:rPr>
              <w:t>bei Spread Range Accrual Notes und Range Accrual Notes die Definitionen "Barriere" bis "Barriere-Beobachtungszeitraum/-zeiträume" einfügen, wie jeweils anwendbar: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6FFA" w:rsidP="002E38FE">
            <w:pPr>
              <w:pStyle w:val="CSBody8pt"/>
            </w:pPr>
            <w:r w:rsidRPr="00792D61">
              <w:rPr>
                <w:b/>
              </w:rPr>
              <w:t>[</w:t>
            </w:r>
            <w:r w:rsidRPr="003D6FFA">
              <w:t>Barrier</w:t>
            </w:r>
          </w:p>
        </w:tc>
        <w:tc>
          <w:tcPr>
            <w:tcW w:w="3315" w:type="dxa"/>
            <w:gridSpan w:val="7"/>
            <w:tcBorders>
              <w:top w:val="nil"/>
              <w:left w:val="nil"/>
              <w:bottom w:val="nil"/>
            </w:tcBorders>
            <w:shd w:val="clear" w:color="auto" w:fill="auto"/>
          </w:tcPr>
          <w:p w:rsidR="0017135D" w:rsidRPr="00D869C2" w:rsidP="002E38FE">
            <w:pPr>
              <w:pStyle w:val="CSBody8pt"/>
            </w:pPr>
            <w:r w:rsidRPr="00792D61">
              <w:rPr>
                <w:b/>
              </w:rPr>
              <w:t>[</w:t>
            </w:r>
            <w:r w:rsidRPr="00D869C2">
              <w:rPr>
                <w:rFonts w:ascii="Arial" w:hAnsi="Arial" w:cs="Arial"/>
              </w:rPr>
              <w:t>●</w:t>
            </w:r>
            <w:r w:rsidRPr="00792D61">
              <w:rPr>
                <w:b/>
              </w:rPr>
              <w:t>]</w:t>
            </w:r>
            <w:r w:rsidRPr="00D869C2">
              <w:t>% per annum.</w:t>
            </w:r>
          </w:p>
        </w:tc>
        <w:tc>
          <w:tcPr>
            <w:tcW w:w="1618" w:type="dxa"/>
            <w:gridSpan w:val="2"/>
            <w:tcBorders>
              <w:top w:val="nil"/>
              <w:bottom w:val="nil"/>
              <w:right w:val="nil"/>
            </w:tcBorders>
            <w:shd w:val="clear" w:color="auto" w:fill="auto"/>
          </w:tcPr>
          <w:p w:rsidR="0017135D" w:rsidRPr="00DE13FC" w:rsidP="002E38FE">
            <w:pPr>
              <w:pStyle w:val="CSBody8pt"/>
            </w:pPr>
            <w:r w:rsidRPr="00792D61">
              <w:rPr>
                <w:b/>
              </w:rPr>
              <w:t>[</w:t>
            </w:r>
            <w:r w:rsidRPr="00DE13FC">
              <w:t>Barriere</w:t>
            </w:r>
          </w:p>
        </w:tc>
        <w:tc>
          <w:tcPr>
            <w:tcW w:w="3318" w:type="dxa"/>
            <w:gridSpan w:val="10"/>
            <w:tcBorders>
              <w:top w:val="nil"/>
              <w:left w:val="nil"/>
              <w:bottom w:val="nil"/>
              <w:right w:val="nil"/>
            </w:tcBorders>
            <w:shd w:val="clear" w:color="auto" w:fill="auto"/>
          </w:tcPr>
          <w:p w:rsidR="0017135D" w:rsidRPr="003A47D3" w:rsidP="002E38FE">
            <w:pPr>
              <w:pStyle w:val="CSBody8pt"/>
            </w:pPr>
            <w:r w:rsidRPr="00792D61">
              <w:rPr>
                <w:b/>
              </w:rPr>
              <w:t>[</w:t>
            </w:r>
            <w:r w:rsidRPr="003A47D3">
              <w:rPr>
                <w:rFonts w:ascii="Arial" w:hAnsi="Arial" w:cs="Arial"/>
              </w:rPr>
              <w:t>●</w:t>
            </w:r>
            <w:r w:rsidRPr="00792D61">
              <w:rPr>
                <w:b/>
              </w:rPr>
              <w:t>]</w:t>
            </w:r>
            <w:r w:rsidRPr="003A47D3">
              <w:t>% per annum.</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6FFA" w:rsidP="002E38FE">
            <w:pPr>
              <w:pStyle w:val="CSBody8pt"/>
            </w:pPr>
            <w:r w:rsidRPr="00792D61">
              <w:rPr>
                <w:b/>
                <w:i/>
              </w:rPr>
              <w:t>[</w:t>
            </w:r>
            <w:r w:rsidRPr="002E38FE">
              <w:rPr>
                <w:b/>
                <w:i/>
              </w:rPr>
              <w:t>in the case of Spread Range Accrual Notes, insert:</w:t>
            </w:r>
            <w:r w:rsidRPr="003D6FFA">
              <w:t xml:space="preserve"> Spread Rate</w:t>
            </w:r>
          </w:p>
        </w:tc>
        <w:tc>
          <w:tcPr>
            <w:tcW w:w="3315" w:type="dxa"/>
            <w:gridSpan w:val="7"/>
            <w:tcBorders>
              <w:top w:val="nil"/>
              <w:left w:val="nil"/>
              <w:bottom w:val="nil"/>
            </w:tcBorders>
            <w:shd w:val="clear" w:color="auto" w:fill="auto"/>
          </w:tcPr>
          <w:p w:rsidR="0017135D" w:rsidRPr="00D869C2" w:rsidP="002E38FE">
            <w:pPr>
              <w:pStyle w:val="CSBody8pt"/>
            </w:pPr>
            <w:r w:rsidRPr="00D869C2">
              <w:t xml:space="preserve">with respect to </w:t>
            </w:r>
            <w:r w:rsidRPr="00792D61">
              <w:rPr>
                <w:b/>
              </w:rPr>
              <w:t>[</w:t>
            </w:r>
            <w:r w:rsidRPr="00D869C2">
              <w:t>any</w:t>
            </w:r>
            <w:r w:rsidRPr="00792D61">
              <w:rPr>
                <w:b/>
              </w:rPr>
              <w:t>][</w:t>
            </w:r>
            <w:r w:rsidRPr="00D869C2">
              <w:t>the</w:t>
            </w:r>
            <w:r w:rsidRPr="00792D61">
              <w:rPr>
                <w:b/>
              </w:rPr>
              <w:t>]</w:t>
            </w:r>
            <w:r w:rsidRPr="00D869C2">
              <w:t xml:space="preserve"> Barrier Observation Date, Reference Rate 2 on </w:t>
            </w:r>
            <w:r w:rsidRPr="00792D61">
              <w:rPr>
                <w:b/>
              </w:rPr>
              <w:t>[</w:t>
            </w:r>
            <w:r w:rsidRPr="00D869C2">
              <w:t>such</w:t>
            </w:r>
            <w:r w:rsidRPr="00792D61">
              <w:rPr>
                <w:b/>
              </w:rPr>
              <w:t>][</w:t>
            </w:r>
            <w:r w:rsidRPr="00D869C2">
              <w:t>the</w:t>
            </w:r>
            <w:r w:rsidRPr="00792D61">
              <w:rPr>
                <w:b/>
              </w:rPr>
              <w:t>]</w:t>
            </w:r>
            <w:r w:rsidRPr="00D869C2">
              <w:t xml:space="preserve"> Barrier Observation Date less Reference Rate 3 on </w:t>
            </w:r>
            <w:r w:rsidRPr="00792D61">
              <w:rPr>
                <w:b/>
              </w:rPr>
              <w:t>[</w:t>
            </w:r>
            <w:r w:rsidRPr="00D869C2">
              <w:t>such</w:t>
            </w:r>
            <w:r w:rsidRPr="00792D61">
              <w:rPr>
                <w:b/>
              </w:rPr>
              <w:t>][</w:t>
            </w:r>
            <w:r w:rsidRPr="00D869C2">
              <w:t>the</w:t>
            </w:r>
            <w:r w:rsidRPr="00792D61">
              <w:rPr>
                <w:b/>
              </w:rPr>
              <w:t>]</w:t>
            </w:r>
            <w:r w:rsidRPr="00D869C2">
              <w:t xml:space="preserve"> Barrier Observation Date.</w:t>
            </w:r>
            <w:r w:rsidRPr="00792D61">
              <w:rPr>
                <w:b/>
              </w:rPr>
              <w:t>]</w:t>
            </w:r>
          </w:p>
        </w:tc>
        <w:tc>
          <w:tcPr>
            <w:tcW w:w="1618" w:type="dxa"/>
            <w:gridSpan w:val="2"/>
            <w:tcBorders>
              <w:top w:val="nil"/>
              <w:bottom w:val="nil"/>
              <w:right w:val="nil"/>
            </w:tcBorders>
            <w:shd w:val="clear" w:color="auto" w:fill="auto"/>
          </w:tcPr>
          <w:p w:rsidR="0017135D" w:rsidRPr="00DE13FC" w:rsidP="002E38FE">
            <w:pPr>
              <w:pStyle w:val="CSBody8pt"/>
            </w:pPr>
            <w:r w:rsidRPr="00792D61">
              <w:rPr>
                <w:b/>
              </w:rPr>
              <w:t>[</w:t>
            </w:r>
            <w:r w:rsidRPr="002E38FE">
              <w:rPr>
                <w:b/>
                <w:i/>
              </w:rPr>
              <w:t>bei Spread Range Accrual Notes einfügen:</w:t>
            </w:r>
            <w:r w:rsidRPr="00DE13FC">
              <w:t xml:space="preserve"> Spreadsatz </w:t>
            </w:r>
          </w:p>
        </w:tc>
        <w:tc>
          <w:tcPr>
            <w:tcW w:w="3318" w:type="dxa"/>
            <w:gridSpan w:val="10"/>
            <w:tcBorders>
              <w:top w:val="nil"/>
              <w:left w:val="nil"/>
              <w:bottom w:val="nil"/>
              <w:right w:val="nil"/>
            </w:tcBorders>
            <w:shd w:val="clear" w:color="auto" w:fill="auto"/>
          </w:tcPr>
          <w:p w:rsidR="0017135D" w:rsidRPr="00CF2D4A" w:rsidP="002E38FE">
            <w:pPr>
              <w:pStyle w:val="CSBody8pt"/>
              <w:rPr>
                <w:lang w:val="de-DE"/>
              </w:rPr>
            </w:pPr>
            <w:r w:rsidRPr="00CF2D4A">
              <w:rPr>
                <w:lang w:val="de-DE"/>
              </w:rPr>
              <w:t xml:space="preserve">in Bezug auf </w:t>
            </w:r>
            <w:r w:rsidRPr="00792D61">
              <w:rPr>
                <w:b/>
                <w:lang w:val="de-DE"/>
              </w:rPr>
              <w:t>[</w:t>
            </w:r>
            <w:r w:rsidRPr="00CF2D4A">
              <w:rPr>
                <w:lang w:val="de-DE"/>
              </w:rPr>
              <w:t>einen</w:t>
            </w:r>
            <w:r w:rsidRPr="00792D61">
              <w:rPr>
                <w:b/>
                <w:lang w:val="de-DE"/>
              </w:rPr>
              <w:t>][</w:t>
            </w:r>
            <w:r w:rsidRPr="00CF2D4A">
              <w:rPr>
                <w:lang w:val="de-DE"/>
              </w:rPr>
              <w:t>den</w:t>
            </w:r>
            <w:r w:rsidRPr="00792D61">
              <w:rPr>
                <w:b/>
                <w:lang w:val="de-DE"/>
              </w:rPr>
              <w:t>]</w:t>
            </w:r>
            <w:r w:rsidRPr="00CF2D4A">
              <w:rPr>
                <w:lang w:val="de-DE"/>
              </w:rPr>
              <w:t xml:space="preserve"> Barriere-Beobachtungstag der Referenzsatz 2 an </w:t>
            </w:r>
            <w:r w:rsidRPr="00792D61">
              <w:rPr>
                <w:b/>
                <w:lang w:val="de-DE"/>
              </w:rPr>
              <w:t>[</w:t>
            </w:r>
            <w:r w:rsidRPr="00CF2D4A">
              <w:rPr>
                <w:lang w:val="de-DE"/>
              </w:rPr>
              <w:t>dem</w:t>
            </w:r>
            <w:r w:rsidRPr="00792D61">
              <w:rPr>
                <w:b/>
                <w:lang w:val="de-DE"/>
              </w:rPr>
              <w:t>][</w:t>
            </w:r>
            <w:r w:rsidRPr="00CF2D4A">
              <w:rPr>
                <w:lang w:val="de-DE"/>
              </w:rPr>
              <w:t>dem jeweiligen</w:t>
            </w:r>
            <w:r w:rsidRPr="00792D61">
              <w:rPr>
                <w:b/>
                <w:lang w:val="de-DE"/>
              </w:rPr>
              <w:t>]</w:t>
            </w:r>
            <w:r w:rsidRPr="00CF2D4A">
              <w:rPr>
                <w:lang w:val="de-DE"/>
              </w:rPr>
              <w:t xml:space="preserve"> Barriere-Beobachtungstag minus Referenzsatz 3 an </w:t>
            </w:r>
            <w:r w:rsidRPr="00792D61">
              <w:rPr>
                <w:b/>
                <w:lang w:val="de-DE"/>
              </w:rPr>
              <w:t>[</w:t>
            </w:r>
            <w:r w:rsidRPr="00CF2D4A">
              <w:rPr>
                <w:lang w:val="de-DE"/>
              </w:rPr>
              <w:t>dem</w:t>
            </w:r>
            <w:r w:rsidRPr="00792D61">
              <w:rPr>
                <w:b/>
                <w:lang w:val="de-DE"/>
              </w:rPr>
              <w:t>][</w:t>
            </w:r>
            <w:r w:rsidRPr="00CF2D4A">
              <w:rPr>
                <w:lang w:val="de-DE"/>
              </w:rPr>
              <w:t>dem jeweiligen</w:t>
            </w:r>
            <w:r w:rsidRPr="00792D61">
              <w:rPr>
                <w:b/>
                <w:lang w:val="de-DE"/>
              </w:rPr>
              <w:t>]</w:t>
            </w:r>
            <w:r w:rsidRPr="00CF2D4A">
              <w:rPr>
                <w:lang w:val="de-DE"/>
              </w:rPr>
              <w:t xml:space="preserve"> Barriere- Beobachtungstag.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3D6FFA" w:rsidP="002E38FE">
            <w:pPr>
              <w:pStyle w:val="CSBody8pt"/>
            </w:pPr>
            <w:r w:rsidRPr="003D6FFA">
              <w:t>Barrier Event</w:t>
            </w:r>
          </w:p>
        </w:tc>
        <w:tc>
          <w:tcPr>
            <w:tcW w:w="3315" w:type="dxa"/>
            <w:gridSpan w:val="7"/>
            <w:tcBorders>
              <w:top w:val="nil"/>
              <w:left w:val="nil"/>
              <w:bottom w:val="nil"/>
            </w:tcBorders>
            <w:shd w:val="clear" w:color="auto" w:fill="auto"/>
          </w:tcPr>
          <w:p w:rsidR="0017135D" w:rsidRPr="00D869C2" w:rsidP="002E38FE">
            <w:pPr>
              <w:pStyle w:val="CSBody8pt"/>
            </w:pPr>
            <w:r w:rsidRPr="00D869C2">
              <w:t xml:space="preserve">if </w:t>
            </w:r>
            <w:r w:rsidRPr="00792D61">
              <w:rPr>
                <w:b/>
                <w:i/>
              </w:rPr>
              <w:t>[</w:t>
            </w:r>
            <w:r w:rsidRPr="002E38FE">
              <w:rPr>
                <w:b/>
                <w:i/>
              </w:rPr>
              <w:t>in the case of Range Accrual Notes, insert:</w:t>
            </w:r>
            <w:r w:rsidRPr="00D869C2">
              <w:t xml:space="preserve"> the Reference Rate</w:t>
            </w:r>
            <w:r w:rsidRPr="00792D61">
              <w:rPr>
                <w:b/>
              </w:rPr>
              <w:t>][</w:t>
            </w:r>
            <w:r w:rsidRPr="002E38FE">
              <w:rPr>
                <w:b/>
                <w:i/>
              </w:rPr>
              <w:t>in the case of Spread Range Accrual Notes, insert:</w:t>
            </w:r>
            <w:r w:rsidRPr="00D869C2">
              <w:t xml:space="preserve"> the Spread Rate</w:t>
            </w:r>
            <w:r w:rsidRPr="00792D61">
              <w:rPr>
                <w:b/>
              </w:rPr>
              <w:t>]</w:t>
            </w:r>
            <w:r w:rsidRPr="00D869C2">
              <w:t xml:space="preserve"> on the </w:t>
            </w:r>
            <w:r w:rsidRPr="00792D61">
              <w:rPr>
                <w:b/>
              </w:rPr>
              <w:t>[</w:t>
            </w:r>
            <w:r w:rsidRPr="00D869C2">
              <w:t>relevant</w:t>
            </w:r>
            <w:r w:rsidRPr="00792D61">
              <w:rPr>
                <w:b/>
              </w:rPr>
              <w:t>]</w:t>
            </w:r>
            <w:r w:rsidRPr="00D869C2">
              <w:t xml:space="preserve"> Barrier Observation Date </w:t>
            </w:r>
            <w:r w:rsidRPr="002E38FE">
              <w:rPr>
                <w:b/>
              </w:rPr>
              <w:t>is</w:t>
            </w:r>
            <w:r w:rsidRPr="00D869C2">
              <w:t xml:space="preserve"> </w:t>
            </w:r>
            <w:r w:rsidRPr="00792D61">
              <w:rPr>
                <w:b/>
              </w:rPr>
              <w:t>[</w:t>
            </w:r>
            <w:r w:rsidRPr="002E38FE">
              <w:rPr>
                <w:b/>
              </w:rPr>
              <w:t xml:space="preserve">at or </w:t>
            </w:r>
            <w:r w:rsidRPr="00792D61">
              <w:rPr>
                <w:b/>
              </w:rPr>
              <w:t>][</w:t>
            </w:r>
            <w:r w:rsidRPr="002E38FE">
              <w:rPr>
                <w:b/>
              </w:rPr>
              <w:t>above</w:t>
            </w:r>
            <w:r w:rsidRPr="00792D61">
              <w:rPr>
                <w:b/>
              </w:rPr>
              <w:t>][</w:t>
            </w:r>
            <w:r w:rsidRPr="002E38FE">
              <w:rPr>
                <w:b/>
              </w:rPr>
              <w:t>below</w:t>
            </w:r>
            <w:r w:rsidRPr="00792D61">
              <w:rPr>
                <w:b/>
              </w:rPr>
              <w:t>]</w:t>
            </w:r>
            <w:r w:rsidRPr="002E38FE">
              <w:rPr>
                <w:b/>
              </w:rPr>
              <w:t xml:space="preserve"> the Barrier.</w:t>
            </w:r>
            <w:r w:rsidRPr="00792D61">
              <w:rPr>
                <w:b/>
              </w:rPr>
              <w:t>]</w:t>
            </w:r>
          </w:p>
        </w:tc>
        <w:tc>
          <w:tcPr>
            <w:tcW w:w="1618" w:type="dxa"/>
            <w:gridSpan w:val="2"/>
            <w:tcBorders>
              <w:top w:val="nil"/>
              <w:bottom w:val="nil"/>
              <w:right w:val="nil"/>
            </w:tcBorders>
            <w:shd w:val="clear" w:color="auto" w:fill="auto"/>
          </w:tcPr>
          <w:p w:rsidR="0017135D" w:rsidRPr="00DE13FC" w:rsidP="002E38FE">
            <w:pPr>
              <w:pStyle w:val="CSBody8pt"/>
            </w:pPr>
            <w:r w:rsidRPr="00DE13FC">
              <w:t>Barriereereignis</w:t>
            </w:r>
          </w:p>
        </w:tc>
        <w:tc>
          <w:tcPr>
            <w:tcW w:w="3318" w:type="dxa"/>
            <w:gridSpan w:val="10"/>
            <w:tcBorders>
              <w:top w:val="nil"/>
              <w:left w:val="nil"/>
              <w:bottom w:val="nil"/>
              <w:right w:val="nil"/>
            </w:tcBorders>
            <w:shd w:val="clear" w:color="auto" w:fill="auto"/>
          </w:tcPr>
          <w:p w:rsidR="0017135D" w:rsidRPr="00CF2D4A">
            <w:pPr>
              <w:pStyle w:val="CSBody8pt"/>
              <w:rPr>
                <w:lang w:val="de-DE"/>
              </w:rPr>
            </w:pPr>
            <w:r w:rsidRPr="00CF2D4A">
              <w:rPr>
                <w:lang w:val="de-DE"/>
              </w:rPr>
              <w:t xml:space="preserve">wenn </w:t>
            </w:r>
            <w:r w:rsidRPr="00792D61">
              <w:rPr>
                <w:b/>
                <w:lang w:val="de-DE"/>
              </w:rPr>
              <w:t>[</w:t>
            </w:r>
            <w:r w:rsidRPr="002E38FE">
              <w:rPr>
                <w:b/>
                <w:i/>
                <w:lang w:val="de-DE"/>
              </w:rPr>
              <w:t>bei Range Accrual Notes einfügen:</w:t>
            </w:r>
            <w:r w:rsidRPr="00CF2D4A">
              <w:rPr>
                <w:lang w:val="de-DE"/>
              </w:rPr>
              <w:t xml:space="preserve"> der Referenzsatz</w:t>
            </w:r>
            <w:r w:rsidRPr="00792D61">
              <w:rPr>
                <w:b/>
                <w:lang w:val="de-DE"/>
              </w:rPr>
              <w:t>][</w:t>
            </w:r>
            <w:r w:rsidRPr="002E38FE">
              <w:rPr>
                <w:b/>
                <w:i/>
                <w:lang w:val="de-DE"/>
              </w:rPr>
              <w:t>bei Spread Range Accrual Notes einfügen:</w:t>
            </w:r>
            <w:r w:rsidRPr="00CF2D4A">
              <w:rPr>
                <w:lang w:val="de-DE"/>
              </w:rPr>
              <w:t xml:space="preserve"> der Spreadsatz</w:t>
            </w:r>
            <w:r w:rsidRPr="00792D61">
              <w:rPr>
                <w:b/>
                <w:lang w:val="de-DE"/>
              </w:rPr>
              <w:t>]</w:t>
            </w:r>
            <w:r w:rsidRPr="00CF2D4A">
              <w:rPr>
                <w:lang w:val="de-DE"/>
              </w:rPr>
              <w:t xml:space="preserve"> an dem </w:t>
            </w:r>
            <w:r w:rsidRPr="00792D61">
              <w:rPr>
                <w:b/>
                <w:lang w:val="de-DE"/>
              </w:rPr>
              <w:t>[</w:t>
            </w:r>
            <w:r w:rsidRPr="00CF2D4A">
              <w:rPr>
                <w:lang w:val="de-DE"/>
              </w:rPr>
              <w:t>jeweiligen</w:t>
            </w:r>
            <w:r w:rsidRPr="00792D61">
              <w:rPr>
                <w:b/>
                <w:lang w:val="de-DE"/>
              </w:rPr>
              <w:t>]</w:t>
            </w:r>
            <w:r w:rsidRPr="00CF2D4A">
              <w:rPr>
                <w:lang w:val="de-DE"/>
              </w:rPr>
              <w:t xml:space="preserve"> Barriere-Beobachtungstag die Barriere </w:t>
            </w:r>
            <w:r w:rsidRPr="00792D61">
              <w:rPr>
                <w:b/>
                <w:lang w:val="de-DE"/>
              </w:rPr>
              <w:t>[</w:t>
            </w:r>
            <w:r w:rsidRPr="002E38FE">
              <w:rPr>
                <w:b/>
                <w:lang w:val="de-DE"/>
              </w:rPr>
              <w:t>überschreitet</w:t>
            </w:r>
            <w:r w:rsidRPr="00792D61">
              <w:rPr>
                <w:b/>
                <w:lang w:val="de-DE"/>
              </w:rPr>
              <w:t>][</w:t>
            </w:r>
            <w:r w:rsidRPr="002E38FE">
              <w:rPr>
                <w:b/>
                <w:lang w:val="de-DE"/>
              </w:rPr>
              <w:t>unterschreitet</w:t>
            </w:r>
            <w:r w:rsidRPr="00792D61">
              <w:rPr>
                <w:b/>
                <w:lang w:val="de-DE"/>
              </w:rPr>
              <w:t>][</w:t>
            </w:r>
            <w:r w:rsidRPr="002E38FE">
              <w:rPr>
                <w:b/>
                <w:lang w:val="de-DE"/>
              </w:rPr>
              <w:t xml:space="preserve"> oder dieser entspricht</w:t>
            </w:r>
            <w:r w:rsidRPr="00792D61">
              <w:rPr>
                <w:b/>
                <w:lang w:val="de-DE"/>
              </w:rPr>
              <w:t>]</w:t>
            </w:r>
            <w:r w:rsidRPr="00CF2D4A">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2E38FE">
            <w:pPr>
              <w:pStyle w:val="CSBody8pt"/>
            </w:pPr>
            <w:r w:rsidRPr="00792D61">
              <w:rPr>
                <w:b/>
              </w:rPr>
              <w:t>[</w:t>
            </w:r>
            <w:r w:rsidRPr="003D6FFA">
              <w:t>Upper Barrier</w:t>
            </w:r>
          </w:p>
        </w:tc>
        <w:tc>
          <w:tcPr>
            <w:tcW w:w="3315" w:type="dxa"/>
            <w:gridSpan w:val="7"/>
            <w:tcBorders>
              <w:top w:val="nil"/>
              <w:left w:val="nil"/>
              <w:bottom w:val="nil"/>
            </w:tcBorders>
            <w:shd w:val="clear" w:color="auto" w:fill="auto"/>
          </w:tcPr>
          <w:p w:rsidR="0017135D" w:rsidP="002E38FE">
            <w:pPr>
              <w:pStyle w:val="CSBody8pt"/>
            </w:pPr>
            <w:r w:rsidRPr="00792D61">
              <w:rPr>
                <w:b/>
              </w:rPr>
              <w:t>[</w:t>
            </w:r>
            <w:r w:rsidRPr="00D869C2">
              <w:rPr>
                <w:rFonts w:ascii="Arial" w:hAnsi="Arial" w:cs="Arial"/>
              </w:rPr>
              <w:t>●</w:t>
            </w:r>
            <w:r w:rsidRPr="00792D61">
              <w:rPr>
                <w:b/>
              </w:rPr>
              <w:t>]</w:t>
            </w:r>
            <w:r w:rsidRPr="00D869C2">
              <w:t>% per annum.</w:t>
            </w:r>
          </w:p>
        </w:tc>
        <w:tc>
          <w:tcPr>
            <w:tcW w:w="1618" w:type="dxa"/>
            <w:gridSpan w:val="2"/>
            <w:tcBorders>
              <w:top w:val="nil"/>
              <w:bottom w:val="nil"/>
              <w:right w:val="nil"/>
            </w:tcBorders>
            <w:shd w:val="clear" w:color="auto" w:fill="auto"/>
          </w:tcPr>
          <w:p w:rsidR="0017135D" w:rsidP="002E38FE">
            <w:pPr>
              <w:pStyle w:val="CSBody8pt"/>
            </w:pPr>
            <w:r w:rsidRPr="00792D61">
              <w:rPr>
                <w:b/>
              </w:rPr>
              <w:t>[</w:t>
            </w:r>
            <w:r w:rsidRPr="00DE13FC">
              <w:t>Obere Barriere</w:t>
            </w:r>
          </w:p>
        </w:tc>
        <w:tc>
          <w:tcPr>
            <w:tcW w:w="3318" w:type="dxa"/>
            <w:gridSpan w:val="10"/>
            <w:tcBorders>
              <w:top w:val="nil"/>
              <w:left w:val="nil"/>
              <w:bottom w:val="nil"/>
              <w:right w:val="nil"/>
            </w:tcBorders>
            <w:shd w:val="clear" w:color="auto" w:fill="auto"/>
          </w:tcPr>
          <w:p w:rsidR="0017135D" w:rsidP="002E38FE">
            <w:pPr>
              <w:pStyle w:val="CSBody8pt"/>
            </w:pPr>
            <w:r w:rsidRPr="00792D61">
              <w:rPr>
                <w:b/>
              </w:rPr>
              <w:t>[</w:t>
            </w:r>
            <w:r w:rsidRPr="003A47D3">
              <w:rPr>
                <w:rFonts w:ascii="Arial" w:hAnsi="Arial" w:cs="Arial"/>
              </w:rPr>
              <w:t>●</w:t>
            </w:r>
            <w:r w:rsidRPr="00792D61">
              <w:rPr>
                <w:b/>
              </w:rPr>
              <w:t>]</w:t>
            </w:r>
            <w:r w:rsidRPr="003A47D3">
              <w:t>% per annum.</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D37CC" w:rsidP="002E38FE">
            <w:pPr>
              <w:pStyle w:val="CSBody8pt"/>
            </w:pPr>
            <w:r w:rsidRPr="00DD37CC">
              <w:t>Lower Barrier</w:t>
            </w:r>
          </w:p>
        </w:tc>
        <w:tc>
          <w:tcPr>
            <w:tcW w:w="3315" w:type="dxa"/>
            <w:gridSpan w:val="7"/>
            <w:tcBorders>
              <w:top w:val="nil"/>
              <w:left w:val="nil"/>
              <w:bottom w:val="nil"/>
            </w:tcBorders>
            <w:shd w:val="clear" w:color="auto" w:fill="auto"/>
          </w:tcPr>
          <w:p w:rsidR="0017135D" w:rsidRPr="00DF417B" w:rsidP="002E38FE">
            <w:pPr>
              <w:pStyle w:val="CSBody8pt"/>
            </w:pPr>
            <w:r w:rsidRPr="00792D61">
              <w:rPr>
                <w:b/>
              </w:rPr>
              <w:t>[</w:t>
            </w:r>
            <w:r w:rsidRPr="002E38FE">
              <w:rPr>
                <w:rFonts w:ascii="Arial" w:hAnsi="Arial" w:cs="Arial"/>
              </w:rPr>
              <w:t>●</w:t>
            </w:r>
            <w:r w:rsidRPr="00792D61">
              <w:rPr>
                <w:b/>
              </w:rPr>
              <w:t>]</w:t>
            </w:r>
            <w:r w:rsidRPr="002E38FE">
              <w:t>% per annum.</w:t>
            </w:r>
          </w:p>
        </w:tc>
        <w:tc>
          <w:tcPr>
            <w:tcW w:w="1618" w:type="dxa"/>
            <w:gridSpan w:val="2"/>
            <w:tcBorders>
              <w:top w:val="nil"/>
              <w:bottom w:val="nil"/>
              <w:right w:val="nil"/>
            </w:tcBorders>
            <w:shd w:val="clear" w:color="auto" w:fill="auto"/>
          </w:tcPr>
          <w:p w:rsidR="0017135D" w:rsidRPr="00297341" w:rsidP="002E38FE">
            <w:pPr>
              <w:pStyle w:val="CSBody8pt"/>
            </w:pPr>
            <w:r w:rsidRPr="00297341">
              <w:t>Untere Barriere</w:t>
            </w:r>
          </w:p>
        </w:tc>
        <w:tc>
          <w:tcPr>
            <w:tcW w:w="3318" w:type="dxa"/>
            <w:gridSpan w:val="10"/>
            <w:tcBorders>
              <w:top w:val="nil"/>
              <w:left w:val="nil"/>
              <w:bottom w:val="nil"/>
              <w:right w:val="nil"/>
            </w:tcBorders>
            <w:shd w:val="clear" w:color="auto" w:fill="auto"/>
          </w:tcPr>
          <w:p w:rsidR="0017135D" w:rsidRPr="00BB52C8" w:rsidP="002E38FE">
            <w:pPr>
              <w:pStyle w:val="CSBody8pt"/>
            </w:pPr>
            <w:r w:rsidRPr="00792D61">
              <w:rPr>
                <w:b/>
              </w:rPr>
              <w:t>[</w:t>
            </w:r>
            <w:r w:rsidRPr="00BB52C8">
              <w:rPr>
                <w:rFonts w:ascii="Arial" w:hAnsi="Arial" w:cs="Arial"/>
              </w:rPr>
              <w:t>●</w:t>
            </w:r>
            <w:r w:rsidRPr="00792D61">
              <w:rPr>
                <w:b/>
              </w:rPr>
              <w:t>]</w:t>
            </w:r>
            <w:r w:rsidRPr="00BB52C8">
              <w:t>% per annum.</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D37CC" w:rsidP="002E38FE">
            <w:pPr>
              <w:pStyle w:val="CSBody8pt"/>
            </w:pPr>
            <w:r w:rsidRPr="00DD37CC">
              <w:t>Upper Barrier Event</w:t>
            </w:r>
          </w:p>
        </w:tc>
        <w:tc>
          <w:tcPr>
            <w:tcW w:w="3315" w:type="dxa"/>
            <w:gridSpan w:val="7"/>
            <w:tcBorders>
              <w:top w:val="nil"/>
              <w:left w:val="nil"/>
              <w:bottom w:val="nil"/>
            </w:tcBorders>
            <w:shd w:val="clear" w:color="auto" w:fill="auto"/>
          </w:tcPr>
          <w:p w:rsidR="0017135D" w:rsidRPr="00DF417B" w:rsidP="002E38FE">
            <w:pPr>
              <w:pStyle w:val="CSBody8pt"/>
            </w:pPr>
            <w:r w:rsidRPr="00DF417B">
              <w:t xml:space="preserve">if </w:t>
            </w:r>
            <w:r w:rsidRPr="00792D61">
              <w:rPr>
                <w:b/>
              </w:rPr>
              <w:t>[</w:t>
            </w:r>
            <w:r w:rsidRPr="002E38FE">
              <w:rPr>
                <w:b/>
                <w:i/>
              </w:rPr>
              <w:t>in the case of Range Accrual Notes, insert:</w:t>
            </w:r>
            <w:r w:rsidRPr="00DF417B">
              <w:t xml:space="preserve"> the Reference Rate</w:t>
            </w:r>
            <w:r w:rsidRPr="00792D61">
              <w:rPr>
                <w:b/>
              </w:rPr>
              <w:t>][</w:t>
            </w:r>
            <w:r w:rsidRPr="002E38FE">
              <w:rPr>
                <w:b/>
                <w:i/>
              </w:rPr>
              <w:t>in the case of Spread Range Accrual Notes, insert:</w:t>
            </w:r>
            <w:r w:rsidRPr="00DF417B">
              <w:t xml:space="preserve"> the Spread Rate</w:t>
            </w:r>
            <w:r w:rsidRPr="00792D61">
              <w:rPr>
                <w:b/>
              </w:rPr>
              <w:t>]</w:t>
            </w:r>
            <w:r w:rsidRPr="00DF417B">
              <w:t xml:space="preserve"> on the </w:t>
            </w:r>
            <w:r w:rsidRPr="00792D61">
              <w:rPr>
                <w:b/>
              </w:rPr>
              <w:t>[</w:t>
            </w:r>
            <w:r w:rsidRPr="00DF417B">
              <w:t>relevant</w:t>
            </w:r>
            <w:r w:rsidRPr="00792D61">
              <w:rPr>
                <w:b/>
              </w:rPr>
              <w:t>]</w:t>
            </w:r>
            <w:r w:rsidRPr="00DF417B">
              <w:t xml:space="preserve"> Barrier Observation Date </w:t>
            </w:r>
            <w:r w:rsidRPr="002E38FE">
              <w:rPr>
                <w:b/>
              </w:rPr>
              <w:t xml:space="preserve">is </w:t>
            </w:r>
            <w:r w:rsidRPr="00792D61">
              <w:rPr>
                <w:b/>
              </w:rPr>
              <w:t>[</w:t>
            </w:r>
            <w:r w:rsidRPr="002E38FE">
              <w:rPr>
                <w:b/>
              </w:rPr>
              <w:t xml:space="preserve">at or </w:t>
            </w:r>
            <w:r w:rsidRPr="00792D61">
              <w:rPr>
                <w:b/>
              </w:rPr>
              <w:t>]</w:t>
            </w:r>
            <w:r w:rsidR="00C2522A">
              <w:rPr>
                <w:b/>
              </w:rPr>
              <w:t>above</w:t>
            </w:r>
            <w:r w:rsidRPr="002E38FE">
              <w:rPr>
                <w:b/>
              </w:rPr>
              <w:t xml:space="preserve"> the </w:t>
            </w:r>
            <w:r w:rsidR="00C2522A">
              <w:rPr>
                <w:b/>
              </w:rPr>
              <w:t>Upper</w:t>
            </w:r>
            <w:r w:rsidRPr="002E38FE">
              <w:rPr>
                <w:b/>
              </w:rPr>
              <w:t xml:space="preserve"> Barrier.</w:t>
            </w:r>
            <w:r w:rsidRPr="00792D61">
              <w:rPr>
                <w:b/>
              </w:rPr>
              <w:t>]</w:t>
            </w:r>
          </w:p>
        </w:tc>
        <w:tc>
          <w:tcPr>
            <w:tcW w:w="1618" w:type="dxa"/>
            <w:gridSpan w:val="2"/>
            <w:tcBorders>
              <w:top w:val="nil"/>
              <w:bottom w:val="nil"/>
              <w:right w:val="nil"/>
            </w:tcBorders>
            <w:shd w:val="clear" w:color="auto" w:fill="auto"/>
          </w:tcPr>
          <w:p w:rsidR="0017135D" w:rsidRPr="00297341" w:rsidP="002E38FE">
            <w:pPr>
              <w:pStyle w:val="CSBody8pt"/>
            </w:pPr>
            <w:r w:rsidRPr="00297341">
              <w:t>Oberes Barriereereignis</w:t>
            </w:r>
          </w:p>
        </w:tc>
        <w:tc>
          <w:tcPr>
            <w:tcW w:w="3318" w:type="dxa"/>
            <w:gridSpan w:val="10"/>
            <w:tcBorders>
              <w:top w:val="nil"/>
              <w:left w:val="nil"/>
              <w:bottom w:val="nil"/>
              <w:right w:val="nil"/>
            </w:tcBorders>
            <w:shd w:val="clear" w:color="auto" w:fill="auto"/>
          </w:tcPr>
          <w:p w:rsidR="0017135D" w:rsidRPr="00CF2D4A" w:rsidP="002E38FE">
            <w:pPr>
              <w:pStyle w:val="CSBody8pt"/>
              <w:rPr>
                <w:lang w:val="de-DE"/>
              </w:rPr>
            </w:pPr>
            <w:r w:rsidRPr="00CF2D4A">
              <w:rPr>
                <w:lang w:val="de-DE"/>
              </w:rPr>
              <w:t xml:space="preserve">wenn </w:t>
            </w:r>
            <w:r w:rsidRPr="00792D61">
              <w:rPr>
                <w:b/>
                <w:lang w:val="de-DE"/>
              </w:rPr>
              <w:t>[</w:t>
            </w:r>
            <w:r w:rsidRPr="002E38FE">
              <w:rPr>
                <w:b/>
                <w:i/>
                <w:lang w:val="de-DE"/>
              </w:rPr>
              <w:t>bei Range Accrual Notes einfügen:</w:t>
            </w:r>
            <w:r w:rsidRPr="00CF2D4A">
              <w:rPr>
                <w:lang w:val="de-DE"/>
              </w:rPr>
              <w:t xml:space="preserve"> der Referenzsatz</w:t>
            </w:r>
            <w:r w:rsidRPr="00792D61">
              <w:rPr>
                <w:b/>
                <w:lang w:val="de-DE"/>
              </w:rPr>
              <w:t>][</w:t>
            </w:r>
            <w:r w:rsidRPr="002E38FE">
              <w:rPr>
                <w:b/>
                <w:i/>
                <w:lang w:val="de-DE"/>
              </w:rPr>
              <w:t>bei Spread Range Accrual Notes einfügen:</w:t>
            </w:r>
            <w:r w:rsidRPr="00CF2D4A">
              <w:rPr>
                <w:lang w:val="de-DE"/>
              </w:rPr>
              <w:t xml:space="preserve"> der Spreadsatz</w:t>
            </w:r>
            <w:r w:rsidRPr="00792D61">
              <w:rPr>
                <w:b/>
                <w:lang w:val="de-DE"/>
              </w:rPr>
              <w:t>]</w:t>
            </w:r>
            <w:r w:rsidRPr="00CF2D4A">
              <w:rPr>
                <w:lang w:val="de-DE"/>
              </w:rPr>
              <w:t xml:space="preserve"> an dem </w:t>
            </w:r>
            <w:r w:rsidRPr="00792D61">
              <w:rPr>
                <w:b/>
                <w:lang w:val="de-DE"/>
              </w:rPr>
              <w:t>[</w:t>
            </w:r>
            <w:r w:rsidRPr="00CF2D4A">
              <w:rPr>
                <w:lang w:val="de-DE"/>
              </w:rPr>
              <w:t>jeweiligen</w:t>
            </w:r>
            <w:r w:rsidRPr="00792D61">
              <w:rPr>
                <w:b/>
                <w:lang w:val="de-DE"/>
              </w:rPr>
              <w:t>]</w:t>
            </w:r>
            <w:r w:rsidRPr="00CF2D4A">
              <w:rPr>
                <w:lang w:val="de-DE"/>
              </w:rPr>
              <w:t xml:space="preserve"> Barriere-Beobachtungstag die Obere Barriere </w:t>
            </w:r>
            <w:r w:rsidRPr="002E38FE">
              <w:rPr>
                <w:b/>
                <w:lang w:val="de-DE"/>
              </w:rPr>
              <w:t>überschreitet</w:t>
            </w:r>
            <w:r w:rsidRPr="00792D61">
              <w:rPr>
                <w:b/>
                <w:lang w:val="de-DE"/>
              </w:rPr>
              <w:t>[</w:t>
            </w:r>
            <w:r w:rsidRPr="002E38FE">
              <w:rPr>
                <w:b/>
                <w:lang w:val="de-DE"/>
              </w:rPr>
              <w:t xml:space="preserve"> oder dieser entspricht</w:t>
            </w:r>
            <w:r w:rsidRPr="00792D61">
              <w:rPr>
                <w:b/>
                <w:lang w:val="de-DE"/>
              </w:rPr>
              <w:t>]</w:t>
            </w:r>
            <w:r w:rsidRPr="00CF2D4A">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D37CC" w:rsidP="002E38FE">
            <w:pPr>
              <w:pStyle w:val="CSBody8pt"/>
            </w:pPr>
            <w:r w:rsidRPr="00DD37CC">
              <w:t>Lower Barrier Event</w:t>
            </w:r>
          </w:p>
        </w:tc>
        <w:tc>
          <w:tcPr>
            <w:tcW w:w="3315" w:type="dxa"/>
            <w:gridSpan w:val="7"/>
            <w:tcBorders>
              <w:top w:val="nil"/>
              <w:left w:val="nil"/>
              <w:bottom w:val="nil"/>
            </w:tcBorders>
            <w:shd w:val="clear" w:color="auto" w:fill="auto"/>
          </w:tcPr>
          <w:p w:rsidR="0017135D" w:rsidRPr="00DF417B" w:rsidP="002E38FE">
            <w:pPr>
              <w:pStyle w:val="CSBody8pt"/>
            </w:pPr>
            <w:r w:rsidRPr="00CF2D4A">
              <w:t xml:space="preserve">if </w:t>
            </w:r>
            <w:r w:rsidRPr="00792D61">
              <w:rPr>
                <w:b/>
              </w:rPr>
              <w:t>[</w:t>
            </w:r>
            <w:r w:rsidRPr="002E38FE">
              <w:rPr>
                <w:b/>
                <w:i/>
              </w:rPr>
              <w:t>in the case of Range Accrual Notes, insert:</w:t>
            </w:r>
            <w:r w:rsidRPr="00CF2D4A">
              <w:t xml:space="preserve"> the Reference Rate</w:t>
            </w:r>
            <w:r w:rsidRPr="00792D61">
              <w:rPr>
                <w:b/>
              </w:rPr>
              <w:t>][</w:t>
            </w:r>
            <w:r w:rsidRPr="00CF2D4A">
              <w:t>in the case of Spread Range Accrual Notes, insert: the Spread Rate</w:t>
            </w:r>
            <w:r w:rsidRPr="00792D61">
              <w:rPr>
                <w:b/>
              </w:rPr>
              <w:t>]</w:t>
            </w:r>
            <w:r w:rsidRPr="00CF2D4A">
              <w:t xml:space="preserve"> on the </w:t>
            </w:r>
            <w:r w:rsidRPr="00792D61">
              <w:rPr>
                <w:b/>
              </w:rPr>
              <w:t>[</w:t>
            </w:r>
            <w:r w:rsidRPr="00CF2D4A">
              <w:t>relevant</w:t>
            </w:r>
            <w:r w:rsidRPr="00792D61">
              <w:rPr>
                <w:b/>
              </w:rPr>
              <w:t>]</w:t>
            </w:r>
            <w:r w:rsidRPr="00CF2D4A">
              <w:t xml:space="preserve"> Barrier Observation Date </w:t>
            </w:r>
            <w:r w:rsidRPr="002E38FE">
              <w:rPr>
                <w:b/>
              </w:rPr>
              <w:t xml:space="preserve">is </w:t>
            </w:r>
            <w:r w:rsidRPr="00792D61">
              <w:rPr>
                <w:b/>
              </w:rPr>
              <w:t>[</w:t>
            </w:r>
            <w:r w:rsidRPr="002E38FE">
              <w:rPr>
                <w:b/>
              </w:rPr>
              <w:t xml:space="preserve">at or </w:t>
            </w:r>
            <w:r w:rsidRPr="00792D61">
              <w:rPr>
                <w:b/>
              </w:rPr>
              <w:t>]</w:t>
            </w:r>
            <w:r w:rsidRPr="002E38FE">
              <w:rPr>
                <w:b/>
              </w:rPr>
              <w:t>below the Lower Barrier.</w:t>
            </w:r>
            <w:r w:rsidRPr="00792D61">
              <w:rPr>
                <w:b/>
              </w:rPr>
              <w:t>]</w:t>
            </w:r>
          </w:p>
        </w:tc>
        <w:tc>
          <w:tcPr>
            <w:tcW w:w="1618" w:type="dxa"/>
            <w:gridSpan w:val="2"/>
            <w:tcBorders>
              <w:top w:val="nil"/>
              <w:bottom w:val="nil"/>
              <w:right w:val="nil"/>
            </w:tcBorders>
            <w:shd w:val="clear" w:color="auto" w:fill="auto"/>
          </w:tcPr>
          <w:p w:rsidR="0017135D" w:rsidRPr="00297341" w:rsidP="002E38FE">
            <w:pPr>
              <w:pStyle w:val="CSBody8pt"/>
            </w:pPr>
            <w:r w:rsidRPr="00297341">
              <w:t>Unteres Barriereereignis</w:t>
            </w:r>
          </w:p>
        </w:tc>
        <w:tc>
          <w:tcPr>
            <w:tcW w:w="3318" w:type="dxa"/>
            <w:gridSpan w:val="10"/>
            <w:tcBorders>
              <w:top w:val="nil"/>
              <w:left w:val="nil"/>
              <w:bottom w:val="nil"/>
              <w:right w:val="nil"/>
            </w:tcBorders>
            <w:shd w:val="clear" w:color="auto" w:fill="auto"/>
          </w:tcPr>
          <w:p w:rsidR="0017135D" w:rsidRPr="00CF2D4A" w:rsidP="002E38FE">
            <w:pPr>
              <w:pStyle w:val="CSBody8pt"/>
              <w:rPr>
                <w:lang w:val="de-DE"/>
              </w:rPr>
            </w:pPr>
            <w:r w:rsidRPr="00EB539B">
              <w:rPr>
                <w:lang w:val="de-DE"/>
              </w:rPr>
              <w:t xml:space="preserve">wenn </w:t>
            </w:r>
            <w:r w:rsidRPr="00792D61">
              <w:rPr>
                <w:b/>
                <w:lang w:val="de-DE"/>
              </w:rPr>
              <w:t>[</w:t>
            </w:r>
            <w:r w:rsidRPr="00EB539B">
              <w:rPr>
                <w:b/>
                <w:i/>
                <w:lang w:val="de-DE"/>
              </w:rPr>
              <w:t>bei Range Accrual Notes einfügen:</w:t>
            </w:r>
            <w:r w:rsidRPr="00EB539B">
              <w:rPr>
                <w:lang w:val="de-DE"/>
              </w:rPr>
              <w:t xml:space="preserve"> der Referenzsatz</w:t>
            </w:r>
            <w:r w:rsidRPr="00792D61">
              <w:rPr>
                <w:b/>
                <w:lang w:val="de-DE"/>
              </w:rPr>
              <w:t>][</w:t>
            </w:r>
            <w:r w:rsidRPr="00EB539B">
              <w:rPr>
                <w:b/>
                <w:i/>
                <w:lang w:val="de-DE"/>
              </w:rPr>
              <w:t>bei Spread Range Accrual Notes einfügen:</w:t>
            </w:r>
            <w:r w:rsidRPr="00EB539B">
              <w:rPr>
                <w:lang w:val="de-DE"/>
              </w:rPr>
              <w:t xml:space="preserve"> der Spreadsatz</w:t>
            </w:r>
            <w:r w:rsidRPr="00792D61">
              <w:rPr>
                <w:b/>
                <w:lang w:val="de-DE"/>
              </w:rPr>
              <w:t>]</w:t>
            </w:r>
            <w:r w:rsidRPr="00EB539B">
              <w:rPr>
                <w:lang w:val="de-DE"/>
              </w:rPr>
              <w:t xml:space="preserve"> an dem </w:t>
            </w:r>
            <w:r w:rsidRPr="00792D61">
              <w:rPr>
                <w:b/>
                <w:lang w:val="de-DE"/>
              </w:rPr>
              <w:t>[</w:t>
            </w:r>
            <w:r w:rsidRPr="00EB539B">
              <w:rPr>
                <w:lang w:val="de-DE"/>
              </w:rPr>
              <w:t>jeweiligen</w:t>
            </w:r>
            <w:r w:rsidRPr="00792D61">
              <w:rPr>
                <w:b/>
                <w:lang w:val="de-DE"/>
              </w:rPr>
              <w:t>]</w:t>
            </w:r>
            <w:r w:rsidRPr="00EB539B">
              <w:rPr>
                <w:lang w:val="de-DE"/>
              </w:rPr>
              <w:t xml:space="preserve"> Barriere-Beobachtungstag die Untere Barriere </w:t>
            </w:r>
            <w:r w:rsidRPr="00EB539B">
              <w:rPr>
                <w:b/>
                <w:lang w:val="de-DE"/>
              </w:rPr>
              <w:t>unterschreitet</w:t>
            </w:r>
            <w:r w:rsidRPr="00792D61">
              <w:rPr>
                <w:b/>
                <w:lang w:val="de-DE"/>
              </w:rPr>
              <w:t>[</w:t>
            </w:r>
            <w:r w:rsidRPr="00EB539B">
              <w:rPr>
                <w:b/>
                <w:lang w:val="de-DE"/>
              </w:rPr>
              <w:t xml:space="preserve"> oder dieser entspricht</w:t>
            </w:r>
            <w:r w:rsidRPr="00792D61">
              <w:rPr>
                <w:b/>
                <w:lang w:val="de-DE"/>
              </w:rPr>
              <w:t>]</w:t>
            </w:r>
            <w:r w:rsidRPr="00EB539B">
              <w:rPr>
                <w:b/>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vMerge w:val="restart"/>
            <w:tcBorders>
              <w:top w:val="nil"/>
              <w:left w:val="nil"/>
              <w:right w:val="nil"/>
            </w:tcBorders>
            <w:shd w:val="clear" w:color="auto" w:fill="auto"/>
          </w:tcPr>
          <w:p w:rsidR="0017135D" w:rsidRPr="00EB539B" w:rsidP="00EB539B">
            <w:pPr>
              <w:pStyle w:val="CSBody8pt"/>
            </w:pPr>
            <w:r w:rsidRPr="00EB539B">
              <w:t>Barrier Observation Date(s)</w:t>
            </w:r>
          </w:p>
        </w:tc>
        <w:tc>
          <w:tcPr>
            <w:tcW w:w="3315" w:type="dxa"/>
            <w:gridSpan w:val="7"/>
            <w:tcBorders>
              <w:top w:val="nil"/>
              <w:left w:val="nil"/>
              <w:bottom w:val="nil"/>
            </w:tcBorders>
            <w:shd w:val="clear" w:color="auto" w:fill="auto"/>
          </w:tcPr>
          <w:p w:rsidR="0017135D" w:rsidRPr="00EB539B" w:rsidP="0094769A">
            <w:pPr>
              <w:pStyle w:val="CSBody8ptbolditalics"/>
            </w:pPr>
            <w:r w:rsidRPr="00792D61">
              <w:t>[</w:t>
            </w:r>
            <w:r w:rsidRPr="00EB539B">
              <w:t>in the case of one or more Barrier Observation Periods, insert:</w:t>
            </w:r>
          </w:p>
        </w:tc>
        <w:tc>
          <w:tcPr>
            <w:tcW w:w="1618" w:type="dxa"/>
            <w:gridSpan w:val="2"/>
            <w:vMerge w:val="restart"/>
            <w:tcBorders>
              <w:top w:val="nil"/>
              <w:right w:val="nil"/>
            </w:tcBorders>
            <w:shd w:val="clear" w:color="auto" w:fill="auto"/>
          </w:tcPr>
          <w:p w:rsidR="0017135D" w:rsidRPr="00EB539B" w:rsidP="00EB539B">
            <w:pPr>
              <w:pStyle w:val="CSBody8pt"/>
            </w:pPr>
            <w:r w:rsidRPr="00EB539B">
              <w:t>Barriere-Beobachtungs-tag(e)</w:t>
            </w:r>
          </w:p>
        </w:tc>
        <w:tc>
          <w:tcPr>
            <w:tcW w:w="3318" w:type="dxa"/>
            <w:gridSpan w:val="10"/>
            <w:tcBorders>
              <w:top w:val="nil"/>
              <w:left w:val="nil"/>
              <w:bottom w:val="nil"/>
              <w:right w:val="nil"/>
            </w:tcBorders>
            <w:shd w:val="clear" w:color="auto" w:fill="auto"/>
          </w:tcPr>
          <w:p w:rsidR="0017135D" w:rsidRPr="00F71807" w:rsidP="00EB539B">
            <w:pPr>
              <w:pStyle w:val="CSBody8ptbolditalics"/>
              <w:rPr>
                <w:lang w:val="de-DE"/>
              </w:rPr>
            </w:pPr>
            <w:r w:rsidRPr="00792D61">
              <w:rPr>
                <w:lang w:val="de-DE"/>
              </w:rPr>
              <w:t>[</w:t>
            </w:r>
            <w:r w:rsidRPr="00F71807">
              <w:rPr>
                <w:lang w:val="de-DE"/>
              </w:rPr>
              <w:t>bei einem oder mehreren Barriere-Beobachtungszeiträumen einfügen:</w:t>
            </w:r>
          </w:p>
        </w:tc>
      </w:tr>
      <w:tr w:rsidTr="004C1EBA">
        <w:tblPrEx>
          <w:tblW w:w="4999" w:type="pct"/>
          <w:tblLayout w:type="fixed"/>
          <w:tblCellMar>
            <w:left w:w="115" w:type="dxa"/>
            <w:right w:w="115" w:type="dxa"/>
          </w:tblCellMar>
          <w:tblLook w:val="04A0"/>
        </w:tblPrEx>
        <w:tc>
          <w:tcPr>
            <w:tcW w:w="1616" w:type="dxa"/>
            <w:gridSpan w:val="4"/>
            <w:vMerge/>
            <w:tcBorders>
              <w:left w:val="nil"/>
              <w:bottom w:val="nil"/>
              <w:right w:val="nil"/>
            </w:tcBorders>
            <w:shd w:val="clear" w:color="auto" w:fill="auto"/>
          </w:tcPr>
          <w:p w:rsidR="0017135D" w:rsidRPr="00F71807" w:rsidP="00EB539B">
            <w:pPr>
              <w:pStyle w:val="CSBody8pt"/>
              <w:rPr>
                <w:lang w:val="de-DE"/>
              </w:rPr>
            </w:pPr>
          </w:p>
        </w:tc>
        <w:tc>
          <w:tcPr>
            <w:tcW w:w="3315" w:type="dxa"/>
            <w:gridSpan w:val="7"/>
            <w:tcBorders>
              <w:top w:val="nil"/>
              <w:left w:val="nil"/>
              <w:bottom w:val="nil"/>
            </w:tcBorders>
            <w:shd w:val="clear" w:color="auto" w:fill="auto"/>
          </w:tcPr>
          <w:p w:rsidR="0017135D" w:rsidRPr="00EB539B" w:rsidP="00EB539B">
            <w:pPr>
              <w:pStyle w:val="CSBody8pt"/>
            </w:pPr>
            <w:r w:rsidRPr="00EB539B">
              <w:t xml:space="preserve">each Reference Rate Business Day during the </w:t>
            </w:r>
            <w:r w:rsidRPr="00792D61">
              <w:rPr>
                <w:b/>
              </w:rPr>
              <w:t>[</w:t>
            </w:r>
            <w:r w:rsidRPr="00EB539B">
              <w:t>relevant</w:t>
            </w:r>
            <w:r w:rsidRPr="00792D61">
              <w:rPr>
                <w:b/>
              </w:rPr>
              <w:t>]</w:t>
            </w:r>
            <w:r w:rsidRPr="00EB539B">
              <w:t xml:space="preserve"> Barrier Observation Period, being the dates on which </w:t>
            </w:r>
            <w:r w:rsidRPr="00792D61">
              <w:rPr>
                <w:b/>
                <w:i/>
              </w:rPr>
              <w:t>[</w:t>
            </w:r>
            <w:r w:rsidRPr="00EB539B">
              <w:rPr>
                <w:b/>
                <w:i/>
              </w:rPr>
              <w:t>in the case of Range Accrual Notes, insert:</w:t>
            </w:r>
            <w:r w:rsidRPr="00EB539B">
              <w:t xml:space="preserve"> the Reference Rate is</w:t>
            </w:r>
            <w:r w:rsidRPr="00792D61">
              <w:rPr>
                <w:b/>
              </w:rPr>
              <w:t>][</w:t>
            </w:r>
            <w:r w:rsidRPr="00D150B1">
              <w:rPr>
                <w:b/>
                <w:i/>
              </w:rPr>
              <w:t>in the case of Spread Range Accrual Notes, insert:</w:t>
            </w:r>
            <w:r w:rsidRPr="00EB539B">
              <w:t xml:space="preserve"> Reference Rate 2 and Reference Rate 3 are</w:t>
            </w:r>
            <w:r w:rsidRPr="00792D61">
              <w:rPr>
                <w:b/>
              </w:rPr>
              <w:t>]</w:t>
            </w:r>
            <w:r w:rsidRPr="00EB539B">
              <w:t xml:space="preserve"> observed for purposes of determining whether </w:t>
            </w:r>
            <w:r w:rsidRPr="00792D61">
              <w:rPr>
                <w:b/>
              </w:rPr>
              <w:t>[</w:t>
            </w:r>
            <w:r w:rsidRPr="00EB539B">
              <w:t>a Barrier Event</w:t>
            </w:r>
            <w:r w:rsidRPr="00792D61">
              <w:rPr>
                <w:b/>
              </w:rPr>
              <w:t>][</w:t>
            </w:r>
            <w:r w:rsidRPr="00EB539B">
              <w:t>an Upper Barrier Event or Lower Barrier Event</w:t>
            </w:r>
            <w:r w:rsidRPr="00792D61">
              <w:rPr>
                <w:b/>
              </w:rPr>
              <w:t>]</w:t>
            </w:r>
            <w:r w:rsidRPr="00EB539B">
              <w:t xml:space="preserve"> has occurred.</w:t>
            </w:r>
            <w:r w:rsidRPr="00792D61">
              <w:rPr>
                <w:b/>
              </w:rPr>
              <w:t>]</w:t>
            </w:r>
          </w:p>
        </w:tc>
        <w:tc>
          <w:tcPr>
            <w:tcW w:w="1618" w:type="dxa"/>
            <w:gridSpan w:val="2"/>
            <w:vMerge/>
            <w:tcBorders>
              <w:bottom w:val="nil"/>
              <w:right w:val="nil"/>
            </w:tcBorders>
            <w:shd w:val="clear" w:color="auto" w:fill="auto"/>
          </w:tcPr>
          <w:p w:rsidR="0017135D" w:rsidRPr="00EB539B" w:rsidP="00EB539B">
            <w:pPr>
              <w:pStyle w:val="CSBody8pt"/>
            </w:pPr>
          </w:p>
        </w:tc>
        <w:tc>
          <w:tcPr>
            <w:tcW w:w="3318" w:type="dxa"/>
            <w:gridSpan w:val="10"/>
            <w:tcBorders>
              <w:top w:val="nil"/>
              <w:left w:val="nil"/>
              <w:bottom w:val="nil"/>
              <w:right w:val="nil"/>
            </w:tcBorders>
            <w:shd w:val="clear" w:color="auto" w:fill="auto"/>
          </w:tcPr>
          <w:p w:rsidR="0017135D" w:rsidRPr="00F71807" w:rsidP="00EB539B">
            <w:pPr>
              <w:pStyle w:val="CSBody8pt"/>
              <w:rPr>
                <w:lang w:val="de-DE"/>
              </w:rPr>
            </w:pPr>
            <w:r w:rsidRPr="00F71807">
              <w:rPr>
                <w:lang w:val="de-DE"/>
              </w:rPr>
              <w:t xml:space="preserve">jeder Referenzsatz-Geschäftstag während des </w:t>
            </w:r>
            <w:r w:rsidRPr="00792D61">
              <w:rPr>
                <w:b/>
                <w:lang w:val="de-DE"/>
              </w:rPr>
              <w:t>[</w:t>
            </w:r>
            <w:r w:rsidRPr="00F71807">
              <w:rPr>
                <w:lang w:val="de-DE"/>
              </w:rPr>
              <w:t>jeweiligen</w:t>
            </w:r>
            <w:r w:rsidRPr="00792D61">
              <w:rPr>
                <w:b/>
                <w:lang w:val="de-DE"/>
              </w:rPr>
              <w:t>]</w:t>
            </w:r>
            <w:r w:rsidRPr="00F71807">
              <w:rPr>
                <w:lang w:val="de-DE"/>
              </w:rPr>
              <w:t xml:space="preserve"> Barriere-Beobachtungszeitraums; an diesen Tagen </w:t>
            </w:r>
            <w:r w:rsidRPr="00792D61">
              <w:rPr>
                <w:b/>
                <w:lang w:val="de-DE"/>
              </w:rPr>
              <w:t>[</w:t>
            </w:r>
            <w:r w:rsidRPr="00D150B1">
              <w:rPr>
                <w:b/>
                <w:i/>
                <w:lang w:val="de-DE"/>
              </w:rPr>
              <w:t>bei Range Accrual Notes einfügen:</w:t>
            </w:r>
            <w:r w:rsidRPr="00F71807">
              <w:rPr>
                <w:lang w:val="de-DE"/>
              </w:rPr>
              <w:t xml:space="preserve"> wird der Referenzsatz</w:t>
            </w:r>
            <w:r w:rsidRPr="00792D61">
              <w:rPr>
                <w:b/>
                <w:lang w:val="de-DE"/>
              </w:rPr>
              <w:t>][</w:t>
            </w:r>
            <w:r w:rsidRPr="00F71807">
              <w:rPr>
                <w:b/>
                <w:i/>
                <w:lang w:val="de-DE"/>
              </w:rPr>
              <w:t>bei Spread Range Accrual Notes einfügen:</w:t>
            </w:r>
            <w:r w:rsidRPr="00F71807">
              <w:rPr>
                <w:lang w:val="de-DE"/>
              </w:rPr>
              <w:t xml:space="preserve"> werden der Referenzsatz 2 und der Referenzsatz 3</w:t>
            </w:r>
            <w:r w:rsidRPr="00792D61">
              <w:rPr>
                <w:b/>
                <w:lang w:val="de-DE"/>
              </w:rPr>
              <w:t>]</w:t>
            </w:r>
            <w:r w:rsidRPr="00F71807">
              <w:rPr>
                <w:lang w:val="de-DE"/>
              </w:rPr>
              <w:t xml:space="preserve"> beobachtet, um festzustellen, ob </w:t>
            </w:r>
            <w:r w:rsidRPr="00792D61">
              <w:rPr>
                <w:b/>
                <w:lang w:val="de-DE"/>
              </w:rPr>
              <w:t>[</w:t>
            </w:r>
            <w:r w:rsidRPr="00F71807">
              <w:rPr>
                <w:lang w:val="de-DE"/>
              </w:rPr>
              <w:t>ein Barriereereignis</w:t>
            </w:r>
            <w:r w:rsidRPr="00792D61">
              <w:rPr>
                <w:b/>
                <w:lang w:val="de-DE"/>
              </w:rPr>
              <w:t>][</w:t>
            </w:r>
            <w:r w:rsidRPr="00F71807">
              <w:rPr>
                <w:lang w:val="de-DE"/>
              </w:rPr>
              <w:t>ein Oberes Barriereereignis oder ein Unteres Barriereereignis</w:t>
            </w:r>
            <w:r w:rsidRPr="00792D61">
              <w:rPr>
                <w:b/>
                <w:lang w:val="de-DE"/>
              </w:rPr>
              <w:t>]</w:t>
            </w:r>
            <w:r w:rsidRPr="00F71807">
              <w:rPr>
                <w:lang w:val="de-DE"/>
              </w:rPr>
              <w:t xml:space="preserve"> eingetreten ist.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F2D4A" w:rsidP="00EB539B">
            <w:pPr>
              <w:pStyle w:val="CSBody8ptbolditalics"/>
              <w:rPr>
                <w:lang w:val="de-DE"/>
              </w:rPr>
            </w:pPr>
          </w:p>
        </w:tc>
        <w:tc>
          <w:tcPr>
            <w:tcW w:w="3315" w:type="dxa"/>
            <w:gridSpan w:val="7"/>
            <w:tcBorders>
              <w:top w:val="nil"/>
              <w:left w:val="nil"/>
              <w:bottom w:val="nil"/>
            </w:tcBorders>
            <w:shd w:val="clear" w:color="auto" w:fill="auto"/>
          </w:tcPr>
          <w:p w:rsidR="0017135D" w:rsidRPr="008C1A2E" w:rsidP="00EB539B">
            <w:pPr>
              <w:pStyle w:val="CSBody8ptbolditalics"/>
            </w:pPr>
            <w:r w:rsidRPr="00792D61">
              <w:t>[</w:t>
            </w:r>
            <w:r w:rsidRPr="008C1A2E">
              <w:t>in the case of no Barrier Observation Periods, insert:</w:t>
            </w:r>
          </w:p>
        </w:tc>
        <w:tc>
          <w:tcPr>
            <w:tcW w:w="1618" w:type="dxa"/>
            <w:gridSpan w:val="2"/>
            <w:tcBorders>
              <w:top w:val="nil"/>
              <w:bottom w:val="nil"/>
              <w:right w:val="nil"/>
            </w:tcBorders>
            <w:shd w:val="clear" w:color="auto" w:fill="auto"/>
          </w:tcPr>
          <w:p w:rsidR="0017135D" w:rsidRPr="00CF2D4A" w:rsidP="00EB539B">
            <w:pPr>
              <w:pStyle w:val="CSBody8ptbolditalics"/>
            </w:pPr>
          </w:p>
        </w:tc>
        <w:tc>
          <w:tcPr>
            <w:tcW w:w="3318" w:type="dxa"/>
            <w:gridSpan w:val="10"/>
            <w:tcBorders>
              <w:top w:val="nil"/>
              <w:left w:val="nil"/>
              <w:bottom w:val="nil"/>
              <w:right w:val="nil"/>
            </w:tcBorders>
            <w:shd w:val="clear" w:color="auto" w:fill="auto"/>
          </w:tcPr>
          <w:p w:rsidR="0017135D" w:rsidRPr="00CF2D4A" w:rsidP="00EB539B">
            <w:pPr>
              <w:pStyle w:val="CSBody8ptbolditalics"/>
              <w:rPr>
                <w:lang w:val="de-DE"/>
              </w:rPr>
            </w:pPr>
            <w:r w:rsidRPr="00792D61">
              <w:rPr>
                <w:lang w:val="de-DE"/>
              </w:rPr>
              <w:t>[</w:t>
            </w:r>
            <w:r w:rsidRPr="00CF2D4A">
              <w:rPr>
                <w:lang w:val="de-DE"/>
              </w:rPr>
              <w:t>wenn keine Barriere-Beobachtungszeiträume vorgesehen sind,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F2D4A" w:rsidP="00EB539B">
            <w:pPr>
              <w:pStyle w:val="CSBody8pt"/>
              <w:rPr>
                <w:b/>
                <w:lang w:val="de-DE"/>
              </w:rPr>
            </w:pPr>
          </w:p>
        </w:tc>
        <w:tc>
          <w:tcPr>
            <w:tcW w:w="3315" w:type="dxa"/>
            <w:gridSpan w:val="7"/>
            <w:tcBorders>
              <w:top w:val="nil"/>
              <w:left w:val="nil"/>
              <w:bottom w:val="nil"/>
            </w:tcBorders>
            <w:shd w:val="clear" w:color="auto" w:fill="auto"/>
          </w:tcPr>
          <w:p w:rsidR="0017135D" w:rsidRPr="008C1A2E" w:rsidP="00EB539B">
            <w:pPr>
              <w:pStyle w:val="CSBody8pt"/>
            </w:pPr>
            <w:r w:rsidRPr="00792D61">
              <w:rPr>
                <w:b/>
              </w:rPr>
              <w:t>[</w:t>
            </w:r>
            <w:r w:rsidRPr="00EB539B">
              <w:rPr>
                <w:b/>
                <w:i/>
              </w:rPr>
              <w:t>in the case of one Interest Payment Date, insert:</w:t>
            </w:r>
            <w:r w:rsidRPr="008C1A2E">
              <w:t xml:space="preserve"> </w:t>
            </w:r>
            <w:r w:rsidRPr="00792D61">
              <w:rPr>
                <w:b/>
              </w:rPr>
              <w:t>[</w:t>
            </w:r>
            <w:r w:rsidRPr="008C1A2E">
              <w:rPr>
                <w:rFonts w:ascii="Arial" w:hAnsi="Arial" w:cs="Arial"/>
              </w:rPr>
              <w:t>●</w:t>
            </w:r>
            <w:r w:rsidRPr="00792D61">
              <w:rPr>
                <w:b/>
              </w:rPr>
              <w:t>]</w:t>
            </w:r>
            <w:r w:rsidRPr="008C1A2E">
              <w:t xml:space="preserve">, being the date on which </w:t>
            </w:r>
            <w:r w:rsidRPr="00792D61">
              <w:rPr>
                <w:b/>
              </w:rPr>
              <w:t>[</w:t>
            </w:r>
            <w:r w:rsidRPr="00EB539B">
              <w:rPr>
                <w:b/>
                <w:i/>
              </w:rPr>
              <w:t>in the case of Range Accrual Notes, insert:</w:t>
            </w:r>
            <w:r w:rsidRPr="008C1A2E">
              <w:t xml:space="preserve"> the Reference Rate is</w:t>
            </w:r>
            <w:r w:rsidRPr="00792D61">
              <w:rPr>
                <w:b/>
              </w:rPr>
              <w:t>][</w:t>
            </w:r>
            <w:r w:rsidRPr="00D150B1">
              <w:rPr>
                <w:b/>
                <w:i/>
              </w:rPr>
              <w:t>in the case of Spread Range Accrual Notes, insert:</w:t>
            </w:r>
            <w:r w:rsidRPr="008C1A2E">
              <w:t xml:space="preserve"> Reference Rate 2 and Reference Rate 3 are</w:t>
            </w:r>
            <w:r w:rsidRPr="00792D61">
              <w:rPr>
                <w:b/>
              </w:rPr>
              <w:t>]</w:t>
            </w:r>
            <w:r w:rsidRPr="008C1A2E">
              <w:t xml:space="preserve"> observed for purposes of determining whether </w:t>
            </w:r>
            <w:r w:rsidRPr="00792D61">
              <w:rPr>
                <w:b/>
              </w:rPr>
              <w:t>[</w:t>
            </w:r>
            <w:r w:rsidRPr="008C1A2E">
              <w:t>a Barrier Event</w:t>
            </w:r>
            <w:r w:rsidRPr="00792D61">
              <w:rPr>
                <w:b/>
              </w:rPr>
              <w:t>][</w:t>
            </w:r>
            <w:r w:rsidRPr="008C1A2E">
              <w:t>an Upper Barrier Event or Lower Barrier Event</w:t>
            </w:r>
            <w:r w:rsidRPr="00792D61">
              <w:rPr>
                <w:b/>
              </w:rPr>
              <w:t>]</w:t>
            </w:r>
            <w:r w:rsidRPr="008C1A2E">
              <w:t xml:space="preserve"> has occurred.</w:t>
            </w:r>
            <w:r w:rsidRPr="00792D61">
              <w:rPr>
                <w:b/>
              </w:rPr>
              <w:t>]</w:t>
            </w:r>
          </w:p>
        </w:tc>
        <w:tc>
          <w:tcPr>
            <w:tcW w:w="1618" w:type="dxa"/>
            <w:gridSpan w:val="2"/>
            <w:tcBorders>
              <w:top w:val="nil"/>
              <w:bottom w:val="nil"/>
              <w:right w:val="nil"/>
            </w:tcBorders>
            <w:shd w:val="clear" w:color="auto" w:fill="auto"/>
          </w:tcPr>
          <w:p w:rsidR="0017135D" w:rsidRPr="00CF2D4A" w:rsidP="00EB539B">
            <w:pPr>
              <w:pStyle w:val="CSBody8pt"/>
              <w:rPr>
                <w:b/>
                <w:i/>
              </w:rPr>
            </w:pPr>
          </w:p>
        </w:tc>
        <w:tc>
          <w:tcPr>
            <w:tcW w:w="3318" w:type="dxa"/>
            <w:gridSpan w:val="10"/>
            <w:tcBorders>
              <w:top w:val="nil"/>
              <w:left w:val="nil"/>
              <w:bottom w:val="nil"/>
              <w:right w:val="nil"/>
            </w:tcBorders>
            <w:shd w:val="clear" w:color="auto" w:fill="auto"/>
          </w:tcPr>
          <w:p w:rsidR="0017135D" w:rsidRPr="00CF2D4A" w:rsidP="00EB539B">
            <w:pPr>
              <w:pStyle w:val="CSBody8pt"/>
              <w:rPr>
                <w:lang w:val="de-DE"/>
              </w:rPr>
            </w:pPr>
            <w:r w:rsidRPr="00792D61">
              <w:rPr>
                <w:b/>
                <w:lang w:val="de-DE"/>
              </w:rPr>
              <w:t>[</w:t>
            </w:r>
            <w:r w:rsidRPr="00EB539B">
              <w:rPr>
                <w:b/>
                <w:i/>
                <w:lang w:val="de-DE"/>
              </w:rPr>
              <w:t xml:space="preserve">bei nur einem Zinszahlungstag einfügen: </w:t>
            </w:r>
            <w:r w:rsidRPr="00792D61">
              <w:rPr>
                <w:b/>
                <w:lang w:val="de-DE"/>
              </w:rPr>
              <w:t>[</w:t>
            </w:r>
            <w:r w:rsidRPr="00CF2D4A">
              <w:rPr>
                <w:rFonts w:ascii="Arial" w:hAnsi="Arial" w:cs="Arial"/>
                <w:lang w:val="de-DE"/>
              </w:rPr>
              <w:t>●</w:t>
            </w:r>
            <w:r w:rsidRPr="00792D61">
              <w:rPr>
                <w:b/>
                <w:lang w:val="de-DE"/>
              </w:rPr>
              <w:t>]</w:t>
            </w:r>
            <w:r w:rsidRPr="00CF2D4A">
              <w:rPr>
                <w:lang w:val="de-DE"/>
              </w:rPr>
              <w:t xml:space="preserve">; an diesem Tag </w:t>
            </w:r>
            <w:r w:rsidRPr="00792D61">
              <w:rPr>
                <w:b/>
                <w:lang w:val="de-DE"/>
              </w:rPr>
              <w:t>[</w:t>
            </w:r>
            <w:r w:rsidRPr="00D150B1">
              <w:rPr>
                <w:b/>
                <w:i/>
                <w:lang w:val="de-DE"/>
              </w:rPr>
              <w:t>bei Range Accrual Notes einf</w:t>
            </w:r>
            <w:r w:rsidRPr="00D150B1">
              <w:rPr>
                <w:rFonts w:cs="Credit Suisse Type Light"/>
                <w:b/>
                <w:i/>
                <w:lang w:val="de-DE"/>
              </w:rPr>
              <w:t>ü</w:t>
            </w:r>
            <w:r w:rsidRPr="00D150B1">
              <w:rPr>
                <w:b/>
                <w:i/>
                <w:lang w:val="de-DE"/>
              </w:rPr>
              <w:t>gen:</w:t>
            </w:r>
            <w:r w:rsidRPr="00CF2D4A">
              <w:rPr>
                <w:lang w:val="de-DE"/>
              </w:rPr>
              <w:t xml:space="preserve"> wird der Referenzsatz</w:t>
            </w:r>
            <w:r w:rsidRPr="00792D61">
              <w:rPr>
                <w:b/>
                <w:lang w:val="de-DE"/>
              </w:rPr>
              <w:t>][</w:t>
            </w:r>
            <w:r w:rsidRPr="00EB539B">
              <w:rPr>
                <w:b/>
                <w:i/>
                <w:lang w:val="de-DE"/>
              </w:rPr>
              <w:t>bei Spread Range Accrual Notes einf</w:t>
            </w:r>
            <w:r w:rsidRPr="00EB539B">
              <w:rPr>
                <w:rFonts w:cs="Credit Suisse Type Light"/>
                <w:b/>
                <w:i/>
                <w:lang w:val="de-DE"/>
              </w:rPr>
              <w:t>ü</w:t>
            </w:r>
            <w:r w:rsidRPr="00EB539B">
              <w:rPr>
                <w:b/>
                <w:i/>
                <w:lang w:val="de-DE"/>
              </w:rPr>
              <w:t>gen:</w:t>
            </w:r>
            <w:r w:rsidRPr="00CF2D4A">
              <w:rPr>
                <w:lang w:val="de-DE"/>
              </w:rPr>
              <w:t xml:space="preserve"> werden der Referenzsatz 2 und der Referenzsatz 3</w:t>
            </w:r>
            <w:r w:rsidRPr="00792D61">
              <w:rPr>
                <w:b/>
                <w:lang w:val="de-DE"/>
              </w:rPr>
              <w:t>]</w:t>
            </w:r>
            <w:r w:rsidRPr="00CF2D4A">
              <w:rPr>
                <w:lang w:val="de-DE"/>
              </w:rPr>
              <w:t xml:space="preserve"> beobachtet, um festzustellen, ob </w:t>
            </w:r>
            <w:r w:rsidRPr="00792D61">
              <w:rPr>
                <w:b/>
                <w:lang w:val="de-DE"/>
              </w:rPr>
              <w:t>[</w:t>
            </w:r>
            <w:r w:rsidRPr="00CF2D4A">
              <w:rPr>
                <w:lang w:val="de-DE"/>
              </w:rPr>
              <w:t>ein Barriereereignis</w:t>
            </w:r>
            <w:r w:rsidRPr="00792D61">
              <w:rPr>
                <w:b/>
                <w:lang w:val="de-DE"/>
              </w:rPr>
              <w:t>][</w:t>
            </w:r>
            <w:r w:rsidRPr="00CF2D4A">
              <w:rPr>
                <w:lang w:val="de-DE"/>
              </w:rPr>
              <w:t>ein Oberes Barriereereignis oder ein Unteres Barriereereignis</w:t>
            </w:r>
            <w:r w:rsidRPr="00792D61">
              <w:rPr>
                <w:b/>
                <w:lang w:val="de-DE"/>
              </w:rPr>
              <w:t>]</w:t>
            </w:r>
            <w:r w:rsidRPr="00CF2D4A">
              <w:rPr>
                <w:lang w:val="de-DE"/>
              </w:rPr>
              <w:t xml:space="preserve"> eingetreten ist.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F2D4A" w:rsidP="00EB539B">
            <w:pPr>
              <w:pStyle w:val="CSBody8pt"/>
              <w:rPr>
                <w:lang w:val="de-DE"/>
              </w:rPr>
            </w:pPr>
          </w:p>
        </w:tc>
        <w:tc>
          <w:tcPr>
            <w:tcW w:w="3315" w:type="dxa"/>
            <w:gridSpan w:val="7"/>
            <w:tcBorders>
              <w:top w:val="nil"/>
              <w:left w:val="nil"/>
              <w:bottom w:val="nil"/>
            </w:tcBorders>
            <w:shd w:val="clear" w:color="auto" w:fill="auto"/>
          </w:tcPr>
          <w:p w:rsidR="0017135D" w:rsidP="00EB539B">
            <w:pPr>
              <w:pStyle w:val="CSBody8pt"/>
            </w:pPr>
            <w:r w:rsidRPr="00792D61">
              <w:rPr>
                <w:b/>
              </w:rPr>
              <w:t>[</w:t>
            </w:r>
            <w:r w:rsidRPr="00EB539B">
              <w:rPr>
                <w:b/>
                <w:i/>
              </w:rPr>
              <w:t>in the case of multiple Interest Payment Dates, insert:</w:t>
            </w:r>
            <w:r w:rsidRPr="008C1A2E">
              <w:t xml:space="preserve"> with respect to any Interest Payment Date, the relevant Barrier Observation Date specified in the table below, being the date on which </w:t>
            </w:r>
            <w:r w:rsidRPr="00792D61">
              <w:rPr>
                <w:b/>
              </w:rPr>
              <w:t>[</w:t>
            </w:r>
            <w:r w:rsidRPr="00D150B1">
              <w:rPr>
                <w:b/>
                <w:i/>
              </w:rPr>
              <w:t>in the case of Range Accrual Notes, insert:</w:t>
            </w:r>
            <w:r w:rsidRPr="008C1A2E">
              <w:t xml:space="preserve"> the Reference Rate is</w:t>
            </w:r>
            <w:r w:rsidRPr="00792D61">
              <w:rPr>
                <w:b/>
              </w:rPr>
              <w:t>][</w:t>
            </w:r>
            <w:r w:rsidRPr="00EB539B">
              <w:rPr>
                <w:b/>
                <w:i/>
              </w:rPr>
              <w:t xml:space="preserve">in the case of Spread Range Accrual Notes, insert: </w:t>
            </w:r>
            <w:r w:rsidRPr="008C1A2E">
              <w:t>Reference Rate 2 and Reference Rate 3 are</w:t>
            </w:r>
            <w:r w:rsidRPr="00792D61">
              <w:rPr>
                <w:b/>
              </w:rPr>
              <w:t>]</w:t>
            </w:r>
            <w:r w:rsidRPr="008C1A2E">
              <w:t xml:space="preserve"> observed for purposes of determining whether </w:t>
            </w:r>
            <w:r w:rsidRPr="00792D61">
              <w:rPr>
                <w:b/>
              </w:rPr>
              <w:t>[</w:t>
            </w:r>
            <w:r w:rsidRPr="008C1A2E">
              <w:t>a Barrier Event</w:t>
            </w:r>
            <w:r w:rsidRPr="00792D61">
              <w:rPr>
                <w:b/>
              </w:rPr>
              <w:t>][</w:t>
            </w:r>
            <w:r w:rsidRPr="008C1A2E">
              <w:t>an Upper Barrier Event or Lower Barrier Event</w:t>
            </w:r>
            <w:r w:rsidRPr="00792D61">
              <w:rPr>
                <w:b/>
              </w:rPr>
              <w:t>]</w:t>
            </w:r>
            <w:r w:rsidRPr="008C1A2E">
              <w:t xml:space="preserve"> has occurred.</w:t>
            </w:r>
            <w:r w:rsidRPr="00792D61">
              <w:rPr>
                <w:b/>
              </w:rPr>
              <w:t>]]</w:t>
            </w:r>
          </w:p>
        </w:tc>
        <w:tc>
          <w:tcPr>
            <w:tcW w:w="1618" w:type="dxa"/>
            <w:gridSpan w:val="2"/>
            <w:tcBorders>
              <w:top w:val="nil"/>
              <w:bottom w:val="nil"/>
              <w:right w:val="nil"/>
            </w:tcBorders>
            <w:shd w:val="clear" w:color="auto" w:fill="auto"/>
          </w:tcPr>
          <w:p w:rsidR="0017135D" w:rsidRPr="00CF2D4A" w:rsidP="00EB539B">
            <w:pPr>
              <w:pStyle w:val="CSBody8pt"/>
              <w:rPr>
                <w:i/>
              </w:rPr>
            </w:pPr>
          </w:p>
        </w:tc>
        <w:tc>
          <w:tcPr>
            <w:tcW w:w="3318" w:type="dxa"/>
            <w:gridSpan w:val="10"/>
            <w:tcBorders>
              <w:top w:val="nil"/>
              <w:left w:val="nil"/>
              <w:bottom w:val="nil"/>
              <w:right w:val="nil"/>
            </w:tcBorders>
            <w:shd w:val="clear" w:color="auto" w:fill="auto"/>
          </w:tcPr>
          <w:p w:rsidR="0017135D" w:rsidRPr="00CF2D4A" w:rsidP="0094769A">
            <w:pPr>
              <w:pStyle w:val="CSBody8pt"/>
              <w:rPr>
                <w:lang w:val="de-DE"/>
              </w:rPr>
            </w:pPr>
            <w:r w:rsidRPr="00792D61">
              <w:rPr>
                <w:b/>
                <w:lang w:val="de-DE"/>
              </w:rPr>
              <w:t>[</w:t>
            </w:r>
            <w:r w:rsidRPr="00EB539B">
              <w:rPr>
                <w:b/>
                <w:i/>
                <w:lang w:val="de-DE"/>
              </w:rPr>
              <w:t>bei mehreren Zinszahlungstagen einfügen:</w:t>
            </w:r>
            <w:r w:rsidRPr="00CF2D4A">
              <w:rPr>
                <w:lang w:val="de-DE"/>
              </w:rPr>
              <w:t xml:space="preserve"> in Bezug auf einen Zinszahlungstag der jeweilige Barriere-Beobachtungstag wie in untenstehender Tabelle angegeben; an diesem Tag </w:t>
            </w:r>
            <w:r w:rsidRPr="00792D61">
              <w:rPr>
                <w:b/>
                <w:lang w:val="de-DE"/>
              </w:rPr>
              <w:t>[</w:t>
            </w:r>
            <w:r w:rsidRPr="00D150B1">
              <w:rPr>
                <w:b/>
                <w:i/>
                <w:lang w:val="de-DE"/>
              </w:rPr>
              <w:t>bei Range Accrual Notes einfügen:</w:t>
            </w:r>
            <w:r w:rsidRPr="00CF2D4A">
              <w:rPr>
                <w:lang w:val="de-DE"/>
              </w:rPr>
              <w:t xml:space="preserve"> wird der Referenzsatz</w:t>
            </w:r>
            <w:r w:rsidRPr="00792D61">
              <w:rPr>
                <w:b/>
                <w:lang w:val="de-DE"/>
              </w:rPr>
              <w:t>][</w:t>
            </w:r>
            <w:r w:rsidRPr="00CF2D4A">
              <w:rPr>
                <w:lang w:val="de-DE"/>
              </w:rPr>
              <w:t>b</w:t>
            </w:r>
            <w:r w:rsidRPr="00EB539B">
              <w:rPr>
                <w:b/>
                <w:i/>
                <w:lang w:val="de-DE"/>
              </w:rPr>
              <w:t>ei Spread Range Accrual Notes einfügen:</w:t>
            </w:r>
            <w:r w:rsidRPr="00CF2D4A">
              <w:rPr>
                <w:lang w:val="de-DE"/>
              </w:rPr>
              <w:t xml:space="preserve"> werden der Referenzsatz 2 und der Referenzsatz 3</w:t>
            </w:r>
            <w:r w:rsidRPr="00792D61">
              <w:rPr>
                <w:b/>
                <w:lang w:val="de-DE"/>
              </w:rPr>
              <w:t>]</w:t>
            </w:r>
            <w:r w:rsidRPr="00CF2D4A">
              <w:rPr>
                <w:lang w:val="de-DE"/>
              </w:rPr>
              <w:t xml:space="preserve"> beobachtet, um festzustellen, ob </w:t>
            </w:r>
            <w:r w:rsidRPr="00792D61">
              <w:rPr>
                <w:b/>
                <w:lang w:val="de-DE"/>
              </w:rPr>
              <w:t>[</w:t>
            </w:r>
            <w:r w:rsidRPr="00CF2D4A">
              <w:rPr>
                <w:lang w:val="de-DE"/>
              </w:rPr>
              <w:t>ein Barriereereignis</w:t>
            </w:r>
            <w:r w:rsidRPr="00792D61">
              <w:rPr>
                <w:b/>
                <w:lang w:val="de-DE"/>
              </w:rPr>
              <w:t>][</w:t>
            </w:r>
            <w:r w:rsidRPr="00CF2D4A">
              <w:rPr>
                <w:lang w:val="de-DE"/>
              </w:rPr>
              <w:t>ein Oberes Barriereereignis oder ein Unteres Barriereereignis</w:t>
            </w:r>
            <w:r w:rsidRPr="00792D61">
              <w:rPr>
                <w:b/>
                <w:lang w:val="de-DE"/>
              </w:rPr>
              <w:t>]</w:t>
            </w:r>
            <w:r w:rsidRPr="00CF2D4A">
              <w:rPr>
                <w:lang w:val="de-DE"/>
              </w:rPr>
              <w:t xml:space="preserve"> eingetreten ist.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EB539B">
            <w:pPr>
              <w:pStyle w:val="CSBody8pt"/>
              <w:rPr>
                <w:lang w:val="de-DE"/>
              </w:rPr>
            </w:pPr>
          </w:p>
        </w:tc>
        <w:tc>
          <w:tcPr>
            <w:tcW w:w="3315" w:type="dxa"/>
            <w:gridSpan w:val="7"/>
            <w:tcBorders>
              <w:top w:val="nil"/>
              <w:left w:val="nil"/>
              <w:bottom w:val="nil"/>
              <w:right w:val="nil"/>
            </w:tcBorders>
            <w:shd w:val="clear" w:color="auto" w:fill="auto"/>
          </w:tcPr>
          <w:p w:rsidR="0017135D" w:rsidRPr="00BD7132" w:rsidP="00EB539B">
            <w:pPr>
              <w:pStyle w:val="CSBody8pt"/>
              <w:rPr>
                <w:lang w:val="de-DE"/>
              </w:rPr>
            </w:pPr>
          </w:p>
        </w:tc>
        <w:tc>
          <w:tcPr>
            <w:tcW w:w="1618" w:type="dxa"/>
            <w:gridSpan w:val="2"/>
            <w:tcBorders>
              <w:top w:val="nil"/>
              <w:left w:val="nil"/>
              <w:bottom w:val="nil"/>
              <w:right w:val="nil"/>
            </w:tcBorders>
            <w:shd w:val="clear" w:color="auto" w:fill="auto"/>
          </w:tcPr>
          <w:p w:rsidR="0017135D" w:rsidRPr="00BD7132" w:rsidP="00EB539B">
            <w:pPr>
              <w:pStyle w:val="CSBody8pt"/>
              <w:rPr>
                <w:i/>
                <w:lang w:val="de-DE"/>
              </w:rPr>
            </w:pPr>
          </w:p>
        </w:tc>
        <w:tc>
          <w:tcPr>
            <w:tcW w:w="3318" w:type="dxa"/>
            <w:gridSpan w:val="10"/>
            <w:tcBorders>
              <w:top w:val="nil"/>
              <w:left w:val="nil"/>
              <w:bottom w:val="nil"/>
              <w:right w:val="nil"/>
            </w:tcBorders>
            <w:shd w:val="clear" w:color="auto" w:fill="auto"/>
          </w:tcPr>
          <w:p w:rsidR="0017135D" w:rsidRPr="00BD7132" w:rsidP="00EB539B">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B539B">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t>Interest Payment Date</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t>Barrier Observation Date</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EB539B">
            <w:pPr>
              <w:pStyle w:val="CSBody8pt"/>
            </w:pPr>
            <w:r>
              <w:t>Zinszahlungstag /</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05C00" w:rsidP="00EB539B">
            <w:pPr>
              <w:pStyle w:val="CSBody8pt"/>
            </w:pPr>
            <w:r>
              <w:t>Barrier</w:t>
            </w:r>
            <w:r w:rsidR="00FA59F1">
              <w:t>e</w:t>
            </w:r>
            <w:r>
              <w:t>-Beobachtungstag</w:t>
            </w:r>
          </w:p>
        </w:tc>
        <w:tc>
          <w:tcPr>
            <w:tcW w:w="826" w:type="dxa"/>
            <w:gridSpan w:val="3"/>
            <w:tcBorders>
              <w:top w:val="nil"/>
              <w:left w:val="single" w:sz="4" w:space="0" w:color="auto"/>
              <w:bottom w:val="nil"/>
              <w:right w:val="nil"/>
            </w:tcBorders>
            <w:shd w:val="clear" w:color="auto" w:fill="auto"/>
          </w:tcPr>
          <w:p w:rsidR="0017135D" w:rsidRPr="00B4168E" w:rsidP="00EB539B">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B539B">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EB539B">
            <w:pPr>
              <w:pStyle w:val="CSBody8pt"/>
            </w:pPr>
            <w:r w:rsidRPr="00792D61">
              <w:rPr>
                <w:b/>
              </w:rPr>
              <w:t>[</w:t>
            </w:r>
            <w:r w:rsidRPr="00605C00">
              <w:rPr>
                <w:rFonts w:ascii="Arial" w:hAnsi="Arial" w:cs="Arial"/>
              </w:rPr>
              <w:t>●</w:t>
            </w:r>
            <w:r w:rsidRPr="00792D61">
              <w:rPr>
                <w:b/>
              </w:rPr>
              <w:t>]</w:t>
            </w:r>
            <w:r w:rsidRPr="00605C00">
              <w:t xml:space="preserve"> </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826" w:type="dxa"/>
            <w:gridSpan w:val="3"/>
            <w:tcBorders>
              <w:top w:val="nil"/>
              <w:left w:val="single" w:sz="4" w:space="0" w:color="auto"/>
              <w:bottom w:val="nil"/>
              <w:right w:val="nil"/>
            </w:tcBorders>
            <w:shd w:val="clear" w:color="auto" w:fill="auto"/>
          </w:tcPr>
          <w:p w:rsidR="0017135D" w:rsidRPr="00B4168E" w:rsidP="00EB539B">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B539B">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EB539B">
            <w:pPr>
              <w:pStyle w:val="CSBody8pt"/>
            </w:pPr>
            <w:r w:rsidRPr="00792D61">
              <w:rPr>
                <w:b/>
              </w:rPr>
              <w:t>[</w:t>
            </w:r>
            <w:r w:rsidRPr="00605C00">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826" w:type="dxa"/>
            <w:gridSpan w:val="3"/>
            <w:tcBorders>
              <w:top w:val="nil"/>
              <w:left w:val="single" w:sz="4" w:space="0" w:color="auto"/>
              <w:bottom w:val="nil"/>
              <w:right w:val="nil"/>
            </w:tcBorders>
            <w:shd w:val="clear" w:color="auto" w:fill="auto"/>
          </w:tcPr>
          <w:p w:rsidR="0017135D" w:rsidRPr="00B4168E" w:rsidP="00EB539B">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B539B">
            <w:pPr>
              <w:pStyle w:val="CSBody8pt"/>
              <w:rPr>
                <w:lang w:val="de-DE"/>
              </w:rPr>
            </w:pPr>
          </w:p>
        </w:tc>
        <w:tc>
          <w:tcPr>
            <w:tcW w:w="4251"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D150B1" w:rsidP="00EB539B">
            <w:pPr>
              <w:pStyle w:val="CSBody8pt"/>
              <w:rPr>
                <w:i/>
              </w:rPr>
            </w:pPr>
            <w:r w:rsidRPr="00D150B1">
              <w:rPr>
                <w:i/>
              </w:rPr>
              <w:t>(repeat for each additional Interest Payment Date)</w:t>
            </w:r>
          </w:p>
        </w:tc>
        <w:tc>
          <w:tcPr>
            <w:tcW w:w="4110"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D150B1" w:rsidP="00FA59F1">
            <w:pPr>
              <w:pStyle w:val="CSBody8pt"/>
              <w:rPr>
                <w:i/>
                <w:lang w:val="de-DE"/>
              </w:rPr>
            </w:pPr>
            <w:r w:rsidRPr="00D150B1">
              <w:rPr>
                <w:i/>
                <w:lang w:val="de-DE"/>
              </w:rPr>
              <w:t>(für jeden weiteren Barriere-</w:t>
            </w:r>
            <w:r w:rsidR="00FA59F1">
              <w:rPr>
                <w:i/>
                <w:lang w:val="de-DE"/>
              </w:rPr>
              <w:t>Zinszahlungstag</w:t>
            </w:r>
            <w:r w:rsidRPr="00D150B1" w:rsidR="00FA59F1">
              <w:rPr>
                <w:i/>
                <w:lang w:val="de-DE"/>
              </w:rPr>
              <w:t xml:space="preserve"> </w:t>
            </w:r>
            <w:r w:rsidRPr="00D150B1">
              <w:rPr>
                <w:i/>
                <w:lang w:val="de-DE"/>
              </w:rPr>
              <w:t>wiederholen)</w:t>
            </w:r>
            <w:r w:rsidRPr="00792D61">
              <w:rPr>
                <w:b/>
                <w:i/>
                <w:lang w:val="de-DE"/>
              </w:rPr>
              <w:t>]</w:t>
            </w:r>
          </w:p>
        </w:tc>
        <w:tc>
          <w:tcPr>
            <w:tcW w:w="826" w:type="dxa"/>
            <w:gridSpan w:val="3"/>
            <w:tcBorders>
              <w:top w:val="nil"/>
              <w:left w:val="single" w:sz="4" w:space="0" w:color="auto"/>
              <w:bottom w:val="nil"/>
              <w:right w:val="nil"/>
            </w:tcBorders>
            <w:shd w:val="clear" w:color="auto" w:fill="auto"/>
          </w:tcPr>
          <w:p w:rsidR="0017135D" w:rsidRPr="00B4168E" w:rsidP="00EB539B">
            <w:pPr>
              <w:pStyle w:val="CSBody8pt"/>
              <w:rPr>
                <w:bCs/>
                <w:lang w:val="de-DE"/>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EB539B">
            <w:pPr>
              <w:pStyle w:val="CSBody8pt"/>
              <w:rPr>
                <w:lang w:val="de-DE"/>
              </w:rPr>
            </w:pPr>
          </w:p>
        </w:tc>
        <w:tc>
          <w:tcPr>
            <w:tcW w:w="3315" w:type="dxa"/>
            <w:gridSpan w:val="7"/>
            <w:tcBorders>
              <w:top w:val="nil"/>
              <w:left w:val="nil"/>
              <w:bottom w:val="nil"/>
              <w:right w:val="nil"/>
            </w:tcBorders>
            <w:shd w:val="clear" w:color="auto" w:fill="auto"/>
          </w:tcPr>
          <w:p w:rsidR="0017135D" w:rsidRPr="00BD7132" w:rsidP="00EB539B">
            <w:pPr>
              <w:pStyle w:val="CSBody8pt"/>
              <w:rPr>
                <w:lang w:val="de-DE"/>
              </w:rPr>
            </w:pPr>
          </w:p>
        </w:tc>
        <w:tc>
          <w:tcPr>
            <w:tcW w:w="1618" w:type="dxa"/>
            <w:gridSpan w:val="2"/>
            <w:tcBorders>
              <w:top w:val="nil"/>
              <w:left w:val="nil"/>
              <w:bottom w:val="nil"/>
              <w:right w:val="nil"/>
            </w:tcBorders>
            <w:shd w:val="clear" w:color="auto" w:fill="auto"/>
          </w:tcPr>
          <w:p w:rsidR="0017135D" w:rsidRPr="00BD7132" w:rsidP="00EB539B">
            <w:pPr>
              <w:pStyle w:val="CSBody8pt"/>
              <w:rPr>
                <w:i/>
                <w:lang w:val="de-DE"/>
              </w:rPr>
            </w:pPr>
          </w:p>
        </w:tc>
        <w:tc>
          <w:tcPr>
            <w:tcW w:w="3318" w:type="dxa"/>
            <w:gridSpan w:val="10"/>
            <w:tcBorders>
              <w:top w:val="nil"/>
              <w:left w:val="nil"/>
              <w:bottom w:val="nil"/>
              <w:right w:val="nil"/>
            </w:tcBorders>
            <w:shd w:val="clear" w:color="auto" w:fill="auto"/>
          </w:tcPr>
          <w:p w:rsidR="0017135D" w:rsidRPr="00BD7132" w:rsidP="00EB539B">
            <w:pPr>
              <w:pStyle w:val="CSBody8pt"/>
              <w:rPr>
                <w:bCs/>
                <w:lang w:val="de-DE"/>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F2D4A" w:rsidP="00EB539B">
            <w:pPr>
              <w:pStyle w:val="CSBody8pt"/>
              <w:rPr>
                <w:lang w:val="de-DE"/>
              </w:rPr>
            </w:pPr>
            <w:r w:rsidRPr="00792D61">
              <w:rPr>
                <w:b/>
                <w:lang w:val="de-DE"/>
              </w:rPr>
              <w:t>[</w:t>
            </w:r>
            <w:r w:rsidRPr="00CF2D4A">
              <w:rPr>
                <w:lang w:val="de-DE"/>
              </w:rPr>
              <w:t>Barrier Observation Period(s)</w:t>
            </w:r>
          </w:p>
        </w:tc>
        <w:tc>
          <w:tcPr>
            <w:tcW w:w="3315" w:type="dxa"/>
            <w:gridSpan w:val="7"/>
            <w:tcBorders>
              <w:top w:val="nil"/>
              <w:left w:val="nil"/>
              <w:bottom w:val="nil"/>
            </w:tcBorders>
            <w:shd w:val="clear" w:color="auto" w:fill="auto"/>
          </w:tcPr>
          <w:p w:rsidR="0017135D" w:rsidRPr="00545D69" w:rsidP="00EB539B">
            <w:pPr>
              <w:pStyle w:val="CSBody8pt"/>
            </w:pPr>
            <w:r w:rsidRPr="00792D61">
              <w:rPr>
                <w:b/>
              </w:rPr>
              <w:t>[</w:t>
            </w:r>
            <w:r w:rsidRPr="00EB539B">
              <w:rPr>
                <w:b/>
                <w:i/>
              </w:rPr>
              <w:t>in the case of one Interest Payment Date, insert:</w:t>
            </w:r>
            <w:r w:rsidRPr="00545D69">
              <w:t xml:space="preserve"> from and including </w:t>
            </w:r>
            <w:r w:rsidRPr="00792D61">
              <w:rPr>
                <w:b/>
              </w:rPr>
              <w:t>[</w:t>
            </w:r>
            <w:r w:rsidRPr="00545D69">
              <w:rPr>
                <w:rFonts w:ascii="Arial" w:hAnsi="Arial" w:cs="Arial"/>
              </w:rPr>
              <w:t>●</w:t>
            </w:r>
            <w:r w:rsidRPr="00792D61">
              <w:rPr>
                <w:b/>
              </w:rPr>
              <w:t>]</w:t>
            </w:r>
            <w:r w:rsidRPr="00545D69">
              <w:t xml:space="preserve"> to and including </w:t>
            </w:r>
            <w:r w:rsidRPr="00792D61">
              <w:rPr>
                <w:b/>
              </w:rPr>
              <w:t>[</w:t>
            </w:r>
            <w:r w:rsidRPr="00545D69">
              <w:rPr>
                <w:rFonts w:ascii="Arial" w:hAnsi="Arial" w:cs="Arial"/>
              </w:rPr>
              <w:t>●</w:t>
            </w:r>
            <w:r w:rsidRPr="00792D61">
              <w:rPr>
                <w:b/>
              </w:rPr>
              <w:t>]</w:t>
            </w:r>
            <w:r w:rsidRPr="00545D69">
              <w:t>.</w:t>
            </w:r>
            <w:r w:rsidRPr="00792D61">
              <w:rPr>
                <w:b/>
              </w:rPr>
              <w:t>]</w:t>
            </w:r>
          </w:p>
        </w:tc>
        <w:tc>
          <w:tcPr>
            <w:tcW w:w="1618" w:type="dxa"/>
            <w:gridSpan w:val="2"/>
            <w:tcBorders>
              <w:top w:val="nil"/>
              <w:bottom w:val="nil"/>
              <w:right w:val="nil"/>
            </w:tcBorders>
            <w:shd w:val="clear" w:color="auto" w:fill="auto"/>
          </w:tcPr>
          <w:p w:rsidR="0017135D" w:rsidRPr="00EB539B" w:rsidP="006E749E">
            <w:pPr>
              <w:pStyle w:val="CSBody8pt"/>
              <w:rPr>
                <w:lang w:val="de-DE"/>
              </w:rPr>
            </w:pPr>
            <w:r w:rsidRPr="00792D61">
              <w:rPr>
                <w:b/>
                <w:lang w:val="de-DE"/>
              </w:rPr>
              <w:t>[</w:t>
            </w:r>
            <w:r w:rsidRPr="00EB539B">
              <w:rPr>
                <w:lang w:val="de-DE"/>
              </w:rPr>
              <w:t>Barriere</w:t>
            </w:r>
            <w:r>
              <w:rPr>
                <w:lang w:val="de-DE"/>
              </w:rPr>
              <w:t>-</w:t>
            </w:r>
            <w:r w:rsidRPr="00EB539B">
              <w:rPr>
                <w:lang w:val="de-DE"/>
              </w:rPr>
              <w:t>Beobachtungszeitraum bzw. -zeiträume</w:t>
            </w:r>
          </w:p>
        </w:tc>
        <w:tc>
          <w:tcPr>
            <w:tcW w:w="3318" w:type="dxa"/>
            <w:gridSpan w:val="10"/>
            <w:tcBorders>
              <w:top w:val="nil"/>
              <w:left w:val="nil"/>
              <w:bottom w:val="nil"/>
              <w:right w:val="nil"/>
            </w:tcBorders>
            <w:shd w:val="clear" w:color="auto" w:fill="auto"/>
          </w:tcPr>
          <w:p w:rsidR="0017135D" w:rsidRPr="00CF2D4A" w:rsidP="00EB539B">
            <w:pPr>
              <w:pStyle w:val="CSBody8pt"/>
              <w:rPr>
                <w:lang w:val="de-DE"/>
              </w:rPr>
            </w:pPr>
            <w:r w:rsidRPr="00792D61">
              <w:rPr>
                <w:b/>
                <w:lang w:val="de-DE"/>
              </w:rPr>
              <w:t>[</w:t>
            </w:r>
            <w:r w:rsidRPr="00EB539B">
              <w:rPr>
                <w:b/>
                <w:i/>
                <w:lang w:val="de-DE"/>
              </w:rPr>
              <w:t>bei nur einem Zinszahlungstag:</w:t>
            </w:r>
            <w:r w:rsidRPr="00CF2D4A">
              <w:rPr>
                <w:lang w:val="de-DE"/>
              </w:rPr>
              <w:t xml:space="preserve"> vom </w:t>
            </w:r>
            <w:r w:rsidRPr="00792D61">
              <w:rPr>
                <w:b/>
                <w:lang w:val="de-DE"/>
              </w:rPr>
              <w:t>[</w:t>
            </w:r>
            <w:r w:rsidRPr="00CF2D4A">
              <w:rPr>
                <w:rFonts w:ascii="Arial" w:hAnsi="Arial" w:cs="Arial"/>
                <w:lang w:val="de-DE"/>
              </w:rPr>
              <w:t>●</w:t>
            </w:r>
            <w:r w:rsidRPr="00792D61">
              <w:rPr>
                <w:b/>
                <w:lang w:val="de-DE"/>
              </w:rPr>
              <w:t>]</w:t>
            </w:r>
            <w:r w:rsidRPr="00CF2D4A">
              <w:rPr>
                <w:lang w:val="de-DE"/>
              </w:rPr>
              <w:t xml:space="preserve"> (einschliesslich) bis zum </w:t>
            </w:r>
            <w:r w:rsidRPr="00792D61">
              <w:rPr>
                <w:b/>
                <w:lang w:val="de-DE"/>
              </w:rPr>
              <w:t>[</w:t>
            </w:r>
            <w:r w:rsidRPr="00CF2D4A">
              <w:rPr>
                <w:rFonts w:ascii="Arial" w:hAnsi="Arial" w:cs="Arial"/>
                <w:lang w:val="de-DE"/>
              </w:rPr>
              <w:t>●</w:t>
            </w:r>
            <w:r w:rsidRPr="00792D61">
              <w:rPr>
                <w:b/>
                <w:lang w:val="de-DE"/>
              </w:rPr>
              <w:t>]</w:t>
            </w:r>
            <w:r w:rsidRPr="00CF2D4A">
              <w:rPr>
                <w:lang w:val="de-DE"/>
              </w:rPr>
              <w:t xml:space="preserve"> (einschliesslich).</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F2D4A" w:rsidP="00EB539B">
            <w:pPr>
              <w:pStyle w:val="CSBody8pt"/>
              <w:rPr>
                <w:lang w:val="de-DE"/>
              </w:rPr>
            </w:pPr>
          </w:p>
        </w:tc>
        <w:tc>
          <w:tcPr>
            <w:tcW w:w="3315" w:type="dxa"/>
            <w:gridSpan w:val="7"/>
            <w:tcBorders>
              <w:top w:val="nil"/>
              <w:left w:val="nil"/>
              <w:bottom w:val="nil"/>
            </w:tcBorders>
            <w:shd w:val="clear" w:color="auto" w:fill="auto"/>
          </w:tcPr>
          <w:p w:rsidR="0017135D" w:rsidP="00EB539B">
            <w:pPr>
              <w:pStyle w:val="CSBody8pt"/>
            </w:pPr>
            <w:r w:rsidRPr="00792D61">
              <w:rPr>
                <w:b/>
              </w:rPr>
              <w:t>[</w:t>
            </w:r>
            <w:r w:rsidRPr="00EB539B">
              <w:rPr>
                <w:b/>
                <w:i/>
              </w:rPr>
              <w:t>in the case of multiple Interest Payment Dates, insert:</w:t>
            </w:r>
            <w:r w:rsidRPr="00545D69">
              <w:t xml:space="preserve"> with respect to any Interest Payment Date, the relevant Barrier Observation Period specified in the table below.</w:t>
            </w:r>
          </w:p>
        </w:tc>
        <w:tc>
          <w:tcPr>
            <w:tcW w:w="1618" w:type="dxa"/>
            <w:gridSpan w:val="2"/>
            <w:tcBorders>
              <w:top w:val="nil"/>
              <w:bottom w:val="nil"/>
              <w:right w:val="nil"/>
            </w:tcBorders>
            <w:shd w:val="clear" w:color="auto" w:fill="auto"/>
          </w:tcPr>
          <w:p w:rsidR="0017135D" w:rsidRPr="00CF2D4A" w:rsidP="00EB539B">
            <w:pPr>
              <w:pStyle w:val="CSBody8pt"/>
              <w:rPr>
                <w:i/>
              </w:rPr>
            </w:pPr>
          </w:p>
        </w:tc>
        <w:tc>
          <w:tcPr>
            <w:tcW w:w="3318" w:type="dxa"/>
            <w:gridSpan w:val="10"/>
            <w:tcBorders>
              <w:top w:val="nil"/>
              <w:left w:val="nil"/>
              <w:bottom w:val="nil"/>
              <w:right w:val="nil"/>
            </w:tcBorders>
            <w:shd w:val="clear" w:color="auto" w:fill="auto"/>
          </w:tcPr>
          <w:p w:rsidR="0017135D" w:rsidRPr="00CF2D4A" w:rsidP="00EB539B">
            <w:pPr>
              <w:pStyle w:val="CSBody8pt"/>
              <w:rPr>
                <w:lang w:val="de-DE"/>
              </w:rPr>
            </w:pPr>
            <w:r w:rsidRPr="00792D61">
              <w:rPr>
                <w:b/>
                <w:i/>
                <w:lang w:val="de-DE"/>
              </w:rPr>
              <w:t>[</w:t>
            </w:r>
            <w:r w:rsidRPr="00EB539B">
              <w:rPr>
                <w:b/>
                <w:i/>
                <w:lang w:val="de-DE"/>
              </w:rPr>
              <w:t>bei mehreren Zinzszahlungstagen einfügen:</w:t>
            </w:r>
            <w:r w:rsidRPr="00CF2D4A">
              <w:rPr>
                <w:lang w:val="de-DE"/>
              </w:rPr>
              <w:t xml:space="preserve"> in Bezug auf jeden Zinszahlungstag der in der untenstehenden Tabelle jeweils angegebene Barriere-Beobachtungszeitraum.</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EB539B">
            <w:pPr>
              <w:pStyle w:val="CSBody8pt"/>
              <w:rPr>
                <w:lang w:val="de-DE"/>
              </w:rPr>
            </w:pPr>
          </w:p>
        </w:tc>
        <w:tc>
          <w:tcPr>
            <w:tcW w:w="3315" w:type="dxa"/>
            <w:gridSpan w:val="7"/>
            <w:tcBorders>
              <w:top w:val="nil"/>
              <w:left w:val="nil"/>
              <w:bottom w:val="nil"/>
              <w:right w:val="nil"/>
            </w:tcBorders>
            <w:shd w:val="clear" w:color="auto" w:fill="auto"/>
          </w:tcPr>
          <w:p w:rsidR="0017135D" w:rsidRPr="00BD7132" w:rsidP="00EB539B">
            <w:pPr>
              <w:pStyle w:val="CSBody8pt"/>
              <w:rPr>
                <w:lang w:val="de-DE"/>
              </w:rPr>
            </w:pPr>
          </w:p>
        </w:tc>
        <w:tc>
          <w:tcPr>
            <w:tcW w:w="1618" w:type="dxa"/>
            <w:gridSpan w:val="2"/>
            <w:tcBorders>
              <w:top w:val="nil"/>
              <w:left w:val="nil"/>
              <w:bottom w:val="nil"/>
              <w:right w:val="nil"/>
            </w:tcBorders>
            <w:shd w:val="clear" w:color="auto" w:fill="auto"/>
          </w:tcPr>
          <w:p w:rsidR="0017135D" w:rsidRPr="00BD7132" w:rsidP="00EB539B">
            <w:pPr>
              <w:pStyle w:val="CSBody8pt"/>
              <w:rPr>
                <w:i/>
                <w:lang w:val="de-DE"/>
              </w:rPr>
            </w:pPr>
          </w:p>
        </w:tc>
        <w:tc>
          <w:tcPr>
            <w:tcW w:w="3318" w:type="dxa"/>
            <w:gridSpan w:val="10"/>
            <w:tcBorders>
              <w:top w:val="nil"/>
              <w:left w:val="nil"/>
              <w:bottom w:val="nil"/>
              <w:right w:val="nil"/>
            </w:tcBorders>
            <w:shd w:val="clear" w:color="auto" w:fill="auto"/>
          </w:tcPr>
          <w:p w:rsidR="0017135D" w:rsidRPr="00BD7132" w:rsidP="00EB539B">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B539B">
            <w:pPr>
              <w:pStyle w:val="CSBody8pt"/>
              <w:rPr>
                <w:b/>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t>Interest Payment Date</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t>Barrier Observation Period</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EB539B">
            <w:pPr>
              <w:pStyle w:val="CSBody8pt"/>
            </w:pPr>
            <w:r>
              <w:t>Zinszahlungstag /</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05C00" w:rsidP="00EB539B">
            <w:pPr>
              <w:pStyle w:val="CSBody8pt"/>
            </w:pPr>
            <w:r>
              <w:t>Barrier</w:t>
            </w:r>
            <w:r w:rsidR="00C2522A">
              <w:t>e</w:t>
            </w:r>
            <w:r>
              <w:t>-Beobachtungszeitraum</w:t>
            </w:r>
          </w:p>
        </w:tc>
        <w:tc>
          <w:tcPr>
            <w:tcW w:w="826" w:type="dxa"/>
            <w:gridSpan w:val="3"/>
            <w:tcBorders>
              <w:top w:val="nil"/>
              <w:left w:val="single" w:sz="4" w:space="0" w:color="auto"/>
              <w:bottom w:val="nil"/>
              <w:right w:val="nil"/>
            </w:tcBorders>
            <w:shd w:val="clear" w:color="auto" w:fill="auto"/>
          </w:tcPr>
          <w:p w:rsidR="0017135D" w:rsidRPr="00B4168E" w:rsidP="00EB539B">
            <w:pPr>
              <w:pStyle w:val="CSBody8pt"/>
              <w:rPr>
                <w:b/>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B539B">
            <w:pPr>
              <w:pStyle w:val="CSBody8pt"/>
              <w:rPr>
                <w:b/>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EB539B">
            <w:pPr>
              <w:pStyle w:val="CSBody8pt"/>
            </w:pPr>
            <w:r w:rsidRPr="00792D61">
              <w:rPr>
                <w:b/>
              </w:rPr>
              <w:t>[</w:t>
            </w:r>
            <w:r w:rsidRPr="00605C00">
              <w:rPr>
                <w:rFonts w:ascii="Arial" w:hAnsi="Arial" w:cs="Arial"/>
              </w:rPr>
              <w:t>●</w:t>
            </w:r>
            <w:r w:rsidRPr="00792D61">
              <w:rPr>
                <w:b/>
              </w:rPr>
              <w:t>]</w:t>
            </w:r>
            <w:r w:rsidRPr="00605C00">
              <w:t xml:space="preserve"> </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826" w:type="dxa"/>
            <w:gridSpan w:val="3"/>
            <w:tcBorders>
              <w:top w:val="nil"/>
              <w:left w:val="single" w:sz="4" w:space="0" w:color="auto"/>
              <w:bottom w:val="nil"/>
              <w:right w:val="nil"/>
            </w:tcBorders>
            <w:shd w:val="clear" w:color="auto" w:fill="auto"/>
          </w:tcPr>
          <w:p w:rsidR="0017135D" w:rsidRPr="00B4168E" w:rsidP="00EB539B">
            <w:pPr>
              <w:pStyle w:val="CSBody8pt"/>
              <w:rPr>
                <w:b/>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B539B">
            <w:pPr>
              <w:pStyle w:val="CSBody8pt"/>
              <w:rPr>
                <w:b/>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05C00" w:rsidP="00EB539B">
            <w:pPr>
              <w:pStyle w:val="CSBody8pt"/>
            </w:pPr>
            <w:r w:rsidRPr="00792D61">
              <w:rPr>
                <w:b/>
              </w:rPr>
              <w:t>[</w:t>
            </w:r>
            <w:r w:rsidRPr="00605C00">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5B7279" w:rsidP="00EB539B">
            <w:pPr>
              <w:pStyle w:val="CSBody8pt"/>
            </w:pPr>
            <w:r w:rsidRPr="00792D61">
              <w:rPr>
                <w:b/>
              </w:rPr>
              <w:t>[</w:t>
            </w:r>
            <w:r w:rsidRPr="005B7279">
              <w:rPr>
                <w:rFonts w:ascii="Arial" w:hAnsi="Arial" w:cs="Arial"/>
              </w:rPr>
              <w:t>●</w:t>
            </w:r>
            <w:r w:rsidRPr="00792D61">
              <w:rPr>
                <w:b/>
              </w:rPr>
              <w:t>]</w:t>
            </w:r>
          </w:p>
        </w:tc>
        <w:tc>
          <w:tcPr>
            <w:tcW w:w="826" w:type="dxa"/>
            <w:gridSpan w:val="3"/>
            <w:tcBorders>
              <w:top w:val="nil"/>
              <w:left w:val="single" w:sz="4" w:space="0" w:color="auto"/>
              <w:bottom w:val="nil"/>
              <w:right w:val="nil"/>
            </w:tcBorders>
            <w:shd w:val="clear" w:color="auto" w:fill="auto"/>
          </w:tcPr>
          <w:p w:rsidR="0017135D" w:rsidRPr="00B4168E" w:rsidP="00EB539B">
            <w:pPr>
              <w:pStyle w:val="CSBody8pt"/>
              <w:rPr>
                <w:b/>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EB539B">
            <w:pPr>
              <w:pStyle w:val="CSBody8pt"/>
              <w:rPr>
                <w:b/>
                <w:lang w:val="de-DE"/>
              </w:rPr>
            </w:pPr>
          </w:p>
        </w:tc>
        <w:tc>
          <w:tcPr>
            <w:tcW w:w="4251"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D150B1" w:rsidP="00EB539B">
            <w:pPr>
              <w:pStyle w:val="CSBody8pt"/>
              <w:rPr>
                <w:i/>
              </w:rPr>
            </w:pPr>
            <w:r w:rsidRPr="00D150B1">
              <w:rPr>
                <w:i/>
              </w:rPr>
              <w:t xml:space="preserve">(repeat for each additional Interest Payment </w:t>
            </w:r>
            <w:r w:rsidR="00C2522A">
              <w:rPr>
                <w:i/>
              </w:rPr>
              <w:t>Date</w:t>
            </w:r>
            <w:r w:rsidRPr="00D150B1">
              <w:rPr>
                <w:i/>
              </w:rPr>
              <w:t>)</w:t>
            </w:r>
            <w:r w:rsidRPr="00792D61">
              <w:rPr>
                <w:b/>
                <w:i/>
              </w:rPr>
              <w:t>]]</w:t>
            </w:r>
          </w:p>
        </w:tc>
        <w:tc>
          <w:tcPr>
            <w:tcW w:w="4110"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D150B1" w:rsidP="00C2522A">
            <w:pPr>
              <w:pStyle w:val="CSBody8pt"/>
              <w:rPr>
                <w:i/>
                <w:lang w:val="de-DE"/>
              </w:rPr>
            </w:pPr>
            <w:r w:rsidRPr="00D150B1">
              <w:rPr>
                <w:i/>
                <w:lang w:val="de-DE"/>
              </w:rPr>
              <w:t>(für jeden weiteren Barriere-</w:t>
            </w:r>
            <w:r w:rsidR="00C2522A">
              <w:rPr>
                <w:i/>
                <w:lang w:val="de-DE"/>
              </w:rPr>
              <w:t>Zinszahlungstag</w:t>
            </w:r>
            <w:r w:rsidRPr="00D150B1">
              <w:rPr>
                <w:i/>
                <w:lang w:val="de-DE"/>
              </w:rPr>
              <w:t xml:space="preserve"> wiederholen)</w:t>
            </w:r>
            <w:r w:rsidRPr="00792D61">
              <w:rPr>
                <w:b/>
                <w:i/>
                <w:lang w:val="de-DE"/>
              </w:rPr>
              <w:t>]]</w:t>
            </w:r>
          </w:p>
        </w:tc>
        <w:tc>
          <w:tcPr>
            <w:tcW w:w="826" w:type="dxa"/>
            <w:gridSpan w:val="3"/>
            <w:tcBorders>
              <w:top w:val="nil"/>
              <w:left w:val="single" w:sz="4" w:space="0" w:color="auto"/>
              <w:bottom w:val="nil"/>
              <w:right w:val="nil"/>
            </w:tcBorders>
            <w:shd w:val="clear" w:color="auto" w:fill="auto"/>
          </w:tcPr>
          <w:p w:rsidR="0017135D" w:rsidRPr="00B4168E" w:rsidP="00EB539B">
            <w:pPr>
              <w:pStyle w:val="CSBody8pt"/>
              <w:rPr>
                <w:b/>
                <w:bCs/>
                <w:lang w:val="de-DE"/>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EB539B">
            <w:pPr>
              <w:pStyle w:val="CSBody8pt"/>
              <w:rPr>
                <w:lang w:val="de-DE"/>
              </w:rPr>
            </w:pPr>
          </w:p>
        </w:tc>
        <w:tc>
          <w:tcPr>
            <w:tcW w:w="3315" w:type="dxa"/>
            <w:gridSpan w:val="7"/>
            <w:tcBorders>
              <w:top w:val="nil"/>
              <w:left w:val="nil"/>
              <w:bottom w:val="nil"/>
              <w:right w:val="nil"/>
            </w:tcBorders>
            <w:shd w:val="clear" w:color="auto" w:fill="auto"/>
          </w:tcPr>
          <w:p w:rsidR="0017135D" w:rsidRPr="00BD7132" w:rsidP="00EB539B">
            <w:pPr>
              <w:pStyle w:val="CSBody8pt"/>
              <w:rPr>
                <w:lang w:val="de-DE"/>
              </w:rPr>
            </w:pPr>
          </w:p>
        </w:tc>
        <w:tc>
          <w:tcPr>
            <w:tcW w:w="1618" w:type="dxa"/>
            <w:gridSpan w:val="2"/>
            <w:tcBorders>
              <w:top w:val="nil"/>
              <w:left w:val="nil"/>
              <w:bottom w:val="nil"/>
              <w:right w:val="nil"/>
            </w:tcBorders>
            <w:shd w:val="clear" w:color="auto" w:fill="auto"/>
          </w:tcPr>
          <w:p w:rsidR="0017135D" w:rsidRPr="00BD7132" w:rsidP="00EB539B">
            <w:pPr>
              <w:pStyle w:val="CSBody8pt"/>
              <w:rPr>
                <w:i/>
                <w:lang w:val="de-DE"/>
              </w:rPr>
            </w:pPr>
          </w:p>
        </w:tc>
        <w:tc>
          <w:tcPr>
            <w:tcW w:w="3318" w:type="dxa"/>
            <w:gridSpan w:val="10"/>
            <w:tcBorders>
              <w:top w:val="nil"/>
              <w:left w:val="nil"/>
              <w:bottom w:val="nil"/>
              <w:right w:val="nil"/>
            </w:tcBorders>
            <w:shd w:val="clear" w:color="auto" w:fill="auto"/>
          </w:tcPr>
          <w:p w:rsidR="0017135D" w:rsidRPr="00BD7132" w:rsidP="00EB539B">
            <w:pPr>
              <w:pStyle w:val="CSBody8pt"/>
              <w:rPr>
                <w:bCs/>
                <w:lang w:val="de-DE"/>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565EF" w:rsidP="00EB539B">
            <w:pPr>
              <w:pStyle w:val="CSBody8pt"/>
            </w:pPr>
            <w:r w:rsidRPr="00792D61">
              <w:rPr>
                <w:b/>
              </w:rPr>
              <w:t>[</w:t>
            </w:r>
            <w:r w:rsidRPr="00F565EF">
              <w:t>Yield</w:t>
            </w:r>
          </w:p>
        </w:tc>
        <w:tc>
          <w:tcPr>
            <w:tcW w:w="3315" w:type="dxa"/>
            <w:gridSpan w:val="7"/>
            <w:tcBorders>
              <w:top w:val="nil"/>
              <w:left w:val="nil"/>
              <w:bottom w:val="nil"/>
            </w:tcBorders>
            <w:shd w:val="clear" w:color="auto" w:fill="auto"/>
          </w:tcPr>
          <w:p w:rsidR="0017135D" w:rsidRPr="00EE33D7" w:rsidP="00EB539B">
            <w:pPr>
              <w:pStyle w:val="CSBody8pt"/>
            </w:pPr>
            <w:r w:rsidRPr="00792D61">
              <w:rPr>
                <w:b/>
              </w:rPr>
              <w:t>[</w:t>
            </w:r>
            <w:r w:rsidRPr="00EE33D7">
              <w:t xml:space="preserve">The yield of the Complex Products is equal to </w:t>
            </w:r>
            <w:r w:rsidRPr="00792D61">
              <w:rPr>
                <w:b/>
              </w:rPr>
              <w:t>[</w:t>
            </w:r>
            <w:r>
              <w:rPr>
                <w:rFonts w:ascii="Arial" w:hAnsi="Arial" w:cs="Arial"/>
              </w:rPr>
              <w:t>●</w:t>
            </w:r>
            <w:r w:rsidRPr="00792D61">
              <w:rPr>
                <w:b/>
              </w:rPr>
              <w:t>]</w:t>
            </w:r>
            <w:r w:rsidRPr="00EE33D7">
              <w:t>.</w:t>
            </w:r>
            <w:r w:rsidRPr="00792D61">
              <w:rPr>
                <w:b/>
              </w:rPr>
              <w:t>][</w:t>
            </w:r>
            <w:r w:rsidRPr="00EE33D7">
              <w:t xml:space="preserve">As the Complex Products bear interest at an interest rate which as of the issue date is not yet finally determined </w:t>
            </w:r>
            <w:r w:rsidRPr="00792D61">
              <w:rPr>
                <w:b/>
              </w:rPr>
              <w:t>[</w:t>
            </w:r>
            <w:r w:rsidRPr="00EE33D7">
              <w:t>in respect of one or several interest periods</w:t>
            </w:r>
            <w:r w:rsidRPr="00792D61">
              <w:rPr>
                <w:b/>
              </w:rPr>
              <w:t>]</w:t>
            </w:r>
            <w:r w:rsidRPr="00EE33D7">
              <w:t>, the yield of the Complex Products can only be calculated following the last interest payment upon redemption of the Complex Products.</w:t>
            </w:r>
            <w:r w:rsidRPr="00792D61">
              <w:rPr>
                <w:b/>
              </w:rPr>
              <w:t>]]</w:t>
            </w:r>
          </w:p>
        </w:tc>
        <w:tc>
          <w:tcPr>
            <w:tcW w:w="1618" w:type="dxa"/>
            <w:gridSpan w:val="2"/>
            <w:tcBorders>
              <w:top w:val="nil"/>
              <w:bottom w:val="nil"/>
              <w:right w:val="nil"/>
            </w:tcBorders>
            <w:shd w:val="clear" w:color="auto" w:fill="auto"/>
          </w:tcPr>
          <w:p w:rsidR="0017135D" w:rsidRPr="005A1415" w:rsidP="00EB539B">
            <w:pPr>
              <w:pStyle w:val="CSBody8pt"/>
            </w:pPr>
            <w:r w:rsidRPr="00792D61">
              <w:rPr>
                <w:b/>
              </w:rPr>
              <w:t>[</w:t>
            </w:r>
            <w:r w:rsidRPr="005A1415">
              <w:t>Rendite</w:t>
            </w:r>
          </w:p>
        </w:tc>
        <w:tc>
          <w:tcPr>
            <w:tcW w:w="3318" w:type="dxa"/>
            <w:gridSpan w:val="10"/>
            <w:tcBorders>
              <w:top w:val="nil"/>
              <w:left w:val="nil"/>
              <w:bottom w:val="nil"/>
              <w:right w:val="nil"/>
            </w:tcBorders>
            <w:shd w:val="clear" w:color="auto" w:fill="auto"/>
          </w:tcPr>
          <w:p w:rsidR="0017135D" w:rsidRPr="00CF2D4A" w:rsidP="00EB539B">
            <w:pPr>
              <w:pStyle w:val="CSBody8pt"/>
              <w:rPr>
                <w:lang w:val="de-DE"/>
              </w:rPr>
            </w:pPr>
            <w:r w:rsidRPr="00792D61">
              <w:rPr>
                <w:b/>
                <w:lang w:val="de-DE"/>
              </w:rPr>
              <w:t>[</w:t>
            </w:r>
            <w:r w:rsidRPr="00CF2D4A">
              <w:rPr>
                <w:lang w:val="de-DE"/>
              </w:rPr>
              <w:t xml:space="preserve">Die Rendite der Komplexen Produkte beträgt </w:t>
            </w:r>
            <w:r w:rsidRPr="00792D61">
              <w:rPr>
                <w:b/>
                <w:lang w:val="de-DE"/>
              </w:rPr>
              <w:t>[</w:t>
            </w:r>
            <w:r w:rsidRPr="00116653">
              <w:rPr>
                <w:rFonts w:ascii="Arial" w:hAnsi="Arial" w:cs="Arial"/>
                <w:lang w:val="de-DE"/>
              </w:rPr>
              <w:t>●</w:t>
            </w:r>
            <w:r w:rsidRPr="00792D61">
              <w:rPr>
                <w:b/>
                <w:lang w:val="de-DE"/>
              </w:rPr>
              <w:t>]</w:t>
            </w:r>
            <w:r w:rsidRPr="00CF2D4A">
              <w:rPr>
                <w:lang w:val="de-DE"/>
              </w:rPr>
              <w:t>.</w:t>
            </w:r>
            <w:r w:rsidRPr="00792D61">
              <w:rPr>
                <w:b/>
                <w:lang w:val="de-DE"/>
              </w:rPr>
              <w:t>][</w:t>
            </w:r>
            <w:r w:rsidRPr="00CF2D4A">
              <w:rPr>
                <w:lang w:val="de-DE"/>
              </w:rPr>
              <w:t xml:space="preserve">Da die Komplexen Produkte eine Verzinsung zu einem Zinssatz vorsehen, der zum Emissionstag </w:t>
            </w:r>
            <w:r w:rsidRPr="00792D61">
              <w:rPr>
                <w:b/>
                <w:lang w:val="de-DE"/>
              </w:rPr>
              <w:t>[</w:t>
            </w:r>
            <w:r w:rsidRPr="00CF2D4A">
              <w:rPr>
                <w:lang w:val="de-DE"/>
              </w:rPr>
              <w:t>für eine oder mehrere Zinsperioden</w:t>
            </w:r>
            <w:r w:rsidRPr="00792D61">
              <w:rPr>
                <w:b/>
                <w:lang w:val="de-DE"/>
              </w:rPr>
              <w:t>]</w:t>
            </w:r>
            <w:r w:rsidRPr="00CF2D4A">
              <w:rPr>
                <w:lang w:val="de-DE"/>
              </w:rPr>
              <w:t>noch nicht feststeht, kann die Rendite der Komplexen Produkte erst nach der letzten Zinszahlung bei Rückzahlung der Komplexen Produkte berechnet werden.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EB539B">
            <w:pPr>
              <w:pStyle w:val="CSBody8pt"/>
            </w:pPr>
            <w:r w:rsidRPr="00792D61">
              <w:rPr>
                <w:b/>
                <w:i/>
              </w:rPr>
              <w:t>[</w:t>
            </w:r>
            <w:r w:rsidRPr="00EB539B">
              <w:rPr>
                <w:b/>
                <w:i/>
              </w:rPr>
              <w:t>in case of Complex Products pursuant to Article 8 of the Prospectus Regulation, where the yield can be specified, insert:</w:t>
            </w:r>
            <w:r w:rsidRPr="00F565EF">
              <w:t xml:space="preserve"> Method for calculating the yield</w:t>
            </w:r>
          </w:p>
        </w:tc>
        <w:tc>
          <w:tcPr>
            <w:tcW w:w="3315" w:type="dxa"/>
            <w:gridSpan w:val="7"/>
            <w:tcBorders>
              <w:top w:val="nil"/>
              <w:left w:val="nil"/>
              <w:bottom w:val="nil"/>
            </w:tcBorders>
            <w:shd w:val="clear" w:color="auto" w:fill="auto"/>
          </w:tcPr>
          <w:p w:rsidR="0017135D" w:rsidP="00EB539B">
            <w:pPr>
              <w:pStyle w:val="CSBody8pt"/>
            </w:pPr>
            <w:r w:rsidRPr="00EE33D7">
              <w:t>The yield is calculated on the basis of a discret method as arithmetic average net yield per annum.</w:t>
            </w:r>
            <w:r w:rsidRPr="00792D61">
              <w:rPr>
                <w:b/>
              </w:rPr>
              <w:t>]</w:t>
            </w:r>
          </w:p>
        </w:tc>
        <w:tc>
          <w:tcPr>
            <w:tcW w:w="1618" w:type="dxa"/>
            <w:gridSpan w:val="2"/>
            <w:tcBorders>
              <w:top w:val="nil"/>
              <w:bottom w:val="nil"/>
              <w:right w:val="nil"/>
            </w:tcBorders>
            <w:shd w:val="clear" w:color="auto" w:fill="auto"/>
          </w:tcPr>
          <w:p w:rsidR="0017135D" w:rsidRPr="00CF2D4A" w:rsidP="00EB539B">
            <w:pPr>
              <w:pStyle w:val="CSBody8pt"/>
              <w:rPr>
                <w:lang w:val="de-DE"/>
              </w:rPr>
            </w:pPr>
            <w:r w:rsidRPr="00792D61">
              <w:rPr>
                <w:b/>
                <w:lang w:val="de-DE"/>
              </w:rPr>
              <w:t>[</w:t>
            </w:r>
            <w:r w:rsidRPr="00EB539B">
              <w:rPr>
                <w:b/>
                <w:i/>
                <w:lang w:val="de-DE"/>
              </w:rPr>
              <w:t xml:space="preserve">bei Komplexen Produkten gemäss Artikel 8 der Prospektverordnung, sofern eine Renddite angegeben werden kann, einfügen: </w:t>
            </w:r>
            <w:r>
              <w:rPr>
                <w:lang w:val="de-DE"/>
              </w:rPr>
              <w:t>Methode zur Be</w:t>
            </w:r>
            <w:r w:rsidRPr="00CF2D4A">
              <w:rPr>
                <w:lang w:val="de-DE"/>
              </w:rPr>
              <w:t>rechnung der Rendite</w:t>
            </w:r>
          </w:p>
        </w:tc>
        <w:tc>
          <w:tcPr>
            <w:tcW w:w="3318" w:type="dxa"/>
            <w:gridSpan w:val="10"/>
            <w:tcBorders>
              <w:top w:val="nil"/>
              <w:left w:val="nil"/>
              <w:bottom w:val="nil"/>
              <w:right w:val="nil"/>
            </w:tcBorders>
            <w:shd w:val="clear" w:color="auto" w:fill="auto"/>
          </w:tcPr>
          <w:p w:rsidR="0017135D" w:rsidRPr="00CF2D4A" w:rsidP="00EB539B">
            <w:pPr>
              <w:pStyle w:val="CSBody8pt"/>
              <w:rPr>
                <w:lang w:val="de-DE"/>
              </w:rPr>
            </w:pPr>
            <w:r w:rsidRPr="00CF2D4A">
              <w:rPr>
                <w:lang w:val="de-DE"/>
              </w:rPr>
              <w:t>Die Berechnung der Rendite erfolgt auf der Grundlage einer diskreten Berechnungsmethode als arithmetische durchschnittliche Nettorendite per annum.</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B3519" w:rsidP="00EB539B">
            <w:pPr>
              <w:pStyle w:val="CSBody8pt"/>
            </w:pPr>
            <w:r w:rsidRPr="00792D61">
              <w:rPr>
                <w:b/>
              </w:rPr>
              <w:t>[[</w:t>
            </w:r>
            <w:r w:rsidRPr="00BB3519">
              <w:t>any additional definitions relating to interest to be inserted</w:t>
            </w:r>
            <w:r w:rsidRPr="00792D61">
              <w:rPr>
                <w:b/>
              </w:rPr>
              <w:t>]</w:t>
            </w:r>
          </w:p>
        </w:tc>
        <w:tc>
          <w:tcPr>
            <w:tcW w:w="3315" w:type="dxa"/>
            <w:gridSpan w:val="7"/>
            <w:tcBorders>
              <w:top w:val="nil"/>
              <w:left w:val="nil"/>
              <w:bottom w:val="nil"/>
            </w:tcBorders>
            <w:shd w:val="clear" w:color="auto" w:fill="auto"/>
          </w:tcPr>
          <w:p w:rsidR="0017135D" w:rsidRPr="00813E27" w:rsidP="00EB539B">
            <w:pPr>
              <w:pStyle w:val="CSBody8pt"/>
            </w:pPr>
            <w:r w:rsidRPr="00792D61">
              <w:rPr>
                <w:b/>
              </w:rPr>
              <w:t>[</w:t>
            </w:r>
            <w:r w:rsidRPr="00813E27">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C80FC2" w:rsidP="00EB539B">
            <w:pPr>
              <w:pStyle w:val="CSBody8pt"/>
            </w:pPr>
            <w:r w:rsidRPr="00792D61">
              <w:rPr>
                <w:b/>
              </w:rPr>
              <w:t>[[</w:t>
            </w:r>
            <w:r w:rsidRPr="00C80FC2">
              <w:t>zusätzliche zinsbezogene Definitionen einfügen</w:t>
            </w:r>
            <w:r w:rsidRPr="00792D61">
              <w:rPr>
                <w:b/>
              </w:rPr>
              <w:t>]</w:t>
            </w:r>
          </w:p>
        </w:tc>
        <w:tc>
          <w:tcPr>
            <w:tcW w:w="3318" w:type="dxa"/>
            <w:gridSpan w:val="10"/>
            <w:tcBorders>
              <w:top w:val="nil"/>
              <w:left w:val="nil"/>
              <w:bottom w:val="nil"/>
              <w:right w:val="nil"/>
            </w:tcBorders>
            <w:shd w:val="clear" w:color="auto" w:fill="auto"/>
          </w:tcPr>
          <w:p w:rsidR="0017135D" w:rsidRPr="007B276A" w:rsidP="00EB539B">
            <w:pPr>
              <w:pStyle w:val="CSBody8pt"/>
            </w:pPr>
            <w:r w:rsidRPr="00792D61">
              <w:rPr>
                <w:b/>
              </w:rPr>
              <w:t>[</w:t>
            </w:r>
            <w:r w:rsidRPr="007B276A">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EB539B">
            <w:pPr>
              <w:pStyle w:val="CSbody0bold"/>
            </w:pPr>
            <w:r w:rsidRPr="00BB3519">
              <w:t>C.</w:t>
            </w:r>
          </w:p>
        </w:tc>
        <w:tc>
          <w:tcPr>
            <w:tcW w:w="3315" w:type="dxa"/>
            <w:gridSpan w:val="7"/>
            <w:tcBorders>
              <w:top w:val="nil"/>
              <w:left w:val="nil"/>
              <w:bottom w:val="nil"/>
            </w:tcBorders>
            <w:shd w:val="clear" w:color="auto" w:fill="auto"/>
          </w:tcPr>
          <w:p w:rsidR="0017135D" w:rsidP="00EB539B">
            <w:pPr>
              <w:pStyle w:val="CSbody0bold"/>
            </w:pPr>
            <w:r w:rsidRPr="00813E27">
              <w:t>Redemption</w:t>
            </w:r>
          </w:p>
        </w:tc>
        <w:tc>
          <w:tcPr>
            <w:tcW w:w="1618" w:type="dxa"/>
            <w:gridSpan w:val="2"/>
            <w:tcBorders>
              <w:top w:val="nil"/>
              <w:bottom w:val="nil"/>
              <w:right w:val="nil"/>
            </w:tcBorders>
            <w:shd w:val="clear" w:color="auto" w:fill="auto"/>
          </w:tcPr>
          <w:p w:rsidR="0017135D" w:rsidP="00EB539B">
            <w:pPr>
              <w:pStyle w:val="CSbody0bold"/>
            </w:pPr>
            <w:r w:rsidRPr="00C80FC2">
              <w:t>C.</w:t>
            </w:r>
          </w:p>
        </w:tc>
        <w:tc>
          <w:tcPr>
            <w:tcW w:w="3318" w:type="dxa"/>
            <w:gridSpan w:val="10"/>
            <w:tcBorders>
              <w:top w:val="nil"/>
              <w:left w:val="nil"/>
              <w:bottom w:val="nil"/>
              <w:right w:val="nil"/>
            </w:tcBorders>
            <w:shd w:val="clear" w:color="auto" w:fill="auto"/>
          </w:tcPr>
          <w:p w:rsidR="0017135D" w:rsidP="00EB539B">
            <w:pPr>
              <w:pStyle w:val="CSbody0bold"/>
            </w:pPr>
            <w:r w:rsidRPr="007B276A">
              <w:t>Rückzahlung</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1D4E7B" w:rsidP="00EB539B">
            <w:pPr>
              <w:pStyle w:val="CSBody8ptbolditalics"/>
            </w:pPr>
            <w:r w:rsidRPr="00792D61">
              <w:t>[</w:t>
            </w:r>
            <w:r w:rsidRPr="001D4E7B">
              <w:t>in the case of Credit-Linked Complex Products with auction settlement or Credit-Linked Complex Products with Zero-Recovery feature linked to a Basket, insert:</w:t>
            </w:r>
          </w:p>
        </w:tc>
        <w:tc>
          <w:tcPr>
            <w:tcW w:w="4936" w:type="dxa"/>
            <w:gridSpan w:val="12"/>
            <w:tcBorders>
              <w:top w:val="nil"/>
              <w:bottom w:val="nil"/>
              <w:right w:val="nil"/>
            </w:tcBorders>
            <w:shd w:val="clear" w:color="auto" w:fill="auto"/>
          </w:tcPr>
          <w:p w:rsidR="0017135D" w:rsidRPr="00CF2D4A" w:rsidP="0094769A">
            <w:pPr>
              <w:pStyle w:val="CSBody8ptbolditalics"/>
              <w:rPr>
                <w:lang w:val="de-DE"/>
              </w:rPr>
            </w:pPr>
            <w:r w:rsidRPr="00792D61">
              <w:rPr>
                <w:lang w:val="de-DE"/>
              </w:rPr>
              <w:t>[</w:t>
            </w:r>
            <w:r w:rsidRPr="00CF2D4A">
              <w:rPr>
                <w:lang w:val="de-DE"/>
              </w:rPr>
              <w:t>bei Kreditbezogenen Komplexen Produkten mit Auktionsabwicklung oder Kreditbezogenen Komplexen Produkten mit Zero-Recovery-Merkmal, die an einen Korb gekoppelt sind,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D0947" w:rsidP="00EB539B">
            <w:pPr>
              <w:pStyle w:val="CSbody0bold"/>
            </w:pPr>
            <w:r w:rsidRPr="001D0947">
              <w:t>C.1</w:t>
            </w:r>
          </w:p>
        </w:tc>
        <w:tc>
          <w:tcPr>
            <w:tcW w:w="3315" w:type="dxa"/>
            <w:gridSpan w:val="7"/>
            <w:tcBorders>
              <w:top w:val="nil"/>
              <w:left w:val="nil"/>
              <w:bottom w:val="nil"/>
            </w:tcBorders>
            <w:shd w:val="clear" w:color="auto" w:fill="auto"/>
          </w:tcPr>
          <w:p w:rsidR="0017135D" w:rsidRPr="00FA1F65" w:rsidP="00EB539B">
            <w:pPr>
              <w:pStyle w:val="CSbody0bold"/>
            </w:pPr>
            <w:r w:rsidRPr="00FA1F65">
              <w:t>Scheduled Redemption</w:t>
            </w:r>
          </w:p>
        </w:tc>
        <w:tc>
          <w:tcPr>
            <w:tcW w:w="1618" w:type="dxa"/>
            <w:gridSpan w:val="2"/>
            <w:tcBorders>
              <w:top w:val="nil"/>
              <w:bottom w:val="nil"/>
              <w:right w:val="nil"/>
            </w:tcBorders>
            <w:shd w:val="clear" w:color="auto" w:fill="auto"/>
          </w:tcPr>
          <w:p w:rsidR="0017135D" w:rsidRPr="00090117" w:rsidP="00EB539B">
            <w:pPr>
              <w:pStyle w:val="CSbody0bold"/>
            </w:pPr>
            <w:r w:rsidRPr="00090117">
              <w:t>C.1</w:t>
            </w:r>
          </w:p>
        </w:tc>
        <w:tc>
          <w:tcPr>
            <w:tcW w:w="3318" w:type="dxa"/>
            <w:gridSpan w:val="10"/>
            <w:tcBorders>
              <w:top w:val="nil"/>
              <w:left w:val="nil"/>
              <w:bottom w:val="nil"/>
              <w:right w:val="nil"/>
            </w:tcBorders>
            <w:shd w:val="clear" w:color="auto" w:fill="auto"/>
          </w:tcPr>
          <w:p w:rsidR="0017135D" w:rsidRPr="00ED7933" w:rsidP="00EB539B">
            <w:pPr>
              <w:pStyle w:val="CSbody0bold"/>
            </w:pPr>
            <w:r w:rsidRPr="00ED7933">
              <w:t>Planmässige Rückzahlung</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150B1" w:rsidP="00EB539B">
            <w:pPr>
              <w:pStyle w:val="CSBody8pt"/>
            </w:pPr>
            <w:r w:rsidRPr="00D150B1">
              <w:t>Scheduled Redemption</w:t>
            </w:r>
            <w:r>
              <w:fldChar w:fldCharType="begin"/>
            </w:r>
            <w:r>
              <w:instrText xml:space="preserve"> XE "</w:instrText>
            </w:r>
            <w:r w:rsidRPr="00D33853">
              <w:instrText>Scheduled Redemption</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D150B1" w:rsidP="00EB539B">
            <w:pPr>
              <w:pStyle w:val="CSBody8pt"/>
            </w:pPr>
            <w:r w:rsidRPr="00792D61">
              <w:rPr>
                <w:b/>
              </w:rPr>
              <w:t>[</w:t>
            </w:r>
            <w:r w:rsidRPr="00D150B1">
              <w:rPr>
                <w:b/>
                <w:i/>
              </w:rPr>
              <w:t>in the case of one Reference Entity, insert:</w:t>
            </w:r>
            <w:r w:rsidRPr="00D150B1">
              <w:t xml:space="preserve"> Unless previously redeemed, repurchased or cancelled, and provided that no Credit Event Determination Date has occurred on or prior to the Scheduled Maturity Date, the Issuer shall redeem each Complex Product on </w:t>
            </w:r>
            <w:r w:rsidRPr="00792D61">
              <w:rPr>
                <w:b/>
              </w:rPr>
              <w:t>[</w:t>
            </w:r>
            <w:r w:rsidRPr="00D150B1">
              <w:t>the Scheduled Maturity Date</w:t>
            </w:r>
            <w:r w:rsidRPr="00792D61">
              <w:rPr>
                <w:b/>
              </w:rPr>
              <w:t>][</w:t>
            </w:r>
            <w:r w:rsidRPr="00D150B1">
              <w:t xml:space="preserve">the date that is </w:t>
            </w:r>
            <w:r w:rsidRPr="00792D61">
              <w:rPr>
                <w:b/>
              </w:rPr>
              <w:t>[</w:t>
            </w:r>
            <w:r w:rsidRPr="00D150B1">
              <w:rPr>
                <w:rFonts w:ascii="Arial" w:hAnsi="Arial" w:cs="Arial"/>
              </w:rPr>
              <w:t>●</w:t>
            </w:r>
            <w:r w:rsidRPr="00792D61">
              <w:rPr>
                <w:b/>
              </w:rPr>
              <w:t>]</w:t>
            </w:r>
            <w:r w:rsidRPr="00D150B1">
              <w:t xml:space="preserve"> Business Days after the Scheduled Maturity Date</w:t>
            </w:r>
            <w:r w:rsidRPr="00792D61">
              <w:rPr>
                <w:b/>
              </w:rPr>
              <w:t>]</w:t>
            </w:r>
            <w:r w:rsidRPr="00D150B1">
              <w:t xml:space="preserve"> by payment of a cash amount equal to the Scheduled Redemption Amount to the Holder thereof; provided, </w:t>
            </w:r>
            <w:r w:rsidRPr="00D150B1">
              <w:rPr>
                <w:i/>
              </w:rPr>
              <w:t>however</w:t>
            </w:r>
            <w:r w:rsidRPr="00D150B1">
              <w:t>, that, if a Potential Credit Event Period has occurred on or prior to, and is continuing on, the Scheduled Maturity Date, the following shall apply:</w:t>
            </w:r>
          </w:p>
        </w:tc>
        <w:tc>
          <w:tcPr>
            <w:tcW w:w="1618" w:type="dxa"/>
            <w:gridSpan w:val="2"/>
            <w:tcBorders>
              <w:top w:val="nil"/>
              <w:bottom w:val="nil"/>
              <w:right w:val="nil"/>
            </w:tcBorders>
            <w:shd w:val="clear" w:color="auto" w:fill="auto"/>
          </w:tcPr>
          <w:p w:rsidR="0017135D" w:rsidRPr="00D150B1" w:rsidP="00EB539B">
            <w:pPr>
              <w:pStyle w:val="CSBody8pt"/>
            </w:pPr>
            <w:r w:rsidRPr="00D150B1">
              <w:t>Planmässige Rückzahlung</w:t>
            </w:r>
            <w:r>
              <w:fldChar w:fldCharType="begin"/>
            </w:r>
            <w:r>
              <w:instrText xml:space="preserve"> XE "</w:instrText>
            </w:r>
            <w:r w:rsidRPr="00865D04">
              <w:instrText>Planmässige Rückzahlung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221DE3" w:rsidP="0094769A">
            <w:pPr>
              <w:pStyle w:val="CSBody8pt"/>
              <w:rPr>
                <w:lang w:val="de-DE"/>
              </w:rPr>
            </w:pPr>
            <w:r w:rsidRPr="00792D61">
              <w:rPr>
                <w:b/>
                <w:lang w:val="de-DE"/>
              </w:rPr>
              <w:t>[</w:t>
            </w:r>
            <w:r w:rsidRPr="00D150B1">
              <w:rPr>
                <w:b/>
                <w:i/>
                <w:lang w:val="de-DE"/>
              </w:rPr>
              <w:t xml:space="preserve">bei einem Referenzschuldner, einfügen: </w:t>
            </w:r>
            <w:r w:rsidRPr="00D150B1">
              <w:rPr>
                <w:lang w:val="de-DE"/>
              </w:rPr>
              <w:t xml:space="preserve">Sofern an oder vor dem Planmässigen Fälligkeitstag kein Kreditereignis-Feststellungstag eingetreten ist, wird jedes Komplexe Produkt, das nicht bereits zuvor zurückgezahlt, zurückgekauft oder entwertet wurde, von der Emittentin </w:t>
            </w:r>
            <w:r w:rsidRPr="00792D61">
              <w:rPr>
                <w:b/>
                <w:lang w:val="de-DE"/>
              </w:rPr>
              <w:t>[</w:t>
            </w:r>
            <w:r w:rsidRPr="00D150B1">
              <w:rPr>
                <w:lang w:val="de-DE"/>
              </w:rPr>
              <w:t>am Planmässigen Fälligkeitstag</w:t>
            </w:r>
            <w:r w:rsidRPr="00792D61">
              <w:rPr>
                <w:b/>
                <w:lang w:val="de-DE"/>
              </w:rPr>
              <w:t>][</w:t>
            </w:r>
            <w:r w:rsidRPr="00D150B1">
              <w:rPr>
                <w:lang w:val="de-DE"/>
              </w:rPr>
              <w:t xml:space="preserve">an dem Tag, der </w:t>
            </w:r>
            <w:r w:rsidRPr="00792D61">
              <w:rPr>
                <w:b/>
                <w:lang w:val="de-DE"/>
              </w:rPr>
              <w:t>[</w:t>
            </w:r>
            <w:r w:rsidRPr="00D150B1">
              <w:rPr>
                <w:rFonts w:ascii="Arial" w:hAnsi="Arial" w:cs="Arial"/>
                <w:lang w:val="de-DE"/>
              </w:rPr>
              <w:t>●</w:t>
            </w:r>
            <w:r w:rsidRPr="00792D61">
              <w:rPr>
                <w:b/>
                <w:lang w:val="de-DE"/>
              </w:rPr>
              <w:t>]</w:t>
            </w:r>
            <w:r w:rsidRPr="00D150B1">
              <w:rPr>
                <w:lang w:val="de-DE"/>
              </w:rPr>
              <w:t xml:space="preserve"> Gesch</w:t>
            </w:r>
            <w:r w:rsidRPr="00D150B1">
              <w:rPr>
                <w:rFonts w:cs="Credit Suisse Type Light"/>
                <w:lang w:val="de-DE"/>
              </w:rPr>
              <w:t>ä</w:t>
            </w:r>
            <w:r w:rsidRPr="00D150B1">
              <w:rPr>
                <w:lang w:val="de-DE"/>
              </w:rPr>
              <w:t>ftstage nach dem Planm</w:t>
            </w:r>
            <w:r w:rsidRPr="00D150B1">
              <w:rPr>
                <w:rFonts w:cs="Credit Suisse Type Light"/>
                <w:lang w:val="de-DE"/>
              </w:rPr>
              <w:t>ä</w:t>
            </w:r>
            <w:r w:rsidRPr="00D150B1">
              <w:rPr>
                <w:lang w:val="de-DE"/>
              </w:rPr>
              <w:t>ssigen F</w:t>
            </w:r>
            <w:r w:rsidRPr="00D150B1">
              <w:rPr>
                <w:rFonts w:cs="Credit Suisse Type Light"/>
                <w:lang w:val="de-DE"/>
              </w:rPr>
              <w:t>ä</w:t>
            </w:r>
            <w:r w:rsidRPr="00D150B1">
              <w:rPr>
                <w:lang w:val="de-DE"/>
              </w:rPr>
              <w:t>lligkeitstag liegt,</w:t>
            </w:r>
            <w:r w:rsidRPr="00792D61">
              <w:rPr>
                <w:b/>
                <w:lang w:val="de-DE"/>
              </w:rPr>
              <w:t>]</w:t>
            </w:r>
            <w:r w:rsidRPr="00D150B1">
              <w:rPr>
                <w:lang w:val="de-DE"/>
              </w:rPr>
              <w:t xml:space="preserve"> durch Zahlung eines dem Planm</w:t>
            </w:r>
            <w:r w:rsidRPr="00D150B1">
              <w:rPr>
                <w:rFonts w:cs="Credit Suisse Type Light"/>
                <w:lang w:val="de-DE"/>
              </w:rPr>
              <w:t>ä</w:t>
            </w:r>
            <w:r w:rsidRPr="00D150B1">
              <w:rPr>
                <w:lang w:val="de-DE"/>
              </w:rPr>
              <w:t>ssigen R</w:t>
            </w:r>
            <w:r w:rsidRPr="00D150B1">
              <w:rPr>
                <w:rFonts w:cs="Credit Suisse Type Light"/>
                <w:lang w:val="de-DE"/>
              </w:rPr>
              <w:t>ü</w:t>
            </w:r>
            <w:r w:rsidRPr="00D150B1">
              <w:rPr>
                <w:lang w:val="de-DE"/>
              </w:rPr>
              <w:t xml:space="preserve">ckzahlungsbetrag entsprechenden Geldbetrags an den jeweiligen Inhaber getilgt; </w:t>
            </w:r>
            <w:r w:rsidRPr="00D150B1">
              <w:rPr>
                <w:i/>
                <w:lang w:val="de-DE"/>
              </w:rPr>
              <w:t>wobei jedoch</w:t>
            </w:r>
            <w:r w:rsidRPr="00D150B1">
              <w:rPr>
                <w:lang w:val="de-DE"/>
              </w:rPr>
              <w:t xml:space="preserve"> im Fall, dass ein Zeitraum eines Potenziellen Kreditereignisses an oder vor dem Planmässigen Fälligkeitstag begonnen hat und am Planmässigen Fälligkeitstag andauert, folgendes gilt: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F2D4A" w:rsidP="00EB539B">
            <w:pPr>
              <w:pStyle w:val="CSBody8pt"/>
              <w:rPr>
                <w:b/>
                <w:lang w:val="de-DE"/>
              </w:rPr>
            </w:pPr>
          </w:p>
        </w:tc>
        <w:tc>
          <w:tcPr>
            <w:tcW w:w="3315" w:type="dxa"/>
            <w:gridSpan w:val="7"/>
            <w:tcBorders>
              <w:top w:val="nil"/>
              <w:left w:val="nil"/>
              <w:bottom w:val="nil"/>
            </w:tcBorders>
            <w:shd w:val="clear" w:color="auto" w:fill="auto"/>
          </w:tcPr>
          <w:p w:rsidR="0017135D" w:rsidRPr="001B68ED" w:rsidP="00EB539B">
            <w:pPr>
              <w:pStyle w:val="CSManNum8pt"/>
            </w:pPr>
            <w:r w:rsidRPr="001B68ED">
              <w:t>(i)</w:t>
            </w:r>
            <w:r w:rsidRPr="001B68ED">
              <w:tab/>
              <w:t xml:space="preserve">if the relevant Potential Failure to Pay </w:t>
            </w:r>
            <w:r w:rsidRPr="00792D61">
              <w:rPr>
                <w:b/>
              </w:rPr>
              <w:t>[</w:t>
            </w:r>
            <w:r w:rsidRPr="00EB539B">
              <w:rPr>
                <w:b/>
                <w:i/>
              </w:rPr>
              <w:t>if "Repudiation/Moratorium" is applicable, insert:</w:t>
            </w:r>
            <w:r w:rsidRPr="001B68ED">
              <w:t xml:space="preserve"> , Potential Repudiation/Moratorium</w:t>
            </w:r>
            <w:r w:rsidRPr="00792D61">
              <w:rPr>
                <w:b/>
              </w:rPr>
              <w:t>]</w:t>
            </w:r>
            <w:r w:rsidRPr="001B68ED">
              <w:t xml:space="preserve"> or DC Pending Request, as the case may be, </w:t>
            </w:r>
            <w:r w:rsidRPr="00DC58CF">
              <w:rPr>
                <w:b/>
              </w:rPr>
              <w:t>results</w:t>
            </w:r>
            <w:r w:rsidRPr="001B68ED">
              <w:t xml:space="preserve"> in the occurrence of a Credit Event Determination Date, as determined on or prior to the last day of such Potential Credit Event Period, the Issuer shall redeem each Complex Product in accordance with Section 2.2; or</w:t>
            </w:r>
          </w:p>
        </w:tc>
        <w:tc>
          <w:tcPr>
            <w:tcW w:w="1618" w:type="dxa"/>
            <w:gridSpan w:val="2"/>
            <w:tcBorders>
              <w:top w:val="nil"/>
              <w:bottom w:val="nil"/>
              <w:right w:val="nil"/>
            </w:tcBorders>
            <w:shd w:val="clear" w:color="auto" w:fill="auto"/>
          </w:tcPr>
          <w:p w:rsidR="0017135D" w:rsidRPr="001B68ED" w:rsidP="00EB539B">
            <w:pPr>
              <w:pStyle w:val="CSManNum8pt"/>
              <w:rPr>
                <w:i/>
              </w:rPr>
            </w:pPr>
          </w:p>
        </w:tc>
        <w:tc>
          <w:tcPr>
            <w:tcW w:w="3318" w:type="dxa"/>
            <w:gridSpan w:val="10"/>
            <w:tcBorders>
              <w:top w:val="nil"/>
              <w:left w:val="nil"/>
              <w:bottom w:val="nil"/>
              <w:right w:val="nil"/>
            </w:tcBorders>
            <w:shd w:val="clear" w:color="auto" w:fill="auto"/>
          </w:tcPr>
          <w:p w:rsidR="0017135D" w:rsidRPr="001B68ED" w:rsidP="0094769A">
            <w:pPr>
              <w:pStyle w:val="CSManNum8pt"/>
              <w:rPr>
                <w:bCs/>
                <w:lang w:val="de-DE"/>
              </w:rPr>
            </w:pPr>
            <w:r w:rsidRPr="001B68ED">
              <w:rPr>
                <w:bCs/>
                <w:lang w:val="de-DE"/>
              </w:rPr>
              <w:t>(i)</w:t>
            </w:r>
            <w:r w:rsidRPr="001B68ED">
              <w:rPr>
                <w:bCs/>
                <w:lang w:val="de-DE"/>
              </w:rPr>
              <w:tab/>
              <w:t xml:space="preserve">falls die jeweilige Potenzielle Nichtzahlung </w:t>
            </w:r>
            <w:r w:rsidRPr="00792D61">
              <w:rPr>
                <w:b/>
                <w:bCs/>
                <w:lang w:val="de-DE"/>
              </w:rPr>
              <w:t>[</w:t>
            </w:r>
            <w:r w:rsidRPr="00EB539B">
              <w:rPr>
                <w:b/>
                <w:bCs/>
                <w:i/>
                <w:lang w:val="de-DE"/>
              </w:rPr>
              <w:t>falls "Nichtanerken-nung/Moratorium" anwendbar ist, einfügen:</w:t>
            </w:r>
            <w:r>
              <w:rPr>
                <w:bCs/>
                <w:lang w:val="de-DE"/>
              </w:rPr>
              <w:t>oder</w:t>
            </w:r>
            <w:r w:rsidRPr="001B68ED">
              <w:rPr>
                <w:bCs/>
                <w:lang w:val="de-DE"/>
              </w:rPr>
              <w:t xml:space="preserve"> die jeweilige Potenzielle Nichtanerkennung/das jeweilige Potenzielle Moratorium</w:t>
            </w:r>
            <w:r w:rsidRPr="00792D61">
              <w:rPr>
                <w:b/>
                <w:bCs/>
                <w:lang w:val="de-DE"/>
              </w:rPr>
              <w:t>]</w:t>
            </w:r>
            <w:r w:rsidRPr="001B68ED">
              <w:rPr>
                <w:bCs/>
                <w:lang w:val="de-DE"/>
              </w:rPr>
              <w:t xml:space="preserve"> oder ein Ausstehender Antrag zu einem Kreditereignis-Feststellungstag, wie an oder vor dem letzten Tag dieses Zeitraums eines Potenziellen Kreditereignisses festgestellt, </w:t>
            </w:r>
            <w:r w:rsidRPr="00DC58CF">
              <w:rPr>
                <w:b/>
                <w:bCs/>
                <w:lang w:val="de-DE"/>
              </w:rPr>
              <w:t>führt</w:t>
            </w:r>
            <w:r w:rsidRPr="001B68ED">
              <w:rPr>
                <w:bCs/>
                <w:lang w:val="de-DE"/>
              </w:rPr>
              <w:t>, zahlt die Emittentin jedes Komplexe Produkt gemäss Ziffer 2.2 zurück;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B68ED" w:rsidP="00A457E7">
            <w:pPr>
              <w:pStyle w:val="CSBody0"/>
              <w:rPr>
                <w:b/>
                <w:lang w:val="de-DE"/>
              </w:rPr>
            </w:pPr>
          </w:p>
        </w:tc>
        <w:tc>
          <w:tcPr>
            <w:tcW w:w="3315" w:type="dxa"/>
            <w:gridSpan w:val="7"/>
            <w:tcBorders>
              <w:top w:val="nil"/>
              <w:left w:val="nil"/>
              <w:bottom w:val="nil"/>
            </w:tcBorders>
            <w:shd w:val="clear" w:color="auto" w:fill="auto"/>
          </w:tcPr>
          <w:p w:rsidR="0017135D" w:rsidRPr="001B68ED" w:rsidP="0094769A">
            <w:pPr>
              <w:pStyle w:val="CSManNum8pt"/>
            </w:pPr>
            <w:r w:rsidRPr="001B68ED">
              <w:t>(ii)</w:t>
            </w:r>
            <w:r w:rsidRPr="001B68ED">
              <w:tab/>
              <w:t xml:space="preserve">if the relevant Potential Failure to Pay </w:t>
            </w:r>
            <w:r w:rsidRPr="00792D61">
              <w:rPr>
                <w:b/>
              </w:rPr>
              <w:t>[</w:t>
            </w:r>
            <w:r w:rsidRPr="00EB539B">
              <w:rPr>
                <w:b/>
                <w:i/>
              </w:rPr>
              <w:t>if "Repudiation/Moratorium" is applicable, insert:</w:t>
            </w:r>
            <w:r w:rsidRPr="001B68ED">
              <w:t xml:space="preserve"> , Potential Repudiation/Moratorium</w:t>
            </w:r>
            <w:r w:rsidRPr="00792D61">
              <w:rPr>
                <w:b/>
              </w:rPr>
              <w:t>]</w:t>
            </w:r>
            <w:r w:rsidRPr="001B68ED">
              <w:t xml:space="preserve"> or DC Pending Request, as the case may be, </w:t>
            </w:r>
            <w:r w:rsidRPr="00DC58CF">
              <w:rPr>
                <w:b/>
              </w:rPr>
              <w:t>does not result</w:t>
            </w:r>
            <w:r w:rsidRPr="001B68ED">
              <w:t xml:space="preserve"> in the occurrence of a Credit Event Determination Date, as determined on or prior to the last day of such Potential Credit Event Period, instead of redeeming each Complex Product on the Scheduled Maturity Date, the Issuer shall redeem each Complex Product on the </w:t>
            </w:r>
            <w:r w:rsidRPr="00792D61">
              <w:rPr>
                <w:b/>
              </w:rPr>
              <w:t>[</w:t>
            </w:r>
            <w:r w:rsidRPr="001B68ED">
              <w:t>fifth</w:t>
            </w:r>
            <w:r w:rsidRPr="00792D61">
              <w:rPr>
                <w:b/>
              </w:rPr>
              <w:t>][[</w:t>
            </w:r>
            <w:r w:rsidRPr="001B68ED">
              <w:rPr>
                <w:rFonts w:ascii="Arial" w:hAnsi="Arial" w:cs="Arial"/>
              </w:rPr>
              <w:t>●</w:t>
            </w:r>
            <w:r w:rsidRPr="00792D61">
              <w:rPr>
                <w:b/>
              </w:rPr>
              <w:t>]]</w:t>
            </w:r>
            <w:r w:rsidRPr="001B68ED">
              <w:t xml:space="preserve"> Business Day following the last day of such Potential Credit Event Period, by payment of a cash amount equal to the Scheduled Redemption Amount to the Holder thereof</w:t>
            </w:r>
            <w:r w:rsidRPr="00792D61">
              <w:rPr>
                <w:b/>
              </w:rPr>
              <w:t>[</w:t>
            </w:r>
            <w:r w:rsidRPr="001B68ED">
              <w:t>.</w:t>
            </w:r>
            <w:r w:rsidRPr="00792D61">
              <w:rPr>
                <w:b/>
              </w:rPr>
              <w:t>][</w:t>
            </w:r>
            <w:r w:rsidRPr="00F71807">
              <w:rPr>
                <w:b/>
                <w:i/>
              </w:rPr>
              <w:t>if applicable, insert:</w:t>
            </w:r>
            <w:r w:rsidRPr="001B68ED">
              <w:t xml:space="preserve"> ;</w:t>
            </w:r>
          </w:p>
        </w:tc>
        <w:tc>
          <w:tcPr>
            <w:tcW w:w="1618" w:type="dxa"/>
            <w:gridSpan w:val="2"/>
            <w:tcBorders>
              <w:top w:val="nil"/>
              <w:bottom w:val="nil"/>
              <w:right w:val="nil"/>
            </w:tcBorders>
            <w:shd w:val="clear" w:color="auto" w:fill="auto"/>
          </w:tcPr>
          <w:p w:rsidR="0017135D" w:rsidRPr="001B68ED" w:rsidP="00EB539B">
            <w:pPr>
              <w:pStyle w:val="CSManNum8pt"/>
              <w:rPr>
                <w:i/>
              </w:rPr>
            </w:pPr>
          </w:p>
        </w:tc>
        <w:tc>
          <w:tcPr>
            <w:tcW w:w="3318" w:type="dxa"/>
            <w:gridSpan w:val="10"/>
            <w:tcBorders>
              <w:top w:val="nil"/>
              <w:left w:val="nil"/>
              <w:bottom w:val="nil"/>
              <w:right w:val="nil"/>
            </w:tcBorders>
            <w:shd w:val="clear" w:color="auto" w:fill="auto"/>
          </w:tcPr>
          <w:p w:rsidR="0017135D" w:rsidRPr="001B68ED" w:rsidP="0094769A">
            <w:pPr>
              <w:pStyle w:val="CSManNum8pt"/>
              <w:rPr>
                <w:bCs/>
                <w:lang w:val="de-DE"/>
              </w:rPr>
            </w:pPr>
            <w:r w:rsidRPr="001B68ED">
              <w:rPr>
                <w:bCs/>
                <w:lang w:val="de-DE"/>
              </w:rPr>
              <w:t>(ii)</w:t>
            </w:r>
            <w:r w:rsidRPr="001B68ED">
              <w:rPr>
                <w:bCs/>
                <w:lang w:val="de-DE"/>
              </w:rPr>
              <w:tab/>
              <w:t xml:space="preserve">falls die jeweilige Potenzielle Nichtzahlung </w:t>
            </w:r>
            <w:r w:rsidRPr="00792D61">
              <w:rPr>
                <w:b/>
                <w:bCs/>
                <w:lang w:val="de-DE"/>
              </w:rPr>
              <w:t>[</w:t>
            </w:r>
            <w:r w:rsidRPr="00EB539B">
              <w:rPr>
                <w:b/>
                <w:bCs/>
                <w:i/>
                <w:lang w:val="de-DE"/>
              </w:rPr>
              <w:t>falls "Nichtanerkennung/Moratorium" anwendbar ist, einfügen:</w:t>
            </w:r>
            <w:r w:rsidRPr="001B68ED">
              <w:rPr>
                <w:bCs/>
                <w:lang w:val="de-DE"/>
              </w:rPr>
              <w:t xml:space="preserve"> oder die jeweilige Potenzielle Nichtanerkennung/ das jeweilige Potenzielle Moratorium</w:t>
            </w:r>
            <w:r w:rsidRPr="00792D61">
              <w:rPr>
                <w:b/>
                <w:bCs/>
                <w:lang w:val="de-DE"/>
              </w:rPr>
              <w:t>]</w:t>
            </w:r>
            <w:r w:rsidRPr="001B68ED">
              <w:rPr>
                <w:bCs/>
                <w:lang w:val="de-DE"/>
              </w:rPr>
              <w:t xml:space="preserve"> oder ein Ausstehender Antrag </w:t>
            </w:r>
            <w:r w:rsidRPr="00F71807">
              <w:rPr>
                <w:b/>
                <w:bCs/>
                <w:lang w:val="de-DE"/>
              </w:rPr>
              <w:t>nicht</w:t>
            </w:r>
            <w:r w:rsidRPr="001B68ED">
              <w:rPr>
                <w:bCs/>
                <w:lang w:val="de-DE"/>
              </w:rPr>
              <w:t xml:space="preserve"> zu einem Kreditereignis-Feststellungstag </w:t>
            </w:r>
            <w:r w:rsidRPr="00F71807">
              <w:rPr>
                <w:b/>
                <w:bCs/>
                <w:lang w:val="de-DE"/>
              </w:rPr>
              <w:t>führt</w:t>
            </w:r>
            <w:r w:rsidRPr="001B68ED">
              <w:rPr>
                <w:bCs/>
                <w:lang w:val="de-DE"/>
              </w:rPr>
              <w:t xml:space="preserve">, wie an oder vor dem letzten Tag dieses Zeitraums eines Potenziellen Kreditereignisses festgestellt, zahlt die Emittentin jedes Komplexe Produkt anstatt am Planmässigen Fälligkeitstag am </w:t>
            </w:r>
            <w:r w:rsidRPr="00792D61">
              <w:rPr>
                <w:b/>
                <w:bCs/>
                <w:lang w:val="de-DE"/>
              </w:rPr>
              <w:t>[</w:t>
            </w:r>
            <w:r w:rsidRPr="001B68ED">
              <w:rPr>
                <w:bCs/>
                <w:lang w:val="de-DE"/>
              </w:rPr>
              <w:t>fünften</w:t>
            </w:r>
            <w:r w:rsidRPr="00792D61">
              <w:rPr>
                <w:b/>
                <w:bCs/>
                <w:lang w:val="de-DE"/>
              </w:rPr>
              <w:t>][[</w:t>
            </w:r>
            <w:r w:rsidRPr="001B68ED">
              <w:rPr>
                <w:rFonts w:ascii="Arial" w:hAnsi="Arial" w:cs="Arial"/>
                <w:bCs/>
                <w:lang w:val="de-DE"/>
              </w:rPr>
              <w:t>●</w:t>
            </w:r>
            <w:r w:rsidRPr="00792D61">
              <w:rPr>
                <w:b/>
                <w:bCs/>
                <w:lang w:val="de-DE"/>
              </w:rPr>
              <w:t>]]</w:t>
            </w:r>
            <w:r w:rsidRPr="001B68ED">
              <w:rPr>
                <w:bCs/>
                <w:lang w:val="de-DE"/>
              </w:rPr>
              <w:t xml:space="preserve"> Gesch</w:t>
            </w:r>
            <w:r w:rsidRPr="001B68ED">
              <w:rPr>
                <w:rFonts w:cs="Credit Suisse Type Light"/>
                <w:bCs/>
                <w:lang w:val="de-DE"/>
              </w:rPr>
              <w:t>ä</w:t>
            </w:r>
            <w:r w:rsidRPr="001B68ED">
              <w:rPr>
                <w:bCs/>
                <w:lang w:val="de-DE"/>
              </w:rPr>
              <w:t>ftstag nach dem letzten Tag dieses Zeitraums eines Potenziellen Kreditereignisses durch Zahlung eines Geldbetrags in Höhe des Planmässigen Rückzahlungsbetrags an den jeweiligen Inhaber zurück</w:t>
            </w:r>
            <w:r w:rsidRPr="00792D61">
              <w:rPr>
                <w:b/>
                <w:bCs/>
                <w:lang w:val="de-DE"/>
              </w:rPr>
              <w:t>[</w:t>
            </w:r>
            <w:r w:rsidRPr="001B68ED">
              <w:rPr>
                <w:bCs/>
                <w:lang w:val="de-DE"/>
              </w:rPr>
              <w:t>.</w:t>
            </w:r>
            <w:r w:rsidRPr="00792D61">
              <w:rPr>
                <w:b/>
                <w:bCs/>
                <w:lang w:val="de-DE"/>
              </w:rPr>
              <w:t>][</w:t>
            </w:r>
            <w:r w:rsidRPr="00F71807">
              <w:rPr>
                <w:b/>
                <w:bCs/>
                <w:i/>
                <w:lang w:val="de-DE"/>
              </w:rPr>
              <w:t>einfügen falls anwendbar:</w:t>
            </w:r>
            <w:r w:rsidRPr="001B68ED">
              <w:rPr>
                <w:bCs/>
                <w:lang w:val="de-DE"/>
              </w:rPr>
              <w:t xml:space="preserve">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B68ED" w:rsidP="00F71807">
            <w:pPr>
              <w:pStyle w:val="CSBody8pt"/>
              <w:rPr>
                <w:lang w:val="de-DE"/>
              </w:rPr>
            </w:pPr>
          </w:p>
        </w:tc>
        <w:tc>
          <w:tcPr>
            <w:tcW w:w="3315" w:type="dxa"/>
            <w:gridSpan w:val="7"/>
            <w:tcBorders>
              <w:top w:val="nil"/>
              <w:left w:val="nil"/>
              <w:bottom w:val="nil"/>
            </w:tcBorders>
            <w:shd w:val="clear" w:color="auto" w:fill="auto"/>
          </w:tcPr>
          <w:p w:rsidR="0017135D" w:rsidRPr="00BE7423" w:rsidP="00F71807">
            <w:pPr>
              <w:pStyle w:val="CSBody8pt"/>
            </w:pPr>
            <w:r w:rsidRPr="00BE7423">
              <w:rPr>
                <w:i/>
              </w:rPr>
              <w:t>provided, however,</w:t>
            </w:r>
            <w:r w:rsidRPr="00BE7423">
              <w:t xml:space="preserve"> that the Issuer may elect in its discretion to redeem each Complex Product at any time during such Potential Credit Event Period by payment of a cash amount equal to the Scheduled Redemption Amount to the Holder thereof, so long as the relevant Potential Failure to Pay </w:t>
            </w:r>
            <w:r w:rsidRPr="00792D61">
              <w:rPr>
                <w:b/>
              </w:rPr>
              <w:t>[</w:t>
            </w:r>
            <w:r w:rsidRPr="00BE7423">
              <w:rPr>
                <w:b/>
                <w:i/>
              </w:rPr>
              <w:t>if "Repudiation/Moratorium" is applicable, insert:</w:t>
            </w:r>
            <w:r w:rsidRPr="00BE7423">
              <w:t xml:space="preserve"> , Potential Repudiation/Moratorium</w:t>
            </w:r>
            <w:r w:rsidRPr="00792D61">
              <w:rPr>
                <w:b/>
              </w:rPr>
              <w:t>]</w:t>
            </w:r>
            <w:r w:rsidRPr="00BE7423">
              <w:t xml:space="preserve"> or DC Pending Request, as the case may be, has not resulted in the occurrence of a Credit Event Determination Date as of the date of such redemption.</w:t>
            </w:r>
            <w:r w:rsidRPr="00792D61">
              <w:rPr>
                <w:b/>
              </w:rPr>
              <w:t>]</w:t>
            </w:r>
            <w:r w:rsidRPr="00BE7423">
              <w:t xml:space="preserve"> For any postponement of the payment of the Scheduled Redemption Amount no default interest or other compensation payments shall be payable to the Holders.</w:t>
            </w:r>
            <w:r w:rsidRPr="00792D61">
              <w:rPr>
                <w:b/>
              </w:rPr>
              <w:t>]</w:t>
            </w:r>
          </w:p>
        </w:tc>
        <w:tc>
          <w:tcPr>
            <w:tcW w:w="1618" w:type="dxa"/>
            <w:gridSpan w:val="2"/>
            <w:tcBorders>
              <w:top w:val="nil"/>
              <w:bottom w:val="nil"/>
              <w:right w:val="nil"/>
            </w:tcBorders>
            <w:shd w:val="clear" w:color="auto" w:fill="auto"/>
          </w:tcPr>
          <w:p w:rsidR="0017135D" w:rsidRPr="00BE7423" w:rsidP="00F71807">
            <w:pPr>
              <w:pStyle w:val="CSBody8pt"/>
              <w:rPr>
                <w:i/>
              </w:rPr>
            </w:pPr>
          </w:p>
        </w:tc>
        <w:tc>
          <w:tcPr>
            <w:tcW w:w="3318" w:type="dxa"/>
            <w:gridSpan w:val="10"/>
            <w:tcBorders>
              <w:top w:val="nil"/>
              <w:left w:val="nil"/>
              <w:bottom w:val="nil"/>
              <w:right w:val="nil"/>
            </w:tcBorders>
            <w:shd w:val="clear" w:color="auto" w:fill="auto"/>
          </w:tcPr>
          <w:p w:rsidR="0017135D" w:rsidRPr="001B68ED" w:rsidP="0094769A">
            <w:pPr>
              <w:pStyle w:val="CSBody8pt"/>
              <w:rPr>
                <w:lang w:val="de-DE"/>
              </w:rPr>
            </w:pPr>
            <w:r w:rsidRPr="00BE7423">
              <w:rPr>
                <w:i/>
                <w:lang w:val="de-DE"/>
              </w:rPr>
              <w:t>wobei jedoch</w:t>
            </w:r>
            <w:r w:rsidRPr="00BE7423">
              <w:rPr>
                <w:lang w:val="de-DE"/>
              </w:rPr>
              <w:t xml:space="preserve"> die Emittentin nach ihrem Ermessen jedes Komplexe Produkt zu jedem Zeitpunkt eines solchen Zeitraums eines Potenziellen Kreditereignisses durch Zahlung eines Geldbetrags in Höhe des Planmässigen Rückzahlungsbetrags an den jeweiligen Inhaber zurückzahlen kann, solange zum Zeitpunkt der </w:t>
            </w:r>
            <w:r w:rsidRPr="00801117">
              <w:rPr>
                <w:lang w:val="de-DE"/>
              </w:rPr>
              <w:t xml:space="preserve">Rückzahlung </w:t>
            </w:r>
            <w:r w:rsidRPr="00BE7423">
              <w:rPr>
                <w:lang w:val="de-DE"/>
              </w:rPr>
              <w:t xml:space="preserve">die jeweilige Potenzielle Nichtzahlung </w:t>
            </w:r>
            <w:r w:rsidRPr="00792D61">
              <w:rPr>
                <w:b/>
                <w:lang w:val="de-DE"/>
              </w:rPr>
              <w:t>[</w:t>
            </w:r>
            <w:r w:rsidRPr="00BE7423">
              <w:rPr>
                <w:b/>
                <w:i/>
                <w:lang w:val="de-DE"/>
              </w:rPr>
              <w:t>falls "Nichtanerkennung/Moratorium" anwendbar ist, einfügen:</w:t>
            </w:r>
            <w:r w:rsidRPr="00BE7423">
              <w:rPr>
                <w:lang w:val="de-DE"/>
              </w:rPr>
              <w:t xml:space="preserve"> oder die jeweilige Potenzielle Nichtanerkennung / das jeweilige Potenzielle Moratorium</w:t>
            </w:r>
            <w:r w:rsidRPr="00792D61">
              <w:rPr>
                <w:b/>
                <w:lang w:val="de-DE"/>
              </w:rPr>
              <w:t>]</w:t>
            </w:r>
            <w:r w:rsidRPr="00BE7423">
              <w:rPr>
                <w:lang w:val="de-DE"/>
              </w:rPr>
              <w:t xml:space="preserve"> oder ein Ausstehender Antrag nicht zu einem Kreditereignis-Feststellungstag geführt hat.</w:t>
            </w:r>
            <w:r w:rsidRPr="00792D61">
              <w:rPr>
                <w:b/>
                <w:lang w:val="de-DE"/>
              </w:rPr>
              <w:t>]</w:t>
            </w:r>
            <w:r w:rsidRPr="00BE7423">
              <w:rPr>
                <w:lang w:val="de-DE"/>
              </w:rPr>
              <w:t xml:space="preserve"> Für jede Verschiebung der Zahlung des Planmässigen Rückzahlungsbetrags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C557A" w:rsidP="00F71807">
            <w:pPr>
              <w:pStyle w:val="CSBody8ptbolditalics"/>
              <w:rPr>
                <w:lang w:val="de-DE"/>
              </w:rPr>
            </w:pPr>
          </w:p>
        </w:tc>
        <w:tc>
          <w:tcPr>
            <w:tcW w:w="3315" w:type="dxa"/>
            <w:gridSpan w:val="7"/>
            <w:tcBorders>
              <w:top w:val="nil"/>
              <w:left w:val="nil"/>
              <w:bottom w:val="nil"/>
            </w:tcBorders>
            <w:shd w:val="clear" w:color="auto" w:fill="auto"/>
          </w:tcPr>
          <w:p w:rsidR="0017135D" w:rsidRPr="00FB20F4" w:rsidP="00F71807">
            <w:pPr>
              <w:pStyle w:val="CSBody8ptbolditalics"/>
            </w:pPr>
            <w:r w:rsidRPr="00792D61">
              <w:t>[</w:t>
            </w:r>
            <w:r w:rsidRPr="00FB20F4">
              <w:t>in the case of an N</w:t>
            </w:r>
            <w:r w:rsidRPr="00BD6E0D">
              <w:rPr>
                <w:vertAlign w:val="superscript"/>
              </w:rPr>
              <w:t>th</w:t>
            </w:r>
            <w:r w:rsidRPr="00FB20F4">
              <w:t>-to-Default structure, insert:</w:t>
            </w:r>
          </w:p>
        </w:tc>
        <w:tc>
          <w:tcPr>
            <w:tcW w:w="1618" w:type="dxa"/>
            <w:gridSpan w:val="2"/>
            <w:tcBorders>
              <w:top w:val="nil"/>
              <w:bottom w:val="nil"/>
              <w:right w:val="nil"/>
            </w:tcBorders>
            <w:shd w:val="clear" w:color="auto" w:fill="auto"/>
          </w:tcPr>
          <w:p w:rsidR="0017135D" w:rsidRPr="001B68ED" w:rsidP="00F71807">
            <w:pPr>
              <w:pStyle w:val="CSBody8ptbolditalics"/>
            </w:pPr>
          </w:p>
        </w:tc>
        <w:tc>
          <w:tcPr>
            <w:tcW w:w="3318" w:type="dxa"/>
            <w:gridSpan w:val="10"/>
            <w:tcBorders>
              <w:top w:val="nil"/>
              <w:left w:val="nil"/>
              <w:bottom w:val="nil"/>
              <w:right w:val="nil"/>
            </w:tcBorders>
            <w:shd w:val="clear" w:color="auto" w:fill="auto"/>
          </w:tcPr>
          <w:p w:rsidR="0017135D" w:rsidRPr="000C557A" w:rsidP="00F71807">
            <w:pPr>
              <w:pStyle w:val="CSBody8ptbolditalics"/>
              <w:rPr>
                <w:lang w:val="de-DE"/>
              </w:rPr>
            </w:pPr>
            <w:r w:rsidRPr="00792D61">
              <w:rPr>
                <w:lang w:val="de-DE"/>
              </w:rPr>
              <w:t>[</w:t>
            </w:r>
            <w:r w:rsidRPr="000C557A">
              <w:rPr>
                <w:lang w:val="de-DE"/>
              </w:rPr>
              <w:t>bei Kreditbezogenen Komplexen Produkten mit N</w:t>
            </w:r>
            <w:r w:rsidRPr="00BD6E0D">
              <w:rPr>
                <w:vertAlign w:val="superscript"/>
                <w:lang w:val="de-DE"/>
              </w:rPr>
              <w:t>th</w:t>
            </w:r>
            <w:r w:rsidRPr="000C557A">
              <w:rPr>
                <w:lang w:val="de-DE"/>
              </w:rPr>
              <w:t>-to-Default-Struktur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B68ED" w:rsidP="00F71807">
            <w:pPr>
              <w:pStyle w:val="CSBody8pt"/>
              <w:rPr>
                <w:lang w:val="de-DE"/>
              </w:rPr>
            </w:pPr>
          </w:p>
        </w:tc>
        <w:tc>
          <w:tcPr>
            <w:tcW w:w="3315" w:type="dxa"/>
            <w:gridSpan w:val="7"/>
            <w:tcBorders>
              <w:top w:val="nil"/>
              <w:left w:val="nil"/>
              <w:bottom w:val="nil"/>
            </w:tcBorders>
            <w:shd w:val="clear" w:color="auto" w:fill="auto"/>
          </w:tcPr>
          <w:p w:rsidR="0017135D" w:rsidP="00F71807">
            <w:pPr>
              <w:pStyle w:val="CSBody8pt"/>
            </w:pPr>
            <w:r w:rsidRPr="00FB20F4">
              <w:t xml:space="preserve">Unless previously redeemed, repurchased or cancelled, and provided that no Credit Event Determination Date with respect to the </w:t>
            </w:r>
            <w:r w:rsidRPr="00792D61">
              <w:rPr>
                <w:b/>
              </w:rPr>
              <w:t>[</w:t>
            </w:r>
            <w:r w:rsidRPr="00F71807">
              <w:rPr>
                <w:b/>
                <w:i/>
              </w:rPr>
              <w:t xml:space="preserve">insert relevant number: </w:t>
            </w:r>
            <w:r w:rsidRPr="00792D61">
              <w:rPr>
                <w:b/>
              </w:rPr>
              <w:t>[</w:t>
            </w:r>
            <w:r w:rsidRPr="00FB20F4">
              <w:t>1st</w:t>
            </w:r>
            <w:r w:rsidRPr="00792D61">
              <w:rPr>
                <w:b/>
              </w:rPr>
              <w:t>][</w:t>
            </w:r>
            <w:r w:rsidRPr="00FB20F4">
              <w:t>2nd</w:t>
            </w:r>
            <w:r w:rsidRPr="00792D61">
              <w:rPr>
                <w:b/>
              </w:rPr>
              <w:t>][</w:t>
            </w:r>
            <w:r w:rsidRPr="00FB20F4">
              <w:t>3rd</w:t>
            </w:r>
            <w:r w:rsidRPr="00792D61">
              <w:rPr>
                <w:b/>
              </w:rPr>
              <w:t>][[</w:t>
            </w:r>
            <w:r w:rsidRPr="00FB20F4">
              <w:rPr>
                <w:rFonts w:ascii="Arial" w:hAnsi="Arial" w:cs="Arial"/>
              </w:rPr>
              <w:t>●</w:t>
            </w:r>
            <w:r w:rsidRPr="00792D61">
              <w:rPr>
                <w:b/>
              </w:rPr>
              <w:t>]]]</w:t>
            </w:r>
            <w:r w:rsidRPr="00FB20F4">
              <w:t xml:space="preserve">-to-Default Reference Entity has occurred on or prior to the Scheduled Maturity Date, the Issuer shall redeem each Complex Product on </w:t>
            </w:r>
            <w:r w:rsidRPr="00792D61">
              <w:rPr>
                <w:b/>
              </w:rPr>
              <w:t>[</w:t>
            </w:r>
            <w:r w:rsidRPr="00FB20F4">
              <w:t>the Scheduled Maturity Date</w:t>
            </w:r>
            <w:r w:rsidRPr="00792D61">
              <w:rPr>
                <w:b/>
              </w:rPr>
              <w:t>][</w:t>
            </w:r>
            <w:r w:rsidRPr="00FB20F4">
              <w:t xml:space="preserve">on the date that is </w:t>
            </w:r>
            <w:r w:rsidRPr="00792D61">
              <w:rPr>
                <w:b/>
              </w:rPr>
              <w:t>[</w:t>
            </w:r>
            <w:r w:rsidRPr="00FB20F4">
              <w:rPr>
                <w:rFonts w:ascii="Arial" w:hAnsi="Arial" w:cs="Arial"/>
              </w:rPr>
              <w:t>●</w:t>
            </w:r>
            <w:r w:rsidRPr="00792D61">
              <w:rPr>
                <w:b/>
              </w:rPr>
              <w:t>]</w:t>
            </w:r>
            <w:r w:rsidRPr="00FB20F4">
              <w:t xml:space="preserve"> Business Days after the Scheduled Maturity Date</w:t>
            </w:r>
            <w:r w:rsidRPr="00792D61">
              <w:rPr>
                <w:b/>
              </w:rPr>
              <w:t>]</w:t>
            </w:r>
            <w:r w:rsidRPr="00FB20F4">
              <w:t xml:space="preserve"> by payment of a cash amount equal to the Scheduled Redemption Amount to the Holder thereof; provided, however, that, if a Potential Credit Event Period with respect to one or more Potential </w:t>
            </w:r>
            <w:r w:rsidRPr="00792D61">
              <w:rPr>
                <w:b/>
              </w:rPr>
              <w:t>[</w:t>
            </w:r>
            <w:r w:rsidRPr="00F71807">
              <w:rPr>
                <w:b/>
                <w:i/>
              </w:rPr>
              <w:t>insert relevant number:</w:t>
            </w:r>
            <w:r w:rsidRPr="00FB20F4">
              <w:t xml:space="preserve"> </w:t>
            </w:r>
            <w:r w:rsidRPr="00792D61">
              <w:rPr>
                <w:b/>
              </w:rPr>
              <w:t>[</w:t>
            </w:r>
            <w:r w:rsidRPr="00FB20F4">
              <w:t>1st</w:t>
            </w:r>
            <w:r w:rsidRPr="00792D61">
              <w:rPr>
                <w:b/>
              </w:rPr>
              <w:t>][</w:t>
            </w:r>
            <w:r w:rsidRPr="00FB20F4">
              <w:t>2nd</w:t>
            </w:r>
            <w:r w:rsidRPr="00792D61">
              <w:rPr>
                <w:b/>
              </w:rPr>
              <w:t>][</w:t>
            </w:r>
            <w:r w:rsidRPr="00FB20F4">
              <w:t>3rd</w:t>
            </w:r>
            <w:r w:rsidRPr="00792D61">
              <w:rPr>
                <w:b/>
              </w:rPr>
              <w:t>]</w:t>
            </w:r>
            <w:r w:rsidRPr="00FB20F4">
              <w:t xml:space="preserve"> </w:t>
            </w:r>
            <w:r w:rsidRPr="00792D61">
              <w:rPr>
                <w:b/>
              </w:rPr>
              <w:t>[[</w:t>
            </w:r>
            <w:r w:rsidRPr="00FB20F4">
              <w:rPr>
                <w:rFonts w:ascii="Arial" w:hAnsi="Arial" w:cs="Arial"/>
              </w:rPr>
              <w:t>●</w:t>
            </w:r>
            <w:r w:rsidRPr="00792D61">
              <w:rPr>
                <w:b/>
              </w:rPr>
              <w:t>]]]</w:t>
            </w:r>
            <w:r w:rsidRPr="00FB20F4">
              <w:t>-to-Default Reference Entities has occurred</w:t>
            </w:r>
            <w:r>
              <w:t xml:space="preserve"> </w:t>
            </w:r>
            <w:r w:rsidRPr="00FB20F4">
              <w:t>on or prior to the Scheduled Maturity Date, the following shall apply:</w:t>
            </w:r>
          </w:p>
        </w:tc>
        <w:tc>
          <w:tcPr>
            <w:tcW w:w="1618" w:type="dxa"/>
            <w:gridSpan w:val="2"/>
            <w:tcBorders>
              <w:top w:val="nil"/>
              <w:bottom w:val="nil"/>
              <w:right w:val="nil"/>
            </w:tcBorders>
            <w:shd w:val="clear" w:color="auto" w:fill="auto"/>
          </w:tcPr>
          <w:p w:rsidR="0017135D" w:rsidRPr="001B68ED" w:rsidP="00F71807">
            <w:pPr>
              <w:pStyle w:val="CSBody8pt"/>
              <w:rPr>
                <w:i/>
              </w:rPr>
            </w:pPr>
          </w:p>
        </w:tc>
        <w:tc>
          <w:tcPr>
            <w:tcW w:w="3318" w:type="dxa"/>
            <w:gridSpan w:val="10"/>
            <w:tcBorders>
              <w:top w:val="nil"/>
              <w:left w:val="nil"/>
              <w:bottom w:val="nil"/>
              <w:right w:val="nil"/>
            </w:tcBorders>
            <w:shd w:val="clear" w:color="auto" w:fill="auto"/>
          </w:tcPr>
          <w:p w:rsidR="0017135D" w:rsidRPr="001B68ED" w:rsidP="0094769A">
            <w:pPr>
              <w:pStyle w:val="CSBody8pt"/>
              <w:rPr>
                <w:lang w:val="de-DE"/>
              </w:rPr>
            </w:pPr>
            <w:r w:rsidRPr="001B68ED">
              <w:rPr>
                <w:lang w:val="de-DE"/>
              </w:rPr>
              <w:t xml:space="preserve">Sofern an oder vor dem Planmässigen Fälligkeitstag kein Kreditereignis-Feststellungstag in Bezug auf den </w:t>
            </w:r>
            <w:r w:rsidRPr="00792D61">
              <w:rPr>
                <w:b/>
                <w:lang w:val="de-DE"/>
              </w:rPr>
              <w:t>[</w:t>
            </w:r>
            <w:r w:rsidRPr="00F71807">
              <w:rPr>
                <w:b/>
                <w:i/>
                <w:lang w:val="de-DE"/>
              </w:rPr>
              <w:t xml:space="preserve">jeweilige Zahl einfügen: </w:t>
            </w:r>
            <w:r w:rsidRPr="00792D61">
              <w:rPr>
                <w:b/>
                <w:lang w:val="de-DE"/>
              </w:rPr>
              <w:t>[</w:t>
            </w:r>
            <w:r w:rsidRPr="001B68ED">
              <w:rPr>
                <w:lang w:val="de-DE"/>
              </w:rPr>
              <w:t>1st</w:t>
            </w:r>
            <w:r w:rsidRPr="00792D61">
              <w:rPr>
                <w:b/>
                <w:lang w:val="de-DE"/>
              </w:rPr>
              <w:t>][</w:t>
            </w:r>
            <w:r w:rsidRPr="001B68ED">
              <w:rPr>
                <w:lang w:val="de-DE"/>
              </w:rPr>
              <w:t>2nd</w:t>
            </w:r>
            <w:r w:rsidRPr="00792D61">
              <w:rPr>
                <w:b/>
                <w:lang w:val="de-DE"/>
              </w:rPr>
              <w:t>][</w:t>
            </w:r>
            <w:r w:rsidRPr="001B68ED">
              <w:rPr>
                <w:lang w:val="de-DE"/>
              </w:rPr>
              <w:t>3rd</w:t>
            </w:r>
            <w:r w:rsidRPr="00792D61">
              <w:rPr>
                <w:b/>
                <w:lang w:val="de-DE"/>
              </w:rPr>
              <w:t>][[</w:t>
            </w:r>
            <w:r w:rsidRPr="001B68ED">
              <w:rPr>
                <w:rFonts w:ascii="Arial" w:hAnsi="Arial" w:cs="Arial"/>
                <w:lang w:val="de-DE"/>
              </w:rPr>
              <w:t>●</w:t>
            </w:r>
            <w:r w:rsidRPr="00792D61">
              <w:rPr>
                <w:b/>
                <w:lang w:val="de-DE"/>
              </w:rPr>
              <w:t>]]]</w:t>
            </w:r>
            <w:r w:rsidRPr="001B68ED">
              <w:rPr>
                <w:lang w:val="de-DE"/>
              </w:rPr>
              <w:t xml:space="preserve">-to-Default-Referenz-schuldner eingetreten ist, wird jedes Komplexe Produkt, das nicht bereits zuvor zurückgezahlt, zurückgekauft oder entwertet wurde, von der Emittentin </w:t>
            </w:r>
            <w:r w:rsidRPr="00792D61">
              <w:rPr>
                <w:b/>
                <w:lang w:val="de-DE"/>
              </w:rPr>
              <w:t>[</w:t>
            </w:r>
            <w:r w:rsidRPr="001B68ED">
              <w:rPr>
                <w:lang w:val="de-DE"/>
              </w:rPr>
              <w:t>am Planmässigen Fälligkeitstag</w:t>
            </w:r>
            <w:r w:rsidRPr="00792D61">
              <w:rPr>
                <w:b/>
                <w:lang w:val="de-DE"/>
              </w:rPr>
              <w:t>][</w:t>
            </w:r>
            <w:r w:rsidRPr="001B68ED">
              <w:rPr>
                <w:lang w:val="de-DE"/>
              </w:rPr>
              <w:t xml:space="preserve">an dem Tag, der </w:t>
            </w:r>
            <w:r w:rsidRPr="00792D61">
              <w:rPr>
                <w:b/>
                <w:lang w:val="de-DE"/>
              </w:rPr>
              <w:t>[</w:t>
            </w:r>
            <w:r w:rsidRPr="001B68ED">
              <w:rPr>
                <w:rFonts w:ascii="Arial" w:hAnsi="Arial" w:cs="Arial"/>
                <w:lang w:val="de-DE"/>
              </w:rPr>
              <w:t>●</w:t>
            </w:r>
            <w:r w:rsidRPr="00792D61">
              <w:rPr>
                <w:b/>
                <w:lang w:val="de-DE"/>
              </w:rPr>
              <w:t>]</w:t>
            </w:r>
            <w:r w:rsidRPr="001B68ED">
              <w:rPr>
                <w:lang w:val="de-DE"/>
              </w:rPr>
              <w:t xml:space="preserve"> Gesch</w:t>
            </w:r>
            <w:r w:rsidRPr="001B68ED">
              <w:rPr>
                <w:rFonts w:cs="Credit Suisse Type Light"/>
                <w:lang w:val="de-DE"/>
              </w:rPr>
              <w:t>ä</w:t>
            </w:r>
            <w:r w:rsidRPr="001B68ED">
              <w:rPr>
                <w:lang w:val="de-DE"/>
              </w:rPr>
              <w:t>ftstage nach dem Planm</w:t>
            </w:r>
            <w:r w:rsidRPr="001B68ED">
              <w:rPr>
                <w:rFonts w:cs="Credit Suisse Type Light"/>
                <w:lang w:val="de-DE"/>
              </w:rPr>
              <w:t>ä</w:t>
            </w:r>
            <w:r w:rsidRPr="001B68ED">
              <w:rPr>
                <w:lang w:val="de-DE"/>
              </w:rPr>
              <w:t>ssigen F</w:t>
            </w:r>
            <w:r w:rsidRPr="001B68ED">
              <w:rPr>
                <w:rFonts w:cs="Credit Suisse Type Light"/>
                <w:lang w:val="de-DE"/>
              </w:rPr>
              <w:t>ä</w:t>
            </w:r>
            <w:r w:rsidRPr="001B68ED">
              <w:rPr>
                <w:lang w:val="de-DE"/>
              </w:rPr>
              <w:t>lligkeitstag liegt,</w:t>
            </w:r>
            <w:r w:rsidRPr="00792D61">
              <w:rPr>
                <w:b/>
                <w:lang w:val="de-DE"/>
              </w:rPr>
              <w:t>]</w:t>
            </w:r>
            <w:r w:rsidRPr="001B68ED">
              <w:rPr>
                <w:lang w:val="de-DE"/>
              </w:rPr>
              <w:t xml:space="preserve"> durch Zahl</w:t>
            </w:r>
            <w:r>
              <w:rPr>
                <w:lang w:val="de-DE"/>
              </w:rPr>
              <w:t>ung eines dem Planmässigen Rück</w:t>
            </w:r>
            <w:r w:rsidRPr="001B68ED">
              <w:rPr>
                <w:lang w:val="de-DE"/>
              </w:rPr>
              <w:t xml:space="preserve">zahlungsbetrag entsprechenden Geldbetrags an den jeweiligen Inhaber getilgt; wobei jedoch im Fall, dass ein Zeitraum eines Potenziellen Kreditereignisses bezüglich eines oder mehrerer Potenzieller </w:t>
            </w:r>
            <w:r w:rsidRPr="00792D61">
              <w:rPr>
                <w:b/>
                <w:lang w:val="de-DE"/>
              </w:rPr>
              <w:t>[</w:t>
            </w:r>
            <w:r w:rsidRPr="00F71807">
              <w:rPr>
                <w:b/>
                <w:i/>
                <w:lang w:val="de-DE"/>
              </w:rPr>
              <w:t xml:space="preserve">jeweilige Zahl einfügen: </w:t>
            </w:r>
            <w:r w:rsidRPr="00792D61">
              <w:rPr>
                <w:b/>
                <w:lang w:val="de-DE"/>
              </w:rPr>
              <w:t>[</w:t>
            </w:r>
            <w:r w:rsidRPr="001B68ED">
              <w:rPr>
                <w:lang w:val="de-DE"/>
              </w:rPr>
              <w:t>1st</w:t>
            </w:r>
            <w:r w:rsidRPr="00792D61">
              <w:rPr>
                <w:b/>
                <w:lang w:val="de-DE"/>
              </w:rPr>
              <w:t>][</w:t>
            </w:r>
            <w:r w:rsidRPr="001B68ED">
              <w:rPr>
                <w:lang w:val="de-DE"/>
              </w:rPr>
              <w:t>2nd</w:t>
            </w:r>
            <w:r w:rsidRPr="00792D61">
              <w:rPr>
                <w:b/>
                <w:lang w:val="de-DE"/>
              </w:rPr>
              <w:t>][</w:t>
            </w:r>
            <w:r w:rsidRPr="001B68ED">
              <w:rPr>
                <w:lang w:val="de-DE"/>
              </w:rPr>
              <w:t>3rd</w:t>
            </w:r>
            <w:r w:rsidRPr="00792D61">
              <w:rPr>
                <w:b/>
                <w:lang w:val="de-DE"/>
              </w:rPr>
              <w:t>][[</w:t>
            </w:r>
            <w:r w:rsidRPr="001B68ED">
              <w:rPr>
                <w:rFonts w:ascii="Arial" w:hAnsi="Arial" w:cs="Arial"/>
                <w:lang w:val="de-DE"/>
              </w:rPr>
              <w:t>●</w:t>
            </w:r>
            <w:r w:rsidRPr="00792D61">
              <w:rPr>
                <w:b/>
                <w:lang w:val="de-DE"/>
              </w:rPr>
              <w:t>]]]</w:t>
            </w:r>
            <w:r w:rsidRPr="001B68ED">
              <w:rPr>
                <w:lang w:val="de-DE"/>
              </w:rPr>
              <w:t>-to-Default-Referenzschuldner am oder vor dem Planm</w:t>
            </w:r>
            <w:r w:rsidRPr="001B68ED">
              <w:rPr>
                <w:rFonts w:cs="Credit Suisse Type Light"/>
                <w:lang w:val="de-DE"/>
              </w:rPr>
              <w:t>ä</w:t>
            </w:r>
            <w:r w:rsidRPr="001B68ED">
              <w:rPr>
                <w:lang w:val="de-DE"/>
              </w:rPr>
              <w:t>ssigen F</w:t>
            </w:r>
            <w:r w:rsidRPr="001B68ED">
              <w:rPr>
                <w:rFonts w:cs="Credit Suisse Type Light"/>
                <w:lang w:val="de-DE"/>
              </w:rPr>
              <w:t>ä</w:t>
            </w:r>
            <w:r w:rsidRPr="001B68ED">
              <w:rPr>
                <w:lang w:val="de-DE"/>
              </w:rPr>
              <w:t>lligkeitstag eingetreten ist, folgendes gilt: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B68ED" w:rsidP="00F71807">
            <w:pPr>
              <w:pStyle w:val="CSManNum8pt"/>
              <w:rPr>
                <w:lang w:val="de-DE"/>
              </w:rPr>
            </w:pPr>
          </w:p>
        </w:tc>
        <w:tc>
          <w:tcPr>
            <w:tcW w:w="3315" w:type="dxa"/>
            <w:gridSpan w:val="7"/>
            <w:tcBorders>
              <w:top w:val="nil"/>
              <w:left w:val="nil"/>
              <w:bottom w:val="nil"/>
            </w:tcBorders>
            <w:shd w:val="clear" w:color="auto" w:fill="auto"/>
          </w:tcPr>
          <w:p w:rsidR="0017135D" w:rsidRPr="001B68ED" w:rsidP="0094769A">
            <w:pPr>
              <w:pStyle w:val="CSManNum8pt"/>
            </w:pPr>
            <w:r w:rsidRPr="001B68ED">
              <w:t xml:space="preserve">(i) </w:t>
            </w:r>
            <w:r w:rsidRPr="001B68ED">
              <w:tab/>
              <w:t xml:space="preserve">if the relevant Potential Failure to Pay </w:t>
            </w:r>
            <w:r w:rsidRPr="00792D61">
              <w:rPr>
                <w:b/>
              </w:rPr>
              <w:t>[</w:t>
            </w:r>
            <w:r w:rsidRPr="00F71807">
              <w:rPr>
                <w:b/>
                <w:i/>
              </w:rPr>
              <w:t>if "Repudiation/Moratorium" is applicable, insert:</w:t>
            </w:r>
            <w:r w:rsidRPr="001B68ED">
              <w:t xml:space="preserve"> , Potential Repudiation/Moratorium</w:t>
            </w:r>
            <w:r w:rsidRPr="00792D61">
              <w:rPr>
                <w:b/>
              </w:rPr>
              <w:t>]</w:t>
            </w:r>
            <w:r w:rsidRPr="001B68ED">
              <w:t xml:space="preserve"> or DC Pending Request, as the case may be, </w:t>
            </w:r>
            <w:r w:rsidRPr="00D150B1">
              <w:rPr>
                <w:b/>
              </w:rPr>
              <w:t>results</w:t>
            </w:r>
            <w:r w:rsidRPr="001B68ED">
              <w:t xml:space="preserve"> in the occurrence of a Credit Event Determination Date with respect to any such Potential </w:t>
            </w:r>
            <w:r w:rsidRPr="00792D61">
              <w:rPr>
                <w:b/>
              </w:rPr>
              <w:t>[</w:t>
            </w:r>
            <w:r w:rsidRPr="00F71807">
              <w:rPr>
                <w:b/>
                <w:i/>
              </w:rPr>
              <w:t>insert relevant number:</w:t>
            </w:r>
            <w:r w:rsidRPr="001B68ED">
              <w:t xml:space="preserve"> </w:t>
            </w:r>
            <w:r w:rsidRPr="00792D61">
              <w:rPr>
                <w:b/>
              </w:rPr>
              <w:t>[</w:t>
            </w:r>
            <w:r w:rsidRPr="001B68ED">
              <w:t>1st</w:t>
            </w:r>
            <w:r w:rsidRPr="00792D61">
              <w:rPr>
                <w:b/>
              </w:rPr>
              <w:t>][</w:t>
            </w:r>
            <w:r w:rsidRPr="001B68ED">
              <w:t>2nd</w:t>
            </w:r>
            <w:r w:rsidRPr="00792D61">
              <w:rPr>
                <w:b/>
              </w:rPr>
              <w:t>][</w:t>
            </w:r>
            <w:r w:rsidRPr="001B68ED">
              <w:t>3rd</w:t>
            </w:r>
            <w:r w:rsidRPr="00792D61">
              <w:rPr>
                <w:b/>
              </w:rPr>
              <w:t>][[</w:t>
            </w:r>
            <w:r w:rsidRPr="001B68ED">
              <w:rPr>
                <w:rFonts w:ascii="Arial" w:hAnsi="Arial" w:cs="Arial"/>
              </w:rPr>
              <w:t>●</w:t>
            </w:r>
            <w:r w:rsidRPr="00792D61">
              <w:rPr>
                <w:b/>
              </w:rPr>
              <w:t>]]]</w:t>
            </w:r>
            <w:r w:rsidRPr="001B68ED">
              <w:t xml:space="preserve">-to-Default Reference Entity and such Reference Entity is determined to be the </w:t>
            </w:r>
            <w:r w:rsidRPr="00792D61">
              <w:rPr>
                <w:b/>
              </w:rPr>
              <w:t>[</w:t>
            </w:r>
            <w:r w:rsidRPr="00F71807">
              <w:rPr>
                <w:b/>
                <w:i/>
              </w:rPr>
              <w:t>insert relevant number:</w:t>
            </w:r>
            <w:r w:rsidRPr="001B68ED">
              <w:t xml:space="preserve"> </w:t>
            </w:r>
            <w:r w:rsidRPr="00792D61">
              <w:rPr>
                <w:b/>
              </w:rPr>
              <w:t>[</w:t>
            </w:r>
            <w:r w:rsidRPr="001B68ED">
              <w:t>1st</w:t>
            </w:r>
            <w:r w:rsidRPr="00792D61">
              <w:rPr>
                <w:b/>
              </w:rPr>
              <w:t>][</w:t>
            </w:r>
            <w:r w:rsidRPr="001B68ED">
              <w:t>2nd</w:t>
            </w:r>
            <w:r w:rsidRPr="00792D61">
              <w:rPr>
                <w:b/>
              </w:rPr>
              <w:t>][</w:t>
            </w:r>
            <w:r w:rsidRPr="001B68ED">
              <w:t>3rd</w:t>
            </w:r>
            <w:r w:rsidRPr="00792D61">
              <w:rPr>
                <w:b/>
              </w:rPr>
              <w:t>][[</w:t>
            </w:r>
            <w:r w:rsidRPr="001B68ED">
              <w:rPr>
                <w:rFonts w:ascii="Arial" w:hAnsi="Arial" w:cs="Arial"/>
              </w:rPr>
              <w:t>●</w:t>
            </w:r>
            <w:r w:rsidRPr="00792D61">
              <w:rPr>
                <w:b/>
              </w:rPr>
              <w:t>]]]</w:t>
            </w:r>
            <w:r w:rsidRPr="001B68ED">
              <w:t>-to-Default Reference Entity, in each case as determined on or prior to the last day of the related Potential Credit Event Period, the Issuer shall redeem each Complex Product in accordance with Section 2.2; or</w:t>
            </w:r>
          </w:p>
        </w:tc>
        <w:tc>
          <w:tcPr>
            <w:tcW w:w="1618" w:type="dxa"/>
            <w:gridSpan w:val="2"/>
            <w:tcBorders>
              <w:top w:val="nil"/>
              <w:bottom w:val="nil"/>
              <w:right w:val="nil"/>
            </w:tcBorders>
            <w:shd w:val="clear" w:color="auto" w:fill="auto"/>
          </w:tcPr>
          <w:p w:rsidR="0017135D" w:rsidRPr="001B68ED" w:rsidP="00F71807">
            <w:pPr>
              <w:pStyle w:val="CSManNum8pt"/>
              <w:rPr>
                <w:i/>
              </w:rPr>
            </w:pPr>
          </w:p>
        </w:tc>
        <w:tc>
          <w:tcPr>
            <w:tcW w:w="3318" w:type="dxa"/>
            <w:gridSpan w:val="10"/>
            <w:tcBorders>
              <w:top w:val="nil"/>
              <w:left w:val="nil"/>
              <w:bottom w:val="nil"/>
              <w:right w:val="nil"/>
            </w:tcBorders>
            <w:shd w:val="clear" w:color="auto" w:fill="auto"/>
          </w:tcPr>
          <w:p w:rsidR="0017135D" w:rsidRPr="001B68ED" w:rsidP="0094769A">
            <w:pPr>
              <w:pStyle w:val="CSManNum8pt"/>
              <w:rPr>
                <w:bCs/>
                <w:lang w:val="de-DE"/>
              </w:rPr>
            </w:pPr>
            <w:r w:rsidRPr="001B68ED">
              <w:rPr>
                <w:bCs/>
                <w:lang w:val="de-DE"/>
              </w:rPr>
              <w:t>(i)</w:t>
            </w:r>
            <w:r w:rsidRPr="001B68ED">
              <w:rPr>
                <w:bCs/>
                <w:lang w:val="de-DE"/>
              </w:rPr>
              <w:tab/>
              <w:t xml:space="preserve">falls die jeweilige Potenzielle Nichtzahlung </w:t>
            </w:r>
            <w:r w:rsidRPr="00792D61">
              <w:rPr>
                <w:b/>
                <w:bCs/>
                <w:lang w:val="de-DE"/>
              </w:rPr>
              <w:t>[</w:t>
            </w:r>
            <w:r>
              <w:rPr>
                <w:b/>
                <w:bCs/>
                <w:i/>
                <w:lang w:val="de-DE"/>
              </w:rPr>
              <w:t>falls "Nichtaner</w:t>
            </w:r>
            <w:r w:rsidRPr="00F71807">
              <w:rPr>
                <w:b/>
                <w:bCs/>
                <w:i/>
                <w:lang w:val="de-DE"/>
              </w:rPr>
              <w:t>ken</w:t>
            </w:r>
            <w:r>
              <w:rPr>
                <w:b/>
                <w:bCs/>
                <w:i/>
                <w:lang w:val="de-DE"/>
              </w:rPr>
              <w:t>n</w:t>
            </w:r>
            <w:r w:rsidRPr="00F71807">
              <w:rPr>
                <w:b/>
                <w:bCs/>
                <w:i/>
                <w:lang w:val="de-DE"/>
              </w:rPr>
              <w:t>ung/Moratorium" anwendbar ist, einfügen:</w:t>
            </w:r>
            <w:r w:rsidRPr="001B68ED">
              <w:rPr>
                <w:bCs/>
                <w:lang w:val="de-DE"/>
              </w:rPr>
              <w:t xml:space="preserve"> oder die jeweilige Potenzielle Nichtanerkennung/ das jeweilige Potenzielle Moratorium</w:t>
            </w:r>
            <w:r w:rsidRPr="00792D61">
              <w:rPr>
                <w:b/>
                <w:bCs/>
                <w:lang w:val="de-DE"/>
              </w:rPr>
              <w:t>]</w:t>
            </w:r>
            <w:r w:rsidRPr="001B68ED">
              <w:rPr>
                <w:bCs/>
                <w:lang w:val="de-DE"/>
              </w:rPr>
              <w:t xml:space="preserve"> oder ein Ausstehender Antrag zu einem Kreditereignis-Feststellungstag bezüglich irgend eines dieser Potenziellen </w:t>
            </w:r>
            <w:r w:rsidRPr="00792D61">
              <w:rPr>
                <w:b/>
                <w:bCs/>
                <w:lang w:val="de-DE"/>
              </w:rPr>
              <w:t>[</w:t>
            </w:r>
            <w:r>
              <w:rPr>
                <w:b/>
                <w:bCs/>
                <w:i/>
                <w:lang w:val="de-DE"/>
              </w:rPr>
              <w:t>jeweilige Zahl ein</w:t>
            </w:r>
            <w:r w:rsidRPr="00F71807">
              <w:rPr>
                <w:b/>
                <w:bCs/>
                <w:i/>
                <w:lang w:val="de-DE"/>
              </w:rPr>
              <w:t xml:space="preserve">fügen: </w:t>
            </w:r>
            <w:r w:rsidRPr="00792D61">
              <w:rPr>
                <w:b/>
                <w:bCs/>
                <w:lang w:val="de-DE"/>
              </w:rPr>
              <w:t>[</w:t>
            </w:r>
            <w:r w:rsidRPr="001B68ED">
              <w:rPr>
                <w:bCs/>
                <w:lang w:val="de-DE"/>
              </w:rPr>
              <w:t>1st</w:t>
            </w:r>
            <w:r w:rsidRPr="00792D61">
              <w:rPr>
                <w:b/>
                <w:bCs/>
                <w:lang w:val="de-DE"/>
              </w:rPr>
              <w:t>][</w:t>
            </w:r>
            <w:r w:rsidRPr="001B68ED">
              <w:rPr>
                <w:bCs/>
                <w:lang w:val="de-DE"/>
              </w:rPr>
              <w:t>2nd</w:t>
            </w:r>
            <w:r w:rsidRPr="00792D61">
              <w:rPr>
                <w:b/>
                <w:bCs/>
                <w:lang w:val="de-DE"/>
              </w:rPr>
              <w:t>][</w:t>
            </w:r>
            <w:r w:rsidRPr="001B68ED">
              <w:rPr>
                <w:bCs/>
                <w:lang w:val="de-DE"/>
              </w:rPr>
              <w:t>3rd</w:t>
            </w:r>
            <w:r w:rsidRPr="00792D61">
              <w:rPr>
                <w:b/>
                <w:bCs/>
                <w:lang w:val="de-DE"/>
              </w:rPr>
              <w:t>]</w:t>
            </w:r>
            <w:r w:rsidRPr="001B68ED">
              <w:rPr>
                <w:bCs/>
                <w:lang w:val="de-DE"/>
              </w:rPr>
              <w:t xml:space="preserve"> </w:t>
            </w:r>
            <w:r w:rsidRPr="00792D61">
              <w:rPr>
                <w:b/>
                <w:bCs/>
                <w:lang w:val="de-DE"/>
              </w:rPr>
              <w:t>[[</w:t>
            </w:r>
            <w:r w:rsidRPr="001B68ED">
              <w:rPr>
                <w:rFonts w:ascii="Arial" w:hAnsi="Arial" w:cs="Arial"/>
                <w:bCs/>
                <w:lang w:val="de-DE"/>
              </w:rPr>
              <w:t>●</w:t>
            </w:r>
            <w:r w:rsidRPr="00792D61">
              <w:rPr>
                <w:b/>
                <w:bCs/>
                <w:lang w:val="de-DE"/>
              </w:rPr>
              <w:t>]]]</w:t>
            </w:r>
            <w:r w:rsidRPr="001B68ED">
              <w:rPr>
                <w:bCs/>
                <w:lang w:val="de-DE"/>
              </w:rPr>
              <w:t xml:space="preserve">-to-Default-Referenzschuldner </w:t>
            </w:r>
            <w:r w:rsidRPr="00D150B1">
              <w:rPr>
                <w:b/>
                <w:bCs/>
                <w:lang w:val="de-DE"/>
              </w:rPr>
              <w:t>f</w:t>
            </w:r>
            <w:r w:rsidRPr="00D150B1">
              <w:rPr>
                <w:rFonts w:cs="Credit Suisse Type Light"/>
                <w:b/>
                <w:bCs/>
                <w:lang w:val="de-DE"/>
              </w:rPr>
              <w:t>ü</w:t>
            </w:r>
            <w:r w:rsidRPr="00D150B1">
              <w:rPr>
                <w:b/>
                <w:bCs/>
                <w:lang w:val="de-DE"/>
              </w:rPr>
              <w:t>hrt</w:t>
            </w:r>
            <w:r w:rsidRPr="001B68ED">
              <w:rPr>
                <w:bCs/>
                <w:lang w:val="de-DE"/>
              </w:rPr>
              <w:t xml:space="preserve"> und </w:t>
            </w:r>
            <w:r>
              <w:rPr>
                <w:bCs/>
                <w:lang w:val="de-DE"/>
              </w:rPr>
              <w:t xml:space="preserve">dass </w:t>
            </w:r>
            <w:r w:rsidRPr="001B68ED">
              <w:rPr>
                <w:bCs/>
                <w:lang w:val="de-DE"/>
              </w:rPr>
              <w:t xml:space="preserve">dieser Referenzschuldner der </w:t>
            </w:r>
            <w:r w:rsidRPr="00792D61">
              <w:rPr>
                <w:b/>
                <w:bCs/>
                <w:lang w:val="de-DE"/>
              </w:rPr>
              <w:t>[</w:t>
            </w:r>
            <w:r w:rsidRPr="00F71807">
              <w:rPr>
                <w:b/>
                <w:bCs/>
                <w:i/>
                <w:lang w:val="de-DE"/>
              </w:rPr>
              <w:t>jeweilige Zahl einf</w:t>
            </w:r>
            <w:r w:rsidRPr="00F71807">
              <w:rPr>
                <w:rFonts w:cs="Credit Suisse Type Light"/>
                <w:b/>
                <w:bCs/>
                <w:i/>
                <w:lang w:val="de-DE"/>
              </w:rPr>
              <w:t>ü</w:t>
            </w:r>
            <w:r w:rsidRPr="00F71807">
              <w:rPr>
                <w:b/>
                <w:bCs/>
                <w:i/>
                <w:lang w:val="de-DE"/>
              </w:rPr>
              <w:t>gen:</w:t>
            </w:r>
            <w:r w:rsidRPr="001B68ED">
              <w:rPr>
                <w:bCs/>
                <w:lang w:val="de-DE"/>
              </w:rPr>
              <w:t xml:space="preserve"> </w:t>
            </w:r>
            <w:r w:rsidRPr="00792D61">
              <w:rPr>
                <w:b/>
                <w:bCs/>
                <w:lang w:val="de-DE"/>
              </w:rPr>
              <w:t>[</w:t>
            </w:r>
            <w:r w:rsidRPr="001B68ED">
              <w:rPr>
                <w:bCs/>
                <w:lang w:val="de-DE"/>
              </w:rPr>
              <w:t>1st</w:t>
            </w:r>
            <w:r w:rsidRPr="00792D61">
              <w:rPr>
                <w:b/>
                <w:bCs/>
                <w:lang w:val="de-DE"/>
              </w:rPr>
              <w:t>][</w:t>
            </w:r>
            <w:r w:rsidRPr="001B68ED">
              <w:rPr>
                <w:bCs/>
                <w:lang w:val="de-DE"/>
              </w:rPr>
              <w:t>2nd</w:t>
            </w:r>
            <w:r w:rsidRPr="00792D61">
              <w:rPr>
                <w:b/>
                <w:bCs/>
                <w:lang w:val="de-DE"/>
              </w:rPr>
              <w:t>][</w:t>
            </w:r>
            <w:r w:rsidRPr="001B68ED">
              <w:rPr>
                <w:bCs/>
                <w:lang w:val="de-DE"/>
              </w:rPr>
              <w:t>3rd</w:t>
            </w:r>
            <w:r w:rsidRPr="00792D61">
              <w:rPr>
                <w:b/>
                <w:bCs/>
                <w:lang w:val="de-DE"/>
              </w:rPr>
              <w:t>][[</w:t>
            </w:r>
            <w:r w:rsidRPr="001B68ED">
              <w:rPr>
                <w:rFonts w:ascii="Arial" w:hAnsi="Arial" w:cs="Arial"/>
                <w:bCs/>
                <w:lang w:val="de-DE"/>
              </w:rPr>
              <w:t>●</w:t>
            </w:r>
            <w:r w:rsidRPr="00792D61">
              <w:rPr>
                <w:b/>
                <w:bCs/>
                <w:lang w:val="de-DE"/>
              </w:rPr>
              <w:t>]]]</w:t>
            </w:r>
            <w:r w:rsidRPr="001B68ED">
              <w:rPr>
                <w:bCs/>
                <w:lang w:val="de-DE"/>
              </w:rPr>
              <w:t>-to-Default-Referenzschuldner ist, wie jeweils an oder vor dem letzten Tag des diesbezüglichen Zeitraums eines Potenziellen Kreditereignisses festgestellt, wird die Emittentin jedes Komplexe Produkt gemäss Ziffer 2.2 zurückzahlen;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B68ED" w:rsidP="00F71807">
            <w:pPr>
              <w:pStyle w:val="CSManNum8pt"/>
              <w:rPr>
                <w:lang w:val="de-DE"/>
              </w:rPr>
            </w:pPr>
          </w:p>
        </w:tc>
        <w:tc>
          <w:tcPr>
            <w:tcW w:w="3315" w:type="dxa"/>
            <w:gridSpan w:val="7"/>
            <w:tcBorders>
              <w:top w:val="nil"/>
              <w:left w:val="nil"/>
              <w:bottom w:val="nil"/>
            </w:tcBorders>
            <w:shd w:val="clear" w:color="auto" w:fill="auto"/>
          </w:tcPr>
          <w:p w:rsidR="0017135D" w:rsidRPr="00164657" w:rsidP="00164657">
            <w:pPr>
              <w:pStyle w:val="CSManNum8pt"/>
            </w:pPr>
            <w:r w:rsidRPr="00164657">
              <w:t>(ii)</w:t>
            </w:r>
            <w:r w:rsidRPr="00164657">
              <w:tab/>
              <w:t xml:space="preserve">if the relevant Potential Failure to Pay </w:t>
            </w:r>
            <w:r w:rsidRPr="00164657">
              <w:rPr>
                <w:b/>
                <w:i/>
              </w:rPr>
              <w:t>[if "Repudiation/Moratorium" is applicable, insert:</w:t>
            </w:r>
            <w:r w:rsidRPr="00164657">
              <w:t xml:space="preserve"> , Potential Repudiation/Moratorium</w:t>
            </w:r>
            <w:r w:rsidRPr="00164657">
              <w:rPr>
                <w:b/>
              </w:rPr>
              <w:t>]</w:t>
            </w:r>
            <w:r w:rsidRPr="00164657">
              <w:t xml:space="preserve"> or DC Pending Request, as the case may be, </w:t>
            </w:r>
            <w:r w:rsidRPr="00164657">
              <w:rPr>
                <w:b/>
              </w:rPr>
              <w:t>does not result</w:t>
            </w:r>
            <w:r w:rsidRPr="00164657">
              <w:t xml:space="preserve"> in the occurrence of a Credit Event Determination Date with respect to any such Potential </w:t>
            </w:r>
            <w:r w:rsidRPr="00164657">
              <w:rPr>
                <w:b/>
                <w:i/>
              </w:rPr>
              <w:t xml:space="preserve">[insert relevant number: </w:t>
            </w:r>
            <w:r w:rsidRPr="00164657">
              <w:rPr>
                <w:b/>
              </w:rPr>
              <w:t>[</w:t>
            </w:r>
            <w:r w:rsidRPr="00164657">
              <w:t>1st</w:t>
            </w:r>
            <w:r w:rsidRPr="00164657">
              <w:rPr>
                <w:b/>
              </w:rPr>
              <w:t>][</w:t>
            </w:r>
            <w:r w:rsidRPr="00164657">
              <w:t>2nd</w:t>
            </w:r>
            <w:r w:rsidRPr="00164657">
              <w:rPr>
                <w:b/>
              </w:rPr>
              <w:t>][</w:t>
            </w:r>
            <w:r w:rsidRPr="00164657">
              <w:t>3rd</w:t>
            </w:r>
            <w:r w:rsidRPr="00164657">
              <w:rPr>
                <w:b/>
              </w:rPr>
              <w:t>][[</w:t>
            </w:r>
            <w:r w:rsidRPr="00164657">
              <w:rPr>
                <w:rFonts w:ascii="Arial" w:hAnsi="Arial" w:cs="Arial"/>
              </w:rPr>
              <w:t>●</w:t>
            </w:r>
            <w:r w:rsidRPr="00164657">
              <w:rPr>
                <w:b/>
              </w:rPr>
              <w:t>]]]</w:t>
            </w:r>
            <w:r w:rsidRPr="00164657">
              <w:t xml:space="preserve">-to-Default Reference Entity and no such Reference Entity is determined to be the </w:t>
            </w:r>
            <w:r w:rsidRPr="00164657">
              <w:rPr>
                <w:b/>
              </w:rPr>
              <w:t>[</w:t>
            </w:r>
            <w:r w:rsidRPr="00164657">
              <w:rPr>
                <w:b/>
                <w:i/>
              </w:rPr>
              <w:t xml:space="preserve">insert relevant number: </w:t>
            </w:r>
            <w:r w:rsidRPr="00164657">
              <w:rPr>
                <w:b/>
              </w:rPr>
              <w:t>[</w:t>
            </w:r>
            <w:r w:rsidRPr="00164657">
              <w:t>1st</w:t>
            </w:r>
            <w:r w:rsidRPr="00164657">
              <w:rPr>
                <w:b/>
              </w:rPr>
              <w:t>][</w:t>
            </w:r>
            <w:r w:rsidRPr="00164657">
              <w:t>2nd</w:t>
            </w:r>
            <w:r w:rsidRPr="00164657">
              <w:rPr>
                <w:b/>
              </w:rPr>
              <w:t>][</w:t>
            </w:r>
            <w:r w:rsidRPr="00164657">
              <w:t>3rd</w:t>
            </w:r>
            <w:r w:rsidRPr="00164657">
              <w:rPr>
                <w:b/>
              </w:rPr>
              <w:t>][[</w:t>
            </w:r>
            <w:r w:rsidRPr="00164657">
              <w:rPr>
                <w:rFonts w:ascii="Arial" w:hAnsi="Arial" w:cs="Arial"/>
              </w:rPr>
              <w:t>●</w:t>
            </w:r>
            <w:r w:rsidRPr="00164657">
              <w:rPr>
                <w:b/>
              </w:rPr>
              <w:t>]]]</w:t>
            </w:r>
            <w:r w:rsidRPr="00164657">
              <w:t xml:space="preserve">-to-Default Reference Entity, as in each case determined on or prior to the last day of the related Potential Credit Event Period, instead of redeeming each Complex Product on </w:t>
            </w:r>
            <w:r w:rsidRPr="00164657">
              <w:rPr>
                <w:b/>
              </w:rPr>
              <w:t>[</w:t>
            </w:r>
            <w:r w:rsidRPr="00164657">
              <w:t>the Scheduled Maturity Date</w:t>
            </w:r>
            <w:r w:rsidRPr="00164657">
              <w:rPr>
                <w:b/>
              </w:rPr>
              <w:t>][</w:t>
            </w:r>
            <w:r w:rsidRPr="00164657">
              <w:t xml:space="preserve">the date that is </w:t>
            </w:r>
            <w:r w:rsidRPr="00164657">
              <w:rPr>
                <w:b/>
              </w:rPr>
              <w:t>[</w:t>
            </w:r>
            <w:r w:rsidRPr="00164657">
              <w:rPr>
                <w:rFonts w:ascii="Arial" w:hAnsi="Arial" w:cs="Arial"/>
              </w:rPr>
              <w:t>●</w:t>
            </w:r>
            <w:r w:rsidRPr="00164657">
              <w:rPr>
                <w:b/>
              </w:rPr>
              <w:t>]</w:t>
            </w:r>
            <w:r w:rsidRPr="00164657">
              <w:t xml:space="preserve"> Business Days after the Scheduled Maturity Date</w:t>
            </w:r>
            <w:r w:rsidRPr="00164657">
              <w:rPr>
                <w:b/>
              </w:rPr>
              <w:t>]</w:t>
            </w:r>
            <w:r w:rsidRPr="00164657">
              <w:t xml:space="preserve">, the Issuer shall redeem each Complex Product on the </w:t>
            </w:r>
            <w:r w:rsidRPr="00164657">
              <w:rPr>
                <w:b/>
              </w:rPr>
              <w:t>[</w:t>
            </w:r>
            <w:r w:rsidRPr="00164657">
              <w:t>fifth</w:t>
            </w:r>
            <w:r w:rsidRPr="00164657">
              <w:rPr>
                <w:b/>
              </w:rPr>
              <w:t>][[</w:t>
            </w:r>
            <w:r w:rsidRPr="00164657">
              <w:rPr>
                <w:rFonts w:ascii="Arial" w:hAnsi="Arial" w:cs="Arial"/>
              </w:rPr>
              <w:t>●</w:t>
            </w:r>
            <w:r w:rsidRPr="00164657">
              <w:rPr>
                <w:b/>
              </w:rPr>
              <w:t>]]</w:t>
            </w:r>
            <w:r w:rsidRPr="00164657">
              <w:t xml:space="preserve"> Business Day following the last day of the related Potential Credit Event Period by payment of a cash amount equal to the Scheduled Redemption Amount to the Holder thereof</w:t>
            </w:r>
            <w:r w:rsidRPr="00164657">
              <w:rPr>
                <w:b/>
              </w:rPr>
              <w:t>[</w:t>
            </w:r>
            <w:r w:rsidRPr="00164657">
              <w:t>.</w:t>
            </w:r>
            <w:r w:rsidRPr="00164657">
              <w:rPr>
                <w:b/>
              </w:rPr>
              <w:t>][</w:t>
            </w:r>
            <w:r w:rsidRPr="00164657">
              <w:rPr>
                <w:b/>
                <w:i/>
              </w:rPr>
              <w:t>if applicable, insert:</w:t>
            </w:r>
            <w:r w:rsidRPr="00164657">
              <w:t xml:space="preserve"> ;</w:t>
            </w:r>
          </w:p>
        </w:tc>
        <w:tc>
          <w:tcPr>
            <w:tcW w:w="1618" w:type="dxa"/>
            <w:gridSpan w:val="2"/>
            <w:tcBorders>
              <w:top w:val="nil"/>
              <w:bottom w:val="nil"/>
              <w:right w:val="nil"/>
            </w:tcBorders>
            <w:shd w:val="clear" w:color="auto" w:fill="auto"/>
          </w:tcPr>
          <w:p w:rsidR="0017135D" w:rsidRPr="00164657" w:rsidP="00F71807">
            <w:pPr>
              <w:pStyle w:val="CSManNum8pt"/>
              <w:rPr>
                <w:i/>
              </w:rPr>
            </w:pPr>
          </w:p>
        </w:tc>
        <w:tc>
          <w:tcPr>
            <w:tcW w:w="3318" w:type="dxa"/>
            <w:gridSpan w:val="10"/>
            <w:tcBorders>
              <w:top w:val="nil"/>
              <w:left w:val="nil"/>
              <w:bottom w:val="nil"/>
              <w:right w:val="nil"/>
            </w:tcBorders>
            <w:shd w:val="clear" w:color="auto" w:fill="auto"/>
          </w:tcPr>
          <w:p w:rsidR="0017135D" w:rsidRPr="001B68ED" w:rsidP="0094769A">
            <w:pPr>
              <w:pStyle w:val="CSManNum8pt"/>
              <w:rPr>
                <w:bCs/>
                <w:lang w:val="de-DE"/>
              </w:rPr>
            </w:pPr>
            <w:r w:rsidRPr="00164657">
              <w:rPr>
                <w:bCs/>
                <w:lang w:val="de-DE"/>
              </w:rPr>
              <w:t>(ii)</w:t>
            </w:r>
            <w:r w:rsidRPr="00164657">
              <w:rPr>
                <w:bCs/>
                <w:lang w:val="de-DE"/>
              </w:rPr>
              <w:tab/>
              <w:t xml:space="preserve">falls die jeweilige Potenzielle Nichtzahlung </w:t>
            </w:r>
            <w:r w:rsidRPr="00164657">
              <w:rPr>
                <w:b/>
                <w:bCs/>
                <w:lang w:val="de-DE"/>
              </w:rPr>
              <w:t>[</w:t>
            </w:r>
            <w:r w:rsidRPr="00164657">
              <w:rPr>
                <w:b/>
                <w:bCs/>
                <w:i/>
                <w:lang w:val="de-DE"/>
              </w:rPr>
              <w:t>falls "Nichtanerkennung/Moratorium" anwendbar ist, einfügen:</w:t>
            </w:r>
            <w:r w:rsidRPr="00164657">
              <w:rPr>
                <w:bCs/>
                <w:lang w:val="de-DE"/>
              </w:rPr>
              <w:t xml:space="preserve"> oder die jeweilige Potenzielle Nichtanerkennung/ das jeweilige Potenzielle Moratorium</w:t>
            </w:r>
            <w:r w:rsidRPr="00164657">
              <w:rPr>
                <w:b/>
                <w:bCs/>
                <w:lang w:val="de-DE"/>
              </w:rPr>
              <w:t>]</w:t>
            </w:r>
            <w:r w:rsidRPr="00164657">
              <w:rPr>
                <w:bCs/>
                <w:lang w:val="de-DE"/>
              </w:rPr>
              <w:t xml:space="preserve"> oder ein Ausstehender Antrag </w:t>
            </w:r>
            <w:r w:rsidRPr="00164657">
              <w:rPr>
                <w:b/>
                <w:bCs/>
                <w:lang w:val="de-DE"/>
              </w:rPr>
              <w:t>nicht</w:t>
            </w:r>
            <w:r w:rsidRPr="00164657">
              <w:rPr>
                <w:bCs/>
                <w:lang w:val="de-DE"/>
              </w:rPr>
              <w:t xml:space="preserve"> zu einem Kreditereignis-Feststellungstag bezüglich irgend eines dieser Potenziellen </w:t>
            </w:r>
            <w:r w:rsidRPr="00164657">
              <w:rPr>
                <w:b/>
                <w:bCs/>
                <w:lang w:val="de-DE"/>
              </w:rPr>
              <w:t>[</w:t>
            </w:r>
            <w:r w:rsidRPr="00164657">
              <w:rPr>
                <w:b/>
                <w:bCs/>
                <w:i/>
                <w:lang w:val="de-DE"/>
              </w:rPr>
              <w:t>jeweilige Zahl einfügen:</w:t>
            </w:r>
            <w:r w:rsidRPr="00164657">
              <w:rPr>
                <w:bCs/>
                <w:lang w:val="de-DE"/>
              </w:rPr>
              <w:t xml:space="preserve"> </w:t>
            </w:r>
            <w:r w:rsidRPr="00164657">
              <w:rPr>
                <w:b/>
                <w:bCs/>
                <w:lang w:val="de-DE"/>
              </w:rPr>
              <w:t>[</w:t>
            </w:r>
            <w:r w:rsidRPr="00164657">
              <w:rPr>
                <w:bCs/>
                <w:lang w:val="de-DE"/>
              </w:rPr>
              <w:t>1st</w:t>
            </w:r>
            <w:r w:rsidRPr="00164657">
              <w:rPr>
                <w:b/>
                <w:bCs/>
                <w:lang w:val="de-DE"/>
              </w:rPr>
              <w:t>][</w:t>
            </w:r>
            <w:r w:rsidRPr="00164657">
              <w:rPr>
                <w:bCs/>
                <w:lang w:val="de-DE"/>
              </w:rPr>
              <w:t>2nd</w:t>
            </w:r>
            <w:r w:rsidRPr="00164657">
              <w:rPr>
                <w:b/>
                <w:bCs/>
                <w:lang w:val="de-DE"/>
              </w:rPr>
              <w:t>][</w:t>
            </w:r>
            <w:r w:rsidRPr="00164657">
              <w:rPr>
                <w:bCs/>
                <w:lang w:val="de-DE"/>
              </w:rPr>
              <w:t>3rd</w:t>
            </w:r>
            <w:r w:rsidRPr="00164657">
              <w:rPr>
                <w:b/>
                <w:bCs/>
                <w:lang w:val="de-DE"/>
              </w:rPr>
              <w:t>]</w:t>
            </w:r>
            <w:r w:rsidRPr="00164657">
              <w:rPr>
                <w:bCs/>
                <w:lang w:val="de-DE"/>
              </w:rPr>
              <w:t xml:space="preserve"> </w:t>
            </w:r>
            <w:r w:rsidRPr="00164657">
              <w:rPr>
                <w:b/>
                <w:bCs/>
                <w:lang w:val="de-DE"/>
              </w:rPr>
              <w:t>[[</w:t>
            </w:r>
            <w:r w:rsidRPr="00164657">
              <w:rPr>
                <w:rFonts w:ascii="Arial" w:hAnsi="Arial" w:cs="Arial"/>
                <w:bCs/>
                <w:lang w:val="de-DE"/>
              </w:rPr>
              <w:t>●</w:t>
            </w:r>
            <w:r w:rsidRPr="00164657">
              <w:rPr>
                <w:b/>
                <w:bCs/>
                <w:lang w:val="de-DE"/>
              </w:rPr>
              <w:t>]]]</w:t>
            </w:r>
            <w:r w:rsidRPr="00164657">
              <w:rPr>
                <w:bCs/>
                <w:lang w:val="de-DE"/>
              </w:rPr>
              <w:t xml:space="preserve">-to-Default-Referenzschuldner </w:t>
            </w:r>
            <w:r w:rsidRPr="00164657">
              <w:rPr>
                <w:b/>
                <w:bCs/>
                <w:lang w:val="de-DE"/>
              </w:rPr>
              <w:t>f</w:t>
            </w:r>
            <w:r w:rsidRPr="00164657">
              <w:rPr>
                <w:rFonts w:cs="Credit Suisse Type Light"/>
                <w:b/>
                <w:bCs/>
                <w:lang w:val="de-DE"/>
              </w:rPr>
              <w:t>ü</w:t>
            </w:r>
            <w:r w:rsidRPr="00164657">
              <w:rPr>
                <w:b/>
                <w:bCs/>
                <w:lang w:val="de-DE"/>
              </w:rPr>
              <w:t>hrt</w:t>
            </w:r>
            <w:r w:rsidRPr="00164657">
              <w:rPr>
                <w:bCs/>
                <w:lang w:val="de-DE"/>
              </w:rPr>
              <w:t xml:space="preserve"> und falls nicht festgestellt wurde</w:t>
            </w:r>
            <w:r w:rsidR="003F04DC">
              <w:rPr>
                <w:bCs/>
                <w:lang w:val="de-DE"/>
              </w:rPr>
              <w:t>,</w:t>
            </w:r>
            <w:r w:rsidRPr="00164657">
              <w:rPr>
                <w:bCs/>
                <w:lang w:val="de-DE"/>
              </w:rPr>
              <w:t xml:space="preserve"> dass einer dieser Referenzschuldner der </w:t>
            </w:r>
            <w:r w:rsidRPr="00164657">
              <w:rPr>
                <w:b/>
                <w:bCs/>
                <w:lang w:val="de-DE"/>
              </w:rPr>
              <w:t>[</w:t>
            </w:r>
            <w:r w:rsidRPr="00164657">
              <w:rPr>
                <w:b/>
                <w:bCs/>
                <w:i/>
                <w:lang w:val="de-DE"/>
              </w:rPr>
              <w:t>jeweilige Zahl einfügen:</w:t>
            </w:r>
            <w:r w:rsidRPr="00164657">
              <w:rPr>
                <w:bCs/>
                <w:lang w:val="de-DE"/>
              </w:rPr>
              <w:t xml:space="preserve"> </w:t>
            </w:r>
            <w:r w:rsidRPr="00164657">
              <w:rPr>
                <w:b/>
                <w:bCs/>
                <w:lang w:val="de-DE"/>
              </w:rPr>
              <w:t>[</w:t>
            </w:r>
            <w:r w:rsidRPr="00164657">
              <w:rPr>
                <w:bCs/>
                <w:lang w:val="de-DE"/>
              </w:rPr>
              <w:t>1st</w:t>
            </w:r>
            <w:r w:rsidRPr="00164657">
              <w:rPr>
                <w:b/>
                <w:bCs/>
                <w:lang w:val="de-DE"/>
              </w:rPr>
              <w:t>][</w:t>
            </w:r>
            <w:r w:rsidRPr="00164657">
              <w:rPr>
                <w:bCs/>
                <w:lang w:val="de-DE"/>
              </w:rPr>
              <w:t>2nd</w:t>
            </w:r>
            <w:r w:rsidRPr="00164657">
              <w:rPr>
                <w:b/>
                <w:bCs/>
                <w:lang w:val="de-DE"/>
              </w:rPr>
              <w:t>][</w:t>
            </w:r>
            <w:r w:rsidRPr="00164657">
              <w:rPr>
                <w:bCs/>
                <w:lang w:val="de-DE"/>
              </w:rPr>
              <w:t>3rd</w:t>
            </w:r>
            <w:r w:rsidRPr="00164657">
              <w:rPr>
                <w:b/>
                <w:bCs/>
                <w:lang w:val="de-DE"/>
              </w:rPr>
              <w:t>][[</w:t>
            </w:r>
            <w:r w:rsidRPr="00164657">
              <w:rPr>
                <w:rFonts w:ascii="Arial" w:hAnsi="Arial" w:cs="Arial"/>
                <w:bCs/>
                <w:lang w:val="de-DE"/>
              </w:rPr>
              <w:t>●</w:t>
            </w:r>
            <w:r w:rsidRPr="00164657">
              <w:rPr>
                <w:b/>
                <w:bCs/>
                <w:lang w:val="de-DE"/>
              </w:rPr>
              <w:t>]]]</w:t>
            </w:r>
            <w:r w:rsidRPr="00164657">
              <w:rPr>
                <w:bCs/>
                <w:lang w:val="de-DE"/>
              </w:rPr>
              <w:t>-to-Default-Referenzschuldner ist, wie jeweils an oder vor dem letzten Tag des diesbez</w:t>
            </w:r>
            <w:r w:rsidRPr="00164657">
              <w:rPr>
                <w:rFonts w:cs="Credit Suisse Type Light"/>
                <w:bCs/>
                <w:lang w:val="de-DE"/>
              </w:rPr>
              <w:t>ü</w:t>
            </w:r>
            <w:r w:rsidRPr="00164657">
              <w:rPr>
                <w:bCs/>
                <w:lang w:val="de-DE"/>
              </w:rPr>
              <w:t xml:space="preserve">glichen Zeitraums eines Potenziellen Kreditereignisses festgestellt, zahlt die Emittentin jedes Komplexe Produkt anstatt </w:t>
            </w:r>
            <w:r w:rsidRPr="00164657">
              <w:rPr>
                <w:b/>
                <w:bCs/>
                <w:lang w:val="de-DE"/>
              </w:rPr>
              <w:t>[</w:t>
            </w:r>
            <w:r w:rsidRPr="00164657">
              <w:rPr>
                <w:bCs/>
                <w:lang w:val="de-DE"/>
              </w:rPr>
              <w:t>am Planm</w:t>
            </w:r>
            <w:r w:rsidRPr="00164657">
              <w:rPr>
                <w:rFonts w:cs="Credit Suisse Type Light"/>
                <w:bCs/>
                <w:lang w:val="de-DE"/>
              </w:rPr>
              <w:t>ä</w:t>
            </w:r>
            <w:r w:rsidRPr="00164657">
              <w:rPr>
                <w:bCs/>
                <w:lang w:val="de-DE"/>
              </w:rPr>
              <w:t>ssigen Fälligkeitstag</w:t>
            </w:r>
            <w:r w:rsidRPr="00164657">
              <w:rPr>
                <w:b/>
                <w:bCs/>
                <w:lang w:val="de-DE"/>
              </w:rPr>
              <w:t>][</w:t>
            </w:r>
            <w:r w:rsidRPr="00164657">
              <w:rPr>
                <w:bCs/>
                <w:lang w:val="de-DE"/>
              </w:rPr>
              <w:t xml:space="preserve">an dem Tag, der </w:t>
            </w:r>
            <w:r w:rsidRPr="00164657">
              <w:rPr>
                <w:b/>
                <w:bCs/>
                <w:lang w:val="de-DE"/>
              </w:rPr>
              <w:t>[</w:t>
            </w:r>
            <w:r w:rsidRPr="00164657">
              <w:rPr>
                <w:rFonts w:ascii="Arial" w:hAnsi="Arial" w:cs="Arial"/>
                <w:bCs/>
                <w:lang w:val="de-DE"/>
              </w:rPr>
              <w:t>●</w:t>
            </w:r>
            <w:r w:rsidRPr="00164657">
              <w:rPr>
                <w:b/>
                <w:bCs/>
                <w:lang w:val="de-DE"/>
              </w:rPr>
              <w:t>]</w:t>
            </w:r>
            <w:r w:rsidRPr="00164657">
              <w:rPr>
                <w:bCs/>
                <w:lang w:val="de-DE"/>
              </w:rPr>
              <w:t xml:space="preserve"> Gesch</w:t>
            </w:r>
            <w:r w:rsidRPr="00164657">
              <w:rPr>
                <w:rFonts w:cs="Credit Suisse Type Light"/>
                <w:bCs/>
                <w:lang w:val="de-DE"/>
              </w:rPr>
              <w:t>ä</w:t>
            </w:r>
            <w:r w:rsidRPr="00164657">
              <w:rPr>
                <w:bCs/>
                <w:lang w:val="de-DE"/>
              </w:rPr>
              <w:t>ftstage nach dem Planm</w:t>
            </w:r>
            <w:r w:rsidRPr="00164657">
              <w:rPr>
                <w:rFonts w:cs="Credit Suisse Type Light"/>
                <w:bCs/>
                <w:lang w:val="de-DE"/>
              </w:rPr>
              <w:t>ä</w:t>
            </w:r>
            <w:r w:rsidRPr="00164657">
              <w:rPr>
                <w:bCs/>
                <w:lang w:val="de-DE"/>
              </w:rPr>
              <w:t>ssigen F</w:t>
            </w:r>
            <w:r w:rsidRPr="00164657">
              <w:rPr>
                <w:rFonts w:cs="Credit Suisse Type Light"/>
                <w:bCs/>
                <w:lang w:val="de-DE"/>
              </w:rPr>
              <w:t>ä</w:t>
            </w:r>
            <w:r w:rsidRPr="00164657">
              <w:rPr>
                <w:bCs/>
                <w:lang w:val="de-DE"/>
              </w:rPr>
              <w:t>lligkeitstag liegt</w:t>
            </w:r>
            <w:r w:rsidRPr="00164657">
              <w:rPr>
                <w:b/>
                <w:bCs/>
                <w:lang w:val="de-DE"/>
              </w:rPr>
              <w:t>]</w:t>
            </w:r>
            <w:r w:rsidRPr="00164657">
              <w:rPr>
                <w:bCs/>
                <w:lang w:val="de-DE"/>
              </w:rPr>
              <w:t xml:space="preserve"> am </w:t>
            </w:r>
            <w:r w:rsidRPr="00164657">
              <w:rPr>
                <w:b/>
                <w:bCs/>
                <w:lang w:val="de-DE"/>
              </w:rPr>
              <w:t>[</w:t>
            </w:r>
            <w:r w:rsidRPr="00164657">
              <w:rPr>
                <w:bCs/>
                <w:lang w:val="de-DE"/>
              </w:rPr>
              <w:t>f</w:t>
            </w:r>
            <w:r w:rsidRPr="00164657">
              <w:rPr>
                <w:rFonts w:cs="Credit Suisse Type Light"/>
                <w:bCs/>
                <w:lang w:val="de-DE"/>
              </w:rPr>
              <w:t>ü</w:t>
            </w:r>
            <w:r w:rsidRPr="00164657">
              <w:rPr>
                <w:bCs/>
                <w:lang w:val="de-DE"/>
              </w:rPr>
              <w:t>nften</w:t>
            </w:r>
            <w:r w:rsidRPr="00164657">
              <w:rPr>
                <w:b/>
                <w:bCs/>
                <w:lang w:val="de-DE"/>
              </w:rPr>
              <w:t>][[</w:t>
            </w:r>
            <w:r w:rsidRPr="00164657">
              <w:rPr>
                <w:rFonts w:ascii="Arial" w:hAnsi="Arial" w:cs="Arial"/>
                <w:bCs/>
                <w:lang w:val="de-DE"/>
              </w:rPr>
              <w:t>●</w:t>
            </w:r>
            <w:r w:rsidRPr="00164657">
              <w:rPr>
                <w:b/>
                <w:bCs/>
                <w:lang w:val="de-DE"/>
              </w:rPr>
              <w:t>]]</w:t>
            </w:r>
            <w:r w:rsidRPr="00164657">
              <w:rPr>
                <w:bCs/>
                <w:lang w:val="de-DE"/>
              </w:rPr>
              <w:t xml:space="preserve"> Gesch</w:t>
            </w:r>
            <w:r w:rsidRPr="00164657">
              <w:rPr>
                <w:rFonts w:cs="Credit Suisse Type Light"/>
                <w:bCs/>
                <w:lang w:val="de-DE"/>
              </w:rPr>
              <w:t>ä</w:t>
            </w:r>
            <w:r w:rsidRPr="00164657">
              <w:rPr>
                <w:bCs/>
                <w:lang w:val="de-DE"/>
              </w:rPr>
              <w:t>ftstag nach dem letzten Tag des diesbez</w:t>
            </w:r>
            <w:r w:rsidRPr="00164657">
              <w:rPr>
                <w:rFonts w:cs="Credit Suisse Type Light"/>
                <w:bCs/>
                <w:lang w:val="de-DE"/>
              </w:rPr>
              <w:t>ü</w:t>
            </w:r>
            <w:r w:rsidRPr="00164657">
              <w:rPr>
                <w:bCs/>
                <w:lang w:val="de-DE"/>
              </w:rPr>
              <w:t>glichen Zeitraums eines Potenziellen Kreditereignisses durch Zahlung eines Geldbetrags in H</w:t>
            </w:r>
            <w:r w:rsidRPr="00164657">
              <w:rPr>
                <w:rFonts w:cs="Credit Suisse Type Light"/>
                <w:bCs/>
                <w:lang w:val="de-DE"/>
              </w:rPr>
              <w:t>ö</w:t>
            </w:r>
            <w:r w:rsidRPr="00164657">
              <w:rPr>
                <w:bCs/>
                <w:lang w:val="de-DE"/>
              </w:rPr>
              <w:t>he des Planmässigen Rückzahlungsbetrags an den jeweiligen Inhaber zurück</w:t>
            </w:r>
            <w:r w:rsidRPr="00164657">
              <w:rPr>
                <w:b/>
                <w:bCs/>
                <w:lang w:val="de-DE"/>
              </w:rPr>
              <w:t>[</w:t>
            </w:r>
            <w:r w:rsidRPr="00164657">
              <w:rPr>
                <w:bCs/>
                <w:lang w:val="de-DE"/>
              </w:rPr>
              <w:t>.</w:t>
            </w:r>
            <w:r w:rsidRPr="00164657">
              <w:rPr>
                <w:b/>
                <w:bCs/>
                <w:lang w:val="de-DE"/>
              </w:rPr>
              <w:t>][</w:t>
            </w:r>
            <w:r w:rsidRPr="00164657">
              <w:rPr>
                <w:b/>
                <w:bCs/>
                <w:i/>
                <w:lang w:val="de-DE"/>
              </w:rPr>
              <w:t>falls anwendbar, einfügen:</w:t>
            </w:r>
            <w:r w:rsidRPr="00164657">
              <w:rPr>
                <w:bCs/>
                <w:lang w:val="de-DE"/>
              </w:rPr>
              <w:t xml:space="preserve">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B68ED" w:rsidP="00F71807">
            <w:pPr>
              <w:pStyle w:val="CSBody8pt"/>
              <w:rPr>
                <w:lang w:val="de-DE"/>
              </w:rPr>
            </w:pPr>
          </w:p>
        </w:tc>
        <w:tc>
          <w:tcPr>
            <w:tcW w:w="3315" w:type="dxa"/>
            <w:gridSpan w:val="7"/>
            <w:tcBorders>
              <w:top w:val="nil"/>
              <w:left w:val="nil"/>
              <w:bottom w:val="nil"/>
            </w:tcBorders>
            <w:shd w:val="clear" w:color="auto" w:fill="auto"/>
          </w:tcPr>
          <w:p w:rsidR="0017135D" w:rsidRPr="00F64D20" w:rsidP="004C1EBA">
            <w:pPr>
              <w:pStyle w:val="CSBody8pt"/>
            </w:pPr>
            <w:r w:rsidRPr="00F71807">
              <w:rPr>
                <w:i/>
              </w:rPr>
              <w:t>provided, however</w:t>
            </w:r>
            <w:r w:rsidRPr="00F64D20">
              <w:t xml:space="preserve">, that the Issuer may elect in its discretion to redeem each Complex Product at any time during </w:t>
            </w:r>
            <w:r>
              <w:t>a</w:t>
            </w:r>
            <w:r w:rsidRPr="00F64D20">
              <w:t xml:space="preserve"> Potential Credit Event Period by payment of a cash amount equal to the Scheduled Redemption Amount to the Holder thereof, so long as the </w:t>
            </w:r>
            <w:r>
              <w:t>related</w:t>
            </w:r>
            <w:r w:rsidRPr="00F64D20">
              <w:t xml:space="preserve"> Potential Failure to Pay </w:t>
            </w:r>
            <w:r w:rsidRPr="00792D61">
              <w:rPr>
                <w:b/>
                <w:i/>
              </w:rPr>
              <w:t>[</w:t>
            </w:r>
            <w:r w:rsidRPr="00F71807">
              <w:rPr>
                <w:b/>
                <w:i/>
              </w:rPr>
              <w:t>if "Repudiation/Moratorium" is applicable, insert:</w:t>
            </w:r>
            <w:r w:rsidRPr="00F64D20">
              <w:t xml:space="preserve"> , Potential Repudiation/Moratorium</w:t>
            </w:r>
            <w:r w:rsidRPr="00792D61">
              <w:rPr>
                <w:b/>
              </w:rPr>
              <w:t>]</w:t>
            </w:r>
            <w:r w:rsidRPr="00F64D20">
              <w:t xml:space="preserve"> or DC Pending Request, as the case may be, has not resulted in the occurrence of a Credit Event Determination Date with respect to any such Potential </w:t>
            </w:r>
            <w:r w:rsidRPr="00792D61">
              <w:rPr>
                <w:b/>
              </w:rPr>
              <w:t>[</w:t>
            </w:r>
            <w:r w:rsidRPr="00F71807">
              <w:rPr>
                <w:b/>
                <w:i/>
              </w:rPr>
              <w:t>insert relevant number:</w:t>
            </w:r>
            <w:r w:rsidRPr="00F64D20">
              <w:t xml:space="preserve"> </w:t>
            </w:r>
            <w:r w:rsidRPr="00792D61">
              <w:rPr>
                <w:b/>
              </w:rPr>
              <w:t>[</w:t>
            </w:r>
            <w:r w:rsidRPr="00F64D20">
              <w:t>1st</w:t>
            </w:r>
            <w:r w:rsidRPr="00792D61">
              <w:rPr>
                <w:b/>
              </w:rPr>
              <w:t>][</w:t>
            </w:r>
            <w:r w:rsidRPr="00F64D20">
              <w:t>2nd</w:t>
            </w:r>
            <w:r w:rsidRPr="00792D61">
              <w:rPr>
                <w:b/>
              </w:rPr>
              <w:t>][</w:t>
            </w:r>
            <w:r w:rsidRPr="00F64D20">
              <w:t>3rd</w:t>
            </w:r>
            <w:r w:rsidRPr="00792D61">
              <w:rPr>
                <w:b/>
              </w:rPr>
              <w:t>][[</w:t>
            </w:r>
            <w:r w:rsidRPr="00F64D20">
              <w:rPr>
                <w:rFonts w:ascii="Arial" w:hAnsi="Arial" w:cs="Arial"/>
              </w:rPr>
              <w:t>●</w:t>
            </w:r>
            <w:r w:rsidRPr="00792D61">
              <w:rPr>
                <w:b/>
              </w:rPr>
              <w:t>]]]</w:t>
            </w:r>
            <w:r w:rsidRPr="00F64D20">
              <w:t xml:space="preserve">-to-Default Reference Entity and no such Reference Entity has been determined to be the </w:t>
            </w:r>
            <w:r w:rsidRPr="00792D61">
              <w:rPr>
                <w:b/>
              </w:rPr>
              <w:t>[</w:t>
            </w:r>
            <w:r w:rsidRPr="00F71807">
              <w:rPr>
                <w:b/>
                <w:i/>
              </w:rPr>
              <w:t xml:space="preserve">insert relevant number: </w:t>
            </w:r>
            <w:r w:rsidRPr="00792D61">
              <w:rPr>
                <w:b/>
              </w:rPr>
              <w:t>[</w:t>
            </w:r>
            <w:r w:rsidRPr="00F64D20">
              <w:t>1st</w:t>
            </w:r>
            <w:r w:rsidRPr="00792D61">
              <w:rPr>
                <w:b/>
              </w:rPr>
              <w:t>][</w:t>
            </w:r>
            <w:r w:rsidRPr="00F64D20">
              <w:t>2nd</w:t>
            </w:r>
            <w:r w:rsidRPr="00792D61">
              <w:rPr>
                <w:b/>
              </w:rPr>
              <w:t>][</w:t>
            </w:r>
            <w:r w:rsidRPr="00F64D20">
              <w:t>3rd</w:t>
            </w:r>
            <w:r w:rsidRPr="00792D61">
              <w:rPr>
                <w:b/>
              </w:rPr>
              <w:t>][[</w:t>
            </w:r>
            <w:r w:rsidRPr="00F64D20">
              <w:rPr>
                <w:rFonts w:ascii="Arial" w:hAnsi="Arial" w:cs="Arial"/>
              </w:rPr>
              <w:t>●</w:t>
            </w:r>
            <w:r w:rsidRPr="00792D61">
              <w:rPr>
                <w:b/>
              </w:rPr>
              <w:t>]]]</w:t>
            </w:r>
            <w:r w:rsidRPr="00F64D20">
              <w:t>-to-Default Reference Entity as of the date of such redemption.</w:t>
            </w:r>
            <w:r w:rsidRPr="00792D61">
              <w:rPr>
                <w:b/>
              </w:rPr>
              <w:t>]</w:t>
            </w:r>
            <w:r w:rsidRPr="00F64D20">
              <w:t xml:space="preserve"> For any postponement of the payment of the Scheduled Redemption Amount no default interest or other compensation payments shall be payable to the Holders.</w:t>
            </w:r>
            <w:r w:rsidRPr="00792D61">
              <w:rPr>
                <w:b/>
              </w:rPr>
              <w:t>]</w:t>
            </w:r>
          </w:p>
        </w:tc>
        <w:tc>
          <w:tcPr>
            <w:tcW w:w="1618" w:type="dxa"/>
            <w:gridSpan w:val="2"/>
            <w:tcBorders>
              <w:top w:val="nil"/>
              <w:bottom w:val="nil"/>
              <w:right w:val="nil"/>
            </w:tcBorders>
            <w:shd w:val="clear" w:color="auto" w:fill="auto"/>
          </w:tcPr>
          <w:p w:rsidR="0017135D" w:rsidRPr="00ED72B4" w:rsidP="00F71807">
            <w:pPr>
              <w:pStyle w:val="CSBody8pt"/>
              <w:rPr>
                <w:i/>
              </w:rPr>
            </w:pPr>
          </w:p>
        </w:tc>
        <w:tc>
          <w:tcPr>
            <w:tcW w:w="3318" w:type="dxa"/>
            <w:gridSpan w:val="10"/>
            <w:tcBorders>
              <w:top w:val="nil"/>
              <w:left w:val="nil"/>
              <w:bottom w:val="nil"/>
              <w:right w:val="nil"/>
            </w:tcBorders>
            <w:shd w:val="clear" w:color="auto" w:fill="auto"/>
          </w:tcPr>
          <w:p w:rsidR="0017135D" w:rsidRPr="00ED72B4" w:rsidP="004C1EBA">
            <w:pPr>
              <w:pStyle w:val="CSBody8pt"/>
              <w:rPr>
                <w:lang w:val="de-DE"/>
              </w:rPr>
            </w:pPr>
            <w:r w:rsidRPr="00F71807">
              <w:rPr>
                <w:i/>
                <w:lang w:val="de-DE"/>
              </w:rPr>
              <w:t>wobei jedoch</w:t>
            </w:r>
            <w:r w:rsidRPr="00ED72B4">
              <w:rPr>
                <w:lang w:val="de-DE"/>
              </w:rPr>
              <w:t xml:space="preserve"> die Emittentin nach ihrem Ermessen jedes Komplexe Produkt zu jedem Zeitpunkt </w:t>
            </w:r>
            <w:r>
              <w:rPr>
                <w:lang w:val="de-DE"/>
              </w:rPr>
              <w:t>eines</w:t>
            </w:r>
            <w:r w:rsidRPr="00ED72B4">
              <w:rPr>
                <w:lang w:val="de-DE"/>
              </w:rPr>
              <w:t xml:space="preserve"> Zeitraums eines Potenziellen Kreditereignisses durch Zahlung eines Geldbetrags in Höhe des Planmässigen Rückzahlungsbetrags an den jeweiligen Inhaber zurückzahlen kann, solange zum Zeitpunkt der Rückzahlung die </w:t>
            </w:r>
            <w:r>
              <w:rPr>
                <w:lang w:val="de-DE"/>
              </w:rPr>
              <w:t>diesbezügliche</w:t>
            </w:r>
            <w:r w:rsidRPr="00ED72B4">
              <w:rPr>
                <w:lang w:val="de-DE"/>
              </w:rPr>
              <w:t xml:space="preserve"> Potenzielle Nichtzahlung </w:t>
            </w:r>
            <w:r w:rsidRPr="00792D61">
              <w:rPr>
                <w:b/>
                <w:lang w:val="de-DE"/>
              </w:rPr>
              <w:t>[</w:t>
            </w:r>
            <w:r w:rsidRPr="00F71807">
              <w:rPr>
                <w:b/>
                <w:i/>
                <w:lang w:val="de-DE"/>
              </w:rPr>
              <w:t>falls "Nichtanerkennung/Moratorium" anwendbar ist, einfügen:</w:t>
            </w:r>
            <w:r w:rsidRPr="00ED72B4">
              <w:rPr>
                <w:lang w:val="de-DE"/>
              </w:rPr>
              <w:t xml:space="preserve"> oder die jeweilige Potenzielle Nichtanerkennung / das jeweilige Potenzielle Moratorium</w:t>
            </w:r>
            <w:r w:rsidRPr="00792D61">
              <w:rPr>
                <w:b/>
                <w:lang w:val="de-DE"/>
              </w:rPr>
              <w:t>]</w:t>
            </w:r>
            <w:r w:rsidRPr="00ED72B4">
              <w:rPr>
                <w:lang w:val="de-DE"/>
              </w:rPr>
              <w:t xml:space="preserve"> oder ein Ausstehender Antrag nicht zu einem Kreditereignis-Feststellungstag bezüglich irgend eines dieser Potenziellen </w:t>
            </w:r>
            <w:r w:rsidRPr="00792D61">
              <w:rPr>
                <w:b/>
                <w:lang w:val="de-DE"/>
              </w:rPr>
              <w:t>[</w:t>
            </w:r>
            <w:r w:rsidRPr="00F71807">
              <w:rPr>
                <w:b/>
                <w:i/>
                <w:lang w:val="de-DE"/>
              </w:rPr>
              <w:t>jeweilige Zahl einfügen:</w:t>
            </w:r>
            <w:r w:rsidRPr="00ED72B4">
              <w:rPr>
                <w:lang w:val="de-DE"/>
              </w:rPr>
              <w:t xml:space="preserve"> </w:t>
            </w:r>
            <w:r w:rsidRPr="00792D61">
              <w:rPr>
                <w:b/>
                <w:lang w:val="de-DE"/>
              </w:rPr>
              <w:t>[</w:t>
            </w:r>
            <w:r w:rsidRPr="00ED72B4">
              <w:rPr>
                <w:lang w:val="de-DE"/>
              </w:rPr>
              <w:t>1st</w:t>
            </w:r>
            <w:r w:rsidRPr="00792D61">
              <w:rPr>
                <w:b/>
                <w:lang w:val="de-DE"/>
              </w:rPr>
              <w:t>][</w:t>
            </w:r>
            <w:r w:rsidRPr="00ED72B4">
              <w:rPr>
                <w:lang w:val="de-DE"/>
              </w:rPr>
              <w:t>2nd</w:t>
            </w:r>
            <w:r w:rsidRPr="00792D61">
              <w:rPr>
                <w:b/>
                <w:lang w:val="de-DE"/>
              </w:rPr>
              <w:t>][</w:t>
            </w:r>
            <w:r w:rsidRPr="00ED72B4">
              <w:rPr>
                <w:lang w:val="de-DE"/>
              </w:rPr>
              <w:t>3rd</w:t>
            </w:r>
            <w:r w:rsidRPr="00792D61">
              <w:rPr>
                <w:b/>
                <w:lang w:val="de-DE"/>
              </w:rPr>
              <w:t>][[</w:t>
            </w:r>
            <w:r w:rsidRPr="00ED72B4">
              <w:rPr>
                <w:rFonts w:ascii="Arial" w:hAnsi="Arial" w:cs="Arial"/>
                <w:lang w:val="de-DE"/>
              </w:rPr>
              <w:t>●</w:t>
            </w:r>
            <w:r w:rsidRPr="00792D61">
              <w:rPr>
                <w:b/>
                <w:lang w:val="de-DE"/>
              </w:rPr>
              <w:t>]]]</w:t>
            </w:r>
            <w:r w:rsidRPr="00ED72B4">
              <w:rPr>
                <w:lang w:val="de-DE"/>
              </w:rPr>
              <w:t>-to-Default-Referenzschuldner gef</w:t>
            </w:r>
            <w:r w:rsidRPr="00ED72B4">
              <w:rPr>
                <w:rFonts w:cs="Credit Suisse Type Light"/>
                <w:lang w:val="de-DE"/>
              </w:rPr>
              <w:t>ü</w:t>
            </w:r>
            <w:r w:rsidRPr="00ED72B4">
              <w:rPr>
                <w:lang w:val="de-DE"/>
              </w:rPr>
              <w:t>hrt hat und keiner dieser Referenzschuldner zum Zeitpunkt der R</w:t>
            </w:r>
            <w:r w:rsidRPr="00ED72B4">
              <w:rPr>
                <w:rFonts w:cs="Credit Suisse Type Light"/>
                <w:lang w:val="de-DE"/>
              </w:rPr>
              <w:t>ü</w:t>
            </w:r>
            <w:r w:rsidRPr="00ED72B4">
              <w:rPr>
                <w:lang w:val="de-DE"/>
              </w:rPr>
              <w:t xml:space="preserve">ckzahlung als </w:t>
            </w:r>
            <w:r w:rsidRPr="00792D61">
              <w:rPr>
                <w:b/>
                <w:lang w:val="de-DE"/>
              </w:rPr>
              <w:t>[</w:t>
            </w:r>
            <w:r w:rsidRPr="00F71807">
              <w:rPr>
                <w:b/>
                <w:i/>
                <w:lang w:val="de-DE"/>
              </w:rPr>
              <w:t>jeweilige Zahl einf</w:t>
            </w:r>
            <w:r w:rsidRPr="00F71807">
              <w:rPr>
                <w:rFonts w:cs="Credit Suisse Type Light"/>
                <w:b/>
                <w:i/>
                <w:lang w:val="de-DE"/>
              </w:rPr>
              <w:t>ü</w:t>
            </w:r>
            <w:r w:rsidRPr="00F71807">
              <w:rPr>
                <w:b/>
                <w:i/>
                <w:lang w:val="de-DE"/>
              </w:rPr>
              <w:t>gen:</w:t>
            </w:r>
            <w:r w:rsidRPr="00ED72B4">
              <w:rPr>
                <w:lang w:val="de-DE"/>
              </w:rPr>
              <w:t xml:space="preserve"> </w:t>
            </w:r>
            <w:r w:rsidRPr="00792D61">
              <w:rPr>
                <w:b/>
                <w:lang w:val="de-DE"/>
              </w:rPr>
              <w:t>[</w:t>
            </w:r>
            <w:r w:rsidRPr="00ED72B4">
              <w:rPr>
                <w:lang w:val="de-DE"/>
              </w:rPr>
              <w:t>1st</w:t>
            </w:r>
            <w:r w:rsidRPr="00792D61">
              <w:rPr>
                <w:b/>
                <w:lang w:val="de-DE"/>
              </w:rPr>
              <w:t>][</w:t>
            </w:r>
            <w:r w:rsidRPr="00ED72B4">
              <w:rPr>
                <w:lang w:val="de-DE"/>
              </w:rPr>
              <w:t>2nd</w:t>
            </w:r>
            <w:r w:rsidRPr="00792D61">
              <w:rPr>
                <w:b/>
                <w:lang w:val="de-DE"/>
              </w:rPr>
              <w:t>][</w:t>
            </w:r>
            <w:r w:rsidRPr="00ED72B4">
              <w:rPr>
                <w:lang w:val="de-DE"/>
              </w:rPr>
              <w:t>3rd</w:t>
            </w:r>
            <w:r w:rsidRPr="00792D61">
              <w:rPr>
                <w:b/>
                <w:lang w:val="de-DE"/>
              </w:rPr>
              <w:t>][[</w:t>
            </w:r>
            <w:r w:rsidRPr="00ED72B4">
              <w:rPr>
                <w:rFonts w:ascii="Arial" w:hAnsi="Arial" w:cs="Arial"/>
                <w:lang w:val="de-DE"/>
              </w:rPr>
              <w:t>●</w:t>
            </w:r>
            <w:r w:rsidRPr="00792D61">
              <w:rPr>
                <w:b/>
                <w:lang w:val="de-DE"/>
              </w:rPr>
              <w:t>]]]</w:t>
            </w:r>
            <w:r w:rsidRPr="00ED72B4">
              <w:rPr>
                <w:lang w:val="de-DE"/>
              </w:rPr>
              <w:t>-to-Default-Referenzschuldner bestimmt wurde.</w:t>
            </w:r>
            <w:r w:rsidRPr="00792D61">
              <w:rPr>
                <w:b/>
                <w:lang w:val="de-DE"/>
              </w:rPr>
              <w:t>]</w:t>
            </w:r>
            <w:r w:rsidRPr="00ED72B4">
              <w:rPr>
                <w:lang w:val="de-DE"/>
              </w:rPr>
              <w:t xml:space="preserve"> Für jede Verschiebung der Zahlung des Planmässigen Rückzahlungsbetrags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D72B4" w:rsidP="00F71807">
            <w:pPr>
              <w:pStyle w:val="CSBody8ptbolditalics"/>
              <w:rPr>
                <w:lang w:val="de-DE"/>
              </w:rPr>
            </w:pPr>
          </w:p>
        </w:tc>
        <w:tc>
          <w:tcPr>
            <w:tcW w:w="3315" w:type="dxa"/>
            <w:gridSpan w:val="7"/>
            <w:tcBorders>
              <w:top w:val="nil"/>
              <w:left w:val="nil"/>
              <w:bottom w:val="nil"/>
            </w:tcBorders>
            <w:shd w:val="clear" w:color="auto" w:fill="auto"/>
          </w:tcPr>
          <w:p w:rsidR="0017135D" w:rsidRPr="00F64D20" w:rsidP="00F71807">
            <w:pPr>
              <w:pStyle w:val="CSBody8ptbolditalics"/>
            </w:pPr>
            <w:r w:rsidRPr="00792D61">
              <w:t>[</w:t>
            </w:r>
            <w:r w:rsidRPr="00F64D20">
              <w:t>if a Basket is applicable, insert:</w:t>
            </w:r>
          </w:p>
        </w:tc>
        <w:tc>
          <w:tcPr>
            <w:tcW w:w="1618" w:type="dxa"/>
            <w:gridSpan w:val="2"/>
            <w:tcBorders>
              <w:top w:val="nil"/>
              <w:bottom w:val="nil"/>
              <w:right w:val="nil"/>
            </w:tcBorders>
            <w:shd w:val="clear" w:color="auto" w:fill="auto"/>
          </w:tcPr>
          <w:p w:rsidR="0017135D" w:rsidRPr="00ED72B4" w:rsidP="00F71807">
            <w:pPr>
              <w:pStyle w:val="CSBody8ptbolditalics"/>
            </w:pPr>
          </w:p>
        </w:tc>
        <w:tc>
          <w:tcPr>
            <w:tcW w:w="3318" w:type="dxa"/>
            <w:gridSpan w:val="10"/>
            <w:tcBorders>
              <w:top w:val="nil"/>
              <w:left w:val="nil"/>
              <w:bottom w:val="nil"/>
              <w:right w:val="nil"/>
            </w:tcBorders>
            <w:shd w:val="clear" w:color="auto" w:fill="auto"/>
          </w:tcPr>
          <w:p w:rsidR="0017135D" w:rsidRPr="00ED72B4" w:rsidP="00F71807">
            <w:pPr>
              <w:pStyle w:val="CSBody8ptbolditalics"/>
              <w:rPr>
                <w:lang w:val="de-DE"/>
              </w:rPr>
            </w:pPr>
            <w:r w:rsidRPr="00792D61">
              <w:rPr>
                <w:lang w:val="de-DE"/>
              </w:rPr>
              <w:t>[</w:t>
            </w:r>
            <w:r w:rsidRPr="00ED72B4">
              <w:rPr>
                <w:lang w:val="de-DE"/>
              </w:rPr>
              <w:t>falls ein Korb anwendbar ist,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D72B4" w:rsidP="00F71807">
            <w:pPr>
              <w:pStyle w:val="CSBody8pt"/>
              <w:rPr>
                <w:lang w:val="de-DE"/>
              </w:rPr>
            </w:pPr>
          </w:p>
        </w:tc>
        <w:tc>
          <w:tcPr>
            <w:tcW w:w="3315" w:type="dxa"/>
            <w:gridSpan w:val="7"/>
            <w:tcBorders>
              <w:top w:val="nil"/>
              <w:left w:val="nil"/>
              <w:bottom w:val="nil"/>
            </w:tcBorders>
            <w:shd w:val="clear" w:color="auto" w:fill="auto"/>
          </w:tcPr>
          <w:p w:rsidR="0017135D" w:rsidP="004C1EBA">
            <w:pPr>
              <w:pStyle w:val="CSBody8pt"/>
            </w:pPr>
            <w:r w:rsidRPr="00F64D20">
              <w:t xml:space="preserve">Unless previously redeemed, repurchased or cancelled, the Issuer shall redeem each Complex Product on the Scheduled Maturity Date by payment of a cash amount equal to the Scheduled Redemption Amount to the Holder thereof; provided, however, that, if a Potential Credit Event Period with respect to </w:t>
            </w:r>
            <w:r>
              <w:t xml:space="preserve">one or more </w:t>
            </w:r>
            <w:r w:rsidRPr="00F64D20">
              <w:t>Reference Entit</w:t>
            </w:r>
            <w:r>
              <w:t>ies</w:t>
            </w:r>
            <w:r w:rsidRPr="00F64D20">
              <w:t xml:space="preserve"> that </w:t>
            </w:r>
            <w:r>
              <w:t>are not</w:t>
            </w:r>
            <w:r w:rsidRPr="00F64D20">
              <w:t xml:space="preserve"> Affected Reference Entit</w:t>
            </w:r>
            <w:r>
              <w:t>ies</w:t>
            </w:r>
            <w:r w:rsidRPr="00F64D20">
              <w:t xml:space="preserve"> has occurred on or prior to, and is continuing on, the Scheduled Maturity Date, the following shall apply:</w:t>
            </w:r>
          </w:p>
        </w:tc>
        <w:tc>
          <w:tcPr>
            <w:tcW w:w="1618" w:type="dxa"/>
            <w:gridSpan w:val="2"/>
            <w:tcBorders>
              <w:top w:val="nil"/>
              <w:bottom w:val="nil"/>
              <w:right w:val="nil"/>
            </w:tcBorders>
            <w:shd w:val="clear" w:color="auto" w:fill="auto"/>
          </w:tcPr>
          <w:p w:rsidR="0017135D" w:rsidRPr="00ED72B4" w:rsidP="00F71807">
            <w:pPr>
              <w:pStyle w:val="CSBody8pt"/>
              <w:rPr>
                <w:i/>
              </w:rPr>
            </w:pPr>
          </w:p>
        </w:tc>
        <w:tc>
          <w:tcPr>
            <w:tcW w:w="3318" w:type="dxa"/>
            <w:gridSpan w:val="10"/>
            <w:tcBorders>
              <w:top w:val="nil"/>
              <w:left w:val="nil"/>
              <w:bottom w:val="nil"/>
              <w:right w:val="nil"/>
            </w:tcBorders>
            <w:shd w:val="clear" w:color="auto" w:fill="auto"/>
          </w:tcPr>
          <w:p w:rsidR="0017135D" w:rsidRPr="00ED72B4" w:rsidP="004C1EBA">
            <w:pPr>
              <w:pStyle w:val="CSBody8pt"/>
              <w:rPr>
                <w:lang w:val="de-DE"/>
              </w:rPr>
            </w:pPr>
            <w:r w:rsidRPr="00ED72B4">
              <w:rPr>
                <w:lang w:val="de-DE"/>
              </w:rPr>
              <w:t xml:space="preserve">Jedes Komplexe Produkt, das nicht bereits zuvor zurückgezahlt, zurückgekauft oder entwertet wurde, wird von der Emittentin am Planmässigen Fälligkeitstag durch Zahlung eines dem Planmässigen Rückzahlungsbetrag entsprechenden Geldbetrags an den jeweiligen Inhaber getilgt; wobei jedoch im Fall, dass ein Zeitraum eines Potenziellen Kreditereignisses in Bezug auf einen </w:t>
            </w:r>
            <w:r>
              <w:rPr>
                <w:lang w:val="de-DE"/>
              </w:rPr>
              <w:t xml:space="preserve">oder mehrere </w:t>
            </w:r>
            <w:r w:rsidRPr="00ED72B4">
              <w:rPr>
                <w:lang w:val="de-DE"/>
              </w:rPr>
              <w:t xml:space="preserve">Referenzschuldner, </w:t>
            </w:r>
            <w:r>
              <w:rPr>
                <w:lang w:val="de-DE"/>
              </w:rPr>
              <w:t>die</w:t>
            </w:r>
            <w:r w:rsidRPr="00ED72B4">
              <w:rPr>
                <w:lang w:val="de-DE"/>
              </w:rPr>
              <w:t xml:space="preserve"> kein</w:t>
            </w:r>
            <w:r>
              <w:rPr>
                <w:lang w:val="de-DE"/>
              </w:rPr>
              <w:t>e</w:t>
            </w:r>
            <w:r w:rsidRPr="00ED72B4">
              <w:rPr>
                <w:lang w:val="de-DE"/>
              </w:rPr>
              <w:t xml:space="preserve"> Betroffene</w:t>
            </w:r>
            <w:r>
              <w:rPr>
                <w:lang w:val="de-DE"/>
              </w:rPr>
              <w:t>n</w:t>
            </w:r>
            <w:r w:rsidRPr="00ED72B4">
              <w:rPr>
                <w:lang w:val="de-DE"/>
              </w:rPr>
              <w:t xml:space="preserve"> Referenzschuldner </w:t>
            </w:r>
            <w:r>
              <w:rPr>
                <w:lang w:val="de-DE"/>
              </w:rPr>
              <w:t>sind</w:t>
            </w:r>
            <w:r w:rsidRPr="00ED72B4">
              <w:rPr>
                <w:lang w:val="de-DE"/>
              </w:rPr>
              <w:t>, an oder vor dem Planmässigen Fälligkeitstag begonnen hat und an dem Planmässigen Fälligkeitstag andauert, folgendes gilt: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D72B4" w:rsidP="00F71807">
            <w:pPr>
              <w:pStyle w:val="CSManNum8pt"/>
              <w:rPr>
                <w:lang w:val="de-DE"/>
              </w:rPr>
            </w:pPr>
          </w:p>
        </w:tc>
        <w:tc>
          <w:tcPr>
            <w:tcW w:w="3315" w:type="dxa"/>
            <w:gridSpan w:val="7"/>
            <w:tcBorders>
              <w:top w:val="nil"/>
              <w:left w:val="nil"/>
              <w:bottom w:val="nil"/>
            </w:tcBorders>
            <w:shd w:val="clear" w:color="auto" w:fill="auto"/>
          </w:tcPr>
          <w:p w:rsidR="0017135D" w:rsidRPr="00ED72B4" w:rsidP="004C1EBA">
            <w:pPr>
              <w:pStyle w:val="CSManNum8pt"/>
            </w:pPr>
            <w:r w:rsidRPr="00ED72B4">
              <w:t xml:space="preserve">(i) </w:t>
            </w:r>
            <w:r w:rsidRPr="00ED72B4">
              <w:tab/>
              <w:t xml:space="preserve">(a) the Calculation Agent shall calculate the Scheduled Redemption Amount per Complex Product  as if </w:t>
            </w:r>
            <w:r>
              <w:t xml:space="preserve">all </w:t>
            </w:r>
            <w:r w:rsidRPr="00ED72B4">
              <w:t>such Reference Entit</w:t>
            </w:r>
            <w:r>
              <w:t>ies</w:t>
            </w:r>
            <w:r w:rsidRPr="00ED72B4">
              <w:t xml:space="preserve"> were Affected Reference Entit</w:t>
            </w:r>
            <w:r>
              <w:t>ies</w:t>
            </w:r>
            <w:r w:rsidRPr="00ED72B4">
              <w:t xml:space="preserve"> (such amount, the "</w:t>
            </w:r>
            <w:r w:rsidRPr="00F71807">
              <w:rPr>
                <w:b/>
              </w:rPr>
              <w:t>Non-Affected Redemption Amount</w:t>
            </w:r>
            <w:r w:rsidRPr="00ED72B4">
              <w:t>"), and (b) the Issuer shall partially redeem each Complex Product by payment of a cash amount equal to the Non-Affected Redemption Amount on the Scheduled Maturity Date to the Holder thereof;</w:t>
            </w:r>
          </w:p>
        </w:tc>
        <w:tc>
          <w:tcPr>
            <w:tcW w:w="1618" w:type="dxa"/>
            <w:gridSpan w:val="2"/>
            <w:tcBorders>
              <w:top w:val="nil"/>
              <w:bottom w:val="nil"/>
              <w:right w:val="nil"/>
            </w:tcBorders>
            <w:shd w:val="clear" w:color="auto" w:fill="auto"/>
          </w:tcPr>
          <w:p w:rsidR="0017135D" w:rsidRPr="00ED72B4" w:rsidP="00F71807">
            <w:pPr>
              <w:pStyle w:val="CSManNum8pt"/>
              <w:rPr>
                <w:i/>
              </w:rPr>
            </w:pPr>
          </w:p>
        </w:tc>
        <w:tc>
          <w:tcPr>
            <w:tcW w:w="3318" w:type="dxa"/>
            <w:gridSpan w:val="10"/>
            <w:tcBorders>
              <w:top w:val="nil"/>
              <w:left w:val="nil"/>
              <w:bottom w:val="nil"/>
              <w:right w:val="nil"/>
            </w:tcBorders>
            <w:shd w:val="clear" w:color="auto" w:fill="auto"/>
          </w:tcPr>
          <w:p w:rsidR="0017135D" w:rsidRPr="00ED72B4" w:rsidP="004C1EBA">
            <w:pPr>
              <w:pStyle w:val="CSManNum8pt"/>
              <w:rPr>
                <w:bCs/>
                <w:lang w:val="de-DE"/>
              </w:rPr>
            </w:pPr>
            <w:r w:rsidRPr="00ED72B4">
              <w:rPr>
                <w:bCs/>
                <w:lang w:val="de-DE"/>
              </w:rPr>
              <w:t>(i)</w:t>
            </w:r>
            <w:r w:rsidRPr="00ED72B4">
              <w:rPr>
                <w:bCs/>
                <w:lang w:val="de-DE"/>
              </w:rPr>
              <w:tab/>
              <w:t xml:space="preserve">(a) die Berechnungsstelle wird den Planmässigen Rückzahlungsbetrag pro Komplexes Produkt so berechnen, als ob </w:t>
            </w:r>
            <w:r>
              <w:rPr>
                <w:bCs/>
                <w:lang w:val="de-DE"/>
              </w:rPr>
              <w:t>alle diese</w:t>
            </w:r>
            <w:r w:rsidRPr="00ED72B4">
              <w:rPr>
                <w:bCs/>
                <w:lang w:val="de-DE"/>
              </w:rPr>
              <w:t xml:space="preserve"> Referenzschuldner Betroffene Referenzschuldner wäre</w:t>
            </w:r>
            <w:r>
              <w:rPr>
                <w:bCs/>
                <w:lang w:val="de-DE"/>
              </w:rPr>
              <w:t>n</w:t>
            </w:r>
            <w:r w:rsidRPr="00ED72B4">
              <w:rPr>
                <w:bCs/>
                <w:lang w:val="de-DE"/>
              </w:rPr>
              <w:t xml:space="preserve"> (ein solcher Betrag der "</w:t>
            </w:r>
            <w:r w:rsidRPr="00F71807">
              <w:rPr>
                <w:b/>
                <w:bCs/>
                <w:lang w:val="de-DE"/>
              </w:rPr>
              <w:t>Nicht-Betroffene-Rückzahlungsbetrag</w:t>
            </w:r>
            <w:r w:rsidRPr="00ED72B4">
              <w:rPr>
                <w:bCs/>
                <w:lang w:val="de-DE"/>
              </w:rPr>
              <w:t>") und (b) die Emittentin wird am Planmässigen Fälligkeitstag jedes Komplexen Produkts teilweise durch Zahlung eines Geldbetrags in Höhe des Nicht-Betroffenen Rückzahlungsbetrags an den jeweiligen Inhaber zurückzahlen;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D72B4" w:rsidP="00F71807">
            <w:pPr>
              <w:pStyle w:val="CSManNum8pt"/>
              <w:rPr>
                <w:lang w:val="de-DE"/>
              </w:rPr>
            </w:pPr>
          </w:p>
        </w:tc>
        <w:tc>
          <w:tcPr>
            <w:tcW w:w="3315" w:type="dxa"/>
            <w:gridSpan w:val="7"/>
            <w:tcBorders>
              <w:top w:val="nil"/>
              <w:left w:val="nil"/>
              <w:bottom w:val="nil"/>
            </w:tcBorders>
            <w:shd w:val="clear" w:color="auto" w:fill="auto"/>
          </w:tcPr>
          <w:p w:rsidR="0017135D" w:rsidRPr="00ED72B4" w:rsidP="004C1EBA">
            <w:pPr>
              <w:pStyle w:val="CSManNum8pt"/>
            </w:pPr>
            <w:r w:rsidRPr="00ED72B4">
              <w:t xml:space="preserve">(ii) </w:t>
            </w:r>
            <w:r w:rsidRPr="00ED72B4">
              <w:tab/>
              <w:t xml:space="preserve">if the relevant Potential Failure to Pay </w:t>
            </w:r>
            <w:r w:rsidRPr="00792D61">
              <w:rPr>
                <w:b/>
              </w:rPr>
              <w:t>[</w:t>
            </w:r>
            <w:r w:rsidRPr="00F71807">
              <w:rPr>
                <w:b/>
                <w:i/>
              </w:rPr>
              <w:t>if "Repudiation/Moratorium" is applicable, insert:</w:t>
            </w:r>
            <w:r w:rsidRPr="00ED72B4">
              <w:t xml:space="preserve"> , Potential Repudiation / Moratorium</w:t>
            </w:r>
            <w:r w:rsidRPr="00792D61">
              <w:rPr>
                <w:b/>
              </w:rPr>
              <w:t>]</w:t>
            </w:r>
            <w:r w:rsidRPr="00ED72B4">
              <w:t xml:space="preserve"> or DC Pending Request, as the case may be, with respect to </w:t>
            </w:r>
            <w:r>
              <w:t xml:space="preserve">any </w:t>
            </w:r>
            <w:r w:rsidRPr="00ED72B4">
              <w:t xml:space="preserve">such Reference Entity results in the occurrence of a Credit Event Determination Date with respect to such Reference Entity, as determined on or prior to the last day of </w:t>
            </w:r>
            <w:r>
              <w:t>the relevant</w:t>
            </w:r>
            <w:r w:rsidRPr="00ED72B4">
              <w:t xml:space="preserve"> Potential Credit Event Period, the Issuer shall </w:t>
            </w:r>
            <w:r w:rsidRPr="00792D61">
              <w:rPr>
                <w:b/>
              </w:rPr>
              <w:t>[</w:t>
            </w:r>
            <w:r w:rsidRPr="00F71807">
              <w:rPr>
                <w:b/>
                <w:i/>
              </w:rPr>
              <w:t>in the case of Credit-Linked Complex Products with auction settlement, insert:</w:t>
            </w:r>
            <w:r w:rsidRPr="00ED72B4">
              <w:t xml:space="preserve"> redeem the remaining portion </w:t>
            </w:r>
            <w:r>
              <w:t xml:space="preserve">of the Principal Amount </w:t>
            </w:r>
            <w:r w:rsidRPr="00ED72B4">
              <w:t>of each Complex Product equal to the Reference Entity Principal Amount of such Affected Reference Entity pursuant to Section 2.2</w:t>
            </w:r>
            <w:r w:rsidRPr="00792D61">
              <w:rPr>
                <w:b/>
              </w:rPr>
              <w:t>][</w:t>
            </w:r>
            <w:r w:rsidRPr="00F71807">
              <w:rPr>
                <w:b/>
                <w:i/>
              </w:rPr>
              <w:t xml:space="preserve">in the case of Credit-Linked Complex Products with </w:t>
            </w:r>
            <w:r>
              <w:rPr>
                <w:b/>
                <w:i/>
              </w:rPr>
              <w:t>Z</w:t>
            </w:r>
            <w:r w:rsidRPr="00F71807">
              <w:rPr>
                <w:b/>
                <w:i/>
              </w:rPr>
              <w:t>ero-</w:t>
            </w:r>
            <w:r>
              <w:rPr>
                <w:b/>
                <w:i/>
              </w:rPr>
              <w:t>R</w:t>
            </w:r>
            <w:r w:rsidRPr="00F71807">
              <w:rPr>
                <w:b/>
                <w:i/>
              </w:rPr>
              <w:t>ecovery feature linked to a Basket, insert:</w:t>
            </w:r>
            <w:r w:rsidRPr="00ED72B4">
              <w:t xml:space="preserve"> write down the Reference Entity Principal Amount </w:t>
            </w:r>
            <w:r>
              <w:t>relating to</w:t>
            </w:r>
            <w:r w:rsidRPr="00ED72B4">
              <w:t xml:space="preserve"> </w:t>
            </w:r>
            <w:r>
              <w:t>such</w:t>
            </w:r>
            <w:r w:rsidRPr="00ED72B4">
              <w:t xml:space="preserve"> Affected Reference Entity to zero and the Outstanding Principal Amount shall be reduced accordingly and no further payments shall be made in respect of such Reference Entity Principal Amount to the Holders of the Complex Products</w:t>
            </w:r>
            <w:r w:rsidRPr="00792D61">
              <w:rPr>
                <w:b/>
              </w:rPr>
              <w:t>]</w:t>
            </w:r>
            <w:r w:rsidRPr="00ED72B4">
              <w:t>; and</w:t>
            </w:r>
          </w:p>
        </w:tc>
        <w:tc>
          <w:tcPr>
            <w:tcW w:w="1618" w:type="dxa"/>
            <w:gridSpan w:val="2"/>
            <w:tcBorders>
              <w:top w:val="nil"/>
              <w:bottom w:val="nil"/>
              <w:right w:val="nil"/>
            </w:tcBorders>
            <w:shd w:val="clear" w:color="auto" w:fill="auto"/>
          </w:tcPr>
          <w:p w:rsidR="0017135D" w:rsidRPr="00ED72B4" w:rsidP="00F71807">
            <w:pPr>
              <w:pStyle w:val="CSManNum8pt"/>
              <w:rPr>
                <w:i/>
              </w:rPr>
            </w:pPr>
          </w:p>
        </w:tc>
        <w:tc>
          <w:tcPr>
            <w:tcW w:w="3318" w:type="dxa"/>
            <w:gridSpan w:val="10"/>
            <w:tcBorders>
              <w:top w:val="nil"/>
              <w:left w:val="nil"/>
              <w:bottom w:val="nil"/>
              <w:right w:val="nil"/>
            </w:tcBorders>
            <w:shd w:val="clear" w:color="auto" w:fill="auto"/>
          </w:tcPr>
          <w:p w:rsidR="0017135D" w:rsidRPr="00ED72B4">
            <w:pPr>
              <w:pStyle w:val="CSManNum8pt"/>
              <w:rPr>
                <w:bCs/>
                <w:lang w:val="de-DE"/>
              </w:rPr>
            </w:pPr>
            <w:r w:rsidRPr="00ED72B4">
              <w:rPr>
                <w:bCs/>
                <w:lang w:val="de-DE"/>
              </w:rPr>
              <w:t>(ii)</w:t>
            </w:r>
            <w:r w:rsidRPr="00ED72B4">
              <w:rPr>
                <w:bCs/>
                <w:lang w:val="de-DE"/>
              </w:rPr>
              <w:tab/>
              <w:t xml:space="preserve">falls die jeweilige Potenzielle Nichtzahlung </w:t>
            </w:r>
            <w:r w:rsidRPr="00792D61">
              <w:rPr>
                <w:b/>
                <w:bCs/>
                <w:lang w:val="de-DE"/>
              </w:rPr>
              <w:t>[</w:t>
            </w:r>
            <w:r w:rsidRPr="00F71807">
              <w:rPr>
                <w:b/>
                <w:bCs/>
                <w:i/>
                <w:lang w:val="de-DE"/>
              </w:rPr>
              <w:t>falls "Nichtanerkennung/Moratorium" anwendbar ist, einfügen:</w:t>
            </w:r>
            <w:r w:rsidRPr="00ED72B4">
              <w:rPr>
                <w:bCs/>
                <w:lang w:val="de-DE"/>
              </w:rPr>
              <w:t xml:space="preserve"> die jeweilige Potenzielle Nichtanerkennung / das jeweilige Potenzielle Moratorium</w:t>
            </w:r>
            <w:r w:rsidRPr="00792D61">
              <w:rPr>
                <w:b/>
                <w:bCs/>
                <w:lang w:val="de-DE"/>
              </w:rPr>
              <w:t>]</w:t>
            </w:r>
            <w:r w:rsidRPr="00ED72B4">
              <w:rPr>
                <w:bCs/>
                <w:lang w:val="de-DE"/>
              </w:rPr>
              <w:t xml:space="preserve"> oder ein Ausstehender Antrag in Bezug auf </w:t>
            </w:r>
            <w:r>
              <w:rPr>
                <w:bCs/>
                <w:lang w:val="de-DE"/>
              </w:rPr>
              <w:t xml:space="preserve">einen </w:t>
            </w:r>
            <w:r w:rsidRPr="00ED72B4">
              <w:rPr>
                <w:bCs/>
                <w:lang w:val="de-DE"/>
              </w:rPr>
              <w:t>diese</w:t>
            </w:r>
            <w:r>
              <w:rPr>
                <w:bCs/>
                <w:lang w:val="de-DE"/>
              </w:rPr>
              <w:t>r</w:t>
            </w:r>
            <w:r w:rsidRPr="00ED72B4">
              <w:rPr>
                <w:bCs/>
                <w:lang w:val="de-DE"/>
              </w:rPr>
              <w:t xml:space="preserve"> Referenzschuldner zu einem Kreditereignis-Feststellungstag in Bezug auf diesen Referenzschuldner, wie an oder vor dem letzten Tag </w:t>
            </w:r>
            <w:r>
              <w:rPr>
                <w:bCs/>
                <w:lang w:val="de-DE"/>
              </w:rPr>
              <w:t>des jeweiligen</w:t>
            </w:r>
            <w:r w:rsidRPr="00ED72B4">
              <w:rPr>
                <w:bCs/>
                <w:lang w:val="de-DE"/>
              </w:rPr>
              <w:t xml:space="preserve"> Zeitraums eines Potenziellen Kreditereignisses festgestellt, führt, wird die Emittentin </w:t>
            </w:r>
            <w:r w:rsidRPr="00792D61">
              <w:rPr>
                <w:b/>
                <w:bCs/>
                <w:lang w:val="de-DE"/>
              </w:rPr>
              <w:t>[</w:t>
            </w:r>
            <w:r>
              <w:rPr>
                <w:b/>
                <w:bCs/>
                <w:i/>
                <w:lang w:val="de-DE"/>
              </w:rPr>
              <w:t>bei Kredit</w:t>
            </w:r>
            <w:r w:rsidRPr="00F71807">
              <w:rPr>
                <w:b/>
                <w:bCs/>
                <w:i/>
                <w:lang w:val="de-DE"/>
              </w:rPr>
              <w:t>bezogenen Komplexen Produkten mit Auktionsabwicklung einfügen:</w:t>
            </w:r>
            <w:r w:rsidRPr="00ED72B4">
              <w:rPr>
                <w:bCs/>
                <w:lang w:val="de-DE"/>
              </w:rPr>
              <w:t xml:space="preserve"> den verbleibenden Teil </w:t>
            </w:r>
            <w:r>
              <w:rPr>
                <w:bCs/>
                <w:lang w:val="de-DE"/>
              </w:rPr>
              <w:t xml:space="preserve">des Nennbetrags </w:t>
            </w:r>
            <w:r w:rsidRPr="00ED72B4">
              <w:rPr>
                <w:bCs/>
                <w:lang w:val="de-DE"/>
              </w:rPr>
              <w:t>jedes Komplexen Produkts</w:t>
            </w:r>
            <w:r>
              <w:rPr>
                <w:bCs/>
                <w:lang w:val="de-DE"/>
              </w:rPr>
              <w:t>, der dem</w:t>
            </w:r>
            <w:r w:rsidRPr="00ED72B4">
              <w:rPr>
                <w:bCs/>
                <w:lang w:val="de-DE"/>
              </w:rPr>
              <w:t xml:space="preserve"> Referenzschuldner-Nennbetrag des jeweiligen Betroffenen Referenzschuldners </w:t>
            </w:r>
            <w:r>
              <w:rPr>
                <w:bCs/>
                <w:lang w:val="de-DE"/>
              </w:rPr>
              <w:t xml:space="preserve">entspricht, </w:t>
            </w:r>
            <w:r w:rsidRPr="00ED72B4">
              <w:rPr>
                <w:bCs/>
                <w:lang w:val="de-DE"/>
              </w:rPr>
              <w:t>gemäss Ziffer 2.2 zurückzahlen</w:t>
            </w:r>
            <w:r w:rsidRPr="00792D61">
              <w:rPr>
                <w:b/>
                <w:bCs/>
                <w:lang w:val="de-DE"/>
              </w:rPr>
              <w:t>][</w:t>
            </w:r>
            <w:r w:rsidRPr="00F71807">
              <w:rPr>
                <w:b/>
                <w:bCs/>
                <w:i/>
                <w:lang w:val="de-DE"/>
              </w:rPr>
              <w:t>bei Kreditbezogenen Komplexen Produkten mit Zero-Recovery-Merkmal, die an einen Korb gekoppelt sind, einfügen:</w:t>
            </w:r>
            <w:r w:rsidRPr="00ED72B4">
              <w:rPr>
                <w:bCs/>
                <w:lang w:val="de-DE"/>
              </w:rPr>
              <w:t xml:space="preserve"> den Referenzschuldner-Nennbetrag </w:t>
            </w:r>
            <w:r>
              <w:rPr>
                <w:bCs/>
                <w:lang w:val="de-DE"/>
              </w:rPr>
              <w:t>in Bezug auf diesen</w:t>
            </w:r>
            <w:r w:rsidRPr="00ED72B4">
              <w:rPr>
                <w:bCs/>
                <w:lang w:val="de-DE"/>
              </w:rPr>
              <w:t xml:space="preserve"> Betroffenen Referenzschuldner auf null herab setzen und der Ausstehende Nennbetrag wird entsprechend reduziert und es werden keine weiteren Zahlungen in Bezug auf diesen Referenzschuldner-Nennbetrag mehr an die Inhaber der Komplexen Produkte geleistet</w:t>
            </w:r>
            <w:r w:rsidRPr="00792D61">
              <w:rPr>
                <w:b/>
                <w:bCs/>
                <w:lang w:val="de-DE"/>
              </w:rPr>
              <w:t>]</w:t>
            </w:r>
            <w:r w:rsidRPr="00ED72B4">
              <w:rPr>
                <w:bCs/>
                <w:lang w:val="de-DE"/>
              </w:rPr>
              <w:t>; und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D72B4" w:rsidP="00F71807">
            <w:pPr>
              <w:pStyle w:val="CSManNum8pt"/>
              <w:rPr>
                <w:lang w:val="de-DE"/>
              </w:rPr>
            </w:pPr>
          </w:p>
        </w:tc>
        <w:tc>
          <w:tcPr>
            <w:tcW w:w="3315" w:type="dxa"/>
            <w:gridSpan w:val="7"/>
            <w:tcBorders>
              <w:top w:val="nil"/>
              <w:left w:val="nil"/>
              <w:bottom w:val="nil"/>
            </w:tcBorders>
            <w:shd w:val="clear" w:color="auto" w:fill="auto"/>
          </w:tcPr>
          <w:p w:rsidR="0017135D" w:rsidRPr="00ED72B4" w:rsidP="0091384B">
            <w:pPr>
              <w:pStyle w:val="CSManNum8pt"/>
            </w:pPr>
            <w:r w:rsidRPr="00ED72B4">
              <w:t>(iii)</w:t>
            </w:r>
            <w:r w:rsidRPr="00ED72B4">
              <w:tab/>
              <w:t xml:space="preserve">if the relevant Potential Failure to Pay </w:t>
            </w:r>
            <w:r w:rsidRPr="00792D61">
              <w:rPr>
                <w:b/>
                <w:i/>
              </w:rPr>
              <w:t>[</w:t>
            </w:r>
            <w:r w:rsidRPr="00F71807">
              <w:rPr>
                <w:b/>
                <w:i/>
              </w:rPr>
              <w:t>if "Repudiation/Moratorium" is applicable, insert: , Potential Repudiatio</w:t>
            </w:r>
            <w:r w:rsidRPr="00ED72B4">
              <w:t>n/Moratorium</w:t>
            </w:r>
            <w:r w:rsidRPr="00792D61">
              <w:rPr>
                <w:b/>
              </w:rPr>
              <w:t>]</w:t>
            </w:r>
            <w:r w:rsidRPr="00ED72B4">
              <w:t xml:space="preserve"> or DC Pending Request, as the case may be, with respect to </w:t>
            </w:r>
            <w:r>
              <w:t xml:space="preserve">any </w:t>
            </w:r>
            <w:r w:rsidRPr="00ED72B4">
              <w:t xml:space="preserve">such Reference Entity </w:t>
            </w:r>
            <w:r w:rsidRPr="00D150B1">
              <w:rPr>
                <w:b/>
              </w:rPr>
              <w:t>does not result</w:t>
            </w:r>
            <w:r w:rsidRPr="00ED72B4">
              <w:t xml:space="preserve"> in the occurrence of a Credit Event Determination Date with respect to such Reference Entity, as determined on or prior to the last day of such Potential Credit Event Period, (a) the Calculation Agent shall calculate the difference between (1) the Scheduled Redemption Amount per Complex Product that would have been paid on Scheduled Maturity Date if such Reference Entity had not been treated as an Affected Reference Entity, and (2) the Non-Affected Redemption Amount (such difference, the "</w:t>
            </w:r>
            <w:r w:rsidRPr="00F71807">
              <w:rPr>
                <w:b/>
              </w:rPr>
              <w:t>Remaining Scheduled Redemption Amount</w:t>
            </w:r>
            <w:r w:rsidRPr="00ED72B4">
              <w:t xml:space="preserve">") and (b) the Issuer shall pay an amount in cash per Complex Product equal to the Remaining Scheduled Redemption Amount on the </w:t>
            </w:r>
            <w:r w:rsidRPr="00792D61">
              <w:rPr>
                <w:b/>
              </w:rPr>
              <w:t>[</w:t>
            </w:r>
            <w:r w:rsidRPr="00ED72B4">
              <w:t>fifth</w:t>
            </w:r>
            <w:r w:rsidRPr="00792D61">
              <w:rPr>
                <w:b/>
              </w:rPr>
              <w:t>][[</w:t>
            </w:r>
            <w:r w:rsidRPr="00ED72B4">
              <w:rPr>
                <w:rFonts w:ascii="Arial" w:hAnsi="Arial" w:cs="Arial"/>
              </w:rPr>
              <w:t>●</w:t>
            </w:r>
            <w:r w:rsidRPr="00792D61">
              <w:rPr>
                <w:b/>
              </w:rPr>
              <w:t>]]</w:t>
            </w:r>
            <w:r w:rsidRPr="00ED72B4">
              <w:t xml:space="preserve"> Business Day following the last day of </w:t>
            </w:r>
            <w:r>
              <w:t>the relevant</w:t>
            </w:r>
            <w:r w:rsidRPr="00ED72B4">
              <w:t xml:space="preserve"> Potential Credit Event Period to the Holder thereof</w:t>
            </w:r>
            <w:r w:rsidRPr="00792D61">
              <w:rPr>
                <w:b/>
              </w:rPr>
              <w:t>[</w:t>
            </w:r>
            <w:r w:rsidRPr="00ED72B4">
              <w:t>.</w:t>
            </w:r>
            <w:r w:rsidRPr="00792D61">
              <w:rPr>
                <w:b/>
              </w:rPr>
              <w:t>][</w:t>
            </w:r>
            <w:r w:rsidRPr="00F71807">
              <w:rPr>
                <w:b/>
                <w:i/>
              </w:rPr>
              <w:t>insert, if applicable:</w:t>
            </w:r>
            <w:r w:rsidRPr="00ED72B4">
              <w:t>;</w:t>
            </w:r>
          </w:p>
        </w:tc>
        <w:tc>
          <w:tcPr>
            <w:tcW w:w="1618" w:type="dxa"/>
            <w:gridSpan w:val="2"/>
            <w:tcBorders>
              <w:top w:val="nil"/>
              <w:bottom w:val="nil"/>
              <w:right w:val="nil"/>
            </w:tcBorders>
            <w:shd w:val="clear" w:color="auto" w:fill="auto"/>
          </w:tcPr>
          <w:p w:rsidR="0017135D" w:rsidRPr="00ED72B4" w:rsidP="00F71807">
            <w:pPr>
              <w:pStyle w:val="CSManNum8pt"/>
              <w:rPr>
                <w:i/>
              </w:rPr>
            </w:pPr>
          </w:p>
        </w:tc>
        <w:tc>
          <w:tcPr>
            <w:tcW w:w="3318" w:type="dxa"/>
            <w:gridSpan w:val="10"/>
            <w:tcBorders>
              <w:top w:val="nil"/>
              <w:left w:val="nil"/>
              <w:bottom w:val="nil"/>
              <w:right w:val="nil"/>
            </w:tcBorders>
            <w:shd w:val="clear" w:color="auto" w:fill="auto"/>
          </w:tcPr>
          <w:p w:rsidR="0017135D" w:rsidRPr="00ED72B4" w:rsidP="0091384B">
            <w:pPr>
              <w:pStyle w:val="CSManNum8pt"/>
              <w:rPr>
                <w:bCs/>
                <w:lang w:val="de-DE"/>
              </w:rPr>
            </w:pPr>
            <w:r w:rsidRPr="00ED72B4">
              <w:rPr>
                <w:bCs/>
                <w:lang w:val="de-DE"/>
              </w:rPr>
              <w:t xml:space="preserve">(iii) </w:t>
            </w:r>
            <w:r w:rsidRPr="00ED72B4">
              <w:rPr>
                <w:bCs/>
                <w:lang w:val="de-DE"/>
              </w:rPr>
              <w:tab/>
              <w:t xml:space="preserve">falls die jeweilige Potenzielle Nichtzahlung </w:t>
            </w:r>
            <w:r w:rsidRPr="00792D61">
              <w:rPr>
                <w:b/>
                <w:bCs/>
                <w:lang w:val="de-DE"/>
              </w:rPr>
              <w:t>[</w:t>
            </w:r>
            <w:r w:rsidRPr="00F71807">
              <w:rPr>
                <w:b/>
                <w:bCs/>
                <w:i/>
                <w:lang w:val="de-DE"/>
              </w:rPr>
              <w:t>falls "Nichtanerkennung/Moratorium" anwendbar ist, einfügen:</w:t>
            </w:r>
            <w:r w:rsidRPr="00ED72B4">
              <w:rPr>
                <w:bCs/>
                <w:lang w:val="de-DE"/>
              </w:rPr>
              <w:t xml:space="preserve"> oder die jeweilige Potenzielle Nichtanerkennung/ das jeweilige Potenzielle Moratorium</w:t>
            </w:r>
            <w:r w:rsidRPr="00792D61">
              <w:rPr>
                <w:b/>
                <w:bCs/>
                <w:lang w:val="de-DE"/>
              </w:rPr>
              <w:t>]</w:t>
            </w:r>
            <w:r w:rsidRPr="00ED72B4">
              <w:rPr>
                <w:bCs/>
                <w:lang w:val="de-DE"/>
              </w:rPr>
              <w:t xml:space="preserve"> oder ein Ausstehender Antrag in Bezug auf </w:t>
            </w:r>
            <w:r>
              <w:rPr>
                <w:bCs/>
                <w:lang w:val="de-DE"/>
              </w:rPr>
              <w:t>einen dieser</w:t>
            </w:r>
            <w:r w:rsidRPr="00ED72B4">
              <w:rPr>
                <w:bCs/>
                <w:lang w:val="de-DE"/>
              </w:rPr>
              <w:t xml:space="preserve"> Referenzschuldner </w:t>
            </w:r>
            <w:r w:rsidRPr="00D150B1">
              <w:rPr>
                <w:b/>
                <w:bCs/>
                <w:lang w:val="de-DE"/>
              </w:rPr>
              <w:t>nicht</w:t>
            </w:r>
            <w:r w:rsidRPr="00ED72B4">
              <w:rPr>
                <w:bCs/>
                <w:lang w:val="de-DE"/>
              </w:rPr>
              <w:t xml:space="preserve"> zu einem Kreditereignis-Feststellungstag in Bezug auf diesen Referenzschuldner </w:t>
            </w:r>
            <w:r w:rsidRPr="00D150B1">
              <w:rPr>
                <w:b/>
                <w:bCs/>
                <w:lang w:val="de-DE"/>
              </w:rPr>
              <w:t>führt</w:t>
            </w:r>
            <w:r w:rsidRPr="00ED72B4">
              <w:rPr>
                <w:bCs/>
                <w:lang w:val="de-DE"/>
              </w:rPr>
              <w:t>, wie an oder vor dem letzten Tag dieses Zeitraums eines Potenziellen Kreditereignisses festgestellt, (a) wird die Berechnungsstelle die Differenz aus (1) dem Planmässigen Rückzahlungsbetrag pro Komplexes Produkt, der am Planmässigen Rückzahlungstag gezahlt worden wäre, wenn dieser Referenzschuldner nicht als Betroffener Referenzschuldner behandelt worden wäre, und (2) dem Nicht-Betroffenen Rückzahlungsbetrag (diese Differenz der "</w:t>
            </w:r>
            <w:r w:rsidRPr="00F71807">
              <w:rPr>
                <w:b/>
                <w:bCs/>
                <w:lang w:val="de-DE"/>
              </w:rPr>
              <w:t>Rest-Rückzahlungsbetrag</w:t>
            </w:r>
            <w:r w:rsidRPr="00ED72B4">
              <w:rPr>
                <w:bCs/>
                <w:lang w:val="de-DE"/>
              </w:rPr>
              <w:t xml:space="preserve">") berechnen und (b) wird die Emittentin einen Geldbetrag pro </w:t>
            </w:r>
            <w:r>
              <w:rPr>
                <w:bCs/>
                <w:lang w:val="de-DE"/>
              </w:rPr>
              <w:t>Komplexes Produkt, der dem Rest</w:t>
            </w:r>
            <w:r w:rsidRPr="00ED72B4">
              <w:rPr>
                <w:bCs/>
                <w:lang w:val="de-DE"/>
              </w:rPr>
              <w:t xml:space="preserve">rückzahlungsbetrag entspricht, am </w:t>
            </w:r>
            <w:r w:rsidRPr="00792D61">
              <w:rPr>
                <w:b/>
                <w:bCs/>
                <w:lang w:val="de-DE"/>
              </w:rPr>
              <w:t>[</w:t>
            </w:r>
            <w:r w:rsidRPr="00ED72B4">
              <w:rPr>
                <w:bCs/>
                <w:lang w:val="de-DE"/>
              </w:rPr>
              <w:t>fünften</w:t>
            </w:r>
            <w:r w:rsidRPr="00792D61">
              <w:rPr>
                <w:b/>
                <w:bCs/>
                <w:lang w:val="de-DE"/>
              </w:rPr>
              <w:t>][[</w:t>
            </w:r>
            <w:r w:rsidRPr="00ED72B4">
              <w:rPr>
                <w:rFonts w:ascii="Arial" w:hAnsi="Arial" w:cs="Arial"/>
                <w:bCs/>
                <w:lang w:val="de-DE"/>
              </w:rPr>
              <w:t>●</w:t>
            </w:r>
            <w:r w:rsidRPr="00792D61">
              <w:rPr>
                <w:b/>
                <w:bCs/>
                <w:lang w:val="de-DE"/>
              </w:rPr>
              <w:t>]]</w:t>
            </w:r>
            <w:r w:rsidRPr="00ED72B4">
              <w:rPr>
                <w:bCs/>
                <w:lang w:val="de-DE"/>
              </w:rPr>
              <w:t xml:space="preserve"> Gesch</w:t>
            </w:r>
            <w:r w:rsidRPr="00ED72B4">
              <w:rPr>
                <w:rFonts w:cs="Credit Suisse Type Light"/>
                <w:bCs/>
                <w:lang w:val="de-DE"/>
              </w:rPr>
              <w:t>ä</w:t>
            </w:r>
            <w:r w:rsidRPr="00ED72B4">
              <w:rPr>
                <w:bCs/>
                <w:lang w:val="de-DE"/>
              </w:rPr>
              <w:t xml:space="preserve">ftstag nach dem letzten Tag </w:t>
            </w:r>
            <w:r>
              <w:rPr>
                <w:bCs/>
                <w:lang w:val="de-DE"/>
              </w:rPr>
              <w:t>des jeweiligen</w:t>
            </w:r>
            <w:r w:rsidRPr="00ED72B4">
              <w:rPr>
                <w:bCs/>
                <w:lang w:val="de-DE"/>
              </w:rPr>
              <w:t xml:space="preserve"> Zeitraums eines Potenziellen Kreditereignisses an den jeweiligen Inhaber zahlen</w:t>
            </w:r>
            <w:r w:rsidRPr="00792D61">
              <w:rPr>
                <w:b/>
                <w:bCs/>
                <w:lang w:val="de-DE"/>
              </w:rPr>
              <w:t>[</w:t>
            </w:r>
            <w:r w:rsidRPr="00ED72B4">
              <w:rPr>
                <w:bCs/>
                <w:lang w:val="de-DE"/>
              </w:rPr>
              <w:t>.</w:t>
            </w:r>
            <w:r w:rsidRPr="00792D61">
              <w:rPr>
                <w:b/>
                <w:bCs/>
                <w:lang w:val="de-DE"/>
              </w:rPr>
              <w:t>][</w:t>
            </w:r>
            <w:r w:rsidRPr="00F71807">
              <w:rPr>
                <w:b/>
                <w:bCs/>
                <w:i/>
                <w:lang w:val="de-DE"/>
              </w:rPr>
              <w:t>falls anwendbar, einfügen:</w:t>
            </w:r>
            <w:r w:rsidRPr="00ED72B4">
              <w:rPr>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D72B4" w:rsidP="00F71807">
            <w:pPr>
              <w:pStyle w:val="CSBody8pt"/>
              <w:rPr>
                <w:lang w:val="de-DE"/>
              </w:rPr>
            </w:pPr>
          </w:p>
        </w:tc>
        <w:tc>
          <w:tcPr>
            <w:tcW w:w="3315" w:type="dxa"/>
            <w:gridSpan w:val="7"/>
            <w:tcBorders>
              <w:top w:val="nil"/>
              <w:left w:val="nil"/>
              <w:bottom w:val="nil"/>
            </w:tcBorders>
            <w:shd w:val="clear" w:color="auto" w:fill="auto"/>
          </w:tcPr>
          <w:p w:rsidR="0017135D" w:rsidRPr="00741A4A" w:rsidP="004C1EBA">
            <w:pPr>
              <w:pStyle w:val="CSBody8pt"/>
            </w:pPr>
            <w:r w:rsidRPr="00F71807">
              <w:rPr>
                <w:i/>
              </w:rPr>
              <w:t>provided, however</w:t>
            </w:r>
            <w:r w:rsidRPr="00741A4A">
              <w:t>, that the Issuer may elect in its discretion to pay the Remaining Scheduled Redemption Amount</w:t>
            </w:r>
            <w:r>
              <w:t xml:space="preserve"> of any or all such Reference Entities</w:t>
            </w:r>
            <w:r w:rsidRPr="00741A4A">
              <w:t xml:space="preserve"> per Complex Product at any time during the related Potential Credit Event Period to the Holder thereof, so long as the relevant Potential Failure to Pay </w:t>
            </w:r>
            <w:r w:rsidRPr="00792D61">
              <w:rPr>
                <w:b/>
              </w:rPr>
              <w:t>[</w:t>
            </w:r>
            <w:r w:rsidRPr="00F71807">
              <w:rPr>
                <w:b/>
                <w:i/>
              </w:rPr>
              <w:t>if "Repudiation/Moratorium" is applicable, insert:</w:t>
            </w:r>
            <w:r w:rsidRPr="00741A4A">
              <w:t xml:space="preserve"> , Potential Repudiation/Moratorium</w:t>
            </w:r>
            <w:r w:rsidRPr="00792D61">
              <w:rPr>
                <w:b/>
              </w:rPr>
              <w:t>]</w:t>
            </w:r>
            <w:r w:rsidRPr="00741A4A">
              <w:t xml:space="preserve"> or DC Pending Request, as the case may be, has not resulted in the occurrence of a Credit Event Determination Date with respect to the relevant Reference Entity as of the date of such </w:t>
            </w:r>
            <w:r>
              <w:t>payment</w:t>
            </w:r>
            <w:r w:rsidRPr="00741A4A">
              <w:t>.</w:t>
            </w:r>
            <w:r w:rsidRPr="00792D61">
              <w:rPr>
                <w:b/>
              </w:rPr>
              <w:t>]</w:t>
            </w:r>
            <w:r w:rsidRPr="00741A4A">
              <w:t xml:space="preserve"> </w:t>
            </w:r>
            <w:r w:rsidRPr="00792D61">
              <w:rPr>
                <w:b/>
              </w:rPr>
              <w:t>[</w:t>
            </w:r>
            <w:r w:rsidRPr="00F71807">
              <w:rPr>
                <w:b/>
                <w:i/>
              </w:rPr>
              <w:t>in the case of Credit-Linked Complex Products with Zero-Recovey feature</w:t>
            </w:r>
            <w:r>
              <w:rPr>
                <w:b/>
                <w:i/>
              </w:rPr>
              <w:t xml:space="preserve"> linked to a Basket</w:t>
            </w:r>
            <w:r w:rsidRPr="00F71807">
              <w:rPr>
                <w:b/>
                <w:i/>
              </w:rPr>
              <w:t>, insert:</w:t>
            </w:r>
            <w:r w:rsidRPr="00741A4A">
              <w:t xml:space="preserve"> Where a Credit Event Detemination Date has occurred with respect to each of the Reference Entities, the Scheduled Redemption Amount will be equal to zero and thereupon the Complex Products shall be cancelled.</w:t>
            </w:r>
            <w:r w:rsidRPr="00792D61">
              <w:rPr>
                <w:b/>
              </w:rPr>
              <w:t>]</w:t>
            </w:r>
            <w:r w:rsidRPr="00741A4A">
              <w:t xml:space="preserve"> For any postponement of the payment of the Scheduled Redemption Amount no default interest or other compensation payments shall be payable to the Holders.</w:t>
            </w:r>
            <w:r w:rsidRPr="00792D61">
              <w:rPr>
                <w:b/>
              </w:rPr>
              <w:t>]</w:t>
            </w:r>
          </w:p>
        </w:tc>
        <w:tc>
          <w:tcPr>
            <w:tcW w:w="1618" w:type="dxa"/>
            <w:gridSpan w:val="2"/>
            <w:tcBorders>
              <w:top w:val="nil"/>
              <w:bottom w:val="nil"/>
              <w:right w:val="nil"/>
            </w:tcBorders>
            <w:shd w:val="clear" w:color="auto" w:fill="auto"/>
          </w:tcPr>
          <w:p w:rsidR="0017135D" w:rsidRPr="00ED72B4" w:rsidP="00F71807">
            <w:pPr>
              <w:pStyle w:val="CSBody8pt"/>
              <w:rPr>
                <w:i/>
              </w:rPr>
            </w:pPr>
          </w:p>
        </w:tc>
        <w:tc>
          <w:tcPr>
            <w:tcW w:w="3318" w:type="dxa"/>
            <w:gridSpan w:val="10"/>
            <w:tcBorders>
              <w:top w:val="nil"/>
              <w:left w:val="nil"/>
              <w:bottom w:val="nil"/>
              <w:right w:val="nil"/>
            </w:tcBorders>
            <w:shd w:val="clear" w:color="auto" w:fill="auto"/>
          </w:tcPr>
          <w:p w:rsidR="0017135D" w:rsidRPr="00ED72B4" w:rsidP="004C1EBA">
            <w:pPr>
              <w:pStyle w:val="CSBody8pt"/>
              <w:rPr>
                <w:lang w:val="de-DE"/>
              </w:rPr>
            </w:pPr>
            <w:r w:rsidRPr="00F71807">
              <w:rPr>
                <w:i/>
                <w:lang w:val="de-DE"/>
              </w:rPr>
              <w:t>wobei jedoch</w:t>
            </w:r>
            <w:r w:rsidRPr="00ED72B4">
              <w:rPr>
                <w:lang w:val="de-DE"/>
              </w:rPr>
              <w:t xml:space="preserve"> die Emittentin nach ihrem Ermessen den Rest-Rückzahlungsbetrag</w:t>
            </w:r>
            <w:r>
              <w:rPr>
                <w:lang w:val="de-DE"/>
              </w:rPr>
              <w:t xml:space="preserve"> einzelner oder aller dieser Referenzschuldner</w:t>
            </w:r>
            <w:r w:rsidRPr="00ED72B4">
              <w:rPr>
                <w:lang w:val="de-DE"/>
              </w:rPr>
              <w:t xml:space="preserve"> je Komplexes Produkt zu jedem Zeitpunkt des diesbezüglichen Zeitraums eines Potenziellen Kreditereignisses an den jeweiligen Inhaber zurückzahlen kann, solange zum Zeitpunkt der </w:t>
            </w:r>
            <w:r>
              <w:rPr>
                <w:lang w:val="de-DE"/>
              </w:rPr>
              <w:t>Zahlung</w:t>
            </w:r>
            <w:r w:rsidRPr="00ED72B4">
              <w:rPr>
                <w:lang w:val="de-DE"/>
              </w:rPr>
              <w:t xml:space="preserve"> die jeweilige Potenzielle Nichtzahlung </w:t>
            </w:r>
            <w:r w:rsidRPr="00792D61">
              <w:rPr>
                <w:b/>
                <w:lang w:val="de-DE"/>
              </w:rPr>
              <w:t>[</w:t>
            </w:r>
            <w:r w:rsidRPr="00F71807">
              <w:rPr>
                <w:b/>
                <w:i/>
                <w:lang w:val="de-DE"/>
              </w:rPr>
              <w:t xml:space="preserve">falls "Nichtanerkennung/Moratorium" an-wendbar ist, einfügen: </w:t>
            </w:r>
            <w:r w:rsidRPr="00ED72B4">
              <w:rPr>
                <w:lang w:val="de-DE"/>
              </w:rPr>
              <w:t>oder die jeweilige Potenzielle Nichtanerkennung / das jeweilige Potenzielle Moratorium</w:t>
            </w:r>
            <w:r w:rsidRPr="00792D61">
              <w:rPr>
                <w:b/>
                <w:lang w:val="de-DE"/>
              </w:rPr>
              <w:t>]</w:t>
            </w:r>
            <w:r w:rsidRPr="00ED72B4">
              <w:rPr>
                <w:lang w:val="de-DE"/>
              </w:rPr>
              <w:t xml:space="preserve"> oder ein Ausstehender Antrag nicht zu einem Kreditereignis-Feststellungstag bezüglich des jeweiligen Referenzschuldners geführt hat.</w:t>
            </w:r>
            <w:r w:rsidRPr="00792D61">
              <w:rPr>
                <w:b/>
                <w:lang w:val="de-DE"/>
              </w:rPr>
              <w:t>]</w:t>
            </w:r>
            <w:r w:rsidRPr="00ED72B4">
              <w:rPr>
                <w:lang w:val="de-DE"/>
              </w:rPr>
              <w:t xml:space="preserve"> </w:t>
            </w:r>
            <w:r w:rsidRPr="00792D61">
              <w:rPr>
                <w:b/>
                <w:lang w:val="de-DE"/>
              </w:rPr>
              <w:t>[</w:t>
            </w:r>
            <w:r w:rsidRPr="00F71807">
              <w:rPr>
                <w:b/>
                <w:i/>
                <w:lang w:val="de-DE"/>
              </w:rPr>
              <w:t>Bei Kreditbezogenen Komplexen Produkten mit Zero-Recovery-Merkmal</w:t>
            </w:r>
            <w:r>
              <w:rPr>
                <w:b/>
                <w:i/>
                <w:lang w:val="de-DE"/>
              </w:rPr>
              <w:t>,</w:t>
            </w:r>
            <w:r w:rsidRPr="00CC1B96">
              <w:rPr>
                <w:lang w:val="de-DE"/>
              </w:rPr>
              <w:t xml:space="preserve"> </w:t>
            </w:r>
            <w:r w:rsidRPr="00CC1B96">
              <w:rPr>
                <w:b/>
                <w:i/>
                <w:lang w:val="de-DE"/>
              </w:rPr>
              <w:t>die an einen Korb gekoppelt sind,</w:t>
            </w:r>
            <w:r w:rsidRPr="00F71807">
              <w:rPr>
                <w:b/>
                <w:i/>
                <w:lang w:val="de-DE"/>
              </w:rPr>
              <w:t xml:space="preserve"> einfügen:</w:t>
            </w:r>
            <w:r w:rsidRPr="00ED72B4">
              <w:rPr>
                <w:lang w:val="de-DE"/>
              </w:rPr>
              <w:t xml:space="preserve"> Falls ein Kreditereignis-Feststellungstag in Bezug auf jeden Referenzschuldner eingetreten ist, entspricht der Planmässige Rückzahlungsbetrag null und in einem solchen Fall verfallen die Komplexen Produkte.</w:t>
            </w:r>
            <w:r w:rsidRPr="00792D61">
              <w:rPr>
                <w:b/>
                <w:lang w:val="de-DE"/>
              </w:rPr>
              <w:t>]</w:t>
            </w:r>
            <w:r w:rsidRPr="00ED72B4">
              <w:rPr>
                <w:lang w:val="de-DE"/>
              </w:rPr>
              <w:t xml:space="preserve"> Für jede Verschiebung der Zahlung des Planmässigen Rückzahlungsbetrags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150B1" w:rsidP="00F71807">
            <w:pPr>
              <w:pStyle w:val="CSBody8pt"/>
            </w:pPr>
            <w:r w:rsidRPr="00D150B1">
              <w:t>Scheduled Maturity Date</w:t>
            </w:r>
            <w:r>
              <w:fldChar w:fldCharType="begin"/>
            </w:r>
            <w:r>
              <w:instrText xml:space="preserve"> XE "</w:instrText>
            </w:r>
            <w:r w:rsidRPr="00943C6F">
              <w:instrText>Scheduled Maturity Date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D150B1" w:rsidP="00F71807">
            <w:pPr>
              <w:pStyle w:val="CSBody8pt"/>
            </w:pPr>
            <w:r w:rsidRPr="00792D61">
              <w:rPr>
                <w:b/>
              </w:rPr>
              <w:t>[</w:t>
            </w:r>
            <w:r w:rsidRPr="00D150B1">
              <w:rPr>
                <w:rFonts w:ascii="Arial" w:hAnsi="Arial" w:cs="Arial"/>
              </w:rPr>
              <w:t>●</w:t>
            </w:r>
            <w:r w:rsidRPr="00792D61">
              <w:rPr>
                <w:b/>
              </w:rPr>
              <w:t>]</w:t>
            </w:r>
            <w:r w:rsidRPr="00D150B1">
              <w:t xml:space="preserve">, being the date on which each Complex Product will be redeemed at the Scheduled Redemption Amount, unless previously redeemed, repurchased or cancelled </w:t>
            </w:r>
            <w:r w:rsidRPr="00792D61">
              <w:rPr>
                <w:b/>
              </w:rPr>
              <w:t>[</w:t>
            </w:r>
            <w:r w:rsidRPr="00D150B1">
              <w:rPr>
                <w:b/>
                <w:i/>
              </w:rPr>
              <w:t>in the case of Credit-Linked Complex Products without a Basket, insert:</w:t>
            </w:r>
            <w:r w:rsidRPr="00D150B1">
              <w:t xml:space="preserve"> and so long as (i) no Credit Event Determination Date </w:t>
            </w:r>
            <w:r w:rsidRPr="00792D61">
              <w:rPr>
                <w:b/>
              </w:rPr>
              <w:t>[</w:t>
            </w:r>
            <w:r w:rsidRPr="00D150B1">
              <w:rPr>
                <w:b/>
                <w:i/>
              </w:rPr>
              <w:t>in the case of Complex Products with N</w:t>
            </w:r>
            <w:r w:rsidRPr="00BD6E0D">
              <w:rPr>
                <w:b/>
                <w:i/>
                <w:vertAlign w:val="superscript"/>
              </w:rPr>
              <w:t>th</w:t>
            </w:r>
            <w:r w:rsidRPr="00D150B1">
              <w:rPr>
                <w:b/>
                <w:i/>
              </w:rPr>
              <w:t xml:space="preserve">-to-Default structure, insert: </w:t>
            </w:r>
            <w:r w:rsidRPr="00D150B1">
              <w:t xml:space="preserve">with respect to the </w:t>
            </w:r>
            <w:r w:rsidRPr="00792D61">
              <w:rPr>
                <w:b/>
              </w:rPr>
              <w:t>[</w:t>
            </w:r>
            <w:r w:rsidRPr="00D150B1">
              <w:rPr>
                <w:b/>
                <w:i/>
              </w:rPr>
              <w:t>insert relevant number:</w:t>
            </w:r>
            <w:r w:rsidRPr="00D150B1">
              <w:t xml:space="preserve"> </w:t>
            </w:r>
            <w:r w:rsidRPr="00792D61">
              <w:rPr>
                <w:b/>
              </w:rPr>
              <w:t>[</w:t>
            </w:r>
            <w:r w:rsidRPr="00D150B1">
              <w:t>1st</w:t>
            </w:r>
            <w:r w:rsidRPr="00792D61">
              <w:rPr>
                <w:b/>
              </w:rPr>
              <w:t>][</w:t>
            </w:r>
            <w:r w:rsidRPr="00D150B1">
              <w:t>2nd</w:t>
            </w:r>
            <w:r w:rsidRPr="00792D61">
              <w:rPr>
                <w:b/>
              </w:rPr>
              <w:t>][</w:t>
            </w:r>
            <w:r w:rsidRPr="00D150B1">
              <w:t>3rd</w:t>
            </w:r>
            <w:r w:rsidRPr="00792D61">
              <w:rPr>
                <w:b/>
              </w:rPr>
              <w:t>][[</w:t>
            </w:r>
            <w:r w:rsidRPr="00D150B1">
              <w:rPr>
                <w:rFonts w:ascii="Arial" w:hAnsi="Arial" w:cs="Arial"/>
              </w:rPr>
              <w:t>●</w:t>
            </w:r>
            <w:r w:rsidRPr="00792D61">
              <w:rPr>
                <w:b/>
              </w:rPr>
              <w:t>]]]</w:t>
            </w:r>
            <w:r w:rsidRPr="00D150B1">
              <w:t>-to-Default Reference Entity</w:t>
            </w:r>
            <w:r w:rsidRPr="00792D61">
              <w:rPr>
                <w:b/>
              </w:rPr>
              <w:t>]</w:t>
            </w:r>
            <w:r w:rsidRPr="00D150B1">
              <w:t xml:space="preserve"> has occurred on or prior to, and (ii) no Potential Credit Event Period </w:t>
            </w:r>
            <w:r w:rsidRPr="00792D61">
              <w:rPr>
                <w:b/>
              </w:rPr>
              <w:t>[</w:t>
            </w:r>
            <w:r w:rsidRPr="00D150B1">
              <w:rPr>
                <w:b/>
                <w:i/>
              </w:rPr>
              <w:t>in the case of Complex Products with N</w:t>
            </w:r>
            <w:r w:rsidRPr="00BD6E0D">
              <w:rPr>
                <w:b/>
                <w:i/>
                <w:vertAlign w:val="superscript"/>
              </w:rPr>
              <w:t>th</w:t>
            </w:r>
            <w:r w:rsidRPr="00D150B1">
              <w:rPr>
                <w:b/>
                <w:i/>
              </w:rPr>
              <w:t xml:space="preserve">-to-Default structure, insert: </w:t>
            </w:r>
            <w:r w:rsidRPr="00D150B1">
              <w:t xml:space="preserve">with respect to a Potential </w:t>
            </w:r>
            <w:r w:rsidRPr="00792D61">
              <w:rPr>
                <w:b/>
              </w:rPr>
              <w:t>[</w:t>
            </w:r>
            <w:r w:rsidRPr="00D150B1">
              <w:rPr>
                <w:b/>
                <w:i/>
              </w:rPr>
              <w:t>insert relevant number:</w:t>
            </w:r>
            <w:r w:rsidRPr="00D150B1">
              <w:t xml:space="preserve"> </w:t>
            </w:r>
            <w:r w:rsidRPr="00792D61">
              <w:rPr>
                <w:b/>
              </w:rPr>
              <w:t>[</w:t>
            </w:r>
            <w:r w:rsidRPr="00D150B1">
              <w:t>1st</w:t>
            </w:r>
            <w:r w:rsidRPr="00792D61">
              <w:rPr>
                <w:b/>
              </w:rPr>
              <w:t>][</w:t>
            </w:r>
            <w:r w:rsidRPr="00D150B1">
              <w:t>2nd</w:t>
            </w:r>
            <w:r w:rsidRPr="00792D61">
              <w:rPr>
                <w:b/>
              </w:rPr>
              <w:t>][</w:t>
            </w:r>
            <w:r w:rsidRPr="00D150B1">
              <w:t>3rd</w:t>
            </w:r>
            <w:r w:rsidRPr="00792D61">
              <w:rPr>
                <w:b/>
              </w:rPr>
              <w:t>][[</w:t>
            </w:r>
            <w:r w:rsidRPr="00D150B1">
              <w:rPr>
                <w:rFonts w:ascii="Arial" w:hAnsi="Arial" w:cs="Arial"/>
              </w:rPr>
              <w:t>●</w:t>
            </w:r>
            <w:r w:rsidRPr="00792D61">
              <w:rPr>
                <w:b/>
              </w:rPr>
              <w:t>]]]</w:t>
            </w:r>
            <w:r w:rsidRPr="00D150B1">
              <w:t>-to-Default Reference Entity</w:t>
            </w:r>
            <w:r w:rsidRPr="00792D61">
              <w:rPr>
                <w:b/>
              </w:rPr>
              <w:t>]</w:t>
            </w:r>
            <w:r w:rsidRPr="00D150B1">
              <w:t xml:space="preserve"> has occurred on or prior to, and is continuing on, such date</w:t>
            </w:r>
            <w:r w:rsidRPr="00792D61">
              <w:rPr>
                <w:b/>
              </w:rPr>
              <w:t>]</w:t>
            </w:r>
            <w:r w:rsidRPr="00D150B1">
              <w:t>.</w:t>
            </w:r>
          </w:p>
        </w:tc>
        <w:tc>
          <w:tcPr>
            <w:tcW w:w="1618" w:type="dxa"/>
            <w:gridSpan w:val="2"/>
            <w:tcBorders>
              <w:top w:val="nil"/>
              <w:bottom w:val="nil"/>
              <w:right w:val="nil"/>
            </w:tcBorders>
            <w:shd w:val="clear" w:color="auto" w:fill="auto"/>
          </w:tcPr>
          <w:p w:rsidR="0017135D" w:rsidRPr="00D150B1" w:rsidP="00F71807">
            <w:pPr>
              <w:pStyle w:val="CSBody8pt"/>
            </w:pPr>
            <w:r w:rsidRPr="00D150B1">
              <w:t>Planmässiger Fälligkeitstag</w:t>
            </w:r>
            <w:r>
              <w:fldChar w:fldCharType="begin"/>
            </w:r>
            <w:r>
              <w:instrText xml:space="preserve"> XE "</w:instrText>
            </w:r>
            <w:r w:rsidRPr="00B93E6D">
              <w:instrText>Planmässiger Fälligkeitstag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ED72B4" w:rsidP="0094769A">
            <w:pPr>
              <w:pStyle w:val="CSBody8pt"/>
              <w:rPr>
                <w:lang w:val="de-DE"/>
              </w:rPr>
            </w:pPr>
            <w:r w:rsidRPr="00792D61">
              <w:rPr>
                <w:b/>
                <w:lang w:val="de-DE"/>
              </w:rPr>
              <w:t>[</w:t>
            </w:r>
            <w:r w:rsidRPr="00D150B1">
              <w:rPr>
                <w:rFonts w:ascii="Arial" w:hAnsi="Arial" w:cs="Arial"/>
                <w:lang w:val="de-DE"/>
              </w:rPr>
              <w:t>●</w:t>
            </w:r>
            <w:r w:rsidRPr="00792D61">
              <w:rPr>
                <w:b/>
                <w:lang w:val="de-DE"/>
              </w:rPr>
              <w:t>]</w:t>
            </w:r>
            <w:r w:rsidRPr="00D150B1">
              <w:rPr>
                <w:lang w:val="de-DE"/>
              </w:rPr>
              <w:t>; an diesem Tag wird jedes Komplexe Produkt zum Planm</w:t>
            </w:r>
            <w:r w:rsidRPr="00D150B1">
              <w:rPr>
                <w:rFonts w:cs="Credit Suisse Type Light"/>
                <w:lang w:val="de-DE"/>
              </w:rPr>
              <w:t>ä</w:t>
            </w:r>
            <w:r w:rsidRPr="00D150B1">
              <w:rPr>
                <w:lang w:val="de-DE"/>
              </w:rPr>
              <w:t>ssigen R</w:t>
            </w:r>
            <w:r w:rsidRPr="00D150B1">
              <w:rPr>
                <w:rFonts w:cs="Credit Suisse Type Light"/>
                <w:lang w:val="de-DE"/>
              </w:rPr>
              <w:t>ü</w:t>
            </w:r>
            <w:r w:rsidRPr="00D150B1">
              <w:rPr>
                <w:lang w:val="de-DE"/>
              </w:rPr>
              <w:t>ckzahlungsbetrag zur</w:t>
            </w:r>
            <w:r w:rsidRPr="00D150B1">
              <w:rPr>
                <w:rFonts w:cs="Credit Suisse Type Light"/>
                <w:lang w:val="de-DE"/>
              </w:rPr>
              <w:t>ü</w:t>
            </w:r>
            <w:r w:rsidRPr="00D150B1">
              <w:rPr>
                <w:lang w:val="de-DE"/>
              </w:rPr>
              <w:t>ckgezahlt, sofern es nicht bereits zuvor zur</w:t>
            </w:r>
            <w:r w:rsidRPr="00D150B1">
              <w:rPr>
                <w:rFonts w:cs="Credit Suisse Type Light"/>
                <w:lang w:val="de-DE"/>
              </w:rPr>
              <w:t>ü</w:t>
            </w:r>
            <w:r w:rsidRPr="00D150B1">
              <w:rPr>
                <w:lang w:val="de-DE"/>
              </w:rPr>
              <w:t>ckgezahlt, zur</w:t>
            </w:r>
            <w:r w:rsidRPr="00D150B1">
              <w:rPr>
                <w:rFonts w:cs="Credit Suisse Type Light"/>
                <w:lang w:val="de-DE"/>
              </w:rPr>
              <w:t>ü</w:t>
            </w:r>
            <w:r w:rsidRPr="00D150B1">
              <w:rPr>
                <w:lang w:val="de-DE"/>
              </w:rPr>
              <w:t xml:space="preserve">ckgekauft oder entwertet wurde </w:t>
            </w:r>
            <w:r w:rsidRPr="00792D61">
              <w:rPr>
                <w:b/>
                <w:lang w:val="de-DE"/>
              </w:rPr>
              <w:t>[</w:t>
            </w:r>
            <w:r w:rsidRPr="00D150B1">
              <w:rPr>
                <w:b/>
                <w:i/>
                <w:lang w:val="de-DE"/>
              </w:rPr>
              <w:t>bei Kreditbezogenen Komplexen Produkten ohne Korb, einf</w:t>
            </w:r>
            <w:r w:rsidRPr="00D150B1">
              <w:rPr>
                <w:rFonts w:cs="Credit Suisse Type Light"/>
                <w:b/>
                <w:i/>
                <w:lang w:val="de-DE"/>
              </w:rPr>
              <w:t>ü</w:t>
            </w:r>
            <w:r w:rsidRPr="00D150B1">
              <w:rPr>
                <w:b/>
                <w:i/>
                <w:lang w:val="de-DE"/>
              </w:rPr>
              <w:t xml:space="preserve">gen: </w:t>
            </w:r>
            <w:r w:rsidRPr="00D150B1">
              <w:rPr>
                <w:lang w:val="de-DE"/>
              </w:rPr>
              <w:t xml:space="preserve">und solange (i) kein Kreditereignis-Feststellungstag </w:t>
            </w:r>
            <w:r w:rsidRPr="00792D61">
              <w:rPr>
                <w:b/>
                <w:lang w:val="de-DE"/>
              </w:rPr>
              <w:t>[</w:t>
            </w:r>
            <w:r w:rsidRPr="00D150B1">
              <w:rPr>
                <w:b/>
                <w:i/>
                <w:lang w:val="de-DE"/>
              </w:rPr>
              <w:t>bei Komplexen Produkten mit N</w:t>
            </w:r>
            <w:r w:rsidRPr="00BD6E0D">
              <w:rPr>
                <w:b/>
                <w:i/>
                <w:vertAlign w:val="superscript"/>
                <w:lang w:val="de-DE"/>
              </w:rPr>
              <w:t>th</w:t>
            </w:r>
            <w:r w:rsidRPr="00D150B1">
              <w:rPr>
                <w:b/>
                <w:i/>
                <w:lang w:val="de-DE"/>
              </w:rPr>
              <w:t>-to-Default-Struktur einfügen:</w:t>
            </w:r>
            <w:r w:rsidRPr="00D150B1">
              <w:rPr>
                <w:lang w:val="de-DE"/>
              </w:rPr>
              <w:t xml:space="preserve"> in Bezug auf den </w:t>
            </w:r>
            <w:r w:rsidRPr="00792D61">
              <w:rPr>
                <w:b/>
                <w:lang w:val="de-DE"/>
              </w:rPr>
              <w:t>[</w:t>
            </w:r>
            <w:r w:rsidRPr="00D150B1">
              <w:rPr>
                <w:b/>
                <w:i/>
                <w:lang w:val="de-DE"/>
              </w:rPr>
              <w:t>jeweilige Zahl einfügen</w:t>
            </w:r>
            <w:r w:rsidRPr="00D150B1">
              <w:rPr>
                <w:lang w:val="de-DE"/>
              </w:rPr>
              <w:t xml:space="preserve">: </w:t>
            </w:r>
            <w:r w:rsidRPr="00792D61">
              <w:rPr>
                <w:b/>
                <w:lang w:val="de-DE"/>
              </w:rPr>
              <w:t>[</w:t>
            </w:r>
            <w:r w:rsidRPr="00D150B1">
              <w:rPr>
                <w:lang w:val="de-DE"/>
              </w:rPr>
              <w:t>1st</w:t>
            </w:r>
            <w:r w:rsidRPr="00792D61">
              <w:rPr>
                <w:b/>
                <w:lang w:val="de-DE"/>
              </w:rPr>
              <w:t>][</w:t>
            </w:r>
            <w:r w:rsidRPr="00D150B1">
              <w:rPr>
                <w:lang w:val="de-DE"/>
              </w:rPr>
              <w:t>2nd</w:t>
            </w:r>
            <w:r w:rsidRPr="00792D61">
              <w:rPr>
                <w:b/>
                <w:lang w:val="de-DE"/>
              </w:rPr>
              <w:t>][</w:t>
            </w:r>
            <w:r w:rsidRPr="00D150B1">
              <w:rPr>
                <w:lang w:val="de-DE"/>
              </w:rPr>
              <w:t>3rd</w:t>
            </w:r>
            <w:r w:rsidRPr="00792D61">
              <w:rPr>
                <w:b/>
                <w:lang w:val="de-DE"/>
              </w:rPr>
              <w:t>][[</w:t>
            </w:r>
            <w:r w:rsidRPr="00D150B1">
              <w:rPr>
                <w:rFonts w:ascii="Arial" w:hAnsi="Arial" w:cs="Arial"/>
                <w:lang w:val="de-DE"/>
              </w:rPr>
              <w:t>●</w:t>
            </w:r>
            <w:r w:rsidRPr="00792D61">
              <w:rPr>
                <w:b/>
                <w:lang w:val="de-DE"/>
              </w:rPr>
              <w:t>]]]</w:t>
            </w:r>
            <w:r w:rsidRPr="00D150B1">
              <w:rPr>
                <w:lang w:val="de-DE"/>
              </w:rPr>
              <w:t>-to-Default-Referenzschuldner</w:t>
            </w:r>
            <w:r w:rsidRPr="00792D61">
              <w:rPr>
                <w:b/>
                <w:lang w:val="de-DE"/>
              </w:rPr>
              <w:t>]</w:t>
            </w:r>
            <w:r w:rsidRPr="00D150B1">
              <w:rPr>
                <w:lang w:val="de-DE"/>
              </w:rPr>
              <w:t xml:space="preserve"> an oder vor dem Planm</w:t>
            </w:r>
            <w:r w:rsidRPr="00D150B1">
              <w:rPr>
                <w:rFonts w:cs="Credit Suisse Type Light"/>
                <w:lang w:val="de-DE"/>
              </w:rPr>
              <w:t>ä</w:t>
            </w:r>
            <w:r w:rsidRPr="00D150B1">
              <w:rPr>
                <w:lang w:val="de-DE"/>
              </w:rPr>
              <w:t>ssigen F</w:t>
            </w:r>
            <w:r w:rsidRPr="00D150B1">
              <w:rPr>
                <w:rFonts w:cs="Credit Suisse Type Light"/>
                <w:lang w:val="de-DE"/>
              </w:rPr>
              <w:t>ä</w:t>
            </w:r>
            <w:r w:rsidRPr="00D150B1">
              <w:rPr>
                <w:lang w:val="de-DE"/>
              </w:rPr>
              <w:t xml:space="preserve">lligkeitstag eingetreten ist und (ii) kein Zeitraum eines Potenziellen Kreditereignisses </w:t>
            </w:r>
            <w:r w:rsidRPr="00792D61">
              <w:rPr>
                <w:b/>
                <w:lang w:val="de-DE"/>
              </w:rPr>
              <w:t>[</w:t>
            </w:r>
            <w:r w:rsidRPr="00D150B1">
              <w:rPr>
                <w:b/>
                <w:i/>
                <w:lang w:val="de-DE"/>
              </w:rPr>
              <w:t>bei Komplexen Produkten mit N</w:t>
            </w:r>
            <w:r w:rsidRPr="00BD6E0D">
              <w:rPr>
                <w:b/>
                <w:i/>
                <w:vertAlign w:val="superscript"/>
                <w:lang w:val="de-DE"/>
              </w:rPr>
              <w:t>th</w:t>
            </w:r>
            <w:r w:rsidRPr="00D150B1">
              <w:rPr>
                <w:b/>
                <w:i/>
                <w:lang w:val="de-DE"/>
              </w:rPr>
              <w:t>-to-Default-Struktur einfügen:</w:t>
            </w:r>
            <w:r w:rsidRPr="00D150B1">
              <w:rPr>
                <w:lang w:val="de-DE"/>
              </w:rPr>
              <w:t xml:space="preserve"> in Bezug auf einen Potenziellen </w:t>
            </w:r>
            <w:r w:rsidRPr="00792D61">
              <w:rPr>
                <w:b/>
                <w:lang w:val="de-DE"/>
              </w:rPr>
              <w:t>[</w:t>
            </w:r>
            <w:r w:rsidRPr="00D150B1">
              <w:rPr>
                <w:b/>
                <w:i/>
                <w:lang w:val="de-DE"/>
              </w:rPr>
              <w:t>jeweilige Zahl einfügen:</w:t>
            </w:r>
            <w:r w:rsidRPr="00D150B1">
              <w:rPr>
                <w:lang w:val="de-DE"/>
              </w:rPr>
              <w:t xml:space="preserve"> </w:t>
            </w:r>
            <w:r w:rsidRPr="00792D61">
              <w:rPr>
                <w:b/>
                <w:lang w:val="de-DE"/>
              </w:rPr>
              <w:t>[</w:t>
            </w:r>
            <w:r w:rsidRPr="00D150B1">
              <w:rPr>
                <w:lang w:val="de-DE"/>
              </w:rPr>
              <w:t>1st</w:t>
            </w:r>
            <w:r w:rsidRPr="00792D61">
              <w:rPr>
                <w:b/>
                <w:lang w:val="de-DE"/>
              </w:rPr>
              <w:t>][</w:t>
            </w:r>
            <w:r w:rsidRPr="00D150B1">
              <w:rPr>
                <w:lang w:val="de-DE"/>
              </w:rPr>
              <w:t>2nd</w:t>
            </w:r>
            <w:r w:rsidRPr="00792D61">
              <w:rPr>
                <w:b/>
                <w:lang w:val="de-DE"/>
              </w:rPr>
              <w:t>][</w:t>
            </w:r>
            <w:r w:rsidRPr="00D150B1">
              <w:rPr>
                <w:lang w:val="de-DE"/>
              </w:rPr>
              <w:t>3rd</w:t>
            </w:r>
            <w:r w:rsidRPr="00792D61">
              <w:rPr>
                <w:b/>
                <w:lang w:val="de-DE"/>
              </w:rPr>
              <w:t>][[</w:t>
            </w:r>
            <w:r w:rsidRPr="00D150B1">
              <w:rPr>
                <w:rFonts w:ascii="Arial" w:hAnsi="Arial" w:cs="Arial"/>
                <w:lang w:val="de-DE"/>
              </w:rPr>
              <w:t>●</w:t>
            </w:r>
            <w:r w:rsidRPr="00792D61">
              <w:rPr>
                <w:b/>
                <w:lang w:val="de-DE"/>
              </w:rPr>
              <w:t>]]]</w:t>
            </w:r>
            <w:r w:rsidRPr="00D150B1">
              <w:rPr>
                <w:lang w:val="de-DE"/>
              </w:rPr>
              <w:t>-to-Default-Referenzschuldner</w:t>
            </w:r>
            <w:r w:rsidRPr="00792D61">
              <w:rPr>
                <w:b/>
                <w:lang w:val="de-DE"/>
              </w:rPr>
              <w:t>]</w:t>
            </w:r>
            <w:r w:rsidRPr="00D150B1">
              <w:rPr>
                <w:lang w:val="de-DE"/>
              </w:rPr>
              <w:t xml:space="preserve"> an oder vor diesem Tag begonnen hat und an diesem Tag andauert</w:t>
            </w:r>
            <w:r w:rsidRPr="00792D61">
              <w:rPr>
                <w:b/>
                <w:lang w:val="de-DE"/>
              </w:rPr>
              <w:t>]</w:t>
            </w:r>
            <w:r w:rsidRPr="00D150B1">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D150B1" w:rsidP="00F71807">
            <w:pPr>
              <w:pStyle w:val="CSBody8pt"/>
              <w:rPr>
                <w:lang w:val="de-DE"/>
              </w:rPr>
            </w:pPr>
            <w:r w:rsidRPr="00D150B1">
              <w:rPr>
                <w:lang w:val="de-DE"/>
              </w:rPr>
              <w:t>Scheduled Redemption Amount</w:t>
            </w:r>
            <w:r>
              <w:rPr>
                <w:lang w:val="de-DE"/>
              </w:rPr>
              <w:fldChar w:fldCharType="begin"/>
            </w:r>
            <w:r>
              <w:instrText xml:space="preserve"> XE "</w:instrText>
            </w:r>
            <w:r w:rsidRPr="00B012DB">
              <w:rPr>
                <w:lang w:val="de-DE"/>
              </w:rPr>
              <w:instrText>Scheduled Redemption Amount</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D150B1" w:rsidP="00F71807">
            <w:pPr>
              <w:pStyle w:val="CSBody8pt"/>
            </w:pPr>
            <w:r w:rsidRPr="00792D61">
              <w:rPr>
                <w:b/>
              </w:rPr>
              <w:t>[[</w:t>
            </w:r>
            <w:r w:rsidRPr="00D150B1">
              <w:t>•</w:t>
            </w:r>
            <w:r w:rsidRPr="00792D61">
              <w:rPr>
                <w:b/>
              </w:rPr>
              <w:t>]][</w:t>
            </w:r>
            <w:r w:rsidRPr="00D150B1">
              <w:t>100</w:t>
            </w:r>
            <w:r w:rsidRPr="00792D61">
              <w:rPr>
                <w:b/>
              </w:rPr>
              <w:t>]</w:t>
            </w:r>
            <w:r w:rsidRPr="00D150B1">
              <w:t xml:space="preserve">% of the </w:t>
            </w:r>
            <w:r w:rsidRPr="00792D61">
              <w:rPr>
                <w:b/>
              </w:rPr>
              <w:t>[</w:t>
            </w:r>
            <w:r w:rsidRPr="00D150B1">
              <w:t>if no Basket is applicable, insert: Principal Amount</w:t>
            </w:r>
            <w:r w:rsidRPr="00792D61">
              <w:rPr>
                <w:b/>
              </w:rPr>
              <w:t>][</w:t>
            </w:r>
            <w:r w:rsidRPr="00D150B1">
              <w:rPr>
                <w:b/>
                <w:i/>
              </w:rPr>
              <w:t>if a Basket is applicable, insert:</w:t>
            </w:r>
            <w:r w:rsidRPr="00D150B1">
              <w:t xml:space="preserve"> Outstanding Principal Amount on the Scheduled Maturity Date</w:t>
            </w:r>
            <w:r w:rsidRPr="00792D61">
              <w:rPr>
                <w:b/>
              </w:rPr>
              <w:t>]</w:t>
            </w:r>
            <w:r w:rsidRPr="00D150B1">
              <w:t>.</w:t>
            </w:r>
            <w:r w:rsidRPr="00792D61">
              <w:rPr>
                <w:b/>
              </w:rPr>
              <w:t>]</w:t>
            </w:r>
          </w:p>
        </w:tc>
        <w:tc>
          <w:tcPr>
            <w:tcW w:w="1618" w:type="dxa"/>
            <w:gridSpan w:val="2"/>
            <w:tcBorders>
              <w:top w:val="nil"/>
              <w:bottom w:val="nil"/>
              <w:right w:val="nil"/>
            </w:tcBorders>
            <w:shd w:val="clear" w:color="auto" w:fill="auto"/>
          </w:tcPr>
          <w:p w:rsidR="0017135D" w:rsidRPr="00D150B1" w:rsidP="0094769A">
            <w:pPr>
              <w:pStyle w:val="CSBody8pt"/>
            </w:pPr>
            <w:r w:rsidRPr="00D150B1">
              <w:t>Planmässiger Rückzahlungsbetrag</w:t>
            </w:r>
            <w:r>
              <w:fldChar w:fldCharType="begin"/>
            </w:r>
            <w:r>
              <w:instrText xml:space="preserve"> XE "</w:instrText>
            </w:r>
            <w:r w:rsidRPr="000A64C0">
              <w:instrText>Planmässiger Rückzahlungsbetrag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ED72B4" w:rsidP="00F71807">
            <w:pPr>
              <w:pStyle w:val="CSBody8pt"/>
              <w:rPr>
                <w:bCs/>
                <w:lang w:val="de-DE"/>
              </w:rPr>
            </w:pPr>
            <w:r w:rsidRPr="00792D61">
              <w:rPr>
                <w:b/>
                <w:bCs/>
                <w:lang w:val="de-DE"/>
              </w:rPr>
              <w:t>[[</w:t>
            </w:r>
            <w:r w:rsidRPr="00D150B1">
              <w:rPr>
                <w:rFonts w:ascii="Arial" w:hAnsi="Arial" w:cs="Arial"/>
                <w:bCs/>
                <w:lang w:val="de-DE"/>
              </w:rPr>
              <w:t>●</w:t>
            </w:r>
            <w:r w:rsidRPr="00792D61">
              <w:rPr>
                <w:b/>
                <w:bCs/>
                <w:lang w:val="de-DE"/>
              </w:rPr>
              <w:t>]][</w:t>
            </w:r>
            <w:r w:rsidRPr="00D150B1">
              <w:rPr>
                <w:bCs/>
                <w:lang w:val="de-DE"/>
              </w:rPr>
              <w:t>100</w:t>
            </w:r>
            <w:r w:rsidRPr="00792D61">
              <w:rPr>
                <w:b/>
                <w:bCs/>
                <w:lang w:val="de-DE"/>
              </w:rPr>
              <w:t>]</w:t>
            </w:r>
            <w:r w:rsidRPr="00D150B1">
              <w:rPr>
                <w:bCs/>
                <w:lang w:val="de-DE"/>
              </w:rPr>
              <w:t xml:space="preserve">% des </w:t>
            </w:r>
            <w:r w:rsidRPr="00792D61">
              <w:rPr>
                <w:b/>
                <w:bCs/>
                <w:lang w:val="de-DE"/>
              </w:rPr>
              <w:t>[</w:t>
            </w:r>
            <w:r w:rsidRPr="00D150B1">
              <w:rPr>
                <w:b/>
                <w:bCs/>
                <w:i/>
                <w:lang w:val="de-DE"/>
              </w:rPr>
              <w:t>falls kein Korb anwendbar ist, einfügen:</w:t>
            </w:r>
            <w:r w:rsidRPr="00D150B1">
              <w:rPr>
                <w:bCs/>
                <w:lang w:val="de-DE"/>
              </w:rPr>
              <w:t xml:space="preserve"> Nennbetrags</w:t>
            </w:r>
            <w:r w:rsidRPr="00792D61">
              <w:rPr>
                <w:b/>
                <w:bCs/>
                <w:lang w:val="de-DE"/>
              </w:rPr>
              <w:t>][</w:t>
            </w:r>
            <w:r w:rsidRPr="00D150B1">
              <w:rPr>
                <w:bCs/>
                <w:lang w:val="de-DE"/>
              </w:rPr>
              <w:t>falls ein Korb anwendbar ist, einfügen: Ausstehenden Nennbetrags am Planmässigen Fälligkeitstag</w:t>
            </w:r>
            <w:r w:rsidRPr="00792D61">
              <w:rPr>
                <w:b/>
                <w:bCs/>
                <w:lang w:val="de-DE"/>
              </w:rPr>
              <w:t>]</w:t>
            </w:r>
            <w:r w:rsidRPr="00D150B1">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9A006A" w:rsidP="00F71807">
            <w:pPr>
              <w:pStyle w:val="CSBody8ptbolditalics"/>
            </w:pPr>
            <w:r w:rsidRPr="00792D61">
              <w:t>[</w:t>
            </w:r>
            <w:r w:rsidRPr="009A006A">
              <w:t>in the case of Credit-Linked Complex Products with simplified settlement, insert:</w:t>
            </w:r>
          </w:p>
        </w:tc>
        <w:tc>
          <w:tcPr>
            <w:tcW w:w="4936" w:type="dxa"/>
            <w:gridSpan w:val="12"/>
            <w:tcBorders>
              <w:top w:val="nil"/>
              <w:bottom w:val="nil"/>
              <w:right w:val="nil"/>
            </w:tcBorders>
            <w:shd w:val="clear" w:color="auto" w:fill="auto"/>
          </w:tcPr>
          <w:p w:rsidR="0017135D" w:rsidRPr="00ED72B4" w:rsidP="00F71807">
            <w:pPr>
              <w:pStyle w:val="CSBody8ptbolditalics"/>
              <w:rPr>
                <w:lang w:val="de-DE"/>
              </w:rPr>
            </w:pPr>
            <w:r w:rsidRPr="00792D61">
              <w:rPr>
                <w:lang w:val="de-DE"/>
              </w:rPr>
              <w:t>[</w:t>
            </w:r>
            <w:r w:rsidRPr="00ED72B4">
              <w:rPr>
                <w:lang w:val="de-DE"/>
              </w:rPr>
              <w:t>bei Kreditbezogenen Komplexen Produkten mit vereinfachter Abwicklung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9251BE" w:rsidP="00F71807">
            <w:pPr>
              <w:pStyle w:val="CSbody0bold"/>
            </w:pPr>
            <w:r w:rsidRPr="009251BE">
              <w:t>C.1</w:t>
            </w:r>
          </w:p>
        </w:tc>
        <w:tc>
          <w:tcPr>
            <w:tcW w:w="3315" w:type="dxa"/>
            <w:gridSpan w:val="7"/>
            <w:tcBorders>
              <w:top w:val="nil"/>
              <w:left w:val="nil"/>
              <w:bottom w:val="nil"/>
            </w:tcBorders>
            <w:shd w:val="clear" w:color="auto" w:fill="auto"/>
          </w:tcPr>
          <w:p w:rsidR="0017135D" w:rsidRPr="00B81454" w:rsidP="00F71807">
            <w:pPr>
              <w:pStyle w:val="CSbody0bold"/>
            </w:pPr>
            <w:r w:rsidRPr="00B81454">
              <w:t>Scheduled Redemption</w:t>
            </w:r>
          </w:p>
        </w:tc>
        <w:tc>
          <w:tcPr>
            <w:tcW w:w="1618" w:type="dxa"/>
            <w:gridSpan w:val="2"/>
            <w:tcBorders>
              <w:top w:val="nil"/>
              <w:bottom w:val="nil"/>
              <w:right w:val="nil"/>
            </w:tcBorders>
            <w:shd w:val="clear" w:color="auto" w:fill="auto"/>
          </w:tcPr>
          <w:p w:rsidR="0017135D" w:rsidRPr="003A759B" w:rsidP="00F71807">
            <w:pPr>
              <w:pStyle w:val="CSbody0bold"/>
            </w:pPr>
            <w:r w:rsidRPr="003A759B">
              <w:t>C.1</w:t>
            </w:r>
          </w:p>
        </w:tc>
        <w:tc>
          <w:tcPr>
            <w:tcW w:w="3318" w:type="dxa"/>
            <w:gridSpan w:val="10"/>
            <w:tcBorders>
              <w:top w:val="nil"/>
              <w:left w:val="nil"/>
              <w:bottom w:val="nil"/>
              <w:right w:val="nil"/>
            </w:tcBorders>
            <w:shd w:val="clear" w:color="auto" w:fill="auto"/>
          </w:tcPr>
          <w:p w:rsidR="0017135D" w:rsidRPr="00E57963" w:rsidP="00F71807">
            <w:pPr>
              <w:pStyle w:val="CSbody0bold"/>
            </w:pPr>
            <w:r w:rsidRPr="00E57963">
              <w:t>Planmässige Rückzahlung</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F71807">
            <w:pPr>
              <w:pStyle w:val="CSBody8pt"/>
            </w:pPr>
            <w:r w:rsidRPr="009251BE">
              <w:t>Scheduled Redemption</w:t>
            </w:r>
          </w:p>
        </w:tc>
        <w:tc>
          <w:tcPr>
            <w:tcW w:w="3315" w:type="dxa"/>
            <w:gridSpan w:val="7"/>
            <w:tcBorders>
              <w:top w:val="nil"/>
              <w:left w:val="nil"/>
              <w:bottom w:val="nil"/>
            </w:tcBorders>
            <w:shd w:val="clear" w:color="auto" w:fill="auto"/>
          </w:tcPr>
          <w:p w:rsidR="0017135D" w:rsidP="00F71807">
            <w:pPr>
              <w:pStyle w:val="CSBody8pt"/>
            </w:pPr>
            <w:r w:rsidRPr="00B81454">
              <w:t xml:space="preserve">Unless previously redeemed, repurchased or cancelled, and provided that no Credit Redemption Event has occurred on or prior to the Scheduled Maturity Date, the Issuer shall redeem each Complex Product on </w:t>
            </w:r>
            <w:r w:rsidRPr="00792D61">
              <w:rPr>
                <w:b/>
              </w:rPr>
              <w:t>[</w:t>
            </w:r>
            <w:r w:rsidRPr="00B81454">
              <w:t>the Scheduled Maturity Date</w:t>
            </w:r>
            <w:r w:rsidRPr="00792D61">
              <w:rPr>
                <w:b/>
              </w:rPr>
              <w:t>][</w:t>
            </w:r>
            <w:r w:rsidRPr="00B81454">
              <w:t xml:space="preserve">the date that is </w:t>
            </w:r>
            <w:r w:rsidRPr="00792D61">
              <w:rPr>
                <w:b/>
              </w:rPr>
              <w:t>[</w:t>
            </w:r>
            <w:r w:rsidRPr="00B81454">
              <w:rPr>
                <w:rFonts w:ascii="Arial" w:hAnsi="Arial" w:cs="Arial"/>
              </w:rPr>
              <w:t>●</w:t>
            </w:r>
            <w:r w:rsidRPr="00792D61">
              <w:rPr>
                <w:b/>
              </w:rPr>
              <w:t>]</w:t>
            </w:r>
            <w:r w:rsidRPr="00B81454">
              <w:t xml:space="preserve"> Business Days after the Scheduled Maturity Date</w:t>
            </w:r>
            <w:r w:rsidRPr="00792D61">
              <w:rPr>
                <w:b/>
              </w:rPr>
              <w:t>]</w:t>
            </w:r>
            <w:r w:rsidRPr="00B81454">
              <w:t xml:space="preserve"> by payment of a cash amount equal to the Scheduled Redemption Amount to the Holder thereof; provided, however, that, if a Suspension Period has occurred on or prior to, and is continuing on, the Scheduled Maturity Date, and</w:t>
            </w:r>
          </w:p>
        </w:tc>
        <w:tc>
          <w:tcPr>
            <w:tcW w:w="1618" w:type="dxa"/>
            <w:gridSpan w:val="2"/>
            <w:tcBorders>
              <w:top w:val="nil"/>
              <w:bottom w:val="nil"/>
              <w:right w:val="nil"/>
            </w:tcBorders>
            <w:shd w:val="clear" w:color="auto" w:fill="auto"/>
          </w:tcPr>
          <w:p w:rsidR="0017135D" w:rsidP="00F71807">
            <w:pPr>
              <w:pStyle w:val="CSBody8pt"/>
            </w:pPr>
            <w:r w:rsidRPr="003A759B">
              <w:t>Planmässige Rückzahlung</w:t>
            </w:r>
          </w:p>
        </w:tc>
        <w:tc>
          <w:tcPr>
            <w:tcW w:w="3318" w:type="dxa"/>
            <w:gridSpan w:val="10"/>
            <w:tcBorders>
              <w:top w:val="nil"/>
              <w:left w:val="nil"/>
              <w:bottom w:val="nil"/>
              <w:right w:val="nil"/>
            </w:tcBorders>
            <w:shd w:val="clear" w:color="auto" w:fill="auto"/>
          </w:tcPr>
          <w:p w:rsidR="0017135D" w:rsidRPr="00ED72B4" w:rsidP="0094769A">
            <w:pPr>
              <w:pStyle w:val="CSBody8pt"/>
              <w:rPr>
                <w:lang w:val="de-DE"/>
              </w:rPr>
            </w:pPr>
            <w:r w:rsidRPr="00ED72B4">
              <w:rPr>
                <w:lang w:val="de-DE"/>
              </w:rPr>
              <w:t xml:space="preserve">Sofern an oder vor dem Planmässigen Fälligkeitstag kein Kredit-Rückzahlungsereignis eingetreten ist, wird jedes Komplexe Produkt, das nicht bereits zuvor zurückgezahlt, zurückgekauft oder entwertet wurde, von der Emittentin </w:t>
            </w:r>
            <w:r w:rsidRPr="00792D61">
              <w:rPr>
                <w:b/>
                <w:lang w:val="de-DE"/>
              </w:rPr>
              <w:t>[</w:t>
            </w:r>
            <w:r w:rsidRPr="00ED72B4">
              <w:rPr>
                <w:lang w:val="de-DE"/>
              </w:rPr>
              <w:t>am Planmässigen Fälligkeitstag</w:t>
            </w:r>
            <w:r w:rsidRPr="00792D61">
              <w:rPr>
                <w:b/>
                <w:lang w:val="de-DE"/>
              </w:rPr>
              <w:t>][</w:t>
            </w:r>
            <w:r w:rsidRPr="00ED72B4">
              <w:rPr>
                <w:lang w:val="de-DE"/>
              </w:rPr>
              <w:t xml:space="preserve">an dem Tag, der </w:t>
            </w:r>
            <w:r w:rsidRPr="00792D61">
              <w:rPr>
                <w:b/>
                <w:lang w:val="de-DE"/>
              </w:rPr>
              <w:t>[</w:t>
            </w:r>
            <w:r w:rsidRPr="00ED72B4">
              <w:rPr>
                <w:rFonts w:ascii="Arial" w:hAnsi="Arial" w:cs="Arial"/>
                <w:lang w:val="de-DE"/>
              </w:rPr>
              <w:t>●</w:t>
            </w:r>
            <w:r w:rsidRPr="00792D61">
              <w:rPr>
                <w:b/>
                <w:lang w:val="de-DE"/>
              </w:rPr>
              <w:t>]</w:t>
            </w:r>
            <w:r w:rsidRPr="00ED72B4">
              <w:rPr>
                <w:lang w:val="de-DE"/>
              </w:rPr>
              <w:t xml:space="preserve"> Gesch</w:t>
            </w:r>
            <w:r w:rsidRPr="00ED72B4">
              <w:rPr>
                <w:rFonts w:cs="Credit Suisse Type Light"/>
                <w:lang w:val="de-DE"/>
              </w:rPr>
              <w:t>ä</w:t>
            </w:r>
            <w:r w:rsidRPr="00ED72B4">
              <w:rPr>
                <w:lang w:val="de-DE"/>
              </w:rPr>
              <w:t>ftstage nach dem Planm</w:t>
            </w:r>
            <w:r w:rsidRPr="00ED72B4">
              <w:rPr>
                <w:rFonts w:cs="Credit Suisse Type Light"/>
                <w:lang w:val="de-DE"/>
              </w:rPr>
              <w:t>ä</w:t>
            </w:r>
            <w:r w:rsidRPr="00ED72B4">
              <w:rPr>
                <w:lang w:val="de-DE"/>
              </w:rPr>
              <w:t>ssigen F</w:t>
            </w:r>
            <w:r w:rsidRPr="00ED72B4">
              <w:rPr>
                <w:rFonts w:cs="Credit Suisse Type Light"/>
                <w:lang w:val="de-DE"/>
              </w:rPr>
              <w:t>ä</w:t>
            </w:r>
            <w:r w:rsidRPr="00ED72B4">
              <w:rPr>
                <w:lang w:val="de-DE"/>
              </w:rPr>
              <w:t>lligkeitstag liegt,</w:t>
            </w:r>
            <w:r w:rsidRPr="00792D61">
              <w:rPr>
                <w:b/>
                <w:lang w:val="de-DE"/>
              </w:rPr>
              <w:t>]</w:t>
            </w:r>
            <w:r w:rsidRPr="00ED72B4">
              <w:rPr>
                <w:lang w:val="de-DE"/>
              </w:rPr>
              <w:t xml:space="preserve"> durch Zahlung eines dem Planm</w:t>
            </w:r>
            <w:r w:rsidRPr="00ED72B4">
              <w:rPr>
                <w:rFonts w:cs="Credit Suisse Type Light"/>
                <w:lang w:val="de-DE"/>
              </w:rPr>
              <w:t>ä</w:t>
            </w:r>
            <w:r w:rsidRPr="00ED72B4">
              <w:rPr>
                <w:lang w:val="de-DE"/>
              </w:rPr>
              <w:t>ssigen R</w:t>
            </w:r>
            <w:r w:rsidRPr="00ED72B4">
              <w:rPr>
                <w:rFonts w:cs="Credit Suisse Type Light"/>
                <w:lang w:val="de-DE"/>
              </w:rPr>
              <w:t>ü</w:t>
            </w:r>
            <w:r w:rsidRPr="00ED72B4">
              <w:rPr>
                <w:lang w:val="de-DE"/>
              </w:rPr>
              <w:t>ckzahlungsbetrag entsprechenden Geldbetrags an den jeweiligen Inhaber getilgt; wobei jedoch im Fall, dass ein Aussetzungszeitraum begonnen hat und am Planmässigen Fälligkeitstag andauert, und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D72B4" w:rsidP="00F71807">
            <w:pPr>
              <w:pStyle w:val="CSManNum8pt"/>
              <w:rPr>
                <w:lang w:val="de-DE"/>
              </w:rPr>
            </w:pPr>
          </w:p>
        </w:tc>
        <w:tc>
          <w:tcPr>
            <w:tcW w:w="3315" w:type="dxa"/>
            <w:gridSpan w:val="7"/>
            <w:tcBorders>
              <w:top w:val="nil"/>
              <w:left w:val="nil"/>
              <w:bottom w:val="nil"/>
            </w:tcBorders>
            <w:shd w:val="clear" w:color="auto" w:fill="auto"/>
          </w:tcPr>
          <w:p w:rsidR="0017135D" w:rsidRPr="00ED72B4" w:rsidP="00C339F2">
            <w:pPr>
              <w:pStyle w:val="CSManNum8pt"/>
            </w:pPr>
            <w:r w:rsidRPr="00ED72B4">
              <w:t>(i)</w:t>
            </w:r>
            <w:r w:rsidRPr="00ED72B4">
              <w:tab/>
              <w:t xml:space="preserve">a Credit Redemption Event </w:t>
            </w:r>
            <w:r w:rsidRPr="00F71807">
              <w:t>occurs</w:t>
            </w:r>
            <w:r w:rsidRPr="00ED72B4">
              <w:t xml:space="preserve"> on or prior to the last day of the Suspension Period, the Issuer shall redeem each Complex Product in accordance with Section 2.2; or</w:t>
            </w:r>
          </w:p>
        </w:tc>
        <w:tc>
          <w:tcPr>
            <w:tcW w:w="1618" w:type="dxa"/>
            <w:gridSpan w:val="2"/>
            <w:tcBorders>
              <w:top w:val="nil"/>
              <w:bottom w:val="nil"/>
              <w:right w:val="nil"/>
            </w:tcBorders>
            <w:shd w:val="clear" w:color="auto" w:fill="auto"/>
          </w:tcPr>
          <w:p w:rsidR="0017135D" w:rsidRPr="00ED72B4" w:rsidP="00F71807">
            <w:pPr>
              <w:pStyle w:val="CSManNum8pt"/>
              <w:rPr>
                <w:i/>
              </w:rPr>
            </w:pPr>
          </w:p>
        </w:tc>
        <w:tc>
          <w:tcPr>
            <w:tcW w:w="3318" w:type="dxa"/>
            <w:gridSpan w:val="10"/>
            <w:tcBorders>
              <w:top w:val="nil"/>
              <w:left w:val="nil"/>
              <w:bottom w:val="nil"/>
              <w:right w:val="nil"/>
            </w:tcBorders>
            <w:shd w:val="clear" w:color="auto" w:fill="auto"/>
          </w:tcPr>
          <w:p w:rsidR="0017135D" w:rsidRPr="00ED72B4" w:rsidP="0094769A">
            <w:pPr>
              <w:pStyle w:val="CSManNum8pt"/>
              <w:rPr>
                <w:bCs/>
                <w:lang w:val="de-DE"/>
              </w:rPr>
            </w:pPr>
            <w:r w:rsidRPr="00ED72B4">
              <w:rPr>
                <w:bCs/>
                <w:lang w:val="de-DE"/>
              </w:rPr>
              <w:t>(i)</w:t>
            </w:r>
            <w:r w:rsidRPr="00ED72B4">
              <w:rPr>
                <w:bCs/>
                <w:lang w:val="de-DE"/>
              </w:rPr>
              <w:tab/>
              <w:t xml:space="preserve">an oder vor dem letzten Tag des Aussetzungszeitraums ein Kredit-Rück-zahlungsereignis </w:t>
            </w:r>
            <w:r w:rsidRPr="00F71807">
              <w:rPr>
                <w:b/>
                <w:bCs/>
                <w:lang w:val="de-DE"/>
              </w:rPr>
              <w:t>eintritt</w:t>
            </w:r>
            <w:r w:rsidRPr="00ED72B4">
              <w:rPr>
                <w:bCs/>
                <w:lang w:val="de-DE"/>
              </w:rPr>
              <w:t>, die Emittentin jedes Komplexe Produkt gemäss Ziffer 2.2 zurückzahlt;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D72B4" w:rsidP="00F71807">
            <w:pPr>
              <w:pStyle w:val="CSManNum8pt"/>
              <w:rPr>
                <w:lang w:val="de-DE"/>
              </w:rPr>
            </w:pPr>
          </w:p>
        </w:tc>
        <w:tc>
          <w:tcPr>
            <w:tcW w:w="3315" w:type="dxa"/>
            <w:gridSpan w:val="7"/>
            <w:tcBorders>
              <w:top w:val="nil"/>
              <w:left w:val="nil"/>
              <w:bottom w:val="nil"/>
            </w:tcBorders>
            <w:shd w:val="clear" w:color="auto" w:fill="auto"/>
          </w:tcPr>
          <w:p w:rsidR="0017135D" w:rsidRPr="00ED72B4" w:rsidP="00F71807">
            <w:pPr>
              <w:pStyle w:val="CSManNum8pt"/>
            </w:pPr>
            <w:r w:rsidRPr="00ED72B4">
              <w:t>(ii)</w:t>
            </w:r>
            <w:r w:rsidRPr="00ED72B4">
              <w:tab/>
            </w:r>
            <w:r w:rsidRPr="00F71807">
              <w:rPr>
                <w:b/>
              </w:rPr>
              <w:t>no Credit Redemption Event occurs</w:t>
            </w:r>
            <w:r w:rsidRPr="00ED72B4">
              <w:t xml:space="preserve"> on or prior to the last day of the Suspension Period, instead of redeeming each Complex Product on </w:t>
            </w:r>
            <w:r w:rsidRPr="00792D61">
              <w:rPr>
                <w:b/>
              </w:rPr>
              <w:t>[</w:t>
            </w:r>
            <w:r w:rsidRPr="00ED72B4">
              <w:t>the Scheduled Maturity Date</w:t>
            </w:r>
            <w:r w:rsidRPr="00792D61">
              <w:rPr>
                <w:b/>
              </w:rPr>
              <w:t>][</w:t>
            </w:r>
            <w:r w:rsidRPr="00ED72B4">
              <w:t xml:space="preserve">on the date that is </w:t>
            </w:r>
            <w:r w:rsidRPr="00792D61">
              <w:rPr>
                <w:b/>
              </w:rPr>
              <w:t>[</w:t>
            </w:r>
            <w:r w:rsidRPr="00ED72B4">
              <w:rPr>
                <w:rFonts w:ascii="Arial" w:hAnsi="Arial" w:cs="Arial"/>
              </w:rPr>
              <w:t>●</w:t>
            </w:r>
            <w:r w:rsidRPr="00792D61">
              <w:rPr>
                <w:b/>
              </w:rPr>
              <w:t>]</w:t>
            </w:r>
            <w:r w:rsidRPr="00ED72B4">
              <w:t xml:space="preserve"> Business Days after the Scheduled Maturity Date</w:t>
            </w:r>
            <w:r w:rsidRPr="00792D61">
              <w:rPr>
                <w:b/>
              </w:rPr>
              <w:t>]</w:t>
            </w:r>
            <w:r w:rsidRPr="00ED72B4">
              <w:t xml:space="preserve">, the Issuer shall redeem each Complex Product on the </w:t>
            </w:r>
            <w:r w:rsidRPr="00792D61">
              <w:rPr>
                <w:b/>
              </w:rPr>
              <w:t>[</w:t>
            </w:r>
            <w:r w:rsidRPr="00ED72B4">
              <w:t>second</w:t>
            </w:r>
            <w:r w:rsidRPr="00792D61">
              <w:rPr>
                <w:b/>
              </w:rPr>
              <w:t>][[</w:t>
            </w:r>
            <w:r w:rsidRPr="00ED72B4">
              <w:rPr>
                <w:rFonts w:cs="Credit Suisse Type Light"/>
              </w:rPr>
              <w:t>•</w:t>
            </w:r>
            <w:r w:rsidRPr="00792D61">
              <w:rPr>
                <w:b/>
              </w:rPr>
              <w:t>]]</w:t>
            </w:r>
            <w:r w:rsidRPr="00ED72B4">
              <w:t xml:space="preserve"> Business Day following the last day of the Suspension Period by payment of a cash amount equal to the Scheduled Redemption Amount to the Holder thereof.</w:t>
            </w:r>
          </w:p>
        </w:tc>
        <w:tc>
          <w:tcPr>
            <w:tcW w:w="1618" w:type="dxa"/>
            <w:gridSpan w:val="2"/>
            <w:tcBorders>
              <w:top w:val="nil"/>
              <w:bottom w:val="nil"/>
              <w:right w:val="nil"/>
            </w:tcBorders>
            <w:shd w:val="clear" w:color="auto" w:fill="auto"/>
          </w:tcPr>
          <w:p w:rsidR="0017135D" w:rsidRPr="00ED72B4" w:rsidP="00F71807">
            <w:pPr>
              <w:pStyle w:val="CSManNum8pt"/>
              <w:rPr>
                <w:i/>
              </w:rPr>
            </w:pPr>
          </w:p>
        </w:tc>
        <w:tc>
          <w:tcPr>
            <w:tcW w:w="3318" w:type="dxa"/>
            <w:gridSpan w:val="10"/>
            <w:tcBorders>
              <w:top w:val="nil"/>
              <w:left w:val="nil"/>
              <w:bottom w:val="nil"/>
              <w:right w:val="nil"/>
            </w:tcBorders>
            <w:shd w:val="clear" w:color="auto" w:fill="auto"/>
          </w:tcPr>
          <w:p w:rsidR="0017135D" w:rsidRPr="00ED72B4" w:rsidP="0094769A">
            <w:pPr>
              <w:pStyle w:val="CSManNum8pt"/>
              <w:rPr>
                <w:bCs/>
                <w:lang w:val="de-DE"/>
              </w:rPr>
            </w:pPr>
            <w:r w:rsidRPr="00ED72B4">
              <w:rPr>
                <w:bCs/>
                <w:lang w:val="de-DE"/>
              </w:rPr>
              <w:t>(ii)</w:t>
            </w:r>
            <w:r w:rsidRPr="00ED72B4">
              <w:rPr>
                <w:bCs/>
                <w:lang w:val="de-DE"/>
              </w:rPr>
              <w:tab/>
              <w:t xml:space="preserve">an oder vor dem letzten Tag des Aussetzungszeitraums </w:t>
            </w:r>
            <w:r w:rsidRPr="00F71807">
              <w:rPr>
                <w:b/>
                <w:bCs/>
                <w:lang w:val="de-DE"/>
              </w:rPr>
              <w:t>kein Kredit-Rückzahlungsereignis eintritt</w:t>
            </w:r>
            <w:r w:rsidRPr="00ED72B4">
              <w:rPr>
                <w:bCs/>
                <w:lang w:val="de-DE"/>
              </w:rPr>
              <w:t xml:space="preserve">, die Emittentin jedes Komplexe Produkt anstatt </w:t>
            </w:r>
            <w:r w:rsidRPr="00792D61">
              <w:rPr>
                <w:b/>
                <w:bCs/>
                <w:lang w:val="de-DE"/>
              </w:rPr>
              <w:t>[</w:t>
            </w:r>
            <w:r w:rsidRPr="00ED72B4">
              <w:rPr>
                <w:bCs/>
                <w:lang w:val="de-DE"/>
              </w:rPr>
              <w:t>am Planmässigen Fälligkeitstag</w:t>
            </w:r>
            <w:r w:rsidRPr="00792D61">
              <w:rPr>
                <w:b/>
                <w:bCs/>
                <w:lang w:val="de-DE"/>
              </w:rPr>
              <w:t>][</w:t>
            </w:r>
            <w:r w:rsidRPr="00ED72B4">
              <w:rPr>
                <w:bCs/>
                <w:lang w:val="de-DE"/>
              </w:rPr>
              <w:t xml:space="preserve">an dem Tag, der </w:t>
            </w:r>
            <w:r w:rsidRPr="00792D61">
              <w:rPr>
                <w:b/>
                <w:bCs/>
                <w:lang w:val="de-DE"/>
              </w:rPr>
              <w:t>[</w:t>
            </w:r>
            <w:r w:rsidRPr="00ED72B4">
              <w:rPr>
                <w:rFonts w:ascii="Arial" w:hAnsi="Arial" w:cs="Arial"/>
                <w:bCs/>
                <w:lang w:val="de-DE"/>
              </w:rPr>
              <w:t>●</w:t>
            </w:r>
            <w:r w:rsidRPr="00792D61">
              <w:rPr>
                <w:b/>
                <w:bCs/>
                <w:lang w:val="de-DE"/>
              </w:rPr>
              <w:t>]</w:t>
            </w:r>
            <w:r w:rsidRPr="00ED72B4">
              <w:rPr>
                <w:bCs/>
                <w:lang w:val="de-DE"/>
              </w:rPr>
              <w:t xml:space="preserve"> Gesch</w:t>
            </w:r>
            <w:r w:rsidRPr="00ED72B4">
              <w:rPr>
                <w:rFonts w:cs="Credit Suisse Type Light"/>
                <w:bCs/>
                <w:lang w:val="de-DE"/>
              </w:rPr>
              <w:t>ä</w:t>
            </w:r>
            <w:r w:rsidRPr="00ED72B4">
              <w:rPr>
                <w:bCs/>
                <w:lang w:val="de-DE"/>
              </w:rPr>
              <w:t>ftstage nach dem Planm</w:t>
            </w:r>
            <w:r w:rsidRPr="00ED72B4">
              <w:rPr>
                <w:rFonts w:cs="Credit Suisse Type Light"/>
                <w:bCs/>
                <w:lang w:val="de-DE"/>
              </w:rPr>
              <w:t>ä</w:t>
            </w:r>
            <w:r w:rsidRPr="00ED72B4">
              <w:rPr>
                <w:bCs/>
                <w:lang w:val="de-DE"/>
              </w:rPr>
              <w:t>ssigen F</w:t>
            </w:r>
            <w:r w:rsidRPr="00ED72B4">
              <w:rPr>
                <w:rFonts w:cs="Credit Suisse Type Light"/>
                <w:bCs/>
                <w:lang w:val="de-DE"/>
              </w:rPr>
              <w:t>ä</w:t>
            </w:r>
            <w:r w:rsidRPr="00ED72B4">
              <w:rPr>
                <w:bCs/>
                <w:lang w:val="de-DE"/>
              </w:rPr>
              <w:t>lligkeitstag liegt,</w:t>
            </w:r>
            <w:r w:rsidRPr="00792D61">
              <w:rPr>
                <w:b/>
                <w:bCs/>
                <w:lang w:val="de-DE"/>
              </w:rPr>
              <w:t>]</w:t>
            </w:r>
            <w:r w:rsidRPr="00ED72B4">
              <w:rPr>
                <w:bCs/>
                <w:lang w:val="de-DE"/>
              </w:rPr>
              <w:t xml:space="preserve"> am </w:t>
            </w:r>
            <w:r w:rsidRPr="00792D61">
              <w:rPr>
                <w:b/>
                <w:bCs/>
                <w:lang w:val="de-DE"/>
              </w:rPr>
              <w:t>[</w:t>
            </w:r>
            <w:r w:rsidRPr="00ED72B4">
              <w:rPr>
                <w:bCs/>
                <w:lang w:val="de-DE"/>
              </w:rPr>
              <w:t>zweiten</w:t>
            </w:r>
            <w:r w:rsidRPr="00792D61">
              <w:rPr>
                <w:b/>
                <w:bCs/>
                <w:lang w:val="de-DE"/>
              </w:rPr>
              <w:t>][[</w:t>
            </w:r>
            <w:r w:rsidRPr="00ED72B4">
              <w:rPr>
                <w:rFonts w:cs="Credit Suisse Type Light"/>
                <w:bCs/>
                <w:lang w:val="de-DE"/>
              </w:rPr>
              <w:t>•</w:t>
            </w:r>
            <w:r w:rsidRPr="00792D61">
              <w:rPr>
                <w:b/>
                <w:bCs/>
                <w:lang w:val="de-DE"/>
              </w:rPr>
              <w:t>]]</w:t>
            </w:r>
            <w:r w:rsidRPr="00ED72B4">
              <w:rPr>
                <w:bCs/>
                <w:lang w:val="de-DE"/>
              </w:rPr>
              <w:t xml:space="preserve"> Gesch</w:t>
            </w:r>
            <w:r w:rsidRPr="00ED72B4">
              <w:rPr>
                <w:rFonts w:cs="Credit Suisse Type Light"/>
                <w:bCs/>
                <w:lang w:val="de-DE"/>
              </w:rPr>
              <w:t>ä</w:t>
            </w:r>
            <w:r w:rsidRPr="00ED72B4">
              <w:rPr>
                <w:bCs/>
                <w:lang w:val="de-DE"/>
              </w:rPr>
              <w:t>ftstag nach dem letzten Tag des Aussetzungszeitraums durch Zahlung eines dem Planm</w:t>
            </w:r>
            <w:r w:rsidRPr="00ED72B4">
              <w:rPr>
                <w:rFonts w:cs="Credit Suisse Type Light"/>
                <w:bCs/>
                <w:lang w:val="de-DE"/>
              </w:rPr>
              <w:t>ä</w:t>
            </w:r>
            <w:r w:rsidRPr="00ED72B4">
              <w:rPr>
                <w:bCs/>
                <w:lang w:val="de-DE"/>
              </w:rPr>
              <w:t>ssigen R</w:t>
            </w:r>
            <w:r w:rsidRPr="00ED72B4">
              <w:rPr>
                <w:rFonts w:cs="Credit Suisse Type Light"/>
                <w:bCs/>
                <w:lang w:val="de-DE"/>
              </w:rPr>
              <w:t>ü</w:t>
            </w:r>
            <w:r w:rsidRPr="00ED72B4">
              <w:rPr>
                <w:bCs/>
                <w:lang w:val="de-DE"/>
              </w:rPr>
              <w:t>ckzahlungsbetrag entsprechenden Geldbetrags an den jeweiligen Inhaber tilgt.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A63AC7" w:rsidP="00F71807">
            <w:pPr>
              <w:pStyle w:val="CSBody8pt"/>
            </w:pPr>
            <w:r w:rsidRPr="00A63AC7">
              <w:t>Scheduled Maturity Date</w:t>
            </w:r>
          </w:p>
        </w:tc>
        <w:tc>
          <w:tcPr>
            <w:tcW w:w="3315" w:type="dxa"/>
            <w:gridSpan w:val="7"/>
            <w:tcBorders>
              <w:top w:val="nil"/>
              <w:left w:val="nil"/>
              <w:bottom w:val="nil"/>
            </w:tcBorders>
            <w:shd w:val="clear" w:color="auto" w:fill="auto"/>
          </w:tcPr>
          <w:p w:rsidR="0017135D" w:rsidRPr="00EE4B51" w:rsidP="00F71807">
            <w:pPr>
              <w:pStyle w:val="CSBody8pt"/>
            </w:pPr>
            <w:r w:rsidRPr="00792D61">
              <w:rPr>
                <w:b/>
              </w:rPr>
              <w:t>[</w:t>
            </w:r>
            <w:r w:rsidRPr="00EE4B51">
              <w:rPr>
                <w:rFonts w:ascii="Arial" w:hAnsi="Arial" w:cs="Arial"/>
              </w:rPr>
              <w:t>●</w:t>
            </w:r>
            <w:r w:rsidRPr="00792D61">
              <w:rPr>
                <w:b/>
              </w:rPr>
              <w:t>]</w:t>
            </w:r>
            <w:r w:rsidRPr="00EE4B51">
              <w:t>, being the date on which each Complex Product will be redeemed at the Scheduled Redemption Amount, unless previously redeemed, repurchased or cancelled, and so long as (i) no Credit Redemption Event has occurred on or prior to the Scheduled Maturity Date, and (ii) no Suspension Period has occurred on or prior to, and is continuing on, such date.</w:t>
            </w:r>
          </w:p>
        </w:tc>
        <w:tc>
          <w:tcPr>
            <w:tcW w:w="1618" w:type="dxa"/>
            <w:gridSpan w:val="2"/>
            <w:tcBorders>
              <w:top w:val="nil"/>
              <w:bottom w:val="nil"/>
              <w:right w:val="nil"/>
            </w:tcBorders>
            <w:shd w:val="clear" w:color="auto" w:fill="auto"/>
          </w:tcPr>
          <w:p w:rsidR="0017135D" w:rsidRPr="00D9242D" w:rsidP="00F71807">
            <w:pPr>
              <w:pStyle w:val="CSBody8pt"/>
            </w:pPr>
            <w:r w:rsidRPr="00D9242D">
              <w:t>Planmässiger Fälligkeitstag</w:t>
            </w:r>
          </w:p>
        </w:tc>
        <w:tc>
          <w:tcPr>
            <w:tcW w:w="3318" w:type="dxa"/>
            <w:gridSpan w:val="10"/>
            <w:tcBorders>
              <w:top w:val="nil"/>
              <w:left w:val="nil"/>
              <w:bottom w:val="nil"/>
              <w:right w:val="nil"/>
            </w:tcBorders>
            <w:shd w:val="clear" w:color="auto" w:fill="auto"/>
          </w:tcPr>
          <w:p w:rsidR="0017135D" w:rsidRPr="00ED72B4" w:rsidP="0094769A">
            <w:pPr>
              <w:pStyle w:val="CSBody8pt"/>
              <w:rPr>
                <w:lang w:val="de-DE"/>
              </w:rPr>
            </w:pPr>
            <w:r w:rsidRPr="00792D61">
              <w:rPr>
                <w:b/>
                <w:lang w:val="de-DE"/>
              </w:rPr>
              <w:t>[</w:t>
            </w:r>
            <w:r w:rsidRPr="00ED72B4">
              <w:rPr>
                <w:rFonts w:ascii="Arial" w:hAnsi="Arial" w:cs="Arial"/>
                <w:lang w:val="de-DE"/>
              </w:rPr>
              <w:t>●</w:t>
            </w:r>
            <w:r w:rsidRPr="00792D61">
              <w:rPr>
                <w:b/>
                <w:lang w:val="de-DE"/>
              </w:rPr>
              <w:t>]</w:t>
            </w:r>
            <w:r w:rsidRPr="00ED72B4">
              <w:rPr>
                <w:lang w:val="de-DE"/>
              </w:rPr>
              <w:t>, an diesem Tag wird jedes Komplexe Produkt zum Planm</w:t>
            </w:r>
            <w:r w:rsidRPr="00ED72B4">
              <w:rPr>
                <w:rFonts w:cs="Credit Suisse Type Light"/>
                <w:lang w:val="de-DE"/>
              </w:rPr>
              <w:t>ä</w:t>
            </w:r>
            <w:r w:rsidRPr="00ED72B4">
              <w:rPr>
                <w:lang w:val="de-DE"/>
              </w:rPr>
              <w:t>ssigen R</w:t>
            </w:r>
            <w:r w:rsidRPr="00ED72B4">
              <w:rPr>
                <w:rFonts w:cs="Credit Suisse Type Light"/>
                <w:lang w:val="de-DE"/>
              </w:rPr>
              <w:t>ü</w:t>
            </w:r>
            <w:r w:rsidRPr="00ED72B4">
              <w:rPr>
                <w:lang w:val="de-DE"/>
              </w:rPr>
              <w:t>ckzahlungsbetrag zur</w:t>
            </w:r>
            <w:r w:rsidRPr="00ED72B4">
              <w:rPr>
                <w:rFonts w:cs="Credit Suisse Type Light"/>
                <w:lang w:val="de-DE"/>
              </w:rPr>
              <w:t>ü</w:t>
            </w:r>
            <w:r w:rsidRPr="00ED72B4">
              <w:rPr>
                <w:lang w:val="de-DE"/>
              </w:rPr>
              <w:t>ckgezahlt, sofern es nicht bereits zuvor zur</w:t>
            </w:r>
            <w:r w:rsidRPr="00ED72B4">
              <w:rPr>
                <w:rFonts w:cs="Credit Suisse Type Light"/>
                <w:lang w:val="de-DE"/>
              </w:rPr>
              <w:t>ü</w:t>
            </w:r>
            <w:r w:rsidRPr="00ED72B4">
              <w:rPr>
                <w:lang w:val="de-DE"/>
              </w:rPr>
              <w:t>ckgezahlt, zur</w:t>
            </w:r>
            <w:r w:rsidRPr="00ED72B4">
              <w:rPr>
                <w:rFonts w:cs="Credit Suisse Type Light"/>
                <w:lang w:val="de-DE"/>
              </w:rPr>
              <w:t>ü</w:t>
            </w:r>
            <w:r w:rsidRPr="00ED72B4">
              <w:rPr>
                <w:lang w:val="de-DE"/>
              </w:rPr>
              <w:t>ckgekauft oder entwertet wurde und solange (i) kein Kredit-R</w:t>
            </w:r>
            <w:r w:rsidRPr="00ED72B4">
              <w:rPr>
                <w:rFonts w:cs="Credit Suisse Type Light"/>
                <w:lang w:val="de-DE"/>
              </w:rPr>
              <w:t>ü</w:t>
            </w:r>
            <w:r w:rsidRPr="00ED72B4">
              <w:rPr>
                <w:lang w:val="de-DE"/>
              </w:rPr>
              <w:t>ckzahlungsereignis an oder vor dem Planm</w:t>
            </w:r>
            <w:r w:rsidRPr="00ED72B4">
              <w:rPr>
                <w:rFonts w:cs="Credit Suisse Type Light"/>
                <w:lang w:val="de-DE"/>
              </w:rPr>
              <w:t>ä</w:t>
            </w:r>
            <w:r w:rsidRPr="00ED72B4">
              <w:rPr>
                <w:lang w:val="de-DE"/>
              </w:rPr>
              <w:t>ssigen Fälligkeitstag eingetreten ist und (ii) kein Aussetzungszeitraum an oder vor dem Planmässigen Fälligkeitstag begonnen hat und an diesem Tag andauert.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F71807">
            <w:pPr>
              <w:pStyle w:val="CSBody8pt"/>
            </w:pPr>
            <w:r w:rsidRPr="00A63AC7">
              <w:t>Scheduled Redemption Amount</w:t>
            </w:r>
          </w:p>
        </w:tc>
        <w:tc>
          <w:tcPr>
            <w:tcW w:w="3315" w:type="dxa"/>
            <w:gridSpan w:val="7"/>
            <w:tcBorders>
              <w:top w:val="nil"/>
              <w:left w:val="nil"/>
              <w:bottom w:val="nil"/>
            </w:tcBorders>
            <w:shd w:val="clear" w:color="auto" w:fill="auto"/>
          </w:tcPr>
          <w:p w:rsidR="0017135D" w:rsidP="00F71807">
            <w:pPr>
              <w:pStyle w:val="CSBody8pt"/>
            </w:pPr>
            <w:r w:rsidRPr="00792D61">
              <w:rPr>
                <w:b/>
              </w:rPr>
              <w:t>[[</w:t>
            </w:r>
            <w:r w:rsidRPr="00EE4B51">
              <w:rPr>
                <w:rFonts w:ascii="Arial" w:hAnsi="Arial" w:cs="Arial"/>
              </w:rPr>
              <w:t>●</w:t>
            </w:r>
            <w:r w:rsidRPr="00792D61">
              <w:rPr>
                <w:b/>
              </w:rPr>
              <w:t>]][</w:t>
            </w:r>
            <w:r w:rsidRPr="00EE4B51">
              <w:t>100</w:t>
            </w:r>
            <w:r w:rsidRPr="00792D61">
              <w:rPr>
                <w:b/>
              </w:rPr>
              <w:t>]</w:t>
            </w:r>
            <w:r w:rsidRPr="00EE4B51">
              <w:t>% of the Denomination.</w:t>
            </w:r>
            <w:r w:rsidRPr="00792D61">
              <w:rPr>
                <w:b/>
              </w:rPr>
              <w:t>]</w:t>
            </w:r>
          </w:p>
        </w:tc>
        <w:tc>
          <w:tcPr>
            <w:tcW w:w="1618" w:type="dxa"/>
            <w:gridSpan w:val="2"/>
            <w:tcBorders>
              <w:top w:val="nil"/>
              <w:bottom w:val="nil"/>
              <w:right w:val="nil"/>
            </w:tcBorders>
            <w:shd w:val="clear" w:color="auto" w:fill="auto"/>
          </w:tcPr>
          <w:p w:rsidR="0017135D" w:rsidP="0094769A">
            <w:pPr>
              <w:pStyle w:val="CSBody8pt"/>
            </w:pPr>
            <w:r w:rsidRPr="00D9242D">
              <w:t>Planmässiger Rückzahlungsbetrag</w:t>
            </w:r>
          </w:p>
        </w:tc>
        <w:tc>
          <w:tcPr>
            <w:tcW w:w="3318" w:type="dxa"/>
            <w:gridSpan w:val="10"/>
            <w:tcBorders>
              <w:top w:val="nil"/>
              <w:left w:val="nil"/>
              <w:bottom w:val="nil"/>
              <w:right w:val="nil"/>
            </w:tcBorders>
            <w:shd w:val="clear" w:color="auto" w:fill="auto"/>
          </w:tcPr>
          <w:p w:rsidR="0017135D" w:rsidP="00F71807">
            <w:pPr>
              <w:pStyle w:val="CSBody8pt"/>
            </w:pPr>
            <w:r w:rsidRPr="00792D61">
              <w:rPr>
                <w:b/>
              </w:rPr>
              <w:t>[[</w:t>
            </w:r>
            <w:r w:rsidRPr="00F812AF">
              <w:rPr>
                <w:rFonts w:ascii="Arial" w:hAnsi="Arial" w:cs="Arial"/>
              </w:rPr>
              <w:t>●</w:t>
            </w:r>
            <w:r w:rsidRPr="00792D61">
              <w:rPr>
                <w:b/>
              </w:rPr>
              <w:t>]][</w:t>
            </w:r>
            <w:r w:rsidRPr="00F812AF">
              <w:t>100</w:t>
            </w:r>
            <w:r w:rsidRPr="00792D61">
              <w:rPr>
                <w:b/>
              </w:rPr>
              <w:t>]</w:t>
            </w:r>
            <w:r w:rsidRPr="00F812AF">
              <w:t>% der St</w:t>
            </w:r>
            <w:r w:rsidRPr="00F812AF">
              <w:rPr>
                <w:rFonts w:cs="Credit Suisse Type Light"/>
              </w:rPr>
              <w:t>ü</w:t>
            </w:r>
            <w:r w:rsidRPr="00F812AF">
              <w:t>ckelung.</w:t>
            </w:r>
            <w:r w:rsidRPr="00792D61">
              <w:rPr>
                <w:b/>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D46CAB" w:rsidP="00F71807">
            <w:pPr>
              <w:pStyle w:val="CSBody8ptbolditalics"/>
            </w:pPr>
            <w:r w:rsidRPr="00792D61">
              <w:t>[</w:t>
            </w:r>
            <w:r w:rsidRPr="00D46CAB">
              <w:t>in the case of Complex Products other than Credit-Linked Complex Products, insert:</w:t>
            </w:r>
          </w:p>
        </w:tc>
        <w:tc>
          <w:tcPr>
            <w:tcW w:w="4936" w:type="dxa"/>
            <w:gridSpan w:val="12"/>
            <w:tcBorders>
              <w:top w:val="nil"/>
              <w:bottom w:val="nil"/>
              <w:right w:val="nil"/>
            </w:tcBorders>
            <w:shd w:val="clear" w:color="auto" w:fill="auto"/>
          </w:tcPr>
          <w:p w:rsidR="0017135D" w:rsidRPr="002B2264" w:rsidP="00F71807">
            <w:pPr>
              <w:pStyle w:val="CSBody8ptbolditalics"/>
              <w:rPr>
                <w:lang w:val="de-DE"/>
              </w:rPr>
            </w:pPr>
            <w:r w:rsidRPr="00792D61">
              <w:rPr>
                <w:lang w:val="de-DE"/>
              </w:rPr>
              <w:t>[</w:t>
            </w:r>
            <w:r w:rsidRPr="002B2264">
              <w:rPr>
                <w:lang w:val="de-DE"/>
              </w:rPr>
              <w:t>bei Komplexen Produkten ausser Kreditbezogenen Komplexen Produkten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465D" w:rsidP="00F71807">
            <w:pPr>
              <w:pStyle w:val="CSbody0bold"/>
            </w:pPr>
            <w:r w:rsidRPr="00FA465D">
              <w:t>C.1</w:t>
            </w:r>
          </w:p>
        </w:tc>
        <w:tc>
          <w:tcPr>
            <w:tcW w:w="3315" w:type="dxa"/>
            <w:gridSpan w:val="7"/>
            <w:tcBorders>
              <w:top w:val="nil"/>
              <w:left w:val="nil"/>
              <w:bottom w:val="nil"/>
            </w:tcBorders>
            <w:shd w:val="clear" w:color="auto" w:fill="auto"/>
          </w:tcPr>
          <w:p w:rsidR="0017135D" w:rsidRPr="00360346" w:rsidP="00F71807">
            <w:pPr>
              <w:pStyle w:val="CSbody0bold"/>
            </w:pPr>
            <w:r w:rsidRPr="00360346">
              <w:t>Final Redemption</w:t>
            </w:r>
          </w:p>
        </w:tc>
        <w:tc>
          <w:tcPr>
            <w:tcW w:w="1618" w:type="dxa"/>
            <w:gridSpan w:val="2"/>
            <w:tcBorders>
              <w:top w:val="nil"/>
              <w:bottom w:val="nil"/>
              <w:right w:val="nil"/>
            </w:tcBorders>
            <w:shd w:val="clear" w:color="auto" w:fill="auto"/>
          </w:tcPr>
          <w:p w:rsidR="0017135D" w:rsidRPr="00427740" w:rsidP="00F71807">
            <w:pPr>
              <w:pStyle w:val="CSbody0bold"/>
            </w:pPr>
            <w:r w:rsidRPr="00427740">
              <w:t>C.1</w:t>
            </w:r>
          </w:p>
        </w:tc>
        <w:tc>
          <w:tcPr>
            <w:tcW w:w="3318" w:type="dxa"/>
            <w:gridSpan w:val="10"/>
            <w:tcBorders>
              <w:top w:val="nil"/>
              <w:left w:val="nil"/>
              <w:bottom w:val="nil"/>
              <w:right w:val="nil"/>
            </w:tcBorders>
            <w:shd w:val="clear" w:color="auto" w:fill="auto"/>
          </w:tcPr>
          <w:p w:rsidR="0017135D" w:rsidRPr="00D34B8E" w:rsidP="00F71807">
            <w:pPr>
              <w:pStyle w:val="CSbody0bold"/>
            </w:pPr>
            <w:r w:rsidRPr="00D34B8E">
              <w:t>Rückzahlung bei Endfälligkeit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465D" w:rsidP="00F71807">
            <w:pPr>
              <w:pStyle w:val="CSBody8pt"/>
            </w:pPr>
            <w:r w:rsidRPr="00FA465D">
              <w:t>Final Redemption</w:t>
            </w:r>
          </w:p>
        </w:tc>
        <w:tc>
          <w:tcPr>
            <w:tcW w:w="3315" w:type="dxa"/>
            <w:gridSpan w:val="7"/>
            <w:tcBorders>
              <w:top w:val="nil"/>
              <w:left w:val="nil"/>
              <w:bottom w:val="nil"/>
            </w:tcBorders>
            <w:shd w:val="clear" w:color="auto" w:fill="auto"/>
          </w:tcPr>
          <w:p w:rsidR="0017135D" w:rsidRPr="00360346" w:rsidP="00F71807">
            <w:pPr>
              <w:pStyle w:val="CSBody8pt"/>
            </w:pPr>
            <w:r w:rsidRPr="00360346">
              <w:t>Unless previously redeemed, repurchased or cancelled, the Issuer shall redeem each Complex Product on the Final Redemption Date by payment of a cash amount equal to the Final Redemption Amount to the Holder thereof.</w:t>
            </w:r>
          </w:p>
        </w:tc>
        <w:tc>
          <w:tcPr>
            <w:tcW w:w="1618" w:type="dxa"/>
            <w:gridSpan w:val="2"/>
            <w:tcBorders>
              <w:top w:val="nil"/>
              <w:bottom w:val="nil"/>
              <w:right w:val="nil"/>
            </w:tcBorders>
            <w:shd w:val="clear" w:color="auto" w:fill="auto"/>
          </w:tcPr>
          <w:p w:rsidR="0017135D" w:rsidRPr="00427740" w:rsidP="00F71807">
            <w:pPr>
              <w:pStyle w:val="CSBody8pt"/>
            </w:pPr>
            <w:r w:rsidRPr="00427740">
              <w:t>Rückzahlung bei Endfälligkeit</w:t>
            </w:r>
          </w:p>
        </w:tc>
        <w:tc>
          <w:tcPr>
            <w:tcW w:w="3318" w:type="dxa"/>
            <w:gridSpan w:val="10"/>
            <w:tcBorders>
              <w:top w:val="nil"/>
              <w:left w:val="nil"/>
              <w:bottom w:val="nil"/>
              <w:right w:val="nil"/>
            </w:tcBorders>
            <w:shd w:val="clear" w:color="auto" w:fill="auto"/>
          </w:tcPr>
          <w:p w:rsidR="0017135D" w:rsidRPr="002B2264" w:rsidP="0094769A">
            <w:pPr>
              <w:pStyle w:val="CSBody8pt"/>
              <w:rPr>
                <w:lang w:val="de-DE"/>
              </w:rPr>
            </w:pPr>
            <w:r w:rsidRPr="002B2264">
              <w:rPr>
                <w:lang w:val="de-DE"/>
              </w:rPr>
              <w:t>Jedes Komplexe Produkt, das nicht bereits zuvor zurückgezahlt, zurückgekauft oder entwertet wurde, wird von der Emittentin am Finalen Rückzahlungstag durch Zahlung eines dem Finalen Rückzahlungsbetrag entsprechenden Geldbetrags an den jeweiligen Inhaber getilgt.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FA465D" w:rsidP="00F71807">
            <w:pPr>
              <w:pStyle w:val="CSBody8pt"/>
            </w:pPr>
            <w:r w:rsidRPr="00FA465D">
              <w:t>Final Redemption Date</w:t>
            </w:r>
          </w:p>
        </w:tc>
        <w:tc>
          <w:tcPr>
            <w:tcW w:w="3315" w:type="dxa"/>
            <w:gridSpan w:val="7"/>
            <w:tcBorders>
              <w:top w:val="nil"/>
              <w:left w:val="nil"/>
              <w:bottom w:val="nil"/>
            </w:tcBorders>
            <w:shd w:val="clear" w:color="auto" w:fill="auto"/>
          </w:tcPr>
          <w:p w:rsidR="0017135D" w:rsidRPr="00360346" w:rsidP="00F71807">
            <w:pPr>
              <w:pStyle w:val="CSBody8pt"/>
            </w:pPr>
            <w:r w:rsidRPr="00792D61">
              <w:rPr>
                <w:b/>
              </w:rPr>
              <w:t>[</w:t>
            </w:r>
            <w:r w:rsidRPr="00360346">
              <w:rPr>
                <w:rFonts w:ascii="Arial" w:hAnsi="Arial" w:cs="Arial"/>
              </w:rPr>
              <w:t>●</w:t>
            </w:r>
            <w:r w:rsidRPr="00792D61">
              <w:rPr>
                <w:b/>
              </w:rPr>
              <w:t>]</w:t>
            </w:r>
            <w:r w:rsidRPr="00360346">
              <w:t>, being the date on which each Complex Product will be redeemed at the Final Redemption Amount, unless previously redeemed, repurchased or cancelled.</w:t>
            </w:r>
          </w:p>
        </w:tc>
        <w:tc>
          <w:tcPr>
            <w:tcW w:w="1618" w:type="dxa"/>
            <w:gridSpan w:val="2"/>
            <w:tcBorders>
              <w:top w:val="nil"/>
              <w:bottom w:val="nil"/>
              <w:right w:val="nil"/>
            </w:tcBorders>
            <w:shd w:val="clear" w:color="auto" w:fill="auto"/>
          </w:tcPr>
          <w:p w:rsidR="0017135D" w:rsidRPr="00427740" w:rsidP="00F71807">
            <w:pPr>
              <w:pStyle w:val="CSBody8pt"/>
            </w:pPr>
            <w:r w:rsidRPr="00427740">
              <w:t>Finaler Rückzahlungstag</w:t>
            </w:r>
          </w:p>
        </w:tc>
        <w:tc>
          <w:tcPr>
            <w:tcW w:w="3318" w:type="dxa"/>
            <w:gridSpan w:val="10"/>
            <w:tcBorders>
              <w:top w:val="nil"/>
              <w:left w:val="nil"/>
              <w:bottom w:val="nil"/>
              <w:right w:val="nil"/>
            </w:tcBorders>
            <w:shd w:val="clear" w:color="auto" w:fill="auto"/>
          </w:tcPr>
          <w:p w:rsidR="0017135D" w:rsidRPr="002B2264" w:rsidP="00F71807">
            <w:pPr>
              <w:pStyle w:val="CSBody8pt"/>
              <w:rPr>
                <w:lang w:val="de-DE"/>
              </w:rPr>
            </w:pPr>
            <w:r w:rsidRPr="00792D61">
              <w:rPr>
                <w:b/>
                <w:lang w:val="de-DE"/>
              </w:rPr>
              <w:t>[</w:t>
            </w:r>
            <w:r w:rsidRPr="002B2264">
              <w:rPr>
                <w:rFonts w:ascii="Arial" w:hAnsi="Arial" w:cs="Arial"/>
                <w:lang w:val="de-DE"/>
              </w:rPr>
              <w:t>●</w:t>
            </w:r>
            <w:r w:rsidRPr="00792D61">
              <w:rPr>
                <w:b/>
                <w:lang w:val="de-DE"/>
              </w:rPr>
              <w:t>]</w:t>
            </w:r>
            <w:r w:rsidRPr="002B2264">
              <w:rPr>
                <w:lang w:val="de-DE"/>
              </w:rPr>
              <w:t>; an diesem Tag wird jedes Komplexe Produkt zum Finalen R</w:t>
            </w:r>
            <w:r w:rsidRPr="002B2264">
              <w:rPr>
                <w:rFonts w:cs="Credit Suisse Type Light"/>
                <w:lang w:val="de-DE"/>
              </w:rPr>
              <w:t>ü</w:t>
            </w:r>
            <w:r w:rsidRPr="002B2264">
              <w:rPr>
                <w:lang w:val="de-DE"/>
              </w:rPr>
              <w:t>ckzahlungsbetrag zur</w:t>
            </w:r>
            <w:r w:rsidRPr="002B2264">
              <w:rPr>
                <w:rFonts w:cs="Credit Suisse Type Light"/>
                <w:lang w:val="de-DE"/>
              </w:rPr>
              <w:t>ü</w:t>
            </w:r>
            <w:r w:rsidRPr="002B2264">
              <w:rPr>
                <w:lang w:val="de-DE"/>
              </w:rPr>
              <w:t>ckgezahlt, soweit es nicht bereits zuvor zur</w:t>
            </w:r>
            <w:r w:rsidRPr="002B2264">
              <w:rPr>
                <w:rFonts w:cs="Credit Suisse Type Light"/>
                <w:lang w:val="de-DE"/>
              </w:rPr>
              <w:t>ü</w:t>
            </w:r>
            <w:r w:rsidRPr="002B2264">
              <w:rPr>
                <w:lang w:val="de-DE"/>
              </w:rPr>
              <w:t>ckgezahlt, zur</w:t>
            </w:r>
            <w:r w:rsidRPr="002B2264">
              <w:rPr>
                <w:rFonts w:cs="Credit Suisse Type Light"/>
                <w:lang w:val="de-DE"/>
              </w:rPr>
              <w:t>ü</w:t>
            </w:r>
            <w:r w:rsidRPr="002B2264">
              <w:rPr>
                <w:lang w:val="de-DE"/>
              </w:rPr>
              <w:t>ckgekauft oder entwertet wurde.</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P="00F71807">
            <w:pPr>
              <w:pStyle w:val="CSBody8pt"/>
            </w:pPr>
            <w:r w:rsidRPr="00FA465D">
              <w:t>Final Redemption Amount</w:t>
            </w:r>
          </w:p>
        </w:tc>
        <w:tc>
          <w:tcPr>
            <w:tcW w:w="3315" w:type="dxa"/>
            <w:gridSpan w:val="7"/>
            <w:tcBorders>
              <w:top w:val="nil"/>
              <w:left w:val="nil"/>
              <w:bottom w:val="nil"/>
            </w:tcBorders>
            <w:shd w:val="clear" w:color="auto" w:fill="auto"/>
          </w:tcPr>
          <w:p w:rsidR="0017135D" w:rsidP="00F71807">
            <w:pPr>
              <w:pStyle w:val="CSBody8pt"/>
            </w:pPr>
            <w:r w:rsidRPr="00792D61">
              <w:rPr>
                <w:b/>
              </w:rPr>
              <w:t>[[</w:t>
            </w:r>
            <w:r w:rsidRPr="00360346">
              <w:rPr>
                <w:rFonts w:ascii="Arial" w:hAnsi="Arial" w:cs="Arial"/>
              </w:rPr>
              <w:t>●</w:t>
            </w:r>
            <w:r w:rsidRPr="00792D61">
              <w:rPr>
                <w:b/>
              </w:rPr>
              <w:t>]][</w:t>
            </w:r>
            <w:r w:rsidRPr="00360346">
              <w:t>100</w:t>
            </w:r>
            <w:r w:rsidRPr="00792D61">
              <w:rPr>
                <w:b/>
              </w:rPr>
              <w:t>]</w:t>
            </w:r>
            <w:r w:rsidRPr="00360346">
              <w:t>% of the Denomination.</w:t>
            </w:r>
            <w:r w:rsidRPr="00792D61">
              <w:rPr>
                <w:b/>
              </w:rPr>
              <w:t>]</w:t>
            </w:r>
          </w:p>
        </w:tc>
        <w:tc>
          <w:tcPr>
            <w:tcW w:w="1618" w:type="dxa"/>
            <w:gridSpan w:val="2"/>
            <w:tcBorders>
              <w:top w:val="nil"/>
              <w:bottom w:val="nil"/>
              <w:right w:val="nil"/>
            </w:tcBorders>
            <w:shd w:val="clear" w:color="auto" w:fill="auto"/>
          </w:tcPr>
          <w:p w:rsidR="0017135D" w:rsidP="0094769A">
            <w:pPr>
              <w:pStyle w:val="CSBody8pt"/>
            </w:pPr>
            <w:r w:rsidRPr="00427740">
              <w:t>Finaler Rückzahlungsbetrag</w:t>
            </w:r>
          </w:p>
        </w:tc>
        <w:tc>
          <w:tcPr>
            <w:tcW w:w="3318" w:type="dxa"/>
            <w:gridSpan w:val="10"/>
            <w:tcBorders>
              <w:top w:val="nil"/>
              <w:left w:val="nil"/>
              <w:bottom w:val="nil"/>
              <w:right w:val="nil"/>
            </w:tcBorders>
            <w:shd w:val="clear" w:color="auto" w:fill="auto"/>
          </w:tcPr>
          <w:p w:rsidR="0017135D" w:rsidP="00F71807">
            <w:pPr>
              <w:pStyle w:val="CSBody8pt"/>
            </w:pPr>
            <w:r w:rsidRPr="00792D61">
              <w:rPr>
                <w:b/>
              </w:rPr>
              <w:t>[[</w:t>
            </w:r>
            <w:r w:rsidRPr="00D34B8E">
              <w:rPr>
                <w:rFonts w:ascii="Arial" w:hAnsi="Arial" w:cs="Arial"/>
              </w:rPr>
              <w:t>●</w:t>
            </w:r>
            <w:r w:rsidRPr="00792D61">
              <w:rPr>
                <w:b/>
              </w:rPr>
              <w:t>]][</w:t>
            </w:r>
            <w:r w:rsidRPr="00D34B8E">
              <w:t>100</w:t>
            </w:r>
            <w:r w:rsidRPr="00792D61">
              <w:rPr>
                <w:b/>
              </w:rPr>
              <w:t>]</w:t>
            </w:r>
            <w:r w:rsidRPr="00D34B8E">
              <w:t>% der St</w:t>
            </w:r>
            <w:r w:rsidRPr="00D34B8E">
              <w:rPr>
                <w:rFonts w:cs="Credit Suisse Type Light"/>
              </w:rPr>
              <w:t>ü</w:t>
            </w:r>
            <w:r w:rsidRPr="00D34B8E">
              <w:t>ckelung.</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87AB5" w:rsidP="00F71807">
            <w:pPr>
              <w:pStyle w:val="CSbody0bold"/>
            </w:pPr>
            <w:r w:rsidRPr="00487AB5">
              <w:t>C.2</w:t>
            </w:r>
          </w:p>
        </w:tc>
        <w:tc>
          <w:tcPr>
            <w:tcW w:w="3315" w:type="dxa"/>
            <w:gridSpan w:val="7"/>
            <w:tcBorders>
              <w:top w:val="nil"/>
              <w:left w:val="nil"/>
              <w:bottom w:val="nil"/>
            </w:tcBorders>
            <w:shd w:val="clear" w:color="auto" w:fill="auto"/>
          </w:tcPr>
          <w:p w:rsidR="0017135D" w:rsidRPr="00317C5F" w:rsidP="00F71807">
            <w:pPr>
              <w:pStyle w:val="CSbody0bold"/>
            </w:pPr>
            <w:r w:rsidRPr="00317C5F">
              <w:t>Issuer Call</w:t>
            </w:r>
          </w:p>
        </w:tc>
        <w:tc>
          <w:tcPr>
            <w:tcW w:w="1618" w:type="dxa"/>
            <w:gridSpan w:val="2"/>
            <w:tcBorders>
              <w:top w:val="nil"/>
              <w:bottom w:val="nil"/>
              <w:right w:val="nil"/>
            </w:tcBorders>
            <w:shd w:val="clear" w:color="auto" w:fill="auto"/>
          </w:tcPr>
          <w:p w:rsidR="0017135D" w:rsidRPr="00F436A1" w:rsidP="00F71807">
            <w:pPr>
              <w:pStyle w:val="CSbody0bold"/>
            </w:pPr>
            <w:r w:rsidRPr="00F436A1">
              <w:t>C.2</w:t>
            </w:r>
          </w:p>
        </w:tc>
        <w:tc>
          <w:tcPr>
            <w:tcW w:w="3318" w:type="dxa"/>
            <w:gridSpan w:val="10"/>
            <w:tcBorders>
              <w:top w:val="nil"/>
              <w:left w:val="nil"/>
              <w:bottom w:val="nil"/>
              <w:right w:val="nil"/>
            </w:tcBorders>
            <w:shd w:val="clear" w:color="auto" w:fill="auto"/>
          </w:tcPr>
          <w:p w:rsidR="0017135D" w:rsidRPr="002D3729" w:rsidP="00F71807">
            <w:pPr>
              <w:pStyle w:val="CSbody0bold"/>
            </w:pPr>
            <w:r w:rsidRPr="002D3729">
              <w:t>Kündigungsrecht der Emittentin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9D" w:rsidP="00F71807">
            <w:pPr>
              <w:pStyle w:val="CSBody8pt"/>
            </w:pPr>
            <w:r w:rsidRPr="0067159D">
              <w:t>Issuer Call Option</w:t>
            </w:r>
            <w:r>
              <w:fldChar w:fldCharType="begin"/>
            </w:r>
            <w:r>
              <w:instrText xml:space="preserve"> XE "</w:instrText>
            </w:r>
            <w:r w:rsidRPr="00E95D93">
              <w:instrText>Issuer Call Option</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67159D" w:rsidP="00F71807">
            <w:pPr>
              <w:pStyle w:val="CSBody8ptbolditalics"/>
            </w:pPr>
            <w:r w:rsidRPr="00792D61">
              <w:t>[</w:t>
            </w:r>
            <w:r w:rsidRPr="0067159D">
              <w:t>In the case of Complex Products with an Issuer Call Option, insert the following text:</w:t>
            </w:r>
          </w:p>
        </w:tc>
        <w:tc>
          <w:tcPr>
            <w:tcW w:w="1618" w:type="dxa"/>
            <w:gridSpan w:val="2"/>
            <w:tcBorders>
              <w:top w:val="nil"/>
              <w:bottom w:val="nil"/>
              <w:right w:val="nil"/>
            </w:tcBorders>
            <w:shd w:val="clear" w:color="auto" w:fill="auto"/>
          </w:tcPr>
          <w:p w:rsidR="0017135D" w:rsidRPr="0067159D" w:rsidP="00F71807">
            <w:pPr>
              <w:pStyle w:val="CSBody8pt"/>
            </w:pPr>
            <w:r w:rsidRPr="0067159D">
              <w:t>Kündigungsrecht der Emittentin</w:t>
            </w:r>
            <w:r>
              <w:fldChar w:fldCharType="begin"/>
            </w:r>
            <w:r>
              <w:instrText xml:space="preserve"> XE "</w:instrText>
            </w:r>
            <w:r w:rsidRPr="00755DBA">
              <w:instrText>Kündigungsrecht der Emittentin</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2B2264" w:rsidP="00F71807">
            <w:pPr>
              <w:pStyle w:val="CSBody8ptbolditalics"/>
              <w:rPr>
                <w:lang w:val="de-DE"/>
              </w:rPr>
            </w:pPr>
            <w:r w:rsidRPr="00792D61">
              <w:rPr>
                <w:lang w:val="de-DE"/>
              </w:rPr>
              <w:t>[</w:t>
            </w:r>
            <w:r w:rsidRPr="0067159D">
              <w:rPr>
                <w:lang w:val="de-DE"/>
              </w:rPr>
              <w:t>bei Komplexen Produkten mit Kündigungsrecht der Emittentin ist der nachfolgende Text einzufügen: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B2264" w:rsidP="00F71807">
            <w:pPr>
              <w:pStyle w:val="CSBody8pt"/>
              <w:rPr>
                <w:b/>
                <w:lang w:val="de-DE"/>
              </w:rPr>
            </w:pPr>
          </w:p>
        </w:tc>
        <w:tc>
          <w:tcPr>
            <w:tcW w:w="3315" w:type="dxa"/>
            <w:gridSpan w:val="7"/>
            <w:tcBorders>
              <w:top w:val="nil"/>
              <w:left w:val="nil"/>
              <w:bottom w:val="nil"/>
            </w:tcBorders>
            <w:shd w:val="clear" w:color="auto" w:fill="auto"/>
          </w:tcPr>
          <w:p w:rsidR="0017135D" w:rsidP="00F71807">
            <w:pPr>
              <w:pStyle w:val="CSBody8pt"/>
            </w:pPr>
            <w:r w:rsidRPr="00317C5F">
              <w:t xml:space="preserve">Unless previously redeemed, repurchased or cancelled, the Issuer may early redeem the Complex Products in whole, but not in part, on </w:t>
            </w:r>
            <w:r w:rsidRPr="00792D61">
              <w:rPr>
                <w:b/>
              </w:rPr>
              <w:t>[</w:t>
            </w:r>
            <w:r w:rsidRPr="00317C5F">
              <w:t>the</w:t>
            </w:r>
            <w:r w:rsidRPr="00792D61">
              <w:rPr>
                <w:b/>
              </w:rPr>
              <w:t>][</w:t>
            </w:r>
            <w:r w:rsidRPr="00317C5F">
              <w:t>any</w:t>
            </w:r>
            <w:r w:rsidRPr="00792D61">
              <w:rPr>
                <w:b/>
              </w:rPr>
              <w:t>]</w:t>
            </w:r>
            <w:r w:rsidRPr="00317C5F">
              <w:t xml:space="preserve"> Optional Early Redemption Date at the </w:t>
            </w:r>
            <w:r w:rsidRPr="00792D61">
              <w:rPr>
                <w:b/>
              </w:rPr>
              <w:t>[</w:t>
            </w:r>
            <w:r w:rsidRPr="00317C5F">
              <w:t>relevant</w:t>
            </w:r>
            <w:r w:rsidRPr="00792D61">
              <w:rPr>
                <w:b/>
              </w:rPr>
              <w:t>]</w:t>
            </w:r>
            <w:r w:rsidRPr="00317C5F">
              <w:t xml:space="preserve"> Optional Early Redemption Price, provided that the Issuer has exercised such right on the </w:t>
            </w:r>
            <w:r w:rsidRPr="00792D61">
              <w:rPr>
                <w:b/>
              </w:rPr>
              <w:t>[</w:t>
            </w:r>
            <w:r w:rsidRPr="00317C5F">
              <w:t>relevant</w:t>
            </w:r>
            <w:r w:rsidRPr="00792D61">
              <w:rPr>
                <w:b/>
              </w:rPr>
              <w:t>]</w:t>
            </w:r>
            <w:r w:rsidRPr="00317C5F">
              <w:t xml:space="preserve"> Call Option Exercise Date by notifying the Holders in accordance with Section 8.</w:t>
            </w:r>
            <w:r w:rsidRPr="00792D61">
              <w:rPr>
                <w:b/>
              </w:rPr>
              <w:t>]</w:t>
            </w:r>
          </w:p>
        </w:tc>
        <w:tc>
          <w:tcPr>
            <w:tcW w:w="1618" w:type="dxa"/>
            <w:gridSpan w:val="2"/>
            <w:tcBorders>
              <w:top w:val="nil"/>
              <w:bottom w:val="nil"/>
              <w:right w:val="nil"/>
            </w:tcBorders>
            <w:shd w:val="clear" w:color="auto" w:fill="auto"/>
          </w:tcPr>
          <w:p w:rsidR="0017135D" w:rsidRPr="002B2264" w:rsidP="00F71807">
            <w:pPr>
              <w:pStyle w:val="CSBody8pt"/>
              <w:rPr>
                <w:b/>
                <w:i/>
              </w:rPr>
            </w:pPr>
          </w:p>
        </w:tc>
        <w:tc>
          <w:tcPr>
            <w:tcW w:w="3318" w:type="dxa"/>
            <w:gridSpan w:val="10"/>
            <w:tcBorders>
              <w:top w:val="nil"/>
              <w:left w:val="nil"/>
              <w:bottom w:val="nil"/>
              <w:right w:val="nil"/>
            </w:tcBorders>
            <w:shd w:val="clear" w:color="auto" w:fill="auto"/>
          </w:tcPr>
          <w:p w:rsidR="0017135D" w:rsidRPr="002B2264" w:rsidP="00F71807">
            <w:pPr>
              <w:pStyle w:val="CSBody8pt"/>
              <w:rPr>
                <w:lang w:val="de-DE"/>
              </w:rPr>
            </w:pPr>
            <w:r w:rsidRPr="002B2264">
              <w:rPr>
                <w:lang w:val="de-DE"/>
              </w:rPr>
              <w:t xml:space="preserve">Komplexe Produkte, die nicht bereits zuvor zurückgezahlt, zurückgekauft oder entwertet wurden, können von der Emittentin insgesamt, aber nicht teilweise an </w:t>
            </w:r>
            <w:r w:rsidRPr="00792D61">
              <w:rPr>
                <w:b/>
                <w:lang w:val="de-DE"/>
              </w:rPr>
              <w:t>[</w:t>
            </w:r>
            <w:r w:rsidRPr="002B2264">
              <w:rPr>
                <w:lang w:val="de-DE"/>
              </w:rPr>
              <w:t>dem</w:t>
            </w:r>
            <w:r w:rsidRPr="00792D61">
              <w:rPr>
                <w:b/>
                <w:lang w:val="de-DE"/>
              </w:rPr>
              <w:t>][</w:t>
            </w:r>
            <w:r w:rsidRPr="002B2264">
              <w:rPr>
                <w:lang w:val="de-DE"/>
              </w:rPr>
              <w:t>einem</w:t>
            </w:r>
            <w:r w:rsidRPr="00792D61">
              <w:rPr>
                <w:b/>
                <w:lang w:val="de-DE"/>
              </w:rPr>
              <w:t>]</w:t>
            </w:r>
            <w:r w:rsidRPr="002B2264">
              <w:rPr>
                <w:lang w:val="de-DE"/>
              </w:rPr>
              <w:t xml:space="preserve"> Rückzahlungstag bei Ausübung des Kündigungsrechts zum </w:t>
            </w:r>
            <w:r w:rsidRPr="00792D61">
              <w:rPr>
                <w:b/>
                <w:lang w:val="de-DE"/>
              </w:rPr>
              <w:t>[</w:t>
            </w:r>
            <w:r w:rsidRPr="002B2264">
              <w:rPr>
                <w:lang w:val="de-DE"/>
              </w:rPr>
              <w:t>jeweiligen</w:t>
            </w:r>
            <w:r w:rsidRPr="00792D61">
              <w:rPr>
                <w:b/>
                <w:lang w:val="de-DE"/>
              </w:rPr>
              <w:t>]</w:t>
            </w:r>
            <w:r w:rsidRPr="002B2264">
              <w:rPr>
                <w:lang w:val="de-DE"/>
              </w:rPr>
              <w:t xml:space="preserve"> Rückzahlungsbetrag bei Ausübung des Kündigungsrechts vorzeitig zurückgezahlt werden, vorausgesetzt, die Emittentin hat dieses Recht an dem </w:t>
            </w:r>
            <w:r w:rsidRPr="00792D61">
              <w:rPr>
                <w:b/>
                <w:lang w:val="de-DE"/>
              </w:rPr>
              <w:t>[</w:t>
            </w:r>
            <w:r w:rsidRPr="002B2264">
              <w:rPr>
                <w:lang w:val="de-DE"/>
              </w:rPr>
              <w:t>jeweiligen</w:t>
            </w:r>
            <w:r w:rsidRPr="00792D61">
              <w:rPr>
                <w:b/>
                <w:lang w:val="de-DE"/>
              </w:rPr>
              <w:t>]</w:t>
            </w:r>
            <w:r w:rsidRPr="002B2264">
              <w:rPr>
                <w:lang w:val="de-DE"/>
              </w:rPr>
              <w:t xml:space="preserve"> Ausübungstag für das Kündigungsrecht durch Mitteilung an die Inhaber gemäss Ziffer 8 ausgeübt.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B2264" w:rsidP="00F71807">
            <w:pPr>
              <w:pStyle w:val="CSBody8ptbolditalics"/>
              <w:rPr>
                <w:lang w:val="de-DE"/>
              </w:rPr>
            </w:pPr>
          </w:p>
        </w:tc>
        <w:tc>
          <w:tcPr>
            <w:tcW w:w="3315" w:type="dxa"/>
            <w:gridSpan w:val="7"/>
            <w:tcBorders>
              <w:top w:val="nil"/>
              <w:left w:val="nil"/>
              <w:bottom w:val="nil"/>
            </w:tcBorders>
            <w:shd w:val="clear" w:color="auto" w:fill="auto"/>
          </w:tcPr>
          <w:p w:rsidR="0017135D" w:rsidRPr="002B2264" w:rsidP="00F71807">
            <w:pPr>
              <w:pStyle w:val="CSBody8ptbolditalics"/>
            </w:pPr>
            <w:r w:rsidRPr="00792D61">
              <w:t>[</w:t>
            </w:r>
            <w:r w:rsidRPr="002B2264">
              <w:t>in the case of all other Complex Products, insert the following text:</w:t>
            </w:r>
            <w:r w:rsidRPr="0067159D">
              <w:rPr>
                <w:b w:val="0"/>
                <w:i w:val="0"/>
              </w:rPr>
              <w:t xml:space="preserve"> Not applicable</w:t>
            </w:r>
            <w:r w:rsidRPr="00792D61">
              <w:rPr>
                <w:i w:val="0"/>
              </w:rPr>
              <w:t>]</w:t>
            </w:r>
          </w:p>
        </w:tc>
        <w:tc>
          <w:tcPr>
            <w:tcW w:w="1618" w:type="dxa"/>
            <w:gridSpan w:val="2"/>
            <w:tcBorders>
              <w:top w:val="nil"/>
              <w:bottom w:val="nil"/>
              <w:right w:val="nil"/>
            </w:tcBorders>
            <w:shd w:val="clear" w:color="auto" w:fill="auto"/>
          </w:tcPr>
          <w:p w:rsidR="0017135D" w:rsidRPr="002B2264" w:rsidP="00F71807">
            <w:pPr>
              <w:pStyle w:val="CSBody8ptbolditalics"/>
            </w:pPr>
          </w:p>
        </w:tc>
        <w:tc>
          <w:tcPr>
            <w:tcW w:w="3318" w:type="dxa"/>
            <w:gridSpan w:val="10"/>
            <w:tcBorders>
              <w:top w:val="nil"/>
              <w:left w:val="nil"/>
              <w:bottom w:val="nil"/>
              <w:right w:val="nil"/>
            </w:tcBorders>
            <w:shd w:val="clear" w:color="auto" w:fill="auto"/>
          </w:tcPr>
          <w:p w:rsidR="0017135D" w:rsidRPr="002B2264" w:rsidP="00F71807">
            <w:pPr>
              <w:pStyle w:val="CSBody8ptbolditalics"/>
              <w:rPr>
                <w:bCs/>
                <w:lang w:val="de-DE"/>
              </w:rPr>
            </w:pPr>
            <w:r w:rsidRPr="00792D61">
              <w:rPr>
                <w:bCs/>
                <w:lang w:val="de-DE"/>
              </w:rPr>
              <w:t>[</w:t>
            </w:r>
            <w:r w:rsidRPr="002B2264">
              <w:rPr>
                <w:bCs/>
                <w:lang w:val="de-DE"/>
              </w:rPr>
              <w:t>bei allen anderen Komplexen Produkten ist der nachfolgende Text einzufügen:</w:t>
            </w:r>
            <w:r w:rsidRPr="0067159D">
              <w:rPr>
                <w:b w:val="0"/>
                <w:bCs/>
                <w:i w:val="0"/>
                <w:lang w:val="de-DE"/>
              </w:rPr>
              <w:t xml:space="preserve"> Nicht anwendbar</w:t>
            </w:r>
            <w:r w:rsidRPr="00792D61">
              <w:rPr>
                <w:bCs/>
                <w:i w:val="0"/>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53568B" w:rsidP="00F71807">
            <w:pPr>
              <w:pStyle w:val="CSBody8ptbolditalics"/>
            </w:pPr>
            <w:r w:rsidRPr="00792D61">
              <w:t>[</w:t>
            </w:r>
            <w:r w:rsidRPr="0053568B">
              <w:t>in the case of Complex Products for which Issuer Call Option is applicable, insert the following definitions through the second table, as applicable:</w:t>
            </w:r>
          </w:p>
        </w:tc>
        <w:tc>
          <w:tcPr>
            <w:tcW w:w="4936" w:type="dxa"/>
            <w:gridSpan w:val="12"/>
            <w:tcBorders>
              <w:top w:val="nil"/>
              <w:bottom w:val="nil"/>
              <w:right w:val="nil"/>
            </w:tcBorders>
            <w:shd w:val="clear" w:color="auto" w:fill="auto"/>
          </w:tcPr>
          <w:p w:rsidR="0017135D" w:rsidRPr="002B2264" w:rsidP="00F71807">
            <w:pPr>
              <w:pStyle w:val="CSBody8ptbolditalics"/>
              <w:rPr>
                <w:lang w:val="de-DE"/>
              </w:rPr>
            </w:pPr>
            <w:r w:rsidRPr="00792D61">
              <w:rPr>
                <w:lang w:val="de-DE"/>
              </w:rPr>
              <w:t>[</w:t>
            </w:r>
            <w:r w:rsidRPr="002B2264">
              <w:rPr>
                <w:lang w:val="de-DE"/>
              </w:rPr>
              <w:t>bei Komplexen Produkten mit Kündigungsrecht der Emittentin die folgenden Definitionen bis zur zweiten Tabelle einfügen, soweit jeweils anwendbar: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9D" w:rsidP="00F71807">
            <w:pPr>
              <w:pStyle w:val="CSBody8pt"/>
            </w:pPr>
            <w:r w:rsidRPr="0067159D">
              <w:t>Call Option Exercise Date(s)</w:t>
            </w:r>
            <w:r>
              <w:fldChar w:fldCharType="begin"/>
            </w:r>
            <w:r>
              <w:instrText xml:space="preserve"> XE "</w:instrText>
            </w:r>
            <w:r w:rsidRPr="009C2ADB">
              <w:instrText>Call Option Exercise Date(s)</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67159D" w:rsidP="00F71807">
            <w:pPr>
              <w:pStyle w:val="CSBody8pt"/>
            </w:pPr>
            <w:r w:rsidRPr="00792D61">
              <w:rPr>
                <w:b/>
              </w:rPr>
              <w:t>[</w:t>
            </w:r>
            <w:r w:rsidRPr="0067159D">
              <w:rPr>
                <w:b/>
                <w:i/>
              </w:rPr>
              <w:t>in the case of one Optional Early Redemption Date:</w:t>
            </w:r>
            <w:r w:rsidRPr="0067159D">
              <w:t xml:space="preserve"> </w:t>
            </w:r>
            <w:r w:rsidRPr="00792D61">
              <w:rPr>
                <w:b/>
              </w:rPr>
              <w:t>[</w:t>
            </w:r>
            <w:r w:rsidRPr="0067159D">
              <w:rPr>
                <w:rFonts w:ascii="Arial" w:hAnsi="Arial" w:cs="Arial"/>
              </w:rPr>
              <w:t>●</w:t>
            </w:r>
            <w:r w:rsidRPr="00792D61">
              <w:rPr>
                <w:b/>
              </w:rPr>
              <w:t>]</w:t>
            </w:r>
            <w:r w:rsidRPr="0067159D">
              <w:t>, being the date on which the Issuer must exercise its Issuer Call Option in order to early redeem each Complex Product at the Optional Early Redemption Price on the Optional Early Redemption Date (unless the Complex Products are redeemed, repurchased or cancelled prior to such date).</w:t>
            </w:r>
            <w:r w:rsidRPr="00792D61">
              <w:rPr>
                <w:b/>
              </w:rPr>
              <w:t>]</w:t>
            </w:r>
          </w:p>
        </w:tc>
        <w:tc>
          <w:tcPr>
            <w:tcW w:w="1618" w:type="dxa"/>
            <w:gridSpan w:val="2"/>
            <w:tcBorders>
              <w:top w:val="nil"/>
              <w:bottom w:val="nil"/>
              <w:right w:val="nil"/>
            </w:tcBorders>
            <w:shd w:val="clear" w:color="auto" w:fill="auto"/>
          </w:tcPr>
          <w:p w:rsidR="0017135D" w:rsidRPr="00F134DE" w:rsidP="00F134DE">
            <w:pPr>
              <w:pStyle w:val="CSBody8pt"/>
              <w:rPr>
                <w:lang w:val="de-DE"/>
              </w:rPr>
            </w:pPr>
            <w:r w:rsidRPr="00F134DE">
              <w:rPr>
                <w:lang w:val="de-DE"/>
              </w:rPr>
              <w:t>Ausübungstag(e) für das Kündigungsrecht</w:t>
            </w:r>
            <w:r>
              <w:fldChar w:fldCharType="begin"/>
            </w:r>
            <w:r w:rsidRPr="00F134DE">
              <w:rPr>
                <w:lang w:val="de-DE"/>
              </w:rPr>
              <w:instrText xml:space="preserve"> XE "Ausübungstag(e) für das Kündigungsrecht" </w:instrText>
            </w:r>
            <w:r>
              <w:fldChar w:fldCharType="end"/>
            </w:r>
          </w:p>
          <w:p w:rsidR="0017135D" w:rsidRPr="00F134DE" w:rsidP="00F134DE">
            <w:pPr>
              <w:pStyle w:val="CSBody8pt"/>
              <w:rPr>
                <w:lang w:val="de-DE"/>
              </w:rPr>
            </w:pPr>
          </w:p>
        </w:tc>
        <w:tc>
          <w:tcPr>
            <w:tcW w:w="3318" w:type="dxa"/>
            <w:gridSpan w:val="10"/>
            <w:tcBorders>
              <w:top w:val="nil"/>
              <w:left w:val="nil"/>
              <w:bottom w:val="nil"/>
              <w:right w:val="nil"/>
            </w:tcBorders>
            <w:shd w:val="clear" w:color="auto" w:fill="auto"/>
          </w:tcPr>
          <w:p w:rsidR="0017135D" w:rsidRPr="002B2264" w:rsidP="00F71807">
            <w:pPr>
              <w:pStyle w:val="CSBody8pt"/>
              <w:rPr>
                <w:lang w:val="de-DE"/>
              </w:rPr>
            </w:pPr>
            <w:r w:rsidRPr="00792D61">
              <w:rPr>
                <w:b/>
                <w:lang w:val="de-DE"/>
              </w:rPr>
              <w:t>[</w:t>
            </w:r>
            <w:r w:rsidRPr="0067159D">
              <w:rPr>
                <w:b/>
                <w:i/>
                <w:lang w:val="de-DE"/>
              </w:rPr>
              <w:t>bei nur einem Rückzahlungstag bei Ausübung des Kündigungsrechts:</w:t>
            </w:r>
            <w:r w:rsidRPr="0067159D">
              <w:rPr>
                <w:lang w:val="de-DE"/>
              </w:rPr>
              <w:t xml:space="preserve"> </w:t>
            </w:r>
            <w:r w:rsidRPr="00792D61">
              <w:rPr>
                <w:b/>
                <w:lang w:val="de-DE"/>
              </w:rPr>
              <w:t>[</w:t>
            </w:r>
            <w:r w:rsidRPr="0067159D">
              <w:rPr>
                <w:rFonts w:ascii="Arial" w:hAnsi="Arial" w:cs="Arial"/>
                <w:lang w:val="de-DE"/>
              </w:rPr>
              <w:t>●</w:t>
            </w:r>
            <w:r w:rsidRPr="00792D61">
              <w:rPr>
                <w:b/>
                <w:lang w:val="de-DE"/>
              </w:rPr>
              <w:t>]</w:t>
            </w:r>
            <w:r w:rsidRPr="0067159D">
              <w:rPr>
                <w:lang w:val="de-DE"/>
              </w:rPr>
              <w:t>; an diesem Tag muss die Emittentin das K</w:t>
            </w:r>
            <w:r w:rsidRPr="0067159D">
              <w:rPr>
                <w:rFonts w:cs="Credit Suisse Type Light"/>
                <w:lang w:val="de-DE"/>
              </w:rPr>
              <w:t>ü</w:t>
            </w:r>
            <w:r w:rsidRPr="0067159D">
              <w:rPr>
                <w:lang w:val="de-DE"/>
              </w:rPr>
              <w:t>ndigungsrecht der Emittentin aus</w:t>
            </w:r>
            <w:r w:rsidRPr="0067159D">
              <w:rPr>
                <w:rFonts w:cs="Credit Suisse Type Light"/>
                <w:lang w:val="de-DE"/>
              </w:rPr>
              <w:t>ü</w:t>
            </w:r>
            <w:r w:rsidRPr="0067159D">
              <w:rPr>
                <w:lang w:val="de-DE"/>
              </w:rPr>
              <w:t>ben, um jedes Komplexe Produkt am R</w:t>
            </w:r>
            <w:r w:rsidRPr="0067159D">
              <w:rPr>
                <w:rFonts w:cs="Credit Suisse Type Light"/>
                <w:lang w:val="de-DE"/>
              </w:rPr>
              <w:t>ü</w:t>
            </w:r>
            <w:r w:rsidRPr="0067159D">
              <w:rPr>
                <w:lang w:val="de-DE"/>
              </w:rPr>
              <w:t>ckzahlungstag bei Aus</w:t>
            </w:r>
            <w:r w:rsidRPr="0067159D">
              <w:rPr>
                <w:rFonts w:cs="Credit Suisse Type Light"/>
                <w:lang w:val="de-DE"/>
              </w:rPr>
              <w:t>ü</w:t>
            </w:r>
            <w:r w:rsidRPr="0067159D">
              <w:rPr>
                <w:lang w:val="de-DE"/>
              </w:rPr>
              <w:t>bung des K</w:t>
            </w:r>
            <w:r w:rsidRPr="0067159D">
              <w:rPr>
                <w:rFonts w:cs="Credit Suisse Type Light"/>
                <w:lang w:val="de-DE"/>
              </w:rPr>
              <w:t>ü</w:t>
            </w:r>
            <w:r w:rsidRPr="0067159D">
              <w:rPr>
                <w:lang w:val="de-DE"/>
              </w:rPr>
              <w:t>ndigungsrechts zum R</w:t>
            </w:r>
            <w:r w:rsidRPr="0067159D">
              <w:rPr>
                <w:rFonts w:cs="Credit Suisse Type Light"/>
                <w:lang w:val="de-DE"/>
              </w:rPr>
              <w:t>ü</w:t>
            </w:r>
            <w:r w:rsidRPr="0067159D">
              <w:rPr>
                <w:lang w:val="de-DE"/>
              </w:rPr>
              <w:t>ckzahlungsbetrag bei Ausübung des Kündigungsrechts vorzeitig zurückzahlen zu können (soweit die Komplexen Produkte nicht bereits zuvor zurückgezahlt, zurückgekauft oder entwertet wurden).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B2264" w:rsidP="00F71807">
            <w:pPr>
              <w:pStyle w:val="CSBody8ptbolditalics"/>
              <w:rPr>
                <w:lang w:val="de-DE"/>
              </w:rPr>
            </w:pPr>
          </w:p>
        </w:tc>
        <w:tc>
          <w:tcPr>
            <w:tcW w:w="3315" w:type="dxa"/>
            <w:gridSpan w:val="7"/>
            <w:tcBorders>
              <w:top w:val="nil"/>
              <w:left w:val="nil"/>
              <w:bottom w:val="nil"/>
            </w:tcBorders>
            <w:shd w:val="clear" w:color="auto" w:fill="auto"/>
          </w:tcPr>
          <w:p w:rsidR="0017135D" w:rsidRPr="00F22D44" w:rsidP="00F71807">
            <w:pPr>
              <w:pStyle w:val="CSBody8ptbolditalics"/>
            </w:pPr>
            <w:r w:rsidRPr="00792D61">
              <w:t>[</w:t>
            </w:r>
            <w:r w:rsidRPr="00F22D44">
              <w:t>in the case of multiple Optional Early Redemption Dates:</w:t>
            </w:r>
          </w:p>
        </w:tc>
        <w:tc>
          <w:tcPr>
            <w:tcW w:w="1618" w:type="dxa"/>
            <w:gridSpan w:val="2"/>
            <w:tcBorders>
              <w:top w:val="nil"/>
              <w:bottom w:val="nil"/>
              <w:right w:val="nil"/>
            </w:tcBorders>
            <w:shd w:val="clear" w:color="auto" w:fill="auto"/>
          </w:tcPr>
          <w:p w:rsidR="0017135D" w:rsidRPr="002B2264" w:rsidP="00F71807">
            <w:pPr>
              <w:pStyle w:val="CSBody8ptbolditalics"/>
            </w:pPr>
          </w:p>
        </w:tc>
        <w:tc>
          <w:tcPr>
            <w:tcW w:w="3318" w:type="dxa"/>
            <w:gridSpan w:val="10"/>
            <w:tcBorders>
              <w:top w:val="nil"/>
              <w:left w:val="nil"/>
              <w:bottom w:val="nil"/>
              <w:right w:val="nil"/>
            </w:tcBorders>
            <w:shd w:val="clear" w:color="auto" w:fill="auto"/>
          </w:tcPr>
          <w:p w:rsidR="0017135D" w:rsidRPr="002B2264" w:rsidP="00F71807">
            <w:pPr>
              <w:pStyle w:val="CSBody8ptbolditalics"/>
              <w:rPr>
                <w:lang w:val="de-DE"/>
              </w:rPr>
            </w:pPr>
            <w:r w:rsidRPr="00792D61">
              <w:rPr>
                <w:lang w:val="de-DE"/>
              </w:rPr>
              <w:t>[</w:t>
            </w:r>
            <w:r w:rsidRPr="002B2264">
              <w:rPr>
                <w:lang w:val="de-DE"/>
              </w:rPr>
              <w:t>bei mehreren Rückzahlungstagen bei Ausübung des Kündigungsrechts:</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B2264" w:rsidP="00F71807">
            <w:pPr>
              <w:pStyle w:val="CSBody8pt"/>
              <w:rPr>
                <w:lang w:val="de-DE"/>
              </w:rPr>
            </w:pPr>
          </w:p>
        </w:tc>
        <w:tc>
          <w:tcPr>
            <w:tcW w:w="3315" w:type="dxa"/>
            <w:gridSpan w:val="7"/>
            <w:tcBorders>
              <w:top w:val="nil"/>
              <w:left w:val="nil"/>
              <w:bottom w:val="nil"/>
            </w:tcBorders>
            <w:shd w:val="clear" w:color="auto" w:fill="auto"/>
          </w:tcPr>
          <w:p w:rsidR="0017135D" w:rsidP="00F71807">
            <w:pPr>
              <w:pStyle w:val="CSBody8pt"/>
            </w:pPr>
            <w:r w:rsidRPr="00792D61">
              <w:rPr>
                <w:b/>
              </w:rPr>
              <w:t>[</w:t>
            </w:r>
            <w:r w:rsidRPr="00F71807">
              <w:rPr>
                <w:b/>
                <w:i/>
              </w:rPr>
              <w:t>Alternative 1:</w:t>
            </w:r>
            <w:r w:rsidRPr="00F22D44">
              <w:t xml:space="preserve"> with respect to any Optional Early Redemption Date, the relevant Call Option Exercise Date specified in the table below, being the date on which the Issuer must exercise its Issuer Call Option in order to early redeem each Complex Product at the Optional Early Redemption Price on such Optional Early Redemption Date (unless the Complex Products are redeemed, repurchased or cancelled prior to such date).</w:t>
            </w:r>
            <w:r w:rsidRPr="00792D61">
              <w:rPr>
                <w:b/>
              </w:rPr>
              <w:t>]</w:t>
            </w:r>
          </w:p>
        </w:tc>
        <w:tc>
          <w:tcPr>
            <w:tcW w:w="1618" w:type="dxa"/>
            <w:gridSpan w:val="2"/>
            <w:tcBorders>
              <w:top w:val="nil"/>
              <w:bottom w:val="nil"/>
              <w:right w:val="nil"/>
            </w:tcBorders>
            <w:shd w:val="clear" w:color="auto" w:fill="auto"/>
          </w:tcPr>
          <w:p w:rsidR="0017135D" w:rsidRPr="002B2264" w:rsidP="00F71807">
            <w:pPr>
              <w:pStyle w:val="CSBody8pt"/>
              <w:rPr>
                <w:i/>
              </w:rPr>
            </w:pPr>
          </w:p>
        </w:tc>
        <w:tc>
          <w:tcPr>
            <w:tcW w:w="3318" w:type="dxa"/>
            <w:gridSpan w:val="10"/>
            <w:tcBorders>
              <w:top w:val="nil"/>
              <w:left w:val="nil"/>
              <w:bottom w:val="nil"/>
              <w:right w:val="nil"/>
            </w:tcBorders>
            <w:shd w:val="clear" w:color="auto" w:fill="auto"/>
          </w:tcPr>
          <w:p w:rsidR="0017135D" w:rsidRPr="002B2264" w:rsidP="0094769A">
            <w:pPr>
              <w:pStyle w:val="CSBody8pt"/>
              <w:rPr>
                <w:lang w:val="de-DE"/>
              </w:rPr>
            </w:pPr>
            <w:r w:rsidRPr="00792D61">
              <w:rPr>
                <w:b/>
                <w:lang w:val="de-DE"/>
              </w:rPr>
              <w:t>[</w:t>
            </w:r>
            <w:r w:rsidRPr="00F71807">
              <w:rPr>
                <w:b/>
                <w:i/>
                <w:lang w:val="de-DE"/>
              </w:rPr>
              <w:t>Alternative 1:</w:t>
            </w:r>
            <w:r w:rsidRPr="002B2264">
              <w:rPr>
                <w:lang w:val="de-DE"/>
              </w:rPr>
              <w:t xml:space="preserve"> in Bezug auf jeden Rückzahlungstag bei Ausübung des Kündigungsrechts der jeweilige Ausübungstag für das Kündigungsrecht wie in untenstehender Tabelle angegeben; an diesem Tag muss die Emittentin das Kündigungsrecht der Emittentin ausüben, um jedes Komplexe Produkt an dem betreffenden Rückzahlungstag bei Ausübung des Kündigungsrechts zum Rückzahlungsbetrag bei Ausübung des Kündigungsrechts vorzeitig zurückzahlen zu können (soweit die Komplexen Produkte nicht bereits zuvor zurückgezahlt, zurückgekauft oder entwertet wurden).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right w:val="nil"/>
            </w:tcBorders>
            <w:shd w:val="clear" w:color="auto" w:fill="auto"/>
          </w:tcPr>
          <w:p w:rsidR="0017135D" w:rsidRPr="009A2A75" w:rsidP="00F71807">
            <w:pPr>
              <w:pStyle w:val="CSBody8pt"/>
              <w:rPr>
                <w:lang w:val="de-DE"/>
              </w:rPr>
            </w:pPr>
          </w:p>
        </w:tc>
        <w:tc>
          <w:tcPr>
            <w:tcW w:w="4936" w:type="dxa"/>
            <w:gridSpan w:val="12"/>
            <w:tcBorders>
              <w:top w:val="nil"/>
              <w:left w:val="nil"/>
              <w:bottom w:val="nil"/>
              <w:right w:val="nil"/>
            </w:tcBorders>
            <w:shd w:val="clear" w:color="auto" w:fill="auto"/>
          </w:tcPr>
          <w:p w:rsidR="0017135D" w:rsidRPr="009A2A75" w:rsidP="00F71807">
            <w:pPr>
              <w:pStyle w:val="CSBody8pt"/>
              <w:rPr>
                <w:lang w:val="de-DE"/>
              </w:rPr>
            </w:pPr>
          </w:p>
        </w:tc>
      </w:tr>
      <w:tr w:rsidTr="004C1EBA">
        <w:tblPrEx>
          <w:tblW w:w="4999" w:type="pct"/>
          <w:tblLayout w:type="fixed"/>
          <w:tblCellMar>
            <w:left w:w="115" w:type="dxa"/>
            <w:right w:w="115" w:type="dxa"/>
          </w:tblCellMar>
          <w:tblLook w:val="04A0"/>
        </w:tblPrEx>
        <w:tc>
          <w:tcPr>
            <w:tcW w:w="1105" w:type="dxa"/>
            <w:gridSpan w:val="3"/>
            <w:tcBorders>
              <w:top w:val="nil"/>
              <w:left w:val="nil"/>
              <w:bottom w:val="nil"/>
            </w:tcBorders>
            <w:shd w:val="clear" w:color="auto" w:fill="auto"/>
          </w:tcPr>
          <w:p w:rsidR="0017135D" w:rsidRPr="009A2A75" w:rsidP="00F71807">
            <w:pPr>
              <w:pStyle w:val="CSBody8pt"/>
              <w:rPr>
                <w:lang w:val="de-DE"/>
              </w:rPr>
            </w:pPr>
          </w:p>
        </w:tc>
        <w:tc>
          <w:tcPr>
            <w:tcW w:w="3826" w:type="dxa"/>
            <w:gridSpan w:val="8"/>
            <w:tcBorders>
              <w:top w:val="single" w:sz="4" w:space="0" w:color="auto"/>
              <w:left w:val="nil"/>
              <w:bottom w:val="single" w:sz="4" w:space="0" w:color="auto"/>
            </w:tcBorders>
            <w:shd w:val="clear" w:color="auto" w:fill="auto"/>
          </w:tcPr>
          <w:p w:rsidR="0017135D" w:rsidRPr="00C32474" w:rsidP="00F71807">
            <w:pPr>
              <w:pStyle w:val="CSBody8pt"/>
            </w:pPr>
            <w:r w:rsidRPr="00C32474">
              <w:t>Optional Early Redemption Date</w:t>
            </w:r>
          </w:p>
        </w:tc>
        <w:tc>
          <w:tcPr>
            <w:tcW w:w="4110" w:type="dxa"/>
            <w:gridSpan w:val="9"/>
            <w:tcBorders>
              <w:top w:val="single" w:sz="4" w:space="0" w:color="auto"/>
              <w:bottom w:val="single" w:sz="4" w:space="0" w:color="auto"/>
              <w:right w:val="nil"/>
            </w:tcBorders>
            <w:shd w:val="clear" w:color="auto" w:fill="auto"/>
          </w:tcPr>
          <w:p w:rsidR="0017135D" w:rsidRPr="007A564F" w:rsidP="00F71807">
            <w:pPr>
              <w:pStyle w:val="CSBody8pt"/>
            </w:pPr>
            <w:r w:rsidRPr="007A564F">
              <w:t>Ausübungstag für das Kündigungsrecht</w:t>
            </w:r>
          </w:p>
        </w:tc>
        <w:tc>
          <w:tcPr>
            <w:tcW w:w="826" w:type="dxa"/>
            <w:gridSpan w:val="3"/>
            <w:tcBorders>
              <w:top w:val="nil"/>
              <w:bottom w:val="nil"/>
              <w:right w:val="nil"/>
            </w:tcBorders>
            <w:shd w:val="clear" w:color="auto" w:fill="auto"/>
          </w:tcPr>
          <w:p w:rsidR="0017135D" w:rsidRPr="009A2A75" w:rsidP="00F71807">
            <w:pPr>
              <w:pStyle w:val="CSBody8pt"/>
              <w:rPr>
                <w:lang w:val="de-DE"/>
              </w:rPr>
            </w:pPr>
          </w:p>
        </w:tc>
      </w:tr>
      <w:tr w:rsidTr="004C1EBA">
        <w:tblPrEx>
          <w:tblW w:w="4999" w:type="pct"/>
          <w:tblLayout w:type="fixed"/>
          <w:tblCellMar>
            <w:left w:w="115" w:type="dxa"/>
            <w:right w:w="115" w:type="dxa"/>
          </w:tblCellMar>
          <w:tblLook w:val="04A0"/>
        </w:tblPrEx>
        <w:tc>
          <w:tcPr>
            <w:tcW w:w="1105" w:type="dxa"/>
            <w:gridSpan w:val="3"/>
            <w:tcBorders>
              <w:top w:val="nil"/>
              <w:left w:val="nil"/>
              <w:bottom w:val="nil"/>
            </w:tcBorders>
            <w:shd w:val="clear" w:color="auto" w:fill="auto"/>
          </w:tcPr>
          <w:p w:rsidR="0017135D" w:rsidRPr="009A2A75" w:rsidP="00F71807">
            <w:pPr>
              <w:pStyle w:val="CSBody8pt"/>
              <w:rPr>
                <w:lang w:val="de-DE"/>
              </w:rPr>
            </w:pPr>
          </w:p>
        </w:tc>
        <w:tc>
          <w:tcPr>
            <w:tcW w:w="3826" w:type="dxa"/>
            <w:gridSpan w:val="8"/>
            <w:tcBorders>
              <w:top w:val="single" w:sz="4" w:space="0" w:color="auto"/>
              <w:left w:val="nil"/>
              <w:bottom w:val="single" w:sz="4" w:space="0" w:color="auto"/>
            </w:tcBorders>
            <w:shd w:val="clear" w:color="auto" w:fill="auto"/>
          </w:tcPr>
          <w:p w:rsidR="0017135D" w:rsidRPr="00C32474" w:rsidP="00F71807">
            <w:pPr>
              <w:pStyle w:val="CSBody8pt"/>
            </w:pPr>
            <w:r w:rsidRPr="00792D61">
              <w:rPr>
                <w:b/>
              </w:rPr>
              <w:t>[</w:t>
            </w:r>
            <w:r w:rsidRPr="00C32474">
              <w:rPr>
                <w:rFonts w:ascii="Arial" w:hAnsi="Arial" w:cs="Arial"/>
              </w:rPr>
              <w:t>●</w:t>
            </w:r>
            <w:r w:rsidRPr="00792D61">
              <w:rPr>
                <w:b/>
              </w:rPr>
              <w:t>]</w:t>
            </w:r>
          </w:p>
        </w:tc>
        <w:tc>
          <w:tcPr>
            <w:tcW w:w="4110" w:type="dxa"/>
            <w:gridSpan w:val="9"/>
            <w:tcBorders>
              <w:top w:val="single" w:sz="4" w:space="0" w:color="auto"/>
              <w:bottom w:val="single" w:sz="4" w:space="0" w:color="auto"/>
              <w:right w:val="nil"/>
            </w:tcBorders>
            <w:shd w:val="clear" w:color="auto" w:fill="auto"/>
          </w:tcPr>
          <w:p w:rsidR="0017135D" w:rsidRPr="007A564F" w:rsidP="00F71807">
            <w:pPr>
              <w:pStyle w:val="CSBody8pt"/>
            </w:pPr>
            <w:r w:rsidRPr="00792D61">
              <w:rPr>
                <w:b/>
              </w:rPr>
              <w:t>[</w:t>
            </w:r>
            <w:r w:rsidRPr="007A564F">
              <w:rPr>
                <w:rFonts w:ascii="Arial" w:hAnsi="Arial" w:cs="Arial"/>
              </w:rPr>
              <w:t>●</w:t>
            </w:r>
            <w:r w:rsidRPr="00792D61">
              <w:rPr>
                <w:b/>
              </w:rPr>
              <w:t>]</w:t>
            </w:r>
          </w:p>
        </w:tc>
        <w:tc>
          <w:tcPr>
            <w:tcW w:w="826" w:type="dxa"/>
            <w:gridSpan w:val="3"/>
            <w:tcBorders>
              <w:top w:val="nil"/>
              <w:bottom w:val="nil"/>
              <w:right w:val="nil"/>
            </w:tcBorders>
            <w:shd w:val="clear" w:color="auto" w:fill="auto"/>
          </w:tcPr>
          <w:p w:rsidR="0017135D" w:rsidRPr="009A2A75" w:rsidP="00F71807">
            <w:pPr>
              <w:pStyle w:val="CSBody8pt"/>
              <w:rPr>
                <w:lang w:val="de-DE"/>
              </w:rPr>
            </w:pPr>
          </w:p>
        </w:tc>
      </w:tr>
      <w:tr w:rsidTr="00BD6E0D">
        <w:tblPrEx>
          <w:tblW w:w="4999" w:type="pct"/>
          <w:tblLayout w:type="fixed"/>
          <w:tblCellMar>
            <w:left w:w="115" w:type="dxa"/>
            <w:right w:w="115" w:type="dxa"/>
          </w:tblCellMar>
          <w:tblLook w:val="04A0"/>
        </w:tblPrEx>
        <w:tc>
          <w:tcPr>
            <w:tcW w:w="1105" w:type="dxa"/>
            <w:gridSpan w:val="3"/>
            <w:tcBorders>
              <w:top w:val="nil"/>
              <w:left w:val="nil"/>
              <w:bottom w:val="nil"/>
            </w:tcBorders>
            <w:shd w:val="clear" w:color="auto" w:fill="auto"/>
          </w:tcPr>
          <w:p w:rsidR="0017135D" w:rsidRPr="009A2A75" w:rsidP="00F71807">
            <w:pPr>
              <w:pStyle w:val="CSBody8pt"/>
              <w:rPr>
                <w:lang w:val="de-DE"/>
              </w:rPr>
            </w:pPr>
          </w:p>
        </w:tc>
        <w:tc>
          <w:tcPr>
            <w:tcW w:w="3826" w:type="dxa"/>
            <w:gridSpan w:val="8"/>
            <w:tcBorders>
              <w:top w:val="single" w:sz="4" w:space="0" w:color="auto"/>
              <w:left w:val="nil"/>
              <w:bottom w:val="single" w:sz="4" w:space="0" w:color="auto"/>
            </w:tcBorders>
            <w:shd w:val="clear" w:color="auto" w:fill="auto"/>
          </w:tcPr>
          <w:p w:rsidR="0017135D" w:rsidP="00F71807">
            <w:pPr>
              <w:pStyle w:val="CSBody8pt"/>
            </w:pPr>
            <w:r w:rsidRPr="00792D61">
              <w:rPr>
                <w:b/>
              </w:rPr>
              <w:t>[</w:t>
            </w:r>
            <w:r w:rsidRPr="00C32474">
              <w:rPr>
                <w:rFonts w:ascii="Arial" w:hAnsi="Arial" w:cs="Arial"/>
              </w:rPr>
              <w:t>●</w:t>
            </w:r>
            <w:r w:rsidRPr="00792D61">
              <w:rPr>
                <w:b/>
              </w:rPr>
              <w:t>]</w:t>
            </w:r>
          </w:p>
        </w:tc>
        <w:tc>
          <w:tcPr>
            <w:tcW w:w="4110" w:type="dxa"/>
            <w:gridSpan w:val="9"/>
            <w:tcBorders>
              <w:top w:val="single" w:sz="4" w:space="0" w:color="auto"/>
              <w:bottom w:val="single" w:sz="4" w:space="0" w:color="auto"/>
              <w:right w:val="nil"/>
            </w:tcBorders>
            <w:shd w:val="clear" w:color="auto" w:fill="auto"/>
          </w:tcPr>
          <w:p w:rsidR="0017135D" w:rsidP="00F71807">
            <w:pPr>
              <w:pStyle w:val="CSBody8pt"/>
            </w:pPr>
            <w:r w:rsidRPr="00792D61">
              <w:rPr>
                <w:b/>
              </w:rPr>
              <w:t>[</w:t>
            </w:r>
            <w:r w:rsidRPr="007A564F">
              <w:rPr>
                <w:rFonts w:ascii="Arial" w:hAnsi="Arial" w:cs="Arial"/>
              </w:rPr>
              <w:t>●</w:t>
            </w:r>
            <w:r w:rsidRPr="00792D61">
              <w:rPr>
                <w:b/>
              </w:rPr>
              <w:t>]</w:t>
            </w:r>
          </w:p>
        </w:tc>
        <w:tc>
          <w:tcPr>
            <w:tcW w:w="826" w:type="dxa"/>
            <w:gridSpan w:val="3"/>
            <w:tcBorders>
              <w:top w:val="nil"/>
              <w:bottom w:val="nil"/>
              <w:right w:val="nil"/>
            </w:tcBorders>
            <w:shd w:val="clear" w:color="auto" w:fill="auto"/>
          </w:tcPr>
          <w:p w:rsidR="0017135D" w:rsidRPr="009A2A75" w:rsidP="00F71807">
            <w:pPr>
              <w:pStyle w:val="CSBody8pt"/>
              <w:rPr>
                <w:lang w:val="de-DE"/>
              </w:rPr>
            </w:pPr>
          </w:p>
        </w:tc>
      </w:tr>
      <w:tr w:rsidTr="00BD6E0D">
        <w:tblPrEx>
          <w:tblW w:w="4999" w:type="pct"/>
          <w:tblLayout w:type="fixed"/>
          <w:tblCellMar>
            <w:left w:w="115" w:type="dxa"/>
            <w:right w:w="115" w:type="dxa"/>
          </w:tblCellMar>
          <w:tblLook w:val="04A0"/>
        </w:tblPrEx>
        <w:tc>
          <w:tcPr>
            <w:tcW w:w="1105" w:type="dxa"/>
            <w:gridSpan w:val="3"/>
            <w:tcBorders>
              <w:top w:val="nil"/>
              <w:left w:val="nil"/>
              <w:bottom w:val="nil"/>
            </w:tcBorders>
            <w:shd w:val="clear" w:color="auto" w:fill="auto"/>
          </w:tcPr>
          <w:p w:rsidR="0017135D" w:rsidRPr="009A2A75" w:rsidP="00F71807">
            <w:pPr>
              <w:pStyle w:val="CSBody8pt"/>
              <w:rPr>
                <w:lang w:val="de-DE"/>
              </w:rPr>
            </w:pPr>
          </w:p>
        </w:tc>
        <w:tc>
          <w:tcPr>
            <w:tcW w:w="3826" w:type="dxa"/>
            <w:gridSpan w:val="8"/>
            <w:tcBorders>
              <w:top w:val="single" w:sz="4" w:space="0" w:color="auto"/>
              <w:left w:val="nil"/>
              <w:bottom w:val="single" w:sz="4" w:space="0" w:color="auto"/>
            </w:tcBorders>
            <w:shd w:val="clear" w:color="auto" w:fill="auto"/>
          </w:tcPr>
          <w:p w:rsidR="0017135D" w:rsidRPr="0067159D" w:rsidP="00F71807">
            <w:pPr>
              <w:pStyle w:val="CSBody8pt"/>
              <w:rPr>
                <w:i/>
              </w:rPr>
            </w:pPr>
            <w:r w:rsidRPr="0067159D">
              <w:rPr>
                <w:i/>
              </w:rPr>
              <w:t>(repeat for each additional Optional Early Redemption Date)</w:t>
            </w:r>
          </w:p>
        </w:tc>
        <w:tc>
          <w:tcPr>
            <w:tcW w:w="4110" w:type="dxa"/>
            <w:gridSpan w:val="9"/>
            <w:tcBorders>
              <w:top w:val="single" w:sz="4" w:space="0" w:color="auto"/>
              <w:bottom w:val="single" w:sz="4" w:space="0" w:color="auto"/>
              <w:right w:val="nil"/>
            </w:tcBorders>
            <w:shd w:val="clear" w:color="auto" w:fill="auto"/>
          </w:tcPr>
          <w:p w:rsidR="0017135D" w:rsidRPr="0067159D" w:rsidP="00F71807">
            <w:pPr>
              <w:pStyle w:val="CSBody8pt"/>
              <w:rPr>
                <w:i/>
                <w:lang w:val="de-DE"/>
              </w:rPr>
            </w:pPr>
            <w:r w:rsidRPr="0067159D">
              <w:rPr>
                <w:i/>
              </w:rPr>
              <w:t xml:space="preserve"> </w:t>
            </w:r>
            <w:r w:rsidRPr="0067159D">
              <w:rPr>
                <w:i/>
                <w:lang w:val="de-DE"/>
              </w:rPr>
              <w:t>(für jeden weiteren Rückzahlungstag bei Ausübung des Kündigungsrechts wiederholen)</w:t>
            </w:r>
          </w:p>
        </w:tc>
        <w:tc>
          <w:tcPr>
            <w:tcW w:w="826" w:type="dxa"/>
            <w:gridSpan w:val="3"/>
            <w:tcBorders>
              <w:top w:val="nil"/>
              <w:bottom w:val="nil"/>
              <w:right w:val="nil"/>
            </w:tcBorders>
            <w:shd w:val="clear" w:color="auto" w:fill="auto"/>
          </w:tcPr>
          <w:p w:rsidR="0017135D" w:rsidRPr="009A2A75" w:rsidP="00F71807">
            <w:pPr>
              <w:pStyle w:val="CSBody8pt"/>
              <w:rPr>
                <w:lang w:val="de-DE"/>
              </w:rPr>
            </w:pP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right w:val="nil"/>
            </w:tcBorders>
            <w:shd w:val="clear" w:color="auto" w:fill="auto"/>
          </w:tcPr>
          <w:p w:rsidR="0017135D" w:rsidRPr="00C16D23" w:rsidP="00F71807">
            <w:pPr>
              <w:pStyle w:val="CSBody8pt"/>
              <w:rPr>
                <w:lang w:val="de-DE"/>
              </w:rPr>
            </w:pPr>
          </w:p>
        </w:tc>
        <w:tc>
          <w:tcPr>
            <w:tcW w:w="4936" w:type="dxa"/>
            <w:gridSpan w:val="12"/>
            <w:tcBorders>
              <w:top w:val="nil"/>
              <w:left w:val="nil"/>
              <w:bottom w:val="nil"/>
              <w:right w:val="nil"/>
            </w:tcBorders>
            <w:shd w:val="clear" w:color="auto" w:fill="auto"/>
          </w:tcPr>
          <w:p w:rsidR="0017135D" w:rsidRPr="002B2264" w:rsidP="00F71807">
            <w:pPr>
              <w:pStyle w:val="CSBody8pt"/>
              <w:rPr>
                <w:lang w:val="de-DE"/>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B2264" w:rsidP="00F71807">
            <w:pPr>
              <w:pStyle w:val="CSBody8pt"/>
              <w:rPr>
                <w:lang w:val="de-DE"/>
              </w:rPr>
            </w:pPr>
          </w:p>
        </w:tc>
        <w:tc>
          <w:tcPr>
            <w:tcW w:w="3315" w:type="dxa"/>
            <w:gridSpan w:val="7"/>
            <w:tcBorders>
              <w:top w:val="nil"/>
              <w:left w:val="nil"/>
              <w:bottom w:val="nil"/>
            </w:tcBorders>
            <w:shd w:val="clear" w:color="auto" w:fill="auto"/>
          </w:tcPr>
          <w:p w:rsidR="0017135D" w:rsidRPr="00D07B8F" w:rsidP="00F71807">
            <w:pPr>
              <w:pStyle w:val="CSBody8pt"/>
            </w:pPr>
            <w:r w:rsidRPr="00792D61">
              <w:rPr>
                <w:b/>
              </w:rPr>
              <w:t>[</w:t>
            </w:r>
            <w:r w:rsidRPr="00F71807">
              <w:rPr>
                <w:b/>
                <w:i/>
              </w:rPr>
              <w:t>Alternative 2:</w:t>
            </w:r>
            <w:r w:rsidRPr="00D07B8F">
              <w:t xml:space="preserve"> with respect to any Optional Early Redemption Date, the date that is four </w:t>
            </w:r>
            <w:r w:rsidRPr="00792D61">
              <w:rPr>
                <w:b/>
              </w:rPr>
              <w:t>[</w:t>
            </w:r>
            <w:r w:rsidRPr="00D07B8F">
              <w:t>TARGET</w:t>
            </w:r>
            <w:r w:rsidRPr="00792D61">
              <w:rPr>
                <w:b/>
              </w:rPr>
              <w:t>]</w:t>
            </w:r>
            <w:r w:rsidRPr="00D07B8F">
              <w:t xml:space="preserve"> Business Days prior to such Optional Early Redemption Date, being the date on which the Issuer must exercise its Issuer Call Option in order to early redeem each Complex Product at the Optional Early Redemption Price on such Optional Early Redemption Date (unless the Complex Products are redeemed, repurchased or cancelled prior to such date).</w:t>
            </w:r>
            <w:r w:rsidRPr="00792D61">
              <w:rPr>
                <w:b/>
              </w:rPr>
              <w:t>]]</w:t>
            </w:r>
          </w:p>
        </w:tc>
        <w:tc>
          <w:tcPr>
            <w:tcW w:w="1618" w:type="dxa"/>
            <w:gridSpan w:val="2"/>
            <w:tcBorders>
              <w:top w:val="nil"/>
              <w:bottom w:val="nil"/>
              <w:right w:val="nil"/>
            </w:tcBorders>
            <w:shd w:val="clear" w:color="auto" w:fill="auto"/>
          </w:tcPr>
          <w:p w:rsidR="0017135D" w:rsidRPr="002B2264" w:rsidP="00F71807">
            <w:pPr>
              <w:pStyle w:val="CSBody8pt"/>
              <w:rPr>
                <w:i/>
              </w:rPr>
            </w:pPr>
          </w:p>
        </w:tc>
        <w:tc>
          <w:tcPr>
            <w:tcW w:w="3318" w:type="dxa"/>
            <w:gridSpan w:val="10"/>
            <w:tcBorders>
              <w:top w:val="nil"/>
              <w:left w:val="nil"/>
              <w:bottom w:val="nil"/>
              <w:right w:val="nil"/>
            </w:tcBorders>
            <w:shd w:val="clear" w:color="auto" w:fill="auto"/>
          </w:tcPr>
          <w:p w:rsidR="0017135D" w:rsidRPr="002B2264" w:rsidP="0094769A">
            <w:pPr>
              <w:pStyle w:val="CSBody8pt"/>
              <w:rPr>
                <w:lang w:val="de-DE"/>
              </w:rPr>
            </w:pPr>
            <w:r w:rsidRPr="00792D61">
              <w:rPr>
                <w:b/>
                <w:lang w:val="de-DE"/>
              </w:rPr>
              <w:t>[</w:t>
            </w:r>
            <w:r w:rsidRPr="00F71807">
              <w:rPr>
                <w:b/>
                <w:i/>
                <w:lang w:val="de-DE"/>
              </w:rPr>
              <w:t>Alternative 2:</w:t>
            </w:r>
            <w:r w:rsidRPr="002B2264">
              <w:rPr>
                <w:lang w:val="de-DE"/>
              </w:rPr>
              <w:t xml:space="preserve"> in Bezug auf einen Rückzahlungstag bei Ausübung des Kündigungsrechts der Tag, der vier </w:t>
            </w:r>
            <w:r w:rsidRPr="00792D61">
              <w:rPr>
                <w:b/>
                <w:lang w:val="de-DE"/>
              </w:rPr>
              <w:t>[</w:t>
            </w:r>
            <w:r w:rsidRPr="002B2264">
              <w:rPr>
                <w:lang w:val="de-DE"/>
              </w:rPr>
              <w:t>TARGET-</w:t>
            </w:r>
            <w:r w:rsidRPr="00792D61">
              <w:rPr>
                <w:b/>
                <w:lang w:val="de-DE"/>
              </w:rPr>
              <w:t>]</w:t>
            </w:r>
            <w:r w:rsidRPr="002B2264">
              <w:rPr>
                <w:lang w:val="de-DE"/>
              </w:rPr>
              <w:t>Geschäftstage vor dem jeweiligen Rückzahlungstag bei Ausübung des Kündigungsrechts liegt; an diesem Tag muss die Emittentin das Kündigungsrecht der Emittentin ausüben, um jedes Komplexe Produkt an dem betreffenden Rückzahlungstag bei Ausübung des Kündigungsrechts zum Rückzahlungsbetrag bei Ausübung des Kündigungsrechts vorzeitig zurückzahlen zu können (soweit die Komplexen Produkte nicht bereits zuvor zurückgezahlt, zurückgekauft oder entwertet wurden).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9D" w:rsidP="00F71807">
            <w:pPr>
              <w:pStyle w:val="CSBody8pt"/>
            </w:pPr>
            <w:r w:rsidRPr="0067159D">
              <w:t>Optional Early Redemption Date(s)</w:t>
            </w:r>
            <w:r>
              <w:fldChar w:fldCharType="begin"/>
            </w:r>
            <w:r>
              <w:instrText xml:space="preserve"> XE "</w:instrText>
            </w:r>
            <w:r w:rsidRPr="00CB4768">
              <w:instrText>Optional Early Redemption Date(s)</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67159D" w:rsidP="00F71807">
            <w:pPr>
              <w:pStyle w:val="CSBody8pt"/>
            </w:pPr>
            <w:r w:rsidRPr="00792D61">
              <w:rPr>
                <w:b/>
              </w:rPr>
              <w:t>[</w:t>
            </w:r>
            <w:r w:rsidRPr="0067159D">
              <w:rPr>
                <w:rFonts w:ascii="Arial" w:hAnsi="Arial" w:cs="Arial"/>
              </w:rPr>
              <w:t>●</w:t>
            </w:r>
            <w:r w:rsidRPr="00792D61">
              <w:rPr>
                <w:b/>
              </w:rPr>
              <w:t>]</w:t>
            </w:r>
            <w:r w:rsidRPr="0067159D">
              <w:t>, being the date(s) on which the Issuer may early redeem each Complex Product at the Optional Early Redemption Price (unless the Complex Products are redeemed, repurchased or cancelled).</w:t>
            </w:r>
          </w:p>
        </w:tc>
        <w:tc>
          <w:tcPr>
            <w:tcW w:w="1618" w:type="dxa"/>
            <w:gridSpan w:val="2"/>
            <w:tcBorders>
              <w:top w:val="nil"/>
              <w:bottom w:val="nil"/>
              <w:right w:val="nil"/>
            </w:tcBorders>
            <w:shd w:val="clear" w:color="auto" w:fill="auto"/>
          </w:tcPr>
          <w:p w:rsidR="0017135D" w:rsidRPr="0067159D" w:rsidP="0094769A">
            <w:pPr>
              <w:pStyle w:val="CSBody8pt"/>
              <w:rPr>
                <w:lang w:val="de-DE"/>
              </w:rPr>
            </w:pPr>
            <w:r w:rsidRPr="0067159D">
              <w:rPr>
                <w:lang w:val="de-DE"/>
              </w:rPr>
              <w:t>Rückzahlungstag</w:t>
            </w:r>
            <w:r>
              <w:rPr>
                <w:lang w:val="de-DE"/>
              </w:rPr>
              <w:t>(e) bei Ausübung des Kündigungs</w:t>
            </w:r>
            <w:r w:rsidRPr="0067159D">
              <w:rPr>
                <w:lang w:val="de-DE"/>
              </w:rPr>
              <w:t>rechts</w:t>
            </w:r>
            <w:r>
              <w:rPr>
                <w:lang w:val="de-DE"/>
              </w:rPr>
              <w:fldChar w:fldCharType="begin"/>
            </w:r>
            <w:r w:rsidRPr="0067159D">
              <w:rPr>
                <w:lang w:val="de-DE"/>
              </w:rPr>
              <w:instrText xml:space="preserve"> XE "</w:instrText>
            </w:r>
            <w:r w:rsidRPr="00F46FAC">
              <w:rPr>
                <w:lang w:val="de-DE"/>
              </w:rPr>
              <w:instrText>Rückzahlungstag(e) bei Ausübung des Kündigungsrechts</w:instrText>
            </w:r>
            <w:r w:rsidRPr="0067159D">
              <w:rPr>
                <w:lang w:val="de-DE"/>
              </w:rPr>
              <w:instrText xml:space="preserve">" </w:instrText>
            </w:r>
            <w:r>
              <w:rPr>
                <w:lang w:val="de-DE"/>
              </w:rPr>
              <w:fldChar w:fldCharType="end"/>
            </w:r>
          </w:p>
        </w:tc>
        <w:tc>
          <w:tcPr>
            <w:tcW w:w="3318" w:type="dxa"/>
            <w:gridSpan w:val="10"/>
            <w:tcBorders>
              <w:top w:val="nil"/>
              <w:left w:val="nil"/>
              <w:bottom w:val="nil"/>
              <w:right w:val="nil"/>
            </w:tcBorders>
            <w:shd w:val="clear" w:color="auto" w:fill="auto"/>
          </w:tcPr>
          <w:p w:rsidR="0017135D" w:rsidRPr="0067159D" w:rsidP="00F71807">
            <w:pPr>
              <w:pStyle w:val="CSBody8pt"/>
              <w:rPr>
                <w:lang w:val="de-DE"/>
              </w:rPr>
            </w:pPr>
            <w:r w:rsidRPr="00792D61">
              <w:rPr>
                <w:b/>
                <w:lang w:val="de-DE"/>
              </w:rPr>
              <w:t>[</w:t>
            </w:r>
            <w:r w:rsidRPr="0067159D">
              <w:rPr>
                <w:rFonts w:ascii="Arial" w:hAnsi="Arial" w:cs="Arial"/>
                <w:lang w:val="de-DE"/>
              </w:rPr>
              <w:t>●</w:t>
            </w:r>
            <w:r w:rsidRPr="00792D61">
              <w:rPr>
                <w:b/>
                <w:lang w:val="de-DE"/>
              </w:rPr>
              <w:t>]</w:t>
            </w:r>
            <w:r w:rsidRPr="0067159D">
              <w:rPr>
                <w:lang w:val="de-DE"/>
              </w:rPr>
              <w:t>; an diesem Tag bzw. diesen Tagen kann die Emittentin jedes Komplexe Produkt zum R</w:t>
            </w:r>
            <w:r w:rsidRPr="0067159D">
              <w:rPr>
                <w:rFonts w:cs="Credit Suisse Type Light"/>
                <w:lang w:val="de-DE"/>
              </w:rPr>
              <w:t>ü</w:t>
            </w:r>
            <w:r w:rsidRPr="0067159D">
              <w:rPr>
                <w:lang w:val="de-DE"/>
              </w:rPr>
              <w:t>ckzahlungsbetrag bei Aus</w:t>
            </w:r>
            <w:r w:rsidRPr="0067159D">
              <w:rPr>
                <w:rFonts w:cs="Credit Suisse Type Light"/>
                <w:lang w:val="de-DE"/>
              </w:rPr>
              <w:t>ü</w:t>
            </w:r>
            <w:r w:rsidRPr="0067159D">
              <w:rPr>
                <w:lang w:val="de-DE"/>
              </w:rPr>
              <w:t>bung des K</w:t>
            </w:r>
            <w:r w:rsidRPr="0067159D">
              <w:rPr>
                <w:rFonts w:cs="Credit Suisse Type Light"/>
                <w:lang w:val="de-DE"/>
              </w:rPr>
              <w:t>ü</w:t>
            </w:r>
            <w:r w:rsidRPr="0067159D">
              <w:rPr>
                <w:lang w:val="de-DE"/>
              </w:rPr>
              <w:t>ndigungsrechts zur</w:t>
            </w:r>
            <w:r w:rsidRPr="0067159D">
              <w:rPr>
                <w:rFonts w:cs="Credit Suisse Type Light"/>
                <w:lang w:val="de-DE"/>
              </w:rPr>
              <w:t>ü</w:t>
            </w:r>
            <w:r w:rsidRPr="0067159D">
              <w:rPr>
                <w:lang w:val="de-DE"/>
              </w:rPr>
              <w:t>ckzahlen (soweit die Komplexen Produkte nicht zur</w:t>
            </w:r>
            <w:r w:rsidRPr="0067159D">
              <w:rPr>
                <w:rFonts w:cs="Credit Suisse Type Light"/>
                <w:lang w:val="de-DE"/>
              </w:rPr>
              <w:t>ü</w:t>
            </w:r>
            <w:r w:rsidRPr="0067159D">
              <w:rPr>
                <w:lang w:val="de-DE"/>
              </w:rPr>
              <w:t>ckgezahlt, zurückgekauft oder entwertet wurden).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9D" w:rsidP="00F71807">
            <w:pPr>
              <w:pStyle w:val="CSBody8pt"/>
              <w:rPr>
                <w:lang w:val="de-DE"/>
              </w:rPr>
            </w:pPr>
            <w:r w:rsidRPr="0067159D">
              <w:rPr>
                <w:lang w:val="de-DE"/>
              </w:rPr>
              <w:t>Optional Early Redemption Price</w:t>
            </w:r>
            <w:r>
              <w:rPr>
                <w:lang w:val="de-DE"/>
              </w:rPr>
              <w:fldChar w:fldCharType="begin"/>
            </w:r>
            <w:r>
              <w:instrText xml:space="preserve"> XE "</w:instrText>
            </w:r>
            <w:r w:rsidRPr="00B65629">
              <w:rPr>
                <w:lang w:val="de-DE"/>
              </w:rPr>
              <w:instrText>Optional Early Redemption Price</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67159D" w:rsidP="00F71807">
            <w:pPr>
              <w:pStyle w:val="CSBody8pt"/>
            </w:pPr>
            <w:r w:rsidRPr="00792D61">
              <w:rPr>
                <w:b/>
              </w:rPr>
              <w:t>[</w:t>
            </w:r>
            <w:r w:rsidRPr="0067159D">
              <w:rPr>
                <w:b/>
                <w:i/>
              </w:rPr>
              <w:t>in the case of one Optional Early Redemption Date:</w:t>
            </w:r>
            <w:r w:rsidRPr="0067159D">
              <w:t xml:space="preserve"> </w:t>
            </w:r>
            <w:r w:rsidRPr="00792D61">
              <w:rPr>
                <w:b/>
              </w:rPr>
              <w:t>[[</w:t>
            </w:r>
            <w:r w:rsidRPr="0067159D">
              <w:rPr>
                <w:rFonts w:ascii="Arial" w:hAnsi="Arial" w:cs="Arial"/>
              </w:rPr>
              <w:t>●</w:t>
            </w:r>
            <w:r w:rsidRPr="00792D61">
              <w:rPr>
                <w:b/>
              </w:rPr>
              <w:t>]][[</w:t>
            </w:r>
            <w:r w:rsidRPr="0067159D">
              <w:rPr>
                <w:rFonts w:ascii="Arial" w:hAnsi="Arial" w:cs="Arial"/>
              </w:rPr>
              <w:t>●</w:t>
            </w:r>
            <w:r w:rsidRPr="00792D61">
              <w:rPr>
                <w:b/>
              </w:rPr>
              <w:t>]</w:t>
            </w:r>
            <w:r w:rsidRPr="0067159D">
              <w:t xml:space="preserve">% of the Denomination, </w:t>
            </w:r>
            <w:r w:rsidRPr="007E3558">
              <w:rPr>
                <w:i/>
              </w:rPr>
              <w:t>i.e.</w:t>
            </w:r>
            <w:r w:rsidRPr="0067159D">
              <w:t xml:space="preserve">, </w:t>
            </w:r>
            <w:r w:rsidRPr="00792D61">
              <w:rPr>
                <w:b/>
              </w:rPr>
              <w:t>[</w:t>
            </w:r>
            <w:r w:rsidRPr="0067159D">
              <w:rPr>
                <w:rFonts w:ascii="Arial" w:hAnsi="Arial" w:cs="Arial"/>
              </w:rPr>
              <w:t>●</w:t>
            </w:r>
            <w:r w:rsidRPr="00792D61">
              <w:rPr>
                <w:b/>
              </w:rPr>
              <w:t>]]</w:t>
            </w:r>
            <w:r w:rsidRPr="0067159D">
              <w:t>, being the price at which the Issuer must redeem each Complex Product on the Optional Early Redemption Date if it has exercised its Issuer Call Option on the Call Option Exercise Date.</w:t>
            </w:r>
            <w:r w:rsidRPr="00792D61">
              <w:rPr>
                <w:b/>
              </w:rPr>
              <w:t>]</w:t>
            </w:r>
          </w:p>
        </w:tc>
        <w:tc>
          <w:tcPr>
            <w:tcW w:w="1618" w:type="dxa"/>
            <w:gridSpan w:val="2"/>
            <w:tcBorders>
              <w:top w:val="nil"/>
              <w:bottom w:val="nil"/>
              <w:right w:val="nil"/>
            </w:tcBorders>
            <w:shd w:val="clear" w:color="auto" w:fill="auto"/>
          </w:tcPr>
          <w:p w:rsidR="0017135D" w:rsidRPr="0094769A" w:rsidP="0094769A">
            <w:pPr>
              <w:pStyle w:val="CSBody8pt"/>
              <w:rPr>
                <w:lang w:val="de-DE"/>
              </w:rPr>
            </w:pPr>
            <w:r w:rsidRPr="0094769A">
              <w:rPr>
                <w:lang w:val="de-DE"/>
              </w:rPr>
              <w:t>Rückzahlungsbetrag bei Ausübung des Kündigungsrechts</w:t>
            </w:r>
            <w:r>
              <w:fldChar w:fldCharType="begin"/>
            </w:r>
            <w:r w:rsidRPr="0094769A">
              <w:rPr>
                <w:lang w:val="de-DE"/>
              </w:rPr>
              <w:instrText xml:space="preserve"> XE "Rückzahlungsbetrag bei Ausübung des Kündigungsrechts" </w:instrText>
            </w:r>
            <w:r>
              <w:fldChar w:fldCharType="end"/>
            </w:r>
          </w:p>
        </w:tc>
        <w:tc>
          <w:tcPr>
            <w:tcW w:w="3318" w:type="dxa"/>
            <w:gridSpan w:val="10"/>
            <w:tcBorders>
              <w:top w:val="nil"/>
              <w:left w:val="nil"/>
              <w:bottom w:val="nil"/>
              <w:right w:val="nil"/>
            </w:tcBorders>
            <w:shd w:val="clear" w:color="auto" w:fill="auto"/>
          </w:tcPr>
          <w:p w:rsidR="0017135D" w:rsidRPr="002B2264" w:rsidP="00F71807">
            <w:pPr>
              <w:pStyle w:val="CSBody8pt"/>
              <w:rPr>
                <w:lang w:val="de-DE"/>
              </w:rPr>
            </w:pPr>
            <w:r w:rsidRPr="00792D61">
              <w:rPr>
                <w:b/>
                <w:lang w:val="de-DE"/>
              </w:rPr>
              <w:t>[</w:t>
            </w:r>
            <w:r w:rsidRPr="0067159D">
              <w:rPr>
                <w:b/>
                <w:i/>
                <w:lang w:val="de-DE"/>
              </w:rPr>
              <w:t xml:space="preserve">bei nur einem Rückzahlungstag bei Ausübung des Kündigungsrechts: </w:t>
            </w:r>
            <w:r w:rsidRPr="00792D61">
              <w:rPr>
                <w:b/>
                <w:i/>
                <w:lang w:val="de-DE"/>
              </w:rPr>
              <w:t>[</w:t>
            </w:r>
            <w:r w:rsidRPr="00792D61">
              <w:rPr>
                <w:b/>
                <w:lang w:val="de-DE"/>
              </w:rPr>
              <w:t>[</w:t>
            </w:r>
            <w:r w:rsidRPr="0067159D">
              <w:rPr>
                <w:rFonts w:ascii="Arial" w:hAnsi="Arial" w:cs="Arial"/>
                <w:lang w:val="de-DE"/>
              </w:rPr>
              <w:t>●</w:t>
            </w:r>
            <w:r w:rsidRPr="00792D61">
              <w:rPr>
                <w:b/>
                <w:lang w:val="de-DE"/>
              </w:rPr>
              <w:t>]][[</w:t>
            </w:r>
            <w:r w:rsidRPr="0067159D">
              <w:rPr>
                <w:rFonts w:ascii="Arial" w:hAnsi="Arial" w:cs="Arial"/>
                <w:lang w:val="de-DE"/>
              </w:rPr>
              <w:t>●</w:t>
            </w:r>
            <w:r w:rsidRPr="00792D61">
              <w:rPr>
                <w:b/>
                <w:lang w:val="de-DE"/>
              </w:rPr>
              <w:t>]</w:t>
            </w:r>
            <w:r w:rsidRPr="0067159D">
              <w:rPr>
                <w:lang w:val="de-DE"/>
              </w:rPr>
              <w:t>% der St</w:t>
            </w:r>
            <w:r w:rsidRPr="0067159D">
              <w:rPr>
                <w:rFonts w:cs="Credit Suisse Type Light"/>
                <w:lang w:val="de-DE"/>
              </w:rPr>
              <w:t>ü</w:t>
            </w:r>
            <w:r w:rsidRPr="0067159D">
              <w:rPr>
                <w:lang w:val="de-DE"/>
              </w:rPr>
              <w:t xml:space="preserve">ckelung, </w:t>
            </w:r>
            <w:r>
              <w:rPr>
                <w:lang w:val="de-DE"/>
              </w:rPr>
              <w:t>d.h.</w:t>
            </w:r>
            <w:r w:rsidRPr="0067159D">
              <w:rPr>
                <w:lang w:val="de-DE"/>
              </w:rPr>
              <w:t xml:space="preserve"> </w:t>
            </w:r>
            <w:r w:rsidRPr="00792D61">
              <w:rPr>
                <w:b/>
                <w:lang w:val="de-DE"/>
              </w:rPr>
              <w:t>[</w:t>
            </w:r>
            <w:r w:rsidRPr="0067159D">
              <w:rPr>
                <w:rFonts w:ascii="Arial" w:hAnsi="Arial" w:cs="Arial"/>
                <w:lang w:val="de-DE"/>
              </w:rPr>
              <w:t>●</w:t>
            </w:r>
            <w:r w:rsidRPr="00792D61">
              <w:rPr>
                <w:b/>
                <w:lang w:val="de-DE"/>
              </w:rPr>
              <w:t>]]</w:t>
            </w:r>
            <w:r w:rsidRPr="0067159D">
              <w:rPr>
                <w:lang w:val="de-DE"/>
              </w:rPr>
              <w:t>; hierbei handelt es sich um den Betrag, zu dem die Emittentin nach Aus</w:t>
            </w:r>
            <w:r w:rsidRPr="0067159D">
              <w:rPr>
                <w:rFonts w:cs="Credit Suisse Type Light"/>
                <w:lang w:val="de-DE"/>
              </w:rPr>
              <w:t>ü</w:t>
            </w:r>
            <w:r w:rsidRPr="0067159D">
              <w:rPr>
                <w:lang w:val="de-DE"/>
              </w:rPr>
              <w:t>bung des K</w:t>
            </w:r>
            <w:r w:rsidRPr="0067159D">
              <w:rPr>
                <w:rFonts w:cs="Credit Suisse Type Light"/>
                <w:lang w:val="de-DE"/>
              </w:rPr>
              <w:t>ü</w:t>
            </w:r>
            <w:r w:rsidRPr="0067159D">
              <w:rPr>
                <w:lang w:val="de-DE"/>
              </w:rPr>
              <w:t>ndigungsrechts der Emittentin am Aus</w:t>
            </w:r>
            <w:r w:rsidRPr="0067159D">
              <w:rPr>
                <w:rFonts w:cs="Credit Suisse Type Light"/>
                <w:lang w:val="de-DE"/>
              </w:rPr>
              <w:t>ü</w:t>
            </w:r>
            <w:r w:rsidRPr="0067159D">
              <w:rPr>
                <w:lang w:val="de-DE"/>
              </w:rPr>
              <w:t>bungstag f</w:t>
            </w:r>
            <w:r w:rsidRPr="0067159D">
              <w:rPr>
                <w:rFonts w:cs="Credit Suisse Type Light"/>
                <w:lang w:val="de-DE"/>
              </w:rPr>
              <w:t>ü</w:t>
            </w:r>
            <w:r w:rsidRPr="0067159D">
              <w:rPr>
                <w:lang w:val="de-DE"/>
              </w:rPr>
              <w:t>r das K</w:t>
            </w:r>
            <w:r w:rsidRPr="0067159D">
              <w:rPr>
                <w:rFonts w:cs="Credit Suisse Type Light"/>
                <w:lang w:val="de-DE"/>
              </w:rPr>
              <w:t>ü</w:t>
            </w:r>
            <w:r w:rsidRPr="0067159D">
              <w:rPr>
                <w:lang w:val="de-DE"/>
              </w:rPr>
              <w:t>ndigungsrecht jedes Komplexe Produkt an dem betreffenden Rückzahlungstag bei Ausübung des Kündigungsrechts zurückzahlen muss.</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B2264" w:rsidP="00F71807">
            <w:pPr>
              <w:pStyle w:val="CSBody8pt"/>
              <w:rPr>
                <w:lang w:val="de-DE"/>
              </w:rPr>
            </w:pPr>
          </w:p>
        </w:tc>
        <w:tc>
          <w:tcPr>
            <w:tcW w:w="3315" w:type="dxa"/>
            <w:gridSpan w:val="7"/>
            <w:tcBorders>
              <w:top w:val="nil"/>
              <w:left w:val="nil"/>
              <w:bottom w:val="nil"/>
            </w:tcBorders>
            <w:shd w:val="clear" w:color="auto" w:fill="auto"/>
          </w:tcPr>
          <w:p w:rsidR="0017135D" w:rsidRPr="00D300B3" w:rsidP="00F71807">
            <w:pPr>
              <w:pStyle w:val="CSBody8pt"/>
            </w:pPr>
            <w:r w:rsidRPr="00792D61">
              <w:rPr>
                <w:b/>
              </w:rPr>
              <w:t>[</w:t>
            </w:r>
            <w:r w:rsidRPr="00F71807">
              <w:rPr>
                <w:b/>
                <w:i/>
              </w:rPr>
              <w:t>in the case of multiple Optional Early Redemption Dates with the same Optional Early Redemption Price:</w:t>
            </w:r>
            <w:r w:rsidRPr="00D300B3">
              <w:t xml:space="preserve"> with respect to any Optional Early Redemption Date, </w:t>
            </w:r>
            <w:r w:rsidRPr="00792D61">
              <w:rPr>
                <w:b/>
              </w:rPr>
              <w:t>[[</w:t>
            </w:r>
            <w:r w:rsidRPr="00D300B3">
              <w:rPr>
                <w:rFonts w:ascii="Arial" w:hAnsi="Arial" w:cs="Arial"/>
              </w:rPr>
              <w:t>●</w:t>
            </w:r>
            <w:r w:rsidRPr="00792D61">
              <w:rPr>
                <w:b/>
              </w:rPr>
              <w:t>]][[</w:t>
            </w:r>
            <w:r w:rsidRPr="00D300B3">
              <w:rPr>
                <w:rFonts w:ascii="Arial" w:hAnsi="Arial" w:cs="Arial"/>
              </w:rPr>
              <w:t>●</w:t>
            </w:r>
            <w:r w:rsidRPr="00792D61">
              <w:rPr>
                <w:b/>
              </w:rPr>
              <w:t>]</w:t>
            </w:r>
            <w:r w:rsidRPr="00D300B3">
              <w:t xml:space="preserve">% of the Denomination, </w:t>
            </w:r>
            <w:r w:rsidRPr="007E3558">
              <w:rPr>
                <w:i/>
              </w:rPr>
              <w:t>i.e.</w:t>
            </w:r>
            <w:r w:rsidRPr="00D300B3">
              <w:t xml:space="preserve">, </w:t>
            </w:r>
            <w:r w:rsidRPr="00792D61">
              <w:rPr>
                <w:b/>
              </w:rPr>
              <w:t>[</w:t>
            </w:r>
            <w:r w:rsidRPr="00D300B3">
              <w:rPr>
                <w:rFonts w:ascii="Arial" w:hAnsi="Arial" w:cs="Arial"/>
              </w:rPr>
              <w:t>●</w:t>
            </w:r>
            <w:r w:rsidRPr="00792D61">
              <w:rPr>
                <w:b/>
              </w:rPr>
              <w:t>]]</w:t>
            </w:r>
            <w:r w:rsidRPr="00D300B3">
              <w:t>, being the price at which the Issuer must redeem each Complex Product on such Optional Early Redemption Date if it has exercised its Issuer Call Option on the relevant Call Option Exercise Date.</w:t>
            </w:r>
            <w:r w:rsidRPr="00792D61">
              <w:rPr>
                <w:b/>
              </w:rPr>
              <w:t>]</w:t>
            </w:r>
          </w:p>
        </w:tc>
        <w:tc>
          <w:tcPr>
            <w:tcW w:w="1618" w:type="dxa"/>
            <w:gridSpan w:val="2"/>
            <w:tcBorders>
              <w:top w:val="nil"/>
              <w:bottom w:val="nil"/>
              <w:right w:val="nil"/>
            </w:tcBorders>
            <w:shd w:val="clear" w:color="auto" w:fill="auto"/>
          </w:tcPr>
          <w:p w:rsidR="0017135D" w:rsidRPr="002B2264" w:rsidP="00F71807">
            <w:pPr>
              <w:pStyle w:val="CSBody8pt"/>
              <w:rPr>
                <w:i/>
              </w:rPr>
            </w:pPr>
          </w:p>
        </w:tc>
        <w:tc>
          <w:tcPr>
            <w:tcW w:w="3318" w:type="dxa"/>
            <w:gridSpan w:val="10"/>
            <w:tcBorders>
              <w:top w:val="nil"/>
              <w:left w:val="nil"/>
              <w:bottom w:val="nil"/>
              <w:right w:val="nil"/>
            </w:tcBorders>
            <w:shd w:val="clear" w:color="auto" w:fill="auto"/>
          </w:tcPr>
          <w:p w:rsidR="0017135D" w:rsidRPr="002B2264" w:rsidP="00F71807">
            <w:pPr>
              <w:pStyle w:val="CSBody8pt"/>
              <w:rPr>
                <w:lang w:val="de-DE"/>
              </w:rPr>
            </w:pPr>
            <w:r w:rsidRPr="00792D61">
              <w:rPr>
                <w:b/>
                <w:lang w:val="de-DE"/>
              </w:rPr>
              <w:t>[</w:t>
            </w:r>
            <w:r w:rsidRPr="00F71807">
              <w:rPr>
                <w:b/>
                <w:i/>
                <w:lang w:val="de-DE"/>
              </w:rPr>
              <w:t>bei mehreren Rückzahlungstagen bei Ausübung des Kündigungsrechts mit dem gleichen Rückzahlungsbetrag bei Ausübung des Kündigungsrechts:</w:t>
            </w:r>
            <w:r w:rsidRPr="002B2264">
              <w:rPr>
                <w:lang w:val="de-DE"/>
              </w:rPr>
              <w:t xml:space="preserve"> in Bezug auf einen Rückzahlungstag bei Ausübung des Kündigungsrechts </w:t>
            </w:r>
            <w:r w:rsidRPr="00792D61">
              <w:rPr>
                <w:b/>
                <w:lang w:val="de-DE"/>
              </w:rPr>
              <w:t>[[</w:t>
            </w:r>
            <w:r w:rsidRPr="002B2264">
              <w:rPr>
                <w:rFonts w:ascii="Arial" w:hAnsi="Arial" w:cs="Arial"/>
                <w:lang w:val="de-DE"/>
              </w:rPr>
              <w:t>●</w:t>
            </w:r>
            <w:r w:rsidRPr="00792D61">
              <w:rPr>
                <w:b/>
                <w:lang w:val="de-DE"/>
              </w:rPr>
              <w:t>]][[</w:t>
            </w:r>
            <w:r w:rsidRPr="002B2264">
              <w:rPr>
                <w:rFonts w:ascii="Arial" w:hAnsi="Arial" w:cs="Arial"/>
                <w:lang w:val="de-DE"/>
              </w:rPr>
              <w:t>●</w:t>
            </w:r>
            <w:r w:rsidRPr="00792D61">
              <w:rPr>
                <w:b/>
                <w:lang w:val="de-DE"/>
              </w:rPr>
              <w:t>]</w:t>
            </w:r>
            <w:r w:rsidRPr="002B2264">
              <w:rPr>
                <w:lang w:val="de-DE"/>
              </w:rPr>
              <w:t>% der St</w:t>
            </w:r>
            <w:r w:rsidRPr="002B2264">
              <w:rPr>
                <w:rFonts w:cs="Credit Suisse Type Light"/>
                <w:lang w:val="de-DE"/>
              </w:rPr>
              <w:t>ü</w:t>
            </w:r>
            <w:r w:rsidRPr="002B2264">
              <w:rPr>
                <w:lang w:val="de-DE"/>
              </w:rPr>
              <w:t xml:space="preserve">ckelung, </w:t>
            </w:r>
            <w:r>
              <w:rPr>
                <w:lang w:val="de-DE"/>
              </w:rPr>
              <w:t>d.h.</w:t>
            </w:r>
            <w:r w:rsidRPr="002B2264">
              <w:rPr>
                <w:lang w:val="de-DE"/>
              </w:rPr>
              <w:t xml:space="preserve"> </w:t>
            </w:r>
            <w:r w:rsidRPr="00792D61">
              <w:rPr>
                <w:b/>
                <w:lang w:val="de-DE"/>
              </w:rPr>
              <w:t>[</w:t>
            </w:r>
            <w:r w:rsidRPr="002B2264">
              <w:rPr>
                <w:rFonts w:ascii="Arial" w:hAnsi="Arial" w:cs="Arial"/>
                <w:lang w:val="de-DE"/>
              </w:rPr>
              <w:t>●</w:t>
            </w:r>
            <w:r w:rsidRPr="00792D61">
              <w:rPr>
                <w:b/>
                <w:lang w:val="de-DE"/>
              </w:rPr>
              <w:t>]]</w:t>
            </w:r>
            <w:r w:rsidRPr="002B2264">
              <w:rPr>
                <w:lang w:val="de-DE"/>
              </w:rPr>
              <w:t>; hierbei handelt es sich um den Betrag, zu dem die Emittentin nach Aus</w:t>
            </w:r>
            <w:r w:rsidRPr="002B2264">
              <w:rPr>
                <w:rFonts w:cs="Credit Suisse Type Light"/>
                <w:lang w:val="de-DE"/>
              </w:rPr>
              <w:t>ü</w:t>
            </w:r>
            <w:r w:rsidRPr="002B2264">
              <w:rPr>
                <w:lang w:val="de-DE"/>
              </w:rPr>
              <w:t>bung des K</w:t>
            </w:r>
            <w:r w:rsidRPr="002B2264">
              <w:rPr>
                <w:rFonts w:cs="Credit Suisse Type Light"/>
                <w:lang w:val="de-DE"/>
              </w:rPr>
              <w:t>ü</w:t>
            </w:r>
            <w:r w:rsidRPr="002B2264">
              <w:rPr>
                <w:lang w:val="de-DE"/>
              </w:rPr>
              <w:t>ndigungsrechts der Emittentin am Aus</w:t>
            </w:r>
            <w:r w:rsidRPr="002B2264">
              <w:rPr>
                <w:rFonts w:cs="Credit Suisse Type Light"/>
                <w:lang w:val="de-DE"/>
              </w:rPr>
              <w:t>ü</w:t>
            </w:r>
            <w:r w:rsidRPr="002B2264">
              <w:rPr>
                <w:lang w:val="de-DE"/>
              </w:rPr>
              <w:t>bungstag f</w:t>
            </w:r>
            <w:r w:rsidRPr="002B2264">
              <w:rPr>
                <w:rFonts w:cs="Credit Suisse Type Light"/>
                <w:lang w:val="de-DE"/>
              </w:rPr>
              <w:t>ü</w:t>
            </w:r>
            <w:r w:rsidRPr="002B2264">
              <w:rPr>
                <w:lang w:val="de-DE"/>
              </w:rPr>
              <w:t>r das K</w:t>
            </w:r>
            <w:r w:rsidRPr="002B2264">
              <w:rPr>
                <w:rFonts w:cs="Credit Suisse Type Light"/>
                <w:lang w:val="de-DE"/>
              </w:rPr>
              <w:t>ü</w:t>
            </w:r>
            <w:r w:rsidRPr="002B2264">
              <w:rPr>
                <w:lang w:val="de-DE"/>
              </w:rPr>
              <w:t>ndigungsrecht jedes Komplexe Produkt am betreffenden Rückzahlungstag bei Ausübung des Kündigungsrechts zurückzahlen muss.</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B2264" w:rsidP="00F71807">
            <w:pPr>
              <w:pStyle w:val="CSBody8pt"/>
              <w:rPr>
                <w:lang w:val="de-DE"/>
              </w:rPr>
            </w:pPr>
          </w:p>
        </w:tc>
        <w:tc>
          <w:tcPr>
            <w:tcW w:w="3315" w:type="dxa"/>
            <w:gridSpan w:val="7"/>
            <w:tcBorders>
              <w:top w:val="nil"/>
              <w:left w:val="nil"/>
              <w:bottom w:val="nil"/>
            </w:tcBorders>
            <w:shd w:val="clear" w:color="auto" w:fill="auto"/>
          </w:tcPr>
          <w:p w:rsidR="0017135D" w:rsidP="00F71807">
            <w:pPr>
              <w:pStyle w:val="CSBody8pt"/>
            </w:pPr>
            <w:r w:rsidRPr="00792D61">
              <w:rPr>
                <w:b/>
              </w:rPr>
              <w:t>[</w:t>
            </w:r>
            <w:r w:rsidRPr="00F71807">
              <w:rPr>
                <w:b/>
                <w:i/>
              </w:rPr>
              <w:t>in the case of multiple Optional Early Redemption Dates with different Optional Early Redemption Prices:</w:t>
            </w:r>
            <w:r w:rsidRPr="00D300B3">
              <w:t xml:space="preserve"> with respect to any Optional Early Redemption Date, the relevant Optional Early Redemption Price specified in the table below, being the price at which the Issuer must redeem each Complex Product on such Optional Early Redemption Date if it has exercised its Issuer Call Option on the relevant Call Option Exercise Date.</w:t>
            </w:r>
            <w:r w:rsidRPr="00792D61">
              <w:rPr>
                <w:b/>
              </w:rPr>
              <w:t>]</w:t>
            </w:r>
          </w:p>
        </w:tc>
        <w:tc>
          <w:tcPr>
            <w:tcW w:w="1618" w:type="dxa"/>
            <w:gridSpan w:val="2"/>
            <w:tcBorders>
              <w:top w:val="nil"/>
              <w:bottom w:val="nil"/>
              <w:right w:val="nil"/>
            </w:tcBorders>
            <w:shd w:val="clear" w:color="auto" w:fill="auto"/>
          </w:tcPr>
          <w:p w:rsidR="0017135D" w:rsidRPr="002B2264" w:rsidP="00F71807">
            <w:pPr>
              <w:pStyle w:val="CSBody8pt"/>
              <w:rPr>
                <w:i/>
              </w:rPr>
            </w:pPr>
          </w:p>
        </w:tc>
        <w:tc>
          <w:tcPr>
            <w:tcW w:w="3318" w:type="dxa"/>
            <w:gridSpan w:val="10"/>
            <w:tcBorders>
              <w:top w:val="nil"/>
              <w:left w:val="nil"/>
              <w:bottom w:val="nil"/>
              <w:right w:val="nil"/>
            </w:tcBorders>
            <w:shd w:val="clear" w:color="auto" w:fill="auto"/>
          </w:tcPr>
          <w:p w:rsidR="0017135D" w:rsidRPr="002B2264" w:rsidP="0094769A">
            <w:pPr>
              <w:pStyle w:val="CSBody8pt"/>
              <w:rPr>
                <w:lang w:val="de-DE"/>
              </w:rPr>
            </w:pPr>
            <w:r w:rsidRPr="00792D61">
              <w:rPr>
                <w:b/>
                <w:lang w:val="de-DE"/>
              </w:rPr>
              <w:t>[</w:t>
            </w:r>
            <w:r w:rsidRPr="00F71807">
              <w:rPr>
                <w:b/>
                <w:i/>
                <w:lang w:val="de-DE"/>
              </w:rPr>
              <w:t>bei mehreren Rückzahlungstagen bei Ausübung des Kündigungsrechts mit unterschiedlichen Rückzahlungsbeträgen bei Ausübung des Kündigungsrechts:</w:t>
            </w:r>
            <w:r w:rsidRPr="002B2264">
              <w:rPr>
                <w:lang w:val="de-DE"/>
              </w:rPr>
              <w:t xml:space="preserve"> in Bezug auf einen Rückzahlungstag bei Ausübung des Kündigungsrechts der in der untenstehenden Tabelle jeweils angegebene Rückzahlungsbetrag bei Ausübung des Kündigungsrechts; hierbei handelt es sich um den Betrag, zu dem die Emittentin nach Ausübung des Kündigungsrechts der Emittentin am jeweiligen Ausübungstag für das Kündigungsrecht jedes Komplexe Produkt an dem betreffenden Rückzahlungstag bei Ausübung des Kündigungsrechts zurück</w:t>
            </w:r>
            <w:r w:rsidR="00C2522A">
              <w:rPr>
                <w:lang w:val="de-DE"/>
              </w:rPr>
              <w:t xml:space="preserve"> </w:t>
            </w:r>
            <w:r w:rsidRPr="002B2264">
              <w:rPr>
                <w:lang w:val="de-DE"/>
              </w:rPr>
              <w:t>zahlen muss.</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F71807">
            <w:pPr>
              <w:pStyle w:val="CSBody8pt"/>
              <w:rPr>
                <w:lang w:val="de-DE"/>
              </w:rPr>
            </w:pPr>
          </w:p>
        </w:tc>
        <w:tc>
          <w:tcPr>
            <w:tcW w:w="3315" w:type="dxa"/>
            <w:gridSpan w:val="7"/>
            <w:tcBorders>
              <w:top w:val="nil"/>
              <w:left w:val="nil"/>
              <w:bottom w:val="nil"/>
              <w:right w:val="nil"/>
            </w:tcBorders>
            <w:shd w:val="clear" w:color="auto" w:fill="auto"/>
          </w:tcPr>
          <w:p w:rsidR="0017135D" w:rsidRPr="00BD7132" w:rsidP="00F71807">
            <w:pPr>
              <w:pStyle w:val="CSBody8pt"/>
              <w:rPr>
                <w:lang w:val="de-DE"/>
              </w:rPr>
            </w:pPr>
          </w:p>
        </w:tc>
        <w:tc>
          <w:tcPr>
            <w:tcW w:w="1618" w:type="dxa"/>
            <w:gridSpan w:val="2"/>
            <w:tcBorders>
              <w:top w:val="nil"/>
              <w:left w:val="nil"/>
              <w:bottom w:val="nil"/>
              <w:right w:val="nil"/>
            </w:tcBorders>
            <w:shd w:val="clear" w:color="auto" w:fill="auto"/>
          </w:tcPr>
          <w:p w:rsidR="0017135D" w:rsidRPr="00BD7132" w:rsidP="00F71807">
            <w:pPr>
              <w:pStyle w:val="CSBody8pt"/>
              <w:rPr>
                <w:i/>
                <w:lang w:val="de-DE"/>
              </w:rPr>
            </w:pPr>
          </w:p>
        </w:tc>
        <w:tc>
          <w:tcPr>
            <w:tcW w:w="3318" w:type="dxa"/>
            <w:gridSpan w:val="10"/>
            <w:tcBorders>
              <w:top w:val="nil"/>
              <w:left w:val="nil"/>
              <w:bottom w:val="nil"/>
              <w:right w:val="nil"/>
            </w:tcBorders>
            <w:shd w:val="clear" w:color="auto" w:fill="auto"/>
          </w:tcPr>
          <w:p w:rsidR="0017135D" w:rsidRPr="00BD7132" w:rsidP="00F71807">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F71807">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64458" w:rsidP="00F71807">
            <w:pPr>
              <w:pStyle w:val="CSBody8pt"/>
            </w:pPr>
            <w:r w:rsidRPr="00664458">
              <w:t>Optional Early Redemption Date</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E118D" w:rsidP="00F71807">
            <w:pPr>
              <w:pStyle w:val="CSBody8pt"/>
            </w:pPr>
            <w:r w:rsidRPr="006E118D">
              <w:t>Optional Early Redemption Price</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9A2A75" w:rsidP="00F71807">
            <w:pPr>
              <w:pStyle w:val="CSBody8pt"/>
              <w:rPr>
                <w:lang w:val="de-DE"/>
              </w:rPr>
            </w:pPr>
            <w:r w:rsidRPr="009A2A75">
              <w:rPr>
                <w:lang w:val="de-DE"/>
              </w:rPr>
              <w:t>Rückzahlungsbetrag bei Ausübung des Kündigungsrechts</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9A2A75" w:rsidP="00F71807">
            <w:pPr>
              <w:pStyle w:val="CSBody8pt"/>
              <w:rPr>
                <w:lang w:val="de-DE"/>
              </w:rPr>
            </w:pPr>
            <w:r w:rsidRPr="009A2A75">
              <w:rPr>
                <w:lang w:val="de-DE"/>
              </w:rPr>
              <w:t>Rückzahlungstag bei Ausübung des Kündigungsrechts</w:t>
            </w:r>
          </w:p>
        </w:tc>
        <w:tc>
          <w:tcPr>
            <w:tcW w:w="826" w:type="dxa"/>
            <w:gridSpan w:val="3"/>
            <w:tcBorders>
              <w:top w:val="nil"/>
              <w:left w:val="single" w:sz="4" w:space="0" w:color="auto"/>
              <w:bottom w:val="nil"/>
              <w:right w:val="nil"/>
            </w:tcBorders>
            <w:shd w:val="clear" w:color="auto" w:fill="auto"/>
          </w:tcPr>
          <w:p w:rsidR="0017135D" w:rsidRPr="00B4168E" w:rsidP="00F71807">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F71807">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664458" w:rsidP="00F71807">
            <w:pPr>
              <w:pStyle w:val="CSBody8pt"/>
            </w:pPr>
            <w:r w:rsidRPr="00792D61">
              <w:rPr>
                <w:b/>
              </w:rPr>
              <w:t>[</w:t>
            </w:r>
            <w:r w:rsidRPr="00664458">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6E118D" w:rsidP="00F71807">
            <w:pPr>
              <w:pStyle w:val="CSBody8pt"/>
            </w:pPr>
            <w:r w:rsidRPr="00792D61">
              <w:rPr>
                <w:b/>
              </w:rPr>
              <w:t>[</w:t>
            </w:r>
            <w:r w:rsidRPr="006E118D">
              <w:rPr>
                <w:rFonts w:ascii="Arial" w:hAnsi="Arial" w:cs="Arial"/>
              </w:rPr>
              <w:t>●</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RPr="008E43BD" w:rsidP="00F71807">
            <w:pPr>
              <w:pStyle w:val="CSBody8pt"/>
            </w:pPr>
            <w:r w:rsidRPr="00792D61">
              <w:rPr>
                <w:b/>
              </w:rPr>
              <w:t>[</w:t>
            </w:r>
            <w:r w:rsidRPr="008E43BD">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RPr="004E090B" w:rsidP="00F71807">
            <w:pPr>
              <w:pStyle w:val="CSBody8pt"/>
            </w:pPr>
            <w:r w:rsidRPr="00792D61">
              <w:rPr>
                <w:b/>
              </w:rPr>
              <w:t>[</w:t>
            </w:r>
            <w:r w:rsidRPr="004E090B">
              <w:rPr>
                <w:rFonts w:ascii="Arial" w:hAnsi="Arial" w:cs="Arial"/>
              </w:rPr>
              <w:t>●</w:t>
            </w:r>
            <w:r w:rsidRPr="00792D61">
              <w:rPr>
                <w:b/>
              </w:rPr>
              <w:t>]</w:t>
            </w:r>
          </w:p>
        </w:tc>
        <w:tc>
          <w:tcPr>
            <w:tcW w:w="826" w:type="dxa"/>
            <w:gridSpan w:val="3"/>
            <w:tcBorders>
              <w:top w:val="nil"/>
              <w:left w:val="single" w:sz="4" w:space="0" w:color="auto"/>
              <w:bottom w:val="nil"/>
              <w:right w:val="nil"/>
            </w:tcBorders>
            <w:shd w:val="clear" w:color="auto" w:fill="auto"/>
          </w:tcPr>
          <w:p w:rsidR="0017135D" w:rsidRPr="00B4168E" w:rsidP="00F71807">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F71807">
            <w:pPr>
              <w:pStyle w:val="CSBody8pt"/>
              <w:rPr>
                <w:lang w:val="de-DE"/>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rsidR="0017135D" w:rsidP="00F71807">
            <w:pPr>
              <w:pStyle w:val="CSBody8pt"/>
            </w:pPr>
            <w:r w:rsidRPr="00792D61">
              <w:rPr>
                <w:b/>
              </w:rPr>
              <w:t>[</w:t>
            </w:r>
            <w:r w:rsidRPr="00664458">
              <w:rPr>
                <w:rFonts w:ascii="Arial" w:hAnsi="Arial" w:cs="Arial"/>
              </w:rPr>
              <w:t>●</w:t>
            </w:r>
            <w:r w:rsidRPr="00792D61">
              <w:rPr>
                <w:b/>
              </w:rPr>
              <w:t>]</w:t>
            </w:r>
          </w:p>
        </w:tc>
        <w:tc>
          <w:tcPr>
            <w:tcW w:w="2267"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F71807">
            <w:pPr>
              <w:pStyle w:val="CSBody8pt"/>
            </w:pPr>
            <w:r w:rsidRPr="00792D61">
              <w:rPr>
                <w:b/>
              </w:rPr>
              <w:t>[</w:t>
            </w:r>
            <w:r w:rsidRPr="006E118D">
              <w:rPr>
                <w:rFonts w:ascii="Arial" w:hAnsi="Arial" w:cs="Arial"/>
              </w:rPr>
              <w:t>●</w:t>
            </w:r>
            <w:r w:rsidRPr="00792D61">
              <w:rPr>
                <w:b/>
              </w:rPr>
              <w:t>]</w:t>
            </w:r>
          </w:p>
        </w:tc>
        <w:tc>
          <w:tcPr>
            <w:tcW w:w="2125" w:type="dxa"/>
            <w:gridSpan w:val="4"/>
            <w:tcBorders>
              <w:top w:val="single" w:sz="4" w:space="0" w:color="auto"/>
              <w:left w:val="single" w:sz="4" w:space="0" w:color="auto"/>
              <w:bottom w:val="single" w:sz="4" w:space="0" w:color="auto"/>
              <w:right w:val="single" w:sz="4" w:space="0" w:color="auto"/>
            </w:tcBorders>
            <w:shd w:val="clear" w:color="auto" w:fill="auto"/>
          </w:tcPr>
          <w:p w:rsidR="0017135D" w:rsidP="00F71807">
            <w:pPr>
              <w:pStyle w:val="CSBody8pt"/>
            </w:pPr>
            <w:r w:rsidRPr="00792D61">
              <w:rPr>
                <w:b/>
              </w:rPr>
              <w:t>[</w:t>
            </w:r>
            <w:r w:rsidRPr="008E43BD">
              <w:rPr>
                <w:rFonts w:ascii="Arial" w:hAnsi="Arial" w:cs="Arial"/>
              </w:rPr>
              <w:t>●</w:t>
            </w:r>
            <w:r w:rsidRPr="00792D61">
              <w:rPr>
                <w:b/>
              </w:rPr>
              <w:t>]</w:t>
            </w:r>
          </w:p>
        </w:tc>
        <w:tc>
          <w:tcPr>
            <w:tcW w:w="1985" w:type="dxa"/>
            <w:gridSpan w:val="5"/>
            <w:tcBorders>
              <w:top w:val="single" w:sz="4" w:space="0" w:color="auto"/>
              <w:left w:val="single" w:sz="4" w:space="0" w:color="auto"/>
              <w:bottom w:val="single" w:sz="4" w:space="0" w:color="auto"/>
              <w:right w:val="single" w:sz="4" w:space="0" w:color="auto"/>
            </w:tcBorders>
            <w:shd w:val="clear" w:color="auto" w:fill="auto"/>
          </w:tcPr>
          <w:p w:rsidR="0017135D" w:rsidP="00F71807">
            <w:pPr>
              <w:pStyle w:val="CSBody8pt"/>
            </w:pPr>
            <w:r w:rsidRPr="00792D61">
              <w:rPr>
                <w:b/>
              </w:rPr>
              <w:t>[</w:t>
            </w:r>
            <w:r w:rsidRPr="004E090B">
              <w:rPr>
                <w:rFonts w:ascii="Arial" w:hAnsi="Arial" w:cs="Arial"/>
              </w:rPr>
              <w:t>●</w:t>
            </w:r>
            <w:r w:rsidRPr="00792D61">
              <w:rPr>
                <w:b/>
              </w:rPr>
              <w:t>]</w:t>
            </w:r>
          </w:p>
        </w:tc>
        <w:tc>
          <w:tcPr>
            <w:tcW w:w="826" w:type="dxa"/>
            <w:gridSpan w:val="3"/>
            <w:tcBorders>
              <w:top w:val="nil"/>
              <w:left w:val="single" w:sz="4" w:space="0" w:color="auto"/>
              <w:bottom w:val="nil"/>
              <w:right w:val="nil"/>
            </w:tcBorders>
            <w:shd w:val="clear" w:color="auto" w:fill="auto"/>
          </w:tcPr>
          <w:p w:rsidR="0017135D" w:rsidRPr="00B4168E" w:rsidP="00F71807">
            <w:pPr>
              <w:pStyle w:val="CSBody8pt"/>
              <w:rPr>
                <w:bCs/>
                <w:lang w:val="de-DE"/>
              </w:rPr>
            </w:pPr>
          </w:p>
        </w:tc>
      </w:tr>
      <w:tr w:rsidTr="004C1EBA">
        <w:tblPrEx>
          <w:tblW w:w="4999" w:type="pct"/>
          <w:tblLayout w:type="fixed"/>
          <w:tblCellMar>
            <w:left w:w="115" w:type="dxa"/>
            <w:right w:w="115" w:type="dxa"/>
          </w:tblCellMar>
          <w:tblLook w:val="04A0"/>
        </w:tblPrEx>
        <w:tc>
          <w:tcPr>
            <w:tcW w:w="680" w:type="dxa"/>
            <w:gridSpan w:val="2"/>
            <w:tcBorders>
              <w:top w:val="nil"/>
              <w:left w:val="nil"/>
              <w:bottom w:val="nil"/>
              <w:right w:val="single" w:sz="4" w:space="0" w:color="auto"/>
            </w:tcBorders>
            <w:shd w:val="clear" w:color="auto" w:fill="auto"/>
          </w:tcPr>
          <w:p w:rsidR="0017135D" w:rsidRPr="00B4168E" w:rsidP="00F71807">
            <w:pPr>
              <w:pStyle w:val="CSBody8pt"/>
              <w:rPr>
                <w:lang w:val="de-DE"/>
              </w:rPr>
            </w:pPr>
          </w:p>
        </w:tc>
        <w:tc>
          <w:tcPr>
            <w:tcW w:w="4251"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67159D" w:rsidP="00F71807">
            <w:pPr>
              <w:pStyle w:val="CSBody8pt"/>
              <w:rPr>
                <w:i/>
              </w:rPr>
            </w:pPr>
            <w:r w:rsidRPr="0067159D">
              <w:rPr>
                <w:i/>
              </w:rPr>
              <w:t>(repeat for each additional Optional Early Redemption Date)</w:t>
            </w:r>
          </w:p>
        </w:tc>
        <w:tc>
          <w:tcPr>
            <w:tcW w:w="4110" w:type="dxa"/>
            <w:gridSpan w:val="9"/>
            <w:tcBorders>
              <w:top w:val="single" w:sz="4" w:space="0" w:color="auto"/>
              <w:left w:val="single" w:sz="4" w:space="0" w:color="auto"/>
              <w:bottom w:val="single" w:sz="4" w:space="0" w:color="auto"/>
              <w:right w:val="single" w:sz="4" w:space="0" w:color="auto"/>
            </w:tcBorders>
            <w:shd w:val="clear" w:color="auto" w:fill="auto"/>
          </w:tcPr>
          <w:p w:rsidR="0017135D" w:rsidRPr="0067159D" w:rsidP="00F71807">
            <w:pPr>
              <w:pStyle w:val="CSBody8pt"/>
              <w:rPr>
                <w:i/>
                <w:lang w:val="de-DE"/>
              </w:rPr>
            </w:pPr>
            <w:r w:rsidRPr="0067159D">
              <w:rPr>
                <w:i/>
              </w:rPr>
              <w:t xml:space="preserve"> </w:t>
            </w:r>
            <w:r w:rsidRPr="0067159D">
              <w:rPr>
                <w:i/>
                <w:lang w:val="de-DE"/>
              </w:rPr>
              <w:t>(für jeden weiteren Rückzahlungstag bei Ausübung des Kündigungsrechts wiederholen)</w:t>
            </w:r>
          </w:p>
        </w:tc>
        <w:tc>
          <w:tcPr>
            <w:tcW w:w="826" w:type="dxa"/>
            <w:gridSpan w:val="3"/>
            <w:tcBorders>
              <w:top w:val="nil"/>
              <w:left w:val="single" w:sz="4" w:space="0" w:color="auto"/>
              <w:bottom w:val="nil"/>
              <w:right w:val="nil"/>
            </w:tcBorders>
            <w:shd w:val="clear" w:color="auto" w:fill="auto"/>
          </w:tcPr>
          <w:p w:rsidR="0017135D" w:rsidRPr="00B4168E" w:rsidP="00F71807">
            <w:pPr>
              <w:pStyle w:val="CSBody8pt"/>
              <w:rPr>
                <w:bCs/>
                <w:lang w:val="de-DE"/>
              </w:rPr>
            </w:pP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BD7132" w:rsidP="00F71807">
            <w:pPr>
              <w:pStyle w:val="CSBody8pt"/>
              <w:rPr>
                <w:lang w:val="de-DE"/>
              </w:rPr>
            </w:pPr>
          </w:p>
        </w:tc>
        <w:tc>
          <w:tcPr>
            <w:tcW w:w="3315" w:type="dxa"/>
            <w:gridSpan w:val="7"/>
            <w:tcBorders>
              <w:top w:val="nil"/>
              <w:left w:val="nil"/>
              <w:bottom w:val="nil"/>
              <w:right w:val="nil"/>
            </w:tcBorders>
            <w:shd w:val="clear" w:color="auto" w:fill="auto"/>
          </w:tcPr>
          <w:p w:rsidR="0017135D" w:rsidRPr="00BD7132" w:rsidP="00F71807">
            <w:pPr>
              <w:pStyle w:val="CSBody8pt"/>
              <w:rPr>
                <w:lang w:val="de-DE"/>
              </w:rPr>
            </w:pPr>
          </w:p>
        </w:tc>
        <w:tc>
          <w:tcPr>
            <w:tcW w:w="1618" w:type="dxa"/>
            <w:gridSpan w:val="2"/>
            <w:tcBorders>
              <w:top w:val="nil"/>
              <w:left w:val="nil"/>
              <w:bottom w:val="nil"/>
              <w:right w:val="nil"/>
            </w:tcBorders>
            <w:shd w:val="clear" w:color="auto" w:fill="auto"/>
          </w:tcPr>
          <w:p w:rsidR="0017135D" w:rsidRPr="00BD7132" w:rsidP="00F71807">
            <w:pPr>
              <w:pStyle w:val="CSBody8pt"/>
              <w:rPr>
                <w:i/>
                <w:lang w:val="de-DE"/>
              </w:rPr>
            </w:pPr>
          </w:p>
        </w:tc>
        <w:tc>
          <w:tcPr>
            <w:tcW w:w="3318" w:type="dxa"/>
            <w:gridSpan w:val="10"/>
            <w:tcBorders>
              <w:top w:val="nil"/>
              <w:left w:val="nil"/>
              <w:bottom w:val="nil"/>
              <w:right w:val="nil"/>
            </w:tcBorders>
            <w:shd w:val="clear" w:color="auto" w:fill="auto"/>
          </w:tcPr>
          <w:p w:rsidR="0017135D" w:rsidRPr="00BD7132" w:rsidP="00F71807">
            <w:pPr>
              <w:pStyle w:val="CSBody8pt"/>
              <w:rPr>
                <w:bCs/>
                <w:lang w:val="de-DE"/>
              </w:rPr>
            </w:pP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19441F" w:rsidP="00F71807">
            <w:pPr>
              <w:pStyle w:val="CSBody8ptbolditalics"/>
            </w:pPr>
            <w:r w:rsidRPr="00792D61">
              <w:t>[</w:t>
            </w:r>
            <w:r w:rsidRPr="0019441F">
              <w:t>in the case of Credit-Linked Complex Products with auction settlement or Credit-Linked Complex Products with Zero-Recovery feature linked to a Basket, insert subsections C.3, C.4 and C.5, as applicable:</w:t>
            </w:r>
          </w:p>
        </w:tc>
        <w:tc>
          <w:tcPr>
            <w:tcW w:w="4936" w:type="dxa"/>
            <w:gridSpan w:val="12"/>
            <w:tcBorders>
              <w:top w:val="nil"/>
              <w:bottom w:val="nil"/>
              <w:right w:val="nil"/>
            </w:tcBorders>
            <w:shd w:val="clear" w:color="auto" w:fill="auto"/>
          </w:tcPr>
          <w:p w:rsidR="0017135D" w:rsidRPr="009A2A75" w:rsidP="00F71807">
            <w:pPr>
              <w:pStyle w:val="CSBody8ptbolditalics"/>
              <w:rPr>
                <w:lang w:val="de-DE"/>
              </w:rPr>
            </w:pPr>
            <w:r w:rsidRPr="00792D61">
              <w:rPr>
                <w:lang w:val="de-DE"/>
              </w:rPr>
              <w:t>[</w:t>
            </w:r>
            <w:r w:rsidRPr="009A2A75">
              <w:rPr>
                <w:lang w:val="de-DE"/>
              </w:rPr>
              <w:t>bei Kreditbezogenen Komplexen Produkten mit Auktions-abwicklung oder Kreditbezogenen Komplexen Produkten mit Zero-Recovery-Merkmal, die an einen Korb gekoppelt sind, Unterziffern C.3, C.4 und C.5 je nach Anwendbarkeit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46BCE" w:rsidP="00F71807">
            <w:pPr>
              <w:pStyle w:val="CSbody0bold"/>
            </w:pPr>
            <w:r w:rsidRPr="00846BCE">
              <w:t>C.3</w:t>
            </w:r>
          </w:p>
        </w:tc>
        <w:tc>
          <w:tcPr>
            <w:tcW w:w="3315" w:type="dxa"/>
            <w:gridSpan w:val="7"/>
            <w:tcBorders>
              <w:top w:val="nil"/>
              <w:left w:val="nil"/>
              <w:bottom w:val="nil"/>
            </w:tcBorders>
            <w:shd w:val="clear" w:color="auto" w:fill="auto"/>
          </w:tcPr>
          <w:p w:rsidR="0017135D" w:rsidRPr="000C557A" w:rsidP="00F71807">
            <w:pPr>
              <w:pStyle w:val="CSbody0bold"/>
              <w:rPr>
                <w:lang w:val="en-GB"/>
              </w:rPr>
            </w:pPr>
            <w:r w:rsidRPr="00792D61">
              <w:rPr>
                <w:lang w:val="en-GB"/>
              </w:rPr>
              <w:t>[</w:t>
            </w:r>
            <w:r w:rsidRPr="0067159D">
              <w:rPr>
                <w:i/>
                <w:lang w:val="en-GB"/>
              </w:rPr>
              <w:t>If a Basket is applicable, insert:</w:t>
            </w:r>
            <w:r w:rsidRPr="000C557A">
              <w:rPr>
                <w:lang w:val="en-GB"/>
              </w:rPr>
              <w:t xml:space="preserve"> Partial</w:t>
            </w:r>
            <w:r w:rsidRPr="00792D61">
              <w:rPr>
                <w:lang w:val="en-GB"/>
              </w:rPr>
              <w:t>]</w:t>
            </w:r>
            <w:r w:rsidRPr="000C557A">
              <w:rPr>
                <w:lang w:val="en-GB"/>
              </w:rPr>
              <w:t xml:space="preserve"> </w:t>
            </w:r>
            <w:r w:rsidRPr="00792D61">
              <w:rPr>
                <w:lang w:val="en-GB"/>
              </w:rPr>
              <w:t>[</w:t>
            </w:r>
            <w:r w:rsidRPr="0067159D">
              <w:rPr>
                <w:i/>
                <w:lang w:val="en-GB"/>
              </w:rPr>
              <w:t>in the case of Credit-Linked Complex Products with Auction Settlement, insert:</w:t>
            </w:r>
            <w:r w:rsidRPr="000C557A">
              <w:rPr>
                <w:lang w:val="en-GB"/>
              </w:rPr>
              <w:t xml:space="preserve"> Redemption upon the occurrence of a Credit Event Determination Date</w:t>
            </w:r>
            <w:r w:rsidRPr="00792D61">
              <w:rPr>
                <w:lang w:val="en-GB"/>
              </w:rPr>
              <w:t>][</w:t>
            </w:r>
            <w:r w:rsidRPr="0067159D">
              <w:rPr>
                <w:i/>
                <w:lang w:val="en-GB"/>
              </w:rPr>
              <w:t>in the case of Credit-Linked Complex Products with Zero-Recovery feature linked to a Basket, insert:</w:t>
            </w:r>
            <w:r w:rsidRPr="000C557A">
              <w:rPr>
                <w:lang w:val="en-GB"/>
              </w:rPr>
              <w:t xml:space="preserve"> Write-down of Outstanding Principal Amount upon the occurrence of a Credit Event Determination Date</w:t>
            </w:r>
            <w:r w:rsidRPr="00792D61">
              <w:rPr>
                <w:lang w:val="en-GB"/>
              </w:rPr>
              <w:t>]</w:t>
            </w:r>
            <w:r w:rsidRPr="000C557A">
              <w:rPr>
                <w:lang w:val="en-GB"/>
              </w:rPr>
              <w:t xml:space="preserve"> </w:t>
            </w:r>
            <w:r w:rsidRPr="00792D61">
              <w:rPr>
                <w:lang w:val="en-GB"/>
              </w:rPr>
              <w:t>[</w:t>
            </w:r>
            <w:r w:rsidRPr="000C557A">
              <w:rPr>
                <w:lang w:val="en-GB"/>
              </w:rPr>
              <w:t>with respect to a Reference Entity</w:t>
            </w:r>
            <w:r w:rsidRPr="00792D61">
              <w:rPr>
                <w:lang w:val="en-GB"/>
              </w:rPr>
              <w:t>]</w:t>
            </w:r>
            <w:r w:rsidRPr="000C557A">
              <w:rPr>
                <w:lang w:val="en-GB"/>
              </w:rPr>
              <w:t xml:space="preserve"> (including during a Potential Credit Event Period)</w:t>
            </w:r>
          </w:p>
        </w:tc>
        <w:tc>
          <w:tcPr>
            <w:tcW w:w="1618" w:type="dxa"/>
            <w:gridSpan w:val="2"/>
            <w:tcBorders>
              <w:top w:val="nil"/>
              <w:bottom w:val="nil"/>
              <w:right w:val="nil"/>
            </w:tcBorders>
            <w:shd w:val="clear" w:color="auto" w:fill="auto"/>
          </w:tcPr>
          <w:p w:rsidR="0017135D" w:rsidRPr="004F7D3C" w:rsidP="00F71807">
            <w:pPr>
              <w:pStyle w:val="CSbody0bold"/>
            </w:pPr>
            <w:r w:rsidRPr="004F7D3C">
              <w:t>C.3</w:t>
            </w:r>
          </w:p>
        </w:tc>
        <w:tc>
          <w:tcPr>
            <w:tcW w:w="3318" w:type="dxa"/>
            <w:gridSpan w:val="10"/>
            <w:tcBorders>
              <w:top w:val="nil"/>
              <w:left w:val="nil"/>
              <w:bottom w:val="nil"/>
              <w:right w:val="nil"/>
            </w:tcBorders>
            <w:shd w:val="clear" w:color="auto" w:fill="auto"/>
          </w:tcPr>
          <w:p w:rsidR="0017135D" w:rsidRPr="009A2A75" w:rsidP="00F71807">
            <w:pPr>
              <w:pStyle w:val="CSbody0bold"/>
            </w:pPr>
            <w:r w:rsidRPr="00792D61">
              <w:t>[</w:t>
            </w:r>
            <w:r w:rsidRPr="0067159D">
              <w:rPr>
                <w:i/>
              </w:rPr>
              <w:t>falls ein Korb anwendbar ist, einfügen:</w:t>
            </w:r>
            <w:r w:rsidRPr="009A2A75">
              <w:t xml:space="preserve"> Teilweise</w:t>
            </w:r>
            <w:r w:rsidRPr="00792D61">
              <w:t>]</w:t>
            </w:r>
            <w:r w:rsidRPr="009A2A75">
              <w:t xml:space="preserve"> </w:t>
            </w:r>
            <w:r w:rsidRPr="00792D61">
              <w:t>[</w:t>
            </w:r>
            <w:r w:rsidRPr="0067159D">
              <w:rPr>
                <w:i/>
              </w:rPr>
              <w:t>bei Kreditbezogenen Komplexen Produkten mit Auktionsabwicklung einfügen:</w:t>
            </w:r>
            <w:r w:rsidRPr="009A2A75">
              <w:t xml:space="preserve"> Rückzahlung nach Eintritt eines Kreditereignis-Feststellungstags</w:t>
            </w:r>
            <w:r w:rsidRPr="00792D61">
              <w:t>][</w:t>
            </w:r>
            <w:r w:rsidRPr="0067159D">
              <w:rPr>
                <w:i/>
              </w:rPr>
              <w:t>bei Kreditbezogenen Komplexen Produkten mit Zero-Recovey-Merkmal, die an einen Korb gekoppelt sind, einfügen:</w:t>
            </w:r>
            <w:r w:rsidRPr="009A2A75">
              <w:t xml:space="preserve"> Herabsetzung des Ausstehenden Nennbetrags nach Eintritt eines Kreditereignis-Feststellungstags</w:t>
            </w:r>
            <w:r w:rsidRPr="00792D61">
              <w:t>][</w:t>
            </w:r>
            <w:r w:rsidRPr="009A2A75">
              <w:t>in Bezug auf einen Referenzschuldner</w:t>
            </w:r>
            <w:r w:rsidRPr="00792D61">
              <w:t>]</w:t>
            </w:r>
            <w:r w:rsidRPr="009A2A75">
              <w:t xml:space="preserve"> (einschliesslich während eines Zeitraums eines Potenziellen Kreditereignisses)</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826900" w:rsidP="00F71807">
            <w:pPr>
              <w:pStyle w:val="CSBody8ptbolditalics"/>
            </w:pPr>
            <w:r w:rsidRPr="00792D61">
              <w:t>[</w:t>
            </w:r>
            <w:r w:rsidRPr="00826900">
              <w:t>if no Basket is applicable, insert:</w:t>
            </w:r>
          </w:p>
        </w:tc>
        <w:tc>
          <w:tcPr>
            <w:tcW w:w="4936" w:type="dxa"/>
            <w:gridSpan w:val="12"/>
            <w:tcBorders>
              <w:top w:val="nil"/>
              <w:bottom w:val="nil"/>
              <w:right w:val="nil"/>
            </w:tcBorders>
            <w:shd w:val="clear" w:color="auto" w:fill="auto"/>
          </w:tcPr>
          <w:p w:rsidR="0017135D" w:rsidRPr="009A2A75" w:rsidP="00F71807">
            <w:pPr>
              <w:pStyle w:val="CSBody8ptbolditalics"/>
              <w:rPr>
                <w:lang w:val="de-DE"/>
              </w:rPr>
            </w:pPr>
            <w:r w:rsidRPr="00792D61">
              <w:rPr>
                <w:lang w:val="de-DE"/>
              </w:rPr>
              <w:t>[</w:t>
            </w:r>
            <w:r w:rsidRPr="009A2A75">
              <w:rPr>
                <w:lang w:val="de-DE"/>
              </w:rPr>
              <w:t>falls kein Korb anwendbar ist,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871FC" w:rsidP="00F71807">
            <w:pPr>
              <w:pStyle w:val="CSBody8pt"/>
            </w:pPr>
            <w:r w:rsidRPr="002871FC">
              <w:t>Redemption upon the occurrence of a Credit Event Determination Date (including during a Potential Credit Event Period)</w:t>
            </w:r>
          </w:p>
        </w:tc>
        <w:tc>
          <w:tcPr>
            <w:tcW w:w="3315" w:type="dxa"/>
            <w:gridSpan w:val="7"/>
            <w:tcBorders>
              <w:top w:val="nil"/>
              <w:left w:val="nil"/>
              <w:bottom w:val="nil"/>
            </w:tcBorders>
            <w:shd w:val="clear" w:color="auto" w:fill="auto"/>
          </w:tcPr>
          <w:p w:rsidR="0017135D" w:rsidRPr="00123E7E" w:rsidP="00F71807">
            <w:pPr>
              <w:pStyle w:val="CSBody8pt"/>
            </w:pPr>
            <w:r w:rsidRPr="00792D61">
              <w:rPr>
                <w:b/>
              </w:rPr>
              <w:t>[</w:t>
            </w:r>
            <w:r w:rsidRPr="00F71807">
              <w:rPr>
                <w:b/>
                <w:i/>
              </w:rPr>
              <w:t>in the case of one Reference Entity, insert:</w:t>
            </w:r>
          </w:p>
        </w:tc>
        <w:tc>
          <w:tcPr>
            <w:tcW w:w="1618" w:type="dxa"/>
            <w:gridSpan w:val="2"/>
            <w:tcBorders>
              <w:top w:val="nil"/>
              <w:bottom w:val="nil"/>
              <w:right w:val="nil"/>
            </w:tcBorders>
            <w:shd w:val="clear" w:color="auto" w:fill="auto"/>
          </w:tcPr>
          <w:p w:rsidR="0017135D" w:rsidRPr="00936A4F" w:rsidP="00F134DE">
            <w:pPr>
              <w:pStyle w:val="CSBody8pt"/>
              <w:rPr>
                <w:lang w:val="de-DE"/>
              </w:rPr>
            </w:pPr>
            <w:r w:rsidRPr="00936A4F">
              <w:rPr>
                <w:lang w:val="de-DE"/>
              </w:rPr>
              <w:t>Rückzahlung nach Eintritt eines Kreditereignis-Feststellungstags (einschliesslich während eines Zeitraums eines Potenziellen Kreditereignisses)</w:t>
            </w:r>
          </w:p>
        </w:tc>
        <w:tc>
          <w:tcPr>
            <w:tcW w:w="3318" w:type="dxa"/>
            <w:gridSpan w:val="10"/>
            <w:tcBorders>
              <w:top w:val="nil"/>
              <w:left w:val="nil"/>
              <w:bottom w:val="nil"/>
              <w:right w:val="nil"/>
            </w:tcBorders>
            <w:shd w:val="clear" w:color="auto" w:fill="auto"/>
          </w:tcPr>
          <w:p w:rsidR="0017135D" w:rsidRPr="002871FC" w:rsidP="004C1EBA">
            <w:pPr>
              <w:pStyle w:val="CSBody8pt"/>
              <w:rPr>
                <w:lang w:val="de-DE"/>
              </w:rPr>
            </w:pPr>
            <w:r w:rsidRPr="00792D61">
              <w:rPr>
                <w:b/>
                <w:lang w:val="de-DE"/>
              </w:rPr>
              <w:t>[</w:t>
            </w:r>
            <w:r w:rsidRPr="00F71807">
              <w:rPr>
                <w:b/>
                <w:i/>
                <w:lang w:val="de-DE"/>
              </w:rPr>
              <w:t xml:space="preserve">bei einem Referenzschuldner, einfügen: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871FC" w:rsidP="00F71807">
            <w:pPr>
              <w:pStyle w:val="CSBody8pt"/>
              <w:rPr>
                <w:lang w:val="de-DE"/>
              </w:rPr>
            </w:pPr>
          </w:p>
        </w:tc>
        <w:tc>
          <w:tcPr>
            <w:tcW w:w="3315" w:type="dxa"/>
            <w:gridSpan w:val="7"/>
            <w:tcBorders>
              <w:top w:val="nil"/>
              <w:left w:val="nil"/>
              <w:bottom w:val="nil"/>
            </w:tcBorders>
            <w:shd w:val="clear" w:color="auto" w:fill="auto"/>
          </w:tcPr>
          <w:p w:rsidR="0017135D" w:rsidP="00F71807">
            <w:pPr>
              <w:pStyle w:val="CSBody8pt"/>
            </w:pPr>
            <w:r w:rsidRPr="00123E7E">
              <w:t xml:space="preserve">Unless </w:t>
            </w:r>
            <w:r>
              <w:t xml:space="preserve">the Complex Products have been </w:t>
            </w:r>
            <w:r w:rsidRPr="00123E7E">
              <w:t>previously redeemed, repurchased or cancelled,</w:t>
            </w:r>
          </w:p>
        </w:tc>
        <w:tc>
          <w:tcPr>
            <w:tcW w:w="1618" w:type="dxa"/>
            <w:gridSpan w:val="2"/>
            <w:tcBorders>
              <w:top w:val="nil"/>
              <w:bottom w:val="nil"/>
              <w:right w:val="nil"/>
            </w:tcBorders>
            <w:shd w:val="clear" w:color="auto" w:fill="auto"/>
          </w:tcPr>
          <w:p w:rsidR="0017135D" w:rsidRPr="002871FC" w:rsidP="00F71807">
            <w:pPr>
              <w:pStyle w:val="CSBody8pt"/>
              <w:rPr>
                <w:i/>
              </w:rPr>
            </w:pPr>
          </w:p>
        </w:tc>
        <w:tc>
          <w:tcPr>
            <w:tcW w:w="3318" w:type="dxa"/>
            <w:gridSpan w:val="10"/>
            <w:tcBorders>
              <w:top w:val="nil"/>
              <w:left w:val="nil"/>
              <w:bottom w:val="nil"/>
              <w:right w:val="nil"/>
            </w:tcBorders>
            <w:shd w:val="clear" w:color="auto" w:fill="auto"/>
          </w:tcPr>
          <w:p w:rsidR="0017135D" w:rsidRPr="002871FC" w:rsidP="00F71807">
            <w:pPr>
              <w:pStyle w:val="CSBody8pt"/>
              <w:rPr>
                <w:lang w:val="de-DE"/>
              </w:rPr>
            </w:pPr>
            <w:r w:rsidRPr="002871FC">
              <w:rPr>
                <w:lang w:val="de-DE"/>
              </w:rPr>
              <w:t>Sofern die Komplexen Produkte nicht bereits zuvor zurückgezahlt, zurückgekauft oder entwertet wurden, wird die Emittentin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871FC" w:rsidP="00F71807">
            <w:pPr>
              <w:pStyle w:val="CSManNum8pt"/>
              <w:rPr>
                <w:lang w:val="de-DE"/>
              </w:rPr>
            </w:pPr>
          </w:p>
        </w:tc>
        <w:tc>
          <w:tcPr>
            <w:tcW w:w="3315" w:type="dxa"/>
            <w:gridSpan w:val="7"/>
            <w:tcBorders>
              <w:top w:val="nil"/>
              <w:left w:val="nil"/>
              <w:bottom w:val="nil"/>
            </w:tcBorders>
            <w:shd w:val="clear" w:color="auto" w:fill="auto"/>
          </w:tcPr>
          <w:p w:rsidR="0017135D" w:rsidRPr="001F0FB5" w:rsidP="00F71807">
            <w:pPr>
              <w:pStyle w:val="CSManNum8pt"/>
            </w:pPr>
            <w:r w:rsidRPr="001F0FB5">
              <w:t>(i)</w:t>
            </w:r>
            <w:r w:rsidRPr="001F0FB5">
              <w:tab/>
              <w:t>upon the occurrence of a Credit Event Determination Date on or prior to the Scheduled Maturity Date; or</w:t>
            </w:r>
          </w:p>
        </w:tc>
        <w:tc>
          <w:tcPr>
            <w:tcW w:w="1618" w:type="dxa"/>
            <w:gridSpan w:val="2"/>
            <w:tcBorders>
              <w:top w:val="nil"/>
              <w:bottom w:val="nil"/>
              <w:right w:val="nil"/>
            </w:tcBorders>
            <w:shd w:val="clear" w:color="auto" w:fill="auto"/>
          </w:tcPr>
          <w:p w:rsidR="0017135D" w:rsidRPr="001F0FB5" w:rsidP="00F71807">
            <w:pPr>
              <w:pStyle w:val="CSManNum8pt"/>
              <w:rPr>
                <w:i/>
              </w:rPr>
            </w:pPr>
          </w:p>
        </w:tc>
        <w:tc>
          <w:tcPr>
            <w:tcW w:w="3318" w:type="dxa"/>
            <w:gridSpan w:val="10"/>
            <w:tcBorders>
              <w:top w:val="nil"/>
              <w:left w:val="nil"/>
              <w:bottom w:val="nil"/>
              <w:right w:val="nil"/>
            </w:tcBorders>
            <w:shd w:val="clear" w:color="auto" w:fill="auto"/>
          </w:tcPr>
          <w:p w:rsidR="0017135D" w:rsidRPr="001F0FB5" w:rsidP="00F71807">
            <w:pPr>
              <w:pStyle w:val="CSManNum8pt"/>
              <w:rPr>
                <w:bCs/>
                <w:lang w:val="de-DE"/>
              </w:rPr>
            </w:pPr>
            <w:r w:rsidRPr="001F0FB5">
              <w:rPr>
                <w:bCs/>
                <w:lang w:val="de-DE"/>
              </w:rPr>
              <w:t>(i)</w:t>
            </w:r>
            <w:r w:rsidRPr="001F0FB5">
              <w:rPr>
                <w:bCs/>
                <w:lang w:val="de-DE"/>
              </w:rPr>
              <w:tab/>
              <w:t>nach Eintritt eines Kreditereignis-Feststellungstags an oder vor dem Planmässigen Fälligkeitstag;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F0FB5" w:rsidP="00F71807">
            <w:pPr>
              <w:pStyle w:val="CSManNum8pt"/>
              <w:rPr>
                <w:lang w:val="de-DE"/>
              </w:rPr>
            </w:pPr>
          </w:p>
        </w:tc>
        <w:tc>
          <w:tcPr>
            <w:tcW w:w="3315" w:type="dxa"/>
            <w:gridSpan w:val="7"/>
            <w:tcBorders>
              <w:top w:val="nil"/>
              <w:left w:val="nil"/>
              <w:bottom w:val="nil"/>
            </w:tcBorders>
            <w:shd w:val="clear" w:color="auto" w:fill="auto"/>
          </w:tcPr>
          <w:p w:rsidR="0017135D" w:rsidRPr="001F0FB5" w:rsidP="00F71807">
            <w:pPr>
              <w:pStyle w:val="CSManNum8pt"/>
            </w:pPr>
            <w:r w:rsidRPr="001F0FB5">
              <w:t>(ii)</w:t>
            </w:r>
            <w:r w:rsidRPr="001F0FB5">
              <w:tab/>
              <w:t xml:space="preserve">if no Credit Event Determination Date has occurred on or prior to, but a Potential Credit Event Period has occurred on or prior to, and is continuing on, the Scheduled Maturity Date, and the relevant Potential Failure to Pay </w:t>
            </w:r>
            <w:r w:rsidRPr="00792D61">
              <w:rPr>
                <w:b/>
              </w:rPr>
              <w:t>[</w:t>
            </w:r>
            <w:r w:rsidRPr="00F71807">
              <w:rPr>
                <w:b/>
                <w:i/>
              </w:rPr>
              <w:t>if Repudiation/ Moratorium is applicable, insert:</w:t>
            </w:r>
            <w:r w:rsidRPr="001F0FB5">
              <w:t xml:space="preserve"> , Potential Repudiation/Moratorium</w:t>
            </w:r>
            <w:r w:rsidRPr="00792D61">
              <w:rPr>
                <w:b/>
              </w:rPr>
              <w:t>]</w:t>
            </w:r>
            <w:r w:rsidRPr="001F0FB5">
              <w:t xml:space="preserve"> or DC Pending Request, as the case may be, results in the occurrence of a Credit Event Determination Date as determined on or prior to the last day of such Potential Credit Event Period,</w:t>
            </w:r>
          </w:p>
        </w:tc>
        <w:tc>
          <w:tcPr>
            <w:tcW w:w="1618" w:type="dxa"/>
            <w:gridSpan w:val="2"/>
            <w:tcBorders>
              <w:top w:val="nil"/>
              <w:bottom w:val="nil"/>
              <w:right w:val="nil"/>
            </w:tcBorders>
            <w:shd w:val="clear" w:color="auto" w:fill="auto"/>
          </w:tcPr>
          <w:p w:rsidR="0017135D" w:rsidRPr="001F0FB5" w:rsidP="00F71807">
            <w:pPr>
              <w:pStyle w:val="CSManNum8pt"/>
              <w:rPr>
                <w:i/>
              </w:rPr>
            </w:pPr>
          </w:p>
        </w:tc>
        <w:tc>
          <w:tcPr>
            <w:tcW w:w="3318" w:type="dxa"/>
            <w:gridSpan w:val="10"/>
            <w:tcBorders>
              <w:top w:val="nil"/>
              <w:left w:val="nil"/>
              <w:bottom w:val="nil"/>
              <w:right w:val="nil"/>
            </w:tcBorders>
            <w:shd w:val="clear" w:color="auto" w:fill="auto"/>
          </w:tcPr>
          <w:p w:rsidR="0017135D" w:rsidRPr="001F0FB5" w:rsidP="00F134DE">
            <w:pPr>
              <w:pStyle w:val="CSManNum8pt"/>
              <w:rPr>
                <w:bCs/>
                <w:lang w:val="de-DE"/>
              </w:rPr>
            </w:pPr>
            <w:r w:rsidRPr="001F0FB5">
              <w:rPr>
                <w:bCs/>
                <w:lang w:val="de-DE"/>
              </w:rPr>
              <w:t xml:space="preserve">(ii) </w:t>
            </w:r>
            <w:r w:rsidRPr="001F0FB5">
              <w:rPr>
                <w:bCs/>
                <w:lang w:val="de-DE"/>
              </w:rPr>
              <w:tab/>
              <w:t xml:space="preserve">wenn kein Kreditereignis-Feststellungstag an oder vor dem Planmässigen Fälligkeitstag eingetreten ist, aber an oder vor dem Planmässigen Fälligkeitstag ein Zeitraum eines Potenziellen Kreditereignisses eingetreten ist und am Planmässigen Fälligkeitstag andauert und die betreffende Potenzielle Nichtzahlung </w:t>
            </w:r>
            <w:r w:rsidRPr="00792D61">
              <w:rPr>
                <w:b/>
                <w:bCs/>
                <w:lang w:val="de-DE"/>
              </w:rPr>
              <w:t>[</w:t>
            </w:r>
            <w:r w:rsidRPr="00F71807">
              <w:rPr>
                <w:b/>
                <w:bCs/>
                <w:i/>
                <w:lang w:val="de-DE"/>
              </w:rPr>
              <w:t>wenn Nichtanerkennung/Moratorium anwendbar ist, einfügen:</w:t>
            </w:r>
            <w:r w:rsidRPr="001F0FB5">
              <w:rPr>
                <w:bCs/>
                <w:lang w:val="de-DE"/>
              </w:rPr>
              <w:t xml:space="preserve"> , die betreffende Potenzielle Nichtanerkennung/das betreffende Potenzielle Moratorium</w:t>
            </w:r>
            <w:r w:rsidRPr="00792D61">
              <w:rPr>
                <w:b/>
                <w:bCs/>
                <w:lang w:val="de-DE"/>
              </w:rPr>
              <w:t>]</w:t>
            </w:r>
            <w:r w:rsidRPr="001F0FB5">
              <w:rPr>
                <w:bCs/>
                <w:lang w:val="de-DE"/>
              </w:rPr>
              <w:t xml:space="preserve"> oder der betreffende Ausstehende Antrag, je nachdem was vorliegt, zu einem Kreditereignis-Feststellungstag, wie an oder vor dem letzten Tag dieses Zeitraums eines Potenziellen Kreditereignisses festgestellt, führt,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F0FB5" w:rsidP="00F71807">
            <w:pPr>
              <w:pStyle w:val="CSBody8pt"/>
              <w:rPr>
                <w:lang w:val="de-DE"/>
              </w:rPr>
            </w:pPr>
          </w:p>
        </w:tc>
        <w:tc>
          <w:tcPr>
            <w:tcW w:w="3315" w:type="dxa"/>
            <w:gridSpan w:val="7"/>
            <w:tcBorders>
              <w:top w:val="nil"/>
              <w:left w:val="nil"/>
              <w:bottom w:val="nil"/>
            </w:tcBorders>
            <w:shd w:val="clear" w:color="auto" w:fill="auto"/>
          </w:tcPr>
          <w:p w:rsidR="0017135D" w:rsidRPr="00E83B9A" w:rsidP="00F71807">
            <w:pPr>
              <w:pStyle w:val="CSBody8pt"/>
            </w:pPr>
            <w:r w:rsidRPr="00E83B9A">
              <w:t xml:space="preserve">the Issuer shall give notice thereof to the Holders in accordance with Section </w:t>
            </w:r>
            <w:r w:rsidRPr="00792D61">
              <w:rPr>
                <w:b/>
              </w:rPr>
              <w:t>[</w:t>
            </w:r>
            <w:r w:rsidRPr="00E83B9A">
              <w:t>8</w:t>
            </w:r>
            <w:r w:rsidRPr="00792D61">
              <w:rPr>
                <w:b/>
              </w:rPr>
              <w:t>][</w:t>
            </w:r>
            <w:r w:rsidRPr="00E83B9A">
              <w:rPr>
                <w:rFonts w:ascii="Arial" w:hAnsi="Arial" w:cs="Arial"/>
              </w:rPr>
              <w:t>●</w:t>
            </w:r>
            <w:r w:rsidRPr="00792D61">
              <w:rPr>
                <w:b/>
              </w:rPr>
              <w:t>]</w:t>
            </w:r>
            <w:r w:rsidRPr="00E83B9A">
              <w:t xml:space="preserve"> (to the extent the Issuer has not previously delivered a Credit Event Notice in this respect to the Holders) and redeem the Complex Products in whole, but not in part, on the Auction Redemption Date (or, if a Fallback Settlement Event occurs, on the Cash Redemption Date) at the Auction Redemption Amount (or, if a Fallback Settlement Event occurs, at the Cash Redemption Amount).</w:t>
            </w:r>
            <w:r w:rsidRPr="00792D61">
              <w:rPr>
                <w:b/>
              </w:rPr>
              <w:t>]</w:t>
            </w:r>
          </w:p>
        </w:tc>
        <w:tc>
          <w:tcPr>
            <w:tcW w:w="1618" w:type="dxa"/>
            <w:gridSpan w:val="2"/>
            <w:tcBorders>
              <w:top w:val="nil"/>
              <w:bottom w:val="nil"/>
              <w:right w:val="nil"/>
            </w:tcBorders>
            <w:shd w:val="clear" w:color="auto" w:fill="auto"/>
          </w:tcPr>
          <w:p w:rsidR="0017135D" w:rsidRPr="001F0FB5" w:rsidP="00F71807">
            <w:pPr>
              <w:pStyle w:val="CSBody8pt"/>
              <w:rPr>
                <w:i/>
              </w:rPr>
            </w:pPr>
          </w:p>
        </w:tc>
        <w:tc>
          <w:tcPr>
            <w:tcW w:w="3318" w:type="dxa"/>
            <w:gridSpan w:val="10"/>
            <w:tcBorders>
              <w:top w:val="nil"/>
              <w:left w:val="nil"/>
              <w:bottom w:val="nil"/>
              <w:right w:val="nil"/>
            </w:tcBorders>
            <w:shd w:val="clear" w:color="auto" w:fill="auto"/>
          </w:tcPr>
          <w:p w:rsidR="0017135D" w:rsidRPr="001F0FB5" w:rsidP="00F71807">
            <w:pPr>
              <w:pStyle w:val="CSBody8pt"/>
              <w:rPr>
                <w:lang w:val="de-DE"/>
              </w:rPr>
            </w:pPr>
            <w:r w:rsidRPr="001F0FB5">
              <w:rPr>
                <w:lang w:val="de-DE"/>
              </w:rPr>
              <w:t xml:space="preserve">den Inhabern den Eintritt dieses Ereignisses gemäss Ziffer </w:t>
            </w:r>
            <w:r w:rsidRPr="00792D61">
              <w:rPr>
                <w:b/>
                <w:lang w:val="de-DE"/>
              </w:rPr>
              <w:t>[</w:t>
            </w:r>
            <w:r w:rsidRPr="001F0FB5">
              <w:rPr>
                <w:lang w:val="de-DE"/>
              </w:rPr>
              <w:t>8</w:t>
            </w:r>
            <w:r w:rsidRPr="00792D61">
              <w:rPr>
                <w:b/>
                <w:lang w:val="de-DE"/>
              </w:rPr>
              <w:t>][</w:t>
            </w:r>
            <w:r w:rsidRPr="001F0FB5">
              <w:rPr>
                <w:rFonts w:ascii="Arial" w:hAnsi="Arial" w:cs="Arial"/>
                <w:lang w:val="de-DE"/>
              </w:rPr>
              <w:t>●</w:t>
            </w:r>
            <w:r w:rsidRPr="00792D61">
              <w:rPr>
                <w:b/>
                <w:lang w:val="de-DE"/>
              </w:rPr>
              <w:t>]</w:t>
            </w:r>
            <w:r w:rsidRPr="001F0FB5">
              <w:rPr>
                <w:lang w:val="de-DE"/>
              </w:rPr>
              <w:t xml:space="preserve"> mitteilen (soweit die Emittentin nicht bereits zuvor den Inhabern eine Kreditereignismiteilung in Bezug hierauf </w:t>
            </w:r>
            <w:r w:rsidRPr="001F0FB5">
              <w:rPr>
                <w:rFonts w:cs="Credit Suisse Type Light"/>
                <w:lang w:val="de-DE"/>
              </w:rPr>
              <w:t>ü</w:t>
            </w:r>
            <w:r w:rsidRPr="001F0FB5">
              <w:rPr>
                <w:lang w:val="de-DE"/>
              </w:rPr>
              <w:t>bersandt hat) und die Komplexen Produkte insgesamt, aber nicht teilweise am Auktions-Rückzahlungstag (oder, falls ein Ereignis der Alternativen Abwicklung eintritt, am Barrückzahlungstag) zum Auktions-Rückzahlunsbetrag (oder, falls ein Ereignis der Alternativen Abwicklung eintritt, zum Barrückzahlungsbetrag) zurück zahlen.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F0FB5" w:rsidP="00F71807">
            <w:pPr>
              <w:pStyle w:val="CSBody8ptbolditalics"/>
              <w:rPr>
                <w:lang w:val="de-DE"/>
              </w:rPr>
            </w:pPr>
          </w:p>
        </w:tc>
        <w:tc>
          <w:tcPr>
            <w:tcW w:w="3315" w:type="dxa"/>
            <w:gridSpan w:val="7"/>
            <w:tcBorders>
              <w:top w:val="nil"/>
              <w:left w:val="nil"/>
              <w:bottom w:val="nil"/>
            </w:tcBorders>
            <w:shd w:val="clear" w:color="auto" w:fill="auto"/>
          </w:tcPr>
          <w:p w:rsidR="0017135D" w:rsidRPr="00E83B9A" w:rsidP="00F71807">
            <w:pPr>
              <w:pStyle w:val="CSBody8ptbolditalics"/>
            </w:pPr>
            <w:r w:rsidRPr="00792D61">
              <w:t>[</w:t>
            </w:r>
            <w:r w:rsidRPr="00E83B9A">
              <w:t>in the case of an N</w:t>
            </w:r>
            <w:r w:rsidRPr="00BD6E0D">
              <w:rPr>
                <w:vertAlign w:val="superscript"/>
              </w:rPr>
              <w:t>th</w:t>
            </w:r>
            <w:r w:rsidRPr="00E83B9A">
              <w:t>-to-Default structure, insert:</w:t>
            </w:r>
          </w:p>
        </w:tc>
        <w:tc>
          <w:tcPr>
            <w:tcW w:w="1618" w:type="dxa"/>
            <w:gridSpan w:val="2"/>
            <w:tcBorders>
              <w:top w:val="nil"/>
              <w:bottom w:val="nil"/>
              <w:right w:val="nil"/>
            </w:tcBorders>
            <w:shd w:val="clear" w:color="auto" w:fill="auto"/>
          </w:tcPr>
          <w:p w:rsidR="0017135D" w:rsidRPr="001F0FB5" w:rsidP="00F71807">
            <w:pPr>
              <w:pStyle w:val="CSBody8ptbolditalics"/>
            </w:pPr>
          </w:p>
        </w:tc>
        <w:tc>
          <w:tcPr>
            <w:tcW w:w="3318" w:type="dxa"/>
            <w:gridSpan w:val="10"/>
            <w:tcBorders>
              <w:top w:val="nil"/>
              <w:left w:val="nil"/>
              <w:bottom w:val="nil"/>
              <w:right w:val="nil"/>
            </w:tcBorders>
            <w:shd w:val="clear" w:color="auto" w:fill="auto"/>
          </w:tcPr>
          <w:p w:rsidR="0017135D" w:rsidRPr="001F0FB5" w:rsidP="00F71807">
            <w:pPr>
              <w:pStyle w:val="CSBody8ptbolditalics"/>
              <w:rPr>
                <w:lang w:val="de-DE"/>
              </w:rPr>
            </w:pPr>
            <w:r w:rsidRPr="00792D61">
              <w:rPr>
                <w:lang w:val="de-DE"/>
              </w:rPr>
              <w:t>[</w:t>
            </w:r>
            <w:r w:rsidRPr="001F0FB5">
              <w:rPr>
                <w:lang w:val="de-DE"/>
              </w:rPr>
              <w:t>bei Komplexen Produkten mit N</w:t>
            </w:r>
            <w:r w:rsidRPr="00BD6E0D">
              <w:rPr>
                <w:vertAlign w:val="superscript"/>
                <w:lang w:val="de-DE"/>
              </w:rPr>
              <w:t>th</w:t>
            </w:r>
            <w:r w:rsidRPr="001F0FB5">
              <w:rPr>
                <w:lang w:val="de-DE"/>
              </w:rPr>
              <w:t>-to-Default-Struktur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F0FB5" w:rsidP="00F71807">
            <w:pPr>
              <w:pStyle w:val="CSBody8pt"/>
              <w:rPr>
                <w:lang w:val="de-DE"/>
              </w:rPr>
            </w:pPr>
          </w:p>
        </w:tc>
        <w:tc>
          <w:tcPr>
            <w:tcW w:w="3315" w:type="dxa"/>
            <w:gridSpan w:val="7"/>
            <w:tcBorders>
              <w:top w:val="nil"/>
              <w:left w:val="nil"/>
              <w:bottom w:val="nil"/>
            </w:tcBorders>
            <w:shd w:val="clear" w:color="auto" w:fill="auto"/>
          </w:tcPr>
          <w:p w:rsidR="0017135D" w:rsidP="00F71807">
            <w:pPr>
              <w:pStyle w:val="CSBody8pt"/>
            </w:pPr>
            <w:r w:rsidRPr="00E83B9A">
              <w:t xml:space="preserve">Unless </w:t>
            </w:r>
            <w:r>
              <w:t xml:space="preserve">the Complex Products have been </w:t>
            </w:r>
            <w:r w:rsidRPr="00E83B9A">
              <w:t>previously redeemed, repurchased or cancelled,</w:t>
            </w:r>
          </w:p>
        </w:tc>
        <w:tc>
          <w:tcPr>
            <w:tcW w:w="1618" w:type="dxa"/>
            <w:gridSpan w:val="2"/>
            <w:tcBorders>
              <w:top w:val="nil"/>
              <w:bottom w:val="nil"/>
              <w:right w:val="nil"/>
            </w:tcBorders>
            <w:shd w:val="clear" w:color="auto" w:fill="auto"/>
          </w:tcPr>
          <w:p w:rsidR="0017135D" w:rsidRPr="001F0FB5" w:rsidP="00F71807">
            <w:pPr>
              <w:pStyle w:val="CSBody8pt"/>
              <w:rPr>
                <w:i/>
              </w:rPr>
            </w:pPr>
          </w:p>
        </w:tc>
        <w:tc>
          <w:tcPr>
            <w:tcW w:w="3318" w:type="dxa"/>
            <w:gridSpan w:val="10"/>
            <w:tcBorders>
              <w:top w:val="nil"/>
              <w:left w:val="nil"/>
              <w:bottom w:val="nil"/>
              <w:right w:val="nil"/>
            </w:tcBorders>
            <w:shd w:val="clear" w:color="auto" w:fill="auto"/>
          </w:tcPr>
          <w:p w:rsidR="0017135D" w:rsidRPr="001F0FB5" w:rsidP="00F71807">
            <w:pPr>
              <w:pStyle w:val="CSBody8pt"/>
              <w:rPr>
                <w:lang w:val="de-DE"/>
              </w:rPr>
            </w:pPr>
            <w:r w:rsidRPr="001F0FB5">
              <w:rPr>
                <w:lang w:val="de-DE"/>
              </w:rPr>
              <w:t>Sofern die Komplexen Produkte nicht bereits zuvor zurückgezahlt, zurückgekauft oder entwertet wurden, wird die Emittentin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F0FB5" w:rsidP="00F71807">
            <w:pPr>
              <w:pStyle w:val="CSManNum8pt"/>
              <w:rPr>
                <w:lang w:val="de-DE"/>
              </w:rPr>
            </w:pPr>
          </w:p>
        </w:tc>
        <w:tc>
          <w:tcPr>
            <w:tcW w:w="3315" w:type="dxa"/>
            <w:gridSpan w:val="7"/>
            <w:tcBorders>
              <w:top w:val="nil"/>
              <w:left w:val="nil"/>
              <w:bottom w:val="nil"/>
            </w:tcBorders>
            <w:shd w:val="clear" w:color="auto" w:fill="auto"/>
          </w:tcPr>
          <w:p w:rsidR="0017135D" w:rsidRPr="00881D8B" w:rsidP="00F71807">
            <w:pPr>
              <w:pStyle w:val="CSManNum8pt"/>
            </w:pPr>
            <w:r w:rsidRPr="00881D8B">
              <w:t>(i)</w:t>
            </w:r>
            <w:r w:rsidRPr="00881D8B">
              <w:tab/>
              <w:t xml:space="preserve">upon the occurrence of a Credit Event Determination Date with respect to the </w:t>
            </w:r>
            <w:r w:rsidRPr="00792D61">
              <w:rPr>
                <w:b/>
              </w:rPr>
              <w:t>[</w:t>
            </w:r>
            <w:r w:rsidRPr="00F71807">
              <w:rPr>
                <w:b/>
                <w:i/>
              </w:rPr>
              <w:t>insert relevant number:</w:t>
            </w:r>
            <w:r w:rsidRPr="00881D8B">
              <w:t xml:space="preserve"> </w:t>
            </w:r>
            <w:r w:rsidRPr="00792D61">
              <w:rPr>
                <w:b/>
              </w:rPr>
              <w:t>[</w:t>
            </w:r>
            <w:r w:rsidRPr="00881D8B">
              <w:t>1st</w:t>
            </w:r>
            <w:r w:rsidRPr="00792D61">
              <w:rPr>
                <w:b/>
              </w:rPr>
              <w:t>][</w:t>
            </w:r>
            <w:r w:rsidRPr="00881D8B">
              <w:t>2nd</w:t>
            </w:r>
            <w:r w:rsidRPr="00792D61">
              <w:rPr>
                <w:b/>
              </w:rPr>
              <w:t>][</w:t>
            </w:r>
            <w:r w:rsidRPr="00881D8B">
              <w:t>3rd</w:t>
            </w:r>
            <w:r w:rsidRPr="00792D61">
              <w:rPr>
                <w:b/>
              </w:rPr>
              <w:t>]</w:t>
            </w:r>
            <w:r w:rsidRPr="00881D8B">
              <w:t xml:space="preserve"> </w:t>
            </w:r>
            <w:r w:rsidRPr="00792D61">
              <w:rPr>
                <w:b/>
              </w:rPr>
              <w:t>[[</w:t>
            </w:r>
            <w:r w:rsidRPr="00881D8B">
              <w:rPr>
                <w:rFonts w:ascii="Arial" w:hAnsi="Arial" w:cs="Arial"/>
              </w:rPr>
              <w:t>●</w:t>
            </w:r>
            <w:r w:rsidRPr="00792D61">
              <w:rPr>
                <w:b/>
              </w:rPr>
              <w:t>]]]</w:t>
            </w:r>
            <w:r w:rsidRPr="00881D8B">
              <w:t>-to-Default Reference Entity on or prior to the Scheduled Maturity Date; or</w:t>
            </w:r>
          </w:p>
        </w:tc>
        <w:tc>
          <w:tcPr>
            <w:tcW w:w="1618" w:type="dxa"/>
            <w:gridSpan w:val="2"/>
            <w:tcBorders>
              <w:top w:val="nil"/>
              <w:bottom w:val="nil"/>
              <w:right w:val="nil"/>
            </w:tcBorders>
            <w:shd w:val="clear" w:color="auto" w:fill="auto"/>
          </w:tcPr>
          <w:p w:rsidR="0017135D" w:rsidRPr="00881D8B" w:rsidP="00F71807">
            <w:pPr>
              <w:pStyle w:val="CSManNum8pt"/>
              <w:rPr>
                <w:i/>
              </w:rPr>
            </w:pPr>
          </w:p>
        </w:tc>
        <w:tc>
          <w:tcPr>
            <w:tcW w:w="3318" w:type="dxa"/>
            <w:gridSpan w:val="10"/>
            <w:tcBorders>
              <w:top w:val="nil"/>
              <w:left w:val="nil"/>
              <w:bottom w:val="nil"/>
              <w:right w:val="nil"/>
            </w:tcBorders>
            <w:shd w:val="clear" w:color="auto" w:fill="auto"/>
          </w:tcPr>
          <w:p w:rsidR="0017135D" w:rsidRPr="00881D8B" w:rsidP="00F71807">
            <w:pPr>
              <w:pStyle w:val="CSManNum8pt"/>
              <w:rPr>
                <w:bCs/>
                <w:lang w:val="de-DE"/>
              </w:rPr>
            </w:pPr>
            <w:r w:rsidRPr="00881D8B">
              <w:rPr>
                <w:bCs/>
                <w:lang w:val="de-DE"/>
              </w:rPr>
              <w:t>(i)</w:t>
            </w:r>
            <w:r w:rsidRPr="00881D8B">
              <w:rPr>
                <w:bCs/>
                <w:lang w:val="de-DE"/>
              </w:rPr>
              <w:tab/>
              <w:t xml:space="preserve">nach Eintritt eines Kreditereignis-Feststellungstags in Bezug auf den </w:t>
            </w:r>
            <w:r w:rsidRPr="00792D61">
              <w:rPr>
                <w:b/>
                <w:bCs/>
                <w:lang w:val="de-DE"/>
              </w:rPr>
              <w:t>[</w:t>
            </w:r>
            <w:r w:rsidRPr="00F71807">
              <w:rPr>
                <w:b/>
                <w:bCs/>
                <w:i/>
                <w:lang w:val="de-DE"/>
              </w:rPr>
              <w:t xml:space="preserve">jeweilige Zahl einfügen: </w:t>
            </w:r>
            <w:r w:rsidRPr="00792D61">
              <w:rPr>
                <w:b/>
                <w:bCs/>
                <w:lang w:val="de-DE"/>
              </w:rPr>
              <w:t>[</w:t>
            </w:r>
            <w:r w:rsidRPr="00881D8B">
              <w:rPr>
                <w:bCs/>
                <w:lang w:val="de-DE"/>
              </w:rPr>
              <w:t>1st</w:t>
            </w:r>
            <w:r w:rsidRPr="00792D61">
              <w:rPr>
                <w:b/>
                <w:bCs/>
                <w:lang w:val="de-DE"/>
              </w:rPr>
              <w:t>][</w:t>
            </w:r>
            <w:r w:rsidRPr="00881D8B">
              <w:rPr>
                <w:bCs/>
                <w:lang w:val="de-DE"/>
              </w:rPr>
              <w:t>2nd</w:t>
            </w:r>
            <w:r w:rsidRPr="00792D61">
              <w:rPr>
                <w:b/>
                <w:bCs/>
                <w:lang w:val="de-DE"/>
              </w:rPr>
              <w:t>][</w:t>
            </w:r>
            <w:r w:rsidRPr="00881D8B">
              <w:rPr>
                <w:bCs/>
                <w:lang w:val="de-DE"/>
              </w:rPr>
              <w:t>3rd</w:t>
            </w:r>
            <w:r w:rsidRPr="00792D61">
              <w:rPr>
                <w:b/>
                <w:bCs/>
                <w:lang w:val="de-DE"/>
              </w:rPr>
              <w:t>][[</w:t>
            </w:r>
            <w:r w:rsidRPr="00881D8B">
              <w:rPr>
                <w:rFonts w:ascii="Arial" w:hAnsi="Arial" w:cs="Arial"/>
                <w:bCs/>
                <w:lang w:val="de-DE"/>
              </w:rPr>
              <w:t>●</w:t>
            </w:r>
            <w:r w:rsidRPr="00792D61">
              <w:rPr>
                <w:b/>
                <w:bCs/>
                <w:lang w:val="de-DE"/>
              </w:rPr>
              <w:t>]]]</w:t>
            </w:r>
            <w:r w:rsidRPr="00881D8B">
              <w:rPr>
                <w:bCs/>
                <w:lang w:val="de-DE"/>
              </w:rPr>
              <w:t>-to-Default-Referenzschuldner an oder vor dem Planm</w:t>
            </w:r>
            <w:r w:rsidRPr="00881D8B">
              <w:rPr>
                <w:rFonts w:cs="Credit Suisse Type Light"/>
                <w:bCs/>
                <w:lang w:val="de-DE"/>
              </w:rPr>
              <w:t>ä</w:t>
            </w:r>
            <w:r w:rsidRPr="00881D8B">
              <w:rPr>
                <w:bCs/>
                <w:lang w:val="de-DE"/>
              </w:rPr>
              <w:t>ssigen F</w:t>
            </w:r>
            <w:r w:rsidRPr="00881D8B">
              <w:rPr>
                <w:rFonts w:cs="Credit Suisse Type Light"/>
                <w:bCs/>
                <w:lang w:val="de-DE"/>
              </w:rPr>
              <w:t>ä</w:t>
            </w:r>
            <w:r w:rsidRPr="00881D8B">
              <w:rPr>
                <w:bCs/>
                <w:lang w:val="de-DE"/>
              </w:rPr>
              <w:t>lligkeitstag;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F71807">
            <w:pPr>
              <w:pStyle w:val="CSManNum8pt"/>
              <w:rPr>
                <w:lang w:val="de-DE"/>
              </w:rPr>
            </w:pPr>
          </w:p>
        </w:tc>
        <w:tc>
          <w:tcPr>
            <w:tcW w:w="3315" w:type="dxa"/>
            <w:gridSpan w:val="7"/>
            <w:tcBorders>
              <w:top w:val="nil"/>
              <w:left w:val="nil"/>
              <w:bottom w:val="nil"/>
            </w:tcBorders>
            <w:shd w:val="clear" w:color="auto" w:fill="auto"/>
          </w:tcPr>
          <w:p w:rsidR="0017135D" w:rsidRPr="00881D8B" w:rsidP="00F134DE">
            <w:pPr>
              <w:pStyle w:val="CSManNum8pt"/>
            </w:pPr>
            <w:r w:rsidRPr="00881D8B">
              <w:t>(ii)</w:t>
            </w:r>
            <w:r w:rsidRPr="00881D8B">
              <w:tab/>
              <w:t xml:space="preserve">if no Credit Event Determination Date with respect to the </w:t>
            </w:r>
            <w:r w:rsidRPr="00792D61">
              <w:rPr>
                <w:b/>
              </w:rPr>
              <w:t>[</w:t>
            </w:r>
            <w:r w:rsidRPr="00F71807">
              <w:rPr>
                <w:b/>
                <w:i/>
              </w:rPr>
              <w:t>insert relevant number:</w:t>
            </w:r>
            <w:r w:rsidRPr="00881D8B">
              <w:t xml:space="preserve"> </w:t>
            </w:r>
            <w:r w:rsidRPr="00792D61">
              <w:rPr>
                <w:b/>
              </w:rPr>
              <w:t>[</w:t>
            </w:r>
            <w:r w:rsidRPr="00881D8B">
              <w:t>1st</w:t>
            </w:r>
            <w:r w:rsidRPr="00792D61">
              <w:rPr>
                <w:b/>
              </w:rPr>
              <w:t>][</w:t>
            </w:r>
            <w:r w:rsidRPr="00881D8B">
              <w:t>2nd</w:t>
            </w:r>
            <w:r w:rsidRPr="00792D61">
              <w:rPr>
                <w:b/>
              </w:rPr>
              <w:t>][</w:t>
            </w:r>
            <w:r w:rsidRPr="00881D8B">
              <w:t>3rd</w:t>
            </w:r>
            <w:r w:rsidRPr="00792D61">
              <w:rPr>
                <w:b/>
              </w:rPr>
              <w:t>]</w:t>
            </w:r>
            <w:r w:rsidRPr="00881D8B">
              <w:t xml:space="preserve"> </w:t>
            </w:r>
            <w:r w:rsidRPr="00792D61">
              <w:rPr>
                <w:b/>
              </w:rPr>
              <w:t>[[</w:t>
            </w:r>
            <w:r w:rsidRPr="00881D8B">
              <w:rPr>
                <w:rFonts w:ascii="Arial" w:hAnsi="Arial" w:cs="Arial"/>
              </w:rPr>
              <w:t>●</w:t>
            </w:r>
            <w:r w:rsidRPr="00792D61">
              <w:rPr>
                <w:b/>
              </w:rPr>
              <w:t>]]]</w:t>
            </w:r>
            <w:r w:rsidRPr="00881D8B">
              <w:t xml:space="preserve">-to-Default Reference Entity has occurred on or prior to, but a Potential Credit Event Period has occurred with respect to one or more Potential </w:t>
            </w:r>
            <w:r w:rsidRPr="00792D61">
              <w:rPr>
                <w:b/>
              </w:rPr>
              <w:t>[</w:t>
            </w:r>
            <w:r w:rsidRPr="00F71807">
              <w:rPr>
                <w:b/>
                <w:i/>
              </w:rPr>
              <w:t>insert relevant number:</w:t>
            </w:r>
            <w:r w:rsidRPr="00881D8B">
              <w:t xml:space="preserve"> </w:t>
            </w:r>
            <w:r w:rsidRPr="00792D61">
              <w:rPr>
                <w:b/>
              </w:rPr>
              <w:t>[</w:t>
            </w:r>
            <w:r w:rsidRPr="00881D8B">
              <w:t>1st</w:t>
            </w:r>
            <w:r w:rsidRPr="00792D61">
              <w:rPr>
                <w:b/>
              </w:rPr>
              <w:t>][</w:t>
            </w:r>
            <w:r w:rsidRPr="00881D8B">
              <w:t>2nd</w:t>
            </w:r>
            <w:r w:rsidRPr="00792D61">
              <w:rPr>
                <w:b/>
              </w:rPr>
              <w:t>][</w:t>
            </w:r>
            <w:r w:rsidRPr="00881D8B">
              <w:t>3rd</w:t>
            </w:r>
            <w:r w:rsidRPr="00792D61">
              <w:rPr>
                <w:b/>
              </w:rPr>
              <w:t>]</w:t>
            </w:r>
            <w:r w:rsidRPr="00881D8B">
              <w:t xml:space="preserve"> </w:t>
            </w:r>
            <w:r w:rsidRPr="00792D61">
              <w:rPr>
                <w:b/>
              </w:rPr>
              <w:t>[[</w:t>
            </w:r>
            <w:r w:rsidRPr="00881D8B">
              <w:rPr>
                <w:rFonts w:ascii="Arial" w:hAnsi="Arial" w:cs="Arial"/>
              </w:rPr>
              <w:t>●</w:t>
            </w:r>
            <w:r w:rsidRPr="00792D61">
              <w:rPr>
                <w:b/>
              </w:rPr>
              <w:t>]]]</w:t>
            </w:r>
            <w:r w:rsidRPr="00881D8B">
              <w:t xml:space="preserve">-to-Default Reference Entities on or prior to, and is continuing on, the Scheduled Maturity Date, and any such Potential </w:t>
            </w:r>
            <w:r w:rsidRPr="00792D61">
              <w:rPr>
                <w:b/>
              </w:rPr>
              <w:t>[</w:t>
            </w:r>
            <w:r w:rsidRPr="00F71807">
              <w:rPr>
                <w:b/>
                <w:i/>
              </w:rPr>
              <w:t>insert relevant number:</w:t>
            </w:r>
            <w:r w:rsidRPr="00881D8B">
              <w:t xml:space="preserve"> </w:t>
            </w:r>
            <w:r w:rsidRPr="00792D61">
              <w:rPr>
                <w:b/>
              </w:rPr>
              <w:t>[</w:t>
            </w:r>
            <w:r w:rsidRPr="00881D8B">
              <w:t>1st</w:t>
            </w:r>
            <w:r w:rsidRPr="00792D61">
              <w:rPr>
                <w:b/>
              </w:rPr>
              <w:t>][</w:t>
            </w:r>
            <w:r w:rsidRPr="00881D8B">
              <w:t>2nd</w:t>
            </w:r>
            <w:r w:rsidRPr="00792D61">
              <w:rPr>
                <w:b/>
              </w:rPr>
              <w:t>][</w:t>
            </w:r>
            <w:r w:rsidRPr="00881D8B">
              <w:t>3rd</w:t>
            </w:r>
            <w:r w:rsidRPr="00792D61">
              <w:rPr>
                <w:b/>
              </w:rPr>
              <w:t>]</w:t>
            </w:r>
            <w:r w:rsidRPr="00881D8B">
              <w:t xml:space="preserve"> </w:t>
            </w:r>
            <w:r w:rsidRPr="00792D61">
              <w:rPr>
                <w:b/>
              </w:rPr>
              <w:t>[[</w:t>
            </w:r>
            <w:r w:rsidRPr="00881D8B">
              <w:rPr>
                <w:rFonts w:ascii="Arial" w:hAnsi="Arial" w:cs="Arial"/>
              </w:rPr>
              <w:t>●</w:t>
            </w:r>
            <w:r w:rsidRPr="00792D61">
              <w:rPr>
                <w:b/>
              </w:rPr>
              <w:t>]]]</w:t>
            </w:r>
            <w:r w:rsidRPr="00881D8B">
              <w:t xml:space="preserve">-to-Default Reference Entity is determined to be the </w:t>
            </w:r>
            <w:r w:rsidRPr="00792D61">
              <w:rPr>
                <w:b/>
              </w:rPr>
              <w:t>[</w:t>
            </w:r>
            <w:r w:rsidRPr="00F71807">
              <w:rPr>
                <w:b/>
                <w:i/>
              </w:rPr>
              <w:t>insert relevant number:</w:t>
            </w:r>
            <w:r w:rsidRPr="00881D8B">
              <w:t xml:space="preserve"> </w:t>
            </w:r>
            <w:r w:rsidRPr="00792D61">
              <w:rPr>
                <w:b/>
              </w:rPr>
              <w:t>[</w:t>
            </w:r>
            <w:r w:rsidRPr="00881D8B">
              <w:t>1st</w:t>
            </w:r>
            <w:r w:rsidRPr="00792D61">
              <w:rPr>
                <w:b/>
              </w:rPr>
              <w:t>][</w:t>
            </w:r>
            <w:r w:rsidRPr="00881D8B">
              <w:t>2nd</w:t>
            </w:r>
            <w:r w:rsidRPr="00792D61">
              <w:rPr>
                <w:b/>
              </w:rPr>
              <w:t>][</w:t>
            </w:r>
            <w:r w:rsidRPr="00881D8B">
              <w:t>3rd</w:t>
            </w:r>
            <w:r w:rsidRPr="00792D61">
              <w:rPr>
                <w:b/>
              </w:rPr>
              <w:t>][[</w:t>
            </w:r>
            <w:r w:rsidRPr="00881D8B">
              <w:rPr>
                <w:rFonts w:ascii="Arial" w:hAnsi="Arial" w:cs="Arial"/>
              </w:rPr>
              <w:t>●</w:t>
            </w:r>
            <w:r w:rsidRPr="00792D61">
              <w:rPr>
                <w:b/>
              </w:rPr>
              <w:t>]]]</w:t>
            </w:r>
            <w:r w:rsidRPr="00881D8B">
              <w:t>-to-Default Reference Entity</w:t>
            </w:r>
            <w:r w:rsidRPr="00792D61">
              <w:rPr>
                <w:b/>
              </w:rPr>
              <w:t>]</w:t>
            </w:r>
            <w:r w:rsidRPr="00881D8B">
              <w:t>, as determined on or prior to the last day of any such Potential Credit Event Period,</w:t>
            </w:r>
          </w:p>
        </w:tc>
        <w:tc>
          <w:tcPr>
            <w:tcW w:w="1618" w:type="dxa"/>
            <w:gridSpan w:val="2"/>
            <w:tcBorders>
              <w:top w:val="nil"/>
              <w:bottom w:val="nil"/>
              <w:right w:val="nil"/>
            </w:tcBorders>
            <w:shd w:val="clear" w:color="auto" w:fill="auto"/>
          </w:tcPr>
          <w:p w:rsidR="0017135D" w:rsidRPr="00881D8B" w:rsidP="00F71807">
            <w:pPr>
              <w:pStyle w:val="CSManNum8pt"/>
              <w:rPr>
                <w:i/>
              </w:rPr>
            </w:pPr>
          </w:p>
        </w:tc>
        <w:tc>
          <w:tcPr>
            <w:tcW w:w="3318" w:type="dxa"/>
            <w:gridSpan w:val="10"/>
            <w:tcBorders>
              <w:top w:val="nil"/>
              <w:left w:val="nil"/>
              <w:bottom w:val="nil"/>
              <w:right w:val="nil"/>
            </w:tcBorders>
            <w:shd w:val="clear" w:color="auto" w:fill="auto"/>
          </w:tcPr>
          <w:p w:rsidR="0017135D" w:rsidRPr="00881D8B" w:rsidP="00F134DE">
            <w:pPr>
              <w:pStyle w:val="CSManNum8pt"/>
              <w:rPr>
                <w:bCs/>
                <w:lang w:val="de-DE"/>
              </w:rPr>
            </w:pPr>
            <w:r w:rsidRPr="00881D8B">
              <w:rPr>
                <w:bCs/>
                <w:lang w:val="de-DE"/>
              </w:rPr>
              <w:t>(ii)</w:t>
            </w:r>
            <w:r w:rsidRPr="00881D8B">
              <w:rPr>
                <w:bCs/>
                <w:lang w:val="de-DE"/>
              </w:rPr>
              <w:tab/>
              <w:t xml:space="preserve">wenn kein Kreditereignis-Feststellungstag in Bezug auf den </w:t>
            </w:r>
            <w:r w:rsidRPr="00792D61">
              <w:rPr>
                <w:b/>
                <w:bCs/>
                <w:lang w:val="de-DE"/>
              </w:rPr>
              <w:t>[</w:t>
            </w:r>
            <w:r w:rsidRPr="00F71807">
              <w:rPr>
                <w:b/>
                <w:bCs/>
                <w:i/>
                <w:lang w:val="de-DE"/>
              </w:rPr>
              <w:t>jeweilige Zahl einfügen:</w:t>
            </w:r>
            <w:r w:rsidRPr="00881D8B">
              <w:rPr>
                <w:bCs/>
                <w:lang w:val="de-DE"/>
              </w:rPr>
              <w:t xml:space="preserve"> </w:t>
            </w:r>
            <w:r w:rsidRPr="00792D61">
              <w:rPr>
                <w:b/>
                <w:bCs/>
                <w:lang w:val="de-DE"/>
              </w:rPr>
              <w:t>[</w:t>
            </w:r>
            <w:r w:rsidRPr="00881D8B">
              <w:rPr>
                <w:bCs/>
                <w:lang w:val="de-DE"/>
              </w:rPr>
              <w:t>1st</w:t>
            </w:r>
            <w:r w:rsidRPr="00792D61">
              <w:rPr>
                <w:b/>
                <w:bCs/>
                <w:lang w:val="de-DE"/>
              </w:rPr>
              <w:t>][</w:t>
            </w:r>
            <w:r w:rsidRPr="00881D8B">
              <w:rPr>
                <w:bCs/>
                <w:lang w:val="de-DE"/>
              </w:rPr>
              <w:t>2nd</w:t>
            </w:r>
            <w:r w:rsidRPr="00792D61">
              <w:rPr>
                <w:b/>
                <w:bCs/>
                <w:lang w:val="de-DE"/>
              </w:rPr>
              <w:t>][</w:t>
            </w:r>
            <w:r w:rsidRPr="00881D8B">
              <w:rPr>
                <w:bCs/>
                <w:lang w:val="de-DE"/>
              </w:rPr>
              <w:t>3rd</w:t>
            </w:r>
            <w:r w:rsidRPr="00792D61">
              <w:rPr>
                <w:b/>
                <w:bCs/>
                <w:lang w:val="de-DE"/>
              </w:rPr>
              <w:t>][[</w:t>
            </w:r>
            <w:r w:rsidRPr="00881D8B">
              <w:rPr>
                <w:rFonts w:ascii="Arial" w:hAnsi="Arial" w:cs="Arial"/>
                <w:bCs/>
                <w:lang w:val="de-DE"/>
              </w:rPr>
              <w:t>●</w:t>
            </w:r>
            <w:r w:rsidRPr="00792D61">
              <w:rPr>
                <w:b/>
                <w:bCs/>
                <w:lang w:val="de-DE"/>
              </w:rPr>
              <w:t>]]]</w:t>
            </w:r>
            <w:r w:rsidRPr="00881D8B">
              <w:rPr>
                <w:bCs/>
                <w:lang w:val="de-DE"/>
              </w:rPr>
              <w:t xml:space="preserve">-to-Default-Referenzschuldner an oder vor dem Planmässigen Fälligkeitstag eingetreten ist, aber an oder vor dem Planmässigen Fälligkeitstag ein Zeitraum eines Potenziellen Kreditereignisses in Bezug auf einen oder mehrere Potenzielle </w:t>
            </w:r>
            <w:r w:rsidRPr="00792D61">
              <w:rPr>
                <w:b/>
                <w:bCs/>
                <w:lang w:val="de-DE"/>
              </w:rPr>
              <w:t>[</w:t>
            </w:r>
            <w:r w:rsidRPr="00F71807">
              <w:rPr>
                <w:b/>
                <w:bCs/>
                <w:i/>
                <w:lang w:val="de-DE"/>
              </w:rPr>
              <w:t>jeweilige Zahl einfügen:</w:t>
            </w:r>
            <w:r w:rsidRPr="00881D8B">
              <w:rPr>
                <w:bCs/>
                <w:lang w:val="de-DE"/>
              </w:rPr>
              <w:t xml:space="preserve"> </w:t>
            </w:r>
            <w:r w:rsidRPr="00792D61">
              <w:rPr>
                <w:b/>
                <w:bCs/>
                <w:lang w:val="de-DE"/>
              </w:rPr>
              <w:t>[</w:t>
            </w:r>
            <w:r w:rsidRPr="00881D8B">
              <w:rPr>
                <w:bCs/>
                <w:lang w:val="de-DE"/>
              </w:rPr>
              <w:t>1st</w:t>
            </w:r>
            <w:r w:rsidRPr="00792D61">
              <w:rPr>
                <w:b/>
                <w:bCs/>
                <w:lang w:val="de-DE"/>
              </w:rPr>
              <w:t>][</w:t>
            </w:r>
            <w:r w:rsidRPr="00881D8B">
              <w:rPr>
                <w:bCs/>
                <w:lang w:val="de-DE"/>
              </w:rPr>
              <w:t>2nd</w:t>
            </w:r>
            <w:r w:rsidRPr="00792D61">
              <w:rPr>
                <w:b/>
                <w:bCs/>
                <w:lang w:val="de-DE"/>
              </w:rPr>
              <w:t>][</w:t>
            </w:r>
            <w:r w:rsidRPr="00881D8B">
              <w:rPr>
                <w:bCs/>
                <w:lang w:val="de-DE"/>
              </w:rPr>
              <w:t>3rd</w:t>
            </w:r>
            <w:r w:rsidRPr="00792D61">
              <w:rPr>
                <w:b/>
                <w:bCs/>
                <w:lang w:val="de-DE"/>
              </w:rPr>
              <w:t>][[</w:t>
            </w:r>
            <w:r w:rsidRPr="00881D8B">
              <w:rPr>
                <w:rFonts w:ascii="Arial" w:hAnsi="Arial" w:cs="Arial"/>
                <w:bCs/>
                <w:lang w:val="de-DE"/>
              </w:rPr>
              <w:t>●</w:t>
            </w:r>
            <w:r w:rsidRPr="00792D61">
              <w:rPr>
                <w:b/>
                <w:bCs/>
                <w:lang w:val="de-DE"/>
              </w:rPr>
              <w:t>]]]</w:t>
            </w:r>
            <w:r w:rsidRPr="00881D8B">
              <w:rPr>
                <w:bCs/>
                <w:lang w:val="de-DE"/>
              </w:rPr>
              <w:t>-to-Default-Referenzschuldner eingetreten ist und am Planm</w:t>
            </w:r>
            <w:r w:rsidRPr="00881D8B">
              <w:rPr>
                <w:rFonts w:cs="Credit Suisse Type Light"/>
                <w:bCs/>
                <w:lang w:val="de-DE"/>
              </w:rPr>
              <w:t>ä</w:t>
            </w:r>
            <w:r w:rsidRPr="00881D8B">
              <w:rPr>
                <w:bCs/>
                <w:lang w:val="de-DE"/>
              </w:rPr>
              <w:t>ssigen F</w:t>
            </w:r>
            <w:r w:rsidRPr="00881D8B">
              <w:rPr>
                <w:rFonts w:cs="Credit Suisse Type Light"/>
                <w:bCs/>
                <w:lang w:val="de-DE"/>
              </w:rPr>
              <w:t>ä</w:t>
            </w:r>
            <w:r w:rsidRPr="00881D8B">
              <w:rPr>
                <w:bCs/>
                <w:lang w:val="de-DE"/>
              </w:rPr>
              <w:t xml:space="preserve">lligkeitstag andauert und sich einer dieser Potenziellen </w:t>
            </w:r>
            <w:r w:rsidRPr="00792D61">
              <w:rPr>
                <w:b/>
                <w:bCs/>
                <w:lang w:val="de-DE"/>
              </w:rPr>
              <w:t>[</w:t>
            </w:r>
            <w:r w:rsidRPr="00F71807">
              <w:rPr>
                <w:b/>
                <w:bCs/>
                <w:i/>
                <w:lang w:val="de-DE"/>
              </w:rPr>
              <w:t>jeweilige Zahl einf</w:t>
            </w:r>
            <w:r w:rsidRPr="00F71807">
              <w:rPr>
                <w:rFonts w:cs="Credit Suisse Type Light"/>
                <w:b/>
                <w:bCs/>
                <w:i/>
                <w:lang w:val="de-DE"/>
              </w:rPr>
              <w:t>ü</w:t>
            </w:r>
            <w:r w:rsidRPr="00F71807">
              <w:rPr>
                <w:b/>
                <w:bCs/>
                <w:i/>
                <w:lang w:val="de-DE"/>
              </w:rPr>
              <w:t>gen:</w:t>
            </w:r>
            <w:r w:rsidRPr="00881D8B">
              <w:rPr>
                <w:bCs/>
                <w:lang w:val="de-DE"/>
              </w:rPr>
              <w:t xml:space="preserve"> </w:t>
            </w:r>
            <w:r w:rsidRPr="00792D61">
              <w:rPr>
                <w:b/>
                <w:bCs/>
                <w:lang w:val="de-DE"/>
              </w:rPr>
              <w:t>[</w:t>
            </w:r>
            <w:r w:rsidRPr="00881D8B">
              <w:rPr>
                <w:bCs/>
                <w:lang w:val="de-DE"/>
              </w:rPr>
              <w:t>1st</w:t>
            </w:r>
            <w:r w:rsidRPr="00792D61">
              <w:rPr>
                <w:b/>
                <w:bCs/>
                <w:lang w:val="de-DE"/>
              </w:rPr>
              <w:t>][</w:t>
            </w:r>
            <w:r w:rsidRPr="00881D8B">
              <w:rPr>
                <w:bCs/>
                <w:lang w:val="de-DE"/>
              </w:rPr>
              <w:t>2nd</w:t>
            </w:r>
            <w:r w:rsidRPr="00792D61">
              <w:rPr>
                <w:b/>
                <w:bCs/>
                <w:lang w:val="de-DE"/>
              </w:rPr>
              <w:t>][</w:t>
            </w:r>
            <w:r w:rsidRPr="00881D8B">
              <w:rPr>
                <w:bCs/>
                <w:lang w:val="de-DE"/>
              </w:rPr>
              <w:t>3rd</w:t>
            </w:r>
            <w:r w:rsidRPr="00792D61">
              <w:rPr>
                <w:b/>
                <w:bCs/>
                <w:lang w:val="de-DE"/>
              </w:rPr>
              <w:t>][[</w:t>
            </w:r>
            <w:r w:rsidRPr="00881D8B">
              <w:rPr>
                <w:rFonts w:ascii="Arial" w:hAnsi="Arial" w:cs="Arial"/>
                <w:bCs/>
                <w:lang w:val="de-DE"/>
              </w:rPr>
              <w:t>●</w:t>
            </w:r>
            <w:r w:rsidRPr="00792D61">
              <w:rPr>
                <w:b/>
                <w:bCs/>
                <w:lang w:val="de-DE"/>
              </w:rPr>
              <w:t>]]]</w:t>
            </w:r>
            <w:r w:rsidRPr="00881D8B">
              <w:rPr>
                <w:bCs/>
                <w:lang w:val="de-DE"/>
              </w:rPr>
              <w:t xml:space="preserve">-to-Default-Referenzschuldner als </w:t>
            </w:r>
            <w:r w:rsidRPr="00792D61">
              <w:rPr>
                <w:b/>
                <w:bCs/>
                <w:lang w:val="de-DE"/>
              </w:rPr>
              <w:t>[</w:t>
            </w:r>
            <w:r w:rsidRPr="00F71807">
              <w:rPr>
                <w:b/>
                <w:bCs/>
                <w:i/>
                <w:lang w:val="de-DE"/>
              </w:rPr>
              <w:t>jeweilige Zahl einf</w:t>
            </w:r>
            <w:r w:rsidRPr="00F71807">
              <w:rPr>
                <w:rFonts w:cs="Credit Suisse Type Light"/>
                <w:b/>
                <w:bCs/>
                <w:i/>
                <w:lang w:val="de-DE"/>
              </w:rPr>
              <w:t>ü</w:t>
            </w:r>
            <w:r w:rsidRPr="00F71807">
              <w:rPr>
                <w:b/>
                <w:bCs/>
                <w:i/>
                <w:lang w:val="de-DE"/>
              </w:rPr>
              <w:t>gen:</w:t>
            </w:r>
            <w:r w:rsidRPr="00881D8B">
              <w:rPr>
                <w:bCs/>
                <w:lang w:val="de-DE"/>
              </w:rPr>
              <w:t xml:space="preserve"> </w:t>
            </w:r>
            <w:r w:rsidRPr="00792D61">
              <w:rPr>
                <w:b/>
                <w:bCs/>
                <w:lang w:val="de-DE"/>
              </w:rPr>
              <w:t>[</w:t>
            </w:r>
            <w:r w:rsidRPr="00881D8B">
              <w:rPr>
                <w:bCs/>
                <w:lang w:val="de-DE"/>
              </w:rPr>
              <w:t>1st</w:t>
            </w:r>
            <w:r w:rsidRPr="00792D61">
              <w:rPr>
                <w:b/>
                <w:bCs/>
                <w:lang w:val="de-DE"/>
              </w:rPr>
              <w:t>][</w:t>
            </w:r>
            <w:r w:rsidRPr="00881D8B">
              <w:rPr>
                <w:bCs/>
                <w:lang w:val="de-DE"/>
              </w:rPr>
              <w:t>2nd</w:t>
            </w:r>
            <w:r w:rsidRPr="00792D61">
              <w:rPr>
                <w:b/>
                <w:bCs/>
                <w:lang w:val="de-DE"/>
              </w:rPr>
              <w:t>][</w:t>
            </w:r>
            <w:r w:rsidRPr="00881D8B">
              <w:rPr>
                <w:bCs/>
                <w:lang w:val="de-DE"/>
              </w:rPr>
              <w:t>3rd</w:t>
            </w:r>
            <w:r w:rsidRPr="00792D61">
              <w:rPr>
                <w:b/>
                <w:bCs/>
                <w:lang w:val="de-DE"/>
              </w:rPr>
              <w:t>][[</w:t>
            </w:r>
            <w:r w:rsidRPr="00881D8B">
              <w:rPr>
                <w:rFonts w:ascii="Arial" w:hAnsi="Arial" w:cs="Arial"/>
                <w:bCs/>
                <w:lang w:val="de-DE"/>
              </w:rPr>
              <w:t>●</w:t>
            </w:r>
            <w:r w:rsidRPr="00792D61">
              <w:rPr>
                <w:b/>
                <w:bCs/>
                <w:lang w:val="de-DE"/>
              </w:rPr>
              <w:t>]]]</w:t>
            </w:r>
            <w:r w:rsidRPr="00881D8B">
              <w:rPr>
                <w:bCs/>
                <w:lang w:val="de-DE"/>
              </w:rPr>
              <w:t>-to-Default-Referenzschuldner herausstellt, wie an oder vor dem letzten Tag des jeweiligen Zeitraums eines Potenziellen Kreditereignisses festgestellt,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F71807">
            <w:pPr>
              <w:pStyle w:val="CSBody8pt"/>
              <w:rPr>
                <w:lang w:val="de-DE"/>
              </w:rPr>
            </w:pPr>
          </w:p>
        </w:tc>
        <w:tc>
          <w:tcPr>
            <w:tcW w:w="3315" w:type="dxa"/>
            <w:gridSpan w:val="7"/>
            <w:tcBorders>
              <w:top w:val="nil"/>
              <w:left w:val="nil"/>
              <w:bottom w:val="nil"/>
            </w:tcBorders>
            <w:shd w:val="clear" w:color="auto" w:fill="auto"/>
          </w:tcPr>
          <w:p w:rsidR="0017135D" w:rsidRPr="00881D8B" w:rsidP="004C1EBA">
            <w:pPr>
              <w:pStyle w:val="CSBody8pt"/>
            </w:pPr>
            <w:r w:rsidRPr="00881D8B">
              <w:t xml:space="preserve">the Issuer shall give notice thereof to the Holders in accordance with Section </w:t>
            </w:r>
            <w:r w:rsidRPr="00792D61">
              <w:rPr>
                <w:b/>
              </w:rPr>
              <w:t>[</w:t>
            </w:r>
            <w:r w:rsidRPr="00881D8B">
              <w:t>8</w:t>
            </w:r>
            <w:r w:rsidRPr="00792D61">
              <w:rPr>
                <w:b/>
              </w:rPr>
              <w:t>][</w:t>
            </w:r>
            <w:r w:rsidRPr="00881D8B">
              <w:rPr>
                <w:rFonts w:ascii="Arial" w:hAnsi="Arial" w:cs="Arial"/>
              </w:rPr>
              <w:t>●</w:t>
            </w:r>
            <w:r w:rsidRPr="00792D61">
              <w:rPr>
                <w:b/>
              </w:rPr>
              <w:t>]</w:t>
            </w:r>
            <w:r w:rsidRPr="00881D8B">
              <w:t xml:space="preserve"> (to the extent the Issuer has not previously delivered a Credit Event Notice in this respect to the Holders) and shall redeem the Complex Products in whole, but not in part, on the Auction Redemption Date (or, if a Fallback Settlement Event occurs, on the Cash Redemption Date) at the Auction Redemption Amount (or, if a Fallback Settlement Event occurs, at the Cash Redemption Amount).</w:t>
            </w:r>
            <w:r w:rsidRPr="00792D61">
              <w:rPr>
                <w:b/>
              </w:rPr>
              <w:t>]]</w:t>
            </w:r>
          </w:p>
        </w:tc>
        <w:tc>
          <w:tcPr>
            <w:tcW w:w="1618" w:type="dxa"/>
            <w:gridSpan w:val="2"/>
            <w:tcBorders>
              <w:top w:val="nil"/>
              <w:bottom w:val="nil"/>
              <w:right w:val="nil"/>
            </w:tcBorders>
            <w:shd w:val="clear" w:color="auto" w:fill="auto"/>
          </w:tcPr>
          <w:p w:rsidR="0017135D" w:rsidRPr="00881D8B" w:rsidP="00F71807">
            <w:pPr>
              <w:pStyle w:val="CSBody8pt"/>
              <w:rPr>
                <w:i/>
              </w:rPr>
            </w:pPr>
          </w:p>
        </w:tc>
        <w:tc>
          <w:tcPr>
            <w:tcW w:w="3318" w:type="dxa"/>
            <w:gridSpan w:val="10"/>
            <w:tcBorders>
              <w:top w:val="nil"/>
              <w:left w:val="nil"/>
              <w:bottom w:val="nil"/>
              <w:right w:val="nil"/>
            </w:tcBorders>
            <w:shd w:val="clear" w:color="auto" w:fill="auto"/>
          </w:tcPr>
          <w:p w:rsidR="0017135D" w:rsidRPr="00881D8B" w:rsidP="00F71807">
            <w:pPr>
              <w:pStyle w:val="CSBody8pt"/>
              <w:rPr>
                <w:bCs/>
                <w:lang w:val="de-DE"/>
              </w:rPr>
            </w:pPr>
            <w:r w:rsidRPr="00881D8B">
              <w:rPr>
                <w:bCs/>
                <w:lang w:val="de-DE"/>
              </w:rPr>
              <w:t xml:space="preserve">den Inhabern den Eintritt dieses Ereignisses gemäss Ziffer </w:t>
            </w:r>
            <w:r w:rsidRPr="00792D61">
              <w:rPr>
                <w:b/>
                <w:bCs/>
                <w:lang w:val="de-DE"/>
              </w:rPr>
              <w:t>[</w:t>
            </w:r>
            <w:r w:rsidRPr="00881D8B">
              <w:rPr>
                <w:bCs/>
                <w:lang w:val="de-DE"/>
              </w:rPr>
              <w:t>8</w:t>
            </w:r>
            <w:r w:rsidRPr="00792D61">
              <w:rPr>
                <w:b/>
                <w:bCs/>
                <w:lang w:val="de-DE"/>
              </w:rPr>
              <w:t>][</w:t>
            </w:r>
            <w:r w:rsidRPr="00881D8B">
              <w:rPr>
                <w:rFonts w:ascii="Arial" w:hAnsi="Arial" w:cs="Arial"/>
                <w:bCs/>
                <w:lang w:val="de-DE"/>
              </w:rPr>
              <w:t>●</w:t>
            </w:r>
            <w:r w:rsidRPr="00792D61">
              <w:rPr>
                <w:b/>
                <w:bCs/>
                <w:lang w:val="de-DE"/>
              </w:rPr>
              <w:t>]</w:t>
            </w:r>
            <w:r w:rsidRPr="00881D8B">
              <w:rPr>
                <w:bCs/>
                <w:lang w:val="de-DE"/>
              </w:rPr>
              <w:t xml:space="preserve"> mitteilen (soweit die Emittentin nicht bereits zuvor den Inhabern eine Kreditereignismiteilung in Bezug hierauf übersandt hat) und die Komplexen Produkte insgesamt, aber nicht teilweise am Auktions-Rückzahlungstag (oder, falls ein Ereignis der Alternativen Abwicklung eintritt, am Barrückzahlungstag) zum Auktions-Rückzahlunsbetrag (oder, falls ein Ereignis der Alternativen Abwicklung eintritt, zum Barrückzahlungsbetrag) zurück zahlen.</w:t>
            </w:r>
            <w:r w:rsidRPr="00792D61">
              <w:rPr>
                <w:b/>
                <w:bCs/>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A16C48" w:rsidP="00F71807">
            <w:pPr>
              <w:pStyle w:val="CSBody8ptbolditalics"/>
            </w:pPr>
            <w:r w:rsidRPr="00792D61">
              <w:t>[</w:t>
            </w:r>
            <w:r w:rsidRPr="00A16C48">
              <w:t>if a Basket is applicable, insert:</w:t>
            </w:r>
          </w:p>
        </w:tc>
        <w:tc>
          <w:tcPr>
            <w:tcW w:w="4936" w:type="dxa"/>
            <w:gridSpan w:val="12"/>
            <w:tcBorders>
              <w:top w:val="nil"/>
              <w:bottom w:val="nil"/>
              <w:right w:val="nil"/>
            </w:tcBorders>
            <w:shd w:val="clear" w:color="auto" w:fill="auto"/>
          </w:tcPr>
          <w:p w:rsidR="0017135D" w:rsidRPr="00881D8B" w:rsidP="00F71807">
            <w:pPr>
              <w:pStyle w:val="CSBody8ptbolditalics"/>
              <w:rPr>
                <w:lang w:val="de-DE"/>
              </w:rPr>
            </w:pPr>
            <w:r w:rsidRPr="00792D61">
              <w:rPr>
                <w:lang w:val="de-DE"/>
              </w:rPr>
              <w:t>[</w:t>
            </w:r>
            <w:r w:rsidRPr="00881D8B">
              <w:rPr>
                <w:lang w:val="de-DE"/>
              </w:rPr>
              <w:t>falls ein Korb anwendbar ist,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F71807">
            <w:pPr>
              <w:pStyle w:val="CSBody8pt"/>
            </w:pPr>
            <w:r w:rsidRPr="00881D8B">
              <w:t xml:space="preserve">Partial </w:t>
            </w:r>
            <w:r w:rsidRPr="00792D61">
              <w:rPr>
                <w:b/>
              </w:rPr>
              <w:t>[</w:t>
            </w:r>
            <w:r w:rsidRPr="00881D8B">
              <w:t>Redemption</w:t>
            </w:r>
            <w:r w:rsidRPr="00792D61">
              <w:rPr>
                <w:b/>
              </w:rPr>
              <w:t>][</w:t>
            </w:r>
            <w:r w:rsidRPr="00881D8B">
              <w:t>Write-down of Outstanding Principal Amount</w:t>
            </w:r>
            <w:r w:rsidRPr="00792D61">
              <w:rPr>
                <w:b/>
              </w:rPr>
              <w:t>]</w:t>
            </w:r>
            <w:r w:rsidRPr="00881D8B">
              <w:t xml:space="preserve"> upon the occurrence of a Credit Event Determination Date with respect to a Reference Entity (including during a Potential Credit Event Period)</w:t>
            </w:r>
          </w:p>
        </w:tc>
        <w:tc>
          <w:tcPr>
            <w:tcW w:w="3315" w:type="dxa"/>
            <w:gridSpan w:val="7"/>
            <w:tcBorders>
              <w:top w:val="nil"/>
              <w:left w:val="nil"/>
              <w:bottom w:val="nil"/>
            </w:tcBorders>
            <w:shd w:val="clear" w:color="auto" w:fill="auto"/>
          </w:tcPr>
          <w:p w:rsidR="0017135D" w:rsidRPr="00881D8B" w:rsidP="00F71807">
            <w:pPr>
              <w:pStyle w:val="CSBody8pt"/>
            </w:pPr>
            <w:r w:rsidRPr="00881D8B">
              <w:t xml:space="preserve">Unless </w:t>
            </w:r>
            <w:r>
              <w:t xml:space="preserve">the Complex Products have been </w:t>
            </w:r>
            <w:r w:rsidRPr="00881D8B">
              <w:t>previously redeemed, repurchased or cancelled,</w:t>
            </w:r>
          </w:p>
        </w:tc>
        <w:tc>
          <w:tcPr>
            <w:tcW w:w="1618" w:type="dxa"/>
            <w:gridSpan w:val="2"/>
            <w:tcBorders>
              <w:top w:val="nil"/>
              <w:bottom w:val="nil"/>
              <w:right w:val="nil"/>
            </w:tcBorders>
            <w:shd w:val="clear" w:color="auto" w:fill="auto"/>
          </w:tcPr>
          <w:p w:rsidR="0017135D" w:rsidRPr="00881D8B" w:rsidP="00F134DE">
            <w:pPr>
              <w:pStyle w:val="CSBody8pt"/>
              <w:rPr>
                <w:lang w:val="de-DE"/>
              </w:rPr>
            </w:pPr>
            <w:r w:rsidRPr="00881D8B">
              <w:rPr>
                <w:lang w:val="de-DE"/>
              </w:rPr>
              <w:t xml:space="preserve">Teilweise </w:t>
            </w:r>
            <w:r w:rsidRPr="00792D61">
              <w:rPr>
                <w:b/>
                <w:lang w:val="de-DE"/>
              </w:rPr>
              <w:t>[</w:t>
            </w:r>
            <w:r w:rsidRPr="00881D8B">
              <w:rPr>
                <w:lang w:val="de-DE"/>
              </w:rPr>
              <w:t>Rückzahlung</w:t>
            </w:r>
            <w:r w:rsidRPr="00792D61">
              <w:rPr>
                <w:b/>
                <w:lang w:val="de-DE"/>
              </w:rPr>
              <w:t>][</w:t>
            </w:r>
            <w:r w:rsidRPr="00881D8B">
              <w:rPr>
                <w:lang w:val="de-DE"/>
              </w:rPr>
              <w:t>Herabsetzung des Ausstehenden Nennbetrags</w:t>
            </w:r>
            <w:r w:rsidRPr="00792D61">
              <w:rPr>
                <w:b/>
                <w:lang w:val="de-DE"/>
              </w:rPr>
              <w:t>]</w:t>
            </w:r>
            <w:r w:rsidRPr="00881D8B">
              <w:rPr>
                <w:lang w:val="de-DE"/>
              </w:rPr>
              <w:t xml:space="preserve"> nach Eintritt eines Kreditereignis-Feststellungstags in Bezug auf einen Referenzschuldner (einschliesslich während eines Zeitraums eines Potenziellen Kreditereignisses)</w:t>
            </w:r>
          </w:p>
        </w:tc>
        <w:tc>
          <w:tcPr>
            <w:tcW w:w="3318" w:type="dxa"/>
            <w:gridSpan w:val="10"/>
            <w:tcBorders>
              <w:top w:val="nil"/>
              <w:left w:val="nil"/>
              <w:bottom w:val="nil"/>
              <w:right w:val="nil"/>
            </w:tcBorders>
            <w:shd w:val="clear" w:color="auto" w:fill="auto"/>
          </w:tcPr>
          <w:p w:rsidR="0017135D" w:rsidRPr="00881D8B" w:rsidP="00F71807">
            <w:pPr>
              <w:pStyle w:val="CSBody8pt"/>
              <w:rPr>
                <w:lang w:val="de-DE"/>
              </w:rPr>
            </w:pPr>
            <w:r w:rsidRPr="00881D8B">
              <w:rPr>
                <w:lang w:val="de-DE"/>
              </w:rPr>
              <w:t>Sofern die Komplexen Produkte nicht bereits zuvor zurückgezahlt, zurückgekauft oder entwertet wurden, wird die Emittentin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F71807">
            <w:pPr>
              <w:pStyle w:val="CSManNum8pt"/>
              <w:rPr>
                <w:lang w:val="de-DE"/>
              </w:rPr>
            </w:pPr>
          </w:p>
        </w:tc>
        <w:tc>
          <w:tcPr>
            <w:tcW w:w="3315" w:type="dxa"/>
            <w:gridSpan w:val="7"/>
            <w:tcBorders>
              <w:top w:val="nil"/>
              <w:left w:val="nil"/>
              <w:bottom w:val="nil"/>
            </w:tcBorders>
            <w:shd w:val="clear" w:color="auto" w:fill="auto"/>
          </w:tcPr>
          <w:p w:rsidR="0017135D" w:rsidRPr="00881D8B" w:rsidP="00F71807">
            <w:pPr>
              <w:pStyle w:val="CSManNum8pt"/>
            </w:pPr>
            <w:r w:rsidRPr="00881D8B">
              <w:t>(i)</w:t>
            </w:r>
            <w:r w:rsidRPr="00881D8B">
              <w:tab/>
              <w:t>upon the occurrence of a Credit Event Determination Date with respect to any Reference Entity that is not an Affected Reference Entity on or prior to the Scheduled Maturity Date; or</w:t>
            </w:r>
          </w:p>
        </w:tc>
        <w:tc>
          <w:tcPr>
            <w:tcW w:w="1618" w:type="dxa"/>
            <w:gridSpan w:val="2"/>
            <w:tcBorders>
              <w:top w:val="nil"/>
              <w:bottom w:val="nil"/>
              <w:right w:val="nil"/>
            </w:tcBorders>
            <w:shd w:val="clear" w:color="auto" w:fill="auto"/>
          </w:tcPr>
          <w:p w:rsidR="0017135D" w:rsidRPr="00881D8B" w:rsidP="00F71807">
            <w:pPr>
              <w:pStyle w:val="CSManNum8pt"/>
              <w:rPr>
                <w:i/>
              </w:rPr>
            </w:pPr>
          </w:p>
        </w:tc>
        <w:tc>
          <w:tcPr>
            <w:tcW w:w="3318" w:type="dxa"/>
            <w:gridSpan w:val="10"/>
            <w:tcBorders>
              <w:top w:val="nil"/>
              <w:left w:val="nil"/>
              <w:bottom w:val="nil"/>
              <w:right w:val="nil"/>
            </w:tcBorders>
            <w:shd w:val="clear" w:color="auto" w:fill="auto"/>
          </w:tcPr>
          <w:p w:rsidR="0017135D" w:rsidRPr="00881D8B" w:rsidP="00F71807">
            <w:pPr>
              <w:pStyle w:val="CSManNum8pt"/>
              <w:rPr>
                <w:bCs/>
                <w:lang w:val="de-DE"/>
              </w:rPr>
            </w:pPr>
            <w:r w:rsidRPr="00881D8B">
              <w:rPr>
                <w:bCs/>
                <w:lang w:val="de-DE"/>
              </w:rPr>
              <w:t>(i)</w:t>
            </w:r>
            <w:r w:rsidRPr="00881D8B">
              <w:rPr>
                <w:bCs/>
                <w:lang w:val="de-DE"/>
              </w:rPr>
              <w:tab/>
              <w:t>nach Eintritt eines Kreditereignis-Feststellungstags in Bezug auf einen Referenzschuldner, bei dem es sich nicht um einen Betroffenen Referenzschuldner handelt, an oder vor dem Planmässigen Fälligkeitstag;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F71807">
            <w:pPr>
              <w:pStyle w:val="CSManNum8pt"/>
              <w:rPr>
                <w:lang w:val="de-DE"/>
              </w:rPr>
            </w:pPr>
          </w:p>
        </w:tc>
        <w:tc>
          <w:tcPr>
            <w:tcW w:w="3315" w:type="dxa"/>
            <w:gridSpan w:val="7"/>
            <w:tcBorders>
              <w:top w:val="nil"/>
              <w:left w:val="nil"/>
              <w:bottom w:val="nil"/>
            </w:tcBorders>
            <w:shd w:val="clear" w:color="auto" w:fill="auto"/>
          </w:tcPr>
          <w:p w:rsidR="0017135D" w:rsidRPr="00881D8B" w:rsidP="004C1EBA">
            <w:pPr>
              <w:pStyle w:val="CSManNum8pt"/>
            </w:pPr>
            <w:r w:rsidRPr="00881D8B">
              <w:t>(ii)</w:t>
            </w:r>
            <w:r w:rsidRPr="00881D8B">
              <w:tab/>
              <w:t xml:space="preserve">if no Credit Event Determination Date with respect to any Reference Entity that is not an Affected Reference Entity has occurred on or prior to, but a Potential Credit Event Period with respect to such Reference Entity has occurred on or prior to, and is continuing on, the Scheduled Maturity Date, and the relevant Potential Failure to Pay </w:t>
            </w:r>
            <w:r w:rsidRPr="00792D61">
              <w:rPr>
                <w:b/>
              </w:rPr>
              <w:t>[</w:t>
            </w:r>
            <w:r w:rsidRPr="00F71807">
              <w:rPr>
                <w:b/>
                <w:i/>
              </w:rPr>
              <w:t>if "Repudiation/Moratorium" is applicable, insert:</w:t>
            </w:r>
            <w:r w:rsidRPr="00881D8B">
              <w:t xml:space="preserve"> , Potential Repudiation/ Moratorium</w:t>
            </w:r>
            <w:r w:rsidRPr="00792D61">
              <w:rPr>
                <w:b/>
              </w:rPr>
              <w:t>]</w:t>
            </w:r>
            <w:r w:rsidRPr="00881D8B">
              <w:t xml:space="preserve"> or DC Pending Request, as the case may be, with respect to such Reference Entity </w:t>
            </w:r>
            <w:r w:rsidRPr="00F71807">
              <w:rPr>
                <w:b/>
              </w:rPr>
              <w:t>results</w:t>
            </w:r>
            <w:r w:rsidRPr="00881D8B">
              <w:t xml:space="preserve"> in the occurrence of a Credit Event Determination Date with respect to such Reference Entity, as determined on or prior to the last day of such Potential Credit Event Period,</w:t>
            </w:r>
          </w:p>
        </w:tc>
        <w:tc>
          <w:tcPr>
            <w:tcW w:w="1618" w:type="dxa"/>
            <w:gridSpan w:val="2"/>
            <w:tcBorders>
              <w:top w:val="nil"/>
              <w:bottom w:val="nil"/>
              <w:right w:val="nil"/>
            </w:tcBorders>
            <w:shd w:val="clear" w:color="auto" w:fill="auto"/>
          </w:tcPr>
          <w:p w:rsidR="0017135D" w:rsidRPr="00881D8B" w:rsidP="00F71807">
            <w:pPr>
              <w:pStyle w:val="CSManNum8pt"/>
              <w:rPr>
                <w:i/>
              </w:rPr>
            </w:pPr>
          </w:p>
        </w:tc>
        <w:tc>
          <w:tcPr>
            <w:tcW w:w="3318" w:type="dxa"/>
            <w:gridSpan w:val="10"/>
            <w:tcBorders>
              <w:top w:val="nil"/>
              <w:left w:val="nil"/>
              <w:bottom w:val="nil"/>
              <w:right w:val="nil"/>
            </w:tcBorders>
            <w:shd w:val="clear" w:color="auto" w:fill="auto"/>
          </w:tcPr>
          <w:p w:rsidR="0017135D" w:rsidRPr="00881D8B" w:rsidP="004C1EBA">
            <w:pPr>
              <w:pStyle w:val="CSManNum8pt"/>
              <w:rPr>
                <w:bCs/>
                <w:lang w:val="de-DE"/>
              </w:rPr>
            </w:pPr>
            <w:r w:rsidRPr="00881D8B">
              <w:rPr>
                <w:bCs/>
                <w:lang w:val="de-DE"/>
              </w:rPr>
              <w:t>(ii)</w:t>
            </w:r>
            <w:r w:rsidRPr="00881D8B">
              <w:rPr>
                <w:bCs/>
                <w:lang w:val="de-DE"/>
              </w:rPr>
              <w:tab/>
              <w:t xml:space="preserve">wenn kein Kreditereignis-Feststellungstag in Bezug auf einen Referenzschuldner, bei dem es sich nicht um einen Betroffenen Referenzschuldner handelt, an oder vor dem Planmässigen Fälligkeitstag eingetreten ist, aber ein Zeitraum eines Potenziellen Kreditereignisses </w:t>
            </w:r>
            <w:r>
              <w:rPr>
                <w:bCs/>
                <w:lang w:val="de-DE"/>
              </w:rPr>
              <w:t xml:space="preserve">in Bezug auf diesen Referenzschuldner </w:t>
            </w:r>
            <w:r w:rsidRPr="00881D8B">
              <w:rPr>
                <w:bCs/>
                <w:lang w:val="de-DE"/>
              </w:rPr>
              <w:t xml:space="preserve">an oder vor dem Planmässigen Fälligkeitstag begonnen hat und andauert und die </w:t>
            </w:r>
            <w:r w:rsidRPr="001F0FB5">
              <w:rPr>
                <w:bCs/>
                <w:lang w:val="de-DE"/>
              </w:rPr>
              <w:t xml:space="preserve">betreffende </w:t>
            </w:r>
            <w:r w:rsidRPr="00881D8B">
              <w:rPr>
                <w:bCs/>
                <w:lang w:val="de-DE"/>
              </w:rPr>
              <w:t xml:space="preserve">Potenzielle Nichtzahlung </w:t>
            </w:r>
            <w:r w:rsidRPr="00792D61">
              <w:rPr>
                <w:b/>
                <w:bCs/>
                <w:lang w:val="de-DE"/>
              </w:rPr>
              <w:t>[</w:t>
            </w:r>
            <w:r w:rsidRPr="00F71807">
              <w:rPr>
                <w:b/>
                <w:bCs/>
                <w:i/>
                <w:lang w:val="de-DE"/>
              </w:rPr>
              <w:t>falls "Nichtanerkennung/Moratorium" anwendbar ist, einfügen:</w:t>
            </w:r>
            <w:r w:rsidRPr="00881D8B">
              <w:rPr>
                <w:bCs/>
                <w:lang w:val="de-DE"/>
              </w:rPr>
              <w:t xml:space="preserve">, die </w:t>
            </w:r>
            <w:r w:rsidRPr="001F0FB5">
              <w:rPr>
                <w:bCs/>
                <w:lang w:val="de-DE"/>
              </w:rPr>
              <w:t xml:space="preserve">betreffende </w:t>
            </w:r>
            <w:r w:rsidRPr="00881D8B">
              <w:rPr>
                <w:bCs/>
                <w:lang w:val="de-DE"/>
              </w:rPr>
              <w:t xml:space="preserve">Potenzielle Nichtanerkennung/das </w:t>
            </w:r>
            <w:r w:rsidRPr="001F0FB5">
              <w:rPr>
                <w:bCs/>
                <w:lang w:val="de-DE"/>
              </w:rPr>
              <w:t xml:space="preserve">betreffende </w:t>
            </w:r>
            <w:r w:rsidRPr="00881D8B">
              <w:rPr>
                <w:bCs/>
                <w:lang w:val="de-DE"/>
              </w:rPr>
              <w:t>Potenzielle Moratorium</w:t>
            </w:r>
            <w:r w:rsidRPr="00792D61">
              <w:rPr>
                <w:b/>
                <w:bCs/>
                <w:lang w:val="de-DE"/>
              </w:rPr>
              <w:t>]</w:t>
            </w:r>
            <w:r w:rsidRPr="00881D8B">
              <w:rPr>
                <w:bCs/>
                <w:lang w:val="de-DE"/>
              </w:rPr>
              <w:t xml:space="preserve"> oder </w:t>
            </w:r>
            <w:r>
              <w:rPr>
                <w:bCs/>
                <w:lang w:val="de-DE"/>
              </w:rPr>
              <w:t xml:space="preserve">der </w:t>
            </w:r>
            <w:r w:rsidRPr="001F0FB5">
              <w:rPr>
                <w:bCs/>
                <w:lang w:val="de-DE"/>
              </w:rPr>
              <w:t xml:space="preserve">betreffende </w:t>
            </w:r>
            <w:r w:rsidRPr="00881D8B">
              <w:rPr>
                <w:bCs/>
                <w:lang w:val="de-DE"/>
              </w:rPr>
              <w:t>Ausstehende Antrag, je nachdem was vorliegt, in Bezug auf diesen Referenzschuldner zu einem Kreditereignis-Feststellungstag in Bezug auf diesen Referenzschuldner</w:t>
            </w:r>
            <w:r>
              <w:rPr>
                <w:bCs/>
                <w:lang w:val="de-DE"/>
              </w:rPr>
              <w:t xml:space="preserve"> </w:t>
            </w:r>
            <w:r>
              <w:rPr>
                <w:b/>
                <w:bCs/>
                <w:lang w:val="de-DE"/>
              </w:rPr>
              <w:t>führt,</w:t>
            </w:r>
            <w:r w:rsidRPr="00881D8B">
              <w:rPr>
                <w:bCs/>
                <w:lang w:val="de-DE"/>
              </w:rPr>
              <w:t>, wie an oder vor dem letzten Tag dieses Zeitraums eines Potenziellen Kreditereignisses festgestellt,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F71807">
            <w:pPr>
              <w:pStyle w:val="CSManNum8pt"/>
              <w:rPr>
                <w:lang w:val="de-DE"/>
              </w:rPr>
            </w:pPr>
          </w:p>
        </w:tc>
        <w:tc>
          <w:tcPr>
            <w:tcW w:w="3315" w:type="dxa"/>
            <w:gridSpan w:val="7"/>
            <w:tcBorders>
              <w:top w:val="nil"/>
              <w:left w:val="nil"/>
              <w:bottom w:val="nil"/>
            </w:tcBorders>
            <w:shd w:val="clear" w:color="auto" w:fill="auto"/>
          </w:tcPr>
          <w:p w:rsidR="0017135D" w:rsidRPr="00C43BA5" w:rsidP="004C1EBA">
            <w:pPr>
              <w:pStyle w:val="CSBody8pt"/>
            </w:pPr>
            <w:r w:rsidRPr="00C43BA5">
              <w:t xml:space="preserve">the Issuer shall give notice thereof to the Holders in accordance with Section </w:t>
            </w:r>
            <w:r w:rsidRPr="00792D61">
              <w:rPr>
                <w:b/>
              </w:rPr>
              <w:t>[</w:t>
            </w:r>
            <w:r w:rsidRPr="00C43BA5">
              <w:t>8</w:t>
            </w:r>
            <w:r w:rsidRPr="00792D61">
              <w:rPr>
                <w:b/>
              </w:rPr>
              <w:t>][</w:t>
            </w:r>
            <w:r w:rsidRPr="00C43BA5">
              <w:rPr>
                <w:rFonts w:ascii="Arial" w:hAnsi="Arial" w:cs="Arial"/>
              </w:rPr>
              <w:t>●</w:t>
            </w:r>
            <w:r w:rsidRPr="00792D61">
              <w:rPr>
                <w:b/>
              </w:rPr>
              <w:t>]</w:t>
            </w:r>
            <w:r w:rsidRPr="00C43BA5">
              <w:t xml:space="preserve"> (to the extent the Issuer has not previously delivered a Credit Event Notice in this respect to the Holders) and shall </w:t>
            </w:r>
            <w:r w:rsidRPr="00792D61">
              <w:rPr>
                <w:b/>
              </w:rPr>
              <w:t>[</w:t>
            </w:r>
            <w:r w:rsidRPr="00F71807">
              <w:rPr>
                <w:b/>
                <w:i/>
              </w:rPr>
              <w:t>in the case of Credit-Linked Complex Products with auction settlement, insert:</w:t>
            </w:r>
            <w:r w:rsidRPr="00C43BA5">
              <w:t xml:space="preserve"> redeem the portion of the Principal Amount of each Complex Product equal to the Reference Entity Principal Amount of the relevant Affected Reference Entity on the applicable Auction Redemption Date (or, if a Fallback Settlement Event occurs, on the applicable Cash Redemption Date) at the applicable Auction Redemption Amount (or, if a Fallback Settlement Event occurs, at the applicable Cash Redemption Amount).</w:t>
            </w:r>
            <w:r w:rsidRPr="00792D61">
              <w:rPr>
                <w:b/>
              </w:rPr>
              <w:t>][</w:t>
            </w:r>
            <w:r w:rsidRPr="00F71807">
              <w:rPr>
                <w:b/>
                <w:i/>
              </w:rPr>
              <w:t>in the case of Credit-Linked Complex Products with Zero-Recovery feature linked to a Basket, insert:</w:t>
            </w:r>
            <w:r w:rsidRPr="00C43BA5">
              <w:t xml:space="preserve"> write down the Reference Entity Principal Amount </w:t>
            </w:r>
            <w:r>
              <w:t>relating to</w:t>
            </w:r>
            <w:r w:rsidRPr="00C43BA5">
              <w:t xml:space="preserve"> the relevant Affected Reference Entity to zero and the Outstanding Principal Amount of the Complex Products shall be reduced accordingly and no further payments shall be made in respect of such Reference Entity Principal Amount to the Holders of the Complex Products.</w:t>
            </w:r>
            <w:r w:rsidRPr="00792D61">
              <w:rPr>
                <w:b/>
              </w:rPr>
              <w:t>]</w:t>
            </w:r>
          </w:p>
        </w:tc>
        <w:tc>
          <w:tcPr>
            <w:tcW w:w="1618" w:type="dxa"/>
            <w:gridSpan w:val="2"/>
            <w:tcBorders>
              <w:top w:val="nil"/>
              <w:bottom w:val="nil"/>
              <w:right w:val="nil"/>
            </w:tcBorders>
            <w:shd w:val="clear" w:color="auto" w:fill="auto"/>
          </w:tcPr>
          <w:p w:rsidR="0017135D" w:rsidRPr="00881D8B" w:rsidP="00F71807">
            <w:pPr>
              <w:pStyle w:val="CSManNum8pt"/>
              <w:rPr>
                <w:i/>
              </w:rPr>
            </w:pPr>
          </w:p>
        </w:tc>
        <w:tc>
          <w:tcPr>
            <w:tcW w:w="3318" w:type="dxa"/>
            <w:gridSpan w:val="10"/>
            <w:tcBorders>
              <w:top w:val="nil"/>
              <w:left w:val="nil"/>
              <w:bottom w:val="nil"/>
              <w:right w:val="nil"/>
            </w:tcBorders>
            <w:shd w:val="clear" w:color="auto" w:fill="auto"/>
          </w:tcPr>
          <w:p w:rsidR="0017135D" w:rsidRPr="00881D8B" w:rsidP="004C1EBA">
            <w:pPr>
              <w:pStyle w:val="CSBody8pt"/>
              <w:rPr>
                <w:lang w:val="de-DE"/>
              </w:rPr>
            </w:pPr>
            <w:r w:rsidRPr="00881D8B">
              <w:rPr>
                <w:lang w:val="de-DE"/>
              </w:rPr>
              <w:t xml:space="preserve">den Inhabern den Eintritt dieses Ereignisses gemäss Ziffer </w:t>
            </w:r>
            <w:r w:rsidRPr="00792D61">
              <w:rPr>
                <w:b/>
                <w:lang w:val="de-DE"/>
              </w:rPr>
              <w:t>[</w:t>
            </w:r>
            <w:r w:rsidRPr="00881D8B">
              <w:rPr>
                <w:lang w:val="de-DE"/>
              </w:rPr>
              <w:t>8</w:t>
            </w:r>
            <w:r w:rsidRPr="00792D61">
              <w:rPr>
                <w:b/>
                <w:lang w:val="de-DE"/>
              </w:rPr>
              <w:t>][</w:t>
            </w:r>
            <w:r w:rsidRPr="00881D8B">
              <w:rPr>
                <w:rFonts w:ascii="Arial" w:hAnsi="Arial" w:cs="Arial"/>
                <w:lang w:val="de-DE"/>
              </w:rPr>
              <w:t>●</w:t>
            </w:r>
            <w:r w:rsidRPr="00792D61">
              <w:rPr>
                <w:b/>
                <w:lang w:val="de-DE"/>
              </w:rPr>
              <w:t>]</w:t>
            </w:r>
            <w:r w:rsidRPr="00881D8B">
              <w:rPr>
                <w:lang w:val="de-DE"/>
              </w:rPr>
              <w:t xml:space="preserve"> mitteilen (soweit die Emittentin nicht bereits zuvor den Inhabern eine Kreditereignismiteilung in Bezug hierauf </w:t>
            </w:r>
            <w:r w:rsidRPr="00881D8B">
              <w:rPr>
                <w:rFonts w:cs="Credit Suisse Type Light"/>
                <w:lang w:val="de-DE"/>
              </w:rPr>
              <w:t>ü</w:t>
            </w:r>
            <w:r w:rsidRPr="00881D8B">
              <w:rPr>
                <w:lang w:val="de-DE"/>
              </w:rPr>
              <w:t xml:space="preserve">bersandt hat) und </w:t>
            </w:r>
            <w:r w:rsidRPr="00792D61">
              <w:rPr>
                <w:b/>
                <w:lang w:val="de-DE"/>
              </w:rPr>
              <w:t>[</w:t>
            </w:r>
            <w:r w:rsidRPr="00F71807">
              <w:rPr>
                <w:b/>
                <w:i/>
                <w:lang w:val="de-DE"/>
              </w:rPr>
              <w:t>bei Kreditbezogenen Komplexen Produkten mit Auktionsabwicklung einfügen:</w:t>
            </w:r>
            <w:r w:rsidRPr="00881D8B">
              <w:rPr>
                <w:lang w:val="de-DE"/>
              </w:rPr>
              <w:t xml:space="preserve"> den Teil des Nennbetrags jedes Komplexen Produkts, der dem Referenzschuldner-Nennbetrag des jeweiligen Betroffenen Referenzschuldners entspricht, an dem betreffenden Auktions-Rückzahlungstag (oder, falls ein Ereignis der Alternativen Abwicklung eintritt, am jeweiligen Barrückzahlungstag) zum jeweiligen Auktions-Rückzahlungsbetrag (oder, falls ein Ereignis der Alternativen Abwicklung eintritt, zum jeweiligen Barrückzahlungsbetrag) zurück zahlen.</w:t>
            </w:r>
            <w:r w:rsidRPr="00792D61">
              <w:rPr>
                <w:b/>
                <w:lang w:val="de-DE"/>
              </w:rPr>
              <w:t>][</w:t>
            </w:r>
            <w:r w:rsidRPr="00F71807">
              <w:rPr>
                <w:b/>
                <w:i/>
                <w:lang w:val="de-DE"/>
              </w:rPr>
              <w:t>bei Kreditbezogenen Komplexen Produkten mit Zero-Recovery-Merkmal, die an einen Korb gekoppelt sind</w:t>
            </w:r>
            <w:r>
              <w:rPr>
                <w:b/>
                <w:i/>
                <w:lang w:val="de-DE"/>
              </w:rPr>
              <w:t>,</w:t>
            </w:r>
            <w:r w:rsidRPr="00F71807">
              <w:rPr>
                <w:b/>
                <w:i/>
                <w:lang w:val="de-DE"/>
              </w:rPr>
              <w:t xml:space="preserve"> einfügen:</w:t>
            </w:r>
            <w:r w:rsidRPr="00881D8B">
              <w:rPr>
                <w:lang w:val="de-DE"/>
              </w:rPr>
              <w:t xml:space="preserve"> den Referenzschuldner-Nennbetrag </w:t>
            </w:r>
            <w:r>
              <w:rPr>
                <w:lang w:val="de-DE"/>
              </w:rPr>
              <w:t>in Bezug auf den</w:t>
            </w:r>
            <w:r w:rsidRPr="00881D8B">
              <w:rPr>
                <w:lang w:val="de-DE"/>
              </w:rPr>
              <w:t xml:space="preserve"> jeweiligen Betroffenen Referenzschuldner auf null herab setzen;der Ausstehende Nennbetrag der Komplexen Produkte wird entsprechend reduziert und es werden keine weiteren Zahlungen in Bezug auf diesen Referenzschuldner-Nennbetrag mehr an die Inhaber der Komplexen Produkte geleistet.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F71807">
            <w:pPr>
              <w:pStyle w:val="CSBody8pt"/>
              <w:rPr>
                <w:lang w:val="de-DE"/>
              </w:rPr>
            </w:pPr>
          </w:p>
        </w:tc>
        <w:tc>
          <w:tcPr>
            <w:tcW w:w="3315" w:type="dxa"/>
            <w:gridSpan w:val="7"/>
            <w:tcBorders>
              <w:top w:val="nil"/>
              <w:left w:val="nil"/>
              <w:bottom w:val="nil"/>
            </w:tcBorders>
            <w:shd w:val="clear" w:color="auto" w:fill="auto"/>
          </w:tcPr>
          <w:p w:rsidR="0017135D" w:rsidP="00F71807">
            <w:pPr>
              <w:pStyle w:val="CSBody8pt"/>
            </w:pPr>
            <w:r w:rsidRPr="00792D61">
              <w:rPr>
                <w:b/>
              </w:rPr>
              <w:t>[</w:t>
            </w:r>
            <w:r w:rsidRPr="00F71807">
              <w:rPr>
                <w:b/>
                <w:i/>
              </w:rPr>
              <w:t>in the case of Credit–Linked Complex Products with auction settlement, insert:</w:t>
            </w:r>
            <w:r w:rsidRPr="00C43BA5">
              <w:t xml:space="preserve"> For the avoidance of doubt, a partial redemption upon the occurrence of a Credit Event Determination Date may only occur once with respect to each Reference Entity.</w:t>
            </w:r>
            <w:r w:rsidRPr="00792D61">
              <w:rPr>
                <w:b/>
              </w:rPr>
              <w:t>]</w:t>
            </w:r>
          </w:p>
        </w:tc>
        <w:tc>
          <w:tcPr>
            <w:tcW w:w="1618" w:type="dxa"/>
            <w:gridSpan w:val="2"/>
            <w:tcBorders>
              <w:top w:val="nil"/>
              <w:bottom w:val="nil"/>
              <w:right w:val="nil"/>
            </w:tcBorders>
            <w:shd w:val="clear" w:color="auto" w:fill="auto"/>
          </w:tcPr>
          <w:p w:rsidR="0017135D" w:rsidRPr="00881D8B" w:rsidP="00F71807">
            <w:pPr>
              <w:pStyle w:val="CSBody8pt"/>
              <w:rPr>
                <w:i/>
              </w:rPr>
            </w:pPr>
          </w:p>
        </w:tc>
        <w:tc>
          <w:tcPr>
            <w:tcW w:w="3318" w:type="dxa"/>
            <w:gridSpan w:val="10"/>
            <w:tcBorders>
              <w:top w:val="nil"/>
              <w:left w:val="nil"/>
              <w:bottom w:val="nil"/>
              <w:right w:val="nil"/>
            </w:tcBorders>
            <w:shd w:val="clear" w:color="auto" w:fill="auto"/>
          </w:tcPr>
          <w:p w:rsidR="0017135D" w:rsidRPr="00881D8B" w:rsidP="00F71807">
            <w:pPr>
              <w:pStyle w:val="CSBody8pt"/>
              <w:rPr>
                <w:lang w:val="de-DE"/>
              </w:rPr>
            </w:pPr>
            <w:r w:rsidRPr="00792D61">
              <w:rPr>
                <w:b/>
                <w:lang w:val="de-DE"/>
              </w:rPr>
              <w:t>[</w:t>
            </w:r>
            <w:r w:rsidRPr="00F71807">
              <w:rPr>
                <w:b/>
                <w:i/>
                <w:lang w:val="de-DE"/>
              </w:rPr>
              <w:t>bei Kreditbezogenen Komplexen Produkten mit Auktionsabwicklung einfügen:</w:t>
            </w:r>
            <w:r w:rsidRPr="00881D8B">
              <w:rPr>
                <w:lang w:val="de-DE"/>
              </w:rPr>
              <w:t xml:space="preserve"> Zur Klarstellung wird festgehalten, dass eine teilweise Rückzahlung nach Eintritt eines Kreditereignis-Feststellungstags in Bezug auf jeden Referenzschuldner nur einmal erfolgen kann.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9D" w:rsidP="00F71807">
            <w:pPr>
              <w:pStyle w:val="CSBody8pt"/>
              <w:rPr>
                <w:lang w:val="de-DE"/>
              </w:rPr>
            </w:pPr>
            <w:r w:rsidRPr="0067159D">
              <w:rPr>
                <w:lang w:val="de-DE"/>
              </w:rPr>
              <w:t>Affected Reference Entity</w:t>
            </w:r>
            <w:r>
              <w:rPr>
                <w:lang w:val="de-DE"/>
              </w:rPr>
              <w:fldChar w:fldCharType="begin"/>
            </w:r>
            <w:r>
              <w:instrText xml:space="preserve"> XE "</w:instrText>
            </w:r>
            <w:r w:rsidRPr="0091742C">
              <w:rPr>
                <w:lang w:val="de-DE"/>
              </w:rPr>
              <w:instrText>Affected Reference Entity</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67159D" w:rsidP="00F71807">
            <w:pPr>
              <w:pStyle w:val="CSBody8pt"/>
            </w:pPr>
            <w:r w:rsidRPr="0067159D">
              <w:t>a Reference Entity with respect to which a Credit Event Determination Date has occurred.</w:t>
            </w:r>
            <w:r w:rsidRPr="00792D61">
              <w:rPr>
                <w:b/>
              </w:rPr>
              <w:t>]</w:t>
            </w:r>
          </w:p>
        </w:tc>
        <w:tc>
          <w:tcPr>
            <w:tcW w:w="1618" w:type="dxa"/>
            <w:gridSpan w:val="2"/>
            <w:tcBorders>
              <w:top w:val="nil"/>
              <w:bottom w:val="nil"/>
              <w:right w:val="nil"/>
            </w:tcBorders>
            <w:shd w:val="clear" w:color="auto" w:fill="auto"/>
          </w:tcPr>
          <w:p w:rsidR="0017135D" w:rsidRPr="0067159D" w:rsidP="00F134DE">
            <w:pPr>
              <w:pStyle w:val="CSBody8pt"/>
            </w:pPr>
            <w:r w:rsidRPr="0067159D">
              <w:t>Betroffener Referenzschuldner</w:t>
            </w:r>
            <w:r>
              <w:fldChar w:fldCharType="begin"/>
            </w:r>
            <w:r>
              <w:instrText xml:space="preserve"> XE "</w:instrText>
            </w:r>
            <w:r w:rsidRPr="009E333B">
              <w:instrText>Betroffener Referenzschuldner</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881D8B" w:rsidP="00F71807">
            <w:pPr>
              <w:pStyle w:val="CSBody8pt"/>
              <w:rPr>
                <w:bCs/>
                <w:lang w:val="de-DE"/>
              </w:rPr>
            </w:pPr>
            <w:r w:rsidRPr="0067159D">
              <w:rPr>
                <w:bCs/>
                <w:lang w:val="de-DE"/>
              </w:rPr>
              <w:t>ein Referenzschuldner, in Bezug auf den ein Kreditereignis-Feststellungstag an oder vor dem Planmässigen Fälligkeitstag eingetreten ist.</w:t>
            </w:r>
            <w:r w:rsidRPr="00792D61">
              <w:rPr>
                <w:b/>
                <w:bCs/>
                <w:lang w:val="de-DE"/>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A12436" w:rsidP="00F71807">
            <w:pPr>
              <w:pStyle w:val="CSBody8ptbolditalics"/>
            </w:pPr>
            <w:r w:rsidRPr="00792D61">
              <w:t>[</w:t>
            </w:r>
            <w:r w:rsidRPr="00A12436">
              <w:t>in the case of Credit-Linked Complex Products with auction settlement, insert:</w:t>
            </w:r>
          </w:p>
        </w:tc>
        <w:tc>
          <w:tcPr>
            <w:tcW w:w="4936" w:type="dxa"/>
            <w:gridSpan w:val="12"/>
            <w:tcBorders>
              <w:top w:val="nil"/>
              <w:bottom w:val="nil"/>
              <w:right w:val="nil"/>
            </w:tcBorders>
            <w:shd w:val="clear" w:color="auto" w:fill="auto"/>
          </w:tcPr>
          <w:p w:rsidR="0017135D" w:rsidRPr="00881D8B" w:rsidP="00F134DE">
            <w:pPr>
              <w:pStyle w:val="CSBody8ptbolditalics"/>
              <w:rPr>
                <w:lang w:val="de-DE"/>
              </w:rPr>
            </w:pPr>
            <w:r w:rsidRPr="00792D61">
              <w:rPr>
                <w:lang w:val="de-DE"/>
              </w:rPr>
              <w:t>[</w:t>
            </w:r>
            <w:r w:rsidRPr="00881D8B">
              <w:rPr>
                <w:lang w:val="de-DE"/>
              </w:rPr>
              <w:t>bei Kreditbezogenen Komplexen Produkten mit Auktionsabwicklung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EB1083" w:rsidP="00F71807">
            <w:pPr>
              <w:pStyle w:val="CSbody0bold"/>
            </w:pPr>
            <w:r w:rsidRPr="00EB1083">
              <w:t>C.4</w:t>
            </w:r>
          </w:p>
        </w:tc>
        <w:tc>
          <w:tcPr>
            <w:tcW w:w="3315" w:type="dxa"/>
            <w:gridSpan w:val="7"/>
            <w:tcBorders>
              <w:top w:val="nil"/>
              <w:left w:val="nil"/>
              <w:bottom w:val="nil"/>
            </w:tcBorders>
            <w:shd w:val="clear" w:color="auto" w:fill="auto"/>
          </w:tcPr>
          <w:p w:rsidR="0017135D" w:rsidRPr="000C557A" w:rsidP="00F71807">
            <w:pPr>
              <w:pStyle w:val="CSbody0bold"/>
              <w:rPr>
                <w:lang w:val="en-GB"/>
              </w:rPr>
            </w:pPr>
            <w:r w:rsidRPr="000C557A">
              <w:rPr>
                <w:lang w:val="en-GB"/>
              </w:rPr>
              <w:t xml:space="preserve">Settlement upon </w:t>
            </w:r>
            <w:r w:rsidRPr="00792D61">
              <w:rPr>
                <w:lang w:val="en-GB"/>
              </w:rPr>
              <w:t>[</w:t>
            </w:r>
            <w:r w:rsidRPr="0067159D">
              <w:rPr>
                <w:i/>
                <w:lang w:val="en-GB"/>
              </w:rPr>
              <w:t>if a Basket is applicable:</w:t>
            </w:r>
            <w:r w:rsidRPr="000C557A">
              <w:rPr>
                <w:lang w:val="en-GB"/>
              </w:rPr>
              <w:t xml:space="preserve"> Partial</w:t>
            </w:r>
            <w:r w:rsidRPr="00792D61">
              <w:rPr>
                <w:lang w:val="en-GB"/>
              </w:rPr>
              <w:t>]</w:t>
            </w:r>
            <w:r w:rsidRPr="000C557A">
              <w:rPr>
                <w:lang w:val="en-GB"/>
              </w:rPr>
              <w:t xml:space="preserve"> Redemption upon the occurrence of a Credit Event Determination Date including during a Potential Credit Event Period</w:t>
            </w:r>
          </w:p>
        </w:tc>
        <w:tc>
          <w:tcPr>
            <w:tcW w:w="1618" w:type="dxa"/>
            <w:gridSpan w:val="2"/>
            <w:tcBorders>
              <w:top w:val="nil"/>
              <w:bottom w:val="nil"/>
              <w:right w:val="nil"/>
            </w:tcBorders>
            <w:shd w:val="clear" w:color="auto" w:fill="auto"/>
          </w:tcPr>
          <w:p w:rsidR="0017135D" w:rsidRPr="00C83EEA" w:rsidP="00F71807">
            <w:pPr>
              <w:pStyle w:val="CSbody0bold"/>
            </w:pPr>
            <w:r w:rsidRPr="00C83EEA">
              <w:t>C.4</w:t>
            </w:r>
          </w:p>
        </w:tc>
        <w:tc>
          <w:tcPr>
            <w:tcW w:w="3318" w:type="dxa"/>
            <w:gridSpan w:val="10"/>
            <w:tcBorders>
              <w:top w:val="nil"/>
              <w:left w:val="nil"/>
              <w:bottom w:val="nil"/>
              <w:right w:val="nil"/>
            </w:tcBorders>
            <w:shd w:val="clear" w:color="auto" w:fill="auto"/>
          </w:tcPr>
          <w:p w:rsidR="0017135D" w:rsidRPr="00881D8B" w:rsidP="00F71807">
            <w:pPr>
              <w:pStyle w:val="CSbody0bold"/>
            </w:pPr>
            <w:r w:rsidRPr="00881D8B">
              <w:t xml:space="preserve">Abwicklung bei </w:t>
            </w:r>
            <w:r w:rsidRPr="00792D61">
              <w:t>[</w:t>
            </w:r>
            <w:r w:rsidRPr="00881D8B">
              <w:t>fa</w:t>
            </w:r>
            <w:r w:rsidRPr="0067159D">
              <w:rPr>
                <w:i/>
              </w:rPr>
              <w:t>lls ein Korb anwendbar ist:</w:t>
            </w:r>
            <w:r w:rsidRPr="00881D8B">
              <w:t xml:space="preserve"> teilweiser</w:t>
            </w:r>
            <w:r w:rsidRPr="00792D61">
              <w:t>]</w:t>
            </w:r>
            <w:r w:rsidRPr="00881D8B">
              <w:t xml:space="preserve"> Rückzahlung nach Eintritt eines Kreditereignis-Feststellungstags einschliesslich während eines Zeitraums eines Potenziellen Kreditereignisses</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9D" w:rsidP="00F71807">
            <w:pPr>
              <w:pStyle w:val="CSBody8pt"/>
            </w:pPr>
            <w:r w:rsidRPr="0067159D">
              <w:t>Auction Redemption Date</w:t>
            </w:r>
            <w:r>
              <w:fldChar w:fldCharType="begin"/>
            </w:r>
            <w:r>
              <w:instrText xml:space="preserve"> XE "</w:instrText>
            </w:r>
            <w:r w:rsidRPr="00B227D1">
              <w:instrText>Auction Redemption Date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67159D" w:rsidP="00F71807">
            <w:pPr>
              <w:pStyle w:val="CSBody8pt"/>
            </w:pPr>
            <w:r w:rsidRPr="00792D61">
              <w:rPr>
                <w:b/>
              </w:rPr>
              <w:t>[</w:t>
            </w:r>
            <w:r w:rsidRPr="0067159D">
              <w:rPr>
                <w:b/>
                <w:i/>
              </w:rPr>
              <w:t>if a Basket is applicable, insert:</w:t>
            </w:r>
            <w:r w:rsidRPr="0067159D">
              <w:t xml:space="preserve"> with respect to any Affected Reference Entity,</w:t>
            </w:r>
            <w:r w:rsidRPr="00792D61">
              <w:rPr>
                <w:b/>
              </w:rPr>
              <w:t>]</w:t>
            </w:r>
            <w:r w:rsidRPr="0067159D">
              <w:t xml:space="preserve"> </w:t>
            </w:r>
            <w:r w:rsidRPr="00792D61">
              <w:rPr>
                <w:b/>
              </w:rPr>
              <w:t>[</w:t>
            </w:r>
            <w:r w:rsidRPr="0067159D">
              <w:t>the Scheduled Maturity Date or, if later,</w:t>
            </w:r>
            <w:r w:rsidRPr="00792D61">
              <w:rPr>
                <w:b/>
              </w:rPr>
              <w:t>][</w:t>
            </w:r>
            <w:r w:rsidRPr="0067159D">
              <w:rPr>
                <w:b/>
                <w:i/>
              </w:rPr>
              <w:t>Option 1:</w:t>
            </w:r>
            <w:r w:rsidRPr="0067159D">
              <w:t xml:space="preserve"> (i) the date that is specified as the Auction Settlement Date in the Credit Derivatives Auction Settlement Terms or, (ii) if such date is not so specified, the date that is five Business Days immediately following the Auction Final Price Determination Date </w:t>
            </w:r>
            <w:r w:rsidRPr="00792D61">
              <w:rPr>
                <w:b/>
              </w:rPr>
              <w:t>[</w:t>
            </w:r>
            <w:r w:rsidRPr="0067159D">
              <w:rPr>
                <w:b/>
                <w:i/>
              </w:rPr>
              <w:t>in the case of Complex Products with N</w:t>
            </w:r>
            <w:r w:rsidRPr="00BD6E0D">
              <w:rPr>
                <w:b/>
                <w:i/>
                <w:vertAlign w:val="superscript"/>
              </w:rPr>
              <w:t>th</w:t>
            </w:r>
            <w:r w:rsidRPr="0067159D">
              <w:rPr>
                <w:b/>
                <w:i/>
              </w:rPr>
              <w:t>-to-Default structure, insert:</w:t>
            </w:r>
            <w:r w:rsidRPr="0067159D">
              <w:t xml:space="preserve"> with respect to the </w:t>
            </w:r>
            <w:r w:rsidRPr="00792D61">
              <w:rPr>
                <w:b/>
                <w:i/>
              </w:rPr>
              <w:t>[</w:t>
            </w:r>
            <w:r w:rsidRPr="0067159D">
              <w:rPr>
                <w:b/>
                <w:i/>
              </w:rPr>
              <w:t>insert relevant number:</w:t>
            </w:r>
            <w:r w:rsidRPr="0067159D">
              <w:t xml:space="preserve"> </w:t>
            </w:r>
            <w:r w:rsidRPr="00792D61">
              <w:rPr>
                <w:b/>
              </w:rPr>
              <w:t>[</w:t>
            </w:r>
            <w:r w:rsidRPr="0067159D">
              <w:t>1st</w:t>
            </w:r>
            <w:r w:rsidRPr="00792D61">
              <w:rPr>
                <w:b/>
              </w:rPr>
              <w:t>][</w:t>
            </w:r>
            <w:r w:rsidRPr="0067159D">
              <w:t>2nd</w:t>
            </w:r>
            <w:r w:rsidRPr="00792D61">
              <w:rPr>
                <w:b/>
              </w:rPr>
              <w:t>][</w:t>
            </w:r>
            <w:r w:rsidRPr="0067159D">
              <w:t>3rd</w:t>
            </w:r>
            <w:r w:rsidRPr="00792D61">
              <w:rPr>
                <w:b/>
              </w:rPr>
              <w:t>][[</w:t>
            </w:r>
            <w:r w:rsidRPr="0067159D">
              <w:rPr>
                <w:rFonts w:ascii="Arial" w:hAnsi="Arial" w:cs="Arial"/>
              </w:rPr>
              <w:t>●</w:t>
            </w:r>
            <w:r w:rsidRPr="00792D61">
              <w:rPr>
                <w:b/>
              </w:rPr>
              <w:t>]]]</w:t>
            </w:r>
            <w:r w:rsidRPr="0067159D">
              <w:t>-to-Default Reference Entity</w:t>
            </w:r>
            <w:r w:rsidRPr="00792D61">
              <w:rPr>
                <w:b/>
              </w:rPr>
              <w:t>][</w:t>
            </w:r>
            <w:r w:rsidRPr="0067159D">
              <w:rPr>
                <w:b/>
                <w:i/>
              </w:rPr>
              <w:t>if a Basket is applicable, insert:</w:t>
            </w:r>
            <w:r w:rsidRPr="0067159D">
              <w:t xml:space="preserve"> with respect to such Affected Reference Entity</w:t>
            </w:r>
            <w:r w:rsidRPr="00792D61">
              <w:rPr>
                <w:b/>
              </w:rPr>
              <w:t>]][</w:t>
            </w:r>
            <w:r w:rsidRPr="0067159D">
              <w:rPr>
                <w:i/>
              </w:rPr>
              <w:t>Option 2</w:t>
            </w:r>
            <w:r w:rsidRPr="0067159D">
              <w:t xml:space="preserve">, </w:t>
            </w:r>
            <w:r w:rsidRPr="0067159D">
              <w:rPr>
                <w:b/>
                <w:i/>
              </w:rPr>
              <w:t>insert alternative date:</w:t>
            </w:r>
            <w:r w:rsidRPr="0067159D">
              <w:t xml:space="preserve"> </w:t>
            </w:r>
            <w:r w:rsidRPr="00792D61">
              <w:rPr>
                <w:b/>
              </w:rPr>
              <w:t>[</w:t>
            </w:r>
            <w:r w:rsidRPr="0067159D">
              <w:rPr>
                <w:rFonts w:ascii="Arial" w:hAnsi="Arial" w:cs="Arial"/>
              </w:rPr>
              <w:t>●</w:t>
            </w:r>
            <w:r w:rsidRPr="00792D61">
              <w:rPr>
                <w:b/>
              </w:rPr>
              <w:t>]]</w:t>
            </w:r>
            <w:r w:rsidRPr="0067159D">
              <w:t xml:space="preserve">. </w:t>
            </w:r>
          </w:p>
        </w:tc>
        <w:tc>
          <w:tcPr>
            <w:tcW w:w="1618" w:type="dxa"/>
            <w:gridSpan w:val="2"/>
            <w:tcBorders>
              <w:top w:val="nil"/>
              <w:bottom w:val="nil"/>
              <w:right w:val="nil"/>
            </w:tcBorders>
            <w:shd w:val="clear" w:color="auto" w:fill="auto"/>
          </w:tcPr>
          <w:p w:rsidR="0017135D" w:rsidRPr="0067159D" w:rsidP="00F71807">
            <w:pPr>
              <w:pStyle w:val="CSBody8pt"/>
            </w:pPr>
            <w:r w:rsidRPr="0067159D">
              <w:t>Auktions-Rückzahlungstag</w:t>
            </w:r>
            <w:r>
              <w:fldChar w:fldCharType="begin"/>
            </w:r>
            <w:r>
              <w:instrText xml:space="preserve"> XE "</w:instrText>
            </w:r>
            <w:r w:rsidRPr="005C4C70">
              <w:instrText>Auktions-Rückzahlungstag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67159D" w:rsidP="00F134DE">
            <w:pPr>
              <w:pStyle w:val="CSBody8pt"/>
              <w:rPr>
                <w:lang w:val="de-DE"/>
              </w:rPr>
            </w:pPr>
            <w:r w:rsidRPr="00792D61">
              <w:rPr>
                <w:b/>
                <w:lang w:val="de-DE"/>
              </w:rPr>
              <w:t>[</w:t>
            </w:r>
            <w:r w:rsidRPr="0067159D">
              <w:rPr>
                <w:b/>
                <w:i/>
                <w:lang w:val="de-DE"/>
              </w:rPr>
              <w:t>falls ein Korb anwendbar ist, einfügen</w:t>
            </w:r>
            <w:r w:rsidRPr="0067159D">
              <w:rPr>
                <w:lang w:val="de-DE"/>
              </w:rPr>
              <w:t>: in Bezug auf einen Betroffenen Referenzschuldner</w:t>
            </w:r>
            <w:r w:rsidRPr="00792D61">
              <w:rPr>
                <w:b/>
                <w:lang w:val="de-DE"/>
              </w:rPr>
              <w:t>][</w:t>
            </w:r>
            <w:r w:rsidRPr="0067159D">
              <w:rPr>
                <w:lang w:val="de-DE"/>
              </w:rPr>
              <w:t>der Planmässige Fälligkeitstag oder, falls später,</w:t>
            </w:r>
            <w:r w:rsidRPr="00792D61">
              <w:rPr>
                <w:b/>
                <w:lang w:val="de-DE"/>
              </w:rPr>
              <w:t>]</w:t>
            </w:r>
            <w:r w:rsidRPr="0067159D">
              <w:rPr>
                <w:lang w:val="de-DE"/>
              </w:rPr>
              <w:t xml:space="preserve"> </w:t>
            </w:r>
            <w:r w:rsidRPr="00792D61">
              <w:rPr>
                <w:b/>
                <w:lang w:val="de-DE"/>
              </w:rPr>
              <w:t>[</w:t>
            </w:r>
            <w:r w:rsidRPr="0067159D">
              <w:rPr>
                <w:b/>
                <w:i/>
                <w:lang w:val="de-DE"/>
              </w:rPr>
              <w:t>Option 1:</w:t>
            </w:r>
            <w:r w:rsidRPr="0067159D">
              <w:rPr>
                <w:lang w:val="de-DE"/>
              </w:rPr>
              <w:t xml:space="preserve"> (i) der Tag, der in den Bedingungen für die Auktionsbasierte Abwicklung von Kreditderivaten als der Auktions-Abwicklungstag angegeben ist oder, (ii) falls ein solcher Tag nicht angegeben ist, der Tag, der fünf Geschäftstage unmittelbar nach dem Feststellungstag für den Auktions-Endpreis </w:t>
            </w:r>
            <w:r w:rsidRPr="00792D61">
              <w:rPr>
                <w:b/>
                <w:lang w:val="de-DE"/>
              </w:rPr>
              <w:t>[</w:t>
            </w:r>
            <w:r w:rsidRPr="0067159D">
              <w:rPr>
                <w:b/>
                <w:i/>
                <w:lang w:val="de-DE"/>
              </w:rPr>
              <w:t>bei Komplexen Produkten mit N</w:t>
            </w:r>
            <w:r w:rsidRPr="00BD6E0D">
              <w:rPr>
                <w:b/>
                <w:i/>
                <w:vertAlign w:val="superscript"/>
                <w:lang w:val="de-DE"/>
              </w:rPr>
              <w:t>th</w:t>
            </w:r>
            <w:r w:rsidRPr="0067159D">
              <w:rPr>
                <w:b/>
                <w:i/>
                <w:lang w:val="de-DE"/>
              </w:rPr>
              <w:t>-to-Default-Struktur einfügen:</w:t>
            </w:r>
            <w:r w:rsidRPr="0067159D">
              <w:rPr>
                <w:lang w:val="de-DE"/>
              </w:rPr>
              <w:t xml:space="preserve"> in Bezug auf den </w:t>
            </w:r>
            <w:r w:rsidRPr="00792D61">
              <w:rPr>
                <w:b/>
                <w:lang w:val="de-DE"/>
              </w:rPr>
              <w:t>[</w:t>
            </w:r>
            <w:r w:rsidRPr="0067159D">
              <w:rPr>
                <w:b/>
                <w:i/>
                <w:lang w:val="de-DE"/>
              </w:rPr>
              <w:t xml:space="preserve">jeweilige Zahl einfügen: </w:t>
            </w:r>
            <w:r w:rsidRPr="00792D61">
              <w:rPr>
                <w:b/>
                <w:lang w:val="de-DE"/>
              </w:rPr>
              <w:t>[</w:t>
            </w:r>
            <w:r w:rsidRPr="0067159D">
              <w:rPr>
                <w:lang w:val="de-DE"/>
              </w:rPr>
              <w:t>1st</w:t>
            </w:r>
            <w:r w:rsidRPr="00792D61">
              <w:rPr>
                <w:b/>
                <w:lang w:val="de-DE"/>
              </w:rPr>
              <w:t>][</w:t>
            </w:r>
            <w:r w:rsidRPr="0067159D">
              <w:rPr>
                <w:lang w:val="de-DE"/>
              </w:rPr>
              <w:t>2nd</w:t>
            </w:r>
            <w:r w:rsidRPr="00792D61">
              <w:rPr>
                <w:b/>
                <w:lang w:val="de-DE"/>
              </w:rPr>
              <w:t>][</w:t>
            </w:r>
            <w:r w:rsidRPr="0067159D">
              <w:rPr>
                <w:lang w:val="de-DE"/>
              </w:rPr>
              <w:t>3rd</w:t>
            </w:r>
            <w:r w:rsidRPr="00792D61">
              <w:rPr>
                <w:b/>
                <w:lang w:val="de-DE"/>
              </w:rPr>
              <w:t>][[</w:t>
            </w:r>
            <w:r w:rsidRPr="0067159D">
              <w:rPr>
                <w:rFonts w:ascii="Arial" w:hAnsi="Arial" w:cs="Arial"/>
                <w:lang w:val="de-DE"/>
              </w:rPr>
              <w:t>●</w:t>
            </w:r>
            <w:r w:rsidRPr="00792D61">
              <w:rPr>
                <w:b/>
                <w:lang w:val="de-DE"/>
              </w:rPr>
              <w:t>]]]</w:t>
            </w:r>
            <w:r w:rsidRPr="0067159D">
              <w:rPr>
                <w:lang w:val="de-DE"/>
              </w:rPr>
              <w:t>-to-Default-Referenzschuldner</w:t>
            </w:r>
            <w:r w:rsidRPr="00792D61">
              <w:rPr>
                <w:b/>
                <w:lang w:val="de-DE"/>
              </w:rPr>
              <w:t>][</w:t>
            </w:r>
            <w:r w:rsidRPr="0067159D">
              <w:rPr>
                <w:b/>
                <w:i/>
                <w:lang w:val="de-DE"/>
              </w:rPr>
              <w:t>falls ein Korb anwendbar ist, einf</w:t>
            </w:r>
            <w:r w:rsidRPr="0067159D">
              <w:rPr>
                <w:rFonts w:cs="Credit Suisse Type Light"/>
                <w:b/>
                <w:i/>
                <w:lang w:val="de-DE"/>
              </w:rPr>
              <w:t>ü</w:t>
            </w:r>
            <w:r w:rsidRPr="0067159D">
              <w:rPr>
                <w:b/>
                <w:i/>
                <w:lang w:val="de-DE"/>
              </w:rPr>
              <w:t>gen:</w:t>
            </w:r>
            <w:r w:rsidRPr="0067159D">
              <w:rPr>
                <w:lang w:val="de-DE"/>
              </w:rPr>
              <w:t xml:space="preserve"> in Bezug auf diesen Betroffenen Referenzschuldner</w:t>
            </w:r>
            <w:r w:rsidRPr="00792D61">
              <w:rPr>
                <w:b/>
                <w:lang w:val="de-DE"/>
              </w:rPr>
              <w:t>]</w:t>
            </w:r>
            <w:r w:rsidRPr="0067159D">
              <w:rPr>
                <w:lang w:val="de-DE"/>
              </w:rPr>
              <w:t xml:space="preserve"> liegt .</w:t>
            </w:r>
            <w:r w:rsidRPr="00792D61">
              <w:rPr>
                <w:b/>
                <w:lang w:val="de-DE"/>
              </w:rPr>
              <w:t>]][</w:t>
            </w:r>
            <w:r w:rsidRPr="0067159D">
              <w:rPr>
                <w:b/>
                <w:i/>
                <w:lang w:val="de-DE"/>
              </w:rPr>
              <w:t>Option 2,</w:t>
            </w:r>
            <w:r w:rsidRPr="0067159D">
              <w:rPr>
                <w:lang w:val="de-DE"/>
              </w:rPr>
              <w:t xml:space="preserve"> </w:t>
            </w:r>
            <w:r w:rsidRPr="0067159D">
              <w:rPr>
                <w:b/>
                <w:i/>
                <w:lang w:val="de-DE"/>
              </w:rPr>
              <w:t>alternatives Datum einf</w:t>
            </w:r>
            <w:r w:rsidRPr="0067159D">
              <w:rPr>
                <w:rFonts w:cs="Credit Suisse Type Light"/>
                <w:b/>
                <w:i/>
                <w:lang w:val="de-DE"/>
              </w:rPr>
              <w:t>ü</w:t>
            </w:r>
            <w:r w:rsidRPr="0067159D">
              <w:rPr>
                <w:b/>
                <w:i/>
                <w:lang w:val="de-DE"/>
              </w:rPr>
              <w:t>gen:</w:t>
            </w:r>
            <w:r w:rsidRPr="0067159D">
              <w:rPr>
                <w:lang w:val="de-DE"/>
              </w:rPr>
              <w:t xml:space="preserve"> </w:t>
            </w:r>
            <w:r w:rsidRPr="00792D61">
              <w:rPr>
                <w:b/>
                <w:lang w:val="de-DE"/>
              </w:rPr>
              <w:t>[</w:t>
            </w:r>
            <w:r w:rsidRPr="0067159D">
              <w:rPr>
                <w:rFonts w:ascii="Arial" w:hAnsi="Arial" w:cs="Arial"/>
                <w:lang w:val="de-DE"/>
              </w:rPr>
              <w:t>●</w:t>
            </w:r>
            <w:r w:rsidRPr="00792D61">
              <w:rPr>
                <w:b/>
                <w:lang w:val="de-DE"/>
              </w:rPr>
              <w:t>]]</w:t>
            </w:r>
            <w:r w:rsidRPr="0067159D">
              <w:rPr>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7159D" w:rsidP="00F134DE">
            <w:pPr>
              <w:pStyle w:val="CSBody8pt"/>
              <w:rPr>
                <w:lang w:val="de-DE"/>
              </w:rPr>
            </w:pPr>
            <w:r w:rsidRPr="0067159D">
              <w:rPr>
                <w:lang w:val="de-DE"/>
              </w:rPr>
              <w:t>Auction Redemption Amount</w:t>
            </w:r>
            <w:r>
              <w:rPr>
                <w:lang w:val="de-DE"/>
              </w:rPr>
              <w:fldChar w:fldCharType="begin"/>
            </w:r>
            <w:r>
              <w:instrText xml:space="preserve"> XE "</w:instrText>
            </w:r>
            <w:r w:rsidRPr="00B16BAB">
              <w:rPr>
                <w:lang w:val="de-DE"/>
              </w:rPr>
              <w:instrText>Auction Redemption Amount</w:instrText>
            </w:r>
            <w:r>
              <w:instrText xml:space="preserve">" \f "EN" </w:instrText>
            </w:r>
            <w:r>
              <w:rPr>
                <w:lang w:val="de-DE"/>
              </w:rPr>
              <w:fldChar w:fldCharType="end"/>
            </w:r>
          </w:p>
        </w:tc>
        <w:tc>
          <w:tcPr>
            <w:tcW w:w="3315" w:type="dxa"/>
            <w:gridSpan w:val="7"/>
            <w:tcBorders>
              <w:top w:val="nil"/>
              <w:left w:val="nil"/>
              <w:bottom w:val="nil"/>
            </w:tcBorders>
            <w:shd w:val="clear" w:color="auto" w:fill="auto"/>
          </w:tcPr>
          <w:p w:rsidR="0017135D" w:rsidRPr="0067159D" w:rsidP="00691EFE">
            <w:pPr>
              <w:pStyle w:val="CSBody8ptbolditalics"/>
            </w:pPr>
            <w:r w:rsidRPr="00792D61">
              <w:t>[</w:t>
            </w:r>
            <w:r w:rsidRPr="0067159D">
              <w:t>if no Basket is applicable, insert:</w:t>
            </w:r>
          </w:p>
        </w:tc>
        <w:tc>
          <w:tcPr>
            <w:tcW w:w="1618" w:type="dxa"/>
            <w:gridSpan w:val="2"/>
            <w:tcBorders>
              <w:top w:val="nil"/>
              <w:bottom w:val="nil"/>
              <w:right w:val="nil"/>
            </w:tcBorders>
            <w:shd w:val="clear" w:color="auto" w:fill="auto"/>
          </w:tcPr>
          <w:p w:rsidR="0017135D" w:rsidRPr="0067159D" w:rsidP="00F134DE">
            <w:pPr>
              <w:pStyle w:val="CSBody8pt"/>
              <w:rPr>
                <w:lang w:val="de-DE"/>
              </w:rPr>
            </w:pPr>
            <w:r>
              <w:rPr>
                <w:lang w:val="de-DE"/>
              </w:rPr>
              <w:t>Auktions-Rückzahlungs</w:t>
            </w:r>
            <w:r w:rsidRPr="0067159D">
              <w:rPr>
                <w:lang w:val="de-DE"/>
              </w:rPr>
              <w:t>betrag</w:t>
            </w:r>
            <w:r>
              <w:rPr>
                <w:lang w:val="de-DE"/>
              </w:rPr>
              <w:fldChar w:fldCharType="begin"/>
            </w:r>
            <w:r>
              <w:instrText xml:space="preserve"> XE "</w:instrText>
            </w:r>
            <w:r>
              <w:rPr>
                <w:lang w:val="de-DE"/>
              </w:rPr>
              <w:instrText>Auktions-Rückzahlungs</w:instrText>
            </w:r>
            <w:r w:rsidRPr="00D71232">
              <w:rPr>
                <w:lang w:val="de-DE"/>
              </w:rPr>
              <w:instrText>betrag</w:instrText>
            </w:r>
            <w:r>
              <w:instrText xml:space="preserve">" </w:instrText>
            </w:r>
            <w:r>
              <w:rPr>
                <w:lang w:val="de-DE"/>
              </w:rPr>
              <w:fldChar w:fldCharType="end"/>
            </w:r>
          </w:p>
        </w:tc>
        <w:tc>
          <w:tcPr>
            <w:tcW w:w="3318" w:type="dxa"/>
            <w:gridSpan w:val="10"/>
            <w:tcBorders>
              <w:top w:val="nil"/>
              <w:left w:val="nil"/>
              <w:bottom w:val="nil"/>
              <w:right w:val="nil"/>
            </w:tcBorders>
            <w:shd w:val="clear" w:color="auto" w:fill="auto"/>
          </w:tcPr>
          <w:p w:rsidR="0017135D" w:rsidRPr="00881D8B" w:rsidP="00691EFE">
            <w:pPr>
              <w:pStyle w:val="CSBody8ptbolditalics"/>
              <w:rPr>
                <w:lang w:val="de-DE"/>
              </w:rPr>
            </w:pPr>
            <w:r w:rsidRPr="00792D61">
              <w:rPr>
                <w:lang w:val="de-DE"/>
              </w:rPr>
              <w:t>[</w:t>
            </w:r>
            <w:r w:rsidRPr="0067159D">
              <w:rPr>
                <w:lang w:val="de-DE"/>
              </w:rPr>
              <w:t>falls kein Korb anwendbar ist,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691EFE">
            <w:pPr>
              <w:pStyle w:val="CSBody8pt"/>
              <w:rPr>
                <w:lang w:val="de-DE"/>
              </w:rPr>
            </w:pPr>
          </w:p>
        </w:tc>
        <w:tc>
          <w:tcPr>
            <w:tcW w:w="3315" w:type="dxa"/>
            <w:gridSpan w:val="7"/>
            <w:tcBorders>
              <w:top w:val="nil"/>
              <w:left w:val="nil"/>
              <w:bottom w:val="nil"/>
            </w:tcBorders>
            <w:shd w:val="clear" w:color="auto" w:fill="auto"/>
          </w:tcPr>
          <w:p w:rsidR="0017135D" w:rsidP="004C1EBA">
            <w:pPr>
              <w:pStyle w:val="CSBody8pt"/>
            </w:pPr>
            <w:r w:rsidRPr="00042E21">
              <w:t>a cash amount equal to the product of (</w:t>
            </w:r>
            <w:r>
              <w:t>i</w:t>
            </w:r>
            <w:r w:rsidRPr="00042E21">
              <w:t>) the Principal Amount and (</w:t>
            </w:r>
            <w:r>
              <w:t>ii</w:t>
            </w:r>
            <w:r w:rsidRPr="00042E21">
              <w:t xml:space="preserve">) the ratio of the Auction Final Price (expressed as a percentage) </w:t>
            </w:r>
            <w:r w:rsidRPr="00792D61">
              <w:rPr>
                <w:b/>
                <w:i/>
              </w:rPr>
              <w:t>[</w:t>
            </w:r>
            <w:r w:rsidRPr="00691EFE">
              <w:rPr>
                <w:b/>
                <w:i/>
              </w:rPr>
              <w:t>in the case of Complex Products with N</w:t>
            </w:r>
            <w:r w:rsidRPr="00BD6E0D">
              <w:rPr>
                <w:b/>
                <w:i/>
                <w:vertAlign w:val="superscript"/>
              </w:rPr>
              <w:t>th</w:t>
            </w:r>
            <w:r w:rsidRPr="00691EFE">
              <w:rPr>
                <w:b/>
                <w:i/>
              </w:rPr>
              <w:t>-to-Default structure, insert:</w:t>
            </w:r>
            <w:r w:rsidRPr="00042E21">
              <w:t xml:space="preserve"> with respect to the </w:t>
            </w:r>
            <w:r w:rsidRPr="00792D61">
              <w:rPr>
                <w:b/>
              </w:rPr>
              <w:t>[</w:t>
            </w:r>
            <w:r w:rsidRPr="00691EFE">
              <w:rPr>
                <w:b/>
                <w:i/>
              </w:rPr>
              <w:t xml:space="preserve">insert relevant number: </w:t>
            </w:r>
            <w:r w:rsidRPr="00792D61">
              <w:rPr>
                <w:b/>
              </w:rPr>
              <w:t>[</w:t>
            </w:r>
            <w:r w:rsidRPr="00042E21">
              <w:t>1st</w:t>
            </w:r>
            <w:r w:rsidRPr="00792D61">
              <w:rPr>
                <w:b/>
              </w:rPr>
              <w:t>][</w:t>
            </w:r>
            <w:r w:rsidRPr="00042E21">
              <w:t>2nd</w:t>
            </w:r>
            <w:r w:rsidRPr="00792D61">
              <w:rPr>
                <w:b/>
              </w:rPr>
              <w:t>][</w:t>
            </w:r>
            <w:r w:rsidRPr="00042E21">
              <w:t>3rd</w:t>
            </w:r>
            <w:r w:rsidRPr="00792D61">
              <w:rPr>
                <w:b/>
              </w:rPr>
              <w:t>][[</w:t>
            </w:r>
            <w:r w:rsidRPr="00042E21">
              <w:rPr>
                <w:rFonts w:ascii="Arial" w:hAnsi="Arial" w:cs="Arial"/>
              </w:rPr>
              <w:t>●</w:t>
            </w:r>
            <w:r w:rsidRPr="00792D61">
              <w:rPr>
                <w:b/>
              </w:rPr>
              <w:t>]]]</w:t>
            </w:r>
            <w:r w:rsidRPr="00042E21">
              <w:t>-to-Default Reference Entity</w:t>
            </w:r>
            <w:r w:rsidRPr="00792D61">
              <w:rPr>
                <w:b/>
              </w:rPr>
              <w:t>]</w:t>
            </w:r>
            <w:r w:rsidRPr="00042E21">
              <w:t xml:space="preserve"> divided by the Reference Price (expressed as a percentage), calculated by the Calculation Agent in accordance with the following formula:</w:t>
            </w:r>
          </w:p>
        </w:tc>
        <w:tc>
          <w:tcPr>
            <w:tcW w:w="1618" w:type="dxa"/>
            <w:gridSpan w:val="2"/>
            <w:tcBorders>
              <w:top w:val="nil"/>
              <w:bottom w:val="nil"/>
              <w:right w:val="nil"/>
            </w:tcBorders>
            <w:shd w:val="clear" w:color="auto" w:fill="auto"/>
          </w:tcPr>
          <w:p w:rsidR="0017135D" w:rsidRPr="00881D8B" w:rsidP="00691EFE">
            <w:pPr>
              <w:pStyle w:val="CSBody8pt"/>
              <w:rPr>
                <w:i/>
              </w:rPr>
            </w:pPr>
          </w:p>
        </w:tc>
        <w:tc>
          <w:tcPr>
            <w:tcW w:w="3318" w:type="dxa"/>
            <w:gridSpan w:val="10"/>
            <w:tcBorders>
              <w:top w:val="nil"/>
              <w:left w:val="nil"/>
              <w:bottom w:val="nil"/>
              <w:right w:val="nil"/>
            </w:tcBorders>
            <w:shd w:val="clear" w:color="auto" w:fill="auto"/>
          </w:tcPr>
          <w:p w:rsidR="0017135D" w:rsidRPr="00881D8B" w:rsidP="004C1EBA">
            <w:pPr>
              <w:pStyle w:val="CSBody8pt"/>
              <w:rPr>
                <w:lang w:val="de-DE"/>
              </w:rPr>
            </w:pPr>
            <w:r w:rsidRPr="00881D8B">
              <w:rPr>
                <w:lang w:val="de-DE"/>
              </w:rPr>
              <w:t>ein Geldbetrag, der  dem Produkt aus (</w:t>
            </w:r>
            <w:r>
              <w:rPr>
                <w:lang w:val="de-DE"/>
              </w:rPr>
              <w:t>i</w:t>
            </w:r>
            <w:r w:rsidRPr="00881D8B">
              <w:rPr>
                <w:lang w:val="de-DE"/>
              </w:rPr>
              <w:t>) dem Nennbetrag (</w:t>
            </w:r>
            <w:r w:rsidRPr="00BD6E0D">
              <w:rPr>
                <w:i/>
                <w:lang w:val="de-DE"/>
              </w:rPr>
              <w:t>Principal Amount</w:t>
            </w:r>
            <w:r w:rsidRPr="00881D8B">
              <w:rPr>
                <w:lang w:val="de-DE"/>
              </w:rPr>
              <w:t>) und (</w:t>
            </w:r>
            <w:r>
              <w:rPr>
                <w:lang w:val="de-DE"/>
              </w:rPr>
              <w:t>ii</w:t>
            </w:r>
            <w:r w:rsidRPr="00881D8B">
              <w:rPr>
                <w:lang w:val="de-DE"/>
              </w:rPr>
              <w:t>) dem Verhältnis des Auktions-Endpreises (</w:t>
            </w:r>
            <w:r w:rsidRPr="00BD6E0D">
              <w:rPr>
                <w:i/>
                <w:lang w:val="de-DE"/>
              </w:rPr>
              <w:t>Auction Final Price</w:t>
            </w:r>
            <w:r w:rsidRPr="00881D8B">
              <w:rPr>
                <w:lang w:val="de-DE"/>
              </w:rPr>
              <w:t xml:space="preserve">) (ausgedrückt in Prozent) </w:t>
            </w:r>
            <w:r w:rsidRPr="00792D61">
              <w:rPr>
                <w:b/>
                <w:lang w:val="de-DE"/>
              </w:rPr>
              <w:t>[</w:t>
            </w:r>
            <w:r w:rsidRPr="00691EFE">
              <w:rPr>
                <w:b/>
                <w:i/>
                <w:lang w:val="de-DE"/>
              </w:rPr>
              <w:t>bei Komplexen Produkten mit N</w:t>
            </w:r>
            <w:r w:rsidRPr="00BD6E0D">
              <w:rPr>
                <w:b/>
                <w:i/>
                <w:vertAlign w:val="superscript"/>
                <w:lang w:val="de-DE"/>
              </w:rPr>
              <w:t>th</w:t>
            </w:r>
            <w:r w:rsidRPr="00691EFE">
              <w:rPr>
                <w:b/>
                <w:i/>
                <w:lang w:val="de-DE"/>
              </w:rPr>
              <w:t>-to-Default-Struktur einfügen:</w:t>
            </w:r>
            <w:r w:rsidRPr="00881D8B">
              <w:rPr>
                <w:lang w:val="de-DE"/>
              </w:rPr>
              <w:t xml:space="preserve"> in Bezug auf den </w:t>
            </w:r>
            <w:r w:rsidRPr="00792D61">
              <w:rPr>
                <w:b/>
                <w:lang w:val="de-DE"/>
              </w:rPr>
              <w:t>[</w:t>
            </w:r>
            <w:r w:rsidRPr="00691EFE">
              <w:rPr>
                <w:b/>
                <w:i/>
                <w:lang w:val="de-DE"/>
              </w:rPr>
              <w:t xml:space="preserve">jeweilige Zahl einfügen: </w:t>
            </w:r>
            <w:r w:rsidRPr="00792D61">
              <w:rPr>
                <w:b/>
                <w:lang w:val="de-DE"/>
              </w:rPr>
              <w:t>[</w:t>
            </w:r>
            <w:r w:rsidRPr="00881D8B">
              <w:rPr>
                <w:lang w:val="de-DE"/>
              </w:rPr>
              <w:t>1st</w:t>
            </w:r>
            <w:r w:rsidRPr="00792D61">
              <w:rPr>
                <w:b/>
                <w:lang w:val="de-DE"/>
              </w:rPr>
              <w:t>][</w:t>
            </w:r>
            <w:r w:rsidRPr="00881D8B">
              <w:rPr>
                <w:lang w:val="de-DE"/>
              </w:rPr>
              <w:t>2nd</w:t>
            </w:r>
            <w:r w:rsidRPr="00792D61">
              <w:rPr>
                <w:b/>
                <w:lang w:val="de-DE"/>
              </w:rPr>
              <w:t>][</w:t>
            </w:r>
            <w:r w:rsidRPr="00881D8B">
              <w:rPr>
                <w:lang w:val="de-DE"/>
              </w:rPr>
              <w:t>3rd</w:t>
            </w:r>
            <w:r w:rsidRPr="00792D61">
              <w:rPr>
                <w:b/>
                <w:lang w:val="de-DE"/>
              </w:rPr>
              <w:t>][[</w:t>
            </w:r>
            <w:r w:rsidRPr="00881D8B">
              <w:rPr>
                <w:rFonts w:ascii="Arial" w:hAnsi="Arial" w:cs="Arial"/>
                <w:lang w:val="de-DE"/>
              </w:rPr>
              <w:t>●</w:t>
            </w:r>
            <w:r w:rsidRPr="00792D61">
              <w:rPr>
                <w:b/>
                <w:lang w:val="de-DE"/>
              </w:rPr>
              <w:t>]]]</w:t>
            </w:r>
            <w:r w:rsidRPr="00881D8B">
              <w:rPr>
                <w:lang w:val="de-DE"/>
              </w:rPr>
              <w:t>-to-Default-Referenzschuldner (</w:t>
            </w:r>
            <w:r w:rsidRPr="00BD6E0D">
              <w:rPr>
                <w:i/>
                <w:lang w:val="de-DE"/>
              </w:rPr>
              <w:t>N</w:t>
            </w:r>
            <w:r w:rsidRPr="00BD6E0D">
              <w:rPr>
                <w:i/>
                <w:vertAlign w:val="superscript"/>
                <w:lang w:val="de-DE"/>
              </w:rPr>
              <w:t>th</w:t>
            </w:r>
            <w:r w:rsidRPr="00BD6E0D">
              <w:rPr>
                <w:i/>
                <w:lang w:val="de-DE"/>
              </w:rPr>
              <w:t>-to-Default Reference Entity</w:t>
            </w:r>
            <w:r w:rsidRPr="00881D8B">
              <w:rPr>
                <w:lang w:val="de-DE"/>
              </w:rPr>
              <w:t>)</w:t>
            </w:r>
            <w:r w:rsidRPr="00792D61">
              <w:rPr>
                <w:b/>
                <w:lang w:val="de-DE"/>
              </w:rPr>
              <w:t>]</w:t>
            </w:r>
            <w:r w:rsidRPr="00881D8B">
              <w:rPr>
                <w:lang w:val="de-DE"/>
              </w:rPr>
              <w:t xml:space="preserve"> dividiert durch den Referenzpreis (</w:t>
            </w:r>
            <w:r w:rsidRPr="00BD6E0D">
              <w:rPr>
                <w:i/>
                <w:lang w:val="de-DE"/>
              </w:rPr>
              <w:t>Reference Price</w:t>
            </w:r>
            <w:r w:rsidRPr="00881D8B">
              <w:rPr>
                <w:lang w:val="de-DE"/>
              </w:rPr>
              <w:t>) (ausgedr</w:t>
            </w:r>
            <w:r w:rsidRPr="00881D8B">
              <w:rPr>
                <w:rFonts w:cs="Credit Suisse Type Light"/>
                <w:lang w:val="de-DE"/>
              </w:rPr>
              <w:t>ü</w:t>
            </w:r>
            <w:r w:rsidRPr="00881D8B">
              <w:rPr>
                <w:lang w:val="de-DE"/>
              </w:rPr>
              <w:t>ckt in Prozent)</w:t>
            </w:r>
            <w:r>
              <w:rPr>
                <w:lang w:val="de-DE"/>
              </w:rPr>
              <w:t>, entspricht</w:t>
            </w:r>
            <w:r w:rsidRPr="00881D8B">
              <w:rPr>
                <w:lang w:val="de-DE"/>
              </w:rPr>
              <w:t>, berechnet von der Berechnungsstelle nach der folgenden Formel:</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82207A" w:rsidP="004C1EBA">
            <w:pPr>
              <w:pStyle w:val="CSBody8pt"/>
              <w:spacing w:before="120" w:after="120"/>
              <w:jc w:val="center"/>
              <w:rPr>
                <w:lang w:val="de-DE"/>
              </w:rPr>
            </w:pPr>
            <m:oMath>
              <m:r>
                <w:rPr>
                  <w:rFonts w:ascii="Cambria Math" w:hAnsi="Cambria Math"/>
                  <w:sz w:val="14"/>
                  <w:szCs w:val="14"/>
                  <w:lang w:val="de-DE"/>
                </w:rPr>
                <m:t>Principal Amount×</m:t>
              </m:r>
              <m:d>
                <m:dPr>
                  <m:ctrlPr>
                    <w:rPr>
                      <w:rFonts w:ascii="Cambria Math" w:hAnsi="Cambria Math"/>
                      <w:i/>
                      <w:sz w:val="14"/>
                      <w:szCs w:val="14"/>
                      <w:lang w:val="de-DE"/>
                    </w:rPr>
                  </m:ctrlPr>
                </m:dPr>
                <m:e>
                  <m:f>
                    <m:fPr>
                      <m:ctrlPr>
                        <w:rPr>
                          <w:rFonts w:ascii="Cambria Math" w:hAnsi="Cambria Math"/>
                          <w:i/>
                          <w:sz w:val="14"/>
                          <w:szCs w:val="14"/>
                          <w:lang w:val="de-DE"/>
                        </w:rPr>
                      </m:ctrlPr>
                    </m:fPr>
                    <m:num>
                      <m:sSub>
                        <m:sSubPr>
                          <m:ctrlPr>
                            <w:rPr>
                              <w:rFonts w:ascii="Cambria Math" w:hAnsi="Cambria Math"/>
                              <w:i/>
                              <w:sz w:val="14"/>
                              <w:szCs w:val="14"/>
                              <w:lang w:val="de-DE"/>
                            </w:rPr>
                          </m:ctrlPr>
                        </m:sSubPr>
                        <m:e>
                          <m:r>
                            <w:rPr>
                              <w:rFonts w:ascii="Cambria Math" w:hAnsi="Cambria Math"/>
                              <w:sz w:val="14"/>
                              <w:szCs w:val="14"/>
                              <w:lang w:val="de-DE"/>
                            </w:rPr>
                            <m:t>Auction Final Price</m:t>
                          </m:r>
                        </m:e>
                        <m:sub>
                          <m:d>
                            <m:dPr>
                              <m:begChr m:val="["/>
                              <m:endChr m:val="]"/>
                              <m:ctrlPr>
                                <w:rPr>
                                  <w:rFonts w:ascii="Cambria Math" w:hAnsi="Cambria Math"/>
                                  <w:i/>
                                  <w:sz w:val="14"/>
                                  <w:szCs w:val="14"/>
                                  <w:lang w:val="de-DE"/>
                                </w:rPr>
                              </m:ctrlPr>
                            </m:dPr>
                            <m:e>
                              <m:r>
                                <w:rPr>
                                  <w:rFonts w:ascii="Cambria Math" w:hAnsi="Cambria Math"/>
                                  <w:sz w:val="14"/>
                                  <w:szCs w:val="14"/>
                                  <w:lang w:val="de-DE"/>
                                </w:rPr>
                                <m:t>Nth-to-Default Refernce Entity</m:t>
                              </m:r>
                            </m:e>
                          </m:d>
                        </m:sub>
                      </m:sSub>
                    </m:num>
                    <m:den>
                      <m:r>
                        <w:rPr>
                          <w:rFonts w:ascii="Cambria Math" w:hAnsi="Cambria Math"/>
                          <w:sz w:val="14"/>
                          <w:szCs w:val="14"/>
                          <w:lang w:val="de-DE"/>
                        </w:rPr>
                        <m:t>Reference Price</m:t>
                      </m:r>
                    </m:den>
                  </m:f>
                </m:e>
              </m:d>
            </m:oMath>
            <w:r w:rsidRPr="0082207A">
              <w:rPr>
                <w:rFonts w:eastAsiaTheme="minorEastAsia"/>
                <w:sz w:val="14"/>
                <w:szCs w:val="14"/>
                <w:lang w:val="de-DE"/>
              </w:rPr>
              <w:t xml:space="preserve"> </w:t>
            </w:r>
            <w:r w:rsidRPr="0082207A">
              <w:rPr>
                <w:rFonts w:eastAsiaTheme="minorEastAsia"/>
                <w:b/>
                <w:sz w:val="14"/>
                <w:szCs w:val="14"/>
                <w:lang w:val="de-DE"/>
              </w:rPr>
              <w:t>]</w:t>
            </w:r>
          </w:p>
        </w:tc>
        <w:tc>
          <w:tcPr>
            <w:tcW w:w="4936" w:type="dxa"/>
            <w:gridSpan w:val="12"/>
            <w:tcBorders>
              <w:top w:val="nil"/>
              <w:bottom w:val="nil"/>
              <w:right w:val="nil"/>
            </w:tcBorders>
            <w:shd w:val="clear" w:color="auto" w:fill="auto"/>
          </w:tcPr>
          <w:p w:rsidR="0017135D" w:rsidRPr="0082207A" w:rsidP="004C1EBA">
            <w:pPr>
              <w:pStyle w:val="CSBody8pt"/>
              <w:spacing w:before="120" w:after="120"/>
              <w:jc w:val="center"/>
              <w:rPr>
                <w:lang w:val="de-DE"/>
              </w:rPr>
            </w:pPr>
            <m:oMath>
              <m:r>
                <w:rPr>
                  <w:rFonts w:ascii="Cambria Math" w:hAnsi="Cambria Math"/>
                  <w:sz w:val="14"/>
                  <w:szCs w:val="14"/>
                  <w:lang w:val="de-DE"/>
                </w:rPr>
                <m:t>Principal Amount×</m:t>
              </m:r>
              <m:d>
                <m:dPr>
                  <m:ctrlPr>
                    <w:rPr>
                      <w:rFonts w:ascii="Cambria Math" w:hAnsi="Cambria Math"/>
                      <w:i/>
                      <w:sz w:val="14"/>
                      <w:szCs w:val="14"/>
                      <w:lang w:val="de-DE"/>
                    </w:rPr>
                  </m:ctrlPr>
                </m:dPr>
                <m:e>
                  <m:f>
                    <m:fPr>
                      <m:ctrlPr>
                        <w:rPr>
                          <w:rFonts w:ascii="Cambria Math" w:hAnsi="Cambria Math"/>
                          <w:i/>
                          <w:sz w:val="14"/>
                          <w:szCs w:val="14"/>
                          <w:lang w:val="de-DE"/>
                        </w:rPr>
                      </m:ctrlPr>
                    </m:fPr>
                    <m:num>
                      <m:sSub>
                        <m:sSubPr>
                          <m:ctrlPr>
                            <w:rPr>
                              <w:rFonts w:ascii="Cambria Math" w:hAnsi="Cambria Math"/>
                              <w:i/>
                              <w:sz w:val="14"/>
                              <w:szCs w:val="14"/>
                              <w:lang w:val="de-DE"/>
                            </w:rPr>
                          </m:ctrlPr>
                        </m:sSubPr>
                        <m:e>
                          <m:r>
                            <w:rPr>
                              <w:rFonts w:ascii="Cambria Math" w:hAnsi="Cambria Math"/>
                              <w:sz w:val="14"/>
                              <w:szCs w:val="14"/>
                              <w:lang w:val="de-DE"/>
                            </w:rPr>
                            <m:t>Auction Final Price</m:t>
                          </m:r>
                        </m:e>
                        <m:sub>
                          <m:d>
                            <m:dPr>
                              <m:begChr m:val="["/>
                              <m:endChr m:val="]"/>
                              <m:ctrlPr>
                                <w:rPr>
                                  <w:rFonts w:ascii="Cambria Math" w:hAnsi="Cambria Math"/>
                                  <w:i/>
                                  <w:sz w:val="14"/>
                                  <w:szCs w:val="14"/>
                                  <w:lang w:val="de-DE"/>
                                </w:rPr>
                              </m:ctrlPr>
                            </m:dPr>
                            <m:e>
                              <m:r>
                                <w:rPr>
                                  <w:rFonts w:ascii="Cambria Math" w:hAnsi="Cambria Math"/>
                                  <w:sz w:val="14"/>
                                  <w:szCs w:val="14"/>
                                  <w:lang w:val="de-DE"/>
                                </w:rPr>
                                <m:t>th-to-Default Refernce Entity</m:t>
                              </m:r>
                            </m:e>
                          </m:d>
                        </m:sub>
                      </m:sSub>
                    </m:num>
                    <m:den>
                      <m:r>
                        <w:rPr>
                          <w:rFonts w:ascii="Cambria Math" w:hAnsi="Cambria Math"/>
                          <w:sz w:val="14"/>
                          <w:szCs w:val="14"/>
                          <w:lang w:val="de-DE"/>
                        </w:rPr>
                        <m:t>Reference Price</m:t>
                      </m:r>
                    </m:den>
                  </m:f>
                </m:e>
              </m:d>
            </m:oMath>
            <w:r w:rsidRPr="0082207A">
              <w:rPr>
                <w:rFonts w:eastAsiaTheme="minorEastAsia"/>
                <w:sz w:val="14"/>
                <w:szCs w:val="14"/>
                <w:lang w:val="de-DE"/>
              </w:rPr>
              <w:t xml:space="preserve"> </w:t>
            </w:r>
            <w:r w:rsidRPr="0082207A">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2207A" w:rsidP="00691EFE">
            <w:pPr>
              <w:pStyle w:val="CSBody8pt"/>
              <w:rPr>
                <w:lang w:val="de-DE"/>
              </w:rPr>
            </w:pPr>
          </w:p>
        </w:tc>
        <w:tc>
          <w:tcPr>
            <w:tcW w:w="3315" w:type="dxa"/>
            <w:gridSpan w:val="7"/>
            <w:tcBorders>
              <w:top w:val="nil"/>
              <w:left w:val="nil"/>
              <w:bottom w:val="nil"/>
            </w:tcBorders>
            <w:shd w:val="clear" w:color="auto" w:fill="auto"/>
          </w:tcPr>
          <w:p w:rsidR="0017135D" w:rsidRPr="00C9403C" w:rsidP="00691EFE">
            <w:pPr>
              <w:pStyle w:val="CSBody8ptbolditalics"/>
            </w:pPr>
            <w:r w:rsidRPr="00792D61">
              <w:t>[</w:t>
            </w:r>
            <w:r w:rsidRPr="00C9403C">
              <w:t>if a Basket is applicable, insert:</w:t>
            </w:r>
          </w:p>
        </w:tc>
        <w:tc>
          <w:tcPr>
            <w:tcW w:w="1618" w:type="dxa"/>
            <w:gridSpan w:val="2"/>
            <w:tcBorders>
              <w:top w:val="nil"/>
              <w:bottom w:val="nil"/>
              <w:right w:val="nil"/>
            </w:tcBorders>
            <w:shd w:val="clear" w:color="auto" w:fill="auto"/>
          </w:tcPr>
          <w:p w:rsidR="0017135D" w:rsidRPr="00881D8B" w:rsidP="00691EFE">
            <w:pPr>
              <w:pStyle w:val="CSBody8pt"/>
              <w:rPr>
                <w:i/>
              </w:rPr>
            </w:pPr>
          </w:p>
        </w:tc>
        <w:tc>
          <w:tcPr>
            <w:tcW w:w="3318" w:type="dxa"/>
            <w:gridSpan w:val="10"/>
            <w:tcBorders>
              <w:top w:val="nil"/>
              <w:left w:val="nil"/>
              <w:bottom w:val="nil"/>
              <w:right w:val="nil"/>
            </w:tcBorders>
            <w:shd w:val="clear" w:color="auto" w:fill="auto"/>
          </w:tcPr>
          <w:p w:rsidR="0017135D" w:rsidRPr="00881D8B" w:rsidP="00691EFE">
            <w:pPr>
              <w:pStyle w:val="CSBody8ptbolditalics"/>
              <w:rPr>
                <w:lang w:val="de-DE"/>
              </w:rPr>
            </w:pPr>
            <w:r w:rsidRPr="00792D61">
              <w:rPr>
                <w:lang w:val="de-DE"/>
              </w:rPr>
              <w:t>[</w:t>
            </w:r>
            <w:r w:rsidRPr="00881D8B">
              <w:rPr>
                <w:lang w:val="de-DE"/>
              </w:rPr>
              <w:t>falls ein Korb anwendbar ist,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691EFE">
            <w:pPr>
              <w:pStyle w:val="CSBody8pt"/>
              <w:rPr>
                <w:lang w:val="de-DE"/>
              </w:rPr>
            </w:pPr>
          </w:p>
        </w:tc>
        <w:tc>
          <w:tcPr>
            <w:tcW w:w="3315" w:type="dxa"/>
            <w:gridSpan w:val="7"/>
            <w:tcBorders>
              <w:top w:val="nil"/>
              <w:left w:val="nil"/>
              <w:bottom w:val="nil"/>
            </w:tcBorders>
            <w:shd w:val="clear" w:color="auto" w:fill="auto"/>
          </w:tcPr>
          <w:p w:rsidR="0017135D" w:rsidP="004C1EBA">
            <w:pPr>
              <w:pStyle w:val="CSBody8pt"/>
            </w:pPr>
            <w:r w:rsidRPr="00C9403C">
              <w:t>with respect to any Affected Reference Entity, a cash amount equal to the product of (</w:t>
            </w:r>
            <w:r>
              <w:t>i</w:t>
            </w:r>
            <w:r w:rsidRPr="00C9403C">
              <w:t>) the Reference Entity Principal Amount of such Affected Reference Entity and (</w:t>
            </w:r>
            <w:r>
              <w:t>ii</w:t>
            </w:r>
            <w:r w:rsidRPr="00C9403C">
              <w:t>) the ratio of the Auction Final Price (expressed as a percentage) with respect to such Affected Reference Entity divided by the Reference Price (expressed as a percentage), calculated by the Calculation Agent in accordance with the following formula:</w:t>
            </w:r>
          </w:p>
        </w:tc>
        <w:tc>
          <w:tcPr>
            <w:tcW w:w="1618" w:type="dxa"/>
            <w:gridSpan w:val="2"/>
            <w:tcBorders>
              <w:top w:val="nil"/>
              <w:bottom w:val="nil"/>
              <w:right w:val="nil"/>
            </w:tcBorders>
            <w:shd w:val="clear" w:color="auto" w:fill="auto"/>
          </w:tcPr>
          <w:p w:rsidR="0017135D" w:rsidRPr="00881D8B" w:rsidP="00691EFE">
            <w:pPr>
              <w:pStyle w:val="CSBody8pt"/>
              <w:rPr>
                <w:i/>
              </w:rPr>
            </w:pPr>
          </w:p>
        </w:tc>
        <w:tc>
          <w:tcPr>
            <w:tcW w:w="3318" w:type="dxa"/>
            <w:gridSpan w:val="10"/>
            <w:tcBorders>
              <w:top w:val="nil"/>
              <w:left w:val="nil"/>
              <w:bottom w:val="nil"/>
              <w:right w:val="nil"/>
            </w:tcBorders>
            <w:shd w:val="clear" w:color="auto" w:fill="auto"/>
          </w:tcPr>
          <w:p w:rsidR="0017135D" w:rsidRPr="00881D8B" w:rsidP="004C1EBA">
            <w:pPr>
              <w:pStyle w:val="CSBody8pt"/>
              <w:rPr>
                <w:lang w:val="de-DE"/>
              </w:rPr>
            </w:pPr>
            <w:r w:rsidRPr="00881D8B">
              <w:rPr>
                <w:lang w:val="de-DE"/>
              </w:rPr>
              <w:t xml:space="preserve">in Bezug auf einen Betroffenen Referenzschuldner ein Geldbetrag, der dem Produkt aus </w:t>
            </w:r>
            <w:r>
              <w:rPr>
                <w:lang w:val="de-DE"/>
              </w:rPr>
              <w:t xml:space="preserve">(i) </w:t>
            </w:r>
            <w:r w:rsidRPr="00881D8B">
              <w:rPr>
                <w:lang w:val="de-DE"/>
              </w:rPr>
              <w:t>dem Referenzschuldner-Nennbetrag (</w:t>
            </w:r>
            <w:r w:rsidRPr="00BD6E0D">
              <w:rPr>
                <w:i/>
                <w:lang w:val="de-DE"/>
              </w:rPr>
              <w:t>Reference Entity Principal Amount</w:t>
            </w:r>
            <w:r w:rsidRPr="00881D8B">
              <w:rPr>
                <w:lang w:val="de-DE"/>
              </w:rPr>
              <w:t xml:space="preserve">) und </w:t>
            </w:r>
            <w:r>
              <w:rPr>
                <w:lang w:val="de-DE"/>
              </w:rPr>
              <w:t xml:space="preserve">(ii) </w:t>
            </w:r>
            <w:r w:rsidRPr="00881D8B">
              <w:rPr>
                <w:lang w:val="de-DE"/>
              </w:rPr>
              <w:t>dem Verhältnis des Auktions-Endpreises (</w:t>
            </w:r>
            <w:r w:rsidRPr="00BD6E0D">
              <w:rPr>
                <w:i/>
                <w:lang w:val="de-DE"/>
              </w:rPr>
              <w:t>Auction Final Price</w:t>
            </w:r>
            <w:r w:rsidRPr="00881D8B">
              <w:rPr>
                <w:lang w:val="de-DE"/>
              </w:rPr>
              <w:t>) (ausgedrückt in Prozent) in Bezug auf den jeweiligen Betroffenen Referenzschuldner dividiert durch den Referenzpreis (</w:t>
            </w:r>
            <w:r w:rsidRPr="00BD6E0D">
              <w:rPr>
                <w:i/>
                <w:lang w:val="de-DE"/>
              </w:rPr>
              <w:t>Reference Price</w:t>
            </w:r>
            <w:r w:rsidRPr="00881D8B">
              <w:rPr>
                <w:lang w:val="de-DE"/>
              </w:rPr>
              <w:t>) (ausgedrückt in Prozent)</w:t>
            </w:r>
            <w:r>
              <w:rPr>
                <w:lang w:val="de-DE"/>
              </w:rPr>
              <w:t>, entspricht</w:t>
            </w:r>
            <w:r w:rsidRPr="00881D8B">
              <w:rPr>
                <w:lang w:val="de-DE"/>
              </w:rPr>
              <w:t xml:space="preserve"> , berechnet von der Berechnungsstelle nach der folgenden Formel:</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4A3CC1" w:rsidP="004A3CC1">
            <w:pPr>
              <w:spacing w:before="120" w:after="120"/>
              <w:jc w:val="center"/>
              <w:rPr>
                <w:sz w:val="14"/>
                <w:szCs w:val="14"/>
                <w:lang w:val="de-DE"/>
              </w:rPr>
            </w:pPr>
            <m:oMath>
              <m:r>
                <w:rPr>
                  <w:rFonts w:ascii="Cambria Math" w:hAnsi="Cambria Math" w:eastAsiaTheme="minorEastAsia"/>
                  <w:sz w:val="14"/>
                  <w:szCs w:val="14"/>
                </w:rPr>
                <m:t>Reference</m:t>
              </m:r>
              <m:r>
                <w:rPr>
                  <w:rFonts w:ascii="Cambria Math" w:hAnsi="Cambria Math" w:eastAsiaTheme="minorEastAsia"/>
                  <w:sz w:val="14"/>
                  <w:szCs w:val="14"/>
                  <w:lang w:val="de-DE"/>
                </w:rPr>
                <m:t xml:space="preserve"> </m:t>
              </m:r>
              <m:r>
                <w:rPr>
                  <w:rFonts w:ascii="Cambria Math" w:hAnsi="Cambria Math" w:eastAsiaTheme="minorEastAsia"/>
                  <w:sz w:val="14"/>
                  <w:szCs w:val="14"/>
                </w:rPr>
                <m:t>Entity</m:t>
              </m:r>
              <m:r>
                <w:rPr>
                  <w:rFonts w:ascii="Cambria Math" w:hAnsi="Cambria Math" w:eastAsiaTheme="minorEastAsia"/>
                  <w:sz w:val="14"/>
                  <w:szCs w:val="14"/>
                  <w:lang w:val="de-DE"/>
                </w:rPr>
                <m:t xml:space="preserve"> </m:t>
              </m:r>
              <m:r>
                <w:rPr>
                  <w:rFonts w:ascii="Cambria Math" w:hAnsi="Cambria Math" w:eastAsiaTheme="minorEastAsia"/>
                  <w:sz w:val="14"/>
                  <w:szCs w:val="14"/>
                </w:rPr>
                <m:t>Principal</m:t>
              </m:r>
              <m:r>
                <w:rPr>
                  <w:rFonts w:ascii="Cambria Math" w:hAnsi="Cambria Math" w:eastAsiaTheme="minorEastAsia"/>
                  <w:sz w:val="14"/>
                  <w:szCs w:val="14"/>
                  <w:lang w:val="de-DE"/>
                </w:rPr>
                <m:t xml:space="preserve"> </m:t>
              </m:r>
              <m:r>
                <w:rPr>
                  <w:rFonts w:ascii="Cambria Math" w:hAnsi="Cambria Math" w:eastAsiaTheme="minorEastAsia"/>
                  <w:sz w:val="14"/>
                  <w:szCs w:val="14"/>
                </w:rPr>
                <m:t>Amount</m:t>
              </m:r>
              <m:r>
                <w:rPr>
                  <w:rFonts w:ascii="Cambria Math" w:hAnsi="Cambria Math" w:eastAsiaTheme="minorEastAsia"/>
                  <w:sz w:val="14"/>
                  <w:szCs w:val="14"/>
                  <w:lang w:val="de-DE"/>
                </w:rPr>
                <m:t>×</m:t>
              </m:r>
              <m:d>
                <m:dPr>
                  <m:ctrlPr>
                    <w:rPr>
                      <w:rFonts w:ascii="Cambria Math" w:hAnsi="Cambria Math" w:eastAsiaTheme="minorEastAsia"/>
                      <w:i/>
                      <w:sz w:val="14"/>
                      <w:szCs w:val="14"/>
                      <w:lang w:val="de-DE"/>
                    </w:rPr>
                  </m:ctrlPr>
                </m:dPr>
                <m:e>
                  <m:f>
                    <m:fPr>
                      <m:ctrlPr>
                        <w:rPr>
                          <w:rFonts w:ascii="Cambria Math" w:hAnsi="Cambria Math" w:eastAsiaTheme="minorEastAsia"/>
                          <w:i/>
                          <w:sz w:val="14"/>
                          <w:szCs w:val="14"/>
                          <w:lang w:val="de-DE"/>
                        </w:rPr>
                      </m:ctrlPr>
                    </m:fPr>
                    <m:num>
                      <m:r>
                        <w:rPr>
                          <w:rFonts w:ascii="Cambria Math" w:hAnsi="Cambria Math" w:eastAsiaTheme="minorEastAsia"/>
                          <w:sz w:val="14"/>
                          <w:szCs w:val="14"/>
                          <w:lang w:val="de-DE"/>
                        </w:rPr>
                        <m:t>Auction Final Price</m:t>
                      </m:r>
                    </m:num>
                    <m:den>
                      <m:r>
                        <w:rPr>
                          <w:rFonts w:ascii="Cambria Math" w:hAnsi="Cambria Math" w:eastAsiaTheme="minorEastAsia"/>
                          <w:sz w:val="14"/>
                          <w:szCs w:val="14"/>
                          <w:lang w:val="de-DE"/>
                        </w:rPr>
                        <m:t>Reference Price</m:t>
                      </m:r>
                    </m:den>
                  </m:f>
                </m:e>
              </m:d>
            </m:oMath>
            <w:r w:rsidRPr="004A3CC1">
              <w:rPr>
                <w:rFonts w:eastAsiaTheme="minorEastAsia"/>
                <w:sz w:val="14"/>
                <w:szCs w:val="14"/>
                <w:lang w:val="de-DE"/>
              </w:rPr>
              <w:t xml:space="preserve"> </w:t>
            </w:r>
            <w:r w:rsidRPr="00792D61">
              <w:rPr>
                <w:rFonts w:eastAsiaTheme="minorEastAsia"/>
                <w:b/>
                <w:sz w:val="14"/>
                <w:szCs w:val="14"/>
                <w:lang w:val="de-DE"/>
              </w:rPr>
              <w:t>]</w:t>
            </w:r>
          </w:p>
        </w:tc>
        <w:tc>
          <w:tcPr>
            <w:tcW w:w="4936" w:type="dxa"/>
            <w:gridSpan w:val="12"/>
            <w:tcBorders>
              <w:top w:val="nil"/>
              <w:bottom w:val="nil"/>
              <w:right w:val="nil"/>
            </w:tcBorders>
            <w:shd w:val="clear" w:color="auto" w:fill="auto"/>
          </w:tcPr>
          <w:p w:rsidR="0017135D" w:rsidRPr="004A3CC1" w:rsidP="004A3CC1">
            <w:pPr>
              <w:spacing w:before="120" w:after="120"/>
              <w:jc w:val="center"/>
              <w:rPr>
                <w:sz w:val="14"/>
                <w:szCs w:val="14"/>
                <w:lang w:val="de-DE"/>
              </w:rPr>
            </w:pPr>
            <m:oMath>
              <m:r>
                <w:rPr>
                  <w:rFonts w:ascii="Cambria Math" w:hAnsi="Cambria Math" w:eastAsiaTheme="minorEastAsia"/>
                  <w:sz w:val="14"/>
                  <w:szCs w:val="14"/>
                </w:rPr>
                <m:t>Reference</m:t>
              </m:r>
              <m:r>
                <w:rPr>
                  <w:rFonts w:ascii="Cambria Math" w:hAnsi="Cambria Math" w:eastAsiaTheme="minorEastAsia"/>
                  <w:sz w:val="14"/>
                  <w:szCs w:val="14"/>
                  <w:lang w:val="de-DE"/>
                </w:rPr>
                <m:t xml:space="preserve"> </m:t>
              </m:r>
              <m:r>
                <w:rPr>
                  <w:rFonts w:ascii="Cambria Math" w:hAnsi="Cambria Math" w:eastAsiaTheme="minorEastAsia"/>
                  <w:sz w:val="14"/>
                  <w:szCs w:val="14"/>
                </w:rPr>
                <m:t>Entity</m:t>
              </m:r>
              <m:r>
                <w:rPr>
                  <w:rFonts w:ascii="Cambria Math" w:hAnsi="Cambria Math" w:eastAsiaTheme="minorEastAsia"/>
                  <w:sz w:val="14"/>
                  <w:szCs w:val="14"/>
                  <w:lang w:val="de-DE"/>
                </w:rPr>
                <m:t xml:space="preserve"> </m:t>
              </m:r>
              <m:r>
                <w:rPr>
                  <w:rFonts w:ascii="Cambria Math" w:hAnsi="Cambria Math" w:eastAsiaTheme="minorEastAsia"/>
                  <w:sz w:val="14"/>
                  <w:szCs w:val="14"/>
                </w:rPr>
                <m:t>Principal</m:t>
              </m:r>
              <m:r>
                <w:rPr>
                  <w:rFonts w:ascii="Cambria Math" w:hAnsi="Cambria Math" w:eastAsiaTheme="minorEastAsia"/>
                  <w:sz w:val="14"/>
                  <w:szCs w:val="14"/>
                  <w:lang w:val="de-DE"/>
                </w:rPr>
                <m:t xml:space="preserve"> </m:t>
              </m:r>
              <m:r>
                <w:rPr>
                  <w:rFonts w:ascii="Cambria Math" w:hAnsi="Cambria Math" w:eastAsiaTheme="minorEastAsia"/>
                  <w:sz w:val="14"/>
                  <w:szCs w:val="14"/>
                </w:rPr>
                <m:t>Amount</m:t>
              </m:r>
              <m:r>
                <w:rPr>
                  <w:rFonts w:ascii="Cambria Math" w:hAnsi="Cambria Math" w:eastAsiaTheme="minorEastAsia"/>
                  <w:sz w:val="14"/>
                  <w:szCs w:val="14"/>
                  <w:lang w:val="de-DE"/>
                </w:rPr>
                <m:t>×</m:t>
              </m:r>
              <m:d>
                <m:dPr>
                  <m:ctrlPr>
                    <w:rPr>
                      <w:rFonts w:ascii="Cambria Math" w:hAnsi="Cambria Math" w:eastAsiaTheme="minorEastAsia"/>
                      <w:i/>
                      <w:sz w:val="14"/>
                      <w:szCs w:val="14"/>
                      <w:lang w:val="de-DE"/>
                    </w:rPr>
                  </m:ctrlPr>
                </m:dPr>
                <m:e>
                  <m:f>
                    <m:fPr>
                      <m:ctrlPr>
                        <w:rPr>
                          <w:rFonts w:ascii="Cambria Math" w:hAnsi="Cambria Math" w:eastAsiaTheme="minorEastAsia"/>
                          <w:i/>
                          <w:sz w:val="14"/>
                          <w:szCs w:val="14"/>
                          <w:lang w:val="de-DE"/>
                        </w:rPr>
                      </m:ctrlPr>
                    </m:fPr>
                    <m:num>
                      <m:r>
                        <w:rPr>
                          <w:rFonts w:ascii="Cambria Math" w:hAnsi="Cambria Math" w:eastAsiaTheme="minorEastAsia"/>
                          <w:sz w:val="14"/>
                          <w:szCs w:val="14"/>
                          <w:lang w:val="de-DE"/>
                        </w:rPr>
                        <m:t>Auction Final Price</m:t>
                      </m:r>
                    </m:num>
                    <m:den>
                      <m:r>
                        <w:rPr>
                          <w:rFonts w:ascii="Cambria Math" w:hAnsi="Cambria Math" w:eastAsiaTheme="minorEastAsia"/>
                          <w:sz w:val="14"/>
                          <w:szCs w:val="14"/>
                          <w:lang w:val="de-DE"/>
                        </w:rPr>
                        <m:t>Reference Price</m:t>
                      </m:r>
                    </m:den>
                  </m:f>
                </m:e>
              </m:d>
            </m:oMath>
            <w:r w:rsidRPr="004A3CC1">
              <w:rPr>
                <w:rFonts w:eastAsiaTheme="minorEastAsia"/>
                <w:sz w:val="14"/>
                <w:szCs w:val="14"/>
                <w:lang w:val="de-DE"/>
              </w:rPr>
              <w:t xml:space="preserve"> </w:t>
            </w:r>
            <w:r w:rsidRPr="00792D61">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94E3B" w:rsidP="00691EFE">
            <w:pPr>
              <w:pStyle w:val="CSBody8pt"/>
            </w:pPr>
            <w:r w:rsidRPr="00294E3B">
              <w:t>Auction Final Price</w:t>
            </w:r>
            <w:r>
              <w:fldChar w:fldCharType="begin"/>
            </w:r>
            <w:r>
              <w:instrText xml:space="preserve"> XE "</w:instrText>
            </w:r>
            <w:r w:rsidRPr="009A2EED">
              <w:instrText>Auction Final Price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294E3B" w:rsidP="00691EFE">
            <w:pPr>
              <w:pStyle w:val="CSBody8pt"/>
            </w:pPr>
            <w:r w:rsidRPr="00792D61">
              <w:rPr>
                <w:b/>
              </w:rPr>
              <w:t>[</w:t>
            </w:r>
            <w:r w:rsidRPr="00294E3B">
              <w:rPr>
                <w:b/>
                <w:i/>
              </w:rPr>
              <w:t>if a Basket is applicable or in the case of Complex Products with N</w:t>
            </w:r>
            <w:r w:rsidRPr="00BD6E0D">
              <w:rPr>
                <w:b/>
                <w:i/>
                <w:vertAlign w:val="superscript"/>
              </w:rPr>
              <w:t>th</w:t>
            </w:r>
            <w:r w:rsidRPr="00294E3B">
              <w:rPr>
                <w:b/>
                <w:i/>
              </w:rPr>
              <w:t>-to-Default structure, insert:</w:t>
            </w:r>
            <w:r w:rsidRPr="00294E3B">
              <w:t xml:space="preserve"> with respect to any Reference Entity,</w:t>
            </w:r>
            <w:r w:rsidRPr="00792D61">
              <w:rPr>
                <w:b/>
              </w:rPr>
              <w:t>]</w:t>
            </w:r>
            <w:r w:rsidRPr="00294E3B">
              <w:t xml:space="preserve"> the price, expressed as a percentage, determined as the result of, and specified as such in connection with, an Auction </w:t>
            </w:r>
            <w:r w:rsidRPr="00792D61">
              <w:rPr>
                <w:b/>
              </w:rPr>
              <w:t>[</w:t>
            </w:r>
            <w:r w:rsidRPr="00294E3B">
              <w:t>i</w:t>
            </w:r>
            <w:r w:rsidRPr="00294E3B">
              <w:rPr>
                <w:b/>
                <w:i/>
              </w:rPr>
              <w:t>f a Basket is applicable or in the case of Complex Products with N</w:t>
            </w:r>
            <w:r w:rsidRPr="00BD6E0D">
              <w:rPr>
                <w:b/>
                <w:i/>
                <w:vertAlign w:val="superscript"/>
              </w:rPr>
              <w:t>th</w:t>
            </w:r>
            <w:r w:rsidRPr="00294E3B">
              <w:rPr>
                <w:b/>
                <w:i/>
              </w:rPr>
              <w:t>-to-Default structure, insert:</w:t>
            </w:r>
            <w:r w:rsidRPr="00294E3B">
              <w:t xml:space="preserve"> in relation to such Reference Entity</w:t>
            </w:r>
            <w:r w:rsidRPr="00792D61">
              <w:rPr>
                <w:b/>
              </w:rPr>
              <w:t>]</w:t>
            </w:r>
            <w:r w:rsidRPr="00294E3B">
              <w:t>.</w:t>
            </w:r>
          </w:p>
        </w:tc>
        <w:tc>
          <w:tcPr>
            <w:tcW w:w="1618" w:type="dxa"/>
            <w:gridSpan w:val="2"/>
            <w:tcBorders>
              <w:top w:val="nil"/>
              <w:bottom w:val="nil"/>
              <w:right w:val="nil"/>
            </w:tcBorders>
            <w:shd w:val="clear" w:color="auto" w:fill="auto"/>
          </w:tcPr>
          <w:p w:rsidR="0017135D" w:rsidRPr="00294E3B" w:rsidP="00691EFE">
            <w:pPr>
              <w:pStyle w:val="CSBody8pt"/>
            </w:pPr>
            <w:r w:rsidRPr="00294E3B">
              <w:t>Auktions-Endpreis</w:t>
            </w:r>
            <w:r>
              <w:fldChar w:fldCharType="begin"/>
            </w:r>
            <w:r>
              <w:instrText xml:space="preserve"> XE "</w:instrText>
            </w:r>
            <w:r w:rsidRPr="008936B4">
              <w:instrText>Auktions-Endpreis</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881D8B" w:rsidP="00691EFE">
            <w:pPr>
              <w:pStyle w:val="CSBody8pt"/>
              <w:rPr>
                <w:lang w:val="de-DE"/>
              </w:rPr>
            </w:pPr>
            <w:r w:rsidRPr="00792D61">
              <w:rPr>
                <w:b/>
                <w:lang w:val="de-DE"/>
              </w:rPr>
              <w:t>[</w:t>
            </w:r>
            <w:r w:rsidRPr="00294E3B">
              <w:rPr>
                <w:b/>
                <w:i/>
                <w:lang w:val="de-DE"/>
              </w:rPr>
              <w:t>falls ein Korb anwendbar ist oder bei Komplexen Produkten mit N</w:t>
            </w:r>
            <w:r w:rsidRPr="00BD6E0D">
              <w:rPr>
                <w:b/>
                <w:i/>
                <w:vertAlign w:val="superscript"/>
                <w:lang w:val="de-DE"/>
              </w:rPr>
              <w:t>th</w:t>
            </w:r>
            <w:r w:rsidRPr="00294E3B">
              <w:rPr>
                <w:b/>
                <w:i/>
                <w:lang w:val="de-DE"/>
              </w:rPr>
              <w:t>-to-Default-Struktur, einfügen:</w:t>
            </w:r>
            <w:r w:rsidRPr="00294E3B">
              <w:rPr>
                <w:lang w:val="de-DE"/>
              </w:rPr>
              <w:t xml:space="preserve"> in Bezug auf einen Referenzschuldner</w:t>
            </w:r>
            <w:r w:rsidRPr="00792D61">
              <w:rPr>
                <w:b/>
                <w:lang w:val="de-DE"/>
              </w:rPr>
              <w:t>]</w:t>
            </w:r>
            <w:r w:rsidRPr="00294E3B">
              <w:rPr>
                <w:lang w:val="de-DE"/>
              </w:rPr>
              <w:t xml:space="preserve"> der in Prozent ausgedrückte, aufgrund einer Auktion </w:t>
            </w:r>
            <w:r w:rsidRPr="00792D61">
              <w:rPr>
                <w:b/>
                <w:lang w:val="de-DE"/>
              </w:rPr>
              <w:t>[</w:t>
            </w:r>
            <w:r w:rsidRPr="00294E3B">
              <w:rPr>
                <w:b/>
                <w:i/>
                <w:lang w:val="de-DE"/>
              </w:rPr>
              <w:t>falls ein Korb anwendbar ist oder bei Komplexen Produkten mit N</w:t>
            </w:r>
            <w:r w:rsidRPr="00BD6E0D">
              <w:rPr>
                <w:b/>
                <w:i/>
                <w:vertAlign w:val="superscript"/>
                <w:lang w:val="de-DE"/>
              </w:rPr>
              <w:t>th</w:t>
            </w:r>
            <w:r w:rsidRPr="00294E3B">
              <w:rPr>
                <w:b/>
                <w:i/>
                <w:lang w:val="de-DE"/>
              </w:rPr>
              <w:t>-to-Default-Struktur, einfügen:</w:t>
            </w:r>
            <w:r w:rsidRPr="00294E3B">
              <w:rPr>
                <w:lang w:val="de-DE"/>
              </w:rPr>
              <w:t xml:space="preserve"> in Bezug auf diesen Referenzschuldner</w:t>
            </w:r>
            <w:r w:rsidRPr="00792D61">
              <w:rPr>
                <w:b/>
                <w:lang w:val="de-DE"/>
              </w:rPr>
              <w:t>]</w:t>
            </w:r>
            <w:r w:rsidRPr="00294E3B">
              <w:rPr>
                <w:lang w:val="de-DE"/>
              </w:rPr>
              <w:t xml:space="preserve"> festgestellte und im Zusammenhang mit dieser Auktion als solcher angegebene Preis.</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94E3B" w:rsidP="00691EFE">
            <w:pPr>
              <w:pStyle w:val="CSBody8pt"/>
            </w:pPr>
            <w:r w:rsidRPr="00294E3B">
              <w:t>Auction Final Price Determination Date</w:t>
            </w:r>
            <w:r>
              <w:fldChar w:fldCharType="begin"/>
            </w:r>
            <w:r>
              <w:instrText xml:space="preserve"> XE "</w:instrText>
            </w:r>
            <w:r w:rsidRPr="004214E4">
              <w:instrText>Auction Final Price Determination Date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294E3B" w:rsidP="00691EFE">
            <w:pPr>
              <w:pStyle w:val="CSBody8pt"/>
            </w:pPr>
            <w:r w:rsidRPr="00792D61">
              <w:rPr>
                <w:b/>
              </w:rPr>
              <w:t>[</w:t>
            </w:r>
            <w:r w:rsidRPr="00294E3B">
              <w:rPr>
                <w:b/>
                <w:i/>
              </w:rPr>
              <w:t>if a Basket is applicable or in the case of Complex Products with N</w:t>
            </w:r>
            <w:r w:rsidRPr="00BD6E0D">
              <w:rPr>
                <w:b/>
                <w:i/>
                <w:vertAlign w:val="superscript"/>
              </w:rPr>
              <w:t>th</w:t>
            </w:r>
            <w:r w:rsidRPr="00294E3B">
              <w:rPr>
                <w:b/>
                <w:i/>
              </w:rPr>
              <w:t>-to-Default structure, insert:</w:t>
            </w:r>
            <w:r w:rsidRPr="00294E3B">
              <w:t xml:space="preserve"> with respect to any Reference Entity,</w:t>
            </w:r>
            <w:r w:rsidRPr="00792D61">
              <w:rPr>
                <w:b/>
              </w:rPr>
              <w:t>]</w:t>
            </w:r>
            <w:r w:rsidRPr="00294E3B">
              <w:t xml:space="preserve"> the date on which the Auction Final Price is determined in connection with an Auction </w:t>
            </w:r>
            <w:r w:rsidRPr="00792D61">
              <w:rPr>
                <w:b/>
              </w:rPr>
              <w:t>[</w:t>
            </w:r>
            <w:r w:rsidRPr="00294E3B">
              <w:t>if a Basket is applicable or in the case of Complex Products with N</w:t>
            </w:r>
            <w:r w:rsidRPr="00BD6E0D">
              <w:rPr>
                <w:vertAlign w:val="superscript"/>
              </w:rPr>
              <w:t>th</w:t>
            </w:r>
            <w:r w:rsidRPr="00294E3B">
              <w:t>-to-Default structure, insert: in relation to such Reference Entity</w:t>
            </w:r>
            <w:r w:rsidRPr="00792D61">
              <w:rPr>
                <w:b/>
              </w:rPr>
              <w:t>]</w:t>
            </w:r>
            <w:r w:rsidRPr="00294E3B">
              <w:t>.</w:t>
            </w:r>
          </w:p>
        </w:tc>
        <w:tc>
          <w:tcPr>
            <w:tcW w:w="1618" w:type="dxa"/>
            <w:gridSpan w:val="2"/>
            <w:tcBorders>
              <w:top w:val="nil"/>
              <w:bottom w:val="nil"/>
              <w:right w:val="nil"/>
            </w:tcBorders>
            <w:shd w:val="clear" w:color="auto" w:fill="auto"/>
          </w:tcPr>
          <w:p w:rsidR="0017135D" w:rsidRPr="00294E3B" w:rsidP="00691EFE">
            <w:pPr>
              <w:pStyle w:val="CSBody8pt"/>
              <w:rPr>
                <w:lang w:val="de-DE"/>
              </w:rPr>
            </w:pPr>
            <w:r w:rsidRPr="00294E3B">
              <w:rPr>
                <w:lang w:val="de-DE"/>
              </w:rPr>
              <w:t>Feststellungstag für den Auktions-Endpreis</w:t>
            </w:r>
            <w:r>
              <w:rPr>
                <w:lang w:val="de-DE"/>
              </w:rPr>
              <w:fldChar w:fldCharType="begin"/>
            </w:r>
            <w:r w:rsidRPr="00294E3B">
              <w:rPr>
                <w:lang w:val="de-DE"/>
              </w:rPr>
              <w:instrText xml:space="preserve"> XE "</w:instrText>
            </w:r>
            <w:r w:rsidRPr="002C2B1F">
              <w:rPr>
                <w:lang w:val="de-DE"/>
              </w:rPr>
              <w:instrText>Feststellungstag für den Auktions-Endpreis</w:instrText>
            </w:r>
            <w:r w:rsidRPr="00294E3B">
              <w:rPr>
                <w:lang w:val="de-DE"/>
              </w:rPr>
              <w:instrText xml:space="preserve">" </w:instrText>
            </w:r>
            <w:r>
              <w:rPr>
                <w:lang w:val="de-DE"/>
              </w:rPr>
              <w:fldChar w:fldCharType="end"/>
            </w:r>
          </w:p>
        </w:tc>
        <w:tc>
          <w:tcPr>
            <w:tcW w:w="3318" w:type="dxa"/>
            <w:gridSpan w:val="10"/>
            <w:tcBorders>
              <w:top w:val="nil"/>
              <w:left w:val="nil"/>
              <w:bottom w:val="nil"/>
              <w:right w:val="nil"/>
            </w:tcBorders>
            <w:shd w:val="clear" w:color="auto" w:fill="auto"/>
          </w:tcPr>
          <w:p w:rsidR="0017135D" w:rsidRPr="00294E3B" w:rsidP="00691EFE">
            <w:pPr>
              <w:pStyle w:val="CSBody8pt"/>
              <w:rPr>
                <w:lang w:val="de-DE"/>
              </w:rPr>
            </w:pPr>
            <w:r w:rsidRPr="00792D61">
              <w:rPr>
                <w:b/>
                <w:lang w:val="de-DE"/>
              </w:rPr>
              <w:t>[</w:t>
            </w:r>
            <w:r w:rsidRPr="00294E3B">
              <w:rPr>
                <w:b/>
                <w:i/>
                <w:lang w:val="de-DE"/>
              </w:rPr>
              <w:t>falls ein Korb anwendbar ist oder bei Komplexen Produkten mit N</w:t>
            </w:r>
            <w:r w:rsidRPr="00BD6E0D">
              <w:rPr>
                <w:b/>
                <w:i/>
                <w:vertAlign w:val="superscript"/>
                <w:lang w:val="de-DE"/>
              </w:rPr>
              <w:t>th</w:t>
            </w:r>
            <w:r w:rsidRPr="00294E3B">
              <w:rPr>
                <w:b/>
                <w:i/>
                <w:lang w:val="de-DE"/>
              </w:rPr>
              <w:t>-to-Default-Struktur, einfügen:</w:t>
            </w:r>
            <w:r w:rsidRPr="00294E3B">
              <w:rPr>
                <w:lang w:val="de-DE"/>
              </w:rPr>
              <w:t xml:space="preserve"> in Bezug auf einen Referenzschuldner</w:t>
            </w:r>
            <w:r w:rsidRPr="00792D61">
              <w:rPr>
                <w:b/>
                <w:lang w:val="de-DE"/>
              </w:rPr>
              <w:t>]</w:t>
            </w:r>
            <w:r w:rsidRPr="00294E3B">
              <w:rPr>
                <w:lang w:val="de-DE"/>
              </w:rPr>
              <w:t xml:space="preserve"> der Tag, an dem der Auktions-Endpreis im Zusammenhang mit einer Auktion </w:t>
            </w:r>
            <w:r w:rsidRPr="00792D61">
              <w:rPr>
                <w:b/>
                <w:lang w:val="de-DE"/>
              </w:rPr>
              <w:t>[</w:t>
            </w:r>
            <w:r w:rsidRPr="00294E3B">
              <w:rPr>
                <w:lang w:val="de-DE"/>
              </w:rPr>
              <w:t>falls ein Korb anwendbar ist oder bei Komplexen Produkten mit N</w:t>
            </w:r>
            <w:r w:rsidRPr="00BD6E0D">
              <w:rPr>
                <w:vertAlign w:val="superscript"/>
                <w:lang w:val="de-DE"/>
              </w:rPr>
              <w:t>th</w:t>
            </w:r>
            <w:r w:rsidRPr="00294E3B">
              <w:rPr>
                <w:lang w:val="de-DE"/>
              </w:rPr>
              <w:t>-to-Default-Struktur, einfügen: in Bezug auf diesen Referenzschuldner</w:t>
            </w:r>
            <w:r w:rsidRPr="00792D61">
              <w:rPr>
                <w:b/>
                <w:lang w:val="de-DE"/>
              </w:rPr>
              <w:t>]</w:t>
            </w:r>
            <w:r w:rsidRPr="00294E3B">
              <w:rPr>
                <w:lang w:val="de-DE"/>
              </w:rPr>
              <w:t xml:space="preserve"> festgestellt wird.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94E3B" w:rsidP="00691EFE">
            <w:pPr>
              <w:pStyle w:val="CSBody8pt"/>
            </w:pPr>
            <w:r w:rsidRPr="00294E3B">
              <w:t>Fallback Settlement Event</w:t>
            </w:r>
            <w:r>
              <w:fldChar w:fldCharType="begin"/>
            </w:r>
            <w:r>
              <w:instrText xml:space="preserve"> XE "</w:instrText>
            </w:r>
            <w:r w:rsidRPr="003C1C01">
              <w:instrText>Fallback Settlement Event</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294E3B" w:rsidP="00691EFE">
            <w:pPr>
              <w:pStyle w:val="CSBody8pt"/>
            </w:pPr>
            <w:r w:rsidRPr="00294E3B">
              <w:t xml:space="preserve">upon the occurrence of a Credit Event Determination Date </w:t>
            </w:r>
            <w:r w:rsidRPr="00792D61">
              <w:rPr>
                <w:b/>
              </w:rPr>
              <w:t>[</w:t>
            </w:r>
            <w:r w:rsidRPr="00345F12">
              <w:rPr>
                <w:b/>
                <w:i/>
              </w:rPr>
              <w:t>i</w:t>
            </w:r>
            <w:r w:rsidRPr="00294E3B">
              <w:rPr>
                <w:b/>
                <w:i/>
              </w:rPr>
              <w:t>f a Basket is applicable, insert:</w:t>
            </w:r>
            <w:r w:rsidRPr="00294E3B">
              <w:t xml:space="preserve"> with respect to any Reference Entity</w:t>
            </w:r>
            <w:r w:rsidRPr="00792D61">
              <w:rPr>
                <w:b/>
              </w:rPr>
              <w:t>][</w:t>
            </w:r>
            <w:r w:rsidRPr="00294E3B">
              <w:rPr>
                <w:b/>
                <w:i/>
              </w:rPr>
              <w:t>in the case of Complex Products with N</w:t>
            </w:r>
            <w:r w:rsidRPr="00BD6E0D">
              <w:rPr>
                <w:b/>
                <w:i/>
                <w:vertAlign w:val="superscript"/>
              </w:rPr>
              <w:t>th</w:t>
            </w:r>
            <w:r w:rsidRPr="00294E3B">
              <w:rPr>
                <w:b/>
                <w:i/>
              </w:rPr>
              <w:t>-to-Default structure, insert:</w:t>
            </w:r>
            <w:r w:rsidRPr="00294E3B">
              <w:t xml:space="preserve"> with respect to the </w:t>
            </w:r>
            <w:r w:rsidRPr="00792D61">
              <w:rPr>
                <w:b/>
              </w:rPr>
              <w:t>[</w:t>
            </w:r>
            <w:r w:rsidRPr="00294E3B">
              <w:rPr>
                <w:b/>
                <w:i/>
              </w:rPr>
              <w:t>insert relevant number:</w:t>
            </w:r>
            <w:r w:rsidRPr="00294E3B">
              <w:t xml:space="preserve"> </w:t>
            </w:r>
            <w:r w:rsidRPr="00792D61">
              <w:rPr>
                <w:b/>
              </w:rPr>
              <w:t>[</w:t>
            </w:r>
            <w:r w:rsidRPr="00294E3B">
              <w:t>1st</w:t>
            </w:r>
            <w:r w:rsidRPr="00792D61">
              <w:rPr>
                <w:b/>
              </w:rPr>
              <w:t>][</w:t>
            </w:r>
            <w:r w:rsidRPr="00294E3B">
              <w:t>2nd</w:t>
            </w:r>
            <w:r w:rsidRPr="00792D61">
              <w:rPr>
                <w:b/>
              </w:rPr>
              <w:t>][</w:t>
            </w:r>
            <w:r w:rsidRPr="00294E3B">
              <w:t>3rd</w:t>
            </w:r>
            <w:r w:rsidRPr="00792D61">
              <w:rPr>
                <w:b/>
              </w:rPr>
              <w:t>][[</w:t>
            </w:r>
            <w:r w:rsidRPr="00294E3B">
              <w:rPr>
                <w:rFonts w:ascii="Arial" w:hAnsi="Arial" w:cs="Arial"/>
              </w:rPr>
              <w:t>●</w:t>
            </w:r>
            <w:r w:rsidRPr="00792D61">
              <w:rPr>
                <w:b/>
              </w:rPr>
              <w:t>]]]</w:t>
            </w:r>
            <w:r w:rsidRPr="00294E3B">
              <w:t>-to-Default Reference Entity</w:t>
            </w:r>
            <w:r w:rsidRPr="00792D61">
              <w:rPr>
                <w:b/>
              </w:rPr>
              <w:t>]</w:t>
            </w:r>
            <w:r w:rsidRPr="00294E3B">
              <w:t xml:space="preserve">, the occurrence of any of the following events with respect to such Credit Event Determination Date prior to the </w:t>
            </w:r>
            <w:r w:rsidRPr="00792D61">
              <w:rPr>
                <w:b/>
              </w:rPr>
              <w:t>[</w:t>
            </w:r>
            <w:r w:rsidRPr="00294E3B">
              <w:rPr>
                <w:b/>
                <w:i/>
              </w:rPr>
              <w:t>if a Basket is applicable, insert:</w:t>
            </w:r>
            <w:r w:rsidRPr="00294E3B">
              <w:t xml:space="preserve"> applicable</w:t>
            </w:r>
            <w:r w:rsidRPr="00792D61">
              <w:rPr>
                <w:b/>
              </w:rPr>
              <w:t>]</w:t>
            </w:r>
            <w:r w:rsidRPr="00294E3B">
              <w:t xml:space="preserve"> Auction Final Price Determination Date: </w:t>
            </w:r>
          </w:p>
        </w:tc>
        <w:tc>
          <w:tcPr>
            <w:tcW w:w="1618" w:type="dxa"/>
            <w:gridSpan w:val="2"/>
            <w:tcBorders>
              <w:top w:val="nil"/>
              <w:bottom w:val="nil"/>
              <w:right w:val="nil"/>
            </w:tcBorders>
            <w:shd w:val="clear" w:color="auto" w:fill="auto"/>
          </w:tcPr>
          <w:p w:rsidR="0017135D" w:rsidRPr="00294E3B" w:rsidP="00691EFE">
            <w:pPr>
              <w:pStyle w:val="CSBody8pt"/>
            </w:pPr>
            <w:r w:rsidRPr="00294E3B">
              <w:t>Ereignis der Alternativen Abwicklung</w:t>
            </w:r>
            <w:r>
              <w:fldChar w:fldCharType="begin"/>
            </w:r>
            <w:r>
              <w:instrText xml:space="preserve"> XE "</w:instrText>
            </w:r>
            <w:r w:rsidRPr="00735325">
              <w:instrText>Ereignis der Alternativen Abwicklung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881D8B" w:rsidP="00691EFE">
            <w:pPr>
              <w:pStyle w:val="CSBody8pt"/>
              <w:rPr>
                <w:lang w:val="de-DE"/>
              </w:rPr>
            </w:pPr>
            <w:r w:rsidRPr="00294E3B">
              <w:rPr>
                <w:lang w:val="de-DE"/>
              </w:rPr>
              <w:t xml:space="preserve">nach Eintritt eines Kreditereignis-Feststellungstags </w:t>
            </w:r>
            <w:r w:rsidRPr="00792D61">
              <w:rPr>
                <w:b/>
                <w:lang w:val="de-DE"/>
              </w:rPr>
              <w:t>[</w:t>
            </w:r>
            <w:r w:rsidRPr="00294E3B">
              <w:rPr>
                <w:b/>
                <w:i/>
                <w:lang w:val="de-DE"/>
              </w:rPr>
              <w:t>falls ein Korb anwendbar ist, einfügen:</w:t>
            </w:r>
            <w:r w:rsidRPr="00294E3B">
              <w:rPr>
                <w:lang w:val="de-DE"/>
              </w:rPr>
              <w:t xml:space="preserve"> in Bezug auf einen Referenzschuldner</w:t>
            </w:r>
            <w:r w:rsidRPr="00792D61">
              <w:rPr>
                <w:b/>
                <w:lang w:val="de-DE"/>
              </w:rPr>
              <w:t>][</w:t>
            </w:r>
            <w:r w:rsidRPr="00294E3B">
              <w:rPr>
                <w:b/>
                <w:i/>
                <w:lang w:val="de-DE"/>
              </w:rPr>
              <w:t>bei Komplexen Produkten mit N</w:t>
            </w:r>
            <w:r w:rsidRPr="00BD6E0D">
              <w:rPr>
                <w:b/>
                <w:i/>
                <w:vertAlign w:val="superscript"/>
                <w:lang w:val="de-DE"/>
              </w:rPr>
              <w:t>th</w:t>
            </w:r>
            <w:r w:rsidRPr="00294E3B">
              <w:rPr>
                <w:b/>
                <w:i/>
                <w:lang w:val="de-DE"/>
              </w:rPr>
              <w:t>-to-Default-Struktur einfügen:</w:t>
            </w:r>
            <w:r w:rsidRPr="00294E3B">
              <w:rPr>
                <w:lang w:val="de-DE"/>
              </w:rPr>
              <w:t xml:space="preserve"> in Bezug auf den </w:t>
            </w:r>
            <w:r w:rsidRPr="00792D61">
              <w:rPr>
                <w:b/>
                <w:lang w:val="de-DE"/>
              </w:rPr>
              <w:t>[</w:t>
            </w:r>
            <w:r w:rsidRPr="00294E3B">
              <w:rPr>
                <w:b/>
                <w:i/>
                <w:lang w:val="de-DE"/>
              </w:rPr>
              <w:t xml:space="preserve">jeweilige Zahl einfügen: </w:t>
            </w:r>
            <w:r w:rsidRPr="00792D61">
              <w:rPr>
                <w:b/>
                <w:lang w:val="de-DE"/>
              </w:rPr>
              <w:t>[</w:t>
            </w:r>
            <w:r w:rsidRPr="00294E3B">
              <w:rPr>
                <w:lang w:val="de-DE"/>
              </w:rPr>
              <w:t>1st</w:t>
            </w:r>
            <w:r w:rsidRPr="00792D61">
              <w:rPr>
                <w:b/>
                <w:lang w:val="de-DE"/>
              </w:rPr>
              <w:t>][</w:t>
            </w:r>
            <w:r w:rsidRPr="00294E3B">
              <w:rPr>
                <w:lang w:val="de-DE"/>
              </w:rPr>
              <w:t>2nd</w:t>
            </w:r>
            <w:r w:rsidRPr="00792D61">
              <w:rPr>
                <w:b/>
                <w:lang w:val="de-DE"/>
              </w:rPr>
              <w:t>][</w:t>
            </w:r>
            <w:r w:rsidRPr="00294E3B">
              <w:rPr>
                <w:lang w:val="de-DE"/>
              </w:rPr>
              <w:t>3rd</w:t>
            </w:r>
            <w:r w:rsidRPr="00792D61">
              <w:rPr>
                <w:b/>
                <w:lang w:val="de-DE"/>
              </w:rPr>
              <w:t>][[</w:t>
            </w:r>
            <w:r w:rsidRPr="00294E3B">
              <w:rPr>
                <w:rFonts w:ascii="Arial" w:hAnsi="Arial" w:cs="Arial"/>
                <w:lang w:val="de-DE"/>
              </w:rPr>
              <w:t>●</w:t>
            </w:r>
            <w:r w:rsidRPr="00792D61">
              <w:rPr>
                <w:b/>
                <w:lang w:val="de-DE"/>
              </w:rPr>
              <w:t>]]]</w:t>
            </w:r>
            <w:r w:rsidRPr="00294E3B">
              <w:rPr>
                <w:lang w:val="de-DE"/>
              </w:rPr>
              <w:t>-to-Default-Referenzschuldner</w:t>
            </w:r>
            <w:r w:rsidRPr="00792D61">
              <w:rPr>
                <w:b/>
                <w:lang w:val="de-DE"/>
              </w:rPr>
              <w:t>]</w:t>
            </w:r>
            <w:r w:rsidRPr="00294E3B">
              <w:rPr>
                <w:lang w:val="de-DE"/>
              </w:rPr>
              <w:t xml:space="preserve"> der Eintritt eines der folgenden Ereignisse in Bezug auf diesen Kreditereignis-Feststellungstag vor dem </w:t>
            </w:r>
            <w:r w:rsidRPr="00792D61">
              <w:rPr>
                <w:b/>
                <w:lang w:val="de-DE"/>
              </w:rPr>
              <w:t>[</w:t>
            </w:r>
            <w:r w:rsidRPr="00294E3B">
              <w:rPr>
                <w:b/>
                <w:i/>
                <w:lang w:val="de-DE"/>
              </w:rPr>
              <w:t>falls ein Korb anwendbar ist, einf</w:t>
            </w:r>
            <w:r w:rsidRPr="00294E3B">
              <w:rPr>
                <w:rFonts w:cs="Credit Suisse Type Light"/>
                <w:b/>
                <w:i/>
                <w:lang w:val="de-DE"/>
              </w:rPr>
              <w:t>ü</w:t>
            </w:r>
            <w:r w:rsidRPr="00294E3B">
              <w:rPr>
                <w:b/>
                <w:i/>
                <w:lang w:val="de-DE"/>
              </w:rPr>
              <w:t>gen:</w:t>
            </w:r>
            <w:r w:rsidRPr="00294E3B">
              <w:rPr>
                <w:lang w:val="de-DE"/>
              </w:rPr>
              <w:t xml:space="preserve"> jeweiligen</w:t>
            </w:r>
            <w:r w:rsidRPr="00792D61">
              <w:rPr>
                <w:b/>
                <w:lang w:val="de-DE"/>
              </w:rPr>
              <w:t>]</w:t>
            </w:r>
            <w:r w:rsidRPr="00294E3B">
              <w:rPr>
                <w:lang w:val="de-DE"/>
              </w:rPr>
              <w:t xml:space="preserve"> Feststellungstag f</w:t>
            </w:r>
            <w:r w:rsidRPr="00294E3B">
              <w:rPr>
                <w:rFonts w:cs="Credit Suisse Type Light"/>
                <w:lang w:val="de-DE"/>
              </w:rPr>
              <w:t>ü</w:t>
            </w:r>
            <w:r w:rsidRPr="00294E3B">
              <w:rPr>
                <w:lang w:val="de-DE"/>
              </w:rPr>
              <w:t>r den Auktions-Endpreis:</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81D8B" w:rsidP="00691EFE">
            <w:pPr>
              <w:pStyle w:val="CSManNum8pt"/>
              <w:rPr>
                <w:lang w:val="de-DE"/>
              </w:rPr>
            </w:pPr>
          </w:p>
        </w:tc>
        <w:tc>
          <w:tcPr>
            <w:tcW w:w="3315" w:type="dxa"/>
            <w:gridSpan w:val="7"/>
            <w:tcBorders>
              <w:top w:val="nil"/>
              <w:left w:val="nil"/>
              <w:bottom w:val="nil"/>
            </w:tcBorders>
            <w:shd w:val="clear" w:color="auto" w:fill="auto"/>
          </w:tcPr>
          <w:p w:rsidR="0017135D" w:rsidRPr="004C7357" w:rsidP="00691EFE">
            <w:pPr>
              <w:pStyle w:val="CSManNum8pt"/>
            </w:pPr>
            <w:r w:rsidRPr="004C7357">
              <w:t>(i)</w:t>
            </w:r>
            <w:r w:rsidRPr="004C7357">
              <w:tab/>
              <w:t>an Auction Cancellation Date occurs;</w:t>
            </w:r>
          </w:p>
        </w:tc>
        <w:tc>
          <w:tcPr>
            <w:tcW w:w="1618" w:type="dxa"/>
            <w:gridSpan w:val="2"/>
            <w:tcBorders>
              <w:top w:val="nil"/>
              <w:bottom w:val="nil"/>
              <w:right w:val="nil"/>
            </w:tcBorders>
            <w:shd w:val="clear" w:color="auto" w:fill="auto"/>
          </w:tcPr>
          <w:p w:rsidR="0017135D" w:rsidRPr="004C7357" w:rsidP="00691EFE">
            <w:pPr>
              <w:pStyle w:val="CSManNum8pt"/>
              <w:rPr>
                <w:i/>
              </w:rPr>
            </w:pPr>
          </w:p>
        </w:tc>
        <w:tc>
          <w:tcPr>
            <w:tcW w:w="3318" w:type="dxa"/>
            <w:gridSpan w:val="10"/>
            <w:tcBorders>
              <w:top w:val="nil"/>
              <w:left w:val="nil"/>
              <w:bottom w:val="nil"/>
              <w:right w:val="nil"/>
            </w:tcBorders>
            <w:shd w:val="clear" w:color="auto" w:fill="auto"/>
          </w:tcPr>
          <w:p w:rsidR="0017135D" w:rsidRPr="004C7357" w:rsidP="00691EFE">
            <w:pPr>
              <w:pStyle w:val="CSManNum8pt"/>
              <w:rPr>
                <w:bCs/>
                <w:lang w:val="de-DE"/>
              </w:rPr>
            </w:pPr>
            <w:r w:rsidRPr="004C7357">
              <w:rPr>
                <w:bCs/>
                <w:lang w:val="de-DE"/>
              </w:rPr>
              <w:t>(i)</w:t>
            </w:r>
            <w:r w:rsidRPr="004C7357">
              <w:rPr>
                <w:bCs/>
                <w:lang w:val="de-DE"/>
              </w:rPr>
              <w:tab/>
              <w:t>der Eintritt eines Auktions-Aufhebungstags;</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C7357" w:rsidP="00691EFE">
            <w:pPr>
              <w:pStyle w:val="CSManNum8pt"/>
              <w:rPr>
                <w:lang w:val="de-DE"/>
              </w:rPr>
            </w:pPr>
          </w:p>
        </w:tc>
        <w:tc>
          <w:tcPr>
            <w:tcW w:w="3315" w:type="dxa"/>
            <w:gridSpan w:val="7"/>
            <w:tcBorders>
              <w:top w:val="nil"/>
              <w:left w:val="nil"/>
              <w:bottom w:val="nil"/>
            </w:tcBorders>
            <w:shd w:val="clear" w:color="auto" w:fill="auto"/>
          </w:tcPr>
          <w:p w:rsidR="0017135D" w:rsidRPr="004C7357" w:rsidP="00F134DE">
            <w:pPr>
              <w:pStyle w:val="CSManNum8pt"/>
            </w:pPr>
            <w:r w:rsidRPr="004C7357">
              <w:t>(ii)</w:t>
            </w:r>
            <w:r w:rsidRPr="004C7357">
              <w:tab/>
              <w:t>a No Auction Announcement Date occurs;</w:t>
            </w:r>
          </w:p>
        </w:tc>
        <w:tc>
          <w:tcPr>
            <w:tcW w:w="1618" w:type="dxa"/>
            <w:gridSpan w:val="2"/>
            <w:tcBorders>
              <w:top w:val="nil"/>
              <w:bottom w:val="nil"/>
              <w:right w:val="nil"/>
            </w:tcBorders>
            <w:shd w:val="clear" w:color="auto" w:fill="auto"/>
          </w:tcPr>
          <w:p w:rsidR="0017135D" w:rsidRPr="004C7357" w:rsidP="00691EFE">
            <w:pPr>
              <w:pStyle w:val="CSManNum8pt"/>
              <w:rPr>
                <w:i/>
              </w:rPr>
            </w:pPr>
          </w:p>
        </w:tc>
        <w:tc>
          <w:tcPr>
            <w:tcW w:w="3318" w:type="dxa"/>
            <w:gridSpan w:val="10"/>
            <w:tcBorders>
              <w:top w:val="nil"/>
              <w:left w:val="nil"/>
              <w:bottom w:val="nil"/>
              <w:right w:val="nil"/>
            </w:tcBorders>
            <w:shd w:val="clear" w:color="auto" w:fill="auto"/>
          </w:tcPr>
          <w:p w:rsidR="0017135D" w:rsidRPr="004C7357" w:rsidP="00691EFE">
            <w:pPr>
              <w:pStyle w:val="CSManNum8pt"/>
              <w:rPr>
                <w:bCs/>
                <w:lang w:val="de-DE"/>
              </w:rPr>
            </w:pPr>
            <w:r w:rsidRPr="004C7357">
              <w:rPr>
                <w:bCs/>
                <w:lang w:val="de-DE"/>
              </w:rPr>
              <w:t>(ii)</w:t>
            </w:r>
            <w:r w:rsidRPr="004C7357">
              <w:rPr>
                <w:bCs/>
                <w:lang w:val="de-DE"/>
              </w:rPr>
              <w:tab/>
              <w:t>der Eintritt eines Tags der Bekanntgabe der Nichtdurchführung einer Auktion;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C7357" w:rsidP="00691EFE">
            <w:pPr>
              <w:pStyle w:val="CSManNum8pt"/>
              <w:rPr>
                <w:lang w:val="de-DE"/>
              </w:rPr>
            </w:pPr>
          </w:p>
        </w:tc>
        <w:tc>
          <w:tcPr>
            <w:tcW w:w="3315" w:type="dxa"/>
            <w:gridSpan w:val="7"/>
            <w:tcBorders>
              <w:top w:val="nil"/>
              <w:left w:val="nil"/>
              <w:bottom w:val="nil"/>
            </w:tcBorders>
            <w:shd w:val="clear" w:color="auto" w:fill="auto"/>
          </w:tcPr>
          <w:p w:rsidR="0017135D" w:rsidRPr="004C7357" w:rsidP="00691EFE">
            <w:pPr>
              <w:pStyle w:val="CSManNum8pt"/>
            </w:pPr>
            <w:r w:rsidRPr="004C7357">
              <w:t>(iii)</w:t>
            </w:r>
            <w:r w:rsidRPr="004C7357">
              <w:tab/>
              <w:t>a DC Credit Event Question Dismissal occurs;</w:t>
            </w:r>
            <w:r w:rsidRPr="00792D61">
              <w:rPr>
                <w:b/>
              </w:rPr>
              <w:t>[</w:t>
            </w:r>
            <w:r w:rsidRPr="004C7357">
              <w:t>or</w:t>
            </w:r>
            <w:r w:rsidRPr="00792D61">
              <w:rPr>
                <w:b/>
              </w:rPr>
              <w:t>]</w:t>
            </w:r>
          </w:p>
        </w:tc>
        <w:tc>
          <w:tcPr>
            <w:tcW w:w="1618" w:type="dxa"/>
            <w:gridSpan w:val="2"/>
            <w:tcBorders>
              <w:top w:val="nil"/>
              <w:bottom w:val="nil"/>
              <w:right w:val="nil"/>
            </w:tcBorders>
            <w:shd w:val="clear" w:color="auto" w:fill="auto"/>
          </w:tcPr>
          <w:p w:rsidR="0017135D" w:rsidRPr="004C7357" w:rsidP="00691EFE">
            <w:pPr>
              <w:pStyle w:val="CSManNum8pt"/>
              <w:rPr>
                <w:i/>
              </w:rPr>
            </w:pPr>
          </w:p>
        </w:tc>
        <w:tc>
          <w:tcPr>
            <w:tcW w:w="3318" w:type="dxa"/>
            <w:gridSpan w:val="10"/>
            <w:tcBorders>
              <w:top w:val="nil"/>
              <w:left w:val="nil"/>
              <w:bottom w:val="nil"/>
              <w:right w:val="nil"/>
            </w:tcBorders>
            <w:shd w:val="clear" w:color="auto" w:fill="auto"/>
          </w:tcPr>
          <w:p w:rsidR="0017135D" w:rsidRPr="004C7357" w:rsidP="00691EFE">
            <w:pPr>
              <w:pStyle w:val="CSManNum8pt"/>
              <w:rPr>
                <w:bCs/>
                <w:lang w:val="de-DE"/>
              </w:rPr>
            </w:pPr>
            <w:r w:rsidRPr="004C7357">
              <w:rPr>
                <w:bCs/>
                <w:lang w:val="de-DE"/>
              </w:rPr>
              <w:t>(iii)</w:t>
            </w:r>
            <w:r w:rsidRPr="004C7357">
              <w:rPr>
                <w:bCs/>
                <w:lang w:val="de-DE"/>
              </w:rPr>
              <w:tab/>
              <w:t>die Ablehnung eines Kreditereignisbeschluss-Antrags;</w:t>
            </w:r>
            <w:r w:rsidRPr="00792D61">
              <w:rPr>
                <w:b/>
                <w:bCs/>
                <w:lang w:val="de-DE"/>
              </w:rPr>
              <w:t>[</w:t>
            </w:r>
            <w:r w:rsidRPr="004C7357">
              <w:rPr>
                <w:bCs/>
                <w:lang w:val="de-DE"/>
              </w:rPr>
              <w:t>oder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C7357" w:rsidP="00691EFE">
            <w:pPr>
              <w:pStyle w:val="CSBody8pt"/>
              <w:rPr>
                <w:lang w:val="de-DE"/>
              </w:rPr>
            </w:pPr>
          </w:p>
        </w:tc>
        <w:tc>
          <w:tcPr>
            <w:tcW w:w="3315" w:type="dxa"/>
            <w:gridSpan w:val="7"/>
            <w:tcBorders>
              <w:top w:val="nil"/>
              <w:left w:val="nil"/>
              <w:bottom w:val="nil"/>
            </w:tcBorders>
            <w:shd w:val="clear" w:color="auto" w:fill="auto"/>
          </w:tcPr>
          <w:p w:rsidR="0017135D" w:rsidRPr="00156C77" w:rsidP="00691EFE">
            <w:pPr>
              <w:pStyle w:val="CSBody8pt"/>
            </w:pPr>
            <w:r w:rsidRPr="00792D61">
              <w:rPr>
                <w:b/>
              </w:rPr>
              <w:t>[</w:t>
            </w:r>
            <w:r w:rsidRPr="00691EFE">
              <w:rPr>
                <w:b/>
                <w:i/>
              </w:rPr>
              <w:t>if Restructuring is applicable :</w:t>
            </w:r>
            <w:r w:rsidRPr="00156C77">
              <w:t xml:space="preserve"> (iv) the DC Secretary publicly announces that the relevant Credit Derivatives Determinations Committee has Resolved that a Restructuring has occurred; or</w:t>
            </w:r>
            <w:r w:rsidRPr="00792D61">
              <w:rPr>
                <w:b/>
              </w:rPr>
              <w:t>]</w:t>
            </w:r>
          </w:p>
        </w:tc>
        <w:tc>
          <w:tcPr>
            <w:tcW w:w="1618" w:type="dxa"/>
            <w:gridSpan w:val="2"/>
            <w:tcBorders>
              <w:top w:val="nil"/>
              <w:bottom w:val="nil"/>
              <w:right w:val="nil"/>
            </w:tcBorders>
            <w:shd w:val="clear" w:color="auto" w:fill="auto"/>
          </w:tcPr>
          <w:p w:rsidR="0017135D" w:rsidRPr="004C7357" w:rsidP="00691EFE">
            <w:pPr>
              <w:pStyle w:val="CSBody8pt"/>
              <w:rPr>
                <w:i/>
              </w:rPr>
            </w:pPr>
          </w:p>
        </w:tc>
        <w:tc>
          <w:tcPr>
            <w:tcW w:w="3318" w:type="dxa"/>
            <w:gridSpan w:val="10"/>
            <w:tcBorders>
              <w:top w:val="nil"/>
              <w:left w:val="nil"/>
              <w:bottom w:val="nil"/>
              <w:right w:val="nil"/>
            </w:tcBorders>
            <w:shd w:val="clear" w:color="auto" w:fill="auto"/>
          </w:tcPr>
          <w:p w:rsidR="0017135D" w:rsidRPr="004C7357" w:rsidP="00F134DE">
            <w:pPr>
              <w:pStyle w:val="CSBody8pt"/>
              <w:rPr>
                <w:lang w:val="de-DE"/>
              </w:rPr>
            </w:pPr>
            <w:r w:rsidRPr="00792D61">
              <w:rPr>
                <w:b/>
                <w:lang w:val="de-DE"/>
              </w:rPr>
              <w:t>[</w:t>
            </w:r>
            <w:r w:rsidRPr="00691EFE">
              <w:rPr>
                <w:b/>
                <w:i/>
                <w:lang w:val="de-DE"/>
              </w:rPr>
              <w:t>falls Restrukturierung anwendbar ist :</w:t>
            </w:r>
            <w:r w:rsidRPr="004C7357">
              <w:rPr>
                <w:lang w:val="de-DE"/>
              </w:rPr>
              <w:t>(iv) die öffentliche Bekanntgabe durch den Secretary, dass der zuständige Kreditderivate-Feststellungsausschuss Beschlossen hat, dass eine Restrukturierung eingetreten ist; oder</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C7357" w:rsidP="00691EFE">
            <w:pPr>
              <w:pStyle w:val="CSBody8pt"/>
              <w:rPr>
                <w:lang w:val="de-DE"/>
              </w:rPr>
            </w:pPr>
          </w:p>
        </w:tc>
        <w:tc>
          <w:tcPr>
            <w:tcW w:w="3315" w:type="dxa"/>
            <w:gridSpan w:val="7"/>
            <w:tcBorders>
              <w:top w:val="nil"/>
              <w:left w:val="nil"/>
              <w:bottom w:val="nil"/>
            </w:tcBorders>
            <w:shd w:val="clear" w:color="auto" w:fill="auto"/>
          </w:tcPr>
          <w:p w:rsidR="0017135D" w:rsidP="00691EFE">
            <w:pPr>
              <w:pStyle w:val="CSBody8pt"/>
            </w:pPr>
            <w:r w:rsidRPr="00792D61">
              <w:rPr>
                <w:b/>
              </w:rPr>
              <w:t>[</w:t>
            </w:r>
            <w:r w:rsidRPr="00156C77">
              <w:t>(iv)</w:t>
            </w:r>
            <w:r w:rsidRPr="00792D61">
              <w:rPr>
                <w:b/>
              </w:rPr>
              <w:t>][</w:t>
            </w:r>
            <w:r w:rsidRPr="00156C77">
              <w:t>(v)</w:t>
            </w:r>
            <w:r w:rsidRPr="00792D61">
              <w:rPr>
                <w:b/>
              </w:rPr>
              <w:t>]</w:t>
            </w:r>
            <w:r w:rsidRPr="00156C77">
              <w:t xml:space="preserve"> a Credit Event Determination Date has occurred pursuant to paragraph (a)(i) of the definition of "Credit Event Determination Date" and no Credit Event Resolution Request Date has occurred within three Business Days of the date on which such Credit Event Determination Date occurred.</w:t>
            </w:r>
          </w:p>
        </w:tc>
        <w:tc>
          <w:tcPr>
            <w:tcW w:w="1618" w:type="dxa"/>
            <w:gridSpan w:val="2"/>
            <w:tcBorders>
              <w:top w:val="nil"/>
              <w:bottom w:val="nil"/>
              <w:right w:val="nil"/>
            </w:tcBorders>
            <w:shd w:val="clear" w:color="auto" w:fill="auto"/>
          </w:tcPr>
          <w:p w:rsidR="0017135D" w:rsidRPr="004C7357" w:rsidP="00691EFE">
            <w:pPr>
              <w:pStyle w:val="CSBody8pt"/>
              <w:rPr>
                <w:i/>
              </w:rPr>
            </w:pPr>
          </w:p>
        </w:tc>
        <w:tc>
          <w:tcPr>
            <w:tcW w:w="3318" w:type="dxa"/>
            <w:gridSpan w:val="10"/>
            <w:tcBorders>
              <w:top w:val="nil"/>
              <w:left w:val="nil"/>
              <w:bottom w:val="nil"/>
              <w:right w:val="nil"/>
            </w:tcBorders>
            <w:shd w:val="clear" w:color="auto" w:fill="auto"/>
          </w:tcPr>
          <w:p w:rsidR="0017135D" w:rsidRPr="004C7357" w:rsidP="00691EFE">
            <w:pPr>
              <w:pStyle w:val="CSBody8pt"/>
              <w:rPr>
                <w:lang w:val="de-DE"/>
              </w:rPr>
            </w:pPr>
            <w:r w:rsidRPr="00792D61">
              <w:rPr>
                <w:b/>
                <w:lang w:val="de-DE"/>
              </w:rPr>
              <w:t>[</w:t>
            </w:r>
            <w:r w:rsidRPr="004C7357">
              <w:rPr>
                <w:lang w:val="de-DE"/>
              </w:rPr>
              <w:t>(iv)</w:t>
            </w:r>
            <w:r w:rsidRPr="00792D61">
              <w:rPr>
                <w:b/>
                <w:lang w:val="de-DE"/>
              </w:rPr>
              <w:t>][</w:t>
            </w:r>
            <w:r w:rsidRPr="004C7357">
              <w:rPr>
                <w:lang w:val="de-DE"/>
              </w:rPr>
              <w:t>(v)</w:t>
            </w:r>
            <w:r w:rsidRPr="00792D61">
              <w:rPr>
                <w:b/>
                <w:lang w:val="de-DE"/>
              </w:rPr>
              <w:t>]</w:t>
            </w:r>
            <w:r w:rsidRPr="004C7357">
              <w:rPr>
                <w:lang w:val="de-DE"/>
              </w:rPr>
              <w:t xml:space="preserve"> der Eintritt eines Kreditereignis-Feststellungstags nach Absatz (a)(i) der Definition  "Kreditereignis-Feststellungstag" und Nichteintritt eines Kreditereignisbeschluss-Antragsdatums innerhalb von drei Geschäftstagen nach diesem Kreditereignis-Feststellungstag.</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94E3B" w:rsidP="00691EFE">
            <w:pPr>
              <w:pStyle w:val="CSBody8pt"/>
            </w:pPr>
            <w:r w:rsidRPr="00294E3B">
              <w:t>Cash Redemption Date</w:t>
            </w:r>
            <w:r>
              <w:fldChar w:fldCharType="begin"/>
            </w:r>
            <w:r>
              <w:instrText xml:space="preserve"> XE "</w:instrText>
            </w:r>
            <w:r w:rsidRPr="00683B9E">
              <w:instrText>Cash Redemption Date</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FE3A15" w:rsidP="004C1EBA">
            <w:pPr>
              <w:pStyle w:val="CSBody8pt"/>
            </w:pPr>
            <w:r w:rsidRPr="00792D61">
              <w:rPr>
                <w:b/>
                <w:i/>
              </w:rPr>
              <w:t>[</w:t>
            </w:r>
            <w:r w:rsidRPr="00691EFE">
              <w:rPr>
                <w:b/>
                <w:i/>
              </w:rPr>
              <w:t xml:space="preserve">if a Basket is applicable, insert: </w:t>
            </w:r>
            <w:r w:rsidRPr="00FE3A15">
              <w:t xml:space="preserve">with </w:t>
            </w:r>
            <w:r w:rsidRPr="00AA73F7">
              <w:t>respect to any Affected Reference Entity,</w:t>
            </w:r>
            <w:r w:rsidRPr="00792D61">
              <w:rPr>
                <w:b/>
              </w:rPr>
              <w:t>]</w:t>
            </w:r>
            <w:r w:rsidRPr="00AA73F7">
              <w:t xml:space="preserve"> </w:t>
            </w:r>
            <w:r w:rsidRPr="00792D61">
              <w:rPr>
                <w:b/>
              </w:rPr>
              <w:t>[</w:t>
            </w:r>
            <w:r w:rsidRPr="00AA73F7">
              <w:t xml:space="preserve"> (i) the Scheduled Maturity Date or, if later, (ii),</w:t>
            </w:r>
            <w:r w:rsidR="00942F00">
              <w:rPr>
                <w:b/>
              </w:rPr>
              <w:t>]</w:t>
            </w:r>
            <w:r w:rsidRPr="00FE3A15">
              <w:t xml:space="preserve"> subject to the terms of the definition of "Settlement Suspension", the date that is </w:t>
            </w:r>
            <w:r w:rsidRPr="00792D61">
              <w:rPr>
                <w:b/>
              </w:rPr>
              <w:t>[[</w:t>
            </w:r>
            <w:r w:rsidRPr="00FE3A15">
              <w:rPr>
                <w:rFonts w:ascii="Arial" w:hAnsi="Arial" w:cs="Arial"/>
              </w:rPr>
              <w:t>●</w:t>
            </w:r>
            <w:r w:rsidRPr="00792D61">
              <w:rPr>
                <w:b/>
              </w:rPr>
              <w:t>]][</w:t>
            </w:r>
            <w:r w:rsidRPr="00FE3A15">
              <w:t>three</w:t>
            </w:r>
            <w:r w:rsidRPr="00792D61">
              <w:rPr>
                <w:b/>
              </w:rPr>
              <w:t>]</w:t>
            </w:r>
            <w:r w:rsidRPr="00FE3A15">
              <w:t xml:space="preserve"> Business Days following the calculation of the Final Price </w:t>
            </w:r>
            <w:r w:rsidRPr="00792D61">
              <w:rPr>
                <w:b/>
              </w:rPr>
              <w:t>[</w:t>
            </w:r>
            <w:r w:rsidRPr="00691EFE">
              <w:rPr>
                <w:b/>
                <w:i/>
              </w:rPr>
              <w:t>in the case of Complex Products with N</w:t>
            </w:r>
            <w:r w:rsidRPr="00BD6E0D">
              <w:rPr>
                <w:b/>
                <w:i/>
                <w:vertAlign w:val="superscript"/>
              </w:rPr>
              <w:t>th</w:t>
            </w:r>
            <w:r w:rsidRPr="00691EFE">
              <w:rPr>
                <w:b/>
                <w:i/>
              </w:rPr>
              <w:t>-to-Default structure, insert:</w:t>
            </w:r>
            <w:r w:rsidRPr="00FE3A15">
              <w:t xml:space="preserve"> with respect to the </w:t>
            </w:r>
            <w:r w:rsidRPr="00792D61">
              <w:rPr>
                <w:b/>
              </w:rPr>
              <w:t>[</w:t>
            </w:r>
            <w:r w:rsidRPr="00691EFE">
              <w:rPr>
                <w:b/>
                <w:i/>
              </w:rPr>
              <w:t>insert relevant number:</w:t>
            </w:r>
            <w:r w:rsidRPr="00FE3A15">
              <w:t xml:space="preserve"> </w:t>
            </w:r>
            <w:r w:rsidRPr="00792D61">
              <w:rPr>
                <w:b/>
              </w:rPr>
              <w:t>[</w:t>
            </w:r>
            <w:r w:rsidRPr="00FE3A15">
              <w:t>1st</w:t>
            </w:r>
            <w:r w:rsidRPr="00792D61">
              <w:rPr>
                <w:b/>
              </w:rPr>
              <w:t>][</w:t>
            </w:r>
            <w:r w:rsidRPr="00FE3A15">
              <w:t>2nd</w:t>
            </w:r>
            <w:r w:rsidRPr="00792D61">
              <w:rPr>
                <w:b/>
              </w:rPr>
              <w:t>][</w:t>
            </w:r>
            <w:r w:rsidRPr="00FE3A15">
              <w:t>3rd</w:t>
            </w:r>
            <w:r w:rsidRPr="00792D61">
              <w:rPr>
                <w:b/>
              </w:rPr>
              <w:t>][[</w:t>
            </w:r>
            <w:r w:rsidRPr="00FE3A15">
              <w:rPr>
                <w:rFonts w:ascii="Arial" w:hAnsi="Arial" w:cs="Arial"/>
              </w:rPr>
              <w:t>●</w:t>
            </w:r>
            <w:r w:rsidRPr="00792D61">
              <w:rPr>
                <w:b/>
              </w:rPr>
              <w:t>]]]</w:t>
            </w:r>
            <w:r w:rsidRPr="00FE3A15">
              <w:t>-to-Default Reference Entity</w:t>
            </w:r>
            <w:r w:rsidRPr="00792D61">
              <w:rPr>
                <w:b/>
              </w:rPr>
              <w:t>][</w:t>
            </w:r>
            <w:r w:rsidRPr="00691EFE">
              <w:rPr>
                <w:b/>
                <w:i/>
              </w:rPr>
              <w:t>if a Basket is applicable, insert:</w:t>
            </w:r>
            <w:r w:rsidRPr="00FE3A15">
              <w:t xml:space="preserve"> with respect to such Affected Reference Entity</w:t>
            </w:r>
            <w:r w:rsidRPr="00792D61">
              <w:rPr>
                <w:b/>
              </w:rPr>
              <w:t>]</w:t>
            </w:r>
            <w:r w:rsidRPr="00FE3A15">
              <w:t>.</w:t>
            </w:r>
          </w:p>
        </w:tc>
        <w:tc>
          <w:tcPr>
            <w:tcW w:w="1618" w:type="dxa"/>
            <w:gridSpan w:val="2"/>
            <w:tcBorders>
              <w:top w:val="nil"/>
              <w:bottom w:val="nil"/>
              <w:right w:val="nil"/>
            </w:tcBorders>
            <w:shd w:val="clear" w:color="auto" w:fill="auto"/>
          </w:tcPr>
          <w:p w:rsidR="0017135D" w:rsidRPr="00294E3B" w:rsidP="00F134DE">
            <w:pPr>
              <w:pStyle w:val="CSBody8pt"/>
            </w:pPr>
            <w:r w:rsidRPr="00294E3B">
              <w:t>Barrückzahlungstag</w:t>
            </w:r>
            <w:r>
              <w:fldChar w:fldCharType="begin"/>
            </w:r>
            <w:r>
              <w:instrText xml:space="preserve"> XE "</w:instrText>
            </w:r>
            <w:r w:rsidRPr="004C0B50">
              <w:instrText>Barrückzahlungstag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4C7357" w:rsidP="004C1EBA">
            <w:pPr>
              <w:pStyle w:val="CSBody8pt"/>
              <w:rPr>
                <w:lang w:val="de-DE"/>
              </w:rPr>
            </w:pPr>
            <w:r w:rsidRPr="00792D61">
              <w:rPr>
                <w:b/>
                <w:lang w:val="de-DE"/>
              </w:rPr>
              <w:t>[</w:t>
            </w:r>
            <w:r w:rsidRPr="00691EFE">
              <w:rPr>
                <w:b/>
                <w:i/>
                <w:lang w:val="de-DE"/>
              </w:rPr>
              <w:t>falls ein Korb anwendbar ist, einfügen:</w:t>
            </w:r>
            <w:r w:rsidRPr="004C7357">
              <w:rPr>
                <w:lang w:val="de-DE"/>
              </w:rPr>
              <w:t xml:space="preserve"> in Bezug auf </w:t>
            </w:r>
            <w:r w:rsidRPr="00AA73F7">
              <w:rPr>
                <w:lang w:val="de-DE"/>
              </w:rPr>
              <w:t>einen Betroffenen Referenzschuldner,</w:t>
            </w:r>
            <w:r w:rsidRPr="00792D61">
              <w:rPr>
                <w:b/>
                <w:lang w:val="de-DE"/>
              </w:rPr>
              <w:t>]</w:t>
            </w:r>
            <w:r w:rsidRPr="00AA73F7">
              <w:rPr>
                <w:lang w:val="de-DE"/>
              </w:rPr>
              <w:t xml:space="preserve"> </w:t>
            </w:r>
            <w:r w:rsidRPr="00792D61">
              <w:rPr>
                <w:b/>
                <w:lang w:val="de-DE"/>
              </w:rPr>
              <w:t>[</w:t>
            </w:r>
            <w:r w:rsidRPr="00AA73F7">
              <w:rPr>
                <w:lang w:val="de-DE"/>
              </w:rPr>
              <w:t>(i) der Planmässige Fälligkeitstag oder</w:t>
            </w:r>
            <w:r>
              <w:rPr>
                <w:lang w:val="de-DE"/>
              </w:rPr>
              <w:t>,</w:t>
            </w:r>
            <w:r w:rsidRPr="00AA73F7">
              <w:rPr>
                <w:lang w:val="de-DE"/>
              </w:rPr>
              <w:t xml:space="preserve"> falls später, (ii)</w:t>
            </w:r>
            <w:r w:rsidRPr="00792D61">
              <w:rPr>
                <w:b/>
                <w:lang w:val="de-DE"/>
              </w:rPr>
              <w:t>]</w:t>
            </w:r>
            <w:r w:rsidRPr="004C7357">
              <w:rPr>
                <w:lang w:val="de-DE"/>
              </w:rPr>
              <w:t xml:space="preserve"> vorbehaltlich der Bestimmungen der Definition  "Aussetzung der Abwicklung" der Tag, der </w:t>
            </w:r>
            <w:r w:rsidRPr="00792D61">
              <w:rPr>
                <w:b/>
                <w:lang w:val="de-DE"/>
              </w:rPr>
              <w:t>[[</w:t>
            </w:r>
            <w:r w:rsidRPr="004C7357">
              <w:rPr>
                <w:rFonts w:ascii="Arial" w:hAnsi="Arial" w:cs="Arial"/>
                <w:lang w:val="de-DE"/>
              </w:rPr>
              <w:t>●</w:t>
            </w:r>
            <w:r w:rsidRPr="00792D61">
              <w:rPr>
                <w:b/>
                <w:lang w:val="de-DE"/>
              </w:rPr>
              <w:t>]][</w:t>
            </w:r>
            <w:r w:rsidRPr="004C7357">
              <w:rPr>
                <w:lang w:val="de-DE"/>
              </w:rPr>
              <w:t>drei</w:t>
            </w:r>
            <w:r w:rsidRPr="00792D61">
              <w:rPr>
                <w:b/>
                <w:lang w:val="de-DE"/>
              </w:rPr>
              <w:t>]</w:t>
            </w:r>
            <w:r w:rsidRPr="004C7357">
              <w:rPr>
                <w:lang w:val="de-DE"/>
              </w:rPr>
              <w:t xml:space="preserve"> Gesch</w:t>
            </w:r>
            <w:r w:rsidRPr="004C7357">
              <w:rPr>
                <w:rFonts w:cs="Credit Suisse Type Light"/>
                <w:lang w:val="de-DE"/>
              </w:rPr>
              <w:t>ä</w:t>
            </w:r>
            <w:r w:rsidRPr="004C7357">
              <w:rPr>
                <w:lang w:val="de-DE"/>
              </w:rPr>
              <w:t xml:space="preserve">ftstage nach der Berechnung des Endpreises </w:t>
            </w:r>
            <w:r w:rsidRPr="00792D61">
              <w:rPr>
                <w:b/>
                <w:lang w:val="de-DE"/>
              </w:rPr>
              <w:t>[</w:t>
            </w:r>
            <w:r w:rsidRPr="00691EFE">
              <w:rPr>
                <w:b/>
                <w:i/>
                <w:lang w:val="de-DE"/>
              </w:rPr>
              <w:t>bei Komplexen Produkten mit N</w:t>
            </w:r>
            <w:r w:rsidRPr="00BD6E0D">
              <w:rPr>
                <w:b/>
                <w:i/>
                <w:vertAlign w:val="superscript"/>
                <w:lang w:val="de-DE"/>
              </w:rPr>
              <w:t>th</w:t>
            </w:r>
            <w:r w:rsidRPr="00691EFE">
              <w:rPr>
                <w:b/>
                <w:i/>
                <w:lang w:val="de-DE"/>
              </w:rPr>
              <w:t>-to-Default-Struktur einf</w:t>
            </w:r>
            <w:r w:rsidRPr="00691EFE">
              <w:rPr>
                <w:rFonts w:cs="Credit Suisse Type Light"/>
                <w:b/>
                <w:i/>
                <w:lang w:val="de-DE"/>
              </w:rPr>
              <w:t>ü</w:t>
            </w:r>
            <w:r w:rsidRPr="00691EFE">
              <w:rPr>
                <w:b/>
                <w:i/>
                <w:lang w:val="de-DE"/>
              </w:rPr>
              <w:t xml:space="preserve">gen: </w:t>
            </w:r>
            <w:r w:rsidRPr="004C7357">
              <w:rPr>
                <w:lang w:val="de-DE"/>
              </w:rPr>
              <w:t xml:space="preserve">in Bezug auf den </w:t>
            </w:r>
            <w:r w:rsidRPr="00792D61">
              <w:rPr>
                <w:b/>
                <w:lang w:val="de-DE"/>
              </w:rPr>
              <w:t>[</w:t>
            </w:r>
            <w:r w:rsidRPr="00691EFE">
              <w:rPr>
                <w:b/>
                <w:i/>
                <w:lang w:val="de-DE"/>
              </w:rPr>
              <w:t>jeweilige Zahl einf</w:t>
            </w:r>
            <w:r w:rsidRPr="00691EFE">
              <w:rPr>
                <w:rFonts w:cs="Credit Suisse Type Light"/>
                <w:b/>
                <w:i/>
                <w:lang w:val="de-DE"/>
              </w:rPr>
              <w:t>ü</w:t>
            </w:r>
            <w:r w:rsidRPr="00691EFE">
              <w:rPr>
                <w:b/>
                <w:i/>
                <w:lang w:val="de-DE"/>
              </w:rPr>
              <w:t xml:space="preserve">gen: </w:t>
            </w:r>
            <w:r w:rsidRPr="00792D61">
              <w:rPr>
                <w:b/>
                <w:lang w:val="de-DE"/>
              </w:rPr>
              <w:t>[</w:t>
            </w:r>
            <w:r w:rsidRPr="004C7357">
              <w:rPr>
                <w:lang w:val="de-DE"/>
              </w:rPr>
              <w:t>1st</w:t>
            </w:r>
            <w:r w:rsidRPr="00792D61">
              <w:rPr>
                <w:b/>
                <w:lang w:val="de-DE"/>
              </w:rPr>
              <w:t>][</w:t>
            </w:r>
            <w:r w:rsidRPr="004C7357">
              <w:rPr>
                <w:lang w:val="de-DE"/>
              </w:rPr>
              <w:t>2nd</w:t>
            </w:r>
            <w:r w:rsidRPr="00792D61">
              <w:rPr>
                <w:b/>
                <w:lang w:val="de-DE"/>
              </w:rPr>
              <w:t>][</w:t>
            </w:r>
            <w:r w:rsidRPr="004C7357">
              <w:rPr>
                <w:lang w:val="de-DE"/>
              </w:rPr>
              <w:t>3rd</w:t>
            </w:r>
            <w:r w:rsidRPr="00792D61">
              <w:rPr>
                <w:b/>
                <w:lang w:val="de-DE"/>
              </w:rPr>
              <w:t>][[</w:t>
            </w:r>
            <w:r w:rsidRPr="004C7357">
              <w:rPr>
                <w:rFonts w:ascii="Arial" w:hAnsi="Arial" w:cs="Arial"/>
                <w:lang w:val="de-DE"/>
              </w:rPr>
              <w:t>●</w:t>
            </w:r>
            <w:r w:rsidRPr="00792D61">
              <w:rPr>
                <w:b/>
                <w:lang w:val="de-DE"/>
              </w:rPr>
              <w:t>]]]</w:t>
            </w:r>
            <w:r w:rsidRPr="004C7357">
              <w:rPr>
                <w:lang w:val="de-DE"/>
              </w:rPr>
              <w:t>-to-Default-Referenzschuldner</w:t>
            </w:r>
            <w:r w:rsidRPr="00792D61">
              <w:rPr>
                <w:b/>
                <w:lang w:val="de-DE"/>
              </w:rPr>
              <w:t>][</w:t>
            </w:r>
            <w:r w:rsidRPr="00691EFE">
              <w:rPr>
                <w:b/>
                <w:i/>
                <w:lang w:val="de-DE"/>
              </w:rPr>
              <w:t>falls ein Korb anwendbar ist, einfügen:</w:t>
            </w:r>
            <w:r w:rsidRPr="004C7357">
              <w:rPr>
                <w:lang w:val="de-DE"/>
              </w:rPr>
              <w:t xml:space="preserve"> in Bezug auf diesen Betroffenen Referenzschuldner</w:t>
            </w:r>
            <w:r w:rsidRPr="00792D61">
              <w:rPr>
                <w:b/>
                <w:lang w:val="de-DE"/>
              </w:rPr>
              <w:t>]</w:t>
            </w:r>
            <w:r w:rsidRPr="004C7357">
              <w:rPr>
                <w:lang w:val="de-DE"/>
              </w:rPr>
              <w:t xml:space="preserve"> liegt.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294E3B" w:rsidP="00691EFE">
            <w:pPr>
              <w:pStyle w:val="CSBody8pt"/>
            </w:pPr>
            <w:r w:rsidRPr="00294E3B">
              <w:t>Cash Redemption Amount</w:t>
            </w:r>
            <w:r>
              <w:fldChar w:fldCharType="begin"/>
            </w:r>
            <w:r>
              <w:instrText xml:space="preserve"> XE "</w:instrText>
            </w:r>
            <w:r w:rsidRPr="002C65E6">
              <w:instrText>Cash Redemption Amount</w:instrText>
            </w:r>
            <w:r>
              <w:instrText xml:space="preserve">" \f "EN" </w:instrText>
            </w:r>
            <w:r>
              <w:fldChar w:fldCharType="end"/>
            </w:r>
          </w:p>
        </w:tc>
        <w:tc>
          <w:tcPr>
            <w:tcW w:w="3315" w:type="dxa"/>
            <w:gridSpan w:val="7"/>
            <w:tcBorders>
              <w:top w:val="nil"/>
              <w:left w:val="nil"/>
              <w:bottom w:val="nil"/>
            </w:tcBorders>
            <w:shd w:val="clear" w:color="auto" w:fill="auto"/>
          </w:tcPr>
          <w:p w:rsidR="0017135D" w:rsidRPr="00294E3B" w:rsidP="00691EFE">
            <w:pPr>
              <w:pStyle w:val="CSBody8ptbolditalics"/>
            </w:pPr>
            <w:r w:rsidRPr="00792D61">
              <w:t>[</w:t>
            </w:r>
            <w:r w:rsidRPr="00294E3B">
              <w:t xml:space="preserve">if no Basket is applicable, insert: </w:t>
            </w:r>
          </w:p>
        </w:tc>
        <w:tc>
          <w:tcPr>
            <w:tcW w:w="1618" w:type="dxa"/>
            <w:gridSpan w:val="2"/>
            <w:tcBorders>
              <w:top w:val="nil"/>
              <w:bottom w:val="nil"/>
              <w:right w:val="nil"/>
            </w:tcBorders>
            <w:shd w:val="clear" w:color="auto" w:fill="auto"/>
          </w:tcPr>
          <w:p w:rsidR="0017135D" w:rsidRPr="00294E3B" w:rsidP="00F134DE">
            <w:pPr>
              <w:pStyle w:val="CSBody8pt"/>
            </w:pPr>
            <w:r w:rsidRPr="00294E3B">
              <w:t>Barrückzahlungsbetrag</w:t>
            </w:r>
            <w:r>
              <w:fldChar w:fldCharType="begin"/>
            </w:r>
            <w:r>
              <w:instrText xml:space="preserve"> XE "</w:instrText>
            </w:r>
            <w:r w:rsidRPr="00520419">
              <w:instrText>Barrückzahlungsbetrag</w:instrText>
            </w:r>
            <w:r>
              <w:instrText xml:space="preserve">" </w:instrText>
            </w:r>
            <w:r>
              <w:fldChar w:fldCharType="end"/>
            </w:r>
          </w:p>
        </w:tc>
        <w:tc>
          <w:tcPr>
            <w:tcW w:w="3318" w:type="dxa"/>
            <w:gridSpan w:val="10"/>
            <w:tcBorders>
              <w:top w:val="nil"/>
              <w:left w:val="nil"/>
              <w:bottom w:val="nil"/>
              <w:right w:val="nil"/>
            </w:tcBorders>
            <w:shd w:val="clear" w:color="auto" w:fill="auto"/>
          </w:tcPr>
          <w:p w:rsidR="0017135D" w:rsidRPr="004C7357" w:rsidP="00691EFE">
            <w:pPr>
              <w:pStyle w:val="CSBody8ptbolditalics"/>
              <w:rPr>
                <w:lang w:val="de-DE"/>
              </w:rPr>
            </w:pPr>
            <w:r w:rsidRPr="00792D61">
              <w:rPr>
                <w:lang w:val="de-DE"/>
              </w:rPr>
              <w:t>[</w:t>
            </w:r>
            <w:r w:rsidRPr="00294E3B">
              <w:rPr>
                <w:lang w:val="de-DE"/>
              </w:rPr>
              <w:t>falls kein Korb anwendbar ist, einfügen:</w:t>
            </w:r>
            <w:r w:rsidRPr="004C7357">
              <w:rPr>
                <w:lang w:val="de-DE"/>
              </w:rPr>
              <w:t xml:space="preserve"> </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C7357" w:rsidP="00691EFE">
            <w:pPr>
              <w:pStyle w:val="CSBody8pt"/>
              <w:rPr>
                <w:lang w:val="de-DE"/>
              </w:rPr>
            </w:pPr>
          </w:p>
        </w:tc>
        <w:tc>
          <w:tcPr>
            <w:tcW w:w="3315" w:type="dxa"/>
            <w:gridSpan w:val="7"/>
            <w:tcBorders>
              <w:top w:val="nil"/>
              <w:left w:val="nil"/>
              <w:bottom w:val="nil"/>
            </w:tcBorders>
            <w:shd w:val="clear" w:color="auto" w:fill="auto"/>
          </w:tcPr>
          <w:p w:rsidR="0017135D" w:rsidP="004C1EBA">
            <w:pPr>
              <w:pStyle w:val="CSBody8pt"/>
            </w:pPr>
            <w:r w:rsidRPr="00FE3A15">
              <w:t>a cash amount equal to the product of (</w:t>
            </w:r>
            <w:r>
              <w:t>i</w:t>
            </w:r>
            <w:r w:rsidRPr="00FE3A15">
              <w:t>) the Principal Amount and (</w:t>
            </w:r>
            <w:r>
              <w:t>ii</w:t>
            </w:r>
            <w:r w:rsidRPr="00FE3A15">
              <w:t xml:space="preserve">) the ratio of the Final Price (expressed as a percentage) </w:t>
            </w:r>
            <w:r w:rsidRPr="00792D61">
              <w:rPr>
                <w:b/>
              </w:rPr>
              <w:t>[</w:t>
            </w:r>
            <w:r w:rsidRPr="00691EFE">
              <w:rPr>
                <w:b/>
                <w:i/>
              </w:rPr>
              <w:t>in the case of Complex Products with N</w:t>
            </w:r>
            <w:r w:rsidRPr="00BD6E0D">
              <w:rPr>
                <w:b/>
                <w:i/>
                <w:vertAlign w:val="superscript"/>
              </w:rPr>
              <w:t>th</w:t>
            </w:r>
            <w:r w:rsidRPr="00691EFE">
              <w:rPr>
                <w:b/>
                <w:i/>
              </w:rPr>
              <w:t>-to-Default structure, insert:</w:t>
            </w:r>
            <w:r w:rsidRPr="00FE3A15">
              <w:t xml:space="preserve"> with respect to the </w:t>
            </w:r>
            <w:r w:rsidRPr="00792D61">
              <w:rPr>
                <w:b/>
              </w:rPr>
              <w:t>[</w:t>
            </w:r>
            <w:r w:rsidRPr="00294E3B">
              <w:rPr>
                <w:b/>
                <w:i/>
              </w:rPr>
              <w:t>insert relevant number:</w:t>
            </w:r>
            <w:r w:rsidRPr="00FE3A15">
              <w:t xml:space="preserve"> </w:t>
            </w:r>
            <w:r w:rsidRPr="00792D61">
              <w:rPr>
                <w:b/>
              </w:rPr>
              <w:t>[</w:t>
            </w:r>
            <w:r w:rsidRPr="00FE3A15">
              <w:t>1st</w:t>
            </w:r>
            <w:r w:rsidRPr="00792D61">
              <w:rPr>
                <w:b/>
              </w:rPr>
              <w:t>][</w:t>
            </w:r>
            <w:r w:rsidRPr="00FE3A15">
              <w:t>2nd</w:t>
            </w:r>
            <w:r w:rsidRPr="00792D61">
              <w:rPr>
                <w:b/>
              </w:rPr>
              <w:t>][</w:t>
            </w:r>
            <w:r w:rsidRPr="00FE3A15">
              <w:t>3rd</w:t>
            </w:r>
            <w:r w:rsidRPr="00792D61">
              <w:rPr>
                <w:b/>
              </w:rPr>
              <w:t>][[</w:t>
            </w:r>
            <w:r w:rsidRPr="00FE3A15">
              <w:rPr>
                <w:rFonts w:ascii="Arial" w:hAnsi="Arial" w:cs="Arial"/>
              </w:rPr>
              <w:t>●</w:t>
            </w:r>
            <w:r w:rsidRPr="00792D61">
              <w:rPr>
                <w:b/>
              </w:rPr>
              <w:t>]]]</w:t>
            </w:r>
            <w:r w:rsidRPr="00FE3A15">
              <w:t>-to-Default Reference Entity</w:t>
            </w:r>
            <w:r w:rsidRPr="00792D61">
              <w:rPr>
                <w:b/>
              </w:rPr>
              <w:t>]</w:t>
            </w:r>
            <w:r w:rsidRPr="00FE3A15">
              <w:t xml:space="preserve"> divided by the Reference Price (expressed as a percentage) calculated by the Calculation Agent in accordance with the following formula:</w:t>
            </w:r>
          </w:p>
        </w:tc>
        <w:tc>
          <w:tcPr>
            <w:tcW w:w="1618" w:type="dxa"/>
            <w:gridSpan w:val="2"/>
            <w:tcBorders>
              <w:top w:val="nil"/>
              <w:bottom w:val="nil"/>
              <w:right w:val="nil"/>
            </w:tcBorders>
            <w:shd w:val="clear" w:color="auto" w:fill="auto"/>
          </w:tcPr>
          <w:p w:rsidR="0017135D" w:rsidRPr="004C7357" w:rsidP="00691EFE">
            <w:pPr>
              <w:pStyle w:val="CSBody8pt"/>
              <w:rPr>
                <w:i/>
              </w:rPr>
            </w:pPr>
          </w:p>
        </w:tc>
        <w:tc>
          <w:tcPr>
            <w:tcW w:w="3318" w:type="dxa"/>
            <w:gridSpan w:val="10"/>
            <w:tcBorders>
              <w:top w:val="nil"/>
              <w:left w:val="nil"/>
              <w:bottom w:val="nil"/>
              <w:right w:val="nil"/>
            </w:tcBorders>
            <w:shd w:val="clear" w:color="auto" w:fill="auto"/>
          </w:tcPr>
          <w:p w:rsidR="0017135D" w:rsidRPr="004C7357" w:rsidP="004C1EBA">
            <w:pPr>
              <w:pStyle w:val="CSBody8pt"/>
              <w:rPr>
                <w:lang w:val="de-DE"/>
              </w:rPr>
            </w:pPr>
            <w:r w:rsidRPr="004C7357">
              <w:rPr>
                <w:lang w:val="de-DE"/>
              </w:rPr>
              <w:t>ein Geldbetrag, der dem Produkt aus (</w:t>
            </w:r>
            <w:r>
              <w:rPr>
                <w:lang w:val="de-DE"/>
              </w:rPr>
              <w:t>i</w:t>
            </w:r>
            <w:r w:rsidRPr="004C7357">
              <w:rPr>
                <w:lang w:val="de-DE"/>
              </w:rPr>
              <w:t>) dem Nennbetrag (</w:t>
            </w:r>
            <w:r w:rsidRPr="00BD6E0D">
              <w:rPr>
                <w:i/>
                <w:lang w:val="de-DE"/>
              </w:rPr>
              <w:t>Principal Amount</w:t>
            </w:r>
            <w:r w:rsidRPr="004C7357">
              <w:rPr>
                <w:lang w:val="de-DE"/>
              </w:rPr>
              <w:t>) und (</w:t>
            </w:r>
            <w:r>
              <w:rPr>
                <w:lang w:val="de-DE"/>
              </w:rPr>
              <w:t>ii</w:t>
            </w:r>
            <w:r w:rsidRPr="004C7357">
              <w:rPr>
                <w:lang w:val="de-DE"/>
              </w:rPr>
              <w:t>) dem Verhältnis des Endpreises (</w:t>
            </w:r>
            <w:r w:rsidRPr="00BD6E0D">
              <w:rPr>
                <w:i/>
                <w:lang w:val="de-DE"/>
              </w:rPr>
              <w:t>Final Price</w:t>
            </w:r>
            <w:r w:rsidRPr="004C7357">
              <w:rPr>
                <w:lang w:val="de-DE"/>
              </w:rPr>
              <w:t xml:space="preserve">) (ausgedrückt in Prozent) </w:t>
            </w:r>
            <w:r w:rsidRPr="00792D61">
              <w:rPr>
                <w:b/>
                <w:lang w:val="de-DE"/>
              </w:rPr>
              <w:t>[</w:t>
            </w:r>
            <w:r w:rsidRPr="00691EFE">
              <w:rPr>
                <w:b/>
                <w:i/>
                <w:lang w:val="de-DE"/>
              </w:rPr>
              <w:t>bei Komplexen Produkten mit N</w:t>
            </w:r>
            <w:r w:rsidRPr="00BD6E0D">
              <w:rPr>
                <w:b/>
                <w:i/>
                <w:vertAlign w:val="superscript"/>
                <w:lang w:val="de-DE"/>
              </w:rPr>
              <w:t>th</w:t>
            </w:r>
            <w:r w:rsidRPr="00691EFE">
              <w:rPr>
                <w:b/>
                <w:i/>
                <w:lang w:val="de-DE"/>
              </w:rPr>
              <w:t>-to-Default-Struktur einfügen:</w:t>
            </w:r>
            <w:r w:rsidRPr="004C7357">
              <w:rPr>
                <w:lang w:val="de-DE"/>
              </w:rPr>
              <w:t xml:space="preserve"> in Bezug auf den </w:t>
            </w:r>
            <w:r w:rsidRPr="00792D61">
              <w:rPr>
                <w:b/>
                <w:lang w:val="de-DE"/>
              </w:rPr>
              <w:t>[</w:t>
            </w:r>
            <w:r w:rsidRPr="00294E3B">
              <w:rPr>
                <w:b/>
                <w:i/>
                <w:lang w:val="de-DE"/>
              </w:rPr>
              <w:t>jeweilige Zahl einfügen:</w:t>
            </w:r>
            <w:r w:rsidRPr="004C7357">
              <w:rPr>
                <w:lang w:val="de-DE"/>
              </w:rPr>
              <w:t xml:space="preserve"> </w:t>
            </w:r>
            <w:r w:rsidRPr="00792D61">
              <w:rPr>
                <w:b/>
                <w:lang w:val="de-DE"/>
              </w:rPr>
              <w:t>[</w:t>
            </w:r>
            <w:r w:rsidRPr="004C7357">
              <w:rPr>
                <w:lang w:val="de-DE"/>
              </w:rPr>
              <w:t>1st</w:t>
            </w:r>
            <w:r w:rsidRPr="00792D61">
              <w:rPr>
                <w:b/>
                <w:lang w:val="de-DE"/>
              </w:rPr>
              <w:t>][</w:t>
            </w:r>
            <w:r w:rsidRPr="004C7357">
              <w:rPr>
                <w:lang w:val="de-DE"/>
              </w:rPr>
              <w:t>2nd</w:t>
            </w:r>
            <w:r w:rsidRPr="00792D61">
              <w:rPr>
                <w:b/>
                <w:lang w:val="de-DE"/>
              </w:rPr>
              <w:t>][</w:t>
            </w:r>
            <w:r w:rsidRPr="004C7357">
              <w:rPr>
                <w:lang w:val="de-DE"/>
              </w:rPr>
              <w:t>3rd</w:t>
            </w:r>
            <w:r w:rsidRPr="00792D61">
              <w:rPr>
                <w:b/>
                <w:lang w:val="de-DE"/>
              </w:rPr>
              <w:t>][[</w:t>
            </w:r>
            <w:r w:rsidRPr="004C7357">
              <w:rPr>
                <w:rFonts w:ascii="Arial" w:hAnsi="Arial" w:cs="Arial"/>
                <w:lang w:val="de-DE"/>
              </w:rPr>
              <w:t>●</w:t>
            </w:r>
            <w:r w:rsidRPr="00792D61">
              <w:rPr>
                <w:b/>
                <w:lang w:val="de-DE"/>
              </w:rPr>
              <w:t>]]]</w:t>
            </w:r>
            <w:r w:rsidRPr="004C7357">
              <w:rPr>
                <w:lang w:val="de-DE"/>
              </w:rPr>
              <w:t>-to-Default-Referenzschuldner (</w:t>
            </w:r>
            <w:r w:rsidRPr="00BD6E0D">
              <w:rPr>
                <w:i/>
                <w:lang w:val="de-DE"/>
              </w:rPr>
              <w:t>N</w:t>
            </w:r>
            <w:r w:rsidRPr="00BD6E0D">
              <w:rPr>
                <w:i/>
                <w:vertAlign w:val="superscript"/>
                <w:lang w:val="de-DE"/>
              </w:rPr>
              <w:t>th</w:t>
            </w:r>
            <w:r w:rsidRPr="00BD6E0D">
              <w:rPr>
                <w:i/>
                <w:lang w:val="de-DE"/>
              </w:rPr>
              <w:t>-to-Default Reference Entity</w:t>
            </w:r>
            <w:r w:rsidRPr="004C7357">
              <w:rPr>
                <w:lang w:val="de-DE"/>
              </w:rPr>
              <w:t>)</w:t>
            </w:r>
            <w:r w:rsidRPr="00792D61">
              <w:rPr>
                <w:b/>
                <w:lang w:val="de-DE"/>
              </w:rPr>
              <w:t>]</w:t>
            </w:r>
            <w:r w:rsidRPr="004C7357">
              <w:rPr>
                <w:lang w:val="de-DE"/>
              </w:rPr>
              <w:t xml:space="preserve"> dividiert durch den Referenzpreis (</w:t>
            </w:r>
            <w:r w:rsidRPr="00BD6E0D">
              <w:rPr>
                <w:i/>
                <w:lang w:val="de-DE"/>
              </w:rPr>
              <w:t>Reference Price</w:t>
            </w:r>
            <w:r w:rsidRPr="004C7357">
              <w:rPr>
                <w:lang w:val="de-DE"/>
              </w:rPr>
              <w:t>) (ausgedrückt in Prozent)</w:t>
            </w:r>
            <w:r>
              <w:rPr>
                <w:lang w:val="de-DE"/>
              </w:rPr>
              <w:t>, entspricht</w:t>
            </w:r>
            <w:r w:rsidRPr="004C7357">
              <w:rPr>
                <w:lang w:val="de-DE"/>
              </w:rPr>
              <w:t>, berechnet von der Berechnungsstelle nach der folgenden Formel:</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815842" w:rsidP="004C1EBA">
            <w:pPr>
              <w:pStyle w:val="CSBody8pt"/>
              <w:spacing w:before="120" w:after="120"/>
              <w:jc w:val="center"/>
              <w:rPr>
                <w:sz w:val="14"/>
                <w:szCs w:val="14"/>
                <w:lang w:val="de-DE"/>
              </w:rPr>
            </w:pPr>
            <m:oMath>
              <m:r>
                <w:rPr>
                  <w:rFonts w:ascii="Cambria Math" w:hAnsi="Cambria Math"/>
                  <w:sz w:val="14"/>
                  <w:szCs w:val="14"/>
                  <w:lang w:val="de-DE"/>
                </w:rPr>
                <m:t>Principal Amount×</m:t>
              </m:r>
              <m:d>
                <m:dPr>
                  <m:ctrlPr>
                    <w:rPr>
                      <w:rFonts w:ascii="Cambria Math" w:hAnsi="Cambria Math"/>
                      <w:i/>
                      <w:sz w:val="14"/>
                      <w:szCs w:val="14"/>
                      <w:lang w:val="de-DE"/>
                    </w:rPr>
                  </m:ctrlPr>
                </m:dPr>
                <m:e>
                  <m:f>
                    <m:fPr>
                      <m:ctrlPr>
                        <w:rPr>
                          <w:rFonts w:ascii="Cambria Math" w:hAnsi="Cambria Math"/>
                          <w:i/>
                          <w:sz w:val="14"/>
                          <w:szCs w:val="14"/>
                          <w:lang w:val="de-DE"/>
                        </w:rPr>
                      </m:ctrlPr>
                    </m:fPr>
                    <m:num>
                      <m:sSub>
                        <m:sSubPr>
                          <m:ctrlPr>
                            <w:rPr>
                              <w:rFonts w:ascii="Cambria Math" w:hAnsi="Cambria Math"/>
                              <w:i/>
                              <w:sz w:val="14"/>
                              <w:szCs w:val="14"/>
                              <w:lang w:val="de-DE"/>
                            </w:rPr>
                          </m:ctrlPr>
                        </m:sSubPr>
                        <m:e>
                          <m:r>
                            <w:rPr>
                              <w:rFonts w:ascii="Cambria Math" w:hAnsi="Cambria Math"/>
                              <w:sz w:val="14"/>
                              <w:szCs w:val="14"/>
                              <w:lang w:val="de-DE"/>
                            </w:rPr>
                            <m:t>Final Price</m:t>
                          </m:r>
                        </m:e>
                        <m:sub>
                          <m:d>
                            <m:dPr>
                              <m:begChr m:val="["/>
                              <m:endChr m:val="]"/>
                              <m:ctrlPr>
                                <w:rPr>
                                  <w:rFonts w:ascii="Cambria Math" w:hAnsi="Cambria Math"/>
                                  <w:i/>
                                  <w:sz w:val="14"/>
                                  <w:szCs w:val="14"/>
                                  <w:lang w:val="de-DE"/>
                                </w:rPr>
                              </m:ctrlPr>
                            </m:dPr>
                            <m:e>
                              <m:r>
                                <w:rPr>
                                  <w:rFonts w:ascii="Cambria Math" w:hAnsi="Cambria Math"/>
                                  <w:sz w:val="14"/>
                                  <w:szCs w:val="14"/>
                                  <w:lang w:val="de-DE"/>
                                </w:rPr>
                                <m:t>Nth-to-Default Refernce Entity</m:t>
                              </m:r>
                            </m:e>
                          </m:d>
                        </m:sub>
                      </m:sSub>
                    </m:num>
                    <m:den>
                      <m:r>
                        <w:rPr>
                          <w:rFonts w:ascii="Cambria Math" w:hAnsi="Cambria Math"/>
                          <w:sz w:val="14"/>
                          <w:szCs w:val="14"/>
                          <w:lang w:val="de-DE"/>
                        </w:rPr>
                        <m:t>Reference Price</m:t>
                      </m:r>
                    </m:den>
                  </m:f>
                </m:e>
              </m:d>
            </m:oMath>
            <w:r w:rsidRPr="00815842">
              <w:rPr>
                <w:rFonts w:eastAsiaTheme="minorEastAsia"/>
                <w:sz w:val="14"/>
                <w:szCs w:val="14"/>
                <w:lang w:val="de-DE"/>
              </w:rPr>
              <w:t xml:space="preserve"> </w:t>
            </w:r>
            <w:r w:rsidRPr="00815842">
              <w:rPr>
                <w:rFonts w:eastAsiaTheme="minorEastAsia"/>
                <w:b/>
                <w:sz w:val="14"/>
                <w:szCs w:val="14"/>
                <w:lang w:val="de-DE"/>
              </w:rPr>
              <w:t>]]]</w:t>
            </w:r>
          </w:p>
        </w:tc>
        <w:tc>
          <w:tcPr>
            <w:tcW w:w="4936" w:type="dxa"/>
            <w:gridSpan w:val="12"/>
            <w:tcBorders>
              <w:top w:val="nil"/>
              <w:bottom w:val="nil"/>
              <w:right w:val="nil"/>
            </w:tcBorders>
            <w:shd w:val="clear" w:color="auto" w:fill="auto"/>
          </w:tcPr>
          <w:p w:rsidR="0017135D" w:rsidRPr="00815842" w:rsidP="004C1EBA">
            <w:pPr>
              <w:pStyle w:val="CSBody8pt"/>
              <w:spacing w:before="120" w:after="120"/>
              <w:jc w:val="center"/>
              <w:rPr>
                <w:sz w:val="14"/>
                <w:szCs w:val="14"/>
                <w:lang w:val="de-DE"/>
              </w:rPr>
            </w:pPr>
            <m:oMath>
              <m:r>
                <w:rPr>
                  <w:rFonts w:ascii="Cambria Math" w:hAnsi="Cambria Math"/>
                  <w:sz w:val="14"/>
                  <w:szCs w:val="14"/>
                  <w:lang w:val="de-DE"/>
                </w:rPr>
                <m:t>Principal Amount×</m:t>
              </m:r>
              <m:d>
                <m:dPr>
                  <m:ctrlPr>
                    <w:rPr>
                      <w:rFonts w:ascii="Cambria Math" w:hAnsi="Cambria Math"/>
                      <w:i/>
                      <w:sz w:val="14"/>
                      <w:szCs w:val="14"/>
                      <w:lang w:val="de-DE"/>
                    </w:rPr>
                  </m:ctrlPr>
                </m:dPr>
                <m:e>
                  <m:f>
                    <m:fPr>
                      <m:ctrlPr>
                        <w:rPr>
                          <w:rFonts w:ascii="Cambria Math" w:hAnsi="Cambria Math"/>
                          <w:i/>
                          <w:sz w:val="14"/>
                          <w:szCs w:val="14"/>
                          <w:lang w:val="de-DE"/>
                        </w:rPr>
                      </m:ctrlPr>
                    </m:fPr>
                    <m:num>
                      <m:sSub>
                        <m:sSubPr>
                          <m:ctrlPr>
                            <w:rPr>
                              <w:rFonts w:ascii="Cambria Math" w:hAnsi="Cambria Math"/>
                              <w:i/>
                              <w:sz w:val="14"/>
                              <w:szCs w:val="14"/>
                              <w:lang w:val="de-DE"/>
                            </w:rPr>
                          </m:ctrlPr>
                        </m:sSubPr>
                        <m:e>
                          <m:r>
                            <w:rPr>
                              <w:rFonts w:ascii="Cambria Math" w:hAnsi="Cambria Math"/>
                              <w:sz w:val="14"/>
                              <w:szCs w:val="14"/>
                              <w:lang w:val="de-DE"/>
                            </w:rPr>
                            <m:t>Final Price</m:t>
                          </m:r>
                        </m:e>
                        <m:sub>
                          <m:d>
                            <m:dPr>
                              <m:begChr m:val="["/>
                              <m:endChr m:val="]"/>
                              <m:ctrlPr>
                                <w:rPr>
                                  <w:rFonts w:ascii="Cambria Math" w:hAnsi="Cambria Math"/>
                                  <w:i/>
                                  <w:sz w:val="14"/>
                                  <w:szCs w:val="14"/>
                                  <w:lang w:val="de-DE"/>
                                </w:rPr>
                              </m:ctrlPr>
                            </m:dPr>
                            <m:e>
                              <m:r>
                                <w:rPr>
                                  <w:rFonts w:ascii="Cambria Math" w:hAnsi="Cambria Math"/>
                                  <w:sz w:val="14"/>
                                  <w:szCs w:val="14"/>
                                  <w:lang w:val="de-DE"/>
                                </w:rPr>
                                <m:t>Nth-to-Default Refernce Entity</m:t>
                              </m:r>
                            </m:e>
                          </m:d>
                        </m:sub>
                      </m:sSub>
                    </m:num>
                    <m:den>
                      <m:r>
                        <w:rPr>
                          <w:rFonts w:ascii="Cambria Math" w:hAnsi="Cambria Math"/>
                          <w:sz w:val="14"/>
                          <w:szCs w:val="14"/>
                          <w:lang w:val="de-DE"/>
                        </w:rPr>
                        <m:t>Reference Price</m:t>
                      </m:r>
                    </m:den>
                  </m:f>
                </m:e>
              </m:d>
            </m:oMath>
            <w:r w:rsidRPr="00815842">
              <w:rPr>
                <w:rFonts w:eastAsiaTheme="minorEastAsia"/>
                <w:sz w:val="14"/>
                <w:szCs w:val="14"/>
                <w:lang w:val="de-DE"/>
              </w:rPr>
              <w:t xml:space="preserve"> </w:t>
            </w:r>
            <w:r w:rsidRPr="00815842">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815842" w:rsidP="00691EFE">
            <w:pPr>
              <w:pStyle w:val="CSBody8ptbolditalics"/>
              <w:rPr>
                <w:lang w:val="de-DE"/>
              </w:rPr>
            </w:pPr>
          </w:p>
        </w:tc>
        <w:tc>
          <w:tcPr>
            <w:tcW w:w="3315" w:type="dxa"/>
            <w:gridSpan w:val="7"/>
            <w:tcBorders>
              <w:top w:val="nil"/>
              <w:left w:val="nil"/>
              <w:bottom w:val="nil"/>
            </w:tcBorders>
            <w:shd w:val="clear" w:color="auto" w:fill="auto"/>
          </w:tcPr>
          <w:p w:rsidR="0017135D" w:rsidRPr="0060433E" w:rsidP="00691EFE">
            <w:pPr>
              <w:pStyle w:val="CSBody8ptbolditalics"/>
            </w:pPr>
            <w:r w:rsidRPr="00792D61">
              <w:t>[</w:t>
            </w:r>
            <w:r w:rsidRPr="0060433E">
              <w:t>if a Basket is applicable, insert:</w:t>
            </w:r>
          </w:p>
        </w:tc>
        <w:tc>
          <w:tcPr>
            <w:tcW w:w="1618" w:type="dxa"/>
            <w:gridSpan w:val="2"/>
            <w:tcBorders>
              <w:top w:val="nil"/>
              <w:bottom w:val="nil"/>
              <w:right w:val="nil"/>
            </w:tcBorders>
            <w:shd w:val="clear" w:color="auto" w:fill="auto"/>
          </w:tcPr>
          <w:p w:rsidR="0017135D" w:rsidRPr="004C7357" w:rsidP="00691EFE">
            <w:pPr>
              <w:pStyle w:val="CSBody8ptbolditalics"/>
            </w:pPr>
          </w:p>
        </w:tc>
        <w:tc>
          <w:tcPr>
            <w:tcW w:w="3318" w:type="dxa"/>
            <w:gridSpan w:val="10"/>
            <w:tcBorders>
              <w:top w:val="nil"/>
              <w:left w:val="nil"/>
              <w:bottom w:val="nil"/>
              <w:right w:val="nil"/>
            </w:tcBorders>
            <w:shd w:val="clear" w:color="auto" w:fill="auto"/>
          </w:tcPr>
          <w:p w:rsidR="0017135D" w:rsidRPr="004C7357" w:rsidP="00691EFE">
            <w:pPr>
              <w:pStyle w:val="CSBody8ptbolditalics"/>
              <w:rPr>
                <w:lang w:val="de-DE"/>
              </w:rPr>
            </w:pPr>
            <w:r w:rsidRPr="00792D61">
              <w:rPr>
                <w:lang w:val="de-DE"/>
              </w:rPr>
              <w:t>[</w:t>
            </w:r>
            <w:r w:rsidRPr="004C7357">
              <w:rPr>
                <w:lang w:val="de-DE"/>
              </w:rPr>
              <w:t>falls ein Korb anwendbar ist,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4C7357" w:rsidP="00691EFE">
            <w:pPr>
              <w:pStyle w:val="CSBody8pt"/>
              <w:rPr>
                <w:lang w:val="de-DE"/>
              </w:rPr>
            </w:pPr>
          </w:p>
        </w:tc>
        <w:tc>
          <w:tcPr>
            <w:tcW w:w="3315" w:type="dxa"/>
            <w:gridSpan w:val="7"/>
            <w:tcBorders>
              <w:top w:val="nil"/>
              <w:left w:val="nil"/>
              <w:bottom w:val="nil"/>
            </w:tcBorders>
            <w:shd w:val="clear" w:color="auto" w:fill="auto"/>
          </w:tcPr>
          <w:p w:rsidR="0017135D" w:rsidP="004C1EBA">
            <w:pPr>
              <w:pStyle w:val="CSBody8pt"/>
            </w:pPr>
            <w:r w:rsidRPr="0060433E">
              <w:t xml:space="preserve">with respect to any Affected Reference Entity, a cash amount equal to the product of </w:t>
            </w:r>
            <w:r>
              <w:t xml:space="preserve">(i) </w:t>
            </w:r>
            <w:r w:rsidRPr="0060433E">
              <w:t xml:space="preserve">the Reference Entity Principal Amount of such Affected Reference Entity and </w:t>
            </w:r>
            <w:r>
              <w:t xml:space="preserve">(ii) </w:t>
            </w:r>
            <w:r w:rsidRPr="0060433E">
              <w:t>the ratio of the Final Price (expressed as a percentage) with respect to such Affected Reference Entity divided by the Reference Price (expressed as a percentage), calculated by the Calculation Agent in accordance with the following formula:</w:t>
            </w:r>
          </w:p>
        </w:tc>
        <w:tc>
          <w:tcPr>
            <w:tcW w:w="1618" w:type="dxa"/>
            <w:gridSpan w:val="2"/>
            <w:tcBorders>
              <w:top w:val="nil"/>
              <w:bottom w:val="nil"/>
              <w:right w:val="nil"/>
            </w:tcBorders>
            <w:shd w:val="clear" w:color="auto" w:fill="auto"/>
          </w:tcPr>
          <w:p w:rsidR="0017135D" w:rsidRPr="004C7357" w:rsidP="00691EFE">
            <w:pPr>
              <w:pStyle w:val="CSBody8pt"/>
              <w:rPr>
                <w:i/>
              </w:rPr>
            </w:pPr>
          </w:p>
        </w:tc>
        <w:tc>
          <w:tcPr>
            <w:tcW w:w="3318" w:type="dxa"/>
            <w:gridSpan w:val="10"/>
            <w:tcBorders>
              <w:top w:val="nil"/>
              <w:left w:val="nil"/>
              <w:bottom w:val="nil"/>
              <w:right w:val="nil"/>
            </w:tcBorders>
            <w:shd w:val="clear" w:color="auto" w:fill="auto"/>
          </w:tcPr>
          <w:p w:rsidR="0017135D" w:rsidRPr="004C7357" w:rsidP="004C1EBA">
            <w:pPr>
              <w:pStyle w:val="CSBody8pt"/>
              <w:rPr>
                <w:lang w:val="de-DE"/>
              </w:rPr>
            </w:pPr>
            <w:r w:rsidRPr="004C7357">
              <w:rPr>
                <w:lang w:val="de-DE"/>
              </w:rPr>
              <w:t>in Bezug auf einen Betroffenen Referenzschuldner ein Geldbetrag, der dem Produkt aus dem</w:t>
            </w:r>
            <w:r>
              <w:rPr>
                <w:lang w:val="de-DE"/>
              </w:rPr>
              <w:t xml:space="preserve"> (i)</w:t>
            </w:r>
            <w:r w:rsidRPr="004C7357">
              <w:rPr>
                <w:lang w:val="de-DE"/>
              </w:rPr>
              <w:t xml:space="preserve"> Referenzschuldner-Nennbetrag (Reference Entity Principal Amount) dieses Betroffenen Referenzschuldners und </w:t>
            </w:r>
            <w:r>
              <w:rPr>
                <w:lang w:val="de-DE"/>
              </w:rPr>
              <w:t xml:space="preserve">(ii) </w:t>
            </w:r>
            <w:r w:rsidRPr="004C7357">
              <w:rPr>
                <w:lang w:val="de-DE"/>
              </w:rPr>
              <w:t>dem Verhältnis des Endpreises (Final Price) (ausgedrückt in Prozent) in Bezug auf diesen Betroffenen Referenzschuldner dividiert durch den Referenzpreis (Reference Price) (ausgedrückt in Prozent)</w:t>
            </w:r>
            <w:r>
              <w:rPr>
                <w:lang w:val="de-DE"/>
              </w:rPr>
              <w:t>, entspricht</w:t>
            </w:r>
            <w:r w:rsidRPr="004C7357">
              <w:rPr>
                <w:lang w:val="de-DE"/>
              </w:rPr>
              <w:t>, berechnet von der Berechnungsstelle nach der folgenden Formel:</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263AB8" w:rsidP="004C1EBA">
            <w:pPr>
              <w:pStyle w:val="CSBody8pt"/>
              <w:spacing w:before="120" w:after="120"/>
              <w:jc w:val="center"/>
              <w:rPr>
                <w:sz w:val="14"/>
                <w:szCs w:val="14"/>
                <w:lang w:val="de-DE"/>
              </w:rPr>
            </w:pPr>
            <m:oMath>
              <m:r>
                <w:rPr>
                  <w:rFonts w:ascii="Cambria Math" w:hAnsi="Cambria Math" w:eastAsiaTheme="minorEastAsia"/>
                  <w:sz w:val="14"/>
                  <w:szCs w:val="14"/>
                </w:rPr>
                <m:t>Reference</m:t>
              </m:r>
              <m:r>
                <w:rPr>
                  <w:rFonts w:ascii="Cambria Math" w:hAnsi="Cambria Math" w:eastAsiaTheme="minorEastAsia"/>
                  <w:sz w:val="14"/>
                  <w:szCs w:val="14"/>
                  <w:lang w:val="de-DE"/>
                </w:rPr>
                <m:t xml:space="preserve"> </m:t>
              </m:r>
              <m:r>
                <w:rPr>
                  <w:rFonts w:ascii="Cambria Math" w:hAnsi="Cambria Math" w:eastAsiaTheme="minorEastAsia"/>
                  <w:sz w:val="14"/>
                  <w:szCs w:val="14"/>
                </w:rPr>
                <m:t>Entity</m:t>
              </m:r>
              <m:r>
                <w:rPr>
                  <w:rFonts w:ascii="Cambria Math" w:hAnsi="Cambria Math" w:eastAsiaTheme="minorEastAsia"/>
                  <w:sz w:val="14"/>
                  <w:szCs w:val="14"/>
                  <w:lang w:val="de-DE"/>
                </w:rPr>
                <m:t xml:space="preserve"> </m:t>
              </m:r>
              <m:r>
                <w:rPr>
                  <w:rFonts w:ascii="Cambria Math" w:hAnsi="Cambria Math" w:eastAsiaTheme="minorEastAsia"/>
                  <w:sz w:val="14"/>
                  <w:szCs w:val="14"/>
                </w:rPr>
                <m:t>Principal</m:t>
              </m:r>
              <m:r>
                <w:rPr>
                  <w:rFonts w:ascii="Cambria Math" w:hAnsi="Cambria Math" w:eastAsiaTheme="minorEastAsia"/>
                  <w:sz w:val="14"/>
                  <w:szCs w:val="14"/>
                  <w:lang w:val="de-DE"/>
                </w:rPr>
                <m:t xml:space="preserve"> </m:t>
              </m:r>
              <m:r>
                <w:rPr>
                  <w:rFonts w:ascii="Cambria Math" w:hAnsi="Cambria Math" w:eastAsiaTheme="minorEastAsia"/>
                  <w:sz w:val="14"/>
                  <w:szCs w:val="14"/>
                </w:rPr>
                <m:t>Amount</m:t>
              </m:r>
              <m:r>
                <w:rPr>
                  <w:rFonts w:ascii="Cambria Math" w:hAnsi="Cambria Math" w:eastAsiaTheme="minorEastAsia"/>
                  <w:sz w:val="14"/>
                  <w:szCs w:val="14"/>
                  <w:lang w:val="de-DE"/>
                </w:rPr>
                <m:t>×</m:t>
              </m:r>
              <m:d>
                <m:dPr>
                  <m:ctrlPr>
                    <w:rPr>
                      <w:rFonts w:ascii="Cambria Math" w:hAnsi="Cambria Math" w:eastAsiaTheme="minorEastAsia"/>
                      <w:i/>
                      <w:sz w:val="14"/>
                      <w:szCs w:val="14"/>
                      <w:lang w:val="de-DE"/>
                    </w:rPr>
                  </m:ctrlPr>
                </m:dPr>
                <m:e>
                  <m:f>
                    <m:fPr>
                      <m:ctrlPr>
                        <w:rPr>
                          <w:rFonts w:ascii="Cambria Math" w:hAnsi="Cambria Math" w:eastAsiaTheme="minorEastAsia"/>
                          <w:i/>
                          <w:sz w:val="14"/>
                          <w:szCs w:val="14"/>
                          <w:lang w:val="de-DE"/>
                        </w:rPr>
                      </m:ctrlPr>
                    </m:fPr>
                    <m:num>
                      <m:r>
                        <w:rPr>
                          <w:rFonts w:ascii="Cambria Math" w:hAnsi="Cambria Math" w:eastAsiaTheme="minorEastAsia"/>
                          <w:sz w:val="14"/>
                          <w:szCs w:val="14"/>
                          <w:lang w:val="de-DE"/>
                        </w:rPr>
                        <m:t>Final Price</m:t>
                      </m:r>
                    </m:num>
                    <m:den>
                      <m:r>
                        <w:rPr>
                          <w:rFonts w:ascii="Cambria Math" w:hAnsi="Cambria Math" w:eastAsiaTheme="minorEastAsia"/>
                          <w:sz w:val="14"/>
                          <w:szCs w:val="14"/>
                          <w:lang w:val="de-DE"/>
                        </w:rPr>
                        <m:t>Reference Price</m:t>
                      </m:r>
                    </m:den>
                  </m:f>
                </m:e>
              </m:d>
            </m:oMath>
            <w:r w:rsidRPr="00263AB8">
              <w:rPr>
                <w:rFonts w:eastAsiaTheme="minorEastAsia"/>
                <w:sz w:val="14"/>
                <w:szCs w:val="14"/>
                <w:lang w:val="de-DE"/>
              </w:rPr>
              <w:t xml:space="preserve"> </w:t>
            </w:r>
            <w:r w:rsidRPr="00263AB8">
              <w:rPr>
                <w:rFonts w:eastAsiaTheme="minorEastAsia"/>
                <w:b/>
                <w:sz w:val="14"/>
                <w:szCs w:val="14"/>
                <w:lang w:val="de-DE"/>
              </w:rPr>
              <w:t>]]]]</w:t>
            </w:r>
          </w:p>
        </w:tc>
        <w:tc>
          <w:tcPr>
            <w:tcW w:w="4936" w:type="dxa"/>
            <w:gridSpan w:val="12"/>
            <w:tcBorders>
              <w:top w:val="nil"/>
              <w:bottom w:val="nil"/>
              <w:right w:val="nil"/>
            </w:tcBorders>
            <w:shd w:val="clear" w:color="auto" w:fill="auto"/>
          </w:tcPr>
          <w:p w:rsidR="0017135D" w:rsidRPr="00263AB8" w:rsidP="004C1EBA">
            <w:pPr>
              <w:pStyle w:val="CSBody8pt"/>
              <w:spacing w:before="120" w:after="120"/>
              <w:jc w:val="center"/>
              <w:rPr>
                <w:sz w:val="14"/>
                <w:szCs w:val="14"/>
                <w:lang w:val="de-DE"/>
              </w:rPr>
            </w:pPr>
            <m:oMath>
              <m:r>
                <w:rPr>
                  <w:rFonts w:ascii="Cambria Math" w:hAnsi="Cambria Math" w:eastAsiaTheme="minorEastAsia"/>
                  <w:sz w:val="14"/>
                  <w:szCs w:val="14"/>
                </w:rPr>
                <m:t>Reference</m:t>
              </m:r>
              <m:r>
                <w:rPr>
                  <w:rFonts w:ascii="Cambria Math" w:hAnsi="Cambria Math" w:eastAsiaTheme="minorEastAsia"/>
                  <w:sz w:val="14"/>
                  <w:szCs w:val="14"/>
                  <w:lang w:val="de-DE"/>
                </w:rPr>
                <m:t xml:space="preserve"> </m:t>
              </m:r>
              <m:r>
                <w:rPr>
                  <w:rFonts w:ascii="Cambria Math" w:hAnsi="Cambria Math" w:eastAsiaTheme="minorEastAsia"/>
                  <w:sz w:val="14"/>
                  <w:szCs w:val="14"/>
                </w:rPr>
                <m:t>Entity</m:t>
              </m:r>
              <m:r>
                <w:rPr>
                  <w:rFonts w:ascii="Cambria Math" w:hAnsi="Cambria Math" w:eastAsiaTheme="minorEastAsia"/>
                  <w:sz w:val="14"/>
                  <w:szCs w:val="14"/>
                  <w:lang w:val="de-DE"/>
                </w:rPr>
                <m:t xml:space="preserve"> </m:t>
              </m:r>
              <m:r>
                <w:rPr>
                  <w:rFonts w:ascii="Cambria Math" w:hAnsi="Cambria Math" w:eastAsiaTheme="minorEastAsia"/>
                  <w:sz w:val="14"/>
                  <w:szCs w:val="14"/>
                </w:rPr>
                <m:t>Principal</m:t>
              </m:r>
              <m:r>
                <w:rPr>
                  <w:rFonts w:ascii="Cambria Math" w:hAnsi="Cambria Math" w:eastAsiaTheme="minorEastAsia"/>
                  <w:sz w:val="14"/>
                  <w:szCs w:val="14"/>
                  <w:lang w:val="de-DE"/>
                </w:rPr>
                <m:t xml:space="preserve"> </m:t>
              </m:r>
              <m:r>
                <w:rPr>
                  <w:rFonts w:ascii="Cambria Math" w:hAnsi="Cambria Math" w:eastAsiaTheme="minorEastAsia"/>
                  <w:sz w:val="14"/>
                  <w:szCs w:val="14"/>
                </w:rPr>
                <m:t>Amount</m:t>
              </m:r>
              <m:r>
                <w:rPr>
                  <w:rFonts w:ascii="Cambria Math" w:hAnsi="Cambria Math" w:eastAsiaTheme="minorEastAsia"/>
                  <w:sz w:val="14"/>
                  <w:szCs w:val="14"/>
                  <w:lang w:val="de-DE"/>
                </w:rPr>
                <m:t>×</m:t>
              </m:r>
              <m:d>
                <m:dPr>
                  <m:ctrlPr>
                    <w:rPr>
                      <w:rFonts w:ascii="Cambria Math" w:hAnsi="Cambria Math" w:eastAsiaTheme="minorEastAsia"/>
                      <w:i/>
                      <w:sz w:val="14"/>
                      <w:szCs w:val="14"/>
                      <w:lang w:val="de-DE"/>
                    </w:rPr>
                  </m:ctrlPr>
                </m:dPr>
                <m:e>
                  <m:f>
                    <m:fPr>
                      <m:ctrlPr>
                        <w:rPr>
                          <w:rFonts w:ascii="Cambria Math" w:hAnsi="Cambria Math" w:eastAsiaTheme="minorEastAsia"/>
                          <w:i/>
                          <w:sz w:val="14"/>
                          <w:szCs w:val="14"/>
                          <w:lang w:val="de-DE"/>
                        </w:rPr>
                      </m:ctrlPr>
                    </m:fPr>
                    <m:num>
                      <m:r>
                        <w:rPr>
                          <w:rFonts w:ascii="Cambria Math" w:hAnsi="Cambria Math" w:eastAsiaTheme="minorEastAsia"/>
                          <w:sz w:val="14"/>
                          <w:szCs w:val="14"/>
                          <w:lang w:val="de-DE"/>
                        </w:rPr>
                        <m:t>Final Price</m:t>
                      </m:r>
                    </m:num>
                    <m:den>
                      <m:r>
                        <w:rPr>
                          <w:rFonts w:ascii="Cambria Math" w:hAnsi="Cambria Math" w:eastAsiaTheme="minorEastAsia"/>
                          <w:sz w:val="14"/>
                          <w:szCs w:val="14"/>
                          <w:lang w:val="de-DE"/>
                        </w:rPr>
                        <m:t>Reference Price</m:t>
                      </m:r>
                    </m:den>
                  </m:f>
                </m:e>
              </m:d>
            </m:oMath>
            <w:r w:rsidRPr="00263AB8">
              <w:rPr>
                <w:rFonts w:eastAsiaTheme="minorEastAsia"/>
                <w:sz w:val="14"/>
                <w:szCs w:val="14"/>
                <w:lang w:val="de-DE"/>
              </w:rPr>
              <w:t xml:space="preserve"> </w:t>
            </w:r>
            <w:r w:rsidRPr="00263AB8">
              <w:rPr>
                <w:rFonts w:eastAsiaTheme="minorEastAsia"/>
                <w:b/>
                <w:sz w:val="14"/>
                <w:szCs w:val="14"/>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177C50" w:rsidP="00691EFE">
            <w:pPr>
              <w:pStyle w:val="CSbody0bold"/>
            </w:pPr>
            <w:r w:rsidRPr="00177C50">
              <w:t>C.5</w:t>
            </w:r>
          </w:p>
        </w:tc>
        <w:tc>
          <w:tcPr>
            <w:tcW w:w="3315" w:type="dxa"/>
            <w:gridSpan w:val="7"/>
            <w:tcBorders>
              <w:top w:val="nil"/>
              <w:left w:val="nil"/>
              <w:bottom w:val="nil"/>
            </w:tcBorders>
            <w:shd w:val="clear" w:color="auto" w:fill="auto"/>
          </w:tcPr>
          <w:p w:rsidR="0017135D" w:rsidP="00691EFE">
            <w:pPr>
              <w:pStyle w:val="CSbody0bold"/>
            </w:pPr>
            <w:r w:rsidRPr="00177C50">
              <w:t>General Redemption Definitions</w:t>
            </w:r>
          </w:p>
        </w:tc>
        <w:tc>
          <w:tcPr>
            <w:tcW w:w="1618" w:type="dxa"/>
            <w:gridSpan w:val="2"/>
            <w:tcBorders>
              <w:top w:val="nil"/>
              <w:bottom w:val="nil"/>
              <w:right w:val="nil"/>
            </w:tcBorders>
            <w:shd w:val="clear" w:color="auto" w:fill="auto"/>
          </w:tcPr>
          <w:p w:rsidR="0017135D" w:rsidRPr="002A5F3D" w:rsidP="00691EFE">
            <w:pPr>
              <w:pStyle w:val="CSbody0bold"/>
            </w:pPr>
            <w:r w:rsidRPr="002A5F3D">
              <w:t>C.5</w:t>
            </w:r>
          </w:p>
        </w:tc>
        <w:tc>
          <w:tcPr>
            <w:tcW w:w="3318" w:type="dxa"/>
            <w:gridSpan w:val="10"/>
            <w:tcBorders>
              <w:top w:val="nil"/>
              <w:left w:val="nil"/>
              <w:bottom w:val="nil"/>
              <w:right w:val="nil"/>
            </w:tcBorders>
            <w:shd w:val="clear" w:color="auto" w:fill="auto"/>
          </w:tcPr>
          <w:p w:rsidR="0017135D" w:rsidP="00691EFE">
            <w:pPr>
              <w:pStyle w:val="CSbody0bold"/>
            </w:pPr>
            <w:r w:rsidRPr="002A5F3D">
              <w:t>Allgemeine Rückzahlungsdefinitionen</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A965EF" w:rsidP="00691EFE">
            <w:pPr>
              <w:pStyle w:val="CSBody8ptbolditalics"/>
            </w:pPr>
            <w:r w:rsidRPr="00792D61">
              <w:t>[</w:t>
            </w:r>
            <w:r w:rsidRPr="00A965EF">
              <w:t>in the case of Complex Products with N</w:t>
            </w:r>
            <w:r w:rsidRPr="00BD6E0D">
              <w:rPr>
                <w:vertAlign w:val="superscript"/>
              </w:rPr>
              <w:t>th</w:t>
            </w:r>
            <w:r w:rsidRPr="00A965EF">
              <w:t>-to-Default structure, insert:</w:t>
            </w:r>
          </w:p>
        </w:tc>
        <w:tc>
          <w:tcPr>
            <w:tcW w:w="4936" w:type="dxa"/>
            <w:gridSpan w:val="12"/>
            <w:tcBorders>
              <w:top w:val="nil"/>
              <w:bottom w:val="nil"/>
              <w:right w:val="nil"/>
            </w:tcBorders>
            <w:shd w:val="clear" w:color="auto" w:fill="auto"/>
          </w:tcPr>
          <w:p w:rsidR="0017135D" w:rsidRPr="00E114C1" w:rsidP="00691EFE">
            <w:pPr>
              <w:pStyle w:val="CSBody8ptbolditalics"/>
              <w:rPr>
                <w:lang w:val="de-DE"/>
              </w:rPr>
            </w:pPr>
            <w:r w:rsidRPr="00792D61">
              <w:rPr>
                <w:lang w:val="de-DE"/>
              </w:rPr>
              <w:t>[</w:t>
            </w:r>
            <w:r w:rsidRPr="00E114C1">
              <w:rPr>
                <w:lang w:val="de-DE"/>
              </w:rPr>
              <w:t>bei Komplexen Produkten mit N</w:t>
            </w:r>
            <w:r w:rsidRPr="00BD6E0D">
              <w:rPr>
                <w:vertAlign w:val="superscript"/>
                <w:lang w:val="de-DE"/>
              </w:rPr>
              <w:t>th</w:t>
            </w:r>
            <w:r w:rsidRPr="00E114C1">
              <w:rPr>
                <w:lang w:val="de-DE"/>
              </w:rPr>
              <w:t>-to-Default-Struktur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91EFE" w:rsidP="00691EFE">
            <w:pPr>
              <w:pStyle w:val="CSBody8pt"/>
            </w:pPr>
            <w:r w:rsidRPr="00792D61">
              <w:rPr>
                <w:b/>
              </w:rPr>
              <w:t>[</w:t>
            </w:r>
            <w:r w:rsidRPr="00691EFE">
              <w:rPr>
                <w:b/>
                <w:i/>
              </w:rPr>
              <w:t>insert relevant number:</w:t>
            </w:r>
            <w:r w:rsidRPr="00691EFE">
              <w:t xml:space="preserve"> </w:t>
            </w:r>
            <w:r w:rsidRPr="00792D61">
              <w:rPr>
                <w:b/>
              </w:rPr>
              <w:t>[</w:t>
            </w:r>
            <w:r w:rsidRPr="00691EFE">
              <w:t>1st</w:t>
            </w:r>
            <w:r w:rsidRPr="00792D61">
              <w:rPr>
                <w:b/>
              </w:rPr>
              <w:t>][</w:t>
            </w:r>
            <w:r w:rsidRPr="00691EFE">
              <w:t>2nd</w:t>
            </w:r>
            <w:r w:rsidRPr="00792D61">
              <w:rPr>
                <w:b/>
              </w:rPr>
              <w:t>][</w:t>
            </w:r>
            <w:r w:rsidRPr="00691EFE">
              <w:t>3rd</w:t>
            </w:r>
            <w:r w:rsidRPr="00792D61">
              <w:rPr>
                <w:b/>
              </w:rPr>
              <w:t>][[</w:t>
            </w:r>
            <w:r w:rsidRPr="00691EFE">
              <w:rPr>
                <w:rFonts w:ascii="Arial" w:hAnsi="Arial" w:cs="Arial"/>
              </w:rPr>
              <w:t>●</w:t>
            </w:r>
            <w:r w:rsidRPr="00792D61">
              <w:rPr>
                <w:b/>
              </w:rPr>
              <w:t>]]]</w:t>
            </w:r>
            <w:r w:rsidRPr="00691EFE">
              <w:t>-to-Default Reference Entity</w:t>
            </w:r>
          </w:p>
        </w:tc>
        <w:tc>
          <w:tcPr>
            <w:tcW w:w="3315" w:type="dxa"/>
            <w:gridSpan w:val="7"/>
            <w:tcBorders>
              <w:top w:val="nil"/>
              <w:left w:val="nil"/>
              <w:bottom w:val="nil"/>
            </w:tcBorders>
            <w:shd w:val="clear" w:color="auto" w:fill="auto"/>
          </w:tcPr>
          <w:p w:rsidR="0017135D" w:rsidRPr="00691EFE" w:rsidP="00691EFE">
            <w:pPr>
              <w:pStyle w:val="CSBody8pt"/>
            </w:pPr>
            <w:r w:rsidRPr="00691EFE">
              <w:t xml:space="preserve">the </w:t>
            </w:r>
            <w:r w:rsidRPr="00792D61">
              <w:rPr>
                <w:b/>
              </w:rPr>
              <w:t>[</w:t>
            </w:r>
            <w:r w:rsidRPr="00691EFE">
              <w:rPr>
                <w:b/>
                <w:i/>
              </w:rPr>
              <w:t xml:space="preserve">insert relevant number: </w:t>
            </w:r>
            <w:r w:rsidRPr="00792D61">
              <w:rPr>
                <w:b/>
              </w:rPr>
              <w:t>[</w:t>
            </w:r>
            <w:r w:rsidRPr="00691EFE">
              <w:t>1st</w:t>
            </w:r>
            <w:r w:rsidRPr="00792D61">
              <w:rPr>
                <w:b/>
              </w:rPr>
              <w:t>][</w:t>
            </w:r>
            <w:r w:rsidRPr="00691EFE">
              <w:t>2nd</w:t>
            </w:r>
            <w:r w:rsidRPr="00792D61">
              <w:rPr>
                <w:b/>
              </w:rPr>
              <w:t>][</w:t>
            </w:r>
            <w:r w:rsidRPr="00691EFE">
              <w:t>3rd</w:t>
            </w:r>
            <w:r w:rsidRPr="00792D61">
              <w:rPr>
                <w:b/>
              </w:rPr>
              <w:t>][[</w:t>
            </w:r>
            <w:r w:rsidRPr="00691EFE">
              <w:rPr>
                <w:rFonts w:ascii="Arial" w:hAnsi="Arial" w:cs="Arial"/>
              </w:rPr>
              <w:t>●</w:t>
            </w:r>
            <w:r w:rsidRPr="00792D61">
              <w:rPr>
                <w:b/>
              </w:rPr>
              <w:t>]]]</w:t>
            </w:r>
            <w:r w:rsidRPr="00691EFE">
              <w:t xml:space="preserve"> Reference Entity with respect to which a Credit Event Determination Date occurs.</w:t>
            </w:r>
          </w:p>
        </w:tc>
        <w:tc>
          <w:tcPr>
            <w:tcW w:w="1618" w:type="dxa"/>
            <w:gridSpan w:val="2"/>
            <w:tcBorders>
              <w:top w:val="nil"/>
              <w:bottom w:val="nil"/>
              <w:right w:val="nil"/>
            </w:tcBorders>
            <w:shd w:val="clear" w:color="auto" w:fill="auto"/>
          </w:tcPr>
          <w:p w:rsidR="0017135D" w:rsidRPr="000C557A" w:rsidP="00F134DE">
            <w:pPr>
              <w:pStyle w:val="CSBody8pt"/>
              <w:rPr>
                <w:lang w:val="de-DE"/>
              </w:rPr>
            </w:pPr>
            <w:r w:rsidRPr="00792D61">
              <w:rPr>
                <w:b/>
                <w:lang w:val="de-DE"/>
              </w:rPr>
              <w:t>[</w:t>
            </w:r>
            <w:r w:rsidRPr="000C557A">
              <w:rPr>
                <w:b/>
                <w:i/>
                <w:lang w:val="de-DE"/>
              </w:rPr>
              <w:t>jeweilige Zahl einfügen:</w:t>
            </w:r>
            <w:r w:rsidRPr="000C557A">
              <w:rPr>
                <w:lang w:val="de-DE"/>
              </w:rPr>
              <w:t xml:space="preserve"> </w:t>
            </w:r>
            <w:r w:rsidRPr="00792D61">
              <w:rPr>
                <w:b/>
                <w:lang w:val="de-DE"/>
              </w:rPr>
              <w:t>[</w:t>
            </w:r>
            <w:r w:rsidRPr="000C557A">
              <w:rPr>
                <w:lang w:val="de-DE"/>
              </w:rPr>
              <w:t>1st</w:t>
            </w:r>
            <w:r w:rsidRPr="00792D61">
              <w:rPr>
                <w:b/>
                <w:lang w:val="de-DE"/>
              </w:rPr>
              <w:t>][</w:t>
            </w:r>
            <w:r w:rsidRPr="000C557A">
              <w:rPr>
                <w:lang w:val="de-DE"/>
              </w:rPr>
              <w:t>2nd</w:t>
            </w:r>
            <w:r w:rsidRPr="00792D61">
              <w:rPr>
                <w:b/>
                <w:lang w:val="de-DE"/>
              </w:rPr>
              <w:t>][</w:t>
            </w:r>
            <w:r w:rsidRPr="000C557A">
              <w:rPr>
                <w:lang w:val="de-DE"/>
              </w:rPr>
              <w:t>3rd</w:t>
            </w:r>
            <w:r w:rsidRPr="00792D61">
              <w:rPr>
                <w:b/>
                <w:lang w:val="de-DE"/>
              </w:rPr>
              <w:t>][[</w:t>
            </w:r>
            <w:r w:rsidRPr="000C557A">
              <w:rPr>
                <w:rFonts w:ascii="Arial" w:hAnsi="Arial" w:cs="Arial"/>
                <w:lang w:val="de-DE"/>
              </w:rPr>
              <w:t>●</w:t>
            </w:r>
            <w:r w:rsidRPr="00792D61">
              <w:rPr>
                <w:b/>
                <w:lang w:val="de-DE"/>
              </w:rPr>
              <w:t>]]]</w:t>
            </w:r>
            <w:r w:rsidRPr="000C557A">
              <w:rPr>
                <w:lang w:val="de-DE"/>
              </w:rPr>
              <w:t>-to-Default-Referenzschuldner</w:t>
            </w:r>
          </w:p>
        </w:tc>
        <w:tc>
          <w:tcPr>
            <w:tcW w:w="3318" w:type="dxa"/>
            <w:gridSpan w:val="10"/>
            <w:tcBorders>
              <w:top w:val="nil"/>
              <w:left w:val="nil"/>
              <w:bottom w:val="nil"/>
              <w:right w:val="nil"/>
            </w:tcBorders>
            <w:shd w:val="clear" w:color="auto" w:fill="auto"/>
          </w:tcPr>
          <w:p w:rsidR="0017135D" w:rsidRPr="000C557A" w:rsidP="00691EFE">
            <w:pPr>
              <w:pStyle w:val="CSBody8pt"/>
              <w:rPr>
                <w:lang w:val="de-DE"/>
              </w:rPr>
            </w:pPr>
            <w:r w:rsidRPr="000C557A">
              <w:rPr>
                <w:lang w:val="de-DE"/>
              </w:rPr>
              <w:t xml:space="preserve">der </w:t>
            </w:r>
            <w:r w:rsidRPr="00792D61">
              <w:rPr>
                <w:b/>
                <w:lang w:val="de-DE"/>
              </w:rPr>
              <w:t>[</w:t>
            </w:r>
            <w:r w:rsidRPr="000C557A">
              <w:rPr>
                <w:b/>
                <w:i/>
                <w:lang w:val="de-DE"/>
              </w:rPr>
              <w:t xml:space="preserve">jeweilige Zahl einfügen: </w:t>
            </w:r>
            <w:r w:rsidRPr="00792D61">
              <w:rPr>
                <w:b/>
                <w:lang w:val="de-DE"/>
              </w:rPr>
              <w:t>[</w:t>
            </w:r>
            <w:r w:rsidRPr="000C557A">
              <w:rPr>
                <w:lang w:val="de-DE"/>
              </w:rPr>
              <w:t>1.</w:t>
            </w:r>
            <w:r w:rsidRPr="00792D61">
              <w:rPr>
                <w:b/>
                <w:lang w:val="de-DE"/>
              </w:rPr>
              <w:t>][</w:t>
            </w:r>
            <w:r w:rsidRPr="000C557A">
              <w:rPr>
                <w:lang w:val="de-DE"/>
              </w:rPr>
              <w:t>2.</w:t>
            </w:r>
            <w:r w:rsidRPr="00792D61">
              <w:rPr>
                <w:b/>
                <w:lang w:val="de-DE"/>
              </w:rPr>
              <w:t>][</w:t>
            </w:r>
            <w:r w:rsidRPr="000C557A">
              <w:rPr>
                <w:lang w:val="de-DE"/>
              </w:rPr>
              <w:t>3.</w:t>
            </w:r>
            <w:r w:rsidRPr="00792D61">
              <w:rPr>
                <w:b/>
                <w:lang w:val="de-DE"/>
              </w:rPr>
              <w:t>][[</w:t>
            </w:r>
            <w:r w:rsidRPr="000C557A">
              <w:rPr>
                <w:rFonts w:ascii="Arial" w:hAnsi="Arial" w:cs="Arial"/>
                <w:lang w:val="de-DE"/>
              </w:rPr>
              <w:t>●</w:t>
            </w:r>
            <w:r w:rsidRPr="00792D61">
              <w:rPr>
                <w:b/>
                <w:lang w:val="de-DE"/>
              </w:rPr>
              <w:t>]]]</w:t>
            </w:r>
            <w:r w:rsidRPr="000C557A">
              <w:rPr>
                <w:lang w:val="de-DE"/>
              </w:rPr>
              <w:t xml:space="preserve"> Referenzschuldner, in Bezug auf den ein Kreditereignis-Feststellungstag eintritt.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0C557A" w:rsidP="00691EFE">
            <w:pPr>
              <w:pStyle w:val="CSBody8pt"/>
              <w:rPr>
                <w:lang w:val="de-DE"/>
              </w:rPr>
            </w:pPr>
          </w:p>
        </w:tc>
        <w:tc>
          <w:tcPr>
            <w:tcW w:w="3315" w:type="dxa"/>
            <w:gridSpan w:val="7"/>
            <w:tcBorders>
              <w:top w:val="nil"/>
              <w:left w:val="nil"/>
              <w:bottom w:val="nil"/>
            </w:tcBorders>
            <w:shd w:val="clear" w:color="auto" w:fill="auto"/>
          </w:tcPr>
          <w:p w:rsidR="0017135D" w:rsidRPr="00691EFE" w:rsidP="00691EFE">
            <w:pPr>
              <w:pStyle w:val="CSBody8pt"/>
            </w:pPr>
            <w:r w:rsidRPr="00792D61">
              <w:rPr>
                <w:b/>
              </w:rPr>
              <w:t>[</w:t>
            </w:r>
            <w:r w:rsidRPr="00A62BBD">
              <w:t>If a Credit Event Determination Date occurs with respect to more than one Reference Entity on the same day and one of such Reference Entities will be the</w:t>
            </w:r>
            <w:r>
              <w:t xml:space="preserve"> </w:t>
            </w:r>
            <w:r w:rsidRPr="00792D61">
              <w:rPr>
                <w:b/>
              </w:rPr>
              <w:t>[</w:t>
            </w:r>
            <w:r w:rsidRPr="00A62BBD">
              <w:rPr>
                <w:b/>
                <w:i/>
              </w:rPr>
              <w:t>insert relevant number:</w:t>
            </w:r>
            <w:r w:rsidRPr="00A62BBD">
              <w:t xml:space="preserve"> </w:t>
            </w:r>
            <w:r w:rsidRPr="00792D61">
              <w:rPr>
                <w:b/>
              </w:rPr>
              <w:t>[</w:t>
            </w:r>
            <w:r w:rsidRPr="00A62BBD">
              <w:t>1st</w:t>
            </w:r>
            <w:r w:rsidRPr="00792D61">
              <w:rPr>
                <w:b/>
              </w:rPr>
              <w:t>][</w:t>
            </w:r>
            <w:r w:rsidRPr="00A62BBD">
              <w:t>2nd</w:t>
            </w:r>
            <w:r w:rsidRPr="00792D61">
              <w:rPr>
                <w:b/>
              </w:rPr>
              <w:t>][</w:t>
            </w:r>
            <w:r w:rsidRPr="00A62BBD">
              <w:t>3rd</w:t>
            </w:r>
            <w:r w:rsidRPr="00792D61">
              <w:rPr>
                <w:b/>
              </w:rPr>
              <w:t>][[</w:t>
            </w:r>
            <w:r w:rsidRPr="00A62BBD">
              <w:rPr>
                <w:rFonts w:ascii="Arial" w:hAnsi="Arial" w:cs="Arial"/>
              </w:rPr>
              <w:t>●</w:t>
            </w:r>
            <w:r w:rsidRPr="00792D61">
              <w:rPr>
                <w:b/>
              </w:rPr>
              <w:t>]]]</w:t>
            </w:r>
            <w:r w:rsidRPr="00A62BBD">
              <w:t>-to-Default Reference Entity, the Calculation Agent shall determine in its discretion which of such Reference Entities shall be the</w:t>
            </w:r>
            <w:r>
              <w:t xml:space="preserve"> </w:t>
            </w:r>
            <w:r w:rsidRPr="00792D61">
              <w:rPr>
                <w:b/>
              </w:rPr>
              <w:t>[</w:t>
            </w:r>
            <w:r w:rsidRPr="00A62BBD">
              <w:rPr>
                <w:b/>
                <w:i/>
              </w:rPr>
              <w:t>insert relevant number:</w:t>
            </w:r>
            <w:r w:rsidRPr="00A62BBD">
              <w:t xml:space="preserve"> </w:t>
            </w:r>
            <w:r w:rsidRPr="00792D61">
              <w:rPr>
                <w:b/>
              </w:rPr>
              <w:t>[</w:t>
            </w:r>
            <w:r w:rsidRPr="00A62BBD">
              <w:t>1st</w:t>
            </w:r>
            <w:r w:rsidRPr="00792D61">
              <w:rPr>
                <w:b/>
              </w:rPr>
              <w:t>][</w:t>
            </w:r>
            <w:r w:rsidRPr="00A62BBD">
              <w:t>2nd</w:t>
            </w:r>
            <w:r w:rsidRPr="00792D61">
              <w:rPr>
                <w:b/>
              </w:rPr>
              <w:t>][</w:t>
            </w:r>
            <w:r w:rsidRPr="00A62BBD">
              <w:t>3rd</w:t>
            </w:r>
            <w:r w:rsidRPr="00792D61">
              <w:rPr>
                <w:b/>
              </w:rPr>
              <w:t>][[</w:t>
            </w:r>
            <w:r w:rsidRPr="00A62BBD">
              <w:rPr>
                <w:rFonts w:ascii="Arial" w:hAnsi="Arial" w:cs="Arial"/>
              </w:rPr>
              <w:t>●</w:t>
            </w:r>
            <w:r w:rsidRPr="00792D61">
              <w:rPr>
                <w:b/>
              </w:rPr>
              <w:t>]]]</w:t>
            </w:r>
            <w:r w:rsidRPr="00A62BBD">
              <w:t>-to-Default Reference Entity.</w:t>
            </w:r>
            <w:r w:rsidRPr="00792D61">
              <w:rPr>
                <w:b/>
              </w:rPr>
              <w:t>]</w:t>
            </w:r>
          </w:p>
        </w:tc>
        <w:tc>
          <w:tcPr>
            <w:tcW w:w="1618" w:type="dxa"/>
            <w:gridSpan w:val="2"/>
            <w:tcBorders>
              <w:top w:val="nil"/>
              <w:bottom w:val="nil"/>
              <w:right w:val="nil"/>
            </w:tcBorders>
            <w:shd w:val="clear" w:color="auto" w:fill="auto"/>
          </w:tcPr>
          <w:p w:rsidR="0017135D" w:rsidRPr="00691EFE" w:rsidP="00691EFE">
            <w:pPr>
              <w:pStyle w:val="CSBody8pt"/>
            </w:pPr>
          </w:p>
        </w:tc>
        <w:tc>
          <w:tcPr>
            <w:tcW w:w="3318" w:type="dxa"/>
            <w:gridSpan w:val="10"/>
            <w:tcBorders>
              <w:top w:val="nil"/>
              <w:left w:val="nil"/>
              <w:bottom w:val="nil"/>
              <w:right w:val="nil"/>
            </w:tcBorders>
            <w:shd w:val="clear" w:color="auto" w:fill="auto"/>
          </w:tcPr>
          <w:p w:rsidR="0017135D" w:rsidRPr="00691EFE" w:rsidP="00691EFE">
            <w:pPr>
              <w:pStyle w:val="CSBody8pt"/>
            </w:pPr>
            <w:r w:rsidRPr="00792D61">
              <w:rPr>
                <w:b/>
                <w:lang w:val="de-DE"/>
              </w:rPr>
              <w:t>[</w:t>
            </w:r>
            <w:r w:rsidRPr="000C557A">
              <w:rPr>
                <w:lang w:val="de-DE"/>
              </w:rPr>
              <w:t xml:space="preserve">Falls ein Kreditereignis-Feststellungstag in Bezug auf mehr als einen Referenzschuldner am selben Tag eintritt und einer dieser Referenzschuldner der </w:t>
            </w:r>
            <w:r w:rsidRPr="00792D61">
              <w:rPr>
                <w:b/>
                <w:lang w:val="de-DE"/>
              </w:rPr>
              <w:t>[</w:t>
            </w:r>
            <w:r w:rsidRPr="000C557A">
              <w:rPr>
                <w:b/>
                <w:i/>
                <w:lang w:val="de-DE"/>
              </w:rPr>
              <w:t>jeweilige Zahl einfügen:</w:t>
            </w:r>
            <w:r w:rsidRPr="000C557A">
              <w:rPr>
                <w:lang w:val="de-DE"/>
              </w:rPr>
              <w:t xml:space="preserve"> </w:t>
            </w:r>
            <w:r w:rsidRPr="00792D61">
              <w:rPr>
                <w:b/>
                <w:lang w:val="de-DE"/>
              </w:rPr>
              <w:t>[</w:t>
            </w:r>
            <w:r w:rsidRPr="000C557A">
              <w:rPr>
                <w:lang w:val="de-DE"/>
              </w:rPr>
              <w:t>1.</w:t>
            </w:r>
            <w:r w:rsidRPr="00792D61">
              <w:rPr>
                <w:b/>
                <w:lang w:val="de-DE"/>
              </w:rPr>
              <w:t>][</w:t>
            </w:r>
            <w:r w:rsidRPr="000C557A">
              <w:rPr>
                <w:lang w:val="de-DE"/>
              </w:rPr>
              <w:t>2.</w:t>
            </w:r>
            <w:r w:rsidRPr="00792D61">
              <w:rPr>
                <w:b/>
                <w:lang w:val="de-DE"/>
              </w:rPr>
              <w:t>][</w:t>
            </w:r>
            <w:r w:rsidRPr="000C557A">
              <w:rPr>
                <w:lang w:val="de-DE"/>
              </w:rPr>
              <w:t>3.</w:t>
            </w:r>
            <w:r w:rsidRPr="00792D61">
              <w:rPr>
                <w:b/>
                <w:lang w:val="de-DE"/>
              </w:rPr>
              <w:t>][[</w:t>
            </w:r>
            <w:r w:rsidRPr="000C557A">
              <w:rPr>
                <w:rFonts w:ascii="Arial" w:hAnsi="Arial" w:cs="Arial"/>
                <w:lang w:val="de-DE"/>
              </w:rPr>
              <w:t>●</w:t>
            </w:r>
            <w:r w:rsidRPr="00792D61">
              <w:rPr>
                <w:b/>
                <w:lang w:val="de-DE"/>
              </w:rPr>
              <w:t>]]]</w:t>
            </w:r>
            <w:r w:rsidRPr="000C557A">
              <w:rPr>
                <w:lang w:val="de-DE"/>
              </w:rPr>
              <w:t xml:space="preserve"> Referenzschuldner sein wird, bestimmt die Berechnungsstelle nach ihrem Ermessen, welcher dieser Referenzschuldner der </w:t>
            </w:r>
            <w:r w:rsidRPr="00792D61">
              <w:rPr>
                <w:b/>
                <w:lang w:val="de-DE"/>
              </w:rPr>
              <w:t>[</w:t>
            </w:r>
            <w:r w:rsidRPr="000C557A">
              <w:rPr>
                <w:b/>
                <w:i/>
                <w:lang w:val="de-DE"/>
              </w:rPr>
              <w:t>jeweilige Zahl einfügen:</w:t>
            </w:r>
            <w:r w:rsidRPr="000C557A">
              <w:rPr>
                <w:lang w:val="de-DE"/>
              </w:rPr>
              <w:t xml:space="preserve"> </w:t>
            </w:r>
            <w:r w:rsidRPr="00792D61">
              <w:rPr>
                <w:b/>
                <w:lang w:val="de-DE"/>
              </w:rPr>
              <w:t>[</w:t>
            </w:r>
            <w:r w:rsidRPr="000C557A">
              <w:rPr>
                <w:lang w:val="de-DE"/>
              </w:rPr>
              <w:t>1.</w:t>
            </w:r>
            <w:r w:rsidRPr="00792D61">
              <w:rPr>
                <w:b/>
                <w:lang w:val="de-DE"/>
              </w:rPr>
              <w:t>][</w:t>
            </w:r>
            <w:r w:rsidRPr="000C557A">
              <w:rPr>
                <w:lang w:val="de-DE"/>
              </w:rPr>
              <w:t>2.</w:t>
            </w:r>
            <w:r w:rsidRPr="00792D61">
              <w:rPr>
                <w:b/>
                <w:lang w:val="de-DE"/>
              </w:rPr>
              <w:t>][</w:t>
            </w:r>
            <w:r w:rsidRPr="000C557A">
              <w:rPr>
                <w:lang w:val="de-DE"/>
              </w:rPr>
              <w:t>3.</w:t>
            </w:r>
            <w:r w:rsidRPr="00792D61">
              <w:rPr>
                <w:b/>
                <w:lang w:val="de-DE"/>
              </w:rPr>
              <w:t>][[</w:t>
            </w:r>
            <w:r w:rsidRPr="000C557A">
              <w:rPr>
                <w:rFonts w:ascii="Arial" w:hAnsi="Arial" w:cs="Arial"/>
                <w:lang w:val="de-DE"/>
              </w:rPr>
              <w:t>●</w:t>
            </w:r>
            <w:r w:rsidRPr="00792D61">
              <w:rPr>
                <w:b/>
                <w:lang w:val="de-DE"/>
              </w:rPr>
              <w:t>]]]</w:t>
            </w:r>
            <w:r w:rsidRPr="000C557A">
              <w:rPr>
                <w:lang w:val="de-DE"/>
              </w:rPr>
              <w:t xml:space="preserve"> </w:t>
            </w:r>
            <w:r w:rsidRPr="00691EFE">
              <w:t>Referenzschuldner sein soll.</w:t>
            </w:r>
            <w:r w:rsidRPr="00792D61">
              <w:rPr>
                <w:b/>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691EFE" w:rsidP="00691EFE">
            <w:pPr>
              <w:pStyle w:val="CSBody8pt"/>
            </w:pPr>
            <w:r w:rsidRPr="00691EFE">
              <w:t xml:space="preserve">Potential </w:t>
            </w:r>
            <w:r w:rsidRPr="00792D61">
              <w:rPr>
                <w:b/>
              </w:rPr>
              <w:t>[</w:t>
            </w:r>
            <w:r w:rsidRPr="00A62BBD">
              <w:rPr>
                <w:b/>
                <w:i/>
              </w:rPr>
              <w:t>insert relevant number:</w:t>
            </w:r>
            <w:r w:rsidRPr="00691EFE">
              <w:t xml:space="preserve"> </w:t>
            </w:r>
            <w:r w:rsidRPr="00792D61">
              <w:rPr>
                <w:b/>
              </w:rPr>
              <w:t>[</w:t>
            </w:r>
            <w:r w:rsidRPr="00691EFE">
              <w:t>1st</w:t>
            </w:r>
            <w:r w:rsidRPr="00792D61">
              <w:rPr>
                <w:b/>
              </w:rPr>
              <w:t>][</w:t>
            </w:r>
            <w:r w:rsidRPr="00691EFE">
              <w:t>2nd</w:t>
            </w:r>
            <w:r w:rsidRPr="00792D61">
              <w:rPr>
                <w:b/>
              </w:rPr>
              <w:t>][</w:t>
            </w:r>
            <w:r w:rsidRPr="00691EFE">
              <w:t>3rd</w:t>
            </w:r>
            <w:r w:rsidRPr="00792D61">
              <w:rPr>
                <w:b/>
              </w:rPr>
              <w:t>][[</w:t>
            </w:r>
            <w:r w:rsidRPr="00691EFE">
              <w:rPr>
                <w:rFonts w:ascii="Arial" w:hAnsi="Arial" w:cs="Arial"/>
              </w:rPr>
              <w:t>●</w:t>
            </w:r>
            <w:r w:rsidRPr="00792D61">
              <w:rPr>
                <w:b/>
              </w:rPr>
              <w:t>]]]</w:t>
            </w:r>
            <w:r w:rsidRPr="00691EFE">
              <w:t>-to-Default Reference Entity</w:t>
            </w:r>
          </w:p>
        </w:tc>
        <w:tc>
          <w:tcPr>
            <w:tcW w:w="3315" w:type="dxa"/>
            <w:gridSpan w:val="7"/>
            <w:tcBorders>
              <w:top w:val="nil"/>
              <w:left w:val="nil"/>
              <w:bottom w:val="nil"/>
            </w:tcBorders>
            <w:shd w:val="clear" w:color="auto" w:fill="auto"/>
          </w:tcPr>
          <w:p w:rsidR="0017135D" w:rsidRPr="00691EFE" w:rsidP="00691EFE">
            <w:pPr>
              <w:pStyle w:val="CSBody8pt"/>
            </w:pPr>
            <w:r w:rsidRPr="00691EFE">
              <w:t xml:space="preserve">with respect to </w:t>
            </w:r>
            <w:r w:rsidRPr="00792D61">
              <w:rPr>
                <w:b/>
              </w:rPr>
              <w:t>[</w:t>
            </w:r>
            <w:r w:rsidRPr="00691EFE">
              <w:t>any</w:t>
            </w:r>
            <w:r w:rsidRPr="00792D61">
              <w:rPr>
                <w:b/>
              </w:rPr>
              <w:t>][</w:t>
            </w:r>
            <w:r w:rsidRPr="00691EFE">
              <w:t>the</w:t>
            </w:r>
            <w:r w:rsidRPr="00792D61">
              <w:rPr>
                <w:b/>
              </w:rPr>
              <w:t>]</w:t>
            </w:r>
            <w:r w:rsidRPr="00691EFE">
              <w:t xml:space="preserve"> Interest Payment Date or the Scheduled Maturity Date, any Reference Entity with respect to which</w:t>
            </w:r>
          </w:p>
        </w:tc>
        <w:tc>
          <w:tcPr>
            <w:tcW w:w="1618" w:type="dxa"/>
            <w:gridSpan w:val="2"/>
            <w:tcBorders>
              <w:top w:val="nil"/>
              <w:bottom w:val="nil"/>
              <w:right w:val="nil"/>
            </w:tcBorders>
            <w:shd w:val="clear" w:color="auto" w:fill="auto"/>
          </w:tcPr>
          <w:p w:rsidR="0017135D" w:rsidRPr="000C557A" w:rsidP="00F134DE">
            <w:pPr>
              <w:pStyle w:val="CSBody8pt"/>
              <w:rPr>
                <w:lang w:val="de-DE"/>
              </w:rPr>
            </w:pPr>
            <w:r w:rsidRPr="000C557A">
              <w:rPr>
                <w:lang w:val="de-DE"/>
              </w:rPr>
              <w:t xml:space="preserve">Potenzieller </w:t>
            </w:r>
            <w:r w:rsidRPr="00792D61">
              <w:rPr>
                <w:b/>
                <w:lang w:val="de-DE"/>
              </w:rPr>
              <w:t>[</w:t>
            </w:r>
            <w:r w:rsidRPr="000C557A">
              <w:rPr>
                <w:b/>
                <w:i/>
                <w:lang w:val="de-DE"/>
              </w:rPr>
              <w:t>jeweilige Zahl einfügen:</w:t>
            </w:r>
            <w:r w:rsidRPr="000C557A">
              <w:rPr>
                <w:lang w:val="de-DE"/>
              </w:rPr>
              <w:t xml:space="preserve"> </w:t>
            </w:r>
            <w:r w:rsidRPr="00792D61">
              <w:rPr>
                <w:b/>
                <w:lang w:val="de-DE"/>
              </w:rPr>
              <w:t>[</w:t>
            </w:r>
            <w:r w:rsidRPr="000C557A">
              <w:rPr>
                <w:lang w:val="de-DE"/>
              </w:rPr>
              <w:t>1st</w:t>
            </w:r>
            <w:r w:rsidRPr="00792D61">
              <w:rPr>
                <w:b/>
                <w:lang w:val="de-DE"/>
              </w:rPr>
              <w:t>][</w:t>
            </w:r>
            <w:r w:rsidRPr="000C557A">
              <w:rPr>
                <w:lang w:val="de-DE"/>
              </w:rPr>
              <w:t>2nd</w:t>
            </w:r>
            <w:r w:rsidRPr="00792D61">
              <w:rPr>
                <w:b/>
                <w:lang w:val="de-DE"/>
              </w:rPr>
              <w:t>][</w:t>
            </w:r>
            <w:r w:rsidRPr="000C557A">
              <w:rPr>
                <w:lang w:val="de-DE"/>
              </w:rPr>
              <w:t>3rd</w:t>
            </w:r>
            <w:r w:rsidRPr="00792D61">
              <w:rPr>
                <w:b/>
                <w:lang w:val="de-DE"/>
              </w:rPr>
              <w:t>][[</w:t>
            </w:r>
            <w:r w:rsidRPr="000C557A">
              <w:rPr>
                <w:rFonts w:ascii="Arial" w:hAnsi="Arial" w:cs="Arial"/>
                <w:lang w:val="de-DE"/>
              </w:rPr>
              <w:t>●</w:t>
            </w:r>
            <w:r w:rsidRPr="00792D61">
              <w:rPr>
                <w:b/>
                <w:lang w:val="de-DE"/>
              </w:rPr>
              <w:t>]]]</w:t>
            </w:r>
            <w:r w:rsidRPr="000C557A">
              <w:rPr>
                <w:lang w:val="de-DE"/>
              </w:rPr>
              <w:t>-to-Default-Referenzschuldner</w:t>
            </w:r>
          </w:p>
        </w:tc>
        <w:tc>
          <w:tcPr>
            <w:tcW w:w="3318" w:type="dxa"/>
            <w:gridSpan w:val="10"/>
            <w:tcBorders>
              <w:top w:val="nil"/>
              <w:left w:val="nil"/>
              <w:bottom w:val="nil"/>
              <w:right w:val="nil"/>
            </w:tcBorders>
            <w:shd w:val="clear" w:color="auto" w:fill="auto"/>
          </w:tcPr>
          <w:p w:rsidR="0017135D" w:rsidRPr="000C557A" w:rsidP="00691EFE">
            <w:pPr>
              <w:pStyle w:val="CSBody8pt"/>
              <w:rPr>
                <w:lang w:val="de-DE"/>
              </w:rPr>
            </w:pPr>
            <w:r w:rsidRPr="000C557A">
              <w:rPr>
                <w:lang w:val="de-DE"/>
              </w:rPr>
              <w:t xml:space="preserve">in Bezug auf </w:t>
            </w:r>
            <w:r w:rsidRPr="00792D61">
              <w:rPr>
                <w:b/>
                <w:lang w:val="de-DE"/>
              </w:rPr>
              <w:t>[</w:t>
            </w:r>
            <w:r w:rsidRPr="000C557A">
              <w:rPr>
                <w:lang w:val="de-DE"/>
              </w:rPr>
              <w:t>einen</w:t>
            </w:r>
            <w:r w:rsidRPr="00792D61">
              <w:rPr>
                <w:b/>
                <w:lang w:val="de-DE"/>
              </w:rPr>
              <w:t>][</w:t>
            </w:r>
            <w:r w:rsidRPr="000C557A">
              <w:rPr>
                <w:lang w:val="de-DE"/>
              </w:rPr>
              <w:t>den</w:t>
            </w:r>
            <w:r w:rsidRPr="00792D61">
              <w:rPr>
                <w:b/>
                <w:lang w:val="de-DE"/>
              </w:rPr>
              <w:t>]</w:t>
            </w:r>
            <w:r w:rsidRPr="000C557A">
              <w:rPr>
                <w:lang w:val="de-DE"/>
              </w:rPr>
              <w:t xml:space="preserve"> Zinszahlungstag oder den Planmässigen Fälligkeitstag jeder Referenzschuldner, in Bezug auf den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33B4" w:rsidP="00A62BBD">
            <w:pPr>
              <w:pStyle w:val="CSManNum8pt"/>
              <w:rPr>
                <w:lang w:val="de-DE"/>
              </w:rPr>
            </w:pPr>
          </w:p>
        </w:tc>
        <w:tc>
          <w:tcPr>
            <w:tcW w:w="3315" w:type="dxa"/>
            <w:gridSpan w:val="7"/>
            <w:tcBorders>
              <w:top w:val="nil"/>
              <w:left w:val="nil"/>
              <w:bottom w:val="nil"/>
            </w:tcBorders>
            <w:shd w:val="clear" w:color="auto" w:fill="auto"/>
          </w:tcPr>
          <w:p w:rsidR="0017135D" w:rsidRPr="00CB33B4" w:rsidP="00A62BBD">
            <w:pPr>
              <w:pStyle w:val="CSManNum8pt"/>
            </w:pPr>
            <w:r w:rsidRPr="00CB33B4">
              <w:t>(i)</w:t>
            </w:r>
            <w:r w:rsidRPr="00CB33B4">
              <w:tab/>
              <w:t xml:space="preserve">no Credit Event Determination Date has occurred on or prior to </w:t>
            </w:r>
            <w:r w:rsidRPr="00792D61">
              <w:rPr>
                <w:b/>
              </w:rPr>
              <w:t>[</w:t>
            </w:r>
            <w:r w:rsidRPr="00CB33B4">
              <w:t>the</w:t>
            </w:r>
            <w:r w:rsidRPr="00792D61">
              <w:rPr>
                <w:b/>
              </w:rPr>
              <w:t>][</w:t>
            </w:r>
            <w:r w:rsidRPr="00CB33B4">
              <w:t>such</w:t>
            </w:r>
            <w:r w:rsidRPr="00792D61">
              <w:rPr>
                <w:b/>
              </w:rPr>
              <w:t>]</w:t>
            </w:r>
            <w:r w:rsidRPr="00CB33B4">
              <w:t xml:space="preserve"> Interest Payment Date or on or prior to the Scheduled Maturity Date, as applicable,</w:t>
            </w:r>
          </w:p>
        </w:tc>
        <w:tc>
          <w:tcPr>
            <w:tcW w:w="1618" w:type="dxa"/>
            <w:gridSpan w:val="2"/>
            <w:tcBorders>
              <w:top w:val="nil"/>
              <w:bottom w:val="nil"/>
              <w:right w:val="nil"/>
            </w:tcBorders>
            <w:shd w:val="clear" w:color="auto" w:fill="auto"/>
          </w:tcPr>
          <w:p w:rsidR="0017135D" w:rsidRPr="00CB33B4" w:rsidP="00A62BBD">
            <w:pPr>
              <w:pStyle w:val="CSManNum8pt"/>
              <w:rPr>
                <w:i/>
              </w:rPr>
            </w:pPr>
          </w:p>
        </w:tc>
        <w:tc>
          <w:tcPr>
            <w:tcW w:w="3318" w:type="dxa"/>
            <w:gridSpan w:val="10"/>
            <w:tcBorders>
              <w:top w:val="nil"/>
              <w:left w:val="nil"/>
              <w:bottom w:val="nil"/>
              <w:right w:val="nil"/>
            </w:tcBorders>
            <w:shd w:val="clear" w:color="auto" w:fill="auto"/>
          </w:tcPr>
          <w:p w:rsidR="0017135D" w:rsidRPr="00CB33B4" w:rsidP="00A62BBD">
            <w:pPr>
              <w:pStyle w:val="CSManNum8pt"/>
              <w:rPr>
                <w:bCs/>
                <w:lang w:val="de-DE"/>
              </w:rPr>
            </w:pPr>
            <w:r w:rsidRPr="00CB33B4">
              <w:rPr>
                <w:bCs/>
                <w:lang w:val="de-DE"/>
              </w:rPr>
              <w:t>(i)</w:t>
            </w:r>
            <w:r w:rsidRPr="00CB33B4">
              <w:rPr>
                <w:bCs/>
                <w:lang w:val="de-DE"/>
              </w:rPr>
              <w:tab/>
              <w:t xml:space="preserve">Kein Kreditereignis-Feststellungstag an oder vor dem </w:t>
            </w:r>
            <w:r w:rsidRPr="00792D61">
              <w:rPr>
                <w:b/>
                <w:bCs/>
                <w:lang w:val="de-DE"/>
              </w:rPr>
              <w:t>[</w:t>
            </w:r>
            <w:r w:rsidRPr="00CB33B4">
              <w:rPr>
                <w:bCs/>
                <w:lang w:val="de-DE"/>
              </w:rPr>
              <w:t>jeweiligen</w:t>
            </w:r>
            <w:r w:rsidRPr="00792D61">
              <w:rPr>
                <w:b/>
                <w:bCs/>
                <w:lang w:val="de-DE"/>
              </w:rPr>
              <w:t>]</w:t>
            </w:r>
            <w:r w:rsidRPr="00CB33B4">
              <w:rPr>
                <w:bCs/>
                <w:lang w:val="de-DE"/>
              </w:rPr>
              <w:t xml:space="preserve"> Zinszahlungstag bzw. an oder vor dem Planmässigen Fälligkeitstag eintritt,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33B4" w:rsidP="00A62BBD">
            <w:pPr>
              <w:pStyle w:val="CSManNum8pt"/>
              <w:rPr>
                <w:lang w:val="de-DE"/>
              </w:rPr>
            </w:pPr>
          </w:p>
        </w:tc>
        <w:tc>
          <w:tcPr>
            <w:tcW w:w="3315" w:type="dxa"/>
            <w:gridSpan w:val="7"/>
            <w:tcBorders>
              <w:top w:val="nil"/>
              <w:left w:val="nil"/>
              <w:bottom w:val="nil"/>
            </w:tcBorders>
            <w:shd w:val="clear" w:color="auto" w:fill="auto"/>
          </w:tcPr>
          <w:p w:rsidR="0017135D" w:rsidRPr="00CB33B4" w:rsidP="00A62BBD">
            <w:pPr>
              <w:pStyle w:val="CSManNum8pt"/>
            </w:pPr>
            <w:r w:rsidRPr="00CB33B4">
              <w:t>(ii)</w:t>
            </w:r>
            <w:r w:rsidRPr="00CB33B4">
              <w:tab/>
              <w:t xml:space="preserve">a Potential Credit Event Period has occurred on or prior to, and is continuing on, </w:t>
            </w:r>
            <w:r w:rsidRPr="00792D61">
              <w:rPr>
                <w:b/>
              </w:rPr>
              <w:t>[</w:t>
            </w:r>
            <w:r w:rsidRPr="00CB33B4">
              <w:t>the</w:t>
            </w:r>
            <w:r w:rsidRPr="00792D61">
              <w:rPr>
                <w:b/>
              </w:rPr>
              <w:t>][</w:t>
            </w:r>
            <w:r w:rsidRPr="00CB33B4">
              <w:t>such</w:t>
            </w:r>
            <w:r w:rsidRPr="00792D61">
              <w:rPr>
                <w:b/>
              </w:rPr>
              <w:t>]</w:t>
            </w:r>
            <w:r w:rsidRPr="00CB33B4">
              <w:t xml:space="preserve"> Interest Payment Date or on or prior to, and is continuing on, the Scheduled Maturity Date, as applicable, and</w:t>
            </w:r>
          </w:p>
        </w:tc>
        <w:tc>
          <w:tcPr>
            <w:tcW w:w="1618" w:type="dxa"/>
            <w:gridSpan w:val="2"/>
            <w:tcBorders>
              <w:top w:val="nil"/>
              <w:bottom w:val="nil"/>
              <w:right w:val="nil"/>
            </w:tcBorders>
            <w:shd w:val="clear" w:color="auto" w:fill="auto"/>
          </w:tcPr>
          <w:p w:rsidR="0017135D" w:rsidRPr="00CB33B4" w:rsidP="00A62BBD">
            <w:pPr>
              <w:pStyle w:val="CSManNum8pt"/>
              <w:rPr>
                <w:i/>
              </w:rPr>
            </w:pPr>
          </w:p>
        </w:tc>
        <w:tc>
          <w:tcPr>
            <w:tcW w:w="3318" w:type="dxa"/>
            <w:gridSpan w:val="10"/>
            <w:tcBorders>
              <w:top w:val="nil"/>
              <w:left w:val="nil"/>
              <w:bottom w:val="nil"/>
              <w:right w:val="nil"/>
            </w:tcBorders>
            <w:shd w:val="clear" w:color="auto" w:fill="auto"/>
          </w:tcPr>
          <w:p w:rsidR="0017135D" w:rsidRPr="00CB33B4" w:rsidP="00A62BBD">
            <w:pPr>
              <w:pStyle w:val="CSManNum8pt"/>
              <w:rPr>
                <w:bCs/>
                <w:lang w:val="de-DE"/>
              </w:rPr>
            </w:pPr>
            <w:r w:rsidRPr="00CB33B4">
              <w:rPr>
                <w:bCs/>
                <w:lang w:val="de-DE"/>
              </w:rPr>
              <w:t>(ii)</w:t>
            </w:r>
            <w:r w:rsidRPr="00CB33B4">
              <w:rPr>
                <w:bCs/>
                <w:lang w:val="de-DE"/>
              </w:rPr>
              <w:tab/>
              <w:t xml:space="preserve">ein Zeitraum eines Potenziellen Kreditereignisses an oder vor dem </w:t>
            </w:r>
            <w:r w:rsidRPr="00792D61">
              <w:rPr>
                <w:b/>
                <w:bCs/>
                <w:lang w:val="de-DE"/>
              </w:rPr>
              <w:t>[</w:t>
            </w:r>
            <w:r w:rsidRPr="00CB33B4">
              <w:rPr>
                <w:bCs/>
                <w:lang w:val="de-DE"/>
              </w:rPr>
              <w:t>jeweiligen</w:t>
            </w:r>
            <w:r w:rsidRPr="00792D61">
              <w:rPr>
                <w:b/>
                <w:bCs/>
                <w:lang w:val="de-DE"/>
              </w:rPr>
              <w:t>]</w:t>
            </w:r>
            <w:r w:rsidRPr="00CB33B4">
              <w:rPr>
                <w:bCs/>
                <w:lang w:val="de-DE"/>
              </w:rPr>
              <w:t xml:space="preserve"> Zinszahlungstag begonnen hat und an diesem Tag andauert bzw. an oder vor dem Planmässigen Fälligkeitstag begonnen hat und an diesem Tag andauert, und</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33B4" w:rsidP="00A62BBD">
            <w:pPr>
              <w:pStyle w:val="CSManNum8pt"/>
              <w:rPr>
                <w:lang w:val="de-DE"/>
              </w:rPr>
            </w:pPr>
          </w:p>
        </w:tc>
        <w:tc>
          <w:tcPr>
            <w:tcW w:w="3315" w:type="dxa"/>
            <w:gridSpan w:val="7"/>
            <w:tcBorders>
              <w:top w:val="nil"/>
              <w:left w:val="nil"/>
              <w:bottom w:val="nil"/>
            </w:tcBorders>
            <w:shd w:val="clear" w:color="auto" w:fill="auto"/>
          </w:tcPr>
          <w:p w:rsidR="0017135D" w:rsidRPr="00CB33B4" w:rsidP="00A62BBD">
            <w:pPr>
              <w:pStyle w:val="CSManNum8pt"/>
              <w:rPr>
                <w:lang w:val="de-DE"/>
              </w:rPr>
            </w:pPr>
            <w:r w:rsidRPr="00CB33B4">
              <w:rPr>
                <w:lang w:val="de-DE"/>
              </w:rPr>
              <w:t>(iii)</w:t>
            </w:r>
            <w:r w:rsidRPr="00CB33B4">
              <w:rPr>
                <w:lang w:val="de-DE"/>
              </w:rPr>
              <w:tab/>
              <w:t>if</w:t>
            </w:r>
          </w:p>
        </w:tc>
        <w:tc>
          <w:tcPr>
            <w:tcW w:w="1618" w:type="dxa"/>
            <w:gridSpan w:val="2"/>
            <w:tcBorders>
              <w:top w:val="nil"/>
              <w:bottom w:val="nil"/>
              <w:right w:val="nil"/>
            </w:tcBorders>
            <w:shd w:val="clear" w:color="auto" w:fill="auto"/>
          </w:tcPr>
          <w:p w:rsidR="0017135D" w:rsidRPr="00CB33B4" w:rsidP="00A62BBD">
            <w:pPr>
              <w:pStyle w:val="CSManNum8pt"/>
              <w:rPr>
                <w:i/>
                <w:lang w:val="de-DE"/>
              </w:rPr>
            </w:pPr>
          </w:p>
        </w:tc>
        <w:tc>
          <w:tcPr>
            <w:tcW w:w="3318" w:type="dxa"/>
            <w:gridSpan w:val="10"/>
            <w:tcBorders>
              <w:top w:val="nil"/>
              <w:left w:val="nil"/>
              <w:bottom w:val="nil"/>
              <w:right w:val="nil"/>
            </w:tcBorders>
            <w:shd w:val="clear" w:color="auto" w:fill="auto"/>
          </w:tcPr>
          <w:p w:rsidR="0017135D" w:rsidRPr="00CB33B4" w:rsidP="00A62BBD">
            <w:pPr>
              <w:pStyle w:val="CSManNum8pt"/>
              <w:rPr>
                <w:bCs/>
                <w:lang w:val="de-DE"/>
              </w:rPr>
            </w:pPr>
            <w:r w:rsidRPr="00CB33B4">
              <w:rPr>
                <w:bCs/>
                <w:lang w:val="de-DE"/>
              </w:rPr>
              <w:t>(iii)</w:t>
            </w:r>
            <w:r w:rsidRPr="00CB33B4">
              <w:rPr>
                <w:bCs/>
                <w:lang w:val="de-DE"/>
              </w:rPr>
              <w:tab/>
              <w:t>falls</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33B4" w:rsidP="00A62BBD">
            <w:pPr>
              <w:pStyle w:val="CSManNum8pt"/>
              <w:rPr>
                <w:lang w:val="de-DE"/>
              </w:rPr>
            </w:pPr>
          </w:p>
        </w:tc>
        <w:tc>
          <w:tcPr>
            <w:tcW w:w="3315" w:type="dxa"/>
            <w:gridSpan w:val="7"/>
            <w:tcBorders>
              <w:top w:val="nil"/>
              <w:left w:val="nil"/>
              <w:bottom w:val="nil"/>
            </w:tcBorders>
            <w:shd w:val="clear" w:color="auto" w:fill="auto"/>
          </w:tcPr>
          <w:p w:rsidR="0017135D" w:rsidRPr="00CB33B4" w:rsidP="00F134DE">
            <w:pPr>
              <w:pStyle w:val="CSManNum8pt"/>
            </w:pPr>
            <w:r w:rsidRPr="00CB33B4">
              <w:t>(a)</w:t>
            </w:r>
            <w:r w:rsidRPr="00CB33B4">
              <w:tab/>
              <w:t xml:space="preserve">the relevant Potential Failure to Pay </w:t>
            </w:r>
            <w:r w:rsidRPr="00792D61">
              <w:rPr>
                <w:b/>
              </w:rPr>
              <w:t>[</w:t>
            </w:r>
            <w:r w:rsidRPr="00A62BBD">
              <w:rPr>
                <w:b/>
                <w:i/>
              </w:rPr>
              <w:t>if "Repudiation/Moratorium" is applicable, insert:</w:t>
            </w:r>
            <w:r w:rsidRPr="00CB33B4">
              <w:t xml:space="preserve"> , Potential Repudiation/Moratorium</w:t>
            </w:r>
            <w:r w:rsidRPr="00792D61">
              <w:rPr>
                <w:b/>
              </w:rPr>
              <w:t>]</w:t>
            </w:r>
            <w:r w:rsidRPr="00CB33B4">
              <w:t xml:space="preserve"> or DC Pending Request, as the case may be, with respect to such Reference Entity were to result in the occurrence of a Credit Event Determination Date with respect to such Reference Entity on or prior to the last day of such Potential Credit Event Period, such Reference Entity would be the </w:t>
            </w:r>
            <w:r w:rsidRPr="00792D61">
              <w:rPr>
                <w:b/>
              </w:rPr>
              <w:t>[</w:t>
            </w:r>
            <w:r w:rsidRPr="00A62BBD">
              <w:rPr>
                <w:b/>
                <w:i/>
              </w:rPr>
              <w:t xml:space="preserve">insert relevant number: </w:t>
            </w:r>
            <w:r w:rsidRPr="00792D61">
              <w:rPr>
                <w:b/>
              </w:rPr>
              <w:t>[</w:t>
            </w:r>
            <w:r w:rsidRPr="00CB33B4">
              <w:t>1st</w:t>
            </w:r>
            <w:r w:rsidRPr="00792D61">
              <w:rPr>
                <w:b/>
              </w:rPr>
              <w:t>][</w:t>
            </w:r>
            <w:r w:rsidRPr="00CB33B4">
              <w:t>2nd</w:t>
            </w:r>
            <w:r w:rsidRPr="00792D61">
              <w:rPr>
                <w:b/>
              </w:rPr>
              <w:t>][</w:t>
            </w:r>
            <w:r w:rsidRPr="00CB33B4">
              <w:t>3rd</w:t>
            </w:r>
            <w:r w:rsidRPr="00792D61">
              <w:rPr>
                <w:b/>
              </w:rPr>
              <w:t>][[</w:t>
            </w:r>
            <w:r w:rsidRPr="00CB33B4">
              <w:rPr>
                <w:rFonts w:ascii="Arial" w:hAnsi="Arial" w:cs="Arial"/>
              </w:rPr>
              <w:t>●</w:t>
            </w:r>
            <w:r w:rsidRPr="00792D61">
              <w:rPr>
                <w:b/>
              </w:rPr>
              <w:t>]]]</w:t>
            </w:r>
            <w:r w:rsidRPr="00CB33B4">
              <w:t>-to-Default Reference Entity, or</w:t>
            </w:r>
          </w:p>
        </w:tc>
        <w:tc>
          <w:tcPr>
            <w:tcW w:w="1618" w:type="dxa"/>
            <w:gridSpan w:val="2"/>
            <w:tcBorders>
              <w:top w:val="nil"/>
              <w:bottom w:val="nil"/>
              <w:right w:val="nil"/>
            </w:tcBorders>
            <w:shd w:val="clear" w:color="auto" w:fill="auto"/>
          </w:tcPr>
          <w:p w:rsidR="0017135D" w:rsidRPr="00CB33B4" w:rsidP="00A62BBD">
            <w:pPr>
              <w:pStyle w:val="CSManNum8pt"/>
              <w:rPr>
                <w:i/>
              </w:rPr>
            </w:pPr>
          </w:p>
        </w:tc>
        <w:tc>
          <w:tcPr>
            <w:tcW w:w="3318" w:type="dxa"/>
            <w:gridSpan w:val="10"/>
            <w:tcBorders>
              <w:top w:val="nil"/>
              <w:left w:val="nil"/>
              <w:bottom w:val="nil"/>
              <w:right w:val="nil"/>
            </w:tcBorders>
            <w:shd w:val="clear" w:color="auto" w:fill="auto"/>
          </w:tcPr>
          <w:p w:rsidR="0017135D" w:rsidRPr="00CB33B4" w:rsidP="00F134DE">
            <w:pPr>
              <w:pStyle w:val="CSManNum8pt"/>
              <w:rPr>
                <w:bCs/>
                <w:lang w:val="de-DE"/>
              </w:rPr>
            </w:pPr>
            <w:r w:rsidRPr="00CB33B4">
              <w:rPr>
                <w:bCs/>
                <w:lang w:val="de-DE"/>
              </w:rPr>
              <w:t>(a)</w:t>
            </w:r>
            <w:r w:rsidRPr="00CB33B4">
              <w:rPr>
                <w:bCs/>
                <w:lang w:val="de-DE"/>
              </w:rPr>
              <w:tab/>
              <w:t xml:space="preserve">die jeweilige Potenzielle Nichtzahlung </w:t>
            </w:r>
            <w:r w:rsidRPr="00792D61">
              <w:rPr>
                <w:b/>
                <w:bCs/>
                <w:lang w:val="de-DE"/>
              </w:rPr>
              <w:t>[</w:t>
            </w:r>
            <w:r w:rsidRPr="00A62BBD">
              <w:rPr>
                <w:b/>
                <w:bCs/>
                <w:i/>
                <w:lang w:val="de-DE"/>
              </w:rPr>
              <w:t>falls "Nichtanerkennung / Moratorium" anwendbar ist, einfügen:</w:t>
            </w:r>
            <w:r w:rsidRPr="00CB33B4">
              <w:rPr>
                <w:bCs/>
                <w:lang w:val="de-DE"/>
              </w:rPr>
              <w:t xml:space="preserve"> , die jeweilige Potenzielle Nichtanerkennung / das jeweilige Potenzielle Moratorium</w:t>
            </w:r>
            <w:r w:rsidRPr="00792D61">
              <w:rPr>
                <w:b/>
                <w:bCs/>
                <w:lang w:val="de-DE"/>
              </w:rPr>
              <w:t>]</w:t>
            </w:r>
            <w:r w:rsidRPr="00CB33B4">
              <w:rPr>
                <w:bCs/>
                <w:lang w:val="de-DE"/>
              </w:rPr>
              <w:t xml:space="preserve"> oder ein Ausstehender Antrag in Bezug auf diesen Referenzschuldner zu einem Kreditereignis-Feststellungstag an oder vor dem letzten Tag dieses Zeitraums eines Potenziellen Kreditereignisses in Bezug auf diesen Referenzschuldner führen würde, dann wäre dieser Referenzschuldner der </w:t>
            </w:r>
            <w:r w:rsidRPr="00792D61">
              <w:rPr>
                <w:b/>
                <w:bCs/>
                <w:lang w:val="de-DE"/>
              </w:rPr>
              <w:t>[</w:t>
            </w:r>
            <w:r w:rsidRPr="00A62BBD">
              <w:rPr>
                <w:b/>
                <w:bCs/>
                <w:i/>
                <w:lang w:val="de-DE"/>
              </w:rPr>
              <w:t xml:space="preserve">jeweilige Zahl einfügen: </w:t>
            </w:r>
            <w:r w:rsidRPr="00792D61">
              <w:rPr>
                <w:b/>
                <w:bCs/>
                <w:lang w:val="de-DE"/>
              </w:rPr>
              <w:t>[</w:t>
            </w:r>
            <w:r w:rsidRPr="00CB33B4">
              <w:rPr>
                <w:bCs/>
                <w:lang w:val="de-DE"/>
              </w:rPr>
              <w:t>1st</w:t>
            </w:r>
            <w:r w:rsidRPr="00792D61">
              <w:rPr>
                <w:b/>
                <w:bCs/>
                <w:lang w:val="de-DE"/>
              </w:rPr>
              <w:t>][</w:t>
            </w:r>
            <w:r w:rsidRPr="00CB33B4">
              <w:rPr>
                <w:bCs/>
                <w:lang w:val="de-DE"/>
              </w:rPr>
              <w:t>2nd</w:t>
            </w:r>
            <w:r w:rsidRPr="00792D61">
              <w:rPr>
                <w:b/>
                <w:bCs/>
                <w:lang w:val="de-DE"/>
              </w:rPr>
              <w:t>][</w:t>
            </w:r>
            <w:r w:rsidRPr="00CB33B4">
              <w:rPr>
                <w:bCs/>
                <w:lang w:val="de-DE"/>
              </w:rPr>
              <w:t>3rd</w:t>
            </w:r>
            <w:r w:rsidRPr="00792D61">
              <w:rPr>
                <w:b/>
                <w:bCs/>
                <w:lang w:val="de-DE"/>
              </w:rPr>
              <w:t>][[</w:t>
            </w:r>
            <w:r w:rsidRPr="00CB33B4">
              <w:rPr>
                <w:rFonts w:ascii="Arial" w:hAnsi="Arial" w:cs="Arial"/>
                <w:bCs/>
                <w:lang w:val="de-DE"/>
              </w:rPr>
              <w:t>●</w:t>
            </w:r>
            <w:r w:rsidRPr="00792D61">
              <w:rPr>
                <w:b/>
                <w:bCs/>
                <w:lang w:val="de-DE"/>
              </w:rPr>
              <w:t>]]]</w:t>
            </w:r>
            <w:r w:rsidRPr="00CB33B4">
              <w:rPr>
                <w:bCs/>
                <w:lang w:val="de-DE"/>
              </w:rPr>
              <w:t>-to-Default-Referenzschuldner, oder</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33B4" w:rsidP="00A62BBD">
            <w:pPr>
              <w:pStyle w:val="CSManNum8pt"/>
              <w:rPr>
                <w:lang w:val="de-DE"/>
              </w:rPr>
            </w:pPr>
          </w:p>
        </w:tc>
        <w:tc>
          <w:tcPr>
            <w:tcW w:w="3315" w:type="dxa"/>
            <w:gridSpan w:val="7"/>
            <w:tcBorders>
              <w:top w:val="nil"/>
              <w:left w:val="nil"/>
              <w:bottom w:val="nil"/>
            </w:tcBorders>
            <w:shd w:val="clear" w:color="auto" w:fill="auto"/>
          </w:tcPr>
          <w:p w:rsidR="0017135D" w:rsidRPr="00CB33B4" w:rsidP="00A62BBD">
            <w:pPr>
              <w:pStyle w:val="CSManNum8pt"/>
            </w:pPr>
            <w:r w:rsidRPr="00CB33B4">
              <w:t>(b)</w:t>
            </w:r>
            <w:r w:rsidRPr="00CB33B4">
              <w:tab/>
              <w:t xml:space="preserve">(x) there are any other Potential </w:t>
            </w:r>
            <w:r w:rsidRPr="00792D61">
              <w:rPr>
                <w:b/>
              </w:rPr>
              <w:t>[</w:t>
            </w:r>
            <w:r w:rsidRPr="00A62BBD">
              <w:rPr>
                <w:b/>
                <w:i/>
              </w:rPr>
              <w:t>insert relevant number:</w:t>
            </w:r>
            <w:r w:rsidRPr="00CB33B4">
              <w:t xml:space="preserve"> </w:t>
            </w:r>
            <w:r w:rsidRPr="00792D61">
              <w:rPr>
                <w:b/>
              </w:rPr>
              <w:t>[</w:t>
            </w:r>
            <w:r w:rsidRPr="00CB33B4">
              <w:t>1st</w:t>
            </w:r>
            <w:r w:rsidRPr="00792D61">
              <w:rPr>
                <w:b/>
              </w:rPr>
              <w:t>][</w:t>
            </w:r>
            <w:r w:rsidRPr="00CB33B4">
              <w:t>2nd</w:t>
            </w:r>
            <w:r w:rsidRPr="00792D61">
              <w:rPr>
                <w:b/>
              </w:rPr>
              <w:t>][</w:t>
            </w:r>
            <w:r w:rsidRPr="00CB33B4">
              <w:t>3rd</w:t>
            </w:r>
            <w:r w:rsidRPr="00792D61">
              <w:rPr>
                <w:b/>
              </w:rPr>
              <w:t>][[</w:t>
            </w:r>
            <w:r w:rsidRPr="00CB33B4">
              <w:rPr>
                <w:rFonts w:ascii="Arial" w:hAnsi="Arial" w:cs="Arial"/>
              </w:rPr>
              <w:t>●</w:t>
            </w:r>
            <w:r w:rsidRPr="00792D61">
              <w:rPr>
                <w:b/>
              </w:rPr>
              <w:t>]]]</w:t>
            </w:r>
            <w:r w:rsidRPr="00CB33B4">
              <w:t xml:space="preserve">-to-Default Reference Entities on </w:t>
            </w:r>
            <w:r w:rsidRPr="00792D61">
              <w:rPr>
                <w:b/>
              </w:rPr>
              <w:t>[</w:t>
            </w:r>
            <w:r w:rsidRPr="00CB33B4">
              <w:t>the</w:t>
            </w:r>
            <w:r w:rsidRPr="00792D61">
              <w:rPr>
                <w:b/>
              </w:rPr>
              <w:t>][</w:t>
            </w:r>
            <w:r w:rsidRPr="00CB33B4">
              <w:t>such</w:t>
            </w:r>
            <w:r w:rsidRPr="00792D61">
              <w:rPr>
                <w:b/>
              </w:rPr>
              <w:t>]</w:t>
            </w:r>
            <w:r w:rsidRPr="00CB33B4">
              <w:t xml:space="preserve"> Interest Payment Date or the Scheduled Maturity Date, as applicable, and (y) the relevant Potential Failure to Pay </w:t>
            </w:r>
            <w:r w:rsidRPr="00792D61">
              <w:rPr>
                <w:b/>
              </w:rPr>
              <w:t>[</w:t>
            </w:r>
            <w:r w:rsidRPr="00A62BBD">
              <w:rPr>
                <w:b/>
                <w:i/>
              </w:rPr>
              <w:t xml:space="preserve">if "Repudiation/Moratorium" is applicable, insert: </w:t>
            </w:r>
            <w:r w:rsidRPr="00CB33B4">
              <w:t>, Potential Repudiation/Moratorium</w:t>
            </w:r>
            <w:r w:rsidRPr="00792D61">
              <w:rPr>
                <w:b/>
              </w:rPr>
              <w:t>]</w:t>
            </w:r>
            <w:r w:rsidRPr="00CB33B4">
              <w:t xml:space="preserve"> or DC Pending Request, as the case may be, with respect to such Reference Entity and one or more of such Potential </w:t>
            </w:r>
            <w:r w:rsidRPr="00792D61">
              <w:rPr>
                <w:b/>
              </w:rPr>
              <w:t>[</w:t>
            </w:r>
            <w:r w:rsidRPr="00A62BBD">
              <w:rPr>
                <w:b/>
                <w:i/>
              </w:rPr>
              <w:t xml:space="preserve">insert relevant number: </w:t>
            </w:r>
            <w:r w:rsidRPr="00792D61">
              <w:rPr>
                <w:b/>
              </w:rPr>
              <w:t>[</w:t>
            </w:r>
            <w:r w:rsidRPr="00CB33B4">
              <w:t>1st</w:t>
            </w:r>
            <w:r w:rsidRPr="00792D61">
              <w:rPr>
                <w:b/>
              </w:rPr>
              <w:t>][</w:t>
            </w:r>
            <w:r w:rsidRPr="00CB33B4">
              <w:t>2nd</w:t>
            </w:r>
            <w:r w:rsidRPr="00792D61">
              <w:rPr>
                <w:b/>
              </w:rPr>
              <w:t>][</w:t>
            </w:r>
            <w:r w:rsidRPr="00CB33B4">
              <w:t>3rd</w:t>
            </w:r>
            <w:r w:rsidRPr="00792D61">
              <w:rPr>
                <w:b/>
              </w:rPr>
              <w:t>][[</w:t>
            </w:r>
            <w:r w:rsidRPr="00CB33B4">
              <w:rPr>
                <w:rFonts w:ascii="Arial" w:hAnsi="Arial" w:cs="Arial"/>
              </w:rPr>
              <w:t>●</w:t>
            </w:r>
            <w:r w:rsidRPr="00792D61">
              <w:rPr>
                <w:b/>
              </w:rPr>
              <w:t>]]]</w:t>
            </w:r>
            <w:r w:rsidRPr="00CB33B4">
              <w:t xml:space="preserve">-to-Default Reference Entities were to result in the occurrence of a Credit Event Determination Date with respect to such Reference Entity and such one or more other Potential </w:t>
            </w:r>
            <w:r w:rsidRPr="00792D61">
              <w:rPr>
                <w:b/>
              </w:rPr>
              <w:t>[</w:t>
            </w:r>
            <w:r w:rsidRPr="00A62BBD">
              <w:rPr>
                <w:b/>
                <w:i/>
              </w:rPr>
              <w:t>insert relevant number:</w:t>
            </w:r>
            <w:r w:rsidRPr="00CB33B4">
              <w:t xml:space="preserve"> </w:t>
            </w:r>
            <w:r w:rsidRPr="00792D61">
              <w:rPr>
                <w:b/>
              </w:rPr>
              <w:t>[</w:t>
            </w:r>
            <w:r w:rsidRPr="00CB33B4">
              <w:t>1st</w:t>
            </w:r>
            <w:r w:rsidRPr="00792D61">
              <w:rPr>
                <w:b/>
              </w:rPr>
              <w:t>][</w:t>
            </w:r>
            <w:r w:rsidRPr="00CB33B4">
              <w:t>2nd</w:t>
            </w:r>
            <w:r w:rsidRPr="00792D61">
              <w:rPr>
                <w:b/>
              </w:rPr>
              <w:t>][</w:t>
            </w:r>
            <w:r w:rsidRPr="00CB33B4">
              <w:t>3rd</w:t>
            </w:r>
            <w:r w:rsidRPr="00792D61">
              <w:rPr>
                <w:b/>
              </w:rPr>
              <w:t>][[</w:t>
            </w:r>
            <w:r w:rsidRPr="00CB33B4">
              <w:rPr>
                <w:rFonts w:ascii="Arial" w:hAnsi="Arial" w:cs="Arial"/>
              </w:rPr>
              <w:t>●</w:t>
            </w:r>
            <w:r w:rsidRPr="00792D61">
              <w:rPr>
                <w:b/>
              </w:rPr>
              <w:t>]]]</w:t>
            </w:r>
            <w:r w:rsidRPr="00CB33B4">
              <w:t xml:space="preserve">-to-Default Reference Entities on or prior to the last day of such Potential Credit Event Period, such Reference Entity or other Potential </w:t>
            </w:r>
            <w:r w:rsidRPr="00792D61">
              <w:rPr>
                <w:b/>
              </w:rPr>
              <w:t>[</w:t>
            </w:r>
            <w:r w:rsidRPr="00A62BBD">
              <w:rPr>
                <w:b/>
                <w:i/>
              </w:rPr>
              <w:t xml:space="preserve">insert relevant number: </w:t>
            </w:r>
            <w:r w:rsidRPr="00792D61">
              <w:rPr>
                <w:b/>
              </w:rPr>
              <w:t>[</w:t>
            </w:r>
            <w:r w:rsidRPr="00CB33B4">
              <w:t>1st</w:t>
            </w:r>
            <w:r w:rsidRPr="00792D61">
              <w:rPr>
                <w:b/>
              </w:rPr>
              <w:t>][</w:t>
            </w:r>
            <w:r w:rsidRPr="00CB33B4">
              <w:t>2nd</w:t>
            </w:r>
            <w:r w:rsidRPr="00792D61">
              <w:rPr>
                <w:b/>
              </w:rPr>
              <w:t>][</w:t>
            </w:r>
            <w:r w:rsidRPr="00CB33B4">
              <w:t>3rd</w:t>
            </w:r>
            <w:r w:rsidRPr="00792D61">
              <w:rPr>
                <w:b/>
              </w:rPr>
              <w:t>][</w:t>
            </w:r>
            <w:r w:rsidRPr="00CB33B4">
              <w:t xml:space="preserve"> </w:t>
            </w:r>
            <w:r w:rsidRPr="00792D61">
              <w:rPr>
                <w:b/>
              </w:rPr>
              <w:t>[</w:t>
            </w:r>
            <w:r w:rsidRPr="00CB33B4">
              <w:rPr>
                <w:rFonts w:ascii="Arial" w:hAnsi="Arial" w:cs="Arial"/>
              </w:rPr>
              <w:t>●</w:t>
            </w:r>
            <w:r w:rsidRPr="00792D61">
              <w:rPr>
                <w:b/>
              </w:rPr>
              <w:t>]]]</w:t>
            </w:r>
            <w:r w:rsidRPr="00CB33B4">
              <w:t xml:space="preserve">-to-Default Reference Entity would be the </w:t>
            </w:r>
            <w:r w:rsidRPr="00792D61">
              <w:rPr>
                <w:b/>
                <w:i/>
              </w:rPr>
              <w:t>[</w:t>
            </w:r>
            <w:r w:rsidRPr="00A62BBD">
              <w:rPr>
                <w:b/>
                <w:i/>
              </w:rPr>
              <w:t xml:space="preserve">insert relevant number: </w:t>
            </w:r>
            <w:r w:rsidRPr="00792D61">
              <w:rPr>
                <w:b/>
              </w:rPr>
              <w:t>[</w:t>
            </w:r>
            <w:r w:rsidRPr="00CB33B4">
              <w:t>1st</w:t>
            </w:r>
            <w:r w:rsidRPr="00792D61">
              <w:rPr>
                <w:b/>
              </w:rPr>
              <w:t>][</w:t>
            </w:r>
            <w:r w:rsidRPr="00CB33B4">
              <w:t>2nd</w:t>
            </w:r>
            <w:r w:rsidRPr="00792D61">
              <w:rPr>
                <w:b/>
              </w:rPr>
              <w:t>][</w:t>
            </w:r>
            <w:r w:rsidRPr="00CB33B4">
              <w:t>3rd</w:t>
            </w:r>
            <w:r w:rsidRPr="00792D61">
              <w:rPr>
                <w:b/>
              </w:rPr>
              <w:t>][[</w:t>
            </w:r>
            <w:r w:rsidRPr="00CB33B4">
              <w:rPr>
                <w:rFonts w:ascii="Arial" w:hAnsi="Arial" w:cs="Arial"/>
              </w:rPr>
              <w:t>●</w:t>
            </w:r>
            <w:r w:rsidRPr="00792D61">
              <w:rPr>
                <w:b/>
              </w:rPr>
              <w:t>]]]</w:t>
            </w:r>
            <w:r w:rsidRPr="00CB33B4">
              <w:t>-to-Default Reference Entity.</w:t>
            </w:r>
            <w:r w:rsidRPr="00792D61">
              <w:rPr>
                <w:b/>
              </w:rPr>
              <w:t>]</w:t>
            </w:r>
          </w:p>
        </w:tc>
        <w:tc>
          <w:tcPr>
            <w:tcW w:w="1618" w:type="dxa"/>
            <w:gridSpan w:val="2"/>
            <w:tcBorders>
              <w:top w:val="nil"/>
              <w:bottom w:val="nil"/>
              <w:right w:val="nil"/>
            </w:tcBorders>
            <w:shd w:val="clear" w:color="auto" w:fill="auto"/>
          </w:tcPr>
          <w:p w:rsidR="0017135D" w:rsidRPr="00CB33B4" w:rsidP="00A62BBD">
            <w:pPr>
              <w:pStyle w:val="CSManNum8pt"/>
              <w:rPr>
                <w:i/>
              </w:rPr>
            </w:pPr>
          </w:p>
        </w:tc>
        <w:tc>
          <w:tcPr>
            <w:tcW w:w="3318" w:type="dxa"/>
            <w:gridSpan w:val="10"/>
            <w:tcBorders>
              <w:top w:val="nil"/>
              <w:left w:val="nil"/>
              <w:bottom w:val="nil"/>
              <w:right w:val="nil"/>
            </w:tcBorders>
            <w:shd w:val="clear" w:color="auto" w:fill="auto"/>
          </w:tcPr>
          <w:p w:rsidR="0017135D" w:rsidRPr="00CB33B4">
            <w:pPr>
              <w:pStyle w:val="CSManNum8pt"/>
              <w:rPr>
                <w:bCs/>
                <w:lang w:val="de-DE"/>
              </w:rPr>
            </w:pPr>
            <w:r w:rsidRPr="00CB33B4">
              <w:rPr>
                <w:bCs/>
                <w:lang w:val="de-DE"/>
              </w:rPr>
              <w:t>(b)</w:t>
            </w:r>
            <w:r w:rsidRPr="00CB33B4">
              <w:rPr>
                <w:bCs/>
                <w:lang w:val="de-DE"/>
              </w:rPr>
              <w:tab/>
              <w:t xml:space="preserve">(x) es weitere Potenzielle </w:t>
            </w:r>
            <w:r w:rsidRPr="00792D61">
              <w:rPr>
                <w:b/>
                <w:bCs/>
                <w:lang w:val="de-DE"/>
              </w:rPr>
              <w:t>[</w:t>
            </w:r>
            <w:r w:rsidRPr="00A62BBD">
              <w:rPr>
                <w:b/>
                <w:bCs/>
                <w:i/>
                <w:lang w:val="de-DE"/>
              </w:rPr>
              <w:t>jeweilige Zahl einfügen:</w:t>
            </w:r>
            <w:r w:rsidRPr="00CB33B4">
              <w:rPr>
                <w:bCs/>
                <w:lang w:val="de-DE"/>
              </w:rPr>
              <w:t xml:space="preserve"> </w:t>
            </w:r>
            <w:r w:rsidRPr="00792D61">
              <w:rPr>
                <w:b/>
                <w:bCs/>
                <w:lang w:val="de-DE"/>
              </w:rPr>
              <w:t>[</w:t>
            </w:r>
            <w:r w:rsidRPr="00CB33B4">
              <w:rPr>
                <w:bCs/>
                <w:lang w:val="de-DE"/>
              </w:rPr>
              <w:t>1st</w:t>
            </w:r>
            <w:r w:rsidRPr="00792D61">
              <w:rPr>
                <w:b/>
                <w:bCs/>
                <w:lang w:val="de-DE"/>
              </w:rPr>
              <w:t>][</w:t>
            </w:r>
            <w:r w:rsidRPr="00CB33B4">
              <w:rPr>
                <w:bCs/>
                <w:lang w:val="de-DE"/>
              </w:rPr>
              <w:t>2nd</w:t>
            </w:r>
            <w:r w:rsidRPr="00792D61">
              <w:rPr>
                <w:b/>
                <w:bCs/>
                <w:lang w:val="de-DE"/>
              </w:rPr>
              <w:t>][</w:t>
            </w:r>
            <w:r w:rsidRPr="00CB33B4">
              <w:rPr>
                <w:bCs/>
                <w:lang w:val="de-DE"/>
              </w:rPr>
              <w:t>3rd</w:t>
            </w:r>
            <w:r w:rsidRPr="00792D61">
              <w:rPr>
                <w:b/>
                <w:bCs/>
                <w:lang w:val="de-DE"/>
              </w:rPr>
              <w:t>][[</w:t>
            </w:r>
            <w:r w:rsidRPr="00CB33B4">
              <w:rPr>
                <w:rFonts w:ascii="Arial" w:hAnsi="Arial" w:cs="Arial"/>
                <w:bCs/>
                <w:lang w:val="de-DE"/>
              </w:rPr>
              <w:t>●</w:t>
            </w:r>
            <w:r w:rsidRPr="00792D61">
              <w:rPr>
                <w:b/>
                <w:bCs/>
                <w:lang w:val="de-DE"/>
              </w:rPr>
              <w:t>]]]</w:t>
            </w:r>
            <w:r w:rsidRPr="00CB33B4">
              <w:rPr>
                <w:bCs/>
                <w:lang w:val="de-DE"/>
              </w:rPr>
              <w:t xml:space="preserve">-to-Default-Referenzschuldner an dem </w:t>
            </w:r>
            <w:r w:rsidRPr="00792D61">
              <w:rPr>
                <w:b/>
                <w:bCs/>
                <w:lang w:val="de-DE"/>
              </w:rPr>
              <w:t>[</w:t>
            </w:r>
            <w:r w:rsidRPr="00CB33B4">
              <w:rPr>
                <w:bCs/>
                <w:lang w:val="de-DE"/>
              </w:rPr>
              <w:t>jeweiligen</w:t>
            </w:r>
            <w:r w:rsidRPr="00792D61">
              <w:rPr>
                <w:b/>
                <w:bCs/>
                <w:lang w:val="de-DE"/>
              </w:rPr>
              <w:t>]</w:t>
            </w:r>
            <w:r w:rsidRPr="00CB33B4">
              <w:rPr>
                <w:bCs/>
                <w:lang w:val="de-DE"/>
              </w:rPr>
              <w:t xml:space="preserve"> Zinszahlungstag bzw. am Planmässige Fälligkeitstag gibt und (y) die jeweilige Potenzielle Nichtzahlung </w:t>
            </w:r>
            <w:r w:rsidRPr="00792D61">
              <w:rPr>
                <w:b/>
                <w:bCs/>
                <w:lang w:val="de-DE"/>
              </w:rPr>
              <w:t>[</w:t>
            </w:r>
            <w:r w:rsidRPr="00A62BBD">
              <w:rPr>
                <w:b/>
                <w:bCs/>
                <w:i/>
                <w:lang w:val="de-DE"/>
              </w:rPr>
              <w:t>falls "Nichtanerkennung/Moratorium" anwendbar ist, einfügen:</w:t>
            </w:r>
            <w:r w:rsidRPr="00CB33B4">
              <w:rPr>
                <w:bCs/>
                <w:lang w:val="de-DE"/>
              </w:rPr>
              <w:t xml:space="preserve"> , die jeweilige Potenzielle Nichtanerkennung / das jeweilige Potenzielle Moratorium</w:t>
            </w:r>
            <w:r w:rsidRPr="00792D61">
              <w:rPr>
                <w:b/>
                <w:bCs/>
                <w:lang w:val="de-DE"/>
              </w:rPr>
              <w:t>]</w:t>
            </w:r>
            <w:r w:rsidRPr="00CB33B4">
              <w:rPr>
                <w:bCs/>
                <w:lang w:val="de-DE"/>
              </w:rPr>
              <w:t xml:space="preserve"> oder ein Ausstehender Antrag in Bezug auf diesen Referenzschuldner und einen oder mehrere weitere dieser Potenziellen </w:t>
            </w:r>
            <w:r w:rsidRPr="00792D61">
              <w:rPr>
                <w:b/>
                <w:bCs/>
                <w:lang w:val="de-DE"/>
              </w:rPr>
              <w:t>[</w:t>
            </w:r>
            <w:r w:rsidRPr="00A62BBD">
              <w:rPr>
                <w:b/>
                <w:bCs/>
                <w:i/>
                <w:lang w:val="de-DE"/>
              </w:rPr>
              <w:t xml:space="preserve">jeweilige Zahl einfügen: </w:t>
            </w:r>
            <w:r w:rsidRPr="00792D61">
              <w:rPr>
                <w:b/>
                <w:bCs/>
                <w:lang w:val="de-DE"/>
              </w:rPr>
              <w:t>[</w:t>
            </w:r>
            <w:r w:rsidRPr="00CB33B4">
              <w:rPr>
                <w:bCs/>
                <w:lang w:val="de-DE"/>
              </w:rPr>
              <w:t>1st</w:t>
            </w:r>
            <w:r w:rsidRPr="00792D61">
              <w:rPr>
                <w:b/>
                <w:bCs/>
                <w:lang w:val="de-DE"/>
              </w:rPr>
              <w:t>][</w:t>
            </w:r>
            <w:r w:rsidRPr="00CB33B4">
              <w:rPr>
                <w:bCs/>
                <w:lang w:val="de-DE"/>
              </w:rPr>
              <w:t>2nd</w:t>
            </w:r>
            <w:r w:rsidRPr="00792D61">
              <w:rPr>
                <w:b/>
                <w:bCs/>
                <w:lang w:val="de-DE"/>
              </w:rPr>
              <w:t>][</w:t>
            </w:r>
            <w:r w:rsidRPr="00CB33B4">
              <w:rPr>
                <w:bCs/>
                <w:lang w:val="de-DE"/>
              </w:rPr>
              <w:t>3rd</w:t>
            </w:r>
            <w:r w:rsidRPr="00792D61">
              <w:rPr>
                <w:b/>
                <w:bCs/>
                <w:lang w:val="de-DE"/>
              </w:rPr>
              <w:t>][[</w:t>
            </w:r>
            <w:r w:rsidRPr="00CB33B4">
              <w:rPr>
                <w:rFonts w:ascii="Arial" w:hAnsi="Arial" w:cs="Arial"/>
                <w:bCs/>
                <w:lang w:val="de-DE"/>
              </w:rPr>
              <w:t>●</w:t>
            </w:r>
            <w:r w:rsidRPr="00792D61">
              <w:rPr>
                <w:b/>
                <w:bCs/>
                <w:lang w:val="de-DE"/>
              </w:rPr>
              <w:t>]]]</w:t>
            </w:r>
            <w:r w:rsidRPr="00CB33B4">
              <w:rPr>
                <w:bCs/>
                <w:lang w:val="de-DE"/>
              </w:rPr>
              <w:t>-to-Default-Referenzschuldner w</w:t>
            </w:r>
            <w:r w:rsidRPr="00CB33B4">
              <w:rPr>
                <w:rFonts w:cs="Credit Suisse Type Light"/>
                <w:bCs/>
                <w:lang w:val="de-DE"/>
              </w:rPr>
              <w:t>ü</w:t>
            </w:r>
            <w:r w:rsidRPr="00CB33B4">
              <w:rPr>
                <w:bCs/>
                <w:lang w:val="de-DE"/>
              </w:rPr>
              <w:t xml:space="preserve">rde zu einem Kreditereignis-Feststellungstag an oder vor dem letzten Tag dieses Zeitraums eines Potenziellen Kreditereignisses in Bezug auf diesen Referenzschuldner und diesen einen oder mehrere weitere Potenzielle </w:t>
            </w:r>
            <w:r w:rsidRPr="00792D61">
              <w:rPr>
                <w:b/>
                <w:bCs/>
                <w:lang w:val="de-DE"/>
              </w:rPr>
              <w:t>[</w:t>
            </w:r>
            <w:r w:rsidRPr="00A62BBD">
              <w:rPr>
                <w:b/>
                <w:bCs/>
                <w:i/>
                <w:lang w:val="de-DE"/>
              </w:rPr>
              <w:t xml:space="preserve">jeweilige Zahl einfügen: </w:t>
            </w:r>
            <w:r w:rsidRPr="00792D61">
              <w:rPr>
                <w:b/>
                <w:bCs/>
                <w:lang w:val="de-DE"/>
              </w:rPr>
              <w:t>[</w:t>
            </w:r>
            <w:r w:rsidRPr="00CB33B4">
              <w:rPr>
                <w:bCs/>
                <w:lang w:val="de-DE"/>
              </w:rPr>
              <w:t>1st</w:t>
            </w:r>
            <w:r w:rsidRPr="00792D61">
              <w:rPr>
                <w:b/>
                <w:bCs/>
                <w:lang w:val="de-DE"/>
              </w:rPr>
              <w:t>][</w:t>
            </w:r>
            <w:r w:rsidRPr="00CB33B4">
              <w:rPr>
                <w:bCs/>
                <w:lang w:val="de-DE"/>
              </w:rPr>
              <w:t>2nd</w:t>
            </w:r>
            <w:r w:rsidRPr="00792D61">
              <w:rPr>
                <w:b/>
                <w:bCs/>
                <w:lang w:val="de-DE"/>
              </w:rPr>
              <w:t>][</w:t>
            </w:r>
            <w:r w:rsidRPr="00CB33B4">
              <w:rPr>
                <w:bCs/>
                <w:lang w:val="de-DE"/>
              </w:rPr>
              <w:t>3rd</w:t>
            </w:r>
            <w:r w:rsidRPr="00792D61">
              <w:rPr>
                <w:b/>
                <w:bCs/>
                <w:lang w:val="de-DE"/>
              </w:rPr>
              <w:t>][[</w:t>
            </w:r>
            <w:r w:rsidRPr="00CB33B4">
              <w:rPr>
                <w:rFonts w:ascii="Arial" w:hAnsi="Arial" w:cs="Arial"/>
                <w:bCs/>
                <w:lang w:val="de-DE"/>
              </w:rPr>
              <w:t>●</w:t>
            </w:r>
            <w:r w:rsidRPr="00792D61">
              <w:rPr>
                <w:b/>
                <w:bCs/>
                <w:lang w:val="de-DE"/>
              </w:rPr>
              <w:t>]]]</w:t>
            </w:r>
            <w:r w:rsidRPr="00CB33B4">
              <w:rPr>
                <w:bCs/>
                <w:lang w:val="de-DE"/>
              </w:rPr>
              <w:t xml:space="preserve">-to-Default- Referenzschuldner führen würde, dann wäre dieser Referenzschuldner oder ein anderer weiterer Potenzieller </w:t>
            </w:r>
            <w:r w:rsidRPr="00792D61">
              <w:rPr>
                <w:b/>
                <w:bCs/>
                <w:lang w:val="de-DE"/>
              </w:rPr>
              <w:t>[</w:t>
            </w:r>
            <w:r w:rsidRPr="00A62BBD">
              <w:rPr>
                <w:b/>
                <w:bCs/>
                <w:i/>
                <w:lang w:val="de-DE"/>
              </w:rPr>
              <w:t>jeweilige Zahl einfügen:</w:t>
            </w:r>
            <w:r w:rsidRPr="00CB33B4">
              <w:rPr>
                <w:bCs/>
                <w:lang w:val="de-DE"/>
              </w:rPr>
              <w:t xml:space="preserve"> </w:t>
            </w:r>
            <w:r w:rsidRPr="00792D61">
              <w:rPr>
                <w:b/>
                <w:bCs/>
                <w:lang w:val="de-DE"/>
              </w:rPr>
              <w:t>[</w:t>
            </w:r>
            <w:r w:rsidRPr="00CB33B4">
              <w:rPr>
                <w:bCs/>
                <w:lang w:val="de-DE"/>
              </w:rPr>
              <w:t>1st</w:t>
            </w:r>
            <w:r w:rsidRPr="00792D61">
              <w:rPr>
                <w:b/>
                <w:bCs/>
                <w:lang w:val="de-DE"/>
              </w:rPr>
              <w:t>][</w:t>
            </w:r>
            <w:r w:rsidRPr="00CB33B4">
              <w:rPr>
                <w:bCs/>
                <w:lang w:val="de-DE"/>
              </w:rPr>
              <w:t>2nd</w:t>
            </w:r>
            <w:r w:rsidRPr="00792D61">
              <w:rPr>
                <w:b/>
                <w:bCs/>
                <w:lang w:val="de-DE"/>
              </w:rPr>
              <w:t>][</w:t>
            </w:r>
            <w:r w:rsidRPr="00CB33B4">
              <w:rPr>
                <w:bCs/>
                <w:lang w:val="de-DE"/>
              </w:rPr>
              <w:t>3rd</w:t>
            </w:r>
            <w:r w:rsidRPr="00792D61">
              <w:rPr>
                <w:b/>
                <w:bCs/>
                <w:lang w:val="de-DE"/>
              </w:rPr>
              <w:t>][[</w:t>
            </w:r>
            <w:r w:rsidRPr="00CB33B4">
              <w:rPr>
                <w:rFonts w:ascii="Arial" w:hAnsi="Arial" w:cs="Arial"/>
                <w:bCs/>
                <w:lang w:val="de-DE"/>
              </w:rPr>
              <w:t>●</w:t>
            </w:r>
            <w:r w:rsidRPr="00792D61">
              <w:rPr>
                <w:b/>
                <w:bCs/>
                <w:lang w:val="de-DE"/>
              </w:rPr>
              <w:t>]]]</w:t>
            </w:r>
            <w:r w:rsidRPr="00CB33B4">
              <w:rPr>
                <w:bCs/>
                <w:lang w:val="de-DE"/>
              </w:rPr>
              <w:t xml:space="preserve">-to-Default- Referenzschuldner der </w:t>
            </w:r>
            <w:r w:rsidRPr="00792D61">
              <w:rPr>
                <w:b/>
                <w:bCs/>
                <w:lang w:val="de-DE"/>
              </w:rPr>
              <w:t>[</w:t>
            </w:r>
            <w:r w:rsidRPr="00A62BBD">
              <w:rPr>
                <w:b/>
                <w:bCs/>
                <w:i/>
                <w:lang w:val="de-DE"/>
              </w:rPr>
              <w:t>jeweilige Zahl einf</w:t>
            </w:r>
            <w:r w:rsidRPr="00A62BBD">
              <w:rPr>
                <w:rFonts w:cs="Credit Suisse Type Light"/>
                <w:b/>
                <w:bCs/>
                <w:i/>
                <w:lang w:val="de-DE"/>
              </w:rPr>
              <w:t>ü</w:t>
            </w:r>
            <w:r w:rsidRPr="00A62BBD">
              <w:rPr>
                <w:b/>
                <w:bCs/>
                <w:i/>
                <w:lang w:val="de-DE"/>
              </w:rPr>
              <w:t xml:space="preserve">gen: </w:t>
            </w:r>
            <w:r w:rsidRPr="00792D61">
              <w:rPr>
                <w:b/>
                <w:bCs/>
                <w:lang w:val="de-DE"/>
              </w:rPr>
              <w:t>[</w:t>
            </w:r>
            <w:r w:rsidRPr="00CB33B4">
              <w:rPr>
                <w:bCs/>
                <w:lang w:val="de-DE"/>
              </w:rPr>
              <w:t>1st</w:t>
            </w:r>
            <w:r w:rsidRPr="00792D61">
              <w:rPr>
                <w:b/>
                <w:bCs/>
                <w:lang w:val="de-DE"/>
              </w:rPr>
              <w:t>][</w:t>
            </w:r>
            <w:r w:rsidRPr="00CB33B4">
              <w:rPr>
                <w:bCs/>
                <w:lang w:val="de-DE"/>
              </w:rPr>
              <w:t>2nd</w:t>
            </w:r>
            <w:r w:rsidRPr="00792D61">
              <w:rPr>
                <w:b/>
                <w:bCs/>
                <w:lang w:val="de-DE"/>
              </w:rPr>
              <w:t>][</w:t>
            </w:r>
            <w:r w:rsidRPr="00CB33B4">
              <w:rPr>
                <w:bCs/>
                <w:lang w:val="de-DE"/>
              </w:rPr>
              <w:t>3rd</w:t>
            </w:r>
            <w:r w:rsidRPr="00792D61">
              <w:rPr>
                <w:b/>
                <w:bCs/>
                <w:lang w:val="de-DE"/>
              </w:rPr>
              <w:t>][[</w:t>
            </w:r>
            <w:r w:rsidRPr="00CB33B4">
              <w:rPr>
                <w:rFonts w:ascii="Arial" w:hAnsi="Arial" w:cs="Arial"/>
                <w:bCs/>
                <w:lang w:val="de-DE"/>
              </w:rPr>
              <w:t>●</w:t>
            </w:r>
            <w:r w:rsidRPr="00792D61">
              <w:rPr>
                <w:b/>
                <w:bCs/>
                <w:lang w:val="de-DE"/>
              </w:rPr>
              <w:t>]]]</w:t>
            </w:r>
            <w:r w:rsidRPr="00CB33B4">
              <w:rPr>
                <w:bCs/>
                <w:lang w:val="de-DE"/>
              </w:rPr>
              <w:t>-to-Default-Referenzschuldner.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33B4" w:rsidP="00A62BBD">
            <w:pPr>
              <w:pStyle w:val="CSBody8pt"/>
              <w:rPr>
                <w:lang w:val="de-DE"/>
              </w:rPr>
            </w:pPr>
            <w:r w:rsidRPr="00CB33B4">
              <w:rPr>
                <w:lang w:val="de-DE"/>
              </w:rPr>
              <w:t>Transaction Type</w:t>
            </w:r>
            <w:r>
              <w:rPr>
                <w:rStyle w:val="FootnoteReference"/>
                <w:b/>
                <w:lang w:val="de-DE"/>
              </w:rPr>
              <w:footnoteReference w:id="30"/>
            </w:r>
          </w:p>
        </w:tc>
        <w:tc>
          <w:tcPr>
            <w:tcW w:w="3315" w:type="dxa"/>
            <w:gridSpan w:val="7"/>
            <w:tcBorders>
              <w:top w:val="nil"/>
              <w:left w:val="nil"/>
              <w:bottom w:val="nil"/>
            </w:tcBorders>
            <w:shd w:val="clear" w:color="auto" w:fill="auto"/>
          </w:tcPr>
          <w:p w:rsidR="0017135D" w:rsidRPr="00CB33B4" w:rsidP="00A62BBD">
            <w:pPr>
              <w:pStyle w:val="CSBody8pt"/>
            </w:pPr>
            <w:r w:rsidRPr="00792D61">
              <w:rPr>
                <w:b/>
              </w:rPr>
              <w:t>[</w:t>
            </w:r>
            <w:r w:rsidRPr="00CB33B4">
              <w:t>Standard North American Corporate</w:t>
            </w:r>
            <w:r w:rsidRPr="00792D61">
              <w:rPr>
                <w:b/>
              </w:rPr>
              <w:t>]</w:t>
            </w:r>
          </w:p>
          <w:p w:rsidR="0017135D" w:rsidRPr="00CB33B4" w:rsidP="00A62BBD">
            <w:pPr>
              <w:pStyle w:val="CSBody8pt"/>
            </w:pPr>
            <w:r w:rsidRPr="00792D61">
              <w:rPr>
                <w:b/>
              </w:rPr>
              <w:t>[</w:t>
            </w:r>
            <w:r w:rsidRPr="00CB33B4">
              <w:t>Standard European Corporate</w:t>
            </w:r>
            <w:r w:rsidRPr="00792D61">
              <w:rPr>
                <w:b/>
              </w:rPr>
              <w:t>]</w:t>
            </w:r>
          </w:p>
          <w:p w:rsidR="0017135D" w:rsidRPr="00CB33B4" w:rsidP="00A62BBD">
            <w:pPr>
              <w:pStyle w:val="CSBody8pt"/>
            </w:pPr>
            <w:r w:rsidRPr="00792D61">
              <w:rPr>
                <w:b/>
              </w:rPr>
              <w:t>[</w:t>
            </w:r>
            <w:r w:rsidRPr="00CB33B4">
              <w:t>Standard European Financial Corporate</w:t>
            </w:r>
            <w:r w:rsidRPr="00792D61">
              <w:rPr>
                <w:b/>
              </w:rPr>
              <w:t>]</w:t>
            </w:r>
          </w:p>
          <w:p w:rsidR="0017135D" w:rsidRPr="00CB33B4" w:rsidP="00A62BBD">
            <w:pPr>
              <w:pStyle w:val="CSBody8pt"/>
            </w:pPr>
            <w:r w:rsidRPr="00792D61">
              <w:rPr>
                <w:b/>
              </w:rPr>
              <w:t>[</w:t>
            </w:r>
            <w:r w:rsidRPr="00CB33B4">
              <w:t>Standard European COCO Financial Corporate</w:t>
            </w:r>
            <w:r w:rsidRPr="00792D61">
              <w:rPr>
                <w:b/>
              </w:rPr>
              <w:t>]</w:t>
            </w:r>
          </w:p>
          <w:p w:rsidR="0017135D" w:rsidRPr="00CB33B4" w:rsidP="00A62BBD">
            <w:pPr>
              <w:pStyle w:val="CSBody8pt"/>
            </w:pPr>
            <w:r w:rsidRPr="00792D61">
              <w:rPr>
                <w:b/>
              </w:rPr>
              <w:t>[</w:t>
            </w:r>
            <w:r w:rsidRPr="00CB33B4">
              <w:t>Standard Subordinated European Insurance Corporate</w:t>
            </w:r>
            <w:r w:rsidRPr="00792D61">
              <w:rPr>
                <w:b/>
              </w:rPr>
              <w:t>]</w:t>
            </w:r>
          </w:p>
          <w:p w:rsidR="0017135D" w:rsidRPr="00CB33B4" w:rsidP="00A62BBD">
            <w:pPr>
              <w:pStyle w:val="CSBody8pt"/>
            </w:pPr>
            <w:r w:rsidRPr="00792D61">
              <w:rPr>
                <w:b/>
              </w:rPr>
              <w:t>[</w:t>
            </w:r>
            <w:r w:rsidRPr="00CB33B4">
              <w:t>Standard Western European Sovereign</w:t>
            </w:r>
            <w:r w:rsidRPr="00792D61">
              <w:rPr>
                <w:b/>
              </w:rPr>
              <w:t>]</w:t>
            </w:r>
          </w:p>
          <w:p w:rsidR="0017135D" w:rsidRPr="00CB33B4" w:rsidP="00A62BBD">
            <w:pPr>
              <w:pStyle w:val="CSBody8pt"/>
            </w:pPr>
            <w:r w:rsidRPr="00792D61">
              <w:rPr>
                <w:b/>
              </w:rPr>
              <w:t>[</w:t>
            </w:r>
            <w:r w:rsidRPr="00CB33B4">
              <w:t>Standard Emerging European Corporate LPN</w:t>
            </w:r>
            <w:r w:rsidRPr="00792D61">
              <w:rPr>
                <w:b/>
              </w:rPr>
              <w:t>]</w:t>
            </w:r>
          </w:p>
          <w:p w:rsidR="0017135D" w:rsidRPr="00CB33B4" w:rsidP="00A62BBD">
            <w:pPr>
              <w:pStyle w:val="CSBody8pt"/>
            </w:pPr>
            <w:r w:rsidRPr="00792D61">
              <w:rPr>
                <w:b/>
              </w:rPr>
              <w:t>[</w:t>
            </w:r>
            <w:r w:rsidRPr="00CB33B4">
              <w:t>Standard Emerging European Corporate</w:t>
            </w:r>
            <w:r w:rsidRPr="00792D61">
              <w:rPr>
                <w:b/>
              </w:rPr>
              <w:t>]</w:t>
            </w:r>
          </w:p>
          <w:p w:rsidR="0017135D" w:rsidRPr="00CB33B4" w:rsidP="00A62BBD">
            <w:pPr>
              <w:pStyle w:val="CSBody8pt"/>
            </w:pPr>
            <w:r w:rsidRPr="00792D61">
              <w:rPr>
                <w:b/>
              </w:rPr>
              <w:t>[</w:t>
            </w:r>
            <w:r w:rsidRPr="00CB33B4">
              <w:t>Standard Latin America Corporate B</w:t>
            </w:r>
            <w:r w:rsidRPr="00792D61">
              <w:rPr>
                <w:b/>
              </w:rPr>
              <w:t>]</w:t>
            </w:r>
          </w:p>
          <w:p w:rsidR="0017135D" w:rsidRPr="00CB33B4" w:rsidP="00A62BBD">
            <w:pPr>
              <w:pStyle w:val="CSBody8pt"/>
            </w:pPr>
            <w:r w:rsidRPr="00792D61">
              <w:rPr>
                <w:b/>
              </w:rPr>
              <w:t>[</w:t>
            </w:r>
            <w:r w:rsidRPr="00CB33B4">
              <w:t>Standard Latin America Corporate BL</w:t>
            </w:r>
            <w:r w:rsidRPr="00792D61">
              <w:rPr>
                <w:b/>
              </w:rPr>
              <w:t>]</w:t>
            </w:r>
          </w:p>
          <w:p w:rsidR="0017135D" w:rsidRPr="00CB33B4" w:rsidP="00A62BBD">
            <w:pPr>
              <w:pStyle w:val="CSBody8pt"/>
            </w:pPr>
            <w:r w:rsidRPr="00792D61">
              <w:rPr>
                <w:b/>
              </w:rPr>
              <w:t>[</w:t>
            </w:r>
            <w:r w:rsidRPr="00CB33B4">
              <w:t>Standard Latin America Sovereign</w:t>
            </w:r>
            <w:r w:rsidRPr="00792D61">
              <w:rPr>
                <w:b/>
              </w:rPr>
              <w:t>]</w:t>
            </w:r>
          </w:p>
          <w:p w:rsidR="0017135D" w:rsidRPr="00CB33B4" w:rsidP="00A62BBD">
            <w:pPr>
              <w:pStyle w:val="CSBody8pt"/>
            </w:pPr>
            <w:r w:rsidRPr="00792D61">
              <w:rPr>
                <w:b/>
              </w:rPr>
              <w:t>[</w:t>
            </w:r>
            <w:r w:rsidRPr="00CB33B4">
              <w:t>Standard Emerging European &amp; Middle Eastern Sovereign</w:t>
            </w:r>
            <w:r w:rsidRPr="00792D61">
              <w:rPr>
                <w:b/>
              </w:rPr>
              <w:t>]</w:t>
            </w:r>
          </w:p>
          <w:p w:rsidR="0017135D" w:rsidRPr="00CB33B4" w:rsidP="00A62BBD">
            <w:pPr>
              <w:pStyle w:val="CSBody8pt"/>
            </w:pPr>
            <w:r w:rsidRPr="00792D61">
              <w:rPr>
                <w:b/>
              </w:rPr>
              <w:t>[</w:t>
            </w:r>
            <w:r w:rsidRPr="00CB33B4">
              <w:t>Standard Australia Corporate</w:t>
            </w:r>
            <w:r w:rsidRPr="00792D61">
              <w:rPr>
                <w:b/>
              </w:rPr>
              <w:t>]</w:t>
            </w:r>
          </w:p>
          <w:p w:rsidR="0017135D" w:rsidRPr="00CB33B4" w:rsidP="00A62BBD">
            <w:pPr>
              <w:pStyle w:val="CSBody8pt"/>
            </w:pPr>
            <w:r w:rsidRPr="00792D61">
              <w:rPr>
                <w:b/>
              </w:rPr>
              <w:t>[</w:t>
            </w:r>
            <w:r w:rsidRPr="00CB33B4">
              <w:t>Standard Australia Financial Corporate</w:t>
            </w:r>
            <w:r w:rsidRPr="00792D61">
              <w:rPr>
                <w:b/>
              </w:rPr>
              <w:t>]</w:t>
            </w:r>
          </w:p>
          <w:p w:rsidR="0017135D" w:rsidRPr="00CB33B4" w:rsidP="00A62BBD">
            <w:pPr>
              <w:pStyle w:val="CSBody8pt"/>
            </w:pPr>
            <w:r w:rsidRPr="00792D61">
              <w:rPr>
                <w:b/>
              </w:rPr>
              <w:t>[</w:t>
            </w:r>
            <w:r w:rsidRPr="00CB33B4">
              <w:t>Standard New Zealand Corporate</w:t>
            </w:r>
            <w:r w:rsidRPr="00792D61">
              <w:rPr>
                <w:b/>
              </w:rPr>
              <w:t>]</w:t>
            </w:r>
          </w:p>
          <w:p w:rsidR="0017135D" w:rsidRPr="00CB33B4" w:rsidP="00A62BBD">
            <w:pPr>
              <w:pStyle w:val="CSBody8pt"/>
            </w:pPr>
            <w:r w:rsidRPr="00792D61">
              <w:rPr>
                <w:b/>
              </w:rPr>
              <w:t>[</w:t>
            </w:r>
            <w:r w:rsidRPr="00CB33B4">
              <w:t>Standard New Zealand Financial Corporate</w:t>
            </w:r>
            <w:r w:rsidRPr="00792D61">
              <w:rPr>
                <w:b/>
              </w:rPr>
              <w:t>]</w:t>
            </w:r>
          </w:p>
          <w:p w:rsidR="0017135D" w:rsidRPr="00CB33B4" w:rsidP="00A62BBD">
            <w:pPr>
              <w:pStyle w:val="CSBody8pt"/>
            </w:pPr>
            <w:r w:rsidRPr="00792D61">
              <w:rPr>
                <w:b/>
              </w:rPr>
              <w:t>[</w:t>
            </w:r>
            <w:r w:rsidRPr="00CB33B4">
              <w:t>Standard Australia Sovereign</w:t>
            </w:r>
            <w:r w:rsidRPr="00792D61">
              <w:rPr>
                <w:b/>
              </w:rPr>
              <w:t>]</w:t>
            </w:r>
          </w:p>
          <w:p w:rsidR="0017135D" w:rsidRPr="00CB33B4" w:rsidP="00A62BBD">
            <w:pPr>
              <w:pStyle w:val="CSBody8pt"/>
            </w:pPr>
            <w:r w:rsidRPr="00792D61">
              <w:rPr>
                <w:b/>
              </w:rPr>
              <w:t>[</w:t>
            </w:r>
            <w:r w:rsidRPr="00CB33B4">
              <w:t>Standard New Zealand Sovereign</w:t>
            </w:r>
            <w:r w:rsidRPr="00792D61">
              <w:rPr>
                <w:b/>
              </w:rPr>
              <w:t>]</w:t>
            </w:r>
          </w:p>
          <w:p w:rsidR="0017135D" w:rsidRPr="00CB33B4" w:rsidP="00A62BBD">
            <w:pPr>
              <w:pStyle w:val="CSBody8pt"/>
            </w:pPr>
            <w:r w:rsidRPr="00792D61">
              <w:rPr>
                <w:b/>
              </w:rPr>
              <w:t>[</w:t>
            </w:r>
            <w:r w:rsidRPr="00CB33B4">
              <w:t>Standard Japan Corporate</w:t>
            </w:r>
            <w:r w:rsidRPr="00792D61">
              <w:rPr>
                <w:b/>
              </w:rPr>
              <w:t>]</w:t>
            </w:r>
          </w:p>
          <w:p w:rsidR="0017135D" w:rsidRPr="00CB33B4" w:rsidP="00A62BBD">
            <w:pPr>
              <w:pStyle w:val="CSBody8pt"/>
            </w:pPr>
            <w:r w:rsidRPr="00792D61">
              <w:rPr>
                <w:b/>
              </w:rPr>
              <w:t>[</w:t>
            </w:r>
            <w:r w:rsidRPr="00CB33B4">
              <w:t>Standard Japan Financial Corporate</w:t>
            </w:r>
            <w:r w:rsidRPr="00792D61">
              <w:rPr>
                <w:b/>
              </w:rPr>
              <w:t>]</w:t>
            </w:r>
          </w:p>
          <w:p w:rsidR="0017135D" w:rsidRPr="00CB33B4" w:rsidP="00A62BBD">
            <w:pPr>
              <w:pStyle w:val="CSBody8pt"/>
            </w:pPr>
            <w:r w:rsidRPr="00792D61">
              <w:rPr>
                <w:b/>
              </w:rPr>
              <w:t>[</w:t>
            </w:r>
            <w:r w:rsidRPr="00CB33B4">
              <w:t>Standard Singapore Corporate</w:t>
            </w:r>
            <w:r w:rsidRPr="00792D61">
              <w:rPr>
                <w:b/>
              </w:rPr>
              <w:t>]</w:t>
            </w:r>
          </w:p>
          <w:p w:rsidR="0017135D" w:rsidRPr="00CB33B4" w:rsidP="00A62BBD">
            <w:pPr>
              <w:pStyle w:val="CSBody8pt"/>
            </w:pPr>
            <w:r w:rsidRPr="00792D61">
              <w:rPr>
                <w:b/>
              </w:rPr>
              <w:t>[</w:t>
            </w:r>
            <w:r w:rsidRPr="00CB33B4">
              <w:t>Standard Singapore Financial Corporate</w:t>
            </w:r>
            <w:r w:rsidRPr="00792D61">
              <w:rPr>
                <w:b/>
              </w:rPr>
              <w:t>]</w:t>
            </w:r>
          </w:p>
          <w:p w:rsidR="0017135D" w:rsidRPr="00CB33B4" w:rsidP="00A62BBD">
            <w:pPr>
              <w:pStyle w:val="CSBody8pt"/>
            </w:pPr>
            <w:r w:rsidRPr="00792D61">
              <w:rPr>
                <w:b/>
              </w:rPr>
              <w:t>[</w:t>
            </w:r>
            <w:r w:rsidRPr="00CB33B4">
              <w:t>Standard Asia Corporate</w:t>
            </w:r>
            <w:r w:rsidRPr="00792D61">
              <w:rPr>
                <w:b/>
              </w:rPr>
              <w:t>]</w:t>
            </w:r>
          </w:p>
          <w:p w:rsidR="0017135D" w:rsidRPr="00CB33B4" w:rsidP="00A62BBD">
            <w:pPr>
              <w:pStyle w:val="CSBody8pt"/>
            </w:pPr>
            <w:r w:rsidRPr="00792D61">
              <w:rPr>
                <w:b/>
              </w:rPr>
              <w:t>[</w:t>
            </w:r>
            <w:r w:rsidRPr="00CB33B4">
              <w:t>Standard Asia Financial Corporate</w:t>
            </w:r>
            <w:r w:rsidRPr="00792D61">
              <w:rPr>
                <w:b/>
              </w:rPr>
              <w:t>]</w:t>
            </w:r>
          </w:p>
          <w:p w:rsidR="0017135D" w:rsidRPr="00CB33B4" w:rsidP="00A62BBD">
            <w:pPr>
              <w:pStyle w:val="CSBody8pt"/>
            </w:pPr>
            <w:r w:rsidRPr="00792D61">
              <w:rPr>
                <w:b/>
              </w:rPr>
              <w:t>[</w:t>
            </w:r>
            <w:r w:rsidRPr="00CB33B4">
              <w:t>Standard Japan Sovereign</w:t>
            </w:r>
            <w:r w:rsidRPr="00792D61">
              <w:rPr>
                <w:b/>
              </w:rPr>
              <w:t>]</w:t>
            </w:r>
          </w:p>
          <w:p w:rsidR="0017135D" w:rsidRPr="00CB33B4" w:rsidP="00A62BBD">
            <w:pPr>
              <w:pStyle w:val="CSBody8pt"/>
            </w:pPr>
            <w:r w:rsidRPr="00792D61">
              <w:rPr>
                <w:b/>
              </w:rPr>
              <w:t>[</w:t>
            </w:r>
            <w:r w:rsidRPr="00CB33B4">
              <w:t>Standard Singapore Sovereign</w:t>
            </w:r>
            <w:r w:rsidRPr="00792D61">
              <w:rPr>
                <w:b/>
              </w:rPr>
              <w:t>]</w:t>
            </w:r>
          </w:p>
          <w:p w:rsidR="0017135D" w:rsidRPr="00CB33B4" w:rsidP="00A62BBD">
            <w:pPr>
              <w:pStyle w:val="CSBody8pt"/>
            </w:pPr>
            <w:r w:rsidRPr="00792D61">
              <w:rPr>
                <w:b/>
              </w:rPr>
              <w:t>[</w:t>
            </w:r>
            <w:r w:rsidRPr="00CB33B4">
              <w:t>Standard Asia Sovereign</w:t>
            </w:r>
            <w:r w:rsidRPr="00792D61">
              <w:rPr>
                <w:b/>
              </w:rPr>
              <w:t>]</w:t>
            </w:r>
          </w:p>
          <w:p w:rsidR="0017135D" w:rsidRPr="00C16D23" w:rsidP="00A62BBD">
            <w:pPr>
              <w:pStyle w:val="CSBody8pt"/>
            </w:pPr>
            <w:r w:rsidRPr="00792D61">
              <w:rPr>
                <w:b/>
              </w:rPr>
              <w:t>[</w:t>
            </w:r>
            <w:r w:rsidRPr="00C16D23">
              <w:t>Standard Sukuk Corporate</w:t>
            </w:r>
            <w:r w:rsidRPr="00792D61">
              <w:rPr>
                <w:b/>
              </w:rPr>
              <w:t>]</w:t>
            </w:r>
          </w:p>
          <w:p w:rsidR="0017135D" w:rsidRPr="00C16D23" w:rsidP="00A62BBD">
            <w:pPr>
              <w:pStyle w:val="CSBody8pt"/>
            </w:pPr>
            <w:r w:rsidRPr="00792D61">
              <w:rPr>
                <w:b/>
              </w:rPr>
              <w:t>[</w:t>
            </w:r>
            <w:r w:rsidRPr="00C16D23">
              <w:t>Standard Sukuk Sovereign</w:t>
            </w:r>
            <w:r w:rsidRPr="00792D61">
              <w:rPr>
                <w:b/>
              </w:rPr>
              <w:t>]</w:t>
            </w:r>
          </w:p>
        </w:tc>
        <w:tc>
          <w:tcPr>
            <w:tcW w:w="1618" w:type="dxa"/>
            <w:gridSpan w:val="2"/>
            <w:tcBorders>
              <w:top w:val="nil"/>
              <w:bottom w:val="nil"/>
              <w:right w:val="nil"/>
            </w:tcBorders>
            <w:shd w:val="clear" w:color="auto" w:fill="auto"/>
          </w:tcPr>
          <w:p w:rsidR="0017135D" w:rsidRPr="00CB33B4" w:rsidP="00A62BBD">
            <w:pPr>
              <w:pStyle w:val="CSBody8pt"/>
              <w:rPr>
                <w:i/>
                <w:lang w:val="de-DE"/>
              </w:rPr>
            </w:pPr>
            <w:r w:rsidRPr="00BD6E0D">
              <w:rPr>
                <w:lang w:val="de-DE"/>
              </w:rPr>
              <w:t>Transaktionstyp</w:t>
            </w:r>
            <w:r>
              <w:rPr>
                <w:rStyle w:val="FootnoteReference"/>
                <w:b/>
                <w:i/>
                <w:lang w:val="de-DE"/>
              </w:rPr>
              <w:footnoteReference w:id="31"/>
            </w:r>
          </w:p>
        </w:tc>
        <w:tc>
          <w:tcPr>
            <w:tcW w:w="3318" w:type="dxa"/>
            <w:gridSpan w:val="10"/>
            <w:tcBorders>
              <w:top w:val="nil"/>
              <w:left w:val="nil"/>
              <w:bottom w:val="nil"/>
              <w:right w:val="nil"/>
            </w:tcBorders>
            <w:shd w:val="clear" w:color="auto" w:fill="auto"/>
          </w:tcPr>
          <w:p w:rsidR="0017135D" w:rsidRPr="00CB33B4" w:rsidP="00A62BBD">
            <w:pPr>
              <w:pStyle w:val="CSBody8pt"/>
              <w:rPr>
                <w:bCs/>
              </w:rPr>
            </w:pPr>
            <w:r w:rsidRPr="00792D61">
              <w:rPr>
                <w:b/>
                <w:bCs/>
              </w:rPr>
              <w:t>[</w:t>
            </w:r>
            <w:r w:rsidRPr="00CB33B4">
              <w:rPr>
                <w:bCs/>
              </w:rPr>
              <w:t>Standard North American Corporate</w:t>
            </w:r>
            <w:r w:rsidRPr="00792D61">
              <w:rPr>
                <w:b/>
                <w:bCs/>
              </w:rPr>
              <w:t>]</w:t>
            </w:r>
          </w:p>
          <w:p w:rsidR="0017135D" w:rsidRPr="00CB33B4" w:rsidP="00A62BBD">
            <w:pPr>
              <w:pStyle w:val="CSBody8pt"/>
              <w:rPr>
                <w:bCs/>
              </w:rPr>
            </w:pPr>
            <w:r w:rsidRPr="00792D61">
              <w:rPr>
                <w:b/>
                <w:bCs/>
              </w:rPr>
              <w:t>[</w:t>
            </w:r>
            <w:r w:rsidRPr="00CB33B4">
              <w:rPr>
                <w:bCs/>
              </w:rPr>
              <w:t>Standard European Corporate</w:t>
            </w:r>
            <w:r w:rsidRPr="00792D61">
              <w:rPr>
                <w:b/>
                <w:bCs/>
              </w:rPr>
              <w:t>]</w:t>
            </w:r>
          </w:p>
          <w:p w:rsidR="0017135D" w:rsidRPr="00CB33B4" w:rsidP="00A62BBD">
            <w:pPr>
              <w:pStyle w:val="CSBody8pt"/>
              <w:rPr>
                <w:bCs/>
              </w:rPr>
            </w:pPr>
            <w:r w:rsidRPr="00792D61">
              <w:rPr>
                <w:b/>
                <w:bCs/>
              </w:rPr>
              <w:t>[</w:t>
            </w:r>
            <w:r w:rsidRPr="00CB33B4">
              <w:rPr>
                <w:bCs/>
              </w:rPr>
              <w:t>Standard European Financial Corporate</w:t>
            </w:r>
            <w:r w:rsidRPr="00792D61">
              <w:rPr>
                <w:b/>
                <w:bCs/>
              </w:rPr>
              <w:t>]</w:t>
            </w:r>
          </w:p>
          <w:p w:rsidR="0017135D" w:rsidRPr="00CB33B4" w:rsidP="00A62BBD">
            <w:pPr>
              <w:pStyle w:val="CSBody8pt"/>
              <w:rPr>
                <w:bCs/>
              </w:rPr>
            </w:pPr>
            <w:r w:rsidRPr="00792D61">
              <w:rPr>
                <w:b/>
                <w:bCs/>
              </w:rPr>
              <w:t>[</w:t>
            </w:r>
            <w:r w:rsidRPr="00CB33B4">
              <w:rPr>
                <w:bCs/>
              </w:rPr>
              <w:t>Standard European COCO Financial Corporate</w:t>
            </w:r>
            <w:r w:rsidRPr="00792D61">
              <w:rPr>
                <w:b/>
                <w:bCs/>
              </w:rPr>
              <w:t>]</w:t>
            </w:r>
          </w:p>
          <w:p w:rsidR="0017135D" w:rsidRPr="00CB33B4" w:rsidP="00A62BBD">
            <w:pPr>
              <w:pStyle w:val="CSBody8pt"/>
              <w:rPr>
                <w:bCs/>
              </w:rPr>
            </w:pPr>
            <w:r w:rsidRPr="00792D61">
              <w:rPr>
                <w:b/>
                <w:bCs/>
              </w:rPr>
              <w:t>[</w:t>
            </w:r>
            <w:r w:rsidRPr="00CB33B4">
              <w:rPr>
                <w:bCs/>
              </w:rPr>
              <w:t>Standard Subordinated European Insurance Corporate</w:t>
            </w:r>
            <w:r w:rsidRPr="00792D61">
              <w:rPr>
                <w:b/>
                <w:bCs/>
              </w:rPr>
              <w:t>]</w:t>
            </w:r>
          </w:p>
          <w:p w:rsidR="0017135D" w:rsidRPr="00CB33B4" w:rsidP="00A62BBD">
            <w:pPr>
              <w:pStyle w:val="CSBody8pt"/>
              <w:rPr>
                <w:bCs/>
              </w:rPr>
            </w:pPr>
            <w:r w:rsidRPr="00792D61">
              <w:rPr>
                <w:b/>
                <w:bCs/>
              </w:rPr>
              <w:t>[</w:t>
            </w:r>
            <w:r w:rsidRPr="00CB33B4">
              <w:rPr>
                <w:bCs/>
              </w:rPr>
              <w:t>Standard Western European Sovereign</w:t>
            </w:r>
            <w:r w:rsidRPr="00792D61">
              <w:rPr>
                <w:b/>
                <w:bCs/>
              </w:rPr>
              <w:t>]</w:t>
            </w:r>
          </w:p>
          <w:p w:rsidR="0017135D" w:rsidRPr="00CB33B4" w:rsidP="00A62BBD">
            <w:pPr>
              <w:pStyle w:val="CSBody8pt"/>
              <w:rPr>
                <w:bCs/>
              </w:rPr>
            </w:pPr>
            <w:r w:rsidRPr="00792D61">
              <w:rPr>
                <w:b/>
                <w:bCs/>
              </w:rPr>
              <w:t>[</w:t>
            </w:r>
            <w:r w:rsidRPr="00CB33B4">
              <w:rPr>
                <w:bCs/>
              </w:rPr>
              <w:t>Standard Emerging European Corporate LPN</w:t>
            </w:r>
            <w:r w:rsidRPr="00792D61">
              <w:rPr>
                <w:b/>
                <w:bCs/>
              </w:rPr>
              <w:t>]</w:t>
            </w:r>
          </w:p>
          <w:p w:rsidR="0017135D" w:rsidRPr="00CB33B4" w:rsidP="00A62BBD">
            <w:pPr>
              <w:pStyle w:val="CSBody8pt"/>
              <w:rPr>
                <w:bCs/>
              </w:rPr>
            </w:pPr>
            <w:r w:rsidRPr="00792D61">
              <w:rPr>
                <w:b/>
                <w:bCs/>
              </w:rPr>
              <w:t>[</w:t>
            </w:r>
            <w:r w:rsidRPr="00CB33B4">
              <w:rPr>
                <w:bCs/>
              </w:rPr>
              <w:t>Standard Emerging European Corporate</w:t>
            </w:r>
            <w:r w:rsidRPr="00792D61">
              <w:rPr>
                <w:b/>
                <w:bCs/>
              </w:rPr>
              <w:t>]</w:t>
            </w:r>
          </w:p>
          <w:p w:rsidR="0017135D" w:rsidRPr="00CB33B4" w:rsidP="00A62BBD">
            <w:pPr>
              <w:pStyle w:val="CSBody8pt"/>
              <w:rPr>
                <w:bCs/>
              </w:rPr>
            </w:pPr>
            <w:r w:rsidRPr="00792D61">
              <w:rPr>
                <w:b/>
                <w:bCs/>
              </w:rPr>
              <w:t>[</w:t>
            </w:r>
            <w:r w:rsidRPr="00CB33B4">
              <w:rPr>
                <w:bCs/>
              </w:rPr>
              <w:t>Standard Latin America Corporate B</w:t>
            </w:r>
            <w:r w:rsidRPr="00792D61">
              <w:rPr>
                <w:b/>
                <w:bCs/>
              </w:rPr>
              <w:t>]</w:t>
            </w:r>
          </w:p>
          <w:p w:rsidR="0017135D" w:rsidRPr="00CB33B4" w:rsidP="00A62BBD">
            <w:pPr>
              <w:pStyle w:val="CSBody8pt"/>
              <w:rPr>
                <w:bCs/>
              </w:rPr>
            </w:pPr>
            <w:r w:rsidRPr="00792D61">
              <w:rPr>
                <w:b/>
                <w:bCs/>
              </w:rPr>
              <w:t>[</w:t>
            </w:r>
            <w:r w:rsidRPr="00CB33B4">
              <w:rPr>
                <w:bCs/>
              </w:rPr>
              <w:t>Standard Latin America Corporate BL</w:t>
            </w:r>
            <w:r w:rsidRPr="00792D61">
              <w:rPr>
                <w:b/>
                <w:bCs/>
              </w:rPr>
              <w:t>]</w:t>
            </w:r>
          </w:p>
          <w:p w:rsidR="0017135D" w:rsidRPr="00CB33B4" w:rsidP="00A62BBD">
            <w:pPr>
              <w:pStyle w:val="CSBody8pt"/>
              <w:rPr>
                <w:bCs/>
              </w:rPr>
            </w:pPr>
            <w:r w:rsidRPr="00792D61">
              <w:rPr>
                <w:b/>
                <w:bCs/>
              </w:rPr>
              <w:t>[</w:t>
            </w:r>
            <w:r w:rsidRPr="00CB33B4">
              <w:rPr>
                <w:bCs/>
              </w:rPr>
              <w:t>Standard Latin America Sovereign</w:t>
            </w:r>
            <w:r w:rsidRPr="00792D61">
              <w:rPr>
                <w:b/>
                <w:bCs/>
              </w:rPr>
              <w:t>]</w:t>
            </w:r>
          </w:p>
          <w:p w:rsidR="0017135D" w:rsidRPr="00CB33B4" w:rsidP="00A62BBD">
            <w:pPr>
              <w:pStyle w:val="CSBody8pt"/>
              <w:rPr>
                <w:bCs/>
              </w:rPr>
            </w:pPr>
            <w:r w:rsidRPr="00792D61">
              <w:rPr>
                <w:b/>
                <w:bCs/>
              </w:rPr>
              <w:t>[</w:t>
            </w:r>
            <w:r w:rsidRPr="00CB33B4">
              <w:rPr>
                <w:bCs/>
              </w:rPr>
              <w:t>Standard Emerging European &amp; Middle Eastern Sovereign</w:t>
            </w:r>
            <w:r w:rsidRPr="00792D61">
              <w:rPr>
                <w:b/>
                <w:bCs/>
              </w:rPr>
              <w:t>]</w:t>
            </w:r>
          </w:p>
          <w:p w:rsidR="0017135D" w:rsidRPr="00CB33B4" w:rsidP="00A62BBD">
            <w:pPr>
              <w:pStyle w:val="CSBody8pt"/>
              <w:rPr>
                <w:bCs/>
              </w:rPr>
            </w:pPr>
            <w:r w:rsidRPr="00792D61">
              <w:rPr>
                <w:b/>
                <w:bCs/>
              </w:rPr>
              <w:t>[</w:t>
            </w:r>
            <w:r w:rsidRPr="00CB33B4">
              <w:rPr>
                <w:bCs/>
              </w:rPr>
              <w:t>Standard Australia Corporate</w:t>
            </w:r>
            <w:r w:rsidRPr="00792D61">
              <w:rPr>
                <w:b/>
                <w:bCs/>
              </w:rPr>
              <w:t>]</w:t>
            </w:r>
          </w:p>
          <w:p w:rsidR="0017135D" w:rsidRPr="00CB33B4" w:rsidP="00A62BBD">
            <w:pPr>
              <w:pStyle w:val="CSBody8pt"/>
              <w:rPr>
                <w:bCs/>
              </w:rPr>
            </w:pPr>
            <w:r w:rsidRPr="00792D61">
              <w:rPr>
                <w:b/>
                <w:bCs/>
              </w:rPr>
              <w:t>[</w:t>
            </w:r>
            <w:r w:rsidRPr="00CB33B4">
              <w:rPr>
                <w:bCs/>
              </w:rPr>
              <w:t>Standard Australia Financial Corporate</w:t>
            </w:r>
            <w:r w:rsidRPr="00792D61">
              <w:rPr>
                <w:b/>
                <w:bCs/>
              </w:rPr>
              <w:t>]</w:t>
            </w:r>
          </w:p>
          <w:p w:rsidR="0017135D" w:rsidRPr="00CB33B4" w:rsidP="00A62BBD">
            <w:pPr>
              <w:pStyle w:val="CSBody8pt"/>
              <w:rPr>
                <w:bCs/>
              </w:rPr>
            </w:pPr>
            <w:r w:rsidRPr="00792D61">
              <w:rPr>
                <w:b/>
                <w:bCs/>
              </w:rPr>
              <w:t>[</w:t>
            </w:r>
            <w:r w:rsidRPr="00CB33B4">
              <w:rPr>
                <w:bCs/>
              </w:rPr>
              <w:t>Standard New Zealand Corporate</w:t>
            </w:r>
            <w:r w:rsidRPr="00792D61">
              <w:rPr>
                <w:b/>
                <w:bCs/>
              </w:rPr>
              <w:t>]</w:t>
            </w:r>
          </w:p>
          <w:p w:rsidR="0017135D" w:rsidRPr="00CB33B4" w:rsidP="00A62BBD">
            <w:pPr>
              <w:pStyle w:val="CSBody8pt"/>
              <w:rPr>
                <w:bCs/>
              </w:rPr>
            </w:pPr>
            <w:r w:rsidRPr="00792D61">
              <w:rPr>
                <w:b/>
                <w:bCs/>
              </w:rPr>
              <w:t>[</w:t>
            </w:r>
            <w:r w:rsidRPr="00CB33B4">
              <w:rPr>
                <w:bCs/>
              </w:rPr>
              <w:t>Standard New Zealand Financial Corporate</w:t>
            </w:r>
            <w:r w:rsidRPr="00792D61">
              <w:rPr>
                <w:b/>
                <w:bCs/>
              </w:rPr>
              <w:t>]</w:t>
            </w:r>
          </w:p>
          <w:p w:rsidR="0017135D" w:rsidRPr="00CB33B4" w:rsidP="00A62BBD">
            <w:pPr>
              <w:pStyle w:val="CSBody8pt"/>
              <w:rPr>
                <w:bCs/>
              </w:rPr>
            </w:pPr>
            <w:r w:rsidRPr="00792D61">
              <w:rPr>
                <w:b/>
                <w:bCs/>
              </w:rPr>
              <w:t>[</w:t>
            </w:r>
            <w:r w:rsidRPr="00CB33B4">
              <w:rPr>
                <w:bCs/>
              </w:rPr>
              <w:t>Standard Australia Sovereign</w:t>
            </w:r>
            <w:r w:rsidRPr="00792D61">
              <w:rPr>
                <w:b/>
                <w:bCs/>
              </w:rPr>
              <w:t>]</w:t>
            </w:r>
          </w:p>
          <w:p w:rsidR="0017135D" w:rsidRPr="00CB33B4" w:rsidP="00A62BBD">
            <w:pPr>
              <w:pStyle w:val="CSBody8pt"/>
              <w:rPr>
                <w:bCs/>
              </w:rPr>
            </w:pPr>
            <w:r w:rsidRPr="00792D61">
              <w:rPr>
                <w:b/>
                <w:bCs/>
              </w:rPr>
              <w:t>[</w:t>
            </w:r>
            <w:r w:rsidRPr="00CB33B4">
              <w:rPr>
                <w:bCs/>
              </w:rPr>
              <w:t>Standard New Zealand Sovereign</w:t>
            </w:r>
            <w:r w:rsidRPr="00792D61">
              <w:rPr>
                <w:b/>
                <w:bCs/>
              </w:rPr>
              <w:t>]</w:t>
            </w:r>
          </w:p>
          <w:p w:rsidR="0017135D" w:rsidRPr="00CB33B4" w:rsidP="00A62BBD">
            <w:pPr>
              <w:pStyle w:val="CSBody8pt"/>
              <w:rPr>
                <w:bCs/>
              </w:rPr>
            </w:pPr>
            <w:r w:rsidRPr="00792D61">
              <w:rPr>
                <w:b/>
                <w:bCs/>
              </w:rPr>
              <w:t>[</w:t>
            </w:r>
            <w:r w:rsidRPr="00CB33B4">
              <w:rPr>
                <w:bCs/>
              </w:rPr>
              <w:t>Standard Japan Corporate</w:t>
            </w:r>
            <w:r w:rsidRPr="00792D61">
              <w:rPr>
                <w:b/>
                <w:bCs/>
              </w:rPr>
              <w:t>]</w:t>
            </w:r>
          </w:p>
          <w:p w:rsidR="0017135D" w:rsidRPr="00CB33B4" w:rsidP="00A62BBD">
            <w:pPr>
              <w:pStyle w:val="CSBody8pt"/>
              <w:rPr>
                <w:bCs/>
              </w:rPr>
            </w:pPr>
            <w:r w:rsidRPr="00792D61">
              <w:rPr>
                <w:b/>
                <w:bCs/>
              </w:rPr>
              <w:t>[</w:t>
            </w:r>
            <w:r w:rsidRPr="00CB33B4">
              <w:rPr>
                <w:bCs/>
              </w:rPr>
              <w:t>Standard Japan Financial Corporate</w:t>
            </w:r>
            <w:r w:rsidRPr="00792D61">
              <w:rPr>
                <w:b/>
                <w:bCs/>
              </w:rPr>
              <w:t>]</w:t>
            </w:r>
          </w:p>
          <w:p w:rsidR="0017135D" w:rsidRPr="00CB33B4" w:rsidP="00A62BBD">
            <w:pPr>
              <w:pStyle w:val="CSBody8pt"/>
              <w:rPr>
                <w:bCs/>
              </w:rPr>
            </w:pPr>
            <w:r w:rsidRPr="00792D61">
              <w:rPr>
                <w:b/>
                <w:bCs/>
              </w:rPr>
              <w:t>[</w:t>
            </w:r>
            <w:r w:rsidRPr="00CB33B4">
              <w:rPr>
                <w:bCs/>
              </w:rPr>
              <w:t>Standard Singapore Corporate</w:t>
            </w:r>
            <w:r w:rsidRPr="00792D61">
              <w:rPr>
                <w:b/>
                <w:bCs/>
              </w:rPr>
              <w:t>]</w:t>
            </w:r>
          </w:p>
          <w:p w:rsidR="0017135D" w:rsidRPr="00CB33B4" w:rsidP="00A62BBD">
            <w:pPr>
              <w:pStyle w:val="CSBody8pt"/>
              <w:rPr>
                <w:bCs/>
              </w:rPr>
            </w:pPr>
            <w:r w:rsidRPr="00792D61">
              <w:rPr>
                <w:b/>
                <w:bCs/>
              </w:rPr>
              <w:t>[</w:t>
            </w:r>
            <w:r w:rsidRPr="00CB33B4">
              <w:rPr>
                <w:bCs/>
              </w:rPr>
              <w:t>Standard Singapore Financial Corporate</w:t>
            </w:r>
            <w:r w:rsidRPr="00792D61">
              <w:rPr>
                <w:b/>
                <w:bCs/>
              </w:rPr>
              <w:t>]</w:t>
            </w:r>
          </w:p>
          <w:p w:rsidR="0017135D" w:rsidRPr="00CB33B4" w:rsidP="00A62BBD">
            <w:pPr>
              <w:pStyle w:val="CSBody8pt"/>
              <w:rPr>
                <w:bCs/>
              </w:rPr>
            </w:pPr>
            <w:r w:rsidRPr="00792D61">
              <w:rPr>
                <w:b/>
                <w:bCs/>
              </w:rPr>
              <w:t>[</w:t>
            </w:r>
            <w:r w:rsidRPr="00CB33B4">
              <w:rPr>
                <w:bCs/>
              </w:rPr>
              <w:t>Standard Asia Corporate</w:t>
            </w:r>
            <w:r w:rsidRPr="00792D61">
              <w:rPr>
                <w:b/>
                <w:bCs/>
              </w:rPr>
              <w:t>]</w:t>
            </w:r>
          </w:p>
          <w:p w:rsidR="0017135D" w:rsidRPr="00CB33B4" w:rsidP="00A62BBD">
            <w:pPr>
              <w:pStyle w:val="CSBody8pt"/>
              <w:rPr>
                <w:bCs/>
              </w:rPr>
            </w:pPr>
            <w:r w:rsidRPr="00792D61">
              <w:rPr>
                <w:b/>
                <w:bCs/>
              </w:rPr>
              <w:t>[</w:t>
            </w:r>
            <w:r w:rsidRPr="00CB33B4">
              <w:rPr>
                <w:bCs/>
              </w:rPr>
              <w:t>Standard Asia Financial Corporate</w:t>
            </w:r>
            <w:r w:rsidRPr="00792D61">
              <w:rPr>
                <w:b/>
                <w:bCs/>
              </w:rPr>
              <w:t>]</w:t>
            </w:r>
          </w:p>
          <w:p w:rsidR="0017135D" w:rsidRPr="00CB33B4" w:rsidP="00A62BBD">
            <w:pPr>
              <w:pStyle w:val="CSBody8pt"/>
              <w:rPr>
                <w:bCs/>
              </w:rPr>
            </w:pPr>
            <w:r w:rsidRPr="00792D61">
              <w:rPr>
                <w:b/>
                <w:bCs/>
              </w:rPr>
              <w:t>[</w:t>
            </w:r>
            <w:r w:rsidRPr="00CB33B4">
              <w:rPr>
                <w:bCs/>
              </w:rPr>
              <w:t>Standard Japan Sovereign</w:t>
            </w:r>
            <w:r w:rsidRPr="00792D61">
              <w:rPr>
                <w:b/>
                <w:bCs/>
              </w:rPr>
              <w:t>]</w:t>
            </w:r>
          </w:p>
          <w:p w:rsidR="0017135D" w:rsidRPr="00CB33B4" w:rsidP="00A62BBD">
            <w:pPr>
              <w:pStyle w:val="CSBody8pt"/>
              <w:rPr>
                <w:bCs/>
              </w:rPr>
            </w:pPr>
            <w:r w:rsidRPr="00792D61">
              <w:rPr>
                <w:b/>
                <w:bCs/>
              </w:rPr>
              <w:t>[</w:t>
            </w:r>
            <w:r w:rsidRPr="00CB33B4">
              <w:rPr>
                <w:bCs/>
              </w:rPr>
              <w:t>Standard Singapore Sovereign</w:t>
            </w:r>
            <w:r w:rsidRPr="00792D61">
              <w:rPr>
                <w:b/>
                <w:bCs/>
              </w:rPr>
              <w:t>]</w:t>
            </w:r>
          </w:p>
          <w:p w:rsidR="0017135D" w:rsidRPr="00CB33B4" w:rsidP="00A62BBD">
            <w:pPr>
              <w:pStyle w:val="CSBody8pt"/>
              <w:rPr>
                <w:bCs/>
              </w:rPr>
            </w:pPr>
            <w:r w:rsidRPr="00792D61">
              <w:rPr>
                <w:b/>
                <w:bCs/>
              </w:rPr>
              <w:t>[</w:t>
            </w:r>
            <w:r w:rsidRPr="00CB33B4">
              <w:rPr>
                <w:bCs/>
              </w:rPr>
              <w:t>Standard Asia Sovereign</w:t>
            </w:r>
            <w:r w:rsidRPr="00792D61">
              <w:rPr>
                <w:b/>
                <w:bCs/>
              </w:rPr>
              <w:t>]</w:t>
            </w:r>
          </w:p>
          <w:p w:rsidR="0017135D" w:rsidRPr="00C16D23" w:rsidP="00A62BBD">
            <w:pPr>
              <w:pStyle w:val="CSBody8pt"/>
              <w:rPr>
                <w:bCs/>
              </w:rPr>
            </w:pPr>
            <w:r w:rsidRPr="00792D61">
              <w:rPr>
                <w:b/>
                <w:bCs/>
              </w:rPr>
              <w:t>[</w:t>
            </w:r>
            <w:r w:rsidRPr="00C16D23">
              <w:rPr>
                <w:bCs/>
              </w:rPr>
              <w:t>Standard Sukuk Corporate</w:t>
            </w:r>
            <w:r w:rsidRPr="00792D61">
              <w:rPr>
                <w:b/>
                <w:bCs/>
              </w:rPr>
              <w:t>]</w:t>
            </w:r>
          </w:p>
          <w:p w:rsidR="0017135D" w:rsidRPr="00C16D23" w:rsidP="00A62BBD">
            <w:pPr>
              <w:pStyle w:val="CSBody8pt"/>
              <w:rPr>
                <w:bCs/>
              </w:rPr>
            </w:pPr>
            <w:r w:rsidRPr="00792D61">
              <w:rPr>
                <w:b/>
                <w:bCs/>
              </w:rPr>
              <w:t>[</w:t>
            </w:r>
            <w:r w:rsidRPr="00C16D23">
              <w:rPr>
                <w:bCs/>
              </w:rPr>
              <w:t>Standard Sukuk Sovereign</w:t>
            </w:r>
            <w:r w:rsidRPr="00792D61">
              <w:rPr>
                <w:b/>
                <w:bCs/>
              </w:rPr>
              <w:t>]</w:t>
            </w:r>
          </w:p>
        </w:tc>
      </w:tr>
      <w:tr w:rsidTr="004C1EBA">
        <w:tblPrEx>
          <w:tblW w:w="4999" w:type="pct"/>
          <w:tblLayout w:type="fixed"/>
          <w:tblCellMar>
            <w:left w:w="115" w:type="dxa"/>
            <w:right w:w="115" w:type="dxa"/>
          </w:tblCellMar>
          <w:tblLook w:val="04A0"/>
        </w:tblPrEx>
        <w:tc>
          <w:tcPr>
            <w:tcW w:w="4931" w:type="dxa"/>
            <w:gridSpan w:val="11"/>
            <w:tcBorders>
              <w:top w:val="nil"/>
              <w:left w:val="nil"/>
              <w:bottom w:val="nil"/>
            </w:tcBorders>
            <w:shd w:val="clear" w:color="auto" w:fill="auto"/>
          </w:tcPr>
          <w:p w:rsidR="0017135D" w:rsidRPr="00312CFF" w:rsidP="004C1EBA">
            <w:pPr>
              <w:pStyle w:val="CSBody8ptbolditalics"/>
            </w:pPr>
            <w:r w:rsidRPr="00792D61">
              <w:t>[</w:t>
            </w:r>
            <w:r>
              <w:t xml:space="preserve">in case of Credit-Linked Complex Products, where </w:t>
            </w:r>
            <w:r w:rsidRPr="00312CFF">
              <w:t xml:space="preserve">a Basket </w:t>
            </w:r>
            <w:r>
              <w:t xml:space="preserve">of Reference Entities </w:t>
            </w:r>
            <w:r w:rsidRPr="00312CFF">
              <w:t>or a N</w:t>
            </w:r>
            <w:r w:rsidRPr="00BD6E0D">
              <w:rPr>
                <w:vertAlign w:val="superscript"/>
              </w:rPr>
              <w:t>th</w:t>
            </w:r>
            <w:r w:rsidRPr="00312CFF">
              <w:t xml:space="preserve">-to-Default structure is applicable, </w:t>
            </w:r>
            <w:r>
              <w:t xml:space="preserve">other than Credit-Linked Complex Products with LPN Reference Obligation, </w:t>
            </w:r>
            <w:r w:rsidRPr="00312CFF">
              <w:t>insert Table A:</w:t>
            </w:r>
          </w:p>
        </w:tc>
        <w:tc>
          <w:tcPr>
            <w:tcW w:w="4936" w:type="dxa"/>
            <w:gridSpan w:val="12"/>
            <w:tcBorders>
              <w:top w:val="nil"/>
              <w:bottom w:val="nil"/>
              <w:right w:val="nil"/>
            </w:tcBorders>
            <w:shd w:val="clear" w:color="auto" w:fill="auto"/>
          </w:tcPr>
          <w:p w:rsidR="0017135D" w:rsidRPr="00CB33B4" w:rsidP="004C1EBA">
            <w:pPr>
              <w:pStyle w:val="CSBody8ptbolditalics"/>
              <w:rPr>
                <w:lang w:val="de-DE"/>
              </w:rPr>
            </w:pPr>
            <w:r w:rsidRPr="00792D61">
              <w:rPr>
                <w:lang w:val="de-DE"/>
              </w:rPr>
              <w:t>[</w:t>
            </w:r>
            <w:r>
              <w:rPr>
                <w:lang w:val="de-DE"/>
              </w:rPr>
              <w:t xml:space="preserve">bei Kreditbezogenen Komplexen Produkten, bei denen </w:t>
            </w:r>
            <w:r w:rsidRPr="00CB33B4">
              <w:rPr>
                <w:lang w:val="de-DE"/>
              </w:rPr>
              <w:t xml:space="preserve">ein Korb </w:t>
            </w:r>
            <w:r>
              <w:rPr>
                <w:lang w:val="de-DE"/>
              </w:rPr>
              <w:t xml:space="preserve">von Referenzschuldnern </w:t>
            </w:r>
            <w:r w:rsidRPr="00CB33B4">
              <w:rPr>
                <w:lang w:val="de-DE"/>
              </w:rPr>
              <w:t>oder eine N</w:t>
            </w:r>
            <w:r w:rsidRPr="00BD6E0D">
              <w:rPr>
                <w:vertAlign w:val="superscript"/>
                <w:lang w:val="de-DE"/>
              </w:rPr>
              <w:t>th</w:t>
            </w:r>
            <w:r w:rsidRPr="00CB33B4">
              <w:rPr>
                <w:lang w:val="de-DE"/>
              </w:rPr>
              <w:t>-to-Default-Struktur anwendbar ist,</w:t>
            </w:r>
            <w:r>
              <w:rPr>
                <w:lang w:val="de-DE"/>
              </w:rPr>
              <w:t xml:space="preserve"> ausser Kreditbezogenen Komplexen Produkten mit LPN-Referenzverbindlichkeit,</w:t>
            </w:r>
            <w:r w:rsidRPr="00CB33B4">
              <w:rPr>
                <w:lang w:val="de-DE"/>
              </w:rPr>
              <w:t xml:space="preserve"> Tabelle A einfügen:</w:t>
            </w:r>
          </w:p>
        </w:tc>
      </w:tr>
      <w:tr w:rsidTr="004C1EBA">
        <w:tblPrEx>
          <w:tblW w:w="4999" w:type="pct"/>
          <w:tblLayout w:type="fixed"/>
          <w:tblCellMar>
            <w:left w:w="115" w:type="dxa"/>
            <w:right w:w="115" w:type="dxa"/>
          </w:tblCellMar>
          <w:tblLook w:val="04A0"/>
        </w:tblPrEx>
        <w:tc>
          <w:tcPr>
            <w:tcW w:w="1616" w:type="dxa"/>
            <w:gridSpan w:val="4"/>
            <w:tcBorders>
              <w:top w:val="nil"/>
              <w:left w:val="nil"/>
              <w:bottom w:val="nil"/>
              <w:right w:val="nil"/>
            </w:tcBorders>
            <w:shd w:val="clear" w:color="auto" w:fill="auto"/>
          </w:tcPr>
          <w:p w:rsidR="0017135D" w:rsidRPr="00CB33B4" w:rsidP="00A457E7">
            <w:pPr>
              <w:pStyle w:val="CSBody0"/>
              <w:rPr>
                <w:b/>
                <w:lang w:val="de-DE"/>
              </w:rPr>
            </w:pPr>
          </w:p>
        </w:tc>
        <w:tc>
          <w:tcPr>
            <w:tcW w:w="3315" w:type="dxa"/>
            <w:gridSpan w:val="7"/>
            <w:tcBorders>
              <w:top w:val="nil"/>
              <w:left w:val="nil"/>
              <w:bottom w:val="nil"/>
              <w:right w:val="nil"/>
            </w:tcBorders>
            <w:shd w:val="clear" w:color="auto" w:fill="auto"/>
          </w:tcPr>
          <w:p w:rsidR="0017135D" w:rsidRPr="00CB33B4" w:rsidP="00A457E7">
            <w:pPr>
              <w:pStyle w:val="CSBody0"/>
              <w:rPr>
                <w:b/>
                <w:lang w:val="de-DE"/>
              </w:rPr>
            </w:pPr>
          </w:p>
        </w:tc>
        <w:tc>
          <w:tcPr>
            <w:tcW w:w="1618" w:type="dxa"/>
            <w:gridSpan w:val="2"/>
            <w:tcBorders>
              <w:top w:val="nil"/>
              <w:left w:val="nil"/>
              <w:bottom w:val="nil"/>
              <w:right w:val="nil"/>
            </w:tcBorders>
            <w:shd w:val="clear" w:color="auto" w:fill="auto"/>
          </w:tcPr>
          <w:p w:rsidR="0017135D" w:rsidRPr="00CB33B4" w:rsidP="00E60155">
            <w:pPr>
              <w:pStyle w:val="CSBody0"/>
              <w:rPr>
                <w:b/>
                <w:i/>
                <w:lang w:val="de-DE"/>
              </w:rPr>
            </w:pPr>
          </w:p>
        </w:tc>
        <w:tc>
          <w:tcPr>
            <w:tcW w:w="3318" w:type="dxa"/>
            <w:gridSpan w:val="10"/>
            <w:tcBorders>
              <w:top w:val="nil"/>
              <w:left w:val="nil"/>
              <w:bottom w:val="nil"/>
              <w:right w:val="nil"/>
            </w:tcBorders>
            <w:shd w:val="clear" w:color="auto" w:fill="auto"/>
          </w:tcPr>
          <w:p w:rsidR="0017135D" w:rsidRPr="00CB33B4" w:rsidP="00E60155">
            <w:pPr>
              <w:pStyle w:val="CSBody0"/>
              <w:rPr>
                <w:b/>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4391" w:type="dxa"/>
            <w:gridSpan w:val="10"/>
            <w:tcBorders>
              <w:top w:val="single" w:sz="4" w:space="0" w:color="auto"/>
              <w:left w:val="nil"/>
              <w:bottom w:val="single" w:sz="4" w:space="0" w:color="auto"/>
            </w:tcBorders>
            <w:shd w:val="clear" w:color="auto" w:fill="auto"/>
          </w:tcPr>
          <w:p w:rsidR="0017135D" w:rsidRPr="00541515" w:rsidP="00541515">
            <w:pPr>
              <w:pStyle w:val="CSBody8pt"/>
              <w:jc w:val="center"/>
              <w:rPr>
                <w:b/>
                <w:lang w:val="de-DE"/>
              </w:rPr>
            </w:pPr>
            <w:r w:rsidRPr="00541515">
              <w:rPr>
                <w:b/>
                <w:lang w:val="de-DE"/>
              </w:rPr>
              <w:t>Table A</w:t>
            </w:r>
          </w:p>
        </w:tc>
        <w:tc>
          <w:tcPr>
            <w:tcW w:w="4393" w:type="dxa"/>
            <w:gridSpan w:val="11"/>
            <w:tcBorders>
              <w:top w:val="single" w:sz="4" w:space="0" w:color="auto"/>
              <w:bottom w:val="single" w:sz="4" w:space="0" w:color="auto"/>
              <w:right w:val="nil"/>
            </w:tcBorders>
            <w:shd w:val="clear" w:color="auto" w:fill="auto"/>
          </w:tcPr>
          <w:p w:rsidR="0017135D" w:rsidRPr="00541515" w:rsidP="00541515">
            <w:pPr>
              <w:pStyle w:val="CSBody8pt"/>
              <w:jc w:val="center"/>
              <w:rPr>
                <w:b/>
                <w:bCs/>
                <w:lang w:val="de-DE"/>
              </w:rPr>
            </w:pPr>
            <w:r w:rsidRPr="00541515">
              <w:rPr>
                <w:b/>
                <w:bCs/>
                <w:lang w:val="de-DE"/>
              </w:rPr>
              <w:t>Tabelle</w:t>
            </w:r>
            <w:r w:rsidR="00942F00">
              <w:rPr>
                <w:b/>
                <w:bCs/>
                <w:lang w:val="de-DE"/>
              </w:rPr>
              <w:t xml:space="preserve"> </w:t>
            </w:r>
            <w:r w:rsidRPr="00541515">
              <w:rPr>
                <w:b/>
                <w:bCs/>
                <w:lang w:val="de-DE"/>
              </w:rPr>
              <w:t>A</w:t>
            </w: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D9D9D9" w:themeFill="background1" w:themeFillShade="D9"/>
          </w:tcPr>
          <w:p w:rsidR="0017135D" w:rsidRPr="00C96636" w:rsidP="00A62BBD">
            <w:pPr>
              <w:pStyle w:val="CSBody8pt"/>
            </w:pPr>
            <w:r w:rsidRPr="00C96636">
              <w:t>Reference Entities</w:t>
            </w:r>
          </w:p>
        </w:tc>
        <w:tc>
          <w:tcPr>
            <w:tcW w:w="1560" w:type="dxa"/>
            <w:gridSpan w:val="5"/>
            <w:tcBorders>
              <w:top w:val="single" w:sz="4" w:space="0" w:color="auto"/>
              <w:left w:val="nil"/>
              <w:bottom w:val="single" w:sz="4" w:space="0" w:color="auto"/>
            </w:tcBorders>
            <w:shd w:val="clear" w:color="auto" w:fill="D9D9D9" w:themeFill="background1" w:themeFillShade="D9"/>
          </w:tcPr>
          <w:p w:rsidR="0017135D" w:rsidRPr="00C96636" w:rsidP="00A62BBD">
            <w:pPr>
              <w:pStyle w:val="CSBody8pt"/>
            </w:pPr>
            <w:r w:rsidRPr="00792D61">
              <w:rPr>
                <w:b/>
              </w:rPr>
              <w:t>[</w:t>
            </w:r>
            <w:r w:rsidRPr="00C96636">
              <w:t>Non-Standard Reference Obligations</w:t>
            </w:r>
          </w:p>
        </w:tc>
        <w:tc>
          <w:tcPr>
            <w:tcW w:w="1558" w:type="dxa"/>
            <w:tcBorders>
              <w:top w:val="single" w:sz="4" w:space="0" w:color="auto"/>
              <w:left w:val="nil"/>
              <w:bottom w:val="single" w:sz="4" w:space="0" w:color="auto"/>
            </w:tcBorders>
            <w:shd w:val="clear" w:color="auto" w:fill="D9D9D9" w:themeFill="background1" w:themeFillShade="D9"/>
          </w:tcPr>
          <w:p w:rsidR="0017135D" w:rsidRPr="00C96636" w:rsidP="00A62BBD">
            <w:pPr>
              <w:pStyle w:val="CSBody8pt"/>
            </w:pPr>
            <w:r w:rsidRPr="00792D61">
              <w:rPr>
                <w:b/>
              </w:rPr>
              <w:t>[</w:t>
            </w:r>
            <w:r>
              <w:t>Weighting</w:t>
            </w:r>
            <w:r w:rsidRPr="00792D61">
              <w:rPr>
                <w:b/>
              </w:rPr>
              <w:t>]</w:t>
            </w:r>
            <w:r>
              <w:rPr>
                <w:rStyle w:val="FootnoteReference"/>
              </w:rPr>
              <w:footnoteReference w:id="32"/>
            </w:r>
          </w:p>
        </w:tc>
        <w:tc>
          <w:tcPr>
            <w:tcW w:w="1416" w:type="dxa"/>
            <w:tcBorders>
              <w:top w:val="single" w:sz="4" w:space="0" w:color="auto"/>
              <w:bottom w:val="single" w:sz="4" w:space="0" w:color="auto"/>
              <w:right w:val="nil"/>
            </w:tcBorders>
            <w:shd w:val="clear" w:color="auto" w:fill="D9D9D9" w:themeFill="background1" w:themeFillShade="D9"/>
          </w:tcPr>
          <w:p w:rsidR="0017135D" w:rsidRPr="00C96636" w:rsidP="00A62BBD">
            <w:pPr>
              <w:pStyle w:val="CSBody8pt"/>
            </w:pPr>
            <w:r w:rsidRPr="00C96636">
              <w:t>Referenzschuldner</w:t>
            </w:r>
          </w:p>
        </w:tc>
        <w:tc>
          <w:tcPr>
            <w:tcW w:w="1701" w:type="dxa"/>
            <w:gridSpan w:val="5"/>
            <w:tcBorders>
              <w:top w:val="single" w:sz="4" w:space="0" w:color="auto"/>
              <w:bottom w:val="single" w:sz="4" w:space="0" w:color="auto"/>
              <w:right w:val="nil"/>
            </w:tcBorders>
            <w:shd w:val="clear" w:color="auto" w:fill="D9D9D9" w:themeFill="background1" w:themeFillShade="D9"/>
          </w:tcPr>
          <w:p w:rsidR="0017135D" w:rsidRPr="00C96636" w:rsidP="00A62BBD">
            <w:pPr>
              <w:pStyle w:val="CSBody8pt"/>
            </w:pPr>
            <w:r w:rsidRPr="00792D61">
              <w:rPr>
                <w:b/>
              </w:rPr>
              <w:t>[</w:t>
            </w:r>
            <w:r w:rsidRPr="00C96636">
              <w:t>Nicht-Standard-Referenzverbindlichkeiten</w:t>
            </w:r>
          </w:p>
        </w:tc>
        <w:tc>
          <w:tcPr>
            <w:tcW w:w="1276" w:type="dxa"/>
            <w:gridSpan w:val="5"/>
            <w:tcBorders>
              <w:top w:val="single" w:sz="4" w:space="0" w:color="auto"/>
              <w:bottom w:val="single" w:sz="4" w:space="0" w:color="auto"/>
              <w:right w:val="nil"/>
            </w:tcBorders>
            <w:shd w:val="clear" w:color="auto" w:fill="D9D9D9" w:themeFill="background1" w:themeFillShade="D9"/>
          </w:tcPr>
          <w:p w:rsidR="0017135D" w:rsidP="00A62BBD">
            <w:pPr>
              <w:pStyle w:val="CSBody8pt"/>
            </w:pPr>
            <w:r w:rsidRPr="00792D61">
              <w:rPr>
                <w:b/>
              </w:rPr>
              <w:t>[</w:t>
            </w:r>
            <w:r>
              <w:t>Gewichtung</w:t>
            </w:r>
            <w:r w:rsidRPr="00792D61">
              <w:rPr>
                <w:b/>
              </w:rPr>
              <w:t>]</w:t>
            </w:r>
            <w:r>
              <w:rPr>
                <w:rStyle w:val="FootnoteReference"/>
              </w:rPr>
              <w:footnoteReference w:id="33"/>
            </w: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auto"/>
          </w:tcPr>
          <w:p w:rsidR="0017135D" w:rsidRPr="00317541" w:rsidP="00A62BBD">
            <w:pPr>
              <w:pStyle w:val="CSBody8pt"/>
            </w:pPr>
            <w:r w:rsidRPr="00792D61">
              <w:rPr>
                <w:b/>
              </w:rPr>
              <w:t>[</w:t>
            </w:r>
            <w:r>
              <w:rPr>
                <w:rFonts w:ascii="Arial" w:hAnsi="Arial" w:cs="Arial"/>
              </w:rPr>
              <w:t>●</w:t>
            </w:r>
            <w:r w:rsidRPr="00792D61">
              <w:rPr>
                <w:b/>
              </w:rPr>
              <w:t>]</w:t>
            </w:r>
          </w:p>
        </w:tc>
        <w:tc>
          <w:tcPr>
            <w:tcW w:w="1560" w:type="dxa"/>
            <w:gridSpan w:val="5"/>
            <w:tcBorders>
              <w:top w:val="single" w:sz="4" w:space="0" w:color="auto"/>
              <w:left w:val="nil"/>
              <w:bottom w:val="single" w:sz="4" w:space="0" w:color="auto"/>
            </w:tcBorders>
            <w:shd w:val="clear" w:color="auto" w:fill="auto"/>
          </w:tcPr>
          <w:p w:rsidR="0017135D" w:rsidRPr="00317541" w:rsidP="00A62BBD">
            <w:pPr>
              <w:pStyle w:val="CSBody8pt"/>
            </w:pPr>
            <w:r w:rsidRPr="00792D61">
              <w:rPr>
                <w:b/>
              </w:rPr>
              <w:t>[</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A62BBD">
            <w:pPr>
              <w:pStyle w:val="CSBody8pt"/>
            </w:pPr>
            <w:r w:rsidRPr="00792D61">
              <w:rPr>
                <w:b/>
              </w:rPr>
              <w:t>[[</w:t>
            </w:r>
            <w:r>
              <w:rPr>
                <w:rFonts w:ascii="Arial" w:hAnsi="Arial" w:cs="Arial"/>
              </w:rPr>
              <w:t>●</w:t>
            </w:r>
            <w:r w:rsidRPr="00792D61">
              <w:rPr>
                <w:b/>
              </w:rPr>
              <w:t>]</w:t>
            </w:r>
            <w:r>
              <w:t>%</w:t>
            </w:r>
            <w:r w:rsidRPr="00792D61">
              <w:rPr>
                <w:b/>
              </w:rPr>
              <w:t>]</w:t>
            </w:r>
          </w:p>
        </w:tc>
        <w:tc>
          <w:tcPr>
            <w:tcW w:w="1416" w:type="dxa"/>
            <w:tcBorders>
              <w:top w:val="single" w:sz="4" w:space="0" w:color="auto"/>
              <w:bottom w:val="single" w:sz="4" w:space="0" w:color="auto"/>
              <w:right w:val="nil"/>
            </w:tcBorders>
            <w:shd w:val="clear" w:color="auto" w:fill="auto"/>
          </w:tcPr>
          <w:p w:rsidR="0017135D" w:rsidRPr="00317541" w:rsidP="00A62BBD">
            <w:pPr>
              <w:pStyle w:val="CSBody8pt"/>
            </w:pPr>
            <w:r w:rsidRPr="00792D61">
              <w:rPr>
                <w:b/>
              </w:rPr>
              <w:t>[</w:t>
            </w:r>
            <w:r>
              <w:rPr>
                <w:rFonts w:ascii="Arial" w:hAnsi="Arial" w:cs="Arial"/>
              </w:rPr>
              <w:t>●</w:t>
            </w:r>
            <w:r w:rsidRPr="00792D61">
              <w:rPr>
                <w:b/>
              </w:rPr>
              <w:t>]</w:t>
            </w:r>
          </w:p>
        </w:tc>
        <w:tc>
          <w:tcPr>
            <w:tcW w:w="1701" w:type="dxa"/>
            <w:gridSpan w:val="5"/>
            <w:tcBorders>
              <w:top w:val="single" w:sz="4" w:space="0" w:color="auto"/>
              <w:bottom w:val="single" w:sz="4" w:space="0" w:color="auto"/>
              <w:right w:val="nil"/>
            </w:tcBorders>
            <w:shd w:val="clear" w:color="auto" w:fill="auto"/>
          </w:tcPr>
          <w:p w:rsidR="0017135D" w:rsidRPr="00317541" w:rsidP="00A62BBD">
            <w:pPr>
              <w:pStyle w:val="CSBody8pt"/>
            </w:pPr>
            <w:r w:rsidRPr="00792D61">
              <w:rPr>
                <w:b/>
              </w:rPr>
              <w:t>[</w:t>
            </w:r>
            <w:r>
              <w:rPr>
                <w:rFonts w:ascii="Arial" w:hAnsi="Arial" w:cs="Arial"/>
              </w:rPr>
              <w:t>●</w:t>
            </w:r>
            <w:r w:rsidRPr="00792D61">
              <w:rPr>
                <w:b/>
              </w:rPr>
              <w:t>]</w:t>
            </w:r>
          </w:p>
        </w:tc>
        <w:tc>
          <w:tcPr>
            <w:tcW w:w="1276" w:type="dxa"/>
            <w:gridSpan w:val="5"/>
            <w:tcBorders>
              <w:top w:val="single" w:sz="4" w:space="0" w:color="auto"/>
              <w:bottom w:val="single" w:sz="4" w:space="0" w:color="auto"/>
              <w:right w:val="nil"/>
            </w:tcBorders>
            <w:shd w:val="clear" w:color="auto" w:fill="auto"/>
          </w:tcPr>
          <w:p w:rsidR="0017135D" w:rsidRPr="00317541" w:rsidP="00A62BBD">
            <w:pPr>
              <w:pStyle w:val="CSBody8pt"/>
            </w:pPr>
            <w:r w:rsidRPr="00792D61">
              <w:rPr>
                <w:b/>
              </w:rPr>
              <w:t>[[</w:t>
            </w:r>
            <w:r>
              <w:rPr>
                <w:rFonts w:ascii="Arial" w:hAnsi="Arial" w:cs="Arial"/>
              </w:rPr>
              <w:t>●</w:t>
            </w:r>
            <w:r w:rsidRPr="00792D61">
              <w:rPr>
                <w:b/>
              </w:rPr>
              <w:t>]</w:t>
            </w:r>
            <w:r>
              <w:t>%</w:t>
            </w:r>
            <w:r w:rsidRPr="00792D61">
              <w:rPr>
                <w:b/>
              </w:rPr>
              <w:t>]</w:t>
            </w: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auto"/>
          </w:tcPr>
          <w:p w:rsidR="0017135D" w:rsidRPr="00317541" w:rsidP="00A62BBD">
            <w:pPr>
              <w:pStyle w:val="CSBody8pt"/>
            </w:pPr>
          </w:p>
        </w:tc>
        <w:tc>
          <w:tcPr>
            <w:tcW w:w="1560" w:type="dxa"/>
            <w:gridSpan w:val="5"/>
            <w:tcBorders>
              <w:top w:val="single" w:sz="4" w:space="0" w:color="auto"/>
              <w:left w:val="nil"/>
              <w:bottom w:val="single" w:sz="4" w:space="0" w:color="auto"/>
            </w:tcBorders>
            <w:shd w:val="clear" w:color="auto" w:fill="auto"/>
          </w:tcPr>
          <w:p w:rsidR="0017135D" w:rsidRPr="00317541" w:rsidP="00A62BBD">
            <w:pPr>
              <w:pStyle w:val="CSBody8pt"/>
            </w:pPr>
            <w:r w:rsidRPr="00317541">
              <w:t xml:space="preserve">Primary Obligor: </w:t>
            </w:r>
            <w:r w:rsidRPr="00792D61">
              <w:rPr>
                <w:b/>
              </w:rPr>
              <w:t>[</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A62BBD">
            <w:pPr>
              <w:pStyle w:val="CSBody8pt"/>
            </w:pPr>
          </w:p>
        </w:tc>
        <w:tc>
          <w:tcPr>
            <w:tcW w:w="1416" w:type="dxa"/>
            <w:tcBorders>
              <w:top w:val="single" w:sz="4" w:space="0" w:color="auto"/>
              <w:bottom w:val="single" w:sz="4" w:space="0" w:color="auto"/>
              <w:right w:val="nil"/>
            </w:tcBorders>
            <w:shd w:val="clear" w:color="auto" w:fill="auto"/>
          </w:tcPr>
          <w:p w:rsidR="0017135D" w:rsidRPr="00317541" w:rsidP="00A62BBD">
            <w:pPr>
              <w:pStyle w:val="CSBody8pt"/>
            </w:pPr>
          </w:p>
        </w:tc>
        <w:tc>
          <w:tcPr>
            <w:tcW w:w="1701" w:type="dxa"/>
            <w:gridSpan w:val="5"/>
            <w:tcBorders>
              <w:top w:val="single" w:sz="4" w:space="0" w:color="auto"/>
              <w:bottom w:val="single" w:sz="4" w:space="0" w:color="auto"/>
              <w:right w:val="nil"/>
            </w:tcBorders>
            <w:shd w:val="clear" w:color="auto" w:fill="auto"/>
          </w:tcPr>
          <w:p w:rsidR="0017135D" w:rsidRPr="00317541" w:rsidP="00A62BBD">
            <w:pPr>
              <w:pStyle w:val="CSBody8pt"/>
            </w:pPr>
            <w:r w:rsidRPr="00317541">
              <w:t xml:space="preserve">Hauptschuldner: </w:t>
            </w:r>
            <w:r w:rsidRPr="00792D61">
              <w:rPr>
                <w:b/>
              </w:rPr>
              <w:t>[</w:t>
            </w:r>
            <w:r>
              <w:rPr>
                <w:rFonts w:ascii="Arial" w:hAnsi="Arial" w:cs="Arial"/>
              </w:rPr>
              <w:t>●</w:t>
            </w:r>
            <w:r w:rsidRPr="00792D61">
              <w:rPr>
                <w:b/>
              </w:rPr>
              <w:t>]</w:t>
            </w:r>
          </w:p>
        </w:tc>
        <w:tc>
          <w:tcPr>
            <w:tcW w:w="1276" w:type="dxa"/>
            <w:gridSpan w:val="5"/>
            <w:tcBorders>
              <w:top w:val="single" w:sz="4" w:space="0" w:color="auto"/>
              <w:bottom w:val="single" w:sz="4" w:space="0" w:color="auto"/>
              <w:right w:val="nil"/>
            </w:tcBorders>
            <w:shd w:val="clear" w:color="auto" w:fill="auto"/>
          </w:tcPr>
          <w:p w:rsidR="0017135D" w:rsidRPr="00317541" w:rsidP="00A62BBD">
            <w:pPr>
              <w:pStyle w:val="CSBody8pt"/>
            </w:pP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auto"/>
          </w:tcPr>
          <w:p w:rsidR="0017135D" w:rsidRPr="00317541" w:rsidP="00A62BBD">
            <w:pPr>
              <w:pStyle w:val="CSBody8pt"/>
            </w:pPr>
          </w:p>
        </w:tc>
        <w:tc>
          <w:tcPr>
            <w:tcW w:w="1560" w:type="dxa"/>
            <w:gridSpan w:val="5"/>
            <w:tcBorders>
              <w:top w:val="single" w:sz="4" w:space="0" w:color="auto"/>
              <w:left w:val="nil"/>
              <w:bottom w:val="single" w:sz="4" w:space="0" w:color="auto"/>
            </w:tcBorders>
            <w:shd w:val="clear" w:color="auto" w:fill="auto"/>
          </w:tcPr>
          <w:p w:rsidR="0017135D" w:rsidRPr="00317541" w:rsidP="00A62BBD">
            <w:pPr>
              <w:pStyle w:val="CSBody8pt"/>
            </w:pPr>
            <w:r w:rsidRPr="00317541">
              <w:t xml:space="preserve">Guarantor: </w:t>
            </w:r>
            <w:r w:rsidRPr="00792D61">
              <w:rPr>
                <w:b/>
              </w:rPr>
              <w:t>[</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A62BBD">
            <w:pPr>
              <w:pStyle w:val="CSBody8pt"/>
            </w:pPr>
          </w:p>
        </w:tc>
        <w:tc>
          <w:tcPr>
            <w:tcW w:w="1416" w:type="dxa"/>
            <w:tcBorders>
              <w:top w:val="single" w:sz="4" w:space="0" w:color="auto"/>
              <w:bottom w:val="single" w:sz="4" w:space="0" w:color="auto"/>
              <w:right w:val="nil"/>
            </w:tcBorders>
            <w:shd w:val="clear" w:color="auto" w:fill="auto"/>
          </w:tcPr>
          <w:p w:rsidR="0017135D" w:rsidRPr="00317541" w:rsidP="00A62BBD">
            <w:pPr>
              <w:pStyle w:val="CSBody8pt"/>
            </w:pPr>
          </w:p>
        </w:tc>
        <w:tc>
          <w:tcPr>
            <w:tcW w:w="1701" w:type="dxa"/>
            <w:gridSpan w:val="5"/>
            <w:tcBorders>
              <w:top w:val="single" w:sz="4" w:space="0" w:color="auto"/>
              <w:bottom w:val="single" w:sz="4" w:space="0" w:color="auto"/>
              <w:right w:val="nil"/>
            </w:tcBorders>
            <w:shd w:val="clear" w:color="auto" w:fill="auto"/>
          </w:tcPr>
          <w:p w:rsidR="0017135D" w:rsidRPr="00317541" w:rsidP="00A62BBD">
            <w:pPr>
              <w:pStyle w:val="CSBody8pt"/>
            </w:pPr>
            <w:r w:rsidRPr="00317541">
              <w:t xml:space="preserve">Garanitegeber: </w:t>
            </w:r>
            <w:r w:rsidRPr="00792D61">
              <w:rPr>
                <w:b/>
              </w:rPr>
              <w:t>[</w:t>
            </w:r>
            <w:r>
              <w:rPr>
                <w:rFonts w:ascii="Arial" w:hAnsi="Arial" w:cs="Arial"/>
              </w:rPr>
              <w:t>●</w:t>
            </w:r>
            <w:r w:rsidRPr="00792D61">
              <w:rPr>
                <w:b/>
              </w:rPr>
              <w:t>]</w:t>
            </w:r>
          </w:p>
        </w:tc>
        <w:tc>
          <w:tcPr>
            <w:tcW w:w="1276" w:type="dxa"/>
            <w:gridSpan w:val="5"/>
            <w:tcBorders>
              <w:top w:val="single" w:sz="4" w:space="0" w:color="auto"/>
              <w:bottom w:val="single" w:sz="4" w:space="0" w:color="auto"/>
              <w:right w:val="nil"/>
            </w:tcBorders>
            <w:shd w:val="clear" w:color="auto" w:fill="auto"/>
          </w:tcPr>
          <w:p w:rsidR="0017135D" w:rsidRPr="00317541" w:rsidP="00A62BBD">
            <w:pPr>
              <w:pStyle w:val="CSBody8pt"/>
            </w:pP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auto"/>
          </w:tcPr>
          <w:p w:rsidR="0017135D" w:rsidRPr="00317541" w:rsidP="00A62BBD">
            <w:pPr>
              <w:pStyle w:val="CSBody8pt"/>
            </w:pPr>
          </w:p>
        </w:tc>
        <w:tc>
          <w:tcPr>
            <w:tcW w:w="1560" w:type="dxa"/>
            <w:gridSpan w:val="5"/>
            <w:tcBorders>
              <w:top w:val="single" w:sz="4" w:space="0" w:color="auto"/>
              <w:left w:val="nil"/>
              <w:bottom w:val="single" w:sz="4" w:space="0" w:color="auto"/>
            </w:tcBorders>
            <w:shd w:val="clear" w:color="auto" w:fill="auto"/>
          </w:tcPr>
          <w:p w:rsidR="0017135D" w:rsidRPr="00317541" w:rsidP="00A62BBD">
            <w:pPr>
              <w:pStyle w:val="CSBody8pt"/>
            </w:pPr>
            <w:r w:rsidRPr="00317541">
              <w:t xml:space="preserve">Maturity: </w:t>
            </w:r>
            <w:r w:rsidRPr="00792D61">
              <w:rPr>
                <w:b/>
              </w:rPr>
              <w:t>[</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A62BBD">
            <w:pPr>
              <w:pStyle w:val="CSBody8pt"/>
            </w:pPr>
          </w:p>
        </w:tc>
        <w:tc>
          <w:tcPr>
            <w:tcW w:w="1416" w:type="dxa"/>
            <w:tcBorders>
              <w:top w:val="single" w:sz="4" w:space="0" w:color="auto"/>
              <w:bottom w:val="single" w:sz="4" w:space="0" w:color="auto"/>
              <w:right w:val="nil"/>
            </w:tcBorders>
            <w:shd w:val="clear" w:color="auto" w:fill="auto"/>
          </w:tcPr>
          <w:p w:rsidR="0017135D" w:rsidRPr="00317541" w:rsidP="00A62BBD">
            <w:pPr>
              <w:pStyle w:val="CSBody8pt"/>
            </w:pPr>
          </w:p>
        </w:tc>
        <w:tc>
          <w:tcPr>
            <w:tcW w:w="1701" w:type="dxa"/>
            <w:gridSpan w:val="5"/>
            <w:tcBorders>
              <w:top w:val="single" w:sz="4" w:space="0" w:color="auto"/>
              <w:bottom w:val="single" w:sz="4" w:space="0" w:color="auto"/>
              <w:right w:val="nil"/>
            </w:tcBorders>
            <w:shd w:val="clear" w:color="auto" w:fill="auto"/>
          </w:tcPr>
          <w:p w:rsidR="0017135D" w:rsidRPr="00317541" w:rsidP="00A62BBD">
            <w:pPr>
              <w:pStyle w:val="CSBody8pt"/>
            </w:pPr>
            <w:r w:rsidRPr="00317541">
              <w:t xml:space="preserve">Fälligkeit: </w:t>
            </w:r>
            <w:r w:rsidRPr="00792D61">
              <w:rPr>
                <w:b/>
              </w:rPr>
              <w:t>[</w:t>
            </w:r>
            <w:r>
              <w:rPr>
                <w:rFonts w:ascii="Arial" w:hAnsi="Arial" w:cs="Arial"/>
              </w:rPr>
              <w:t>●</w:t>
            </w:r>
            <w:r w:rsidRPr="00792D61">
              <w:rPr>
                <w:b/>
              </w:rPr>
              <w:t>]</w:t>
            </w:r>
          </w:p>
        </w:tc>
        <w:tc>
          <w:tcPr>
            <w:tcW w:w="1276" w:type="dxa"/>
            <w:gridSpan w:val="5"/>
            <w:tcBorders>
              <w:top w:val="single" w:sz="4" w:space="0" w:color="auto"/>
              <w:bottom w:val="single" w:sz="4" w:space="0" w:color="auto"/>
              <w:right w:val="nil"/>
            </w:tcBorders>
            <w:shd w:val="clear" w:color="auto" w:fill="auto"/>
          </w:tcPr>
          <w:p w:rsidR="0017135D" w:rsidRPr="00317541" w:rsidP="00A62BBD">
            <w:pPr>
              <w:pStyle w:val="CSBody8pt"/>
            </w:pP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auto"/>
          </w:tcPr>
          <w:p w:rsidR="0017135D" w:rsidRPr="00317541" w:rsidP="00A62BBD">
            <w:pPr>
              <w:pStyle w:val="CSBody8pt"/>
            </w:pPr>
          </w:p>
        </w:tc>
        <w:tc>
          <w:tcPr>
            <w:tcW w:w="1560" w:type="dxa"/>
            <w:gridSpan w:val="5"/>
            <w:tcBorders>
              <w:top w:val="single" w:sz="4" w:space="0" w:color="auto"/>
              <w:left w:val="nil"/>
              <w:bottom w:val="single" w:sz="4" w:space="0" w:color="auto"/>
            </w:tcBorders>
            <w:shd w:val="clear" w:color="auto" w:fill="auto"/>
          </w:tcPr>
          <w:p w:rsidR="0017135D" w:rsidRPr="00317541" w:rsidP="00A62BBD">
            <w:pPr>
              <w:pStyle w:val="CSBody8pt"/>
            </w:pPr>
            <w:r w:rsidRPr="00317541">
              <w:t xml:space="preserve">Coupon: </w:t>
            </w:r>
            <w:r w:rsidRPr="00792D61">
              <w:rPr>
                <w:b/>
              </w:rPr>
              <w:t>[</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A62BBD">
            <w:pPr>
              <w:pStyle w:val="CSBody8pt"/>
            </w:pPr>
          </w:p>
        </w:tc>
        <w:tc>
          <w:tcPr>
            <w:tcW w:w="1416" w:type="dxa"/>
            <w:tcBorders>
              <w:top w:val="single" w:sz="4" w:space="0" w:color="auto"/>
              <w:bottom w:val="single" w:sz="4" w:space="0" w:color="auto"/>
              <w:right w:val="nil"/>
            </w:tcBorders>
            <w:shd w:val="clear" w:color="auto" w:fill="auto"/>
          </w:tcPr>
          <w:p w:rsidR="0017135D" w:rsidRPr="00317541" w:rsidP="00A62BBD">
            <w:pPr>
              <w:pStyle w:val="CSBody8pt"/>
            </w:pPr>
          </w:p>
        </w:tc>
        <w:tc>
          <w:tcPr>
            <w:tcW w:w="1701" w:type="dxa"/>
            <w:gridSpan w:val="5"/>
            <w:tcBorders>
              <w:top w:val="single" w:sz="4" w:space="0" w:color="auto"/>
              <w:bottom w:val="single" w:sz="4" w:space="0" w:color="auto"/>
              <w:right w:val="nil"/>
            </w:tcBorders>
            <w:shd w:val="clear" w:color="auto" w:fill="auto"/>
          </w:tcPr>
          <w:p w:rsidR="0017135D" w:rsidRPr="00317541" w:rsidP="00A62BBD">
            <w:pPr>
              <w:pStyle w:val="CSBody8pt"/>
            </w:pPr>
            <w:r w:rsidRPr="00317541">
              <w:t xml:space="preserve">Coupon: </w:t>
            </w:r>
            <w:r w:rsidRPr="00792D61">
              <w:rPr>
                <w:b/>
              </w:rPr>
              <w:t>[</w:t>
            </w:r>
            <w:r>
              <w:rPr>
                <w:rFonts w:ascii="Arial" w:hAnsi="Arial" w:cs="Arial"/>
              </w:rPr>
              <w:t>●</w:t>
            </w:r>
            <w:r w:rsidRPr="00792D61">
              <w:rPr>
                <w:b/>
              </w:rPr>
              <w:t>]</w:t>
            </w:r>
          </w:p>
        </w:tc>
        <w:tc>
          <w:tcPr>
            <w:tcW w:w="1276" w:type="dxa"/>
            <w:gridSpan w:val="5"/>
            <w:tcBorders>
              <w:top w:val="single" w:sz="4" w:space="0" w:color="auto"/>
              <w:bottom w:val="single" w:sz="4" w:space="0" w:color="auto"/>
              <w:right w:val="nil"/>
            </w:tcBorders>
            <w:shd w:val="clear" w:color="auto" w:fill="auto"/>
          </w:tcPr>
          <w:p w:rsidR="0017135D" w:rsidRPr="00317541" w:rsidP="00A62BBD">
            <w:pPr>
              <w:pStyle w:val="CSBody8pt"/>
            </w:pP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auto"/>
          </w:tcPr>
          <w:p w:rsidR="0017135D" w:rsidRPr="00317541" w:rsidP="00A62BBD">
            <w:pPr>
              <w:pStyle w:val="CSBody8pt"/>
            </w:pPr>
          </w:p>
        </w:tc>
        <w:tc>
          <w:tcPr>
            <w:tcW w:w="1560" w:type="dxa"/>
            <w:gridSpan w:val="5"/>
            <w:tcBorders>
              <w:top w:val="single" w:sz="4" w:space="0" w:color="auto"/>
              <w:left w:val="nil"/>
              <w:bottom w:val="single" w:sz="4" w:space="0" w:color="auto"/>
            </w:tcBorders>
            <w:shd w:val="clear" w:color="auto" w:fill="auto"/>
          </w:tcPr>
          <w:p w:rsidR="0017135D" w:rsidRPr="00CC0AAD" w:rsidP="00A62BBD">
            <w:pPr>
              <w:pStyle w:val="CSBody8pt"/>
            </w:pPr>
            <w:r w:rsidRPr="00CC0AAD">
              <w:t xml:space="preserve">Obligation Currency: </w:t>
            </w:r>
            <w:r w:rsidRPr="00792D61">
              <w:rPr>
                <w:b/>
              </w:rPr>
              <w:t>[</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A62BBD">
            <w:pPr>
              <w:pStyle w:val="CSBody8pt"/>
            </w:pPr>
          </w:p>
        </w:tc>
        <w:tc>
          <w:tcPr>
            <w:tcW w:w="1416" w:type="dxa"/>
            <w:tcBorders>
              <w:top w:val="single" w:sz="4" w:space="0" w:color="auto"/>
              <w:bottom w:val="single" w:sz="4" w:space="0" w:color="auto"/>
              <w:right w:val="nil"/>
            </w:tcBorders>
            <w:shd w:val="clear" w:color="auto" w:fill="auto"/>
          </w:tcPr>
          <w:p w:rsidR="0017135D" w:rsidRPr="00317541" w:rsidP="00A62BBD">
            <w:pPr>
              <w:pStyle w:val="CSBody8pt"/>
            </w:pPr>
          </w:p>
        </w:tc>
        <w:tc>
          <w:tcPr>
            <w:tcW w:w="1701" w:type="dxa"/>
            <w:gridSpan w:val="5"/>
            <w:tcBorders>
              <w:top w:val="single" w:sz="4" w:space="0" w:color="auto"/>
              <w:bottom w:val="single" w:sz="4" w:space="0" w:color="auto"/>
              <w:right w:val="nil"/>
            </w:tcBorders>
            <w:shd w:val="clear" w:color="auto" w:fill="auto"/>
          </w:tcPr>
          <w:p w:rsidR="0017135D" w:rsidRPr="00D13D52" w:rsidP="00A62BBD">
            <w:pPr>
              <w:pStyle w:val="CSBody8pt"/>
            </w:pPr>
            <w:r w:rsidRPr="00D13D52">
              <w:t xml:space="preserve">Verbindlichkeitenwährung: </w:t>
            </w:r>
            <w:r w:rsidRPr="00792D61">
              <w:rPr>
                <w:b/>
              </w:rPr>
              <w:t>[</w:t>
            </w:r>
            <w:r>
              <w:rPr>
                <w:rFonts w:ascii="Arial" w:hAnsi="Arial" w:cs="Arial"/>
              </w:rPr>
              <w:t>●</w:t>
            </w:r>
            <w:r w:rsidRPr="00792D61">
              <w:rPr>
                <w:b/>
              </w:rPr>
              <w:t>]</w:t>
            </w:r>
          </w:p>
        </w:tc>
        <w:tc>
          <w:tcPr>
            <w:tcW w:w="1276" w:type="dxa"/>
            <w:gridSpan w:val="5"/>
            <w:tcBorders>
              <w:top w:val="single" w:sz="4" w:space="0" w:color="auto"/>
              <w:bottom w:val="single" w:sz="4" w:space="0" w:color="auto"/>
              <w:right w:val="nil"/>
            </w:tcBorders>
            <w:shd w:val="clear" w:color="auto" w:fill="auto"/>
          </w:tcPr>
          <w:p w:rsidR="0017135D" w:rsidRPr="00317541" w:rsidP="00A62BBD">
            <w:pPr>
              <w:pStyle w:val="CSBody8pt"/>
            </w:pP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auto"/>
          </w:tcPr>
          <w:p w:rsidR="0017135D" w:rsidRPr="00317541" w:rsidP="00A62BBD">
            <w:pPr>
              <w:pStyle w:val="CSBody8pt"/>
            </w:pPr>
          </w:p>
        </w:tc>
        <w:tc>
          <w:tcPr>
            <w:tcW w:w="1560" w:type="dxa"/>
            <w:gridSpan w:val="5"/>
            <w:tcBorders>
              <w:top w:val="single" w:sz="4" w:space="0" w:color="auto"/>
              <w:left w:val="nil"/>
              <w:bottom w:val="single" w:sz="4" w:space="0" w:color="auto"/>
            </w:tcBorders>
            <w:shd w:val="clear" w:color="auto" w:fill="auto"/>
          </w:tcPr>
          <w:p w:rsidR="0017135D" w:rsidRPr="00CC0AAD" w:rsidP="00A62BBD">
            <w:pPr>
              <w:pStyle w:val="CSBody8pt"/>
            </w:pPr>
            <w:r w:rsidRPr="00CC0AAD">
              <w:t xml:space="preserve">ISIN: </w:t>
            </w:r>
            <w:r w:rsidRPr="00792D61">
              <w:rPr>
                <w:b/>
              </w:rPr>
              <w:t>[</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A62BBD">
            <w:pPr>
              <w:pStyle w:val="CSBody8pt"/>
            </w:pPr>
          </w:p>
        </w:tc>
        <w:tc>
          <w:tcPr>
            <w:tcW w:w="1416" w:type="dxa"/>
            <w:tcBorders>
              <w:top w:val="single" w:sz="4" w:space="0" w:color="auto"/>
              <w:bottom w:val="single" w:sz="4" w:space="0" w:color="auto"/>
              <w:right w:val="nil"/>
            </w:tcBorders>
            <w:shd w:val="clear" w:color="auto" w:fill="auto"/>
          </w:tcPr>
          <w:p w:rsidR="0017135D" w:rsidRPr="00317541" w:rsidP="00A62BBD">
            <w:pPr>
              <w:pStyle w:val="CSBody8pt"/>
            </w:pPr>
          </w:p>
        </w:tc>
        <w:tc>
          <w:tcPr>
            <w:tcW w:w="1701" w:type="dxa"/>
            <w:gridSpan w:val="5"/>
            <w:tcBorders>
              <w:top w:val="single" w:sz="4" w:space="0" w:color="auto"/>
              <w:bottom w:val="single" w:sz="4" w:space="0" w:color="auto"/>
              <w:right w:val="nil"/>
            </w:tcBorders>
            <w:shd w:val="clear" w:color="auto" w:fill="auto"/>
          </w:tcPr>
          <w:p w:rsidR="0017135D" w:rsidRPr="00D13D52" w:rsidP="00A62BBD">
            <w:pPr>
              <w:pStyle w:val="CSBody8pt"/>
            </w:pPr>
            <w:r w:rsidRPr="00D13D52">
              <w:t xml:space="preserve">ISIN: </w:t>
            </w:r>
            <w:r w:rsidRPr="00792D61">
              <w:rPr>
                <w:b/>
              </w:rPr>
              <w:t>[</w:t>
            </w:r>
            <w:r>
              <w:rPr>
                <w:rFonts w:ascii="Arial" w:hAnsi="Arial" w:cs="Arial"/>
              </w:rPr>
              <w:t>●</w:t>
            </w:r>
            <w:r w:rsidRPr="00792D61">
              <w:rPr>
                <w:b/>
              </w:rPr>
              <w:t>]</w:t>
            </w:r>
          </w:p>
        </w:tc>
        <w:tc>
          <w:tcPr>
            <w:tcW w:w="1276" w:type="dxa"/>
            <w:gridSpan w:val="5"/>
            <w:tcBorders>
              <w:top w:val="single" w:sz="4" w:space="0" w:color="auto"/>
              <w:bottom w:val="single" w:sz="4" w:space="0" w:color="auto"/>
              <w:right w:val="nil"/>
            </w:tcBorders>
            <w:shd w:val="clear" w:color="auto" w:fill="auto"/>
          </w:tcPr>
          <w:p w:rsidR="0017135D" w:rsidRPr="00317541" w:rsidP="00A62BBD">
            <w:pPr>
              <w:pStyle w:val="CSBody8pt"/>
            </w:pPr>
          </w:p>
        </w:tc>
        <w:tc>
          <w:tcPr>
            <w:tcW w:w="543" w:type="dxa"/>
            <w:tcBorders>
              <w:top w:val="nil"/>
              <w:bottom w:val="nil"/>
              <w:right w:val="nil"/>
            </w:tcBorders>
            <w:shd w:val="clear" w:color="auto" w:fill="auto"/>
          </w:tcPr>
          <w:p w:rsidR="0017135D" w:rsidRPr="00CB33B4" w:rsidP="00A62BBD">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A62BBD">
            <w:pPr>
              <w:pStyle w:val="CSBody8pt"/>
              <w:rPr>
                <w:lang w:val="de-DE"/>
              </w:rPr>
            </w:pPr>
          </w:p>
        </w:tc>
        <w:tc>
          <w:tcPr>
            <w:tcW w:w="1273" w:type="dxa"/>
            <w:gridSpan w:val="4"/>
            <w:tcBorders>
              <w:top w:val="single" w:sz="4" w:space="0" w:color="auto"/>
              <w:left w:val="nil"/>
              <w:bottom w:val="single" w:sz="4" w:space="0" w:color="auto"/>
            </w:tcBorders>
            <w:shd w:val="clear" w:color="auto" w:fill="auto"/>
          </w:tcPr>
          <w:p w:rsidR="0017135D" w:rsidRPr="00317541" w:rsidP="00A62BBD">
            <w:pPr>
              <w:pStyle w:val="CSBody8pt"/>
            </w:pPr>
          </w:p>
        </w:tc>
        <w:tc>
          <w:tcPr>
            <w:tcW w:w="1560" w:type="dxa"/>
            <w:gridSpan w:val="5"/>
            <w:tcBorders>
              <w:top w:val="single" w:sz="4" w:space="0" w:color="auto"/>
              <w:left w:val="nil"/>
              <w:bottom w:val="single" w:sz="4" w:space="0" w:color="auto"/>
            </w:tcBorders>
            <w:shd w:val="clear" w:color="auto" w:fill="auto"/>
          </w:tcPr>
          <w:p w:rsidR="0017135D" w:rsidP="00A62BBD">
            <w:pPr>
              <w:pStyle w:val="CSBody8pt"/>
            </w:pPr>
            <w:r w:rsidRPr="00792D61">
              <w:rPr>
                <w:b/>
              </w:rPr>
              <w:t>[</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A62BBD">
            <w:pPr>
              <w:pStyle w:val="CSBody8pt"/>
            </w:pPr>
          </w:p>
        </w:tc>
        <w:tc>
          <w:tcPr>
            <w:tcW w:w="1416" w:type="dxa"/>
            <w:tcBorders>
              <w:top w:val="single" w:sz="4" w:space="0" w:color="auto"/>
              <w:bottom w:val="single" w:sz="4" w:space="0" w:color="auto"/>
              <w:right w:val="nil"/>
            </w:tcBorders>
            <w:shd w:val="clear" w:color="auto" w:fill="auto"/>
          </w:tcPr>
          <w:p w:rsidR="0017135D" w:rsidRPr="00317541" w:rsidP="00A62BBD">
            <w:pPr>
              <w:pStyle w:val="CSBody8pt"/>
            </w:pPr>
          </w:p>
        </w:tc>
        <w:tc>
          <w:tcPr>
            <w:tcW w:w="1701" w:type="dxa"/>
            <w:gridSpan w:val="5"/>
            <w:tcBorders>
              <w:top w:val="single" w:sz="4" w:space="0" w:color="auto"/>
              <w:bottom w:val="single" w:sz="4" w:space="0" w:color="auto"/>
              <w:right w:val="nil"/>
            </w:tcBorders>
            <w:shd w:val="clear" w:color="auto" w:fill="auto"/>
          </w:tcPr>
          <w:p w:rsidR="0017135D" w:rsidP="00A62BBD">
            <w:pPr>
              <w:pStyle w:val="CSBody8pt"/>
            </w:pPr>
            <w:r w:rsidRPr="00792D61">
              <w:rPr>
                <w:b/>
              </w:rPr>
              <w:t>[</w:t>
            </w:r>
            <w:r>
              <w:rPr>
                <w:rFonts w:ascii="Arial" w:hAnsi="Arial" w:cs="Arial"/>
              </w:rPr>
              <w:t>●</w:t>
            </w:r>
            <w:r w:rsidRPr="00792D61">
              <w:rPr>
                <w:b/>
              </w:rPr>
              <w:t>]]</w:t>
            </w:r>
          </w:p>
        </w:tc>
        <w:tc>
          <w:tcPr>
            <w:tcW w:w="1276" w:type="dxa"/>
            <w:gridSpan w:val="5"/>
            <w:tcBorders>
              <w:top w:val="single" w:sz="4" w:space="0" w:color="auto"/>
              <w:bottom w:val="single" w:sz="4" w:space="0" w:color="auto"/>
              <w:right w:val="nil"/>
            </w:tcBorders>
            <w:shd w:val="clear" w:color="auto" w:fill="auto"/>
          </w:tcPr>
          <w:p w:rsidR="0017135D" w:rsidRPr="00317541" w:rsidP="00A62BBD">
            <w:pPr>
              <w:pStyle w:val="CSBody8pt"/>
            </w:pPr>
          </w:p>
        </w:tc>
        <w:tc>
          <w:tcPr>
            <w:tcW w:w="543" w:type="dxa"/>
            <w:tcBorders>
              <w:top w:val="nil"/>
              <w:bottom w:val="nil"/>
              <w:right w:val="nil"/>
            </w:tcBorders>
            <w:shd w:val="clear" w:color="auto" w:fill="auto"/>
          </w:tcPr>
          <w:p w:rsidR="0017135D" w:rsidRPr="00CB33B4" w:rsidP="00A62BBD">
            <w:pPr>
              <w:pStyle w:val="CSBody8pt"/>
              <w:rPr>
                <w:bCs/>
                <w:lang w:val="de-DE"/>
              </w:rPr>
            </w:pPr>
          </w:p>
        </w:tc>
      </w:tr>
    </w:tbl>
    <w:p w:rsidR="0017135D">
      <w:pPr>
        <w:rPr>
          <w:b/>
        </w:rPr>
      </w:pPr>
      <w:r>
        <w:rPr>
          <w:b/>
        </w:rPr>
        <w:t>]</w:t>
      </w:r>
    </w:p>
    <w:p w:rsidR="00942F00" w:rsidRPr="00942F00">
      <w:pPr>
        <w:rPr>
          <w:b/>
        </w:rPr>
      </w:pPr>
    </w:p>
    <w:tbl>
      <w:tblPr>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
      <w:tblGrid>
        <w:gridCol w:w="540"/>
        <w:gridCol w:w="1273"/>
        <w:gridCol w:w="1560"/>
        <w:gridCol w:w="1558"/>
        <w:gridCol w:w="1416"/>
        <w:gridCol w:w="1701"/>
        <w:gridCol w:w="1276"/>
        <w:gridCol w:w="543"/>
      </w:tblGrid>
      <w:tr w:rsidTr="004C1EBA">
        <w:tblPrEx>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Ex>
        <w:tc>
          <w:tcPr>
            <w:tcW w:w="4931" w:type="dxa"/>
            <w:gridSpan w:val="4"/>
            <w:tcBorders>
              <w:top w:val="nil"/>
              <w:left w:val="nil"/>
              <w:bottom w:val="nil"/>
            </w:tcBorders>
            <w:shd w:val="clear" w:color="auto" w:fill="auto"/>
          </w:tcPr>
          <w:p w:rsidR="0017135D" w:rsidRPr="00312CFF" w:rsidP="004C1EBA">
            <w:pPr>
              <w:pStyle w:val="CSBody8ptbolditalics"/>
            </w:pPr>
            <w:r w:rsidRPr="00792D61">
              <w:t>[</w:t>
            </w:r>
            <w:r>
              <w:t>in case of Credit-Linked Complex Products with LPN Reference Obligation,</w:t>
            </w:r>
            <w:r w:rsidRPr="00976875">
              <w:rPr>
                <w:b w:val="0"/>
                <w:i w:val="0"/>
                <w:sz w:val="22"/>
              </w:rPr>
              <w:t xml:space="preserve"> </w:t>
            </w:r>
            <w:r w:rsidRPr="00976875">
              <w:t>where a Basket of Reference Entities or a N</w:t>
            </w:r>
            <w:r w:rsidRPr="00BD6E0D">
              <w:rPr>
                <w:vertAlign w:val="superscript"/>
              </w:rPr>
              <w:t>th</w:t>
            </w:r>
            <w:r w:rsidRPr="00976875">
              <w:t>-to-Default structure is applicable, insert Table A:</w:t>
            </w:r>
            <w:r>
              <w:t xml:space="preserve"> </w:t>
            </w:r>
          </w:p>
        </w:tc>
        <w:tc>
          <w:tcPr>
            <w:tcW w:w="4936" w:type="dxa"/>
            <w:gridSpan w:val="4"/>
            <w:tcBorders>
              <w:top w:val="nil"/>
              <w:bottom w:val="nil"/>
              <w:right w:val="nil"/>
            </w:tcBorders>
            <w:shd w:val="clear" w:color="auto" w:fill="auto"/>
          </w:tcPr>
          <w:p w:rsidR="0017135D" w:rsidRPr="00CB33B4" w:rsidP="004C1EBA">
            <w:pPr>
              <w:pStyle w:val="CSBody8ptbolditalics"/>
              <w:rPr>
                <w:lang w:val="de-DE"/>
              </w:rPr>
            </w:pPr>
            <w:r w:rsidRPr="00792D61">
              <w:rPr>
                <w:lang w:val="de-DE"/>
              </w:rPr>
              <w:t>[</w:t>
            </w:r>
            <w:r>
              <w:rPr>
                <w:lang w:val="de-DE"/>
              </w:rPr>
              <w:t xml:space="preserve">bei Kreditbezogenen Komplexen Produkten mit LPN-Referenzverbindlichkeit, bei denen </w:t>
            </w:r>
            <w:r w:rsidRPr="00CB33B4">
              <w:rPr>
                <w:lang w:val="de-DE"/>
              </w:rPr>
              <w:t xml:space="preserve">ein Korb </w:t>
            </w:r>
            <w:r>
              <w:rPr>
                <w:lang w:val="de-DE"/>
              </w:rPr>
              <w:t xml:space="preserve">von Referenzschuldnern </w:t>
            </w:r>
            <w:r w:rsidRPr="00CB33B4">
              <w:rPr>
                <w:lang w:val="de-DE"/>
              </w:rPr>
              <w:t>oder eine N</w:t>
            </w:r>
            <w:r w:rsidRPr="00BD6E0D">
              <w:rPr>
                <w:vertAlign w:val="superscript"/>
                <w:lang w:val="de-DE"/>
              </w:rPr>
              <w:t>th</w:t>
            </w:r>
            <w:r w:rsidRPr="00CB33B4">
              <w:rPr>
                <w:lang w:val="de-DE"/>
              </w:rPr>
              <w:t>-to-Default-Struktur anwendbar ist,</w:t>
            </w:r>
            <w:r>
              <w:rPr>
                <w:lang w:val="de-DE"/>
              </w:rPr>
              <w:t xml:space="preserve"> </w:t>
            </w:r>
            <w:r w:rsidRPr="00CB33B4">
              <w:rPr>
                <w:lang w:val="de-DE"/>
              </w:rPr>
              <w:t>Tabelle A einfügen:</w:t>
            </w: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4C1EBA">
            <w:pPr>
              <w:pStyle w:val="CSBody8pt"/>
              <w:rPr>
                <w:lang w:val="de-DE"/>
              </w:rPr>
            </w:pPr>
          </w:p>
        </w:tc>
        <w:tc>
          <w:tcPr>
            <w:tcW w:w="4391" w:type="dxa"/>
            <w:gridSpan w:val="3"/>
            <w:tcBorders>
              <w:top w:val="single" w:sz="4" w:space="0" w:color="auto"/>
              <w:left w:val="nil"/>
              <w:bottom w:val="single" w:sz="4" w:space="0" w:color="auto"/>
            </w:tcBorders>
            <w:shd w:val="clear" w:color="auto" w:fill="auto"/>
          </w:tcPr>
          <w:p w:rsidR="0017135D" w:rsidRPr="00541515" w:rsidP="004C1EBA">
            <w:pPr>
              <w:pStyle w:val="CSBody8pt"/>
              <w:jc w:val="center"/>
              <w:rPr>
                <w:b/>
                <w:lang w:val="de-DE"/>
              </w:rPr>
            </w:pPr>
            <w:r w:rsidRPr="00541515">
              <w:rPr>
                <w:b/>
                <w:lang w:val="de-DE"/>
              </w:rPr>
              <w:t>Table A</w:t>
            </w:r>
          </w:p>
        </w:tc>
        <w:tc>
          <w:tcPr>
            <w:tcW w:w="4393" w:type="dxa"/>
            <w:gridSpan w:val="3"/>
            <w:tcBorders>
              <w:top w:val="single" w:sz="4" w:space="0" w:color="auto"/>
              <w:bottom w:val="single" w:sz="4" w:space="0" w:color="auto"/>
              <w:right w:val="nil"/>
            </w:tcBorders>
            <w:shd w:val="clear" w:color="auto" w:fill="auto"/>
          </w:tcPr>
          <w:p w:rsidR="0017135D" w:rsidRPr="00541515" w:rsidP="004C1EBA">
            <w:pPr>
              <w:pStyle w:val="CSBody8pt"/>
              <w:jc w:val="center"/>
              <w:rPr>
                <w:b/>
                <w:bCs/>
                <w:lang w:val="de-DE"/>
              </w:rPr>
            </w:pPr>
            <w:r w:rsidRPr="00541515">
              <w:rPr>
                <w:b/>
                <w:bCs/>
                <w:lang w:val="de-DE"/>
              </w:rPr>
              <w:t>TabelleA</w:t>
            </w:r>
          </w:p>
        </w:tc>
        <w:tc>
          <w:tcPr>
            <w:tcW w:w="543" w:type="dxa"/>
            <w:tcBorders>
              <w:top w:val="nil"/>
              <w:bottom w:val="nil"/>
              <w:right w:val="nil"/>
            </w:tcBorders>
            <w:shd w:val="clear" w:color="auto" w:fill="auto"/>
          </w:tcPr>
          <w:p w:rsidR="0017135D" w:rsidRPr="00CB33B4" w:rsidP="004C1EBA">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4C1EBA">
            <w:pPr>
              <w:pStyle w:val="CSBody8pt"/>
              <w:rPr>
                <w:lang w:val="de-DE"/>
              </w:rPr>
            </w:pPr>
          </w:p>
        </w:tc>
        <w:tc>
          <w:tcPr>
            <w:tcW w:w="1273" w:type="dxa"/>
            <w:tcBorders>
              <w:top w:val="single" w:sz="4" w:space="0" w:color="auto"/>
              <w:left w:val="nil"/>
              <w:bottom w:val="single" w:sz="4" w:space="0" w:color="auto"/>
            </w:tcBorders>
            <w:shd w:val="clear" w:color="auto" w:fill="D9D9D9" w:themeFill="background1" w:themeFillShade="D9"/>
          </w:tcPr>
          <w:p w:rsidR="0017135D" w:rsidRPr="00C96636" w:rsidP="004C1EBA">
            <w:pPr>
              <w:pStyle w:val="CSBody8pt"/>
            </w:pPr>
            <w:r w:rsidRPr="00C96636">
              <w:t>Reference Entities</w:t>
            </w:r>
          </w:p>
        </w:tc>
        <w:tc>
          <w:tcPr>
            <w:tcW w:w="1560" w:type="dxa"/>
            <w:tcBorders>
              <w:top w:val="single" w:sz="4" w:space="0" w:color="auto"/>
              <w:left w:val="nil"/>
              <w:bottom w:val="single" w:sz="4" w:space="0" w:color="auto"/>
            </w:tcBorders>
            <w:shd w:val="clear" w:color="auto" w:fill="D9D9D9" w:themeFill="background1" w:themeFillShade="D9"/>
          </w:tcPr>
          <w:p w:rsidR="0017135D" w:rsidRPr="00976875" w:rsidP="004C1EBA">
            <w:pPr>
              <w:pStyle w:val="CSBody8pt"/>
              <w:rPr>
                <w:b/>
              </w:rPr>
            </w:pPr>
            <w:r w:rsidRPr="00792D61">
              <w:rPr>
                <w:b/>
              </w:rPr>
              <w:t>[</w:t>
            </w:r>
            <w:r>
              <w:rPr>
                <w:b/>
                <w:i/>
              </w:rPr>
              <w:t xml:space="preserve">if specific Reference Obligations are to be included, insert: </w:t>
            </w:r>
            <w:r w:rsidRPr="00C96636">
              <w:t>Reference Obligations</w:t>
            </w:r>
            <w:r>
              <w:rPr>
                <w:b/>
              </w:rPr>
              <w:t>]</w:t>
            </w:r>
          </w:p>
        </w:tc>
        <w:tc>
          <w:tcPr>
            <w:tcW w:w="1558" w:type="dxa"/>
            <w:tcBorders>
              <w:top w:val="single" w:sz="4" w:space="0" w:color="auto"/>
              <w:left w:val="nil"/>
              <w:bottom w:val="single" w:sz="4" w:space="0" w:color="auto"/>
            </w:tcBorders>
            <w:shd w:val="clear" w:color="auto" w:fill="D9D9D9" w:themeFill="background1" w:themeFillShade="D9"/>
          </w:tcPr>
          <w:p w:rsidR="0017135D" w:rsidRPr="00C96636" w:rsidP="004C1EBA">
            <w:pPr>
              <w:pStyle w:val="CSBody8pt"/>
            </w:pPr>
            <w:r w:rsidRPr="00792D61">
              <w:rPr>
                <w:b/>
              </w:rPr>
              <w:t>[</w:t>
            </w:r>
            <w:r>
              <w:t>Weighting</w:t>
            </w:r>
            <w:r w:rsidRPr="00792D61">
              <w:rPr>
                <w:b/>
              </w:rPr>
              <w:t>]</w:t>
            </w:r>
            <w:r>
              <w:rPr>
                <w:rStyle w:val="FootnoteReference"/>
              </w:rPr>
              <w:footnoteReference w:id="34"/>
            </w:r>
          </w:p>
        </w:tc>
        <w:tc>
          <w:tcPr>
            <w:tcW w:w="1416" w:type="dxa"/>
            <w:tcBorders>
              <w:top w:val="single" w:sz="4" w:space="0" w:color="auto"/>
              <w:bottom w:val="single" w:sz="4" w:space="0" w:color="auto"/>
              <w:right w:val="nil"/>
            </w:tcBorders>
            <w:shd w:val="clear" w:color="auto" w:fill="D9D9D9" w:themeFill="background1" w:themeFillShade="D9"/>
          </w:tcPr>
          <w:p w:rsidR="0017135D" w:rsidRPr="00C96636" w:rsidP="004C1EBA">
            <w:pPr>
              <w:pStyle w:val="CSBody8pt"/>
            </w:pPr>
            <w:r w:rsidRPr="00C96636">
              <w:t>Referenzschuldner</w:t>
            </w:r>
          </w:p>
        </w:tc>
        <w:tc>
          <w:tcPr>
            <w:tcW w:w="1701" w:type="dxa"/>
            <w:tcBorders>
              <w:top w:val="single" w:sz="4" w:space="0" w:color="auto"/>
              <w:bottom w:val="single" w:sz="4" w:space="0" w:color="auto"/>
              <w:right w:val="nil"/>
            </w:tcBorders>
            <w:shd w:val="clear" w:color="auto" w:fill="D9D9D9" w:themeFill="background1" w:themeFillShade="D9"/>
          </w:tcPr>
          <w:p w:rsidR="0017135D" w:rsidRPr="009D08E0" w:rsidP="004C1EBA">
            <w:pPr>
              <w:pStyle w:val="CSBody8pt"/>
              <w:rPr>
                <w:b/>
                <w:lang w:val="de-DE"/>
              </w:rPr>
            </w:pPr>
            <w:r w:rsidRPr="009D08E0">
              <w:rPr>
                <w:b/>
                <w:lang w:val="de-DE"/>
              </w:rPr>
              <w:t>[</w:t>
            </w:r>
            <w:r w:rsidRPr="009D08E0">
              <w:rPr>
                <w:b/>
                <w:i/>
                <w:lang w:val="de-DE"/>
              </w:rPr>
              <w:t xml:space="preserve">falls bestimmte Referenzverbindlichkeiten aufgenommen werden sollen, einfügen: </w:t>
            </w:r>
            <w:r w:rsidRPr="009D08E0">
              <w:rPr>
                <w:lang w:val="de-DE"/>
              </w:rPr>
              <w:t>Referenzverbindlichkeiten</w:t>
            </w:r>
            <w:r w:rsidRPr="009D08E0">
              <w:rPr>
                <w:b/>
                <w:lang w:val="de-DE"/>
              </w:rPr>
              <w:t>]</w:t>
            </w:r>
          </w:p>
        </w:tc>
        <w:tc>
          <w:tcPr>
            <w:tcW w:w="1276" w:type="dxa"/>
            <w:tcBorders>
              <w:top w:val="single" w:sz="4" w:space="0" w:color="auto"/>
              <w:bottom w:val="single" w:sz="4" w:space="0" w:color="auto"/>
              <w:right w:val="nil"/>
            </w:tcBorders>
            <w:shd w:val="clear" w:color="auto" w:fill="D9D9D9" w:themeFill="background1" w:themeFillShade="D9"/>
          </w:tcPr>
          <w:p w:rsidR="0017135D" w:rsidP="004C1EBA">
            <w:pPr>
              <w:pStyle w:val="CSBody8pt"/>
            </w:pPr>
            <w:r w:rsidRPr="00792D61">
              <w:rPr>
                <w:b/>
              </w:rPr>
              <w:t>[</w:t>
            </w:r>
            <w:r>
              <w:t>Gewichtung</w:t>
            </w:r>
            <w:r w:rsidRPr="00792D61">
              <w:rPr>
                <w:b/>
              </w:rPr>
              <w:t>]</w:t>
            </w:r>
            <w:r>
              <w:rPr>
                <w:rStyle w:val="FootnoteReference"/>
              </w:rPr>
              <w:footnoteReference w:id="35"/>
            </w:r>
          </w:p>
        </w:tc>
        <w:tc>
          <w:tcPr>
            <w:tcW w:w="543" w:type="dxa"/>
            <w:tcBorders>
              <w:top w:val="nil"/>
              <w:bottom w:val="nil"/>
              <w:right w:val="nil"/>
            </w:tcBorders>
            <w:shd w:val="clear" w:color="auto" w:fill="auto"/>
          </w:tcPr>
          <w:p w:rsidR="0017135D" w:rsidRPr="00CB33B4" w:rsidP="004C1EBA">
            <w:pPr>
              <w:pStyle w:val="CSBody8pt"/>
              <w:rPr>
                <w:bCs/>
                <w:lang w:val="de-DE"/>
              </w:rPr>
            </w:pPr>
          </w:p>
        </w:tc>
      </w:tr>
      <w:tr w:rsidTr="004C1EBA">
        <w:tblPrEx>
          <w:tblW w:w="4999" w:type="pct"/>
          <w:tblLayout w:type="fixed"/>
          <w:tblCellMar>
            <w:left w:w="115" w:type="dxa"/>
            <w:right w:w="115" w:type="dxa"/>
          </w:tblCellMar>
          <w:tblLook w:val="04A0"/>
        </w:tblPrEx>
        <w:tc>
          <w:tcPr>
            <w:tcW w:w="540" w:type="dxa"/>
            <w:tcBorders>
              <w:top w:val="nil"/>
              <w:left w:val="nil"/>
              <w:bottom w:val="nil"/>
            </w:tcBorders>
            <w:shd w:val="clear" w:color="auto" w:fill="auto"/>
          </w:tcPr>
          <w:p w:rsidR="0017135D" w:rsidRPr="00CB33B4" w:rsidP="004C1EBA">
            <w:pPr>
              <w:pStyle w:val="CSBody8pt"/>
              <w:rPr>
                <w:lang w:val="de-DE"/>
              </w:rPr>
            </w:pPr>
          </w:p>
        </w:tc>
        <w:tc>
          <w:tcPr>
            <w:tcW w:w="1273" w:type="dxa"/>
            <w:tcBorders>
              <w:top w:val="single" w:sz="4" w:space="0" w:color="auto"/>
              <w:left w:val="nil"/>
              <w:bottom w:val="single" w:sz="4" w:space="0" w:color="auto"/>
            </w:tcBorders>
            <w:shd w:val="clear" w:color="auto" w:fill="auto"/>
          </w:tcPr>
          <w:p w:rsidR="0017135D" w:rsidRPr="00317541" w:rsidP="004C1EBA">
            <w:pPr>
              <w:pStyle w:val="CSBody8pt"/>
            </w:pPr>
            <w:r w:rsidRPr="00792D61">
              <w:rPr>
                <w:b/>
              </w:rPr>
              <w:t>[</w:t>
            </w:r>
            <w:r>
              <w:rPr>
                <w:rFonts w:ascii="Arial" w:hAnsi="Arial" w:cs="Arial"/>
              </w:rPr>
              <w:t>●</w:t>
            </w:r>
            <w:r w:rsidRPr="00792D61">
              <w:rPr>
                <w:b/>
              </w:rPr>
              <w:t>]</w:t>
            </w:r>
          </w:p>
        </w:tc>
        <w:tc>
          <w:tcPr>
            <w:tcW w:w="1560" w:type="dxa"/>
            <w:tcBorders>
              <w:top w:val="single" w:sz="4" w:space="0" w:color="auto"/>
              <w:left w:val="nil"/>
              <w:bottom w:val="single" w:sz="4" w:space="0" w:color="auto"/>
            </w:tcBorders>
            <w:shd w:val="clear" w:color="auto" w:fill="auto"/>
          </w:tcPr>
          <w:p w:rsidR="0017135D" w:rsidRPr="00317541" w:rsidP="004C1EBA">
            <w:pPr>
              <w:pStyle w:val="CSBody8pt"/>
            </w:pPr>
            <w:r w:rsidRPr="00792D61">
              <w:rPr>
                <w:b/>
              </w:rPr>
              <w:t>[</w:t>
            </w:r>
            <w:r>
              <w:rPr>
                <w:b/>
                <w:i/>
              </w:rPr>
              <w:t xml:space="preserve">insert details of Reference Obligations for each Reference Entity, if included in Table A: </w:t>
            </w:r>
            <w:r>
              <w:rPr>
                <w:rFonts w:ascii="Arial" w:hAnsi="Arial" w:cs="Arial"/>
              </w:rPr>
              <w:t>●</w:t>
            </w:r>
            <w:r w:rsidRPr="00792D61">
              <w:rPr>
                <w:b/>
              </w:rPr>
              <w:t>]</w:t>
            </w:r>
          </w:p>
        </w:tc>
        <w:tc>
          <w:tcPr>
            <w:tcW w:w="1558" w:type="dxa"/>
            <w:tcBorders>
              <w:top w:val="single" w:sz="4" w:space="0" w:color="auto"/>
              <w:left w:val="nil"/>
              <w:bottom w:val="single" w:sz="4" w:space="0" w:color="auto"/>
            </w:tcBorders>
            <w:shd w:val="clear" w:color="auto" w:fill="auto"/>
          </w:tcPr>
          <w:p w:rsidR="0017135D" w:rsidRPr="00317541" w:rsidP="004C1EBA">
            <w:pPr>
              <w:pStyle w:val="CSBody8pt"/>
            </w:pPr>
            <w:r w:rsidRPr="00792D61">
              <w:rPr>
                <w:b/>
              </w:rPr>
              <w:t>[[</w:t>
            </w:r>
            <w:r>
              <w:rPr>
                <w:rFonts w:ascii="Arial" w:hAnsi="Arial" w:cs="Arial"/>
              </w:rPr>
              <w:t>●</w:t>
            </w:r>
            <w:r w:rsidRPr="00792D61">
              <w:rPr>
                <w:b/>
              </w:rPr>
              <w:t>]</w:t>
            </w:r>
            <w:r>
              <w:t>%</w:t>
            </w:r>
            <w:r w:rsidRPr="00792D61">
              <w:rPr>
                <w:b/>
              </w:rPr>
              <w:t>]</w:t>
            </w:r>
          </w:p>
        </w:tc>
        <w:tc>
          <w:tcPr>
            <w:tcW w:w="1416" w:type="dxa"/>
            <w:tcBorders>
              <w:top w:val="single" w:sz="4" w:space="0" w:color="auto"/>
              <w:bottom w:val="single" w:sz="4" w:space="0" w:color="auto"/>
              <w:right w:val="nil"/>
            </w:tcBorders>
            <w:shd w:val="clear" w:color="auto" w:fill="auto"/>
          </w:tcPr>
          <w:p w:rsidR="0017135D" w:rsidRPr="00317541" w:rsidP="004C1EBA">
            <w:pPr>
              <w:pStyle w:val="CSBody8pt"/>
            </w:pPr>
            <w:r w:rsidRPr="00792D61">
              <w:rPr>
                <w:b/>
              </w:rPr>
              <w:t>[</w:t>
            </w:r>
            <w:r>
              <w:rPr>
                <w:rFonts w:ascii="Arial" w:hAnsi="Arial" w:cs="Arial"/>
              </w:rPr>
              <w:t>●</w:t>
            </w:r>
            <w:r w:rsidRPr="00792D61">
              <w:rPr>
                <w:b/>
              </w:rPr>
              <w:t>]</w:t>
            </w:r>
          </w:p>
        </w:tc>
        <w:tc>
          <w:tcPr>
            <w:tcW w:w="1701" w:type="dxa"/>
            <w:tcBorders>
              <w:top w:val="single" w:sz="4" w:space="0" w:color="auto"/>
              <w:bottom w:val="single" w:sz="4" w:space="0" w:color="auto"/>
              <w:right w:val="nil"/>
            </w:tcBorders>
            <w:shd w:val="clear" w:color="auto" w:fill="auto"/>
          </w:tcPr>
          <w:p w:rsidR="0017135D" w:rsidRPr="009D08E0" w:rsidP="004C1EBA">
            <w:pPr>
              <w:pStyle w:val="CSBody8pt"/>
              <w:rPr>
                <w:lang w:val="de-DE"/>
              </w:rPr>
            </w:pPr>
            <w:r w:rsidRPr="009D08E0">
              <w:rPr>
                <w:b/>
                <w:lang w:val="de-DE"/>
              </w:rPr>
              <w:t>[</w:t>
            </w:r>
            <w:r w:rsidRPr="009D08E0">
              <w:rPr>
                <w:b/>
                <w:i/>
                <w:lang w:val="de-DE"/>
              </w:rPr>
              <w:t xml:space="preserve">Einzelheiten zu den Referenzverbindlichkeiten jedes Referenzschuldners aufnehmen, falls solche Referenzverbindlichkeiten in Tabelle A aufgenommen werden: </w:t>
            </w:r>
            <w:r w:rsidRPr="009D08E0">
              <w:rPr>
                <w:b/>
                <w:lang w:val="de-DE"/>
              </w:rPr>
              <w:t>[</w:t>
            </w:r>
            <w:r>
              <w:rPr>
                <w:rFonts w:ascii="Wingdings" w:hAnsi="Wingdings"/>
                <w:b/>
              </w:rPr>
              <w:sym w:font="Wingdings" w:char="F06C"/>
            </w:r>
            <w:r w:rsidRPr="009D08E0">
              <w:rPr>
                <w:b/>
                <w:lang w:val="de-DE"/>
              </w:rPr>
              <w:t>]]</w:t>
            </w:r>
          </w:p>
        </w:tc>
        <w:tc>
          <w:tcPr>
            <w:tcW w:w="1276" w:type="dxa"/>
            <w:tcBorders>
              <w:top w:val="single" w:sz="4" w:space="0" w:color="auto"/>
              <w:bottom w:val="single" w:sz="4" w:space="0" w:color="auto"/>
              <w:right w:val="nil"/>
            </w:tcBorders>
            <w:shd w:val="clear" w:color="auto" w:fill="auto"/>
          </w:tcPr>
          <w:p w:rsidR="0017135D" w:rsidRPr="00317541" w:rsidP="004C1EBA">
            <w:pPr>
              <w:pStyle w:val="CSBody8pt"/>
            </w:pPr>
            <w:r w:rsidRPr="00792D61">
              <w:rPr>
                <w:b/>
              </w:rPr>
              <w:t>[[</w:t>
            </w:r>
            <w:r>
              <w:rPr>
                <w:rFonts w:ascii="Arial" w:hAnsi="Arial" w:cs="Arial"/>
              </w:rPr>
              <w:t>●</w:t>
            </w:r>
            <w:r w:rsidRPr="00792D61">
              <w:rPr>
                <w:b/>
              </w:rPr>
              <w:t>]</w:t>
            </w:r>
            <w:r>
              <w:t>%</w:t>
            </w:r>
            <w:r w:rsidRPr="00792D61">
              <w:rPr>
                <w:b/>
              </w:rPr>
              <w:t>]</w:t>
            </w:r>
          </w:p>
        </w:tc>
        <w:tc>
          <w:tcPr>
            <w:tcW w:w="543" w:type="dxa"/>
            <w:tcBorders>
              <w:top w:val="nil"/>
              <w:bottom w:val="nil"/>
              <w:right w:val="nil"/>
            </w:tcBorders>
            <w:shd w:val="clear" w:color="auto" w:fill="auto"/>
          </w:tcPr>
          <w:p w:rsidR="0017135D" w:rsidRPr="00CB33B4" w:rsidP="004C1EBA">
            <w:pPr>
              <w:pStyle w:val="CSBody8pt"/>
              <w:rPr>
                <w:bCs/>
                <w:lang w:val="de-DE"/>
              </w:rPr>
            </w:pPr>
          </w:p>
        </w:tc>
      </w:tr>
    </w:tbl>
    <w:p w:rsidR="0017135D" w:rsidRPr="00942F00">
      <w:pPr>
        <w:rPr>
          <w:b/>
        </w:rPr>
      </w:pPr>
      <w:r>
        <w:rPr>
          <w:b/>
        </w:rPr>
        <w:t>]</w:t>
      </w:r>
    </w:p>
    <w:tbl>
      <w:tblPr>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
      <w:tblGrid>
        <w:gridCol w:w="1388"/>
        <w:gridCol w:w="142"/>
        <w:gridCol w:w="86"/>
        <w:gridCol w:w="342"/>
        <w:gridCol w:w="2973"/>
        <w:gridCol w:w="1563"/>
        <w:gridCol w:w="55"/>
        <w:gridCol w:w="3318"/>
      </w:tblGrid>
      <w:tr w:rsidTr="00BD6E0D">
        <w:tblPrEx>
          <w:tblW w:w="4999"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B33B4" w:rsidP="00A457E7">
            <w:pPr>
              <w:pStyle w:val="CSBody0"/>
              <w:rPr>
                <w:b/>
                <w:lang w:val="de-DE"/>
              </w:rPr>
            </w:pPr>
          </w:p>
        </w:tc>
        <w:tc>
          <w:tcPr>
            <w:tcW w:w="2973" w:type="dxa"/>
            <w:tcBorders>
              <w:top w:val="nil"/>
              <w:left w:val="nil"/>
              <w:bottom w:val="nil"/>
              <w:right w:val="nil"/>
            </w:tcBorders>
            <w:shd w:val="clear" w:color="auto" w:fill="auto"/>
          </w:tcPr>
          <w:p w:rsidR="0017135D" w:rsidRPr="00CB33B4" w:rsidP="00A457E7">
            <w:pPr>
              <w:pStyle w:val="CSBody0"/>
              <w:rPr>
                <w:b/>
                <w:lang w:val="de-DE"/>
              </w:rPr>
            </w:pPr>
          </w:p>
        </w:tc>
        <w:tc>
          <w:tcPr>
            <w:tcW w:w="1618" w:type="dxa"/>
            <w:gridSpan w:val="2"/>
            <w:tcBorders>
              <w:top w:val="nil"/>
              <w:left w:val="nil"/>
              <w:bottom w:val="nil"/>
              <w:right w:val="nil"/>
            </w:tcBorders>
            <w:shd w:val="clear" w:color="auto" w:fill="auto"/>
          </w:tcPr>
          <w:p w:rsidR="0017135D" w:rsidRPr="00CB33B4" w:rsidP="00E60155">
            <w:pPr>
              <w:pStyle w:val="CSBody0"/>
              <w:rPr>
                <w:b/>
                <w:i/>
                <w:lang w:val="de-DE"/>
              </w:rPr>
            </w:pPr>
          </w:p>
        </w:tc>
        <w:tc>
          <w:tcPr>
            <w:tcW w:w="3318" w:type="dxa"/>
            <w:tcBorders>
              <w:top w:val="nil"/>
              <w:left w:val="nil"/>
              <w:bottom w:val="nil"/>
              <w:right w:val="nil"/>
            </w:tcBorders>
            <w:shd w:val="clear" w:color="auto" w:fill="auto"/>
          </w:tcPr>
          <w:p w:rsidR="0017135D" w:rsidRPr="00CB33B4" w:rsidP="00E60155">
            <w:pPr>
              <w:pStyle w:val="CSBody0"/>
              <w:rPr>
                <w:b/>
                <w:bCs/>
                <w:lang w:val="de-DE"/>
              </w:rPr>
            </w:pP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541515" w:rsidP="00A62BBD">
            <w:pPr>
              <w:pStyle w:val="CSBody8pt"/>
            </w:pPr>
            <w:r w:rsidRPr="00541515">
              <w:t>All Guarantees</w:t>
            </w:r>
            <w:r>
              <w:fldChar w:fldCharType="begin"/>
            </w:r>
            <w:r>
              <w:instrText xml:space="preserve"> XE "</w:instrText>
            </w:r>
            <w:r w:rsidRPr="00DA0D70">
              <w:instrText>All Guarantees</w:instrText>
            </w:r>
            <w:r>
              <w:instrText xml:space="preserve">" \f "EN" </w:instrText>
            </w:r>
            <w:r>
              <w:fldChar w:fldCharType="end"/>
            </w:r>
            <w:r>
              <w:rPr>
                <w:rStyle w:val="FootnoteReference"/>
              </w:rPr>
              <w:footnoteReference w:id="36"/>
            </w:r>
          </w:p>
        </w:tc>
        <w:tc>
          <w:tcPr>
            <w:tcW w:w="2973" w:type="dxa"/>
            <w:tcBorders>
              <w:top w:val="nil"/>
              <w:left w:val="nil"/>
              <w:bottom w:val="nil"/>
            </w:tcBorders>
            <w:shd w:val="clear" w:color="auto" w:fill="auto"/>
          </w:tcPr>
          <w:p w:rsidR="0017135D" w:rsidRPr="00541515" w:rsidP="00A62BBD">
            <w:pPr>
              <w:pStyle w:val="CSBody8pt"/>
            </w:pPr>
            <w:r w:rsidRPr="00792D61">
              <w:rPr>
                <w:b/>
              </w:rPr>
              <w:t>[</w:t>
            </w:r>
            <w:r w:rsidRPr="00541515">
              <w:t>Applicable</w:t>
            </w:r>
            <w:r w:rsidRPr="00792D61">
              <w:rPr>
                <w:b/>
              </w:rPr>
              <w:t>]</w:t>
            </w:r>
          </w:p>
          <w:p w:rsidR="0017135D" w:rsidRPr="00541515" w:rsidP="00A62BBD">
            <w:pPr>
              <w:pStyle w:val="CSBody8pt"/>
            </w:pPr>
            <w:r w:rsidRPr="00792D61">
              <w:rPr>
                <w:b/>
              </w:rPr>
              <w:t>[</w:t>
            </w:r>
            <w:r w:rsidRPr="00541515">
              <w:t>Not applicable</w:t>
            </w:r>
            <w:r w:rsidRPr="00792D61">
              <w:rPr>
                <w:b/>
              </w:rPr>
              <w:t>]</w:t>
            </w:r>
          </w:p>
        </w:tc>
        <w:tc>
          <w:tcPr>
            <w:tcW w:w="1618" w:type="dxa"/>
            <w:gridSpan w:val="2"/>
            <w:tcBorders>
              <w:top w:val="nil"/>
              <w:bottom w:val="nil"/>
              <w:right w:val="nil"/>
            </w:tcBorders>
            <w:shd w:val="clear" w:color="auto" w:fill="auto"/>
          </w:tcPr>
          <w:p w:rsidR="0017135D" w:rsidRPr="00541515" w:rsidP="00A62BBD">
            <w:pPr>
              <w:pStyle w:val="CSBody8pt"/>
            </w:pPr>
            <w:r w:rsidRPr="00541515">
              <w:t>Alle Garantien</w:t>
            </w:r>
            <w:r>
              <w:fldChar w:fldCharType="begin"/>
            </w:r>
            <w:r>
              <w:instrText xml:space="preserve"> XE "</w:instrText>
            </w:r>
            <w:r w:rsidRPr="00022474">
              <w:instrText>Alle Garantien</w:instrText>
            </w:r>
            <w:r>
              <w:instrText xml:space="preserve">" </w:instrText>
            </w:r>
            <w:r>
              <w:fldChar w:fldCharType="end"/>
            </w:r>
            <w:r>
              <w:rPr>
                <w:rStyle w:val="FootnoteReference"/>
              </w:rPr>
              <w:footnoteReference w:id="37"/>
            </w:r>
          </w:p>
        </w:tc>
        <w:tc>
          <w:tcPr>
            <w:tcW w:w="3318" w:type="dxa"/>
            <w:tcBorders>
              <w:top w:val="nil"/>
              <w:left w:val="nil"/>
              <w:bottom w:val="nil"/>
              <w:right w:val="nil"/>
            </w:tcBorders>
            <w:shd w:val="clear" w:color="auto" w:fill="auto"/>
          </w:tcPr>
          <w:p w:rsidR="0017135D" w:rsidRPr="00541515" w:rsidP="00A62BBD">
            <w:pPr>
              <w:pStyle w:val="CSBody8pt"/>
            </w:pPr>
            <w:r w:rsidRPr="00792D61">
              <w:rPr>
                <w:b/>
              </w:rPr>
              <w:t>[</w:t>
            </w:r>
            <w:r w:rsidRPr="00541515">
              <w:t>Anwendbar</w:t>
            </w:r>
            <w:r w:rsidRPr="00792D61">
              <w:rPr>
                <w:b/>
              </w:rPr>
              <w:t>]</w:t>
            </w:r>
          </w:p>
          <w:p w:rsidR="0017135D" w:rsidRPr="00541515" w:rsidP="00A62BBD">
            <w:pPr>
              <w:pStyle w:val="CSBody8pt"/>
            </w:pPr>
            <w:r w:rsidRPr="00792D61">
              <w:rPr>
                <w:b/>
              </w:rPr>
              <w:t>[</w:t>
            </w:r>
            <w:r w:rsidRPr="00541515">
              <w:t>Nicht anwendbar</w:t>
            </w:r>
            <w:r w:rsidRPr="00792D61">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541515" w:rsidP="00A62BBD">
            <w:pPr>
              <w:pStyle w:val="CSBody8pt"/>
            </w:pPr>
            <w:r w:rsidRPr="00541515">
              <w:t>Credit Events</w:t>
            </w:r>
            <w:r>
              <w:fldChar w:fldCharType="begin"/>
            </w:r>
            <w:r>
              <w:instrText xml:space="preserve"> XE "</w:instrText>
            </w:r>
            <w:r w:rsidRPr="005E199F">
              <w:instrText>Credit Events</w:instrText>
            </w:r>
            <w:r>
              <w:instrText xml:space="preserve">" \f "EN" </w:instrText>
            </w:r>
            <w:r>
              <w:fldChar w:fldCharType="end"/>
            </w:r>
          </w:p>
        </w:tc>
        <w:tc>
          <w:tcPr>
            <w:tcW w:w="2973" w:type="dxa"/>
            <w:tcBorders>
              <w:top w:val="nil"/>
              <w:left w:val="nil"/>
              <w:bottom w:val="nil"/>
            </w:tcBorders>
            <w:shd w:val="clear" w:color="auto" w:fill="auto"/>
          </w:tcPr>
          <w:p w:rsidR="0017135D" w:rsidRPr="00541515" w:rsidP="00A62BBD">
            <w:pPr>
              <w:pStyle w:val="CSBody8pt"/>
            </w:pPr>
            <w:r w:rsidRPr="00541515">
              <w:t xml:space="preserve">With respect to </w:t>
            </w:r>
            <w:r w:rsidRPr="00792D61">
              <w:rPr>
                <w:b/>
              </w:rPr>
              <w:t>[</w:t>
            </w:r>
            <w:r w:rsidRPr="00541515">
              <w:rPr>
                <w:b/>
                <w:i/>
              </w:rPr>
              <w:t xml:space="preserve">if a Complex Product is linked to only one Reference Entity, insert: </w:t>
            </w:r>
            <w:r w:rsidRPr="00541515">
              <w:t>the</w:t>
            </w:r>
            <w:r w:rsidRPr="00792D61">
              <w:rPr>
                <w:b/>
              </w:rPr>
              <w:t>][</w:t>
            </w:r>
            <w:r w:rsidRPr="00541515">
              <w:rPr>
                <w:b/>
                <w:i/>
              </w:rPr>
              <w:t>if a Basket is applicable or in the case of Complex Products with N</w:t>
            </w:r>
            <w:r w:rsidRPr="00BD6E0D">
              <w:rPr>
                <w:b/>
                <w:i/>
                <w:vertAlign w:val="superscript"/>
              </w:rPr>
              <w:t>th</w:t>
            </w:r>
            <w:r w:rsidRPr="00541515">
              <w:rPr>
                <w:b/>
                <w:i/>
              </w:rPr>
              <w:t>-to-Default structure, insert:</w:t>
            </w:r>
            <w:r w:rsidRPr="00541515">
              <w:t xml:space="preserve"> any</w:t>
            </w:r>
            <w:r w:rsidRPr="00792D61">
              <w:rPr>
                <w:b/>
              </w:rPr>
              <w:t>]</w:t>
            </w:r>
            <w:r w:rsidRPr="00541515">
              <w:t xml:space="preserve"> Reference Entity, the occurrence of one or more of the following events at any time prior to, on or after the </w:t>
            </w:r>
            <w:r w:rsidRPr="00792D61">
              <w:rPr>
                <w:b/>
              </w:rPr>
              <w:t>[</w:t>
            </w:r>
            <w:r w:rsidRPr="00541515">
              <w:t>Trade</w:t>
            </w:r>
            <w:r w:rsidRPr="00792D61">
              <w:rPr>
                <w:b/>
              </w:rPr>
              <w:t>][</w:t>
            </w:r>
            <w:r w:rsidRPr="00541515">
              <w:t>Issue</w:t>
            </w:r>
            <w:r w:rsidRPr="00792D61">
              <w:rPr>
                <w:b/>
              </w:rPr>
              <w:t>]</w:t>
            </w:r>
            <w:r w:rsidRPr="00541515">
              <w:t xml:space="preserve"> Date: </w:t>
            </w:r>
          </w:p>
        </w:tc>
        <w:tc>
          <w:tcPr>
            <w:tcW w:w="1618" w:type="dxa"/>
            <w:gridSpan w:val="2"/>
            <w:tcBorders>
              <w:top w:val="nil"/>
              <w:bottom w:val="nil"/>
              <w:right w:val="nil"/>
            </w:tcBorders>
            <w:shd w:val="clear" w:color="auto" w:fill="auto"/>
          </w:tcPr>
          <w:p w:rsidR="0017135D" w:rsidRPr="00541515" w:rsidP="00A62BBD">
            <w:pPr>
              <w:pStyle w:val="CSBody8pt"/>
            </w:pPr>
            <w:r w:rsidRPr="00541515">
              <w:t>Kreditereignisse</w:t>
            </w:r>
            <w:r>
              <w:fldChar w:fldCharType="begin"/>
            </w:r>
            <w:r>
              <w:instrText xml:space="preserve"> XE "</w:instrText>
            </w:r>
            <w:r w:rsidRPr="003035C1">
              <w:instrText>Kreditereignisse</w:instrText>
            </w:r>
            <w:r>
              <w:instrText xml:space="preserve">" </w:instrText>
            </w:r>
            <w:r>
              <w:fldChar w:fldCharType="end"/>
            </w:r>
          </w:p>
        </w:tc>
        <w:tc>
          <w:tcPr>
            <w:tcW w:w="3318" w:type="dxa"/>
            <w:tcBorders>
              <w:top w:val="nil"/>
              <w:left w:val="nil"/>
              <w:bottom w:val="nil"/>
              <w:right w:val="nil"/>
            </w:tcBorders>
            <w:shd w:val="clear" w:color="auto" w:fill="auto"/>
          </w:tcPr>
          <w:p w:rsidR="0017135D" w:rsidRPr="003744F4" w:rsidP="00A62BBD">
            <w:pPr>
              <w:pStyle w:val="CSBody8pt"/>
              <w:rPr>
                <w:lang w:val="de-DE"/>
              </w:rPr>
            </w:pPr>
            <w:r w:rsidRPr="00541515">
              <w:rPr>
                <w:lang w:val="de-DE"/>
              </w:rPr>
              <w:t xml:space="preserve">In Bezug auf </w:t>
            </w:r>
            <w:r w:rsidRPr="00792D61">
              <w:rPr>
                <w:b/>
                <w:lang w:val="de-DE"/>
              </w:rPr>
              <w:t>[</w:t>
            </w:r>
            <w:r w:rsidRPr="00541515">
              <w:rPr>
                <w:b/>
                <w:i/>
                <w:lang w:val="de-DE"/>
              </w:rPr>
              <w:t>falls ein Komplexes Produkt nur an einen Referenzschuldner gekoppelt ist, einfügen:</w:t>
            </w:r>
            <w:r w:rsidRPr="00541515">
              <w:rPr>
                <w:lang w:val="de-DE"/>
              </w:rPr>
              <w:t xml:space="preserve"> den Referenzschuldner</w:t>
            </w:r>
            <w:r w:rsidRPr="00792D61">
              <w:rPr>
                <w:b/>
                <w:lang w:val="de-DE"/>
              </w:rPr>
              <w:t>][</w:t>
            </w:r>
            <w:r w:rsidRPr="00541515">
              <w:rPr>
                <w:b/>
                <w:i/>
                <w:lang w:val="de-DE"/>
              </w:rPr>
              <w:t>falls ein Korb anwendbar ist oder bei Komplexen Produkten mit N</w:t>
            </w:r>
            <w:r w:rsidRPr="00BD6E0D">
              <w:rPr>
                <w:b/>
                <w:i/>
                <w:vertAlign w:val="superscript"/>
                <w:lang w:val="de-DE"/>
              </w:rPr>
              <w:t>th</w:t>
            </w:r>
            <w:r w:rsidRPr="00541515">
              <w:rPr>
                <w:b/>
                <w:i/>
                <w:lang w:val="de-DE"/>
              </w:rPr>
              <w:t>-to-Default-Struktur, einfügen:</w:t>
            </w:r>
            <w:r w:rsidRPr="00541515">
              <w:rPr>
                <w:lang w:val="de-DE"/>
              </w:rPr>
              <w:t xml:space="preserve"> einen Referenzschuldner</w:t>
            </w:r>
            <w:r w:rsidRPr="00792D61">
              <w:rPr>
                <w:b/>
                <w:lang w:val="de-DE"/>
              </w:rPr>
              <w:t>]</w:t>
            </w:r>
            <w:r w:rsidRPr="00541515">
              <w:rPr>
                <w:lang w:val="de-DE"/>
              </w:rPr>
              <w:t xml:space="preserve"> der Eintritt eines oder mehrerer der folgenden Ereignisse zu einem beliebigen Zeitpunkt vor, an oder nach dem </w:t>
            </w:r>
            <w:r w:rsidRPr="00792D61">
              <w:rPr>
                <w:b/>
                <w:lang w:val="de-DE"/>
              </w:rPr>
              <w:t>[</w:t>
            </w:r>
            <w:r w:rsidRPr="00541515">
              <w:rPr>
                <w:lang w:val="de-DE"/>
              </w:rPr>
              <w:t>Abschlusstag</w:t>
            </w:r>
            <w:r w:rsidRPr="00792D61">
              <w:rPr>
                <w:b/>
                <w:lang w:val="de-DE"/>
              </w:rPr>
              <w:t>][</w:t>
            </w:r>
            <w:r w:rsidRPr="00541515">
              <w:rPr>
                <w:lang w:val="de-DE"/>
              </w:rPr>
              <w:t>Emissionstag</w:t>
            </w:r>
            <w:r w:rsidRPr="00792D61">
              <w:rPr>
                <w:b/>
                <w:lang w:val="de-DE"/>
              </w:rPr>
              <w:t>]</w:t>
            </w:r>
            <w:r>
              <w:rPr>
                <w:lang w:val="de-DE"/>
              </w:rPr>
              <w:t>:</w:t>
            </w:r>
            <w:r w:rsidRPr="003744F4">
              <w:rPr>
                <w:lang w:val="de-DE"/>
              </w:rPr>
              <w:t xml:space="preserve"> </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B33B4" w:rsidP="00A62BBD">
            <w:pPr>
              <w:pStyle w:val="CSBody8ptbolditalics"/>
              <w:rPr>
                <w:lang w:val="de-DE"/>
              </w:rPr>
            </w:pPr>
          </w:p>
        </w:tc>
        <w:tc>
          <w:tcPr>
            <w:tcW w:w="2973" w:type="dxa"/>
            <w:tcBorders>
              <w:top w:val="nil"/>
              <w:left w:val="nil"/>
              <w:bottom w:val="nil"/>
            </w:tcBorders>
            <w:shd w:val="clear" w:color="auto" w:fill="auto"/>
          </w:tcPr>
          <w:p w:rsidR="0017135D" w:rsidP="00A62BBD">
            <w:pPr>
              <w:pStyle w:val="CSBody8ptbolditalics"/>
            </w:pPr>
            <w:r w:rsidRPr="00792D61">
              <w:t>[</w:t>
            </w:r>
            <w:r w:rsidRPr="002B1CBF">
              <w:t>delete Credit Events which are not applicable for relevant Transaction Type, in accordance with the Settlement Matrix</w:t>
            </w:r>
            <w:r w:rsidRPr="00792D61">
              <w:t>]</w:t>
            </w:r>
          </w:p>
        </w:tc>
        <w:tc>
          <w:tcPr>
            <w:tcW w:w="1618" w:type="dxa"/>
            <w:gridSpan w:val="2"/>
            <w:tcBorders>
              <w:top w:val="nil"/>
              <w:bottom w:val="nil"/>
              <w:right w:val="nil"/>
            </w:tcBorders>
            <w:shd w:val="clear" w:color="auto" w:fill="auto"/>
          </w:tcPr>
          <w:p w:rsidR="0017135D" w:rsidRPr="003744F4" w:rsidP="00A62BBD">
            <w:pPr>
              <w:pStyle w:val="CSBody8ptbolditalics"/>
            </w:pPr>
          </w:p>
        </w:tc>
        <w:tc>
          <w:tcPr>
            <w:tcW w:w="3318" w:type="dxa"/>
            <w:tcBorders>
              <w:top w:val="nil"/>
              <w:left w:val="nil"/>
              <w:bottom w:val="nil"/>
              <w:right w:val="nil"/>
            </w:tcBorders>
            <w:shd w:val="clear" w:color="auto" w:fill="auto"/>
          </w:tcPr>
          <w:p w:rsidR="0017135D" w:rsidRPr="003744F4" w:rsidP="00A62BBD">
            <w:pPr>
              <w:pStyle w:val="CSBody8ptbolditalics"/>
              <w:rPr>
                <w:lang w:val="de-DE"/>
              </w:rPr>
            </w:pPr>
            <w:r w:rsidRPr="00792D61">
              <w:rPr>
                <w:lang w:val="de-DE"/>
              </w:rPr>
              <w:t>[</w:t>
            </w:r>
            <w:r w:rsidRPr="003744F4">
              <w:rPr>
                <w:lang w:val="de-DE"/>
              </w:rPr>
              <w:t>Kreditereignisse, die für den betreffenden Transaktionstyp nicht anwendbar sind, gemäss der Abwicklungsmatrix streichen</w:t>
            </w:r>
            <w:r w:rsidRPr="00792D61">
              <w:rPr>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0C557A" w:rsidP="00A62BBD">
            <w:pPr>
              <w:pStyle w:val="CSBody8pt"/>
              <w:rPr>
                <w:lang w:val="de-DE"/>
              </w:rPr>
            </w:pPr>
          </w:p>
        </w:tc>
        <w:tc>
          <w:tcPr>
            <w:tcW w:w="2973" w:type="dxa"/>
            <w:tcBorders>
              <w:top w:val="nil"/>
              <w:left w:val="nil"/>
              <w:bottom w:val="nil"/>
            </w:tcBorders>
            <w:shd w:val="clear" w:color="auto" w:fill="auto"/>
          </w:tcPr>
          <w:p w:rsidR="0017135D" w:rsidRPr="00A62BBD" w:rsidP="00A62BBD">
            <w:pPr>
              <w:pStyle w:val="CSBody8pt"/>
            </w:pPr>
            <w:r w:rsidRPr="00792D61">
              <w:rPr>
                <w:b/>
              </w:rPr>
              <w:t>[</w:t>
            </w:r>
            <w:r w:rsidRPr="00A62BBD">
              <w:t>Bankruptcy</w:t>
            </w:r>
            <w:r w:rsidRPr="00792D61">
              <w:rPr>
                <w:b/>
              </w:rPr>
              <w:t>]</w:t>
            </w:r>
            <w:r w:rsidRPr="00A62BBD">
              <w:t xml:space="preserve"> </w:t>
            </w:r>
          </w:p>
          <w:p w:rsidR="0017135D" w:rsidRPr="00A62BBD" w:rsidP="00A62BBD">
            <w:pPr>
              <w:pStyle w:val="CSBody8pt"/>
            </w:pPr>
            <w:r w:rsidRPr="00A62BBD">
              <w:t>Failure to Pay</w:t>
            </w:r>
          </w:p>
          <w:p w:rsidR="0017135D" w:rsidRPr="00A62BBD" w:rsidP="00A62BBD">
            <w:pPr>
              <w:pStyle w:val="CSBody8pt"/>
            </w:pPr>
            <w:r w:rsidRPr="00792D61">
              <w:rPr>
                <w:b/>
              </w:rPr>
              <w:t>[</w:t>
            </w:r>
            <w:r w:rsidRPr="00A62BBD">
              <w:t>Governmental Intervention</w:t>
            </w:r>
            <w:r w:rsidRPr="00792D61">
              <w:rPr>
                <w:b/>
              </w:rPr>
              <w:t>]</w:t>
            </w:r>
          </w:p>
          <w:p w:rsidR="0017135D" w:rsidRPr="00A62BBD" w:rsidP="00A62BBD">
            <w:pPr>
              <w:pStyle w:val="CSBody8pt"/>
            </w:pPr>
            <w:r w:rsidRPr="00792D61">
              <w:rPr>
                <w:b/>
              </w:rPr>
              <w:t>[</w:t>
            </w:r>
            <w:r w:rsidRPr="00A62BBD">
              <w:t>Obligation Acceleration</w:t>
            </w:r>
            <w:r w:rsidRPr="00792D61">
              <w:rPr>
                <w:b/>
              </w:rPr>
              <w:t>]</w:t>
            </w:r>
          </w:p>
          <w:p w:rsidR="0017135D" w:rsidRPr="00A62BBD" w:rsidP="00A62BBD">
            <w:pPr>
              <w:pStyle w:val="CSBody8pt"/>
            </w:pPr>
            <w:r w:rsidRPr="00792D61">
              <w:rPr>
                <w:b/>
              </w:rPr>
              <w:t>[</w:t>
            </w:r>
            <w:r w:rsidRPr="00A62BBD">
              <w:t>Repudiation/Moratorium</w:t>
            </w:r>
            <w:r w:rsidRPr="00792D61">
              <w:rPr>
                <w:b/>
              </w:rPr>
              <w:t>]</w:t>
            </w:r>
          </w:p>
          <w:p w:rsidR="0017135D" w:rsidRPr="00A62BBD" w:rsidP="00A62BBD">
            <w:pPr>
              <w:pStyle w:val="CSBody8pt"/>
            </w:pPr>
            <w:r w:rsidRPr="00792D61">
              <w:rPr>
                <w:b/>
              </w:rPr>
              <w:t>[</w:t>
            </w:r>
            <w:r w:rsidRPr="00A62BBD">
              <w:t>Restructuring</w:t>
            </w:r>
            <w:r w:rsidRPr="00792D61">
              <w:rPr>
                <w:b/>
              </w:rPr>
              <w:t>]</w:t>
            </w:r>
          </w:p>
        </w:tc>
        <w:tc>
          <w:tcPr>
            <w:tcW w:w="1618" w:type="dxa"/>
            <w:gridSpan w:val="2"/>
            <w:tcBorders>
              <w:top w:val="nil"/>
              <w:bottom w:val="nil"/>
              <w:right w:val="nil"/>
            </w:tcBorders>
            <w:shd w:val="clear" w:color="auto" w:fill="auto"/>
          </w:tcPr>
          <w:p w:rsidR="0017135D" w:rsidRPr="00A62BBD" w:rsidP="00A62BBD">
            <w:pPr>
              <w:pStyle w:val="CSBody8pt"/>
            </w:pPr>
          </w:p>
        </w:tc>
        <w:tc>
          <w:tcPr>
            <w:tcW w:w="3318" w:type="dxa"/>
            <w:tcBorders>
              <w:top w:val="nil"/>
              <w:left w:val="nil"/>
              <w:bottom w:val="nil"/>
              <w:right w:val="nil"/>
            </w:tcBorders>
            <w:shd w:val="clear" w:color="auto" w:fill="auto"/>
          </w:tcPr>
          <w:p w:rsidR="0017135D" w:rsidRPr="000C557A" w:rsidP="00A62BBD">
            <w:pPr>
              <w:pStyle w:val="CSBody8pt"/>
              <w:rPr>
                <w:lang w:val="de-DE"/>
              </w:rPr>
            </w:pPr>
            <w:r w:rsidRPr="00792D61">
              <w:rPr>
                <w:b/>
                <w:lang w:val="de-DE"/>
              </w:rPr>
              <w:t>[</w:t>
            </w:r>
            <w:r w:rsidRPr="000C557A">
              <w:rPr>
                <w:lang w:val="de-DE"/>
              </w:rPr>
              <w:t>Insolvenz</w:t>
            </w:r>
            <w:r w:rsidRPr="00792D61">
              <w:rPr>
                <w:b/>
                <w:lang w:val="de-DE"/>
              </w:rPr>
              <w:t>]</w:t>
            </w:r>
          </w:p>
          <w:p w:rsidR="0017135D" w:rsidRPr="000C557A" w:rsidP="00A62BBD">
            <w:pPr>
              <w:pStyle w:val="CSBody8pt"/>
              <w:rPr>
                <w:lang w:val="de-DE"/>
              </w:rPr>
            </w:pPr>
            <w:r w:rsidRPr="000C557A">
              <w:rPr>
                <w:lang w:val="de-DE"/>
              </w:rPr>
              <w:t xml:space="preserve">Nichtzahlung </w:t>
            </w:r>
          </w:p>
          <w:p w:rsidR="0017135D" w:rsidRPr="000C557A" w:rsidP="00A62BBD">
            <w:pPr>
              <w:pStyle w:val="CSBody8pt"/>
              <w:rPr>
                <w:lang w:val="de-DE"/>
              </w:rPr>
            </w:pPr>
            <w:r w:rsidRPr="00792D61">
              <w:rPr>
                <w:b/>
                <w:lang w:val="de-DE"/>
              </w:rPr>
              <w:t>[</w:t>
            </w:r>
            <w:r w:rsidRPr="000C557A">
              <w:rPr>
                <w:lang w:val="de-DE"/>
              </w:rPr>
              <w:t>Staatliche Intervention</w:t>
            </w:r>
            <w:r w:rsidRPr="00792D61">
              <w:rPr>
                <w:b/>
                <w:lang w:val="de-DE"/>
              </w:rPr>
              <w:t>]</w:t>
            </w:r>
          </w:p>
          <w:p w:rsidR="0017135D" w:rsidRPr="000C557A" w:rsidP="00A62BBD">
            <w:pPr>
              <w:pStyle w:val="CSBody8pt"/>
              <w:rPr>
                <w:lang w:val="de-DE"/>
              </w:rPr>
            </w:pPr>
            <w:r w:rsidRPr="00792D61">
              <w:rPr>
                <w:b/>
                <w:lang w:val="de-DE"/>
              </w:rPr>
              <w:t>[</w:t>
            </w:r>
            <w:r w:rsidRPr="000C557A">
              <w:rPr>
                <w:lang w:val="de-DE"/>
              </w:rPr>
              <w:t>Vorfälligkeit einer Verbindlichkeit</w:t>
            </w:r>
            <w:r w:rsidRPr="00792D61">
              <w:rPr>
                <w:b/>
                <w:lang w:val="de-DE"/>
              </w:rPr>
              <w:t>]</w:t>
            </w:r>
          </w:p>
          <w:p w:rsidR="0017135D" w:rsidRPr="00A62BBD" w:rsidP="00A62BBD">
            <w:pPr>
              <w:pStyle w:val="CSBody8pt"/>
            </w:pPr>
            <w:r w:rsidRPr="00792D61">
              <w:rPr>
                <w:b/>
              </w:rPr>
              <w:t>[</w:t>
            </w:r>
            <w:r w:rsidRPr="00A62BBD">
              <w:t>Nichtanerkennung/Moratorium</w:t>
            </w:r>
            <w:r w:rsidRPr="00792D61">
              <w:rPr>
                <w:b/>
              </w:rPr>
              <w:t>]</w:t>
            </w:r>
          </w:p>
          <w:p w:rsidR="0017135D" w:rsidRPr="00A62BBD" w:rsidP="00A62BBD">
            <w:pPr>
              <w:pStyle w:val="CSBody8pt"/>
            </w:pPr>
            <w:r w:rsidRPr="00792D61">
              <w:rPr>
                <w:b/>
              </w:rPr>
              <w:t>[</w:t>
            </w:r>
            <w:r w:rsidRPr="00A62BBD">
              <w:t>Restrukturierung</w:t>
            </w:r>
            <w:r w:rsidRPr="00792D61">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3744F4" w:rsidP="00A62BBD">
            <w:pPr>
              <w:pStyle w:val="CSBody8pt"/>
              <w:rPr>
                <w:lang w:val="de-DE"/>
              </w:rPr>
            </w:pPr>
          </w:p>
        </w:tc>
        <w:tc>
          <w:tcPr>
            <w:tcW w:w="2973" w:type="dxa"/>
            <w:tcBorders>
              <w:top w:val="nil"/>
              <w:left w:val="nil"/>
              <w:bottom w:val="nil"/>
            </w:tcBorders>
            <w:shd w:val="clear" w:color="auto" w:fill="auto"/>
          </w:tcPr>
          <w:p w:rsidR="0017135D" w:rsidRPr="003744F4" w:rsidP="00A62BBD">
            <w:pPr>
              <w:pStyle w:val="CSBody8pt"/>
            </w:pPr>
            <w:r w:rsidRPr="003744F4">
              <w:t xml:space="preserve">If an occurrence would otherwise constitute a Credit Event, such occurrence will constitute a Credit Event whether or not such occurrence arises directly or indirectly from, or is subject to a defence based upon: (i) any lack or alleged lack of authority or capacity of the </w:t>
            </w:r>
            <w:r w:rsidRPr="00792D61">
              <w:rPr>
                <w:b/>
              </w:rPr>
              <w:t>[</w:t>
            </w:r>
            <w:r w:rsidRPr="003744F4">
              <w:t>relevant</w:t>
            </w:r>
            <w:r w:rsidRPr="00792D61">
              <w:rPr>
                <w:b/>
              </w:rPr>
              <w:t>]</w:t>
            </w:r>
            <w:r w:rsidRPr="003744F4">
              <w:t xml:space="preserve"> Reference Entity to enter into any Obligation or, as applicable, an Underlying Obligor to enter into any Underlying Obligation, (ii) any actual or alleged unenforceability, illegality, impossibility or invalidity with respect to any Obligation or, as applicable, any Underlying Obligation, however described, (iii) any applicable law, order, regulation, decree or notice, however described, or the promulgation of, or any change in, the interpretation by any court, tribunal, regulatory authority or similar administrative or judicial body with competent or apparent jurisdiction of any applicable law, order, regulation, decree or notice, however described, or (iv) the imposition of, or any change in, any exchange controls, capital restrictions or any other similar restrictions imposed by any monetary or other authority, however described.</w:t>
            </w:r>
          </w:p>
        </w:tc>
        <w:tc>
          <w:tcPr>
            <w:tcW w:w="1618" w:type="dxa"/>
            <w:gridSpan w:val="2"/>
            <w:tcBorders>
              <w:top w:val="nil"/>
              <w:bottom w:val="nil"/>
              <w:right w:val="nil"/>
            </w:tcBorders>
            <w:shd w:val="clear" w:color="auto" w:fill="auto"/>
          </w:tcPr>
          <w:p w:rsidR="0017135D" w:rsidRPr="003744F4" w:rsidP="00A62BBD">
            <w:pPr>
              <w:pStyle w:val="CSBody8pt"/>
              <w:rPr>
                <w:i/>
              </w:rPr>
            </w:pPr>
          </w:p>
        </w:tc>
        <w:tc>
          <w:tcPr>
            <w:tcW w:w="3318" w:type="dxa"/>
            <w:tcBorders>
              <w:top w:val="nil"/>
              <w:left w:val="nil"/>
              <w:bottom w:val="nil"/>
              <w:right w:val="nil"/>
            </w:tcBorders>
            <w:shd w:val="clear" w:color="auto" w:fill="auto"/>
          </w:tcPr>
          <w:p w:rsidR="0017135D" w:rsidRPr="003744F4">
            <w:pPr>
              <w:pStyle w:val="CSBody8pt"/>
              <w:rPr>
                <w:bCs/>
                <w:lang w:val="de-DE"/>
              </w:rPr>
            </w:pPr>
            <w:r w:rsidRPr="003744F4">
              <w:rPr>
                <w:bCs/>
                <w:lang w:val="de-DE"/>
              </w:rPr>
              <w:t xml:space="preserve">Ein Vorkommnis, das in jeder sonstigen Hinsicht ein Kreditereignis darstellen würde, gilt unabhängig davon als Kreditereignis, ob es unmittelbar oder mittelbar infolge eines der nachfolgend aufgeführten Umstände eintritt oder einer Einrede aufgrund eines der nachfolgend aufgeführten Umstände unterliegt: (i) ein Mangel oder behaupteter Mangel der Befugnis oder der Fähigkeit des </w:t>
            </w:r>
            <w:r w:rsidRPr="00792D61">
              <w:rPr>
                <w:b/>
                <w:bCs/>
                <w:lang w:val="de-DE"/>
              </w:rPr>
              <w:t>[</w:t>
            </w:r>
            <w:r w:rsidRPr="003744F4">
              <w:rPr>
                <w:bCs/>
                <w:lang w:val="de-DE"/>
              </w:rPr>
              <w:t>jeweiligen</w:t>
            </w:r>
            <w:r w:rsidRPr="00792D61">
              <w:rPr>
                <w:b/>
                <w:bCs/>
                <w:lang w:val="de-DE"/>
              </w:rPr>
              <w:t>]</w:t>
            </w:r>
            <w:r w:rsidRPr="003744F4">
              <w:rPr>
                <w:bCs/>
                <w:lang w:val="de-DE"/>
              </w:rPr>
              <w:t xml:space="preserve"> Referenzschuldners, eine Verbindlichkeit einzugehen, bzw. eines Zugrundeliegenden Schuldners, eine Zugrundeliegende Verbindlichkeit einzugehen, (ii) eine tatsächliche oder behauptete Nichtdurchsetzbarkeit, Rechtswidrigkeit, Unmöglichkeit oder Unwirksamkeit gleich welcher Art in Bezug auf eine Verbindlichkeit bzw. eine Zugrundeliegende Verbindlichkeit, (iii) einschlägige Gesetze, Beschlüsse, Vorschriften, Verfügungen oder Mitteilungen gleich welcher Art oder eine Veröffentlichung oder Änderung hinsichtlich der Auslegung einschlägiger Gesetze, Beschlüsse, Vorschriften, Verfügungen oder Mitteilungen gleich welcher Art durch ein Gericht, eine Aufsichtsbehörde oder ein vergleichbares Verwaltungs- oder Gerichtsorgan, dessen bzw. deren Zuständigkeit gegeben ist oder zu sein scheint, oder (iv) die Verhängung oder Änderung von Devisenkontrollbestimmungen, Kapitalbeschränkungen oder vergleichbaren Beschränkungen gleich welcher Art durch eine Devisenbehörde oder sonstige Behörde.</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541515">
            <w:pPr>
              <w:pStyle w:val="CSBody8pt"/>
              <w:rPr>
                <w:lang w:val="de-DE"/>
              </w:rPr>
            </w:pPr>
            <w:r w:rsidRPr="00792D61">
              <w:rPr>
                <w:b/>
                <w:lang w:val="de-DE"/>
              </w:rPr>
              <w:t>[</w:t>
            </w:r>
            <w:r w:rsidRPr="00541515">
              <w:rPr>
                <w:lang w:val="de-DE"/>
              </w:rPr>
              <w:t>Bankruptcy</w:t>
            </w:r>
            <w:r>
              <w:rPr>
                <w:lang w:val="de-DE"/>
              </w:rPr>
              <w:fldChar w:fldCharType="begin"/>
            </w:r>
            <w:r w:rsidR="0041243C">
              <w:instrText xml:space="preserve"> XE "</w:instrText>
            </w:r>
            <w:r w:rsidRPr="00D33440" w:rsidR="0041243C">
              <w:rPr>
                <w:lang w:val="de-DE"/>
              </w:rPr>
              <w:instrText>Bankruptcy</w:instrText>
            </w:r>
            <w:r w:rsidR="0041243C">
              <w:instrText>" \f "EN"</w:instrText>
            </w:r>
            <w:r>
              <w:rPr>
                <w:lang w:val="de-DE"/>
              </w:rPr>
              <w:fldChar w:fldCharType="end"/>
            </w:r>
          </w:p>
        </w:tc>
        <w:tc>
          <w:tcPr>
            <w:tcW w:w="2973" w:type="dxa"/>
            <w:tcBorders>
              <w:top w:val="nil"/>
              <w:left w:val="nil"/>
              <w:bottom w:val="nil"/>
            </w:tcBorders>
            <w:shd w:val="clear" w:color="auto" w:fill="auto"/>
          </w:tcPr>
          <w:p w:rsidR="0017135D" w:rsidRPr="00541515" w:rsidP="00A62BBD">
            <w:pPr>
              <w:pStyle w:val="CSBody8pt"/>
            </w:pPr>
            <w:r w:rsidRPr="00541515">
              <w:t xml:space="preserve">The </w:t>
            </w:r>
            <w:r>
              <w:rPr>
                <w:b/>
              </w:rPr>
              <w:t>[</w:t>
            </w:r>
            <w:r>
              <w:t>relevant</w:t>
            </w:r>
            <w:r>
              <w:rPr>
                <w:b/>
              </w:rPr>
              <w:t>]</w:t>
            </w:r>
            <w:r>
              <w:t xml:space="preserve"> </w:t>
            </w:r>
            <w:r w:rsidRPr="00541515">
              <w:t>Reference Entity (i) is dissolved (other than pursuant to a consolidation, amalgamation or merger), (ii) becomes insolvent or is unable to pay its debts or fails or admits in writing in a judicial, regulatory or administrative proceeding or filing its inability generally to pay its debts as they become due, (iii) makes a general assignment, arrangement, scheme or composition with or for the benefit of its creditors generally, or such a general assignment, arrangement, scheme or composition becomes effective, (iv) institutes or has instituted against it a proceeding seeking a judgment of insolvency or bankruptcy or any other similar relief under any bankruptcy or insolvency law or other law affecting creditors' rights, or a petition is presented for its winding-up or liquidation, and, in the case of any such proceeding or petition instituted or presented against it, such proceeding or petition (A) results in a judgment of insolvency or bankruptcy or the entry of an order for relief or the making of an order for its winding-up or liquidation, or (B) is not dismissed, discharged, stayed or restrained in each case within thirty calendar days of the institution or presentation thereof, (v) has a resolution passed for its winding up or liquidation (other than pursuant to a consolidation, amalgamation or merger), (vi) seeks or becomes subject to the appointment of an administrator, provisional liquidator, conservator, receiver, trustee, custodian or other similar official for it or for all or substantially all its assets, (vii) has a secured party take possession of all or substantially all its assets or has a distress, execution, attachment, sequestration or other legal process levied, enforced or sued on or against all or substantially all its assets and such secured party maintains possession, or any such process is not dismissed, discharged, stayed or restrained, in each case within thirty calendar days thereafter, or (viii) causes or is subject to any event with respect to it that, under the applicable laws of any jurisdiction, has an analogous effect to any of the events specified in clauses (i) to (vii) above.</w:t>
            </w:r>
            <w:r w:rsidRPr="00792D61">
              <w:rPr>
                <w:b/>
              </w:rPr>
              <w:t>]</w:t>
            </w:r>
          </w:p>
        </w:tc>
        <w:tc>
          <w:tcPr>
            <w:tcW w:w="1618" w:type="dxa"/>
            <w:gridSpan w:val="2"/>
            <w:tcBorders>
              <w:top w:val="nil"/>
              <w:bottom w:val="nil"/>
              <w:right w:val="nil"/>
            </w:tcBorders>
            <w:shd w:val="clear" w:color="auto" w:fill="auto"/>
          </w:tcPr>
          <w:p w:rsidR="0017135D" w:rsidRPr="00541515">
            <w:pPr>
              <w:pStyle w:val="CSBody8pt"/>
              <w:rPr>
                <w:lang w:val="de-DE"/>
              </w:rPr>
            </w:pPr>
            <w:r w:rsidRPr="00792D61">
              <w:rPr>
                <w:b/>
                <w:lang w:val="de-DE"/>
              </w:rPr>
              <w:t>[</w:t>
            </w:r>
            <w:r w:rsidRPr="00541515">
              <w:rPr>
                <w:lang w:val="de-DE"/>
              </w:rPr>
              <w:t>Insolvenz</w:t>
            </w:r>
            <w:r>
              <w:rPr>
                <w:lang w:val="de-DE"/>
              </w:rPr>
              <w:fldChar w:fldCharType="begin"/>
            </w:r>
            <w:r w:rsidR="0041243C">
              <w:instrText xml:space="preserve"> XE "</w:instrText>
            </w:r>
            <w:r w:rsidRPr="00B0671A" w:rsidR="0041243C">
              <w:rPr>
                <w:lang w:val="de-DE"/>
              </w:rPr>
              <w:instrText>Insolvenz</w:instrText>
            </w:r>
            <w:r w:rsidR="0041243C">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8C2C89" w:rsidP="00F134DE">
            <w:pPr>
              <w:pStyle w:val="CSBody8pt"/>
              <w:rPr>
                <w:bCs/>
                <w:lang w:val="de-DE"/>
              </w:rPr>
            </w:pPr>
            <w:r w:rsidRPr="00541515">
              <w:rPr>
                <w:bCs/>
                <w:lang w:val="de-DE"/>
              </w:rPr>
              <w:t xml:space="preserve">Der Fall, dass: (i) der </w:t>
            </w:r>
            <w:r w:rsidRPr="00792D61">
              <w:rPr>
                <w:b/>
                <w:bCs/>
                <w:lang w:val="de-DE"/>
              </w:rPr>
              <w:t>[</w:t>
            </w:r>
            <w:r w:rsidRPr="00541515">
              <w:rPr>
                <w:bCs/>
                <w:lang w:val="de-DE"/>
              </w:rPr>
              <w:t>jeweilige</w:t>
            </w:r>
            <w:r w:rsidRPr="00792D61">
              <w:rPr>
                <w:b/>
                <w:bCs/>
                <w:lang w:val="de-DE"/>
              </w:rPr>
              <w:t>]</w:t>
            </w:r>
            <w:r w:rsidRPr="00541515">
              <w:rPr>
                <w:bCs/>
                <w:lang w:val="de-DE"/>
              </w:rPr>
              <w:t xml:space="preserve"> Referenzschuldner aufgelöst wird (ausser im Fall eines Zusammenschlusses oder einer Verschmelzung durch Neugründung oder Aufnahme), (ii) der Referenzschuldner insolvent oder zahlungsunfähig wird, seinen Zahlungspflichten bei Fälligkeit nicht nachkommt oder seine allgemeine Zahlungsunfähigkeit im Rahmen eines gerichtlichen, aufsichtsrechtlichen oder Verwaltungsverfahrens oder einer Anmeldung schriftlich erklärt, (iii) der Referenzschuldner eine  allgemeine Abtretung zugunsten seiner Gläubiger allgemein vornimmt oder eine allgemeine Vereinbarung oder einen allgemeinen Vergleich mit diesen allgemein schliesst oder eine solche allgemeine Abtretung oder Vereinbarung oder ein solcher allgemeiner Vergleich in Kraft tritt, (iv) ein Insolvenz- oder Konkursverfahren oder ein sonstiges Verfahren zur Erwirkung von vergleichbaren Rechtsbehelfen gemäss anwendbarem Konkurs- oder Insolvenzrecht oder anderen, die Rechte von Gläubigern betreffenden gesetzlichen Bestimmungen auf Antrag des Referenzschuldners oder eines Dritten über den Referenzschuldner eröffnet wird oder ein Antrag auf seine Abwicklung oder Liquidation gestellt wird und ein solches Verfahren bzw. ein solcher Antrag (A) einen Insolvenz- oder Konkursbeschluss oder einen Beschluss hinsichtlich eines sonstigen Rechtsbehelfs oder zur Abwicklung oder Liquidation des Referenzschuldners zur Folge hat oder (B) nicht innerhalb von dreissig Kalendertagen nach der Verfahrenseröffnung bzw. Antragstellung abgewiesen, aufgehoben, ausgesetzt oder eingestellt wird, (v) in Bezug auf den  Referenzschuldner ein Beschluss zu dessen Abwicklung oder Liquidation (ausser aufgrund eines Zusammenschlusses oder einer Verschmelzung durch Neugründung oder Aufnahme) gefasst wird, (vi) der  Referenzschuldner die Bestellung eines Verwalters, vorläufigen Abwicklers, Vermögensverwahrers, Zwangsverwalters, Treuhänders, Vermögensverwalters oder einer sonstigen amtlich beauftragten Person über sich oder sein gesamtes bzw. im Wesentlichen gesamtes Vermögen beantragt oder einer solchen Person unterstellt wird, (vii) ein Sicherheitengläubiger das gesamte oder im Wesentlichen gesamte Vermögen des  Referenzschuldners für eine Dauer von mindestens dreissig Kalendertagen in Besitz nimmt oder eine Beschlagnahme, Zwangsvollstreckung, Pfändung, Sequestration oder sonstige gerichtliche Massnahme in das gesamte oder im Wesentlichen gesamte Vermögen eines Referenzschuldners durchführen oder vollziehen lässt oder diese einklagt und eine solche Massnahme nicht innerhalb von dreissig Kalendertagen abgewiesen, aufgehoben, ausgesetzt oder eingestellt wird, oder (viii) der Referenzschuldner ein Ereignis verursacht oder von einem Ereignis betroffen ist, das sich gemäss dem geltenden Recht irgendeiner Rechtsordnung analog zu den zuvor in Absätzen (i) bis (vii) genannten Ereignissen auswirkt.</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541515" w:rsidP="00A62BBD">
            <w:pPr>
              <w:pStyle w:val="CSBody8pt"/>
              <w:rPr>
                <w:lang w:val="de-DE"/>
              </w:rPr>
            </w:pPr>
            <w:r w:rsidRPr="00541515">
              <w:rPr>
                <w:lang w:val="de-DE"/>
              </w:rPr>
              <w:t>Failure to Pay</w:t>
            </w:r>
            <w:r>
              <w:rPr>
                <w:lang w:val="de-DE"/>
              </w:rPr>
              <w:fldChar w:fldCharType="begin"/>
            </w:r>
            <w:r>
              <w:instrText xml:space="preserve"> XE "</w:instrText>
            </w:r>
            <w:r w:rsidRPr="00FA7B95">
              <w:rPr>
                <w:lang w:val="de-DE"/>
              </w:rPr>
              <w:instrText>Failure to Pay</w:instrText>
            </w:r>
            <w:r>
              <w:instrText xml:space="preserve">" \f "EN" </w:instrText>
            </w:r>
            <w:r>
              <w:rPr>
                <w:lang w:val="de-DE"/>
              </w:rPr>
              <w:fldChar w:fldCharType="end"/>
            </w:r>
          </w:p>
        </w:tc>
        <w:tc>
          <w:tcPr>
            <w:tcW w:w="2973" w:type="dxa"/>
            <w:tcBorders>
              <w:top w:val="nil"/>
              <w:left w:val="nil"/>
              <w:bottom w:val="nil"/>
            </w:tcBorders>
            <w:shd w:val="clear" w:color="auto" w:fill="auto"/>
          </w:tcPr>
          <w:p w:rsidR="0017135D" w:rsidRPr="00541515" w:rsidP="00A62BBD">
            <w:pPr>
              <w:pStyle w:val="CSBody8pt"/>
            </w:pPr>
            <w:r w:rsidRPr="00541515">
              <w:t xml:space="preserve">After the expiration of any applicable Grace Period (after the satisfaction of any conditions precedent to the commencement of such Grace Period), the failure by the </w:t>
            </w:r>
            <w:r>
              <w:rPr>
                <w:b/>
              </w:rPr>
              <w:t>[</w:t>
            </w:r>
            <w:r>
              <w:t>relevant</w:t>
            </w:r>
            <w:r>
              <w:rPr>
                <w:b/>
              </w:rPr>
              <w:t>]</w:t>
            </w:r>
            <w:r>
              <w:t xml:space="preserve"> </w:t>
            </w:r>
            <w:r w:rsidRPr="00541515">
              <w:t>Reference Entity to make, when and where due, any payments in an aggregate amount of not less than the Payment Requirement under one or more Obligations, in accordance with the terms of such Obligations at the time of such failure.</w:t>
            </w:r>
          </w:p>
        </w:tc>
        <w:tc>
          <w:tcPr>
            <w:tcW w:w="1618" w:type="dxa"/>
            <w:gridSpan w:val="2"/>
            <w:tcBorders>
              <w:top w:val="nil"/>
              <w:bottom w:val="nil"/>
              <w:right w:val="nil"/>
            </w:tcBorders>
            <w:shd w:val="clear" w:color="auto" w:fill="auto"/>
          </w:tcPr>
          <w:p w:rsidR="0017135D" w:rsidRPr="00541515" w:rsidP="00A62BBD">
            <w:pPr>
              <w:pStyle w:val="CSBody8pt"/>
              <w:rPr>
                <w:lang w:val="de-DE"/>
              </w:rPr>
            </w:pPr>
            <w:r w:rsidRPr="00541515">
              <w:rPr>
                <w:lang w:val="de-DE"/>
              </w:rPr>
              <w:t>Nichtzahlung</w:t>
            </w:r>
            <w:r>
              <w:rPr>
                <w:lang w:val="de-DE"/>
              </w:rPr>
              <w:fldChar w:fldCharType="begin"/>
            </w:r>
            <w:r>
              <w:instrText xml:space="preserve"> XE "</w:instrText>
            </w:r>
            <w:r w:rsidRPr="00F32185">
              <w:rPr>
                <w:lang w:val="de-DE"/>
              </w:rPr>
              <w:instrText>Nichtzahlung</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C16D23" w:rsidP="00A62BBD">
            <w:pPr>
              <w:pStyle w:val="CSBody8pt"/>
              <w:rPr>
                <w:lang w:val="de-DE"/>
              </w:rPr>
            </w:pPr>
            <w:r w:rsidRPr="00541515">
              <w:rPr>
                <w:lang w:val="de-DE"/>
              </w:rPr>
              <w:t xml:space="preserve">Der Fall, dass der </w:t>
            </w:r>
            <w:r>
              <w:rPr>
                <w:b/>
                <w:lang w:val="de-DE"/>
              </w:rPr>
              <w:t>[</w:t>
            </w:r>
            <w:r>
              <w:rPr>
                <w:lang w:val="de-DE"/>
              </w:rPr>
              <w:t>jeweilige</w:t>
            </w:r>
            <w:r>
              <w:rPr>
                <w:b/>
                <w:lang w:val="de-DE"/>
              </w:rPr>
              <w:t>]</w:t>
            </w:r>
            <w:r>
              <w:rPr>
                <w:lang w:val="de-DE"/>
              </w:rPr>
              <w:t xml:space="preserve"> </w:t>
            </w:r>
            <w:r w:rsidRPr="00541515">
              <w:rPr>
                <w:lang w:val="de-DE"/>
              </w:rPr>
              <w:t>Referenzschuldner nach Ablauf einer gegebenenfalls anwendbaren Nachfrist (nach Erfüllung etwaiger aufschiebender Bedingungen für den Beginn einer solchen Nachfrist) seinen Zahlungsverpflichtungen bei Fälligkeit und an dem jeweils dafür vorgesehenen Ort im Zusammenhang mit einer oder mehreren Verbindlichkeiten nach Massgabe der zum Zeitpunkt des Nichterfolgens der Zahlung geltenden Bedingungen dieser Verbindlichkeiten in einem Gesamtbetrag, der nicht unter dem Zahlungs-Schwellenbetrag liegt, nicht nachkommt.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Body8pt"/>
              <w:rPr>
                <w:lang w:val="de-DE"/>
              </w:rPr>
            </w:pPr>
          </w:p>
        </w:tc>
        <w:tc>
          <w:tcPr>
            <w:tcW w:w="2973" w:type="dxa"/>
            <w:tcBorders>
              <w:top w:val="nil"/>
              <w:left w:val="nil"/>
              <w:bottom w:val="nil"/>
            </w:tcBorders>
            <w:shd w:val="clear" w:color="auto" w:fill="auto"/>
          </w:tcPr>
          <w:p w:rsidR="0017135D" w:rsidP="00A62BBD">
            <w:pPr>
              <w:pStyle w:val="CSBody8pt"/>
            </w:pPr>
            <w:r w:rsidRPr="00F26970">
              <w:t>If an occurrence that would constitute a Failure to Pay (a) is a result of a redenomination that occurs as a result of action taken by a Governmental Authority which is of general application in the jurisdiction of such Governmental Authority and (b) a freely available market rate of conversion existed at the time of the redenomination, then such occurrence will be deemed not to constitute a Failure to Pay unless the redenomination itself constituted a reduction in the rate or amount of interest, principal or premium payable (as determined by reference to such freely available market rate of conversion) at the time of such redenomination.</w:t>
            </w:r>
          </w:p>
        </w:tc>
        <w:tc>
          <w:tcPr>
            <w:tcW w:w="1618" w:type="dxa"/>
            <w:gridSpan w:val="2"/>
            <w:tcBorders>
              <w:top w:val="nil"/>
              <w:bottom w:val="nil"/>
              <w:right w:val="nil"/>
            </w:tcBorders>
            <w:shd w:val="clear" w:color="auto" w:fill="auto"/>
          </w:tcPr>
          <w:p w:rsidR="0017135D" w:rsidRPr="00C16D23" w:rsidP="00A62BBD">
            <w:pPr>
              <w:pStyle w:val="CSBody8pt"/>
              <w:rPr>
                <w:i/>
              </w:rPr>
            </w:pPr>
          </w:p>
        </w:tc>
        <w:tc>
          <w:tcPr>
            <w:tcW w:w="3318" w:type="dxa"/>
            <w:tcBorders>
              <w:top w:val="nil"/>
              <w:left w:val="nil"/>
              <w:bottom w:val="nil"/>
              <w:right w:val="nil"/>
            </w:tcBorders>
            <w:shd w:val="clear" w:color="auto" w:fill="auto"/>
          </w:tcPr>
          <w:p w:rsidR="0017135D" w:rsidRPr="00C16D23" w:rsidP="00A62BBD">
            <w:pPr>
              <w:pStyle w:val="CSBody8pt"/>
              <w:rPr>
                <w:lang w:val="de-DE"/>
              </w:rPr>
            </w:pPr>
            <w:r w:rsidRPr="00C16D23">
              <w:rPr>
                <w:lang w:val="de-DE"/>
              </w:rPr>
              <w:t>Wenn ein Ereignis, das eine Nichtzahlung darstellen würde, (a) infolge einer Währungsumstellung eingetreten ist, die infolge einer Massnahme einer Regierungsbehörde mit allgemeiner Geltung im Zuständigkeitsbereich dieser Regierungsbehörde erfolgt, und (b) es im Zeitpunkt dieser Währungsumstellung einen frei verfügbaren marktüblichen Umrechnungskurs gab, gilt dieses Ereignis nicht als Nichtzahlung, es sei denn, die Währungsumstellung selbst hat zu einer Verringerung des zahlbaren Zinssatzes, Zinsbetrags oder Kapitalbetrags oder Prämienbetrags (wie durch Bezugnahme auf diesen frei verfügbaren marktüblichen Umrechnungskurs ermittelt) im Zeitpunkt der Währungsumstellung geführt.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D13550">
            <w:pPr>
              <w:pStyle w:val="CSBody8pt"/>
              <w:rPr>
                <w:lang w:val="de-DE"/>
              </w:rPr>
            </w:pPr>
            <w:r w:rsidRPr="00792D61">
              <w:rPr>
                <w:b/>
                <w:lang w:val="de-DE"/>
              </w:rPr>
              <w:t>[</w:t>
            </w:r>
            <w:r w:rsidRPr="00C16D23">
              <w:rPr>
                <w:lang w:val="de-DE"/>
              </w:rPr>
              <w:t>Governmental Intervention</w:t>
            </w:r>
          </w:p>
        </w:tc>
        <w:tc>
          <w:tcPr>
            <w:tcW w:w="2973" w:type="dxa"/>
            <w:tcBorders>
              <w:top w:val="nil"/>
              <w:left w:val="nil"/>
              <w:bottom w:val="nil"/>
            </w:tcBorders>
            <w:shd w:val="clear" w:color="auto" w:fill="auto"/>
          </w:tcPr>
          <w:p w:rsidR="0017135D" w:rsidRPr="00C16D23" w:rsidP="00F134DE">
            <w:pPr>
              <w:pStyle w:val="CSManNum8pt"/>
            </w:pPr>
            <w:r w:rsidRPr="00C16D23">
              <w:t>(a)</w:t>
            </w:r>
            <w:r w:rsidRPr="00C16D23">
              <w:tab/>
              <w:t>with respect to one or more Obligations and in relation to an aggregate amount of not less than the Default Requirement, any one or more of the following events occurs as a result of action taken or an announcement made by a Governmental Authority pursuant to, or by means of, a restructuring and resolution law or regulation (or any other similar law or regulation), in each case, applicable to the Reference Entity in a form which is binding, irrespective of whether such event is expressly provided for under the terms of such Obligation:</w:t>
            </w:r>
          </w:p>
        </w:tc>
        <w:tc>
          <w:tcPr>
            <w:tcW w:w="1618" w:type="dxa"/>
            <w:gridSpan w:val="2"/>
            <w:tcBorders>
              <w:top w:val="nil"/>
              <w:bottom w:val="nil"/>
              <w:right w:val="nil"/>
            </w:tcBorders>
            <w:shd w:val="clear" w:color="auto" w:fill="auto"/>
          </w:tcPr>
          <w:p w:rsidR="0017135D" w:rsidRPr="00471ECE" w:rsidP="00D13550">
            <w:pPr>
              <w:pStyle w:val="CSBody8pt"/>
              <w:rPr>
                <w:lang w:val="de-DE"/>
              </w:rPr>
            </w:pPr>
            <w:r w:rsidRPr="00792D61">
              <w:rPr>
                <w:b/>
                <w:lang w:val="de-DE"/>
              </w:rPr>
              <w:t>[</w:t>
            </w:r>
            <w:r w:rsidRPr="00471ECE">
              <w:rPr>
                <w:lang w:val="de-DE"/>
              </w:rPr>
              <w:t>Staatliche Intervention</w:t>
            </w:r>
          </w:p>
        </w:tc>
        <w:tc>
          <w:tcPr>
            <w:tcW w:w="3318" w:type="dxa"/>
            <w:tcBorders>
              <w:top w:val="nil"/>
              <w:left w:val="nil"/>
              <w:bottom w:val="nil"/>
              <w:right w:val="nil"/>
            </w:tcBorders>
            <w:shd w:val="clear" w:color="auto" w:fill="auto"/>
          </w:tcPr>
          <w:p w:rsidR="0017135D" w:rsidRPr="008C2C89" w:rsidP="00D13550">
            <w:pPr>
              <w:pStyle w:val="CSManNum8pt"/>
              <w:rPr>
                <w:lang w:val="de-DE"/>
              </w:rPr>
            </w:pPr>
            <w:r w:rsidRPr="00C16D23">
              <w:rPr>
                <w:lang w:val="de-DE"/>
              </w:rPr>
              <w:t>(a)</w:t>
            </w:r>
            <w:r w:rsidRPr="00C16D23">
              <w:rPr>
                <w:lang w:val="de-DE"/>
              </w:rPr>
              <w:tab/>
              <w:t>In Bezug auf eine oder mehrere Verbindlichkeiten und einen mindestens dem Ausfall-Schwellenbetrag entsprechenden Gesamtbetrag, der Eintritt eines oder mehrerer der folgenden Ereignisse infolge einer Massnahme oder Ankündigung einer Regierungsbehörde aufgrund oder mittels einer Rechtsvorschrift betreffend die Sanierung oder Abwicklung (oder einer anderen vergleichbaren Rechtsvorschrift), die jeweils in für den Referenzschuldner verbindlicher Form erfolgt, unabhängig davon, ob ein solches Ereignis in den Bedingungen der betreffenden Verbindlichkeit ausdrücklich vorgesehen ist: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(i)</w:t>
            </w:r>
            <w:r w:rsidRPr="00C16D23">
              <w:tab/>
              <w:t>any event which would affect creditors' rights so as to cause:</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A62BBD">
            <w:pPr>
              <w:pStyle w:val="CSManNum8pt"/>
              <w:rPr>
                <w:bCs/>
                <w:lang w:val="de-DE"/>
              </w:rPr>
            </w:pPr>
            <w:r w:rsidRPr="00C16D23">
              <w:rPr>
                <w:bCs/>
                <w:lang w:val="de-DE"/>
              </w:rPr>
              <w:t>(i)</w:t>
            </w:r>
            <w:r w:rsidRPr="00C16D23">
              <w:rPr>
                <w:bCs/>
                <w:lang w:val="de-DE"/>
              </w:rPr>
              <w:tab/>
              <w:t>ein Ereignis, das Gläubigerrechte berühren würde und dabei folgende Konsequenzen hätte:</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(A)</w:t>
            </w:r>
            <w:r w:rsidRPr="00C16D23">
              <w:tab/>
              <w:t>a reduction in the rate or amount of interest payable or the amount of scheduled interest accruals (including by way of redenomination);</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A62BBD">
            <w:pPr>
              <w:pStyle w:val="CSManNum8pt"/>
              <w:rPr>
                <w:bCs/>
                <w:lang w:val="de-DE"/>
              </w:rPr>
            </w:pPr>
            <w:r w:rsidRPr="00C16D23">
              <w:rPr>
                <w:bCs/>
                <w:lang w:val="de-DE"/>
              </w:rPr>
              <w:t>(A)</w:t>
            </w:r>
            <w:r w:rsidRPr="00C16D23">
              <w:rPr>
                <w:bCs/>
                <w:lang w:val="de-DE"/>
              </w:rPr>
              <w:tab/>
              <w:t>eine Reduzierung des zahlbaren Zinssatzes oder Zinsbetrags oder der vertraglich auflaufenden Zinsen (auch infolge einer Währungsumstellung);</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(B)</w:t>
            </w:r>
            <w:r w:rsidRPr="00C16D23">
              <w:tab/>
              <w:t>a reduction in the amount of principal or premium payable at redemption (including by way of redenomination);</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F134DE">
            <w:pPr>
              <w:pStyle w:val="CSManNum8pt"/>
              <w:rPr>
                <w:bCs/>
                <w:lang w:val="de-DE"/>
              </w:rPr>
            </w:pPr>
            <w:r w:rsidRPr="00C16D23">
              <w:rPr>
                <w:bCs/>
                <w:lang w:val="de-DE"/>
              </w:rPr>
              <w:t>(B)</w:t>
            </w:r>
            <w:r w:rsidRPr="00C16D23">
              <w:rPr>
                <w:bCs/>
                <w:lang w:val="de-DE"/>
              </w:rPr>
              <w:tab/>
              <w:t>eine Reduzierung des bei Rückzahlung zu zahlenden Kapitalbetrags oder Prämienbetrags (auch infolge einer Währungsumstellung);</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(C)</w:t>
            </w:r>
            <w:r w:rsidRPr="00C16D23">
              <w:tab/>
              <w:t>a postponement or other deferral of a date or dates for either (I) the payment or accrual of interest, or (II) the payment of principal or premium; or</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A62BBD">
            <w:pPr>
              <w:pStyle w:val="CSManNum8pt"/>
              <w:rPr>
                <w:bCs/>
                <w:lang w:val="de-DE"/>
              </w:rPr>
            </w:pPr>
            <w:r w:rsidRPr="00C16D23">
              <w:rPr>
                <w:bCs/>
                <w:lang w:val="de-DE"/>
              </w:rPr>
              <w:t>(C)</w:t>
            </w:r>
            <w:r w:rsidRPr="00C16D23">
              <w:rPr>
                <w:bCs/>
                <w:lang w:val="de-DE"/>
              </w:rPr>
              <w:tab/>
              <w:t>eine Verschiebung oder eine Hinauszögerung eines oder mehrerer Termine für (I) die Zahlung oder das Auflaufen von Zinsen oder (II) die Zahlung von Kapitalbeträgen oder Prämienbeträgen; oder</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(D)</w:t>
            </w:r>
            <w:r w:rsidRPr="00C16D23">
              <w:tab/>
              <w:t>a change in the ranking in priority of payment of any Obligation, causing the Subordination of such Obligation to any other Obligation;</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F134DE">
            <w:pPr>
              <w:pStyle w:val="CSManNum8pt"/>
              <w:rPr>
                <w:bCs/>
                <w:lang w:val="de-DE"/>
              </w:rPr>
            </w:pPr>
            <w:r w:rsidRPr="00C16D23">
              <w:rPr>
                <w:bCs/>
                <w:lang w:val="de-DE"/>
              </w:rPr>
              <w:t>(D)</w:t>
            </w:r>
            <w:r w:rsidRPr="00C16D23">
              <w:rPr>
                <w:bCs/>
                <w:lang w:val="de-DE"/>
              </w:rPr>
              <w:tab/>
              <w:t>eine Veränderung des Rangs einer Verbindlichkeit in der Zahlungsrangfolge, die zu einer Nachrangigkeit dieser Verbindlichkeit gegenüber einer anderen Verbindlichkeit führt;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(ii)</w:t>
            </w:r>
            <w:r w:rsidRPr="00C16D23">
              <w:tab/>
              <w:t>an expropriation, transfer or other event which mandatorily changes the beneficial holder of the Obligation;</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A62BBD">
            <w:pPr>
              <w:pStyle w:val="CSManNum8pt"/>
              <w:rPr>
                <w:bCs/>
                <w:lang w:val="de-DE"/>
              </w:rPr>
            </w:pPr>
            <w:r w:rsidRPr="00C16D23">
              <w:rPr>
                <w:bCs/>
                <w:lang w:val="de-DE"/>
              </w:rPr>
              <w:t>(ii)</w:t>
            </w:r>
            <w:r w:rsidRPr="00C16D23">
              <w:rPr>
                <w:bCs/>
                <w:lang w:val="de-DE"/>
              </w:rPr>
              <w:tab/>
              <w:t>eine Enteignung oder Übertragung oder ein sonstiges Ereignis, infolgedessen eine Änderung hinsichtlich des wirtschaftlichen Eigentümers der Verbindlichkeit zwingend eintritt;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(iii)</w:t>
            </w:r>
            <w:r w:rsidRPr="00C16D23">
              <w:tab/>
              <w:t>a mandatory cancellation, conversion or exchange; or</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A62BBD">
            <w:pPr>
              <w:pStyle w:val="CSManNum8pt"/>
              <w:rPr>
                <w:bCs/>
                <w:lang w:val="de-DE"/>
              </w:rPr>
            </w:pPr>
            <w:r w:rsidRPr="00C16D23">
              <w:rPr>
                <w:bCs/>
                <w:lang w:val="de-DE"/>
              </w:rPr>
              <w:t>(iii)</w:t>
            </w:r>
            <w:r w:rsidRPr="00C16D23">
              <w:rPr>
                <w:bCs/>
                <w:lang w:val="de-DE"/>
              </w:rPr>
              <w:tab/>
              <w:t>eine zwingend vorgeschriebene Kündigung oder Umwandlung oder ein zwingend vorgeschriebener Umtausch; oder</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pPr>
              <w:pStyle w:val="CSManNum8pt"/>
            </w:pPr>
            <w:r w:rsidRPr="00C16D23">
              <w:t>(iv)</w:t>
            </w:r>
            <w:r w:rsidRPr="00C16D23">
              <w:tab/>
              <w:t>any event which has an analogous effect to any of the events specified in paragraphs (i)to (iii) above.</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A62BBD">
            <w:pPr>
              <w:pStyle w:val="CSManNum8pt"/>
              <w:rPr>
                <w:bCs/>
                <w:lang w:val="de-DE"/>
              </w:rPr>
            </w:pPr>
            <w:r w:rsidRPr="00C16D23">
              <w:rPr>
                <w:bCs/>
                <w:lang w:val="de-DE"/>
              </w:rPr>
              <w:t>(iv)</w:t>
            </w:r>
            <w:r w:rsidRPr="00C16D23">
              <w:rPr>
                <w:bCs/>
                <w:lang w:val="de-DE"/>
              </w:rPr>
              <w:tab/>
              <w:t>ein Ereignis, das eine den in Absatz (i) bis (iii) genannten Fällen vergleichbare Wirkung hat.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(b)</w:t>
            </w:r>
            <w:r w:rsidRPr="00C16D23">
              <w:tab/>
              <w:t>For purposes of paragraph (a) above, the term "Obligation" shall be deemed to include Underlying Obligations for which the Reference Entity is acting as provider of a Guarantee.</w:t>
            </w:r>
            <w:r w:rsidRPr="00792D61">
              <w:rPr>
                <w:b/>
              </w:rPr>
              <w:t>]</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8C2C89" w:rsidP="00F134DE">
            <w:pPr>
              <w:pStyle w:val="CSManNum8pt"/>
              <w:rPr>
                <w:bCs/>
                <w:lang w:val="de-DE"/>
              </w:rPr>
            </w:pPr>
            <w:r w:rsidRPr="00C16D23">
              <w:rPr>
                <w:bCs/>
                <w:lang w:val="de-DE"/>
              </w:rPr>
              <w:t>(b)</w:t>
            </w:r>
            <w:r w:rsidRPr="00C16D23">
              <w:rPr>
                <w:bCs/>
                <w:lang w:val="de-DE"/>
              </w:rPr>
              <w:tab/>
              <w:t>Für die Zwecke des vorstehenden Absatzes (a) schliesst der Begriff "Verbindlichkeit" auch Zugrundeliegende Verbindlichkeiten ein, für die der Referenzschuldner als Geber einer Garantie fungiert.</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8670D" w:rsidP="00A62BBD">
            <w:pPr>
              <w:pStyle w:val="CSBody8ptbolditalics"/>
            </w:pPr>
            <w:r w:rsidRPr="00792D61">
              <w:t>[</w:t>
            </w:r>
            <w:r w:rsidRPr="00E8670D">
              <w:t xml:space="preserve">Insert if applicable: </w:t>
            </w:r>
          </w:p>
        </w:tc>
        <w:tc>
          <w:tcPr>
            <w:tcW w:w="2973" w:type="dxa"/>
            <w:vMerge w:val="restart"/>
            <w:tcBorders>
              <w:top w:val="nil"/>
              <w:left w:val="nil"/>
            </w:tcBorders>
            <w:shd w:val="clear" w:color="auto" w:fill="auto"/>
          </w:tcPr>
          <w:p w:rsidR="0017135D" w:rsidRPr="008C2C89" w:rsidP="00A62BBD">
            <w:pPr>
              <w:pStyle w:val="CSBody8pt"/>
              <w:rPr>
                <w:lang w:val="de-DE"/>
              </w:rPr>
            </w:pPr>
            <w:r w:rsidRPr="00C16D23">
              <w:rPr>
                <w:lang w:val="de-DE"/>
              </w:rPr>
              <w:t>Applicable</w:t>
            </w:r>
            <w:r w:rsidRPr="00792D61">
              <w:rPr>
                <w:b/>
                <w:lang w:val="de-DE"/>
              </w:rPr>
              <w:t>]</w:t>
            </w:r>
          </w:p>
        </w:tc>
        <w:tc>
          <w:tcPr>
            <w:tcW w:w="1618" w:type="dxa"/>
            <w:gridSpan w:val="2"/>
            <w:tcBorders>
              <w:top w:val="nil"/>
              <w:bottom w:val="nil"/>
              <w:right w:val="nil"/>
            </w:tcBorders>
            <w:shd w:val="clear" w:color="auto" w:fill="auto"/>
          </w:tcPr>
          <w:p w:rsidR="0017135D" w:rsidRPr="008266BD" w:rsidP="00A62BBD">
            <w:pPr>
              <w:pStyle w:val="CSBody8ptbolditalics"/>
            </w:pPr>
            <w:r w:rsidRPr="00792D61">
              <w:t>[</w:t>
            </w:r>
            <w:r w:rsidRPr="008266BD">
              <w:t xml:space="preserve">falls anwendbar, einfügen: </w:t>
            </w:r>
          </w:p>
        </w:tc>
        <w:tc>
          <w:tcPr>
            <w:tcW w:w="3318" w:type="dxa"/>
            <w:vMerge w:val="restart"/>
            <w:tcBorders>
              <w:top w:val="nil"/>
              <w:left w:val="nil"/>
              <w:right w:val="nil"/>
            </w:tcBorders>
            <w:shd w:val="clear" w:color="auto" w:fill="auto"/>
          </w:tcPr>
          <w:p w:rsidR="0017135D" w:rsidRPr="008C2C89" w:rsidP="00A62BBD">
            <w:pPr>
              <w:pStyle w:val="CSBody8pt"/>
              <w:rPr>
                <w:bCs/>
                <w:lang w:val="de-DE"/>
              </w:rPr>
            </w:pPr>
            <w:r w:rsidRPr="00C16D23">
              <w:rPr>
                <w:bCs/>
                <w:lang w:val="de-DE"/>
              </w:rPr>
              <w:t>Anwendbar</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8670D" w:rsidP="00A62BBD">
            <w:pPr>
              <w:pStyle w:val="CSBody8pt"/>
            </w:pPr>
            <w:r>
              <w:t>Grace Period Extension</w:t>
            </w:r>
            <w:r>
              <w:rPr>
                <w:rStyle w:val="FootnoteReference"/>
              </w:rPr>
              <w:footnoteReference w:id="38"/>
            </w:r>
          </w:p>
        </w:tc>
        <w:tc>
          <w:tcPr>
            <w:tcW w:w="2973" w:type="dxa"/>
            <w:vMerge/>
            <w:tcBorders>
              <w:left w:val="nil"/>
              <w:bottom w:val="nil"/>
            </w:tcBorders>
            <w:shd w:val="clear" w:color="auto" w:fill="auto"/>
          </w:tcPr>
          <w:p w:rsidR="0017135D" w:rsidRPr="008C2C89" w:rsidP="00A62BBD">
            <w:pPr>
              <w:pStyle w:val="CSBody8pt"/>
              <w:rPr>
                <w:lang w:val="de-DE"/>
              </w:rPr>
            </w:pPr>
          </w:p>
        </w:tc>
        <w:tc>
          <w:tcPr>
            <w:tcW w:w="1618" w:type="dxa"/>
            <w:gridSpan w:val="2"/>
            <w:tcBorders>
              <w:top w:val="nil"/>
              <w:bottom w:val="nil"/>
              <w:right w:val="nil"/>
            </w:tcBorders>
            <w:shd w:val="clear" w:color="auto" w:fill="auto"/>
          </w:tcPr>
          <w:p w:rsidR="0017135D" w:rsidP="00A62BBD">
            <w:pPr>
              <w:pStyle w:val="CSBody8pt"/>
            </w:pPr>
            <w:r>
              <w:t>Nachfristverlängerung</w:t>
            </w:r>
            <w:r>
              <w:rPr>
                <w:rStyle w:val="FootnoteReference"/>
              </w:rPr>
              <w:footnoteReference w:id="39"/>
            </w:r>
          </w:p>
        </w:tc>
        <w:tc>
          <w:tcPr>
            <w:tcW w:w="3318" w:type="dxa"/>
            <w:vMerge/>
            <w:tcBorders>
              <w:left w:val="nil"/>
              <w:bottom w:val="nil"/>
              <w:right w:val="nil"/>
            </w:tcBorders>
            <w:shd w:val="clear" w:color="auto" w:fill="auto"/>
          </w:tcPr>
          <w:p w:rsidR="0017135D" w:rsidRPr="008C2C89" w:rsidP="00A62BBD">
            <w:pPr>
              <w:pStyle w:val="CSBody8pt"/>
              <w:rPr>
                <w:bCs/>
                <w:lang w:val="de-DE"/>
              </w:rPr>
            </w:pP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203289">
            <w:pPr>
              <w:pStyle w:val="CSBody8pt"/>
            </w:pPr>
            <w:r w:rsidRPr="00792D61">
              <w:rPr>
                <w:b/>
              </w:rPr>
              <w:t>[</w:t>
            </w:r>
            <w:r w:rsidRPr="00203289">
              <w:t>Obligation Acceleration</w:t>
            </w:r>
            <w:r>
              <w:fldChar w:fldCharType="begin"/>
            </w:r>
            <w:r w:rsidR="0041243C">
              <w:instrText xml:space="preserve"> XE "</w:instrText>
            </w:r>
            <w:r w:rsidRPr="001F6575" w:rsidR="0041243C">
              <w:instrText>Obligation Acceleration</w:instrText>
            </w:r>
            <w:r w:rsidR="0041243C">
              <w:instrText xml:space="preserve">" </w:instrText>
            </w:r>
            <w:r>
              <w:fldChar w:fldCharType="end"/>
            </w:r>
          </w:p>
        </w:tc>
        <w:tc>
          <w:tcPr>
            <w:tcW w:w="2973" w:type="dxa"/>
            <w:tcBorders>
              <w:top w:val="nil"/>
              <w:left w:val="nil"/>
              <w:bottom w:val="nil"/>
            </w:tcBorders>
            <w:shd w:val="clear" w:color="auto" w:fill="auto"/>
          </w:tcPr>
          <w:p w:rsidR="0017135D" w:rsidRPr="00203289" w:rsidP="00A62BBD">
            <w:pPr>
              <w:pStyle w:val="CSBody8pt"/>
            </w:pPr>
            <w:r w:rsidRPr="00203289">
              <w:t xml:space="preserve">With respect to the Reference Entity, one or more Obligations in an aggregate amount of not less than the Default Requirement have become due and payable before they would otherwise have been due and payable as a result of, or on the basis of, the occurrence of a default, event of default or other similar condition or event (however described), other than a failure to make any required payment, with respect to the </w:t>
            </w:r>
            <w:r w:rsidRPr="00792D61">
              <w:rPr>
                <w:b/>
              </w:rPr>
              <w:t>[</w:t>
            </w:r>
            <w:r w:rsidRPr="00203289">
              <w:t>relevant</w:t>
            </w:r>
            <w:r w:rsidRPr="00792D61">
              <w:rPr>
                <w:b/>
              </w:rPr>
              <w:t>]</w:t>
            </w:r>
            <w:r w:rsidRPr="00203289">
              <w:t xml:space="preserve"> Reference Entity under one or more Obligations.</w:t>
            </w:r>
            <w:r w:rsidRPr="00792D61">
              <w:rPr>
                <w:b/>
              </w:rPr>
              <w:t>]</w:t>
            </w:r>
          </w:p>
        </w:tc>
        <w:tc>
          <w:tcPr>
            <w:tcW w:w="1618" w:type="dxa"/>
            <w:gridSpan w:val="2"/>
            <w:tcBorders>
              <w:top w:val="nil"/>
              <w:bottom w:val="nil"/>
              <w:right w:val="nil"/>
            </w:tcBorders>
            <w:shd w:val="clear" w:color="auto" w:fill="auto"/>
          </w:tcPr>
          <w:p w:rsidR="0017135D" w:rsidRPr="00203289">
            <w:pPr>
              <w:pStyle w:val="CSBody8pt"/>
              <w:rPr>
                <w:lang w:val="de-DE"/>
              </w:rPr>
            </w:pPr>
            <w:r w:rsidRPr="00792D61">
              <w:rPr>
                <w:b/>
                <w:lang w:val="de-DE"/>
              </w:rPr>
              <w:t>[</w:t>
            </w:r>
            <w:r w:rsidRPr="00203289">
              <w:rPr>
                <w:lang w:val="de-DE"/>
              </w:rPr>
              <w:t>Vorfälligkeit einer Verbindlichkeit</w:t>
            </w:r>
            <w:r>
              <w:rPr>
                <w:lang w:val="de-DE"/>
              </w:rPr>
              <w:fldChar w:fldCharType="begin"/>
            </w:r>
            <w:r w:rsidR="0041243C">
              <w:instrText xml:space="preserve"> XE "</w:instrText>
            </w:r>
            <w:r w:rsidRPr="00E2095D" w:rsidR="0041243C">
              <w:rPr>
                <w:lang w:val="de-DE"/>
              </w:rPr>
              <w:instrText>Vorfälligkeit einer Verbindlichkeit</w:instrText>
            </w:r>
            <w:r w:rsidR="0041243C">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203289" w:rsidP="00D13550">
            <w:pPr>
              <w:pStyle w:val="CSBody8pt"/>
              <w:rPr>
                <w:bCs/>
                <w:lang w:val="de-DE"/>
              </w:rPr>
            </w:pPr>
            <w:r w:rsidRPr="00203289">
              <w:rPr>
                <w:bCs/>
                <w:lang w:val="de-DE"/>
              </w:rPr>
              <w:t xml:space="preserve">Ist in Bezug auf den Referenzschuldner der Fall, dass eine oder mehrere Verbindlichkeiten in einem mindestens dem </w:t>
            </w:r>
            <w:r w:rsidRPr="00EE22D9">
              <w:rPr>
                <w:bCs/>
                <w:lang w:val="de-DE"/>
              </w:rPr>
              <w:t>Ausfall</w:t>
            </w:r>
            <w:r w:rsidR="00EE22D9">
              <w:rPr>
                <w:bCs/>
                <w:lang w:val="de-DE"/>
              </w:rPr>
              <w:t>-</w:t>
            </w:r>
            <w:r w:rsidRPr="00EE22D9">
              <w:rPr>
                <w:bCs/>
                <w:lang w:val="de-DE"/>
              </w:rPr>
              <w:t>Schwellenbetrag</w:t>
            </w:r>
            <w:r w:rsidRPr="00203289">
              <w:rPr>
                <w:bCs/>
                <w:lang w:val="de-DE"/>
              </w:rPr>
              <w:t xml:space="preserve"> entsprechenden Gesamtbetrag deswegen früher fällig und zahlbar werden als dies ansonsten der Fall gewesen wäre, weil in Bezug auf den </w:t>
            </w:r>
            <w:r w:rsidRPr="00792D61">
              <w:rPr>
                <w:b/>
                <w:bCs/>
                <w:lang w:val="de-DE"/>
              </w:rPr>
              <w:t>[</w:t>
            </w:r>
            <w:r w:rsidRPr="00203289">
              <w:rPr>
                <w:bCs/>
                <w:lang w:val="de-DE"/>
              </w:rPr>
              <w:t>betreffenden</w:t>
            </w:r>
            <w:r w:rsidRPr="00792D61">
              <w:rPr>
                <w:b/>
                <w:bCs/>
                <w:lang w:val="de-DE"/>
              </w:rPr>
              <w:t>]</w:t>
            </w:r>
            <w:r w:rsidRPr="00203289">
              <w:rPr>
                <w:bCs/>
                <w:lang w:val="de-DE"/>
              </w:rPr>
              <w:t xml:space="preserve"> Referenzschuldner und im Rahmen einer oder mehrerer Verbindlichkeiten eine Leistungsstörung, ein Kündigungsgrund oder eine andere vergleichbare Bedingung erfüllt oder ein anderer vergleichbarer Umstand (gleich welcher Art), ausgenommen jedoch die Nichtleistung einer vorgeschriebenen Zahlung, eingetreten ist.</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203289">
            <w:pPr>
              <w:pStyle w:val="CSBody8pt"/>
              <w:rPr>
                <w:lang w:val="de-DE"/>
              </w:rPr>
            </w:pPr>
            <w:r w:rsidRPr="00792D61">
              <w:rPr>
                <w:b/>
                <w:lang w:val="de-DE"/>
              </w:rPr>
              <w:t>[</w:t>
            </w:r>
            <w:r w:rsidRPr="00203289">
              <w:rPr>
                <w:lang w:val="de-DE"/>
              </w:rPr>
              <w:t>Repudiation/ Moratorium</w:t>
            </w:r>
            <w:r>
              <w:rPr>
                <w:lang w:val="de-DE"/>
              </w:rPr>
              <w:fldChar w:fldCharType="begin"/>
            </w:r>
            <w:r w:rsidR="0041243C">
              <w:instrText xml:space="preserve"> XE "</w:instrText>
            </w:r>
            <w:r w:rsidRPr="00331506" w:rsidR="0041243C">
              <w:rPr>
                <w:lang w:val="de-DE"/>
              </w:rPr>
              <w:instrText>Repudiation/ Moratorium</w:instrText>
            </w:r>
            <w:r w:rsidR="0041243C">
              <w:instrText>" \f "EN"</w:instrText>
            </w:r>
            <w:r>
              <w:rPr>
                <w:lang w:val="de-DE"/>
              </w:rPr>
              <w:fldChar w:fldCharType="end"/>
            </w:r>
            <w:r w:rsidRPr="00BD6E0D" w:rsidR="0041243C">
              <w:rPr>
                <w:b/>
                <w:lang w:val="de-DE"/>
              </w:rPr>
              <w:t>]</w:t>
            </w:r>
          </w:p>
        </w:tc>
        <w:tc>
          <w:tcPr>
            <w:tcW w:w="2973" w:type="dxa"/>
            <w:tcBorders>
              <w:top w:val="nil"/>
              <w:left w:val="nil"/>
              <w:bottom w:val="nil"/>
            </w:tcBorders>
            <w:shd w:val="clear" w:color="auto" w:fill="auto"/>
          </w:tcPr>
          <w:p w:rsidR="0017135D" w:rsidRPr="00203289" w:rsidP="00A62BBD">
            <w:pPr>
              <w:pStyle w:val="CSBody8pt"/>
            </w:pPr>
            <w:r w:rsidRPr="00203289">
              <w:t>The occurrence of both of the following events: (i) an authorized officer of the Reference Entity or a Governmental Authority (A) disaffirms, disclaims, repudiates or rejects, in whole or in part, or challenges the validity of, one or more Obligations in an aggregate amount of not less than the Default Requirement or (B) declares or imposes a moratorium, standstill, roll-over or deferral, whether de facto or de jure, with respect to one or more Obligations in an aggregate amount of not less than the Default Requirement and (ii) a Failure to Pay, determined without regard to the Payment Requirement</w:t>
            </w:r>
            <w:r w:rsidRPr="00792D61">
              <w:rPr>
                <w:b/>
              </w:rPr>
              <w:t>[</w:t>
            </w:r>
            <w:r w:rsidRPr="00203289">
              <w:rPr>
                <w:b/>
                <w:i/>
              </w:rPr>
              <w:t>if Restructuring is applicable:</w:t>
            </w:r>
            <w:r w:rsidRPr="00203289">
              <w:t>, or a Restructuring, determined without regard to the Default Requirement</w:t>
            </w:r>
            <w:r w:rsidRPr="00792D61">
              <w:rPr>
                <w:b/>
              </w:rPr>
              <w:t>]</w:t>
            </w:r>
            <w:r w:rsidRPr="00203289">
              <w:t>, with respect to any such Obligation occurs on or prior to the Repudiation/Moratorium Evaluation Date.</w:t>
            </w:r>
            <w:r w:rsidRPr="00792D61">
              <w:rPr>
                <w:b/>
              </w:rPr>
              <w:t>]</w:t>
            </w:r>
          </w:p>
        </w:tc>
        <w:tc>
          <w:tcPr>
            <w:tcW w:w="1618" w:type="dxa"/>
            <w:gridSpan w:val="2"/>
            <w:tcBorders>
              <w:top w:val="nil"/>
              <w:bottom w:val="nil"/>
              <w:right w:val="nil"/>
            </w:tcBorders>
            <w:shd w:val="clear" w:color="auto" w:fill="auto"/>
          </w:tcPr>
          <w:p w:rsidR="0017135D" w:rsidRPr="00203289">
            <w:pPr>
              <w:pStyle w:val="CSBody8pt"/>
              <w:rPr>
                <w:lang w:val="de-DE"/>
              </w:rPr>
            </w:pPr>
            <w:r w:rsidRPr="00792D61">
              <w:rPr>
                <w:b/>
                <w:lang w:val="de-DE"/>
              </w:rPr>
              <w:t>[</w:t>
            </w:r>
            <w:r w:rsidRPr="00203289">
              <w:rPr>
                <w:lang w:val="de-DE"/>
              </w:rPr>
              <w:t>Nichtanerkennung/ Moratorium</w:t>
            </w:r>
            <w:r>
              <w:rPr>
                <w:lang w:val="de-DE"/>
              </w:rPr>
              <w:fldChar w:fldCharType="begin"/>
            </w:r>
            <w:r w:rsidR="0041243C">
              <w:instrText xml:space="preserve"> XE "</w:instrText>
            </w:r>
            <w:r w:rsidRPr="00FE3440" w:rsidR="0041243C">
              <w:rPr>
                <w:lang w:val="de-DE"/>
              </w:rPr>
              <w:instrText>Nichtanerkennung/ Moratorium</w:instrText>
            </w:r>
            <w:r w:rsidR="0041243C">
              <w:instrText xml:space="preserve">" </w:instrText>
            </w:r>
            <w:r>
              <w:rPr>
                <w:lang w:val="de-DE"/>
              </w:rPr>
              <w:fldChar w:fldCharType="end"/>
            </w:r>
            <w:r w:rsidRPr="0041243C">
              <w:rPr>
                <w:b/>
                <w:lang w:val="de-DE"/>
              </w:rPr>
              <w:t>]</w:t>
            </w:r>
          </w:p>
        </w:tc>
        <w:tc>
          <w:tcPr>
            <w:tcW w:w="3318" w:type="dxa"/>
            <w:tcBorders>
              <w:top w:val="nil"/>
              <w:left w:val="nil"/>
              <w:bottom w:val="nil"/>
              <w:right w:val="nil"/>
            </w:tcBorders>
            <w:shd w:val="clear" w:color="auto" w:fill="auto"/>
          </w:tcPr>
          <w:p w:rsidR="0017135D" w:rsidRPr="008C2C89" w:rsidP="00F134DE">
            <w:pPr>
              <w:pStyle w:val="CSBody8pt"/>
              <w:rPr>
                <w:bCs/>
                <w:lang w:val="de-DE"/>
              </w:rPr>
            </w:pPr>
            <w:r w:rsidRPr="00203289">
              <w:rPr>
                <w:bCs/>
                <w:lang w:val="de-DE"/>
              </w:rPr>
              <w:t xml:space="preserve">Der Fall, dass beide der folgenden Ereignisse eintreten: (i) ein Vertretungsberechtigter des Referenzschuldners oder einer Regierungsbehörde (A) erkennt die Geltung einer oder mehrerer Verbindlichkeiten in einer mindestens dem Ausfall-Schwellenbetrag entsprechenden Gesamtsumme ganz oder teilweise nicht an bzw. bestreitet die Geltung einer oder mehrerer solcher Verbindlichkeiten ganz oder teilweise, lehnt sie ganz oder teilweise ab oder weist sie ganz oder teilweise zurück oder (B) erklärt oder verhängt de facto oder de jure ein Moratorium, einen Zahlungsstillstand, eine Verlängerung oder einen Zahlungsaufschub im Hinblick auf eine oder mehrere Verbindlichkeiten in einer mindestens dem Ausfall-Schwellenbetrag entsprechenden Gesamtsumme und (ii) in Bezug auf die betreffenden Verbindlichkeiten tritt an oder vor dem Nichtanerkennungs-/Moratoriumsbewertungstag eine Nichtzahlung, die ohne Berücksichtigung des Zahlungs-Schwellenbetrags festgestellt wird, </w:t>
            </w:r>
            <w:r w:rsidRPr="00792D61">
              <w:rPr>
                <w:b/>
                <w:bCs/>
                <w:lang w:val="de-DE"/>
              </w:rPr>
              <w:t>[</w:t>
            </w:r>
            <w:r w:rsidRPr="00203289">
              <w:rPr>
                <w:b/>
                <w:bCs/>
                <w:i/>
                <w:lang w:val="de-DE"/>
              </w:rPr>
              <w:t xml:space="preserve">falls Restrukturierung anwendbar ist: </w:t>
            </w:r>
            <w:r w:rsidRPr="00203289">
              <w:rPr>
                <w:bCs/>
                <w:lang w:val="de-DE"/>
              </w:rPr>
              <w:t>oder eine Restrukturierung, die ohne Berücksichtigung des Ausfall-Schwellenbetrags festgestellt wird,</w:t>
            </w:r>
            <w:r w:rsidRPr="00792D61">
              <w:rPr>
                <w:b/>
                <w:bCs/>
                <w:lang w:val="de-DE"/>
              </w:rPr>
              <w:t>]</w:t>
            </w:r>
            <w:r w:rsidRPr="00203289">
              <w:rPr>
                <w:bCs/>
                <w:lang w:val="de-DE"/>
              </w:rPr>
              <w:t xml:space="preserve"> ein.</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527B66" w:rsidP="00A62BBD">
            <w:pPr>
              <w:pStyle w:val="CSBody8ptbolditalics"/>
            </w:pPr>
            <w:r w:rsidRPr="00792D61">
              <w:t>[</w:t>
            </w:r>
            <w:r w:rsidRPr="00527B66">
              <w:t xml:space="preserve">insert, if applicable: </w:t>
            </w:r>
          </w:p>
        </w:tc>
        <w:tc>
          <w:tcPr>
            <w:tcW w:w="2973" w:type="dxa"/>
            <w:vMerge w:val="restart"/>
            <w:tcBorders>
              <w:top w:val="nil"/>
              <w:left w:val="nil"/>
            </w:tcBorders>
            <w:shd w:val="clear" w:color="auto" w:fill="auto"/>
          </w:tcPr>
          <w:p w:rsidR="0017135D" w:rsidRPr="00C16D23" w:rsidP="00F134DE">
            <w:pPr>
              <w:pStyle w:val="CSManNum8pt"/>
            </w:pPr>
            <w:r w:rsidRPr="00C16D23">
              <w:t>(i)</w:t>
            </w:r>
            <w:r w:rsidRPr="00C16D23">
              <w:tab/>
              <w:t xml:space="preserve">With respect to one or more Obligations and in relation to an aggregate amount of not less than the Default Requirement, any one or more of the following events (aa) occurs in a form that binds all holders of such Obligation, (bb) is agreed between </w:t>
            </w:r>
            <w:r w:rsidRPr="00792D61">
              <w:rPr>
                <w:b/>
              </w:rPr>
              <w:t>[</w:t>
            </w:r>
            <w:r w:rsidRPr="00A62BBD">
              <w:rPr>
                <w:b/>
                <w:i/>
              </w:rPr>
              <w:t>if a Complex Product is only linked to one Reference Entity, insert:</w:t>
            </w:r>
            <w:r w:rsidRPr="00C16D23">
              <w:t xml:space="preserve"> the</w:t>
            </w:r>
            <w:r w:rsidRPr="00792D61">
              <w:rPr>
                <w:b/>
              </w:rPr>
              <w:t>][</w:t>
            </w:r>
            <w:r w:rsidRPr="00A62BBD">
              <w:rPr>
                <w:b/>
                <w:i/>
              </w:rPr>
              <w:t>if a Basket is applicable or in the case of Complex Products with N</w:t>
            </w:r>
            <w:r w:rsidRPr="00BD6E0D">
              <w:rPr>
                <w:b/>
                <w:i/>
                <w:vertAlign w:val="superscript"/>
              </w:rPr>
              <w:t>th</w:t>
            </w:r>
            <w:r w:rsidRPr="00A62BBD">
              <w:rPr>
                <w:b/>
                <w:i/>
              </w:rPr>
              <w:t>-to-Default structure, insert:</w:t>
            </w:r>
            <w:r w:rsidRPr="00C16D23">
              <w:t xml:space="preserve"> a</w:t>
            </w:r>
            <w:r w:rsidRPr="00792D61">
              <w:rPr>
                <w:b/>
              </w:rPr>
              <w:t>]</w:t>
            </w:r>
            <w:r w:rsidRPr="00C16D23">
              <w:t xml:space="preserve"> Reference Entity or a Governmental Authority and a sufficient number of holders of such Obligation to bind all holders of the Obligation or (cc) is announced (or otherwise decreed) by </w:t>
            </w:r>
            <w:r w:rsidRPr="00792D61">
              <w:rPr>
                <w:b/>
              </w:rPr>
              <w:t>[</w:t>
            </w:r>
            <w:r w:rsidRPr="00C16D23">
              <w:t>the</w:t>
            </w:r>
            <w:r w:rsidRPr="00792D61">
              <w:rPr>
                <w:b/>
              </w:rPr>
              <w:t>][</w:t>
            </w:r>
            <w:r w:rsidRPr="00C16D23">
              <w:t>such</w:t>
            </w:r>
            <w:r w:rsidRPr="00792D61">
              <w:rPr>
                <w:b/>
              </w:rPr>
              <w:t>]</w:t>
            </w:r>
            <w:r w:rsidRPr="00C16D23">
              <w:t xml:space="preserve"> Reference Entity or a Governmental Authority in a form that binds all holders of such Obligation (including, in each case, in respect of Bonds only, by way of an exchange), and such event is not expressly provided for under the terms of such Obligation in effect as of the later of the </w:t>
            </w:r>
            <w:r w:rsidRPr="00792D61">
              <w:rPr>
                <w:b/>
              </w:rPr>
              <w:t>[</w:t>
            </w:r>
            <w:r w:rsidRPr="00C16D23">
              <w:t>Issue</w:t>
            </w:r>
            <w:r w:rsidRPr="00792D61">
              <w:rPr>
                <w:b/>
              </w:rPr>
              <w:t>][</w:t>
            </w:r>
            <w:r w:rsidRPr="00C16D23">
              <w:t>Trade</w:t>
            </w:r>
            <w:r w:rsidRPr="00792D61">
              <w:rPr>
                <w:b/>
              </w:rPr>
              <w:t>][</w:t>
            </w:r>
            <w:r w:rsidRPr="00C16D23">
              <w:t>Credit Event Backstop</w:t>
            </w:r>
            <w:r w:rsidRPr="00792D61">
              <w:rPr>
                <w:b/>
              </w:rPr>
              <w:t>]</w:t>
            </w:r>
            <w:r w:rsidRPr="00C16D23">
              <w:t xml:space="preserve"> Date and the date as of which such Obligation is issued or incurred:</w:t>
            </w:r>
          </w:p>
        </w:tc>
        <w:tc>
          <w:tcPr>
            <w:tcW w:w="1618" w:type="dxa"/>
            <w:gridSpan w:val="2"/>
            <w:tcBorders>
              <w:top w:val="nil"/>
              <w:bottom w:val="nil"/>
              <w:right w:val="nil"/>
            </w:tcBorders>
            <w:shd w:val="clear" w:color="auto" w:fill="auto"/>
          </w:tcPr>
          <w:p w:rsidR="0017135D" w:rsidRPr="001B00F5" w:rsidP="00A62BBD">
            <w:pPr>
              <w:pStyle w:val="CSBody8ptbolditalics"/>
            </w:pPr>
            <w:r w:rsidRPr="00792D61">
              <w:t>[</w:t>
            </w:r>
            <w:r w:rsidRPr="001B00F5">
              <w:t xml:space="preserve">falls anwendbar, einfügen: </w:t>
            </w:r>
          </w:p>
        </w:tc>
        <w:tc>
          <w:tcPr>
            <w:tcW w:w="3318" w:type="dxa"/>
            <w:vMerge w:val="restart"/>
            <w:tcBorders>
              <w:top w:val="nil"/>
              <w:left w:val="nil"/>
              <w:right w:val="nil"/>
            </w:tcBorders>
            <w:shd w:val="clear" w:color="auto" w:fill="auto"/>
          </w:tcPr>
          <w:p w:rsidR="0017135D" w:rsidRPr="008C2C89" w:rsidP="00F134DE">
            <w:pPr>
              <w:pStyle w:val="CSManNum8pt"/>
              <w:rPr>
                <w:lang w:val="de-DE"/>
              </w:rPr>
            </w:pPr>
            <w:r w:rsidRPr="00C16D23">
              <w:rPr>
                <w:lang w:val="de-DE"/>
              </w:rPr>
              <w:t>(i)</w:t>
            </w:r>
            <w:r w:rsidRPr="00C16D23">
              <w:rPr>
                <w:lang w:val="de-DE"/>
              </w:rPr>
              <w:tab/>
              <w:t>Ist in Bezug auf eine oder mehrere Ver</w:t>
            </w:r>
            <w:r>
              <w:rPr>
                <w:lang w:val="de-DE"/>
              </w:rPr>
              <w:t>bindlichkeiten und einen Gesamt</w:t>
            </w:r>
            <w:r w:rsidRPr="00C16D23">
              <w:rPr>
                <w:lang w:val="de-DE"/>
              </w:rPr>
              <w:t xml:space="preserve">betrag mindestens in Höhe des Ausfall-Schwellenbetrags (aa) der Eintritt eines oder mehrerer der folgenden Ereignisse in einer Form, die für alle Gläubiger jeder solchen Verbindlichkeit bindend ist, (bb) die Vereinbarung eines oder mehrerer der folgenden Ereignisse zwischen </w:t>
            </w:r>
            <w:r w:rsidRPr="00792D61">
              <w:rPr>
                <w:b/>
                <w:lang w:val="de-DE"/>
              </w:rPr>
              <w:t>[</w:t>
            </w:r>
            <w:r w:rsidRPr="00A62BBD">
              <w:rPr>
                <w:b/>
                <w:i/>
                <w:lang w:val="de-DE"/>
              </w:rPr>
              <w:t>falls ein Komplexes Produkt nur an einen Referenzschuldner gekoppelt ist, einfügen:</w:t>
            </w:r>
            <w:r w:rsidRPr="00C16D23">
              <w:rPr>
                <w:lang w:val="de-DE"/>
              </w:rPr>
              <w:t xml:space="preserve"> dem</w:t>
            </w:r>
            <w:r w:rsidRPr="00792D61">
              <w:rPr>
                <w:b/>
                <w:lang w:val="de-DE"/>
              </w:rPr>
              <w:t>][</w:t>
            </w:r>
            <w:r w:rsidRPr="00A62BBD">
              <w:rPr>
                <w:b/>
                <w:i/>
                <w:lang w:val="de-DE"/>
              </w:rPr>
              <w:t>falls ein Korb anwendbar ist oder bei Komplexen Produkten mit N</w:t>
            </w:r>
            <w:r w:rsidRPr="00BD6E0D">
              <w:rPr>
                <w:b/>
                <w:i/>
                <w:vertAlign w:val="superscript"/>
                <w:lang w:val="de-DE"/>
              </w:rPr>
              <w:t>th</w:t>
            </w:r>
            <w:r w:rsidRPr="00A62BBD">
              <w:rPr>
                <w:b/>
                <w:i/>
                <w:lang w:val="de-DE"/>
              </w:rPr>
              <w:t>-to-Default-Struktur einfügen:</w:t>
            </w:r>
            <w:r>
              <w:rPr>
                <w:lang w:val="de-DE"/>
              </w:rPr>
              <w:t xml:space="preserve"> einem</w:t>
            </w:r>
            <w:r w:rsidRPr="00792D61">
              <w:rPr>
                <w:b/>
                <w:lang w:val="de-DE"/>
              </w:rPr>
              <w:t>]</w:t>
            </w:r>
            <w:r>
              <w:rPr>
                <w:lang w:val="de-DE"/>
              </w:rPr>
              <w:t xml:space="preserve"> Referenz</w:t>
            </w:r>
            <w:r w:rsidRPr="00C16D23">
              <w:rPr>
                <w:lang w:val="de-DE"/>
              </w:rPr>
              <w:t xml:space="preserve">schuldner oder einer Regierungsbehörde und einer Anzahl von Gläubigern jeder solchen Verbindlichkeit vereinbart worden, die ausreichend ist, damit die Vereinbarung für alle Gläubiger jeder solchen Verbindlichkeit bindend ist, oder (cc) die Bekanntgabe (oder anderweitige Verlautbarung) eines oder mehrerer der nachfolgenden Ereignisse durch </w:t>
            </w:r>
            <w:r w:rsidRPr="00792D61">
              <w:rPr>
                <w:b/>
                <w:lang w:val="de-DE"/>
              </w:rPr>
              <w:t>[</w:t>
            </w:r>
            <w:r w:rsidRPr="00C16D23">
              <w:rPr>
                <w:lang w:val="de-DE"/>
              </w:rPr>
              <w:t>den</w:t>
            </w:r>
            <w:r w:rsidRPr="00792D61">
              <w:rPr>
                <w:b/>
                <w:lang w:val="de-DE"/>
              </w:rPr>
              <w:t>][</w:t>
            </w:r>
            <w:r w:rsidRPr="00C16D23">
              <w:rPr>
                <w:lang w:val="de-DE"/>
              </w:rPr>
              <w:t>diesen</w:t>
            </w:r>
            <w:r w:rsidRPr="00792D61">
              <w:rPr>
                <w:b/>
                <w:lang w:val="de-DE"/>
              </w:rPr>
              <w:t>]</w:t>
            </w:r>
            <w:r w:rsidRPr="00C16D23">
              <w:rPr>
                <w:lang w:val="de-DE"/>
              </w:rPr>
              <w:t xml:space="preserve"> Referenzschuldner oder eine Regierungsbehörde in einer Form, die für alle Gläubiger jeder solchen Verbindlichkeit bindend ist (und zwar, ausschliesslich bei Anleihen, jeweils auch im Wege eines Umtauschs), sofern das betreffende Ereignis nicht ausdrücklich in den am </w:t>
            </w:r>
            <w:r w:rsidRPr="00792D61">
              <w:rPr>
                <w:b/>
                <w:lang w:val="de-DE"/>
              </w:rPr>
              <w:t>[</w:t>
            </w:r>
            <w:r w:rsidRPr="00C16D23">
              <w:rPr>
                <w:lang w:val="de-DE"/>
              </w:rPr>
              <w:t>Abschlusstag</w:t>
            </w:r>
            <w:r w:rsidRPr="00792D61">
              <w:rPr>
                <w:b/>
                <w:lang w:val="de-DE"/>
              </w:rPr>
              <w:t>][</w:t>
            </w:r>
            <w:r w:rsidRPr="00C16D23">
              <w:rPr>
                <w:lang w:val="de-DE"/>
              </w:rPr>
              <w:t>Emissionstag</w:t>
            </w:r>
            <w:r w:rsidRPr="00792D61">
              <w:rPr>
                <w:b/>
                <w:lang w:val="de-DE"/>
              </w:rPr>
              <w:t>][</w:t>
            </w:r>
            <w:r w:rsidRPr="00C16D23">
              <w:rPr>
                <w:lang w:val="de-DE"/>
              </w:rPr>
              <w:t>Kreditereignis-Rückschau-Stichtag</w:t>
            </w:r>
            <w:r w:rsidRPr="00792D61">
              <w:rPr>
                <w:b/>
                <w:lang w:val="de-DE"/>
              </w:rPr>
              <w:t>]</w:t>
            </w:r>
            <w:r w:rsidRPr="00C16D23">
              <w:rPr>
                <w:lang w:val="de-DE"/>
              </w:rPr>
              <w:t xml:space="preserve"> oder am Tag der Begebung oder des Eingehens der betreffenden Verbindlichkeit (je nachdem, was später eintritt) geltenden Bedingungen der betreffenden Verbindlichkeit vorgesehen ist: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P="00A62BBD">
            <w:pPr>
              <w:pStyle w:val="CSBody8pt"/>
            </w:pPr>
            <w:r w:rsidRPr="00527B66">
              <w:t>Restructuring</w:t>
            </w:r>
            <w:r>
              <w:fldChar w:fldCharType="begin"/>
            </w:r>
            <w:r>
              <w:instrText xml:space="preserve"> XE "</w:instrText>
            </w:r>
            <w:r w:rsidRPr="00726F50">
              <w:instrText>Restructuring</w:instrText>
            </w:r>
            <w:r>
              <w:instrText xml:space="preserve">" \f "EN" </w:instrText>
            </w:r>
            <w:r>
              <w:fldChar w:fldCharType="end"/>
            </w:r>
          </w:p>
        </w:tc>
        <w:tc>
          <w:tcPr>
            <w:tcW w:w="2973" w:type="dxa"/>
            <w:vMerge/>
            <w:tcBorders>
              <w:left w:val="nil"/>
              <w:bottom w:val="nil"/>
            </w:tcBorders>
            <w:shd w:val="clear" w:color="auto" w:fill="auto"/>
          </w:tcPr>
          <w:p w:rsidR="0017135D" w:rsidRPr="008C2C89" w:rsidP="00A62BBD">
            <w:pPr>
              <w:pStyle w:val="CSBody8pt"/>
              <w:rPr>
                <w:lang w:val="de-DE"/>
              </w:rPr>
            </w:pPr>
          </w:p>
        </w:tc>
        <w:tc>
          <w:tcPr>
            <w:tcW w:w="1618" w:type="dxa"/>
            <w:gridSpan w:val="2"/>
            <w:tcBorders>
              <w:top w:val="nil"/>
              <w:bottom w:val="nil"/>
              <w:right w:val="nil"/>
            </w:tcBorders>
            <w:shd w:val="clear" w:color="auto" w:fill="auto"/>
          </w:tcPr>
          <w:p w:rsidR="0017135D" w:rsidP="00A62BBD">
            <w:pPr>
              <w:pStyle w:val="CSBody8pt"/>
            </w:pPr>
            <w:r w:rsidRPr="001B00F5">
              <w:t>Restrukturierung</w:t>
            </w:r>
            <w:r>
              <w:fldChar w:fldCharType="begin"/>
            </w:r>
            <w:r>
              <w:instrText xml:space="preserve"> XE "</w:instrText>
            </w:r>
            <w:r w:rsidRPr="001E6FB4">
              <w:instrText>Restrukturierung</w:instrText>
            </w:r>
            <w:r>
              <w:instrText xml:space="preserve">" </w:instrText>
            </w:r>
            <w:r>
              <w:fldChar w:fldCharType="end"/>
            </w:r>
          </w:p>
        </w:tc>
        <w:tc>
          <w:tcPr>
            <w:tcW w:w="3318" w:type="dxa"/>
            <w:vMerge/>
            <w:tcBorders>
              <w:left w:val="nil"/>
              <w:bottom w:val="nil"/>
              <w:right w:val="nil"/>
            </w:tcBorders>
            <w:shd w:val="clear" w:color="auto" w:fill="auto"/>
          </w:tcPr>
          <w:p w:rsidR="0017135D" w:rsidRPr="008C2C89" w:rsidP="00A62BBD">
            <w:pPr>
              <w:pStyle w:val="CSBody8pt"/>
              <w:rPr>
                <w:bCs/>
                <w:lang w:val="de-DE"/>
              </w:rPr>
            </w:pP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8C2C89"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(A)</w:t>
            </w:r>
            <w:r w:rsidRPr="00C16D23">
              <w:tab/>
              <w:t>a reduction in the rate or amount of interest payable or the amount of scheduled interest accruals (including by way of redenomination);</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C16D23" w:rsidP="00A62BBD">
            <w:pPr>
              <w:pStyle w:val="CSManNum8pt"/>
              <w:rPr>
                <w:bCs/>
                <w:lang w:val="de-DE"/>
              </w:rPr>
            </w:pPr>
            <w:r w:rsidRPr="00C16D23">
              <w:rPr>
                <w:bCs/>
                <w:lang w:val="de-DE"/>
              </w:rPr>
              <w:t>(A)</w:t>
            </w:r>
            <w:r w:rsidRPr="00C16D23">
              <w:rPr>
                <w:bCs/>
                <w:lang w:val="de-DE"/>
              </w:rPr>
              <w:tab/>
              <w:t>eine Reduzierung des zahlbaren Zinssatzes oder -betrags oder des Betrags der planmässig anfallenden Zinsen (auch infolge einer Währungsumstellung);</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(B)</w:t>
            </w:r>
            <w:r w:rsidRPr="00C16D23">
              <w:tab/>
              <w:t>a reduction in the amount of principal or premium payable at redemption (including by way of redenomination);</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C16D23" w:rsidP="00A62BBD">
            <w:pPr>
              <w:pStyle w:val="CSManNum8pt"/>
              <w:rPr>
                <w:bCs/>
                <w:lang w:val="de-DE"/>
              </w:rPr>
            </w:pPr>
            <w:r w:rsidRPr="00C16D23">
              <w:rPr>
                <w:bCs/>
                <w:lang w:val="de-DE"/>
              </w:rPr>
              <w:t>(B)</w:t>
            </w:r>
            <w:r w:rsidRPr="00C16D23">
              <w:rPr>
                <w:bCs/>
                <w:lang w:val="de-DE"/>
              </w:rPr>
              <w:tab/>
              <w:t>eine Reduzierung des bei Rückzahlung zahlbaren Kapital- oder Prämienbetrags (auch infolge einer Währungsumstellung);</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(C)</w:t>
            </w:r>
            <w:r w:rsidRPr="00C16D23">
              <w:tab/>
              <w:t>a postponement or other deferral of a date or dates for either (A) the payment or accrual of interest or (B) the payment of principal or premium;</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C16D23" w:rsidP="00A62BBD">
            <w:pPr>
              <w:pStyle w:val="CSManNum8pt"/>
              <w:rPr>
                <w:bCs/>
                <w:lang w:val="de-DE"/>
              </w:rPr>
            </w:pPr>
            <w:r w:rsidRPr="00C16D23">
              <w:rPr>
                <w:bCs/>
                <w:lang w:val="de-DE"/>
              </w:rPr>
              <w:t>(C)</w:t>
            </w:r>
            <w:r w:rsidRPr="00C16D23">
              <w:rPr>
                <w:bCs/>
                <w:lang w:val="de-DE"/>
              </w:rPr>
              <w:tab/>
              <w:t>eine Verschiebung oder ein sonstiger Aufschub eines oder mehrerer Termine für (A) die Zahlung oder Entstehung von Zinsen oder (B) die Zahlung von Kapital- oder Prämienbeträgen;</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(D)</w:t>
            </w:r>
            <w:r w:rsidRPr="00C16D23">
              <w:tab/>
              <w:t>a change in the ranking in priority of payment of any Obligation causing the Subordination of such Obligation to any other Obligation; or</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C16D23" w:rsidP="00F134DE">
            <w:pPr>
              <w:pStyle w:val="CSManNum8pt"/>
              <w:rPr>
                <w:bCs/>
                <w:lang w:val="de-DE"/>
              </w:rPr>
            </w:pPr>
            <w:r w:rsidRPr="00C16D23">
              <w:rPr>
                <w:bCs/>
                <w:lang w:val="de-DE"/>
              </w:rPr>
              <w:t>(D)</w:t>
            </w:r>
            <w:r w:rsidRPr="00C16D23">
              <w:rPr>
                <w:bCs/>
                <w:lang w:val="de-DE"/>
              </w:rPr>
              <w:tab/>
              <w:t>eine Veränderung in der Rangfolge von Zahlungen auf eine Verbindlichkeit, die zu einer Nachrangigkeit dieser Verbindlichkeit gegenüber einer anderen Ve</w:t>
            </w:r>
            <w:r>
              <w:rPr>
                <w:bCs/>
                <w:lang w:val="de-DE"/>
              </w:rPr>
              <w:t>r</w:t>
            </w:r>
            <w:r w:rsidRPr="00C16D23">
              <w:rPr>
                <w:bCs/>
                <w:lang w:val="de-DE"/>
              </w:rPr>
              <w:t>bindlichkeit führt; oder</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A62BBD">
            <w:pPr>
              <w:pStyle w:val="CSManNum8pt"/>
              <w:rPr>
                <w:lang w:val="de-DE"/>
              </w:rPr>
            </w:pPr>
          </w:p>
        </w:tc>
        <w:tc>
          <w:tcPr>
            <w:tcW w:w="2973" w:type="dxa"/>
            <w:tcBorders>
              <w:top w:val="nil"/>
              <w:left w:val="nil"/>
              <w:bottom w:val="nil"/>
            </w:tcBorders>
            <w:shd w:val="clear" w:color="auto" w:fill="auto"/>
          </w:tcPr>
          <w:p w:rsidR="0017135D" w:rsidRPr="00C16D23" w:rsidP="00A62BBD">
            <w:pPr>
              <w:pStyle w:val="CSManNum8pt"/>
            </w:pPr>
            <w:r w:rsidRPr="00C16D23">
              <w:t>(E)</w:t>
            </w:r>
            <w:r w:rsidRPr="00C16D23">
              <w:tab/>
              <w:t>any change in the currency of any payment of interest, principal or premium to any currency other than the lawful currency of Canada, Japan, Switzerland, the United Kingdom and the United States of America and the euro and any successor currency to any of the aforementioned currencies (which in the case of the euro, shall mean the currency which succeeds to and replaces the euro in whole).</w:t>
            </w:r>
          </w:p>
        </w:tc>
        <w:tc>
          <w:tcPr>
            <w:tcW w:w="1618" w:type="dxa"/>
            <w:gridSpan w:val="2"/>
            <w:tcBorders>
              <w:top w:val="nil"/>
              <w:bottom w:val="nil"/>
              <w:right w:val="nil"/>
            </w:tcBorders>
            <w:shd w:val="clear" w:color="auto" w:fill="auto"/>
          </w:tcPr>
          <w:p w:rsidR="0017135D" w:rsidRPr="00C16D23" w:rsidP="00A62BBD">
            <w:pPr>
              <w:pStyle w:val="CSManNum8pt"/>
              <w:rPr>
                <w:i/>
              </w:rPr>
            </w:pPr>
          </w:p>
        </w:tc>
        <w:tc>
          <w:tcPr>
            <w:tcW w:w="3318" w:type="dxa"/>
            <w:tcBorders>
              <w:top w:val="nil"/>
              <w:left w:val="nil"/>
              <w:bottom w:val="nil"/>
              <w:right w:val="nil"/>
            </w:tcBorders>
            <w:shd w:val="clear" w:color="auto" w:fill="auto"/>
          </w:tcPr>
          <w:p w:rsidR="0017135D" w:rsidRPr="00C16D23" w:rsidP="00A62BBD">
            <w:pPr>
              <w:pStyle w:val="CSManNum8pt"/>
              <w:rPr>
                <w:bCs/>
                <w:lang w:val="de-DE"/>
              </w:rPr>
            </w:pPr>
            <w:r w:rsidRPr="00C16D23">
              <w:rPr>
                <w:bCs/>
                <w:lang w:val="de-DE"/>
              </w:rPr>
              <w:t>(E)</w:t>
            </w:r>
            <w:r w:rsidRPr="00C16D23">
              <w:rPr>
                <w:bCs/>
                <w:lang w:val="de-DE"/>
              </w:rPr>
              <w:tab/>
              <w:t>eine Änderung der Währung von Zins- oder Kapitalzahlungen oder Prämienbeträgen in eine andere Währung als die gesetzliche Währung Kanadas, Japans, der Schweiz, des Vereinigten Königreichs und der Vereinigten Staaten von Amerika oder als den Euro oder eine Nachfolgewährung der genannten Währungen (im Fall des Euro ist dies die Währung, die als Nachfolgewährung den Euro insgesamt ersetzt).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E64C90">
            <w:pPr>
              <w:pStyle w:val="CSManNum8pt"/>
              <w:rPr>
                <w:lang w:val="de-DE"/>
              </w:rPr>
            </w:pPr>
          </w:p>
        </w:tc>
        <w:tc>
          <w:tcPr>
            <w:tcW w:w="2973" w:type="dxa"/>
            <w:tcBorders>
              <w:top w:val="nil"/>
              <w:left w:val="nil"/>
              <w:bottom w:val="nil"/>
            </w:tcBorders>
            <w:shd w:val="clear" w:color="auto" w:fill="auto"/>
          </w:tcPr>
          <w:p w:rsidR="0017135D" w:rsidRPr="00C16D23" w:rsidP="00E64C90">
            <w:pPr>
              <w:pStyle w:val="CSManNum8pt"/>
            </w:pPr>
            <w:r w:rsidRPr="00C16D23">
              <w:t>(ii)</w:t>
            </w:r>
            <w:r w:rsidRPr="00C16D23">
              <w:tab/>
              <w:t>Notwithstanding paragraph (i) above, none of the following shall constitute a Restructuring:</w:t>
            </w:r>
          </w:p>
        </w:tc>
        <w:tc>
          <w:tcPr>
            <w:tcW w:w="1618" w:type="dxa"/>
            <w:gridSpan w:val="2"/>
            <w:tcBorders>
              <w:top w:val="nil"/>
              <w:bottom w:val="nil"/>
              <w:right w:val="nil"/>
            </w:tcBorders>
            <w:shd w:val="clear" w:color="auto" w:fill="auto"/>
          </w:tcPr>
          <w:p w:rsidR="0017135D" w:rsidRPr="00C16D23" w:rsidP="00E64C90">
            <w:pPr>
              <w:pStyle w:val="CSManNum8pt"/>
              <w:rPr>
                <w:i/>
              </w:rPr>
            </w:pPr>
          </w:p>
        </w:tc>
        <w:tc>
          <w:tcPr>
            <w:tcW w:w="3318" w:type="dxa"/>
            <w:tcBorders>
              <w:top w:val="nil"/>
              <w:left w:val="nil"/>
              <w:bottom w:val="nil"/>
              <w:right w:val="nil"/>
            </w:tcBorders>
            <w:shd w:val="clear" w:color="auto" w:fill="auto"/>
          </w:tcPr>
          <w:p w:rsidR="0017135D" w:rsidRPr="00C16D23" w:rsidP="00F134DE">
            <w:pPr>
              <w:pStyle w:val="CSManNum8pt"/>
              <w:rPr>
                <w:bCs/>
                <w:lang w:val="de-DE"/>
              </w:rPr>
            </w:pPr>
            <w:r w:rsidRPr="00C16D23">
              <w:rPr>
                <w:bCs/>
                <w:lang w:val="de-DE"/>
              </w:rPr>
              <w:t>(ii)</w:t>
            </w:r>
            <w:r w:rsidRPr="00C16D23">
              <w:rPr>
                <w:bCs/>
                <w:lang w:val="de-DE"/>
              </w:rPr>
              <w:tab/>
              <w:t>Ungeachtet der vorstehenden Bestimmungen des Absatzes (i) liegt eine Restrukturierung in folgenden Fällen nicht vor:</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E64C90">
            <w:pPr>
              <w:pStyle w:val="CSManNum8pt"/>
              <w:rPr>
                <w:lang w:val="de-DE"/>
              </w:rPr>
            </w:pPr>
          </w:p>
        </w:tc>
        <w:tc>
          <w:tcPr>
            <w:tcW w:w="2973" w:type="dxa"/>
            <w:tcBorders>
              <w:top w:val="nil"/>
              <w:left w:val="nil"/>
              <w:bottom w:val="nil"/>
            </w:tcBorders>
            <w:shd w:val="clear" w:color="auto" w:fill="auto"/>
          </w:tcPr>
          <w:p w:rsidR="0017135D" w:rsidRPr="00C16D23" w:rsidP="00E64C90">
            <w:pPr>
              <w:pStyle w:val="CSManNum8pt"/>
            </w:pPr>
            <w:r w:rsidRPr="00C16D23">
              <w:t>(A)</w:t>
            </w:r>
            <w:r w:rsidRPr="00C16D23">
              <w:tab/>
              <w:t>the payment in euros of interest, principal or premium in relation to an Obligation denominated in a currency of a member state of the European Union that adopts or has adopted the single currency in accordance with the Treaty establishing the European Community, as amended by the Treaty on European Union;</w:t>
            </w:r>
          </w:p>
        </w:tc>
        <w:tc>
          <w:tcPr>
            <w:tcW w:w="1618" w:type="dxa"/>
            <w:gridSpan w:val="2"/>
            <w:tcBorders>
              <w:top w:val="nil"/>
              <w:bottom w:val="nil"/>
              <w:right w:val="nil"/>
            </w:tcBorders>
            <w:shd w:val="clear" w:color="auto" w:fill="auto"/>
          </w:tcPr>
          <w:p w:rsidR="0017135D" w:rsidRPr="00C16D23" w:rsidP="00E64C90">
            <w:pPr>
              <w:pStyle w:val="CSManNum8pt"/>
              <w:rPr>
                <w:i/>
              </w:rPr>
            </w:pPr>
          </w:p>
        </w:tc>
        <w:tc>
          <w:tcPr>
            <w:tcW w:w="3318" w:type="dxa"/>
            <w:tcBorders>
              <w:top w:val="nil"/>
              <w:left w:val="nil"/>
              <w:bottom w:val="nil"/>
              <w:right w:val="nil"/>
            </w:tcBorders>
            <w:shd w:val="clear" w:color="auto" w:fill="auto"/>
          </w:tcPr>
          <w:p w:rsidR="0017135D" w:rsidRPr="00C16D23" w:rsidP="00F134DE">
            <w:pPr>
              <w:pStyle w:val="CSManNum8pt"/>
              <w:rPr>
                <w:bCs/>
                <w:lang w:val="de-DE"/>
              </w:rPr>
            </w:pPr>
            <w:r w:rsidRPr="00C16D23">
              <w:rPr>
                <w:bCs/>
                <w:lang w:val="de-DE"/>
              </w:rPr>
              <w:t>(A)</w:t>
            </w:r>
            <w:r w:rsidRPr="00C16D23">
              <w:rPr>
                <w:bCs/>
                <w:lang w:val="de-DE"/>
              </w:rPr>
              <w:tab/>
              <w:t>bei Leistung einer Zahlung in Euro auf Zinsen oder Kapital oder von Prämienbeträgen in Bezug auf eine Verbindlichkeit, die auf die Währung eines Mitgliedstaates der Europäischen Union lautet, der die gemeinsame Währung nach Massgabe des Vertrags zur Gründung der Europäischen Gemeinschaft in der durch den Vertrag über die Europäische Union geänderten Fassung einführt oder eingeführt hat;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E64C90">
            <w:pPr>
              <w:pStyle w:val="CSManNum8pt"/>
              <w:rPr>
                <w:lang w:val="de-DE"/>
              </w:rPr>
            </w:pPr>
          </w:p>
        </w:tc>
        <w:tc>
          <w:tcPr>
            <w:tcW w:w="2973" w:type="dxa"/>
            <w:tcBorders>
              <w:top w:val="nil"/>
              <w:left w:val="nil"/>
              <w:bottom w:val="nil"/>
            </w:tcBorders>
            <w:shd w:val="clear" w:color="auto" w:fill="auto"/>
          </w:tcPr>
          <w:p w:rsidR="0017135D" w:rsidRPr="00C16D23">
            <w:pPr>
              <w:pStyle w:val="CSManNum8pt"/>
            </w:pPr>
            <w:r w:rsidRPr="00C16D23">
              <w:t>(B)</w:t>
            </w:r>
            <w:r w:rsidRPr="00C16D23">
              <w:tab/>
              <w:t>the redenomination from euros into another currency, if (x) the redenomination occurs as a result of action taken by a Governmental Authority of a Member State of the European Union which is of general application in the jurisdiction of such Governmental Authority and (y) a freely available market rate of conversion between euros and such other currency existed at the time of such redenomination and there is no reduction in the rate or amount of interest, principal or premium payable, as determined by reference to such freely available market rate of conversion;</w:t>
            </w:r>
          </w:p>
        </w:tc>
        <w:tc>
          <w:tcPr>
            <w:tcW w:w="1618" w:type="dxa"/>
            <w:gridSpan w:val="2"/>
            <w:tcBorders>
              <w:top w:val="nil"/>
              <w:bottom w:val="nil"/>
              <w:right w:val="nil"/>
            </w:tcBorders>
            <w:shd w:val="clear" w:color="auto" w:fill="auto"/>
          </w:tcPr>
          <w:p w:rsidR="0017135D" w:rsidRPr="00C16D23" w:rsidP="00E64C90">
            <w:pPr>
              <w:pStyle w:val="CSManNum8pt"/>
              <w:rPr>
                <w:i/>
              </w:rPr>
            </w:pPr>
          </w:p>
        </w:tc>
        <w:tc>
          <w:tcPr>
            <w:tcW w:w="3318" w:type="dxa"/>
            <w:tcBorders>
              <w:top w:val="nil"/>
              <w:left w:val="nil"/>
              <w:bottom w:val="nil"/>
              <w:right w:val="nil"/>
            </w:tcBorders>
            <w:shd w:val="clear" w:color="auto" w:fill="auto"/>
          </w:tcPr>
          <w:p w:rsidR="0017135D" w:rsidRPr="00C16D23">
            <w:pPr>
              <w:pStyle w:val="CSManNum8pt"/>
              <w:rPr>
                <w:bCs/>
                <w:lang w:val="de-DE"/>
              </w:rPr>
            </w:pPr>
            <w:r w:rsidRPr="00C16D23">
              <w:rPr>
                <w:bCs/>
                <w:lang w:val="de-DE"/>
              </w:rPr>
              <w:t>(B)</w:t>
            </w:r>
            <w:r w:rsidRPr="00C16D23">
              <w:rPr>
                <w:bCs/>
                <w:lang w:val="de-DE"/>
              </w:rPr>
              <w:tab/>
              <w:t>die Währungsumstellung von Euro in eine andere Währung, sofern (x) diese Währungsumstellung infolge einer Massnahme einer Regierungsbehörde eines Mitgliedstaats der Europäischen Union mit allgemeiner Geltung im Zuständigkeitsbereich dieser Regierungsbehörde erfolgt, und (y) es im Zeitpunkt dieser Währungsumstellung einen frei verfügbaren marktüblichen Umrechnungskurs zwischen dem Euro und der anderen Währung gab und sich der zahlbare Zinssatz, Zinsbetrag oder Kapitalbetrag oder der zahlbare Prämienbetrag, wie durch Bezugnahme auf diesen frei verfügbaren marktüblichen Umrechnungskurs ermittelt, nicht verringert;</w:t>
            </w:r>
          </w:p>
        </w:tc>
      </w:tr>
      <w:tr w:rsidTr="00604111">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E64C90">
            <w:pPr>
              <w:pStyle w:val="CSManNum8pt"/>
              <w:rPr>
                <w:lang w:val="de-DE"/>
              </w:rPr>
            </w:pPr>
          </w:p>
        </w:tc>
        <w:tc>
          <w:tcPr>
            <w:tcW w:w="2973" w:type="dxa"/>
            <w:tcBorders>
              <w:top w:val="nil"/>
              <w:left w:val="nil"/>
              <w:bottom w:val="nil"/>
            </w:tcBorders>
            <w:shd w:val="clear" w:color="auto" w:fill="auto"/>
          </w:tcPr>
          <w:p w:rsidR="0017135D" w:rsidRPr="00C16D23" w:rsidP="00E64C90">
            <w:pPr>
              <w:pStyle w:val="CSManNum8pt"/>
            </w:pPr>
            <w:r w:rsidRPr="00C16D23">
              <w:t>(C)</w:t>
            </w:r>
            <w:r w:rsidRPr="00C16D23">
              <w:tab/>
              <w:t>the occurrence of, agreement to or announcement of any of the events described in paragraph (i)(A) to (E) above due to an administrative adjustment, accounting adjustment or tax adjustment or other technical adjustment occurring in the ordinary course of business; and</w:t>
            </w:r>
          </w:p>
        </w:tc>
        <w:tc>
          <w:tcPr>
            <w:tcW w:w="1618" w:type="dxa"/>
            <w:gridSpan w:val="2"/>
            <w:tcBorders>
              <w:top w:val="nil"/>
              <w:bottom w:val="nil"/>
              <w:right w:val="nil"/>
            </w:tcBorders>
            <w:shd w:val="clear" w:color="auto" w:fill="auto"/>
          </w:tcPr>
          <w:p w:rsidR="0017135D" w:rsidRPr="00C16D23" w:rsidP="00E64C90">
            <w:pPr>
              <w:pStyle w:val="CSManNum8pt"/>
              <w:rPr>
                <w:i/>
              </w:rPr>
            </w:pPr>
          </w:p>
        </w:tc>
        <w:tc>
          <w:tcPr>
            <w:tcW w:w="3318" w:type="dxa"/>
            <w:tcBorders>
              <w:top w:val="nil"/>
              <w:left w:val="nil"/>
              <w:bottom w:val="nil"/>
              <w:right w:val="nil"/>
            </w:tcBorders>
            <w:shd w:val="clear" w:color="auto" w:fill="auto"/>
          </w:tcPr>
          <w:p w:rsidR="0017135D" w:rsidRPr="00C16D23">
            <w:pPr>
              <w:pStyle w:val="CSManNum8pt"/>
              <w:rPr>
                <w:bCs/>
                <w:lang w:val="de-DE"/>
              </w:rPr>
            </w:pPr>
            <w:r w:rsidRPr="00C16D23">
              <w:rPr>
                <w:bCs/>
                <w:lang w:val="de-DE"/>
              </w:rPr>
              <w:t>(C)</w:t>
            </w:r>
            <w:r w:rsidRPr="00C16D23">
              <w:rPr>
                <w:bCs/>
                <w:lang w:val="de-DE"/>
              </w:rPr>
              <w:tab/>
              <w:t>bei Eintritt, Vereinbarung oder Bekanntgabe eines der in den vorstehenden Absätzen (i)(A) bis (E) genannten Ereignisse aufgrund einer administrativen, bilanziellen, steuerlichen oder sonstigen technischen Anpassung im Rahmen des gewöhnlichen Geschäftsverlaufs; und</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E64C90">
            <w:pPr>
              <w:pStyle w:val="CSManNum8pt"/>
              <w:rPr>
                <w:lang w:val="de-DE"/>
              </w:rPr>
            </w:pPr>
          </w:p>
        </w:tc>
        <w:tc>
          <w:tcPr>
            <w:tcW w:w="2973" w:type="dxa"/>
            <w:tcBorders>
              <w:top w:val="nil"/>
              <w:left w:val="nil"/>
              <w:bottom w:val="nil"/>
            </w:tcBorders>
            <w:shd w:val="clear" w:color="auto" w:fill="auto"/>
          </w:tcPr>
          <w:p w:rsidR="0017135D" w:rsidRPr="00C16D23" w:rsidP="00E64C90">
            <w:pPr>
              <w:pStyle w:val="CSManNum8pt"/>
            </w:pPr>
            <w:r w:rsidRPr="00C16D23">
              <w:t>(D)</w:t>
            </w:r>
            <w:r w:rsidRPr="00C16D23">
              <w:tab/>
              <w:t xml:space="preserve">the occurrence of, agreement to or announcement of any of the events described in paragraph (i)(A) to (E) above in circumstances where such event does not directly or indirectly result from a deterioration in the creditworthiness or financial condition of </w:t>
            </w:r>
            <w:r w:rsidRPr="00792D61">
              <w:rPr>
                <w:b/>
                <w:i/>
              </w:rPr>
              <w:t>[</w:t>
            </w:r>
            <w:r w:rsidRPr="009B498C">
              <w:rPr>
                <w:b/>
                <w:i/>
              </w:rPr>
              <w:t>if a Complex Product is only linked to one Reference Entity, insert:</w:t>
            </w:r>
            <w:r w:rsidRPr="00C16D23">
              <w:t xml:space="preserve"> such</w:t>
            </w:r>
            <w:r w:rsidRPr="00792D61">
              <w:rPr>
                <w:b/>
                <w:i/>
              </w:rPr>
              <w:t>][</w:t>
            </w:r>
            <w:r w:rsidRPr="009B498C">
              <w:rPr>
                <w:b/>
                <w:i/>
              </w:rPr>
              <w:t>if a Basket is applicable or in the case of Com-plex Products with N</w:t>
            </w:r>
            <w:r w:rsidRPr="00BD6E0D">
              <w:rPr>
                <w:b/>
                <w:i/>
                <w:vertAlign w:val="superscript"/>
              </w:rPr>
              <w:t>th</w:t>
            </w:r>
            <w:r w:rsidRPr="009B498C">
              <w:rPr>
                <w:b/>
                <w:i/>
              </w:rPr>
              <w:t>-to-Default structure, insert:</w:t>
            </w:r>
            <w:r w:rsidRPr="00C16D23">
              <w:t xml:space="preserve"> a</w:t>
            </w:r>
            <w:r w:rsidRPr="00792D61">
              <w:rPr>
                <w:b/>
              </w:rPr>
              <w:t>]</w:t>
            </w:r>
            <w:r w:rsidRPr="00C16D23">
              <w:t xml:space="preserve"> Reference Entity, provided that in respect of paragraph (i)(E) only, no such deterioration in the creditworthiness or financial condition of the Reference Entity is required where the redenomination is from euros into another currency and occurs as a result of action taken by a Governmental Authority of a Member State of the European Union which is of general application in the jurisdiction of such Governmental Authority.</w:t>
            </w:r>
          </w:p>
        </w:tc>
        <w:tc>
          <w:tcPr>
            <w:tcW w:w="1618" w:type="dxa"/>
            <w:gridSpan w:val="2"/>
            <w:tcBorders>
              <w:top w:val="nil"/>
              <w:bottom w:val="nil"/>
              <w:right w:val="nil"/>
            </w:tcBorders>
            <w:shd w:val="clear" w:color="auto" w:fill="auto"/>
          </w:tcPr>
          <w:p w:rsidR="0017135D" w:rsidRPr="00C16D23" w:rsidP="00E64C90">
            <w:pPr>
              <w:pStyle w:val="CSManNum8pt"/>
              <w:rPr>
                <w:i/>
              </w:rPr>
            </w:pPr>
          </w:p>
        </w:tc>
        <w:tc>
          <w:tcPr>
            <w:tcW w:w="3318" w:type="dxa"/>
            <w:tcBorders>
              <w:top w:val="nil"/>
              <w:left w:val="nil"/>
              <w:bottom w:val="nil"/>
              <w:right w:val="nil"/>
            </w:tcBorders>
            <w:shd w:val="clear" w:color="auto" w:fill="auto"/>
          </w:tcPr>
          <w:p w:rsidR="0017135D" w:rsidRPr="00C16D23">
            <w:pPr>
              <w:pStyle w:val="CSManNum8pt"/>
              <w:rPr>
                <w:bCs/>
                <w:lang w:val="de-DE"/>
              </w:rPr>
            </w:pPr>
            <w:r w:rsidRPr="00C16D23">
              <w:rPr>
                <w:bCs/>
                <w:lang w:val="de-DE"/>
              </w:rPr>
              <w:t>(D)</w:t>
            </w:r>
            <w:r w:rsidRPr="00C16D23">
              <w:rPr>
                <w:bCs/>
                <w:lang w:val="de-DE"/>
              </w:rPr>
              <w:tab/>
              <w:t xml:space="preserve">bei Eintritt, Vereinbarung oder Bekanntgabe eines der in den vorstehenden Absätzen (i)(A) bis (E) genannten Ereignisse, sofern das betreffende Ereignis weder unmittelbar noch mittelbar auf eine Verschlechterung der Bonität oder Finanzlage </w:t>
            </w:r>
            <w:r w:rsidRPr="00792D61">
              <w:rPr>
                <w:b/>
                <w:bCs/>
                <w:lang w:val="de-DE"/>
              </w:rPr>
              <w:t>[</w:t>
            </w:r>
            <w:r w:rsidRPr="009B498C">
              <w:rPr>
                <w:b/>
                <w:bCs/>
                <w:i/>
                <w:lang w:val="de-DE"/>
              </w:rPr>
              <w:t>falls ein Komplexes Pro-dukt nur an einen Referenzschuldner gekoppelt ist, einfügen:</w:t>
            </w:r>
            <w:r w:rsidRPr="00C16D23">
              <w:rPr>
                <w:bCs/>
                <w:lang w:val="de-DE"/>
              </w:rPr>
              <w:t xml:space="preserve"> dieses</w:t>
            </w:r>
            <w:r w:rsidRPr="00792D61">
              <w:rPr>
                <w:b/>
                <w:bCs/>
                <w:lang w:val="de-DE"/>
              </w:rPr>
              <w:t>][</w:t>
            </w:r>
            <w:r w:rsidRPr="009B498C">
              <w:rPr>
                <w:b/>
                <w:bCs/>
                <w:i/>
                <w:lang w:val="de-DE"/>
              </w:rPr>
              <w:t>falls ein Korb anwendbar ist oder bei Komplexen Produkten mit N</w:t>
            </w:r>
            <w:r w:rsidRPr="00BD6E0D">
              <w:rPr>
                <w:b/>
                <w:i/>
                <w:vertAlign w:val="superscript"/>
                <w:lang w:val="de-DE"/>
              </w:rPr>
              <w:t>th</w:t>
            </w:r>
            <w:r w:rsidRPr="009B498C">
              <w:rPr>
                <w:b/>
                <w:bCs/>
                <w:i/>
                <w:lang w:val="de-DE"/>
              </w:rPr>
              <w:t xml:space="preserve">-to-Default-Struktur einfügen: </w:t>
            </w:r>
            <w:r w:rsidRPr="00C16D23">
              <w:rPr>
                <w:bCs/>
                <w:lang w:val="de-DE"/>
              </w:rPr>
              <w:t>eines</w:t>
            </w:r>
            <w:r w:rsidRPr="00792D61">
              <w:rPr>
                <w:b/>
                <w:bCs/>
                <w:lang w:val="de-DE"/>
              </w:rPr>
              <w:t>]</w:t>
            </w:r>
            <w:r w:rsidRPr="00C16D23">
              <w:rPr>
                <w:bCs/>
                <w:lang w:val="de-DE"/>
              </w:rPr>
              <w:t xml:space="preserve"> Referenzschuldners zurückzuführen ist, wobei ausschliesslich in Bezug auf Absatz (i)(E) eine solche Verschlechterung der Bonität oder Finanzlage des Referenzschuldners nicht vorliegen muss, wenn die Währungsumstellung von Euro in eine andere Währung und infolge einer Massnahme einer Regierungsbehörde eines Mitgliedstaats der Europäischen Union mit allgemeiner Geltung im Zuständigkeitsbereich dieser Regierungsbehörde erfolgt.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6172F3">
            <w:pPr>
              <w:pStyle w:val="CSManNum8pt"/>
              <w:rPr>
                <w:lang w:val="de-DE"/>
              </w:rPr>
            </w:pPr>
          </w:p>
        </w:tc>
        <w:tc>
          <w:tcPr>
            <w:tcW w:w="2973" w:type="dxa"/>
            <w:tcBorders>
              <w:top w:val="nil"/>
              <w:left w:val="nil"/>
              <w:bottom w:val="nil"/>
            </w:tcBorders>
            <w:shd w:val="clear" w:color="auto" w:fill="auto"/>
          </w:tcPr>
          <w:p w:rsidR="0017135D" w:rsidRPr="00C16D23">
            <w:pPr>
              <w:pStyle w:val="CSManNum8pt"/>
            </w:pPr>
            <w:r w:rsidRPr="00C16D23">
              <w:t>(iii)</w:t>
            </w:r>
            <w:r w:rsidRPr="00C16D23">
              <w:tab/>
              <w:t xml:space="preserve">For purposes of paragraphs (i) and (ii) above </w:t>
            </w:r>
            <w:r w:rsidRPr="00792D61">
              <w:rPr>
                <w:b/>
              </w:rPr>
              <w:t>[</w:t>
            </w:r>
            <w:r w:rsidRPr="006172F3">
              <w:rPr>
                <w:b/>
                <w:i/>
              </w:rPr>
              <w:t>insert, if "Multiple Holder Obligation" is applicable:</w:t>
            </w:r>
            <w:r w:rsidRPr="00C16D23">
              <w:t xml:space="preserve"> and of the definition of "Multiple Holder Obligation"</w:t>
            </w:r>
            <w:r w:rsidRPr="00792D61">
              <w:rPr>
                <w:b/>
              </w:rPr>
              <w:t>]</w:t>
            </w:r>
            <w:r w:rsidRPr="00C16D23">
              <w:t xml:space="preserve">, the term "Obligation" shall be deemed to include Underlying Obligations for which </w:t>
            </w:r>
            <w:r w:rsidRPr="00792D61">
              <w:rPr>
                <w:b/>
              </w:rPr>
              <w:t>[</w:t>
            </w:r>
            <w:r w:rsidRPr="006172F3">
              <w:rPr>
                <w:b/>
                <w:i/>
              </w:rPr>
              <w:t>if a Complex Product is only linked to one Reference Entity, insert:</w:t>
            </w:r>
            <w:r w:rsidRPr="00C16D23">
              <w:t xml:space="preserve"> the</w:t>
            </w:r>
            <w:r w:rsidRPr="00792D61">
              <w:rPr>
                <w:b/>
              </w:rPr>
              <w:t>][</w:t>
            </w:r>
            <w:r w:rsidRPr="006172F3">
              <w:rPr>
                <w:b/>
                <w:i/>
              </w:rPr>
              <w:t>if a Basket is applicable, insert:</w:t>
            </w:r>
            <w:r w:rsidRPr="00C16D23">
              <w:t xml:space="preserve"> a</w:t>
            </w:r>
            <w:r w:rsidRPr="00792D61">
              <w:rPr>
                <w:b/>
              </w:rPr>
              <w:t>]</w:t>
            </w:r>
            <w:r w:rsidRPr="00C16D23">
              <w:t xml:space="preserve"> Reference Entity is acting as provider of a Guarantee. In the case of a Guarantee and an Underlying Obligation, references to </w:t>
            </w:r>
            <w:r w:rsidRPr="00792D61">
              <w:rPr>
                <w:b/>
              </w:rPr>
              <w:t>[</w:t>
            </w:r>
            <w:r w:rsidRPr="006172F3">
              <w:rPr>
                <w:b/>
                <w:i/>
              </w:rPr>
              <w:t>if a Complex Product is only linked to one Reference Entity, insert:</w:t>
            </w:r>
            <w:r w:rsidRPr="00C16D23">
              <w:t xml:space="preserve"> the</w:t>
            </w:r>
            <w:r w:rsidRPr="00792D61">
              <w:rPr>
                <w:b/>
              </w:rPr>
              <w:t>][</w:t>
            </w:r>
            <w:r w:rsidRPr="006172F3" w:rsidR="00604111">
              <w:rPr>
                <w:b/>
                <w:i/>
              </w:rPr>
              <w:t>if a Basket is applicable or in the case of Complex Products with N</w:t>
            </w:r>
            <w:r w:rsidRPr="006E024D" w:rsidR="00604111">
              <w:rPr>
                <w:b/>
                <w:i/>
                <w:vertAlign w:val="superscript"/>
              </w:rPr>
              <w:t>th</w:t>
            </w:r>
            <w:r w:rsidRPr="006172F3" w:rsidR="00604111">
              <w:rPr>
                <w:b/>
                <w:i/>
              </w:rPr>
              <w:t>-to-Default structure, insert:</w:t>
            </w:r>
            <w:r w:rsidRPr="00C16D23">
              <w:t xml:space="preserve"> a</w:t>
            </w:r>
            <w:r w:rsidRPr="00792D61">
              <w:rPr>
                <w:b/>
              </w:rPr>
              <w:t>]</w:t>
            </w:r>
            <w:r w:rsidRPr="00C16D23">
              <w:t xml:space="preserve"> Reference Entity in paragraph (i) above shall be deemed to refer to the Underlying Obligor and the reference to </w:t>
            </w:r>
            <w:r w:rsidRPr="00792D61">
              <w:rPr>
                <w:b/>
              </w:rPr>
              <w:t>[</w:t>
            </w:r>
            <w:r w:rsidRPr="006172F3">
              <w:rPr>
                <w:b/>
                <w:i/>
              </w:rPr>
              <w:t xml:space="preserve">if a Complex Product is only linked to one Reference Entity, insert: </w:t>
            </w:r>
            <w:r w:rsidRPr="00C16D23">
              <w:t>the</w:t>
            </w:r>
            <w:r w:rsidRPr="00792D61">
              <w:rPr>
                <w:b/>
              </w:rPr>
              <w:t>][</w:t>
            </w:r>
            <w:r w:rsidRPr="006172F3">
              <w:rPr>
                <w:b/>
                <w:i/>
              </w:rPr>
              <w:t>if a Basket is applicable or in the case of Complex Products with N</w:t>
            </w:r>
            <w:r w:rsidRPr="00BD6E0D">
              <w:rPr>
                <w:b/>
                <w:i/>
                <w:vertAlign w:val="superscript"/>
              </w:rPr>
              <w:t>th</w:t>
            </w:r>
            <w:r w:rsidRPr="006172F3">
              <w:rPr>
                <w:b/>
                <w:i/>
              </w:rPr>
              <w:t>-to-Default structure, insert:</w:t>
            </w:r>
            <w:r w:rsidRPr="00C16D23">
              <w:t xml:space="preserve"> a</w:t>
            </w:r>
            <w:r w:rsidRPr="00792D61">
              <w:rPr>
                <w:b/>
              </w:rPr>
              <w:t>]</w:t>
            </w:r>
            <w:r w:rsidRPr="00C16D23">
              <w:t xml:space="preserve"> Reference Entity in paragraph (ii) above shall continue to refer to </w:t>
            </w:r>
            <w:r w:rsidRPr="00792D61">
              <w:rPr>
                <w:b/>
              </w:rPr>
              <w:t>[</w:t>
            </w:r>
            <w:r w:rsidRPr="006172F3">
              <w:rPr>
                <w:b/>
                <w:i/>
              </w:rPr>
              <w:t>if a Complex Product is only linked to one Reference Entity, insert:</w:t>
            </w:r>
            <w:r w:rsidRPr="00C16D23">
              <w:t xml:space="preserve"> the</w:t>
            </w:r>
            <w:r w:rsidRPr="00792D61">
              <w:rPr>
                <w:b/>
              </w:rPr>
              <w:t>][</w:t>
            </w:r>
            <w:r w:rsidRPr="006172F3">
              <w:rPr>
                <w:b/>
                <w:i/>
              </w:rPr>
              <w:t>if a Basket is applicable or in the case of Complex Products with N</w:t>
            </w:r>
            <w:r w:rsidRPr="00BD6E0D">
              <w:rPr>
                <w:b/>
                <w:i/>
                <w:vertAlign w:val="superscript"/>
              </w:rPr>
              <w:t>th</w:t>
            </w:r>
            <w:r w:rsidRPr="006172F3">
              <w:rPr>
                <w:b/>
                <w:i/>
              </w:rPr>
              <w:t>-to-Default structure, insert:</w:t>
            </w:r>
            <w:r w:rsidRPr="00C16D23">
              <w:t xml:space="preserve"> such</w:t>
            </w:r>
            <w:r w:rsidRPr="00792D61">
              <w:rPr>
                <w:b/>
              </w:rPr>
              <w:t>]</w:t>
            </w:r>
            <w:r w:rsidRPr="00C16D23">
              <w:t xml:space="preserve"> Reference Entity.</w:t>
            </w:r>
          </w:p>
        </w:tc>
        <w:tc>
          <w:tcPr>
            <w:tcW w:w="1618" w:type="dxa"/>
            <w:gridSpan w:val="2"/>
            <w:tcBorders>
              <w:top w:val="nil"/>
              <w:bottom w:val="nil"/>
              <w:right w:val="nil"/>
            </w:tcBorders>
            <w:shd w:val="clear" w:color="auto" w:fill="auto"/>
          </w:tcPr>
          <w:p w:rsidR="0017135D" w:rsidRPr="00C16D23" w:rsidP="006172F3">
            <w:pPr>
              <w:pStyle w:val="CSManNum8pt"/>
              <w:rPr>
                <w:i/>
              </w:rPr>
            </w:pPr>
          </w:p>
        </w:tc>
        <w:tc>
          <w:tcPr>
            <w:tcW w:w="3318" w:type="dxa"/>
            <w:tcBorders>
              <w:top w:val="nil"/>
              <w:left w:val="nil"/>
              <w:bottom w:val="nil"/>
              <w:right w:val="nil"/>
            </w:tcBorders>
            <w:shd w:val="clear" w:color="auto" w:fill="auto"/>
          </w:tcPr>
          <w:p w:rsidR="0017135D" w:rsidRPr="00C16D23">
            <w:pPr>
              <w:pStyle w:val="CSManNum8pt"/>
              <w:rPr>
                <w:bCs/>
                <w:lang w:val="de-DE"/>
              </w:rPr>
            </w:pPr>
            <w:r w:rsidRPr="00C16D23">
              <w:rPr>
                <w:bCs/>
                <w:lang w:val="de-DE"/>
              </w:rPr>
              <w:t>(iii)</w:t>
            </w:r>
            <w:r w:rsidRPr="00C16D23">
              <w:rPr>
                <w:bCs/>
                <w:lang w:val="de-DE"/>
              </w:rPr>
              <w:tab/>
              <w:t xml:space="preserve">Für die Zwecke der vorstehenden Absätze (i) und (ii) </w:t>
            </w:r>
            <w:r w:rsidRPr="00792D61">
              <w:rPr>
                <w:b/>
                <w:bCs/>
                <w:lang w:val="de-DE"/>
              </w:rPr>
              <w:t>[</w:t>
            </w:r>
            <w:r w:rsidRPr="00C16D23">
              <w:rPr>
                <w:bCs/>
                <w:lang w:val="de-DE"/>
              </w:rPr>
              <w:t xml:space="preserve">einfügen, </w:t>
            </w:r>
            <w:r w:rsidRPr="006172F3">
              <w:rPr>
                <w:b/>
                <w:bCs/>
                <w:i/>
                <w:lang w:val="de-DE"/>
              </w:rPr>
              <w:t xml:space="preserve">falls "Verbindlichkeit mit mehreren Gläubigern" anwendbar ist: </w:t>
            </w:r>
            <w:r w:rsidRPr="00C16D23">
              <w:rPr>
                <w:bCs/>
                <w:lang w:val="de-DE"/>
              </w:rPr>
              <w:t>und der Definition "Verbindlichkeit mit Mehreren Gläubigern"</w:t>
            </w:r>
            <w:r w:rsidRPr="00792D61">
              <w:rPr>
                <w:b/>
                <w:bCs/>
                <w:lang w:val="de-DE"/>
              </w:rPr>
              <w:t>]</w:t>
            </w:r>
            <w:r w:rsidRPr="00C16D23">
              <w:rPr>
                <w:bCs/>
                <w:lang w:val="de-DE"/>
              </w:rPr>
              <w:t xml:space="preserve"> soll der Begriff "Verbindlichkeit" auch Zugrundeliegende Verbindlichkeiten einschliessen, bei welchen </w:t>
            </w:r>
            <w:r w:rsidRPr="00792D61">
              <w:rPr>
                <w:b/>
                <w:bCs/>
                <w:lang w:val="de-DE"/>
              </w:rPr>
              <w:t>[</w:t>
            </w:r>
            <w:r w:rsidRPr="006172F3">
              <w:rPr>
                <w:b/>
                <w:bCs/>
                <w:i/>
                <w:lang w:val="de-DE"/>
              </w:rPr>
              <w:t>falls ein Komplexes Produkt nur an einen Referenzschuldner gekoppelt ist, einfügen:</w:t>
            </w:r>
            <w:r w:rsidRPr="00C16D23">
              <w:rPr>
                <w:bCs/>
                <w:lang w:val="de-DE"/>
              </w:rPr>
              <w:t xml:space="preserve"> der</w:t>
            </w:r>
            <w:r w:rsidRPr="00792D61">
              <w:rPr>
                <w:b/>
                <w:bCs/>
                <w:lang w:val="de-DE"/>
              </w:rPr>
              <w:t>][</w:t>
            </w:r>
            <w:r w:rsidRPr="006172F3">
              <w:rPr>
                <w:b/>
                <w:bCs/>
                <w:i/>
                <w:lang w:val="de-DE"/>
              </w:rPr>
              <w:t>falls ein Korb anwendbar ist, einfügen:</w:t>
            </w:r>
            <w:r w:rsidRPr="00C16D23">
              <w:rPr>
                <w:bCs/>
                <w:lang w:val="de-DE"/>
              </w:rPr>
              <w:t xml:space="preserve"> ein</w:t>
            </w:r>
            <w:r w:rsidRPr="00792D61">
              <w:rPr>
                <w:b/>
                <w:bCs/>
                <w:lang w:val="de-DE"/>
              </w:rPr>
              <w:t>]</w:t>
            </w:r>
            <w:r w:rsidRPr="00C16D23">
              <w:rPr>
                <w:bCs/>
                <w:lang w:val="de-DE"/>
              </w:rPr>
              <w:t xml:space="preserve"> Referenzschuldner als Geber einer Garantie fungiert. Bei einer Garantie und einer Zugrundeliegenden Verbindlichkeit sind Bezugnahmen auf </w:t>
            </w:r>
            <w:r w:rsidRPr="00792D61">
              <w:rPr>
                <w:b/>
                <w:bCs/>
                <w:lang w:val="de-DE"/>
              </w:rPr>
              <w:t>[</w:t>
            </w:r>
            <w:r w:rsidRPr="00BD6E0D">
              <w:rPr>
                <w:b/>
                <w:bCs/>
                <w:i/>
                <w:lang w:val="de-DE"/>
              </w:rPr>
              <w:t>falls ein Komplexes Produkt nur an einen Referenzschuldner gekoppelt ist, einfügen:</w:t>
            </w:r>
            <w:r w:rsidRPr="00C16D23">
              <w:rPr>
                <w:bCs/>
                <w:lang w:val="de-DE"/>
              </w:rPr>
              <w:t xml:space="preserve"> den</w:t>
            </w:r>
            <w:r w:rsidRPr="00792D61">
              <w:rPr>
                <w:b/>
                <w:bCs/>
                <w:lang w:val="de-DE"/>
              </w:rPr>
              <w:t>][</w:t>
            </w:r>
            <w:r w:rsidRPr="006172F3">
              <w:rPr>
                <w:b/>
                <w:bCs/>
                <w:i/>
                <w:lang w:val="de-DE"/>
              </w:rPr>
              <w:t>falls ein Korb anwendbar ist oder bei Komplexen Produkten mit N</w:t>
            </w:r>
            <w:r w:rsidRPr="00BD6E0D">
              <w:rPr>
                <w:b/>
                <w:i/>
                <w:vertAlign w:val="superscript"/>
                <w:lang w:val="de-DE"/>
              </w:rPr>
              <w:t>th</w:t>
            </w:r>
            <w:r w:rsidRPr="006172F3">
              <w:rPr>
                <w:b/>
                <w:bCs/>
                <w:i/>
                <w:lang w:val="de-DE"/>
              </w:rPr>
              <w:t>-to-Default-Struktur, einfügen:</w:t>
            </w:r>
            <w:r w:rsidRPr="00C16D23">
              <w:rPr>
                <w:bCs/>
                <w:lang w:val="de-DE"/>
              </w:rPr>
              <w:t xml:space="preserve"> einen</w:t>
            </w:r>
            <w:r w:rsidRPr="00792D61">
              <w:rPr>
                <w:b/>
                <w:bCs/>
                <w:lang w:val="de-DE"/>
              </w:rPr>
              <w:t>]</w:t>
            </w:r>
            <w:r w:rsidRPr="00C16D23">
              <w:rPr>
                <w:bCs/>
                <w:lang w:val="de-DE"/>
              </w:rPr>
              <w:t xml:space="preserve"> Referenzschuldner in vorstehendem Absatz (i) als Bezugnahmen auf den Zugrundeliegenden Schuldner zu verstehen, während Bezugnahmen auf </w:t>
            </w:r>
            <w:r w:rsidRPr="00792D61">
              <w:rPr>
                <w:b/>
                <w:bCs/>
                <w:lang w:val="de-DE"/>
              </w:rPr>
              <w:t>[</w:t>
            </w:r>
            <w:r w:rsidRPr="006172F3">
              <w:rPr>
                <w:b/>
                <w:bCs/>
                <w:i/>
                <w:lang w:val="de-DE"/>
              </w:rPr>
              <w:t>falls ein Komplexes Produkt nur an einen Referenzschuldner gekoppelt ist, einfügen:</w:t>
            </w:r>
            <w:r w:rsidRPr="00C16D23">
              <w:rPr>
                <w:bCs/>
                <w:lang w:val="de-DE"/>
              </w:rPr>
              <w:t xml:space="preserve"> den</w:t>
            </w:r>
            <w:r w:rsidRPr="00792D61">
              <w:rPr>
                <w:b/>
                <w:bCs/>
                <w:lang w:val="de-DE"/>
              </w:rPr>
              <w:t>][</w:t>
            </w:r>
            <w:r w:rsidRPr="006172F3">
              <w:rPr>
                <w:b/>
                <w:bCs/>
                <w:i/>
                <w:lang w:val="de-DE"/>
              </w:rPr>
              <w:t>falls ein Korb anwendbar ist oder bei Komplexen Produkten mit N</w:t>
            </w:r>
            <w:r w:rsidRPr="00BD6E0D">
              <w:rPr>
                <w:b/>
                <w:i/>
                <w:vertAlign w:val="superscript"/>
                <w:lang w:val="de-DE"/>
              </w:rPr>
              <w:t>th</w:t>
            </w:r>
            <w:r w:rsidRPr="006172F3">
              <w:rPr>
                <w:b/>
                <w:bCs/>
                <w:i/>
                <w:lang w:val="de-DE"/>
              </w:rPr>
              <w:t>-to-Default-Struktur einfügen:</w:t>
            </w:r>
            <w:r w:rsidRPr="00C16D23">
              <w:rPr>
                <w:bCs/>
                <w:lang w:val="de-DE"/>
              </w:rPr>
              <w:t xml:space="preserve"> einen</w:t>
            </w:r>
            <w:r w:rsidRPr="00792D61">
              <w:rPr>
                <w:b/>
                <w:bCs/>
                <w:lang w:val="de-DE"/>
              </w:rPr>
              <w:t>]</w:t>
            </w:r>
            <w:r w:rsidRPr="00C16D23">
              <w:rPr>
                <w:bCs/>
                <w:lang w:val="de-DE"/>
              </w:rPr>
              <w:t xml:space="preserve"> Referenzschuldner in vorstehendem Absatz (ii) weiterhin als Bezugnahmen auf </w:t>
            </w:r>
            <w:r w:rsidRPr="00792D61">
              <w:rPr>
                <w:b/>
                <w:bCs/>
                <w:lang w:val="de-DE"/>
              </w:rPr>
              <w:t>[</w:t>
            </w:r>
            <w:r w:rsidRPr="006172F3">
              <w:rPr>
                <w:b/>
                <w:bCs/>
                <w:i/>
                <w:lang w:val="de-DE"/>
              </w:rPr>
              <w:t>falls ein Komplexes Produkt nur an einen Referenzschuldner gekoppelt ist, einfügen:</w:t>
            </w:r>
            <w:r w:rsidRPr="00C16D23">
              <w:rPr>
                <w:bCs/>
                <w:lang w:val="de-DE"/>
              </w:rPr>
              <w:t xml:space="preserve"> den</w:t>
            </w:r>
            <w:r w:rsidRPr="00792D61">
              <w:rPr>
                <w:b/>
                <w:bCs/>
                <w:lang w:val="de-DE"/>
              </w:rPr>
              <w:t>][</w:t>
            </w:r>
            <w:r w:rsidRPr="006172F3">
              <w:rPr>
                <w:b/>
                <w:bCs/>
                <w:i/>
                <w:lang w:val="de-DE"/>
              </w:rPr>
              <w:t>falls ein Korb anwendbar ist oder bei Komplexen Produkten mit N</w:t>
            </w:r>
            <w:r w:rsidRPr="00BD6E0D">
              <w:rPr>
                <w:b/>
                <w:i/>
                <w:vertAlign w:val="superscript"/>
                <w:lang w:val="de-DE"/>
              </w:rPr>
              <w:t>th</w:t>
            </w:r>
            <w:r w:rsidRPr="006172F3">
              <w:rPr>
                <w:b/>
                <w:bCs/>
                <w:i/>
                <w:lang w:val="de-DE"/>
              </w:rPr>
              <w:t>-to-Default-Struktur einfügen:</w:t>
            </w:r>
            <w:r w:rsidRPr="00C16D23">
              <w:rPr>
                <w:bCs/>
                <w:lang w:val="de-DE"/>
              </w:rPr>
              <w:t xml:space="preserve"> diesen</w:t>
            </w:r>
            <w:r w:rsidRPr="00792D61">
              <w:rPr>
                <w:b/>
                <w:bCs/>
                <w:lang w:val="de-DE"/>
              </w:rPr>
              <w:t>]</w:t>
            </w:r>
            <w:r w:rsidRPr="00C16D23">
              <w:rPr>
                <w:bCs/>
                <w:lang w:val="de-DE"/>
              </w:rPr>
              <w:t xml:space="preserve"> Referenzschuldner zu verstehen sind.</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6172F3">
            <w:pPr>
              <w:pStyle w:val="CSManNum8pt"/>
              <w:rPr>
                <w:lang w:val="de-DE"/>
              </w:rPr>
            </w:pPr>
          </w:p>
        </w:tc>
        <w:tc>
          <w:tcPr>
            <w:tcW w:w="2973" w:type="dxa"/>
            <w:tcBorders>
              <w:top w:val="nil"/>
              <w:left w:val="nil"/>
              <w:bottom w:val="nil"/>
            </w:tcBorders>
            <w:shd w:val="clear" w:color="auto" w:fill="auto"/>
          </w:tcPr>
          <w:p w:rsidR="0017135D" w:rsidRPr="00C16D23">
            <w:pPr>
              <w:pStyle w:val="CSManNum8pt"/>
            </w:pPr>
            <w:r w:rsidRPr="00C16D23">
              <w:t>(iv)</w:t>
            </w:r>
            <w:r w:rsidRPr="00C16D23">
              <w:tab/>
              <w:t>If an exchange has occurred, the determination as to whether one of the events described under paragraph (i) (A) to (E) has occurred will be based on a comparison of the terms of the Bond immediately prior to such exchange and the terms of the resulting obligations immediately following such exchange.</w:t>
            </w:r>
          </w:p>
        </w:tc>
        <w:tc>
          <w:tcPr>
            <w:tcW w:w="1618" w:type="dxa"/>
            <w:gridSpan w:val="2"/>
            <w:tcBorders>
              <w:top w:val="nil"/>
              <w:bottom w:val="nil"/>
              <w:right w:val="nil"/>
            </w:tcBorders>
            <w:shd w:val="clear" w:color="auto" w:fill="auto"/>
          </w:tcPr>
          <w:p w:rsidR="0017135D" w:rsidRPr="00C16D23" w:rsidP="006172F3">
            <w:pPr>
              <w:pStyle w:val="CSManNum8pt"/>
              <w:rPr>
                <w:i/>
              </w:rPr>
            </w:pPr>
          </w:p>
        </w:tc>
        <w:tc>
          <w:tcPr>
            <w:tcW w:w="3318" w:type="dxa"/>
            <w:tcBorders>
              <w:top w:val="nil"/>
              <w:left w:val="nil"/>
              <w:bottom w:val="nil"/>
              <w:right w:val="nil"/>
            </w:tcBorders>
            <w:shd w:val="clear" w:color="auto" w:fill="auto"/>
          </w:tcPr>
          <w:p w:rsidR="0017135D" w:rsidRPr="00C16D23" w:rsidP="006172F3">
            <w:pPr>
              <w:pStyle w:val="CSManNum8pt"/>
              <w:rPr>
                <w:bCs/>
                <w:lang w:val="de-DE"/>
              </w:rPr>
            </w:pPr>
            <w:r w:rsidRPr="00C16D23">
              <w:rPr>
                <w:bCs/>
                <w:lang w:val="de-DE"/>
              </w:rPr>
              <w:t>(iv)</w:t>
            </w:r>
            <w:r w:rsidRPr="00C16D23">
              <w:rPr>
                <w:bCs/>
                <w:lang w:val="de-DE"/>
              </w:rPr>
              <w:tab/>
              <w:t>Wurde ein Umtausch vorgenommen, so erfolgt die Feststellung, ob eines der in den Absätzen (i) (A) bis (E) beschriebenen Ereignisse eingetreten ist, auf der Grundlage eines Vergleichs der Bedingungen der Anleihe unmittelbar vor diesem Umtausch mit den Bedingungen der resultierenden Verbindlichkeiten unmittelbar nach dem Umtausch.</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6172F3">
            <w:pPr>
              <w:pStyle w:val="CSBody8ptbolditalics"/>
              <w:rPr>
                <w:lang w:val="de-DE"/>
              </w:rPr>
            </w:pPr>
          </w:p>
        </w:tc>
        <w:tc>
          <w:tcPr>
            <w:tcW w:w="2973" w:type="dxa"/>
            <w:tcBorders>
              <w:top w:val="nil"/>
              <w:left w:val="nil"/>
              <w:bottom w:val="nil"/>
            </w:tcBorders>
            <w:shd w:val="clear" w:color="auto" w:fill="auto"/>
          </w:tcPr>
          <w:p w:rsidR="0017135D" w:rsidRPr="00332193" w:rsidP="006172F3">
            <w:pPr>
              <w:pStyle w:val="CSBody8ptbolditalics"/>
            </w:pPr>
            <w:r w:rsidRPr="00792D61">
              <w:t>[</w:t>
            </w:r>
            <w:r w:rsidRPr="00332193">
              <w:t>insert if "Multiple Holder Obligation" is applicable:</w:t>
            </w:r>
          </w:p>
        </w:tc>
        <w:tc>
          <w:tcPr>
            <w:tcW w:w="1618" w:type="dxa"/>
            <w:gridSpan w:val="2"/>
            <w:tcBorders>
              <w:top w:val="nil"/>
              <w:bottom w:val="nil"/>
              <w:right w:val="nil"/>
            </w:tcBorders>
            <w:shd w:val="clear" w:color="auto" w:fill="auto"/>
          </w:tcPr>
          <w:p w:rsidR="0017135D" w:rsidRPr="00332193" w:rsidP="006172F3">
            <w:pPr>
              <w:pStyle w:val="CSBody8ptbolditalics"/>
            </w:pPr>
          </w:p>
        </w:tc>
        <w:tc>
          <w:tcPr>
            <w:tcW w:w="3318" w:type="dxa"/>
            <w:tcBorders>
              <w:top w:val="nil"/>
              <w:left w:val="nil"/>
              <w:bottom w:val="nil"/>
              <w:right w:val="nil"/>
            </w:tcBorders>
            <w:shd w:val="clear" w:color="auto" w:fill="auto"/>
          </w:tcPr>
          <w:p w:rsidR="0017135D" w:rsidRPr="00C16D23" w:rsidP="006172F3">
            <w:pPr>
              <w:pStyle w:val="CSBody8ptbolditalics"/>
              <w:rPr>
                <w:lang w:val="de-DE"/>
              </w:rPr>
            </w:pPr>
            <w:r w:rsidRPr="00792D61">
              <w:rPr>
                <w:lang w:val="de-DE"/>
              </w:rPr>
              <w:t>[</w:t>
            </w:r>
            <w:r w:rsidRPr="00C16D23">
              <w:rPr>
                <w:lang w:val="de-DE"/>
              </w:rPr>
              <w:t>falls "Verbindlichkeit mit Mehreren Gläubigern" anwendbar ist, einfügen:</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16D23" w:rsidP="006172F3">
            <w:pPr>
              <w:pStyle w:val="CSManNum8pt"/>
              <w:rPr>
                <w:lang w:val="de-DE"/>
              </w:rPr>
            </w:pPr>
          </w:p>
        </w:tc>
        <w:tc>
          <w:tcPr>
            <w:tcW w:w="2973" w:type="dxa"/>
            <w:tcBorders>
              <w:top w:val="nil"/>
              <w:left w:val="nil"/>
              <w:bottom w:val="nil"/>
            </w:tcBorders>
            <w:shd w:val="clear" w:color="auto" w:fill="auto"/>
          </w:tcPr>
          <w:p w:rsidR="0017135D" w:rsidRPr="00C16D23" w:rsidP="006172F3">
            <w:pPr>
              <w:pStyle w:val="CSManNum8pt"/>
            </w:pPr>
            <w:r w:rsidRPr="00C16D23">
              <w:t>(v)</w:t>
            </w:r>
            <w:r w:rsidRPr="00C16D23">
              <w:tab/>
            </w:r>
            <w:r>
              <w:rPr>
                <w:b/>
              </w:rPr>
              <w:t>[</w:t>
            </w:r>
            <w:r w:rsidRPr="003C6DF9">
              <w:t xml:space="preserve">To the extent that </w:t>
            </w:r>
            <w:r w:rsidR="003B00F3">
              <w:t>"</w:t>
            </w:r>
            <w:r w:rsidRPr="003C6DF9">
              <w:t>Multiple Holder Obligation</w:t>
            </w:r>
            <w:r w:rsidR="00BF7214">
              <w:t>"</w:t>
            </w:r>
            <w:r w:rsidRPr="003C6DF9">
              <w:t xml:space="preserve"> is applicable (see below under </w:t>
            </w:r>
            <w:r w:rsidR="003B00F3">
              <w:t>"</w:t>
            </w:r>
            <w:r w:rsidRPr="003C6DF9">
              <w:t>Multiple Holder Obligation</w:t>
            </w:r>
            <w:r w:rsidR="00BF7214">
              <w:t>"</w:t>
            </w:r>
            <w:r w:rsidRPr="003C6DF9">
              <w:t xml:space="preserve">) </w:t>
            </w:r>
            <w:r>
              <w:t>and notwithstanding</w:t>
            </w:r>
            <w:r>
              <w:rPr>
                <w:b/>
              </w:rPr>
              <w:t>]</w:t>
            </w:r>
            <w:r>
              <w:t xml:space="preserve"> </w:t>
            </w:r>
            <w:r>
              <w:rPr>
                <w:b/>
              </w:rPr>
              <w:t>[</w:t>
            </w:r>
            <w:r w:rsidRPr="00C16D23">
              <w:t>Notwithstanding</w:t>
            </w:r>
            <w:r>
              <w:rPr>
                <w:b/>
              </w:rPr>
              <w:t>]</w:t>
            </w:r>
            <w:r w:rsidRPr="00C16D23">
              <w:t xml:space="preserve"> anything to the contrary in this definition of "Restructuring", the occurrence of, agreement to or announcement of any of the events described in paragraph (i)(A) to (E) shall not be a Restructuring unless the Obligation with respect to any such events is a Multiple Holder Obligation.</w:t>
            </w:r>
            <w:r w:rsidRPr="00792D61">
              <w:rPr>
                <w:b/>
              </w:rPr>
              <w:t>]]</w:t>
            </w:r>
          </w:p>
        </w:tc>
        <w:tc>
          <w:tcPr>
            <w:tcW w:w="1618" w:type="dxa"/>
            <w:gridSpan w:val="2"/>
            <w:tcBorders>
              <w:top w:val="nil"/>
              <w:bottom w:val="nil"/>
              <w:right w:val="nil"/>
            </w:tcBorders>
            <w:shd w:val="clear" w:color="auto" w:fill="auto"/>
          </w:tcPr>
          <w:p w:rsidR="0017135D" w:rsidRPr="00C16D23" w:rsidP="006172F3">
            <w:pPr>
              <w:pStyle w:val="CSManNum8pt"/>
              <w:rPr>
                <w:i/>
              </w:rPr>
            </w:pPr>
          </w:p>
        </w:tc>
        <w:tc>
          <w:tcPr>
            <w:tcW w:w="3318" w:type="dxa"/>
            <w:tcBorders>
              <w:top w:val="nil"/>
              <w:left w:val="nil"/>
              <w:bottom w:val="nil"/>
              <w:right w:val="nil"/>
            </w:tcBorders>
            <w:shd w:val="clear" w:color="auto" w:fill="auto"/>
          </w:tcPr>
          <w:p w:rsidR="0017135D" w:rsidRPr="00C16D23">
            <w:pPr>
              <w:pStyle w:val="CSManNum8pt"/>
              <w:rPr>
                <w:bCs/>
                <w:lang w:val="de-DE"/>
              </w:rPr>
            </w:pPr>
            <w:r w:rsidRPr="00C16D23">
              <w:rPr>
                <w:bCs/>
                <w:lang w:val="de-DE"/>
              </w:rPr>
              <w:t>(v)</w:t>
            </w:r>
            <w:r w:rsidRPr="00C16D23">
              <w:rPr>
                <w:bCs/>
                <w:lang w:val="de-DE"/>
              </w:rPr>
              <w:tab/>
            </w:r>
            <w:r>
              <w:rPr>
                <w:b/>
                <w:bCs/>
                <w:lang w:val="de-DE"/>
              </w:rPr>
              <w:t>[</w:t>
            </w:r>
            <w:r w:rsidRPr="003C6DF9">
              <w:rPr>
                <w:bCs/>
                <w:lang w:val="de-DE"/>
              </w:rPr>
              <w:t xml:space="preserve">In dem Umfang wie </w:t>
            </w:r>
            <w:r w:rsidR="003B00F3">
              <w:rPr>
                <w:bCs/>
                <w:lang w:val="de-DE"/>
              </w:rPr>
              <w:t>"</w:t>
            </w:r>
            <w:r w:rsidRPr="003C6DF9">
              <w:rPr>
                <w:bCs/>
                <w:lang w:val="de-DE"/>
              </w:rPr>
              <w:t>Verbindlichkeit mit Mehreren Gläubigern</w:t>
            </w:r>
            <w:r w:rsidR="003B00F3">
              <w:rPr>
                <w:bCs/>
                <w:lang w:val="de-DE"/>
              </w:rPr>
              <w:t>"</w:t>
            </w:r>
            <w:r w:rsidRPr="003C6DF9">
              <w:rPr>
                <w:bCs/>
                <w:lang w:val="de-DE"/>
              </w:rPr>
              <w:t xml:space="preserve"> anwendbar ist (siehe nachfolgend unter </w:t>
            </w:r>
            <w:r w:rsidR="003B00F3">
              <w:rPr>
                <w:bCs/>
                <w:lang w:val="de-DE"/>
              </w:rPr>
              <w:t>"</w:t>
            </w:r>
            <w:r w:rsidRPr="003C6DF9">
              <w:rPr>
                <w:bCs/>
                <w:lang w:val="de-DE"/>
              </w:rPr>
              <w:t>Verbindlichkeit mit Mehreren Gläubigern</w:t>
            </w:r>
            <w:r w:rsidR="003B00F3">
              <w:rPr>
                <w:bCs/>
                <w:lang w:val="de-DE"/>
              </w:rPr>
              <w:t>"</w:t>
            </w:r>
            <w:r w:rsidRPr="003C6DF9">
              <w:rPr>
                <w:bCs/>
                <w:lang w:val="de-DE"/>
              </w:rPr>
              <w:t>) und ungeachtet</w:t>
            </w:r>
            <w:r>
              <w:rPr>
                <w:b/>
                <w:bCs/>
                <w:lang w:val="de-DE"/>
              </w:rPr>
              <w:t>]</w:t>
            </w:r>
            <w:r w:rsidRPr="003C6DF9">
              <w:rPr>
                <w:bCs/>
                <w:lang w:val="de-DE"/>
              </w:rPr>
              <w:t xml:space="preserve"> </w:t>
            </w:r>
            <w:r>
              <w:rPr>
                <w:b/>
                <w:bCs/>
                <w:lang w:val="de-DE"/>
              </w:rPr>
              <w:t>[</w:t>
            </w:r>
            <w:r w:rsidRPr="00C16D23">
              <w:rPr>
                <w:bCs/>
                <w:lang w:val="de-DE"/>
              </w:rPr>
              <w:t>Ungeachtet</w:t>
            </w:r>
            <w:r>
              <w:rPr>
                <w:b/>
                <w:bCs/>
                <w:lang w:val="de-DE"/>
              </w:rPr>
              <w:t>]</w:t>
            </w:r>
            <w:r w:rsidRPr="00C16D23">
              <w:rPr>
                <w:bCs/>
                <w:lang w:val="de-DE"/>
              </w:rPr>
              <w:t xml:space="preserve"> etwaiger gegenteiliger Bestimmungen in dieser Definition  "Restrukturierung" stellt der Eintritt oder die Bekanntgabe eines der in den Absätzen (i)(A) bis (E) beschriebenen Ereignisse oder die Zustimmung dazu keine Restrukturierung dar, wenn es sich bei der Verbindlichkeit im Zusammenhang mit einem dieser Ereignisse nicht um eine Verbindlichkeit mit Mehreren Gläubigern handelt.</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right w:val="nil"/>
            </w:tcBorders>
            <w:shd w:val="clear" w:color="auto" w:fill="auto"/>
          </w:tcPr>
          <w:p w:rsidR="0017135D" w:rsidRPr="00E1032F" w:rsidP="006172F3">
            <w:pPr>
              <w:pStyle w:val="CSBody8pt"/>
            </w:pPr>
            <w:r w:rsidRPr="00203289">
              <w:t xml:space="preserve">Multiple Holder Obligation </w:t>
            </w:r>
            <w:r>
              <w:rPr>
                <w:rStyle w:val="FootnoteReference"/>
              </w:rPr>
              <w:footnoteReference w:id="40"/>
            </w:r>
            <w:r>
              <w:fldChar w:fldCharType="begin"/>
            </w:r>
            <w:r>
              <w:instrText xml:space="preserve"> XE "</w:instrText>
            </w:r>
            <w:r w:rsidRPr="00013F46">
              <w:instrText>Multiple Holder Obligation</w:instrText>
            </w:r>
            <w:r>
              <w:instrText xml:space="preserve">" \f "EN" </w:instrText>
            </w:r>
            <w:r>
              <w:fldChar w:fldCharType="end"/>
            </w:r>
          </w:p>
        </w:tc>
        <w:tc>
          <w:tcPr>
            <w:tcW w:w="2973" w:type="dxa"/>
            <w:tcBorders>
              <w:top w:val="nil"/>
              <w:left w:val="nil"/>
            </w:tcBorders>
            <w:shd w:val="clear" w:color="auto" w:fill="auto"/>
          </w:tcPr>
          <w:p w:rsidR="0017135D" w:rsidRPr="00566BED" w:rsidP="006172F3">
            <w:pPr>
              <w:pStyle w:val="CSBody8pt"/>
            </w:pPr>
            <w:r w:rsidRPr="00792D61">
              <w:rPr>
                <w:b/>
              </w:rPr>
              <w:t>[</w:t>
            </w:r>
            <w:r w:rsidRPr="00EE6114">
              <w:t>Not applicable</w:t>
            </w:r>
            <w:r w:rsidRPr="00792D61">
              <w:rPr>
                <w:b/>
              </w:rPr>
              <w:t>]</w:t>
            </w:r>
            <w:r w:rsidRPr="00EE6114">
              <w:t xml:space="preserve"> </w:t>
            </w:r>
            <w:r w:rsidRPr="0040749F">
              <w:rPr>
                <w:b/>
              </w:rPr>
              <w:t>[</w:t>
            </w:r>
            <w:r w:rsidRPr="0040749F">
              <w:t>Applicable</w:t>
            </w:r>
            <w:r w:rsidRPr="0040749F">
              <w:rPr>
                <w:b/>
              </w:rPr>
              <w:t>]</w:t>
            </w:r>
            <w:r w:rsidRPr="00566BED">
              <w:t xml:space="preserve"> </w:t>
            </w:r>
            <w:r>
              <w:rPr>
                <w:b/>
              </w:rPr>
              <w:t>[</w:t>
            </w:r>
            <w:r w:rsidRPr="00566BED">
              <w:t xml:space="preserve">"Multiple Holder Obligation" shall (a) not be applicable with respect to the Obligation Category "Bonds" </w:t>
            </w:r>
            <w:r>
              <w:rPr>
                <w:b/>
              </w:rPr>
              <w:t>[</w:t>
            </w:r>
            <w:r>
              <w:rPr>
                <w:b/>
                <w:i/>
              </w:rPr>
              <w:t xml:space="preserve">in case of Credit-Linked Complex Products with LPN Reference Obligation, insert: </w:t>
            </w:r>
            <w:r w:rsidRPr="003C6DF9">
              <w:t>and with respect to any Reference Obligation (and any Underlying Loan)</w:t>
            </w:r>
            <w:r>
              <w:rPr>
                <w:b/>
              </w:rPr>
              <w:t>]</w:t>
            </w:r>
            <w:r>
              <w:t xml:space="preserve"> </w:t>
            </w:r>
            <w:r w:rsidRPr="00566BED">
              <w:t>and (b) be applicable with respect to the Obligation Category "Loans".</w:t>
            </w:r>
            <w:r w:rsidRPr="00792D61">
              <w:rPr>
                <w:b/>
              </w:rPr>
              <w:t>]</w:t>
            </w:r>
            <w:r>
              <w:rPr>
                <w:b/>
              </w:rPr>
              <w:t>]</w:t>
            </w:r>
          </w:p>
        </w:tc>
        <w:tc>
          <w:tcPr>
            <w:tcW w:w="1618" w:type="dxa"/>
            <w:gridSpan w:val="2"/>
            <w:tcBorders>
              <w:top w:val="nil"/>
              <w:right w:val="nil"/>
            </w:tcBorders>
            <w:shd w:val="clear" w:color="auto" w:fill="auto"/>
          </w:tcPr>
          <w:p w:rsidR="0017135D" w:rsidRPr="00566BED" w:rsidP="006172F3">
            <w:pPr>
              <w:pStyle w:val="CSBody8pt"/>
              <w:rPr>
                <w:lang w:val="de-DE"/>
              </w:rPr>
            </w:pPr>
            <w:r w:rsidRPr="001B2632">
              <w:t>Verbindli</w:t>
            </w:r>
            <w:r>
              <w:t xml:space="preserve">chkeit mit Mehreren Gläubigern </w:t>
            </w:r>
            <w:r>
              <w:rPr>
                <w:rStyle w:val="FootnoteReference"/>
              </w:rPr>
              <w:footnoteReference w:id="41"/>
            </w:r>
            <w:r>
              <w:fldChar w:fldCharType="begin"/>
            </w:r>
            <w:r>
              <w:instrText xml:space="preserve"> XE "</w:instrText>
            </w:r>
            <w:r w:rsidRPr="00B20D71">
              <w:instrText>Verbindlichkeit mit Mehreren Gläubigern</w:instrText>
            </w:r>
            <w:r>
              <w:instrText xml:space="preserve">" </w:instrText>
            </w:r>
            <w:r>
              <w:fldChar w:fldCharType="end"/>
            </w:r>
          </w:p>
        </w:tc>
        <w:tc>
          <w:tcPr>
            <w:tcW w:w="3318" w:type="dxa"/>
            <w:tcBorders>
              <w:top w:val="nil"/>
              <w:left w:val="nil"/>
              <w:right w:val="nil"/>
            </w:tcBorders>
            <w:shd w:val="clear" w:color="auto" w:fill="auto"/>
          </w:tcPr>
          <w:p w:rsidR="0017135D" w:rsidRPr="00566BED">
            <w:pPr>
              <w:pStyle w:val="CSBody8pt"/>
              <w:rPr>
                <w:bCs/>
                <w:lang w:val="de-DE"/>
              </w:rPr>
            </w:pPr>
            <w:r w:rsidRPr="009D08E0">
              <w:rPr>
                <w:b/>
                <w:lang w:val="de-DE"/>
              </w:rPr>
              <w:t>[</w:t>
            </w:r>
            <w:r w:rsidRPr="009D08E0">
              <w:rPr>
                <w:lang w:val="de-DE"/>
              </w:rPr>
              <w:t>Nicht anwendbar</w:t>
            </w:r>
            <w:r w:rsidRPr="009D08E0">
              <w:rPr>
                <w:b/>
                <w:lang w:val="de-DE"/>
              </w:rPr>
              <w:t>][</w:t>
            </w:r>
            <w:r w:rsidRPr="009D08E0">
              <w:rPr>
                <w:lang w:val="de-DE"/>
              </w:rPr>
              <w:t>Anwendbar</w:t>
            </w:r>
            <w:r w:rsidRPr="009D08E0">
              <w:rPr>
                <w:b/>
                <w:lang w:val="de-DE"/>
              </w:rPr>
              <w:t>] [</w:t>
            </w:r>
            <w:r w:rsidRPr="00566BED">
              <w:rPr>
                <w:bCs/>
                <w:lang w:val="de-DE"/>
              </w:rPr>
              <w:t xml:space="preserve">"Verbindlichkeit mit Mehreren Gläubigern" ist (a) nicht auf die Verbindlichkeitenkategorie "Anleihen" </w:t>
            </w:r>
            <w:r>
              <w:rPr>
                <w:b/>
                <w:bCs/>
                <w:lang w:val="de-DE"/>
              </w:rPr>
              <w:t>[</w:t>
            </w:r>
            <w:r>
              <w:rPr>
                <w:b/>
                <w:bCs/>
                <w:i/>
                <w:lang w:val="de-DE"/>
              </w:rPr>
              <w:t xml:space="preserve">bei Kreditbezogenen Komplexen Produkten mit LPN-Referenzverbindlichkeit einfügen: </w:t>
            </w:r>
            <w:r w:rsidRPr="003C6DF9">
              <w:rPr>
                <w:bCs/>
                <w:lang w:val="de-DE"/>
              </w:rPr>
              <w:t>und Referenzverbindlichkeiten (und Zugrundeliegende Darlehen)</w:t>
            </w:r>
            <w:r>
              <w:rPr>
                <w:b/>
                <w:bCs/>
                <w:lang w:val="de-DE"/>
              </w:rPr>
              <w:t>]</w:t>
            </w:r>
            <w:r>
              <w:rPr>
                <w:bCs/>
                <w:lang w:val="de-DE"/>
              </w:rPr>
              <w:t xml:space="preserve"> </w:t>
            </w:r>
            <w:r w:rsidRPr="00566BED">
              <w:rPr>
                <w:bCs/>
                <w:lang w:val="de-DE"/>
              </w:rPr>
              <w:t>anwendbar, aber (b) auf die Verbindlichkeitenkategorie "Darlehen" anwendbar.</w:t>
            </w:r>
            <w:r w:rsidRPr="00792D61">
              <w:rPr>
                <w:b/>
                <w:bCs/>
                <w:lang w:val="de-DE"/>
              </w:rPr>
              <w:t>]</w:t>
            </w:r>
            <w:r>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9F79B9" w:rsidP="006172F3">
            <w:pPr>
              <w:pStyle w:val="CSBody8pt"/>
            </w:pPr>
            <w:r w:rsidRPr="00792D61">
              <w:rPr>
                <w:b/>
              </w:rPr>
              <w:t>[</w:t>
            </w:r>
            <w:r w:rsidRPr="0040749F">
              <w:rPr>
                <w:b/>
                <w:i/>
              </w:rPr>
              <w:t xml:space="preserve">if Restructuring is applicable, insert: </w:t>
            </w:r>
            <w:r>
              <w:t>Mod R</w:t>
            </w:r>
            <w:r>
              <w:rPr>
                <w:rStyle w:val="FootnoteReference"/>
              </w:rPr>
              <w:footnoteReference w:id="42"/>
            </w:r>
          </w:p>
        </w:tc>
        <w:tc>
          <w:tcPr>
            <w:tcW w:w="2973" w:type="dxa"/>
            <w:tcBorders>
              <w:top w:val="nil"/>
              <w:left w:val="nil"/>
              <w:bottom w:val="nil"/>
            </w:tcBorders>
            <w:shd w:val="clear" w:color="auto" w:fill="auto"/>
          </w:tcPr>
          <w:p w:rsidR="0017135D" w:rsidRPr="004B543E" w:rsidP="004C1EBA">
            <w:pPr>
              <w:pStyle w:val="CSBody8pt"/>
            </w:pPr>
            <w:r w:rsidRPr="00792D61">
              <w:rPr>
                <w:b/>
              </w:rPr>
              <w:t>[</w:t>
            </w:r>
            <w:r w:rsidRPr="004B543E">
              <w:t>Applicable</w:t>
            </w:r>
            <w:r w:rsidRPr="00792D61">
              <w:rPr>
                <w:b/>
              </w:rPr>
              <w:t>]</w:t>
            </w:r>
            <w:r w:rsidRPr="004B543E">
              <w:t xml:space="preserve"> </w:t>
            </w:r>
            <w:r w:rsidRPr="00792D61">
              <w:rPr>
                <w:b/>
              </w:rPr>
              <w:t>[</w:t>
            </w:r>
            <w:r>
              <w:t>Not Applicable</w:t>
            </w:r>
            <w:r w:rsidRPr="00792D61">
              <w:rPr>
                <w:b/>
              </w:rPr>
              <w:t>]</w:t>
            </w:r>
            <w:r>
              <w:rPr>
                <w:b/>
              </w:rPr>
              <w:t>]</w:t>
            </w:r>
          </w:p>
        </w:tc>
        <w:tc>
          <w:tcPr>
            <w:tcW w:w="1618" w:type="dxa"/>
            <w:gridSpan w:val="2"/>
            <w:tcBorders>
              <w:top w:val="nil"/>
              <w:bottom w:val="nil"/>
              <w:right w:val="nil"/>
            </w:tcBorders>
            <w:shd w:val="clear" w:color="auto" w:fill="auto"/>
          </w:tcPr>
          <w:p w:rsidR="0017135D" w:rsidRPr="00566BED" w:rsidP="004C1EBA">
            <w:pPr>
              <w:pStyle w:val="CSBody8pt"/>
              <w:rPr>
                <w:lang w:val="de-DE"/>
              </w:rPr>
            </w:pPr>
            <w:r w:rsidRPr="00792D61">
              <w:rPr>
                <w:b/>
                <w:lang w:val="de-DE"/>
              </w:rPr>
              <w:t>[</w:t>
            </w:r>
            <w:r w:rsidRPr="0039019F">
              <w:rPr>
                <w:b/>
                <w:i/>
                <w:lang w:val="de-DE"/>
              </w:rPr>
              <w:t>falls Restrukturierung anwendbar ist, einfügen:</w:t>
            </w:r>
            <w:r>
              <w:rPr>
                <w:b/>
                <w:i/>
                <w:lang w:val="de-DE"/>
              </w:rPr>
              <w:t xml:space="preserve"> </w:t>
            </w:r>
            <w:r>
              <w:rPr>
                <w:lang w:val="de-DE"/>
              </w:rPr>
              <w:t>Mod R</w:t>
            </w:r>
            <w:r>
              <w:rPr>
                <w:rStyle w:val="FootnoteReference"/>
                <w:lang w:val="de-DE"/>
              </w:rPr>
              <w:footnoteReference w:id="43"/>
            </w:r>
          </w:p>
        </w:tc>
        <w:tc>
          <w:tcPr>
            <w:tcW w:w="3318" w:type="dxa"/>
            <w:tcBorders>
              <w:top w:val="nil"/>
              <w:left w:val="nil"/>
              <w:bottom w:val="nil"/>
              <w:right w:val="nil"/>
            </w:tcBorders>
            <w:shd w:val="clear" w:color="auto" w:fill="auto"/>
          </w:tcPr>
          <w:p w:rsidR="0017135D" w:rsidRPr="005D1BD2" w:rsidP="006172F3">
            <w:pPr>
              <w:pStyle w:val="CSBody8pt"/>
            </w:pPr>
            <w:r w:rsidRPr="00792D61">
              <w:rPr>
                <w:b/>
              </w:rPr>
              <w:t>[</w:t>
            </w:r>
            <w:r w:rsidRPr="005D1BD2">
              <w:t>Anwendbar</w:t>
            </w:r>
            <w:r w:rsidRPr="00792D61">
              <w:rPr>
                <w:b/>
              </w:rPr>
              <w:t>][</w:t>
            </w:r>
            <w:r>
              <w:t>Nicht Anwendbar</w:t>
            </w:r>
            <w:r w:rsidRPr="00792D61">
              <w:rPr>
                <w:b/>
              </w:rPr>
              <w:t>]</w:t>
            </w:r>
            <w:r>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P="006172F3">
            <w:pPr>
              <w:pStyle w:val="CSBody8pt"/>
            </w:pPr>
            <w:r w:rsidRPr="00792D61">
              <w:rPr>
                <w:b/>
              </w:rPr>
              <w:t>[</w:t>
            </w:r>
            <w:r w:rsidRPr="0040749F">
              <w:rPr>
                <w:b/>
                <w:i/>
              </w:rPr>
              <w:t xml:space="preserve">if Restructuring is applicable, insert: </w:t>
            </w:r>
            <w:r>
              <w:t>Mod Mod R</w:t>
            </w:r>
            <w:r>
              <w:rPr>
                <w:rStyle w:val="FootnoteReference"/>
              </w:rPr>
              <w:footnoteReference w:id="44"/>
            </w:r>
          </w:p>
        </w:tc>
        <w:tc>
          <w:tcPr>
            <w:tcW w:w="2973" w:type="dxa"/>
            <w:tcBorders>
              <w:top w:val="nil"/>
              <w:left w:val="nil"/>
              <w:bottom w:val="nil"/>
            </w:tcBorders>
            <w:shd w:val="clear" w:color="auto" w:fill="auto"/>
          </w:tcPr>
          <w:p w:rsidR="0017135D" w:rsidP="006172F3">
            <w:pPr>
              <w:pStyle w:val="CSBody8pt"/>
            </w:pPr>
            <w:r w:rsidRPr="00792D61">
              <w:rPr>
                <w:b/>
              </w:rPr>
              <w:t>[</w:t>
            </w:r>
            <w:r w:rsidRPr="004B543E">
              <w:t>Applicable</w:t>
            </w:r>
            <w:r w:rsidRPr="00792D61">
              <w:rPr>
                <w:b/>
              </w:rPr>
              <w:t>]</w:t>
            </w:r>
            <w:r>
              <w:t xml:space="preserve"> </w:t>
            </w:r>
            <w:r w:rsidRPr="00792D61">
              <w:rPr>
                <w:b/>
              </w:rPr>
              <w:t>[</w:t>
            </w:r>
            <w:r>
              <w:t>Not Applicable</w:t>
            </w:r>
            <w:r w:rsidRPr="00792D61">
              <w:rPr>
                <w:b/>
              </w:rPr>
              <w:t>]</w:t>
            </w:r>
            <w:r>
              <w:rPr>
                <w:b/>
              </w:rPr>
              <w:t>]</w:t>
            </w:r>
          </w:p>
        </w:tc>
        <w:tc>
          <w:tcPr>
            <w:tcW w:w="1618" w:type="dxa"/>
            <w:gridSpan w:val="2"/>
            <w:tcBorders>
              <w:top w:val="nil"/>
              <w:bottom w:val="nil"/>
              <w:right w:val="nil"/>
            </w:tcBorders>
            <w:shd w:val="clear" w:color="auto" w:fill="auto"/>
          </w:tcPr>
          <w:p w:rsidR="0017135D" w:rsidRPr="00566BED" w:rsidP="006172F3">
            <w:pPr>
              <w:pStyle w:val="CSBody8pt"/>
              <w:rPr>
                <w:lang w:val="de-DE"/>
              </w:rPr>
            </w:pPr>
            <w:r w:rsidRPr="00792D61">
              <w:rPr>
                <w:b/>
                <w:lang w:val="de-DE"/>
              </w:rPr>
              <w:t>[</w:t>
            </w:r>
            <w:r w:rsidRPr="0039019F">
              <w:rPr>
                <w:b/>
                <w:i/>
                <w:lang w:val="de-DE"/>
              </w:rPr>
              <w:t>falls Restrukturierung anwendbar ist, einfügen:</w:t>
            </w:r>
            <w:r>
              <w:rPr>
                <w:lang w:val="de-DE"/>
              </w:rPr>
              <w:t xml:space="preserve"> Mod Mod R</w:t>
            </w:r>
            <w:r>
              <w:rPr>
                <w:rStyle w:val="FootnoteReference"/>
                <w:lang w:val="de-DE"/>
              </w:rPr>
              <w:footnoteReference w:id="45"/>
            </w:r>
          </w:p>
        </w:tc>
        <w:tc>
          <w:tcPr>
            <w:tcW w:w="3318" w:type="dxa"/>
            <w:tcBorders>
              <w:top w:val="nil"/>
              <w:left w:val="nil"/>
              <w:bottom w:val="nil"/>
              <w:right w:val="nil"/>
            </w:tcBorders>
            <w:shd w:val="clear" w:color="auto" w:fill="auto"/>
          </w:tcPr>
          <w:p w:rsidR="0017135D" w:rsidP="004C1EBA">
            <w:pPr>
              <w:pStyle w:val="CSBody8pt"/>
            </w:pPr>
            <w:r w:rsidRPr="00792D61">
              <w:rPr>
                <w:b/>
              </w:rPr>
              <w:t>[</w:t>
            </w:r>
            <w:r w:rsidRPr="005D1BD2">
              <w:t>Anwendbar</w:t>
            </w:r>
            <w:r w:rsidRPr="00792D61">
              <w:rPr>
                <w:b/>
              </w:rPr>
              <w:t>][</w:t>
            </w:r>
            <w:r>
              <w:t>Nicht Anwendbar</w:t>
            </w:r>
            <w:r w:rsidRPr="00792D61">
              <w:rPr>
                <w:b/>
              </w:rPr>
              <w:t>]</w:t>
            </w:r>
            <w:r>
              <w:rPr>
                <w:b/>
              </w:rPr>
              <w:t>]</w:t>
            </w:r>
          </w:p>
        </w:tc>
      </w:tr>
      <w:tr w:rsidTr="00BD6E0D">
        <w:tblPrEx>
          <w:tblW w:w="4999" w:type="pct"/>
          <w:tblLayout w:type="fixed"/>
          <w:tblCellMar>
            <w:left w:w="115" w:type="dxa"/>
            <w:right w:w="115" w:type="dxa"/>
          </w:tblCellMar>
          <w:tblLook w:val="04A0"/>
        </w:tblPrEx>
        <w:tc>
          <w:tcPr>
            <w:tcW w:w="1958" w:type="dxa"/>
            <w:gridSpan w:val="4"/>
            <w:vMerge w:val="restart"/>
            <w:tcBorders>
              <w:top w:val="nil"/>
              <w:left w:val="nil"/>
              <w:right w:val="nil"/>
            </w:tcBorders>
            <w:shd w:val="clear" w:color="auto" w:fill="auto"/>
          </w:tcPr>
          <w:p w:rsidR="0017135D" w:rsidRPr="00203289" w:rsidP="006172F3">
            <w:pPr>
              <w:pStyle w:val="CSBody8pt"/>
              <w:rPr>
                <w:lang w:val="de-DE"/>
              </w:rPr>
            </w:pPr>
            <w:r w:rsidRPr="00203289">
              <w:rPr>
                <w:lang w:val="de-DE"/>
              </w:rPr>
              <w:t>Obligation Category</w:t>
            </w:r>
            <w:r>
              <w:rPr>
                <w:lang w:val="de-DE"/>
              </w:rPr>
              <w:fldChar w:fldCharType="begin"/>
            </w:r>
            <w:r>
              <w:instrText xml:space="preserve"> XE "</w:instrText>
            </w:r>
            <w:r w:rsidRPr="00341949">
              <w:rPr>
                <w:lang w:val="de-DE"/>
              </w:rPr>
              <w:instrText>Obligation Category</w:instrText>
            </w:r>
            <w:r>
              <w:instrText xml:space="preserve">" \f "EN" </w:instrText>
            </w:r>
            <w:r>
              <w:rPr>
                <w:lang w:val="de-DE"/>
              </w:rPr>
              <w:fldChar w:fldCharType="end"/>
            </w:r>
          </w:p>
        </w:tc>
        <w:tc>
          <w:tcPr>
            <w:tcW w:w="2973" w:type="dxa"/>
            <w:tcBorders>
              <w:top w:val="nil"/>
              <w:left w:val="nil"/>
              <w:bottom w:val="nil"/>
            </w:tcBorders>
            <w:shd w:val="clear" w:color="auto" w:fill="auto"/>
          </w:tcPr>
          <w:p w:rsidR="0017135D" w:rsidRPr="00CF2405" w:rsidP="006172F3">
            <w:pPr>
              <w:pStyle w:val="CSBody8ptbolditalics"/>
            </w:pPr>
            <w:r w:rsidRPr="00792D61">
              <w:t>[</w:t>
            </w:r>
            <w:r w:rsidRPr="00CF2405">
              <w:t>delete Obligation Categories which are not applicable for relevant Transaction Type, in accordance with the Settlement Matrix</w:t>
            </w:r>
            <w:r w:rsidRPr="00792D61">
              <w:t>]</w:t>
            </w:r>
          </w:p>
        </w:tc>
        <w:tc>
          <w:tcPr>
            <w:tcW w:w="1618" w:type="dxa"/>
            <w:gridSpan w:val="2"/>
            <w:tcBorders>
              <w:top w:val="nil"/>
              <w:bottom w:val="nil"/>
              <w:right w:val="nil"/>
            </w:tcBorders>
            <w:shd w:val="clear" w:color="auto" w:fill="auto"/>
          </w:tcPr>
          <w:p w:rsidR="0017135D" w:rsidRPr="006172F3" w:rsidP="00F134DE">
            <w:pPr>
              <w:pStyle w:val="CSBody8pt"/>
            </w:pPr>
            <w:r w:rsidRPr="006172F3">
              <w:t>Verbindlichkeitenkategorie</w:t>
            </w:r>
            <w:r>
              <w:fldChar w:fldCharType="begin"/>
            </w:r>
            <w:r>
              <w:instrText xml:space="preserve"> XE "</w:instrText>
            </w:r>
            <w:r w:rsidRPr="002715E5">
              <w:instrText>Verbindlichkeitenkategorie</w:instrText>
            </w:r>
            <w:r>
              <w:instrText xml:space="preserve">" </w:instrText>
            </w:r>
            <w:r>
              <w:fldChar w:fldCharType="end"/>
            </w:r>
          </w:p>
        </w:tc>
        <w:tc>
          <w:tcPr>
            <w:tcW w:w="3318" w:type="dxa"/>
            <w:tcBorders>
              <w:top w:val="nil"/>
              <w:left w:val="nil"/>
              <w:bottom w:val="nil"/>
              <w:right w:val="nil"/>
            </w:tcBorders>
            <w:shd w:val="clear" w:color="auto" w:fill="auto"/>
          </w:tcPr>
          <w:p w:rsidR="0017135D" w:rsidRPr="00CF2405" w:rsidP="006172F3">
            <w:pPr>
              <w:pStyle w:val="CSBody8ptbolditalics"/>
              <w:rPr>
                <w:lang w:val="de-DE"/>
              </w:rPr>
            </w:pPr>
            <w:r w:rsidRPr="00792D61">
              <w:rPr>
                <w:lang w:val="de-DE"/>
              </w:rPr>
              <w:t>[</w:t>
            </w:r>
            <w:r w:rsidRPr="00CF2405">
              <w:rPr>
                <w:lang w:val="de-DE"/>
              </w:rPr>
              <w:t>Verbindlichkeitenkategorien, die für den betreffenden Transaktionstyp nicht anwendbar sind, gemäss der Settlement Matrix streichen</w:t>
            </w:r>
            <w:r w:rsidRPr="00792D61">
              <w:rPr>
                <w:lang w:val="de-DE"/>
              </w:rPr>
              <w:t>]</w:t>
            </w:r>
          </w:p>
        </w:tc>
      </w:tr>
      <w:tr w:rsidTr="00BD6E0D">
        <w:tblPrEx>
          <w:tblW w:w="4999" w:type="pct"/>
          <w:tblLayout w:type="fixed"/>
          <w:tblCellMar>
            <w:left w:w="115" w:type="dxa"/>
            <w:right w:w="115" w:type="dxa"/>
          </w:tblCellMar>
          <w:tblLook w:val="04A0"/>
        </w:tblPrEx>
        <w:tc>
          <w:tcPr>
            <w:tcW w:w="1958" w:type="dxa"/>
            <w:gridSpan w:val="4"/>
            <w:vMerge/>
            <w:tcBorders>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P="006172F3">
            <w:pPr>
              <w:pStyle w:val="CSBody8pt"/>
            </w:pPr>
            <w:r w:rsidRPr="00792D61">
              <w:rPr>
                <w:b/>
              </w:rPr>
              <w:t>[</w:t>
            </w:r>
            <w:r>
              <w:t>Payment</w:t>
            </w:r>
            <w:r w:rsidRPr="00792D61">
              <w:rPr>
                <w:b/>
              </w:rPr>
              <w:t>]</w:t>
            </w:r>
          </w:p>
          <w:p w:rsidR="0017135D" w:rsidP="006172F3">
            <w:pPr>
              <w:pStyle w:val="CSBody8pt"/>
            </w:pPr>
            <w:r w:rsidRPr="00792D61">
              <w:rPr>
                <w:b/>
              </w:rPr>
              <w:t>[</w:t>
            </w:r>
            <w:r>
              <w:t>Borrowed Money</w:t>
            </w:r>
            <w:r w:rsidRPr="00792D61">
              <w:rPr>
                <w:b/>
              </w:rPr>
              <w:t>]</w:t>
            </w:r>
          </w:p>
          <w:p w:rsidR="0017135D" w:rsidP="006172F3">
            <w:pPr>
              <w:pStyle w:val="CSBody8pt"/>
            </w:pPr>
            <w:r w:rsidRPr="00792D61">
              <w:rPr>
                <w:b/>
              </w:rPr>
              <w:t>[</w:t>
            </w:r>
            <w:r>
              <w:t>Reference Obligation Only</w:t>
            </w:r>
            <w:r w:rsidRPr="00792D61">
              <w:rPr>
                <w:b/>
              </w:rPr>
              <w:t>]</w:t>
            </w:r>
          </w:p>
          <w:p w:rsidR="0017135D" w:rsidP="006172F3">
            <w:pPr>
              <w:pStyle w:val="CSBody8pt"/>
            </w:pPr>
            <w:r w:rsidRPr="00792D61">
              <w:rPr>
                <w:b/>
              </w:rPr>
              <w:t>[</w:t>
            </w:r>
            <w:r>
              <w:t>Bond</w:t>
            </w:r>
            <w:r w:rsidRPr="00792D61">
              <w:rPr>
                <w:b/>
              </w:rPr>
              <w:t>]</w:t>
            </w:r>
          </w:p>
          <w:p w:rsidR="0017135D" w:rsidP="006172F3">
            <w:pPr>
              <w:pStyle w:val="CSBody8pt"/>
            </w:pPr>
            <w:r w:rsidRPr="00792D61">
              <w:rPr>
                <w:b/>
              </w:rPr>
              <w:t>[</w:t>
            </w:r>
            <w:r>
              <w:t>Loan</w:t>
            </w:r>
            <w:r w:rsidRPr="00792D61">
              <w:rPr>
                <w:b/>
              </w:rPr>
              <w:t>]</w:t>
            </w:r>
          </w:p>
          <w:p w:rsidR="0017135D" w:rsidRPr="00CF2405" w:rsidP="006172F3">
            <w:pPr>
              <w:pStyle w:val="CSBody8pt"/>
            </w:pPr>
            <w:r w:rsidRPr="00792D61">
              <w:rPr>
                <w:b/>
              </w:rPr>
              <w:t>[</w:t>
            </w:r>
            <w:r>
              <w:t>Bond or Loan</w:t>
            </w:r>
            <w:r w:rsidRPr="00792D61">
              <w:rPr>
                <w:b/>
              </w:rPr>
              <w:t>]</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CF2405" w:rsidP="006172F3">
            <w:pPr>
              <w:pStyle w:val="CSBody8pt"/>
              <w:rPr>
                <w:bCs/>
                <w:lang w:val="de-DE"/>
              </w:rPr>
            </w:pPr>
            <w:r w:rsidRPr="00792D61">
              <w:rPr>
                <w:b/>
                <w:bCs/>
                <w:lang w:val="de-DE"/>
              </w:rPr>
              <w:t>[</w:t>
            </w:r>
            <w:r w:rsidRPr="00CF2405">
              <w:rPr>
                <w:bCs/>
                <w:lang w:val="de-DE"/>
              </w:rPr>
              <w:t>Zahlung</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Aufgenommene Gelder</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Nur Referenzverbindlichkeit</w:t>
            </w:r>
            <w:r w:rsidRPr="00792D61">
              <w:rPr>
                <w:b/>
                <w:bCs/>
                <w:lang w:val="de-DE"/>
              </w:rPr>
              <w:t>]</w:t>
            </w:r>
          </w:p>
          <w:p w:rsidR="0017135D" w:rsidRPr="001D022D" w:rsidP="006172F3">
            <w:pPr>
              <w:pStyle w:val="CSBody8pt"/>
              <w:rPr>
                <w:bCs/>
                <w:lang w:val="de-DE"/>
              </w:rPr>
            </w:pPr>
            <w:r w:rsidRPr="00792D61">
              <w:rPr>
                <w:b/>
                <w:bCs/>
                <w:lang w:val="de-DE"/>
              </w:rPr>
              <w:t>[</w:t>
            </w:r>
            <w:r w:rsidRPr="001D022D">
              <w:rPr>
                <w:bCs/>
                <w:lang w:val="de-DE"/>
              </w:rPr>
              <w:t>Anleihe</w:t>
            </w:r>
            <w:r w:rsidRPr="00792D61">
              <w:rPr>
                <w:b/>
                <w:bCs/>
                <w:lang w:val="de-DE"/>
              </w:rPr>
              <w:t>]</w:t>
            </w:r>
          </w:p>
          <w:p w:rsidR="0017135D" w:rsidRPr="001D022D" w:rsidP="006172F3">
            <w:pPr>
              <w:pStyle w:val="CSBody8pt"/>
              <w:rPr>
                <w:bCs/>
                <w:lang w:val="de-DE"/>
              </w:rPr>
            </w:pPr>
            <w:r w:rsidRPr="00792D61">
              <w:rPr>
                <w:b/>
                <w:bCs/>
                <w:lang w:val="de-DE"/>
              </w:rPr>
              <w:t>[</w:t>
            </w:r>
            <w:r w:rsidRPr="001D022D">
              <w:rPr>
                <w:bCs/>
                <w:lang w:val="de-DE"/>
              </w:rPr>
              <w:t>Darlehen</w:t>
            </w:r>
            <w:r w:rsidRPr="00792D61">
              <w:rPr>
                <w:b/>
                <w:bCs/>
                <w:lang w:val="de-DE"/>
              </w:rPr>
              <w:t>]</w:t>
            </w:r>
          </w:p>
          <w:p w:rsidR="0017135D" w:rsidRPr="001D022D" w:rsidP="006172F3">
            <w:pPr>
              <w:pStyle w:val="CSBody8pt"/>
              <w:rPr>
                <w:bCs/>
                <w:lang w:val="de-DE"/>
              </w:rPr>
            </w:pPr>
            <w:r w:rsidRPr="00792D61">
              <w:rPr>
                <w:b/>
                <w:bCs/>
                <w:lang w:val="de-DE"/>
              </w:rPr>
              <w:t>[</w:t>
            </w:r>
            <w:r w:rsidRPr="001D022D">
              <w:rPr>
                <w:bCs/>
                <w:lang w:val="de-DE"/>
              </w:rPr>
              <w:t>Anleihe oder Darlehen</w:t>
            </w:r>
            <w:r w:rsidRPr="00792D61">
              <w:rPr>
                <w:b/>
                <w:bCs/>
                <w:lang w:val="de-DE"/>
              </w:rPr>
              <w:t>]</w:t>
            </w:r>
          </w:p>
        </w:tc>
      </w:tr>
      <w:tr w:rsidTr="00BD6E0D">
        <w:tblPrEx>
          <w:tblW w:w="4999" w:type="pct"/>
          <w:tblLayout w:type="fixed"/>
          <w:tblCellMar>
            <w:left w:w="115" w:type="dxa"/>
            <w:right w:w="115" w:type="dxa"/>
          </w:tblCellMar>
          <w:tblLook w:val="04A0"/>
        </w:tblPrEx>
        <w:trPr>
          <w:trHeight w:val="2597"/>
        </w:trPr>
        <w:tc>
          <w:tcPr>
            <w:tcW w:w="1958" w:type="dxa"/>
            <w:gridSpan w:val="4"/>
            <w:tcBorders>
              <w:top w:val="nil"/>
              <w:left w:val="nil"/>
              <w:right w:val="nil"/>
            </w:tcBorders>
            <w:shd w:val="clear" w:color="auto" w:fill="auto"/>
          </w:tcPr>
          <w:p w:rsidR="0017135D" w:rsidRPr="000B1F4C" w:rsidP="006172F3">
            <w:pPr>
              <w:pStyle w:val="CSBody8ptbolditalics"/>
            </w:pPr>
            <w:r w:rsidRPr="00792D61">
              <w:t>[</w:t>
            </w:r>
            <w:r w:rsidRPr="000B1F4C">
              <w:t xml:space="preserve">in the case of Excluded Obligations, insert: </w:t>
            </w:r>
          </w:p>
          <w:p w:rsidR="0017135D" w:rsidRPr="000B1F4C" w:rsidP="006172F3">
            <w:pPr>
              <w:pStyle w:val="CSBody8pt"/>
            </w:pPr>
            <w:r w:rsidRPr="00203289">
              <w:t>Excluded Obligation</w:t>
            </w:r>
            <w:r w:rsidRPr="00792D61">
              <w:rPr>
                <w:b/>
              </w:rPr>
              <w:t>[</w:t>
            </w:r>
            <w:r w:rsidRPr="00203289">
              <w:t>s</w:t>
            </w:r>
            <w:r w:rsidRPr="00792D61">
              <w:rPr>
                <w:b/>
              </w:rPr>
              <w:t>]</w:t>
            </w:r>
            <w:r>
              <w:fldChar w:fldCharType="begin"/>
            </w:r>
            <w:r>
              <w:instrText xml:space="preserve"> XE "</w:instrText>
            </w:r>
            <w:r w:rsidRPr="00845CAB">
              <w:instrText>Excluded Obligation</w:instrText>
            </w:r>
            <w:r w:rsidRPr="00792D61">
              <w:rPr>
                <w:b/>
              </w:rPr>
              <w:instrText>[</w:instrText>
            </w:r>
            <w:r w:rsidRPr="00845CAB">
              <w:instrText>s</w:instrText>
            </w:r>
            <w:r w:rsidRPr="00792D61">
              <w:rPr>
                <w:b/>
              </w:rPr>
              <w:instrText>]</w:instrText>
            </w:r>
            <w:r>
              <w:instrText xml:space="preserve">" \f "EN" </w:instrText>
            </w:r>
            <w:r>
              <w:fldChar w:fldCharType="end"/>
            </w:r>
          </w:p>
        </w:tc>
        <w:tc>
          <w:tcPr>
            <w:tcW w:w="2973" w:type="dxa"/>
            <w:tcBorders>
              <w:top w:val="nil"/>
              <w:left w:val="nil"/>
            </w:tcBorders>
            <w:shd w:val="clear" w:color="auto" w:fill="auto"/>
          </w:tcPr>
          <w:p w:rsidR="0017135D" w:rsidRPr="00CF2405" w:rsidP="006172F3">
            <w:pPr>
              <w:pStyle w:val="CSBody8pt"/>
            </w:pPr>
            <w:r w:rsidRPr="00792D61">
              <w:rPr>
                <w:b/>
              </w:rPr>
              <w:t>[</w:t>
            </w:r>
            <w:r w:rsidRPr="00CF2405">
              <w:t>(a)</w:t>
            </w:r>
            <w:r w:rsidRPr="00792D61">
              <w:rPr>
                <w:b/>
              </w:rPr>
              <w:t>]</w:t>
            </w:r>
            <w:r w:rsidRPr="00CF2405">
              <w:t xml:space="preserve"> the following obligation</w:t>
            </w:r>
            <w:r w:rsidRPr="00792D61">
              <w:rPr>
                <w:b/>
              </w:rPr>
              <w:t>[</w:t>
            </w:r>
            <w:r w:rsidRPr="00CF2405">
              <w:t>s</w:t>
            </w:r>
            <w:r w:rsidRPr="00792D61">
              <w:rPr>
                <w:b/>
              </w:rPr>
              <w:t>]</w:t>
            </w:r>
            <w:r w:rsidRPr="00CF2405">
              <w:t xml:space="preserve"> of the </w:t>
            </w:r>
            <w:r w:rsidRPr="00792D61">
              <w:rPr>
                <w:b/>
              </w:rPr>
              <w:t>[</w:t>
            </w:r>
            <w:r w:rsidRPr="00CF2405">
              <w:t>relevant</w:t>
            </w:r>
            <w:r w:rsidRPr="00792D61">
              <w:rPr>
                <w:b/>
              </w:rPr>
              <w:t>]</w:t>
            </w:r>
            <w:r w:rsidRPr="00CF2405">
              <w:t xml:space="preserve"> Reference Entity shall be </w:t>
            </w:r>
            <w:r w:rsidRPr="00792D61">
              <w:rPr>
                <w:b/>
              </w:rPr>
              <w:t>[</w:t>
            </w:r>
            <w:r w:rsidRPr="00CF2405">
              <w:t>an</w:t>
            </w:r>
            <w:r w:rsidRPr="00792D61">
              <w:rPr>
                <w:b/>
              </w:rPr>
              <w:t>]</w:t>
            </w:r>
            <w:r w:rsidRPr="00CF2405">
              <w:t xml:space="preserve"> Excluded Obligation</w:t>
            </w:r>
            <w:r w:rsidRPr="00792D61">
              <w:rPr>
                <w:b/>
              </w:rPr>
              <w:t>[</w:t>
            </w:r>
            <w:r w:rsidRPr="00CF2405">
              <w:t>s</w:t>
            </w:r>
            <w:r w:rsidRPr="00792D61">
              <w:rPr>
                <w:b/>
              </w:rPr>
              <w:t>]</w:t>
            </w:r>
            <w:r w:rsidRPr="00CF2405">
              <w:t xml:space="preserve"> </w:t>
            </w:r>
            <w:r w:rsidRPr="00792D61">
              <w:rPr>
                <w:b/>
              </w:rPr>
              <w:t>[</w:t>
            </w:r>
            <w:r w:rsidRPr="00CF2405">
              <w:t>with respect to such Reference Entity</w:t>
            </w:r>
            <w:r w:rsidRPr="00792D61">
              <w:rPr>
                <w:b/>
              </w:rPr>
              <w:t>]</w:t>
            </w:r>
            <w:r w:rsidRPr="00CF2405">
              <w:t>:</w:t>
            </w:r>
          </w:p>
        </w:tc>
        <w:tc>
          <w:tcPr>
            <w:tcW w:w="1618" w:type="dxa"/>
            <w:gridSpan w:val="2"/>
            <w:tcBorders>
              <w:top w:val="nil"/>
              <w:right w:val="nil"/>
            </w:tcBorders>
            <w:shd w:val="clear" w:color="auto" w:fill="auto"/>
          </w:tcPr>
          <w:p w:rsidR="0017135D" w:rsidRPr="00CF2405" w:rsidP="00F134DE">
            <w:pPr>
              <w:pStyle w:val="CSBody8ptbolditalics"/>
              <w:rPr>
                <w:lang w:val="de-DE"/>
              </w:rPr>
            </w:pPr>
            <w:r w:rsidRPr="00792D61">
              <w:rPr>
                <w:lang w:val="de-DE"/>
              </w:rPr>
              <w:t>[</w:t>
            </w:r>
            <w:r w:rsidRPr="00CF2405">
              <w:rPr>
                <w:lang w:val="de-DE"/>
              </w:rPr>
              <w:t xml:space="preserve">bei Ausgenommenen Verbindlichkeiten einfügen: </w:t>
            </w:r>
          </w:p>
          <w:p w:rsidR="0017135D" w:rsidRPr="00CF2405" w:rsidP="00F134DE">
            <w:pPr>
              <w:pStyle w:val="CSBody8pt"/>
              <w:rPr>
                <w:lang w:val="de-DE"/>
              </w:rPr>
            </w:pPr>
            <w:r w:rsidRPr="0004588B">
              <w:rPr>
                <w:lang w:val="de-DE"/>
              </w:rPr>
              <w:t>Ausgenommene Verbindlichkeit</w:t>
            </w:r>
            <w:r w:rsidRPr="00792D61">
              <w:rPr>
                <w:b/>
                <w:lang w:val="de-DE"/>
              </w:rPr>
              <w:t>[</w:t>
            </w:r>
            <w:r w:rsidRPr="0004588B">
              <w:rPr>
                <w:lang w:val="de-DE"/>
              </w:rPr>
              <w:t>en</w:t>
            </w:r>
            <w:r w:rsidRPr="00792D61">
              <w:rPr>
                <w:b/>
                <w:lang w:val="de-DE"/>
              </w:rPr>
              <w:t>]</w:t>
            </w:r>
            <w:r>
              <w:fldChar w:fldCharType="begin"/>
            </w:r>
            <w:r w:rsidRPr="0004588B">
              <w:rPr>
                <w:lang w:val="de-DE"/>
              </w:rPr>
              <w:instrText xml:space="preserve"> XE "Ausgenommene Verbindlichkeit</w:instrText>
            </w:r>
            <w:r w:rsidRPr="00792D61">
              <w:rPr>
                <w:b/>
                <w:lang w:val="de-DE"/>
              </w:rPr>
              <w:instrText>[</w:instrText>
            </w:r>
            <w:r w:rsidRPr="0004588B">
              <w:rPr>
                <w:lang w:val="de-DE"/>
              </w:rPr>
              <w:instrText>en</w:instrText>
            </w:r>
            <w:r w:rsidRPr="00792D61">
              <w:rPr>
                <w:b/>
                <w:lang w:val="de-DE"/>
              </w:rPr>
              <w:instrText>]</w:instrText>
            </w:r>
            <w:r w:rsidRPr="0004588B">
              <w:rPr>
                <w:lang w:val="de-DE"/>
              </w:rPr>
              <w:instrText xml:space="preserve">" </w:instrText>
            </w:r>
            <w:r>
              <w:fldChar w:fldCharType="end"/>
            </w:r>
          </w:p>
        </w:tc>
        <w:tc>
          <w:tcPr>
            <w:tcW w:w="3318" w:type="dxa"/>
            <w:tcBorders>
              <w:top w:val="nil"/>
              <w:left w:val="nil"/>
              <w:right w:val="nil"/>
            </w:tcBorders>
            <w:shd w:val="clear" w:color="auto" w:fill="auto"/>
          </w:tcPr>
          <w:p w:rsidR="0017135D" w:rsidRPr="00CF2405" w:rsidP="006172F3">
            <w:pPr>
              <w:pStyle w:val="CSBody8pt"/>
              <w:rPr>
                <w:bCs/>
                <w:lang w:val="de-DE"/>
              </w:rPr>
            </w:pPr>
            <w:r w:rsidRPr="00792D61">
              <w:rPr>
                <w:b/>
                <w:bCs/>
                <w:lang w:val="de-DE"/>
              </w:rPr>
              <w:t>[</w:t>
            </w:r>
            <w:r w:rsidRPr="00CF2405">
              <w:rPr>
                <w:bCs/>
                <w:lang w:val="de-DE"/>
              </w:rPr>
              <w:t>(a)</w:t>
            </w:r>
            <w:r w:rsidRPr="00792D61">
              <w:rPr>
                <w:b/>
                <w:bCs/>
                <w:lang w:val="de-DE"/>
              </w:rPr>
              <w:t>]</w:t>
            </w:r>
            <w:r w:rsidRPr="00CF2405">
              <w:rPr>
                <w:bCs/>
                <w:lang w:val="de-DE"/>
              </w:rPr>
              <w:t xml:space="preserve"> die folgende</w:t>
            </w:r>
            <w:r w:rsidRPr="00792D61">
              <w:rPr>
                <w:b/>
                <w:bCs/>
                <w:lang w:val="de-DE"/>
              </w:rPr>
              <w:t>[</w:t>
            </w:r>
            <w:r w:rsidRPr="00CF2405">
              <w:rPr>
                <w:bCs/>
                <w:lang w:val="de-DE"/>
              </w:rPr>
              <w:t>n</w:t>
            </w:r>
            <w:r w:rsidRPr="00792D61">
              <w:rPr>
                <w:b/>
                <w:bCs/>
                <w:lang w:val="de-DE"/>
              </w:rPr>
              <w:t>]</w:t>
            </w:r>
            <w:r w:rsidRPr="00CF2405">
              <w:rPr>
                <w:bCs/>
                <w:lang w:val="de-DE"/>
              </w:rPr>
              <w:t xml:space="preserve"> Verbindlichkeit</w:t>
            </w:r>
            <w:r w:rsidRPr="00792D61">
              <w:rPr>
                <w:b/>
                <w:bCs/>
                <w:lang w:val="de-DE"/>
              </w:rPr>
              <w:t>[</w:t>
            </w:r>
            <w:r w:rsidRPr="00CF2405">
              <w:rPr>
                <w:bCs/>
                <w:lang w:val="de-DE"/>
              </w:rPr>
              <w:t>en</w:t>
            </w:r>
            <w:r w:rsidRPr="00792D61">
              <w:rPr>
                <w:b/>
                <w:bCs/>
                <w:lang w:val="de-DE"/>
              </w:rPr>
              <w:t>]</w:t>
            </w:r>
            <w:r w:rsidRPr="00CF2405">
              <w:rPr>
                <w:bCs/>
                <w:lang w:val="de-DE"/>
              </w:rPr>
              <w:t xml:space="preserve"> des </w:t>
            </w:r>
            <w:r w:rsidRPr="00792D61">
              <w:rPr>
                <w:b/>
                <w:bCs/>
                <w:lang w:val="de-DE"/>
              </w:rPr>
              <w:t>[</w:t>
            </w:r>
            <w:r w:rsidRPr="00CF2405">
              <w:rPr>
                <w:bCs/>
                <w:lang w:val="de-DE"/>
              </w:rPr>
              <w:t>jeweiligen</w:t>
            </w:r>
            <w:r w:rsidRPr="00792D61">
              <w:rPr>
                <w:b/>
                <w:bCs/>
                <w:lang w:val="de-DE"/>
              </w:rPr>
              <w:t>]</w:t>
            </w:r>
            <w:r w:rsidRPr="00CF2405">
              <w:rPr>
                <w:bCs/>
                <w:lang w:val="de-DE"/>
              </w:rPr>
              <w:t xml:space="preserve"> Referenzschuldners </w:t>
            </w:r>
            <w:r w:rsidRPr="00792D61">
              <w:rPr>
                <w:b/>
                <w:bCs/>
                <w:lang w:val="de-DE"/>
              </w:rPr>
              <w:t>[</w:t>
            </w:r>
            <w:r w:rsidRPr="00CF2405">
              <w:rPr>
                <w:bCs/>
                <w:lang w:val="de-DE"/>
              </w:rPr>
              <w:t>ist</w:t>
            </w:r>
            <w:r w:rsidRPr="00792D61">
              <w:rPr>
                <w:b/>
                <w:bCs/>
                <w:lang w:val="de-DE"/>
              </w:rPr>
              <w:t>][</w:t>
            </w:r>
            <w:r w:rsidRPr="00CF2405">
              <w:rPr>
                <w:bCs/>
                <w:lang w:val="de-DE"/>
              </w:rPr>
              <w:t>sind</w:t>
            </w:r>
            <w:r w:rsidRPr="00792D61">
              <w:rPr>
                <w:b/>
                <w:bCs/>
                <w:lang w:val="de-DE"/>
              </w:rPr>
              <w:t>]</w:t>
            </w:r>
            <w:r w:rsidRPr="00CF2405">
              <w:rPr>
                <w:bCs/>
                <w:lang w:val="de-DE"/>
              </w:rPr>
              <w:t xml:space="preserve"> </w:t>
            </w:r>
            <w:r w:rsidRPr="00792D61">
              <w:rPr>
                <w:b/>
                <w:bCs/>
                <w:lang w:val="de-DE"/>
              </w:rPr>
              <w:t>[</w:t>
            </w:r>
            <w:r w:rsidRPr="00CF2405">
              <w:rPr>
                <w:bCs/>
                <w:lang w:val="de-DE"/>
              </w:rPr>
              <w:t>eine</w:t>
            </w:r>
            <w:r w:rsidRPr="00792D61">
              <w:rPr>
                <w:b/>
                <w:bCs/>
                <w:lang w:val="de-DE"/>
              </w:rPr>
              <w:t>]</w:t>
            </w:r>
            <w:r w:rsidRPr="00CF2405">
              <w:rPr>
                <w:bCs/>
                <w:lang w:val="de-DE"/>
              </w:rPr>
              <w:t xml:space="preserve"> Ausgenommene Verbindlichkeiten</w:t>
            </w:r>
            <w:r w:rsidRPr="00792D61">
              <w:rPr>
                <w:b/>
                <w:bCs/>
                <w:lang w:val="de-DE"/>
              </w:rPr>
              <w:t>[</w:t>
            </w:r>
            <w:r w:rsidRPr="00CF2405">
              <w:rPr>
                <w:bCs/>
                <w:lang w:val="de-DE"/>
              </w:rPr>
              <w:t>en</w:t>
            </w:r>
            <w:r w:rsidRPr="00792D61">
              <w:rPr>
                <w:b/>
                <w:bCs/>
                <w:lang w:val="de-DE"/>
              </w:rPr>
              <w:t>]</w:t>
            </w:r>
            <w:r w:rsidRPr="00CF2405">
              <w:rPr>
                <w:bCs/>
                <w:lang w:val="de-DE"/>
              </w:rPr>
              <w:t xml:space="preserve"> in Bezug auf diesen Referenzschuldner:</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04588B" w:rsidP="006172F3">
            <w:pPr>
              <w:pStyle w:val="CSBody8pt"/>
              <w:rPr>
                <w:lang w:val="de-DE"/>
              </w:rPr>
            </w:pPr>
          </w:p>
        </w:tc>
        <w:tc>
          <w:tcPr>
            <w:tcW w:w="2973" w:type="dxa"/>
            <w:tcBorders>
              <w:top w:val="nil"/>
              <w:left w:val="nil"/>
              <w:bottom w:val="nil"/>
            </w:tcBorders>
            <w:shd w:val="clear" w:color="auto" w:fill="auto"/>
          </w:tcPr>
          <w:p w:rsidR="0017135D" w:rsidRPr="00B45762" w:rsidP="006172F3">
            <w:pPr>
              <w:pStyle w:val="CSBody8pt"/>
            </w:pPr>
            <w:r w:rsidRPr="00792D61">
              <w:rPr>
                <w:b/>
              </w:rPr>
              <w:t>[</w:t>
            </w:r>
            <w:r>
              <w:rPr>
                <w:rFonts w:ascii="Arial" w:hAnsi="Arial" w:cs="Arial"/>
              </w:rPr>
              <w:t>●</w:t>
            </w:r>
            <w:r w:rsidRPr="00792D61">
              <w:rPr>
                <w:b/>
              </w:rPr>
              <w:t>][</w:t>
            </w:r>
            <w:r w:rsidRPr="00B45762">
              <w:t>; and</w:t>
            </w:r>
            <w:r w:rsidRPr="00792D61">
              <w:rPr>
                <w:b/>
              </w:rPr>
              <w:t>]</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DF3EA0" w:rsidP="006172F3">
            <w:pPr>
              <w:pStyle w:val="CSBody8pt"/>
            </w:pPr>
            <w:r w:rsidRPr="00792D61">
              <w:rPr>
                <w:b/>
              </w:rPr>
              <w:t>[</w:t>
            </w:r>
            <w:r>
              <w:rPr>
                <w:rFonts w:ascii="Arial" w:hAnsi="Arial" w:cs="Arial"/>
              </w:rPr>
              <w:t>●</w:t>
            </w:r>
            <w:r w:rsidRPr="00792D61">
              <w:rPr>
                <w:b/>
              </w:rPr>
              <w:t>][</w:t>
            </w:r>
            <w:r w:rsidRPr="00DF3EA0">
              <w:t>; und</w:t>
            </w:r>
            <w:r w:rsidRPr="00792D61">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6172F3">
            <w:pPr>
              <w:pStyle w:val="CSBody8pt"/>
            </w:pPr>
          </w:p>
        </w:tc>
        <w:tc>
          <w:tcPr>
            <w:tcW w:w="2973" w:type="dxa"/>
            <w:tcBorders>
              <w:top w:val="nil"/>
              <w:left w:val="nil"/>
              <w:bottom w:val="nil"/>
            </w:tcBorders>
            <w:shd w:val="clear" w:color="auto" w:fill="auto"/>
          </w:tcPr>
          <w:p w:rsidR="0017135D" w:rsidRPr="00B45762" w:rsidP="006172F3">
            <w:pPr>
              <w:pStyle w:val="CSBody8pt"/>
            </w:pPr>
            <w:r w:rsidRPr="00792D61">
              <w:rPr>
                <w:b/>
                <w:i/>
              </w:rPr>
              <w:t>[</w:t>
            </w:r>
            <w:r w:rsidRPr="006172F3">
              <w:rPr>
                <w:b/>
                <w:i/>
              </w:rPr>
              <w:t>if Financial Reference Entity Terms are applicable for purposes of determining whether a Governmental Intervention or Restructuring has occurred and Subordinated Obligations are not taken into account, insert :</w:t>
            </w:r>
            <w:r w:rsidRPr="00B45762">
              <w:t xml:space="preserve"> (b) any Subordinated Obligation.</w:t>
            </w:r>
            <w:r w:rsidRPr="00792D61">
              <w:rPr>
                <w:b/>
              </w:rPr>
              <w:t>]</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CF2405" w:rsidP="006172F3">
            <w:pPr>
              <w:pStyle w:val="CSBody8pt"/>
              <w:rPr>
                <w:lang w:val="de-DE"/>
              </w:rPr>
            </w:pPr>
            <w:r w:rsidRPr="00792D61">
              <w:rPr>
                <w:b/>
                <w:lang w:val="de-DE"/>
              </w:rPr>
              <w:t>[</w:t>
            </w:r>
            <w:r w:rsidRPr="006172F3">
              <w:rPr>
                <w:b/>
                <w:i/>
                <w:lang w:val="de-DE"/>
              </w:rPr>
              <w:t>falls bei der Feststellung, ob eine Staatliche Intervention oder eine Restrukturierung erfolgt ist, "Bedingungen für Finanzinstitute als Referenzschuldner" anwendbar sind und Nachrangige Verbindlichkeiten nicht berücksichtigt werden, einfügen:</w:t>
            </w:r>
            <w:r w:rsidRPr="00CF2405">
              <w:rPr>
                <w:lang w:val="de-DE"/>
              </w:rPr>
              <w:t xml:space="preserve"> (b) eine Nachrangige Verbindlichkeit.</w:t>
            </w:r>
            <w:r w:rsidRPr="00792D61">
              <w:rPr>
                <w:b/>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P="006172F3">
            <w:pPr>
              <w:pStyle w:val="CSBody8pt"/>
            </w:pPr>
            <w:r w:rsidRPr="00792D61">
              <w:rPr>
                <w:b/>
              </w:rPr>
              <w:t>[</w:t>
            </w:r>
            <w:r w:rsidRPr="006172F3">
              <w:rPr>
                <w:b/>
                <w:i/>
              </w:rPr>
              <w:t>if Financial Reference Entity Terms are applicable for purposes of determining whether a Governmental Intervention or Restructuring has occurred and Further Subordinated Obligations are not taken into account, insert :</w:t>
            </w:r>
            <w:r w:rsidRPr="00B45762">
              <w:t xml:space="preserve"> (b) any Further Subordinated Obligation.</w:t>
            </w:r>
            <w:r w:rsidRPr="00792D61">
              <w:rPr>
                <w:b/>
              </w:rPr>
              <w:t>]</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CF2405" w:rsidP="00162E06">
            <w:pPr>
              <w:pStyle w:val="CSBody8pt"/>
              <w:rPr>
                <w:lang w:val="de-DE"/>
              </w:rPr>
            </w:pPr>
            <w:r w:rsidRPr="00792D61">
              <w:rPr>
                <w:b/>
                <w:lang w:val="de-DE"/>
              </w:rPr>
              <w:t>[</w:t>
            </w:r>
            <w:r w:rsidRPr="006172F3">
              <w:rPr>
                <w:b/>
                <w:i/>
                <w:lang w:val="de-DE"/>
              </w:rPr>
              <w:t>falls bei der Feststellung, ob eine Staatliche Intervention oder eine Restrukturierung erfolgt ist, "Bedingungen für Finanzinstitute als Referenzschuldner" anwendbar sind und Tiefer Nachrangige Verbindlichkeiten nicht berücksichtigt werden, einfügen:</w:t>
            </w:r>
            <w:r w:rsidRPr="00CF2405">
              <w:rPr>
                <w:lang w:val="de-DE"/>
              </w:rPr>
              <w:t xml:space="preserve"> (b) eine Tiefer Nachrangige Verbindlichkeit.</w:t>
            </w:r>
            <w:r w:rsidRPr="00792D61">
              <w:rPr>
                <w:b/>
                <w:lang w:val="de-DE"/>
              </w:rPr>
              <w:t>]</w:t>
            </w:r>
          </w:p>
        </w:tc>
      </w:tr>
      <w:tr w:rsidTr="00BD6E0D">
        <w:tblPrEx>
          <w:tblW w:w="4999" w:type="pct"/>
          <w:tblLayout w:type="fixed"/>
          <w:tblCellMar>
            <w:left w:w="115" w:type="dxa"/>
            <w:right w:w="115" w:type="dxa"/>
          </w:tblCellMar>
          <w:tblLook w:val="04A0"/>
        </w:tblPrEx>
        <w:tc>
          <w:tcPr>
            <w:tcW w:w="1958" w:type="dxa"/>
            <w:gridSpan w:val="4"/>
            <w:vMerge w:val="restart"/>
            <w:tcBorders>
              <w:top w:val="nil"/>
              <w:left w:val="nil"/>
              <w:right w:val="nil"/>
            </w:tcBorders>
            <w:shd w:val="clear" w:color="auto" w:fill="auto"/>
          </w:tcPr>
          <w:p w:rsidR="0017135D" w:rsidRPr="00CF2405" w:rsidP="006172F3">
            <w:pPr>
              <w:pStyle w:val="CSBody8pt"/>
              <w:rPr>
                <w:lang w:val="de-DE"/>
              </w:rPr>
            </w:pPr>
            <w:r w:rsidRPr="00CF2405">
              <w:rPr>
                <w:lang w:val="de-DE"/>
              </w:rPr>
              <w:t>Obligation Characteristics</w:t>
            </w:r>
            <w:r>
              <w:rPr>
                <w:lang w:val="de-DE"/>
              </w:rPr>
              <w:fldChar w:fldCharType="begin"/>
            </w:r>
            <w:r>
              <w:instrText xml:space="preserve"> XE "</w:instrText>
            </w:r>
            <w:r w:rsidRPr="009C05B3">
              <w:rPr>
                <w:lang w:val="de-DE"/>
              </w:rPr>
              <w:instrText>Obligation Characteristics</w:instrText>
            </w:r>
            <w:r>
              <w:instrText xml:space="preserve">" \f "EN" </w:instrText>
            </w:r>
            <w:r>
              <w:rPr>
                <w:lang w:val="de-DE"/>
              </w:rPr>
              <w:fldChar w:fldCharType="end"/>
            </w:r>
          </w:p>
        </w:tc>
        <w:tc>
          <w:tcPr>
            <w:tcW w:w="2973" w:type="dxa"/>
            <w:tcBorders>
              <w:top w:val="nil"/>
              <w:left w:val="nil"/>
              <w:bottom w:val="nil"/>
            </w:tcBorders>
            <w:shd w:val="clear" w:color="auto" w:fill="auto"/>
          </w:tcPr>
          <w:p w:rsidR="0017135D" w:rsidRPr="00CF2405" w:rsidP="006172F3">
            <w:pPr>
              <w:pStyle w:val="CSBody8ptbolditalics"/>
            </w:pPr>
            <w:r w:rsidRPr="00792D61">
              <w:t>[[</w:t>
            </w:r>
            <w:r w:rsidRPr="00CF2405">
              <w:t>delete Obligation Characteristics which are not applicable for relevant Transaction Type, in accordance with the Settlement Matrix</w:t>
            </w:r>
            <w:r w:rsidRPr="00792D61">
              <w:t>]</w:t>
            </w:r>
          </w:p>
        </w:tc>
        <w:tc>
          <w:tcPr>
            <w:tcW w:w="1618" w:type="dxa"/>
            <w:gridSpan w:val="2"/>
            <w:vMerge w:val="restart"/>
            <w:tcBorders>
              <w:top w:val="nil"/>
              <w:right w:val="nil"/>
            </w:tcBorders>
            <w:shd w:val="clear" w:color="auto" w:fill="auto"/>
          </w:tcPr>
          <w:p w:rsidR="0017135D" w:rsidRPr="006172F3" w:rsidP="006172F3">
            <w:pPr>
              <w:pStyle w:val="CSBody8pt"/>
              <w:rPr>
                <w:lang w:val="de-DE"/>
              </w:rPr>
            </w:pPr>
            <w:r w:rsidRPr="006172F3">
              <w:rPr>
                <w:lang w:val="de-DE"/>
              </w:rPr>
              <w:t>Verbindlichkeitenmerkmale</w:t>
            </w:r>
            <w:r>
              <w:rPr>
                <w:lang w:val="de-DE"/>
              </w:rPr>
              <w:fldChar w:fldCharType="begin"/>
            </w:r>
            <w:r>
              <w:instrText xml:space="preserve"> XE "</w:instrText>
            </w:r>
            <w:r w:rsidRPr="001D5C59">
              <w:rPr>
                <w:lang w:val="de-DE"/>
              </w:rPr>
              <w:instrText>Verbindlichkeitenmerkmale</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CF2405" w:rsidP="006172F3">
            <w:pPr>
              <w:pStyle w:val="CSBody8ptbolditalics"/>
              <w:rPr>
                <w:lang w:val="de-DE"/>
              </w:rPr>
            </w:pPr>
            <w:r w:rsidRPr="00792D61">
              <w:rPr>
                <w:lang w:val="de-DE"/>
              </w:rPr>
              <w:t>[[</w:t>
            </w:r>
            <w:r w:rsidRPr="00CF2405">
              <w:rPr>
                <w:lang w:val="de-DE"/>
              </w:rPr>
              <w:t>Verbindlichkeitenmerkmale, die für den betreffenden Transaktionstyp nicht anwendbar sind, gemäss der Abwicklungsmatrix streichen</w:t>
            </w:r>
            <w:r w:rsidRPr="00792D61">
              <w:rPr>
                <w:lang w:val="de-DE"/>
              </w:rPr>
              <w:t>]</w:t>
            </w:r>
          </w:p>
        </w:tc>
      </w:tr>
      <w:tr w:rsidTr="00BD6E0D">
        <w:tblPrEx>
          <w:tblW w:w="4999" w:type="pct"/>
          <w:tblLayout w:type="fixed"/>
          <w:tblCellMar>
            <w:left w:w="115" w:type="dxa"/>
            <w:right w:w="115" w:type="dxa"/>
          </w:tblCellMar>
          <w:tblLook w:val="04A0"/>
        </w:tblPrEx>
        <w:tc>
          <w:tcPr>
            <w:tcW w:w="1958" w:type="dxa"/>
            <w:gridSpan w:val="4"/>
            <w:vMerge/>
            <w:tcBorders>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RPr="00CF2405" w:rsidP="006172F3">
            <w:pPr>
              <w:pStyle w:val="CSBody8pt"/>
            </w:pPr>
            <w:r w:rsidRPr="00792D61">
              <w:rPr>
                <w:b/>
              </w:rPr>
              <w:t>[</w:t>
            </w:r>
            <w:r w:rsidRPr="00CF2405">
              <w:t>Not Subordinated</w:t>
            </w:r>
            <w:r w:rsidRPr="00792D61">
              <w:rPr>
                <w:b/>
              </w:rPr>
              <w:t>]</w:t>
            </w:r>
          </w:p>
          <w:p w:rsidR="0017135D" w:rsidRPr="00CF2405" w:rsidP="006172F3">
            <w:pPr>
              <w:pStyle w:val="CSBody8pt"/>
            </w:pPr>
            <w:r w:rsidRPr="00792D61">
              <w:rPr>
                <w:b/>
              </w:rPr>
              <w:t>[</w:t>
            </w:r>
            <w:r w:rsidRPr="00CF2405">
              <w:t>Specified Currency</w:t>
            </w:r>
            <w:r w:rsidRPr="00792D61">
              <w:rPr>
                <w:b/>
              </w:rPr>
              <w:t>]</w:t>
            </w:r>
          </w:p>
          <w:p w:rsidR="0017135D" w:rsidRPr="00CF2405" w:rsidP="006172F3">
            <w:pPr>
              <w:pStyle w:val="CSBody8pt"/>
            </w:pPr>
            <w:r w:rsidRPr="00792D61">
              <w:rPr>
                <w:b/>
              </w:rPr>
              <w:t>[</w:t>
            </w:r>
            <w:r w:rsidRPr="00CF2405">
              <w:t>Not Sovereign Lender</w:t>
            </w:r>
            <w:r w:rsidRPr="00792D61">
              <w:rPr>
                <w:b/>
              </w:rPr>
              <w:t>]</w:t>
            </w:r>
          </w:p>
          <w:p w:rsidR="0017135D" w:rsidRPr="00CF2405" w:rsidP="006172F3">
            <w:pPr>
              <w:pStyle w:val="CSBody8pt"/>
            </w:pPr>
            <w:r w:rsidRPr="00792D61">
              <w:rPr>
                <w:b/>
              </w:rPr>
              <w:t>[</w:t>
            </w:r>
            <w:r w:rsidRPr="00CF2405">
              <w:t>Not Domestic Currency</w:t>
            </w:r>
            <w:r w:rsidRPr="00792D61">
              <w:rPr>
                <w:b/>
              </w:rPr>
              <w:t>]</w:t>
            </w:r>
          </w:p>
          <w:p w:rsidR="0017135D" w:rsidRPr="00CF2405" w:rsidP="006172F3">
            <w:pPr>
              <w:pStyle w:val="CSBody8pt"/>
            </w:pPr>
            <w:r w:rsidRPr="00792D61">
              <w:rPr>
                <w:b/>
              </w:rPr>
              <w:t>[</w:t>
            </w:r>
            <w:r w:rsidRPr="00CF2405">
              <w:t>Not Domestic Law</w:t>
            </w:r>
            <w:r w:rsidRPr="00792D61">
              <w:rPr>
                <w:b/>
              </w:rPr>
              <w:t>]</w:t>
            </w:r>
          </w:p>
          <w:p w:rsidR="0017135D" w:rsidRPr="00CF2405" w:rsidP="006172F3">
            <w:pPr>
              <w:pStyle w:val="CSBody8pt"/>
              <w:rPr>
                <w:lang w:val="de-DE"/>
              </w:rPr>
            </w:pPr>
            <w:r w:rsidRPr="00792D61">
              <w:rPr>
                <w:b/>
                <w:lang w:val="de-DE"/>
              </w:rPr>
              <w:t>[</w:t>
            </w:r>
            <w:r w:rsidRPr="00CF2405">
              <w:rPr>
                <w:lang w:val="de-DE"/>
              </w:rPr>
              <w:t>Listed</w:t>
            </w:r>
            <w:r w:rsidRPr="00792D61">
              <w:rPr>
                <w:b/>
                <w:lang w:val="de-DE"/>
              </w:rPr>
              <w:t>]</w:t>
            </w:r>
          </w:p>
          <w:p w:rsidR="0017135D" w:rsidRPr="00CF2405" w:rsidP="006172F3">
            <w:pPr>
              <w:pStyle w:val="CSBody8pt"/>
              <w:rPr>
                <w:lang w:val="de-DE"/>
              </w:rPr>
            </w:pPr>
            <w:r w:rsidRPr="00792D61">
              <w:rPr>
                <w:b/>
                <w:lang w:val="de-DE"/>
              </w:rPr>
              <w:t>[</w:t>
            </w:r>
            <w:r w:rsidRPr="00CF2405">
              <w:rPr>
                <w:lang w:val="de-DE"/>
              </w:rPr>
              <w:t>Not Domestic Issuance</w:t>
            </w:r>
            <w:r w:rsidRPr="00792D61">
              <w:rPr>
                <w:b/>
                <w:lang w:val="de-DE"/>
              </w:rPr>
              <w:t>]</w:t>
            </w:r>
            <w:r w:rsidRPr="00CF2405">
              <w:rPr>
                <w:lang w:val="de-DE"/>
              </w:rPr>
              <w:t>,</w:t>
            </w:r>
          </w:p>
        </w:tc>
        <w:tc>
          <w:tcPr>
            <w:tcW w:w="1618" w:type="dxa"/>
            <w:gridSpan w:val="2"/>
            <w:vMerge/>
            <w:tcBorders>
              <w:bottom w:val="nil"/>
              <w:right w:val="nil"/>
            </w:tcBorders>
            <w:shd w:val="clear" w:color="auto" w:fill="auto"/>
          </w:tcPr>
          <w:p w:rsidR="0017135D" w:rsidRPr="00CF2405" w:rsidP="006172F3">
            <w:pPr>
              <w:pStyle w:val="CSBody8pt"/>
              <w:rPr>
                <w:i/>
                <w:lang w:val="de-DE"/>
              </w:rPr>
            </w:pPr>
          </w:p>
        </w:tc>
        <w:tc>
          <w:tcPr>
            <w:tcW w:w="3318" w:type="dxa"/>
            <w:tcBorders>
              <w:top w:val="nil"/>
              <w:left w:val="nil"/>
              <w:bottom w:val="nil"/>
              <w:right w:val="nil"/>
            </w:tcBorders>
            <w:shd w:val="clear" w:color="auto" w:fill="auto"/>
          </w:tcPr>
          <w:p w:rsidR="0017135D" w:rsidRPr="00CF2405" w:rsidP="006172F3">
            <w:pPr>
              <w:pStyle w:val="CSBody8pt"/>
              <w:rPr>
                <w:bCs/>
                <w:lang w:val="de-DE"/>
              </w:rPr>
            </w:pPr>
            <w:r w:rsidRPr="00792D61">
              <w:rPr>
                <w:b/>
                <w:bCs/>
                <w:lang w:val="de-DE"/>
              </w:rPr>
              <w:t>[</w:t>
            </w:r>
            <w:r w:rsidRPr="00CF2405">
              <w:rPr>
                <w:bCs/>
                <w:lang w:val="de-DE"/>
              </w:rPr>
              <w:t>Nicht Nachrangig</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Festgelegte Währung</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Kein Staat als Kreditgeber</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Keine Inlandswährung</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Nicht Inländisches Recht</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Börsennotiert</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Keine Inländische Emission</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RPr="00B81636" w:rsidP="006172F3">
            <w:pPr>
              <w:pStyle w:val="CSBody8pt"/>
            </w:pPr>
            <w:r w:rsidRPr="00B81636">
              <w:t>in each case immediately prior to the Credit Event (if any) which is the subject of the relevant Credit Event Determination Date.</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CF2405" w:rsidP="006172F3">
            <w:pPr>
              <w:pStyle w:val="CSBody8pt"/>
              <w:rPr>
                <w:lang w:val="de-DE"/>
              </w:rPr>
            </w:pPr>
            <w:r w:rsidRPr="00CF2405">
              <w:rPr>
                <w:lang w:val="de-DE"/>
              </w:rPr>
              <w:t>jeweils unmittelbar vor dem Kreditereignis (soweit zutreffend), das Gegenstand des jeweiligen Kreditereignis-Feststellungstags ist.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RPr="00B81636" w:rsidP="004C1EBA">
            <w:pPr>
              <w:pStyle w:val="CSBody8pt"/>
            </w:pPr>
            <w:r w:rsidRPr="00792D61">
              <w:rPr>
                <w:b/>
              </w:rPr>
              <w:t>[</w:t>
            </w:r>
            <w:r w:rsidRPr="006172F3">
              <w:rPr>
                <w:b/>
                <w:i/>
              </w:rPr>
              <w:t xml:space="preserve">if </w:t>
            </w:r>
            <w:r>
              <w:rPr>
                <w:b/>
                <w:i/>
              </w:rPr>
              <w:t>any</w:t>
            </w:r>
            <w:r w:rsidRPr="006172F3">
              <w:rPr>
                <w:b/>
                <w:i/>
              </w:rPr>
              <w:t xml:space="preserve"> of the Obligation Characteristics "Listed" or "Not Domestic Issuance" is applicable, insert: </w:t>
            </w:r>
            <w:r w:rsidRPr="00B81636">
              <w:t>The Complex Products shall be construed as though</w:t>
            </w:r>
            <w:r>
              <w:t xml:space="preserve"> the Obligation Characteristic</w:t>
            </w:r>
            <w:r w:rsidRPr="00792D61">
              <w:rPr>
                <w:b/>
              </w:rPr>
              <w:t>[</w:t>
            </w:r>
            <w:r>
              <w:t>s</w:t>
            </w:r>
            <w:r w:rsidRPr="00792D61">
              <w:rPr>
                <w:b/>
              </w:rPr>
              <w:t>]</w:t>
            </w:r>
            <w:r w:rsidRPr="00B81636">
              <w:t xml:space="preserve"> </w:t>
            </w:r>
            <w:r w:rsidRPr="00792D61">
              <w:rPr>
                <w:b/>
              </w:rPr>
              <w:t>[</w:t>
            </w:r>
            <w:r w:rsidRPr="00B81636">
              <w:t>"Listed"</w:t>
            </w:r>
            <w:r w:rsidRPr="00792D61">
              <w:rPr>
                <w:b/>
              </w:rPr>
              <w:t>][</w:t>
            </w:r>
            <w:r w:rsidRPr="00B81636">
              <w:t>or</w:t>
            </w:r>
            <w:r w:rsidRPr="00792D61">
              <w:rPr>
                <w:b/>
              </w:rPr>
              <w:t>][</w:t>
            </w:r>
            <w:r w:rsidRPr="00B81636">
              <w:t>"Not Domestic Issuance"</w:t>
            </w:r>
            <w:r w:rsidRPr="00792D61">
              <w:rPr>
                <w:b/>
              </w:rPr>
              <w:t>]</w:t>
            </w:r>
            <w:r w:rsidRPr="00B81636">
              <w:t xml:space="preserve"> had been specified as an Obligation Characteristic only with respect to Bonds.</w:t>
            </w:r>
            <w:r w:rsidRPr="00792D61">
              <w:rPr>
                <w:b/>
              </w:rPr>
              <w:t>]]</w:t>
            </w:r>
            <w:r w:rsidRPr="00B81636">
              <w:t xml:space="preserve"> </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A455B1" w:rsidP="004C1EBA">
            <w:pPr>
              <w:pStyle w:val="CSBody8pt"/>
              <w:rPr>
                <w:lang w:val="de-DE"/>
              </w:rPr>
            </w:pPr>
            <w:r w:rsidRPr="00792D61">
              <w:rPr>
                <w:b/>
                <w:lang w:val="de-DE"/>
              </w:rPr>
              <w:t>[</w:t>
            </w:r>
            <w:r w:rsidRPr="006172F3">
              <w:rPr>
                <w:b/>
                <w:i/>
                <w:lang w:val="de-DE"/>
              </w:rPr>
              <w:t>falls eines</w:t>
            </w:r>
            <w:r>
              <w:rPr>
                <w:b/>
                <w:i/>
                <w:lang w:val="de-DE"/>
              </w:rPr>
              <w:t xml:space="preserve"> oder beide</w:t>
            </w:r>
            <w:r w:rsidRPr="006172F3">
              <w:rPr>
                <w:b/>
                <w:i/>
                <w:lang w:val="de-DE"/>
              </w:rPr>
              <w:t xml:space="preserve"> der Verbindlichkeitenmerkmale "Börsennotiert" oder "Keine Inländische Emission" anwendbar ist, einfügen:</w:t>
            </w:r>
            <w:r w:rsidRPr="00CF2405">
              <w:rPr>
                <w:lang w:val="de-DE"/>
              </w:rPr>
              <w:t xml:space="preserve"> </w:t>
            </w:r>
            <w:r>
              <w:rPr>
                <w:lang w:val="de-DE"/>
              </w:rPr>
              <w:t>Die Komplexen Produkte sind so auszulegen, als wäre</w:t>
            </w:r>
            <w:r w:rsidRPr="00792D61">
              <w:rPr>
                <w:b/>
                <w:lang w:val="de-DE"/>
              </w:rPr>
              <w:t>[</w:t>
            </w:r>
            <w:r>
              <w:rPr>
                <w:lang w:val="de-DE"/>
              </w:rPr>
              <w:t>n</w:t>
            </w:r>
            <w:r w:rsidRPr="00792D61">
              <w:rPr>
                <w:b/>
                <w:lang w:val="de-DE"/>
              </w:rPr>
              <w:t>]</w:t>
            </w:r>
            <w:r>
              <w:rPr>
                <w:lang w:val="de-DE"/>
              </w:rPr>
              <w:t xml:space="preserve"> </w:t>
            </w:r>
            <w:r w:rsidRPr="00792D61">
              <w:rPr>
                <w:b/>
                <w:lang w:val="de-DE"/>
              </w:rPr>
              <w:t>[</w:t>
            </w:r>
            <w:r>
              <w:rPr>
                <w:lang w:val="de-DE"/>
              </w:rPr>
              <w:t>das</w:t>
            </w:r>
            <w:r w:rsidRPr="00792D61">
              <w:rPr>
                <w:b/>
                <w:lang w:val="de-DE"/>
              </w:rPr>
              <w:t>]</w:t>
            </w:r>
            <w:r>
              <w:rPr>
                <w:lang w:val="de-DE"/>
              </w:rPr>
              <w:t xml:space="preserve"> </w:t>
            </w:r>
            <w:r w:rsidRPr="00792D61">
              <w:rPr>
                <w:b/>
                <w:lang w:val="de-DE"/>
              </w:rPr>
              <w:t>[</w:t>
            </w:r>
            <w:r>
              <w:rPr>
                <w:lang w:val="de-DE"/>
              </w:rPr>
              <w:t>die</w:t>
            </w:r>
            <w:r w:rsidRPr="00792D61">
              <w:rPr>
                <w:b/>
                <w:lang w:val="de-DE"/>
              </w:rPr>
              <w:t>]</w:t>
            </w:r>
            <w:r>
              <w:rPr>
                <w:lang w:val="de-DE"/>
              </w:rPr>
              <w:t xml:space="preserve"> Verbindlichkeitenmerkmal</w:t>
            </w:r>
            <w:r w:rsidRPr="00792D61">
              <w:rPr>
                <w:b/>
                <w:lang w:val="de-DE"/>
              </w:rPr>
              <w:t>[</w:t>
            </w:r>
            <w:r>
              <w:rPr>
                <w:lang w:val="de-DE"/>
              </w:rPr>
              <w:t>e</w:t>
            </w:r>
            <w:r w:rsidRPr="00792D61">
              <w:rPr>
                <w:b/>
                <w:lang w:val="de-DE"/>
              </w:rPr>
              <w:t>]</w:t>
            </w:r>
            <w:r>
              <w:rPr>
                <w:lang w:val="de-DE"/>
              </w:rPr>
              <w:t xml:space="preserve"> </w:t>
            </w:r>
            <w:r w:rsidRPr="00792D61">
              <w:rPr>
                <w:b/>
                <w:lang w:val="de-DE"/>
              </w:rPr>
              <w:t>[</w:t>
            </w:r>
            <w:r w:rsidRPr="00CF2405">
              <w:rPr>
                <w:lang w:val="de-DE"/>
              </w:rPr>
              <w:t>"Börsennotiert"</w:t>
            </w:r>
            <w:r w:rsidRPr="00792D61">
              <w:rPr>
                <w:b/>
                <w:lang w:val="de-DE"/>
              </w:rPr>
              <w:t>][</w:t>
            </w:r>
            <w:r w:rsidRPr="00CF2405">
              <w:rPr>
                <w:lang w:val="de-DE"/>
              </w:rPr>
              <w:t>oder</w:t>
            </w:r>
            <w:r w:rsidRPr="00792D61">
              <w:rPr>
                <w:b/>
                <w:lang w:val="de-DE"/>
              </w:rPr>
              <w:t>][</w:t>
            </w:r>
            <w:r w:rsidRPr="00CF2405">
              <w:rPr>
                <w:lang w:val="de-DE"/>
              </w:rPr>
              <w:t>"Keine Inländische Emission"</w:t>
            </w:r>
            <w:r w:rsidRPr="00792D61">
              <w:rPr>
                <w:b/>
                <w:lang w:val="de-DE"/>
              </w:rPr>
              <w:t>]</w:t>
            </w:r>
            <w:r w:rsidRPr="00CF2405">
              <w:rPr>
                <w:lang w:val="de-DE"/>
              </w:rPr>
              <w:t xml:space="preserve"> als Verbindlichkeitenmerkmal nur in Bezug auf Anleihen </w:t>
            </w:r>
            <w:r>
              <w:rPr>
                <w:lang w:val="de-DE"/>
              </w:rPr>
              <w:t>anwendbar</w:t>
            </w:r>
            <w:r w:rsidRPr="00CF2405">
              <w:rPr>
                <w:lang w:val="de-DE"/>
              </w:rPr>
              <w:t>.</w:t>
            </w:r>
            <w:r w:rsidRPr="00792D61">
              <w:rPr>
                <w:b/>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A455B1" w:rsidP="006172F3">
            <w:pPr>
              <w:pStyle w:val="CSBody8ptbolditalics"/>
              <w:rPr>
                <w:lang w:val="de-DE"/>
              </w:rPr>
            </w:pPr>
          </w:p>
        </w:tc>
        <w:tc>
          <w:tcPr>
            <w:tcW w:w="2973" w:type="dxa"/>
            <w:tcBorders>
              <w:top w:val="nil"/>
              <w:left w:val="nil"/>
              <w:bottom w:val="nil"/>
            </w:tcBorders>
            <w:shd w:val="clear" w:color="auto" w:fill="auto"/>
          </w:tcPr>
          <w:p w:rsidR="0017135D" w:rsidRPr="00B81636" w:rsidP="006172F3">
            <w:pPr>
              <w:pStyle w:val="CSBody8ptbolditalics"/>
            </w:pPr>
            <w:r w:rsidRPr="00792D61">
              <w:t>[</w:t>
            </w:r>
            <w:r w:rsidRPr="00B81636">
              <w:t>if any Obligation Characteristic is applicable and "Financial Reference Entity Terms" and "Governmental Intervention are applicable, insert:</w:t>
            </w:r>
          </w:p>
        </w:tc>
        <w:tc>
          <w:tcPr>
            <w:tcW w:w="1618" w:type="dxa"/>
            <w:gridSpan w:val="2"/>
            <w:tcBorders>
              <w:top w:val="nil"/>
              <w:bottom w:val="nil"/>
              <w:right w:val="nil"/>
            </w:tcBorders>
            <w:shd w:val="clear" w:color="auto" w:fill="auto"/>
          </w:tcPr>
          <w:p w:rsidR="0017135D" w:rsidRPr="00CF2405" w:rsidP="006172F3">
            <w:pPr>
              <w:pStyle w:val="CSBody8ptbolditalics"/>
            </w:pPr>
          </w:p>
        </w:tc>
        <w:tc>
          <w:tcPr>
            <w:tcW w:w="3318" w:type="dxa"/>
            <w:tcBorders>
              <w:top w:val="nil"/>
              <w:left w:val="nil"/>
              <w:bottom w:val="nil"/>
              <w:right w:val="nil"/>
            </w:tcBorders>
            <w:shd w:val="clear" w:color="auto" w:fill="auto"/>
          </w:tcPr>
          <w:p w:rsidR="0017135D" w:rsidRPr="00CF2405" w:rsidP="006172F3">
            <w:pPr>
              <w:pStyle w:val="CSBody8ptbolditalics"/>
              <w:rPr>
                <w:lang w:val="de-DE"/>
              </w:rPr>
            </w:pPr>
            <w:r w:rsidRPr="00792D61">
              <w:rPr>
                <w:lang w:val="de-DE"/>
              </w:rPr>
              <w:t>[</w:t>
            </w:r>
            <w:r w:rsidRPr="00CF2405">
              <w:rPr>
                <w:lang w:val="de-DE"/>
              </w:rPr>
              <w:t>falls Verbindlichkeitenmerkmale anwendbar ist und "Bedingungen für Finanzinstitute als Referenzschuldner" und "Staatliche Intervention" anwendbar sind, einfügen:</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RPr="00B81636" w:rsidP="006172F3">
            <w:pPr>
              <w:pStyle w:val="CSBody8pt"/>
            </w:pPr>
            <w:r w:rsidRPr="00B81636">
              <w:t>If an obligation would otherwise satisfy a particular Obligation Characteristic, the existence of any terms in the relevant obligation in effect at the time of making the determination which permit the Reference Entity's obligations to be altered, discharged, released or suspended in circumstances which would constitute a Governmental Intervention, shall not cause such obligation to fail to satisfy such Obligation Characteristic.</w:t>
            </w:r>
            <w:r w:rsidRPr="00792D61">
              <w:rPr>
                <w:b/>
              </w:rPr>
              <w:t>]</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CF2405" w:rsidP="006172F3">
            <w:pPr>
              <w:pStyle w:val="CSBody8pt"/>
              <w:rPr>
                <w:lang w:val="de-DE"/>
              </w:rPr>
            </w:pPr>
            <w:r w:rsidRPr="00CF2405">
              <w:rPr>
                <w:lang w:val="de-DE"/>
              </w:rPr>
              <w:t>Wenn eine Verbindlichkeit im Übrigen ein bestimmtes Verbindlichkeitenmerkmal erfüllen würde, hat das Bestehen von im Zeitpunkt der Feststellung geltenden Bedingungen der betreffenden Verbindlichkeit, die gestatten, dass die Verbindlichkeiten des Referenzschuldners in Fällen, die eine Staatliche Intervention darstellen würden, abgeändert, erfüllt, freigegeben oder ausgesetzt werden, nicht zur Folge, dass die betreffende Verbindlichkeit das betreffende Verbindlichkeitenmerkmal nicht mehr erfüllt.</w:t>
            </w:r>
            <w:r w:rsidRPr="00792D61">
              <w:rPr>
                <w:b/>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RPr="003C6DF9" w:rsidP="006172F3">
            <w:pPr>
              <w:pStyle w:val="CSBody8pt"/>
              <w:rPr>
                <w:b/>
              </w:rPr>
            </w:pPr>
            <w:r>
              <w:rPr>
                <w:b/>
              </w:rPr>
              <w:t>[</w:t>
            </w:r>
            <w:r>
              <w:rPr>
                <w:b/>
                <w:i/>
              </w:rPr>
              <w:t xml:space="preserve">in case of Credit-Linked Complex Products with LPN Reference Obligation, insert: </w:t>
            </w:r>
            <w:r w:rsidRPr="003C6DF9">
              <w:t>The Not Subordinated Obligation Characteristic shall be construed as if no Reference Obligation was specified in respect of the Reference Entity.</w:t>
            </w:r>
            <w:r>
              <w:rPr>
                <w:b/>
              </w:rPr>
              <w:t>]</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3C6DF9" w:rsidP="006172F3">
            <w:pPr>
              <w:pStyle w:val="CSBody8pt"/>
              <w:rPr>
                <w:b/>
                <w:lang w:val="de-DE"/>
              </w:rPr>
            </w:pPr>
            <w:r>
              <w:rPr>
                <w:b/>
                <w:lang w:val="de-DE"/>
              </w:rPr>
              <w:t>[</w:t>
            </w:r>
            <w:r>
              <w:rPr>
                <w:b/>
                <w:i/>
                <w:lang w:val="de-DE"/>
              </w:rPr>
              <w:t xml:space="preserve">bei Kreditbezogenen Komplexen Produkten mit LPN-Referenzverbindlichkeit einfügen: </w:t>
            </w:r>
            <w:r w:rsidRPr="003C6DF9">
              <w:rPr>
                <w:lang w:val="de-DE"/>
              </w:rPr>
              <w:t xml:space="preserve">Das Verbindlichkeitenmerkmal </w:t>
            </w:r>
            <w:r w:rsidR="003B00F3">
              <w:rPr>
                <w:lang w:val="de-DE"/>
              </w:rPr>
              <w:t>"</w:t>
            </w:r>
            <w:r w:rsidRPr="003C6DF9">
              <w:rPr>
                <w:lang w:val="de-DE"/>
              </w:rPr>
              <w:t>Nicht Nachragnging</w:t>
            </w:r>
            <w:r w:rsidR="003B00F3">
              <w:rPr>
                <w:lang w:val="de-DE"/>
              </w:rPr>
              <w:t>"</w:t>
            </w:r>
            <w:r w:rsidRPr="003C6DF9">
              <w:rPr>
                <w:lang w:val="de-DE"/>
              </w:rPr>
              <w:t xml:space="preserve"> ist so auszulegen, als ob keine Referenzverbindlichkeit für den Referenzschuldner angegeben wäre.</w:t>
            </w:r>
            <w:r>
              <w:rPr>
                <w:b/>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P="006172F3">
            <w:pPr>
              <w:pStyle w:val="CSBody8pt"/>
            </w:pPr>
            <w:r w:rsidRPr="00792D61">
              <w:rPr>
                <w:b/>
              </w:rPr>
              <w:t>[</w:t>
            </w:r>
            <w:r w:rsidRPr="00B81636">
              <w:t>None</w:t>
            </w:r>
            <w:r w:rsidRPr="00792D61">
              <w:rPr>
                <w:b/>
              </w:rPr>
              <w:t>]</w:t>
            </w:r>
          </w:p>
        </w:tc>
        <w:tc>
          <w:tcPr>
            <w:tcW w:w="1618" w:type="dxa"/>
            <w:gridSpan w:val="2"/>
            <w:tcBorders>
              <w:top w:val="nil"/>
              <w:bottom w:val="nil"/>
              <w:right w:val="nil"/>
            </w:tcBorders>
            <w:shd w:val="clear" w:color="auto" w:fill="auto"/>
          </w:tcPr>
          <w:p w:rsidR="0017135D" w:rsidRPr="00CF2405" w:rsidP="006172F3">
            <w:pPr>
              <w:pStyle w:val="CSBody8pt"/>
              <w:rPr>
                <w:i/>
                <w:lang w:val="de-DE"/>
              </w:rPr>
            </w:pPr>
          </w:p>
        </w:tc>
        <w:tc>
          <w:tcPr>
            <w:tcW w:w="3318" w:type="dxa"/>
            <w:tcBorders>
              <w:top w:val="nil"/>
              <w:left w:val="nil"/>
              <w:bottom w:val="nil"/>
              <w:right w:val="nil"/>
            </w:tcBorders>
            <w:shd w:val="clear" w:color="auto" w:fill="auto"/>
          </w:tcPr>
          <w:p w:rsidR="0017135D" w:rsidP="006172F3">
            <w:pPr>
              <w:pStyle w:val="CSBody8pt"/>
            </w:pPr>
            <w:r w:rsidRPr="00792D61">
              <w:rPr>
                <w:b/>
              </w:rPr>
              <w:t>[</w:t>
            </w:r>
            <w:r w:rsidRPr="00C37DC6">
              <w:t>Keine</w:t>
            </w:r>
            <w:r w:rsidRPr="00792D61">
              <w:rPr>
                <w:b/>
              </w:rPr>
              <w:t>]</w:t>
            </w:r>
          </w:p>
        </w:tc>
      </w:tr>
      <w:tr w:rsidTr="00BD6E0D">
        <w:tblPrEx>
          <w:tblW w:w="4999" w:type="pct"/>
          <w:tblLayout w:type="fixed"/>
          <w:tblCellMar>
            <w:left w:w="115" w:type="dxa"/>
            <w:right w:w="115" w:type="dxa"/>
          </w:tblCellMar>
          <w:tblLook w:val="04A0"/>
        </w:tblPrEx>
        <w:tc>
          <w:tcPr>
            <w:tcW w:w="1958" w:type="dxa"/>
            <w:gridSpan w:val="4"/>
            <w:vMerge w:val="restart"/>
            <w:tcBorders>
              <w:top w:val="nil"/>
              <w:left w:val="nil"/>
              <w:right w:val="nil"/>
            </w:tcBorders>
            <w:shd w:val="clear" w:color="auto" w:fill="auto"/>
          </w:tcPr>
          <w:p w:rsidR="0017135D" w:rsidRPr="00203289" w:rsidP="006172F3">
            <w:pPr>
              <w:pStyle w:val="CSBody8pt"/>
              <w:rPr>
                <w:lang w:val="de-DE"/>
              </w:rPr>
            </w:pPr>
            <w:r w:rsidRPr="00203289">
              <w:rPr>
                <w:lang w:val="de-DE"/>
              </w:rPr>
              <w:t>Valuation Obligation Category</w:t>
            </w:r>
            <w:r>
              <w:rPr>
                <w:lang w:val="de-DE"/>
              </w:rPr>
              <w:fldChar w:fldCharType="begin"/>
            </w:r>
            <w:r>
              <w:instrText xml:space="preserve"> XE "</w:instrText>
            </w:r>
            <w:r w:rsidRPr="00E145F8">
              <w:rPr>
                <w:lang w:val="de-DE"/>
              </w:rPr>
              <w:instrText>Valuation Obligation Category</w:instrText>
            </w:r>
            <w:r>
              <w:instrText xml:space="preserve">" \f "EN" </w:instrText>
            </w:r>
            <w:r>
              <w:rPr>
                <w:lang w:val="de-DE"/>
              </w:rPr>
              <w:fldChar w:fldCharType="end"/>
            </w:r>
          </w:p>
        </w:tc>
        <w:tc>
          <w:tcPr>
            <w:tcW w:w="2973" w:type="dxa"/>
            <w:tcBorders>
              <w:top w:val="nil"/>
              <w:left w:val="nil"/>
              <w:bottom w:val="nil"/>
            </w:tcBorders>
            <w:shd w:val="clear" w:color="auto" w:fill="auto"/>
          </w:tcPr>
          <w:p w:rsidR="0017135D" w:rsidRPr="00203289" w:rsidP="006172F3">
            <w:pPr>
              <w:pStyle w:val="CSBody8ptbolditalics"/>
            </w:pPr>
            <w:r w:rsidRPr="00792D61">
              <w:t>[</w:t>
            </w:r>
            <w:r w:rsidRPr="00203289">
              <w:t>delete Valuation Obligation Categories which are not applicable for relevant Transaction Type, in accordance with the Settlement Matrix</w:t>
            </w:r>
            <w:r w:rsidRPr="00792D61">
              <w:t>]</w:t>
            </w:r>
          </w:p>
        </w:tc>
        <w:tc>
          <w:tcPr>
            <w:tcW w:w="1618" w:type="dxa"/>
            <w:gridSpan w:val="2"/>
            <w:vMerge w:val="restart"/>
            <w:tcBorders>
              <w:top w:val="nil"/>
              <w:right w:val="nil"/>
            </w:tcBorders>
            <w:shd w:val="clear" w:color="auto" w:fill="auto"/>
          </w:tcPr>
          <w:p w:rsidR="0017135D" w:rsidRPr="00203289" w:rsidP="00877C09">
            <w:pPr>
              <w:pStyle w:val="CSBody8pt"/>
              <w:rPr>
                <w:lang w:val="de-DE"/>
              </w:rPr>
            </w:pPr>
            <w:r w:rsidRPr="00203289">
              <w:rPr>
                <w:lang w:val="de-DE"/>
              </w:rPr>
              <w:t>Kategorie der Bewertungsverbindlichkeiten</w:t>
            </w:r>
            <w:r>
              <w:rPr>
                <w:lang w:val="de-DE"/>
              </w:rPr>
              <w:fldChar w:fldCharType="begin"/>
            </w:r>
            <w:r w:rsidRPr="00203289">
              <w:rPr>
                <w:lang w:val="de-DE"/>
              </w:rPr>
              <w:instrText xml:space="preserve"> XE "</w:instrText>
            </w:r>
            <w:r w:rsidRPr="0087498D">
              <w:rPr>
                <w:lang w:val="de-DE"/>
              </w:rPr>
              <w:instrText>Kategorie der Bewertungsverbindlichkeiten</w:instrText>
            </w:r>
            <w:r w:rsidRPr="00203289">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CF2405" w:rsidP="00D13550">
            <w:pPr>
              <w:pStyle w:val="CSBody8ptbolditalics"/>
              <w:rPr>
                <w:lang w:val="de-DE"/>
              </w:rPr>
            </w:pPr>
            <w:r w:rsidRPr="00792D61">
              <w:rPr>
                <w:lang w:val="de-DE"/>
              </w:rPr>
              <w:t>[</w:t>
            </w:r>
            <w:r w:rsidRPr="00203289">
              <w:rPr>
                <w:lang w:val="de-DE"/>
              </w:rPr>
              <w:t>Bewertungsverbindlichkeitenkatego</w:t>
            </w:r>
            <w:r w:rsidRPr="00203289">
              <w:rPr>
                <w:lang w:val="de-DE"/>
              </w:rPr>
              <w:softHyphen/>
              <w:t>rien, die für den betreffenden Transaktionstyp nicht anwendbar sind, gemäss der Abwicklungsmatrix streichen</w:t>
            </w:r>
            <w:r w:rsidRPr="00792D61">
              <w:rPr>
                <w:lang w:val="de-DE"/>
              </w:rPr>
              <w:t>]</w:t>
            </w:r>
          </w:p>
        </w:tc>
      </w:tr>
      <w:tr w:rsidTr="00BD6E0D">
        <w:tblPrEx>
          <w:tblW w:w="4999" w:type="pct"/>
          <w:tblLayout w:type="fixed"/>
          <w:tblCellMar>
            <w:left w:w="115" w:type="dxa"/>
            <w:right w:w="115" w:type="dxa"/>
          </w:tblCellMar>
          <w:tblLook w:val="04A0"/>
        </w:tblPrEx>
        <w:tc>
          <w:tcPr>
            <w:tcW w:w="1958" w:type="dxa"/>
            <w:gridSpan w:val="4"/>
            <w:vMerge/>
            <w:tcBorders>
              <w:left w:val="nil"/>
              <w:bottom w:val="nil"/>
              <w:right w:val="nil"/>
            </w:tcBorders>
            <w:shd w:val="clear" w:color="auto" w:fill="auto"/>
          </w:tcPr>
          <w:p w:rsidR="0017135D" w:rsidRPr="00CF2405" w:rsidP="006172F3">
            <w:pPr>
              <w:pStyle w:val="CSBody8pt"/>
              <w:rPr>
                <w:lang w:val="de-DE"/>
              </w:rPr>
            </w:pPr>
          </w:p>
        </w:tc>
        <w:tc>
          <w:tcPr>
            <w:tcW w:w="2973" w:type="dxa"/>
            <w:tcBorders>
              <w:top w:val="nil"/>
              <w:left w:val="nil"/>
              <w:bottom w:val="nil"/>
            </w:tcBorders>
            <w:shd w:val="clear" w:color="auto" w:fill="auto"/>
          </w:tcPr>
          <w:p w:rsidR="0017135D" w:rsidP="006172F3">
            <w:pPr>
              <w:pStyle w:val="CSBody8pt"/>
            </w:pPr>
            <w:r w:rsidRPr="00792D61">
              <w:rPr>
                <w:b/>
              </w:rPr>
              <w:t>[</w:t>
            </w:r>
            <w:r>
              <w:t>Payment</w:t>
            </w:r>
            <w:r w:rsidRPr="00792D61">
              <w:rPr>
                <w:b/>
              </w:rPr>
              <w:t>]</w:t>
            </w:r>
          </w:p>
          <w:p w:rsidR="0017135D" w:rsidP="006172F3">
            <w:pPr>
              <w:pStyle w:val="CSBody8pt"/>
            </w:pPr>
            <w:r w:rsidRPr="00792D61">
              <w:rPr>
                <w:b/>
              </w:rPr>
              <w:t>[</w:t>
            </w:r>
            <w:r>
              <w:t>Borrowed Money</w:t>
            </w:r>
            <w:r w:rsidRPr="00792D61">
              <w:rPr>
                <w:b/>
              </w:rPr>
              <w:t>]</w:t>
            </w:r>
          </w:p>
          <w:p w:rsidR="0017135D" w:rsidP="006172F3">
            <w:pPr>
              <w:pStyle w:val="CSBody8pt"/>
            </w:pPr>
            <w:r w:rsidRPr="00792D61">
              <w:rPr>
                <w:b/>
              </w:rPr>
              <w:t>[</w:t>
            </w:r>
            <w:r>
              <w:t>Reference Obligation Only</w:t>
            </w:r>
            <w:r w:rsidRPr="00792D61">
              <w:rPr>
                <w:b/>
              </w:rPr>
              <w:t>]</w:t>
            </w:r>
          </w:p>
          <w:p w:rsidR="0017135D" w:rsidP="006172F3">
            <w:pPr>
              <w:pStyle w:val="CSBody8pt"/>
            </w:pPr>
            <w:r w:rsidRPr="00792D61">
              <w:rPr>
                <w:b/>
              </w:rPr>
              <w:t>[</w:t>
            </w:r>
            <w:r>
              <w:t>Bond</w:t>
            </w:r>
            <w:r w:rsidRPr="00792D61">
              <w:rPr>
                <w:b/>
              </w:rPr>
              <w:t>]</w:t>
            </w:r>
          </w:p>
          <w:p w:rsidR="0017135D" w:rsidP="006172F3">
            <w:pPr>
              <w:pStyle w:val="CSBody8pt"/>
            </w:pPr>
            <w:r w:rsidRPr="00792D61">
              <w:rPr>
                <w:b/>
              </w:rPr>
              <w:t>[</w:t>
            </w:r>
            <w:r>
              <w:t>Loan</w:t>
            </w:r>
            <w:r w:rsidRPr="00792D61">
              <w:rPr>
                <w:b/>
              </w:rPr>
              <w:t>]</w:t>
            </w:r>
          </w:p>
          <w:p w:rsidR="0017135D" w:rsidRPr="00CF2405" w:rsidP="006172F3">
            <w:pPr>
              <w:pStyle w:val="CSBody8pt"/>
            </w:pPr>
            <w:r w:rsidRPr="00792D61">
              <w:rPr>
                <w:b/>
              </w:rPr>
              <w:t>[</w:t>
            </w:r>
            <w:r>
              <w:t>Bond or Loan</w:t>
            </w:r>
            <w:r w:rsidRPr="00792D61">
              <w:rPr>
                <w:b/>
              </w:rPr>
              <w:t>]</w:t>
            </w:r>
          </w:p>
        </w:tc>
        <w:tc>
          <w:tcPr>
            <w:tcW w:w="1618" w:type="dxa"/>
            <w:gridSpan w:val="2"/>
            <w:vMerge/>
            <w:tcBorders>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CF2405" w:rsidP="006172F3">
            <w:pPr>
              <w:pStyle w:val="CSBody8pt"/>
              <w:rPr>
                <w:bCs/>
                <w:lang w:val="de-DE"/>
              </w:rPr>
            </w:pPr>
            <w:r w:rsidRPr="00792D61">
              <w:rPr>
                <w:b/>
                <w:bCs/>
                <w:lang w:val="de-DE"/>
              </w:rPr>
              <w:t>[</w:t>
            </w:r>
            <w:r w:rsidRPr="00CF2405">
              <w:rPr>
                <w:bCs/>
                <w:lang w:val="de-DE"/>
              </w:rPr>
              <w:t>Zahlung</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Aufgenommene Gelder</w:t>
            </w:r>
            <w:r w:rsidRPr="00792D61">
              <w:rPr>
                <w:b/>
                <w:bCs/>
                <w:lang w:val="de-DE"/>
              </w:rPr>
              <w:t>]</w:t>
            </w:r>
          </w:p>
          <w:p w:rsidR="0017135D" w:rsidRPr="00CF2405" w:rsidP="006172F3">
            <w:pPr>
              <w:pStyle w:val="CSBody8pt"/>
              <w:rPr>
                <w:bCs/>
                <w:lang w:val="de-DE"/>
              </w:rPr>
            </w:pPr>
            <w:r w:rsidRPr="00792D61">
              <w:rPr>
                <w:b/>
                <w:bCs/>
                <w:lang w:val="de-DE"/>
              </w:rPr>
              <w:t>[</w:t>
            </w:r>
            <w:r w:rsidRPr="00CF2405">
              <w:rPr>
                <w:bCs/>
                <w:lang w:val="de-DE"/>
              </w:rPr>
              <w:t>Nur Referenzverbindlichkeit</w:t>
            </w:r>
            <w:r w:rsidRPr="00792D61">
              <w:rPr>
                <w:b/>
                <w:bCs/>
                <w:lang w:val="de-DE"/>
              </w:rPr>
              <w:t>]</w:t>
            </w:r>
          </w:p>
          <w:p w:rsidR="0017135D" w:rsidRPr="001D022D" w:rsidP="006172F3">
            <w:pPr>
              <w:pStyle w:val="CSBody8pt"/>
              <w:rPr>
                <w:bCs/>
                <w:lang w:val="de-DE"/>
              </w:rPr>
            </w:pPr>
            <w:r w:rsidRPr="00792D61">
              <w:rPr>
                <w:b/>
                <w:bCs/>
                <w:lang w:val="de-DE"/>
              </w:rPr>
              <w:t>[</w:t>
            </w:r>
            <w:r w:rsidRPr="001D022D">
              <w:rPr>
                <w:bCs/>
                <w:lang w:val="de-DE"/>
              </w:rPr>
              <w:t>Anleihe</w:t>
            </w:r>
            <w:r w:rsidRPr="00792D61">
              <w:rPr>
                <w:b/>
                <w:bCs/>
                <w:lang w:val="de-DE"/>
              </w:rPr>
              <w:t>]</w:t>
            </w:r>
          </w:p>
          <w:p w:rsidR="0017135D" w:rsidRPr="001D022D" w:rsidP="006172F3">
            <w:pPr>
              <w:pStyle w:val="CSBody8pt"/>
              <w:rPr>
                <w:bCs/>
                <w:lang w:val="de-DE"/>
              </w:rPr>
            </w:pPr>
            <w:r w:rsidRPr="00792D61">
              <w:rPr>
                <w:b/>
                <w:bCs/>
                <w:lang w:val="de-DE"/>
              </w:rPr>
              <w:t>[</w:t>
            </w:r>
            <w:r w:rsidRPr="001D022D">
              <w:rPr>
                <w:bCs/>
                <w:lang w:val="de-DE"/>
              </w:rPr>
              <w:t>Darlehen</w:t>
            </w:r>
            <w:r w:rsidRPr="00792D61">
              <w:rPr>
                <w:b/>
                <w:bCs/>
                <w:lang w:val="de-DE"/>
              </w:rPr>
              <w:t>]</w:t>
            </w:r>
          </w:p>
          <w:p w:rsidR="0017135D" w:rsidRPr="001D022D" w:rsidP="006172F3">
            <w:pPr>
              <w:pStyle w:val="CSBody8pt"/>
              <w:rPr>
                <w:bCs/>
                <w:lang w:val="de-DE"/>
              </w:rPr>
            </w:pPr>
            <w:r w:rsidRPr="00792D61">
              <w:rPr>
                <w:b/>
                <w:bCs/>
                <w:lang w:val="de-DE"/>
              </w:rPr>
              <w:t>[</w:t>
            </w:r>
            <w:r w:rsidRPr="001D022D">
              <w:rPr>
                <w:bCs/>
                <w:lang w:val="de-DE"/>
              </w:rPr>
              <w:t>Anleihe oder Darlehen</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1D022D" w:rsidP="006172F3">
            <w:pPr>
              <w:pStyle w:val="CSBody8pt"/>
              <w:rPr>
                <w:lang w:val="de-DE"/>
              </w:rPr>
            </w:pPr>
          </w:p>
        </w:tc>
        <w:tc>
          <w:tcPr>
            <w:tcW w:w="2973" w:type="dxa"/>
            <w:tcBorders>
              <w:top w:val="nil"/>
              <w:left w:val="nil"/>
              <w:bottom w:val="nil"/>
            </w:tcBorders>
            <w:shd w:val="clear" w:color="auto" w:fill="auto"/>
          </w:tcPr>
          <w:p w:rsidR="0017135D" w:rsidRPr="00CF2405" w:rsidP="006172F3">
            <w:pPr>
              <w:pStyle w:val="CSBody8pt"/>
            </w:pPr>
            <w:r w:rsidRPr="00792D61">
              <w:rPr>
                <w:b/>
              </w:rPr>
              <w:t>[</w:t>
            </w:r>
            <w:r w:rsidRPr="006172F3">
              <w:rPr>
                <w:b/>
                <w:i/>
              </w:rPr>
              <w:t>if "Reference Obligation Only" is applicable, insert:</w:t>
            </w:r>
            <w:r w:rsidRPr="00CF2405">
              <w:t xml:space="preserve"> For the purpose of determining Valuation Obligations, "Reference Obligation Only" shall be amended to state that no Valuation Obligation Characteristics shall be applicable to Reference Obligation Only.</w:t>
            </w:r>
            <w:r w:rsidRPr="00792D61">
              <w:rPr>
                <w:b/>
              </w:rPr>
              <w:t>]</w:t>
            </w:r>
          </w:p>
        </w:tc>
        <w:tc>
          <w:tcPr>
            <w:tcW w:w="1618" w:type="dxa"/>
            <w:gridSpan w:val="2"/>
            <w:tcBorders>
              <w:top w:val="nil"/>
              <w:bottom w:val="nil"/>
              <w:right w:val="nil"/>
            </w:tcBorders>
            <w:shd w:val="clear" w:color="auto" w:fill="auto"/>
          </w:tcPr>
          <w:p w:rsidR="0017135D" w:rsidRPr="00CF2405" w:rsidP="006172F3">
            <w:pPr>
              <w:pStyle w:val="CSBody8pt"/>
              <w:rPr>
                <w:i/>
              </w:rPr>
            </w:pPr>
          </w:p>
        </w:tc>
        <w:tc>
          <w:tcPr>
            <w:tcW w:w="3318" w:type="dxa"/>
            <w:tcBorders>
              <w:top w:val="nil"/>
              <w:left w:val="nil"/>
              <w:bottom w:val="nil"/>
              <w:right w:val="nil"/>
            </w:tcBorders>
            <w:shd w:val="clear" w:color="auto" w:fill="auto"/>
          </w:tcPr>
          <w:p w:rsidR="0017135D" w:rsidRPr="00CF2405" w:rsidP="004C1EBA">
            <w:pPr>
              <w:pStyle w:val="CSBody8pt"/>
              <w:rPr>
                <w:bCs/>
                <w:lang w:val="de-DE"/>
              </w:rPr>
            </w:pPr>
            <w:r w:rsidRPr="00792D61">
              <w:rPr>
                <w:b/>
                <w:bCs/>
                <w:lang w:val="de-DE"/>
              </w:rPr>
              <w:t>[</w:t>
            </w:r>
            <w:r w:rsidRPr="006172F3">
              <w:rPr>
                <w:b/>
                <w:bCs/>
                <w:i/>
                <w:lang w:val="de-DE"/>
              </w:rPr>
              <w:t>falls "Nur Referenzverbindlichkeit" anwendbar ist, einfügen:</w:t>
            </w:r>
            <w:r w:rsidRPr="00CF2405">
              <w:rPr>
                <w:bCs/>
                <w:lang w:val="de-DE"/>
              </w:rPr>
              <w:t xml:space="preserve"> Die Definition  "Nur Referenzverbindlichkeit" gilt für die Zwecke der Bestimmung von "Bewertungsverbindlichkeiten" als dahingehend geändert, dass für die Kategorie Nur Referenzverbindlichkeit keine Merkmale der Bewertungsverbindlichkeit gelten.</w:t>
            </w:r>
            <w:r w:rsidRPr="00792D61">
              <w:rPr>
                <w:b/>
                <w:bCs/>
                <w:lang w:val="de-DE"/>
              </w:rPr>
              <w:t>]</w:t>
            </w:r>
          </w:p>
        </w:tc>
      </w:tr>
      <w:tr w:rsidTr="00BD6E0D">
        <w:tblPrEx>
          <w:tblW w:w="4999" w:type="pct"/>
          <w:tblLayout w:type="fixed"/>
          <w:tblCellMar>
            <w:left w:w="115" w:type="dxa"/>
            <w:right w:w="115" w:type="dxa"/>
          </w:tblCellMar>
          <w:tblLook w:val="04A0"/>
        </w:tblPrEx>
        <w:trPr>
          <w:trHeight w:val="2790"/>
        </w:trPr>
        <w:tc>
          <w:tcPr>
            <w:tcW w:w="1958" w:type="dxa"/>
            <w:gridSpan w:val="4"/>
            <w:tcBorders>
              <w:top w:val="nil"/>
              <w:left w:val="nil"/>
              <w:right w:val="nil"/>
            </w:tcBorders>
            <w:shd w:val="clear" w:color="auto" w:fill="auto"/>
          </w:tcPr>
          <w:p w:rsidR="0017135D" w:rsidRPr="00B723E6" w:rsidP="00F771A6">
            <w:pPr>
              <w:pStyle w:val="CSBody8ptbolditalics"/>
            </w:pPr>
            <w:r w:rsidRPr="00792D61">
              <w:t>[</w:t>
            </w:r>
            <w:r w:rsidRPr="00B723E6">
              <w:t xml:space="preserve">in the case of Excluded Valuation Obligations, insert: </w:t>
            </w:r>
          </w:p>
          <w:p w:rsidR="0017135D" w:rsidRPr="00B723E6" w:rsidP="006172F3">
            <w:pPr>
              <w:pStyle w:val="CSBody8pt"/>
            </w:pPr>
            <w:r w:rsidRPr="00203289">
              <w:t>Excluded Valuation Obligation</w:t>
            </w:r>
            <w:r w:rsidRPr="00792D61">
              <w:rPr>
                <w:b/>
              </w:rPr>
              <w:t>[</w:t>
            </w:r>
            <w:r w:rsidRPr="00203289">
              <w:t>s</w:t>
            </w:r>
            <w:r w:rsidRPr="00792D61">
              <w:rPr>
                <w:b/>
              </w:rPr>
              <w:t>]</w:t>
            </w:r>
            <w:r>
              <w:fldChar w:fldCharType="begin"/>
            </w:r>
            <w:r>
              <w:instrText xml:space="preserve"> XE "</w:instrText>
            </w:r>
            <w:r w:rsidRPr="0071757A">
              <w:instrText>Excluded Valuation Obligation</w:instrText>
            </w:r>
            <w:r w:rsidRPr="00792D61">
              <w:rPr>
                <w:b/>
              </w:rPr>
              <w:instrText>[</w:instrText>
            </w:r>
            <w:r w:rsidRPr="0071757A">
              <w:instrText>s</w:instrText>
            </w:r>
            <w:r w:rsidRPr="00792D61">
              <w:rPr>
                <w:b/>
              </w:rPr>
              <w:instrText>]</w:instrText>
            </w:r>
            <w:r>
              <w:instrText xml:space="preserve">" \f "EN" </w:instrText>
            </w:r>
            <w:r>
              <w:fldChar w:fldCharType="end"/>
            </w:r>
          </w:p>
        </w:tc>
        <w:tc>
          <w:tcPr>
            <w:tcW w:w="2973" w:type="dxa"/>
            <w:tcBorders>
              <w:top w:val="nil"/>
              <w:left w:val="nil"/>
            </w:tcBorders>
            <w:shd w:val="clear" w:color="auto" w:fill="auto"/>
          </w:tcPr>
          <w:p w:rsidR="0017135D" w:rsidRPr="00CF2405" w:rsidP="006172F3">
            <w:pPr>
              <w:pStyle w:val="CSBody8pt"/>
            </w:pPr>
            <w:r w:rsidRPr="00792D61">
              <w:rPr>
                <w:b/>
              </w:rPr>
              <w:t>[</w:t>
            </w:r>
            <w:r w:rsidRPr="00CF2405">
              <w:t>(a)</w:t>
            </w:r>
            <w:r w:rsidRPr="00792D61">
              <w:rPr>
                <w:b/>
              </w:rPr>
              <w:t>]</w:t>
            </w:r>
            <w:r w:rsidRPr="00CF2405">
              <w:t xml:space="preserve"> the following obligation</w:t>
            </w:r>
            <w:r w:rsidRPr="00792D61">
              <w:rPr>
                <w:b/>
              </w:rPr>
              <w:t>[</w:t>
            </w:r>
            <w:r w:rsidRPr="00CF2405">
              <w:t>s</w:t>
            </w:r>
            <w:r w:rsidRPr="00792D61">
              <w:rPr>
                <w:b/>
              </w:rPr>
              <w:t>]</w:t>
            </w:r>
            <w:r w:rsidRPr="00CF2405">
              <w:t xml:space="preserve"> of a Reference Entity shall be </w:t>
            </w:r>
            <w:r w:rsidRPr="00792D61">
              <w:rPr>
                <w:b/>
              </w:rPr>
              <w:t>[</w:t>
            </w:r>
            <w:r w:rsidRPr="00CF2405">
              <w:t>an</w:t>
            </w:r>
            <w:r w:rsidRPr="00792D61">
              <w:rPr>
                <w:b/>
              </w:rPr>
              <w:t>]</w:t>
            </w:r>
            <w:r w:rsidRPr="00CF2405">
              <w:t xml:space="preserve"> Excluded Valuation Obligation</w:t>
            </w:r>
            <w:r w:rsidRPr="00792D61">
              <w:rPr>
                <w:b/>
              </w:rPr>
              <w:t>[</w:t>
            </w:r>
            <w:r w:rsidRPr="00CF2405">
              <w:t>s</w:t>
            </w:r>
            <w:r w:rsidRPr="00792D61">
              <w:rPr>
                <w:b/>
              </w:rPr>
              <w:t>]</w:t>
            </w:r>
            <w:r w:rsidRPr="00CF2405">
              <w:t>:</w:t>
            </w:r>
          </w:p>
        </w:tc>
        <w:tc>
          <w:tcPr>
            <w:tcW w:w="1618" w:type="dxa"/>
            <w:gridSpan w:val="2"/>
            <w:tcBorders>
              <w:top w:val="nil"/>
              <w:right w:val="nil"/>
            </w:tcBorders>
            <w:shd w:val="clear" w:color="auto" w:fill="auto"/>
          </w:tcPr>
          <w:p w:rsidR="0017135D" w:rsidRPr="00E673E9" w:rsidP="00877C09">
            <w:pPr>
              <w:pStyle w:val="CSBody8ptbolditalics"/>
              <w:rPr>
                <w:lang w:val="de-DE"/>
              </w:rPr>
            </w:pPr>
            <w:r w:rsidRPr="00792D61">
              <w:rPr>
                <w:lang w:val="de-DE"/>
              </w:rPr>
              <w:t>[</w:t>
            </w:r>
            <w:r w:rsidRPr="00E673E9">
              <w:rPr>
                <w:lang w:val="de-DE"/>
              </w:rPr>
              <w:t>bei Ausgenommenen Bewertungsverbindlichkeiten einfügen:</w:t>
            </w:r>
          </w:p>
          <w:p w:rsidR="0017135D" w:rsidRPr="00E673E9" w:rsidP="00877C09">
            <w:pPr>
              <w:pStyle w:val="CSBody8pt"/>
              <w:rPr>
                <w:lang w:val="de-DE"/>
              </w:rPr>
            </w:pPr>
            <w:r w:rsidRPr="00203289">
              <w:rPr>
                <w:lang w:val="de-DE"/>
              </w:rPr>
              <w:t>Ausgenommene Bewertungsverbindlichkeit</w:t>
            </w:r>
            <w:r w:rsidRPr="00792D61">
              <w:rPr>
                <w:b/>
                <w:lang w:val="de-DE"/>
              </w:rPr>
              <w:t>[</w:t>
            </w:r>
            <w:r w:rsidRPr="00203289">
              <w:rPr>
                <w:lang w:val="de-DE"/>
              </w:rPr>
              <w:t>en</w:t>
            </w:r>
            <w:r w:rsidRPr="00792D61">
              <w:rPr>
                <w:b/>
                <w:lang w:val="de-DE"/>
              </w:rPr>
              <w:t>]</w:t>
            </w:r>
            <w:r>
              <w:rPr>
                <w:lang w:val="de-DE"/>
              </w:rPr>
              <w:fldChar w:fldCharType="begin"/>
            </w:r>
            <w:r w:rsidRPr="00203289">
              <w:rPr>
                <w:lang w:val="de-DE"/>
              </w:rPr>
              <w:instrText xml:space="preserve"> XE "</w:instrText>
            </w:r>
            <w:r w:rsidRPr="00572E7F">
              <w:rPr>
                <w:lang w:val="de-DE"/>
              </w:rPr>
              <w:instrText>Ausgenommene Bewertungsverbindlichkeit</w:instrText>
            </w:r>
            <w:r w:rsidRPr="00792D61">
              <w:rPr>
                <w:b/>
                <w:lang w:val="de-DE"/>
              </w:rPr>
              <w:instrText>[</w:instrText>
            </w:r>
            <w:r w:rsidRPr="00572E7F">
              <w:rPr>
                <w:lang w:val="de-DE"/>
              </w:rPr>
              <w:instrText>en</w:instrText>
            </w:r>
            <w:r w:rsidRPr="00792D61">
              <w:rPr>
                <w:b/>
                <w:lang w:val="de-DE"/>
              </w:rPr>
              <w:instrText>]</w:instrText>
            </w:r>
            <w:r w:rsidRPr="00203289">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E673E9" w:rsidP="006172F3">
            <w:pPr>
              <w:pStyle w:val="CSBody8pt"/>
              <w:rPr>
                <w:bCs/>
                <w:lang w:val="de-DE"/>
              </w:rPr>
            </w:pPr>
            <w:r w:rsidRPr="00792D61">
              <w:rPr>
                <w:b/>
                <w:bCs/>
                <w:lang w:val="de-DE"/>
              </w:rPr>
              <w:t>[</w:t>
            </w:r>
            <w:r w:rsidRPr="00E673E9">
              <w:rPr>
                <w:bCs/>
                <w:lang w:val="de-DE"/>
              </w:rPr>
              <w:t>(a)</w:t>
            </w:r>
            <w:r w:rsidRPr="00792D61">
              <w:rPr>
                <w:b/>
                <w:bCs/>
                <w:lang w:val="de-DE"/>
              </w:rPr>
              <w:t>]</w:t>
            </w:r>
            <w:r w:rsidRPr="00E673E9">
              <w:rPr>
                <w:bCs/>
                <w:lang w:val="de-DE"/>
              </w:rPr>
              <w:t xml:space="preserve"> die folgende</w:t>
            </w:r>
            <w:r w:rsidRPr="00792D61">
              <w:rPr>
                <w:b/>
                <w:bCs/>
                <w:lang w:val="de-DE"/>
              </w:rPr>
              <w:t>[</w:t>
            </w:r>
            <w:r w:rsidRPr="00E673E9">
              <w:rPr>
                <w:bCs/>
                <w:lang w:val="de-DE"/>
              </w:rPr>
              <w:t>n</w:t>
            </w:r>
            <w:r w:rsidRPr="00792D61">
              <w:rPr>
                <w:b/>
                <w:bCs/>
                <w:lang w:val="de-DE"/>
              </w:rPr>
              <w:t>]</w:t>
            </w:r>
            <w:r w:rsidRPr="00E673E9">
              <w:rPr>
                <w:bCs/>
                <w:lang w:val="de-DE"/>
              </w:rPr>
              <w:t xml:space="preserve"> Verbindlichkeit</w:t>
            </w:r>
            <w:r w:rsidRPr="00792D61">
              <w:rPr>
                <w:b/>
                <w:bCs/>
                <w:lang w:val="de-DE"/>
              </w:rPr>
              <w:t>[</w:t>
            </w:r>
            <w:r w:rsidRPr="00E673E9">
              <w:rPr>
                <w:bCs/>
                <w:lang w:val="de-DE"/>
              </w:rPr>
              <w:t>en</w:t>
            </w:r>
            <w:r w:rsidRPr="00792D61">
              <w:rPr>
                <w:b/>
                <w:bCs/>
                <w:lang w:val="de-DE"/>
              </w:rPr>
              <w:t>]</w:t>
            </w:r>
            <w:r w:rsidRPr="00E673E9">
              <w:rPr>
                <w:bCs/>
                <w:lang w:val="de-DE"/>
              </w:rPr>
              <w:t xml:space="preserve"> eines Referenzschuldners </w:t>
            </w:r>
            <w:r w:rsidRPr="00792D61">
              <w:rPr>
                <w:b/>
                <w:bCs/>
                <w:lang w:val="de-DE"/>
              </w:rPr>
              <w:t>[</w:t>
            </w:r>
            <w:r w:rsidRPr="00E673E9">
              <w:rPr>
                <w:bCs/>
                <w:lang w:val="de-DE"/>
              </w:rPr>
              <w:t>ist</w:t>
            </w:r>
            <w:r w:rsidRPr="00792D61">
              <w:rPr>
                <w:b/>
                <w:bCs/>
                <w:lang w:val="de-DE"/>
              </w:rPr>
              <w:t>][</w:t>
            </w:r>
            <w:r w:rsidRPr="00E673E9">
              <w:rPr>
                <w:bCs/>
                <w:lang w:val="de-DE"/>
              </w:rPr>
              <w:t>sind</w:t>
            </w:r>
            <w:r w:rsidRPr="00792D61">
              <w:rPr>
                <w:b/>
                <w:bCs/>
                <w:lang w:val="de-DE"/>
              </w:rPr>
              <w:t>]</w:t>
            </w:r>
            <w:r w:rsidRPr="00E673E9">
              <w:rPr>
                <w:bCs/>
                <w:lang w:val="de-DE"/>
              </w:rPr>
              <w:t xml:space="preserve"> Ausgenommene Bewertungsverbindlichkeit</w:t>
            </w:r>
            <w:r w:rsidRPr="00792D61">
              <w:rPr>
                <w:b/>
                <w:bCs/>
                <w:lang w:val="de-DE"/>
              </w:rPr>
              <w:t>[</w:t>
            </w:r>
            <w:r w:rsidRPr="00E673E9">
              <w:rPr>
                <w:bCs/>
                <w:lang w:val="de-DE"/>
              </w:rPr>
              <w:t>en</w:t>
            </w:r>
            <w:r w:rsidRPr="00792D61">
              <w:rPr>
                <w:b/>
                <w:bCs/>
                <w:lang w:val="de-DE"/>
              </w:rPr>
              <w:t>]</w:t>
            </w:r>
            <w:r w:rsidRPr="00E673E9">
              <w:rPr>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F771A6">
            <w:pPr>
              <w:pStyle w:val="CSBody8pt"/>
              <w:rPr>
                <w:lang w:val="de-DE"/>
              </w:rPr>
            </w:pPr>
          </w:p>
        </w:tc>
        <w:tc>
          <w:tcPr>
            <w:tcW w:w="2973" w:type="dxa"/>
            <w:tcBorders>
              <w:top w:val="nil"/>
              <w:left w:val="nil"/>
              <w:bottom w:val="nil"/>
            </w:tcBorders>
            <w:shd w:val="clear" w:color="auto" w:fill="auto"/>
          </w:tcPr>
          <w:p w:rsidR="0017135D" w:rsidRPr="00022332" w:rsidP="00F771A6">
            <w:pPr>
              <w:pStyle w:val="CSBody8pt"/>
            </w:pPr>
            <w:r w:rsidRPr="00792D61">
              <w:rPr>
                <w:b/>
              </w:rPr>
              <w:t>[</w:t>
            </w:r>
            <w:r w:rsidRPr="00022332">
              <w:rPr>
                <w:rFonts w:ascii="Arial" w:hAnsi="Arial" w:cs="Arial"/>
              </w:rPr>
              <w:t>●</w:t>
            </w:r>
            <w:r w:rsidRPr="00792D61">
              <w:rPr>
                <w:b/>
              </w:rPr>
              <w:t>]</w:t>
            </w:r>
            <w:r w:rsidRPr="00022332">
              <w:t>;</w:t>
            </w:r>
          </w:p>
        </w:tc>
        <w:tc>
          <w:tcPr>
            <w:tcW w:w="1618" w:type="dxa"/>
            <w:gridSpan w:val="2"/>
            <w:tcBorders>
              <w:top w:val="nil"/>
              <w:bottom w:val="nil"/>
              <w:right w:val="nil"/>
            </w:tcBorders>
            <w:shd w:val="clear" w:color="auto" w:fill="auto"/>
          </w:tcPr>
          <w:p w:rsidR="0017135D" w:rsidRPr="00CF2405" w:rsidP="00F771A6">
            <w:pPr>
              <w:pStyle w:val="CSBody8pt"/>
              <w:rPr>
                <w:i/>
                <w:lang w:val="de-DE"/>
              </w:rPr>
            </w:pPr>
          </w:p>
        </w:tc>
        <w:tc>
          <w:tcPr>
            <w:tcW w:w="3318" w:type="dxa"/>
            <w:tcBorders>
              <w:top w:val="nil"/>
              <w:left w:val="nil"/>
              <w:bottom w:val="nil"/>
              <w:right w:val="nil"/>
            </w:tcBorders>
            <w:shd w:val="clear" w:color="auto" w:fill="auto"/>
          </w:tcPr>
          <w:p w:rsidR="0017135D" w:rsidRPr="004869F3" w:rsidP="00F771A6">
            <w:pPr>
              <w:pStyle w:val="CSBody8pt"/>
            </w:pPr>
            <w:r w:rsidRPr="00792D61">
              <w:rPr>
                <w:b/>
              </w:rPr>
              <w:t>[</w:t>
            </w:r>
            <w:r w:rsidRPr="004869F3">
              <w:rPr>
                <w:rFonts w:ascii="Arial" w:hAnsi="Arial" w:cs="Arial"/>
              </w:rPr>
              <w:t>●</w:t>
            </w:r>
            <w:r w:rsidRPr="00792D61">
              <w:rPr>
                <w:b/>
              </w:rPr>
              <w:t>]</w:t>
            </w:r>
            <w:r w:rsidRPr="004869F3">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CF2405" w:rsidP="00F771A6">
            <w:pPr>
              <w:pStyle w:val="CSBody8pt"/>
              <w:rPr>
                <w:lang w:val="de-DE"/>
              </w:rPr>
            </w:pPr>
          </w:p>
        </w:tc>
        <w:tc>
          <w:tcPr>
            <w:tcW w:w="2973" w:type="dxa"/>
            <w:tcBorders>
              <w:top w:val="nil"/>
              <w:left w:val="nil"/>
              <w:bottom w:val="nil"/>
            </w:tcBorders>
            <w:shd w:val="clear" w:color="auto" w:fill="auto"/>
          </w:tcPr>
          <w:p w:rsidR="0017135D" w:rsidRPr="00022332" w:rsidP="00F771A6">
            <w:pPr>
              <w:pStyle w:val="CSBody8pt"/>
            </w:pPr>
            <w:r w:rsidRPr="00792D61">
              <w:rPr>
                <w:b/>
              </w:rPr>
              <w:t>[</w:t>
            </w:r>
            <w:r w:rsidRPr="00022332">
              <w:t>(b) any principal only component of a Bond from which some or all of the interest components have been stripped</w:t>
            </w:r>
            <w:r w:rsidRPr="00792D61">
              <w:rPr>
                <w:b/>
              </w:rPr>
              <w:t>[</w:t>
            </w:r>
            <w:r w:rsidRPr="00022332">
              <w:t>; and</w:t>
            </w:r>
            <w:r w:rsidRPr="00792D61">
              <w:rPr>
                <w:b/>
              </w:rPr>
              <w:t>]</w:t>
            </w:r>
          </w:p>
        </w:tc>
        <w:tc>
          <w:tcPr>
            <w:tcW w:w="1618" w:type="dxa"/>
            <w:gridSpan w:val="2"/>
            <w:tcBorders>
              <w:top w:val="nil"/>
              <w:bottom w:val="nil"/>
              <w:right w:val="nil"/>
            </w:tcBorders>
            <w:shd w:val="clear" w:color="auto" w:fill="auto"/>
          </w:tcPr>
          <w:p w:rsidR="0017135D" w:rsidRPr="00E673E9" w:rsidP="00F771A6">
            <w:pPr>
              <w:pStyle w:val="CSBody8pt"/>
              <w:rPr>
                <w:i/>
              </w:rPr>
            </w:pPr>
          </w:p>
        </w:tc>
        <w:tc>
          <w:tcPr>
            <w:tcW w:w="3318" w:type="dxa"/>
            <w:tcBorders>
              <w:top w:val="nil"/>
              <w:left w:val="nil"/>
              <w:bottom w:val="nil"/>
              <w:right w:val="nil"/>
            </w:tcBorders>
            <w:shd w:val="clear" w:color="auto" w:fill="auto"/>
          </w:tcPr>
          <w:p w:rsidR="0017135D" w:rsidRPr="00E673E9" w:rsidP="00F771A6">
            <w:pPr>
              <w:pStyle w:val="CSBody8pt"/>
              <w:rPr>
                <w:lang w:val="de-DE"/>
              </w:rPr>
            </w:pPr>
            <w:r w:rsidRPr="00792D61">
              <w:rPr>
                <w:b/>
                <w:lang w:val="de-DE"/>
              </w:rPr>
              <w:t>[</w:t>
            </w:r>
            <w:r w:rsidRPr="00E673E9">
              <w:rPr>
                <w:lang w:val="de-DE"/>
              </w:rPr>
              <w:t>(b) jeden ausschliesslich aus Kapitalforderungen bestehenden Bestandteil einer Anleihe, von der alle oder einzelne Zinsbestandteile abgetrennt wurden</w:t>
            </w:r>
            <w:r w:rsidRPr="00792D61">
              <w:rPr>
                <w:b/>
                <w:lang w:val="de-DE"/>
              </w:rPr>
              <w:t>[</w:t>
            </w:r>
            <w:r w:rsidRPr="00E673E9">
              <w:rPr>
                <w:lang w:val="de-DE"/>
              </w:rPr>
              <w:t>; und</w:t>
            </w:r>
            <w:r w:rsidRPr="00792D61">
              <w:rPr>
                <w:b/>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673E9" w:rsidP="00F771A6">
            <w:pPr>
              <w:pStyle w:val="CSBody8pt"/>
              <w:rPr>
                <w:lang w:val="de-DE"/>
              </w:rPr>
            </w:pPr>
          </w:p>
        </w:tc>
        <w:tc>
          <w:tcPr>
            <w:tcW w:w="2973" w:type="dxa"/>
            <w:tcBorders>
              <w:top w:val="nil"/>
              <w:left w:val="nil"/>
              <w:bottom w:val="nil"/>
            </w:tcBorders>
            <w:shd w:val="clear" w:color="auto" w:fill="auto"/>
          </w:tcPr>
          <w:p w:rsidR="0017135D" w:rsidP="00F771A6">
            <w:pPr>
              <w:pStyle w:val="CSBody8pt"/>
            </w:pPr>
            <w:r w:rsidRPr="00792D61">
              <w:rPr>
                <w:b/>
              </w:rPr>
              <w:t>[</w:t>
            </w:r>
            <w:r w:rsidRPr="00F771A6">
              <w:rPr>
                <w:b/>
                <w:i/>
              </w:rPr>
              <w:t xml:space="preserve">if Asset Package Valuation is applicable, insert: </w:t>
            </w:r>
            <w:r w:rsidRPr="00022332">
              <w:t>(c) any obligation issued or incurred on or after the date of the relevant Asset Package Credit Event</w:t>
            </w:r>
            <w:r w:rsidRPr="00792D61">
              <w:rPr>
                <w:b/>
              </w:rPr>
              <w:t>]</w:t>
            </w:r>
            <w:r w:rsidRPr="00022332">
              <w:t>.</w:t>
            </w:r>
            <w:r w:rsidRPr="00792D61">
              <w:rPr>
                <w:b/>
              </w:rPr>
              <w:t>]</w:t>
            </w:r>
          </w:p>
        </w:tc>
        <w:tc>
          <w:tcPr>
            <w:tcW w:w="1618" w:type="dxa"/>
            <w:gridSpan w:val="2"/>
            <w:tcBorders>
              <w:top w:val="nil"/>
              <w:bottom w:val="nil"/>
              <w:right w:val="nil"/>
            </w:tcBorders>
            <w:shd w:val="clear" w:color="auto" w:fill="auto"/>
          </w:tcPr>
          <w:p w:rsidR="0017135D" w:rsidRPr="00E673E9" w:rsidP="00F771A6">
            <w:pPr>
              <w:pStyle w:val="CSBody8pt"/>
              <w:rPr>
                <w:i/>
              </w:rPr>
            </w:pPr>
          </w:p>
        </w:tc>
        <w:tc>
          <w:tcPr>
            <w:tcW w:w="3318" w:type="dxa"/>
            <w:tcBorders>
              <w:top w:val="nil"/>
              <w:left w:val="nil"/>
              <w:bottom w:val="nil"/>
              <w:right w:val="nil"/>
            </w:tcBorders>
            <w:shd w:val="clear" w:color="auto" w:fill="auto"/>
          </w:tcPr>
          <w:p w:rsidR="0017135D" w:rsidRPr="00E673E9" w:rsidP="00F771A6">
            <w:pPr>
              <w:pStyle w:val="CSBody8pt"/>
              <w:rPr>
                <w:lang w:val="de-DE"/>
              </w:rPr>
            </w:pPr>
            <w:r w:rsidRPr="00792D61">
              <w:rPr>
                <w:b/>
                <w:i/>
                <w:lang w:val="de-DE"/>
              </w:rPr>
              <w:t>[</w:t>
            </w:r>
            <w:r w:rsidRPr="00F771A6">
              <w:rPr>
                <w:b/>
                <w:i/>
                <w:lang w:val="de-DE"/>
              </w:rPr>
              <w:t>falls Asset-Paket-Bewertung anwendbar ist, einfügen:</w:t>
            </w:r>
            <w:r w:rsidRPr="00E673E9">
              <w:rPr>
                <w:lang w:val="de-DE"/>
              </w:rPr>
              <w:t xml:space="preserve"> (c) jede nach dem Datum des massgeblichen Kreditereignisses mit Asset-Paket begebene oder entstandene Verbindlichkeit</w:t>
            </w:r>
            <w:r w:rsidRPr="00792D61">
              <w:rPr>
                <w:b/>
                <w:lang w:val="de-DE"/>
              </w:rPr>
              <w:t>]</w:t>
            </w:r>
            <w:r w:rsidRPr="00E673E9">
              <w:rPr>
                <w:lang w:val="de-DE"/>
              </w:rPr>
              <w:t>.</w:t>
            </w:r>
            <w:r w:rsidRPr="00792D61">
              <w:rPr>
                <w:b/>
                <w:lang w:val="de-DE"/>
              </w:rPr>
              <w:t>]</w:t>
            </w:r>
          </w:p>
        </w:tc>
      </w:tr>
      <w:tr w:rsidTr="00BD6E0D">
        <w:tblPrEx>
          <w:tblW w:w="4999" w:type="pct"/>
          <w:tblLayout w:type="fixed"/>
          <w:tblCellMar>
            <w:left w:w="115" w:type="dxa"/>
            <w:right w:w="115" w:type="dxa"/>
          </w:tblCellMar>
          <w:tblLook w:val="04A0"/>
        </w:tblPrEx>
        <w:tc>
          <w:tcPr>
            <w:tcW w:w="1958" w:type="dxa"/>
            <w:gridSpan w:val="4"/>
            <w:vMerge w:val="restart"/>
            <w:tcBorders>
              <w:top w:val="nil"/>
              <w:left w:val="nil"/>
              <w:right w:val="nil"/>
            </w:tcBorders>
            <w:shd w:val="clear" w:color="auto" w:fill="auto"/>
          </w:tcPr>
          <w:p w:rsidR="0017135D" w:rsidRPr="00203289" w:rsidP="00F771A6">
            <w:pPr>
              <w:pStyle w:val="CSBody8pt"/>
              <w:rPr>
                <w:lang w:val="de-DE"/>
              </w:rPr>
            </w:pPr>
            <w:r w:rsidRPr="00203289">
              <w:rPr>
                <w:lang w:val="de-DE"/>
              </w:rPr>
              <w:t>Valuation Obligation Characteristics</w:t>
            </w:r>
            <w:r>
              <w:rPr>
                <w:lang w:val="de-DE"/>
              </w:rPr>
              <w:fldChar w:fldCharType="begin"/>
            </w:r>
            <w:r>
              <w:instrText xml:space="preserve"> XE "</w:instrText>
            </w:r>
            <w:r w:rsidRPr="00F36E8B">
              <w:rPr>
                <w:lang w:val="de-DE"/>
              </w:rPr>
              <w:instrText>Valuation Obligation Characteristics</w:instrText>
            </w:r>
            <w:r>
              <w:instrText xml:space="preserve">" \f "EN" </w:instrText>
            </w:r>
            <w:r>
              <w:rPr>
                <w:lang w:val="de-DE"/>
              </w:rPr>
              <w:fldChar w:fldCharType="end"/>
            </w:r>
          </w:p>
        </w:tc>
        <w:tc>
          <w:tcPr>
            <w:tcW w:w="2973" w:type="dxa"/>
            <w:tcBorders>
              <w:top w:val="nil"/>
              <w:left w:val="nil"/>
              <w:bottom w:val="nil"/>
            </w:tcBorders>
            <w:shd w:val="clear" w:color="auto" w:fill="auto"/>
          </w:tcPr>
          <w:p w:rsidR="0017135D" w:rsidRPr="00203289" w:rsidP="00F771A6">
            <w:pPr>
              <w:pStyle w:val="CSBody8ptbolditalics"/>
            </w:pPr>
            <w:r w:rsidRPr="00792D61">
              <w:t>[</w:t>
            </w:r>
            <w:r w:rsidRPr="00203289">
              <w:t>delete Valuation Obligation Characteristics which are not applicable for relevant Transaction Type, in accordance with the Settlement Matrix</w:t>
            </w:r>
            <w:r w:rsidRPr="00792D61">
              <w:t>]</w:t>
            </w:r>
          </w:p>
        </w:tc>
        <w:tc>
          <w:tcPr>
            <w:tcW w:w="1618" w:type="dxa"/>
            <w:gridSpan w:val="2"/>
            <w:vMerge w:val="restart"/>
            <w:tcBorders>
              <w:top w:val="nil"/>
              <w:right w:val="nil"/>
            </w:tcBorders>
            <w:shd w:val="clear" w:color="auto" w:fill="auto"/>
          </w:tcPr>
          <w:p w:rsidR="0017135D" w:rsidRPr="00203289" w:rsidP="00877C09">
            <w:pPr>
              <w:pStyle w:val="CSBody8pt"/>
              <w:rPr>
                <w:lang w:val="de-DE"/>
              </w:rPr>
            </w:pPr>
            <w:r w:rsidRPr="00203289">
              <w:rPr>
                <w:lang w:val="de-DE"/>
              </w:rPr>
              <w:t>Merkmale der Bewertungsverbindlichkeiten</w:t>
            </w:r>
            <w:r>
              <w:rPr>
                <w:lang w:val="de-DE"/>
              </w:rPr>
              <w:fldChar w:fldCharType="begin"/>
            </w:r>
            <w:r>
              <w:instrText xml:space="preserve"> XE "</w:instrText>
            </w:r>
            <w:r w:rsidRPr="00D77494">
              <w:rPr>
                <w:lang w:val="de-DE"/>
              </w:rPr>
              <w:instrText>Merkmale der Bewertungsverbindlichkeiten</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E673E9" w:rsidP="004C1EBA">
            <w:pPr>
              <w:pStyle w:val="CSBody8ptbolditalics"/>
              <w:rPr>
                <w:lang w:val="de-DE"/>
              </w:rPr>
            </w:pPr>
            <w:r w:rsidRPr="00792D61">
              <w:rPr>
                <w:lang w:val="de-DE"/>
              </w:rPr>
              <w:t>[</w:t>
            </w:r>
            <w:r w:rsidRPr="00203289">
              <w:rPr>
                <w:lang w:val="de-DE"/>
              </w:rPr>
              <w:t>Merkmale der Bewertungsverbindlichkeit, die für den betreffenden Transaktionstyp nicht anwendbar sind, gemäss der Abwicklungsmatrix streichen</w:t>
            </w:r>
            <w:r w:rsidRPr="00792D61">
              <w:rPr>
                <w:lang w:val="de-DE"/>
              </w:rPr>
              <w:t>]</w:t>
            </w:r>
          </w:p>
        </w:tc>
      </w:tr>
      <w:tr w:rsidTr="00BD6E0D">
        <w:tblPrEx>
          <w:tblW w:w="4999" w:type="pct"/>
          <w:tblLayout w:type="fixed"/>
          <w:tblCellMar>
            <w:left w:w="115" w:type="dxa"/>
            <w:right w:w="115" w:type="dxa"/>
          </w:tblCellMar>
          <w:tblLook w:val="04A0"/>
        </w:tblPrEx>
        <w:tc>
          <w:tcPr>
            <w:tcW w:w="1958" w:type="dxa"/>
            <w:gridSpan w:val="4"/>
            <w:vMerge/>
            <w:tcBorders>
              <w:left w:val="nil"/>
              <w:bottom w:val="nil"/>
              <w:right w:val="nil"/>
            </w:tcBorders>
            <w:shd w:val="clear" w:color="auto" w:fill="auto"/>
          </w:tcPr>
          <w:p w:rsidR="0017135D" w:rsidRPr="00E673E9" w:rsidP="00A457E7">
            <w:pPr>
              <w:pStyle w:val="CSBody0"/>
              <w:rPr>
                <w:lang w:val="de-DE"/>
              </w:rPr>
            </w:pPr>
          </w:p>
        </w:tc>
        <w:tc>
          <w:tcPr>
            <w:tcW w:w="2973" w:type="dxa"/>
            <w:tcBorders>
              <w:top w:val="nil"/>
              <w:left w:val="nil"/>
              <w:bottom w:val="nil"/>
            </w:tcBorders>
            <w:shd w:val="clear" w:color="auto" w:fill="auto"/>
          </w:tcPr>
          <w:p w:rsidR="0017135D" w:rsidRPr="00E673E9" w:rsidP="00242103">
            <w:pPr>
              <w:pStyle w:val="CSBody8pt"/>
            </w:pPr>
            <w:r w:rsidRPr="00792D61">
              <w:rPr>
                <w:b/>
              </w:rPr>
              <w:t>[</w:t>
            </w:r>
            <w:r w:rsidRPr="00E673E9">
              <w:t>Not Subordinated</w:t>
            </w:r>
            <w:r w:rsidRPr="00792D61">
              <w:rPr>
                <w:b/>
              </w:rPr>
              <w:t>]</w:t>
            </w:r>
          </w:p>
          <w:p w:rsidR="0017135D" w:rsidRPr="00E673E9" w:rsidP="00242103">
            <w:pPr>
              <w:pStyle w:val="CSBody8pt"/>
            </w:pPr>
            <w:r w:rsidRPr="00792D61">
              <w:rPr>
                <w:b/>
              </w:rPr>
              <w:t>[</w:t>
            </w:r>
            <w:r w:rsidRPr="00E673E9">
              <w:t>Specified Currency</w:t>
            </w:r>
            <w:r w:rsidRPr="00792D61">
              <w:rPr>
                <w:b/>
              </w:rPr>
              <w:t>]</w:t>
            </w:r>
          </w:p>
          <w:p w:rsidR="0017135D" w:rsidRPr="00E673E9" w:rsidP="00242103">
            <w:pPr>
              <w:pStyle w:val="CSBody8pt"/>
            </w:pPr>
            <w:r w:rsidRPr="00792D61">
              <w:rPr>
                <w:b/>
              </w:rPr>
              <w:t>[</w:t>
            </w:r>
            <w:r w:rsidRPr="00E673E9">
              <w:t>Not Sovereign Lender</w:t>
            </w:r>
            <w:r w:rsidRPr="00792D61">
              <w:rPr>
                <w:b/>
              </w:rPr>
              <w:t>]</w:t>
            </w:r>
          </w:p>
          <w:p w:rsidR="0017135D" w:rsidRPr="00E673E9" w:rsidP="00242103">
            <w:pPr>
              <w:pStyle w:val="CSBody8pt"/>
            </w:pPr>
            <w:r w:rsidRPr="00792D61">
              <w:rPr>
                <w:b/>
              </w:rPr>
              <w:t>[</w:t>
            </w:r>
            <w:r w:rsidRPr="00E673E9">
              <w:t>Not Domestic Currency</w:t>
            </w:r>
            <w:r w:rsidRPr="00792D61">
              <w:rPr>
                <w:b/>
              </w:rPr>
              <w:t>]</w:t>
            </w:r>
          </w:p>
          <w:p w:rsidR="0017135D" w:rsidRPr="00E673E9" w:rsidP="00242103">
            <w:pPr>
              <w:pStyle w:val="CSBody8pt"/>
            </w:pPr>
            <w:r w:rsidRPr="00792D61">
              <w:rPr>
                <w:b/>
              </w:rPr>
              <w:t>[</w:t>
            </w:r>
            <w:r w:rsidRPr="00E673E9">
              <w:t>Not Domestic Law</w:t>
            </w:r>
            <w:r w:rsidRPr="00792D61">
              <w:rPr>
                <w:b/>
              </w:rPr>
              <w:t>]</w:t>
            </w:r>
          </w:p>
          <w:p w:rsidR="0017135D" w:rsidRPr="00E673E9" w:rsidP="00242103">
            <w:pPr>
              <w:pStyle w:val="CSBody8pt"/>
            </w:pPr>
            <w:r w:rsidRPr="00792D61">
              <w:rPr>
                <w:b/>
              </w:rPr>
              <w:t>[</w:t>
            </w:r>
            <w:r w:rsidRPr="00E673E9">
              <w:t>Listed</w:t>
            </w:r>
            <w:r w:rsidRPr="00792D61">
              <w:rPr>
                <w:b/>
              </w:rPr>
              <w:t>]</w:t>
            </w:r>
          </w:p>
          <w:p w:rsidR="0017135D" w:rsidRPr="00E673E9" w:rsidP="00242103">
            <w:pPr>
              <w:pStyle w:val="CSBody8pt"/>
            </w:pPr>
            <w:r w:rsidRPr="00792D61">
              <w:rPr>
                <w:b/>
              </w:rPr>
              <w:t>[</w:t>
            </w:r>
            <w:r w:rsidRPr="00E673E9">
              <w:t>Not Domestic Issuance</w:t>
            </w:r>
            <w:r w:rsidRPr="00792D61">
              <w:rPr>
                <w:b/>
              </w:rPr>
              <w:t>]</w:t>
            </w:r>
          </w:p>
          <w:p w:rsidR="0017135D" w:rsidRPr="00E673E9" w:rsidP="00242103">
            <w:pPr>
              <w:pStyle w:val="CSBody8pt"/>
            </w:pPr>
            <w:r w:rsidRPr="00792D61">
              <w:rPr>
                <w:b/>
              </w:rPr>
              <w:t>[</w:t>
            </w:r>
            <w:r w:rsidRPr="00E673E9">
              <w:t>Assignable Loan</w:t>
            </w:r>
            <w:r w:rsidRPr="00792D61">
              <w:rPr>
                <w:b/>
              </w:rPr>
              <w:t>]</w:t>
            </w:r>
          </w:p>
          <w:p w:rsidR="0017135D" w:rsidRPr="00E673E9" w:rsidP="00242103">
            <w:pPr>
              <w:pStyle w:val="CSBody8pt"/>
            </w:pPr>
            <w:r w:rsidRPr="00792D61">
              <w:rPr>
                <w:b/>
              </w:rPr>
              <w:t>[</w:t>
            </w:r>
            <w:r w:rsidRPr="00E673E9">
              <w:t>Consent Required Loan</w:t>
            </w:r>
            <w:r w:rsidRPr="00792D61">
              <w:rPr>
                <w:b/>
              </w:rPr>
              <w:t>]</w:t>
            </w:r>
          </w:p>
          <w:p w:rsidR="0017135D" w:rsidRPr="00E673E9" w:rsidP="00242103">
            <w:pPr>
              <w:pStyle w:val="CSBody8pt"/>
            </w:pPr>
            <w:r w:rsidRPr="00792D61">
              <w:rPr>
                <w:b/>
              </w:rPr>
              <w:t>[</w:t>
            </w:r>
            <w:r w:rsidRPr="00E673E9">
              <w:t>Transferable</w:t>
            </w:r>
            <w:r w:rsidRPr="00792D61">
              <w:rPr>
                <w:b/>
              </w:rPr>
              <w:t>]</w:t>
            </w:r>
          </w:p>
          <w:p w:rsidR="0017135D" w:rsidRPr="00E673E9" w:rsidP="00242103">
            <w:pPr>
              <w:pStyle w:val="CSBody8pt"/>
            </w:pPr>
            <w:r w:rsidRPr="00792D61">
              <w:rPr>
                <w:b/>
              </w:rPr>
              <w:t>[</w:t>
            </w:r>
            <w:r w:rsidRPr="00E673E9">
              <w:t xml:space="preserve">Maximum Maturity: </w:t>
            </w:r>
            <w:r w:rsidRPr="00792D61">
              <w:rPr>
                <w:b/>
              </w:rPr>
              <w:t>[</w:t>
            </w:r>
            <w:r w:rsidRPr="00E673E9">
              <w:rPr>
                <w:rFonts w:ascii="Arial" w:hAnsi="Arial" w:cs="Arial"/>
              </w:rPr>
              <w:t>●</w:t>
            </w:r>
            <w:r w:rsidRPr="00792D61">
              <w:rPr>
                <w:b/>
              </w:rPr>
              <w:t>][</w:t>
            </w:r>
            <w:r w:rsidRPr="00E673E9">
              <w:t>thirty</w:t>
            </w:r>
            <w:r w:rsidRPr="00792D61">
              <w:rPr>
                <w:b/>
              </w:rPr>
              <w:t>]</w:t>
            </w:r>
            <w:r w:rsidRPr="00E673E9">
              <w:t xml:space="preserve"> years</w:t>
            </w:r>
            <w:r w:rsidRPr="00792D61">
              <w:rPr>
                <w:b/>
              </w:rPr>
              <w:t>]</w:t>
            </w:r>
          </w:p>
          <w:p w:rsidR="0017135D" w:rsidRPr="001D022D" w:rsidP="00242103">
            <w:pPr>
              <w:pStyle w:val="CSBody8pt"/>
            </w:pPr>
            <w:r w:rsidRPr="00792D61">
              <w:rPr>
                <w:b/>
              </w:rPr>
              <w:t>[</w:t>
            </w:r>
            <w:r w:rsidRPr="001D022D">
              <w:t>Accelerated or Matured</w:t>
            </w:r>
            <w:r w:rsidRPr="00792D61">
              <w:rPr>
                <w:b/>
              </w:rPr>
              <w:t>]</w:t>
            </w:r>
          </w:p>
          <w:p w:rsidR="0017135D" w:rsidRPr="001D022D" w:rsidP="00242103">
            <w:pPr>
              <w:pStyle w:val="CSBody8pt"/>
            </w:pPr>
            <w:r w:rsidRPr="00792D61">
              <w:rPr>
                <w:b/>
              </w:rPr>
              <w:t>[</w:t>
            </w:r>
            <w:r w:rsidRPr="001D022D">
              <w:t>Not Bearer</w:t>
            </w:r>
            <w:r w:rsidRPr="00792D61">
              <w:rPr>
                <w:b/>
              </w:rPr>
              <w:t>]</w:t>
            </w:r>
          </w:p>
        </w:tc>
        <w:tc>
          <w:tcPr>
            <w:tcW w:w="1618" w:type="dxa"/>
            <w:gridSpan w:val="2"/>
            <w:vMerge/>
            <w:tcBorders>
              <w:bottom w:val="nil"/>
              <w:right w:val="nil"/>
            </w:tcBorders>
            <w:shd w:val="clear" w:color="auto" w:fill="auto"/>
          </w:tcPr>
          <w:p w:rsidR="0017135D" w:rsidRPr="001D022D" w:rsidP="00242103">
            <w:pPr>
              <w:pStyle w:val="CSBody8pt"/>
              <w:rPr>
                <w:i/>
              </w:rPr>
            </w:pPr>
          </w:p>
        </w:tc>
        <w:tc>
          <w:tcPr>
            <w:tcW w:w="3318" w:type="dxa"/>
            <w:tcBorders>
              <w:top w:val="nil"/>
              <w:left w:val="nil"/>
              <w:bottom w:val="nil"/>
              <w:right w:val="nil"/>
            </w:tcBorders>
            <w:shd w:val="clear" w:color="auto" w:fill="auto"/>
          </w:tcPr>
          <w:p w:rsidR="0017135D" w:rsidRPr="00E673E9" w:rsidP="00242103">
            <w:pPr>
              <w:pStyle w:val="CSBody8pt"/>
              <w:rPr>
                <w:bCs/>
                <w:lang w:val="de-DE"/>
              </w:rPr>
            </w:pPr>
            <w:r w:rsidRPr="00792D61">
              <w:rPr>
                <w:b/>
                <w:bCs/>
                <w:lang w:val="de-DE"/>
              </w:rPr>
              <w:t>[</w:t>
            </w:r>
            <w:r w:rsidRPr="00E673E9">
              <w:rPr>
                <w:bCs/>
                <w:lang w:val="de-DE"/>
              </w:rPr>
              <w:t>Nicht Nachrangig</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Festgelegte Währung</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Kein Staat als Kreditgeber</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Keine Inlandswährung</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Nicht Inländisches Recht</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Börsennotiert</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Keine Inländische Emission</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Abtretbares Darlehen</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Darlehen mit Zustimmungserfordernis</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Übertragbar</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 xml:space="preserve">Höchstlaufzeit: </w:t>
            </w:r>
            <w:r w:rsidRPr="00792D61">
              <w:rPr>
                <w:b/>
                <w:bCs/>
                <w:lang w:val="de-DE"/>
              </w:rPr>
              <w:t>[</w:t>
            </w:r>
            <w:r w:rsidRPr="00E673E9">
              <w:rPr>
                <w:rFonts w:ascii="Arial" w:hAnsi="Arial" w:cs="Arial"/>
                <w:bCs/>
                <w:lang w:val="de-DE"/>
              </w:rPr>
              <w:t>●</w:t>
            </w:r>
            <w:r w:rsidRPr="00792D61">
              <w:rPr>
                <w:b/>
                <w:bCs/>
                <w:lang w:val="de-DE"/>
              </w:rPr>
              <w:t>][</w:t>
            </w:r>
            <w:r w:rsidRPr="00E673E9">
              <w:rPr>
                <w:bCs/>
                <w:lang w:val="de-DE"/>
              </w:rPr>
              <w:t>dreissig</w:t>
            </w:r>
            <w:r w:rsidRPr="00792D61">
              <w:rPr>
                <w:b/>
                <w:bCs/>
                <w:lang w:val="de-DE"/>
              </w:rPr>
              <w:t>]</w:t>
            </w:r>
            <w:r w:rsidRPr="00E673E9">
              <w:rPr>
                <w:bCs/>
                <w:lang w:val="de-DE"/>
              </w:rPr>
              <w:t xml:space="preserve"> Jahre</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Fälliggestellt oder Abgelaufen</w:t>
            </w:r>
            <w:r w:rsidRPr="00792D61">
              <w:rPr>
                <w:b/>
                <w:bCs/>
                <w:lang w:val="de-DE"/>
              </w:rPr>
              <w:t>]</w:t>
            </w:r>
          </w:p>
          <w:p w:rsidR="0017135D" w:rsidRPr="00E673E9" w:rsidP="00242103">
            <w:pPr>
              <w:pStyle w:val="CSBody8pt"/>
              <w:rPr>
                <w:bCs/>
                <w:lang w:val="de-DE"/>
              </w:rPr>
            </w:pPr>
            <w:r w:rsidRPr="00792D61">
              <w:rPr>
                <w:b/>
                <w:bCs/>
                <w:lang w:val="de-DE"/>
              </w:rPr>
              <w:t>[</w:t>
            </w:r>
            <w:r w:rsidRPr="00E673E9">
              <w:rPr>
                <w:bCs/>
                <w:lang w:val="de-DE"/>
              </w:rPr>
              <w:t>Kein Inhaberpapier</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673E9" w:rsidP="00547288">
            <w:pPr>
              <w:pStyle w:val="CSBody8ptbolditalics"/>
              <w:rPr>
                <w:lang w:val="de-DE"/>
              </w:rPr>
            </w:pPr>
          </w:p>
        </w:tc>
        <w:tc>
          <w:tcPr>
            <w:tcW w:w="2973" w:type="dxa"/>
            <w:tcBorders>
              <w:top w:val="nil"/>
              <w:left w:val="nil"/>
              <w:bottom w:val="nil"/>
            </w:tcBorders>
            <w:shd w:val="clear" w:color="auto" w:fill="auto"/>
          </w:tcPr>
          <w:p w:rsidR="0017135D" w:rsidRPr="0053243E" w:rsidP="00547288">
            <w:pPr>
              <w:pStyle w:val="CSBody8ptbolditalics"/>
            </w:pPr>
            <w:r w:rsidRPr="00792D61">
              <w:t>[</w:t>
            </w:r>
            <w:r w:rsidRPr="0053243E">
              <w:t>if any Valuation Obligation Characteristic is applicable and "Financial Reference Entity Terms" and "Governmental Intervention" are applicable, insert:</w:t>
            </w:r>
          </w:p>
        </w:tc>
        <w:tc>
          <w:tcPr>
            <w:tcW w:w="1618" w:type="dxa"/>
            <w:gridSpan w:val="2"/>
            <w:tcBorders>
              <w:top w:val="nil"/>
              <w:bottom w:val="nil"/>
              <w:right w:val="nil"/>
            </w:tcBorders>
            <w:shd w:val="clear" w:color="auto" w:fill="auto"/>
          </w:tcPr>
          <w:p w:rsidR="0017135D" w:rsidRPr="00E673E9" w:rsidP="00547288">
            <w:pPr>
              <w:pStyle w:val="CSBody8ptbolditalics"/>
            </w:pPr>
          </w:p>
        </w:tc>
        <w:tc>
          <w:tcPr>
            <w:tcW w:w="3318" w:type="dxa"/>
            <w:tcBorders>
              <w:top w:val="nil"/>
              <w:left w:val="nil"/>
              <w:bottom w:val="nil"/>
              <w:right w:val="nil"/>
            </w:tcBorders>
            <w:shd w:val="clear" w:color="auto" w:fill="auto"/>
          </w:tcPr>
          <w:p w:rsidR="0017135D" w:rsidRPr="00E673E9" w:rsidP="00547288">
            <w:pPr>
              <w:pStyle w:val="CSBody8ptbolditalics"/>
              <w:rPr>
                <w:lang w:val="de-DE"/>
              </w:rPr>
            </w:pPr>
            <w:r w:rsidRPr="00792D61">
              <w:rPr>
                <w:lang w:val="de-DE"/>
              </w:rPr>
              <w:t>[</w:t>
            </w:r>
            <w:r w:rsidRPr="00E673E9">
              <w:rPr>
                <w:lang w:val="de-DE"/>
              </w:rPr>
              <w:t>falls Merkmale der Bewertungsverbindlichkeit anwendbar sind und "Bedingungen für Finanzinstitute als Referenzschuldner" und "Staatliche Intervention" anwendbar sind, einfügen:</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673E9" w:rsidP="00547288">
            <w:pPr>
              <w:pStyle w:val="CSBody8pt"/>
              <w:rPr>
                <w:lang w:val="de-DE"/>
              </w:rPr>
            </w:pPr>
          </w:p>
        </w:tc>
        <w:tc>
          <w:tcPr>
            <w:tcW w:w="2973" w:type="dxa"/>
            <w:tcBorders>
              <w:top w:val="nil"/>
              <w:left w:val="nil"/>
              <w:bottom w:val="nil"/>
            </w:tcBorders>
            <w:shd w:val="clear" w:color="auto" w:fill="auto"/>
          </w:tcPr>
          <w:p w:rsidR="0017135D" w:rsidP="00547288">
            <w:pPr>
              <w:pStyle w:val="CSBody8pt"/>
            </w:pPr>
            <w:r w:rsidRPr="0053243E">
              <w:t>If an obligation would otherwise satisfy a particular Valuation Obligation Characteristic, the existence of any terms in the relevant obligation in effect at the time of making the determination which permit the Reference Entity's obligations to be altered, discharged, released or suspended in circumstances which would constitute a Governmental Intervention, shall not cause such obligation to fail to satisfy such Valuation Obligation Characteristic.</w:t>
            </w:r>
            <w:r w:rsidRPr="00792D61">
              <w:rPr>
                <w:b/>
              </w:rPr>
              <w:t>]</w:t>
            </w:r>
          </w:p>
        </w:tc>
        <w:tc>
          <w:tcPr>
            <w:tcW w:w="1618" w:type="dxa"/>
            <w:gridSpan w:val="2"/>
            <w:tcBorders>
              <w:top w:val="nil"/>
              <w:bottom w:val="nil"/>
              <w:right w:val="nil"/>
            </w:tcBorders>
            <w:shd w:val="clear" w:color="auto" w:fill="auto"/>
          </w:tcPr>
          <w:p w:rsidR="0017135D" w:rsidRPr="00E673E9" w:rsidP="00547288">
            <w:pPr>
              <w:pStyle w:val="CSBody8pt"/>
              <w:rPr>
                <w:i/>
              </w:rPr>
            </w:pPr>
          </w:p>
        </w:tc>
        <w:tc>
          <w:tcPr>
            <w:tcW w:w="3318" w:type="dxa"/>
            <w:tcBorders>
              <w:top w:val="nil"/>
              <w:left w:val="nil"/>
              <w:bottom w:val="nil"/>
              <w:right w:val="nil"/>
            </w:tcBorders>
            <w:shd w:val="clear" w:color="auto" w:fill="auto"/>
          </w:tcPr>
          <w:p w:rsidR="0017135D" w:rsidRPr="00E673E9" w:rsidP="00547288">
            <w:pPr>
              <w:pStyle w:val="CSBody8pt"/>
              <w:rPr>
                <w:lang w:val="de-DE"/>
              </w:rPr>
            </w:pPr>
            <w:r w:rsidRPr="00E673E9">
              <w:rPr>
                <w:lang w:val="de-DE"/>
              </w:rPr>
              <w:t>Wenn eine Verbindlichkeit im Übrigen ein bestimmtes Merkmal einer Bewertungsverbindlichkeit erfüllen würde, hat das Bestehen von im Zeitpunkt der Feststellung geltenden Bedingungen der betreffenden Verbindlichkeit, die gestatten, dass die Verbindlichkeiten des Referenzschuldners in Fällen, die eine Staatliche Intervention darstellen würden, abgeändert, erfüllt, freigegeben oder ausgesetzt werden, nicht zur Folge, dass die betreffende Verbindlichkeit das betreffende Merkmal der Bewertungsverbindlichkeit nicht mehr erfüllt.</w:t>
            </w:r>
            <w:r w:rsidRPr="00792D61">
              <w:rPr>
                <w:b/>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1D022D" w:rsidP="004C1EBA">
            <w:pPr>
              <w:pStyle w:val="CSBody8pt"/>
              <w:rPr>
                <w:lang w:val="de-DE"/>
              </w:rPr>
            </w:pPr>
          </w:p>
        </w:tc>
        <w:tc>
          <w:tcPr>
            <w:tcW w:w="2973" w:type="dxa"/>
            <w:tcBorders>
              <w:top w:val="nil"/>
              <w:left w:val="nil"/>
              <w:bottom w:val="nil"/>
            </w:tcBorders>
            <w:shd w:val="clear" w:color="auto" w:fill="auto"/>
          </w:tcPr>
          <w:p w:rsidR="0017135D" w:rsidRPr="003C6DF9" w:rsidP="004C1EBA">
            <w:pPr>
              <w:pStyle w:val="CSBody8pt"/>
              <w:rPr>
                <w:b/>
              </w:rPr>
            </w:pPr>
            <w:r w:rsidRPr="003C6DF9">
              <w:rPr>
                <w:b/>
              </w:rPr>
              <w:t>[</w:t>
            </w:r>
            <w:r w:rsidRPr="003C6DF9">
              <w:rPr>
                <w:b/>
                <w:i/>
              </w:rPr>
              <w:t>in case of Credit-Linked Complex Products with LPN Reference Obligation, insert:</w:t>
            </w:r>
            <w:r w:rsidRPr="003C6DF9">
              <w:t xml:space="preserve"> The Not Subordinated Valuation Obligation Characteristic shall be construed as if no Reference Obligation was specified in respect of the Reference Entity.</w:t>
            </w:r>
            <w:r>
              <w:rPr>
                <w:b/>
              </w:rPr>
              <w:t>]</w:t>
            </w:r>
          </w:p>
        </w:tc>
        <w:tc>
          <w:tcPr>
            <w:tcW w:w="1618" w:type="dxa"/>
            <w:gridSpan w:val="2"/>
            <w:tcBorders>
              <w:top w:val="nil"/>
              <w:bottom w:val="nil"/>
              <w:right w:val="nil"/>
            </w:tcBorders>
            <w:shd w:val="clear" w:color="auto" w:fill="auto"/>
          </w:tcPr>
          <w:p w:rsidR="0017135D" w:rsidRPr="00CF2405" w:rsidP="004C1EBA">
            <w:pPr>
              <w:pStyle w:val="CSBody8pt"/>
              <w:rPr>
                <w:i/>
              </w:rPr>
            </w:pPr>
          </w:p>
        </w:tc>
        <w:tc>
          <w:tcPr>
            <w:tcW w:w="3318" w:type="dxa"/>
            <w:tcBorders>
              <w:top w:val="nil"/>
              <w:left w:val="nil"/>
              <w:bottom w:val="nil"/>
              <w:right w:val="nil"/>
            </w:tcBorders>
            <w:shd w:val="clear" w:color="auto" w:fill="auto"/>
          </w:tcPr>
          <w:p w:rsidR="0017135D" w:rsidRPr="003C6DF9" w:rsidP="004C1EBA">
            <w:pPr>
              <w:pStyle w:val="CSBody8pt"/>
              <w:rPr>
                <w:b/>
                <w:bCs/>
                <w:lang w:val="de-DE"/>
              </w:rPr>
            </w:pPr>
            <w:r w:rsidRPr="003C6DF9">
              <w:rPr>
                <w:b/>
                <w:bCs/>
                <w:lang w:val="de-DE"/>
              </w:rPr>
              <w:t>[</w:t>
            </w:r>
            <w:r w:rsidRPr="003C6DF9">
              <w:rPr>
                <w:b/>
                <w:bCs/>
                <w:i/>
                <w:lang w:val="de-DE"/>
              </w:rPr>
              <w:t xml:space="preserve">bei Kreditbezogenen Komplexen Produkten mit LPN-Referenzverbindlichkeit einfügen: </w:t>
            </w:r>
            <w:r w:rsidRPr="003C6DF9">
              <w:rPr>
                <w:bCs/>
                <w:lang w:val="de-DE"/>
              </w:rPr>
              <w:t xml:space="preserve">Das Merkmal der Bewertungsverbindlichkeit </w:t>
            </w:r>
            <w:r w:rsidR="003B00F3">
              <w:rPr>
                <w:bCs/>
                <w:lang w:val="de-DE"/>
              </w:rPr>
              <w:t>"</w:t>
            </w:r>
            <w:r w:rsidRPr="003C6DF9">
              <w:rPr>
                <w:bCs/>
                <w:lang w:val="de-DE"/>
              </w:rPr>
              <w:t>Nicht Nachrangig</w:t>
            </w:r>
            <w:r w:rsidR="003B00F3">
              <w:rPr>
                <w:bCs/>
                <w:lang w:val="de-DE"/>
              </w:rPr>
              <w:t>"</w:t>
            </w:r>
            <w:r w:rsidRPr="003C6DF9">
              <w:rPr>
                <w:bCs/>
                <w:lang w:val="de-DE"/>
              </w:rPr>
              <w:t xml:space="preserve"> ist so auszulegen, als ob keine Referenzverbindlichkeit für den Referenzschuldner angegeben wäre.</w:t>
            </w:r>
            <w:r>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9E211C" w:rsidP="00877C09">
            <w:pPr>
              <w:pStyle w:val="CSBody8pt"/>
            </w:pPr>
            <w:r w:rsidRPr="009E211C">
              <w:t>Fi</w:t>
            </w:r>
            <w:r>
              <w:t>nancial Reference Entity Terms</w:t>
            </w:r>
            <w:r>
              <w:rPr>
                <w:rStyle w:val="FootnoteReference"/>
              </w:rPr>
              <w:footnoteReference w:id="46"/>
            </w:r>
          </w:p>
        </w:tc>
        <w:tc>
          <w:tcPr>
            <w:tcW w:w="2973" w:type="dxa"/>
            <w:tcBorders>
              <w:top w:val="nil"/>
              <w:left w:val="nil"/>
              <w:bottom w:val="nil"/>
            </w:tcBorders>
            <w:shd w:val="clear" w:color="auto" w:fill="auto"/>
          </w:tcPr>
          <w:p w:rsidR="0017135D" w:rsidRPr="00C90E2D" w:rsidP="00547288">
            <w:pPr>
              <w:pStyle w:val="CSBody8pt"/>
            </w:pPr>
            <w:r w:rsidRPr="00792D61">
              <w:rPr>
                <w:b/>
              </w:rPr>
              <w:t>[</w:t>
            </w:r>
            <w:r w:rsidRPr="00C90E2D">
              <w:t>Applicable</w:t>
            </w:r>
            <w:r w:rsidRPr="00792D61">
              <w:rPr>
                <w:b/>
              </w:rPr>
              <w:t>][</w:t>
            </w:r>
            <w:r w:rsidRPr="00C90E2D">
              <w:t>Not applicable</w:t>
            </w:r>
            <w:r w:rsidRPr="00792D61">
              <w:rPr>
                <w:b/>
              </w:rPr>
              <w:t>]</w:t>
            </w:r>
          </w:p>
        </w:tc>
        <w:tc>
          <w:tcPr>
            <w:tcW w:w="1618" w:type="dxa"/>
            <w:gridSpan w:val="2"/>
            <w:tcBorders>
              <w:top w:val="nil"/>
              <w:bottom w:val="nil"/>
              <w:right w:val="nil"/>
            </w:tcBorders>
            <w:shd w:val="clear" w:color="auto" w:fill="auto"/>
          </w:tcPr>
          <w:p w:rsidR="0017135D" w:rsidRPr="00C90E2D" w:rsidP="00877C09">
            <w:pPr>
              <w:pStyle w:val="CSBody8pt"/>
              <w:rPr>
                <w:lang w:val="de-DE"/>
              </w:rPr>
            </w:pPr>
            <w:r w:rsidRPr="00C90E2D">
              <w:rPr>
                <w:lang w:val="de-DE"/>
              </w:rPr>
              <w:t>Bedingungen für Finanzinstitute als Referenzschuldner</w:t>
            </w:r>
            <w:r>
              <w:rPr>
                <w:rStyle w:val="FootnoteReference"/>
                <w:lang w:val="de-DE"/>
              </w:rPr>
              <w:footnoteReference w:id="47"/>
            </w:r>
          </w:p>
        </w:tc>
        <w:tc>
          <w:tcPr>
            <w:tcW w:w="3318" w:type="dxa"/>
            <w:tcBorders>
              <w:top w:val="nil"/>
              <w:left w:val="nil"/>
              <w:bottom w:val="nil"/>
              <w:right w:val="nil"/>
            </w:tcBorders>
            <w:shd w:val="clear" w:color="auto" w:fill="auto"/>
          </w:tcPr>
          <w:p w:rsidR="0017135D" w:rsidRPr="00C90E2D" w:rsidP="00547288">
            <w:pPr>
              <w:pStyle w:val="CSBody8pt"/>
            </w:pPr>
            <w:r w:rsidRPr="00792D61">
              <w:rPr>
                <w:b/>
              </w:rPr>
              <w:t>[</w:t>
            </w:r>
            <w:r w:rsidRPr="00C90E2D">
              <w:t>Anwendbar</w:t>
            </w:r>
            <w:r w:rsidRPr="00792D61">
              <w:rPr>
                <w:b/>
              </w:rPr>
              <w:t>][</w:t>
            </w:r>
            <w:r w:rsidRPr="00C90E2D">
              <w:t>Nicht Anwendbar</w:t>
            </w:r>
            <w:r w:rsidRPr="00792D61">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9E211C" w:rsidP="00877C09">
            <w:pPr>
              <w:pStyle w:val="CSBody8pt"/>
            </w:pPr>
            <w:r>
              <w:t>LPN Additional Provisions</w:t>
            </w:r>
            <w:r>
              <w:rPr>
                <w:vertAlign w:val="superscript"/>
              </w:rPr>
              <w:footnoteReference w:id="48"/>
            </w:r>
          </w:p>
        </w:tc>
        <w:tc>
          <w:tcPr>
            <w:tcW w:w="2973" w:type="dxa"/>
            <w:tcBorders>
              <w:top w:val="nil"/>
              <w:left w:val="nil"/>
              <w:bottom w:val="nil"/>
            </w:tcBorders>
            <w:shd w:val="clear" w:color="auto" w:fill="auto"/>
          </w:tcPr>
          <w:p w:rsidR="0017135D" w:rsidRPr="00C90E2D" w:rsidP="00547288">
            <w:pPr>
              <w:pStyle w:val="CSBody8pt"/>
            </w:pPr>
            <w:r w:rsidRPr="003C6DF9">
              <w:rPr>
                <w:b/>
              </w:rPr>
              <w:t>[</w:t>
            </w:r>
            <w:r w:rsidRPr="003C6DF9">
              <w:t>Applicable</w:t>
            </w:r>
            <w:r w:rsidRPr="003C6DF9">
              <w:rPr>
                <w:b/>
              </w:rPr>
              <w:t>][</w:t>
            </w:r>
            <w:r w:rsidRPr="003C6DF9">
              <w:t>Not applicable</w:t>
            </w:r>
            <w:r w:rsidRPr="003C6DF9">
              <w:rPr>
                <w:b/>
              </w:rPr>
              <w:t>]</w:t>
            </w:r>
          </w:p>
        </w:tc>
        <w:tc>
          <w:tcPr>
            <w:tcW w:w="1618" w:type="dxa"/>
            <w:gridSpan w:val="2"/>
            <w:tcBorders>
              <w:top w:val="nil"/>
              <w:bottom w:val="nil"/>
              <w:right w:val="nil"/>
            </w:tcBorders>
            <w:shd w:val="clear" w:color="auto" w:fill="auto"/>
          </w:tcPr>
          <w:p w:rsidR="0017135D" w:rsidRPr="00C90E2D" w:rsidP="00877C09">
            <w:pPr>
              <w:pStyle w:val="CSBody8pt"/>
              <w:rPr>
                <w:lang w:val="de-DE"/>
              </w:rPr>
            </w:pPr>
            <w:r>
              <w:rPr>
                <w:lang w:val="de-DE"/>
              </w:rPr>
              <w:t>LPN Zusatz-Bestimmungen</w:t>
            </w:r>
            <w:r>
              <w:rPr>
                <w:vertAlign w:val="superscript"/>
                <w:lang w:val="de-DE"/>
              </w:rPr>
              <w:footnoteReference w:id="49"/>
            </w:r>
          </w:p>
        </w:tc>
        <w:tc>
          <w:tcPr>
            <w:tcW w:w="3318" w:type="dxa"/>
            <w:tcBorders>
              <w:top w:val="nil"/>
              <w:left w:val="nil"/>
              <w:bottom w:val="nil"/>
              <w:right w:val="nil"/>
            </w:tcBorders>
            <w:shd w:val="clear" w:color="auto" w:fill="auto"/>
          </w:tcPr>
          <w:p w:rsidR="0017135D" w:rsidRPr="00C90E2D" w:rsidP="00547288">
            <w:pPr>
              <w:pStyle w:val="CSBody8pt"/>
            </w:pPr>
            <w:r w:rsidRPr="003C6DF9">
              <w:rPr>
                <w:b/>
              </w:rPr>
              <w:t>[</w:t>
            </w:r>
            <w:r w:rsidRPr="003C6DF9">
              <w:t>Anwendbar</w:t>
            </w:r>
            <w:r w:rsidRPr="003C6DF9">
              <w:rPr>
                <w:b/>
              </w:rPr>
              <w:t>][</w:t>
            </w:r>
            <w:r w:rsidRPr="003C6DF9">
              <w:t>Nicht Anwendbar</w:t>
            </w:r>
            <w:r w:rsidRPr="003C6DF9">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BD0A91" w:rsidP="00877C09">
            <w:pPr>
              <w:pStyle w:val="CSBody8pt"/>
            </w:pPr>
            <w:r w:rsidRPr="00792D61">
              <w:rPr>
                <w:b/>
              </w:rPr>
              <w:t>[</w:t>
            </w:r>
            <w:r w:rsidRPr="00BD0A91">
              <w:t>Subordi</w:t>
            </w:r>
            <w:r>
              <w:t>nated European Insurance Terms</w:t>
            </w:r>
            <w:r>
              <w:rPr>
                <w:rStyle w:val="FootnoteReference"/>
              </w:rPr>
              <w:footnoteReference w:id="50"/>
            </w:r>
          </w:p>
        </w:tc>
        <w:tc>
          <w:tcPr>
            <w:tcW w:w="2973" w:type="dxa"/>
            <w:tcBorders>
              <w:top w:val="nil"/>
              <w:left w:val="nil"/>
              <w:bottom w:val="nil"/>
            </w:tcBorders>
            <w:shd w:val="clear" w:color="auto" w:fill="auto"/>
          </w:tcPr>
          <w:p w:rsidR="0017135D" w:rsidRPr="00C90E2D" w:rsidP="00547288">
            <w:pPr>
              <w:pStyle w:val="CSBody8pt"/>
            </w:pPr>
            <w:r w:rsidRPr="00792D61">
              <w:rPr>
                <w:b/>
              </w:rPr>
              <w:t>[</w:t>
            </w:r>
            <w:r w:rsidRPr="00C90E2D">
              <w:t>Applicable</w:t>
            </w:r>
            <w:r w:rsidRPr="00792D61">
              <w:rPr>
                <w:b/>
              </w:rPr>
              <w:t>][</w:t>
            </w:r>
            <w:r w:rsidRPr="00C90E2D">
              <w:t>Not Applicable</w:t>
            </w:r>
            <w:r w:rsidRPr="00792D61">
              <w:rPr>
                <w:b/>
              </w:rPr>
              <w:t>]]</w:t>
            </w:r>
          </w:p>
        </w:tc>
        <w:tc>
          <w:tcPr>
            <w:tcW w:w="1618" w:type="dxa"/>
            <w:gridSpan w:val="2"/>
            <w:tcBorders>
              <w:top w:val="nil"/>
              <w:bottom w:val="nil"/>
              <w:right w:val="nil"/>
            </w:tcBorders>
            <w:shd w:val="clear" w:color="auto" w:fill="auto"/>
          </w:tcPr>
          <w:p w:rsidR="0017135D" w:rsidRPr="00C90E2D" w:rsidP="00547288">
            <w:pPr>
              <w:pStyle w:val="CSBody8pt"/>
              <w:rPr>
                <w:lang w:val="de-DE"/>
              </w:rPr>
            </w:pPr>
            <w:r w:rsidRPr="00792D61">
              <w:rPr>
                <w:b/>
                <w:lang w:val="de-DE"/>
              </w:rPr>
              <w:t>[</w:t>
            </w:r>
            <w:r w:rsidRPr="00C90E2D">
              <w:rPr>
                <w:lang w:val="de-DE"/>
              </w:rPr>
              <w:t>Bedingungen für Europäische Versicherungen mit Nachrangverbindlichkeiten</w:t>
            </w:r>
            <w:r>
              <w:rPr>
                <w:rStyle w:val="FootnoteReference"/>
                <w:lang w:val="de-DE"/>
              </w:rPr>
              <w:footnoteReference w:id="51"/>
            </w:r>
          </w:p>
        </w:tc>
        <w:tc>
          <w:tcPr>
            <w:tcW w:w="3318" w:type="dxa"/>
            <w:tcBorders>
              <w:top w:val="nil"/>
              <w:left w:val="nil"/>
              <w:bottom w:val="nil"/>
              <w:right w:val="nil"/>
            </w:tcBorders>
            <w:shd w:val="clear" w:color="auto" w:fill="auto"/>
          </w:tcPr>
          <w:p w:rsidR="0017135D" w:rsidRPr="00C90E2D" w:rsidP="00547288">
            <w:pPr>
              <w:pStyle w:val="CSBody8pt"/>
            </w:pPr>
            <w:r w:rsidRPr="00792D61">
              <w:rPr>
                <w:b/>
              </w:rPr>
              <w:t>[</w:t>
            </w:r>
            <w:r w:rsidRPr="00C90E2D">
              <w:t>Anwendbar</w:t>
            </w:r>
            <w:r w:rsidRPr="00792D61">
              <w:rPr>
                <w:b/>
              </w:rPr>
              <w:t>][</w:t>
            </w:r>
            <w:r w:rsidRPr="00C90E2D">
              <w:t>Nicht Anwendbar</w:t>
            </w:r>
            <w:r w:rsidRPr="00792D61">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3C6DF9" w:rsidP="00877C09">
            <w:pPr>
              <w:pStyle w:val="CSBody8pt"/>
            </w:pPr>
            <w:r w:rsidRPr="003C6DF9">
              <w:t>Asset Package Valuation</w:t>
            </w:r>
          </w:p>
        </w:tc>
        <w:tc>
          <w:tcPr>
            <w:tcW w:w="2973" w:type="dxa"/>
            <w:tcBorders>
              <w:top w:val="nil"/>
              <w:left w:val="nil"/>
              <w:bottom w:val="nil"/>
            </w:tcBorders>
            <w:shd w:val="clear" w:color="auto" w:fill="auto"/>
          </w:tcPr>
          <w:p w:rsidR="0017135D" w:rsidRPr="003C6DF9" w:rsidP="004C1EBA">
            <w:pPr>
              <w:pStyle w:val="CSBody8pt"/>
              <w:rPr>
                <w:lang w:val="de-DE"/>
              </w:rPr>
            </w:pPr>
            <w:r w:rsidRPr="003C6DF9">
              <w:rPr>
                <w:b/>
                <w:lang w:val="de-DE"/>
              </w:rPr>
              <w:t>[</w:t>
            </w:r>
            <w:r w:rsidRPr="003C6DF9">
              <w:rPr>
                <w:lang w:val="de-DE"/>
              </w:rPr>
              <w:t>Applicable</w:t>
            </w:r>
            <w:r w:rsidRPr="003C6DF9">
              <w:rPr>
                <w:b/>
                <w:lang w:val="de-DE"/>
              </w:rPr>
              <w:t>][</w:t>
            </w:r>
            <w:r w:rsidRPr="003C6DF9">
              <w:rPr>
                <w:lang w:val="de-DE"/>
              </w:rPr>
              <w:t>Not applicable</w:t>
            </w:r>
            <w:r w:rsidRPr="003C6DF9">
              <w:rPr>
                <w:b/>
                <w:lang w:val="de-DE"/>
              </w:rPr>
              <w:t>]]</w:t>
            </w:r>
          </w:p>
        </w:tc>
        <w:tc>
          <w:tcPr>
            <w:tcW w:w="1618" w:type="dxa"/>
            <w:gridSpan w:val="2"/>
            <w:tcBorders>
              <w:top w:val="nil"/>
              <w:bottom w:val="nil"/>
              <w:right w:val="nil"/>
            </w:tcBorders>
            <w:shd w:val="clear" w:color="auto" w:fill="auto"/>
          </w:tcPr>
          <w:p w:rsidR="0017135D" w:rsidRPr="003C6DF9" w:rsidP="00877C09">
            <w:pPr>
              <w:pStyle w:val="CSBody8pt"/>
              <w:rPr>
                <w:lang w:val="de-DE"/>
              </w:rPr>
            </w:pPr>
            <w:r w:rsidRPr="003C6DF9">
              <w:rPr>
                <w:lang w:val="de-DE"/>
              </w:rPr>
              <w:t>Asset-Paket-Bewertung</w:t>
            </w:r>
          </w:p>
        </w:tc>
        <w:tc>
          <w:tcPr>
            <w:tcW w:w="3318" w:type="dxa"/>
            <w:tcBorders>
              <w:top w:val="nil"/>
              <w:left w:val="nil"/>
              <w:bottom w:val="nil"/>
              <w:right w:val="nil"/>
            </w:tcBorders>
            <w:shd w:val="clear" w:color="auto" w:fill="auto"/>
          </w:tcPr>
          <w:p w:rsidR="0017135D" w:rsidRPr="00C90E2D" w:rsidP="00547288">
            <w:pPr>
              <w:pStyle w:val="CSBody8pt"/>
            </w:pPr>
            <w:r w:rsidRPr="003C6DF9">
              <w:rPr>
                <w:b/>
              </w:rPr>
              <w:t>[</w:t>
            </w:r>
            <w:r w:rsidRPr="003C6DF9">
              <w:t>Anwendbar</w:t>
            </w:r>
            <w:r w:rsidRPr="003C6DF9">
              <w:rPr>
                <w:b/>
              </w:rPr>
              <w:t>][</w:t>
            </w:r>
            <w:r w:rsidRPr="003C6DF9">
              <w:t>Nicht Anwendbar</w:t>
            </w:r>
            <w:r w:rsidRPr="003C6DF9">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4D6221" w:rsidP="00547288">
            <w:pPr>
              <w:pStyle w:val="CSBody8ptbolditalics"/>
            </w:pPr>
            <w:r w:rsidRPr="00792D61">
              <w:t>[</w:t>
            </w:r>
            <w:r w:rsidRPr="004D6221">
              <w:t xml:space="preserve">if Specified Number shall not be "two", insert: </w:t>
            </w:r>
          </w:p>
        </w:tc>
        <w:tc>
          <w:tcPr>
            <w:tcW w:w="2973" w:type="dxa"/>
            <w:vMerge w:val="restart"/>
            <w:tcBorders>
              <w:top w:val="nil"/>
              <w:left w:val="nil"/>
            </w:tcBorders>
            <w:shd w:val="clear" w:color="auto" w:fill="auto"/>
          </w:tcPr>
          <w:p w:rsidR="0017135D" w:rsidRPr="009B6407" w:rsidP="00547288">
            <w:pPr>
              <w:pStyle w:val="CSBody8pt"/>
            </w:pPr>
            <w:r w:rsidRPr="00792D61">
              <w:rPr>
                <w:b/>
              </w:rPr>
              <w:t>[</w:t>
            </w:r>
            <w:r w:rsidRPr="009B6407">
              <w:rPr>
                <w:rFonts w:ascii="Arial" w:hAnsi="Arial" w:cs="Arial"/>
              </w:rPr>
              <w:t>●</w:t>
            </w:r>
            <w:r w:rsidRPr="00792D61">
              <w:rPr>
                <w:b/>
              </w:rPr>
              <w:t>]</w:t>
            </w:r>
            <w:r w:rsidRPr="009B6407">
              <w:t>, being the number of required Public Sources.</w:t>
            </w:r>
            <w:r w:rsidRPr="00792D61">
              <w:rPr>
                <w:b/>
              </w:rPr>
              <w:t>]</w:t>
            </w:r>
          </w:p>
          <w:p w:rsidR="0017135D" w:rsidRPr="009B6407" w:rsidP="00547288">
            <w:pPr>
              <w:pStyle w:val="CSBody8pt"/>
            </w:pPr>
          </w:p>
        </w:tc>
        <w:tc>
          <w:tcPr>
            <w:tcW w:w="1618" w:type="dxa"/>
            <w:gridSpan w:val="2"/>
            <w:tcBorders>
              <w:top w:val="nil"/>
              <w:bottom w:val="nil"/>
              <w:right w:val="nil"/>
            </w:tcBorders>
            <w:shd w:val="clear" w:color="auto" w:fill="auto"/>
          </w:tcPr>
          <w:p w:rsidR="0017135D" w:rsidRPr="00C502CD" w:rsidP="00547288">
            <w:pPr>
              <w:pStyle w:val="CSBody8ptbolditalics"/>
              <w:rPr>
                <w:lang w:val="de-DE"/>
              </w:rPr>
            </w:pPr>
            <w:r w:rsidRPr="00792D61">
              <w:rPr>
                <w:lang w:val="de-DE"/>
              </w:rPr>
              <w:t>[</w:t>
            </w:r>
            <w:r w:rsidRPr="00C502CD">
              <w:rPr>
                <w:lang w:val="de-DE"/>
              </w:rPr>
              <w:t xml:space="preserve">falls Festgelegte Anzahl nicht "zwei" ist, einfügen: </w:t>
            </w:r>
          </w:p>
        </w:tc>
        <w:tc>
          <w:tcPr>
            <w:tcW w:w="3318" w:type="dxa"/>
            <w:vMerge w:val="restart"/>
            <w:tcBorders>
              <w:top w:val="nil"/>
              <w:left w:val="nil"/>
              <w:right w:val="nil"/>
            </w:tcBorders>
            <w:shd w:val="clear" w:color="auto" w:fill="auto"/>
          </w:tcPr>
          <w:p w:rsidR="0017135D" w:rsidRPr="00C502CD" w:rsidP="00547288">
            <w:pPr>
              <w:pStyle w:val="CSBody8pt"/>
              <w:rPr>
                <w:lang w:val="de-DE"/>
              </w:rPr>
            </w:pPr>
            <w:r w:rsidRPr="00792D61">
              <w:rPr>
                <w:b/>
                <w:lang w:val="de-DE"/>
              </w:rPr>
              <w:t>[</w:t>
            </w:r>
            <w:r w:rsidRPr="00116653">
              <w:rPr>
                <w:rFonts w:ascii="Arial" w:hAnsi="Arial" w:cs="Arial"/>
                <w:lang w:val="de-DE"/>
              </w:rPr>
              <w:t>●</w:t>
            </w:r>
            <w:r w:rsidRPr="00792D61">
              <w:rPr>
                <w:b/>
                <w:lang w:val="de-DE"/>
              </w:rPr>
              <w:t>]</w:t>
            </w:r>
            <w:r w:rsidRPr="00C502CD">
              <w:rPr>
                <w:lang w:val="de-DE"/>
              </w:rPr>
              <w:t xml:space="preserve">, </w:t>
            </w:r>
            <w:r>
              <w:rPr>
                <w:lang w:val="de-DE"/>
              </w:rPr>
              <w:t>d.h.</w:t>
            </w:r>
            <w:r w:rsidRPr="00C502CD">
              <w:rPr>
                <w:lang w:val="de-DE"/>
              </w:rPr>
              <w:t xml:space="preserve"> die Anzahl der erforderlichen Öffentlichen Quellen.</w:t>
            </w:r>
            <w:r w:rsidRPr="00792D61">
              <w:rPr>
                <w:b/>
                <w:lang w:val="de-DE"/>
              </w:rPr>
              <w:t>]</w:t>
            </w:r>
          </w:p>
          <w:p w:rsidR="0017135D" w:rsidRPr="00C502CD" w:rsidP="00547288">
            <w:pPr>
              <w:pStyle w:val="CSBody8pt"/>
              <w:rPr>
                <w:lang w:val="de-DE"/>
              </w:rPr>
            </w:pP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203289" w:rsidP="00547288">
            <w:pPr>
              <w:pStyle w:val="CSBody8pt"/>
            </w:pPr>
            <w:r w:rsidRPr="00203289">
              <w:t>Specified Number</w:t>
            </w:r>
            <w:r>
              <w:fldChar w:fldCharType="begin"/>
            </w:r>
            <w:r>
              <w:instrText xml:space="preserve"> XE "</w:instrText>
            </w:r>
            <w:r w:rsidRPr="00A33439">
              <w:instrText>Specified Number</w:instrText>
            </w:r>
            <w:r>
              <w:instrText xml:space="preserve">" </w:instrText>
            </w:r>
            <w:r w:rsidR="009B1A00">
              <w:instrText>\f "EN"</w:instrText>
            </w:r>
            <w:r>
              <w:fldChar w:fldCharType="end"/>
            </w:r>
          </w:p>
        </w:tc>
        <w:tc>
          <w:tcPr>
            <w:tcW w:w="2973" w:type="dxa"/>
            <w:vMerge/>
            <w:tcBorders>
              <w:left w:val="nil"/>
              <w:bottom w:val="nil"/>
            </w:tcBorders>
            <w:shd w:val="clear" w:color="auto" w:fill="auto"/>
          </w:tcPr>
          <w:p w:rsidR="0017135D" w:rsidRPr="00203289" w:rsidP="00547288">
            <w:pPr>
              <w:pStyle w:val="CSBody8pt"/>
              <w:rPr>
                <w:lang w:val="de-DE"/>
              </w:rPr>
            </w:pPr>
          </w:p>
        </w:tc>
        <w:tc>
          <w:tcPr>
            <w:tcW w:w="1618" w:type="dxa"/>
            <w:gridSpan w:val="2"/>
            <w:tcBorders>
              <w:top w:val="nil"/>
              <w:bottom w:val="nil"/>
              <w:right w:val="nil"/>
            </w:tcBorders>
            <w:shd w:val="clear" w:color="auto" w:fill="auto"/>
          </w:tcPr>
          <w:p w:rsidR="0017135D" w:rsidRPr="00203289" w:rsidP="00547288">
            <w:pPr>
              <w:pStyle w:val="CSBody8pt"/>
            </w:pPr>
            <w:r w:rsidRPr="00203289">
              <w:t>Festgelegte Anzahl</w:t>
            </w:r>
            <w:r>
              <w:fldChar w:fldCharType="begin"/>
            </w:r>
            <w:r>
              <w:instrText xml:space="preserve"> XE "</w:instrText>
            </w:r>
            <w:r w:rsidRPr="009F3239">
              <w:instrText>Festgelegte Anzahl</w:instrText>
            </w:r>
            <w:r>
              <w:instrText xml:space="preserve">" </w:instrText>
            </w:r>
            <w:r>
              <w:fldChar w:fldCharType="end"/>
            </w:r>
          </w:p>
        </w:tc>
        <w:tc>
          <w:tcPr>
            <w:tcW w:w="3318" w:type="dxa"/>
            <w:vMerge/>
            <w:tcBorders>
              <w:left w:val="nil"/>
              <w:bottom w:val="nil"/>
              <w:right w:val="nil"/>
            </w:tcBorders>
            <w:shd w:val="clear" w:color="auto" w:fill="auto"/>
          </w:tcPr>
          <w:p w:rsidR="0017135D" w:rsidRPr="00203289" w:rsidP="00547288">
            <w:pPr>
              <w:pStyle w:val="CSBody8pt"/>
              <w:rPr>
                <w:bCs/>
                <w:lang w:val="de-DE"/>
              </w:rPr>
            </w:pPr>
          </w:p>
        </w:tc>
      </w:tr>
      <w:tr w:rsidTr="00BD6E0D">
        <w:tblPrEx>
          <w:tblW w:w="4999" w:type="pct"/>
          <w:tblLayout w:type="fixed"/>
          <w:tblCellMar>
            <w:left w:w="115" w:type="dxa"/>
            <w:right w:w="115" w:type="dxa"/>
          </w:tblCellMar>
          <w:tblLook w:val="04A0"/>
        </w:tblPrEx>
        <w:trPr>
          <w:trHeight w:val="1827"/>
        </w:trPr>
        <w:tc>
          <w:tcPr>
            <w:tcW w:w="1958" w:type="dxa"/>
            <w:gridSpan w:val="4"/>
            <w:tcBorders>
              <w:top w:val="nil"/>
              <w:left w:val="nil"/>
              <w:right w:val="nil"/>
            </w:tcBorders>
            <w:shd w:val="clear" w:color="auto" w:fill="auto"/>
          </w:tcPr>
          <w:p w:rsidR="0017135D" w:rsidRPr="00203289" w:rsidP="00547288">
            <w:pPr>
              <w:pStyle w:val="CSBody8ptbolditalics"/>
            </w:pPr>
            <w:r w:rsidRPr="00792D61">
              <w:t>[</w:t>
            </w:r>
            <w:r w:rsidRPr="00203289">
              <w:t xml:space="preserve">if Public Source shall be specified, insert: </w:t>
            </w:r>
          </w:p>
          <w:p w:rsidR="0017135D" w:rsidRPr="00203289" w:rsidP="00547288">
            <w:pPr>
              <w:pStyle w:val="CSBody8pt"/>
            </w:pPr>
            <w:r w:rsidRPr="00203289">
              <w:t>Public Source</w:t>
            </w:r>
            <w:r>
              <w:fldChar w:fldCharType="begin"/>
            </w:r>
            <w:r>
              <w:instrText xml:space="preserve"> XE "</w:instrText>
            </w:r>
            <w:r w:rsidRPr="00053AF1">
              <w:instrText>Public Source</w:instrText>
            </w:r>
            <w:r>
              <w:instrText xml:space="preserve">" \f "EN" </w:instrText>
            </w:r>
            <w:r>
              <w:fldChar w:fldCharType="end"/>
            </w:r>
          </w:p>
        </w:tc>
        <w:tc>
          <w:tcPr>
            <w:tcW w:w="2973" w:type="dxa"/>
            <w:tcBorders>
              <w:top w:val="nil"/>
              <w:left w:val="nil"/>
            </w:tcBorders>
            <w:shd w:val="clear" w:color="auto" w:fill="auto"/>
          </w:tcPr>
          <w:p w:rsidR="0017135D" w:rsidRPr="00203289" w:rsidP="00203289">
            <w:pPr>
              <w:pStyle w:val="CSBody8pt"/>
            </w:pPr>
            <w:r w:rsidRPr="00792D61">
              <w:rPr>
                <w:b/>
              </w:rPr>
              <w:t>[</w:t>
            </w:r>
            <w:r>
              <w:rPr>
                <w:rFonts w:ascii="Arial" w:hAnsi="Arial" w:cs="Arial"/>
              </w:rPr>
              <w:t>●</w:t>
            </w:r>
            <w:r w:rsidRPr="00792D61">
              <w:rPr>
                <w:b/>
              </w:rPr>
              <w:t>]]</w:t>
            </w:r>
          </w:p>
        </w:tc>
        <w:tc>
          <w:tcPr>
            <w:tcW w:w="1618" w:type="dxa"/>
            <w:gridSpan w:val="2"/>
            <w:tcBorders>
              <w:top w:val="nil"/>
              <w:right w:val="nil"/>
            </w:tcBorders>
            <w:shd w:val="clear" w:color="auto" w:fill="auto"/>
          </w:tcPr>
          <w:p w:rsidR="0017135D" w:rsidRPr="00203289" w:rsidP="00547288">
            <w:pPr>
              <w:pStyle w:val="CSBody8ptbolditalics"/>
              <w:rPr>
                <w:lang w:val="de-DE"/>
              </w:rPr>
            </w:pPr>
            <w:r w:rsidRPr="00792D61">
              <w:rPr>
                <w:lang w:val="de-DE"/>
              </w:rPr>
              <w:t>[</w:t>
            </w:r>
            <w:r w:rsidRPr="00203289">
              <w:rPr>
                <w:lang w:val="de-DE"/>
              </w:rPr>
              <w:t xml:space="preserve">falls Öffentliche Quelle angegeben ist, einfügen: </w:t>
            </w:r>
          </w:p>
          <w:p w:rsidR="0017135D" w:rsidRPr="00203289" w:rsidP="00547288">
            <w:pPr>
              <w:pStyle w:val="CSBody8pt"/>
              <w:rPr>
                <w:lang w:val="de-DE"/>
              </w:rPr>
            </w:pPr>
            <w:r w:rsidRPr="00203289">
              <w:t>Öffentliche Quelle</w:t>
            </w:r>
            <w:r>
              <w:fldChar w:fldCharType="begin"/>
            </w:r>
            <w:r>
              <w:instrText xml:space="preserve"> XE "</w:instrText>
            </w:r>
            <w:r w:rsidRPr="00C47FD0">
              <w:instrText>Öffentliche Quelle</w:instrText>
            </w:r>
            <w:r>
              <w:instrText xml:space="preserve">" </w:instrText>
            </w:r>
            <w:r>
              <w:fldChar w:fldCharType="end"/>
            </w:r>
          </w:p>
        </w:tc>
        <w:tc>
          <w:tcPr>
            <w:tcW w:w="3318" w:type="dxa"/>
            <w:tcBorders>
              <w:top w:val="nil"/>
              <w:left w:val="nil"/>
              <w:right w:val="nil"/>
            </w:tcBorders>
            <w:shd w:val="clear" w:color="auto" w:fill="auto"/>
          </w:tcPr>
          <w:p w:rsidR="0017135D" w:rsidRPr="00203289" w:rsidP="00203289">
            <w:pPr>
              <w:pStyle w:val="CSBody8pt"/>
            </w:pPr>
            <w:r w:rsidRPr="00792D61">
              <w:rPr>
                <w:b/>
              </w:rPr>
              <w:t>[</w:t>
            </w:r>
            <w:r>
              <w:rPr>
                <w:rFonts w:ascii="Arial" w:hAnsi="Arial" w:cs="Arial"/>
              </w:rPr>
              <w:t>●</w:t>
            </w:r>
            <w:r w:rsidRPr="00792D61">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673E9" w:rsidP="00547288">
            <w:pPr>
              <w:pStyle w:val="CSBody8pt"/>
              <w:rPr>
                <w:lang w:val="de-DE"/>
              </w:rPr>
            </w:pPr>
            <w:r w:rsidRPr="00C502CD">
              <w:rPr>
                <w:lang w:val="de-DE"/>
              </w:rPr>
              <w:t>Valuation Method</w:t>
            </w:r>
            <w:r>
              <w:rPr>
                <w:lang w:val="de-DE"/>
              </w:rPr>
              <w:fldChar w:fldCharType="begin"/>
            </w:r>
            <w:r>
              <w:instrText xml:space="preserve"> XE "</w:instrText>
            </w:r>
            <w:r w:rsidRPr="009E77C4">
              <w:rPr>
                <w:lang w:val="de-DE"/>
              </w:rPr>
              <w:instrText>Valuation Method</w:instrText>
            </w:r>
            <w:r>
              <w:instrText xml:space="preserve">" \f "EN" </w:instrText>
            </w:r>
            <w:r>
              <w:rPr>
                <w:lang w:val="de-DE"/>
              </w:rPr>
              <w:fldChar w:fldCharType="end"/>
            </w:r>
          </w:p>
        </w:tc>
        <w:tc>
          <w:tcPr>
            <w:tcW w:w="2973" w:type="dxa"/>
            <w:tcBorders>
              <w:top w:val="nil"/>
              <w:left w:val="nil"/>
              <w:bottom w:val="nil"/>
            </w:tcBorders>
            <w:shd w:val="clear" w:color="auto" w:fill="auto"/>
          </w:tcPr>
          <w:p w:rsidR="0017135D" w:rsidRPr="00E673E9" w:rsidP="00547288">
            <w:pPr>
              <w:pStyle w:val="CSBody8pt"/>
              <w:rPr>
                <w:lang w:val="de-DE"/>
              </w:rPr>
            </w:pPr>
          </w:p>
        </w:tc>
        <w:tc>
          <w:tcPr>
            <w:tcW w:w="1618" w:type="dxa"/>
            <w:gridSpan w:val="2"/>
            <w:tcBorders>
              <w:top w:val="nil"/>
              <w:bottom w:val="nil"/>
              <w:right w:val="nil"/>
            </w:tcBorders>
            <w:shd w:val="clear" w:color="auto" w:fill="auto"/>
          </w:tcPr>
          <w:p w:rsidR="0017135D" w:rsidRPr="00B8054A" w:rsidP="00877C09">
            <w:pPr>
              <w:pStyle w:val="CSBody8pt"/>
              <w:rPr>
                <w:lang w:val="de-DE"/>
              </w:rPr>
            </w:pPr>
            <w:r w:rsidRPr="00B8054A">
              <w:rPr>
                <w:lang w:val="de-DE"/>
              </w:rPr>
              <w:t>Bewertungsmethode</w:t>
            </w:r>
            <w:r>
              <w:rPr>
                <w:lang w:val="de-DE"/>
              </w:rPr>
              <w:fldChar w:fldCharType="begin"/>
            </w:r>
            <w:r w:rsidRPr="00B8054A">
              <w:instrText xml:space="preserve"> XE "</w:instrText>
            </w:r>
            <w:r w:rsidRPr="00B8054A">
              <w:rPr>
                <w:lang w:val="de-DE"/>
              </w:rPr>
              <w:instrText>Bewertungsmethode</w:instrText>
            </w:r>
            <w:r w:rsidRPr="00B8054A">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E673E9" w:rsidP="00547288">
            <w:pPr>
              <w:pStyle w:val="CSBody8pt"/>
              <w:rPr>
                <w:bCs/>
                <w:lang w:val="de-DE"/>
              </w:rPr>
            </w:pP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5B3E1D" w:rsidP="00547288">
            <w:pPr>
              <w:pStyle w:val="CSBody8ptbolditalics"/>
            </w:pPr>
          </w:p>
        </w:tc>
        <w:tc>
          <w:tcPr>
            <w:tcW w:w="2973" w:type="dxa"/>
            <w:tcBorders>
              <w:top w:val="nil"/>
              <w:left w:val="nil"/>
              <w:bottom w:val="nil"/>
            </w:tcBorders>
            <w:shd w:val="clear" w:color="auto" w:fill="auto"/>
          </w:tcPr>
          <w:p w:rsidR="0017135D" w:rsidRPr="005B3E1D" w:rsidP="00547288">
            <w:pPr>
              <w:pStyle w:val="CSBody8ptbolditalics"/>
            </w:pPr>
            <w:r w:rsidRPr="00792D61">
              <w:t>[</w:t>
            </w:r>
            <w:r w:rsidRPr="005B3E1D">
              <w:t>for Complex Products with only one Valuation Date, choose between the following (default choice: Highest):</w:t>
            </w:r>
          </w:p>
        </w:tc>
        <w:tc>
          <w:tcPr>
            <w:tcW w:w="1618" w:type="dxa"/>
            <w:gridSpan w:val="2"/>
            <w:tcBorders>
              <w:top w:val="nil"/>
              <w:bottom w:val="nil"/>
              <w:right w:val="nil"/>
            </w:tcBorders>
            <w:shd w:val="clear" w:color="auto" w:fill="auto"/>
          </w:tcPr>
          <w:p w:rsidR="0017135D" w:rsidRPr="005B3E1D" w:rsidP="00547288">
            <w:pPr>
              <w:pStyle w:val="CSBody8ptbolditalics"/>
            </w:pPr>
          </w:p>
        </w:tc>
        <w:tc>
          <w:tcPr>
            <w:tcW w:w="3318" w:type="dxa"/>
            <w:tcBorders>
              <w:top w:val="nil"/>
              <w:left w:val="nil"/>
              <w:bottom w:val="nil"/>
              <w:right w:val="nil"/>
            </w:tcBorders>
            <w:shd w:val="clear" w:color="auto" w:fill="auto"/>
          </w:tcPr>
          <w:p w:rsidR="0017135D" w:rsidRPr="00C502CD" w:rsidP="00547288">
            <w:pPr>
              <w:pStyle w:val="CSBody8ptbolditalics"/>
              <w:rPr>
                <w:lang w:val="de-DE"/>
              </w:rPr>
            </w:pPr>
            <w:r w:rsidRPr="00792D61">
              <w:rPr>
                <w:lang w:val="de-DE"/>
              </w:rPr>
              <w:t>[</w:t>
            </w:r>
            <w:r w:rsidRPr="00C502CD">
              <w:rPr>
                <w:lang w:val="de-DE"/>
              </w:rPr>
              <w:t>bei Komplexen Produkten mit nur einem Bewertungstag, aus Folgendem auswählen (Standardwahl: Höchstwert):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673E9" w:rsidP="00547288">
            <w:pPr>
              <w:pStyle w:val="CSBody8pt"/>
              <w:rPr>
                <w:lang w:val="de-DE"/>
              </w:rPr>
            </w:pPr>
          </w:p>
        </w:tc>
        <w:tc>
          <w:tcPr>
            <w:tcW w:w="2973" w:type="dxa"/>
            <w:tcBorders>
              <w:top w:val="nil"/>
              <w:left w:val="nil"/>
              <w:bottom w:val="nil"/>
            </w:tcBorders>
            <w:shd w:val="clear" w:color="auto" w:fill="auto"/>
          </w:tcPr>
          <w:p w:rsidR="0017135D" w:rsidRPr="00C502CD" w:rsidP="00547288">
            <w:pPr>
              <w:pStyle w:val="CSBody8pt"/>
              <w:rPr>
                <w:lang w:val="de-DE"/>
              </w:rPr>
            </w:pPr>
            <w:r w:rsidRPr="00792D61">
              <w:rPr>
                <w:b/>
                <w:lang w:val="de-DE"/>
              </w:rPr>
              <w:t>[</w:t>
            </w:r>
            <w:r w:rsidRPr="00C502CD">
              <w:rPr>
                <w:lang w:val="de-DE"/>
              </w:rPr>
              <w:t>Market</w:t>
            </w:r>
            <w:r w:rsidRPr="00792D61">
              <w:rPr>
                <w:b/>
                <w:lang w:val="de-DE"/>
              </w:rPr>
              <w:t>]</w:t>
            </w:r>
            <w:r w:rsidRPr="00C502CD">
              <w:rPr>
                <w:lang w:val="de-DE"/>
              </w:rPr>
              <w:t xml:space="preserve"> </w:t>
            </w:r>
          </w:p>
          <w:p w:rsidR="0017135D" w:rsidRPr="00E673E9" w:rsidP="00547288">
            <w:pPr>
              <w:pStyle w:val="CSBody8pt"/>
              <w:rPr>
                <w:lang w:val="de-DE"/>
              </w:rPr>
            </w:pPr>
            <w:r w:rsidRPr="00792D61">
              <w:rPr>
                <w:b/>
                <w:lang w:val="de-DE"/>
              </w:rPr>
              <w:t>[</w:t>
            </w:r>
            <w:r w:rsidRPr="00C502CD">
              <w:rPr>
                <w:lang w:val="de-DE"/>
              </w:rPr>
              <w:t>Highest</w:t>
            </w:r>
            <w:r w:rsidRPr="00792D61">
              <w:rPr>
                <w:b/>
                <w:lang w:val="de-DE"/>
              </w:rPr>
              <w:t>]]</w:t>
            </w:r>
          </w:p>
        </w:tc>
        <w:tc>
          <w:tcPr>
            <w:tcW w:w="1618" w:type="dxa"/>
            <w:gridSpan w:val="2"/>
            <w:tcBorders>
              <w:top w:val="nil"/>
              <w:bottom w:val="nil"/>
              <w:right w:val="nil"/>
            </w:tcBorders>
            <w:shd w:val="clear" w:color="auto" w:fill="auto"/>
          </w:tcPr>
          <w:p w:rsidR="0017135D" w:rsidRPr="00E673E9" w:rsidP="00547288">
            <w:pPr>
              <w:pStyle w:val="CSBody8pt"/>
              <w:rPr>
                <w:i/>
                <w:lang w:val="de-DE"/>
              </w:rPr>
            </w:pPr>
          </w:p>
        </w:tc>
        <w:tc>
          <w:tcPr>
            <w:tcW w:w="3318" w:type="dxa"/>
            <w:tcBorders>
              <w:top w:val="nil"/>
              <w:left w:val="nil"/>
              <w:bottom w:val="nil"/>
              <w:right w:val="nil"/>
            </w:tcBorders>
            <w:shd w:val="clear" w:color="auto" w:fill="auto"/>
          </w:tcPr>
          <w:p w:rsidR="0017135D" w:rsidRPr="00C502CD" w:rsidP="00547288">
            <w:pPr>
              <w:pStyle w:val="CSBody8pt"/>
              <w:rPr>
                <w:bCs/>
                <w:lang w:val="de-DE"/>
              </w:rPr>
            </w:pPr>
            <w:r w:rsidRPr="00792D61">
              <w:rPr>
                <w:b/>
                <w:bCs/>
                <w:lang w:val="de-DE"/>
              </w:rPr>
              <w:t>[</w:t>
            </w:r>
            <w:r w:rsidRPr="00C502CD">
              <w:rPr>
                <w:bCs/>
                <w:lang w:val="de-DE"/>
              </w:rPr>
              <w:t>Markt</w:t>
            </w:r>
            <w:r w:rsidRPr="00792D61">
              <w:rPr>
                <w:b/>
                <w:bCs/>
                <w:lang w:val="de-DE"/>
              </w:rPr>
              <w:t>]</w:t>
            </w:r>
          </w:p>
          <w:p w:rsidR="0017135D" w:rsidRPr="00E673E9" w:rsidP="00547288">
            <w:pPr>
              <w:pStyle w:val="CSBody8pt"/>
              <w:rPr>
                <w:bCs/>
                <w:lang w:val="de-DE"/>
              </w:rPr>
            </w:pPr>
            <w:r w:rsidRPr="00792D61">
              <w:rPr>
                <w:b/>
                <w:bCs/>
                <w:lang w:val="de-DE"/>
              </w:rPr>
              <w:t>[</w:t>
            </w:r>
            <w:r w:rsidRPr="00C502CD">
              <w:rPr>
                <w:bCs/>
                <w:lang w:val="de-DE"/>
              </w:rPr>
              <w:t>Höchstwert</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50722" w:rsidP="00547288">
            <w:pPr>
              <w:pStyle w:val="CSBody8ptbolditalics"/>
            </w:pPr>
          </w:p>
        </w:tc>
        <w:tc>
          <w:tcPr>
            <w:tcW w:w="2973" w:type="dxa"/>
            <w:tcBorders>
              <w:top w:val="nil"/>
              <w:left w:val="nil"/>
              <w:bottom w:val="nil"/>
            </w:tcBorders>
            <w:shd w:val="clear" w:color="auto" w:fill="auto"/>
          </w:tcPr>
          <w:p w:rsidR="0017135D" w:rsidRPr="00E50722" w:rsidP="00547288">
            <w:pPr>
              <w:pStyle w:val="CSBody8ptbolditalics"/>
            </w:pPr>
            <w:r w:rsidRPr="00792D61">
              <w:t>[</w:t>
            </w:r>
            <w:r w:rsidRPr="00E50722">
              <w:t>for Complex Products with more than one Valuation Date, choose between the following (default choice: Average Highest):</w:t>
            </w:r>
          </w:p>
        </w:tc>
        <w:tc>
          <w:tcPr>
            <w:tcW w:w="1618" w:type="dxa"/>
            <w:gridSpan w:val="2"/>
            <w:tcBorders>
              <w:top w:val="nil"/>
              <w:bottom w:val="nil"/>
              <w:right w:val="nil"/>
            </w:tcBorders>
            <w:shd w:val="clear" w:color="auto" w:fill="auto"/>
          </w:tcPr>
          <w:p w:rsidR="0017135D" w:rsidRPr="00E50722" w:rsidP="00547288">
            <w:pPr>
              <w:pStyle w:val="CSBody8ptbolditalics"/>
            </w:pPr>
          </w:p>
        </w:tc>
        <w:tc>
          <w:tcPr>
            <w:tcW w:w="3318" w:type="dxa"/>
            <w:tcBorders>
              <w:top w:val="nil"/>
              <w:left w:val="nil"/>
              <w:bottom w:val="nil"/>
              <w:right w:val="nil"/>
            </w:tcBorders>
            <w:shd w:val="clear" w:color="auto" w:fill="auto"/>
          </w:tcPr>
          <w:p w:rsidR="0017135D" w:rsidRPr="00C502CD" w:rsidP="00547288">
            <w:pPr>
              <w:pStyle w:val="CSBody8ptbolditalics"/>
              <w:rPr>
                <w:lang w:val="de-DE"/>
              </w:rPr>
            </w:pPr>
            <w:r w:rsidRPr="00792D61">
              <w:rPr>
                <w:lang w:val="de-DE"/>
              </w:rPr>
              <w:t>[</w:t>
            </w:r>
            <w:r w:rsidRPr="00C502CD">
              <w:rPr>
                <w:lang w:val="de-DE"/>
              </w:rPr>
              <w:t>bei Komplexen Produkten mit mehr als einem Bewertungstag, aus Folgendem auswählen (Standardwahl: Durchschnittlicher Höchstwert):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673E9" w:rsidP="00547288">
            <w:pPr>
              <w:pStyle w:val="CSBody8pt"/>
              <w:rPr>
                <w:lang w:val="de-DE"/>
              </w:rPr>
            </w:pPr>
          </w:p>
        </w:tc>
        <w:tc>
          <w:tcPr>
            <w:tcW w:w="2973" w:type="dxa"/>
            <w:tcBorders>
              <w:top w:val="nil"/>
              <w:left w:val="nil"/>
              <w:bottom w:val="nil"/>
            </w:tcBorders>
            <w:shd w:val="clear" w:color="auto" w:fill="auto"/>
          </w:tcPr>
          <w:p w:rsidR="0017135D" w:rsidRPr="001D022D" w:rsidP="00547288">
            <w:pPr>
              <w:pStyle w:val="CSBody8pt"/>
            </w:pPr>
            <w:r w:rsidRPr="00792D61">
              <w:rPr>
                <w:b/>
              </w:rPr>
              <w:t>[</w:t>
            </w:r>
            <w:r w:rsidRPr="001D022D">
              <w:t>Average Market</w:t>
            </w:r>
            <w:r w:rsidRPr="00792D61">
              <w:rPr>
                <w:b/>
              </w:rPr>
              <w:t>]</w:t>
            </w:r>
          </w:p>
          <w:p w:rsidR="0017135D" w:rsidRPr="001D022D" w:rsidP="00547288">
            <w:pPr>
              <w:pStyle w:val="CSBody8pt"/>
            </w:pPr>
            <w:r w:rsidRPr="00792D61">
              <w:rPr>
                <w:b/>
              </w:rPr>
              <w:t>[</w:t>
            </w:r>
            <w:r w:rsidRPr="001D022D">
              <w:t>Highest</w:t>
            </w:r>
            <w:r w:rsidRPr="00792D61">
              <w:rPr>
                <w:b/>
              </w:rPr>
              <w:t>]</w:t>
            </w:r>
          </w:p>
          <w:p w:rsidR="0017135D" w:rsidRPr="001D022D" w:rsidP="00547288">
            <w:pPr>
              <w:pStyle w:val="CSBody8pt"/>
            </w:pPr>
            <w:r w:rsidRPr="00792D61">
              <w:rPr>
                <w:b/>
              </w:rPr>
              <w:t>[</w:t>
            </w:r>
            <w:r w:rsidRPr="001D022D">
              <w:t>Average Highest</w:t>
            </w:r>
            <w:r w:rsidRPr="00792D61">
              <w:rPr>
                <w:b/>
              </w:rPr>
              <w:t>]]</w:t>
            </w:r>
          </w:p>
        </w:tc>
        <w:tc>
          <w:tcPr>
            <w:tcW w:w="1618" w:type="dxa"/>
            <w:gridSpan w:val="2"/>
            <w:tcBorders>
              <w:top w:val="nil"/>
              <w:bottom w:val="nil"/>
              <w:right w:val="nil"/>
            </w:tcBorders>
            <w:shd w:val="clear" w:color="auto" w:fill="auto"/>
          </w:tcPr>
          <w:p w:rsidR="0017135D" w:rsidRPr="001D022D" w:rsidP="00547288">
            <w:pPr>
              <w:pStyle w:val="CSBody8pt"/>
              <w:rPr>
                <w:i/>
              </w:rPr>
            </w:pPr>
          </w:p>
        </w:tc>
        <w:tc>
          <w:tcPr>
            <w:tcW w:w="3318" w:type="dxa"/>
            <w:tcBorders>
              <w:top w:val="nil"/>
              <w:left w:val="nil"/>
              <w:bottom w:val="nil"/>
              <w:right w:val="nil"/>
            </w:tcBorders>
            <w:shd w:val="clear" w:color="auto" w:fill="auto"/>
          </w:tcPr>
          <w:p w:rsidR="0017135D" w:rsidRPr="00C502CD" w:rsidP="00547288">
            <w:pPr>
              <w:pStyle w:val="CSBody8pt"/>
              <w:rPr>
                <w:bCs/>
                <w:lang w:val="de-DE"/>
              </w:rPr>
            </w:pPr>
            <w:r w:rsidRPr="00792D61">
              <w:rPr>
                <w:b/>
                <w:bCs/>
                <w:lang w:val="de-DE"/>
              </w:rPr>
              <w:t>[</w:t>
            </w:r>
            <w:r w:rsidRPr="00C502CD">
              <w:rPr>
                <w:bCs/>
                <w:lang w:val="de-DE"/>
              </w:rPr>
              <w:t>Durchschnittlicher Marktwert</w:t>
            </w:r>
            <w:r w:rsidRPr="00792D61">
              <w:rPr>
                <w:b/>
                <w:bCs/>
                <w:lang w:val="de-DE"/>
              </w:rPr>
              <w:t>]</w:t>
            </w:r>
          </w:p>
          <w:p w:rsidR="0017135D" w:rsidRPr="00C502CD" w:rsidP="00547288">
            <w:pPr>
              <w:pStyle w:val="CSBody8pt"/>
              <w:rPr>
                <w:bCs/>
                <w:lang w:val="de-DE"/>
              </w:rPr>
            </w:pPr>
            <w:r w:rsidRPr="00792D61">
              <w:rPr>
                <w:b/>
                <w:bCs/>
                <w:lang w:val="de-DE"/>
              </w:rPr>
              <w:t>[</w:t>
            </w:r>
            <w:r w:rsidRPr="00C502CD">
              <w:rPr>
                <w:bCs/>
                <w:lang w:val="de-DE"/>
              </w:rPr>
              <w:t>Höchstwert</w:t>
            </w:r>
            <w:r w:rsidRPr="00792D61">
              <w:rPr>
                <w:b/>
                <w:bCs/>
                <w:lang w:val="de-DE"/>
              </w:rPr>
              <w:t>]</w:t>
            </w:r>
          </w:p>
          <w:p w:rsidR="0017135D" w:rsidRPr="00E673E9" w:rsidP="00547288">
            <w:pPr>
              <w:pStyle w:val="CSBody8pt"/>
              <w:rPr>
                <w:bCs/>
                <w:lang w:val="de-DE"/>
              </w:rPr>
            </w:pPr>
            <w:r w:rsidRPr="00792D61">
              <w:rPr>
                <w:b/>
                <w:bCs/>
                <w:lang w:val="de-DE"/>
              </w:rPr>
              <w:t>[</w:t>
            </w:r>
            <w:r w:rsidRPr="00C502CD">
              <w:rPr>
                <w:bCs/>
                <w:lang w:val="de-DE"/>
              </w:rPr>
              <w:t>Durchschnittlicher Höchstwert</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385569" w:rsidP="00547288">
            <w:pPr>
              <w:pStyle w:val="CSBody8pt"/>
            </w:pPr>
            <w:r w:rsidRPr="00385569">
              <w:t>Valuation Date</w:t>
            </w:r>
            <w:r>
              <w:fldChar w:fldCharType="begin"/>
            </w:r>
            <w:r>
              <w:instrText xml:space="preserve"> XE "</w:instrText>
            </w:r>
            <w:r w:rsidRPr="00326327">
              <w:instrText>Valuation Date</w:instrText>
            </w:r>
            <w:r>
              <w:instrText xml:space="preserve">" \f "EN" </w:instrText>
            </w:r>
            <w:r>
              <w:fldChar w:fldCharType="end"/>
            </w:r>
          </w:p>
        </w:tc>
        <w:tc>
          <w:tcPr>
            <w:tcW w:w="2973" w:type="dxa"/>
            <w:tcBorders>
              <w:top w:val="nil"/>
              <w:left w:val="nil"/>
              <w:bottom w:val="nil"/>
            </w:tcBorders>
            <w:shd w:val="clear" w:color="auto" w:fill="auto"/>
          </w:tcPr>
          <w:p w:rsidR="0017135D" w:rsidRPr="00385569" w:rsidP="00547288">
            <w:pPr>
              <w:pStyle w:val="CSBody8ptbolditalics"/>
            </w:pPr>
            <w:r w:rsidRPr="00792D61">
              <w:t>[</w:t>
            </w:r>
            <w:r w:rsidRPr="00385569">
              <w:t>choose between the following (default choice: Single Valuation Date):</w:t>
            </w:r>
          </w:p>
        </w:tc>
        <w:tc>
          <w:tcPr>
            <w:tcW w:w="1618" w:type="dxa"/>
            <w:gridSpan w:val="2"/>
            <w:tcBorders>
              <w:top w:val="nil"/>
              <w:bottom w:val="nil"/>
              <w:right w:val="nil"/>
            </w:tcBorders>
            <w:shd w:val="clear" w:color="auto" w:fill="auto"/>
          </w:tcPr>
          <w:p w:rsidR="0017135D" w:rsidRPr="00385569" w:rsidP="00547288">
            <w:pPr>
              <w:pStyle w:val="CSBody8pt"/>
            </w:pPr>
            <w:r w:rsidRPr="00385569">
              <w:t>Bewertungstag</w:t>
            </w:r>
            <w:r>
              <w:fldChar w:fldCharType="begin"/>
            </w:r>
            <w:r>
              <w:instrText xml:space="preserve"> XE "</w:instrText>
            </w:r>
            <w:r w:rsidRPr="00666A8C">
              <w:instrText>Bewertungstag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C502CD" w:rsidP="00547288">
            <w:pPr>
              <w:pStyle w:val="CSBody8ptbolditalics"/>
              <w:rPr>
                <w:lang w:val="de-DE"/>
              </w:rPr>
            </w:pPr>
            <w:r w:rsidRPr="00792D61">
              <w:rPr>
                <w:lang w:val="de-DE"/>
              </w:rPr>
              <w:t>[</w:t>
            </w:r>
            <w:r w:rsidRPr="00385569">
              <w:rPr>
                <w:lang w:val="de-DE"/>
              </w:rPr>
              <w:t>aus Folgendem auswählen (Standardwahl: Einzelner Bewertungstag):</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673E9" w:rsidP="00547288">
            <w:pPr>
              <w:pStyle w:val="CSBody8pt"/>
              <w:rPr>
                <w:lang w:val="de-DE"/>
              </w:rPr>
            </w:pPr>
          </w:p>
        </w:tc>
        <w:tc>
          <w:tcPr>
            <w:tcW w:w="2973" w:type="dxa"/>
            <w:tcBorders>
              <w:top w:val="nil"/>
              <w:left w:val="nil"/>
              <w:bottom w:val="nil"/>
            </w:tcBorders>
            <w:shd w:val="clear" w:color="auto" w:fill="auto"/>
          </w:tcPr>
          <w:p w:rsidR="0017135D" w:rsidRPr="00376B29" w:rsidP="00547288">
            <w:pPr>
              <w:pStyle w:val="CSBody8pt"/>
            </w:pPr>
            <w:r w:rsidRPr="00792D61">
              <w:rPr>
                <w:b/>
              </w:rPr>
              <w:t>[</w:t>
            </w:r>
            <w:r w:rsidRPr="00376B29">
              <w:t>Single Valuation Date</w:t>
            </w:r>
            <w:r w:rsidRPr="00792D61">
              <w:rPr>
                <w:b/>
              </w:rPr>
              <w:t>]</w:t>
            </w:r>
          </w:p>
        </w:tc>
        <w:tc>
          <w:tcPr>
            <w:tcW w:w="1618" w:type="dxa"/>
            <w:gridSpan w:val="2"/>
            <w:tcBorders>
              <w:top w:val="nil"/>
              <w:bottom w:val="nil"/>
              <w:right w:val="nil"/>
            </w:tcBorders>
            <w:shd w:val="clear" w:color="auto" w:fill="auto"/>
          </w:tcPr>
          <w:p w:rsidR="0017135D" w:rsidRPr="00E673E9" w:rsidP="00547288">
            <w:pPr>
              <w:pStyle w:val="CSBody8pt"/>
              <w:rPr>
                <w:i/>
                <w:lang w:val="de-DE"/>
              </w:rPr>
            </w:pPr>
          </w:p>
        </w:tc>
        <w:tc>
          <w:tcPr>
            <w:tcW w:w="3318" w:type="dxa"/>
            <w:tcBorders>
              <w:top w:val="nil"/>
              <w:left w:val="nil"/>
              <w:bottom w:val="nil"/>
              <w:right w:val="nil"/>
            </w:tcBorders>
            <w:shd w:val="clear" w:color="auto" w:fill="auto"/>
          </w:tcPr>
          <w:p w:rsidR="0017135D" w:rsidRPr="00175B30" w:rsidP="00547288">
            <w:pPr>
              <w:pStyle w:val="CSBody8pt"/>
            </w:pPr>
            <w:r w:rsidRPr="00792D61">
              <w:rPr>
                <w:b/>
              </w:rPr>
              <w:t>[</w:t>
            </w:r>
            <w:r w:rsidRPr="00175B30">
              <w:t>Einzelner Bewertungstag</w:t>
            </w:r>
            <w:r w:rsidRPr="00792D61">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673E9" w:rsidP="00547288">
            <w:pPr>
              <w:pStyle w:val="CSBody8pt"/>
              <w:rPr>
                <w:lang w:val="de-DE"/>
              </w:rPr>
            </w:pPr>
          </w:p>
        </w:tc>
        <w:tc>
          <w:tcPr>
            <w:tcW w:w="2973" w:type="dxa"/>
            <w:tcBorders>
              <w:top w:val="nil"/>
              <w:left w:val="nil"/>
              <w:bottom w:val="nil"/>
            </w:tcBorders>
            <w:shd w:val="clear" w:color="auto" w:fill="auto"/>
          </w:tcPr>
          <w:p w:rsidR="0017135D" w:rsidP="00547288">
            <w:pPr>
              <w:pStyle w:val="CSBody8pt"/>
            </w:pPr>
            <w:r w:rsidRPr="00792D61">
              <w:rPr>
                <w:b/>
              </w:rPr>
              <w:t>[</w:t>
            </w:r>
            <w:r w:rsidRPr="00376B29">
              <w:t>Multiple Valuation Date</w:t>
            </w:r>
            <w:r w:rsidRPr="00792D61">
              <w:rPr>
                <w:b/>
              </w:rPr>
              <w:t>]]</w:t>
            </w:r>
          </w:p>
        </w:tc>
        <w:tc>
          <w:tcPr>
            <w:tcW w:w="1618" w:type="dxa"/>
            <w:gridSpan w:val="2"/>
            <w:tcBorders>
              <w:top w:val="nil"/>
              <w:bottom w:val="nil"/>
              <w:right w:val="nil"/>
            </w:tcBorders>
            <w:shd w:val="clear" w:color="auto" w:fill="auto"/>
          </w:tcPr>
          <w:p w:rsidR="0017135D" w:rsidRPr="00E673E9" w:rsidP="00547288">
            <w:pPr>
              <w:pStyle w:val="CSBody8pt"/>
              <w:rPr>
                <w:i/>
                <w:lang w:val="de-DE"/>
              </w:rPr>
            </w:pPr>
          </w:p>
        </w:tc>
        <w:tc>
          <w:tcPr>
            <w:tcW w:w="3318" w:type="dxa"/>
            <w:tcBorders>
              <w:top w:val="nil"/>
              <w:left w:val="nil"/>
              <w:bottom w:val="nil"/>
              <w:right w:val="nil"/>
            </w:tcBorders>
            <w:shd w:val="clear" w:color="auto" w:fill="auto"/>
          </w:tcPr>
          <w:p w:rsidR="0017135D" w:rsidP="00547288">
            <w:pPr>
              <w:pStyle w:val="CSBody8pt"/>
            </w:pPr>
            <w:r w:rsidRPr="00792D61">
              <w:rPr>
                <w:b/>
              </w:rPr>
              <w:t>[</w:t>
            </w:r>
            <w:r w:rsidRPr="00175B30">
              <w:t>Mehrere Bewertungstage</w:t>
            </w:r>
            <w:r w:rsidRPr="00792D61">
              <w:rPr>
                <w:b/>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E24AB0" w:rsidP="00547288">
            <w:pPr>
              <w:pStyle w:val="CSBody8pt"/>
            </w:pPr>
            <w:r w:rsidRPr="00E24AB0">
              <w:t>Valuation Time</w:t>
            </w:r>
          </w:p>
        </w:tc>
        <w:tc>
          <w:tcPr>
            <w:tcW w:w="2973" w:type="dxa"/>
            <w:tcBorders>
              <w:top w:val="nil"/>
              <w:left w:val="nil"/>
              <w:bottom w:val="nil"/>
            </w:tcBorders>
            <w:shd w:val="clear" w:color="auto" w:fill="auto"/>
          </w:tcPr>
          <w:p w:rsidR="0017135D" w:rsidRPr="008215D9" w:rsidP="00547288">
            <w:pPr>
              <w:pStyle w:val="CSBody8pt"/>
            </w:pPr>
            <w:r w:rsidRPr="00792D61">
              <w:rPr>
                <w:b/>
              </w:rPr>
              <w:t>[[</w:t>
            </w:r>
            <w:r w:rsidRPr="008215D9">
              <w:rPr>
                <w:rFonts w:ascii="Arial" w:hAnsi="Arial" w:cs="Arial"/>
              </w:rPr>
              <w:t>●</w:t>
            </w:r>
            <w:r w:rsidRPr="00792D61">
              <w:rPr>
                <w:b/>
              </w:rPr>
              <w:t>]][</w:t>
            </w:r>
            <w:r w:rsidRPr="008215D9">
              <w:t>11:00 a.m.</w:t>
            </w:r>
            <w:r w:rsidRPr="00792D61">
              <w:rPr>
                <w:b/>
              </w:rPr>
              <w:t>]</w:t>
            </w:r>
            <w:r w:rsidRPr="008215D9">
              <w:t xml:space="preserve"> in the principal trading market for </w:t>
            </w:r>
            <w:r w:rsidRPr="00792D61">
              <w:rPr>
                <w:b/>
              </w:rPr>
              <w:t>[</w:t>
            </w:r>
            <w:r w:rsidRPr="008215D9">
              <w:t>the Reference Obligation</w:t>
            </w:r>
            <w:r w:rsidRPr="00792D61">
              <w:rPr>
                <w:b/>
              </w:rPr>
              <w:t>]</w:t>
            </w:r>
            <w:r w:rsidRPr="008215D9">
              <w:t xml:space="preserve"> </w:t>
            </w:r>
            <w:r w:rsidRPr="00792D61">
              <w:rPr>
                <w:b/>
              </w:rPr>
              <w:t>[</w:t>
            </w:r>
            <w:r w:rsidRPr="008215D9">
              <w:t>or</w:t>
            </w:r>
            <w:r w:rsidRPr="00792D61">
              <w:rPr>
                <w:b/>
              </w:rPr>
              <w:t>]</w:t>
            </w:r>
            <w:r w:rsidRPr="008215D9">
              <w:t xml:space="preserve"> </w:t>
            </w:r>
            <w:r w:rsidRPr="00792D61">
              <w:rPr>
                <w:b/>
              </w:rPr>
              <w:t>[</w:t>
            </w:r>
            <w:r w:rsidRPr="008215D9">
              <w:t>the Valuation Obligation</w:t>
            </w:r>
            <w:r w:rsidRPr="00792D61">
              <w:rPr>
                <w:b/>
              </w:rPr>
              <w:t>]</w:t>
            </w:r>
          </w:p>
        </w:tc>
        <w:tc>
          <w:tcPr>
            <w:tcW w:w="1618" w:type="dxa"/>
            <w:gridSpan w:val="2"/>
            <w:tcBorders>
              <w:top w:val="nil"/>
              <w:bottom w:val="nil"/>
              <w:right w:val="nil"/>
            </w:tcBorders>
            <w:shd w:val="clear" w:color="auto" w:fill="auto"/>
          </w:tcPr>
          <w:p w:rsidR="0017135D" w:rsidRPr="000332A1" w:rsidP="00877C09">
            <w:pPr>
              <w:pStyle w:val="CSBody8pt"/>
            </w:pPr>
            <w:r w:rsidRPr="000332A1">
              <w:t>Bewertungszeitpunkt</w:t>
            </w:r>
          </w:p>
        </w:tc>
        <w:tc>
          <w:tcPr>
            <w:tcW w:w="3318" w:type="dxa"/>
            <w:tcBorders>
              <w:top w:val="nil"/>
              <w:left w:val="nil"/>
              <w:bottom w:val="nil"/>
              <w:right w:val="nil"/>
            </w:tcBorders>
            <w:shd w:val="clear" w:color="auto" w:fill="auto"/>
          </w:tcPr>
          <w:p w:rsidR="0017135D" w:rsidRPr="00E673E9" w:rsidP="00547288">
            <w:pPr>
              <w:pStyle w:val="CSBody8pt"/>
              <w:rPr>
                <w:bCs/>
                <w:lang w:val="de-DE"/>
              </w:rPr>
            </w:pPr>
            <w:r w:rsidRPr="00792D61">
              <w:rPr>
                <w:b/>
                <w:bCs/>
                <w:lang w:val="de-DE"/>
              </w:rPr>
              <w:t>[[</w:t>
            </w:r>
            <w:r w:rsidRPr="008215D9">
              <w:rPr>
                <w:rFonts w:ascii="Arial" w:hAnsi="Arial" w:cs="Arial"/>
                <w:bCs/>
                <w:lang w:val="de-DE"/>
              </w:rPr>
              <w:t>●</w:t>
            </w:r>
            <w:r w:rsidRPr="00792D61">
              <w:rPr>
                <w:b/>
                <w:bCs/>
                <w:lang w:val="de-DE"/>
              </w:rPr>
              <w:t>]][</w:t>
            </w:r>
            <w:r w:rsidRPr="008215D9">
              <w:rPr>
                <w:bCs/>
                <w:lang w:val="de-DE"/>
              </w:rPr>
              <w:t>11:00 Uhr</w:t>
            </w:r>
            <w:r w:rsidRPr="00792D61">
              <w:rPr>
                <w:b/>
                <w:bCs/>
                <w:lang w:val="de-DE"/>
              </w:rPr>
              <w:t>]</w:t>
            </w:r>
            <w:r w:rsidRPr="008215D9">
              <w:rPr>
                <w:bCs/>
                <w:lang w:val="de-DE"/>
              </w:rPr>
              <w:t xml:space="preserve"> am Haupthandelsmarkt f</w:t>
            </w:r>
            <w:r w:rsidRPr="008215D9">
              <w:rPr>
                <w:rFonts w:cs="Credit Suisse Type Light"/>
                <w:bCs/>
                <w:lang w:val="de-DE"/>
              </w:rPr>
              <w:t>ü</w:t>
            </w:r>
            <w:r w:rsidRPr="008215D9">
              <w:rPr>
                <w:bCs/>
                <w:lang w:val="de-DE"/>
              </w:rPr>
              <w:t xml:space="preserve">r </w:t>
            </w:r>
            <w:r w:rsidRPr="00792D61">
              <w:rPr>
                <w:b/>
                <w:bCs/>
                <w:lang w:val="de-DE"/>
              </w:rPr>
              <w:t>[</w:t>
            </w:r>
            <w:r w:rsidRPr="008215D9">
              <w:rPr>
                <w:bCs/>
                <w:lang w:val="de-DE"/>
              </w:rPr>
              <w:t>die Referenzverbindlichkeit</w:t>
            </w:r>
            <w:r w:rsidRPr="00792D61">
              <w:rPr>
                <w:b/>
                <w:bCs/>
                <w:lang w:val="de-DE"/>
              </w:rPr>
              <w:t>]</w:t>
            </w:r>
            <w:r w:rsidRPr="008215D9">
              <w:rPr>
                <w:bCs/>
                <w:lang w:val="de-DE"/>
              </w:rPr>
              <w:t xml:space="preserve"> </w:t>
            </w:r>
            <w:r w:rsidRPr="00792D61">
              <w:rPr>
                <w:b/>
                <w:bCs/>
                <w:lang w:val="de-DE"/>
              </w:rPr>
              <w:t>[</w:t>
            </w:r>
            <w:r w:rsidRPr="008215D9">
              <w:rPr>
                <w:bCs/>
                <w:lang w:val="de-DE"/>
              </w:rPr>
              <w:t>oder</w:t>
            </w:r>
            <w:r w:rsidRPr="00792D61">
              <w:rPr>
                <w:b/>
                <w:bCs/>
                <w:lang w:val="de-DE"/>
              </w:rPr>
              <w:t>]</w:t>
            </w:r>
            <w:r w:rsidRPr="008215D9">
              <w:rPr>
                <w:bCs/>
                <w:lang w:val="de-DE"/>
              </w:rPr>
              <w:t xml:space="preserve"> </w:t>
            </w:r>
            <w:r w:rsidRPr="00792D61">
              <w:rPr>
                <w:b/>
                <w:bCs/>
                <w:lang w:val="de-DE"/>
              </w:rPr>
              <w:t>[</w:t>
            </w:r>
            <w:r w:rsidRPr="008215D9">
              <w:rPr>
                <w:bCs/>
                <w:lang w:val="de-DE"/>
              </w:rPr>
              <w:t>die Bewertungsverbindlichkeit</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vMerge w:val="restart"/>
            <w:tcBorders>
              <w:top w:val="nil"/>
              <w:left w:val="nil"/>
              <w:right w:val="nil"/>
            </w:tcBorders>
            <w:shd w:val="clear" w:color="auto" w:fill="auto"/>
          </w:tcPr>
          <w:p w:rsidR="0017135D" w:rsidRPr="00385569" w:rsidP="00547288">
            <w:pPr>
              <w:pStyle w:val="CSBody8pt"/>
            </w:pPr>
            <w:r w:rsidRPr="00385569">
              <w:t>Quotation Method</w:t>
            </w:r>
            <w:r>
              <w:fldChar w:fldCharType="begin"/>
            </w:r>
            <w:r>
              <w:instrText xml:space="preserve"> XE "</w:instrText>
            </w:r>
            <w:r w:rsidRPr="008D0F8C">
              <w:instrText>Quotation Method</w:instrText>
            </w:r>
            <w:r>
              <w:instrText xml:space="preserve">" </w:instrText>
            </w:r>
            <w:r w:rsidR="009B1A00">
              <w:instrText>\f "EN"</w:instrText>
            </w:r>
            <w:r>
              <w:fldChar w:fldCharType="end"/>
            </w:r>
          </w:p>
        </w:tc>
        <w:tc>
          <w:tcPr>
            <w:tcW w:w="2973" w:type="dxa"/>
            <w:tcBorders>
              <w:top w:val="nil"/>
              <w:left w:val="nil"/>
              <w:bottom w:val="nil"/>
            </w:tcBorders>
            <w:shd w:val="clear" w:color="auto" w:fill="auto"/>
          </w:tcPr>
          <w:p w:rsidR="0017135D" w:rsidRPr="00385569" w:rsidP="00547288">
            <w:pPr>
              <w:pStyle w:val="CSBody8ptbolditalics"/>
            </w:pPr>
            <w:r w:rsidRPr="00792D61">
              <w:t>[</w:t>
            </w:r>
            <w:r w:rsidRPr="00385569">
              <w:t>choose between the following (default: Bid):</w:t>
            </w:r>
          </w:p>
        </w:tc>
        <w:tc>
          <w:tcPr>
            <w:tcW w:w="1618" w:type="dxa"/>
            <w:gridSpan w:val="2"/>
            <w:vMerge w:val="restart"/>
            <w:tcBorders>
              <w:top w:val="nil"/>
              <w:right w:val="nil"/>
            </w:tcBorders>
            <w:shd w:val="clear" w:color="auto" w:fill="auto"/>
          </w:tcPr>
          <w:p w:rsidR="0017135D" w:rsidRPr="00385569" w:rsidP="00877C09">
            <w:pPr>
              <w:pStyle w:val="CSBody8pt"/>
            </w:pPr>
            <w:r w:rsidRPr="00385569">
              <w:t>Quotierungsmethode</w:t>
            </w:r>
            <w:r>
              <w:fldChar w:fldCharType="begin"/>
            </w:r>
            <w:r>
              <w:instrText xml:space="preserve"> XE "</w:instrText>
            </w:r>
            <w:r w:rsidRPr="00137A99">
              <w:instrText>Quotierungsmethode</w:instrText>
            </w:r>
            <w:r>
              <w:instrText xml:space="preserve">" </w:instrText>
            </w:r>
            <w:r>
              <w:fldChar w:fldCharType="end"/>
            </w:r>
          </w:p>
        </w:tc>
        <w:tc>
          <w:tcPr>
            <w:tcW w:w="3318" w:type="dxa"/>
            <w:tcBorders>
              <w:top w:val="nil"/>
              <w:left w:val="nil"/>
              <w:bottom w:val="nil"/>
              <w:right w:val="nil"/>
            </w:tcBorders>
            <w:shd w:val="clear" w:color="auto" w:fill="auto"/>
          </w:tcPr>
          <w:p w:rsidR="0017135D" w:rsidRPr="00E673E9" w:rsidP="00877C09">
            <w:pPr>
              <w:pStyle w:val="CSBody8ptbolditalics"/>
              <w:rPr>
                <w:lang w:val="de-DE"/>
              </w:rPr>
            </w:pPr>
            <w:r w:rsidRPr="00792D61">
              <w:rPr>
                <w:lang w:val="de-DE"/>
              </w:rPr>
              <w:t>[</w:t>
            </w:r>
            <w:r w:rsidRPr="00385569">
              <w:rPr>
                <w:lang w:val="de-DE"/>
              </w:rPr>
              <w:t>aus Folgendem auswählen (Standardwahl: Geld):</w:t>
            </w:r>
          </w:p>
        </w:tc>
      </w:tr>
      <w:tr w:rsidTr="00BD6E0D">
        <w:tblPrEx>
          <w:tblW w:w="4999" w:type="pct"/>
          <w:tblLayout w:type="fixed"/>
          <w:tblCellMar>
            <w:left w:w="115" w:type="dxa"/>
            <w:right w:w="115" w:type="dxa"/>
          </w:tblCellMar>
          <w:tblLook w:val="04A0"/>
        </w:tblPrEx>
        <w:tc>
          <w:tcPr>
            <w:tcW w:w="1958" w:type="dxa"/>
            <w:gridSpan w:val="4"/>
            <w:vMerge/>
            <w:tcBorders>
              <w:left w:val="nil"/>
              <w:bottom w:val="nil"/>
              <w:right w:val="nil"/>
            </w:tcBorders>
            <w:shd w:val="clear" w:color="auto" w:fill="auto"/>
          </w:tcPr>
          <w:p w:rsidR="0017135D" w:rsidRPr="00E673E9" w:rsidP="00547288">
            <w:pPr>
              <w:pStyle w:val="CSBody8pt"/>
              <w:rPr>
                <w:lang w:val="de-DE"/>
              </w:rPr>
            </w:pPr>
          </w:p>
        </w:tc>
        <w:tc>
          <w:tcPr>
            <w:tcW w:w="2973" w:type="dxa"/>
            <w:tcBorders>
              <w:top w:val="nil"/>
              <w:left w:val="nil"/>
              <w:bottom w:val="nil"/>
            </w:tcBorders>
            <w:shd w:val="clear" w:color="auto" w:fill="auto"/>
          </w:tcPr>
          <w:p w:rsidR="0017135D" w:rsidRPr="008215D9" w:rsidP="00547288">
            <w:pPr>
              <w:pStyle w:val="CSBody8pt"/>
              <w:rPr>
                <w:lang w:val="de-DE"/>
              </w:rPr>
            </w:pPr>
            <w:r w:rsidRPr="00792D61">
              <w:rPr>
                <w:b/>
                <w:lang w:val="de-DE"/>
              </w:rPr>
              <w:t>[</w:t>
            </w:r>
            <w:r w:rsidRPr="008215D9">
              <w:rPr>
                <w:lang w:val="de-DE"/>
              </w:rPr>
              <w:t>Bid</w:t>
            </w:r>
            <w:r w:rsidRPr="00792D61">
              <w:rPr>
                <w:b/>
                <w:lang w:val="de-DE"/>
              </w:rPr>
              <w:t>]</w:t>
            </w:r>
          </w:p>
          <w:p w:rsidR="0017135D" w:rsidRPr="008215D9" w:rsidP="00547288">
            <w:pPr>
              <w:pStyle w:val="CSBody8pt"/>
              <w:rPr>
                <w:lang w:val="de-DE"/>
              </w:rPr>
            </w:pPr>
            <w:r w:rsidRPr="00792D61">
              <w:rPr>
                <w:b/>
                <w:lang w:val="de-DE"/>
              </w:rPr>
              <w:t>[</w:t>
            </w:r>
            <w:r w:rsidRPr="008215D9">
              <w:rPr>
                <w:lang w:val="de-DE"/>
              </w:rPr>
              <w:t>Offer</w:t>
            </w:r>
            <w:r w:rsidRPr="00792D61">
              <w:rPr>
                <w:b/>
                <w:lang w:val="de-DE"/>
              </w:rPr>
              <w:t>]</w:t>
            </w:r>
          </w:p>
          <w:p w:rsidR="0017135D" w:rsidRPr="00E673E9" w:rsidP="00547288">
            <w:pPr>
              <w:pStyle w:val="CSBody8pt"/>
              <w:rPr>
                <w:lang w:val="de-DE"/>
              </w:rPr>
            </w:pPr>
            <w:r w:rsidRPr="00792D61">
              <w:rPr>
                <w:b/>
                <w:lang w:val="de-DE"/>
              </w:rPr>
              <w:t>[</w:t>
            </w:r>
            <w:r w:rsidRPr="008215D9">
              <w:rPr>
                <w:lang w:val="de-DE"/>
              </w:rPr>
              <w:t>Mid-Market</w:t>
            </w:r>
            <w:r w:rsidRPr="00792D61">
              <w:rPr>
                <w:b/>
                <w:lang w:val="de-DE"/>
              </w:rPr>
              <w:t>]]</w:t>
            </w:r>
          </w:p>
        </w:tc>
        <w:tc>
          <w:tcPr>
            <w:tcW w:w="1618" w:type="dxa"/>
            <w:gridSpan w:val="2"/>
            <w:vMerge/>
            <w:tcBorders>
              <w:bottom w:val="nil"/>
              <w:right w:val="nil"/>
            </w:tcBorders>
            <w:shd w:val="clear" w:color="auto" w:fill="auto"/>
          </w:tcPr>
          <w:p w:rsidR="0017135D" w:rsidRPr="00E673E9" w:rsidP="00547288">
            <w:pPr>
              <w:pStyle w:val="CSBody8pt"/>
              <w:rPr>
                <w:i/>
                <w:lang w:val="de-DE"/>
              </w:rPr>
            </w:pPr>
          </w:p>
        </w:tc>
        <w:tc>
          <w:tcPr>
            <w:tcW w:w="3318" w:type="dxa"/>
            <w:tcBorders>
              <w:top w:val="nil"/>
              <w:left w:val="nil"/>
              <w:bottom w:val="nil"/>
              <w:right w:val="nil"/>
            </w:tcBorders>
            <w:shd w:val="clear" w:color="auto" w:fill="auto"/>
          </w:tcPr>
          <w:p w:rsidR="0017135D" w:rsidRPr="008215D9" w:rsidP="00547288">
            <w:pPr>
              <w:pStyle w:val="CSBody8pt"/>
              <w:rPr>
                <w:bCs/>
                <w:lang w:val="de-DE"/>
              </w:rPr>
            </w:pPr>
            <w:r w:rsidRPr="00792D61">
              <w:rPr>
                <w:b/>
                <w:bCs/>
                <w:lang w:val="de-DE"/>
              </w:rPr>
              <w:t>[</w:t>
            </w:r>
            <w:r w:rsidRPr="008215D9">
              <w:rPr>
                <w:bCs/>
                <w:lang w:val="de-DE"/>
              </w:rPr>
              <w:t>Geld</w:t>
            </w:r>
            <w:r w:rsidRPr="00792D61">
              <w:rPr>
                <w:b/>
                <w:bCs/>
                <w:lang w:val="de-DE"/>
              </w:rPr>
              <w:t>]</w:t>
            </w:r>
          </w:p>
          <w:p w:rsidR="0017135D" w:rsidRPr="008215D9" w:rsidP="00547288">
            <w:pPr>
              <w:pStyle w:val="CSBody8pt"/>
              <w:rPr>
                <w:bCs/>
                <w:lang w:val="de-DE"/>
              </w:rPr>
            </w:pPr>
            <w:r w:rsidRPr="00792D61">
              <w:rPr>
                <w:b/>
                <w:bCs/>
                <w:lang w:val="de-DE"/>
              </w:rPr>
              <w:t>[</w:t>
            </w:r>
            <w:r w:rsidRPr="008215D9">
              <w:rPr>
                <w:bCs/>
                <w:lang w:val="de-DE"/>
              </w:rPr>
              <w:t>Brief</w:t>
            </w:r>
            <w:r w:rsidRPr="00792D61">
              <w:rPr>
                <w:b/>
                <w:bCs/>
                <w:lang w:val="de-DE"/>
              </w:rPr>
              <w:t>]</w:t>
            </w:r>
          </w:p>
          <w:p w:rsidR="0017135D" w:rsidRPr="00E673E9" w:rsidP="00547288">
            <w:pPr>
              <w:pStyle w:val="CSBody8pt"/>
              <w:rPr>
                <w:bCs/>
                <w:lang w:val="de-DE"/>
              </w:rPr>
            </w:pPr>
            <w:r w:rsidRPr="00792D61">
              <w:rPr>
                <w:b/>
                <w:bCs/>
                <w:lang w:val="de-DE"/>
              </w:rPr>
              <w:t>[</w:t>
            </w:r>
            <w:r w:rsidRPr="008215D9">
              <w:rPr>
                <w:bCs/>
                <w:lang w:val="de-DE"/>
              </w:rPr>
              <w:t>Durchschnitt</w:t>
            </w:r>
            <w:r w:rsidRPr="00792D61">
              <w:rPr>
                <w:b/>
                <w:bCs/>
                <w:lang w:val="de-DE"/>
              </w:rPr>
              <w:t>]]</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RPr="009173FB" w:rsidP="00547288">
            <w:pPr>
              <w:pStyle w:val="CSBody8pt"/>
            </w:pPr>
            <w:r w:rsidRPr="009173FB">
              <w:t>Provisions relating to Timing</w:t>
            </w:r>
          </w:p>
        </w:tc>
        <w:tc>
          <w:tcPr>
            <w:tcW w:w="2973" w:type="dxa"/>
            <w:tcBorders>
              <w:top w:val="nil"/>
              <w:left w:val="nil"/>
              <w:bottom w:val="nil"/>
            </w:tcBorders>
            <w:shd w:val="clear" w:color="auto" w:fill="auto"/>
          </w:tcPr>
          <w:p w:rsidR="0017135D" w:rsidRPr="002014DC" w:rsidP="00547288">
            <w:pPr>
              <w:pStyle w:val="CSBody8pt"/>
            </w:pPr>
            <w:r w:rsidRPr="002014DC">
              <w:t>In order to determine the day on which an event occurs for purposes of these Terms and Conditions, the demarcation of days shall be made by reference to Greenwich Mean Time (or, if the Transaction Type of the Reference Entity relates to Japan, Tokyo time), irrespective of the time zone in which such event occurred. Any event occurring at midnight shall be deemed to have occurred immediately prior to midnight.</w:t>
            </w:r>
          </w:p>
        </w:tc>
        <w:tc>
          <w:tcPr>
            <w:tcW w:w="1618" w:type="dxa"/>
            <w:gridSpan w:val="2"/>
            <w:tcBorders>
              <w:top w:val="nil"/>
              <w:bottom w:val="nil"/>
              <w:right w:val="nil"/>
            </w:tcBorders>
            <w:shd w:val="clear" w:color="auto" w:fill="auto"/>
          </w:tcPr>
          <w:p w:rsidR="0017135D" w:rsidRPr="007F1187" w:rsidP="00547288">
            <w:pPr>
              <w:pStyle w:val="CSBody8pt"/>
            </w:pPr>
            <w:r w:rsidRPr="007F1187">
              <w:t>Bestimmungen zu Zeitvorgaben</w:t>
            </w:r>
          </w:p>
        </w:tc>
        <w:tc>
          <w:tcPr>
            <w:tcW w:w="3318" w:type="dxa"/>
            <w:tcBorders>
              <w:top w:val="nil"/>
              <w:left w:val="nil"/>
              <w:bottom w:val="nil"/>
              <w:right w:val="nil"/>
            </w:tcBorders>
            <w:shd w:val="clear" w:color="auto" w:fill="auto"/>
          </w:tcPr>
          <w:p w:rsidR="0017135D" w:rsidRPr="008215D9" w:rsidP="00547288">
            <w:pPr>
              <w:pStyle w:val="CSBody8pt"/>
              <w:rPr>
                <w:lang w:val="de-DE"/>
              </w:rPr>
            </w:pPr>
            <w:r w:rsidRPr="008215D9">
              <w:rPr>
                <w:lang w:val="de-DE"/>
              </w:rPr>
              <w:t>Zur Bestimmung des Tages, an dem ein Ereignis für die Zwecke dieser Emissionsbedingungen eintritt, wird die Abgrenzung von Tagen, ungeachtet der Zeitzone, in der das Ereignis eintritt, unter Bezugnahme auf Westeuropäische Zeit bestimmt (oder, sofern der Transaktionstyp des Referenzschuldners sich auf Japan bezieht, Ortszeit in Tokio). Ein um Mitternacht eingetretenes Ereignis gilt als unmittelbar vor Mitternacht eingetreten.</w:t>
            </w:r>
          </w:p>
        </w:tc>
      </w:tr>
      <w:tr w:rsidTr="00BD6E0D">
        <w:tblPrEx>
          <w:tblW w:w="4999" w:type="pct"/>
          <w:tblLayout w:type="fixed"/>
          <w:tblCellMar>
            <w:left w:w="115" w:type="dxa"/>
            <w:right w:w="115" w:type="dxa"/>
          </w:tblCellMar>
          <w:tblLook w:val="04A0"/>
        </w:tblPrEx>
        <w:tc>
          <w:tcPr>
            <w:tcW w:w="1958" w:type="dxa"/>
            <w:gridSpan w:val="4"/>
            <w:tcBorders>
              <w:top w:val="nil"/>
              <w:left w:val="nil"/>
              <w:bottom w:val="nil"/>
              <w:right w:val="nil"/>
            </w:tcBorders>
            <w:shd w:val="clear" w:color="auto" w:fill="auto"/>
          </w:tcPr>
          <w:p w:rsidR="0017135D" w:rsidP="00547288">
            <w:pPr>
              <w:pStyle w:val="CSBody8pt"/>
            </w:pPr>
            <w:r w:rsidRPr="009173FB">
              <w:t>Provisions relating to Payment Timing</w:t>
            </w:r>
          </w:p>
        </w:tc>
        <w:tc>
          <w:tcPr>
            <w:tcW w:w="2973" w:type="dxa"/>
            <w:tcBorders>
              <w:top w:val="nil"/>
              <w:left w:val="nil"/>
              <w:bottom w:val="nil"/>
            </w:tcBorders>
            <w:shd w:val="clear" w:color="auto" w:fill="auto"/>
          </w:tcPr>
          <w:p w:rsidR="0017135D" w:rsidP="00547288">
            <w:pPr>
              <w:pStyle w:val="CSBody8pt"/>
            </w:pPr>
            <w:r w:rsidRPr="002014DC">
              <w:t>Notwithstanding the above Provisions relating to Timing, if a payment is not made by the Reference Entity on its due date or, as the case may be, on the final day of the relevant Grace Period (as defined in Section 1.2 below), then such failure to make a payment shall be deemed to have occurred on such day prior to midnight Greenwich Mean Time (or, if the Transaction Type of the Reference Entity relates to Japan, Tokyo time), irrespective of the time zone of its place of payment.</w:t>
            </w:r>
            <w:r w:rsidRPr="00792D61">
              <w:rPr>
                <w:b/>
              </w:rPr>
              <w:t>]</w:t>
            </w:r>
          </w:p>
        </w:tc>
        <w:tc>
          <w:tcPr>
            <w:tcW w:w="1618" w:type="dxa"/>
            <w:gridSpan w:val="2"/>
            <w:tcBorders>
              <w:top w:val="nil"/>
              <w:bottom w:val="nil"/>
              <w:right w:val="nil"/>
            </w:tcBorders>
            <w:shd w:val="clear" w:color="auto" w:fill="auto"/>
          </w:tcPr>
          <w:p w:rsidR="0017135D" w:rsidRPr="008215D9" w:rsidP="00547288">
            <w:pPr>
              <w:pStyle w:val="CSBody8pt"/>
              <w:rPr>
                <w:lang w:val="de-DE"/>
              </w:rPr>
            </w:pPr>
            <w:r w:rsidRPr="008215D9">
              <w:rPr>
                <w:lang w:val="de-DE"/>
              </w:rPr>
              <w:t>Bestimmungen zu Zeitvorgaben für Zahlungen</w:t>
            </w:r>
          </w:p>
        </w:tc>
        <w:tc>
          <w:tcPr>
            <w:tcW w:w="3318" w:type="dxa"/>
            <w:tcBorders>
              <w:top w:val="nil"/>
              <w:left w:val="nil"/>
              <w:bottom w:val="nil"/>
              <w:right w:val="nil"/>
            </w:tcBorders>
            <w:shd w:val="clear" w:color="auto" w:fill="auto"/>
          </w:tcPr>
          <w:p w:rsidR="0017135D" w:rsidRPr="008215D9" w:rsidP="00547288">
            <w:pPr>
              <w:pStyle w:val="CSBody8pt"/>
              <w:rPr>
                <w:lang w:val="de-DE"/>
              </w:rPr>
            </w:pPr>
            <w:r w:rsidRPr="008215D9">
              <w:rPr>
                <w:lang w:val="de-DE"/>
              </w:rPr>
              <w:t>Ungeachtet der vorstehenden Bestimmungen zu Zeitvorgaben gilt Folgendes: Falls eine Zahlung durch den Referenzschuldner nicht bei Fälligkeit bzw. am letzten Tag der massgeblichen Nachfrist (wie nachstehend in Ziffer 1.2 definiert) geleistet wird, gilt die Nichtleistung der Zahlung ungeachtet der Zeitzone des Zahlungsorts als am betreffenden Tag vor Mitternacht, Westeuropäische Zeit (oder sofern der Transaktionstyp des Referenzschuldners sich auf Japan bezieht, Ortszeit in Tokio) eingetreten.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E202A" w:rsidP="00547288">
            <w:pPr>
              <w:pStyle w:val="CSBody8ptbolditalics"/>
            </w:pPr>
            <w:r w:rsidRPr="00792D61">
              <w:t>[</w:t>
            </w:r>
            <w:r w:rsidRPr="00EE202A">
              <w:t>in the case of Credit-Linked Complex Products with simplified settlement, insert subsections C.3 and C.4:</w:t>
            </w:r>
          </w:p>
        </w:tc>
        <w:tc>
          <w:tcPr>
            <w:tcW w:w="4936" w:type="dxa"/>
            <w:gridSpan w:val="3"/>
            <w:tcBorders>
              <w:top w:val="nil"/>
              <w:bottom w:val="nil"/>
              <w:right w:val="nil"/>
            </w:tcBorders>
            <w:shd w:val="clear" w:color="auto" w:fill="auto"/>
          </w:tcPr>
          <w:p w:rsidR="0017135D" w:rsidRPr="008215D9" w:rsidP="00547288">
            <w:pPr>
              <w:pStyle w:val="CSBody8ptbolditalics"/>
              <w:rPr>
                <w:lang w:val="de-DE"/>
              </w:rPr>
            </w:pPr>
            <w:r w:rsidRPr="00792D61">
              <w:rPr>
                <w:lang w:val="de-DE"/>
              </w:rPr>
              <w:t>[</w:t>
            </w:r>
            <w:r w:rsidRPr="008215D9">
              <w:rPr>
                <w:lang w:val="de-DE"/>
              </w:rPr>
              <w:t>bei Kreditbezogenen Komplexen Produkten mit vereinfachter Abwicklung Unterziffern C.3 und C.4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27EDD" w:rsidP="00547288">
            <w:pPr>
              <w:pStyle w:val="CSbody0bold"/>
            </w:pPr>
            <w:r w:rsidRPr="00827EDD">
              <w:t>C.3</w:t>
            </w:r>
          </w:p>
        </w:tc>
        <w:tc>
          <w:tcPr>
            <w:tcW w:w="3315" w:type="dxa"/>
            <w:gridSpan w:val="2"/>
            <w:tcBorders>
              <w:top w:val="nil"/>
              <w:left w:val="nil"/>
              <w:bottom w:val="nil"/>
            </w:tcBorders>
            <w:shd w:val="clear" w:color="auto" w:fill="auto"/>
          </w:tcPr>
          <w:p w:rsidR="0017135D" w:rsidRPr="000C557A" w:rsidP="00547288">
            <w:pPr>
              <w:pStyle w:val="CSbody0bold"/>
              <w:rPr>
                <w:lang w:val="en-GB"/>
              </w:rPr>
            </w:pPr>
            <w:r w:rsidRPr="000C557A">
              <w:rPr>
                <w:lang w:val="en-GB"/>
              </w:rPr>
              <w:t>Redemption upon the occurrence of a Credit Redemption Event</w:t>
            </w:r>
          </w:p>
        </w:tc>
        <w:tc>
          <w:tcPr>
            <w:tcW w:w="1618" w:type="dxa"/>
            <w:gridSpan w:val="2"/>
            <w:tcBorders>
              <w:top w:val="nil"/>
              <w:bottom w:val="nil"/>
              <w:right w:val="nil"/>
            </w:tcBorders>
            <w:shd w:val="clear" w:color="auto" w:fill="auto"/>
          </w:tcPr>
          <w:p w:rsidR="0017135D" w:rsidRPr="00AF4E99" w:rsidP="00547288">
            <w:pPr>
              <w:pStyle w:val="CSbody0bold"/>
            </w:pPr>
            <w:r w:rsidRPr="00AF4E99">
              <w:t>C.3</w:t>
            </w:r>
          </w:p>
        </w:tc>
        <w:tc>
          <w:tcPr>
            <w:tcW w:w="3318" w:type="dxa"/>
            <w:tcBorders>
              <w:top w:val="nil"/>
              <w:left w:val="nil"/>
              <w:bottom w:val="nil"/>
              <w:right w:val="nil"/>
            </w:tcBorders>
            <w:shd w:val="clear" w:color="auto" w:fill="auto"/>
          </w:tcPr>
          <w:p w:rsidR="0017135D" w:rsidRPr="008215D9" w:rsidP="00547288">
            <w:pPr>
              <w:pStyle w:val="CSbody0bold"/>
            </w:pPr>
            <w:r w:rsidRPr="008215D9">
              <w:t>Rückzahlung nach Eintritt eines Kredit-Rückzahlungsereignisses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CE1767" w:rsidP="00877C09">
            <w:pPr>
              <w:pStyle w:val="CSBody8pt"/>
            </w:pPr>
            <w:r w:rsidRPr="00CE1767">
              <w:t>Redemption upon the occurrence of a Credit Redemption Event</w:t>
            </w:r>
          </w:p>
        </w:tc>
        <w:tc>
          <w:tcPr>
            <w:tcW w:w="3315" w:type="dxa"/>
            <w:gridSpan w:val="2"/>
            <w:tcBorders>
              <w:top w:val="nil"/>
              <w:left w:val="nil"/>
              <w:bottom w:val="nil"/>
            </w:tcBorders>
            <w:shd w:val="clear" w:color="auto" w:fill="auto"/>
          </w:tcPr>
          <w:p w:rsidR="0017135D" w:rsidRPr="00CE1767" w:rsidP="00547288">
            <w:pPr>
              <w:pStyle w:val="CSBody8pt"/>
            </w:pPr>
            <w:r w:rsidRPr="00CE1767">
              <w:t xml:space="preserve">Unless previously redeemed, repurchased or cancelled, </w:t>
            </w:r>
          </w:p>
        </w:tc>
        <w:tc>
          <w:tcPr>
            <w:tcW w:w="1618" w:type="dxa"/>
            <w:gridSpan w:val="2"/>
            <w:tcBorders>
              <w:top w:val="nil"/>
              <w:bottom w:val="nil"/>
              <w:right w:val="nil"/>
            </w:tcBorders>
            <w:shd w:val="clear" w:color="auto" w:fill="auto"/>
          </w:tcPr>
          <w:p w:rsidR="0017135D" w:rsidRPr="008215D9" w:rsidP="00877C09">
            <w:pPr>
              <w:pStyle w:val="CSBody8pt"/>
              <w:rPr>
                <w:lang w:val="de-DE"/>
              </w:rPr>
            </w:pPr>
            <w:r w:rsidRPr="008215D9">
              <w:rPr>
                <w:lang w:val="de-DE"/>
              </w:rPr>
              <w:t>Rückzahlung nach Eintritt eines Kredit-Rückzahlungsereignisses</w:t>
            </w:r>
          </w:p>
        </w:tc>
        <w:tc>
          <w:tcPr>
            <w:tcW w:w="3318" w:type="dxa"/>
            <w:tcBorders>
              <w:top w:val="nil"/>
              <w:left w:val="nil"/>
              <w:bottom w:val="nil"/>
              <w:right w:val="nil"/>
            </w:tcBorders>
            <w:shd w:val="clear" w:color="auto" w:fill="auto"/>
          </w:tcPr>
          <w:p w:rsidR="0017135D" w:rsidRPr="008215D9" w:rsidP="00547288">
            <w:pPr>
              <w:pStyle w:val="CSBody8pt"/>
              <w:rPr>
                <w:lang w:val="de-DE"/>
              </w:rPr>
            </w:pPr>
            <w:r w:rsidRPr="008215D9">
              <w:rPr>
                <w:lang w:val="de-DE"/>
              </w:rPr>
              <w:t xml:space="preserve">Sofern die Komplexen Produkte nicht bereits zuvor zurückgezahlt, zurückgekauft oder entwertet wurden, gilt Folgendes: </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215D9" w:rsidP="00547288">
            <w:pPr>
              <w:pStyle w:val="CSManNum8pt"/>
              <w:rPr>
                <w:lang w:val="de-DE"/>
              </w:rPr>
            </w:pPr>
          </w:p>
        </w:tc>
        <w:tc>
          <w:tcPr>
            <w:tcW w:w="3315" w:type="dxa"/>
            <w:gridSpan w:val="2"/>
            <w:tcBorders>
              <w:top w:val="nil"/>
              <w:left w:val="nil"/>
              <w:bottom w:val="nil"/>
            </w:tcBorders>
            <w:shd w:val="clear" w:color="auto" w:fill="auto"/>
          </w:tcPr>
          <w:p w:rsidR="0017135D" w:rsidRPr="008215D9" w:rsidP="00877C09">
            <w:pPr>
              <w:pStyle w:val="CSManNum8pt"/>
            </w:pPr>
            <w:r w:rsidRPr="008215D9">
              <w:t>(i)</w:t>
            </w:r>
            <w:r w:rsidRPr="008215D9">
              <w:tab/>
              <w:t>upon the occurrence of a Credit Redemption Event on or prior to the Scheduled Maturity Date; or</w:t>
            </w:r>
          </w:p>
        </w:tc>
        <w:tc>
          <w:tcPr>
            <w:tcW w:w="1618" w:type="dxa"/>
            <w:gridSpan w:val="2"/>
            <w:tcBorders>
              <w:top w:val="nil"/>
              <w:bottom w:val="nil"/>
              <w:right w:val="nil"/>
            </w:tcBorders>
            <w:shd w:val="clear" w:color="auto" w:fill="auto"/>
          </w:tcPr>
          <w:p w:rsidR="0017135D" w:rsidRPr="008215D9" w:rsidP="00547288">
            <w:pPr>
              <w:pStyle w:val="CSManNum8pt"/>
              <w:rPr>
                <w:i/>
              </w:rPr>
            </w:pPr>
          </w:p>
        </w:tc>
        <w:tc>
          <w:tcPr>
            <w:tcW w:w="3318" w:type="dxa"/>
            <w:tcBorders>
              <w:top w:val="nil"/>
              <w:left w:val="nil"/>
              <w:bottom w:val="nil"/>
              <w:right w:val="nil"/>
            </w:tcBorders>
            <w:shd w:val="clear" w:color="auto" w:fill="auto"/>
          </w:tcPr>
          <w:p w:rsidR="0017135D" w:rsidRPr="008215D9" w:rsidP="00547288">
            <w:pPr>
              <w:pStyle w:val="CSManNum8pt"/>
              <w:rPr>
                <w:bCs/>
                <w:lang w:val="de-DE"/>
              </w:rPr>
            </w:pPr>
            <w:r w:rsidRPr="008215D9">
              <w:rPr>
                <w:bCs/>
                <w:lang w:val="de-DE"/>
              </w:rPr>
              <w:t>(i)</w:t>
            </w:r>
            <w:r w:rsidRPr="008215D9">
              <w:rPr>
                <w:bCs/>
                <w:lang w:val="de-DE"/>
              </w:rPr>
              <w:tab/>
              <w:t>nach Eintritt eines Kredit-Rückzahlungsereignisses an oder vor dem Planmässigen Fälligkeitstag;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215D9" w:rsidP="00547288">
            <w:pPr>
              <w:pStyle w:val="CSManNum8pt"/>
              <w:rPr>
                <w:lang w:val="de-DE"/>
              </w:rPr>
            </w:pPr>
          </w:p>
        </w:tc>
        <w:tc>
          <w:tcPr>
            <w:tcW w:w="3315" w:type="dxa"/>
            <w:gridSpan w:val="2"/>
            <w:tcBorders>
              <w:top w:val="nil"/>
              <w:left w:val="nil"/>
              <w:bottom w:val="nil"/>
            </w:tcBorders>
            <w:shd w:val="clear" w:color="auto" w:fill="auto"/>
          </w:tcPr>
          <w:p w:rsidR="0017135D" w:rsidRPr="008215D9" w:rsidP="00547288">
            <w:pPr>
              <w:pStyle w:val="CSManNum8pt"/>
            </w:pPr>
            <w:r w:rsidRPr="008215D9">
              <w:t>(ii)</w:t>
            </w:r>
            <w:r w:rsidRPr="008215D9">
              <w:tab/>
              <w:t>if (x) no Credit Redemption Event has occurred on or prior to the Scheduled Maturity Date, but a Suspension Period has occurred on or prior to, and is continuing on, the Scheduled Maturity Date, and (y) a Credit Redemption Event occurs on or prior to the last day of such Suspension Period,</w:t>
            </w:r>
          </w:p>
        </w:tc>
        <w:tc>
          <w:tcPr>
            <w:tcW w:w="1618" w:type="dxa"/>
            <w:gridSpan w:val="2"/>
            <w:tcBorders>
              <w:top w:val="nil"/>
              <w:bottom w:val="nil"/>
              <w:right w:val="nil"/>
            </w:tcBorders>
            <w:shd w:val="clear" w:color="auto" w:fill="auto"/>
          </w:tcPr>
          <w:p w:rsidR="0017135D" w:rsidRPr="008215D9" w:rsidP="00547288">
            <w:pPr>
              <w:pStyle w:val="CSManNum8pt"/>
              <w:rPr>
                <w:i/>
              </w:rPr>
            </w:pPr>
          </w:p>
        </w:tc>
        <w:tc>
          <w:tcPr>
            <w:tcW w:w="3318" w:type="dxa"/>
            <w:tcBorders>
              <w:top w:val="nil"/>
              <w:left w:val="nil"/>
              <w:bottom w:val="nil"/>
              <w:right w:val="nil"/>
            </w:tcBorders>
            <w:shd w:val="clear" w:color="auto" w:fill="auto"/>
          </w:tcPr>
          <w:p w:rsidR="0017135D" w:rsidRPr="008215D9" w:rsidP="00877C09">
            <w:pPr>
              <w:pStyle w:val="CSManNum8pt"/>
              <w:rPr>
                <w:bCs/>
                <w:lang w:val="de-DE"/>
              </w:rPr>
            </w:pPr>
            <w:r w:rsidRPr="008215D9">
              <w:rPr>
                <w:bCs/>
                <w:lang w:val="de-DE"/>
              </w:rPr>
              <w:t>(ii)</w:t>
            </w:r>
            <w:r w:rsidRPr="008215D9">
              <w:rPr>
                <w:bCs/>
                <w:lang w:val="de-DE"/>
              </w:rPr>
              <w:tab/>
              <w:t>wenn (x) kein Kredit-Rückzahlungsereignis an oder vor dem Planmässigen Fälligkeitstag eingetreten ist, aber an oder vor dem Planmässigen Fälligkeitstag ein Aussetzungszeitraum begonnen hat und am Planmässigen Fälligkeitstag andauert, und (y) an oder vor dem letzten Tag dieses Aussetzungszeitraums ein Kredit-Rückzahlungsereignis eintritt,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215D9" w:rsidP="00547288">
            <w:pPr>
              <w:pStyle w:val="CSBody8pt"/>
              <w:rPr>
                <w:lang w:val="de-DE"/>
              </w:rPr>
            </w:pPr>
          </w:p>
        </w:tc>
        <w:tc>
          <w:tcPr>
            <w:tcW w:w="3315" w:type="dxa"/>
            <w:gridSpan w:val="2"/>
            <w:tcBorders>
              <w:top w:val="nil"/>
              <w:left w:val="nil"/>
              <w:bottom w:val="nil"/>
            </w:tcBorders>
            <w:shd w:val="clear" w:color="auto" w:fill="auto"/>
          </w:tcPr>
          <w:p w:rsidR="0017135D" w:rsidRPr="008215D9" w:rsidP="00385569">
            <w:pPr>
              <w:pStyle w:val="CSManNum8pt"/>
              <w:rPr>
                <w:lang w:val="de-DE"/>
              </w:rPr>
            </w:pPr>
            <w:r>
              <w:rPr>
                <w:lang w:val="de-DE"/>
              </w:rPr>
              <w:tab/>
              <w:t>then</w:t>
            </w:r>
          </w:p>
        </w:tc>
        <w:tc>
          <w:tcPr>
            <w:tcW w:w="1618" w:type="dxa"/>
            <w:gridSpan w:val="2"/>
            <w:tcBorders>
              <w:top w:val="nil"/>
              <w:bottom w:val="nil"/>
              <w:right w:val="nil"/>
            </w:tcBorders>
            <w:shd w:val="clear" w:color="auto" w:fill="auto"/>
          </w:tcPr>
          <w:p w:rsidR="0017135D" w:rsidRPr="008215D9" w:rsidP="00547288">
            <w:pPr>
              <w:pStyle w:val="CSBody8pt"/>
              <w:rPr>
                <w:i/>
                <w:lang w:val="de-DE"/>
              </w:rPr>
            </w:pPr>
          </w:p>
        </w:tc>
        <w:tc>
          <w:tcPr>
            <w:tcW w:w="3318" w:type="dxa"/>
            <w:tcBorders>
              <w:top w:val="nil"/>
              <w:left w:val="nil"/>
              <w:bottom w:val="nil"/>
              <w:right w:val="nil"/>
            </w:tcBorders>
            <w:shd w:val="clear" w:color="auto" w:fill="auto"/>
          </w:tcPr>
          <w:p w:rsidR="0017135D" w:rsidRPr="008215D9" w:rsidP="00385569">
            <w:pPr>
              <w:pStyle w:val="CSManNum8pt"/>
              <w:rPr>
                <w:lang w:val="de-DE"/>
              </w:rPr>
            </w:pPr>
            <w:r>
              <w:rPr>
                <w:lang w:val="de-DE"/>
              </w:rPr>
              <w:tab/>
              <w:t>so</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215D9" w:rsidP="00547288">
            <w:pPr>
              <w:pStyle w:val="CSManNum8pt"/>
              <w:rPr>
                <w:lang w:val="de-DE"/>
              </w:rPr>
            </w:pPr>
          </w:p>
        </w:tc>
        <w:tc>
          <w:tcPr>
            <w:tcW w:w="3315" w:type="dxa"/>
            <w:gridSpan w:val="2"/>
            <w:tcBorders>
              <w:top w:val="nil"/>
              <w:left w:val="nil"/>
              <w:bottom w:val="nil"/>
            </w:tcBorders>
            <w:shd w:val="clear" w:color="auto" w:fill="auto"/>
          </w:tcPr>
          <w:p w:rsidR="0017135D" w:rsidRPr="008215D9" w:rsidP="00547288">
            <w:pPr>
              <w:pStyle w:val="CSManNum8pt"/>
            </w:pPr>
            <w:r w:rsidRPr="008215D9">
              <w:t>(a)</w:t>
            </w:r>
            <w:r w:rsidRPr="008215D9">
              <w:tab/>
              <w:t xml:space="preserve">within five Business Days following the Credit Redemption Event Date, the Issuer shall notify the Holders of the occurrence of the Credit Redemption Event in accordance with Section </w:t>
            </w:r>
            <w:r w:rsidRPr="00792D61">
              <w:rPr>
                <w:b/>
              </w:rPr>
              <w:t>[</w:t>
            </w:r>
            <w:r w:rsidRPr="008215D9">
              <w:t>8</w:t>
            </w:r>
            <w:r w:rsidRPr="00792D61">
              <w:rPr>
                <w:b/>
              </w:rPr>
              <w:t>][</w:t>
            </w:r>
            <w:r w:rsidRPr="008215D9">
              <w:rPr>
                <w:rFonts w:ascii="Arial" w:hAnsi="Arial" w:cs="Arial"/>
              </w:rPr>
              <w:t>●</w:t>
            </w:r>
            <w:r w:rsidRPr="00792D61">
              <w:rPr>
                <w:b/>
              </w:rPr>
              <w:t>]</w:t>
            </w:r>
            <w:r w:rsidRPr="008215D9">
              <w:t xml:space="preserve"> (which notice shall include a description in reasonable detail of the relevant facts relating thereto) (the date of such notice, the "</w:t>
            </w:r>
            <w:r w:rsidRPr="00547288">
              <w:rPr>
                <w:b/>
              </w:rPr>
              <w:t>Event Notice Date</w:t>
            </w:r>
            <w:r w:rsidRPr="008215D9">
              <w:t>");</w:t>
            </w:r>
          </w:p>
        </w:tc>
        <w:tc>
          <w:tcPr>
            <w:tcW w:w="1618" w:type="dxa"/>
            <w:gridSpan w:val="2"/>
            <w:tcBorders>
              <w:top w:val="nil"/>
              <w:bottom w:val="nil"/>
              <w:right w:val="nil"/>
            </w:tcBorders>
            <w:shd w:val="clear" w:color="auto" w:fill="auto"/>
          </w:tcPr>
          <w:p w:rsidR="0017135D" w:rsidRPr="008215D9" w:rsidP="00547288">
            <w:pPr>
              <w:pStyle w:val="CSManNum8pt"/>
              <w:rPr>
                <w:i/>
              </w:rPr>
            </w:pPr>
          </w:p>
        </w:tc>
        <w:tc>
          <w:tcPr>
            <w:tcW w:w="3318" w:type="dxa"/>
            <w:tcBorders>
              <w:top w:val="nil"/>
              <w:left w:val="nil"/>
              <w:bottom w:val="nil"/>
              <w:right w:val="nil"/>
            </w:tcBorders>
            <w:shd w:val="clear" w:color="auto" w:fill="auto"/>
          </w:tcPr>
          <w:p w:rsidR="0017135D" w:rsidRPr="008215D9" w:rsidP="00877C09">
            <w:pPr>
              <w:pStyle w:val="CSManNum8pt"/>
              <w:rPr>
                <w:bCs/>
                <w:lang w:val="de-DE"/>
              </w:rPr>
            </w:pPr>
            <w:r w:rsidRPr="008215D9">
              <w:rPr>
                <w:bCs/>
                <w:lang w:val="de-DE"/>
              </w:rPr>
              <w:t>(a)</w:t>
            </w:r>
            <w:r w:rsidRPr="008215D9">
              <w:rPr>
                <w:bCs/>
                <w:lang w:val="de-DE"/>
              </w:rPr>
              <w:tab/>
              <w:t xml:space="preserve">teilt die Emittentin den Inhabern den Eintritt des Kredit-Rückzahlungsereignisses innerhalb von fünf Geschäftstagen nach dem Kredit-Rückzahlungsereignistag gemäss Ziffer </w:t>
            </w:r>
            <w:r w:rsidRPr="00792D61">
              <w:rPr>
                <w:b/>
                <w:bCs/>
                <w:lang w:val="de-DE"/>
              </w:rPr>
              <w:t>[</w:t>
            </w:r>
            <w:r w:rsidRPr="008215D9">
              <w:rPr>
                <w:bCs/>
                <w:lang w:val="de-DE"/>
              </w:rPr>
              <w:t>8</w:t>
            </w:r>
            <w:r w:rsidRPr="00792D61">
              <w:rPr>
                <w:b/>
                <w:bCs/>
                <w:lang w:val="de-DE"/>
              </w:rPr>
              <w:t>][</w:t>
            </w:r>
            <w:r w:rsidRPr="008215D9">
              <w:rPr>
                <w:rFonts w:ascii="Arial" w:hAnsi="Arial" w:cs="Arial"/>
                <w:bCs/>
                <w:lang w:val="de-DE"/>
              </w:rPr>
              <w:t>●</w:t>
            </w:r>
            <w:r w:rsidRPr="00792D61">
              <w:rPr>
                <w:b/>
                <w:bCs/>
                <w:lang w:val="de-DE"/>
              </w:rPr>
              <w:t>]</w:t>
            </w:r>
            <w:r w:rsidRPr="008215D9">
              <w:rPr>
                <w:bCs/>
                <w:lang w:val="de-DE"/>
              </w:rPr>
              <w:t xml:space="preserve"> mit (diese Mitteilung muss eine hinreichend ausf</w:t>
            </w:r>
            <w:r w:rsidRPr="008215D9">
              <w:rPr>
                <w:rFonts w:cs="Credit Suisse Type Light"/>
                <w:bCs/>
                <w:lang w:val="de-DE"/>
              </w:rPr>
              <w:t>ü</w:t>
            </w:r>
            <w:r w:rsidRPr="008215D9">
              <w:rPr>
                <w:bCs/>
                <w:lang w:val="de-DE"/>
              </w:rPr>
              <w:t>hrliche Beschreibung der daf</w:t>
            </w:r>
            <w:r w:rsidRPr="008215D9">
              <w:rPr>
                <w:rFonts w:cs="Credit Suisse Type Light"/>
                <w:bCs/>
                <w:lang w:val="de-DE"/>
              </w:rPr>
              <w:t>ü</w:t>
            </w:r>
            <w:r w:rsidRPr="008215D9">
              <w:rPr>
                <w:bCs/>
                <w:lang w:val="de-DE"/>
              </w:rPr>
              <w:t>r massgeblichen Tatsachen enthalten) (das Datum dieser Mitteilung wird als "</w:t>
            </w:r>
            <w:r w:rsidRPr="00547288">
              <w:rPr>
                <w:b/>
                <w:bCs/>
                <w:lang w:val="de-DE"/>
              </w:rPr>
              <w:t>Ereignis-Mitteilungsdatum</w:t>
            </w:r>
            <w:r w:rsidRPr="008215D9">
              <w:rPr>
                <w:bCs/>
                <w:lang w:val="de-DE"/>
              </w:rPr>
              <w:t>" bezeichnet);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215D9" w:rsidP="00547288">
            <w:pPr>
              <w:pStyle w:val="CSManNum8pt"/>
              <w:rPr>
                <w:lang w:val="de-DE"/>
              </w:rPr>
            </w:pPr>
          </w:p>
        </w:tc>
        <w:tc>
          <w:tcPr>
            <w:tcW w:w="3315" w:type="dxa"/>
            <w:gridSpan w:val="2"/>
            <w:tcBorders>
              <w:top w:val="nil"/>
              <w:left w:val="nil"/>
              <w:bottom w:val="nil"/>
            </w:tcBorders>
            <w:shd w:val="clear" w:color="auto" w:fill="auto"/>
          </w:tcPr>
          <w:p w:rsidR="0017135D" w:rsidRPr="008215D9" w:rsidP="00547288">
            <w:pPr>
              <w:pStyle w:val="CSManNum8pt"/>
            </w:pPr>
            <w:r w:rsidRPr="008215D9">
              <w:t>(b)</w:t>
            </w:r>
            <w:r w:rsidRPr="008215D9">
              <w:tab/>
              <w:t>within 30 Business Days following the Event Notice Date, the Calculation Agent shall determine (x) the Value of the Reference Obligation and (y) the Asset Swap Value (the date such determinations or, if such determinations are made by the Calculation Agent on different dates, the later of such dates, the "</w:t>
            </w:r>
            <w:r w:rsidRPr="00547288">
              <w:rPr>
                <w:b/>
              </w:rPr>
              <w:t>Valuation Date</w:t>
            </w:r>
            <w:r w:rsidRPr="008215D9">
              <w:t>"); and</w:t>
            </w:r>
          </w:p>
        </w:tc>
        <w:tc>
          <w:tcPr>
            <w:tcW w:w="1618" w:type="dxa"/>
            <w:gridSpan w:val="2"/>
            <w:tcBorders>
              <w:top w:val="nil"/>
              <w:bottom w:val="nil"/>
              <w:right w:val="nil"/>
            </w:tcBorders>
            <w:shd w:val="clear" w:color="auto" w:fill="auto"/>
          </w:tcPr>
          <w:p w:rsidR="0017135D" w:rsidRPr="008215D9" w:rsidP="00547288">
            <w:pPr>
              <w:pStyle w:val="CSManNum8pt"/>
              <w:rPr>
                <w:i/>
              </w:rPr>
            </w:pPr>
          </w:p>
        </w:tc>
        <w:tc>
          <w:tcPr>
            <w:tcW w:w="3318" w:type="dxa"/>
            <w:tcBorders>
              <w:top w:val="nil"/>
              <w:left w:val="nil"/>
              <w:bottom w:val="nil"/>
              <w:right w:val="nil"/>
            </w:tcBorders>
            <w:shd w:val="clear" w:color="auto" w:fill="auto"/>
          </w:tcPr>
          <w:p w:rsidR="0017135D" w:rsidRPr="008215D9" w:rsidP="00547288">
            <w:pPr>
              <w:pStyle w:val="CSManNum8pt"/>
              <w:rPr>
                <w:bCs/>
                <w:lang w:val="de-DE"/>
              </w:rPr>
            </w:pPr>
            <w:r w:rsidRPr="008215D9">
              <w:rPr>
                <w:bCs/>
                <w:lang w:val="de-DE"/>
              </w:rPr>
              <w:t>(b)</w:t>
            </w:r>
            <w:r w:rsidRPr="008215D9">
              <w:rPr>
                <w:bCs/>
                <w:lang w:val="de-DE"/>
              </w:rPr>
              <w:tab/>
              <w:t>stellt die Berechnungsstelle innerhalb von 30 Geschäftstagen nach dem Ereignis-Mitteilungsdatum (x) den Wert der Referenzverbindlichkeit und (y) den Asset-Swap-Wert fest (der Tag dieser Feststellungen oder, falls die jeweiligen Feststellungen von der Berechnungsstelle an unterschiedlichen Tagen getroffen werden, der spätere dieser Tage wird als "</w:t>
            </w:r>
            <w:r w:rsidRPr="00547288">
              <w:rPr>
                <w:b/>
                <w:bCs/>
                <w:lang w:val="de-DE"/>
              </w:rPr>
              <w:t>Bewertungstag</w:t>
            </w:r>
            <w:r w:rsidRPr="008215D9">
              <w:rPr>
                <w:bCs/>
                <w:lang w:val="de-DE"/>
              </w:rPr>
              <w:t>" bezeichnet);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215D9" w:rsidP="00547288">
            <w:pPr>
              <w:pStyle w:val="CSManNum8pt"/>
              <w:rPr>
                <w:lang w:val="de-DE"/>
              </w:rPr>
            </w:pPr>
          </w:p>
        </w:tc>
        <w:tc>
          <w:tcPr>
            <w:tcW w:w="3315" w:type="dxa"/>
            <w:gridSpan w:val="2"/>
            <w:tcBorders>
              <w:top w:val="nil"/>
              <w:left w:val="nil"/>
              <w:bottom w:val="nil"/>
            </w:tcBorders>
            <w:shd w:val="clear" w:color="auto" w:fill="auto"/>
          </w:tcPr>
          <w:p w:rsidR="0017135D" w:rsidRPr="008215D9" w:rsidP="00877C09">
            <w:pPr>
              <w:pStyle w:val="CSManNum8pt"/>
            </w:pPr>
            <w:r w:rsidRPr="008215D9">
              <w:t>(c)</w:t>
            </w:r>
            <w:r w:rsidRPr="008215D9">
              <w:tab/>
            </w:r>
            <w:r w:rsidRPr="00792D61">
              <w:rPr>
                <w:b/>
              </w:rPr>
              <w:t>[</w:t>
            </w:r>
            <w:r w:rsidRPr="00547288">
              <w:rPr>
                <w:b/>
                <w:i/>
              </w:rPr>
              <w:t xml:space="preserve">in the case of cash settlement, insert: </w:t>
            </w:r>
            <w:r w:rsidRPr="008215D9">
              <w:t>the Issuer shall redeem each Complex Product on the Credit Redemption Date by payment of a cash amount equal to the Credit Redemption Amount to the Holder thereof.</w:t>
            </w:r>
            <w:r w:rsidRPr="00792D61">
              <w:rPr>
                <w:b/>
              </w:rPr>
              <w:t>]</w:t>
            </w:r>
          </w:p>
        </w:tc>
        <w:tc>
          <w:tcPr>
            <w:tcW w:w="1618" w:type="dxa"/>
            <w:gridSpan w:val="2"/>
            <w:tcBorders>
              <w:top w:val="nil"/>
              <w:bottom w:val="nil"/>
              <w:right w:val="nil"/>
            </w:tcBorders>
            <w:shd w:val="clear" w:color="auto" w:fill="auto"/>
          </w:tcPr>
          <w:p w:rsidR="0017135D" w:rsidRPr="008215D9" w:rsidP="00547288">
            <w:pPr>
              <w:pStyle w:val="CSManNum8pt"/>
              <w:rPr>
                <w:i/>
              </w:rPr>
            </w:pPr>
          </w:p>
        </w:tc>
        <w:tc>
          <w:tcPr>
            <w:tcW w:w="3318" w:type="dxa"/>
            <w:tcBorders>
              <w:top w:val="nil"/>
              <w:left w:val="nil"/>
              <w:bottom w:val="nil"/>
              <w:right w:val="nil"/>
            </w:tcBorders>
            <w:shd w:val="clear" w:color="auto" w:fill="auto"/>
          </w:tcPr>
          <w:p w:rsidR="0017135D" w:rsidRPr="008215D9" w:rsidP="00547288">
            <w:pPr>
              <w:pStyle w:val="CSManNum8pt"/>
              <w:rPr>
                <w:bCs/>
                <w:lang w:val="de-DE"/>
              </w:rPr>
            </w:pPr>
            <w:r w:rsidRPr="008215D9">
              <w:rPr>
                <w:bCs/>
                <w:lang w:val="de-DE"/>
              </w:rPr>
              <w:t>(c)</w:t>
            </w:r>
            <w:r w:rsidRPr="008215D9">
              <w:rPr>
                <w:bCs/>
                <w:lang w:val="de-DE"/>
              </w:rPr>
              <w:tab/>
            </w:r>
            <w:r w:rsidRPr="00792D61">
              <w:rPr>
                <w:b/>
                <w:bCs/>
                <w:lang w:val="de-DE"/>
              </w:rPr>
              <w:t>[</w:t>
            </w:r>
            <w:r w:rsidRPr="00547288">
              <w:rPr>
                <w:b/>
                <w:bCs/>
                <w:i/>
                <w:lang w:val="de-DE"/>
              </w:rPr>
              <w:t>bei Barabwicklung einfügen:</w:t>
            </w:r>
            <w:r w:rsidRPr="008215D9">
              <w:rPr>
                <w:bCs/>
                <w:lang w:val="de-DE"/>
              </w:rPr>
              <w:t xml:space="preserve"> tilgt die Emittentin jedes Komplexe Produkt am Kredit-Rückzahlungstag durch Zahlung eines dem Kredit-Rückzahlungsbetrag entsprechenden Geldbetrags an den jeweiligen Inhaber.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215D9" w:rsidP="00547288">
            <w:pPr>
              <w:pStyle w:val="CSBody8pt"/>
              <w:rPr>
                <w:lang w:val="de-DE"/>
              </w:rPr>
            </w:pPr>
          </w:p>
        </w:tc>
        <w:tc>
          <w:tcPr>
            <w:tcW w:w="3315" w:type="dxa"/>
            <w:gridSpan w:val="2"/>
            <w:tcBorders>
              <w:top w:val="nil"/>
              <w:left w:val="nil"/>
              <w:bottom w:val="nil"/>
            </w:tcBorders>
            <w:shd w:val="clear" w:color="auto" w:fill="auto"/>
          </w:tcPr>
          <w:p w:rsidR="0017135D" w:rsidRPr="008215D9" w:rsidP="00547288">
            <w:pPr>
              <w:pStyle w:val="CSBody8pt"/>
            </w:pPr>
            <w:r w:rsidRPr="00792D61">
              <w:rPr>
                <w:b/>
              </w:rPr>
              <w:t>[</w:t>
            </w:r>
            <w:r w:rsidRPr="00547288">
              <w:rPr>
                <w:b/>
                <w:i/>
              </w:rPr>
              <w:t>in the case of physical settlement, insert:</w:t>
            </w:r>
            <w:r w:rsidRPr="008215D9">
              <w:t xml:space="preserve"> (x) if a Redemption Event has led to the occurrence of the Credit Redemption Event, the Issuer shall redeem each Complex Product on the Credit Redemption Date by payment of a cash amount equal to the Credit Redemption Amount to the Holder thereof, or (y) if a Default Event has led to the occurrence of the Credit Redemption Event, the Issuer shall, subject to Section 2.2, redeem each Complex Product on the Credit Redemption Date by delivery of the number of Reference Obligations specified in the Ratio to the Holder thereof</w:t>
            </w:r>
            <w:r w:rsidRPr="00792D61">
              <w:rPr>
                <w:b/>
              </w:rPr>
              <w:t>]</w:t>
            </w:r>
            <w:r w:rsidRPr="008215D9">
              <w:t>.</w:t>
            </w:r>
            <w:r w:rsidRPr="00792D61">
              <w:rPr>
                <w:b/>
              </w:rPr>
              <w:t>]</w:t>
            </w:r>
          </w:p>
        </w:tc>
        <w:tc>
          <w:tcPr>
            <w:tcW w:w="1618" w:type="dxa"/>
            <w:gridSpan w:val="2"/>
            <w:tcBorders>
              <w:top w:val="nil"/>
              <w:bottom w:val="nil"/>
              <w:right w:val="nil"/>
            </w:tcBorders>
            <w:shd w:val="clear" w:color="auto" w:fill="auto"/>
          </w:tcPr>
          <w:p w:rsidR="0017135D" w:rsidRPr="008215D9" w:rsidP="00547288">
            <w:pPr>
              <w:pStyle w:val="CSBody8pt"/>
              <w:rPr>
                <w:i/>
              </w:rPr>
            </w:pPr>
          </w:p>
        </w:tc>
        <w:tc>
          <w:tcPr>
            <w:tcW w:w="3318" w:type="dxa"/>
            <w:tcBorders>
              <w:top w:val="nil"/>
              <w:left w:val="nil"/>
              <w:bottom w:val="nil"/>
              <w:right w:val="nil"/>
            </w:tcBorders>
            <w:shd w:val="clear" w:color="auto" w:fill="auto"/>
          </w:tcPr>
          <w:p w:rsidR="0017135D" w:rsidRPr="008215D9" w:rsidP="004C1EBA">
            <w:pPr>
              <w:pStyle w:val="CSBody8pt"/>
              <w:rPr>
                <w:bCs/>
                <w:lang w:val="de-DE"/>
              </w:rPr>
            </w:pPr>
            <w:r w:rsidRPr="00792D61">
              <w:rPr>
                <w:b/>
                <w:bCs/>
                <w:lang w:val="de-DE"/>
              </w:rPr>
              <w:t>[</w:t>
            </w:r>
            <w:r w:rsidRPr="00547288">
              <w:rPr>
                <w:b/>
                <w:bCs/>
                <w:i/>
                <w:lang w:val="de-DE"/>
              </w:rPr>
              <w:t xml:space="preserve">bei physischer Abwicklung einfügen: </w:t>
            </w:r>
            <w:r w:rsidRPr="008215D9">
              <w:rPr>
                <w:bCs/>
                <w:lang w:val="de-DE"/>
              </w:rPr>
              <w:t>(x) tilgt die Emittentin, wenn ein Rückzahlungsereignis zum Eintritt eines Kredit-Rückzahlungsereignisses geführt hat, jedes Komplexe Produkt am Kredit-Rückzahlungstag durch Zahlung eines dem Kredit-Rückzahlungsbetrag entsprechenden Geldbetrags an den jeweiligen Inhaber oder (y) zahlt die Emittentin, wenn ein Ausfallereignis zum Eintritt eines Kredit-Rückzahlungsereignisses geführt hat, jedes Komplexe Produkt vorbehaltlich der Bestimmungen von Ziffer 2.2 am Kredit-Rückzahlungstag durch Lieferung der in dem Bezugsverhältnis angegebenen Anzahl von Referenzverbindlichkeiten an den jeweiligen Inhaber zurück</w:t>
            </w:r>
            <w:r w:rsidRPr="00792D61">
              <w:rPr>
                <w:b/>
                <w:bCs/>
                <w:lang w:val="de-DE"/>
              </w:rPr>
              <w:t>]</w:t>
            </w:r>
            <w:r w:rsidRPr="008215D9">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C32FA9" w:rsidP="00547288">
            <w:pPr>
              <w:pStyle w:val="CSbody0bold"/>
            </w:pPr>
            <w:r w:rsidRPr="00C32FA9">
              <w:t>C.4</w:t>
            </w:r>
          </w:p>
        </w:tc>
        <w:tc>
          <w:tcPr>
            <w:tcW w:w="3315" w:type="dxa"/>
            <w:gridSpan w:val="2"/>
            <w:tcBorders>
              <w:top w:val="nil"/>
              <w:left w:val="nil"/>
              <w:bottom w:val="nil"/>
            </w:tcBorders>
            <w:shd w:val="clear" w:color="auto" w:fill="auto"/>
          </w:tcPr>
          <w:p w:rsidR="0017135D" w:rsidRPr="000C557A" w:rsidP="00547288">
            <w:pPr>
              <w:pStyle w:val="CSbody0bold"/>
              <w:rPr>
                <w:lang w:val="en-GB"/>
              </w:rPr>
            </w:pPr>
            <w:r w:rsidRPr="000C557A">
              <w:rPr>
                <w:lang w:val="en-GB"/>
              </w:rPr>
              <w:t>Settlement upon the occurrence of a Credit Redemption Event</w:t>
            </w:r>
          </w:p>
        </w:tc>
        <w:tc>
          <w:tcPr>
            <w:tcW w:w="1618" w:type="dxa"/>
            <w:gridSpan w:val="2"/>
            <w:tcBorders>
              <w:top w:val="nil"/>
              <w:bottom w:val="nil"/>
              <w:right w:val="nil"/>
            </w:tcBorders>
            <w:shd w:val="clear" w:color="auto" w:fill="auto"/>
          </w:tcPr>
          <w:p w:rsidR="0017135D" w:rsidRPr="004D087C" w:rsidP="00547288">
            <w:pPr>
              <w:pStyle w:val="CSbody0bold"/>
            </w:pPr>
            <w:r w:rsidRPr="004D087C">
              <w:t>C.4</w:t>
            </w:r>
          </w:p>
        </w:tc>
        <w:tc>
          <w:tcPr>
            <w:tcW w:w="3318" w:type="dxa"/>
            <w:tcBorders>
              <w:top w:val="nil"/>
              <w:left w:val="nil"/>
              <w:bottom w:val="nil"/>
              <w:right w:val="nil"/>
            </w:tcBorders>
            <w:shd w:val="clear" w:color="auto" w:fill="auto"/>
          </w:tcPr>
          <w:p w:rsidR="0017135D" w:rsidRPr="00F0134A" w:rsidP="00547288">
            <w:pPr>
              <w:pStyle w:val="CSbody0bold"/>
            </w:pPr>
            <w:r w:rsidRPr="00F0134A">
              <w:t>Abwicklung nach Eintritt eines Kredit-Rückzahlungsereignisses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3788D" w:rsidP="00547288">
            <w:pPr>
              <w:pStyle w:val="CSBody8pt"/>
            </w:pPr>
            <w:r w:rsidRPr="0023788D">
              <w:t>Credit Redemption Event</w:t>
            </w:r>
          </w:p>
        </w:tc>
        <w:tc>
          <w:tcPr>
            <w:tcW w:w="3315" w:type="dxa"/>
            <w:gridSpan w:val="2"/>
            <w:tcBorders>
              <w:top w:val="nil"/>
              <w:left w:val="nil"/>
              <w:bottom w:val="nil"/>
            </w:tcBorders>
            <w:shd w:val="clear" w:color="auto" w:fill="auto"/>
          </w:tcPr>
          <w:p w:rsidR="0017135D" w:rsidRPr="00624E49" w:rsidP="00547288">
            <w:pPr>
              <w:pStyle w:val="CSBody8pt"/>
            </w:pPr>
            <w:r w:rsidRPr="00624E49">
              <w:t>The determination by the Calculation Agent in its discretion that a Default Event or a Redemption Event has occurred.</w:t>
            </w:r>
          </w:p>
        </w:tc>
        <w:tc>
          <w:tcPr>
            <w:tcW w:w="1618" w:type="dxa"/>
            <w:gridSpan w:val="2"/>
            <w:tcBorders>
              <w:top w:val="nil"/>
              <w:bottom w:val="nil"/>
              <w:right w:val="nil"/>
            </w:tcBorders>
            <w:shd w:val="clear" w:color="auto" w:fill="auto"/>
          </w:tcPr>
          <w:p w:rsidR="0017135D" w:rsidRPr="0042546C" w:rsidP="00877C09">
            <w:pPr>
              <w:pStyle w:val="CSBody8pt"/>
            </w:pPr>
            <w:r w:rsidRPr="0042546C">
              <w:t>Kredit-Rückzahlungsereignis</w:t>
            </w:r>
          </w:p>
        </w:tc>
        <w:tc>
          <w:tcPr>
            <w:tcW w:w="3318" w:type="dxa"/>
            <w:tcBorders>
              <w:top w:val="nil"/>
              <w:left w:val="nil"/>
              <w:bottom w:val="nil"/>
              <w:right w:val="nil"/>
            </w:tcBorders>
            <w:shd w:val="clear" w:color="auto" w:fill="auto"/>
          </w:tcPr>
          <w:p w:rsidR="0017135D" w:rsidRPr="00F0134A" w:rsidP="00547288">
            <w:pPr>
              <w:pStyle w:val="CSBody8pt"/>
              <w:rPr>
                <w:lang w:val="de-DE"/>
              </w:rPr>
            </w:pPr>
            <w:r w:rsidRPr="00F0134A">
              <w:rPr>
                <w:lang w:val="de-DE"/>
              </w:rPr>
              <w:t>Die von der Berechnungsstelle nach ihrem Ermessen getroffene Feststellung, dass ein Ausfallereignis oder ein Rückzahlungsereignis eingetreten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3788D" w:rsidP="00547288">
            <w:pPr>
              <w:pStyle w:val="CSBody8pt"/>
            </w:pPr>
            <w:r w:rsidRPr="0023788D">
              <w:t>Default Event</w:t>
            </w:r>
          </w:p>
        </w:tc>
        <w:tc>
          <w:tcPr>
            <w:tcW w:w="3315" w:type="dxa"/>
            <w:gridSpan w:val="2"/>
            <w:tcBorders>
              <w:top w:val="nil"/>
              <w:left w:val="nil"/>
              <w:bottom w:val="nil"/>
            </w:tcBorders>
            <w:shd w:val="clear" w:color="auto" w:fill="auto"/>
          </w:tcPr>
          <w:p w:rsidR="0017135D" w:rsidRPr="00624E49" w:rsidP="00547288">
            <w:pPr>
              <w:pStyle w:val="CSBody8pt"/>
            </w:pPr>
            <w:r w:rsidRPr="00624E49">
              <w:t>The occurrence of any event of default with respect to the Reference Obligation pursuant to the terms and conditions of such Reference Obligation, including but not limited to a failure to pay by, or the bankruptcy or insolvency of, the Reference Entity, or a restructuring of the Reference Obligation.</w:t>
            </w:r>
          </w:p>
        </w:tc>
        <w:tc>
          <w:tcPr>
            <w:tcW w:w="1618" w:type="dxa"/>
            <w:gridSpan w:val="2"/>
            <w:tcBorders>
              <w:top w:val="nil"/>
              <w:bottom w:val="nil"/>
              <w:right w:val="nil"/>
            </w:tcBorders>
            <w:shd w:val="clear" w:color="auto" w:fill="auto"/>
          </w:tcPr>
          <w:p w:rsidR="0017135D" w:rsidRPr="0042546C" w:rsidP="00547288">
            <w:pPr>
              <w:pStyle w:val="CSBody8pt"/>
            </w:pPr>
            <w:r w:rsidRPr="0042546C">
              <w:t>Ausfallereignis</w:t>
            </w:r>
          </w:p>
        </w:tc>
        <w:tc>
          <w:tcPr>
            <w:tcW w:w="3318" w:type="dxa"/>
            <w:tcBorders>
              <w:top w:val="nil"/>
              <w:left w:val="nil"/>
              <w:bottom w:val="nil"/>
              <w:right w:val="nil"/>
            </w:tcBorders>
            <w:shd w:val="clear" w:color="auto" w:fill="auto"/>
          </w:tcPr>
          <w:p w:rsidR="0017135D" w:rsidRPr="00F0134A" w:rsidP="00877C09">
            <w:pPr>
              <w:pStyle w:val="CSBody8pt"/>
              <w:rPr>
                <w:lang w:val="de-DE"/>
              </w:rPr>
            </w:pPr>
            <w:r w:rsidRPr="00F0134A">
              <w:rPr>
                <w:lang w:val="de-DE"/>
              </w:rPr>
              <w:t>Der Eintritt eines Kündigungsgrunds in Bezug auf die Referenzverbindlichkeit gemäss ihren Bedingungen, einschliesslich, ohne hierauf beschränkt zu sein, Nichtzahlung seitens oder Konkurs oder Insolvenz des Referenzschuldners oder einer Restrukturierung der Referenzverbindlichkeit.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B5368" w:rsidP="00547288">
            <w:pPr>
              <w:pStyle w:val="CSBody8pt"/>
            </w:pPr>
            <w:r w:rsidRPr="00DB5368">
              <w:t>Redemption Event</w:t>
            </w:r>
          </w:p>
        </w:tc>
        <w:tc>
          <w:tcPr>
            <w:tcW w:w="3315" w:type="dxa"/>
            <w:gridSpan w:val="2"/>
            <w:tcBorders>
              <w:top w:val="nil"/>
              <w:left w:val="nil"/>
              <w:bottom w:val="nil"/>
            </w:tcBorders>
            <w:shd w:val="clear" w:color="auto" w:fill="auto"/>
          </w:tcPr>
          <w:p w:rsidR="0017135D" w:rsidRPr="00F6543A" w:rsidP="00547288">
            <w:pPr>
              <w:pStyle w:val="CSBody8pt"/>
            </w:pPr>
            <w:r w:rsidRPr="00F6543A">
              <w:t>The redemption of the Reference Obligation in whole or in part upon the exercise by the Reference Entity of any option or other right to redeem, repay or repurchase the Reference Obligation, or the occurrence of any other event (other than a Default Event) that, in the opinion of the Calculation Agent, may have a material effect on the Reference Obligation.</w:t>
            </w:r>
          </w:p>
        </w:tc>
        <w:tc>
          <w:tcPr>
            <w:tcW w:w="1618" w:type="dxa"/>
            <w:gridSpan w:val="2"/>
            <w:tcBorders>
              <w:top w:val="nil"/>
              <w:bottom w:val="nil"/>
              <w:right w:val="nil"/>
            </w:tcBorders>
            <w:shd w:val="clear" w:color="auto" w:fill="auto"/>
          </w:tcPr>
          <w:p w:rsidR="0017135D" w:rsidRPr="001A6C40" w:rsidP="00877C09">
            <w:pPr>
              <w:pStyle w:val="CSBody8pt"/>
            </w:pPr>
            <w:r w:rsidRPr="001A6C40">
              <w:t>Rückzahlungsereignis</w:t>
            </w:r>
          </w:p>
        </w:tc>
        <w:tc>
          <w:tcPr>
            <w:tcW w:w="3318" w:type="dxa"/>
            <w:tcBorders>
              <w:top w:val="nil"/>
              <w:left w:val="nil"/>
              <w:bottom w:val="nil"/>
              <w:right w:val="nil"/>
            </w:tcBorders>
            <w:shd w:val="clear" w:color="auto" w:fill="auto"/>
          </w:tcPr>
          <w:p w:rsidR="0017135D" w:rsidRPr="00F0134A" w:rsidP="00877C09">
            <w:pPr>
              <w:pStyle w:val="CSBody8pt"/>
              <w:rPr>
                <w:lang w:val="de-DE"/>
              </w:rPr>
            </w:pPr>
            <w:r w:rsidRPr="00F0134A">
              <w:rPr>
                <w:lang w:val="de-DE"/>
              </w:rPr>
              <w:t>Die Rückzahlung der Referenzverbindlichkeit insgesamt oder teilweise nach Ausübung eines Kündigungsrechts oder sonstigen Rechts des Referenzschuldners, die Referenzverbindlichkeit abzulösen, zurückzuzahlen oder zurückzukaufen, oder der Eintritt eines anderen Ereignisses (ausser einem Ausfallereignis), das nach Ansicht der Berechnungsstelle wesentliche Auswirkungen auf die Referenzverbindlichkeit haben kann.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B5368" w:rsidP="00547288">
            <w:pPr>
              <w:pStyle w:val="CSBody8pt"/>
            </w:pPr>
            <w:r w:rsidRPr="00DB5368">
              <w:t>Credit Redemption Event Date</w:t>
            </w:r>
          </w:p>
        </w:tc>
        <w:tc>
          <w:tcPr>
            <w:tcW w:w="3315" w:type="dxa"/>
            <w:gridSpan w:val="2"/>
            <w:tcBorders>
              <w:top w:val="nil"/>
              <w:left w:val="nil"/>
              <w:bottom w:val="nil"/>
            </w:tcBorders>
            <w:shd w:val="clear" w:color="auto" w:fill="auto"/>
          </w:tcPr>
          <w:p w:rsidR="0017135D" w:rsidRPr="00F6543A" w:rsidP="00547288">
            <w:pPr>
              <w:pStyle w:val="CSBody8pt"/>
            </w:pPr>
            <w:r w:rsidRPr="00F6543A">
              <w:t>With respect to any Credit Redemption Event, the date on which such Credit Redemption Event occurred.</w:t>
            </w:r>
          </w:p>
        </w:tc>
        <w:tc>
          <w:tcPr>
            <w:tcW w:w="1618" w:type="dxa"/>
            <w:gridSpan w:val="2"/>
            <w:tcBorders>
              <w:top w:val="nil"/>
              <w:bottom w:val="nil"/>
              <w:right w:val="nil"/>
            </w:tcBorders>
            <w:shd w:val="clear" w:color="auto" w:fill="auto"/>
          </w:tcPr>
          <w:p w:rsidR="0017135D" w:rsidRPr="001A6C40" w:rsidP="00877C09">
            <w:pPr>
              <w:pStyle w:val="CSBody8pt"/>
            </w:pPr>
            <w:r w:rsidRPr="001A6C40">
              <w:t>Kredit-Rückzahlungsereignistag</w:t>
            </w:r>
          </w:p>
        </w:tc>
        <w:tc>
          <w:tcPr>
            <w:tcW w:w="3318" w:type="dxa"/>
            <w:tcBorders>
              <w:top w:val="nil"/>
              <w:left w:val="nil"/>
              <w:bottom w:val="nil"/>
              <w:right w:val="nil"/>
            </w:tcBorders>
            <w:shd w:val="clear" w:color="auto" w:fill="auto"/>
          </w:tcPr>
          <w:p w:rsidR="0017135D" w:rsidRPr="00F0134A" w:rsidP="00547288">
            <w:pPr>
              <w:pStyle w:val="CSBody8pt"/>
              <w:rPr>
                <w:lang w:val="de-DE"/>
              </w:rPr>
            </w:pPr>
            <w:r w:rsidRPr="00F0134A">
              <w:rPr>
                <w:lang w:val="de-DE"/>
              </w:rPr>
              <w:t>In Bezug auf ein Kredit-Rückzahlungsereignis der Tag, an dem dieses Kredit-Rückzahlungsereignis eingetreten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P="00547288">
            <w:pPr>
              <w:pStyle w:val="CSBody8pt"/>
            </w:pPr>
            <w:r w:rsidRPr="00DB5368">
              <w:t>Credit Redemption Amount</w:t>
            </w:r>
          </w:p>
        </w:tc>
        <w:tc>
          <w:tcPr>
            <w:tcW w:w="3315" w:type="dxa"/>
            <w:gridSpan w:val="2"/>
            <w:tcBorders>
              <w:top w:val="nil"/>
              <w:left w:val="nil"/>
              <w:bottom w:val="nil"/>
            </w:tcBorders>
            <w:shd w:val="clear" w:color="auto" w:fill="auto"/>
          </w:tcPr>
          <w:p w:rsidR="0017135D" w:rsidP="00547288">
            <w:pPr>
              <w:pStyle w:val="CSBody8pt"/>
            </w:pPr>
            <w:r w:rsidRPr="00F6543A">
              <w:t>An amount equal to the greater of (i) zero (0) and (ii) the sum of (a) the Value of the Reference Obligation and (b) the Asset Swap Value, calculated by the Calculation Agent in accordance with the following formula:</w:t>
            </w:r>
          </w:p>
        </w:tc>
        <w:tc>
          <w:tcPr>
            <w:tcW w:w="1618" w:type="dxa"/>
            <w:gridSpan w:val="2"/>
            <w:tcBorders>
              <w:top w:val="nil"/>
              <w:bottom w:val="nil"/>
              <w:right w:val="nil"/>
            </w:tcBorders>
            <w:shd w:val="clear" w:color="auto" w:fill="auto"/>
          </w:tcPr>
          <w:p w:rsidR="0017135D" w:rsidP="00877C09">
            <w:pPr>
              <w:pStyle w:val="CSBody8pt"/>
            </w:pPr>
            <w:r w:rsidRPr="001A6C40">
              <w:t>Kredit-Rückzahlungsbetrag</w:t>
            </w:r>
          </w:p>
        </w:tc>
        <w:tc>
          <w:tcPr>
            <w:tcW w:w="3318" w:type="dxa"/>
            <w:tcBorders>
              <w:top w:val="nil"/>
              <w:left w:val="nil"/>
              <w:bottom w:val="nil"/>
              <w:right w:val="nil"/>
            </w:tcBorders>
            <w:shd w:val="clear" w:color="auto" w:fill="auto"/>
          </w:tcPr>
          <w:p w:rsidR="0017135D" w:rsidRPr="00F0134A" w:rsidP="00547288">
            <w:pPr>
              <w:pStyle w:val="CSBody8pt"/>
              <w:rPr>
                <w:lang w:val="de-DE"/>
              </w:rPr>
            </w:pPr>
            <w:r w:rsidRPr="00F0134A">
              <w:rPr>
                <w:lang w:val="de-DE"/>
              </w:rPr>
              <w:t>Ein Betrag in Höhe des grösseren der folgenden Beträge: (i) null (0) oder (ii) der Summe aus (a) dem Wert der Referenzverbindlichkeit (Value of the Reference Obligation) und (b) dem Asset-Swap-Wert (Asset Swap Value), berechnet von der Berechnungsstelle nach der folgenden Formel:</w:t>
            </w:r>
          </w:p>
        </w:tc>
      </w:tr>
      <w:tr w:rsidTr="00547288">
        <w:tblPrEx>
          <w:tblW w:w="4999" w:type="pct"/>
          <w:tblLayout w:type="fixed"/>
          <w:tblCellMar>
            <w:left w:w="115" w:type="dxa"/>
            <w:right w:w="115" w:type="dxa"/>
          </w:tblCellMar>
          <w:tblLook w:val="04A0"/>
        </w:tblPrEx>
        <w:tc>
          <w:tcPr>
            <w:tcW w:w="9867" w:type="dxa"/>
            <w:gridSpan w:val="8"/>
            <w:tcBorders>
              <w:top w:val="nil"/>
              <w:left w:val="nil"/>
              <w:bottom w:val="nil"/>
              <w:right w:val="nil"/>
            </w:tcBorders>
            <w:shd w:val="clear" w:color="auto" w:fill="auto"/>
            <w:vAlign w:val="center"/>
          </w:tcPr>
          <w:p w:rsidR="0017135D" w:rsidRPr="00547288" w:rsidP="00385569">
            <w:pPr>
              <w:pStyle w:val="CSBody8pt"/>
              <w:spacing w:before="120" w:after="120"/>
              <w:jc w:val="center"/>
              <w:rPr>
                <w:bCs/>
                <w:sz w:val="14"/>
                <w:szCs w:val="14"/>
              </w:rPr>
            </w:pPr>
            <m:oMathPara>
              <m:oMathParaPr>
                <m:jc m:val="center"/>
              </m:oMathParaPr>
              <m:oMath>
                <m:r>
                  <w:rPr>
                    <w:rFonts w:ascii="Cambria Math" w:hAnsi="Cambria Math"/>
                    <w:sz w:val="14"/>
                    <w:szCs w:val="14"/>
                  </w:rPr>
                  <m:t>max</m:t>
                </m:r>
                <m:d>
                  <m:dPr>
                    <m:ctrlPr>
                      <w:rPr>
                        <w:rFonts w:ascii="Cambria Math" w:hAnsi="Cambria Math"/>
                        <w:bCs/>
                        <w:i/>
                        <w:sz w:val="14"/>
                        <w:szCs w:val="14"/>
                      </w:rPr>
                    </m:ctrlPr>
                  </m:dPr>
                  <m:e>
                    <m:r>
                      <w:rPr>
                        <w:rFonts w:ascii="Cambria Math" w:hAnsi="Cambria Math"/>
                        <w:sz w:val="14"/>
                        <w:szCs w:val="14"/>
                      </w:rPr>
                      <m:t>0;Value of the Reference Obliga</m:t>
                    </m:r>
                    <m:r>
                      <w:rPr>
                        <w:rFonts w:ascii="Cambria Math" w:hAnsi="Cambria Math"/>
                        <w:sz w:val="14"/>
                        <w:szCs w:val="14"/>
                      </w:rPr>
                      <m:t>tion +Asset Swap Value</m:t>
                    </m:r>
                  </m:e>
                </m:d>
              </m:oMath>
            </m:oMathPara>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62440" w:rsidP="00547288">
            <w:pPr>
              <w:pStyle w:val="CSBody8pt"/>
            </w:pPr>
            <w:r w:rsidRPr="00662440">
              <w:t>Credit Redemption Date</w:t>
            </w:r>
          </w:p>
        </w:tc>
        <w:tc>
          <w:tcPr>
            <w:tcW w:w="3315" w:type="dxa"/>
            <w:gridSpan w:val="2"/>
            <w:tcBorders>
              <w:top w:val="nil"/>
              <w:left w:val="nil"/>
              <w:bottom w:val="nil"/>
            </w:tcBorders>
            <w:shd w:val="clear" w:color="auto" w:fill="auto"/>
          </w:tcPr>
          <w:p w:rsidR="0017135D" w:rsidRPr="00AE36C6" w:rsidP="00547288">
            <w:pPr>
              <w:pStyle w:val="CSBody8pt"/>
            </w:pPr>
            <w:r w:rsidRPr="00AE36C6">
              <w:t>The date that is five Business Days following the Valuation Date.</w:t>
            </w:r>
          </w:p>
        </w:tc>
        <w:tc>
          <w:tcPr>
            <w:tcW w:w="1618" w:type="dxa"/>
            <w:gridSpan w:val="2"/>
            <w:tcBorders>
              <w:top w:val="nil"/>
              <w:bottom w:val="nil"/>
              <w:right w:val="nil"/>
            </w:tcBorders>
            <w:shd w:val="clear" w:color="auto" w:fill="auto"/>
          </w:tcPr>
          <w:p w:rsidR="0017135D" w:rsidRPr="00DE3ECD" w:rsidP="00547288">
            <w:pPr>
              <w:pStyle w:val="CSBody8pt"/>
            </w:pPr>
            <w:r w:rsidRPr="00DE3ECD">
              <w:t>Kredit-Rückzahlungstag</w:t>
            </w: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1D022D">
              <w:rPr>
                <w:lang w:val="de-DE"/>
              </w:rPr>
              <w:t>Der Tag, der fünf Geschäftstage nach dem Bewertungstag liegt.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P="00547288">
            <w:pPr>
              <w:pStyle w:val="CSBody8pt"/>
            </w:pPr>
            <w:r w:rsidRPr="00662440">
              <w:t>Value of the Reference Obligation</w:t>
            </w:r>
          </w:p>
        </w:tc>
        <w:tc>
          <w:tcPr>
            <w:tcW w:w="3315" w:type="dxa"/>
            <w:gridSpan w:val="2"/>
            <w:tcBorders>
              <w:top w:val="nil"/>
              <w:left w:val="nil"/>
              <w:bottom w:val="nil"/>
            </w:tcBorders>
            <w:shd w:val="clear" w:color="auto" w:fill="auto"/>
          </w:tcPr>
          <w:p w:rsidR="0017135D" w:rsidP="00547288">
            <w:pPr>
              <w:pStyle w:val="CSBody8pt"/>
            </w:pPr>
            <w:r w:rsidRPr="00AE36C6">
              <w:t xml:space="preserve">The amount per Complex Product determined by the Calculation Agent on the basis of the all-in bid price in </w:t>
            </w:r>
            <w:r w:rsidRPr="00792D61">
              <w:rPr>
                <w:b/>
              </w:rPr>
              <w:t>[</w:t>
            </w:r>
            <w:r w:rsidRPr="00AE36C6">
              <w:rPr>
                <w:rFonts w:ascii="Arial" w:hAnsi="Arial" w:cs="Arial"/>
              </w:rPr>
              <w:t>●</w:t>
            </w:r>
            <w:r w:rsidRPr="00792D61">
              <w:rPr>
                <w:b/>
              </w:rPr>
              <w:t>]</w:t>
            </w:r>
            <w:r w:rsidRPr="00AE36C6">
              <w:t xml:space="preserve"> at which five </w:t>
            </w:r>
            <w:r w:rsidRPr="00792D61">
              <w:rPr>
                <w:b/>
              </w:rPr>
              <w:t>[</w:t>
            </w:r>
            <w:r w:rsidRPr="00AE36C6">
              <w:t>leading</w:t>
            </w:r>
            <w:r w:rsidRPr="00792D61">
              <w:rPr>
                <w:b/>
              </w:rPr>
              <w:t>]</w:t>
            </w:r>
            <w:r w:rsidRPr="00AE36C6">
              <w:t xml:space="preserve"> dealers in the relevant market selected by the Calculation Agent would purchase the Reference Obligation on the Valuation Date.</w:t>
            </w:r>
          </w:p>
        </w:tc>
        <w:tc>
          <w:tcPr>
            <w:tcW w:w="1618" w:type="dxa"/>
            <w:gridSpan w:val="2"/>
            <w:tcBorders>
              <w:top w:val="nil"/>
              <w:bottom w:val="nil"/>
              <w:right w:val="nil"/>
            </w:tcBorders>
            <w:shd w:val="clear" w:color="auto" w:fill="auto"/>
          </w:tcPr>
          <w:p w:rsidR="0017135D" w:rsidP="00877C09">
            <w:pPr>
              <w:pStyle w:val="CSBody8pt"/>
            </w:pPr>
            <w:r w:rsidRPr="00DE3ECD">
              <w:t>Wert der Referenzverbindlichkeit</w:t>
            </w: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1D022D">
              <w:rPr>
                <w:lang w:val="de-DE"/>
              </w:rPr>
              <w:t xml:space="preserve">Der Betrag, berechnet für das Komplexe Produkt, der von der Berechnungsstelle auf Basis des "all-in" Geldkurses (all-in bid price) in </w:t>
            </w:r>
            <w:r w:rsidRPr="00792D61">
              <w:rPr>
                <w:b/>
                <w:lang w:val="de-DE"/>
              </w:rPr>
              <w:t>[</w:t>
            </w:r>
            <w:r w:rsidRPr="001D022D">
              <w:rPr>
                <w:rFonts w:ascii="Arial" w:hAnsi="Arial" w:cs="Arial"/>
                <w:lang w:val="de-DE"/>
              </w:rPr>
              <w:t>●</w:t>
            </w:r>
            <w:r w:rsidRPr="00792D61">
              <w:rPr>
                <w:b/>
                <w:lang w:val="de-DE"/>
              </w:rPr>
              <w:t>]</w:t>
            </w:r>
            <w:r w:rsidRPr="001D022D">
              <w:rPr>
                <w:lang w:val="de-DE"/>
              </w:rPr>
              <w:t>, zu dem f</w:t>
            </w:r>
            <w:r w:rsidRPr="001D022D">
              <w:rPr>
                <w:rFonts w:cs="Credit Suisse Type Light"/>
                <w:lang w:val="de-DE"/>
              </w:rPr>
              <w:t>ü</w:t>
            </w:r>
            <w:r w:rsidRPr="001D022D">
              <w:rPr>
                <w:lang w:val="de-DE"/>
              </w:rPr>
              <w:t>nf von der Berechnungsstelle ausgew</w:t>
            </w:r>
            <w:r w:rsidRPr="001D022D">
              <w:rPr>
                <w:rFonts w:cs="Credit Suisse Type Light"/>
                <w:lang w:val="de-DE"/>
              </w:rPr>
              <w:t>ä</w:t>
            </w:r>
            <w:r w:rsidRPr="001D022D">
              <w:rPr>
                <w:lang w:val="de-DE"/>
              </w:rPr>
              <w:t xml:space="preserve">hlte </w:t>
            </w:r>
            <w:r w:rsidRPr="00792D61">
              <w:rPr>
                <w:b/>
                <w:lang w:val="de-DE"/>
              </w:rPr>
              <w:t>[</w:t>
            </w:r>
            <w:r w:rsidRPr="001D022D">
              <w:rPr>
                <w:lang w:val="de-DE"/>
              </w:rPr>
              <w:t>f</w:t>
            </w:r>
            <w:r w:rsidRPr="001D022D">
              <w:rPr>
                <w:rFonts w:cs="Credit Suisse Type Light"/>
                <w:lang w:val="de-DE"/>
              </w:rPr>
              <w:t>ü</w:t>
            </w:r>
            <w:r w:rsidRPr="001D022D">
              <w:rPr>
                <w:lang w:val="de-DE"/>
              </w:rPr>
              <w:t>hrende</w:t>
            </w:r>
            <w:r w:rsidRPr="00792D61">
              <w:rPr>
                <w:b/>
                <w:lang w:val="de-DE"/>
              </w:rPr>
              <w:t>]</w:t>
            </w:r>
            <w:r w:rsidRPr="001D022D">
              <w:rPr>
                <w:lang w:val="de-DE"/>
              </w:rPr>
              <w:t xml:space="preserve"> H</w:t>
            </w:r>
            <w:r w:rsidRPr="001D022D">
              <w:rPr>
                <w:rFonts w:cs="Credit Suisse Type Light"/>
                <w:lang w:val="de-DE"/>
              </w:rPr>
              <w:t>ä</w:t>
            </w:r>
            <w:r w:rsidRPr="001D022D">
              <w:rPr>
                <w:lang w:val="de-DE"/>
              </w:rPr>
              <w:t>ndler am massgeblichen Markt die Referenzverbindlichkeit am Bewertungstag kaufen würden, ermittelt wird.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547288">
            <w:pPr>
              <w:pStyle w:val="CSBody8pt"/>
              <w:rPr>
                <w:lang w:val="de-DE"/>
              </w:rPr>
            </w:pPr>
          </w:p>
        </w:tc>
        <w:tc>
          <w:tcPr>
            <w:tcW w:w="3315" w:type="dxa"/>
            <w:gridSpan w:val="2"/>
            <w:tcBorders>
              <w:top w:val="nil"/>
              <w:left w:val="nil"/>
              <w:bottom w:val="nil"/>
            </w:tcBorders>
            <w:shd w:val="clear" w:color="auto" w:fill="auto"/>
          </w:tcPr>
          <w:p w:rsidR="0017135D" w:rsidRPr="00183B86" w:rsidP="00547288">
            <w:pPr>
              <w:pStyle w:val="CSBody8pt"/>
            </w:pPr>
            <w:r w:rsidRPr="00183B86">
              <w:t xml:space="preserve">If four or more dealers provide the Calculation Agent with quotations of their all-in bid price, (i) the Value of the Reference Obligation shall be equal to the arithmetic mean </w:t>
            </w:r>
            <w:r w:rsidRPr="00792D61">
              <w:rPr>
                <w:b/>
              </w:rPr>
              <w:t>[</w:t>
            </w:r>
            <w:r w:rsidRPr="00183B86">
              <w:t>(rounded, if necessary, to the nearest one thousandth of a percentage point, with 0.0005 being rounded upwards)</w:t>
            </w:r>
            <w:r w:rsidRPr="00792D61">
              <w:rPr>
                <w:b/>
              </w:rPr>
              <w:t>]</w:t>
            </w:r>
            <w:r w:rsidRPr="00183B86">
              <w:t xml:space="preserve"> of such quotations, and (ii) the highest (or, if there is more than one such highest quotation, only one of such quotations) and the lowest (or, if there is more than one such lowest quotation, only one of such quotations) shall be disregarded by the Calculation Agent for purposes of determining the arithmetic mean pursuant to clause (i) above.</w:t>
            </w:r>
          </w:p>
        </w:tc>
        <w:tc>
          <w:tcPr>
            <w:tcW w:w="1618" w:type="dxa"/>
            <w:gridSpan w:val="2"/>
            <w:tcBorders>
              <w:top w:val="nil"/>
              <w:bottom w:val="nil"/>
              <w:right w:val="nil"/>
            </w:tcBorders>
            <w:shd w:val="clear" w:color="auto" w:fill="auto"/>
          </w:tcPr>
          <w:p w:rsidR="0017135D" w:rsidRPr="001D022D" w:rsidP="00547288">
            <w:pPr>
              <w:pStyle w:val="CSBody8pt"/>
              <w:rPr>
                <w:i/>
              </w:rPr>
            </w:pP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1D022D">
              <w:rPr>
                <w:lang w:val="de-DE"/>
              </w:rPr>
              <w:t xml:space="preserve">Wenn vier oder mehr Händler gegenüber der Berechnungsstelle Quotierungen für ihren "all-in" Geldkurs abgeben, (i) entspricht der Wert der Referenzverbindlichkeit dem arithmetischen Mittel </w:t>
            </w:r>
            <w:r w:rsidRPr="00792D61">
              <w:rPr>
                <w:b/>
                <w:lang w:val="de-DE"/>
              </w:rPr>
              <w:t>[</w:t>
            </w:r>
            <w:r w:rsidRPr="001D022D">
              <w:rPr>
                <w:lang w:val="de-DE"/>
              </w:rPr>
              <w:t>(falls erforderlich, auf- oder abgerundet auf das nächste Tausendstel eines Prozentpunktes, wobei 0,0005 aufgerundet wird)</w:t>
            </w:r>
            <w:r w:rsidRPr="00792D61">
              <w:rPr>
                <w:b/>
                <w:lang w:val="de-DE"/>
              </w:rPr>
              <w:t>]</w:t>
            </w:r>
            <w:r w:rsidRPr="001D022D">
              <w:rPr>
                <w:lang w:val="de-DE"/>
              </w:rPr>
              <w:t xml:space="preserve"> dieser Quotierungen und (ii) wird die höchste (falls es mehr als eine solche höchste Quotierung gibt, nur eine dieser Quotierungen) und die niedrigste (falls es mehr als eine solche niedrigste Quotierung gibt, nur eine dieser Quotierungen) von der Berechnungsstelle für die Bestimmung des arithmetischen Mittels gemäss vorstehendem Absatz (i) ausser Acht gelassen.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A457E7">
            <w:pPr>
              <w:pStyle w:val="CSBody0"/>
              <w:rPr>
                <w:lang w:val="de-DE"/>
              </w:rPr>
            </w:pPr>
          </w:p>
        </w:tc>
        <w:tc>
          <w:tcPr>
            <w:tcW w:w="3315" w:type="dxa"/>
            <w:gridSpan w:val="2"/>
            <w:tcBorders>
              <w:top w:val="nil"/>
              <w:left w:val="nil"/>
              <w:bottom w:val="nil"/>
            </w:tcBorders>
            <w:shd w:val="clear" w:color="auto" w:fill="auto"/>
          </w:tcPr>
          <w:p w:rsidR="0017135D" w:rsidP="00D13550">
            <w:pPr>
              <w:pStyle w:val="CSBody8pt"/>
            </w:pPr>
            <w:r w:rsidRPr="00183B86">
              <w:t>If three dealers provide the Calculation Agent with quotations of their all-in bid price, the Value of the Reference Obligation shall be equal to the quotation remaining after disregarding the highest and the lowest of such quotations.</w:t>
            </w:r>
          </w:p>
        </w:tc>
        <w:tc>
          <w:tcPr>
            <w:tcW w:w="1618" w:type="dxa"/>
            <w:gridSpan w:val="2"/>
            <w:tcBorders>
              <w:top w:val="nil"/>
              <w:bottom w:val="nil"/>
              <w:right w:val="nil"/>
            </w:tcBorders>
            <w:shd w:val="clear" w:color="auto" w:fill="auto"/>
          </w:tcPr>
          <w:p w:rsidR="0017135D" w:rsidRPr="001D022D" w:rsidP="00E60155">
            <w:pPr>
              <w:pStyle w:val="CSBody0"/>
              <w:rPr>
                <w:i/>
              </w:rPr>
            </w:pPr>
          </w:p>
        </w:tc>
        <w:tc>
          <w:tcPr>
            <w:tcW w:w="3318" w:type="dxa"/>
            <w:tcBorders>
              <w:top w:val="nil"/>
              <w:left w:val="nil"/>
              <w:bottom w:val="nil"/>
              <w:right w:val="nil"/>
            </w:tcBorders>
            <w:shd w:val="clear" w:color="auto" w:fill="auto"/>
          </w:tcPr>
          <w:p w:rsidR="0017135D" w:rsidRPr="001D022D" w:rsidP="00D13550">
            <w:pPr>
              <w:pStyle w:val="CSBody8pt"/>
              <w:rPr>
                <w:lang w:val="de-DE"/>
              </w:rPr>
            </w:pPr>
            <w:r w:rsidRPr="001D022D">
              <w:rPr>
                <w:lang w:val="de-DE"/>
              </w:rPr>
              <w:t>Wenn drei Händler gegenüber der Berechnungsstelle Quotierungen für ihren "all-in" Geldkurs abgeben, entspricht der Wert der Referenzverbindlichkeit der Quotierung, die übrig bleibt, nachdem die höchste und die niedrigste Quotierung ausser Acht gelassen wurden.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547288">
            <w:pPr>
              <w:pStyle w:val="CSBody8pt"/>
              <w:rPr>
                <w:lang w:val="de-DE"/>
              </w:rPr>
            </w:pPr>
          </w:p>
        </w:tc>
        <w:tc>
          <w:tcPr>
            <w:tcW w:w="3315" w:type="dxa"/>
            <w:gridSpan w:val="2"/>
            <w:tcBorders>
              <w:top w:val="nil"/>
              <w:left w:val="nil"/>
              <w:bottom w:val="nil"/>
            </w:tcBorders>
            <w:shd w:val="clear" w:color="auto" w:fill="auto"/>
          </w:tcPr>
          <w:p w:rsidR="0017135D" w:rsidRPr="001D022D" w:rsidP="00547288">
            <w:pPr>
              <w:pStyle w:val="CSBody8pt"/>
            </w:pPr>
            <w:r w:rsidRPr="001D022D">
              <w:t>If less than three dealers provide the Calculation Agent with quotations of their all-in bid price, the Value of the Reference Obligation shall be equal to an amount determined by the Calculation Agent in a commercially reasonable manner.</w:t>
            </w:r>
          </w:p>
        </w:tc>
        <w:tc>
          <w:tcPr>
            <w:tcW w:w="1618" w:type="dxa"/>
            <w:gridSpan w:val="2"/>
            <w:tcBorders>
              <w:top w:val="nil"/>
              <w:bottom w:val="nil"/>
              <w:right w:val="nil"/>
            </w:tcBorders>
            <w:shd w:val="clear" w:color="auto" w:fill="auto"/>
          </w:tcPr>
          <w:p w:rsidR="0017135D" w:rsidRPr="001D022D" w:rsidP="00547288">
            <w:pPr>
              <w:pStyle w:val="CSBody8pt"/>
              <w:rPr>
                <w:i/>
              </w:rPr>
            </w:pPr>
          </w:p>
        </w:tc>
        <w:tc>
          <w:tcPr>
            <w:tcW w:w="3318" w:type="dxa"/>
            <w:tcBorders>
              <w:top w:val="nil"/>
              <w:left w:val="nil"/>
              <w:bottom w:val="nil"/>
              <w:right w:val="nil"/>
            </w:tcBorders>
            <w:shd w:val="clear" w:color="auto" w:fill="auto"/>
          </w:tcPr>
          <w:p w:rsidR="0017135D" w:rsidRPr="00F0134A" w:rsidP="00547288">
            <w:pPr>
              <w:pStyle w:val="CSBody8pt"/>
              <w:rPr>
                <w:bCs/>
                <w:lang w:val="de-DE"/>
              </w:rPr>
            </w:pPr>
            <w:r w:rsidRPr="006D429F">
              <w:rPr>
                <w:bCs/>
                <w:lang w:val="de-DE"/>
              </w:rPr>
              <w:t>Wenn weniger als drei Händler gegenüber der Berechnungsstelle Quotierungen für ihren "all-in" Geldkurs abgeben, entspricht der Wert der Referenzverbindlichkeit einem von der Berechnungsstelle in wirtschaftlich vertretbarer Weise bestimmten Betrag.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547288">
            <w:pPr>
              <w:pStyle w:val="CSBody8pt"/>
              <w:rPr>
                <w:lang w:val="de-DE"/>
              </w:rPr>
            </w:pPr>
            <w:r w:rsidRPr="006D429F">
              <w:rPr>
                <w:lang w:val="de-DE"/>
              </w:rPr>
              <w:t>Asset Swap Value</w:t>
            </w:r>
          </w:p>
        </w:tc>
        <w:tc>
          <w:tcPr>
            <w:tcW w:w="3315" w:type="dxa"/>
            <w:gridSpan w:val="2"/>
            <w:tcBorders>
              <w:top w:val="nil"/>
              <w:left w:val="nil"/>
              <w:bottom w:val="nil"/>
            </w:tcBorders>
            <w:shd w:val="clear" w:color="auto" w:fill="auto"/>
          </w:tcPr>
          <w:p w:rsidR="0017135D" w:rsidRPr="009D6685" w:rsidP="00547288">
            <w:pPr>
              <w:pStyle w:val="CSBody8pt"/>
            </w:pPr>
            <w:r w:rsidRPr="009D6685">
              <w:t xml:space="preserve">The amount per Complex Product determined by the Calculation Agent on the basis of quotations provided by five </w:t>
            </w:r>
            <w:r w:rsidRPr="00792D61">
              <w:rPr>
                <w:b/>
              </w:rPr>
              <w:t>[</w:t>
            </w:r>
            <w:r w:rsidRPr="009D6685">
              <w:t>leading</w:t>
            </w:r>
            <w:r w:rsidRPr="00792D61">
              <w:rPr>
                <w:b/>
              </w:rPr>
              <w:t>]</w:t>
            </w:r>
            <w:r w:rsidRPr="009D6685">
              <w:t xml:space="preserve"> dealers in the relevant market selected by the Calculation Agent of the amount in </w:t>
            </w:r>
            <w:r w:rsidRPr="00792D61">
              <w:rPr>
                <w:b/>
              </w:rPr>
              <w:t>[</w:t>
            </w:r>
            <w:r>
              <w:rPr>
                <w:rFonts w:ascii="Arial" w:hAnsi="Arial" w:cs="Arial"/>
              </w:rPr>
              <w:t>●</w:t>
            </w:r>
            <w:r w:rsidRPr="00792D61">
              <w:rPr>
                <w:b/>
              </w:rPr>
              <w:t>]</w:t>
            </w:r>
            <w:r w:rsidRPr="009D6685">
              <w:t xml:space="preserve"> such dealer (i) would require the Counterparty to pay to such dealer (the "</w:t>
            </w:r>
            <w:r w:rsidRPr="00547288">
              <w:rPr>
                <w:b/>
              </w:rPr>
              <w:t>Asset Swap Loss</w:t>
            </w:r>
            <w:r w:rsidRPr="009D6685">
              <w:t>", expressed as a negative number) or (ii) would be willing to pay to the Counterparty (the "</w:t>
            </w:r>
            <w:r w:rsidRPr="00547288">
              <w:rPr>
                <w:b/>
              </w:rPr>
              <w:t>Asset Swap Gain</w:t>
            </w:r>
            <w:r w:rsidRPr="009D6685">
              <w:t>", expressed as a positive number), in each case, as consideration for entering into an agreement pursuant to which such dealer agrees to pay to the Counterparty amounts equal to any scheduled payments of interest and principal on the Reference Obligation that become due and payable, such amounts being payable one Business Day after the relevant interest or redemption date, as applicable, under the terms and conditions of the Reference Obligation, and the Counterparty agrees to pay to such dealer amounts at least sufficient to fund the Issuer's obligations to make payments of interest and principal, if any, under the Complex Products.</w:t>
            </w:r>
          </w:p>
        </w:tc>
        <w:tc>
          <w:tcPr>
            <w:tcW w:w="1618" w:type="dxa"/>
            <w:gridSpan w:val="2"/>
            <w:tcBorders>
              <w:top w:val="nil"/>
              <w:bottom w:val="nil"/>
              <w:right w:val="nil"/>
            </w:tcBorders>
            <w:shd w:val="clear" w:color="auto" w:fill="auto"/>
          </w:tcPr>
          <w:p w:rsidR="0017135D" w:rsidRPr="00D216F1" w:rsidP="00547288">
            <w:pPr>
              <w:pStyle w:val="CSBody8pt"/>
              <w:rPr>
                <w:lang w:val="de-DE"/>
              </w:rPr>
            </w:pPr>
            <w:r w:rsidRPr="00D216F1">
              <w:rPr>
                <w:lang w:val="de-DE"/>
              </w:rPr>
              <w:t>Asset-Swap-Wert</w:t>
            </w: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1D022D">
              <w:rPr>
                <w:lang w:val="de-DE"/>
              </w:rPr>
              <w:t xml:space="preserve">Der Betrag, berechnet für das Komplexe Produkt, der von der Berechnungsstelle auf Basis von Quotierungen ermittelt wird, die von fünf von ihr ausgewählten </w:t>
            </w:r>
            <w:r w:rsidRPr="00792D61">
              <w:rPr>
                <w:b/>
                <w:lang w:val="de-DE"/>
              </w:rPr>
              <w:t>[</w:t>
            </w:r>
            <w:r w:rsidRPr="001D022D">
              <w:rPr>
                <w:lang w:val="de-DE"/>
              </w:rPr>
              <w:t>führenden</w:t>
            </w:r>
            <w:r w:rsidRPr="00792D61">
              <w:rPr>
                <w:b/>
                <w:lang w:val="de-DE"/>
              </w:rPr>
              <w:t>]</w:t>
            </w:r>
            <w:r w:rsidRPr="001D022D">
              <w:rPr>
                <w:lang w:val="de-DE"/>
              </w:rPr>
              <w:t xml:space="preserve"> Händlern am massgeblichen Markt für den Betrag in </w:t>
            </w:r>
            <w:r w:rsidRPr="00792D61">
              <w:rPr>
                <w:b/>
                <w:lang w:val="de-DE"/>
              </w:rPr>
              <w:t>[</w:t>
            </w:r>
            <w:r w:rsidRPr="001D022D">
              <w:rPr>
                <w:rFonts w:ascii="Arial" w:hAnsi="Arial" w:cs="Arial"/>
                <w:lang w:val="de-DE"/>
              </w:rPr>
              <w:t>●</w:t>
            </w:r>
            <w:r w:rsidRPr="00792D61">
              <w:rPr>
                <w:b/>
                <w:lang w:val="de-DE"/>
              </w:rPr>
              <w:t>]</w:t>
            </w:r>
            <w:r w:rsidRPr="001D022D">
              <w:rPr>
                <w:lang w:val="de-DE"/>
              </w:rPr>
              <w:t xml:space="preserve"> abgegeben werden, den der jeweilige H</w:t>
            </w:r>
            <w:r w:rsidRPr="001D022D">
              <w:rPr>
                <w:rFonts w:cs="Credit Suisse Type Light"/>
                <w:lang w:val="de-DE"/>
              </w:rPr>
              <w:t>ä</w:t>
            </w:r>
            <w:r w:rsidRPr="001D022D">
              <w:rPr>
                <w:lang w:val="de-DE"/>
              </w:rPr>
              <w:t>ndler (i) vom Kontrahenten verlangen w</w:t>
            </w:r>
            <w:r w:rsidRPr="001D022D">
              <w:rPr>
                <w:rFonts w:cs="Credit Suisse Type Light"/>
                <w:lang w:val="de-DE"/>
              </w:rPr>
              <w:t>ü</w:t>
            </w:r>
            <w:r w:rsidRPr="001D022D">
              <w:rPr>
                <w:lang w:val="de-DE"/>
              </w:rPr>
              <w:t>rde (der "</w:t>
            </w:r>
            <w:r w:rsidRPr="00547288">
              <w:rPr>
                <w:b/>
                <w:lang w:val="de-DE"/>
              </w:rPr>
              <w:t>Asset-Swap-Verlust</w:t>
            </w:r>
            <w:r w:rsidRPr="001D022D">
              <w:rPr>
                <w:lang w:val="de-DE"/>
              </w:rPr>
              <w:t>", ausgedr</w:t>
            </w:r>
            <w:r w:rsidRPr="001D022D">
              <w:rPr>
                <w:rFonts w:cs="Credit Suisse Type Light"/>
                <w:lang w:val="de-DE"/>
              </w:rPr>
              <w:t>ü</w:t>
            </w:r>
            <w:r w:rsidRPr="001D022D">
              <w:rPr>
                <w:lang w:val="de-DE"/>
              </w:rPr>
              <w:t>ckt als negative Zahl) oder (ii) bereit w</w:t>
            </w:r>
            <w:r w:rsidRPr="001D022D">
              <w:rPr>
                <w:rFonts w:cs="Credit Suisse Type Light"/>
                <w:lang w:val="de-DE"/>
              </w:rPr>
              <w:t>ä</w:t>
            </w:r>
            <w:r w:rsidRPr="001D022D">
              <w:rPr>
                <w:lang w:val="de-DE"/>
              </w:rPr>
              <w:t>re, an den Kontrahenten zu zahlen (der "</w:t>
            </w:r>
            <w:r w:rsidRPr="00547288">
              <w:rPr>
                <w:b/>
                <w:lang w:val="de-DE"/>
              </w:rPr>
              <w:t>Asset-Swap-Gewinn</w:t>
            </w:r>
            <w:r w:rsidRPr="001D022D">
              <w:rPr>
                <w:lang w:val="de-DE"/>
              </w:rPr>
              <w:t>", ausgedrückt als positive Zahl), jeweils als Gegenleistung für den Abschluss einer Vereinbarung mit der sich der Händler verpflichtet, dem Kontrahenten Beträge in Höhe der fällig und zahlbar werdenden planmässigen Zins- und Kapitalzahlungen auf die Referenzverbindlichkeit zu zahlen, wobei diese Beträge einen Geschäftstag nach dem betreffenden Zins- bzw. Tilgungstermin nach Massgabe der Bedingungen der Referenzverbindlichkeit zu zahlen sind, und mit der sich der Kontrahent verpflichtet, dem Händler Beträge zu zahlen, die mindestens dazu ausreichen, die Verpflichtungen der Emittentin zur Leistung etwaiger Zins- und Kapitalzahlungen auf die Komplexen Produkte zu finanzieren.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547288">
            <w:pPr>
              <w:pStyle w:val="CSBody8pt"/>
              <w:rPr>
                <w:lang w:val="de-DE"/>
              </w:rPr>
            </w:pPr>
          </w:p>
        </w:tc>
        <w:tc>
          <w:tcPr>
            <w:tcW w:w="3315" w:type="dxa"/>
            <w:gridSpan w:val="2"/>
            <w:tcBorders>
              <w:top w:val="nil"/>
              <w:left w:val="nil"/>
              <w:bottom w:val="nil"/>
            </w:tcBorders>
            <w:shd w:val="clear" w:color="auto" w:fill="auto"/>
          </w:tcPr>
          <w:p w:rsidR="0017135D" w:rsidP="00547288">
            <w:pPr>
              <w:pStyle w:val="CSBody8pt"/>
            </w:pPr>
            <w:r w:rsidRPr="009D6685">
              <w:t xml:space="preserve">If four or more dealers provide the Calculation Agent with such quotations, (i) the Asset Swap Value shall be equal to the arithmetic mean </w:t>
            </w:r>
            <w:r w:rsidRPr="00792D61">
              <w:rPr>
                <w:b/>
              </w:rPr>
              <w:t>[</w:t>
            </w:r>
            <w:r w:rsidRPr="009D6685">
              <w:t>(rounded, if necessary, to the nearest one thousandth of a percentage point, with 0.0005 being rounded upwards)</w:t>
            </w:r>
            <w:r w:rsidRPr="00792D61">
              <w:rPr>
                <w:b/>
              </w:rPr>
              <w:t>]</w:t>
            </w:r>
            <w:r w:rsidRPr="009D6685">
              <w:t xml:space="preserve"> of such quotations, and (ii) the highest (or, if there is more than one such highest quotation, only one of such quotations) and the lowest (or, if there is more than one such lowest quotation, only one of such quotations) shall be disregarded by the Calculation Agent for purposes of determining the arithmetic mean pursuant to clause (i) above.</w:t>
            </w:r>
          </w:p>
        </w:tc>
        <w:tc>
          <w:tcPr>
            <w:tcW w:w="1618" w:type="dxa"/>
            <w:gridSpan w:val="2"/>
            <w:tcBorders>
              <w:top w:val="nil"/>
              <w:bottom w:val="nil"/>
              <w:right w:val="nil"/>
            </w:tcBorders>
            <w:shd w:val="clear" w:color="auto" w:fill="auto"/>
          </w:tcPr>
          <w:p w:rsidR="0017135D" w:rsidRPr="001D022D" w:rsidP="00547288">
            <w:pPr>
              <w:pStyle w:val="CSBody8pt"/>
              <w:rPr>
                <w:i/>
              </w:rPr>
            </w:pP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1D022D">
              <w:rPr>
                <w:lang w:val="de-DE"/>
              </w:rPr>
              <w:t xml:space="preserve">Wenn vier oder mehr Händler gegenüber der Berechnungsstelle solche Quotierungen abgeben, (i) entspricht der Asset-Swap-Wert dem arithmetischen Mittel </w:t>
            </w:r>
            <w:r w:rsidRPr="00792D61">
              <w:rPr>
                <w:b/>
                <w:lang w:val="de-DE"/>
              </w:rPr>
              <w:t>[</w:t>
            </w:r>
            <w:r w:rsidRPr="001D022D">
              <w:rPr>
                <w:lang w:val="de-DE"/>
              </w:rPr>
              <w:t>(falls erforderlich, auf- oder abgerundet auf das nächste Tausendstel eines Prozentpunktes, wobei 0,0005 aufgerundet wird)</w:t>
            </w:r>
            <w:r w:rsidRPr="00792D61">
              <w:rPr>
                <w:b/>
                <w:lang w:val="de-DE"/>
              </w:rPr>
              <w:t>]</w:t>
            </w:r>
            <w:r w:rsidRPr="001D022D">
              <w:rPr>
                <w:lang w:val="de-DE"/>
              </w:rPr>
              <w:t xml:space="preserve"> dieser Quotierungen und (ii) wird die höchste (falls es mehr als eine solche höchste Quotierung gibt, nur eine dieser Quotierungen) und die niedrigste (falls es mehr als eine solche niedrigste Quotierung gibt, nur eine dieser Quotierungen) von der Berechnungsstelle für die Bestimmung des arithmetischen Mittels gemäss vorstehendem Absatz (i) ausser Acht gelassen.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547288">
            <w:pPr>
              <w:pStyle w:val="CSBody8pt"/>
              <w:rPr>
                <w:lang w:val="de-DE"/>
              </w:rPr>
            </w:pPr>
          </w:p>
        </w:tc>
        <w:tc>
          <w:tcPr>
            <w:tcW w:w="3315" w:type="dxa"/>
            <w:gridSpan w:val="2"/>
            <w:tcBorders>
              <w:top w:val="nil"/>
              <w:left w:val="nil"/>
              <w:bottom w:val="nil"/>
            </w:tcBorders>
            <w:shd w:val="clear" w:color="auto" w:fill="auto"/>
          </w:tcPr>
          <w:p w:rsidR="0017135D" w:rsidRPr="001E4488" w:rsidP="00547288">
            <w:pPr>
              <w:pStyle w:val="CSBody8pt"/>
            </w:pPr>
            <w:r w:rsidRPr="001E4488">
              <w:t>If three dealers provide the Calculation Agent with such quotations, the Asset Swap Value shall be equal to the quotation remaining after disregarding the highest and the lowest of such quotations.</w:t>
            </w:r>
          </w:p>
        </w:tc>
        <w:tc>
          <w:tcPr>
            <w:tcW w:w="1618" w:type="dxa"/>
            <w:gridSpan w:val="2"/>
            <w:tcBorders>
              <w:top w:val="nil"/>
              <w:bottom w:val="nil"/>
              <w:right w:val="nil"/>
            </w:tcBorders>
            <w:shd w:val="clear" w:color="auto" w:fill="auto"/>
          </w:tcPr>
          <w:p w:rsidR="0017135D" w:rsidRPr="001D022D" w:rsidP="00547288">
            <w:pPr>
              <w:pStyle w:val="CSBody8pt"/>
              <w:rPr>
                <w:i/>
              </w:rPr>
            </w:pP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1D022D">
              <w:rPr>
                <w:lang w:val="de-DE"/>
              </w:rPr>
              <w:t>Wenn drei Händler gegenüber der Berechnungsstelle solche Quotierungen abgeben, entspricht der Asset-Swap-Wert der Quotierung, die übrig bleibt, nachdem die höchste und die niedrigste Quotierung ausser Acht gelassen wurden.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A457E7">
            <w:pPr>
              <w:pStyle w:val="CSBody0"/>
              <w:rPr>
                <w:lang w:val="de-DE"/>
              </w:rPr>
            </w:pPr>
          </w:p>
        </w:tc>
        <w:tc>
          <w:tcPr>
            <w:tcW w:w="3315" w:type="dxa"/>
            <w:gridSpan w:val="2"/>
            <w:tcBorders>
              <w:top w:val="nil"/>
              <w:left w:val="nil"/>
              <w:bottom w:val="nil"/>
            </w:tcBorders>
            <w:shd w:val="clear" w:color="auto" w:fill="auto"/>
          </w:tcPr>
          <w:p w:rsidR="0017135D" w:rsidP="000F59E4">
            <w:pPr>
              <w:pStyle w:val="CSBody8pt"/>
            </w:pPr>
            <w:r w:rsidRPr="001E4488">
              <w:t>If less than three dealers provide the Calculation Agent with such quotations, the Asset Swap Value shall be equal to an amount determined by the Calculation Agent in a commercially reasonable manner.</w:t>
            </w:r>
          </w:p>
        </w:tc>
        <w:tc>
          <w:tcPr>
            <w:tcW w:w="1618" w:type="dxa"/>
            <w:gridSpan w:val="2"/>
            <w:tcBorders>
              <w:top w:val="nil"/>
              <w:bottom w:val="nil"/>
              <w:right w:val="nil"/>
            </w:tcBorders>
            <w:shd w:val="clear" w:color="auto" w:fill="auto"/>
          </w:tcPr>
          <w:p w:rsidR="0017135D" w:rsidRPr="001D022D" w:rsidP="00E60155">
            <w:pPr>
              <w:pStyle w:val="CSBody0"/>
              <w:rPr>
                <w:i/>
              </w:rPr>
            </w:pPr>
          </w:p>
        </w:tc>
        <w:tc>
          <w:tcPr>
            <w:tcW w:w="3318" w:type="dxa"/>
            <w:tcBorders>
              <w:top w:val="nil"/>
              <w:left w:val="nil"/>
              <w:bottom w:val="nil"/>
              <w:right w:val="nil"/>
            </w:tcBorders>
            <w:shd w:val="clear" w:color="auto" w:fill="auto"/>
          </w:tcPr>
          <w:p w:rsidR="0017135D" w:rsidRPr="001D022D" w:rsidP="000F59E4">
            <w:pPr>
              <w:pStyle w:val="CSBody8pt"/>
              <w:rPr>
                <w:lang w:val="de-DE"/>
              </w:rPr>
            </w:pPr>
            <w:r w:rsidRPr="001D022D">
              <w:rPr>
                <w:lang w:val="de-DE"/>
              </w:rPr>
              <w:t>Wenn weniger als drei Händler gegenüber der Berechnungsstelle solche Quotierungen abgeben, entspricht der Asset-Swap-Wert einem von der Berechnungsstelle in wirtschaftlich vertretbarer Weise bestimmten Betrag.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547288">
            <w:pPr>
              <w:pStyle w:val="CSBody8pt"/>
              <w:rPr>
                <w:lang w:val="de-DE"/>
              </w:rPr>
            </w:pPr>
            <w:r w:rsidRPr="006D429F">
              <w:rPr>
                <w:lang w:val="de-DE"/>
              </w:rPr>
              <w:t>Swap Agreement</w:t>
            </w:r>
          </w:p>
        </w:tc>
        <w:tc>
          <w:tcPr>
            <w:tcW w:w="3315" w:type="dxa"/>
            <w:gridSpan w:val="2"/>
            <w:tcBorders>
              <w:top w:val="nil"/>
              <w:left w:val="nil"/>
              <w:bottom w:val="nil"/>
            </w:tcBorders>
            <w:shd w:val="clear" w:color="auto" w:fill="auto"/>
          </w:tcPr>
          <w:p w:rsidR="0017135D" w:rsidRPr="00B16A62" w:rsidP="00547288">
            <w:pPr>
              <w:pStyle w:val="CSBody8pt"/>
            </w:pPr>
            <w:r w:rsidRPr="00B16A62">
              <w:t>Any swap transaction entered into by the Issuer, pursuant to which:</w:t>
            </w:r>
          </w:p>
        </w:tc>
        <w:tc>
          <w:tcPr>
            <w:tcW w:w="1618" w:type="dxa"/>
            <w:gridSpan w:val="2"/>
            <w:tcBorders>
              <w:top w:val="nil"/>
              <w:bottom w:val="nil"/>
              <w:right w:val="nil"/>
            </w:tcBorders>
            <w:shd w:val="clear" w:color="auto" w:fill="auto"/>
          </w:tcPr>
          <w:p w:rsidR="0017135D" w:rsidP="00547288">
            <w:pPr>
              <w:pStyle w:val="CSBody8pt"/>
            </w:pPr>
            <w:r w:rsidRPr="00B16A62">
              <w:t>Swap-Vereinbarung</w:t>
            </w:r>
          </w:p>
        </w:tc>
        <w:tc>
          <w:tcPr>
            <w:tcW w:w="3318" w:type="dxa"/>
            <w:tcBorders>
              <w:top w:val="nil"/>
              <w:left w:val="nil"/>
              <w:bottom w:val="nil"/>
              <w:right w:val="nil"/>
            </w:tcBorders>
            <w:shd w:val="clear" w:color="auto" w:fill="auto"/>
          </w:tcPr>
          <w:p w:rsidR="0017135D" w:rsidRPr="00F0134A" w:rsidP="00547288">
            <w:pPr>
              <w:pStyle w:val="CSBody8pt"/>
              <w:rPr>
                <w:bCs/>
                <w:lang w:val="de-DE"/>
              </w:rPr>
            </w:pPr>
            <w:r w:rsidRPr="006D429F">
              <w:rPr>
                <w:bCs/>
                <w:lang w:val="de-DE"/>
              </w:rPr>
              <w:t>Eine Swap-Transaktion, die von der Emittentin abgeschlossen wurde, aufgrund 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547288">
            <w:pPr>
              <w:pStyle w:val="CSManNum8pt"/>
              <w:rPr>
                <w:lang w:val="de-DE"/>
              </w:rPr>
            </w:pPr>
          </w:p>
        </w:tc>
        <w:tc>
          <w:tcPr>
            <w:tcW w:w="3315" w:type="dxa"/>
            <w:gridSpan w:val="2"/>
            <w:tcBorders>
              <w:top w:val="nil"/>
              <w:left w:val="nil"/>
              <w:bottom w:val="nil"/>
            </w:tcBorders>
            <w:shd w:val="clear" w:color="auto" w:fill="auto"/>
          </w:tcPr>
          <w:p w:rsidR="0017135D" w:rsidRPr="001D022D" w:rsidP="00877C09">
            <w:pPr>
              <w:pStyle w:val="CSManNum8pt"/>
            </w:pPr>
            <w:r w:rsidRPr="001D022D">
              <w:t>(i)</w:t>
            </w:r>
            <w:r w:rsidRPr="001D022D">
              <w:tab/>
              <w:t>the Issuer is required to pay to the counterparty (the "</w:t>
            </w:r>
            <w:r w:rsidRPr="00547288">
              <w:rPr>
                <w:b/>
              </w:rPr>
              <w:t>Counterparty</w:t>
            </w:r>
            <w:r w:rsidRPr="001D022D">
              <w:t>") amounts equal to any scheduled payments of interest and principal on the Reference Obligation that become due and payable, such amounts being payable one Business Day after the relevant interest or redemption date, as applicable, under the terms and conditions of the Reference Obligation;</w:t>
            </w:r>
          </w:p>
        </w:tc>
        <w:tc>
          <w:tcPr>
            <w:tcW w:w="1618" w:type="dxa"/>
            <w:gridSpan w:val="2"/>
            <w:tcBorders>
              <w:top w:val="nil"/>
              <w:bottom w:val="nil"/>
              <w:right w:val="nil"/>
            </w:tcBorders>
            <w:shd w:val="clear" w:color="auto" w:fill="auto"/>
          </w:tcPr>
          <w:p w:rsidR="0017135D" w:rsidRPr="001D022D" w:rsidP="00547288">
            <w:pPr>
              <w:pStyle w:val="CSManNum8pt"/>
              <w:rPr>
                <w:i/>
              </w:rPr>
            </w:pPr>
          </w:p>
        </w:tc>
        <w:tc>
          <w:tcPr>
            <w:tcW w:w="3318" w:type="dxa"/>
            <w:tcBorders>
              <w:top w:val="nil"/>
              <w:left w:val="nil"/>
              <w:bottom w:val="nil"/>
              <w:right w:val="nil"/>
            </w:tcBorders>
            <w:shd w:val="clear" w:color="auto" w:fill="auto"/>
          </w:tcPr>
          <w:p w:rsidR="0017135D" w:rsidRPr="00F0134A" w:rsidP="00877C09">
            <w:pPr>
              <w:pStyle w:val="CSManNum8pt"/>
              <w:rPr>
                <w:bCs/>
                <w:lang w:val="de-DE"/>
              </w:rPr>
            </w:pPr>
            <w:r w:rsidRPr="006D429F">
              <w:rPr>
                <w:bCs/>
                <w:lang w:val="de-DE"/>
              </w:rPr>
              <w:t>(i)</w:t>
            </w:r>
            <w:r w:rsidRPr="006D429F">
              <w:rPr>
                <w:bCs/>
                <w:lang w:val="de-DE"/>
              </w:rPr>
              <w:tab/>
              <w:t>die Emittentin verpflichtet ist, dem Kontrahenten (der "</w:t>
            </w:r>
            <w:r w:rsidRPr="00547288">
              <w:rPr>
                <w:b/>
                <w:bCs/>
                <w:lang w:val="de-DE"/>
              </w:rPr>
              <w:t>Kontrahent</w:t>
            </w:r>
            <w:r w:rsidRPr="006D429F">
              <w:rPr>
                <w:bCs/>
                <w:lang w:val="de-DE"/>
              </w:rPr>
              <w:t>") Beträge in Höhe der fällig und zahlbar werdenden planmässigen Zins- und Kapitalzahlungen auf die Referenzverbindlichkeit zu zahlen, wobei diese Beträge einen Geschäftstag nach dem betreffenden Zins- bzw. Tilgungstermin nach Massgabe der Bedingungen der Referenzverbindlichkeit zu zahlen sind;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0134A" w:rsidP="00547288">
            <w:pPr>
              <w:pStyle w:val="CSManNum8pt"/>
              <w:rPr>
                <w:lang w:val="de-DE"/>
              </w:rPr>
            </w:pPr>
          </w:p>
        </w:tc>
        <w:tc>
          <w:tcPr>
            <w:tcW w:w="3315" w:type="dxa"/>
            <w:gridSpan w:val="2"/>
            <w:tcBorders>
              <w:top w:val="nil"/>
              <w:left w:val="nil"/>
              <w:bottom w:val="nil"/>
            </w:tcBorders>
            <w:shd w:val="clear" w:color="auto" w:fill="auto"/>
          </w:tcPr>
          <w:p w:rsidR="0017135D" w:rsidRPr="006B2AB7" w:rsidP="00547288">
            <w:pPr>
              <w:pStyle w:val="CSManNum8pt"/>
            </w:pPr>
            <w:r w:rsidRPr="006B2AB7">
              <w:t>(ii)</w:t>
            </w:r>
            <w:r w:rsidRPr="006B2AB7">
              <w:tab/>
              <w:t>the Counterparty is required to pay to the Issuer amounts at least sufficient to fund the Issuer's obligations to make payments of interest and principal, if any, under the Complex Products.</w:t>
            </w:r>
          </w:p>
        </w:tc>
        <w:tc>
          <w:tcPr>
            <w:tcW w:w="1618" w:type="dxa"/>
            <w:gridSpan w:val="2"/>
            <w:tcBorders>
              <w:top w:val="nil"/>
              <w:bottom w:val="nil"/>
              <w:right w:val="nil"/>
            </w:tcBorders>
            <w:shd w:val="clear" w:color="auto" w:fill="auto"/>
          </w:tcPr>
          <w:p w:rsidR="0017135D" w:rsidRPr="006B2AB7" w:rsidP="00547288">
            <w:pPr>
              <w:pStyle w:val="CSManNum8pt"/>
              <w:rPr>
                <w:i/>
              </w:rPr>
            </w:pPr>
          </w:p>
        </w:tc>
        <w:tc>
          <w:tcPr>
            <w:tcW w:w="3318" w:type="dxa"/>
            <w:tcBorders>
              <w:top w:val="nil"/>
              <w:left w:val="nil"/>
              <w:bottom w:val="nil"/>
              <w:right w:val="nil"/>
            </w:tcBorders>
            <w:shd w:val="clear" w:color="auto" w:fill="auto"/>
          </w:tcPr>
          <w:p w:rsidR="0017135D" w:rsidRPr="00F0134A" w:rsidP="00877C09">
            <w:pPr>
              <w:pStyle w:val="CSManNum8pt"/>
              <w:rPr>
                <w:bCs/>
                <w:lang w:val="de-DE"/>
              </w:rPr>
            </w:pPr>
            <w:r w:rsidRPr="006D429F">
              <w:rPr>
                <w:bCs/>
                <w:lang w:val="de-DE"/>
              </w:rPr>
              <w:t>(ii)</w:t>
            </w:r>
            <w:r w:rsidRPr="006D429F">
              <w:rPr>
                <w:bCs/>
                <w:lang w:val="de-DE"/>
              </w:rPr>
              <w:tab/>
              <w:t>der Kontrahent verpflichtet ist, der Emittentin Beträge zu zahlen, die mindestens dazu ausreichen, die Verpflichtungen der Emittentin zur Leistung etwaiger Zins- und Kapitalzahlungen auf die Komplexen Produkte zu finanzieren.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B2AB7" w:rsidP="00877C09">
            <w:pPr>
              <w:pStyle w:val="CSBody8ptbolditalics"/>
            </w:pPr>
            <w:r w:rsidRPr="00792D61">
              <w:t>[</w:t>
            </w:r>
            <w:r w:rsidRPr="006B2AB7">
              <w:t>in the case of Complex Products with physical settlement:</w:t>
            </w:r>
          </w:p>
        </w:tc>
        <w:tc>
          <w:tcPr>
            <w:tcW w:w="3315" w:type="dxa"/>
            <w:gridSpan w:val="2"/>
            <w:vMerge w:val="restart"/>
            <w:tcBorders>
              <w:top w:val="nil"/>
              <w:left w:val="nil"/>
            </w:tcBorders>
            <w:shd w:val="clear" w:color="auto" w:fill="auto"/>
          </w:tcPr>
          <w:p w:rsidR="0017135D" w:rsidRPr="006B2AB7" w:rsidP="00547288">
            <w:pPr>
              <w:pStyle w:val="CSBody8pt"/>
            </w:pPr>
            <w:r w:rsidRPr="006B2AB7">
              <w:t xml:space="preserve">The number of Reference Obligations per Complex Product, which shall be equal to (i) the product of (a) the Denomination (D) </w:t>
            </w:r>
            <w:r w:rsidRPr="00792D61">
              <w:rPr>
                <w:b/>
              </w:rPr>
              <w:t>[</w:t>
            </w:r>
            <w:r w:rsidRPr="006B2AB7">
              <w:t xml:space="preserve">, divided by the </w:t>
            </w:r>
            <w:r w:rsidRPr="00792D61">
              <w:rPr>
                <w:b/>
              </w:rPr>
              <w:t>[</w:t>
            </w:r>
            <w:r w:rsidRPr="006B2AB7">
              <w:rPr>
                <w:rFonts w:ascii="Arial" w:hAnsi="Arial" w:cs="Arial"/>
              </w:rPr>
              <w:t>●</w:t>
            </w:r>
            <w:r w:rsidRPr="00792D61">
              <w:rPr>
                <w:b/>
              </w:rPr>
              <w:t>]</w:t>
            </w:r>
            <w:r w:rsidRPr="006B2AB7">
              <w:t xml:space="preserve"> spot exchange rate (expressed as the number of </w:t>
            </w:r>
            <w:r w:rsidRPr="00792D61">
              <w:rPr>
                <w:b/>
              </w:rPr>
              <w:t>[</w:t>
            </w:r>
            <w:r w:rsidRPr="006B2AB7">
              <w:rPr>
                <w:rFonts w:ascii="Arial" w:hAnsi="Arial" w:cs="Arial"/>
              </w:rPr>
              <w:t>●</w:t>
            </w:r>
            <w:r w:rsidRPr="00792D61">
              <w:rPr>
                <w:b/>
              </w:rPr>
              <w:t>]</w:t>
            </w:r>
            <w:r w:rsidRPr="006B2AB7">
              <w:t xml:space="preserve"> per </w:t>
            </w:r>
            <w:r w:rsidRPr="00792D61">
              <w:rPr>
                <w:b/>
              </w:rPr>
              <w:t>[[</w:t>
            </w:r>
            <w:r w:rsidRPr="006B2AB7">
              <w:rPr>
                <w:rFonts w:ascii="Arial" w:hAnsi="Arial" w:cs="Arial"/>
              </w:rPr>
              <w:t>●</w:t>
            </w:r>
            <w:r w:rsidRPr="00792D61">
              <w:rPr>
                <w:b/>
              </w:rPr>
              <w:t>]][</w:t>
            </w:r>
            <w:r w:rsidRPr="006B2AB7">
              <w:t>1.00</w:t>
            </w:r>
            <w:r w:rsidRPr="00792D61">
              <w:rPr>
                <w:b/>
              </w:rPr>
              <w:t>]</w:t>
            </w:r>
            <w:r w:rsidRPr="006B2AB7">
              <w:t>) on the Valuation Date (FXt), as determined by the Calculation Agent in its discretion,</w:t>
            </w:r>
            <w:r w:rsidRPr="00792D61">
              <w:rPr>
                <w:b/>
              </w:rPr>
              <w:t>]</w:t>
            </w:r>
            <w:r w:rsidRPr="006B2AB7">
              <w:t xml:space="preserve"> and (b) the Credit Redemption Amount (CRA), divided by the Nominal Amount of the Reference Obligation (NomAmt), divided by (ii) the Value of the Reference Obligation (Value RefObl), calculated by the Calculation Agent in accordance with the following formula:</w:t>
            </w:r>
          </w:p>
        </w:tc>
        <w:tc>
          <w:tcPr>
            <w:tcW w:w="1618" w:type="dxa"/>
            <w:gridSpan w:val="2"/>
            <w:tcBorders>
              <w:top w:val="nil"/>
              <w:bottom w:val="nil"/>
              <w:right w:val="nil"/>
            </w:tcBorders>
            <w:shd w:val="clear" w:color="auto" w:fill="auto"/>
          </w:tcPr>
          <w:p w:rsidR="0017135D" w:rsidRPr="006B2AB7" w:rsidP="00877C09">
            <w:pPr>
              <w:pStyle w:val="CSBody8ptbolditalics"/>
              <w:rPr>
                <w:lang w:val="de-DE"/>
              </w:rPr>
            </w:pPr>
            <w:r w:rsidRPr="00792D61">
              <w:rPr>
                <w:lang w:val="de-DE"/>
              </w:rPr>
              <w:t>[</w:t>
            </w:r>
            <w:r w:rsidRPr="006B2AB7">
              <w:rPr>
                <w:lang w:val="de-DE"/>
              </w:rPr>
              <w:t>bei Komplexen Produkten mit physischer Abwicklung:</w:t>
            </w:r>
          </w:p>
        </w:tc>
        <w:tc>
          <w:tcPr>
            <w:tcW w:w="3318" w:type="dxa"/>
            <w:vMerge w:val="restart"/>
            <w:tcBorders>
              <w:top w:val="nil"/>
              <w:left w:val="nil"/>
              <w:right w:val="nil"/>
            </w:tcBorders>
            <w:shd w:val="clear" w:color="auto" w:fill="auto"/>
          </w:tcPr>
          <w:p w:rsidR="0017135D" w:rsidRPr="006B2AB7" w:rsidP="00547288">
            <w:pPr>
              <w:pStyle w:val="CSBody8pt"/>
              <w:rPr>
                <w:bCs/>
                <w:lang w:val="de-DE"/>
              </w:rPr>
            </w:pPr>
            <w:r w:rsidRPr="006B2AB7">
              <w:rPr>
                <w:bCs/>
                <w:lang w:val="de-DE"/>
              </w:rPr>
              <w:t>Die Anzahl von Referenzverbindlichkeiten je Komplexes Produkt, welche (i) dem Produkt aus (a) der Stückelung (</w:t>
            </w:r>
            <w:r w:rsidRPr="00BD6E0D">
              <w:rPr>
                <w:bCs/>
                <w:i/>
                <w:lang w:val="de-DE"/>
              </w:rPr>
              <w:t>Denomination</w:t>
            </w:r>
            <w:r w:rsidRPr="006B2AB7">
              <w:rPr>
                <w:bCs/>
                <w:lang w:val="de-DE"/>
              </w:rPr>
              <w:t xml:space="preserve">; D) </w:t>
            </w:r>
            <w:r w:rsidRPr="00792D61">
              <w:rPr>
                <w:b/>
                <w:bCs/>
                <w:lang w:val="de-DE"/>
              </w:rPr>
              <w:t>[</w:t>
            </w:r>
            <w:r w:rsidRPr="006B2AB7">
              <w:rPr>
                <w:bCs/>
                <w:lang w:val="de-DE"/>
              </w:rPr>
              <w:t xml:space="preserve">dividiert durch den </w:t>
            </w:r>
            <w:r w:rsidRPr="00792D61">
              <w:rPr>
                <w:b/>
                <w:bCs/>
                <w:lang w:val="de-DE"/>
              </w:rPr>
              <w:t>[</w:t>
            </w:r>
            <w:r w:rsidRPr="006B2AB7">
              <w:rPr>
                <w:rFonts w:ascii="Arial" w:hAnsi="Arial" w:cs="Arial"/>
                <w:bCs/>
                <w:lang w:val="de-DE"/>
              </w:rPr>
              <w:t>●</w:t>
            </w:r>
            <w:r w:rsidRPr="00792D61">
              <w:rPr>
                <w:b/>
                <w:bCs/>
                <w:lang w:val="de-DE"/>
              </w:rPr>
              <w:t>]</w:t>
            </w:r>
            <w:r w:rsidRPr="006B2AB7">
              <w:rPr>
                <w:bCs/>
                <w:lang w:val="de-DE"/>
              </w:rPr>
              <w:t xml:space="preserve"> Devisenkassakurs (der Zahl </w:t>
            </w:r>
            <w:r w:rsidRPr="00792D61">
              <w:rPr>
                <w:b/>
                <w:bCs/>
                <w:lang w:val="de-DE"/>
              </w:rPr>
              <w:t>[</w:t>
            </w:r>
            <w:r w:rsidRPr="006B2AB7">
              <w:rPr>
                <w:rFonts w:ascii="Arial" w:hAnsi="Arial" w:cs="Arial"/>
                <w:bCs/>
                <w:lang w:val="de-DE"/>
              </w:rPr>
              <w:t>●</w:t>
            </w:r>
            <w:r w:rsidRPr="00792D61">
              <w:rPr>
                <w:b/>
                <w:bCs/>
                <w:lang w:val="de-DE"/>
              </w:rPr>
              <w:t>]</w:t>
            </w:r>
            <w:r w:rsidRPr="006B2AB7">
              <w:rPr>
                <w:bCs/>
                <w:lang w:val="de-DE"/>
              </w:rPr>
              <w:t xml:space="preserve"> pro </w:t>
            </w:r>
            <w:r w:rsidRPr="00792D61">
              <w:rPr>
                <w:b/>
                <w:bCs/>
                <w:lang w:val="de-DE"/>
              </w:rPr>
              <w:t>[[</w:t>
            </w:r>
            <w:r w:rsidRPr="006B2AB7">
              <w:rPr>
                <w:rFonts w:ascii="Arial" w:hAnsi="Arial" w:cs="Arial"/>
                <w:bCs/>
                <w:lang w:val="de-DE"/>
              </w:rPr>
              <w:t>●</w:t>
            </w:r>
            <w:r w:rsidRPr="00792D61">
              <w:rPr>
                <w:b/>
                <w:bCs/>
                <w:lang w:val="de-DE"/>
              </w:rPr>
              <w:t>]][</w:t>
            </w:r>
            <w:r w:rsidRPr="006B2AB7">
              <w:rPr>
                <w:bCs/>
                <w:lang w:val="de-DE"/>
              </w:rPr>
              <w:t>1.00</w:t>
            </w:r>
            <w:r w:rsidRPr="00792D61">
              <w:rPr>
                <w:b/>
                <w:bCs/>
                <w:lang w:val="de-DE"/>
              </w:rPr>
              <w:t>]</w:t>
            </w:r>
            <w:r w:rsidRPr="006B2AB7">
              <w:rPr>
                <w:bCs/>
                <w:lang w:val="de-DE"/>
              </w:rPr>
              <w:t xml:space="preserve"> entsprechend) am Bewertungstag (FXt), berechnet von der Berechnungsstelle zu einem beliebigen Zeitpunkt</w:t>
            </w:r>
            <w:r w:rsidRPr="00792D61">
              <w:rPr>
                <w:b/>
                <w:bCs/>
                <w:lang w:val="de-DE"/>
              </w:rPr>
              <w:t>]</w:t>
            </w:r>
            <w:r w:rsidRPr="006B2AB7">
              <w:rPr>
                <w:bCs/>
                <w:lang w:val="de-DE"/>
              </w:rPr>
              <w:t xml:space="preserve"> und (b) dem Kredit-Rückzahlungsbetrag (</w:t>
            </w:r>
            <w:r w:rsidRPr="00BD6E0D">
              <w:rPr>
                <w:bCs/>
                <w:i/>
                <w:lang w:val="de-DE"/>
              </w:rPr>
              <w:t>Credit Redemption Amount; CRA</w:t>
            </w:r>
            <w:r w:rsidRPr="006B2AB7">
              <w:rPr>
                <w:bCs/>
                <w:lang w:val="de-DE"/>
              </w:rPr>
              <w:t>) dividiert durch dem Nennbetrag (</w:t>
            </w:r>
            <w:r w:rsidRPr="00BD6E0D">
              <w:rPr>
                <w:bCs/>
                <w:i/>
                <w:lang w:val="de-DE"/>
              </w:rPr>
              <w:t>Nominal Amount</w:t>
            </w:r>
            <w:r w:rsidRPr="006B2AB7">
              <w:rPr>
                <w:bCs/>
                <w:lang w:val="de-DE"/>
              </w:rPr>
              <w:t>) der Referenzverbindlichkeit (</w:t>
            </w:r>
            <w:r w:rsidRPr="00BD6E0D">
              <w:rPr>
                <w:bCs/>
                <w:i/>
                <w:lang w:val="de-DE"/>
              </w:rPr>
              <w:t>NomAmt</w:t>
            </w:r>
            <w:r w:rsidRPr="006B2AB7">
              <w:rPr>
                <w:bCs/>
                <w:lang w:val="de-DE"/>
              </w:rPr>
              <w:t>), dividiert durch (ii) den Wert der Referenzverbindlichkeit (</w:t>
            </w:r>
            <w:r w:rsidRPr="00BD6E0D">
              <w:rPr>
                <w:bCs/>
                <w:i/>
                <w:lang w:val="de-DE"/>
              </w:rPr>
              <w:t>Value of the Reference Obligation; Value RefObl</w:t>
            </w:r>
            <w:r w:rsidRPr="006B2AB7">
              <w:rPr>
                <w:bCs/>
                <w:lang w:val="de-DE"/>
              </w:rPr>
              <w:t>) entsprechen, berechnet von der Berechnungsstelle nach der folgenden Formel:</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B2AB7" w:rsidP="00547288">
            <w:pPr>
              <w:pStyle w:val="CSBody8pt"/>
              <w:rPr>
                <w:lang w:val="de-DE"/>
              </w:rPr>
            </w:pPr>
            <w:r>
              <w:rPr>
                <w:lang w:val="de-DE"/>
              </w:rPr>
              <w:t>Ratio</w:t>
            </w:r>
          </w:p>
        </w:tc>
        <w:tc>
          <w:tcPr>
            <w:tcW w:w="3315" w:type="dxa"/>
            <w:gridSpan w:val="2"/>
            <w:vMerge/>
            <w:tcBorders>
              <w:left w:val="nil"/>
              <w:bottom w:val="nil"/>
            </w:tcBorders>
            <w:shd w:val="clear" w:color="auto" w:fill="auto"/>
          </w:tcPr>
          <w:p w:rsidR="0017135D" w:rsidRPr="006B2AB7" w:rsidP="00547288">
            <w:pPr>
              <w:pStyle w:val="CSBody8pt"/>
              <w:rPr>
                <w:lang w:val="de-DE"/>
              </w:rPr>
            </w:pPr>
          </w:p>
        </w:tc>
        <w:tc>
          <w:tcPr>
            <w:tcW w:w="1618" w:type="dxa"/>
            <w:gridSpan w:val="2"/>
            <w:tcBorders>
              <w:top w:val="nil"/>
              <w:bottom w:val="nil"/>
              <w:right w:val="nil"/>
            </w:tcBorders>
            <w:shd w:val="clear" w:color="auto" w:fill="auto"/>
          </w:tcPr>
          <w:p w:rsidR="0017135D" w:rsidRPr="00BD6E0D" w:rsidP="00547288">
            <w:pPr>
              <w:pStyle w:val="CSBody8pt"/>
              <w:rPr>
                <w:lang w:val="de-DE"/>
              </w:rPr>
            </w:pPr>
            <w:r w:rsidRPr="00BD6E0D">
              <w:rPr>
                <w:lang w:val="de-DE"/>
              </w:rPr>
              <w:t>Bezugsverhältnis</w:t>
            </w:r>
          </w:p>
        </w:tc>
        <w:tc>
          <w:tcPr>
            <w:tcW w:w="3318" w:type="dxa"/>
            <w:vMerge/>
            <w:tcBorders>
              <w:left w:val="nil"/>
              <w:bottom w:val="nil"/>
              <w:right w:val="nil"/>
            </w:tcBorders>
            <w:shd w:val="clear" w:color="auto" w:fill="auto"/>
          </w:tcPr>
          <w:p w:rsidR="0017135D" w:rsidRPr="006B2AB7" w:rsidP="00547288">
            <w:pPr>
              <w:pStyle w:val="CSBody8pt"/>
              <w:rPr>
                <w:bCs/>
                <w:lang w:val="de-DE"/>
              </w:rPr>
            </w:pP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2B4A71" w:rsidP="002B4A71">
            <w:pPr>
              <w:pStyle w:val="CSBody8pt"/>
              <w:spacing w:before="120" w:after="120"/>
              <w:jc w:val="center"/>
              <w:rPr>
                <w:sz w:val="14"/>
                <w:szCs w:val="14"/>
              </w:rPr>
            </w:pPr>
            <m:oMathPara>
              <m:oMath>
                <m:f>
                  <m:fPr>
                    <m:ctrlPr>
                      <w:rPr>
                        <w:rFonts w:ascii="Cambria Math" w:hAnsi="Cambria Math"/>
                        <w:i/>
                        <w:sz w:val="14"/>
                        <w:szCs w:val="14"/>
                      </w:rPr>
                    </m:ctrlPr>
                  </m:fPr>
                  <m:num>
                    <m:f>
                      <m:fPr>
                        <m:ctrlPr>
                          <w:rPr>
                            <w:rFonts w:ascii="Cambria Math" w:hAnsi="Cambria Math"/>
                            <w:i/>
                            <w:sz w:val="14"/>
                            <w:szCs w:val="14"/>
                          </w:rPr>
                        </m:ctrlPr>
                      </m:fPr>
                      <m:num>
                        <m:r>
                          <w:rPr>
                            <w:rFonts w:ascii="Cambria Math" w:hAnsi="Cambria Math"/>
                            <w:sz w:val="14"/>
                            <w:szCs w:val="14"/>
                          </w:rPr>
                          <m:t>D</m:t>
                        </m:r>
                      </m:num>
                      <m:den>
                        <m:d>
                          <m:dPr>
                            <m:begChr m:val="["/>
                            <m:endChr m:val="]"/>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X</m:t>
                                </m:r>
                              </m:e>
                              <m:sub>
                                <m:r>
                                  <w:rPr>
                                    <w:rFonts w:ascii="Cambria Math" w:hAnsi="Cambria Math"/>
                                    <w:sz w:val="14"/>
                                    <w:szCs w:val="14"/>
                                  </w:rPr>
                                  <m:t>t</m:t>
                                </m:r>
                              </m:sub>
                            </m:sSub>
                          </m:e>
                        </m:d>
                      </m:den>
                    </m:f>
                    <m:r>
                      <w:rPr>
                        <w:rFonts w:ascii="Cambria Math" w:hAnsi="Cambria Math"/>
                        <w:sz w:val="14"/>
                        <w:szCs w:val="14"/>
                      </w:rPr>
                      <m:t>×</m:t>
                    </m:r>
                    <m:f>
                      <m:fPr>
                        <m:ctrlPr>
                          <w:rPr>
                            <w:rFonts w:ascii="Cambria Math" w:hAnsi="Cambria Math"/>
                            <w:i/>
                            <w:sz w:val="14"/>
                            <w:szCs w:val="14"/>
                          </w:rPr>
                        </m:ctrlPr>
                      </m:fPr>
                      <m:num>
                        <m:r>
                          <w:rPr>
                            <w:rFonts w:ascii="Cambria Math" w:hAnsi="Cambria Math"/>
                            <w:sz w:val="14"/>
                            <w:szCs w:val="14"/>
                          </w:rPr>
                          <m:t>CRA</m:t>
                        </m:r>
                      </m:num>
                      <m:den>
                        <m:r>
                          <w:rPr>
                            <w:rFonts w:ascii="Cambria Math" w:hAnsi="Cambria Math"/>
                            <w:sz w:val="14"/>
                            <w:szCs w:val="14"/>
                          </w:rPr>
                          <m:t>NomAmt</m:t>
                        </m:r>
                      </m:den>
                    </m:f>
                  </m:num>
                  <m:den>
                    <m:r>
                      <w:rPr>
                        <w:rFonts w:ascii="Cambria Math" w:hAnsi="Cambria Math"/>
                        <w:sz w:val="14"/>
                        <w:szCs w:val="14"/>
                      </w:rPr>
                      <m:t>ValueRefObl</m:t>
                    </m:r>
                  </m:den>
                </m:f>
              </m:oMath>
            </m:oMathPara>
          </w:p>
        </w:tc>
        <w:tc>
          <w:tcPr>
            <w:tcW w:w="4936" w:type="dxa"/>
            <w:gridSpan w:val="3"/>
            <w:tcBorders>
              <w:top w:val="nil"/>
              <w:bottom w:val="nil"/>
              <w:right w:val="nil"/>
            </w:tcBorders>
            <w:shd w:val="clear" w:color="auto" w:fill="auto"/>
          </w:tcPr>
          <w:p w:rsidR="0017135D" w:rsidRPr="002B4A71" w:rsidP="00F17869">
            <w:pPr>
              <w:pStyle w:val="CSBody8pt"/>
              <w:spacing w:before="120" w:after="120"/>
              <w:jc w:val="center"/>
              <w:rPr>
                <w:sz w:val="14"/>
                <w:szCs w:val="14"/>
              </w:rPr>
            </w:pPr>
            <m:oMathPara>
              <m:oMath>
                <m:f>
                  <m:fPr>
                    <m:ctrlPr>
                      <w:rPr>
                        <w:rFonts w:ascii="Cambria Math" w:hAnsi="Cambria Math"/>
                        <w:i/>
                        <w:sz w:val="14"/>
                        <w:szCs w:val="14"/>
                      </w:rPr>
                    </m:ctrlPr>
                  </m:fPr>
                  <m:num>
                    <m:f>
                      <m:fPr>
                        <m:ctrlPr>
                          <w:rPr>
                            <w:rFonts w:ascii="Cambria Math" w:hAnsi="Cambria Math"/>
                            <w:i/>
                            <w:sz w:val="14"/>
                            <w:szCs w:val="14"/>
                          </w:rPr>
                        </m:ctrlPr>
                      </m:fPr>
                      <m:num>
                        <m:r>
                          <w:rPr>
                            <w:rFonts w:ascii="Cambria Math" w:hAnsi="Cambria Math"/>
                            <w:sz w:val="14"/>
                            <w:szCs w:val="14"/>
                          </w:rPr>
                          <m:t>D</m:t>
                        </m:r>
                      </m:num>
                      <m:den>
                        <m:d>
                          <m:dPr>
                            <m:begChr m:val="["/>
                            <m:endChr m:val="]"/>
                            <m:ctrlPr>
                              <w:rPr>
                                <w:rFonts w:ascii="Cambria Math" w:hAnsi="Cambria Math"/>
                                <w:i/>
                                <w:sz w:val="14"/>
                                <w:szCs w:val="14"/>
                              </w:rPr>
                            </m:ctrlPr>
                          </m:dPr>
                          <m:e>
                            <m:sSub>
                              <m:sSubPr>
                                <m:ctrlPr>
                                  <w:rPr>
                                    <w:rFonts w:ascii="Cambria Math" w:hAnsi="Cambria Math"/>
                                    <w:i/>
                                    <w:sz w:val="14"/>
                                    <w:szCs w:val="14"/>
                                  </w:rPr>
                                </m:ctrlPr>
                              </m:sSubPr>
                              <m:e>
                                <m:r>
                                  <w:rPr>
                                    <w:rFonts w:ascii="Cambria Math" w:hAnsi="Cambria Math"/>
                                    <w:sz w:val="14"/>
                                    <w:szCs w:val="14"/>
                                  </w:rPr>
                                  <m:t>FX</m:t>
                                </m:r>
                              </m:e>
                              <m:sub>
                                <m:r>
                                  <w:rPr>
                                    <w:rFonts w:ascii="Cambria Math" w:hAnsi="Cambria Math"/>
                                    <w:sz w:val="14"/>
                                    <w:szCs w:val="14"/>
                                  </w:rPr>
                                  <m:t>t</m:t>
                                </m:r>
                              </m:sub>
                            </m:sSub>
                          </m:e>
                        </m:d>
                      </m:den>
                    </m:f>
                    <m:r>
                      <w:rPr>
                        <w:rFonts w:ascii="Cambria Math" w:hAnsi="Cambria Math"/>
                        <w:sz w:val="14"/>
                        <w:szCs w:val="14"/>
                      </w:rPr>
                      <m:t>×</m:t>
                    </m:r>
                    <m:f>
                      <m:fPr>
                        <m:ctrlPr>
                          <w:rPr>
                            <w:rFonts w:ascii="Cambria Math" w:hAnsi="Cambria Math"/>
                            <w:i/>
                            <w:sz w:val="14"/>
                            <w:szCs w:val="14"/>
                          </w:rPr>
                        </m:ctrlPr>
                      </m:fPr>
                      <m:num>
                        <m:r>
                          <w:rPr>
                            <w:rFonts w:ascii="Cambria Math" w:hAnsi="Cambria Math"/>
                            <w:sz w:val="14"/>
                            <w:szCs w:val="14"/>
                          </w:rPr>
                          <m:t>CRA</m:t>
                        </m:r>
                      </m:num>
                      <m:den>
                        <m:r>
                          <w:rPr>
                            <w:rFonts w:ascii="Cambria Math" w:hAnsi="Cambria Math"/>
                            <w:sz w:val="14"/>
                            <w:szCs w:val="14"/>
                          </w:rPr>
                          <m:t>NomAmt</m:t>
                        </m:r>
                      </m:den>
                    </m:f>
                  </m:num>
                  <m:den>
                    <m:r>
                      <w:rPr>
                        <w:rFonts w:ascii="Cambria Math" w:hAnsi="Cambria Math"/>
                        <w:sz w:val="14"/>
                        <w:szCs w:val="14"/>
                      </w:rPr>
                      <m:t>ValueRefObl</m:t>
                    </m:r>
                  </m:den>
                </m:f>
              </m:oMath>
            </m:oMathPara>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B178C" w:rsidP="00547288">
            <w:pPr>
              <w:pStyle w:val="CSBody8pt"/>
            </w:pPr>
            <w:r w:rsidRPr="005B178C">
              <w:t>Suspension Period</w:t>
            </w:r>
          </w:p>
        </w:tc>
        <w:tc>
          <w:tcPr>
            <w:tcW w:w="3315" w:type="dxa"/>
            <w:gridSpan w:val="2"/>
            <w:tcBorders>
              <w:top w:val="nil"/>
              <w:left w:val="nil"/>
              <w:bottom w:val="nil"/>
            </w:tcBorders>
            <w:shd w:val="clear" w:color="auto" w:fill="auto"/>
          </w:tcPr>
          <w:p w:rsidR="0017135D" w:rsidP="00547288">
            <w:pPr>
              <w:pStyle w:val="CSBody8pt"/>
            </w:pPr>
            <w:r w:rsidRPr="005B178C">
              <w:t>If the Calculation Agent determines in its discretion that facts may exist that may (assuming the expiration of any applicable grace period) result in a Default Event or a Redemption Event, the period commencing on and including the date of such determination and ending ten Business Days thereafter shall be deemed to be a "</w:t>
            </w:r>
            <w:r w:rsidRPr="00547288">
              <w:rPr>
                <w:b/>
              </w:rPr>
              <w:t>Suspension Period</w:t>
            </w:r>
            <w:r w:rsidRPr="005B178C">
              <w:t>".</w:t>
            </w:r>
          </w:p>
        </w:tc>
        <w:tc>
          <w:tcPr>
            <w:tcW w:w="1618" w:type="dxa"/>
            <w:gridSpan w:val="2"/>
            <w:tcBorders>
              <w:top w:val="nil"/>
              <w:bottom w:val="nil"/>
              <w:right w:val="nil"/>
            </w:tcBorders>
            <w:shd w:val="clear" w:color="auto" w:fill="auto"/>
          </w:tcPr>
          <w:p w:rsidR="0017135D" w:rsidRPr="00984A6A" w:rsidP="00877C09">
            <w:pPr>
              <w:pStyle w:val="CSBody8pt"/>
            </w:pPr>
            <w:r w:rsidRPr="00984A6A">
              <w:t>Aussetzungszeitraum</w:t>
            </w:r>
          </w:p>
        </w:tc>
        <w:tc>
          <w:tcPr>
            <w:tcW w:w="3318" w:type="dxa"/>
            <w:tcBorders>
              <w:top w:val="nil"/>
              <w:left w:val="nil"/>
              <w:bottom w:val="nil"/>
              <w:right w:val="nil"/>
            </w:tcBorders>
            <w:shd w:val="clear" w:color="auto" w:fill="auto"/>
          </w:tcPr>
          <w:p w:rsidR="0017135D" w:rsidRPr="006B2AB7" w:rsidP="00877C09">
            <w:pPr>
              <w:pStyle w:val="CSBody8pt"/>
              <w:rPr>
                <w:lang w:val="de-DE"/>
              </w:rPr>
            </w:pPr>
            <w:r w:rsidRPr="006B2AB7">
              <w:rPr>
                <w:lang w:val="de-DE"/>
              </w:rPr>
              <w:t>Wenn die Berechnungsstelle nach ihrem Ermessen feststellt, dass möglicherweise Umstände vorliegen, die (unter der Annahme, dass eine gegebenenfalls anwendbare Nachfrist abgelaufen ist) zu einem Ausfallereignis oder einem Kredit-Rückzahlungsereignis führen können, der Zeitraum beginnend am Tag dieser Feststellung (einschliesslich) und endend zehn Geschäftstage danach (der "</w:t>
            </w:r>
            <w:r w:rsidRPr="00547288">
              <w:rPr>
                <w:b/>
                <w:lang w:val="de-DE"/>
              </w:rPr>
              <w:t>Aussetzungszeitraum</w:t>
            </w:r>
            <w:r w:rsidRPr="006B2AB7">
              <w:rPr>
                <w:lang w:val="de-DE"/>
              </w:rPr>
              <w:t xml:space="preserve">"). </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DF1CBD">
            <w:pPr>
              <w:pStyle w:val="CSBody8pt"/>
              <w:rPr>
                <w:lang w:val="de-DE"/>
              </w:rPr>
            </w:pPr>
          </w:p>
        </w:tc>
        <w:tc>
          <w:tcPr>
            <w:tcW w:w="3315" w:type="dxa"/>
            <w:gridSpan w:val="2"/>
            <w:tcBorders>
              <w:top w:val="nil"/>
              <w:left w:val="nil"/>
              <w:bottom w:val="nil"/>
            </w:tcBorders>
            <w:shd w:val="clear" w:color="auto" w:fill="auto"/>
          </w:tcPr>
          <w:p w:rsidR="0017135D" w:rsidRPr="00DA00E5" w:rsidP="00DF1CBD">
            <w:pPr>
              <w:pStyle w:val="CSBody8pt"/>
            </w:pPr>
            <w:r w:rsidRPr="00DA00E5">
              <w:t>The Calculation Agent will use reasonable endeavours to give notice to the Holders of any Suspension Period in accordance with Section 8, which notice will briefly describe the facts or events that may (assuming the expiration of any applicable grace period) result in a Default Event or a Redemption Event.</w:t>
            </w:r>
          </w:p>
        </w:tc>
        <w:tc>
          <w:tcPr>
            <w:tcW w:w="1618" w:type="dxa"/>
            <w:gridSpan w:val="2"/>
            <w:tcBorders>
              <w:top w:val="nil"/>
              <w:bottom w:val="nil"/>
              <w:right w:val="nil"/>
            </w:tcBorders>
            <w:shd w:val="clear" w:color="auto" w:fill="auto"/>
          </w:tcPr>
          <w:p w:rsidR="0017135D" w:rsidRPr="00984A6A" w:rsidP="00DF1CBD">
            <w:pPr>
              <w:pStyle w:val="CSBody8pt"/>
            </w:pPr>
          </w:p>
        </w:tc>
        <w:tc>
          <w:tcPr>
            <w:tcW w:w="3318" w:type="dxa"/>
            <w:tcBorders>
              <w:top w:val="nil"/>
              <w:left w:val="nil"/>
              <w:bottom w:val="nil"/>
              <w:right w:val="nil"/>
            </w:tcBorders>
            <w:shd w:val="clear" w:color="auto" w:fill="auto"/>
          </w:tcPr>
          <w:p w:rsidR="0017135D" w:rsidRPr="00DF1CBD" w:rsidP="00877C09">
            <w:pPr>
              <w:pStyle w:val="CSBody8pt"/>
              <w:rPr>
                <w:lang w:val="de-DE"/>
              </w:rPr>
            </w:pPr>
            <w:r w:rsidRPr="00DF1CBD">
              <w:rPr>
                <w:lang w:val="de-DE"/>
              </w:rPr>
              <w:t>Die Berechnungsstelle wird zumutbare Anstrengungen unternehmen, um den Inhabern einen Aussetzungszeitraum gemäss Ziffer 8 mitzuteilen; diese Mitteilung wird eine kurze Beschreibung der Umstände und Ereignisse enthalten, die (unter der Annahme, dass eine gegebenenfalls anwendbare Nachfrist abgelaufen ist) zu einem Ausfallereignis oder einem Kredit-Rückzahlungsereignis führen können.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F1CBD" w:rsidP="00DF1CBD">
            <w:pPr>
              <w:pStyle w:val="CSBody8pt"/>
              <w:rPr>
                <w:lang w:val="de-DE"/>
              </w:rPr>
            </w:pPr>
          </w:p>
        </w:tc>
        <w:tc>
          <w:tcPr>
            <w:tcW w:w="3315" w:type="dxa"/>
            <w:gridSpan w:val="2"/>
            <w:tcBorders>
              <w:top w:val="nil"/>
              <w:left w:val="nil"/>
              <w:bottom w:val="nil"/>
            </w:tcBorders>
            <w:shd w:val="clear" w:color="auto" w:fill="auto"/>
          </w:tcPr>
          <w:p w:rsidR="0017135D" w:rsidP="00DF1CBD">
            <w:pPr>
              <w:pStyle w:val="CSBody8pt"/>
            </w:pPr>
            <w:r w:rsidRPr="00DA00E5">
              <w:t>At any time during a Suspension Period, the Calculation Agent may determine in its discretion that a Default Event or a Redemption Event has occurred and, for the avoidance of doubt, such Default Event or Redemption Event may (i) be different from any Default Event or Redemption Event specified, referred to or described in the notice to the Holders relating to such Suspension Period and/or (ii) result from facts or events other than those specified, referred to or described in the notice to the Holders relating to such Suspension Period.</w:t>
            </w:r>
            <w:r w:rsidRPr="00792D61">
              <w:rPr>
                <w:b/>
              </w:rPr>
              <w:t>]</w:t>
            </w:r>
          </w:p>
        </w:tc>
        <w:tc>
          <w:tcPr>
            <w:tcW w:w="1618" w:type="dxa"/>
            <w:gridSpan w:val="2"/>
            <w:tcBorders>
              <w:top w:val="nil"/>
              <w:bottom w:val="nil"/>
              <w:right w:val="nil"/>
            </w:tcBorders>
            <w:shd w:val="clear" w:color="auto" w:fill="auto"/>
          </w:tcPr>
          <w:p w:rsidR="0017135D" w:rsidRPr="00984A6A" w:rsidP="00DF1CBD">
            <w:pPr>
              <w:pStyle w:val="CSBody8pt"/>
            </w:pPr>
          </w:p>
        </w:tc>
        <w:tc>
          <w:tcPr>
            <w:tcW w:w="3318" w:type="dxa"/>
            <w:tcBorders>
              <w:top w:val="nil"/>
              <w:left w:val="nil"/>
              <w:bottom w:val="nil"/>
              <w:right w:val="nil"/>
            </w:tcBorders>
            <w:shd w:val="clear" w:color="auto" w:fill="auto"/>
          </w:tcPr>
          <w:p w:rsidR="0017135D" w:rsidRPr="00DF1CBD" w:rsidP="00DF1CBD">
            <w:pPr>
              <w:pStyle w:val="CSBody8pt"/>
              <w:rPr>
                <w:lang w:val="de-DE"/>
              </w:rPr>
            </w:pPr>
            <w:r w:rsidRPr="00DF1CBD">
              <w:rPr>
                <w:lang w:val="de-DE"/>
              </w:rPr>
              <w:t>Die Berechnungsstelle kann zu einem beliebigen Zeitpunkt während des Aussetzungszeitraums nach ihrem Ermessen die Feststellung treffen, dass ein Ausfallereignis oder ein Kredit-Rückzahlungsereignis eingetreten ist, wobei zur Klarstellung festgehalten wird, dass dieses Ausfallereignis bzw. Kredit-Rückzahlungsereignis (i) sich von einem Ausfallereignis bzw. Kredit-Rückzahlungsereignis unterscheiden kann, das in der Mitteilung an die Inhaber über diesen Aussetzungszeitraum angegeben, in Bezug genommen oder beschrieben ist und/oder (ii) sich aus anderen als den in der Mitteilung an die Inhaber über diesen Aussetzungszeitraum angegebenen, in Bezug genommenen oder beschriebenen Umständen oder Ereignissen ergeben kann.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52EB4" w:rsidP="00547288">
            <w:pPr>
              <w:pStyle w:val="CSbody0bold"/>
            </w:pPr>
            <w:r w:rsidRPr="00952EB4">
              <w:t>D.</w:t>
            </w:r>
          </w:p>
        </w:tc>
        <w:tc>
          <w:tcPr>
            <w:tcW w:w="3315" w:type="dxa"/>
            <w:gridSpan w:val="2"/>
            <w:tcBorders>
              <w:top w:val="nil"/>
              <w:left w:val="nil"/>
              <w:bottom w:val="nil"/>
            </w:tcBorders>
            <w:shd w:val="clear" w:color="auto" w:fill="auto"/>
          </w:tcPr>
          <w:p w:rsidR="0017135D" w:rsidRPr="00952EB4" w:rsidP="00547288">
            <w:pPr>
              <w:pStyle w:val="CSbody0bold"/>
            </w:pPr>
            <w:r w:rsidRPr="00952EB4">
              <w:t>Additional Issue Specific Definitions</w:t>
            </w:r>
          </w:p>
        </w:tc>
        <w:tc>
          <w:tcPr>
            <w:tcW w:w="1618" w:type="dxa"/>
            <w:gridSpan w:val="2"/>
            <w:tcBorders>
              <w:top w:val="nil"/>
              <w:bottom w:val="nil"/>
              <w:right w:val="nil"/>
            </w:tcBorders>
            <w:shd w:val="clear" w:color="auto" w:fill="auto"/>
          </w:tcPr>
          <w:p w:rsidR="0017135D" w:rsidRPr="00952EB4" w:rsidP="00547288">
            <w:pPr>
              <w:pStyle w:val="CSbody0bold"/>
            </w:pPr>
            <w:r w:rsidRPr="00952EB4">
              <w:t>D.</w:t>
            </w:r>
          </w:p>
        </w:tc>
        <w:tc>
          <w:tcPr>
            <w:tcW w:w="3318" w:type="dxa"/>
            <w:tcBorders>
              <w:top w:val="nil"/>
              <w:left w:val="nil"/>
              <w:bottom w:val="nil"/>
              <w:right w:val="nil"/>
            </w:tcBorders>
            <w:shd w:val="clear" w:color="auto" w:fill="auto"/>
          </w:tcPr>
          <w:p w:rsidR="0017135D" w:rsidP="001124FE">
            <w:pPr>
              <w:pStyle w:val="CSbody0bold"/>
            </w:pPr>
            <w:r w:rsidRPr="00952EB4">
              <w:t>Weitere Emissionsspezifische Definitionen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E4860" w:rsidP="00547288">
            <w:pPr>
              <w:pStyle w:val="CSBody8pt"/>
            </w:pPr>
            <w:r w:rsidRPr="001E4860">
              <w:t>Business Day</w:t>
            </w:r>
            <w:r>
              <w:fldChar w:fldCharType="begin"/>
            </w:r>
            <w:r w:rsidRPr="001E4860">
              <w:instrText xml:space="preserve"> XE "Business Day" \f "EN" </w:instrText>
            </w:r>
            <w:r>
              <w:fldChar w:fldCharType="end"/>
            </w:r>
          </w:p>
        </w:tc>
        <w:tc>
          <w:tcPr>
            <w:tcW w:w="3315" w:type="dxa"/>
            <w:gridSpan w:val="2"/>
            <w:tcBorders>
              <w:top w:val="nil"/>
              <w:left w:val="nil"/>
              <w:bottom w:val="nil"/>
            </w:tcBorders>
            <w:shd w:val="clear" w:color="auto" w:fill="auto"/>
          </w:tcPr>
          <w:p w:rsidR="0017135D" w:rsidRPr="001E4860" w:rsidP="004C1EBA">
            <w:pPr>
              <w:pStyle w:val="CSBody8pt"/>
            </w:pPr>
            <w:r w:rsidRPr="001E4860">
              <w:rPr>
                <w:b/>
              </w:rPr>
              <w:t>[</w:t>
            </w:r>
            <w:r w:rsidRPr="001E4860">
              <w:rPr>
                <w:b/>
                <w:i/>
              </w:rPr>
              <w:t>in the case of Complex Products that are not Credit-Linked Complex Products, insert:</w:t>
            </w:r>
            <w:r w:rsidRPr="001E4860">
              <w:t xml:space="preserve"> </w:t>
            </w:r>
          </w:p>
        </w:tc>
        <w:tc>
          <w:tcPr>
            <w:tcW w:w="1618" w:type="dxa"/>
            <w:gridSpan w:val="2"/>
            <w:tcBorders>
              <w:top w:val="nil"/>
              <w:bottom w:val="nil"/>
              <w:right w:val="nil"/>
            </w:tcBorders>
            <w:shd w:val="clear" w:color="auto" w:fill="auto"/>
          </w:tcPr>
          <w:p w:rsidR="0017135D" w:rsidRPr="001E4860" w:rsidP="00547288">
            <w:pPr>
              <w:pStyle w:val="CSBody8pt"/>
            </w:pPr>
            <w:r w:rsidRPr="001E4860">
              <w:t>Geschäftstag</w:t>
            </w:r>
            <w:r>
              <w:fldChar w:fldCharType="begin"/>
            </w:r>
            <w:r w:rsidRPr="001E4860">
              <w:instrText xml:space="preserve"> XE "Geschäftstag" </w:instrText>
            </w:r>
            <w:r>
              <w:fldChar w:fldCharType="end"/>
            </w:r>
          </w:p>
        </w:tc>
        <w:tc>
          <w:tcPr>
            <w:tcW w:w="3318" w:type="dxa"/>
            <w:tcBorders>
              <w:top w:val="nil"/>
              <w:left w:val="nil"/>
              <w:bottom w:val="nil"/>
              <w:right w:val="nil"/>
            </w:tcBorders>
            <w:shd w:val="clear" w:color="auto" w:fill="auto"/>
          </w:tcPr>
          <w:p w:rsidR="0017135D" w:rsidRPr="006B2AB7" w:rsidP="00547288">
            <w:pPr>
              <w:pStyle w:val="CSBody8pt"/>
              <w:rPr>
                <w:bCs/>
                <w:lang w:val="de-DE"/>
              </w:rPr>
            </w:pPr>
            <w:r w:rsidRPr="001E4860">
              <w:rPr>
                <w:b/>
                <w:bCs/>
                <w:lang w:val="de-DE"/>
              </w:rPr>
              <w:t>[</w:t>
            </w:r>
            <w:r w:rsidRPr="001E4860">
              <w:rPr>
                <w:b/>
                <w:bCs/>
                <w:i/>
                <w:lang w:val="de-DE"/>
              </w:rPr>
              <w:t>bei Komplexen Produkten, die keine Kreditbezogenen Komplexen Produkte sind,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B2AB7" w:rsidP="00547288">
            <w:pPr>
              <w:pStyle w:val="CSBody8pt"/>
              <w:rPr>
                <w:lang w:val="de-DE"/>
              </w:rPr>
            </w:pPr>
          </w:p>
        </w:tc>
        <w:tc>
          <w:tcPr>
            <w:tcW w:w="3315" w:type="dxa"/>
            <w:gridSpan w:val="2"/>
            <w:tcBorders>
              <w:top w:val="nil"/>
              <w:left w:val="nil"/>
              <w:bottom w:val="nil"/>
            </w:tcBorders>
            <w:shd w:val="clear" w:color="auto" w:fill="auto"/>
          </w:tcPr>
          <w:p w:rsidR="0017135D" w:rsidRPr="004A4869" w:rsidP="00547288">
            <w:pPr>
              <w:pStyle w:val="CSBody8pt"/>
            </w:pPr>
            <w:r w:rsidRPr="00792D61">
              <w:rPr>
                <w:b/>
              </w:rPr>
              <w:t>[</w:t>
            </w:r>
            <w:r w:rsidRPr="004A4869">
              <w:t xml:space="preserve">a day </w:t>
            </w:r>
            <w:r w:rsidRPr="00792D61">
              <w:rPr>
                <w:b/>
              </w:rPr>
              <w:t>[</w:t>
            </w:r>
            <w:r w:rsidRPr="004A4869">
              <w:t>(i)</w:t>
            </w:r>
            <w:r w:rsidRPr="00792D61">
              <w:rPr>
                <w:b/>
              </w:rPr>
              <w:t>][</w:t>
            </w:r>
            <w:r w:rsidRPr="004A4869">
              <w:t xml:space="preserve">on which commercial banks and foreign exchange markets are generally open to settle payments in </w:t>
            </w:r>
            <w:r w:rsidRPr="00792D61">
              <w:rPr>
                <w:b/>
              </w:rPr>
              <w:t>[</w:t>
            </w:r>
            <w:r w:rsidRPr="004A4869">
              <w:t>London</w:t>
            </w:r>
            <w:r w:rsidRPr="00792D61">
              <w:rPr>
                <w:b/>
              </w:rPr>
              <w:t>][</w:t>
            </w:r>
            <w:r w:rsidRPr="004A4869">
              <w:t>,</w:t>
            </w:r>
            <w:r w:rsidRPr="00792D61">
              <w:rPr>
                <w:b/>
              </w:rPr>
              <w:t>][</w:t>
            </w:r>
            <w:r w:rsidRPr="004A4869">
              <w:t>and</w:t>
            </w:r>
            <w:r w:rsidRPr="00792D61">
              <w:rPr>
                <w:b/>
              </w:rPr>
              <w:t>][</w:t>
            </w:r>
            <w:r w:rsidRPr="004A4869">
              <w:t>New York</w:t>
            </w:r>
            <w:r w:rsidRPr="00792D61">
              <w:rPr>
                <w:b/>
              </w:rPr>
              <w:t>][</w:t>
            </w:r>
            <w:r w:rsidRPr="004A4869">
              <w:t>,</w:t>
            </w:r>
            <w:r w:rsidRPr="00792D61">
              <w:rPr>
                <w:b/>
              </w:rPr>
              <w:t>]</w:t>
            </w:r>
            <w:r w:rsidRPr="004A4869">
              <w:t xml:space="preserve"> </w:t>
            </w:r>
            <w:r w:rsidRPr="00792D61">
              <w:rPr>
                <w:b/>
              </w:rPr>
              <w:t>[</w:t>
            </w:r>
            <w:r w:rsidRPr="004A4869">
              <w:t>and</w:t>
            </w:r>
            <w:r w:rsidRPr="00792D61">
              <w:rPr>
                <w:b/>
              </w:rPr>
              <w:t>][</w:t>
            </w:r>
            <w:r w:rsidRPr="004A4869">
              <w:t>Tokyo</w:t>
            </w:r>
            <w:r w:rsidRPr="00792D61">
              <w:rPr>
                <w:b/>
              </w:rPr>
              <w:t>][</w:t>
            </w:r>
            <w:r w:rsidRPr="004A4869">
              <w:t>,</w:t>
            </w:r>
            <w:r w:rsidRPr="00792D61">
              <w:rPr>
                <w:b/>
              </w:rPr>
              <w:t>][</w:t>
            </w:r>
            <w:r w:rsidRPr="004A4869">
              <w:t>and</w:t>
            </w:r>
            <w:r w:rsidRPr="00792D61">
              <w:rPr>
                <w:b/>
              </w:rPr>
              <w:t>][</w:t>
            </w:r>
            <w:r w:rsidRPr="004A4869">
              <w:t>Zurich</w:t>
            </w:r>
            <w:r w:rsidRPr="00792D61">
              <w:rPr>
                <w:b/>
              </w:rPr>
              <w:t>][</w:t>
            </w:r>
            <w:r w:rsidRPr="004A4869">
              <w:t>,</w:t>
            </w:r>
            <w:r w:rsidRPr="00792D61">
              <w:rPr>
                <w:b/>
              </w:rPr>
              <w:t>][</w:t>
            </w:r>
            <w:r w:rsidRPr="004A4869">
              <w:t>and</w:t>
            </w:r>
            <w:r w:rsidRPr="00792D61">
              <w:rPr>
                <w:b/>
              </w:rPr>
              <w:t>][</w:t>
            </w:r>
            <w:r w:rsidRPr="004A4869">
              <w:t>Toronto</w:t>
            </w:r>
            <w:r w:rsidRPr="00792D61">
              <w:rPr>
                <w:b/>
              </w:rPr>
              <w:t>]</w:t>
            </w:r>
            <w:r w:rsidRPr="004A4869">
              <w:t xml:space="preserve"> </w:t>
            </w:r>
            <w:r w:rsidRPr="00792D61">
              <w:rPr>
                <w:b/>
              </w:rPr>
              <w:t>[</w:t>
            </w:r>
            <w:r w:rsidRPr="004A4869">
              <w:t>,</w:t>
            </w:r>
            <w:r w:rsidRPr="00792D61">
              <w:rPr>
                <w:b/>
              </w:rPr>
              <w:t>]</w:t>
            </w:r>
            <w:r w:rsidRPr="004A4869">
              <w:t xml:space="preserve"> </w:t>
            </w:r>
            <w:r w:rsidRPr="00792D61">
              <w:rPr>
                <w:b/>
              </w:rPr>
              <w:t>[</w:t>
            </w:r>
            <w:r w:rsidRPr="004A4869">
              <w:t>and</w:t>
            </w:r>
            <w:r w:rsidRPr="00792D61">
              <w:rPr>
                <w:b/>
              </w:rPr>
              <w:t>][</w:t>
            </w:r>
            <w:r w:rsidRPr="004A4869">
              <w:t>Sydney</w:t>
            </w:r>
            <w:r w:rsidRPr="00792D61">
              <w:rPr>
                <w:b/>
              </w:rPr>
              <w:t>][</w:t>
            </w:r>
            <w:r w:rsidRPr="004A4869">
              <w:t>,</w:t>
            </w:r>
            <w:r w:rsidRPr="00792D61">
              <w:rPr>
                <w:b/>
              </w:rPr>
              <w:t>][</w:t>
            </w:r>
            <w:r w:rsidRPr="004A4869">
              <w:t>and</w:t>
            </w:r>
            <w:r w:rsidRPr="00792D61">
              <w:rPr>
                <w:b/>
              </w:rPr>
              <w:t>][</w:t>
            </w:r>
            <w:r w:rsidRPr="004A4869">
              <w:t>Auckland</w:t>
            </w:r>
            <w:r w:rsidRPr="00792D61">
              <w:rPr>
                <w:b/>
              </w:rPr>
              <w:t>][</w:t>
            </w:r>
            <w:r w:rsidRPr="004A4869">
              <w:t>,</w:t>
            </w:r>
            <w:r w:rsidRPr="00792D61">
              <w:rPr>
                <w:b/>
              </w:rPr>
              <w:t>][</w:t>
            </w:r>
            <w:r w:rsidRPr="004A4869">
              <w:t>and</w:t>
            </w:r>
            <w:r w:rsidRPr="00792D61">
              <w:rPr>
                <w:b/>
              </w:rPr>
              <w:t>][</w:t>
            </w:r>
            <w:r w:rsidRPr="004A4869">
              <w:t>Singapore</w:t>
            </w:r>
            <w:r w:rsidRPr="00792D61">
              <w:rPr>
                <w:b/>
              </w:rPr>
              <w:t>][</w:t>
            </w:r>
            <w:r w:rsidRPr="004A4869">
              <w:t>,</w:t>
            </w:r>
            <w:r w:rsidRPr="00792D61">
              <w:rPr>
                <w:b/>
              </w:rPr>
              <w:t>][</w:t>
            </w:r>
            <w:r w:rsidRPr="004A4869">
              <w:t>and</w:t>
            </w:r>
            <w:r w:rsidRPr="00792D61">
              <w:rPr>
                <w:b/>
              </w:rPr>
              <w:t>][</w:t>
            </w:r>
            <w:r w:rsidRPr="004A4869">
              <w:t>Hong Kong</w:t>
            </w:r>
            <w:r w:rsidRPr="00792D61">
              <w:rPr>
                <w:b/>
              </w:rPr>
              <w:t>][</w:t>
            </w:r>
            <w:r w:rsidRPr="004A4869">
              <w:t>and (ii) that is a TARGET Business Day</w:t>
            </w:r>
            <w:r w:rsidRPr="00792D61">
              <w:rPr>
                <w:b/>
              </w:rPr>
              <w:t>]</w:t>
            </w:r>
            <w:r w:rsidRPr="004A4869">
              <w:t>.</w:t>
            </w:r>
            <w:r w:rsidRPr="00792D61">
              <w:rPr>
                <w:b/>
              </w:rPr>
              <w:t>]</w:t>
            </w:r>
          </w:p>
        </w:tc>
        <w:tc>
          <w:tcPr>
            <w:tcW w:w="1618" w:type="dxa"/>
            <w:gridSpan w:val="2"/>
            <w:tcBorders>
              <w:top w:val="nil"/>
              <w:bottom w:val="nil"/>
              <w:right w:val="nil"/>
            </w:tcBorders>
            <w:shd w:val="clear" w:color="auto" w:fill="auto"/>
          </w:tcPr>
          <w:p w:rsidR="0017135D" w:rsidRPr="006B2AB7" w:rsidP="00547288">
            <w:pPr>
              <w:pStyle w:val="CSBody8pt"/>
              <w:rPr>
                <w:i/>
              </w:rPr>
            </w:pPr>
          </w:p>
        </w:tc>
        <w:tc>
          <w:tcPr>
            <w:tcW w:w="3318" w:type="dxa"/>
            <w:tcBorders>
              <w:top w:val="nil"/>
              <w:left w:val="nil"/>
              <w:bottom w:val="nil"/>
              <w:right w:val="nil"/>
            </w:tcBorders>
            <w:shd w:val="clear" w:color="auto" w:fill="auto"/>
          </w:tcPr>
          <w:p w:rsidR="0017135D" w:rsidRPr="006B2AB7" w:rsidP="00547288">
            <w:pPr>
              <w:pStyle w:val="CSBody8pt"/>
              <w:rPr>
                <w:lang w:val="de-DE"/>
              </w:rPr>
            </w:pPr>
            <w:r w:rsidRPr="00792D61">
              <w:rPr>
                <w:b/>
                <w:lang w:val="de-DE"/>
              </w:rPr>
              <w:t>[</w:t>
            </w:r>
            <w:r w:rsidRPr="006B2AB7">
              <w:rPr>
                <w:lang w:val="de-DE"/>
              </w:rPr>
              <w:t xml:space="preserve">ein Tag </w:t>
            </w:r>
            <w:r w:rsidRPr="00792D61">
              <w:rPr>
                <w:b/>
                <w:lang w:val="de-DE"/>
              </w:rPr>
              <w:t>[</w:t>
            </w:r>
            <w:r w:rsidRPr="006B2AB7">
              <w:rPr>
                <w:lang w:val="de-DE"/>
              </w:rPr>
              <w:t>(i)</w:t>
            </w:r>
            <w:r w:rsidRPr="00792D61">
              <w:rPr>
                <w:b/>
                <w:lang w:val="de-DE"/>
              </w:rPr>
              <w:t>]</w:t>
            </w:r>
            <w:r w:rsidRPr="006B2AB7">
              <w:rPr>
                <w:lang w:val="de-DE"/>
              </w:rPr>
              <w:t xml:space="preserve"> </w:t>
            </w:r>
            <w:r w:rsidRPr="00792D61">
              <w:rPr>
                <w:b/>
                <w:lang w:val="de-DE"/>
              </w:rPr>
              <w:t>[</w:t>
            </w:r>
            <w:r w:rsidRPr="006B2AB7">
              <w:rPr>
                <w:lang w:val="de-DE"/>
              </w:rPr>
              <w:t xml:space="preserve">an dem Geschäftsbanken und Devisenmärkte in </w:t>
            </w:r>
            <w:r w:rsidRPr="00792D61">
              <w:rPr>
                <w:b/>
                <w:lang w:val="de-DE"/>
              </w:rPr>
              <w:t>[</w:t>
            </w:r>
            <w:r w:rsidRPr="006B2AB7">
              <w:rPr>
                <w:lang w:val="de-DE"/>
              </w:rPr>
              <w:t>London</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New York</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Tokio</w:t>
            </w:r>
            <w:r w:rsidRPr="00792D61">
              <w:rPr>
                <w:b/>
                <w:lang w:val="de-DE"/>
              </w:rPr>
              <w:t>][</w:t>
            </w:r>
            <w:r w:rsidRPr="006B2AB7">
              <w:rPr>
                <w:lang w:val="de-DE"/>
              </w:rPr>
              <w:t>,</w:t>
            </w:r>
            <w:r w:rsidRPr="00792D61">
              <w:rPr>
                <w:b/>
                <w:lang w:val="de-DE"/>
              </w:rPr>
              <w:t>]</w:t>
            </w:r>
            <w:r w:rsidRPr="006B2AB7">
              <w:rPr>
                <w:lang w:val="de-DE"/>
              </w:rPr>
              <w:t xml:space="preserve"> </w:t>
            </w:r>
            <w:r w:rsidRPr="00792D61">
              <w:rPr>
                <w:b/>
                <w:lang w:val="de-DE"/>
              </w:rPr>
              <w:t>[</w:t>
            </w:r>
            <w:r w:rsidRPr="006B2AB7">
              <w:rPr>
                <w:lang w:val="de-DE"/>
              </w:rPr>
              <w:t>und</w:t>
            </w:r>
            <w:r w:rsidRPr="00792D61">
              <w:rPr>
                <w:b/>
                <w:lang w:val="de-DE"/>
              </w:rPr>
              <w:t>][</w:t>
            </w:r>
            <w:r w:rsidRPr="006B2AB7">
              <w:rPr>
                <w:lang w:val="de-DE"/>
              </w:rPr>
              <w:t>Zürich</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 xml:space="preserve"> </w:t>
            </w:r>
            <w:r w:rsidRPr="00792D61">
              <w:rPr>
                <w:b/>
                <w:lang w:val="de-DE"/>
              </w:rPr>
              <w:t>[</w:t>
            </w:r>
            <w:r w:rsidRPr="006B2AB7">
              <w:rPr>
                <w:lang w:val="de-DE"/>
              </w:rPr>
              <w:t>Toronto</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 xml:space="preserve"> </w:t>
            </w:r>
            <w:r w:rsidRPr="00792D61">
              <w:rPr>
                <w:b/>
                <w:lang w:val="de-DE"/>
              </w:rPr>
              <w:t>[</w:t>
            </w:r>
            <w:r w:rsidRPr="006B2AB7">
              <w:rPr>
                <w:lang w:val="de-DE"/>
              </w:rPr>
              <w:t>Sydney</w:t>
            </w:r>
            <w:r w:rsidRPr="00792D61">
              <w:rPr>
                <w:b/>
                <w:lang w:val="de-DE"/>
              </w:rPr>
              <w:t>]</w:t>
            </w:r>
            <w:r w:rsidRPr="006B2AB7">
              <w:rPr>
                <w:lang w:val="de-DE"/>
              </w:rPr>
              <w:t xml:space="preserve"> </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Auckland</w:t>
            </w:r>
            <w:r w:rsidRPr="00792D61">
              <w:rPr>
                <w:b/>
                <w:lang w:val="de-DE"/>
              </w:rPr>
              <w:t>][</w:t>
            </w:r>
            <w:r w:rsidRPr="006B2AB7">
              <w:rPr>
                <w:lang w:val="de-DE"/>
              </w:rPr>
              <w:t>,</w:t>
            </w:r>
            <w:r w:rsidRPr="00792D61">
              <w:rPr>
                <w:b/>
                <w:lang w:val="de-DE"/>
              </w:rPr>
              <w:t>]</w:t>
            </w:r>
            <w:r w:rsidRPr="006B2AB7">
              <w:rPr>
                <w:lang w:val="de-DE"/>
              </w:rPr>
              <w:t xml:space="preserve"> </w:t>
            </w:r>
            <w:r w:rsidRPr="00792D61">
              <w:rPr>
                <w:b/>
                <w:lang w:val="de-DE"/>
              </w:rPr>
              <w:t>[</w:t>
            </w:r>
            <w:r w:rsidRPr="006B2AB7">
              <w:rPr>
                <w:lang w:val="de-DE"/>
              </w:rPr>
              <w:t>und</w:t>
            </w:r>
            <w:r w:rsidRPr="00792D61">
              <w:rPr>
                <w:b/>
                <w:lang w:val="de-DE"/>
              </w:rPr>
              <w:t>][</w:t>
            </w:r>
            <w:r w:rsidRPr="006B2AB7">
              <w:rPr>
                <w:lang w:val="de-DE"/>
              </w:rPr>
              <w:t>Singapur</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 xml:space="preserve"> </w:t>
            </w:r>
            <w:r w:rsidRPr="00792D61">
              <w:rPr>
                <w:b/>
                <w:lang w:val="de-DE"/>
              </w:rPr>
              <w:t>[</w:t>
            </w:r>
            <w:r w:rsidRPr="006B2AB7">
              <w:rPr>
                <w:lang w:val="de-DE"/>
              </w:rPr>
              <w:t>Hongkong</w:t>
            </w:r>
            <w:r w:rsidRPr="00792D61">
              <w:rPr>
                <w:b/>
                <w:lang w:val="de-DE"/>
              </w:rPr>
              <w:t>]</w:t>
            </w:r>
            <w:r w:rsidRPr="006B2AB7">
              <w:rPr>
                <w:lang w:val="de-DE"/>
              </w:rPr>
              <w:t xml:space="preserve"> allgemein geöffnet sind, um Zahlungen abzuwickeln</w:t>
            </w:r>
            <w:r w:rsidRPr="00792D61">
              <w:rPr>
                <w:b/>
                <w:lang w:val="de-DE"/>
              </w:rPr>
              <w:t>[</w:t>
            </w:r>
            <w:r w:rsidRPr="006B2AB7">
              <w:rPr>
                <w:lang w:val="de-DE"/>
              </w:rPr>
              <w:t>,</w:t>
            </w:r>
            <w:r w:rsidRPr="00792D61">
              <w:rPr>
                <w:b/>
                <w:lang w:val="de-DE"/>
              </w:rPr>
              <w:t>]][</w:t>
            </w:r>
            <w:r w:rsidRPr="006B2AB7">
              <w:rPr>
                <w:lang w:val="de-DE"/>
              </w:rPr>
              <w:t xml:space="preserve"> und (ii) bei dem es sich um einen TARGET-Geschäftstag handelt</w:t>
            </w:r>
            <w:r w:rsidRPr="00792D61">
              <w:rPr>
                <w:b/>
                <w:lang w:val="de-DE"/>
              </w:rPr>
              <w:t>]</w:t>
            </w:r>
            <w:r w:rsidRPr="006B2AB7">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B2AB7" w:rsidP="00911067">
            <w:pPr>
              <w:pStyle w:val="CSBody8pt"/>
              <w:rPr>
                <w:lang w:val="de-DE"/>
              </w:rPr>
            </w:pPr>
          </w:p>
        </w:tc>
        <w:tc>
          <w:tcPr>
            <w:tcW w:w="3315" w:type="dxa"/>
            <w:gridSpan w:val="2"/>
            <w:tcBorders>
              <w:top w:val="nil"/>
              <w:left w:val="nil"/>
              <w:bottom w:val="nil"/>
            </w:tcBorders>
            <w:shd w:val="clear" w:color="auto" w:fill="auto"/>
          </w:tcPr>
          <w:p w:rsidR="0017135D" w:rsidRPr="004A4869" w:rsidP="00911067">
            <w:pPr>
              <w:pStyle w:val="CSBody8pt"/>
            </w:pPr>
            <w:r w:rsidRPr="00792D61">
              <w:rPr>
                <w:b/>
              </w:rPr>
              <w:t>[[</w:t>
            </w:r>
            <w:r w:rsidRPr="004A4869">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6B2AB7" w:rsidP="00911067">
            <w:pPr>
              <w:pStyle w:val="CSBody8pt"/>
              <w:rPr>
                <w:i/>
                <w:lang w:val="de-DE"/>
              </w:rPr>
            </w:pPr>
          </w:p>
        </w:tc>
        <w:tc>
          <w:tcPr>
            <w:tcW w:w="3318" w:type="dxa"/>
            <w:tcBorders>
              <w:top w:val="nil"/>
              <w:left w:val="nil"/>
              <w:bottom w:val="nil"/>
              <w:right w:val="nil"/>
            </w:tcBorders>
            <w:shd w:val="clear" w:color="auto" w:fill="auto"/>
          </w:tcPr>
          <w:p w:rsidR="0017135D" w:rsidRPr="005D2DDE" w:rsidP="00911067">
            <w:pPr>
              <w:pStyle w:val="CSBody8pt"/>
            </w:pPr>
            <w:r w:rsidRPr="00792D61">
              <w:rPr>
                <w:b/>
              </w:rPr>
              <w:t>[[</w:t>
            </w:r>
            <w:r w:rsidRPr="005D2DDE">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B2AB7" w:rsidP="00547288">
            <w:pPr>
              <w:pStyle w:val="CSBody8ptbolditalics"/>
              <w:rPr>
                <w:lang w:val="de-DE"/>
              </w:rPr>
            </w:pPr>
          </w:p>
        </w:tc>
        <w:tc>
          <w:tcPr>
            <w:tcW w:w="3315" w:type="dxa"/>
            <w:gridSpan w:val="2"/>
            <w:tcBorders>
              <w:top w:val="nil"/>
              <w:left w:val="nil"/>
              <w:bottom w:val="nil"/>
            </w:tcBorders>
            <w:shd w:val="clear" w:color="auto" w:fill="auto"/>
          </w:tcPr>
          <w:p w:rsidR="0017135D" w:rsidRPr="004A4869" w:rsidP="004C1EBA">
            <w:pPr>
              <w:pStyle w:val="CSBody8ptbolditalics"/>
            </w:pPr>
            <w:r w:rsidRPr="00792D61">
              <w:t>[</w:t>
            </w:r>
            <w:r w:rsidRPr="004A4869">
              <w:t xml:space="preserve">in the case of Credit-Linked Complex Products, insert </w:t>
            </w:r>
            <w:r>
              <w:t>the relevant business day(s) for the relevant Transaction Type</w:t>
            </w:r>
            <w:r w:rsidRPr="004A4869">
              <w:t xml:space="preserve"> in accordance with the Settlement Matrix):</w:t>
            </w:r>
          </w:p>
        </w:tc>
        <w:tc>
          <w:tcPr>
            <w:tcW w:w="1618" w:type="dxa"/>
            <w:gridSpan w:val="2"/>
            <w:tcBorders>
              <w:top w:val="nil"/>
              <w:bottom w:val="nil"/>
              <w:right w:val="nil"/>
            </w:tcBorders>
            <w:shd w:val="clear" w:color="auto" w:fill="auto"/>
          </w:tcPr>
          <w:p w:rsidR="0017135D" w:rsidRPr="006B2AB7" w:rsidP="00547288">
            <w:pPr>
              <w:pStyle w:val="CSBody8ptbolditalics"/>
            </w:pPr>
          </w:p>
        </w:tc>
        <w:tc>
          <w:tcPr>
            <w:tcW w:w="3318" w:type="dxa"/>
            <w:tcBorders>
              <w:top w:val="nil"/>
              <w:left w:val="nil"/>
              <w:bottom w:val="nil"/>
              <w:right w:val="nil"/>
            </w:tcBorders>
            <w:shd w:val="clear" w:color="auto" w:fill="auto"/>
          </w:tcPr>
          <w:p w:rsidR="0017135D" w:rsidRPr="006B2AB7" w:rsidP="004C1EBA">
            <w:pPr>
              <w:pStyle w:val="CSBody8ptbolditalics"/>
              <w:rPr>
                <w:lang w:val="de-DE"/>
              </w:rPr>
            </w:pPr>
            <w:r w:rsidRPr="00792D61">
              <w:rPr>
                <w:lang w:val="de-DE"/>
              </w:rPr>
              <w:t>[</w:t>
            </w:r>
            <w:r w:rsidRPr="006B2AB7">
              <w:rPr>
                <w:lang w:val="de-DE"/>
              </w:rPr>
              <w:t xml:space="preserve">bei Kreditbezogenen Komplexen Produkten </w:t>
            </w:r>
            <w:r>
              <w:rPr>
                <w:lang w:val="de-DE"/>
              </w:rPr>
              <w:t xml:space="preserve">den relevanten Geschäftstag / die relevanten Geschäftstage für den jeweiligen Transatkionstyp </w:t>
            </w:r>
            <w:r w:rsidRPr="006B2AB7">
              <w:rPr>
                <w:lang w:val="de-DE"/>
              </w:rPr>
              <w:t>in Übereinstimmung mit der Abwicklungsmatrix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B2AB7" w:rsidP="00547288">
            <w:pPr>
              <w:pStyle w:val="CSBody8pt"/>
              <w:rPr>
                <w:lang w:val="de-DE"/>
              </w:rPr>
            </w:pPr>
          </w:p>
        </w:tc>
        <w:tc>
          <w:tcPr>
            <w:tcW w:w="3315" w:type="dxa"/>
            <w:gridSpan w:val="2"/>
            <w:tcBorders>
              <w:top w:val="nil"/>
              <w:left w:val="nil"/>
              <w:bottom w:val="nil"/>
            </w:tcBorders>
            <w:shd w:val="clear" w:color="auto" w:fill="auto"/>
          </w:tcPr>
          <w:p w:rsidR="0017135D" w:rsidP="004C1EBA">
            <w:pPr>
              <w:pStyle w:val="CSBody8pt"/>
            </w:pPr>
            <w:r w:rsidRPr="00792D61">
              <w:rPr>
                <w:b/>
              </w:rPr>
              <w:t>[</w:t>
            </w:r>
            <w:r w:rsidRPr="004A4869">
              <w:t xml:space="preserve">a day </w:t>
            </w:r>
            <w:r w:rsidRPr="00792D61">
              <w:rPr>
                <w:b/>
              </w:rPr>
              <w:t>[</w:t>
            </w:r>
            <w:r w:rsidRPr="004A4869">
              <w:t>(i)</w:t>
            </w:r>
            <w:r w:rsidRPr="00792D61">
              <w:rPr>
                <w:b/>
              </w:rPr>
              <w:t>][</w:t>
            </w:r>
            <w:r w:rsidRPr="004A4869">
              <w:t xml:space="preserve">on which commercial banks and foreign exchange markets are generally open to settle payments in </w:t>
            </w:r>
            <w:r>
              <w:rPr>
                <w:b/>
              </w:rPr>
              <w:t>[</w:t>
            </w:r>
            <w:r w:rsidRPr="004A4869">
              <w:t>(x)</w:t>
            </w:r>
            <w:r>
              <w:rPr>
                <w:b/>
              </w:rPr>
              <w:t>]</w:t>
            </w:r>
            <w:r w:rsidRPr="004A4869">
              <w:t xml:space="preserve"> </w:t>
            </w:r>
            <w:r w:rsidRPr="00792D61">
              <w:rPr>
                <w:b/>
              </w:rPr>
              <w:t>[</w:t>
            </w:r>
            <w:r w:rsidRPr="004A4869">
              <w:t>London</w:t>
            </w:r>
            <w:r w:rsidRPr="00792D61">
              <w:rPr>
                <w:b/>
              </w:rPr>
              <w:t>][</w:t>
            </w:r>
            <w:r w:rsidRPr="004A4869">
              <w:t>,</w:t>
            </w:r>
            <w:r w:rsidRPr="00792D61">
              <w:rPr>
                <w:b/>
              </w:rPr>
              <w:t>][</w:t>
            </w:r>
            <w:r w:rsidRPr="004A4869">
              <w:t>and</w:t>
            </w:r>
            <w:r w:rsidRPr="00792D61">
              <w:rPr>
                <w:b/>
              </w:rPr>
              <w:t>][</w:t>
            </w:r>
            <w:r w:rsidRPr="004A4869">
              <w:t>New York</w:t>
            </w:r>
            <w:r w:rsidRPr="00792D61">
              <w:rPr>
                <w:b/>
              </w:rPr>
              <w:t>][</w:t>
            </w:r>
            <w:r w:rsidRPr="004A4869">
              <w:t>,</w:t>
            </w:r>
            <w:r w:rsidRPr="00792D61">
              <w:rPr>
                <w:b/>
              </w:rPr>
              <w:t>]</w:t>
            </w:r>
            <w:r w:rsidRPr="004A4869">
              <w:t xml:space="preserve"> </w:t>
            </w:r>
            <w:r w:rsidRPr="00792D61">
              <w:rPr>
                <w:b/>
              </w:rPr>
              <w:t>[</w:t>
            </w:r>
            <w:r w:rsidRPr="004A4869">
              <w:t>and</w:t>
            </w:r>
            <w:r w:rsidRPr="00792D61">
              <w:rPr>
                <w:b/>
              </w:rPr>
              <w:t>][</w:t>
            </w:r>
            <w:r w:rsidRPr="004A4869">
              <w:t>Tokyo</w:t>
            </w:r>
            <w:r w:rsidRPr="00792D61">
              <w:rPr>
                <w:b/>
              </w:rPr>
              <w:t>][</w:t>
            </w:r>
            <w:r w:rsidRPr="004A4869">
              <w:t>,</w:t>
            </w:r>
            <w:r w:rsidRPr="00792D61">
              <w:rPr>
                <w:b/>
              </w:rPr>
              <w:t>][</w:t>
            </w:r>
            <w:r w:rsidRPr="004A4869">
              <w:t>and</w:t>
            </w:r>
            <w:r w:rsidRPr="00792D61">
              <w:rPr>
                <w:b/>
              </w:rPr>
              <w:t>][</w:t>
            </w:r>
            <w:r w:rsidRPr="004A4869">
              <w:t>Zurich</w:t>
            </w:r>
            <w:r w:rsidRPr="00792D61">
              <w:rPr>
                <w:b/>
              </w:rPr>
              <w:t>][</w:t>
            </w:r>
            <w:r w:rsidRPr="004A4869">
              <w:t>,</w:t>
            </w:r>
            <w:r w:rsidRPr="00792D61">
              <w:rPr>
                <w:b/>
              </w:rPr>
              <w:t>][</w:t>
            </w:r>
            <w:r w:rsidRPr="004A4869">
              <w:t>and</w:t>
            </w:r>
            <w:r w:rsidRPr="00792D61">
              <w:rPr>
                <w:b/>
              </w:rPr>
              <w:t>]</w:t>
            </w:r>
            <w:r w:rsidRPr="004A4869">
              <w:t xml:space="preserve"> </w:t>
            </w:r>
            <w:r w:rsidRPr="00792D61">
              <w:rPr>
                <w:b/>
              </w:rPr>
              <w:t>[</w:t>
            </w:r>
            <w:r w:rsidRPr="004A4869">
              <w:t>Toronto</w:t>
            </w:r>
            <w:r w:rsidRPr="00792D61">
              <w:rPr>
                <w:b/>
              </w:rPr>
              <w:t>]</w:t>
            </w:r>
            <w:r w:rsidRPr="004A4869">
              <w:t xml:space="preserve"> </w:t>
            </w:r>
            <w:r w:rsidRPr="00792D61">
              <w:rPr>
                <w:b/>
              </w:rPr>
              <w:t>[</w:t>
            </w:r>
            <w:r w:rsidRPr="004A4869">
              <w:t>,</w:t>
            </w:r>
            <w:r w:rsidRPr="00792D61">
              <w:rPr>
                <w:b/>
              </w:rPr>
              <w:t>]</w:t>
            </w:r>
            <w:r w:rsidRPr="004A4869">
              <w:t xml:space="preserve"> </w:t>
            </w:r>
            <w:r w:rsidRPr="00792D61">
              <w:rPr>
                <w:b/>
              </w:rPr>
              <w:t>[</w:t>
            </w:r>
            <w:r w:rsidRPr="004A4869">
              <w:t>and</w:t>
            </w:r>
            <w:r w:rsidRPr="00792D61">
              <w:rPr>
                <w:b/>
              </w:rPr>
              <w:t>][</w:t>
            </w:r>
            <w:r w:rsidRPr="004A4869">
              <w:t>Sydney</w:t>
            </w:r>
            <w:r w:rsidRPr="00792D61">
              <w:rPr>
                <w:b/>
              </w:rPr>
              <w:t>][</w:t>
            </w:r>
            <w:r w:rsidRPr="004A4869">
              <w:t>,</w:t>
            </w:r>
            <w:r w:rsidRPr="00792D61">
              <w:rPr>
                <w:b/>
              </w:rPr>
              <w:t>][</w:t>
            </w:r>
            <w:r w:rsidRPr="004A4869">
              <w:t>and</w:t>
            </w:r>
            <w:r w:rsidRPr="00792D61">
              <w:rPr>
                <w:b/>
              </w:rPr>
              <w:t>][</w:t>
            </w:r>
            <w:r w:rsidRPr="004A4869">
              <w:t>Auckland</w:t>
            </w:r>
            <w:r w:rsidRPr="00792D61">
              <w:rPr>
                <w:b/>
              </w:rPr>
              <w:t>][</w:t>
            </w:r>
            <w:r w:rsidRPr="004A4869">
              <w:t>,</w:t>
            </w:r>
            <w:r w:rsidRPr="00792D61">
              <w:rPr>
                <w:b/>
              </w:rPr>
              <w:t>]</w:t>
            </w:r>
            <w:r w:rsidRPr="004A4869">
              <w:t xml:space="preserve"> </w:t>
            </w:r>
            <w:r w:rsidRPr="00792D61">
              <w:rPr>
                <w:b/>
              </w:rPr>
              <w:t>[</w:t>
            </w:r>
            <w:r w:rsidRPr="004A4869">
              <w:t>and</w:t>
            </w:r>
            <w:r w:rsidRPr="00792D61">
              <w:rPr>
                <w:b/>
              </w:rPr>
              <w:t>][</w:t>
            </w:r>
            <w:r w:rsidRPr="004A4869">
              <w:t>Singapore</w:t>
            </w:r>
            <w:r w:rsidRPr="00792D61">
              <w:rPr>
                <w:b/>
              </w:rPr>
              <w:t>][</w:t>
            </w:r>
            <w:r w:rsidRPr="004A4869">
              <w:t>,</w:t>
            </w:r>
            <w:r w:rsidRPr="00792D61">
              <w:rPr>
                <w:b/>
              </w:rPr>
              <w:t>][</w:t>
            </w:r>
            <w:r w:rsidRPr="004A4869">
              <w:t>and</w:t>
            </w:r>
            <w:r w:rsidRPr="00792D61">
              <w:rPr>
                <w:b/>
              </w:rPr>
              <w:t>][</w:t>
            </w:r>
            <w:r w:rsidRPr="004A4869">
              <w:t>Hong Kong</w:t>
            </w:r>
            <w:r w:rsidRPr="00792D61">
              <w:rPr>
                <w:b/>
              </w:rPr>
              <w:t>]</w:t>
            </w:r>
            <w:r w:rsidRPr="004A4869">
              <w:t xml:space="preserve"> </w:t>
            </w:r>
            <w:r>
              <w:rPr>
                <w:b/>
              </w:rPr>
              <w:t>[</w:t>
            </w:r>
            <w:r w:rsidRPr="004A4869">
              <w:t xml:space="preserve">and (y) </w:t>
            </w:r>
            <w:r>
              <w:t>with the exception of subsection B of Section 1.1</w:t>
            </w:r>
            <w:r w:rsidRPr="004A4869">
              <w:t xml:space="preserve">, the principal financial city in the jurisdiction </w:t>
            </w:r>
            <w:r w:rsidRPr="00284217">
              <w:t>in which the principal place of business of the Reference Entity is located</w:t>
            </w:r>
            <w:r w:rsidRPr="00792D61">
              <w:rPr>
                <w:b/>
              </w:rPr>
              <w:t>][</w:t>
            </w:r>
            <w:r w:rsidRPr="004A4869">
              <w:t>and (ii) that is a TARGET Business Day</w:t>
            </w:r>
            <w:r w:rsidRPr="00792D61">
              <w:rPr>
                <w:b/>
              </w:rPr>
              <w:t>]</w:t>
            </w:r>
            <w:r w:rsidRPr="004A4869">
              <w:t>.</w:t>
            </w:r>
            <w:r w:rsidRPr="00792D61">
              <w:rPr>
                <w:b/>
              </w:rPr>
              <w:t>]</w:t>
            </w:r>
          </w:p>
        </w:tc>
        <w:tc>
          <w:tcPr>
            <w:tcW w:w="1618" w:type="dxa"/>
            <w:gridSpan w:val="2"/>
            <w:tcBorders>
              <w:top w:val="nil"/>
              <w:bottom w:val="nil"/>
              <w:right w:val="nil"/>
            </w:tcBorders>
            <w:shd w:val="clear" w:color="auto" w:fill="auto"/>
          </w:tcPr>
          <w:p w:rsidR="0017135D" w:rsidRPr="006B2AB7" w:rsidP="00547288">
            <w:pPr>
              <w:pStyle w:val="CSBody8pt"/>
              <w:rPr>
                <w:i/>
              </w:rPr>
            </w:pPr>
          </w:p>
        </w:tc>
        <w:tc>
          <w:tcPr>
            <w:tcW w:w="3318" w:type="dxa"/>
            <w:tcBorders>
              <w:top w:val="nil"/>
              <w:left w:val="nil"/>
              <w:bottom w:val="nil"/>
              <w:right w:val="nil"/>
            </w:tcBorders>
            <w:shd w:val="clear" w:color="auto" w:fill="auto"/>
          </w:tcPr>
          <w:p w:rsidR="0017135D" w:rsidRPr="006B2AB7" w:rsidP="004C1EBA">
            <w:pPr>
              <w:pStyle w:val="CSBody8pt"/>
              <w:rPr>
                <w:lang w:val="de-DE"/>
              </w:rPr>
            </w:pPr>
            <w:r w:rsidRPr="00792D61">
              <w:rPr>
                <w:b/>
                <w:lang w:val="de-DE"/>
              </w:rPr>
              <w:t>[</w:t>
            </w:r>
            <w:r w:rsidRPr="006B2AB7">
              <w:rPr>
                <w:lang w:val="de-DE"/>
              </w:rPr>
              <w:t xml:space="preserve">ein Tag </w:t>
            </w:r>
            <w:r w:rsidRPr="00792D61">
              <w:rPr>
                <w:b/>
                <w:lang w:val="de-DE"/>
              </w:rPr>
              <w:t>[</w:t>
            </w:r>
            <w:r w:rsidRPr="006B2AB7">
              <w:rPr>
                <w:lang w:val="de-DE"/>
              </w:rPr>
              <w:t>(i)</w:t>
            </w:r>
            <w:r w:rsidRPr="00792D61">
              <w:rPr>
                <w:b/>
                <w:lang w:val="de-DE"/>
              </w:rPr>
              <w:t>]</w:t>
            </w:r>
            <w:r w:rsidRPr="006B2AB7">
              <w:rPr>
                <w:lang w:val="de-DE"/>
              </w:rPr>
              <w:t xml:space="preserve"> </w:t>
            </w:r>
            <w:r w:rsidRPr="00792D61">
              <w:rPr>
                <w:b/>
                <w:lang w:val="de-DE"/>
              </w:rPr>
              <w:t>[</w:t>
            </w:r>
            <w:r w:rsidRPr="006B2AB7">
              <w:rPr>
                <w:lang w:val="de-DE"/>
              </w:rPr>
              <w:t xml:space="preserve">an dem Geschäftsbanken und Devisenmärkte </w:t>
            </w:r>
            <w:r>
              <w:rPr>
                <w:b/>
                <w:lang w:val="de-DE"/>
              </w:rPr>
              <w:t>[</w:t>
            </w:r>
            <w:r w:rsidRPr="006B2AB7">
              <w:rPr>
                <w:lang w:val="de-DE"/>
              </w:rPr>
              <w:t>(x)</w:t>
            </w:r>
            <w:r>
              <w:rPr>
                <w:b/>
                <w:lang w:val="de-DE"/>
              </w:rPr>
              <w:t>]</w:t>
            </w:r>
            <w:r w:rsidRPr="006B2AB7">
              <w:rPr>
                <w:lang w:val="de-DE"/>
              </w:rPr>
              <w:t xml:space="preserve"> in </w:t>
            </w:r>
            <w:r w:rsidRPr="00792D61">
              <w:rPr>
                <w:b/>
                <w:lang w:val="de-DE"/>
              </w:rPr>
              <w:t>[</w:t>
            </w:r>
            <w:r w:rsidRPr="006B2AB7">
              <w:rPr>
                <w:lang w:val="de-DE"/>
              </w:rPr>
              <w:t>London</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New York</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Tokio</w:t>
            </w:r>
            <w:r w:rsidRPr="00792D61">
              <w:rPr>
                <w:b/>
                <w:lang w:val="de-DE"/>
              </w:rPr>
              <w:t>][</w:t>
            </w:r>
            <w:r w:rsidRPr="006B2AB7">
              <w:rPr>
                <w:lang w:val="de-DE"/>
              </w:rPr>
              <w:t>,</w:t>
            </w:r>
            <w:r w:rsidRPr="00792D61">
              <w:rPr>
                <w:b/>
                <w:lang w:val="de-DE"/>
              </w:rPr>
              <w:t>]</w:t>
            </w:r>
            <w:r w:rsidRPr="006B2AB7">
              <w:rPr>
                <w:lang w:val="de-DE"/>
              </w:rPr>
              <w:t xml:space="preserve"> </w:t>
            </w:r>
            <w:r w:rsidRPr="00792D61">
              <w:rPr>
                <w:b/>
                <w:lang w:val="de-DE"/>
              </w:rPr>
              <w:t>[</w:t>
            </w:r>
            <w:r w:rsidRPr="006B2AB7">
              <w:rPr>
                <w:lang w:val="de-DE"/>
              </w:rPr>
              <w:t>und</w:t>
            </w:r>
            <w:r w:rsidRPr="00792D61">
              <w:rPr>
                <w:b/>
                <w:lang w:val="de-DE"/>
              </w:rPr>
              <w:t>][</w:t>
            </w:r>
            <w:r w:rsidRPr="006B2AB7">
              <w:rPr>
                <w:lang w:val="de-DE"/>
              </w:rPr>
              <w:t>Zürich</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 xml:space="preserve"> </w:t>
            </w:r>
            <w:r w:rsidRPr="00792D61">
              <w:rPr>
                <w:b/>
                <w:lang w:val="de-DE"/>
              </w:rPr>
              <w:t>[</w:t>
            </w:r>
            <w:r w:rsidRPr="006B2AB7">
              <w:rPr>
                <w:lang w:val="de-DE"/>
              </w:rPr>
              <w:t>Toronto</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 xml:space="preserve"> </w:t>
            </w:r>
            <w:r w:rsidRPr="00792D61">
              <w:rPr>
                <w:b/>
                <w:lang w:val="de-DE"/>
              </w:rPr>
              <w:t>[</w:t>
            </w:r>
            <w:r w:rsidRPr="006B2AB7">
              <w:rPr>
                <w:lang w:val="de-DE"/>
              </w:rPr>
              <w:t>Sydney</w:t>
            </w:r>
            <w:r w:rsidRPr="00792D61">
              <w:rPr>
                <w:b/>
                <w:lang w:val="de-DE"/>
              </w:rPr>
              <w:t>]</w:t>
            </w:r>
            <w:r w:rsidRPr="006B2AB7">
              <w:rPr>
                <w:lang w:val="de-DE"/>
              </w:rPr>
              <w:t xml:space="preserve"> </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Auckland</w:t>
            </w:r>
            <w:r w:rsidRPr="00792D61">
              <w:rPr>
                <w:b/>
                <w:lang w:val="de-DE"/>
              </w:rPr>
              <w:t>][</w:t>
            </w:r>
            <w:r w:rsidRPr="006B2AB7">
              <w:rPr>
                <w:lang w:val="de-DE"/>
              </w:rPr>
              <w:t>,</w:t>
            </w:r>
            <w:r w:rsidRPr="00792D61">
              <w:rPr>
                <w:b/>
                <w:lang w:val="de-DE"/>
              </w:rPr>
              <w:t>]</w:t>
            </w:r>
            <w:r w:rsidRPr="006B2AB7">
              <w:rPr>
                <w:lang w:val="de-DE"/>
              </w:rPr>
              <w:t xml:space="preserve"> </w:t>
            </w:r>
            <w:r w:rsidRPr="00792D61">
              <w:rPr>
                <w:b/>
                <w:lang w:val="de-DE"/>
              </w:rPr>
              <w:t>[</w:t>
            </w:r>
            <w:r w:rsidRPr="006B2AB7">
              <w:rPr>
                <w:lang w:val="de-DE"/>
              </w:rPr>
              <w:t>und</w:t>
            </w:r>
            <w:r w:rsidRPr="00792D61">
              <w:rPr>
                <w:b/>
                <w:lang w:val="de-DE"/>
              </w:rPr>
              <w:t>][</w:t>
            </w:r>
            <w:r w:rsidRPr="006B2AB7">
              <w:rPr>
                <w:lang w:val="de-DE"/>
              </w:rPr>
              <w:t>Singapur</w:t>
            </w:r>
            <w:r w:rsidRPr="00792D61">
              <w:rPr>
                <w:b/>
                <w:lang w:val="de-DE"/>
              </w:rPr>
              <w:t>][</w:t>
            </w:r>
            <w:r w:rsidRPr="006B2AB7">
              <w:rPr>
                <w:lang w:val="de-DE"/>
              </w:rPr>
              <w:t>,</w:t>
            </w:r>
            <w:r w:rsidRPr="00792D61">
              <w:rPr>
                <w:b/>
                <w:lang w:val="de-DE"/>
              </w:rPr>
              <w:t>][</w:t>
            </w:r>
            <w:r w:rsidRPr="006B2AB7">
              <w:rPr>
                <w:lang w:val="de-DE"/>
              </w:rPr>
              <w:t>und</w:t>
            </w:r>
            <w:r w:rsidRPr="00792D61">
              <w:rPr>
                <w:b/>
                <w:lang w:val="de-DE"/>
              </w:rPr>
              <w:t>]</w:t>
            </w:r>
            <w:r w:rsidRPr="006B2AB7">
              <w:rPr>
                <w:lang w:val="de-DE"/>
              </w:rPr>
              <w:t xml:space="preserve"> </w:t>
            </w:r>
            <w:r w:rsidRPr="00792D61">
              <w:rPr>
                <w:b/>
                <w:lang w:val="de-DE"/>
              </w:rPr>
              <w:t>[</w:t>
            </w:r>
            <w:r w:rsidRPr="006B2AB7">
              <w:rPr>
                <w:lang w:val="de-DE"/>
              </w:rPr>
              <w:t>Hongkong</w:t>
            </w:r>
            <w:r w:rsidRPr="00792D61">
              <w:rPr>
                <w:b/>
                <w:lang w:val="de-DE"/>
              </w:rPr>
              <w:t>]</w:t>
            </w:r>
            <w:r w:rsidRPr="006B2AB7">
              <w:rPr>
                <w:lang w:val="de-DE"/>
              </w:rPr>
              <w:t xml:space="preserve"> </w:t>
            </w:r>
            <w:r>
              <w:rPr>
                <w:b/>
                <w:lang w:val="de-DE"/>
              </w:rPr>
              <w:t>[</w:t>
            </w:r>
            <w:r w:rsidRPr="006B2AB7">
              <w:rPr>
                <w:lang w:val="de-DE"/>
              </w:rPr>
              <w:t xml:space="preserve">und (y) </w:t>
            </w:r>
            <w:r w:rsidRPr="00284217">
              <w:rPr>
                <w:lang w:val="de-DE"/>
              </w:rPr>
              <w:t xml:space="preserve">mit Ausnahme des Unterabschnitts B von Ziffer 1.1, </w:t>
            </w:r>
            <w:r w:rsidRPr="006B2AB7">
              <w:rPr>
                <w:lang w:val="de-DE"/>
              </w:rPr>
              <w:t>am Hauptfinanzplatz in der Rechtsordnung</w:t>
            </w:r>
            <w:r>
              <w:rPr>
                <w:lang w:val="de-DE"/>
              </w:rPr>
              <w:t>, in der der Referenzschuldner seinen Hauptgeschäftssitz hat,</w:t>
            </w:r>
            <w:r>
              <w:rPr>
                <w:b/>
                <w:lang w:val="de-DE"/>
              </w:rPr>
              <w:t>]</w:t>
            </w:r>
            <w:r>
              <w:rPr>
                <w:lang w:val="de-DE"/>
              </w:rPr>
              <w:t xml:space="preserve"> allgemein geöffnet sind, um Zahlungen abzuwickeln </w:t>
            </w:r>
            <w:r w:rsidRPr="00792D61">
              <w:rPr>
                <w:b/>
                <w:lang w:val="de-DE"/>
              </w:rPr>
              <w:t>][</w:t>
            </w:r>
            <w:r w:rsidRPr="006B2AB7">
              <w:rPr>
                <w:lang w:val="de-DE"/>
              </w:rPr>
              <w:t>und (ii) bei dem es sich um einen TARGET-Geschäftstag handelt</w:t>
            </w:r>
            <w:r w:rsidRPr="00792D61">
              <w:rPr>
                <w:b/>
                <w:lang w:val="de-DE"/>
              </w:rPr>
              <w:t>]</w:t>
            </w:r>
            <w:r w:rsidRPr="006B2AB7">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B2AB7" w:rsidP="00547288">
            <w:pPr>
              <w:pStyle w:val="CSBody8pt"/>
              <w:rPr>
                <w:lang w:val="de-DE"/>
              </w:rPr>
            </w:pPr>
          </w:p>
        </w:tc>
        <w:tc>
          <w:tcPr>
            <w:tcW w:w="3315" w:type="dxa"/>
            <w:gridSpan w:val="2"/>
            <w:tcBorders>
              <w:top w:val="nil"/>
              <w:left w:val="nil"/>
              <w:bottom w:val="nil"/>
            </w:tcBorders>
            <w:shd w:val="clear" w:color="auto" w:fill="auto"/>
          </w:tcPr>
          <w:p w:rsidR="0017135D" w:rsidRPr="006B2AB7" w:rsidP="00547288">
            <w:pPr>
              <w:pStyle w:val="CSBody8pt"/>
              <w:rPr>
                <w:lang w:val="de-DE"/>
              </w:rPr>
            </w:pPr>
            <w:r w:rsidRPr="00792D61">
              <w:rPr>
                <w:b/>
                <w:lang w:val="de-DE"/>
              </w:rPr>
              <w:t>[[</w:t>
            </w:r>
            <w:r w:rsidRPr="006B2AB7">
              <w:rPr>
                <w:rFonts w:ascii="Arial" w:hAnsi="Arial" w:cs="Arial"/>
                <w:lang w:val="de-DE"/>
              </w:rPr>
              <w:t>●</w:t>
            </w:r>
            <w:r w:rsidRPr="00792D61">
              <w:rPr>
                <w:b/>
                <w:lang w:val="de-DE"/>
              </w:rPr>
              <w:t>]]]</w:t>
            </w:r>
          </w:p>
        </w:tc>
        <w:tc>
          <w:tcPr>
            <w:tcW w:w="1618" w:type="dxa"/>
            <w:gridSpan w:val="2"/>
            <w:tcBorders>
              <w:top w:val="nil"/>
              <w:bottom w:val="nil"/>
              <w:right w:val="nil"/>
            </w:tcBorders>
            <w:shd w:val="clear" w:color="auto" w:fill="auto"/>
          </w:tcPr>
          <w:p w:rsidR="0017135D" w:rsidRPr="006B2AB7" w:rsidP="00547288">
            <w:pPr>
              <w:pStyle w:val="CSBody8pt"/>
              <w:rPr>
                <w:i/>
                <w:lang w:val="de-DE"/>
              </w:rPr>
            </w:pPr>
          </w:p>
        </w:tc>
        <w:tc>
          <w:tcPr>
            <w:tcW w:w="3318" w:type="dxa"/>
            <w:tcBorders>
              <w:top w:val="nil"/>
              <w:left w:val="nil"/>
              <w:bottom w:val="nil"/>
              <w:right w:val="nil"/>
            </w:tcBorders>
            <w:shd w:val="clear" w:color="auto" w:fill="auto"/>
          </w:tcPr>
          <w:p w:rsidR="0017135D" w:rsidRPr="006B2AB7" w:rsidP="00547288">
            <w:pPr>
              <w:pStyle w:val="CSBody8pt"/>
              <w:rPr>
                <w:bCs/>
                <w:lang w:val="de-DE"/>
              </w:rPr>
            </w:pPr>
            <w:r w:rsidRPr="00792D61">
              <w:rPr>
                <w:b/>
                <w:bCs/>
                <w:lang w:val="de-DE"/>
              </w:rPr>
              <w:t>[[</w:t>
            </w:r>
            <w:r w:rsidRPr="006B2AB7">
              <w:rPr>
                <w:rFonts w:ascii="Arial" w:hAnsi="Arial" w:cs="Arial"/>
                <w:bCs/>
                <w:lang w:val="de-DE"/>
              </w:rPr>
              <w:t>●</w:t>
            </w:r>
            <w:r w:rsidRPr="00792D61">
              <w:rPr>
                <w:b/>
                <w:bCs/>
                <w:lang w:val="de-DE"/>
              </w:rPr>
              <w:t>]]]</w:t>
            </w:r>
          </w:p>
        </w:tc>
      </w:tr>
      <w:tr w:rsidTr="004C1EBA">
        <w:tblPrEx>
          <w:tblW w:w="4999" w:type="pct"/>
          <w:tblLayout w:type="fixed"/>
          <w:tblCellMar>
            <w:left w:w="115" w:type="dxa"/>
            <w:right w:w="115" w:type="dxa"/>
          </w:tblCellMar>
          <w:tblLook w:val="04A0"/>
        </w:tblPrEx>
        <w:trPr>
          <w:trHeight w:val="2787"/>
        </w:trPr>
        <w:tc>
          <w:tcPr>
            <w:tcW w:w="1616" w:type="dxa"/>
            <w:gridSpan w:val="3"/>
            <w:tcBorders>
              <w:top w:val="nil"/>
              <w:left w:val="nil"/>
              <w:right w:val="nil"/>
            </w:tcBorders>
            <w:shd w:val="clear" w:color="auto" w:fill="auto"/>
          </w:tcPr>
          <w:p w:rsidR="0017135D" w:rsidRPr="006B2AB7" w:rsidP="00547288">
            <w:pPr>
              <w:pStyle w:val="CSBody8ptbolditalics"/>
            </w:pPr>
            <w:r w:rsidRPr="00792D61">
              <w:t>[</w:t>
            </w:r>
            <w:r w:rsidRPr="006B2AB7">
              <w:t>in the case of Credit-Linked Complex Products with auction settlement, insert:</w:t>
            </w:r>
          </w:p>
          <w:p w:rsidR="0017135D" w:rsidRPr="006B2AB7" w:rsidP="00547288">
            <w:pPr>
              <w:pStyle w:val="CSBody8pt"/>
            </w:pPr>
            <w:r w:rsidRPr="001124FE">
              <w:t>Business Day Convention</w:t>
            </w:r>
            <w:r>
              <w:fldChar w:fldCharType="begin"/>
            </w:r>
            <w:r>
              <w:instrText xml:space="preserve"> XE "</w:instrText>
            </w:r>
            <w:r w:rsidRPr="00CF2F85">
              <w:instrText>Business Day Convention</w:instrText>
            </w:r>
            <w:r>
              <w:instrText xml:space="preserve">" \f "EN" </w:instrText>
            </w:r>
            <w:r>
              <w:fldChar w:fldCharType="end"/>
            </w:r>
          </w:p>
        </w:tc>
        <w:tc>
          <w:tcPr>
            <w:tcW w:w="3315" w:type="dxa"/>
            <w:gridSpan w:val="2"/>
            <w:tcBorders>
              <w:top w:val="nil"/>
              <w:left w:val="nil"/>
            </w:tcBorders>
            <w:shd w:val="clear" w:color="auto" w:fill="auto"/>
          </w:tcPr>
          <w:p w:rsidR="0017135D" w:rsidRPr="006B2AB7" w:rsidP="00547288">
            <w:pPr>
              <w:pStyle w:val="CSBody8pt"/>
            </w:pPr>
            <w:r w:rsidRPr="00792D61">
              <w:rPr>
                <w:b/>
              </w:rPr>
              <w:t>[</w:t>
            </w:r>
            <w:r w:rsidRPr="006B2AB7">
              <w:t>Following</w:t>
            </w:r>
            <w:r w:rsidRPr="00792D61">
              <w:rPr>
                <w:b/>
              </w:rPr>
              <w:t>][</w:t>
            </w:r>
            <w:r w:rsidRPr="006B2AB7">
              <w:t>Modified Following</w:t>
            </w:r>
            <w:r w:rsidRPr="00792D61">
              <w:rPr>
                <w:b/>
              </w:rPr>
              <w:t>][</w:t>
            </w:r>
            <w:r w:rsidRPr="006B2AB7">
              <w:t>Preceding</w:t>
            </w:r>
            <w:r w:rsidRPr="00792D61">
              <w:rPr>
                <w:b/>
              </w:rPr>
              <w:t>]]</w:t>
            </w:r>
          </w:p>
        </w:tc>
        <w:tc>
          <w:tcPr>
            <w:tcW w:w="1618" w:type="dxa"/>
            <w:gridSpan w:val="2"/>
            <w:tcBorders>
              <w:top w:val="nil"/>
              <w:right w:val="nil"/>
            </w:tcBorders>
            <w:shd w:val="clear" w:color="auto" w:fill="auto"/>
          </w:tcPr>
          <w:p w:rsidR="0017135D" w:rsidRPr="006B2AB7" w:rsidP="00877C09">
            <w:pPr>
              <w:pStyle w:val="CSBody8ptbolditalics"/>
              <w:rPr>
                <w:lang w:val="de-DE"/>
              </w:rPr>
            </w:pPr>
            <w:r w:rsidRPr="00792D61">
              <w:rPr>
                <w:lang w:val="de-DE"/>
              </w:rPr>
              <w:t>[</w:t>
            </w:r>
            <w:r w:rsidRPr="006B2AB7">
              <w:rPr>
                <w:lang w:val="de-DE"/>
              </w:rPr>
              <w:t>bei Kreditbezogenen Komplexen Produkten mit Auktionsabwicklung einfügen:</w:t>
            </w:r>
          </w:p>
          <w:p w:rsidR="0017135D" w:rsidRPr="006B2AB7" w:rsidP="00547288">
            <w:pPr>
              <w:pStyle w:val="CSBody8pt"/>
              <w:rPr>
                <w:lang w:val="de-DE"/>
              </w:rPr>
            </w:pPr>
            <w:r w:rsidRPr="001124FE">
              <w:t>Geschäftstag-Konvention</w:t>
            </w:r>
            <w:r>
              <w:fldChar w:fldCharType="begin"/>
            </w:r>
            <w:r>
              <w:instrText xml:space="preserve"> XE "</w:instrText>
            </w:r>
            <w:r w:rsidRPr="00AA1AB1">
              <w:instrText>Geschäftstag-Konvention</w:instrText>
            </w:r>
            <w:r>
              <w:instrText xml:space="preserve">" </w:instrText>
            </w:r>
            <w:r>
              <w:fldChar w:fldCharType="end"/>
            </w:r>
          </w:p>
        </w:tc>
        <w:tc>
          <w:tcPr>
            <w:tcW w:w="3318" w:type="dxa"/>
            <w:tcBorders>
              <w:top w:val="nil"/>
              <w:left w:val="nil"/>
              <w:right w:val="nil"/>
            </w:tcBorders>
            <w:shd w:val="clear" w:color="auto" w:fill="auto"/>
          </w:tcPr>
          <w:p w:rsidR="0017135D" w:rsidRPr="006B2AB7" w:rsidP="00547288">
            <w:pPr>
              <w:pStyle w:val="CSBody8pt"/>
              <w:rPr>
                <w:bCs/>
                <w:lang w:val="de-DE"/>
              </w:rPr>
            </w:pPr>
            <w:r w:rsidRPr="00792D61">
              <w:rPr>
                <w:b/>
                <w:bCs/>
                <w:lang w:val="de-DE"/>
              </w:rPr>
              <w:t>[</w:t>
            </w:r>
            <w:r w:rsidRPr="006B2AB7">
              <w:rPr>
                <w:bCs/>
                <w:lang w:val="de-DE"/>
              </w:rPr>
              <w:t>"Folgender-Geschäftstag-Konvention"</w:t>
            </w:r>
            <w:r w:rsidRPr="00792D61">
              <w:rPr>
                <w:b/>
                <w:bCs/>
                <w:lang w:val="de-DE"/>
              </w:rPr>
              <w:t>]</w:t>
            </w:r>
            <w:r w:rsidRPr="006B2AB7">
              <w:rPr>
                <w:bCs/>
                <w:lang w:val="de-DE"/>
              </w:rPr>
              <w:t xml:space="preserve"> </w:t>
            </w:r>
            <w:r w:rsidRPr="00792D61">
              <w:rPr>
                <w:b/>
                <w:bCs/>
                <w:lang w:val="de-DE"/>
              </w:rPr>
              <w:t>[</w:t>
            </w:r>
            <w:r w:rsidRPr="006B2AB7">
              <w:rPr>
                <w:bCs/>
                <w:lang w:val="de-DE"/>
              </w:rPr>
              <w:t>"Modifizierte Folgender-Geschäftstag-Konvention"</w:t>
            </w:r>
            <w:r w:rsidRPr="00792D61">
              <w:rPr>
                <w:b/>
                <w:bCs/>
                <w:lang w:val="de-DE"/>
              </w:rPr>
              <w:t>]</w:t>
            </w:r>
            <w:r w:rsidRPr="006B2AB7">
              <w:rPr>
                <w:bCs/>
                <w:lang w:val="de-DE"/>
              </w:rPr>
              <w:t xml:space="preserve"> </w:t>
            </w:r>
            <w:r w:rsidRPr="00792D61">
              <w:rPr>
                <w:b/>
                <w:bCs/>
                <w:lang w:val="de-DE"/>
              </w:rPr>
              <w:t>[</w:t>
            </w:r>
            <w:r w:rsidRPr="006B2AB7">
              <w:rPr>
                <w:bCs/>
                <w:lang w:val="de-DE"/>
              </w:rPr>
              <w:t>"Vorangegangener-Geschäftstag-Konvention"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pPr>
              <w:pStyle w:val="CSBody8pt"/>
            </w:pPr>
            <w:r w:rsidRPr="00792D61">
              <w:rPr>
                <w:b/>
              </w:rPr>
              <w:t>[</w:t>
            </w:r>
            <w:r w:rsidRPr="00F17869">
              <w:t>TARGET Business Day</w:t>
            </w:r>
            <w:r>
              <w:fldChar w:fldCharType="begin"/>
            </w:r>
            <w:r w:rsidR="0041243C">
              <w:instrText xml:space="preserve"> XE "</w:instrText>
            </w:r>
            <w:r w:rsidRPr="009936F9" w:rsidR="0041243C">
              <w:instrText>TARGET Business Day</w:instrText>
            </w:r>
            <w:r w:rsidR="0041243C">
              <w:instrText>" \f "EN"</w:instrText>
            </w:r>
            <w:r>
              <w:fldChar w:fldCharType="end"/>
            </w:r>
          </w:p>
        </w:tc>
        <w:tc>
          <w:tcPr>
            <w:tcW w:w="3315" w:type="dxa"/>
            <w:gridSpan w:val="2"/>
            <w:tcBorders>
              <w:top w:val="nil"/>
              <w:left w:val="nil"/>
              <w:bottom w:val="nil"/>
            </w:tcBorders>
            <w:shd w:val="clear" w:color="auto" w:fill="auto"/>
          </w:tcPr>
          <w:p w:rsidR="0017135D" w:rsidRPr="00F17869" w:rsidP="00877C09">
            <w:pPr>
              <w:pStyle w:val="CSBody8pt"/>
            </w:pPr>
            <w:r w:rsidRPr="00F17869">
              <w:t>any day on which the Trans-European Automated Realtime Gross settlement Express Transfer (TARGET2) system is open for business.</w:t>
            </w:r>
            <w:r w:rsidRPr="00792D61">
              <w:rPr>
                <w:b/>
              </w:rPr>
              <w:t>]</w:t>
            </w:r>
          </w:p>
        </w:tc>
        <w:tc>
          <w:tcPr>
            <w:tcW w:w="1618" w:type="dxa"/>
            <w:gridSpan w:val="2"/>
            <w:tcBorders>
              <w:top w:val="nil"/>
              <w:bottom w:val="nil"/>
              <w:right w:val="nil"/>
            </w:tcBorders>
            <w:shd w:val="clear" w:color="auto" w:fill="auto"/>
          </w:tcPr>
          <w:p w:rsidR="0017135D" w:rsidRPr="00F17869">
            <w:pPr>
              <w:pStyle w:val="CSBody8pt"/>
            </w:pPr>
            <w:r w:rsidRPr="00792D61">
              <w:rPr>
                <w:b/>
              </w:rPr>
              <w:t>[</w:t>
            </w:r>
            <w:r w:rsidRPr="00F17869">
              <w:t>TARGET- Geschäftstag</w:t>
            </w:r>
            <w:r>
              <w:fldChar w:fldCharType="begin"/>
            </w:r>
            <w:r w:rsidR="0041243C">
              <w:instrText xml:space="preserve"> XE "</w:instrText>
            </w:r>
            <w:r w:rsidRPr="002A231A" w:rsidR="0041243C">
              <w:instrText>TARGET- Geschäftstag</w:instrText>
            </w:r>
            <w:r w:rsidR="0041243C">
              <w:instrText xml:space="preserve">" </w:instrText>
            </w:r>
            <w:r>
              <w:fldChar w:fldCharType="end"/>
            </w:r>
          </w:p>
        </w:tc>
        <w:tc>
          <w:tcPr>
            <w:tcW w:w="3318" w:type="dxa"/>
            <w:tcBorders>
              <w:top w:val="nil"/>
              <w:left w:val="nil"/>
              <w:bottom w:val="nil"/>
              <w:right w:val="nil"/>
            </w:tcBorders>
            <w:shd w:val="clear" w:color="auto" w:fill="auto"/>
          </w:tcPr>
          <w:p w:rsidR="0017135D" w:rsidRPr="001D022D" w:rsidP="00877C09">
            <w:pPr>
              <w:pStyle w:val="CSBody8pt"/>
              <w:rPr>
                <w:bCs/>
                <w:lang w:val="de-DE"/>
              </w:rPr>
            </w:pPr>
            <w:r w:rsidRPr="00F17869">
              <w:rPr>
                <w:bCs/>
                <w:lang w:val="de-DE"/>
              </w:rPr>
              <w:t>jeder Tag, an dem das Trans-European Automated Realtime Gross settlement Express Transfer (TARGET2) System für den Geschäftsverkehr geöffnet ist.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C4266" w:rsidP="00547288">
            <w:pPr>
              <w:pStyle w:val="CSBody8pt"/>
            </w:pPr>
            <w:r w:rsidRPr="00792D61">
              <w:rPr>
                <w:b/>
              </w:rPr>
              <w:t>[</w:t>
            </w:r>
            <w:r w:rsidRPr="007C4266">
              <w:t>Clearstream Frankfurt</w:t>
            </w:r>
          </w:p>
        </w:tc>
        <w:tc>
          <w:tcPr>
            <w:tcW w:w="3315" w:type="dxa"/>
            <w:gridSpan w:val="2"/>
            <w:tcBorders>
              <w:top w:val="nil"/>
              <w:left w:val="nil"/>
              <w:bottom w:val="nil"/>
            </w:tcBorders>
            <w:shd w:val="clear" w:color="auto" w:fill="auto"/>
          </w:tcPr>
          <w:p w:rsidR="0017135D" w:rsidRPr="000426FA" w:rsidP="00547288">
            <w:pPr>
              <w:pStyle w:val="CSBody8pt"/>
            </w:pPr>
            <w:r w:rsidRPr="000426FA">
              <w:t>Clearstream Banking AG, Frankfurt, as operator of the Clearstream Frankfurt system (business address: Mergenthalerallee 61, 65760 Eschborn, Germany) and any successor organisation or system.</w:t>
            </w:r>
            <w:r w:rsidRPr="00792D61">
              <w:rPr>
                <w:b/>
              </w:rPr>
              <w:t>]</w:t>
            </w:r>
          </w:p>
        </w:tc>
        <w:tc>
          <w:tcPr>
            <w:tcW w:w="1618" w:type="dxa"/>
            <w:gridSpan w:val="2"/>
            <w:tcBorders>
              <w:top w:val="nil"/>
              <w:bottom w:val="nil"/>
              <w:right w:val="nil"/>
            </w:tcBorders>
            <w:shd w:val="clear" w:color="auto" w:fill="auto"/>
          </w:tcPr>
          <w:p w:rsidR="0017135D" w:rsidRPr="00C733D8" w:rsidP="00547288">
            <w:pPr>
              <w:pStyle w:val="CSBody8pt"/>
            </w:pPr>
            <w:r w:rsidRPr="00792D61">
              <w:rPr>
                <w:b/>
              </w:rPr>
              <w:t>[</w:t>
            </w:r>
            <w:r w:rsidRPr="00C733D8">
              <w:t>Clearstream Frankfurt</w:t>
            </w:r>
          </w:p>
        </w:tc>
        <w:tc>
          <w:tcPr>
            <w:tcW w:w="3318" w:type="dxa"/>
            <w:tcBorders>
              <w:top w:val="nil"/>
              <w:left w:val="nil"/>
              <w:bottom w:val="nil"/>
              <w:right w:val="nil"/>
            </w:tcBorders>
            <w:shd w:val="clear" w:color="auto" w:fill="auto"/>
          </w:tcPr>
          <w:p w:rsidR="0017135D" w:rsidRPr="001D022D" w:rsidP="00877C09">
            <w:pPr>
              <w:pStyle w:val="CSBody8pt"/>
              <w:rPr>
                <w:lang w:val="de-DE"/>
              </w:rPr>
            </w:pPr>
            <w:r w:rsidRPr="001D022D">
              <w:rPr>
                <w:lang w:val="de-DE"/>
              </w:rPr>
              <w:t>Clearstream Banking AG, Frankfurt, als Betreiber des Systems der Clearstream Frankfurt (Geschäftsanschrift: Mergenthalerallee 61, 65760 Eschborn, Deutschland) sowie jede Nachfolgerorganisation bzw. jedes Nachfolgersystem.</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C4266" w:rsidP="00547288">
            <w:pPr>
              <w:pStyle w:val="CSBody8pt"/>
            </w:pPr>
            <w:r w:rsidRPr="00792D61">
              <w:rPr>
                <w:b/>
              </w:rPr>
              <w:t>[</w:t>
            </w:r>
            <w:r w:rsidRPr="007C4266">
              <w:t>Clearstream Luxembourg</w:t>
            </w:r>
          </w:p>
        </w:tc>
        <w:tc>
          <w:tcPr>
            <w:tcW w:w="3315" w:type="dxa"/>
            <w:gridSpan w:val="2"/>
            <w:tcBorders>
              <w:top w:val="nil"/>
              <w:left w:val="nil"/>
              <w:bottom w:val="nil"/>
            </w:tcBorders>
            <w:shd w:val="clear" w:color="auto" w:fill="auto"/>
          </w:tcPr>
          <w:p w:rsidR="0017135D" w:rsidRPr="000426FA" w:rsidP="00547288">
            <w:pPr>
              <w:pStyle w:val="CSBody8pt"/>
            </w:pPr>
            <w:r w:rsidRPr="000426FA">
              <w:t>Clearstream Banking, Luxembourg, as operator of the Clearstream Luxembourg system (42 Avenue JF Kennedy, L-1855 Luxembourg, Luxembourg) and any successor organisation or system.</w:t>
            </w:r>
            <w:r w:rsidRPr="00792D61">
              <w:rPr>
                <w:b/>
              </w:rPr>
              <w:t>]</w:t>
            </w:r>
          </w:p>
        </w:tc>
        <w:tc>
          <w:tcPr>
            <w:tcW w:w="1618" w:type="dxa"/>
            <w:gridSpan w:val="2"/>
            <w:tcBorders>
              <w:top w:val="nil"/>
              <w:bottom w:val="nil"/>
              <w:right w:val="nil"/>
            </w:tcBorders>
            <w:shd w:val="clear" w:color="auto" w:fill="auto"/>
          </w:tcPr>
          <w:p w:rsidR="0017135D" w:rsidRPr="00C733D8" w:rsidP="00547288">
            <w:pPr>
              <w:pStyle w:val="CSBody8pt"/>
            </w:pPr>
            <w:r w:rsidRPr="00792D61">
              <w:rPr>
                <w:b/>
              </w:rPr>
              <w:t>[</w:t>
            </w:r>
            <w:r w:rsidRPr="00C733D8">
              <w:t>Clearstream Luxemburg</w:t>
            </w: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1D022D">
              <w:rPr>
                <w:lang w:val="de-DE"/>
              </w:rPr>
              <w:t>Clearstream Banking, Luxemburg, als Betreiber des Systems der Clearstream Luxemburg (42 Avenue JF Kennedy, L-1855 Luxemburg, Luxemburg) sowie jede Nachfolgerorganisation bzw. jedes Nachfolgersystem.</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P="00547288">
            <w:pPr>
              <w:pStyle w:val="CSBody8pt"/>
            </w:pPr>
            <w:r w:rsidRPr="007C4266">
              <w:t>Clearing System</w:t>
            </w:r>
          </w:p>
        </w:tc>
        <w:tc>
          <w:tcPr>
            <w:tcW w:w="3315" w:type="dxa"/>
            <w:gridSpan w:val="2"/>
            <w:tcBorders>
              <w:top w:val="nil"/>
              <w:left w:val="nil"/>
              <w:bottom w:val="nil"/>
            </w:tcBorders>
            <w:shd w:val="clear" w:color="auto" w:fill="auto"/>
          </w:tcPr>
          <w:p w:rsidR="0017135D" w:rsidP="00547288">
            <w:pPr>
              <w:pStyle w:val="CSBody8pt"/>
            </w:pPr>
            <w:r w:rsidRPr="00792D61">
              <w:rPr>
                <w:b/>
              </w:rPr>
              <w:t>[</w:t>
            </w:r>
            <w:r w:rsidRPr="000426FA">
              <w:t>Clearstream Frankfurt</w:t>
            </w:r>
            <w:r w:rsidRPr="00792D61">
              <w:rPr>
                <w:b/>
              </w:rPr>
              <w:t>]</w:t>
            </w:r>
            <w:r w:rsidRPr="000426FA">
              <w:t xml:space="preserve"> </w:t>
            </w:r>
            <w:r w:rsidRPr="00792D61">
              <w:rPr>
                <w:b/>
              </w:rPr>
              <w:t>[</w:t>
            </w:r>
            <w:r w:rsidRPr="000426FA">
              <w:t>and/or</w:t>
            </w:r>
            <w:r w:rsidRPr="00792D61">
              <w:rPr>
                <w:b/>
              </w:rPr>
              <w:t>]</w:t>
            </w:r>
            <w:r w:rsidRPr="000426FA">
              <w:t xml:space="preserve"> </w:t>
            </w:r>
            <w:r w:rsidRPr="00792D61">
              <w:rPr>
                <w:b/>
              </w:rPr>
              <w:t>[</w:t>
            </w:r>
            <w:r w:rsidRPr="000426FA">
              <w:t>Clearstream Luxembourg</w:t>
            </w:r>
            <w:r w:rsidRPr="00792D61">
              <w:rPr>
                <w:b/>
              </w:rPr>
              <w:t>]</w:t>
            </w:r>
            <w:r w:rsidRPr="000426FA">
              <w:t xml:space="preserve"> </w:t>
            </w:r>
            <w:r w:rsidRPr="00792D61">
              <w:rPr>
                <w:b/>
              </w:rPr>
              <w:t>[</w:t>
            </w:r>
            <w:r w:rsidRPr="000426FA">
              <w:t>and/or</w:t>
            </w:r>
            <w:r w:rsidRPr="00792D61">
              <w:rPr>
                <w:b/>
              </w:rPr>
              <w:t>]</w:t>
            </w:r>
            <w:r w:rsidRPr="000426FA">
              <w:t xml:space="preserve"> </w:t>
            </w:r>
            <w:r w:rsidRPr="00792D61">
              <w:rPr>
                <w:b/>
              </w:rPr>
              <w:t>[</w:t>
            </w:r>
            <w:r w:rsidRPr="000426FA">
              <w:t>Euroclear</w:t>
            </w:r>
            <w:r w:rsidRPr="00792D61">
              <w:rPr>
                <w:b/>
              </w:rPr>
              <w:t>]</w:t>
            </w:r>
            <w:r w:rsidRPr="000426FA">
              <w:t xml:space="preserve"> </w:t>
            </w:r>
            <w:r w:rsidRPr="00792D61">
              <w:rPr>
                <w:b/>
              </w:rPr>
              <w:t>[</w:t>
            </w:r>
            <w:r w:rsidRPr="000426FA">
              <w:t>and/or</w:t>
            </w:r>
            <w:r w:rsidRPr="00792D61">
              <w:rPr>
                <w:b/>
              </w:rPr>
              <w:t>]</w:t>
            </w:r>
            <w:r w:rsidRPr="000426FA">
              <w:t xml:space="preserve"> </w:t>
            </w:r>
            <w:r w:rsidRPr="00792D61">
              <w:rPr>
                <w:b/>
              </w:rPr>
              <w:t>[</w:t>
            </w:r>
            <w:r w:rsidRPr="000426FA">
              <w:t>SIS</w:t>
            </w:r>
            <w:r w:rsidRPr="00792D61">
              <w:rPr>
                <w:b/>
              </w:rPr>
              <w:t>]</w:t>
            </w:r>
          </w:p>
        </w:tc>
        <w:tc>
          <w:tcPr>
            <w:tcW w:w="1618" w:type="dxa"/>
            <w:gridSpan w:val="2"/>
            <w:tcBorders>
              <w:top w:val="nil"/>
              <w:bottom w:val="nil"/>
              <w:right w:val="nil"/>
            </w:tcBorders>
            <w:shd w:val="clear" w:color="auto" w:fill="auto"/>
          </w:tcPr>
          <w:p w:rsidR="0017135D" w:rsidP="00547288">
            <w:pPr>
              <w:pStyle w:val="CSBody8pt"/>
            </w:pPr>
            <w:r w:rsidRPr="00C733D8">
              <w:t>Clearingsystem</w:t>
            </w: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792D61">
              <w:rPr>
                <w:b/>
                <w:lang w:val="de-DE"/>
              </w:rPr>
              <w:t>[</w:t>
            </w:r>
            <w:r w:rsidRPr="001D022D">
              <w:rPr>
                <w:lang w:val="de-DE"/>
              </w:rPr>
              <w:t>Clearstream Frankfurt</w:t>
            </w:r>
            <w:r w:rsidRPr="00792D61">
              <w:rPr>
                <w:b/>
                <w:lang w:val="de-DE"/>
              </w:rPr>
              <w:t>][</w:t>
            </w:r>
            <w:r w:rsidRPr="001D022D">
              <w:rPr>
                <w:lang w:val="de-DE"/>
              </w:rPr>
              <w:t>und/oder</w:t>
            </w:r>
            <w:r w:rsidRPr="00792D61">
              <w:rPr>
                <w:b/>
                <w:lang w:val="de-DE"/>
              </w:rPr>
              <w:t>]</w:t>
            </w:r>
            <w:r w:rsidRPr="001D022D">
              <w:rPr>
                <w:lang w:val="de-DE"/>
              </w:rPr>
              <w:t xml:space="preserve"> </w:t>
            </w:r>
            <w:r w:rsidRPr="00792D61">
              <w:rPr>
                <w:b/>
                <w:lang w:val="de-DE"/>
              </w:rPr>
              <w:t>[</w:t>
            </w:r>
            <w:r w:rsidRPr="001D022D">
              <w:rPr>
                <w:lang w:val="de-DE"/>
              </w:rPr>
              <w:t>Clearstream Luxemburg</w:t>
            </w:r>
            <w:r w:rsidRPr="00792D61">
              <w:rPr>
                <w:b/>
                <w:lang w:val="de-DE"/>
              </w:rPr>
              <w:t>]</w:t>
            </w:r>
            <w:r w:rsidRPr="001D022D">
              <w:rPr>
                <w:lang w:val="de-DE"/>
              </w:rPr>
              <w:t xml:space="preserve"> </w:t>
            </w:r>
            <w:r w:rsidRPr="00792D61">
              <w:rPr>
                <w:b/>
                <w:lang w:val="de-DE"/>
              </w:rPr>
              <w:t>[</w:t>
            </w:r>
            <w:r w:rsidRPr="001D022D">
              <w:rPr>
                <w:lang w:val="de-DE"/>
              </w:rPr>
              <w:t>und/oder</w:t>
            </w:r>
            <w:r w:rsidRPr="00792D61">
              <w:rPr>
                <w:b/>
                <w:lang w:val="de-DE"/>
              </w:rPr>
              <w:t>]</w:t>
            </w:r>
            <w:r w:rsidRPr="001D022D">
              <w:rPr>
                <w:lang w:val="de-DE"/>
              </w:rPr>
              <w:t xml:space="preserve"> </w:t>
            </w:r>
            <w:r w:rsidRPr="00792D61">
              <w:rPr>
                <w:b/>
                <w:lang w:val="de-DE"/>
              </w:rPr>
              <w:t>[</w:t>
            </w:r>
            <w:r w:rsidRPr="001D022D">
              <w:rPr>
                <w:lang w:val="de-DE"/>
              </w:rPr>
              <w:t>Euroclear</w:t>
            </w:r>
            <w:r w:rsidRPr="00792D61">
              <w:rPr>
                <w:b/>
                <w:lang w:val="de-DE"/>
              </w:rPr>
              <w:t>]</w:t>
            </w:r>
            <w:r w:rsidRPr="001D022D">
              <w:rPr>
                <w:lang w:val="de-DE"/>
              </w:rPr>
              <w:t xml:space="preserve"> </w:t>
            </w:r>
            <w:r w:rsidRPr="00792D61">
              <w:rPr>
                <w:b/>
                <w:lang w:val="de-DE"/>
              </w:rPr>
              <w:t>[</w:t>
            </w:r>
            <w:r w:rsidRPr="001D022D">
              <w:rPr>
                <w:lang w:val="de-DE"/>
              </w:rPr>
              <w:t>und/oder</w:t>
            </w:r>
            <w:r w:rsidRPr="00792D61">
              <w:rPr>
                <w:b/>
                <w:lang w:val="de-DE"/>
              </w:rPr>
              <w:t>]</w:t>
            </w:r>
            <w:r w:rsidRPr="001D022D">
              <w:rPr>
                <w:lang w:val="de-DE"/>
              </w:rPr>
              <w:t xml:space="preserve"> </w:t>
            </w:r>
            <w:r w:rsidRPr="00792D61">
              <w:rPr>
                <w:b/>
                <w:lang w:val="de-DE"/>
              </w:rPr>
              <w:t>[</w:t>
            </w:r>
            <w:r w:rsidRPr="001D022D">
              <w:rPr>
                <w:lang w:val="de-DE"/>
              </w:rPr>
              <w:t>SIS</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177C0" w:rsidP="00547288">
            <w:pPr>
              <w:pStyle w:val="CSBody8pt"/>
            </w:pPr>
            <w:r w:rsidRPr="00792D61">
              <w:rPr>
                <w:b/>
              </w:rPr>
              <w:t>[</w:t>
            </w:r>
            <w:r w:rsidRPr="004177C0">
              <w:t>Euroclear</w:t>
            </w:r>
          </w:p>
        </w:tc>
        <w:tc>
          <w:tcPr>
            <w:tcW w:w="3315" w:type="dxa"/>
            <w:gridSpan w:val="2"/>
            <w:tcBorders>
              <w:top w:val="nil"/>
              <w:left w:val="nil"/>
              <w:bottom w:val="nil"/>
            </w:tcBorders>
            <w:shd w:val="clear" w:color="auto" w:fill="auto"/>
          </w:tcPr>
          <w:p w:rsidR="0017135D" w:rsidP="00547288">
            <w:pPr>
              <w:pStyle w:val="CSBody8pt"/>
            </w:pPr>
            <w:r w:rsidRPr="004177C0">
              <w:t>Euroclear Bank S.A., Brussels, Belgium, as operator of the Euroclear system (Avenue de Schiphol 6, 1140 Brussels, Belgium) and any successor organisation or system.</w:t>
            </w:r>
            <w:r w:rsidRPr="00792D61">
              <w:rPr>
                <w:b/>
              </w:rPr>
              <w:t>]</w:t>
            </w:r>
          </w:p>
        </w:tc>
        <w:tc>
          <w:tcPr>
            <w:tcW w:w="1618" w:type="dxa"/>
            <w:gridSpan w:val="2"/>
            <w:tcBorders>
              <w:top w:val="nil"/>
              <w:bottom w:val="nil"/>
              <w:right w:val="nil"/>
            </w:tcBorders>
            <w:shd w:val="clear" w:color="auto" w:fill="auto"/>
          </w:tcPr>
          <w:p w:rsidR="0017135D" w:rsidRPr="00B025CD" w:rsidP="00547288">
            <w:pPr>
              <w:pStyle w:val="CSBody8pt"/>
            </w:pPr>
            <w:r w:rsidRPr="00792D61">
              <w:rPr>
                <w:b/>
              </w:rPr>
              <w:t>[</w:t>
            </w:r>
            <w:r w:rsidRPr="00B025CD">
              <w:t>Euroclear</w:t>
            </w:r>
          </w:p>
        </w:tc>
        <w:tc>
          <w:tcPr>
            <w:tcW w:w="3318" w:type="dxa"/>
            <w:tcBorders>
              <w:top w:val="nil"/>
              <w:left w:val="nil"/>
              <w:bottom w:val="nil"/>
              <w:right w:val="nil"/>
            </w:tcBorders>
            <w:shd w:val="clear" w:color="auto" w:fill="auto"/>
          </w:tcPr>
          <w:p w:rsidR="0017135D" w:rsidRPr="001D022D" w:rsidP="00547288">
            <w:pPr>
              <w:pStyle w:val="CSBody8pt"/>
              <w:rPr>
                <w:lang w:val="de-DE"/>
              </w:rPr>
            </w:pPr>
            <w:r w:rsidRPr="001D022D">
              <w:rPr>
                <w:lang w:val="de-DE"/>
              </w:rPr>
              <w:t>Euroclear Bank S.A., Brüssel, Belgien, als Betreiber des Systems von Euroclear (Avenue de Schiphol 6, 1140 Brüssel, Belgien) sowie jede Nachfolgerorganisation bzw. jedes Nachfolgersystem.</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547288">
            <w:pPr>
              <w:pStyle w:val="CSBody8pt"/>
              <w:rPr>
                <w:lang w:val="de-DE"/>
              </w:rPr>
            </w:pPr>
            <w:r w:rsidRPr="00F17869">
              <w:rPr>
                <w:lang w:val="de-DE"/>
              </w:rPr>
              <w:t>Extraordinary Event</w:t>
            </w:r>
            <w:r>
              <w:rPr>
                <w:lang w:val="de-DE"/>
              </w:rPr>
              <w:fldChar w:fldCharType="begin"/>
            </w:r>
            <w:r>
              <w:instrText xml:space="preserve"> XE "</w:instrText>
            </w:r>
            <w:r w:rsidRPr="007B5F71">
              <w:rPr>
                <w:lang w:val="de-DE"/>
              </w:rPr>
              <w:instrText>Extraordinary Event</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F17869" w:rsidP="00547288">
            <w:pPr>
              <w:pStyle w:val="CSManNum8pt"/>
            </w:pPr>
            <w:r w:rsidRPr="00F17869">
              <w:t>(i)</w:t>
            </w:r>
            <w:r w:rsidRPr="00F17869">
              <w:tab/>
              <w:t>any event (whether or not reasonably foreseeable) beyond the reasonable control of the person or entity whose performance is affected thereby, including but not limited to:</w:t>
            </w:r>
          </w:p>
        </w:tc>
        <w:tc>
          <w:tcPr>
            <w:tcW w:w="1618" w:type="dxa"/>
            <w:gridSpan w:val="2"/>
            <w:tcBorders>
              <w:top w:val="nil"/>
              <w:bottom w:val="nil"/>
              <w:right w:val="nil"/>
            </w:tcBorders>
            <w:shd w:val="clear" w:color="auto" w:fill="auto"/>
          </w:tcPr>
          <w:p w:rsidR="0017135D" w:rsidRPr="00F17869" w:rsidP="00877C09">
            <w:pPr>
              <w:pStyle w:val="CSBody8pt"/>
            </w:pPr>
            <w:r w:rsidRPr="00F17869">
              <w:t>Aussergewöhnliches Ereignis</w:t>
            </w:r>
            <w:r>
              <w:fldChar w:fldCharType="begin"/>
            </w:r>
            <w:r>
              <w:instrText xml:space="preserve"> XE "</w:instrText>
            </w:r>
            <w:r w:rsidRPr="00083108">
              <w:instrText>Aussergewöhnliches Ereignis</w:instrText>
            </w:r>
            <w:r>
              <w:instrText xml:space="preserve">" </w:instrText>
            </w:r>
            <w:r>
              <w:fldChar w:fldCharType="end"/>
            </w:r>
          </w:p>
        </w:tc>
        <w:tc>
          <w:tcPr>
            <w:tcW w:w="3318" w:type="dxa"/>
            <w:tcBorders>
              <w:top w:val="nil"/>
              <w:left w:val="nil"/>
              <w:bottom w:val="nil"/>
              <w:right w:val="nil"/>
            </w:tcBorders>
            <w:shd w:val="clear" w:color="auto" w:fill="auto"/>
          </w:tcPr>
          <w:p w:rsidR="0017135D" w:rsidRPr="001D022D" w:rsidP="00547288">
            <w:pPr>
              <w:pStyle w:val="CSManNum8pt"/>
              <w:rPr>
                <w:lang w:val="de-DE"/>
              </w:rPr>
            </w:pPr>
            <w:r w:rsidRPr="00F17869">
              <w:rPr>
                <w:lang w:val="de-DE"/>
              </w:rPr>
              <w:t>(i)</w:t>
            </w:r>
            <w:r w:rsidRPr="00F17869">
              <w:rPr>
                <w:lang w:val="de-DE"/>
              </w:rPr>
              <w:tab/>
              <w:t>jedes Ereignis (ob vernünftigerweise vorhersehbar oder nicht), auf das die Person oder Gesellschaft, deren Leistung davon betroffen ist, vernünftigerweise keinen Einfluss hat, einschliesslich unter anderem:</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D022D" w:rsidP="00547288">
            <w:pPr>
              <w:pStyle w:val="CSManNum8pt"/>
              <w:rPr>
                <w:lang w:val="de-DE"/>
              </w:rPr>
            </w:pPr>
          </w:p>
        </w:tc>
        <w:tc>
          <w:tcPr>
            <w:tcW w:w="3315" w:type="dxa"/>
            <w:gridSpan w:val="2"/>
            <w:tcBorders>
              <w:top w:val="nil"/>
              <w:left w:val="nil"/>
              <w:bottom w:val="nil"/>
            </w:tcBorders>
            <w:shd w:val="clear" w:color="auto" w:fill="auto"/>
          </w:tcPr>
          <w:p w:rsidR="0017135D" w:rsidRPr="001D022D" w:rsidP="00547288">
            <w:pPr>
              <w:pStyle w:val="CSManNum8pt"/>
            </w:pPr>
            <w:r w:rsidRPr="001D022D">
              <w:t>(a)</w:t>
            </w:r>
            <w:r w:rsidRPr="001D022D">
              <w:tab/>
              <w:t>any outbreak or escalation of hostilities or other national or international calamity or crisis,</w:t>
            </w:r>
          </w:p>
        </w:tc>
        <w:tc>
          <w:tcPr>
            <w:tcW w:w="1618" w:type="dxa"/>
            <w:gridSpan w:val="2"/>
            <w:tcBorders>
              <w:top w:val="nil"/>
              <w:bottom w:val="nil"/>
              <w:right w:val="nil"/>
            </w:tcBorders>
            <w:shd w:val="clear" w:color="auto" w:fill="auto"/>
          </w:tcPr>
          <w:p w:rsidR="0017135D" w:rsidRPr="001D022D" w:rsidP="00547288">
            <w:pPr>
              <w:pStyle w:val="CSManNum8pt"/>
              <w:rPr>
                <w:i/>
              </w:rPr>
            </w:pPr>
          </w:p>
        </w:tc>
        <w:tc>
          <w:tcPr>
            <w:tcW w:w="3318" w:type="dxa"/>
            <w:tcBorders>
              <w:top w:val="nil"/>
              <w:left w:val="nil"/>
              <w:bottom w:val="nil"/>
              <w:right w:val="nil"/>
            </w:tcBorders>
            <w:shd w:val="clear" w:color="auto" w:fill="auto"/>
          </w:tcPr>
          <w:p w:rsidR="0017135D" w:rsidRPr="001D022D" w:rsidP="00547288">
            <w:pPr>
              <w:pStyle w:val="CSManNum8pt"/>
              <w:rPr>
                <w:bCs/>
                <w:lang w:val="de-DE"/>
              </w:rPr>
            </w:pPr>
            <w:r w:rsidRPr="001D022D">
              <w:rPr>
                <w:bCs/>
                <w:lang w:val="de-DE"/>
              </w:rPr>
              <w:t>(a)</w:t>
            </w:r>
            <w:r w:rsidRPr="001D022D">
              <w:rPr>
                <w:bCs/>
                <w:lang w:val="de-DE"/>
              </w:rPr>
              <w:tab/>
              <w:t>jedes Ausbruchs bzw. jeder Eskalation von gewaltsamen Auseinandersetzungen oder sonstigen nationalen oder internationalen Zwischenfällen oder Krisen,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D022D" w:rsidP="00547288">
            <w:pPr>
              <w:pStyle w:val="CSManNum8pt"/>
              <w:rPr>
                <w:lang w:val="de-DE"/>
              </w:rPr>
            </w:pPr>
          </w:p>
        </w:tc>
        <w:tc>
          <w:tcPr>
            <w:tcW w:w="3315" w:type="dxa"/>
            <w:gridSpan w:val="2"/>
            <w:tcBorders>
              <w:top w:val="nil"/>
              <w:left w:val="nil"/>
              <w:bottom w:val="nil"/>
            </w:tcBorders>
            <w:shd w:val="clear" w:color="auto" w:fill="auto"/>
          </w:tcPr>
          <w:p w:rsidR="0017135D" w:rsidRPr="001D022D" w:rsidP="00547288">
            <w:pPr>
              <w:pStyle w:val="CSManNum8pt"/>
            </w:pPr>
            <w:r w:rsidRPr="001D022D">
              <w:t>(b)</w:t>
            </w:r>
            <w:r w:rsidRPr="001D022D">
              <w:tab/>
              <w:t>the enactment, publication, decree or other promulgation of any statute, regulation, rule or order of any court or other governmental authority, which affects, or would affect, the payment of any amount (or delivery of any other benefit) under the Complex Products,</w:t>
            </w:r>
          </w:p>
        </w:tc>
        <w:tc>
          <w:tcPr>
            <w:tcW w:w="1618" w:type="dxa"/>
            <w:gridSpan w:val="2"/>
            <w:tcBorders>
              <w:top w:val="nil"/>
              <w:bottom w:val="nil"/>
              <w:right w:val="nil"/>
            </w:tcBorders>
            <w:shd w:val="clear" w:color="auto" w:fill="auto"/>
          </w:tcPr>
          <w:p w:rsidR="0017135D" w:rsidRPr="001D022D" w:rsidP="00547288">
            <w:pPr>
              <w:pStyle w:val="CSManNum8pt"/>
              <w:rPr>
                <w:i/>
              </w:rPr>
            </w:pPr>
          </w:p>
        </w:tc>
        <w:tc>
          <w:tcPr>
            <w:tcW w:w="3318" w:type="dxa"/>
            <w:tcBorders>
              <w:top w:val="nil"/>
              <w:left w:val="nil"/>
              <w:bottom w:val="nil"/>
              <w:right w:val="nil"/>
            </w:tcBorders>
            <w:shd w:val="clear" w:color="auto" w:fill="auto"/>
          </w:tcPr>
          <w:p w:rsidR="0017135D" w:rsidRPr="001D022D" w:rsidP="00877C09">
            <w:pPr>
              <w:pStyle w:val="CSManNum8pt"/>
              <w:rPr>
                <w:bCs/>
                <w:lang w:val="de-DE"/>
              </w:rPr>
            </w:pPr>
            <w:r w:rsidRPr="001D022D">
              <w:rPr>
                <w:bCs/>
                <w:lang w:val="de-DE"/>
              </w:rPr>
              <w:t>(b)</w:t>
            </w:r>
            <w:r w:rsidRPr="001D022D">
              <w:rPr>
                <w:bCs/>
                <w:lang w:val="de-DE"/>
              </w:rPr>
              <w:tab/>
              <w:t>der Verabschiedung, Veröffentlichung, des Erlasses oder einer sonstigen Verkündung von Gesetzen, Verordnungen, Anordnungen oder Beschlüssen eines Gerichts oder einer sonstigen Regierungsstelle, die sich auf die Zahlung von Beträgen bzw. die Erbringung sonstiger Leistungen in Bezug auf die Komplexen Produkte auswirken bzw. auswirken würden,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D022D" w:rsidP="00547288">
            <w:pPr>
              <w:pStyle w:val="CSManNum8pt"/>
              <w:rPr>
                <w:lang w:val="de-DE"/>
              </w:rPr>
            </w:pPr>
          </w:p>
        </w:tc>
        <w:tc>
          <w:tcPr>
            <w:tcW w:w="3315" w:type="dxa"/>
            <w:gridSpan w:val="2"/>
            <w:tcBorders>
              <w:top w:val="nil"/>
              <w:left w:val="nil"/>
              <w:bottom w:val="nil"/>
            </w:tcBorders>
            <w:shd w:val="clear" w:color="auto" w:fill="auto"/>
          </w:tcPr>
          <w:p w:rsidR="0017135D" w:rsidRPr="001D022D" w:rsidP="00877C09">
            <w:pPr>
              <w:pStyle w:val="CSManNum8pt"/>
            </w:pPr>
            <w:r w:rsidRPr="001D022D">
              <w:t>(c)</w:t>
            </w:r>
            <w:r w:rsidRPr="001D022D">
              <w:tab/>
              <w:t xml:space="preserve">the taking of any action by any governmental, administrative, legislative, or judicial authority or power of any Jurisdictional Event Jurisdiction, or any political subdivisions thereof, with respect to its monetary or fiscal affairs or stock exchanges which has a material adverse effect on the financial markets, </w:t>
            </w:r>
            <w:r w:rsidRPr="00792D61">
              <w:rPr>
                <w:b/>
              </w:rPr>
              <w:t>[</w:t>
            </w:r>
            <w:r w:rsidRPr="001D022D">
              <w:t>and</w:t>
            </w:r>
            <w:r w:rsidRPr="00792D61">
              <w:rPr>
                <w:b/>
              </w:rPr>
              <w:t>]</w:t>
            </w:r>
          </w:p>
        </w:tc>
        <w:tc>
          <w:tcPr>
            <w:tcW w:w="1618" w:type="dxa"/>
            <w:gridSpan w:val="2"/>
            <w:tcBorders>
              <w:top w:val="nil"/>
              <w:bottom w:val="nil"/>
              <w:right w:val="nil"/>
            </w:tcBorders>
            <w:shd w:val="clear" w:color="auto" w:fill="auto"/>
          </w:tcPr>
          <w:p w:rsidR="0017135D" w:rsidRPr="001D022D" w:rsidP="00547288">
            <w:pPr>
              <w:pStyle w:val="CSManNum8pt"/>
              <w:rPr>
                <w:i/>
              </w:rPr>
            </w:pPr>
          </w:p>
        </w:tc>
        <w:tc>
          <w:tcPr>
            <w:tcW w:w="3318" w:type="dxa"/>
            <w:tcBorders>
              <w:top w:val="nil"/>
              <w:left w:val="nil"/>
              <w:bottom w:val="nil"/>
              <w:right w:val="nil"/>
            </w:tcBorders>
            <w:shd w:val="clear" w:color="auto" w:fill="auto"/>
          </w:tcPr>
          <w:p w:rsidR="0017135D" w:rsidRPr="001D022D" w:rsidP="00877C09">
            <w:pPr>
              <w:pStyle w:val="CSManNum8pt"/>
              <w:rPr>
                <w:bCs/>
                <w:lang w:val="de-DE"/>
              </w:rPr>
            </w:pPr>
            <w:r w:rsidRPr="001D022D">
              <w:rPr>
                <w:bCs/>
                <w:lang w:val="de-DE"/>
              </w:rPr>
              <w:t>(c)</w:t>
            </w:r>
            <w:r w:rsidRPr="001D022D">
              <w:rPr>
                <w:bCs/>
                <w:lang w:val="de-DE"/>
              </w:rPr>
              <w:tab/>
              <w:t xml:space="preserve">der Ergreifung von Massnahmen durch Regierungsstellen, Verwaltungsbehörden, den Gesetzgeber oder die Gerichte einer massgeblichen Rechtsordnung für Rechtsordnungsbezogene Ereignisse oder einer ihrer Gebietskörperschaften in Bezug auf ihre währungs- bzw. steuerpolitischen Angelegenheiten oder ihre Wertpapierbörsen, die sich wesentlich nachteilig auf die Finanzmärkte auswirken, </w:t>
            </w:r>
            <w:r w:rsidRPr="00792D61">
              <w:rPr>
                <w:b/>
                <w:bCs/>
                <w:lang w:val="de-DE"/>
              </w:rPr>
              <w:t>[</w:t>
            </w:r>
            <w:r w:rsidRPr="001D022D">
              <w:rPr>
                <w:bCs/>
                <w:lang w:val="de-DE"/>
              </w:rPr>
              <w:t>und</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D022D" w:rsidP="00547288">
            <w:pPr>
              <w:pStyle w:val="CSManNum8pt"/>
              <w:rPr>
                <w:lang w:val="de-DE"/>
              </w:rPr>
            </w:pPr>
          </w:p>
        </w:tc>
        <w:tc>
          <w:tcPr>
            <w:tcW w:w="3315" w:type="dxa"/>
            <w:gridSpan w:val="2"/>
            <w:tcBorders>
              <w:top w:val="nil"/>
              <w:left w:val="nil"/>
              <w:bottom w:val="nil"/>
            </w:tcBorders>
            <w:shd w:val="clear" w:color="auto" w:fill="auto"/>
          </w:tcPr>
          <w:p w:rsidR="0017135D" w:rsidRPr="001D022D" w:rsidP="00547288">
            <w:pPr>
              <w:pStyle w:val="CSManNum8pt"/>
            </w:pPr>
            <w:r w:rsidRPr="001D022D">
              <w:t>(d)</w:t>
            </w:r>
            <w:r w:rsidRPr="001D022D">
              <w:tab/>
              <w:t xml:space="preserve">the closing of any Clearing System with no substitution of a successor clearing organization within one week after such closing, </w:t>
            </w:r>
            <w:r w:rsidRPr="00792D61">
              <w:rPr>
                <w:b/>
              </w:rPr>
              <w:t>[</w:t>
            </w:r>
            <w:r w:rsidRPr="00547288">
              <w:rPr>
                <w:b/>
                <w:i/>
              </w:rPr>
              <w:t xml:space="preserve">in the case of Complex Products with a Reference Rate, insert: </w:t>
            </w:r>
            <w:r w:rsidRPr="001D022D">
              <w:t>and</w:t>
            </w:r>
          </w:p>
        </w:tc>
        <w:tc>
          <w:tcPr>
            <w:tcW w:w="1618" w:type="dxa"/>
            <w:gridSpan w:val="2"/>
            <w:tcBorders>
              <w:top w:val="nil"/>
              <w:bottom w:val="nil"/>
              <w:right w:val="nil"/>
            </w:tcBorders>
            <w:shd w:val="clear" w:color="auto" w:fill="auto"/>
          </w:tcPr>
          <w:p w:rsidR="0017135D" w:rsidRPr="001D022D" w:rsidP="00547288">
            <w:pPr>
              <w:pStyle w:val="CSManNum8pt"/>
              <w:rPr>
                <w:i/>
              </w:rPr>
            </w:pPr>
          </w:p>
        </w:tc>
        <w:tc>
          <w:tcPr>
            <w:tcW w:w="3318" w:type="dxa"/>
            <w:tcBorders>
              <w:top w:val="nil"/>
              <w:left w:val="nil"/>
              <w:bottom w:val="nil"/>
              <w:right w:val="nil"/>
            </w:tcBorders>
            <w:shd w:val="clear" w:color="auto" w:fill="auto"/>
          </w:tcPr>
          <w:p w:rsidR="0017135D" w:rsidRPr="001D022D">
            <w:pPr>
              <w:pStyle w:val="CSManNum8pt"/>
              <w:rPr>
                <w:bCs/>
                <w:lang w:val="de-DE"/>
              </w:rPr>
            </w:pPr>
            <w:r w:rsidRPr="001D022D">
              <w:rPr>
                <w:bCs/>
                <w:lang w:val="de-DE"/>
              </w:rPr>
              <w:t>(d)</w:t>
            </w:r>
            <w:r w:rsidRPr="001D022D">
              <w:rPr>
                <w:bCs/>
                <w:lang w:val="de-DE"/>
              </w:rPr>
              <w:tab/>
              <w:t xml:space="preserve">der Schliessung eines Clearingsystems, ohne dass innerhalb einer Woche nach der Schliessung eine Ersetzung durch eine Nachfolger-Clearingorganisation erfolgt, </w:t>
            </w:r>
            <w:r w:rsidRPr="00792D61">
              <w:rPr>
                <w:b/>
                <w:bCs/>
                <w:lang w:val="de-DE"/>
              </w:rPr>
              <w:t>[</w:t>
            </w:r>
            <w:r w:rsidRPr="00547288">
              <w:rPr>
                <w:b/>
                <w:bCs/>
                <w:i/>
                <w:lang w:val="de-DE"/>
              </w:rPr>
              <w:t>bei Komplexen Produkten mit einem Referenzsatz, einfügen:</w:t>
            </w:r>
            <w:r w:rsidRPr="001D022D">
              <w:rPr>
                <w:bCs/>
                <w:lang w:val="de-DE"/>
              </w:rPr>
              <w:t xml:space="preserve">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D022D" w:rsidP="00547288">
            <w:pPr>
              <w:pStyle w:val="CSManNum8pt"/>
              <w:rPr>
                <w:lang w:val="de-DE"/>
              </w:rPr>
            </w:pPr>
          </w:p>
        </w:tc>
        <w:tc>
          <w:tcPr>
            <w:tcW w:w="3315" w:type="dxa"/>
            <w:gridSpan w:val="2"/>
            <w:tcBorders>
              <w:top w:val="nil"/>
              <w:left w:val="nil"/>
              <w:bottom w:val="nil"/>
            </w:tcBorders>
            <w:shd w:val="clear" w:color="auto" w:fill="auto"/>
          </w:tcPr>
          <w:p w:rsidR="0017135D" w:rsidRPr="001D022D" w:rsidP="00547288">
            <w:pPr>
              <w:pStyle w:val="CSManNum8pt"/>
            </w:pPr>
            <w:r w:rsidRPr="001D022D">
              <w:t>(e)</w:t>
            </w:r>
            <w:r w:rsidRPr="001D022D">
              <w:tab/>
              <w:t>a Market Disruption Event,</w:t>
            </w:r>
            <w:r w:rsidRPr="00792D61">
              <w:rPr>
                <w:b/>
              </w:rPr>
              <w:t>]</w:t>
            </w:r>
          </w:p>
        </w:tc>
        <w:tc>
          <w:tcPr>
            <w:tcW w:w="1618" w:type="dxa"/>
            <w:gridSpan w:val="2"/>
            <w:tcBorders>
              <w:top w:val="nil"/>
              <w:bottom w:val="nil"/>
              <w:right w:val="nil"/>
            </w:tcBorders>
            <w:shd w:val="clear" w:color="auto" w:fill="auto"/>
          </w:tcPr>
          <w:p w:rsidR="0017135D" w:rsidRPr="001D022D" w:rsidP="00547288">
            <w:pPr>
              <w:pStyle w:val="CSManNum8pt"/>
              <w:rPr>
                <w:i/>
              </w:rPr>
            </w:pPr>
          </w:p>
        </w:tc>
        <w:tc>
          <w:tcPr>
            <w:tcW w:w="3318" w:type="dxa"/>
            <w:tcBorders>
              <w:top w:val="nil"/>
              <w:left w:val="nil"/>
              <w:bottom w:val="nil"/>
              <w:right w:val="nil"/>
            </w:tcBorders>
            <w:shd w:val="clear" w:color="auto" w:fill="auto"/>
          </w:tcPr>
          <w:p w:rsidR="0017135D" w:rsidRPr="001D022D" w:rsidP="00547288">
            <w:pPr>
              <w:pStyle w:val="CSManNum8pt"/>
              <w:rPr>
                <w:bCs/>
              </w:rPr>
            </w:pPr>
            <w:r w:rsidRPr="001D022D">
              <w:rPr>
                <w:bCs/>
              </w:rPr>
              <w:t>(e)</w:t>
            </w:r>
            <w:r w:rsidRPr="001D022D">
              <w:rPr>
                <w:bCs/>
              </w:rPr>
              <w:tab/>
              <w:t>einer Marktstörung,</w:t>
            </w:r>
            <w:r w:rsidRPr="00792D61">
              <w:rPr>
                <w:b/>
                <w:bCs/>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D022D" w:rsidP="00547288">
            <w:pPr>
              <w:pStyle w:val="CSBody8pt"/>
            </w:pPr>
          </w:p>
        </w:tc>
        <w:tc>
          <w:tcPr>
            <w:tcW w:w="3315" w:type="dxa"/>
            <w:gridSpan w:val="2"/>
            <w:tcBorders>
              <w:top w:val="nil"/>
              <w:left w:val="nil"/>
              <w:bottom w:val="nil"/>
            </w:tcBorders>
            <w:shd w:val="clear" w:color="auto" w:fill="auto"/>
          </w:tcPr>
          <w:p w:rsidR="0017135D" w:rsidRPr="001D022D" w:rsidP="00547288">
            <w:pPr>
              <w:pStyle w:val="CSBody8pt"/>
            </w:pPr>
            <w:r w:rsidRPr="001D022D">
              <w:t>which has had or could reasonably be expected to have a material adverse effect on the ability of the Issuer to perform its obligations under, or hedge its position with respect to, the Complex Products, or</w:t>
            </w:r>
          </w:p>
        </w:tc>
        <w:tc>
          <w:tcPr>
            <w:tcW w:w="1618" w:type="dxa"/>
            <w:gridSpan w:val="2"/>
            <w:tcBorders>
              <w:top w:val="nil"/>
              <w:bottom w:val="nil"/>
              <w:right w:val="nil"/>
            </w:tcBorders>
            <w:shd w:val="clear" w:color="auto" w:fill="auto"/>
          </w:tcPr>
          <w:p w:rsidR="0017135D" w:rsidRPr="001D022D" w:rsidP="00547288">
            <w:pPr>
              <w:pStyle w:val="CSBody8pt"/>
              <w:rPr>
                <w:i/>
              </w:rPr>
            </w:pPr>
          </w:p>
        </w:tc>
        <w:tc>
          <w:tcPr>
            <w:tcW w:w="3318" w:type="dxa"/>
            <w:tcBorders>
              <w:top w:val="nil"/>
              <w:left w:val="nil"/>
              <w:bottom w:val="nil"/>
              <w:right w:val="nil"/>
            </w:tcBorders>
            <w:shd w:val="clear" w:color="auto" w:fill="auto"/>
          </w:tcPr>
          <w:p w:rsidR="0017135D" w:rsidRPr="001D022D" w:rsidP="00547288">
            <w:pPr>
              <w:pStyle w:val="CSBody8pt"/>
              <w:rPr>
                <w:bCs/>
                <w:lang w:val="de-DE"/>
              </w:rPr>
            </w:pPr>
            <w:r w:rsidRPr="001D022D">
              <w:rPr>
                <w:bCs/>
                <w:lang w:val="de-DE"/>
              </w:rPr>
              <w:t>das sich wesentlich nachteilig auf die Fähigkeit der Emittentin ausgewirkt hat, ihre Verpflichtungen in Bezug auf die Komplexen Produkte zu erfüllen bzw. ihre Positionen in Bezug auf die Komplexen Produkte abzusichern, oder in Bezug auf das vernünftigerweise erwartet werden kann, dass dies der Fall sein wird,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D022D" w:rsidP="00547288">
            <w:pPr>
              <w:pStyle w:val="CSManNum8pt"/>
              <w:rPr>
                <w:lang w:val="de-DE"/>
              </w:rPr>
            </w:pPr>
          </w:p>
        </w:tc>
        <w:tc>
          <w:tcPr>
            <w:tcW w:w="3315" w:type="dxa"/>
            <w:gridSpan w:val="2"/>
            <w:tcBorders>
              <w:top w:val="nil"/>
              <w:left w:val="nil"/>
              <w:bottom w:val="nil"/>
            </w:tcBorders>
            <w:shd w:val="clear" w:color="auto" w:fill="auto"/>
          </w:tcPr>
          <w:p w:rsidR="0017135D" w:rsidRPr="007301CD" w:rsidP="00547288">
            <w:pPr>
              <w:pStyle w:val="CSManNum8pt"/>
            </w:pPr>
            <w:r>
              <w:t>(ii)</w:t>
            </w:r>
            <w:r>
              <w:tab/>
            </w:r>
            <w:r w:rsidRPr="007301CD">
              <w:t>any event similar to any of the events described in clause (i) above, which has had or could reasonably be expected to have a material adverse effect on the ability of the Issuer to perform its obligations under, or to hedge its position with respect to, any option or any other financial instrument held by the Issuer to hedge its obligations under the Complex Products.</w:t>
            </w:r>
          </w:p>
        </w:tc>
        <w:tc>
          <w:tcPr>
            <w:tcW w:w="1618" w:type="dxa"/>
            <w:gridSpan w:val="2"/>
            <w:tcBorders>
              <w:top w:val="nil"/>
              <w:bottom w:val="nil"/>
              <w:right w:val="nil"/>
            </w:tcBorders>
            <w:shd w:val="clear" w:color="auto" w:fill="auto"/>
          </w:tcPr>
          <w:p w:rsidR="0017135D" w:rsidRPr="007301CD" w:rsidP="00547288">
            <w:pPr>
              <w:pStyle w:val="CSManNum8pt"/>
              <w:rPr>
                <w:i/>
              </w:rPr>
            </w:pPr>
          </w:p>
        </w:tc>
        <w:tc>
          <w:tcPr>
            <w:tcW w:w="3318" w:type="dxa"/>
            <w:tcBorders>
              <w:top w:val="nil"/>
              <w:left w:val="nil"/>
              <w:bottom w:val="nil"/>
              <w:right w:val="nil"/>
            </w:tcBorders>
            <w:shd w:val="clear" w:color="auto" w:fill="auto"/>
          </w:tcPr>
          <w:p w:rsidR="0017135D" w:rsidRPr="007301CD" w:rsidP="00877C09">
            <w:pPr>
              <w:pStyle w:val="CSManNum8pt"/>
              <w:rPr>
                <w:bCs/>
                <w:lang w:val="de-DE"/>
              </w:rPr>
            </w:pPr>
            <w:r>
              <w:rPr>
                <w:bCs/>
                <w:lang w:val="de-DE"/>
              </w:rPr>
              <w:t>(ii)</w:t>
            </w:r>
            <w:r>
              <w:rPr>
                <w:bCs/>
                <w:lang w:val="de-DE"/>
              </w:rPr>
              <w:tab/>
            </w:r>
            <w:r w:rsidRPr="007301CD">
              <w:rPr>
                <w:bCs/>
                <w:lang w:val="de-DE"/>
              </w:rPr>
              <w:t>jedes Ereignis, das mit den in vorstehendem Absatz (i) beschriebenen Ereignissen vergleichbar ist und sich wesentlich nachteilig auf die Fähigkeit der Emittentin ausgewirkt hat, ihre Verpflichtungen aus Optionen oder sonstigen Finanzinstrumenten zu erfüllen, die von der Emittentin zur Absicherung ihrer Verpflichtungen in Bezug auf die Komplexen Produkte gehalten werden, bzw. ihre Positionen in Bezug auf solche Optionen oder sonstigen Finanzinstrumenten abzusichern, oder in Bezug auf das vernünftigerweise erwartet werden kann, dass dies der Fall sein wird.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D54E1" w:rsidP="00547288">
            <w:pPr>
              <w:pStyle w:val="CSBody8pt"/>
            </w:pPr>
            <w:r w:rsidRPr="001D54E1">
              <w:t>Jurisdictional Event Jurisdiction</w:t>
            </w:r>
          </w:p>
        </w:tc>
        <w:tc>
          <w:tcPr>
            <w:tcW w:w="3315" w:type="dxa"/>
            <w:gridSpan w:val="2"/>
            <w:tcBorders>
              <w:top w:val="nil"/>
              <w:left w:val="nil"/>
              <w:bottom w:val="nil"/>
            </w:tcBorders>
            <w:shd w:val="clear" w:color="auto" w:fill="auto"/>
          </w:tcPr>
          <w:p w:rsidR="0017135D" w:rsidP="00547288">
            <w:pPr>
              <w:pStyle w:val="CSBody8pt"/>
            </w:pPr>
            <w:r w:rsidRPr="001D54E1">
              <w:t>any jurisdiction or country relevant for the issue of the Complex Products, as determined by the Issuer.</w:t>
            </w:r>
          </w:p>
        </w:tc>
        <w:tc>
          <w:tcPr>
            <w:tcW w:w="1618" w:type="dxa"/>
            <w:gridSpan w:val="2"/>
            <w:tcBorders>
              <w:top w:val="nil"/>
              <w:bottom w:val="nil"/>
              <w:right w:val="nil"/>
            </w:tcBorders>
            <w:shd w:val="clear" w:color="auto" w:fill="auto"/>
          </w:tcPr>
          <w:p w:rsidR="0017135D" w:rsidRPr="007301CD" w:rsidP="00877C09">
            <w:pPr>
              <w:pStyle w:val="CSBody8pt"/>
              <w:rPr>
                <w:lang w:val="de-DE"/>
              </w:rPr>
            </w:pPr>
            <w:r w:rsidRPr="007301CD">
              <w:rPr>
                <w:lang w:val="de-DE"/>
              </w:rPr>
              <w:t>Massgebliche Rechtsordnung für Rechtsordnungsbezogene Ereignisse</w:t>
            </w:r>
          </w:p>
        </w:tc>
        <w:tc>
          <w:tcPr>
            <w:tcW w:w="3318" w:type="dxa"/>
            <w:tcBorders>
              <w:top w:val="nil"/>
              <w:left w:val="nil"/>
              <w:bottom w:val="nil"/>
              <w:right w:val="nil"/>
            </w:tcBorders>
            <w:shd w:val="clear" w:color="auto" w:fill="auto"/>
          </w:tcPr>
          <w:p w:rsidR="0017135D" w:rsidRPr="007301CD" w:rsidP="00547288">
            <w:pPr>
              <w:pStyle w:val="CSBody8pt"/>
              <w:rPr>
                <w:lang w:val="de-DE"/>
              </w:rPr>
            </w:pPr>
            <w:r w:rsidRPr="007301CD">
              <w:rPr>
                <w:lang w:val="de-DE"/>
              </w:rPr>
              <w:t>jede Rechtsordnung bzw. jedes Land, die bzw. das für die Emission der Komplexen Produkte massgeblich ist, wie jeweils von der Emittentin bestimmt.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B1036" w:rsidP="00547288">
            <w:pPr>
              <w:pStyle w:val="CSBody8ptbolditalics"/>
            </w:pPr>
            <w:r w:rsidRPr="00792D61">
              <w:t>[</w:t>
            </w:r>
            <w:r w:rsidRPr="00EB1036">
              <w:t>In the case of Complex Products with a Reference Rate, insert:</w:t>
            </w:r>
          </w:p>
        </w:tc>
        <w:tc>
          <w:tcPr>
            <w:tcW w:w="4936" w:type="dxa"/>
            <w:gridSpan w:val="3"/>
            <w:tcBorders>
              <w:top w:val="nil"/>
              <w:bottom w:val="nil"/>
              <w:right w:val="nil"/>
            </w:tcBorders>
            <w:shd w:val="clear" w:color="auto" w:fill="auto"/>
          </w:tcPr>
          <w:p w:rsidR="0017135D" w:rsidRPr="007301CD" w:rsidP="00547288">
            <w:pPr>
              <w:pStyle w:val="CSBody8ptbolditalics"/>
              <w:rPr>
                <w:lang w:val="de-DE"/>
              </w:rPr>
            </w:pPr>
            <w:r w:rsidRPr="00792D61">
              <w:rPr>
                <w:lang w:val="de-DE"/>
              </w:rPr>
              <w:t>[</w:t>
            </w:r>
            <w:r w:rsidRPr="007301CD">
              <w:rPr>
                <w:lang w:val="de-DE"/>
              </w:rPr>
              <w:t>Bei Komplexen Produkten mit einem Referenzsatz,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547288">
            <w:pPr>
              <w:pStyle w:val="CSBody8pt"/>
              <w:rPr>
                <w:lang w:val="de-DE"/>
              </w:rPr>
            </w:pPr>
            <w:r w:rsidRPr="00F17869">
              <w:rPr>
                <w:lang w:val="de-DE"/>
              </w:rPr>
              <w:t>Market Disruption Event</w:t>
            </w:r>
            <w:r>
              <w:rPr>
                <w:lang w:val="de-DE"/>
              </w:rPr>
              <w:fldChar w:fldCharType="begin"/>
            </w:r>
            <w:r>
              <w:instrText xml:space="preserve"> XE "</w:instrText>
            </w:r>
            <w:r w:rsidRPr="0099312A">
              <w:rPr>
                <w:lang w:val="de-DE"/>
              </w:rPr>
              <w:instrText>Market Disruption Event</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F17869" w:rsidP="00547288">
            <w:pPr>
              <w:pStyle w:val="CSBody8pt"/>
            </w:pPr>
            <w:r w:rsidRPr="00F17869">
              <w:t>with respect to a Reference Rate, (i) the occurrence of a Rate Source Disruption, Material Change in Content, Material Change in Formula or Tax Disruption, or (ii) a general moratorium declared with respect to banking activities in any Jurisdictional Event Jurisdiction.</w:t>
            </w:r>
          </w:p>
        </w:tc>
        <w:tc>
          <w:tcPr>
            <w:tcW w:w="1618" w:type="dxa"/>
            <w:gridSpan w:val="2"/>
            <w:tcBorders>
              <w:top w:val="nil"/>
              <w:bottom w:val="nil"/>
              <w:right w:val="nil"/>
            </w:tcBorders>
            <w:shd w:val="clear" w:color="auto" w:fill="auto"/>
          </w:tcPr>
          <w:p w:rsidR="0017135D" w:rsidRPr="00F17869" w:rsidP="00547288">
            <w:pPr>
              <w:pStyle w:val="CSBody8pt"/>
            </w:pPr>
            <w:r w:rsidRPr="00F17869">
              <w:t>Marktstörung</w:t>
            </w:r>
            <w:r>
              <w:fldChar w:fldCharType="begin"/>
            </w:r>
            <w:r>
              <w:instrText xml:space="preserve"> XE "</w:instrText>
            </w:r>
            <w:r w:rsidRPr="00033730">
              <w:instrText>Marktstörung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F17869" w:rsidP="00877C09">
            <w:pPr>
              <w:pStyle w:val="CSBody8pt"/>
              <w:rPr>
                <w:bCs/>
                <w:lang w:val="de-DE"/>
              </w:rPr>
            </w:pPr>
            <w:r w:rsidRPr="00F17869">
              <w:rPr>
                <w:bCs/>
                <w:lang w:val="de-DE"/>
              </w:rPr>
              <w:t>in Bezug auf einen Referenzsatz (i) der Eintritt einer Kursquellenstörung, einer Wesentlichen Änderung des Inhalts, einer Wesentlichen Änderung der Formel oder einer Steuerstörung oder (ii) ein allgemeines Moratorium, das in Bezug auf Bankgeschäfte in einer Massgeblichen Rechtsordnung für Rechtsordnungsbezogene Eriegnisse erklärt wird.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547288">
            <w:pPr>
              <w:pStyle w:val="CSBody8pt"/>
            </w:pPr>
            <w:r w:rsidRPr="00F17869">
              <w:t>Material Change in Content</w:t>
            </w:r>
            <w:r>
              <w:fldChar w:fldCharType="begin"/>
            </w:r>
            <w:r>
              <w:instrText xml:space="preserve"> XE "</w:instrText>
            </w:r>
            <w:r w:rsidRPr="00BD0FE7">
              <w:instrText>Material Change in Content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17869" w:rsidP="00547288">
            <w:pPr>
              <w:pStyle w:val="CSBody8pt"/>
            </w:pPr>
            <w:r w:rsidRPr="00F17869">
              <w:t>with respect to a Reference Rate, the occurrence since the Issue Date of a material change in the content, composition or constitution of such Reference Rate.</w:t>
            </w:r>
          </w:p>
        </w:tc>
        <w:tc>
          <w:tcPr>
            <w:tcW w:w="1618" w:type="dxa"/>
            <w:gridSpan w:val="2"/>
            <w:tcBorders>
              <w:top w:val="nil"/>
              <w:bottom w:val="nil"/>
              <w:right w:val="nil"/>
            </w:tcBorders>
            <w:shd w:val="clear" w:color="auto" w:fill="auto"/>
          </w:tcPr>
          <w:p w:rsidR="0017135D" w:rsidRPr="00F17869" w:rsidP="00547288">
            <w:pPr>
              <w:pStyle w:val="CSBody8pt"/>
            </w:pPr>
            <w:r w:rsidRPr="00F17869">
              <w:t>Wesentliche Änderung des Inhalts</w:t>
            </w:r>
            <w:r>
              <w:fldChar w:fldCharType="begin"/>
            </w:r>
            <w:r>
              <w:instrText xml:space="preserve"> XE "</w:instrText>
            </w:r>
            <w:r w:rsidRPr="004A41A2">
              <w:instrText>Wesentliche Änderung des Inhalts</w:instrText>
            </w:r>
            <w:r>
              <w:instrText xml:space="preserve">" </w:instrText>
            </w:r>
            <w:r>
              <w:fldChar w:fldCharType="end"/>
            </w:r>
          </w:p>
        </w:tc>
        <w:tc>
          <w:tcPr>
            <w:tcW w:w="3318" w:type="dxa"/>
            <w:tcBorders>
              <w:top w:val="nil"/>
              <w:left w:val="nil"/>
              <w:bottom w:val="nil"/>
              <w:right w:val="nil"/>
            </w:tcBorders>
            <w:shd w:val="clear" w:color="auto" w:fill="auto"/>
          </w:tcPr>
          <w:p w:rsidR="0017135D" w:rsidRPr="007301CD" w:rsidP="00547288">
            <w:pPr>
              <w:pStyle w:val="CSBody8pt"/>
              <w:rPr>
                <w:lang w:val="de-DE"/>
              </w:rPr>
            </w:pPr>
            <w:r w:rsidRPr="00F17869">
              <w:rPr>
                <w:lang w:val="de-DE"/>
              </w:rPr>
              <w:t>in Bezug auf einen Referenzsatz der Eintritt einter wesentlichen Änderung des Inhalts, der Zusammensetzung oder der Baschaffenheit dieses Referenzsatzes nach dem Emissionstag.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547288">
            <w:pPr>
              <w:pStyle w:val="CSBody8pt"/>
            </w:pPr>
            <w:r w:rsidRPr="00F17869">
              <w:t>Material Change in Formula</w:t>
            </w:r>
            <w:r>
              <w:fldChar w:fldCharType="begin"/>
            </w:r>
            <w:r>
              <w:instrText xml:space="preserve"> XE "</w:instrText>
            </w:r>
            <w:r w:rsidRPr="00C52ECD">
              <w:instrText>Material Change in Formula</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17869" w:rsidP="00547288">
            <w:pPr>
              <w:pStyle w:val="CSBody8pt"/>
            </w:pPr>
            <w:r w:rsidRPr="00F17869">
              <w:t>with respect to a Reference Rate, the occurrence since the Issue Date of a material change in the formula for or method of calculating such Reference Rate.</w:t>
            </w:r>
          </w:p>
        </w:tc>
        <w:tc>
          <w:tcPr>
            <w:tcW w:w="1618" w:type="dxa"/>
            <w:gridSpan w:val="2"/>
            <w:tcBorders>
              <w:top w:val="nil"/>
              <w:bottom w:val="nil"/>
              <w:right w:val="nil"/>
            </w:tcBorders>
            <w:shd w:val="clear" w:color="auto" w:fill="auto"/>
          </w:tcPr>
          <w:p w:rsidR="0017135D" w:rsidRPr="00F17869" w:rsidP="00547288">
            <w:pPr>
              <w:pStyle w:val="CSBody8pt"/>
            </w:pPr>
            <w:r w:rsidRPr="00F17869">
              <w:t>Wesentliche Änderung der Formel</w:t>
            </w:r>
            <w:r>
              <w:fldChar w:fldCharType="begin"/>
            </w:r>
            <w:r>
              <w:instrText xml:space="preserve"> XE "</w:instrText>
            </w:r>
            <w:r w:rsidRPr="00541149">
              <w:instrText>Wesentliche Änderung der Formel</w:instrText>
            </w:r>
            <w:r>
              <w:instrText xml:space="preserve">" </w:instrText>
            </w:r>
            <w:r>
              <w:fldChar w:fldCharType="end"/>
            </w:r>
          </w:p>
        </w:tc>
        <w:tc>
          <w:tcPr>
            <w:tcW w:w="3318" w:type="dxa"/>
            <w:tcBorders>
              <w:top w:val="nil"/>
              <w:left w:val="nil"/>
              <w:bottom w:val="nil"/>
              <w:right w:val="nil"/>
            </w:tcBorders>
            <w:shd w:val="clear" w:color="auto" w:fill="auto"/>
          </w:tcPr>
          <w:p w:rsidR="0017135D" w:rsidRPr="00F17869" w:rsidP="00547288">
            <w:pPr>
              <w:pStyle w:val="CSBody8pt"/>
              <w:rPr>
                <w:lang w:val="de-DE"/>
              </w:rPr>
            </w:pPr>
            <w:r w:rsidRPr="00F17869">
              <w:rPr>
                <w:lang w:val="de-DE"/>
              </w:rPr>
              <w:t>in Bezug auf einen Referenzsatz der Eintritt einer wesentlichen Änderung der Formel bzw. Methode zur Berechnung des Referenzsatzes nach dem Emissionstag.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547288">
            <w:pPr>
              <w:pStyle w:val="CSBody8pt"/>
            </w:pPr>
            <w:r w:rsidRPr="00F17869">
              <w:t>Rate Source Disruption</w:t>
            </w:r>
            <w:r>
              <w:fldChar w:fldCharType="begin"/>
            </w:r>
            <w:r>
              <w:instrText xml:space="preserve"> XE "</w:instrText>
            </w:r>
            <w:r w:rsidRPr="00646193">
              <w:instrText>Rate Source Disruption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17869" w:rsidP="00547288">
            <w:pPr>
              <w:pStyle w:val="CSBody8pt"/>
            </w:pPr>
            <w:r w:rsidRPr="00F17869">
              <w:t>with respect to a Reference Rate, (i) the failure of the Rate Source to announce or publish such Reference Rate or (ii) the temporary or permanent discontinuance or unavailability of the Rate Source.</w:t>
            </w:r>
          </w:p>
        </w:tc>
        <w:tc>
          <w:tcPr>
            <w:tcW w:w="1618" w:type="dxa"/>
            <w:gridSpan w:val="2"/>
            <w:tcBorders>
              <w:top w:val="nil"/>
              <w:bottom w:val="nil"/>
              <w:right w:val="nil"/>
            </w:tcBorders>
            <w:shd w:val="clear" w:color="auto" w:fill="auto"/>
          </w:tcPr>
          <w:p w:rsidR="0017135D" w:rsidRPr="00F17869" w:rsidP="00877C09">
            <w:pPr>
              <w:pStyle w:val="CSBody8pt"/>
            </w:pPr>
            <w:r w:rsidRPr="00F17869">
              <w:t>Kursquellenstörung</w:t>
            </w:r>
            <w:r>
              <w:fldChar w:fldCharType="begin"/>
            </w:r>
            <w:r>
              <w:instrText xml:space="preserve"> XE "</w:instrText>
            </w:r>
            <w:r w:rsidRPr="0020754E">
              <w:instrText>Kursquellenstörung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F17869" w:rsidP="00547288">
            <w:pPr>
              <w:pStyle w:val="CSBody8pt"/>
              <w:rPr>
                <w:lang w:val="de-DE"/>
              </w:rPr>
            </w:pPr>
            <w:r w:rsidRPr="00F17869">
              <w:rPr>
                <w:lang w:val="de-DE"/>
              </w:rPr>
              <w:t>in Bezug auf einen Referenzsatz (i) die Nichtbekanntgabe oder Nichtveröffentlichung des Referenzsatzes durch die Kursquelle oder (ii) die vorübergehende oder dauerhafte Einstellung oder Nichtverfügbarkeit der Kursquelle.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547288">
            <w:pPr>
              <w:pStyle w:val="CSBody8pt"/>
            </w:pPr>
            <w:r w:rsidRPr="00F17869">
              <w:t>Tax Disruption</w:t>
            </w:r>
            <w:r>
              <w:fldChar w:fldCharType="begin"/>
            </w:r>
            <w:r>
              <w:instrText xml:space="preserve"> XE "</w:instrText>
            </w:r>
            <w:r w:rsidRPr="00263565">
              <w:instrText>Tax Disruption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17869" w:rsidP="00547288">
            <w:pPr>
              <w:pStyle w:val="CSBody8pt"/>
            </w:pPr>
            <w:r w:rsidRPr="00F17869">
              <w:t>with respect to a Reference Rate, the imposition of, change in or removal of an excise, severance, sales, use, value-added, transfer, stamp, documentary, recording or similar tax on, or measured by reference to, such Reference Rate (other than a tax on, or measured by reference to, overall gross or net income) by any government or taxation authority after the Issue Date, if the direct effect of such imposition, change or removal is to raise or lower such Reference Rate on the day on which such Reference Rate would otherwise be determined from what it would have been without that imposition, change or removal.</w:t>
            </w:r>
            <w:r w:rsidRPr="00792D61">
              <w:rPr>
                <w:b/>
              </w:rPr>
              <w:t>]</w:t>
            </w:r>
          </w:p>
        </w:tc>
        <w:tc>
          <w:tcPr>
            <w:tcW w:w="1618" w:type="dxa"/>
            <w:gridSpan w:val="2"/>
            <w:tcBorders>
              <w:top w:val="nil"/>
              <w:bottom w:val="nil"/>
              <w:right w:val="nil"/>
            </w:tcBorders>
            <w:shd w:val="clear" w:color="auto" w:fill="auto"/>
          </w:tcPr>
          <w:p w:rsidR="0017135D" w:rsidRPr="00F17869" w:rsidP="00547288">
            <w:pPr>
              <w:pStyle w:val="CSBody8pt"/>
            </w:pPr>
            <w:r w:rsidRPr="00F17869">
              <w:t>Steuerstörung</w:t>
            </w:r>
            <w:r>
              <w:fldChar w:fldCharType="begin"/>
            </w:r>
            <w:r>
              <w:instrText xml:space="preserve"> XE "</w:instrText>
            </w:r>
            <w:r w:rsidRPr="001C5C9D">
              <w:instrText>Steuerstörung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7301CD" w:rsidP="00547288">
            <w:pPr>
              <w:pStyle w:val="CSBody8pt"/>
              <w:rPr>
                <w:lang w:val="de-DE"/>
              </w:rPr>
            </w:pPr>
            <w:r w:rsidRPr="00F17869">
              <w:rPr>
                <w:lang w:val="de-DE"/>
              </w:rPr>
              <w:t>in Bezug auf einen Referenzsatz die nach dem Emissionstag durch einen Staat oder eine Steuerbehörde erfolgende Einführung, Änderung oder Abschaffung einer Verbrauchs-, Produktions-, Verkaufs-, Nutzungs-, Umsatz-, Übertragungs-, Stempel-, Dokumentations-, Registrierungs- oder einer vergleichbaren Steuer auf oder mit Bezug auf diesen Referenzsatz (hiervon ausgenommen sind Steuern auf oder mit Bezug auf das Gesamtbrutto- bzw. Gesamtnettoeinkommen), sofern die unmittelbare Folge dieser Einführung, Änderung oder Abschaffung an dem Tag gelten würde, an dem der Referenzsatz ansonsten bestimmt würde.</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1002B" w:rsidP="00547288">
            <w:pPr>
              <w:pStyle w:val="CSBody8pt"/>
            </w:pPr>
            <w:r w:rsidRPr="00792D61">
              <w:rPr>
                <w:b/>
              </w:rPr>
              <w:t>[</w:t>
            </w:r>
            <w:r w:rsidRPr="00A1002B">
              <w:t>SIS</w:t>
            </w:r>
          </w:p>
        </w:tc>
        <w:tc>
          <w:tcPr>
            <w:tcW w:w="3315" w:type="dxa"/>
            <w:gridSpan w:val="2"/>
            <w:tcBorders>
              <w:top w:val="nil"/>
              <w:left w:val="nil"/>
              <w:bottom w:val="nil"/>
            </w:tcBorders>
            <w:shd w:val="clear" w:color="auto" w:fill="auto"/>
          </w:tcPr>
          <w:p w:rsidR="0017135D" w:rsidRPr="008F6360" w:rsidP="00547288">
            <w:pPr>
              <w:pStyle w:val="CSBody8pt"/>
            </w:pPr>
            <w:r w:rsidRPr="008F6360">
              <w:t>SIX SIS Ltd, the Swiss securities services corporation (Baslerstrasse 100, 4600 Olten, Switzerland), and any successor organization or system.</w:t>
            </w:r>
            <w:r w:rsidRPr="00792D61">
              <w:rPr>
                <w:b/>
              </w:rPr>
              <w:t>]</w:t>
            </w:r>
          </w:p>
        </w:tc>
        <w:tc>
          <w:tcPr>
            <w:tcW w:w="1618" w:type="dxa"/>
            <w:gridSpan w:val="2"/>
            <w:tcBorders>
              <w:top w:val="nil"/>
              <w:bottom w:val="nil"/>
              <w:right w:val="nil"/>
            </w:tcBorders>
            <w:shd w:val="clear" w:color="auto" w:fill="auto"/>
          </w:tcPr>
          <w:p w:rsidR="0017135D" w:rsidRPr="00425216" w:rsidP="00547288">
            <w:pPr>
              <w:pStyle w:val="CSBody8pt"/>
            </w:pPr>
            <w:r w:rsidRPr="00792D61">
              <w:rPr>
                <w:b/>
              </w:rPr>
              <w:t>[</w:t>
            </w:r>
            <w:r w:rsidRPr="00425216">
              <w:t>SIS</w:t>
            </w:r>
          </w:p>
        </w:tc>
        <w:tc>
          <w:tcPr>
            <w:tcW w:w="3318" w:type="dxa"/>
            <w:tcBorders>
              <w:top w:val="nil"/>
              <w:left w:val="nil"/>
              <w:bottom w:val="nil"/>
              <w:right w:val="nil"/>
            </w:tcBorders>
            <w:shd w:val="clear" w:color="auto" w:fill="auto"/>
          </w:tcPr>
          <w:p w:rsidR="0017135D" w:rsidRPr="007301CD">
            <w:pPr>
              <w:pStyle w:val="CSBody8pt"/>
              <w:rPr>
                <w:lang w:val="de-DE"/>
              </w:rPr>
            </w:pPr>
            <w:r w:rsidRPr="007301CD">
              <w:rPr>
                <w:lang w:val="de-DE"/>
              </w:rPr>
              <w:t>SIX SIS AG, der Schweizer Wertpapierdienstleister (Baslerstrasse 100, 4600 Olten, Schweiz), sowie jede Nachfolgerorganisation bzw. jedes Nachfolgersystem.</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547288">
            <w:pPr>
              <w:pStyle w:val="CSBody8pt"/>
            </w:pPr>
            <w:r w:rsidRPr="00F17869">
              <w:t>Form of Complex Products</w:t>
            </w:r>
            <w:r>
              <w:fldChar w:fldCharType="begin"/>
            </w:r>
            <w:r>
              <w:instrText xml:space="preserve"> XE "</w:instrText>
            </w:r>
            <w:r w:rsidRPr="00C06691">
              <w:instrText>Form of Complex Products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17869" w:rsidP="00547288">
            <w:pPr>
              <w:pStyle w:val="CSBody8pt"/>
            </w:pPr>
            <w:r w:rsidRPr="00792D61">
              <w:rPr>
                <w:b/>
              </w:rPr>
              <w:t>[</w:t>
            </w:r>
            <w:r w:rsidRPr="00F17869">
              <w:t>Uncertificated Securities</w:t>
            </w:r>
            <w:r w:rsidRPr="00792D61">
              <w:rPr>
                <w:b/>
              </w:rPr>
              <w:t>][</w:t>
            </w:r>
            <w:r w:rsidRPr="00F17869">
              <w:t>Bearer, Permanent Global Certificate</w:t>
            </w:r>
            <w:r w:rsidRPr="00792D61">
              <w:rPr>
                <w:b/>
              </w:rPr>
              <w:t>]</w:t>
            </w:r>
          </w:p>
        </w:tc>
        <w:tc>
          <w:tcPr>
            <w:tcW w:w="1618" w:type="dxa"/>
            <w:gridSpan w:val="2"/>
            <w:tcBorders>
              <w:top w:val="nil"/>
              <w:bottom w:val="nil"/>
              <w:right w:val="nil"/>
            </w:tcBorders>
            <w:shd w:val="clear" w:color="auto" w:fill="auto"/>
          </w:tcPr>
          <w:p w:rsidR="0017135D" w:rsidRPr="00F17869" w:rsidP="00547288">
            <w:pPr>
              <w:pStyle w:val="CSBody8pt"/>
            </w:pPr>
            <w:r w:rsidRPr="00F17869">
              <w:t>Verbriefung der Komplexen Produkte</w:t>
            </w:r>
            <w:r>
              <w:fldChar w:fldCharType="begin"/>
            </w:r>
            <w:r>
              <w:instrText xml:space="preserve"> XE "</w:instrText>
            </w:r>
            <w:r w:rsidRPr="00B37329">
              <w:instrText>Verbriefung der Komplexen Produkte</w:instrText>
            </w:r>
            <w:r>
              <w:instrText xml:space="preserve">" </w:instrText>
            </w:r>
            <w:r>
              <w:fldChar w:fldCharType="end"/>
            </w:r>
          </w:p>
        </w:tc>
        <w:tc>
          <w:tcPr>
            <w:tcW w:w="3318" w:type="dxa"/>
            <w:tcBorders>
              <w:top w:val="nil"/>
              <w:left w:val="nil"/>
              <w:bottom w:val="nil"/>
              <w:right w:val="nil"/>
            </w:tcBorders>
            <w:shd w:val="clear" w:color="auto" w:fill="auto"/>
          </w:tcPr>
          <w:p w:rsidR="0017135D" w:rsidRPr="00F17869" w:rsidP="00547288">
            <w:pPr>
              <w:pStyle w:val="CSBody8pt"/>
              <w:rPr>
                <w:lang w:val="de-DE"/>
              </w:rPr>
            </w:pPr>
            <w:r w:rsidRPr="00792D61">
              <w:rPr>
                <w:b/>
                <w:lang w:val="de-DE"/>
              </w:rPr>
              <w:t>[</w:t>
            </w:r>
            <w:r w:rsidRPr="00F17869">
              <w:rPr>
                <w:lang w:val="de-DE"/>
              </w:rPr>
              <w:t>Wertrechte</w:t>
            </w:r>
            <w:r w:rsidRPr="00792D61">
              <w:rPr>
                <w:b/>
                <w:lang w:val="de-DE"/>
              </w:rPr>
              <w:t>][</w:t>
            </w:r>
            <w:r w:rsidRPr="00F17869">
              <w:rPr>
                <w:lang w:val="de-DE"/>
              </w:rPr>
              <w:t>auf den Inhaber lautende Dauerglobalurkunde</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547288">
            <w:pPr>
              <w:pStyle w:val="CSBody8pt"/>
            </w:pPr>
            <w:r w:rsidRPr="00F17869">
              <w:t>Holder(s)</w:t>
            </w:r>
            <w:r>
              <w:fldChar w:fldCharType="begin"/>
            </w:r>
            <w:r>
              <w:instrText xml:space="preserve"> XE "</w:instrText>
            </w:r>
            <w:r w:rsidRPr="00C83FE5">
              <w:instrText>Holder(s)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17869" w:rsidP="00547288">
            <w:pPr>
              <w:pStyle w:val="CSBody8pt"/>
            </w:pPr>
            <w:r w:rsidRPr="00792D61">
              <w:rPr>
                <w:b/>
              </w:rPr>
              <w:t>[[</w:t>
            </w:r>
            <w:r w:rsidRPr="00F17869">
              <w:t>the person or group of persons entitled to the rights conferred by the Complex Products.</w:t>
            </w:r>
            <w:r w:rsidRPr="00792D61">
              <w:rPr>
                <w:b/>
              </w:rPr>
              <w:t>][</w:t>
            </w:r>
            <w:r w:rsidRPr="00F17869">
              <w:rPr>
                <w:b/>
                <w:i/>
              </w:rPr>
              <w:t>in the case of Complex Products that are Intermediated Securities registered with the SIS:</w:t>
            </w:r>
            <w:r w:rsidRPr="00F17869">
              <w:t xml:space="preserve"> with respect to any Complex Product, the person holding the Complex Product in a securities account that is in his or her name or, in the case of an intermediary, the intermediary holding the Complex Product for its own account in a securities account that is in its name.</w:t>
            </w:r>
            <w:r w:rsidRPr="00792D61">
              <w:rPr>
                <w:b/>
              </w:rPr>
              <w:t>][</w:t>
            </w:r>
            <w:r w:rsidRPr="00F17869">
              <w:rPr>
                <w:b/>
                <w:i/>
              </w:rPr>
              <w:t>in the case of Complex Products represented by a Permanent Global Certificate deposited with Clearstream, Frankfurt, Clearstream, Luxembourg or Euroclear:</w:t>
            </w:r>
            <w:r w:rsidRPr="00F17869">
              <w:t xml:space="preserve"> the person or persons who are entitled to a co-ownership interest, beneficial interest or other comparable right in the Permanent Global Certificate.</w:t>
            </w:r>
            <w:r w:rsidRPr="00792D61">
              <w:rPr>
                <w:b/>
              </w:rPr>
              <w:t>]]</w:t>
            </w:r>
            <w:r w:rsidRPr="00F17869">
              <w:t xml:space="preserve"> The Holder of a Complex Product shall, for all purposes, be treated by (i) the Issuer, (ii) the Calculation Agent, (iii) the Paying Agent and (iv) all other persons as the person entitled to such Complex Product and the person entitled to receive the benefits of the rights represented by such Complex Product.</w:t>
            </w:r>
          </w:p>
        </w:tc>
        <w:tc>
          <w:tcPr>
            <w:tcW w:w="1618" w:type="dxa"/>
            <w:gridSpan w:val="2"/>
            <w:tcBorders>
              <w:top w:val="nil"/>
              <w:bottom w:val="nil"/>
              <w:right w:val="nil"/>
            </w:tcBorders>
            <w:shd w:val="clear" w:color="auto" w:fill="auto"/>
          </w:tcPr>
          <w:p w:rsidR="0017135D" w:rsidRPr="00F17869" w:rsidP="00547288">
            <w:pPr>
              <w:pStyle w:val="CSBody8pt"/>
            </w:pPr>
            <w:r w:rsidRPr="00F17869">
              <w:t>Inhaber</w:t>
            </w:r>
            <w:r>
              <w:fldChar w:fldCharType="begin"/>
            </w:r>
            <w:r>
              <w:instrText xml:space="preserve"> XE "</w:instrText>
            </w:r>
            <w:r w:rsidRPr="006F41C3">
              <w:instrText>Inhaber</w:instrText>
            </w:r>
            <w:r>
              <w:instrText xml:space="preserve">" </w:instrText>
            </w:r>
            <w:r>
              <w:fldChar w:fldCharType="end"/>
            </w:r>
          </w:p>
        </w:tc>
        <w:tc>
          <w:tcPr>
            <w:tcW w:w="3318" w:type="dxa"/>
            <w:tcBorders>
              <w:top w:val="nil"/>
              <w:left w:val="nil"/>
              <w:bottom w:val="nil"/>
              <w:right w:val="nil"/>
            </w:tcBorders>
            <w:shd w:val="clear" w:color="auto" w:fill="auto"/>
          </w:tcPr>
          <w:p w:rsidR="0017135D" w:rsidRPr="007301CD" w:rsidP="00547288">
            <w:pPr>
              <w:pStyle w:val="CSBody8pt"/>
              <w:rPr>
                <w:lang w:val="de-DE"/>
              </w:rPr>
            </w:pPr>
            <w:r w:rsidRPr="00792D61">
              <w:rPr>
                <w:b/>
                <w:lang w:val="de-DE"/>
              </w:rPr>
              <w:t>[[</w:t>
            </w:r>
            <w:r w:rsidRPr="00F17869">
              <w:rPr>
                <w:lang w:val="de-DE"/>
              </w:rPr>
              <w:t>die Person bzw. Personengruppe, der die durch die Komplexen Produkte gewährten Rechte zustehen.</w:t>
            </w:r>
            <w:r w:rsidRPr="00792D61">
              <w:rPr>
                <w:b/>
                <w:lang w:val="de-DE"/>
              </w:rPr>
              <w:t>][</w:t>
            </w:r>
            <w:r w:rsidRPr="00F17869">
              <w:rPr>
                <w:b/>
                <w:i/>
                <w:lang w:val="de-DE"/>
              </w:rPr>
              <w:t>bei Komplexen Produkten, die als Bucheffekten bei der SIS registriert sind:</w:t>
            </w:r>
            <w:r w:rsidRPr="00F17869">
              <w:rPr>
                <w:lang w:val="de-DE"/>
              </w:rPr>
              <w:t xml:space="preserve"> in Bezug auf ein Komplexes Produkt die Person, die das Komplexe Produkt in einem auf ihren Namen lautenden Wertpapierdepot hält bzw. im Fall eines Vermittlers, der Vermittler, der das Komplexe Produkt auf eigene Rechnung in einem auf seinen Namen lautenden Wertpapierdepot hält.</w:t>
            </w:r>
            <w:r w:rsidRPr="00792D61">
              <w:rPr>
                <w:b/>
                <w:lang w:val="de-DE"/>
              </w:rPr>
              <w:t>][</w:t>
            </w:r>
            <w:r w:rsidRPr="00F17869">
              <w:rPr>
                <w:b/>
                <w:i/>
                <w:lang w:val="de-DE"/>
              </w:rPr>
              <w:t>bei Komplexen Produkten, die durch eine bei Clearstream Frankfurt, Clearstream Luxemburg oder Euroclear hinterlegte Dauerglobalurkunde verbrieft sind:</w:t>
            </w:r>
            <w:r w:rsidRPr="00F17869">
              <w:rPr>
                <w:lang w:val="de-DE"/>
              </w:rPr>
              <w:t xml:space="preserve"> die Person bzw. Personen, der/denen ein Miteigentumsanteil, das wirtschaftliche Eigentum oder sonstige vergleichbare Rechte an der Dauerglobalurkunde zusteht bzw. zustehen.</w:t>
            </w:r>
            <w:r w:rsidRPr="00792D61">
              <w:rPr>
                <w:b/>
                <w:lang w:val="de-DE"/>
              </w:rPr>
              <w:t>]]</w:t>
            </w:r>
            <w:r w:rsidRPr="00F17869">
              <w:rPr>
                <w:lang w:val="de-DE"/>
              </w:rPr>
              <w:t xml:space="preserve"> Der Inhaber eines Komplexen Produkts ist in jeder Hinsicht von (i) der Emittentin, (ii) der Berechnungsstelle, (iii) der Zahlstelle und (iv) allen sonstigen Personen als diejenige Person zu behandeln, der dieses Komplexe Produkt zusteht und die zum Empfang der Leistungen aus den Rechten berechtigt ist, die durch das betreffende Komplexe Produkt verbrieft sind.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93AB3" w:rsidP="00547288">
            <w:pPr>
              <w:pStyle w:val="CSBody8ptbold"/>
            </w:pPr>
            <w:r w:rsidRPr="00A93AB3">
              <w:t xml:space="preserve">Governing Law </w:t>
            </w:r>
          </w:p>
        </w:tc>
        <w:tc>
          <w:tcPr>
            <w:tcW w:w="3315" w:type="dxa"/>
            <w:gridSpan w:val="2"/>
            <w:tcBorders>
              <w:top w:val="nil"/>
              <w:left w:val="nil"/>
              <w:bottom w:val="nil"/>
            </w:tcBorders>
            <w:shd w:val="clear" w:color="auto" w:fill="auto"/>
          </w:tcPr>
          <w:p w:rsidR="0017135D" w:rsidRPr="00A93AB3" w:rsidP="00547288">
            <w:pPr>
              <w:pStyle w:val="CSBody8ptbold"/>
            </w:pPr>
            <w:r w:rsidRPr="00A93AB3">
              <w:t>Swiss law</w:t>
            </w:r>
          </w:p>
        </w:tc>
        <w:tc>
          <w:tcPr>
            <w:tcW w:w="1618" w:type="dxa"/>
            <w:gridSpan w:val="2"/>
            <w:tcBorders>
              <w:top w:val="nil"/>
              <w:bottom w:val="nil"/>
              <w:right w:val="nil"/>
            </w:tcBorders>
            <w:shd w:val="clear" w:color="auto" w:fill="auto"/>
          </w:tcPr>
          <w:p w:rsidR="0017135D" w:rsidRPr="004E492E" w:rsidP="00547288">
            <w:pPr>
              <w:pStyle w:val="CSBody8ptbold"/>
            </w:pPr>
            <w:r w:rsidRPr="004E492E">
              <w:t>Anwendbares Recht</w:t>
            </w:r>
          </w:p>
        </w:tc>
        <w:tc>
          <w:tcPr>
            <w:tcW w:w="3318" w:type="dxa"/>
            <w:tcBorders>
              <w:top w:val="nil"/>
              <w:left w:val="nil"/>
              <w:bottom w:val="nil"/>
              <w:right w:val="nil"/>
            </w:tcBorders>
            <w:shd w:val="clear" w:color="auto" w:fill="auto"/>
          </w:tcPr>
          <w:p w:rsidR="0017135D" w:rsidRPr="004E492E" w:rsidP="00547288">
            <w:pPr>
              <w:pStyle w:val="CSBody8ptbold"/>
            </w:pPr>
            <w:r w:rsidRPr="004E492E">
              <w:t>Schweizer Recht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93AB3" w:rsidP="00547288">
            <w:pPr>
              <w:pStyle w:val="CSBody8ptbold"/>
            </w:pPr>
            <w:r w:rsidRPr="00A93AB3">
              <w:t>Jurisdiction</w:t>
            </w:r>
          </w:p>
        </w:tc>
        <w:tc>
          <w:tcPr>
            <w:tcW w:w="3315" w:type="dxa"/>
            <w:gridSpan w:val="2"/>
            <w:tcBorders>
              <w:top w:val="nil"/>
              <w:left w:val="nil"/>
              <w:bottom w:val="nil"/>
            </w:tcBorders>
            <w:shd w:val="clear" w:color="auto" w:fill="auto"/>
          </w:tcPr>
          <w:p w:rsidR="0017135D" w:rsidP="00547288">
            <w:pPr>
              <w:pStyle w:val="CSBody8ptbold"/>
            </w:pPr>
            <w:r w:rsidRPr="00A93AB3">
              <w:t>Zurich 1</w:t>
            </w:r>
          </w:p>
        </w:tc>
        <w:tc>
          <w:tcPr>
            <w:tcW w:w="1618" w:type="dxa"/>
            <w:gridSpan w:val="2"/>
            <w:tcBorders>
              <w:top w:val="nil"/>
              <w:bottom w:val="nil"/>
              <w:right w:val="nil"/>
            </w:tcBorders>
            <w:shd w:val="clear" w:color="auto" w:fill="auto"/>
          </w:tcPr>
          <w:p w:rsidR="0017135D" w:rsidRPr="004E492E" w:rsidP="00547288">
            <w:pPr>
              <w:pStyle w:val="CSBody8ptbold"/>
            </w:pPr>
            <w:r w:rsidRPr="004E492E">
              <w:t>Gerichtsstand</w:t>
            </w:r>
          </w:p>
        </w:tc>
        <w:tc>
          <w:tcPr>
            <w:tcW w:w="3318" w:type="dxa"/>
            <w:tcBorders>
              <w:top w:val="nil"/>
              <w:left w:val="nil"/>
              <w:bottom w:val="nil"/>
              <w:right w:val="nil"/>
            </w:tcBorders>
            <w:shd w:val="clear" w:color="auto" w:fill="auto"/>
          </w:tcPr>
          <w:p w:rsidR="0017135D" w:rsidP="00547288">
            <w:pPr>
              <w:pStyle w:val="CSBody8ptbold"/>
            </w:pPr>
            <w:r w:rsidRPr="004E492E">
              <w:t>Zürich 1</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745EC1" w:rsidP="009967D5">
            <w:pPr>
              <w:pStyle w:val="CSBody8pt"/>
            </w:pPr>
            <w:r w:rsidRPr="00792D61">
              <w:rPr>
                <w:b/>
              </w:rPr>
              <w:t>[</w:t>
            </w:r>
            <w:r w:rsidRPr="00745EC1">
              <w:t>References to "</w:t>
            </w:r>
            <w:r w:rsidRPr="000F59E4">
              <w:rPr>
                <w:b/>
              </w:rPr>
              <w:t>AED</w:t>
            </w:r>
            <w:r w:rsidRPr="00745EC1">
              <w:t>" are to United Arab Emirates dirham</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ARS</w:t>
            </w:r>
            <w:r w:rsidRPr="00745EC1">
              <w:t>" are to Argentine pesos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AUD</w:t>
            </w:r>
            <w:r w:rsidRPr="00745EC1">
              <w:t>" are to Australian dollars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BMD</w:t>
            </w:r>
            <w:r w:rsidRPr="00745EC1">
              <w:t>" are to Bemudian dollars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BRL</w:t>
            </w:r>
            <w:r w:rsidRPr="00745EC1">
              <w:t>" are to Brazilian real</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CAD</w:t>
            </w:r>
            <w:r w:rsidRPr="00745EC1">
              <w:t>" are to Canadian dollars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CHF</w:t>
            </w:r>
            <w:r w:rsidRPr="00745EC1">
              <w:t>" are to Swiss francs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CLP</w:t>
            </w:r>
            <w:r w:rsidRPr="00745EC1">
              <w:t>" are to Chilean peso</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CNY</w:t>
            </w:r>
            <w:r w:rsidRPr="00745EC1">
              <w:t>" are to Chinese yuan renminbi</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COP</w:t>
            </w:r>
            <w:r w:rsidRPr="00745EC1">
              <w:t>" are to Colombian peso</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CZK</w:t>
            </w:r>
            <w:r w:rsidRPr="00745EC1">
              <w:t>" are to Czech koruna</w:t>
            </w:r>
            <w:r w:rsidRPr="00792D61">
              <w:rPr>
                <w:b/>
              </w:rPr>
              <w:t>]</w:t>
            </w:r>
            <w:r w:rsidRPr="00745EC1">
              <w:t xml:space="preserve"> </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DKK</w:t>
            </w:r>
            <w:r w:rsidRPr="00745EC1">
              <w:t>" are to Danish krone</w:t>
            </w:r>
            <w:r w:rsidRPr="00792D61">
              <w:rPr>
                <w:b/>
              </w:rPr>
              <w:t>][</w:t>
            </w:r>
            <w:r w:rsidRPr="00745EC1">
              <w:t>,</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EUR</w:t>
            </w:r>
            <w:r w:rsidRPr="00745EC1">
              <w:t>" are to euro</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GBP</w:t>
            </w:r>
            <w:r w:rsidRPr="00745EC1">
              <w:t>" are to British pounds sterling</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HKD</w:t>
            </w:r>
            <w:r w:rsidRPr="00745EC1">
              <w:t>" are to Hong Kong dollars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HUF</w:t>
            </w:r>
            <w:r w:rsidRPr="00745EC1">
              <w:t>" are to Hungarian forint</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IDR</w:t>
            </w:r>
            <w:r w:rsidRPr="00745EC1">
              <w:t>" are to Indonesian rupiah</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ILS</w:t>
            </w:r>
            <w:r w:rsidRPr="00745EC1">
              <w:t>" are to Israeli new shekel</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INR</w:t>
            </w:r>
            <w:r w:rsidRPr="00745EC1">
              <w:t>" are to Indian rupee</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JPY</w:t>
            </w:r>
            <w:r w:rsidRPr="00745EC1">
              <w:t>" are to Japanese yen</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KRW</w:t>
            </w:r>
            <w:r w:rsidRPr="00745EC1">
              <w:t>" are to South-Korean won</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MXN</w:t>
            </w:r>
            <w:r w:rsidRPr="00745EC1">
              <w:t>" are to Mexican peso</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MYR</w:t>
            </w:r>
            <w:r w:rsidRPr="00745EC1">
              <w:t>" are to Malaysian ringgit</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NOK</w:t>
            </w:r>
            <w:r w:rsidRPr="00745EC1">
              <w:t>" are to Norwegian kroner</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NZD</w:t>
            </w:r>
            <w:r w:rsidRPr="00745EC1">
              <w:t>" are to New Zealand dollar</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PLN</w:t>
            </w:r>
            <w:r w:rsidRPr="00745EC1">
              <w:t>" are to Polish zloty</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RON</w:t>
            </w:r>
            <w:r w:rsidRPr="00745EC1">
              <w:t>" are to Romanian new lei</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RUB</w:t>
            </w:r>
            <w:r w:rsidRPr="00745EC1">
              <w:t>" are to Russian rouble</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SGD</w:t>
            </w:r>
            <w:r w:rsidRPr="00745EC1">
              <w:t>" are to Singapore dollars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SEK</w:t>
            </w:r>
            <w:r w:rsidRPr="00745EC1">
              <w:t>" are to Swedish krona</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THB</w:t>
            </w:r>
            <w:r w:rsidRPr="00745EC1">
              <w:t>" are to Thai baht</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TRY</w:t>
            </w:r>
            <w:r w:rsidRPr="00745EC1">
              <w:t>" are to Turkish lira</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TWD</w:t>
            </w:r>
            <w:r w:rsidRPr="00745EC1">
              <w:t>" are to Taiwan dollars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USD</w:t>
            </w:r>
            <w:r w:rsidRPr="00745EC1">
              <w:t>" are to United States dollars</w:t>
            </w:r>
            <w:r w:rsidRPr="00792D61">
              <w:rPr>
                <w:b/>
              </w:rPr>
              <w:t>][</w:t>
            </w:r>
            <w:r w:rsidRPr="00745EC1">
              <w:t>,</w:t>
            </w:r>
            <w:r w:rsidRPr="00792D61">
              <w:rPr>
                <w:b/>
              </w:rPr>
              <w:t>]</w:t>
            </w:r>
            <w:r w:rsidRPr="00745EC1">
              <w:t xml:space="preserve"> </w:t>
            </w:r>
            <w:r w:rsidRPr="00792D61">
              <w:rPr>
                <w:b/>
              </w:rPr>
              <w:t>[</w:t>
            </w:r>
            <w:r w:rsidRPr="00745EC1">
              <w:t>and</w:t>
            </w:r>
            <w:r w:rsidRPr="00792D61">
              <w:rPr>
                <w:b/>
              </w:rPr>
              <w:t>]</w:t>
            </w:r>
            <w:r w:rsidRPr="00745EC1">
              <w:t xml:space="preserve"> </w:t>
            </w:r>
            <w:r w:rsidRPr="00792D61">
              <w:rPr>
                <w:b/>
              </w:rPr>
              <w:t>[</w:t>
            </w:r>
            <w:r w:rsidRPr="00745EC1">
              <w:t>references to "</w:t>
            </w:r>
            <w:r w:rsidRPr="000F59E4">
              <w:rPr>
                <w:b/>
              </w:rPr>
              <w:t>ZAR</w:t>
            </w:r>
            <w:r w:rsidRPr="00745EC1">
              <w:t>" are to South African Rand</w:t>
            </w:r>
            <w:r w:rsidRPr="00792D61">
              <w:rPr>
                <w:b/>
              </w:rPr>
              <w:t>]</w:t>
            </w:r>
            <w:r w:rsidRPr="00745EC1">
              <w:t xml:space="preserve"> </w:t>
            </w:r>
            <w:r w:rsidRPr="00792D61">
              <w:rPr>
                <w:b/>
              </w:rPr>
              <w:t>[</w:t>
            </w:r>
            <w:r w:rsidRPr="00745EC1">
              <w:t xml:space="preserve">and </w:t>
            </w:r>
            <w:r w:rsidRPr="00792D61">
              <w:rPr>
                <w:b/>
              </w:rPr>
              <w:t>[</w:t>
            </w:r>
            <w:r w:rsidRPr="009967D5">
              <w:rPr>
                <w:b/>
                <w:i/>
              </w:rPr>
              <w:t>insert any other ISO Currency Code:</w:t>
            </w:r>
            <w:r w:rsidRPr="00745EC1">
              <w:t xml:space="preserve"> </w:t>
            </w:r>
            <w:r w:rsidRPr="00792D61">
              <w:rPr>
                <w:b/>
              </w:rPr>
              <w:t>[[</w:t>
            </w:r>
            <w:r>
              <w:rPr>
                <w:rFonts w:ascii="Arial" w:hAnsi="Arial" w:cs="Arial"/>
              </w:rPr>
              <w:t>●</w:t>
            </w:r>
            <w:r w:rsidRPr="00792D61">
              <w:rPr>
                <w:b/>
              </w:rPr>
              <w:t>]]]]</w:t>
            </w:r>
            <w:r w:rsidRPr="00745EC1">
              <w:t>.</w:t>
            </w:r>
          </w:p>
        </w:tc>
        <w:tc>
          <w:tcPr>
            <w:tcW w:w="4936" w:type="dxa"/>
            <w:gridSpan w:val="3"/>
            <w:tcBorders>
              <w:top w:val="nil"/>
              <w:bottom w:val="nil"/>
              <w:right w:val="nil"/>
            </w:tcBorders>
            <w:shd w:val="clear" w:color="auto" w:fill="auto"/>
          </w:tcPr>
          <w:p w:rsidR="0017135D" w:rsidRPr="007301CD" w:rsidP="009967D5">
            <w:pPr>
              <w:pStyle w:val="CSBody8pt"/>
              <w:rPr>
                <w:lang w:val="de-DE"/>
              </w:rPr>
            </w:pPr>
            <w:r w:rsidRPr="00792D61">
              <w:rPr>
                <w:b/>
                <w:lang w:val="de-DE"/>
              </w:rPr>
              <w:t>[</w:t>
            </w:r>
            <w:r w:rsidRPr="007301CD">
              <w:rPr>
                <w:lang w:val="de-DE"/>
              </w:rPr>
              <w:t>Bezugnahmen auf "</w:t>
            </w:r>
            <w:r w:rsidRPr="000F59E4">
              <w:rPr>
                <w:b/>
                <w:lang w:val="de-DE"/>
              </w:rPr>
              <w:t>AED</w:t>
            </w:r>
            <w:r w:rsidRPr="007301CD">
              <w:rPr>
                <w:lang w:val="de-DE"/>
              </w:rPr>
              <w:t>" gelten als Bezugnahmen auf den Vereinigte Arabische Emirate Dirham</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ARS</w:t>
            </w:r>
            <w:r w:rsidRPr="007301CD">
              <w:rPr>
                <w:lang w:val="de-DE"/>
              </w:rPr>
              <w:t>" gelten als Bezugnahmen auf den Argentinischen Peso</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AUD</w:t>
            </w:r>
            <w:r w:rsidRPr="007301CD">
              <w:rPr>
                <w:lang w:val="de-DE"/>
              </w:rPr>
              <w:t>" gelten als Bezugnahmen auf den Australischen Dollar</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BMD</w:t>
            </w:r>
            <w:r w:rsidRPr="007301CD">
              <w:rPr>
                <w:lang w:val="de-DE"/>
              </w:rPr>
              <w:t>" gelten als Bezugnahmen auf den Bermuda Dollar</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BRL</w:t>
            </w:r>
            <w:r w:rsidRPr="007301CD">
              <w:rPr>
                <w:lang w:val="de-DE"/>
              </w:rPr>
              <w:t>" gelten als Bezugnahmen auf den Brasilianischen Real</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CAD</w:t>
            </w:r>
            <w:r w:rsidRPr="007301CD">
              <w:rPr>
                <w:lang w:val="de-DE"/>
              </w:rPr>
              <w:t>" gelten als Bezugnahmen auf den Kanadischen Dollar</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CHF</w:t>
            </w:r>
            <w:r w:rsidRPr="007301CD">
              <w:rPr>
                <w:lang w:val="de-DE"/>
              </w:rPr>
              <w:t>" gelten als Bezugnahmen auf den Schweizer Franken</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CNY</w:t>
            </w:r>
            <w:r w:rsidRPr="007301CD">
              <w:rPr>
                <w:lang w:val="de-DE"/>
              </w:rPr>
              <w:t>" gelten als Bezugnahmen auf den Chinesischen Renminbi Yuan</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CLP</w:t>
            </w:r>
            <w:r w:rsidRPr="007301CD">
              <w:rPr>
                <w:lang w:val="de-DE"/>
              </w:rPr>
              <w:t>" gelten als Bezugnahmen auf den Chilenischen Peso</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COP</w:t>
            </w:r>
            <w:r w:rsidRPr="007301CD">
              <w:rPr>
                <w:lang w:val="de-DE"/>
              </w:rPr>
              <w:t>" gelten als Bezugnahmen auf den Kolumbianischen Peso</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CZK</w:t>
            </w:r>
            <w:r w:rsidRPr="007301CD">
              <w:rPr>
                <w:lang w:val="de-DE"/>
              </w:rPr>
              <w:t>" gelten als Bezugnahmen auf die Tschechische Krone</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DKK</w:t>
            </w:r>
            <w:r w:rsidRPr="007301CD">
              <w:rPr>
                <w:lang w:val="de-DE"/>
              </w:rPr>
              <w:t>" gelten als Bezugnahmen auf die Dänische Krone</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EUR</w:t>
            </w:r>
            <w:r w:rsidRPr="007301CD">
              <w:rPr>
                <w:lang w:val="de-DE"/>
              </w:rPr>
              <w:t>" gelten als Bezugnahmen auf den Euro</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GBP</w:t>
            </w:r>
            <w:r w:rsidRPr="007301CD">
              <w:rPr>
                <w:lang w:val="de-DE"/>
              </w:rPr>
              <w:t>" gelten als Bezugnahmen auf das Britische Pfund Sterling</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HKD</w:t>
            </w:r>
            <w:r w:rsidRPr="007301CD">
              <w:rPr>
                <w:lang w:val="de-DE"/>
              </w:rPr>
              <w:t>" gelten als Bezugnahmen auf den Hongkong-Dollar</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HUF</w:t>
            </w:r>
            <w:r w:rsidRPr="007301CD">
              <w:rPr>
                <w:lang w:val="de-DE"/>
              </w:rPr>
              <w:t>" gelten als Bezugnahmen auf den Ungarischen Forint</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ILS</w:t>
            </w:r>
            <w:r w:rsidRPr="007301CD">
              <w:rPr>
                <w:lang w:val="de-DE"/>
              </w:rPr>
              <w:t>" gelten als Bezugnahmen auf den Israelischen Neuen Schekel</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IDR</w:t>
            </w:r>
            <w:r w:rsidRPr="007301CD">
              <w:rPr>
                <w:lang w:val="de-DE"/>
              </w:rPr>
              <w:t>" gelten als Bezugnahmen auf den Indonesischen Rupiah</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INR</w:t>
            </w:r>
            <w:r w:rsidRPr="007301CD">
              <w:rPr>
                <w:lang w:val="de-DE"/>
              </w:rPr>
              <w:t>" gelten als Bezugnahmen auf die Indische Rupie</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JPY</w:t>
            </w:r>
            <w:r w:rsidRPr="007301CD">
              <w:rPr>
                <w:lang w:val="de-DE"/>
              </w:rPr>
              <w:t>" gelten als Bezugnahmen auf den Japanischen Yen</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KRW</w:t>
            </w:r>
            <w:r w:rsidRPr="007301CD">
              <w:rPr>
                <w:lang w:val="de-DE"/>
              </w:rPr>
              <w:t>" gelten als Bezugnahmen auf den Südkoreanischen Won</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MXN</w:t>
            </w:r>
            <w:r w:rsidRPr="007301CD">
              <w:rPr>
                <w:lang w:val="de-DE"/>
              </w:rPr>
              <w:t>" gelten als Bezugnahmen auf den Mexikanischen Peso</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MYR</w:t>
            </w:r>
            <w:r w:rsidRPr="007301CD">
              <w:rPr>
                <w:lang w:val="de-DE"/>
              </w:rPr>
              <w:t>" gelten als Bezugnahmen auf den Malaysischen Ringgit</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NOK</w:t>
            </w:r>
            <w:r w:rsidRPr="007301CD">
              <w:rPr>
                <w:lang w:val="de-DE"/>
              </w:rPr>
              <w:t>" gelten als Bezugnahmen auf die Norwegische Krone</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NZD</w:t>
            </w:r>
            <w:r w:rsidRPr="007301CD">
              <w:rPr>
                <w:lang w:val="de-DE"/>
              </w:rPr>
              <w:t>" gelten als Bezugnahmen auf den Neuseeländischen Dollar</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PLN</w:t>
            </w:r>
            <w:r w:rsidRPr="007301CD">
              <w:rPr>
                <w:lang w:val="de-DE"/>
              </w:rPr>
              <w:t>" gelten als Bezugnahmen auf den Polnischen Zloty</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RON</w:t>
            </w:r>
            <w:r w:rsidRPr="007301CD">
              <w:rPr>
                <w:lang w:val="de-DE"/>
              </w:rPr>
              <w:t>" gelten als Bezugnahmen auf den Rumänischen Neuen Lei</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RUB</w:t>
            </w:r>
            <w:r w:rsidRPr="007301CD">
              <w:rPr>
                <w:lang w:val="de-DE"/>
              </w:rPr>
              <w:t>" gelten als Bezugnahmen auf den Russischen Rubel</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SGD</w:t>
            </w:r>
            <w:r w:rsidRPr="007301CD">
              <w:rPr>
                <w:lang w:val="de-DE"/>
              </w:rPr>
              <w:t>" gelten als Bezugnahmen auf den Singapur-Dollar</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SEK</w:t>
            </w:r>
            <w:r w:rsidRPr="007301CD">
              <w:rPr>
                <w:lang w:val="de-DE"/>
              </w:rPr>
              <w:t>" gelten als Bezugnahmen auf die Schwedische Krone</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THB</w:t>
            </w:r>
            <w:r w:rsidRPr="007301CD">
              <w:rPr>
                <w:lang w:val="de-DE"/>
              </w:rPr>
              <w:t>" gelten als Bezugnahmen auf den Thailändischen Baht</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TRY</w:t>
            </w:r>
            <w:r w:rsidRPr="007301CD">
              <w:rPr>
                <w:lang w:val="de-DE"/>
              </w:rPr>
              <w:t>" gelten als Bezugnahmen auf die Türkische Lira</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TWD</w:t>
            </w:r>
            <w:r w:rsidRPr="007301CD">
              <w:rPr>
                <w:lang w:val="de-DE"/>
              </w:rPr>
              <w:t>" gelten als Bezugnahmen auf den Taiwanesischen Dollar</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a </w:t>
            </w:r>
            <w:r w:rsidRPr="00792D61">
              <w:rPr>
                <w:b/>
                <w:lang w:val="de-DE"/>
              </w:rPr>
              <w:t>[</w:t>
            </w:r>
            <w:r w:rsidRPr="007301CD">
              <w:rPr>
                <w:lang w:val="de-DE"/>
              </w:rPr>
              <w:t>Bezugnahmen auf "</w:t>
            </w:r>
            <w:r w:rsidRPr="000F59E4">
              <w:rPr>
                <w:b/>
                <w:lang w:val="de-DE"/>
              </w:rPr>
              <w:t>USD</w:t>
            </w:r>
            <w:r w:rsidRPr="007301CD">
              <w:rPr>
                <w:lang w:val="de-DE"/>
              </w:rPr>
              <w:t>" gelten als Bezugnahmen auf den US-Dollar</w:t>
            </w:r>
            <w:r w:rsidRPr="00792D61">
              <w:rPr>
                <w:b/>
                <w:lang w:val="de-DE"/>
              </w:rPr>
              <w:t>][</w:t>
            </w:r>
            <w:r w:rsidRPr="007301CD">
              <w:rPr>
                <w:lang w:val="de-DE"/>
              </w:rPr>
              <w:t>,</w:t>
            </w:r>
            <w:r w:rsidRPr="00792D61">
              <w:rPr>
                <w:b/>
                <w:lang w:val="de-DE"/>
              </w:rPr>
              <w:t>]</w:t>
            </w:r>
            <w:r w:rsidRPr="007301CD">
              <w:rPr>
                <w:lang w:val="de-DE"/>
              </w:rPr>
              <w:t xml:space="preserve"> </w:t>
            </w:r>
            <w:r w:rsidRPr="00792D61">
              <w:rPr>
                <w:b/>
                <w:lang w:val="de-DE"/>
              </w:rPr>
              <w:t>[</w:t>
            </w:r>
            <w:r w:rsidRPr="007301CD">
              <w:rPr>
                <w:lang w:val="de-DE"/>
              </w:rPr>
              <w:t>und</w:t>
            </w:r>
            <w:r w:rsidRPr="00792D61">
              <w:rPr>
                <w:b/>
                <w:lang w:val="de-DE"/>
              </w:rPr>
              <w:t>]</w:t>
            </w:r>
            <w:r w:rsidRPr="007301CD">
              <w:rPr>
                <w:lang w:val="de-DE"/>
              </w:rPr>
              <w:t xml:space="preserve"> </w:t>
            </w:r>
            <w:r w:rsidRPr="00792D61">
              <w:rPr>
                <w:b/>
                <w:lang w:val="de-DE"/>
              </w:rPr>
              <w:t>[</w:t>
            </w:r>
            <w:r w:rsidRPr="007301CD">
              <w:rPr>
                <w:lang w:val="de-DE"/>
              </w:rPr>
              <w:t>Bezugnahmen auf "</w:t>
            </w:r>
            <w:r w:rsidRPr="000F59E4">
              <w:rPr>
                <w:b/>
                <w:lang w:val="de-DE"/>
              </w:rPr>
              <w:t>ZAR</w:t>
            </w:r>
            <w:r w:rsidRPr="007301CD">
              <w:rPr>
                <w:lang w:val="de-DE"/>
              </w:rPr>
              <w:t>" gelten als Bezugnahmen auf den Südafrikanischen Rand</w:t>
            </w:r>
            <w:r w:rsidRPr="00792D61">
              <w:rPr>
                <w:b/>
                <w:lang w:val="de-DE"/>
              </w:rPr>
              <w:t>]</w:t>
            </w:r>
            <w:r w:rsidRPr="007301CD">
              <w:rPr>
                <w:lang w:val="de-DE"/>
              </w:rPr>
              <w:t xml:space="preserve"> </w:t>
            </w:r>
            <w:r w:rsidRPr="00792D61">
              <w:rPr>
                <w:b/>
                <w:lang w:val="de-DE"/>
              </w:rPr>
              <w:t>[</w:t>
            </w:r>
            <w:r w:rsidRPr="007301CD">
              <w:rPr>
                <w:lang w:val="de-DE"/>
              </w:rPr>
              <w:t xml:space="preserve">und </w:t>
            </w:r>
            <w:r w:rsidRPr="00792D61">
              <w:rPr>
                <w:b/>
                <w:lang w:val="de-DE"/>
              </w:rPr>
              <w:t>[</w:t>
            </w:r>
            <w:r w:rsidRPr="009967D5">
              <w:rPr>
                <w:b/>
                <w:i/>
                <w:lang w:val="de-DE"/>
              </w:rPr>
              <w:t>anderen ISO Währungscode einfügen</w:t>
            </w:r>
            <w:r w:rsidRPr="007301CD">
              <w:rPr>
                <w:lang w:val="de-DE"/>
              </w:rPr>
              <w:t xml:space="preserve">: </w:t>
            </w:r>
            <w:r w:rsidRPr="00792D61">
              <w:rPr>
                <w:b/>
                <w:lang w:val="de-DE"/>
              </w:rPr>
              <w:t>[[</w:t>
            </w:r>
            <w:r w:rsidRPr="00116653">
              <w:rPr>
                <w:rFonts w:ascii="Arial" w:hAnsi="Arial" w:cs="Arial"/>
                <w:lang w:val="de-DE"/>
              </w:rPr>
              <w:t>●</w:t>
            </w:r>
            <w:r w:rsidRPr="00792D61">
              <w:rPr>
                <w:b/>
                <w:lang w:val="de-DE"/>
              </w:rPr>
              <w:t>]]]]</w:t>
            </w:r>
            <w:r w:rsidRPr="007301CD">
              <w:rPr>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5141D" w:rsidP="009967D5">
            <w:pPr>
              <w:pStyle w:val="CSBody8ptbolditalics"/>
            </w:pPr>
            <w:r w:rsidRPr="00792D61">
              <w:t>[</w:t>
            </w:r>
            <w:r w:rsidRPr="0065141D">
              <w:t>in the case of Complex Products, other than Complex Products without Reference Rate, insert:</w:t>
            </w:r>
          </w:p>
        </w:tc>
        <w:tc>
          <w:tcPr>
            <w:tcW w:w="4936" w:type="dxa"/>
            <w:gridSpan w:val="3"/>
            <w:tcBorders>
              <w:top w:val="nil"/>
              <w:bottom w:val="nil"/>
              <w:right w:val="nil"/>
            </w:tcBorders>
            <w:shd w:val="clear" w:color="auto" w:fill="auto"/>
          </w:tcPr>
          <w:p w:rsidR="0017135D" w:rsidRPr="007301CD" w:rsidP="009967D5">
            <w:pPr>
              <w:pStyle w:val="CSBody8ptbolditalics"/>
              <w:rPr>
                <w:lang w:val="de-DE"/>
              </w:rPr>
            </w:pPr>
            <w:r w:rsidRPr="00792D61">
              <w:rPr>
                <w:lang w:val="de-DE"/>
              </w:rPr>
              <w:t>[</w:t>
            </w:r>
            <w:r w:rsidRPr="007301CD">
              <w:rPr>
                <w:lang w:val="de-DE"/>
              </w:rPr>
              <w:t>bei allen Komplexen Produkten ausser Komplexen Produkten ohne Referenzsatz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576E6" w:rsidP="009967D5">
            <w:pPr>
              <w:pStyle w:val="CSbody0bold"/>
            </w:pPr>
            <w:r w:rsidRPr="006576E6">
              <w:t>E.</w:t>
            </w:r>
          </w:p>
        </w:tc>
        <w:tc>
          <w:tcPr>
            <w:tcW w:w="3315" w:type="dxa"/>
            <w:gridSpan w:val="2"/>
            <w:tcBorders>
              <w:top w:val="nil"/>
              <w:left w:val="nil"/>
              <w:bottom w:val="nil"/>
            </w:tcBorders>
            <w:shd w:val="clear" w:color="auto" w:fill="auto"/>
          </w:tcPr>
          <w:p w:rsidR="0017135D" w:rsidP="009967D5">
            <w:pPr>
              <w:pStyle w:val="CSbody0bold"/>
            </w:pPr>
            <w:r w:rsidRPr="006576E6">
              <w:t>Reference Rate Related Information</w:t>
            </w:r>
          </w:p>
        </w:tc>
        <w:tc>
          <w:tcPr>
            <w:tcW w:w="1618" w:type="dxa"/>
            <w:gridSpan w:val="2"/>
            <w:tcBorders>
              <w:top w:val="nil"/>
              <w:bottom w:val="nil"/>
              <w:right w:val="nil"/>
            </w:tcBorders>
            <w:shd w:val="clear" w:color="auto" w:fill="auto"/>
          </w:tcPr>
          <w:p w:rsidR="0017135D" w:rsidRPr="00C63408" w:rsidP="009967D5">
            <w:pPr>
              <w:pStyle w:val="CSbody0bold"/>
            </w:pPr>
            <w:r w:rsidRPr="00C63408">
              <w:t>E.</w:t>
            </w:r>
          </w:p>
        </w:tc>
        <w:tc>
          <w:tcPr>
            <w:tcW w:w="3318" w:type="dxa"/>
            <w:tcBorders>
              <w:top w:val="nil"/>
              <w:left w:val="nil"/>
              <w:bottom w:val="nil"/>
              <w:right w:val="nil"/>
            </w:tcBorders>
            <w:shd w:val="clear" w:color="auto" w:fill="auto"/>
          </w:tcPr>
          <w:p w:rsidR="0017135D" w:rsidP="009967D5">
            <w:pPr>
              <w:pStyle w:val="CSbody0bold"/>
            </w:pPr>
            <w:r w:rsidRPr="00C63408">
              <w:t>Angaben zum Referenzsatz</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17869" w:rsidP="009967D5">
            <w:pPr>
              <w:pStyle w:val="CSBody8pt"/>
              <w:rPr>
                <w:lang w:val="de-DE"/>
              </w:rPr>
            </w:pPr>
            <w:r w:rsidRPr="00F17869">
              <w:rPr>
                <w:lang w:val="de-DE"/>
              </w:rPr>
              <w:t>Reference Rate</w:t>
            </w:r>
            <w:r>
              <w:rPr>
                <w:lang w:val="de-DE"/>
              </w:rPr>
              <w:fldChar w:fldCharType="begin"/>
            </w:r>
            <w:r>
              <w:instrText xml:space="preserve"> XE "</w:instrText>
            </w:r>
            <w:r w:rsidRPr="002C333A">
              <w:rPr>
                <w:lang w:val="de-DE"/>
              </w:rPr>
              <w:instrText>Reference Rate</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F17869" w:rsidP="009967D5">
            <w:pPr>
              <w:pStyle w:val="CSBody8pt"/>
            </w:pPr>
            <w:r w:rsidRPr="00792D61">
              <w:rPr>
                <w:b/>
              </w:rPr>
              <w:t>[</w:t>
            </w:r>
            <w:r w:rsidRPr="00F17869">
              <w:rPr>
                <w:b/>
                <w:i/>
              </w:rPr>
              <w:t>in the case of one Reference Rate:</w:t>
            </w:r>
            <w:r w:rsidRPr="00F17869">
              <w:t xml:space="preserve"> </w:t>
            </w:r>
            <w:r w:rsidRPr="00792D61">
              <w:rPr>
                <w:b/>
              </w:rPr>
              <w:t>[</w:t>
            </w:r>
            <w:r w:rsidRPr="00116653">
              <w:rPr>
                <w:rFonts w:ascii="Arial" w:hAnsi="Arial" w:cs="Arial"/>
              </w:rPr>
              <w:t>●</w:t>
            </w:r>
            <w:r w:rsidRPr="00792D61">
              <w:rPr>
                <w:b/>
              </w:rPr>
              <w:t>]][</w:t>
            </w:r>
            <w:r w:rsidRPr="00F17869">
              <w:rPr>
                <w:b/>
                <w:i/>
              </w:rPr>
              <w:t>in the case of multiple Reference Rates:</w:t>
            </w:r>
            <w:r w:rsidRPr="00F17869">
              <w:t xml:space="preserve"> each of Reference Rate 1, Reference 2, </w:t>
            </w:r>
            <w:r w:rsidRPr="00792D61">
              <w:rPr>
                <w:b/>
              </w:rPr>
              <w:t>[</w:t>
            </w:r>
            <w:r w:rsidRPr="00F17869">
              <w:t>…</w:t>
            </w:r>
            <w:r w:rsidRPr="00792D61">
              <w:rPr>
                <w:b/>
              </w:rPr>
              <w:t>]</w:t>
            </w:r>
            <w:r w:rsidRPr="00F17869">
              <w:t>.</w:t>
            </w:r>
            <w:r w:rsidRPr="00792D61">
              <w:rPr>
                <w:b/>
              </w:rPr>
              <w:t>]</w:t>
            </w:r>
          </w:p>
        </w:tc>
        <w:tc>
          <w:tcPr>
            <w:tcW w:w="1618" w:type="dxa"/>
            <w:gridSpan w:val="2"/>
            <w:tcBorders>
              <w:top w:val="nil"/>
              <w:bottom w:val="nil"/>
              <w:right w:val="nil"/>
            </w:tcBorders>
            <w:shd w:val="clear" w:color="auto" w:fill="auto"/>
          </w:tcPr>
          <w:p w:rsidR="0017135D" w:rsidRPr="00F17869" w:rsidP="009967D5">
            <w:pPr>
              <w:pStyle w:val="CSBody8pt"/>
            </w:pPr>
            <w:r w:rsidRPr="00F17869">
              <w:t>Referenzsatz</w:t>
            </w:r>
            <w:r>
              <w:fldChar w:fldCharType="begin"/>
            </w:r>
            <w:r>
              <w:instrText xml:space="preserve"> XE "</w:instrText>
            </w:r>
            <w:r w:rsidRPr="00634B7E">
              <w:instrText>Referenzsatz</w:instrText>
            </w:r>
            <w:r>
              <w:instrText xml:space="preserve">" </w:instrText>
            </w:r>
            <w:r>
              <w:fldChar w:fldCharType="end"/>
            </w:r>
          </w:p>
        </w:tc>
        <w:tc>
          <w:tcPr>
            <w:tcW w:w="3318" w:type="dxa"/>
            <w:tcBorders>
              <w:top w:val="nil"/>
              <w:left w:val="nil"/>
              <w:bottom w:val="nil"/>
              <w:right w:val="nil"/>
            </w:tcBorders>
            <w:shd w:val="clear" w:color="auto" w:fill="auto"/>
          </w:tcPr>
          <w:p w:rsidR="0017135D" w:rsidRPr="00301E00" w:rsidP="009967D5">
            <w:pPr>
              <w:pStyle w:val="CSBody8pt"/>
              <w:rPr>
                <w:bCs/>
                <w:lang w:val="de-DE"/>
              </w:rPr>
            </w:pPr>
            <w:r w:rsidRPr="00792D61">
              <w:rPr>
                <w:b/>
                <w:bCs/>
                <w:lang w:val="de-DE"/>
              </w:rPr>
              <w:t>[</w:t>
            </w:r>
            <w:r w:rsidRPr="00F17869">
              <w:rPr>
                <w:b/>
                <w:bCs/>
                <w:i/>
                <w:lang w:val="de-DE"/>
              </w:rPr>
              <w:t xml:space="preserve">bei einem Referenzsatz: </w:t>
            </w:r>
            <w:r w:rsidRPr="00792D61">
              <w:rPr>
                <w:b/>
                <w:bCs/>
                <w:i/>
                <w:lang w:val="de-DE"/>
              </w:rPr>
              <w:t>[</w:t>
            </w:r>
            <w:r w:rsidRPr="00116653">
              <w:rPr>
                <w:rFonts w:ascii="Arial" w:hAnsi="Arial" w:cs="Arial"/>
                <w:b/>
                <w:bCs/>
                <w:i/>
                <w:lang w:val="de-DE"/>
              </w:rPr>
              <w:t>●</w:t>
            </w:r>
            <w:r w:rsidRPr="00792D61">
              <w:rPr>
                <w:b/>
                <w:bCs/>
                <w:i/>
                <w:lang w:val="de-DE"/>
              </w:rPr>
              <w:t>]][</w:t>
            </w:r>
            <w:r w:rsidRPr="00F17869">
              <w:rPr>
                <w:b/>
                <w:bCs/>
                <w:i/>
                <w:lang w:val="de-DE"/>
              </w:rPr>
              <w:t>bei mehreren Referenzsätzen:</w:t>
            </w:r>
            <w:r w:rsidRPr="00F17869">
              <w:rPr>
                <w:bCs/>
                <w:lang w:val="de-DE"/>
              </w:rPr>
              <w:t xml:space="preserve"> Referenzsatz 1, Referenzsatz 2, </w:t>
            </w:r>
            <w:r w:rsidRPr="00792D61">
              <w:rPr>
                <w:b/>
                <w:bCs/>
                <w:lang w:val="de-DE"/>
              </w:rPr>
              <w:t>[</w:t>
            </w:r>
            <w:r w:rsidRPr="00F17869">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A138C" w:rsidP="009967D5">
            <w:pPr>
              <w:pStyle w:val="CSBody8pt"/>
            </w:pPr>
            <w:r w:rsidRPr="00792D61">
              <w:rPr>
                <w:b/>
              </w:rPr>
              <w:t>[</w:t>
            </w:r>
            <w:r w:rsidRPr="009967D5">
              <w:rPr>
                <w:b/>
                <w:i/>
              </w:rPr>
              <w:t>in the case of multiple Reference Rates</w:t>
            </w:r>
            <w:r w:rsidRPr="001A138C">
              <w:t xml:space="preserve"> (repeat for each Reference Rate with ascending numbers, together with applicable definitions below):</w:t>
            </w:r>
          </w:p>
        </w:tc>
        <w:tc>
          <w:tcPr>
            <w:tcW w:w="4936" w:type="dxa"/>
            <w:gridSpan w:val="3"/>
            <w:tcBorders>
              <w:top w:val="nil"/>
              <w:bottom w:val="nil"/>
              <w:right w:val="nil"/>
            </w:tcBorders>
            <w:shd w:val="clear" w:color="auto" w:fill="auto"/>
          </w:tcPr>
          <w:p w:rsidR="0017135D" w:rsidRPr="00301E00" w:rsidP="009967D5">
            <w:pPr>
              <w:pStyle w:val="CSBody8pt"/>
              <w:rPr>
                <w:lang w:val="de-DE"/>
              </w:rPr>
            </w:pPr>
            <w:r w:rsidRPr="00792D61">
              <w:rPr>
                <w:b/>
                <w:lang w:val="de-DE"/>
              </w:rPr>
              <w:t>[</w:t>
            </w:r>
            <w:r w:rsidRPr="009967D5">
              <w:rPr>
                <w:b/>
                <w:i/>
                <w:lang w:val="de-DE"/>
              </w:rPr>
              <w:t>bei mehreren Referenzsätzen</w:t>
            </w:r>
            <w:r w:rsidRPr="00301E00">
              <w:rPr>
                <w:lang w:val="de-DE"/>
              </w:rPr>
              <w:t xml:space="preserve"> (für jeden Referenzsatz unter Verwendung aufsteigender Nummern und der nachstehend angegebenen anwendbaren Definitionen wiederholen):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87C37" w:rsidP="009967D5">
            <w:pPr>
              <w:pStyle w:val="CSBody8pt"/>
            </w:pPr>
            <w:r w:rsidRPr="00D87C37">
              <w:t xml:space="preserve">Reference Rate </w:t>
            </w:r>
            <w:r w:rsidRPr="00792D61">
              <w:rPr>
                <w:b/>
              </w:rPr>
              <w:t>[</w:t>
            </w:r>
            <w:r w:rsidRPr="00D87C37">
              <w:t>1</w:t>
            </w:r>
            <w:r w:rsidRPr="00792D61">
              <w:rPr>
                <w:b/>
              </w:rPr>
              <w:t>]</w:t>
            </w:r>
          </w:p>
        </w:tc>
        <w:tc>
          <w:tcPr>
            <w:tcW w:w="3315" w:type="dxa"/>
            <w:gridSpan w:val="2"/>
            <w:tcBorders>
              <w:top w:val="nil"/>
              <w:left w:val="nil"/>
              <w:bottom w:val="nil"/>
            </w:tcBorders>
            <w:shd w:val="clear" w:color="auto" w:fill="auto"/>
          </w:tcPr>
          <w:p w:rsidR="0017135D" w:rsidP="00F17869">
            <w:pPr>
              <w:pStyle w:val="CSBody8pt"/>
            </w:pPr>
            <w:r w:rsidRPr="00792D61">
              <w:rPr>
                <w:b/>
              </w:rPr>
              <w:t>[</w:t>
            </w:r>
            <w:r>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46067D" w:rsidP="009967D5">
            <w:pPr>
              <w:pStyle w:val="CSBody8pt"/>
            </w:pPr>
            <w:r w:rsidRPr="0046067D">
              <w:t xml:space="preserve">Referenzsatz </w:t>
            </w:r>
            <w:r w:rsidRPr="00792D61">
              <w:rPr>
                <w:b/>
              </w:rPr>
              <w:t>[</w:t>
            </w:r>
            <w:r w:rsidRPr="0046067D">
              <w:t>1</w:t>
            </w:r>
            <w:r w:rsidRPr="00792D61">
              <w:rPr>
                <w:b/>
              </w:rPr>
              <w:t>]</w:t>
            </w:r>
          </w:p>
        </w:tc>
        <w:tc>
          <w:tcPr>
            <w:tcW w:w="3318" w:type="dxa"/>
            <w:tcBorders>
              <w:top w:val="nil"/>
              <w:left w:val="nil"/>
              <w:bottom w:val="nil"/>
              <w:right w:val="nil"/>
            </w:tcBorders>
            <w:shd w:val="clear" w:color="auto" w:fill="auto"/>
          </w:tcPr>
          <w:p w:rsidR="0017135D" w:rsidP="00F17869">
            <w:pPr>
              <w:pStyle w:val="CSBody8pt"/>
            </w:pPr>
            <w:r w:rsidRPr="00792D61">
              <w:rPr>
                <w:b/>
              </w:rPr>
              <w:t>[</w:t>
            </w:r>
            <w:r>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B3D4F" w:rsidP="009967D5">
            <w:pPr>
              <w:pStyle w:val="CSBody8pt"/>
            </w:pPr>
            <w:r w:rsidRPr="000B3D4F">
              <w:t xml:space="preserve">With respect to Reference Rate </w:t>
            </w:r>
            <w:r w:rsidRPr="00792D61">
              <w:rPr>
                <w:b/>
              </w:rPr>
              <w:t>[</w:t>
            </w:r>
            <w:r w:rsidRPr="000B3D4F">
              <w:t>1</w:t>
            </w:r>
            <w:r w:rsidRPr="00792D61">
              <w:rPr>
                <w:b/>
              </w:rPr>
              <w:t>]</w:t>
            </w:r>
            <w:r w:rsidRPr="000B3D4F">
              <w:t>, any reference in these Terms and Conditions to a term defined below shall be to such term as defined below:</w:t>
            </w:r>
            <w:r w:rsidRPr="00792D61">
              <w:rPr>
                <w:b/>
              </w:rPr>
              <w:t>]</w:t>
            </w:r>
          </w:p>
        </w:tc>
        <w:tc>
          <w:tcPr>
            <w:tcW w:w="4936" w:type="dxa"/>
            <w:gridSpan w:val="3"/>
            <w:tcBorders>
              <w:top w:val="nil"/>
              <w:bottom w:val="nil"/>
              <w:right w:val="nil"/>
            </w:tcBorders>
            <w:shd w:val="clear" w:color="auto" w:fill="auto"/>
          </w:tcPr>
          <w:p w:rsidR="0017135D" w:rsidRPr="00301E00" w:rsidP="009967D5">
            <w:pPr>
              <w:pStyle w:val="CSBody8pt"/>
              <w:rPr>
                <w:lang w:val="de-DE"/>
              </w:rPr>
            </w:pPr>
            <w:r w:rsidRPr="00301E00">
              <w:rPr>
                <w:lang w:val="de-DE"/>
              </w:rPr>
              <w:t xml:space="preserve">In Bezug auf Referenzsatz </w:t>
            </w:r>
            <w:r w:rsidRPr="00792D61">
              <w:rPr>
                <w:b/>
                <w:lang w:val="de-DE"/>
              </w:rPr>
              <w:t>[</w:t>
            </w:r>
            <w:r w:rsidRPr="00301E00">
              <w:rPr>
                <w:lang w:val="de-DE"/>
              </w:rPr>
              <w:t>1</w:t>
            </w:r>
            <w:r w:rsidRPr="00792D61">
              <w:rPr>
                <w:b/>
                <w:lang w:val="de-DE"/>
              </w:rPr>
              <w:t>]</w:t>
            </w:r>
            <w:r w:rsidRPr="00301E00">
              <w:rPr>
                <w:lang w:val="de-DE"/>
              </w:rPr>
              <w:t xml:space="preserve"> gilt jede in diesen Emissionsbedingungen enthaltene Bezugnahme auf einen der nachstehend definierten Begriffe als Bezugnahme auf den betreffenden Begriff in der nachstehend definierten Bedeutung: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D4701" w:rsidP="009967D5">
            <w:pPr>
              <w:pStyle w:val="CSBody8pt"/>
            </w:pPr>
            <w:r w:rsidRPr="00792D61">
              <w:rPr>
                <w:b/>
              </w:rPr>
              <w:t>[</w:t>
            </w:r>
            <w:r w:rsidRPr="00AD4701">
              <w:t>Security Codes</w:t>
            </w:r>
          </w:p>
        </w:tc>
        <w:tc>
          <w:tcPr>
            <w:tcW w:w="3315" w:type="dxa"/>
            <w:gridSpan w:val="2"/>
            <w:tcBorders>
              <w:top w:val="nil"/>
              <w:left w:val="nil"/>
              <w:bottom w:val="nil"/>
            </w:tcBorders>
            <w:shd w:val="clear" w:color="auto" w:fill="auto"/>
          </w:tcPr>
          <w:p w:rsidR="0017135D" w:rsidRPr="00301E00" w:rsidP="009967D5">
            <w:pPr>
              <w:pStyle w:val="CSBody8pt"/>
            </w:pPr>
            <w:r w:rsidRPr="00792D61">
              <w:rPr>
                <w:b/>
              </w:rPr>
              <w:t>[</w:t>
            </w:r>
            <w:r w:rsidRPr="00301E00">
              <w:t xml:space="preserve">Swiss Sec. No.: </w:t>
            </w:r>
            <w:r w:rsidRPr="00792D61">
              <w:rPr>
                <w:b/>
              </w:rPr>
              <w:t>[</w:t>
            </w:r>
            <w:r w:rsidRPr="00301E00">
              <w:rPr>
                <w:rFonts w:ascii="Arial" w:hAnsi="Arial" w:cs="Arial"/>
              </w:rPr>
              <w:t>●</w:t>
            </w:r>
            <w:r w:rsidRPr="00792D61">
              <w:rPr>
                <w:b/>
              </w:rPr>
              <w:t>]]</w:t>
            </w:r>
          </w:p>
          <w:p w:rsidR="0017135D" w:rsidRPr="00301E00" w:rsidP="009967D5">
            <w:pPr>
              <w:pStyle w:val="CSBody8pt"/>
            </w:pPr>
            <w:r w:rsidRPr="00792D61">
              <w:rPr>
                <w:b/>
              </w:rPr>
              <w:t>[</w:t>
            </w:r>
            <w:r w:rsidRPr="00301E00">
              <w:t xml:space="preserve">ISIN: </w:t>
            </w:r>
            <w:r w:rsidRPr="00792D61">
              <w:rPr>
                <w:b/>
              </w:rPr>
              <w:t>[</w:t>
            </w:r>
            <w:r w:rsidRPr="00301E00">
              <w:rPr>
                <w:rFonts w:ascii="Arial" w:hAnsi="Arial" w:cs="Arial"/>
              </w:rPr>
              <w:t>●</w:t>
            </w:r>
            <w:r w:rsidRPr="00792D61">
              <w:rPr>
                <w:b/>
              </w:rPr>
              <w:t>]]</w:t>
            </w:r>
          </w:p>
          <w:p w:rsidR="0017135D" w:rsidRPr="00301E00" w:rsidP="009967D5">
            <w:pPr>
              <w:pStyle w:val="CSBody8pt"/>
            </w:pPr>
            <w:r w:rsidRPr="00792D61">
              <w:rPr>
                <w:b/>
              </w:rPr>
              <w:t>[</w:t>
            </w:r>
            <w:r w:rsidRPr="00301E00">
              <w:t xml:space="preserve">Reuters Screen: </w:t>
            </w:r>
            <w:r w:rsidRPr="00792D61">
              <w:rPr>
                <w:b/>
              </w:rPr>
              <w:t>[</w:t>
            </w:r>
            <w:r w:rsidRPr="00301E00">
              <w:rPr>
                <w:rFonts w:ascii="Arial" w:hAnsi="Arial" w:cs="Arial"/>
              </w:rPr>
              <w:t>●</w:t>
            </w:r>
            <w:r w:rsidRPr="00792D61">
              <w:rPr>
                <w:b/>
              </w:rPr>
              <w:t>]]</w:t>
            </w:r>
          </w:p>
          <w:p w:rsidR="0017135D" w:rsidRPr="00301E00" w:rsidP="009967D5">
            <w:pPr>
              <w:pStyle w:val="CSBody8pt"/>
              <w:rPr>
                <w:lang w:val="de-DE"/>
              </w:rPr>
            </w:pPr>
            <w:r w:rsidRPr="00792D61">
              <w:rPr>
                <w:b/>
                <w:lang w:val="de-DE"/>
              </w:rPr>
              <w:t>[</w:t>
            </w:r>
            <w:r w:rsidRPr="00301E00">
              <w:rPr>
                <w:lang w:val="de-DE"/>
              </w:rPr>
              <w:t xml:space="preserve">Bloomberg Ticker: </w:t>
            </w:r>
            <w:r w:rsidRPr="00792D61">
              <w:rPr>
                <w:b/>
                <w:lang w:val="de-DE"/>
              </w:rPr>
              <w:t>[</w:t>
            </w:r>
            <w:r w:rsidRPr="00301E00">
              <w:rPr>
                <w:rFonts w:ascii="Arial" w:hAnsi="Arial" w:cs="Arial"/>
                <w:lang w:val="de-DE"/>
              </w:rPr>
              <w:t>●</w:t>
            </w:r>
            <w:r w:rsidRPr="00792D61">
              <w:rPr>
                <w:b/>
                <w:lang w:val="de-DE"/>
              </w:rPr>
              <w:t>]]]</w:t>
            </w:r>
          </w:p>
        </w:tc>
        <w:tc>
          <w:tcPr>
            <w:tcW w:w="1618" w:type="dxa"/>
            <w:gridSpan w:val="2"/>
            <w:tcBorders>
              <w:top w:val="nil"/>
              <w:bottom w:val="nil"/>
              <w:right w:val="nil"/>
            </w:tcBorders>
            <w:shd w:val="clear" w:color="auto" w:fill="auto"/>
          </w:tcPr>
          <w:p w:rsidR="0017135D" w:rsidRPr="00AF3803" w:rsidP="009967D5">
            <w:pPr>
              <w:pStyle w:val="CSBody8pt"/>
            </w:pPr>
            <w:r w:rsidRPr="00792D61">
              <w:rPr>
                <w:b/>
              </w:rPr>
              <w:t>[</w:t>
            </w:r>
            <w:r w:rsidRPr="00AF3803">
              <w:t>Kennnummern</w:t>
            </w:r>
          </w:p>
        </w:tc>
        <w:tc>
          <w:tcPr>
            <w:tcW w:w="3318" w:type="dxa"/>
            <w:tcBorders>
              <w:top w:val="nil"/>
              <w:left w:val="nil"/>
              <w:bottom w:val="nil"/>
              <w:right w:val="nil"/>
            </w:tcBorders>
            <w:shd w:val="clear" w:color="auto" w:fill="auto"/>
          </w:tcPr>
          <w:p w:rsidR="0017135D" w:rsidRPr="00301E00" w:rsidP="009967D5">
            <w:pPr>
              <w:pStyle w:val="CSBody8pt"/>
              <w:rPr>
                <w:bCs/>
                <w:lang w:val="de-DE"/>
              </w:rPr>
            </w:pPr>
            <w:r w:rsidRPr="00792D61">
              <w:rPr>
                <w:b/>
                <w:bCs/>
                <w:lang w:val="de-DE"/>
              </w:rPr>
              <w:t>[</w:t>
            </w:r>
            <w:r w:rsidRPr="00301E00">
              <w:rPr>
                <w:bCs/>
                <w:lang w:val="de-DE"/>
              </w:rPr>
              <w:t xml:space="preserve">Valoren Nr.: </w:t>
            </w:r>
            <w:r w:rsidRPr="00792D61">
              <w:rPr>
                <w:b/>
                <w:bCs/>
                <w:lang w:val="de-DE"/>
              </w:rPr>
              <w:t>[</w:t>
            </w:r>
            <w:r w:rsidRPr="00301E00">
              <w:rPr>
                <w:rFonts w:ascii="Arial" w:hAnsi="Arial" w:cs="Arial"/>
                <w:bCs/>
                <w:lang w:val="de-DE"/>
              </w:rPr>
              <w:t>●</w:t>
            </w:r>
            <w:r w:rsidRPr="00792D61">
              <w:rPr>
                <w:b/>
                <w:bCs/>
                <w:lang w:val="de-DE"/>
              </w:rPr>
              <w:t>]]</w:t>
            </w:r>
          </w:p>
          <w:p w:rsidR="0017135D" w:rsidRPr="00301E00" w:rsidP="009967D5">
            <w:pPr>
              <w:pStyle w:val="CSBody8pt"/>
              <w:rPr>
                <w:bCs/>
                <w:lang w:val="de-DE"/>
              </w:rPr>
            </w:pPr>
            <w:r w:rsidRPr="00792D61">
              <w:rPr>
                <w:b/>
                <w:bCs/>
                <w:lang w:val="de-DE"/>
              </w:rPr>
              <w:t>[</w:t>
            </w:r>
            <w:r w:rsidRPr="00301E00">
              <w:rPr>
                <w:bCs/>
                <w:lang w:val="de-DE"/>
              </w:rPr>
              <w:t xml:space="preserve">ISIN: </w:t>
            </w:r>
            <w:r w:rsidRPr="00792D61">
              <w:rPr>
                <w:b/>
                <w:bCs/>
                <w:lang w:val="de-DE"/>
              </w:rPr>
              <w:t>[</w:t>
            </w:r>
            <w:r w:rsidRPr="00301E00">
              <w:rPr>
                <w:rFonts w:ascii="Arial" w:hAnsi="Arial" w:cs="Arial"/>
                <w:bCs/>
                <w:lang w:val="de-DE"/>
              </w:rPr>
              <w:t>●</w:t>
            </w:r>
            <w:r w:rsidRPr="00792D61">
              <w:rPr>
                <w:b/>
                <w:bCs/>
                <w:lang w:val="de-DE"/>
              </w:rPr>
              <w:t>]]</w:t>
            </w:r>
          </w:p>
          <w:p w:rsidR="0017135D" w:rsidRPr="00301E00" w:rsidP="009967D5">
            <w:pPr>
              <w:pStyle w:val="CSBody8pt"/>
              <w:rPr>
                <w:bCs/>
                <w:lang w:val="de-DE"/>
              </w:rPr>
            </w:pPr>
            <w:r w:rsidRPr="00792D61">
              <w:rPr>
                <w:b/>
                <w:bCs/>
                <w:lang w:val="de-DE"/>
              </w:rPr>
              <w:t>[</w:t>
            </w:r>
            <w:r w:rsidRPr="00301E00">
              <w:rPr>
                <w:bCs/>
                <w:lang w:val="de-DE"/>
              </w:rPr>
              <w:t xml:space="preserve">Reuters-Bildschirmseite: </w:t>
            </w:r>
            <w:r w:rsidRPr="00792D61">
              <w:rPr>
                <w:b/>
                <w:bCs/>
                <w:lang w:val="de-DE"/>
              </w:rPr>
              <w:t>[</w:t>
            </w:r>
            <w:r w:rsidRPr="00301E00">
              <w:rPr>
                <w:rFonts w:ascii="Arial" w:hAnsi="Arial" w:cs="Arial"/>
                <w:bCs/>
                <w:lang w:val="de-DE"/>
              </w:rPr>
              <w:t>●</w:t>
            </w:r>
            <w:r w:rsidRPr="00792D61">
              <w:rPr>
                <w:b/>
                <w:bCs/>
                <w:lang w:val="de-DE"/>
              </w:rPr>
              <w:t>]]</w:t>
            </w:r>
          </w:p>
          <w:p w:rsidR="0017135D" w:rsidRPr="00301E00" w:rsidP="009967D5">
            <w:pPr>
              <w:pStyle w:val="CSBody8pt"/>
              <w:rPr>
                <w:bCs/>
                <w:lang w:val="de-DE"/>
              </w:rPr>
            </w:pPr>
            <w:r w:rsidRPr="00792D61">
              <w:rPr>
                <w:b/>
                <w:bCs/>
                <w:lang w:val="de-DE"/>
              </w:rPr>
              <w:t>[</w:t>
            </w:r>
            <w:r w:rsidRPr="00301E00">
              <w:rPr>
                <w:bCs/>
                <w:lang w:val="de-DE"/>
              </w:rPr>
              <w:t xml:space="preserve">Bloomberg Ticker: </w:t>
            </w:r>
            <w:r w:rsidRPr="00792D61">
              <w:rPr>
                <w:b/>
                <w:bCs/>
                <w:lang w:val="de-DE"/>
              </w:rPr>
              <w:t>[</w:t>
            </w:r>
            <w:r w:rsidRPr="00301E00">
              <w:rPr>
                <w:rFonts w:ascii="Arial" w:hAnsi="Arial" w:cs="Arial"/>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D4701" w:rsidP="009967D5">
            <w:pPr>
              <w:pStyle w:val="CSBody8pt"/>
            </w:pPr>
            <w:r w:rsidRPr="00792D61">
              <w:rPr>
                <w:b/>
              </w:rPr>
              <w:t>[</w:t>
            </w:r>
            <w:r w:rsidRPr="00AD4701">
              <w:t>Rate Source</w:t>
            </w:r>
          </w:p>
        </w:tc>
        <w:tc>
          <w:tcPr>
            <w:tcW w:w="3315" w:type="dxa"/>
            <w:gridSpan w:val="2"/>
            <w:tcBorders>
              <w:top w:val="nil"/>
              <w:left w:val="nil"/>
              <w:bottom w:val="nil"/>
            </w:tcBorders>
            <w:shd w:val="clear" w:color="auto" w:fill="auto"/>
          </w:tcPr>
          <w:p w:rsidR="0017135D" w:rsidRPr="00654D80" w:rsidP="009967D5">
            <w:pPr>
              <w:pStyle w:val="CSBody8pt"/>
            </w:pPr>
            <w:r w:rsidRPr="00792D61">
              <w:rPr>
                <w:b/>
              </w:rPr>
              <w:t>[</w:t>
            </w:r>
            <w:r w:rsidRPr="00654D80">
              <w:rPr>
                <w:rFonts w:ascii="Arial" w:hAnsi="Arial" w:cs="Arial"/>
              </w:rPr>
              <w:t>●</w:t>
            </w:r>
            <w:r w:rsidRPr="00792D61">
              <w:rPr>
                <w:b/>
              </w:rPr>
              <w:t>]]</w:t>
            </w:r>
          </w:p>
        </w:tc>
        <w:tc>
          <w:tcPr>
            <w:tcW w:w="1618" w:type="dxa"/>
            <w:gridSpan w:val="2"/>
            <w:tcBorders>
              <w:top w:val="nil"/>
              <w:bottom w:val="nil"/>
              <w:right w:val="nil"/>
            </w:tcBorders>
            <w:shd w:val="clear" w:color="auto" w:fill="auto"/>
          </w:tcPr>
          <w:p w:rsidR="0017135D" w:rsidRPr="00AF3803" w:rsidP="009967D5">
            <w:pPr>
              <w:pStyle w:val="CSBody8pt"/>
            </w:pPr>
            <w:r w:rsidRPr="00792D61">
              <w:rPr>
                <w:b/>
              </w:rPr>
              <w:t>[</w:t>
            </w:r>
            <w:r w:rsidRPr="00AF3803">
              <w:t>Kursquelle</w:t>
            </w:r>
          </w:p>
        </w:tc>
        <w:tc>
          <w:tcPr>
            <w:tcW w:w="3318" w:type="dxa"/>
            <w:tcBorders>
              <w:top w:val="nil"/>
              <w:left w:val="nil"/>
              <w:bottom w:val="nil"/>
              <w:right w:val="nil"/>
            </w:tcBorders>
            <w:shd w:val="clear" w:color="auto" w:fill="auto"/>
          </w:tcPr>
          <w:p w:rsidR="0017135D" w:rsidRPr="00524035" w:rsidP="009967D5">
            <w:pPr>
              <w:pStyle w:val="CSBody8pt"/>
            </w:pPr>
            <w:r w:rsidRPr="00792D61">
              <w:rPr>
                <w:b/>
              </w:rPr>
              <w:t>[</w:t>
            </w:r>
            <w:r w:rsidRPr="00524035">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P="009967D5">
            <w:pPr>
              <w:pStyle w:val="CSBody8pt"/>
            </w:pPr>
            <w:r w:rsidRPr="00792D61">
              <w:rPr>
                <w:b/>
              </w:rPr>
              <w:t>[</w:t>
            </w:r>
            <w:r w:rsidRPr="00AD4701">
              <w:t>Spot Reference</w:t>
            </w:r>
          </w:p>
        </w:tc>
        <w:tc>
          <w:tcPr>
            <w:tcW w:w="3315" w:type="dxa"/>
            <w:gridSpan w:val="2"/>
            <w:tcBorders>
              <w:top w:val="nil"/>
              <w:left w:val="nil"/>
              <w:bottom w:val="nil"/>
            </w:tcBorders>
            <w:shd w:val="clear" w:color="auto" w:fill="auto"/>
          </w:tcPr>
          <w:p w:rsidR="0017135D" w:rsidP="009967D5">
            <w:pPr>
              <w:pStyle w:val="CSBody8pt"/>
            </w:pPr>
            <w:r w:rsidRPr="00792D61">
              <w:rPr>
                <w:b/>
              </w:rPr>
              <w:t>[</w:t>
            </w:r>
            <w:r w:rsidRPr="00654D80">
              <w:rPr>
                <w:rFonts w:ascii="Arial" w:hAnsi="Arial" w:cs="Arial"/>
              </w:rPr>
              <w:t>●</w:t>
            </w:r>
            <w:r w:rsidRPr="00792D61">
              <w:rPr>
                <w:b/>
              </w:rPr>
              <w:t>]</w:t>
            </w:r>
            <w:r w:rsidRPr="00654D80">
              <w:t xml:space="preserve"> (as of </w:t>
            </w:r>
            <w:r w:rsidRPr="00792D61">
              <w:rPr>
                <w:b/>
              </w:rPr>
              <w:t>[</w:t>
            </w:r>
            <w:r w:rsidRPr="00654D80">
              <w:rPr>
                <w:rFonts w:ascii="Arial" w:hAnsi="Arial" w:cs="Arial"/>
              </w:rPr>
              <w:t>●</w:t>
            </w:r>
            <w:r w:rsidRPr="00792D61">
              <w:rPr>
                <w:b/>
              </w:rPr>
              <w:t>]</w:t>
            </w:r>
            <w:r w:rsidRPr="00654D80">
              <w:t>)</w:t>
            </w:r>
            <w:r w:rsidRPr="00792D61">
              <w:rPr>
                <w:b/>
              </w:rPr>
              <w:t>]</w:t>
            </w:r>
          </w:p>
        </w:tc>
        <w:tc>
          <w:tcPr>
            <w:tcW w:w="1618" w:type="dxa"/>
            <w:gridSpan w:val="2"/>
            <w:tcBorders>
              <w:top w:val="nil"/>
              <w:bottom w:val="nil"/>
              <w:right w:val="nil"/>
            </w:tcBorders>
            <w:shd w:val="clear" w:color="auto" w:fill="auto"/>
          </w:tcPr>
          <w:p w:rsidR="0017135D" w:rsidP="009967D5">
            <w:pPr>
              <w:pStyle w:val="CSBody8pt"/>
            </w:pPr>
            <w:r w:rsidRPr="00792D61">
              <w:rPr>
                <w:b/>
              </w:rPr>
              <w:t>[</w:t>
            </w:r>
            <w:r w:rsidRPr="00AF3803">
              <w:t>Stand des Referenzsatzes</w:t>
            </w:r>
          </w:p>
        </w:tc>
        <w:tc>
          <w:tcPr>
            <w:tcW w:w="3318" w:type="dxa"/>
            <w:tcBorders>
              <w:top w:val="nil"/>
              <w:left w:val="nil"/>
              <w:bottom w:val="nil"/>
              <w:right w:val="nil"/>
            </w:tcBorders>
            <w:shd w:val="clear" w:color="auto" w:fill="auto"/>
          </w:tcPr>
          <w:p w:rsidR="0017135D" w:rsidP="009967D5">
            <w:pPr>
              <w:pStyle w:val="CSBody8pt"/>
            </w:pPr>
            <w:r w:rsidRPr="00792D61">
              <w:rPr>
                <w:b/>
              </w:rPr>
              <w:t>[</w:t>
            </w:r>
            <w:r w:rsidRPr="00524035">
              <w:rPr>
                <w:rFonts w:ascii="Arial" w:hAnsi="Arial" w:cs="Arial"/>
              </w:rPr>
              <w:t>●</w:t>
            </w:r>
            <w:r w:rsidRPr="00792D61">
              <w:rPr>
                <w:b/>
              </w:rPr>
              <w:t>]</w:t>
            </w:r>
            <w:r w:rsidRPr="00524035">
              <w:t xml:space="preserve"> (zum </w:t>
            </w:r>
            <w:r w:rsidRPr="00792D61">
              <w:rPr>
                <w:b/>
              </w:rPr>
              <w:t>[</w:t>
            </w:r>
            <w:r w:rsidRPr="00524035">
              <w:rPr>
                <w:rFonts w:ascii="Arial" w:hAnsi="Arial" w:cs="Arial"/>
              </w:rPr>
              <w:t>●</w:t>
            </w:r>
            <w:r w:rsidRPr="00792D61">
              <w:rPr>
                <w:b/>
              </w:rPr>
              <w:t>]</w:t>
            </w:r>
            <w:r w:rsidRPr="00524035">
              <w:t>)</w:t>
            </w:r>
            <w:r w:rsidRPr="00792D61">
              <w:rPr>
                <w:b/>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2843EA" w:rsidP="009967D5">
            <w:pPr>
              <w:pStyle w:val="CSBody8ptbolditalics"/>
            </w:pPr>
            <w:r w:rsidRPr="00792D61">
              <w:t>[</w:t>
            </w:r>
            <w:r w:rsidRPr="002843EA">
              <w:t>in the case of Inflation Index-Linked Notes, insert:</w:t>
            </w:r>
          </w:p>
        </w:tc>
        <w:tc>
          <w:tcPr>
            <w:tcW w:w="4936" w:type="dxa"/>
            <w:gridSpan w:val="3"/>
            <w:tcBorders>
              <w:top w:val="nil"/>
              <w:bottom w:val="nil"/>
              <w:right w:val="nil"/>
            </w:tcBorders>
            <w:shd w:val="clear" w:color="auto" w:fill="auto"/>
          </w:tcPr>
          <w:p w:rsidR="0017135D" w:rsidRPr="00301E00" w:rsidP="009967D5">
            <w:pPr>
              <w:pStyle w:val="CSBody8ptbolditalics"/>
              <w:rPr>
                <w:lang w:val="de-DE"/>
              </w:rPr>
            </w:pPr>
            <w:r w:rsidRPr="00792D61">
              <w:rPr>
                <w:lang w:val="de-DE"/>
              </w:rPr>
              <w:t>[</w:t>
            </w:r>
            <w:r w:rsidRPr="00301E00">
              <w:rPr>
                <w:lang w:val="de-DE"/>
              </w:rPr>
              <w:t>bei Inflation Index-Linked Notes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4441A" w:rsidP="009967D5">
            <w:pPr>
              <w:pStyle w:val="CSBody8pt"/>
            </w:pPr>
            <w:r w:rsidRPr="00A4441A">
              <w:t>Index Sponsor</w:t>
            </w:r>
          </w:p>
        </w:tc>
        <w:tc>
          <w:tcPr>
            <w:tcW w:w="3315" w:type="dxa"/>
            <w:gridSpan w:val="2"/>
            <w:tcBorders>
              <w:top w:val="nil"/>
              <w:left w:val="nil"/>
              <w:bottom w:val="nil"/>
            </w:tcBorders>
            <w:shd w:val="clear" w:color="auto" w:fill="auto"/>
          </w:tcPr>
          <w:p w:rsidR="0017135D" w:rsidRPr="000061D2" w:rsidP="009967D5">
            <w:pPr>
              <w:pStyle w:val="CSBody8pt"/>
            </w:pPr>
            <w:r w:rsidRPr="00792D61">
              <w:rPr>
                <w:b/>
              </w:rPr>
              <w:t>[</w:t>
            </w:r>
            <w:r w:rsidRPr="009967D5">
              <w:rPr>
                <w:b/>
                <w:i/>
              </w:rPr>
              <w:t>insert name of Index sponsor:</w:t>
            </w:r>
            <w:r w:rsidRPr="000061D2">
              <w:t xml:space="preserve"> </w:t>
            </w:r>
            <w:r w:rsidRPr="000061D2">
              <w:rPr>
                <w:rFonts w:ascii="Arial" w:hAnsi="Arial" w:cs="Arial"/>
              </w:rPr>
              <w:t>●</w:t>
            </w:r>
            <w:r w:rsidRPr="00792D61">
              <w:rPr>
                <w:b/>
              </w:rPr>
              <w:t>]</w:t>
            </w:r>
            <w:r w:rsidRPr="000061D2">
              <w:t xml:space="preserve">, </w:t>
            </w:r>
            <w:r w:rsidRPr="00792D61">
              <w:rPr>
                <w:b/>
              </w:rPr>
              <w:t>[</w:t>
            </w:r>
            <w:r w:rsidRPr="000061D2">
              <w:t>a corporation</w:t>
            </w:r>
            <w:r w:rsidRPr="00792D61">
              <w:rPr>
                <w:b/>
              </w:rPr>
              <w:t>]</w:t>
            </w:r>
            <w:r w:rsidRPr="000061D2">
              <w:t xml:space="preserve"> </w:t>
            </w:r>
            <w:r w:rsidRPr="00792D61">
              <w:rPr>
                <w:b/>
              </w:rPr>
              <w:t>[</w:t>
            </w:r>
            <w:r w:rsidRPr="000061D2">
              <w:t>an entity</w:t>
            </w:r>
            <w:r w:rsidRPr="00792D61">
              <w:rPr>
                <w:b/>
              </w:rPr>
              <w:t>]</w:t>
            </w:r>
            <w:r w:rsidRPr="000061D2">
              <w:t xml:space="preserve"> that (a) is responsible for setting and reviewing the rules and procedures and the methods of calculation and adjustments if any, related to the Inflation Index, and (b) announces (directly or through an agent) the </w:t>
            </w:r>
            <w:r w:rsidRPr="00792D61">
              <w:rPr>
                <w:b/>
              </w:rPr>
              <w:t>[</w:t>
            </w:r>
            <w:r w:rsidRPr="000061D2">
              <w:t>closing</w:t>
            </w:r>
            <w:r w:rsidRPr="00792D61">
              <w:rPr>
                <w:b/>
              </w:rPr>
              <w:t>][</w:t>
            </w:r>
            <w:r w:rsidRPr="000061D2">
              <w:t>level</w:t>
            </w:r>
            <w:r w:rsidRPr="00792D61">
              <w:rPr>
                <w:b/>
              </w:rPr>
              <w:t>][</w:t>
            </w:r>
            <w:r w:rsidRPr="000061D2">
              <w:t>value</w:t>
            </w:r>
            <w:r w:rsidRPr="00792D61">
              <w:rPr>
                <w:b/>
              </w:rPr>
              <w:t>]</w:t>
            </w:r>
            <w:r w:rsidRPr="000061D2">
              <w:t xml:space="preserve"> of the Inflation Index on a regular basis.</w:t>
            </w:r>
          </w:p>
        </w:tc>
        <w:tc>
          <w:tcPr>
            <w:tcW w:w="1618" w:type="dxa"/>
            <w:gridSpan w:val="2"/>
            <w:tcBorders>
              <w:top w:val="nil"/>
              <w:bottom w:val="nil"/>
              <w:right w:val="nil"/>
            </w:tcBorders>
            <w:shd w:val="clear" w:color="auto" w:fill="auto"/>
          </w:tcPr>
          <w:p w:rsidR="0017135D" w:rsidRPr="00E60EFE" w:rsidP="009967D5">
            <w:pPr>
              <w:pStyle w:val="CSBody8pt"/>
            </w:pPr>
            <w:r w:rsidRPr="00E60EFE">
              <w:t>Index-Sponsor</w:t>
            </w:r>
          </w:p>
        </w:tc>
        <w:tc>
          <w:tcPr>
            <w:tcW w:w="3318" w:type="dxa"/>
            <w:tcBorders>
              <w:top w:val="nil"/>
              <w:left w:val="nil"/>
              <w:bottom w:val="nil"/>
              <w:right w:val="nil"/>
            </w:tcBorders>
            <w:shd w:val="clear" w:color="auto" w:fill="auto"/>
          </w:tcPr>
          <w:p w:rsidR="0017135D" w:rsidRPr="00301E00" w:rsidP="009967D5">
            <w:pPr>
              <w:pStyle w:val="CSBody8pt"/>
              <w:rPr>
                <w:lang w:val="de-DE"/>
              </w:rPr>
            </w:pPr>
            <w:r w:rsidRPr="00792D61">
              <w:rPr>
                <w:b/>
                <w:lang w:val="de-DE"/>
              </w:rPr>
              <w:t>[</w:t>
            </w:r>
            <w:r w:rsidRPr="009967D5">
              <w:rPr>
                <w:b/>
                <w:i/>
                <w:lang w:val="de-DE"/>
              </w:rPr>
              <w:t>Name des Indexsponsors einfügen</w:t>
            </w:r>
            <w:r w:rsidRPr="00301E00">
              <w:rPr>
                <w:lang w:val="de-DE"/>
              </w:rPr>
              <w:t xml:space="preserve">: </w:t>
            </w:r>
            <w:r w:rsidRPr="00301E00">
              <w:rPr>
                <w:rFonts w:ascii="Arial" w:hAnsi="Arial" w:cs="Arial"/>
                <w:lang w:val="de-DE"/>
              </w:rPr>
              <w:t>●</w:t>
            </w:r>
            <w:r w:rsidRPr="00792D61">
              <w:rPr>
                <w:b/>
                <w:lang w:val="de-DE"/>
              </w:rPr>
              <w:t>]</w:t>
            </w:r>
            <w:r w:rsidRPr="00301E00">
              <w:rPr>
                <w:lang w:val="de-DE"/>
              </w:rPr>
              <w:t xml:space="preserve">, </w:t>
            </w:r>
            <w:r w:rsidRPr="00792D61">
              <w:rPr>
                <w:b/>
                <w:lang w:val="de-DE"/>
              </w:rPr>
              <w:t>[</w:t>
            </w:r>
            <w:r w:rsidRPr="00301E00">
              <w:rPr>
                <w:lang w:val="de-DE"/>
              </w:rPr>
              <w:t>eine Kapitalgesellschaft</w:t>
            </w:r>
            <w:r w:rsidRPr="00792D61">
              <w:rPr>
                <w:b/>
                <w:lang w:val="de-DE"/>
              </w:rPr>
              <w:t>]</w:t>
            </w:r>
            <w:r w:rsidRPr="00301E00">
              <w:rPr>
                <w:lang w:val="de-DE"/>
              </w:rPr>
              <w:t xml:space="preserve"> </w:t>
            </w:r>
            <w:r w:rsidRPr="00792D61">
              <w:rPr>
                <w:b/>
                <w:lang w:val="de-DE"/>
              </w:rPr>
              <w:t>[</w:t>
            </w:r>
            <w:r w:rsidRPr="00301E00">
              <w:rPr>
                <w:lang w:val="de-DE"/>
              </w:rPr>
              <w:t>eine juristische Person</w:t>
            </w:r>
            <w:r w:rsidRPr="00792D61">
              <w:rPr>
                <w:b/>
                <w:lang w:val="de-DE"/>
              </w:rPr>
              <w:t>]</w:t>
            </w:r>
            <w:r w:rsidRPr="00301E00">
              <w:rPr>
                <w:lang w:val="de-DE"/>
              </w:rPr>
              <w:t>, die (a) f</w:t>
            </w:r>
            <w:r w:rsidRPr="00301E00">
              <w:rPr>
                <w:rFonts w:cs="Credit Suisse Type Light"/>
                <w:lang w:val="de-DE"/>
              </w:rPr>
              <w:t>ü</w:t>
            </w:r>
            <w:r w:rsidRPr="00301E00">
              <w:rPr>
                <w:lang w:val="de-DE"/>
              </w:rPr>
              <w:t xml:space="preserve">r die Festlegung und </w:t>
            </w:r>
            <w:r w:rsidRPr="00301E00">
              <w:rPr>
                <w:rFonts w:cs="Credit Suisse Type Light"/>
                <w:lang w:val="de-DE"/>
              </w:rPr>
              <w:t>Ü</w:t>
            </w:r>
            <w:r w:rsidRPr="00301E00">
              <w:rPr>
                <w:lang w:val="de-DE"/>
              </w:rPr>
              <w:t>berpr</w:t>
            </w:r>
            <w:r w:rsidRPr="00301E00">
              <w:rPr>
                <w:rFonts w:cs="Credit Suisse Type Light"/>
                <w:lang w:val="de-DE"/>
              </w:rPr>
              <w:t>ü</w:t>
            </w:r>
            <w:r w:rsidRPr="00301E00">
              <w:rPr>
                <w:lang w:val="de-DE"/>
              </w:rPr>
              <w:t>fung der Regeln und Verfahren sowie der Methodik f</w:t>
            </w:r>
            <w:r w:rsidRPr="00301E00">
              <w:rPr>
                <w:rFonts w:cs="Credit Suisse Type Light"/>
                <w:lang w:val="de-DE"/>
              </w:rPr>
              <w:t>ü</w:t>
            </w:r>
            <w:r w:rsidRPr="00301E00">
              <w:rPr>
                <w:lang w:val="de-DE"/>
              </w:rPr>
              <w:t xml:space="preserve">r die Berechnung und etwaige Anpassungen in Bezug auf diesen Index verantwortlich ist, und (b) den </w:t>
            </w:r>
            <w:r w:rsidRPr="00792D61">
              <w:rPr>
                <w:b/>
                <w:lang w:val="de-DE"/>
              </w:rPr>
              <w:t>[</w:t>
            </w:r>
            <w:r w:rsidRPr="00301E00">
              <w:rPr>
                <w:lang w:val="de-DE"/>
              </w:rPr>
              <w:t>Schluss-</w:t>
            </w:r>
            <w:r w:rsidRPr="00792D61">
              <w:rPr>
                <w:b/>
                <w:lang w:val="de-DE"/>
              </w:rPr>
              <w:t>][</w:t>
            </w:r>
            <w:r w:rsidRPr="00301E00">
              <w:rPr>
                <w:lang w:val="de-DE"/>
              </w:rPr>
              <w:t>Stand</w:t>
            </w:r>
            <w:r w:rsidRPr="00792D61">
              <w:rPr>
                <w:b/>
                <w:lang w:val="de-DE"/>
              </w:rPr>
              <w:t>][</w:t>
            </w:r>
            <w:r w:rsidRPr="00301E00">
              <w:rPr>
                <w:lang w:val="de-DE"/>
              </w:rPr>
              <w:t>Kurs</w:t>
            </w:r>
            <w:r w:rsidRPr="00792D61">
              <w:rPr>
                <w:b/>
                <w:lang w:val="de-DE"/>
              </w:rPr>
              <w:t>]</w:t>
            </w:r>
            <w:r w:rsidRPr="00301E00">
              <w:rPr>
                <w:lang w:val="de-DE"/>
              </w:rPr>
              <w:t xml:space="preserve"> im Verlauf jedes Planmässigen Handelstages in regelmässigen Abständen (unmittelbar oder über eine beauftragte Stelle) bekannt gibt.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4441A" w:rsidP="009967D5">
            <w:pPr>
              <w:pStyle w:val="CSBody8pt"/>
            </w:pPr>
            <w:r w:rsidRPr="00A4441A">
              <w:t>Index Description</w:t>
            </w:r>
          </w:p>
        </w:tc>
        <w:tc>
          <w:tcPr>
            <w:tcW w:w="3315" w:type="dxa"/>
            <w:gridSpan w:val="2"/>
            <w:tcBorders>
              <w:top w:val="nil"/>
              <w:left w:val="nil"/>
              <w:bottom w:val="nil"/>
            </w:tcBorders>
            <w:shd w:val="clear" w:color="auto" w:fill="auto"/>
          </w:tcPr>
          <w:p w:rsidR="0017135D" w:rsidRPr="000061D2" w:rsidP="009967D5">
            <w:pPr>
              <w:pStyle w:val="CSBody8ptbolditalics"/>
            </w:pPr>
            <w:r w:rsidRPr="00792D61">
              <w:t>[</w:t>
            </w:r>
            <w:r w:rsidRPr="000061D2">
              <w:rPr>
                <w:rFonts w:ascii="Arial" w:hAnsi="Arial" w:cs="Arial"/>
              </w:rPr>
              <w:t>●</w:t>
            </w:r>
            <w:r w:rsidRPr="00792D61">
              <w:t>]</w:t>
            </w:r>
            <w:r w:rsidRPr="000061D2">
              <w:t xml:space="preserve"> </w:t>
            </w:r>
            <w:r w:rsidRPr="00792D61">
              <w:t>[</w:t>
            </w:r>
            <w:r w:rsidRPr="007E3558">
              <w:t>e.g.</w:t>
            </w:r>
            <w:r w:rsidRPr="000061D2">
              <w:t>, internet site for Index-Rules, name calculation method, universe, adjustment methods, price or total return index</w:t>
            </w:r>
            <w:r w:rsidRPr="00792D61">
              <w:t>]</w:t>
            </w:r>
          </w:p>
        </w:tc>
        <w:tc>
          <w:tcPr>
            <w:tcW w:w="1618" w:type="dxa"/>
            <w:gridSpan w:val="2"/>
            <w:tcBorders>
              <w:top w:val="nil"/>
              <w:bottom w:val="nil"/>
              <w:right w:val="nil"/>
            </w:tcBorders>
            <w:shd w:val="clear" w:color="auto" w:fill="auto"/>
          </w:tcPr>
          <w:p w:rsidR="0017135D" w:rsidRPr="00E60EFE" w:rsidP="009967D5">
            <w:pPr>
              <w:pStyle w:val="CSBody8pt"/>
            </w:pPr>
            <w:r w:rsidRPr="00E60EFE">
              <w:t>Beschreibung des Index</w:t>
            </w:r>
          </w:p>
        </w:tc>
        <w:tc>
          <w:tcPr>
            <w:tcW w:w="3318" w:type="dxa"/>
            <w:tcBorders>
              <w:top w:val="nil"/>
              <w:left w:val="nil"/>
              <w:bottom w:val="nil"/>
              <w:right w:val="nil"/>
            </w:tcBorders>
            <w:shd w:val="clear" w:color="auto" w:fill="auto"/>
          </w:tcPr>
          <w:p w:rsidR="0017135D" w:rsidRPr="00301E00" w:rsidP="009967D5">
            <w:pPr>
              <w:pStyle w:val="CSBody8ptbolditalics"/>
              <w:rPr>
                <w:lang w:val="de-DE"/>
              </w:rPr>
            </w:pPr>
            <w:r w:rsidRPr="00792D61">
              <w:rPr>
                <w:lang w:val="de-DE"/>
              </w:rPr>
              <w:t>[</w:t>
            </w:r>
            <w:r w:rsidRPr="00301E00">
              <w:rPr>
                <w:rFonts w:ascii="Arial" w:hAnsi="Arial" w:cs="Arial"/>
                <w:lang w:val="de-DE"/>
              </w:rPr>
              <w:t>●</w:t>
            </w:r>
            <w:r w:rsidRPr="00792D61">
              <w:rPr>
                <w:lang w:val="de-DE"/>
              </w:rPr>
              <w:t>]</w:t>
            </w:r>
            <w:r w:rsidRPr="00301E00">
              <w:rPr>
                <w:lang w:val="de-DE"/>
              </w:rPr>
              <w:t xml:space="preserve"> </w:t>
            </w:r>
            <w:r w:rsidRPr="00792D61">
              <w:rPr>
                <w:lang w:val="de-DE"/>
              </w:rPr>
              <w:t>[</w:t>
            </w:r>
            <w:r>
              <w:rPr>
                <w:lang w:val="de-DE"/>
              </w:rPr>
              <w:t>z.B.</w:t>
            </w:r>
            <w:r w:rsidRPr="00301E00">
              <w:rPr>
                <w:lang w:val="de-DE"/>
              </w:rPr>
              <w:t xml:space="preserve"> Angabe Internetseite f</w:t>
            </w:r>
            <w:r w:rsidRPr="00301E00">
              <w:rPr>
                <w:rFonts w:cs="Credit Suisse Type Light"/>
                <w:lang w:val="de-DE"/>
              </w:rPr>
              <w:t>ü</w:t>
            </w:r>
            <w:r w:rsidRPr="00301E00">
              <w:rPr>
                <w:lang w:val="de-DE"/>
              </w:rPr>
              <w:t>r Index-Rules, Berechnungsmethode, Indexuniversum, Anpassungsmethoden, Kurs- oder Performanceindex (Total Return)</w:t>
            </w:r>
            <w:r w:rsidRPr="00792D61">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P="009967D5">
            <w:pPr>
              <w:pStyle w:val="CSBody8pt"/>
            </w:pPr>
            <w:r w:rsidRPr="00792D61">
              <w:rPr>
                <w:b/>
              </w:rPr>
              <w:t>[</w:t>
            </w:r>
            <w:r w:rsidRPr="00A4441A">
              <w:t>Trademark/ Disclaimer</w:t>
            </w:r>
          </w:p>
        </w:tc>
        <w:tc>
          <w:tcPr>
            <w:tcW w:w="3315" w:type="dxa"/>
            <w:gridSpan w:val="2"/>
            <w:tcBorders>
              <w:top w:val="nil"/>
              <w:left w:val="nil"/>
              <w:bottom w:val="nil"/>
            </w:tcBorders>
            <w:shd w:val="clear" w:color="auto" w:fill="auto"/>
          </w:tcPr>
          <w:p w:rsidR="0017135D" w:rsidP="009967D5">
            <w:pPr>
              <w:pStyle w:val="CSBody8pt"/>
            </w:pPr>
            <w:r w:rsidRPr="00792D61">
              <w:rPr>
                <w:b/>
              </w:rPr>
              <w:t>[</w:t>
            </w:r>
            <w:r w:rsidRPr="000061D2">
              <w:rPr>
                <w:rFonts w:ascii="Arial" w:hAnsi="Arial" w:cs="Arial"/>
              </w:rPr>
              <w:t>●</w:t>
            </w:r>
            <w:r w:rsidRPr="00792D61">
              <w:rPr>
                <w:b/>
              </w:rPr>
              <w:t>]</w:t>
            </w:r>
          </w:p>
        </w:tc>
        <w:tc>
          <w:tcPr>
            <w:tcW w:w="1618" w:type="dxa"/>
            <w:gridSpan w:val="2"/>
            <w:tcBorders>
              <w:top w:val="nil"/>
              <w:bottom w:val="nil"/>
              <w:right w:val="nil"/>
            </w:tcBorders>
            <w:shd w:val="clear" w:color="auto" w:fill="auto"/>
          </w:tcPr>
          <w:p w:rsidR="008A6E01" w:rsidRPr="00E60EFE" w:rsidP="009967D5">
            <w:pPr>
              <w:pStyle w:val="CSBody8pt"/>
            </w:pPr>
            <w:r w:rsidRPr="00792D61">
              <w:rPr>
                <w:b/>
              </w:rPr>
              <w:t>[</w:t>
            </w:r>
            <w:r w:rsidRPr="00E60EFE">
              <w:t>Marke/</w:t>
            </w:r>
            <w:r>
              <w:t>Disclaimer</w:t>
            </w:r>
          </w:p>
        </w:tc>
        <w:tc>
          <w:tcPr>
            <w:tcW w:w="3318" w:type="dxa"/>
            <w:tcBorders>
              <w:top w:val="nil"/>
              <w:left w:val="nil"/>
              <w:bottom w:val="nil"/>
              <w:right w:val="nil"/>
            </w:tcBorders>
            <w:shd w:val="clear" w:color="auto" w:fill="auto"/>
          </w:tcPr>
          <w:p w:rsidR="0017135D" w:rsidP="009967D5">
            <w:pPr>
              <w:pStyle w:val="CSBody8pt"/>
            </w:pPr>
            <w:r w:rsidRPr="00792D61">
              <w:rPr>
                <w:b/>
              </w:rPr>
              <w:t>[</w:t>
            </w:r>
            <w:r w:rsidRPr="003E1DAB">
              <w:rPr>
                <w:rFonts w:ascii="Arial" w:hAnsi="Arial" w:cs="Arial"/>
              </w:rPr>
              <w:t>●</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01E00" w:rsidP="009967D5">
            <w:pPr>
              <w:pStyle w:val="CSBody8pt"/>
              <w:rPr>
                <w:lang w:val="de-DE"/>
              </w:rPr>
            </w:pPr>
          </w:p>
        </w:tc>
        <w:tc>
          <w:tcPr>
            <w:tcW w:w="3315" w:type="dxa"/>
            <w:gridSpan w:val="2"/>
            <w:tcBorders>
              <w:top w:val="nil"/>
              <w:left w:val="nil"/>
              <w:bottom w:val="nil"/>
            </w:tcBorders>
            <w:shd w:val="clear" w:color="auto" w:fill="auto"/>
          </w:tcPr>
          <w:p w:rsidR="0017135D" w:rsidRPr="00301E00" w:rsidP="009967D5">
            <w:pPr>
              <w:pStyle w:val="CSBody8pt"/>
            </w:pPr>
            <w:r w:rsidRPr="00301E00">
              <w:t xml:space="preserve">For more information see </w:t>
            </w:r>
            <w:r w:rsidRPr="009967D5">
              <w:rPr>
                <w:b/>
              </w:rPr>
              <w:t>www.</w:t>
            </w:r>
            <w:r w:rsidRPr="00792D61">
              <w:rPr>
                <w:b/>
              </w:rPr>
              <w:t>[</w:t>
            </w:r>
            <w:r w:rsidRPr="009967D5">
              <w:rPr>
                <w:rFonts w:ascii="Arial" w:hAnsi="Arial" w:cs="Arial"/>
                <w:b/>
              </w:rPr>
              <w:t>●</w:t>
            </w:r>
            <w:r w:rsidRPr="00792D61">
              <w:rPr>
                <w:b/>
              </w:rPr>
              <w:t>]</w:t>
            </w:r>
            <w:r w:rsidRPr="009967D5">
              <w:rPr>
                <w:b/>
              </w:rPr>
              <w:t>.com</w:t>
            </w:r>
            <w:r w:rsidRPr="00301E00">
              <w:t>.</w:t>
            </w:r>
            <w:r w:rsidRPr="00792D61">
              <w:rPr>
                <w:b/>
              </w:rPr>
              <w:t>]]</w:t>
            </w:r>
          </w:p>
        </w:tc>
        <w:tc>
          <w:tcPr>
            <w:tcW w:w="1618" w:type="dxa"/>
            <w:gridSpan w:val="2"/>
            <w:tcBorders>
              <w:top w:val="nil"/>
              <w:bottom w:val="nil"/>
              <w:right w:val="nil"/>
            </w:tcBorders>
            <w:shd w:val="clear" w:color="auto" w:fill="auto"/>
          </w:tcPr>
          <w:p w:rsidR="0017135D" w:rsidRPr="00301E00" w:rsidP="009967D5">
            <w:pPr>
              <w:pStyle w:val="CSBody8pt"/>
              <w:rPr>
                <w:i/>
              </w:rPr>
            </w:pPr>
          </w:p>
        </w:tc>
        <w:tc>
          <w:tcPr>
            <w:tcW w:w="3318" w:type="dxa"/>
            <w:tcBorders>
              <w:top w:val="nil"/>
              <w:left w:val="nil"/>
              <w:bottom w:val="nil"/>
              <w:right w:val="nil"/>
            </w:tcBorders>
            <w:shd w:val="clear" w:color="auto" w:fill="auto"/>
          </w:tcPr>
          <w:p w:rsidR="0017135D" w:rsidRPr="00301E00" w:rsidP="009967D5">
            <w:pPr>
              <w:pStyle w:val="CSBody8pt"/>
              <w:rPr>
                <w:bCs/>
                <w:lang w:val="de-DE"/>
              </w:rPr>
            </w:pPr>
            <w:r w:rsidRPr="00301E00">
              <w:rPr>
                <w:bCs/>
                <w:lang w:val="de-DE"/>
              </w:rPr>
              <w:t xml:space="preserve">Nähere Informationen sind im Internet unter </w:t>
            </w:r>
            <w:r w:rsidRPr="009967D5">
              <w:rPr>
                <w:b/>
                <w:bCs/>
                <w:lang w:val="de-DE"/>
              </w:rPr>
              <w:t>www.</w:t>
            </w:r>
            <w:r w:rsidRPr="00792D61">
              <w:rPr>
                <w:b/>
                <w:bCs/>
                <w:lang w:val="de-DE"/>
              </w:rPr>
              <w:t>[</w:t>
            </w:r>
            <w:r w:rsidRPr="009967D5">
              <w:rPr>
                <w:rFonts w:ascii="Arial" w:hAnsi="Arial" w:cs="Arial"/>
                <w:b/>
                <w:bCs/>
                <w:lang w:val="de-DE"/>
              </w:rPr>
              <w:t>●</w:t>
            </w:r>
            <w:r w:rsidRPr="00792D61">
              <w:rPr>
                <w:b/>
                <w:bCs/>
                <w:lang w:val="de-DE"/>
              </w:rPr>
              <w:t>]</w:t>
            </w:r>
            <w:r w:rsidRPr="009967D5">
              <w:rPr>
                <w:b/>
                <w:bCs/>
                <w:lang w:val="de-DE"/>
              </w:rPr>
              <w:t>.com</w:t>
            </w:r>
            <w:r w:rsidRPr="00301E00">
              <w:rPr>
                <w:bCs/>
                <w:lang w:val="de-DE"/>
              </w:rPr>
              <w:t xml:space="preserve"> abrufbar.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647C4" w:rsidP="009967D5">
            <w:pPr>
              <w:pStyle w:val="CSBody8pt"/>
            </w:pPr>
            <w:r w:rsidRPr="004647C4">
              <w:t>Reference Rate Past Performance</w:t>
            </w:r>
          </w:p>
        </w:tc>
        <w:tc>
          <w:tcPr>
            <w:tcW w:w="3315" w:type="dxa"/>
            <w:gridSpan w:val="2"/>
            <w:tcBorders>
              <w:top w:val="nil"/>
              <w:left w:val="nil"/>
              <w:bottom w:val="nil"/>
            </w:tcBorders>
            <w:shd w:val="clear" w:color="auto" w:fill="auto"/>
          </w:tcPr>
          <w:p w:rsidR="0017135D" w:rsidP="009967D5">
            <w:pPr>
              <w:pStyle w:val="CSBody8pt"/>
            </w:pPr>
            <w:r w:rsidRPr="004647C4">
              <w:t>For past performance of the Reference Rate</w:t>
            </w:r>
            <w:r w:rsidRPr="00792D61">
              <w:rPr>
                <w:b/>
              </w:rPr>
              <w:t>[</w:t>
            </w:r>
            <w:r w:rsidRPr="004647C4">
              <w:t>s</w:t>
            </w:r>
            <w:r w:rsidRPr="00792D61">
              <w:rPr>
                <w:b/>
              </w:rPr>
              <w:t>]</w:t>
            </w:r>
            <w:r w:rsidRPr="004647C4">
              <w:t xml:space="preserve"> and </w:t>
            </w:r>
            <w:r w:rsidRPr="00792D61">
              <w:rPr>
                <w:b/>
              </w:rPr>
              <w:t>[</w:t>
            </w:r>
            <w:r w:rsidRPr="004647C4">
              <w:t>its</w:t>
            </w:r>
            <w:r w:rsidRPr="00792D61">
              <w:rPr>
                <w:b/>
              </w:rPr>
              <w:t>][</w:t>
            </w:r>
            <w:r w:rsidRPr="004647C4">
              <w:t>their respective</w:t>
            </w:r>
            <w:r w:rsidRPr="00792D61">
              <w:rPr>
                <w:b/>
              </w:rPr>
              <w:t>]</w:t>
            </w:r>
            <w:r w:rsidRPr="004647C4">
              <w:t xml:space="preserve"> volatility, see </w:t>
            </w:r>
            <w:r w:rsidRPr="00792D61">
              <w:rPr>
                <w:b/>
              </w:rPr>
              <w:t>[</w:t>
            </w:r>
            <w:r w:rsidRPr="00BD6E0D">
              <w:rPr>
                <w:b/>
                <w:color w:val="7898B3"/>
              </w:rPr>
              <w:t>www.credit-suisse.com/markets</w:t>
            </w:r>
            <w:r w:rsidRPr="00792D61">
              <w:rPr>
                <w:b/>
              </w:rPr>
              <w:t>][[</w:t>
            </w:r>
            <w:r w:rsidRPr="004647C4">
              <w:rPr>
                <w:rFonts w:ascii="Arial" w:hAnsi="Arial" w:cs="Arial"/>
              </w:rPr>
              <w:t>●</w:t>
            </w:r>
            <w:r w:rsidRPr="00792D61">
              <w:rPr>
                <w:b/>
              </w:rPr>
              <w:t>]]</w:t>
            </w:r>
            <w:r w:rsidRPr="004647C4">
              <w:t>.</w:t>
            </w:r>
            <w:r w:rsidRPr="00792D61">
              <w:rPr>
                <w:b/>
              </w:rPr>
              <w:t>]</w:t>
            </w:r>
          </w:p>
        </w:tc>
        <w:tc>
          <w:tcPr>
            <w:tcW w:w="1618" w:type="dxa"/>
            <w:gridSpan w:val="2"/>
            <w:tcBorders>
              <w:top w:val="nil"/>
              <w:bottom w:val="nil"/>
              <w:right w:val="nil"/>
            </w:tcBorders>
            <w:shd w:val="clear" w:color="auto" w:fill="auto"/>
          </w:tcPr>
          <w:p w:rsidR="0017135D" w:rsidRPr="00791AF2" w:rsidP="009967D5">
            <w:pPr>
              <w:pStyle w:val="CSBody8pt"/>
            </w:pPr>
            <w:r w:rsidRPr="00791AF2">
              <w:t xml:space="preserve">Historische Entwicklung des Referenzsatzes </w:t>
            </w:r>
          </w:p>
        </w:tc>
        <w:tc>
          <w:tcPr>
            <w:tcW w:w="3318" w:type="dxa"/>
            <w:tcBorders>
              <w:top w:val="nil"/>
              <w:left w:val="nil"/>
              <w:bottom w:val="nil"/>
              <w:right w:val="nil"/>
            </w:tcBorders>
            <w:shd w:val="clear" w:color="auto" w:fill="auto"/>
          </w:tcPr>
          <w:p w:rsidR="0017135D" w:rsidRPr="00301E00" w:rsidP="009967D5">
            <w:pPr>
              <w:pStyle w:val="CSBody8pt"/>
              <w:rPr>
                <w:lang w:val="de-DE"/>
              </w:rPr>
            </w:pPr>
            <w:r w:rsidRPr="00301E00">
              <w:rPr>
                <w:lang w:val="de-DE"/>
              </w:rPr>
              <w:t xml:space="preserve">Nähere Informationen zur historischen Wertentwicklung </w:t>
            </w:r>
            <w:r w:rsidRPr="00792D61">
              <w:rPr>
                <w:b/>
                <w:lang w:val="de-DE"/>
              </w:rPr>
              <w:t>[</w:t>
            </w:r>
            <w:r w:rsidRPr="00301E00">
              <w:rPr>
                <w:lang w:val="de-DE"/>
              </w:rPr>
              <w:t>des Referenzsatzes</w:t>
            </w:r>
            <w:r w:rsidRPr="00792D61">
              <w:rPr>
                <w:b/>
                <w:lang w:val="de-DE"/>
              </w:rPr>
              <w:t>][</w:t>
            </w:r>
            <w:r w:rsidRPr="00301E00">
              <w:rPr>
                <w:lang w:val="de-DE"/>
              </w:rPr>
              <w:t>der Referenzsätze</w:t>
            </w:r>
            <w:r w:rsidRPr="00792D61">
              <w:rPr>
                <w:b/>
                <w:lang w:val="de-DE"/>
              </w:rPr>
              <w:t>]</w:t>
            </w:r>
            <w:r w:rsidRPr="00301E00">
              <w:rPr>
                <w:lang w:val="de-DE"/>
              </w:rPr>
              <w:t xml:space="preserve"> und </w:t>
            </w:r>
            <w:r w:rsidRPr="00792D61">
              <w:rPr>
                <w:b/>
                <w:lang w:val="de-DE"/>
              </w:rPr>
              <w:t>[</w:t>
            </w:r>
            <w:r w:rsidRPr="00301E00">
              <w:rPr>
                <w:lang w:val="de-DE"/>
              </w:rPr>
              <w:t>seiner</w:t>
            </w:r>
            <w:r w:rsidRPr="00792D61">
              <w:rPr>
                <w:b/>
                <w:lang w:val="de-DE"/>
              </w:rPr>
              <w:t>][</w:t>
            </w:r>
            <w:r w:rsidRPr="00301E00">
              <w:rPr>
                <w:lang w:val="de-DE"/>
              </w:rPr>
              <w:t>ihrer jeweiligen</w:t>
            </w:r>
            <w:r w:rsidRPr="00792D61">
              <w:rPr>
                <w:b/>
                <w:lang w:val="de-DE"/>
              </w:rPr>
              <w:t>]</w:t>
            </w:r>
            <w:r w:rsidRPr="00301E00">
              <w:rPr>
                <w:lang w:val="de-DE"/>
              </w:rPr>
              <w:t xml:space="preserve"> Volatilität sind im Internet unter </w:t>
            </w:r>
            <w:r w:rsidRPr="00792D61">
              <w:rPr>
                <w:b/>
                <w:lang w:val="de-DE"/>
              </w:rPr>
              <w:t>[</w:t>
            </w:r>
            <w:r w:rsidRPr="00BD6E0D">
              <w:rPr>
                <w:b/>
                <w:color w:val="7898B3"/>
                <w:lang w:val="de-DE"/>
              </w:rPr>
              <w:t>www.credit-suisse.com/markets</w:t>
            </w:r>
            <w:r w:rsidRPr="00792D61">
              <w:rPr>
                <w:b/>
                <w:lang w:val="de-DE"/>
              </w:rPr>
              <w:t>]</w:t>
            </w:r>
            <w:r w:rsidRPr="00301E00">
              <w:rPr>
                <w:lang w:val="de-DE"/>
              </w:rPr>
              <w:t xml:space="preserve"> </w:t>
            </w:r>
            <w:r w:rsidRPr="00792D61">
              <w:rPr>
                <w:b/>
                <w:lang w:val="de-DE"/>
              </w:rPr>
              <w:t>[[</w:t>
            </w:r>
            <w:r w:rsidRPr="00301E00">
              <w:rPr>
                <w:rFonts w:ascii="Arial" w:hAnsi="Arial" w:cs="Arial"/>
                <w:lang w:val="de-DE"/>
              </w:rPr>
              <w:t>●</w:t>
            </w:r>
            <w:r w:rsidRPr="00792D61">
              <w:rPr>
                <w:b/>
                <w:lang w:val="de-DE"/>
              </w:rPr>
              <w:t>]]</w:t>
            </w:r>
            <w:r w:rsidRPr="00301E00">
              <w:rPr>
                <w:lang w:val="de-DE"/>
              </w:rPr>
              <w:t xml:space="preserve"> abrufbar.</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DE50C8" w:rsidP="009967D5">
            <w:pPr>
              <w:pStyle w:val="CSBody8ptbolditalics"/>
            </w:pPr>
            <w:r w:rsidRPr="00792D61">
              <w:t>[</w:t>
            </w:r>
            <w:r w:rsidRPr="00DE50C8">
              <w:t>in the case of Credit-Linked Complex Products with auction settlement or Credit-Linked Complex Products with Zero-Recovery feature linked to a Basket, insert Section 1.2:</w:t>
            </w:r>
          </w:p>
        </w:tc>
        <w:tc>
          <w:tcPr>
            <w:tcW w:w="4936" w:type="dxa"/>
            <w:gridSpan w:val="3"/>
            <w:tcBorders>
              <w:top w:val="nil"/>
              <w:bottom w:val="nil"/>
              <w:right w:val="nil"/>
            </w:tcBorders>
            <w:shd w:val="clear" w:color="auto" w:fill="auto"/>
          </w:tcPr>
          <w:p w:rsidR="0017135D" w:rsidRPr="00301E00" w:rsidP="008A6718">
            <w:pPr>
              <w:pStyle w:val="CSBody8ptbolditalics"/>
              <w:rPr>
                <w:lang w:val="de-DE"/>
              </w:rPr>
            </w:pPr>
            <w:r w:rsidRPr="00792D61">
              <w:rPr>
                <w:lang w:val="de-DE"/>
              </w:rPr>
              <w:t>[</w:t>
            </w:r>
            <w:r w:rsidRPr="00301E00">
              <w:rPr>
                <w:lang w:val="de-DE"/>
              </w:rPr>
              <w:t>bei Kreditbezogenen Komplexen Produkten mit Auktionsabwicklung oder Kreditbezogenen Komplexen Produkten mit Zero-Recovery-Merkmal, die an einen Korb gekoppelt sind, Ziffer 1.2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C71C59" w:rsidP="009967D5">
            <w:pPr>
              <w:pStyle w:val="CSBody8ptbold"/>
            </w:pPr>
            <w:r w:rsidRPr="00C71C59">
              <w:t>Section 1.2</w:t>
            </w:r>
          </w:p>
        </w:tc>
        <w:tc>
          <w:tcPr>
            <w:tcW w:w="3315" w:type="dxa"/>
            <w:gridSpan w:val="2"/>
            <w:tcBorders>
              <w:top w:val="nil"/>
              <w:left w:val="nil"/>
              <w:bottom w:val="nil"/>
              <w:right w:val="nil"/>
            </w:tcBorders>
            <w:shd w:val="clear" w:color="auto" w:fill="D9D9D9" w:themeFill="background1" w:themeFillShade="D9"/>
          </w:tcPr>
          <w:p w:rsidR="0017135D" w:rsidP="009967D5">
            <w:pPr>
              <w:pStyle w:val="CSBody8ptbold"/>
            </w:pPr>
            <w:r w:rsidRPr="00C71C59">
              <w:t xml:space="preserve">Additional Credit Derivatives Definitions </w:t>
            </w:r>
          </w:p>
        </w:tc>
        <w:tc>
          <w:tcPr>
            <w:tcW w:w="1618" w:type="dxa"/>
            <w:gridSpan w:val="2"/>
            <w:tcBorders>
              <w:top w:val="nil"/>
              <w:left w:val="nil"/>
              <w:bottom w:val="nil"/>
              <w:right w:val="nil"/>
            </w:tcBorders>
            <w:shd w:val="clear" w:color="auto" w:fill="D9D9D9" w:themeFill="background1" w:themeFillShade="D9"/>
          </w:tcPr>
          <w:p w:rsidR="0017135D" w:rsidRPr="006340E8" w:rsidP="009967D5">
            <w:pPr>
              <w:pStyle w:val="CSBody8ptbold"/>
            </w:pPr>
            <w:r w:rsidRPr="006340E8">
              <w:t>Ziffer 1.2</w:t>
            </w:r>
          </w:p>
        </w:tc>
        <w:tc>
          <w:tcPr>
            <w:tcW w:w="3318" w:type="dxa"/>
            <w:tcBorders>
              <w:top w:val="nil"/>
              <w:left w:val="nil"/>
              <w:bottom w:val="nil"/>
              <w:right w:val="nil"/>
            </w:tcBorders>
            <w:shd w:val="clear" w:color="auto" w:fill="D9D9D9" w:themeFill="background1" w:themeFillShade="D9"/>
          </w:tcPr>
          <w:p w:rsidR="0017135D" w:rsidP="009967D5">
            <w:pPr>
              <w:pStyle w:val="CSBody8ptbold"/>
            </w:pPr>
            <w:r w:rsidRPr="006340E8">
              <w:t>Weitere Kreditderivatdefinitionen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B2A98" w:rsidP="009967D5">
            <w:pPr>
              <w:pStyle w:val="CSBody8pt"/>
              <w:rPr>
                <w:lang w:val="de-DE"/>
              </w:rPr>
            </w:pPr>
            <w:r w:rsidRPr="00FB2A98">
              <w:rPr>
                <w:lang w:val="de-DE"/>
              </w:rPr>
              <w:t>2014 Credit Derivatives Definitions</w:t>
            </w:r>
            <w:r>
              <w:rPr>
                <w:lang w:val="de-DE"/>
              </w:rPr>
              <w:fldChar w:fldCharType="begin"/>
            </w:r>
            <w:r>
              <w:instrText xml:space="preserve"> XE "</w:instrText>
            </w:r>
            <w:r w:rsidRPr="00002F9B">
              <w:rPr>
                <w:lang w:val="de-DE"/>
              </w:rPr>
              <w:instrText>2014 Credit Derivatives Definitions</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FB2A98" w:rsidP="009967D5">
            <w:pPr>
              <w:pStyle w:val="CSBody8pt"/>
            </w:pPr>
            <w:r w:rsidRPr="00FB2A98">
              <w:t>the 2014 ISDA Credit Derivatives Definitions as published by ISDA.</w:t>
            </w:r>
          </w:p>
        </w:tc>
        <w:tc>
          <w:tcPr>
            <w:tcW w:w="1618" w:type="dxa"/>
            <w:gridSpan w:val="2"/>
            <w:tcBorders>
              <w:top w:val="nil"/>
              <w:bottom w:val="nil"/>
              <w:right w:val="nil"/>
            </w:tcBorders>
            <w:shd w:val="clear" w:color="auto" w:fill="auto"/>
          </w:tcPr>
          <w:p w:rsidR="0017135D" w:rsidRPr="00FB2A98" w:rsidP="008A6718">
            <w:pPr>
              <w:pStyle w:val="CSBody8pt"/>
            </w:pPr>
            <w:r w:rsidRPr="00FB2A98">
              <w:t>Kreditderivatdefinitionen 2014</w:t>
            </w:r>
            <w:r>
              <w:fldChar w:fldCharType="begin"/>
            </w:r>
            <w:r>
              <w:instrText xml:space="preserve"> XE "</w:instrText>
            </w:r>
            <w:r w:rsidRPr="00CC6BFF">
              <w:instrText>Kreditderivatdefinitionen 2014</w:instrText>
            </w:r>
            <w:r>
              <w:instrText xml:space="preserve">" </w:instrText>
            </w:r>
            <w:r>
              <w:fldChar w:fldCharType="end"/>
            </w:r>
          </w:p>
        </w:tc>
        <w:tc>
          <w:tcPr>
            <w:tcW w:w="3318" w:type="dxa"/>
            <w:tcBorders>
              <w:top w:val="nil"/>
              <w:left w:val="nil"/>
              <w:bottom w:val="nil"/>
              <w:right w:val="nil"/>
            </w:tcBorders>
            <w:shd w:val="clear" w:color="auto" w:fill="auto"/>
          </w:tcPr>
          <w:p w:rsidR="0017135D" w:rsidRPr="00301E00" w:rsidP="009967D5">
            <w:pPr>
              <w:pStyle w:val="CSBody8pt"/>
              <w:rPr>
                <w:bCs/>
                <w:lang w:val="de-DE"/>
              </w:rPr>
            </w:pPr>
            <w:r w:rsidRPr="00FB2A98">
              <w:rPr>
                <w:bCs/>
                <w:lang w:val="de-DE"/>
              </w:rPr>
              <w:t>die von der ISDA veröffentlichten ISDA-Kreditderivatdefinitionen 2014.</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621E4E" w:rsidP="009967D5">
            <w:pPr>
              <w:pStyle w:val="CSBody8ptbolditalics"/>
            </w:pPr>
            <w:r w:rsidRPr="00284217">
              <w:rPr>
                <w:i w:val="0"/>
              </w:rPr>
              <w:t>[</w:t>
            </w:r>
            <w:r w:rsidRPr="00621E4E">
              <w:t xml:space="preserve">if specified as Valuation Obligation Characteristic, insert: </w:t>
            </w:r>
          </w:p>
          <w:p w:rsidR="0017135D" w:rsidRPr="00621E4E" w:rsidP="009967D5">
            <w:pPr>
              <w:pStyle w:val="CSBody8pt"/>
            </w:pPr>
            <w:r w:rsidRPr="00FB2A98">
              <w:t>Accelerated or Matured</w:t>
            </w:r>
            <w:r>
              <w:fldChar w:fldCharType="begin"/>
            </w:r>
            <w:r>
              <w:instrText xml:space="preserve"> XE "</w:instrText>
            </w:r>
            <w:r w:rsidRPr="00223717">
              <w:instrText>Accelerated or Matured</w:instrText>
            </w:r>
            <w:r>
              <w:instrText xml:space="preserve">" \f "EN" </w:instrText>
            </w:r>
            <w:r>
              <w:fldChar w:fldCharType="end"/>
            </w:r>
          </w:p>
        </w:tc>
        <w:tc>
          <w:tcPr>
            <w:tcW w:w="3315" w:type="dxa"/>
            <w:gridSpan w:val="2"/>
            <w:tcBorders>
              <w:top w:val="nil"/>
              <w:left w:val="nil"/>
            </w:tcBorders>
            <w:shd w:val="clear" w:color="auto" w:fill="auto"/>
          </w:tcPr>
          <w:p w:rsidR="0017135D" w:rsidRPr="00301E00" w:rsidP="009967D5">
            <w:pPr>
              <w:pStyle w:val="CSBody8pt"/>
            </w:pPr>
            <w:r w:rsidRPr="00301E00">
              <w:t>an obligation under which the principal amount owed, whether by reason of maturity,  acceleration, termination or otherwise, is due and payable in full in accordance with the terms of such obligation, or would have been but for, and without regard to, any limitation imposed under any applicable insolvency laws.</w:t>
            </w:r>
            <w:r w:rsidRPr="00792D61">
              <w:rPr>
                <w:b/>
              </w:rPr>
              <w:t>]</w:t>
            </w:r>
          </w:p>
        </w:tc>
        <w:tc>
          <w:tcPr>
            <w:tcW w:w="1618" w:type="dxa"/>
            <w:gridSpan w:val="2"/>
            <w:tcBorders>
              <w:top w:val="nil"/>
              <w:right w:val="nil"/>
            </w:tcBorders>
            <w:shd w:val="clear" w:color="auto" w:fill="auto"/>
          </w:tcPr>
          <w:p w:rsidR="0017135D" w:rsidRPr="00301E00" w:rsidP="008A6718">
            <w:pPr>
              <w:pStyle w:val="CSBody8ptbolditalics"/>
              <w:rPr>
                <w:lang w:val="de-DE"/>
              </w:rPr>
            </w:pPr>
            <w:r w:rsidRPr="00284217">
              <w:rPr>
                <w:i w:val="0"/>
                <w:lang w:val="de-DE"/>
              </w:rPr>
              <w:t>[</w:t>
            </w:r>
            <w:r w:rsidRPr="00301E00">
              <w:rPr>
                <w:lang w:val="de-DE"/>
              </w:rPr>
              <w:t>falls als Merkmal für Bewertungsverbindlich</w:t>
            </w:r>
            <w:r w:rsidR="008A6E01">
              <w:rPr>
                <w:lang w:val="de-DE"/>
              </w:rPr>
              <w:t>k</w:t>
            </w:r>
            <w:r w:rsidRPr="00301E00">
              <w:rPr>
                <w:lang w:val="de-DE"/>
              </w:rPr>
              <w:t xml:space="preserve">eiten angegeben, einfügen: </w:t>
            </w:r>
          </w:p>
          <w:p w:rsidR="0017135D" w:rsidRPr="00301E00" w:rsidP="009967D5">
            <w:pPr>
              <w:pStyle w:val="CSBody8pt"/>
              <w:rPr>
                <w:lang w:val="de-DE"/>
              </w:rPr>
            </w:pPr>
            <w:r w:rsidRPr="00301E00">
              <w:t>Fälliggestellt oder Abgelaufen</w:t>
            </w:r>
            <w:r>
              <w:fldChar w:fldCharType="begin"/>
            </w:r>
            <w:r>
              <w:instrText xml:space="preserve"> XE "</w:instrText>
            </w:r>
            <w:r w:rsidRPr="00CB3F1D">
              <w:instrText>Fälliggestellt oder Abgelaufen</w:instrText>
            </w:r>
            <w:r>
              <w:instrText xml:space="preserve">" </w:instrText>
            </w:r>
            <w:r>
              <w:fldChar w:fldCharType="end"/>
            </w:r>
          </w:p>
        </w:tc>
        <w:tc>
          <w:tcPr>
            <w:tcW w:w="3318" w:type="dxa"/>
            <w:tcBorders>
              <w:top w:val="nil"/>
              <w:left w:val="nil"/>
              <w:right w:val="nil"/>
            </w:tcBorders>
            <w:shd w:val="clear" w:color="auto" w:fill="auto"/>
          </w:tcPr>
          <w:p w:rsidR="0017135D" w:rsidRPr="00301E00" w:rsidP="009967D5">
            <w:pPr>
              <w:pStyle w:val="CSBody8pt"/>
              <w:rPr>
                <w:bCs/>
                <w:lang w:val="de-DE"/>
              </w:rPr>
            </w:pPr>
            <w:r w:rsidRPr="00301E00">
              <w:rPr>
                <w:bCs/>
                <w:lang w:val="de-DE"/>
              </w:rPr>
              <w:t>eine Verbindlichkeit, deren (bei Fälligkeit, vorzeitiger Fälligstellung, Kündigung oder aus anderem Grund) geschuldeter Kapitalbetrag  in Übereinstimmung mit den Bedingungen der betreffenden Verbindlichkeit in voller Höhe fällig und zahlbar ist oder wird bzw. würde, wenn nicht Beschränkungen aufgrund anwendbarer insolvenzrechtlicher Bestimmungen bestünden oder berücksichtigt würden.</w:t>
            </w:r>
            <w:r w:rsidRPr="00792D61">
              <w:rPr>
                <w:b/>
                <w:bCs/>
                <w:lang w:val="de-DE"/>
              </w:rPr>
              <w:t>]</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P="009967D5">
            <w:pPr>
              <w:pStyle w:val="CSBody8ptbolditalics"/>
            </w:pPr>
            <w:r w:rsidRPr="00284217">
              <w:rPr>
                <w:i w:val="0"/>
              </w:rPr>
              <w:t>[</w:t>
            </w:r>
            <w:r>
              <w:t>in case of Credit-Linked Complex Products with LPN Reference Obligation, insert:</w:t>
            </w:r>
          </w:p>
          <w:p w:rsidR="0017135D" w:rsidRPr="00284217" w:rsidP="009967D5">
            <w:pPr>
              <w:pStyle w:val="CSBody8ptbolditalics"/>
              <w:rPr>
                <w:b w:val="0"/>
                <w:i w:val="0"/>
              </w:rPr>
            </w:pPr>
            <w:r>
              <w:rPr>
                <w:b w:val="0"/>
                <w:i w:val="0"/>
              </w:rPr>
              <w:t>Additional LPN</w:t>
            </w:r>
          </w:p>
        </w:tc>
        <w:tc>
          <w:tcPr>
            <w:tcW w:w="3315" w:type="dxa"/>
            <w:gridSpan w:val="2"/>
            <w:tcBorders>
              <w:top w:val="nil"/>
              <w:left w:val="nil"/>
            </w:tcBorders>
            <w:shd w:val="clear" w:color="auto" w:fill="auto"/>
          </w:tcPr>
          <w:p w:rsidR="0017135D" w:rsidRPr="00301E00" w:rsidP="009967D5">
            <w:pPr>
              <w:pStyle w:val="CSBody8pt"/>
            </w:pPr>
            <w:r w:rsidRPr="00284217">
              <w:t xml:space="preserve">means any bond issued in the form of a loan participation note (an </w:t>
            </w:r>
            <w:r w:rsidR="003B00F3">
              <w:t>"</w:t>
            </w:r>
            <w:r w:rsidRPr="00BD6E0D">
              <w:rPr>
                <w:b/>
              </w:rPr>
              <w:t>LPN</w:t>
            </w:r>
            <w:r w:rsidR="00BF7214">
              <w:t>"</w:t>
            </w:r>
            <w:r w:rsidRPr="00284217">
              <w:t xml:space="preserve">) by an entity (the </w:t>
            </w:r>
            <w:r w:rsidR="003B00F3">
              <w:t>"</w:t>
            </w:r>
            <w:r w:rsidRPr="00BD6E0D">
              <w:rPr>
                <w:b/>
              </w:rPr>
              <w:t>LPN-Issuer</w:t>
            </w:r>
            <w:r w:rsidR="00BF7214">
              <w:t>"</w:t>
            </w:r>
            <w:r w:rsidRPr="00284217">
              <w:t xml:space="preserve">) for the sole purpose of providing funds for the LPN-Issuer to (A) finance a loan to the Reference Entity (the </w:t>
            </w:r>
            <w:r w:rsidR="003B00F3">
              <w:t>"</w:t>
            </w:r>
            <w:r w:rsidRPr="00BD6E0D">
              <w:rPr>
                <w:b/>
              </w:rPr>
              <w:t>Underlying Loan</w:t>
            </w:r>
            <w:r w:rsidR="00BF7214">
              <w:t>"</w:t>
            </w:r>
            <w:r w:rsidRPr="00284217">
              <w:t xml:space="preserve">); or (B) provide finance to the Reference Entity by way of a deposit, loan or other instrument falling within the Borrowed Money obligation category (the </w:t>
            </w:r>
            <w:r w:rsidR="003B00F3">
              <w:t>"</w:t>
            </w:r>
            <w:r w:rsidRPr="00BD6E0D">
              <w:rPr>
                <w:b/>
              </w:rPr>
              <w:t>Underlying Finance Instrument</w:t>
            </w:r>
            <w:r w:rsidR="00BF7214">
              <w:t>"</w:t>
            </w:r>
            <w:r w:rsidRPr="00284217">
              <w:t>); provided that,</w:t>
            </w:r>
          </w:p>
        </w:tc>
        <w:tc>
          <w:tcPr>
            <w:tcW w:w="1618" w:type="dxa"/>
            <w:gridSpan w:val="2"/>
            <w:tcBorders>
              <w:top w:val="nil"/>
              <w:right w:val="nil"/>
            </w:tcBorders>
            <w:shd w:val="clear" w:color="auto" w:fill="auto"/>
          </w:tcPr>
          <w:p w:rsidR="0017135D" w:rsidRPr="00284217" w:rsidP="008A6718">
            <w:pPr>
              <w:pStyle w:val="CSBody8ptbolditalics"/>
              <w:rPr>
                <w:lang w:val="de-DE"/>
              </w:rPr>
            </w:pPr>
            <w:r>
              <w:rPr>
                <w:i w:val="0"/>
                <w:lang w:val="de-DE"/>
              </w:rPr>
              <w:t>[</w:t>
            </w:r>
            <w:r>
              <w:rPr>
                <w:lang w:val="de-DE"/>
              </w:rPr>
              <w:t>bei Kreditbezogenen Komplexen Produkten mit LPN-Referenzverbindlichkeit einfügen:</w:t>
            </w:r>
          </w:p>
        </w:tc>
        <w:tc>
          <w:tcPr>
            <w:tcW w:w="3318" w:type="dxa"/>
            <w:tcBorders>
              <w:top w:val="nil"/>
              <w:left w:val="nil"/>
              <w:right w:val="nil"/>
            </w:tcBorders>
            <w:shd w:val="clear" w:color="auto" w:fill="auto"/>
          </w:tcPr>
          <w:p w:rsidR="0017135D" w:rsidRPr="00301E00" w:rsidP="009967D5">
            <w:pPr>
              <w:pStyle w:val="CSBody8pt"/>
              <w:rPr>
                <w:bCs/>
                <w:lang w:val="de-DE"/>
              </w:rPr>
            </w:pPr>
            <w:r w:rsidRPr="00284217">
              <w:rPr>
                <w:bCs/>
                <w:lang w:val="de-DE"/>
              </w:rPr>
              <w:t xml:space="preserve">Bezeichnet eine Anleihe, die in der Form einer Schuldverschreibung mit Darlehensbeteiligung (loan participation note) (eine </w:t>
            </w:r>
            <w:r w:rsidR="003B00F3">
              <w:rPr>
                <w:bCs/>
                <w:lang w:val="de-DE"/>
              </w:rPr>
              <w:t>"</w:t>
            </w:r>
            <w:r w:rsidRPr="00BD6E0D">
              <w:rPr>
                <w:b/>
                <w:bCs/>
                <w:lang w:val="de-DE"/>
              </w:rPr>
              <w:t>LPN</w:t>
            </w:r>
            <w:r w:rsidR="003B00F3">
              <w:rPr>
                <w:bCs/>
                <w:lang w:val="de-DE"/>
              </w:rPr>
              <w:t>"</w:t>
            </w:r>
            <w:r w:rsidRPr="00284217">
              <w:rPr>
                <w:bCs/>
                <w:lang w:val="de-DE"/>
              </w:rPr>
              <w:t xml:space="preserve">) von einem Unternehmen (die </w:t>
            </w:r>
            <w:r w:rsidR="003B00F3">
              <w:rPr>
                <w:bCs/>
                <w:lang w:val="de-DE"/>
              </w:rPr>
              <w:t>"</w:t>
            </w:r>
            <w:r w:rsidRPr="00BD6E0D">
              <w:rPr>
                <w:b/>
                <w:bCs/>
                <w:lang w:val="de-DE"/>
              </w:rPr>
              <w:t>LPN-Emittentin</w:t>
            </w:r>
            <w:r w:rsidR="003B00F3">
              <w:rPr>
                <w:bCs/>
                <w:lang w:val="de-DE"/>
              </w:rPr>
              <w:t>"</w:t>
            </w:r>
            <w:r w:rsidRPr="00284217">
              <w:rPr>
                <w:bCs/>
                <w:lang w:val="de-DE"/>
              </w:rPr>
              <w:t xml:space="preserve">) allein zum Zweck der Bereitstellung eines Geldbetrags für den LPN-Emittenten emittiert werden, um (A) ein Darlehen an den Referenzschuldner zu finanzieren (das </w:t>
            </w:r>
            <w:r w:rsidR="003B00F3">
              <w:rPr>
                <w:bCs/>
                <w:lang w:val="de-DE"/>
              </w:rPr>
              <w:t>"</w:t>
            </w:r>
            <w:r w:rsidRPr="00BD6E0D">
              <w:rPr>
                <w:b/>
                <w:bCs/>
                <w:lang w:val="de-DE"/>
              </w:rPr>
              <w:t>Zugrundeliegende Darlehen</w:t>
            </w:r>
            <w:r w:rsidR="003B00F3">
              <w:rPr>
                <w:bCs/>
                <w:lang w:val="de-DE"/>
              </w:rPr>
              <w:t>"</w:t>
            </w:r>
            <w:r w:rsidRPr="00284217">
              <w:rPr>
                <w:bCs/>
                <w:lang w:val="de-DE"/>
              </w:rPr>
              <w:t xml:space="preserve">); oder (B) dem Referenzschuldner eine Finanzierung in Form einer Einlage, eines Darlehens oder eines anderen Instruments, das in die Verbindlichkeitenkategorie Aufgenommene Gelder fällt, zur Verfügung zu stellen (das </w:t>
            </w:r>
            <w:r w:rsidR="003B00F3">
              <w:rPr>
                <w:bCs/>
                <w:lang w:val="de-DE"/>
              </w:rPr>
              <w:t>"</w:t>
            </w:r>
            <w:r w:rsidRPr="00BD6E0D">
              <w:rPr>
                <w:b/>
                <w:bCs/>
                <w:lang w:val="de-DE"/>
              </w:rPr>
              <w:t>Zugrundeliegende Finanzinstrument</w:t>
            </w:r>
            <w:r w:rsidR="003B00F3">
              <w:rPr>
                <w:bCs/>
                <w:lang w:val="de-DE"/>
              </w:rPr>
              <w:t>"</w:t>
            </w:r>
            <w:r w:rsidRPr="00284217">
              <w:rPr>
                <w:bCs/>
                <w:lang w:val="de-DE"/>
              </w:rPr>
              <w:t>); vorausgesetzt, dass</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9D08E0" w:rsidP="009967D5">
            <w:pPr>
              <w:pStyle w:val="CSBody8ptbolditalics"/>
              <w:rPr>
                <w:b w:val="0"/>
                <w:i w:val="0"/>
                <w:lang w:val="de-DE"/>
              </w:rPr>
            </w:pPr>
          </w:p>
        </w:tc>
        <w:tc>
          <w:tcPr>
            <w:tcW w:w="3315" w:type="dxa"/>
            <w:gridSpan w:val="2"/>
            <w:tcBorders>
              <w:top w:val="nil"/>
              <w:left w:val="nil"/>
            </w:tcBorders>
            <w:shd w:val="clear" w:color="auto" w:fill="auto"/>
          </w:tcPr>
          <w:p w:rsidR="0017135D" w:rsidRPr="00284217" w:rsidP="009967D5">
            <w:pPr>
              <w:pStyle w:val="CSBody8pt"/>
            </w:pPr>
            <w:r w:rsidRPr="00284217">
              <w:t>(i) either</w:t>
            </w:r>
          </w:p>
        </w:tc>
        <w:tc>
          <w:tcPr>
            <w:tcW w:w="1618" w:type="dxa"/>
            <w:gridSpan w:val="2"/>
            <w:tcBorders>
              <w:top w:val="nil"/>
              <w:right w:val="nil"/>
            </w:tcBorders>
            <w:shd w:val="clear" w:color="auto" w:fill="auto"/>
          </w:tcPr>
          <w:p w:rsidR="0017135D" w:rsidRPr="00284217" w:rsidP="008A6718">
            <w:pPr>
              <w:pStyle w:val="CSBody8ptbolditalics"/>
              <w:rPr>
                <w:b w:val="0"/>
                <w:i w:val="0"/>
                <w:lang w:val="de-DE"/>
              </w:rPr>
            </w:pPr>
          </w:p>
        </w:tc>
        <w:tc>
          <w:tcPr>
            <w:tcW w:w="3318" w:type="dxa"/>
            <w:tcBorders>
              <w:top w:val="nil"/>
              <w:left w:val="nil"/>
              <w:right w:val="nil"/>
            </w:tcBorders>
            <w:shd w:val="clear" w:color="auto" w:fill="auto"/>
          </w:tcPr>
          <w:p w:rsidR="0017135D" w:rsidRPr="00284217" w:rsidP="009967D5">
            <w:pPr>
              <w:pStyle w:val="CSBody8pt"/>
              <w:rPr>
                <w:bCs/>
                <w:lang w:val="de-DE"/>
              </w:rPr>
            </w:pPr>
            <w:r w:rsidRPr="00284217">
              <w:rPr>
                <w:bCs/>
                <w:lang w:val="de-DE"/>
              </w:rPr>
              <w:t>(i) entweder</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284217" w:rsidP="009967D5">
            <w:pPr>
              <w:pStyle w:val="CSBody8ptbolditalics"/>
              <w:rPr>
                <w:b w:val="0"/>
                <w:i w:val="0"/>
              </w:rPr>
            </w:pPr>
          </w:p>
        </w:tc>
        <w:tc>
          <w:tcPr>
            <w:tcW w:w="3315" w:type="dxa"/>
            <w:gridSpan w:val="2"/>
            <w:tcBorders>
              <w:top w:val="nil"/>
              <w:left w:val="nil"/>
            </w:tcBorders>
            <w:shd w:val="clear" w:color="auto" w:fill="auto"/>
          </w:tcPr>
          <w:p w:rsidR="0017135D" w:rsidRPr="00284217" w:rsidP="00BD6E0D">
            <w:pPr>
              <w:pStyle w:val="CSManNum8pt"/>
            </w:pPr>
            <w:r w:rsidRPr="00284217">
              <w:t>(a)</w:t>
            </w:r>
            <w:r w:rsidRPr="00284217">
              <w:tab/>
              <w:t>in the event that there is an Underlying Loan with respect to such LPN the Underlying Loan satisfies the Obligation Characteristics specified in respect of the Reference Entity; or</w:t>
            </w:r>
          </w:p>
        </w:tc>
        <w:tc>
          <w:tcPr>
            <w:tcW w:w="1618" w:type="dxa"/>
            <w:gridSpan w:val="2"/>
            <w:tcBorders>
              <w:top w:val="nil"/>
              <w:right w:val="nil"/>
            </w:tcBorders>
            <w:shd w:val="clear" w:color="auto" w:fill="auto"/>
          </w:tcPr>
          <w:p w:rsidR="0017135D" w:rsidRPr="009D08E0" w:rsidP="008A6718">
            <w:pPr>
              <w:pStyle w:val="CSBody8ptbolditalics"/>
              <w:rPr>
                <w:b w:val="0"/>
                <w:i w:val="0"/>
              </w:rPr>
            </w:pPr>
          </w:p>
        </w:tc>
        <w:tc>
          <w:tcPr>
            <w:tcW w:w="3318" w:type="dxa"/>
            <w:tcBorders>
              <w:top w:val="nil"/>
              <w:left w:val="nil"/>
              <w:right w:val="nil"/>
            </w:tcBorders>
            <w:shd w:val="clear" w:color="auto" w:fill="auto"/>
          </w:tcPr>
          <w:p w:rsidR="0017135D" w:rsidRPr="00284217" w:rsidP="00BD6E0D">
            <w:pPr>
              <w:pStyle w:val="CSManNum8pt"/>
              <w:rPr>
                <w:lang w:val="de-DE"/>
              </w:rPr>
            </w:pPr>
            <w:r w:rsidRPr="00284217">
              <w:rPr>
                <w:lang w:val="de-DE"/>
              </w:rPr>
              <w:t>(a)</w:t>
            </w:r>
            <w:r w:rsidRPr="00284217">
              <w:rPr>
                <w:lang w:val="de-DE"/>
              </w:rPr>
              <w:tab/>
              <w:t>für den Fall, dass es sich um ein Zugrundeliegendes Darlehen in Bezug auf diese LPN handelt, das Zugrundeliegende Darlehen die Verbindlichkeitenmerkmale, die für den Referenzschuldner angegeben sind, erfüllt; oder</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9D08E0" w:rsidP="009967D5">
            <w:pPr>
              <w:pStyle w:val="CSBody8ptbolditalics"/>
              <w:rPr>
                <w:b w:val="0"/>
                <w:i w:val="0"/>
                <w:lang w:val="de-DE"/>
              </w:rPr>
            </w:pPr>
          </w:p>
        </w:tc>
        <w:tc>
          <w:tcPr>
            <w:tcW w:w="3315" w:type="dxa"/>
            <w:gridSpan w:val="2"/>
            <w:tcBorders>
              <w:top w:val="nil"/>
              <w:left w:val="nil"/>
            </w:tcBorders>
            <w:shd w:val="clear" w:color="auto" w:fill="auto"/>
          </w:tcPr>
          <w:p w:rsidR="0017135D" w:rsidRPr="00284217" w:rsidP="00BD6E0D">
            <w:pPr>
              <w:pStyle w:val="CSManNum8pt"/>
            </w:pPr>
            <w:r w:rsidRPr="00284217">
              <w:t>(b)</w:t>
            </w:r>
            <w:r w:rsidRPr="00284217">
              <w:tab/>
              <w:t>in the event that there is an Underlying Finance Instrument with respect to such LPN the Underlying Finance Instrument satisfies the Not Subordinated, Not Domestic Law and Not Domestic Currency Obligation Characteristics;</w:t>
            </w:r>
          </w:p>
        </w:tc>
        <w:tc>
          <w:tcPr>
            <w:tcW w:w="1618" w:type="dxa"/>
            <w:gridSpan w:val="2"/>
            <w:tcBorders>
              <w:top w:val="nil"/>
              <w:right w:val="nil"/>
            </w:tcBorders>
            <w:shd w:val="clear" w:color="auto" w:fill="auto"/>
          </w:tcPr>
          <w:p w:rsidR="0017135D" w:rsidRPr="009D08E0" w:rsidP="008A6718">
            <w:pPr>
              <w:pStyle w:val="CSBody8ptbolditalics"/>
              <w:rPr>
                <w:b w:val="0"/>
                <w:i w:val="0"/>
              </w:rPr>
            </w:pPr>
          </w:p>
        </w:tc>
        <w:tc>
          <w:tcPr>
            <w:tcW w:w="3318" w:type="dxa"/>
            <w:tcBorders>
              <w:top w:val="nil"/>
              <w:left w:val="nil"/>
              <w:right w:val="nil"/>
            </w:tcBorders>
            <w:shd w:val="clear" w:color="auto" w:fill="auto"/>
          </w:tcPr>
          <w:p w:rsidR="0017135D" w:rsidRPr="00284217" w:rsidP="00BD6E0D">
            <w:pPr>
              <w:pStyle w:val="CSManNum8pt"/>
              <w:rPr>
                <w:lang w:val="de-DE"/>
              </w:rPr>
            </w:pPr>
            <w:r w:rsidRPr="00284217">
              <w:rPr>
                <w:lang w:val="de-DE"/>
              </w:rPr>
              <w:t>(b)</w:t>
            </w:r>
            <w:r w:rsidRPr="00284217">
              <w:rPr>
                <w:lang w:val="de-DE"/>
              </w:rPr>
              <w:tab/>
              <w:t>für den Fall, dass es sich um ein Zugrundeliegendes Finanzinstrument in Bezug auf diese LPN handelt, das Zugrundeliegende Finanzinstrument die Verbindlichkeitenmerkmale Nicht Nachrangig, Nicht Inländisches Recht und Keine Inlandswährung erfüllt;</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9D08E0" w:rsidP="009967D5">
            <w:pPr>
              <w:pStyle w:val="CSBody8ptbolditalics"/>
              <w:rPr>
                <w:b w:val="0"/>
                <w:i w:val="0"/>
                <w:lang w:val="de-DE"/>
              </w:rPr>
            </w:pPr>
          </w:p>
        </w:tc>
        <w:tc>
          <w:tcPr>
            <w:tcW w:w="3315" w:type="dxa"/>
            <w:gridSpan w:val="2"/>
            <w:tcBorders>
              <w:top w:val="nil"/>
              <w:left w:val="nil"/>
            </w:tcBorders>
            <w:shd w:val="clear" w:color="auto" w:fill="auto"/>
          </w:tcPr>
          <w:p w:rsidR="0017135D" w:rsidRPr="00284217" w:rsidP="00BD6E0D">
            <w:pPr>
              <w:pStyle w:val="CSManNum8pt"/>
            </w:pPr>
            <w:r w:rsidRPr="00284217">
              <w:t>(ii)</w:t>
            </w:r>
            <w:r w:rsidRPr="00284217">
              <w:tab/>
              <w:t>the LPN satisfies the following Valuation Obligation Characteristics: Transferable, Not Bearer, Specified Currency: any Standard Specified Currency, Not Domestic Law, Not Domestic Issuance; and</w:t>
            </w:r>
          </w:p>
        </w:tc>
        <w:tc>
          <w:tcPr>
            <w:tcW w:w="1618" w:type="dxa"/>
            <w:gridSpan w:val="2"/>
            <w:tcBorders>
              <w:top w:val="nil"/>
              <w:right w:val="nil"/>
            </w:tcBorders>
            <w:shd w:val="clear" w:color="auto" w:fill="auto"/>
          </w:tcPr>
          <w:p w:rsidR="0017135D" w:rsidRPr="009D08E0" w:rsidP="008A6718">
            <w:pPr>
              <w:pStyle w:val="CSBody8ptbolditalics"/>
              <w:rPr>
                <w:b w:val="0"/>
                <w:i w:val="0"/>
              </w:rPr>
            </w:pPr>
          </w:p>
        </w:tc>
        <w:tc>
          <w:tcPr>
            <w:tcW w:w="3318" w:type="dxa"/>
            <w:tcBorders>
              <w:top w:val="nil"/>
              <w:left w:val="nil"/>
              <w:right w:val="nil"/>
            </w:tcBorders>
            <w:shd w:val="clear" w:color="auto" w:fill="auto"/>
          </w:tcPr>
          <w:p w:rsidR="0017135D" w:rsidRPr="00284217" w:rsidP="00BD6E0D">
            <w:pPr>
              <w:pStyle w:val="CSManNum8pt"/>
              <w:rPr>
                <w:lang w:val="de-DE"/>
              </w:rPr>
            </w:pPr>
            <w:r w:rsidRPr="00284217">
              <w:rPr>
                <w:lang w:val="de-DE"/>
              </w:rPr>
              <w:t>(ii)</w:t>
            </w:r>
            <w:r w:rsidRPr="00284217">
              <w:rPr>
                <w:lang w:val="de-DE"/>
              </w:rPr>
              <w:tab/>
              <w:t>die LPN erfüllt die folgenden Merkmale der Bewertungsverbindlichkeit: Übetragbar, Kein Inhaberpapier, Festgelegte Währung: jede Standardmässig Festgelegte Währung, Nicht Inländisches Recht, Keine Inländische Emission; und</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9D08E0" w:rsidP="009967D5">
            <w:pPr>
              <w:pStyle w:val="CSBody8ptbolditalics"/>
              <w:rPr>
                <w:b w:val="0"/>
                <w:i w:val="0"/>
                <w:lang w:val="de-DE"/>
              </w:rPr>
            </w:pPr>
          </w:p>
        </w:tc>
        <w:tc>
          <w:tcPr>
            <w:tcW w:w="3315" w:type="dxa"/>
            <w:gridSpan w:val="2"/>
            <w:tcBorders>
              <w:top w:val="nil"/>
              <w:left w:val="nil"/>
            </w:tcBorders>
            <w:shd w:val="clear" w:color="auto" w:fill="auto"/>
          </w:tcPr>
          <w:p w:rsidR="0017135D" w:rsidRPr="00284217" w:rsidP="00BD6E0D">
            <w:pPr>
              <w:pStyle w:val="CSManNum8pt"/>
            </w:pPr>
            <w:r w:rsidRPr="00284217">
              <w:t>(iii)</w:t>
            </w:r>
            <w:r w:rsidRPr="00284217">
              <w:tab/>
              <w:t>the LPN-Issuer has, as of the issue date of such obligation, granted a First Ranking Interest over or in respect of certain of its rights in relation to the relevant Underlying Loan or Underlying Finance Instrument (as applicable) for the benefit of the holders of the LPNs.</w:t>
            </w:r>
          </w:p>
        </w:tc>
        <w:tc>
          <w:tcPr>
            <w:tcW w:w="1618" w:type="dxa"/>
            <w:gridSpan w:val="2"/>
            <w:tcBorders>
              <w:top w:val="nil"/>
              <w:right w:val="nil"/>
            </w:tcBorders>
            <w:shd w:val="clear" w:color="auto" w:fill="auto"/>
          </w:tcPr>
          <w:p w:rsidR="0017135D" w:rsidRPr="009D08E0" w:rsidP="008A6718">
            <w:pPr>
              <w:pStyle w:val="CSBody8ptbolditalics"/>
              <w:rPr>
                <w:b w:val="0"/>
                <w:i w:val="0"/>
              </w:rPr>
            </w:pPr>
          </w:p>
        </w:tc>
        <w:tc>
          <w:tcPr>
            <w:tcW w:w="3318" w:type="dxa"/>
            <w:tcBorders>
              <w:top w:val="nil"/>
              <w:left w:val="nil"/>
              <w:right w:val="nil"/>
            </w:tcBorders>
            <w:shd w:val="clear" w:color="auto" w:fill="auto"/>
          </w:tcPr>
          <w:p w:rsidR="0017135D" w:rsidRPr="00284217" w:rsidP="00BD6E0D">
            <w:pPr>
              <w:pStyle w:val="CSManNum8pt"/>
              <w:rPr>
                <w:lang w:val="de-DE"/>
              </w:rPr>
            </w:pPr>
            <w:r w:rsidRPr="00284217">
              <w:rPr>
                <w:lang w:val="de-DE"/>
              </w:rPr>
              <w:t>(iii)</w:t>
            </w:r>
            <w:r w:rsidRPr="00284217">
              <w:rPr>
                <w:lang w:val="de-DE"/>
              </w:rPr>
              <w:tab/>
              <w:t>der LPN-Emittent hat zum Emissionstag dieser Verbindlichkeit eine Erstrangige Sicherheit über oder in Bezug auf bestimmte seiner Rechte betreffend das jeweilige Zugrundeliegende Darlehen oder das jeweilige Zugrundeliegende Finanzinstrument zugunsten der Inhaber der LPN bestellt.</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284217" w:rsidP="009967D5">
            <w:pPr>
              <w:pStyle w:val="CSBody8ptbolditalics"/>
              <w:rPr>
                <w:b w:val="0"/>
                <w:i w:val="0"/>
              </w:rPr>
            </w:pPr>
            <w:r w:rsidRPr="00284217">
              <w:rPr>
                <w:b w:val="0"/>
                <w:i w:val="0"/>
              </w:rPr>
              <w:t>Additional Obligation</w:t>
            </w:r>
          </w:p>
        </w:tc>
        <w:tc>
          <w:tcPr>
            <w:tcW w:w="3315" w:type="dxa"/>
            <w:gridSpan w:val="2"/>
            <w:tcBorders>
              <w:top w:val="nil"/>
              <w:left w:val="nil"/>
            </w:tcBorders>
            <w:shd w:val="clear" w:color="auto" w:fill="auto"/>
          </w:tcPr>
          <w:p w:rsidR="0017135D" w:rsidRPr="00284217" w:rsidP="004C1EBA">
            <w:pPr>
              <w:pStyle w:val="CSBody8pt"/>
              <w:rPr>
                <w:b/>
              </w:rPr>
            </w:pPr>
            <w:r w:rsidRPr="00284217">
              <w:t xml:space="preserve">means </w:t>
            </w:r>
            <w:r w:rsidRPr="00284217">
              <w:rPr>
                <w:b/>
              </w:rPr>
              <w:t>[</w:t>
            </w:r>
            <w:r w:rsidRPr="00284217">
              <w:rPr>
                <w:b/>
                <w:i/>
              </w:rPr>
              <w:t>insert any additional obligation:</w:t>
            </w:r>
            <w:r w:rsidRPr="00284217">
              <w:t xml:space="preserve"> </w:t>
            </w:r>
            <w:r>
              <w:rPr>
                <w:b/>
              </w:rPr>
              <w:t>[</w:t>
            </w:r>
            <w:r>
              <w:rPr>
                <w:rFonts w:ascii="Wingdings" w:hAnsi="Wingdings"/>
              </w:rPr>
              <w:sym w:font="Wingdings" w:char="F06C"/>
            </w:r>
            <w:r>
              <w:rPr>
                <w:b/>
              </w:rPr>
              <w:t>]</w:t>
            </w:r>
            <w:r w:rsidRPr="00284217">
              <w:rPr>
                <w:b/>
              </w:rPr>
              <w:t>]</w:t>
            </w:r>
            <w:r w:rsidRPr="00284217">
              <w:t xml:space="preserve"> </w:t>
            </w:r>
            <w:r w:rsidRPr="00284217">
              <w:rPr>
                <w:b/>
              </w:rPr>
              <w:t>[</w:t>
            </w:r>
            <w:r w:rsidRPr="00284217">
              <w:t>and</w:t>
            </w:r>
            <w:r w:rsidRPr="00284217">
              <w:rPr>
                <w:b/>
              </w:rPr>
              <w:t>]</w:t>
            </w:r>
            <w:r w:rsidRPr="00284217">
              <w:t xml:space="preserve"> each of the obligations set forth on the LPN Reference Obligations List as Additional Obligation, as published by Markit Group Limited, or any successor thereto, as of the Trade Date, which list is currently available at </w:t>
            </w:r>
            <w:r>
              <w:fldChar w:fldCharType="begin"/>
            </w:r>
            <w:r>
              <w:instrText xml:space="preserve"> HYPERLINK "http://www.markit.com/marketing/services.php" </w:instrText>
            </w:r>
            <w:r>
              <w:fldChar w:fldCharType="separate"/>
            </w:r>
            <w:r w:rsidRPr="00E54741">
              <w:rPr>
                <w:rStyle w:val="Hyperlink"/>
                <w:b/>
                <w:color w:val="7898B3"/>
              </w:rPr>
              <w:t>http://www.markit.com/marketing/services.php</w:t>
            </w:r>
            <w:r>
              <w:fldChar w:fldCharType="end"/>
            </w:r>
            <w:r w:rsidRPr="00284217">
              <w:t>.</w:t>
            </w:r>
            <w:r>
              <w:rPr>
                <w:b/>
              </w:rPr>
              <w:t>]</w:t>
            </w:r>
          </w:p>
        </w:tc>
        <w:tc>
          <w:tcPr>
            <w:tcW w:w="1618" w:type="dxa"/>
            <w:gridSpan w:val="2"/>
            <w:tcBorders>
              <w:top w:val="nil"/>
              <w:right w:val="nil"/>
            </w:tcBorders>
            <w:shd w:val="clear" w:color="auto" w:fill="auto"/>
          </w:tcPr>
          <w:p w:rsidR="0017135D" w:rsidRPr="00284217" w:rsidP="008A6718">
            <w:pPr>
              <w:pStyle w:val="CSBody8ptbolditalics"/>
              <w:rPr>
                <w:b w:val="0"/>
                <w:i w:val="0"/>
                <w:lang w:val="de-DE"/>
              </w:rPr>
            </w:pPr>
            <w:r w:rsidRPr="00284217">
              <w:rPr>
                <w:b w:val="0"/>
                <w:i w:val="0"/>
                <w:lang w:val="de-DE"/>
              </w:rPr>
              <w:t>Zusätzliche Verbindlichkeit</w:t>
            </w:r>
          </w:p>
        </w:tc>
        <w:tc>
          <w:tcPr>
            <w:tcW w:w="3318" w:type="dxa"/>
            <w:tcBorders>
              <w:top w:val="nil"/>
              <w:left w:val="nil"/>
              <w:right w:val="nil"/>
            </w:tcBorders>
            <w:shd w:val="clear" w:color="auto" w:fill="auto"/>
          </w:tcPr>
          <w:p w:rsidR="0017135D" w:rsidRPr="00284217" w:rsidP="004C1EBA">
            <w:pPr>
              <w:pStyle w:val="CSBody8pt"/>
              <w:rPr>
                <w:b/>
                <w:bCs/>
                <w:lang w:val="de-DE"/>
              </w:rPr>
            </w:pPr>
            <w:r w:rsidRPr="00284217">
              <w:rPr>
                <w:bCs/>
                <w:lang w:val="de-DE"/>
              </w:rPr>
              <w:t xml:space="preserve">Bezeichnet </w:t>
            </w:r>
            <w:r w:rsidRPr="00284217">
              <w:rPr>
                <w:b/>
                <w:bCs/>
                <w:lang w:val="de-DE"/>
              </w:rPr>
              <w:t>[</w:t>
            </w:r>
            <w:r w:rsidRPr="00284217">
              <w:rPr>
                <w:b/>
                <w:bCs/>
                <w:i/>
                <w:lang w:val="de-DE"/>
              </w:rPr>
              <w:t>Zusätzliche Verbindlichkeiten einfügen:</w:t>
            </w:r>
            <w:r w:rsidRPr="00284217">
              <w:rPr>
                <w:bCs/>
                <w:lang w:val="de-DE"/>
              </w:rPr>
              <w:t xml:space="preserve"> </w:t>
            </w:r>
            <w:r>
              <w:rPr>
                <w:b/>
                <w:bCs/>
                <w:lang w:val="de-DE"/>
              </w:rPr>
              <w:t>[</w:t>
            </w:r>
            <w:r>
              <w:rPr>
                <w:rFonts w:ascii="Wingdings" w:hAnsi="Wingdings"/>
                <w:b/>
                <w:bCs/>
                <w:lang w:val="de-DE"/>
              </w:rPr>
              <w:sym w:font="Wingdings" w:char="F06C"/>
            </w:r>
            <w:r>
              <w:rPr>
                <w:b/>
                <w:bCs/>
                <w:lang w:val="de-DE"/>
              </w:rPr>
              <w:t>]]</w:t>
            </w:r>
            <w:r w:rsidRPr="00284217">
              <w:rPr>
                <w:bCs/>
                <w:lang w:val="de-DE"/>
              </w:rPr>
              <w:t xml:space="preserve"> </w:t>
            </w:r>
            <w:r w:rsidRPr="00284217">
              <w:rPr>
                <w:b/>
                <w:bCs/>
                <w:lang w:val="de-DE"/>
              </w:rPr>
              <w:t>[</w:t>
            </w:r>
            <w:r w:rsidRPr="00284217">
              <w:rPr>
                <w:bCs/>
                <w:lang w:val="de-DE"/>
              </w:rPr>
              <w:t>und</w:t>
            </w:r>
            <w:r w:rsidRPr="00284217">
              <w:rPr>
                <w:b/>
                <w:bCs/>
                <w:lang w:val="de-DE"/>
              </w:rPr>
              <w:t>]</w:t>
            </w:r>
            <w:r w:rsidRPr="00284217">
              <w:rPr>
                <w:bCs/>
                <w:lang w:val="de-DE"/>
              </w:rPr>
              <w:t xml:space="preserve"> jede der Verbindlichkeiten, die auf der Liste der LPN Referenzverbindlichkeiten, wie von Markit Group Limited (oder einem Nachfolger-Unternehmen) zum Abschlusstag veröffentlicht, als Zusätzliche Verbindlichkeit aufgeführt sind, und die zurzeit unter </w:t>
            </w:r>
            <w:r w:rsidRPr="00E54741">
              <w:rPr>
                <w:rStyle w:val="Hyperlink"/>
                <w:b/>
                <w:color w:val="7898B3"/>
                <w:lang w:val="de-DE"/>
              </w:rPr>
              <w:t>http://www.markit.com/marketing/services.php verfügbar ist</w:t>
            </w:r>
            <w:r w:rsidRPr="00284217">
              <w:rPr>
                <w:bCs/>
                <w:lang w:val="de-DE"/>
              </w:rPr>
              <w:t>.</w:t>
            </w:r>
            <w:r>
              <w:rPr>
                <w:b/>
                <w:bCs/>
                <w:lang w:val="de-DE"/>
              </w:rPr>
              <w:t>]</w:t>
            </w:r>
          </w:p>
        </w:tc>
      </w:tr>
      <w:tr w:rsidTr="004C1EBA">
        <w:tblPrEx>
          <w:tblW w:w="4999" w:type="pct"/>
          <w:tblLayout w:type="fixed"/>
          <w:tblCellMar>
            <w:left w:w="115" w:type="dxa"/>
            <w:right w:w="115" w:type="dxa"/>
          </w:tblCellMar>
          <w:tblLook w:val="04A0"/>
        </w:tblPrEx>
        <w:trPr>
          <w:trHeight w:val="2022"/>
        </w:trPr>
        <w:tc>
          <w:tcPr>
            <w:tcW w:w="1616" w:type="dxa"/>
            <w:gridSpan w:val="3"/>
            <w:tcBorders>
              <w:top w:val="nil"/>
              <w:left w:val="nil"/>
              <w:right w:val="nil"/>
            </w:tcBorders>
            <w:shd w:val="clear" w:color="auto" w:fill="auto"/>
          </w:tcPr>
          <w:p w:rsidR="0017135D" w:rsidRPr="006E41C3" w:rsidP="009967D5">
            <w:pPr>
              <w:pStyle w:val="CSBody8ptbolditalics"/>
            </w:pPr>
            <w:r w:rsidRPr="00792D61">
              <w:t>[</w:t>
            </w:r>
            <w:r w:rsidRPr="006E41C3">
              <w:t xml:space="preserve">if a Basket is applicable, insert: </w:t>
            </w:r>
          </w:p>
          <w:p w:rsidR="0017135D" w:rsidRPr="006E41C3" w:rsidP="009967D5">
            <w:pPr>
              <w:pStyle w:val="CSBody8pt"/>
            </w:pPr>
            <w:r w:rsidRPr="00FB2A98">
              <w:t>Affected Reference Entity</w:t>
            </w:r>
            <w:r>
              <w:fldChar w:fldCharType="begin"/>
            </w:r>
            <w:r>
              <w:instrText xml:space="preserve"> XE "</w:instrText>
            </w:r>
            <w:r w:rsidRPr="00066E56">
              <w:instrText>Affected Reference Entity</w:instrText>
            </w:r>
            <w:r>
              <w:instrText xml:space="preserve">" \f "EN" </w:instrText>
            </w:r>
            <w:r>
              <w:fldChar w:fldCharType="end"/>
            </w:r>
          </w:p>
        </w:tc>
        <w:tc>
          <w:tcPr>
            <w:tcW w:w="3315" w:type="dxa"/>
            <w:gridSpan w:val="2"/>
            <w:tcBorders>
              <w:top w:val="nil"/>
              <w:left w:val="nil"/>
            </w:tcBorders>
            <w:shd w:val="clear" w:color="auto" w:fill="auto"/>
          </w:tcPr>
          <w:p w:rsidR="0017135D" w:rsidRPr="00301E00" w:rsidP="009967D5">
            <w:pPr>
              <w:pStyle w:val="CSBody8pt"/>
            </w:pPr>
            <w:r w:rsidRPr="00301E00">
              <w:t>has the meaning assigned to such term in subsection C.3 of Section 1.1.</w:t>
            </w:r>
            <w:r w:rsidRPr="00792D61">
              <w:rPr>
                <w:b/>
              </w:rPr>
              <w:t>]</w:t>
            </w:r>
          </w:p>
        </w:tc>
        <w:tc>
          <w:tcPr>
            <w:tcW w:w="1618" w:type="dxa"/>
            <w:gridSpan w:val="2"/>
            <w:tcBorders>
              <w:top w:val="nil"/>
              <w:right w:val="nil"/>
            </w:tcBorders>
            <w:shd w:val="clear" w:color="auto" w:fill="auto"/>
          </w:tcPr>
          <w:p w:rsidR="0017135D" w:rsidRPr="00556991" w:rsidP="009967D5">
            <w:pPr>
              <w:pStyle w:val="CSBody8ptbolditalics"/>
              <w:rPr>
                <w:lang w:val="de-DE"/>
              </w:rPr>
            </w:pPr>
            <w:r w:rsidRPr="00792D61">
              <w:rPr>
                <w:lang w:val="de-DE"/>
              </w:rPr>
              <w:t>[</w:t>
            </w:r>
            <w:r w:rsidRPr="00556991">
              <w:rPr>
                <w:lang w:val="de-DE"/>
              </w:rPr>
              <w:t xml:space="preserve">bei einem Korb einfügen: </w:t>
            </w:r>
          </w:p>
          <w:p w:rsidR="0017135D" w:rsidRPr="00556991" w:rsidP="009967D5">
            <w:pPr>
              <w:pStyle w:val="CSBody8pt"/>
              <w:rPr>
                <w:lang w:val="de-DE"/>
              </w:rPr>
            </w:pPr>
            <w:r w:rsidRPr="00556991">
              <w:rPr>
                <w:lang w:val="de-DE"/>
              </w:rPr>
              <w:t>Betroffener Referenzschuldner</w:t>
            </w:r>
            <w:r>
              <w:fldChar w:fldCharType="begin"/>
            </w:r>
            <w:r w:rsidRPr="00556991">
              <w:rPr>
                <w:lang w:val="de-DE"/>
              </w:rPr>
              <w:instrText xml:space="preserve"> XE "Betroffener Referenzschuldner" </w:instrText>
            </w:r>
            <w:r>
              <w:fldChar w:fldCharType="end"/>
            </w:r>
          </w:p>
        </w:tc>
        <w:tc>
          <w:tcPr>
            <w:tcW w:w="3318" w:type="dxa"/>
            <w:tcBorders>
              <w:top w:val="nil"/>
              <w:left w:val="nil"/>
              <w:right w:val="nil"/>
            </w:tcBorders>
            <w:shd w:val="clear" w:color="auto" w:fill="auto"/>
          </w:tcPr>
          <w:p w:rsidR="0017135D" w:rsidRPr="00301E00" w:rsidP="009967D5">
            <w:pPr>
              <w:pStyle w:val="CSBody8pt"/>
              <w:rPr>
                <w:bCs/>
                <w:lang w:val="de-DE"/>
              </w:rPr>
            </w:pPr>
            <w:r w:rsidRPr="00301E00">
              <w:rPr>
                <w:bCs/>
                <w:lang w:val="de-DE"/>
              </w:rPr>
              <w:t>hat die diesem Begriff in Unterabschnitt C.3 von Ziffer 1.1. zugewiesene Bedeutung.</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B2A98" w:rsidP="009967D5">
            <w:pPr>
              <w:pStyle w:val="CSBody8pt"/>
              <w:rPr>
                <w:lang w:val="de-DE"/>
              </w:rPr>
            </w:pPr>
            <w:r w:rsidRPr="00FB2A98">
              <w:rPr>
                <w:lang w:val="de-DE"/>
              </w:rPr>
              <w:t>Affiliate</w:t>
            </w:r>
            <w:r>
              <w:rPr>
                <w:lang w:val="de-DE"/>
              </w:rPr>
              <w:fldChar w:fldCharType="begin"/>
            </w:r>
            <w:r>
              <w:instrText xml:space="preserve"> XE "</w:instrText>
            </w:r>
            <w:r w:rsidRPr="007B35BD">
              <w:rPr>
                <w:lang w:val="de-DE"/>
              </w:rPr>
              <w:instrText>Affiliate</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FB2A98" w:rsidP="009967D5">
            <w:pPr>
              <w:pStyle w:val="CSBody8pt"/>
            </w:pPr>
            <w:r w:rsidRPr="00FB2A98">
              <w:t>in relation to any person, any entity controlled, directly or indirectly, by the person, any entity that controls, directly or indirectly, the person or any entity directly or indirectly under common control with the person. For this purpose, "control" of any entity or person means ownership of a majority of the voting power of the entity or person.</w:t>
            </w:r>
          </w:p>
        </w:tc>
        <w:tc>
          <w:tcPr>
            <w:tcW w:w="1618" w:type="dxa"/>
            <w:gridSpan w:val="2"/>
            <w:tcBorders>
              <w:top w:val="nil"/>
              <w:bottom w:val="nil"/>
              <w:right w:val="nil"/>
            </w:tcBorders>
            <w:shd w:val="clear" w:color="auto" w:fill="auto"/>
          </w:tcPr>
          <w:p w:rsidR="0017135D" w:rsidRPr="00FB2A98" w:rsidP="009967D5">
            <w:pPr>
              <w:pStyle w:val="CSBody8pt"/>
            </w:pPr>
            <w:r w:rsidRPr="00FB2A98">
              <w:t>Verbundenes Unternehmen</w:t>
            </w:r>
            <w:r>
              <w:fldChar w:fldCharType="begin"/>
            </w:r>
            <w:r>
              <w:instrText xml:space="preserve"> XE "</w:instrText>
            </w:r>
            <w:r w:rsidRPr="005B56FC">
              <w:instrText>Verbundenes Unternehmen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2D7E42" w:rsidP="009967D5">
            <w:pPr>
              <w:pStyle w:val="CSBody8pt"/>
              <w:rPr>
                <w:bCs/>
                <w:lang w:val="de-DE"/>
              </w:rPr>
            </w:pPr>
            <w:r w:rsidRPr="00FB2A98">
              <w:rPr>
                <w:bCs/>
                <w:lang w:val="de-DE"/>
              </w:rPr>
              <w:t>in Bezug auf eine Person jeder Rechtsträger, der unmittelbar oder mittelbar von dieser Person beherrscht wird, diese unmittelbar oder mittelbar beherrscht oder unmittelbar oder mittelbar mit dieser gemeinsam beherrscht wird. In diesem Zusammenhang bezeichnet "beherrschen" in Bezug auf einen Rechtsträger oder eine Person das Halten einer Stimmrechtsmehrheit an dem Rechtsträger bzw. der Person.</w:t>
            </w:r>
          </w:p>
        </w:tc>
      </w:tr>
      <w:tr w:rsidTr="004C1EBA">
        <w:tblPrEx>
          <w:tblW w:w="4999" w:type="pct"/>
          <w:tblLayout w:type="fixed"/>
          <w:tblCellMar>
            <w:left w:w="115" w:type="dxa"/>
            <w:right w:w="115" w:type="dxa"/>
          </w:tblCellMar>
          <w:tblLook w:val="04A0"/>
        </w:tblPrEx>
        <w:trPr>
          <w:trHeight w:val="5074"/>
        </w:trPr>
        <w:tc>
          <w:tcPr>
            <w:tcW w:w="1616" w:type="dxa"/>
            <w:gridSpan w:val="3"/>
            <w:tcBorders>
              <w:top w:val="nil"/>
              <w:left w:val="nil"/>
              <w:right w:val="nil"/>
            </w:tcBorders>
            <w:shd w:val="clear" w:color="auto" w:fill="auto"/>
          </w:tcPr>
          <w:p w:rsidR="0017135D" w:rsidRPr="005141E1" w:rsidP="009967D5">
            <w:pPr>
              <w:pStyle w:val="CSBody8ptbolditalics"/>
            </w:pPr>
            <w:r w:rsidRPr="00792D61">
              <w:t>[</w:t>
            </w:r>
            <w:r>
              <w:t xml:space="preserve">if </w:t>
            </w:r>
            <w:r w:rsidRPr="005141E1">
              <w:t xml:space="preserve">"Asset Package Valuation" </w:t>
            </w:r>
            <w:r>
              <w:t>is</w:t>
            </w:r>
            <w:r w:rsidR="008A6E01">
              <w:t xml:space="preserve"> </w:t>
            </w:r>
            <w:r w:rsidRPr="005141E1">
              <w:t xml:space="preserve">applicable, insert: </w:t>
            </w:r>
          </w:p>
          <w:p w:rsidR="0017135D" w:rsidRPr="005141E1" w:rsidP="009967D5">
            <w:pPr>
              <w:pStyle w:val="CSBody8pt"/>
            </w:pPr>
            <w:r w:rsidRPr="00FB2A98">
              <w:t>Asset</w:t>
            </w:r>
            <w:r>
              <w:fldChar w:fldCharType="begin"/>
            </w:r>
            <w:r>
              <w:instrText xml:space="preserve"> XE "</w:instrText>
            </w:r>
            <w:r w:rsidRPr="00CB79E4">
              <w:instrText>Asset</w:instrText>
            </w:r>
            <w:r>
              <w:instrText xml:space="preserve">" \f "EN" </w:instrText>
            </w:r>
            <w:r>
              <w:fldChar w:fldCharType="end"/>
            </w:r>
          </w:p>
        </w:tc>
        <w:tc>
          <w:tcPr>
            <w:tcW w:w="3315" w:type="dxa"/>
            <w:gridSpan w:val="2"/>
            <w:tcBorders>
              <w:top w:val="nil"/>
              <w:left w:val="nil"/>
            </w:tcBorders>
            <w:shd w:val="clear" w:color="auto" w:fill="auto"/>
          </w:tcPr>
          <w:p w:rsidR="0017135D" w:rsidRPr="00E3462F" w:rsidP="009967D5">
            <w:pPr>
              <w:pStyle w:val="CSBody8pt"/>
            </w:pPr>
            <w:r w:rsidRPr="00E3462F">
              <w:t>each obligation, equity, amount of cash, security, fee (including any "early-bird" or other consent fee), right and/or other asset, whether tangible or otherwise and whether issued, incurred, paid or provided by the Reference Entity or a third party (or any value which was realized or capable of being realized in circumstances where the right and/or other asset no longer exists).</w:t>
            </w:r>
            <w:r w:rsidRPr="00792D61">
              <w:rPr>
                <w:b/>
              </w:rPr>
              <w:t>]</w:t>
            </w:r>
          </w:p>
        </w:tc>
        <w:tc>
          <w:tcPr>
            <w:tcW w:w="1618" w:type="dxa"/>
            <w:gridSpan w:val="2"/>
            <w:tcBorders>
              <w:top w:val="nil"/>
              <w:right w:val="nil"/>
            </w:tcBorders>
            <w:shd w:val="clear" w:color="auto" w:fill="auto"/>
          </w:tcPr>
          <w:p w:rsidR="0017135D" w:rsidRPr="00E3462F" w:rsidP="009967D5">
            <w:pPr>
              <w:pStyle w:val="CSBody8ptbolditalics"/>
              <w:rPr>
                <w:lang w:val="de-DE"/>
              </w:rPr>
            </w:pPr>
            <w:r w:rsidRPr="00792D61">
              <w:rPr>
                <w:lang w:val="de-DE"/>
              </w:rPr>
              <w:t>[</w:t>
            </w:r>
            <w:r w:rsidRPr="00E3462F">
              <w:rPr>
                <w:lang w:val="de-DE"/>
              </w:rPr>
              <w:t xml:space="preserve">falls "Asset-Paket-Bewertung" anwendbar </w:t>
            </w:r>
            <w:r>
              <w:rPr>
                <w:lang w:val="de-DE"/>
              </w:rPr>
              <w:t>ist</w:t>
            </w:r>
            <w:r w:rsidRPr="00E3462F">
              <w:rPr>
                <w:lang w:val="de-DE"/>
              </w:rPr>
              <w:t xml:space="preserve">, einfügen: </w:t>
            </w:r>
          </w:p>
          <w:p w:rsidR="0017135D" w:rsidRPr="00E3462F" w:rsidP="009967D5">
            <w:pPr>
              <w:pStyle w:val="CSBody8pt"/>
              <w:rPr>
                <w:lang w:val="de-DE"/>
              </w:rPr>
            </w:pPr>
            <w:r w:rsidRPr="00E3462F">
              <w:t>Asset</w:t>
            </w:r>
            <w:r>
              <w:fldChar w:fldCharType="begin"/>
            </w:r>
            <w:r>
              <w:instrText xml:space="preserve"> XE "</w:instrText>
            </w:r>
            <w:r w:rsidRPr="00213883">
              <w:instrText>Asset</w:instrText>
            </w:r>
            <w:r>
              <w:instrText xml:space="preserve">" </w:instrText>
            </w:r>
            <w:r>
              <w:fldChar w:fldCharType="end"/>
            </w:r>
          </w:p>
        </w:tc>
        <w:tc>
          <w:tcPr>
            <w:tcW w:w="3318" w:type="dxa"/>
            <w:tcBorders>
              <w:top w:val="nil"/>
              <w:left w:val="nil"/>
              <w:right w:val="nil"/>
            </w:tcBorders>
            <w:shd w:val="clear" w:color="auto" w:fill="auto"/>
          </w:tcPr>
          <w:p w:rsidR="0017135D" w:rsidRPr="00E3462F" w:rsidP="009967D5">
            <w:pPr>
              <w:pStyle w:val="CSBody8pt"/>
              <w:rPr>
                <w:bCs/>
                <w:lang w:val="de-DE"/>
              </w:rPr>
            </w:pPr>
            <w:r w:rsidRPr="00E3462F">
              <w:rPr>
                <w:bCs/>
                <w:lang w:val="de-DE"/>
              </w:rPr>
              <w:t>jede Verbindlichkeit, Eigenmittel, jeder Geldbetrag, jede Sicherheit, jede Vergütung (</w:t>
            </w:r>
            <w:r>
              <w:rPr>
                <w:bCs/>
                <w:lang w:val="de-DE"/>
              </w:rPr>
              <w:t>u.a.</w:t>
            </w:r>
            <w:r w:rsidRPr="00E3462F">
              <w:rPr>
                <w:bCs/>
                <w:lang w:val="de-DE"/>
              </w:rPr>
              <w:t xml:space="preserve"> Vergütungen für eine "frühzeitige" oder sonstige Zustimmung), jedes Recht und/oder jeder sonstige Vermögenswert, unabhängig davon, ob dieser Vermögenswert in materieller oder anderer Form und ob vom Referenzschuldner oder einem Dritten begeben, gezahlt oder geleistet oder diesen entstanden ist (oder in Fällen, in denen das Recht bzw. der sonstige Vermögenswert nicht mehr besteht, jeder realisierte oder realisierbare Wert).</w:t>
            </w:r>
            <w:r w:rsidRPr="00792D61">
              <w:rPr>
                <w:b/>
                <w:bCs/>
                <w:lang w:val="de-DE"/>
              </w:rPr>
              <w:t>]</w:t>
            </w:r>
          </w:p>
        </w:tc>
      </w:tr>
      <w:tr w:rsidTr="004C1EBA">
        <w:tblPrEx>
          <w:tblW w:w="4999" w:type="pct"/>
          <w:tblLayout w:type="fixed"/>
          <w:tblCellMar>
            <w:left w:w="115" w:type="dxa"/>
            <w:right w:w="115" w:type="dxa"/>
          </w:tblCellMar>
          <w:tblLook w:val="04A0"/>
        </w:tblPrEx>
        <w:trPr>
          <w:trHeight w:val="5080"/>
        </w:trPr>
        <w:tc>
          <w:tcPr>
            <w:tcW w:w="1616" w:type="dxa"/>
            <w:gridSpan w:val="3"/>
            <w:tcBorders>
              <w:top w:val="nil"/>
              <w:left w:val="nil"/>
              <w:right w:val="nil"/>
            </w:tcBorders>
            <w:shd w:val="clear" w:color="auto" w:fill="auto"/>
          </w:tcPr>
          <w:p w:rsidR="0017135D" w:rsidRPr="00942F00" w:rsidP="009967D5">
            <w:pPr>
              <w:pStyle w:val="CSBody8pt"/>
            </w:pPr>
            <w:r w:rsidRPr="00942F00">
              <w:rPr>
                <w:b/>
              </w:rPr>
              <w:t>[</w:t>
            </w:r>
            <w:r w:rsidRPr="00942F00">
              <w:rPr>
                <w:b/>
                <w:i/>
              </w:rPr>
              <w:t>if "Asset Package Valuation" is applicable, insert:</w:t>
            </w:r>
            <w:r w:rsidRPr="00942F00">
              <w:t xml:space="preserve"> </w:t>
            </w:r>
          </w:p>
          <w:p w:rsidR="0017135D" w:rsidRPr="00942F00" w:rsidP="009967D5">
            <w:pPr>
              <w:pStyle w:val="CSBody8pt"/>
            </w:pPr>
            <w:r w:rsidRPr="00942F00">
              <w:t>Asset Package</w:t>
            </w:r>
            <w:r>
              <w:fldChar w:fldCharType="begin"/>
            </w:r>
            <w:r w:rsidRPr="00942F00">
              <w:instrText xml:space="preserve"> XE "Asset Package" \f "EN" </w:instrText>
            </w:r>
            <w:r>
              <w:fldChar w:fldCharType="end"/>
            </w:r>
          </w:p>
        </w:tc>
        <w:tc>
          <w:tcPr>
            <w:tcW w:w="3315" w:type="dxa"/>
            <w:gridSpan w:val="2"/>
            <w:tcBorders>
              <w:top w:val="nil"/>
              <w:left w:val="nil"/>
            </w:tcBorders>
            <w:shd w:val="clear" w:color="auto" w:fill="auto"/>
          </w:tcPr>
          <w:p w:rsidR="0017135D" w:rsidRPr="00942F00" w:rsidP="004C1EBA">
            <w:pPr>
              <w:pStyle w:val="CSBody8pt"/>
            </w:pPr>
            <w:r w:rsidRPr="00942F00">
              <w:t xml:space="preserve">in respect of an Asset Package Credit Event, all of the Assets in the proportion received or retained by a Relevant Holder in connection with such relevant Asset Package Credit Event (which may include </w:t>
            </w:r>
            <w:r w:rsidRPr="00942F00">
              <w:rPr>
                <w:b/>
              </w:rPr>
              <w:t>[</w:t>
            </w:r>
            <w:r w:rsidRPr="00942F00">
              <w:rPr>
                <w:b/>
                <w:i/>
              </w:rPr>
              <w:t xml:space="preserve">if "Financial Reference Entity Terms" is applicable insert: </w:t>
            </w:r>
            <w:r w:rsidRPr="00942F00">
              <w:t>the Prior Valuation Obligation</w:t>
            </w:r>
            <w:r w:rsidRPr="00942F00">
              <w:rPr>
                <w:b/>
              </w:rPr>
              <w:t>]</w:t>
            </w:r>
            <w:r w:rsidRPr="00942F00">
              <w:t xml:space="preserve"> </w:t>
            </w:r>
            <w:r w:rsidRPr="00942F00">
              <w:rPr>
                <w:b/>
              </w:rPr>
              <w:t>[</w:t>
            </w:r>
            <w:r w:rsidRPr="00942F00">
              <w:t>or</w:t>
            </w:r>
            <w:r w:rsidRPr="00942F00">
              <w:rPr>
                <w:b/>
              </w:rPr>
              <w:t>][</w:t>
            </w:r>
            <w:r w:rsidRPr="00942F00">
              <w:rPr>
                <w:b/>
                <w:i/>
              </w:rPr>
              <w:t>if a Reference Entity is a Sovereign, insert:</w:t>
            </w:r>
            <w:r w:rsidRPr="00942F00">
              <w:t xml:space="preserve"> the Package Observable Bond</w:t>
            </w:r>
            <w:r w:rsidRPr="00942F00">
              <w:rPr>
                <w:b/>
              </w:rPr>
              <w:t>]</w:t>
            </w:r>
            <w:r w:rsidRPr="00942F00">
              <w:t>). If the Relevant Holder is offered a choice of Assets or a choice of combinations of Assets, the Asset Package will be the Largest Asset Package. If the Relevant Holder is offered, receives and retains nothing, the Asset Package shall be deemed to have a value of zero.</w:t>
            </w:r>
            <w:r w:rsidRPr="00942F00">
              <w:rPr>
                <w:b/>
              </w:rPr>
              <w:t>]</w:t>
            </w:r>
          </w:p>
        </w:tc>
        <w:tc>
          <w:tcPr>
            <w:tcW w:w="1618" w:type="dxa"/>
            <w:gridSpan w:val="2"/>
            <w:tcBorders>
              <w:top w:val="nil"/>
              <w:right w:val="nil"/>
            </w:tcBorders>
            <w:shd w:val="clear" w:color="auto" w:fill="auto"/>
          </w:tcPr>
          <w:p w:rsidR="0017135D" w:rsidRPr="00942F00" w:rsidP="009967D5">
            <w:pPr>
              <w:pStyle w:val="CSBody8pt"/>
              <w:rPr>
                <w:lang w:val="de-DE"/>
              </w:rPr>
            </w:pPr>
            <w:r w:rsidRPr="00942F00">
              <w:rPr>
                <w:b/>
                <w:lang w:val="de-DE"/>
              </w:rPr>
              <w:t>[</w:t>
            </w:r>
            <w:r w:rsidRPr="00942F00">
              <w:rPr>
                <w:b/>
                <w:i/>
                <w:lang w:val="de-DE"/>
              </w:rPr>
              <w:t>falls "Asset-Paket-Bewertung" anwendbar ist, einfügen:</w:t>
            </w:r>
          </w:p>
          <w:p w:rsidR="0017135D" w:rsidRPr="00942F00" w:rsidP="009967D5">
            <w:pPr>
              <w:pStyle w:val="CSBody8pt"/>
              <w:rPr>
                <w:lang w:val="de-DE"/>
              </w:rPr>
            </w:pPr>
            <w:r w:rsidRPr="00942F00">
              <w:t>Asset-Paket</w:t>
            </w:r>
            <w:r>
              <w:fldChar w:fldCharType="begin"/>
            </w:r>
            <w:r w:rsidRPr="00942F00">
              <w:instrText xml:space="preserve"> XE "Asset-Paket" </w:instrText>
            </w:r>
            <w:r>
              <w:fldChar w:fldCharType="end"/>
            </w:r>
          </w:p>
        </w:tc>
        <w:tc>
          <w:tcPr>
            <w:tcW w:w="3318" w:type="dxa"/>
            <w:tcBorders>
              <w:top w:val="nil"/>
              <w:left w:val="nil"/>
              <w:right w:val="nil"/>
            </w:tcBorders>
            <w:shd w:val="clear" w:color="auto" w:fill="auto"/>
          </w:tcPr>
          <w:p w:rsidR="0017135D" w:rsidRPr="00BC2B1A" w:rsidP="004C1EBA">
            <w:pPr>
              <w:pStyle w:val="CSBody8pt"/>
              <w:rPr>
                <w:bCs/>
                <w:lang w:val="de-DE"/>
              </w:rPr>
            </w:pPr>
            <w:r w:rsidRPr="00942F00">
              <w:rPr>
                <w:bCs/>
                <w:lang w:val="de-DE"/>
              </w:rPr>
              <w:t xml:space="preserve">in Bezug auf ein Kreditereignis mit Asset-Paket alle Assets in Höhe des Anteils, den ein Massgeblicher Gläubiger im Zusammenhang mit dem massgeblichen Kreditereignis mit Asset-Paket erhält oder einbehält (gegebenenfalls einschliesslich </w:t>
            </w:r>
            <w:r w:rsidRPr="00942F00">
              <w:rPr>
                <w:b/>
                <w:bCs/>
                <w:lang w:val="de-DE"/>
              </w:rPr>
              <w:t>[</w:t>
            </w:r>
            <w:r w:rsidRPr="00942F00">
              <w:rPr>
                <w:b/>
                <w:bCs/>
                <w:i/>
                <w:lang w:val="de-DE"/>
              </w:rPr>
              <w:t>falls "Bedingungen für Finanzinstitute als Referenzschuldner" anwendbar ist, einfügen:</w:t>
            </w:r>
            <w:r w:rsidRPr="00942F00">
              <w:rPr>
                <w:bCs/>
                <w:lang w:val="de-DE"/>
              </w:rPr>
              <w:t xml:space="preserve"> der Früheren Bewertungsverbindlichkeit</w:t>
            </w:r>
            <w:r w:rsidRPr="00942F00">
              <w:rPr>
                <w:b/>
                <w:bCs/>
                <w:lang w:val="de-DE"/>
              </w:rPr>
              <w:t>][</w:t>
            </w:r>
            <w:r w:rsidRPr="00942F00">
              <w:rPr>
                <w:b/>
                <w:bCs/>
                <w:i/>
                <w:lang w:val="de-DE"/>
              </w:rPr>
              <w:t>wenn der Referenzschuldner ein Staat ist, einfügen:</w:t>
            </w:r>
            <w:r w:rsidRPr="00942F00">
              <w:rPr>
                <w:bCs/>
                <w:lang w:val="de-DE"/>
              </w:rPr>
              <w:t xml:space="preserve"> der Paketrelevanten Anleihe</w:t>
            </w:r>
            <w:r w:rsidRPr="00942F00">
              <w:rPr>
                <w:b/>
                <w:bCs/>
                <w:lang w:val="de-DE"/>
              </w:rPr>
              <w:t>]</w:t>
            </w:r>
            <w:r w:rsidRPr="00942F00">
              <w:rPr>
                <w:bCs/>
                <w:lang w:val="de-DE"/>
              </w:rPr>
              <w:t>). Wird dem Massgeblichen Gläubiger eine Auswahl an Assets oder eine Auswahl an Kombinationen von Assets angeboten, so ist das Asset-Paket das Grösste Asset-Paket. Wird dem Massgeblichen Gläubiger nichts angeboten und erhält er nichts und behält nichts ein, so gilt, dass das Asset-Paket einen Wert von null hat.</w:t>
            </w:r>
            <w:r w:rsidRPr="00942F00">
              <w:rPr>
                <w:b/>
                <w:bCs/>
                <w:lang w:val="de-DE"/>
              </w:rPr>
              <w:t>]</w:t>
            </w:r>
          </w:p>
        </w:tc>
      </w:tr>
      <w:tr w:rsidTr="004C1EBA">
        <w:tblPrEx>
          <w:tblW w:w="4999" w:type="pct"/>
          <w:tblLayout w:type="fixed"/>
          <w:tblCellMar>
            <w:left w:w="115" w:type="dxa"/>
            <w:right w:w="115" w:type="dxa"/>
          </w:tblCellMar>
          <w:tblLook w:val="04A0"/>
        </w:tblPrEx>
        <w:tc>
          <w:tcPr>
            <w:tcW w:w="1616" w:type="dxa"/>
            <w:gridSpan w:val="3"/>
            <w:vMerge w:val="restart"/>
            <w:tcBorders>
              <w:top w:val="nil"/>
              <w:left w:val="nil"/>
              <w:right w:val="nil"/>
            </w:tcBorders>
            <w:shd w:val="clear" w:color="auto" w:fill="auto"/>
          </w:tcPr>
          <w:p w:rsidR="0017135D" w:rsidRPr="00BC2B1A" w:rsidP="004C1EBA">
            <w:pPr>
              <w:pStyle w:val="CSBody8ptbolditalics"/>
            </w:pPr>
            <w:r w:rsidRPr="00792D61">
              <w:t>[</w:t>
            </w:r>
            <w:r w:rsidRPr="00BC2B1A">
              <w:t xml:space="preserve">if "Asset Package Valuation" </w:t>
            </w:r>
            <w:r>
              <w:t>is</w:t>
            </w:r>
            <w:r w:rsidRPr="00BC2B1A">
              <w:t xml:space="preserve"> applicable, insert:</w:t>
            </w:r>
          </w:p>
        </w:tc>
        <w:tc>
          <w:tcPr>
            <w:tcW w:w="3315" w:type="dxa"/>
            <w:gridSpan w:val="2"/>
            <w:tcBorders>
              <w:top w:val="nil"/>
              <w:left w:val="nil"/>
              <w:bottom w:val="nil"/>
            </w:tcBorders>
            <w:shd w:val="clear" w:color="auto" w:fill="auto"/>
          </w:tcPr>
          <w:p w:rsidR="0017135D" w:rsidRPr="00676A0C" w:rsidP="009967D5">
            <w:pPr>
              <w:pStyle w:val="CSBody8ptbolditalics"/>
            </w:pPr>
            <w:r w:rsidRPr="00792D61">
              <w:t>[</w:t>
            </w:r>
            <w:r w:rsidRPr="00676A0C">
              <w:t>if "Financial Reference Entity Terms" and Governmental Intervention are applicable insert:</w:t>
            </w:r>
          </w:p>
        </w:tc>
        <w:tc>
          <w:tcPr>
            <w:tcW w:w="1618" w:type="dxa"/>
            <w:gridSpan w:val="2"/>
            <w:vMerge w:val="restart"/>
            <w:tcBorders>
              <w:top w:val="nil"/>
              <w:right w:val="nil"/>
            </w:tcBorders>
            <w:shd w:val="clear" w:color="auto" w:fill="auto"/>
          </w:tcPr>
          <w:p w:rsidR="0017135D" w:rsidRPr="009967D5" w:rsidP="004C1EBA">
            <w:pPr>
              <w:pStyle w:val="CSBody8ptbolditalics"/>
              <w:rPr>
                <w:lang w:val="de-DE"/>
              </w:rPr>
            </w:pPr>
            <w:r w:rsidRPr="00792D61">
              <w:rPr>
                <w:lang w:val="de-DE"/>
              </w:rPr>
              <w:t>[</w:t>
            </w:r>
            <w:r w:rsidRPr="00BC2B1A">
              <w:rPr>
                <w:lang w:val="de-DE"/>
              </w:rPr>
              <w:t xml:space="preserve">falls </w:t>
            </w:r>
            <w:r w:rsidR="00BF7214">
              <w:rPr>
                <w:lang w:val="de-DE"/>
              </w:rPr>
              <w:t>"</w:t>
            </w:r>
            <w:r w:rsidRPr="00BC2B1A">
              <w:rPr>
                <w:lang w:val="de-DE"/>
              </w:rPr>
              <w:t>Asset-Paket-</w:t>
            </w:r>
            <w:r w:rsidRPr="009967D5">
              <w:rPr>
                <w:lang w:val="de-DE"/>
              </w:rPr>
              <w:t xml:space="preserve">Bewertung" anwendbar </w:t>
            </w:r>
            <w:r>
              <w:rPr>
                <w:lang w:val="de-DE"/>
              </w:rPr>
              <w:t>ist</w:t>
            </w:r>
            <w:r w:rsidRPr="009967D5">
              <w:rPr>
                <w:lang w:val="de-DE"/>
              </w:rPr>
              <w:t>, einfügen:</w:t>
            </w:r>
          </w:p>
        </w:tc>
        <w:tc>
          <w:tcPr>
            <w:tcW w:w="3318" w:type="dxa"/>
            <w:tcBorders>
              <w:top w:val="nil"/>
              <w:left w:val="nil"/>
              <w:bottom w:val="nil"/>
              <w:right w:val="nil"/>
            </w:tcBorders>
            <w:shd w:val="clear" w:color="auto" w:fill="auto"/>
          </w:tcPr>
          <w:p w:rsidR="0017135D" w:rsidRPr="00BC2B1A" w:rsidP="009967D5">
            <w:pPr>
              <w:pStyle w:val="CSBody8ptbolditalics"/>
              <w:rPr>
                <w:lang w:val="de-DE"/>
              </w:rPr>
            </w:pPr>
            <w:r w:rsidRPr="00792D61">
              <w:rPr>
                <w:lang w:val="de-DE"/>
              </w:rPr>
              <w:t>[</w:t>
            </w:r>
            <w:r w:rsidRPr="00BC2B1A">
              <w:rPr>
                <w:lang w:val="de-DE"/>
              </w:rPr>
              <w:t>falls "Bedingungen für Finanzinstitue als Referenzschuldner" und "Staatliche Intervention" anwendbar sind, einfügen:</w:t>
            </w:r>
          </w:p>
        </w:tc>
      </w:tr>
      <w:tr w:rsidTr="004C1EBA">
        <w:tblPrEx>
          <w:tblW w:w="4999" w:type="pct"/>
          <w:tblLayout w:type="fixed"/>
          <w:tblCellMar>
            <w:left w:w="115" w:type="dxa"/>
            <w:right w:w="115" w:type="dxa"/>
          </w:tblCellMar>
          <w:tblLook w:val="04A0"/>
        </w:tblPrEx>
        <w:tc>
          <w:tcPr>
            <w:tcW w:w="1616" w:type="dxa"/>
            <w:gridSpan w:val="3"/>
            <w:vMerge/>
            <w:tcBorders>
              <w:left w:val="nil"/>
              <w:right w:val="nil"/>
            </w:tcBorders>
            <w:shd w:val="clear" w:color="auto" w:fill="auto"/>
          </w:tcPr>
          <w:p w:rsidR="0017135D" w:rsidRPr="00BC2B1A" w:rsidP="00A457E7">
            <w:pPr>
              <w:pStyle w:val="CSBody0"/>
              <w:rPr>
                <w:lang w:val="de-DE"/>
              </w:rPr>
            </w:pPr>
          </w:p>
        </w:tc>
        <w:tc>
          <w:tcPr>
            <w:tcW w:w="3315" w:type="dxa"/>
            <w:gridSpan w:val="2"/>
            <w:tcBorders>
              <w:top w:val="nil"/>
              <w:left w:val="nil"/>
              <w:bottom w:val="nil"/>
            </w:tcBorders>
            <w:shd w:val="clear" w:color="auto" w:fill="auto"/>
          </w:tcPr>
          <w:p w:rsidR="0017135D" w:rsidRPr="00676A0C" w:rsidP="004C1EBA">
            <w:pPr>
              <w:pStyle w:val="CSBody8pt"/>
            </w:pPr>
            <w:r w:rsidRPr="00792D61">
              <w:rPr>
                <w:b/>
              </w:rPr>
              <w:t>[</w:t>
            </w:r>
            <w:r w:rsidRPr="00BC2B1A">
              <w:t>(i)</w:t>
            </w:r>
            <w:r w:rsidRPr="00792D61">
              <w:rPr>
                <w:b/>
              </w:rPr>
              <w:t>]</w:t>
            </w:r>
            <w:r w:rsidRPr="00BC2B1A">
              <w:t xml:space="preserve"> </w:t>
            </w:r>
            <w:r w:rsidRPr="00792D61">
              <w:rPr>
                <w:b/>
              </w:rPr>
              <w:t>[]</w:t>
            </w:r>
            <w:r w:rsidRPr="00BC2B1A">
              <w:t xml:space="preserve">a Governmental Intervention </w:t>
            </w:r>
            <w:r>
              <w:rPr>
                <w:b/>
              </w:rPr>
              <w:t>[</w:t>
            </w:r>
            <w:r w:rsidRPr="006A0184">
              <w:t>(whether or not such event is specified as the applicable Credit Event in the Credit Event Notice or the DC Credit Event Announcement)</w:t>
            </w:r>
            <w:r>
              <w:rPr>
                <w:b/>
              </w:rPr>
              <w:t>]</w:t>
            </w:r>
            <w:r w:rsidRPr="006A0184">
              <w:t xml:space="preserve"> </w:t>
            </w:r>
            <w:r w:rsidRPr="00792D61">
              <w:rPr>
                <w:b/>
                <w:i/>
              </w:rPr>
              <w:t>[</w:t>
            </w:r>
            <w:r w:rsidRPr="009967D5">
              <w:rPr>
                <w:b/>
                <w:i/>
              </w:rPr>
              <w:t>if "Restructuring" is applicable, insert:</w:t>
            </w:r>
            <w:r w:rsidRPr="00BC2B1A">
              <w:t xml:space="preserve"> ; or</w:t>
            </w:r>
          </w:p>
        </w:tc>
        <w:tc>
          <w:tcPr>
            <w:tcW w:w="1618" w:type="dxa"/>
            <w:gridSpan w:val="2"/>
            <w:vMerge/>
            <w:tcBorders>
              <w:right w:val="nil"/>
            </w:tcBorders>
            <w:shd w:val="clear" w:color="auto" w:fill="auto"/>
          </w:tcPr>
          <w:p w:rsidR="0017135D" w:rsidRPr="00BC2B1A" w:rsidP="00E60155">
            <w:pPr>
              <w:pStyle w:val="CSBody0"/>
              <w:rPr>
                <w:i/>
              </w:rPr>
            </w:pPr>
          </w:p>
        </w:tc>
        <w:tc>
          <w:tcPr>
            <w:tcW w:w="3318" w:type="dxa"/>
            <w:tcBorders>
              <w:top w:val="nil"/>
              <w:left w:val="nil"/>
              <w:bottom w:val="nil"/>
              <w:right w:val="nil"/>
            </w:tcBorders>
            <w:shd w:val="clear" w:color="auto" w:fill="auto"/>
          </w:tcPr>
          <w:p w:rsidR="0017135D" w:rsidRPr="00BC2B1A" w:rsidP="004C1EBA">
            <w:pPr>
              <w:pStyle w:val="CSBody8pt"/>
              <w:rPr>
                <w:lang w:val="de-DE"/>
              </w:rPr>
            </w:pPr>
            <w:r w:rsidRPr="00792D61">
              <w:rPr>
                <w:b/>
                <w:lang w:val="de-DE"/>
              </w:rPr>
              <w:t>[</w:t>
            </w:r>
            <w:r w:rsidRPr="00BC2B1A">
              <w:rPr>
                <w:lang w:val="de-DE"/>
              </w:rPr>
              <w:t>(i)</w:t>
            </w:r>
            <w:r w:rsidRPr="00792D61">
              <w:rPr>
                <w:b/>
                <w:lang w:val="de-DE"/>
              </w:rPr>
              <w:t>][]</w:t>
            </w:r>
            <w:r w:rsidRPr="00BC2B1A">
              <w:rPr>
                <w:lang w:val="de-DE"/>
              </w:rPr>
              <w:t xml:space="preserve"> eine Staatliche Intervention </w:t>
            </w:r>
            <w:r>
              <w:rPr>
                <w:b/>
                <w:lang w:val="de-DE"/>
              </w:rPr>
              <w:t>[</w:t>
            </w:r>
            <w:r w:rsidRPr="006A0184">
              <w:rPr>
                <w:lang w:val="de-DE"/>
              </w:rPr>
              <w:t>(unabhängig davon, ob ein solches Ereignis in der Kreditereignismitteilung oder der Bekanntgabe eines Kreditereignisbeschlusses als massgebliches Kreditereignis angegeben ist)</w:t>
            </w:r>
            <w:r>
              <w:rPr>
                <w:b/>
                <w:lang w:val="de-DE"/>
              </w:rPr>
              <w:t>]</w:t>
            </w:r>
            <w:r w:rsidRPr="006A0184">
              <w:rPr>
                <w:lang w:val="de-DE"/>
              </w:rPr>
              <w:t xml:space="preserve"> </w:t>
            </w:r>
            <w:r w:rsidRPr="00792D61">
              <w:rPr>
                <w:b/>
                <w:lang w:val="de-DE"/>
              </w:rPr>
              <w:t>[</w:t>
            </w:r>
            <w:r w:rsidRPr="009967D5">
              <w:rPr>
                <w:b/>
                <w:i/>
                <w:lang w:val="de-DE"/>
              </w:rPr>
              <w:t xml:space="preserve">wenn "Restrukturierung" anwendbar ist, einfügen: </w:t>
            </w:r>
            <w:r w:rsidRPr="00BC2B1A">
              <w:rPr>
                <w:lang w:val="de-DE"/>
              </w:rPr>
              <w:t>; oder</w:t>
            </w:r>
          </w:p>
        </w:tc>
      </w:tr>
      <w:tr w:rsidTr="004C1EBA">
        <w:tblPrEx>
          <w:tblW w:w="4999" w:type="pct"/>
          <w:tblLayout w:type="fixed"/>
          <w:tblCellMar>
            <w:left w:w="115" w:type="dxa"/>
            <w:right w:w="115" w:type="dxa"/>
          </w:tblCellMar>
          <w:tblLook w:val="04A0"/>
        </w:tblPrEx>
        <w:tc>
          <w:tcPr>
            <w:tcW w:w="1616" w:type="dxa"/>
            <w:gridSpan w:val="3"/>
            <w:vMerge/>
            <w:tcBorders>
              <w:left w:val="nil"/>
              <w:right w:val="nil"/>
            </w:tcBorders>
            <w:shd w:val="clear" w:color="auto" w:fill="auto"/>
          </w:tcPr>
          <w:p w:rsidR="0017135D" w:rsidRPr="00BC2B1A" w:rsidP="00A457E7">
            <w:pPr>
              <w:pStyle w:val="CSBody0"/>
              <w:rPr>
                <w:lang w:val="de-DE"/>
              </w:rPr>
            </w:pPr>
          </w:p>
        </w:tc>
        <w:tc>
          <w:tcPr>
            <w:tcW w:w="3315" w:type="dxa"/>
            <w:gridSpan w:val="2"/>
            <w:tcBorders>
              <w:top w:val="nil"/>
              <w:left w:val="nil"/>
              <w:bottom w:val="nil"/>
            </w:tcBorders>
            <w:shd w:val="clear" w:color="auto" w:fill="auto"/>
          </w:tcPr>
          <w:p w:rsidR="0017135D" w:rsidRPr="00676A0C" w:rsidP="009967D5">
            <w:pPr>
              <w:pStyle w:val="CSBody8pt"/>
            </w:pPr>
            <w:r w:rsidRPr="00792D61">
              <w:rPr>
                <w:b/>
              </w:rPr>
              <w:t>[</w:t>
            </w:r>
            <w:r w:rsidRPr="00BC2B1A">
              <w:t>(i)</w:t>
            </w:r>
            <w:r w:rsidRPr="00792D61">
              <w:rPr>
                <w:b/>
              </w:rPr>
              <w:t>][</w:t>
            </w:r>
            <w:r w:rsidRPr="00BC2B1A">
              <w:t>(ii)</w:t>
            </w:r>
            <w:r w:rsidRPr="00792D61">
              <w:rPr>
                <w:b/>
              </w:rPr>
              <w:t>]</w:t>
            </w:r>
            <w:r w:rsidRPr="00BC2B1A">
              <w:t xml:space="preserve"> a Restructuring in respect of the Reference Obligation and such Restructuring does not constitute a Governmental Intervention</w:t>
            </w:r>
            <w:r>
              <w:t xml:space="preserve"> </w:t>
            </w:r>
            <w:r w:rsidRPr="006A0184">
              <w:t>(</w:t>
            </w:r>
            <w:r>
              <w:rPr>
                <w:b/>
              </w:rPr>
              <w:t>[</w:t>
            </w:r>
            <w:r>
              <w:t xml:space="preserve">in each </w:t>
            </w:r>
            <w:r w:rsidRPr="006A0184">
              <w:t>case</w:t>
            </w:r>
            <w:r>
              <w:rPr>
                <w:b/>
              </w:rPr>
              <w:t xml:space="preserve">] </w:t>
            </w:r>
            <w:r w:rsidRPr="006A0184">
              <w:t>whether or not such event is specified as the applicable Credit Event in the Credit Event Notice or the DC Credit Event Announcement)</w:t>
            </w:r>
            <w:r w:rsidRPr="00792D61">
              <w:rPr>
                <w:b/>
              </w:rPr>
              <w:t>]</w:t>
            </w:r>
            <w:r>
              <w:rPr>
                <w:b/>
              </w:rPr>
              <w:t>]</w:t>
            </w:r>
            <w:r w:rsidRPr="00792D61">
              <w:rPr>
                <w:b/>
              </w:rPr>
              <w:t>[</w:t>
            </w:r>
            <w:r w:rsidRPr="00BC2B1A">
              <w:t>.</w:t>
            </w:r>
            <w:r w:rsidRPr="00792D61">
              <w:rPr>
                <w:b/>
              </w:rPr>
              <w:t>][</w:t>
            </w:r>
            <w:r w:rsidRPr="00BC2B1A">
              <w:t>; and</w:t>
            </w:r>
            <w:r w:rsidRPr="00792D61">
              <w:rPr>
                <w:b/>
              </w:rPr>
              <w:t>]</w:t>
            </w:r>
          </w:p>
        </w:tc>
        <w:tc>
          <w:tcPr>
            <w:tcW w:w="1618" w:type="dxa"/>
            <w:gridSpan w:val="2"/>
            <w:vMerge/>
            <w:tcBorders>
              <w:right w:val="nil"/>
            </w:tcBorders>
            <w:shd w:val="clear" w:color="auto" w:fill="auto"/>
          </w:tcPr>
          <w:p w:rsidR="0017135D" w:rsidRPr="00BC2B1A" w:rsidP="00E60155">
            <w:pPr>
              <w:pStyle w:val="CSBody0"/>
              <w:rPr>
                <w:i/>
              </w:rPr>
            </w:pPr>
          </w:p>
        </w:tc>
        <w:tc>
          <w:tcPr>
            <w:tcW w:w="3318" w:type="dxa"/>
            <w:tcBorders>
              <w:top w:val="nil"/>
              <w:left w:val="nil"/>
              <w:bottom w:val="nil"/>
              <w:right w:val="nil"/>
            </w:tcBorders>
            <w:shd w:val="clear" w:color="auto" w:fill="auto"/>
          </w:tcPr>
          <w:p w:rsidR="0017135D" w:rsidRPr="00BC2B1A" w:rsidP="009967D5">
            <w:pPr>
              <w:pStyle w:val="CSBody8pt"/>
              <w:rPr>
                <w:lang w:val="de-DE"/>
              </w:rPr>
            </w:pPr>
            <w:r w:rsidRPr="00792D61">
              <w:rPr>
                <w:b/>
                <w:lang w:val="de-DE"/>
              </w:rPr>
              <w:t>[</w:t>
            </w:r>
            <w:r w:rsidRPr="00BC2B1A">
              <w:rPr>
                <w:lang w:val="de-DE"/>
              </w:rPr>
              <w:t>(i)</w:t>
            </w:r>
            <w:r w:rsidRPr="00792D61">
              <w:rPr>
                <w:b/>
                <w:lang w:val="de-DE"/>
              </w:rPr>
              <w:t>][</w:t>
            </w:r>
            <w:r w:rsidRPr="00BC2B1A">
              <w:rPr>
                <w:lang w:val="de-DE"/>
              </w:rPr>
              <w:t>(ii)</w:t>
            </w:r>
            <w:r w:rsidRPr="00792D61">
              <w:rPr>
                <w:b/>
                <w:lang w:val="de-DE"/>
              </w:rPr>
              <w:t>]</w:t>
            </w:r>
            <w:r w:rsidRPr="00BC2B1A">
              <w:rPr>
                <w:lang w:val="de-DE"/>
              </w:rPr>
              <w:t xml:space="preserve"> eine Restrukturierung in Bezug auf die Referenzverbindlichkeit, sofern die Restrukturierung keine Staatliche Intervention darstellt</w:t>
            </w:r>
            <w:r>
              <w:rPr>
                <w:lang w:val="de-DE"/>
              </w:rPr>
              <w:t xml:space="preserve"> </w:t>
            </w:r>
            <w:r w:rsidRPr="006A0184">
              <w:rPr>
                <w:lang w:val="de-DE"/>
              </w:rPr>
              <w:t>(</w:t>
            </w:r>
            <w:r>
              <w:rPr>
                <w:b/>
                <w:lang w:val="de-DE"/>
              </w:rPr>
              <w:t>[</w:t>
            </w:r>
            <w:r>
              <w:rPr>
                <w:lang w:val="de-DE"/>
              </w:rPr>
              <w:t>jeweils</w:t>
            </w:r>
            <w:r>
              <w:rPr>
                <w:b/>
                <w:lang w:val="de-DE"/>
              </w:rPr>
              <w:t>]</w:t>
            </w:r>
            <w:r>
              <w:rPr>
                <w:lang w:val="de-DE"/>
              </w:rPr>
              <w:t xml:space="preserve"> </w:t>
            </w:r>
            <w:r w:rsidRPr="006A0184">
              <w:rPr>
                <w:lang w:val="de-DE"/>
              </w:rPr>
              <w:t>unabhängig davon, ob ein solches Ereignis in der Kreditereignismitteilung oder der Bekanntgabe eines Kreditereignisbeschlusses als massgebliches Kreditereignis angegeben ist)</w:t>
            </w:r>
            <w:r w:rsidRPr="00792D61">
              <w:rPr>
                <w:b/>
                <w:lang w:val="de-DE"/>
              </w:rPr>
              <w:t>]</w:t>
            </w:r>
            <w:r>
              <w:rPr>
                <w:b/>
                <w:lang w:val="de-DE"/>
              </w:rPr>
              <w:t>]</w:t>
            </w:r>
            <w:r w:rsidRPr="00792D61">
              <w:rPr>
                <w:b/>
                <w:lang w:val="de-DE"/>
              </w:rPr>
              <w:t>[</w:t>
            </w:r>
            <w:r w:rsidRPr="00BC2B1A">
              <w:rPr>
                <w:lang w:val="de-DE"/>
              </w:rPr>
              <w:t>.</w:t>
            </w:r>
            <w:r w:rsidRPr="00792D61">
              <w:rPr>
                <w:b/>
                <w:lang w:val="de-DE"/>
              </w:rPr>
              <w:t>][</w:t>
            </w:r>
            <w:r w:rsidRPr="00BC2B1A">
              <w:rPr>
                <w:lang w:val="de-DE"/>
              </w:rPr>
              <w:t>; und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vMerge/>
            <w:tcBorders>
              <w:left w:val="nil"/>
              <w:bottom w:val="nil"/>
              <w:right w:val="nil"/>
            </w:tcBorders>
            <w:shd w:val="clear" w:color="auto" w:fill="auto"/>
          </w:tcPr>
          <w:p w:rsidR="0017135D" w:rsidRPr="00BC2B1A" w:rsidP="00A457E7">
            <w:pPr>
              <w:pStyle w:val="CSBody0"/>
              <w:rPr>
                <w:lang w:val="de-DE"/>
              </w:rPr>
            </w:pPr>
          </w:p>
        </w:tc>
        <w:tc>
          <w:tcPr>
            <w:tcW w:w="3315" w:type="dxa"/>
            <w:gridSpan w:val="2"/>
            <w:tcBorders>
              <w:top w:val="nil"/>
              <w:left w:val="nil"/>
              <w:bottom w:val="nil"/>
            </w:tcBorders>
            <w:shd w:val="clear" w:color="auto" w:fill="auto"/>
          </w:tcPr>
          <w:p w:rsidR="0017135D" w:rsidRPr="00676A0C" w:rsidP="009967D5">
            <w:pPr>
              <w:pStyle w:val="CSBody8ptbolditalics"/>
            </w:pPr>
            <w:r w:rsidRPr="00792D61">
              <w:t>[</w:t>
            </w:r>
            <w:r w:rsidRPr="00BC2B1A">
              <w:t>if a Reference Entity is a Sovereign and "Restructuring" is applicable, insert:</w:t>
            </w:r>
          </w:p>
        </w:tc>
        <w:tc>
          <w:tcPr>
            <w:tcW w:w="1618" w:type="dxa"/>
            <w:gridSpan w:val="2"/>
            <w:vMerge/>
            <w:tcBorders>
              <w:bottom w:val="nil"/>
              <w:right w:val="nil"/>
            </w:tcBorders>
            <w:shd w:val="clear" w:color="auto" w:fill="auto"/>
          </w:tcPr>
          <w:p w:rsidR="0017135D" w:rsidRPr="00BC2B1A" w:rsidP="00E60155">
            <w:pPr>
              <w:pStyle w:val="CSBody0"/>
              <w:rPr>
                <w:i/>
              </w:rPr>
            </w:pPr>
          </w:p>
        </w:tc>
        <w:tc>
          <w:tcPr>
            <w:tcW w:w="3318" w:type="dxa"/>
            <w:tcBorders>
              <w:top w:val="nil"/>
              <w:left w:val="nil"/>
              <w:bottom w:val="nil"/>
              <w:right w:val="nil"/>
            </w:tcBorders>
            <w:shd w:val="clear" w:color="auto" w:fill="auto"/>
          </w:tcPr>
          <w:p w:rsidR="0017135D" w:rsidRPr="00BC2B1A" w:rsidP="009967D5">
            <w:pPr>
              <w:pStyle w:val="CSBody8ptbolditalics"/>
              <w:rPr>
                <w:lang w:val="de-DE"/>
              </w:rPr>
            </w:pPr>
            <w:r w:rsidRPr="00792D61">
              <w:rPr>
                <w:lang w:val="de-DE"/>
              </w:rPr>
              <w:t>[</w:t>
            </w:r>
            <w:r w:rsidRPr="00BC2B1A">
              <w:rPr>
                <w:lang w:val="de-DE"/>
              </w:rPr>
              <w:t>falls ein Referenzschuldner ein Staat ist und "Restrukturierung" anwendbar ist,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942F00" w:rsidRPr="00942F00" w:rsidP="00942F00">
            <w:pPr>
              <w:pStyle w:val="CSBody8pt"/>
              <w:rPr>
                <w:b/>
                <w:i/>
              </w:rPr>
            </w:pPr>
            <w:r w:rsidRPr="00942F00">
              <w:rPr>
                <w:b/>
                <w:i/>
              </w:rPr>
              <w:t>[if "Asset Package Valuation" is applicable, insert:</w:t>
            </w:r>
          </w:p>
          <w:p w:rsidR="0017135D" w:rsidRPr="00942F00" w:rsidP="00FB2A98">
            <w:pPr>
              <w:pStyle w:val="CSBody8pt"/>
              <w:rPr>
                <w:lang w:val="de-DE"/>
              </w:rPr>
            </w:pPr>
            <w:r w:rsidRPr="00942F00">
              <w:rPr>
                <w:lang w:val="de-DE"/>
              </w:rPr>
              <w:t>Asset Package Credit Event</w:t>
            </w:r>
            <w:r>
              <w:rPr>
                <w:lang w:val="de-DE"/>
              </w:rPr>
              <w:fldChar w:fldCharType="begin"/>
            </w:r>
            <w:r w:rsidRPr="00942F00">
              <w:instrText xml:space="preserve"> XE "</w:instrText>
            </w:r>
            <w:r w:rsidRPr="00942F00">
              <w:rPr>
                <w:lang w:val="de-DE"/>
              </w:rPr>
              <w:instrText>Asset Package Credit Event</w:instrText>
            </w:r>
            <w:r w:rsidRPr="00942F00">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942F00" w:rsidP="00FB2A98">
            <w:pPr>
              <w:pStyle w:val="CSBody8pt"/>
            </w:pPr>
            <w:r w:rsidRPr="00942F00">
              <w:rPr>
                <w:b/>
              </w:rPr>
              <w:t>[</w:t>
            </w:r>
            <w:r w:rsidRPr="00942F00">
              <w:t>(ii)</w:t>
            </w:r>
            <w:r w:rsidRPr="00942F00">
              <w:rPr>
                <w:b/>
              </w:rPr>
              <w:t>][</w:t>
            </w:r>
            <w:r w:rsidRPr="00942F00">
              <w:t>(iii)</w:t>
            </w:r>
            <w:r w:rsidRPr="00942F00">
              <w:rPr>
                <w:b/>
              </w:rPr>
              <w:t>][</w:t>
            </w:r>
            <w:r w:rsidRPr="00942F00">
              <w:t>in respect of a Reference Entity that is a Sovereign,</w:t>
            </w:r>
            <w:r w:rsidRPr="00942F00">
              <w:rPr>
                <w:b/>
              </w:rPr>
              <w:t>]</w:t>
            </w:r>
            <w:r w:rsidRPr="00942F00">
              <w:t xml:space="preserve"> a Restructuring (whether or not such event is specified as the applicable Credit Event in the Credit Event Notice or the DC Credit Event Announcement).</w:t>
            </w:r>
            <w:r w:rsidRPr="00942F00">
              <w:rPr>
                <w:b/>
              </w:rPr>
              <w:t>]]</w:t>
            </w:r>
          </w:p>
        </w:tc>
        <w:tc>
          <w:tcPr>
            <w:tcW w:w="1618" w:type="dxa"/>
            <w:gridSpan w:val="2"/>
            <w:tcBorders>
              <w:top w:val="nil"/>
              <w:bottom w:val="nil"/>
              <w:right w:val="nil"/>
            </w:tcBorders>
            <w:shd w:val="clear" w:color="auto" w:fill="auto"/>
          </w:tcPr>
          <w:p w:rsidR="00942F00" w:rsidRPr="00942F00" w:rsidP="00942F00">
            <w:pPr>
              <w:pStyle w:val="CSBody8pt"/>
              <w:rPr>
                <w:b/>
                <w:i/>
                <w:lang w:val="de-DE"/>
              </w:rPr>
            </w:pPr>
            <w:r w:rsidRPr="00942F00">
              <w:rPr>
                <w:b/>
                <w:i/>
                <w:lang w:val="de-DE"/>
              </w:rPr>
              <w:t>[</w:t>
            </w:r>
            <w:r>
              <w:rPr>
                <w:b/>
                <w:i/>
                <w:lang w:val="de-DE"/>
              </w:rPr>
              <w:t>falls "</w:t>
            </w:r>
            <w:r w:rsidRPr="00942F00">
              <w:rPr>
                <w:b/>
                <w:i/>
                <w:lang w:val="de-DE"/>
              </w:rPr>
              <w:t>Asset-Paket-Bewertung" anwendbar ist, einfügen:</w:t>
            </w:r>
          </w:p>
          <w:p w:rsidR="0017135D" w:rsidRPr="00942F00" w:rsidP="00FB2A98">
            <w:pPr>
              <w:pStyle w:val="CSBody8pt"/>
            </w:pPr>
            <w:r w:rsidRPr="00942F00">
              <w:t>Kreditereignis mit Asset-Paket</w:t>
            </w:r>
            <w:r>
              <w:fldChar w:fldCharType="begin"/>
            </w:r>
            <w:r w:rsidRPr="00942F00">
              <w:instrText xml:space="preserve"> XE "Kreditereignis mit Asset-Paket" </w:instrText>
            </w:r>
            <w:r>
              <w:fldChar w:fldCharType="end"/>
            </w:r>
          </w:p>
        </w:tc>
        <w:tc>
          <w:tcPr>
            <w:tcW w:w="3318" w:type="dxa"/>
            <w:tcBorders>
              <w:top w:val="nil"/>
              <w:left w:val="nil"/>
              <w:bottom w:val="nil"/>
              <w:right w:val="nil"/>
            </w:tcBorders>
            <w:shd w:val="clear" w:color="auto" w:fill="auto"/>
          </w:tcPr>
          <w:p w:rsidR="0017135D" w:rsidRPr="00492473" w:rsidP="00FB2A98">
            <w:pPr>
              <w:pStyle w:val="CSBody8pt"/>
              <w:rPr>
                <w:b/>
                <w:bCs/>
                <w:lang w:val="de-DE"/>
              </w:rPr>
            </w:pPr>
            <w:r w:rsidRPr="00942F00">
              <w:rPr>
                <w:b/>
                <w:bCs/>
                <w:lang w:val="de-DE"/>
              </w:rPr>
              <w:t>[</w:t>
            </w:r>
            <w:r w:rsidRPr="00942F00">
              <w:rPr>
                <w:bCs/>
                <w:lang w:val="de-DE"/>
              </w:rPr>
              <w:t>(ii)</w:t>
            </w:r>
            <w:r w:rsidRPr="00942F00">
              <w:rPr>
                <w:b/>
                <w:bCs/>
                <w:lang w:val="de-DE"/>
              </w:rPr>
              <w:t>][</w:t>
            </w:r>
            <w:r w:rsidRPr="00942F00">
              <w:rPr>
                <w:bCs/>
                <w:lang w:val="de-DE"/>
              </w:rPr>
              <w:t>(iii)</w:t>
            </w:r>
            <w:r w:rsidRPr="00942F00">
              <w:rPr>
                <w:b/>
                <w:bCs/>
                <w:lang w:val="de-DE"/>
              </w:rPr>
              <w:t>] [</w:t>
            </w:r>
            <w:r w:rsidRPr="00942F00">
              <w:rPr>
                <w:bCs/>
                <w:lang w:val="de-DE"/>
              </w:rPr>
              <w:t>in Bezug auf einen Referenzschuldner, der ein Staat ist, eine Restrukturierung (unabhängig davon, ob ein solches Ereignis in der Kreditereignismitteilung oder der Bekanntgabe eines Kreditereignisbeschlusses als massgebliches Kreditereignis angegeben ist).</w:t>
            </w:r>
            <w:r w:rsidRPr="00942F00">
              <w:rPr>
                <w:b/>
                <w:bCs/>
                <w:lang w:val="de-DE"/>
              </w:rPr>
              <w:t>]]</w:t>
            </w:r>
          </w:p>
        </w:tc>
      </w:tr>
      <w:tr w:rsidTr="004C1EBA">
        <w:tblPrEx>
          <w:tblW w:w="4999" w:type="pct"/>
          <w:tblLayout w:type="fixed"/>
          <w:tblCellMar>
            <w:left w:w="115" w:type="dxa"/>
            <w:right w:w="115" w:type="dxa"/>
          </w:tblCellMar>
          <w:tblLook w:val="04A0"/>
        </w:tblPrEx>
        <w:trPr>
          <w:trHeight w:val="5462"/>
        </w:trPr>
        <w:tc>
          <w:tcPr>
            <w:tcW w:w="1616" w:type="dxa"/>
            <w:gridSpan w:val="3"/>
            <w:tcBorders>
              <w:top w:val="nil"/>
              <w:left w:val="nil"/>
              <w:right w:val="nil"/>
            </w:tcBorders>
            <w:shd w:val="clear" w:color="auto" w:fill="auto"/>
          </w:tcPr>
          <w:p w:rsidR="0017135D" w:rsidRPr="00BC2B1A" w:rsidP="009967D5">
            <w:pPr>
              <w:pStyle w:val="CSBody8ptbolditalics"/>
            </w:pPr>
            <w:r w:rsidRPr="00792D61">
              <w:t>[</w:t>
            </w:r>
            <w:r w:rsidRPr="00BC2B1A">
              <w:t xml:space="preserve">if "Asset Package Valuation" </w:t>
            </w:r>
            <w:r>
              <w:t>is</w:t>
            </w:r>
            <w:r w:rsidRPr="00BC2B1A">
              <w:t xml:space="preserve"> applicable, insert:</w:t>
            </w:r>
          </w:p>
          <w:p w:rsidR="0017135D" w:rsidRPr="00BC2B1A" w:rsidP="00FB2A98">
            <w:pPr>
              <w:pStyle w:val="CSBody8pt"/>
            </w:pPr>
            <w:r w:rsidRPr="00BC2B1A">
              <w:rPr>
                <w:lang w:val="de-DE"/>
              </w:rPr>
              <w:t>Asset Package Valuation:</w:t>
            </w:r>
            <w:r>
              <w:rPr>
                <w:lang w:val="de-DE"/>
              </w:rPr>
              <w:fldChar w:fldCharType="begin"/>
            </w:r>
            <w:r>
              <w:instrText xml:space="preserve"> XE "</w:instrText>
            </w:r>
            <w:r w:rsidRPr="003736F4">
              <w:rPr>
                <w:lang w:val="de-DE"/>
              </w:rPr>
              <w:instrText>Asset Package Valuation</w:instrText>
            </w:r>
            <w:r w:rsidRPr="003736F4">
              <w:instrText>\</w:instrText>
            </w:r>
            <w:r w:rsidRPr="003736F4">
              <w:rPr>
                <w:lang w:val="de-DE"/>
              </w:rPr>
              <w:instrText>:</w:instrText>
            </w:r>
            <w:r>
              <w:instrText xml:space="preserve">" \f "EN" </w:instrText>
            </w:r>
            <w:r>
              <w:rPr>
                <w:lang w:val="de-DE"/>
              </w:rPr>
              <w:fldChar w:fldCharType="end"/>
            </w:r>
          </w:p>
        </w:tc>
        <w:tc>
          <w:tcPr>
            <w:tcW w:w="3315" w:type="dxa"/>
            <w:gridSpan w:val="2"/>
            <w:tcBorders>
              <w:top w:val="nil"/>
              <w:left w:val="nil"/>
            </w:tcBorders>
            <w:shd w:val="clear" w:color="auto" w:fill="auto"/>
          </w:tcPr>
          <w:p w:rsidR="0017135D" w:rsidRPr="00BC2B1A" w:rsidP="009967D5">
            <w:pPr>
              <w:pStyle w:val="CSBody8pt"/>
            </w:pPr>
            <w:r w:rsidRPr="00BC2B1A">
              <w:t xml:space="preserve">Asset Package Valuation will apply if an Asset Package Credit Event occurs, unless </w:t>
            </w:r>
            <w:r w:rsidRPr="00792D61">
              <w:rPr>
                <w:b/>
              </w:rPr>
              <w:t>[</w:t>
            </w:r>
            <w:r w:rsidRPr="009967D5">
              <w:rPr>
                <w:b/>
                <w:i/>
              </w:rPr>
              <w:t>if "Financial Reference Entity Terms" is applicable, insert:</w:t>
            </w:r>
            <w:r w:rsidRPr="00BC2B1A">
              <w:t xml:space="preserve"> </w:t>
            </w:r>
            <w:r w:rsidRPr="00792D61">
              <w:rPr>
                <w:b/>
              </w:rPr>
              <w:t>[</w:t>
            </w:r>
            <w:r w:rsidRPr="00BC2B1A">
              <w:t>(i)</w:t>
            </w:r>
            <w:r w:rsidRPr="00792D61">
              <w:rPr>
                <w:b/>
              </w:rPr>
              <w:t>]</w:t>
            </w:r>
            <w:r w:rsidRPr="00BC2B1A">
              <w:t xml:space="preserve"> such Asset Package Credit Event occurs prior to the Credit Event Backstop Date determined in respect of the Credit Event specified in the Credit Event Notice or DC Credit Event Announcement applicable to the Credit Event Determination Date</w:t>
            </w:r>
            <w:r w:rsidRPr="00792D61">
              <w:rPr>
                <w:b/>
              </w:rPr>
              <w:t>]</w:t>
            </w:r>
            <w:r w:rsidRPr="00BC2B1A">
              <w:t xml:space="preserve"> </w:t>
            </w:r>
            <w:r w:rsidRPr="00792D61">
              <w:rPr>
                <w:b/>
              </w:rPr>
              <w:t>[</w:t>
            </w:r>
            <w:r w:rsidRPr="009967D5">
              <w:rPr>
                <w:b/>
                <w:i/>
              </w:rPr>
              <w:t>if a Reference Entity is a Sovereign, insert</w:t>
            </w:r>
            <w:r w:rsidRPr="00BC2B1A">
              <w:t xml:space="preserve">: </w:t>
            </w:r>
            <w:r w:rsidRPr="00792D61">
              <w:rPr>
                <w:b/>
              </w:rPr>
              <w:t>[</w:t>
            </w:r>
            <w:r w:rsidRPr="00BC2B1A">
              <w:t>, or (ii)</w:t>
            </w:r>
            <w:r w:rsidRPr="00792D61">
              <w:rPr>
                <w:b/>
              </w:rPr>
              <w:t>]</w:t>
            </w:r>
            <w:r w:rsidRPr="00BC2B1A">
              <w:t xml:space="preserve"> no Package Observable Bond exists immediately prior to such Asset Package Credit Event</w:t>
            </w:r>
            <w:r w:rsidRPr="00BD6E0D" w:rsidR="003F04DC">
              <w:rPr>
                <w:b/>
              </w:rPr>
              <w:t>]</w:t>
            </w:r>
            <w:r w:rsidRPr="00BC2B1A">
              <w:t>.</w:t>
            </w:r>
            <w:r w:rsidRPr="00792D61">
              <w:rPr>
                <w:b/>
              </w:rPr>
              <w:t>]]</w:t>
            </w:r>
          </w:p>
        </w:tc>
        <w:tc>
          <w:tcPr>
            <w:tcW w:w="1618" w:type="dxa"/>
            <w:gridSpan w:val="2"/>
            <w:tcBorders>
              <w:top w:val="nil"/>
              <w:right w:val="nil"/>
            </w:tcBorders>
            <w:shd w:val="clear" w:color="auto" w:fill="auto"/>
          </w:tcPr>
          <w:p w:rsidR="0017135D" w:rsidRPr="00BC2B1A" w:rsidP="009967D5">
            <w:pPr>
              <w:pStyle w:val="CSBody8ptbolditalics"/>
              <w:rPr>
                <w:lang w:val="de-DE"/>
              </w:rPr>
            </w:pPr>
            <w:r w:rsidRPr="00792D61">
              <w:rPr>
                <w:lang w:val="de-DE"/>
              </w:rPr>
              <w:t>[</w:t>
            </w:r>
            <w:r w:rsidR="00942F00">
              <w:rPr>
                <w:lang w:val="de-DE"/>
              </w:rPr>
              <w:t>falls "</w:t>
            </w:r>
            <w:r w:rsidRPr="00BC2B1A">
              <w:rPr>
                <w:lang w:val="de-DE"/>
              </w:rPr>
              <w:t xml:space="preserve">Asset-Paket-Bewertung" anwendbar </w:t>
            </w:r>
            <w:r>
              <w:rPr>
                <w:lang w:val="de-DE"/>
              </w:rPr>
              <w:t>ist</w:t>
            </w:r>
            <w:r w:rsidRPr="00BC2B1A">
              <w:rPr>
                <w:lang w:val="de-DE"/>
              </w:rPr>
              <w:t>, einfügen:</w:t>
            </w:r>
          </w:p>
          <w:p w:rsidR="0017135D" w:rsidRPr="00BC2B1A" w:rsidP="00FB2A98">
            <w:pPr>
              <w:pStyle w:val="CSBody8pt"/>
              <w:rPr>
                <w:lang w:val="de-DE"/>
              </w:rPr>
            </w:pPr>
            <w:r w:rsidRPr="00FB2A98">
              <w:rPr>
                <w:lang w:val="de-DE"/>
              </w:rPr>
              <w:t>Asset-Paket-Bewertung</w:t>
            </w:r>
            <w:r>
              <w:rPr>
                <w:lang w:val="de-DE"/>
              </w:rPr>
              <w:fldChar w:fldCharType="begin"/>
            </w:r>
            <w:r>
              <w:instrText xml:space="preserve"> XE "</w:instrText>
            </w:r>
            <w:r w:rsidRPr="00575740">
              <w:rPr>
                <w:lang w:val="de-DE"/>
              </w:rPr>
              <w:instrText>Asset-Paket-Bewertung</w:instrText>
            </w:r>
            <w:r>
              <w:instrText xml:space="preserve">" </w:instrText>
            </w:r>
            <w:r>
              <w:rPr>
                <w:lang w:val="de-DE"/>
              </w:rPr>
              <w:fldChar w:fldCharType="end"/>
            </w:r>
          </w:p>
        </w:tc>
        <w:tc>
          <w:tcPr>
            <w:tcW w:w="3318" w:type="dxa"/>
            <w:tcBorders>
              <w:top w:val="nil"/>
              <w:left w:val="nil"/>
              <w:right w:val="nil"/>
            </w:tcBorders>
            <w:shd w:val="clear" w:color="auto" w:fill="auto"/>
          </w:tcPr>
          <w:p w:rsidR="0017135D" w:rsidRPr="00BC2B1A" w:rsidP="009967D5">
            <w:pPr>
              <w:pStyle w:val="CSBody8pt"/>
              <w:rPr>
                <w:bCs/>
                <w:lang w:val="de-DE"/>
              </w:rPr>
            </w:pPr>
            <w:r w:rsidRPr="00BC2B1A">
              <w:rPr>
                <w:bCs/>
                <w:lang w:val="de-DE"/>
              </w:rPr>
              <w:t>Asset-Paket-Bewertung findet Anwendung, wenn ein Kreditereignis mit Asset-Paket eintritt, es sei denn,</w:t>
            </w:r>
            <w:r w:rsidRPr="00792D61">
              <w:rPr>
                <w:b/>
                <w:bCs/>
                <w:lang w:val="de-DE"/>
              </w:rPr>
              <w:t>[</w:t>
            </w:r>
            <w:r w:rsidRPr="009967D5">
              <w:rPr>
                <w:b/>
                <w:bCs/>
                <w:i/>
                <w:lang w:val="de-DE"/>
              </w:rPr>
              <w:t xml:space="preserve">falls "Bedingungen für Finanzinstitute als Refernzschuldner anwendbar ist, einfügen: </w:t>
            </w:r>
            <w:r w:rsidRPr="00792D61">
              <w:rPr>
                <w:b/>
                <w:bCs/>
                <w:lang w:val="de-DE"/>
              </w:rPr>
              <w:t>[</w:t>
            </w:r>
            <w:r w:rsidRPr="00BC2B1A">
              <w:rPr>
                <w:bCs/>
                <w:lang w:val="de-DE"/>
              </w:rPr>
              <w:t>(i)</w:t>
            </w:r>
            <w:r w:rsidRPr="00792D61">
              <w:rPr>
                <w:b/>
                <w:bCs/>
                <w:lang w:val="de-DE"/>
              </w:rPr>
              <w:t>]</w:t>
            </w:r>
            <w:r w:rsidRPr="00BC2B1A">
              <w:rPr>
                <w:bCs/>
                <w:lang w:val="de-DE"/>
              </w:rPr>
              <w:t xml:space="preserve"> das betreffende Kreditereignis mit Asset-Paket tritt vor dem Kreditereignis-Rückschau-Stichtag ein, der in Bezug auf das Kreditereignis festgestellt wurde, das in der für den Kreditereignis-Feststellungstag geltenden Kreditereignismitteilung oder Bekanntgabe eines Kreditereignisbeschlusses angegeben wurde</w:t>
            </w:r>
            <w:r w:rsidRPr="00792D61">
              <w:rPr>
                <w:b/>
                <w:bCs/>
                <w:lang w:val="de-DE"/>
              </w:rPr>
              <w:t>]</w:t>
            </w:r>
            <w:r w:rsidRPr="00BC2B1A">
              <w:rPr>
                <w:bCs/>
                <w:lang w:val="de-DE"/>
              </w:rPr>
              <w:t xml:space="preserve"> </w:t>
            </w:r>
            <w:r w:rsidRPr="00792D61">
              <w:rPr>
                <w:b/>
                <w:bCs/>
                <w:lang w:val="de-DE"/>
              </w:rPr>
              <w:t>[</w:t>
            </w:r>
            <w:r w:rsidRPr="009967D5">
              <w:rPr>
                <w:b/>
                <w:bCs/>
                <w:i/>
                <w:lang w:val="de-DE"/>
              </w:rPr>
              <w:t>falls ein Referenzschuldner ein Staat ist und "Restrukturierung" anwendbar ist, einfügen:</w:t>
            </w:r>
            <w:r w:rsidRPr="00BC2B1A">
              <w:rPr>
                <w:bCs/>
                <w:lang w:val="de-DE"/>
              </w:rPr>
              <w:t xml:space="preserve"> </w:t>
            </w:r>
            <w:r w:rsidRPr="00792D61">
              <w:rPr>
                <w:b/>
                <w:bCs/>
                <w:lang w:val="de-DE"/>
              </w:rPr>
              <w:t>[</w:t>
            </w:r>
            <w:r w:rsidRPr="00BC2B1A">
              <w:rPr>
                <w:bCs/>
                <w:lang w:val="de-DE"/>
              </w:rPr>
              <w:t>oder (ii)</w:t>
            </w:r>
            <w:r w:rsidRPr="00792D61">
              <w:rPr>
                <w:b/>
                <w:bCs/>
                <w:lang w:val="de-DE"/>
              </w:rPr>
              <w:t>]</w:t>
            </w:r>
            <w:r w:rsidRPr="00BC2B1A">
              <w:rPr>
                <w:bCs/>
                <w:lang w:val="de-DE"/>
              </w:rPr>
              <w:t xml:space="preserve"> unmittelbar vor dem betreffenden Kreditereignis mit Asset-Paket ist keine Paketrelevante Anleihe vorhanden</w:t>
            </w:r>
            <w:r w:rsidRPr="00BD6E0D" w:rsidR="003F04DC">
              <w:rPr>
                <w:b/>
                <w:bCs/>
                <w:lang w:val="de-DE"/>
              </w:rPr>
              <w:t>]</w:t>
            </w:r>
            <w:r w:rsidRPr="00BC2B1A">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rPr>
          <w:trHeight w:val="3132"/>
        </w:trPr>
        <w:tc>
          <w:tcPr>
            <w:tcW w:w="1616" w:type="dxa"/>
            <w:gridSpan w:val="3"/>
            <w:tcBorders>
              <w:top w:val="nil"/>
              <w:left w:val="nil"/>
              <w:right w:val="nil"/>
            </w:tcBorders>
            <w:shd w:val="clear" w:color="auto" w:fill="auto"/>
          </w:tcPr>
          <w:p w:rsidR="0017135D" w:rsidRPr="003D5578" w:rsidP="009967D5">
            <w:pPr>
              <w:pStyle w:val="CSBody8ptbolditalics"/>
            </w:pPr>
            <w:r w:rsidRPr="00792D61">
              <w:t>[</w:t>
            </w:r>
            <w:r w:rsidRPr="003D5578">
              <w:t xml:space="preserve">if specified as Valuation Obligation Characteristic, insert: </w:t>
            </w:r>
          </w:p>
          <w:p w:rsidR="0017135D" w:rsidRPr="003D5578" w:rsidP="009967D5">
            <w:pPr>
              <w:pStyle w:val="CSBody8pt"/>
            </w:pPr>
            <w:r w:rsidRPr="00FB2A98">
              <w:t>Assignable Loan</w:t>
            </w:r>
            <w:r>
              <w:fldChar w:fldCharType="begin"/>
            </w:r>
            <w:r>
              <w:instrText xml:space="preserve"> XE "</w:instrText>
            </w:r>
            <w:r w:rsidRPr="005F144B">
              <w:instrText>Assignable Loan</w:instrText>
            </w:r>
            <w:r>
              <w:instrText xml:space="preserve">" \f "EN" </w:instrText>
            </w:r>
            <w:r>
              <w:fldChar w:fldCharType="end"/>
            </w:r>
          </w:p>
        </w:tc>
        <w:tc>
          <w:tcPr>
            <w:tcW w:w="3315" w:type="dxa"/>
            <w:gridSpan w:val="2"/>
            <w:tcBorders>
              <w:top w:val="nil"/>
              <w:left w:val="nil"/>
            </w:tcBorders>
            <w:shd w:val="clear" w:color="auto" w:fill="auto"/>
          </w:tcPr>
          <w:p w:rsidR="0017135D" w:rsidRPr="0079217E" w:rsidP="009967D5">
            <w:pPr>
              <w:pStyle w:val="CSBody8pt"/>
            </w:pPr>
            <w:r w:rsidRPr="0079217E">
              <w:t>a Loan that is capable of being assigned or novated to, at a minimum, commercial banks or financial institutions (irrespective of their jurisdiction of organization) that are not then a lender or a member of the relevant lending syndicate, without the consent of the Reference Entity or the guarantor, if any, of such Loan (or the consent of the applicable borrower if the Reference Entity is guaranteeing such Loan) or any agent.</w:t>
            </w:r>
            <w:r w:rsidRPr="00792D61">
              <w:rPr>
                <w:b/>
              </w:rPr>
              <w:t>]</w:t>
            </w:r>
          </w:p>
        </w:tc>
        <w:tc>
          <w:tcPr>
            <w:tcW w:w="1618" w:type="dxa"/>
            <w:gridSpan w:val="2"/>
            <w:tcBorders>
              <w:top w:val="nil"/>
              <w:right w:val="nil"/>
            </w:tcBorders>
            <w:shd w:val="clear" w:color="auto" w:fill="auto"/>
          </w:tcPr>
          <w:p w:rsidR="0017135D" w:rsidRPr="0079217E" w:rsidP="008A6718">
            <w:pPr>
              <w:pStyle w:val="CSBody8ptbolditalics"/>
              <w:rPr>
                <w:lang w:val="de-DE"/>
              </w:rPr>
            </w:pPr>
            <w:r w:rsidRPr="00792D61">
              <w:rPr>
                <w:lang w:val="de-DE"/>
              </w:rPr>
              <w:t>[</w:t>
            </w:r>
            <w:r w:rsidRPr="0079217E">
              <w:rPr>
                <w:lang w:val="de-DE"/>
              </w:rPr>
              <w:t>falls als Merkmal für Bewertungs</w:t>
            </w:r>
            <w:r>
              <w:rPr>
                <w:lang w:val="de-DE"/>
              </w:rPr>
              <w:t>verbindlichk</w:t>
            </w:r>
            <w:r w:rsidRPr="0079217E">
              <w:rPr>
                <w:lang w:val="de-DE"/>
              </w:rPr>
              <w:t xml:space="preserve">eiten angegeben, einfügen: </w:t>
            </w:r>
          </w:p>
          <w:p w:rsidR="0017135D" w:rsidRPr="0079217E" w:rsidP="009967D5">
            <w:pPr>
              <w:pStyle w:val="CSBody8pt"/>
              <w:rPr>
                <w:lang w:val="de-DE"/>
              </w:rPr>
            </w:pPr>
            <w:r w:rsidRPr="00FB2A98">
              <w:t>Abtretbares Darlehen</w:t>
            </w:r>
            <w:r>
              <w:fldChar w:fldCharType="begin"/>
            </w:r>
            <w:r>
              <w:instrText xml:space="preserve"> XE "</w:instrText>
            </w:r>
            <w:r w:rsidRPr="008E7554">
              <w:instrText>Abtretbares Darlehen</w:instrText>
            </w:r>
            <w:r>
              <w:instrText xml:space="preserve">" </w:instrText>
            </w:r>
            <w:r>
              <w:fldChar w:fldCharType="end"/>
            </w:r>
          </w:p>
        </w:tc>
        <w:tc>
          <w:tcPr>
            <w:tcW w:w="3318" w:type="dxa"/>
            <w:tcBorders>
              <w:top w:val="nil"/>
              <w:left w:val="nil"/>
              <w:right w:val="nil"/>
            </w:tcBorders>
            <w:shd w:val="clear" w:color="auto" w:fill="auto"/>
          </w:tcPr>
          <w:p w:rsidR="0017135D" w:rsidRPr="0079217E" w:rsidP="009967D5">
            <w:pPr>
              <w:pStyle w:val="CSBody8pt"/>
              <w:rPr>
                <w:bCs/>
                <w:lang w:val="de-DE"/>
              </w:rPr>
            </w:pPr>
            <w:r w:rsidRPr="0079217E">
              <w:rPr>
                <w:bCs/>
                <w:lang w:val="de-DE"/>
              </w:rPr>
              <w:t>ein Darlehen, das im Wege der Abtretung oder Novation zumindest auf Geschäftsbanken oder Finanzinstitute, die zu dem betreffenden Zeitpunkt nicht Darlehensgeber oder Mitglieder des Darlehenskonsortiums sind, übertragen werden kann (unabhängig von der Rechtsordnung ihrer Errichtung), ohne dass hierfür die Zustimmung des Referenzschuldners oder gegebenenfalls des Garantiegebers des betreffenden Darlehens (oder die Zustimmung des jeweiligen Kreditnehmers, wenn das Darlehen durch den Referenzschuldner garantiert ist) oder eines Beauftragten erforderlich ist.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B2A98" w:rsidP="009967D5">
            <w:pPr>
              <w:pStyle w:val="CSBody8pt"/>
            </w:pPr>
            <w:r w:rsidRPr="00FB2A98">
              <w:t>Auction</w:t>
            </w:r>
            <w:r>
              <w:fldChar w:fldCharType="begin"/>
            </w:r>
            <w:r>
              <w:instrText xml:space="preserve"> XE "</w:instrText>
            </w:r>
            <w:r w:rsidRPr="00DC0CB1">
              <w:instrText>Auction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B2A98" w:rsidP="009967D5">
            <w:pPr>
              <w:pStyle w:val="CSBody8pt"/>
            </w:pPr>
            <w:r w:rsidRPr="00FB2A98">
              <w:t>an auction conducted by ISDA for purposes of determining a final price (</w:t>
            </w:r>
            <w:r w:rsidRPr="007E3558">
              <w:rPr>
                <w:i/>
              </w:rPr>
              <w:t>i.e.</w:t>
            </w:r>
            <w:r w:rsidRPr="00FB2A98">
              <w:t>, the Final Auction Price) with respect to a Reference Entity in relation to which a Credit Event has occurred.</w:t>
            </w:r>
          </w:p>
        </w:tc>
        <w:tc>
          <w:tcPr>
            <w:tcW w:w="1618" w:type="dxa"/>
            <w:gridSpan w:val="2"/>
            <w:tcBorders>
              <w:top w:val="nil"/>
              <w:bottom w:val="nil"/>
              <w:right w:val="nil"/>
            </w:tcBorders>
            <w:shd w:val="clear" w:color="auto" w:fill="auto"/>
          </w:tcPr>
          <w:p w:rsidR="0017135D" w:rsidRPr="00FB2A98" w:rsidP="009967D5">
            <w:pPr>
              <w:pStyle w:val="CSBody8pt"/>
            </w:pPr>
            <w:r w:rsidRPr="00FB2A98">
              <w:t>Auktion</w:t>
            </w:r>
            <w:r>
              <w:fldChar w:fldCharType="begin"/>
            </w:r>
            <w:r>
              <w:instrText xml:space="preserve"> XE "</w:instrText>
            </w:r>
            <w:r w:rsidRPr="00920F82">
              <w:instrText>Auktion</w:instrText>
            </w:r>
            <w:r>
              <w:instrText xml:space="preserve">" </w:instrText>
            </w:r>
            <w:r>
              <w:fldChar w:fldCharType="end"/>
            </w:r>
          </w:p>
        </w:tc>
        <w:tc>
          <w:tcPr>
            <w:tcW w:w="3318" w:type="dxa"/>
            <w:tcBorders>
              <w:top w:val="nil"/>
              <w:left w:val="nil"/>
              <w:bottom w:val="nil"/>
              <w:right w:val="nil"/>
            </w:tcBorders>
            <w:shd w:val="clear" w:color="auto" w:fill="auto"/>
          </w:tcPr>
          <w:p w:rsidR="0017135D" w:rsidRPr="00FB2A98" w:rsidP="009967D5">
            <w:pPr>
              <w:pStyle w:val="CSBody8pt"/>
              <w:rPr>
                <w:lang w:val="de-DE"/>
              </w:rPr>
            </w:pPr>
            <w:r w:rsidRPr="00FB2A98">
              <w:rPr>
                <w:lang w:val="de-DE"/>
              </w:rPr>
              <w:t>eine von der ISDA durchgeführte Auktion, um den Endpreis für einen Referenzschuldner festzustellen, in Bezug auf den ein Kreditereignis eingetreten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42F00" w:rsidP="009967D5">
            <w:pPr>
              <w:pStyle w:val="CSBody8pt"/>
            </w:pPr>
            <w:r w:rsidRPr="00942F00">
              <w:t>Auction Cancellation Date</w:t>
            </w:r>
            <w:r>
              <w:fldChar w:fldCharType="begin"/>
            </w:r>
            <w:r w:rsidRPr="00942F00">
              <w:instrText xml:space="preserve"> XE "Auction Cancellation Date" \f "EN" </w:instrText>
            </w:r>
            <w:r>
              <w:fldChar w:fldCharType="end"/>
            </w:r>
          </w:p>
        </w:tc>
        <w:tc>
          <w:tcPr>
            <w:tcW w:w="3315" w:type="dxa"/>
            <w:gridSpan w:val="2"/>
            <w:tcBorders>
              <w:top w:val="nil"/>
              <w:left w:val="nil"/>
              <w:bottom w:val="nil"/>
            </w:tcBorders>
            <w:shd w:val="clear" w:color="auto" w:fill="auto"/>
          </w:tcPr>
          <w:p w:rsidR="0017135D" w:rsidRPr="00942F00">
            <w:pPr>
              <w:pStyle w:val="CSBody8pt"/>
            </w:pPr>
            <w:r w:rsidRPr="00942F00">
              <w:rPr>
                <w:b/>
              </w:rPr>
              <w:t>[</w:t>
            </w:r>
            <w:r w:rsidRPr="00942F00">
              <w:rPr>
                <w:b/>
                <w:i/>
              </w:rPr>
              <w:t>if a Basket is applicable or in the case of Complex Products with N</w:t>
            </w:r>
            <w:r w:rsidRPr="00BD6E0D">
              <w:rPr>
                <w:b/>
                <w:i/>
                <w:vertAlign w:val="superscript"/>
              </w:rPr>
              <w:t>th</w:t>
            </w:r>
            <w:r w:rsidRPr="00942F00">
              <w:rPr>
                <w:b/>
                <w:i/>
              </w:rPr>
              <w:t xml:space="preserve">-to-Default structure, insert: </w:t>
            </w:r>
            <w:r w:rsidRPr="00942F00">
              <w:t>with respect to any Reference Entity and a Credit Event,</w:t>
            </w:r>
            <w:r w:rsidRPr="00942F00">
              <w:rPr>
                <w:b/>
              </w:rPr>
              <w:t>]</w:t>
            </w:r>
            <w:r w:rsidRPr="00942F00">
              <w:t xml:space="preserve"> the date </w:t>
            </w:r>
            <w:r w:rsidR="008C0FAC">
              <w:t>determined by ISDA as the date on which an Auction is cancelled</w:t>
            </w:r>
            <w:r w:rsidRPr="00942F00">
              <w:t xml:space="preserve"> </w:t>
            </w:r>
            <w:r w:rsidRPr="00942F00">
              <w:rPr>
                <w:b/>
              </w:rPr>
              <w:t>[</w:t>
            </w:r>
            <w:r w:rsidRPr="00942F00">
              <w:rPr>
                <w:b/>
                <w:i/>
              </w:rPr>
              <w:t>if a Basket is applicable or in the case of Complex Products with N</w:t>
            </w:r>
            <w:r w:rsidRPr="00BD6E0D">
              <w:rPr>
                <w:b/>
                <w:i/>
                <w:vertAlign w:val="superscript"/>
              </w:rPr>
              <w:t>th</w:t>
            </w:r>
            <w:r w:rsidRPr="00942F00">
              <w:rPr>
                <w:b/>
                <w:i/>
              </w:rPr>
              <w:t>-to-Default structure, insert:</w:t>
            </w:r>
            <w:r w:rsidRPr="00942F00">
              <w:t xml:space="preserve"> in relation to such Reference Entity</w:t>
            </w:r>
            <w:r w:rsidRPr="00942F00">
              <w:rPr>
                <w:b/>
              </w:rPr>
              <w:t>]</w:t>
            </w:r>
            <w:r w:rsidRPr="00942F00">
              <w:t>.</w:t>
            </w:r>
          </w:p>
        </w:tc>
        <w:tc>
          <w:tcPr>
            <w:tcW w:w="1618" w:type="dxa"/>
            <w:gridSpan w:val="2"/>
            <w:tcBorders>
              <w:top w:val="nil"/>
              <w:bottom w:val="nil"/>
              <w:right w:val="nil"/>
            </w:tcBorders>
            <w:shd w:val="clear" w:color="auto" w:fill="auto"/>
          </w:tcPr>
          <w:p w:rsidR="0017135D" w:rsidRPr="00942F00" w:rsidP="009967D5">
            <w:pPr>
              <w:pStyle w:val="CSBody8pt"/>
            </w:pPr>
            <w:r w:rsidRPr="00942F00">
              <w:t>Auktions-Aufhebungstag</w:t>
            </w:r>
            <w:r>
              <w:fldChar w:fldCharType="begin"/>
            </w:r>
            <w:r w:rsidRPr="00942F00">
              <w:instrText xml:space="preserve"> XE "Auktions-Aufhebungstag" </w:instrText>
            </w:r>
            <w:r>
              <w:fldChar w:fldCharType="end"/>
            </w:r>
          </w:p>
        </w:tc>
        <w:tc>
          <w:tcPr>
            <w:tcW w:w="3318" w:type="dxa"/>
            <w:tcBorders>
              <w:top w:val="nil"/>
              <w:left w:val="nil"/>
              <w:bottom w:val="nil"/>
              <w:right w:val="nil"/>
            </w:tcBorders>
            <w:shd w:val="clear" w:color="auto" w:fill="auto"/>
          </w:tcPr>
          <w:p w:rsidR="0017135D" w:rsidRPr="0079217E">
            <w:pPr>
              <w:pStyle w:val="CSBody8pt"/>
              <w:rPr>
                <w:lang w:val="de-DE"/>
              </w:rPr>
            </w:pPr>
            <w:r w:rsidRPr="00942F00">
              <w:rPr>
                <w:b/>
                <w:lang w:val="de-DE"/>
              </w:rPr>
              <w:t>[</w:t>
            </w:r>
            <w:r w:rsidRPr="00942F00">
              <w:rPr>
                <w:b/>
                <w:i/>
                <w:lang w:val="de-DE"/>
              </w:rPr>
              <w:t>falls ein Korb anwendbar ist oder bei Komplexen Produkten mit N</w:t>
            </w:r>
            <w:r w:rsidRPr="00BD6E0D">
              <w:rPr>
                <w:b/>
                <w:i/>
                <w:vertAlign w:val="superscript"/>
                <w:lang w:val="de-DE"/>
              </w:rPr>
              <w:t>th</w:t>
            </w:r>
            <w:r w:rsidRPr="00942F00">
              <w:rPr>
                <w:b/>
                <w:i/>
                <w:lang w:val="de-DE"/>
              </w:rPr>
              <w:t>-to-Default-Struktur, einfügen:</w:t>
            </w:r>
            <w:r w:rsidRPr="00942F00">
              <w:rPr>
                <w:lang w:val="de-DE"/>
              </w:rPr>
              <w:t xml:space="preserve"> in Bezug auf einen Referenzschuldner und ein Kreditereignis</w:t>
            </w:r>
            <w:r w:rsidRPr="00942F00">
              <w:rPr>
                <w:b/>
                <w:lang w:val="de-DE"/>
              </w:rPr>
              <w:t>]</w:t>
            </w:r>
            <w:r w:rsidRPr="00942F00">
              <w:rPr>
                <w:lang w:val="de-DE"/>
              </w:rPr>
              <w:t xml:space="preserve"> der </w:t>
            </w:r>
            <w:r w:rsidR="008C0FAC">
              <w:rPr>
                <w:lang w:val="de-DE"/>
              </w:rPr>
              <w:t>Tag, der von der ISDA als Tag bestimmt wird, an dem eine Auktion</w:t>
            </w:r>
            <w:r w:rsidRPr="00942F00">
              <w:rPr>
                <w:lang w:val="de-DE"/>
              </w:rPr>
              <w:t xml:space="preserve"> </w:t>
            </w:r>
            <w:r w:rsidRPr="00942F00">
              <w:rPr>
                <w:b/>
                <w:lang w:val="de-DE"/>
              </w:rPr>
              <w:t>[</w:t>
            </w:r>
            <w:r w:rsidRPr="00942F00">
              <w:rPr>
                <w:b/>
                <w:i/>
                <w:lang w:val="de-DE"/>
              </w:rPr>
              <w:t>falls ein Korb anwendbar ist oder bei Komplexen Produkten mit N</w:t>
            </w:r>
            <w:r w:rsidRPr="00BD6E0D">
              <w:rPr>
                <w:b/>
                <w:i/>
                <w:vertAlign w:val="superscript"/>
                <w:lang w:val="de-DE"/>
              </w:rPr>
              <w:t>th</w:t>
            </w:r>
            <w:r w:rsidRPr="00942F00">
              <w:rPr>
                <w:b/>
                <w:i/>
                <w:lang w:val="de-DE"/>
              </w:rPr>
              <w:t>-to-Default-Struktur, einfügen:</w:t>
            </w:r>
            <w:r w:rsidRPr="00942F00">
              <w:rPr>
                <w:lang w:val="de-DE"/>
              </w:rPr>
              <w:t xml:space="preserve"> in Bezug auf diesen Referenzschuldner</w:t>
            </w:r>
            <w:r w:rsidRPr="00942F00">
              <w:rPr>
                <w:b/>
                <w:lang w:val="de-DE"/>
              </w:rPr>
              <w:t>]</w:t>
            </w:r>
            <w:r w:rsidRPr="00942F00">
              <w:rPr>
                <w:lang w:val="de-DE"/>
              </w:rPr>
              <w:t xml:space="preserve"> als solcher </w:t>
            </w:r>
            <w:r w:rsidR="008C0FAC">
              <w:rPr>
                <w:lang w:val="de-DE"/>
              </w:rPr>
              <w:t>aufgehoben wird</w:t>
            </w:r>
            <w:r w:rsidRPr="00942F00">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B2A98" w:rsidP="009967D5">
            <w:pPr>
              <w:pStyle w:val="CSBody8pt"/>
            </w:pPr>
            <w:r w:rsidRPr="00FB2A98">
              <w:t>Auction Final Price</w:t>
            </w:r>
            <w:r>
              <w:fldChar w:fldCharType="begin"/>
            </w:r>
            <w:r>
              <w:instrText xml:space="preserve"> XE "</w:instrText>
            </w:r>
            <w:r w:rsidRPr="00EB747D">
              <w:instrText>Auction Final Price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B2A98" w:rsidP="009967D5">
            <w:pPr>
              <w:pStyle w:val="CSBody8pt"/>
            </w:pPr>
            <w:r w:rsidRPr="00FB2A98">
              <w:t>has the meaning assigned to such term in subsection C.4 of Section 1.1.</w:t>
            </w:r>
          </w:p>
        </w:tc>
        <w:tc>
          <w:tcPr>
            <w:tcW w:w="1618" w:type="dxa"/>
            <w:gridSpan w:val="2"/>
            <w:tcBorders>
              <w:top w:val="nil"/>
              <w:bottom w:val="nil"/>
              <w:right w:val="nil"/>
            </w:tcBorders>
            <w:shd w:val="clear" w:color="auto" w:fill="auto"/>
          </w:tcPr>
          <w:p w:rsidR="0017135D" w:rsidRPr="00FB2A98" w:rsidP="009967D5">
            <w:pPr>
              <w:pStyle w:val="CSBody8pt"/>
            </w:pPr>
            <w:r w:rsidRPr="00FB2A98">
              <w:t>Auktions-End-preis</w:t>
            </w:r>
            <w:r>
              <w:fldChar w:fldCharType="begin"/>
            </w:r>
            <w:r>
              <w:instrText xml:space="preserve"> XE "</w:instrText>
            </w:r>
            <w:r w:rsidRPr="00660766">
              <w:instrText>Auktions-End-preis</w:instrText>
            </w:r>
            <w:r>
              <w:instrText xml:space="preserve">" </w:instrText>
            </w:r>
            <w:r>
              <w:fldChar w:fldCharType="end"/>
            </w:r>
          </w:p>
        </w:tc>
        <w:tc>
          <w:tcPr>
            <w:tcW w:w="3318" w:type="dxa"/>
            <w:tcBorders>
              <w:top w:val="nil"/>
              <w:left w:val="nil"/>
              <w:bottom w:val="nil"/>
              <w:right w:val="nil"/>
            </w:tcBorders>
            <w:shd w:val="clear" w:color="auto" w:fill="auto"/>
          </w:tcPr>
          <w:p w:rsidR="0017135D" w:rsidRPr="00FB2A98" w:rsidP="009967D5">
            <w:pPr>
              <w:pStyle w:val="CSBody8pt"/>
              <w:rPr>
                <w:lang w:val="de-DE"/>
              </w:rPr>
            </w:pPr>
            <w:r w:rsidRPr="00FB2A98">
              <w:rPr>
                <w:lang w:val="de-DE"/>
              </w:rPr>
              <w:t>hat die diesem Begriff in Unterabschnitt C.4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B2A98" w:rsidP="009967D5">
            <w:pPr>
              <w:pStyle w:val="CSBody8pt"/>
            </w:pPr>
            <w:r w:rsidRPr="00FB2A98">
              <w:t>Auction Final Price Determination Date</w:t>
            </w:r>
            <w:r>
              <w:fldChar w:fldCharType="begin"/>
            </w:r>
            <w:r>
              <w:instrText xml:space="preserve"> XE "</w:instrText>
            </w:r>
            <w:r w:rsidRPr="00974A08">
              <w:instrText>Auction Final Price Determination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B2A98" w:rsidP="009967D5">
            <w:pPr>
              <w:pStyle w:val="CSBody8pt"/>
            </w:pPr>
            <w:r w:rsidRPr="00FB2A98">
              <w:t>has the meaning assigned to such term in subsection C.4 of Section 1.1.</w:t>
            </w:r>
          </w:p>
        </w:tc>
        <w:tc>
          <w:tcPr>
            <w:tcW w:w="1618" w:type="dxa"/>
            <w:gridSpan w:val="2"/>
            <w:tcBorders>
              <w:top w:val="nil"/>
              <w:bottom w:val="nil"/>
              <w:right w:val="nil"/>
            </w:tcBorders>
            <w:shd w:val="clear" w:color="auto" w:fill="auto"/>
          </w:tcPr>
          <w:p w:rsidR="0017135D" w:rsidRPr="00FB2A98" w:rsidP="008A6718">
            <w:pPr>
              <w:pStyle w:val="CSBody8pt"/>
              <w:rPr>
                <w:lang w:val="de-DE"/>
              </w:rPr>
            </w:pPr>
            <w:r w:rsidRPr="00FB2A98">
              <w:rPr>
                <w:lang w:val="de-DE"/>
              </w:rPr>
              <w:t>Feststellungstag für den Auktionsendpreis</w:t>
            </w:r>
            <w:r>
              <w:rPr>
                <w:lang w:val="de-DE"/>
              </w:rPr>
              <w:fldChar w:fldCharType="begin"/>
            </w:r>
            <w:r w:rsidRPr="00C56BE5">
              <w:rPr>
                <w:lang w:val="de-DE"/>
              </w:rPr>
              <w:instrText xml:space="preserve"> XE "</w:instrText>
            </w:r>
            <w:r w:rsidRPr="0077551B">
              <w:rPr>
                <w:lang w:val="de-DE"/>
              </w:rPr>
              <w:instrText>Feststellungstag für den Auktionsendpreis</w:instrText>
            </w:r>
            <w:r w:rsidRPr="00C56BE5">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FB2A98" w:rsidP="009967D5">
            <w:pPr>
              <w:pStyle w:val="CSBody8pt"/>
              <w:rPr>
                <w:lang w:val="de-DE"/>
              </w:rPr>
            </w:pPr>
            <w:r w:rsidRPr="00FB2A98">
              <w:rPr>
                <w:lang w:val="de-DE"/>
              </w:rPr>
              <w:t>hat die diesem Begriff in Unterabschnitt C.4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B2A98" w:rsidP="009967D5">
            <w:pPr>
              <w:pStyle w:val="CSBody8pt"/>
            </w:pPr>
            <w:r w:rsidRPr="00FB2A98">
              <w:t>Auction Redemption Amount</w:t>
            </w:r>
            <w:r>
              <w:fldChar w:fldCharType="begin"/>
            </w:r>
            <w:r>
              <w:instrText xml:space="preserve"> XE "</w:instrText>
            </w:r>
            <w:r w:rsidRPr="00934E0F">
              <w:instrText>Auction Redemption Amount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FB2A98" w:rsidP="009967D5">
            <w:pPr>
              <w:pStyle w:val="CSBody8pt"/>
            </w:pPr>
            <w:r w:rsidRPr="00FB2A98">
              <w:t>has the meaning assigned to such term in subsection C.4 of Section 1.1.</w:t>
            </w:r>
          </w:p>
        </w:tc>
        <w:tc>
          <w:tcPr>
            <w:tcW w:w="1618" w:type="dxa"/>
            <w:gridSpan w:val="2"/>
            <w:tcBorders>
              <w:top w:val="nil"/>
              <w:bottom w:val="nil"/>
              <w:right w:val="nil"/>
            </w:tcBorders>
            <w:shd w:val="clear" w:color="auto" w:fill="auto"/>
          </w:tcPr>
          <w:p w:rsidR="0017135D" w:rsidRPr="00FB2A98" w:rsidP="008A6718">
            <w:pPr>
              <w:pStyle w:val="CSBody8pt"/>
            </w:pPr>
            <w:r w:rsidRPr="00FB2A98">
              <w:t>Auktionsrückzahlungsbetrag</w:t>
            </w:r>
            <w:r>
              <w:fldChar w:fldCharType="begin"/>
            </w:r>
            <w:r>
              <w:instrText xml:space="preserve"> XE "</w:instrText>
            </w:r>
            <w:r w:rsidRPr="006F1B10">
              <w:instrText>Auktionsrückzahlungsbetrag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79217E" w:rsidP="009967D5">
            <w:pPr>
              <w:pStyle w:val="CSBody8pt"/>
              <w:rPr>
                <w:lang w:val="de-DE"/>
              </w:rPr>
            </w:pPr>
            <w:r w:rsidRPr="00FB2A98">
              <w:rPr>
                <w:lang w:val="de-DE"/>
              </w:rPr>
              <w:t>hat die diesem Begriff in Unterabschnitt C.4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6B68" w:rsidP="009967D5">
            <w:pPr>
              <w:pStyle w:val="CSBody8pt"/>
            </w:pPr>
            <w:r w:rsidRPr="00166B68">
              <w:t>Auction Redemption Date</w:t>
            </w:r>
            <w:r>
              <w:fldChar w:fldCharType="begin"/>
            </w:r>
            <w:r>
              <w:instrText xml:space="preserve"> XE "</w:instrText>
            </w:r>
            <w:r w:rsidRPr="002C0A2A">
              <w:instrText>Auction Redemption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6B68" w:rsidP="009967D5">
            <w:pPr>
              <w:pStyle w:val="CSBody8pt"/>
            </w:pPr>
            <w:r w:rsidRPr="00166B68">
              <w:t>has the meaning assigned to such term in subsection C.4 of Section 1.1.</w:t>
            </w:r>
          </w:p>
        </w:tc>
        <w:tc>
          <w:tcPr>
            <w:tcW w:w="1618" w:type="dxa"/>
            <w:gridSpan w:val="2"/>
            <w:tcBorders>
              <w:top w:val="nil"/>
              <w:bottom w:val="nil"/>
              <w:right w:val="nil"/>
            </w:tcBorders>
            <w:shd w:val="clear" w:color="auto" w:fill="auto"/>
          </w:tcPr>
          <w:p w:rsidR="0017135D" w:rsidRPr="00166B68" w:rsidP="009967D5">
            <w:pPr>
              <w:pStyle w:val="CSBody8pt"/>
            </w:pPr>
            <w:r w:rsidRPr="00166B68">
              <w:t>Auktions-Rückzahlungstag</w:t>
            </w:r>
            <w:r>
              <w:fldChar w:fldCharType="begin"/>
            </w:r>
            <w:r>
              <w:instrText xml:space="preserve"> XE "</w:instrText>
            </w:r>
            <w:r w:rsidRPr="00F75C4D">
              <w:instrText>Auktions-Rückzahlungstag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166B68" w:rsidP="009967D5">
            <w:pPr>
              <w:pStyle w:val="CSBody8pt"/>
              <w:rPr>
                <w:lang w:val="de-DE"/>
              </w:rPr>
            </w:pPr>
            <w:r w:rsidRPr="00166B68">
              <w:rPr>
                <w:lang w:val="de-DE"/>
              </w:rPr>
              <w:t>hat die diesem Begriff in Unterabschnitt C.4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6B68" w:rsidP="009967D5">
            <w:pPr>
              <w:pStyle w:val="CSBody8pt"/>
            </w:pPr>
            <w:r w:rsidRPr="00166B68">
              <w:t>Average Highest</w:t>
            </w:r>
            <w:r>
              <w:fldChar w:fldCharType="begin"/>
            </w:r>
            <w:r>
              <w:instrText xml:space="preserve"> XE "</w:instrText>
            </w:r>
            <w:r w:rsidRPr="00647E5E">
              <w:instrText>Average Highest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6B68" w:rsidP="009967D5">
            <w:pPr>
              <w:pStyle w:val="CSBody8pt"/>
            </w:pPr>
            <w:r w:rsidRPr="00166B68">
              <w:t>the unweighted arithmetic mean of the highest Quotations obtained by the Calculation Agent (or in accordance with clause (b) of the definition of "Quotation") with respect to each Valuation Date.</w:t>
            </w:r>
          </w:p>
        </w:tc>
        <w:tc>
          <w:tcPr>
            <w:tcW w:w="1618" w:type="dxa"/>
            <w:gridSpan w:val="2"/>
            <w:tcBorders>
              <w:top w:val="nil"/>
              <w:bottom w:val="nil"/>
              <w:right w:val="nil"/>
            </w:tcBorders>
            <w:shd w:val="clear" w:color="auto" w:fill="auto"/>
          </w:tcPr>
          <w:p w:rsidR="0017135D" w:rsidRPr="00166B68" w:rsidP="00551B3C">
            <w:pPr>
              <w:pStyle w:val="CSBody8pt"/>
            </w:pPr>
            <w:r w:rsidRPr="00166B68">
              <w:t>Durchschnittlicher Höchstwert</w:t>
            </w:r>
            <w:r>
              <w:fldChar w:fldCharType="begin"/>
            </w:r>
            <w:r>
              <w:instrText xml:space="preserve"> XE "</w:instrText>
            </w:r>
            <w:r w:rsidRPr="00377401">
              <w:instrText>Durchschnittlicher Höchstwert</w:instrText>
            </w:r>
            <w:r>
              <w:instrText xml:space="preserve">" </w:instrText>
            </w:r>
            <w:r>
              <w:fldChar w:fldCharType="end"/>
            </w:r>
          </w:p>
        </w:tc>
        <w:tc>
          <w:tcPr>
            <w:tcW w:w="3318" w:type="dxa"/>
            <w:tcBorders>
              <w:top w:val="nil"/>
              <w:left w:val="nil"/>
              <w:bottom w:val="nil"/>
              <w:right w:val="nil"/>
            </w:tcBorders>
            <w:shd w:val="clear" w:color="auto" w:fill="auto"/>
          </w:tcPr>
          <w:p w:rsidR="0017135D" w:rsidRPr="00166B68" w:rsidP="009967D5">
            <w:pPr>
              <w:pStyle w:val="CSBody8pt"/>
              <w:rPr>
                <w:lang w:val="de-DE"/>
              </w:rPr>
            </w:pPr>
            <w:r w:rsidRPr="00166B68">
              <w:rPr>
                <w:lang w:val="de-DE"/>
              </w:rPr>
              <w:t>das ungewichtete arithmetische Mittel der höchsten von der Berechnungsstelle (oder gemäss den Bestimmungen von Absatz (b) der Definition  "Quotierung") in Bezug auf jeden Bewertungstag eingeholten Quotierungen.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6B68" w:rsidP="009967D5">
            <w:pPr>
              <w:pStyle w:val="CSBody8pt"/>
            </w:pPr>
            <w:r w:rsidRPr="00166B68">
              <w:t>Average Market</w:t>
            </w:r>
            <w:r>
              <w:fldChar w:fldCharType="begin"/>
            </w:r>
            <w:r>
              <w:instrText xml:space="preserve"> XE "</w:instrText>
            </w:r>
            <w:r w:rsidRPr="0084258A">
              <w:instrText>Average Market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6B68" w:rsidP="009967D5">
            <w:pPr>
              <w:pStyle w:val="CSBody8pt"/>
            </w:pPr>
            <w:r w:rsidRPr="00166B68">
              <w:t>the unweighted arithmetic mean of the Market Values determined by the Calculation Agent with respect to each Valuation Date.</w:t>
            </w:r>
          </w:p>
        </w:tc>
        <w:tc>
          <w:tcPr>
            <w:tcW w:w="1618" w:type="dxa"/>
            <w:gridSpan w:val="2"/>
            <w:tcBorders>
              <w:top w:val="nil"/>
              <w:bottom w:val="nil"/>
              <w:right w:val="nil"/>
            </w:tcBorders>
            <w:shd w:val="clear" w:color="auto" w:fill="auto"/>
          </w:tcPr>
          <w:p w:rsidR="0017135D" w:rsidRPr="00166B68" w:rsidP="00551B3C">
            <w:pPr>
              <w:pStyle w:val="CSBody8pt"/>
            </w:pPr>
            <w:r w:rsidRPr="00166B68">
              <w:t>Durchschnittlicher Marktwert</w:t>
            </w:r>
            <w:r>
              <w:fldChar w:fldCharType="begin"/>
            </w:r>
            <w:r>
              <w:instrText xml:space="preserve"> XE "</w:instrText>
            </w:r>
            <w:r w:rsidRPr="00352836">
              <w:instrText>Durchschnittlicher Marktwert</w:instrText>
            </w:r>
            <w:r>
              <w:instrText xml:space="preserve">" </w:instrText>
            </w:r>
            <w:r>
              <w:fldChar w:fldCharType="end"/>
            </w:r>
          </w:p>
        </w:tc>
        <w:tc>
          <w:tcPr>
            <w:tcW w:w="3318" w:type="dxa"/>
            <w:tcBorders>
              <w:top w:val="nil"/>
              <w:left w:val="nil"/>
              <w:bottom w:val="nil"/>
              <w:right w:val="nil"/>
            </w:tcBorders>
            <w:shd w:val="clear" w:color="auto" w:fill="auto"/>
          </w:tcPr>
          <w:p w:rsidR="0017135D" w:rsidRPr="0079217E" w:rsidP="009967D5">
            <w:pPr>
              <w:pStyle w:val="CSBody8pt"/>
              <w:rPr>
                <w:lang w:val="de-DE"/>
              </w:rPr>
            </w:pPr>
            <w:r w:rsidRPr="00166B68">
              <w:rPr>
                <w:lang w:val="de-DE"/>
              </w:rPr>
              <w:t>das ungewichtete arithmetische Mittel der von der Berechnungsstelle in Bezug auf jeden Bewertungstag ermittelten Marktwerte.</w:t>
            </w:r>
          </w:p>
        </w:tc>
      </w:tr>
      <w:tr w:rsidTr="004C1EBA">
        <w:tblPrEx>
          <w:tblW w:w="4999" w:type="pct"/>
          <w:tblLayout w:type="fixed"/>
          <w:tblCellMar>
            <w:left w:w="115" w:type="dxa"/>
            <w:right w:w="115" w:type="dxa"/>
          </w:tblCellMar>
          <w:tblLook w:val="04A0"/>
        </w:tblPrEx>
        <w:trPr>
          <w:trHeight w:val="1636"/>
        </w:trPr>
        <w:tc>
          <w:tcPr>
            <w:tcW w:w="1616" w:type="dxa"/>
            <w:gridSpan w:val="3"/>
            <w:tcBorders>
              <w:top w:val="nil"/>
              <w:left w:val="nil"/>
              <w:right w:val="nil"/>
            </w:tcBorders>
            <w:shd w:val="clear" w:color="auto" w:fill="auto"/>
          </w:tcPr>
          <w:p w:rsidR="0017135D" w:rsidRPr="007E231A" w:rsidP="009967D5">
            <w:pPr>
              <w:pStyle w:val="CSBody8ptbolditalics"/>
            </w:pPr>
            <w:r w:rsidRPr="00792D61">
              <w:t>[</w:t>
            </w:r>
            <w:r w:rsidRPr="007E231A">
              <w:t xml:space="preserve">if Bankruptcy is a Credit Event, insert: </w:t>
            </w:r>
          </w:p>
          <w:p w:rsidR="0017135D" w:rsidRPr="007E231A" w:rsidP="009967D5">
            <w:pPr>
              <w:pStyle w:val="CSBody8pt"/>
            </w:pPr>
            <w:r w:rsidRPr="00166B68">
              <w:t>Bankruptcy</w:t>
            </w:r>
            <w:r>
              <w:fldChar w:fldCharType="begin"/>
            </w:r>
            <w:r>
              <w:instrText xml:space="preserve"> XE "</w:instrText>
            </w:r>
            <w:r w:rsidRPr="00E864D9">
              <w:instrText>Bankruptcy</w:instrText>
            </w:r>
            <w:r>
              <w:instrText xml:space="preserve">" \f "EN" </w:instrText>
            </w:r>
            <w:r>
              <w:fldChar w:fldCharType="end"/>
            </w:r>
          </w:p>
        </w:tc>
        <w:tc>
          <w:tcPr>
            <w:tcW w:w="3315" w:type="dxa"/>
            <w:gridSpan w:val="2"/>
            <w:tcBorders>
              <w:top w:val="nil"/>
              <w:left w:val="nil"/>
            </w:tcBorders>
            <w:shd w:val="clear" w:color="auto" w:fill="auto"/>
          </w:tcPr>
          <w:p w:rsidR="0017135D" w:rsidRPr="0079217E" w:rsidP="009967D5">
            <w:pPr>
              <w:pStyle w:val="CSBody8pt"/>
            </w:pPr>
            <w:r w:rsidRPr="0079217E">
              <w:t>has the meaning assigned to such term in subsection C.5 of Section 1.1.</w:t>
            </w:r>
            <w:r w:rsidRPr="00792D61">
              <w:rPr>
                <w:b/>
              </w:rPr>
              <w:t>]</w:t>
            </w:r>
          </w:p>
        </w:tc>
        <w:tc>
          <w:tcPr>
            <w:tcW w:w="1618" w:type="dxa"/>
            <w:gridSpan w:val="2"/>
            <w:tcBorders>
              <w:top w:val="nil"/>
              <w:right w:val="nil"/>
            </w:tcBorders>
            <w:shd w:val="clear" w:color="auto" w:fill="auto"/>
          </w:tcPr>
          <w:p w:rsidR="0017135D" w:rsidRPr="0079217E" w:rsidP="008A6718">
            <w:pPr>
              <w:pStyle w:val="CSBody8ptbolditalics"/>
              <w:rPr>
                <w:lang w:val="de-DE"/>
              </w:rPr>
            </w:pPr>
            <w:r w:rsidRPr="00792D61">
              <w:rPr>
                <w:lang w:val="de-DE"/>
              </w:rPr>
              <w:t>[</w:t>
            </w:r>
            <w:r w:rsidRPr="0079217E">
              <w:rPr>
                <w:lang w:val="de-DE"/>
              </w:rPr>
              <w:t xml:space="preserve">falls Insolvenz ein Kreditereignis ist, einfügen: </w:t>
            </w:r>
          </w:p>
          <w:p w:rsidR="0017135D" w:rsidRPr="0079217E" w:rsidP="009967D5">
            <w:pPr>
              <w:pStyle w:val="CSBody8pt"/>
              <w:rPr>
                <w:lang w:val="de-DE"/>
              </w:rPr>
            </w:pPr>
            <w:r w:rsidRPr="00166B68">
              <w:t>Insolvenz</w:t>
            </w:r>
            <w:r>
              <w:fldChar w:fldCharType="begin"/>
            </w:r>
            <w:r>
              <w:instrText xml:space="preserve"> XE "</w:instrText>
            </w:r>
            <w:r w:rsidRPr="00B32FE2">
              <w:instrText>Insolvenz</w:instrText>
            </w:r>
            <w:r>
              <w:instrText xml:space="preserve">" </w:instrText>
            </w:r>
            <w:r>
              <w:fldChar w:fldCharType="end"/>
            </w:r>
          </w:p>
        </w:tc>
        <w:tc>
          <w:tcPr>
            <w:tcW w:w="3318" w:type="dxa"/>
            <w:tcBorders>
              <w:top w:val="nil"/>
              <w:left w:val="nil"/>
              <w:right w:val="nil"/>
            </w:tcBorders>
            <w:shd w:val="clear" w:color="auto" w:fill="auto"/>
          </w:tcPr>
          <w:p w:rsidR="0017135D" w:rsidRPr="0079217E" w:rsidP="009967D5">
            <w:pPr>
              <w:pStyle w:val="CSBody8pt"/>
              <w:rPr>
                <w:bCs/>
                <w:lang w:val="de-DE"/>
              </w:rPr>
            </w:pPr>
            <w:r w:rsidRPr="0079217E">
              <w:rPr>
                <w:bCs/>
                <w:lang w:val="de-DE"/>
              </w:rPr>
              <w:t>hat die diesem Begriff in Unterabschnitt C.5 von Ziffer 1.1. zugewiesene Bedeutung.</w:t>
            </w:r>
            <w:r w:rsidRPr="00792D61">
              <w:rPr>
                <w:b/>
                <w:bCs/>
                <w:lang w:val="de-DE"/>
              </w:rPr>
              <w:t>]</w:t>
            </w:r>
          </w:p>
        </w:tc>
      </w:tr>
      <w:tr w:rsidTr="004C1EBA">
        <w:tblPrEx>
          <w:tblW w:w="4999" w:type="pct"/>
          <w:tblLayout w:type="fixed"/>
          <w:tblCellMar>
            <w:left w:w="115" w:type="dxa"/>
            <w:right w:w="115" w:type="dxa"/>
          </w:tblCellMar>
          <w:tblLook w:val="04A0"/>
        </w:tblPrEx>
        <w:trPr>
          <w:trHeight w:val="1443"/>
        </w:trPr>
        <w:tc>
          <w:tcPr>
            <w:tcW w:w="1616" w:type="dxa"/>
            <w:gridSpan w:val="3"/>
            <w:tcBorders>
              <w:top w:val="nil"/>
              <w:left w:val="nil"/>
              <w:right w:val="nil"/>
            </w:tcBorders>
            <w:shd w:val="clear" w:color="auto" w:fill="auto"/>
          </w:tcPr>
          <w:p w:rsidR="0017135D" w:rsidRPr="00166B68" w:rsidP="009967D5">
            <w:pPr>
              <w:pStyle w:val="CSBody8ptbolditalics"/>
            </w:pPr>
            <w:r w:rsidRPr="00792D61">
              <w:t>[</w:t>
            </w:r>
            <w:r w:rsidRPr="00166B68">
              <w:t xml:space="preserve">if Quotation Method is "Bid", insert: </w:t>
            </w:r>
          </w:p>
          <w:p w:rsidR="0017135D" w:rsidRPr="00166B68" w:rsidP="009967D5">
            <w:pPr>
              <w:pStyle w:val="CSBody8pt"/>
            </w:pPr>
            <w:r w:rsidRPr="00166B68">
              <w:t>Bid</w:t>
            </w:r>
            <w:r>
              <w:fldChar w:fldCharType="begin"/>
            </w:r>
            <w:r>
              <w:instrText xml:space="preserve"> XE "</w:instrText>
            </w:r>
            <w:r w:rsidRPr="00CB0A7C">
              <w:instrText>Bid</w:instrText>
            </w:r>
            <w:r>
              <w:instrText xml:space="preserve">" \f "EN" </w:instrText>
            </w:r>
            <w:r>
              <w:fldChar w:fldCharType="end"/>
            </w:r>
          </w:p>
        </w:tc>
        <w:tc>
          <w:tcPr>
            <w:tcW w:w="3315" w:type="dxa"/>
            <w:gridSpan w:val="2"/>
            <w:tcBorders>
              <w:top w:val="nil"/>
              <w:left w:val="nil"/>
            </w:tcBorders>
            <w:shd w:val="clear" w:color="auto" w:fill="auto"/>
          </w:tcPr>
          <w:p w:rsidR="0017135D" w:rsidRPr="00166B68" w:rsidP="009967D5">
            <w:pPr>
              <w:pStyle w:val="CSBody8pt"/>
            </w:pPr>
            <w:r w:rsidRPr="00166B68">
              <w:t>"Bid" means that only bid quotations shall be requested from Dealers.</w:t>
            </w:r>
            <w:r w:rsidRPr="00792D61">
              <w:rPr>
                <w:b/>
              </w:rPr>
              <w:t>]</w:t>
            </w:r>
          </w:p>
        </w:tc>
        <w:tc>
          <w:tcPr>
            <w:tcW w:w="1618" w:type="dxa"/>
            <w:gridSpan w:val="2"/>
            <w:tcBorders>
              <w:top w:val="nil"/>
              <w:right w:val="nil"/>
            </w:tcBorders>
            <w:shd w:val="clear" w:color="auto" w:fill="auto"/>
          </w:tcPr>
          <w:p w:rsidR="0017135D" w:rsidRPr="00166B68" w:rsidP="008A6718">
            <w:pPr>
              <w:pStyle w:val="CSBody8ptbolditalics"/>
              <w:rPr>
                <w:lang w:val="de-DE"/>
              </w:rPr>
            </w:pPr>
            <w:r w:rsidRPr="00792D61">
              <w:rPr>
                <w:lang w:val="de-DE"/>
              </w:rPr>
              <w:t>[</w:t>
            </w:r>
            <w:r w:rsidRPr="00166B68">
              <w:rPr>
                <w:lang w:val="de-DE"/>
              </w:rPr>
              <w:t xml:space="preserve">falls die Quotierungsmethode "Geld" ist, einfügen: </w:t>
            </w:r>
          </w:p>
          <w:p w:rsidR="0017135D" w:rsidRPr="00166B68" w:rsidP="009967D5">
            <w:pPr>
              <w:pStyle w:val="CSBody8pt"/>
              <w:rPr>
                <w:lang w:val="de-DE"/>
              </w:rPr>
            </w:pPr>
            <w:r w:rsidRPr="00166B68">
              <w:t>Geld</w:t>
            </w:r>
            <w:r>
              <w:fldChar w:fldCharType="begin"/>
            </w:r>
            <w:r>
              <w:instrText xml:space="preserve"> XE "</w:instrText>
            </w:r>
            <w:r w:rsidRPr="000F63B4">
              <w:instrText>Geld</w:instrText>
            </w:r>
            <w:r>
              <w:instrText xml:space="preserve">" </w:instrText>
            </w:r>
            <w:r>
              <w:fldChar w:fldCharType="end"/>
            </w:r>
          </w:p>
        </w:tc>
        <w:tc>
          <w:tcPr>
            <w:tcW w:w="3318" w:type="dxa"/>
            <w:tcBorders>
              <w:top w:val="nil"/>
              <w:left w:val="nil"/>
              <w:right w:val="nil"/>
            </w:tcBorders>
            <w:shd w:val="clear" w:color="auto" w:fill="auto"/>
          </w:tcPr>
          <w:p w:rsidR="0017135D" w:rsidRPr="00166B68" w:rsidP="008A6718">
            <w:pPr>
              <w:pStyle w:val="CSBody8pt"/>
              <w:rPr>
                <w:bCs/>
                <w:lang w:val="de-DE"/>
              </w:rPr>
            </w:pPr>
            <w:r w:rsidRPr="00166B68">
              <w:rPr>
                <w:bCs/>
                <w:lang w:val="de-DE"/>
              </w:rPr>
              <w:t>"Geld" bedeutet, dass nur Geldkursquotierungen von Händlern eingeholt werden.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6B68" w:rsidP="009967D5">
            <w:pPr>
              <w:pStyle w:val="CSBody8pt"/>
            </w:pPr>
            <w:r w:rsidRPr="00166B68">
              <w:t>Bond</w:t>
            </w:r>
            <w:r>
              <w:fldChar w:fldCharType="begin"/>
            </w:r>
            <w:r>
              <w:instrText xml:space="preserve"> XE "</w:instrText>
            </w:r>
            <w:r w:rsidRPr="008D7BDB">
              <w:instrText>Bond</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6B68" w:rsidP="009967D5">
            <w:pPr>
              <w:pStyle w:val="CSBody8pt"/>
            </w:pPr>
            <w:r w:rsidRPr="00166B68">
              <w:t>any obligation of a type included in the "Borrowed Money" Obligation Category that is in the form of, or represented by, a bond, note (other than notes delivered pursuant to Loans), certificated debt security or other debt security and shall not include any other type of Borrowed Money.</w:t>
            </w:r>
          </w:p>
        </w:tc>
        <w:tc>
          <w:tcPr>
            <w:tcW w:w="1618" w:type="dxa"/>
            <w:gridSpan w:val="2"/>
            <w:tcBorders>
              <w:top w:val="nil"/>
              <w:bottom w:val="nil"/>
              <w:right w:val="nil"/>
            </w:tcBorders>
            <w:shd w:val="clear" w:color="auto" w:fill="auto"/>
          </w:tcPr>
          <w:p w:rsidR="0017135D" w:rsidRPr="00166B68" w:rsidP="009967D5">
            <w:pPr>
              <w:pStyle w:val="CSBody8pt"/>
            </w:pPr>
            <w:r>
              <w:t>Anleihe</w:t>
            </w:r>
            <w:r>
              <w:fldChar w:fldCharType="begin"/>
            </w:r>
            <w:r>
              <w:instrText xml:space="preserve"> XE "</w:instrText>
            </w:r>
            <w:r w:rsidRPr="00A5751C">
              <w:instrText>Anleihe</w:instrText>
            </w:r>
            <w:r>
              <w:instrText xml:space="preserve">" </w:instrText>
            </w:r>
            <w:r>
              <w:fldChar w:fldCharType="end"/>
            </w:r>
          </w:p>
        </w:tc>
        <w:tc>
          <w:tcPr>
            <w:tcW w:w="3318" w:type="dxa"/>
            <w:tcBorders>
              <w:top w:val="nil"/>
              <w:left w:val="nil"/>
              <w:bottom w:val="nil"/>
              <w:right w:val="nil"/>
            </w:tcBorders>
            <w:shd w:val="clear" w:color="auto" w:fill="auto"/>
          </w:tcPr>
          <w:p w:rsidR="0017135D" w:rsidRPr="00166B68" w:rsidP="009967D5">
            <w:pPr>
              <w:pStyle w:val="CSBody8pt"/>
              <w:rPr>
                <w:lang w:val="de-DE"/>
              </w:rPr>
            </w:pPr>
            <w:r w:rsidRPr="008A174E">
              <w:rPr>
                <w:lang w:val="de-DE"/>
              </w:rPr>
              <w:t>jede Verbindlichkeit einer in die Verbindlichkeitenkategorie "Aufgenommene Gelder" fallenden Art, die in Form einer Anleihe, einer Schuldverschreibung (mit Ausnahme von im Zusammenhang mit Darlehen ausgegebenen Schuldverschreibungen) oder eines verbrieften oder sonstigen Schuldtitels besteht oder dadurch verbrieft ist, und  keine anderen Arten von Aufgenommenen Geldern umfasst.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6B68" w:rsidP="009967D5">
            <w:pPr>
              <w:pStyle w:val="CSBody8pt"/>
            </w:pPr>
            <w:r w:rsidRPr="00166B68">
              <w:t>Bond or Loan</w:t>
            </w:r>
            <w:r>
              <w:fldChar w:fldCharType="begin"/>
            </w:r>
            <w:r>
              <w:instrText xml:space="preserve"> XE "</w:instrText>
            </w:r>
            <w:r w:rsidRPr="00535557">
              <w:instrText>Bond or Loan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6B68" w:rsidP="009967D5">
            <w:pPr>
              <w:pStyle w:val="CSBody8pt"/>
            </w:pPr>
            <w:r w:rsidRPr="00166B68">
              <w:t>any obligation that is either a Bond or a Loan.</w:t>
            </w:r>
          </w:p>
        </w:tc>
        <w:tc>
          <w:tcPr>
            <w:tcW w:w="1618" w:type="dxa"/>
            <w:gridSpan w:val="2"/>
            <w:tcBorders>
              <w:top w:val="nil"/>
              <w:bottom w:val="nil"/>
              <w:right w:val="nil"/>
            </w:tcBorders>
            <w:shd w:val="clear" w:color="auto" w:fill="auto"/>
          </w:tcPr>
          <w:p w:rsidR="0017135D" w:rsidRPr="00166B68" w:rsidP="009967D5">
            <w:pPr>
              <w:pStyle w:val="CSBody8pt"/>
            </w:pPr>
            <w:r w:rsidRPr="008A174E">
              <w:t>Anleihe oder Darlehen</w:t>
            </w:r>
            <w:r>
              <w:fldChar w:fldCharType="begin"/>
            </w:r>
            <w:r>
              <w:instrText xml:space="preserve"> XE "</w:instrText>
            </w:r>
            <w:r w:rsidRPr="00950E6D">
              <w:instrText>Anleihe oder Darlehen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166B68" w:rsidP="009967D5">
            <w:pPr>
              <w:pStyle w:val="CSBody8pt"/>
              <w:rPr>
                <w:lang w:val="de-DE"/>
              </w:rPr>
            </w:pPr>
            <w:r w:rsidRPr="008A174E">
              <w:rPr>
                <w:lang w:val="de-DE"/>
              </w:rPr>
              <w:t>jede Verbindlichkeit, die entweder eine Anleihe oder ein Darlehen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1217" w:rsidP="008A174E">
            <w:pPr>
              <w:pStyle w:val="CSBody8pt"/>
            </w:pPr>
            <w:r w:rsidRPr="00161217">
              <w:t>Borrowed Money</w:t>
            </w:r>
            <w:r>
              <w:fldChar w:fldCharType="begin"/>
            </w:r>
            <w:r>
              <w:instrText xml:space="preserve"> XE "</w:instrText>
            </w:r>
            <w:r w:rsidRPr="00E72D61">
              <w:instrText>Borrowed Money</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1217" w:rsidP="008A174E">
            <w:pPr>
              <w:pStyle w:val="CSBody8pt"/>
            </w:pPr>
            <w:r w:rsidRPr="008A174E">
              <w:t>any obligation (excluding an obligation under a revolving credit arrangement for which there are no outstanding, unpaid drawings with respect to principal) for the payment or repayment of borrowed money (which term shall include, without limitation, deposits and reimbursement obligations arising from drawings pursuant to letters of credit).</w:t>
            </w:r>
          </w:p>
        </w:tc>
        <w:tc>
          <w:tcPr>
            <w:tcW w:w="1618" w:type="dxa"/>
            <w:gridSpan w:val="2"/>
            <w:tcBorders>
              <w:top w:val="nil"/>
              <w:bottom w:val="nil"/>
              <w:right w:val="nil"/>
            </w:tcBorders>
            <w:shd w:val="clear" w:color="auto" w:fill="auto"/>
          </w:tcPr>
          <w:p w:rsidR="0017135D" w:rsidRPr="007667FB" w:rsidP="008A174E">
            <w:pPr>
              <w:pStyle w:val="CSBody8pt"/>
            </w:pPr>
            <w:r w:rsidRPr="007667FB">
              <w:t>Aufgenommene Gelder</w:t>
            </w:r>
            <w:r>
              <w:fldChar w:fldCharType="begin"/>
            </w:r>
            <w:r>
              <w:instrText xml:space="preserve"> XE "</w:instrText>
            </w:r>
            <w:r w:rsidRPr="00403F0F">
              <w:instrText>Aufgenommene Gelder</w:instrText>
            </w:r>
            <w:r>
              <w:instrText xml:space="preserve">" </w:instrText>
            </w:r>
            <w:r>
              <w:fldChar w:fldCharType="end"/>
            </w:r>
          </w:p>
        </w:tc>
        <w:tc>
          <w:tcPr>
            <w:tcW w:w="3318" w:type="dxa"/>
            <w:tcBorders>
              <w:top w:val="nil"/>
              <w:left w:val="nil"/>
              <w:bottom w:val="nil"/>
              <w:right w:val="nil"/>
            </w:tcBorders>
            <w:shd w:val="clear" w:color="auto" w:fill="auto"/>
          </w:tcPr>
          <w:p w:rsidR="0017135D" w:rsidRPr="008A174E" w:rsidP="008A6718">
            <w:pPr>
              <w:pStyle w:val="CSBody8pt"/>
              <w:rPr>
                <w:lang w:val="de-DE"/>
              </w:rPr>
            </w:pPr>
            <w:r w:rsidRPr="008A174E">
              <w:rPr>
                <w:lang w:val="de-DE"/>
              </w:rPr>
              <w:t>jede Verpflichtung (mit Ausnahme von Verpflichtungen aus revolvierenden Kreditvereinbarungen, in Bezug auf die keine ungezahlten Inanspruchnahmen von Kapital ausstehen) zur Zahlung oder Rückzahlung von aufgenommenen Geldern (wobei dieser Begriff, ohne hierauf beschränkt zu sein, Einlagen und Erstattungsverpflichtungen aus der Inanspruchnahme von Akkreditiven (</w:t>
            </w:r>
            <w:r w:rsidRPr="00BD6E0D">
              <w:rPr>
                <w:i/>
                <w:lang w:val="de-DE"/>
              </w:rPr>
              <w:t>letters of credit</w:t>
            </w:r>
            <w:r w:rsidRPr="008A174E">
              <w:rPr>
                <w:lang w:val="de-DE"/>
              </w:rPr>
              <w:t>) einschliesst).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6B68" w:rsidP="009967D5">
            <w:pPr>
              <w:pStyle w:val="CSBody8pt"/>
            </w:pPr>
            <w:r w:rsidRPr="008A174E">
              <w:t>Business Day Convention</w:t>
            </w:r>
            <w:r>
              <w:fldChar w:fldCharType="begin"/>
            </w:r>
            <w:r>
              <w:instrText xml:space="preserve"> XE "</w:instrText>
            </w:r>
            <w:r w:rsidRPr="00A22D40">
              <w:instrText>Business Day Convention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6B68" w:rsidP="00166B68">
            <w:pPr>
              <w:pStyle w:val="CSManNum8pt"/>
            </w:pPr>
            <w:r>
              <w:t>(a)</w:t>
            </w:r>
            <w:r>
              <w:tab/>
            </w:r>
            <w:r w:rsidRPr="00166B68">
              <w:t xml:space="preserve">the convention for adjusting any relevant date </w:t>
            </w:r>
            <w:r w:rsidRPr="00792D61">
              <w:rPr>
                <w:b/>
              </w:rPr>
              <w:t>[</w:t>
            </w:r>
            <w:r w:rsidRPr="00166B68">
              <w:t>(except an Interest Payment Date)</w:t>
            </w:r>
            <w:r w:rsidRPr="00792D61">
              <w:rPr>
                <w:b/>
              </w:rPr>
              <w:t>]</w:t>
            </w:r>
            <w:r w:rsidRPr="00166B68">
              <w:t xml:space="preserve"> if it would otherwise fall on a day that is not a Business Day. The following terms, when used in conjunction with the term "Business Day Convention" and a date, shall mean that an adjustment will be made if that date would otherwise fall on a day that is not a Business Day so that:</w:t>
            </w:r>
          </w:p>
        </w:tc>
        <w:tc>
          <w:tcPr>
            <w:tcW w:w="1618" w:type="dxa"/>
            <w:gridSpan w:val="2"/>
            <w:tcBorders>
              <w:top w:val="nil"/>
              <w:bottom w:val="nil"/>
              <w:right w:val="nil"/>
            </w:tcBorders>
            <w:shd w:val="clear" w:color="auto" w:fill="auto"/>
          </w:tcPr>
          <w:p w:rsidR="0017135D" w:rsidRPr="00166B68" w:rsidP="009967D5">
            <w:pPr>
              <w:pStyle w:val="CSBody8pt"/>
            </w:pPr>
            <w:r w:rsidRPr="00166B68">
              <w:t>Geschäftstag-Konvention</w:t>
            </w:r>
            <w:r>
              <w:fldChar w:fldCharType="begin"/>
            </w:r>
            <w:r>
              <w:instrText xml:space="preserve"> XE "</w:instrText>
            </w:r>
            <w:r w:rsidRPr="00821F4E">
              <w:instrText>Geschäftstag-Konvention</w:instrText>
            </w:r>
            <w:r>
              <w:instrText xml:space="preserve">" </w:instrText>
            </w:r>
            <w:r>
              <w:fldChar w:fldCharType="end"/>
            </w:r>
          </w:p>
        </w:tc>
        <w:tc>
          <w:tcPr>
            <w:tcW w:w="3318" w:type="dxa"/>
            <w:tcBorders>
              <w:top w:val="nil"/>
              <w:left w:val="nil"/>
              <w:bottom w:val="nil"/>
              <w:right w:val="nil"/>
            </w:tcBorders>
            <w:shd w:val="clear" w:color="auto" w:fill="auto"/>
          </w:tcPr>
          <w:p w:rsidR="0017135D" w:rsidRPr="00AF2E62" w:rsidP="00166B68">
            <w:pPr>
              <w:pStyle w:val="CSManNum8pt"/>
            </w:pPr>
            <w:r>
              <w:rPr>
                <w:lang w:val="de-DE"/>
              </w:rPr>
              <w:t>(a)</w:t>
            </w:r>
            <w:r>
              <w:rPr>
                <w:lang w:val="de-DE"/>
              </w:rPr>
              <w:tab/>
            </w:r>
            <w:r w:rsidRPr="00166B68">
              <w:rPr>
                <w:lang w:val="de-DE"/>
              </w:rPr>
              <w:t xml:space="preserve">die Konvention für die Anpassung eines massgeblichen Termins </w:t>
            </w:r>
            <w:r w:rsidRPr="00792D61">
              <w:rPr>
                <w:b/>
                <w:lang w:val="de-DE"/>
              </w:rPr>
              <w:t>[</w:t>
            </w:r>
            <w:r w:rsidRPr="00166B68">
              <w:rPr>
                <w:lang w:val="de-DE"/>
              </w:rPr>
              <w:t>(ausser eines Zinszahlungstags)</w:t>
            </w:r>
            <w:r w:rsidRPr="00792D61">
              <w:rPr>
                <w:b/>
                <w:lang w:val="de-DE"/>
              </w:rPr>
              <w:t>]</w:t>
            </w:r>
            <w:r w:rsidRPr="00166B68">
              <w:rPr>
                <w:lang w:val="de-DE"/>
              </w:rPr>
              <w:t xml:space="preserve">, wenn dieser ansonsten auf einen Tag fallen würde, der kein Geschäftstag ist. Wenn die nachstehenden Begriffe in Verbindung mit dem Begriff "Geschäftstag-Konvention" und einem Termin verwendet werden, so bedeutet dies, dass eine Anpassung vorgenommen werden wird, wenn dieser Termin ansonsten auf einen Tag fallen würde, der kein Geschäftstag ist. </w:t>
            </w:r>
            <w:r w:rsidRPr="00166B68">
              <w:t>Hierbei gilt Folgendes: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F2E62" w:rsidP="009967D5">
            <w:pPr>
              <w:pStyle w:val="CSManNum8pt"/>
            </w:pPr>
          </w:p>
        </w:tc>
        <w:tc>
          <w:tcPr>
            <w:tcW w:w="3315" w:type="dxa"/>
            <w:gridSpan w:val="2"/>
            <w:tcBorders>
              <w:top w:val="nil"/>
              <w:left w:val="nil"/>
              <w:bottom w:val="nil"/>
            </w:tcBorders>
            <w:shd w:val="clear" w:color="auto" w:fill="auto"/>
          </w:tcPr>
          <w:p w:rsidR="0017135D" w:rsidRPr="00AF2E62" w:rsidP="00166B68">
            <w:pPr>
              <w:pStyle w:val="CSManNum8pt"/>
              <w:ind w:left="649" w:hanging="283"/>
            </w:pPr>
            <w:r w:rsidRPr="00AF2E62">
              <w:t>(i)</w:t>
            </w:r>
            <w:r w:rsidRPr="00AF2E62">
              <w:tab/>
              <w:t>if "Following" is specified in Section 1.1, that date will be the first following day that is a Business Day;</w:t>
            </w:r>
          </w:p>
        </w:tc>
        <w:tc>
          <w:tcPr>
            <w:tcW w:w="1618" w:type="dxa"/>
            <w:gridSpan w:val="2"/>
            <w:tcBorders>
              <w:top w:val="nil"/>
              <w:bottom w:val="nil"/>
              <w:right w:val="nil"/>
            </w:tcBorders>
            <w:shd w:val="clear" w:color="auto" w:fill="auto"/>
          </w:tcPr>
          <w:p w:rsidR="0017135D" w:rsidRPr="00AF2E62" w:rsidP="009967D5">
            <w:pPr>
              <w:pStyle w:val="CSManNum8pt"/>
              <w:rPr>
                <w:i/>
              </w:rPr>
            </w:pPr>
          </w:p>
        </w:tc>
        <w:tc>
          <w:tcPr>
            <w:tcW w:w="3318" w:type="dxa"/>
            <w:tcBorders>
              <w:top w:val="nil"/>
              <w:left w:val="nil"/>
              <w:bottom w:val="nil"/>
              <w:right w:val="nil"/>
            </w:tcBorders>
            <w:shd w:val="clear" w:color="auto" w:fill="auto"/>
          </w:tcPr>
          <w:p w:rsidR="0017135D" w:rsidRPr="00AF2E62" w:rsidP="008A6718">
            <w:pPr>
              <w:pStyle w:val="CSManNum8pt"/>
              <w:ind w:left="681" w:hanging="284"/>
              <w:rPr>
                <w:bCs/>
                <w:lang w:val="de-DE"/>
              </w:rPr>
            </w:pPr>
            <w:r w:rsidRPr="00AF2E62">
              <w:rPr>
                <w:bCs/>
                <w:lang w:val="de-DE"/>
              </w:rPr>
              <w:t>(i)</w:t>
            </w:r>
            <w:r w:rsidRPr="00AF2E62">
              <w:rPr>
                <w:bCs/>
                <w:lang w:val="de-DE"/>
              </w:rPr>
              <w:tab/>
              <w:t>ist in Ziffer 1.1 die "Folgender-Geschäftstag-Konvention" angegeben, so wird der betreffende Termin auf den nächstfolgenden Geschäftstag verschoben;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F2E62" w:rsidP="009967D5">
            <w:pPr>
              <w:pStyle w:val="CSManNum8pt"/>
              <w:rPr>
                <w:lang w:val="de-DE"/>
              </w:rPr>
            </w:pPr>
          </w:p>
        </w:tc>
        <w:tc>
          <w:tcPr>
            <w:tcW w:w="3315" w:type="dxa"/>
            <w:gridSpan w:val="2"/>
            <w:tcBorders>
              <w:top w:val="nil"/>
              <w:left w:val="nil"/>
              <w:bottom w:val="nil"/>
            </w:tcBorders>
            <w:shd w:val="clear" w:color="auto" w:fill="auto"/>
          </w:tcPr>
          <w:p w:rsidR="0017135D" w:rsidRPr="00AF2E62" w:rsidP="00166B68">
            <w:pPr>
              <w:pStyle w:val="CSManNum8pt"/>
              <w:ind w:left="649" w:hanging="283"/>
            </w:pPr>
            <w:r w:rsidRPr="00AF2E62">
              <w:t>(ii)</w:t>
            </w:r>
            <w:r w:rsidRPr="00AF2E62">
              <w:tab/>
              <w:t>if "Modified Following" is specified in Section 1.1, that date will be the first following day that is a Business Day unless that day falls in the next calendar month, in which case that date will be the first preceding day that is Business Day; and</w:t>
            </w:r>
          </w:p>
        </w:tc>
        <w:tc>
          <w:tcPr>
            <w:tcW w:w="1618" w:type="dxa"/>
            <w:gridSpan w:val="2"/>
            <w:tcBorders>
              <w:top w:val="nil"/>
              <w:bottom w:val="nil"/>
              <w:right w:val="nil"/>
            </w:tcBorders>
            <w:shd w:val="clear" w:color="auto" w:fill="auto"/>
          </w:tcPr>
          <w:p w:rsidR="0017135D" w:rsidRPr="00AF2E62" w:rsidP="009967D5">
            <w:pPr>
              <w:pStyle w:val="CSManNum8pt"/>
              <w:rPr>
                <w:i/>
              </w:rPr>
            </w:pPr>
          </w:p>
        </w:tc>
        <w:tc>
          <w:tcPr>
            <w:tcW w:w="3318" w:type="dxa"/>
            <w:tcBorders>
              <w:top w:val="nil"/>
              <w:left w:val="nil"/>
              <w:bottom w:val="nil"/>
              <w:right w:val="nil"/>
            </w:tcBorders>
            <w:shd w:val="clear" w:color="auto" w:fill="auto"/>
          </w:tcPr>
          <w:p w:rsidR="0017135D" w:rsidRPr="00AF2E62" w:rsidP="00166B68">
            <w:pPr>
              <w:pStyle w:val="CSManNum8pt"/>
              <w:ind w:left="681" w:hanging="284"/>
              <w:rPr>
                <w:bCs/>
                <w:lang w:val="de-DE"/>
              </w:rPr>
            </w:pPr>
            <w:r w:rsidRPr="00AF2E62">
              <w:rPr>
                <w:bCs/>
                <w:lang w:val="de-DE"/>
              </w:rPr>
              <w:t>(ii)</w:t>
            </w:r>
            <w:r w:rsidRPr="00AF2E62">
              <w:rPr>
                <w:bCs/>
                <w:lang w:val="de-DE"/>
              </w:rPr>
              <w:tab/>
              <w:t>ist in Ziffer 1.1 die "Modifizierte Folgender-Geschäftstag-Konvention" angegeben, so wird der betreffende Termin auf den nächstfolgenden Geschäftstag verschoben, es sei denn, dieser Termin fällt in den nächsten Kalendermonat; in diesem Fall wird der betreffende Termin auf den unmittelbar vorangehenden Geschäftstag vorgezogen;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F2E62" w:rsidP="009967D5">
            <w:pPr>
              <w:pStyle w:val="CSManNum8pt"/>
              <w:rPr>
                <w:lang w:val="de-DE"/>
              </w:rPr>
            </w:pPr>
          </w:p>
        </w:tc>
        <w:tc>
          <w:tcPr>
            <w:tcW w:w="3315" w:type="dxa"/>
            <w:gridSpan w:val="2"/>
            <w:tcBorders>
              <w:top w:val="nil"/>
              <w:left w:val="nil"/>
              <w:bottom w:val="nil"/>
            </w:tcBorders>
            <w:shd w:val="clear" w:color="auto" w:fill="auto"/>
          </w:tcPr>
          <w:p w:rsidR="0017135D" w:rsidRPr="00AF2E62" w:rsidP="008A6718">
            <w:pPr>
              <w:pStyle w:val="CSManNum8pt"/>
              <w:ind w:left="649" w:hanging="283"/>
            </w:pPr>
            <w:r w:rsidRPr="00AF2E62">
              <w:t>(iii)</w:t>
            </w:r>
            <w:r w:rsidRPr="00AF2E62">
              <w:tab/>
              <w:t>if "Preceding" is specified in Section 1.1, that date will be the first preceding day that is a Business Day.</w:t>
            </w:r>
          </w:p>
        </w:tc>
        <w:tc>
          <w:tcPr>
            <w:tcW w:w="1618" w:type="dxa"/>
            <w:gridSpan w:val="2"/>
            <w:tcBorders>
              <w:top w:val="nil"/>
              <w:bottom w:val="nil"/>
              <w:right w:val="nil"/>
            </w:tcBorders>
            <w:shd w:val="clear" w:color="auto" w:fill="auto"/>
          </w:tcPr>
          <w:p w:rsidR="0017135D" w:rsidRPr="00AF2E62" w:rsidP="009967D5">
            <w:pPr>
              <w:pStyle w:val="CSManNum8pt"/>
              <w:rPr>
                <w:i/>
              </w:rPr>
            </w:pPr>
          </w:p>
        </w:tc>
        <w:tc>
          <w:tcPr>
            <w:tcW w:w="3318" w:type="dxa"/>
            <w:tcBorders>
              <w:top w:val="nil"/>
              <w:left w:val="nil"/>
              <w:bottom w:val="nil"/>
              <w:right w:val="nil"/>
            </w:tcBorders>
            <w:shd w:val="clear" w:color="auto" w:fill="auto"/>
          </w:tcPr>
          <w:p w:rsidR="0017135D" w:rsidRPr="00AF2E62" w:rsidP="008A6718">
            <w:pPr>
              <w:pStyle w:val="CSManNum8pt"/>
              <w:ind w:left="681" w:hanging="284"/>
              <w:rPr>
                <w:bCs/>
                <w:lang w:val="de-DE"/>
              </w:rPr>
            </w:pPr>
            <w:r w:rsidRPr="00AF2E62">
              <w:rPr>
                <w:bCs/>
                <w:lang w:val="de-DE"/>
              </w:rPr>
              <w:t>(iii)</w:t>
            </w:r>
            <w:r w:rsidRPr="00AF2E62">
              <w:rPr>
                <w:bCs/>
                <w:lang w:val="de-DE"/>
              </w:rPr>
              <w:tab/>
              <w:t>ist in Ziffer 1.1 die "Vorangegangener-Geschäftstag-Konvention" angegeben, so wird der betreffende Termin auf den unmittelbar vorangehenden Geschäftstag verschoben;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F2E62" w:rsidP="009967D5">
            <w:pPr>
              <w:pStyle w:val="CSManNum8pt"/>
              <w:rPr>
                <w:lang w:val="de-DE"/>
              </w:rPr>
            </w:pPr>
          </w:p>
        </w:tc>
        <w:tc>
          <w:tcPr>
            <w:tcW w:w="3315" w:type="dxa"/>
            <w:gridSpan w:val="2"/>
            <w:tcBorders>
              <w:top w:val="nil"/>
              <w:left w:val="nil"/>
              <w:bottom w:val="nil"/>
            </w:tcBorders>
            <w:shd w:val="clear" w:color="auto" w:fill="auto"/>
          </w:tcPr>
          <w:p w:rsidR="0017135D" w:rsidRPr="00AF2E62" w:rsidP="009967D5">
            <w:pPr>
              <w:pStyle w:val="CSManNum8pt"/>
            </w:pPr>
            <w:r w:rsidRPr="00AF2E62">
              <w:t>(b)</w:t>
            </w:r>
            <w:r w:rsidRPr="00AF2E62">
              <w:tab/>
              <w:t>The Business Day Convention applicable to a date that is specified in these Terms and Conditions to be subject to adjustment in accordance with an applicable Business Day Convention shall be the Business Day Convention specified for that date in these Terms and Conditions or, if a Business Day Convention is not so specified for that date but a Business Day Convention is generally otherwise specified in Section 1.1, the Business Day Convention shall be the Business Day Convention specified in Section 1.1 and, if a Business Day Convention is not specified for that date or generally in Section 1.1, the "Following" Business Day Convention shall apply to that date.</w:t>
            </w:r>
          </w:p>
        </w:tc>
        <w:tc>
          <w:tcPr>
            <w:tcW w:w="1618" w:type="dxa"/>
            <w:gridSpan w:val="2"/>
            <w:tcBorders>
              <w:top w:val="nil"/>
              <w:bottom w:val="nil"/>
              <w:right w:val="nil"/>
            </w:tcBorders>
            <w:shd w:val="clear" w:color="auto" w:fill="auto"/>
          </w:tcPr>
          <w:p w:rsidR="0017135D" w:rsidRPr="00AF2E62" w:rsidP="009967D5">
            <w:pPr>
              <w:pStyle w:val="CSManNum8pt"/>
              <w:rPr>
                <w:i/>
              </w:rPr>
            </w:pPr>
          </w:p>
        </w:tc>
        <w:tc>
          <w:tcPr>
            <w:tcW w:w="3318" w:type="dxa"/>
            <w:tcBorders>
              <w:top w:val="nil"/>
              <w:left w:val="nil"/>
              <w:bottom w:val="nil"/>
              <w:right w:val="nil"/>
            </w:tcBorders>
            <w:shd w:val="clear" w:color="auto" w:fill="auto"/>
          </w:tcPr>
          <w:p w:rsidR="0017135D" w:rsidRPr="00AF2E62" w:rsidP="008A6718">
            <w:pPr>
              <w:pStyle w:val="CSManNum8pt"/>
              <w:rPr>
                <w:bCs/>
                <w:lang w:val="de-DE"/>
              </w:rPr>
            </w:pPr>
            <w:r w:rsidRPr="00AF2E62">
              <w:rPr>
                <w:bCs/>
                <w:lang w:val="de-DE"/>
              </w:rPr>
              <w:t>(b)</w:t>
            </w:r>
            <w:r w:rsidRPr="00AF2E62">
              <w:rPr>
                <w:bCs/>
                <w:lang w:val="de-DE"/>
              </w:rPr>
              <w:tab/>
              <w:t>Die Geschäftstag-Konvention, die auf einen Termin anwendbar ist, der nach den Angaben in diesen Emissionsbedingungen der Anpassung gemäss der anwendbaren Geschäftstag-Konvention unterliegt, ist diejenige Geschäftstag-Konvention, die für diesen Termin in den Emissionsbedingungen angegeben ist. Wenn für diesen Termin keine Geschäftstag-Konvention angegeben ist, aber in Ziffer 1.1 eine allgemeineGeschäftstag-Konvention angegeben ist, so ist die Geschäftstag-Konvention die in Ziffer 1.1 angegebene Geschäftstag-Konvention. Wenn für diesen Termin oder allgemein in Ziffer 1.1 keine Geschäftstag-Konvention angegeben ist, so ist auf diesen Termin die "Folgender-Geschäftstag-Konvention" anwendbar.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F2E62" w:rsidP="009967D5">
            <w:pPr>
              <w:pStyle w:val="CSManNum8pt"/>
              <w:rPr>
                <w:lang w:val="de-DE"/>
              </w:rPr>
            </w:pPr>
          </w:p>
        </w:tc>
        <w:tc>
          <w:tcPr>
            <w:tcW w:w="3315" w:type="dxa"/>
            <w:gridSpan w:val="2"/>
            <w:tcBorders>
              <w:top w:val="nil"/>
              <w:left w:val="nil"/>
              <w:bottom w:val="nil"/>
            </w:tcBorders>
            <w:shd w:val="clear" w:color="auto" w:fill="auto"/>
          </w:tcPr>
          <w:p w:rsidR="0017135D" w:rsidRPr="00AF2E62" w:rsidP="009967D5">
            <w:pPr>
              <w:pStyle w:val="CSManNum8pt"/>
            </w:pPr>
            <w:r w:rsidRPr="00AF2E62">
              <w:t>(c)</w:t>
            </w:r>
            <w:r w:rsidRPr="00AF2E62">
              <w:tab/>
              <w:t xml:space="preserve">If the last day of any period calculated by reference to calendar days </w:t>
            </w:r>
            <w:r w:rsidRPr="00792D61">
              <w:rPr>
                <w:b/>
              </w:rPr>
              <w:t>[</w:t>
            </w:r>
            <w:r w:rsidRPr="00AF2E62">
              <w:t>(other than in relation to the determination of an Interest Payment Date)</w:t>
            </w:r>
            <w:r w:rsidRPr="00792D61">
              <w:rPr>
                <w:b/>
              </w:rPr>
              <w:t>]</w:t>
            </w:r>
            <w:r w:rsidRPr="00AF2E62">
              <w:t xml:space="preserve"> falls on a day that is not a Business Day, such last day shall be subject to adjustment in accordance with the applicable Business Day Convention; provided that if the last day of any period is the Credit Event Backstop Date or the Successor Backstop Date, such last day shall not be subject to any adjustment in accordance with any Business Day Convention.</w:t>
            </w:r>
          </w:p>
        </w:tc>
        <w:tc>
          <w:tcPr>
            <w:tcW w:w="1618" w:type="dxa"/>
            <w:gridSpan w:val="2"/>
            <w:tcBorders>
              <w:top w:val="nil"/>
              <w:bottom w:val="nil"/>
              <w:right w:val="nil"/>
            </w:tcBorders>
            <w:shd w:val="clear" w:color="auto" w:fill="auto"/>
          </w:tcPr>
          <w:p w:rsidR="0017135D" w:rsidRPr="00AF2E62" w:rsidP="009967D5">
            <w:pPr>
              <w:pStyle w:val="CSManNum8pt"/>
              <w:rPr>
                <w:i/>
              </w:rPr>
            </w:pPr>
          </w:p>
        </w:tc>
        <w:tc>
          <w:tcPr>
            <w:tcW w:w="3318" w:type="dxa"/>
            <w:tcBorders>
              <w:top w:val="nil"/>
              <w:left w:val="nil"/>
              <w:bottom w:val="nil"/>
              <w:right w:val="nil"/>
            </w:tcBorders>
            <w:shd w:val="clear" w:color="auto" w:fill="auto"/>
          </w:tcPr>
          <w:p w:rsidR="0017135D" w:rsidRPr="00AF2E62" w:rsidP="009967D5">
            <w:pPr>
              <w:pStyle w:val="CSManNum8pt"/>
              <w:rPr>
                <w:bCs/>
                <w:lang w:val="de-DE"/>
              </w:rPr>
            </w:pPr>
            <w:r w:rsidRPr="00AF2E62">
              <w:rPr>
                <w:bCs/>
                <w:lang w:val="de-DE"/>
              </w:rPr>
              <w:t>(c)</w:t>
            </w:r>
            <w:r w:rsidRPr="00AF2E62">
              <w:rPr>
                <w:bCs/>
                <w:lang w:val="de-DE"/>
              </w:rPr>
              <w:tab/>
              <w:t xml:space="preserve">Wenn der letzte Tag eines unter Bezugnahme auf Kalendertage berechneten Zeitraums </w:t>
            </w:r>
            <w:r w:rsidRPr="00792D61">
              <w:rPr>
                <w:b/>
                <w:bCs/>
                <w:lang w:val="de-DE"/>
              </w:rPr>
              <w:t>[</w:t>
            </w:r>
            <w:r w:rsidRPr="00AF2E62">
              <w:rPr>
                <w:bCs/>
                <w:lang w:val="de-DE"/>
              </w:rPr>
              <w:t>(ausser im Zusammenhang mit der Bestimmung eines Zinszahlungstages)</w:t>
            </w:r>
            <w:r w:rsidRPr="00792D61">
              <w:rPr>
                <w:b/>
                <w:bCs/>
                <w:lang w:val="de-DE"/>
              </w:rPr>
              <w:t>]</w:t>
            </w:r>
            <w:r w:rsidRPr="00AF2E62">
              <w:rPr>
                <w:bCs/>
                <w:lang w:val="de-DE"/>
              </w:rPr>
              <w:t xml:space="preserve"> auf einen Tag fällt, der kein Geschäftstag ist, so unterliegt dieser letzte Tag jeweils der Anpassung gemäss der anwendbaren Geschäftstag-Konvention; ist der letzte Tag eines Zeitraums allerdings der Kreditereignis-Rückschau-Stichtag oder der Rückschau-Stichtag bei </w:t>
            </w:r>
            <w:r>
              <w:rPr>
                <w:bCs/>
                <w:lang w:val="de-DE"/>
              </w:rPr>
              <w:t>Rechtsn</w:t>
            </w:r>
            <w:r w:rsidRPr="00AF2E62">
              <w:rPr>
                <w:bCs/>
                <w:lang w:val="de-DE"/>
              </w:rPr>
              <w:t>achfolge, so unterliegt er nicht der Anpassung gemäss einer Geschäftstag-Konvention.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6B68" w:rsidP="009967D5">
            <w:pPr>
              <w:pStyle w:val="CSBody8pt"/>
            </w:pPr>
            <w:r w:rsidRPr="00166B68">
              <w:t>Cash Redemption Amount</w:t>
            </w:r>
            <w:r>
              <w:fldChar w:fldCharType="begin"/>
            </w:r>
            <w:r>
              <w:instrText xml:space="preserve"> XE "</w:instrText>
            </w:r>
            <w:r w:rsidRPr="00C71A8F">
              <w:instrText>Cash Redemption Amount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6B68" w:rsidP="009967D5">
            <w:pPr>
              <w:pStyle w:val="CSBody8pt"/>
            </w:pPr>
            <w:r w:rsidRPr="00166B68">
              <w:t>has the meaning assigned to such term in subsection C.4 of Section 1.1.</w:t>
            </w:r>
          </w:p>
        </w:tc>
        <w:tc>
          <w:tcPr>
            <w:tcW w:w="1618" w:type="dxa"/>
            <w:gridSpan w:val="2"/>
            <w:tcBorders>
              <w:top w:val="nil"/>
              <w:bottom w:val="nil"/>
              <w:right w:val="nil"/>
            </w:tcBorders>
            <w:shd w:val="clear" w:color="auto" w:fill="auto"/>
          </w:tcPr>
          <w:p w:rsidR="0017135D" w:rsidRPr="00166B68" w:rsidP="008A6718">
            <w:pPr>
              <w:pStyle w:val="CSBody8pt"/>
            </w:pPr>
            <w:r w:rsidRPr="00166B68">
              <w:t>Barrückzahlungsbetrag</w:t>
            </w:r>
            <w:r>
              <w:fldChar w:fldCharType="begin"/>
            </w:r>
            <w:r>
              <w:instrText xml:space="preserve"> XE "Barrück</w:instrText>
            </w:r>
            <w:r w:rsidRPr="00B15546">
              <w:instrText>zahlungsbetrag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166B68" w:rsidP="009967D5">
            <w:pPr>
              <w:pStyle w:val="CSBody8pt"/>
              <w:rPr>
                <w:lang w:val="de-DE"/>
              </w:rPr>
            </w:pPr>
            <w:r w:rsidRPr="00166B68">
              <w:rPr>
                <w:lang w:val="de-DE"/>
              </w:rPr>
              <w:t>hat die diesem Begriff in Unterabschnitt C.4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66B68" w:rsidP="009967D5">
            <w:pPr>
              <w:pStyle w:val="CSBody8pt"/>
            </w:pPr>
            <w:r w:rsidRPr="00166B68">
              <w:t>Cash Redemption Date</w:t>
            </w:r>
            <w:r>
              <w:fldChar w:fldCharType="begin"/>
            </w:r>
            <w:r>
              <w:instrText xml:space="preserve"> XE "</w:instrText>
            </w:r>
            <w:r w:rsidRPr="00A04D9F">
              <w:instrText>Cash Redemption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66B68" w:rsidP="009967D5">
            <w:pPr>
              <w:pStyle w:val="CSBody8pt"/>
            </w:pPr>
            <w:r w:rsidRPr="00166B68">
              <w:t>has the meaning assigned to such term in subsection C.4 of Section 1.1.</w:t>
            </w:r>
          </w:p>
        </w:tc>
        <w:tc>
          <w:tcPr>
            <w:tcW w:w="1618" w:type="dxa"/>
            <w:gridSpan w:val="2"/>
            <w:tcBorders>
              <w:top w:val="nil"/>
              <w:bottom w:val="nil"/>
              <w:right w:val="nil"/>
            </w:tcBorders>
            <w:shd w:val="clear" w:color="auto" w:fill="auto"/>
          </w:tcPr>
          <w:p w:rsidR="0017135D" w:rsidRPr="00166B68" w:rsidP="008A6718">
            <w:pPr>
              <w:pStyle w:val="CSBody8pt"/>
            </w:pPr>
            <w:r w:rsidRPr="00166B68">
              <w:t>Barrückzahlungstag</w:t>
            </w:r>
            <w:r>
              <w:fldChar w:fldCharType="begin"/>
            </w:r>
            <w:r>
              <w:instrText xml:space="preserve"> XE "</w:instrText>
            </w:r>
            <w:r w:rsidRPr="002A1361">
              <w:instrText>Barrückzahlungstag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166B68" w:rsidP="009967D5">
            <w:pPr>
              <w:pStyle w:val="CSBody8pt"/>
              <w:rPr>
                <w:lang w:val="de-DE"/>
              </w:rPr>
            </w:pPr>
            <w:r w:rsidRPr="00166B68">
              <w:rPr>
                <w:lang w:val="de-DE"/>
              </w:rPr>
              <w:t>hat die diesem Begriff in Unterabschnitt C.4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921452" w:rsidP="009967D5">
            <w:pPr>
              <w:pStyle w:val="CSBody8ptbolditalics"/>
            </w:pPr>
            <w:r w:rsidRPr="00792D61">
              <w:t>[</w:t>
            </w:r>
            <w:r w:rsidRPr="00921452">
              <w:t>if "Mod Mod R" is applicable, insert:</w:t>
            </w:r>
          </w:p>
          <w:p w:rsidR="0017135D" w:rsidRPr="00921452" w:rsidP="009967D5">
            <w:pPr>
              <w:pStyle w:val="CSBody8pt"/>
            </w:pPr>
            <w:r w:rsidRPr="002E62B4">
              <w:t>Conditionally Transferable Obligation</w:t>
            </w:r>
            <w:r>
              <w:fldChar w:fldCharType="begin"/>
            </w:r>
            <w:r>
              <w:instrText xml:space="preserve"> XE "</w:instrText>
            </w:r>
            <w:r w:rsidRPr="00777FA9">
              <w:instrText>Conditionally Transferable Obligation</w:instrText>
            </w:r>
            <w:r>
              <w:instrText xml:space="preserve">" \f "EN" </w:instrText>
            </w:r>
            <w:r>
              <w:fldChar w:fldCharType="end"/>
            </w:r>
          </w:p>
        </w:tc>
        <w:tc>
          <w:tcPr>
            <w:tcW w:w="3315" w:type="dxa"/>
            <w:gridSpan w:val="2"/>
            <w:tcBorders>
              <w:top w:val="nil"/>
              <w:left w:val="nil"/>
            </w:tcBorders>
            <w:shd w:val="clear" w:color="auto" w:fill="auto"/>
          </w:tcPr>
          <w:p w:rsidR="0017135D" w:rsidRPr="00AF2E62" w:rsidP="009967D5">
            <w:pPr>
              <w:pStyle w:val="CSBody8pt"/>
            </w:pPr>
            <w:r w:rsidRPr="00AF2E62">
              <w:t xml:space="preserve">a Valuation Obligation that is, as determined by the Calculation Agent on and as of the Valuation Date, either Transferable, in the case of Bonds, or capable of being assigned or novated to all Modified Eligible Transferees without the consent of any person being required, in the case of any Valuation Obligation other than Bonds, provided, however, that a Valuation Obligation other than Bonds will be a Conditionally Transferable Obligation notwithstanding that consent of </w:t>
            </w:r>
            <w:r w:rsidRPr="00792D61">
              <w:rPr>
                <w:b/>
              </w:rPr>
              <w:t>[</w:t>
            </w:r>
            <w:r w:rsidRPr="009967D5">
              <w:rPr>
                <w:b/>
                <w:i/>
              </w:rPr>
              <w:t>if a Complex Product is only linked to one Reference Entity, insert:</w:t>
            </w:r>
            <w:r w:rsidRPr="00AF2E62">
              <w:t xml:space="preserve"> the</w:t>
            </w:r>
            <w:r w:rsidRPr="00792D61">
              <w:rPr>
                <w:b/>
              </w:rPr>
              <w:t>][</w:t>
            </w:r>
            <w:r w:rsidRPr="009967D5">
              <w:rPr>
                <w:b/>
                <w:i/>
              </w:rPr>
              <w:t>if a Basket is applicable or in the case of Complex Products with N</w:t>
            </w:r>
            <w:r w:rsidRPr="00BD6E0D">
              <w:rPr>
                <w:b/>
                <w:i/>
                <w:vertAlign w:val="superscript"/>
              </w:rPr>
              <w:t>th</w:t>
            </w:r>
            <w:r w:rsidRPr="009967D5">
              <w:rPr>
                <w:b/>
                <w:i/>
              </w:rPr>
              <w:t>-to-Default structure, insert:</w:t>
            </w:r>
            <w:r w:rsidRPr="00AF2E62">
              <w:t xml:space="preserve"> a</w:t>
            </w:r>
            <w:r w:rsidRPr="00792D61">
              <w:rPr>
                <w:b/>
              </w:rPr>
              <w:t>]</w:t>
            </w:r>
            <w:r w:rsidRPr="00AF2E62">
              <w:t xml:space="preserve"> Reference Entity or the guarantor, if any, of a Valuation Obligation other than Bonds (or the consent of the relevant obligor if the Reference Entity is guaranteeing such Valuation Obligation) or any agent is required for such novation, assignment or transfer so long as the terms of such Valuation Obligation provide that such consent may not be unreasonably withheld or delayed. Any requirement that notification of novation, assignment or transfer of a Valuation Obligation be provided to a trustee, fiscal agent, administrative agent, clearing agent or paying agent for a Valuation Obligation shall not be considered to be a requirement for consent for purposes of this definition of Conditionally Transferable Obligation.</w:t>
            </w:r>
            <w:r w:rsidRPr="00792D61">
              <w:rPr>
                <w:b/>
              </w:rPr>
              <w:t>]</w:t>
            </w:r>
          </w:p>
        </w:tc>
        <w:tc>
          <w:tcPr>
            <w:tcW w:w="1618" w:type="dxa"/>
            <w:gridSpan w:val="2"/>
            <w:tcBorders>
              <w:top w:val="nil"/>
              <w:right w:val="nil"/>
            </w:tcBorders>
            <w:shd w:val="clear" w:color="auto" w:fill="auto"/>
          </w:tcPr>
          <w:p w:rsidR="0017135D" w:rsidRPr="00AF2E62" w:rsidP="009967D5">
            <w:pPr>
              <w:pStyle w:val="CSBody8ptbolditalics"/>
              <w:rPr>
                <w:lang w:val="de-DE"/>
              </w:rPr>
            </w:pPr>
            <w:r w:rsidRPr="00792D61">
              <w:rPr>
                <w:lang w:val="de-DE"/>
              </w:rPr>
              <w:t>[</w:t>
            </w:r>
            <w:r w:rsidRPr="00AF2E62">
              <w:rPr>
                <w:lang w:val="de-DE"/>
              </w:rPr>
              <w:t>falls "Mod Mod R" anwendbar ist, einfügen:</w:t>
            </w:r>
          </w:p>
          <w:p w:rsidR="0017135D" w:rsidRPr="00AF2E62" w:rsidP="009967D5">
            <w:pPr>
              <w:pStyle w:val="CSBody8pt"/>
              <w:rPr>
                <w:lang w:val="de-DE"/>
              </w:rPr>
            </w:pPr>
            <w:r w:rsidRPr="002E62B4">
              <w:rPr>
                <w:lang w:val="de-DE"/>
              </w:rPr>
              <w:t>Bedingt Übertragbare Verbindlichkeit</w:t>
            </w:r>
            <w:r>
              <w:rPr>
                <w:lang w:val="de-DE"/>
              </w:rPr>
              <w:fldChar w:fldCharType="begin"/>
            </w:r>
            <w:r>
              <w:instrText xml:space="preserve"> XE "</w:instrText>
            </w:r>
            <w:r w:rsidRPr="00223D25">
              <w:rPr>
                <w:lang w:val="de-DE"/>
              </w:rPr>
              <w:instrText>Bedingt Übertragbare Verbindlichkeit</w:instrText>
            </w:r>
            <w:r>
              <w:instrText xml:space="preserve">" </w:instrText>
            </w:r>
            <w:r>
              <w:rPr>
                <w:lang w:val="de-DE"/>
              </w:rPr>
              <w:fldChar w:fldCharType="end"/>
            </w:r>
          </w:p>
        </w:tc>
        <w:tc>
          <w:tcPr>
            <w:tcW w:w="3318" w:type="dxa"/>
            <w:tcBorders>
              <w:top w:val="nil"/>
              <w:left w:val="nil"/>
              <w:right w:val="nil"/>
            </w:tcBorders>
            <w:shd w:val="clear" w:color="auto" w:fill="auto"/>
          </w:tcPr>
          <w:p w:rsidR="0017135D" w:rsidRPr="00AF2E62" w:rsidP="008A6718">
            <w:pPr>
              <w:pStyle w:val="CSBody8pt"/>
              <w:rPr>
                <w:bCs/>
                <w:lang w:val="de-DE"/>
              </w:rPr>
            </w:pPr>
            <w:r w:rsidRPr="00AF2E62">
              <w:rPr>
                <w:bCs/>
                <w:lang w:val="de-DE"/>
              </w:rPr>
              <w:t xml:space="preserve">eine Bewertungsverbindlichkeit, die laut Feststellung der Berechnungsstelle am und zum Bewertungstag (im Fall von Anleihen) entweder Übertragbar ist oder (im Fall von Bewertungsverbindlichkeiten, bei denen es sich nicht um Anleihen handelt) im Wege der Abtretung oder Novation auf alle Nach Modifizierten Kriterien Zulässigen Übertragungsempfänger übergehen kann, ohne dass hierfür die Zustimmung irgendeiner Person erforderlich ist, wobei eine Bewertungsverbindlichkeit, bei der es sich nicht um eine Anleihe handelt, auch dann eine Bedingt Übertragbare Verbindlichkeit darstellt, wenn die Zustimmung </w:t>
            </w:r>
            <w:r w:rsidRPr="00792D61">
              <w:rPr>
                <w:b/>
                <w:bCs/>
                <w:lang w:val="de-DE"/>
              </w:rPr>
              <w:t>[</w:t>
            </w:r>
            <w:r w:rsidRPr="009967D5">
              <w:rPr>
                <w:b/>
                <w:bCs/>
                <w:i/>
                <w:lang w:val="de-DE"/>
              </w:rPr>
              <w:t xml:space="preserve">falls ein Komplexes Produkt nur an einen Referenzschuldner gekoppelt ist, einfügen: </w:t>
            </w:r>
            <w:r w:rsidRPr="00AF2E62">
              <w:rPr>
                <w:bCs/>
                <w:lang w:val="de-DE"/>
              </w:rPr>
              <w:t>des</w:t>
            </w:r>
            <w:r w:rsidRPr="00792D61">
              <w:rPr>
                <w:b/>
                <w:bCs/>
                <w:lang w:val="de-DE"/>
              </w:rPr>
              <w:t>][</w:t>
            </w:r>
            <w:r w:rsidRPr="009967D5">
              <w:rPr>
                <w:b/>
                <w:bCs/>
                <w:i/>
                <w:lang w:val="de-DE"/>
              </w:rPr>
              <w:t>falls ein Korb anwendbar ist oder bei Komplexen Produkten mit N</w:t>
            </w:r>
            <w:r w:rsidRPr="00BD6E0D">
              <w:rPr>
                <w:b/>
                <w:i/>
                <w:vertAlign w:val="superscript"/>
                <w:lang w:val="de-DE"/>
              </w:rPr>
              <w:t>th</w:t>
            </w:r>
            <w:r w:rsidRPr="009967D5">
              <w:rPr>
                <w:b/>
                <w:bCs/>
                <w:i/>
                <w:lang w:val="de-DE"/>
              </w:rPr>
              <w:t>-to-Default-Struktur, einfügen:</w:t>
            </w:r>
            <w:r w:rsidRPr="00AF2E62">
              <w:rPr>
                <w:bCs/>
                <w:lang w:val="de-DE"/>
              </w:rPr>
              <w:t xml:space="preserve"> eines</w:t>
            </w:r>
            <w:r w:rsidRPr="00792D61">
              <w:rPr>
                <w:b/>
                <w:bCs/>
                <w:lang w:val="de-DE"/>
              </w:rPr>
              <w:t>]</w:t>
            </w:r>
            <w:r w:rsidRPr="00AF2E62">
              <w:rPr>
                <w:bCs/>
                <w:lang w:val="de-DE"/>
              </w:rPr>
              <w:t xml:space="preserve"> Referenzschuldners oder eines etwaigen Garantiegebers einer solchen Bewertungsverbindlichkeit (bzw. die Zustimmung des jeweiligen Schuldners, wenn der Referenzschuldner eine solche Bewertungsverbindlichkeit garantiert) oder die Zustimmung eines Beauftragten für die Novation, Abtretung oder Übertragung erforderlich ist, vorausgesetzt, die Zustimmung darf nach den Bedingungen dieser Bewertungsverbindlichkeit nicht ohne triftigen Grund versagt oder verzögert werden. Ein etwaiges Erfordernis, die Novation, Abtretung oder Übertragung einer Bewertungsverbindlichkeit einem Treuhänder, einer Emissionsstelle, einer Verwaltungsstelle, einer Clearingstelle oder einer Zahlstelle für eine Bewertungsverbindlichkeit anzuzeigen, gilt für die Zwecke dieser Definition  "Bedingt Übertragbare Verbindlichkeit" nicht als Zustimmungserfordernis.</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06FB7" w:rsidP="004C1EBA">
            <w:pPr>
              <w:pStyle w:val="CSBody8ptbolditalics"/>
            </w:pPr>
            <w:r w:rsidRPr="00792D61">
              <w:t>[</w:t>
            </w:r>
            <w:r w:rsidRPr="00006FB7">
              <w:t>if a non-Standard Reference Obligation is specified in Section 1.1., insert:</w:t>
            </w:r>
          </w:p>
          <w:p w:rsidR="0017135D" w:rsidRPr="002E62B4" w:rsidP="009967D5">
            <w:pPr>
              <w:pStyle w:val="CSBody8pt"/>
            </w:pPr>
            <w:r w:rsidRPr="002E62B4">
              <w:t>Conforming Reference Obligation</w:t>
            </w:r>
            <w:r>
              <w:fldChar w:fldCharType="begin"/>
            </w:r>
            <w:r>
              <w:instrText xml:space="preserve"> XE "</w:instrText>
            </w:r>
            <w:r w:rsidRPr="00C1318C">
              <w:instrText>Conforming Reference Obligation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62B4" w:rsidP="009967D5">
            <w:pPr>
              <w:pStyle w:val="CSBody8pt"/>
            </w:pPr>
            <w:r w:rsidRPr="002E62B4">
              <w:t xml:space="preserve">a Reference Obligation which is a Valuation Obligation determined in accordance with </w:t>
            </w:r>
            <w:r w:rsidRPr="00792D61">
              <w:rPr>
                <w:b/>
              </w:rPr>
              <w:t>[</w:t>
            </w:r>
            <w:r w:rsidRPr="002E62B4">
              <w:t>clause (a) of</w:t>
            </w:r>
            <w:r w:rsidRPr="00792D61">
              <w:rPr>
                <w:b/>
              </w:rPr>
              <w:t>]</w:t>
            </w:r>
            <w:r w:rsidRPr="002E62B4">
              <w:t xml:space="preserve"> the definition "Valuation Obligation".</w:t>
            </w:r>
            <w:r w:rsidRPr="000A1B82">
              <w:rPr>
                <w:b/>
              </w:rPr>
              <w:t>]</w:t>
            </w:r>
          </w:p>
        </w:tc>
        <w:tc>
          <w:tcPr>
            <w:tcW w:w="1618" w:type="dxa"/>
            <w:gridSpan w:val="2"/>
            <w:tcBorders>
              <w:top w:val="nil"/>
              <w:bottom w:val="nil"/>
              <w:right w:val="nil"/>
            </w:tcBorders>
            <w:shd w:val="clear" w:color="auto" w:fill="auto"/>
          </w:tcPr>
          <w:p w:rsidR="0017135D" w:rsidRPr="00006FB7" w:rsidP="004C1EBA">
            <w:pPr>
              <w:pStyle w:val="CSBody8ptbolditalics"/>
              <w:rPr>
                <w:lang w:val="de-DE"/>
              </w:rPr>
            </w:pPr>
            <w:r w:rsidRPr="00792D61">
              <w:rPr>
                <w:lang w:val="de-DE"/>
              </w:rPr>
              <w:t>[</w:t>
            </w:r>
            <w:r w:rsidRPr="00006FB7">
              <w:rPr>
                <w:lang w:val="de-DE"/>
              </w:rPr>
              <w:t>falls eine Nicht-Standard-Referenzverbindlichkeit in Ziffer 1.1 angegeben ist, einfügen:</w:t>
            </w:r>
          </w:p>
          <w:p w:rsidR="0017135D" w:rsidRPr="002E62B4" w:rsidP="009967D5">
            <w:pPr>
              <w:pStyle w:val="CSBody8pt"/>
            </w:pPr>
            <w:r w:rsidRPr="002E62B4">
              <w:t>Konforme Referenzverbindlichkeit</w:t>
            </w:r>
            <w:r>
              <w:fldChar w:fldCharType="begin"/>
            </w:r>
            <w:r>
              <w:instrText xml:space="preserve"> XE "</w:instrText>
            </w:r>
            <w:r w:rsidRPr="00AF7B5F">
              <w:instrText>Konforme Referenzverbindlichkeit</w:instrText>
            </w:r>
            <w:r>
              <w:instrText xml:space="preserve">" </w:instrText>
            </w:r>
            <w:r>
              <w:fldChar w:fldCharType="end"/>
            </w:r>
          </w:p>
        </w:tc>
        <w:tc>
          <w:tcPr>
            <w:tcW w:w="3318" w:type="dxa"/>
            <w:tcBorders>
              <w:top w:val="nil"/>
              <w:left w:val="nil"/>
              <w:bottom w:val="nil"/>
              <w:right w:val="nil"/>
            </w:tcBorders>
            <w:shd w:val="clear" w:color="auto" w:fill="auto"/>
          </w:tcPr>
          <w:p w:rsidR="0017135D" w:rsidRPr="00AF2E62" w:rsidP="009967D5">
            <w:pPr>
              <w:pStyle w:val="CSBody8pt"/>
              <w:rPr>
                <w:lang w:val="de-DE"/>
              </w:rPr>
            </w:pPr>
            <w:r w:rsidRPr="002E62B4">
              <w:rPr>
                <w:lang w:val="de-DE"/>
              </w:rPr>
              <w:t xml:space="preserve">eine Referenzverbindlichkeit, die eine gemäss </w:t>
            </w:r>
            <w:r w:rsidRPr="00792D61">
              <w:rPr>
                <w:b/>
                <w:lang w:val="de-DE"/>
              </w:rPr>
              <w:t>[</w:t>
            </w:r>
            <w:r w:rsidRPr="002E62B4">
              <w:rPr>
                <w:lang w:val="de-DE"/>
              </w:rPr>
              <w:t>Absatz (a)</w:t>
            </w:r>
            <w:r w:rsidRPr="00792D61">
              <w:rPr>
                <w:b/>
                <w:lang w:val="de-DE"/>
              </w:rPr>
              <w:t>]</w:t>
            </w:r>
            <w:r w:rsidRPr="002E62B4">
              <w:rPr>
                <w:lang w:val="de-DE"/>
              </w:rPr>
              <w:t xml:space="preserve"> der Definition  "Bewertungsverbindlichkeit" bestimmte Bewertungsverbindlichkeit ist.</w:t>
            </w:r>
            <w:r w:rsidRPr="000A1B82">
              <w:rPr>
                <w:b/>
                <w:lang w:val="de-DE"/>
              </w:rPr>
              <w:t>]</w:t>
            </w:r>
          </w:p>
        </w:tc>
      </w:tr>
      <w:tr w:rsidTr="004C1EBA">
        <w:tblPrEx>
          <w:tblW w:w="4999" w:type="pct"/>
          <w:tblLayout w:type="fixed"/>
          <w:tblCellMar>
            <w:left w:w="115" w:type="dxa"/>
            <w:right w:w="115" w:type="dxa"/>
          </w:tblCellMar>
          <w:tblLook w:val="04A0"/>
        </w:tblPrEx>
        <w:trPr>
          <w:trHeight w:val="2788"/>
        </w:trPr>
        <w:tc>
          <w:tcPr>
            <w:tcW w:w="1616" w:type="dxa"/>
            <w:gridSpan w:val="3"/>
            <w:tcBorders>
              <w:top w:val="nil"/>
              <w:left w:val="nil"/>
              <w:right w:val="nil"/>
            </w:tcBorders>
            <w:shd w:val="clear" w:color="auto" w:fill="auto"/>
          </w:tcPr>
          <w:p w:rsidR="0017135D" w:rsidRPr="00360068" w:rsidP="009967D5">
            <w:pPr>
              <w:pStyle w:val="CSBody8ptbolditalics"/>
            </w:pPr>
            <w:r w:rsidRPr="00792D61">
              <w:t>[</w:t>
            </w:r>
            <w:r w:rsidRPr="00360068">
              <w:t xml:space="preserve">if specified as Valuation Obligation Characteristic, insert: </w:t>
            </w:r>
          </w:p>
          <w:p w:rsidR="0017135D" w:rsidRPr="00360068" w:rsidP="009967D5">
            <w:pPr>
              <w:pStyle w:val="CSBody8pt"/>
            </w:pPr>
            <w:r w:rsidRPr="002E62B4">
              <w:t>Consent Required Loan</w:t>
            </w:r>
            <w:r>
              <w:fldChar w:fldCharType="begin"/>
            </w:r>
            <w:r>
              <w:instrText xml:space="preserve"> XE "</w:instrText>
            </w:r>
            <w:r w:rsidRPr="006C62C8">
              <w:instrText>Consent Required Loan</w:instrText>
            </w:r>
            <w:r>
              <w:instrText xml:space="preserve">" \f "EN" </w:instrText>
            </w:r>
            <w:r>
              <w:fldChar w:fldCharType="end"/>
            </w:r>
          </w:p>
        </w:tc>
        <w:tc>
          <w:tcPr>
            <w:tcW w:w="3315" w:type="dxa"/>
            <w:gridSpan w:val="2"/>
            <w:tcBorders>
              <w:top w:val="nil"/>
              <w:left w:val="nil"/>
            </w:tcBorders>
            <w:shd w:val="clear" w:color="auto" w:fill="auto"/>
          </w:tcPr>
          <w:p w:rsidR="0017135D" w:rsidRPr="00AF2E62" w:rsidP="009967D5">
            <w:pPr>
              <w:pStyle w:val="CSBody8pt"/>
            </w:pPr>
            <w:r w:rsidRPr="00E83535">
              <w:t>a Loan that is capable of being assigned or novated with the consent of the Reference Entity or the guarantor, if any, of such Loan (or the consent of the relevant borrower if a Reference Entity is guaranteeing such Loan) or any agent.</w:t>
            </w:r>
            <w:r w:rsidRPr="00792D61">
              <w:rPr>
                <w:b/>
              </w:rPr>
              <w:t>]</w:t>
            </w:r>
          </w:p>
        </w:tc>
        <w:tc>
          <w:tcPr>
            <w:tcW w:w="1618" w:type="dxa"/>
            <w:gridSpan w:val="2"/>
            <w:tcBorders>
              <w:top w:val="nil"/>
              <w:right w:val="nil"/>
            </w:tcBorders>
            <w:shd w:val="clear" w:color="auto" w:fill="auto"/>
          </w:tcPr>
          <w:p w:rsidR="0017135D" w:rsidRPr="00E83535" w:rsidP="008A6718">
            <w:pPr>
              <w:pStyle w:val="CSBody8ptbolditalics"/>
              <w:rPr>
                <w:lang w:val="de-DE"/>
              </w:rPr>
            </w:pPr>
            <w:r w:rsidRPr="00792D61">
              <w:rPr>
                <w:lang w:val="de-DE"/>
              </w:rPr>
              <w:t>[</w:t>
            </w:r>
            <w:r w:rsidRPr="00E83535">
              <w:rPr>
                <w:lang w:val="de-DE"/>
              </w:rPr>
              <w:t>falls als Merkmal für Bewertungs</w:t>
            </w:r>
            <w:r>
              <w:rPr>
                <w:lang w:val="de-DE"/>
              </w:rPr>
              <w:t>verbindlich</w:t>
            </w:r>
            <w:r w:rsidRPr="00E83535">
              <w:rPr>
                <w:lang w:val="de-DE"/>
              </w:rPr>
              <w:t>keiten angegeben, einfügen:</w:t>
            </w:r>
          </w:p>
          <w:p w:rsidR="0017135D" w:rsidRPr="00E83535" w:rsidP="008A6718">
            <w:pPr>
              <w:pStyle w:val="CSBody8pt"/>
              <w:rPr>
                <w:lang w:val="de-DE"/>
              </w:rPr>
            </w:pPr>
            <w:r w:rsidRPr="002E62B4">
              <w:rPr>
                <w:lang w:val="de-DE"/>
              </w:rPr>
              <w:t>Darlehen mit Zustimmungserfordernis</w:t>
            </w:r>
            <w:r>
              <w:rPr>
                <w:lang w:val="de-DE"/>
              </w:rPr>
              <w:fldChar w:fldCharType="begin"/>
            </w:r>
            <w:r>
              <w:instrText xml:space="preserve"> XE "</w:instrText>
            </w:r>
            <w:r w:rsidRPr="004A0E42">
              <w:rPr>
                <w:lang w:val="de-DE"/>
              </w:rPr>
              <w:instrText>Darlehen mit Zustimmungserfordernis</w:instrText>
            </w:r>
            <w:r>
              <w:instrText xml:space="preserve">" </w:instrText>
            </w:r>
            <w:r>
              <w:rPr>
                <w:lang w:val="de-DE"/>
              </w:rPr>
              <w:fldChar w:fldCharType="end"/>
            </w:r>
          </w:p>
        </w:tc>
        <w:tc>
          <w:tcPr>
            <w:tcW w:w="3318" w:type="dxa"/>
            <w:tcBorders>
              <w:top w:val="nil"/>
              <w:left w:val="nil"/>
              <w:right w:val="nil"/>
            </w:tcBorders>
            <w:shd w:val="clear" w:color="auto" w:fill="auto"/>
          </w:tcPr>
          <w:p w:rsidR="0017135D" w:rsidRPr="00E83535" w:rsidP="009967D5">
            <w:pPr>
              <w:pStyle w:val="CSBody8pt"/>
              <w:rPr>
                <w:bCs/>
                <w:lang w:val="de-DE"/>
              </w:rPr>
            </w:pPr>
            <w:r w:rsidRPr="00E83535">
              <w:rPr>
                <w:bCs/>
                <w:lang w:val="de-DE"/>
              </w:rPr>
              <w:t>ein Darlehen, das mit Zustimmung des Referenzschuldners oder gegebenenfalls des Garantiegebers des betreffenden Darlehens (oder mit Zustimmung des jeweiligen Kreditnehmers, wenn das Darlehen durch einen Referenzschuldner garantiert ist) oder eines Beauftragten im Wege der Abtretung oder Novation übertragen werden kann.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62B4" w:rsidP="009967D5">
            <w:pPr>
              <w:pStyle w:val="CSBody8pt"/>
            </w:pPr>
            <w:r w:rsidRPr="002E62B4">
              <w:t>Credit Derivatives Auction Settlement Terms</w:t>
            </w:r>
            <w:r>
              <w:fldChar w:fldCharType="begin"/>
            </w:r>
            <w:r>
              <w:instrText xml:space="preserve"> XE "</w:instrText>
            </w:r>
            <w:r w:rsidRPr="00653F32">
              <w:instrText>Credit Derivatives Auction Settlement Terms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62B4" w:rsidP="009967D5">
            <w:pPr>
              <w:pStyle w:val="CSBody8pt"/>
            </w:pPr>
            <w:r w:rsidRPr="002E62B4">
              <w:t>any credit derivatives auction settlement terms published by ISDA with respect to a Reference Entity in relation to which a DC Credit Event Question has been made and for which an Auction shall be conducted in accordance with such terms.</w:t>
            </w:r>
          </w:p>
        </w:tc>
        <w:tc>
          <w:tcPr>
            <w:tcW w:w="1618" w:type="dxa"/>
            <w:gridSpan w:val="2"/>
            <w:tcBorders>
              <w:top w:val="nil"/>
              <w:bottom w:val="nil"/>
              <w:right w:val="nil"/>
            </w:tcBorders>
            <w:shd w:val="clear" w:color="auto" w:fill="auto"/>
          </w:tcPr>
          <w:p w:rsidR="0017135D" w:rsidRPr="002E62B4" w:rsidP="008A6718">
            <w:pPr>
              <w:pStyle w:val="CSBody8pt"/>
              <w:rPr>
                <w:lang w:val="de-DE"/>
              </w:rPr>
            </w:pPr>
            <w:r w:rsidRPr="002E62B4">
              <w:rPr>
                <w:lang w:val="de-DE"/>
              </w:rPr>
              <w:t>Bedingungen für die Auktionsbasierte Abwicklung von Kreditderivaten (Credit Derivatives Auction Settlement Terms)</w:t>
            </w:r>
            <w:r>
              <w:rPr>
                <w:lang w:val="de-DE"/>
              </w:rPr>
              <w:fldChar w:fldCharType="begin"/>
            </w:r>
            <w:r w:rsidRPr="002E62B4">
              <w:rPr>
                <w:lang w:val="de-DE"/>
              </w:rPr>
              <w:instrText xml:space="preserve"> XE "</w:instrText>
            </w:r>
            <w:r w:rsidRPr="00DE13D6">
              <w:rPr>
                <w:lang w:val="de-DE"/>
              </w:rPr>
              <w:instrText>Bedingungen für die Auktionsbasierte Abwicklung von Kreditderivaten (Credit Derivatives Auction Settlement Terms)</w:instrText>
            </w:r>
            <w:r w:rsidRPr="002E62B4">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2E62B4" w:rsidP="009967D5">
            <w:pPr>
              <w:pStyle w:val="CSBody8pt"/>
              <w:rPr>
                <w:lang w:val="de-DE"/>
              </w:rPr>
            </w:pPr>
            <w:r w:rsidRPr="002E62B4">
              <w:rPr>
                <w:lang w:val="de-DE"/>
              </w:rPr>
              <w:t>alle von der ISDA veröffentlichten Bedingungen für die Auktionsbasierte Abwicklung von Kreditderivaten (Credit Derivatives Auction Settlement Terms) in Bezug auf einen Referenzschuldner, der Gegenstand eines Kreditereignisbeschluss-Antrags ist und für welchen eine Auktion nach diesen Bedingungen durchgeführt werden soll.</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62B4" w:rsidP="009967D5">
            <w:pPr>
              <w:pStyle w:val="CSBody8pt"/>
            </w:pPr>
            <w:r w:rsidRPr="002E62B4">
              <w:t>Credit Derivatives Determinations Committee</w:t>
            </w:r>
            <w:r>
              <w:fldChar w:fldCharType="begin"/>
            </w:r>
            <w:r>
              <w:instrText xml:space="preserve"> XE "</w:instrText>
            </w:r>
            <w:r w:rsidRPr="00D87714">
              <w:instrText>Credit Derivatives Determinations Committee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62B4" w:rsidP="009967D5">
            <w:pPr>
              <w:pStyle w:val="CSBody8pt"/>
            </w:pPr>
            <w:r w:rsidRPr="002E62B4">
              <w:t>each committee established pursuant to the DC Rules for purposes of reaching certain DC Resolutions in connection with Credit Derivative Transactions.</w:t>
            </w:r>
          </w:p>
        </w:tc>
        <w:tc>
          <w:tcPr>
            <w:tcW w:w="1618" w:type="dxa"/>
            <w:gridSpan w:val="2"/>
            <w:tcBorders>
              <w:top w:val="nil"/>
              <w:bottom w:val="nil"/>
              <w:right w:val="nil"/>
            </w:tcBorders>
            <w:shd w:val="clear" w:color="auto" w:fill="auto"/>
          </w:tcPr>
          <w:p w:rsidR="0017135D" w:rsidRPr="002E62B4" w:rsidP="009967D5">
            <w:pPr>
              <w:pStyle w:val="CSBody8pt"/>
            </w:pPr>
            <w:r w:rsidRPr="002E62B4">
              <w:t>Kreditderivate-Feststellungs-ausschuss</w:t>
            </w:r>
            <w:r>
              <w:fldChar w:fldCharType="begin"/>
            </w:r>
            <w:r>
              <w:instrText xml:space="preserve"> XE "</w:instrText>
            </w:r>
            <w:r w:rsidRPr="00A248FA">
              <w:instrText>Kreditderivate-Feststellungs-ausschuss</w:instrText>
            </w:r>
            <w:r>
              <w:instrText xml:space="preserve">" </w:instrText>
            </w:r>
            <w:r>
              <w:fldChar w:fldCharType="end"/>
            </w:r>
          </w:p>
        </w:tc>
        <w:tc>
          <w:tcPr>
            <w:tcW w:w="3318" w:type="dxa"/>
            <w:tcBorders>
              <w:top w:val="nil"/>
              <w:left w:val="nil"/>
              <w:bottom w:val="nil"/>
              <w:right w:val="nil"/>
            </w:tcBorders>
            <w:shd w:val="clear" w:color="auto" w:fill="auto"/>
          </w:tcPr>
          <w:p w:rsidR="0017135D" w:rsidRPr="002E62B4" w:rsidP="008A6718">
            <w:pPr>
              <w:pStyle w:val="CSBody8pt"/>
              <w:rPr>
                <w:lang w:val="de-DE"/>
              </w:rPr>
            </w:pPr>
            <w:r w:rsidRPr="002E62B4">
              <w:rPr>
                <w:lang w:val="de-DE"/>
              </w:rPr>
              <w:t>bezeichnet jeden Ausschuss, der gemäss den DC-Regeln zu dem Zweck gebildet wird, bestimmte Feststellungsausschussbeschlüsse im Zusammenhang mit Kreditderivaten zu fassen.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62B4" w:rsidP="009967D5">
            <w:pPr>
              <w:pStyle w:val="CSBody8pt"/>
            </w:pPr>
            <w:r w:rsidRPr="002E62B4">
              <w:t>Credit Derivative Transaction</w:t>
            </w:r>
            <w:r>
              <w:fldChar w:fldCharType="begin"/>
            </w:r>
            <w:r>
              <w:instrText xml:space="preserve"> XE "</w:instrText>
            </w:r>
            <w:r w:rsidRPr="00717EF7">
              <w:instrText>Credit Derivative Transaction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62B4" w:rsidP="009967D5">
            <w:pPr>
              <w:pStyle w:val="CSBody8pt"/>
            </w:pPr>
            <w:r w:rsidRPr="002E62B4">
              <w:t>a transaction designed to separate and transfer the credit risk of an underlying credit exposure.</w:t>
            </w:r>
          </w:p>
        </w:tc>
        <w:tc>
          <w:tcPr>
            <w:tcW w:w="1618" w:type="dxa"/>
            <w:gridSpan w:val="2"/>
            <w:tcBorders>
              <w:top w:val="nil"/>
              <w:bottom w:val="nil"/>
              <w:right w:val="nil"/>
            </w:tcBorders>
            <w:shd w:val="clear" w:color="auto" w:fill="auto"/>
          </w:tcPr>
          <w:p w:rsidR="0017135D" w:rsidRPr="002E62B4" w:rsidP="009967D5">
            <w:pPr>
              <w:pStyle w:val="CSBody8pt"/>
            </w:pPr>
            <w:r w:rsidRPr="002E62B4">
              <w:t>Kreditderivat</w:t>
            </w:r>
            <w:r>
              <w:t>-Transaktion</w:t>
            </w:r>
            <w:r>
              <w:fldChar w:fldCharType="begin"/>
            </w:r>
            <w:r>
              <w:instrText xml:space="preserve"> XE "</w:instrText>
            </w:r>
            <w:r w:rsidRPr="001015A6">
              <w:instrText>Kreditderivat</w:instrText>
            </w:r>
            <w:r>
              <w:instrText xml:space="preserve">" </w:instrText>
            </w:r>
            <w:r>
              <w:fldChar w:fldCharType="end"/>
            </w:r>
          </w:p>
        </w:tc>
        <w:tc>
          <w:tcPr>
            <w:tcW w:w="3318" w:type="dxa"/>
            <w:tcBorders>
              <w:top w:val="nil"/>
              <w:left w:val="nil"/>
              <w:bottom w:val="nil"/>
              <w:right w:val="nil"/>
            </w:tcBorders>
            <w:shd w:val="clear" w:color="auto" w:fill="auto"/>
          </w:tcPr>
          <w:p w:rsidR="0017135D" w:rsidRPr="002E62B4" w:rsidP="009967D5">
            <w:pPr>
              <w:pStyle w:val="CSBody8pt"/>
              <w:rPr>
                <w:lang w:val="de-DE"/>
              </w:rPr>
            </w:pPr>
            <w:r w:rsidRPr="002E62B4">
              <w:rPr>
                <w:lang w:val="de-DE"/>
              </w:rPr>
              <w:t>eine zur Abtrennung und Übertragung des Kreditrisikos eines zugrunde liegenden Kreditengagements bestimmte Transaktion.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62B4" w:rsidP="009967D5">
            <w:pPr>
              <w:pStyle w:val="CSBody8pt"/>
            </w:pPr>
            <w:r w:rsidRPr="002E62B4">
              <w:t>Credit Event</w:t>
            </w:r>
            <w:r>
              <w:fldChar w:fldCharType="begin"/>
            </w:r>
            <w:r>
              <w:instrText xml:space="preserve"> XE "</w:instrText>
            </w:r>
            <w:r w:rsidRPr="00441A5E">
              <w:instrText>Credit Event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62B4" w:rsidP="009967D5">
            <w:pPr>
              <w:pStyle w:val="CSBody8pt"/>
            </w:pPr>
            <w:r w:rsidRPr="002E62B4">
              <w:t>means each of the credit events specified in Section 1.1.</w:t>
            </w:r>
          </w:p>
        </w:tc>
        <w:tc>
          <w:tcPr>
            <w:tcW w:w="1618" w:type="dxa"/>
            <w:gridSpan w:val="2"/>
            <w:tcBorders>
              <w:top w:val="nil"/>
              <w:bottom w:val="nil"/>
              <w:right w:val="nil"/>
            </w:tcBorders>
            <w:shd w:val="clear" w:color="auto" w:fill="auto"/>
          </w:tcPr>
          <w:p w:rsidR="0017135D" w:rsidRPr="002E62B4" w:rsidP="009967D5">
            <w:pPr>
              <w:pStyle w:val="CSBody8pt"/>
            </w:pPr>
            <w:r w:rsidRPr="002E62B4">
              <w:t>Kreditereignis</w:t>
            </w:r>
            <w:r>
              <w:fldChar w:fldCharType="begin"/>
            </w:r>
            <w:r>
              <w:instrText xml:space="preserve"> XE "</w:instrText>
            </w:r>
            <w:r w:rsidRPr="005603D3">
              <w:instrText>Kreditereignis</w:instrText>
            </w:r>
            <w:r>
              <w:instrText xml:space="preserve">" </w:instrText>
            </w:r>
            <w:r>
              <w:fldChar w:fldCharType="end"/>
            </w:r>
          </w:p>
        </w:tc>
        <w:tc>
          <w:tcPr>
            <w:tcW w:w="3318" w:type="dxa"/>
            <w:tcBorders>
              <w:top w:val="nil"/>
              <w:left w:val="nil"/>
              <w:bottom w:val="nil"/>
              <w:right w:val="nil"/>
            </w:tcBorders>
            <w:shd w:val="clear" w:color="auto" w:fill="auto"/>
          </w:tcPr>
          <w:p w:rsidR="0017135D" w:rsidRPr="002E62B4" w:rsidP="009967D5">
            <w:pPr>
              <w:pStyle w:val="CSBody8pt"/>
              <w:rPr>
                <w:lang w:val="de-DE"/>
              </w:rPr>
            </w:pPr>
            <w:r w:rsidRPr="002E62B4">
              <w:rPr>
                <w:lang w:val="de-DE"/>
              </w:rPr>
              <w:t>bezeichnet jedes der in Ziffer 1.1 angegebenen Kreditereignisse.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62B4" w:rsidP="009967D5">
            <w:pPr>
              <w:pStyle w:val="CSBody8pt"/>
            </w:pPr>
            <w:r w:rsidRPr="002E62B4">
              <w:t>Credit Event Backstop Date</w:t>
            </w:r>
            <w:r>
              <w:fldChar w:fldCharType="begin"/>
            </w:r>
            <w:r>
              <w:instrText xml:space="preserve"> XE "</w:instrText>
            </w:r>
            <w:r w:rsidRPr="00C47B89">
              <w:instrText>Credit Event Backstop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62B4" w:rsidP="009967D5">
            <w:pPr>
              <w:pStyle w:val="CSBody8pt"/>
            </w:pPr>
            <w:r w:rsidRPr="002E62B4">
              <w:t xml:space="preserve">(a) for purposes of any event that constitutes a Credit Event </w:t>
            </w:r>
            <w:r w:rsidRPr="00792D61">
              <w:rPr>
                <w:b/>
              </w:rPr>
              <w:t>[</w:t>
            </w:r>
            <w:r w:rsidRPr="002E62B4">
              <w:rPr>
                <w:b/>
                <w:i/>
              </w:rPr>
              <w:t>if "Repudiation/Moratorium" is applicable, insert:</w:t>
            </w:r>
            <w:r w:rsidRPr="002E62B4">
              <w:t xml:space="preserve"> (or with respect to a Repudiation/Moratorium, the event described in clause (ii) of the definition of Repudiation/Moratorium in Section 1.1.)</w:t>
            </w:r>
            <w:r w:rsidRPr="00792D61">
              <w:rPr>
                <w:b/>
              </w:rPr>
              <w:t>]</w:t>
            </w:r>
            <w:r w:rsidRPr="002E62B4">
              <w:t>, as determined by DC Resolution, the date that is sixty calendar days prior to the Credit Event Resolution Request Date or (b) otherwise, the date that is sixty calendar days prior to the earlier of (i) the Notice Delivery Date, if the Notice Delivery Date occurs during the Notice Delivery Period and (ii) the Credit Event Resolution Request Date, if the Notice Delivery Date occurs during the Post Dismissal Additional Period. The Credit Event Backstop Date shall not be subject to adjustment in accordance with any Business Day Convention.</w:t>
            </w:r>
          </w:p>
        </w:tc>
        <w:tc>
          <w:tcPr>
            <w:tcW w:w="1618" w:type="dxa"/>
            <w:gridSpan w:val="2"/>
            <w:tcBorders>
              <w:top w:val="nil"/>
              <w:bottom w:val="nil"/>
              <w:right w:val="nil"/>
            </w:tcBorders>
            <w:shd w:val="clear" w:color="auto" w:fill="auto"/>
          </w:tcPr>
          <w:p w:rsidR="0017135D" w:rsidRPr="002E62B4" w:rsidP="009967D5">
            <w:pPr>
              <w:pStyle w:val="CSBody8pt"/>
            </w:pPr>
            <w:r w:rsidRPr="002E62B4">
              <w:t>Kreditereignis-Rückschau-Stichtag</w:t>
            </w:r>
            <w:r>
              <w:fldChar w:fldCharType="begin"/>
            </w:r>
            <w:r>
              <w:instrText xml:space="preserve"> XE "</w:instrText>
            </w:r>
            <w:r w:rsidRPr="00C145F6">
              <w:instrText>Kreditereignis-Rückschau-Stichtag</w:instrText>
            </w:r>
            <w:r>
              <w:instrText xml:space="preserve">" </w:instrText>
            </w:r>
            <w:r>
              <w:fldChar w:fldCharType="end"/>
            </w:r>
            <w:r w:rsidRPr="002E62B4">
              <w:t xml:space="preserve"> </w:t>
            </w:r>
          </w:p>
        </w:tc>
        <w:tc>
          <w:tcPr>
            <w:tcW w:w="3318" w:type="dxa"/>
            <w:tcBorders>
              <w:top w:val="nil"/>
              <w:left w:val="nil"/>
              <w:bottom w:val="nil"/>
              <w:right w:val="nil"/>
            </w:tcBorders>
            <w:shd w:val="clear" w:color="auto" w:fill="auto"/>
          </w:tcPr>
          <w:p w:rsidR="0017135D" w:rsidRPr="00E83535" w:rsidP="008A6718">
            <w:pPr>
              <w:pStyle w:val="CSBody8pt"/>
              <w:rPr>
                <w:lang w:val="de-DE"/>
              </w:rPr>
            </w:pPr>
            <w:r w:rsidRPr="002E62B4">
              <w:rPr>
                <w:lang w:val="de-DE"/>
              </w:rPr>
              <w:t xml:space="preserve">(a) im Zusammenhang mit einem Ereignis, das nach Feststellung durch einen Feststellungsausschussbeschluss ein Kreditereignis </w:t>
            </w:r>
            <w:r w:rsidRPr="00792D61">
              <w:rPr>
                <w:b/>
                <w:lang w:val="de-DE"/>
              </w:rPr>
              <w:t>[</w:t>
            </w:r>
            <w:r w:rsidRPr="002E62B4">
              <w:rPr>
                <w:b/>
                <w:i/>
                <w:lang w:val="de-DE"/>
              </w:rPr>
              <w:t>falls "</w:t>
            </w:r>
            <w:r>
              <w:rPr>
                <w:b/>
                <w:i/>
                <w:lang w:val="de-DE"/>
              </w:rPr>
              <w:t>Nichtanerkennung/Moratorium" an</w:t>
            </w:r>
            <w:r w:rsidRPr="002E62B4">
              <w:rPr>
                <w:b/>
                <w:i/>
                <w:lang w:val="de-DE"/>
              </w:rPr>
              <w:t xml:space="preserve">endbar ist, einfügen: </w:t>
            </w:r>
            <w:r w:rsidRPr="002E62B4">
              <w:rPr>
                <w:lang w:val="de-DE"/>
              </w:rPr>
              <w:t>(bzw. in Bezug auf eine Nichtanerkennung / ein Moratorium das in Absatz (ii) der Definition Nichanerkennung/Moratorium in Ziffer 1.1 genannte Ereignis)</w:t>
            </w:r>
            <w:r w:rsidRPr="00792D61">
              <w:rPr>
                <w:b/>
                <w:lang w:val="de-DE"/>
              </w:rPr>
              <w:t>]</w:t>
            </w:r>
            <w:r w:rsidRPr="002E62B4">
              <w:rPr>
                <w:lang w:val="de-DE"/>
              </w:rPr>
              <w:t xml:space="preserve"> darstellt, der Tag, der sechzig Kalendertage vor dem Kreditereignisbeschluss-Antragsdatum liegt, oder (b) in allen anderen Fällen der Tag, der sechzig Kalendertage vor dem früheren der folgenden Termine liegt: (i) dem Mitteilungstag, wenn der Mitteilungstag in der Mitteilungsfrist liegt, und (ii) dem Kreditereignisbeschluss-Antragsdatum, wenn der Mitteilungstag in der Zusatzfrist nach Ablehnung liegt. Der Kreditereignis-Rückschau-Stichtag unterliegt keiner Anpassung gemäss einer Geschäftstags-Konvention.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62B4" w:rsidP="009967D5">
            <w:pPr>
              <w:pStyle w:val="CSBody8pt"/>
            </w:pPr>
            <w:r w:rsidRPr="002E62B4">
              <w:t>Credit Event Determination Date</w:t>
            </w:r>
            <w:r>
              <w:fldChar w:fldCharType="begin"/>
            </w:r>
            <w:r>
              <w:instrText xml:space="preserve"> XE "</w:instrText>
            </w:r>
            <w:r w:rsidRPr="0041190A">
              <w:instrText>Credit Event Determination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62B4" w:rsidP="009967D5">
            <w:pPr>
              <w:pStyle w:val="CSManNum8pt"/>
            </w:pPr>
            <w:r w:rsidRPr="002E62B4">
              <w:t>(a)</w:t>
            </w:r>
            <w:r w:rsidRPr="002E62B4">
              <w:tab/>
              <w:t>with respect to a Credit Event:</w:t>
            </w:r>
          </w:p>
        </w:tc>
        <w:tc>
          <w:tcPr>
            <w:tcW w:w="1618" w:type="dxa"/>
            <w:gridSpan w:val="2"/>
            <w:tcBorders>
              <w:top w:val="nil"/>
              <w:bottom w:val="nil"/>
              <w:right w:val="nil"/>
            </w:tcBorders>
            <w:shd w:val="clear" w:color="auto" w:fill="auto"/>
          </w:tcPr>
          <w:p w:rsidR="0017135D" w:rsidRPr="002E62B4" w:rsidP="00551B3C">
            <w:pPr>
              <w:pStyle w:val="CSBody8pt"/>
            </w:pPr>
            <w:r w:rsidRPr="002E62B4">
              <w:t>Kreditereignis-Feststellungstag</w:t>
            </w:r>
            <w:r>
              <w:fldChar w:fldCharType="begin"/>
            </w:r>
            <w:r>
              <w:instrText xml:space="preserve"> XE "</w:instrText>
            </w:r>
            <w:r w:rsidRPr="00D43DD2">
              <w:instrText>Kreditereignis-Feststellungstag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E83535" w:rsidP="009967D5">
            <w:pPr>
              <w:pStyle w:val="CSManNum8pt"/>
              <w:rPr>
                <w:lang w:val="de-DE"/>
              </w:rPr>
            </w:pPr>
            <w:r w:rsidRPr="002E62B4">
              <w:rPr>
                <w:lang w:val="de-DE"/>
              </w:rPr>
              <w:t>(a)</w:t>
            </w:r>
            <w:r w:rsidRPr="002E62B4">
              <w:rPr>
                <w:lang w:val="de-DE"/>
              </w:rPr>
              <w:tab/>
              <w:t>In Bezug auf ein Kreditereignis: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9967D5">
            <w:pPr>
              <w:pStyle w:val="CSManNum8pt"/>
              <w:rPr>
                <w:lang w:val="de-DE"/>
              </w:rPr>
            </w:pPr>
          </w:p>
        </w:tc>
        <w:tc>
          <w:tcPr>
            <w:tcW w:w="3315" w:type="dxa"/>
            <w:gridSpan w:val="2"/>
            <w:tcBorders>
              <w:top w:val="nil"/>
              <w:left w:val="nil"/>
              <w:bottom w:val="nil"/>
            </w:tcBorders>
            <w:shd w:val="clear" w:color="auto" w:fill="auto"/>
          </w:tcPr>
          <w:p w:rsidR="0017135D" w:rsidRPr="00E83535" w:rsidP="008A6718">
            <w:pPr>
              <w:pStyle w:val="CSManNum8pt"/>
              <w:ind w:left="649" w:hanging="283"/>
            </w:pPr>
            <w:r w:rsidRPr="00E83535">
              <w:t>(i)</w:t>
            </w:r>
            <w:r w:rsidRPr="00E83535">
              <w:tab/>
              <w:t>subject to paragraph (a)(ii) below, the Notice Delivery Date, if such Notice Delivery Date occurs during either the Notice Delivery Period or the Post Dismissal Additional Period and provided neither a DC Credit Event Announcement nor a DC No Credit Event Announcement has occurred, in each case with respect to the Credit Event specified in the Credit Event Notice;</w:t>
            </w:r>
          </w:p>
        </w:tc>
        <w:tc>
          <w:tcPr>
            <w:tcW w:w="1618" w:type="dxa"/>
            <w:gridSpan w:val="2"/>
            <w:tcBorders>
              <w:top w:val="nil"/>
              <w:bottom w:val="nil"/>
              <w:right w:val="nil"/>
            </w:tcBorders>
            <w:shd w:val="clear" w:color="auto" w:fill="auto"/>
          </w:tcPr>
          <w:p w:rsidR="0017135D" w:rsidRPr="00E83535" w:rsidP="009967D5">
            <w:pPr>
              <w:pStyle w:val="CSManNum8pt"/>
              <w:rPr>
                <w:i/>
              </w:rPr>
            </w:pPr>
          </w:p>
        </w:tc>
        <w:tc>
          <w:tcPr>
            <w:tcW w:w="3318" w:type="dxa"/>
            <w:tcBorders>
              <w:top w:val="nil"/>
              <w:left w:val="nil"/>
              <w:bottom w:val="nil"/>
              <w:right w:val="nil"/>
            </w:tcBorders>
            <w:shd w:val="clear" w:color="auto" w:fill="auto"/>
          </w:tcPr>
          <w:p w:rsidR="0017135D" w:rsidRPr="00E83535" w:rsidP="008A6718">
            <w:pPr>
              <w:pStyle w:val="CSManNum8pt"/>
              <w:ind w:left="681" w:hanging="284"/>
              <w:rPr>
                <w:bCs/>
                <w:lang w:val="de-DE"/>
              </w:rPr>
            </w:pPr>
            <w:r w:rsidRPr="00E83535">
              <w:rPr>
                <w:bCs/>
                <w:lang w:val="de-DE"/>
              </w:rPr>
              <w:t>(i)</w:t>
            </w:r>
            <w:r w:rsidRPr="00E83535">
              <w:rPr>
                <w:bCs/>
                <w:lang w:val="de-DE"/>
              </w:rPr>
              <w:tab/>
              <w:t>vorbehaltlich des nachfolgenden Absatzes (a)(ii) der Mitteilungstag, wenn dieser Mitteilungstag entweder innerhalb der Mitteilungsfrist oder innerhalb der Zusatzfrist nach Ablehnung liegt, und zugleich weder eine Bekanntgabe eines Kreditereignisbeschlusses noch eine Bekanntgabe des Nichtvorliegens eines Kreditereignisses (jeweils in Bezug auf das in der Kreditereignismitteilung bezeichente Kreditereignis) erfolgt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9967D5">
            <w:pPr>
              <w:pStyle w:val="CSManNum8pt"/>
              <w:rPr>
                <w:lang w:val="de-DE"/>
              </w:rPr>
            </w:pPr>
          </w:p>
        </w:tc>
        <w:tc>
          <w:tcPr>
            <w:tcW w:w="3315" w:type="dxa"/>
            <w:gridSpan w:val="2"/>
            <w:tcBorders>
              <w:top w:val="nil"/>
              <w:left w:val="nil"/>
              <w:bottom w:val="nil"/>
            </w:tcBorders>
            <w:shd w:val="clear" w:color="auto" w:fill="auto"/>
          </w:tcPr>
          <w:p w:rsidR="0017135D" w:rsidRPr="00E83535" w:rsidP="00403B76">
            <w:pPr>
              <w:pStyle w:val="CSManNum8pt"/>
              <w:ind w:left="649" w:hanging="283"/>
            </w:pPr>
            <w:r w:rsidRPr="00E83535">
              <w:t>(ii)</w:t>
            </w:r>
            <w:r w:rsidRPr="00E83535">
              <w:tab/>
              <w:t>notwithstanding clause (a)(i) above, the Credit Event Resolution Request Date, if</w:t>
            </w:r>
          </w:p>
        </w:tc>
        <w:tc>
          <w:tcPr>
            <w:tcW w:w="1618" w:type="dxa"/>
            <w:gridSpan w:val="2"/>
            <w:tcBorders>
              <w:top w:val="nil"/>
              <w:bottom w:val="nil"/>
              <w:right w:val="nil"/>
            </w:tcBorders>
            <w:shd w:val="clear" w:color="auto" w:fill="auto"/>
          </w:tcPr>
          <w:p w:rsidR="0017135D" w:rsidRPr="00E83535" w:rsidP="009967D5">
            <w:pPr>
              <w:pStyle w:val="CSManNum8pt"/>
              <w:rPr>
                <w:i/>
              </w:rPr>
            </w:pPr>
          </w:p>
        </w:tc>
        <w:tc>
          <w:tcPr>
            <w:tcW w:w="3318" w:type="dxa"/>
            <w:tcBorders>
              <w:top w:val="nil"/>
              <w:left w:val="nil"/>
              <w:bottom w:val="nil"/>
              <w:right w:val="nil"/>
            </w:tcBorders>
            <w:shd w:val="clear" w:color="auto" w:fill="auto"/>
          </w:tcPr>
          <w:p w:rsidR="0017135D" w:rsidRPr="00E83535" w:rsidP="00403B76">
            <w:pPr>
              <w:pStyle w:val="CSManNum8pt"/>
              <w:ind w:left="681" w:hanging="284"/>
              <w:rPr>
                <w:bCs/>
                <w:lang w:val="de-DE"/>
              </w:rPr>
            </w:pPr>
            <w:r w:rsidRPr="00E83535">
              <w:rPr>
                <w:bCs/>
                <w:lang w:val="de-DE"/>
              </w:rPr>
              <w:t>(ii)</w:t>
            </w:r>
            <w:r w:rsidRPr="00E83535">
              <w:rPr>
                <w:bCs/>
                <w:lang w:val="de-DE"/>
              </w:rPr>
              <w:tab/>
              <w:t>ungeachtet des vorstehenden Absatzes (a)(i) das Kreditereig-nisbeschluss-Antragsdatum, sofern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9967D5">
            <w:pPr>
              <w:pStyle w:val="CSManNum8pt"/>
              <w:rPr>
                <w:lang w:val="de-DE"/>
              </w:rPr>
            </w:pPr>
          </w:p>
        </w:tc>
        <w:tc>
          <w:tcPr>
            <w:tcW w:w="3315" w:type="dxa"/>
            <w:gridSpan w:val="2"/>
            <w:tcBorders>
              <w:top w:val="nil"/>
              <w:left w:val="nil"/>
              <w:bottom w:val="nil"/>
            </w:tcBorders>
            <w:shd w:val="clear" w:color="auto" w:fill="auto"/>
          </w:tcPr>
          <w:p w:rsidR="0017135D" w:rsidRPr="00E83535" w:rsidP="008A6718">
            <w:pPr>
              <w:pStyle w:val="CSManNum8pt"/>
              <w:ind w:left="649" w:hanging="283"/>
            </w:pPr>
            <w:r w:rsidRPr="00E83535">
              <w:t>(A)</w:t>
            </w:r>
            <w:r w:rsidRPr="00E83535">
              <w:tab/>
              <w:t>a DC Credit Event Announcement has occurred;</w:t>
            </w:r>
          </w:p>
        </w:tc>
        <w:tc>
          <w:tcPr>
            <w:tcW w:w="1618" w:type="dxa"/>
            <w:gridSpan w:val="2"/>
            <w:tcBorders>
              <w:top w:val="nil"/>
              <w:bottom w:val="nil"/>
              <w:right w:val="nil"/>
            </w:tcBorders>
            <w:shd w:val="clear" w:color="auto" w:fill="auto"/>
          </w:tcPr>
          <w:p w:rsidR="0017135D" w:rsidRPr="00E83535" w:rsidP="009967D5">
            <w:pPr>
              <w:pStyle w:val="CSManNum8pt"/>
              <w:rPr>
                <w:i/>
              </w:rPr>
            </w:pPr>
          </w:p>
        </w:tc>
        <w:tc>
          <w:tcPr>
            <w:tcW w:w="3318" w:type="dxa"/>
            <w:tcBorders>
              <w:top w:val="nil"/>
              <w:left w:val="nil"/>
              <w:bottom w:val="nil"/>
              <w:right w:val="nil"/>
            </w:tcBorders>
            <w:shd w:val="clear" w:color="auto" w:fill="auto"/>
          </w:tcPr>
          <w:p w:rsidR="0017135D" w:rsidRPr="00E83535" w:rsidP="00811A79">
            <w:pPr>
              <w:pStyle w:val="CSManNum8pt"/>
              <w:ind w:left="681" w:hanging="284"/>
              <w:rPr>
                <w:bCs/>
                <w:lang w:val="de-DE"/>
              </w:rPr>
            </w:pPr>
            <w:r w:rsidRPr="00E83535">
              <w:rPr>
                <w:bCs/>
                <w:lang w:val="de-DE"/>
              </w:rPr>
              <w:t>(A)</w:t>
            </w:r>
            <w:r w:rsidRPr="00E83535">
              <w:rPr>
                <w:bCs/>
                <w:lang w:val="de-DE"/>
              </w:rPr>
              <w:tab/>
              <w:t>eine Bekanntgabe eines Kreditereignisbeschlusses erfolgt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9967D5">
            <w:pPr>
              <w:pStyle w:val="CSManNum8pt"/>
              <w:rPr>
                <w:lang w:val="de-DE"/>
              </w:rPr>
            </w:pPr>
          </w:p>
        </w:tc>
        <w:tc>
          <w:tcPr>
            <w:tcW w:w="3315" w:type="dxa"/>
            <w:gridSpan w:val="2"/>
            <w:tcBorders>
              <w:top w:val="nil"/>
              <w:left w:val="nil"/>
              <w:bottom w:val="nil"/>
            </w:tcBorders>
            <w:shd w:val="clear" w:color="auto" w:fill="auto"/>
          </w:tcPr>
          <w:p w:rsidR="0017135D" w:rsidRPr="00E83535" w:rsidP="00811A79">
            <w:pPr>
              <w:pStyle w:val="CSManNum8pt"/>
              <w:ind w:left="649" w:hanging="283"/>
            </w:pPr>
            <w:r w:rsidRPr="00E83535">
              <w:t>(B)</w:t>
            </w:r>
            <w:r w:rsidRPr="00E83535">
              <w:tab/>
              <w:t xml:space="preserve">the Credit Event Resolution Request Date has occurred on or prior to the last day of the Notice Delivery Period </w:t>
            </w:r>
            <w:r w:rsidRPr="00792D61">
              <w:rPr>
                <w:b/>
              </w:rPr>
              <w:t>[</w:t>
            </w:r>
            <w:r w:rsidRPr="00E83535">
              <w:t xml:space="preserve">(including prior to the Issue Date </w:t>
            </w:r>
            <w:r w:rsidRPr="00792D61">
              <w:rPr>
                <w:b/>
              </w:rPr>
              <w:t>[</w:t>
            </w:r>
            <w:r w:rsidRPr="00E83535">
              <w:t>and prior to the Trade Date</w:t>
            </w:r>
            <w:r w:rsidRPr="00792D61">
              <w:rPr>
                <w:b/>
              </w:rPr>
              <w:t>]</w:t>
            </w:r>
            <w:r w:rsidRPr="00E83535">
              <w:t>)</w:t>
            </w:r>
            <w:r w:rsidRPr="00792D61">
              <w:rPr>
                <w:b/>
              </w:rPr>
              <w:t>]</w:t>
            </w:r>
            <w:r w:rsidRPr="00E83535">
              <w:t>; and</w:t>
            </w:r>
          </w:p>
        </w:tc>
        <w:tc>
          <w:tcPr>
            <w:tcW w:w="1618" w:type="dxa"/>
            <w:gridSpan w:val="2"/>
            <w:tcBorders>
              <w:top w:val="nil"/>
              <w:bottom w:val="nil"/>
              <w:right w:val="nil"/>
            </w:tcBorders>
            <w:shd w:val="clear" w:color="auto" w:fill="auto"/>
          </w:tcPr>
          <w:p w:rsidR="0017135D" w:rsidRPr="00E83535" w:rsidP="009967D5">
            <w:pPr>
              <w:pStyle w:val="CSManNum8pt"/>
              <w:rPr>
                <w:i/>
              </w:rPr>
            </w:pPr>
          </w:p>
        </w:tc>
        <w:tc>
          <w:tcPr>
            <w:tcW w:w="3318" w:type="dxa"/>
            <w:tcBorders>
              <w:top w:val="nil"/>
              <w:left w:val="nil"/>
              <w:bottom w:val="nil"/>
              <w:right w:val="nil"/>
            </w:tcBorders>
            <w:shd w:val="clear" w:color="auto" w:fill="auto"/>
          </w:tcPr>
          <w:p w:rsidR="0017135D" w:rsidRPr="00E83535" w:rsidP="008A6718">
            <w:pPr>
              <w:pStyle w:val="CSManNum8pt"/>
              <w:ind w:left="681" w:hanging="284"/>
              <w:rPr>
                <w:bCs/>
                <w:lang w:val="de-DE"/>
              </w:rPr>
            </w:pPr>
            <w:r w:rsidRPr="00E83535">
              <w:rPr>
                <w:bCs/>
                <w:lang w:val="de-DE"/>
              </w:rPr>
              <w:t>(B)</w:t>
            </w:r>
            <w:r w:rsidRPr="00E83535">
              <w:rPr>
                <w:bCs/>
                <w:lang w:val="de-DE"/>
              </w:rPr>
              <w:tab/>
              <w:t xml:space="preserve">das Kreditereignisbeschluss-Antragsdatum an oder vor dem letzten Tag der Mitteilungsfrist liegt </w:t>
            </w:r>
            <w:r w:rsidRPr="00792D61">
              <w:rPr>
                <w:b/>
                <w:bCs/>
                <w:lang w:val="de-DE"/>
              </w:rPr>
              <w:t>[</w:t>
            </w:r>
            <w:r w:rsidRPr="00E83535">
              <w:rPr>
                <w:bCs/>
                <w:lang w:val="de-DE"/>
              </w:rPr>
              <w:t xml:space="preserve">(einschliesslich vor dem Emissionstag </w:t>
            </w:r>
            <w:r w:rsidRPr="00792D61">
              <w:rPr>
                <w:b/>
                <w:bCs/>
                <w:lang w:val="de-DE"/>
              </w:rPr>
              <w:t>[</w:t>
            </w:r>
            <w:r w:rsidRPr="00E83535">
              <w:rPr>
                <w:bCs/>
                <w:lang w:val="de-DE"/>
              </w:rPr>
              <w:t>und vor dem Abschlusstag</w:t>
            </w:r>
            <w:r w:rsidRPr="00792D61">
              <w:rPr>
                <w:b/>
                <w:bCs/>
                <w:lang w:val="de-DE"/>
              </w:rPr>
              <w:t>]</w:t>
            </w:r>
            <w:r w:rsidRPr="00E83535">
              <w:rPr>
                <w:bCs/>
                <w:lang w:val="de-DE"/>
              </w:rPr>
              <w:t>)</w:t>
            </w:r>
            <w:r w:rsidRPr="00792D61">
              <w:rPr>
                <w:b/>
                <w:bCs/>
                <w:lang w:val="de-DE"/>
              </w:rPr>
              <w:t>]</w:t>
            </w:r>
            <w:r w:rsidRPr="00E83535">
              <w:rPr>
                <w:bCs/>
                <w:lang w:val="de-DE"/>
              </w:rPr>
              <w:t>;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9967D5">
            <w:pPr>
              <w:pStyle w:val="CSManNum8pt"/>
              <w:rPr>
                <w:lang w:val="de-DE"/>
              </w:rPr>
            </w:pPr>
          </w:p>
        </w:tc>
        <w:tc>
          <w:tcPr>
            <w:tcW w:w="3315" w:type="dxa"/>
            <w:gridSpan w:val="2"/>
            <w:tcBorders>
              <w:top w:val="nil"/>
              <w:left w:val="nil"/>
              <w:bottom w:val="nil"/>
            </w:tcBorders>
            <w:shd w:val="clear" w:color="auto" w:fill="auto"/>
          </w:tcPr>
          <w:p w:rsidR="0017135D" w:rsidRPr="00E83535" w:rsidP="00811A79">
            <w:pPr>
              <w:pStyle w:val="CSManNum8pt"/>
              <w:ind w:left="649" w:hanging="283"/>
            </w:pPr>
            <w:r w:rsidRPr="00E83535">
              <w:t>(C)</w:t>
            </w:r>
            <w:r w:rsidRPr="00E83535">
              <w:tab/>
            </w:r>
            <w:r w:rsidRPr="00792D61">
              <w:rPr>
                <w:b/>
              </w:rPr>
              <w:t>[</w:t>
            </w:r>
            <w:r w:rsidRPr="009967D5">
              <w:rPr>
                <w:b/>
                <w:i/>
              </w:rPr>
              <w:t>in case of Complex Products in respect of which M(M)R Restructuring is applicable:</w:t>
            </w:r>
            <w:r w:rsidRPr="00E83535">
              <w:t xml:space="preserve"> if either (aa) the relevant Credit Event is not a M(M)R Restructuring and</w:t>
            </w:r>
            <w:r w:rsidRPr="00792D61">
              <w:rPr>
                <w:b/>
              </w:rPr>
              <w:t>]</w:t>
            </w:r>
            <w:r w:rsidRPr="00E83535">
              <w:t xml:space="preserve"> the </w:t>
            </w:r>
            <w:r w:rsidRPr="00792D61">
              <w:rPr>
                <w:b/>
              </w:rPr>
              <w:t>[</w:t>
            </w:r>
            <w:r w:rsidRPr="00E83535">
              <w:t>Issue</w:t>
            </w:r>
            <w:r w:rsidRPr="00792D61">
              <w:rPr>
                <w:b/>
              </w:rPr>
              <w:t>][</w:t>
            </w:r>
            <w:r w:rsidRPr="00E83535">
              <w:t>Trade</w:t>
            </w:r>
            <w:r w:rsidRPr="00792D61">
              <w:rPr>
                <w:b/>
              </w:rPr>
              <w:t>]</w:t>
            </w:r>
            <w:r w:rsidRPr="00E83535">
              <w:t xml:space="preserve"> Date occurs on or prior to a DC Announcement Coverage Cut-off Date</w:t>
            </w:r>
            <w:r w:rsidRPr="00792D61">
              <w:rPr>
                <w:b/>
              </w:rPr>
              <w:t>[</w:t>
            </w:r>
            <w:r w:rsidRPr="00E83535">
              <w:t>,</w:t>
            </w:r>
            <w:r w:rsidRPr="00792D61">
              <w:rPr>
                <w:b/>
              </w:rPr>
              <w:t>]</w:t>
            </w:r>
            <w:r w:rsidRPr="00E83535">
              <w:t xml:space="preserve"> </w:t>
            </w:r>
            <w:r w:rsidRPr="00792D61">
              <w:rPr>
                <w:b/>
              </w:rPr>
              <w:t>[</w:t>
            </w:r>
            <w:r w:rsidRPr="00046FAE">
              <w:rPr>
                <w:b/>
                <w:i/>
              </w:rPr>
              <w:t>in case of Complex Products in respect of which M(M)R Restructuring is applicable:</w:t>
            </w:r>
            <w:r w:rsidRPr="00E83535">
              <w:t xml:space="preserve"> or (bb) the relevant Credit Event is a M(M)R Restructuring and the Credit Event Notice is delivered by and is effective on or prior to the Exercise Cut-off Date,</w:t>
            </w:r>
            <w:r w:rsidRPr="00792D61">
              <w:rPr>
                <w:b/>
              </w:rPr>
              <w:t>]</w:t>
            </w:r>
          </w:p>
        </w:tc>
        <w:tc>
          <w:tcPr>
            <w:tcW w:w="1618" w:type="dxa"/>
            <w:gridSpan w:val="2"/>
            <w:tcBorders>
              <w:top w:val="nil"/>
              <w:bottom w:val="nil"/>
              <w:right w:val="nil"/>
            </w:tcBorders>
            <w:shd w:val="clear" w:color="auto" w:fill="auto"/>
          </w:tcPr>
          <w:p w:rsidR="0017135D" w:rsidRPr="00E83535" w:rsidP="009967D5">
            <w:pPr>
              <w:pStyle w:val="CSManNum8pt"/>
              <w:rPr>
                <w:i/>
              </w:rPr>
            </w:pPr>
          </w:p>
        </w:tc>
        <w:tc>
          <w:tcPr>
            <w:tcW w:w="3318" w:type="dxa"/>
            <w:tcBorders>
              <w:top w:val="nil"/>
              <w:left w:val="nil"/>
              <w:bottom w:val="nil"/>
              <w:right w:val="nil"/>
            </w:tcBorders>
            <w:shd w:val="clear" w:color="auto" w:fill="auto"/>
          </w:tcPr>
          <w:p w:rsidR="0017135D" w:rsidRPr="00E83535" w:rsidP="008A6718">
            <w:pPr>
              <w:pStyle w:val="CSManNum8pt"/>
              <w:ind w:left="681" w:hanging="284"/>
              <w:rPr>
                <w:bCs/>
                <w:lang w:val="de-DE"/>
              </w:rPr>
            </w:pPr>
            <w:r w:rsidRPr="00E83535">
              <w:rPr>
                <w:bCs/>
                <w:lang w:val="de-DE"/>
              </w:rPr>
              <w:t>(C)</w:t>
            </w:r>
            <w:r w:rsidRPr="00E83535">
              <w:rPr>
                <w:bCs/>
                <w:lang w:val="de-DE"/>
              </w:rPr>
              <w:tab/>
            </w:r>
            <w:r w:rsidRPr="00792D61">
              <w:rPr>
                <w:b/>
                <w:bCs/>
                <w:lang w:val="de-DE"/>
              </w:rPr>
              <w:t>[</w:t>
            </w:r>
            <w:r w:rsidRPr="00046FAE">
              <w:rPr>
                <w:b/>
                <w:bCs/>
                <w:i/>
                <w:lang w:val="de-DE"/>
              </w:rPr>
              <w:t>bei Komplexen Produkten, für die M(M)R-Restrukturierung anwendbar ist:</w:t>
            </w:r>
            <w:r w:rsidRPr="00E83535">
              <w:rPr>
                <w:bCs/>
                <w:lang w:val="de-DE"/>
              </w:rPr>
              <w:t xml:space="preserve"> entweder (aa) falls das betreffende Kreditereignis keine M(M)R-Restrukturierung ist und</w:t>
            </w:r>
            <w:r w:rsidRPr="00792D61">
              <w:rPr>
                <w:b/>
                <w:bCs/>
                <w:lang w:val="de-DE"/>
              </w:rPr>
              <w:t>]</w:t>
            </w:r>
            <w:r w:rsidRPr="00E83535">
              <w:rPr>
                <w:bCs/>
                <w:lang w:val="de-DE"/>
              </w:rPr>
              <w:t xml:space="preserve"> der </w:t>
            </w:r>
            <w:r w:rsidRPr="00792D61">
              <w:rPr>
                <w:b/>
                <w:bCs/>
                <w:lang w:val="de-DE"/>
              </w:rPr>
              <w:t>[</w:t>
            </w:r>
            <w:r w:rsidRPr="00E83535">
              <w:rPr>
                <w:bCs/>
                <w:lang w:val="de-DE"/>
              </w:rPr>
              <w:t>Emissionstag</w:t>
            </w:r>
            <w:r w:rsidRPr="00792D61">
              <w:rPr>
                <w:b/>
                <w:bCs/>
                <w:lang w:val="de-DE"/>
              </w:rPr>
              <w:t>][</w:t>
            </w:r>
            <w:r w:rsidRPr="00E83535">
              <w:rPr>
                <w:bCs/>
                <w:lang w:val="de-DE"/>
              </w:rPr>
              <w:t>Abschlusstag</w:t>
            </w:r>
            <w:r w:rsidRPr="00792D61">
              <w:rPr>
                <w:b/>
                <w:bCs/>
                <w:lang w:val="de-DE"/>
              </w:rPr>
              <w:t>]</w:t>
            </w:r>
            <w:r w:rsidRPr="00E83535">
              <w:rPr>
                <w:bCs/>
                <w:lang w:val="de-DE"/>
              </w:rPr>
              <w:t xml:space="preserve"> an oder vor dem Feststellungsausschussbeschluss-Beobachtungsenddatum liegt</w:t>
            </w:r>
            <w:r w:rsidRPr="00792D61">
              <w:rPr>
                <w:b/>
                <w:bCs/>
                <w:lang w:val="de-DE"/>
              </w:rPr>
              <w:t>[</w:t>
            </w:r>
            <w:r w:rsidRPr="00E83535">
              <w:rPr>
                <w:bCs/>
                <w:lang w:val="de-DE"/>
              </w:rPr>
              <w:t>,</w:t>
            </w:r>
            <w:r w:rsidRPr="00792D61">
              <w:rPr>
                <w:b/>
                <w:bCs/>
                <w:lang w:val="de-DE"/>
              </w:rPr>
              <w:t>][</w:t>
            </w:r>
            <w:r w:rsidRPr="00046FAE">
              <w:rPr>
                <w:b/>
                <w:bCs/>
                <w:i/>
                <w:lang w:val="de-DE"/>
              </w:rPr>
              <w:t xml:space="preserve">bei Komplexen Produkten, für die M(M)R-Restrukturierung anwendbar ist: </w:t>
            </w:r>
            <w:r w:rsidRPr="00E83535">
              <w:rPr>
                <w:bCs/>
                <w:lang w:val="de-DE"/>
              </w:rPr>
              <w:t>oder (bb) falls das betreffende Kreditereignis eine M(M)R-Restrukturierung ist und die Kreditereignismitteilung bis zum Ausübungsstichtag übermittelt wurde und an oder vor dem Ausübungsstichtag wirksam ist,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046FAE">
            <w:pPr>
              <w:pStyle w:val="CSBody8pt"/>
              <w:rPr>
                <w:lang w:val="de-DE"/>
              </w:rPr>
            </w:pPr>
          </w:p>
        </w:tc>
        <w:tc>
          <w:tcPr>
            <w:tcW w:w="3315" w:type="dxa"/>
            <w:gridSpan w:val="2"/>
            <w:tcBorders>
              <w:top w:val="nil"/>
              <w:left w:val="nil"/>
              <w:bottom w:val="nil"/>
            </w:tcBorders>
            <w:shd w:val="clear" w:color="auto" w:fill="auto"/>
          </w:tcPr>
          <w:p w:rsidR="0017135D" w:rsidRPr="00E83535" w:rsidP="00046FAE">
            <w:pPr>
              <w:pStyle w:val="CSBody8pt"/>
            </w:pPr>
            <w:r w:rsidRPr="00811A79">
              <w:rPr>
                <w:i/>
              </w:rPr>
              <w:t>provided</w:t>
            </w:r>
            <w:r w:rsidRPr="00E83535">
              <w:t xml:space="preserve"> that, in the case of this clause (ii):</w:t>
            </w:r>
          </w:p>
        </w:tc>
        <w:tc>
          <w:tcPr>
            <w:tcW w:w="1618" w:type="dxa"/>
            <w:gridSpan w:val="2"/>
            <w:tcBorders>
              <w:top w:val="nil"/>
              <w:bottom w:val="nil"/>
              <w:right w:val="nil"/>
            </w:tcBorders>
            <w:shd w:val="clear" w:color="auto" w:fill="auto"/>
          </w:tcPr>
          <w:p w:rsidR="0017135D" w:rsidRPr="00E83535" w:rsidP="00046FAE">
            <w:pPr>
              <w:pStyle w:val="CSBody8pt"/>
              <w:rPr>
                <w:i/>
              </w:rPr>
            </w:pPr>
          </w:p>
        </w:tc>
        <w:tc>
          <w:tcPr>
            <w:tcW w:w="3318" w:type="dxa"/>
            <w:tcBorders>
              <w:top w:val="nil"/>
              <w:left w:val="nil"/>
              <w:bottom w:val="nil"/>
              <w:right w:val="nil"/>
            </w:tcBorders>
            <w:shd w:val="clear" w:color="auto" w:fill="auto"/>
          </w:tcPr>
          <w:p w:rsidR="0017135D" w:rsidRPr="00E83535" w:rsidP="00046FAE">
            <w:pPr>
              <w:pStyle w:val="CSBody8pt"/>
              <w:rPr>
                <w:bCs/>
                <w:lang w:val="de-DE"/>
              </w:rPr>
            </w:pPr>
            <w:r w:rsidRPr="00811A79">
              <w:rPr>
                <w:bCs/>
                <w:i/>
                <w:lang w:val="de-DE"/>
              </w:rPr>
              <w:t>vorausgesetzt</w:t>
            </w:r>
            <w:r w:rsidRPr="00E83535">
              <w:rPr>
                <w:bCs/>
                <w:lang w:val="de-DE"/>
              </w:rPr>
              <w:t>, dass im Falle dieses Absatzes (ii):</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C86D04">
            <w:pPr>
              <w:pStyle w:val="CSManNum8pt"/>
              <w:rPr>
                <w:lang w:val="de-DE"/>
              </w:rPr>
            </w:pPr>
          </w:p>
        </w:tc>
        <w:tc>
          <w:tcPr>
            <w:tcW w:w="3315" w:type="dxa"/>
            <w:gridSpan w:val="2"/>
            <w:tcBorders>
              <w:top w:val="nil"/>
              <w:left w:val="nil"/>
              <w:bottom w:val="nil"/>
            </w:tcBorders>
            <w:shd w:val="clear" w:color="auto" w:fill="auto"/>
          </w:tcPr>
          <w:p w:rsidR="0017135D" w:rsidRPr="00E83535" w:rsidP="00811A79">
            <w:pPr>
              <w:pStyle w:val="CSManNum8pt"/>
              <w:ind w:left="649" w:hanging="283"/>
            </w:pPr>
            <w:r w:rsidRPr="00E83535">
              <w:t>(x)</w:t>
            </w:r>
            <w:r w:rsidRPr="00E83535">
              <w:tab/>
              <w:t>no Cash Redemption Date has occurred on or prior to the date on which the DC Credit Event Meeting Announcement occurs;</w:t>
            </w:r>
            <w:r w:rsidRPr="00792D61">
              <w:rPr>
                <w:b/>
              </w:rPr>
              <w:t>[</w:t>
            </w:r>
            <w:r w:rsidRPr="00E83535">
              <w:t>and</w:t>
            </w:r>
            <w:r w:rsidRPr="00792D61">
              <w:rPr>
                <w:b/>
              </w:rPr>
              <w:t>]</w:t>
            </w:r>
          </w:p>
        </w:tc>
        <w:tc>
          <w:tcPr>
            <w:tcW w:w="1618" w:type="dxa"/>
            <w:gridSpan w:val="2"/>
            <w:tcBorders>
              <w:top w:val="nil"/>
              <w:bottom w:val="nil"/>
              <w:right w:val="nil"/>
            </w:tcBorders>
            <w:shd w:val="clear" w:color="auto" w:fill="auto"/>
          </w:tcPr>
          <w:p w:rsidR="0017135D" w:rsidRPr="00E83535" w:rsidP="00C86D04">
            <w:pPr>
              <w:pStyle w:val="CSManNum8pt"/>
              <w:rPr>
                <w:i/>
              </w:rPr>
            </w:pPr>
          </w:p>
        </w:tc>
        <w:tc>
          <w:tcPr>
            <w:tcW w:w="3318" w:type="dxa"/>
            <w:tcBorders>
              <w:top w:val="nil"/>
              <w:left w:val="nil"/>
              <w:bottom w:val="nil"/>
              <w:right w:val="nil"/>
            </w:tcBorders>
            <w:shd w:val="clear" w:color="auto" w:fill="auto"/>
          </w:tcPr>
          <w:p w:rsidR="0017135D" w:rsidRPr="00E83535" w:rsidP="00811A79">
            <w:pPr>
              <w:pStyle w:val="CSManNum8pt"/>
              <w:ind w:left="681" w:hanging="284"/>
              <w:rPr>
                <w:bCs/>
                <w:lang w:val="de-DE"/>
              </w:rPr>
            </w:pPr>
            <w:r w:rsidRPr="00E83535">
              <w:rPr>
                <w:bCs/>
                <w:lang w:val="de-DE"/>
              </w:rPr>
              <w:t>(x)</w:t>
            </w:r>
            <w:r w:rsidRPr="00E83535">
              <w:rPr>
                <w:bCs/>
                <w:lang w:val="de-DE"/>
              </w:rPr>
              <w:tab/>
              <w:t>an oder vor dem Tag, an dem die Bekanntgabe einer Sitzung zur Beschlussfassung über den Eintritt eines Kreditereignisses erfolgt, kein Barrückzahlungstag eingetreten ist;</w:t>
            </w:r>
            <w:r w:rsidRPr="00792D61">
              <w:rPr>
                <w:b/>
                <w:bCs/>
                <w:lang w:val="de-DE"/>
              </w:rPr>
              <w:t>[</w:t>
            </w:r>
            <w:r w:rsidRPr="00E83535">
              <w:rPr>
                <w:bCs/>
                <w:lang w:val="de-DE"/>
              </w:rPr>
              <w:t>und</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C86D04">
            <w:pPr>
              <w:pStyle w:val="CSManNum8pt"/>
              <w:rPr>
                <w:lang w:val="de-DE"/>
              </w:rPr>
            </w:pPr>
          </w:p>
        </w:tc>
        <w:tc>
          <w:tcPr>
            <w:tcW w:w="3315" w:type="dxa"/>
            <w:gridSpan w:val="2"/>
            <w:tcBorders>
              <w:top w:val="nil"/>
              <w:left w:val="nil"/>
              <w:bottom w:val="nil"/>
            </w:tcBorders>
            <w:shd w:val="clear" w:color="auto" w:fill="auto"/>
          </w:tcPr>
          <w:p w:rsidR="0017135D" w:rsidRPr="00E83535">
            <w:pPr>
              <w:pStyle w:val="CSManNum8pt"/>
              <w:ind w:left="649" w:hanging="283"/>
              <w:rPr>
                <w:lang w:val="de-DE"/>
              </w:rPr>
            </w:pPr>
            <w:r w:rsidRPr="00E83535">
              <w:t>(y)</w:t>
            </w:r>
            <w:r w:rsidRPr="00E83535">
              <w:tab/>
              <w:t>if any Valuation Date or date of selection of the relevant Valuation Obligation, as applicable, has occurred on or prior to the date on which the DC Credit Event Meeting Announcement occurs, a Credit Event Determination Date shall be deemed to have occurred only with respect to the outstanding notional amount of the Complex Products with respect to which no Valuation Date or the date of selection of the relevant Valuation Obligation, as applicable, has occurred as determined by the Calculation Agent</w:t>
            </w:r>
            <w:r w:rsidRPr="00792D61">
              <w:rPr>
                <w:b/>
              </w:rPr>
              <w:t>[</w:t>
            </w:r>
            <w:r w:rsidRPr="00E83535">
              <w:t>.</w:t>
            </w:r>
            <w:r w:rsidRPr="00792D61">
              <w:rPr>
                <w:b/>
              </w:rPr>
              <w:t>]</w:t>
            </w:r>
            <w:r w:rsidRPr="00E83535">
              <w:t xml:space="preserve"> </w:t>
            </w:r>
            <w:r w:rsidRPr="00792D61">
              <w:rPr>
                <w:b/>
                <w:lang w:val="de-DE"/>
              </w:rPr>
              <w:t>[</w:t>
            </w:r>
            <w:r w:rsidRPr="00E83535">
              <w:rPr>
                <w:lang w:val="de-DE"/>
              </w:rPr>
              <w:t>;and</w:t>
            </w:r>
            <w:r w:rsidRPr="00792D61">
              <w:rPr>
                <w:b/>
                <w:lang w:val="de-DE"/>
              </w:rPr>
              <w:t>]</w:t>
            </w:r>
          </w:p>
        </w:tc>
        <w:tc>
          <w:tcPr>
            <w:tcW w:w="1618" w:type="dxa"/>
            <w:gridSpan w:val="2"/>
            <w:tcBorders>
              <w:top w:val="nil"/>
              <w:bottom w:val="nil"/>
              <w:right w:val="nil"/>
            </w:tcBorders>
            <w:shd w:val="clear" w:color="auto" w:fill="auto"/>
          </w:tcPr>
          <w:p w:rsidR="0017135D" w:rsidRPr="00E83535" w:rsidP="00C86D04">
            <w:pPr>
              <w:pStyle w:val="CSManNum8pt"/>
              <w:rPr>
                <w:i/>
                <w:lang w:val="de-DE"/>
              </w:rPr>
            </w:pPr>
          </w:p>
        </w:tc>
        <w:tc>
          <w:tcPr>
            <w:tcW w:w="3318" w:type="dxa"/>
            <w:tcBorders>
              <w:top w:val="nil"/>
              <w:left w:val="nil"/>
              <w:bottom w:val="nil"/>
              <w:right w:val="nil"/>
            </w:tcBorders>
            <w:shd w:val="clear" w:color="auto" w:fill="auto"/>
          </w:tcPr>
          <w:p w:rsidR="0017135D" w:rsidRPr="00E83535" w:rsidP="008A6718">
            <w:pPr>
              <w:pStyle w:val="CSManNum8pt"/>
              <w:ind w:left="681" w:hanging="284"/>
              <w:rPr>
                <w:bCs/>
                <w:lang w:val="de-DE"/>
              </w:rPr>
            </w:pPr>
            <w:r w:rsidRPr="00E83535">
              <w:rPr>
                <w:bCs/>
                <w:lang w:val="de-DE"/>
              </w:rPr>
              <w:t>(y)</w:t>
            </w:r>
            <w:r w:rsidRPr="00E83535">
              <w:rPr>
                <w:bCs/>
                <w:lang w:val="de-DE"/>
              </w:rPr>
              <w:tab/>
              <w:t>wenn an oder vor dem Tag, an dem die Bekanntgabe einer Sitzung zur Beschlussfassung über den Eintritt eines Kreditereignisses erfolgt, ein Bewertungstag bzw. ein Tag, an dem die betreffende Bewertungsverbindlichkeit ausgewählt wird, stattgefunden hat, ein Kreditereignis-Feststellungstag nur im Hinblick auf den ausstehenden Nennbetrag der Komplexen Produkte als eingetreten gilt, hinsichtlich derer nach der Feststellung der Berechnungsstelle kein Bewertungstag bzw. Tag, an dem die betreffende Bewertungsverbindlichkeit ausgewählt wird, stattgefunden hat</w:t>
            </w:r>
            <w:r w:rsidRPr="00792D61">
              <w:rPr>
                <w:b/>
                <w:bCs/>
                <w:lang w:val="de-DE"/>
              </w:rPr>
              <w:t>[</w:t>
            </w:r>
            <w:r w:rsidRPr="00E83535">
              <w:rPr>
                <w:bCs/>
                <w:lang w:val="de-DE"/>
              </w:rPr>
              <w:t>.</w:t>
            </w:r>
            <w:r w:rsidRPr="00792D61">
              <w:rPr>
                <w:b/>
                <w:bCs/>
                <w:lang w:val="de-DE"/>
              </w:rPr>
              <w:t>]</w:t>
            </w:r>
            <w:r w:rsidRPr="00E83535">
              <w:rPr>
                <w:bCs/>
                <w:lang w:val="de-DE"/>
              </w:rPr>
              <w:t xml:space="preserve"> </w:t>
            </w:r>
            <w:r w:rsidRPr="00792D61">
              <w:rPr>
                <w:b/>
                <w:bCs/>
                <w:lang w:val="de-DE"/>
              </w:rPr>
              <w:t>[</w:t>
            </w:r>
            <w:r w:rsidRPr="00E83535">
              <w:rPr>
                <w:bCs/>
                <w:lang w:val="de-DE"/>
              </w:rPr>
              <w:t>;und</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C86D04">
            <w:pPr>
              <w:pStyle w:val="CSBody8ptbolditalics"/>
              <w:rPr>
                <w:lang w:val="de-DE"/>
              </w:rPr>
            </w:pPr>
          </w:p>
        </w:tc>
        <w:tc>
          <w:tcPr>
            <w:tcW w:w="3315" w:type="dxa"/>
            <w:gridSpan w:val="2"/>
            <w:tcBorders>
              <w:top w:val="nil"/>
              <w:left w:val="nil"/>
              <w:bottom w:val="nil"/>
            </w:tcBorders>
            <w:shd w:val="clear" w:color="auto" w:fill="auto"/>
          </w:tcPr>
          <w:p w:rsidR="0017135D" w:rsidRPr="00E83535" w:rsidP="00C86D04">
            <w:pPr>
              <w:pStyle w:val="CSBody8ptbolditalics"/>
            </w:pPr>
            <w:r w:rsidRPr="00792D61">
              <w:t>[</w:t>
            </w:r>
            <w:r w:rsidRPr="00E83535">
              <w:t>in case of Complex Products in respect of which M(M)R Restructuring is applicable:</w:t>
            </w:r>
          </w:p>
        </w:tc>
        <w:tc>
          <w:tcPr>
            <w:tcW w:w="1618" w:type="dxa"/>
            <w:gridSpan w:val="2"/>
            <w:tcBorders>
              <w:top w:val="nil"/>
              <w:bottom w:val="nil"/>
              <w:right w:val="nil"/>
            </w:tcBorders>
            <w:shd w:val="clear" w:color="auto" w:fill="auto"/>
          </w:tcPr>
          <w:p w:rsidR="0017135D" w:rsidRPr="00E83535" w:rsidP="00C86D04">
            <w:pPr>
              <w:pStyle w:val="CSBody8ptbolditalics"/>
            </w:pPr>
          </w:p>
        </w:tc>
        <w:tc>
          <w:tcPr>
            <w:tcW w:w="3318" w:type="dxa"/>
            <w:tcBorders>
              <w:top w:val="nil"/>
              <w:left w:val="nil"/>
              <w:bottom w:val="nil"/>
              <w:right w:val="nil"/>
            </w:tcBorders>
            <w:shd w:val="clear" w:color="auto" w:fill="auto"/>
          </w:tcPr>
          <w:p w:rsidR="0017135D" w:rsidRPr="00E83535" w:rsidP="00C86D04">
            <w:pPr>
              <w:pStyle w:val="CSBody8ptbolditalics"/>
              <w:rPr>
                <w:bCs/>
                <w:lang w:val="de-DE"/>
              </w:rPr>
            </w:pPr>
            <w:r w:rsidRPr="00792D61">
              <w:rPr>
                <w:bCs/>
                <w:lang w:val="de-DE"/>
              </w:rPr>
              <w:t>[</w:t>
            </w:r>
            <w:r w:rsidRPr="00E83535">
              <w:rPr>
                <w:bCs/>
                <w:lang w:val="de-DE"/>
              </w:rPr>
              <w:t>bei Komplexen Produkten, für die M(M)R-Restrukturierung anwendbar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C86D04">
            <w:pPr>
              <w:pStyle w:val="CSManNum8pt"/>
              <w:rPr>
                <w:lang w:val="de-DE"/>
              </w:rPr>
            </w:pPr>
          </w:p>
        </w:tc>
        <w:tc>
          <w:tcPr>
            <w:tcW w:w="3315" w:type="dxa"/>
            <w:gridSpan w:val="2"/>
            <w:tcBorders>
              <w:top w:val="nil"/>
              <w:left w:val="nil"/>
              <w:bottom w:val="nil"/>
            </w:tcBorders>
            <w:shd w:val="clear" w:color="auto" w:fill="auto"/>
          </w:tcPr>
          <w:p w:rsidR="0017135D" w:rsidRPr="00E83535" w:rsidP="00811A79">
            <w:pPr>
              <w:pStyle w:val="CSManNum8pt"/>
              <w:ind w:left="649" w:hanging="283"/>
            </w:pPr>
            <w:r w:rsidRPr="00E83535">
              <w:t>(z)</w:t>
            </w:r>
            <w:r w:rsidRPr="00E83535">
              <w:tab/>
              <w:t>no Credit Event Notice specifying an M(M)R Restructuring as the only Credit Event has previously been delivered unless the M(M)R Restructuring specified in such Credit Event Notice is also the subject of the DC Credit Event Question resulting in the occurrence of the Credit Event Resolution Request Date.</w:t>
            </w:r>
            <w:r w:rsidRPr="00792D61">
              <w:rPr>
                <w:b/>
              </w:rPr>
              <w:t>]</w:t>
            </w:r>
          </w:p>
        </w:tc>
        <w:tc>
          <w:tcPr>
            <w:tcW w:w="1618" w:type="dxa"/>
            <w:gridSpan w:val="2"/>
            <w:tcBorders>
              <w:top w:val="nil"/>
              <w:bottom w:val="nil"/>
              <w:right w:val="nil"/>
            </w:tcBorders>
            <w:shd w:val="clear" w:color="auto" w:fill="auto"/>
          </w:tcPr>
          <w:p w:rsidR="0017135D" w:rsidRPr="00E83535" w:rsidP="00C86D04">
            <w:pPr>
              <w:pStyle w:val="CSManNum8pt"/>
              <w:rPr>
                <w:i/>
              </w:rPr>
            </w:pPr>
          </w:p>
        </w:tc>
        <w:tc>
          <w:tcPr>
            <w:tcW w:w="3318" w:type="dxa"/>
            <w:tcBorders>
              <w:top w:val="nil"/>
              <w:left w:val="nil"/>
              <w:bottom w:val="nil"/>
              <w:right w:val="nil"/>
            </w:tcBorders>
            <w:shd w:val="clear" w:color="auto" w:fill="auto"/>
          </w:tcPr>
          <w:p w:rsidR="0017135D" w:rsidRPr="00E83535" w:rsidP="00811A79">
            <w:pPr>
              <w:pStyle w:val="CSManNum8pt"/>
              <w:ind w:left="681" w:hanging="284"/>
              <w:rPr>
                <w:bCs/>
                <w:lang w:val="de-DE"/>
              </w:rPr>
            </w:pPr>
            <w:r w:rsidRPr="00E83535">
              <w:rPr>
                <w:bCs/>
                <w:lang w:val="de-DE"/>
              </w:rPr>
              <w:t>(z)</w:t>
            </w:r>
            <w:r w:rsidRPr="00E83535">
              <w:rPr>
                <w:bCs/>
                <w:lang w:val="de-DE"/>
              </w:rPr>
              <w:tab/>
              <w:t>dass eine Kreditereignis-Mitteilung, die sich auf eine M(M)R-Restrukturierung als einziges Kreditereignis bezieht, nicht bereits zuvor  nach dem vorstehenden Absatz (a) (i) übermittelt wurde, es sein denn die M(M)R-Restrukturierung, die in dieser Kreditereignismitteilung angegeben ist, ist auch Gegenstand des Kreditereignisbeschluss-Antrags, der zu einem Kreditereignisbeschluss-Antragsdatum führt.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83535" w:rsidP="00C86D04">
            <w:pPr>
              <w:pStyle w:val="CSManNum8pt"/>
              <w:rPr>
                <w:lang w:val="de-DE"/>
              </w:rPr>
            </w:pPr>
          </w:p>
        </w:tc>
        <w:tc>
          <w:tcPr>
            <w:tcW w:w="3315" w:type="dxa"/>
            <w:gridSpan w:val="2"/>
            <w:tcBorders>
              <w:top w:val="nil"/>
              <w:left w:val="nil"/>
              <w:bottom w:val="nil"/>
            </w:tcBorders>
            <w:shd w:val="clear" w:color="auto" w:fill="auto"/>
          </w:tcPr>
          <w:p w:rsidR="0017135D" w:rsidRPr="00E83535" w:rsidP="008A6718">
            <w:pPr>
              <w:pStyle w:val="CSManNum8pt"/>
            </w:pPr>
            <w:r w:rsidRPr="00E83535">
              <w:t>(b)</w:t>
            </w:r>
            <w:r w:rsidRPr="00E83535">
              <w:tab/>
              <w:t>If, pursuant to clause (a), above, different Credit Event Determination Dates have been determined with respect to different portions of the outstanding notional amount of the Complex Products, these Terms and Conditions shall, with effect from the occurrence of each such Credit Event Determination Date, be construed as if there were separate Terms and Conditions with respect to each such portion with such modifications as the Calculation Agent shall determine are required in order to preserve the economic effects of the Complex Products in aggregate.</w:t>
            </w:r>
          </w:p>
        </w:tc>
        <w:tc>
          <w:tcPr>
            <w:tcW w:w="1618" w:type="dxa"/>
            <w:gridSpan w:val="2"/>
            <w:tcBorders>
              <w:top w:val="nil"/>
              <w:bottom w:val="nil"/>
              <w:right w:val="nil"/>
            </w:tcBorders>
            <w:shd w:val="clear" w:color="auto" w:fill="auto"/>
          </w:tcPr>
          <w:p w:rsidR="0017135D" w:rsidRPr="00E83535" w:rsidP="00C86D04">
            <w:pPr>
              <w:pStyle w:val="CSManNum8pt"/>
              <w:rPr>
                <w:i/>
              </w:rPr>
            </w:pPr>
          </w:p>
        </w:tc>
        <w:tc>
          <w:tcPr>
            <w:tcW w:w="3318" w:type="dxa"/>
            <w:tcBorders>
              <w:top w:val="nil"/>
              <w:left w:val="nil"/>
              <w:bottom w:val="nil"/>
              <w:right w:val="nil"/>
            </w:tcBorders>
            <w:shd w:val="clear" w:color="auto" w:fill="auto"/>
          </w:tcPr>
          <w:p w:rsidR="0017135D" w:rsidRPr="00E83535" w:rsidP="008A6718">
            <w:pPr>
              <w:pStyle w:val="CSManNum8pt"/>
              <w:rPr>
                <w:bCs/>
                <w:lang w:val="de-DE"/>
              </w:rPr>
            </w:pPr>
            <w:r w:rsidRPr="00E83535">
              <w:rPr>
                <w:bCs/>
                <w:lang w:val="de-DE"/>
              </w:rPr>
              <w:t>(b)</w:t>
            </w:r>
            <w:r w:rsidRPr="00E83535">
              <w:rPr>
                <w:bCs/>
                <w:lang w:val="de-DE"/>
              </w:rPr>
              <w:tab/>
              <w:t>Wenn gemäss dem vorstehenden Absatz (a) für unterschiedliche Teile des ausstehenden Nennbetrags der Komplexen Produkte unterschiedliche Kreditereignis-Feststellungstage festgestellt wurden, sind diese Emissionsbedingungen mit Wirkung des Eintritts von den jeweiligen Kreditereignis-Feststellungstagen so auszulegen, als gäbe es für die jeweiligen Teile verschiedene Emissionsbedingungen, und zwar mit solchen Änderungen, welche die Berechnungsstelle als notwendig feststellt, um die wirtschaftlichen Wirkungen der Komplexen Produkte insgesamt zu erhalten.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rPr>
                <w:lang w:val="de-DE"/>
              </w:rPr>
            </w:pPr>
            <w:r w:rsidRPr="00811A79">
              <w:rPr>
                <w:lang w:val="de-DE"/>
              </w:rPr>
              <w:t>Credit Event Notice</w:t>
            </w:r>
            <w:r>
              <w:rPr>
                <w:lang w:val="de-DE"/>
              </w:rPr>
              <w:fldChar w:fldCharType="begin"/>
            </w:r>
            <w:r>
              <w:instrText xml:space="preserve"> XE "</w:instrText>
            </w:r>
            <w:r w:rsidRPr="00A42034">
              <w:rPr>
                <w:lang w:val="de-DE"/>
              </w:rPr>
              <w:instrText>Credit Event Notice</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BB4992" w:rsidP="004C1EBA">
            <w:pPr>
              <w:pStyle w:val="CSBody8pt"/>
            </w:pPr>
            <w:r w:rsidRPr="00BB4992">
              <w:t>a notice given by the Issuer</w:t>
            </w:r>
            <w:r w:rsidR="0079644C">
              <w:t xml:space="preserve"> or the Lead Manager</w:t>
            </w:r>
            <w:r w:rsidRPr="00BB4992">
              <w:t xml:space="preserve"> to the Calculation Agent in writing and the Holders in accordance with Section 8 of the determination that a Credit Event occurred </w:t>
            </w:r>
            <w:r w:rsidRPr="00792D61">
              <w:rPr>
                <w:b/>
              </w:rPr>
              <w:t>[</w:t>
            </w:r>
            <w:r w:rsidRPr="00C86D04">
              <w:rPr>
                <w:b/>
                <w:i/>
              </w:rPr>
              <w:t>if a Basket is applicable or in the case of Complex Products with N</w:t>
            </w:r>
            <w:r w:rsidRPr="00BD6E0D">
              <w:rPr>
                <w:b/>
                <w:i/>
                <w:vertAlign w:val="superscript"/>
              </w:rPr>
              <w:t>th</w:t>
            </w:r>
            <w:r w:rsidRPr="00C86D04">
              <w:rPr>
                <w:b/>
                <w:i/>
              </w:rPr>
              <w:t xml:space="preserve">-to-Default structure, insert: </w:t>
            </w:r>
            <w:r w:rsidRPr="00BB4992">
              <w:t>with respect to a Reference Entity (or an Obligation thereof)</w:t>
            </w:r>
            <w:r w:rsidRPr="00792D61">
              <w:rPr>
                <w:b/>
              </w:rPr>
              <w:t>]</w:t>
            </w:r>
            <w:r w:rsidRPr="00BB4992">
              <w:t xml:space="preserve"> on or after the Credit Event Backstop Date and on or prior to the </w:t>
            </w:r>
            <w:r w:rsidRPr="00792D61">
              <w:rPr>
                <w:b/>
              </w:rPr>
              <w:t>[</w:t>
            </w:r>
            <w:r w:rsidRPr="00C86D04">
              <w:rPr>
                <w:b/>
                <w:i/>
              </w:rPr>
              <w:t>if "Failure to Pay" and "Grace Period Extension" and/or "Repudiation/Moratorium" is specified as applicable in Section 1.1, insert:</w:t>
            </w:r>
            <w:r w:rsidRPr="00BB4992">
              <w:t xml:space="preserve"> Extension Date</w:t>
            </w:r>
            <w:r w:rsidRPr="00792D61">
              <w:rPr>
                <w:b/>
              </w:rPr>
              <w:t>][</w:t>
            </w:r>
            <w:r w:rsidRPr="00BB4992">
              <w:t>otherwise, insert: Scheduled Maturity Date</w:t>
            </w:r>
            <w:r w:rsidRPr="00792D61">
              <w:rPr>
                <w:b/>
              </w:rPr>
              <w:t>]</w:t>
            </w:r>
            <w:r w:rsidRPr="00BB4992">
              <w:t xml:space="preserve">. The Credit Event Notice shall describe in reasonable detail the facts relevant to the determination that a Credit Event has occurred </w:t>
            </w:r>
            <w:r w:rsidRPr="00792D61">
              <w:rPr>
                <w:b/>
              </w:rPr>
              <w:t>[</w:t>
            </w:r>
            <w:r w:rsidRPr="00C86D04">
              <w:rPr>
                <w:b/>
                <w:i/>
              </w:rPr>
              <w:t>if a Basket is applicable or in the case of Complex Products with N</w:t>
            </w:r>
            <w:r w:rsidRPr="00BD6E0D">
              <w:rPr>
                <w:b/>
                <w:i/>
                <w:vertAlign w:val="superscript"/>
              </w:rPr>
              <w:t>th</w:t>
            </w:r>
            <w:r w:rsidRPr="00C86D04">
              <w:rPr>
                <w:b/>
                <w:i/>
              </w:rPr>
              <w:t xml:space="preserve">-to-Default structure, insert: </w:t>
            </w:r>
            <w:r w:rsidRPr="00BB4992">
              <w:t>with respect to a Reference Entity (or an Obligation thereof)</w:t>
            </w:r>
            <w:r w:rsidRPr="00792D61">
              <w:rPr>
                <w:b/>
              </w:rPr>
              <w:t>]</w:t>
            </w:r>
            <w:r w:rsidRPr="00BB4992">
              <w:t xml:space="preserve">. </w:t>
            </w:r>
            <w:r w:rsidRPr="00792D61">
              <w:rPr>
                <w:b/>
              </w:rPr>
              <w:t>[</w:t>
            </w:r>
            <w:r w:rsidRPr="00C86D04">
              <w:rPr>
                <w:b/>
                <w:i/>
              </w:rPr>
              <w:t xml:space="preserve">if "Failure to Pay" and "Grace Period Extension" and/or "Repudiation/Moratorium" is applicable, insert: </w:t>
            </w:r>
            <w:r w:rsidRPr="00BB4992">
              <w:t xml:space="preserve">Any Credit Event Notice that describes a Credit Event that occurred after the Scheduled Maturity Date must relate to the </w:t>
            </w:r>
            <w:r w:rsidRPr="00792D61">
              <w:rPr>
                <w:b/>
              </w:rPr>
              <w:t>[</w:t>
            </w:r>
            <w:r w:rsidRPr="00BB4992">
              <w:t>relevant Potential Failure to Pay, in the case of a Grace Period Extension Date</w:t>
            </w:r>
            <w:r w:rsidRPr="00792D61">
              <w:rPr>
                <w:b/>
              </w:rPr>
              <w:t>][</w:t>
            </w:r>
            <w:r w:rsidRPr="00BB4992">
              <w:t>, or the</w:t>
            </w:r>
            <w:r w:rsidRPr="00792D61">
              <w:rPr>
                <w:b/>
              </w:rPr>
              <w:t>][</w:t>
            </w:r>
            <w:r w:rsidRPr="00BB4992">
              <w:t>relevant Potential Repudiation/Moratorium, in the case of a Repudiation/Moratorium Evaluation Date</w:t>
            </w:r>
            <w:r w:rsidRPr="00792D61">
              <w:rPr>
                <w:b/>
              </w:rPr>
              <w:t>]</w:t>
            </w:r>
            <w:r w:rsidRPr="00BB4992">
              <w:t>.</w:t>
            </w:r>
            <w:r w:rsidRPr="00792D61">
              <w:rPr>
                <w:b/>
              </w:rPr>
              <w:t>]</w:t>
            </w:r>
            <w:r w:rsidRPr="00BB4992">
              <w:t xml:space="preserve"> The Credit Evet that is the subject of the Credit Event Notice need not be continuing on the date that the Credit Event Notice is given.</w:t>
            </w:r>
          </w:p>
        </w:tc>
        <w:tc>
          <w:tcPr>
            <w:tcW w:w="1618" w:type="dxa"/>
            <w:gridSpan w:val="2"/>
            <w:tcBorders>
              <w:top w:val="nil"/>
              <w:bottom w:val="nil"/>
              <w:right w:val="nil"/>
            </w:tcBorders>
            <w:shd w:val="clear" w:color="auto" w:fill="auto"/>
          </w:tcPr>
          <w:p w:rsidR="0017135D" w:rsidRPr="00BB4992" w:rsidP="008A6718">
            <w:pPr>
              <w:pStyle w:val="CSBody8pt"/>
              <w:rPr>
                <w:highlight w:val="yellow"/>
                <w:lang w:val="en-US"/>
              </w:rPr>
            </w:pPr>
            <w:r w:rsidRPr="00BB4992">
              <w:rPr>
                <w:lang w:val="en-US"/>
              </w:rPr>
              <w:t>Kreditereignismitteilung</w:t>
            </w:r>
            <w:r>
              <w:rPr>
                <w:lang w:val="en-US"/>
              </w:rPr>
              <w:fldChar w:fldCharType="begin"/>
            </w:r>
            <w:r>
              <w:instrText xml:space="preserve"> XE "</w:instrText>
            </w:r>
            <w:r w:rsidRPr="000062F6">
              <w:rPr>
                <w:lang w:val="en-US"/>
              </w:rPr>
              <w:instrText>Kreditereignismitteilung</w:instrText>
            </w:r>
            <w:r>
              <w:instrText xml:space="preserve">" </w:instrText>
            </w:r>
            <w:r>
              <w:rPr>
                <w:lang w:val="en-US"/>
              </w:rPr>
              <w:fldChar w:fldCharType="end"/>
            </w:r>
          </w:p>
        </w:tc>
        <w:tc>
          <w:tcPr>
            <w:tcW w:w="3318" w:type="dxa"/>
            <w:tcBorders>
              <w:top w:val="nil"/>
              <w:left w:val="nil"/>
              <w:bottom w:val="nil"/>
              <w:right w:val="nil"/>
            </w:tcBorders>
            <w:shd w:val="clear" w:color="auto" w:fill="auto"/>
          </w:tcPr>
          <w:p w:rsidR="0017135D" w:rsidRPr="00E83535" w:rsidP="004C1EBA">
            <w:pPr>
              <w:pStyle w:val="CSBody8pt"/>
              <w:rPr>
                <w:bCs/>
                <w:lang w:val="de-DE"/>
              </w:rPr>
            </w:pPr>
            <w:r w:rsidRPr="00BB4992">
              <w:rPr>
                <w:bCs/>
                <w:lang w:val="de-DE"/>
              </w:rPr>
              <w:t>eine Mitteilung der Emittentin</w:t>
            </w:r>
            <w:r w:rsidR="0079644C">
              <w:rPr>
                <w:bCs/>
                <w:lang w:val="de-DE"/>
              </w:rPr>
              <w:t xml:space="preserve"> oder des Lead Managers</w:t>
            </w:r>
            <w:r w:rsidRPr="00BB4992">
              <w:rPr>
                <w:bCs/>
                <w:lang w:val="de-DE"/>
              </w:rPr>
              <w:t xml:space="preserve"> in schriftlicher Form an die Berechnungsstelle und die Inhaber gemäss Ziffer 8, dass </w:t>
            </w:r>
            <w:r w:rsidRPr="00792D61">
              <w:rPr>
                <w:b/>
                <w:bCs/>
                <w:lang w:val="de-DE"/>
              </w:rPr>
              <w:t>[</w:t>
            </w:r>
            <w:r w:rsidRPr="00C86D04">
              <w:rPr>
                <w:b/>
                <w:bCs/>
                <w:i/>
                <w:lang w:val="de-DE"/>
              </w:rPr>
              <w:t>falls ein Korb anwendbar ist oder bei Komplexen Produkten mit N</w:t>
            </w:r>
            <w:r w:rsidRPr="00BD6E0D">
              <w:rPr>
                <w:b/>
                <w:i/>
                <w:vertAlign w:val="superscript"/>
                <w:lang w:val="de-DE"/>
              </w:rPr>
              <w:t>th</w:t>
            </w:r>
            <w:r w:rsidRPr="00C86D04">
              <w:rPr>
                <w:b/>
                <w:bCs/>
                <w:i/>
                <w:lang w:val="de-DE"/>
              </w:rPr>
              <w:t>-to-Default-Struktur, einfügen:</w:t>
            </w:r>
            <w:r w:rsidRPr="00BB4992">
              <w:rPr>
                <w:bCs/>
                <w:lang w:val="de-DE"/>
              </w:rPr>
              <w:t xml:space="preserve"> in Bezug auf einen Referenzschuldner (oder eine seiner Verbindlichkeiten)</w:t>
            </w:r>
            <w:r w:rsidRPr="00792D61">
              <w:rPr>
                <w:b/>
                <w:bCs/>
                <w:lang w:val="de-DE"/>
              </w:rPr>
              <w:t>]</w:t>
            </w:r>
            <w:r w:rsidRPr="00BB4992">
              <w:rPr>
                <w:bCs/>
                <w:lang w:val="de-DE"/>
              </w:rPr>
              <w:t xml:space="preserve"> an oder nach dem Kreditereignis-Rückschau-Stichtag und an oder vor dem </w:t>
            </w:r>
            <w:r w:rsidRPr="00792D61">
              <w:rPr>
                <w:b/>
                <w:bCs/>
                <w:lang w:val="de-DE"/>
              </w:rPr>
              <w:t>[</w:t>
            </w:r>
            <w:r w:rsidRPr="00C86D04">
              <w:rPr>
                <w:b/>
                <w:bCs/>
                <w:i/>
                <w:lang w:val="de-DE"/>
              </w:rPr>
              <w:t>falls in Ziffer 1.1 "Nichtzahlung" und "Verlängerung wegen Nachfrist" und/oder "Nich</w:t>
            </w:r>
            <w:r>
              <w:rPr>
                <w:b/>
                <w:bCs/>
                <w:i/>
                <w:lang w:val="de-DE"/>
              </w:rPr>
              <w:t>tanerkennung/Moratorium" als an</w:t>
            </w:r>
            <w:r w:rsidRPr="00C86D04">
              <w:rPr>
                <w:b/>
                <w:bCs/>
                <w:i/>
                <w:lang w:val="de-DE"/>
              </w:rPr>
              <w:t>wendbar angegeben sind, einfügen:</w:t>
            </w:r>
            <w:r w:rsidRPr="00BB4992">
              <w:rPr>
                <w:bCs/>
                <w:lang w:val="de-DE"/>
              </w:rPr>
              <w:t xml:space="preserve"> Verlängerungstag</w:t>
            </w:r>
            <w:r w:rsidRPr="00792D61">
              <w:rPr>
                <w:b/>
                <w:bCs/>
                <w:lang w:val="de-DE"/>
              </w:rPr>
              <w:t>][</w:t>
            </w:r>
            <w:r w:rsidRPr="00BB4992">
              <w:rPr>
                <w:bCs/>
                <w:lang w:val="de-DE"/>
              </w:rPr>
              <w:t>in allen anderen Fällen einfügen: Planmässigen Fälligkeitstag</w:t>
            </w:r>
            <w:r w:rsidRPr="00792D61">
              <w:rPr>
                <w:b/>
                <w:bCs/>
                <w:lang w:val="de-DE"/>
              </w:rPr>
              <w:t>]</w:t>
            </w:r>
            <w:r w:rsidRPr="00BB4992">
              <w:rPr>
                <w:bCs/>
                <w:lang w:val="de-DE"/>
              </w:rPr>
              <w:t xml:space="preserve"> ein Kreditereignis eingetreten ist. Eine Kreditereignismitteilung muss eine hinreichend ausführliche Beschreibung der Tatsachen enthalten, die für die Feststellung des Eintritts eines Kreditereignisses </w:t>
            </w:r>
            <w:r w:rsidRPr="00792D61">
              <w:rPr>
                <w:b/>
                <w:bCs/>
                <w:lang w:val="de-DE"/>
              </w:rPr>
              <w:t>[</w:t>
            </w:r>
            <w:r w:rsidRPr="00C86D04">
              <w:rPr>
                <w:b/>
                <w:bCs/>
                <w:i/>
                <w:lang w:val="de-DE"/>
              </w:rPr>
              <w:t>falls ein Korb anwendbar ist oder bei Komplexen Produkten mit N</w:t>
            </w:r>
            <w:r w:rsidRPr="00BD6E0D">
              <w:rPr>
                <w:b/>
                <w:i/>
                <w:vertAlign w:val="superscript"/>
                <w:lang w:val="de-DE"/>
              </w:rPr>
              <w:t>th</w:t>
            </w:r>
            <w:r w:rsidRPr="00C86D04">
              <w:rPr>
                <w:b/>
                <w:bCs/>
                <w:i/>
                <w:lang w:val="de-DE"/>
              </w:rPr>
              <w:t>-to-Default-Struktur, einfügen:</w:t>
            </w:r>
            <w:r w:rsidRPr="00BB4992">
              <w:rPr>
                <w:bCs/>
                <w:lang w:val="de-DE"/>
              </w:rPr>
              <w:t xml:space="preserve"> in Bezug auf einen Referenzschuldner (oder eine seiner Verbindlichkeiten)</w:t>
            </w:r>
            <w:r w:rsidRPr="00792D61">
              <w:rPr>
                <w:b/>
                <w:bCs/>
                <w:lang w:val="de-DE"/>
              </w:rPr>
              <w:t>]</w:t>
            </w:r>
            <w:r w:rsidRPr="00BB4992">
              <w:rPr>
                <w:bCs/>
                <w:lang w:val="de-DE"/>
              </w:rPr>
              <w:t xml:space="preserve"> massgeblich sind. </w:t>
            </w:r>
            <w:r w:rsidRPr="00792D61">
              <w:rPr>
                <w:b/>
                <w:bCs/>
                <w:lang w:val="de-DE"/>
              </w:rPr>
              <w:t>[</w:t>
            </w:r>
            <w:r w:rsidRPr="00C86D04">
              <w:rPr>
                <w:b/>
                <w:bCs/>
                <w:i/>
                <w:lang w:val="de-DE"/>
              </w:rPr>
              <w:t>falls "Nichtzahlung" und "Verlängerung wegen Nachfrist" und/oder "Nichtanerkennung/Moratorium" anwendbar sind, einfügen:</w:t>
            </w:r>
            <w:r w:rsidRPr="00BB4992">
              <w:rPr>
                <w:bCs/>
                <w:lang w:val="de-DE"/>
              </w:rPr>
              <w:t xml:space="preserve"> Jede Kreditereignismitteilung, in der ein Kreditereignis beschrieben wird, das nach dem Planmässigen Fälligkeitstag eingetreten ist, muss sich </w:t>
            </w:r>
            <w:r w:rsidRPr="00792D61">
              <w:rPr>
                <w:b/>
                <w:bCs/>
                <w:lang w:val="de-DE"/>
              </w:rPr>
              <w:t>[</w:t>
            </w:r>
            <w:r w:rsidRPr="00BB4992">
              <w:rPr>
                <w:bCs/>
                <w:lang w:val="de-DE"/>
              </w:rPr>
              <w:t>im Fall eines Nachfrist</w:t>
            </w:r>
            <w:r w:rsidR="0079644C">
              <w:rPr>
                <w:bCs/>
                <w:lang w:val="de-DE"/>
              </w:rPr>
              <w:t>-</w:t>
            </w:r>
            <w:r w:rsidRPr="00BB4992">
              <w:rPr>
                <w:bCs/>
                <w:lang w:val="de-DE"/>
              </w:rPr>
              <w:t>Verlängerungstags auf die massgebliche Potenzielle Nichtzahlung</w:t>
            </w:r>
            <w:r w:rsidRPr="00792D61">
              <w:rPr>
                <w:b/>
                <w:bCs/>
                <w:lang w:val="de-DE"/>
              </w:rPr>
              <w:t>][</w:t>
            </w:r>
            <w:r w:rsidRPr="00BB4992">
              <w:rPr>
                <w:bCs/>
                <w:lang w:val="de-DE"/>
              </w:rPr>
              <w:t xml:space="preserve"> bzw.</w:t>
            </w:r>
            <w:r w:rsidRPr="00792D61">
              <w:rPr>
                <w:b/>
                <w:bCs/>
                <w:lang w:val="de-DE"/>
              </w:rPr>
              <w:t>][</w:t>
            </w:r>
            <w:r w:rsidRPr="00BB4992">
              <w:rPr>
                <w:bCs/>
                <w:lang w:val="de-DE"/>
              </w:rPr>
              <w:t xml:space="preserve"> im Fall eines Nichtanerkennungs-/Moratoriumsbewertungstags auf die massgebliche Potenzielle Nichtanerkennung / das Potenzielle Moratorium</w:t>
            </w:r>
            <w:r w:rsidRPr="00792D61">
              <w:rPr>
                <w:b/>
                <w:bCs/>
                <w:lang w:val="de-DE"/>
              </w:rPr>
              <w:t>]</w:t>
            </w:r>
            <w:r w:rsidRPr="00BB4992">
              <w:rPr>
                <w:bCs/>
                <w:lang w:val="de-DE"/>
              </w:rPr>
              <w:t xml:space="preserve"> beziehen.</w:t>
            </w:r>
            <w:r w:rsidRPr="00792D61">
              <w:rPr>
                <w:b/>
                <w:bCs/>
                <w:lang w:val="de-DE"/>
              </w:rPr>
              <w:t>]</w:t>
            </w:r>
            <w:r w:rsidRPr="00BB4992">
              <w:rPr>
                <w:bCs/>
                <w:lang w:val="de-DE"/>
              </w:rPr>
              <w:t xml:space="preserve"> Es ist nicht erforderlich, dass das Kreditereignis, das Gegenstand der Kreditereignismitteilung ist, am Tag der Abgabe der Kreditereignismitteilung noch andauert.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Credit Event Resolution Request Date</w:t>
            </w:r>
            <w:r>
              <w:fldChar w:fldCharType="begin"/>
            </w:r>
            <w:r>
              <w:instrText xml:space="preserve"> XE "</w:instrText>
            </w:r>
            <w:r w:rsidRPr="00490A34">
              <w:instrText>Credit Event Resolution Request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With respect to a DC Credit Event Question, the date as publicly announced by the DC Secretary that the relevant Credit Derivatives Determinations Committee Resolves to be the date on which the DC Credit Event Question was effective and on which the relevant Credit Derivatives Determinations Committee was in possession of Publicly Available Information with respect to such DC Credit Event Question.</w:t>
            </w:r>
          </w:p>
        </w:tc>
        <w:tc>
          <w:tcPr>
            <w:tcW w:w="1618" w:type="dxa"/>
            <w:gridSpan w:val="2"/>
            <w:tcBorders>
              <w:top w:val="nil"/>
              <w:bottom w:val="nil"/>
              <w:right w:val="nil"/>
            </w:tcBorders>
            <w:shd w:val="clear" w:color="auto" w:fill="auto"/>
          </w:tcPr>
          <w:p w:rsidR="0017135D" w:rsidRPr="00811A79" w:rsidP="008A6718">
            <w:pPr>
              <w:pStyle w:val="CSBody8pt"/>
            </w:pPr>
            <w:r w:rsidRPr="00811A79">
              <w:t>Kreditereignisbeschluss</w:t>
            </w:r>
            <w:r>
              <w:t>-</w:t>
            </w:r>
            <w:r w:rsidRPr="00811A79">
              <w:t>Antragsdatum</w:t>
            </w:r>
            <w:r>
              <w:fldChar w:fldCharType="begin"/>
            </w:r>
            <w:r>
              <w:instrText xml:space="preserve"> XE "</w:instrText>
            </w:r>
            <w:r w:rsidRPr="00354D8B">
              <w:instrText>Kreditereignis-beschluss-Antragsdatum</w:instrText>
            </w:r>
            <w:r>
              <w:instrText xml:space="preserve">" </w:instrText>
            </w:r>
            <w:r>
              <w:fldChar w:fldCharType="end"/>
            </w:r>
          </w:p>
        </w:tc>
        <w:tc>
          <w:tcPr>
            <w:tcW w:w="3318" w:type="dxa"/>
            <w:tcBorders>
              <w:top w:val="nil"/>
              <w:left w:val="nil"/>
              <w:bottom w:val="nil"/>
              <w:right w:val="nil"/>
            </w:tcBorders>
            <w:shd w:val="clear" w:color="auto" w:fill="auto"/>
          </w:tcPr>
          <w:p w:rsidR="0017135D" w:rsidRPr="00811A79" w:rsidP="00322C9B">
            <w:pPr>
              <w:pStyle w:val="CSBody8pt"/>
              <w:rPr>
                <w:lang w:val="de-DE"/>
              </w:rPr>
            </w:pPr>
            <w:r w:rsidRPr="00811A79">
              <w:rPr>
                <w:lang w:val="de-DE"/>
              </w:rPr>
              <w:t>In Bezug auf einen Kreditereignisbeschluss-Antrag der Tag, wie von dem Secretary öffentlich bekannt gegeben, den der zuständige Kreditderivate-Feststellungsausschuss als den Tag</w:t>
            </w:r>
            <w:r>
              <w:rPr>
                <w:lang w:val="de-DE"/>
              </w:rPr>
              <w:t xml:space="preserve"> </w:t>
            </w:r>
            <w:r w:rsidRPr="00811A79">
              <w:rPr>
                <w:lang w:val="de-DE"/>
              </w:rPr>
              <w:t>Beschlossen hat, an dem dieser Kreditereignisbeschluss-Antrag wirksam war und an dem der zuständige Kreditderivate-Feststellungsausschuss im Besitz Öffentlich Verfügbarer Informationen im Hinblick auf den betreffenden Kreditereignisbeschluss-Antrag war.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Announcement Coverage Cut-off Date</w:t>
            </w:r>
            <w:r>
              <w:fldChar w:fldCharType="begin"/>
            </w:r>
            <w:r>
              <w:instrText xml:space="preserve"> XE "</w:instrText>
            </w:r>
            <w:r w:rsidRPr="00276A3C">
              <w:instrText>DC Announcement Coverage Cut-off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with respect to a DC Credit Event Announcement, the Auction Final Price Determination Date, the Auction Cancellation Date, or the date that is fourteen calendar days following the No Auction Announcement Date, if any.</w:t>
            </w:r>
          </w:p>
        </w:tc>
        <w:tc>
          <w:tcPr>
            <w:tcW w:w="1618" w:type="dxa"/>
            <w:gridSpan w:val="2"/>
            <w:tcBorders>
              <w:top w:val="nil"/>
              <w:bottom w:val="nil"/>
              <w:right w:val="nil"/>
            </w:tcBorders>
            <w:shd w:val="clear" w:color="auto" w:fill="auto"/>
          </w:tcPr>
          <w:p w:rsidR="0017135D" w:rsidRPr="00811A79" w:rsidP="00C86D04">
            <w:pPr>
              <w:pStyle w:val="CSBody8pt"/>
            </w:pPr>
            <w:r w:rsidRPr="00811A79">
              <w:t>Feststellungsausschussbeschluss-Beobachtungsenddatum</w:t>
            </w:r>
            <w:r>
              <w:fldChar w:fldCharType="begin"/>
            </w:r>
            <w:r>
              <w:instrText xml:space="preserve"> XE "</w:instrText>
            </w:r>
            <w:r w:rsidRPr="008518C6">
              <w:instrText>Feststellungsausschussbeschluss-Beobachtungsenddatum</w:instrText>
            </w:r>
            <w:r>
              <w:instrText xml:space="preserve">" </w:instrText>
            </w:r>
            <w: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in Bezug auf eine Bekanntgabe eines Kreditereignisbeschlusses, der Feststellungstag für den Auktions-Endpreis, der Auktions-Aufhebungstag oder der Tag, der 14 Kalendertage nach einem etwaigen Tag der Bekanntgabe der Nichtdurchführung einer Auktion liegt.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Credit Event Announcement</w:t>
            </w:r>
            <w:r>
              <w:fldChar w:fldCharType="begin"/>
            </w:r>
            <w:r>
              <w:instrText xml:space="preserve"> XE "</w:instrText>
            </w:r>
            <w:r w:rsidRPr="007C57CD">
              <w:instrText>DC Credit Event Announcement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 xml:space="preserve">with respect to the Reference Entity, a public announcement by the DC Secretary that the relevant Credit Derivatives Determinations Committee has Resolved that (a) an event that constitutes a Credit Event has occurred on or after the Credit Event Backstop Date and on or prior to the </w:t>
            </w:r>
            <w:r w:rsidRPr="00792D61">
              <w:rPr>
                <w:b/>
              </w:rPr>
              <w:t>[</w:t>
            </w:r>
            <w:r w:rsidRPr="00811A79">
              <w:rPr>
                <w:b/>
                <w:i/>
              </w:rPr>
              <w:t>if "Failure to Pay" and "Grace Period Extension" and/or "Repudiation/Moratorium" is/are specified as applicable in Section 1.1, insert:</w:t>
            </w:r>
            <w:r w:rsidRPr="00811A79">
              <w:t xml:space="preserve"> Extension Date</w:t>
            </w:r>
            <w:r w:rsidRPr="00792D61">
              <w:rPr>
                <w:b/>
              </w:rPr>
              <w:t>][</w:t>
            </w:r>
            <w:r w:rsidRPr="00811A79">
              <w:t>otherwise, insert: Scheduled Maturity Date</w:t>
            </w:r>
            <w:r w:rsidRPr="00792D61">
              <w:rPr>
                <w:b/>
              </w:rPr>
              <w:t>]</w:t>
            </w:r>
            <w:r w:rsidRPr="00811A79">
              <w:t xml:space="preserve"> </w:t>
            </w:r>
            <w:r w:rsidRPr="00792D61">
              <w:rPr>
                <w:b/>
              </w:rPr>
              <w:t>[</w:t>
            </w:r>
            <w:r w:rsidRPr="00811A79">
              <w:rPr>
                <w:b/>
                <w:i/>
              </w:rPr>
              <w:t>if "Failure to Pay" and "Grace Period Extension" and/or "Repudiation/Moratorium" is/are specified as applicable in Section 1.1, insert:;</w:t>
            </w:r>
            <w:r w:rsidRPr="00811A79">
              <w:t xml:space="preserve"> provided that if the Credit Event occurred after the Scheduled Maturity Date, the DC Credit Event Announcement must relate to the </w:t>
            </w:r>
            <w:r w:rsidRPr="00792D61">
              <w:rPr>
                <w:b/>
              </w:rPr>
              <w:t>[</w:t>
            </w:r>
            <w:r w:rsidRPr="00811A79">
              <w:t>relevant Potential Failure to Pay, in the case of a Grace Period Extension Date,</w:t>
            </w:r>
            <w:r w:rsidRPr="00792D61">
              <w:rPr>
                <w:b/>
              </w:rPr>
              <w:t>][</w:t>
            </w:r>
            <w:r w:rsidRPr="00811A79">
              <w:t>or the</w:t>
            </w:r>
            <w:r w:rsidRPr="00792D61">
              <w:rPr>
                <w:b/>
              </w:rPr>
              <w:t>][</w:t>
            </w:r>
            <w:r w:rsidRPr="00811A79">
              <w:t>relevant Potential Repudiation/Moratorium, in the case of a Repudiation/Moratorium Evaluation Date</w:t>
            </w:r>
            <w:r w:rsidRPr="00792D61">
              <w:rPr>
                <w:b/>
              </w:rPr>
              <w:t>]</w:t>
            </w:r>
            <w:r w:rsidRPr="00811A79">
              <w:t xml:space="preserve"> </w:t>
            </w:r>
            <w:r w:rsidRPr="00792D61">
              <w:rPr>
                <w:b/>
              </w:rPr>
              <w:t>]</w:t>
            </w:r>
            <w:r w:rsidRPr="00811A79">
              <w:t xml:space="preserve">. </w:t>
            </w:r>
          </w:p>
        </w:tc>
        <w:tc>
          <w:tcPr>
            <w:tcW w:w="1618" w:type="dxa"/>
            <w:gridSpan w:val="2"/>
            <w:tcBorders>
              <w:top w:val="nil"/>
              <w:bottom w:val="nil"/>
              <w:right w:val="nil"/>
            </w:tcBorders>
            <w:shd w:val="clear" w:color="auto" w:fill="auto"/>
          </w:tcPr>
          <w:p w:rsidR="0017135D" w:rsidRPr="00811A79" w:rsidP="008A6718">
            <w:pPr>
              <w:pStyle w:val="CSBody8pt"/>
            </w:pPr>
            <w:r w:rsidRPr="00811A79">
              <w:t>Bekanntgabe eines Kreditereignisbeschlusses</w:t>
            </w:r>
            <w:r>
              <w:fldChar w:fldCharType="begin"/>
            </w:r>
            <w:r>
              <w:instrText xml:space="preserve"> XE "</w:instrText>
            </w:r>
            <w:r w:rsidRPr="00C9161F">
              <w:instrText>Bekanntgabe eines Kreditereignisbeschlusses</w:instrText>
            </w:r>
            <w:r>
              <w:instrText xml:space="preserve">" </w:instrText>
            </w:r>
            <w:r>
              <w:fldChar w:fldCharType="end"/>
            </w:r>
          </w:p>
        </w:tc>
        <w:tc>
          <w:tcPr>
            <w:tcW w:w="3318" w:type="dxa"/>
            <w:tcBorders>
              <w:top w:val="nil"/>
              <w:left w:val="nil"/>
              <w:bottom w:val="nil"/>
              <w:right w:val="nil"/>
            </w:tcBorders>
            <w:shd w:val="clear" w:color="auto" w:fill="auto"/>
          </w:tcPr>
          <w:p w:rsidR="0017135D" w:rsidRPr="00BB4992" w:rsidP="008A6718">
            <w:pPr>
              <w:pStyle w:val="CSBody8pt"/>
              <w:rPr>
                <w:lang w:val="de-DE"/>
              </w:rPr>
            </w:pPr>
            <w:r w:rsidRPr="00811A79">
              <w:rPr>
                <w:lang w:val="de-DE"/>
              </w:rPr>
              <w:t xml:space="preserve">in Bezug auf den Referenzschuldner eine öffentliche Bekanntgabe seitens des Secretary mit dem Inhalt, dass der zuständige Kreditderivate-Feststellungsausschuss Beschlossen hat, dass (a)  ein Ereignis, das als Kreditereignis einzustufen ist, an oder nach dem Kreditereignis-Rückschau-Stichtag und an oder vor dem </w:t>
            </w:r>
            <w:r w:rsidRPr="00792D61">
              <w:rPr>
                <w:b/>
                <w:lang w:val="de-DE"/>
              </w:rPr>
              <w:t>[</w:t>
            </w:r>
            <w:r w:rsidRPr="00811A79">
              <w:rPr>
                <w:b/>
                <w:i/>
                <w:lang w:val="de-DE"/>
              </w:rPr>
              <w:t>falls in Ziffer 1.1 "Nichtzahlung" und "Verlängerung wegen Nachfrist" und/oder "Nichtanerkennung/Moratorium" als anwendbar angegeben ist/sind, einfügen:</w:t>
            </w:r>
            <w:r w:rsidRPr="00811A79">
              <w:rPr>
                <w:lang w:val="de-DE"/>
              </w:rPr>
              <w:t xml:space="preserve"> Verlängerungstag</w:t>
            </w:r>
            <w:r w:rsidRPr="00792D61">
              <w:rPr>
                <w:b/>
                <w:lang w:val="de-DE"/>
              </w:rPr>
              <w:t>][</w:t>
            </w:r>
            <w:r w:rsidRPr="00811A79">
              <w:rPr>
                <w:lang w:val="de-DE"/>
              </w:rPr>
              <w:t>in allen anderen Fällen, einfügen: Planmässigen Fälligkeitstag</w:t>
            </w:r>
            <w:r w:rsidRPr="00792D61">
              <w:rPr>
                <w:b/>
                <w:lang w:val="de-DE"/>
              </w:rPr>
              <w:t>]</w:t>
            </w:r>
            <w:r w:rsidRPr="00811A79">
              <w:rPr>
                <w:lang w:val="de-DE"/>
              </w:rPr>
              <w:t xml:space="preserve"> eingetreten ist </w:t>
            </w:r>
            <w:r w:rsidRPr="00792D61">
              <w:rPr>
                <w:b/>
                <w:lang w:val="de-DE"/>
              </w:rPr>
              <w:t>[</w:t>
            </w:r>
            <w:r w:rsidRPr="00811A79">
              <w:rPr>
                <w:b/>
                <w:i/>
                <w:lang w:val="de-DE"/>
              </w:rPr>
              <w:t>falls in Ziffer 1.1 "Nichtzahlung" und "Verlängerung wegen Nachfrist" und/oder "Nichtanerkennung/Moratorium" als anwendbar angegeben ist/sind, einfügen:;</w:t>
            </w:r>
            <w:r w:rsidRPr="00811A79">
              <w:rPr>
                <w:lang w:val="de-DE"/>
              </w:rPr>
              <w:t xml:space="preserve"> sofern das Kreditereignis nach dem Planmässigen Fälligkeitstag eingetreten ist, muss sich die Bekanntgabe eines Kreditereignisbeschlusses </w:t>
            </w:r>
            <w:r w:rsidRPr="00792D61">
              <w:rPr>
                <w:b/>
                <w:lang w:val="de-DE"/>
              </w:rPr>
              <w:t>[</w:t>
            </w:r>
            <w:r w:rsidRPr="00811A79">
              <w:rPr>
                <w:lang w:val="de-DE"/>
              </w:rPr>
              <w:t>im Fall eines Nachfrist-Verlängerungstags auf die massgebliche Potenzielle Nichtzahlung</w:t>
            </w:r>
            <w:r w:rsidRPr="00792D61">
              <w:rPr>
                <w:b/>
                <w:lang w:val="de-DE"/>
              </w:rPr>
              <w:t>][</w:t>
            </w:r>
            <w:r w:rsidRPr="00811A79">
              <w:rPr>
                <w:lang w:val="de-DE"/>
              </w:rPr>
              <w:t xml:space="preserve"> bzw.</w:t>
            </w:r>
            <w:r w:rsidRPr="00792D61">
              <w:rPr>
                <w:b/>
                <w:lang w:val="de-DE"/>
              </w:rPr>
              <w:t>][</w:t>
            </w:r>
            <w:r w:rsidRPr="00811A79">
              <w:rPr>
                <w:lang w:val="de-DE"/>
              </w:rPr>
              <w:t>im Fall eines Nichtanerkennungs-/Moratoriumsbewertungstags auf die massgebliche Potenzielle Nichtanerkennung / das Potenzielle Moratorium</w:t>
            </w:r>
            <w:r w:rsidRPr="00792D61">
              <w:rPr>
                <w:b/>
                <w:lang w:val="de-DE"/>
              </w:rPr>
              <w:t>]</w:t>
            </w:r>
            <w:r w:rsidRPr="00811A79">
              <w:rPr>
                <w:lang w:val="de-DE"/>
              </w:rPr>
              <w:t xml:space="preserve"> beziehen</w:t>
            </w:r>
            <w:r w:rsidRPr="00792D61">
              <w:rPr>
                <w:b/>
                <w:lang w:val="de-DE"/>
              </w:rPr>
              <w:t>]</w:t>
            </w:r>
            <w:r w:rsidRPr="00811A79">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Credit Event Meeting Announcment</w:t>
            </w:r>
            <w:r>
              <w:fldChar w:fldCharType="begin"/>
            </w:r>
            <w:r>
              <w:instrText xml:space="preserve"> XE "</w:instrText>
            </w:r>
            <w:r w:rsidRPr="00E12773">
              <w:instrText>DC Credit Event Meeting Announcment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 xml:space="preserve">with respect to a Reference Entity, a public announcement by the DC Secretary that a Credit Derivatives Determinations Committee will be convened to Resolve the matters described in a DC Credit Event Question. </w:t>
            </w:r>
          </w:p>
        </w:tc>
        <w:tc>
          <w:tcPr>
            <w:tcW w:w="1618" w:type="dxa"/>
            <w:gridSpan w:val="2"/>
            <w:tcBorders>
              <w:top w:val="nil"/>
              <w:bottom w:val="nil"/>
              <w:right w:val="nil"/>
            </w:tcBorders>
            <w:shd w:val="clear" w:color="auto" w:fill="auto"/>
          </w:tcPr>
          <w:p w:rsidR="0017135D" w:rsidRPr="00811A79" w:rsidP="00C86D04">
            <w:pPr>
              <w:pStyle w:val="CSBody8pt"/>
              <w:rPr>
                <w:lang w:val="de-DE"/>
              </w:rPr>
            </w:pPr>
            <w:r w:rsidRPr="00811A79">
              <w:rPr>
                <w:lang w:val="de-DE"/>
              </w:rPr>
              <w:t>Bekanntgabe einer Sitzung zur Beschlussfassung über den Eintritt eines Kreditereignisses</w:t>
            </w:r>
            <w:r>
              <w:rPr>
                <w:lang w:val="de-DE"/>
              </w:rPr>
              <w:fldChar w:fldCharType="begin"/>
            </w:r>
            <w:r w:rsidRPr="00811A79">
              <w:rPr>
                <w:lang w:val="de-DE"/>
              </w:rPr>
              <w:instrText xml:space="preserve"> XE "</w:instrText>
            </w:r>
            <w:r w:rsidRPr="00497B18">
              <w:rPr>
                <w:lang w:val="de-DE"/>
              </w:rPr>
              <w:instrText>Bekanntgabe einer Sitzung zur Beschlussfassung über den Eintritt eines Kreditereignisses</w:instrText>
            </w:r>
            <w:r w:rsidRPr="00811A79">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in Bezug auf einen Referenzschuldner eine öffentliche Bekanntgabe des Secretary, dass ein Kreditderivate-Feststellungsausschuss einberufen wird, um über die in einem Kreditereignisbeschluss-Antrag beschriebenen Sachverhalte zu Beschliessen.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Credit Event Question</w:t>
            </w:r>
            <w:r>
              <w:fldChar w:fldCharType="begin"/>
            </w:r>
            <w:r>
              <w:instrText xml:space="preserve"> XE "</w:instrText>
            </w:r>
            <w:r w:rsidRPr="00873536">
              <w:instrText>DC Credit Event Question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means a notice to the DC Secretary requesting that a Credit Derivatives Determinations Committee be convened to Resolve whether an event that constitutes a Credit Event has occurred.</w:t>
            </w:r>
          </w:p>
        </w:tc>
        <w:tc>
          <w:tcPr>
            <w:tcW w:w="1618" w:type="dxa"/>
            <w:gridSpan w:val="2"/>
            <w:tcBorders>
              <w:top w:val="nil"/>
              <w:bottom w:val="nil"/>
              <w:right w:val="nil"/>
            </w:tcBorders>
            <w:shd w:val="clear" w:color="auto" w:fill="auto"/>
          </w:tcPr>
          <w:p w:rsidR="0017135D" w:rsidRPr="00811A79" w:rsidP="00C86D04">
            <w:pPr>
              <w:pStyle w:val="CSBody8pt"/>
            </w:pPr>
            <w:r w:rsidRPr="00811A79">
              <w:t>Kreditereignisbe</w:t>
            </w:r>
            <w:r w:rsidRPr="00811A79">
              <w:softHyphen/>
              <w:t>schluss-Antrag</w:t>
            </w:r>
            <w:r>
              <w:fldChar w:fldCharType="begin"/>
            </w:r>
            <w:r>
              <w:instrText xml:space="preserve"> XE "</w:instrText>
            </w:r>
            <w:r w:rsidRPr="00EC6A8E">
              <w:instrText>Kreditereignisbe</w:instrText>
            </w:r>
            <w:r w:rsidRPr="00EC6A8E">
              <w:softHyphen/>
              <w:instrText>schluss-Antrag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bezeichnet eine Mitteilung an den Secretary, mit der die Einberufung eines Kreditderivate-Feststellungsausschusses beantragt wird, um zu Beschliessen, ob ein Ereignis eingetreten ist, das ein Kreditereignis darstellt.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Credit Event Question Dismissal</w:t>
            </w:r>
            <w:r>
              <w:fldChar w:fldCharType="begin"/>
            </w:r>
            <w:r>
              <w:instrText xml:space="preserve"> XE "</w:instrText>
            </w:r>
            <w:r w:rsidRPr="000D7964">
              <w:instrText>DC Credit Event Question Dismissal</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with respect to the Reference Entity, a public announcement by the DC Secretary that the relevant Credit Derivatives Determinations Committee has Resolved not to determine the matters described in a DC Credit Event Question.</w:t>
            </w:r>
          </w:p>
        </w:tc>
        <w:tc>
          <w:tcPr>
            <w:tcW w:w="1618" w:type="dxa"/>
            <w:gridSpan w:val="2"/>
            <w:tcBorders>
              <w:top w:val="nil"/>
              <w:bottom w:val="nil"/>
              <w:right w:val="nil"/>
            </w:tcBorders>
            <w:shd w:val="clear" w:color="auto" w:fill="auto"/>
          </w:tcPr>
          <w:p w:rsidR="0017135D" w:rsidRPr="00811A79" w:rsidP="00C86D04">
            <w:pPr>
              <w:pStyle w:val="CSBody8pt"/>
            </w:pPr>
            <w:r w:rsidRPr="00811A79">
              <w:t>Ablehnung eines Kreditereignisbe</w:t>
            </w:r>
            <w:r w:rsidRPr="00811A79">
              <w:softHyphen/>
              <w:t>schluss-Antrags</w:t>
            </w:r>
            <w:r>
              <w:fldChar w:fldCharType="begin"/>
            </w:r>
            <w:r>
              <w:instrText xml:space="preserve"> XE "</w:instrText>
            </w:r>
            <w:r w:rsidRPr="005C421C">
              <w:instrText>Ablehnung eines Kreditereignisbe</w:instrText>
            </w:r>
            <w:r w:rsidRPr="005C421C">
              <w:softHyphen/>
              <w:instrText>schluss-Antrags</w:instrText>
            </w:r>
            <w:r>
              <w:instrText xml:space="preserve">" </w:instrText>
            </w:r>
            <w: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in Bezug auf den Referenzschuldner eine öffentliche Bekanntgabe des Secretary, dass der zuständige Kreditderivate-Feststellungsausschuss Beschlossen hat, über die in einem Kreditereignisbeschluss-Antrag beschriebenen Sachverhalte nicht zu bestimmen.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No Credit Event Announcement</w:t>
            </w:r>
            <w:r>
              <w:fldChar w:fldCharType="begin"/>
            </w:r>
            <w:r>
              <w:instrText xml:space="preserve"> XE "</w:instrText>
            </w:r>
            <w:r w:rsidRPr="00E4062C">
              <w:instrText>DC No Credit Event Announcement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with respect to the Reference Entity, a public announcement by the DC Secretary that the relevant Credit Derivatives Determinations Committee has Resolved that an event that is the subject of a DC Credit Event Question does not constitute a Credit Event.</w:t>
            </w:r>
          </w:p>
        </w:tc>
        <w:tc>
          <w:tcPr>
            <w:tcW w:w="1618" w:type="dxa"/>
            <w:gridSpan w:val="2"/>
            <w:tcBorders>
              <w:top w:val="nil"/>
              <w:bottom w:val="nil"/>
              <w:right w:val="nil"/>
            </w:tcBorders>
            <w:shd w:val="clear" w:color="auto" w:fill="auto"/>
          </w:tcPr>
          <w:p w:rsidR="0017135D" w:rsidRPr="00811A79" w:rsidP="00322C9B">
            <w:pPr>
              <w:pStyle w:val="CSBody8pt"/>
              <w:rPr>
                <w:lang w:val="de-DE"/>
              </w:rPr>
            </w:pPr>
            <w:r>
              <w:rPr>
                <w:lang w:val="de-DE"/>
              </w:rPr>
              <w:t>Bekanntgabe des Nicht</w:t>
            </w:r>
            <w:r w:rsidRPr="00811A79">
              <w:rPr>
                <w:lang w:val="de-DE"/>
              </w:rPr>
              <w:t>vorliegens eines Kreditereignisses</w:t>
            </w:r>
            <w:r>
              <w:rPr>
                <w:lang w:val="de-DE"/>
              </w:rPr>
              <w:fldChar w:fldCharType="begin"/>
            </w:r>
            <w:r w:rsidRPr="00811A79">
              <w:rPr>
                <w:lang w:val="de-DE"/>
              </w:rPr>
              <w:instrText xml:space="preserve"> XE "</w:instrText>
            </w:r>
            <w:r w:rsidRPr="00D57F0D">
              <w:rPr>
                <w:lang w:val="de-DE"/>
              </w:rPr>
              <w:instrText>Bekanntgabe des N</w:instrText>
            </w:r>
            <w:r>
              <w:rPr>
                <w:lang w:val="de-DE"/>
              </w:rPr>
              <w:instrText>icht</w:instrText>
            </w:r>
            <w:r w:rsidRPr="00D57F0D">
              <w:rPr>
                <w:lang w:val="de-DE"/>
              </w:rPr>
              <w:instrText>vorliegens eines Kreditereignisses</w:instrText>
            </w:r>
            <w:r w:rsidRPr="00811A79">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in Bezug auf den Referenzschuldner eine öffentliche Bekanntgabe seitens des Secretary mit dem Inhalt, dass der zuständige Kreditderivate-Feststellungsausschuss Beschlossen hat, dass ein Ereignis, das Gegenstand eines Kreditereignisbeschluss-Antrags ist, kein Kreditereignis darstellt.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Pending Request</w:t>
            </w:r>
            <w:r>
              <w:fldChar w:fldCharType="begin"/>
            </w:r>
            <w:r>
              <w:instrText xml:space="preserve"> XE "</w:instrText>
            </w:r>
            <w:r w:rsidRPr="00417317">
              <w:instrText>DC Pending Request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 xml:space="preserve">Any request or notice to the Credit Derivatives Determinations Committee to resolve whether a Credit Event has occurred in respect of a Reference Entity, which request or notice has not yet been decided on by the Credit Derivatives Determinations Committee. </w:t>
            </w:r>
          </w:p>
        </w:tc>
        <w:tc>
          <w:tcPr>
            <w:tcW w:w="1618" w:type="dxa"/>
            <w:gridSpan w:val="2"/>
            <w:tcBorders>
              <w:top w:val="nil"/>
              <w:bottom w:val="nil"/>
              <w:right w:val="nil"/>
            </w:tcBorders>
            <w:shd w:val="clear" w:color="auto" w:fill="auto"/>
          </w:tcPr>
          <w:p w:rsidR="0017135D" w:rsidRPr="00811A79" w:rsidP="00C86D04">
            <w:pPr>
              <w:pStyle w:val="CSBody8pt"/>
            </w:pPr>
            <w:r w:rsidRPr="00811A79">
              <w:t>Ausstehender Antrag</w:t>
            </w:r>
            <w:r>
              <w:fldChar w:fldCharType="begin"/>
            </w:r>
            <w:r>
              <w:instrText xml:space="preserve"> XE "</w:instrText>
            </w:r>
            <w:r w:rsidRPr="003A02BC">
              <w:instrText>Ausstehender Antrag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Jeder an den Kreditderivate-Feststellungsausschuss gerichtete Antrag bzw. jede an den Kreditderivate-Feststellungsausschuss gerichtete Mitteilung, festzustellen, ob ein Kreditereignis in Bezug auf einen Referenzschuldner eingetreten ist, sofern der Kreditderivate-Feststellungsausschuss zu diesem Antrag bzw. zu dieser Mitteilung noch keine Entscheidung getroffen hat.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Resolution</w:t>
            </w:r>
            <w:r>
              <w:fldChar w:fldCharType="begin"/>
            </w:r>
            <w:r>
              <w:instrText xml:space="preserve"> XE "</w:instrText>
            </w:r>
            <w:r w:rsidRPr="00BB7FFC">
              <w:instrText>DC Resolution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 xml:space="preserve">(a) a specific determination through a binding vote that satisfies the applicable voting threshold of the relevant Credit Derivatives Determinations Committee or (b) where the applicable voting threshold is not met, the specific determination that is deemed to be made by such Credit Derivatives Determinations Committee otherwise in accordance with the rules governing such Credit Derivatives Determinations Committee. </w:t>
            </w:r>
          </w:p>
        </w:tc>
        <w:tc>
          <w:tcPr>
            <w:tcW w:w="1618" w:type="dxa"/>
            <w:gridSpan w:val="2"/>
            <w:tcBorders>
              <w:top w:val="nil"/>
              <w:bottom w:val="nil"/>
              <w:right w:val="nil"/>
            </w:tcBorders>
            <w:shd w:val="clear" w:color="auto" w:fill="auto"/>
          </w:tcPr>
          <w:p w:rsidR="0017135D" w:rsidRPr="00811A79" w:rsidP="000163E2">
            <w:pPr>
              <w:pStyle w:val="CSBody8pt"/>
            </w:pPr>
            <w:r w:rsidRPr="00811A79">
              <w:t>Feststellungsausschussbeschluss</w:t>
            </w:r>
            <w:r>
              <w:fldChar w:fldCharType="begin"/>
            </w:r>
            <w:r>
              <w:instrText xml:space="preserve"> XE "</w:instrText>
            </w:r>
            <w:r w:rsidRPr="00422FA8">
              <w:instrText>Feststellungsausschussbeschluss</w:instrText>
            </w:r>
            <w:r>
              <w:instrText xml:space="preserve">" </w:instrText>
            </w:r>
            <w:r>
              <w:fldChar w:fldCharType="end"/>
            </w:r>
          </w:p>
        </w:tc>
        <w:tc>
          <w:tcPr>
            <w:tcW w:w="3318" w:type="dxa"/>
            <w:tcBorders>
              <w:top w:val="nil"/>
              <w:left w:val="nil"/>
              <w:bottom w:val="nil"/>
              <w:right w:val="nil"/>
            </w:tcBorders>
            <w:shd w:val="clear" w:color="auto" w:fill="auto"/>
          </w:tcPr>
          <w:p w:rsidR="0017135D" w:rsidRPr="00440AEB" w:rsidP="008A6718">
            <w:pPr>
              <w:pStyle w:val="CSBody8pt"/>
              <w:rPr>
                <w:lang w:val="de-DE"/>
              </w:rPr>
            </w:pPr>
            <w:r w:rsidRPr="00811A79">
              <w:rPr>
                <w:lang w:val="de-DE"/>
              </w:rPr>
              <w:t>(a) eine durch eine verbindliche Abstimmung, bei der die für den zuständigen Kreditderivate-Feststellungsausschuss geltenden Mehrheitserfordernisse erfüllt werden, getroffene konkrete Feststellung oder (b) − falls die geltenden Mehrheitserfordernisse nicht erfüllt werden − die konkrete Feststellung, die anderenfalls von dem zuständigen Kreditderivate-Feststellungsausschuss gemäss den für diesen Ausschuss geltenden Regeln als getroffen gilt.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Rules</w:t>
            </w:r>
            <w:r>
              <w:fldChar w:fldCharType="begin"/>
            </w:r>
            <w:r>
              <w:instrText xml:space="preserve"> XE "</w:instrText>
            </w:r>
            <w:r w:rsidRPr="00E25678">
              <w:instrText>DC Rules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the Credit Derivatives Determinations Committees Rules, as published by ISDA on its website at www.isda.org (or any successor website thereto) from time to time and as amended from time to time in accordance with the terms thereof.</w:t>
            </w:r>
          </w:p>
        </w:tc>
        <w:tc>
          <w:tcPr>
            <w:tcW w:w="1618" w:type="dxa"/>
            <w:gridSpan w:val="2"/>
            <w:tcBorders>
              <w:top w:val="nil"/>
              <w:bottom w:val="nil"/>
              <w:right w:val="nil"/>
            </w:tcBorders>
            <w:shd w:val="clear" w:color="auto" w:fill="auto"/>
          </w:tcPr>
          <w:p w:rsidR="0017135D" w:rsidRPr="00811A79" w:rsidP="00C86D04">
            <w:pPr>
              <w:pStyle w:val="CSBody8pt"/>
            </w:pPr>
            <w:r w:rsidRPr="00811A79">
              <w:t>DC-Regeln</w:t>
            </w:r>
            <w:r>
              <w:fldChar w:fldCharType="begin"/>
            </w:r>
            <w:r>
              <w:instrText xml:space="preserve"> XE "</w:instrText>
            </w:r>
            <w:r w:rsidRPr="00526367">
              <w:instrText>DC-Regeln</w:instrText>
            </w:r>
            <w:r>
              <w:instrText xml:space="preserve">" </w:instrText>
            </w:r>
            <w: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die Regeln für Kreditderivate-Feststellungsausschüsse, die jeweils von der ISDA auf ihrer Website www.isda.org (oder einer Nachfolgeseite) veröffentlicht werden und jeweils gemäss ihren Bestimmungen geändert werden können.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DC Secretary</w:t>
            </w:r>
            <w:r>
              <w:fldChar w:fldCharType="begin"/>
            </w:r>
            <w:r>
              <w:instrText xml:space="preserve"> XE "</w:instrText>
            </w:r>
            <w:r w:rsidRPr="009845A1">
              <w:instrText>DC Secretary</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has the meaning given to that term in the DC Rules.</w:t>
            </w:r>
          </w:p>
        </w:tc>
        <w:tc>
          <w:tcPr>
            <w:tcW w:w="1618" w:type="dxa"/>
            <w:gridSpan w:val="2"/>
            <w:tcBorders>
              <w:top w:val="nil"/>
              <w:bottom w:val="nil"/>
              <w:right w:val="nil"/>
            </w:tcBorders>
            <w:shd w:val="clear" w:color="auto" w:fill="auto"/>
          </w:tcPr>
          <w:p w:rsidR="0017135D" w:rsidRPr="00811A79" w:rsidP="00C86D04">
            <w:pPr>
              <w:pStyle w:val="CSBody8pt"/>
            </w:pPr>
            <w:r w:rsidRPr="00811A79">
              <w:t>Secretary</w:t>
            </w:r>
            <w:r>
              <w:fldChar w:fldCharType="begin"/>
            </w:r>
            <w:r>
              <w:instrText xml:space="preserve"> XE "</w:instrText>
            </w:r>
            <w:r w:rsidRPr="0003063D">
              <w:instrText>Secretary</w:instrText>
            </w:r>
            <w:r>
              <w:instrText xml:space="preserve">" </w:instrText>
            </w:r>
            <w: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hat die diesem Begriff in den DC-Regeln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pPr>
            <w:r w:rsidRPr="00811A79">
              <w:t>Dealer</w:t>
            </w:r>
            <w:r>
              <w:fldChar w:fldCharType="begin"/>
            </w:r>
            <w:r>
              <w:instrText xml:space="preserve"> XE "</w:instrText>
            </w:r>
            <w:r w:rsidRPr="00966C3E">
              <w:instrText>Dealer</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811A79">
              <w:t>a dealer in obligations of the type of Obligation(s) for which Quotations are to be obtained, including each Dealer specified in Section 1.1. The Calculation Agent shall select the Dealers in its discretion. Upon a Dealer no longer being in existence (with no successors), or not being an active dealer in the obligations of the type for which Quotations are to be obtained, the Calculation Agent may substitute any other Dealer(s) for one or more of the foregoing.</w:t>
            </w:r>
          </w:p>
        </w:tc>
        <w:tc>
          <w:tcPr>
            <w:tcW w:w="1618" w:type="dxa"/>
            <w:gridSpan w:val="2"/>
            <w:tcBorders>
              <w:top w:val="nil"/>
              <w:bottom w:val="nil"/>
              <w:right w:val="nil"/>
            </w:tcBorders>
            <w:shd w:val="clear" w:color="auto" w:fill="auto"/>
          </w:tcPr>
          <w:p w:rsidR="0017135D" w:rsidRPr="00811A79" w:rsidP="00C86D04">
            <w:pPr>
              <w:pStyle w:val="CSBody8pt"/>
            </w:pPr>
            <w:r w:rsidRPr="00811A79">
              <w:t>Händler</w:t>
            </w:r>
            <w:r>
              <w:fldChar w:fldCharType="begin"/>
            </w:r>
            <w:r>
              <w:instrText xml:space="preserve"> XE "</w:instrText>
            </w:r>
            <w:r w:rsidRPr="005B23EB">
              <w:instrText>Händler</w:instrText>
            </w:r>
            <w:r>
              <w:instrText xml:space="preserve">" </w:instrText>
            </w:r>
            <w:r>
              <w:fldChar w:fldCharType="end"/>
            </w:r>
          </w:p>
        </w:tc>
        <w:tc>
          <w:tcPr>
            <w:tcW w:w="3318" w:type="dxa"/>
            <w:tcBorders>
              <w:top w:val="nil"/>
              <w:left w:val="nil"/>
              <w:bottom w:val="nil"/>
              <w:right w:val="nil"/>
            </w:tcBorders>
            <w:shd w:val="clear" w:color="auto" w:fill="auto"/>
          </w:tcPr>
          <w:p w:rsidR="0017135D" w:rsidRPr="00811A79" w:rsidP="00C86D04">
            <w:pPr>
              <w:pStyle w:val="CSBody8pt"/>
              <w:rPr>
                <w:lang w:val="de-DE"/>
              </w:rPr>
            </w:pPr>
            <w:r w:rsidRPr="00811A79">
              <w:rPr>
                <w:lang w:val="de-DE"/>
              </w:rPr>
              <w:t xml:space="preserve">eine Person, die Verbindlichkeiten des Typs, für den Quotierungen eingeholt werden sollen, handelt, wobei der Begriff auch alle in Ziffer 1.1 angegebenen Händler einschliesst. Die Berechnungsstelle wählt die Händler nach ihrem Ermessen aus. Existiert ein Händler nicht mehr (und gibt es auch keinen </w:t>
            </w:r>
            <w:r w:rsidRPr="001B6411">
              <w:rPr>
                <w:lang w:val="de-DE"/>
              </w:rPr>
              <w:t>Rechtsn</w:t>
            </w:r>
            <w:r w:rsidRPr="00811A79">
              <w:rPr>
                <w:lang w:val="de-DE"/>
              </w:rPr>
              <w:t>achfolger) oder handelt ein Händler nicht mehr aktiv mit Verbindlichkeiten des Typs, für den Quotierungen eingeholt werden sollen, kann die Berechnungsstelle die betreffenden Händler durch andere ersetzen.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11A79" w:rsidP="00C86D04">
            <w:pPr>
              <w:pStyle w:val="CSBody8pt"/>
              <w:rPr>
                <w:lang w:val="de-DE"/>
              </w:rPr>
            </w:pPr>
            <w:r w:rsidRPr="00811A79">
              <w:rPr>
                <w:lang w:val="de-DE"/>
              </w:rPr>
              <w:t>Default Requirement</w:t>
            </w:r>
            <w:r>
              <w:rPr>
                <w:lang w:val="de-DE"/>
              </w:rPr>
              <w:fldChar w:fldCharType="begin"/>
            </w:r>
            <w:r>
              <w:instrText xml:space="preserve"> XE "</w:instrText>
            </w:r>
            <w:r w:rsidRPr="00F2336C">
              <w:rPr>
                <w:lang w:val="de-DE"/>
              </w:rPr>
              <w:instrText>Default Requirement</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811A79" w:rsidP="00C86D04">
            <w:pPr>
              <w:pStyle w:val="CSBody8pt"/>
            </w:pPr>
            <w:r w:rsidRPr="00792D61">
              <w:rPr>
                <w:b/>
              </w:rPr>
              <w:t>[</w:t>
            </w:r>
            <w:r w:rsidRPr="00811A79">
              <w:rPr>
                <w:b/>
                <w:i/>
              </w:rPr>
              <w:t>if Transaction Type is "Standard Japan Corporate" or "Standard Japan Sovereign" and if Floating Rate Payer Calculation Amount is in JPY, insert:</w:t>
            </w:r>
            <w:r w:rsidRPr="00811A79">
              <w:t xml:space="preserve"> JPY 100,000,000 or its equivalent in the relevant Obligation Currency, in either case as of the occurrence of the relevant Credit Event.</w:t>
            </w:r>
            <w:r w:rsidRPr="00792D61">
              <w:rPr>
                <w:b/>
              </w:rPr>
              <w:t>]</w:t>
            </w:r>
          </w:p>
        </w:tc>
        <w:tc>
          <w:tcPr>
            <w:tcW w:w="1618" w:type="dxa"/>
            <w:gridSpan w:val="2"/>
            <w:tcBorders>
              <w:top w:val="nil"/>
              <w:bottom w:val="nil"/>
              <w:right w:val="nil"/>
            </w:tcBorders>
            <w:shd w:val="clear" w:color="auto" w:fill="auto"/>
          </w:tcPr>
          <w:p w:rsidR="0017135D" w:rsidRPr="00811A79" w:rsidP="00322C9B">
            <w:pPr>
              <w:pStyle w:val="CSBody8pt"/>
              <w:rPr>
                <w:lang w:val="de-DE"/>
              </w:rPr>
            </w:pPr>
            <w:r w:rsidRPr="00811A79">
              <w:rPr>
                <w:lang w:val="de-DE"/>
              </w:rPr>
              <w:t>Ausfall-Schwellenbetrag</w:t>
            </w:r>
            <w:r>
              <w:rPr>
                <w:lang w:val="de-DE"/>
              </w:rPr>
              <w:fldChar w:fldCharType="begin"/>
            </w:r>
            <w:r>
              <w:instrText xml:space="preserve"> XE "</w:instrText>
            </w:r>
            <w:r w:rsidRPr="008922AE">
              <w:rPr>
                <w:lang w:val="de-DE"/>
              </w:rPr>
              <w:instrText>Ausfall-Schwellenbetrag</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440AEB" w:rsidP="000163E2">
            <w:pPr>
              <w:pStyle w:val="CSBody8pt"/>
              <w:rPr>
                <w:lang w:val="de-DE"/>
              </w:rPr>
            </w:pPr>
            <w:r w:rsidRPr="00792D61">
              <w:rPr>
                <w:b/>
                <w:lang w:val="de-DE"/>
              </w:rPr>
              <w:t>[</w:t>
            </w:r>
            <w:r w:rsidRPr="00811A79">
              <w:rPr>
                <w:b/>
                <w:i/>
                <w:lang w:val="de-DE"/>
              </w:rPr>
              <w:t>falls der Transaktionstyp "Standard Japan Corporate" oder "Standard Japan Sovereign" ist und falls es sich bei dem Berechnungsbetrag für Variable Beträge um einen Betrag in JPY handelt, einfügen:</w:t>
            </w:r>
            <w:r w:rsidRPr="00811A79">
              <w:rPr>
                <w:lang w:val="de-DE"/>
              </w:rPr>
              <w:t xml:space="preserve"> JPY 100.000.000 oder der Gegenwert in der jeweiligen Verbindlichkeitenwährung, jeweils zum Zeitpunkt des Eintritts des betreffenden Kreditereignisses.</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40AEB" w:rsidP="00C86D04">
            <w:pPr>
              <w:pStyle w:val="CSBody8pt"/>
              <w:rPr>
                <w:lang w:val="de-DE"/>
              </w:rPr>
            </w:pPr>
          </w:p>
        </w:tc>
        <w:tc>
          <w:tcPr>
            <w:tcW w:w="3315" w:type="dxa"/>
            <w:gridSpan w:val="2"/>
            <w:tcBorders>
              <w:top w:val="nil"/>
              <w:left w:val="nil"/>
              <w:bottom w:val="nil"/>
            </w:tcBorders>
            <w:shd w:val="clear" w:color="auto" w:fill="auto"/>
          </w:tcPr>
          <w:p w:rsidR="0017135D" w:rsidP="00C86D04">
            <w:pPr>
              <w:pStyle w:val="CSBody8pt"/>
            </w:pPr>
            <w:r w:rsidRPr="00792D61">
              <w:rPr>
                <w:b/>
              </w:rPr>
              <w:t>[</w:t>
            </w:r>
            <w:r w:rsidRPr="00C86D04">
              <w:rPr>
                <w:b/>
                <w:i/>
              </w:rPr>
              <w:t>in all other cases, insert:</w:t>
            </w:r>
            <w:r w:rsidRPr="00011E66">
              <w:t xml:space="preserve"> USD 10,000,000 or its equivalent in the relevant Obligation Currency, in either case as of the occurrence of the relevant Credit Event.</w:t>
            </w:r>
            <w:r w:rsidRPr="00792D61">
              <w:rPr>
                <w:b/>
              </w:rPr>
              <w:t>]</w:t>
            </w:r>
          </w:p>
        </w:tc>
        <w:tc>
          <w:tcPr>
            <w:tcW w:w="1618" w:type="dxa"/>
            <w:gridSpan w:val="2"/>
            <w:tcBorders>
              <w:top w:val="nil"/>
              <w:bottom w:val="nil"/>
              <w:right w:val="nil"/>
            </w:tcBorders>
            <w:shd w:val="clear" w:color="auto" w:fill="auto"/>
          </w:tcPr>
          <w:p w:rsidR="0017135D" w:rsidRPr="00440AEB" w:rsidP="00C86D04">
            <w:pPr>
              <w:pStyle w:val="CSBody8pt"/>
              <w:rPr>
                <w:i/>
              </w:rPr>
            </w:pPr>
          </w:p>
        </w:tc>
        <w:tc>
          <w:tcPr>
            <w:tcW w:w="3318" w:type="dxa"/>
            <w:tcBorders>
              <w:top w:val="nil"/>
              <w:left w:val="nil"/>
              <w:bottom w:val="nil"/>
              <w:right w:val="nil"/>
            </w:tcBorders>
            <w:shd w:val="clear" w:color="auto" w:fill="auto"/>
          </w:tcPr>
          <w:p w:rsidR="0017135D" w:rsidRPr="00440AEB" w:rsidP="00C86D04">
            <w:pPr>
              <w:pStyle w:val="CSBody8pt"/>
              <w:rPr>
                <w:lang w:val="de-DE"/>
              </w:rPr>
            </w:pPr>
            <w:r w:rsidRPr="00792D61">
              <w:rPr>
                <w:b/>
                <w:lang w:val="de-DE"/>
              </w:rPr>
              <w:t>[</w:t>
            </w:r>
            <w:r w:rsidRPr="00C86D04">
              <w:rPr>
                <w:b/>
                <w:i/>
                <w:lang w:val="de-DE"/>
              </w:rPr>
              <w:t>in allen anderen Fällen, einfügen</w:t>
            </w:r>
            <w:r w:rsidRPr="00440AEB">
              <w:rPr>
                <w:lang w:val="de-DE"/>
              </w:rPr>
              <w:t>: USD 10.000.000 oder der Gegenwert in der jeweiligen Verbindlichkeitenwährung, jeweils zum Zeitpunkt des Eintritts des betreffenden Kreditereignisses.</w:t>
            </w:r>
            <w:r w:rsidRPr="00792D61">
              <w:rPr>
                <w:b/>
                <w:lang w:val="de-DE"/>
              </w:rPr>
              <w:t>]</w:t>
            </w:r>
          </w:p>
        </w:tc>
      </w:tr>
      <w:tr w:rsidTr="004C1EBA">
        <w:tblPrEx>
          <w:tblW w:w="4999" w:type="pct"/>
          <w:tblLayout w:type="fixed"/>
          <w:tblCellMar>
            <w:left w:w="115" w:type="dxa"/>
            <w:right w:w="115" w:type="dxa"/>
          </w:tblCellMar>
          <w:tblLook w:val="04A0"/>
        </w:tblPrEx>
        <w:trPr>
          <w:trHeight w:val="3358"/>
        </w:trPr>
        <w:tc>
          <w:tcPr>
            <w:tcW w:w="1616" w:type="dxa"/>
            <w:gridSpan w:val="3"/>
            <w:tcBorders>
              <w:top w:val="nil"/>
              <w:left w:val="nil"/>
              <w:right w:val="nil"/>
            </w:tcBorders>
            <w:shd w:val="clear" w:color="auto" w:fill="auto"/>
          </w:tcPr>
          <w:p w:rsidR="0017135D" w:rsidRPr="00A17163" w:rsidP="00C86D04">
            <w:pPr>
              <w:pStyle w:val="CSBody8ptbolditalics"/>
            </w:pPr>
            <w:r w:rsidRPr="00792D61">
              <w:t>[</w:t>
            </w:r>
            <w:r w:rsidRPr="00A17163">
              <w:t>if "Not Domestic Currency" is applicable as Obligation Characteristic or Valuation Obligation Characteristic,</w:t>
            </w:r>
            <w:r w:rsidR="0079644C">
              <w:t xml:space="preserve"> or if a Domestic Currency is a Specified Currency</w:t>
            </w:r>
            <w:r w:rsidRPr="00A17163">
              <w:t xml:space="preserve"> insert: </w:t>
            </w:r>
          </w:p>
          <w:p w:rsidR="0017135D" w:rsidRPr="00A17163" w:rsidP="00C86D04">
            <w:pPr>
              <w:pStyle w:val="CSBody8pt"/>
            </w:pPr>
            <w:r w:rsidRPr="00811A79">
              <w:t>Domestic Currency</w:t>
            </w:r>
            <w:r>
              <w:fldChar w:fldCharType="begin"/>
            </w:r>
            <w:r>
              <w:instrText xml:space="preserve"> XE "</w:instrText>
            </w:r>
            <w:r w:rsidRPr="00687095">
              <w:instrText>Domestic Currency</w:instrText>
            </w:r>
            <w:r>
              <w:instrText xml:space="preserve">" \f "EN" </w:instrText>
            </w:r>
            <w:r>
              <w:fldChar w:fldCharType="end"/>
            </w:r>
          </w:p>
        </w:tc>
        <w:tc>
          <w:tcPr>
            <w:tcW w:w="3315" w:type="dxa"/>
            <w:gridSpan w:val="2"/>
            <w:tcBorders>
              <w:top w:val="nil"/>
              <w:left w:val="nil"/>
            </w:tcBorders>
            <w:shd w:val="clear" w:color="auto" w:fill="auto"/>
          </w:tcPr>
          <w:p w:rsidR="0017135D" w:rsidRPr="007819B0" w:rsidP="00C86D04">
            <w:pPr>
              <w:pStyle w:val="CSBody8pt"/>
            </w:pPr>
            <w:r w:rsidRPr="00792D61">
              <w:rPr>
                <w:b/>
              </w:rPr>
              <w:t>[</w:t>
            </w:r>
            <w:r w:rsidRPr="007819B0">
              <w:t xml:space="preserve">the following lawful currency and any successor currency thereof: </w:t>
            </w:r>
            <w:r w:rsidRPr="00792D61">
              <w:rPr>
                <w:b/>
              </w:rPr>
              <w:t>[</w:t>
            </w:r>
            <w:r w:rsidRPr="007819B0">
              <w:rPr>
                <w:rFonts w:ascii="Arial" w:hAnsi="Arial" w:cs="Arial"/>
              </w:rPr>
              <w:t>●</w:t>
            </w:r>
            <w:r w:rsidRPr="00792D61">
              <w:rPr>
                <w:b/>
              </w:rPr>
              <w:t>]]</w:t>
            </w:r>
          </w:p>
          <w:p w:rsidR="0017135D" w:rsidRPr="007819B0" w:rsidP="00C86D04">
            <w:pPr>
              <w:pStyle w:val="CSBody8pt"/>
            </w:pPr>
          </w:p>
        </w:tc>
        <w:tc>
          <w:tcPr>
            <w:tcW w:w="1618" w:type="dxa"/>
            <w:gridSpan w:val="2"/>
            <w:tcBorders>
              <w:top w:val="nil"/>
              <w:right w:val="nil"/>
            </w:tcBorders>
            <w:shd w:val="clear" w:color="auto" w:fill="auto"/>
          </w:tcPr>
          <w:p w:rsidR="0017135D" w:rsidRPr="00440AEB" w:rsidP="000163E2">
            <w:pPr>
              <w:pStyle w:val="CSBody8ptbolditalics"/>
              <w:rPr>
                <w:lang w:val="de-DE"/>
              </w:rPr>
            </w:pPr>
            <w:r w:rsidRPr="00792D61">
              <w:rPr>
                <w:lang w:val="de-DE"/>
              </w:rPr>
              <w:t>[</w:t>
            </w:r>
            <w:r w:rsidRPr="00440AEB">
              <w:rPr>
                <w:lang w:val="de-DE"/>
              </w:rPr>
              <w:t xml:space="preserve">falls "Keine Inlandswährung" als Verbindlichkeitenmerkmal oder Merkmal für Bewertungsverbindlichkeiten anwendbar ist, </w:t>
            </w:r>
            <w:r w:rsidR="0079644C">
              <w:rPr>
                <w:lang w:val="de-DE"/>
              </w:rPr>
              <w:t xml:space="preserve">oder eine Inlandswährung eine Festgelegte Währung ist, </w:t>
            </w:r>
            <w:r w:rsidRPr="00440AEB">
              <w:rPr>
                <w:lang w:val="de-DE"/>
              </w:rPr>
              <w:t>einfügen:</w:t>
            </w:r>
          </w:p>
          <w:p w:rsidR="0017135D" w:rsidRPr="00440AEB" w:rsidP="00C86D04">
            <w:pPr>
              <w:pStyle w:val="CSBody8pt"/>
              <w:rPr>
                <w:lang w:val="de-DE"/>
              </w:rPr>
            </w:pPr>
            <w:r w:rsidRPr="00811A79">
              <w:rPr>
                <w:lang w:val="de-DE"/>
              </w:rPr>
              <w:t>Inlandswährung</w:t>
            </w:r>
            <w:r>
              <w:rPr>
                <w:lang w:val="de-DE"/>
              </w:rPr>
              <w:fldChar w:fldCharType="begin"/>
            </w:r>
            <w:r>
              <w:instrText xml:space="preserve"> XE "</w:instrText>
            </w:r>
            <w:r w:rsidRPr="00DB1E7A">
              <w:rPr>
                <w:lang w:val="de-DE"/>
              </w:rPr>
              <w:instrText>Inlandswährung</w:instrText>
            </w:r>
            <w:r>
              <w:instrText xml:space="preserve">" </w:instrText>
            </w:r>
            <w:r>
              <w:rPr>
                <w:lang w:val="de-DE"/>
              </w:rPr>
              <w:fldChar w:fldCharType="end"/>
            </w:r>
          </w:p>
        </w:tc>
        <w:tc>
          <w:tcPr>
            <w:tcW w:w="3318" w:type="dxa"/>
            <w:tcBorders>
              <w:top w:val="nil"/>
              <w:left w:val="nil"/>
              <w:right w:val="nil"/>
            </w:tcBorders>
            <w:shd w:val="clear" w:color="auto" w:fill="auto"/>
          </w:tcPr>
          <w:p w:rsidR="0017135D" w:rsidRPr="00440AEB" w:rsidP="00C86D04">
            <w:pPr>
              <w:pStyle w:val="CSBody8pt"/>
              <w:rPr>
                <w:bCs/>
                <w:lang w:val="de-DE"/>
              </w:rPr>
            </w:pPr>
            <w:r w:rsidRPr="00792D61">
              <w:rPr>
                <w:b/>
                <w:bCs/>
                <w:lang w:val="de-DE"/>
              </w:rPr>
              <w:t>[</w:t>
            </w:r>
            <w:r w:rsidRPr="00440AEB">
              <w:rPr>
                <w:bCs/>
                <w:lang w:val="de-DE"/>
              </w:rPr>
              <w:t xml:space="preserve">die folgende gesetzliche Währung und jede Nachfolgewährung: </w:t>
            </w:r>
            <w:r w:rsidRPr="00792D61">
              <w:rPr>
                <w:b/>
                <w:bCs/>
                <w:lang w:val="de-DE"/>
              </w:rPr>
              <w:t>[</w:t>
            </w:r>
            <w:r w:rsidRPr="00440AEB">
              <w:rPr>
                <w:rFonts w:ascii="Arial" w:hAnsi="Arial" w:cs="Arial"/>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40AEB" w:rsidP="00C86D04">
            <w:pPr>
              <w:pStyle w:val="CSBody8pt"/>
              <w:rPr>
                <w:lang w:val="de-DE"/>
              </w:rPr>
            </w:pPr>
          </w:p>
        </w:tc>
        <w:tc>
          <w:tcPr>
            <w:tcW w:w="3315" w:type="dxa"/>
            <w:gridSpan w:val="2"/>
            <w:tcBorders>
              <w:top w:val="nil"/>
              <w:left w:val="nil"/>
              <w:bottom w:val="nil"/>
            </w:tcBorders>
            <w:shd w:val="clear" w:color="auto" w:fill="auto"/>
          </w:tcPr>
          <w:p w:rsidR="0017135D" w:rsidRPr="007819B0" w:rsidP="00C86D04">
            <w:pPr>
              <w:pStyle w:val="CSBody8pt"/>
            </w:pPr>
            <w:r w:rsidRPr="00792D61">
              <w:rPr>
                <w:b/>
              </w:rPr>
              <w:t>[</w:t>
            </w:r>
            <w:r w:rsidRPr="00440AEB">
              <w:t xml:space="preserve">the lawful currency and any successor currency of </w:t>
            </w:r>
            <w:r w:rsidRPr="00792D61">
              <w:rPr>
                <w:b/>
              </w:rPr>
              <w:t>[</w:t>
            </w:r>
            <w:r w:rsidRPr="00C86D04">
              <w:rPr>
                <w:b/>
                <w:i/>
              </w:rPr>
              <w:t>if the Reference Entity is a Sovereign, insert:</w:t>
            </w:r>
            <w:r w:rsidRPr="00440AEB">
              <w:t xml:space="preserve"> the Reference Entity</w:t>
            </w:r>
            <w:r w:rsidRPr="00792D61">
              <w:rPr>
                <w:b/>
              </w:rPr>
              <w:t>[</w:t>
            </w:r>
            <w:r w:rsidRPr="00440AEB">
              <w:t>, if such Reference Entity is a Sovereign</w:t>
            </w:r>
            <w:r w:rsidRPr="00792D61">
              <w:rPr>
                <w:b/>
              </w:rPr>
              <w:t>]][</w:t>
            </w:r>
            <w:r w:rsidRPr="00440AEB">
              <w:t>and</w:t>
            </w:r>
            <w:r w:rsidRPr="00792D61">
              <w:rPr>
                <w:b/>
              </w:rPr>
              <w:t>][</w:t>
            </w:r>
            <w:r w:rsidRPr="00C86D04">
              <w:rPr>
                <w:b/>
                <w:i/>
              </w:rPr>
              <w:t xml:space="preserve">if the Reference Entity is not a Sovereign, insert: </w:t>
            </w:r>
            <w:r w:rsidRPr="00440AEB">
              <w:t>the jurisdiction in which the Reference Entity is organized</w:t>
            </w:r>
            <w:r>
              <w:rPr>
                <w:b/>
              </w:rPr>
              <w:t>]</w:t>
            </w:r>
            <w:r w:rsidRPr="00792D61">
              <w:rPr>
                <w:b/>
              </w:rPr>
              <w:t>[</w:t>
            </w:r>
            <w:r w:rsidRPr="00440AEB">
              <w:t>, if such Reference Entity is not a Sovereign</w:t>
            </w:r>
            <w:r w:rsidRPr="00792D61">
              <w:rPr>
                <w:b/>
              </w:rPr>
              <w:t>]]</w:t>
            </w:r>
            <w:r w:rsidRPr="00440AEB">
              <w:t>.</w:t>
            </w:r>
            <w:r w:rsidRPr="00792D61">
              <w:rPr>
                <w:b/>
              </w:rPr>
              <w:t>]</w:t>
            </w:r>
          </w:p>
        </w:tc>
        <w:tc>
          <w:tcPr>
            <w:tcW w:w="1618" w:type="dxa"/>
            <w:gridSpan w:val="2"/>
            <w:tcBorders>
              <w:top w:val="nil"/>
              <w:bottom w:val="nil"/>
              <w:right w:val="nil"/>
            </w:tcBorders>
            <w:shd w:val="clear" w:color="auto" w:fill="auto"/>
          </w:tcPr>
          <w:p w:rsidR="0017135D" w:rsidRPr="00440AEB" w:rsidP="00C86D04">
            <w:pPr>
              <w:pStyle w:val="CSBody8pt"/>
              <w:rPr>
                <w:i/>
              </w:rPr>
            </w:pPr>
          </w:p>
        </w:tc>
        <w:tc>
          <w:tcPr>
            <w:tcW w:w="3318" w:type="dxa"/>
            <w:tcBorders>
              <w:top w:val="nil"/>
              <w:left w:val="nil"/>
              <w:bottom w:val="nil"/>
              <w:right w:val="nil"/>
            </w:tcBorders>
            <w:shd w:val="clear" w:color="auto" w:fill="auto"/>
          </w:tcPr>
          <w:p w:rsidR="0017135D" w:rsidRPr="00440AEB" w:rsidP="000163E2">
            <w:pPr>
              <w:pStyle w:val="CSBody8pt"/>
              <w:rPr>
                <w:bCs/>
                <w:lang w:val="de-DE"/>
              </w:rPr>
            </w:pPr>
            <w:r w:rsidRPr="00792D61">
              <w:rPr>
                <w:b/>
                <w:bCs/>
                <w:lang w:val="de-DE"/>
              </w:rPr>
              <w:t>[</w:t>
            </w:r>
            <w:r w:rsidRPr="00440AEB">
              <w:rPr>
                <w:bCs/>
                <w:lang w:val="de-DE"/>
              </w:rPr>
              <w:t xml:space="preserve">die gesetzliche Währung und jede Nachfolgewährung </w:t>
            </w:r>
            <w:r w:rsidRPr="00792D61">
              <w:rPr>
                <w:b/>
                <w:bCs/>
                <w:lang w:val="de-DE"/>
              </w:rPr>
              <w:t>[</w:t>
            </w:r>
            <w:r w:rsidRPr="00C86D04">
              <w:rPr>
                <w:b/>
                <w:bCs/>
                <w:i/>
                <w:lang w:val="de-DE"/>
              </w:rPr>
              <w:t>falls der Referenzschuldner ein Staat ist, einfügen:</w:t>
            </w:r>
            <w:r w:rsidRPr="00440AEB">
              <w:rPr>
                <w:bCs/>
                <w:lang w:val="de-DE"/>
              </w:rPr>
              <w:t xml:space="preserve"> des Referenzschuldners</w:t>
            </w:r>
            <w:r w:rsidRPr="00792D61">
              <w:rPr>
                <w:b/>
                <w:bCs/>
                <w:lang w:val="de-DE"/>
              </w:rPr>
              <w:t>][</w:t>
            </w:r>
            <w:r w:rsidRPr="00440AEB">
              <w:rPr>
                <w:bCs/>
                <w:lang w:val="de-DE"/>
              </w:rPr>
              <w:t>, wenn der Referenzschuldner ein Staat ist</w:t>
            </w:r>
            <w:r w:rsidRPr="00792D61">
              <w:rPr>
                <w:b/>
                <w:bCs/>
                <w:lang w:val="de-DE"/>
              </w:rPr>
              <w:t>][</w:t>
            </w:r>
            <w:r w:rsidRPr="00440AEB">
              <w:rPr>
                <w:bCs/>
                <w:lang w:val="de-DE"/>
              </w:rPr>
              <w:t>bzw.</w:t>
            </w:r>
            <w:r w:rsidRPr="00792D61">
              <w:rPr>
                <w:b/>
                <w:bCs/>
                <w:lang w:val="de-DE"/>
              </w:rPr>
              <w:t>][</w:t>
            </w:r>
            <w:r w:rsidRPr="00C86D04">
              <w:rPr>
                <w:b/>
                <w:bCs/>
                <w:i/>
                <w:lang w:val="de-DE"/>
              </w:rPr>
              <w:t>falls der Referenzschuldner kein Staat ist, einfügen:</w:t>
            </w:r>
            <w:r w:rsidRPr="00440AEB">
              <w:rPr>
                <w:bCs/>
                <w:lang w:val="de-DE"/>
              </w:rPr>
              <w:t xml:space="preserve"> des Landes, in dem der Referenzschuldner errichtet ist</w:t>
            </w:r>
            <w:r w:rsidRPr="00792D61">
              <w:rPr>
                <w:b/>
                <w:bCs/>
                <w:lang w:val="de-DE"/>
              </w:rPr>
              <w:t>][</w:t>
            </w:r>
            <w:r w:rsidRPr="00440AEB">
              <w:rPr>
                <w:bCs/>
                <w:lang w:val="de-DE"/>
              </w:rPr>
              <w:t>, wenn der Referenzschuldner kein Staat ist</w:t>
            </w:r>
            <w:r w:rsidRPr="00792D61">
              <w:rPr>
                <w:b/>
                <w:bCs/>
                <w:lang w:val="de-DE"/>
              </w:rPr>
              <w:t>]]</w:t>
            </w:r>
            <w:r w:rsidRPr="00440AEB">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38653D" w:rsidP="00C86D04">
            <w:pPr>
              <w:pStyle w:val="CSBody8ptbolditalics"/>
            </w:pPr>
            <w:r w:rsidRPr="00792D61">
              <w:t>[</w:t>
            </w:r>
            <w:r w:rsidRPr="0038653D">
              <w:t xml:space="preserve">if Not Domestic Law" is an applicable Obligation Characteristic or Valuation Obligation Characteristic: </w:t>
            </w:r>
          </w:p>
          <w:p w:rsidR="0017135D" w:rsidRPr="0038653D" w:rsidP="00C86D04">
            <w:pPr>
              <w:pStyle w:val="CSBody8pt"/>
            </w:pPr>
            <w:r w:rsidRPr="002E54AE">
              <w:t>Domestic Law</w:t>
            </w:r>
            <w:r>
              <w:fldChar w:fldCharType="begin"/>
            </w:r>
            <w:r>
              <w:instrText xml:space="preserve"> XE "</w:instrText>
            </w:r>
            <w:r w:rsidRPr="00A266E4">
              <w:instrText>Domestic Law</w:instrText>
            </w:r>
            <w:r>
              <w:instrText xml:space="preserve">" \f "EN" </w:instrText>
            </w:r>
            <w:r>
              <w:fldChar w:fldCharType="end"/>
            </w:r>
          </w:p>
        </w:tc>
        <w:tc>
          <w:tcPr>
            <w:tcW w:w="3315" w:type="dxa"/>
            <w:gridSpan w:val="2"/>
            <w:tcBorders>
              <w:top w:val="nil"/>
              <w:left w:val="nil"/>
            </w:tcBorders>
            <w:shd w:val="clear" w:color="auto" w:fill="auto"/>
          </w:tcPr>
          <w:p w:rsidR="0017135D" w:rsidRPr="00CF4434" w:rsidP="00C86D04">
            <w:pPr>
              <w:pStyle w:val="CSBody8pt"/>
            </w:pPr>
            <w:r w:rsidRPr="00792D61">
              <w:rPr>
                <w:b/>
              </w:rPr>
              <w:t>[</w:t>
            </w:r>
            <w:r w:rsidRPr="00C86D04">
              <w:rPr>
                <w:b/>
                <w:i/>
              </w:rPr>
              <w:t>if the Reference Entity is a Sovereign, insert:</w:t>
            </w:r>
            <w:r w:rsidRPr="00CF4434">
              <w:t xml:space="preserve"> the laws of the Reference Entity</w:t>
            </w:r>
            <w:r w:rsidRPr="00792D61">
              <w:rPr>
                <w:b/>
              </w:rPr>
              <w:t>[</w:t>
            </w:r>
            <w:r w:rsidRPr="00CF4434">
              <w:t>, if such Reference Entity is a Sovereign</w:t>
            </w:r>
            <w:r w:rsidRPr="00792D61">
              <w:rPr>
                <w:b/>
              </w:rPr>
              <w:t>]][</w:t>
            </w:r>
            <w:r w:rsidRPr="00CF4434">
              <w:t>or</w:t>
            </w:r>
            <w:r w:rsidRPr="00792D61">
              <w:rPr>
                <w:b/>
              </w:rPr>
              <w:t>][</w:t>
            </w:r>
            <w:r w:rsidRPr="00C86D04">
              <w:rPr>
                <w:b/>
                <w:i/>
              </w:rPr>
              <w:t>if the Reference Entity is not a Sovereign, insert:</w:t>
            </w:r>
            <w:r w:rsidRPr="00CF4434">
              <w:t xml:space="preserve"> the laws of the jurisdiction in which the Reference Entity is organized</w:t>
            </w:r>
            <w:r w:rsidRPr="00792D61">
              <w:rPr>
                <w:b/>
              </w:rPr>
              <w:t>[</w:t>
            </w:r>
            <w:r w:rsidRPr="00CF4434">
              <w:t>, if such Reference Entity is not a Sovereign</w:t>
            </w:r>
            <w:r w:rsidRPr="00792D61">
              <w:rPr>
                <w:b/>
              </w:rPr>
              <w:t>]</w:t>
            </w:r>
            <w:r>
              <w:rPr>
                <w:b/>
              </w:rPr>
              <w:t>]</w:t>
            </w:r>
            <w:r w:rsidRPr="00CF4434">
              <w:t>.</w:t>
            </w:r>
            <w:r w:rsidRPr="00792D61">
              <w:rPr>
                <w:b/>
              </w:rPr>
              <w:t>]</w:t>
            </w:r>
          </w:p>
        </w:tc>
        <w:tc>
          <w:tcPr>
            <w:tcW w:w="1618" w:type="dxa"/>
            <w:gridSpan w:val="2"/>
            <w:tcBorders>
              <w:top w:val="nil"/>
              <w:right w:val="nil"/>
            </w:tcBorders>
            <w:shd w:val="clear" w:color="auto" w:fill="auto"/>
          </w:tcPr>
          <w:p w:rsidR="0017135D" w:rsidRPr="00CF4434" w:rsidP="000163E2">
            <w:pPr>
              <w:pStyle w:val="CSBody8ptbolditalics"/>
              <w:rPr>
                <w:lang w:val="de-DE"/>
              </w:rPr>
            </w:pPr>
            <w:r w:rsidRPr="00792D61">
              <w:rPr>
                <w:lang w:val="de-DE"/>
              </w:rPr>
              <w:t>[</w:t>
            </w:r>
            <w:r w:rsidRPr="00CF4434">
              <w:rPr>
                <w:lang w:val="de-DE"/>
              </w:rPr>
              <w:t>falls "Nicht Inländisches Recht" als Verbindlichkeitenmerkmal oder Merkmal für Bewertungsverbindlichkeiten anwendbar ist, einfügen:</w:t>
            </w:r>
          </w:p>
          <w:p w:rsidR="0017135D" w:rsidRPr="00CF4434" w:rsidP="00C86D04">
            <w:pPr>
              <w:pStyle w:val="CSBody8pt"/>
              <w:rPr>
                <w:lang w:val="de-DE"/>
              </w:rPr>
            </w:pPr>
            <w:r w:rsidRPr="002E54AE">
              <w:rPr>
                <w:lang w:val="de-DE"/>
              </w:rPr>
              <w:t>Inlandsrecht</w:t>
            </w:r>
            <w:r>
              <w:rPr>
                <w:lang w:val="de-DE"/>
              </w:rPr>
              <w:fldChar w:fldCharType="begin"/>
            </w:r>
            <w:r>
              <w:instrText xml:space="preserve"> XE "</w:instrText>
            </w:r>
            <w:r w:rsidRPr="00C21FA2">
              <w:rPr>
                <w:lang w:val="de-DE"/>
              </w:rPr>
              <w:instrText>Inlandsrecht</w:instrText>
            </w:r>
            <w:r>
              <w:instrText xml:space="preserve">" </w:instrText>
            </w:r>
            <w:r>
              <w:rPr>
                <w:lang w:val="de-DE"/>
              </w:rPr>
              <w:fldChar w:fldCharType="end"/>
            </w:r>
          </w:p>
        </w:tc>
        <w:tc>
          <w:tcPr>
            <w:tcW w:w="3318" w:type="dxa"/>
            <w:tcBorders>
              <w:top w:val="nil"/>
              <w:left w:val="nil"/>
              <w:right w:val="nil"/>
            </w:tcBorders>
            <w:shd w:val="clear" w:color="auto" w:fill="auto"/>
          </w:tcPr>
          <w:p w:rsidR="0017135D" w:rsidRPr="00CF4434" w:rsidP="00C86D04">
            <w:pPr>
              <w:pStyle w:val="CSBody8pt"/>
              <w:rPr>
                <w:bCs/>
                <w:lang w:val="de-DE"/>
              </w:rPr>
            </w:pPr>
            <w:r w:rsidRPr="00792D61">
              <w:rPr>
                <w:b/>
                <w:bCs/>
                <w:lang w:val="de-DE"/>
              </w:rPr>
              <w:t>[</w:t>
            </w:r>
            <w:r w:rsidRPr="00C86D04">
              <w:rPr>
                <w:b/>
                <w:bCs/>
                <w:i/>
                <w:lang w:val="de-DE"/>
              </w:rPr>
              <w:t>falls der Referenzschuldner ein Staat ist, einfügen:</w:t>
            </w:r>
            <w:r w:rsidRPr="00CF4434">
              <w:rPr>
                <w:bCs/>
                <w:lang w:val="de-DE"/>
              </w:rPr>
              <w:t xml:space="preserve"> die Gesetze des Referenzschuldners</w:t>
            </w:r>
            <w:r w:rsidRPr="00792D61">
              <w:rPr>
                <w:b/>
                <w:bCs/>
                <w:lang w:val="de-DE"/>
              </w:rPr>
              <w:t>[</w:t>
            </w:r>
            <w:r w:rsidRPr="00CF4434">
              <w:rPr>
                <w:bCs/>
                <w:lang w:val="de-DE"/>
              </w:rPr>
              <w:t>, wenn der Referenzschuldner ein Staat ist</w:t>
            </w:r>
            <w:r w:rsidRPr="00792D61">
              <w:rPr>
                <w:b/>
                <w:bCs/>
                <w:lang w:val="de-DE"/>
              </w:rPr>
              <w:t>]][</w:t>
            </w:r>
            <w:r w:rsidRPr="00CF4434">
              <w:rPr>
                <w:bCs/>
                <w:lang w:val="de-DE"/>
              </w:rPr>
              <w:t>oder</w:t>
            </w:r>
            <w:r w:rsidRPr="00792D61">
              <w:rPr>
                <w:b/>
                <w:bCs/>
                <w:lang w:val="de-DE"/>
              </w:rPr>
              <w:t>][</w:t>
            </w:r>
            <w:r w:rsidRPr="00C86D04">
              <w:rPr>
                <w:b/>
                <w:bCs/>
                <w:i/>
                <w:lang w:val="de-DE"/>
              </w:rPr>
              <w:t>falls der Referenzschuldner kein Staat ist, einfügen:</w:t>
            </w:r>
            <w:r w:rsidRPr="00CF4434">
              <w:rPr>
                <w:bCs/>
                <w:lang w:val="de-DE"/>
              </w:rPr>
              <w:t xml:space="preserve"> die Gesetze des Landes, in dem der Referenzschuldner errichtet ist</w:t>
            </w:r>
            <w:r w:rsidRPr="00792D61">
              <w:rPr>
                <w:b/>
                <w:bCs/>
                <w:lang w:val="de-DE"/>
              </w:rPr>
              <w:t>[</w:t>
            </w:r>
            <w:r w:rsidRPr="00CF4434">
              <w:rPr>
                <w:bCs/>
                <w:lang w:val="de-DE"/>
              </w:rPr>
              <w:t>, wenn der Referenzschuldner kein Staat ist</w:t>
            </w:r>
            <w:r w:rsidRPr="00792D61">
              <w:rPr>
                <w:b/>
                <w:bCs/>
                <w:lang w:val="de-DE"/>
              </w:rPr>
              <w:t>]]</w:t>
            </w:r>
            <w:r w:rsidRPr="00CF4434">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42F00" w:rsidP="0046463E">
            <w:pPr>
              <w:pStyle w:val="CSBody8ptbolditalics"/>
            </w:pPr>
            <w:r w:rsidRPr="00942F00">
              <w:t xml:space="preserve">[in case of Complex Products linked to a Reference Obligation, where </w:t>
            </w:r>
            <w:r w:rsidR="0079644C">
              <w:t>All Guarantees</w:t>
            </w:r>
            <w:r w:rsidRPr="00942F00">
              <w:t xml:space="preserve"> is </w:t>
            </w:r>
            <w:r w:rsidR="0079644C">
              <w:t xml:space="preserve">not </w:t>
            </w:r>
            <w:r w:rsidRPr="00942F00">
              <w:t>applicable:</w:t>
            </w:r>
          </w:p>
          <w:p w:rsidR="0017135D" w:rsidRPr="00942F00" w:rsidP="00C86D04">
            <w:pPr>
              <w:pStyle w:val="CSBody8pt"/>
            </w:pPr>
            <w:r w:rsidRPr="00942F00">
              <w:t>Downstream Affiliate</w:t>
            </w:r>
            <w:r>
              <w:fldChar w:fldCharType="begin"/>
            </w:r>
            <w:r w:rsidRPr="00942F00">
              <w:instrText xml:space="preserve"> XE "Downstream Affiliate" \f "EN" </w:instrText>
            </w:r>
            <w:r>
              <w:fldChar w:fldCharType="end"/>
            </w:r>
          </w:p>
        </w:tc>
        <w:tc>
          <w:tcPr>
            <w:tcW w:w="3315" w:type="dxa"/>
            <w:gridSpan w:val="2"/>
            <w:tcBorders>
              <w:top w:val="nil"/>
              <w:left w:val="nil"/>
              <w:bottom w:val="nil"/>
            </w:tcBorders>
            <w:shd w:val="clear" w:color="auto" w:fill="auto"/>
          </w:tcPr>
          <w:p w:rsidR="0017135D" w:rsidRPr="00942F00" w:rsidP="004C1EBA">
            <w:pPr>
              <w:pStyle w:val="CSBody8pt"/>
            </w:pPr>
            <w:r w:rsidRPr="00942F00">
              <w:t xml:space="preserve">an entity, whose outstanding Voting Shares are, at the date of issuance of the Qualifying Guarantee, more than 50 percent owned, directly or indirectly, by </w:t>
            </w:r>
            <w:r w:rsidRPr="00942F00">
              <w:rPr>
                <w:b/>
              </w:rPr>
              <w:t>[</w:t>
            </w:r>
            <w:r w:rsidRPr="00942F00">
              <w:rPr>
                <w:b/>
                <w:i/>
              </w:rPr>
              <w:t>if a Complex Product is only linked to one Reference Entity, insert:</w:t>
            </w:r>
            <w:r w:rsidRPr="00942F00">
              <w:t xml:space="preserve"> the</w:t>
            </w:r>
            <w:r w:rsidRPr="00942F00">
              <w:rPr>
                <w:b/>
              </w:rPr>
              <w:t>][</w:t>
            </w:r>
            <w:r w:rsidRPr="00942F00">
              <w:rPr>
                <w:b/>
                <w:i/>
              </w:rPr>
              <w:t>if a Basket is applicable or in the case of Complex Products with N</w:t>
            </w:r>
            <w:r w:rsidRPr="00BD6E0D">
              <w:rPr>
                <w:b/>
                <w:i/>
                <w:vertAlign w:val="superscript"/>
              </w:rPr>
              <w:t>th</w:t>
            </w:r>
            <w:r w:rsidRPr="00942F00">
              <w:rPr>
                <w:b/>
                <w:i/>
              </w:rPr>
              <w:t xml:space="preserve">-to-Default structure, insert: </w:t>
            </w:r>
            <w:r w:rsidRPr="00942F00">
              <w:t>a</w:t>
            </w:r>
            <w:r w:rsidRPr="00942F00">
              <w:rPr>
                <w:b/>
              </w:rPr>
              <w:t>]</w:t>
            </w:r>
            <w:r w:rsidRPr="00942F00">
              <w:t xml:space="preserve"> Reference Entity.</w:t>
            </w:r>
            <w:r w:rsidRPr="00942F00">
              <w:rPr>
                <w:b/>
              </w:rPr>
              <w:t>]</w:t>
            </w:r>
          </w:p>
        </w:tc>
        <w:tc>
          <w:tcPr>
            <w:tcW w:w="1618" w:type="dxa"/>
            <w:gridSpan w:val="2"/>
            <w:tcBorders>
              <w:top w:val="nil"/>
              <w:bottom w:val="nil"/>
              <w:right w:val="nil"/>
            </w:tcBorders>
            <w:shd w:val="clear" w:color="auto" w:fill="auto"/>
          </w:tcPr>
          <w:p w:rsidR="0017135D" w:rsidRPr="00942F00" w:rsidP="0046463E">
            <w:pPr>
              <w:pStyle w:val="CSBody8ptbolditalics"/>
              <w:rPr>
                <w:lang w:val="de-DE"/>
              </w:rPr>
            </w:pPr>
            <w:r w:rsidRPr="00942F00">
              <w:rPr>
                <w:lang w:val="de-DE"/>
              </w:rPr>
              <w:t xml:space="preserve">[bei an eine Referenzverbindlichkeit gekoppelten Komplexen Produkten, falls </w:t>
            </w:r>
            <w:r w:rsidR="0079644C">
              <w:rPr>
                <w:lang w:val="de-DE"/>
              </w:rPr>
              <w:t xml:space="preserve">Alle Garantien nicht </w:t>
            </w:r>
            <w:r w:rsidRPr="00942F00">
              <w:rPr>
                <w:lang w:val="de-DE"/>
              </w:rPr>
              <w:t>anwendbar ist:</w:t>
            </w:r>
          </w:p>
          <w:p w:rsidR="0017135D" w:rsidRPr="00942F00" w:rsidP="00C86D04">
            <w:pPr>
              <w:pStyle w:val="CSBody8pt"/>
            </w:pPr>
            <w:r w:rsidRPr="00942F00">
              <w:t>Nachgeordnetes Verbundenes Unternehmen</w:t>
            </w:r>
            <w:r>
              <w:fldChar w:fldCharType="begin"/>
            </w:r>
            <w:r w:rsidRPr="00942F00">
              <w:instrText xml:space="preserve"> XE "Nachgeordnetes Verbundenes Unternehmen" </w:instrText>
            </w:r>
            <w:r>
              <w:fldChar w:fldCharType="end"/>
            </w:r>
          </w:p>
        </w:tc>
        <w:tc>
          <w:tcPr>
            <w:tcW w:w="3318" w:type="dxa"/>
            <w:tcBorders>
              <w:top w:val="nil"/>
              <w:left w:val="nil"/>
              <w:bottom w:val="nil"/>
              <w:right w:val="nil"/>
            </w:tcBorders>
            <w:shd w:val="clear" w:color="auto" w:fill="auto"/>
          </w:tcPr>
          <w:p w:rsidR="0017135D" w:rsidRPr="002E54AE" w:rsidP="004C1EBA">
            <w:pPr>
              <w:pStyle w:val="CSBody8pt"/>
              <w:rPr>
                <w:lang w:val="de-DE"/>
              </w:rPr>
            </w:pPr>
            <w:r w:rsidRPr="00942F00">
              <w:rPr>
                <w:lang w:val="de-DE"/>
              </w:rPr>
              <w:t>ein Unternehmen, dessen in Umlauf befindliche Stimmberechtigte Anteile am Tag der Entstehung der Qualifizierten Garantie</w:t>
            </w:r>
            <w:r w:rsidR="0079644C">
              <w:rPr>
                <w:lang w:val="de-DE"/>
              </w:rPr>
              <w:t xml:space="preserve"> </w:t>
            </w:r>
            <w:r w:rsidRPr="00942F00">
              <w:rPr>
                <w:lang w:val="de-DE"/>
              </w:rPr>
              <w:t xml:space="preserve">unmittelbar oder mittelbar zu mehr als 50% von </w:t>
            </w:r>
            <w:r w:rsidRPr="00942F00">
              <w:rPr>
                <w:b/>
                <w:lang w:val="de-DE"/>
              </w:rPr>
              <w:t>[</w:t>
            </w:r>
            <w:r w:rsidRPr="00942F00">
              <w:rPr>
                <w:b/>
                <w:i/>
                <w:lang w:val="de-DE"/>
              </w:rPr>
              <w:t xml:space="preserve">falls ein Komplexes Produkt nur an einen Referenzschuldner gekoppelt ist, einfügen: </w:t>
            </w:r>
            <w:r w:rsidRPr="00942F00">
              <w:rPr>
                <w:lang w:val="de-DE"/>
              </w:rPr>
              <w:t>dem</w:t>
            </w:r>
            <w:r w:rsidRPr="00942F00">
              <w:rPr>
                <w:b/>
                <w:lang w:val="de-DE"/>
              </w:rPr>
              <w:t>][</w:t>
            </w:r>
            <w:r w:rsidRPr="00942F00">
              <w:rPr>
                <w:b/>
                <w:i/>
                <w:lang w:val="de-DE"/>
              </w:rPr>
              <w:t>falls ein Korb anwendbar ist oder bei Komplexen Produkten mit N</w:t>
            </w:r>
            <w:r w:rsidRPr="00BD6E0D">
              <w:rPr>
                <w:b/>
                <w:i/>
                <w:vertAlign w:val="superscript"/>
                <w:lang w:val="de-DE"/>
              </w:rPr>
              <w:t>th</w:t>
            </w:r>
            <w:r w:rsidRPr="00942F00">
              <w:rPr>
                <w:b/>
                <w:i/>
                <w:lang w:val="de-DE"/>
              </w:rPr>
              <w:t>-to-Default-Struktur, einfügen:</w:t>
            </w:r>
            <w:r w:rsidRPr="00942F00">
              <w:rPr>
                <w:lang w:val="de-DE"/>
              </w:rPr>
              <w:t xml:space="preserve"> einem</w:t>
            </w:r>
            <w:r w:rsidRPr="00942F00">
              <w:rPr>
                <w:b/>
                <w:lang w:val="de-DE"/>
              </w:rPr>
              <w:t>]</w:t>
            </w:r>
            <w:r w:rsidRPr="00942F00">
              <w:rPr>
                <w:lang w:val="de-DE"/>
              </w:rPr>
              <w:t xml:space="preserve"> Referenzschuldner gehalten werden.</w:t>
            </w:r>
            <w:r w:rsidRPr="00942F00">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54AE" w:rsidP="00C86D04">
            <w:pPr>
              <w:pStyle w:val="CSBody8pt"/>
            </w:pPr>
            <w:r w:rsidRPr="002E54AE">
              <w:t>Due and Payable Amount</w:t>
            </w:r>
            <w:r>
              <w:fldChar w:fldCharType="begin"/>
            </w:r>
            <w:r>
              <w:instrText xml:space="preserve"> XE "</w:instrText>
            </w:r>
            <w:r w:rsidRPr="001D254B">
              <w:instrText>Due and Payable Amount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54AE" w:rsidP="00C86D04">
            <w:pPr>
              <w:pStyle w:val="CSBody8pt"/>
            </w:pPr>
            <w:r w:rsidRPr="002E54AE">
              <w:t>the amount that is due and payable by the Reference Entity under a Valuation Obligation on the Valuation Date, whether by reason of maturity, acceleration, termination or otherwise (excluding sums with respect to default i</w:t>
            </w:r>
            <w:r>
              <w:t>nterest, indemnities, tax gross</w:t>
            </w:r>
            <w:r w:rsidRPr="002E54AE">
              <w:t>ups and other similar amounts) less all or any portion of such amount which, pursuant to the terms of the obligation (a) is subject to any Prohibited Action, or (b) may otherwise be reduced as a result of the effluxion of time or the occurrence or non-occurrence of an event or circumstance (other than by way of (i) payment or (ii) a Permitted Contingency).</w:t>
            </w:r>
          </w:p>
        </w:tc>
        <w:tc>
          <w:tcPr>
            <w:tcW w:w="1618" w:type="dxa"/>
            <w:gridSpan w:val="2"/>
            <w:tcBorders>
              <w:top w:val="nil"/>
              <w:bottom w:val="nil"/>
              <w:right w:val="nil"/>
            </w:tcBorders>
            <w:shd w:val="clear" w:color="auto" w:fill="auto"/>
          </w:tcPr>
          <w:p w:rsidR="0017135D" w:rsidRPr="002E54AE" w:rsidP="00C86D04">
            <w:pPr>
              <w:pStyle w:val="CSBody8pt"/>
            </w:pPr>
            <w:r w:rsidRPr="002E54AE">
              <w:t>Fälliger und Zahlbarer Betrag</w:t>
            </w:r>
            <w:r>
              <w:fldChar w:fldCharType="begin"/>
            </w:r>
            <w:r>
              <w:instrText xml:space="preserve"> XE "</w:instrText>
            </w:r>
            <w:r w:rsidRPr="00A401E9">
              <w:instrText>Fälliger und Zahlbarer Betrag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2E54AE" w:rsidP="000163E2">
            <w:pPr>
              <w:pStyle w:val="CSBody8pt"/>
              <w:rPr>
                <w:lang w:val="de-DE"/>
              </w:rPr>
            </w:pPr>
            <w:r w:rsidRPr="002E54AE">
              <w:rPr>
                <w:lang w:val="de-DE"/>
              </w:rPr>
              <w:t>der Betrag, der auf eine Bewertungsverbindlichkeit am Bewertungstag von dem Referenzschuldner fällig und zahlbar ist, sei es aufgrund planmässiger Fälligkeit, vorzeitiger Fälligstellung, Kündigung oder aus einem sonstigen Grund (ausgenommen Verzugszinsen, Freistellungsbeträge, steuerlich bedingte Zusatzbeträge und ähnliche Beträge), abzüglich des gesamten Betrags oder eines Teils des Betrags, der gemäss den Bedingungen der Verbindlichkeit (a) Gegenstand einer Unzulässigen Massnahme ist oder (b) anderweitig durch Zeitablauf oder den Eintritt oder Nichteintritt eines Ereignisses oder eines Umstands (ausser im Wege (i) der Zahlung oder (ii) einer Zulässigen Bedingten Reduzierung) reduziert werden kann.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54AE" w:rsidP="00C86D04">
            <w:pPr>
              <w:pStyle w:val="CSBody8pt"/>
            </w:pPr>
            <w:r w:rsidRPr="002E54AE">
              <w:t>Eligible Information</w:t>
            </w:r>
            <w:r>
              <w:fldChar w:fldCharType="begin"/>
            </w:r>
            <w:r>
              <w:instrText xml:space="preserve"> XE "</w:instrText>
            </w:r>
            <w:r w:rsidRPr="006D64FA">
              <w:instrText>Eligible Information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A174E" w:rsidP="008A174E">
            <w:pPr>
              <w:pStyle w:val="CSBody8pt"/>
            </w:pPr>
            <w:r w:rsidRPr="008A174E">
              <w:t>information which is publicly available or which can be made public without violating any law, agreement, understanding or other restriction regarding the confidentiality of such information.</w:t>
            </w:r>
          </w:p>
        </w:tc>
        <w:tc>
          <w:tcPr>
            <w:tcW w:w="1618" w:type="dxa"/>
            <w:gridSpan w:val="2"/>
            <w:tcBorders>
              <w:top w:val="nil"/>
              <w:bottom w:val="nil"/>
              <w:right w:val="nil"/>
            </w:tcBorders>
            <w:shd w:val="clear" w:color="auto" w:fill="auto"/>
          </w:tcPr>
          <w:p w:rsidR="0017135D" w:rsidRPr="002E54AE" w:rsidP="00C86D04">
            <w:pPr>
              <w:pStyle w:val="CSBody8pt"/>
            </w:pPr>
            <w:r w:rsidRPr="002E54AE">
              <w:t>Zulässige Informationen</w:t>
            </w:r>
            <w:r>
              <w:fldChar w:fldCharType="begin"/>
            </w:r>
            <w:r>
              <w:instrText xml:space="preserve"> XE "</w:instrText>
            </w:r>
            <w:r w:rsidRPr="008D0EC0">
              <w:instrText>Zulässige Informationen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2E54AE" w:rsidP="008A174E">
            <w:pPr>
              <w:pStyle w:val="CSBody8pt"/>
              <w:rPr>
                <w:lang w:val="de-DE"/>
              </w:rPr>
            </w:pPr>
            <w:r w:rsidRPr="008A174E">
              <w:rPr>
                <w:lang w:val="de-DE"/>
              </w:rPr>
              <w:t>Informationen, die öffentlich verfügbar sind oder die veröffentlicht werden können, ohne gegen Gesetze, Vereinbarungen, Absprachen oder sonstige Einschränkungen hinsichtlich ihrer Vertraulichkeit zu verstossen.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54AE" w:rsidP="00A950C6">
            <w:pPr>
              <w:pStyle w:val="CSBody8ptbolditalics"/>
            </w:pPr>
            <w:r w:rsidRPr="00792D61">
              <w:t>[</w:t>
            </w:r>
            <w:r w:rsidRPr="002E54AE">
              <w:t>if "Mod R" is applicable, insert:</w:t>
            </w:r>
          </w:p>
        </w:tc>
        <w:tc>
          <w:tcPr>
            <w:tcW w:w="3315" w:type="dxa"/>
            <w:gridSpan w:val="2"/>
            <w:tcBorders>
              <w:top w:val="nil"/>
              <w:left w:val="nil"/>
              <w:bottom w:val="nil"/>
            </w:tcBorders>
            <w:shd w:val="clear" w:color="auto" w:fill="auto"/>
          </w:tcPr>
          <w:p w:rsidR="0017135D" w:rsidRPr="002E54AE" w:rsidP="00A950C6">
            <w:pPr>
              <w:pStyle w:val="CSManNum8pt"/>
              <w:rPr>
                <w:lang w:val="de-DE"/>
              </w:rPr>
            </w:pPr>
            <w:r w:rsidRPr="002E54AE">
              <w:rPr>
                <w:lang w:val="de-DE"/>
              </w:rPr>
              <w:t>(a)</w:t>
            </w:r>
            <w:r w:rsidRPr="002E54AE">
              <w:rPr>
                <w:lang w:val="de-DE"/>
              </w:rPr>
              <w:tab/>
              <w:t>any</w:t>
            </w:r>
          </w:p>
        </w:tc>
        <w:tc>
          <w:tcPr>
            <w:tcW w:w="1618" w:type="dxa"/>
            <w:gridSpan w:val="2"/>
            <w:tcBorders>
              <w:top w:val="nil"/>
              <w:bottom w:val="nil"/>
              <w:right w:val="nil"/>
            </w:tcBorders>
            <w:shd w:val="clear" w:color="auto" w:fill="auto"/>
          </w:tcPr>
          <w:p w:rsidR="0017135D" w:rsidRPr="002E54AE" w:rsidP="00A950C6">
            <w:pPr>
              <w:pStyle w:val="CSBody8ptbolditalics"/>
              <w:rPr>
                <w:lang w:val="de-DE"/>
              </w:rPr>
            </w:pPr>
            <w:r w:rsidRPr="00792D61">
              <w:rPr>
                <w:lang w:val="de-DE"/>
              </w:rPr>
              <w:t>[</w:t>
            </w:r>
            <w:r w:rsidRPr="002E54AE">
              <w:rPr>
                <w:lang w:val="de-DE"/>
              </w:rPr>
              <w:t>falls "Mod R" anwendbar ist, einfügen:</w:t>
            </w:r>
          </w:p>
        </w:tc>
        <w:tc>
          <w:tcPr>
            <w:tcW w:w="3318" w:type="dxa"/>
            <w:tcBorders>
              <w:top w:val="nil"/>
              <w:left w:val="nil"/>
              <w:bottom w:val="nil"/>
              <w:right w:val="nil"/>
            </w:tcBorders>
            <w:shd w:val="clear" w:color="auto" w:fill="auto"/>
          </w:tcPr>
          <w:p w:rsidR="0017135D" w:rsidRPr="002E54AE" w:rsidP="00A950C6">
            <w:pPr>
              <w:pStyle w:val="CSManNum8pt"/>
              <w:rPr>
                <w:lang w:val="de-DE"/>
              </w:rPr>
            </w:pPr>
            <w:r w:rsidRPr="002E54AE">
              <w:rPr>
                <w:lang w:val="de-DE"/>
              </w:rPr>
              <w:t>(a)</w:t>
            </w:r>
            <w:r w:rsidRPr="002E54AE">
              <w:rPr>
                <w:lang w:val="de-DE"/>
              </w:rPr>
              <w:tab/>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A174E" w:rsidP="008A174E">
            <w:pPr>
              <w:pStyle w:val="CSBody8pt"/>
              <w:rPr>
                <w:lang w:val="de-DE"/>
              </w:rPr>
            </w:pPr>
            <w:r w:rsidRPr="008A174E">
              <w:rPr>
                <w:lang w:val="de-DE"/>
              </w:rPr>
              <w:t>Eligible Transferee</w:t>
            </w:r>
            <w:r>
              <w:rPr>
                <w:lang w:val="de-DE"/>
              </w:rPr>
              <w:fldChar w:fldCharType="begin"/>
            </w:r>
            <w:r>
              <w:instrText xml:space="preserve"> XE "</w:instrText>
            </w:r>
            <w:r w:rsidRPr="0040104C">
              <w:rPr>
                <w:lang w:val="de-DE"/>
              </w:rPr>
              <w:instrText>Eligible Transferee</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2E54AE" w:rsidP="002E54AE">
            <w:pPr>
              <w:pStyle w:val="CSManNum8pt"/>
              <w:ind w:left="649" w:hanging="283"/>
            </w:pPr>
            <w:r w:rsidRPr="002E54AE">
              <w:t>(i)</w:t>
            </w:r>
            <w:r w:rsidRPr="002E54AE">
              <w:tab/>
              <w:t>bank or other financial institution,</w:t>
            </w:r>
          </w:p>
        </w:tc>
        <w:tc>
          <w:tcPr>
            <w:tcW w:w="1618" w:type="dxa"/>
            <w:gridSpan w:val="2"/>
            <w:tcBorders>
              <w:top w:val="nil"/>
              <w:bottom w:val="nil"/>
              <w:right w:val="nil"/>
            </w:tcBorders>
            <w:shd w:val="clear" w:color="auto" w:fill="auto"/>
          </w:tcPr>
          <w:p w:rsidR="0017135D" w:rsidRPr="002E54AE" w:rsidP="000163E2">
            <w:pPr>
              <w:pStyle w:val="CSBody8pt"/>
              <w:rPr>
                <w:lang w:val="de-DE"/>
              </w:rPr>
            </w:pPr>
            <w:r w:rsidRPr="008A174E">
              <w:rPr>
                <w:lang w:val="de-DE"/>
              </w:rPr>
              <w:t>Zulässiger Übertragungsempfänger</w:t>
            </w:r>
            <w:r>
              <w:rPr>
                <w:lang w:val="de-DE"/>
              </w:rPr>
              <w:fldChar w:fldCharType="begin"/>
            </w:r>
            <w:r>
              <w:instrText xml:space="preserve"> XE "</w:instrText>
            </w:r>
            <w:r w:rsidRPr="008B71F2">
              <w:rPr>
                <w:lang w:val="de-DE"/>
              </w:rPr>
              <w:instrText>Zulässiger Übertragungsempfänger</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CF4434" w:rsidP="002E54AE">
            <w:pPr>
              <w:pStyle w:val="CSManNum8pt"/>
              <w:ind w:left="681" w:hanging="284"/>
              <w:rPr>
                <w:lang w:val="de-DE"/>
              </w:rPr>
            </w:pPr>
            <w:r w:rsidRPr="002E54AE">
              <w:rPr>
                <w:lang w:val="de-DE"/>
              </w:rPr>
              <w:t>(i)</w:t>
            </w:r>
            <w:r w:rsidRPr="002E54AE">
              <w:rPr>
                <w:lang w:val="de-DE"/>
              </w:rPr>
              <w:tab/>
              <w:t>jede Bank oder jedes sonstige Finanzinstitut,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CF4434" w:rsidP="00C86D04">
            <w:pPr>
              <w:pStyle w:val="CSManNum8pt"/>
              <w:rPr>
                <w:lang w:val="de-DE"/>
              </w:rPr>
            </w:pPr>
          </w:p>
        </w:tc>
        <w:tc>
          <w:tcPr>
            <w:tcW w:w="3315" w:type="dxa"/>
            <w:gridSpan w:val="2"/>
            <w:tcBorders>
              <w:top w:val="nil"/>
              <w:left w:val="nil"/>
              <w:bottom w:val="nil"/>
            </w:tcBorders>
            <w:shd w:val="clear" w:color="auto" w:fill="auto"/>
          </w:tcPr>
          <w:p w:rsidR="0017135D" w:rsidRPr="00CF4434" w:rsidP="002E54AE">
            <w:pPr>
              <w:pStyle w:val="CSManNum8pt"/>
              <w:ind w:left="649" w:hanging="283"/>
            </w:pPr>
            <w:r w:rsidRPr="00CF4434">
              <w:t>(ii)</w:t>
            </w:r>
            <w:r w:rsidRPr="00CF4434">
              <w:tab/>
              <w:t>insurance or reinsurance company,</w:t>
            </w:r>
          </w:p>
        </w:tc>
        <w:tc>
          <w:tcPr>
            <w:tcW w:w="1618" w:type="dxa"/>
            <w:gridSpan w:val="2"/>
            <w:tcBorders>
              <w:top w:val="nil"/>
              <w:bottom w:val="nil"/>
              <w:right w:val="nil"/>
            </w:tcBorders>
            <w:shd w:val="clear" w:color="auto" w:fill="auto"/>
          </w:tcPr>
          <w:p w:rsidR="0017135D" w:rsidRPr="00CF4434" w:rsidP="00C86D04">
            <w:pPr>
              <w:pStyle w:val="CSManNum8pt"/>
              <w:rPr>
                <w:i/>
              </w:rPr>
            </w:pPr>
          </w:p>
        </w:tc>
        <w:tc>
          <w:tcPr>
            <w:tcW w:w="3318" w:type="dxa"/>
            <w:tcBorders>
              <w:top w:val="nil"/>
              <w:left w:val="nil"/>
              <w:bottom w:val="nil"/>
              <w:right w:val="nil"/>
            </w:tcBorders>
            <w:shd w:val="clear" w:color="auto" w:fill="auto"/>
          </w:tcPr>
          <w:p w:rsidR="0017135D" w:rsidRPr="00CF4434">
            <w:pPr>
              <w:pStyle w:val="CSManNum8pt"/>
              <w:ind w:left="681" w:hanging="284"/>
              <w:rPr>
                <w:bCs/>
                <w:lang w:val="de-DE"/>
              </w:rPr>
            </w:pPr>
            <w:r w:rsidRPr="00CF4434">
              <w:rPr>
                <w:bCs/>
                <w:lang w:val="de-DE"/>
              </w:rPr>
              <w:t>(ii)</w:t>
            </w:r>
            <w:r w:rsidRPr="00CF4434">
              <w:rPr>
                <w:bCs/>
                <w:lang w:val="de-DE"/>
              </w:rPr>
              <w:tab/>
              <w:t>jedes Versicherungs- oder Rückversicherungsunternehmen,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CF4434" w:rsidP="00C86D04">
            <w:pPr>
              <w:pStyle w:val="CSManNum8pt"/>
              <w:rPr>
                <w:lang w:val="de-DE"/>
              </w:rPr>
            </w:pPr>
          </w:p>
        </w:tc>
        <w:tc>
          <w:tcPr>
            <w:tcW w:w="3315" w:type="dxa"/>
            <w:gridSpan w:val="2"/>
            <w:tcBorders>
              <w:top w:val="nil"/>
              <w:left w:val="nil"/>
              <w:bottom w:val="nil"/>
            </w:tcBorders>
            <w:shd w:val="clear" w:color="auto" w:fill="auto"/>
          </w:tcPr>
          <w:p w:rsidR="0017135D" w:rsidRPr="00CF4434" w:rsidP="002E54AE">
            <w:pPr>
              <w:pStyle w:val="CSManNum8pt"/>
              <w:ind w:left="649" w:hanging="283"/>
            </w:pPr>
            <w:r w:rsidRPr="00CF4434">
              <w:t>(iii)</w:t>
            </w:r>
            <w:r w:rsidRPr="00CF4434">
              <w:tab/>
              <w:t>mutual fund, unit trust or similar collective investment vehicle (other than an entity described in clause (c)(i) below), or</w:t>
            </w:r>
          </w:p>
        </w:tc>
        <w:tc>
          <w:tcPr>
            <w:tcW w:w="1618" w:type="dxa"/>
            <w:gridSpan w:val="2"/>
            <w:tcBorders>
              <w:top w:val="nil"/>
              <w:bottom w:val="nil"/>
              <w:right w:val="nil"/>
            </w:tcBorders>
            <w:shd w:val="clear" w:color="auto" w:fill="auto"/>
          </w:tcPr>
          <w:p w:rsidR="0017135D" w:rsidRPr="00CF4434" w:rsidP="00C86D04">
            <w:pPr>
              <w:pStyle w:val="CSManNum8pt"/>
              <w:rPr>
                <w:i/>
              </w:rPr>
            </w:pPr>
          </w:p>
        </w:tc>
        <w:tc>
          <w:tcPr>
            <w:tcW w:w="3318" w:type="dxa"/>
            <w:tcBorders>
              <w:top w:val="nil"/>
              <w:left w:val="nil"/>
              <w:bottom w:val="nil"/>
              <w:right w:val="nil"/>
            </w:tcBorders>
            <w:shd w:val="clear" w:color="auto" w:fill="auto"/>
          </w:tcPr>
          <w:p w:rsidR="0017135D" w:rsidRPr="00CF4434" w:rsidP="000163E2">
            <w:pPr>
              <w:pStyle w:val="CSManNum8pt"/>
              <w:ind w:left="681" w:hanging="284"/>
              <w:rPr>
                <w:bCs/>
                <w:lang w:val="de-DE"/>
              </w:rPr>
            </w:pPr>
            <w:r w:rsidRPr="00CF4434">
              <w:rPr>
                <w:bCs/>
                <w:lang w:val="de-DE"/>
              </w:rPr>
              <w:t>(iii)</w:t>
            </w:r>
            <w:r w:rsidRPr="00CF4434">
              <w:rPr>
                <w:bCs/>
                <w:lang w:val="de-DE"/>
              </w:rPr>
              <w:tab/>
              <w:t>jeder Investmentfonds (unabhängig davon, ob mit gesellschaftsrechtlicher Struktur oder als treuhänderisch gehaltenes Sondervermögen errichtet) oder jedes vergleichbare Vehikel für gemeinsame Anlagen (mit Ausnahme der in nachstehendem Absatz (c)(i) beschriebenen Rechtsträger),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CF4434" w:rsidP="00C86D04">
            <w:pPr>
              <w:pStyle w:val="CSManNum8pt"/>
              <w:rPr>
                <w:lang w:val="de-DE"/>
              </w:rPr>
            </w:pPr>
          </w:p>
        </w:tc>
        <w:tc>
          <w:tcPr>
            <w:tcW w:w="3315" w:type="dxa"/>
            <w:gridSpan w:val="2"/>
            <w:tcBorders>
              <w:top w:val="nil"/>
              <w:left w:val="nil"/>
              <w:bottom w:val="nil"/>
            </w:tcBorders>
            <w:shd w:val="clear" w:color="auto" w:fill="auto"/>
          </w:tcPr>
          <w:p w:rsidR="0017135D" w:rsidRPr="00CF4434" w:rsidP="000163E2">
            <w:pPr>
              <w:pStyle w:val="CSManNum8pt"/>
              <w:ind w:left="649" w:hanging="425"/>
            </w:pPr>
            <w:r w:rsidRPr="00CF4434">
              <w:t>(iv)</w:t>
            </w:r>
            <w:r w:rsidRPr="00CF4434">
              <w:tab/>
              <w:t>registered or licensed broker or dealer (other than a natural person or proprietorship);</w:t>
            </w:r>
          </w:p>
        </w:tc>
        <w:tc>
          <w:tcPr>
            <w:tcW w:w="1618" w:type="dxa"/>
            <w:gridSpan w:val="2"/>
            <w:tcBorders>
              <w:top w:val="nil"/>
              <w:bottom w:val="nil"/>
              <w:right w:val="nil"/>
            </w:tcBorders>
            <w:shd w:val="clear" w:color="auto" w:fill="auto"/>
          </w:tcPr>
          <w:p w:rsidR="0017135D" w:rsidRPr="00CF4434" w:rsidP="00C86D04">
            <w:pPr>
              <w:pStyle w:val="CSManNum8pt"/>
              <w:rPr>
                <w:i/>
              </w:rPr>
            </w:pPr>
          </w:p>
        </w:tc>
        <w:tc>
          <w:tcPr>
            <w:tcW w:w="3318" w:type="dxa"/>
            <w:tcBorders>
              <w:top w:val="nil"/>
              <w:left w:val="nil"/>
              <w:bottom w:val="nil"/>
              <w:right w:val="nil"/>
            </w:tcBorders>
            <w:shd w:val="clear" w:color="auto" w:fill="auto"/>
          </w:tcPr>
          <w:p w:rsidR="0017135D" w:rsidRPr="00CF4434" w:rsidP="000163E2">
            <w:pPr>
              <w:pStyle w:val="CSManNum8pt"/>
              <w:ind w:left="681" w:hanging="284"/>
              <w:rPr>
                <w:bCs/>
                <w:lang w:val="de-DE"/>
              </w:rPr>
            </w:pPr>
            <w:r w:rsidRPr="00CF4434">
              <w:rPr>
                <w:bCs/>
                <w:lang w:val="de-DE"/>
              </w:rPr>
              <w:t>(iv)</w:t>
            </w:r>
            <w:r w:rsidRPr="00CF4434">
              <w:rPr>
                <w:bCs/>
                <w:lang w:val="de-DE"/>
              </w:rPr>
              <w:tab/>
              <w:t>jeder registrierter oder zugelassener Broker oder Händler (sofern es sich dabei nicht um eine natürliche Person oder ein Einzelunternehmen handelt);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CF4434" w:rsidP="00C86D04">
            <w:pPr>
              <w:pStyle w:val="CSBody8pt"/>
              <w:rPr>
                <w:lang w:val="de-DE"/>
              </w:rPr>
            </w:pPr>
          </w:p>
        </w:tc>
        <w:tc>
          <w:tcPr>
            <w:tcW w:w="3315" w:type="dxa"/>
            <w:gridSpan w:val="2"/>
            <w:tcBorders>
              <w:top w:val="nil"/>
              <w:left w:val="nil"/>
              <w:bottom w:val="nil"/>
            </w:tcBorders>
            <w:shd w:val="clear" w:color="auto" w:fill="auto"/>
          </w:tcPr>
          <w:p w:rsidR="0017135D" w:rsidRPr="00CF4434" w:rsidP="00C86D04">
            <w:pPr>
              <w:pStyle w:val="CSBody8pt"/>
            </w:pPr>
            <w:r w:rsidRPr="002E54AE">
              <w:rPr>
                <w:i/>
              </w:rPr>
              <w:t>provided</w:t>
            </w:r>
            <w:r w:rsidRPr="00CF4434">
              <w:t>, however, that such entity has total assets of at least USD 500,000,000;</w:t>
            </w:r>
          </w:p>
        </w:tc>
        <w:tc>
          <w:tcPr>
            <w:tcW w:w="1618" w:type="dxa"/>
            <w:gridSpan w:val="2"/>
            <w:tcBorders>
              <w:top w:val="nil"/>
              <w:bottom w:val="nil"/>
              <w:right w:val="nil"/>
            </w:tcBorders>
            <w:shd w:val="clear" w:color="auto" w:fill="auto"/>
          </w:tcPr>
          <w:p w:rsidR="0017135D" w:rsidRPr="00CF4434" w:rsidP="00C86D04">
            <w:pPr>
              <w:pStyle w:val="CSBody8pt"/>
              <w:rPr>
                <w:i/>
              </w:rPr>
            </w:pPr>
          </w:p>
        </w:tc>
        <w:tc>
          <w:tcPr>
            <w:tcW w:w="3318" w:type="dxa"/>
            <w:tcBorders>
              <w:top w:val="nil"/>
              <w:left w:val="nil"/>
              <w:bottom w:val="nil"/>
              <w:right w:val="nil"/>
            </w:tcBorders>
            <w:shd w:val="clear" w:color="auto" w:fill="auto"/>
          </w:tcPr>
          <w:p w:rsidR="0017135D" w:rsidRPr="00CF4434" w:rsidP="00C86D04">
            <w:pPr>
              <w:pStyle w:val="CSBody8pt"/>
              <w:rPr>
                <w:bCs/>
                <w:lang w:val="de-DE"/>
              </w:rPr>
            </w:pPr>
            <w:r w:rsidRPr="002E54AE">
              <w:rPr>
                <w:bCs/>
                <w:i/>
                <w:lang w:val="de-DE"/>
              </w:rPr>
              <w:t>vorausgesetzt</w:t>
            </w:r>
            <w:r w:rsidRPr="00CF4434">
              <w:rPr>
                <w:bCs/>
                <w:lang w:val="de-DE"/>
              </w:rPr>
              <w:t>, dass die Bilanzsumme des betreffenden Rechtsträgers mindestens USD 500.000.000 beträgt;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CF4434" w:rsidP="00C86D04">
            <w:pPr>
              <w:pStyle w:val="CSManNum8pt"/>
              <w:rPr>
                <w:lang w:val="de-DE"/>
              </w:rPr>
            </w:pPr>
          </w:p>
        </w:tc>
        <w:tc>
          <w:tcPr>
            <w:tcW w:w="3315" w:type="dxa"/>
            <w:gridSpan w:val="2"/>
            <w:tcBorders>
              <w:top w:val="nil"/>
              <w:left w:val="nil"/>
              <w:bottom w:val="nil"/>
            </w:tcBorders>
            <w:shd w:val="clear" w:color="auto" w:fill="auto"/>
          </w:tcPr>
          <w:p w:rsidR="0017135D" w:rsidRPr="001C05F2" w:rsidP="00C86D04">
            <w:pPr>
              <w:pStyle w:val="CSManNum8pt"/>
            </w:pPr>
            <w:r w:rsidRPr="001C05F2">
              <w:t>(b)</w:t>
            </w:r>
            <w:r w:rsidRPr="001C05F2">
              <w:tab/>
              <w:t>an Affiliate of an entity specified in clause (a) above;</w:t>
            </w:r>
          </w:p>
        </w:tc>
        <w:tc>
          <w:tcPr>
            <w:tcW w:w="1618" w:type="dxa"/>
            <w:gridSpan w:val="2"/>
            <w:tcBorders>
              <w:top w:val="nil"/>
              <w:bottom w:val="nil"/>
              <w:right w:val="nil"/>
            </w:tcBorders>
            <w:shd w:val="clear" w:color="auto" w:fill="auto"/>
          </w:tcPr>
          <w:p w:rsidR="0017135D" w:rsidRPr="001C05F2" w:rsidP="00C86D04">
            <w:pPr>
              <w:pStyle w:val="CSManNum8pt"/>
              <w:rPr>
                <w:i/>
              </w:rPr>
            </w:pPr>
          </w:p>
        </w:tc>
        <w:tc>
          <w:tcPr>
            <w:tcW w:w="3318" w:type="dxa"/>
            <w:tcBorders>
              <w:top w:val="nil"/>
              <w:left w:val="nil"/>
              <w:bottom w:val="nil"/>
              <w:right w:val="nil"/>
            </w:tcBorders>
            <w:shd w:val="clear" w:color="auto" w:fill="auto"/>
          </w:tcPr>
          <w:p w:rsidR="0017135D" w:rsidRPr="001C05F2" w:rsidP="00C86D04">
            <w:pPr>
              <w:pStyle w:val="CSManNum8pt"/>
              <w:rPr>
                <w:bCs/>
                <w:lang w:val="de-DE"/>
              </w:rPr>
            </w:pPr>
            <w:r w:rsidRPr="001C05F2">
              <w:rPr>
                <w:bCs/>
                <w:lang w:val="de-DE"/>
              </w:rPr>
              <w:t>(b)</w:t>
            </w:r>
            <w:r w:rsidRPr="001C05F2">
              <w:rPr>
                <w:bCs/>
                <w:lang w:val="de-DE"/>
              </w:rPr>
              <w:tab/>
              <w:t>ein Verbundenes Unternehmen eines der in dem vorstehenden Absatz (a) genannten Rechtsträger;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05F2" w:rsidP="00C86D04">
            <w:pPr>
              <w:pStyle w:val="CSManNum8pt"/>
              <w:rPr>
                <w:lang w:val="de-DE"/>
              </w:rPr>
            </w:pPr>
          </w:p>
        </w:tc>
        <w:tc>
          <w:tcPr>
            <w:tcW w:w="3315" w:type="dxa"/>
            <w:gridSpan w:val="2"/>
            <w:tcBorders>
              <w:top w:val="nil"/>
              <w:left w:val="nil"/>
              <w:bottom w:val="nil"/>
            </w:tcBorders>
            <w:shd w:val="clear" w:color="auto" w:fill="auto"/>
          </w:tcPr>
          <w:p w:rsidR="0017135D" w:rsidRPr="001C05F2" w:rsidP="00C86D04">
            <w:pPr>
              <w:pStyle w:val="CSManNum8pt"/>
            </w:pPr>
            <w:r w:rsidRPr="001C05F2">
              <w:t>(c)</w:t>
            </w:r>
            <w:r w:rsidRPr="001C05F2">
              <w:tab/>
              <w:t>each of a corporation, partnership, proprietorship, organization, trust or other entity:</w:t>
            </w:r>
          </w:p>
        </w:tc>
        <w:tc>
          <w:tcPr>
            <w:tcW w:w="1618" w:type="dxa"/>
            <w:gridSpan w:val="2"/>
            <w:tcBorders>
              <w:top w:val="nil"/>
              <w:bottom w:val="nil"/>
              <w:right w:val="nil"/>
            </w:tcBorders>
            <w:shd w:val="clear" w:color="auto" w:fill="auto"/>
          </w:tcPr>
          <w:p w:rsidR="0017135D" w:rsidRPr="001C05F2" w:rsidP="00C86D04">
            <w:pPr>
              <w:pStyle w:val="CSManNum8pt"/>
              <w:rPr>
                <w:i/>
              </w:rPr>
            </w:pPr>
          </w:p>
        </w:tc>
        <w:tc>
          <w:tcPr>
            <w:tcW w:w="3318" w:type="dxa"/>
            <w:tcBorders>
              <w:top w:val="nil"/>
              <w:left w:val="nil"/>
              <w:bottom w:val="nil"/>
              <w:right w:val="nil"/>
            </w:tcBorders>
            <w:shd w:val="clear" w:color="auto" w:fill="auto"/>
          </w:tcPr>
          <w:p w:rsidR="0017135D" w:rsidRPr="001C05F2" w:rsidP="000163E2">
            <w:pPr>
              <w:pStyle w:val="CSManNum8pt"/>
              <w:rPr>
                <w:bCs/>
                <w:lang w:val="de-DE"/>
              </w:rPr>
            </w:pPr>
            <w:r w:rsidRPr="001C05F2">
              <w:rPr>
                <w:bCs/>
                <w:lang w:val="de-DE"/>
              </w:rPr>
              <w:t>(c)</w:t>
            </w:r>
            <w:r w:rsidRPr="001C05F2">
              <w:rPr>
                <w:bCs/>
                <w:lang w:val="de-DE"/>
              </w:rPr>
              <w:tab/>
              <w:t>eine Kapital- oder Personengesellschaft, ein Einzelunternehmen, eine Organisation, ein Treuhandvermögen (Trust) oder ein sonstiger Rechtsträger, sofern: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05F2" w:rsidP="00C86D04">
            <w:pPr>
              <w:pStyle w:val="CSManNum8pt"/>
              <w:rPr>
                <w:lang w:val="de-DE"/>
              </w:rPr>
            </w:pPr>
          </w:p>
        </w:tc>
        <w:tc>
          <w:tcPr>
            <w:tcW w:w="3315" w:type="dxa"/>
            <w:gridSpan w:val="2"/>
            <w:tcBorders>
              <w:top w:val="nil"/>
              <w:left w:val="nil"/>
              <w:bottom w:val="nil"/>
            </w:tcBorders>
            <w:shd w:val="clear" w:color="auto" w:fill="auto"/>
          </w:tcPr>
          <w:p w:rsidR="0017135D" w:rsidRPr="001C05F2" w:rsidP="002E54AE">
            <w:pPr>
              <w:pStyle w:val="CSManNum8pt"/>
              <w:ind w:left="649" w:hanging="283"/>
            </w:pPr>
            <w:r w:rsidRPr="001C05F2">
              <w:t>(i)</w:t>
            </w:r>
            <w:r w:rsidRPr="001C05F2">
              <w:tab/>
              <w:t>that is an investment vehicle (including, without limitation, any hedge fund, issuer of collateralized debt obligations, commercial paper conduit or other special purpose vehicle) that (A) has total assets of at least USD 100,000,000 or (B) is one of a group of investment vehicles under common control or management having, in aggregate, total assets of at least USD 100,000,000; or</w:t>
            </w:r>
          </w:p>
        </w:tc>
        <w:tc>
          <w:tcPr>
            <w:tcW w:w="1618" w:type="dxa"/>
            <w:gridSpan w:val="2"/>
            <w:tcBorders>
              <w:top w:val="nil"/>
              <w:bottom w:val="nil"/>
              <w:right w:val="nil"/>
            </w:tcBorders>
            <w:shd w:val="clear" w:color="auto" w:fill="auto"/>
          </w:tcPr>
          <w:p w:rsidR="0017135D" w:rsidRPr="001C05F2" w:rsidP="00C86D04">
            <w:pPr>
              <w:pStyle w:val="CSManNum8pt"/>
              <w:rPr>
                <w:i/>
              </w:rPr>
            </w:pPr>
          </w:p>
        </w:tc>
        <w:tc>
          <w:tcPr>
            <w:tcW w:w="3318" w:type="dxa"/>
            <w:tcBorders>
              <w:top w:val="nil"/>
              <w:left w:val="nil"/>
              <w:bottom w:val="nil"/>
              <w:right w:val="nil"/>
            </w:tcBorders>
            <w:shd w:val="clear" w:color="auto" w:fill="auto"/>
          </w:tcPr>
          <w:p w:rsidR="0017135D" w:rsidRPr="001C05F2" w:rsidP="002E54AE">
            <w:pPr>
              <w:pStyle w:val="CSManNum8pt"/>
              <w:ind w:left="681" w:hanging="284"/>
              <w:rPr>
                <w:bCs/>
                <w:lang w:val="de-DE"/>
              </w:rPr>
            </w:pPr>
            <w:r w:rsidRPr="001C05F2">
              <w:rPr>
                <w:bCs/>
                <w:lang w:val="de-DE"/>
              </w:rPr>
              <w:t>(i)</w:t>
            </w:r>
            <w:r w:rsidRPr="001C05F2">
              <w:rPr>
                <w:bCs/>
                <w:lang w:val="de-DE"/>
              </w:rPr>
              <w:tab/>
              <w:t>es sich dabei um ein Anlagevehikel (einschliesslich, ohne darauf beschränkt zu sein, eines Hedgefonds, eines CDO-Emittenten, eines Commercial-Paper-Conduit-Vehikels oder einer sonstigen Zweckgesellschaft) handelt, (A) dessen Bilanzsumme mindestens USD 100.000.000 beträgt oder (B) das einer unter gemeinsamer Kontrolle oder Führung stehenden Gruppe von Anlagegesellschaften angehört, deren Bilanzsumme insgesamt mindestens USD 100.000.000 beträgt;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05F2" w:rsidP="00C86D04">
            <w:pPr>
              <w:pStyle w:val="CSManNum8pt"/>
              <w:rPr>
                <w:lang w:val="de-DE"/>
              </w:rPr>
            </w:pPr>
          </w:p>
        </w:tc>
        <w:tc>
          <w:tcPr>
            <w:tcW w:w="3315" w:type="dxa"/>
            <w:gridSpan w:val="2"/>
            <w:tcBorders>
              <w:top w:val="nil"/>
              <w:left w:val="nil"/>
              <w:bottom w:val="nil"/>
            </w:tcBorders>
            <w:shd w:val="clear" w:color="auto" w:fill="auto"/>
          </w:tcPr>
          <w:p w:rsidR="0017135D" w:rsidRPr="001C05F2" w:rsidP="002E54AE">
            <w:pPr>
              <w:pStyle w:val="CSManNum8pt"/>
              <w:ind w:left="649" w:hanging="283"/>
            </w:pPr>
            <w:r w:rsidRPr="001C05F2">
              <w:t>(ii)</w:t>
            </w:r>
            <w:r w:rsidRPr="001C05F2">
              <w:tab/>
              <w:t>that has total assets of at least USD 500,000,000; or</w:t>
            </w:r>
          </w:p>
        </w:tc>
        <w:tc>
          <w:tcPr>
            <w:tcW w:w="1618" w:type="dxa"/>
            <w:gridSpan w:val="2"/>
            <w:tcBorders>
              <w:top w:val="nil"/>
              <w:bottom w:val="nil"/>
              <w:right w:val="nil"/>
            </w:tcBorders>
            <w:shd w:val="clear" w:color="auto" w:fill="auto"/>
          </w:tcPr>
          <w:p w:rsidR="0017135D" w:rsidRPr="001C05F2" w:rsidP="00C86D04">
            <w:pPr>
              <w:pStyle w:val="CSManNum8pt"/>
              <w:rPr>
                <w:i/>
              </w:rPr>
            </w:pPr>
          </w:p>
        </w:tc>
        <w:tc>
          <w:tcPr>
            <w:tcW w:w="3318" w:type="dxa"/>
            <w:tcBorders>
              <w:top w:val="nil"/>
              <w:left w:val="nil"/>
              <w:bottom w:val="nil"/>
              <w:right w:val="nil"/>
            </w:tcBorders>
            <w:shd w:val="clear" w:color="auto" w:fill="auto"/>
          </w:tcPr>
          <w:p w:rsidR="0017135D" w:rsidRPr="001C05F2" w:rsidP="002E54AE">
            <w:pPr>
              <w:pStyle w:val="CSManNum8pt"/>
              <w:ind w:left="681" w:hanging="284"/>
              <w:rPr>
                <w:bCs/>
                <w:lang w:val="de-DE"/>
              </w:rPr>
            </w:pPr>
            <w:r w:rsidRPr="001C05F2">
              <w:rPr>
                <w:bCs/>
                <w:lang w:val="de-DE"/>
              </w:rPr>
              <w:t>(ii)</w:t>
            </w:r>
            <w:r w:rsidRPr="001C05F2">
              <w:rPr>
                <w:bCs/>
                <w:lang w:val="de-DE"/>
              </w:rPr>
              <w:tab/>
              <w:t>deren Bilanzsumme mindestens USD 500.000.000 beträgt;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05F2" w:rsidP="00C86D04">
            <w:pPr>
              <w:pStyle w:val="CSManNum8pt"/>
              <w:rPr>
                <w:lang w:val="de-DE"/>
              </w:rPr>
            </w:pPr>
          </w:p>
        </w:tc>
        <w:tc>
          <w:tcPr>
            <w:tcW w:w="3315" w:type="dxa"/>
            <w:gridSpan w:val="2"/>
            <w:tcBorders>
              <w:top w:val="nil"/>
              <w:left w:val="nil"/>
              <w:bottom w:val="nil"/>
            </w:tcBorders>
            <w:shd w:val="clear" w:color="auto" w:fill="auto"/>
          </w:tcPr>
          <w:p w:rsidR="0017135D" w:rsidRPr="001C05F2" w:rsidP="002E54AE">
            <w:pPr>
              <w:pStyle w:val="CSManNum8pt"/>
              <w:ind w:left="649" w:hanging="283"/>
            </w:pPr>
            <w:r w:rsidRPr="001C05F2">
              <w:t>(iii)</w:t>
            </w:r>
            <w:r w:rsidRPr="001C05F2">
              <w:tab/>
              <w:t>the obligations of which under an agreement, contract or transaction are guaranteed or otherwise supported by a letter of credit or keepwell, support or other agreement by an entity described in clauses (a), (b), (c)(ii) or (d) of this definition of "Eligible Transferee"; or</w:t>
            </w:r>
          </w:p>
        </w:tc>
        <w:tc>
          <w:tcPr>
            <w:tcW w:w="1618" w:type="dxa"/>
            <w:gridSpan w:val="2"/>
            <w:tcBorders>
              <w:top w:val="nil"/>
              <w:bottom w:val="nil"/>
              <w:right w:val="nil"/>
            </w:tcBorders>
            <w:shd w:val="clear" w:color="auto" w:fill="auto"/>
          </w:tcPr>
          <w:p w:rsidR="0017135D" w:rsidRPr="001C05F2" w:rsidP="00C86D04">
            <w:pPr>
              <w:pStyle w:val="CSManNum8pt"/>
              <w:rPr>
                <w:i/>
              </w:rPr>
            </w:pPr>
          </w:p>
        </w:tc>
        <w:tc>
          <w:tcPr>
            <w:tcW w:w="3318" w:type="dxa"/>
            <w:tcBorders>
              <w:top w:val="nil"/>
              <w:left w:val="nil"/>
              <w:bottom w:val="nil"/>
              <w:right w:val="nil"/>
            </w:tcBorders>
            <w:shd w:val="clear" w:color="auto" w:fill="auto"/>
          </w:tcPr>
          <w:p w:rsidR="0017135D" w:rsidRPr="001C05F2" w:rsidP="000163E2">
            <w:pPr>
              <w:pStyle w:val="CSManNum8pt"/>
              <w:ind w:left="681" w:hanging="284"/>
              <w:rPr>
                <w:bCs/>
                <w:lang w:val="de-DE"/>
              </w:rPr>
            </w:pPr>
            <w:r w:rsidRPr="001C05F2">
              <w:rPr>
                <w:bCs/>
                <w:lang w:val="de-DE"/>
              </w:rPr>
              <w:t>(iii)</w:t>
            </w:r>
            <w:r w:rsidRPr="001C05F2">
              <w:rPr>
                <w:bCs/>
                <w:lang w:val="de-DE"/>
              </w:rPr>
              <w:tab/>
              <w:t>deren Verbindlichkeiten aus Verträgen, Kontrakten oder Transaktionen durch eine Garantie, einen Akkreditiv, eine Patronats- oder Stützung-erklärung oder eine sonstige Sicherungszusage eines der in den Absätzen (a), (b), (c)(ii) oder (d) dieser Definition  "Zulässiger Übertragungs</w:t>
            </w:r>
            <w:r>
              <w:rPr>
                <w:bCs/>
                <w:lang w:val="de-DE"/>
              </w:rPr>
              <w:t>e</w:t>
            </w:r>
            <w:r w:rsidRPr="001C05F2">
              <w:rPr>
                <w:bCs/>
                <w:lang w:val="de-DE"/>
              </w:rPr>
              <w:t>mpfänger" genannten Rechtsträger besichert sind;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05F2" w:rsidP="00A457E7">
            <w:pPr>
              <w:pStyle w:val="CSBody0"/>
              <w:rPr>
                <w:lang w:val="de-DE"/>
              </w:rPr>
            </w:pPr>
          </w:p>
        </w:tc>
        <w:tc>
          <w:tcPr>
            <w:tcW w:w="3315" w:type="dxa"/>
            <w:gridSpan w:val="2"/>
            <w:tcBorders>
              <w:top w:val="nil"/>
              <w:left w:val="nil"/>
              <w:bottom w:val="nil"/>
            </w:tcBorders>
            <w:shd w:val="clear" w:color="auto" w:fill="auto"/>
          </w:tcPr>
          <w:p w:rsidR="0017135D" w:rsidRPr="001C05F2" w:rsidP="00322C9B">
            <w:pPr>
              <w:pStyle w:val="CSManNum8pt"/>
            </w:pPr>
            <w:r w:rsidRPr="001C05F2">
              <w:t>(d)</w:t>
            </w:r>
            <w:r w:rsidRPr="001C05F2">
              <w:tab/>
              <w:t>(i) any Sovereign; or</w:t>
            </w:r>
          </w:p>
        </w:tc>
        <w:tc>
          <w:tcPr>
            <w:tcW w:w="1618" w:type="dxa"/>
            <w:gridSpan w:val="2"/>
            <w:tcBorders>
              <w:top w:val="nil"/>
              <w:bottom w:val="nil"/>
              <w:right w:val="nil"/>
            </w:tcBorders>
            <w:shd w:val="clear" w:color="auto" w:fill="auto"/>
          </w:tcPr>
          <w:p w:rsidR="0017135D" w:rsidRPr="001C05F2" w:rsidP="00E60155">
            <w:pPr>
              <w:pStyle w:val="CSBody0"/>
              <w:rPr>
                <w:i/>
              </w:rPr>
            </w:pPr>
          </w:p>
        </w:tc>
        <w:tc>
          <w:tcPr>
            <w:tcW w:w="3318" w:type="dxa"/>
            <w:tcBorders>
              <w:top w:val="nil"/>
              <w:left w:val="nil"/>
              <w:bottom w:val="nil"/>
              <w:right w:val="nil"/>
            </w:tcBorders>
            <w:shd w:val="clear" w:color="auto" w:fill="auto"/>
          </w:tcPr>
          <w:p w:rsidR="0017135D" w:rsidRPr="001C05F2" w:rsidP="00322C9B">
            <w:pPr>
              <w:pStyle w:val="CSManNum8pt"/>
              <w:rPr>
                <w:bCs/>
                <w:lang w:val="de-DE"/>
              </w:rPr>
            </w:pPr>
            <w:r w:rsidRPr="001C05F2">
              <w:rPr>
                <w:bCs/>
                <w:lang w:val="de-DE"/>
              </w:rPr>
              <w:t>(d)</w:t>
            </w:r>
            <w:r w:rsidRPr="001C05F2">
              <w:rPr>
                <w:bCs/>
                <w:lang w:val="de-DE"/>
              </w:rPr>
              <w:tab/>
              <w:t>(i) ein Staat;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05F2" w:rsidP="00A67517">
            <w:pPr>
              <w:pStyle w:val="CSManNum8pt"/>
              <w:rPr>
                <w:lang w:val="de-DE"/>
              </w:rPr>
            </w:pPr>
          </w:p>
        </w:tc>
        <w:tc>
          <w:tcPr>
            <w:tcW w:w="3315" w:type="dxa"/>
            <w:gridSpan w:val="2"/>
            <w:tcBorders>
              <w:top w:val="nil"/>
              <w:left w:val="nil"/>
              <w:bottom w:val="nil"/>
            </w:tcBorders>
            <w:shd w:val="clear" w:color="auto" w:fill="auto"/>
          </w:tcPr>
          <w:p w:rsidR="0017135D" w:rsidRPr="001C05F2" w:rsidP="000163E2">
            <w:pPr>
              <w:pStyle w:val="CSManNum8pt"/>
              <w:ind w:left="649" w:hanging="283"/>
            </w:pPr>
            <w:r w:rsidRPr="001C05F2">
              <w:t>(ii)</w:t>
            </w:r>
            <w:r w:rsidRPr="001C05F2">
              <w:tab/>
              <w:t>any entity or organization established by treaty or other arrangement between two or more Sovereigns including, without limiting the foregoing, the International Monetary Fund, European Central Bank, International Bank for Reconstruction and Development and European Bank for Reconstruction and Development.</w:t>
            </w:r>
          </w:p>
        </w:tc>
        <w:tc>
          <w:tcPr>
            <w:tcW w:w="1618" w:type="dxa"/>
            <w:gridSpan w:val="2"/>
            <w:tcBorders>
              <w:top w:val="nil"/>
              <w:bottom w:val="nil"/>
              <w:right w:val="nil"/>
            </w:tcBorders>
            <w:shd w:val="clear" w:color="auto" w:fill="auto"/>
          </w:tcPr>
          <w:p w:rsidR="0017135D" w:rsidRPr="001C05F2" w:rsidP="00A67517">
            <w:pPr>
              <w:pStyle w:val="CSManNum8pt"/>
              <w:rPr>
                <w:i/>
              </w:rPr>
            </w:pPr>
          </w:p>
        </w:tc>
        <w:tc>
          <w:tcPr>
            <w:tcW w:w="3318" w:type="dxa"/>
            <w:tcBorders>
              <w:top w:val="nil"/>
              <w:left w:val="nil"/>
              <w:bottom w:val="nil"/>
              <w:right w:val="nil"/>
            </w:tcBorders>
            <w:shd w:val="clear" w:color="auto" w:fill="auto"/>
          </w:tcPr>
          <w:p w:rsidR="0017135D" w:rsidRPr="001C05F2" w:rsidP="000163E2">
            <w:pPr>
              <w:pStyle w:val="CSManNum8pt"/>
              <w:ind w:left="681" w:hanging="284"/>
              <w:rPr>
                <w:bCs/>
                <w:lang w:val="de-DE"/>
              </w:rPr>
            </w:pPr>
            <w:r w:rsidRPr="001C05F2">
              <w:rPr>
                <w:bCs/>
                <w:lang w:val="de-DE"/>
              </w:rPr>
              <w:t>(ii)</w:t>
            </w:r>
            <w:r w:rsidRPr="001C05F2">
              <w:rPr>
                <w:bCs/>
                <w:lang w:val="de-DE"/>
              </w:rPr>
              <w:tab/>
              <w:t xml:space="preserve">eine durch ein Abkommen oder eine andere Vereinbarung zwischen mindestens zwei Staaten gegründete Person oder Organisation, </w:t>
            </w:r>
            <w:r>
              <w:rPr>
                <w:bCs/>
                <w:lang w:val="de-DE"/>
              </w:rPr>
              <w:t>u.a.</w:t>
            </w:r>
            <w:r w:rsidRPr="001C05F2">
              <w:rPr>
                <w:bCs/>
                <w:lang w:val="de-DE"/>
              </w:rPr>
              <w:t xml:space="preserve"> </w:t>
            </w:r>
            <w:r w:rsidRPr="00EE2FB6">
              <w:rPr>
                <w:i/>
                <w:lang w:val="de-DE"/>
              </w:rPr>
              <w:t>—</w:t>
            </w:r>
            <w:r w:rsidRPr="001C05F2">
              <w:rPr>
                <w:bCs/>
                <w:lang w:val="de-DE"/>
              </w:rPr>
              <w:t xml:space="preserve"> ohne Einschränkungen des Vorhergehenden </w:t>
            </w:r>
            <w:r w:rsidRPr="00EE2FB6">
              <w:rPr>
                <w:i/>
                <w:lang w:val="de-DE"/>
              </w:rPr>
              <w:t>—</w:t>
            </w:r>
            <w:r w:rsidRPr="001C05F2">
              <w:rPr>
                <w:bCs/>
                <w:lang w:val="de-DE"/>
              </w:rPr>
              <w:t xml:space="preserve"> der Internationale Währungsfonds, die Europäische Zentralbank, die Internationale Bank für Wiederaufbau und Entwicklung und die Europäische Bank für Wiederaufbau und Entwicklung.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05F2" w:rsidP="00A67517">
            <w:pPr>
              <w:pStyle w:val="CSBody8pt"/>
              <w:rPr>
                <w:lang w:val="de-DE"/>
              </w:rPr>
            </w:pPr>
          </w:p>
        </w:tc>
        <w:tc>
          <w:tcPr>
            <w:tcW w:w="3315" w:type="dxa"/>
            <w:gridSpan w:val="2"/>
            <w:tcBorders>
              <w:top w:val="nil"/>
              <w:left w:val="nil"/>
              <w:bottom w:val="nil"/>
            </w:tcBorders>
            <w:shd w:val="clear" w:color="auto" w:fill="auto"/>
          </w:tcPr>
          <w:p w:rsidR="0017135D" w:rsidRPr="001A7A08" w:rsidP="00A67517">
            <w:pPr>
              <w:pStyle w:val="CSBody8pt"/>
            </w:pPr>
            <w:r w:rsidRPr="001A7A08">
              <w:t>All references to "USD" in this definition of "Eligible Transferee" include equivalent amounts in other currencies, as determined by the Calculation Agent.</w:t>
            </w:r>
            <w:r w:rsidRPr="00792D61">
              <w:rPr>
                <w:b/>
              </w:rPr>
              <w:t>]</w:t>
            </w:r>
          </w:p>
        </w:tc>
        <w:tc>
          <w:tcPr>
            <w:tcW w:w="1618" w:type="dxa"/>
            <w:gridSpan w:val="2"/>
            <w:tcBorders>
              <w:top w:val="nil"/>
              <w:bottom w:val="nil"/>
              <w:right w:val="nil"/>
            </w:tcBorders>
            <w:shd w:val="clear" w:color="auto" w:fill="auto"/>
          </w:tcPr>
          <w:p w:rsidR="0017135D" w:rsidRPr="001A7A08" w:rsidP="00A67517">
            <w:pPr>
              <w:pStyle w:val="CSBody8pt"/>
              <w:rPr>
                <w:i/>
              </w:rPr>
            </w:pPr>
          </w:p>
        </w:tc>
        <w:tc>
          <w:tcPr>
            <w:tcW w:w="3318" w:type="dxa"/>
            <w:tcBorders>
              <w:top w:val="nil"/>
              <w:left w:val="nil"/>
              <w:bottom w:val="nil"/>
              <w:right w:val="nil"/>
            </w:tcBorders>
            <w:shd w:val="clear" w:color="auto" w:fill="auto"/>
          </w:tcPr>
          <w:p w:rsidR="0017135D" w:rsidRPr="001A7A08" w:rsidP="000163E2">
            <w:pPr>
              <w:pStyle w:val="CSBody8pt"/>
              <w:rPr>
                <w:bCs/>
                <w:lang w:val="de-DE"/>
              </w:rPr>
            </w:pPr>
            <w:r w:rsidRPr="001A7A08">
              <w:rPr>
                <w:bCs/>
                <w:lang w:val="de-DE"/>
              </w:rPr>
              <w:t>Alle Bezugnahmen auf "USD" in dieser Definition "Zulässiger Übertragungsempfänger" sind jeweils auch als Bezugnahmen auf den entsprechenden Gegenwert in anderen Währungen zu verstehen, wie jeweils von der Berechnungsstelle festgestellt.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54AE" w:rsidP="00A67517">
            <w:pPr>
              <w:pStyle w:val="CSBody8pt"/>
            </w:pPr>
            <w:r w:rsidRPr="002E54AE">
              <w:t>EUR, euro and the symbol €</w:t>
            </w:r>
            <w:r>
              <w:fldChar w:fldCharType="begin"/>
            </w:r>
            <w:r>
              <w:instrText xml:space="preserve"> XE "</w:instrText>
            </w:r>
            <w:r w:rsidRPr="00692673">
              <w:instrText>EUR, euro and the symbol €</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54AE" w:rsidP="00A67517">
            <w:pPr>
              <w:pStyle w:val="CSBody8pt"/>
            </w:pPr>
            <w:r w:rsidRPr="002E54AE">
              <w:t>the currency of the participating member states of the European Union as defined in Council Regulation (EC) No. 974/98 on the introduction of the euro, adopted on 3 May 1998.</w:t>
            </w:r>
          </w:p>
        </w:tc>
        <w:tc>
          <w:tcPr>
            <w:tcW w:w="1618" w:type="dxa"/>
            <w:gridSpan w:val="2"/>
            <w:tcBorders>
              <w:top w:val="nil"/>
              <w:bottom w:val="nil"/>
              <w:right w:val="nil"/>
            </w:tcBorders>
            <w:shd w:val="clear" w:color="auto" w:fill="auto"/>
          </w:tcPr>
          <w:p w:rsidR="0017135D" w:rsidRPr="002E54AE" w:rsidP="00A67517">
            <w:pPr>
              <w:pStyle w:val="CSBody8pt"/>
              <w:rPr>
                <w:lang w:val="de-DE"/>
              </w:rPr>
            </w:pPr>
            <w:r w:rsidRPr="002E54AE">
              <w:rPr>
                <w:lang w:val="de-DE"/>
              </w:rPr>
              <w:t>EUR, Euro und das Symbol €</w:t>
            </w:r>
            <w:r>
              <w:rPr>
                <w:lang w:val="de-DE"/>
              </w:rPr>
              <w:fldChar w:fldCharType="begin"/>
            </w:r>
            <w:r w:rsidRPr="002E54AE">
              <w:rPr>
                <w:lang w:val="de-DE"/>
              </w:rPr>
              <w:instrText xml:space="preserve"> XE "</w:instrText>
            </w:r>
            <w:r w:rsidRPr="00A37379">
              <w:rPr>
                <w:lang w:val="de-DE"/>
              </w:rPr>
              <w:instrText>EUR, Euro und das Symbol €</w:instrText>
            </w:r>
            <w:r w:rsidRPr="002E54AE">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2E54AE" w:rsidP="000163E2">
            <w:pPr>
              <w:pStyle w:val="CSBody8pt"/>
              <w:rPr>
                <w:lang w:val="de-DE"/>
              </w:rPr>
            </w:pPr>
            <w:r w:rsidRPr="002E54AE">
              <w:rPr>
                <w:lang w:val="de-DE"/>
              </w:rPr>
              <w:t>die Währung der teilnehmenden Mitgliedstaaten der Europäischen Union wie in der am 3. Mai 1998 verabschiedeten Verordnung (EG) Nr. 974/98/EG des Rates über die Einführung des Euro definiert.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54AE" w:rsidP="00320AEA">
            <w:pPr>
              <w:pStyle w:val="CSBody8ptbolditalics"/>
            </w:pPr>
            <w:r w:rsidRPr="00792D61">
              <w:t>[</w:t>
            </w:r>
            <w:r w:rsidRPr="002E54AE">
              <w:t>in the case of Excluded Obligations, insert:</w:t>
            </w:r>
          </w:p>
        </w:tc>
        <w:tc>
          <w:tcPr>
            <w:tcW w:w="3315" w:type="dxa"/>
            <w:gridSpan w:val="2"/>
            <w:tcBorders>
              <w:top w:val="nil"/>
              <w:left w:val="nil"/>
              <w:bottom w:val="nil"/>
            </w:tcBorders>
            <w:shd w:val="clear" w:color="auto" w:fill="auto"/>
          </w:tcPr>
          <w:p w:rsidR="0017135D" w:rsidRPr="002E54AE" w:rsidP="00A67517">
            <w:pPr>
              <w:pStyle w:val="CSBody8pt"/>
            </w:pPr>
            <w:r w:rsidRPr="002E54AE">
              <w:t>has the meaning assigned to such term in subsection C.5 of Section 1.1.</w:t>
            </w:r>
            <w:r w:rsidRPr="00792D61">
              <w:rPr>
                <w:b/>
              </w:rPr>
              <w:t>]</w:t>
            </w:r>
          </w:p>
        </w:tc>
        <w:tc>
          <w:tcPr>
            <w:tcW w:w="1618" w:type="dxa"/>
            <w:gridSpan w:val="2"/>
            <w:tcBorders>
              <w:top w:val="nil"/>
              <w:bottom w:val="nil"/>
              <w:right w:val="nil"/>
            </w:tcBorders>
            <w:shd w:val="clear" w:color="auto" w:fill="auto"/>
          </w:tcPr>
          <w:p w:rsidR="0017135D" w:rsidRPr="002E54AE" w:rsidP="000163E2">
            <w:pPr>
              <w:pStyle w:val="CSBody8ptbolditalics"/>
              <w:rPr>
                <w:lang w:val="de-DE"/>
              </w:rPr>
            </w:pPr>
            <w:r w:rsidRPr="00792D61">
              <w:rPr>
                <w:lang w:val="de-DE"/>
              </w:rPr>
              <w:t>[</w:t>
            </w:r>
            <w:r w:rsidRPr="002E54AE">
              <w:rPr>
                <w:lang w:val="de-DE"/>
              </w:rPr>
              <w:t>bei Ausgenommenen Verbindlichkeiten einfügen:</w:t>
            </w:r>
          </w:p>
        </w:tc>
        <w:tc>
          <w:tcPr>
            <w:tcW w:w="3318" w:type="dxa"/>
            <w:tcBorders>
              <w:top w:val="nil"/>
              <w:left w:val="nil"/>
              <w:bottom w:val="nil"/>
              <w:right w:val="nil"/>
            </w:tcBorders>
            <w:shd w:val="clear" w:color="auto" w:fill="auto"/>
          </w:tcPr>
          <w:p w:rsidR="0017135D" w:rsidRPr="002E54AE" w:rsidP="00A67517">
            <w:pPr>
              <w:pStyle w:val="CSBody8pt"/>
              <w:rPr>
                <w:lang w:val="de-DE"/>
              </w:rPr>
            </w:pPr>
            <w:r w:rsidRPr="002E54AE">
              <w:rPr>
                <w:lang w:val="de-DE"/>
              </w:rPr>
              <w:t>hat die diesem Begriff in Unterabschnitt C.5 von Ziffer 1.1. zugewiesene Bedeutung.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54AE" w:rsidP="00A67517">
            <w:pPr>
              <w:pStyle w:val="CSBody8pt"/>
            </w:pPr>
            <w:r w:rsidRPr="002E54AE">
              <w:t>Excluded Obligation</w:t>
            </w:r>
            <w:r w:rsidRPr="00792D61">
              <w:rPr>
                <w:b/>
              </w:rPr>
              <w:t>[</w:t>
            </w:r>
            <w:r w:rsidRPr="002E54AE">
              <w:t>s</w:t>
            </w:r>
            <w:r w:rsidRPr="00792D61">
              <w:rPr>
                <w:b/>
              </w:rPr>
              <w:t>]</w:t>
            </w:r>
            <w:r>
              <w:fldChar w:fldCharType="begin"/>
            </w:r>
            <w:r>
              <w:instrText xml:space="preserve"> XE "</w:instrText>
            </w:r>
            <w:r w:rsidRPr="00225428">
              <w:instrText>Excluded Obligation</w:instrText>
            </w:r>
            <w:r w:rsidRPr="00792D61">
              <w:rPr>
                <w:b/>
              </w:rPr>
              <w:instrText>[</w:instrText>
            </w:r>
            <w:r w:rsidRPr="00225428">
              <w:instrText>s</w:instrText>
            </w:r>
            <w:r w:rsidRPr="00792D61">
              <w:rPr>
                <w:b/>
              </w:rPr>
              <w:instrTex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54AE" w:rsidP="00A67517">
            <w:pPr>
              <w:pStyle w:val="CSBody8pt"/>
              <w:rPr>
                <w:lang w:val="de-DE"/>
              </w:rPr>
            </w:pPr>
          </w:p>
        </w:tc>
        <w:tc>
          <w:tcPr>
            <w:tcW w:w="1618" w:type="dxa"/>
            <w:gridSpan w:val="2"/>
            <w:tcBorders>
              <w:top w:val="nil"/>
              <w:bottom w:val="nil"/>
              <w:right w:val="nil"/>
            </w:tcBorders>
            <w:shd w:val="clear" w:color="auto" w:fill="auto"/>
          </w:tcPr>
          <w:p w:rsidR="0017135D" w:rsidRPr="002E54AE" w:rsidP="000163E2">
            <w:pPr>
              <w:pStyle w:val="CSBody8pt"/>
              <w:rPr>
                <w:lang w:val="de-DE"/>
              </w:rPr>
            </w:pPr>
            <w:r w:rsidRPr="002E54AE">
              <w:rPr>
                <w:lang w:val="de-DE"/>
              </w:rPr>
              <w:t>Ausgenommene Verbindlichkeit</w:t>
            </w:r>
            <w:r w:rsidRPr="00792D61">
              <w:rPr>
                <w:b/>
                <w:lang w:val="de-DE"/>
              </w:rPr>
              <w:t>[</w:t>
            </w:r>
            <w:r w:rsidRPr="002E54AE">
              <w:rPr>
                <w:lang w:val="de-DE"/>
              </w:rPr>
              <w:t>en</w:t>
            </w:r>
            <w:r w:rsidRPr="00792D61">
              <w:rPr>
                <w:b/>
                <w:lang w:val="de-DE"/>
              </w:rPr>
              <w:t>]</w:t>
            </w:r>
            <w:r>
              <w:rPr>
                <w:lang w:val="de-DE"/>
              </w:rPr>
              <w:fldChar w:fldCharType="begin"/>
            </w:r>
            <w:r w:rsidRPr="002E54AE">
              <w:rPr>
                <w:lang w:val="de-DE"/>
              </w:rPr>
              <w:instrText xml:space="preserve"> XE "</w:instrText>
            </w:r>
            <w:r w:rsidRPr="007F4E3F">
              <w:rPr>
                <w:lang w:val="de-DE"/>
              </w:rPr>
              <w:instrText>Ausgenommene Verbindlichkeit</w:instrText>
            </w:r>
            <w:r w:rsidRPr="00792D61">
              <w:rPr>
                <w:b/>
                <w:lang w:val="de-DE"/>
              </w:rPr>
              <w:instrText>[</w:instrText>
            </w:r>
            <w:r w:rsidRPr="007F4E3F">
              <w:rPr>
                <w:lang w:val="de-DE"/>
              </w:rPr>
              <w:instrText>en</w:instrText>
            </w:r>
            <w:r w:rsidRPr="00792D61">
              <w:rPr>
                <w:b/>
                <w:lang w:val="de-DE"/>
              </w:rPr>
              <w:instrText>]</w:instrText>
            </w:r>
            <w:r w:rsidRPr="002E54AE">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2E54AE" w:rsidP="00A67517">
            <w:pPr>
              <w:pStyle w:val="CSBody8pt"/>
              <w:rPr>
                <w:bCs/>
                <w:lang w:val="de-DE"/>
              </w:rPr>
            </w:pP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54AE" w:rsidP="00320AEA">
            <w:pPr>
              <w:pStyle w:val="CSBody8pt"/>
            </w:pPr>
            <w:r w:rsidRPr="002E54AE">
              <w:t>Excluded Obligation</w:t>
            </w:r>
            <w:r w:rsidRPr="00792D61">
              <w:rPr>
                <w:b/>
              </w:rPr>
              <w:t>[</w:t>
            </w:r>
            <w:r w:rsidRPr="002E54AE">
              <w:t>s</w:t>
            </w:r>
            <w:r w:rsidRPr="00792D61">
              <w:rPr>
                <w:b/>
              </w:rPr>
              <w:t>]</w:t>
            </w:r>
            <w:r>
              <w:fldChar w:fldCharType="begin"/>
            </w:r>
            <w:r>
              <w:instrText xml:space="preserve"> XE "</w:instrText>
            </w:r>
            <w:r w:rsidRPr="002C2036">
              <w:instrText>Excluded Obligation</w:instrText>
            </w:r>
            <w:r w:rsidRPr="00792D61">
              <w:rPr>
                <w:b/>
              </w:rPr>
              <w:instrText>[</w:instrText>
            </w:r>
            <w:r w:rsidRPr="002C2036">
              <w:instrText>s</w:instrText>
            </w:r>
            <w:r w:rsidRPr="00792D61">
              <w:rPr>
                <w:b/>
              </w:rPr>
              <w:instrTex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54AE" w:rsidP="00320AEA">
            <w:pPr>
              <w:pStyle w:val="CSBody8pt"/>
              <w:rPr>
                <w:lang w:val="de-DE"/>
              </w:rPr>
            </w:pPr>
          </w:p>
        </w:tc>
        <w:tc>
          <w:tcPr>
            <w:tcW w:w="1618" w:type="dxa"/>
            <w:gridSpan w:val="2"/>
            <w:tcBorders>
              <w:top w:val="nil"/>
              <w:bottom w:val="nil"/>
              <w:right w:val="nil"/>
            </w:tcBorders>
            <w:shd w:val="clear" w:color="auto" w:fill="auto"/>
          </w:tcPr>
          <w:p w:rsidR="0017135D" w:rsidRPr="002E54AE" w:rsidP="000163E2">
            <w:pPr>
              <w:pStyle w:val="CSBody8pt"/>
              <w:rPr>
                <w:lang w:val="de-DE"/>
              </w:rPr>
            </w:pPr>
            <w:r w:rsidRPr="002E54AE">
              <w:rPr>
                <w:lang w:val="de-DE"/>
              </w:rPr>
              <w:t>Ausgenommene Verbindlichkeit</w:t>
            </w:r>
            <w:r w:rsidRPr="00792D61">
              <w:rPr>
                <w:b/>
                <w:lang w:val="de-DE"/>
              </w:rPr>
              <w:t>[</w:t>
            </w:r>
            <w:r w:rsidRPr="002E54AE">
              <w:rPr>
                <w:lang w:val="de-DE"/>
              </w:rPr>
              <w:t>en</w:t>
            </w:r>
            <w:r w:rsidRPr="00792D61">
              <w:rPr>
                <w:b/>
                <w:lang w:val="de-DE"/>
              </w:rPr>
              <w:t>]</w:t>
            </w:r>
            <w:r>
              <w:rPr>
                <w:lang w:val="de-DE"/>
              </w:rPr>
              <w:fldChar w:fldCharType="begin"/>
            </w:r>
            <w:r w:rsidRPr="002E54AE">
              <w:rPr>
                <w:lang w:val="de-DE"/>
              </w:rPr>
              <w:instrText xml:space="preserve"> XE "</w:instrText>
            </w:r>
            <w:r w:rsidRPr="00F36ACB">
              <w:rPr>
                <w:lang w:val="de-DE"/>
              </w:rPr>
              <w:instrText>Ausgenommene Verbindlichkeit</w:instrText>
            </w:r>
            <w:r w:rsidRPr="00792D61">
              <w:rPr>
                <w:b/>
                <w:lang w:val="de-DE"/>
              </w:rPr>
              <w:instrText>[</w:instrText>
            </w:r>
            <w:r w:rsidRPr="00F36ACB">
              <w:rPr>
                <w:lang w:val="de-DE"/>
              </w:rPr>
              <w:instrText>en</w:instrText>
            </w:r>
            <w:r w:rsidRPr="00792D61">
              <w:rPr>
                <w:b/>
                <w:lang w:val="de-DE"/>
              </w:rPr>
              <w:instrText>]</w:instrText>
            </w:r>
            <w:r w:rsidRPr="002E54AE">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1A7A08" w:rsidP="00320AEA">
            <w:pPr>
              <w:pStyle w:val="CSBody8pt"/>
              <w:rPr>
                <w:bCs/>
                <w:lang w:val="de-DE"/>
              </w:rPr>
            </w:pPr>
          </w:p>
        </w:tc>
      </w:tr>
      <w:tr w:rsidTr="004C1EBA">
        <w:tblPrEx>
          <w:tblW w:w="4999" w:type="pct"/>
          <w:tblLayout w:type="fixed"/>
          <w:tblCellMar>
            <w:left w:w="115" w:type="dxa"/>
            <w:right w:w="115" w:type="dxa"/>
          </w:tblCellMar>
          <w:tblLook w:val="04A0"/>
        </w:tblPrEx>
        <w:tc>
          <w:tcPr>
            <w:tcW w:w="1616" w:type="dxa"/>
            <w:gridSpan w:val="3"/>
            <w:vMerge w:val="restart"/>
            <w:tcBorders>
              <w:top w:val="nil"/>
              <w:left w:val="nil"/>
              <w:right w:val="nil"/>
            </w:tcBorders>
            <w:shd w:val="clear" w:color="auto" w:fill="auto"/>
          </w:tcPr>
          <w:p w:rsidR="0017135D" w:rsidRPr="0064730F" w:rsidP="00320AEA">
            <w:pPr>
              <w:pStyle w:val="CSBody8ptbolditalics"/>
            </w:pPr>
            <w:r w:rsidRPr="00792D61">
              <w:t>[</w:t>
            </w:r>
            <w:r w:rsidRPr="0064730F">
              <w:t xml:space="preserve">in the case of Excluded Valuation Obligations, insert: </w:t>
            </w:r>
          </w:p>
          <w:p w:rsidR="0017135D" w:rsidRPr="0064730F" w:rsidP="00320AEA">
            <w:pPr>
              <w:pStyle w:val="CSBody8pt"/>
            </w:pPr>
            <w:r w:rsidRPr="002E54AE">
              <w:t>Excluded Valuation Obligation</w:t>
            </w:r>
            <w:r w:rsidRPr="00792D61">
              <w:rPr>
                <w:b/>
              </w:rPr>
              <w:t>[</w:t>
            </w:r>
            <w:r w:rsidRPr="002E54AE">
              <w:t>s</w:t>
            </w:r>
            <w:r w:rsidRPr="00792D61">
              <w:rPr>
                <w:b/>
              </w:rPr>
              <w:t>]</w:t>
            </w:r>
            <w:r>
              <w:fldChar w:fldCharType="begin"/>
            </w:r>
            <w:r>
              <w:instrText xml:space="preserve"> XE "</w:instrText>
            </w:r>
            <w:r w:rsidRPr="006F30F7">
              <w:instrText>Excluded Valuation Obligation</w:instrText>
            </w:r>
            <w:r w:rsidRPr="00792D61">
              <w:rPr>
                <w:b/>
              </w:rPr>
              <w:instrText>[</w:instrText>
            </w:r>
            <w:r w:rsidRPr="006F30F7">
              <w:instrText>s</w:instrText>
            </w:r>
            <w:r w:rsidRPr="00792D61">
              <w:rPr>
                <w:b/>
              </w:rPr>
              <w:instrTex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B403D" w:rsidP="00320AEA">
            <w:pPr>
              <w:pStyle w:val="CSBody8pt"/>
            </w:pPr>
            <w:r w:rsidRPr="008B403D">
              <w:t>has the meaning assigned to such term in subsection C.5 of Section 1.1.</w:t>
            </w:r>
            <w:r w:rsidRPr="00792D61">
              <w:rPr>
                <w:b/>
              </w:rPr>
              <w:t>]</w:t>
            </w:r>
          </w:p>
        </w:tc>
        <w:tc>
          <w:tcPr>
            <w:tcW w:w="1618" w:type="dxa"/>
            <w:gridSpan w:val="2"/>
            <w:vMerge w:val="restart"/>
            <w:tcBorders>
              <w:top w:val="nil"/>
              <w:right w:val="nil"/>
            </w:tcBorders>
            <w:shd w:val="clear" w:color="auto" w:fill="auto"/>
          </w:tcPr>
          <w:p w:rsidR="0017135D" w:rsidRPr="008B403D" w:rsidP="000163E2">
            <w:pPr>
              <w:pStyle w:val="CSBody8ptbolditalics"/>
              <w:rPr>
                <w:lang w:val="de-DE"/>
              </w:rPr>
            </w:pPr>
            <w:r w:rsidRPr="00792D61">
              <w:rPr>
                <w:lang w:val="de-DE"/>
              </w:rPr>
              <w:t>[</w:t>
            </w:r>
            <w:r w:rsidRPr="008B403D">
              <w:rPr>
                <w:lang w:val="de-DE"/>
              </w:rPr>
              <w:t>bei Ausgenommenen Bewertungsverbindlichkeiten einfügen:</w:t>
            </w:r>
          </w:p>
          <w:p w:rsidR="0017135D" w:rsidRPr="008B403D" w:rsidP="000163E2">
            <w:pPr>
              <w:pStyle w:val="CSBody8pt"/>
              <w:rPr>
                <w:lang w:val="de-DE"/>
              </w:rPr>
            </w:pPr>
            <w:r w:rsidRPr="002E54AE">
              <w:rPr>
                <w:lang w:val="de-DE"/>
              </w:rPr>
              <w:t>Ausgenommene Bewertungsverbindlichkeit</w:t>
            </w:r>
            <w:r w:rsidRPr="00792D61">
              <w:rPr>
                <w:b/>
                <w:lang w:val="de-DE"/>
              </w:rPr>
              <w:t>[</w:t>
            </w:r>
            <w:r w:rsidRPr="002E54AE">
              <w:rPr>
                <w:lang w:val="de-DE"/>
              </w:rPr>
              <w:t>en</w:t>
            </w:r>
            <w:r w:rsidRPr="00792D61">
              <w:rPr>
                <w:b/>
                <w:lang w:val="de-DE"/>
              </w:rPr>
              <w:t>]</w:t>
            </w:r>
            <w:r>
              <w:rPr>
                <w:lang w:val="de-DE"/>
              </w:rPr>
              <w:fldChar w:fldCharType="begin"/>
            </w:r>
            <w:r w:rsidRPr="002E54AE">
              <w:rPr>
                <w:lang w:val="de-DE"/>
              </w:rPr>
              <w:instrText xml:space="preserve"> XE "</w:instrText>
            </w:r>
            <w:r w:rsidRPr="00AA4E9E">
              <w:rPr>
                <w:lang w:val="de-DE"/>
              </w:rPr>
              <w:instrText>Ausgenommene Bewertungsverbindlichkeit</w:instrText>
            </w:r>
            <w:r w:rsidRPr="00792D61">
              <w:rPr>
                <w:b/>
                <w:lang w:val="de-DE"/>
              </w:rPr>
              <w:instrText>[</w:instrText>
            </w:r>
            <w:r w:rsidRPr="00AA4E9E">
              <w:rPr>
                <w:lang w:val="de-DE"/>
              </w:rPr>
              <w:instrText>en</w:instrText>
            </w:r>
            <w:r w:rsidRPr="00792D61">
              <w:rPr>
                <w:b/>
                <w:lang w:val="de-DE"/>
              </w:rPr>
              <w:instrText>]</w:instrText>
            </w:r>
            <w:r w:rsidRPr="002E54AE">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8B403D" w:rsidP="00320AEA">
            <w:pPr>
              <w:pStyle w:val="CSBody8pt"/>
              <w:rPr>
                <w:bCs/>
                <w:lang w:val="de-DE"/>
              </w:rPr>
            </w:pPr>
            <w:r w:rsidRPr="008B403D">
              <w:rPr>
                <w:bCs/>
                <w:lang w:val="de-DE"/>
              </w:rPr>
              <w:t>hat die diesem Begriff in Unterabschnitt C.5 von Ziffer 1.1. zugewiesene Bedeutung.</w:t>
            </w:r>
          </w:p>
        </w:tc>
      </w:tr>
      <w:tr w:rsidTr="004C1EBA">
        <w:tblPrEx>
          <w:tblW w:w="4999" w:type="pct"/>
          <w:tblLayout w:type="fixed"/>
          <w:tblCellMar>
            <w:left w:w="115" w:type="dxa"/>
            <w:right w:w="115" w:type="dxa"/>
          </w:tblCellMar>
          <w:tblLook w:val="04A0"/>
        </w:tblPrEx>
        <w:tc>
          <w:tcPr>
            <w:tcW w:w="1616" w:type="dxa"/>
            <w:gridSpan w:val="3"/>
            <w:vMerge/>
            <w:tcBorders>
              <w:left w:val="nil"/>
              <w:bottom w:val="nil"/>
              <w:right w:val="nil"/>
            </w:tcBorders>
            <w:shd w:val="clear" w:color="auto" w:fill="auto"/>
          </w:tcPr>
          <w:p w:rsidR="0017135D" w:rsidRPr="00313B3E" w:rsidP="00320AEA">
            <w:pPr>
              <w:pStyle w:val="CSBody8pt"/>
              <w:rPr>
                <w:lang w:val="de-DE"/>
              </w:rPr>
            </w:pPr>
          </w:p>
        </w:tc>
        <w:tc>
          <w:tcPr>
            <w:tcW w:w="3315" w:type="dxa"/>
            <w:gridSpan w:val="2"/>
            <w:tcBorders>
              <w:top w:val="nil"/>
              <w:left w:val="nil"/>
              <w:bottom w:val="nil"/>
            </w:tcBorders>
            <w:shd w:val="clear" w:color="auto" w:fill="auto"/>
          </w:tcPr>
          <w:p w:rsidR="0017135D" w:rsidRPr="002E54AE" w:rsidP="00320AEA">
            <w:pPr>
              <w:pStyle w:val="CSBody8pt"/>
              <w:rPr>
                <w:lang w:val="de-DE"/>
              </w:rPr>
            </w:pPr>
          </w:p>
        </w:tc>
        <w:tc>
          <w:tcPr>
            <w:tcW w:w="1618" w:type="dxa"/>
            <w:gridSpan w:val="2"/>
            <w:vMerge/>
            <w:tcBorders>
              <w:bottom w:val="nil"/>
              <w:right w:val="nil"/>
            </w:tcBorders>
            <w:shd w:val="clear" w:color="auto" w:fill="auto"/>
          </w:tcPr>
          <w:p w:rsidR="0017135D" w:rsidRPr="002E54AE" w:rsidP="000163E2">
            <w:pPr>
              <w:pStyle w:val="CSBody8pt"/>
              <w:rPr>
                <w:lang w:val="de-DE"/>
              </w:rPr>
            </w:pPr>
          </w:p>
        </w:tc>
        <w:tc>
          <w:tcPr>
            <w:tcW w:w="3318" w:type="dxa"/>
            <w:tcBorders>
              <w:top w:val="nil"/>
              <w:left w:val="nil"/>
              <w:bottom w:val="nil"/>
              <w:right w:val="nil"/>
            </w:tcBorders>
            <w:shd w:val="clear" w:color="auto" w:fill="auto"/>
          </w:tcPr>
          <w:p w:rsidR="0017135D" w:rsidRPr="001A7A08" w:rsidP="00320AEA">
            <w:pPr>
              <w:pStyle w:val="CSBody8pt"/>
              <w:rPr>
                <w:bCs/>
                <w:lang w:val="de-DE"/>
              </w:rPr>
            </w:pP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C205D0" w:rsidP="00320AEA">
            <w:pPr>
              <w:pStyle w:val="CSBody8ptbolditalics"/>
            </w:pPr>
            <w:r w:rsidRPr="00792D61">
              <w:t>[</w:t>
            </w:r>
            <w:r w:rsidRPr="00C205D0">
              <w:t xml:space="preserve">if M(M)R Restructuring is applicable: </w:t>
            </w:r>
          </w:p>
        </w:tc>
        <w:tc>
          <w:tcPr>
            <w:tcW w:w="3315" w:type="dxa"/>
            <w:gridSpan w:val="2"/>
            <w:tcBorders>
              <w:top w:val="nil"/>
              <w:left w:val="nil"/>
              <w:bottom w:val="nil"/>
            </w:tcBorders>
            <w:shd w:val="clear" w:color="auto" w:fill="auto"/>
          </w:tcPr>
          <w:p w:rsidR="0017135D" w:rsidRPr="008B403D" w:rsidP="00320AEA">
            <w:pPr>
              <w:pStyle w:val="CSBody8pt"/>
            </w:pPr>
            <w:r w:rsidRPr="008B403D">
              <w:t>with respect to an M(M)R Restructuring:</w:t>
            </w:r>
          </w:p>
        </w:tc>
        <w:tc>
          <w:tcPr>
            <w:tcW w:w="1618" w:type="dxa"/>
            <w:gridSpan w:val="2"/>
            <w:tcBorders>
              <w:top w:val="nil"/>
              <w:bottom w:val="nil"/>
              <w:right w:val="nil"/>
            </w:tcBorders>
            <w:shd w:val="clear" w:color="auto" w:fill="auto"/>
          </w:tcPr>
          <w:p w:rsidR="0017135D" w:rsidRPr="008B403D" w:rsidP="00320AEA">
            <w:pPr>
              <w:pStyle w:val="CSBody8ptbolditalics"/>
              <w:rPr>
                <w:lang w:val="de-DE"/>
              </w:rPr>
            </w:pPr>
            <w:r w:rsidRPr="00792D61">
              <w:rPr>
                <w:lang w:val="de-DE"/>
              </w:rPr>
              <w:t>[</w:t>
            </w:r>
            <w:r w:rsidRPr="008B403D">
              <w:rPr>
                <w:lang w:val="de-DE"/>
              </w:rPr>
              <w:t>falls M(M)R-Restrukturierung anwendbar ist,</w:t>
            </w:r>
          </w:p>
        </w:tc>
        <w:tc>
          <w:tcPr>
            <w:tcW w:w="3318" w:type="dxa"/>
            <w:tcBorders>
              <w:top w:val="nil"/>
              <w:left w:val="nil"/>
              <w:bottom w:val="nil"/>
              <w:right w:val="nil"/>
            </w:tcBorders>
            <w:shd w:val="clear" w:color="auto" w:fill="auto"/>
          </w:tcPr>
          <w:p w:rsidR="0017135D" w:rsidRPr="008B403D" w:rsidP="00320AEA">
            <w:pPr>
              <w:pStyle w:val="CSBody8pt"/>
              <w:rPr>
                <w:bCs/>
                <w:lang w:val="de-DE"/>
              </w:rPr>
            </w:pPr>
            <w:r w:rsidRPr="008B403D">
              <w:rPr>
                <w:bCs/>
                <w:lang w:val="de-DE"/>
              </w:rPr>
              <w:t>in Bezug auf eine M(M)R-Restrukturierung: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E54AE" w:rsidP="00320AEA">
            <w:pPr>
              <w:pStyle w:val="CSBody8pt"/>
            </w:pPr>
            <w:r w:rsidRPr="002E54AE">
              <w:t>Exercise Cut-off Date</w:t>
            </w:r>
            <w:r>
              <w:fldChar w:fldCharType="begin"/>
            </w:r>
            <w:r>
              <w:instrText xml:space="preserve"> XE "</w:instrText>
            </w:r>
            <w:r w:rsidRPr="000D04AD">
              <w:instrText>Exercise Cut-off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E54AE" w:rsidP="00320AEA">
            <w:pPr>
              <w:pStyle w:val="CSManNum8pt"/>
            </w:pPr>
            <w:r w:rsidRPr="002E54AE">
              <w:t>(a)</w:t>
            </w:r>
            <w:r w:rsidRPr="002E54AE">
              <w:tab/>
              <w:t xml:space="preserve">if the DC Secretary publishes a Final List, the date that is </w:t>
            </w:r>
            <w:r w:rsidRPr="00792D61">
              <w:rPr>
                <w:b/>
              </w:rPr>
              <w:t>[</w:t>
            </w:r>
            <w:r w:rsidRPr="002E54AE">
              <w:t>two</w:t>
            </w:r>
            <w:r w:rsidRPr="00792D61">
              <w:rPr>
                <w:b/>
              </w:rPr>
              <w:t>][</w:t>
            </w:r>
            <w:r w:rsidRPr="002E54AE">
              <w:t>five</w:t>
            </w:r>
            <w:r w:rsidRPr="00792D61">
              <w:rPr>
                <w:b/>
              </w:rPr>
              <w:t>]</w:t>
            </w:r>
            <w:r w:rsidRPr="002E54AE">
              <w:t xml:space="preserve"> Relevant City Business Days following the date on which such Final List is published; or</w:t>
            </w:r>
          </w:p>
        </w:tc>
        <w:tc>
          <w:tcPr>
            <w:tcW w:w="1618" w:type="dxa"/>
            <w:gridSpan w:val="2"/>
            <w:tcBorders>
              <w:top w:val="nil"/>
              <w:bottom w:val="nil"/>
              <w:right w:val="nil"/>
            </w:tcBorders>
            <w:shd w:val="clear" w:color="auto" w:fill="auto"/>
          </w:tcPr>
          <w:p w:rsidR="0017135D" w:rsidRPr="002E54AE" w:rsidP="000163E2">
            <w:pPr>
              <w:pStyle w:val="CSBody8pt"/>
              <w:rPr>
                <w:lang w:val="de-DE"/>
              </w:rPr>
            </w:pPr>
            <w:r w:rsidRPr="002E54AE">
              <w:rPr>
                <w:lang w:val="de-DE"/>
              </w:rPr>
              <w:t>Ausübungsstichtag</w:t>
            </w:r>
            <w:r>
              <w:rPr>
                <w:lang w:val="de-DE"/>
              </w:rPr>
              <w:fldChar w:fldCharType="begin"/>
            </w:r>
            <w:r>
              <w:instrText xml:space="preserve"> XE "</w:instrText>
            </w:r>
            <w:r w:rsidRPr="00EA7DB1">
              <w:rPr>
                <w:lang w:val="de-DE"/>
              </w:rPr>
              <w:instrText>Ausübungsstichtag</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1A7A08" w:rsidP="00320AEA">
            <w:pPr>
              <w:pStyle w:val="CSManNum8pt"/>
              <w:rPr>
                <w:lang w:val="de-DE"/>
              </w:rPr>
            </w:pPr>
            <w:r w:rsidRPr="002E54AE">
              <w:rPr>
                <w:lang w:val="de-DE"/>
              </w:rPr>
              <w:t>(a)</w:t>
            </w:r>
            <w:r w:rsidRPr="002E54AE">
              <w:rPr>
                <w:lang w:val="de-DE"/>
              </w:rPr>
              <w:tab/>
              <w:t xml:space="preserve">wenn der Secretary eine Abschliessende Liste veröffentlicht, der </w:t>
            </w:r>
            <w:r w:rsidRPr="00792D61">
              <w:rPr>
                <w:b/>
                <w:lang w:val="de-DE"/>
              </w:rPr>
              <w:t>[</w:t>
            </w:r>
            <w:r w:rsidRPr="002E54AE">
              <w:rPr>
                <w:lang w:val="de-DE"/>
              </w:rPr>
              <w:t>zweite</w:t>
            </w:r>
            <w:r w:rsidRPr="00792D61">
              <w:rPr>
                <w:b/>
                <w:lang w:val="de-DE"/>
              </w:rPr>
              <w:t>][</w:t>
            </w:r>
            <w:r w:rsidRPr="002E54AE">
              <w:rPr>
                <w:lang w:val="de-DE"/>
              </w:rPr>
              <w:t>fünfte</w:t>
            </w:r>
            <w:r w:rsidRPr="00792D61">
              <w:rPr>
                <w:b/>
                <w:lang w:val="de-DE"/>
              </w:rPr>
              <w:t>]</w:t>
            </w:r>
            <w:r w:rsidRPr="002E54AE">
              <w:rPr>
                <w:lang w:val="de-DE"/>
              </w:rPr>
              <w:t xml:space="preserve"> Geschäftstag am Massgeblichen Finanzplatz nach dem Tag, an dem die Abschliessende Liste veröffentlicht wird;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A3D38" w:rsidP="00320AEA">
            <w:pPr>
              <w:pStyle w:val="CSBody8pt"/>
              <w:rPr>
                <w:lang w:val="de-DE"/>
              </w:rPr>
            </w:pPr>
          </w:p>
        </w:tc>
        <w:tc>
          <w:tcPr>
            <w:tcW w:w="3315" w:type="dxa"/>
            <w:gridSpan w:val="2"/>
            <w:tcBorders>
              <w:top w:val="nil"/>
              <w:left w:val="nil"/>
              <w:bottom w:val="nil"/>
            </w:tcBorders>
            <w:shd w:val="clear" w:color="auto" w:fill="auto"/>
          </w:tcPr>
          <w:p w:rsidR="0017135D" w:rsidRPr="008B403D" w:rsidP="00320AEA">
            <w:pPr>
              <w:pStyle w:val="CSManNum8pt"/>
            </w:pPr>
            <w:r w:rsidRPr="008B403D">
              <w:t>(b)</w:t>
            </w:r>
            <w:r w:rsidRPr="008B403D">
              <w:tab/>
              <w:t>otherwise, the date that is fourteen calendar days following the relevant No Auction Announcement Date.</w:t>
            </w:r>
          </w:p>
        </w:tc>
        <w:tc>
          <w:tcPr>
            <w:tcW w:w="1618" w:type="dxa"/>
            <w:gridSpan w:val="2"/>
            <w:tcBorders>
              <w:top w:val="nil"/>
              <w:bottom w:val="nil"/>
              <w:right w:val="nil"/>
            </w:tcBorders>
            <w:shd w:val="clear" w:color="auto" w:fill="auto"/>
          </w:tcPr>
          <w:p w:rsidR="0017135D" w:rsidRPr="008B403D" w:rsidP="00320AEA">
            <w:pPr>
              <w:pStyle w:val="CSBody8pt"/>
              <w:rPr>
                <w:i/>
              </w:rPr>
            </w:pPr>
          </w:p>
        </w:tc>
        <w:tc>
          <w:tcPr>
            <w:tcW w:w="3318" w:type="dxa"/>
            <w:tcBorders>
              <w:top w:val="nil"/>
              <w:left w:val="nil"/>
              <w:bottom w:val="nil"/>
              <w:right w:val="nil"/>
            </w:tcBorders>
            <w:shd w:val="clear" w:color="auto" w:fill="auto"/>
          </w:tcPr>
          <w:p w:rsidR="0017135D" w:rsidRPr="008B403D" w:rsidP="00320AEA">
            <w:pPr>
              <w:pStyle w:val="CSManNum8pt"/>
              <w:rPr>
                <w:lang w:val="de-DE"/>
              </w:rPr>
            </w:pPr>
            <w:r w:rsidRPr="008B403D">
              <w:rPr>
                <w:lang w:val="de-DE"/>
              </w:rPr>
              <w:t>(b)</w:t>
            </w:r>
            <w:r w:rsidRPr="008B403D">
              <w:rPr>
                <w:lang w:val="de-DE"/>
              </w:rPr>
              <w:tab/>
              <w:t>in allen anderen Fällen der 14. Kalendertag nach dem betreffenden Tag der Bekanntgabe der Nichtdurchführung einer Auktion.</w:t>
            </w:r>
          </w:p>
        </w:tc>
      </w:tr>
      <w:tr w:rsidTr="004C1EBA">
        <w:tblPrEx>
          <w:tblW w:w="4999" w:type="pct"/>
          <w:tblLayout w:type="fixed"/>
          <w:tblCellMar>
            <w:left w:w="115" w:type="dxa"/>
            <w:right w:w="115" w:type="dxa"/>
          </w:tblCellMar>
          <w:tblLook w:val="04A0"/>
        </w:tblPrEx>
        <w:trPr>
          <w:trHeight w:val="5444"/>
        </w:trPr>
        <w:tc>
          <w:tcPr>
            <w:tcW w:w="1616" w:type="dxa"/>
            <w:gridSpan w:val="3"/>
            <w:tcBorders>
              <w:top w:val="nil"/>
              <w:left w:val="nil"/>
              <w:right w:val="nil"/>
            </w:tcBorders>
            <w:shd w:val="clear" w:color="auto" w:fill="auto"/>
          </w:tcPr>
          <w:p w:rsidR="0017135D" w:rsidRPr="002F517B" w:rsidP="00320AEA">
            <w:pPr>
              <w:pStyle w:val="CSBody8ptbolditalics"/>
            </w:pPr>
            <w:r w:rsidRPr="00792D61">
              <w:t>[</w:t>
            </w:r>
            <w:r w:rsidRPr="002F517B">
              <w:t>if Grace Period Extension and Failure to Pay and/or Repudiation/Moratorium is/are spe</w:t>
            </w:r>
            <w:r>
              <w:t>c</w:t>
            </w:r>
            <w:r w:rsidRPr="002F517B">
              <w:t>ified as applicable in Section 1.1, insert:</w:t>
            </w:r>
          </w:p>
          <w:p w:rsidR="0017135D" w:rsidRPr="002F517B" w:rsidP="00320AEA">
            <w:pPr>
              <w:pStyle w:val="CSBody8pt"/>
            </w:pPr>
            <w:r w:rsidRPr="000A1CDE">
              <w:t>Extension Date</w:t>
            </w:r>
            <w:r>
              <w:fldChar w:fldCharType="begin"/>
            </w:r>
            <w:r>
              <w:instrText xml:space="preserve"> XE "</w:instrText>
            </w:r>
            <w:r w:rsidRPr="00273EAE">
              <w:instrText>Extension Date</w:instrText>
            </w:r>
            <w:r>
              <w:instrText xml:space="preserve">" </w:instrText>
            </w:r>
            <w:r w:rsidR="009B1A00">
              <w:instrText>\f "EN"</w:instrText>
            </w:r>
            <w:r>
              <w:fldChar w:fldCharType="end"/>
            </w:r>
          </w:p>
        </w:tc>
        <w:tc>
          <w:tcPr>
            <w:tcW w:w="3315" w:type="dxa"/>
            <w:gridSpan w:val="2"/>
            <w:tcBorders>
              <w:top w:val="nil"/>
              <w:left w:val="nil"/>
            </w:tcBorders>
            <w:shd w:val="clear" w:color="auto" w:fill="auto"/>
          </w:tcPr>
          <w:p w:rsidR="0017135D" w:rsidRPr="002F517B" w:rsidP="004C1EBA">
            <w:pPr>
              <w:pStyle w:val="CSBody8pt"/>
            </w:pPr>
            <w:r w:rsidRPr="002F517B">
              <w:t xml:space="preserve">the </w:t>
            </w:r>
            <w:r w:rsidRPr="00792D61">
              <w:rPr>
                <w:b/>
              </w:rPr>
              <w:t>[</w:t>
            </w:r>
            <w:r w:rsidRPr="00320AEA">
              <w:rPr>
                <w:b/>
                <w:i/>
              </w:rPr>
              <w:t>if "Failure to Pay" and "Grace Period Extension" and "Repudiation/Moratorium" are applicable, insert:</w:t>
            </w:r>
            <w:r w:rsidRPr="002F517B">
              <w:t xml:space="preserve"> latest</w:t>
            </w:r>
            <w:r w:rsidRPr="00792D61">
              <w:rPr>
                <w:b/>
              </w:rPr>
              <w:t>][</w:t>
            </w:r>
            <w:r w:rsidRPr="00320AEA">
              <w:rPr>
                <w:b/>
                <w:i/>
              </w:rPr>
              <w:t>if only (i) "Failure to Pay" and "Grace Period Extension" or (ii) only "Repudiation/Moratorium" is applicable insert:</w:t>
            </w:r>
            <w:r w:rsidRPr="002F517B">
              <w:t xml:space="preserve"> later</w:t>
            </w:r>
            <w:r w:rsidRPr="00792D61">
              <w:rPr>
                <w:b/>
              </w:rPr>
              <w:t>]</w:t>
            </w:r>
            <w:r w:rsidRPr="002F517B">
              <w:t xml:space="preserve"> of (a) the Scheduled Maturity Date (or if applicable, for purposes of determining payment of Interest Payment Amounts, the relevant Interest Payment Date)</w:t>
            </w:r>
            <w:r w:rsidRPr="00792D61">
              <w:rPr>
                <w:b/>
              </w:rPr>
              <w:t>[</w:t>
            </w:r>
            <w:r w:rsidRPr="002F517B">
              <w:t>,</w:t>
            </w:r>
            <w:r w:rsidRPr="00792D61">
              <w:rPr>
                <w:b/>
              </w:rPr>
              <w:t>][</w:t>
            </w:r>
            <w:r w:rsidRPr="002F517B">
              <w:t>and</w:t>
            </w:r>
            <w:r w:rsidRPr="00792D61">
              <w:rPr>
                <w:b/>
              </w:rPr>
              <w:t>]</w:t>
            </w:r>
            <w:r w:rsidRPr="002F517B">
              <w:t xml:space="preserve"> </w:t>
            </w:r>
            <w:r w:rsidRPr="00792D61">
              <w:rPr>
                <w:b/>
              </w:rPr>
              <w:t>[</w:t>
            </w:r>
            <w:r w:rsidRPr="00320AEA">
              <w:rPr>
                <w:b/>
                <w:i/>
              </w:rPr>
              <w:t>if "Failure to Pay" and "Grace Period Extension" is applicable, insert:</w:t>
            </w:r>
            <w:r w:rsidRPr="002F517B">
              <w:t xml:space="preserve"> (b) the Grace Period Extension Date if the Potential Failure to Pay with respect to the relevant Failure to Pay occurs on or prior to the Scheduled Maturity Date (or if applicable, for purposes of determining payment of Interest Payment Amounts, the relevant Interest Payment Date)</w:t>
            </w:r>
            <w:r w:rsidRPr="00792D61">
              <w:rPr>
                <w:b/>
              </w:rPr>
              <w:t>]</w:t>
            </w:r>
            <w:r w:rsidRPr="002F517B">
              <w:t xml:space="preserve"> </w:t>
            </w:r>
            <w:r w:rsidRPr="00792D61">
              <w:rPr>
                <w:b/>
              </w:rPr>
              <w:t>[</w:t>
            </w:r>
            <w:r w:rsidRPr="00320AEA">
              <w:rPr>
                <w:b/>
                <w:i/>
              </w:rPr>
              <w:t>if "Repudiation/Moratorium" is applicable</w:t>
            </w:r>
            <w:r w:rsidRPr="002F517B">
              <w:t xml:space="preserve">: </w:t>
            </w:r>
            <w:r w:rsidRPr="00792D61">
              <w:rPr>
                <w:b/>
              </w:rPr>
              <w:t>[</w:t>
            </w:r>
            <w:r w:rsidRPr="002F517B">
              <w:t>and</w:t>
            </w:r>
            <w:r w:rsidRPr="00792D61">
              <w:rPr>
                <w:b/>
              </w:rPr>
              <w:t>]</w:t>
            </w:r>
            <w:r w:rsidRPr="002F517B">
              <w:t xml:space="preserve"> </w:t>
            </w:r>
            <w:r w:rsidRPr="00792D61">
              <w:rPr>
                <w:b/>
              </w:rPr>
              <w:t>[</w:t>
            </w:r>
            <w:r w:rsidRPr="002F517B">
              <w:t>(b)</w:t>
            </w:r>
            <w:r w:rsidRPr="00792D61">
              <w:rPr>
                <w:b/>
              </w:rPr>
              <w:t>]</w:t>
            </w:r>
            <w:r w:rsidRPr="002F517B">
              <w:t xml:space="preserve"> </w:t>
            </w:r>
            <w:r w:rsidRPr="00792D61">
              <w:rPr>
                <w:b/>
              </w:rPr>
              <w:t>[</w:t>
            </w:r>
            <w:r w:rsidRPr="002F517B">
              <w:t>(c)</w:t>
            </w:r>
            <w:r w:rsidRPr="00792D61">
              <w:rPr>
                <w:b/>
              </w:rPr>
              <w:t>]</w:t>
            </w:r>
            <w:r w:rsidRPr="002F517B">
              <w:t xml:space="preserve"> the Repudiation/Moratorium Evaluation Date</w:t>
            </w:r>
            <w:r w:rsidRPr="00792D61">
              <w:rPr>
                <w:b/>
              </w:rPr>
              <w:t>]</w:t>
            </w:r>
            <w:r w:rsidRPr="002F517B">
              <w:t>.</w:t>
            </w:r>
            <w:r w:rsidRPr="00792D61">
              <w:rPr>
                <w:b/>
              </w:rPr>
              <w:t>]</w:t>
            </w:r>
          </w:p>
        </w:tc>
        <w:tc>
          <w:tcPr>
            <w:tcW w:w="1618" w:type="dxa"/>
            <w:gridSpan w:val="2"/>
            <w:tcBorders>
              <w:top w:val="nil"/>
              <w:right w:val="nil"/>
            </w:tcBorders>
            <w:shd w:val="clear" w:color="auto" w:fill="auto"/>
          </w:tcPr>
          <w:p w:rsidR="0017135D" w:rsidRPr="002F517B" w:rsidP="00320AEA">
            <w:pPr>
              <w:pStyle w:val="CSBody8ptbolditalics"/>
              <w:rPr>
                <w:lang w:val="de-DE"/>
              </w:rPr>
            </w:pPr>
            <w:r w:rsidRPr="00792D61">
              <w:rPr>
                <w:lang w:val="de-DE"/>
              </w:rPr>
              <w:t>[</w:t>
            </w:r>
            <w:r w:rsidRPr="002F517B">
              <w:rPr>
                <w:lang w:val="de-DE"/>
              </w:rPr>
              <w:t>falls in Ziffer 1.1 "Verlängerung wegen Nachfrist" und "Nichtzahlung" und/oder "Nichtanerkennung/Moratorium" als anwendbar angegeben ist/sind, einfügen:</w:t>
            </w:r>
          </w:p>
          <w:p w:rsidR="0017135D" w:rsidRPr="002F517B" w:rsidP="00320AEA">
            <w:pPr>
              <w:pStyle w:val="CSBody8pt"/>
              <w:rPr>
                <w:lang w:val="de-DE"/>
              </w:rPr>
            </w:pPr>
            <w:r w:rsidRPr="000A1CDE">
              <w:t>Verlängerungstag</w:t>
            </w:r>
            <w:r>
              <w:fldChar w:fldCharType="begin"/>
            </w:r>
            <w:r>
              <w:instrText xml:space="preserve"> XE "</w:instrText>
            </w:r>
            <w:r w:rsidRPr="00D24488">
              <w:instrText>Verlängerungstag</w:instrText>
            </w:r>
            <w:r>
              <w:instrText xml:space="preserve">" </w:instrText>
            </w:r>
            <w:r>
              <w:fldChar w:fldCharType="end"/>
            </w:r>
          </w:p>
        </w:tc>
        <w:tc>
          <w:tcPr>
            <w:tcW w:w="3318" w:type="dxa"/>
            <w:tcBorders>
              <w:top w:val="nil"/>
              <w:left w:val="nil"/>
              <w:right w:val="nil"/>
            </w:tcBorders>
            <w:shd w:val="clear" w:color="auto" w:fill="auto"/>
          </w:tcPr>
          <w:p w:rsidR="0017135D" w:rsidRPr="002F517B" w:rsidP="004C1EBA">
            <w:pPr>
              <w:pStyle w:val="CSBody8pt"/>
              <w:rPr>
                <w:bCs/>
                <w:lang w:val="de-DE"/>
              </w:rPr>
            </w:pPr>
            <w:r w:rsidRPr="002F517B">
              <w:rPr>
                <w:bCs/>
                <w:lang w:val="de-DE"/>
              </w:rPr>
              <w:t xml:space="preserve">der </w:t>
            </w:r>
            <w:r w:rsidRPr="00792D61">
              <w:rPr>
                <w:b/>
                <w:bCs/>
                <w:lang w:val="de-DE"/>
              </w:rPr>
              <w:t>[</w:t>
            </w:r>
            <w:r w:rsidRPr="00320AEA">
              <w:rPr>
                <w:b/>
                <w:bCs/>
                <w:i/>
                <w:lang w:val="de-DE"/>
              </w:rPr>
              <w:t>falls "Nichtzahlung" und "Verlängerung wegen Nachfrist" und "Nichtanerkennung/Moratorium" anwendbar sind, einfügen:</w:t>
            </w:r>
            <w:r w:rsidRPr="002F517B">
              <w:rPr>
                <w:bCs/>
                <w:lang w:val="de-DE"/>
              </w:rPr>
              <w:t xml:space="preserve"> späteste</w:t>
            </w:r>
            <w:r w:rsidRPr="00792D61">
              <w:rPr>
                <w:b/>
                <w:bCs/>
                <w:lang w:val="de-DE"/>
              </w:rPr>
              <w:t>][</w:t>
            </w:r>
            <w:r w:rsidRPr="00320AEA">
              <w:rPr>
                <w:b/>
                <w:bCs/>
                <w:i/>
                <w:lang w:val="de-DE"/>
              </w:rPr>
              <w:t>falls nur (i) "Nichtzahlung" und "Verlängerung wegen Nachfrist" oder (ii) nur "Nichtanerkennung/Moratorium" anwendbar sind bzw. ist, einfügen:</w:t>
            </w:r>
            <w:r w:rsidRPr="002F517B">
              <w:rPr>
                <w:bCs/>
                <w:lang w:val="de-DE"/>
              </w:rPr>
              <w:t xml:space="preserve"> spätere</w:t>
            </w:r>
            <w:r w:rsidRPr="00792D61">
              <w:rPr>
                <w:b/>
                <w:bCs/>
                <w:lang w:val="de-DE"/>
              </w:rPr>
              <w:t>]</w:t>
            </w:r>
            <w:r w:rsidRPr="002F517B">
              <w:rPr>
                <w:bCs/>
                <w:lang w:val="de-DE"/>
              </w:rPr>
              <w:t xml:space="preserve"> der folgenden Termine: (a) der Planmässige Fälligkeitstag (oder soweit anwendbar, für Zwecke der Bestimmung von Zahlungen von Zinszahlungsbeträgen, der massgebliche Zinszahlungstag)</w:t>
            </w:r>
            <w:r w:rsidRPr="00792D61">
              <w:rPr>
                <w:b/>
                <w:bCs/>
                <w:lang w:val="de-DE"/>
              </w:rPr>
              <w:t>[</w:t>
            </w:r>
            <w:r w:rsidRPr="002F517B">
              <w:rPr>
                <w:bCs/>
                <w:lang w:val="de-DE"/>
              </w:rPr>
              <w:t>,</w:t>
            </w:r>
            <w:r w:rsidRPr="00792D61">
              <w:rPr>
                <w:b/>
                <w:bCs/>
                <w:lang w:val="de-DE"/>
              </w:rPr>
              <w:t>][</w:t>
            </w:r>
            <w:r w:rsidRPr="002F517B">
              <w:rPr>
                <w:bCs/>
                <w:lang w:val="de-DE"/>
              </w:rPr>
              <w:t>und</w:t>
            </w:r>
            <w:r w:rsidRPr="00792D61">
              <w:rPr>
                <w:b/>
                <w:bCs/>
                <w:lang w:val="de-DE"/>
              </w:rPr>
              <w:t>]</w:t>
            </w:r>
            <w:r w:rsidRPr="002F517B">
              <w:rPr>
                <w:bCs/>
                <w:lang w:val="de-DE"/>
              </w:rPr>
              <w:t xml:space="preserve"> </w:t>
            </w:r>
            <w:r w:rsidRPr="00792D61">
              <w:rPr>
                <w:b/>
                <w:bCs/>
                <w:lang w:val="de-DE"/>
              </w:rPr>
              <w:t>[</w:t>
            </w:r>
            <w:r w:rsidRPr="00320AEA">
              <w:rPr>
                <w:b/>
                <w:bCs/>
                <w:i/>
                <w:lang w:val="de-DE"/>
              </w:rPr>
              <w:t xml:space="preserve">falls "Nichtzahlung" und "Verlängerung wegen Nachfrist" anwendbar sind, einfügen: </w:t>
            </w:r>
            <w:r w:rsidRPr="002F517B">
              <w:rPr>
                <w:bCs/>
                <w:lang w:val="de-DE"/>
              </w:rPr>
              <w:t>(b) der Nachfrist-Verlängerungstag, wenn die Potenzielle Nichtzahlung in Bezug auf die betreffende Nichtzahlung an oder vor dem Planmässigen Fälligkeitstag (oder soweit anwendbar, für Zwecke der Bestimmung von Zahlungen von Zinszahlungsbeträgen, dem massgeblichen Zinszahlungstag)</w:t>
            </w:r>
            <w:r w:rsidRPr="00792D61">
              <w:rPr>
                <w:b/>
                <w:bCs/>
                <w:lang w:val="de-DE"/>
              </w:rPr>
              <w:t>]</w:t>
            </w:r>
            <w:r w:rsidRPr="002F517B">
              <w:rPr>
                <w:bCs/>
                <w:lang w:val="de-DE"/>
              </w:rPr>
              <w:t xml:space="preserve"> </w:t>
            </w:r>
            <w:r w:rsidRPr="00792D61">
              <w:rPr>
                <w:b/>
                <w:bCs/>
                <w:lang w:val="de-DE"/>
              </w:rPr>
              <w:t>[</w:t>
            </w:r>
            <w:r w:rsidRPr="00320AEA">
              <w:rPr>
                <w:b/>
                <w:bCs/>
                <w:i/>
                <w:lang w:val="de-DE"/>
              </w:rPr>
              <w:t>falls "Nichtanerkennung/Moratorium" anwendbar ist:</w:t>
            </w:r>
            <w:r w:rsidRPr="002F517B">
              <w:rPr>
                <w:bCs/>
                <w:lang w:val="de-DE"/>
              </w:rPr>
              <w:t xml:space="preserve"> </w:t>
            </w:r>
            <w:r w:rsidRPr="00792D61">
              <w:rPr>
                <w:b/>
                <w:bCs/>
                <w:lang w:val="de-DE"/>
              </w:rPr>
              <w:t>[</w:t>
            </w:r>
            <w:r w:rsidRPr="002F517B">
              <w:rPr>
                <w:bCs/>
                <w:lang w:val="de-DE"/>
              </w:rPr>
              <w:t>und</w:t>
            </w:r>
            <w:r w:rsidRPr="00792D61">
              <w:rPr>
                <w:b/>
                <w:bCs/>
                <w:lang w:val="de-DE"/>
              </w:rPr>
              <w:t>]</w:t>
            </w:r>
            <w:r w:rsidRPr="002F517B">
              <w:rPr>
                <w:bCs/>
                <w:lang w:val="de-DE"/>
              </w:rPr>
              <w:t xml:space="preserve"> </w:t>
            </w:r>
            <w:r w:rsidRPr="00792D61">
              <w:rPr>
                <w:b/>
                <w:bCs/>
                <w:lang w:val="de-DE"/>
              </w:rPr>
              <w:t>[</w:t>
            </w:r>
            <w:r w:rsidRPr="002F517B">
              <w:rPr>
                <w:bCs/>
                <w:lang w:val="de-DE"/>
              </w:rPr>
              <w:t>(b)</w:t>
            </w:r>
            <w:r w:rsidRPr="00792D61">
              <w:rPr>
                <w:b/>
                <w:bCs/>
                <w:lang w:val="de-DE"/>
              </w:rPr>
              <w:t>]</w:t>
            </w:r>
            <w:r w:rsidRPr="002F517B">
              <w:rPr>
                <w:bCs/>
                <w:lang w:val="de-DE"/>
              </w:rPr>
              <w:t xml:space="preserve"> </w:t>
            </w:r>
            <w:r w:rsidRPr="00792D61">
              <w:rPr>
                <w:b/>
                <w:bCs/>
                <w:lang w:val="de-DE"/>
              </w:rPr>
              <w:t>[</w:t>
            </w:r>
            <w:r w:rsidRPr="002F517B">
              <w:rPr>
                <w:bCs/>
                <w:lang w:val="de-DE"/>
              </w:rPr>
              <w:t>(c)</w:t>
            </w:r>
            <w:r w:rsidRPr="00792D61">
              <w:rPr>
                <w:b/>
                <w:bCs/>
                <w:lang w:val="de-DE"/>
              </w:rPr>
              <w:t>]</w:t>
            </w:r>
            <w:r w:rsidRPr="002F517B">
              <w:rPr>
                <w:bCs/>
                <w:lang w:val="de-DE"/>
              </w:rPr>
              <w:t xml:space="preserve"> dem Nichtanerkennungs-/Moratoriumsbewertungstag</w:t>
            </w:r>
            <w:r w:rsidRPr="00792D61">
              <w:rPr>
                <w:b/>
                <w:bCs/>
                <w:lang w:val="de-DE"/>
              </w:rPr>
              <w:t>]</w:t>
            </w:r>
            <w:r w:rsidRPr="002F517B">
              <w:rPr>
                <w:bCs/>
                <w:lang w:val="de-DE"/>
              </w:rPr>
              <w:t xml:space="preserve"> eintritt.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pPr>
            <w:r w:rsidRPr="000A1CDE">
              <w:t>Failure to Pay</w:t>
            </w:r>
            <w:r>
              <w:fldChar w:fldCharType="begin"/>
            </w:r>
            <w:r>
              <w:instrText xml:space="preserve"> XE "</w:instrText>
            </w:r>
            <w:r w:rsidRPr="00761957">
              <w:instrText>Failure to Pay</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0A1CDE" w:rsidP="00320AEA">
            <w:pPr>
              <w:pStyle w:val="CSBody8pt"/>
            </w:pPr>
            <w:r w:rsidRPr="000A1CDE">
              <w:t>has the meaning assigned to such term in subsection C.5 of Section 1.1.</w:t>
            </w:r>
          </w:p>
        </w:tc>
        <w:tc>
          <w:tcPr>
            <w:tcW w:w="1618" w:type="dxa"/>
            <w:gridSpan w:val="2"/>
            <w:tcBorders>
              <w:top w:val="nil"/>
              <w:bottom w:val="nil"/>
              <w:right w:val="nil"/>
            </w:tcBorders>
            <w:shd w:val="clear" w:color="auto" w:fill="auto"/>
          </w:tcPr>
          <w:p w:rsidR="0017135D" w:rsidRPr="000A1CDE" w:rsidP="00320AEA">
            <w:pPr>
              <w:pStyle w:val="CSBody8pt"/>
            </w:pPr>
            <w:r w:rsidRPr="000A1CDE">
              <w:t>Nichtzahlung</w:t>
            </w:r>
            <w:r>
              <w:fldChar w:fldCharType="begin"/>
            </w:r>
            <w:r>
              <w:instrText xml:space="preserve"> XE "</w:instrText>
            </w:r>
            <w:r w:rsidRPr="00B40CED">
              <w:instrText>Nichtzahlung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2F517B" w:rsidP="00320AEA">
            <w:pPr>
              <w:pStyle w:val="CSBody8pt"/>
              <w:rPr>
                <w:lang w:val="de-DE"/>
              </w:rPr>
            </w:pPr>
            <w:r w:rsidRPr="000A1CDE">
              <w:rPr>
                <w:lang w:val="de-DE"/>
              </w:rPr>
              <w:t>hat die diesem Begriff in Unterabschnitt C.5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pPr>
            <w:r w:rsidRPr="000A1CDE">
              <w:t>Fallback Settlement Event</w:t>
            </w:r>
            <w:r>
              <w:fldChar w:fldCharType="begin"/>
            </w:r>
            <w:r>
              <w:instrText xml:space="preserve"> XE "</w:instrText>
            </w:r>
            <w:r w:rsidRPr="00C95333">
              <w:instrText>Fallback Settlement Event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0A1CDE" w:rsidP="00320AEA">
            <w:pPr>
              <w:pStyle w:val="CSBody8pt"/>
            </w:pPr>
            <w:r w:rsidRPr="000A1CDE">
              <w:t>has the meaning assigned to such term in subsection C.4 of Section 1.1.</w:t>
            </w:r>
          </w:p>
        </w:tc>
        <w:tc>
          <w:tcPr>
            <w:tcW w:w="1618" w:type="dxa"/>
            <w:gridSpan w:val="2"/>
            <w:tcBorders>
              <w:top w:val="nil"/>
              <w:bottom w:val="nil"/>
              <w:right w:val="nil"/>
            </w:tcBorders>
            <w:shd w:val="clear" w:color="auto" w:fill="auto"/>
          </w:tcPr>
          <w:p w:rsidR="0017135D" w:rsidRPr="000A1CDE" w:rsidP="00320AEA">
            <w:pPr>
              <w:pStyle w:val="CSBody8pt"/>
            </w:pPr>
            <w:r w:rsidRPr="000A1CDE">
              <w:t>Ereignis der Alternativen Abwicklung</w:t>
            </w:r>
            <w:r>
              <w:fldChar w:fldCharType="begin"/>
            </w:r>
            <w:r>
              <w:instrText xml:space="preserve"> XE "</w:instrText>
            </w:r>
            <w:r w:rsidRPr="0023007E">
              <w:instrText>Ereignis der Alternativen Abwicklung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2F517B" w:rsidP="00320AEA">
            <w:pPr>
              <w:pStyle w:val="CSBody8pt"/>
              <w:rPr>
                <w:lang w:val="de-DE"/>
              </w:rPr>
            </w:pPr>
            <w:r w:rsidRPr="000A1CDE">
              <w:rPr>
                <w:lang w:val="de-DE"/>
              </w:rPr>
              <w:t>hat die diesem Begriff in Unterabschnitt C.4 von Ziffer 1.1. zugewiesene Bedeutung.</w:t>
            </w:r>
          </w:p>
        </w:tc>
      </w:tr>
      <w:tr w:rsidTr="004C1EBA">
        <w:tblPrEx>
          <w:tblW w:w="4999" w:type="pct"/>
          <w:tblLayout w:type="fixed"/>
          <w:tblCellMar>
            <w:left w:w="115" w:type="dxa"/>
            <w:right w:w="115" w:type="dxa"/>
          </w:tblCellMar>
          <w:tblLook w:val="04A0"/>
        </w:tblPrEx>
        <w:trPr>
          <w:trHeight w:val="2364"/>
        </w:trPr>
        <w:tc>
          <w:tcPr>
            <w:tcW w:w="1616" w:type="dxa"/>
            <w:gridSpan w:val="3"/>
            <w:tcBorders>
              <w:top w:val="nil"/>
              <w:left w:val="nil"/>
              <w:right w:val="nil"/>
            </w:tcBorders>
            <w:shd w:val="clear" w:color="auto" w:fill="auto"/>
          </w:tcPr>
          <w:p w:rsidR="0017135D" w:rsidRPr="002F517B" w:rsidP="00320AEA">
            <w:pPr>
              <w:pStyle w:val="CSBody8ptbolditalics"/>
            </w:pPr>
            <w:r w:rsidRPr="00792D61">
              <w:t>[</w:t>
            </w:r>
            <w:r w:rsidRPr="002F517B">
              <w:t>if M(M)R Restructuring is applicable, insert:</w:t>
            </w:r>
          </w:p>
          <w:p w:rsidR="0017135D" w:rsidRPr="002F517B" w:rsidP="00320AEA">
            <w:pPr>
              <w:pStyle w:val="CSBody8pt"/>
            </w:pPr>
            <w:r w:rsidRPr="000A1CDE">
              <w:t>Final List</w:t>
            </w:r>
            <w:r>
              <w:fldChar w:fldCharType="begin"/>
            </w:r>
            <w:r>
              <w:instrText xml:space="preserve"> XE "</w:instrText>
            </w:r>
            <w:r w:rsidRPr="00C238DD">
              <w:instrText>Final List</w:instrText>
            </w:r>
            <w:r>
              <w:instrText xml:space="preserve">" \f "EN" </w:instrText>
            </w:r>
            <w:r>
              <w:fldChar w:fldCharType="end"/>
            </w:r>
          </w:p>
        </w:tc>
        <w:tc>
          <w:tcPr>
            <w:tcW w:w="3315" w:type="dxa"/>
            <w:gridSpan w:val="2"/>
            <w:tcBorders>
              <w:top w:val="nil"/>
              <w:left w:val="nil"/>
            </w:tcBorders>
            <w:shd w:val="clear" w:color="auto" w:fill="auto"/>
          </w:tcPr>
          <w:p w:rsidR="0017135D" w:rsidRPr="002F517B" w:rsidP="00320AEA">
            <w:pPr>
              <w:pStyle w:val="CSBody8pt"/>
            </w:pPr>
            <w:r w:rsidRPr="00792D61">
              <w:rPr>
                <w:b/>
              </w:rPr>
              <w:t>[</w:t>
            </w:r>
            <w:r w:rsidRPr="00320AEA">
              <w:rPr>
                <w:b/>
                <w:i/>
              </w:rPr>
              <w:t>if a Basket is applicable or in the case of Complex Products with N</w:t>
            </w:r>
            <w:r w:rsidRPr="00BD6E0D">
              <w:rPr>
                <w:b/>
                <w:i/>
                <w:vertAlign w:val="superscript"/>
              </w:rPr>
              <w:t>th</w:t>
            </w:r>
            <w:r w:rsidRPr="00320AEA">
              <w:rPr>
                <w:b/>
                <w:i/>
              </w:rPr>
              <w:t>-to-Default structure, insert:</w:t>
            </w:r>
            <w:r w:rsidRPr="002F517B">
              <w:t xml:space="preserve"> with respect to any Reference Entity,</w:t>
            </w:r>
            <w:r w:rsidRPr="00792D61">
              <w:rPr>
                <w:b/>
              </w:rPr>
              <w:t>]</w:t>
            </w:r>
            <w:r w:rsidRPr="002F517B">
              <w:t xml:space="preserve"> the final list of deliverable obligations prepared and published by ISDA in connection with an Auction </w:t>
            </w:r>
            <w:r w:rsidRPr="00792D61">
              <w:rPr>
                <w:b/>
              </w:rPr>
              <w:t>[</w:t>
            </w:r>
            <w:r w:rsidRPr="00320AEA">
              <w:rPr>
                <w:b/>
                <w:i/>
              </w:rPr>
              <w:t>if a Basket is applicable or in the case of Complex Products with N</w:t>
            </w:r>
            <w:r w:rsidRPr="00BD6E0D">
              <w:rPr>
                <w:b/>
                <w:i/>
                <w:vertAlign w:val="superscript"/>
              </w:rPr>
              <w:t>th</w:t>
            </w:r>
            <w:r w:rsidRPr="00320AEA">
              <w:rPr>
                <w:b/>
                <w:i/>
              </w:rPr>
              <w:t>-to-Default structure, insert:</w:t>
            </w:r>
            <w:r w:rsidRPr="002F517B">
              <w:t xml:space="preserve"> in relation to such Reference Entity</w:t>
            </w:r>
            <w:r w:rsidRPr="00792D61">
              <w:rPr>
                <w:b/>
              </w:rPr>
              <w:t>]</w:t>
            </w:r>
            <w:r w:rsidRPr="002F517B">
              <w:t>.</w:t>
            </w:r>
            <w:r w:rsidRPr="00792D61">
              <w:rPr>
                <w:b/>
              </w:rPr>
              <w:t>]</w:t>
            </w:r>
          </w:p>
        </w:tc>
        <w:tc>
          <w:tcPr>
            <w:tcW w:w="1618" w:type="dxa"/>
            <w:gridSpan w:val="2"/>
            <w:tcBorders>
              <w:top w:val="nil"/>
              <w:right w:val="nil"/>
            </w:tcBorders>
            <w:shd w:val="clear" w:color="auto" w:fill="auto"/>
          </w:tcPr>
          <w:p w:rsidR="0017135D" w:rsidRPr="002F517B" w:rsidP="00320AEA">
            <w:pPr>
              <w:pStyle w:val="CSBody8ptbolditalics"/>
              <w:rPr>
                <w:lang w:val="de-DE"/>
              </w:rPr>
            </w:pPr>
            <w:r w:rsidRPr="00792D61">
              <w:rPr>
                <w:lang w:val="de-DE"/>
              </w:rPr>
              <w:t>[</w:t>
            </w:r>
            <w:r w:rsidRPr="002F517B">
              <w:rPr>
                <w:lang w:val="de-DE"/>
              </w:rPr>
              <w:t>falls M(M)R-Restrukturierung anwendbar ist, einfügen:</w:t>
            </w:r>
          </w:p>
          <w:p w:rsidR="0017135D" w:rsidRPr="002F517B" w:rsidP="00320AEA">
            <w:pPr>
              <w:pStyle w:val="CSBody8pt"/>
              <w:rPr>
                <w:lang w:val="de-DE"/>
              </w:rPr>
            </w:pPr>
            <w:r w:rsidRPr="000A1CDE">
              <w:t>Abschliessende Liste</w:t>
            </w:r>
            <w:r>
              <w:fldChar w:fldCharType="begin"/>
            </w:r>
            <w:r>
              <w:instrText xml:space="preserve"> XE "</w:instrText>
            </w:r>
            <w:r w:rsidRPr="009152E1">
              <w:instrText>Abschliessende Liste</w:instrText>
            </w:r>
            <w:r>
              <w:instrText xml:space="preserve">" </w:instrText>
            </w:r>
            <w:r>
              <w:fldChar w:fldCharType="end"/>
            </w:r>
          </w:p>
        </w:tc>
        <w:tc>
          <w:tcPr>
            <w:tcW w:w="3318" w:type="dxa"/>
            <w:tcBorders>
              <w:top w:val="nil"/>
              <w:left w:val="nil"/>
              <w:right w:val="nil"/>
            </w:tcBorders>
            <w:shd w:val="clear" w:color="auto" w:fill="auto"/>
          </w:tcPr>
          <w:p w:rsidR="0017135D" w:rsidRPr="002F517B" w:rsidP="00320AEA">
            <w:pPr>
              <w:pStyle w:val="CSBody8pt"/>
              <w:rPr>
                <w:bCs/>
                <w:lang w:val="de-DE"/>
              </w:rPr>
            </w:pPr>
            <w:r w:rsidRPr="00792D61">
              <w:rPr>
                <w:b/>
                <w:bCs/>
                <w:lang w:val="de-DE"/>
              </w:rPr>
              <w:t>[</w:t>
            </w:r>
            <w:r w:rsidRPr="00320AEA">
              <w:rPr>
                <w:b/>
                <w:bCs/>
                <w:i/>
                <w:lang w:val="de-DE"/>
              </w:rPr>
              <w:t>falls ein Korb anwendbar ist oder bei Komplexen Produkten mit N</w:t>
            </w:r>
            <w:r w:rsidRPr="00BD6E0D">
              <w:rPr>
                <w:b/>
                <w:i/>
                <w:vertAlign w:val="superscript"/>
                <w:lang w:val="de-DE"/>
              </w:rPr>
              <w:t>th</w:t>
            </w:r>
            <w:r w:rsidRPr="00320AEA">
              <w:rPr>
                <w:b/>
                <w:bCs/>
                <w:i/>
                <w:lang w:val="de-DE"/>
              </w:rPr>
              <w:t xml:space="preserve">-to-Default-Struktur, einfügen: </w:t>
            </w:r>
            <w:r w:rsidRPr="002F517B">
              <w:rPr>
                <w:bCs/>
                <w:lang w:val="de-DE"/>
              </w:rPr>
              <w:t>in Bezug auf einen Referenzschuldner</w:t>
            </w:r>
            <w:r w:rsidRPr="00792D61">
              <w:rPr>
                <w:b/>
                <w:bCs/>
                <w:lang w:val="de-DE"/>
              </w:rPr>
              <w:t>]</w:t>
            </w:r>
            <w:r w:rsidRPr="002F517B">
              <w:rPr>
                <w:bCs/>
                <w:lang w:val="de-DE"/>
              </w:rPr>
              <w:t xml:space="preserve"> die im Zusammenhang mit einer Auktion </w:t>
            </w:r>
            <w:r w:rsidRPr="00792D61">
              <w:rPr>
                <w:b/>
                <w:bCs/>
                <w:lang w:val="de-DE"/>
              </w:rPr>
              <w:t>[</w:t>
            </w:r>
            <w:r w:rsidRPr="00320AEA">
              <w:rPr>
                <w:b/>
                <w:bCs/>
                <w:i/>
                <w:lang w:val="de-DE"/>
              </w:rPr>
              <w:t>falls ein Korb anwendbar ist oder bei Komplexen Produkten mit N</w:t>
            </w:r>
            <w:r w:rsidRPr="00BD6E0D">
              <w:rPr>
                <w:b/>
                <w:i/>
                <w:vertAlign w:val="superscript"/>
                <w:lang w:val="de-DE"/>
              </w:rPr>
              <w:t>th</w:t>
            </w:r>
            <w:r w:rsidRPr="00320AEA">
              <w:rPr>
                <w:b/>
                <w:bCs/>
                <w:i/>
                <w:lang w:val="de-DE"/>
              </w:rPr>
              <w:t>-to-Default-Struktur, einfügen:</w:t>
            </w:r>
            <w:r w:rsidRPr="002F517B">
              <w:rPr>
                <w:bCs/>
                <w:lang w:val="de-DE"/>
              </w:rPr>
              <w:t xml:space="preserve"> in Bezug auf diesen Referenzschuldner</w:t>
            </w:r>
            <w:r w:rsidRPr="00792D61">
              <w:rPr>
                <w:b/>
                <w:bCs/>
                <w:lang w:val="de-DE"/>
              </w:rPr>
              <w:t>]</w:t>
            </w:r>
            <w:r w:rsidRPr="002F517B">
              <w:rPr>
                <w:bCs/>
                <w:lang w:val="de-DE"/>
              </w:rPr>
              <w:t xml:space="preserve"> von der ISDA erstellte und veröffentlichte abschliessende Liste der lieferbaren Verbindlichkeiten.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pPr>
            <w:r w:rsidRPr="000A1CDE">
              <w:t>Final Price</w:t>
            </w:r>
            <w:r>
              <w:fldChar w:fldCharType="begin"/>
            </w:r>
            <w:r>
              <w:instrText xml:space="preserve"> XE "</w:instrText>
            </w:r>
            <w:r w:rsidRPr="00A965E9">
              <w:instrText>Final Price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0A1CDE" w:rsidP="004C1EBA">
            <w:pPr>
              <w:pStyle w:val="CSBody8pt"/>
            </w:pPr>
            <w:r w:rsidRPr="000A1CDE">
              <w:t xml:space="preserve">the price of </w:t>
            </w:r>
            <w:r w:rsidRPr="00792D61">
              <w:rPr>
                <w:b/>
              </w:rPr>
              <w:t>[</w:t>
            </w:r>
            <w:r w:rsidRPr="000A1CDE">
              <w:t>the Reference Obligation or of</w:t>
            </w:r>
            <w:r w:rsidRPr="00792D61">
              <w:rPr>
                <w:b/>
              </w:rPr>
              <w:t>]</w:t>
            </w:r>
            <w:r w:rsidRPr="000A1CDE">
              <w:t xml:space="preserve"> a Valuation Obligation </w:t>
            </w:r>
            <w:r w:rsidRPr="00792D61">
              <w:rPr>
                <w:b/>
              </w:rPr>
              <w:t>[</w:t>
            </w:r>
            <w:r w:rsidRPr="000A1CDE">
              <w:rPr>
                <w:b/>
                <w:i/>
              </w:rPr>
              <w:t>in case of Complex Products with N</w:t>
            </w:r>
            <w:r w:rsidRPr="00BD6E0D">
              <w:rPr>
                <w:b/>
                <w:i/>
                <w:vertAlign w:val="superscript"/>
              </w:rPr>
              <w:t>th</w:t>
            </w:r>
            <w:r w:rsidRPr="000A1CDE">
              <w:rPr>
                <w:b/>
                <w:i/>
              </w:rPr>
              <w:t>-to Default Structure:</w:t>
            </w:r>
            <w:r w:rsidRPr="000A1CDE">
              <w:t xml:space="preserve"> of the </w:t>
            </w:r>
            <w:r w:rsidRPr="00792D61">
              <w:rPr>
                <w:b/>
              </w:rPr>
              <w:t>[</w:t>
            </w:r>
            <w:r w:rsidRPr="000A1CDE">
              <w:rPr>
                <w:b/>
                <w:i/>
              </w:rPr>
              <w:t xml:space="preserve">insert relevant number: </w:t>
            </w:r>
            <w:r w:rsidRPr="00792D61">
              <w:rPr>
                <w:b/>
              </w:rPr>
              <w:t>[</w:t>
            </w:r>
            <w:r w:rsidRPr="000A1CDE">
              <w:t>1st</w:t>
            </w:r>
            <w:r w:rsidRPr="00792D61">
              <w:rPr>
                <w:b/>
              </w:rPr>
              <w:t>][</w:t>
            </w:r>
            <w:r w:rsidRPr="000A1CDE">
              <w:t>2nd</w:t>
            </w:r>
            <w:r w:rsidRPr="00792D61">
              <w:rPr>
                <w:b/>
              </w:rPr>
              <w:t>][</w:t>
            </w:r>
            <w:r w:rsidRPr="000A1CDE">
              <w:t>3rd</w:t>
            </w:r>
            <w:r w:rsidRPr="00792D61">
              <w:rPr>
                <w:b/>
              </w:rPr>
              <w:t>]</w:t>
            </w:r>
            <w:r w:rsidRPr="000A1CDE">
              <w:t xml:space="preserve"> </w:t>
            </w:r>
            <w:r w:rsidRPr="00792D61">
              <w:rPr>
                <w:b/>
              </w:rPr>
              <w:t>[[</w:t>
            </w:r>
            <w:r w:rsidRPr="000A1CDE">
              <w:rPr>
                <w:rFonts w:ascii="Arial" w:hAnsi="Arial" w:cs="Arial"/>
              </w:rPr>
              <w:t>●</w:t>
            </w:r>
            <w:r w:rsidRPr="00792D61">
              <w:rPr>
                <w:b/>
              </w:rPr>
              <w:t>]]]</w:t>
            </w:r>
            <w:r w:rsidRPr="000A1CDE">
              <w:t>-to-Default Reference Entity</w:t>
            </w:r>
            <w:r w:rsidRPr="00792D61">
              <w:rPr>
                <w:b/>
              </w:rPr>
              <w:t>]</w:t>
            </w:r>
            <w:r w:rsidRPr="000A1CDE">
              <w:t xml:space="preserve"> </w:t>
            </w:r>
            <w:r w:rsidRPr="00792D61">
              <w:rPr>
                <w:b/>
              </w:rPr>
              <w:t>[</w:t>
            </w:r>
            <w:r w:rsidRPr="000A1CDE">
              <w:rPr>
                <w:b/>
                <w:i/>
              </w:rPr>
              <w:t>if a Basket is applicable, insert:</w:t>
            </w:r>
            <w:r w:rsidRPr="000A1CDE">
              <w:t xml:space="preserve"> of the Affected Reference Entity</w:t>
            </w:r>
            <w:r w:rsidRPr="00792D61">
              <w:rPr>
                <w:b/>
              </w:rPr>
              <w:t>]</w:t>
            </w:r>
            <w:r w:rsidRPr="000A1CDE">
              <w:t xml:space="preserve">, as selected by the Calculation Agent, expressed as a percentage of its Outstanding Principal </w:t>
            </w:r>
            <w:r>
              <w:t>Balance</w:t>
            </w:r>
            <w:r w:rsidRPr="000A1CDE">
              <w:t xml:space="preserve"> or Due and Payable Amount, as applicable, determined in accordance with the Valuation Method. </w:t>
            </w:r>
            <w:r w:rsidRPr="00792D61">
              <w:rPr>
                <w:b/>
                <w:i/>
              </w:rPr>
              <w:t>[</w:t>
            </w:r>
            <w:r w:rsidRPr="00EB3849">
              <w:rPr>
                <w:b/>
                <w:i/>
              </w:rPr>
              <w:t>if Asset Package Valuation is applicable, insert:</w:t>
            </w:r>
            <w:r>
              <w:t xml:space="preserve"> </w:t>
            </w:r>
            <w:r w:rsidRPr="00EB3849">
              <w:t xml:space="preserve">In respect of an Asset Package, the Calculation Agent shall use its reasonable endeavours to determine the aggregate price of all assets contained in the Asset Package in accordance with the Valuation Method and as a percentage of the Outstanding Principal </w:t>
            </w:r>
            <w:r>
              <w:t>Balance</w:t>
            </w:r>
            <w:r w:rsidRPr="00EB3849">
              <w:t xml:space="preserve"> or Due and Payable Amount of the relevant Prior Reference Obligation held by the Relevant Holder immediately prior to the relevant Asset Package Credit Event. If the Calculation Agent is unable to determine the price of the Asset Package in accordance with the preceding sentence, the Calculation Agent shall determine the price by reference to a specialist valuation or in accordance with the methodology determined by the Credit Derivatives Determi-nations Committee.</w:t>
            </w:r>
            <w:r w:rsidRPr="00792D61">
              <w:rPr>
                <w:b/>
              </w:rPr>
              <w:t>]</w:t>
            </w:r>
            <w:r w:rsidRPr="00EB3849">
              <w:t xml:space="preserve"> </w:t>
            </w:r>
            <w:r w:rsidRPr="000A1CDE">
              <w:t>The Calculation Agent shall, as soon as practicable after obtaining all Quotations for a Valuation Date</w:t>
            </w:r>
            <w:r w:rsidR="0079644C">
              <w:t>, upon request</w:t>
            </w:r>
            <w:r w:rsidRPr="000A1CDE">
              <w:t xml:space="preserve"> notify the Holders of each such Quotation that it receives in connection with the calculation of the Final Price and shall</w:t>
            </w:r>
            <w:r w:rsidR="0079644C">
              <w:t>, upon request</w:t>
            </w:r>
            <w:r w:rsidRPr="000A1CDE">
              <w:t xml:space="preserve"> provide to the Holders a computation showing its calculation of the Final Price.</w:t>
            </w:r>
          </w:p>
        </w:tc>
        <w:tc>
          <w:tcPr>
            <w:tcW w:w="1618" w:type="dxa"/>
            <w:gridSpan w:val="2"/>
            <w:tcBorders>
              <w:top w:val="nil"/>
              <w:bottom w:val="nil"/>
              <w:right w:val="nil"/>
            </w:tcBorders>
            <w:shd w:val="clear" w:color="auto" w:fill="auto"/>
          </w:tcPr>
          <w:p w:rsidR="0017135D" w:rsidRPr="000A1CDE" w:rsidP="00320AEA">
            <w:pPr>
              <w:pStyle w:val="CSBody8pt"/>
            </w:pPr>
            <w:r w:rsidRPr="000A1CDE">
              <w:t>Endpreis</w:t>
            </w:r>
            <w:r>
              <w:fldChar w:fldCharType="begin"/>
            </w:r>
            <w:r>
              <w:instrText xml:space="preserve"> XE "</w:instrText>
            </w:r>
            <w:r w:rsidRPr="004D0A74">
              <w:instrText>Endpreis</w:instrText>
            </w:r>
            <w:r>
              <w:instrText xml:space="preserve">" </w:instrText>
            </w:r>
            <w:r>
              <w:fldChar w:fldCharType="end"/>
            </w:r>
          </w:p>
        </w:tc>
        <w:tc>
          <w:tcPr>
            <w:tcW w:w="3318" w:type="dxa"/>
            <w:tcBorders>
              <w:top w:val="nil"/>
              <w:left w:val="nil"/>
              <w:bottom w:val="nil"/>
              <w:right w:val="nil"/>
            </w:tcBorders>
            <w:shd w:val="clear" w:color="auto" w:fill="auto"/>
          </w:tcPr>
          <w:p w:rsidR="0017135D" w:rsidRPr="000A1CDE" w:rsidP="00320AEA">
            <w:pPr>
              <w:pStyle w:val="CSBody8pt"/>
              <w:rPr>
                <w:lang w:val="de-DE"/>
              </w:rPr>
            </w:pPr>
            <w:r w:rsidRPr="000A1CDE">
              <w:rPr>
                <w:lang w:val="de-DE"/>
              </w:rPr>
              <w:t xml:space="preserve">der in Prozent seines Ausstehenden Kapitalbetrags bzw. Fälligen und Zahlbaren Betrags ausgedrückte und gemäss der Bewertungsmethode bestimmte Preis </w:t>
            </w:r>
            <w:r w:rsidRPr="00792D61">
              <w:rPr>
                <w:b/>
                <w:lang w:val="de-DE"/>
              </w:rPr>
              <w:t>[</w:t>
            </w:r>
            <w:r w:rsidRPr="000A1CDE">
              <w:rPr>
                <w:lang w:val="de-DE"/>
              </w:rPr>
              <w:t>der Referenzverbindlichkeit oder</w:t>
            </w:r>
            <w:r w:rsidRPr="00792D61">
              <w:rPr>
                <w:b/>
                <w:lang w:val="de-DE"/>
              </w:rPr>
              <w:t>]</w:t>
            </w:r>
            <w:r w:rsidRPr="000A1CDE">
              <w:rPr>
                <w:lang w:val="de-DE"/>
              </w:rPr>
              <w:t xml:space="preserve"> einer Bewertungsverbindlichkeit </w:t>
            </w:r>
            <w:r w:rsidRPr="00792D61">
              <w:rPr>
                <w:b/>
                <w:lang w:val="de-DE"/>
              </w:rPr>
              <w:t>[</w:t>
            </w:r>
            <w:r w:rsidRPr="000A1CDE">
              <w:rPr>
                <w:b/>
                <w:i/>
                <w:lang w:val="de-DE"/>
              </w:rPr>
              <w:t>bei Komplexen Produkten mit N</w:t>
            </w:r>
            <w:r w:rsidRPr="00BD6E0D">
              <w:rPr>
                <w:b/>
                <w:i/>
                <w:vertAlign w:val="superscript"/>
                <w:lang w:val="de-DE"/>
              </w:rPr>
              <w:t>th</w:t>
            </w:r>
            <w:r w:rsidRPr="000A1CDE">
              <w:rPr>
                <w:b/>
                <w:i/>
                <w:lang w:val="de-DE"/>
              </w:rPr>
              <w:t>-to Default Struktur</w:t>
            </w:r>
            <w:r w:rsidRPr="000A1CDE">
              <w:rPr>
                <w:lang w:val="de-DE"/>
              </w:rPr>
              <w:t xml:space="preserve">: des </w:t>
            </w:r>
            <w:r w:rsidRPr="00792D61">
              <w:rPr>
                <w:b/>
                <w:lang w:val="de-DE"/>
              </w:rPr>
              <w:t>[</w:t>
            </w:r>
            <w:r w:rsidRPr="000A1CDE">
              <w:rPr>
                <w:b/>
                <w:i/>
                <w:lang w:val="de-DE"/>
              </w:rPr>
              <w:t xml:space="preserve">jeweilige Zahl einfügen: </w:t>
            </w:r>
            <w:r w:rsidRPr="00792D61">
              <w:rPr>
                <w:b/>
                <w:lang w:val="de-DE"/>
              </w:rPr>
              <w:t>[</w:t>
            </w:r>
            <w:r w:rsidRPr="000A1CDE">
              <w:rPr>
                <w:lang w:val="de-DE"/>
              </w:rPr>
              <w:t>1st</w:t>
            </w:r>
            <w:r w:rsidRPr="00792D61">
              <w:rPr>
                <w:b/>
                <w:lang w:val="de-DE"/>
              </w:rPr>
              <w:t>][</w:t>
            </w:r>
            <w:r w:rsidRPr="000A1CDE">
              <w:rPr>
                <w:lang w:val="de-DE"/>
              </w:rPr>
              <w:t>2nd</w:t>
            </w:r>
            <w:r w:rsidRPr="00792D61">
              <w:rPr>
                <w:b/>
                <w:lang w:val="de-DE"/>
              </w:rPr>
              <w:t>][</w:t>
            </w:r>
            <w:r w:rsidRPr="000A1CDE">
              <w:rPr>
                <w:lang w:val="de-DE"/>
              </w:rPr>
              <w:t>3rd</w:t>
            </w:r>
            <w:r w:rsidRPr="00792D61">
              <w:rPr>
                <w:b/>
                <w:lang w:val="de-DE"/>
              </w:rPr>
              <w:t>][[</w:t>
            </w:r>
            <w:r w:rsidRPr="000A1CDE">
              <w:rPr>
                <w:rFonts w:ascii="Arial" w:hAnsi="Arial" w:cs="Arial"/>
                <w:lang w:val="de-DE"/>
              </w:rPr>
              <w:t>●</w:t>
            </w:r>
            <w:r w:rsidRPr="00792D61">
              <w:rPr>
                <w:b/>
                <w:lang w:val="de-DE"/>
              </w:rPr>
              <w:t>]]]</w:t>
            </w:r>
            <w:r w:rsidRPr="000A1CDE">
              <w:rPr>
                <w:lang w:val="de-DE"/>
              </w:rPr>
              <w:t xml:space="preserve">-to-Default-Referenzschuldners </w:t>
            </w:r>
            <w:r w:rsidRPr="00792D61">
              <w:rPr>
                <w:b/>
                <w:lang w:val="de-DE"/>
              </w:rPr>
              <w:t>[</w:t>
            </w:r>
            <w:r w:rsidRPr="000A1CDE">
              <w:rPr>
                <w:b/>
                <w:i/>
                <w:lang w:val="de-DE"/>
              </w:rPr>
              <w:t>falls ein Korb anwendbar ist, einf</w:t>
            </w:r>
            <w:r w:rsidRPr="000A1CDE">
              <w:rPr>
                <w:rFonts w:cs="Credit Suisse Type Light"/>
                <w:b/>
                <w:i/>
                <w:lang w:val="de-DE"/>
              </w:rPr>
              <w:t>ü</w:t>
            </w:r>
            <w:r w:rsidRPr="000A1CDE">
              <w:rPr>
                <w:b/>
                <w:i/>
                <w:lang w:val="de-DE"/>
              </w:rPr>
              <w:t>gen:</w:t>
            </w:r>
            <w:r w:rsidRPr="000A1CDE">
              <w:rPr>
                <w:lang w:val="de-DE"/>
              </w:rPr>
              <w:t xml:space="preserve"> des Betroffenen Referenzschuldners</w:t>
            </w:r>
            <w:r w:rsidRPr="00792D61">
              <w:rPr>
                <w:b/>
                <w:lang w:val="de-DE"/>
              </w:rPr>
              <w:t>]</w:t>
            </w:r>
            <w:r w:rsidRPr="000A1CDE">
              <w:rPr>
                <w:lang w:val="de-DE"/>
              </w:rPr>
              <w:t>, wie von der Berechnungsstelle ausgew</w:t>
            </w:r>
            <w:r w:rsidRPr="000A1CDE">
              <w:rPr>
                <w:rFonts w:cs="Credit Suisse Type Light"/>
                <w:lang w:val="de-DE"/>
              </w:rPr>
              <w:t>ä</w:t>
            </w:r>
            <w:r w:rsidRPr="000A1CDE">
              <w:rPr>
                <w:lang w:val="de-DE"/>
              </w:rPr>
              <w:t>hlt.</w:t>
            </w:r>
            <w:r>
              <w:rPr>
                <w:lang w:val="de-DE"/>
              </w:rPr>
              <w:t xml:space="preserve"> </w:t>
            </w:r>
            <w:r w:rsidRPr="00792D61">
              <w:rPr>
                <w:b/>
                <w:lang w:val="de-DE"/>
              </w:rPr>
              <w:t>[</w:t>
            </w:r>
            <w:r w:rsidRPr="00EB3849">
              <w:rPr>
                <w:b/>
                <w:i/>
                <w:lang w:val="de-DE"/>
              </w:rPr>
              <w:t>falls Asset-Paket-Bewertung anwendbar ist, einfügen:</w:t>
            </w:r>
            <w:r w:rsidRPr="000A1CDE">
              <w:rPr>
                <w:lang w:val="de-DE"/>
              </w:rPr>
              <w:t xml:space="preserve"> </w:t>
            </w:r>
            <w:r w:rsidRPr="00EB3849">
              <w:rPr>
                <w:lang w:val="de-DE"/>
              </w:rPr>
              <w:t>In Bezug auf ein Asset-Paket wird sich die Berechnungsstelle angemessen bemühen, den Gesamtpreis für alle im Asset-Paket enthaltenen Assets gemäss der Bewertungsmethode zu bestimmen, wobei der Gesamtpreis in Prozent des Ausstehenden Kapitalbetrags bzw. des Fälligen und Zahlb</w:t>
            </w:r>
            <w:r>
              <w:rPr>
                <w:lang w:val="de-DE"/>
              </w:rPr>
              <w:t xml:space="preserve">aren Betrags der massgeblichen </w:t>
            </w:r>
            <w:r w:rsidRPr="00EB3849">
              <w:rPr>
                <w:lang w:val="de-DE"/>
              </w:rPr>
              <w:t>Frü</w:t>
            </w:r>
            <w:r>
              <w:rPr>
                <w:lang w:val="de-DE"/>
              </w:rPr>
              <w:t>heren Bewertungsverbindlichkeit</w:t>
            </w:r>
            <w:r w:rsidRPr="00EB3849">
              <w:rPr>
                <w:lang w:val="de-DE"/>
              </w:rPr>
              <w:t>, die vom Massgeblichen Inhaber unmittelbar vor dem massgeblichen Kreditereignis mit Asset-Paket gehalten wurde, zu ermitteln ist. Ist die Berechnungsstelle nicht in der Lage, den Preis des Asset-Pakets in Übereinstimmung mit dem vorangehenden Satz zu bestimmen, wird die Berechnungsstelle den Preis unter Bezugnahme auf eine Bewertung durch Sachverständige oder in Überinstimmung mit der vom Kreditderivate-Feststellungs-ausschuss b</w:t>
            </w:r>
            <w:r>
              <w:rPr>
                <w:lang w:val="de-DE"/>
              </w:rPr>
              <w:t>eschlossenen Methodik ermitteln</w:t>
            </w:r>
            <w:r w:rsidRPr="00EB3849">
              <w:rPr>
                <w:lang w:val="de-DE"/>
              </w:rPr>
              <w:t>.</w:t>
            </w:r>
            <w:r w:rsidRPr="00792D61">
              <w:rPr>
                <w:b/>
                <w:lang w:val="de-DE"/>
              </w:rPr>
              <w:t>]</w:t>
            </w:r>
            <w:r>
              <w:rPr>
                <w:lang w:val="de-DE"/>
              </w:rPr>
              <w:t xml:space="preserve"> </w:t>
            </w:r>
            <w:r w:rsidRPr="000A1CDE">
              <w:rPr>
                <w:lang w:val="de-DE"/>
              </w:rPr>
              <w:t>Die Berechnungsstelle wird so bald wie möglich nach Einholung aller Quotierungen für einen Bewertungstag jede solche Quotierung, die sie im Zusammenhang mit der Berechnung des Endpreises erhält, den Inhabern</w:t>
            </w:r>
            <w:r w:rsidR="0079644C">
              <w:rPr>
                <w:lang w:val="de-DE"/>
              </w:rPr>
              <w:t xml:space="preserve"> auf Verlangen</w:t>
            </w:r>
            <w:r w:rsidRPr="000A1CDE">
              <w:rPr>
                <w:lang w:val="de-DE"/>
              </w:rPr>
              <w:t xml:space="preserve"> mitteilen und diesen</w:t>
            </w:r>
            <w:r w:rsidR="0079644C">
              <w:rPr>
                <w:lang w:val="de-DE"/>
              </w:rPr>
              <w:t xml:space="preserve"> auf Verlangen</w:t>
            </w:r>
            <w:r w:rsidRPr="000A1CDE">
              <w:rPr>
                <w:lang w:val="de-DE"/>
              </w:rPr>
              <w:t xml:space="preserve"> eine Darstellung ihrer Berechnung des Endpreises zur Verfügung stellen.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pPr>
            <w:r>
              <w:rPr>
                <w:b/>
              </w:rPr>
              <w:t>[</w:t>
            </w:r>
            <w:r>
              <w:rPr>
                <w:b/>
                <w:i/>
              </w:rPr>
              <w:t xml:space="preserve">in case of Credit-Linked Complex Products with LPN Reference Obligation, insert: </w:t>
            </w:r>
            <w:r w:rsidRPr="00284217">
              <w:t>First Ranking Interest</w:t>
            </w:r>
          </w:p>
        </w:tc>
        <w:tc>
          <w:tcPr>
            <w:tcW w:w="3315" w:type="dxa"/>
            <w:gridSpan w:val="2"/>
            <w:tcBorders>
              <w:top w:val="nil"/>
              <w:left w:val="nil"/>
              <w:bottom w:val="nil"/>
            </w:tcBorders>
            <w:shd w:val="clear" w:color="auto" w:fill="auto"/>
          </w:tcPr>
          <w:p w:rsidR="0017135D" w:rsidRPr="00284217" w:rsidP="004C1EBA">
            <w:pPr>
              <w:pStyle w:val="CSBody8pt"/>
              <w:rPr>
                <w:b/>
              </w:rPr>
            </w:pPr>
            <w:r w:rsidRPr="00284217">
              <w:t xml:space="preserve">means a charge, security interest (or other type of interest having similar effect) (an </w:t>
            </w:r>
            <w:r w:rsidR="003B00F3">
              <w:t>"</w:t>
            </w:r>
            <w:r w:rsidRPr="00BD6E0D">
              <w:rPr>
                <w:b/>
              </w:rPr>
              <w:t>Interest</w:t>
            </w:r>
            <w:r w:rsidR="00BF7214">
              <w:t>"</w:t>
            </w:r>
            <w:r w:rsidRPr="00284217">
              <w:t xml:space="preserve">), which is expressed as being </w:t>
            </w:r>
            <w:r w:rsidR="003B00F3">
              <w:t>"</w:t>
            </w:r>
            <w:r w:rsidRPr="00284217">
              <w:t>first ranking</w:t>
            </w:r>
            <w:r w:rsidR="00BF7214">
              <w:t>"</w:t>
            </w:r>
            <w:r w:rsidRPr="00284217">
              <w:t xml:space="preserve">, </w:t>
            </w:r>
            <w:r w:rsidR="003B00F3">
              <w:t>"</w:t>
            </w:r>
            <w:r w:rsidRPr="00284217">
              <w:t>first priority</w:t>
            </w:r>
            <w:r w:rsidR="00BF7214">
              <w:t>"</w:t>
            </w:r>
            <w:r w:rsidRPr="00284217">
              <w:t>, or similar (</w:t>
            </w:r>
            <w:r w:rsidR="003B00F3">
              <w:t>"</w:t>
            </w:r>
            <w:r w:rsidRPr="00BD6E0D">
              <w:rPr>
                <w:b/>
              </w:rPr>
              <w:t>First Ranking</w:t>
            </w:r>
            <w:r w:rsidR="00BF7214">
              <w:t>"</w:t>
            </w:r>
            <w:r w:rsidRPr="00284217">
              <w:t>) in the document creating such Interest (notwithstanding that such Interest may not be First Ranking under any insolvency laws of any relevant insolvency jurisdiction of the Issuer).</w:t>
            </w:r>
            <w:r>
              <w:rPr>
                <w:b/>
              </w:rPr>
              <w:t>]</w:t>
            </w:r>
          </w:p>
        </w:tc>
        <w:tc>
          <w:tcPr>
            <w:tcW w:w="1618" w:type="dxa"/>
            <w:gridSpan w:val="2"/>
            <w:tcBorders>
              <w:top w:val="nil"/>
              <w:bottom w:val="nil"/>
              <w:right w:val="nil"/>
            </w:tcBorders>
            <w:shd w:val="clear" w:color="auto" w:fill="auto"/>
          </w:tcPr>
          <w:p w:rsidR="0017135D" w:rsidRPr="009D08E0" w:rsidP="00320AEA">
            <w:pPr>
              <w:pStyle w:val="CSBody8pt"/>
              <w:rPr>
                <w:lang w:val="de-DE"/>
              </w:rPr>
            </w:pPr>
            <w:r w:rsidRPr="009D08E0">
              <w:rPr>
                <w:b/>
                <w:lang w:val="de-DE"/>
              </w:rPr>
              <w:t>[</w:t>
            </w:r>
            <w:r w:rsidRPr="009D08E0">
              <w:rPr>
                <w:b/>
                <w:i/>
                <w:lang w:val="de-DE"/>
              </w:rPr>
              <w:t xml:space="preserve">bei Kreditbezogenen Komplexen Produkten mit LPN-Referenzverbindlichkeit einfügen: </w:t>
            </w:r>
            <w:r w:rsidRPr="009D08E0">
              <w:rPr>
                <w:lang w:val="de-DE"/>
              </w:rPr>
              <w:t>Erstrangiges Recht</w:t>
            </w:r>
          </w:p>
        </w:tc>
        <w:tc>
          <w:tcPr>
            <w:tcW w:w="3318" w:type="dxa"/>
            <w:tcBorders>
              <w:top w:val="nil"/>
              <w:left w:val="nil"/>
              <w:bottom w:val="nil"/>
              <w:right w:val="nil"/>
            </w:tcBorders>
            <w:shd w:val="clear" w:color="auto" w:fill="auto"/>
          </w:tcPr>
          <w:p w:rsidR="0017135D" w:rsidRPr="00284217" w:rsidP="00320AEA">
            <w:pPr>
              <w:pStyle w:val="CSBody8pt"/>
              <w:rPr>
                <w:b/>
                <w:lang w:val="de-DE"/>
              </w:rPr>
            </w:pPr>
            <w:r w:rsidRPr="00284217">
              <w:rPr>
                <w:lang w:val="de-DE"/>
              </w:rPr>
              <w:t xml:space="preserve">Bezeichnet eine Verpfändung, ein Sicherungsrecht (oder eine andere Art von Recht mit ähnlicher Wirkung) (ein </w:t>
            </w:r>
            <w:r w:rsidR="003B00F3">
              <w:rPr>
                <w:lang w:val="de-DE"/>
              </w:rPr>
              <w:t>"</w:t>
            </w:r>
            <w:r w:rsidRPr="00BD6E0D">
              <w:rPr>
                <w:b/>
                <w:lang w:val="de-DE"/>
              </w:rPr>
              <w:t>Recht</w:t>
            </w:r>
            <w:r w:rsidR="003B00F3">
              <w:rPr>
                <w:lang w:val="de-DE"/>
              </w:rPr>
              <w:t>"</w:t>
            </w:r>
            <w:r w:rsidRPr="00284217">
              <w:rPr>
                <w:lang w:val="de-DE"/>
              </w:rPr>
              <w:t xml:space="preserve">), das als </w:t>
            </w:r>
            <w:r w:rsidR="003B00F3">
              <w:rPr>
                <w:lang w:val="de-DE"/>
              </w:rPr>
              <w:t>"</w:t>
            </w:r>
            <w:r w:rsidRPr="00284217">
              <w:rPr>
                <w:lang w:val="de-DE"/>
              </w:rPr>
              <w:t>erstrangig</w:t>
            </w:r>
            <w:r w:rsidR="003B00F3">
              <w:rPr>
                <w:lang w:val="de-DE"/>
              </w:rPr>
              <w:t>"</w:t>
            </w:r>
            <w:r w:rsidRPr="00284217">
              <w:rPr>
                <w:lang w:val="de-DE"/>
              </w:rPr>
              <w:t xml:space="preserve">, </w:t>
            </w:r>
            <w:r w:rsidR="003B00F3">
              <w:rPr>
                <w:lang w:val="de-DE"/>
              </w:rPr>
              <w:t>"</w:t>
            </w:r>
            <w:r w:rsidRPr="00284217">
              <w:rPr>
                <w:lang w:val="de-DE"/>
              </w:rPr>
              <w:t>mit erstem Rang</w:t>
            </w:r>
            <w:r w:rsidR="003B00F3">
              <w:rPr>
                <w:lang w:val="de-DE"/>
              </w:rPr>
              <w:t>"</w:t>
            </w:r>
            <w:r w:rsidRPr="00284217">
              <w:rPr>
                <w:lang w:val="de-DE"/>
              </w:rPr>
              <w:t xml:space="preserve"> oder ähnlich (</w:t>
            </w:r>
            <w:r w:rsidR="003B00F3">
              <w:rPr>
                <w:lang w:val="de-DE"/>
              </w:rPr>
              <w:t>"</w:t>
            </w:r>
            <w:r w:rsidRPr="00BD6E0D">
              <w:rPr>
                <w:b/>
                <w:lang w:val="de-DE"/>
              </w:rPr>
              <w:t>Erstrangig</w:t>
            </w:r>
            <w:r w:rsidR="003B00F3">
              <w:rPr>
                <w:lang w:val="de-DE"/>
              </w:rPr>
              <w:t>"</w:t>
            </w:r>
            <w:r w:rsidRPr="00284217">
              <w:rPr>
                <w:lang w:val="de-DE"/>
              </w:rPr>
              <w:t>) in dem Dokument bezeichnet wird, in dem dieses Recht begründet wird (ungeachtet, dass dieses Recht unter Umständen nicht Erstrangig unter den Insolvenzgesetzen der jeweiligen Insolvenzrechtsordnung des Emittenten ist).</w:t>
            </w:r>
            <w:r>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pPr>
            <w:r w:rsidRPr="000A1CDE">
              <w:t>Fixed Cap</w:t>
            </w:r>
            <w:r>
              <w:fldChar w:fldCharType="begin"/>
            </w:r>
            <w:r>
              <w:instrText xml:space="preserve"> XE "</w:instrText>
            </w:r>
            <w:r w:rsidRPr="00833C40">
              <w:instrText>Fixed Cap</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0A1CDE" w:rsidP="00320AEA">
            <w:pPr>
              <w:pStyle w:val="CSBody8pt"/>
            </w:pPr>
            <w:r w:rsidRPr="000A1CDE">
              <w:t>with respect to a Guarantee, a specified numerical limit or cap on the liability of the Reference Entity in respect of some or all payments due under the Underlying Obligation, provided that a Fixed Cap shall exclude a limit or cap determined by reference to a formula with one or more variable inputs (and for these purposes, the outstanding principal or other amounts payable pursuant to the Underlying Obligation shall not be considered to be variable inputs)</w:t>
            </w:r>
            <w:r>
              <w:t>.</w:t>
            </w:r>
          </w:p>
        </w:tc>
        <w:tc>
          <w:tcPr>
            <w:tcW w:w="1618" w:type="dxa"/>
            <w:gridSpan w:val="2"/>
            <w:tcBorders>
              <w:top w:val="nil"/>
              <w:bottom w:val="nil"/>
              <w:right w:val="nil"/>
            </w:tcBorders>
            <w:shd w:val="clear" w:color="auto" w:fill="auto"/>
          </w:tcPr>
          <w:p w:rsidR="0017135D" w:rsidRPr="000A1CDE" w:rsidP="00320AEA">
            <w:pPr>
              <w:pStyle w:val="CSBody8pt"/>
            </w:pPr>
            <w:r w:rsidRPr="000A1CDE">
              <w:t>Feste Obergrenze</w:t>
            </w:r>
            <w:r>
              <w:fldChar w:fldCharType="begin"/>
            </w:r>
            <w:r>
              <w:instrText xml:space="preserve"> XE "</w:instrText>
            </w:r>
            <w:r w:rsidRPr="006C029E">
              <w:instrText>Feste Obergrenze</w:instrText>
            </w:r>
            <w:r>
              <w:instrText xml:space="preserve">" </w:instrText>
            </w:r>
            <w:r>
              <w:fldChar w:fldCharType="end"/>
            </w:r>
          </w:p>
        </w:tc>
        <w:tc>
          <w:tcPr>
            <w:tcW w:w="3318" w:type="dxa"/>
            <w:tcBorders>
              <w:top w:val="nil"/>
              <w:left w:val="nil"/>
              <w:bottom w:val="nil"/>
              <w:right w:val="nil"/>
            </w:tcBorders>
            <w:shd w:val="clear" w:color="auto" w:fill="auto"/>
          </w:tcPr>
          <w:p w:rsidR="0017135D" w:rsidRPr="002F517B" w:rsidP="00320AEA">
            <w:pPr>
              <w:pStyle w:val="CSBody8pt"/>
              <w:rPr>
                <w:lang w:val="de-DE"/>
              </w:rPr>
            </w:pPr>
            <w:r w:rsidRPr="000A1CDE">
              <w:rPr>
                <w:lang w:val="de-DE"/>
              </w:rPr>
              <w:t>in Bezug auf eine Garantie eine festgelegte numerische Begrenzung oder Obergrenze für die Haftung des Referenzschuldners im Hinblick auf einzelne oder alle auf die Zugrundeliegende Verbindlichkeit geschuldeten Zahlungen, wobei als Feste Obergrenze eine Begrenzung oder Obergrenze ausgeschlossen ist, die unter Bezugnahme auf eine Formel mit einer oder mehreren Variablen bestimmt wird (wobei der ausstehende Kapitalbetrag oder sonstige im Rahmen der Zugrundeliegenden Verbindlichkeit zahlbare Beträge nicht als Variablen gelten).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pPr>
            <w:r w:rsidRPr="000A1CDE">
              <w:t>Full Quotation</w:t>
            </w:r>
            <w:r>
              <w:fldChar w:fldCharType="begin"/>
            </w:r>
            <w:r>
              <w:instrText xml:space="preserve"> XE "</w:instrText>
            </w:r>
            <w:r w:rsidRPr="00044856">
              <w:instrText>Full Quotation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0A1CDE" w:rsidP="00320AEA">
            <w:pPr>
              <w:pStyle w:val="CSBody8pt"/>
            </w:pPr>
            <w:r w:rsidRPr="000A1CDE">
              <w:t xml:space="preserve">in accordance with the Quotation Method, each firm Quotation obtained from a Dealer at the Valuation Time, to the extent reasonably practicable, for an amount of the </w:t>
            </w:r>
            <w:r w:rsidRPr="00792D61">
              <w:rPr>
                <w:b/>
              </w:rPr>
              <w:t>[</w:t>
            </w:r>
            <w:r w:rsidRPr="000A1CDE">
              <w:t>Reference Obligation or</w:t>
            </w:r>
            <w:r w:rsidRPr="00792D61">
              <w:rPr>
                <w:b/>
              </w:rPr>
              <w:t>]</w:t>
            </w:r>
            <w:r w:rsidRPr="000A1CDE">
              <w:t xml:space="preserve"> Valuation Obligation with an Outstanding Principal Balance or Due and Payable Amount equal to the Quotation Amount.</w:t>
            </w:r>
          </w:p>
        </w:tc>
        <w:tc>
          <w:tcPr>
            <w:tcW w:w="1618" w:type="dxa"/>
            <w:gridSpan w:val="2"/>
            <w:tcBorders>
              <w:top w:val="nil"/>
              <w:bottom w:val="nil"/>
              <w:right w:val="nil"/>
            </w:tcBorders>
            <w:shd w:val="clear" w:color="auto" w:fill="auto"/>
          </w:tcPr>
          <w:p w:rsidR="0017135D" w:rsidRPr="000A1CDE" w:rsidP="00320AEA">
            <w:pPr>
              <w:pStyle w:val="CSBody8pt"/>
            </w:pPr>
            <w:r w:rsidRPr="000A1CDE">
              <w:t>Vollquotierung</w:t>
            </w:r>
            <w:r>
              <w:fldChar w:fldCharType="begin"/>
            </w:r>
            <w:r>
              <w:instrText xml:space="preserve"> XE "</w:instrText>
            </w:r>
            <w:r w:rsidRPr="00475649">
              <w:instrText>Vollquotierung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2F517B" w:rsidP="000163E2">
            <w:pPr>
              <w:pStyle w:val="CSBody8pt"/>
              <w:rPr>
                <w:lang w:val="de-DE"/>
              </w:rPr>
            </w:pPr>
            <w:r w:rsidRPr="000A1CDE">
              <w:rPr>
                <w:lang w:val="de-DE"/>
              </w:rPr>
              <w:t>in Über</w:t>
            </w:r>
            <w:r>
              <w:rPr>
                <w:lang w:val="de-DE"/>
              </w:rPr>
              <w:t>einstimmung mit der Quotierungs</w:t>
            </w:r>
            <w:r w:rsidRPr="000A1CDE">
              <w:rPr>
                <w:lang w:val="de-DE"/>
              </w:rPr>
              <w:t xml:space="preserve">methode jede von einem Händler, soweit mit vertretbarem Aufwand möglich, zum Bewertungszeitpunkt eingeholte feste Quotierung für einen Betrag der </w:t>
            </w:r>
            <w:r w:rsidRPr="00792D61">
              <w:rPr>
                <w:b/>
                <w:lang w:val="de-DE"/>
              </w:rPr>
              <w:t>[</w:t>
            </w:r>
            <w:r w:rsidRPr="000A1CDE">
              <w:rPr>
                <w:lang w:val="de-DE"/>
              </w:rPr>
              <w:t>Referenzverbindlichkeit oder</w:t>
            </w:r>
            <w:r w:rsidRPr="00792D61">
              <w:rPr>
                <w:b/>
                <w:lang w:val="de-DE"/>
              </w:rPr>
              <w:t>]</w:t>
            </w:r>
            <w:r w:rsidRPr="000A1CDE">
              <w:rPr>
                <w:lang w:val="de-DE"/>
              </w:rPr>
              <w:t xml:space="preserve"> Bewertungsverbindlichkeit mit einem dem Quotierungsbetrag entsprechenden Ausstehenden Kapitalbetrag bzw. Fälligen und Zahlbaren Betrag.</w:t>
            </w:r>
          </w:p>
        </w:tc>
      </w:tr>
      <w:tr w:rsidTr="00BD6E0D">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9F64FC" w:rsidP="00320AEA">
            <w:pPr>
              <w:pStyle w:val="CSBody8ptbolditalics"/>
            </w:pPr>
            <w:r w:rsidRPr="00792D61">
              <w:t>[</w:t>
            </w:r>
            <w:r w:rsidRPr="009F64FC">
              <w:t>if Mod R is applicable, insert:</w:t>
            </w:r>
          </w:p>
          <w:p w:rsidR="0017135D" w:rsidRPr="009F64FC" w:rsidP="00320AEA">
            <w:pPr>
              <w:pStyle w:val="CSBody8pt"/>
            </w:pPr>
            <w:r w:rsidRPr="009F64FC">
              <w:t>Fully Transferable Obligation</w:t>
            </w:r>
            <w:r>
              <w:fldChar w:fldCharType="begin"/>
            </w:r>
            <w:r>
              <w:instrText xml:space="preserve"> XE "</w:instrText>
            </w:r>
            <w:r w:rsidRPr="00B23E3D">
              <w:instrText>Fully Transferable Obligation</w:instrText>
            </w:r>
            <w:r>
              <w:instrText xml:space="preserve">" \f "EN" </w:instrText>
            </w:r>
            <w:r>
              <w:fldChar w:fldCharType="end"/>
            </w:r>
          </w:p>
        </w:tc>
        <w:tc>
          <w:tcPr>
            <w:tcW w:w="3315" w:type="dxa"/>
            <w:gridSpan w:val="2"/>
            <w:tcBorders>
              <w:top w:val="nil"/>
              <w:left w:val="nil"/>
            </w:tcBorders>
            <w:shd w:val="clear" w:color="auto" w:fill="auto"/>
          </w:tcPr>
          <w:p w:rsidR="0017135D" w:rsidRPr="009F64FC" w:rsidP="00320AEA">
            <w:pPr>
              <w:pStyle w:val="CSBody8pt"/>
            </w:pPr>
            <w:r w:rsidRPr="009F64FC">
              <w:t>a Valuation Obligation that is as of the Valuation Date either Transferable, in the case of Bonds, or capable of being assigned or novated to all Eligible Transferees without the consent of any person being required, in the case of any Valuation Obligation other than Bonds. Any requirement that notification of novation, assignment or transfer of a Valuation Obligation be provided to a trustee, fiscal agent, administrative agent, clearing agent or paying agent for a Valuation Obligation shall not be considered to be a requirement for consent for purposes of this definition of Fully Transferable Obligation.</w:t>
            </w:r>
          </w:p>
        </w:tc>
        <w:tc>
          <w:tcPr>
            <w:tcW w:w="1618" w:type="dxa"/>
            <w:gridSpan w:val="2"/>
            <w:tcBorders>
              <w:top w:val="nil"/>
              <w:right w:val="nil"/>
            </w:tcBorders>
            <w:shd w:val="clear" w:color="auto" w:fill="auto"/>
          </w:tcPr>
          <w:p w:rsidR="0017135D" w:rsidRPr="009F64FC" w:rsidP="00320AEA">
            <w:pPr>
              <w:pStyle w:val="CSBody8ptbolditalics"/>
              <w:rPr>
                <w:lang w:val="de-DE"/>
              </w:rPr>
            </w:pPr>
            <w:r w:rsidRPr="00792D61">
              <w:rPr>
                <w:lang w:val="de-DE"/>
              </w:rPr>
              <w:t>[</w:t>
            </w:r>
            <w:r w:rsidRPr="009F64FC">
              <w:rPr>
                <w:lang w:val="de-DE"/>
              </w:rPr>
              <w:t>falls "Mod R" anwendbar ist, einfügen:</w:t>
            </w:r>
          </w:p>
          <w:p w:rsidR="0017135D" w:rsidRPr="009F64FC" w:rsidP="00320AEA">
            <w:pPr>
              <w:pStyle w:val="CSBody8pt"/>
              <w:rPr>
                <w:lang w:val="de-DE"/>
              </w:rPr>
            </w:pPr>
            <w:r w:rsidRPr="000A1CDE">
              <w:t>Frei Übertragbare Verbindlichkeit</w:t>
            </w:r>
            <w:r>
              <w:fldChar w:fldCharType="begin"/>
            </w:r>
            <w:r>
              <w:instrText xml:space="preserve"> XE "</w:instrText>
            </w:r>
            <w:r w:rsidRPr="00BA2A8F">
              <w:instrText>Frei Übertragbare Verbindlichkeit</w:instrText>
            </w:r>
            <w:r>
              <w:instrText xml:space="preserve">" </w:instrText>
            </w:r>
            <w:r>
              <w:fldChar w:fldCharType="end"/>
            </w:r>
          </w:p>
        </w:tc>
        <w:tc>
          <w:tcPr>
            <w:tcW w:w="3318" w:type="dxa"/>
            <w:tcBorders>
              <w:top w:val="nil"/>
              <w:left w:val="nil"/>
              <w:right w:val="nil"/>
            </w:tcBorders>
            <w:shd w:val="clear" w:color="auto" w:fill="auto"/>
          </w:tcPr>
          <w:p w:rsidR="0017135D" w:rsidRPr="009F64FC" w:rsidP="00320AEA">
            <w:pPr>
              <w:pStyle w:val="CSBody8pt"/>
              <w:rPr>
                <w:bCs/>
                <w:lang w:val="de-DE"/>
              </w:rPr>
            </w:pPr>
            <w:r w:rsidRPr="009F64FC">
              <w:rPr>
                <w:bCs/>
                <w:lang w:val="de-DE"/>
              </w:rPr>
              <w:t>eine Bewertungsverbindlichkeit, die am Bewertungstag (im Fall von Anleihen) entweder Übertragbar ist oder (im Fall von Bewertungsverbindlichkeiten, bei denen es sich nicht um Anleihen handelt) im Wege der Abtretung oder Novation auf alle Zulässigen Übertragungsempfänger übergehen kann, ohne dass es der Zustimmung irgendeiner Person bedarf. Ein etwaiges Erfordernis, die Novation, Abtretung oder Übertragung einer Bewertungsverbindlichkeit einem Treuhänder, einer Emissionsstelle, einer Verwaltungsstelle, einer Clearingstelle oder einer Zahlstelle für eine Bewertungsverbindlichkeit anzuzeigen, gilt für die Zwecke dieser Definition  "Frei Übertragbare Verbindlichkeit" nicht als Zustimmungserfordernis.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13B3E" w:rsidP="00320AEA">
            <w:pPr>
              <w:pStyle w:val="CSBody8pt"/>
              <w:rPr>
                <w:lang w:val="de-DE"/>
              </w:rPr>
            </w:pPr>
          </w:p>
        </w:tc>
        <w:tc>
          <w:tcPr>
            <w:tcW w:w="3315" w:type="dxa"/>
            <w:gridSpan w:val="2"/>
            <w:tcBorders>
              <w:top w:val="nil"/>
              <w:left w:val="nil"/>
              <w:bottom w:val="nil"/>
            </w:tcBorders>
            <w:shd w:val="clear" w:color="auto" w:fill="auto"/>
          </w:tcPr>
          <w:p w:rsidR="0017135D" w:rsidRPr="009F64FC" w:rsidP="00320AEA">
            <w:pPr>
              <w:pStyle w:val="CSBody8pt"/>
            </w:pPr>
            <w:r w:rsidRPr="009F64FC">
              <w:t>For purposes of determining whether a Valuation Obligation satisfies the requirements of the definition of Fully Transferable Obligation, such determination shall be made as of the date of selection of the relevant Valuation Obligation for the Valuation Obligation, taking into account only the terms of the Valuation Obligation and any related transfer or consent documents.</w:t>
            </w:r>
            <w:r w:rsidRPr="00792D61">
              <w:rPr>
                <w:b/>
              </w:rPr>
              <w:t>]</w:t>
            </w:r>
          </w:p>
        </w:tc>
        <w:tc>
          <w:tcPr>
            <w:tcW w:w="1618" w:type="dxa"/>
            <w:gridSpan w:val="2"/>
            <w:tcBorders>
              <w:top w:val="nil"/>
              <w:bottom w:val="nil"/>
              <w:right w:val="nil"/>
            </w:tcBorders>
            <w:shd w:val="clear" w:color="auto" w:fill="auto"/>
          </w:tcPr>
          <w:p w:rsidR="0017135D" w:rsidRPr="009F64FC" w:rsidP="00320AEA">
            <w:pPr>
              <w:pStyle w:val="CSBody8pt"/>
              <w:rPr>
                <w:i/>
              </w:rPr>
            </w:pPr>
          </w:p>
        </w:tc>
        <w:tc>
          <w:tcPr>
            <w:tcW w:w="3318" w:type="dxa"/>
            <w:tcBorders>
              <w:top w:val="nil"/>
              <w:left w:val="nil"/>
              <w:bottom w:val="nil"/>
              <w:right w:val="nil"/>
            </w:tcBorders>
            <w:shd w:val="clear" w:color="auto" w:fill="auto"/>
          </w:tcPr>
          <w:p w:rsidR="0017135D" w:rsidRPr="009F64FC" w:rsidP="000163E2">
            <w:pPr>
              <w:pStyle w:val="CSBody8pt"/>
              <w:rPr>
                <w:bCs/>
                <w:lang w:val="de-DE"/>
              </w:rPr>
            </w:pPr>
            <w:r w:rsidRPr="009F64FC">
              <w:rPr>
                <w:bCs/>
                <w:lang w:val="de-DE"/>
              </w:rPr>
              <w:t>Die Feststellung, ob eine Bewertungsverbindlichkeit die Anforderungen der Definition  "Frei Übertragbare Verbindlichkeit" erfüllt, ist zum Tag, an dem die betreffende Bewertungsverbindlichkeit ausgewählt wird, für die Bewertungsverbindlichkeit zu treffen, wobei ausschliesslich die Bestimmungen der Bewertungsverbindlichkeit und etwaiger diesbezüglicher Übertragungs- oder Zustimmungsdokumente zu berücksichtigen sind.</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9F64FC" w:rsidP="000A1CDE">
            <w:pPr>
              <w:pStyle w:val="CSBody8ptbolditalics"/>
            </w:pPr>
            <w:r w:rsidRPr="00792D61">
              <w:t>[</w:t>
            </w:r>
            <w:r w:rsidRPr="009F64FC">
              <w:t>if "Financial Reference Entity Terms" and Subordinated Obligation are applicable:</w:t>
            </w:r>
          </w:p>
          <w:p w:rsidR="0017135D" w:rsidRPr="009F64FC" w:rsidP="00320AEA">
            <w:pPr>
              <w:pStyle w:val="CSBody8pt"/>
            </w:pPr>
            <w:r w:rsidRPr="000A1CDE">
              <w:t>Further Subordinated Obligation</w:t>
            </w:r>
            <w:r>
              <w:fldChar w:fldCharType="begin"/>
            </w:r>
            <w:r>
              <w:instrText xml:space="preserve"> XE "</w:instrText>
            </w:r>
            <w:r w:rsidRPr="00912153">
              <w:instrText>Further Subordinated Obligation</w:instrText>
            </w:r>
            <w:r>
              <w:instrText xml:space="preserve">" \f "EN" </w:instrText>
            </w:r>
            <w:r>
              <w:fldChar w:fldCharType="end"/>
            </w:r>
          </w:p>
        </w:tc>
        <w:tc>
          <w:tcPr>
            <w:tcW w:w="3315" w:type="dxa"/>
            <w:gridSpan w:val="2"/>
            <w:tcBorders>
              <w:top w:val="nil"/>
              <w:left w:val="nil"/>
            </w:tcBorders>
            <w:shd w:val="clear" w:color="auto" w:fill="auto"/>
          </w:tcPr>
          <w:p w:rsidR="0017135D" w:rsidRPr="009F64FC" w:rsidP="00320AEA">
            <w:pPr>
              <w:pStyle w:val="CSBody8pt"/>
            </w:pPr>
            <w:r w:rsidRPr="009F64FC">
              <w:t xml:space="preserve">means, in respect of </w:t>
            </w:r>
            <w:r w:rsidRPr="00792D61">
              <w:rPr>
                <w:b/>
              </w:rPr>
              <w:t>[</w:t>
            </w:r>
            <w:r w:rsidRPr="009F64FC">
              <w:t>the</w:t>
            </w:r>
            <w:r w:rsidRPr="00792D61">
              <w:rPr>
                <w:b/>
              </w:rPr>
              <w:t>][</w:t>
            </w:r>
            <w:r w:rsidRPr="009F64FC">
              <w:t>a</w:t>
            </w:r>
            <w:r w:rsidRPr="00792D61">
              <w:rPr>
                <w:b/>
              </w:rPr>
              <w:t>]</w:t>
            </w:r>
            <w:r w:rsidRPr="009F64FC">
              <w:t xml:space="preserve"> Reference Entity, if the Reference Obligation or Prior Reference Obligation, as applicable, is a Subordinated Obligation, any obligation which is Subordinated thereto.</w:t>
            </w:r>
            <w:r w:rsidRPr="00792D61">
              <w:rPr>
                <w:b/>
              </w:rPr>
              <w:t>]</w:t>
            </w:r>
          </w:p>
        </w:tc>
        <w:tc>
          <w:tcPr>
            <w:tcW w:w="1618" w:type="dxa"/>
            <w:gridSpan w:val="2"/>
            <w:tcBorders>
              <w:top w:val="nil"/>
              <w:right w:val="nil"/>
            </w:tcBorders>
            <w:shd w:val="clear" w:color="auto" w:fill="auto"/>
          </w:tcPr>
          <w:p w:rsidR="0017135D" w:rsidRPr="009F64FC" w:rsidP="000A1CDE">
            <w:pPr>
              <w:pStyle w:val="CSBody8ptbolditalics"/>
              <w:rPr>
                <w:lang w:val="de-DE"/>
              </w:rPr>
            </w:pPr>
            <w:r w:rsidRPr="00792D61">
              <w:rPr>
                <w:lang w:val="de-DE"/>
              </w:rPr>
              <w:t>[</w:t>
            </w:r>
            <w:r w:rsidRPr="009F64FC">
              <w:rPr>
                <w:lang w:val="de-DE"/>
              </w:rPr>
              <w:t>falls "Bedingungen für Finanzinstitue als Refernzschuldner" anwenbar sind:</w:t>
            </w:r>
          </w:p>
          <w:p w:rsidR="0017135D" w:rsidRPr="009F64FC" w:rsidP="00320AEA">
            <w:pPr>
              <w:pStyle w:val="CSBody8pt"/>
              <w:rPr>
                <w:lang w:val="de-DE"/>
              </w:rPr>
            </w:pPr>
            <w:r w:rsidRPr="000A1CDE">
              <w:t>Tiefer Nachrangige Verbindlichkeit</w:t>
            </w:r>
            <w:r>
              <w:fldChar w:fldCharType="begin"/>
            </w:r>
            <w:r>
              <w:instrText xml:space="preserve"> XE "</w:instrText>
            </w:r>
            <w:r w:rsidRPr="00B01E90">
              <w:instrText>Tiefer Nachrangige Verbindlichkeit</w:instrText>
            </w:r>
            <w:r>
              <w:instrText xml:space="preserve">" </w:instrText>
            </w:r>
            <w:r>
              <w:fldChar w:fldCharType="end"/>
            </w:r>
          </w:p>
        </w:tc>
        <w:tc>
          <w:tcPr>
            <w:tcW w:w="3318" w:type="dxa"/>
            <w:tcBorders>
              <w:top w:val="nil"/>
              <w:left w:val="nil"/>
              <w:right w:val="nil"/>
            </w:tcBorders>
            <w:shd w:val="clear" w:color="auto" w:fill="auto"/>
          </w:tcPr>
          <w:p w:rsidR="0017135D" w:rsidRPr="009F64FC" w:rsidP="00320AEA">
            <w:pPr>
              <w:pStyle w:val="CSBody8pt"/>
              <w:rPr>
                <w:bCs/>
                <w:lang w:val="de-DE"/>
              </w:rPr>
            </w:pPr>
            <w:r w:rsidRPr="009F64FC">
              <w:rPr>
                <w:bCs/>
                <w:lang w:val="de-DE"/>
              </w:rPr>
              <w:t xml:space="preserve">bezeichnet in Bezug auf </w:t>
            </w:r>
            <w:r w:rsidRPr="00792D61">
              <w:rPr>
                <w:b/>
                <w:bCs/>
                <w:lang w:val="de-DE"/>
              </w:rPr>
              <w:t>[</w:t>
            </w:r>
            <w:r w:rsidRPr="009F64FC">
              <w:rPr>
                <w:bCs/>
                <w:lang w:val="de-DE"/>
              </w:rPr>
              <w:t>den</w:t>
            </w:r>
            <w:r w:rsidRPr="00792D61">
              <w:rPr>
                <w:b/>
                <w:bCs/>
                <w:lang w:val="de-DE"/>
              </w:rPr>
              <w:t>][</w:t>
            </w:r>
            <w:r w:rsidRPr="009F64FC">
              <w:rPr>
                <w:bCs/>
                <w:lang w:val="de-DE"/>
              </w:rPr>
              <w:t>einen</w:t>
            </w:r>
            <w:r w:rsidRPr="00792D61">
              <w:rPr>
                <w:b/>
                <w:bCs/>
                <w:lang w:val="de-DE"/>
              </w:rPr>
              <w:t>]</w:t>
            </w:r>
            <w:r w:rsidRPr="009F64FC">
              <w:rPr>
                <w:bCs/>
                <w:lang w:val="de-DE"/>
              </w:rPr>
              <w:t xml:space="preserve"> Referenzschuldner in dem Fall, dass die Referenzverbindlichkeit bzw. Frühere Referenzverbindlichkeit eine Nachrangige Verbindlichkeit ist, eine gegenüber dieser Referenzverbindlichkeit oder Früheren Referenzverbindlichkeit Nachrangige Verbindlichkeit.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pPr>
            <w:r w:rsidRPr="000A1CDE">
              <w:t>Governmental Authority</w:t>
            </w:r>
            <w:r>
              <w:fldChar w:fldCharType="begin"/>
            </w:r>
            <w:r>
              <w:instrText xml:space="preserve"> XE "</w:instrText>
            </w:r>
            <w:r w:rsidRPr="005A1CA5">
              <w:instrText>Governmental Authority</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0A1CDE" w:rsidP="00320AEA">
            <w:pPr>
              <w:pStyle w:val="CSManNum8pt"/>
            </w:pPr>
            <w:r w:rsidRPr="000A1CDE">
              <w:t>(a)</w:t>
            </w:r>
            <w:r w:rsidRPr="000A1CDE">
              <w:tab/>
              <w:t>any de facto or de jure government (or any agency, instrumentality, ministry or department thereof);</w:t>
            </w:r>
          </w:p>
        </w:tc>
        <w:tc>
          <w:tcPr>
            <w:tcW w:w="1618" w:type="dxa"/>
            <w:gridSpan w:val="2"/>
            <w:tcBorders>
              <w:top w:val="nil"/>
              <w:bottom w:val="nil"/>
              <w:right w:val="nil"/>
            </w:tcBorders>
            <w:shd w:val="clear" w:color="auto" w:fill="auto"/>
          </w:tcPr>
          <w:p w:rsidR="0017135D" w:rsidRPr="00BD6E0D" w:rsidP="000163E2">
            <w:pPr>
              <w:pStyle w:val="CSBody8pt"/>
            </w:pPr>
            <w:r w:rsidRPr="00BD6E0D">
              <w:t>Regierungsbehörde</w:t>
            </w:r>
            <w:r>
              <w:fldChar w:fldCharType="begin"/>
            </w:r>
            <w:r w:rsidRPr="002C5825">
              <w:instrText xml:space="preserve"> XE "Regierungsbehörde" </w:instrText>
            </w:r>
            <w:r>
              <w:fldChar w:fldCharType="end"/>
            </w:r>
          </w:p>
        </w:tc>
        <w:tc>
          <w:tcPr>
            <w:tcW w:w="3318" w:type="dxa"/>
            <w:tcBorders>
              <w:top w:val="nil"/>
              <w:left w:val="nil"/>
              <w:bottom w:val="nil"/>
              <w:right w:val="nil"/>
            </w:tcBorders>
            <w:shd w:val="clear" w:color="auto" w:fill="auto"/>
          </w:tcPr>
          <w:p w:rsidR="0017135D" w:rsidRPr="005A44D6" w:rsidP="00320AEA">
            <w:pPr>
              <w:pStyle w:val="CSManNum8pt"/>
              <w:rPr>
                <w:lang w:val="de-DE"/>
              </w:rPr>
            </w:pPr>
            <w:r w:rsidRPr="000A1CDE">
              <w:rPr>
                <w:lang w:val="de-DE"/>
              </w:rPr>
              <w:t>(a)</w:t>
            </w:r>
            <w:r w:rsidRPr="000A1CDE">
              <w:rPr>
                <w:lang w:val="de-DE"/>
              </w:rPr>
              <w:tab/>
              <w:t>alle de facto oder de jure bestehenden Regierungsstellen (einschliesslich der zugehörigen Dienststellen, Organe, Ministerien oder Abteilungen);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A44D6" w:rsidP="00320AEA">
            <w:pPr>
              <w:pStyle w:val="CSBody8pt"/>
              <w:rPr>
                <w:lang w:val="de-DE"/>
              </w:rPr>
            </w:pPr>
          </w:p>
        </w:tc>
        <w:tc>
          <w:tcPr>
            <w:tcW w:w="3315" w:type="dxa"/>
            <w:gridSpan w:val="2"/>
            <w:tcBorders>
              <w:top w:val="nil"/>
              <w:left w:val="nil"/>
              <w:bottom w:val="nil"/>
            </w:tcBorders>
            <w:shd w:val="clear" w:color="auto" w:fill="auto"/>
          </w:tcPr>
          <w:p w:rsidR="0017135D" w:rsidRPr="005A44D6" w:rsidP="000163E2">
            <w:pPr>
              <w:pStyle w:val="CSManNum8pt"/>
            </w:pPr>
            <w:r w:rsidRPr="005A44D6">
              <w:t>(b)</w:t>
            </w:r>
            <w:r w:rsidRPr="005A44D6">
              <w:tab/>
              <w:t>any court, tribunal, administrative or other governmental, intergovernmental or supranational body;</w:t>
            </w:r>
          </w:p>
        </w:tc>
        <w:tc>
          <w:tcPr>
            <w:tcW w:w="1618" w:type="dxa"/>
            <w:gridSpan w:val="2"/>
            <w:tcBorders>
              <w:top w:val="nil"/>
              <w:bottom w:val="nil"/>
              <w:right w:val="nil"/>
            </w:tcBorders>
            <w:shd w:val="clear" w:color="auto" w:fill="auto"/>
          </w:tcPr>
          <w:p w:rsidR="0017135D" w:rsidRPr="005A44D6" w:rsidP="00320AEA">
            <w:pPr>
              <w:pStyle w:val="CSBody8pt"/>
              <w:rPr>
                <w:i/>
              </w:rPr>
            </w:pPr>
          </w:p>
        </w:tc>
        <w:tc>
          <w:tcPr>
            <w:tcW w:w="3318" w:type="dxa"/>
            <w:tcBorders>
              <w:top w:val="nil"/>
              <w:left w:val="nil"/>
              <w:bottom w:val="nil"/>
              <w:right w:val="nil"/>
            </w:tcBorders>
            <w:shd w:val="clear" w:color="auto" w:fill="auto"/>
          </w:tcPr>
          <w:p w:rsidR="0017135D" w:rsidRPr="005A44D6" w:rsidP="00320AEA">
            <w:pPr>
              <w:pStyle w:val="CSManNum8pt"/>
              <w:rPr>
                <w:lang w:val="de-DE"/>
              </w:rPr>
            </w:pPr>
            <w:r w:rsidRPr="005A44D6">
              <w:rPr>
                <w:lang w:val="de-DE"/>
              </w:rPr>
              <w:t>(b)</w:t>
            </w:r>
            <w:r w:rsidRPr="005A44D6">
              <w:rPr>
                <w:lang w:val="de-DE"/>
              </w:rPr>
              <w:tab/>
              <w:t>alle Gerichte, Verwaltungs- oder sonstigen Regierungsbehörden, zwischenstaatlichen oder supranationalen Stellen;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A44D6" w:rsidP="00320AEA">
            <w:pPr>
              <w:pStyle w:val="CSBody8pt"/>
              <w:rPr>
                <w:lang w:val="de-DE"/>
              </w:rPr>
            </w:pPr>
          </w:p>
        </w:tc>
        <w:tc>
          <w:tcPr>
            <w:tcW w:w="3315" w:type="dxa"/>
            <w:gridSpan w:val="2"/>
            <w:tcBorders>
              <w:top w:val="nil"/>
              <w:left w:val="nil"/>
              <w:bottom w:val="nil"/>
            </w:tcBorders>
            <w:shd w:val="clear" w:color="auto" w:fill="auto"/>
          </w:tcPr>
          <w:p w:rsidR="0017135D" w:rsidRPr="005A44D6" w:rsidP="00320AEA">
            <w:pPr>
              <w:pStyle w:val="CSManNum8pt"/>
            </w:pPr>
            <w:r w:rsidRPr="005A44D6">
              <w:t>(c)</w:t>
            </w:r>
            <w:r w:rsidRPr="005A44D6">
              <w:tab/>
              <w:t xml:space="preserve">any authority or any other entity (private or public) either designated as a resolution authority or charged with the regulation or supervision of the financial markets (including a central bank) of </w:t>
            </w:r>
            <w:r w:rsidRPr="00792D61">
              <w:rPr>
                <w:b/>
              </w:rPr>
              <w:t>[</w:t>
            </w:r>
            <w:r w:rsidRPr="005A44D6">
              <w:t>the</w:t>
            </w:r>
            <w:r w:rsidRPr="00792D61">
              <w:rPr>
                <w:b/>
              </w:rPr>
              <w:t>][</w:t>
            </w:r>
            <w:r w:rsidRPr="005A44D6">
              <w:t>a</w:t>
            </w:r>
            <w:r w:rsidRPr="00792D61">
              <w:rPr>
                <w:b/>
              </w:rPr>
              <w:t>]</w:t>
            </w:r>
            <w:r w:rsidRPr="005A44D6">
              <w:t xml:space="preserve"> Reference Entity or some or all of its obligations; or</w:t>
            </w:r>
          </w:p>
        </w:tc>
        <w:tc>
          <w:tcPr>
            <w:tcW w:w="1618" w:type="dxa"/>
            <w:gridSpan w:val="2"/>
            <w:tcBorders>
              <w:top w:val="nil"/>
              <w:bottom w:val="nil"/>
              <w:right w:val="nil"/>
            </w:tcBorders>
            <w:shd w:val="clear" w:color="auto" w:fill="auto"/>
          </w:tcPr>
          <w:p w:rsidR="0017135D" w:rsidRPr="005A44D6" w:rsidP="00320AEA">
            <w:pPr>
              <w:pStyle w:val="CSBody8pt"/>
              <w:rPr>
                <w:i/>
              </w:rPr>
            </w:pPr>
          </w:p>
        </w:tc>
        <w:tc>
          <w:tcPr>
            <w:tcW w:w="3318" w:type="dxa"/>
            <w:tcBorders>
              <w:top w:val="nil"/>
              <w:left w:val="nil"/>
              <w:bottom w:val="nil"/>
              <w:right w:val="nil"/>
            </w:tcBorders>
            <w:shd w:val="clear" w:color="auto" w:fill="auto"/>
          </w:tcPr>
          <w:p w:rsidR="0017135D" w:rsidRPr="005A44D6" w:rsidP="000163E2">
            <w:pPr>
              <w:pStyle w:val="CSManNum8pt"/>
              <w:rPr>
                <w:lang w:val="de-DE"/>
              </w:rPr>
            </w:pPr>
            <w:r w:rsidRPr="005A44D6">
              <w:rPr>
                <w:lang w:val="de-DE"/>
              </w:rPr>
              <w:t>(c)</w:t>
            </w:r>
            <w:r w:rsidRPr="005A44D6">
              <w:rPr>
                <w:lang w:val="de-DE"/>
              </w:rPr>
              <w:tab/>
              <w:t xml:space="preserve">alle Behörden oder sonstigen (privatrechtlichen oder öffentlichrechtlichen) Rechtsträger (einschliesslich Zentralbanken), die als Abwicklungsbehörde benannt oder mit Aufsichtsfunktionen über die Finanzmärkte </w:t>
            </w:r>
            <w:r w:rsidRPr="00792D61">
              <w:rPr>
                <w:b/>
                <w:lang w:val="de-DE"/>
              </w:rPr>
              <w:t>[</w:t>
            </w:r>
            <w:r w:rsidRPr="005A44D6">
              <w:rPr>
                <w:lang w:val="de-DE"/>
              </w:rPr>
              <w:t>des</w:t>
            </w:r>
            <w:r w:rsidRPr="00792D61">
              <w:rPr>
                <w:b/>
                <w:lang w:val="de-DE"/>
              </w:rPr>
              <w:t>][</w:t>
            </w:r>
            <w:r w:rsidRPr="005A44D6">
              <w:rPr>
                <w:lang w:val="de-DE"/>
              </w:rPr>
              <w:t>eines</w:t>
            </w:r>
            <w:r w:rsidRPr="00792D61">
              <w:rPr>
                <w:b/>
                <w:lang w:val="de-DE"/>
              </w:rPr>
              <w:t>]</w:t>
            </w:r>
            <w:r w:rsidRPr="005A44D6">
              <w:rPr>
                <w:lang w:val="de-DE"/>
              </w:rPr>
              <w:t xml:space="preserve"> Referenzschuldners bzw. einzelner oder aller seiner Verbindlichkeiten betraut sind;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A44D6" w:rsidP="00A457E7">
            <w:pPr>
              <w:pStyle w:val="CSBody0"/>
              <w:rPr>
                <w:lang w:val="de-DE"/>
              </w:rPr>
            </w:pPr>
          </w:p>
        </w:tc>
        <w:tc>
          <w:tcPr>
            <w:tcW w:w="3315" w:type="dxa"/>
            <w:gridSpan w:val="2"/>
            <w:tcBorders>
              <w:top w:val="nil"/>
              <w:left w:val="nil"/>
              <w:bottom w:val="nil"/>
            </w:tcBorders>
            <w:shd w:val="clear" w:color="auto" w:fill="auto"/>
          </w:tcPr>
          <w:p w:rsidR="0017135D" w:rsidRPr="005A44D6" w:rsidP="000163E2">
            <w:pPr>
              <w:pStyle w:val="CSManNum8pt"/>
            </w:pPr>
            <w:r w:rsidRPr="005A44D6">
              <w:t>(d)</w:t>
            </w:r>
            <w:r w:rsidRPr="005A44D6">
              <w:tab/>
              <w:t>any other authority which is analogous to any of the entities specified in paragraphs (a) to (c) above.</w:t>
            </w:r>
          </w:p>
        </w:tc>
        <w:tc>
          <w:tcPr>
            <w:tcW w:w="1618" w:type="dxa"/>
            <w:gridSpan w:val="2"/>
            <w:tcBorders>
              <w:top w:val="nil"/>
              <w:bottom w:val="nil"/>
              <w:right w:val="nil"/>
            </w:tcBorders>
            <w:shd w:val="clear" w:color="auto" w:fill="auto"/>
          </w:tcPr>
          <w:p w:rsidR="0017135D" w:rsidRPr="005A44D6" w:rsidP="00E60155">
            <w:pPr>
              <w:pStyle w:val="CSBody0"/>
              <w:rPr>
                <w:i/>
              </w:rPr>
            </w:pPr>
          </w:p>
        </w:tc>
        <w:tc>
          <w:tcPr>
            <w:tcW w:w="3318" w:type="dxa"/>
            <w:tcBorders>
              <w:top w:val="nil"/>
              <w:left w:val="nil"/>
              <w:bottom w:val="nil"/>
              <w:right w:val="nil"/>
            </w:tcBorders>
            <w:shd w:val="clear" w:color="auto" w:fill="auto"/>
          </w:tcPr>
          <w:p w:rsidR="0017135D" w:rsidRPr="005A44D6" w:rsidP="00320AEA">
            <w:pPr>
              <w:pStyle w:val="CSManNum8pt"/>
              <w:rPr>
                <w:lang w:val="de-DE"/>
              </w:rPr>
            </w:pPr>
            <w:r w:rsidRPr="005A44D6">
              <w:rPr>
                <w:lang w:val="de-DE"/>
              </w:rPr>
              <w:t>(d)</w:t>
            </w:r>
            <w:r w:rsidRPr="005A44D6">
              <w:rPr>
                <w:lang w:val="de-DE"/>
              </w:rPr>
              <w:tab/>
              <w:t>alle anderen, mit den in den vorstehenden Absätzen (a) bis (c) genannten Stellen vergleichbaren Behörden.</w:t>
            </w:r>
          </w:p>
        </w:tc>
      </w:tr>
      <w:tr w:rsidTr="004C1EBA">
        <w:tblPrEx>
          <w:tblW w:w="4999" w:type="pct"/>
          <w:tblLayout w:type="fixed"/>
          <w:tblCellMar>
            <w:left w:w="115" w:type="dxa"/>
            <w:right w:w="115" w:type="dxa"/>
          </w:tblCellMar>
          <w:tblLook w:val="04A0"/>
        </w:tblPrEx>
        <w:trPr>
          <w:trHeight w:val="3359"/>
        </w:trPr>
        <w:tc>
          <w:tcPr>
            <w:tcW w:w="1616" w:type="dxa"/>
            <w:gridSpan w:val="3"/>
            <w:tcBorders>
              <w:top w:val="nil"/>
              <w:left w:val="nil"/>
              <w:right w:val="nil"/>
            </w:tcBorders>
            <w:shd w:val="clear" w:color="auto" w:fill="auto"/>
          </w:tcPr>
          <w:p w:rsidR="0017135D" w:rsidRPr="005A44D6" w:rsidP="00320AEA">
            <w:pPr>
              <w:pStyle w:val="CSBody8ptbolditalics"/>
            </w:pPr>
            <w:r w:rsidRPr="00792D61">
              <w:t>[</w:t>
            </w:r>
            <w:r w:rsidRPr="005A44D6">
              <w:t>if "Financial Reference Entity Terms" and "Governmental Intervention" are applicable, insert:</w:t>
            </w:r>
          </w:p>
          <w:p w:rsidR="0017135D" w:rsidRPr="005A44D6" w:rsidP="00320AEA">
            <w:pPr>
              <w:pStyle w:val="CSBody8pt"/>
            </w:pPr>
            <w:r w:rsidRPr="000A1CDE">
              <w:t>Governmental Intervention</w:t>
            </w:r>
            <w:r>
              <w:fldChar w:fldCharType="begin"/>
            </w:r>
            <w:r>
              <w:instrText xml:space="preserve"> XE "</w:instrText>
            </w:r>
            <w:r w:rsidRPr="00396A02">
              <w:instrText>Governmental Intervention</w:instrText>
            </w:r>
            <w:r>
              <w:instrText xml:space="preserve">" \f "EN" </w:instrText>
            </w:r>
            <w:r>
              <w:fldChar w:fldCharType="end"/>
            </w:r>
          </w:p>
        </w:tc>
        <w:tc>
          <w:tcPr>
            <w:tcW w:w="3315" w:type="dxa"/>
            <w:gridSpan w:val="2"/>
            <w:tcBorders>
              <w:top w:val="nil"/>
              <w:left w:val="nil"/>
            </w:tcBorders>
            <w:shd w:val="clear" w:color="auto" w:fill="auto"/>
          </w:tcPr>
          <w:p w:rsidR="0017135D" w:rsidRPr="005A44D6" w:rsidP="000163E2">
            <w:pPr>
              <w:pStyle w:val="CSBody8pt"/>
            </w:pPr>
            <w:r w:rsidRPr="005A44D6">
              <w:t>has the meaning set forth in Section 1.1., subsection C. 5.</w:t>
            </w:r>
            <w:r w:rsidRPr="00792D61">
              <w:rPr>
                <w:b/>
              </w:rPr>
              <w:t>]</w:t>
            </w:r>
          </w:p>
        </w:tc>
        <w:tc>
          <w:tcPr>
            <w:tcW w:w="1618" w:type="dxa"/>
            <w:gridSpan w:val="2"/>
            <w:tcBorders>
              <w:top w:val="nil"/>
              <w:right w:val="nil"/>
            </w:tcBorders>
            <w:shd w:val="clear" w:color="auto" w:fill="auto"/>
          </w:tcPr>
          <w:p w:rsidR="0017135D" w:rsidRPr="005A44D6" w:rsidP="00320AEA">
            <w:pPr>
              <w:pStyle w:val="CSBody8ptbolditalics"/>
              <w:rPr>
                <w:lang w:val="de-DE"/>
              </w:rPr>
            </w:pPr>
            <w:r w:rsidRPr="00792D61">
              <w:rPr>
                <w:lang w:val="de-DE"/>
              </w:rPr>
              <w:t>[</w:t>
            </w:r>
            <w:r w:rsidRPr="005A44D6">
              <w:rPr>
                <w:lang w:val="de-DE"/>
              </w:rPr>
              <w:t>falls "Bedingungen für Finanzinstitue als Referenzschuldner" und "Staatliche Intervention" anwenbar sind, einfügen:</w:t>
            </w:r>
          </w:p>
          <w:p w:rsidR="0017135D" w:rsidRPr="005A44D6" w:rsidP="00320AEA">
            <w:pPr>
              <w:pStyle w:val="CSBody8pt"/>
              <w:rPr>
                <w:lang w:val="de-DE"/>
              </w:rPr>
            </w:pPr>
            <w:r w:rsidRPr="000A1CDE">
              <w:t>Staatliche Intervention</w:t>
            </w:r>
            <w:r>
              <w:fldChar w:fldCharType="begin"/>
            </w:r>
            <w:r>
              <w:instrText xml:space="preserve"> XE "</w:instrText>
            </w:r>
            <w:r w:rsidRPr="008A6647">
              <w:instrText>Staatliche Intervention</w:instrText>
            </w:r>
            <w:r>
              <w:instrText xml:space="preserve">" </w:instrText>
            </w:r>
            <w:r>
              <w:fldChar w:fldCharType="end"/>
            </w:r>
          </w:p>
        </w:tc>
        <w:tc>
          <w:tcPr>
            <w:tcW w:w="3318" w:type="dxa"/>
            <w:tcBorders>
              <w:top w:val="nil"/>
              <w:left w:val="nil"/>
              <w:right w:val="nil"/>
            </w:tcBorders>
            <w:shd w:val="clear" w:color="auto" w:fill="auto"/>
          </w:tcPr>
          <w:p w:rsidR="0017135D" w:rsidRPr="005A44D6" w:rsidP="00320AEA">
            <w:pPr>
              <w:pStyle w:val="CSBody8pt"/>
              <w:rPr>
                <w:bCs/>
                <w:lang w:val="de-DE"/>
              </w:rPr>
            </w:pPr>
            <w:r w:rsidRPr="005A44D6">
              <w:rPr>
                <w:bCs/>
                <w:lang w:val="de-DE"/>
              </w:rPr>
              <w:t>hat die in Ziffer 1.1, Unterabsatz C.5 angegebene Bedeutung.</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pPr>
            <w:r w:rsidRPr="000A1CDE">
              <w:t>Grace Period</w:t>
            </w:r>
            <w:r>
              <w:fldChar w:fldCharType="begin"/>
            </w:r>
            <w:r>
              <w:instrText xml:space="preserve"> XE "</w:instrText>
            </w:r>
            <w:r w:rsidRPr="00401D1D">
              <w:instrText>Grace Period</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0A1CDE" w:rsidP="00320AEA">
            <w:pPr>
              <w:pStyle w:val="CSManNum8pt"/>
            </w:pPr>
            <w:r w:rsidRPr="000A1CDE">
              <w:t>(a)</w:t>
            </w:r>
            <w:r w:rsidRPr="000A1CDE">
              <w:tab/>
              <w:t>subject to clause</w:t>
            </w:r>
            <w:r w:rsidRPr="00792D61">
              <w:rPr>
                <w:b/>
              </w:rPr>
              <w:t>[</w:t>
            </w:r>
            <w:r w:rsidRPr="000A1CDE">
              <w:t>s</w:t>
            </w:r>
            <w:r w:rsidRPr="00792D61">
              <w:rPr>
                <w:b/>
              </w:rPr>
              <w:t>]</w:t>
            </w:r>
            <w:r w:rsidRPr="000A1CDE">
              <w:t xml:space="preserve"> (b) </w:t>
            </w:r>
            <w:r w:rsidRPr="00792D61">
              <w:rPr>
                <w:b/>
              </w:rPr>
              <w:t>[</w:t>
            </w:r>
            <w:r w:rsidRPr="000A1CDE">
              <w:t>and (c)</w:t>
            </w:r>
            <w:r w:rsidRPr="00792D61">
              <w:rPr>
                <w:b/>
              </w:rPr>
              <w:t>]</w:t>
            </w:r>
            <w:r w:rsidRPr="000A1CDE">
              <w:t xml:space="preserve">, the applicable grace period with respect to payments under and in accordance with the terms of the relevant Obligation in effect as of the date as of which such Obligation is issued or incurred; </w:t>
            </w:r>
            <w:r w:rsidRPr="00792D61">
              <w:rPr>
                <w:b/>
              </w:rPr>
              <w:t>[</w:t>
            </w:r>
            <w:r w:rsidRPr="000A1CDE">
              <w:t>and</w:t>
            </w:r>
            <w:r w:rsidRPr="00792D61">
              <w:rPr>
                <w:b/>
              </w:rPr>
              <w:t>]</w:t>
            </w:r>
          </w:p>
        </w:tc>
        <w:tc>
          <w:tcPr>
            <w:tcW w:w="1618" w:type="dxa"/>
            <w:gridSpan w:val="2"/>
            <w:tcBorders>
              <w:top w:val="nil"/>
              <w:bottom w:val="nil"/>
              <w:right w:val="nil"/>
            </w:tcBorders>
            <w:shd w:val="clear" w:color="auto" w:fill="auto"/>
          </w:tcPr>
          <w:p w:rsidR="0017135D" w:rsidRPr="000A1CDE" w:rsidP="00320AEA">
            <w:pPr>
              <w:pStyle w:val="CSBody8pt"/>
            </w:pPr>
            <w:r w:rsidRPr="000A1CDE">
              <w:t>Nachfrist</w:t>
            </w:r>
            <w:r>
              <w:fldChar w:fldCharType="begin"/>
            </w:r>
            <w:r>
              <w:instrText xml:space="preserve"> XE "</w:instrText>
            </w:r>
            <w:r w:rsidRPr="001A72D1">
              <w:instrText>Nachfrist</w:instrText>
            </w:r>
            <w:r>
              <w:instrText xml:space="preserve">" </w:instrText>
            </w:r>
            <w:r>
              <w:fldChar w:fldCharType="end"/>
            </w:r>
          </w:p>
        </w:tc>
        <w:tc>
          <w:tcPr>
            <w:tcW w:w="3318" w:type="dxa"/>
            <w:tcBorders>
              <w:top w:val="nil"/>
              <w:left w:val="nil"/>
              <w:bottom w:val="nil"/>
              <w:right w:val="nil"/>
            </w:tcBorders>
            <w:shd w:val="clear" w:color="auto" w:fill="auto"/>
          </w:tcPr>
          <w:p w:rsidR="0017135D" w:rsidRPr="00F23268" w:rsidP="00320AEA">
            <w:pPr>
              <w:pStyle w:val="CSManNum8pt"/>
              <w:rPr>
                <w:lang w:val="de-DE"/>
              </w:rPr>
            </w:pPr>
            <w:r w:rsidRPr="000A1CDE">
              <w:rPr>
                <w:lang w:val="de-DE"/>
              </w:rPr>
              <w:t>(a)</w:t>
            </w:r>
            <w:r w:rsidRPr="000A1CDE">
              <w:rPr>
                <w:lang w:val="de-DE"/>
              </w:rPr>
              <w:tab/>
              <w:t xml:space="preserve">vorbehaltlich </w:t>
            </w:r>
            <w:r w:rsidRPr="00792D61">
              <w:rPr>
                <w:b/>
                <w:lang w:val="de-DE"/>
              </w:rPr>
              <w:t>[</w:t>
            </w:r>
            <w:r w:rsidRPr="000A1CDE">
              <w:rPr>
                <w:lang w:val="de-DE"/>
              </w:rPr>
              <w:t>des Absatzes (b)</w:t>
            </w:r>
            <w:r w:rsidRPr="00792D61">
              <w:rPr>
                <w:b/>
                <w:lang w:val="de-DE"/>
              </w:rPr>
              <w:t>][</w:t>
            </w:r>
            <w:r w:rsidRPr="000A1CDE">
              <w:rPr>
                <w:lang w:val="de-DE"/>
              </w:rPr>
              <w:t>der Absätze (b) und (c)</w:t>
            </w:r>
            <w:r w:rsidRPr="00792D61">
              <w:rPr>
                <w:b/>
                <w:lang w:val="de-DE"/>
              </w:rPr>
              <w:t>]</w:t>
            </w:r>
            <w:r w:rsidRPr="000A1CDE">
              <w:rPr>
                <w:lang w:val="de-DE"/>
              </w:rPr>
              <w:t xml:space="preserve"> die für Zahlungen auf die betreffende Verbindlichkeit anwendbare Nachfrist, die gemäss den am Tag der Begebung oder Entstehung der Verbindlichkeit geltenden Bedingungen bestimmt wird; </w:t>
            </w:r>
            <w:r w:rsidRPr="00792D61">
              <w:rPr>
                <w:b/>
                <w:lang w:val="de-DE"/>
              </w:rPr>
              <w:t>[</w:t>
            </w:r>
            <w:r w:rsidRPr="000A1CDE">
              <w:rPr>
                <w:lang w:val="de-DE"/>
              </w:rPr>
              <w:t>und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23268" w:rsidP="00320AEA">
            <w:pPr>
              <w:pStyle w:val="CSBody8ptbolditalics"/>
              <w:rPr>
                <w:lang w:val="de-DE"/>
              </w:rPr>
            </w:pPr>
          </w:p>
        </w:tc>
        <w:tc>
          <w:tcPr>
            <w:tcW w:w="3315" w:type="dxa"/>
            <w:gridSpan w:val="2"/>
            <w:tcBorders>
              <w:top w:val="nil"/>
              <w:left w:val="nil"/>
              <w:bottom w:val="nil"/>
            </w:tcBorders>
            <w:shd w:val="clear" w:color="auto" w:fill="auto"/>
          </w:tcPr>
          <w:p w:rsidR="0017135D" w:rsidRPr="00F23268" w:rsidP="00320AEA">
            <w:pPr>
              <w:pStyle w:val="CSBody8ptbolditalics"/>
            </w:pPr>
            <w:r w:rsidRPr="00792D61">
              <w:t>[</w:t>
            </w:r>
            <w:r w:rsidRPr="00F23268">
              <w:t>if "Grace Period Extension" is specified in Section 1.1, insert:</w:t>
            </w:r>
          </w:p>
        </w:tc>
        <w:tc>
          <w:tcPr>
            <w:tcW w:w="1618" w:type="dxa"/>
            <w:gridSpan w:val="2"/>
            <w:tcBorders>
              <w:top w:val="nil"/>
              <w:bottom w:val="nil"/>
              <w:right w:val="nil"/>
            </w:tcBorders>
            <w:shd w:val="clear" w:color="auto" w:fill="auto"/>
          </w:tcPr>
          <w:p w:rsidR="0017135D" w:rsidRPr="00F23268" w:rsidP="00320AEA">
            <w:pPr>
              <w:pStyle w:val="CSBody8ptbolditalics"/>
            </w:pPr>
          </w:p>
        </w:tc>
        <w:tc>
          <w:tcPr>
            <w:tcW w:w="3318" w:type="dxa"/>
            <w:tcBorders>
              <w:top w:val="nil"/>
              <w:left w:val="nil"/>
              <w:bottom w:val="nil"/>
              <w:right w:val="nil"/>
            </w:tcBorders>
            <w:shd w:val="clear" w:color="auto" w:fill="auto"/>
          </w:tcPr>
          <w:p w:rsidR="0017135D" w:rsidRPr="00F23268" w:rsidP="00320AEA">
            <w:pPr>
              <w:pStyle w:val="CSBody8ptbolditalics"/>
              <w:rPr>
                <w:bCs/>
                <w:lang w:val="de-DE"/>
              </w:rPr>
            </w:pPr>
            <w:r w:rsidRPr="00792D61">
              <w:rPr>
                <w:bCs/>
                <w:lang w:val="de-DE"/>
              </w:rPr>
              <w:t>[</w:t>
            </w:r>
            <w:r w:rsidRPr="00F23268">
              <w:rPr>
                <w:bCs/>
                <w:lang w:val="de-DE"/>
              </w:rPr>
              <w:t>falls in Ziffer 1.1 "Verlängerung wegen Nachfrist" als anwendbar angegeben ist,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23268" w:rsidP="00A457E7">
            <w:pPr>
              <w:pStyle w:val="CSBody0"/>
              <w:rPr>
                <w:lang w:val="de-DE"/>
              </w:rPr>
            </w:pPr>
          </w:p>
        </w:tc>
        <w:tc>
          <w:tcPr>
            <w:tcW w:w="3315" w:type="dxa"/>
            <w:gridSpan w:val="2"/>
            <w:tcBorders>
              <w:top w:val="nil"/>
              <w:left w:val="nil"/>
              <w:bottom w:val="nil"/>
            </w:tcBorders>
            <w:shd w:val="clear" w:color="auto" w:fill="auto"/>
          </w:tcPr>
          <w:p w:rsidR="0017135D" w:rsidRPr="00F23268" w:rsidP="00320AEA">
            <w:pPr>
              <w:pStyle w:val="CSManNum8pt"/>
            </w:pPr>
            <w:r w:rsidRPr="00F23268">
              <w:t>(b)</w:t>
            </w:r>
            <w:r w:rsidRPr="00F23268">
              <w:tab/>
              <w:t xml:space="preserve">if a Potential Failure to Pay has occurred on or prior to the Scheduled Maturity Date and the applicable grace period cannot, by its terms, expire on or prior to the Scheduled Maturity Date (or a relevant Interest Payment Date, as applicable) the Grace Period shall be deemed to be the lesser of such grace period and </w:t>
            </w:r>
            <w:r w:rsidRPr="00792D61">
              <w:rPr>
                <w:b/>
              </w:rPr>
              <w:t>[[</w:t>
            </w:r>
            <w:r w:rsidRPr="00F23268">
              <w:t>•</w:t>
            </w:r>
            <w:r w:rsidRPr="00792D61">
              <w:rPr>
                <w:b/>
              </w:rPr>
              <w:t>]][</w:t>
            </w:r>
            <w:r w:rsidRPr="00F23268">
              <w:t>thirty</w:t>
            </w:r>
            <w:r w:rsidRPr="00792D61">
              <w:rPr>
                <w:b/>
              </w:rPr>
              <w:t>]</w:t>
            </w:r>
            <w:r w:rsidRPr="00F23268">
              <w:t xml:space="preserve"> calendar days; and</w:t>
            </w:r>
            <w:r w:rsidRPr="00792D61">
              <w:rPr>
                <w:b/>
              </w:rPr>
              <w:t>]</w:t>
            </w:r>
          </w:p>
        </w:tc>
        <w:tc>
          <w:tcPr>
            <w:tcW w:w="1618" w:type="dxa"/>
            <w:gridSpan w:val="2"/>
            <w:tcBorders>
              <w:top w:val="nil"/>
              <w:bottom w:val="nil"/>
              <w:right w:val="nil"/>
            </w:tcBorders>
            <w:shd w:val="clear" w:color="auto" w:fill="auto"/>
          </w:tcPr>
          <w:p w:rsidR="0017135D" w:rsidRPr="00F23268" w:rsidP="00320AEA">
            <w:pPr>
              <w:pStyle w:val="CSManNum8pt"/>
              <w:rPr>
                <w:i/>
              </w:rPr>
            </w:pPr>
          </w:p>
        </w:tc>
        <w:tc>
          <w:tcPr>
            <w:tcW w:w="3318" w:type="dxa"/>
            <w:tcBorders>
              <w:top w:val="nil"/>
              <w:left w:val="nil"/>
              <w:bottom w:val="nil"/>
              <w:right w:val="nil"/>
            </w:tcBorders>
            <w:shd w:val="clear" w:color="auto" w:fill="auto"/>
          </w:tcPr>
          <w:p w:rsidR="0017135D" w:rsidRPr="00F23268" w:rsidP="000163E2">
            <w:pPr>
              <w:pStyle w:val="CSManNum8pt"/>
              <w:rPr>
                <w:bCs/>
                <w:lang w:val="de-DE"/>
              </w:rPr>
            </w:pPr>
            <w:r w:rsidRPr="00F23268">
              <w:rPr>
                <w:bCs/>
                <w:lang w:val="de-DE"/>
              </w:rPr>
              <w:t>(b)</w:t>
            </w:r>
            <w:r w:rsidRPr="00F23268">
              <w:rPr>
                <w:bCs/>
                <w:lang w:val="de-DE"/>
              </w:rPr>
              <w:tab/>
              <w:t xml:space="preserve">wenn eine Potenzielle Nichtzahlung an oder vor dem Planmässigen Fälligkeitstag eingetreten ist und die anwendbare Nachfrist nach ihren Bestimmungen nicht an oder vor dem Planmässigen Fälligkeitstag (oder einem massgeblichen Zinszahlungstag, falls anwendbar) ablaufen kann, gilt als Nachfrist im Sinne dieser Definition entweder die vorstehend erwähnte anwendbare Nachfrist oder ein Zeitraum von </w:t>
            </w:r>
            <w:r w:rsidRPr="00792D61">
              <w:rPr>
                <w:b/>
                <w:bCs/>
                <w:lang w:val="de-DE"/>
              </w:rPr>
              <w:t>[[</w:t>
            </w:r>
            <w:r w:rsidRPr="00F23268">
              <w:rPr>
                <w:bCs/>
                <w:lang w:val="de-DE"/>
              </w:rPr>
              <w:t>•</w:t>
            </w:r>
            <w:r w:rsidRPr="00792D61">
              <w:rPr>
                <w:b/>
                <w:bCs/>
                <w:lang w:val="de-DE"/>
              </w:rPr>
              <w:t>]][</w:t>
            </w:r>
            <w:r w:rsidRPr="00F23268">
              <w:rPr>
                <w:bCs/>
                <w:lang w:val="de-DE"/>
              </w:rPr>
              <w:t>dreissig</w:t>
            </w:r>
            <w:r w:rsidRPr="00792D61">
              <w:rPr>
                <w:b/>
                <w:bCs/>
                <w:lang w:val="de-DE"/>
              </w:rPr>
              <w:t>]</w:t>
            </w:r>
            <w:r w:rsidRPr="00F23268">
              <w:rPr>
                <w:bCs/>
                <w:lang w:val="de-DE"/>
              </w:rPr>
              <w:t xml:space="preserve"> Kalendertagen, je nachdem, welcher Zeitraum der kürzere ist; und</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23268" w:rsidP="00A457E7">
            <w:pPr>
              <w:pStyle w:val="CSBody0"/>
              <w:rPr>
                <w:lang w:val="de-DE"/>
              </w:rPr>
            </w:pPr>
          </w:p>
        </w:tc>
        <w:tc>
          <w:tcPr>
            <w:tcW w:w="3315" w:type="dxa"/>
            <w:gridSpan w:val="2"/>
            <w:tcBorders>
              <w:top w:val="nil"/>
              <w:left w:val="nil"/>
              <w:bottom w:val="nil"/>
            </w:tcBorders>
            <w:shd w:val="clear" w:color="auto" w:fill="auto"/>
          </w:tcPr>
          <w:p w:rsidR="0017135D" w:rsidRPr="00F23268" w:rsidP="00320AEA">
            <w:pPr>
              <w:pStyle w:val="CSManNum8pt"/>
            </w:pPr>
            <w:r>
              <w:rPr>
                <w:b/>
              </w:rPr>
              <w:t>[</w:t>
            </w:r>
            <w:r>
              <w:t>(b)</w:t>
            </w:r>
            <w:r>
              <w:rPr>
                <w:b/>
              </w:rPr>
              <w:t>][</w:t>
            </w:r>
            <w:r w:rsidRPr="00F23268">
              <w:t>(c)</w:t>
            </w:r>
            <w:r>
              <w:rPr>
                <w:b/>
              </w:rPr>
              <w:t>]</w:t>
            </w:r>
            <w:r w:rsidRPr="00F23268">
              <w:tab/>
              <w:t xml:space="preserve">if, as of the date as of which an Obligation is issued or incurred, no grace period with respect to payments or a grace period with respect to payments of less than three Grace Period Business Days is applicable under the terms of such Obligation, a Grace Period of three Grace Period Business Days shall be deemed to apply to such Obligation; provided that </w:t>
            </w:r>
            <w:r w:rsidRPr="00792D61">
              <w:rPr>
                <w:b/>
              </w:rPr>
              <w:t>[</w:t>
            </w:r>
            <w:r w:rsidRPr="00320AEA">
              <w:rPr>
                <w:b/>
                <w:i/>
              </w:rPr>
              <w:t>if "Grace Period Extension" is specified in Section 1.1 as applicable, insert:</w:t>
            </w:r>
            <w:r w:rsidRPr="00F23268">
              <w:t xml:space="preserve"> ,except for clause (b) above,</w:t>
            </w:r>
            <w:r w:rsidRPr="00792D61">
              <w:rPr>
                <w:b/>
              </w:rPr>
              <w:t>]</w:t>
            </w:r>
            <w:r w:rsidRPr="00F23268">
              <w:t xml:space="preserve"> such deemed Grace Period shall expire no later than the Scheduled Maturity Date (or a relevant Interest Payment Date, as applicable).</w:t>
            </w:r>
          </w:p>
        </w:tc>
        <w:tc>
          <w:tcPr>
            <w:tcW w:w="1618" w:type="dxa"/>
            <w:gridSpan w:val="2"/>
            <w:tcBorders>
              <w:top w:val="nil"/>
              <w:bottom w:val="nil"/>
              <w:right w:val="nil"/>
            </w:tcBorders>
            <w:shd w:val="clear" w:color="auto" w:fill="auto"/>
          </w:tcPr>
          <w:p w:rsidR="0017135D" w:rsidRPr="00F23268" w:rsidP="00320AEA">
            <w:pPr>
              <w:pStyle w:val="CSManNum8pt"/>
              <w:rPr>
                <w:i/>
              </w:rPr>
            </w:pPr>
          </w:p>
        </w:tc>
        <w:tc>
          <w:tcPr>
            <w:tcW w:w="3318" w:type="dxa"/>
            <w:tcBorders>
              <w:top w:val="nil"/>
              <w:left w:val="nil"/>
              <w:bottom w:val="nil"/>
              <w:right w:val="nil"/>
            </w:tcBorders>
            <w:shd w:val="clear" w:color="auto" w:fill="auto"/>
          </w:tcPr>
          <w:p w:rsidR="0017135D" w:rsidRPr="00F23268" w:rsidP="000163E2">
            <w:pPr>
              <w:pStyle w:val="CSManNum8pt"/>
              <w:rPr>
                <w:bCs/>
                <w:lang w:val="de-DE"/>
              </w:rPr>
            </w:pPr>
            <w:r>
              <w:rPr>
                <w:b/>
                <w:bCs/>
                <w:lang w:val="de-DE"/>
              </w:rPr>
              <w:t>[</w:t>
            </w:r>
            <w:r>
              <w:rPr>
                <w:bCs/>
                <w:lang w:val="de-DE"/>
              </w:rPr>
              <w:t>(b)</w:t>
            </w:r>
            <w:r>
              <w:rPr>
                <w:b/>
                <w:bCs/>
                <w:lang w:val="de-DE"/>
              </w:rPr>
              <w:t>][</w:t>
            </w:r>
            <w:r w:rsidRPr="00F23268">
              <w:rPr>
                <w:bCs/>
                <w:lang w:val="de-DE"/>
              </w:rPr>
              <w:t>(c)</w:t>
            </w:r>
            <w:r>
              <w:rPr>
                <w:b/>
                <w:bCs/>
                <w:lang w:val="de-DE"/>
              </w:rPr>
              <w:t>]</w:t>
            </w:r>
            <w:r w:rsidRPr="00F23268">
              <w:rPr>
                <w:bCs/>
                <w:lang w:val="de-DE"/>
              </w:rPr>
              <w:tab/>
              <w:t>wenn am Tag der Begebung oder der Entstehung einer Verbindlichkeit nach den Bedingungen dieser Verbindlichkeit keine Nachfrist für Zahlungen anwendbar ist oder aber eine Nachfrist anwendbar ist, die kürzer als drei Nachfrist</w:t>
            </w:r>
            <w:r>
              <w:rPr>
                <w:bCs/>
                <w:lang w:val="de-DE"/>
              </w:rPr>
              <w:t>-</w:t>
            </w:r>
            <w:r w:rsidRPr="00F23268">
              <w:rPr>
                <w:bCs/>
                <w:lang w:val="de-DE"/>
              </w:rPr>
              <w:t xml:space="preserve">Geschäftstage ist, gilt eine Nachfrist von drei Nachfrist-Geschäftstagen als in Bezug auf die Verbindlichkeit anwendbar; wobei diese angenommene Nachfrist </w:t>
            </w:r>
            <w:r w:rsidRPr="00792D61">
              <w:rPr>
                <w:b/>
                <w:bCs/>
                <w:lang w:val="de-DE"/>
              </w:rPr>
              <w:t>[</w:t>
            </w:r>
            <w:r w:rsidRPr="00320AEA">
              <w:rPr>
                <w:b/>
                <w:bCs/>
                <w:i/>
                <w:lang w:val="de-DE"/>
              </w:rPr>
              <w:t>falls in Ziffer 1.1 "Verlängerung wegen Nachfrist" als anwendbar angegeben ist, einfügen:</w:t>
            </w:r>
            <w:r w:rsidRPr="00F23268">
              <w:rPr>
                <w:bCs/>
                <w:lang w:val="de-DE"/>
              </w:rPr>
              <w:t>, ausser im Fall des vorstehenden Absatzes (b),</w:t>
            </w:r>
            <w:r w:rsidRPr="00792D61">
              <w:rPr>
                <w:b/>
                <w:bCs/>
                <w:lang w:val="de-DE"/>
              </w:rPr>
              <w:t>]</w:t>
            </w:r>
            <w:r w:rsidRPr="00F23268">
              <w:rPr>
                <w:bCs/>
                <w:lang w:val="de-DE"/>
              </w:rPr>
              <w:t xml:space="preserve"> spätestens am Planmässigen Fälligkeitstag (oder einem massgeblichen Zinszahlungstag, falls anwendbar) abläuft.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A1CDE" w:rsidP="00320AEA">
            <w:pPr>
              <w:pStyle w:val="CSBody8pt"/>
              <w:rPr>
                <w:lang w:val="de-DE"/>
              </w:rPr>
            </w:pPr>
            <w:r w:rsidRPr="000A1CDE">
              <w:rPr>
                <w:lang w:val="de-DE"/>
              </w:rPr>
              <w:t>Grace Period Business Day</w:t>
            </w:r>
            <w:r>
              <w:rPr>
                <w:lang w:val="de-DE"/>
              </w:rPr>
              <w:fldChar w:fldCharType="begin"/>
            </w:r>
            <w:r>
              <w:instrText xml:space="preserve"> XE "</w:instrText>
            </w:r>
            <w:r w:rsidRPr="00BB7F6E">
              <w:rPr>
                <w:lang w:val="de-DE"/>
              </w:rPr>
              <w:instrText>Grace Period Business Day</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0A1CDE" w:rsidP="00320AEA">
            <w:pPr>
              <w:pStyle w:val="CSBody8pt"/>
            </w:pPr>
            <w:r w:rsidRPr="000A1CDE">
              <w:t>a day on which commercial banks and foreign exchange markets are generally open to settle payments in the place or places and on the days specified for that purpose in the relevant Obligation or if a place or places are not so specified, (a) if the Obligation Currency is the euro, a</w:t>
            </w:r>
            <w:r>
              <w:t xml:space="preserve"> </w:t>
            </w:r>
            <w:r w:rsidRPr="000A1CDE">
              <w:t>TARGET Business Day, or (b) otherwise, a day on which commercial banks and foreign exchange markets are generally open to settle payments in the principal financial city in the jurisdiction of the Obligation Currency.</w:t>
            </w:r>
          </w:p>
        </w:tc>
        <w:tc>
          <w:tcPr>
            <w:tcW w:w="1618" w:type="dxa"/>
            <w:gridSpan w:val="2"/>
            <w:tcBorders>
              <w:top w:val="nil"/>
              <w:bottom w:val="nil"/>
              <w:right w:val="nil"/>
            </w:tcBorders>
            <w:shd w:val="clear" w:color="auto" w:fill="auto"/>
          </w:tcPr>
          <w:p w:rsidR="0017135D" w:rsidRPr="000A1CDE" w:rsidP="00320AEA">
            <w:pPr>
              <w:pStyle w:val="CSBody8pt"/>
            </w:pPr>
            <w:r w:rsidRPr="000A1CDE">
              <w:t>Nachfrist-Geschäftstag</w:t>
            </w:r>
            <w:r>
              <w:fldChar w:fldCharType="begin"/>
            </w:r>
            <w:r>
              <w:instrText xml:space="preserve"> XE "</w:instrText>
            </w:r>
            <w:r w:rsidRPr="009A5077">
              <w:instrText>Nachfrist-Geschäftstag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F23268" w:rsidP="00320AEA">
            <w:pPr>
              <w:pStyle w:val="CSBody8pt"/>
              <w:rPr>
                <w:bCs/>
                <w:lang w:val="de-DE"/>
              </w:rPr>
            </w:pPr>
            <w:r w:rsidRPr="000A1CDE">
              <w:rPr>
                <w:bCs/>
                <w:lang w:val="de-DE"/>
              </w:rPr>
              <w:t>ein Tag, an dem Geschäftsbanken und Devisenmärkte an dem Ort bzw. den Orten und an den Tagen allgemein für die Abwicklung von Zahlungen geöffnet sind, die zu diesem Zweck in den Bedingungen der betreffenden Verbindlichkeit genannt sind, oder, falls dort keine solche Ortsangabe(n) gemacht ist (sind), (a) bei Euro als Verbindlichkeitenwährung ein TARGET Geschäftstag und (b) in allen anderen Fällen ein Tag, an dem die Geschäftsbanken und Devisenmärkte am Hauptfinanzplatz im Land der Verbindlichkeitenwährung allgemein für die Abwicklung von Zahlungen geöffnet sind.</w:t>
            </w:r>
          </w:p>
        </w:tc>
      </w:tr>
      <w:tr w:rsidTr="004C1EBA">
        <w:tblPrEx>
          <w:tblW w:w="4999" w:type="pct"/>
          <w:tblLayout w:type="fixed"/>
          <w:tblCellMar>
            <w:left w:w="115" w:type="dxa"/>
            <w:right w:w="115" w:type="dxa"/>
          </w:tblCellMar>
          <w:tblLook w:val="04A0"/>
        </w:tblPrEx>
        <w:trPr>
          <w:trHeight w:val="2593"/>
        </w:trPr>
        <w:tc>
          <w:tcPr>
            <w:tcW w:w="1616" w:type="dxa"/>
            <w:gridSpan w:val="3"/>
            <w:tcBorders>
              <w:top w:val="nil"/>
              <w:left w:val="nil"/>
              <w:right w:val="nil"/>
            </w:tcBorders>
            <w:shd w:val="clear" w:color="auto" w:fill="auto"/>
          </w:tcPr>
          <w:p w:rsidR="0017135D" w:rsidRPr="00F23268" w:rsidP="00320AEA">
            <w:pPr>
              <w:pStyle w:val="CSBody8ptbolditalics"/>
            </w:pPr>
            <w:r w:rsidRPr="00792D61">
              <w:t>[</w:t>
            </w:r>
            <w:r w:rsidRPr="00F23268">
              <w:t>if "Grace Period Extension" is applicable, insert:</w:t>
            </w:r>
          </w:p>
          <w:p w:rsidR="0017135D" w:rsidRPr="00F23268" w:rsidP="00320AEA">
            <w:pPr>
              <w:pStyle w:val="CSBody8pt"/>
            </w:pPr>
            <w:r w:rsidRPr="00431C8B">
              <w:t>Grace Period Extension Date</w:t>
            </w:r>
            <w:r>
              <w:fldChar w:fldCharType="begin"/>
            </w:r>
            <w:r>
              <w:instrText xml:space="preserve"> XE "</w:instrText>
            </w:r>
            <w:r w:rsidRPr="002B4372">
              <w:instrText>Grace Period Extension Date</w:instrText>
            </w:r>
            <w:r>
              <w:instrText xml:space="preserve">" \f "EN" </w:instrText>
            </w:r>
            <w:r>
              <w:fldChar w:fldCharType="end"/>
            </w:r>
          </w:p>
        </w:tc>
        <w:tc>
          <w:tcPr>
            <w:tcW w:w="3315" w:type="dxa"/>
            <w:gridSpan w:val="2"/>
            <w:tcBorders>
              <w:top w:val="nil"/>
              <w:left w:val="nil"/>
            </w:tcBorders>
            <w:shd w:val="clear" w:color="auto" w:fill="auto"/>
          </w:tcPr>
          <w:p w:rsidR="0017135D" w:rsidRPr="00F23268" w:rsidP="00320AEA">
            <w:pPr>
              <w:pStyle w:val="CSBody8pt"/>
            </w:pPr>
            <w:r w:rsidRPr="00F23268">
              <w:t>if a Potential Failure to Pay occurs on or prior to the Scheduled Maturity Date (or a relevant Interest Payment Date, if  applicable) the date that is the number of days in the Grace Period after the date of such Potential Failure to Pay</w:t>
            </w:r>
            <w:r w:rsidRPr="00792D61">
              <w:rPr>
                <w:b/>
              </w:rPr>
              <w:t>]</w:t>
            </w:r>
          </w:p>
        </w:tc>
        <w:tc>
          <w:tcPr>
            <w:tcW w:w="1618" w:type="dxa"/>
            <w:gridSpan w:val="2"/>
            <w:tcBorders>
              <w:top w:val="nil"/>
              <w:right w:val="nil"/>
            </w:tcBorders>
            <w:shd w:val="clear" w:color="auto" w:fill="auto"/>
          </w:tcPr>
          <w:p w:rsidR="0017135D" w:rsidRPr="00F23268" w:rsidP="00320AEA">
            <w:pPr>
              <w:pStyle w:val="CSBody8ptbolditalics"/>
              <w:rPr>
                <w:lang w:val="de-DE"/>
              </w:rPr>
            </w:pPr>
            <w:r w:rsidRPr="00792D61">
              <w:rPr>
                <w:lang w:val="de-DE"/>
              </w:rPr>
              <w:t>[</w:t>
            </w:r>
            <w:r w:rsidRPr="00F23268">
              <w:rPr>
                <w:lang w:val="de-DE"/>
              </w:rPr>
              <w:t>falls "Verlängerung wegen Nachfrist" anwendbar ist, einfügen:</w:t>
            </w:r>
          </w:p>
          <w:p w:rsidR="0017135D" w:rsidRPr="00F23268" w:rsidP="00320AEA">
            <w:pPr>
              <w:pStyle w:val="CSBody8pt"/>
              <w:rPr>
                <w:lang w:val="de-DE"/>
              </w:rPr>
            </w:pPr>
            <w:r w:rsidRPr="00431C8B">
              <w:t>Nachfrist-Verlängerungstag</w:t>
            </w:r>
            <w:r>
              <w:fldChar w:fldCharType="begin"/>
            </w:r>
            <w:r>
              <w:instrText xml:space="preserve"> XE "</w:instrText>
            </w:r>
            <w:r w:rsidRPr="007E15A6">
              <w:instrText>Nachfrist-Verlängerungstag</w:instrText>
            </w:r>
            <w:r>
              <w:instrText xml:space="preserve">" </w:instrText>
            </w:r>
            <w:r>
              <w:fldChar w:fldCharType="end"/>
            </w:r>
          </w:p>
        </w:tc>
        <w:tc>
          <w:tcPr>
            <w:tcW w:w="3318" w:type="dxa"/>
            <w:tcBorders>
              <w:top w:val="nil"/>
              <w:left w:val="nil"/>
              <w:right w:val="nil"/>
            </w:tcBorders>
            <w:shd w:val="clear" w:color="auto" w:fill="auto"/>
          </w:tcPr>
          <w:p w:rsidR="0017135D" w:rsidRPr="00F23268" w:rsidP="000163E2">
            <w:pPr>
              <w:pStyle w:val="CSBody8pt"/>
              <w:rPr>
                <w:bCs/>
                <w:lang w:val="de-DE"/>
              </w:rPr>
            </w:pPr>
            <w:r w:rsidRPr="00F23268">
              <w:rPr>
                <w:bCs/>
                <w:lang w:val="de-DE"/>
              </w:rPr>
              <w:t>wenn eine Potenzielle Nichtzahlung an oder vor dem Planmässigen Fälligkeitstag (oder einem massgeblichen Zinszahlungstag, falls anwendbar) eingetreten ist, der Tag, der die Anzahl der Tage der Nachfrist nach dem Tag dieser Potenziellen Nichtzahlung liegt.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E502F" w:rsidP="0046463E">
            <w:pPr>
              <w:pStyle w:val="CSBody8ptbolditalics"/>
            </w:pPr>
            <w:r w:rsidRPr="00792D61">
              <w:t>[</w:t>
            </w:r>
            <w:r w:rsidRPr="000E502F">
              <w:t>in case of Complex Products linked to a Reference Obligation:</w:t>
            </w:r>
          </w:p>
          <w:p w:rsidR="0017135D" w:rsidRPr="00431C8B" w:rsidP="00320AEA">
            <w:pPr>
              <w:pStyle w:val="CSBody8pt"/>
            </w:pPr>
            <w:r w:rsidRPr="00431C8B">
              <w:t>Guarantee</w:t>
            </w:r>
            <w:r>
              <w:fldChar w:fldCharType="begin"/>
            </w:r>
            <w:r>
              <w:instrText xml:space="preserve"> XE "</w:instrText>
            </w:r>
            <w:r w:rsidRPr="007C70F1">
              <w:instrText>Guarantee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431C8B" w:rsidP="00320AEA">
            <w:pPr>
              <w:pStyle w:val="CSBody8pt"/>
            </w:pPr>
            <w:r w:rsidRPr="00431C8B">
              <w:t xml:space="preserve">a Relevant Guarantee or a guarantee which is the Reference Obligation </w:t>
            </w:r>
            <w:r w:rsidRPr="000A1B82">
              <w:rPr>
                <w:b/>
              </w:rPr>
              <w:t>]</w:t>
            </w:r>
          </w:p>
        </w:tc>
        <w:tc>
          <w:tcPr>
            <w:tcW w:w="1618" w:type="dxa"/>
            <w:gridSpan w:val="2"/>
            <w:tcBorders>
              <w:top w:val="nil"/>
              <w:bottom w:val="nil"/>
              <w:right w:val="nil"/>
            </w:tcBorders>
            <w:shd w:val="clear" w:color="auto" w:fill="auto"/>
          </w:tcPr>
          <w:p w:rsidR="0017135D" w:rsidRPr="000E502F" w:rsidP="0046463E">
            <w:pPr>
              <w:pStyle w:val="CSBody8ptbolditalics"/>
              <w:rPr>
                <w:lang w:val="de-DE"/>
              </w:rPr>
            </w:pPr>
            <w:r w:rsidRPr="00792D61">
              <w:rPr>
                <w:lang w:val="de-DE"/>
              </w:rPr>
              <w:t>[</w:t>
            </w:r>
            <w:r w:rsidRPr="000E502F">
              <w:rPr>
                <w:lang w:val="de-DE"/>
              </w:rPr>
              <w:t>bei an eine Referenzverbindlichkeit gekoppelten Komplexen Produkten:</w:t>
            </w:r>
          </w:p>
          <w:p w:rsidR="0017135D" w:rsidRPr="00431C8B" w:rsidP="00320AEA">
            <w:pPr>
              <w:pStyle w:val="CSBody8pt"/>
            </w:pPr>
            <w:r w:rsidRPr="00431C8B">
              <w:t>Garantie</w:t>
            </w:r>
            <w:r>
              <w:fldChar w:fldCharType="begin"/>
            </w:r>
            <w:r>
              <w:instrText xml:space="preserve"> XE "</w:instrText>
            </w:r>
            <w:r w:rsidRPr="000A2404">
              <w:instrText>Garantie</w:instrText>
            </w:r>
            <w:r>
              <w:instrText xml:space="preserve">" </w:instrText>
            </w:r>
            <w:r>
              <w:fldChar w:fldCharType="end"/>
            </w:r>
          </w:p>
        </w:tc>
        <w:tc>
          <w:tcPr>
            <w:tcW w:w="3318" w:type="dxa"/>
            <w:tcBorders>
              <w:top w:val="nil"/>
              <w:left w:val="nil"/>
              <w:bottom w:val="nil"/>
              <w:right w:val="nil"/>
            </w:tcBorders>
            <w:shd w:val="clear" w:color="auto" w:fill="auto"/>
          </w:tcPr>
          <w:p w:rsidR="0017135D" w:rsidRPr="00431C8B" w:rsidP="00320AEA">
            <w:pPr>
              <w:pStyle w:val="CSBody8pt"/>
              <w:rPr>
                <w:lang w:val="de-DE"/>
              </w:rPr>
            </w:pPr>
            <w:r w:rsidRPr="00431C8B">
              <w:rPr>
                <w:lang w:val="de-DE"/>
              </w:rPr>
              <w:t>eine Massgebliche Garantie oder eine Garantie, die der Referenzverbindlichkeit entspricht.</w:t>
            </w:r>
            <w:r w:rsidRPr="000A1B82">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31C8B" w:rsidP="00320AEA">
            <w:pPr>
              <w:pStyle w:val="CSBody8pt"/>
            </w:pPr>
            <w:r w:rsidRPr="00431C8B">
              <w:t>Highest</w:t>
            </w:r>
            <w:r>
              <w:fldChar w:fldCharType="begin"/>
            </w:r>
            <w:r>
              <w:instrText xml:space="preserve"> XE "</w:instrText>
            </w:r>
            <w:r w:rsidRPr="00F13B05">
              <w:instrText>Highest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431C8B" w:rsidP="00320AEA">
            <w:pPr>
              <w:pStyle w:val="CSBody8pt"/>
            </w:pPr>
            <w:r w:rsidRPr="00431C8B">
              <w:t xml:space="preserve">the highest Quotation obtained by the Calculation Agent (or in accordance with paragraph (b) of the definition of "Quotation") with respect to </w:t>
            </w:r>
            <w:r w:rsidRPr="00792D61">
              <w:rPr>
                <w:b/>
              </w:rPr>
              <w:t>[</w:t>
            </w:r>
            <w:r w:rsidRPr="00431C8B">
              <w:t>the</w:t>
            </w:r>
            <w:r w:rsidRPr="00792D61">
              <w:rPr>
                <w:b/>
              </w:rPr>
              <w:t>][</w:t>
            </w:r>
            <w:r w:rsidRPr="00431C8B">
              <w:t>any</w:t>
            </w:r>
            <w:r w:rsidRPr="00792D61">
              <w:rPr>
                <w:b/>
              </w:rPr>
              <w:t>]</w:t>
            </w:r>
            <w:r w:rsidRPr="00431C8B">
              <w:t xml:space="preserve"> Valuation Date.</w:t>
            </w:r>
          </w:p>
        </w:tc>
        <w:tc>
          <w:tcPr>
            <w:tcW w:w="1618" w:type="dxa"/>
            <w:gridSpan w:val="2"/>
            <w:tcBorders>
              <w:top w:val="nil"/>
              <w:bottom w:val="nil"/>
              <w:right w:val="nil"/>
            </w:tcBorders>
            <w:shd w:val="clear" w:color="auto" w:fill="auto"/>
          </w:tcPr>
          <w:p w:rsidR="0017135D" w:rsidRPr="00431C8B" w:rsidP="00320AEA">
            <w:pPr>
              <w:pStyle w:val="CSBody8pt"/>
            </w:pPr>
            <w:r w:rsidRPr="00431C8B">
              <w:t>Höchstwert</w:t>
            </w:r>
            <w:r>
              <w:fldChar w:fldCharType="begin"/>
            </w:r>
            <w:r>
              <w:instrText xml:space="preserve"> XE "</w:instrText>
            </w:r>
            <w:r w:rsidRPr="0056302F">
              <w:instrText>Höchstwert</w:instrText>
            </w:r>
            <w:r>
              <w:instrText xml:space="preserve">" </w:instrText>
            </w:r>
            <w:r>
              <w:fldChar w:fldCharType="end"/>
            </w:r>
          </w:p>
        </w:tc>
        <w:tc>
          <w:tcPr>
            <w:tcW w:w="3318" w:type="dxa"/>
            <w:tcBorders>
              <w:top w:val="nil"/>
              <w:left w:val="nil"/>
              <w:bottom w:val="nil"/>
              <w:right w:val="nil"/>
            </w:tcBorders>
            <w:shd w:val="clear" w:color="auto" w:fill="auto"/>
          </w:tcPr>
          <w:p w:rsidR="0017135D" w:rsidRPr="00431C8B" w:rsidP="00320AEA">
            <w:pPr>
              <w:pStyle w:val="CSBody8pt"/>
              <w:rPr>
                <w:lang w:val="de-DE"/>
              </w:rPr>
            </w:pPr>
            <w:r w:rsidRPr="00431C8B">
              <w:rPr>
                <w:lang w:val="de-DE"/>
              </w:rPr>
              <w:t xml:space="preserve">die höchste von der Berechnungsstelle (oder gemäss den Bestimmungen von Absatz (b) der Definition "Quotierung") in Bezug auf </w:t>
            </w:r>
            <w:r w:rsidRPr="00792D61">
              <w:rPr>
                <w:b/>
                <w:lang w:val="de-DE"/>
              </w:rPr>
              <w:t>[</w:t>
            </w:r>
            <w:r w:rsidRPr="00431C8B">
              <w:rPr>
                <w:lang w:val="de-DE"/>
              </w:rPr>
              <w:t>den</w:t>
            </w:r>
            <w:r w:rsidRPr="00792D61">
              <w:rPr>
                <w:b/>
                <w:lang w:val="de-DE"/>
              </w:rPr>
              <w:t>][</w:t>
            </w:r>
            <w:r w:rsidRPr="00431C8B">
              <w:rPr>
                <w:lang w:val="de-DE"/>
              </w:rPr>
              <w:t>einen</w:t>
            </w:r>
            <w:r w:rsidRPr="00792D61">
              <w:rPr>
                <w:b/>
                <w:lang w:val="de-DE"/>
              </w:rPr>
              <w:t>]</w:t>
            </w:r>
            <w:r w:rsidRPr="00431C8B">
              <w:rPr>
                <w:lang w:val="de-DE"/>
              </w:rPr>
              <w:t xml:space="preserve"> Bewertungstag eingeholte Quotierung.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454B7" w:rsidP="00320AEA">
            <w:pPr>
              <w:pStyle w:val="CSBody8pt"/>
            </w:pPr>
            <w:r w:rsidRPr="002454B7">
              <w:t>ISDA</w:t>
            </w:r>
          </w:p>
        </w:tc>
        <w:tc>
          <w:tcPr>
            <w:tcW w:w="3315" w:type="dxa"/>
            <w:gridSpan w:val="2"/>
            <w:tcBorders>
              <w:top w:val="nil"/>
              <w:left w:val="nil"/>
              <w:bottom w:val="nil"/>
            </w:tcBorders>
            <w:shd w:val="clear" w:color="auto" w:fill="auto"/>
          </w:tcPr>
          <w:p w:rsidR="0017135D" w:rsidRPr="00E82F3B" w:rsidP="00320AEA">
            <w:pPr>
              <w:pStyle w:val="CSBody8pt"/>
            </w:pPr>
            <w:r w:rsidRPr="00E82F3B">
              <w:t>the International Swaps and Derivatives Association.</w:t>
            </w:r>
          </w:p>
        </w:tc>
        <w:tc>
          <w:tcPr>
            <w:tcW w:w="1618" w:type="dxa"/>
            <w:gridSpan w:val="2"/>
            <w:tcBorders>
              <w:top w:val="nil"/>
              <w:bottom w:val="nil"/>
              <w:right w:val="nil"/>
            </w:tcBorders>
            <w:shd w:val="clear" w:color="auto" w:fill="auto"/>
          </w:tcPr>
          <w:p w:rsidR="0017135D" w:rsidRPr="00451219" w:rsidP="00320AEA">
            <w:pPr>
              <w:pStyle w:val="CSBody8pt"/>
            </w:pPr>
            <w:r w:rsidRPr="00451219">
              <w:t>ISDA</w:t>
            </w:r>
          </w:p>
        </w:tc>
        <w:tc>
          <w:tcPr>
            <w:tcW w:w="3318" w:type="dxa"/>
            <w:tcBorders>
              <w:top w:val="nil"/>
              <w:left w:val="nil"/>
              <w:bottom w:val="nil"/>
              <w:right w:val="nil"/>
            </w:tcBorders>
            <w:shd w:val="clear" w:color="auto" w:fill="auto"/>
          </w:tcPr>
          <w:p w:rsidR="0017135D" w:rsidRPr="0039378B" w:rsidP="00320AEA">
            <w:pPr>
              <w:pStyle w:val="CSBody8pt"/>
            </w:pPr>
            <w:r w:rsidRPr="0039378B">
              <w:t>die International Swaps and Derivatives Association.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31C8B" w:rsidP="00320AEA">
            <w:pPr>
              <w:pStyle w:val="CSBody8pt"/>
            </w:pPr>
            <w:r w:rsidRPr="00431C8B">
              <w:t>Issue Date</w:t>
            </w:r>
            <w:r>
              <w:fldChar w:fldCharType="begin"/>
            </w:r>
            <w:r>
              <w:instrText xml:space="preserve"> XE "</w:instrText>
            </w:r>
            <w:r w:rsidRPr="0070524B">
              <w:instrText>Issue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431C8B" w:rsidP="00320AEA">
            <w:pPr>
              <w:pStyle w:val="CSBody8pt"/>
            </w:pPr>
            <w:r w:rsidRPr="00431C8B">
              <w:t>the date on which the Complex Products are issued, as specified in Section 1.1.</w:t>
            </w:r>
          </w:p>
        </w:tc>
        <w:tc>
          <w:tcPr>
            <w:tcW w:w="1618" w:type="dxa"/>
            <w:gridSpan w:val="2"/>
            <w:tcBorders>
              <w:top w:val="nil"/>
              <w:bottom w:val="nil"/>
              <w:right w:val="nil"/>
            </w:tcBorders>
            <w:shd w:val="clear" w:color="auto" w:fill="auto"/>
          </w:tcPr>
          <w:p w:rsidR="0017135D" w:rsidRPr="00431C8B" w:rsidP="00320AEA">
            <w:pPr>
              <w:pStyle w:val="CSBody8pt"/>
            </w:pPr>
            <w:r w:rsidRPr="00431C8B">
              <w:t>Emissionstag</w:t>
            </w:r>
            <w:r>
              <w:fldChar w:fldCharType="begin"/>
            </w:r>
            <w:r>
              <w:instrText xml:space="preserve"> XE "</w:instrText>
            </w:r>
            <w:r w:rsidRPr="00F4745D">
              <w:instrText>Emissionstag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BB49C5" w:rsidP="00320AEA">
            <w:pPr>
              <w:pStyle w:val="CSBody8pt"/>
              <w:rPr>
                <w:lang w:val="de-DE"/>
              </w:rPr>
            </w:pPr>
            <w:r w:rsidRPr="00431C8B">
              <w:rPr>
                <w:lang w:val="de-DE"/>
              </w:rPr>
              <w:t>der Tag, an dem die Komplexen Produkte nach der Angabe in Ziffer 1.1 begeben werden.</w:t>
            </w:r>
          </w:p>
        </w:tc>
      </w:tr>
      <w:tr w:rsidTr="004C1EBA">
        <w:tblPrEx>
          <w:tblW w:w="4999" w:type="pct"/>
          <w:tblLayout w:type="fixed"/>
          <w:tblCellMar>
            <w:left w:w="115" w:type="dxa"/>
            <w:right w:w="115" w:type="dxa"/>
          </w:tblCellMar>
          <w:tblLook w:val="04A0"/>
        </w:tblPrEx>
        <w:trPr>
          <w:trHeight w:val="4101"/>
        </w:trPr>
        <w:tc>
          <w:tcPr>
            <w:tcW w:w="1616" w:type="dxa"/>
            <w:gridSpan w:val="3"/>
            <w:tcBorders>
              <w:top w:val="nil"/>
              <w:left w:val="nil"/>
              <w:right w:val="nil"/>
            </w:tcBorders>
            <w:shd w:val="clear" w:color="auto" w:fill="auto"/>
          </w:tcPr>
          <w:p w:rsidR="0017135D" w:rsidRPr="00BB49C5" w:rsidP="00320AEA">
            <w:pPr>
              <w:pStyle w:val="CSBody8ptbolditalics"/>
            </w:pPr>
            <w:r w:rsidRPr="00792D61">
              <w:t>[</w:t>
            </w:r>
            <w:r w:rsidRPr="00BB49C5">
              <w:t>if Asset Package Valuation is applicable, insert:</w:t>
            </w:r>
          </w:p>
          <w:p w:rsidR="0017135D" w:rsidRPr="00BB49C5" w:rsidP="00320AEA">
            <w:pPr>
              <w:pStyle w:val="CSBody8pt"/>
            </w:pPr>
            <w:r w:rsidRPr="00431C8B">
              <w:t>Largest Asset Package</w:t>
            </w:r>
            <w:r>
              <w:fldChar w:fldCharType="begin"/>
            </w:r>
            <w:r>
              <w:instrText xml:space="preserve"> XE "</w:instrText>
            </w:r>
            <w:r w:rsidRPr="000D786A">
              <w:instrText>Largest Asset Package</w:instrText>
            </w:r>
            <w:r>
              <w:instrText xml:space="preserve">" \f "EN" </w:instrText>
            </w:r>
            <w:r>
              <w:fldChar w:fldCharType="end"/>
            </w:r>
          </w:p>
        </w:tc>
        <w:tc>
          <w:tcPr>
            <w:tcW w:w="3315" w:type="dxa"/>
            <w:gridSpan w:val="2"/>
            <w:tcBorders>
              <w:top w:val="nil"/>
              <w:left w:val="nil"/>
            </w:tcBorders>
            <w:shd w:val="clear" w:color="auto" w:fill="auto"/>
          </w:tcPr>
          <w:p w:rsidR="0017135D" w:rsidRPr="00BB49C5" w:rsidP="00320AEA">
            <w:pPr>
              <w:pStyle w:val="CSBody8pt"/>
            </w:pPr>
            <w:r w:rsidRPr="004C33AD">
              <w:t xml:space="preserve">in respect of </w:t>
            </w:r>
            <w:r w:rsidRPr="00792D61">
              <w:rPr>
                <w:b/>
              </w:rPr>
              <w:t>[</w:t>
            </w:r>
            <w:r w:rsidRPr="00320AEA">
              <w:rPr>
                <w:b/>
                <w:i/>
              </w:rPr>
              <w:t>if "Financial Reference Entity Terms" is applicable, insert:</w:t>
            </w:r>
            <w:r w:rsidRPr="004C33AD">
              <w:t xml:space="preserve"> a Prior Valuation Obligation</w:t>
            </w:r>
            <w:r w:rsidRPr="00792D61">
              <w:rPr>
                <w:b/>
              </w:rPr>
              <w:t>][</w:t>
            </w:r>
            <w:r w:rsidRPr="004C33AD">
              <w:t>or</w:t>
            </w:r>
            <w:r w:rsidRPr="00792D61">
              <w:rPr>
                <w:b/>
              </w:rPr>
              <w:t>][</w:t>
            </w:r>
            <w:r w:rsidRPr="005F2EAE">
              <w:rPr>
                <w:b/>
                <w:i/>
              </w:rPr>
              <w:t>if a Reference Entity is a Sovereign, insert:</w:t>
            </w:r>
            <w:r w:rsidRPr="004C33AD">
              <w:t xml:space="preserve"> a Package Observable Bond</w:t>
            </w:r>
            <w:r w:rsidRPr="00792D61">
              <w:rPr>
                <w:b/>
              </w:rPr>
              <w:t>][</w:t>
            </w:r>
            <w:r w:rsidRPr="004C33AD">
              <w:t>,</w:t>
            </w:r>
            <w:r w:rsidRPr="00792D61">
              <w:rPr>
                <w:b/>
              </w:rPr>
              <w:t>][</w:t>
            </w:r>
            <w:r w:rsidRPr="004C33AD">
              <w:t>, as the case may be,</w:t>
            </w:r>
            <w:r w:rsidRPr="00792D61">
              <w:rPr>
                <w:b/>
              </w:rPr>
              <w:t>]</w:t>
            </w:r>
            <w:r w:rsidRPr="004C33AD">
              <w:t xml:space="preserve"> the package of Assets for which the greatest amount of principal has been or will be exchanged or converted (including by way of amendment), as determined by the Calculation Agent by reference to Eligible Information. If this cannot be determined, the Largest Asset Package will be the package of Assets with the highest immediately realizable value, determined by the Calculation Agent in accordance with the methodology, if any, determined by the relevant Credit Derivatives Determinations Committee.</w:t>
            </w:r>
            <w:r w:rsidRPr="00792D61">
              <w:rPr>
                <w:b/>
              </w:rPr>
              <w:t>]</w:t>
            </w:r>
          </w:p>
        </w:tc>
        <w:tc>
          <w:tcPr>
            <w:tcW w:w="1618" w:type="dxa"/>
            <w:gridSpan w:val="2"/>
            <w:tcBorders>
              <w:top w:val="nil"/>
              <w:right w:val="nil"/>
            </w:tcBorders>
            <w:shd w:val="clear" w:color="auto" w:fill="auto"/>
          </w:tcPr>
          <w:p w:rsidR="0017135D" w:rsidRPr="00BB49C5" w:rsidP="00320AEA">
            <w:pPr>
              <w:pStyle w:val="CSBody8ptbolditalics"/>
              <w:rPr>
                <w:lang w:val="de-DE"/>
              </w:rPr>
            </w:pPr>
            <w:r w:rsidRPr="00792D61">
              <w:rPr>
                <w:lang w:val="de-DE"/>
              </w:rPr>
              <w:t>[</w:t>
            </w:r>
            <w:r w:rsidRPr="00BB49C5">
              <w:rPr>
                <w:lang w:val="de-DE"/>
              </w:rPr>
              <w:t>falls Asset-Paket-Bewertung anwendbar ist, einfügen:</w:t>
            </w:r>
          </w:p>
          <w:p w:rsidR="0017135D" w:rsidRPr="00BB49C5" w:rsidP="00320AEA">
            <w:pPr>
              <w:pStyle w:val="CSBody8pt"/>
              <w:rPr>
                <w:lang w:val="de-DE"/>
              </w:rPr>
            </w:pPr>
            <w:r w:rsidRPr="00431C8B">
              <w:t>Grösstes Asset-Paket</w:t>
            </w:r>
            <w:r>
              <w:fldChar w:fldCharType="begin"/>
            </w:r>
            <w:r>
              <w:instrText xml:space="preserve"> XE "</w:instrText>
            </w:r>
            <w:r w:rsidRPr="00861B6E">
              <w:instrText>Grösstes Asset-Paket</w:instrText>
            </w:r>
            <w:r>
              <w:instrText xml:space="preserve">" </w:instrText>
            </w:r>
            <w:r>
              <w:fldChar w:fldCharType="end"/>
            </w:r>
          </w:p>
        </w:tc>
        <w:tc>
          <w:tcPr>
            <w:tcW w:w="3318" w:type="dxa"/>
            <w:tcBorders>
              <w:top w:val="nil"/>
              <w:left w:val="nil"/>
              <w:right w:val="nil"/>
            </w:tcBorders>
            <w:shd w:val="clear" w:color="auto" w:fill="auto"/>
          </w:tcPr>
          <w:p w:rsidR="0017135D" w:rsidRPr="00BB49C5" w:rsidP="00320AEA">
            <w:pPr>
              <w:pStyle w:val="CSBody8pt"/>
              <w:rPr>
                <w:bCs/>
                <w:lang w:val="de-DE"/>
              </w:rPr>
            </w:pPr>
            <w:r w:rsidRPr="004C33AD">
              <w:rPr>
                <w:bCs/>
                <w:lang w:val="de-DE"/>
              </w:rPr>
              <w:t xml:space="preserve">in Bezug auf </w:t>
            </w:r>
            <w:r w:rsidRPr="00792D61">
              <w:rPr>
                <w:b/>
                <w:bCs/>
                <w:lang w:val="de-DE"/>
              </w:rPr>
              <w:t>[</w:t>
            </w:r>
            <w:r w:rsidRPr="00320AEA">
              <w:rPr>
                <w:b/>
                <w:bCs/>
                <w:i/>
                <w:lang w:val="de-DE"/>
              </w:rPr>
              <w:t>falls "Bedingungen für Finanzinstitute als Referenzschuldner" anwendbar ist, einfügen:</w:t>
            </w:r>
            <w:r w:rsidRPr="004C33AD">
              <w:rPr>
                <w:bCs/>
                <w:lang w:val="de-DE"/>
              </w:rPr>
              <w:t xml:space="preserve"> eine Frühere Bewertungsverbindlichkeit</w:t>
            </w:r>
            <w:r w:rsidRPr="00792D61">
              <w:rPr>
                <w:b/>
                <w:bCs/>
                <w:lang w:val="de-DE"/>
              </w:rPr>
              <w:t>][</w:t>
            </w:r>
            <w:r w:rsidRPr="004C33AD">
              <w:rPr>
                <w:bCs/>
                <w:lang w:val="de-DE"/>
              </w:rPr>
              <w:t>bzw.</w:t>
            </w:r>
            <w:r w:rsidRPr="00792D61">
              <w:rPr>
                <w:b/>
                <w:bCs/>
                <w:lang w:val="de-DE"/>
              </w:rPr>
              <w:t>][</w:t>
            </w:r>
            <w:r w:rsidRPr="005F2EAE">
              <w:rPr>
                <w:b/>
                <w:bCs/>
                <w:i/>
                <w:lang w:val="de-DE"/>
              </w:rPr>
              <w:t>falls ein Referenzschuldner ein Staat ist, einfügen:</w:t>
            </w:r>
            <w:r w:rsidRPr="004C33AD">
              <w:rPr>
                <w:bCs/>
                <w:lang w:val="de-DE"/>
              </w:rPr>
              <w:t xml:space="preserve"> eine Paketrelevante Anleihe</w:t>
            </w:r>
            <w:r w:rsidRPr="00792D61">
              <w:rPr>
                <w:b/>
                <w:bCs/>
                <w:lang w:val="de-DE"/>
              </w:rPr>
              <w:t>]</w:t>
            </w:r>
            <w:r w:rsidRPr="004C33AD">
              <w:rPr>
                <w:bCs/>
                <w:lang w:val="de-DE"/>
              </w:rPr>
              <w:t>, das aus Assets bestehende Paket, in das der grösste Kapitalbetrag umgetauscht oder umgewandelt wurde bzw. wird (auch im Wege der Änderung), wie von der Berechnungsstelle unter Bezugnahme auf Zulässige Informationen festgestellt. Kann dies nicht festgestellt werden, so ist das Grösste Asset-Paket das aus Assets bestehende Paket mit dem höchsten sofort realisierbaren Wert, wie von der Berechnungsstelle nach Massgabe eines etwaigen von dem massgeblichen Kreditderivate-Feststellungsausschuss bestimmten Verfahrens festgestellt.</w:t>
            </w:r>
            <w:r w:rsidRPr="00792D61">
              <w:rPr>
                <w:b/>
                <w:bCs/>
                <w:lang w:val="de-DE"/>
              </w:rPr>
              <w:t>]</w:t>
            </w:r>
          </w:p>
        </w:tc>
      </w:tr>
      <w:tr w:rsidTr="004C1EBA">
        <w:tblPrEx>
          <w:tblW w:w="4999" w:type="pct"/>
          <w:tblLayout w:type="fixed"/>
          <w:tblCellMar>
            <w:left w:w="115" w:type="dxa"/>
            <w:right w:w="115" w:type="dxa"/>
          </w:tblCellMar>
          <w:tblLook w:val="04A0"/>
        </w:tblPrEx>
        <w:trPr>
          <w:trHeight w:val="2947"/>
        </w:trPr>
        <w:tc>
          <w:tcPr>
            <w:tcW w:w="1616" w:type="dxa"/>
            <w:gridSpan w:val="3"/>
            <w:tcBorders>
              <w:top w:val="nil"/>
              <w:left w:val="nil"/>
              <w:right w:val="nil"/>
            </w:tcBorders>
            <w:shd w:val="clear" w:color="auto" w:fill="auto"/>
          </w:tcPr>
          <w:p w:rsidR="0017135D" w:rsidRPr="005F2EAE" w:rsidP="005F2EAE">
            <w:pPr>
              <w:pStyle w:val="CSBody8ptbolditalics"/>
            </w:pPr>
            <w:r w:rsidRPr="00792D61">
              <w:t>[</w:t>
            </w:r>
            <w:r w:rsidRPr="005F2EAE">
              <w:t>if M(M)R Restructuring is applicable, insert:</w:t>
            </w:r>
          </w:p>
          <w:p w:rsidR="0017135D" w:rsidRPr="005F2EAE" w:rsidP="000163E2">
            <w:pPr>
              <w:pStyle w:val="CSBody8pt"/>
            </w:pPr>
            <w:r w:rsidRPr="00431C8B">
              <w:t>Limitation Date</w:t>
            </w:r>
            <w:r>
              <w:fldChar w:fldCharType="begin"/>
            </w:r>
            <w:r>
              <w:instrText xml:space="preserve"> XE "</w:instrText>
            </w:r>
            <w:r w:rsidRPr="001438DD">
              <w:instrText>Limitation Date</w:instrText>
            </w:r>
            <w:r>
              <w:instrText xml:space="preserve">" \f "EN" </w:instrText>
            </w:r>
            <w:r>
              <w:fldChar w:fldCharType="end"/>
            </w:r>
          </w:p>
        </w:tc>
        <w:tc>
          <w:tcPr>
            <w:tcW w:w="3315" w:type="dxa"/>
            <w:gridSpan w:val="2"/>
            <w:tcBorders>
              <w:top w:val="nil"/>
              <w:left w:val="nil"/>
            </w:tcBorders>
            <w:shd w:val="clear" w:color="auto" w:fill="auto"/>
          </w:tcPr>
          <w:p w:rsidR="0017135D" w:rsidRPr="00BB49C5" w:rsidP="00320AEA">
            <w:pPr>
              <w:pStyle w:val="CSBody8pt"/>
            </w:pPr>
            <w:r w:rsidRPr="004C33AD">
              <w:t>the first of March 20, June 20, September 20 or December 20 in any year to occur on or immediately following the date that is one of the following numbers of years after the Restructuring Date: 2.5 years (the "</w:t>
            </w:r>
            <w:r w:rsidRPr="005F2EAE">
              <w:rPr>
                <w:b/>
                <w:i/>
              </w:rPr>
              <w:t>2</w:t>
            </w:r>
            <w:r w:rsidRPr="005F2EAE">
              <w:rPr>
                <w:b/>
              </w:rPr>
              <w:t>.5-year Limitation Date</w:t>
            </w:r>
            <w:r w:rsidRPr="004C33AD">
              <w:t>"), 5 years, 7.5 years, 10 years (the "</w:t>
            </w:r>
            <w:r w:rsidRPr="005F2EAE">
              <w:rPr>
                <w:b/>
              </w:rPr>
              <w:t>10-year Limitation Date</w:t>
            </w:r>
            <w:r w:rsidRPr="004C33AD">
              <w:t>"), 12.5 years, 15 years, or 20 years, as applicable. Limitation Dates shall not be subject to adjustment in accordance with any Business Day Convention.</w:t>
            </w:r>
            <w:r w:rsidRPr="00792D61">
              <w:rPr>
                <w:b/>
              </w:rPr>
              <w:t>]</w:t>
            </w:r>
          </w:p>
        </w:tc>
        <w:tc>
          <w:tcPr>
            <w:tcW w:w="1618" w:type="dxa"/>
            <w:gridSpan w:val="2"/>
            <w:tcBorders>
              <w:top w:val="nil"/>
              <w:right w:val="nil"/>
            </w:tcBorders>
            <w:shd w:val="clear" w:color="auto" w:fill="auto"/>
          </w:tcPr>
          <w:p w:rsidR="0017135D" w:rsidRPr="004C33AD" w:rsidP="005F2EAE">
            <w:pPr>
              <w:pStyle w:val="CSBody8ptbolditalics"/>
              <w:rPr>
                <w:lang w:val="de-DE"/>
              </w:rPr>
            </w:pPr>
            <w:r w:rsidRPr="00792D61">
              <w:rPr>
                <w:lang w:val="de-DE"/>
              </w:rPr>
              <w:t>[</w:t>
            </w:r>
            <w:r w:rsidRPr="004C33AD">
              <w:rPr>
                <w:lang w:val="de-DE"/>
              </w:rPr>
              <w:t>falls M(M)R-Restrukturierung anwendbar ist, einfügen:</w:t>
            </w:r>
          </w:p>
          <w:p w:rsidR="0017135D" w:rsidRPr="004C33AD" w:rsidP="000163E2">
            <w:pPr>
              <w:pStyle w:val="CSBody8pt"/>
              <w:rPr>
                <w:lang w:val="de-DE"/>
              </w:rPr>
            </w:pPr>
            <w:r w:rsidRPr="00431C8B">
              <w:t>Beschränkungstag</w:t>
            </w:r>
            <w:r>
              <w:fldChar w:fldCharType="begin"/>
            </w:r>
            <w:r>
              <w:instrText xml:space="preserve"> XE "</w:instrText>
            </w:r>
            <w:r w:rsidRPr="00A90B0E">
              <w:instrText>Beschränkungstag</w:instrText>
            </w:r>
            <w:r>
              <w:instrText xml:space="preserve">" </w:instrText>
            </w:r>
            <w:r>
              <w:fldChar w:fldCharType="end"/>
            </w:r>
          </w:p>
        </w:tc>
        <w:tc>
          <w:tcPr>
            <w:tcW w:w="3318" w:type="dxa"/>
            <w:tcBorders>
              <w:top w:val="nil"/>
              <w:left w:val="nil"/>
              <w:right w:val="nil"/>
            </w:tcBorders>
            <w:shd w:val="clear" w:color="auto" w:fill="auto"/>
          </w:tcPr>
          <w:p w:rsidR="0017135D" w:rsidRPr="004C33AD" w:rsidP="00320AEA">
            <w:pPr>
              <w:pStyle w:val="CSBody8pt"/>
              <w:rPr>
                <w:bCs/>
                <w:lang w:val="de-DE"/>
              </w:rPr>
            </w:pPr>
            <w:r w:rsidRPr="004C33AD">
              <w:rPr>
                <w:bCs/>
                <w:lang w:val="de-DE"/>
              </w:rPr>
              <w:t>der 20. März, 20. Juni, 20. September oder 20. Dezember eines Jahres, wobei derjenige Tag massgeblich ist, der als erster auf den Tag fällt oder dem Tag unmittelbar folgt, der um einen der nachfolgend angegebenen Zeiträume nach dem Restrukturierungstag liegt: 2,5 Jahre (der "</w:t>
            </w:r>
            <w:r w:rsidRPr="005F2EAE">
              <w:rPr>
                <w:b/>
                <w:bCs/>
                <w:lang w:val="de-DE"/>
              </w:rPr>
              <w:t>2,5-Jahre-Beschränkungstag</w:t>
            </w:r>
            <w:r w:rsidRPr="004C33AD">
              <w:rPr>
                <w:bCs/>
                <w:lang w:val="de-DE"/>
              </w:rPr>
              <w:t>"), 5 Jahre, 7,5 Jahre, 10 Jahre (der "</w:t>
            </w:r>
            <w:r w:rsidRPr="005F2EAE">
              <w:rPr>
                <w:b/>
                <w:bCs/>
                <w:lang w:val="de-DE"/>
              </w:rPr>
              <w:t>10-Jahre-Beschränkungstag</w:t>
            </w:r>
            <w:r w:rsidRPr="004C33AD">
              <w:rPr>
                <w:bCs/>
                <w:lang w:val="de-DE"/>
              </w:rPr>
              <w:t>"),  12,5 Jahre, 15 Jahre oder 20 Jahre, wie jeweils anwendbar. Die Beschränkungstage unterliegen keiner Anpassung gemäss einer Geschäftstag-Konvention.</w:t>
            </w:r>
            <w:r w:rsidRPr="00792D61">
              <w:rPr>
                <w:b/>
                <w:bCs/>
                <w:lang w:val="de-DE"/>
              </w:rPr>
              <w:t>]</w:t>
            </w:r>
          </w:p>
        </w:tc>
      </w:tr>
      <w:tr w:rsidTr="004C1EBA">
        <w:tblPrEx>
          <w:tblW w:w="4999" w:type="pct"/>
          <w:tblLayout w:type="fixed"/>
          <w:tblCellMar>
            <w:left w:w="115" w:type="dxa"/>
            <w:right w:w="115" w:type="dxa"/>
          </w:tblCellMar>
          <w:tblLook w:val="04A0"/>
        </w:tblPrEx>
        <w:trPr>
          <w:trHeight w:val="2399"/>
        </w:trPr>
        <w:tc>
          <w:tcPr>
            <w:tcW w:w="1616" w:type="dxa"/>
            <w:gridSpan w:val="3"/>
            <w:tcBorders>
              <w:top w:val="nil"/>
              <w:left w:val="nil"/>
              <w:right w:val="nil"/>
            </w:tcBorders>
            <w:shd w:val="clear" w:color="auto" w:fill="auto"/>
          </w:tcPr>
          <w:p w:rsidR="0017135D" w:rsidRPr="00BB49C5" w:rsidP="005F2EAE">
            <w:pPr>
              <w:pStyle w:val="CSBody8ptbolditalics"/>
            </w:pPr>
            <w:r w:rsidRPr="00792D61">
              <w:t>[</w:t>
            </w:r>
            <w:r w:rsidRPr="004C33AD">
              <w:t>if specified as Obligation Characteristic or Valuation Obligation Characteristic, insert:</w:t>
            </w:r>
          </w:p>
          <w:p w:rsidR="0017135D" w:rsidRPr="00BB49C5" w:rsidP="005F2EAE">
            <w:pPr>
              <w:pStyle w:val="CSBody8pt"/>
            </w:pPr>
            <w:r w:rsidRPr="00431C8B">
              <w:t>Listed</w:t>
            </w:r>
            <w:r>
              <w:fldChar w:fldCharType="begin"/>
            </w:r>
            <w:r>
              <w:instrText xml:space="preserve"> XE "</w:instrText>
            </w:r>
            <w:r w:rsidRPr="0047162B">
              <w:instrText>Listed</w:instrText>
            </w:r>
            <w:r>
              <w:instrText xml:space="preserve">" \f "EN" </w:instrText>
            </w:r>
            <w:r>
              <w:fldChar w:fldCharType="end"/>
            </w:r>
          </w:p>
        </w:tc>
        <w:tc>
          <w:tcPr>
            <w:tcW w:w="3315" w:type="dxa"/>
            <w:gridSpan w:val="2"/>
            <w:tcBorders>
              <w:top w:val="nil"/>
              <w:left w:val="nil"/>
            </w:tcBorders>
            <w:shd w:val="clear" w:color="auto" w:fill="auto"/>
          </w:tcPr>
          <w:p w:rsidR="0017135D" w:rsidRPr="00BB49C5" w:rsidP="005F2EAE">
            <w:pPr>
              <w:pStyle w:val="CSBody8pt"/>
            </w:pPr>
            <w:r w:rsidRPr="004C33AD">
              <w:t>an obligation that is quoted, listed or ordinarily purchased and sold on an exchange.</w:t>
            </w:r>
            <w:r w:rsidRPr="00792D61">
              <w:rPr>
                <w:b/>
              </w:rPr>
              <w:t>]</w:t>
            </w:r>
          </w:p>
        </w:tc>
        <w:tc>
          <w:tcPr>
            <w:tcW w:w="1618" w:type="dxa"/>
            <w:gridSpan w:val="2"/>
            <w:tcBorders>
              <w:top w:val="nil"/>
              <w:right w:val="nil"/>
            </w:tcBorders>
            <w:shd w:val="clear" w:color="auto" w:fill="auto"/>
          </w:tcPr>
          <w:p w:rsidR="0017135D" w:rsidRPr="004C33AD" w:rsidP="000163E2">
            <w:pPr>
              <w:pStyle w:val="CSBody8ptbolditalics"/>
              <w:rPr>
                <w:lang w:val="de-DE"/>
              </w:rPr>
            </w:pPr>
            <w:r w:rsidRPr="00792D61">
              <w:rPr>
                <w:lang w:val="de-DE"/>
              </w:rPr>
              <w:t>[</w:t>
            </w:r>
            <w:r w:rsidRPr="004C33AD">
              <w:rPr>
                <w:lang w:val="de-DE"/>
              </w:rPr>
              <w:t>falls als Verbindlichkeitenmerkmal oder als Merkmal für Bewertungsverbindlichkeiten angegeben, einfügen:</w:t>
            </w:r>
          </w:p>
          <w:p w:rsidR="0017135D" w:rsidRPr="004C33AD" w:rsidP="005F2EAE">
            <w:pPr>
              <w:pStyle w:val="CSBody8pt"/>
              <w:rPr>
                <w:lang w:val="de-DE"/>
              </w:rPr>
            </w:pPr>
            <w:r w:rsidRPr="00431C8B">
              <w:t>Börsennotiert</w:t>
            </w:r>
            <w:r>
              <w:fldChar w:fldCharType="begin"/>
            </w:r>
            <w:r>
              <w:instrText xml:space="preserve"> XE "</w:instrText>
            </w:r>
            <w:r w:rsidRPr="00CB04DD">
              <w:instrText>Börsennotiert</w:instrText>
            </w:r>
            <w:r>
              <w:instrText xml:space="preserve">" </w:instrText>
            </w:r>
            <w:r>
              <w:fldChar w:fldCharType="end"/>
            </w:r>
          </w:p>
        </w:tc>
        <w:tc>
          <w:tcPr>
            <w:tcW w:w="3318" w:type="dxa"/>
            <w:tcBorders>
              <w:top w:val="nil"/>
              <w:left w:val="nil"/>
              <w:right w:val="nil"/>
            </w:tcBorders>
            <w:shd w:val="clear" w:color="auto" w:fill="auto"/>
          </w:tcPr>
          <w:p w:rsidR="0017135D" w:rsidRPr="004C33AD" w:rsidP="005F2EAE">
            <w:pPr>
              <w:pStyle w:val="CSBody8pt"/>
              <w:rPr>
                <w:bCs/>
                <w:lang w:val="de-DE"/>
              </w:rPr>
            </w:pPr>
            <w:r w:rsidRPr="004C33AD">
              <w:rPr>
                <w:bCs/>
                <w:lang w:val="de-DE"/>
              </w:rPr>
              <w:t>eine Verbindlichkeit, die an einer Börse notiert ist oder gewöhnlich an einer Börse gehandelt wird.</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31C8B" w:rsidP="005F2EAE">
            <w:pPr>
              <w:pStyle w:val="CSBody8pt"/>
            </w:pPr>
            <w:r w:rsidRPr="00431C8B">
              <w:t>Loan</w:t>
            </w:r>
            <w:r>
              <w:fldChar w:fldCharType="begin"/>
            </w:r>
            <w:r>
              <w:instrText xml:space="preserve"> XE "</w:instrText>
            </w:r>
            <w:r w:rsidRPr="00F11B6D">
              <w:instrText>Loan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431C8B" w:rsidP="005F2EAE">
            <w:pPr>
              <w:pStyle w:val="CSBody8pt"/>
            </w:pPr>
            <w:r w:rsidRPr="00431C8B">
              <w:t>any obligation of a type included in the "Borrowed Money" Obligation Category that is documented by a term loan agreement, revolving loan agreement or other similar credit agreement and shall not include any other type of Borrowed Money.</w:t>
            </w:r>
          </w:p>
        </w:tc>
        <w:tc>
          <w:tcPr>
            <w:tcW w:w="1618" w:type="dxa"/>
            <w:gridSpan w:val="2"/>
            <w:tcBorders>
              <w:top w:val="nil"/>
              <w:bottom w:val="nil"/>
              <w:right w:val="nil"/>
            </w:tcBorders>
            <w:shd w:val="clear" w:color="auto" w:fill="auto"/>
          </w:tcPr>
          <w:p w:rsidR="0017135D" w:rsidRPr="00431C8B" w:rsidP="005F2EAE">
            <w:pPr>
              <w:pStyle w:val="CSBody8pt"/>
            </w:pPr>
            <w:r w:rsidRPr="00431C8B">
              <w:t>Darlehen</w:t>
            </w:r>
            <w:r>
              <w:fldChar w:fldCharType="begin"/>
            </w:r>
            <w:r>
              <w:instrText xml:space="preserve"> XE "</w:instrText>
            </w:r>
            <w:r w:rsidRPr="00DA01BE">
              <w:instrText>Darlehen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431C8B" w:rsidP="005F2EAE">
            <w:pPr>
              <w:pStyle w:val="CSBody8pt"/>
              <w:rPr>
                <w:lang w:val="de-DE"/>
              </w:rPr>
            </w:pPr>
            <w:r w:rsidRPr="00431C8B">
              <w:rPr>
                <w:lang w:val="de-DE"/>
              </w:rPr>
              <w:t>jede Verbindlichkeit einer in der Verbindlichkeitskategorie "Aufgenommene Gelder" fallenden Art, die durch einen Laufzeitdarlehensvertrag, einen revolvierenden Darlehensvertrag oder einen vergleichbaren Kreditvertrag dokumentiert ist, und keine anderen Arten von Aufgenommenen Geldern umfasst.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P="005F2EAE">
            <w:pPr>
              <w:pStyle w:val="CSBody8pt"/>
              <w:rPr>
                <w:b/>
                <w:i/>
              </w:rPr>
            </w:pPr>
            <w:r>
              <w:rPr>
                <w:b/>
              </w:rPr>
              <w:t>[</w:t>
            </w:r>
            <w:r>
              <w:rPr>
                <w:b/>
                <w:i/>
              </w:rPr>
              <w:t>in case of Credit-Linked Complex Products with LPN Reference Obligation, insert:</w:t>
            </w:r>
          </w:p>
          <w:p w:rsidR="0017135D" w:rsidRPr="00284217" w:rsidP="005F2EAE">
            <w:pPr>
              <w:pStyle w:val="CSBody8pt"/>
            </w:pPr>
            <w:r>
              <w:t>LPN Reference Obligation</w:t>
            </w:r>
          </w:p>
        </w:tc>
        <w:tc>
          <w:tcPr>
            <w:tcW w:w="3315" w:type="dxa"/>
            <w:gridSpan w:val="2"/>
            <w:tcBorders>
              <w:top w:val="nil"/>
              <w:left w:val="nil"/>
              <w:bottom w:val="nil"/>
            </w:tcBorders>
            <w:shd w:val="clear" w:color="auto" w:fill="auto"/>
          </w:tcPr>
          <w:p w:rsidR="0017135D" w:rsidRPr="00431C8B" w:rsidP="005F2EAE">
            <w:pPr>
              <w:pStyle w:val="CSBody8pt"/>
            </w:pPr>
            <w:r w:rsidRPr="00284217">
              <w:t>means each Reference Obligation other than any Additional Obligation.</w:t>
            </w:r>
          </w:p>
        </w:tc>
        <w:tc>
          <w:tcPr>
            <w:tcW w:w="1618" w:type="dxa"/>
            <w:gridSpan w:val="2"/>
            <w:tcBorders>
              <w:top w:val="nil"/>
              <w:bottom w:val="nil"/>
              <w:right w:val="nil"/>
            </w:tcBorders>
            <w:shd w:val="clear" w:color="auto" w:fill="auto"/>
          </w:tcPr>
          <w:p w:rsidR="0017135D" w:rsidRPr="009D08E0" w:rsidP="005F2EAE">
            <w:pPr>
              <w:pStyle w:val="CSBody8pt"/>
              <w:rPr>
                <w:b/>
                <w:i/>
                <w:lang w:val="de-DE"/>
              </w:rPr>
            </w:pPr>
            <w:r w:rsidRPr="009D08E0">
              <w:rPr>
                <w:b/>
                <w:lang w:val="de-DE"/>
              </w:rPr>
              <w:t>[</w:t>
            </w:r>
            <w:r w:rsidRPr="009D08E0">
              <w:rPr>
                <w:b/>
                <w:i/>
                <w:lang w:val="de-DE"/>
              </w:rPr>
              <w:t xml:space="preserve">bei Kreditbezogenen Komplexen Produkten mit LPN-Referenzverbindlichkeit einfügen: </w:t>
            </w:r>
          </w:p>
          <w:p w:rsidR="0017135D" w:rsidRPr="00431C8B" w:rsidP="005F2EAE">
            <w:pPr>
              <w:pStyle w:val="CSBody8pt"/>
            </w:pPr>
            <w:r w:rsidRPr="00284217">
              <w:t>LPN Referenzverbindlichkeit</w:t>
            </w:r>
          </w:p>
        </w:tc>
        <w:tc>
          <w:tcPr>
            <w:tcW w:w="3318" w:type="dxa"/>
            <w:tcBorders>
              <w:top w:val="nil"/>
              <w:left w:val="nil"/>
              <w:bottom w:val="nil"/>
              <w:right w:val="nil"/>
            </w:tcBorders>
            <w:shd w:val="clear" w:color="auto" w:fill="auto"/>
          </w:tcPr>
          <w:p w:rsidR="0017135D" w:rsidRPr="00431C8B" w:rsidP="0079644C">
            <w:pPr>
              <w:pStyle w:val="CSBody8pt"/>
              <w:rPr>
                <w:lang w:val="de-DE"/>
              </w:rPr>
            </w:pPr>
            <w:r w:rsidRPr="00284217">
              <w:rPr>
                <w:lang w:val="de-DE"/>
              </w:rPr>
              <w:t>Bezeichnet jede Referenzverbindlichkeit</w:t>
            </w:r>
            <w:r w:rsidR="0079644C">
              <w:rPr>
                <w:lang w:val="de-DE"/>
              </w:rPr>
              <w:t xml:space="preserve"> mit Ausnahme</w:t>
            </w:r>
            <w:r w:rsidRPr="00284217">
              <w:rPr>
                <w:lang w:val="de-DE"/>
              </w:rPr>
              <w:t xml:space="preserve"> eine</w:t>
            </w:r>
            <w:r w:rsidR="0079644C">
              <w:rPr>
                <w:lang w:val="de-DE"/>
              </w:rPr>
              <w:t>r</w:t>
            </w:r>
            <w:r w:rsidRPr="00284217">
              <w:rPr>
                <w:lang w:val="de-DE"/>
              </w:rPr>
              <w:t xml:space="preserve"> Zusätzliche</w:t>
            </w:r>
            <w:r w:rsidR="0079644C">
              <w:rPr>
                <w:lang w:val="de-DE"/>
              </w:rPr>
              <w:t>n</w:t>
            </w:r>
            <w:r w:rsidRPr="00284217">
              <w:rPr>
                <w:lang w:val="de-DE"/>
              </w:rPr>
              <w:t xml:space="preserve"> Verbindlichkeit.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D08E0" w:rsidP="005F2EAE">
            <w:pPr>
              <w:pStyle w:val="CSBody8pt"/>
              <w:rPr>
                <w:lang w:val="de-DE"/>
              </w:rPr>
            </w:pPr>
          </w:p>
        </w:tc>
        <w:tc>
          <w:tcPr>
            <w:tcW w:w="3315" w:type="dxa"/>
            <w:gridSpan w:val="2"/>
            <w:tcBorders>
              <w:top w:val="nil"/>
              <w:left w:val="nil"/>
              <w:bottom w:val="nil"/>
            </w:tcBorders>
            <w:shd w:val="clear" w:color="auto" w:fill="auto"/>
          </w:tcPr>
          <w:p w:rsidR="0017135D" w:rsidRPr="00284217" w:rsidP="005F2EAE">
            <w:pPr>
              <w:pStyle w:val="CSBody8pt"/>
            </w:pPr>
            <w:r w:rsidRPr="00284217">
              <w:t>For the avoidance of doubt, any change to the issuer of an LPN Reference Obligation in accordance with its terms shall not prevent such LPN Reference Obligation from constituting a Reference Obligation.</w:t>
            </w:r>
          </w:p>
        </w:tc>
        <w:tc>
          <w:tcPr>
            <w:tcW w:w="1618" w:type="dxa"/>
            <w:gridSpan w:val="2"/>
            <w:tcBorders>
              <w:top w:val="nil"/>
              <w:bottom w:val="nil"/>
              <w:right w:val="nil"/>
            </w:tcBorders>
            <w:shd w:val="clear" w:color="auto" w:fill="auto"/>
          </w:tcPr>
          <w:p w:rsidR="0017135D" w:rsidRPr="00284217" w:rsidP="005F2EAE">
            <w:pPr>
              <w:pStyle w:val="CSBody8pt"/>
            </w:pPr>
          </w:p>
        </w:tc>
        <w:tc>
          <w:tcPr>
            <w:tcW w:w="3318" w:type="dxa"/>
            <w:tcBorders>
              <w:top w:val="nil"/>
              <w:left w:val="nil"/>
              <w:bottom w:val="nil"/>
              <w:right w:val="nil"/>
            </w:tcBorders>
            <w:shd w:val="clear" w:color="auto" w:fill="auto"/>
          </w:tcPr>
          <w:p w:rsidR="0017135D" w:rsidRPr="00284217" w:rsidP="005F2EAE">
            <w:pPr>
              <w:pStyle w:val="CSBody8pt"/>
              <w:rPr>
                <w:lang w:val="de-DE"/>
              </w:rPr>
            </w:pPr>
            <w:r w:rsidRPr="00284217">
              <w:rPr>
                <w:lang w:val="de-DE"/>
              </w:rPr>
              <w:t>Zur Klarstellung wird darauf hingewiesen, dass jede Änderung eines Emittenten einer LPN Referenzverbindlichkeit gemä</w:t>
            </w:r>
            <w:r w:rsidR="001E4CCF">
              <w:rPr>
                <w:lang w:val="de-DE"/>
              </w:rPr>
              <w:t>ss</w:t>
            </w:r>
            <w:r w:rsidRPr="00284217">
              <w:rPr>
                <w:lang w:val="de-DE"/>
              </w:rPr>
              <w:t xml:space="preserve"> ihrer Bedingungen nicht verhindert, dass eine solche LPN Referenzverbindlichkeit als Referenzverbindlichkeit angesehen wird.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D08E0" w:rsidP="005F2EAE">
            <w:pPr>
              <w:pStyle w:val="CSBody8pt"/>
              <w:rPr>
                <w:lang w:val="de-DE"/>
              </w:rPr>
            </w:pPr>
          </w:p>
        </w:tc>
        <w:tc>
          <w:tcPr>
            <w:tcW w:w="3315" w:type="dxa"/>
            <w:gridSpan w:val="2"/>
            <w:tcBorders>
              <w:top w:val="nil"/>
              <w:left w:val="nil"/>
              <w:bottom w:val="nil"/>
            </w:tcBorders>
            <w:shd w:val="clear" w:color="auto" w:fill="auto"/>
          </w:tcPr>
          <w:p w:rsidR="0017135D" w:rsidRPr="00284217" w:rsidP="005F2EAE">
            <w:pPr>
              <w:pStyle w:val="CSBody8pt"/>
              <w:rPr>
                <w:b/>
              </w:rPr>
            </w:pPr>
            <w:r w:rsidRPr="00284217">
              <w:t>Each LPN Reference Obligation is issued for the sole purpose of providing funds for the Issuer to finance a loan to the Reference Entity. For the purposes of these Terms and Conditions each such loan shall be an Underlying Loan.</w:t>
            </w:r>
            <w:r>
              <w:rPr>
                <w:b/>
              </w:rPr>
              <w:t>]</w:t>
            </w:r>
          </w:p>
        </w:tc>
        <w:tc>
          <w:tcPr>
            <w:tcW w:w="1618" w:type="dxa"/>
            <w:gridSpan w:val="2"/>
            <w:tcBorders>
              <w:top w:val="nil"/>
              <w:bottom w:val="nil"/>
              <w:right w:val="nil"/>
            </w:tcBorders>
            <w:shd w:val="clear" w:color="auto" w:fill="auto"/>
          </w:tcPr>
          <w:p w:rsidR="0017135D" w:rsidRPr="00284217" w:rsidP="005F2EAE">
            <w:pPr>
              <w:pStyle w:val="CSBody8pt"/>
            </w:pPr>
          </w:p>
        </w:tc>
        <w:tc>
          <w:tcPr>
            <w:tcW w:w="3318" w:type="dxa"/>
            <w:tcBorders>
              <w:top w:val="nil"/>
              <w:left w:val="nil"/>
              <w:bottom w:val="nil"/>
              <w:right w:val="nil"/>
            </w:tcBorders>
            <w:shd w:val="clear" w:color="auto" w:fill="auto"/>
          </w:tcPr>
          <w:p w:rsidR="0017135D" w:rsidRPr="00284217" w:rsidP="005F2EAE">
            <w:pPr>
              <w:pStyle w:val="CSBody8pt"/>
              <w:rPr>
                <w:b/>
                <w:lang w:val="de-DE"/>
              </w:rPr>
            </w:pPr>
            <w:r w:rsidRPr="00284217">
              <w:rPr>
                <w:lang w:val="de-DE"/>
              </w:rPr>
              <w:t>Jede LPN Referenzverbindlichkeit wird allein allein zum Zweck der Bereitstellung eines Geldbetrags für den Emittenten emittiert, um ein Darlehen an den Referenzschuldner zu finanzieren. Für Zwecke dieser Emissionsbedingungen wird jedes dieser Darlehen als ein Zugrundeliegendes Darlehen behandelt.</w:t>
            </w:r>
            <w:r>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31C8B" w:rsidP="005F2EAE">
            <w:pPr>
              <w:pStyle w:val="CSBody8pt"/>
            </w:pPr>
            <w:r w:rsidRPr="00431C8B">
              <w:t>Market</w:t>
            </w:r>
            <w:r>
              <w:fldChar w:fldCharType="begin"/>
            </w:r>
            <w:r>
              <w:instrText xml:space="preserve"> XE "</w:instrText>
            </w:r>
            <w:r w:rsidRPr="00751867">
              <w:instrText>Market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431C8B" w:rsidP="005F2EAE">
            <w:pPr>
              <w:pStyle w:val="CSBody8pt"/>
            </w:pPr>
            <w:r w:rsidRPr="00431C8B">
              <w:t xml:space="preserve">with respect to a </w:t>
            </w:r>
            <w:r w:rsidRPr="00792D61">
              <w:rPr>
                <w:b/>
              </w:rPr>
              <w:t>[</w:t>
            </w:r>
            <w:r w:rsidRPr="00431C8B">
              <w:t>Reference Obligation or</w:t>
            </w:r>
            <w:r w:rsidRPr="00792D61">
              <w:rPr>
                <w:b/>
              </w:rPr>
              <w:t>]</w:t>
            </w:r>
            <w:r w:rsidRPr="00431C8B">
              <w:t xml:space="preserve"> Valuation Obligation, the Market Value determined by the Calculation Agent with respect to the Valuation Date.</w:t>
            </w:r>
          </w:p>
        </w:tc>
        <w:tc>
          <w:tcPr>
            <w:tcW w:w="1618" w:type="dxa"/>
            <w:gridSpan w:val="2"/>
            <w:tcBorders>
              <w:top w:val="nil"/>
              <w:bottom w:val="nil"/>
              <w:right w:val="nil"/>
            </w:tcBorders>
            <w:shd w:val="clear" w:color="auto" w:fill="auto"/>
          </w:tcPr>
          <w:p w:rsidR="0017135D" w:rsidRPr="00431C8B" w:rsidP="005F2EAE">
            <w:pPr>
              <w:pStyle w:val="CSBody8pt"/>
            </w:pPr>
            <w:r w:rsidRPr="00431C8B">
              <w:t>Markt</w:t>
            </w:r>
            <w:r>
              <w:fldChar w:fldCharType="begin"/>
            </w:r>
            <w:r>
              <w:instrText xml:space="preserve"> XE "</w:instrText>
            </w:r>
            <w:r w:rsidRPr="00870FB4">
              <w:instrText>Markt</w:instrText>
            </w:r>
            <w:r>
              <w:instrText xml:space="preserve">" </w:instrText>
            </w:r>
            <w:r>
              <w:fldChar w:fldCharType="end"/>
            </w:r>
          </w:p>
        </w:tc>
        <w:tc>
          <w:tcPr>
            <w:tcW w:w="3318" w:type="dxa"/>
            <w:tcBorders>
              <w:top w:val="nil"/>
              <w:left w:val="nil"/>
              <w:bottom w:val="nil"/>
              <w:right w:val="nil"/>
            </w:tcBorders>
            <w:shd w:val="clear" w:color="auto" w:fill="auto"/>
          </w:tcPr>
          <w:p w:rsidR="0017135D" w:rsidRPr="00431C8B" w:rsidP="005F2EAE">
            <w:pPr>
              <w:pStyle w:val="CSBody8pt"/>
              <w:rPr>
                <w:lang w:val="de-DE"/>
              </w:rPr>
            </w:pPr>
            <w:r w:rsidRPr="00431C8B">
              <w:rPr>
                <w:lang w:val="de-DE"/>
              </w:rPr>
              <w:t xml:space="preserve">in Bezug auf eine </w:t>
            </w:r>
            <w:r w:rsidRPr="00792D61">
              <w:rPr>
                <w:b/>
                <w:lang w:val="de-DE"/>
              </w:rPr>
              <w:t>[</w:t>
            </w:r>
            <w:r w:rsidRPr="00431C8B">
              <w:rPr>
                <w:lang w:val="de-DE"/>
              </w:rPr>
              <w:t>Referenzverbindlichkeit bzw.</w:t>
            </w:r>
            <w:r w:rsidRPr="00792D61">
              <w:rPr>
                <w:b/>
                <w:lang w:val="de-DE"/>
              </w:rPr>
              <w:t>]</w:t>
            </w:r>
            <w:r w:rsidRPr="00431C8B">
              <w:rPr>
                <w:lang w:val="de-DE"/>
              </w:rPr>
              <w:t xml:space="preserve"> Bewertungsverbindlichkeit der von der Berechnungsstelle in Bezug auf den Bewertungstag ermittelte Marktwert.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31C8B" w:rsidP="005F2EAE">
            <w:pPr>
              <w:pStyle w:val="CSBody8pt"/>
            </w:pPr>
            <w:r w:rsidRPr="00431C8B">
              <w:t>Market Value</w:t>
            </w:r>
            <w:r>
              <w:fldChar w:fldCharType="begin"/>
            </w:r>
            <w:r>
              <w:instrText xml:space="preserve"> XE "</w:instrText>
            </w:r>
            <w:r w:rsidRPr="00A74598">
              <w:instrText>Market Value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431C8B" w:rsidP="005F2EAE">
            <w:pPr>
              <w:pStyle w:val="CSBody8pt"/>
            </w:pPr>
            <w:r w:rsidRPr="00431C8B">
              <w:t xml:space="preserve">with respect to a </w:t>
            </w:r>
            <w:r w:rsidRPr="00792D61">
              <w:rPr>
                <w:b/>
              </w:rPr>
              <w:t>[</w:t>
            </w:r>
            <w:r w:rsidRPr="00431C8B">
              <w:t>Reference Obligation or</w:t>
            </w:r>
            <w:r w:rsidRPr="00792D61">
              <w:rPr>
                <w:b/>
              </w:rPr>
              <w:t>]</w:t>
            </w:r>
            <w:r w:rsidRPr="00431C8B">
              <w:t xml:space="preserve"> Valuation Obligation on a Valuation Date</w:t>
            </w:r>
            <w:r>
              <w:t>:</w:t>
            </w:r>
            <w:r w:rsidRPr="00431C8B">
              <w:t xml:space="preserve"> (a) if more than three Full Quotations are obtained, the arithmetic mean of such Full Quotations, disregarding the Full Quotations having the highest and lowest values (and, if more than one such Full Quotations have the same highest value or lowest value, then one of such highest or lowest Full Quotations shall be disregarded); (b) if exactly three Full Quotations are obtained, the Full Quotation remaining after disregarding the highest and lowest Full Quotations (and, if more than one such Full Quotations have the same highest value or lowest value, then one of such highest or lowest Full Quotations shall be disregarded); (c) if exactly two Full Quotations are obtained, the arithmetic mean of such Full Quotations; (d) if fewer than two Full Quotations are obtained and a Weighted Average Quotation is obtained, such Weighted Average Quotation; (e) if fewer than two Full Quotations are obtained and no Weighted Average Quotation is obtained, subject to paragraph (b) of the definition of "Quotation", an amount that the Calculation Agent shall determine on the next Business Day on which two or more Full Quotations or a Weighted Average Quotation is obtained; and (f) if two or more Full Quotations or a Weighted Average Quotation are not obtained within the additional five Business Day period set forth in clause (b) of the definition of "Quotation", the Market Value shall be determined as provided in the definition of "Quotation".</w:t>
            </w:r>
          </w:p>
        </w:tc>
        <w:tc>
          <w:tcPr>
            <w:tcW w:w="1618" w:type="dxa"/>
            <w:gridSpan w:val="2"/>
            <w:tcBorders>
              <w:top w:val="nil"/>
              <w:bottom w:val="nil"/>
              <w:right w:val="nil"/>
            </w:tcBorders>
            <w:shd w:val="clear" w:color="auto" w:fill="auto"/>
          </w:tcPr>
          <w:p w:rsidR="0017135D" w:rsidRPr="00431C8B" w:rsidP="005F2EAE">
            <w:pPr>
              <w:pStyle w:val="CSBody8pt"/>
            </w:pPr>
            <w:r w:rsidRPr="00431C8B">
              <w:t>Marktwert</w:t>
            </w:r>
            <w:r>
              <w:fldChar w:fldCharType="begin"/>
            </w:r>
            <w:r>
              <w:instrText xml:space="preserve"> XE "</w:instrText>
            </w:r>
            <w:r w:rsidRPr="006B632C">
              <w:instrText>Marktwert</w:instrText>
            </w:r>
            <w:r>
              <w:instrText xml:space="preserve">" </w:instrText>
            </w:r>
            <w:r>
              <w:fldChar w:fldCharType="end"/>
            </w:r>
          </w:p>
        </w:tc>
        <w:tc>
          <w:tcPr>
            <w:tcW w:w="3318" w:type="dxa"/>
            <w:tcBorders>
              <w:top w:val="nil"/>
              <w:left w:val="nil"/>
              <w:bottom w:val="nil"/>
              <w:right w:val="nil"/>
            </w:tcBorders>
            <w:shd w:val="clear" w:color="auto" w:fill="auto"/>
          </w:tcPr>
          <w:p w:rsidR="0017135D" w:rsidRPr="004C33AD" w:rsidP="005F2EAE">
            <w:pPr>
              <w:pStyle w:val="CSBody8pt"/>
              <w:rPr>
                <w:lang w:val="de-DE"/>
              </w:rPr>
            </w:pPr>
            <w:r w:rsidRPr="00431C8B">
              <w:rPr>
                <w:lang w:val="de-DE"/>
              </w:rPr>
              <w:t xml:space="preserve">in Bezug auf eine </w:t>
            </w:r>
            <w:r w:rsidRPr="00792D61">
              <w:rPr>
                <w:b/>
                <w:lang w:val="de-DE"/>
              </w:rPr>
              <w:t>[</w:t>
            </w:r>
            <w:r w:rsidRPr="00431C8B">
              <w:rPr>
                <w:lang w:val="de-DE"/>
              </w:rPr>
              <w:t>Referenzverbindlichkeit oder</w:t>
            </w:r>
            <w:r w:rsidRPr="00792D61">
              <w:rPr>
                <w:b/>
                <w:lang w:val="de-DE"/>
              </w:rPr>
              <w:t>]</w:t>
            </w:r>
            <w:r w:rsidRPr="00431C8B">
              <w:rPr>
                <w:lang w:val="de-DE"/>
              </w:rPr>
              <w:t xml:space="preserve"> Bewertungsverbindlichkeit an einem Bewertungstag: (a) wenn mehr als drei Vollquotierungen eingeholt werden, das arithmetische Mittel dieser Vollquotierungen, wobei die höchste und die niedrigste Vollquotierung unberücksichtigt bleiben (und, sofern mehr als eine dieser Vollquotierungen den gleichen Höchst- oder Niedrigstwert aufweisen, einer dieser Höchst- bzw. Niedrigstwerte unberücksichtigt bleibt); (b) wenn genau drei Vollquotierungen eingeholt werden, die nach Herausnahme der höchsten und der niedrigsten Vollquotierung verbleibende Vollquotierung (wobei, sofern mehr als eine dieser Vollquotierungen den gleichen Höchst- oder Niedrigstwert aufweisen, einer dieser Höchst- oder Niedrigstwerte unberücksichtigt bleibt); (c) wenn genau zwei Vollquotierungen eingeholt werden, das arithmetische Mittel dieser Vollquotierungen; (d) wenn weniger als zwei Vollquotierungen und eine Gewichtete Durchschnittsquotierung eingeholt werden, diese Gewichtete Durchschnittsquotierung; (e) wenn weniger als zwei Vollquotierungen und keine Gewichtete Durchschnittsquotierung eingeholt werden, vorbehaltlich der Bestimmungen von Absatz (b) der Definition "Quotierung" ein Betrag, den die Berechnungsstelle an dem nächsten Geschäftstag, an dem zwei oder mehr Vollquotierungen oder eine Gewichtete Durchschnittsquotierung eingeholt werden, zu ermitteln hat; und (f) wenn innerhalb der zusätzlichen Frist von fünf Geschäftstagen gemäss Absatz (b) der Definition "Quotierung" weder zwei oder mehr Vollquotierungen noch eine Gewichtete Durchschnittsquotierung eingeholt werden, wird der Marktwert gemäss den Bestimmungen der Definition  "Quotierung" ermittelt.</w:t>
            </w:r>
          </w:p>
        </w:tc>
      </w:tr>
      <w:tr w:rsidTr="004C1EBA">
        <w:tblPrEx>
          <w:tblW w:w="4999" w:type="pct"/>
          <w:tblLayout w:type="fixed"/>
          <w:tblCellMar>
            <w:left w:w="115" w:type="dxa"/>
            <w:right w:w="115" w:type="dxa"/>
          </w:tblCellMar>
          <w:tblLook w:val="04A0"/>
        </w:tblPrEx>
        <w:trPr>
          <w:trHeight w:val="2211"/>
        </w:trPr>
        <w:tc>
          <w:tcPr>
            <w:tcW w:w="1616" w:type="dxa"/>
            <w:gridSpan w:val="3"/>
            <w:tcBorders>
              <w:top w:val="nil"/>
              <w:left w:val="nil"/>
              <w:right w:val="nil"/>
            </w:tcBorders>
            <w:shd w:val="clear" w:color="auto" w:fill="auto"/>
          </w:tcPr>
          <w:p w:rsidR="0017135D" w:rsidRPr="004C33AD" w:rsidP="005F2EAE">
            <w:pPr>
              <w:pStyle w:val="CSBody8ptbolditalics"/>
            </w:pPr>
            <w:r w:rsidRPr="00792D61">
              <w:t>[</w:t>
            </w:r>
            <w:r w:rsidRPr="004C33AD">
              <w:t>if specified as Valuation Obligation Characteristic, insert:</w:t>
            </w:r>
          </w:p>
          <w:p w:rsidR="0017135D" w:rsidRPr="004C33AD" w:rsidP="005F2EAE">
            <w:pPr>
              <w:pStyle w:val="CSBody8pt"/>
            </w:pPr>
            <w:r w:rsidRPr="00D134B6">
              <w:t>Maximum Maturity</w:t>
            </w:r>
            <w:r>
              <w:fldChar w:fldCharType="begin"/>
            </w:r>
            <w:r>
              <w:instrText xml:space="preserve"> XE "</w:instrText>
            </w:r>
            <w:r w:rsidRPr="002A70C1">
              <w:instrText>Maximum Maturity</w:instrText>
            </w:r>
            <w:r>
              <w:instrText xml:space="preserve">" \f "EN" </w:instrText>
            </w:r>
            <w:r>
              <w:fldChar w:fldCharType="end"/>
            </w:r>
          </w:p>
        </w:tc>
        <w:tc>
          <w:tcPr>
            <w:tcW w:w="3315" w:type="dxa"/>
            <w:gridSpan w:val="2"/>
            <w:tcBorders>
              <w:top w:val="nil"/>
              <w:left w:val="nil"/>
            </w:tcBorders>
            <w:shd w:val="clear" w:color="auto" w:fill="auto"/>
          </w:tcPr>
          <w:p w:rsidR="0017135D" w:rsidRPr="004C33AD" w:rsidP="005F2EAE">
            <w:pPr>
              <w:pStyle w:val="CSBody8pt"/>
            </w:pPr>
            <w:r w:rsidRPr="004C33AD">
              <w:t xml:space="preserve">an obligation that has a remaining maturity of not greater than </w:t>
            </w:r>
            <w:r w:rsidRPr="00792D61">
              <w:rPr>
                <w:b/>
              </w:rPr>
              <w:t>[[</w:t>
            </w:r>
            <w:r w:rsidRPr="004C33AD">
              <w:rPr>
                <w:rFonts w:ascii="Arial" w:hAnsi="Arial" w:cs="Arial"/>
              </w:rPr>
              <w:t>●</w:t>
            </w:r>
            <w:r w:rsidRPr="00792D61">
              <w:rPr>
                <w:b/>
              </w:rPr>
              <w:t>]][</w:t>
            </w:r>
            <w:r w:rsidRPr="004C33AD">
              <w:t>thirty</w:t>
            </w:r>
            <w:r w:rsidRPr="00792D61">
              <w:rPr>
                <w:b/>
              </w:rPr>
              <w:t>]</w:t>
            </w:r>
            <w:r w:rsidRPr="004C33AD">
              <w:t xml:space="preserve"> years. The remaining maturity shall be determined on the basis of the terms of the Valuation Obligation in effect at the time of making such determination and, in the case of a Valuation Obligation that is due and payable, the remaining maturity shall be zero.</w:t>
            </w:r>
            <w:r w:rsidRPr="00792D61">
              <w:rPr>
                <w:b/>
              </w:rPr>
              <w:t>]</w:t>
            </w:r>
          </w:p>
        </w:tc>
        <w:tc>
          <w:tcPr>
            <w:tcW w:w="1618" w:type="dxa"/>
            <w:gridSpan w:val="2"/>
            <w:tcBorders>
              <w:top w:val="nil"/>
              <w:right w:val="nil"/>
            </w:tcBorders>
            <w:shd w:val="clear" w:color="auto" w:fill="auto"/>
          </w:tcPr>
          <w:p w:rsidR="0017135D" w:rsidRPr="004C33AD" w:rsidP="000163E2">
            <w:pPr>
              <w:pStyle w:val="CSBody8ptbolditalics"/>
              <w:rPr>
                <w:lang w:val="de-DE"/>
              </w:rPr>
            </w:pPr>
            <w:r w:rsidRPr="00792D61">
              <w:rPr>
                <w:lang w:val="de-DE"/>
              </w:rPr>
              <w:t>[</w:t>
            </w:r>
            <w:r w:rsidRPr="004C33AD">
              <w:rPr>
                <w:lang w:val="de-DE"/>
              </w:rPr>
              <w:t>falls als Merkmal für Bewertungsverbindlichkeiten angegeben, einfügen:</w:t>
            </w:r>
          </w:p>
          <w:p w:rsidR="0017135D" w:rsidRPr="004C33AD" w:rsidP="005F2EAE">
            <w:pPr>
              <w:pStyle w:val="CSBody8pt"/>
              <w:rPr>
                <w:lang w:val="de-DE"/>
              </w:rPr>
            </w:pPr>
            <w:r w:rsidRPr="00D134B6">
              <w:t>Höchstlaufzeit</w:t>
            </w:r>
            <w:r>
              <w:fldChar w:fldCharType="begin"/>
            </w:r>
            <w:r>
              <w:instrText xml:space="preserve"> XE "</w:instrText>
            </w:r>
            <w:r w:rsidRPr="00016157">
              <w:instrText>Höchstlaufzeit</w:instrText>
            </w:r>
            <w:r>
              <w:instrText xml:space="preserve">" </w:instrText>
            </w:r>
            <w:r>
              <w:fldChar w:fldCharType="end"/>
            </w:r>
          </w:p>
        </w:tc>
        <w:tc>
          <w:tcPr>
            <w:tcW w:w="3318" w:type="dxa"/>
            <w:tcBorders>
              <w:top w:val="nil"/>
              <w:left w:val="nil"/>
              <w:right w:val="nil"/>
            </w:tcBorders>
            <w:shd w:val="clear" w:color="auto" w:fill="auto"/>
          </w:tcPr>
          <w:p w:rsidR="0017135D" w:rsidRPr="004C33AD" w:rsidP="005F2EAE">
            <w:pPr>
              <w:pStyle w:val="CSBody8pt"/>
              <w:rPr>
                <w:bCs/>
                <w:lang w:val="de-DE"/>
              </w:rPr>
            </w:pPr>
            <w:r w:rsidRPr="004C33AD">
              <w:rPr>
                <w:bCs/>
                <w:lang w:val="de-DE"/>
              </w:rPr>
              <w:t xml:space="preserve">eine Verbindlichkeit mit einer Restlaufzeit, die einen Zeitraum von </w:t>
            </w:r>
            <w:r w:rsidRPr="00792D61">
              <w:rPr>
                <w:b/>
                <w:bCs/>
                <w:lang w:val="de-DE"/>
              </w:rPr>
              <w:t>[[</w:t>
            </w:r>
            <w:r w:rsidRPr="004C33AD">
              <w:rPr>
                <w:rFonts w:ascii="Arial" w:hAnsi="Arial" w:cs="Arial"/>
                <w:bCs/>
                <w:lang w:val="de-DE"/>
              </w:rPr>
              <w:t>●</w:t>
            </w:r>
            <w:r w:rsidRPr="00792D61">
              <w:rPr>
                <w:b/>
                <w:bCs/>
                <w:lang w:val="de-DE"/>
              </w:rPr>
              <w:t>]][</w:t>
            </w:r>
            <w:r w:rsidRPr="004C33AD">
              <w:rPr>
                <w:bCs/>
                <w:lang w:val="de-DE"/>
              </w:rPr>
              <w:t>dreissig</w:t>
            </w:r>
            <w:r w:rsidRPr="00792D61">
              <w:rPr>
                <w:b/>
                <w:bCs/>
                <w:lang w:val="de-DE"/>
              </w:rPr>
              <w:t>]</w:t>
            </w:r>
            <w:r w:rsidRPr="004C33AD">
              <w:rPr>
                <w:bCs/>
                <w:lang w:val="de-DE"/>
              </w:rPr>
              <w:t xml:space="preserve"> Jahren nicht </w:t>
            </w:r>
            <w:r w:rsidRPr="004C33AD">
              <w:rPr>
                <w:rFonts w:cs="Credit Suisse Type Light"/>
                <w:bCs/>
                <w:lang w:val="de-DE"/>
              </w:rPr>
              <w:t>ü</w:t>
            </w:r>
            <w:r w:rsidRPr="004C33AD">
              <w:rPr>
                <w:bCs/>
                <w:lang w:val="de-DE"/>
              </w:rPr>
              <w:t>berschreitet. Die Restlaufzeit wird auf der Grundlage der im Zeitpunkt der Feststellung geltenden Bedingungen der Bewertungsverbindlichkeit bestimmt und im Falle einer fälligen und zahlbaren Bewertungsverbindlichkeit beträgt die Restlaufzeit null.</w:t>
            </w:r>
            <w:r w:rsidRPr="00792D61">
              <w:rPr>
                <w:b/>
                <w:bCs/>
                <w:lang w:val="de-DE"/>
              </w:rPr>
              <w:t>]</w:t>
            </w:r>
          </w:p>
        </w:tc>
      </w:tr>
      <w:tr w:rsidTr="004C1EBA">
        <w:tblPrEx>
          <w:tblW w:w="4999" w:type="pct"/>
          <w:tblLayout w:type="fixed"/>
          <w:tblCellMar>
            <w:left w:w="115" w:type="dxa"/>
            <w:right w:w="115" w:type="dxa"/>
          </w:tblCellMar>
          <w:tblLook w:val="04A0"/>
        </w:tblPrEx>
        <w:trPr>
          <w:trHeight w:val="1826"/>
        </w:trPr>
        <w:tc>
          <w:tcPr>
            <w:tcW w:w="1616" w:type="dxa"/>
            <w:gridSpan w:val="3"/>
            <w:tcBorders>
              <w:top w:val="nil"/>
              <w:left w:val="nil"/>
              <w:right w:val="nil"/>
            </w:tcBorders>
            <w:shd w:val="clear" w:color="auto" w:fill="auto"/>
          </w:tcPr>
          <w:p w:rsidR="0017135D" w:rsidRPr="004C33AD" w:rsidP="005F2EAE">
            <w:pPr>
              <w:pStyle w:val="CSBody8ptbolditalics"/>
            </w:pPr>
            <w:r w:rsidRPr="00792D61">
              <w:t>[</w:t>
            </w:r>
            <w:r w:rsidRPr="004C33AD">
              <w:t>if Quotation Method is "Mid-Market", insert:</w:t>
            </w:r>
          </w:p>
          <w:p w:rsidR="0017135D" w:rsidRPr="004C33AD" w:rsidP="005F2EAE">
            <w:pPr>
              <w:pStyle w:val="CSBody8pt"/>
            </w:pPr>
            <w:r w:rsidRPr="004C33AD">
              <w:t>Mid-Market</w:t>
            </w:r>
            <w:r>
              <w:fldChar w:fldCharType="begin"/>
            </w:r>
            <w:r>
              <w:instrText xml:space="preserve"> XE "</w:instrText>
            </w:r>
            <w:r w:rsidRPr="00087A81">
              <w:instrText>Mid-Market</w:instrText>
            </w:r>
            <w:r>
              <w:instrText xml:space="preserve">" \f "EN" </w:instrText>
            </w:r>
            <w:r>
              <w:fldChar w:fldCharType="end"/>
            </w:r>
          </w:p>
        </w:tc>
        <w:tc>
          <w:tcPr>
            <w:tcW w:w="3315" w:type="dxa"/>
            <w:gridSpan w:val="2"/>
            <w:tcBorders>
              <w:top w:val="nil"/>
              <w:left w:val="nil"/>
            </w:tcBorders>
            <w:shd w:val="clear" w:color="auto" w:fill="auto"/>
          </w:tcPr>
          <w:p w:rsidR="0017135D" w:rsidRPr="004C33AD" w:rsidP="005F2EAE">
            <w:pPr>
              <w:pStyle w:val="CSBody8pt"/>
            </w:pPr>
            <w:r w:rsidRPr="004C33AD">
              <w:t>"Mid-market" means that bid and offer quotations shall be requested from Dealers and shall be averaged for purposes of determining a relevant Dealer's quotation.</w:t>
            </w:r>
            <w:r w:rsidRPr="00792D61">
              <w:rPr>
                <w:b/>
              </w:rPr>
              <w:t>]</w:t>
            </w:r>
          </w:p>
        </w:tc>
        <w:tc>
          <w:tcPr>
            <w:tcW w:w="1618" w:type="dxa"/>
            <w:gridSpan w:val="2"/>
            <w:tcBorders>
              <w:top w:val="nil"/>
              <w:right w:val="nil"/>
            </w:tcBorders>
            <w:shd w:val="clear" w:color="auto" w:fill="auto"/>
          </w:tcPr>
          <w:p w:rsidR="0017135D" w:rsidRPr="004C33AD" w:rsidP="000163E2">
            <w:pPr>
              <w:pStyle w:val="CSBody8ptbolditalics"/>
              <w:rPr>
                <w:lang w:val="de-DE"/>
              </w:rPr>
            </w:pPr>
            <w:r w:rsidRPr="00792D61">
              <w:rPr>
                <w:lang w:val="de-DE"/>
              </w:rPr>
              <w:t>[</w:t>
            </w:r>
            <w:r w:rsidRPr="004C33AD">
              <w:rPr>
                <w:lang w:val="de-DE"/>
              </w:rPr>
              <w:t>falls die Quotierungsquote "Durchschnitt" ist, einfügen:</w:t>
            </w:r>
          </w:p>
          <w:p w:rsidR="0017135D" w:rsidRPr="004C33AD" w:rsidP="005F2EAE">
            <w:pPr>
              <w:pStyle w:val="CSBody8pt"/>
              <w:rPr>
                <w:lang w:val="de-DE"/>
              </w:rPr>
            </w:pPr>
            <w:r w:rsidRPr="00D134B6">
              <w:t>Durchschnitt</w:t>
            </w:r>
            <w:r>
              <w:fldChar w:fldCharType="begin"/>
            </w:r>
            <w:r>
              <w:instrText xml:space="preserve"> XE "</w:instrText>
            </w:r>
            <w:r w:rsidRPr="00E44E89">
              <w:instrText>Durchschnitt</w:instrText>
            </w:r>
            <w:r>
              <w:instrText xml:space="preserve">" </w:instrText>
            </w:r>
            <w:r>
              <w:fldChar w:fldCharType="end"/>
            </w:r>
          </w:p>
        </w:tc>
        <w:tc>
          <w:tcPr>
            <w:tcW w:w="3318" w:type="dxa"/>
            <w:tcBorders>
              <w:top w:val="nil"/>
              <w:left w:val="nil"/>
              <w:right w:val="nil"/>
            </w:tcBorders>
            <w:shd w:val="clear" w:color="auto" w:fill="auto"/>
          </w:tcPr>
          <w:p w:rsidR="0017135D" w:rsidRPr="004C33AD" w:rsidP="005F2EAE">
            <w:pPr>
              <w:pStyle w:val="CSBody8pt"/>
              <w:rPr>
                <w:bCs/>
                <w:lang w:val="de-DE"/>
              </w:rPr>
            </w:pPr>
            <w:r w:rsidRPr="004C33AD">
              <w:rPr>
                <w:bCs/>
                <w:lang w:val="de-DE"/>
              </w:rPr>
              <w:t>"Durchschnitt" bedeutet, dass Geld- und Briefkursquotierungen von Händlern eingeholt werden, woraufhin dann für die Ermittlung der Quotierung des jeweiligen Händlers deren Durchschnitt zu bilden ist.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C33AD" w:rsidP="005F2EAE">
            <w:pPr>
              <w:pStyle w:val="CSBody8pt"/>
            </w:pPr>
            <w:r w:rsidRPr="004C33AD">
              <w:t>Minimum Quotation Amount</w:t>
            </w:r>
            <w:r>
              <w:fldChar w:fldCharType="begin"/>
            </w:r>
            <w:r>
              <w:instrText xml:space="preserve"> XE "</w:instrText>
            </w:r>
            <w:r w:rsidRPr="004A1DB9">
              <w:instrText>Minimum Quotation Amount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4C33AD" w:rsidP="005F2EAE">
            <w:pPr>
              <w:pStyle w:val="CSBody8pt"/>
            </w:pPr>
            <w:r w:rsidRPr="00792D61">
              <w:rPr>
                <w:b/>
              </w:rPr>
              <w:t>[[</w:t>
            </w:r>
            <w:r w:rsidRPr="004C33AD">
              <w:rPr>
                <w:rFonts w:ascii="Arial" w:hAnsi="Arial" w:cs="Arial"/>
              </w:rPr>
              <w:t>●</w:t>
            </w:r>
            <w:r w:rsidRPr="00792D61">
              <w:rPr>
                <w:b/>
              </w:rPr>
              <w:t>]</w:t>
            </w:r>
            <w:r w:rsidRPr="004C33AD">
              <w:t xml:space="preserve"> (or its equivalent in the relevant Obligation Currency)</w:t>
            </w:r>
            <w:r w:rsidRPr="00792D61">
              <w:rPr>
                <w:b/>
              </w:rPr>
              <w:t>][</w:t>
            </w:r>
            <w:r w:rsidRPr="004C33AD">
              <w:t>the lower of (a) USD 1,000,000 (or its equivalent in the relevant Obligation Currency) and (b) the Quotation Amount</w:t>
            </w:r>
            <w:r w:rsidRPr="00792D61">
              <w:rPr>
                <w:b/>
              </w:rPr>
              <w:t>]</w:t>
            </w:r>
            <w:r w:rsidRPr="004C33AD">
              <w:t>.</w:t>
            </w:r>
          </w:p>
        </w:tc>
        <w:tc>
          <w:tcPr>
            <w:tcW w:w="1618" w:type="dxa"/>
            <w:gridSpan w:val="2"/>
            <w:tcBorders>
              <w:top w:val="nil"/>
              <w:bottom w:val="nil"/>
              <w:right w:val="nil"/>
            </w:tcBorders>
            <w:shd w:val="clear" w:color="auto" w:fill="auto"/>
          </w:tcPr>
          <w:p w:rsidR="0017135D" w:rsidRPr="00D134B6" w:rsidP="000163E2">
            <w:pPr>
              <w:pStyle w:val="CSBody8pt"/>
            </w:pPr>
            <w:r w:rsidRPr="00D134B6">
              <w:t>Mindestquotierungsbetrag</w:t>
            </w:r>
            <w:r>
              <w:fldChar w:fldCharType="begin"/>
            </w:r>
            <w:r>
              <w:instrText xml:space="preserve"> XE "</w:instrText>
            </w:r>
            <w:r w:rsidRPr="00DD379A">
              <w:instrText>Mindestquotierungsbetrag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4C33AD" w:rsidP="005F2EAE">
            <w:pPr>
              <w:pStyle w:val="CSBody8pt"/>
              <w:rPr>
                <w:bCs/>
                <w:lang w:val="de-DE"/>
              </w:rPr>
            </w:pPr>
            <w:r w:rsidRPr="00792D61">
              <w:rPr>
                <w:b/>
                <w:bCs/>
                <w:lang w:val="de-DE"/>
              </w:rPr>
              <w:t>[[</w:t>
            </w:r>
            <w:r w:rsidRPr="004C33AD">
              <w:rPr>
                <w:rFonts w:ascii="Arial" w:hAnsi="Arial" w:cs="Arial"/>
                <w:bCs/>
                <w:lang w:val="de-DE"/>
              </w:rPr>
              <w:t>●</w:t>
            </w:r>
            <w:r w:rsidRPr="00792D61">
              <w:rPr>
                <w:b/>
                <w:bCs/>
                <w:lang w:val="de-DE"/>
              </w:rPr>
              <w:t>]</w:t>
            </w:r>
            <w:r w:rsidRPr="004C33AD">
              <w:rPr>
                <w:bCs/>
                <w:lang w:val="de-DE"/>
              </w:rPr>
              <w:t xml:space="preserve"> (bzw. der Gegenwert in der jeweiligen Verbindlichkeitenw</w:t>
            </w:r>
            <w:r w:rsidRPr="004C33AD">
              <w:rPr>
                <w:rFonts w:cs="Credit Suisse Type Light"/>
                <w:bCs/>
                <w:lang w:val="de-DE"/>
              </w:rPr>
              <w:t>ä</w:t>
            </w:r>
            <w:r w:rsidRPr="004C33AD">
              <w:rPr>
                <w:bCs/>
                <w:lang w:val="de-DE"/>
              </w:rPr>
              <w:t>hrung)</w:t>
            </w:r>
            <w:r w:rsidRPr="00792D61">
              <w:rPr>
                <w:b/>
                <w:bCs/>
                <w:lang w:val="de-DE"/>
              </w:rPr>
              <w:t>][</w:t>
            </w:r>
            <w:r w:rsidRPr="004C33AD">
              <w:rPr>
                <w:bCs/>
                <w:lang w:val="de-DE"/>
              </w:rPr>
              <w:t>entweder (a) USD 1.000.000 (bzw. der Gegenwert in der jeweiligen Verbindlichkeitenw</w:t>
            </w:r>
            <w:r w:rsidRPr="004C33AD">
              <w:rPr>
                <w:rFonts w:cs="Credit Suisse Type Light"/>
                <w:bCs/>
                <w:lang w:val="de-DE"/>
              </w:rPr>
              <w:t>ä</w:t>
            </w:r>
            <w:r w:rsidRPr="004C33AD">
              <w:rPr>
                <w:bCs/>
                <w:lang w:val="de-DE"/>
              </w:rPr>
              <w:t>hrung) oder (b) der Quotierungsbetrag, je nachdem, welcher Betrag niedriger ist</w:t>
            </w:r>
            <w:r w:rsidRPr="00792D61">
              <w:rPr>
                <w:b/>
                <w:bCs/>
                <w:lang w:val="de-DE"/>
              </w:rPr>
              <w:t>]</w:t>
            </w:r>
            <w:r w:rsidRPr="004C33AD">
              <w:rPr>
                <w:bCs/>
                <w:lang w:val="de-DE"/>
              </w:rPr>
              <w:t>.</w:t>
            </w:r>
          </w:p>
        </w:tc>
      </w:tr>
      <w:tr w:rsidTr="004C1EBA">
        <w:tblPrEx>
          <w:tblW w:w="4999" w:type="pct"/>
          <w:tblLayout w:type="fixed"/>
          <w:tblCellMar>
            <w:left w:w="115" w:type="dxa"/>
            <w:right w:w="115" w:type="dxa"/>
          </w:tblCellMar>
          <w:tblLook w:val="04A0"/>
        </w:tblPrEx>
        <w:trPr>
          <w:trHeight w:val="2213"/>
        </w:trPr>
        <w:tc>
          <w:tcPr>
            <w:tcW w:w="1616" w:type="dxa"/>
            <w:gridSpan w:val="3"/>
            <w:tcBorders>
              <w:top w:val="nil"/>
              <w:left w:val="nil"/>
              <w:right w:val="nil"/>
            </w:tcBorders>
            <w:shd w:val="clear" w:color="auto" w:fill="auto"/>
          </w:tcPr>
          <w:p w:rsidR="0017135D" w:rsidRPr="004C33AD" w:rsidP="005F2EAE">
            <w:pPr>
              <w:pStyle w:val="CSBody8ptbolditalics"/>
            </w:pPr>
            <w:r w:rsidRPr="00792D61">
              <w:t>[</w:t>
            </w:r>
            <w:r w:rsidRPr="004C33AD">
              <w:t>if Mod R or Mod Mod R is applicable, insert:</w:t>
            </w:r>
          </w:p>
          <w:p w:rsidR="0017135D" w:rsidRPr="004C33AD" w:rsidP="005F2EAE">
            <w:pPr>
              <w:pStyle w:val="CSBody8pt"/>
            </w:pPr>
            <w:r w:rsidRPr="00D134B6">
              <w:t>M(M)R Restructuring</w:t>
            </w:r>
            <w:r>
              <w:fldChar w:fldCharType="begin"/>
            </w:r>
            <w:r>
              <w:instrText xml:space="preserve"> XE "</w:instrText>
            </w:r>
            <w:r w:rsidRPr="00435456">
              <w:instrText>M(M)R Restructuring</w:instrText>
            </w:r>
            <w:r>
              <w:instrText xml:space="preserve">" \f "EN" </w:instrText>
            </w:r>
            <w:r>
              <w:fldChar w:fldCharType="end"/>
            </w:r>
          </w:p>
        </w:tc>
        <w:tc>
          <w:tcPr>
            <w:tcW w:w="3315" w:type="dxa"/>
            <w:gridSpan w:val="2"/>
            <w:tcBorders>
              <w:top w:val="nil"/>
              <w:left w:val="nil"/>
            </w:tcBorders>
            <w:shd w:val="clear" w:color="auto" w:fill="auto"/>
          </w:tcPr>
          <w:p w:rsidR="0017135D" w:rsidRPr="004C33AD" w:rsidP="005F2EAE">
            <w:pPr>
              <w:pStyle w:val="CSBody8pt"/>
            </w:pPr>
            <w:r w:rsidRPr="004C33AD">
              <w:t xml:space="preserve">A Restructuring Credit Event in respect of which </w:t>
            </w:r>
            <w:r w:rsidRPr="00792D61">
              <w:rPr>
                <w:b/>
              </w:rPr>
              <w:t>[</w:t>
            </w:r>
            <w:r w:rsidRPr="005F2EAE">
              <w:rPr>
                <w:b/>
                <w:i/>
              </w:rPr>
              <w:t>if Mod R is specified as applicable in Section 1.1.</w:t>
            </w:r>
            <w:r w:rsidRPr="004C33AD">
              <w:t>: Mod R</w:t>
            </w:r>
            <w:r w:rsidRPr="00792D61">
              <w:rPr>
                <w:b/>
              </w:rPr>
              <w:t>]</w:t>
            </w:r>
            <w:r w:rsidRPr="004C33AD">
              <w:t xml:space="preserve"> </w:t>
            </w:r>
            <w:r w:rsidRPr="00792D61">
              <w:rPr>
                <w:b/>
                <w:i/>
              </w:rPr>
              <w:t>[</w:t>
            </w:r>
            <w:r w:rsidRPr="005F2EAE">
              <w:rPr>
                <w:b/>
                <w:i/>
              </w:rPr>
              <w:t xml:space="preserve">if Mod Mod R is specified as applicable in Section 1.1.: </w:t>
            </w:r>
            <w:r w:rsidRPr="004C33AD">
              <w:t>Mod Mod R</w:t>
            </w:r>
            <w:r w:rsidRPr="00792D61">
              <w:rPr>
                <w:b/>
              </w:rPr>
              <w:t>]</w:t>
            </w:r>
            <w:r w:rsidRPr="004C33AD">
              <w:t xml:space="preserve"> is applicable.</w:t>
            </w:r>
            <w:r w:rsidRPr="00792D61">
              <w:rPr>
                <w:b/>
              </w:rPr>
              <w:t>]</w:t>
            </w:r>
          </w:p>
        </w:tc>
        <w:tc>
          <w:tcPr>
            <w:tcW w:w="1618" w:type="dxa"/>
            <w:gridSpan w:val="2"/>
            <w:tcBorders>
              <w:top w:val="nil"/>
              <w:right w:val="nil"/>
            </w:tcBorders>
            <w:shd w:val="clear" w:color="auto" w:fill="auto"/>
          </w:tcPr>
          <w:p w:rsidR="0017135D" w:rsidRPr="004C33AD" w:rsidP="005F2EAE">
            <w:pPr>
              <w:pStyle w:val="CSBody8ptbolditalics"/>
              <w:rPr>
                <w:lang w:val="de-DE"/>
              </w:rPr>
            </w:pPr>
            <w:r w:rsidRPr="00792D61">
              <w:rPr>
                <w:lang w:val="de-DE"/>
              </w:rPr>
              <w:t>[</w:t>
            </w:r>
            <w:r w:rsidRPr="004C33AD">
              <w:rPr>
                <w:lang w:val="de-DE"/>
              </w:rPr>
              <w:t>falls Mod R oder Mod Mod R anwendbar ist, einfügen:</w:t>
            </w:r>
          </w:p>
          <w:p w:rsidR="0017135D" w:rsidRPr="004C33AD" w:rsidP="005F2EAE">
            <w:pPr>
              <w:pStyle w:val="CSBody8pt"/>
              <w:rPr>
                <w:lang w:val="de-DE"/>
              </w:rPr>
            </w:pPr>
            <w:r w:rsidRPr="00D134B6">
              <w:t>M(M)R-Restrukturierung</w:t>
            </w:r>
            <w:r>
              <w:fldChar w:fldCharType="begin"/>
            </w:r>
            <w:r>
              <w:instrText xml:space="preserve"> XE "</w:instrText>
            </w:r>
            <w:r w:rsidRPr="002E748B">
              <w:instrText>M(M)R-Restrukturierung</w:instrText>
            </w:r>
            <w:r>
              <w:instrText xml:space="preserve">" </w:instrText>
            </w:r>
            <w:r>
              <w:fldChar w:fldCharType="end"/>
            </w:r>
          </w:p>
        </w:tc>
        <w:tc>
          <w:tcPr>
            <w:tcW w:w="3318" w:type="dxa"/>
            <w:tcBorders>
              <w:top w:val="nil"/>
              <w:left w:val="nil"/>
              <w:right w:val="nil"/>
            </w:tcBorders>
            <w:shd w:val="clear" w:color="auto" w:fill="auto"/>
          </w:tcPr>
          <w:p w:rsidR="0017135D" w:rsidRPr="004C33AD" w:rsidP="005F2EAE">
            <w:pPr>
              <w:pStyle w:val="CSBody8pt"/>
              <w:rPr>
                <w:bCs/>
                <w:lang w:val="de-DE"/>
              </w:rPr>
            </w:pPr>
            <w:r w:rsidRPr="004C33AD">
              <w:rPr>
                <w:bCs/>
                <w:lang w:val="de-DE"/>
              </w:rPr>
              <w:t xml:space="preserve">Ein Kreditereignis durch Restrukturierung, auf das </w:t>
            </w:r>
            <w:r w:rsidRPr="00792D61">
              <w:rPr>
                <w:b/>
                <w:bCs/>
                <w:lang w:val="de-DE"/>
              </w:rPr>
              <w:t>[</w:t>
            </w:r>
            <w:r w:rsidRPr="005F2EAE">
              <w:rPr>
                <w:b/>
                <w:bCs/>
                <w:i/>
                <w:lang w:val="de-DE"/>
              </w:rPr>
              <w:t>falls Mod R in Ziffer 1.1 als anwendbar angegeben ist:</w:t>
            </w:r>
            <w:r w:rsidRPr="004C33AD">
              <w:rPr>
                <w:bCs/>
                <w:lang w:val="de-DE"/>
              </w:rPr>
              <w:t xml:space="preserve"> Mod R</w:t>
            </w:r>
            <w:r w:rsidRPr="00792D61">
              <w:rPr>
                <w:b/>
                <w:bCs/>
                <w:lang w:val="de-DE"/>
              </w:rPr>
              <w:t>]</w:t>
            </w:r>
            <w:r w:rsidRPr="004C33AD">
              <w:rPr>
                <w:bCs/>
                <w:lang w:val="de-DE"/>
              </w:rPr>
              <w:t xml:space="preserve"> </w:t>
            </w:r>
            <w:r w:rsidRPr="00792D61">
              <w:rPr>
                <w:b/>
                <w:bCs/>
                <w:lang w:val="de-DE"/>
              </w:rPr>
              <w:t>[</w:t>
            </w:r>
            <w:r w:rsidRPr="005F2EAE">
              <w:rPr>
                <w:b/>
                <w:bCs/>
                <w:i/>
                <w:lang w:val="de-DE"/>
              </w:rPr>
              <w:t>falls Mod Mod R in Ziffer 1.1 als anwendbar angegeben ist:</w:t>
            </w:r>
            <w:r w:rsidRPr="004C33AD">
              <w:rPr>
                <w:bCs/>
                <w:lang w:val="de-DE"/>
              </w:rPr>
              <w:t xml:space="preserve"> Mod Mod R</w:t>
            </w:r>
            <w:r w:rsidRPr="00792D61">
              <w:rPr>
                <w:b/>
                <w:bCs/>
                <w:lang w:val="de-DE"/>
              </w:rPr>
              <w:t>]</w:t>
            </w:r>
            <w:r w:rsidRPr="004C33AD">
              <w:rPr>
                <w:bCs/>
                <w:lang w:val="de-DE"/>
              </w:rPr>
              <w:t xml:space="preserve"> anwenbar ist.</w:t>
            </w:r>
            <w:r w:rsidRPr="00792D61">
              <w:rPr>
                <w:b/>
                <w:bCs/>
                <w:lang w:val="de-DE"/>
              </w:rPr>
              <w:t>]</w:t>
            </w:r>
          </w:p>
        </w:tc>
      </w:tr>
      <w:tr w:rsidTr="004C1EBA">
        <w:tblPrEx>
          <w:tblW w:w="4999" w:type="pct"/>
          <w:tblLayout w:type="fixed"/>
          <w:tblCellMar>
            <w:left w:w="115" w:type="dxa"/>
            <w:right w:w="115" w:type="dxa"/>
          </w:tblCellMar>
          <w:tblLook w:val="04A0"/>
        </w:tblPrEx>
        <w:trPr>
          <w:trHeight w:val="2986"/>
        </w:trPr>
        <w:tc>
          <w:tcPr>
            <w:tcW w:w="1616" w:type="dxa"/>
            <w:gridSpan w:val="3"/>
            <w:tcBorders>
              <w:top w:val="nil"/>
              <w:left w:val="nil"/>
              <w:right w:val="nil"/>
            </w:tcBorders>
            <w:shd w:val="clear" w:color="auto" w:fill="auto"/>
          </w:tcPr>
          <w:p w:rsidR="0017135D" w:rsidRPr="00D134B6" w:rsidP="005F2EAE">
            <w:pPr>
              <w:pStyle w:val="CSBody8ptbolditalics"/>
            </w:pPr>
            <w:r w:rsidRPr="00792D61">
              <w:t>[</w:t>
            </w:r>
            <w:r w:rsidRPr="00D134B6">
              <w:t>if Mod Mod R is applicable, insert:</w:t>
            </w:r>
          </w:p>
          <w:p w:rsidR="0017135D" w:rsidRPr="00D134B6" w:rsidP="005F2EAE">
            <w:pPr>
              <w:pStyle w:val="CSBody8pt"/>
            </w:pPr>
            <w:r w:rsidRPr="00D134B6">
              <w:t>Modified Eligible Transferee</w:t>
            </w:r>
            <w:r>
              <w:fldChar w:fldCharType="begin"/>
            </w:r>
            <w:r>
              <w:instrText xml:space="preserve"> XE "</w:instrText>
            </w:r>
            <w:r w:rsidRPr="003A1C34">
              <w:instrText>Modified Eligible Transferee</w:instrText>
            </w:r>
            <w:r>
              <w:instrText xml:space="preserve">" \f "EN" </w:instrText>
            </w:r>
            <w:r>
              <w:fldChar w:fldCharType="end"/>
            </w:r>
          </w:p>
        </w:tc>
        <w:tc>
          <w:tcPr>
            <w:tcW w:w="3315" w:type="dxa"/>
            <w:gridSpan w:val="2"/>
            <w:tcBorders>
              <w:top w:val="nil"/>
              <w:left w:val="nil"/>
            </w:tcBorders>
            <w:shd w:val="clear" w:color="auto" w:fill="auto"/>
          </w:tcPr>
          <w:p w:rsidR="0017135D" w:rsidRPr="00D134B6" w:rsidP="005F2EAE">
            <w:pPr>
              <w:pStyle w:val="CSBody8pt"/>
            </w:pPr>
            <w:r w:rsidRPr="00D134B6">
              <w:t>any bank, financial institution or other entity which is regularly engaged in or established for the purpose of making, purchasing or investing in loans, securities and other financial assets.</w:t>
            </w:r>
            <w:r w:rsidRPr="00792D61">
              <w:rPr>
                <w:b/>
              </w:rPr>
              <w:t>]</w:t>
            </w:r>
          </w:p>
        </w:tc>
        <w:tc>
          <w:tcPr>
            <w:tcW w:w="1618" w:type="dxa"/>
            <w:gridSpan w:val="2"/>
            <w:tcBorders>
              <w:top w:val="nil"/>
              <w:right w:val="nil"/>
            </w:tcBorders>
            <w:shd w:val="clear" w:color="auto" w:fill="auto"/>
          </w:tcPr>
          <w:p w:rsidR="0017135D" w:rsidRPr="00D134B6" w:rsidP="005F2EAE">
            <w:pPr>
              <w:pStyle w:val="CSBody8ptbolditalics"/>
              <w:rPr>
                <w:lang w:val="de-DE"/>
              </w:rPr>
            </w:pPr>
            <w:r w:rsidRPr="00792D61">
              <w:rPr>
                <w:lang w:val="de-DE"/>
              </w:rPr>
              <w:t>[</w:t>
            </w:r>
            <w:r w:rsidRPr="00D134B6">
              <w:rPr>
                <w:lang w:val="de-DE"/>
              </w:rPr>
              <w:t>falls Mod Mod R anwendbar ist, einfügen:</w:t>
            </w:r>
          </w:p>
          <w:p w:rsidR="0017135D" w:rsidRPr="00D134B6" w:rsidP="000163E2">
            <w:pPr>
              <w:pStyle w:val="CSBody8pt"/>
              <w:rPr>
                <w:lang w:val="de-DE"/>
              </w:rPr>
            </w:pPr>
            <w:r w:rsidRPr="00D134B6">
              <w:rPr>
                <w:lang w:val="de-DE"/>
              </w:rPr>
              <w:t>Nach Modifizierten Kriterien Zulässiger Übertragungsempfänger</w:t>
            </w:r>
            <w:r>
              <w:rPr>
                <w:lang w:val="de-DE"/>
              </w:rPr>
              <w:fldChar w:fldCharType="begin"/>
            </w:r>
            <w:r w:rsidRPr="00D134B6">
              <w:rPr>
                <w:lang w:val="de-DE"/>
              </w:rPr>
              <w:instrText xml:space="preserve"> XE "</w:instrText>
            </w:r>
            <w:r w:rsidRPr="00187167">
              <w:rPr>
                <w:lang w:val="de-DE"/>
              </w:rPr>
              <w:instrText>Nach Modifizierten Kriterien Zulässiger Übertragungsempfänger</w:instrText>
            </w:r>
            <w:r w:rsidRPr="00D134B6">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D134B6" w:rsidP="005F2EAE">
            <w:pPr>
              <w:pStyle w:val="CSBody8pt"/>
              <w:rPr>
                <w:bCs/>
                <w:lang w:val="de-DE"/>
              </w:rPr>
            </w:pPr>
            <w:r w:rsidRPr="00D134B6">
              <w:rPr>
                <w:bCs/>
                <w:lang w:val="de-DE"/>
              </w:rPr>
              <w:t>jede Bank, jedes Finanzinstitut und jeder andere Rechtsträger, das/der regelmässig Darlehen ausreicht, Wertpapiere erwirbt oder sonstige Finanzanlagen tätigt oder zu diesem Zweck errichtet wurde.</w:t>
            </w:r>
            <w:r w:rsidRPr="00792D61">
              <w:rPr>
                <w:b/>
                <w:bCs/>
                <w:lang w:val="de-DE"/>
              </w:rPr>
              <w:t>]</w:t>
            </w:r>
          </w:p>
        </w:tc>
      </w:tr>
      <w:tr w:rsidTr="00BD6E0D">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9501FA" w:rsidP="005F2EAE">
            <w:pPr>
              <w:pStyle w:val="CSBody8ptbolditalics"/>
            </w:pPr>
            <w:r w:rsidRPr="00792D61">
              <w:t>[</w:t>
            </w:r>
            <w:r w:rsidRPr="009501FA">
              <w:t>if Mod Mod R is applicable, insert:</w:t>
            </w:r>
          </w:p>
          <w:p w:rsidR="0017135D" w:rsidRPr="009501FA" w:rsidP="005F2EAE">
            <w:pPr>
              <w:pStyle w:val="CSBody8pt"/>
            </w:pPr>
            <w:r w:rsidRPr="00D134B6">
              <w:t>Modified Restructuring Maturity Limitation Date</w:t>
            </w:r>
            <w:r>
              <w:fldChar w:fldCharType="begin"/>
            </w:r>
            <w:r>
              <w:instrText xml:space="preserve"> XE "</w:instrText>
            </w:r>
            <w:r w:rsidRPr="00D87721">
              <w:instrText>Modified Restructuring Maturity Limitation Date</w:instrText>
            </w:r>
            <w:r>
              <w:instrText xml:space="preserve">" \f "EN" </w:instrText>
            </w:r>
            <w:r>
              <w:fldChar w:fldCharType="end"/>
            </w:r>
          </w:p>
        </w:tc>
        <w:tc>
          <w:tcPr>
            <w:tcW w:w="3315" w:type="dxa"/>
            <w:gridSpan w:val="2"/>
            <w:tcBorders>
              <w:top w:val="nil"/>
              <w:left w:val="nil"/>
            </w:tcBorders>
            <w:shd w:val="clear" w:color="auto" w:fill="auto"/>
          </w:tcPr>
          <w:p w:rsidR="0017135D" w:rsidRPr="009501FA" w:rsidP="005F2EAE">
            <w:pPr>
              <w:pStyle w:val="CSBody8pt"/>
            </w:pPr>
            <w:r w:rsidRPr="009501FA">
              <w:t>with respect to a Valuation Obligation, the Limitation Date occurring on or immediately following the Scheduled Maturity Date. Subject to the foregoing, if the Scheduled Maturity Date is later than the 10-year Limitation Date, the Modified Restructuring Maturity Limitation Date will be the Scheduled Maturity Date.</w:t>
            </w:r>
            <w:r w:rsidRPr="00792D61">
              <w:rPr>
                <w:b/>
              </w:rPr>
              <w:t>]</w:t>
            </w:r>
          </w:p>
        </w:tc>
        <w:tc>
          <w:tcPr>
            <w:tcW w:w="1618" w:type="dxa"/>
            <w:gridSpan w:val="2"/>
            <w:tcBorders>
              <w:top w:val="nil"/>
              <w:right w:val="nil"/>
            </w:tcBorders>
            <w:shd w:val="clear" w:color="auto" w:fill="auto"/>
          </w:tcPr>
          <w:p w:rsidR="0017135D" w:rsidRPr="009501FA" w:rsidP="005F2EAE">
            <w:pPr>
              <w:pStyle w:val="CSBody8ptbolditalics"/>
              <w:rPr>
                <w:lang w:val="de-DE"/>
              </w:rPr>
            </w:pPr>
            <w:r w:rsidRPr="00792D61">
              <w:rPr>
                <w:lang w:val="de-DE"/>
              </w:rPr>
              <w:t>[</w:t>
            </w:r>
            <w:r w:rsidRPr="009501FA">
              <w:rPr>
                <w:lang w:val="de-DE"/>
              </w:rPr>
              <w:t>falls Mod Mod R anwendbar ist, einfügen:</w:t>
            </w:r>
          </w:p>
          <w:p w:rsidR="0017135D" w:rsidRPr="009501FA">
            <w:pPr>
              <w:pStyle w:val="CSBody8pt"/>
              <w:rPr>
                <w:lang w:val="de-DE"/>
              </w:rPr>
            </w:pPr>
            <w:r w:rsidRPr="00D134B6">
              <w:rPr>
                <w:lang w:val="de-DE"/>
              </w:rPr>
              <w:t>Modifizierter Laufzeit-beschränkungstag bei Restrukturierung</w:t>
            </w:r>
            <w:r>
              <w:rPr>
                <w:lang w:val="de-DE"/>
              </w:rPr>
              <w:fldChar w:fldCharType="begin"/>
            </w:r>
            <w:r w:rsidRPr="00D134B6">
              <w:rPr>
                <w:lang w:val="de-DE"/>
              </w:rPr>
              <w:instrText xml:space="preserve"> XE "</w:instrText>
            </w:r>
            <w:r w:rsidRPr="0006037E">
              <w:rPr>
                <w:lang w:val="de-DE"/>
              </w:rPr>
              <w:instrText>Modifizierter Laufzeit-beschränkungstag bei Re-strukturierung</w:instrText>
            </w:r>
            <w:r w:rsidRPr="00D134B6">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9501FA" w:rsidP="005F2EAE">
            <w:pPr>
              <w:pStyle w:val="CSBody8pt"/>
              <w:rPr>
                <w:bCs/>
                <w:lang w:val="de-DE"/>
              </w:rPr>
            </w:pPr>
            <w:r w:rsidRPr="009501FA">
              <w:rPr>
                <w:bCs/>
                <w:lang w:val="de-DE"/>
              </w:rPr>
              <w:t>in Bezug auf eine Bewertungsverbindlichkeit der Beschränkungstag, der an oder unmittelbar nach dem Planmässigen Fälligkeitstag liegt. Vorbehaltlich der vorstehenden Bestimmungen ist der Modifizierte Laufzeitbeschränkungstag bei Restrukturierung der Planmässige Fälligkeitstag, wenn der Planmässige Fälligkeitstag nach dem 10-Jahre-Beschränkungstag liegt.</w:t>
            </w:r>
            <w:r w:rsidRPr="00792D61">
              <w:rPr>
                <w:b/>
                <w:bCs/>
                <w:lang w:val="de-DE"/>
              </w:rPr>
              <w:t>]</w:t>
            </w:r>
          </w:p>
        </w:tc>
      </w:tr>
      <w:tr w:rsidTr="004C1EBA">
        <w:tblPrEx>
          <w:tblW w:w="4999" w:type="pct"/>
          <w:tblLayout w:type="fixed"/>
          <w:tblCellMar>
            <w:left w:w="115" w:type="dxa"/>
            <w:right w:w="115" w:type="dxa"/>
          </w:tblCellMar>
          <w:tblLook w:val="04A0"/>
        </w:tblPrEx>
        <w:trPr>
          <w:trHeight w:val="4103"/>
        </w:trPr>
        <w:tc>
          <w:tcPr>
            <w:tcW w:w="1616" w:type="dxa"/>
            <w:gridSpan w:val="3"/>
            <w:tcBorders>
              <w:top w:val="nil"/>
              <w:left w:val="nil"/>
              <w:right w:val="nil"/>
            </w:tcBorders>
            <w:shd w:val="clear" w:color="auto" w:fill="auto"/>
          </w:tcPr>
          <w:p w:rsidR="0017135D" w:rsidRPr="00942F00" w:rsidP="005F2EAE">
            <w:pPr>
              <w:pStyle w:val="CSBody8ptbolditalics"/>
            </w:pPr>
            <w:r w:rsidRPr="00942F00">
              <w:t>[Insert if "Restructuring "and "Multiple Holder Obligation" are applicable:</w:t>
            </w:r>
          </w:p>
          <w:p w:rsidR="0017135D" w:rsidRPr="00942F00" w:rsidP="00D134B6">
            <w:pPr>
              <w:pStyle w:val="CSBody8pt"/>
            </w:pPr>
            <w:r w:rsidRPr="00942F00">
              <w:t>Multiple Holder Obligation</w:t>
            </w:r>
            <w:r>
              <w:fldChar w:fldCharType="begin"/>
            </w:r>
            <w:r w:rsidRPr="00942F00">
              <w:instrText xml:space="preserve"> XE "Multiple Holder Obligation" \f "EN" </w:instrText>
            </w:r>
            <w:r>
              <w:fldChar w:fldCharType="end"/>
            </w:r>
          </w:p>
        </w:tc>
        <w:tc>
          <w:tcPr>
            <w:tcW w:w="3315" w:type="dxa"/>
            <w:gridSpan w:val="2"/>
            <w:tcBorders>
              <w:left w:val="nil"/>
            </w:tcBorders>
            <w:shd w:val="clear" w:color="auto" w:fill="auto"/>
          </w:tcPr>
          <w:p w:rsidR="0017135D" w:rsidRPr="00942F00" w:rsidP="004C1EBA">
            <w:pPr>
              <w:pStyle w:val="CSBody8pt"/>
              <w:rPr>
                <w:b/>
              </w:rPr>
            </w:pPr>
            <w:r w:rsidRPr="00942F00">
              <w:rPr>
                <w:b/>
              </w:rPr>
              <w:t>[</w:t>
            </w:r>
            <w:r w:rsidRPr="00942F00">
              <w:rPr>
                <w:b/>
                <w:i/>
              </w:rPr>
              <w:t xml:space="preserve">if </w:t>
            </w:r>
            <w:r w:rsidR="003B00F3">
              <w:rPr>
                <w:b/>
                <w:i/>
              </w:rPr>
              <w:t>"</w:t>
            </w:r>
            <w:r w:rsidRPr="00942F00">
              <w:rPr>
                <w:b/>
                <w:i/>
              </w:rPr>
              <w:t>Multiple Holder Obligation</w:t>
            </w:r>
            <w:r w:rsidR="00BF7214">
              <w:rPr>
                <w:b/>
                <w:i/>
              </w:rPr>
              <w:t>"</w:t>
            </w:r>
            <w:r w:rsidRPr="00942F00">
              <w:rPr>
                <w:b/>
                <w:i/>
              </w:rPr>
              <w:t xml:space="preserve"> is only applicable with respect to the Obligation Category </w:t>
            </w:r>
            <w:r w:rsidR="003B00F3">
              <w:rPr>
                <w:b/>
                <w:i/>
              </w:rPr>
              <w:t>"</w:t>
            </w:r>
            <w:r w:rsidRPr="00942F00">
              <w:rPr>
                <w:b/>
                <w:i/>
              </w:rPr>
              <w:t>Loans</w:t>
            </w:r>
            <w:r w:rsidR="00BF7214">
              <w:rPr>
                <w:b/>
                <w:i/>
              </w:rPr>
              <w:t>"</w:t>
            </w:r>
            <w:r w:rsidRPr="00942F00">
              <w:rPr>
                <w:b/>
                <w:i/>
              </w:rPr>
              <w:t>, insert:</w:t>
            </w:r>
            <w:r w:rsidRPr="00942F00">
              <w:t xml:space="preserve"> an Obligation that is a Loan </w:t>
            </w:r>
            <w:r w:rsidRPr="00942F00">
              <w:rPr>
                <w:b/>
              </w:rPr>
              <w:t>[</w:t>
            </w:r>
            <w:r w:rsidRPr="00942F00">
              <w:rPr>
                <w:b/>
                <w:i/>
              </w:rPr>
              <w:t xml:space="preserve">in case of Credit-Linked Complex Products with LPN Reference Obligation, insert: </w:t>
            </w:r>
            <w:r w:rsidRPr="00942F00">
              <w:t>, other than any Reference Obligation (and any Underlying Loan)</w:t>
            </w:r>
            <w:r w:rsidRPr="00942F00">
              <w:rPr>
                <w:b/>
              </w:rPr>
              <w:t>]</w:t>
            </w:r>
            <w:r w:rsidRPr="00942F00">
              <w:t xml:space="preserve"> and (a) that at the time of the event which constitutes a Restructuring Credit Event is held by more than three holders that are not Affiliates of each other and (b) with respect to which a percentage of holders (determined pursuant to the terms of the Obligation as in effect on the date of such event) at least equal to sixty-six-and-two-thirds is required to consent to the event which constitutes a Restructuring Credit Event.</w:t>
            </w:r>
            <w:r w:rsidRPr="00942F00">
              <w:rPr>
                <w:b/>
              </w:rPr>
              <w:t>]</w:t>
            </w:r>
          </w:p>
        </w:tc>
        <w:tc>
          <w:tcPr>
            <w:tcW w:w="1618" w:type="dxa"/>
            <w:gridSpan w:val="2"/>
            <w:tcBorders>
              <w:top w:val="nil"/>
              <w:right w:val="nil"/>
            </w:tcBorders>
            <w:shd w:val="clear" w:color="auto" w:fill="auto"/>
          </w:tcPr>
          <w:p w:rsidR="0017135D" w:rsidRPr="00942F00" w:rsidP="005F2EAE">
            <w:pPr>
              <w:pStyle w:val="CSBody8ptbolditalics"/>
              <w:rPr>
                <w:lang w:val="de-DE"/>
              </w:rPr>
            </w:pPr>
            <w:r w:rsidRPr="00942F00">
              <w:rPr>
                <w:lang w:val="de-DE"/>
              </w:rPr>
              <w:t>[Falls "Restrukturierung" und "Verbindlichkeit mit Mehreren Gläubigern" anwendbar sind, einfügen:</w:t>
            </w:r>
          </w:p>
          <w:p w:rsidR="0017135D" w:rsidRPr="00942F00" w:rsidP="00D134B6">
            <w:pPr>
              <w:pStyle w:val="CSBody8pt"/>
              <w:rPr>
                <w:lang w:val="de-DE"/>
              </w:rPr>
            </w:pPr>
            <w:r w:rsidRPr="00942F00">
              <w:t>Verbindlichkeit mit Mehreren Gläubigern</w:t>
            </w:r>
            <w:r>
              <w:fldChar w:fldCharType="begin"/>
            </w:r>
            <w:r w:rsidRPr="00942F00">
              <w:instrText xml:space="preserve"> XE "Verbindlichkeit mit Mehreren Gläubigern" </w:instrText>
            </w:r>
            <w:r>
              <w:fldChar w:fldCharType="end"/>
            </w:r>
          </w:p>
        </w:tc>
        <w:tc>
          <w:tcPr>
            <w:tcW w:w="3318" w:type="dxa"/>
            <w:tcBorders>
              <w:top w:val="nil"/>
              <w:left w:val="nil"/>
              <w:right w:val="nil"/>
            </w:tcBorders>
            <w:shd w:val="clear" w:color="auto" w:fill="auto"/>
          </w:tcPr>
          <w:p w:rsidR="0017135D" w:rsidRPr="009501FA" w:rsidP="004C1EBA">
            <w:pPr>
              <w:pStyle w:val="CSBody8pt"/>
              <w:rPr>
                <w:bCs/>
                <w:lang w:val="de-DE"/>
              </w:rPr>
            </w:pPr>
            <w:r w:rsidRPr="00942F00">
              <w:rPr>
                <w:b/>
                <w:bCs/>
                <w:lang w:val="de-DE"/>
              </w:rPr>
              <w:t>[</w:t>
            </w:r>
            <w:r w:rsidRPr="00942F00">
              <w:rPr>
                <w:b/>
                <w:bCs/>
                <w:i/>
                <w:lang w:val="de-DE"/>
              </w:rPr>
              <w:t xml:space="preserve">Falls </w:t>
            </w:r>
            <w:r w:rsidR="00BF7214">
              <w:rPr>
                <w:b/>
                <w:bCs/>
                <w:i/>
                <w:lang w:val="de-DE"/>
              </w:rPr>
              <w:t>"</w:t>
            </w:r>
            <w:r w:rsidRPr="00942F00">
              <w:rPr>
                <w:b/>
                <w:bCs/>
                <w:i/>
                <w:lang w:val="de-DE"/>
              </w:rPr>
              <w:t xml:space="preserve">Verbindlichkeit mit Mehreren Gläubigern" nur auf auf die Verbindlichkeitenkategorie </w:t>
            </w:r>
            <w:r w:rsidR="003B00F3">
              <w:rPr>
                <w:b/>
                <w:bCs/>
                <w:i/>
                <w:lang w:val="de-DE"/>
              </w:rPr>
              <w:t>"</w:t>
            </w:r>
            <w:r w:rsidRPr="00942F00">
              <w:rPr>
                <w:b/>
                <w:bCs/>
                <w:i/>
                <w:lang w:val="de-DE"/>
              </w:rPr>
              <w:t>Darlehen</w:t>
            </w:r>
            <w:r w:rsidR="003B00F3">
              <w:rPr>
                <w:b/>
                <w:bCs/>
                <w:i/>
                <w:lang w:val="de-DE"/>
              </w:rPr>
              <w:t>"</w:t>
            </w:r>
            <w:r w:rsidRPr="00942F00">
              <w:rPr>
                <w:b/>
                <w:bCs/>
                <w:i/>
                <w:lang w:val="de-DE"/>
              </w:rPr>
              <w:t xml:space="preserve"> anwendbar ist, einfügen:</w:t>
            </w:r>
            <w:r w:rsidRPr="00942F00">
              <w:rPr>
                <w:bCs/>
                <w:lang w:val="de-DE"/>
              </w:rPr>
              <w:t xml:space="preserve"> eine Verbindlichkeit, die ein Darlehen ist </w:t>
            </w:r>
            <w:r w:rsidRPr="00942F00">
              <w:rPr>
                <w:b/>
                <w:bCs/>
                <w:lang w:val="de-DE"/>
              </w:rPr>
              <w:t>[</w:t>
            </w:r>
            <w:r w:rsidRPr="00942F00">
              <w:rPr>
                <w:b/>
                <w:bCs/>
                <w:i/>
                <w:lang w:val="de-DE"/>
              </w:rPr>
              <w:t xml:space="preserve">bei Kreditbezogenen Komplexen Produkten mit LPN-Referenzverbindlichkeit einfügen: </w:t>
            </w:r>
            <w:r w:rsidRPr="00942F00">
              <w:rPr>
                <w:bCs/>
                <w:lang w:val="de-DE"/>
              </w:rPr>
              <w:t>, bei dem es sich nicht um eine Referenzverbindlichkeit (oder ein Zugrundeliegendes Darlehen) handelt</w:t>
            </w:r>
            <w:r w:rsidRPr="00942F00">
              <w:rPr>
                <w:b/>
                <w:bCs/>
                <w:lang w:val="de-DE"/>
              </w:rPr>
              <w:t>]</w:t>
            </w:r>
            <w:r w:rsidRPr="00942F00">
              <w:rPr>
                <w:bCs/>
                <w:lang w:val="de-DE"/>
              </w:rPr>
              <w:t>, und (a) die zum Zeitpunkt des Ereignisses, das ein Kreditereignis Restrukturierung darstellt, gegenüber mehr als drei Gläubigern besteht, die untereinander keine Verbundenen Unternehmen sind, und (b) in Bezug auf welche die Zustimmung eines (nach Massgabe der zum Zeitpunkt des Ereignisses geltenden Bedingungen der Verbindlichkeit ermittelten) Prozentsatzes von Gläubigern, der mindestens sechsundsechzig zwei Drittel betragen muss, zu dem Ereignis, das ein Restrukturierungs-Kreditereignis darstellt, erforderlich ist.</w:t>
            </w:r>
            <w:r w:rsidRPr="00942F00">
              <w:rPr>
                <w:b/>
                <w:bCs/>
                <w:lang w:val="de-DE"/>
              </w:rPr>
              <w:t>]</w:t>
            </w:r>
          </w:p>
        </w:tc>
      </w:tr>
      <w:tr w:rsidTr="004C1EBA">
        <w:tblPrEx>
          <w:tblW w:w="4999" w:type="pct"/>
          <w:tblLayout w:type="fixed"/>
          <w:tblCellMar>
            <w:left w:w="115" w:type="dxa"/>
            <w:right w:w="115" w:type="dxa"/>
          </w:tblCellMar>
          <w:tblLook w:val="04A0"/>
        </w:tblPrEx>
        <w:trPr>
          <w:trHeight w:val="4103"/>
        </w:trPr>
        <w:tc>
          <w:tcPr>
            <w:tcW w:w="1616" w:type="dxa"/>
            <w:gridSpan w:val="3"/>
            <w:tcBorders>
              <w:top w:val="nil"/>
              <w:left w:val="nil"/>
              <w:right w:val="nil"/>
            </w:tcBorders>
            <w:shd w:val="clear" w:color="auto" w:fill="auto"/>
          </w:tcPr>
          <w:p w:rsidR="0017135D" w:rsidRPr="001F2FC0" w:rsidP="005F2EAE">
            <w:pPr>
              <w:pStyle w:val="CSBody8ptbolditalics"/>
              <w:rPr>
                <w:lang w:val="de-DE"/>
              </w:rPr>
            </w:pPr>
          </w:p>
        </w:tc>
        <w:tc>
          <w:tcPr>
            <w:tcW w:w="3315" w:type="dxa"/>
            <w:gridSpan w:val="2"/>
            <w:tcBorders>
              <w:left w:val="nil"/>
            </w:tcBorders>
            <w:shd w:val="clear" w:color="auto" w:fill="auto"/>
          </w:tcPr>
          <w:p w:rsidR="0017135D" w:rsidRPr="001F2FC0" w:rsidP="004C1EBA">
            <w:pPr>
              <w:pStyle w:val="CSBody8pt"/>
              <w:rPr>
                <w:highlight w:val="green"/>
              </w:rPr>
            </w:pPr>
            <w:r w:rsidRPr="001F2FC0">
              <w:rPr>
                <w:b/>
              </w:rPr>
              <w:t>[</w:t>
            </w:r>
            <w:r w:rsidRPr="001F2FC0">
              <w:rPr>
                <w:b/>
                <w:i/>
              </w:rPr>
              <w:t xml:space="preserve">if </w:t>
            </w:r>
            <w:r w:rsidR="003B00F3">
              <w:rPr>
                <w:b/>
                <w:i/>
              </w:rPr>
              <w:t>"</w:t>
            </w:r>
            <w:r w:rsidRPr="001F2FC0">
              <w:rPr>
                <w:b/>
                <w:i/>
              </w:rPr>
              <w:t>Multiple Holder Obligation</w:t>
            </w:r>
            <w:r w:rsidR="00BF7214">
              <w:rPr>
                <w:b/>
                <w:i/>
              </w:rPr>
              <w:t>"</w:t>
            </w:r>
            <w:r w:rsidRPr="001F2FC0">
              <w:rPr>
                <w:b/>
                <w:i/>
              </w:rPr>
              <w:t xml:space="preserve"> is applicable with respect to </w:t>
            </w:r>
            <w:r w:rsidRPr="00AE404E">
              <w:rPr>
                <w:b/>
                <w:i/>
              </w:rPr>
              <w:t xml:space="preserve">the Obligation Categories </w:t>
            </w:r>
            <w:r w:rsidR="003B00F3">
              <w:rPr>
                <w:b/>
                <w:i/>
              </w:rPr>
              <w:t>"</w:t>
            </w:r>
            <w:r w:rsidRPr="001F2FC0">
              <w:rPr>
                <w:b/>
                <w:i/>
              </w:rPr>
              <w:t>Bonds</w:t>
            </w:r>
            <w:r w:rsidR="00BF7214">
              <w:rPr>
                <w:b/>
                <w:i/>
              </w:rPr>
              <w:t>"</w:t>
            </w:r>
            <w:r w:rsidRPr="001F2FC0">
              <w:rPr>
                <w:b/>
                <w:i/>
              </w:rPr>
              <w:t xml:space="preserve"> </w:t>
            </w:r>
            <w:r w:rsidRPr="002B7A0F">
              <w:rPr>
                <w:b/>
                <w:i/>
              </w:rPr>
              <w:t xml:space="preserve">and </w:t>
            </w:r>
            <w:r w:rsidR="003B00F3">
              <w:rPr>
                <w:b/>
                <w:i/>
              </w:rPr>
              <w:t>"</w:t>
            </w:r>
            <w:r w:rsidRPr="002B7A0F">
              <w:rPr>
                <w:b/>
                <w:i/>
              </w:rPr>
              <w:t>Loans</w:t>
            </w:r>
            <w:r w:rsidR="00BF7214">
              <w:rPr>
                <w:b/>
                <w:i/>
              </w:rPr>
              <w:t>"</w:t>
            </w:r>
            <w:r w:rsidRPr="002B7A0F">
              <w:rPr>
                <w:b/>
                <w:i/>
              </w:rPr>
              <w:t xml:space="preserve"> or </w:t>
            </w:r>
            <w:r w:rsidR="003B00F3">
              <w:rPr>
                <w:b/>
                <w:i/>
              </w:rPr>
              <w:t>"</w:t>
            </w:r>
            <w:r w:rsidRPr="002B7A0F">
              <w:rPr>
                <w:b/>
                <w:i/>
              </w:rPr>
              <w:t>Borrowed Money</w:t>
            </w:r>
            <w:r w:rsidR="00BF7214">
              <w:rPr>
                <w:b/>
                <w:i/>
              </w:rPr>
              <w:t>"</w:t>
            </w:r>
            <w:r w:rsidRPr="002B7A0F">
              <w:rPr>
                <w:b/>
                <w:i/>
              </w:rPr>
              <w:t xml:space="preserve">, insert: </w:t>
            </w:r>
            <w:r w:rsidRPr="002B7A0F">
              <w:t>an Obligation (a) that at the time of the event which constitutes a Restructuring Credit Event is held by more than three holders that are not Affiliates of each other and (b) (i) that is a Bond or (ii) an Obligation with respect to which a percentage of holders (determined pursuant to the terms of the Obligation as in effect on the date of such event) at least equal to sixty-six-and-two-thirds is required to consent to the event which constitutes a Restructuring Credit Event.</w:t>
            </w:r>
            <w:r w:rsidRPr="002B7A0F">
              <w:rPr>
                <w:b/>
              </w:rPr>
              <w:t>]</w:t>
            </w:r>
          </w:p>
        </w:tc>
        <w:tc>
          <w:tcPr>
            <w:tcW w:w="1618" w:type="dxa"/>
            <w:gridSpan w:val="2"/>
            <w:tcBorders>
              <w:top w:val="nil"/>
              <w:right w:val="nil"/>
            </w:tcBorders>
            <w:shd w:val="clear" w:color="auto" w:fill="auto"/>
          </w:tcPr>
          <w:p w:rsidR="0017135D" w:rsidRPr="001F2FC0" w:rsidP="005F2EAE">
            <w:pPr>
              <w:pStyle w:val="CSBody8ptbolditalics"/>
            </w:pPr>
          </w:p>
        </w:tc>
        <w:tc>
          <w:tcPr>
            <w:tcW w:w="3318" w:type="dxa"/>
            <w:tcBorders>
              <w:top w:val="nil"/>
              <w:left w:val="nil"/>
              <w:right w:val="nil"/>
            </w:tcBorders>
            <w:shd w:val="clear" w:color="auto" w:fill="auto"/>
          </w:tcPr>
          <w:p w:rsidR="0017135D" w:rsidRPr="001F2FC0" w:rsidP="004C1EBA">
            <w:pPr>
              <w:pStyle w:val="CSBody8pt"/>
              <w:rPr>
                <w:b/>
                <w:bCs/>
                <w:lang w:val="de-DE"/>
              </w:rPr>
            </w:pPr>
            <w:r w:rsidRPr="001F2FC0">
              <w:rPr>
                <w:b/>
                <w:bCs/>
                <w:lang w:val="de-DE"/>
              </w:rPr>
              <w:t>[</w:t>
            </w:r>
            <w:r>
              <w:rPr>
                <w:b/>
                <w:bCs/>
                <w:i/>
                <w:lang w:val="de-DE"/>
              </w:rPr>
              <w:t xml:space="preserve">Falls auf den Begriff </w:t>
            </w:r>
            <w:r w:rsidR="003B00F3">
              <w:rPr>
                <w:b/>
                <w:bCs/>
                <w:i/>
                <w:lang w:val="de-DE"/>
              </w:rPr>
              <w:t>"</w:t>
            </w:r>
            <w:r w:rsidRPr="001F2FC0">
              <w:rPr>
                <w:b/>
                <w:bCs/>
                <w:i/>
                <w:lang w:val="de-DE"/>
              </w:rPr>
              <w:t>Verbindlichkeit mit Mehreren Gläubigern</w:t>
            </w:r>
            <w:r w:rsidR="003B00F3">
              <w:rPr>
                <w:b/>
                <w:bCs/>
                <w:i/>
                <w:lang w:val="de-DE"/>
              </w:rPr>
              <w:t>"</w:t>
            </w:r>
            <w:r>
              <w:rPr>
                <w:b/>
                <w:bCs/>
                <w:i/>
                <w:lang w:val="de-DE"/>
              </w:rPr>
              <w:t xml:space="preserve"> </w:t>
            </w:r>
            <w:r w:rsidRPr="00AE404E">
              <w:rPr>
                <w:b/>
                <w:bCs/>
                <w:i/>
                <w:lang w:val="de-DE"/>
              </w:rPr>
              <w:t>auf die Verbindlichkeitenkategorie</w:t>
            </w:r>
            <w:r>
              <w:rPr>
                <w:b/>
                <w:bCs/>
                <w:i/>
                <w:lang w:val="de-DE"/>
              </w:rPr>
              <w:t>n</w:t>
            </w:r>
            <w:r w:rsidRPr="001F2FC0">
              <w:rPr>
                <w:b/>
                <w:bCs/>
                <w:i/>
                <w:lang w:val="de-DE"/>
              </w:rPr>
              <w:t xml:space="preserve"> </w:t>
            </w:r>
            <w:r w:rsidR="003B00F3">
              <w:rPr>
                <w:b/>
                <w:bCs/>
                <w:i/>
                <w:lang w:val="de-DE"/>
              </w:rPr>
              <w:t>"</w:t>
            </w:r>
            <w:r>
              <w:rPr>
                <w:b/>
                <w:bCs/>
                <w:i/>
                <w:lang w:val="de-DE"/>
              </w:rPr>
              <w:t>Anleihen</w:t>
            </w:r>
            <w:r w:rsidR="003B00F3">
              <w:rPr>
                <w:b/>
                <w:bCs/>
                <w:i/>
                <w:lang w:val="de-DE"/>
              </w:rPr>
              <w:t>"</w:t>
            </w:r>
            <w:r w:rsidRPr="001F2FC0">
              <w:rPr>
                <w:b/>
                <w:bCs/>
                <w:i/>
                <w:lang w:val="de-DE"/>
              </w:rPr>
              <w:t xml:space="preserve"> </w:t>
            </w:r>
            <w:r>
              <w:rPr>
                <w:b/>
                <w:bCs/>
                <w:i/>
                <w:lang w:val="de-DE"/>
              </w:rPr>
              <w:t xml:space="preserve">und </w:t>
            </w:r>
            <w:r w:rsidR="003B00F3">
              <w:rPr>
                <w:b/>
                <w:bCs/>
                <w:i/>
                <w:lang w:val="de-DE"/>
              </w:rPr>
              <w:t>"</w:t>
            </w:r>
            <w:r>
              <w:rPr>
                <w:b/>
                <w:bCs/>
                <w:i/>
                <w:lang w:val="de-DE"/>
              </w:rPr>
              <w:t>Darlehen</w:t>
            </w:r>
            <w:r w:rsidR="003B00F3">
              <w:rPr>
                <w:b/>
                <w:bCs/>
                <w:i/>
                <w:lang w:val="de-DE"/>
              </w:rPr>
              <w:t>"</w:t>
            </w:r>
            <w:r>
              <w:rPr>
                <w:b/>
                <w:bCs/>
                <w:i/>
                <w:lang w:val="de-DE"/>
              </w:rPr>
              <w:t xml:space="preserve"> oder </w:t>
            </w:r>
            <w:r w:rsidR="003B00F3">
              <w:rPr>
                <w:b/>
                <w:bCs/>
                <w:i/>
                <w:lang w:val="de-DE"/>
              </w:rPr>
              <w:t>"</w:t>
            </w:r>
            <w:r>
              <w:rPr>
                <w:b/>
                <w:bCs/>
                <w:i/>
                <w:lang w:val="de-DE"/>
              </w:rPr>
              <w:t>Aufgenommene Gelder</w:t>
            </w:r>
            <w:r w:rsidR="003B00F3">
              <w:rPr>
                <w:b/>
                <w:bCs/>
                <w:i/>
                <w:lang w:val="de-DE"/>
              </w:rPr>
              <w:t>"</w:t>
            </w:r>
            <w:r w:rsidRPr="001F2FC0">
              <w:rPr>
                <w:b/>
                <w:bCs/>
                <w:i/>
                <w:lang w:val="de-DE"/>
              </w:rPr>
              <w:t xml:space="preserve"> anwendbar sind, einfügen:</w:t>
            </w:r>
            <w:r w:rsidRPr="001F2FC0">
              <w:rPr>
                <w:bCs/>
                <w:lang w:val="de-DE"/>
              </w:rPr>
              <w:t xml:space="preserve"> eine Verbindlichkeit, (a) die zum Zeitpunkt des Ereignisses, das ein Kreditereignis Restrukturierung darstellt, gegenüber mehr als drei Gläubigern besteht, die untereinander keine Verbundenen Unternehmen sind, und (b) (i) eine Anleihe ist oder (ii) </w:t>
            </w:r>
            <w:r>
              <w:rPr>
                <w:bCs/>
                <w:lang w:val="de-DE"/>
              </w:rPr>
              <w:t xml:space="preserve">eine Verbindlichkeit </w:t>
            </w:r>
            <w:r w:rsidRPr="001F2FC0">
              <w:rPr>
                <w:bCs/>
                <w:lang w:val="de-DE"/>
              </w:rPr>
              <w:t>in Bezug auf welche die Zustimmung eines (nach Massgabe der zum Zeitpunkt des Ereignisses geltenden Bedingungen der Verbindlichkeit ermittelten) Prozentsatzes von Gläubigern, der mindestens sechsundsechzig zwei Drittel betragen muss, zu dem Ereignis, das ein Restrukturierungs-Kreditereignis darstellt, erforderlich ist.</w:t>
            </w:r>
            <w:r>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134B6" w:rsidP="005F2EAE">
            <w:pPr>
              <w:pStyle w:val="CSBody8pt"/>
            </w:pPr>
            <w:r w:rsidRPr="00D134B6">
              <w:t>No Auction Announcement Date</w:t>
            </w:r>
            <w:r>
              <w:fldChar w:fldCharType="begin"/>
            </w:r>
            <w:r>
              <w:instrText xml:space="preserve"> XE "</w:instrText>
            </w:r>
            <w:r w:rsidRPr="00811437">
              <w:instrText>No Auction Announcement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D134B6" w:rsidP="005F2EAE">
            <w:pPr>
              <w:pStyle w:val="CSBody8pt"/>
            </w:pPr>
            <w:r w:rsidRPr="00D134B6">
              <w:t>with respect to a Credit Event, the date on which the DC Secretary first publicly announces that (a) no Credit Derivatives Auction Settlement Terms will be published or (b) the relevant Credit Derivatives Determinations Committee has Resolved that no Auction will be held following a prior public announcement by the DC Secretary to the contrary.</w:t>
            </w:r>
          </w:p>
        </w:tc>
        <w:tc>
          <w:tcPr>
            <w:tcW w:w="1618" w:type="dxa"/>
            <w:gridSpan w:val="2"/>
            <w:tcBorders>
              <w:top w:val="nil"/>
              <w:bottom w:val="nil"/>
              <w:right w:val="nil"/>
            </w:tcBorders>
            <w:shd w:val="clear" w:color="auto" w:fill="auto"/>
          </w:tcPr>
          <w:p w:rsidR="0017135D" w:rsidRPr="00D134B6" w:rsidP="00273BE4">
            <w:pPr>
              <w:pStyle w:val="CSBody8pt"/>
              <w:rPr>
                <w:lang w:val="de-DE"/>
              </w:rPr>
            </w:pPr>
            <w:r w:rsidRPr="00D134B6">
              <w:rPr>
                <w:lang w:val="de-DE"/>
              </w:rPr>
              <w:t>Tag der Bekanntgabe der Nichtdurchführung einer Auktion</w:t>
            </w:r>
            <w:r>
              <w:rPr>
                <w:lang w:val="de-DE"/>
              </w:rPr>
              <w:fldChar w:fldCharType="begin"/>
            </w:r>
            <w:r w:rsidRPr="00D134B6">
              <w:rPr>
                <w:lang w:val="de-DE"/>
              </w:rPr>
              <w:instrText xml:space="preserve"> XE "</w:instrText>
            </w:r>
            <w:r w:rsidRPr="001F219E">
              <w:rPr>
                <w:lang w:val="de-DE"/>
              </w:rPr>
              <w:instrText>Tag der Bekanntgabe der Nichtdurchführung einer Auktion</w:instrText>
            </w:r>
            <w:r w:rsidRPr="00D134B6">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006FB7" w:rsidP="005F2EAE">
            <w:pPr>
              <w:pStyle w:val="CSBody8pt"/>
              <w:rPr>
                <w:lang w:val="de-DE"/>
              </w:rPr>
            </w:pPr>
            <w:r w:rsidRPr="00D134B6">
              <w:rPr>
                <w:lang w:val="de-DE"/>
              </w:rPr>
              <w:t>bezüglich eines Kreditereignisses der Tag, an dem der Secretary erstmals öffentlich bekannt gibt, dass (a) keine Bedingungen für die Auktionsbasierte Abwicklung von Kreditderivaten veröffentlicht werden oder (b) der zuständige Kreditderivate-Feststellungsausschuss Beschlossen hat, dass nach einer früheren gegenteiligen öffentlichen Bekanntgabe seitens des Secretary keine Auktion durchgeführt wird.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06FB7" w:rsidP="004C1EBA">
            <w:pPr>
              <w:pStyle w:val="CSBody8ptbolditalics"/>
            </w:pPr>
            <w:r w:rsidRPr="00792D61">
              <w:t>[</w:t>
            </w:r>
            <w:r w:rsidRPr="00006FB7">
              <w:t>if a non-Standard Reference Obligation is specified in Section 1.1., insert:</w:t>
            </w:r>
          </w:p>
          <w:p w:rsidR="0017135D" w:rsidRPr="00273BE4" w:rsidP="005F2EAE">
            <w:pPr>
              <w:pStyle w:val="CSBody8pt"/>
            </w:pPr>
            <w:r w:rsidRPr="00273BE4">
              <w:t>Non-Conforming Reference Obligation</w:t>
            </w:r>
            <w:r>
              <w:fldChar w:fldCharType="begin"/>
            </w:r>
            <w:r w:rsidRPr="00273BE4">
              <w:instrText xml:space="preserve"> XE "Non-Conforming Reference Obligation" \f "EN" </w:instrText>
            </w:r>
            <w:r>
              <w:fldChar w:fldCharType="end"/>
            </w:r>
          </w:p>
        </w:tc>
        <w:tc>
          <w:tcPr>
            <w:tcW w:w="3315" w:type="dxa"/>
            <w:gridSpan w:val="2"/>
            <w:tcBorders>
              <w:top w:val="nil"/>
              <w:left w:val="nil"/>
              <w:bottom w:val="nil"/>
            </w:tcBorders>
            <w:shd w:val="clear" w:color="auto" w:fill="auto"/>
          </w:tcPr>
          <w:p w:rsidR="0017135D" w:rsidRPr="00273BE4" w:rsidP="005F2EAE">
            <w:pPr>
              <w:pStyle w:val="CSBody8pt"/>
            </w:pPr>
            <w:r w:rsidRPr="00273BE4">
              <w:t>a Reference Obligation which is not a Conforming Reference Obligation.</w:t>
            </w:r>
            <w:r w:rsidRPr="000A1B82">
              <w:rPr>
                <w:b/>
              </w:rPr>
              <w:t>]</w:t>
            </w:r>
          </w:p>
        </w:tc>
        <w:tc>
          <w:tcPr>
            <w:tcW w:w="1618" w:type="dxa"/>
            <w:gridSpan w:val="2"/>
            <w:tcBorders>
              <w:top w:val="nil"/>
              <w:bottom w:val="nil"/>
              <w:right w:val="nil"/>
            </w:tcBorders>
            <w:shd w:val="clear" w:color="auto" w:fill="auto"/>
          </w:tcPr>
          <w:p w:rsidR="0017135D" w:rsidRPr="00006FB7" w:rsidP="004C1EBA">
            <w:pPr>
              <w:pStyle w:val="CSBody8ptbolditalics"/>
              <w:rPr>
                <w:lang w:val="de-DE"/>
              </w:rPr>
            </w:pPr>
            <w:r w:rsidRPr="00792D61">
              <w:rPr>
                <w:lang w:val="de-DE"/>
              </w:rPr>
              <w:t>[</w:t>
            </w:r>
            <w:r w:rsidRPr="00006FB7">
              <w:rPr>
                <w:lang w:val="de-DE"/>
              </w:rPr>
              <w:t>falls eine Nicht-Standard-Referenzverbindlichkeit in Ziffer 1.1</w:t>
            </w:r>
            <w:r>
              <w:rPr>
                <w:lang w:val="de-DE"/>
              </w:rPr>
              <w:t>.</w:t>
            </w:r>
            <w:r w:rsidRPr="00006FB7">
              <w:rPr>
                <w:lang w:val="de-DE"/>
              </w:rPr>
              <w:t xml:space="preserve"> angegeben ist, einfügen:</w:t>
            </w:r>
          </w:p>
          <w:p w:rsidR="0017135D" w:rsidRPr="00273BE4" w:rsidP="005F2EAE">
            <w:pPr>
              <w:pStyle w:val="CSBody8pt"/>
            </w:pPr>
            <w:r w:rsidRPr="00273BE4">
              <w:t>Nicht Konforme Referenzverbind</w:t>
            </w:r>
            <w:r w:rsidRPr="00273BE4">
              <w:softHyphen/>
              <w:t>lichkeit</w:t>
            </w:r>
            <w:r>
              <w:fldChar w:fldCharType="begin"/>
            </w:r>
            <w:r w:rsidRPr="00273BE4">
              <w:instrText xml:space="preserve"> XE "Nicht Konforme Referenzverbind</w:instrText>
            </w:r>
            <w:r w:rsidRPr="00273BE4">
              <w:softHyphen/>
              <w:instrText xml:space="preserve">lichkeit" </w:instrText>
            </w:r>
            <w:r>
              <w:fldChar w:fldCharType="end"/>
            </w:r>
          </w:p>
        </w:tc>
        <w:tc>
          <w:tcPr>
            <w:tcW w:w="3318" w:type="dxa"/>
            <w:tcBorders>
              <w:top w:val="nil"/>
              <w:left w:val="nil"/>
              <w:bottom w:val="nil"/>
              <w:right w:val="nil"/>
            </w:tcBorders>
            <w:shd w:val="clear" w:color="auto" w:fill="auto"/>
          </w:tcPr>
          <w:p w:rsidR="0017135D" w:rsidRPr="00D134B6" w:rsidP="005F2EAE">
            <w:pPr>
              <w:pStyle w:val="CSBody8pt"/>
              <w:rPr>
                <w:lang w:val="de-DE"/>
              </w:rPr>
            </w:pPr>
            <w:r w:rsidRPr="00273BE4">
              <w:rPr>
                <w:lang w:val="de-DE"/>
              </w:rPr>
              <w:t>eine Referenzverbindlichkeit, die keine Konforme Referenzverbindlichkeit ist.</w:t>
            </w:r>
            <w:r w:rsidRPr="000A1B82">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06FB7" w:rsidP="004C1EBA">
            <w:pPr>
              <w:pStyle w:val="CSBody8ptbolditalics"/>
            </w:pPr>
            <w:r w:rsidRPr="00792D61">
              <w:t>[</w:t>
            </w:r>
            <w:r w:rsidRPr="00006FB7">
              <w:t>if a non-Standard Reference Obligation is specified in Section 1.1., insert:</w:t>
            </w:r>
          </w:p>
          <w:p w:rsidR="0017135D" w:rsidRPr="00D134B6" w:rsidP="005F2EAE">
            <w:pPr>
              <w:pStyle w:val="CSBody8pt"/>
            </w:pPr>
            <w:r w:rsidRPr="00D134B6">
              <w:t>Non-Conforming Substitute Reference Obligation</w:t>
            </w:r>
            <w:r>
              <w:fldChar w:fldCharType="begin"/>
            </w:r>
            <w:r>
              <w:instrText xml:space="preserve"> XE "</w:instrText>
            </w:r>
            <w:r w:rsidRPr="006A1073">
              <w:instrText>Non-Conforming Substitute Reference Obligation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D134B6" w:rsidP="005F2EAE">
            <w:pPr>
              <w:pStyle w:val="CSBody8pt"/>
            </w:pPr>
            <w:r w:rsidRPr="00D134B6">
              <w:t>an obligation which would be a Valuation Obligation determined in accordance with</w:t>
            </w:r>
            <w:r w:rsidRPr="00792D61">
              <w:rPr>
                <w:b/>
              </w:rPr>
              <w:t>[</w:t>
            </w:r>
            <w:r w:rsidRPr="00D134B6">
              <w:t>clause (a) of</w:t>
            </w:r>
            <w:r w:rsidRPr="00792D61">
              <w:rPr>
                <w:b/>
              </w:rPr>
              <w:t>]</w:t>
            </w:r>
            <w:r w:rsidRPr="00D134B6">
              <w:t xml:space="preserve"> the definition "Valuation Obligation" on the Substitution Date but for one or more of the same reasons which resulted in the Reference Obligation constituting a Non-Conforming Reference Obligation on the date it was issued or incurred and/or immediately prior to the Substitution Event Date (as applicable).</w:t>
            </w:r>
            <w:r w:rsidRPr="000A1B82">
              <w:rPr>
                <w:b/>
              </w:rPr>
              <w:t>]</w:t>
            </w:r>
          </w:p>
        </w:tc>
        <w:tc>
          <w:tcPr>
            <w:tcW w:w="1618" w:type="dxa"/>
            <w:gridSpan w:val="2"/>
            <w:tcBorders>
              <w:top w:val="nil"/>
              <w:bottom w:val="nil"/>
              <w:right w:val="nil"/>
            </w:tcBorders>
            <w:shd w:val="clear" w:color="auto" w:fill="auto"/>
          </w:tcPr>
          <w:p w:rsidR="0017135D" w:rsidRPr="00006FB7" w:rsidP="004C1EBA">
            <w:pPr>
              <w:pStyle w:val="CSBody8ptbolditalics"/>
              <w:rPr>
                <w:lang w:val="de-DE"/>
              </w:rPr>
            </w:pPr>
            <w:r w:rsidRPr="00792D61">
              <w:rPr>
                <w:lang w:val="de-DE"/>
              </w:rPr>
              <w:t>[</w:t>
            </w:r>
            <w:r w:rsidRPr="00006FB7">
              <w:rPr>
                <w:lang w:val="de-DE"/>
              </w:rPr>
              <w:t>falls eine Nicht-Standard-Referenzverbindlichkeit in Ziffer 1.1</w:t>
            </w:r>
            <w:r>
              <w:rPr>
                <w:lang w:val="de-DE"/>
              </w:rPr>
              <w:t>.</w:t>
            </w:r>
            <w:r w:rsidRPr="00006FB7">
              <w:rPr>
                <w:lang w:val="de-DE"/>
              </w:rPr>
              <w:t xml:space="preserve"> angegeben ist, einfügen:</w:t>
            </w:r>
          </w:p>
          <w:p w:rsidR="0017135D" w:rsidRPr="00D134B6" w:rsidP="005F2EAE">
            <w:pPr>
              <w:pStyle w:val="CSBody8pt"/>
            </w:pPr>
            <w:r w:rsidRPr="00D134B6">
              <w:t>Nicht Konforme Ersatz-Referenzverbind</w:t>
            </w:r>
            <w:r w:rsidRPr="00D134B6">
              <w:softHyphen/>
              <w:t>lichkeit</w:t>
            </w:r>
            <w:r>
              <w:fldChar w:fldCharType="begin"/>
            </w:r>
            <w:r>
              <w:instrText xml:space="preserve"> XE "</w:instrText>
            </w:r>
            <w:r w:rsidRPr="0068663C">
              <w:instrText>Nicht Konforme Ersatz-Referenzverbind</w:instrText>
            </w:r>
            <w:r w:rsidRPr="0068663C">
              <w:softHyphen/>
              <w:instrText>lichkeit</w:instrText>
            </w:r>
            <w:r>
              <w:instrText xml:space="preserve">" </w:instrText>
            </w:r>
            <w:r>
              <w:fldChar w:fldCharType="end"/>
            </w:r>
          </w:p>
        </w:tc>
        <w:tc>
          <w:tcPr>
            <w:tcW w:w="3318" w:type="dxa"/>
            <w:tcBorders>
              <w:top w:val="nil"/>
              <w:left w:val="nil"/>
              <w:bottom w:val="nil"/>
              <w:right w:val="nil"/>
            </w:tcBorders>
            <w:shd w:val="clear" w:color="auto" w:fill="auto"/>
          </w:tcPr>
          <w:p w:rsidR="0017135D" w:rsidRPr="00006FB7" w:rsidP="005F2EAE">
            <w:pPr>
              <w:pStyle w:val="CSBody8pt"/>
              <w:rPr>
                <w:lang w:val="de-DE"/>
              </w:rPr>
            </w:pPr>
            <w:r w:rsidRPr="00D134B6">
              <w:rPr>
                <w:lang w:val="de-DE"/>
              </w:rPr>
              <w:t xml:space="preserve">eine Verbindlichkeit, die am Ersetzungstag eine gemäss </w:t>
            </w:r>
            <w:r w:rsidRPr="00792D61">
              <w:rPr>
                <w:b/>
                <w:lang w:val="de-DE"/>
              </w:rPr>
              <w:t>[</w:t>
            </w:r>
            <w:r w:rsidRPr="00D134B6">
              <w:rPr>
                <w:lang w:val="de-DE"/>
              </w:rPr>
              <w:t>Absatz (a)</w:t>
            </w:r>
            <w:r w:rsidRPr="00792D61">
              <w:rPr>
                <w:b/>
                <w:lang w:val="de-DE"/>
              </w:rPr>
              <w:t>]</w:t>
            </w:r>
            <w:r w:rsidRPr="00D134B6">
              <w:rPr>
                <w:lang w:val="de-DE"/>
              </w:rPr>
              <w:t xml:space="preserve"> der Definition "Bewertungsverbindlichkeit" bestimmte Bewertungsverbindlichkeit wäre, wenn nicht einer oder mehrere derselben Gründe vorlägen, die bereits dazu führten, dass die Referenzverbindlichkeit am Tage ihrer Begebung oder ihres Entstehens und/oder unmittelbar vor dem Ersetzungsereignistag eine Nicht Konforme Referenzverbindlichkeit war.</w:t>
            </w:r>
            <w:r w:rsidRPr="000A1B82">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06FB7" w:rsidP="005F2EAE">
            <w:pPr>
              <w:pStyle w:val="CSBody8pt"/>
              <w:rPr>
                <w:lang w:val="de-DE"/>
              </w:rPr>
            </w:pPr>
            <w:r w:rsidRPr="00006FB7">
              <w:rPr>
                <w:lang w:val="de-DE"/>
              </w:rPr>
              <w:t>Non-Contingent Amount</w:t>
            </w:r>
            <w:r>
              <w:rPr>
                <w:lang w:val="de-DE"/>
              </w:rPr>
              <w:fldChar w:fldCharType="begin"/>
            </w:r>
            <w:r>
              <w:instrText xml:space="preserve"> XE "</w:instrText>
            </w:r>
            <w:r w:rsidRPr="0021420A">
              <w:rPr>
                <w:lang w:val="de-DE"/>
              </w:rPr>
              <w:instrText>Non-Contingent Amount</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006FB7" w:rsidP="005F2EAE">
            <w:pPr>
              <w:pStyle w:val="CSBody8pt"/>
            </w:pPr>
            <w:r w:rsidRPr="00006FB7">
              <w:t>the difference, as determined by the Calculation Agent on the Valuation Date in accordance with the terms of the Obligation in effect on the Valuation Date, between</w:t>
            </w:r>
          </w:p>
        </w:tc>
        <w:tc>
          <w:tcPr>
            <w:tcW w:w="1618" w:type="dxa"/>
            <w:gridSpan w:val="2"/>
            <w:tcBorders>
              <w:top w:val="nil"/>
              <w:bottom w:val="nil"/>
              <w:right w:val="nil"/>
            </w:tcBorders>
            <w:shd w:val="clear" w:color="auto" w:fill="auto"/>
          </w:tcPr>
          <w:p w:rsidR="0017135D" w:rsidRPr="00D134B6" w:rsidP="005F2EAE">
            <w:pPr>
              <w:pStyle w:val="CSBody8pt"/>
            </w:pPr>
            <w:r w:rsidRPr="00D134B6">
              <w:t>Nicht Bedingter Betrag</w:t>
            </w:r>
            <w:r>
              <w:fldChar w:fldCharType="begin"/>
            </w:r>
            <w:r>
              <w:instrText xml:space="preserve"> XE "</w:instrText>
            </w:r>
            <w:r w:rsidRPr="00746A66">
              <w:instrText>Nicht Bedingter Betrag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006FB7" w:rsidP="005F2EAE">
            <w:pPr>
              <w:pStyle w:val="CSBody8pt"/>
              <w:rPr>
                <w:bCs/>
                <w:lang w:val="de-DE"/>
              </w:rPr>
            </w:pPr>
            <w:r w:rsidRPr="00006FB7">
              <w:rPr>
                <w:bCs/>
                <w:lang w:val="de-DE"/>
              </w:rPr>
              <w:t>die von der Berechnungsstelle am Bewertungstag nach Massgabe der am Bewertungstag geltenden Bedingungen der Verbindlichkeit bestimmte Differenz aus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06FB7" w:rsidP="005F2EAE">
            <w:pPr>
              <w:pStyle w:val="CSBody8pt"/>
              <w:rPr>
                <w:lang w:val="de-DE"/>
              </w:rPr>
            </w:pPr>
          </w:p>
        </w:tc>
        <w:tc>
          <w:tcPr>
            <w:tcW w:w="3315" w:type="dxa"/>
            <w:gridSpan w:val="2"/>
            <w:tcBorders>
              <w:top w:val="nil"/>
              <w:left w:val="nil"/>
              <w:bottom w:val="nil"/>
            </w:tcBorders>
            <w:shd w:val="clear" w:color="auto" w:fill="auto"/>
          </w:tcPr>
          <w:p w:rsidR="0017135D" w:rsidRPr="00006FB7">
            <w:pPr>
              <w:pStyle w:val="CSManNum8pt"/>
            </w:pPr>
            <w:r w:rsidRPr="00006FB7">
              <w:t>(</w:t>
            </w:r>
            <w:r w:rsidR="004C14F4">
              <w:t>i)</w:t>
            </w:r>
            <w:r>
              <w:tab/>
            </w:r>
            <w:r w:rsidRPr="00006FB7">
              <w:t xml:space="preserve"> the amount of the Reference Entity's principal payment obligations </w:t>
            </w:r>
            <w:r w:rsidRPr="00792D61">
              <w:rPr>
                <w:b/>
              </w:rPr>
              <w:t>[</w:t>
            </w:r>
            <w:r w:rsidRPr="00006FB7">
              <w:t>and the Reference Entity's accrued but unpaid interest payment obligations</w:t>
            </w:r>
            <w:r w:rsidRPr="00792D61">
              <w:rPr>
                <w:b/>
              </w:rPr>
              <w:t>]</w:t>
            </w:r>
            <w:r w:rsidRPr="00006FB7">
              <w:t xml:space="preserve"> </w:t>
            </w:r>
            <w:r w:rsidRPr="00792D61">
              <w:rPr>
                <w:b/>
              </w:rPr>
              <w:t>[</w:t>
            </w:r>
            <w:r w:rsidRPr="00006FB7">
              <w:t xml:space="preserve">(which, in the case of a Guarantee will be </w:t>
            </w:r>
            <w:r w:rsidRPr="00792D61">
              <w:rPr>
                <w:b/>
              </w:rPr>
              <w:t>[</w:t>
            </w:r>
            <w:r w:rsidRPr="00006FB7">
              <w:t>the lower of (A)</w:t>
            </w:r>
            <w:r w:rsidRPr="00792D61">
              <w:rPr>
                <w:b/>
              </w:rPr>
              <w:t>]</w:t>
            </w:r>
            <w:r w:rsidRPr="00006FB7">
              <w:t xml:space="preserve"> the Outstanding Principal Balance </w:t>
            </w:r>
            <w:r w:rsidRPr="00792D61">
              <w:rPr>
                <w:b/>
              </w:rPr>
              <w:t>[</w:t>
            </w:r>
            <w:r w:rsidRPr="00006FB7">
              <w:t>(including accrued but unpaid interest)</w:t>
            </w:r>
            <w:r w:rsidRPr="00792D61">
              <w:rPr>
                <w:b/>
              </w:rPr>
              <w:t>]</w:t>
            </w:r>
            <w:r w:rsidRPr="00006FB7">
              <w:t xml:space="preserve"> of the Underlying Obligation (determined as if references to the Reference Entity were references to the Underlying Obligor) </w:t>
            </w:r>
            <w:r w:rsidRPr="00792D61">
              <w:rPr>
                <w:b/>
              </w:rPr>
              <w:t>[</w:t>
            </w:r>
            <w:r w:rsidRPr="00006FB7">
              <w:t>and (B) the amount of the Fixed Cap)</w:t>
            </w:r>
            <w:r w:rsidRPr="00792D61">
              <w:rPr>
                <w:b/>
              </w:rPr>
              <w:t>]]</w:t>
            </w:r>
            <w:r w:rsidRPr="00006FB7">
              <w:t>; and</w:t>
            </w:r>
          </w:p>
        </w:tc>
        <w:tc>
          <w:tcPr>
            <w:tcW w:w="1618" w:type="dxa"/>
            <w:gridSpan w:val="2"/>
            <w:tcBorders>
              <w:top w:val="nil"/>
              <w:bottom w:val="nil"/>
              <w:right w:val="nil"/>
            </w:tcBorders>
            <w:shd w:val="clear" w:color="auto" w:fill="auto"/>
          </w:tcPr>
          <w:p w:rsidR="0017135D" w:rsidRPr="00006FB7" w:rsidP="005F2EAE">
            <w:pPr>
              <w:pStyle w:val="CSBody8pt"/>
              <w:rPr>
                <w:i/>
              </w:rPr>
            </w:pPr>
          </w:p>
        </w:tc>
        <w:tc>
          <w:tcPr>
            <w:tcW w:w="3318" w:type="dxa"/>
            <w:tcBorders>
              <w:top w:val="nil"/>
              <w:left w:val="nil"/>
              <w:bottom w:val="nil"/>
              <w:right w:val="nil"/>
            </w:tcBorders>
            <w:shd w:val="clear" w:color="auto" w:fill="auto"/>
          </w:tcPr>
          <w:p w:rsidR="0017135D" w:rsidRPr="00006FB7" w:rsidP="00273BE4">
            <w:pPr>
              <w:pStyle w:val="CSManNum8pt"/>
              <w:rPr>
                <w:lang w:val="de-DE"/>
              </w:rPr>
            </w:pPr>
            <w:r w:rsidRPr="00006FB7">
              <w:rPr>
                <w:lang w:val="de-DE"/>
              </w:rPr>
              <w:t>(i)</w:t>
            </w:r>
            <w:r>
              <w:rPr>
                <w:lang w:val="de-DE"/>
              </w:rPr>
              <w:tab/>
            </w:r>
            <w:r w:rsidRPr="00006FB7">
              <w:rPr>
                <w:lang w:val="de-DE"/>
              </w:rPr>
              <w:t xml:space="preserve">dem Betrag der Kapitalzahlungsverpflichtungen des Referenzschuldners </w:t>
            </w:r>
            <w:r w:rsidRPr="00792D61">
              <w:rPr>
                <w:b/>
                <w:lang w:val="de-DE"/>
              </w:rPr>
              <w:t>[</w:t>
            </w:r>
            <w:r w:rsidRPr="00006FB7">
              <w:rPr>
                <w:lang w:val="de-DE"/>
              </w:rPr>
              <w:t>und der Verpflichtungen des Referenzschuldners zur Zahlung aufgelaufener aber noch ungezahlter Zinsbeträge</w:t>
            </w:r>
            <w:r w:rsidRPr="00792D61">
              <w:rPr>
                <w:b/>
                <w:lang w:val="de-DE"/>
              </w:rPr>
              <w:t>]</w:t>
            </w:r>
            <w:r w:rsidRPr="00006FB7">
              <w:rPr>
                <w:lang w:val="de-DE"/>
              </w:rPr>
              <w:t xml:space="preserve"> </w:t>
            </w:r>
            <w:r w:rsidRPr="00792D61">
              <w:rPr>
                <w:b/>
                <w:lang w:val="de-DE"/>
              </w:rPr>
              <w:t>[</w:t>
            </w:r>
            <w:r w:rsidRPr="00006FB7">
              <w:rPr>
                <w:lang w:val="de-DE"/>
              </w:rPr>
              <w:t xml:space="preserve">(wobei dies im Falle einer Garantie </w:t>
            </w:r>
            <w:r w:rsidRPr="00792D61">
              <w:rPr>
                <w:b/>
                <w:lang w:val="de-DE"/>
              </w:rPr>
              <w:t>[</w:t>
            </w:r>
            <w:r w:rsidRPr="00006FB7">
              <w:rPr>
                <w:lang w:val="de-DE"/>
              </w:rPr>
              <w:t>der niedrigere der folgenden Beträge ist: (A)</w:t>
            </w:r>
            <w:r w:rsidRPr="00792D61">
              <w:rPr>
                <w:b/>
                <w:lang w:val="de-DE"/>
              </w:rPr>
              <w:t>]</w:t>
            </w:r>
            <w:r w:rsidRPr="00006FB7">
              <w:rPr>
                <w:lang w:val="de-DE"/>
              </w:rPr>
              <w:t xml:space="preserve"> der Ausstehende Kapitalbetrag </w:t>
            </w:r>
            <w:r w:rsidRPr="00792D61">
              <w:rPr>
                <w:b/>
                <w:lang w:val="de-DE"/>
              </w:rPr>
              <w:t>[</w:t>
            </w:r>
            <w:r w:rsidRPr="00006FB7">
              <w:rPr>
                <w:lang w:val="de-DE"/>
              </w:rPr>
              <w:t>(einschliesslich aufgelaufener aber noch ungezahlter Zinsbeträge)</w:t>
            </w:r>
            <w:r w:rsidRPr="00792D61">
              <w:rPr>
                <w:b/>
                <w:lang w:val="de-DE"/>
              </w:rPr>
              <w:t>]</w:t>
            </w:r>
            <w:r w:rsidRPr="00006FB7">
              <w:rPr>
                <w:lang w:val="de-DE"/>
              </w:rPr>
              <w:t xml:space="preserve"> der Zugrundeliegenden Verbindlichkeit (so bestimmt, als seien Verweise auf den Referenzschuldner Verweise auf den Zugrundeliegenden Schuldner) </w:t>
            </w:r>
            <w:r w:rsidRPr="00792D61">
              <w:rPr>
                <w:b/>
                <w:lang w:val="de-DE"/>
              </w:rPr>
              <w:t>[</w:t>
            </w:r>
            <w:r w:rsidRPr="00006FB7">
              <w:rPr>
                <w:lang w:val="de-DE"/>
              </w:rPr>
              <w:t>und (B) der Betrag der Festen Obergrenze)</w:t>
            </w:r>
            <w:r w:rsidRPr="00792D61">
              <w:rPr>
                <w:b/>
                <w:lang w:val="de-DE"/>
              </w:rPr>
              <w:t>]</w:t>
            </w:r>
            <w:r w:rsidRPr="00006FB7">
              <w:rPr>
                <w:lang w:val="de-DE"/>
              </w:rPr>
              <w:t xml:space="preserve"> </w:t>
            </w:r>
            <w:r w:rsidRPr="00792D61">
              <w:rPr>
                <w:b/>
                <w:lang w:val="de-DE"/>
              </w:rPr>
              <w:t>[</w:t>
            </w:r>
            <w:r w:rsidRPr="00006FB7">
              <w:rPr>
                <w:lang w:val="de-DE"/>
              </w:rPr>
              <w:t>ist</w:t>
            </w:r>
            <w:r w:rsidRPr="00792D61">
              <w:rPr>
                <w:b/>
                <w:lang w:val="de-DE"/>
              </w:rPr>
              <w:t>]]</w:t>
            </w:r>
            <w:r w:rsidRPr="00006FB7">
              <w:rPr>
                <w:lang w:val="de-DE"/>
              </w:rPr>
              <w:t>;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06FB7" w:rsidP="005F2EAE">
            <w:pPr>
              <w:pStyle w:val="CSBody8pt"/>
              <w:rPr>
                <w:lang w:val="de-DE"/>
              </w:rPr>
            </w:pPr>
          </w:p>
        </w:tc>
        <w:tc>
          <w:tcPr>
            <w:tcW w:w="3315" w:type="dxa"/>
            <w:gridSpan w:val="2"/>
            <w:tcBorders>
              <w:top w:val="nil"/>
              <w:left w:val="nil"/>
              <w:bottom w:val="nil"/>
            </w:tcBorders>
            <w:shd w:val="clear" w:color="auto" w:fill="auto"/>
          </w:tcPr>
          <w:p w:rsidR="0017135D" w:rsidRPr="00006FB7" w:rsidP="00D134B6">
            <w:pPr>
              <w:pStyle w:val="CSManNum8pt"/>
            </w:pPr>
            <w:r w:rsidRPr="00006FB7">
              <w:t>(ii)</w:t>
            </w:r>
            <w:r>
              <w:tab/>
            </w:r>
            <w:r w:rsidRPr="00006FB7">
              <w:t>all or any portion of such amount which, pursuant to the terms of the Obligation (A) is subject to any Prohibited Action, or (B) may otherwise be reduced as a result of the effluxion of time or the occurrence or non-occurrence of an event or circumstance (other than by way of (I) payment or (II) a Permitted Contingency).</w:t>
            </w:r>
          </w:p>
        </w:tc>
        <w:tc>
          <w:tcPr>
            <w:tcW w:w="1618" w:type="dxa"/>
            <w:gridSpan w:val="2"/>
            <w:tcBorders>
              <w:top w:val="nil"/>
              <w:bottom w:val="nil"/>
              <w:right w:val="nil"/>
            </w:tcBorders>
            <w:shd w:val="clear" w:color="auto" w:fill="auto"/>
          </w:tcPr>
          <w:p w:rsidR="0017135D" w:rsidRPr="00006FB7" w:rsidP="005F2EAE">
            <w:pPr>
              <w:pStyle w:val="CSBody8pt"/>
              <w:rPr>
                <w:i/>
              </w:rPr>
            </w:pPr>
          </w:p>
        </w:tc>
        <w:tc>
          <w:tcPr>
            <w:tcW w:w="3318" w:type="dxa"/>
            <w:tcBorders>
              <w:top w:val="nil"/>
              <w:left w:val="nil"/>
              <w:bottom w:val="nil"/>
              <w:right w:val="nil"/>
            </w:tcBorders>
            <w:shd w:val="clear" w:color="auto" w:fill="auto"/>
          </w:tcPr>
          <w:p w:rsidR="0017135D" w:rsidRPr="00006FB7" w:rsidP="00D134B6">
            <w:pPr>
              <w:pStyle w:val="CSManNum8pt"/>
              <w:rPr>
                <w:lang w:val="de-DE"/>
              </w:rPr>
            </w:pPr>
            <w:r w:rsidRPr="00006FB7">
              <w:rPr>
                <w:lang w:val="de-DE"/>
              </w:rPr>
              <w:t>(ii)</w:t>
            </w:r>
            <w:r>
              <w:rPr>
                <w:lang w:val="de-DE"/>
              </w:rPr>
              <w:tab/>
            </w:r>
            <w:r w:rsidRPr="00006FB7">
              <w:rPr>
                <w:lang w:val="de-DE"/>
              </w:rPr>
              <w:t>dem gesamten Betrag oder einem Teilbetrag, der gemäss den Bedingungen der Verbindlichkeit (A) Gegenstand einer Unzulässigen Massnahme ist oder (B) anderweitig durch Zeitablauf oder den Eintritt oder Nichteintritt eines Ereignisses oder eines Umstands (ausser im Wege (I) der Zahlung oder (II) einer Zulässigen Bedingten Reduzierung) reduziert werden kann.</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006FB7" w:rsidP="005F2EAE">
            <w:pPr>
              <w:pStyle w:val="CSBody8ptbolditalics"/>
            </w:pPr>
            <w:r w:rsidRPr="00792D61">
              <w:t>[</w:t>
            </w:r>
            <w:r w:rsidRPr="00006FB7">
              <w:t>if a non-Standard Reference Obligation is specified in Section 1.1., insert:</w:t>
            </w:r>
          </w:p>
          <w:p w:rsidR="0017135D" w:rsidRPr="00006FB7" w:rsidP="005F2EAE">
            <w:pPr>
              <w:pStyle w:val="CSBody8pt"/>
            </w:pPr>
            <w:r w:rsidRPr="00006FB7">
              <w:t>Non-Standard Reference Obligation</w:t>
            </w:r>
            <w:r>
              <w:fldChar w:fldCharType="begin"/>
            </w:r>
            <w:r>
              <w:instrText xml:space="preserve"> XE "</w:instrText>
            </w:r>
            <w:r w:rsidRPr="003E0C50">
              <w:instrText>Non-Standard Reference Obligation</w:instrText>
            </w:r>
            <w:r>
              <w:instrText xml:space="preserve">" \f "EN" </w:instrText>
            </w:r>
            <w:r>
              <w:fldChar w:fldCharType="end"/>
            </w:r>
          </w:p>
        </w:tc>
        <w:tc>
          <w:tcPr>
            <w:tcW w:w="3315" w:type="dxa"/>
            <w:gridSpan w:val="2"/>
            <w:tcBorders>
              <w:top w:val="nil"/>
              <w:left w:val="nil"/>
            </w:tcBorders>
            <w:shd w:val="clear" w:color="auto" w:fill="auto"/>
          </w:tcPr>
          <w:p w:rsidR="0017135D" w:rsidRPr="00006FB7" w:rsidP="005F2EAE">
            <w:pPr>
              <w:pStyle w:val="CSBody8pt"/>
            </w:pPr>
            <w:r w:rsidRPr="00006FB7">
              <w:t>the Non-Standard Reference Obligation specified in Section 1.1. (the "</w:t>
            </w:r>
            <w:r w:rsidRPr="005F2EAE">
              <w:rPr>
                <w:b/>
              </w:rPr>
              <w:t>Original Non-Standard Reference Obligation</w:t>
            </w:r>
            <w:r w:rsidRPr="00006FB7">
              <w:t>") or if a Substitute Reference Obligation has been determined, the Substitute Reference Obligation.</w:t>
            </w:r>
            <w:r w:rsidRPr="00792D61">
              <w:rPr>
                <w:b/>
              </w:rPr>
              <w:t>]</w:t>
            </w:r>
          </w:p>
        </w:tc>
        <w:tc>
          <w:tcPr>
            <w:tcW w:w="1618" w:type="dxa"/>
            <w:gridSpan w:val="2"/>
            <w:tcBorders>
              <w:top w:val="nil"/>
              <w:right w:val="nil"/>
            </w:tcBorders>
            <w:shd w:val="clear" w:color="auto" w:fill="auto"/>
          </w:tcPr>
          <w:p w:rsidR="0017135D" w:rsidRPr="00006FB7" w:rsidP="005F2EAE">
            <w:pPr>
              <w:pStyle w:val="CSBody8ptbolditalics"/>
              <w:rPr>
                <w:lang w:val="de-DE"/>
              </w:rPr>
            </w:pPr>
            <w:r w:rsidRPr="00792D61">
              <w:rPr>
                <w:lang w:val="de-DE"/>
              </w:rPr>
              <w:t>[</w:t>
            </w:r>
            <w:r w:rsidRPr="00006FB7">
              <w:rPr>
                <w:lang w:val="de-DE"/>
              </w:rPr>
              <w:t>falls eine Nicht-Standard-Referenzverbindlichkeit in Ziffer 1.1 angegeben ist, einfügen:</w:t>
            </w:r>
          </w:p>
          <w:p w:rsidR="0017135D" w:rsidRPr="00006FB7" w:rsidP="005F2EAE">
            <w:pPr>
              <w:pStyle w:val="CSBody8pt"/>
              <w:rPr>
                <w:lang w:val="de-DE"/>
              </w:rPr>
            </w:pPr>
            <w:r w:rsidRPr="00746DD6">
              <w:t>Nicht-Standard-Referenzverbindlichkeit</w:t>
            </w:r>
            <w:r>
              <w:fldChar w:fldCharType="begin"/>
            </w:r>
            <w:r>
              <w:instrText xml:space="preserve"> XE "</w:instrText>
            </w:r>
            <w:r w:rsidRPr="005E1A70">
              <w:instrText>Nicht-Standard-Referenzverbindlichkeit</w:instrText>
            </w:r>
            <w:r>
              <w:instrText xml:space="preserve">" </w:instrText>
            </w:r>
            <w:r>
              <w:fldChar w:fldCharType="end"/>
            </w:r>
          </w:p>
        </w:tc>
        <w:tc>
          <w:tcPr>
            <w:tcW w:w="3318" w:type="dxa"/>
            <w:tcBorders>
              <w:top w:val="nil"/>
              <w:left w:val="nil"/>
              <w:right w:val="nil"/>
            </w:tcBorders>
            <w:shd w:val="clear" w:color="auto" w:fill="auto"/>
          </w:tcPr>
          <w:p w:rsidR="0017135D" w:rsidRPr="00006FB7" w:rsidP="005F2EAE">
            <w:pPr>
              <w:pStyle w:val="CSBody8pt"/>
              <w:rPr>
                <w:bCs/>
                <w:lang w:val="de-DE"/>
              </w:rPr>
            </w:pPr>
            <w:r w:rsidRPr="00006FB7">
              <w:rPr>
                <w:bCs/>
                <w:lang w:val="de-DE"/>
              </w:rPr>
              <w:t>die in Ziffer 1.1 angegebene Nicht-Standard-Referenzverbindlichkeit (die "</w:t>
            </w:r>
            <w:r w:rsidRPr="005F2EAE">
              <w:rPr>
                <w:b/>
                <w:bCs/>
                <w:lang w:val="de-DE"/>
              </w:rPr>
              <w:t>Ursprüngliche Nicht-Standard-Referenzverbindlichkeit</w:t>
            </w:r>
            <w:r w:rsidRPr="00006FB7">
              <w:rPr>
                <w:bCs/>
                <w:lang w:val="de-DE"/>
              </w:rPr>
              <w:t>") oder, sofern eine Ersatz-Referenzverbindlichkeit bestimmt wurde, die Ersatz-Referenzverbindlichkeit.</w:t>
            </w:r>
            <w:r w:rsidRPr="00792D61">
              <w:rPr>
                <w:b/>
                <w:bCs/>
                <w:lang w:val="de-DE"/>
              </w:rPr>
              <w:t>]</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006FB7" w:rsidP="005F2EAE">
            <w:pPr>
              <w:pStyle w:val="CSBody8ptbolditalics"/>
            </w:pPr>
            <w:r w:rsidRPr="00792D61">
              <w:t>[</w:t>
            </w:r>
            <w:r w:rsidRPr="00006FB7">
              <w:t>if specified as Valuation Obligation Characteristic, insert:</w:t>
            </w:r>
          </w:p>
          <w:p w:rsidR="0017135D" w:rsidRPr="00006FB7" w:rsidP="005F2EAE">
            <w:pPr>
              <w:pStyle w:val="CSBody8pt"/>
            </w:pPr>
            <w:r w:rsidRPr="00006FB7">
              <w:t>Not Bearer</w:t>
            </w:r>
            <w:r>
              <w:fldChar w:fldCharType="begin"/>
            </w:r>
            <w:r>
              <w:instrText xml:space="preserve"> XE "</w:instrText>
            </w:r>
            <w:r w:rsidRPr="008B097D">
              <w:instrText>Not Bearer</w:instrText>
            </w:r>
            <w:r>
              <w:instrText xml:space="preserve">" \f "EN" </w:instrText>
            </w:r>
            <w:r>
              <w:fldChar w:fldCharType="end"/>
            </w:r>
          </w:p>
        </w:tc>
        <w:tc>
          <w:tcPr>
            <w:tcW w:w="3315" w:type="dxa"/>
            <w:gridSpan w:val="2"/>
            <w:tcBorders>
              <w:top w:val="nil"/>
              <w:left w:val="nil"/>
            </w:tcBorders>
            <w:shd w:val="clear" w:color="auto" w:fill="auto"/>
          </w:tcPr>
          <w:p w:rsidR="0017135D" w:rsidRPr="00006FB7" w:rsidP="004C1EBA">
            <w:pPr>
              <w:pStyle w:val="CSBody8pt"/>
            </w:pPr>
            <w:r w:rsidRPr="00006FB7">
              <w:t xml:space="preserve">any obligation </w:t>
            </w:r>
            <w:r>
              <w:t xml:space="preserve">(i) </w:t>
            </w:r>
            <w:r w:rsidRPr="00006FB7">
              <w:t>that is not a bearer instrument</w:t>
            </w:r>
            <w:r>
              <w:t xml:space="preserve"> or (ii) that is a</w:t>
            </w:r>
            <w:r w:rsidRPr="00006FB7">
              <w:t xml:space="preserve"> </w:t>
            </w:r>
            <w:r>
              <w:t>bearer instrument</w:t>
            </w:r>
            <w:r w:rsidRPr="00006FB7">
              <w:t xml:space="preserve"> </w:t>
            </w:r>
            <w:r>
              <w:t>provided that interests</w:t>
            </w:r>
            <w:r w:rsidRPr="00006FB7">
              <w:t xml:space="preserve"> with respect to such bearer instrument are cleared via the Euroclear system, Clearstream International or any other internationally recognized clearing system.</w:t>
            </w:r>
            <w:r w:rsidRPr="00792D61">
              <w:rPr>
                <w:b/>
              </w:rPr>
              <w:t>]</w:t>
            </w:r>
          </w:p>
        </w:tc>
        <w:tc>
          <w:tcPr>
            <w:tcW w:w="1618" w:type="dxa"/>
            <w:gridSpan w:val="2"/>
            <w:tcBorders>
              <w:top w:val="nil"/>
              <w:right w:val="nil"/>
            </w:tcBorders>
            <w:shd w:val="clear" w:color="auto" w:fill="auto"/>
          </w:tcPr>
          <w:p w:rsidR="0017135D" w:rsidRPr="00006FB7" w:rsidP="005F2EAE">
            <w:pPr>
              <w:pStyle w:val="CSBody8ptbolditalics"/>
              <w:rPr>
                <w:lang w:val="de-DE"/>
              </w:rPr>
            </w:pPr>
            <w:r w:rsidRPr="00792D61">
              <w:rPr>
                <w:lang w:val="de-DE"/>
              </w:rPr>
              <w:t>[</w:t>
            </w:r>
            <w:r w:rsidRPr="00006FB7">
              <w:rPr>
                <w:lang w:val="de-DE"/>
              </w:rPr>
              <w:t>falls als Merkmal für Bewertungs-verbindlichkeiten angegeben, einfügen:</w:t>
            </w:r>
          </w:p>
          <w:p w:rsidR="0017135D" w:rsidRPr="00006FB7" w:rsidP="005F2EAE">
            <w:pPr>
              <w:pStyle w:val="CSBody8pt"/>
              <w:rPr>
                <w:lang w:val="de-DE"/>
              </w:rPr>
            </w:pPr>
            <w:r w:rsidRPr="00746DD6">
              <w:t>Kein Inhaberpapier</w:t>
            </w:r>
            <w:r>
              <w:fldChar w:fldCharType="begin"/>
            </w:r>
            <w:r>
              <w:instrText xml:space="preserve"> XE "</w:instrText>
            </w:r>
            <w:r w:rsidRPr="00AC3F81">
              <w:instrText>Kein Inhaberpapier</w:instrText>
            </w:r>
            <w:r>
              <w:instrText xml:space="preserve">" </w:instrText>
            </w:r>
            <w:r>
              <w:fldChar w:fldCharType="end"/>
            </w:r>
          </w:p>
        </w:tc>
        <w:tc>
          <w:tcPr>
            <w:tcW w:w="3318" w:type="dxa"/>
            <w:tcBorders>
              <w:top w:val="nil"/>
              <w:left w:val="nil"/>
              <w:right w:val="nil"/>
            </w:tcBorders>
            <w:shd w:val="clear" w:color="auto" w:fill="auto"/>
          </w:tcPr>
          <w:p w:rsidR="0017135D" w:rsidRPr="00006FB7" w:rsidP="004C1EBA">
            <w:pPr>
              <w:pStyle w:val="CSBody8pt"/>
              <w:rPr>
                <w:bCs/>
                <w:lang w:val="de-DE"/>
              </w:rPr>
            </w:pPr>
            <w:r w:rsidRPr="00006FB7">
              <w:rPr>
                <w:bCs/>
                <w:lang w:val="de-DE"/>
              </w:rPr>
              <w:t xml:space="preserve">eine Verbindlichkeit, </w:t>
            </w:r>
            <w:r>
              <w:rPr>
                <w:bCs/>
                <w:lang w:val="de-DE"/>
              </w:rPr>
              <w:t xml:space="preserve">(i) </w:t>
            </w:r>
            <w:r w:rsidRPr="00006FB7">
              <w:rPr>
                <w:bCs/>
                <w:lang w:val="de-DE"/>
              </w:rPr>
              <w:t>bei der es sich nicht um ein Inhaberpapier handelt</w:t>
            </w:r>
            <w:r>
              <w:rPr>
                <w:bCs/>
                <w:lang w:val="de-DE"/>
              </w:rPr>
              <w:t xml:space="preserve"> oder (ii) bei der es sich um ein Inhaberpapier handelt, vorausgesetzt das</w:t>
            </w:r>
            <w:r w:rsidRPr="00006FB7">
              <w:rPr>
                <w:bCs/>
                <w:lang w:val="de-DE"/>
              </w:rPr>
              <w:t xml:space="preserve"> Clearing von Rechten in Bezug auf ein solches Inhaberpapier erfolgt über Euroclear, Clearstream International oder ein anderes international anerkanntes Clearingsystem.</w:t>
            </w:r>
            <w:r w:rsidRPr="00792D61">
              <w:rPr>
                <w:b/>
                <w:bCs/>
                <w:lang w:val="de-DE"/>
              </w:rPr>
              <w:t>]</w:t>
            </w:r>
          </w:p>
        </w:tc>
      </w:tr>
      <w:tr w:rsidTr="004C1EBA">
        <w:tblPrEx>
          <w:tblW w:w="4999" w:type="pct"/>
          <w:tblLayout w:type="fixed"/>
          <w:tblCellMar>
            <w:left w:w="115" w:type="dxa"/>
            <w:right w:w="115" w:type="dxa"/>
          </w:tblCellMar>
          <w:tblLook w:val="04A0"/>
        </w:tblPrEx>
        <w:trPr>
          <w:trHeight w:val="2785"/>
        </w:trPr>
        <w:tc>
          <w:tcPr>
            <w:tcW w:w="1616" w:type="dxa"/>
            <w:gridSpan w:val="3"/>
            <w:tcBorders>
              <w:top w:val="nil"/>
              <w:left w:val="nil"/>
              <w:right w:val="nil"/>
            </w:tcBorders>
            <w:shd w:val="clear" w:color="auto" w:fill="auto"/>
          </w:tcPr>
          <w:p w:rsidR="0017135D" w:rsidRPr="00006FB7" w:rsidP="00746DD6">
            <w:pPr>
              <w:pStyle w:val="CSBody8ptbolditalics"/>
            </w:pPr>
            <w:r w:rsidRPr="00792D61">
              <w:t>[</w:t>
            </w:r>
            <w:r w:rsidRPr="00006FB7">
              <w:t>if specified as Obligation Characteristic or Valuation Obligation Characteristic, insert:</w:t>
            </w:r>
          </w:p>
          <w:p w:rsidR="0017135D" w:rsidRPr="00006FB7" w:rsidP="005F2EAE">
            <w:pPr>
              <w:pStyle w:val="CSBody8pt"/>
            </w:pPr>
            <w:r w:rsidRPr="00746DD6">
              <w:t>Not Domestic Currency</w:t>
            </w:r>
            <w:r>
              <w:fldChar w:fldCharType="begin"/>
            </w:r>
            <w:r>
              <w:instrText xml:space="preserve"> XE "</w:instrText>
            </w:r>
            <w:r w:rsidRPr="00EA7216">
              <w:instrText>Not Domestic Currency</w:instrText>
            </w:r>
            <w:r>
              <w:instrText xml:space="preserve">" \f "EN" </w:instrText>
            </w:r>
            <w:r>
              <w:fldChar w:fldCharType="end"/>
            </w:r>
          </w:p>
        </w:tc>
        <w:tc>
          <w:tcPr>
            <w:tcW w:w="3315" w:type="dxa"/>
            <w:gridSpan w:val="2"/>
            <w:tcBorders>
              <w:top w:val="nil"/>
              <w:left w:val="nil"/>
            </w:tcBorders>
            <w:shd w:val="clear" w:color="auto" w:fill="auto"/>
          </w:tcPr>
          <w:p w:rsidR="0017135D" w:rsidRPr="00006FB7" w:rsidP="005F2EAE">
            <w:pPr>
              <w:pStyle w:val="CSBody8pt"/>
            </w:pPr>
            <w:r w:rsidRPr="00006FB7">
              <w:t>any obligation that is payable in any currency other than the Domestic Currency provided that a Standard Specified Currency shall not constitute a Domestic Currency.</w:t>
            </w:r>
            <w:r w:rsidRPr="00792D61">
              <w:rPr>
                <w:b/>
              </w:rPr>
              <w:t>]</w:t>
            </w:r>
          </w:p>
        </w:tc>
        <w:tc>
          <w:tcPr>
            <w:tcW w:w="1618" w:type="dxa"/>
            <w:gridSpan w:val="2"/>
            <w:tcBorders>
              <w:top w:val="nil"/>
              <w:right w:val="nil"/>
            </w:tcBorders>
            <w:shd w:val="clear" w:color="auto" w:fill="auto"/>
          </w:tcPr>
          <w:p w:rsidR="0017135D" w:rsidRPr="00006FB7" w:rsidP="00273BE4">
            <w:pPr>
              <w:pStyle w:val="CSBody8ptbolditalics"/>
              <w:rPr>
                <w:lang w:val="de-DE"/>
              </w:rPr>
            </w:pPr>
            <w:r w:rsidRPr="00792D61">
              <w:rPr>
                <w:lang w:val="de-DE"/>
              </w:rPr>
              <w:t>[</w:t>
            </w:r>
            <w:r>
              <w:rPr>
                <w:lang w:val="de-DE"/>
              </w:rPr>
              <w:t>falls als Verbindlich</w:t>
            </w:r>
            <w:r w:rsidRPr="00006FB7">
              <w:rPr>
                <w:lang w:val="de-DE"/>
              </w:rPr>
              <w:t xml:space="preserve">keitenmerkmal </w:t>
            </w:r>
            <w:r>
              <w:rPr>
                <w:lang w:val="de-DE"/>
              </w:rPr>
              <w:t>oder als Merkmal für Bewertungsverbindlich</w:t>
            </w:r>
            <w:r w:rsidRPr="00006FB7">
              <w:rPr>
                <w:lang w:val="de-DE"/>
              </w:rPr>
              <w:t>keiten angegeben, einfügen:</w:t>
            </w:r>
          </w:p>
          <w:p w:rsidR="0017135D" w:rsidRPr="00006FB7" w:rsidP="00273BE4">
            <w:pPr>
              <w:pStyle w:val="CSBody8pt"/>
              <w:rPr>
                <w:lang w:val="de-DE"/>
              </w:rPr>
            </w:pPr>
            <w:r w:rsidRPr="00746DD6">
              <w:t>Keine Inlandswährung</w:t>
            </w:r>
            <w:r>
              <w:fldChar w:fldCharType="begin"/>
            </w:r>
            <w:r>
              <w:instrText xml:space="preserve"> XE "</w:instrText>
            </w:r>
            <w:r w:rsidRPr="008B0EE9">
              <w:instrText>Keine Inlandswährung</w:instrText>
            </w:r>
            <w:r>
              <w:instrText xml:space="preserve">" </w:instrText>
            </w:r>
            <w:r>
              <w:fldChar w:fldCharType="end"/>
            </w:r>
          </w:p>
        </w:tc>
        <w:tc>
          <w:tcPr>
            <w:tcW w:w="3318" w:type="dxa"/>
            <w:tcBorders>
              <w:top w:val="nil"/>
              <w:left w:val="nil"/>
              <w:right w:val="nil"/>
            </w:tcBorders>
            <w:shd w:val="clear" w:color="auto" w:fill="auto"/>
          </w:tcPr>
          <w:p w:rsidR="0017135D" w:rsidRPr="00006FB7" w:rsidP="005F2EAE">
            <w:pPr>
              <w:pStyle w:val="CSBody8pt"/>
              <w:rPr>
                <w:bCs/>
                <w:lang w:val="de-DE"/>
              </w:rPr>
            </w:pPr>
            <w:r w:rsidRPr="00006FB7">
              <w:rPr>
                <w:bCs/>
                <w:lang w:val="de-DE"/>
              </w:rPr>
              <w:t>jede Verbindlichkeit, die in einer anderen Währung als der Inlandswährung zahlbar ist, wobei eine Standardmässig Festgelegte Währung keine Inlandswährung darstellt.</w:t>
            </w:r>
            <w:r w:rsidRPr="00792D61">
              <w:rPr>
                <w:b/>
                <w:bCs/>
                <w:lang w:val="de-DE"/>
              </w:rPr>
              <w:t>]</w:t>
            </w:r>
          </w:p>
        </w:tc>
      </w:tr>
      <w:tr w:rsidTr="004C1EBA">
        <w:tblPrEx>
          <w:tblW w:w="4999" w:type="pct"/>
          <w:tblLayout w:type="fixed"/>
          <w:tblCellMar>
            <w:left w:w="115" w:type="dxa"/>
            <w:right w:w="115" w:type="dxa"/>
          </w:tblCellMar>
          <w:tblLook w:val="04A0"/>
        </w:tblPrEx>
        <w:trPr>
          <w:trHeight w:val="5641"/>
        </w:trPr>
        <w:tc>
          <w:tcPr>
            <w:tcW w:w="1616" w:type="dxa"/>
            <w:gridSpan w:val="3"/>
            <w:tcBorders>
              <w:top w:val="nil"/>
              <w:left w:val="nil"/>
              <w:right w:val="nil"/>
            </w:tcBorders>
            <w:shd w:val="clear" w:color="auto" w:fill="auto"/>
          </w:tcPr>
          <w:p w:rsidR="0017135D" w:rsidRPr="00942F00" w:rsidP="005F2EAE">
            <w:pPr>
              <w:pStyle w:val="CSBody8ptbolditalics"/>
            </w:pPr>
            <w:r w:rsidRPr="00942F00">
              <w:t>[if specified as Obligation Characteristic or Valuation Obligation Characteristic, insert:</w:t>
            </w:r>
          </w:p>
          <w:p w:rsidR="0017135D" w:rsidRPr="00942F00" w:rsidP="005F2EAE">
            <w:pPr>
              <w:pStyle w:val="CSBody8pt"/>
            </w:pPr>
            <w:r w:rsidRPr="00942F00">
              <w:t>Not Domestic Issuance</w:t>
            </w:r>
            <w:r>
              <w:fldChar w:fldCharType="begin"/>
            </w:r>
            <w:r w:rsidRPr="00942F00">
              <w:instrText xml:space="preserve"> XE "Not Domestic Issuance" \f "EN" </w:instrText>
            </w:r>
            <w:r>
              <w:fldChar w:fldCharType="end"/>
            </w:r>
          </w:p>
        </w:tc>
        <w:tc>
          <w:tcPr>
            <w:tcW w:w="3315" w:type="dxa"/>
            <w:gridSpan w:val="2"/>
            <w:tcBorders>
              <w:top w:val="nil"/>
              <w:left w:val="nil"/>
            </w:tcBorders>
            <w:shd w:val="clear" w:color="auto" w:fill="auto"/>
          </w:tcPr>
          <w:p w:rsidR="0017135D" w:rsidRPr="00942F00" w:rsidP="005F2EAE">
            <w:pPr>
              <w:pStyle w:val="CSBody8pt"/>
            </w:pPr>
            <w:r w:rsidRPr="00942F00">
              <w:t xml:space="preserve">any obligation other than an obligation that was issued (or reissued, as the case may be) or intended to be offered for sale primarily in the domestic market of the Reference Entity; provided that any obligation that is registered or, as a result of some other action having been taken for such purpose, is qualified for sale outside the domestic market of the Reference Entity (regardless of whether such obligation is also registered or qualified for sale within the domestic market of the Reference Entity) shall be deemed not to be issued (or reissued, as the case may be), or intended to be offered for sale primarily in the domestic market of </w:t>
            </w:r>
            <w:r w:rsidRPr="00942F00">
              <w:rPr>
                <w:b/>
              </w:rPr>
              <w:t>[</w:t>
            </w:r>
            <w:r w:rsidRPr="00942F00">
              <w:t>i</w:t>
            </w:r>
            <w:r w:rsidRPr="00942F00">
              <w:rPr>
                <w:b/>
                <w:i/>
              </w:rPr>
              <w:t>f a Complex Product is only linked to one Reference Entity, insert:</w:t>
            </w:r>
            <w:r w:rsidRPr="00942F00">
              <w:t xml:space="preserve"> the</w:t>
            </w:r>
            <w:r w:rsidRPr="00942F00">
              <w:rPr>
                <w:b/>
              </w:rPr>
              <w:t>][</w:t>
            </w:r>
            <w:r w:rsidRPr="00942F00">
              <w:t xml:space="preserve">if </w:t>
            </w:r>
            <w:r w:rsidRPr="00942F00">
              <w:rPr>
                <w:b/>
                <w:i/>
              </w:rPr>
              <w:t>a Basket is applicable or in the case of Complex Products with N</w:t>
            </w:r>
            <w:r w:rsidRPr="00942F00">
              <w:rPr>
                <w:b/>
                <w:i/>
                <w:vertAlign w:val="superscript"/>
              </w:rPr>
              <w:t>th</w:t>
            </w:r>
            <w:r w:rsidRPr="00942F00">
              <w:rPr>
                <w:b/>
                <w:i/>
              </w:rPr>
              <w:t>-to-Default structure, insert:</w:t>
            </w:r>
            <w:r w:rsidRPr="00942F00">
              <w:t xml:space="preserve"> a</w:t>
            </w:r>
            <w:r w:rsidRPr="00942F00">
              <w:rPr>
                <w:b/>
              </w:rPr>
              <w:t>]</w:t>
            </w:r>
            <w:r w:rsidRPr="00942F00">
              <w:t xml:space="preserve"> Reference Entity.</w:t>
            </w:r>
            <w:r w:rsidRPr="00942F00">
              <w:rPr>
                <w:b/>
              </w:rPr>
              <w:t>]</w:t>
            </w:r>
          </w:p>
        </w:tc>
        <w:tc>
          <w:tcPr>
            <w:tcW w:w="1618" w:type="dxa"/>
            <w:gridSpan w:val="2"/>
            <w:tcBorders>
              <w:top w:val="nil"/>
              <w:right w:val="nil"/>
            </w:tcBorders>
            <w:shd w:val="clear" w:color="auto" w:fill="auto"/>
          </w:tcPr>
          <w:p w:rsidR="0017135D" w:rsidRPr="00942F00" w:rsidP="00273BE4">
            <w:pPr>
              <w:pStyle w:val="CSBody8ptbolditalics"/>
              <w:rPr>
                <w:lang w:val="de-DE"/>
              </w:rPr>
            </w:pPr>
            <w:r w:rsidRPr="00942F00">
              <w:rPr>
                <w:lang w:val="de-DE"/>
              </w:rPr>
              <w:t>[falls als Verbindlichkeitenmerkmal oder als Merkmal für Bewertungsverbindlichkeiten angegeben, einfügen:</w:t>
            </w:r>
          </w:p>
          <w:p w:rsidR="0017135D" w:rsidRPr="00942F00" w:rsidP="005F2EAE">
            <w:pPr>
              <w:pStyle w:val="CSBody8pt"/>
              <w:rPr>
                <w:lang w:val="de-DE"/>
              </w:rPr>
            </w:pPr>
            <w:r w:rsidRPr="00942F00">
              <w:t>Keine Inländische Emission</w:t>
            </w:r>
            <w:r>
              <w:fldChar w:fldCharType="begin"/>
            </w:r>
            <w:r w:rsidRPr="00942F00">
              <w:instrText xml:space="preserve"> XE "Keine Inländische Emission" </w:instrText>
            </w:r>
            <w:r>
              <w:fldChar w:fldCharType="end"/>
            </w:r>
          </w:p>
        </w:tc>
        <w:tc>
          <w:tcPr>
            <w:tcW w:w="3318" w:type="dxa"/>
            <w:tcBorders>
              <w:top w:val="nil"/>
              <w:left w:val="nil"/>
              <w:right w:val="nil"/>
            </w:tcBorders>
            <w:shd w:val="clear" w:color="auto" w:fill="auto"/>
          </w:tcPr>
          <w:p w:rsidR="0017135D" w:rsidRPr="00942F00" w:rsidP="00904373">
            <w:pPr>
              <w:pStyle w:val="CSBody8pt"/>
              <w:rPr>
                <w:bCs/>
                <w:lang w:val="de-DE"/>
              </w:rPr>
            </w:pPr>
            <w:r w:rsidRPr="00942F00">
              <w:rPr>
                <w:bCs/>
                <w:lang w:val="de-DE"/>
              </w:rPr>
              <w:t xml:space="preserve">jede Verbindlichkeit mit Ausnahme solcher Verbindlichkeiten, die überwiegend auf dem Inlandsmarkt des Referenzschuldners begeben (bzw. erneut begeben) wurde oder zum Verkauf angeboten werden sollte, wobei allerdings jede Verbindlichkeit, die zum Verkauf ausserhalb des Inlandsmarkts des Referenzschuldners registriert oder infolge einer sonstigen zu diesem Zweck ergriffenen Massnahme zugelassen ist (unabhängig davon, ob sie auch zum Verkauf innerhalb des Inlandsmarkts des Referenzschuldners registriert oder zugelassen ist), nicht als überwiegend auf dem Inlandsmarkt </w:t>
            </w:r>
            <w:r w:rsidRPr="00942F00">
              <w:rPr>
                <w:b/>
                <w:bCs/>
                <w:lang w:val="de-DE"/>
              </w:rPr>
              <w:t>[</w:t>
            </w:r>
            <w:r w:rsidRPr="00942F00">
              <w:rPr>
                <w:b/>
                <w:bCs/>
                <w:i/>
                <w:lang w:val="de-DE"/>
              </w:rPr>
              <w:t>falls ein Komplexes Produkt nur an einen Referenzschuldner gekoppelt ist, einfügen:</w:t>
            </w:r>
            <w:r w:rsidRPr="00942F00">
              <w:rPr>
                <w:bCs/>
                <w:lang w:val="de-DE"/>
              </w:rPr>
              <w:t xml:space="preserve"> des</w:t>
            </w:r>
            <w:r w:rsidRPr="00942F00">
              <w:rPr>
                <w:b/>
                <w:bCs/>
                <w:lang w:val="de-DE"/>
              </w:rPr>
              <w:t>][</w:t>
            </w:r>
            <w:r w:rsidRPr="00942F00">
              <w:rPr>
                <w:b/>
                <w:bCs/>
                <w:i/>
                <w:lang w:val="de-DE"/>
              </w:rPr>
              <w:t>falls ein Korb anwendbar ist oder bei Komplexen Produkten mit N</w:t>
            </w:r>
            <w:r w:rsidRPr="00942F00">
              <w:rPr>
                <w:b/>
                <w:i/>
                <w:vertAlign w:val="superscript"/>
                <w:lang w:val="de-DE"/>
              </w:rPr>
              <w:t>th</w:t>
            </w:r>
            <w:r w:rsidRPr="00942F00">
              <w:rPr>
                <w:b/>
                <w:bCs/>
                <w:i/>
                <w:lang w:val="de-DE"/>
              </w:rPr>
              <w:t>-to-Default-Struktur, einfügen:</w:t>
            </w:r>
            <w:r w:rsidRPr="00942F00">
              <w:rPr>
                <w:bCs/>
                <w:lang w:val="de-DE"/>
              </w:rPr>
              <w:t xml:space="preserve"> eines</w:t>
            </w:r>
            <w:r w:rsidRPr="00942F00">
              <w:rPr>
                <w:b/>
                <w:bCs/>
                <w:lang w:val="de-DE"/>
              </w:rPr>
              <w:t>]</w:t>
            </w:r>
            <w:r w:rsidRPr="00942F00">
              <w:rPr>
                <w:bCs/>
                <w:lang w:val="de-DE"/>
              </w:rPr>
              <w:t xml:space="preserve"> Referenzschuldners begeben (bzw. erneut begeben) oder überwiegend für das Angebot zum Verkauf auf dem Inlandsmarkt </w:t>
            </w:r>
            <w:r w:rsidRPr="00942F00">
              <w:rPr>
                <w:b/>
                <w:bCs/>
                <w:lang w:val="de-DE"/>
              </w:rPr>
              <w:t>[</w:t>
            </w:r>
            <w:r w:rsidRPr="00942F00">
              <w:rPr>
                <w:b/>
                <w:bCs/>
                <w:i/>
                <w:lang w:val="de-DE"/>
              </w:rPr>
              <w:t>falls ein Komplexes Produkt nur an einen Referenzschuldner gekoppelt ist, einfügen:</w:t>
            </w:r>
            <w:r w:rsidRPr="00942F00">
              <w:rPr>
                <w:bCs/>
                <w:lang w:val="de-DE"/>
              </w:rPr>
              <w:t xml:space="preserve"> des</w:t>
            </w:r>
            <w:r w:rsidRPr="00942F00">
              <w:rPr>
                <w:b/>
                <w:bCs/>
                <w:lang w:val="de-DE"/>
              </w:rPr>
              <w:t>][</w:t>
            </w:r>
            <w:r w:rsidRPr="00942F00">
              <w:rPr>
                <w:b/>
                <w:bCs/>
                <w:i/>
                <w:lang w:val="de-DE"/>
              </w:rPr>
              <w:t>falls ein Korb anwendbar ist oder bei Komplexen Produkten mit Nt</w:t>
            </w:r>
            <w:r w:rsidRPr="00942F00">
              <w:rPr>
                <w:b/>
                <w:i/>
                <w:vertAlign w:val="superscript"/>
                <w:lang w:val="de-DE"/>
              </w:rPr>
              <w:t>h-</w:t>
            </w:r>
            <w:r w:rsidRPr="00942F00">
              <w:rPr>
                <w:b/>
                <w:bCs/>
                <w:i/>
                <w:lang w:val="de-DE"/>
              </w:rPr>
              <w:t>to-Default-Struktur, einfügen:</w:t>
            </w:r>
            <w:r w:rsidRPr="00942F00">
              <w:rPr>
                <w:bCs/>
                <w:lang w:val="de-DE"/>
              </w:rPr>
              <w:t xml:space="preserve"> eines</w:t>
            </w:r>
            <w:r w:rsidRPr="00942F00">
              <w:rPr>
                <w:b/>
                <w:bCs/>
                <w:lang w:val="de-DE"/>
              </w:rPr>
              <w:t>]</w:t>
            </w:r>
            <w:r w:rsidRPr="00942F00">
              <w:rPr>
                <w:bCs/>
                <w:lang w:val="de-DE"/>
              </w:rPr>
              <w:t xml:space="preserve"> Referenzschuldners bestimmt gilt.</w:t>
            </w:r>
            <w:r w:rsidRPr="00942F00">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006FB7" w:rsidP="005F2EAE">
            <w:pPr>
              <w:pStyle w:val="CSBody8ptbolditalics"/>
            </w:pPr>
            <w:r w:rsidRPr="00792D61">
              <w:t>[</w:t>
            </w:r>
            <w:r w:rsidRPr="00FC7861">
              <w:t>if specified as Obligation Characteristic or Valuation Obligation Characteristic, insert:</w:t>
            </w:r>
          </w:p>
          <w:p w:rsidR="0017135D" w:rsidRPr="00006FB7" w:rsidP="005F2EAE">
            <w:pPr>
              <w:pStyle w:val="CSBody8pt"/>
            </w:pPr>
            <w:r w:rsidRPr="00746DD6">
              <w:t>Not Domestic Law</w:t>
            </w:r>
            <w:r>
              <w:fldChar w:fldCharType="begin"/>
            </w:r>
            <w:r>
              <w:instrText xml:space="preserve"> XE "</w:instrText>
            </w:r>
            <w:r w:rsidRPr="0078539E">
              <w:instrText>Not Domestic Law</w:instrText>
            </w:r>
            <w:r>
              <w:instrText xml:space="preserve">" \f "EN" </w:instrText>
            </w:r>
            <w:r>
              <w:fldChar w:fldCharType="end"/>
            </w:r>
          </w:p>
        </w:tc>
        <w:tc>
          <w:tcPr>
            <w:tcW w:w="3315" w:type="dxa"/>
            <w:gridSpan w:val="2"/>
            <w:tcBorders>
              <w:top w:val="nil"/>
              <w:left w:val="nil"/>
            </w:tcBorders>
            <w:shd w:val="clear" w:color="auto" w:fill="auto"/>
          </w:tcPr>
          <w:p w:rsidR="0017135D" w:rsidRPr="00006FB7" w:rsidP="005F2EAE">
            <w:pPr>
              <w:pStyle w:val="CSBody8pt"/>
            </w:pPr>
            <w:r w:rsidRPr="00FC7861">
              <w:t>any obligation that is not governed by the applicable Domestic Law provided that the laws of England and the laws of the State of New York shall not constitute a Domestic Law.</w:t>
            </w:r>
            <w:r w:rsidRPr="00792D61">
              <w:rPr>
                <w:b/>
              </w:rPr>
              <w:t>]</w:t>
            </w:r>
          </w:p>
        </w:tc>
        <w:tc>
          <w:tcPr>
            <w:tcW w:w="1618" w:type="dxa"/>
            <w:gridSpan w:val="2"/>
            <w:tcBorders>
              <w:top w:val="nil"/>
              <w:right w:val="nil"/>
            </w:tcBorders>
            <w:shd w:val="clear" w:color="auto" w:fill="auto"/>
          </w:tcPr>
          <w:p w:rsidR="0017135D" w:rsidRPr="00FC7861" w:rsidP="00273BE4">
            <w:pPr>
              <w:pStyle w:val="CSBody8ptbolditalics"/>
              <w:rPr>
                <w:lang w:val="de-DE"/>
              </w:rPr>
            </w:pPr>
            <w:r w:rsidRPr="00792D61">
              <w:rPr>
                <w:lang w:val="de-DE"/>
              </w:rPr>
              <w:t>[</w:t>
            </w:r>
            <w:r w:rsidRPr="00FC7861">
              <w:rPr>
                <w:lang w:val="de-DE"/>
              </w:rPr>
              <w:t xml:space="preserve">falls als Verbindlichkeitenmerkmal </w:t>
            </w:r>
            <w:r>
              <w:rPr>
                <w:lang w:val="de-DE"/>
              </w:rPr>
              <w:t>oder als Merkmal für Bewertungs</w:t>
            </w:r>
            <w:r w:rsidRPr="00FC7861">
              <w:rPr>
                <w:lang w:val="de-DE"/>
              </w:rPr>
              <w:t>verbindlichkeiten angegeben, einfügen:</w:t>
            </w:r>
          </w:p>
          <w:p w:rsidR="0017135D" w:rsidRPr="00FC7861" w:rsidP="005F2EAE">
            <w:pPr>
              <w:pStyle w:val="CSBody8pt"/>
              <w:rPr>
                <w:lang w:val="de-DE"/>
              </w:rPr>
            </w:pPr>
            <w:r w:rsidRPr="00746DD6">
              <w:t>Nicht Inländisches Recht</w:t>
            </w:r>
            <w:r>
              <w:fldChar w:fldCharType="begin"/>
            </w:r>
            <w:r>
              <w:instrText xml:space="preserve"> XE "</w:instrText>
            </w:r>
            <w:r w:rsidRPr="00B64E4D">
              <w:instrText>Nicht Inländisches Recht</w:instrText>
            </w:r>
            <w:r>
              <w:instrText xml:space="preserve">" </w:instrText>
            </w:r>
            <w:r>
              <w:fldChar w:fldCharType="end"/>
            </w:r>
          </w:p>
        </w:tc>
        <w:tc>
          <w:tcPr>
            <w:tcW w:w="3318" w:type="dxa"/>
            <w:tcBorders>
              <w:top w:val="nil"/>
              <w:left w:val="nil"/>
              <w:right w:val="nil"/>
            </w:tcBorders>
            <w:shd w:val="clear" w:color="auto" w:fill="auto"/>
          </w:tcPr>
          <w:p w:rsidR="0017135D" w:rsidRPr="00FC7861" w:rsidP="005F2EAE">
            <w:pPr>
              <w:pStyle w:val="CSBody8pt"/>
              <w:rPr>
                <w:bCs/>
                <w:lang w:val="de-DE"/>
              </w:rPr>
            </w:pPr>
            <w:r w:rsidRPr="00FC7861">
              <w:rPr>
                <w:bCs/>
                <w:lang w:val="de-DE"/>
              </w:rPr>
              <w:t>jede Verbindlichkeit, die nicht dem anwendbaren Inländischen Recht unterliegt, wobei das Recht von England und das Recht des Staates New York kein Inländisches Recht sind.</w:t>
            </w:r>
            <w:r w:rsidRPr="00792D61">
              <w:rPr>
                <w:b/>
                <w:bCs/>
                <w:lang w:val="de-DE"/>
              </w:rPr>
              <w:t>]</w:t>
            </w:r>
          </w:p>
        </w:tc>
      </w:tr>
      <w:tr w:rsidTr="004C1EBA">
        <w:tblPrEx>
          <w:tblW w:w="4999" w:type="pct"/>
          <w:tblLayout w:type="fixed"/>
          <w:tblCellMar>
            <w:left w:w="115" w:type="dxa"/>
            <w:right w:w="115" w:type="dxa"/>
          </w:tblCellMar>
          <w:tblLook w:val="04A0"/>
        </w:tblPrEx>
        <w:trPr>
          <w:trHeight w:val="3132"/>
        </w:trPr>
        <w:tc>
          <w:tcPr>
            <w:tcW w:w="1616" w:type="dxa"/>
            <w:gridSpan w:val="3"/>
            <w:tcBorders>
              <w:top w:val="nil"/>
              <w:left w:val="nil"/>
              <w:right w:val="nil"/>
            </w:tcBorders>
            <w:shd w:val="clear" w:color="auto" w:fill="auto"/>
          </w:tcPr>
          <w:p w:rsidR="0017135D" w:rsidRPr="00006FB7" w:rsidP="005F2EAE">
            <w:pPr>
              <w:pStyle w:val="CSBody8ptbolditalics"/>
            </w:pPr>
            <w:r w:rsidRPr="00792D61">
              <w:t>[</w:t>
            </w:r>
            <w:r w:rsidRPr="00FC7861">
              <w:t>if specified as Obligation Characteristic or Valuation Obligation Characteristic, insert:</w:t>
            </w:r>
          </w:p>
          <w:p w:rsidR="0017135D" w:rsidRPr="00006FB7" w:rsidP="00721BF7">
            <w:pPr>
              <w:pStyle w:val="CSBody8pt"/>
            </w:pPr>
            <w:r w:rsidRPr="00746DD6">
              <w:t>Not Sovereign Lender</w:t>
            </w:r>
            <w:r>
              <w:fldChar w:fldCharType="begin"/>
            </w:r>
            <w:r>
              <w:instrText xml:space="preserve"> XE "</w:instrText>
            </w:r>
            <w:r w:rsidRPr="00D73501">
              <w:instrText>Not Sovereign Lender</w:instrText>
            </w:r>
            <w:r>
              <w:instrText xml:space="preserve">" \f "EN" </w:instrText>
            </w:r>
            <w:r>
              <w:fldChar w:fldCharType="end"/>
            </w:r>
          </w:p>
        </w:tc>
        <w:tc>
          <w:tcPr>
            <w:tcW w:w="3315" w:type="dxa"/>
            <w:gridSpan w:val="2"/>
            <w:tcBorders>
              <w:top w:val="nil"/>
              <w:left w:val="nil"/>
            </w:tcBorders>
            <w:shd w:val="clear" w:color="auto" w:fill="auto"/>
          </w:tcPr>
          <w:p w:rsidR="0017135D" w:rsidRPr="00006FB7" w:rsidP="005F2EAE">
            <w:pPr>
              <w:pStyle w:val="CSBody8pt"/>
            </w:pPr>
            <w:r w:rsidRPr="00FC7861">
              <w:t>any obligation that is not primarily owed to a (a) Sovereign or (b) any entity or organization established by treaty or other arrangement between two or more Sovereigns including, without limiting the foregoing, the International Monetary Fund, European Central Bank, International Bank for Reconstruction and Development and European Bank for Reconstruction and Development, which shall include, without limitation, obligations generally referred to as "Paris Club debt".</w:t>
            </w:r>
            <w:r w:rsidRPr="00792D61">
              <w:rPr>
                <w:b/>
              </w:rPr>
              <w:t>]</w:t>
            </w:r>
          </w:p>
        </w:tc>
        <w:tc>
          <w:tcPr>
            <w:tcW w:w="1618" w:type="dxa"/>
            <w:gridSpan w:val="2"/>
            <w:tcBorders>
              <w:top w:val="nil"/>
              <w:right w:val="nil"/>
            </w:tcBorders>
            <w:shd w:val="clear" w:color="auto" w:fill="auto"/>
          </w:tcPr>
          <w:p w:rsidR="0017135D" w:rsidRPr="00FC7861" w:rsidP="005F2EAE">
            <w:pPr>
              <w:pStyle w:val="CSBody8ptbolditalics"/>
              <w:rPr>
                <w:lang w:val="de-DE"/>
              </w:rPr>
            </w:pPr>
            <w:r w:rsidRPr="00792D61">
              <w:rPr>
                <w:lang w:val="de-DE"/>
              </w:rPr>
              <w:t>[</w:t>
            </w:r>
            <w:r w:rsidRPr="00FC7861">
              <w:rPr>
                <w:lang w:val="de-DE"/>
              </w:rPr>
              <w:t>falls als Verbindlichkeitenmerkmal oder als Mer</w:t>
            </w:r>
            <w:r>
              <w:rPr>
                <w:lang w:val="de-DE"/>
              </w:rPr>
              <w:t>kmal für Bewertungsverbindlich</w:t>
            </w:r>
            <w:r w:rsidRPr="00FC7861">
              <w:rPr>
                <w:lang w:val="de-DE"/>
              </w:rPr>
              <w:t>keiten angegeben, einfügen:</w:t>
            </w:r>
          </w:p>
          <w:p w:rsidR="0017135D" w:rsidRPr="00FC7861" w:rsidP="00721BF7">
            <w:pPr>
              <w:pStyle w:val="CSBody8ptbolditalics"/>
              <w:rPr>
                <w:lang w:val="de-DE"/>
              </w:rPr>
            </w:pPr>
            <w:r w:rsidRPr="00746DD6">
              <w:rPr>
                <w:b w:val="0"/>
                <w:i w:val="0"/>
                <w:lang w:val="de-DE"/>
              </w:rPr>
              <w:t>Kein Staat als Kreditgeber</w:t>
            </w:r>
            <w:r>
              <w:rPr>
                <w:b w:val="0"/>
                <w:i w:val="0"/>
                <w:lang w:val="de-DE"/>
              </w:rPr>
              <w:fldChar w:fldCharType="begin"/>
            </w:r>
            <w:r>
              <w:instrText xml:space="preserve"> XE "</w:instrText>
            </w:r>
            <w:r w:rsidRPr="00DF0F72">
              <w:rPr>
                <w:b w:val="0"/>
                <w:i w:val="0"/>
                <w:lang w:val="de-DE"/>
              </w:rPr>
              <w:instrText>Kein Staat als Kreditgeber</w:instrText>
            </w:r>
            <w:r>
              <w:instrText xml:space="preserve">" </w:instrText>
            </w:r>
            <w:r>
              <w:rPr>
                <w:b w:val="0"/>
                <w:i w:val="0"/>
                <w:lang w:val="de-DE"/>
              </w:rPr>
              <w:fldChar w:fldCharType="end"/>
            </w:r>
          </w:p>
        </w:tc>
        <w:tc>
          <w:tcPr>
            <w:tcW w:w="3318" w:type="dxa"/>
            <w:tcBorders>
              <w:top w:val="nil"/>
              <w:left w:val="nil"/>
              <w:right w:val="nil"/>
            </w:tcBorders>
            <w:shd w:val="clear" w:color="auto" w:fill="auto"/>
          </w:tcPr>
          <w:p w:rsidR="0017135D" w:rsidRPr="00FC7861" w:rsidP="005F2EAE">
            <w:pPr>
              <w:pStyle w:val="CSBody8pt"/>
              <w:rPr>
                <w:bCs/>
                <w:lang w:val="de-DE"/>
              </w:rPr>
            </w:pPr>
            <w:r w:rsidRPr="00FC7861">
              <w:rPr>
                <w:bCs/>
                <w:lang w:val="de-DE"/>
              </w:rPr>
              <w:t xml:space="preserve">jede Verbindlichkeit, deren Hauptgläubiger weder (a) ein Staat noch (b) ein Rechtsträger oder eine Organisation ist, der bzw. die durch ein Abkommen oder eine sonstige Übereinkunft zwischen zwei oder mehr Staaten errichtet wird, </w:t>
            </w:r>
            <w:r>
              <w:rPr>
                <w:bCs/>
                <w:lang w:val="de-DE"/>
              </w:rPr>
              <w:t>u.a.</w:t>
            </w:r>
            <w:r w:rsidRPr="00FC7861">
              <w:rPr>
                <w:bCs/>
                <w:lang w:val="de-DE"/>
              </w:rPr>
              <w:t xml:space="preserve"> </w:t>
            </w:r>
            <w:r w:rsidRPr="00EE2FB6">
              <w:rPr>
                <w:i/>
                <w:lang w:val="de-DE"/>
              </w:rPr>
              <w:t>—</w:t>
            </w:r>
            <w:r w:rsidRPr="00FC7861">
              <w:rPr>
                <w:bCs/>
                <w:lang w:val="de-DE"/>
              </w:rPr>
              <w:t xml:space="preserve"> ohne Einschränkung des Vorstehenden </w:t>
            </w:r>
            <w:r w:rsidRPr="00EE2FB6">
              <w:rPr>
                <w:i/>
                <w:lang w:val="de-DE"/>
              </w:rPr>
              <w:t>—</w:t>
            </w:r>
            <w:r w:rsidRPr="00FC7861">
              <w:rPr>
                <w:bCs/>
                <w:lang w:val="de-DE"/>
              </w:rPr>
              <w:t xml:space="preserve"> der Internationale Währungsfonds, die Europäische Zentralbank, die Internationale Bank für Wiederaufbau und Entwicklung und die Europäische Bank für Wiederaufbau und Entwicklung, und die ausdrücklich Verbindlichkeiten einschliesst, die gemeinhin als "Schulden gegenüber dem Pariser Club" bezeichnet werden.</w:t>
            </w:r>
            <w:r w:rsidRPr="00792D61">
              <w:rPr>
                <w:b/>
                <w:bCs/>
                <w:lang w:val="de-DE"/>
              </w:rPr>
              <w:t>]</w:t>
            </w:r>
          </w:p>
        </w:tc>
      </w:tr>
      <w:tr w:rsidTr="004C1EBA">
        <w:tblPrEx>
          <w:tblW w:w="4999" w:type="pct"/>
          <w:tblLayout w:type="fixed"/>
          <w:tblCellMar>
            <w:left w:w="115" w:type="dxa"/>
            <w:right w:w="115" w:type="dxa"/>
          </w:tblCellMar>
          <w:tblLook w:val="04A0"/>
        </w:tblPrEx>
        <w:trPr>
          <w:trHeight w:val="2594"/>
        </w:trPr>
        <w:tc>
          <w:tcPr>
            <w:tcW w:w="1616" w:type="dxa"/>
            <w:gridSpan w:val="3"/>
            <w:tcBorders>
              <w:top w:val="nil"/>
              <w:left w:val="nil"/>
              <w:right w:val="nil"/>
            </w:tcBorders>
            <w:shd w:val="clear" w:color="auto" w:fill="auto"/>
          </w:tcPr>
          <w:p w:rsidR="0017135D" w:rsidRPr="00942F00" w:rsidP="005F2EAE">
            <w:pPr>
              <w:pStyle w:val="CSBody8ptbolditalics"/>
            </w:pPr>
            <w:r w:rsidRPr="00942F00">
              <w:t>[if specified as Obligation Characteristic or Valuation Obligation Characteristics, insert:</w:t>
            </w:r>
          </w:p>
          <w:p w:rsidR="0017135D" w:rsidRPr="00942F00" w:rsidP="005F2EAE">
            <w:pPr>
              <w:pStyle w:val="CSBody8pt"/>
            </w:pPr>
            <w:r w:rsidRPr="00942F00">
              <w:t>Not Subordinated</w:t>
            </w:r>
            <w:r>
              <w:fldChar w:fldCharType="begin"/>
            </w:r>
            <w:r w:rsidRPr="00942F00">
              <w:instrText xml:space="preserve"> XE "Not Subordinated" \f "EN" </w:instrText>
            </w:r>
            <w:r>
              <w:fldChar w:fldCharType="end"/>
            </w:r>
          </w:p>
        </w:tc>
        <w:tc>
          <w:tcPr>
            <w:tcW w:w="3315" w:type="dxa"/>
            <w:gridSpan w:val="2"/>
            <w:tcBorders>
              <w:top w:val="nil"/>
              <w:left w:val="nil"/>
            </w:tcBorders>
            <w:shd w:val="clear" w:color="auto" w:fill="auto"/>
          </w:tcPr>
          <w:p w:rsidR="0017135D" w:rsidRPr="00942F00" w:rsidP="004C1EBA">
            <w:pPr>
              <w:pStyle w:val="CSBody8pt"/>
            </w:pPr>
            <w:r w:rsidRPr="00942F00">
              <w:rPr>
                <w:b/>
              </w:rPr>
              <w:t>[</w:t>
            </w:r>
            <w:r w:rsidRPr="00942F00">
              <w:rPr>
                <w:b/>
                <w:i/>
              </w:rPr>
              <w:t xml:space="preserve">in case of Complex Products with Reference Obligation(s): </w:t>
            </w:r>
            <w:r w:rsidRPr="00942F00">
              <w:t>an obligation that is not Subordinated to the Reference Obligation or the Prior Reference Obligation, as applicable.</w:t>
            </w:r>
            <w:r w:rsidRPr="00942F00">
              <w:rPr>
                <w:b/>
              </w:rPr>
              <w:t>]</w:t>
            </w:r>
          </w:p>
        </w:tc>
        <w:tc>
          <w:tcPr>
            <w:tcW w:w="1618" w:type="dxa"/>
            <w:gridSpan w:val="2"/>
            <w:tcBorders>
              <w:top w:val="nil"/>
              <w:right w:val="nil"/>
            </w:tcBorders>
            <w:shd w:val="clear" w:color="auto" w:fill="auto"/>
          </w:tcPr>
          <w:p w:rsidR="0017135D" w:rsidRPr="00942F00" w:rsidP="00E1779D">
            <w:pPr>
              <w:pStyle w:val="CSBody8ptbolditalics"/>
              <w:rPr>
                <w:lang w:val="de-DE"/>
              </w:rPr>
            </w:pPr>
            <w:r w:rsidRPr="00942F00">
              <w:rPr>
                <w:lang w:val="de-DE"/>
              </w:rPr>
              <w:t>[falls als Verbindlichkeitenmerkmal oder als Merkmal für Bewertungsverbindlichkeiten angegeben, einfügen:</w:t>
            </w:r>
          </w:p>
          <w:p w:rsidR="0017135D" w:rsidRPr="00942F00" w:rsidP="005F2EAE">
            <w:pPr>
              <w:pStyle w:val="CSBody8pt"/>
              <w:rPr>
                <w:lang w:val="de-DE"/>
              </w:rPr>
            </w:pPr>
            <w:r w:rsidRPr="00942F00">
              <w:t>Nicht Nachrangig</w:t>
            </w:r>
            <w:r>
              <w:fldChar w:fldCharType="begin"/>
            </w:r>
            <w:r w:rsidRPr="00942F00">
              <w:instrText xml:space="preserve"> XE "Nicht Nachrangig" </w:instrText>
            </w:r>
            <w:r>
              <w:fldChar w:fldCharType="end"/>
            </w:r>
          </w:p>
        </w:tc>
        <w:tc>
          <w:tcPr>
            <w:tcW w:w="3318" w:type="dxa"/>
            <w:tcBorders>
              <w:top w:val="nil"/>
              <w:left w:val="nil"/>
              <w:right w:val="nil"/>
            </w:tcBorders>
            <w:shd w:val="clear" w:color="auto" w:fill="auto"/>
          </w:tcPr>
          <w:p w:rsidR="0017135D" w:rsidRPr="00BE12A4" w:rsidP="004C1EBA">
            <w:pPr>
              <w:pStyle w:val="CSBody8pt"/>
              <w:rPr>
                <w:b/>
                <w:bCs/>
                <w:lang w:val="de-DE"/>
              </w:rPr>
            </w:pPr>
            <w:r w:rsidRPr="00942F00">
              <w:rPr>
                <w:b/>
                <w:lang w:val="de-DE"/>
              </w:rPr>
              <w:t>[</w:t>
            </w:r>
            <w:r w:rsidRPr="00942F00">
              <w:rPr>
                <w:b/>
                <w:i/>
                <w:lang w:val="de-DE"/>
              </w:rPr>
              <w:t>bei Komplexen Produkten mit Referenzverbindlichkeit(en):</w:t>
            </w:r>
            <w:r w:rsidRPr="00942F00">
              <w:rPr>
                <w:lang w:val="de-DE"/>
              </w:rPr>
              <w:t xml:space="preserve"> </w:t>
            </w:r>
            <w:r w:rsidRPr="00942F00">
              <w:rPr>
                <w:bCs/>
                <w:lang w:val="de-DE"/>
              </w:rPr>
              <w:t>eine Verbindlichkeit, die nicht Nachrangig ist gegenüber der Referenzverbindlichkeit bzw.der Früheren Referenzverbindlichkeit.</w:t>
            </w:r>
            <w:r w:rsidRPr="00942F00">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13B3E" w:rsidP="005F2EAE">
            <w:pPr>
              <w:pStyle w:val="CSBody8pt"/>
              <w:rPr>
                <w:lang w:val="de-DE"/>
              </w:rPr>
            </w:pPr>
          </w:p>
        </w:tc>
        <w:tc>
          <w:tcPr>
            <w:tcW w:w="3315" w:type="dxa"/>
            <w:gridSpan w:val="2"/>
            <w:tcBorders>
              <w:top w:val="nil"/>
              <w:left w:val="nil"/>
              <w:bottom w:val="nil"/>
            </w:tcBorders>
            <w:shd w:val="clear" w:color="auto" w:fill="auto"/>
          </w:tcPr>
          <w:p w:rsidR="0017135D" w:rsidRPr="00746DD6" w:rsidP="005F2EAE">
            <w:pPr>
              <w:pStyle w:val="CSBody8pt"/>
            </w:pPr>
            <w:r w:rsidRPr="00792D61">
              <w:rPr>
                <w:b/>
              </w:rPr>
              <w:t>[</w:t>
            </w:r>
            <w:r w:rsidRPr="00746DD6">
              <w:rPr>
                <w:b/>
                <w:i/>
              </w:rPr>
              <w:t>in case of Complex Products without Reference Obligation(s):</w:t>
            </w:r>
            <w:r w:rsidRPr="00746DD6">
              <w:t xml:space="preserve"> any unsubordinated Borrowed Money obligation of the Reference Entity.</w:t>
            </w:r>
            <w:r w:rsidRPr="00792D61">
              <w:rPr>
                <w:b/>
              </w:rPr>
              <w:t>]]</w:t>
            </w:r>
          </w:p>
        </w:tc>
        <w:tc>
          <w:tcPr>
            <w:tcW w:w="1618" w:type="dxa"/>
            <w:gridSpan w:val="2"/>
            <w:tcBorders>
              <w:top w:val="nil"/>
              <w:bottom w:val="nil"/>
              <w:right w:val="nil"/>
            </w:tcBorders>
            <w:shd w:val="clear" w:color="auto" w:fill="auto"/>
          </w:tcPr>
          <w:p w:rsidR="0017135D" w:rsidRPr="00746DD6" w:rsidP="005F2EAE">
            <w:pPr>
              <w:pStyle w:val="CSBody8pt"/>
              <w:rPr>
                <w:i/>
              </w:rPr>
            </w:pPr>
          </w:p>
        </w:tc>
        <w:tc>
          <w:tcPr>
            <w:tcW w:w="3318" w:type="dxa"/>
            <w:tcBorders>
              <w:top w:val="nil"/>
              <w:left w:val="nil"/>
              <w:bottom w:val="nil"/>
              <w:right w:val="nil"/>
            </w:tcBorders>
            <w:shd w:val="clear" w:color="auto" w:fill="auto"/>
          </w:tcPr>
          <w:p w:rsidR="0017135D" w:rsidRPr="00746DD6" w:rsidP="005F2EAE">
            <w:pPr>
              <w:pStyle w:val="CSBody8pt"/>
              <w:rPr>
                <w:lang w:val="de-DE"/>
              </w:rPr>
            </w:pPr>
            <w:r w:rsidRPr="00792D61">
              <w:rPr>
                <w:b/>
                <w:lang w:val="de-DE"/>
              </w:rPr>
              <w:t>[</w:t>
            </w:r>
            <w:r w:rsidRPr="00746DD6">
              <w:rPr>
                <w:b/>
                <w:i/>
                <w:lang w:val="de-DE"/>
              </w:rPr>
              <w:t>bei Komplexen Produkten ohne Referenzverbindlichkeit(en):</w:t>
            </w:r>
            <w:r w:rsidRPr="00746DD6">
              <w:rPr>
                <w:lang w:val="de-DE"/>
              </w:rPr>
              <w:t xml:space="preserve"> jede nicht nachrangige Aufgenommene-Gelder-Verbindlichkeit des Referenzschuldners.</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46DD6" w:rsidP="005F2EAE">
            <w:pPr>
              <w:pStyle w:val="CSBody8pt"/>
            </w:pPr>
            <w:r w:rsidRPr="00746DD6">
              <w:t>Notice Delivery Date</w:t>
            </w:r>
            <w:r>
              <w:fldChar w:fldCharType="begin"/>
            </w:r>
            <w:r>
              <w:instrText xml:space="preserve"> XE "</w:instrText>
            </w:r>
            <w:r w:rsidRPr="004204A5">
              <w:instrText>Notice Delivery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746DD6" w:rsidP="005F2EAE">
            <w:pPr>
              <w:pStyle w:val="CSBody8pt"/>
            </w:pPr>
            <w:r w:rsidRPr="00746DD6">
              <w:t xml:space="preserve">the first date on which </w:t>
            </w:r>
            <w:r w:rsidRPr="00792D61">
              <w:rPr>
                <w:b/>
              </w:rPr>
              <w:t>[</w:t>
            </w:r>
            <w:r w:rsidRPr="00746DD6">
              <w:rPr>
                <w:b/>
                <w:i/>
              </w:rPr>
              <w:t xml:space="preserve">if "Notice of Publicly Available Information" is applicable: </w:t>
            </w:r>
            <w:r w:rsidRPr="00746DD6">
              <w:t>both an effective Credit Event Notice and an effective Notice of Publicly Available Information have been</w:t>
            </w:r>
            <w:r w:rsidRPr="00792D61">
              <w:rPr>
                <w:b/>
              </w:rPr>
              <w:t>]</w:t>
            </w:r>
            <w:r w:rsidRPr="00746DD6">
              <w:t xml:space="preserve"> </w:t>
            </w:r>
            <w:r w:rsidRPr="00792D61">
              <w:rPr>
                <w:b/>
              </w:rPr>
              <w:t>[</w:t>
            </w:r>
            <w:r w:rsidRPr="00746DD6">
              <w:rPr>
                <w:b/>
                <w:i/>
              </w:rPr>
              <w:t>if "Notice of Publicly Available Information" is not applicable:</w:t>
            </w:r>
            <w:r w:rsidRPr="00746DD6">
              <w:t xml:space="preserve">  an effective Credit Event Notice has been</w:t>
            </w:r>
            <w:r w:rsidRPr="00792D61">
              <w:rPr>
                <w:b/>
              </w:rPr>
              <w:t>]</w:t>
            </w:r>
            <w:r w:rsidRPr="00746DD6">
              <w:t xml:space="preserve"> delivered to the Calculation Agent and  the Holders.</w:t>
            </w:r>
          </w:p>
        </w:tc>
        <w:tc>
          <w:tcPr>
            <w:tcW w:w="1618" w:type="dxa"/>
            <w:gridSpan w:val="2"/>
            <w:tcBorders>
              <w:top w:val="nil"/>
              <w:bottom w:val="nil"/>
              <w:right w:val="nil"/>
            </w:tcBorders>
            <w:shd w:val="clear" w:color="auto" w:fill="auto"/>
          </w:tcPr>
          <w:p w:rsidR="0017135D" w:rsidRPr="00746DD6" w:rsidP="005F2EAE">
            <w:pPr>
              <w:pStyle w:val="CSBody8pt"/>
            </w:pPr>
            <w:r w:rsidRPr="00746DD6">
              <w:t>Mitteilungstag</w:t>
            </w:r>
            <w:r>
              <w:fldChar w:fldCharType="begin"/>
            </w:r>
            <w:r>
              <w:instrText xml:space="preserve"> XE "</w:instrText>
            </w:r>
            <w:r w:rsidRPr="00A3096D">
              <w:instrText>Mitteilungstag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746DD6" w:rsidP="005F2EAE">
            <w:pPr>
              <w:pStyle w:val="CSBody8pt"/>
              <w:rPr>
                <w:lang w:val="de-DE"/>
              </w:rPr>
            </w:pPr>
            <w:r w:rsidRPr="00746DD6">
              <w:rPr>
                <w:lang w:val="de-DE"/>
              </w:rPr>
              <w:t xml:space="preserve">der erste Tag, an dem </w:t>
            </w:r>
            <w:r w:rsidRPr="00792D61">
              <w:rPr>
                <w:b/>
                <w:lang w:val="de-DE"/>
              </w:rPr>
              <w:t>[</w:t>
            </w:r>
            <w:r w:rsidRPr="00746DD6">
              <w:rPr>
                <w:b/>
                <w:i/>
                <w:lang w:val="de-DE"/>
              </w:rPr>
              <w:t>falls "Mitteilung über Öffentlich Verfügbare Informationen" anwendbar ist:</w:t>
            </w:r>
            <w:r w:rsidRPr="00746DD6">
              <w:rPr>
                <w:lang w:val="de-DE"/>
              </w:rPr>
              <w:t xml:space="preserve"> sowohl eine wirksame Kreditereignismitteilung als auch eine wirksame Mitteilung über Öffentich Verfügbare Informationen</w:t>
            </w:r>
            <w:r w:rsidRPr="00792D61">
              <w:rPr>
                <w:b/>
                <w:lang w:val="de-DE"/>
              </w:rPr>
              <w:t>]</w:t>
            </w:r>
            <w:r w:rsidRPr="00746DD6">
              <w:rPr>
                <w:lang w:val="de-DE"/>
              </w:rPr>
              <w:t xml:space="preserve"> </w:t>
            </w:r>
            <w:r w:rsidRPr="00792D61">
              <w:rPr>
                <w:b/>
                <w:lang w:val="de-DE"/>
              </w:rPr>
              <w:t>[</w:t>
            </w:r>
            <w:r w:rsidRPr="00746DD6">
              <w:rPr>
                <w:b/>
                <w:i/>
                <w:lang w:val="de-DE"/>
              </w:rPr>
              <w:t>falls "Mitteilung über Öffentlich Verfügbare Informationen" nicht anwendbar ist:</w:t>
            </w:r>
            <w:r w:rsidRPr="00746DD6">
              <w:rPr>
                <w:lang w:val="de-DE"/>
              </w:rPr>
              <w:t xml:space="preserve"> eine wirksame Kreditereignismitteilung</w:t>
            </w:r>
            <w:r w:rsidRPr="00792D61">
              <w:rPr>
                <w:b/>
                <w:lang w:val="de-DE"/>
              </w:rPr>
              <w:t>]</w:t>
            </w:r>
            <w:r w:rsidRPr="00746DD6">
              <w:rPr>
                <w:lang w:val="de-DE"/>
              </w:rPr>
              <w:t xml:space="preserve"> der Berechnungsstelle und den Inhabern übermittelt </w:t>
            </w:r>
            <w:r w:rsidRPr="00792D61">
              <w:rPr>
                <w:b/>
                <w:lang w:val="de-DE"/>
              </w:rPr>
              <w:t>[</w:t>
            </w:r>
            <w:r w:rsidRPr="00746DD6">
              <w:rPr>
                <w:lang w:val="de-DE"/>
              </w:rPr>
              <w:t>wurden</w:t>
            </w:r>
            <w:r w:rsidRPr="00792D61">
              <w:rPr>
                <w:b/>
                <w:lang w:val="de-DE"/>
              </w:rPr>
              <w:t>][</w:t>
            </w:r>
            <w:r w:rsidRPr="00746DD6">
              <w:rPr>
                <w:lang w:val="de-DE"/>
              </w:rPr>
              <w:t>wurde</w:t>
            </w:r>
            <w:r w:rsidRPr="00792D61">
              <w:rPr>
                <w:b/>
                <w:lang w:val="de-DE"/>
              </w:rPr>
              <w:t>]</w:t>
            </w:r>
            <w:r w:rsidRPr="00746DD6">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46DD6" w:rsidP="005F2EAE">
            <w:pPr>
              <w:pStyle w:val="CSBody8pt"/>
            </w:pPr>
            <w:r w:rsidRPr="00746DD6">
              <w:t>Notice Delivery Period</w:t>
            </w:r>
            <w:r>
              <w:fldChar w:fldCharType="begin"/>
            </w:r>
            <w:r>
              <w:instrText xml:space="preserve"> XE "</w:instrText>
            </w:r>
            <w:r w:rsidRPr="00FC0F44">
              <w:instrText>Notice Delivery Period</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746DD6" w:rsidP="005F2EAE">
            <w:pPr>
              <w:pStyle w:val="CSBody8pt"/>
            </w:pPr>
            <w:r w:rsidRPr="00746DD6">
              <w:t xml:space="preserve">the period from and including the </w:t>
            </w:r>
            <w:r w:rsidRPr="00792D61">
              <w:rPr>
                <w:b/>
              </w:rPr>
              <w:t>[</w:t>
            </w:r>
            <w:r w:rsidRPr="00746DD6">
              <w:t>Issue</w:t>
            </w:r>
            <w:r w:rsidRPr="00792D61">
              <w:rPr>
                <w:b/>
              </w:rPr>
              <w:t>][</w:t>
            </w:r>
            <w:r w:rsidRPr="00746DD6">
              <w:t>Trade</w:t>
            </w:r>
            <w:r w:rsidRPr="00792D61">
              <w:rPr>
                <w:b/>
              </w:rPr>
              <w:t>]</w:t>
            </w:r>
            <w:r w:rsidRPr="00746DD6">
              <w:t xml:space="preserve"> Date to and including the date that is fourteen calendar days after </w:t>
            </w:r>
            <w:r w:rsidRPr="00792D61">
              <w:rPr>
                <w:b/>
              </w:rPr>
              <w:t>[</w:t>
            </w:r>
            <w:r w:rsidRPr="00746DD6">
              <w:rPr>
                <w:b/>
                <w:i/>
              </w:rPr>
              <w:t>if neither "Failure to Pay" and "Grace Period Extension" nor "Repudiation/Moratorium" are applicable, insert:</w:t>
            </w:r>
            <w:r w:rsidRPr="00746DD6">
              <w:t xml:space="preserve"> the Scheduled Maturity Date</w:t>
            </w:r>
            <w:r w:rsidRPr="00792D61">
              <w:rPr>
                <w:b/>
              </w:rPr>
              <w:t>]</w:t>
            </w:r>
            <w:r w:rsidRPr="00746DD6">
              <w:t xml:space="preserve"> </w:t>
            </w:r>
            <w:r w:rsidRPr="00792D61">
              <w:rPr>
                <w:b/>
              </w:rPr>
              <w:t>[</w:t>
            </w:r>
            <w:r w:rsidRPr="00746DD6">
              <w:rPr>
                <w:b/>
                <w:i/>
              </w:rPr>
              <w:t>if Failure to Pay and Grace Period Extension and/or Repudiation/Moratorium is/are applicable, insert:</w:t>
            </w:r>
            <w:r w:rsidRPr="00746DD6">
              <w:t xml:space="preserve"> the Extension Date</w:t>
            </w:r>
            <w:r w:rsidRPr="00792D61">
              <w:rPr>
                <w:b/>
              </w:rPr>
              <w:t>]</w:t>
            </w:r>
            <w:r w:rsidRPr="00746DD6">
              <w:t>.</w:t>
            </w:r>
          </w:p>
        </w:tc>
        <w:tc>
          <w:tcPr>
            <w:tcW w:w="1618" w:type="dxa"/>
            <w:gridSpan w:val="2"/>
            <w:tcBorders>
              <w:top w:val="nil"/>
              <w:bottom w:val="nil"/>
              <w:right w:val="nil"/>
            </w:tcBorders>
            <w:shd w:val="clear" w:color="auto" w:fill="auto"/>
          </w:tcPr>
          <w:p w:rsidR="0017135D" w:rsidRPr="00746DD6" w:rsidP="005F2EAE">
            <w:pPr>
              <w:pStyle w:val="CSBody8pt"/>
            </w:pPr>
            <w:r w:rsidRPr="00746DD6">
              <w:t>Mitteilungsfrist</w:t>
            </w:r>
            <w:r>
              <w:fldChar w:fldCharType="begin"/>
            </w:r>
            <w:r>
              <w:instrText xml:space="preserve"> XE "</w:instrText>
            </w:r>
            <w:r w:rsidRPr="008B52B0">
              <w:instrText>Mitteilungsfrist</w:instrText>
            </w:r>
            <w:r>
              <w:instrText xml:space="preserve">" </w:instrText>
            </w:r>
            <w:r>
              <w:fldChar w:fldCharType="end"/>
            </w:r>
          </w:p>
        </w:tc>
        <w:tc>
          <w:tcPr>
            <w:tcW w:w="3318" w:type="dxa"/>
            <w:tcBorders>
              <w:top w:val="nil"/>
              <w:left w:val="nil"/>
              <w:bottom w:val="nil"/>
              <w:right w:val="nil"/>
            </w:tcBorders>
            <w:shd w:val="clear" w:color="auto" w:fill="auto"/>
          </w:tcPr>
          <w:p w:rsidR="0017135D" w:rsidRPr="00746DD6" w:rsidP="005F2EAE">
            <w:pPr>
              <w:pStyle w:val="CSBody8pt"/>
              <w:rPr>
                <w:lang w:val="de-DE"/>
              </w:rPr>
            </w:pPr>
            <w:r w:rsidRPr="00746DD6">
              <w:rPr>
                <w:lang w:val="de-DE"/>
              </w:rPr>
              <w:t xml:space="preserve">der Zeitraum vom </w:t>
            </w:r>
            <w:r w:rsidRPr="00792D61">
              <w:rPr>
                <w:b/>
                <w:lang w:val="de-DE"/>
              </w:rPr>
              <w:t>[</w:t>
            </w:r>
            <w:r w:rsidRPr="00746DD6">
              <w:rPr>
                <w:lang w:val="de-DE"/>
              </w:rPr>
              <w:t>Emissionstag</w:t>
            </w:r>
            <w:r w:rsidRPr="00792D61">
              <w:rPr>
                <w:b/>
                <w:lang w:val="de-DE"/>
              </w:rPr>
              <w:t>][</w:t>
            </w:r>
            <w:r w:rsidRPr="00746DD6">
              <w:rPr>
                <w:lang w:val="de-DE"/>
              </w:rPr>
              <w:t>Abschlusstag</w:t>
            </w:r>
            <w:r w:rsidRPr="00792D61">
              <w:rPr>
                <w:b/>
                <w:lang w:val="de-DE"/>
              </w:rPr>
              <w:t>]</w:t>
            </w:r>
            <w:r w:rsidRPr="00746DD6">
              <w:rPr>
                <w:lang w:val="de-DE"/>
              </w:rPr>
              <w:t xml:space="preserve"> (einschliesslich) bis zum 14. Kalendertag (einschliesslich) nach </w:t>
            </w:r>
            <w:r w:rsidRPr="00792D61">
              <w:rPr>
                <w:b/>
                <w:lang w:val="de-DE"/>
              </w:rPr>
              <w:t>[</w:t>
            </w:r>
            <w:r w:rsidRPr="00746DD6">
              <w:rPr>
                <w:b/>
                <w:i/>
                <w:lang w:val="de-DE"/>
              </w:rPr>
              <w:t>falls weder "Nichtzahlung und Verlängerung wegen Nachfrist" noch "Nichtanerkennung/Moratorium" anwendbar sind, einfügen:</w:t>
            </w:r>
            <w:r w:rsidRPr="00746DD6">
              <w:rPr>
                <w:lang w:val="de-DE"/>
              </w:rPr>
              <w:t xml:space="preserve"> dem Planmässigen Fälligkeitstag</w:t>
            </w:r>
            <w:r w:rsidRPr="00792D61">
              <w:rPr>
                <w:b/>
                <w:lang w:val="de-DE"/>
              </w:rPr>
              <w:t>]</w:t>
            </w:r>
            <w:r w:rsidRPr="00746DD6">
              <w:rPr>
                <w:lang w:val="de-DE"/>
              </w:rPr>
              <w:t xml:space="preserve"> </w:t>
            </w:r>
            <w:r w:rsidRPr="00792D61">
              <w:rPr>
                <w:b/>
                <w:lang w:val="de-DE"/>
              </w:rPr>
              <w:t>[</w:t>
            </w:r>
            <w:r w:rsidRPr="00746DD6">
              <w:rPr>
                <w:b/>
                <w:i/>
                <w:lang w:val="de-DE"/>
              </w:rPr>
              <w:t>falls "Nichtzahlung und Verlängerung wegen Nachfrist" und/oder "Nichtanerkennung/ Moratorium" anwendbar ist/sind, einfügen:</w:t>
            </w:r>
            <w:r w:rsidRPr="00746DD6">
              <w:rPr>
                <w:lang w:val="de-DE"/>
              </w:rPr>
              <w:t xml:space="preserve"> dem Verlängerungstag</w:t>
            </w:r>
            <w:r w:rsidRPr="00792D61">
              <w:rPr>
                <w:b/>
                <w:lang w:val="de-DE"/>
              </w:rPr>
              <w:t>]</w:t>
            </w:r>
            <w:r w:rsidRPr="00746DD6">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46DD6">
            <w:pPr>
              <w:pStyle w:val="CSBody8pt"/>
            </w:pPr>
            <w:r w:rsidRPr="00792D61">
              <w:rPr>
                <w:b/>
              </w:rPr>
              <w:t>[</w:t>
            </w:r>
            <w:r w:rsidRPr="00746DD6">
              <w:t>Notice of Publicly Available Information</w:t>
            </w:r>
            <w:r>
              <w:fldChar w:fldCharType="begin"/>
            </w:r>
            <w:r w:rsidR="0041243C">
              <w:instrText xml:space="preserve"> XE "</w:instrText>
            </w:r>
            <w:r w:rsidRPr="00D7474A" w:rsidR="0041243C">
              <w:instrText>Notice of Publicly Available Information</w:instrText>
            </w:r>
            <w:r w:rsidR="0041243C">
              <w:instrText>" \f "EN"</w:instrText>
            </w:r>
            <w:r>
              <w:fldChar w:fldCharType="end"/>
            </w:r>
          </w:p>
        </w:tc>
        <w:tc>
          <w:tcPr>
            <w:tcW w:w="3315" w:type="dxa"/>
            <w:gridSpan w:val="2"/>
            <w:tcBorders>
              <w:top w:val="nil"/>
              <w:left w:val="nil"/>
              <w:bottom w:val="nil"/>
            </w:tcBorders>
            <w:shd w:val="clear" w:color="auto" w:fill="auto"/>
          </w:tcPr>
          <w:p w:rsidR="0017135D" w:rsidRPr="00746DD6" w:rsidP="005F2EAE">
            <w:pPr>
              <w:pStyle w:val="CSBody8pt"/>
            </w:pPr>
            <w:r w:rsidRPr="00746DD6">
              <w:t xml:space="preserve">an irrevocable notice from the Issuer to the Holders </w:t>
            </w:r>
            <w:r w:rsidRPr="00792D61">
              <w:rPr>
                <w:b/>
              </w:rPr>
              <w:t>[</w:t>
            </w:r>
            <w:r w:rsidRPr="00746DD6">
              <w:t>in accordance with Section 8</w:t>
            </w:r>
            <w:r w:rsidRPr="00792D61">
              <w:rPr>
                <w:b/>
              </w:rPr>
              <w:t>]</w:t>
            </w:r>
            <w:r w:rsidRPr="00746DD6">
              <w:t xml:space="preserve"> </w:t>
            </w:r>
            <w:r w:rsidRPr="00792D61">
              <w:rPr>
                <w:b/>
              </w:rPr>
              <w:t>[[</w:t>
            </w:r>
            <w:r w:rsidRPr="00746DD6">
              <w:t>•</w:t>
            </w:r>
            <w:r w:rsidRPr="00792D61">
              <w:rPr>
                <w:b/>
              </w:rPr>
              <w:t>]]</w:t>
            </w:r>
            <w:r w:rsidRPr="00746DD6">
              <w:t xml:space="preserve"> that cites Publicly Available Information confirming any of the facts relevant for the determination of the occurrence of the Credit Event </w:t>
            </w:r>
            <w:r w:rsidRPr="00792D61">
              <w:rPr>
                <w:b/>
              </w:rPr>
              <w:t>[</w:t>
            </w:r>
            <w:r w:rsidRPr="00746DD6">
              <w:rPr>
                <w:b/>
                <w:i/>
              </w:rPr>
              <w:t>if "Repudiation/Moratorium" is applicable, insert:</w:t>
            </w:r>
            <w:r w:rsidRPr="00746DD6">
              <w:t xml:space="preserve"> or Potential Repudiation/Moratorium, as applicable,</w:t>
            </w:r>
            <w:r w:rsidRPr="00792D61">
              <w:rPr>
                <w:b/>
              </w:rPr>
              <w:t>]</w:t>
            </w:r>
            <w:r w:rsidRPr="00746DD6">
              <w:t xml:space="preserve"> described in the Credit Event Notice </w:t>
            </w:r>
            <w:r w:rsidRPr="00792D61">
              <w:rPr>
                <w:b/>
              </w:rPr>
              <w:t>[</w:t>
            </w:r>
            <w:r w:rsidRPr="00746DD6">
              <w:rPr>
                <w:b/>
                <w:i/>
              </w:rPr>
              <w:t xml:space="preserve">if "Repudiation/Moratorium" is applicable, insert: </w:t>
            </w:r>
            <w:r w:rsidRPr="00746DD6">
              <w:t>or Repudiation/Moratorium Extension Notice</w:t>
            </w:r>
            <w:r w:rsidRPr="00792D61">
              <w:rPr>
                <w:b/>
              </w:rPr>
              <w:t>]</w:t>
            </w:r>
            <w:r w:rsidRPr="00746DD6">
              <w:t xml:space="preserve">. The notice given must contain a copy, or a description in reasonable detail, of the relevant Publicly Available Information. </w:t>
            </w:r>
            <w:r w:rsidRPr="00792D61">
              <w:rPr>
                <w:b/>
              </w:rPr>
              <w:t>[</w:t>
            </w:r>
            <w:r w:rsidRPr="00746DD6">
              <w:rPr>
                <w:b/>
                <w:i/>
              </w:rPr>
              <w:t>If "Notice of Publicly Available Information" is applicable according to Section 1.1, insert:</w:t>
            </w:r>
            <w:r w:rsidRPr="00746DD6">
              <w:t xml:space="preserve"> If the Credit Event Notice </w:t>
            </w:r>
            <w:r w:rsidRPr="00792D61">
              <w:rPr>
                <w:b/>
              </w:rPr>
              <w:t>[</w:t>
            </w:r>
            <w:r w:rsidRPr="00746DD6">
              <w:rPr>
                <w:b/>
                <w:i/>
              </w:rPr>
              <w:t>if "Repudiation/Moratorium" is applicable, insert:</w:t>
            </w:r>
            <w:r w:rsidRPr="00746DD6">
              <w:t xml:space="preserve"> or Repudiation/Moratorium Extension Notice, as applicable,</w:t>
            </w:r>
            <w:r w:rsidRPr="00792D61">
              <w:rPr>
                <w:b/>
              </w:rPr>
              <w:t>]</w:t>
            </w:r>
            <w:r w:rsidRPr="00746DD6">
              <w:t xml:space="preserve"> contains Publicly Available Information, such Credit Event Notice </w:t>
            </w:r>
            <w:r w:rsidRPr="00792D61">
              <w:rPr>
                <w:b/>
              </w:rPr>
              <w:t>[</w:t>
            </w:r>
            <w:r w:rsidRPr="00746DD6">
              <w:rPr>
                <w:b/>
                <w:i/>
              </w:rPr>
              <w:t>if "Repudiation/Moratorium" is applicable, insert:</w:t>
            </w:r>
            <w:r w:rsidRPr="00746DD6">
              <w:t xml:space="preserve"> or Repudiation/Moratorium Extension Notice</w:t>
            </w:r>
            <w:r w:rsidRPr="00792D61">
              <w:rPr>
                <w:b/>
              </w:rPr>
              <w:t>]</w:t>
            </w:r>
            <w:r w:rsidRPr="00746DD6">
              <w:t xml:space="preserve"> will also be deemed to be a Notice of Publicly Available Information.</w:t>
            </w:r>
            <w:r w:rsidRPr="00792D61">
              <w:rPr>
                <w:b/>
              </w:rPr>
              <w:t>]</w:t>
            </w:r>
          </w:p>
        </w:tc>
        <w:tc>
          <w:tcPr>
            <w:tcW w:w="1618" w:type="dxa"/>
            <w:gridSpan w:val="2"/>
            <w:tcBorders>
              <w:top w:val="nil"/>
              <w:bottom w:val="nil"/>
              <w:right w:val="nil"/>
            </w:tcBorders>
            <w:shd w:val="clear" w:color="auto" w:fill="auto"/>
          </w:tcPr>
          <w:p w:rsidR="0017135D" w:rsidRPr="00746DD6">
            <w:pPr>
              <w:pStyle w:val="CSBody8pt"/>
              <w:rPr>
                <w:lang w:val="de-DE"/>
              </w:rPr>
            </w:pPr>
            <w:r w:rsidRPr="00792D61">
              <w:rPr>
                <w:b/>
                <w:lang w:val="de-DE"/>
              </w:rPr>
              <w:t>[</w:t>
            </w:r>
            <w:r w:rsidRPr="00746DD6">
              <w:rPr>
                <w:lang w:val="de-DE"/>
              </w:rPr>
              <w:t>Mitteilung über Öffentlich Verfügbare Informationen</w:t>
            </w:r>
            <w:r>
              <w:rPr>
                <w:lang w:val="de-DE"/>
              </w:rPr>
              <w:fldChar w:fldCharType="begin"/>
            </w:r>
            <w:r w:rsidRPr="00BD6E0D" w:rsidR="0041243C">
              <w:rPr>
                <w:lang w:val="de-DE"/>
              </w:rPr>
              <w:instrText xml:space="preserve"> XE "</w:instrText>
            </w:r>
            <w:r w:rsidRPr="00196CB0" w:rsidR="0041243C">
              <w:rPr>
                <w:lang w:val="de-DE"/>
              </w:rPr>
              <w:instrText>Mitteilung über Öffentlich Verfügbare Informationen</w:instrText>
            </w:r>
            <w:r w:rsidRPr="00BD6E0D" w:rsidR="0041243C">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FC7861" w:rsidP="00E1779D">
            <w:pPr>
              <w:pStyle w:val="CSBody8pt"/>
              <w:rPr>
                <w:bCs/>
                <w:lang w:val="de-DE"/>
              </w:rPr>
            </w:pPr>
            <w:r w:rsidRPr="00746DD6">
              <w:rPr>
                <w:bCs/>
                <w:lang w:val="de-DE"/>
              </w:rPr>
              <w:t xml:space="preserve">eine unwiderrufliche Mitteilung der Emittentin an die Inhaber </w:t>
            </w:r>
            <w:r w:rsidRPr="00792D61">
              <w:rPr>
                <w:b/>
                <w:bCs/>
                <w:lang w:val="de-DE"/>
              </w:rPr>
              <w:t>[</w:t>
            </w:r>
            <w:r w:rsidRPr="00746DD6">
              <w:rPr>
                <w:bCs/>
                <w:lang w:val="de-DE"/>
              </w:rPr>
              <w:t>gemäss Ziffer 8</w:t>
            </w:r>
            <w:r w:rsidRPr="00792D61">
              <w:rPr>
                <w:b/>
                <w:bCs/>
                <w:lang w:val="de-DE"/>
              </w:rPr>
              <w:t>][[</w:t>
            </w:r>
            <w:r w:rsidRPr="00746DD6">
              <w:rPr>
                <w:bCs/>
                <w:lang w:val="de-DE"/>
              </w:rPr>
              <w:t>•</w:t>
            </w:r>
            <w:r w:rsidRPr="00792D61">
              <w:rPr>
                <w:b/>
                <w:bCs/>
                <w:lang w:val="de-DE"/>
              </w:rPr>
              <w:t>]]</w:t>
            </w:r>
            <w:r w:rsidRPr="00746DD6">
              <w:rPr>
                <w:bCs/>
                <w:lang w:val="de-DE"/>
              </w:rPr>
              <w:t xml:space="preserve">, in der Öffentlich Verfügbare Informationen enthalten sind, die die für die Feststellung des Eintritts des Kreditereignisses </w:t>
            </w:r>
            <w:r w:rsidRPr="00792D61">
              <w:rPr>
                <w:b/>
                <w:bCs/>
                <w:lang w:val="de-DE"/>
              </w:rPr>
              <w:t>[</w:t>
            </w:r>
            <w:r w:rsidRPr="00746DD6">
              <w:rPr>
                <w:b/>
                <w:bCs/>
                <w:i/>
                <w:lang w:val="de-DE"/>
              </w:rPr>
              <w:t>falls "Nichtanerkennung/ Moratorium" anwendbar ist, einfügen:</w:t>
            </w:r>
            <w:r w:rsidRPr="00746DD6">
              <w:rPr>
                <w:bCs/>
                <w:lang w:val="de-DE"/>
              </w:rPr>
              <w:t xml:space="preserve"> bzw. der Potenziellen Nichtanerkennung / des Potenziellen Moratoriums</w:t>
            </w:r>
            <w:r w:rsidRPr="00792D61">
              <w:rPr>
                <w:b/>
                <w:bCs/>
                <w:lang w:val="de-DE"/>
              </w:rPr>
              <w:t>]</w:t>
            </w:r>
            <w:r w:rsidRPr="00746DD6">
              <w:rPr>
                <w:bCs/>
                <w:lang w:val="de-DE"/>
              </w:rPr>
              <w:t xml:space="preserve"> massgeblichen Tatsachen bestätigen, die in der Kreditereignismitteilung </w:t>
            </w:r>
            <w:r w:rsidRPr="00792D61">
              <w:rPr>
                <w:b/>
                <w:bCs/>
                <w:lang w:val="de-DE"/>
              </w:rPr>
              <w:t>[</w:t>
            </w:r>
            <w:r w:rsidRPr="00746DD6">
              <w:rPr>
                <w:b/>
                <w:bCs/>
                <w:i/>
                <w:lang w:val="de-DE"/>
              </w:rPr>
              <w:t>falls "Nichtanerkennung/Moratorium" anwendbar ist, einfügen:</w:t>
            </w:r>
            <w:r w:rsidRPr="00746DD6">
              <w:rPr>
                <w:bCs/>
                <w:lang w:val="de-DE"/>
              </w:rPr>
              <w:t xml:space="preserve"> oder der Mitteilung über die Verlängerung im Fall einer Nichtanerkennung / eines Moratoriums</w:t>
            </w:r>
            <w:r w:rsidRPr="00792D61">
              <w:rPr>
                <w:b/>
                <w:bCs/>
                <w:lang w:val="de-DE"/>
              </w:rPr>
              <w:t>]</w:t>
            </w:r>
            <w:r w:rsidRPr="00746DD6">
              <w:rPr>
                <w:bCs/>
                <w:lang w:val="de-DE"/>
              </w:rPr>
              <w:t xml:space="preserve"> beschrieben sind. Die übermittelte Mitteilung muss eine Abschrift der betreffenden Öffentlich Verfügbaren Informationen oder eine angemessen detaillierte Beschreibung davon enthalten. </w:t>
            </w:r>
            <w:r w:rsidRPr="00792D61">
              <w:rPr>
                <w:b/>
                <w:bCs/>
                <w:lang w:val="de-DE"/>
              </w:rPr>
              <w:t>[</w:t>
            </w:r>
            <w:r w:rsidRPr="00746DD6">
              <w:rPr>
                <w:b/>
                <w:bCs/>
                <w:i/>
                <w:lang w:val="de-DE"/>
              </w:rPr>
              <w:t>Falls "Mitteilung über Öffentlich Verfügbare Informationen" gemäss Ziffer 1.1 anwendbar ist, einfügen:</w:t>
            </w:r>
            <w:r w:rsidRPr="00746DD6">
              <w:rPr>
                <w:bCs/>
                <w:lang w:val="de-DE"/>
              </w:rPr>
              <w:t xml:space="preserve"> Wenn die Kreditereignismitteilung </w:t>
            </w:r>
            <w:r w:rsidRPr="00792D61">
              <w:rPr>
                <w:b/>
                <w:bCs/>
                <w:lang w:val="de-DE"/>
              </w:rPr>
              <w:t>[</w:t>
            </w:r>
            <w:r w:rsidRPr="00746DD6">
              <w:rPr>
                <w:b/>
                <w:bCs/>
                <w:i/>
                <w:lang w:val="de-DE"/>
              </w:rPr>
              <w:t>falls "Nichtanerkennung/ Moratorium" anwendbar ist, einfügen:</w:t>
            </w:r>
            <w:r w:rsidRPr="00746DD6">
              <w:rPr>
                <w:bCs/>
                <w:lang w:val="de-DE"/>
              </w:rPr>
              <w:t xml:space="preserve"> bzw. eine Mitteilung über die Verlängerung im Fall einer Nichtanerkennung / eines Moratoriums</w:t>
            </w:r>
            <w:r w:rsidRPr="00792D61">
              <w:rPr>
                <w:b/>
                <w:bCs/>
                <w:lang w:val="de-DE"/>
              </w:rPr>
              <w:t>]</w:t>
            </w:r>
            <w:r w:rsidRPr="00746DD6">
              <w:rPr>
                <w:bCs/>
                <w:lang w:val="de-DE"/>
              </w:rPr>
              <w:t xml:space="preserve"> Öffentlich Verfügbare Informationen enthält, gilt diese Kreditereignismitteilung </w:t>
            </w:r>
            <w:r w:rsidRPr="00792D61">
              <w:rPr>
                <w:b/>
                <w:bCs/>
                <w:lang w:val="de-DE"/>
              </w:rPr>
              <w:t>[</w:t>
            </w:r>
            <w:r w:rsidRPr="00746DD6">
              <w:rPr>
                <w:b/>
                <w:bCs/>
                <w:i/>
                <w:lang w:val="de-DE"/>
              </w:rPr>
              <w:t xml:space="preserve">falls "Nichtanerkennung/Moratorium" anwendbar ist, einfügen: </w:t>
            </w:r>
            <w:r w:rsidRPr="00746DD6">
              <w:rPr>
                <w:bCs/>
                <w:lang w:val="de-DE"/>
              </w:rPr>
              <w:t>bzw. Mitteilung über die Verlängerung im Fall einer Nichtanerkennung / eines Moratoriums</w:t>
            </w:r>
            <w:r w:rsidRPr="00792D61">
              <w:rPr>
                <w:b/>
                <w:bCs/>
                <w:lang w:val="de-DE"/>
              </w:rPr>
              <w:t>]</w:t>
            </w:r>
            <w:r w:rsidRPr="00746DD6">
              <w:rPr>
                <w:bCs/>
                <w:lang w:val="de-DE"/>
              </w:rPr>
              <w:t xml:space="preserve"> auch als Mitteilung über Öffentlich Verfügbare Informationen.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46DD6" w:rsidP="008516B7">
            <w:pPr>
              <w:pStyle w:val="CSBody8pt"/>
            </w:pPr>
            <w:r w:rsidRPr="00746DD6">
              <w:t>Obligation</w:t>
            </w:r>
            <w:r>
              <w:fldChar w:fldCharType="begin"/>
            </w:r>
            <w:r>
              <w:instrText xml:space="preserve"> XE "</w:instrText>
            </w:r>
            <w:r w:rsidRPr="00A60852">
              <w:instrText>Obligation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3868EC" w:rsidP="004C1EBA">
            <w:pPr>
              <w:pStyle w:val="CSBody8pt"/>
              <w:rPr>
                <w:b/>
              </w:rPr>
            </w:pPr>
            <w:r w:rsidRPr="00792D61">
              <w:rPr>
                <w:b/>
              </w:rPr>
              <w:t>[</w:t>
            </w:r>
            <w:r w:rsidRPr="00746DD6">
              <w:t>(a)</w:t>
            </w:r>
            <w:r w:rsidRPr="00792D61">
              <w:rPr>
                <w:b/>
              </w:rPr>
              <w:t>]</w:t>
            </w:r>
            <w:r w:rsidRPr="00746DD6">
              <w:t xml:space="preserve"> each obligation of the Reference Entity (either directly or as a provider of a Relevant Guarantee) described by the Obligation Category specified in Section 1.1 </w:t>
            </w:r>
            <w:r w:rsidRPr="00792D61">
              <w:rPr>
                <w:b/>
              </w:rPr>
              <w:t>[</w:t>
            </w:r>
            <w:r w:rsidRPr="00746DD6">
              <w:rPr>
                <w:b/>
                <w:i/>
              </w:rPr>
              <w:t>insert if Obligation Characteristics are specified in Section 1.1:</w:t>
            </w:r>
            <w:r w:rsidRPr="00746DD6">
              <w:t xml:space="preserve"> and having each of the Obligation Characteristics specified in Section 1.1, in each case,</w:t>
            </w:r>
            <w:r w:rsidRPr="00792D61">
              <w:rPr>
                <w:b/>
              </w:rPr>
              <w:t>]</w:t>
            </w:r>
            <w:r w:rsidRPr="00746DD6">
              <w:t xml:space="preserve"> immediately prior to the Credit Event that is the subject of either the Credit Event Notice or the DC Credit Event Question resulting in the occurrence of the Credit Event Resolution Request Date, as applicable  </w:t>
            </w:r>
            <w:r w:rsidRPr="00792D61">
              <w:rPr>
                <w:b/>
              </w:rPr>
              <w:t>[</w:t>
            </w:r>
            <w:r w:rsidRPr="00746DD6">
              <w:rPr>
                <w:b/>
                <w:i/>
              </w:rPr>
              <w:t xml:space="preserve">insert if Reference Obligation shall be an Obligation: </w:t>
            </w:r>
            <w:r w:rsidRPr="00746DD6">
              <w:t xml:space="preserve">and (b) </w:t>
            </w:r>
            <w:r>
              <w:rPr>
                <w:b/>
              </w:rPr>
              <w:t>[</w:t>
            </w:r>
            <w:r w:rsidRPr="00746DD6">
              <w:t>the</w:t>
            </w:r>
            <w:r>
              <w:rPr>
                <w:b/>
              </w:rPr>
              <w:t>][</w:t>
            </w:r>
            <w:r>
              <w:t>each</w:t>
            </w:r>
            <w:r>
              <w:rPr>
                <w:b/>
              </w:rPr>
              <w:t>]</w:t>
            </w:r>
            <w:r w:rsidRPr="00746DD6">
              <w:t xml:space="preserve"> Reference Obligation</w:t>
            </w:r>
            <w:r>
              <w:rPr>
                <w:b/>
              </w:rPr>
              <w:t>]</w:t>
            </w:r>
            <w:r>
              <w:t xml:space="preserve"> </w:t>
            </w:r>
            <w:r>
              <w:rPr>
                <w:b/>
              </w:rPr>
              <w:t>[</w:t>
            </w:r>
            <w:r>
              <w:rPr>
                <w:b/>
                <w:i/>
              </w:rPr>
              <w:t xml:space="preserve">in case of Credit-Linked Complex Products with LPN Reference Obligation, insert: </w:t>
            </w:r>
            <w:r>
              <w:t xml:space="preserve"> </w:t>
            </w:r>
            <w:r w:rsidRPr="00284217">
              <w:t>, notwithstanding any provision to the contrary in these Terms and Conditions, and in particular, notwithstanding that such obligation is not an obligation of the Reference Entity.</w:t>
            </w:r>
            <w:r w:rsidRPr="00792D61">
              <w:rPr>
                <w:b/>
              </w:rPr>
              <w:t>]</w:t>
            </w:r>
            <w:r w:rsidRPr="00746DD6">
              <w:t xml:space="preserve"> </w:t>
            </w:r>
            <w:r w:rsidRPr="00792D61">
              <w:rPr>
                <w:b/>
              </w:rPr>
              <w:t>[</w:t>
            </w:r>
            <w:r w:rsidRPr="00746DD6">
              <w:rPr>
                <w:b/>
                <w:i/>
              </w:rPr>
              <w:t xml:space="preserve">insert in the case of Excluded Obligations: </w:t>
            </w:r>
            <w:r w:rsidRPr="00746DD6">
              <w:t>, in each case, unless it is an Excluded Obligation)</w:t>
            </w:r>
            <w:r w:rsidRPr="00792D61">
              <w:rPr>
                <w:b/>
              </w:rPr>
              <w:t>]</w:t>
            </w:r>
            <w:r w:rsidRPr="00746DD6">
              <w:t>.</w:t>
            </w:r>
            <w:r>
              <w:rPr>
                <w:b/>
              </w:rPr>
              <w:t>]</w:t>
            </w:r>
          </w:p>
        </w:tc>
        <w:tc>
          <w:tcPr>
            <w:tcW w:w="1618" w:type="dxa"/>
            <w:gridSpan w:val="2"/>
            <w:tcBorders>
              <w:top w:val="nil"/>
              <w:bottom w:val="nil"/>
              <w:right w:val="nil"/>
            </w:tcBorders>
            <w:shd w:val="clear" w:color="auto" w:fill="auto"/>
          </w:tcPr>
          <w:p w:rsidR="0017135D" w:rsidRPr="00746DD6" w:rsidP="008516B7">
            <w:pPr>
              <w:pStyle w:val="CSBody8pt"/>
            </w:pPr>
            <w:r w:rsidRPr="00746DD6">
              <w:t>Verbindlichkeit</w:t>
            </w:r>
            <w:r>
              <w:fldChar w:fldCharType="begin"/>
            </w:r>
            <w:r>
              <w:instrText xml:space="preserve"> XE "</w:instrText>
            </w:r>
            <w:r w:rsidRPr="008B541D">
              <w:instrText>Verbindlichkeit</w:instrText>
            </w:r>
            <w:r>
              <w:instrText xml:space="preserve">" </w:instrText>
            </w:r>
            <w:r>
              <w:fldChar w:fldCharType="end"/>
            </w:r>
          </w:p>
        </w:tc>
        <w:tc>
          <w:tcPr>
            <w:tcW w:w="3318" w:type="dxa"/>
            <w:tcBorders>
              <w:top w:val="nil"/>
              <w:left w:val="nil"/>
              <w:bottom w:val="nil"/>
              <w:right w:val="nil"/>
            </w:tcBorders>
            <w:shd w:val="clear" w:color="auto" w:fill="auto"/>
          </w:tcPr>
          <w:p w:rsidR="0017135D" w:rsidRPr="003868EC">
            <w:pPr>
              <w:pStyle w:val="CSBody8pt"/>
              <w:rPr>
                <w:b/>
                <w:bCs/>
                <w:lang w:val="de-DE"/>
              </w:rPr>
            </w:pPr>
            <w:r w:rsidRPr="00792D61">
              <w:rPr>
                <w:b/>
                <w:bCs/>
                <w:lang w:val="de-DE"/>
              </w:rPr>
              <w:t>[</w:t>
            </w:r>
            <w:r w:rsidRPr="00746DD6">
              <w:rPr>
                <w:bCs/>
                <w:lang w:val="de-DE"/>
              </w:rPr>
              <w:t>(a)</w:t>
            </w:r>
            <w:r w:rsidRPr="00792D61">
              <w:rPr>
                <w:b/>
                <w:bCs/>
                <w:lang w:val="de-DE"/>
              </w:rPr>
              <w:t>]</w:t>
            </w:r>
            <w:r w:rsidRPr="00746DD6">
              <w:rPr>
                <w:bCs/>
                <w:lang w:val="de-DE"/>
              </w:rPr>
              <w:t xml:space="preserve"> jede Verbindlichkeit des Referenzschuldners (die dieser entweder unmittelbar oder als Geber einer Massgeblichen Garantie schuldet), die durch die in Ziffer 1.1 angegebene Verbindlichkeitenkategorie beschrieben ist </w:t>
            </w:r>
            <w:r w:rsidRPr="00792D61">
              <w:rPr>
                <w:b/>
                <w:bCs/>
                <w:lang w:val="de-DE"/>
              </w:rPr>
              <w:t>[</w:t>
            </w:r>
            <w:r w:rsidRPr="00746DD6">
              <w:rPr>
                <w:b/>
                <w:bCs/>
                <w:i/>
                <w:lang w:val="de-DE"/>
              </w:rPr>
              <w:t xml:space="preserve">falls in Ziffer 1.1 Verbindlichkeitenmerkmale angegeben sind, einfügen: </w:t>
            </w:r>
            <w:r w:rsidRPr="00746DD6">
              <w:rPr>
                <w:bCs/>
                <w:lang w:val="de-DE"/>
              </w:rPr>
              <w:t>und alle in Ziffer 1.1 angegebenen Verbindlichkeitenmerkmale aufweist, und zwar jeweils</w:t>
            </w:r>
            <w:r w:rsidRPr="00792D61">
              <w:rPr>
                <w:b/>
                <w:bCs/>
                <w:lang w:val="de-DE"/>
              </w:rPr>
              <w:t>]</w:t>
            </w:r>
            <w:r w:rsidRPr="00746DD6">
              <w:rPr>
                <w:bCs/>
                <w:lang w:val="de-DE"/>
              </w:rPr>
              <w:t xml:space="preserve"> unmittelbar vor dem Kreditereignis, das Gegenstand der Kreditereignismitteilung bzw. des Kreditereignisbeschluss-Antrags ist, die bzw. der den Eintritt des Kreditereignisbeschluss-Antragsdatums bewirkt hat </w:t>
            </w:r>
            <w:r w:rsidRPr="00792D61">
              <w:rPr>
                <w:b/>
                <w:bCs/>
                <w:lang w:val="de-DE"/>
              </w:rPr>
              <w:t>[</w:t>
            </w:r>
            <w:r w:rsidRPr="00746DD6">
              <w:rPr>
                <w:b/>
                <w:bCs/>
                <w:i/>
                <w:lang w:val="de-DE"/>
              </w:rPr>
              <w:t xml:space="preserve">einfügen, falls Referenzverbindlichkeit eine Verbindlichkeit sein soll: </w:t>
            </w:r>
            <w:r w:rsidRPr="007959D9">
              <w:rPr>
                <w:bCs/>
                <w:lang w:val="de-DE"/>
              </w:rPr>
              <w:t xml:space="preserve">und (b) </w:t>
            </w:r>
            <w:r>
              <w:rPr>
                <w:b/>
                <w:bCs/>
                <w:lang w:val="de-DE"/>
              </w:rPr>
              <w:t>[</w:t>
            </w:r>
            <w:r w:rsidRPr="007959D9">
              <w:rPr>
                <w:bCs/>
                <w:lang w:val="de-DE"/>
              </w:rPr>
              <w:t>die</w:t>
            </w:r>
            <w:r>
              <w:rPr>
                <w:b/>
                <w:bCs/>
                <w:lang w:val="de-DE"/>
              </w:rPr>
              <w:t>][</w:t>
            </w:r>
            <w:r>
              <w:rPr>
                <w:bCs/>
                <w:lang w:val="de-DE"/>
              </w:rPr>
              <w:t>jede</w:t>
            </w:r>
            <w:r>
              <w:rPr>
                <w:b/>
                <w:bCs/>
                <w:lang w:val="de-DE"/>
              </w:rPr>
              <w:t>]</w:t>
            </w:r>
            <w:r w:rsidRPr="007959D9">
              <w:rPr>
                <w:bCs/>
                <w:lang w:val="de-DE"/>
              </w:rPr>
              <w:t xml:space="preserve"> Referenzverbindlichkeit</w:t>
            </w:r>
            <w:r>
              <w:rPr>
                <w:b/>
                <w:bCs/>
                <w:lang w:val="de-DE"/>
              </w:rPr>
              <w:t>]</w:t>
            </w:r>
            <w:r w:rsidRPr="009D08E0">
              <w:rPr>
                <w:lang w:val="de-DE"/>
              </w:rPr>
              <w:t xml:space="preserve"> </w:t>
            </w:r>
            <w:r w:rsidRPr="009D08E0">
              <w:rPr>
                <w:b/>
                <w:lang w:val="de-DE"/>
              </w:rPr>
              <w:t>[</w:t>
            </w:r>
            <w:r w:rsidRPr="009D08E0">
              <w:rPr>
                <w:b/>
                <w:i/>
                <w:lang w:val="de-DE"/>
              </w:rPr>
              <w:t xml:space="preserve">bei Kreditbezogenen Komplexen Produkten mit LPN-Referenzverbindlichkeit einfügen: </w:t>
            </w:r>
            <w:r w:rsidRPr="00284217">
              <w:rPr>
                <w:bCs/>
                <w:lang w:val="de-DE"/>
              </w:rPr>
              <w:t>, ungeachtet jeglicher gegenteiliger Bestimmungen in diesen Emissionsbedingungen und insbesondere ungeachtet, dass eine solche Verbindlichkeit nicht eine Verbindlichkeit des Referenzschuldners ist.</w:t>
            </w:r>
            <w:r w:rsidRPr="00792D61">
              <w:rPr>
                <w:b/>
                <w:bCs/>
                <w:lang w:val="de-DE"/>
              </w:rPr>
              <w:t>]</w:t>
            </w:r>
            <w:r w:rsidRPr="00792D61">
              <w:rPr>
                <w:b/>
                <w:bCs/>
                <w:i/>
                <w:lang w:val="de-DE"/>
              </w:rPr>
              <w:t>[</w:t>
            </w:r>
            <w:r w:rsidRPr="00746DD6">
              <w:rPr>
                <w:b/>
                <w:bCs/>
                <w:i/>
                <w:lang w:val="de-DE"/>
              </w:rPr>
              <w:t xml:space="preserve">bei Ausgenommenen Verbindlichkeiten einfügen:, </w:t>
            </w:r>
            <w:r w:rsidR="00D80FFE">
              <w:rPr>
                <w:bCs/>
                <w:lang w:val="de-DE"/>
              </w:rPr>
              <w:t>j</w:t>
            </w:r>
            <w:r w:rsidRPr="00746DD6" w:rsidR="00D80FFE">
              <w:rPr>
                <w:bCs/>
                <w:lang w:val="de-DE"/>
              </w:rPr>
              <w:t xml:space="preserve">eweils </w:t>
            </w:r>
            <w:r w:rsidRPr="00746DD6">
              <w:rPr>
                <w:bCs/>
                <w:lang w:val="de-DE"/>
              </w:rPr>
              <w:t>ausser soweit es sich dabei um eine Ausgenommene Verbindlichkeit handelt</w:t>
            </w:r>
            <w:r w:rsidRPr="00792D61">
              <w:rPr>
                <w:b/>
                <w:bCs/>
                <w:lang w:val="de-DE"/>
              </w:rPr>
              <w:t>]</w:t>
            </w:r>
            <w:r w:rsidRPr="00746DD6">
              <w:rPr>
                <w:bCs/>
                <w:lang w:val="de-DE"/>
              </w:rPr>
              <w:t>.</w:t>
            </w:r>
            <w:r>
              <w:rPr>
                <w:b/>
                <w:bCs/>
                <w:lang w:val="de-DE"/>
              </w:rPr>
              <w:t>]</w:t>
            </w:r>
          </w:p>
        </w:tc>
      </w:tr>
      <w:tr w:rsidTr="00BD6E0D">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EA3D38" w:rsidP="008516B7">
            <w:pPr>
              <w:pStyle w:val="CSBody8ptbolditalics"/>
            </w:pPr>
            <w:r w:rsidRPr="00792D61">
              <w:t>[</w:t>
            </w:r>
            <w:r w:rsidRPr="00EA3D38">
              <w:t>if Obligation Acceleration is a Credit Event, insert:</w:t>
            </w:r>
          </w:p>
          <w:p w:rsidR="0017135D" w:rsidRPr="00EA3D38" w:rsidP="008516B7">
            <w:pPr>
              <w:pStyle w:val="CSBody8pt"/>
            </w:pPr>
            <w:r w:rsidRPr="007959D9">
              <w:rPr>
                <w:lang w:val="de-DE"/>
              </w:rPr>
              <w:t>Obligation Acceleration</w:t>
            </w:r>
            <w:r>
              <w:rPr>
                <w:lang w:val="de-DE"/>
              </w:rPr>
              <w:fldChar w:fldCharType="begin"/>
            </w:r>
            <w:r>
              <w:instrText xml:space="preserve"> XE "</w:instrText>
            </w:r>
            <w:r w:rsidRPr="00E34F94">
              <w:rPr>
                <w:lang w:val="de-DE"/>
              </w:rPr>
              <w:instrText>Obligation Acceleration</w:instrText>
            </w:r>
            <w:r>
              <w:instrText xml:space="preserve">" \f "EN" </w:instrText>
            </w:r>
            <w:r>
              <w:rPr>
                <w:lang w:val="de-DE"/>
              </w:rPr>
              <w:fldChar w:fldCharType="end"/>
            </w:r>
          </w:p>
        </w:tc>
        <w:tc>
          <w:tcPr>
            <w:tcW w:w="3315" w:type="dxa"/>
            <w:gridSpan w:val="2"/>
            <w:tcBorders>
              <w:top w:val="nil"/>
              <w:left w:val="nil"/>
            </w:tcBorders>
            <w:shd w:val="clear" w:color="auto" w:fill="auto"/>
          </w:tcPr>
          <w:p w:rsidR="0017135D" w:rsidRPr="00EA3D38" w:rsidP="008516B7">
            <w:pPr>
              <w:pStyle w:val="CSBody8pt"/>
            </w:pPr>
            <w:r w:rsidRPr="00EA3D38">
              <w:t>has the meaning assigned to such term in subsection C.5 of Section 1.1.</w:t>
            </w:r>
            <w:r w:rsidRPr="00792D61">
              <w:rPr>
                <w:b/>
              </w:rPr>
              <w:t>]</w:t>
            </w:r>
          </w:p>
        </w:tc>
        <w:tc>
          <w:tcPr>
            <w:tcW w:w="1618" w:type="dxa"/>
            <w:gridSpan w:val="2"/>
            <w:tcBorders>
              <w:top w:val="nil"/>
              <w:right w:val="nil"/>
            </w:tcBorders>
            <w:shd w:val="clear" w:color="auto" w:fill="auto"/>
          </w:tcPr>
          <w:p w:rsidR="0017135D" w:rsidRPr="00A55237" w:rsidP="00E1779D">
            <w:pPr>
              <w:pStyle w:val="CSBody8ptbolditalics"/>
              <w:rPr>
                <w:lang w:val="de-DE"/>
              </w:rPr>
            </w:pPr>
            <w:r w:rsidRPr="00792D61">
              <w:rPr>
                <w:lang w:val="de-DE"/>
              </w:rPr>
              <w:t>[</w:t>
            </w:r>
            <w:r w:rsidRPr="00EA3D38">
              <w:rPr>
                <w:lang w:val="de-DE"/>
              </w:rPr>
              <w:t>falls Vorfälligkeit einer Verbindlichkeit ein Kreditereignis ist, einfügen:</w:t>
            </w:r>
          </w:p>
          <w:p w:rsidR="0017135D" w:rsidRPr="00A55237" w:rsidP="008516B7">
            <w:pPr>
              <w:pStyle w:val="CSBody8pt"/>
              <w:rPr>
                <w:lang w:val="de-DE"/>
              </w:rPr>
            </w:pPr>
            <w:r w:rsidRPr="007959D9">
              <w:rPr>
                <w:lang w:val="de-DE"/>
              </w:rPr>
              <w:t>Vorfälligkeit einer Verbindlichkeit</w:t>
            </w:r>
            <w:r>
              <w:rPr>
                <w:lang w:val="de-DE"/>
              </w:rPr>
              <w:fldChar w:fldCharType="begin"/>
            </w:r>
            <w:r>
              <w:instrText xml:space="preserve"> XE "</w:instrText>
            </w:r>
            <w:r w:rsidRPr="001064D6">
              <w:rPr>
                <w:lang w:val="de-DE"/>
              </w:rPr>
              <w:instrText>Vorfälligkeit einer Verbindlichkeit</w:instrText>
            </w:r>
            <w:r>
              <w:instrText xml:space="preserve">" </w:instrText>
            </w:r>
            <w:r>
              <w:rPr>
                <w:lang w:val="de-DE"/>
              </w:rPr>
              <w:fldChar w:fldCharType="end"/>
            </w:r>
          </w:p>
        </w:tc>
        <w:tc>
          <w:tcPr>
            <w:tcW w:w="3318" w:type="dxa"/>
            <w:tcBorders>
              <w:top w:val="nil"/>
              <w:left w:val="nil"/>
              <w:right w:val="nil"/>
            </w:tcBorders>
            <w:shd w:val="clear" w:color="auto" w:fill="auto"/>
          </w:tcPr>
          <w:p w:rsidR="0017135D" w:rsidRPr="00A55237" w:rsidP="008516B7">
            <w:pPr>
              <w:pStyle w:val="CSBody8pt"/>
              <w:rPr>
                <w:bCs/>
                <w:lang w:val="de-DE"/>
              </w:rPr>
            </w:pPr>
            <w:r w:rsidRPr="00EA3D38">
              <w:rPr>
                <w:bCs/>
                <w:lang w:val="de-DE"/>
              </w:rPr>
              <w:t>hat die diesem Begriff in Unterabschnitt C.5 von Ziffer 1.1. zugewiesene Bedeutung.</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6516F" w:rsidP="008516B7">
            <w:pPr>
              <w:pStyle w:val="CSBody8pt"/>
            </w:pPr>
            <w:r w:rsidRPr="0066516F">
              <w:t>Obligation Category</w:t>
            </w:r>
            <w:r>
              <w:fldChar w:fldCharType="begin"/>
            </w:r>
            <w:r>
              <w:instrText xml:space="preserve"> XE "</w:instrText>
            </w:r>
            <w:r w:rsidRPr="003E4C56">
              <w:instrText>Obligation Category</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9B4C56" w:rsidP="008516B7">
            <w:pPr>
              <w:pStyle w:val="CSBody8pt"/>
            </w:pPr>
            <w:r w:rsidRPr="009B4C56">
              <w:t>has the meaning assigned to such term in subsection C.5 of Section 1.1.</w:t>
            </w:r>
          </w:p>
        </w:tc>
        <w:tc>
          <w:tcPr>
            <w:tcW w:w="1618" w:type="dxa"/>
            <w:gridSpan w:val="2"/>
            <w:tcBorders>
              <w:top w:val="nil"/>
              <w:bottom w:val="nil"/>
              <w:right w:val="nil"/>
            </w:tcBorders>
            <w:shd w:val="clear" w:color="auto" w:fill="auto"/>
          </w:tcPr>
          <w:p w:rsidR="0017135D" w:rsidRPr="00734C51" w:rsidP="00E1779D">
            <w:pPr>
              <w:pStyle w:val="CSBody8pt"/>
            </w:pPr>
            <w:r w:rsidRPr="00734C51">
              <w:t>Verbindlichkeitenkategorie</w:t>
            </w:r>
            <w:r>
              <w:fldChar w:fldCharType="begin"/>
            </w:r>
            <w:r>
              <w:instrText xml:space="preserve"> XE "</w:instrText>
            </w:r>
            <w:r w:rsidRPr="00AB3B68">
              <w:instrText>Verbindlichkeitenkategorie</w:instrText>
            </w:r>
            <w:r>
              <w:instrText xml:space="preserve">" </w:instrText>
            </w:r>
            <w:r>
              <w:fldChar w:fldCharType="end"/>
            </w:r>
          </w:p>
        </w:tc>
        <w:tc>
          <w:tcPr>
            <w:tcW w:w="3318" w:type="dxa"/>
            <w:tcBorders>
              <w:top w:val="nil"/>
              <w:left w:val="nil"/>
              <w:bottom w:val="nil"/>
              <w:right w:val="nil"/>
            </w:tcBorders>
            <w:shd w:val="clear" w:color="auto" w:fill="auto"/>
          </w:tcPr>
          <w:p w:rsidR="0017135D" w:rsidRPr="00EA3D38" w:rsidP="008516B7">
            <w:pPr>
              <w:pStyle w:val="CSBody8pt"/>
              <w:rPr>
                <w:lang w:val="de-DE"/>
              </w:rPr>
            </w:pPr>
            <w:r w:rsidRPr="00EA3D38">
              <w:rPr>
                <w:lang w:val="de-DE"/>
              </w:rPr>
              <w:t>hat die diesem Begriff in Unterabschnitt C.5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pPr>
            <w:r w:rsidRPr="00B33AB2">
              <w:t>Obligation Characteristics</w:t>
            </w:r>
            <w:r>
              <w:fldChar w:fldCharType="begin"/>
            </w:r>
            <w:r>
              <w:instrText xml:space="preserve"> XE "</w:instrText>
            </w:r>
            <w:r w:rsidRPr="00E51DCB">
              <w:instrText>Obligation Characteristics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B33AB2">
              <w:t>has the meaning assigned to such term in subsection C.5 of Section 1.1.</w:t>
            </w:r>
          </w:p>
        </w:tc>
        <w:tc>
          <w:tcPr>
            <w:tcW w:w="1618" w:type="dxa"/>
            <w:gridSpan w:val="2"/>
            <w:tcBorders>
              <w:top w:val="nil"/>
              <w:bottom w:val="nil"/>
              <w:right w:val="nil"/>
            </w:tcBorders>
            <w:shd w:val="clear" w:color="auto" w:fill="auto"/>
          </w:tcPr>
          <w:p w:rsidR="0017135D" w:rsidRPr="00B33AB2" w:rsidP="00E1779D">
            <w:pPr>
              <w:pStyle w:val="CSBody8pt"/>
            </w:pPr>
            <w:r w:rsidRPr="00B33AB2">
              <w:t>Verbindlichkeitenmerkmale</w:t>
            </w:r>
            <w:r>
              <w:fldChar w:fldCharType="begin"/>
            </w:r>
            <w:r>
              <w:instrText xml:space="preserve"> XE "</w:instrText>
            </w:r>
            <w:r w:rsidRPr="007F76DF">
              <w:instrText>Verbindlichkeitenmerkmale</w:instrText>
            </w:r>
            <w:r>
              <w:instrText xml:space="preserve">" </w:instrText>
            </w:r>
            <w:r>
              <w:fldChar w:fldCharType="end"/>
            </w:r>
          </w:p>
        </w:tc>
        <w:tc>
          <w:tcPr>
            <w:tcW w:w="3318" w:type="dxa"/>
            <w:tcBorders>
              <w:top w:val="nil"/>
              <w:left w:val="nil"/>
              <w:bottom w:val="nil"/>
              <w:right w:val="nil"/>
            </w:tcBorders>
            <w:shd w:val="clear" w:color="auto" w:fill="auto"/>
          </w:tcPr>
          <w:p w:rsidR="0017135D" w:rsidRPr="00B33AB2" w:rsidP="008516B7">
            <w:pPr>
              <w:pStyle w:val="CSBody8pt"/>
              <w:rPr>
                <w:lang w:val="de-DE"/>
              </w:rPr>
            </w:pPr>
            <w:r w:rsidRPr="00B33AB2">
              <w:rPr>
                <w:lang w:val="de-DE"/>
              </w:rPr>
              <w:t>hat die diesem Begriff in Unterabschnitt C.5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rPr>
                <w:lang w:val="de-DE"/>
              </w:rPr>
            </w:pPr>
            <w:r w:rsidRPr="00B33AB2">
              <w:rPr>
                <w:lang w:val="de-DE"/>
              </w:rPr>
              <w:t>Obligation Currency</w:t>
            </w:r>
            <w:r>
              <w:rPr>
                <w:lang w:val="de-DE"/>
              </w:rPr>
              <w:fldChar w:fldCharType="begin"/>
            </w:r>
            <w:r>
              <w:instrText xml:space="preserve"> XE "</w:instrText>
            </w:r>
            <w:r w:rsidRPr="00F930DA">
              <w:rPr>
                <w:lang w:val="de-DE"/>
              </w:rPr>
              <w:instrText>Obligation Currency</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B33AB2">
              <w:t>the currency or currencies in which an Obligation is denominated.</w:t>
            </w:r>
          </w:p>
        </w:tc>
        <w:tc>
          <w:tcPr>
            <w:tcW w:w="1618" w:type="dxa"/>
            <w:gridSpan w:val="2"/>
            <w:tcBorders>
              <w:top w:val="nil"/>
              <w:bottom w:val="nil"/>
              <w:right w:val="nil"/>
            </w:tcBorders>
            <w:shd w:val="clear" w:color="auto" w:fill="auto"/>
          </w:tcPr>
          <w:p w:rsidR="0017135D" w:rsidRPr="00B33AB2" w:rsidP="00E1779D">
            <w:pPr>
              <w:pStyle w:val="CSBody8pt"/>
            </w:pPr>
            <w:r w:rsidRPr="00B33AB2">
              <w:t>Verbindlichkeitenwährung</w:t>
            </w:r>
            <w:r>
              <w:fldChar w:fldCharType="begin"/>
            </w:r>
            <w:r>
              <w:instrText xml:space="preserve"> XE "</w:instrText>
            </w:r>
            <w:r w:rsidRPr="004F3A8C">
              <w:instrText>Verbindlichkeitenwährung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EA3D38" w:rsidP="008516B7">
            <w:pPr>
              <w:pStyle w:val="CSBody8pt"/>
              <w:rPr>
                <w:bCs/>
                <w:lang w:val="de-DE"/>
              </w:rPr>
            </w:pPr>
            <w:r w:rsidRPr="00B33AB2">
              <w:rPr>
                <w:bCs/>
                <w:lang w:val="de-DE"/>
              </w:rPr>
              <w:t>die Währung(en), auf die eine Verbindlichkeit lautet.</w:t>
            </w:r>
          </w:p>
        </w:tc>
      </w:tr>
      <w:tr w:rsidTr="004C1EBA">
        <w:tblPrEx>
          <w:tblW w:w="4999" w:type="pct"/>
          <w:tblLayout w:type="fixed"/>
          <w:tblCellMar>
            <w:left w:w="115" w:type="dxa"/>
            <w:right w:w="115" w:type="dxa"/>
          </w:tblCellMar>
          <w:tblLook w:val="04A0"/>
        </w:tblPrEx>
        <w:trPr>
          <w:trHeight w:val="1443"/>
        </w:trPr>
        <w:tc>
          <w:tcPr>
            <w:tcW w:w="1616" w:type="dxa"/>
            <w:gridSpan w:val="3"/>
            <w:tcBorders>
              <w:top w:val="nil"/>
              <w:left w:val="nil"/>
              <w:right w:val="nil"/>
            </w:tcBorders>
            <w:shd w:val="clear" w:color="auto" w:fill="auto"/>
          </w:tcPr>
          <w:p w:rsidR="0017135D" w:rsidRPr="00EA3D38" w:rsidP="008516B7">
            <w:pPr>
              <w:pStyle w:val="CSBody8ptbolditalics"/>
            </w:pPr>
            <w:r w:rsidRPr="00792D61">
              <w:t>[</w:t>
            </w:r>
            <w:r w:rsidRPr="00EA3D38">
              <w:t>if Quotation Method is "Offer", insert:</w:t>
            </w:r>
          </w:p>
          <w:p w:rsidR="0017135D" w:rsidRPr="00EA3D38" w:rsidP="008516B7">
            <w:pPr>
              <w:pStyle w:val="CSBody8pt"/>
            </w:pPr>
            <w:r w:rsidRPr="00B33AB2">
              <w:t>Offer</w:t>
            </w:r>
            <w:r>
              <w:fldChar w:fldCharType="begin"/>
            </w:r>
            <w:r>
              <w:instrText xml:space="preserve"> XE "</w:instrText>
            </w:r>
            <w:r w:rsidRPr="00707428">
              <w:instrText>Offer</w:instrText>
            </w:r>
            <w:r>
              <w:instrText xml:space="preserve">" \f "EN" </w:instrText>
            </w:r>
            <w:r>
              <w:fldChar w:fldCharType="end"/>
            </w:r>
          </w:p>
        </w:tc>
        <w:tc>
          <w:tcPr>
            <w:tcW w:w="3315" w:type="dxa"/>
            <w:gridSpan w:val="2"/>
            <w:tcBorders>
              <w:top w:val="nil"/>
              <w:left w:val="nil"/>
            </w:tcBorders>
            <w:shd w:val="clear" w:color="auto" w:fill="auto"/>
          </w:tcPr>
          <w:p w:rsidR="0017135D" w:rsidRPr="00EA3D38" w:rsidP="008516B7">
            <w:pPr>
              <w:pStyle w:val="CSBody8pt"/>
            </w:pPr>
            <w:r w:rsidRPr="00EA3D38">
              <w:t>"Offer" means that only offer quotations shall be requested from Dealers.</w:t>
            </w:r>
            <w:r w:rsidRPr="00792D61">
              <w:rPr>
                <w:b/>
              </w:rPr>
              <w:t>]</w:t>
            </w:r>
          </w:p>
        </w:tc>
        <w:tc>
          <w:tcPr>
            <w:tcW w:w="1618" w:type="dxa"/>
            <w:gridSpan w:val="2"/>
            <w:tcBorders>
              <w:top w:val="nil"/>
              <w:right w:val="nil"/>
            </w:tcBorders>
            <w:shd w:val="clear" w:color="auto" w:fill="auto"/>
          </w:tcPr>
          <w:p w:rsidR="0017135D" w:rsidRPr="00EA3D38" w:rsidP="00E1779D">
            <w:pPr>
              <w:pStyle w:val="CSBody8ptbolditalics"/>
              <w:rPr>
                <w:lang w:val="de-DE"/>
              </w:rPr>
            </w:pPr>
            <w:r w:rsidRPr="00792D61">
              <w:rPr>
                <w:lang w:val="de-DE"/>
              </w:rPr>
              <w:t>[</w:t>
            </w:r>
            <w:r w:rsidRPr="00EA3D38">
              <w:rPr>
                <w:lang w:val="de-DE"/>
              </w:rPr>
              <w:t>falls die Quotierungsmethode "Brief" ist, einfügen:</w:t>
            </w:r>
          </w:p>
          <w:p w:rsidR="0017135D" w:rsidRPr="00EA3D38" w:rsidP="008516B7">
            <w:pPr>
              <w:pStyle w:val="CSBody8pt"/>
              <w:rPr>
                <w:lang w:val="de-DE"/>
              </w:rPr>
            </w:pPr>
            <w:r w:rsidRPr="00B33AB2">
              <w:t>Brief</w:t>
            </w:r>
            <w:r>
              <w:fldChar w:fldCharType="begin"/>
            </w:r>
            <w:r>
              <w:instrText xml:space="preserve"> XE "</w:instrText>
            </w:r>
            <w:r w:rsidRPr="00E9702E">
              <w:instrText>Brief</w:instrText>
            </w:r>
            <w:r>
              <w:instrText xml:space="preserve">" </w:instrText>
            </w:r>
            <w:r>
              <w:fldChar w:fldCharType="end"/>
            </w:r>
          </w:p>
        </w:tc>
        <w:tc>
          <w:tcPr>
            <w:tcW w:w="3318" w:type="dxa"/>
            <w:tcBorders>
              <w:top w:val="nil"/>
              <w:left w:val="nil"/>
              <w:right w:val="nil"/>
            </w:tcBorders>
            <w:shd w:val="clear" w:color="auto" w:fill="auto"/>
          </w:tcPr>
          <w:p w:rsidR="0017135D" w:rsidRPr="00EA3D38">
            <w:pPr>
              <w:pStyle w:val="CSBody8pt"/>
              <w:rPr>
                <w:bCs/>
                <w:lang w:val="de-DE"/>
              </w:rPr>
            </w:pPr>
            <w:r w:rsidRPr="00EA3D38">
              <w:rPr>
                <w:bCs/>
                <w:lang w:val="de-DE"/>
              </w:rPr>
              <w:t>"Brief" bedeutet, dass nur Briefkursquotierungen von Händlern eingeholt werden.</w:t>
            </w:r>
            <w:r w:rsidRPr="00792D61">
              <w:rPr>
                <w:b/>
                <w:bCs/>
                <w:lang w:val="de-DE"/>
              </w:rPr>
              <w:t>]</w:t>
            </w:r>
          </w:p>
        </w:tc>
      </w:tr>
      <w:tr w:rsidTr="004C1EBA">
        <w:tblPrEx>
          <w:tblW w:w="4999" w:type="pct"/>
          <w:tblLayout w:type="fixed"/>
          <w:tblCellMar>
            <w:left w:w="115" w:type="dxa"/>
            <w:right w:w="115" w:type="dxa"/>
          </w:tblCellMar>
          <w:tblLook w:val="04A0"/>
        </w:tblPrEx>
        <w:trPr>
          <w:trHeight w:val="3556"/>
        </w:trPr>
        <w:tc>
          <w:tcPr>
            <w:tcW w:w="1616" w:type="dxa"/>
            <w:gridSpan w:val="3"/>
            <w:tcBorders>
              <w:top w:val="nil"/>
              <w:left w:val="nil"/>
              <w:right w:val="nil"/>
            </w:tcBorders>
            <w:shd w:val="clear" w:color="auto" w:fill="auto"/>
          </w:tcPr>
          <w:p w:rsidR="0017135D" w:rsidRPr="00EA3D38" w:rsidP="008516B7">
            <w:pPr>
              <w:pStyle w:val="CSBody8ptbolditalics"/>
            </w:pPr>
            <w:r w:rsidRPr="00792D61">
              <w:t>[</w:t>
            </w:r>
            <w:r w:rsidRPr="00EA3D38">
              <w:t>if a Non-Standard Reference Obligation is specified in Section 1.1., insert:</w:t>
            </w:r>
          </w:p>
          <w:p w:rsidR="0017135D" w:rsidRPr="00EA3D38" w:rsidP="008516B7">
            <w:pPr>
              <w:pStyle w:val="CSBody8pt"/>
            </w:pPr>
            <w:r w:rsidRPr="00EA3D38">
              <w:t>Original Non-Standard Reference Obligation</w:t>
            </w:r>
            <w:r>
              <w:fldChar w:fldCharType="begin"/>
            </w:r>
            <w:r>
              <w:instrText xml:space="preserve"> XE "</w:instrText>
            </w:r>
            <w:r w:rsidRPr="000F26B6">
              <w:instrText>Original Non-Standard Reference Obligation</w:instrText>
            </w:r>
            <w:r>
              <w:instrText xml:space="preserve">" \f "EN" </w:instrText>
            </w:r>
            <w:r>
              <w:fldChar w:fldCharType="end"/>
            </w:r>
          </w:p>
        </w:tc>
        <w:tc>
          <w:tcPr>
            <w:tcW w:w="3315" w:type="dxa"/>
            <w:gridSpan w:val="2"/>
            <w:tcBorders>
              <w:top w:val="nil"/>
              <w:left w:val="nil"/>
            </w:tcBorders>
            <w:shd w:val="clear" w:color="auto" w:fill="auto"/>
          </w:tcPr>
          <w:p w:rsidR="0017135D" w:rsidRPr="00EA3D38" w:rsidP="008516B7">
            <w:pPr>
              <w:pStyle w:val="CSBody8pt"/>
            </w:pPr>
            <w:r w:rsidRPr="00EA3D38">
              <w:t>the obligation of the Reference Entity (either directly or as provider of a guarantee) which is specified as the Non-Standard Reference Obligation in Section 1.1. (if any is so specified) provided that if an obligation is not an obligation of the Reference Entity, such obligation will not constitute a valid Original Non-Standard Reference Obligation for purposes of the Complex Products (other than for the purposes of determining the Seniority Level and for the "Not Subordinated" Obligation Characteristic or "Not Subordinated" Valuation Obligation Characteristic) unless the Complex Products are Reference Obligation Only Complex Products.</w:t>
            </w:r>
            <w:r w:rsidRPr="00792D61">
              <w:rPr>
                <w:b/>
              </w:rPr>
              <w:t>]</w:t>
            </w:r>
          </w:p>
        </w:tc>
        <w:tc>
          <w:tcPr>
            <w:tcW w:w="1618" w:type="dxa"/>
            <w:gridSpan w:val="2"/>
            <w:tcBorders>
              <w:top w:val="nil"/>
              <w:right w:val="nil"/>
            </w:tcBorders>
            <w:shd w:val="clear" w:color="auto" w:fill="auto"/>
          </w:tcPr>
          <w:p w:rsidR="0017135D" w:rsidRPr="00EA3D38" w:rsidP="008516B7">
            <w:pPr>
              <w:pStyle w:val="CSBody8ptbolditalics"/>
              <w:rPr>
                <w:lang w:val="de-DE"/>
              </w:rPr>
            </w:pPr>
            <w:r w:rsidRPr="00792D61">
              <w:rPr>
                <w:lang w:val="de-DE"/>
              </w:rPr>
              <w:t>[</w:t>
            </w:r>
            <w:r w:rsidRPr="00EA3D38">
              <w:rPr>
                <w:lang w:val="de-DE"/>
              </w:rPr>
              <w:t>falls eine Nicht-Standard-Referenzverbindlichkeit in Ziffer 1.1. angegeben ist, einfügen:</w:t>
            </w:r>
          </w:p>
          <w:p w:rsidR="0017135D" w:rsidRPr="00EA3D38" w:rsidP="008516B7">
            <w:pPr>
              <w:pStyle w:val="CSBody8pt"/>
              <w:rPr>
                <w:lang w:val="de-DE"/>
              </w:rPr>
            </w:pPr>
            <w:r w:rsidRPr="00B33AB2">
              <w:t>Ursprüngliche Nicht-Standard-Referenzverbind</w:t>
            </w:r>
            <w:r w:rsidRPr="00B33AB2">
              <w:softHyphen/>
              <w:t>lichkeit</w:t>
            </w:r>
            <w:r>
              <w:fldChar w:fldCharType="begin"/>
            </w:r>
            <w:r>
              <w:instrText xml:space="preserve"> XE "</w:instrText>
            </w:r>
            <w:r w:rsidRPr="00B17B4C">
              <w:instrText>Ursprüngliche Nicht-Standard-Referenzverbind</w:instrText>
            </w:r>
            <w:r w:rsidRPr="00B17B4C">
              <w:softHyphen/>
              <w:instrText>lichkeit</w:instrText>
            </w:r>
            <w:r>
              <w:instrText xml:space="preserve">" </w:instrText>
            </w:r>
            <w:r>
              <w:fldChar w:fldCharType="end"/>
            </w:r>
          </w:p>
        </w:tc>
        <w:tc>
          <w:tcPr>
            <w:tcW w:w="3318" w:type="dxa"/>
            <w:tcBorders>
              <w:top w:val="nil"/>
              <w:left w:val="nil"/>
              <w:right w:val="nil"/>
            </w:tcBorders>
            <w:shd w:val="clear" w:color="auto" w:fill="auto"/>
          </w:tcPr>
          <w:p w:rsidR="0017135D" w:rsidRPr="00EA3D38" w:rsidP="008516B7">
            <w:pPr>
              <w:pStyle w:val="CSBody8pt"/>
              <w:rPr>
                <w:bCs/>
                <w:lang w:val="de-DE"/>
              </w:rPr>
            </w:pPr>
            <w:r w:rsidRPr="00EA3D38">
              <w:rPr>
                <w:bCs/>
                <w:lang w:val="de-DE"/>
              </w:rPr>
              <w:t>die Verbindlichkeit des Referenzschuldners (die dieser unmittelbar oder als Geber einer Garantie schuldet), die in Ziffer 1.1 gegebenenfalls als Nicht-Standard-Referenzverbindlichkeit angegeben ist, wobei eine solche Verbindlichkeit, sofern sie keine Verbindlichkeit des Referenzschuldners ist, keine gültige Ursprüngliche Nicht-Standard-Referenzverbindlichkeit für die Zwecke der Komplexen Produkte ist (sondern nur für die Bestimmung des Rangs und für die Zwecke des Verbindlichkeitenmerkmals "Nicht Nachrangig" bzw. des Merkmals der Bewertungsverbindlichkeit "Nicht Nachrangig"), es sei denn, die Komplexen Produkte sind Nur-Referenzverbindlichkeit-Komplexe-Produkte.</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pPr>
            <w:r w:rsidRPr="00B33AB2">
              <w:t>Outstanding Principal Balance</w:t>
            </w:r>
            <w:r>
              <w:fldChar w:fldCharType="begin"/>
            </w:r>
            <w:r>
              <w:instrText xml:space="preserve"> XE "</w:instrText>
            </w:r>
            <w:r w:rsidRPr="008D4079">
              <w:instrText>Outstanding Principal Balance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B33AB2">
              <w:t>in respect of a Valuation Obligation, the lower of the Non-Contingent Amount and the Quantum of the Claim.</w:t>
            </w:r>
          </w:p>
        </w:tc>
        <w:tc>
          <w:tcPr>
            <w:tcW w:w="1618" w:type="dxa"/>
            <w:gridSpan w:val="2"/>
            <w:tcBorders>
              <w:top w:val="nil"/>
              <w:bottom w:val="nil"/>
              <w:right w:val="nil"/>
            </w:tcBorders>
            <w:shd w:val="clear" w:color="auto" w:fill="auto"/>
          </w:tcPr>
          <w:p w:rsidR="0017135D" w:rsidRPr="00B33AB2" w:rsidP="004C1EBA">
            <w:pPr>
              <w:pStyle w:val="CSBody8pt"/>
            </w:pPr>
            <w:r w:rsidRPr="00B33AB2">
              <w:t xml:space="preserve">Ausstehender </w:t>
            </w:r>
            <w:r>
              <w:t>Kapitalbetrag</w:t>
            </w:r>
            <w:r>
              <w:fldChar w:fldCharType="begin"/>
            </w:r>
            <w:r>
              <w:instrText xml:space="preserve"> XE "</w:instrText>
            </w:r>
            <w:r w:rsidRPr="007F3691">
              <w:instrText xml:space="preserve">Ausstehender </w:instrText>
            </w:r>
            <w:r>
              <w:instrText xml:space="preserve">Kapitalbetrag" </w:instrText>
            </w:r>
            <w:r>
              <w:fldChar w:fldCharType="end"/>
            </w:r>
          </w:p>
        </w:tc>
        <w:tc>
          <w:tcPr>
            <w:tcW w:w="3318" w:type="dxa"/>
            <w:tcBorders>
              <w:top w:val="nil"/>
              <w:left w:val="nil"/>
              <w:bottom w:val="nil"/>
              <w:right w:val="nil"/>
            </w:tcBorders>
            <w:shd w:val="clear" w:color="auto" w:fill="auto"/>
          </w:tcPr>
          <w:p w:rsidR="0017135D" w:rsidRPr="00EA3D38" w:rsidP="008516B7">
            <w:pPr>
              <w:pStyle w:val="CSBody8pt"/>
              <w:rPr>
                <w:bCs/>
                <w:lang w:val="de-DE"/>
              </w:rPr>
            </w:pPr>
            <w:r w:rsidRPr="00B33AB2">
              <w:rPr>
                <w:bCs/>
                <w:lang w:val="de-DE"/>
              </w:rPr>
              <w:t>in Bezug auf eine Bewertungsverbindlichkeit der niedrigere der folgenden Beträge: der Nicht Bedingte Betrag und das Forderungsquantum.</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D08E0" w:rsidP="008516B7">
            <w:pPr>
              <w:pStyle w:val="CSBody8pt"/>
              <w:rPr>
                <w:lang w:val="de-DE"/>
              </w:rPr>
            </w:pPr>
          </w:p>
        </w:tc>
        <w:tc>
          <w:tcPr>
            <w:tcW w:w="3315" w:type="dxa"/>
            <w:gridSpan w:val="2"/>
            <w:tcBorders>
              <w:top w:val="nil"/>
              <w:left w:val="nil"/>
              <w:bottom w:val="nil"/>
            </w:tcBorders>
            <w:shd w:val="clear" w:color="auto" w:fill="auto"/>
          </w:tcPr>
          <w:p w:rsidR="0017135D" w:rsidRPr="00284217" w:rsidP="008516B7">
            <w:pPr>
              <w:pStyle w:val="CSBody8pt"/>
              <w:rPr>
                <w:b/>
              </w:rPr>
            </w:pPr>
            <w:r>
              <w:rPr>
                <w:b/>
              </w:rPr>
              <w:t>[</w:t>
            </w:r>
            <w:r>
              <w:rPr>
                <w:b/>
                <w:i/>
              </w:rPr>
              <w:t xml:space="preserve">in case of Credit-Linked Complex Products with LPN Reference Obligation, insert: </w:t>
            </w:r>
            <w:r w:rsidRPr="00284217">
              <w:t>With respect to any LPN Reference Obligation that specifies an Underlying Loan or an Underlying Finance Instrument, the Outstanding Principal Balance shall be determined by reference to the Underlying Loan or Underlying Finance Instrument (as applicable) relating to such LPN Reference Obligation.</w:t>
            </w:r>
            <w:r>
              <w:rPr>
                <w:b/>
              </w:rPr>
              <w:t>]</w:t>
            </w:r>
          </w:p>
        </w:tc>
        <w:tc>
          <w:tcPr>
            <w:tcW w:w="1618" w:type="dxa"/>
            <w:gridSpan w:val="2"/>
            <w:tcBorders>
              <w:top w:val="nil"/>
              <w:bottom w:val="nil"/>
              <w:right w:val="nil"/>
            </w:tcBorders>
            <w:shd w:val="clear" w:color="auto" w:fill="auto"/>
          </w:tcPr>
          <w:p w:rsidR="0017135D" w:rsidRPr="00B33AB2" w:rsidP="004C1EBA">
            <w:pPr>
              <w:pStyle w:val="CSBody8pt"/>
            </w:pPr>
          </w:p>
        </w:tc>
        <w:tc>
          <w:tcPr>
            <w:tcW w:w="3318" w:type="dxa"/>
            <w:tcBorders>
              <w:top w:val="nil"/>
              <w:left w:val="nil"/>
              <w:bottom w:val="nil"/>
              <w:right w:val="nil"/>
            </w:tcBorders>
            <w:shd w:val="clear" w:color="auto" w:fill="auto"/>
          </w:tcPr>
          <w:p w:rsidR="0017135D" w:rsidRPr="00284217" w:rsidP="008516B7">
            <w:pPr>
              <w:pStyle w:val="CSBody8pt"/>
              <w:rPr>
                <w:b/>
                <w:bCs/>
                <w:lang w:val="de-DE"/>
              </w:rPr>
            </w:pPr>
            <w:r>
              <w:rPr>
                <w:b/>
                <w:bCs/>
                <w:lang w:val="de-DE"/>
              </w:rPr>
              <w:t>[</w:t>
            </w:r>
            <w:r>
              <w:rPr>
                <w:b/>
                <w:bCs/>
                <w:i/>
                <w:lang w:val="de-DE"/>
              </w:rPr>
              <w:t xml:space="preserve">bei Kreditbezogenen Komplexen Produkten mit LPN-Referenzverbindlichkeit einfügen: </w:t>
            </w:r>
            <w:r w:rsidRPr="00284217">
              <w:rPr>
                <w:bCs/>
                <w:lang w:val="de-DE"/>
              </w:rPr>
              <w:t>In Bezug auf jede LPN Referenzverbindlichkeit, die ein Zugrundeliegendes Darlehen oder ein Zugrundelegendes Finanzinstrument referenziert, wird der Ausstehende Kapitalbetrag unter Bezugnahme auf das Zugrundeliegende Darlehen oder das Zugrundeliegende Finanzinstrument (je nachdem, was zutreffend ist) im Zusammenhang mit dieser LPN Referenzverbindlichkeit bestimmt.</w:t>
            </w:r>
            <w:r>
              <w:rPr>
                <w:b/>
                <w:bCs/>
                <w:lang w:val="de-DE"/>
              </w:rPr>
              <w:t>]</w:t>
            </w:r>
          </w:p>
        </w:tc>
      </w:tr>
      <w:tr w:rsidTr="00BD6E0D">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EA3D38" w:rsidP="008516B7">
            <w:pPr>
              <w:pStyle w:val="CSBody8ptbolditalics"/>
            </w:pPr>
            <w:r w:rsidRPr="00792D61">
              <w:t>[</w:t>
            </w:r>
            <w:r w:rsidRPr="00EA3D38">
              <w:t>if a Reference Entity is a Sovereign and Asset Package Valuation is applicable, insert:</w:t>
            </w:r>
          </w:p>
          <w:p w:rsidR="0017135D" w:rsidRPr="00EA3D38" w:rsidP="008516B7">
            <w:pPr>
              <w:pStyle w:val="CSBody8pt"/>
            </w:pPr>
            <w:r w:rsidRPr="00B33AB2">
              <w:t>Package Observable Bond</w:t>
            </w:r>
            <w:r>
              <w:fldChar w:fldCharType="begin"/>
            </w:r>
            <w:r>
              <w:instrText xml:space="preserve"> XE "</w:instrText>
            </w:r>
            <w:r w:rsidRPr="00911415">
              <w:instrText>Package Observable Bond</w:instrText>
            </w:r>
            <w:r>
              <w:instrText xml:space="preserve">" \f "EN" </w:instrText>
            </w:r>
            <w:r>
              <w:fldChar w:fldCharType="end"/>
            </w:r>
          </w:p>
        </w:tc>
        <w:tc>
          <w:tcPr>
            <w:tcW w:w="3315" w:type="dxa"/>
            <w:gridSpan w:val="2"/>
            <w:tcBorders>
              <w:top w:val="nil"/>
              <w:left w:val="nil"/>
            </w:tcBorders>
            <w:shd w:val="clear" w:color="auto" w:fill="auto"/>
          </w:tcPr>
          <w:p w:rsidR="0017135D" w:rsidRPr="00EA3D38" w:rsidP="008516B7">
            <w:pPr>
              <w:pStyle w:val="CSBody8pt"/>
            </w:pPr>
            <w:r w:rsidRPr="007E58FB">
              <w:t>any obligation (a) which is identified as such and published by ISDA on its website at www.isda.org from time to time (or any successor website thereto) or by a third party designated by ISDA on its website from time to time and (b) which fell within the definition of Valuation Obligation set out in paragraph (a) or (b) of the definition "Valuation Obligation", in each case, immediately preceding the date on which the relevant Asset Package Credit Event was legally effective.</w:t>
            </w:r>
            <w:r w:rsidRPr="00792D61">
              <w:rPr>
                <w:b/>
              </w:rPr>
              <w:t>]</w:t>
            </w:r>
          </w:p>
        </w:tc>
        <w:tc>
          <w:tcPr>
            <w:tcW w:w="1618" w:type="dxa"/>
            <w:gridSpan w:val="2"/>
            <w:tcBorders>
              <w:top w:val="nil"/>
              <w:right w:val="nil"/>
            </w:tcBorders>
            <w:shd w:val="clear" w:color="auto" w:fill="auto"/>
          </w:tcPr>
          <w:p w:rsidR="0017135D" w:rsidRPr="007E58FB" w:rsidP="008516B7">
            <w:pPr>
              <w:pStyle w:val="CSBody8ptbolditalics"/>
              <w:rPr>
                <w:lang w:val="de-DE"/>
              </w:rPr>
            </w:pPr>
            <w:r w:rsidRPr="00792D61">
              <w:rPr>
                <w:lang w:val="de-DE"/>
              </w:rPr>
              <w:t>[</w:t>
            </w:r>
            <w:r w:rsidRPr="007E58FB">
              <w:rPr>
                <w:lang w:val="de-DE"/>
              </w:rPr>
              <w:t>falls ein Staat Referenzschuld</w:t>
            </w:r>
            <w:r>
              <w:rPr>
                <w:lang w:val="de-DE"/>
              </w:rPr>
              <w:softHyphen/>
            </w:r>
            <w:r w:rsidRPr="007E58FB">
              <w:rPr>
                <w:lang w:val="de-DE"/>
              </w:rPr>
              <w:t>ner ist und Asset-Paket-Bewertung anwendbar ist, einfügen:</w:t>
            </w:r>
          </w:p>
          <w:p w:rsidR="0017135D" w:rsidRPr="007E58FB" w:rsidP="008516B7">
            <w:pPr>
              <w:pStyle w:val="CSBody8pt"/>
              <w:rPr>
                <w:lang w:val="de-DE"/>
              </w:rPr>
            </w:pPr>
            <w:r w:rsidRPr="00B33AB2">
              <w:t>Paketrelevante Anleihe</w:t>
            </w:r>
            <w:r>
              <w:fldChar w:fldCharType="begin"/>
            </w:r>
            <w:r>
              <w:instrText xml:space="preserve"> XE "</w:instrText>
            </w:r>
            <w:r w:rsidRPr="00FB7946">
              <w:instrText>Paketrelevante Anleihe</w:instrText>
            </w:r>
            <w:r>
              <w:instrText xml:space="preserve">" </w:instrText>
            </w:r>
            <w:r>
              <w:fldChar w:fldCharType="end"/>
            </w:r>
          </w:p>
        </w:tc>
        <w:tc>
          <w:tcPr>
            <w:tcW w:w="3318" w:type="dxa"/>
            <w:tcBorders>
              <w:top w:val="nil"/>
              <w:left w:val="nil"/>
              <w:right w:val="nil"/>
            </w:tcBorders>
            <w:shd w:val="clear" w:color="auto" w:fill="auto"/>
          </w:tcPr>
          <w:p w:rsidR="0017135D" w:rsidRPr="007E58FB" w:rsidP="008516B7">
            <w:pPr>
              <w:pStyle w:val="CSBody8pt"/>
              <w:rPr>
                <w:bCs/>
                <w:lang w:val="de-DE"/>
              </w:rPr>
            </w:pPr>
            <w:r w:rsidRPr="007E58FB">
              <w:rPr>
                <w:bCs/>
                <w:lang w:val="de-DE"/>
              </w:rPr>
              <w:t>eine Verbindlichkeit, die (a) als solche benannt und von der ISDA jeweils auf ihrer Internetseite www.isda.org (oder einer Nachfolgeseite) oder von einem von der ISDA benannten Dritten jeweils auf dessen Internetseite veröffentlicht wird und (b) die Kriterien von Absatz (a) oder (b) der Definition  "Bewertungsverbindlichkeit" erfüllt, und zwar jeweils unmittelbar vor dem Tag, an dem das massgebliche Kreditereignis mit Asset-Paket rechtswirksam wurde.</w:t>
            </w:r>
            <w:r w:rsidRPr="00792D61">
              <w:rPr>
                <w:b/>
                <w:bCs/>
                <w:lang w:val="de-DE"/>
              </w:rPr>
              <w:t>]</w:t>
            </w:r>
          </w:p>
        </w:tc>
      </w:tr>
      <w:tr w:rsidTr="004C1EBA">
        <w:tblPrEx>
          <w:tblW w:w="4999" w:type="pct"/>
          <w:tblLayout w:type="fixed"/>
          <w:tblCellMar>
            <w:left w:w="115" w:type="dxa"/>
            <w:right w:w="115" w:type="dxa"/>
          </w:tblCellMar>
          <w:tblLook w:val="04A0"/>
        </w:tblPrEx>
        <w:trPr>
          <w:trHeight w:val="2399"/>
        </w:trPr>
        <w:tc>
          <w:tcPr>
            <w:tcW w:w="1616" w:type="dxa"/>
            <w:gridSpan w:val="3"/>
            <w:tcBorders>
              <w:top w:val="nil"/>
              <w:left w:val="nil"/>
              <w:right w:val="nil"/>
            </w:tcBorders>
            <w:shd w:val="clear" w:color="auto" w:fill="auto"/>
          </w:tcPr>
          <w:p w:rsidR="0017135D" w:rsidRPr="00E51DE5" w:rsidP="008516B7">
            <w:pPr>
              <w:pStyle w:val="CSBody8ptbolditalics"/>
            </w:pPr>
            <w:r w:rsidRPr="00792D61">
              <w:t>[</w:t>
            </w:r>
            <w:r w:rsidRPr="00E51DE5">
              <w:t>if specified as an Obligation Category or a Valuation Obligation Category, insert:</w:t>
            </w:r>
          </w:p>
          <w:p w:rsidR="0017135D" w:rsidRPr="00E51DE5" w:rsidP="008516B7">
            <w:pPr>
              <w:pStyle w:val="CSBody8pt"/>
            </w:pPr>
            <w:r w:rsidRPr="00B33AB2">
              <w:t>Payment</w:t>
            </w:r>
            <w:r>
              <w:fldChar w:fldCharType="begin"/>
            </w:r>
            <w:r>
              <w:instrText xml:space="preserve"> XE "</w:instrText>
            </w:r>
            <w:r w:rsidRPr="000504B5">
              <w:instrText>Payment</w:instrText>
            </w:r>
            <w:r>
              <w:instrText xml:space="preserve">" \f "EN" </w:instrText>
            </w:r>
            <w:r>
              <w:fldChar w:fldCharType="end"/>
            </w:r>
          </w:p>
        </w:tc>
        <w:tc>
          <w:tcPr>
            <w:tcW w:w="3315" w:type="dxa"/>
            <w:gridSpan w:val="2"/>
            <w:tcBorders>
              <w:top w:val="nil"/>
              <w:left w:val="nil"/>
            </w:tcBorders>
            <w:shd w:val="clear" w:color="auto" w:fill="auto"/>
          </w:tcPr>
          <w:p w:rsidR="0017135D" w:rsidRPr="00E51DE5" w:rsidP="00A457E7">
            <w:pPr>
              <w:pStyle w:val="CSBody0"/>
            </w:pPr>
            <w:r w:rsidRPr="00E51DE5">
              <w:t>any obligation (whether present or future, contingent or otherwise) for the payment or repayment of money, including, without limitation, Borrowed Money.</w:t>
            </w:r>
            <w:r w:rsidRPr="00792D61">
              <w:rPr>
                <w:b/>
              </w:rPr>
              <w:t>]</w:t>
            </w:r>
          </w:p>
        </w:tc>
        <w:tc>
          <w:tcPr>
            <w:tcW w:w="1618" w:type="dxa"/>
            <w:gridSpan w:val="2"/>
            <w:tcBorders>
              <w:top w:val="nil"/>
              <w:right w:val="nil"/>
            </w:tcBorders>
            <w:shd w:val="clear" w:color="auto" w:fill="auto"/>
          </w:tcPr>
          <w:p w:rsidR="0017135D" w:rsidRPr="00E51DE5" w:rsidP="008516B7">
            <w:pPr>
              <w:pStyle w:val="CSBody8ptbolditalics"/>
              <w:rPr>
                <w:lang w:val="de-DE"/>
              </w:rPr>
            </w:pPr>
            <w:r w:rsidRPr="00792D61">
              <w:rPr>
                <w:lang w:val="de-DE"/>
              </w:rPr>
              <w:t>[</w:t>
            </w:r>
            <w:r>
              <w:rPr>
                <w:lang w:val="de-DE"/>
              </w:rPr>
              <w:t>falls als Verbindlich</w:t>
            </w:r>
            <w:r w:rsidRPr="00E51DE5">
              <w:rPr>
                <w:lang w:val="de-DE"/>
              </w:rPr>
              <w:t>keitenkategorie oder als Kateg</w:t>
            </w:r>
            <w:r>
              <w:rPr>
                <w:lang w:val="de-DE"/>
              </w:rPr>
              <w:t>orie der Bewertungs-verbindlich</w:t>
            </w:r>
            <w:r w:rsidRPr="00E51DE5">
              <w:rPr>
                <w:lang w:val="de-DE"/>
              </w:rPr>
              <w:t>keiten angegeben, einfügen:</w:t>
            </w:r>
          </w:p>
          <w:p w:rsidR="0017135D" w:rsidRPr="00E51DE5" w:rsidP="008516B7">
            <w:pPr>
              <w:pStyle w:val="CSBody8pt"/>
              <w:rPr>
                <w:lang w:val="de-DE"/>
              </w:rPr>
            </w:pPr>
            <w:r w:rsidRPr="00B33AB2">
              <w:t>Zahlung</w:t>
            </w:r>
            <w:r>
              <w:fldChar w:fldCharType="begin"/>
            </w:r>
            <w:r>
              <w:instrText xml:space="preserve"> XE "</w:instrText>
            </w:r>
            <w:r w:rsidRPr="00B454B6">
              <w:instrText>Zahlung</w:instrText>
            </w:r>
            <w:r>
              <w:instrText xml:space="preserve">" </w:instrText>
            </w:r>
            <w:r>
              <w:fldChar w:fldCharType="end"/>
            </w:r>
          </w:p>
        </w:tc>
        <w:tc>
          <w:tcPr>
            <w:tcW w:w="3318" w:type="dxa"/>
            <w:tcBorders>
              <w:top w:val="nil"/>
              <w:left w:val="nil"/>
              <w:right w:val="nil"/>
            </w:tcBorders>
            <w:shd w:val="clear" w:color="auto" w:fill="auto"/>
          </w:tcPr>
          <w:p w:rsidR="0017135D" w:rsidRPr="00E51DE5" w:rsidP="00E60155">
            <w:pPr>
              <w:pStyle w:val="CSBody0"/>
              <w:rPr>
                <w:bCs/>
                <w:lang w:val="de-DE"/>
              </w:rPr>
            </w:pPr>
            <w:r w:rsidRPr="00E51DE5">
              <w:rPr>
                <w:bCs/>
                <w:lang w:val="de-DE"/>
              </w:rPr>
              <w:t>jede bestehende oder künftige tatsächliche Verbindlichkeit oder Eventualverbindlichkeit zur Zahlung oder Rückzahlung von Geldbeträgen, einschliesslich, ohne hierauf beschränkt zu sein, Aufgenommenen Geldern.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pPr>
            <w:r w:rsidRPr="00B33AB2">
              <w:t>Payment Requirement</w:t>
            </w:r>
            <w:r>
              <w:fldChar w:fldCharType="begin"/>
            </w:r>
            <w:r>
              <w:instrText xml:space="preserve"> XE "</w:instrText>
            </w:r>
            <w:r w:rsidRPr="002062EB">
              <w:instrText>Payment Requirement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792D61">
              <w:rPr>
                <w:b/>
              </w:rPr>
              <w:t>[</w:t>
            </w:r>
            <w:r w:rsidRPr="00B33AB2">
              <w:rPr>
                <w:b/>
                <w:i/>
              </w:rPr>
              <w:t>if Transaction Type is "Standard Japan Corporate" or "Standard Japan Sovereign" and if Floating Rate Payer Calculation Amount is in JPY, insert:</w:t>
            </w:r>
            <w:r w:rsidRPr="00B33AB2">
              <w:t xml:space="preserve"> JPY 100,000,000 or its equivalent in the relevant Obligation Currency, as of the occurrence of the relevant Failure to Pay or Potential Failure to Pay.</w:t>
            </w:r>
            <w:r w:rsidRPr="00792D61">
              <w:rPr>
                <w:b/>
              </w:rPr>
              <w:t>]</w:t>
            </w:r>
          </w:p>
        </w:tc>
        <w:tc>
          <w:tcPr>
            <w:tcW w:w="1618" w:type="dxa"/>
            <w:gridSpan w:val="2"/>
            <w:tcBorders>
              <w:top w:val="nil"/>
              <w:bottom w:val="nil"/>
              <w:right w:val="nil"/>
            </w:tcBorders>
            <w:shd w:val="clear" w:color="auto" w:fill="auto"/>
          </w:tcPr>
          <w:p w:rsidR="0017135D" w:rsidRPr="00B33AB2" w:rsidP="008516B7">
            <w:pPr>
              <w:pStyle w:val="CSBody8pt"/>
            </w:pPr>
            <w:r w:rsidRPr="00B33AB2">
              <w:t>Zahlungs-Schwellenbetrag</w:t>
            </w:r>
            <w:r>
              <w:fldChar w:fldCharType="begin"/>
            </w:r>
            <w:r>
              <w:instrText xml:space="preserve"> XE "</w:instrText>
            </w:r>
            <w:r w:rsidRPr="001652E5">
              <w:instrText>Zahlungs-Schwellenbetrag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E51DE5" w:rsidP="009D1C9F">
            <w:pPr>
              <w:pStyle w:val="CSBody8pt"/>
              <w:rPr>
                <w:lang w:val="de-DE"/>
              </w:rPr>
            </w:pPr>
            <w:r w:rsidRPr="00792D61">
              <w:rPr>
                <w:b/>
                <w:lang w:val="de-DE"/>
              </w:rPr>
              <w:t>[</w:t>
            </w:r>
            <w:r w:rsidRPr="00B33AB2">
              <w:rPr>
                <w:b/>
                <w:i/>
                <w:lang w:val="de-DE"/>
              </w:rPr>
              <w:t>falls der Transaktionstyp "Standard Japan Corporate" oder "Standard Japan Sovereign" ist und falls es sich bei dem Berechnungsbetrag für Variable Beträge um einen Betrag in JPY handelt, einfügen:</w:t>
            </w:r>
            <w:r w:rsidRPr="00B33AB2">
              <w:rPr>
                <w:lang w:val="de-DE"/>
              </w:rPr>
              <w:t xml:space="preserve"> JPY 100.000.000 oder der Gegenwert in der jeweiligen Verbindlichkeitenwährung, jeweils zum Zeitpunkt des Eintritts der betreffenden Nichtzahlung bzw. Potenziellen Nichtzahlung.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51DE5" w:rsidP="008516B7">
            <w:pPr>
              <w:pStyle w:val="CSBody8pt"/>
              <w:rPr>
                <w:lang w:val="de-DE"/>
              </w:rPr>
            </w:pPr>
          </w:p>
        </w:tc>
        <w:tc>
          <w:tcPr>
            <w:tcW w:w="3315" w:type="dxa"/>
            <w:gridSpan w:val="2"/>
            <w:tcBorders>
              <w:top w:val="nil"/>
              <w:left w:val="nil"/>
              <w:bottom w:val="nil"/>
            </w:tcBorders>
            <w:shd w:val="clear" w:color="auto" w:fill="auto"/>
          </w:tcPr>
          <w:p w:rsidR="0017135D" w:rsidP="008516B7">
            <w:pPr>
              <w:pStyle w:val="CSBody8pt"/>
            </w:pPr>
            <w:r w:rsidRPr="00792D61">
              <w:rPr>
                <w:b/>
              </w:rPr>
              <w:t>[</w:t>
            </w:r>
            <w:r w:rsidRPr="008516B7">
              <w:rPr>
                <w:b/>
                <w:i/>
              </w:rPr>
              <w:t>in all other cases, insert:</w:t>
            </w:r>
            <w:r w:rsidRPr="00EA02A1">
              <w:t xml:space="preserve"> USD 1,000,000 or its equivalent in the relevant Obligation Currency, as of the occurrence of the relevant Failure to Pay or Potential Failure to Pay.</w:t>
            </w:r>
            <w:r w:rsidRPr="00792D61">
              <w:rPr>
                <w:b/>
              </w:rPr>
              <w:t>]</w:t>
            </w:r>
          </w:p>
        </w:tc>
        <w:tc>
          <w:tcPr>
            <w:tcW w:w="1618" w:type="dxa"/>
            <w:gridSpan w:val="2"/>
            <w:tcBorders>
              <w:top w:val="nil"/>
              <w:bottom w:val="nil"/>
              <w:right w:val="nil"/>
            </w:tcBorders>
            <w:shd w:val="clear" w:color="auto" w:fill="auto"/>
          </w:tcPr>
          <w:p w:rsidR="0017135D" w:rsidRPr="00E51DE5" w:rsidP="008516B7">
            <w:pPr>
              <w:pStyle w:val="CSBody8pt"/>
              <w:rPr>
                <w:i/>
              </w:rPr>
            </w:pPr>
          </w:p>
        </w:tc>
        <w:tc>
          <w:tcPr>
            <w:tcW w:w="3318" w:type="dxa"/>
            <w:tcBorders>
              <w:top w:val="nil"/>
              <w:left w:val="nil"/>
              <w:bottom w:val="nil"/>
              <w:right w:val="nil"/>
            </w:tcBorders>
            <w:shd w:val="clear" w:color="auto" w:fill="auto"/>
          </w:tcPr>
          <w:p w:rsidR="0017135D" w:rsidRPr="00E51DE5" w:rsidP="008516B7">
            <w:pPr>
              <w:pStyle w:val="CSBody8pt"/>
              <w:rPr>
                <w:lang w:val="de-DE"/>
              </w:rPr>
            </w:pPr>
            <w:r w:rsidRPr="00792D61">
              <w:rPr>
                <w:b/>
                <w:lang w:val="de-DE"/>
              </w:rPr>
              <w:t>[</w:t>
            </w:r>
            <w:r w:rsidRPr="008516B7">
              <w:rPr>
                <w:b/>
                <w:i/>
                <w:lang w:val="de-DE"/>
              </w:rPr>
              <w:t>in allen anderen Fällen einfügen:</w:t>
            </w:r>
            <w:r w:rsidRPr="00E51DE5">
              <w:rPr>
                <w:lang w:val="de-DE"/>
              </w:rPr>
              <w:t xml:space="preserve"> USD 1.000.000 oder der Gegenwert in der jeweiligen Verbindlichkeitenwährung, jeweils zum Zeitpunkt des Eintritts der betreffenden Nichtzahlung bzw. Potenziellen Nichtzahlung.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rPr>
                <w:lang w:val="de-DE"/>
              </w:rPr>
            </w:pPr>
            <w:r w:rsidRPr="00B33AB2">
              <w:rPr>
                <w:lang w:val="de-DE"/>
              </w:rPr>
              <w:t>Permitted Contingency</w:t>
            </w:r>
            <w:r>
              <w:rPr>
                <w:lang w:val="de-DE"/>
              </w:rPr>
              <w:fldChar w:fldCharType="begin"/>
            </w:r>
            <w:r>
              <w:instrText xml:space="preserve"> XE "</w:instrText>
            </w:r>
            <w:r w:rsidRPr="00861B16">
              <w:rPr>
                <w:lang w:val="de-DE"/>
              </w:rPr>
              <w:instrText>Permitted Contingency</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B33AB2">
              <w:t>with respect to an obligation, any reduction to the Reference Entity's payment obligations:</w:t>
            </w:r>
          </w:p>
        </w:tc>
        <w:tc>
          <w:tcPr>
            <w:tcW w:w="1618" w:type="dxa"/>
            <w:gridSpan w:val="2"/>
            <w:tcBorders>
              <w:top w:val="nil"/>
              <w:bottom w:val="nil"/>
              <w:right w:val="nil"/>
            </w:tcBorders>
            <w:shd w:val="clear" w:color="auto" w:fill="auto"/>
          </w:tcPr>
          <w:p w:rsidR="0017135D" w:rsidRPr="00B33AB2" w:rsidP="008516B7">
            <w:pPr>
              <w:pStyle w:val="CSBody8pt"/>
            </w:pPr>
            <w:r w:rsidRPr="00B33AB2">
              <w:t>Zulässige Bedingte Reduzierung</w:t>
            </w:r>
            <w:r>
              <w:fldChar w:fldCharType="begin"/>
            </w:r>
            <w:r>
              <w:instrText xml:space="preserve"> XE "</w:instrText>
            </w:r>
            <w:r w:rsidRPr="006325A5">
              <w:instrText>Zulässige Bedingte Reduzierung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E51DE5" w:rsidP="008516B7">
            <w:pPr>
              <w:pStyle w:val="CSBody8pt"/>
              <w:rPr>
                <w:bCs/>
                <w:lang w:val="de-DE"/>
              </w:rPr>
            </w:pPr>
            <w:r w:rsidRPr="00B33AB2">
              <w:rPr>
                <w:bCs/>
                <w:lang w:val="de-DE"/>
              </w:rPr>
              <w:t>in Bezug auf eine Verbindlichkeit eine Reduzierung der Zahlungsverpflichtungen des Referenzschuldners: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51DE5" w:rsidP="00A457E7">
            <w:pPr>
              <w:pStyle w:val="CSBody0"/>
              <w:rPr>
                <w:lang w:val="de-DE"/>
              </w:rPr>
            </w:pPr>
          </w:p>
        </w:tc>
        <w:tc>
          <w:tcPr>
            <w:tcW w:w="3315" w:type="dxa"/>
            <w:gridSpan w:val="2"/>
            <w:tcBorders>
              <w:top w:val="nil"/>
              <w:left w:val="nil"/>
              <w:bottom w:val="nil"/>
            </w:tcBorders>
            <w:shd w:val="clear" w:color="auto" w:fill="auto"/>
          </w:tcPr>
          <w:p w:rsidR="0017135D" w:rsidRPr="00E51DE5" w:rsidP="008516B7">
            <w:pPr>
              <w:pStyle w:val="CSManNum8pt"/>
            </w:pPr>
            <w:r w:rsidRPr="00E51DE5">
              <w:t>(a)</w:t>
            </w:r>
            <w:r w:rsidRPr="00E51DE5">
              <w:tab/>
              <w:t>as a result of the application of:</w:t>
            </w:r>
          </w:p>
        </w:tc>
        <w:tc>
          <w:tcPr>
            <w:tcW w:w="1618" w:type="dxa"/>
            <w:gridSpan w:val="2"/>
            <w:tcBorders>
              <w:top w:val="nil"/>
              <w:bottom w:val="nil"/>
              <w:right w:val="nil"/>
            </w:tcBorders>
            <w:shd w:val="clear" w:color="auto" w:fill="auto"/>
          </w:tcPr>
          <w:p w:rsidR="0017135D" w:rsidRPr="00E51DE5" w:rsidP="008516B7">
            <w:pPr>
              <w:pStyle w:val="CSManNum8pt"/>
              <w:rPr>
                <w:i/>
              </w:rPr>
            </w:pPr>
          </w:p>
        </w:tc>
        <w:tc>
          <w:tcPr>
            <w:tcW w:w="3318" w:type="dxa"/>
            <w:tcBorders>
              <w:top w:val="nil"/>
              <w:left w:val="nil"/>
              <w:bottom w:val="nil"/>
              <w:right w:val="nil"/>
            </w:tcBorders>
            <w:shd w:val="clear" w:color="auto" w:fill="auto"/>
          </w:tcPr>
          <w:p w:rsidR="0017135D" w:rsidRPr="00E51DE5" w:rsidP="008516B7">
            <w:pPr>
              <w:pStyle w:val="CSManNum8pt"/>
              <w:rPr>
                <w:bCs/>
                <w:lang w:val="de-DE"/>
              </w:rPr>
            </w:pPr>
            <w:r w:rsidRPr="00E51DE5">
              <w:rPr>
                <w:bCs/>
                <w:lang w:val="de-DE"/>
              </w:rPr>
              <w:t>(a)</w:t>
            </w:r>
            <w:r w:rsidRPr="00E51DE5">
              <w:rPr>
                <w:bCs/>
                <w:lang w:val="de-DE"/>
              </w:rPr>
              <w:tab/>
              <w:t>infolge der Anwendung von: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51DE5" w:rsidP="00A457E7">
            <w:pPr>
              <w:pStyle w:val="CSBody0"/>
              <w:rPr>
                <w:lang w:val="de-DE"/>
              </w:rPr>
            </w:pPr>
          </w:p>
        </w:tc>
        <w:tc>
          <w:tcPr>
            <w:tcW w:w="3315" w:type="dxa"/>
            <w:gridSpan w:val="2"/>
            <w:tcBorders>
              <w:top w:val="nil"/>
              <w:left w:val="nil"/>
              <w:bottom w:val="nil"/>
            </w:tcBorders>
            <w:shd w:val="clear" w:color="auto" w:fill="auto"/>
          </w:tcPr>
          <w:p w:rsidR="0017135D" w:rsidRPr="00E51DE5" w:rsidP="009D1C9F">
            <w:pPr>
              <w:pStyle w:val="CSManNum8pt"/>
            </w:pPr>
            <w:r w:rsidRPr="00E51DE5">
              <w:t>(i)</w:t>
            </w:r>
            <w:r w:rsidRPr="00E51DE5">
              <w:tab/>
              <w:t>any provisions allowing a transfer, pursuant to which another party may assume all of the payment obligations of the Reference Entity;</w:t>
            </w:r>
          </w:p>
        </w:tc>
        <w:tc>
          <w:tcPr>
            <w:tcW w:w="1618" w:type="dxa"/>
            <w:gridSpan w:val="2"/>
            <w:tcBorders>
              <w:top w:val="nil"/>
              <w:bottom w:val="nil"/>
              <w:right w:val="nil"/>
            </w:tcBorders>
            <w:shd w:val="clear" w:color="auto" w:fill="auto"/>
          </w:tcPr>
          <w:p w:rsidR="0017135D" w:rsidRPr="00E51DE5" w:rsidP="008516B7">
            <w:pPr>
              <w:pStyle w:val="CSManNum8pt"/>
              <w:rPr>
                <w:i/>
              </w:rPr>
            </w:pPr>
          </w:p>
        </w:tc>
        <w:tc>
          <w:tcPr>
            <w:tcW w:w="3318" w:type="dxa"/>
            <w:tcBorders>
              <w:top w:val="nil"/>
              <w:left w:val="nil"/>
              <w:bottom w:val="nil"/>
              <w:right w:val="nil"/>
            </w:tcBorders>
            <w:shd w:val="clear" w:color="auto" w:fill="auto"/>
          </w:tcPr>
          <w:p w:rsidR="0017135D" w:rsidRPr="00E51DE5" w:rsidP="008516B7">
            <w:pPr>
              <w:pStyle w:val="CSManNum8pt"/>
              <w:rPr>
                <w:bCs/>
                <w:lang w:val="de-DE"/>
              </w:rPr>
            </w:pPr>
            <w:r w:rsidRPr="00E51DE5">
              <w:rPr>
                <w:bCs/>
                <w:lang w:val="de-DE"/>
              </w:rPr>
              <w:t>(i)</w:t>
            </w:r>
            <w:r w:rsidRPr="00E51DE5">
              <w:rPr>
                <w:bCs/>
                <w:lang w:val="de-DE"/>
              </w:rPr>
              <w:tab/>
              <w:t>Bestimmungen, die eine Übertragung gestatten, in deren Rahmen ein Dritter sämtliche Zahlungsverpflichtungen des Referenzschuldners übernehmen kann;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51DE5" w:rsidP="00A457E7">
            <w:pPr>
              <w:pStyle w:val="CSBody0"/>
              <w:rPr>
                <w:lang w:val="de-DE"/>
              </w:rPr>
            </w:pPr>
          </w:p>
        </w:tc>
        <w:tc>
          <w:tcPr>
            <w:tcW w:w="3315" w:type="dxa"/>
            <w:gridSpan w:val="2"/>
            <w:tcBorders>
              <w:top w:val="nil"/>
              <w:left w:val="nil"/>
              <w:bottom w:val="nil"/>
            </w:tcBorders>
            <w:shd w:val="clear" w:color="auto" w:fill="auto"/>
          </w:tcPr>
          <w:p w:rsidR="0017135D" w:rsidRPr="00E51DE5" w:rsidP="008516B7">
            <w:pPr>
              <w:pStyle w:val="CSManNum8pt"/>
            </w:pPr>
            <w:r w:rsidRPr="00E51DE5">
              <w:t>(ii)</w:t>
            </w:r>
            <w:r w:rsidRPr="00E51DE5">
              <w:tab/>
              <w:t>provisions implementing the Subordination of the obligation;</w:t>
            </w:r>
          </w:p>
        </w:tc>
        <w:tc>
          <w:tcPr>
            <w:tcW w:w="1618" w:type="dxa"/>
            <w:gridSpan w:val="2"/>
            <w:tcBorders>
              <w:top w:val="nil"/>
              <w:bottom w:val="nil"/>
              <w:right w:val="nil"/>
            </w:tcBorders>
            <w:shd w:val="clear" w:color="auto" w:fill="auto"/>
          </w:tcPr>
          <w:p w:rsidR="0017135D" w:rsidRPr="00E51DE5" w:rsidP="008516B7">
            <w:pPr>
              <w:pStyle w:val="CSManNum8pt"/>
              <w:rPr>
                <w:i/>
              </w:rPr>
            </w:pPr>
          </w:p>
        </w:tc>
        <w:tc>
          <w:tcPr>
            <w:tcW w:w="3318" w:type="dxa"/>
            <w:tcBorders>
              <w:top w:val="nil"/>
              <w:left w:val="nil"/>
              <w:bottom w:val="nil"/>
              <w:right w:val="nil"/>
            </w:tcBorders>
            <w:shd w:val="clear" w:color="auto" w:fill="auto"/>
          </w:tcPr>
          <w:p w:rsidR="0017135D" w:rsidRPr="00E51DE5" w:rsidP="009D1C9F">
            <w:pPr>
              <w:pStyle w:val="CSManNum8pt"/>
              <w:rPr>
                <w:bCs/>
                <w:lang w:val="de-DE"/>
              </w:rPr>
            </w:pPr>
            <w:r w:rsidRPr="00E51DE5">
              <w:rPr>
                <w:bCs/>
                <w:lang w:val="de-DE"/>
              </w:rPr>
              <w:t>(ii)</w:t>
            </w:r>
            <w:r w:rsidRPr="00E51DE5">
              <w:rPr>
                <w:bCs/>
                <w:lang w:val="de-DE"/>
              </w:rPr>
              <w:tab/>
              <w:t>Bestimmungen zur Umsetzung der Nachrangigkeit der Verbindlichkeit;</w:t>
            </w:r>
            <w:r w:rsidRPr="00792D61">
              <w:rPr>
                <w:b/>
                <w:bCs/>
                <w:lang w:val="de-DE"/>
              </w:rPr>
              <w:t>[</w:t>
            </w:r>
            <w:r w:rsidRPr="00E51DE5">
              <w:rPr>
                <w:bCs/>
                <w:lang w:val="de-DE"/>
              </w:rPr>
              <w:t>oder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51DE5" w:rsidP="00A457E7">
            <w:pPr>
              <w:pStyle w:val="CSBody0"/>
              <w:rPr>
                <w:lang w:val="de-DE"/>
              </w:rPr>
            </w:pPr>
          </w:p>
        </w:tc>
        <w:tc>
          <w:tcPr>
            <w:tcW w:w="3315" w:type="dxa"/>
            <w:gridSpan w:val="2"/>
            <w:tcBorders>
              <w:top w:val="nil"/>
              <w:left w:val="nil"/>
              <w:bottom w:val="nil"/>
            </w:tcBorders>
            <w:shd w:val="clear" w:color="auto" w:fill="auto"/>
          </w:tcPr>
          <w:p w:rsidR="0017135D" w:rsidRPr="00E51DE5" w:rsidP="008516B7">
            <w:pPr>
              <w:pStyle w:val="CSManNum8pt"/>
            </w:pPr>
            <w:r w:rsidRPr="00E51DE5">
              <w:t>(iii)</w:t>
            </w:r>
            <w:r w:rsidRPr="00E51DE5">
              <w:tab/>
              <w:t>provisions allowing for a Permitted Transfer in the case of a Qualifying Guarantee (or provisions allowing for the release of the Reference Entity from its payment obligations in the case of any other Guarantee);</w:t>
            </w:r>
            <w:r w:rsidRPr="00792D61">
              <w:rPr>
                <w:b/>
              </w:rPr>
              <w:t>[</w:t>
            </w:r>
            <w:r w:rsidRPr="00E51DE5">
              <w:t>or</w:t>
            </w:r>
            <w:r w:rsidRPr="00792D61">
              <w:rPr>
                <w:b/>
              </w:rPr>
              <w:t>]</w:t>
            </w:r>
          </w:p>
        </w:tc>
        <w:tc>
          <w:tcPr>
            <w:tcW w:w="1618" w:type="dxa"/>
            <w:gridSpan w:val="2"/>
            <w:tcBorders>
              <w:top w:val="nil"/>
              <w:bottom w:val="nil"/>
              <w:right w:val="nil"/>
            </w:tcBorders>
            <w:shd w:val="clear" w:color="auto" w:fill="auto"/>
          </w:tcPr>
          <w:p w:rsidR="0017135D" w:rsidRPr="00E51DE5" w:rsidP="008516B7">
            <w:pPr>
              <w:pStyle w:val="CSManNum8pt"/>
              <w:rPr>
                <w:i/>
              </w:rPr>
            </w:pPr>
          </w:p>
        </w:tc>
        <w:tc>
          <w:tcPr>
            <w:tcW w:w="3318" w:type="dxa"/>
            <w:tcBorders>
              <w:top w:val="nil"/>
              <w:left w:val="nil"/>
              <w:bottom w:val="nil"/>
              <w:right w:val="nil"/>
            </w:tcBorders>
            <w:shd w:val="clear" w:color="auto" w:fill="auto"/>
          </w:tcPr>
          <w:p w:rsidR="0017135D" w:rsidRPr="00E51DE5" w:rsidP="009D1C9F">
            <w:pPr>
              <w:pStyle w:val="CSManNum8pt"/>
              <w:rPr>
                <w:bCs/>
                <w:lang w:val="de-DE"/>
              </w:rPr>
            </w:pPr>
            <w:r w:rsidRPr="00E51DE5">
              <w:rPr>
                <w:bCs/>
                <w:lang w:val="de-DE"/>
              </w:rPr>
              <w:t>(iii)</w:t>
            </w:r>
            <w:r w:rsidRPr="00E51DE5">
              <w:rPr>
                <w:bCs/>
                <w:lang w:val="de-DE"/>
              </w:rPr>
              <w:tab/>
              <w:t>Bestimmungen, die im Falle einer Qualifizierten Garantie eine Zulässige Übertragung gestatten (oder Bestimmungen, die im Falle einer anderen Garantie die Befreiung des Referenzschuldners von seinen Zahlungsverpflichtungen gestatten);</w:t>
            </w:r>
            <w:r w:rsidRPr="00792D61">
              <w:rPr>
                <w:b/>
                <w:bCs/>
                <w:lang w:val="de-DE"/>
              </w:rPr>
              <w:t>[</w:t>
            </w:r>
            <w:r w:rsidRPr="00E51DE5">
              <w:rPr>
                <w:bCs/>
                <w:lang w:val="de-DE"/>
              </w:rPr>
              <w:t>oder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51DE5" w:rsidP="008516B7">
            <w:pPr>
              <w:pStyle w:val="CSBody8pt"/>
              <w:rPr>
                <w:lang w:val="de-DE"/>
              </w:rPr>
            </w:pPr>
          </w:p>
        </w:tc>
        <w:tc>
          <w:tcPr>
            <w:tcW w:w="3315" w:type="dxa"/>
            <w:gridSpan w:val="2"/>
            <w:tcBorders>
              <w:top w:val="nil"/>
              <w:left w:val="nil"/>
              <w:bottom w:val="nil"/>
            </w:tcBorders>
            <w:shd w:val="clear" w:color="auto" w:fill="auto"/>
          </w:tcPr>
          <w:p w:rsidR="0017135D" w:rsidRPr="00226776" w:rsidP="008516B7">
            <w:pPr>
              <w:pStyle w:val="CSBody8pt"/>
            </w:pPr>
            <w:r w:rsidRPr="00792D61">
              <w:rPr>
                <w:b/>
              </w:rPr>
              <w:t>[</w:t>
            </w:r>
            <w:r w:rsidRPr="008516B7">
              <w:rPr>
                <w:b/>
                <w:i/>
              </w:rPr>
              <w:t>if "Subordinated European Insurance Terms" is applicable, insert:</w:t>
            </w:r>
            <w:r w:rsidRPr="00226776">
              <w:t xml:space="preserve"> (iv) any Solvency Capital Provisions;</w:t>
            </w:r>
            <w:r w:rsidRPr="00792D61">
              <w:rPr>
                <w:b/>
              </w:rPr>
              <w:t>][</w:t>
            </w:r>
            <w:r w:rsidRPr="00226776">
              <w:t>or</w:t>
            </w:r>
            <w:r w:rsidRPr="00792D61">
              <w:rPr>
                <w:b/>
              </w:rPr>
              <w:t>]</w:t>
            </w:r>
          </w:p>
        </w:tc>
        <w:tc>
          <w:tcPr>
            <w:tcW w:w="1618" w:type="dxa"/>
            <w:gridSpan w:val="2"/>
            <w:tcBorders>
              <w:top w:val="nil"/>
              <w:bottom w:val="nil"/>
              <w:right w:val="nil"/>
            </w:tcBorders>
            <w:shd w:val="clear" w:color="auto" w:fill="auto"/>
          </w:tcPr>
          <w:p w:rsidR="0017135D" w:rsidRPr="00E51DE5" w:rsidP="008516B7">
            <w:pPr>
              <w:pStyle w:val="CSBody8pt"/>
              <w:rPr>
                <w:i/>
              </w:rPr>
            </w:pPr>
          </w:p>
        </w:tc>
        <w:tc>
          <w:tcPr>
            <w:tcW w:w="3318" w:type="dxa"/>
            <w:tcBorders>
              <w:top w:val="nil"/>
              <w:left w:val="nil"/>
              <w:bottom w:val="nil"/>
              <w:right w:val="nil"/>
            </w:tcBorders>
            <w:shd w:val="clear" w:color="auto" w:fill="auto"/>
          </w:tcPr>
          <w:p w:rsidR="0017135D" w:rsidRPr="00E51DE5" w:rsidP="008516B7">
            <w:pPr>
              <w:pStyle w:val="CSBody8pt"/>
              <w:rPr>
                <w:lang w:val="de-DE"/>
              </w:rPr>
            </w:pPr>
            <w:r w:rsidRPr="00792D61">
              <w:rPr>
                <w:b/>
                <w:lang w:val="de-DE"/>
              </w:rPr>
              <w:t>[</w:t>
            </w:r>
            <w:r w:rsidRPr="008516B7">
              <w:rPr>
                <w:b/>
                <w:i/>
                <w:lang w:val="de-DE"/>
              </w:rPr>
              <w:t>falls "Bedingungen für Europäische Versicherungen mit Nachrangverbindlichkeiten" anwendbar ist, einfügen:</w:t>
            </w:r>
            <w:r w:rsidRPr="00E51DE5">
              <w:rPr>
                <w:lang w:val="de-DE"/>
              </w:rPr>
              <w:t xml:space="preserve"> (iv) Solvabilitätsmittelbestimmungen;</w:t>
            </w:r>
            <w:r w:rsidRPr="00792D61">
              <w:rPr>
                <w:b/>
                <w:lang w:val="de-DE"/>
              </w:rPr>
              <w:t>][</w:t>
            </w:r>
            <w:r w:rsidRPr="00E51DE5">
              <w:rPr>
                <w:lang w:val="de-DE"/>
              </w:rPr>
              <w:t>oder</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51DE5" w:rsidP="008516B7">
            <w:pPr>
              <w:pStyle w:val="CSBody8pt"/>
              <w:rPr>
                <w:lang w:val="de-DE"/>
              </w:rPr>
            </w:pPr>
          </w:p>
        </w:tc>
        <w:tc>
          <w:tcPr>
            <w:tcW w:w="3315" w:type="dxa"/>
            <w:gridSpan w:val="2"/>
            <w:tcBorders>
              <w:top w:val="nil"/>
              <w:left w:val="nil"/>
              <w:bottom w:val="nil"/>
            </w:tcBorders>
            <w:shd w:val="clear" w:color="auto" w:fill="auto"/>
          </w:tcPr>
          <w:p w:rsidR="0017135D" w:rsidP="008516B7">
            <w:pPr>
              <w:pStyle w:val="CSBody8pt"/>
            </w:pPr>
            <w:r w:rsidRPr="00792D61">
              <w:rPr>
                <w:b/>
              </w:rPr>
              <w:t>[</w:t>
            </w:r>
            <w:r w:rsidRPr="008516B7">
              <w:rPr>
                <w:b/>
                <w:i/>
              </w:rPr>
              <w:t>if "Financial Reference Entity Terms" is applicable, insert:</w:t>
            </w:r>
            <w:r w:rsidRPr="00226776">
              <w:t xml:space="preserve"> </w:t>
            </w:r>
            <w:r w:rsidRPr="00985ED9" w:rsidR="00985ED9">
              <w:rPr>
                <w:b/>
              </w:rPr>
              <w:t>[</w:t>
            </w:r>
            <w:r w:rsidRPr="00BD6E0D" w:rsidR="00985ED9">
              <w:t>(iv)</w:t>
            </w:r>
            <w:r w:rsidRPr="00985ED9" w:rsidR="00985ED9">
              <w:rPr>
                <w:b/>
              </w:rPr>
              <w:t>][</w:t>
            </w:r>
            <w:r w:rsidRPr="00985ED9">
              <w:t>(v)</w:t>
            </w:r>
            <w:r w:rsidRPr="00BD6E0D" w:rsidR="00985ED9">
              <w:rPr>
                <w:b/>
              </w:rPr>
              <w:t>]</w:t>
            </w:r>
            <w:r w:rsidRPr="00226776">
              <w:t xml:space="preserve"> provisions which permit the Reference Entity's obligations to be altered, discharged, released or suspended in circumstances which would constitute a Governmental Intervention;</w:t>
            </w:r>
            <w:r w:rsidRPr="00792D61">
              <w:rPr>
                <w:b/>
              </w:rPr>
              <w:t>][</w:t>
            </w:r>
            <w:r w:rsidRPr="00226776">
              <w:t>or</w:t>
            </w:r>
            <w:r w:rsidRPr="00792D61">
              <w:rPr>
                <w:b/>
              </w:rPr>
              <w:t>]</w:t>
            </w:r>
          </w:p>
        </w:tc>
        <w:tc>
          <w:tcPr>
            <w:tcW w:w="1618" w:type="dxa"/>
            <w:gridSpan w:val="2"/>
            <w:tcBorders>
              <w:top w:val="nil"/>
              <w:bottom w:val="nil"/>
              <w:right w:val="nil"/>
            </w:tcBorders>
            <w:shd w:val="clear" w:color="auto" w:fill="auto"/>
          </w:tcPr>
          <w:p w:rsidR="0017135D" w:rsidRPr="00E51DE5" w:rsidP="008516B7">
            <w:pPr>
              <w:pStyle w:val="CSBody8pt"/>
              <w:rPr>
                <w:i/>
              </w:rPr>
            </w:pPr>
          </w:p>
        </w:tc>
        <w:tc>
          <w:tcPr>
            <w:tcW w:w="3318" w:type="dxa"/>
            <w:tcBorders>
              <w:top w:val="nil"/>
              <w:left w:val="nil"/>
              <w:bottom w:val="nil"/>
              <w:right w:val="nil"/>
            </w:tcBorders>
            <w:shd w:val="clear" w:color="auto" w:fill="auto"/>
          </w:tcPr>
          <w:p w:rsidR="0017135D" w:rsidRPr="00E51DE5" w:rsidP="008516B7">
            <w:pPr>
              <w:pStyle w:val="CSBody8pt"/>
              <w:rPr>
                <w:lang w:val="de-DE"/>
              </w:rPr>
            </w:pPr>
            <w:r w:rsidRPr="00792D61">
              <w:rPr>
                <w:b/>
                <w:lang w:val="de-DE"/>
              </w:rPr>
              <w:t>[</w:t>
            </w:r>
            <w:r w:rsidRPr="008516B7">
              <w:rPr>
                <w:b/>
                <w:i/>
                <w:lang w:val="de-DE"/>
              </w:rPr>
              <w:t xml:space="preserve">falls "Bedingungen für Finanzinstitute als Referenzschuldner" anwendbar ist, einfügen: </w:t>
            </w:r>
            <w:r w:rsidR="00985ED9">
              <w:rPr>
                <w:b/>
                <w:lang w:val="de-DE"/>
              </w:rPr>
              <w:t>[</w:t>
            </w:r>
            <w:r w:rsidR="00985ED9">
              <w:rPr>
                <w:lang w:val="de-DE"/>
              </w:rPr>
              <w:t>(iv)</w:t>
            </w:r>
            <w:r w:rsidR="00985ED9">
              <w:rPr>
                <w:b/>
                <w:lang w:val="de-DE"/>
              </w:rPr>
              <w:t>][</w:t>
            </w:r>
            <w:r w:rsidRPr="00E51DE5">
              <w:rPr>
                <w:lang w:val="de-DE"/>
              </w:rPr>
              <w:t>(v)</w:t>
            </w:r>
            <w:r w:rsidR="00985ED9">
              <w:rPr>
                <w:b/>
                <w:lang w:val="de-DE"/>
              </w:rPr>
              <w:t>]</w:t>
            </w:r>
            <w:r w:rsidRPr="00E51DE5">
              <w:rPr>
                <w:lang w:val="de-DE"/>
              </w:rPr>
              <w:t xml:space="preserve"> Bestimmungen, die gestatten, dass die Verbindlichkeiten des Referenzschuldners in Fällen, die eine Staatliche Intervention darstellen würden, abgeändert, erfüllt, freigegeben oder ausgesetzt werden;</w:t>
            </w:r>
            <w:r w:rsidRPr="00792D61">
              <w:rPr>
                <w:b/>
                <w:lang w:val="de-DE"/>
              </w:rPr>
              <w:t>][</w:t>
            </w:r>
            <w:r w:rsidRPr="00E51DE5">
              <w:rPr>
                <w:lang w:val="de-DE"/>
              </w:rPr>
              <w:t>oder</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51DE5" w:rsidP="00A457E7">
            <w:pPr>
              <w:pStyle w:val="CSBody0"/>
              <w:rPr>
                <w:lang w:val="de-DE"/>
              </w:rPr>
            </w:pPr>
          </w:p>
        </w:tc>
        <w:tc>
          <w:tcPr>
            <w:tcW w:w="3315" w:type="dxa"/>
            <w:gridSpan w:val="2"/>
            <w:tcBorders>
              <w:top w:val="nil"/>
              <w:left w:val="nil"/>
              <w:bottom w:val="nil"/>
            </w:tcBorders>
            <w:shd w:val="clear" w:color="auto" w:fill="auto"/>
          </w:tcPr>
          <w:p w:rsidR="0017135D" w:rsidRPr="00E51DE5" w:rsidP="008516B7">
            <w:pPr>
              <w:pStyle w:val="CSManNum8pt"/>
            </w:pPr>
            <w:r w:rsidRPr="00E51DE5">
              <w:t>(b)</w:t>
            </w:r>
            <w:r w:rsidRPr="00E51DE5">
              <w:tab/>
              <w:t>which is within the control of the holders of the obligation or a third party acting on their behalf (such as an agent or trustee) in exercising their rights under or in respect of such obligation.</w:t>
            </w:r>
          </w:p>
        </w:tc>
        <w:tc>
          <w:tcPr>
            <w:tcW w:w="1618" w:type="dxa"/>
            <w:gridSpan w:val="2"/>
            <w:tcBorders>
              <w:top w:val="nil"/>
              <w:bottom w:val="nil"/>
              <w:right w:val="nil"/>
            </w:tcBorders>
            <w:shd w:val="clear" w:color="auto" w:fill="auto"/>
          </w:tcPr>
          <w:p w:rsidR="0017135D" w:rsidRPr="00E51DE5" w:rsidP="008516B7">
            <w:pPr>
              <w:pStyle w:val="CSManNum8pt"/>
              <w:rPr>
                <w:i/>
              </w:rPr>
            </w:pPr>
          </w:p>
        </w:tc>
        <w:tc>
          <w:tcPr>
            <w:tcW w:w="3318" w:type="dxa"/>
            <w:tcBorders>
              <w:top w:val="nil"/>
              <w:left w:val="nil"/>
              <w:bottom w:val="nil"/>
              <w:right w:val="nil"/>
            </w:tcBorders>
            <w:shd w:val="clear" w:color="auto" w:fill="auto"/>
          </w:tcPr>
          <w:p w:rsidR="0017135D" w:rsidRPr="00E51DE5" w:rsidP="008516B7">
            <w:pPr>
              <w:pStyle w:val="CSManNum8pt"/>
              <w:rPr>
                <w:bCs/>
                <w:lang w:val="de-DE"/>
              </w:rPr>
            </w:pPr>
            <w:r w:rsidRPr="00E51DE5">
              <w:rPr>
                <w:bCs/>
                <w:lang w:val="de-DE"/>
              </w:rPr>
              <w:t>(b)</w:t>
            </w:r>
            <w:r w:rsidRPr="00E51DE5">
              <w:rPr>
                <w:bCs/>
                <w:lang w:val="de-DE"/>
              </w:rPr>
              <w:tab/>
              <w:t xml:space="preserve">über die Gläubiger der Verbindlichkeit oder ein in ihrem Namen handelnder Dritter (wie </w:t>
            </w:r>
            <w:r>
              <w:rPr>
                <w:bCs/>
                <w:lang w:val="de-DE"/>
              </w:rPr>
              <w:t>z.B.</w:t>
            </w:r>
            <w:r w:rsidRPr="00E51DE5">
              <w:rPr>
                <w:bCs/>
                <w:lang w:val="de-DE"/>
              </w:rPr>
              <w:t xml:space="preserve"> ein Vertreter oder ein Treuhänder) bei der Ausübung ihrer Rechte aus der Verbindlichkeit oder in Bezug darauf bestimmen können.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pPr>
            <w:r w:rsidRPr="00B33AB2">
              <w:t>Permitted Transfer</w:t>
            </w:r>
            <w:r>
              <w:fldChar w:fldCharType="begin"/>
            </w:r>
            <w:r>
              <w:instrText xml:space="preserve"> XE "</w:instrText>
            </w:r>
            <w:r w:rsidRPr="00A93A6F">
              <w:instrText>Permitted Transfer</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B33AB2">
              <w:t>with respect to a Qualifying Guarantee, a transfer to and the assumption by any single transferee of such Qualifying Guarantee (including by way of cancellation and execution of a new guarantee) on the same or substantially the same terms, in circumstances where there is also a transfer of all (or substantially all) of the assets of the Reference Entity to the same single transferee.</w:t>
            </w:r>
          </w:p>
        </w:tc>
        <w:tc>
          <w:tcPr>
            <w:tcW w:w="1618" w:type="dxa"/>
            <w:gridSpan w:val="2"/>
            <w:tcBorders>
              <w:top w:val="nil"/>
              <w:bottom w:val="nil"/>
              <w:right w:val="nil"/>
            </w:tcBorders>
            <w:shd w:val="clear" w:color="auto" w:fill="auto"/>
          </w:tcPr>
          <w:p w:rsidR="0017135D" w:rsidRPr="00B33AB2" w:rsidP="008516B7">
            <w:pPr>
              <w:pStyle w:val="CSBody8pt"/>
            </w:pPr>
            <w:r w:rsidRPr="00B33AB2">
              <w:t>Zulässige Übertragung</w:t>
            </w:r>
            <w:r>
              <w:fldChar w:fldCharType="begin"/>
            </w:r>
            <w:r>
              <w:instrText xml:space="preserve"> XE "</w:instrText>
            </w:r>
            <w:r w:rsidRPr="000649F6">
              <w:instrText>Zulässige Übertragung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B33AB2" w:rsidP="008516B7">
            <w:pPr>
              <w:pStyle w:val="CSBody8pt"/>
              <w:rPr>
                <w:bCs/>
                <w:lang w:val="de-DE"/>
              </w:rPr>
            </w:pPr>
            <w:r w:rsidRPr="00B33AB2">
              <w:rPr>
                <w:bCs/>
                <w:lang w:val="de-DE"/>
              </w:rPr>
              <w:t>in Bezug auf eine Qualifizierte Garantie eine Übertragung dieser Qualifizierten Garantie auf einen einzigen Übertragungsempfänger und die Übernahme durch diesen (auch durch Kündigung und Ausstellung einer neuen Garantie) zu denselben oder im Wesentlichen denselben Bedingungen in Fällen, in denen gleichzeitig eine Übertragung des gesamten (oder im Wesentlichen des gesamten) Vermögens des Referenzschuldners auf denselben einzigen Übertragungsempfänger erfolgt.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pPr>
            <w:r w:rsidRPr="00B33AB2">
              <w:t>Post Dismissal Additional Period</w:t>
            </w:r>
            <w:r>
              <w:fldChar w:fldCharType="begin"/>
            </w:r>
            <w:r>
              <w:instrText xml:space="preserve"> XE "</w:instrText>
            </w:r>
            <w:r w:rsidRPr="00FE1779">
              <w:instrText>Post Dismissal Additional Period</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B33AB2">
              <w:t xml:space="preserve">the period from and including the date of the DC Credit Event Question Dismissal to and including the date that is fourteen calendar days thereafter (provided that the relevant Credit Event Resolution Request Date occurred on or prior to the end of the last day of the Notice Delivery Period (including prior to the </w:t>
            </w:r>
            <w:r w:rsidRPr="00792D61">
              <w:rPr>
                <w:b/>
              </w:rPr>
              <w:t>[</w:t>
            </w:r>
            <w:r w:rsidRPr="00B33AB2">
              <w:t>Issue</w:t>
            </w:r>
            <w:r w:rsidRPr="00792D61">
              <w:rPr>
                <w:b/>
              </w:rPr>
              <w:t>][</w:t>
            </w:r>
            <w:r w:rsidRPr="00B33AB2">
              <w:t>Trade</w:t>
            </w:r>
            <w:r w:rsidRPr="00792D61">
              <w:rPr>
                <w:b/>
              </w:rPr>
              <w:t>]</w:t>
            </w:r>
            <w:r w:rsidRPr="00B33AB2">
              <w:t xml:space="preserve"> Date)).</w:t>
            </w:r>
          </w:p>
        </w:tc>
        <w:tc>
          <w:tcPr>
            <w:tcW w:w="1618" w:type="dxa"/>
            <w:gridSpan w:val="2"/>
            <w:tcBorders>
              <w:top w:val="nil"/>
              <w:bottom w:val="nil"/>
              <w:right w:val="nil"/>
            </w:tcBorders>
            <w:shd w:val="clear" w:color="auto" w:fill="auto"/>
          </w:tcPr>
          <w:p w:rsidR="0017135D" w:rsidRPr="00B33AB2" w:rsidP="008516B7">
            <w:pPr>
              <w:pStyle w:val="CSBody8pt"/>
            </w:pPr>
            <w:r w:rsidRPr="00B33AB2">
              <w:t>Zusatzfrist nach Ablehnung</w:t>
            </w:r>
            <w:r>
              <w:fldChar w:fldCharType="begin"/>
            </w:r>
            <w:r>
              <w:instrText xml:space="preserve"> XE "</w:instrText>
            </w:r>
            <w:r w:rsidRPr="008145EA">
              <w:instrText>Zusatzfrist nach Ablehnung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B33AB2" w:rsidP="008516B7">
            <w:pPr>
              <w:pStyle w:val="CSBody8pt"/>
              <w:rPr>
                <w:bCs/>
                <w:lang w:val="de-DE"/>
              </w:rPr>
            </w:pPr>
            <w:r w:rsidRPr="00B33AB2">
              <w:rPr>
                <w:bCs/>
                <w:lang w:val="de-DE"/>
              </w:rPr>
              <w:t xml:space="preserve">der Zeitraum von dem Tag der Ablehnung eines Kreditereignisbeschluss-Antrags (einschliesslich) bis zum 14. darauffolgenden Kalendertag (einschliesslich) (vorausgesetzt, dass das massgebliche Kreditereignisbeschluss-Antragsdatum am oder vor dem Ende des letzten Tages der Mitteilungsfrist liegt (wobei es auch vor dem </w:t>
            </w:r>
            <w:r w:rsidRPr="00792D61">
              <w:rPr>
                <w:b/>
                <w:bCs/>
                <w:lang w:val="de-DE"/>
              </w:rPr>
              <w:t>[</w:t>
            </w:r>
            <w:r w:rsidRPr="00B33AB2">
              <w:rPr>
                <w:bCs/>
                <w:lang w:val="de-DE"/>
              </w:rPr>
              <w:t>Emissionstag</w:t>
            </w:r>
            <w:r w:rsidRPr="00792D61">
              <w:rPr>
                <w:b/>
                <w:bCs/>
                <w:lang w:val="de-DE"/>
              </w:rPr>
              <w:t>][</w:t>
            </w:r>
            <w:r w:rsidRPr="00B33AB2">
              <w:rPr>
                <w:bCs/>
                <w:lang w:val="de-DE"/>
              </w:rPr>
              <w:t>Abschlusstag</w:t>
            </w:r>
            <w:r w:rsidRPr="00792D61">
              <w:rPr>
                <w:b/>
                <w:bCs/>
                <w:lang w:val="de-DE"/>
              </w:rPr>
              <w:t>]</w:t>
            </w:r>
            <w:r w:rsidRPr="00B33AB2">
              <w:rPr>
                <w:bCs/>
                <w:lang w:val="de-DE"/>
              </w:rPr>
              <w:t xml:space="preserve"> liegen kann)).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pPr>
            <w:r w:rsidRPr="00B33AB2">
              <w:t>Potential Credit Event Determination Period</w:t>
            </w:r>
            <w:r>
              <w:fldChar w:fldCharType="begin"/>
            </w:r>
            <w:r>
              <w:instrText xml:space="preserve"> XE "</w:instrText>
            </w:r>
            <w:r w:rsidRPr="0073752B">
              <w:instrText>Potential Credit Event Determination Period</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B33AB2">
              <w:t xml:space="preserve">If a Credit Event Resolution Request Date </w:t>
            </w:r>
            <w:r w:rsidRPr="00792D61">
              <w:rPr>
                <w:b/>
              </w:rPr>
              <w:t>[</w:t>
            </w:r>
            <w:r w:rsidRPr="00B33AB2">
              <w:rPr>
                <w:b/>
                <w:i/>
              </w:rPr>
              <w:t>if a Basket is applicable or in the case of Complex Products with N</w:t>
            </w:r>
            <w:r w:rsidRPr="00BD6E0D">
              <w:rPr>
                <w:b/>
                <w:i/>
                <w:vertAlign w:val="superscript"/>
              </w:rPr>
              <w:t>th</w:t>
            </w:r>
            <w:r w:rsidRPr="00B33AB2">
              <w:rPr>
                <w:b/>
                <w:i/>
              </w:rPr>
              <w:t xml:space="preserve">-to-Default structure, insert: </w:t>
            </w:r>
            <w:r w:rsidRPr="00B33AB2">
              <w:t xml:space="preserve">with respect to </w:t>
            </w:r>
            <w:r w:rsidRPr="00792D61">
              <w:rPr>
                <w:b/>
              </w:rPr>
              <w:t>[</w:t>
            </w:r>
            <w:r w:rsidRPr="00B33AB2">
              <w:t>any</w:t>
            </w:r>
            <w:r w:rsidRPr="00792D61">
              <w:rPr>
                <w:b/>
              </w:rPr>
              <w:t>][</w:t>
            </w:r>
            <w:r w:rsidRPr="00B33AB2">
              <w:t>the relevant</w:t>
            </w:r>
            <w:r w:rsidRPr="00792D61">
              <w:rPr>
                <w:b/>
              </w:rPr>
              <w:t>]</w:t>
            </w:r>
            <w:r w:rsidRPr="00B33AB2">
              <w:t xml:space="preserve"> Reference Entity</w:t>
            </w:r>
            <w:r w:rsidRPr="00792D61">
              <w:rPr>
                <w:b/>
              </w:rPr>
              <w:t>]</w:t>
            </w:r>
            <w:r w:rsidRPr="00B33AB2">
              <w:t xml:space="preserve"> occurs or a DC Pending Request </w:t>
            </w:r>
            <w:r w:rsidRPr="00792D61">
              <w:rPr>
                <w:b/>
                <w:i/>
              </w:rPr>
              <w:t>[</w:t>
            </w:r>
            <w:r w:rsidRPr="00B33AB2">
              <w:rPr>
                <w:b/>
                <w:i/>
              </w:rPr>
              <w:t>if a Basket is applicable or in the case of Complex Products with N</w:t>
            </w:r>
            <w:r w:rsidRPr="00BD6E0D">
              <w:rPr>
                <w:b/>
                <w:i/>
                <w:vertAlign w:val="superscript"/>
              </w:rPr>
              <w:t>th</w:t>
            </w:r>
            <w:r w:rsidRPr="00B33AB2">
              <w:rPr>
                <w:b/>
                <w:i/>
              </w:rPr>
              <w:t xml:space="preserve">-to-Default structure, insert: </w:t>
            </w:r>
            <w:r w:rsidRPr="00B33AB2">
              <w:t xml:space="preserve">with respect to </w:t>
            </w:r>
            <w:r w:rsidRPr="00792D61">
              <w:rPr>
                <w:b/>
              </w:rPr>
              <w:t>[</w:t>
            </w:r>
            <w:r w:rsidRPr="00B33AB2">
              <w:t>any</w:t>
            </w:r>
            <w:r w:rsidRPr="00792D61">
              <w:rPr>
                <w:b/>
              </w:rPr>
              <w:t>][</w:t>
            </w:r>
            <w:r w:rsidRPr="00B33AB2">
              <w:t>the relevant</w:t>
            </w:r>
            <w:r w:rsidRPr="00792D61">
              <w:rPr>
                <w:b/>
              </w:rPr>
              <w:t>]</w:t>
            </w:r>
            <w:r w:rsidRPr="00B33AB2">
              <w:t xml:space="preserve"> Reference Entity</w:t>
            </w:r>
            <w:r w:rsidRPr="00792D61">
              <w:rPr>
                <w:b/>
              </w:rPr>
              <w:t>]</w:t>
            </w:r>
            <w:r w:rsidRPr="00B33AB2">
              <w:t xml:space="preserve"> exists on or prior to the Scheduled Maturity Date or on or prior to the relevant Interest Payment Date, as applicable (or on or prior to the last day of the relevant Potential Failure to Pay Period </w:t>
            </w:r>
            <w:r w:rsidRPr="00792D61">
              <w:rPr>
                <w:b/>
              </w:rPr>
              <w:t>[</w:t>
            </w:r>
            <w:r w:rsidRPr="00B33AB2">
              <w:rPr>
                <w:b/>
                <w:i/>
              </w:rPr>
              <w:t xml:space="preserve">if "Repudiation/Moratorium" is applicable, insert: </w:t>
            </w:r>
            <w:r w:rsidRPr="00B33AB2">
              <w:t>or Potential Repudiation/Moratorium Period</w:t>
            </w:r>
            <w:r w:rsidRPr="00792D61">
              <w:rPr>
                <w:b/>
              </w:rPr>
              <w:t>]</w:t>
            </w:r>
            <w:r w:rsidRPr="00B33AB2">
              <w:t xml:space="preserve"> if, on or prior to such Scheduled Maturity Date or Interest Payment Date, as applicable, a Potential Failure to Pay Period </w:t>
            </w:r>
            <w:r w:rsidRPr="00792D61">
              <w:rPr>
                <w:b/>
              </w:rPr>
              <w:t>[</w:t>
            </w:r>
            <w:r w:rsidRPr="00B33AB2">
              <w:rPr>
                <w:b/>
                <w:i/>
              </w:rPr>
              <w:t>if "Repudiation/Moratorium" is applicable, insert:</w:t>
            </w:r>
            <w:r w:rsidRPr="00B33AB2">
              <w:t xml:space="preserve"> or a Potential Repudiation/Moratorium Period</w:t>
            </w:r>
            <w:r w:rsidRPr="00792D61">
              <w:rPr>
                <w:b/>
              </w:rPr>
              <w:t>]</w:t>
            </w:r>
            <w:r w:rsidRPr="00B33AB2">
              <w:t xml:space="preserve"> has occurred and is continuing), the period from and including the date of either (a) such Credit Event Resolution Request Date or (b) the publication of the notice to the Holders, informing them of the occurrence of the Potential Credit Event Determination Period, to and including (a) if the Credit Derivatives Determinations Committee Resolves that a Credit Event has occurred and as a result a Credit Event Determination Date has occurred</w:t>
            </w:r>
            <w:r w:rsidRPr="00792D61">
              <w:rPr>
                <w:b/>
              </w:rPr>
              <w:t>[</w:t>
            </w:r>
            <w:r w:rsidRPr="00B33AB2">
              <w:rPr>
                <w:b/>
                <w:i/>
              </w:rPr>
              <w:t>if a Basket is applicable or in the case of Complex Products with N</w:t>
            </w:r>
            <w:r w:rsidRPr="00BD6E0D">
              <w:rPr>
                <w:b/>
                <w:i/>
                <w:vertAlign w:val="superscript"/>
              </w:rPr>
              <w:t>th</w:t>
            </w:r>
            <w:r w:rsidRPr="00B33AB2">
              <w:rPr>
                <w:b/>
                <w:i/>
              </w:rPr>
              <w:t xml:space="preserve">-to-Default structure, insert: </w:t>
            </w:r>
            <w:r w:rsidRPr="00B33AB2">
              <w:t>with respect to such Reference Entity</w:t>
            </w:r>
            <w:r w:rsidRPr="00792D61">
              <w:rPr>
                <w:b/>
              </w:rPr>
              <w:t>]</w:t>
            </w:r>
            <w:r w:rsidRPr="00B33AB2">
              <w:t xml:space="preserve">, the date falling </w:t>
            </w:r>
            <w:r w:rsidRPr="00792D61">
              <w:rPr>
                <w:b/>
              </w:rPr>
              <w:t>[</w:t>
            </w:r>
            <w:r w:rsidRPr="00B33AB2">
              <w:t>15</w:t>
            </w:r>
            <w:r w:rsidRPr="00792D61">
              <w:rPr>
                <w:b/>
              </w:rPr>
              <w:t>][</w:t>
            </w:r>
            <w:r w:rsidRPr="00B33AB2">
              <w:rPr>
                <w:rFonts w:ascii="Arial" w:hAnsi="Arial" w:cs="Arial"/>
              </w:rPr>
              <w:t>●</w:t>
            </w:r>
            <w:r w:rsidRPr="00792D61">
              <w:rPr>
                <w:b/>
              </w:rPr>
              <w:t>]</w:t>
            </w:r>
            <w:r w:rsidRPr="00B33AB2">
              <w:t xml:space="preserve"> Business Days after the relevant DC Credit Event Announcement, (b) if the Credit Derivatives Determinations Committee Resolves that a Credit Event has not occurred, the date falling </w:t>
            </w:r>
            <w:r w:rsidRPr="00792D61">
              <w:rPr>
                <w:b/>
              </w:rPr>
              <w:t>[</w:t>
            </w:r>
            <w:r w:rsidRPr="00B33AB2">
              <w:t>five</w:t>
            </w:r>
            <w:r w:rsidRPr="00792D61">
              <w:rPr>
                <w:b/>
              </w:rPr>
              <w:t>][</w:t>
            </w:r>
            <w:r w:rsidRPr="00B33AB2">
              <w:rPr>
                <w:rFonts w:ascii="Arial" w:hAnsi="Arial" w:cs="Arial"/>
              </w:rPr>
              <w:t>●</w:t>
            </w:r>
            <w:r w:rsidRPr="00792D61">
              <w:rPr>
                <w:b/>
              </w:rPr>
              <w:t>]</w:t>
            </w:r>
            <w:r w:rsidRPr="00B33AB2">
              <w:t xml:space="preserve"> Business Days after the relevant DC No Credit Event Announcement or, (c) if the Credit Derivatives Determinations Committee Resolves to dismiss the DC Credit Event Question, the date falling </w:t>
            </w:r>
            <w:r w:rsidRPr="00792D61">
              <w:rPr>
                <w:b/>
              </w:rPr>
              <w:t>[</w:t>
            </w:r>
            <w:r w:rsidRPr="00B33AB2">
              <w:t>15</w:t>
            </w:r>
            <w:r w:rsidRPr="00792D61">
              <w:rPr>
                <w:b/>
              </w:rPr>
              <w:t>][</w:t>
            </w:r>
            <w:r w:rsidRPr="00B33AB2">
              <w:rPr>
                <w:rFonts w:ascii="Arial" w:hAnsi="Arial" w:cs="Arial"/>
              </w:rPr>
              <w:t>●</w:t>
            </w:r>
            <w:r w:rsidRPr="00792D61">
              <w:rPr>
                <w:b/>
              </w:rPr>
              <w:t>]</w:t>
            </w:r>
            <w:r w:rsidRPr="00B33AB2">
              <w:t xml:space="preserve"> Business Days after the relevant DC Credit Event Question Dismissal.</w:t>
            </w:r>
          </w:p>
        </w:tc>
        <w:tc>
          <w:tcPr>
            <w:tcW w:w="1618" w:type="dxa"/>
            <w:gridSpan w:val="2"/>
            <w:tcBorders>
              <w:top w:val="nil"/>
              <w:bottom w:val="nil"/>
              <w:right w:val="nil"/>
            </w:tcBorders>
            <w:shd w:val="clear" w:color="auto" w:fill="auto"/>
          </w:tcPr>
          <w:p w:rsidR="0017135D" w:rsidRPr="00B33AB2" w:rsidP="008516B7">
            <w:pPr>
              <w:pStyle w:val="CSBody8pt"/>
              <w:rPr>
                <w:lang w:val="de-DE"/>
              </w:rPr>
            </w:pPr>
            <w:r w:rsidRPr="00B33AB2">
              <w:rPr>
                <w:lang w:val="de-DE"/>
              </w:rPr>
              <w:t>Zeitraum der Feststellung eines Potenziellen Kreditereignisses</w:t>
            </w:r>
            <w:r>
              <w:rPr>
                <w:lang w:val="de-DE"/>
              </w:rPr>
              <w:fldChar w:fldCharType="begin"/>
            </w:r>
            <w:r w:rsidRPr="00B33AB2">
              <w:rPr>
                <w:lang w:val="de-DE"/>
              </w:rPr>
              <w:instrText xml:space="preserve"> XE "</w:instrText>
            </w:r>
            <w:r w:rsidRPr="00EE2865">
              <w:rPr>
                <w:lang w:val="de-DE"/>
              </w:rPr>
              <w:instrText>Zeitraum der Feststellung eines Potenziellen Kreditereignisses</w:instrText>
            </w:r>
            <w:r w:rsidRPr="00B33AB2">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1C731D" w:rsidP="008516B7">
            <w:pPr>
              <w:pStyle w:val="CSBody8pt"/>
              <w:rPr>
                <w:bCs/>
                <w:lang w:val="de-DE"/>
              </w:rPr>
            </w:pPr>
            <w:r w:rsidRPr="00B33AB2">
              <w:rPr>
                <w:bCs/>
                <w:lang w:val="de-DE"/>
              </w:rPr>
              <w:t xml:space="preserve">Wenn am oder vor dem Planmässigen Fälligkeitstag oder am oder vor dem jeweiligen Zinszahlungstag (oder an oder vor dem letzten Tag eines massgeblichen Zeitraums einer Potenziellen Nichtzahlung </w:t>
            </w:r>
            <w:r w:rsidRPr="00792D61">
              <w:rPr>
                <w:b/>
                <w:bCs/>
                <w:lang w:val="de-DE"/>
              </w:rPr>
              <w:t>[</w:t>
            </w:r>
            <w:r w:rsidRPr="00B33AB2">
              <w:rPr>
                <w:b/>
                <w:bCs/>
                <w:i/>
                <w:lang w:val="de-DE"/>
              </w:rPr>
              <w:t>falls "Nichtanerkennung/Moratorium" anwendbar ist, einfügen:</w:t>
            </w:r>
            <w:r w:rsidRPr="00B33AB2">
              <w:rPr>
                <w:bCs/>
                <w:lang w:val="de-DE"/>
              </w:rPr>
              <w:t xml:space="preserve"> oder eines massgeblichen Zeitraums einer Potenziellen Nichtanerkennung/eines Potenziellen Moratoriums</w:t>
            </w:r>
            <w:r w:rsidRPr="00792D61">
              <w:rPr>
                <w:b/>
                <w:bCs/>
                <w:lang w:val="de-DE"/>
              </w:rPr>
              <w:t>]</w:t>
            </w:r>
            <w:r w:rsidRPr="00B33AB2">
              <w:rPr>
                <w:bCs/>
                <w:lang w:val="de-DE"/>
              </w:rPr>
              <w:t xml:space="preserve">, falls an oder vor dem Planmässigen Fälligkeitstag oder dem betreffenden Zinszahlungstag ein Zeitraum einer Potenziellen Nichtzahlung </w:t>
            </w:r>
            <w:r w:rsidRPr="00792D61">
              <w:rPr>
                <w:b/>
                <w:bCs/>
                <w:lang w:val="de-DE"/>
              </w:rPr>
              <w:t>[</w:t>
            </w:r>
            <w:r w:rsidRPr="00B33AB2">
              <w:rPr>
                <w:b/>
                <w:bCs/>
                <w:i/>
                <w:lang w:val="de-DE"/>
              </w:rPr>
              <w:t>falls "Nicht-anerkennung/Moratorium" anwendbar ist, einfügen:</w:t>
            </w:r>
            <w:r w:rsidRPr="00B33AB2">
              <w:rPr>
                <w:bCs/>
                <w:lang w:val="de-DE"/>
              </w:rPr>
              <w:t xml:space="preserve"> oder ein Zeitraum einer Potenziellen Nichtanerkennung/eines Potenziellen Moratoriums</w:t>
            </w:r>
            <w:r w:rsidRPr="00792D61">
              <w:rPr>
                <w:b/>
                <w:bCs/>
                <w:lang w:val="de-DE"/>
              </w:rPr>
              <w:t>]</w:t>
            </w:r>
            <w:r w:rsidRPr="00B33AB2">
              <w:rPr>
                <w:bCs/>
                <w:lang w:val="de-DE"/>
              </w:rPr>
              <w:t xml:space="preserve"> begonnen hat und an diesem Tag andauert) ein Kreditereignisbeschluss-Antragsdatum </w:t>
            </w:r>
            <w:r w:rsidRPr="00792D61">
              <w:rPr>
                <w:b/>
                <w:bCs/>
                <w:lang w:val="de-DE"/>
              </w:rPr>
              <w:t>[</w:t>
            </w:r>
            <w:r w:rsidRPr="00B33AB2">
              <w:rPr>
                <w:b/>
                <w:bCs/>
                <w:i/>
                <w:lang w:val="de-DE"/>
              </w:rPr>
              <w:t>falls ein Korb anwendbar ist oder bei Komplexen Produkten mit N</w:t>
            </w:r>
            <w:r w:rsidRPr="00BD6E0D">
              <w:rPr>
                <w:b/>
                <w:i/>
                <w:vertAlign w:val="superscript"/>
                <w:lang w:val="de-DE"/>
              </w:rPr>
              <w:t>th</w:t>
            </w:r>
            <w:r w:rsidRPr="00B33AB2">
              <w:rPr>
                <w:b/>
                <w:bCs/>
                <w:i/>
                <w:lang w:val="de-DE"/>
              </w:rPr>
              <w:t xml:space="preserve">-to-Default-Struktur, einfügen: </w:t>
            </w:r>
            <w:r w:rsidRPr="00B33AB2">
              <w:rPr>
                <w:bCs/>
                <w:lang w:val="de-DE"/>
              </w:rPr>
              <w:t xml:space="preserve">in Bezug auf </w:t>
            </w:r>
            <w:r w:rsidRPr="00792D61">
              <w:rPr>
                <w:b/>
                <w:bCs/>
                <w:lang w:val="de-DE"/>
              </w:rPr>
              <w:t>[</w:t>
            </w:r>
            <w:r w:rsidRPr="00B33AB2">
              <w:rPr>
                <w:bCs/>
                <w:lang w:val="de-DE"/>
              </w:rPr>
              <w:t>einen</w:t>
            </w:r>
            <w:r w:rsidRPr="00792D61">
              <w:rPr>
                <w:b/>
                <w:bCs/>
                <w:lang w:val="de-DE"/>
              </w:rPr>
              <w:t>][</w:t>
            </w:r>
            <w:r w:rsidRPr="00B33AB2">
              <w:rPr>
                <w:bCs/>
                <w:lang w:val="de-DE"/>
              </w:rPr>
              <w:t>den betreffenden</w:t>
            </w:r>
            <w:r w:rsidRPr="00792D61">
              <w:rPr>
                <w:b/>
                <w:bCs/>
                <w:lang w:val="de-DE"/>
              </w:rPr>
              <w:t>]</w:t>
            </w:r>
            <w:r w:rsidRPr="00B33AB2">
              <w:rPr>
                <w:bCs/>
                <w:lang w:val="de-DE"/>
              </w:rPr>
              <w:t xml:space="preserve"> Referenzschuldner</w:t>
            </w:r>
            <w:r w:rsidRPr="00792D61">
              <w:rPr>
                <w:b/>
                <w:bCs/>
                <w:lang w:val="de-DE"/>
              </w:rPr>
              <w:t>]</w:t>
            </w:r>
            <w:r w:rsidRPr="00B33AB2">
              <w:rPr>
                <w:bCs/>
                <w:lang w:val="de-DE"/>
              </w:rPr>
              <w:t xml:space="preserve"> eingetreten ist oder ein Ausstehender Antrag </w:t>
            </w:r>
            <w:r w:rsidRPr="00792D61">
              <w:rPr>
                <w:b/>
                <w:bCs/>
                <w:lang w:val="de-DE"/>
              </w:rPr>
              <w:t>[</w:t>
            </w:r>
            <w:r w:rsidRPr="00B33AB2">
              <w:rPr>
                <w:b/>
                <w:bCs/>
                <w:i/>
                <w:lang w:val="de-DE"/>
              </w:rPr>
              <w:t>falls ein Korb anwendbar ist oder bei Komplexen Produkten mit N</w:t>
            </w:r>
            <w:r w:rsidRPr="00BD6E0D">
              <w:rPr>
                <w:b/>
                <w:i/>
                <w:vertAlign w:val="superscript"/>
                <w:lang w:val="de-DE"/>
              </w:rPr>
              <w:t>th</w:t>
            </w:r>
            <w:r w:rsidRPr="00B33AB2">
              <w:rPr>
                <w:b/>
                <w:bCs/>
                <w:i/>
                <w:lang w:val="de-DE"/>
              </w:rPr>
              <w:t>-to-Default-Struktur, einfügen:</w:t>
            </w:r>
            <w:r w:rsidRPr="00B33AB2">
              <w:rPr>
                <w:bCs/>
                <w:lang w:val="de-DE"/>
              </w:rPr>
              <w:t xml:space="preserve"> in Bezug auf </w:t>
            </w:r>
            <w:r w:rsidRPr="00792D61">
              <w:rPr>
                <w:b/>
                <w:bCs/>
                <w:lang w:val="de-DE"/>
              </w:rPr>
              <w:t>[</w:t>
            </w:r>
            <w:r w:rsidRPr="00B33AB2">
              <w:rPr>
                <w:bCs/>
                <w:lang w:val="de-DE"/>
              </w:rPr>
              <w:t>einen</w:t>
            </w:r>
            <w:r w:rsidRPr="00792D61">
              <w:rPr>
                <w:b/>
                <w:bCs/>
                <w:lang w:val="de-DE"/>
              </w:rPr>
              <w:t>][</w:t>
            </w:r>
            <w:r w:rsidRPr="00B33AB2">
              <w:rPr>
                <w:bCs/>
                <w:lang w:val="de-DE"/>
              </w:rPr>
              <w:t>den betreffenden</w:t>
            </w:r>
            <w:r w:rsidRPr="00792D61">
              <w:rPr>
                <w:b/>
                <w:bCs/>
                <w:lang w:val="de-DE"/>
              </w:rPr>
              <w:t>]</w:t>
            </w:r>
            <w:r w:rsidRPr="00B33AB2">
              <w:rPr>
                <w:bCs/>
                <w:lang w:val="de-DE"/>
              </w:rPr>
              <w:t xml:space="preserve"> Referenzschuldner</w:t>
            </w:r>
            <w:r w:rsidRPr="00792D61">
              <w:rPr>
                <w:b/>
                <w:bCs/>
                <w:lang w:val="de-DE"/>
              </w:rPr>
              <w:t>]</w:t>
            </w:r>
            <w:r w:rsidRPr="00B33AB2">
              <w:rPr>
                <w:bCs/>
                <w:lang w:val="de-DE"/>
              </w:rPr>
              <w:t xml:space="preserve"> vorliegt, so gilt der Zeitraum ab entweder dem Tag (a) dieses Kreditereignisbeschluss-Antragsdatums oder (b) der Veröffentlichung der Mitteilung an die Inhaber, die sie über den Eintritt eines Zeitraums eines Potenziellen Kreditereignisses informiert, bis (einschliesslich) (a) falls der Kreditderivate-Feststellungsausschuss Beschlossen hat, dass ein Kreditereignis-Feststellungstag </w:t>
            </w:r>
            <w:r w:rsidRPr="00792D61">
              <w:rPr>
                <w:b/>
                <w:bCs/>
                <w:lang w:val="de-DE"/>
              </w:rPr>
              <w:t>[</w:t>
            </w:r>
            <w:r w:rsidRPr="00B33AB2">
              <w:rPr>
                <w:b/>
                <w:bCs/>
                <w:i/>
                <w:lang w:val="de-DE"/>
              </w:rPr>
              <w:t>falls ein Korb anwendbar ist oder bei Komplexen Produkten mit N</w:t>
            </w:r>
            <w:r w:rsidRPr="00BD6E0D">
              <w:rPr>
                <w:b/>
                <w:i/>
                <w:vertAlign w:val="superscript"/>
                <w:lang w:val="de-DE"/>
              </w:rPr>
              <w:t>th</w:t>
            </w:r>
            <w:r w:rsidRPr="00B33AB2">
              <w:rPr>
                <w:b/>
                <w:bCs/>
                <w:i/>
                <w:lang w:val="de-DE"/>
              </w:rPr>
              <w:t>-to-Default-Struktur, einfügen:</w:t>
            </w:r>
            <w:r w:rsidRPr="00B33AB2">
              <w:rPr>
                <w:bCs/>
                <w:lang w:val="de-DE"/>
              </w:rPr>
              <w:t xml:space="preserve"> in Bezug auf den betreffenden Referenzschuldner</w:t>
            </w:r>
            <w:r w:rsidRPr="00792D61">
              <w:rPr>
                <w:b/>
                <w:bCs/>
                <w:lang w:val="de-DE"/>
              </w:rPr>
              <w:t>]</w:t>
            </w:r>
            <w:r w:rsidRPr="00B33AB2">
              <w:rPr>
                <w:bCs/>
                <w:lang w:val="de-DE"/>
              </w:rPr>
              <w:t xml:space="preserve"> eingetreten ist: zum Tag, der </w:t>
            </w:r>
            <w:r w:rsidRPr="00792D61">
              <w:rPr>
                <w:b/>
                <w:bCs/>
                <w:lang w:val="de-DE"/>
              </w:rPr>
              <w:t>[</w:t>
            </w:r>
            <w:r w:rsidRPr="00B33AB2">
              <w:rPr>
                <w:bCs/>
                <w:lang w:val="de-DE"/>
              </w:rPr>
              <w:t>15</w:t>
            </w:r>
            <w:r w:rsidRPr="00792D61">
              <w:rPr>
                <w:b/>
                <w:bCs/>
                <w:lang w:val="de-DE"/>
              </w:rPr>
              <w:t>][</w:t>
            </w:r>
            <w:r w:rsidRPr="00B33AB2">
              <w:rPr>
                <w:bCs/>
                <w:lang w:val="de-DE"/>
              </w:rPr>
              <w:t>•</w:t>
            </w:r>
            <w:r w:rsidRPr="00792D61">
              <w:rPr>
                <w:b/>
                <w:bCs/>
                <w:lang w:val="de-DE"/>
              </w:rPr>
              <w:t>]</w:t>
            </w:r>
            <w:r w:rsidRPr="00B33AB2">
              <w:rPr>
                <w:bCs/>
                <w:lang w:val="de-DE"/>
              </w:rPr>
              <w:t xml:space="preserve"> Geschäftstage nach der jeweiligen Bekanntgabe eines Kreditereignisbeschlusses liegt, (b) falls der Kreditderivate-Feststellungsausschuss Beschlossen hat, dass kein Kreditereignis eingetreten ist: zum Tag, der </w:t>
            </w:r>
            <w:r w:rsidRPr="00792D61">
              <w:rPr>
                <w:b/>
                <w:bCs/>
                <w:lang w:val="de-DE"/>
              </w:rPr>
              <w:t>[</w:t>
            </w:r>
            <w:r w:rsidRPr="00B33AB2">
              <w:rPr>
                <w:bCs/>
                <w:lang w:val="de-DE"/>
              </w:rPr>
              <w:t>fünf</w:t>
            </w:r>
            <w:r w:rsidRPr="00792D61">
              <w:rPr>
                <w:b/>
                <w:bCs/>
                <w:lang w:val="de-DE"/>
              </w:rPr>
              <w:t>][</w:t>
            </w:r>
            <w:r w:rsidRPr="00B33AB2">
              <w:rPr>
                <w:bCs/>
                <w:lang w:val="de-DE"/>
              </w:rPr>
              <w:t>•</w:t>
            </w:r>
            <w:r w:rsidRPr="00792D61">
              <w:rPr>
                <w:b/>
                <w:bCs/>
                <w:lang w:val="de-DE"/>
              </w:rPr>
              <w:t>]</w:t>
            </w:r>
            <w:r w:rsidRPr="00B33AB2">
              <w:rPr>
                <w:bCs/>
                <w:lang w:val="de-DE"/>
              </w:rPr>
              <w:t xml:space="preserve"> Geschäftstage nach der jeweiligen Bekanntgabe des Nichtvorliegens eines Kreditereignisses liegt, oder (c) falls der Kreditderivate-Feststellungsausschuss Beschlossen hat, einen Kreditereignisbeschluss-Antrag abzulehnen: zum Tag, der </w:t>
            </w:r>
            <w:r w:rsidRPr="00792D61">
              <w:rPr>
                <w:b/>
                <w:bCs/>
                <w:lang w:val="de-DE"/>
              </w:rPr>
              <w:t>[</w:t>
            </w:r>
            <w:r w:rsidRPr="00B33AB2">
              <w:rPr>
                <w:bCs/>
                <w:lang w:val="de-DE"/>
              </w:rPr>
              <w:t>15</w:t>
            </w:r>
            <w:r w:rsidRPr="00792D61">
              <w:rPr>
                <w:b/>
                <w:bCs/>
                <w:lang w:val="de-DE"/>
              </w:rPr>
              <w:t>][</w:t>
            </w:r>
            <w:r w:rsidRPr="00B33AB2">
              <w:rPr>
                <w:bCs/>
                <w:lang w:val="de-DE"/>
              </w:rPr>
              <w:t>•</w:t>
            </w:r>
            <w:r w:rsidRPr="00792D61">
              <w:rPr>
                <w:b/>
                <w:bCs/>
                <w:lang w:val="de-DE"/>
              </w:rPr>
              <w:t>]</w:t>
            </w:r>
            <w:r w:rsidRPr="00B33AB2">
              <w:rPr>
                <w:bCs/>
                <w:lang w:val="de-DE"/>
              </w:rPr>
              <w:t xml:space="preserve"> Geschäftstage nach der jeweiligen Ablehnung des Kreditereignisbeschluss-Antrags liegt.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33AB2" w:rsidP="008516B7">
            <w:pPr>
              <w:pStyle w:val="CSBody8pt"/>
              <w:rPr>
                <w:lang w:val="de-DE"/>
              </w:rPr>
            </w:pPr>
            <w:r w:rsidRPr="00B33AB2">
              <w:rPr>
                <w:lang w:val="de-DE"/>
              </w:rPr>
              <w:t>Potential Credit Event Period</w:t>
            </w:r>
            <w:r>
              <w:rPr>
                <w:lang w:val="de-DE"/>
              </w:rPr>
              <w:fldChar w:fldCharType="begin"/>
            </w:r>
            <w:r>
              <w:instrText xml:space="preserve"> XE "</w:instrText>
            </w:r>
            <w:r w:rsidRPr="00430B29">
              <w:rPr>
                <w:lang w:val="de-DE"/>
              </w:rPr>
              <w:instrText>Potential Credit Event Period</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B33AB2" w:rsidP="008516B7">
            <w:pPr>
              <w:pStyle w:val="CSBody8pt"/>
            </w:pPr>
            <w:r w:rsidRPr="00B33AB2">
              <w:t xml:space="preserve">any Potential Failure to Pay Period, </w:t>
            </w:r>
            <w:r w:rsidRPr="00792D61">
              <w:rPr>
                <w:b/>
              </w:rPr>
              <w:t>[</w:t>
            </w:r>
            <w:r w:rsidRPr="00B33AB2">
              <w:rPr>
                <w:b/>
                <w:i/>
              </w:rPr>
              <w:t>if "Repudiation/Moratorium" is applicable, insert:</w:t>
            </w:r>
            <w:r w:rsidRPr="00B33AB2">
              <w:t xml:space="preserve"> Potential Repudiation/Moratorium Period</w:t>
            </w:r>
            <w:r w:rsidRPr="00792D61">
              <w:rPr>
                <w:b/>
              </w:rPr>
              <w:t>]</w:t>
            </w:r>
            <w:r w:rsidRPr="00B33AB2">
              <w:t xml:space="preserve"> or Potential Credit Event Determination Period, provided that it is possible that any Potential Failure to Pay Period </w:t>
            </w:r>
            <w:r w:rsidRPr="00792D61">
              <w:rPr>
                <w:b/>
              </w:rPr>
              <w:t>[</w:t>
            </w:r>
            <w:r w:rsidRPr="00B33AB2">
              <w:t>or Potential Repudiation/Moratorium Period</w:t>
            </w:r>
            <w:r w:rsidRPr="00792D61">
              <w:rPr>
                <w:b/>
              </w:rPr>
              <w:t>]</w:t>
            </w:r>
            <w:r w:rsidRPr="00B33AB2">
              <w:t xml:space="preserve"> may prior to its expiry be superseded by a Potential Credit Event Determination Period which occurs during such Potential Failure to Pay Period </w:t>
            </w:r>
            <w:r w:rsidRPr="00792D61">
              <w:rPr>
                <w:b/>
              </w:rPr>
              <w:t>[</w:t>
            </w:r>
            <w:r w:rsidRPr="00B33AB2">
              <w:t>or Potential Repudiation/Moratorium Period</w:t>
            </w:r>
            <w:r w:rsidRPr="00792D61">
              <w:rPr>
                <w:b/>
              </w:rPr>
              <w:t>]</w:t>
            </w:r>
            <w:r w:rsidRPr="00B33AB2">
              <w:t>.</w:t>
            </w:r>
          </w:p>
        </w:tc>
        <w:tc>
          <w:tcPr>
            <w:tcW w:w="1618" w:type="dxa"/>
            <w:gridSpan w:val="2"/>
            <w:tcBorders>
              <w:top w:val="nil"/>
              <w:bottom w:val="nil"/>
              <w:right w:val="nil"/>
            </w:tcBorders>
            <w:shd w:val="clear" w:color="auto" w:fill="auto"/>
          </w:tcPr>
          <w:p w:rsidR="0017135D" w:rsidRPr="00B33AB2" w:rsidP="008516B7">
            <w:pPr>
              <w:pStyle w:val="CSBody8pt"/>
              <w:rPr>
                <w:lang w:val="de-DE"/>
              </w:rPr>
            </w:pPr>
            <w:r w:rsidRPr="00B33AB2">
              <w:rPr>
                <w:lang w:val="de-DE"/>
              </w:rPr>
              <w:t>Zeitraum eines Potenziellen Kreditereignisses</w:t>
            </w:r>
            <w:r>
              <w:rPr>
                <w:lang w:val="de-DE"/>
              </w:rPr>
              <w:fldChar w:fldCharType="begin"/>
            </w:r>
            <w:r w:rsidRPr="00B33AB2">
              <w:rPr>
                <w:lang w:val="de-DE"/>
              </w:rPr>
              <w:instrText xml:space="preserve"> XE "</w:instrText>
            </w:r>
            <w:r w:rsidRPr="00242C67">
              <w:rPr>
                <w:lang w:val="de-DE"/>
              </w:rPr>
              <w:instrText>Zeitraum eines Potenziellen Kreditereignisses</w:instrText>
            </w:r>
            <w:r w:rsidRPr="00B33AB2">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1C731D" w:rsidP="009D1C9F">
            <w:pPr>
              <w:pStyle w:val="CSBody8pt"/>
              <w:rPr>
                <w:lang w:val="de-DE"/>
              </w:rPr>
            </w:pPr>
            <w:r w:rsidRPr="00B33AB2">
              <w:rPr>
                <w:lang w:val="de-DE"/>
              </w:rPr>
              <w:t xml:space="preserve">ein Zeitraum einer Potenziellen Nichtzahlung </w:t>
            </w:r>
            <w:r w:rsidRPr="00792D61">
              <w:rPr>
                <w:b/>
                <w:lang w:val="de-DE"/>
              </w:rPr>
              <w:t>[</w:t>
            </w:r>
            <w:r w:rsidRPr="00B33AB2">
              <w:rPr>
                <w:b/>
                <w:i/>
                <w:lang w:val="de-DE"/>
              </w:rPr>
              <w:t xml:space="preserve">falls "Nichtanerkennung/Moratorium" anwendbar ist, einfügen: </w:t>
            </w:r>
            <w:r w:rsidRPr="00B33AB2">
              <w:rPr>
                <w:lang w:val="de-DE"/>
              </w:rPr>
              <w:t>, ein Zeitraum einer Potenziellen Nichtanerkennung/eines Potenziellen Moratoriums</w:t>
            </w:r>
            <w:r w:rsidRPr="00792D61">
              <w:rPr>
                <w:b/>
                <w:lang w:val="de-DE"/>
              </w:rPr>
              <w:t>]</w:t>
            </w:r>
            <w:r w:rsidRPr="00B33AB2">
              <w:rPr>
                <w:lang w:val="de-DE"/>
              </w:rPr>
              <w:t xml:space="preserve"> oder ein Zeitraum der Feststellung eines Potenziellen Kreditereignisses, vorausgesetzt dass es möglich ist, dass ein Zeitraum einer Potenziellen Nichtzahlung </w:t>
            </w:r>
            <w:r w:rsidRPr="00792D61">
              <w:rPr>
                <w:b/>
                <w:lang w:val="de-DE"/>
              </w:rPr>
              <w:t>[</w:t>
            </w:r>
            <w:r w:rsidRPr="00B33AB2">
              <w:rPr>
                <w:lang w:val="de-DE"/>
              </w:rPr>
              <w:t>oder ein Zeitraum einer Potenziellen Nichtanerkennung/eines Potenziellen Moratoriums</w:t>
            </w:r>
            <w:r w:rsidRPr="00792D61">
              <w:rPr>
                <w:b/>
                <w:lang w:val="de-DE"/>
              </w:rPr>
              <w:t>]</w:t>
            </w:r>
            <w:r w:rsidRPr="00B33AB2">
              <w:rPr>
                <w:lang w:val="de-DE"/>
              </w:rPr>
              <w:t xml:space="preserve"> vor seinem Ablauf durch einen Zeitraum der Feststellung eines Potenziellen Kreditereignisses ersetzt werden kann, der während dieses Zeitraums einer Potenziellen Nichtzahlung </w:t>
            </w:r>
            <w:r w:rsidRPr="00792D61">
              <w:rPr>
                <w:b/>
                <w:lang w:val="de-DE"/>
              </w:rPr>
              <w:t>[</w:t>
            </w:r>
            <w:r w:rsidRPr="00B33AB2">
              <w:rPr>
                <w:lang w:val="de-DE"/>
              </w:rPr>
              <w:t>oder dieses Zeitraums einer Potenziellen Nichtanerkennung/eines Potenziellen Moratoriums</w:t>
            </w:r>
            <w:r w:rsidRPr="00792D61">
              <w:rPr>
                <w:b/>
                <w:lang w:val="de-DE"/>
              </w:rPr>
              <w:t>]</w:t>
            </w:r>
            <w:r w:rsidRPr="00B33AB2">
              <w:rPr>
                <w:lang w:val="de-DE"/>
              </w:rPr>
              <w:t xml:space="preserve"> eintritt.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731D" w:rsidP="008516B7">
            <w:pPr>
              <w:pStyle w:val="CSBody8pt"/>
              <w:rPr>
                <w:lang w:val="de-DE"/>
              </w:rPr>
            </w:pPr>
          </w:p>
        </w:tc>
        <w:tc>
          <w:tcPr>
            <w:tcW w:w="3315" w:type="dxa"/>
            <w:gridSpan w:val="2"/>
            <w:tcBorders>
              <w:top w:val="nil"/>
              <w:left w:val="nil"/>
              <w:bottom w:val="nil"/>
            </w:tcBorders>
            <w:shd w:val="clear" w:color="auto" w:fill="auto"/>
          </w:tcPr>
          <w:p w:rsidR="0017135D" w:rsidRPr="00942F00" w:rsidP="008516B7">
            <w:pPr>
              <w:pStyle w:val="CSBody8pt"/>
            </w:pPr>
            <w:r w:rsidRPr="00942F00">
              <w:t xml:space="preserve">The </w:t>
            </w:r>
            <w:r w:rsidRPr="00942F00">
              <w:rPr>
                <w:b/>
              </w:rPr>
              <w:t>[</w:t>
            </w:r>
            <w:r w:rsidRPr="00942F00">
              <w:t>Issuer</w:t>
            </w:r>
            <w:r w:rsidRPr="00942F00">
              <w:rPr>
                <w:b/>
              </w:rPr>
              <w:t>][</w:t>
            </w:r>
            <w:r w:rsidRPr="00942F00">
              <w:t>Calculation Agent</w:t>
            </w:r>
            <w:r w:rsidRPr="00942F00">
              <w:rPr>
                <w:b/>
              </w:rPr>
              <w:t>]</w:t>
            </w:r>
            <w:r w:rsidRPr="00942F00">
              <w:t xml:space="preserve"> shall notify the Holders in accordance with Section </w:t>
            </w:r>
            <w:r w:rsidRPr="00942F00">
              <w:rPr>
                <w:b/>
              </w:rPr>
              <w:t>[</w:t>
            </w:r>
            <w:r w:rsidRPr="00942F00">
              <w:t>8</w:t>
            </w:r>
            <w:r w:rsidRPr="00942F00">
              <w:rPr>
                <w:b/>
              </w:rPr>
              <w:t>][</w:t>
            </w:r>
            <w:r w:rsidRPr="00942F00">
              <w:t>•</w:t>
            </w:r>
            <w:r w:rsidRPr="00942F00">
              <w:rPr>
                <w:b/>
              </w:rPr>
              <w:t>]</w:t>
            </w:r>
            <w:r w:rsidRPr="00942F00">
              <w:t xml:space="preserve"> (a) on or prior to the Scheduled Maturity Date or on or prior to the relevant Interest Payment Date, as applicable, of the occurrence of a Potential Credit Event Period, and (b) on or prior to the last day of a Potential Failure to Pay Period </w:t>
            </w:r>
            <w:r w:rsidRPr="00942F00">
              <w:rPr>
                <w:b/>
              </w:rPr>
              <w:t>[</w:t>
            </w:r>
            <w:r w:rsidRPr="00942F00">
              <w:t>or Potential Repudiation/Moratorium Period</w:t>
            </w:r>
            <w:r w:rsidRPr="00942F00">
              <w:rPr>
                <w:b/>
              </w:rPr>
              <w:t>]</w:t>
            </w:r>
            <w:r w:rsidRPr="00942F00">
              <w:t xml:space="preserve"> of a Potential Credit Event Determination Period that occurs during such Potential Failure to Pay Period </w:t>
            </w:r>
            <w:r w:rsidRPr="00942F00">
              <w:rPr>
                <w:b/>
              </w:rPr>
              <w:t>[</w:t>
            </w:r>
            <w:r w:rsidRPr="00942F00">
              <w:t>or Potential Repudiation/Moratorium Period</w:t>
            </w:r>
            <w:r w:rsidRPr="00942F00">
              <w:rPr>
                <w:b/>
              </w:rPr>
              <w:t>]</w:t>
            </w:r>
            <w:r w:rsidRPr="00942F00">
              <w:t xml:space="preserve">, which notice will briefly describe the facts or events that may amount to, become or create a Potential Failure to Pay </w:t>
            </w:r>
            <w:r w:rsidRPr="00942F00">
              <w:rPr>
                <w:b/>
              </w:rPr>
              <w:t>[</w:t>
            </w:r>
            <w:r w:rsidRPr="00942F00">
              <w:rPr>
                <w:b/>
                <w:i/>
              </w:rPr>
              <w:t>if Repudiation/Moratorium is applicable, insert:</w:t>
            </w:r>
            <w:r w:rsidRPr="00942F00">
              <w:t xml:space="preserve"> or Potential Repudiation/Moratorium</w:t>
            </w:r>
            <w:r w:rsidRPr="00942F00">
              <w:rPr>
                <w:b/>
              </w:rPr>
              <w:t>]</w:t>
            </w:r>
            <w:r w:rsidRPr="00942F00">
              <w:t xml:space="preserve"> and/or the relevant Credit Event, as applicable (any such notice, a "</w:t>
            </w:r>
            <w:r w:rsidRPr="00942F00">
              <w:rPr>
                <w:b/>
              </w:rPr>
              <w:t>Potential Credit Event Period Notice</w:t>
            </w:r>
            <w:r w:rsidRPr="00942F00">
              <w:t>").</w:t>
            </w:r>
          </w:p>
        </w:tc>
        <w:tc>
          <w:tcPr>
            <w:tcW w:w="1618" w:type="dxa"/>
            <w:gridSpan w:val="2"/>
            <w:tcBorders>
              <w:top w:val="nil"/>
              <w:bottom w:val="nil"/>
              <w:right w:val="nil"/>
            </w:tcBorders>
            <w:shd w:val="clear" w:color="auto" w:fill="auto"/>
          </w:tcPr>
          <w:p w:rsidR="0017135D" w:rsidRPr="00942F00" w:rsidP="008516B7">
            <w:pPr>
              <w:pStyle w:val="CSBody8pt"/>
              <w:rPr>
                <w:i/>
              </w:rPr>
            </w:pPr>
          </w:p>
        </w:tc>
        <w:tc>
          <w:tcPr>
            <w:tcW w:w="3318" w:type="dxa"/>
            <w:tcBorders>
              <w:top w:val="nil"/>
              <w:left w:val="nil"/>
              <w:bottom w:val="nil"/>
              <w:right w:val="nil"/>
            </w:tcBorders>
            <w:shd w:val="clear" w:color="auto" w:fill="auto"/>
          </w:tcPr>
          <w:p w:rsidR="0017135D" w:rsidRPr="00942F00" w:rsidP="008516B7">
            <w:pPr>
              <w:pStyle w:val="CSBody8pt"/>
              <w:rPr>
                <w:lang w:val="de-DE"/>
              </w:rPr>
            </w:pPr>
            <w:r w:rsidRPr="00942F00">
              <w:rPr>
                <w:lang w:val="de-DE"/>
              </w:rPr>
              <w:t xml:space="preserve">Die </w:t>
            </w:r>
            <w:r w:rsidRPr="00942F00">
              <w:rPr>
                <w:b/>
                <w:lang w:val="de-DE"/>
              </w:rPr>
              <w:t>[</w:t>
            </w:r>
            <w:r w:rsidRPr="00942F00">
              <w:rPr>
                <w:lang w:val="de-DE"/>
              </w:rPr>
              <w:t>Emittentin</w:t>
            </w:r>
            <w:r w:rsidRPr="00942F00">
              <w:rPr>
                <w:b/>
                <w:lang w:val="de-DE"/>
              </w:rPr>
              <w:t>][</w:t>
            </w:r>
            <w:r w:rsidRPr="00942F00">
              <w:rPr>
                <w:lang w:val="de-DE"/>
              </w:rPr>
              <w:t>Berechnungsstelle</w:t>
            </w:r>
            <w:r w:rsidRPr="00942F00">
              <w:rPr>
                <w:b/>
                <w:lang w:val="de-DE"/>
              </w:rPr>
              <w:t>]</w:t>
            </w:r>
            <w:r w:rsidRPr="00942F00">
              <w:rPr>
                <w:lang w:val="de-DE"/>
              </w:rPr>
              <w:t xml:space="preserve"> wird die Inhaber gemäss Ziffer </w:t>
            </w:r>
            <w:r w:rsidRPr="00942F00">
              <w:rPr>
                <w:b/>
                <w:lang w:val="de-DE"/>
              </w:rPr>
              <w:t>[</w:t>
            </w:r>
            <w:r w:rsidRPr="00942F00">
              <w:rPr>
                <w:lang w:val="de-DE"/>
              </w:rPr>
              <w:t>8</w:t>
            </w:r>
            <w:r w:rsidRPr="00942F00">
              <w:rPr>
                <w:b/>
                <w:lang w:val="de-DE"/>
              </w:rPr>
              <w:t>][</w:t>
            </w:r>
            <w:r w:rsidRPr="00942F00">
              <w:rPr>
                <w:lang w:val="de-DE"/>
              </w:rPr>
              <w:t>•</w:t>
            </w:r>
            <w:r w:rsidRPr="00942F00">
              <w:rPr>
                <w:b/>
                <w:lang w:val="de-DE"/>
              </w:rPr>
              <w:t>]</w:t>
            </w:r>
            <w:r w:rsidRPr="00942F00">
              <w:rPr>
                <w:lang w:val="de-DE"/>
              </w:rPr>
              <w:t xml:space="preserve"> (a) am oder vor dem Planmässigen Fälligkeitstag oder am oder vor dem jeweiligen Zinszahlungstag über den Eintritt eines Zeitraums eines Potenziellen Kreditereignisses informieren und (b) am oder vor dem letzten Tag eines Zeitraums einer Potenziellen Nichtzahlung </w:t>
            </w:r>
            <w:r w:rsidRPr="00942F00">
              <w:rPr>
                <w:b/>
                <w:lang w:val="de-DE"/>
              </w:rPr>
              <w:t>[</w:t>
            </w:r>
            <w:r w:rsidRPr="00942F00">
              <w:rPr>
                <w:lang w:val="de-DE"/>
              </w:rPr>
              <w:t>oder eines Zeitraums einer Potenziellen Nichtanerkennung/eines Potenziellen Moratoriums</w:t>
            </w:r>
            <w:r w:rsidRPr="00942F00">
              <w:rPr>
                <w:b/>
                <w:lang w:val="de-DE"/>
              </w:rPr>
              <w:t>]</w:t>
            </w:r>
            <w:r w:rsidRPr="00942F00">
              <w:rPr>
                <w:lang w:val="de-DE"/>
              </w:rPr>
              <w:t xml:space="preserve"> über den Eintritt eines Zeitraums der Feststellung eines Potenziellen Kreditereignisses, der während dieses Zeitraums einer Potenziellen Nichtzahlung </w:t>
            </w:r>
            <w:r w:rsidRPr="00942F00">
              <w:rPr>
                <w:b/>
                <w:lang w:val="de-DE"/>
              </w:rPr>
              <w:t>[</w:t>
            </w:r>
            <w:r w:rsidRPr="00942F00">
              <w:rPr>
                <w:lang w:val="de-DE"/>
              </w:rPr>
              <w:t>oder dieses Zeitraums einer Potenziellen Nichtanerkennung/eines Potenziellen Moratoriums</w:t>
            </w:r>
            <w:r w:rsidRPr="00942F00">
              <w:rPr>
                <w:b/>
                <w:lang w:val="de-DE"/>
              </w:rPr>
              <w:t>]</w:t>
            </w:r>
            <w:r w:rsidRPr="00942F00">
              <w:rPr>
                <w:lang w:val="de-DE"/>
              </w:rPr>
              <w:t xml:space="preserve"> eintritt. Diese Mitteilung wird kurz die Umstände oder Ereignisse beschreiben, die eine Potenzielle Nichtzahlung </w:t>
            </w:r>
            <w:r w:rsidRPr="00942F00">
              <w:rPr>
                <w:b/>
                <w:lang w:val="de-DE"/>
              </w:rPr>
              <w:t>[</w:t>
            </w:r>
            <w:r w:rsidRPr="00942F00">
              <w:rPr>
                <w:lang w:val="de-DE"/>
              </w:rPr>
              <w:t>oder eine Potenzielle Nichtanerkennung/ein Potenzielles Moratorium</w:t>
            </w:r>
            <w:r w:rsidRPr="00942F00">
              <w:rPr>
                <w:b/>
                <w:lang w:val="de-DE"/>
              </w:rPr>
              <w:t>]</w:t>
            </w:r>
            <w:r w:rsidRPr="00942F00">
              <w:rPr>
                <w:lang w:val="de-DE"/>
              </w:rPr>
              <w:t xml:space="preserve"> und/oder ein Kreditereignis darstellen können bzw. die zu einer Potenziellen Nichtzahlung </w:t>
            </w:r>
            <w:r w:rsidRPr="00942F00">
              <w:rPr>
                <w:b/>
                <w:lang w:val="de-DE"/>
              </w:rPr>
              <w:t>[</w:t>
            </w:r>
            <w:r w:rsidRPr="00942F00">
              <w:rPr>
                <w:lang w:val="de-DE"/>
              </w:rPr>
              <w:t>oder einer Potenziellen Nichtanerkennung/einem Potenziellen Moratorium</w:t>
            </w:r>
            <w:r w:rsidRPr="00942F00">
              <w:rPr>
                <w:b/>
                <w:lang w:val="de-DE"/>
              </w:rPr>
              <w:t>]</w:t>
            </w:r>
            <w:r w:rsidRPr="00942F00">
              <w:rPr>
                <w:lang w:val="de-DE"/>
              </w:rPr>
              <w:t xml:space="preserve"> und/oder einem Kreditereignis führen oder diese bzw. dieses begründen können (jede derartige Mitteilung, eine "</w:t>
            </w:r>
            <w:r w:rsidRPr="00942F00">
              <w:rPr>
                <w:b/>
                <w:lang w:val="de-DE"/>
              </w:rPr>
              <w:t>Mitteilung über einen Zeitraum eines Potenziellen Kreditereignisses</w:t>
            </w:r>
            <w:r w:rsidRPr="00942F00">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731D" w:rsidP="006D17E5">
            <w:pPr>
              <w:pStyle w:val="CSBody8pt"/>
              <w:rPr>
                <w:lang w:val="de-DE"/>
              </w:rPr>
            </w:pPr>
          </w:p>
        </w:tc>
        <w:tc>
          <w:tcPr>
            <w:tcW w:w="3315" w:type="dxa"/>
            <w:gridSpan w:val="2"/>
            <w:tcBorders>
              <w:top w:val="nil"/>
              <w:left w:val="nil"/>
              <w:bottom w:val="nil"/>
            </w:tcBorders>
            <w:shd w:val="clear" w:color="auto" w:fill="auto"/>
          </w:tcPr>
          <w:p w:rsidR="0017135D" w:rsidRPr="008F0C82" w:rsidP="006D17E5">
            <w:pPr>
              <w:pStyle w:val="CSBody8pt"/>
            </w:pPr>
            <w:r w:rsidRPr="008F0C82">
              <w:t>The provisions relating to a Potential Credit Event Period may be applied in more than one occasion.</w:t>
            </w:r>
          </w:p>
        </w:tc>
        <w:tc>
          <w:tcPr>
            <w:tcW w:w="1618" w:type="dxa"/>
            <w:gridSpan w:val="2"/>
            <w:tcBorders>
              <w:top w:val="nil"/>
              <w:bottom w:val="nil"/>
              <w:right w:val="nil"/>
            </w:tcBorders>
            <w:shd w:val="clear" w:color="auto" w:fill="auto"/>
          </w:tcPr>
          <w:p w:rsidR="0017135D" w:rsidRPr="001C731D" w:rsidP="006D17E5">
            <w:pPr>
              <w:pStyle w:val="CSBody8pt"/>
              <w:rPr>
                <w:i/>
              </w:rPr>
            </w:pPr>
          </w:p>
        </w:tc>
        <w:tc>
          <w:tcPr>
            <w:tcW w:w="3318" w:type="dxa"/>
            <w:tcBorders>
              <w:top w:val="nil"/>
              <w:left w:val="nil"/>
              <w:bottom w:val="nil"/>
              <w:right w:val="nil"/>
            </w:tcBorders>
            <w:shd w:val="clear" w:color="auto" w:fill="auto"/>
          </w:tcPr>
          <w:p w:rsidR="0017135D" w:rsidRPr="001C731D" w:rsidP="006D17E5">
            <w:pPr>
              <w:pStyle w:val="CSBody8pt"/>
              <w:rPr>
                <w:lang w:val="de-DE"/>
              </w:rPr>
            </w:pPr>
            <w:r w:rsidRPr="001C731D">
              <w:rPr>
                <w:lang w:val="de-DE"/>
              </w:rPr>
              <w:t>Die Bestimmungen, die für den Zeitraum eines Potenziellen Kreditereignisses gelten, können in mehr als einem Fall Anwendung finden.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731D" w:rsidP="006D17E5">
            <w:pPr>
              <w:pStyle w:val="CSBody8pt"/>
              <w:rPr>
                <w:lang w:val="de-DE"/>
              </w:rPr>
            </w:pPr>
          </w:p>
        </w:tc>
        <w:tc>
          <w:tcPr>
            <w:tcW w:w="3315" w:type="dxa"/>
            <w:gridSpan w:val="2"/>
            <w:tcBorders>
              <w:top w:val="nil"/>
              <w:left w:val="nil"/>
              <w:bottom w:val="nil"/>
            </w:tcBorders>
            <w:shd w:val="clear" w:color="auto" w:fill="auto"/>
          </w:tcPr>
          <w:p w:rsidR="0017135D" w:rsidP="006D17E5">
            <w:pPr>
              <w:pStyle w:val="CSBody8pt"/>
            </w:pPr>
            <w:r w:rsidRPr="008F0C82">
              <w:t xml:space="preserve">At any time during a Potential Credit Event Period, the Calculation Agent may determine that a Credit Event </w:t>
            </w:r>
            <w:r w:rsidRPr="00792D61">
              <w:rPr>
                <w:b/>
              </w:rPr>
              <w:t>[</w:t>
            </w:r>
            <w:r w:rsidRPr="006D17E5">
              <w:rPr>
                <w:b/>
                <w:i/>
              </w:rPr>
              <w:t>if Repudiation/Moratorium is applicable, insert</w:t>
            </w:r>
            <w:r w:rsidRPr="008F0C82">
              <w:t>: , Potential Repudiation/Moratorium</w:t>
            </w:r>
            <w:r w:rsidRPr="00792D61">
              <w:rPr>
                <w:b/>
              </w:rPr>
              <w:t>]</w:t>
            </w:r>
            <w:r w:rsidRPr="008F0C82">
              <w:t xml:space="preserve"> or Potential Failure to Pay has occurred and, for the avoidance of doubt, such Credit Event </w:t>
            </w:r>
            <w:r w:rsidRPr="00792D61">
              <w:rPr>
                <w:b/>
              </w:rPr>
              <w:t>[</w:t>
            </w:r>
            <w:r w:rsidRPr="000C557A">
              <w:rPr>
                <w:b/>
                <w:i/>
              </w:rPr>
              <w:t xml:space="preserve">if Repudiation/Moratorium is applicable, insert: </w:t>
            </w:r>
            <w:r w:rsidRPr="008F0C82">
              <w:t>, Potential Repudiation/Moratorium</w:t>
            </w:r>
            <w:r w:rsidRPr="00792D61">
              <w:rPr>
                <w:b/>
              </w:rPr>
              <w:t>]</w:t>
            </w:r>
            <w:r w:rsidRPr="008F0C82">
              <w:t xml:space="preserve"> or Potential Failure to Pay may (i) be different from any Credit Event </w:t>
            </w:r>
            <w:r w:rsidRPr="00792D61">
              <w:rPr>
                <w:b/>
                <w:i/>
              </w:rPr>
              <w:t>[</w:t>
            </w:r>
            <w:r w:rsidRPr="000C557A">
              <w:rPr>
                <w:b/>
                <w:i/>
              </w:rPr>
              <w:t>if Repudiation/Moratorium is applicable, insert:,</w:t>
            </w:r>
            <w:r w:rsidRPr="008F0C82">
              <w:t xml:space="preserve"> Potential Repudiation/Moratorium</w:t>
            </w:r>
            <w:r w:rsidRPr="00792D61">
              <w:rPr>
                <w:b/>
              </w:rPr>
              <w:t>]</w:t>
            </w:r>
            <w:r w:rsidRPr="008F0C82">
              <w:t xml:space="preserve"> or Potential Failure to Pay specified, referred to or described in the Potential Credit Event Period Notice relating to such Potential Credit Event Period and/or (ii) result from facts or events other than those specified, referred to or described in the Potential Credit Event Period Notice relating to such Potential Credit Event Period.</w:t>
            </w:r>
          </w:p>
        </w:tc>
        <w:tc>
          <w:tcPr>
            <w:tcW w:w="1618" w:type="dxa"/>
            <w:gridSpan w:val="2"/>
            <w:tcBorders>
              <w:top w:val="nil"/>
              <w:bottom w:val="nil"/>
              <w:right w:val="nil"/>
            </w:tcBorders>
            <w:shd w:val="clear" w:color="auto" w:fill="auto"/>
          </w:tcPr>
          <w:p w:rsidR="0017135D" w:rsidRPr="001C731D" w:rsidP="006D17E5">
            <w:pPr>
              <w:pStyle w:val="CSBody8pt"/>
              <w:rPr>
                <w:i/>
              </w:rPr>
            </w:pPr>
          </w:p>
        </w:tc>
        <w:tc>
          <w:tcPr>
            <w:tcW w:w="3318" w:type="dxa"/>
            <w:tcBorders>
              <w:top w:val="nil"/>
              <w:left w:val="nil"/>
              <w:bottom w:val="nil"/>
              <w:right w:val="nil"/>
            </w:tcBorders>
            <w:shd w:val="clear" w:color="auto" w:fill="auto"/>
          </w:tcPr>
          <w:p w:rsidR="0017135D" w:rsidRPr="001C731D" w:rsidP="009D1C9F">
            <w:pPr>
              <w:pStyle w:val="CSBody8pt"/>
              <w:rPr>
                <w:lang w:val="de-DE"/>
              </w:rPr>
            </w:pPr>
            <w:r w:rsidRPr="001C731D">
              <w:rPr>
                <w:lang w:val="de-DE"/>
              </w:rPr>
              <w:t xml:space="preserve">Die Berechnungsstelle kann zu einem beliebigen Zeitpunkt während eines Zeitraums eines Potenziellen Kreditereignisses die Feststellung treffen, dass ein Kreditereignis </w:t>
            </w:r>
            <w:r w:rsidRPr="00792D61">
              <w:rPr>
                <w:b/>
                <w:lang w:val="de-DE"/>
              </w:rPr>
              <w:t>[</w:t>
            </w:r>
            <w:r w:rsidRPr="000C557A">
              <w:rPr>
                <w:b/>
                <w:i/>
                <w:lang w:val="de-DE"/>
              </w:rPr>
              <w:t xml:space="preserve">falls "Nichtanerkennung/Moratorium" anwendbar ist, einfügen:, </w:t>
            </w:r>
            <w:r w:rsidRPr="001C731D">
              <w:rPr>
                <w:lang w:val="de-DE"/>
              </w:rPr>
              <w:t>eine Potenzielle Nichtanerkennung / ein Potenzielles Moratorium</w:t>
            </w:r>
            <w:r w:rsidRPr="00792D61">
              <w:rPr>
                <w:b/>
                <w:lang w:val="de-DE"/>
              </w:rPr>
              <w:t>]</w:t>
            </w:r>
            <w:r w:rsidRPr="001C731D">
              <w:rPr>
                <w:lang w:val="de-DE"/>
              </w:rPr>
              <w:t xml:space="preserve"> oder eine Potenzielle Nichtzahlung eingetreten ist, wobei zur Klarstellung festgehalten wird, dass dieses Kreditereignis </w:t>
            </w:r>
            <w:r w:rsidRPr="00792D61">
              <w:rPr>
                <w:b/>
                <w:lang w:val="de-DE"/>
              </w:rPr>
              <w:t>[</w:t>
            </w:r>
            <w:r w:rsidRPr="000C557A">
              <w:rPr>
                <w:b/>
                <w:i/>
                <w:lang w:val="de-DE"/>
              </w:rPr>
              <w:t>falls "Nichtanerkennung/Moratorium" anwendbar ist, einfügen:,</w:t>
            </w:r>
            <w:r w:rsidRPr="001C731D">
              <w:rPr>
                <w:lang w:val="de-DE"/>
              </w:rPr>
              <w:t xml:space="preserve"> diese Potenzielle Nichtanerkennung / dieses Potenzielle Moratorium</w:t>
            </w:r>
            <w:r w:rsidRPr="00792D61">
              <w:rPr>
                <w:b/>
                <w:lang w:val="de-DE"/>
              </w:rPr>
              <w:t>]</w:t>
            </w:r>
            <w:r w:rsidRPr="001C731D">
              <w:rPr>
                <w:lang w:val="de-DE"/>
              </w:rPr>
              <w:t xml:space="preserve"> oder diese Potenzielle Nichtzahlung (i) sich von einem Kreditereignis </w:t>
            </w:r>
            <w:r w:rsidRPr="00792D61">
              <w:rPr>
                <w:b/>
                <w:lang w:val="de-DE"/>
              </w:rPr>
              <w:t>[</w:t>
            </w:r>
            <w:r w:rsidRPr="000C557A">
              <w:rPr>
                <w:b/>
                <w:i/>
                <w:lang w:val="de-DE"/>
              </w:rPr>
              <w:t>falls "Nichtanerkennung/ Moratorium" anwendbar ist, einfügen:,</w:t>
            </w:r>
            <w:r w:rsidRPr="001C731D">
              <w:rPr>
                <w:lang w:val="de-DE"/>
              </w:rPr>
              <w:t xml:space="preserve"> einer Potenziellen Nichtanerkennung / einem Potenziellen Moratorium</w:t>
            </w:r>
            <w:r w:rsidRPr="00792D61">
              <w:rPr>
                <w:b/>
                <w:lang w:val="de-DE"/>
              </w:rPr>
              <w:t>]</w:t>
            </w:r>
            <w:r w:rsidRPr="001C731D">
              <w:rPr>
                <w:lang w:val="de-DE"/>
              </w:rPr>
              <w:t xml:space="preserve"> oder einer Potenziellen Nichtzahlung unterscheiden kann, das bzw. die in der Mitteilung über einen Zeitraum eines Potenziellen Kreditereignisses in Bezug auf diesen Zeitraum eines Potenziellen Kreditereignisses angegeben, in Bezug genommen oder beschrieben ist und/oder (ii) sich aus anderen als den in der Mitteilung über einen Zeitraum eines Potenziellen Kreditereignisses in Bezug auf diesen Zeitraum eines Potenziellen Kreditereignisses angegebenen, in Bezug genommenen oder beschriebenen Umständen oder Ereignissen ergeben kann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0C557A">
            <w:pPr>
              <w:pStyle w:val="CSBody8pt"/>
              <w:rPr>
                <w:lang w:val="de-DE"/>
              </w:rPr>
            </w:pPr>
            <w:r w:rsidRPr="006A33FB">
              <w:rPr>
                <w:lang w:val="de-DE"/>
              </w:rPr>
              <w:t>Potential Failure to Pay</w:t>
            </w:r>
            <w:r>
              <w:rPr>
                <w:lang w:val="de-DE"/>
              </w:rPr>
              <w:fldChar w:fldCharType="begin"/>
            </w:r>
            <w:r>
              <w:instrText xml:space="preserve"> XE "</w:instrText>
            </w:r>
            <w:r w:rsidRPr="00AC611A">
              <w:rPr>
                <w:lang w:val="de-DE"/>
              </w:rPr>
              <w:instrText>Potential Failure to Pay</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6A33FB" w:rsidP="000C557A">
            <w:pPr>
              <w:pStyle w:val="CSBody8pt"/>
            </w:pPr>
            <w:r w:rsidRPr="006A33FB">
              <w:t>the failure by the Reference Entity to make, when and where due, any payments in an aggregate amount of not less than the Payment Requirement under one or more Obligations in accordance with the terms of such Obligation(s) at the time of such failure without regard to any grace period or any conditions precedent to the commencement of any grace period applicable to such Obligation(s).</w:t>
            </w:r>
          </w:p>
        </w:tc>
        <w:tc>
          <w:tcPr>
            <w:tcW w:w="1618" w:type="dxa"/>
            <w:gridSpan w:val="2"/>
            <w:tcBorders>
              <w:top w:val="nil"/>
              <w:bottom w:val="nil"/>
              <w:right w:val="nil"/>
            </w:tcBorders>
            <w:shd w:val="clear" w:color="auto" w:fill="auto"/>
          </w:tcPr>
          <w:p w:rsidR="0017135D" w:rsidRPr="006A33FB" w:rsidP="000C557A">
            <w:pPr>
              <w:pStyle w:val="CSBody8pt"/>
            </w:pPr>
            <w:r w:rsidRPr="006A33FB">
              <w:t>Potenzielle Nichtzahlung</w:t>
            </w:r>
            <w:r>
              <w:fldChar w:fldCharType="begin"/>
            </w:r>
            <w:r>
              <w:instrText xml:space="preserve"> XE "</w:instrText>
            </w:r>
            <w:r w:rsidRPr="00264413">
              <w:instrText>Potenzielle Nichtzahlung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1C731D" w:rsidP="000C557A">
            <w:pPr>
              <w:pStyle w:val="CSBody8pt"/>
              <w:rPr>
                <w:bCs/>
                <w:lang w:val="de-DE"/>
              </w:rPr>
            </w:pPr>
            <w:r w:rsidRPr="006A33FB">
              <w:rPr>
                <w:bCs/>
                <w:lang w:val="de-DE"/>
              </w:rPr>
              <w:t>der Fall, dass der Referenzschuldner Zahlungen auf eine oder mehrere Verbindlichkeiten in einer Gesamthöhe, die mindestens dem Zahlungs-Schwellenbetrag entspricht, nicht nach Massgabe der im Zeitpunkt der Nichtzahlung geltenden Bedingungen der betreffenden Verbindlichkeit(en) bei Fälligkeit und am vorgesehenen Zahlungsort leistet, wobei eine etwaige Nachfrist oder etwaige aufschiebende Bedingungen für den Beginn einer Nachfrist in Bezug auf die betreffende(n) Verbindlichkeit(en) unberücksichtigt bleiben.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1C731D" w:rsidP="000C557A">
            <w:pPr>
              <w:pStyle w:val="CSBody8pt"/>
            </w:pPr>
            <w:r w:rsidRPr="001C731D">
              <w:t>Potential Failure to Pay Period</w:t>
            </w:r>
            <w:r>
              <w:fldChar w:fldCharType="begin"/>
            </w:r>
            <w:r>
              <w:instrText xml:space="preserve"> XE "</w:instrText>
            </w:r>
            <w:r w:rsidRPr="000F5EDA">
              <w:instrText>Potential Failure to Pay Period</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1C731D" w:rsidP="000C557A">
            <w:pPr>
              <w:pStyle w:val="CSBody8pt"/>
            </w:pPr>
            <w:r w:rsidRPr="001C731D">
              <w:t xml:space="preserve">If the Calculation Agent determines in its discretion that a Potential Failure to Pay </w:t>
            </w:r>
            <w:r w:rsidRPr="00792D61">
              <w:rPr>
                <w:b/>
              </w:rPr>
              <w:t>[</w:t>
            </w:r>
            <w:r w:rsidRPr="001C731D">
              <w:t>if a Basket is applicable or in the case of Complex Products with N</w:t>
            </w:r>
            <w:r w:rsidRPr="00BD6E0D">
              <w:rPr>
                <w:vertAlign w:val="superscript"/>
              </w:rPr>
              <w:t>th</w:t>
            </w:r>
            <w:r w:rsidRPr="001C731D">
              <w:t xml:space="preserve">-to-Default structure, insert: with respect to </w:t>
            </w:r>
            <w:r w:rsidRPr="00792D61">
              <w:rPr>
                <w:b/>
              </w:rPr>
              <w:t>[</w:t>
            </w:r>
            <w:r w:rsidRPr="001C731D">
              <w:t>any</w:t>
            </w:r>
            <w:r w:rsidRPr="00792D61">
              <w:rPr>
                <w:b/>
              </w:rPr>
              <w:t>][</w:t>
            </w:r>
            <w:r w:rsidRPr="001C731D">
              <w:t>the relevant</w:t>
            </w:r>
            <w:r w:rsidRPr="00792D61">
              <w:rPr>
                <w:b/>
              </w:rPr>
              <w:t>]</w:t>
            </w:r>
            <w:r w:rsidRPr="001C731D">
              <w:t xml:space="preserve"> Reference Entity</w:t>
            </w:r>
            <w:r w:rsidRPr="00792D61">
              <w:rPr>
                <w:b/>
              </w:rPr>
              <w:t>]</w:t>
            </w:r>
            <w:r w:rsidRPr="001C731D">
              <w:t xml:space="preserve"> may exist, the period from and including the date on which such Potential Failure to Pay occurred to and including the day that is </w:t>
            </w:r>
            <w:r w:rsidRPr="00792D61">
              <w:rPr>
                <w:b/>
              </w:rPr>
              <w:t>[</w:t>
            </w:r>
            <w:r w:rsidRPr="001C731D">
              <w:t>three</w:t>
            </w:r>
            <w:r w:rsidRPr="00792D61">
              <w:rPr>
                <w:b/>
              </w:rPr>
              <w:t>][</w:t>
            </w:r>
            <w:r>
              <w:rPr>
                <w:rFonts w:ascii="Arial" w:hAnsi="Arial" w:cs="Arial"/>
              </w:rPr>
              <w:t>●</w:t>
            </w:r>
            <w:r w:rsidRPr="00792D61">
              <w:rPr>
                <w:b/>
              </w:rPr>
              <w:t>]</w:t>
            </w:r>
            <w:r w:rsidRPr="001C731D">
              <w:t xml:space="preserve"> Business Days after the last day of the applicable Grace Period.</w:t>
            </w:r>
          </w:p>
        </w:tc>
        <w:tc>
          <w:tcPr>
            <w:tcW w:w="1618" w:type="dxa"/>
            <w:gridSpan w:val="2"/>
            <w:tcBorders>
              <w:top w:val="nil"/>
              <w:bottom w:val="nil"/>
              <w:right w:val="nil"/>
            </w:tcBorders>
            <w:shd w:val="clear" w:color="auto" w:fill="auto"/>
          </w:tcPr>
          <w:p w:rsidR="0017135D" w:rsidRPr="006A33FB" w:rsidP="000C557A">
            <w:pPr>
              <w:pStyle w:val="CSBody8pt"/>
            </w:pPr>
            <w:r w:rsidRPr="006A33FB">
              <w:t>Zeitraum einer Potenziellen Nichtzahlung</w:t>
            </w:r>
            <w:r>
              <w:fldChar w:fldCharType="begin"/>
            </w:r>
            <w:r>
              <w:instrText xml:space="preserve"> XE "</w:instrText>
            </w:r>
            <w:r w:rsidRPr="0036782B">
              <w:instrText>Zeitraum einer Potenziellen Nichtzahlung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1C731D" w:rsidP="000C557A">
            <w:pPr>
              <w:pStyle w:val="CSBody8pt"/>
              <w:rPr>
                <w:bCs/>
                <w:lang w:val="de-DE"/>
              </w:rPr>
            </w:pPr>
            <w:r w:rsidRPr="001C731D">
              <w:rPr>
                <w:bCs/>
                <w:lang w:val="de-DE"/>
              </w:rPr>
              <w:t xml:space="preserve">Wenn die Berechnungsstelle nach ihrem Ermessen feststellt, dass möglicherweise eine Potenzielle Nichtzahlung </w:t>
            </w:r>
            <w:r w:rsidRPr="00792D61">
              <w:rPr>
                <w:b/>
                <w:bCs/>
                <w:lang w:val="de-DE"/>
              </w:rPr>
              <w:t>[</w:t>
            </w:r>
            <w:r w:rsidRPr="001C731D">
              <w:rPr>
                <w:bCs/>
                <w:lang w:val="de-DE"/>
              </w:rPr>
              <w:t>falls ein Korb anwendbar ist oder bei Komplexen Produkten mit N</w:t>
            </w:r>
            <w:r w:rsidRPr="00BD6E0D">
              <w:rPr>
                <w:vertAlign w:val="superscript"/>
                <w:lang w:val="de-DE"/>
              </w:rPr>
              <w:t>th</w:t>
            </w:r>
            <w:r w:rsidRPr="001C731D">
              <w:rPr>
                <w:bCs/>
                <w:lang w:val="de-DE"/>
              </w:rPr>
              <w:t xml:space="preserve">-to-Default-Struktur, einfügen: in Bezug auf </w:t>
            </w:r>
            <w:r w:rsidRPr="00792D61">
              <w:rPr>
                <w:b/>
                <w:bCs/>
                <w:lang w:val="de-DE"/>
              </w:rPr>
              <w:t>[</w:t>
            </w:r>
            <w:r w:rsidRPr="001C731D">
              <w:rPr>
                <w:bCs/>
                <w:lang w:val="de-DE"/>
              </w:rPr>
              <w:t>einen</w:t>
            </w:r>
            <w:r w:rsidRPr="00792D61">
              <w:rPr>
                <w:b/>
                <w:bCs/>
                <w:lang w:val="de-DE"/>
              </w:rPr>
              <w:t>][</w:t>
            </w:r>
            <w:r w:rsidRPr="001C731D">
              <w:rPr>
                <w:bCs/>
                <w:lang w:val="de-DE"/>
              </w:rPr>
              <w:t>den betreffenden</w:t>
            </w:r>
            <w:r w:rsidRPr="00792D61">
              <w:rPr>
                <w:b/>
                <w:bCs/>
                <w:lang w:val="de-DE"/>
              </w:rPr>
              <w:t>]</w:t>
            </w:r>
            <w:r w:rsidRPr="001C731D">
              <w:rPr>
                <w:bCs/>
                <w:lang w:val="de-DE"/>
              </w:rPr>
              <w:t xml:space="preserve"> Referenzschuldner</w:t>
            </w:r>
            <w:r w:rsidRPr="00792D61">
              <w:rPr>
                <w:b/>
                <w:bCs/>
                <w:lang w:val="de-DE"/>
              </w:rPr>
              <w:t>]</w:t>
            </w:r>
            <w:r w:rsidRPr="001C731D">
              <w:rPr>
                <w:bCs/>
                <w:lang w:val="de-DE"/>
              </w:rPr>
              <w:t xml:space="preserve"> vorliegt, der Zeitraum ab dem Tag des Eintritts dieser Potenziellen Nichtzahlung (einschliesslich) bis zum Tag, der </w:t>
            </w:r>
            <w:r w:rsidRPr="00792D61">
              <w:rPr>
                <w:b/>
                <w:bCs/>
                <w:lang w:val="de-DE"/>
              </w:rPr>
              <w:t>[</w:t>
            </w:r>
            <w:r w:rsidRPr="001C731D">
              <w:rPr>
                <w:bCs/>
                <w:lang w:val="de-DE"/>
              </w:rPr>
              <w:t>drei</w:t>
            </w:r>
            <w:r w:rsidRPr="00792D61">
              <w:rPr>
                <w:b/>
                <w:bCs/>
                <w:lang w:val="de-DE"/>
              </w:rPr>
              <w:t>][</w:t>
            </w:r>
            <w:r w:rsidRPr="00116653">
              <w:rPr>
                <w:rFonts w:ascii="Arial" w:hAnsi="Arial" w:cs="Arial"/>
                <w:bCs/>
                <w:lang w:val="de-DE"/>
              </w:rPr>
              <w:t>●</w:t>
            </w:r>
            <w:r w:rsidRPr="00792D61">
              <w:rPr>
                <w:b/>
                <w:bCs/>
                <w:lang w:val="de-DE"/>
              </w:rPr>
              <w:t>]</w:t>
            </w:r>
            <w:r w:rsidRPr="001C731D">
              <w:rPr>
                <w:bCs/>
                <w:lang w:val="de-DE"/>
              </w:rPr>
              <w:t xml:space="preserve"> Geschäftstage nach dem letzten Tag der anwendbaren Nachfrist (einschliesslich) liegt.</w:t>
            </w:r>
          </w:p>
        </w:tc>
      </w:tr>
      <w:tr w:rsidTr="004C1EBA">
        <w:tblPrEx>
          <w:tblW w:w="4999" w:type="pct"/>
          <w:tblLayout w:type="fixed"/>
          <w:tblCellMar>
            <w:left w:w="115" w:type="dxa"/>
            <w:right w:w="115" w:type="dxa"/>
          </w:tblCellMar>
          <w:tblLook w:val="04A0"/>
        </w:tblPrEx>
        <w:trPr>
          <w:trHeight w:val="3710"/>
        </w:trPr>
        <w:tc>
          <w:tcPr>
            <w:tcW w:w="1616" w:type="dxa"/>
            <w:gridSpan w:val="3"/>
            <w:tcBorders>
              <w:top w:val="nil"/>
              <w:left w:val="nil"/>
              <w:right w:val="nil"/>
            </w:tcBorders>
            <w:shd w:val="clear" w:color="auto" w:fill="auto"/>
          </w:tcPr>
          <w:p w:rsidR="0017135D" w:rsidRPr="001C731D" w:rsidP="000C557A">
            <w:pPr>
              <w:pStyle w:val="CSBody8ptbolditalics"/>
            </w:pPr>
            <w:r w:rsidRPr="00792D61">
              <w:t>[</w:t>
            </w:r>
            <w:r w:rsidRPr="001C731D">
              <w:t>if "Repudiation/ Moratorium" is applicable, insert:</w:t>
            </w:r>
          </w:p>
          <w:p w:rsidR="0017135D" w:rsidRPr="001C731D" w:rsidP="002B3F95">
            <w:pPr>
              <w:pStyle w:val="CSBody8pt"/>
            </w:pPr>
            <w:r w:rsidRPr="006A33FB">
              <w:t>Potential Repudiation/ Moratorium</w:t>
            </w:r>
            <w:r>
              <w:fldChar w:fldCharType="begin"/>
            </w:r>
            <w:r>
              <w:instrText xml:space="preserve"> XE "</w:instrText>
            </w:r>
            <w:r w:rsidRPr="004B0EE7">
              <w:instrText>Potential Repudiation/ Moratorium</w:instrText>
            </w:r>
            <w:r>
              <w:instrText xml:space="preserve">" \f "EN" </w:instrText>
            </w:r>
            <w:r>
              <w:fldChar w:fldCharType="end"/>
            </w:r>
          </w:p>
        </w:tc>
        <w:tc>
          <w:tcPr>
            <w:tcW w:w="3315" w:type="dxa"/>
            <w:gridSpan w:val="2"/>
            <w:tcBorders>
              <w:top w:val="nil"/>
              <w:left w:val="nil"/>
            </w:tcBorders>
            <w:shd w:val="clear" w:color="auto" w:fill="auto"/>
          </w:tcPr>
          <w:p w:rsidR="0017135D" w:rsidRPr="001C731D" w:rsidP="009D1C9F">
            <w:pPr>
              <w:pStyle w:val="CSBody8pt"/>
            </w:pPr>
            <w:r w:rsidRPr="001C731D">
              <w:t>an authorized officer of the Reference Entity or a Governmental Authority (A) disaffirms, disclaims, repudiates or rejects, in whole or in part, or challenges the validity of, one or more Obligations in an aggregate amount of not less than the Default Requirement or (B) declares or imposes a moratorium, standstill, rol</w:t>
            </w:r>
            <w:r>
              <w:t>l</w:t>
            </w:r>
            <w:r w:rsidR="00985ED9">
              <w:t>-</w:t>
            </w:r>
            <w:r w:rsidRPr="001C731D">
              <w:t>over or deferral, whether de facto or de jure, with respect to one or more Obligations in an aggregate amount of not less than the Default Requirement.</w:t>
            </w:r>
            <w:r w:rsidRPr="00792D61">
              <w:rPr>
                <w:b/>
              </w:rPr>
              <w:t>]</w:t>
            </w:r>
          </w:p>
        </w:tc>
        <w:tc>
          <w:tcPr>
            <w:tcW w:w="1618" w:type="dxa"/>
            <w:gridSpan w:val="2"/>
            <w:tcBorders>
              <w:top w:val="nil"/>
              <w:right w:val="nil"/>
            </w:tcBorders>
            <w:shd w:val="clear" w:color="auto" w:fill="auto"/>
          </w:tcPr>
          <w:p w:rsidR="0017135D" w:rsidRPr="001C731D" w:rsidP="000C557A">
            <w:pPr>
              <w:pStyle w:val="CSBody8ptbolditalics"/>
              <w:rPr>
                <w:lang w:val="de-DE"/>
              </w:rPr>
            </w:pPr>
            <w:r w:rsidRPr="00792D61">
              <w:rPr>
                <w:lang w:val="de-DE"/>
              </w:rPr>
              <w:t>[</w:t>
            </w:r>
            <w:r>
              <w:rPr>
                <w:lang w:val="de-DE"/>
              </w:rPr>
              <w:t>falls "Nicht</w:t>
            </w:r>
            <w:r w:rsidRPr="001C731D">
              <w:rPr>
                <w:lang w:val="de-DE"/>
              </w:rPr>
              <w:t>anerkennung/Moratorium" anwendbar ist, einfügen:</w:t>
            </w:r>
          </w:p>
          <w:p w:rsidR="0017135D" w:rsidRPr="001C731D" w:rsidP="009D1C9F">
            <w:pPr>
              <w:pStyle w:val="CSBody8pt"/>
              <w:rPr>
                <w:lang w:val="de-DE"/>
              </w:rPr>
            </w:pPr>
            <w:r>
              <w:rPr>
                <w:lang w:val="de-DE"/>
              </w:rPr>
              <w:t>Potenzielle Nicht</w:t>
            </w:r>
            <w:r w:rsidRPr="006A33FB">
              <w:rPr>
                <w:lang w:val="de-DE"/>
              </w:rPr>
              <w:t>anerkennung / Potenzielles Moratorium</w:t>
            </w:r>
            <w:r>
              <w:rPr>
                <w:lang w:val="de-DE"/>
              </w:rPr>
              <w:fldChar w:fldCharType="begin"/>
            </w:r>
            <w:r w:rsidRPr="006A33FB">
              <w:rPr>
                <w:lang w:val="de-DE"/>
              </w:rPr>
              <w:instrText xml:space="preserve"> XE "</w:instrText>
            </w:r>
            <w:r w:rsidRPr="0059461E">
              <w:rPr>
                <w:lang w:val="de-DE"/>
              </w:rPr>
              <w:instrText>Potenzielle Nichtanerkennung / Potenzielles Moratorium</w:instrText>
            </w:r>
            <w:r w:rsidRPr="006A33FB">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1C731D" w:rsidP="002B3F95">
            <w:pPr>
              <w:pStyle w:val="CSBody8pt"/>
              <w:rPr>
                <w:bCs/>
                <w:lang w:val="de-DE"/>
              </w:rPr>
            </w:pPr>
            <w:r w:rsidRPr="001C731D">
              <w:rPr>
                <w:bCs/>
                <w:lang w:val="de-DE"/>
              </w:rPr>
              <w:t xml:space="preserve">ein Vertretungsberechtigter des Referenzschuldners oder einer </w:t>
            </w:r>
            <w:r w:rsidRPr="002B3F95">
              <w:rPr>
                <w:lang w:val="de-DE"/>
              </w:rPr>
              <w:t>Regierungsbehörde</w:t>
            </w:r>
            <w:r w:rsidRPr="001C731D">
              <w:rPr>
                <w:bCs/>
                <w:lang w:val="de-DE"/>
              </w:rPr>
              <w:t xml:space="preserve"> (A) erkennt die Geltung einer oder mehrerer Verbindlichkeiten in einer mindestens dem Ausfall-Schwellenbetrag entsprechenden Gesamtsumme ganz oder teilweise nicht an bzw. bestreitet die Geltung einer oder mehrerer solcher Verbindlichkeiten ganz oder teilweise, lehnt sie ganz oder teilweise ab oder weist sie ganz oder teilweise zurück oder (B) erklärt oder verhängt de facto oder de jure ein Moratorium, einen Zahlungsstillstand, eine Verlängerung oder einen Zahlungsaufschub im Hinblick auf eine oder mehrere Verbindlichkeiten in einer mindestens dem Ausfall-Schwellenbetrag entsprechenden Gesamtsumme</w:t>
            </w:r>
            <w:r>
              <w:rPr>
                <w:bCs/>
                <w:lang w:val="de-DE"/>
              </w:rPr>
              <w:t>.</w:t>
            </w:r>
            <w:r w:rsidRPr="00792D61">
              <w:rPr>
                <w:b/>
                <w:bCs/>
                <w:lang w:val="de-DE"/>
              </w:rPr>
              <w:t>]</w:t>
            </w:r>
          </w:p>
        </w:tc>
      </w:tr>
      <w:tr w:rsidTr="00BD6E0D">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1C731D" w:rsidP="000C557A">
            <w:pPr>
              <w:pStyle w:val="CSBody8ptbolditalics"/>
            </w:pPr>
            <w:r w:rsidRPr="00792D61">
              <w:t>[</w:t>
            </w:r>
            <w:r w:rsidRPr="001C731D">
              <w:t>if "Repudiation/Moratorium" is applicable, insert:</w:t>
            </w:r>
          </w:p>
          <w:p w:rsidR="0017135D" w:rsidRPr="001C731D" w:rsidP="002B3F95">
            <w:pPr>
              <w:pStyle w:val="CSBody8pt"/>
            </w:pPr>
            <w:r w:rsidRPr="001C731D">
              <w:t>Potential Repudiation/Moratorium Period</w:t>
            </w:r>
            <w:r>
              <w:fldChar w:fldCharType="begin"/>
            </w:r>
            <w:r>
              <w:instrText xml:space="preserve"> XE "</w:instrText>
            </w:r>
            <w:r w:rsidRPr="00630EB0">
              <w:instrText>Potential Repudiation/Moratorium Period</w:instrText>
            </w:r>
            <w:r>
              <w:instrText xml:space="preserve">" \f "EN" </w:instrText>
            </w:r>
            <w:r>
              <w:fldChar w:fldCharType="end"/>
            </w:r>
          </w:p>
        </w:tc>
        <w:tc>
          <w:tcPr>
            <w:tcW w:w="3315" w:type="dxa"/>
            <w:gridSpan w:val="2"/>
            <w:tcBorders>
              <w:top w:val="nil"/>
              <w:left w:val="nil"/>
            </w:tcBorders>
            <w:shd w:val="clear" w:color="auto" w:fill="auto"/>
          </w:tcPr>
          <w:p w:rsidR="0017135D" w:rsidRPr="001C731D" w:rsidP="002B3F95">
            <w:pPr>
              <w:pStyle w:val="CSBody8pt"/>
            </w:pPr>
            <w:r w:rsidRPr="001C731D">
              <w:t xml:space="preserve">If the Calculation Agent determines in its discretion that a Potential Repudiation/Moratorium </w:t>
            </w:r>
            <w:r w:rsidRPr="00792D61">
              <w:rPr>
                <w:b/>
              </w:rPr>
              <w:t>[</w:t>
            </w:r>
            <w:r w:rsidRPr="000C557A">
              <w:rPr>
                <w:b/>
                <w:i/>
              </w:rPr>
              <w:t>if a Basket is applicable or in the case of Complex Products with N</w:t>
            </w:r>
            <w:r w:rsidRPr="00BD6E0D">
              <w:rPr>
                <w:b/>
                <w:i/>
                <w:vertAlign w:val="superscript"/>
              </w:rPr>
              <w:t>th</w:t>
            </w:r>
            <w:r w:rsidRPr="000C557A">
              <w:rPr>
                <w:b/>
                <w:i/>
              </w:rPr>
              <w:t xml:space="preserve">-to-Default structure, insert: </w:t>
            </w:r>
            <w:r w:rsidRPr="001C731D">
              <w:t xml:space="preserve">with respect to </w:t>
            </w:r>
            <w:r w:rsidRPr="00792D61">
              <w:rPr>
                <w:b/>
              </w:rPr>
              <w:t>[</w:t>
            </w:r>
            <w:r w:rsidRPr="001C731D">
              <w:t>any</w:t>
            </w:r>
            <w:r w:rsidRPr="00792D61">
              <w:rPr>
                <w:b/>
              </w:rPr>
              <w:t>][</w:t>
            </w:r>
            <w:r w:rsidRPr="001C731D">
              <w:t>the relevant</w:t>
            </w:r>
            <w:r w:rsidRPr="00792D61">
              <w:rPr>
                <w:b/>
              </w:rPr>
              <w:t>]</w:t>
            </w:r>
            <w:r w:rsidRPr="001C731D">
              <w:t xml:space="preserve"> Reference Entity</w:t>
            </w:r>
            <w:r w:rsidRPr="00792D61">
              <w:rPr>
                <w:b/>
              </w:rPr>
              <w:t>]</w:t>
            </w:r>
            <w:r w:rsidRPr="001C731D">
              <w:t xml:space="preserve"> has occurred and the Repudiation/Moratorium Extension Condition is or may (within the timeframes established in the definition of Repudiation/Moratorium Extension Condition) be fulfilled with respect to such event, the period from and including the date on which such Potential Repudiation/Moratorium occurred to and including the date that is </w:t>
            </w:r>
            <w:r w:rsidRPr="00792D61">
              <w:rPr>
                <w:b/>
              </w:rPr>
              <w:t>[</w:t>
            </w:r>
            <w:r w:rsidRPr="001C731D">
              <w:t>three</w:t>
            </w:r>
            <w:r w:rsidRPr="00792D61">
              <w:rPr>
                <w:b/>
              </w:rPr>
              <w:t>][</w:t>
            </w:r>
            <w:r>
              <w:rPr>
                <w:rFonts w:ascii="Arial" w:hAnsi="Arial" w:cs="Arial"/>
              </w:rPr>
              <w:t>●</w:t>
            </w:r>
            <w:r w:rsidRPr="00792D61">
              <w:rPr>
                <w:b/>
              </w:rPr>
              <w:t>]</w:t>
            </w:r>
            <w:r w:rsidRPr="001C731D">
              <w:t xml:space="preserve"> Business Days after either (a) the relevant Repudiation/Moratorium Evaluation Date, or (b) the date on which the DC Secretary publicly announces that the relevant Credit Derivatives Determinations Committee has Resolved in relation thereto that (i) such event does not constitute a Potential Repudiation/Moratorium with respect to an Obligation of such Reference Entity, or (ii) the event constitutes a Potential Repudiation/Moratorium with respect to an Obligation of such Reference Entity, but such Potential Repudiation/Moratorium occurred on or after the Scheduled Maturity Date or the relevant Interest Payment Date, as applicable.</w:t>
            </w:r>
            <w:r w:rsidRPr="00792D61">
              <w:rPr>
                <w:b/>
              </w:rPr>
              <w:t>]</w:t>
            </w:r>
          </w:p>
        </w:tc>
        <w:tc>
          <w:tcPr>
            <w:tcW w:w="1618" w:type="dxa"/>
            <w:gridSpan w:val="2"/>
            <w:tcBorders>
              <w:top w:val="nil"/>
              <w:right w:val="nil"/>
            </w:tcBorders>
            <w:shd w:val="clear" w:color="auto" w:fill="auto"/>
          </w:tcPr>
          <w:p w:rsidR="0017135D" w:rsidRPr="001C731D" w:rsidP="000C557A">
            <w:pPr>
              <w:pStyle w:val="CSBody8ptbolditalics"/>
              <w:rPr>
                <w:lang w:val="de-DE"/>
              </w:rPr>
            </w:pPr>
            <w:r w:rsidRPr="00792D61">
              <w:rPr>
                <w:lang w:val="de-DE"/>
              </w:rPr>
              <w:t>[</w:t>
            </w:r>
            <w:r w:rsidRPr="001C731D">
              <w:rPr>
                <w:lang w:val="de-DE"/>
              </w:rPr>
              <w:t>falls "Nichtan-erken-nung/Moratorium" anwendbar ist, einfügen:</w:t>
            </w:r>
          </w:p>
          <w:p w:rsidR="0017135D" w:rsidRPr="001C731D" w:rsidP="002B3F95">
            <w:pPr>
              <w:pStyle w:val="CSBody8pt"/>
              <w:rPr>
                <w:lang w:val="de-DE"/>
              </w:rPr>
            </w:pPr>
            <w:r w:rsidRPr="006A33FB">
              <w:rPr>
                <w:lang w:val="de-DE"/>
              </w:rPr>
              <w:t xml:space="preserve">Zeitraum </w:t>
            </w:r>
            <w:r>
              <w:rPr>
                <w:lang w:val="de-DE"/>
              </w:rPr>
              <w:t>einer Potenziellen Nichtanerkennung/eines Po</w:t>
            </w:r>
            <w:r w:rsidRPr="006A33FB">
              <w:rPr>
                <w:lang w:val="de-DE"/>
              </w:rPr>
              <w:t>tenziellen Moratoriums</w:t>
            </w:r>
            <w:r>
              <w:rPr>
                <w:lang w:val="de-DE"/>
              </w:rPr>
              <w:fldChar w:fldCharType="begin"/>
            </w:r>
            <w:r w:rsidRPr="006A33FB">
              <w:rPr>
                <w:lang w:val="de-DE"/>
              </w:rPr>
              <w:instrText xml:space="preserve"> XE "</w:instrText>
            </w:r>
            <w:r w:rsidRPr="00A628D8">
              <w:rPr>
                <w:lang w:val="de-DE"/>
              </w:rPr>
              <w:instrText>Zeitraum einer Potenzie</w:instrText>
            </w:r>
            <w:r>
              <w:rPr>
                <w:lang w:val="de-DE"/>
              </w:rPr>
              <w:instrText>llen Nichtanerkennung/eines Po</w:instrText>
            </w:r>
            <w:r w:rsidRPr="00A628D8">
              <w:rPr>
                <w:lang w:val="de-DE"/>
              </w:rPr>
              <w:instrText>tenziellen Moratoriums</w:instrText>
            </w:r>
            <w:r w:rsidRPr="006A33FB">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1C731D" w:rsidP="002B3F95">
            <w:pPr>
              <w:pStyle w:val="CSBody8pt"/>
              <w:rPr>
                <w:lang w:val="de-DE"/>
              </w:rPr>
            </w:pPr>
            <w:r w:rsidRPr="001C731D">
              <w:rPr>
                <w:lang w:val="de-DE"/>
              </w:rPr>
              <w:t xml:space="preserve">Wenn die Berechnungsstelle nach ihrem Ermessen feststellt, dass eine Potenzielle Nichtanerkennung/ein Potenzielles Moratorium </w:t>
            </w:r>
            <w:r w:rsidRPr="00792D61">
              <w:rPr>
                <w:b/>
                <w:lang w:val="de-DE"/>
              </w:rPr>
              <w:t>[</w:t>
            </w:r>
            <w:r w:rsidRPr="000C557A">
              <w:rPr>
                <w:b/>
                <w:i/>
                <w:lang w:val="de-DE"/>
              </w:rPr>
              <w:t>falls ein Korb anwendbar ist oder bei Komplexen Produkten mit N</w:t>
            </w:r>
            <w:r w:rsidRPr="00BD6E0D">
              <w:rPr>
                <w:b/>
                <w:i/>
                <w:vertAlign w:val="superscript"/>
                <w:lang w:val="de-DE"/>
              </w:rPr>
              <w:t>th</w:t>
            </w:r>
            <w:r w:rsidRPr="000C557A">
              <w:rPr>
                <w:b/>
                <w:i/>
                <w:lang w:val="de-DE"/>
              </w:rPr>
              <w:t>-to-Default-Struktur, einfügen:</w:t>
            </w:r>
            <w:r w:rsidRPr="001C731D">
              <w:rPr>
                <w:lang w:val="de-DE"/>
              </w:rPr>
              <w:t xml:space="preserve"> in Bezug auf </w:t>
            </w:r>
            <w:r w:rsidRPr="00792D61">
              <w:rPr>
                <w:b/>
                <w:lang w:val="de-DE"/>
              </w:rPr>
              <w:t>[</w:t>
            </w:r>
            <w:r w:rsidRPr="001C731D">
              <w:rPr>
                <w:lang w:val="de-DE"/>
              </w:rPr>
              <w:t>einen</w:t>
            </w:r>
            <w:r w:rsidRPr="00792D61">
              <w:rPr>
                <w:b/>
                <w:lang w:val="de-DE"/>
              </w:rPr>
              <w:t>][</w:t>
            </w:r>
            <w:r w:rsidRPr="001C731D">
              <w:rPr>
                <w:lang w:val="de-DE"/>
              </w:rPr>
              <w:t>den betreffenden</w:t>
            </w:r>
            <w:r w:rsidRPr="00792D61">
              <w:rPr>
                <w:b/>
                <w:lang w:val="de-DE"/>
              </w:rPr>
              <w:t>]</w:t>
            </w:r>
            <w:r w:rsidRPr="001C731D">
              <w:rPr>
                <w:lang w:val="de-DE"/>
              </w:rPr>
              <w:t xml:space="preserve"> Referenzschuldner</w:t>
            </w:r>
            <w:r w:rsidRPr="00792D61">
              <w:rPr>
                <w:b/>
                <w:lang w:val="de-DE"/>
              </w:rPr>
              <w:t>]</w:t>
            </w:r>
            <w:r w:rsidRPr="001C731D">
              <w:rPr>
                <w:lang w:val="de-DE"/>
              </w:rPr>
              <w:t xml:space="preserve"> eingetreten ist und dass die Voraussetzung für die Verlängerung im Fall einer Nicht-anerkennung / eines Moratoriums erfüllt ist bzw. möglicherweise erfüllt ist (innerhalb der Zeiträume, die in der Definition von "Voraussetzung für die Verlängerung im Fall einer Nichtanerkennung / eines Moratoriums" vorgegeben sind), so gilt der Zeitraum ab dem Tag (einschliesslich) des Eintritts dieser Potenziellen Nichtanerkennung / dieses Potenziellen Moratoriums bis zu dem Tag (einschliesslich), der </w:t>
            </w:r>
            <w:r w:rsidRPr="00792D61">
              <w:rPr>
                <w:b/>
                <w:lang w:val="de-DE"/>
              </w:rPr>
              <w:t>[</w:t>
            </w:r>
            <w:r w:rsidRPr="001C731D">
              <w:rPr>
                <w:lang w:val="de-DE"/>
              </w:rPr>
              <w:t>drei</w:t>
            </w:r>
            <w:r w:rsidRPr="00792D61">
              <w:rPr>
                <w:b/>
                <w:lang w:val="de-DE"/>
              </w:rPr>
              <w:t>][</w:t>
            </w:r>
            <w:r>
              <w:rPr>
                <w:rFonts w:ascii="Arial" w:hAnsi="Arial" w:cs="Arial"/>
                <w:lang w:val="de-DE"/>
              </w:rPr>
              <w:t>●</w:t>
            </w:r>
            <w:r w:rsidRPr="00792D61">
              <w:rPr>
                <w:b/>
                <w:lang w:val="de-DE"/>
              </w:rPr>
              <w:t>]</w:t>
            </w:r>
            <w:r w:rsidRPr="001C731D">
              <w:rPr>
                <w:lang w:val="de-DE"/>
              </w:rPr>
              <w:t xml:space="preserve"> Geschäftstage nach entweder (a) dem jeweiligen Nichtanerkennungs-/Moratoriumsbewertungstag liegt, oder (b) dem Tag, an dem der Secretary öffentlich bekannt gegeben hat, dass der zuständige Kreditderivate-Feststellungsausschuss diesbezüglich Beschlossen hat, dass (i) dieses Ereignis keine Potenzielle Nichtanerkennung / kein Potenzielles Moratorium in Bezug auf eine Verbindlichkeit dieses Referenzschuldners darstellt oder (ii) das Ereignis eine Potenzielle Nichtanerkennung / ein Potenzielles Moratorium in Bezug auf eine Verbindlichkeit dieses Referenzschuldners darstellt, aber diese Potenzielle Nichtanerkennung / dieses Potenzielle Moratorium erst an oder nach dem Planmässigen Fälligkeitstag bzw. dem massgeblichen Zinszahlungstag eingetreten ist.</w:t>
            </w:r>
            <w:r w:rsidRPr="00792D61">
              <w:rPr>
                <w:b/>
                <w:lang w:val="de-DE"/>
              </w:rPr>
              <w:t>]</w:t>
            </w:r>
          </w:p>
        </w:tc>
      </w:tr>
      <w:tr w:rsidTr="004C1EBA">
        <w:tblPrEx>
          <w:tblW w:w="4999" w:type="pct"/>
          <w:tblLayout w:type="fixed"/>
          <w:tblCellMar>
            <w:left w:w="115" w:type="dxa"/>
            <w:right w:w="115" w:type="dxa"/>
          </w:tblCellMar>
          <w:tblLook w:val="04A0"/>
        </w:tblPrEx>
        <w:trPr>
          <w:trHeight w:val="2593"/>
        </w:trPr>
        <w:tc>
          <w:tcPr>
            <w:tcW w:w="1616" w:type="dxa"/>
            <w:gridSpan w:val="3"/>
            <w:tcBorders>
              <w:top w:val="nil"/>
              <w:left w:val="nil"/>
              <w:right w:val="nil"/>
            </w:tcBorders>
            <w:shd w:val="clear" w:color="auto" w:fill="auto"/>
          </w:tcPr>
          <w:p w:rsidR="0017135D" w:rsidRPr="001C731D" w:rsidP="000C557A">
            <w:pPr>
              <w:pStyle w:val="CSBody8ptbolditalics"/>
            </w:pPr>
            <w:r w:rsidRPr="00792D61">
              <w:t>[</w:t>
            </w:r>
            <w:r w:rsidRPr="001C731D">
              <w:t>in case of Complex Products with Reference Obligation(s), insert:</w:t>
            </w:r>
          </w:p>
          <w:p w:rsidR="0017135D" w:rsidRPr="001C731D" w:rsidP="000C557A">
            <w:pPr>
              <w:pStyle w:val="CSBody8pt"/>
            </w:pPr>
            <w:r w:rsidRPr="001C731D">
              <w:t>Prior Reference Obligation</w:t>
            </w:r>
            <w:r>
              <w:fldChar w:fldCharType="begin"/>
            </w:r>
            <w:r>
              <w:instrText xml:space="preserve"> XE "</w:instrText>
            </w:r>
            <w:r w:rsidRPr="004D0D20">
              <w:instrText>Prior Reference Obligation</w:instrText>
            </w:r>
            <w:r>
              <w:instrText xml:space="preserve">" \f "EN" </w:instrText>
            </w:r>
            <w:r>
              <w:fldChar w:fldCharType="end"/>
            </w:r>
          </w:p>
        </w:tc>
        <w:tc>
          <w:tcPr>
            <w:tcW w:w="3315" w:type="dxa"/>
            <w:gridSpan w:val="2"/>
            <w:tcBorders>
              <w:top w:val="nil"/>
              <w:left w:val="nil"/>
            </w:tcBorders>
            <w:shd w:val="clear" w:color="auto" w:fill="auto"/>
          </w:tcPr>
          <w:p w:rsidR="0017135D" w:rsidRPr="001C731D" w:rsidP="000C557A">
            <w:pPr>
              <w:pStyle w:val="CSBody8pt"/>
            </w:pPr>
            <w:r w:rsidRPr="001C731D">
              <w:t>in circumstances where there is no Reference Obligation applicable to a Complex Product, (I) the Reference Obligation most recently applicable thereto, if any, and otherwise, (II) any unsubordinated Borrowed Money obligation of the Reference Entity.</w:t>
            </w:r>
            <w:r w:rsidRPr="00792D61">
              <w:rPr>
                <w:b/>
              </w:rPr>
              <w:t>]</w:t>
            </w:r>
          </w:p>
        </w:tc>
        <w:tc>
          <w:tcPr>
            <w:tcW w:w="1618" w:type="dxa"/>
            <w:gridSpan w:val="2"/>
            <w:tcBorders>
              <w:top w:val="nil"/>
              <w:right w:val="nil"/>
            </w:tcBorders>
            <w:shd w:val="clear" w:color="auto" w:fill="auto"/>
          </w:tcPr>
          <w:p w:rsidR="0017135D" w:rsidRPr="001C731D" w:rsidP="000C557A">
            <w:pPr>
              <w:pStyle w:val="CSBody8ptbolditalics"/>
              <w:rPr>
                <w:lang w:val="de-DE"/>
              </w:rPr>
            </w:pPr>
            <w:r w:rsidRPr="00792D61">
              <w:rPr>
                <w:lang w:val="de-DE"/>
              </w:rPr>
              <w:t>[</w:t>
            </w:r>
            <w:r w:rsidRPr="001C731D">
              <w:rPr>
                <w:lang w:val="de-DE"/>
              </w:rPr>
              <w:t>bei Komplexen Produkten mit Referenzverbindlichkeit(en) einfügen:</w:t>
            </w:r>
          </w:p>
          <w:p w:rsidR="0017135D" w:rsidRPr="001C731D" w:rsidP="000C557A">
            <w:pPr>
              <w:pStyle w:val="CSBody8pt"/>
              <w:rPr>
                <w:lang w:val="de-DE"/>
              </w:rPr>
            </w:pPr>
            <w:r w:rsidRPr="006A33FB">
              <w:t>Frühere Referenzverbindlichkeit</w:t>
            </w:r>
            <w:r>
              <w:fldChar w:fldCharType="begin"/>
            </w:r>
            <w:r>
              <w:instrText xml:space="preserve"> XE "</w:instrText>
            </w:r>
            <w:r w:rsidRPr="00841779">
              <w:instrText>Frühere Referenzverbindlichkeit</w:instrText>
            </w:r>
            <w:r>
              <w:instrText xml:space="preserve">" </w:instrText>
            </w:r>
            <w:r>
              <w:fldChar w:fldCharType="end"/>
            </w:r>
          </w:p>
        </w:tc>
        <w:tc>
          <w:tcPr>
            <w:tcW w:w="3318" w:type="dxa"/>
            <w:tcBorders>
              <w:top w:val="nil"/>
              <w:left w:val="nil"/>
              <w:right w:val="nil"/>
            </w:tcBorders>
            <w:shd w:val="clear" w:color="auto" w:fill="auto"/>
          </w:tcPr>
          <w:p w:rsidR="0017135D" w:rsidRPr="001C731D" w:rsidP="000C557A">
            <w:pPr>
              <w:pStyle w:val="CSBody8pt"/>
              <w:rPr>
                <w:bCs/>
                <w:lang w:val="de-DE"/>
              </w:rPr>
            </w:pPr>
            <w:r w:rsidRPr="001C731D">
              <w:rPr>
                <w:bCs/>
                <w:lang w:val="de-DE"/>
              </w:rPr>
              <w:t>in Fällen, in denen es keine für ein Komplexes Produkt geltende Referenzverbindlichkeit gibt, (I) die zuletzt für diese</w:t>
            </w:r>
            <w:r>
              <w:rPr>
                <w:bCs/>
                <w:lang w:val="de-DE"/>
              </w:rPr>
              <w:t>s Komplexe Produkt</w:t>
            </w:r>
            <w:r w:rsidRPr="001C731D">
              <w:rPr>
                <w:bCs/>
                <w:lang w:val="de-DE"/>
              </w:rPr>
              <w:t xml:space="preserve"> geltende Referenzverbindlichkeit, sofern vorhanden, und andernfalls (II) jede nicht nachrangige Verbindlichkeit des Referenzschuldners in Form Aufgenommener Gelder.</w:t>
            </w:r>
            <w:r w:rsidRPr="00792D61">
              <w:rPr>
                <w:b/>
                <w:bCs/>
                <w:lang w:val="de-DE"/>
              </w:rPr>
              <w:t>]</w:t>
            </w:r>
          </w:p>
        </w:tc>
      </w:tr>
      <w:tr w:rsidTr="004C1EBA">
        <w:tblPrEx>
          <w:tblW w:w="4999" w:type="pct"/>
          <w:tblLayout w:type="fixed"/>
          <w:tblCellMar>
            <w:left w:w="115" w:type="dxa"/>
            <w:right w:w="115" w:type="dxa"/>
          </w:tblCellMar>
          <w:tblLook w:val="04A0"/>
        </w:tblPrEx>
        <w:trPr>
          <w:trHeight w:val="4127"/>
        </w:trPr>
        <w:tc>
          <w:tcPr>
            <w:tcW w:w="1616" w:type="dxa"/>
            <w:gridSpan w:val="3"/>
            <w:tcBorders>
              <w:top w:val="nil"/>
              <w:left w:val="nil"/>
              <w:right w:val="nil"/>
            </w:tcBorders>
            <w:shd w:val="clear" w:color="auto" w:fill="auto"/>
          </w:tcPr>
          <w:p w:rsidR="0017135D" w:rsidRPr="001C731D" w:rsidP="000C557A">
            <w:pPr>
              <w:pStyle w:val="CSBody8ptbolditalics"/>
            </w:pPr>
            <w:r w:rsidRPr="00792D61">
              <w:t>[</w:t>
            </w:r>
            <w:r w:rsidRPr="001C731D">
              <w:t>if "Financial Reference Entity Terms" and "Governmental Intervention" and/or "Restructuring" are applicable, insert:</w:t>
            </w:r>
          </w:p>
          <w:p w:rsidR="0017135D" w:rsidRPr="001C731D" w:rsidP="000C557A">
            <w:pPr>
              <w:pStyle w:val="CSBody8pt"/>
            </w:pPr>
            <w:r w:rsidRPr="006A33FB">
              <w:t>Prior Valuation Obligation</w:t>
            </w:r>
            <w:r>
              <w:fldChar w:fldCharType="begin"/>
            </w:r>
            <w:r>
              <w:instrText xml:space="preserve"> XE "</w:instrText>
            </w:r>
            <w:r w:rsidRPr="000F3496">
              <w:instrText>Prior Valuation Obligation</w:instrText>
            </w:r>
            <w:r>
              <w:instrText xml:space="preserve">" \f "EN" </w:instrText>
            </w:r>
            <w:r>
              <w:fldChar w:fldCharType="end"/>
            </w:r>
          </w:p>
        </w:tc>
        <w:tc>
          <w:tcPr>
            <w:tcW w:w="3315" w:type="dxa"/>
            <w:gridSpan w:val="2"/>
            <w:tcBorders>
              <w:top w:val="nil"/>
              <w:left w:val="nil"/>
            </w:tcBorders>
            <w:shd w:val="clear" w:color="auto" w:fill="auto"/>
          </w:tcPr>
          <w:p w:rsidR="0017135D" w:rsidRPr="001C731D" w:rsidP="000C557A">
            <w:pPr>
              <w:pStyle w:val="CSBody8pt"/>
            </w:pPr>
            <w:r w:rsidRPr="00792D61">
              <w:rPr>
                <w:b/>
              </w:rPr>
              <w:t>[</w:t>
            </w:r>
            <w:r w:rsidRPr="000C557A">
              <w:rPr>
                <w:b/>
                <w:i/>
              </w:rPr>
              <w:t>if "Governmental Intervention" is applicable, insert:</w:t>
            </w:r>
            <w:r w:rsidRPr="001C731D">
              <w:t xml:space="preserve"> </w:t>
            </w:r>
            <w:r w:rsidRPr="00792D61">
              <w:rPr>
                <w:b/>
              </w:rPr>
              <w:t>[</w:t>
            </w:r>
            <w:r w:rsidRPr="001C731D">
              <w:t>(a)</w:t>
            </w:r>
            <w:r w:rsidRPr="00792D61">
              <w:rPr>
                <w:b/>
              </w:rPr>
              <w:t>]</w:t>
            </w:r>
            <w:r w:rsidRPr="001C731D">
              <w:t xml:space="preserve"> if a Governmental Intervention has occurred (whether or not such event is specified as the applicable Credit Event in the Credit Event Notice or the DC Credit Event Announcement), any obligation of the Reference Entity which (i) existed immediately prior to such Governmental Intervention, (ii) was the subject of such Governmental Intervention and (iii) fell within the definition of Valuation Obligation set out in paragraph (a) or (b) of the definition Valuation Obligation, in each case, immediately preceding the date on which such Governmental Intervention was legally effective;</w:t>
            </w:r>
            <w:r w:rsidRPr="00792D61">
              <w:rPr>
                <w:b/>
              </w:rPr>
              <w:t>]</w:t>
            </w:r>
            <w:r w:rsidRPr="001C731D">
              <w:t xml:space="preserve"> </w:t>
            </w:r>
            <w:r w:rsidRPr="00792D61">
              <w:rPr>
                <w:b/>
              </w:rPr>
              <w:t>[</w:t>
            </w:r>
            <w:r w:rsidRPr="000C557A">
              <w:rPr>
                <w:b/>
                <w:i/>
              </w:rPr>
              <w:t xml:space="preserve">if both "Governmental Intervention" and "Restructuring" are applicable, insert: </w:t>
            </w:r>
            <w:r w:rsidRPr="001C731D">
              <w:t>or</w:t>
            </w:r>
          </w:p>
        </w:tc>
        <w:tc>
          <w:tcPr>
            <w:tcW w:w="1618" w:type="dxa"/>
            <w:gridSpan w:val="2"/>
            <w:tcBorders>
              <w:top w:val="nil"/>
              <w:right w:val="nil"/>
            </w:tcBorders>
            <w:shd w:val="clear" w:color="auto" w:fill="auto"/>
          </w:tcPr>
          <w:p w:rsidR="0017135D" w:rsidRPr="001C731D" w:rsidP="000C557A">
            <w:pPr>
              <w:pStyle w:val="CSBody8ptbolditalics"/>
              <w:rPr>
                <w:lang w:val="de-DE"/>
              </w:rPr>
            </w:pPr>
            <w:r w:rsidRPr="00792D61">
              <w:rPr>
                <w:lang w:val="de-DE"/>
              </w:rPr>
              <w:t>[</w:t>
            </w:r>
            <w:r w:rsidRPr="001C731D">
              <w:rPr>
                <w:lang w:val="de-DE"/>
              </w:rPr>
              <w:t>falls "Bedingungen für Finanzinstitute als Referenzschuldner" und "Staatliche Intervention" und/oder "Restrukturierung" anwendbar sind, einfügen:</w:t>
            </w:r>
          </w:p>
          <w:p w:rsidR="0017135D" w:rsidRPr="001C731D" w:rsidP="000C557A">
            <w:pPr>
              <w:pStyle w:val="CSBody8pt"/>
              <w:rPr>
                <w:lang w:val="de-DE"/>
              </w:rPr>
            </w:pPr>
            <w:r w:rsidRPr="006A33FB">
              <w:t>Frühere Bewertungsverbindlichkeit</w:t>
            </w:r>
            <w:r>
              <w:fldChar w:fldCharType="begin"/>
            </w:r>
            <w:r>
              <w:instrText xml:space="preserve"> XE "</w:instrText>
            </w:r>
            <w:r w:rsidRPr="003A6484">
              <w:instrText>Frühere Bewertungsverbindlichkeit</w:instrText>
            </w:r>
            <w:r>
              <w:instrText xml:space="preserve">" </w:instrText>
            </w:r>
            <w:r>
              <w:fldChar w:fldCharType="end"/>
            </w:r>
          </w:p>
        </w:tc>
        <w:tc>
          <w:tcPr>
            <w:tcW w:w="3318" w:type="dxa"/>
            <w:tcBorders>
              <w:top w:val="nil"/>
              <w:left w:val="nil"/>
              <w:right w:val="nil"/>
            </w:tcBorders>
            <w:shd w:val="clear" w:color="auto" w:fill="auto"/>
          </w:tcPr>
          <w:p w:rsidR="0017135D" w:rsidRPr="001C731D" w:rsidP="000C557A">
            <w:pPr>
              <w:pStyle w:val="CSBody8pt"/>
              <w:rPr>
                <w:bCs/>
                <w:lang w:val="de-DE"/>
              </w:rPr>
            </w:pPr>
            <w:r w:rsidRPr="00792D61">
              <w:rPr>
                <w:b/>
                <w:bCs/>
                <w:lang w:val="de-DE"/>
              </w:rPr>
              <w:t>[</w:t>
            </w:r>
            <w:r w:rsidRPr="000C557A">
              <w:rPr>
                <w:b/>
                <w:bCs/>
                <w:i/>
                <w:lang w:val="de-DE"/>
              </w:rPr>
              <w:t>wenn "Staatliche Intervention" anwendbar ist, einfügen:</w:t>
            </w:r>
            <w:r w:rsidRPr="001C731D">
              <w:rPr>
                <w:bCs/>
                <w:lang w:val="de-DE"/>
              </w:rPr>
              <w:t xml:space="preserve"> </w:t>
            </w:r>
            <w:r w:rsidRPr="00792D61">
              <w:rPr>
                <w:b/>
                <w:bCs/>
                <w:lang w:val="de-DE"/>
              </w:rPr>
              <w:t>[</w:t>
            </w:r>
            <w:r w:rsidRPr="001C731D">
              <w:rPr>
                <w:bCs/>
                <w:lang w:val="de-DE"/>
              </w:rPr>
              <w:t xml:space="preserve">(a) </w:t>
            </w:r>
            <w:r w:rsidRPr="00792D61">
              <w:rPr>
                <w:b/>
                <w:bCs/>
                <w:lang w:val="de-DE"/>
              </w:rPr>
              <w:t>]</w:t>
            </w:r>
            <w:r w:rsidRPr="001C731D">
              <w:rPr>
                <w:bCs/>
                <w:lang w:val="de-DE"/>
              </w:rPr>
              <w:t xml:space="preserve"> wenn eine Staatliche Intervention erfolgt ist (unabhängig davon, ob ein solches Ereignis in der Kreditereignismitteilung oder der Bekanntgabe eines Kreditereignisbeschlusses als massgebliches Kreditereignis angegeben ist), jede Verbindlichkeit des Referenzschuldners, die (i) unmittelbar vor der Staatlichen Intervention bestand, (ii) Gegenstand der Staatlichen Intervention war und (iii) die Kriterien von Absatz (a) oder (b) der Definition  "Bewertungsverbindlichkeit" erfüllt, und zwar jeweils unmittelbar vor dem Tag, an dem die Staatliche Intervention rechtswirksam wurde;</w:t>
            </w:r>
            <w:r w:rsidRPr="00792D61">
              <w:rPr>
                <w:b/>
                <w:bCs/>
                <w:lang w:val="de-DE"/>
              </w:rPr>
              <w:t>]</w:t>
            </w:r>
            <w:r w:rsidRPr="001C731D">
              <w:rPr>
                <w:bCs/>
                <w:lang w:val="de-DE"/>
              </w:rPr>
              <w:t xml:space="preserve"> </w:t>
            </w:r>
            <w:r w:rsidRPr="00792D61">
              <w:rPr>
                <w:b/>
                <w:bCs/>
                <w:lang w:val="de-DE"/>
              </w:rPr>
              <w:t>[</w:t>
            </w:r>
            <w:r w:rsidRPr="000C557A">
              <w:rPr>
                <w:b/>
                <w:bCs/>
                <w:i/>
                <w:lang w:val="de-DE"/>
              </w:rPr>
              <w:t>wenn sowohl "Staatliche Intervention" als auch "Restrukturierung" anwendbar sind, einfügen:</w:t>
            </w:r>
            <w:r w:rsidRPr="001C731D">
              <w:rPr>
                <w:bCs/>
                <w:lang w:val="de-DE"/>
              </w:rPr>
              <w:t xml:space="preserve">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13B3E" w:rsidP="00A457E7">
            <w:pPr>
              <w:pStyle w:val="CSBody0"/>
              <w:rPr>
                <w:lang w:val="de-DE"/>
              </w:rPr>
            </w:pPr>
          </w:p>
        </w:tc>
        <w:tc>
          <w:tcPr>
            <w:tcW w:w="3315" w:type="dxa"/>
            <w:gridSpan w:val="2"/>
            <w:tcBorders>
              <w:top w:val="nil"/>
              <w:left w:val="nil"/>
              <w:bottom w:val="nil"/>
            </w:tcBorders>
            <w:shd w:val="clear" w:color="auto" w:fill="auto"/>
          </w:tcPr>
          <w:p w:rsidR="0017135D" w:rsidRPr="001C731D" w:rsidP="009D1C9F">
            <w:pPr>
              <w:pStyle w:val="CSManNum8pt"/>
            </w:pPr>
            <w:r w:rsidRPr="001C731D">
              <w:t>(b)</w:t>
            </w:r>
            <w:r w:rsidRPr="001C731D">
              <w:tab/>
              <w:t>if a Restructuring, which does not constitute a Governmental Intervention, has occurred in respect of the Reference Obligation (whether or not such event is specified as the applicable Credit Event in the Credit Event Notice or the DC Credit Event Announcement), such Reference Obligation, if any.</w:t>
            </w:r>
            <w:r w:rsidRPr="00792D61">
              <w:rPr>
                <w:b/>
              </w:rPr>
              <w:t>]]</w:t>
            </w:r>
          </w:p>
        </w:tc>
        <w:tc>
          <w:tcPr>
            <w:tcW w:w="1618" w:type="dxa"/>
            <w:gridSpan w:val="2"/>
            <w:tcBorders>
              <w:top w:val="nil"/>
              <w:bottom w:val="nil"/>
              <w:right w:val="nil"/>
            </w:tcBorders>
            <w:shd w:val="clear" w:color="auto" w:fill="auto"/>
          </w:tcPr>
          <w:p w:rsidR="0017135D" w:rsidRPr="001C731D" w:rsidP="000C557A">
            <w:pPr>
              <w:pStyle w:val="CSManNum8pt"/>
              <w:rPr>
                <w:i/>
              </w:rPr>
            </w:pPr>
          </w:p>
        </w:tc>
        <w:tc>
          <w:tcPr>
            <w:tcW w:w="3318" w:type="dxa"/>
            <w:tcBorders>
              <w:top w:val="nil"/>
              <w:left w:val="nil"/>
              <w:bottom w:val="nil"/>
              <w:right w:val="nil"/>
            </w:tcBorders>
            <w:shd w:val="clear" w:color="auto" w:fill="auto"/>
          </w:tcPr>
          <w:p w:rsidR="0017135D" w:rsidRPr="001C731D" w:rsidP="009D1C9F">
            <w:pPr>
              <w:pStyle w:val="CSManNum8pt"/>
              <w:rPr>
                <w:bCs/>
                <w:lang w:val="de-DE"/>
              </w:rPr>
            </w:pPr>
            <w:r w:rsidRPr="001C731D">
              <w:rPr>
                <w:bCs/>
                <w:lang w:val="de-DE"/>
              </w:rPr>
              <w:t>(b)</w:t>
            </w:r>
            <w:r w:rsidRPr="001C731D">
              <w:rPr>
                <w:bCs/>
                <w:lang w:val="de-DE"/>
              </w:rPr>
              <w:tab/>
              <w:t>wenn in Bezug auf die Referenzverbindlichkeit eine Restrukturierung eingetreten ist, die keine Staatliche Intervention darstellt (unabhängig davon, ob ein solches Ereignis in der Kreditereignismitteilung oder der Bekanntgabe eines Kreditereignisbeschlusses als massgebliches Kreditereignis angegeben ist), diese Referenzverbindlichkeit, sofern vorhanden.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9D1C9F">
            <w:pPr>
              <w:pStyle w:val="CSBody8pt"/>
            </w:pPr>
            <w:r w:rsidRPr="006A33FB">
              <w:t>Private</w:t>
            </w:r>
            <w:r w:rsidR="00985ED9">
              <w:t>-</w:t>
            </w:r>
            <w:r w:rsidRPr="006A33FB">
              <w:t>side Loan</w:t>
            </w:r>
            <w:r>
              <w:fldChar w:fldCharType="begin"/>
            </w:r>
            <w:r>
              <w:instrText xml:space="preserve"> XE "</w:instrText>
            </w:r>
            <w:r w:rsidRPr="00E9204B">
              <w:instrText>Privateside Loan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6A33FB" w:rsidP="000C557A">
            <w:pPr>
              <w:pStyle w:val="CSBody8pt"/>
            </w:pPr>
            <w:r w:rsidRPr="006A33FB">
              <w:t>a Loan in respect of which the documentation governing its terms is not publicly available or capable of being made public without violating a law, agreement, understanding or other restriction regarding the confidentiality of such information.</w:t>
            </w:r>
          </w:p>
        </w:tc>
        <w:tc>
          <w:tcPr>
            <w:tcW w:w="1618" w:type="dxa"/>
            <w:gridSpan w:val="2"/>
            <w:tcBorders>
              <w:top w:val="nil"/>
              <w:bottom w:val="nil"/>
              <w:right w:val="nil"/>
            </w:tcBorders>
            <w:shd w:val="clear" w:color="auto" w:fill="auto"/>
          </w:tcPr>
          <w:p w:rsidR="0017135D" w:rsidRPr="00BD7D09" w:rsidP="00EF4BBD">
            <w:pPr>
              <w:pStyle w:val="CSBody8pt"/>
            </w:pPr>
            <w:r w:rsidRPr="00BD7D09">
              <w:t>Privates Darlehen</w:t>
            </w:r>
            <w:r>
              <w:fldChar w:fldCharType="begin"/>
            </w:r>
            <w:r>
              <w:instrText xml:space="preserve"> XE "</w:instrText>
            </w:r>
            <w:r w:rsidRPr="009D2D56">
              <w:instrText>Privates Darlehen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EF4BBD" w:rsidP="00EF4BBD">
            <w:pPr>
              <w:pStyle w:val="CSBody8pt"/>
              <w:rPr>
                <w:lang w:val="de-DE"/>
              </w:rPr>
            </w:pPr>
            <w:r w:rsidRPr="00EF4BBD">
              <w:rPr>
                <w:lang w:val="de-DE"/>
              </w:rPr>
              <w:t>ein Darlehen, bei dem die Dokumentation der Konditionen nicht öffentlich zugänglich ist bzw. nicht ohne Verstoss gegen gesetzliche Vorschriften oder vertragliche oder sonstige Vereinbarungen oder sonstige Beschränkungen bezüglich der Vertraulichkeit solcher Informationen veröffentlicht werden kann.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F4BBD" w:rsidP="000C557A">
            <w:pPr>
              <w:pStyle w:val="CSBody8pt"/>
              <w:rPr>
                <w:lang w:val="de-DE"/>
              </w:rPr>
            </w:pPr>
            <w:r w:rsidRPr="00EF4BBD">
              <w:rPr>
                <w:lang w:val="de-DE"/>
              </w:rPr>
              <w:t>Prohibited Action</w:t>
            </w:r>
            <w:r>
              <w:rPr>
                <w:lang w:val="de-DE"/>
              </w:rPr>
              <w:fldChar w:fldCharType="begin"/>
            </w:r>
            <w:r>
              <w:instrText xml:space="preserve"> XE "</w:instrText>
            </w:r>
            <w:r w:rsidRPr="001916AA">
              <w:rPr>
                <w:lang w:val="de-DE"/>
              </w:rPr>
              <w:instrText>Prohibited Action</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EF4BBD" w:rsidP="000C557A">
            <w:pPr>
              <w:pStyle w:val="CSBody8pt"/>
            </w:pPr>
            <w:r w:rsidRPr="00EF4BBD">
              <w:t xml:space="preserve">any counterclaim, defense (other than a counterclaim or defense based on the factors set forth in Section 1.1 in the definition "Credit Events" nos. (i) to (iv)) or right of setoff by or of the Reference Entity </w:t>
            </w:r>
            <w:r w:rsidRPr="00792D61">
              <w:rPr>
                <w:b/>
              </w:rPr>
              <w:t>[</w:t>
            </w:r>
            <w:r w:rsidRPr="00EF4BBD">
              <w:t>or any applicable Underlying Obligor</w:t>
            </w:r>
            <w:r w:rsidRPr="00792D61">
              <w:rPr>
                <w:b/>
              </w:rPr>
              <w:t>]</w:t>
            </w:r>
            <w:r w:rsidRPr="00EF4BBD">
              <w:t>.</w:t>
            </w:r>
          </w:p>
        </w:tc>
        <w:tc>
          <w:tcPr>
            <w:tcW w:w="1618" w:type="dxa"/>
            <w:gridSpan w:val="2"/>
            <w:tcBorders>
              <w:top w:val="nil"/>
              <w:bottom w:val="nil"/>
              <w:right w:val="nil"/>
            </w:tcBorders>
            <w:shd w:val="clear" w:color="auto" w:fill="auto"/>
          </w:tcPr>
          <w:p w:rsidR="0017135D" w:rsidRPr="00EF4BBD" w:rsidP="000C557A">
            <w:pPr>
              <w:pStyle w:val="CSBody8pt"/>
            </w:pPr>
            <w:r w:rsidRPr="00EF4BBD">
              <w:t>Unzulässige Massnahme</w:t>
            </w:r>
            <w:r>
              <w:fldChar w:fldCharType="begin"/>
            </w:r>
            <w:r>
              <w:instrText xml:space="preserve"> XE "</w:instrText>
            </w:r>
            <w:r w:rsidRPr="00D12251">
              <w:instrText>Unzulässige Massnahme</w:instrText>
            </w:r>
            <w:r>
              <w:instrText xml:space="preserve">" </w:instrText>
            </w:r>
            <w:r>
              <w:fldChar w:fldCharType="end"/>
            </w:r>
          </w:p>
        </w:tc>
        <w:tc>
          <w:tcPr>
            <w:tcW w:w="3318" w:type="dxa"/>
            <w:tcBorders>
              <w:top w:val="nil"/>
              <w:left w:val="nil"/>
              <w:bottom w:val="nil"/>
              <w:right w:val="nil"/>
            </w:tcBorders>
            <w:shd w:val="clear" w:color="auto" w:fill="auto"/>
          </w:tcPr>
          <w:p w:rsidR="0017135D" w:rsidRPr="00EF4BBD" w:rsidP="000C557A">
            <w:pPr>
              <w:pStyle w:val="CSBody8pt"/>
              <w:rPr>
                <w:lang w:val="de-DE"/>
              </w:rPr>
            </w:pPr>
            <w:r w:rsidRPr="00EF4BBD">
              <w:rPr>
                <w:lang w:val="de-DE"/>
              </w:rPr>
              <w:t xml:space="preserve">ein Gegenanspruch, eine Einrede (mit Ausnahme von Gegenansprüchen und Einreden, die auf einem der in den Absätzen (i) bis (iv) der Definition des Begriffes "Kreditereignis" in Ziffer 1.1 genannten Umstände beruhen) oder ein Aufrechnungsrecht des Referenzschuldners </w:t>
            </w:r>
            <w:r w:rsidRPr="00792D61">
              <w:rPr>
                <w:b/>
                <w:lang w:val="de-DE"/>
              </w:rPr>
              <w:t>[</w:t>
            </w:r>
            <w:r w:rsidRPr="00EF4BBD">
              <w:rPr>
                <w:lang w:val="de-DE"/>
              </w:rPr>
              <w:t>oder eines massgeblichen Zugrundeliegenden Schuldners</w:t>
            </w:r>
            <w:r w:rsidRPr="00792D61">
              <w:rPr>
                <w:b/>
                <w:lang w:val="de-DE"/>
              </w:rPr>
              <w:t>]</w:t>
            </w:r>
            <w:r w:rsidRPr="00EF4BBD">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0C557A">
            <w:pPr>
              <w:pStyle w:val="CSBody8pt"/>
            </w:pPr>
            <w:r w:rsidRPr="006A33FB">
              <w:t>Public Source</w:t>
            </w:r>
            <w:r>
              <w:fldChar w:fldCharType="begin"/>
            </w:r>
            <w:r>
              <w:instrText xml:space="preserve"> XE "</w:instrText>
            </w:r>
            <w:r w:rsidRPr="002126CB">
              <w:instrText>Public Source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6A33FB" w:rsidP="000C557A">
            <w:pPr>
              <w:pStyle w:val="CSBody8pt"/>
            </w:pPr>
            <w:r w:rsidRPr="006A33FB">
              <w:t xml:space="preserve">each source of Publicly Available Information specified as such in Section 1.1 (or, if no such source is specified, each of Bloomberg, Reuters, Dow Jones Newswires, The Wall Street Journal, The New York Times, Nihon KeizaiShimbun, Asahi Shimbun, Yomiuri Shimbun, Financial Times, La Tribune, Les Echos, The Australian Financial Review and Debtwire (and successor publications), the main source(s) of business news in the country in which </w:t>
            </w:r>
            <w:r w:rsidRPr="00792D61">
              <w:rPr>
                <w:b/>
              </w:rPr>
              <w:t>[</w:t>
            </w:r>
            <w:r w:rsidRPr="006A33FB">
              <w:rPr>
                <w:b/>
                <w:i/>
              </w:rPr>
              <w:t>if a Complex Product is only linked to one Reference Entity, insert:</w:t>
            </w:r>
            <w:r w:rsidRPr="006A33FB">
              <w:t xml:space="preserve"> the</w:t>
            </w:r>
            <w:r w:rsidRPr="00792D61">
              <w:rPr>
                <w:b/>
              </w:rPr>
              <w:t>][</w:t>
            </w:r>
            <w:r w:rsidRPr="006A33FB">
              <w:rPr>
                <w:b/>
                <w:i/>
              </w:rPr>
              <w:t>if a Basket is applicable or in the case of Complex Products with N</w:t>
            </w:r>
            <w:r w:rsidRPr="00BD6E0D">
              <w:rPr>
                <w:b/>
                <w:i/>
                <w:vertAlign w:val="superscript"/>
              </w:rPr>
              <w:t>th</w:t>
            </w:r>
            <w:r w:rsidRPr="006A33FB">
              <w:rPr>
                <w:b/>
                <w:i/>
              </w:rPr>
              <w:t>-to-Default structure, insert:</w:t>
            </w:r>
            <w:r w:rsidRPr="006A33FB">
              <w:t xml:space="preserve"> a</w:t>
            </w:r>
            <w:r w:rsidRPr="00792D61">
              <w:rPr>
                <w:b/>
              </w:rPr>
              <w:t>]</w:t>
            </w:r>
            <w:r w:rsidRPr="006A33FB">
              <w:t xml:space="preserve"> Reference Entity is organized and any other internationally recognized published or electronically displayed news sources).</w:t>
            </w:r>
          </w:p>
        </w:tc>
        <w:tc>
          <w:tcPr>
            <w:tcW w:w="1618" w:type="dxa"/>
            <w:gridSpan w:val="2"/>
            <w:tcBorders>
              <w:top w:val="nil"/>
              <w:bottom w:val="nil"/>
              <w:right w:val="nil"/>
            </w:tcBorders>
            <w:shd w:val="clear" w:color="auto" w:fill="auto"/>
          </w:tcPr>
          <w:p w:rsidR="0017135D" w:rsidRPr="006A33FB" w:rsidP="000C557A">
            <w:pPr>
              <w:pStyle w:val="CSBody8pt"/>
            </w:pPr>
            <w:r w:rsidRPr="006A33FB">
              <w:t>Öffentliche Quelle</w:t>
            </w:r>
            <w:r>
              <w:fldChar w:fldCharType="begin"/>
            </w:r>
            <w:r>
              <w:instrText xml:space="preserve"> XE "</w:instrText>
            </w:r>
            <w:r w:rsidRPr="00CB3DA3">
              <w:instrText>Öffentliche Quelle</w:instrText>
            </w:r>
            <w:r>
              <w:instrText xml:space="preserve">" </w:instrText>
            </w:r>
            <w:r>
              <w:fldChar w:fldCharType="end"/>
            </w:r>
          </w:p>
        </w:tc>
        <w:tc>
          <w:tcPr>
            <w:tcW w:w="3318" w:type="dxa"/>
            <w:tcBorders>
              <w:top w:val="nil"/>
              <w:left w:val="nil"/>
              <w:bottom w:val="nil"/>
              <w:right w:val="nil"/>
            </w:tcBorders>
            <w:shd w:val="clear" w:color="auto" w:fill="auto"/>
          </w:tcPr>
          <w:p w:rsidR="0017135D" w:rsidRPr="009304CF" w:rsidP="000C557A">
            <w:pPr>
              <w:pStyle w:val="CSBody8pt"/>
              <w:rPr>
                <w:lang w:val="de-DE"/>
              </w:rPr>
            </w:pPr>
            <w:r w:rsidRPr="006A33FB">
              <w:rPr>
                <w:lang w:val="de-DE"/>
              </w:rPr>
              <w:t xml:space="preserve">jede in Ziffer 1.1 angegebene Quelle Öffentlich Verfügbarer Informationen (bzw., wenn keine solche Quelle angegeben ist, Bloomberg, Reuters, Dow Jones Newswires, The Wall Street Journal, The New York Times, Nihon KeizaiShimbun, Asahi Shimbun, Yomiuri Shimbun, Financial Times, La Tribune, Les Echos, The Australian Financial Review und Debtwire (und deren jeweilige Nachfolgepublikationen), die Hauptquelle(n) für Wirtschaftsnachrichten in dem Land, in dem </w:t>
            </w:r>
            <w:r w:rsidRPr="00792D61">
              <w:rPr>
                <w:b/>
                <w:lang w:val="de-DE"/>
              </w:rPr>
              <w:t>[</w:t>
            </w:r>
            <w:r w:rsidRPr="006A33FB">
              <w:rPr>
                <w:b/>
                <w:i/>
                <w:lang w:val="de-DE"/>
              </w:rPr>
              <w:t>falls ein Komplexes Produkt nur an einen Referenzschuldner gekoppelt ist, einfügen</w:t>
            </w:r>
            <w:r w:rsidRPr="006A33FB">
              <w:rPr>
                <w:lang w:val="de-DE"/>
              </w:rPr>
              <w:t>: der</w:t>
            </w:r>
            <w:r w:rsidRPr="00792D61">
              <w:rPr>
                <w:b/>
                <w:lang w:val="de-DE"/>
              </w:rPr>
              <w:t>][</w:t>
            </w:r>
            <w:r w:rsidRPr="006A33FB">
              <w:rPr>
                <w:b/>
                <w:i/>
                <w:lang w:val="de-DE"/>
              </w:rPr>
              <w:t>falls ein Korb anwendbar ist oder bei Komplexen Produkten mit N</w:t>
            </w:r>
            <w:r w:rsidRPr="00BD6E0D">
              <w:rPr>
                <w:b/>
                <w:i/>
                <w:vertAlign w:val="superscript"/>
                <w:lang w:val="de-DE"/>
              </w:rPr>
              <w:t>th</w:t>
            </w:r>
            <w:r w:rsidRPr="006A33FB">
              <w:rPr>
                <w:b/>
                <w:i/>
                <w:lang w:val="de-DE"/>
              </w:rPr>
              <w:t>-to-Default-Struktur, einfügen:</w:t>
            </w:r>
            <w:r w:rsidRPr="006A33FB">
              <w:rPr>
                <w:lang w:val="de-DE"/>
              </w:rPr>
              <w:t xml:space="preserve"> ein</w:t>
            </w:r>
            <w:r w:rsidRPr="00792D61">
              <w:rPr>
                <w:b/>
                <w:lang w:val="de-DE"/>
              </w:rPr>
              <w:t>]</w:t>
            </w:r>
            <w:r w:rsidRPr="006A33FB">
              <w:rPr>
                <w:lang w:val="de-DE"/>
              </w:rPr>
              <w:t xml:space="preserve"> Referenzschuldner errichtet ist, sowie jede sonstige international anerkannte, veröffentlichte oder elektronisch verfügbare Nachrichtenquelle).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304CF" w:rsidP="000C557A">
            <w:pPr>
              <w:pStyle w:val="CSBody8pt"/>
              <w:rPr>
                <w:lang w:val="de-DE"/>
              </w:rPr>
            </w:pPr>
            <w:r w:rsidRPr="009304CF">
              <w:rPr>
                <w:lang w:val="de-DE"/>
              </w:rPr>
              <w:t>Publicly Available Information</w:t>
            </w:r>
            <w:r>
              <w:rPr>
                <w:lang w:val="de-DE"/>
              </w:rPr>
              <w:fldChar w:fldCharType="begin"/>
            </w:r>
            <w:r>
              <w:instrText xml:space="preserve"> XE "</w:instrText>
            </w:r>
            <w:r w:rsidRPr="008E2216">
              <w:rPr>
                <w:lang w:val="de-DE"/>
              </w:rPr>
              <w:instrText>Publicly Available Information</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9304CF" w:rsidP="004C1EBA">
            <w:pPr>
              <w:pStyle w:val="CSManNum8pt"/>
            </w:pPr>
            <w:r w:rsidRPr="009304CF">
              <w:t>(a)</w:t>
            </w:r>
            <w:r w:rsidRPr="009304CF">
              <w:tab/>
              <w:t xml:space="preserve">information that reasonably confirms any of the facts relevant to the determination that the Credit Event </w:t>
            </w:r>
            <w:r w:rsidRPr="00792D61">
              <w:rPr>
                <w:b/>
                <w:i/>
              </w:rPr>
              <w:t>[</w:t>
            </w:r>
            <w:r w:rsidRPr="000C557A">
              <w:rPr>
                <w:b/>
                <w:i/>
              </w:rPr>
              <w:t>if "Repudiation/Moratorium" is applicable, insert:</w:t>
            </w:r>
            <w:r w:rsidRPr="009304CF">
              <w:t xml:space="preserve"> or Potential Repudiation/Moratorium, as applicable,</w:t>
            </w:r>
            <w:r w:rsidRPr="00792D61">
              <w:rPr>
                <w:b/>
              </w:rPr>
              <w:t>]</w:t>
            </w:r>
            <w:r w:rsidRPr="009304CF">
              <w:t xml:space="preserve"> described in a Credit Event Notice </w:t>
            </w:r>
            <w:r w:rsidRPr="00792D61">
              <w:rPr>
                <w:b/>
              </w:rPr>
              <w:t>[</w:t>
            </w:r>
            <w:r w:rsidRPr="000C557A">
              <w:rPr>
                <w:b/>
                <w:i/>
              </w:rPr>
              <w:t>if "Repudiation/Moratorium" is applicable, insert:</w:t>
            </w:r>
            <w:r w:rsidRPr="009304CF">
              <w:t xml:space="preserve"> or Repudiation/Moratorium Extension Notice</w:t>
            </w:r>
            <w:r w:rsidRPr="00792D61">
              <w:rPr>
                <w:b/>
              </w:rPr>
              <w:t>]</w:t>
            </w:r>
            <w:r w:rsidRPr="009304CF">
              <w:t xml:space="preserve"> </w:t>
            </w:r>
            <w:r w:rsidRPr="00792D61">
              <w:rPr>
                <w:b/>
              </w:rPr>
              <w:t>[</w:t>
            </w:r>
            <w:r w:rsidRPr="009304CF">
              <w:t>has</w:t>
            </w:r>
            <w:r w:rsidRPr="00792D61">
              <w:rPr>
                <w:b/>
              </w:rPr>
              <w:t>][</w:t>
            </w:r>
            <w:r w:rsidRPr="009304CF">
              <w:t>have</w:t>
            </w:r>
            <w:r w:rsidRPr="00792D61">
              <w:rPr>
                <w:b/>
              </w:rPr>
              <w:t>]</w:t>
            </w:r>
            <w:r w:rsidRPr="009304CF">
              <w:t xml:space="preserve"> occurred and that (i) has been published in or on not less than </w:t>
            </w:r>
            <w:r w:rsidRPr="00792D61">
              <w:rPr>
                <w:b/>
              </w:rPr>
              <w:t>[</w:t>
            </w:r>
            <w:r w:rsidRPr="009304CF">
              <w:t>two</w:t>
            </w:r>
            <w:r w:rsidRPr="00792D61">
              <w:rPr>
                <w:b/>
              </w:rPr>
              <w:t>]</w:t>
            </w:r>
            <w:r w:rsidRPr="009304CF">
              <w:t xml:space="preserve"> </w:t>
            </w:r>
            <w:r w:rsidRPr="00792D61">
              <w:rPr>
                <w:b/>
              </w:rPr>
              <w:t>[</w:t>
            </w:r>
            <w:r w:rsidRPr="009304CF">
              <w:t>the Specified Number of</w:t>
            </w:r>
            <w:r w:rsidRPr="00792D61">
              <w:rPr>
                <w:b/>
              </w:rPr>
              <w:t>]</w:t>
            </w:r>
            <w:r w:rsidRPr="009304CF">
              <w:t xml:space="preserve"> Public Sources, regardless of whether the reader or user thereof pays a fee to obtain such information; (ii) is information received from or published by (A) the Reference Entity </w:t>
            </w:r>
            <w:r w:rsidRPr="00792D61">
              <w:rPr>
                <w:b/>
              </w:rPr>
              <w:t>[</w:t>
            </w:r>
            <w:r w:rsidRPr="000C557A">
              <w:rPr>
                <w:b/>
                <w:i/>
              </w:rPr>
              <w:t>if the Reference Entity is a Sovereign, insert:</w:t>
            </w:r>
            <w:r w:rsidRPr="009304CF">
              <w:t xml:space="preserve"> or any agency, instrumentality, ministry, department or other authority thereof acting in a governmental capacity (including, without limitng the foregoing, the central bank) of the Sovereign</w:t>
            </w:r>
            <w:r w:rsidRPr="00792D61">
              <w:rPr>
                <w:b/>
              </w:rPr>
              <w:t>]</w:t>
            </w:r>
            <w:r w:rsidRPr="009304CF">
              <w:t xml:space="preserve"> or (B) a trustee, fiscal agent, administrative agent, clearing agent, paying agent, facility agent or agent bank for an Obligation, or (iii) is information contained in any order, decree, notice, petition or filing, however described, of or filed with a court, tribunal, exchange, regulatory authority or similar administrative, regulatory or judicial body</w:t>
            </w:r>
            <w:r>
              <w:t>;</w:t>
            </w:r>
          </w:p>
        </w:tc>
        <w:tc>
          <w:tcPr>
            <w:tcW w:w="1618" w:type="dxa"/>
            <w:gridSpan w:val="2"/>
            <w:tcBorders>
              <w:top w:val="nil"/>
              <w:bottom w:val="nil"/>
              <w:right w:val="nil"/>
            </w:tcBorders>
            <w:shd w:val="clear" w:color="auto" w:fill="auto"/>
          </w:tcPr>
          <w:p w:rsidR="0017135D" w:rsidRPr="006A33FB" w:rsidP="000C557A">
            <w:pPr>
              <w:pStyle w:val="CSBody8pt"/>
            </w:pPr>
            <w:r w:rsidRPr="006A33FB">
              <w:t>Öffentlich Verfügbare Informationen</w:t>
            </w:r>
            <w:r>
              <w:fldChar w:fldCharType="begin"/>
            </w:r>
            <w:r>
              <w:instrText xml:space="preserve"> XE "</w:instrText>
            </w:r>
            <w:r w:rsidRPr="00B2727E">
              <w:instrText>Öffentlich Verfügbare Informationen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9304CF" w:rsidP="009D1C9F">
            <w:pPr>
              <w:pStyle w:val="CSManNum8pt"/>
              <w:rPr>
                <w:lang w:val="de-DE"/>
              </w:rPr>
            </w:pPr>
            <w:r w:rsidRPr="009304CF">
              <w:rPr>
                <w:lang w:val="de-DE"/>
              </w:rPr>
              <w:t>(a)</w:t>
            </w:r>
            <w:r w:rsidRPr="009304CF">
              <w:rPr>
                <w:lang w:val="de-DE"/>
              </w:rPr>
              <w:tab/>
              <w:t>Informa</w:t>
            </w:r>
            <w:r>
              <w:rPr>
                <w:lang w:val="de-DE"/>
              </w:rPr>
              <w:t>tionen, welche die für die Fest</w:t>
            </w:r>
            <w:r w:rsidRPr="009304CF">
              <w:rPr>
                <w:lang w:val="de-DE"/>
              </w:rPr>
              <w:t xml:space="preserve">stellung des Eintritts des in einer Kreditereignismitteilung beschriebenen Kreditereignisses </w:t>
            </w:r>
            <w:r w:rsidRPr="00792D61">
              <w:rPr>
                <w:b/>
                <w:lang w:val="de-DE"/>
              </w:rPr>
              <w:t>[</w:t>
            </w:r>
            <w:r>
              <w:rPr>
                <w:b/>
                <w:i/>
                <w:lang w:val="de-DE"/>
              </w:rPr>
              <w:t>falls "Nicht</w:t>
            </w:r>
            <w:r w:rsidRPr="000C557A">
              <w:rPr>
                <w:b/>
                <w:i/>
                <w:lang w:val="de-DE"/>
              </w:rPr>
              <w:t>anerkennung/Moratorium" anwendbar ist, einfügen</w:t>
            </w:r>
            <w:r w:rsidRPr="009304CF">
              <w:rPr>
                <w:lang w:val="de-DE"/>
              </w:rPr>
              <w:t>: oder der bzw. des in einer Mitteilung über die Verlängerung einer Nichtanerkennung / eines Moratoriums beschriebenen Potenziellen Nichtanerkennung / Potenziellen Moratoriums</w:t>
            </w:r>
            <w:r w:rsidRPr="00792D61">
              <w:rPr>
                <w:b/>
                <w:lang w:val="de-DE"/>
              </w:rPr>
              <w:t>]</w:t>
            </w:r>
            <w:r w:rsidRPr="009304CF">
              <w:rPr>
                <w:lang w:val="de-DE"/>
              </w:rPr>
              <w:t xml:space="preserve"> massgeblichen Fakten hinreichend bestätigen und die (i) in mindestens </w:t>
            </w:r>
            <w:r w:rsidRPr="00792D61">
              <w:rPr>
                <w:b/>
                <w:lang w:val="de-DE"/>
              </w:rPr>
              <w:t>[</w:t>
            </w:r>
            <w:r w:rsidRPr="009304CF">
              <w:rPr>
                <w:lang w:val="de-DE"/>
              </w:rPr>
              <w:t>zwei</w:t>
            </w:r>
            <w:r w:rsidRPr="00792D61">
              <w:rPr>
                <w:b/>
                <w:lang w:val="de-DE"/>
              </w:rPr>
              <w:t>]</w:t>
            </w:r>
            <w:r w:rsidRPr="009304CF">
              <w:rPr>
                <w:lang w:val="de-DE"/>
              </w:rPr>
              <w:t xml:space="preserve"> </w:t>
            </w:r>
            <w:r w:rsidRPr="00792D61">
              <w:rPr>
                <w:b/>
                <w:lang w:val="de-DE"/>
              </w:rPr>
              <w:t>[</w:t>
            </w:r>
            <w:r w:rsidRPr="009304CF">
              <w:rPr>
                <w:lang w:val="de-DE"/>
              </w:rPr>
              <w:t>der Festgelegten Anzahl von</w:t>
            </w:r>
            <w:r w:rsidRPr="00792D61">
              <w:rPr>
                <w:b/>
                <w:lang w:val="de-DE"/>
              </w:rPr>
              <w:t>]</w:t>
            </w:r>
            <w:r w:rsidRPr="009304CF">
              <w:rPr>
                <w:lang w:val="de-DE"/>
              </w:rPr>
              <w:t xml:space="preserve"> Öffentlichen Quellen veröffentlicht wurden, unabhängig davon, ob der Bezug dieser Informationen kostenpflichtig ist; (ii) von (A) dem Referenzschuldner </w:t>
            </w:r>
            <w:r w:rsidRPr="00792D61">
              <w:rPr>
                <w:b/>
                <w:lang w:val="de-DE"/>
              </w:rPr>
              <w:t>[</w:t>
            </w:r>
            <w:r w:rsidRPr="000C557A">
              <w:rPr>
                <w:b/>
                <w:i/>
                <w:lang w:val="de-DE"/>
              </w:rPr>
              <w:t>falls der Referenzschuldner ein Staat ist, einfügen:</w:t>
            </w:r>
            <w:r w:rsidRPr="009304CF">
              <w:rPr>
                <w:lang w:val="de-DE"/>
              </w:rPr>
              <w:t xml:space="preserve"> (oder Dienststellen, Organen, Ministerien oder Abteilungen oder sonstigen Behörden mit hoheitlicher Funktion (einschliesslich der jeweiligen Zentralbank) des betreffenden Staats)</w:t>
            </w:r>
            <w:r w:rsidRPr="00792D61">
              <w:rPr>
                <w:b/>
                <w:lang w:val="de-DE"/>
              </w:rPr>
              <w:t>]</w:t>
            </w:r>
            <w:r w:rsidRPr="009304CF">
              <w:rPr>
                <w:lang w:val="de-DE"/>
              </w:rPr>
              <w:t xml:space="preserve"> oder (B) einer Treuhänderin, Emissionsstelle, Verwaltungsstelle, Clearingstelle, Zahlstelle, Konsortialführerin oder beauftragten Bank für eine Verbindlickeit bereitgestellt oder veröffentlicht wurden; oder (iii) in einem Beschluss, einer Verfügung oder einer Mitteilung gleich welcher Art eines Gerichts, einer Börse, einer Aufsichtsbehörde oder eines vergleichbaren Verwaltungs-, Aufsichts- oder Gerichtsorgans oder in einem bei diesen eingereichten Antrag gleich welcher Art enthalten sind;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304CF" w:rsidP="000C557A">
            <w:pPr>
              <w:pStyle w:val="CSBody8pt"/>
              <w:rPr>
                <w:lang w:val="de-DE"/>
              </w:rPr>
            </w:pPr>
          </w:p>
        </w:tc>
        <w:tc>
          <w:tcPr>
            <w:tcW w:w="3315" w:type="dxa"/>
            <w:gridSpan w:val="2"/>
            <w:tcBorders>
              <w:top w:val="nil"/>
              <w:left w:val="nil"/>
              <w:bottom w:val="nil"/>
            </w:tcBorders>
            <w:shd w:val="clear" w:color="auto" w:fill="auto"/>
          </w:tcPr>
          <w:p w:rsidR="0017135D" w:rsidRPr="009304CF" w:rsidP="000C557A">
            <w:pPr>
              <w:pStyle w:val="CSBody8pt"/>
            </w:pPr>
            <w:r w:rsidRPr="009304CF">
              <w:t>provided that where any information of the type described in (a)(ii) or (iii) above is not publicly available, it can only constitute Publicly Available Information if it can be made public without violating any law, agreement, understanding or other restriction regarding the confidentiality of such information.</w:t>
            </w:r>
          </w:p>
        </w:tc>
        <w:tc>
          <w:tcPr>
            <w:tcW w:w="1618" w:type="dxa"/>
            <w:gridSpan w:val="2"/>
            <w:tcBorders>
              <w:top w:val="nil"/>
              <w:bottom w:val="nil"/>
              <w:right w:val="nil"/>
            </w:tcBorders>
            <w:shd w:val="clear" w:color="auto" w:fill="auto"/>
          </w:tcPr>
          <w:p w:rsidR="0017135D" w:rsidRPr="009304CF" w:rsidP="000C557A">
            <w:pPr>
              <w:pStyle w:val="CSBody8pt"/>
              <w:rPr>
                <w:i/>
              </w:rPr>
            </w:pPr>
          </w:p>
        </w:tc>
        <w:tc>
          <w:tcPr>
            <w:tcW w:w="3318" w:type="dxa"/>
            <w:tcBorders>
              <w:top w:val="nil"/>
              <w:left w:val="nil"/>
              <w:bottom w:val="nil"/>
              <w:right w:val="nil"/>
            </w:tcBorders>
            <w:shd w:val="clear" w:color="auto" w:fill="auto"/>
          </w:tcPr>
          <w:p w:rsidR="0017135D" w:rsidRPr="009304CF" w:rsidP="000C557A">
            <w:pPr>
              <w:pStyle w:val="CSBody8pt"/>
              <w:rPr>
                <w:bCs/>
                <w:lang w:val="de-DE"/>
              </w:rPr>
            </w:pPr>
            <w:r w:rsidRPr="009304CF">
              <w:rPr>
                <w:bCs/>
                <w:lang w:val="de-DE"/>
              </w:rPr>
              <w:t>soweit Inf</w:t>
            </w:r>
            <w:r>
              <w:rPr>
                <w:bCs/>
                <w:lang w:val="de-DE"/>
              </w:rPr>
              <w:t>ormationen der vorstehend in Ab</w:t>
            </w:r>
            <w:r w:rsidRPr="009304CF">
              <w:rPr>
                <w:bCs/>
                <w:lang w:val="de-DE"/>
              </w:rPr>
              <w:t>satz (a)(ii) oder (iii) beschriebenen Art nicht öffentlich zugänglich sind, können sie nur dann Öffentlich Verfügbare Informationen darstellen, wenn sie ohne Verstoss gegen gesetzliche Vorschriften oder vertragliche oder sonstige Vereinbarungen oder sonstige Beschränkungen bezüglich der Vertraulichkeit der Informationen veröffentlicht werden können.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304CF" w:rsidP="000C557A">
            <w:pPr>
              <w:pStyle w:val="CSBody8pt"/>
              <w:rPr>
                <w:lang w:val="de-DE"/>
              </w:rPr>
            </w:pPr>
          </w:p>
        </w:tc>
        <w:tc>
          <w:tcPr>
            <w:tcW w:w="3315" w:type="dxa"/>
            <w:gridSpan w:val="2"/>
            <w:tcBorders>
              <w:top w:val="nil"/>
              <w:left w:val="nil"/>
              <w:bottom w:val="nil"/>
            </w:tcBorders>
            <w:shd w:val="clear" w:color="auto" w:fill="auto"/>
          </w:tcPr>
          <w:p w:rsidR="0017135D" w:rsidRPr="00D03EB3" w:rsidP="000C557A">
            <w:pPr>
              <w:pStyle w:val="CSManNum8pt"/>
            </w:pPr>
            <w:r w:rsidRPr="00D03EB3">
              <w:t>(b)</w:t>
            </w:r>
            <w:r w:rsidRPr="00D03EB3">
              <w:tab/>
              <w:t xml:space="preserve">In relation to any information of the type described in paragraph (a)(ii) or (iii), Publicly Available Information may assume to have been disclosed without violating any law, agreement, understanding or other restriction regarding the confidentiality of such information and that the Issuer, the Lead Manager or the Calculation Agent has not taken any action or entered into any agreement or understanding with </w:t>
            </w:r>
            <w:r w:rsidRPr="00792D61">
              <w:rPr>
                <w:b/>
              </w:rPr>
              <w:t>[</w:t>
            </w:r>
            <w:r w:rsidRPr="000C557A">
              <w:rPr>
                <w:b/>
                <w:i/>
              </w:rPr>
              <w:t>if a Complex Product is only linked to</w:t>
            </w:r>
            <w:r>
              <w:rPr>
                <w:b/>
                <w:i/>
              </w:rPr>
              <w:t xml:space="preserve"> one Refer</w:t>
            </w:r>
            <w:r w:rsidRPr="000C557A">
              <w:rPr>
                <w:b/>
                <w:i/>
              </w:rPr>
              <w:t>ence Entity, insert:</w:t>
            </w:r>
            <w:r w:rsidRPr="00D03EB3">
              <w:t xml:space="preserve"> the</w:t>
            </w:r>
            <w:r w:rsidRPr="00792D61">
              <w:rPr>
                <w:b/>
              </w:rPr>
              <w:t>][</w:t>
            </w:r>
            <w:r w:rsidRPr="000C557A">
              <w:rPr>
                <w:b/>
                <w:i/>
              </w:rPr>
              <w:t>if a Basket is applicable or in the case of Complex Products with N</w:t>
            </w:r>
            <w:r w:rsidRPr="00BD6E0D">
              <w:rPr>
                <w:b/>
                <w:i/>
                <w:vertAlign w:val="superscript"/>
              </w:rPr>
              <w:t>th</w:t>
            </w:r>
            <w:r w:rsidRPr="000C557A">
              <w:rPr>
                <w:b/>
                <w:i/>
              </w:rPr>
              <w:t>-to-Default structure, insert:</w:t>
            </w:r>
            <w:r w:rsidRPr="00D03EB3">
              <w:t xml:space="preserve"> a</w:t>
            </w:r>
            <w:r w:rsidRPr="00792D61">
              <w:rPr>
                <w:b/>
              </w:rPr>
              <w:t>]</w:t>
            </w:r>
            <w:r w:rsidRPr="00D03EB3">
              <w:t xml:space="preserve"> Reference Entity or any Affiliate of </w:t>
            </w:r>
            <w:r w:rsidRPr="00792D61">
              <w:rPr>
                <w:b/>
              </w:rPr>
              <w:t>[</w:t>
            </w:r>
            <w:r w:rsidRPr="000C557A">
              <w:rPr>
                <w:b/>
                <w:i/>
              </w:rPr>
              <w:t>if a Complex Product is only linked to one Reference Entity, insert:</w:t>
            </w:r>
            <w:r w:rsidRPr="00D03EB3">
              <w:t xml:space="preserve"> the</w:t>
            </w:r>
            <w:r w:rsidRPr="00792D61">
              <w:rPr>
                <w:b/>
              </w:rPr>
              <w:t>][</w:t>
            </w:r>
            <w:r w:rsidRPr="00D03EB3">
              <w:t>if a Basket is applicable or in the case of Complex Products with N</w:t>
            </w:r>
            <w:r w:rsidRPr="00BD6E0D">
              <w:rPr>
                <w:vertAlign w:val="superscript"/>
              </w:rPr>
              <w:t>th</w:t>
            </w:r>
            <w:r w:rsidRPr="00D03EB3">
              <w:t>-to-Default structure, insert: such</w:t>
            </w:r>
            <w:r w:rsidRPr="00792D61">
              <w:rPr>
                <w:b/>
              </w:rPr>
              <w:t>]</w:t>
            </w:r>
            <w:r w:rsidRPr="00D03EB3">
              <w:t xml:space="preserve"> Reference Entity that would be breached by, or would prevent, the disclosure of such information to the party receiving such information.</w:t>
            </w:r>
          </w:p>
        </w:tc>
        <w:tc>
          <w:tcPr>
            <w:tcW w:w="1618" w:type="dxa"/>
            <w:gridSpan w:val="2"/>
            <w:tcBorders>
              <w:top w:val="nil"/>
              <w:bottom w:val="nil"/>
              <w:right w:val="nil"/>
            </w:tcBorders>
            <w:shd w:val="clear" w:color="auto" w:fill="auto"/>
          </w:tcPr>
          <w:p w:rsidR="0017135D" w:rsidRPr="00D03EB3" w:rsidP="000C557A">
            <w:pPr>
              <w:pStyle w:val="CSManNum8pt"/>
              <w:rPr>
                <w:i/>
              </w:rPr>
            </w:pPr>
          </w:p>
        </w:tc>
        <w:tc>
          <w:tcPr>
            <w:tcW w:w="3318" w:type="dxa"/>
            <w:tcBorders>
              <w:top w:val="nil"/>
              <w:left w:val="nil"/>
              <w:bottom w:val="nil"/>
              <w:right w:val="nil"/>
            </w:tcBorders>
            <w:shd w:val="clear" w:color="auto" w:fill="auto"/>
          </w:tcPr>
          <w:p w:rsidR="0017135D" w:rsidRPr="00D03EB3" w:rsidP="009D1C9F">
            <w:pPr>
              <w:pStyle w:val="CSManNum8pt"/>
              <w:rPr>
                <w:bCs/>
                <w:lang w:val="de-DE"/>
              </w:rPr>
            </w:pPr>
            <w:r w:rsidRPr="00D03EB3">
              <w:rPr>
                <w:bCs/>
                <w:lang w:val="de-DE"/>
              </w:rPr>
              <w:t>(b)</w:t>
            </w:r>
            <w:r w:rsidRPr="00D03EB3">
              <w:rPr>
                <w:bCs/>
                <w:lang w:val="de-DE"/>
              </w:rPr>
              <w:tab/>
              <w:t xml:space="preserve">Hinsichtlich sämtlicher Informationen der in den Absätzen (a)(ii) oder (iii) bezeichneten Art darf davon ausgegangen werden, dass die Öffentlich Verfügbaren Informationen offengelegt wurden, ohne dass dies einen Verstoss gegen Gesetze, Verträge, Vereinbarungen oder sonstige Beschränkungen hinsichtlich der Vertraulichkeit dieser Informationen darstellt, und dass die Emittentin, der Lead Manager oder die Berechnungsstelle keine Massnahmen ergriffen bzw. Vereinbarungen mit </w:t>
            </w:r>
            <w:r w:rsidRPr="00792D61">
              <w:rPr>
                <w:b/>
                <w:bCs/>
                <w:lang w:val="de-DE"/>
              </w:rPr>
              <w:t>[</w:t>
            </w:r>
            <w:r w:rsidRPr="000C557A">
              <w:rPr>
                <w:b/>
                <w:bCs/>
                <w:i/>
                <w:lang w:val="de-DE"/>
              </w:rPr>
              <w:t xml:space="preserve">falls ein Komplexes Produkt nur an einen Referenzschuldner gekoppelt ist, einfügen: </w:t>
            </w:r>
            <w:r w:rsidRPr="00D03EB3">
              <w:rPr>
                <w:bCs/>
                <w:lang w:val="de-DE"/>
              </w:rPr>
              <w:t>dem</w:t>
            </w:r>
            <w:r w:rsidRPr="00792D61">
              <w:rPr>
                <w:b/>
                <w:bCs/>
                <w:lang w:val="de-DE"/>
              </w:rPr>
              <w:t>][</w:t>
            </w:r>
            <w:r w:rsidRPr="000C557A">
              <w:rPr>
                <w:b/>
                <w:bCs/>
                <w:i/>
                <w:lang w:val="de-DE"/>
              </w:rPr>
              <w:t>falls ein Korb anwendbar ist oder bei Komplexen Produkten mit N</w:t>
            </w:r>
            <w:r w:rsidRPr="00BD6E0D">
              <w:rPr>
                <w:b/>
                <w:i/>
                <w:vertAlign w:val="superscript"/>
                <w:lang w:val="de-DE"/>
              </w:rPr>
              <w:t>th</w:t>
            </w:r>
            <w:r w:rsidRPr="000C557A">
              <w:rPr>
                <w:b/>
                <w:bCs/>
                <w:i/>
                <w:lang w:val="de-DE"/>
              </w:rPr>
              <w:t xml:space="preserve">-to-Default-Struktur, einfügen: </w:t>
            </w:r>
            <w:r w:rsidRPr="00D03EB3">
              <w:rPr>
                <w:bCs/>
                <w:lang w:val="de-DE"/>
              </w:rPr>
              <w:t>einem</w:t>
            </w:r>
            <w:r w:rsidRPr="00792D61">
              <w:rPr>
                <w:b/>
                <w:bCs/>
                <w:lang w:val="de-DE"/>
              </w:rPr>
              <w:t>]</w:t>
            </w:r>
            <w:r w:rsidRPr="00D03EB3">
              <w:rPr>
                <w:bCs/>
                <w:lang w:val="de-DE"/>
              </w:rPr>
              <w:t xml:space="preserve"> Referenzschuldner oder </w:t>
            </w:r>
            <w:r w:rsidRPr="00792D61">
              <w:rPr>
                <w:b/>
                <w:bCs/>
                <w:lang w:val="de-DE"/>
              </w:rPr>
              <w:t>[</w:t>
            </w:r>
            <w:r w:rsidRPr="000C557A">
              <w:rPr>
                <w:b/>
                <w:bCs/>
                <w:i/>
                <w:lang w:val="de-DE"/>
              </w:rPr>
              <w:t xml:space="preserve">falls ein Komplexes Produkt nur an einen Referenzschuldner gekoppelt ist, einfügen: </w:t>
            </w:r>
            <w:r w:rsidRPr="00D03EB3">
              <w:rPr>
                <w:bCs/>
                <w:lang w:val="de-DE"/>
              </w:rPr>
              <w:t>dessen Verbundenen Unternehmen</w:t>
            </w:r>
            <w:r w:rsidRPr="00792D61">
              <w:rPr>
                <w:b/>
                <w:bCs/>
                <w:lang w:val="de-DE"/>
              </w:rPr>
              <w:t>]</w:t>
            </w:r>
            <w:r w:rsidRPr="00D03EB3">
              <w:rPr>
                <w:bCs/>
                <w:lang w:val="de-DE"/>
              </w:rPr>
              <w:t xml:space="preserve"> getroffen haben, die der Offenlegung dieser Informationen gegenüber der empfangenden Partei entgegenstehen oder in Bezug auf die eine solche Offenlegung einen Verstoss darstellen würde.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rPr>
                <w:lang w:val="de-DE"/>
              </w:rPr>
            </w:pPr>
          </w:p>
        </w:tc>
        <w:tc>
          <w:tcPr>
            <w:tcW w:w="3315" w:type="dxa"/>
            <w:gridSpan w:val="2"/>
            <w:tcBorders>
              <w:top w:val="nil"/>
              <w:left w:val="nil"/>
              <w:bottom w:val="nil"/>
            </w:tcBorders>
            <w:shd w:val="clear" w:color="auto" w:fill="auto"/>
          </w:tcPr>
          <w:p w:rsidR="0017135D" w:rsidRPr="00D03EB3" w:rsidP="00C77B1B">
            <w:pPr>
              <w:pStyle w:val="CSManNum8pt"/>
            </w:pPr>
            <w:r w:rsidRPr="00D03EB3">
              <w:t>(c)</w:t>
            </w:r>
            <w:r w:rsidRPr="00D03EB3">
              <w:tab/>
              <w:t xml:space="preserve">without limitation, Publicly Available Information need not state </w:t>
            </w:r>
            <w:r>
              <w:rPr>
                <w:b/>
              </w:rPr>
              <w:t>[</w:t>
            </w:r>
            <w:r>
              <w:rPr>
                <w:b/>
                <w:i/>
              </w:rPr>
              <w:t xml:space="preserve">in case of Complex Products with a Reference Obligation, where </w:t>
            </w:r>
            <w:r w:rsidR="00C77B1B">
              <w:rPr>
                <w:b/>
                <w:i/>
              </w:rPr>
              <w:t xml:space="preserve">All Guarantees </w:t>
            </w:r>
            <w:r>
              <w:rPr>
                <w:b/>
                <w:i/>
              </w:rPr>
              <w:t>is</w:t>
            </w:r>
            <w:r w:rsidR="00C77B1B">
              <w:rPr>
                <w:b/>
                <w:i/>
              </w:rPr>
              <w:t xml:space="preserve"> not</w:t>
            </w:r>
            <w:r>
              <w:rPr>
                <w:b/>
                <w:i/>
              </w:rPr>
              <w:t xml:space="preserve"> applicable, insert: </w:t>
            </w:r>
            <w:r w:rsidRPr="00D03EB3">
              <w:t xml:space="preserve">(i) in relation to the definition of "Downstream Affiliate" the percentage of Voting Shares owned by </w:t>
            </w:r>
            <w:r w:rsidRPr="00792D61">
              <w:rPr>
                <w:b/>
              </w:rPr>
              <w:t>[</w:t>
            </w:r>
            <w:r w:rsidRPr="00D03EB3">
              <w:t xml:space="preserve">if </w:t>
            </w:r>
            <w:r w:rsidRPr="000C557A">
              <w:rPr>
                <w:b/>
                <w:i/>
              </w:rPr>
              <w:t xml:space="preserve">a Complex Product is only linked to one Reference Entity, insert: </w:t>
            </w:r>
            <w:r w:rsidRPr="00D03EB3">
              <w:t>the</w:t>
            </w:r>
            <w:r w:rsidRPr="00792D61">
              <w:rPr>
                <w:b/>
              </w:rPr>
              <w:t>][</w:t>
            </w:r>
            <w:r w:rsidRPr="000C557A">
              <w:rPr>
                <w:b/>
                <w:i/>
              </w:rPr>
              <w:t>if a Basket is applicable or in the case of Complex Products with N</w:t>
            </w:r>
            <w:r w:rsidRPr="00BD6E0D">
              <w:rPr>
                <w:b/>
                <w:i/>
                <w:vertAlign w:val="superscript"/>
              </w:rPr>
              <w:t>th</w:t>
            </w:r>
            <w:r w:rsidRPr="000C557A">
              <w:rPr>
                <w:b/>
                <w:i/>
              </w:rPr>
              <w:t>-to-Default structure, insert:</w:t>
            </w:r>
            <w:r w:rsidRPr="00D03EB3">
              <w:t xml:space="preserve"> a</w:t>
            </w:r>
            <w:r w:rsidRPr="00792D61">
              <w:rPr>
                <w:b/>
              </w:rPr>
              <w:t>]</w:t>
            </w:r>
            <w:r w:rsidRPr="00D03EB3">
              <w:t xml:space="preserve"> Reference Entity and (ii)</w:t>
            </w:r>
            <w:r>
              <w:rPr>
                <w:b/>
              </w:rPr>
              <w:t>]</w:t>
            </w:r>
            <w:r w:rsidRPr="00D03EB3">
              <w:t xml:space="preserve"> that the relevant occurrence (A) has met the Payment Requirement or Default Requirement, (B) is the result of exceeding any applicable Grace Period, or (C) has met the subjective criteria specified in certain Credit Events.</w:t>
            </w:r>
          </w:p>
        </w:tc>
        <w:tc>
          <w:tcPr>
            <w:tcW w:w="1618" w:type="dxa"/>
            <w:gridSpan w:val="2"/>
            <w:tcBorders>
              <w:top w:val="nil"/>
              <w:bottom w:val="nil"/>
              <w:right w:val="nil"/>
            </w:tcBorders>
            <w:shd w:val="clear" w:color="auto" w:fill="auto"/>
          </w:tcPr>
          <w:p w:rsidR="0017135D" w:rsidRPr="00D03EB3" w:rsidP="000C557A">
            <w:pPr>
              <w:pStyle w:val="CSManNum8pt"/>
              <w:rPr>
                <w:i/>
              </w:rPr>
            </w:pPr>
          </w:p>
        </w:tc>
        <w:tc>
          <w:tcPr>
            <w:tcW w:w="3318" w:type="dxa"/>
            <w:tcBorders>
              <w:top w:val="nil"/>
              <w:left w:val="nil"/>
              <w:bottom w:val="nil"/>
              <w:right w:val="nil"/>
            </w:tcBorders>
            <w:shd w:val="clear" w:color="auto" w:fill="auto"/>
          </w:tcPr>
          <w:p w:rsidR="0017135D" w:rsidRPr="00D03EB3" w:rsidP="00C77B1B">
            <w:pPr>
              <w:pStyle w:val="CSManNum8pt"/>
              <w:rPr>
                <w:lang w:val="de-DE"/>
              </w:rPr>
            </w:pPr>
            <w:r w:rsidRPr="00D03EB3">
              <w:rPr>
                <w:lang w:val="de-DE"/>
              </w:rPr>
              <w:t>(c)</w:t>
            </w:r>
            <w:r w:rsidRPr="00D03EB3">
              <w:rPr>
                <w:lang w:val="de-DE"/>
              </w:rPr>
              <w:tab/>
              <w:t xml:space="preserve">Unter anderem folgende Angaben müssen in Öffentlich Verfügbaren Informationen nicht enthalten sein: </w:t>
            </w:r>
            <w:r>
              <w:rPr>
                <w:b/>
                <w:lang w:val="de-DE"/>
              </w:rPr>
              <w:t>[</w:t>
            </w:r>
            <w:r>
              <w:rPr>
                <w:b/>
                <w:i/>
                <w:lang w:val="de-DE"/>
              </w:rPr>
              <w:t xml:space="preserve">bei Komplexen Produkten mit Referenzverbindlichkeit, falls </w:t>
            </w:r>
            <w:r w:rsidR="00C77B1B">
              <w:rPr>
                <w:b/>
                <w:i/>
                <w:lang w:val="de-DE"/>
              </w:rPr>
              <w:t>Alle Garantien nicht</w:t>
            </w:r>
            <w:r>
              <w:rPr>
                <w:b/>
                <w:i/>
                <w:lang w:val="de-DE"/>
              </w:rPr>
              <w:t xml:space="preserve"> anwendbar ist, einfügen: </w:t>
            </w:r>
            <w:r w:rsidRPr="00D03EB3">
              <w:rPr>
                <w:lang w:val="de-DE"/>
              </w:rPr>
              <w:t xml:space="preserve">(i) in Bezug auf die Definition von "Nachgeordnetes Verbundenes Unternehmen" der von </w:t>
            </w:r>
            <w:r w:rsidRPr="00792D61">
              <w:rPr>
                <w:b/>
                <w:lang w:val="de-DE"/>
              </w:rPr>
              <w:t>[</w:t>
            </w:r>
            <w:r w:rsidRPr="000C557A">
              <w:rPr>
                <w:b/>
                <w:i/>
                <w:lang w:val="de-DE"/>
              </w:rPr>
              <w:t>falls ein Komplexes Produkt nur an einen Referenzschuldner gekoppelt ist, einfügen:</w:t>
            </w:r>
            <w:r w:rsidRPr="00D03EB3">
              <w:rPr>
                <w:lang w:val="de-DE"/>
              </w:rPr>
              <w:t xml:space="preserve"> dem</w:t>
            </w:r>
            <w:r w:rsidRPr="00792D61">
              <w:rPr>
                <w:b/>
                <w:lang w:val="de-DE"/>
              </w:rPr>
              <w:t>][</w:t>
            </w:r>
            <w:r w:rsidRPr="000C557A">
              <w:rPr>
                <w:b/>
                <w:i/>
                <w:lang w:val="de-DE"/>
              </w:rPr>
              <w:t>falls ein Korb anwendbar ist oder bei Komplexen Produkten mit N</w:t>
            </w:r>
            <w:r w:rsidRPr="00BD6E0D">
              <w:rPr>
                <w:b/>
                <w:i/>
                <w:vertAlign w:val="superscript"/>
                <w:lang w:val="de-DE"/>
              </w:rPr>
              <w:t>th</w:t>
            </w:r>
            <w:r w:rsidRPr="000C557A">
              <w:rPr>
                <w:b/>
                <w:i/>
                <w:lang w:val="de-DE"/>
              </w:rPr>
              <w:t>-to-Default-Struktur, einfügen:</w:t>
            </w:r>
            <w:r w:rsidRPr="00D03EB3">
              <w:rPr>
                <w:lang w:val="de-DE"/>
              </w:rPr>
              <w:t xml:space="preserve"> einem</w:t>
            </w:r>
            <w:r w:rsidRPr="00792D61">
              <w:rPr>
                <w:b/>
                <w:lang w:val="de-DE"/>
              </w:rPr>
              <w:t>]</w:t>
            </w:r>
            <w:r w:rsidRPr="00D03EB3">
              <w:rPr>
                <w:lang w:val="de-DE"/>
              </w:rPr>
              <w:t xml:space="preserve"> Referenzschuldner gehaltenen Stimmberechtigten Anteile und die Angabe, (ii)</w:t>
            </w:r>
            <w:r>
              <w:rPr>
                <w:b/>
                <w:lang w:val="de-DE"/>
              </w:rPr>
              <w:t>]</w:t>
            </w:r>
            <w:r w:rsidRPr="00D03EB3">
              <w:rPr>
                <w:lang w:val="de-DE"/>
              </w:rPr>
              <w:t xml:space="preserve"> dass (A) durch das betreffende Ereignis der Zahlungs</w:t>
            </w:r>
            <w:r>
              <w:rPr>
                <w:lang w:val="de-DE"/>
              </w:rPr>
              <w:t>-</w:t>
            </w:r>
            <w:r w:rsidRPr="00D03EB3">
              <w:rPr>
                <w:lang w:val="de-DE"/>
              </w:rPr>
              <w:t>Schwellenbetrag oder der Ausfall</w:t>
            </w:r>
            <w:r>
              <w:rPr>
                <w:lang w:val="de-DE"/>
              </w:rPr>
              <w:t>-</w:t>
            </w:r>
            <w:r w:rsidRPr="00D03EB3">
              <w:rPr>
                <w:lang w:val="de-DE"/>
              </w:rPr>
              <w:t>Schwellenbetrag erreicht oder überschritten wurde, (B) das betreffende Ereignis infolge des Überschreitens einer anwendbaren Verlängerungsfrist eingetreten ist oder (C) das betreffende Ereignis die für bestimmte Kreditereignisse festgelegten subjektiven Kriterien erfüllt.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0C557A">
            <w:pPr>
              <w:pStyle w:val="CSBody8pt"/>
              <w:rPr>
                <w:lang w:val="de-DE"/>
              </w:rPr>
            </w:pPr>
          </w:p>
        </w:tc>
        <w:tc>
          <w:tcPr>
            <w:tcW w:w="3315" w:type="dxa"/>
            <w:gridSpan w:val="2"/>
            <w:tcBorders>
              <w:top w:val="nil"/>
              <w:left w:val="nil"/>
              <w:bottom w:val="nil"/>
            </w:tcBorders>
            <w:shd w:val="clear" w:color="auto" w:fill="auto"/>
          </w:tcPr>
          <w:p w:rsidR="0017135D" w:rsidRPr="00BE3ED6" w:rsidP="000C557A">
            <w:pPr>
              <w:pStyle w:val="CSBody8pt"/>
            </w:pPr>
            <w:r w:rsidRPr="00792D61">
              <w:rPr>
                <w:b/>
              </w:rPr>
              <w:t>[</w:t>
            </w:r>
            <w:r w:rsidRPr="000C557A">
              <w:rPr>
                <w:b/>
                <w:i/>
              </w:rPr>
              <w:t>if "Repudiation/Moratorium" is applicable, insert:</w:t>
            </w:r>
            <w:r w:rsidRPr="00BE3ED6">
              <w:t xml:space="preserve"> (d) if the Credit Event is a Repudiation/Moratorium, the Publicly Available Information must relate to the events described in both (a) (i) and (ii) above.</w:t>
            </w:r>
            <w:r w:rsidRPr="00792D61">
              <w:rPr>
                <w:b/>
              </w:rPr>
              <w:t>]</w:t>
            </w:r>
          </w:p>
        </w:tc>
        <w:tc>
          <w:tcPr>
            <w:tcW w:w="1618" w:type="dxa"/>
            <w:gridSpan w:val="2"/>
            <w:tcBorders>
              <w:top w:val="nil"/>
              <w:bottom w:val="nil"/>
              <w:right w:val="nil"/>
            </w:tcBorders>
            <w:shd w:val="clear" w:color="auto" w:fill="auto"/>
          </w:tcPr>
          <w:p w:rsidR="0017135D" w:rsidRPr="00D03EB3" w:rsidP="000C557A">
            <w:pPr>
              <w:pStyle w:val="CSBody8pt"/>
              <w:rPr>
                <w:i/>
              </w:rPr>
            </w:pPr>
          </w:p>
        </w:tc>
        <w:tc>
          <w:tcPr>
            <w:tcW w:w="3318" w:type="dxa"/>
            <w:tcBorders>
              <w:top w:val="nil"/>
              <w:left w:val="nil"/>
              <w:bottom w:val="nil"/>
              <w:right w:val="nil"/>
            </w:tcBorders>
            <w:shd w:val="clear" w:color="auto" w:fill="auto"/>
          </w:tcPr>
          <w:p w:rsidR="0017135D" w:rsidRPr="00D03EB3" w:rsidP="000C557A">
            <w:pPr>
              <w:pStyle w:val="CSBody8pt"/>
              <w:rPr>
                <w:lang w:val="de-DE"/>
              </w:rPr>
            </w:pPr>
            <w:r w:rsidRPr="00792D61">
              <w:rPr>
                <w:b/>
                <w:lang w:val="de-DE"/>
              </w:rPr>
              <w:t>[</w:t>
            </w:r>
            <w:r w:rsidRPr="000C557A">
              <w:rPr>
                <w:b/>
                <w:i/>
                <w:lang w:val="de-DE"/>
              </w:rPr>
              <w:t>falls "Nichtanerkennung/Moratorium" anwendbar ist, einfügen:</w:t>
            </w:r>
            <w:r w:rsidRPr="00D03EB3">
              <w:rPr>
                <w:lang w:val="de-DE"/>
              </w:rPr>
              <w:t xml:space="preserve"> (d) falls es sich bei dem Kreditereignis um eine Nichtanerkennung/ein Moratorium handelt, müssen sich die Öffentlich Verfügbaren Informationen auf die Ereignisse beziehen, die in den vorstehenden Abschnitten (a) (i) und (ii) beschrieben sind.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0C557A">
            <w:pPr>
              <w:pStyle w:val="CSBody8pt"/>
              <w:rPr>
                <w:lang w:val="de-DE"/>
              </w:rPr>
            </w:pPr>
          </w:p>
        </w:tc>
        <w:tc>
          <w:tcPr>
            <w:tcW w:w="3315" w:type="dxa"/>
            <w:gridSpan w:val="2"/>
            <w:tcBorders>
              <w:top w:val="nil"/>
              <w:left w:val="nil"/>
              <w:bottom w:val="nil"/>
            </w:tcBorders>
            <w:shd w:val="clear" w:color="auto" w:fill="auto"/>
          </w:tcPr>
          <w:p w:rsidR="0017135D" w:rsidRPr="00942F00" w:rsidP="00942F00">
            <w:pPr>
              <w:pStyle w:val="CSBody8pt"/>
            </w:pPr>
            <w:r w:rsidRPr="00942F00">
              <w:t>Notwithstanding anything to the contrary in clauses (a) through (c) above, any requirement or condition under these Terms and Conditions that Publicly Available Information be delivered shall be deemed to be satisfied if the DC Secretary publicly announces on or prior to the last day for such delivery (including prior to the Trade Date) that the relevant Credit Derivatives Determinations Committee has Resolved that an event that constitutes a Credit Event has occurred with respect to the relevant Reference Entity or Obligation thereof</w:t>
            </w:r>
            <w:r w:rsidRPr="00942F00" w:rsidR="00942F00">
              <w:t>.</w:t>
            </w:r>
          </w:p>
        </w:tc>
        <w:tc>
          <w:tcPr>
            <w:tcW w:w="1618" w:type="dxa"/>
            <w:gridSpan w:val="2"/>
            <w:tcBorders>
              <w:top w:val="nil"/>
              <w:bottom w:val="nil"/>
              <w:right w:val="nil"/>
            </w:tcBorders>
            <w:shd w:val="clear" w:color="auto" w:fill="auto"/>
          </w:tcPr>
          <w:p w:rsidR="0017135D" w:rsidRPr="00942F00" w:rsidP="000C557A">
            <w:pPr>
              <w:pStyle w:val="CSBody8pt"/>
              <w:rPr>
                <w:i/>
              </w:rPr>
            </w:pPr>
          </w:p>
        </w:tc>
        <w:tc>
          <w:tcPr>
            <w:tcW w:w="3318" w:type="dxa"/>
            <w:tcBorders>
              <w:top w:val="nil"/>
              <w:left w:val="nil"/>
              <w:bottom w:val="nil"/>
              <w:right w:val="nil"/>
            </w:tcBorders>
            <w:shd w:val="clear" w:color="auto" w:fill="auto"/>
          </w:tcPr>
          <w:p w:rsidR="0017135D" w:rsidRPr="00D03EB3" w:rsidP="009D1C9F">
            <w:pPr>
              <w:pStyle w:val="CSBody8pt"/>
              <w:rPr>
                <w:lang w:val="de-DE"/>
              </w:rPr>
            </w:pPr>
            <w:r w:rsidRPr="00942F00">
              <w:rPr>
                <w:lang w:val="de-DE"/>
              </w:rPr>
              <w:t>Ungeachtet etwaiger gegenteiliger Regelungen in den vorstehenden Bestimmungen (a) bis (c) gilt eine Vorschrift oder Voraussetzung im Rahmen dieser Emissionsbedingungen, die die Übermittlung Öffentlich Verfügbarer Informationen erfordert, dann als erfüllt, wenn der Secretary an oder vor dem letzten für diese Übermittlung vorgesehenen Tag (und auch vor dem Handelstag) öffentlich bekannt gibt, dass der zuständige Kreditderivate-Feststellungsausschuss Beschlossen hat, dass in Bezug auf den betreffenden Referenzschuldner oder eine seiner Verbindlichkeiten ein Ereignis eingetreten ist, das als Kreditereignis einzustufen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0C557A">
            <w:pPr>
              <w:pStyle w:val="CSBody8pt"/>
            </w:pPr>
            <w:r>
              <w:rPr>
                <w:b/>
              </w:rPr>
              <w:t>[</w:t>
            </w:r>
            <w:r>
              <w:rPr>
                <w:b/>
                <w:i/>
              </w:rPr>
              <w:t>if All Guarantee</w:t>
            </w:r>
            <w:r w:rsidR="0079644C">
              <w:rPr>
                <w:b/>
                <w:i/>
              </w:rPr>
              <w:t>s</w:t>
            </w:r>
            <w:r>
              <w:rPr>
                <w:b/>
                <w:i/>
              </w:rPr>
              <w:t xml:space="preserve"> is not applicable, insert: </w:t>
            </w:r>
            <w:r w:rsidRPr="006A33FB">
              <w:t>Qualifying Affiliate Guarantee</w:t>
            </w:r>
            <w:r>
              <w:fldChar w:fldCharType="begin"/>
            </w:r>
            <w:r>
              <w:instrText xml:space="preserve"> XE "</w:instrText>
            </w:r>
            <w:r w:rsidRPr="00BC7828">
              <w:instrText>Qualifying Affiliate Guarantee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84217" w:rsidP="000C557A">
            <w:pPr>
              <w:pStyle w:val="CSBody8pt"/>
              <w:rPr>
                <w:b/>
              </w:rPr>
            </w:pPr>
            <w:r w:rsidRPr="006A33FB">
              <w:t>a Qualifying Guarantee provided by the Reference Entity in respect of an Underlying Obligation of a Downstream Affiliate of the Reference Entity.</w:t>
            </w:r>
            <w:r>
              <w:rPr>
                <w:b/>
              </w:rPr>
              <w:t>]</w:t>
            </w:r>
          </w:p>
        </w:tc>
        <w:tc>
          <w:tcPr>
            <w:tcW w:w="1618" w:type="dxa"/>
            <w:gridSpan w:val="2"/>
            <w:tcBorders>
              <w:top w:val="nil"/>
              <w:bottom w:val="nil"/>
              <w:right w:val="nil"/>
            </w:tcBorders>
            <w:shd w:val="clear" w:color="auto" w:fill="auto"/>
          </w:tcPr>
          <w:p w:rsidR="0017135D" w:rsidRPr="006A33FB" w:rsidP="000C557A">
            <w:pPr>
              <w:pStyle w:val="CSBody8pt"/>
              <w:rPr>
                <w:lang w:val="de-DE"/>
              </w:rPr>
            </w:pPr>
            <w:r>
              <w:rPr>
                <w:b/>
                <w:lang w:val="de-DE"/>
              </w:rPr>
              <w:t>[</w:t>
            </w:r>
            <w:r>
              <w:rPr>
                <w:b/>
                <w:i/>
                <w:lang w:val="de-DE"/>
              </w:rPr>
              <w:t xml:space="preserve">falls Alle Garantien nicht anwendbar ist, einfügen: </w:t>
            </w:r>
            <w:r w:rsidRPr="006A33FB">
              <w:rPr>
                <w:lang w:val="de-DE"/>
              </w:rPr>
              <w:t>Qualifizierte Garantie für Verbundene Unternehmen</w:t>
            </w:r>
            <w:r>
              <w:rPr>
                <w:lang w:val="de-DE"/>
              </w:rPr>
              <w:fldChar w:fldCharType="begin"/>
            </w:r>
            <w:r w:rsidRPr="006A33FB">
              <w:rPr>
                <w:lang w:val="de-DE"/>
              </w:rPr>
              <w:instrText xml:space="preserve"> XE "</w:instrText>
            </w:r>
            <w:r w:rsidRPr="000D292F">
              <w:rPr>
                <w:lang w:val="de-DE"/>
              </w:rPr>
              <w:instrText>Qualifizierte Garantie für Verbundene Unternehmen</w:instrText>
            </w:r>
            <w:r w:rsidRPr="006A33FB">
              <w:rPr>
                <w:lang w:val="de-DE"/>
              </w:rP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284217" w:rsidP="000C557A">
            <w:pPr>
              <w:pStyle w:val="CSBody8pt"/>
              <w:rPr>
                <w:b/>
                <w:lang w:val="de-DE"/>
              </w:rPr>
            </w:pPr>
            <w:r w:rsidRPr="006A33FB">
              <w:rPr>
                <w:lang w:val="de-DE"/>
              </w:rPr>
              <w:t>eine Qualifizierte Garantie, die der Referenzschuldner in Bezug auf eine Zugrundeliegende Verbindlichkeit eines Nachgeordneten Verbundenen Unternehmens des Referenzschuldners übernimmt.</w:t>
            </w:r>
            <w:r>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0C557A">
            <w:pPr>
              <w:pStyle w:val="CSBody8pt"/>
            </w:pPr>
            <w:r w:rsidRPr="006A33FB">
              <w:t>Qualifying Guarantee</w:t>
            </w:r>
            <w:r>
              <w:fldChar w:fldCharType="begin"/>
            </w:r>
            <w:r>
              <w:instrText xml:space="preserve"> XE "</w:instrText>
            </w:r>
            <w:r w:rsidRPr="00E21398">
              <w:instrText>Qualifying Guarantee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6A33FB" w:rsidP="000C557A">
            <w:pPr>
              <w:pStyle w:val="CSBody8pt"/>
            </w:pPr>
            <w:r w:rsidRPr="006A33FB">
              <w:t>a guarantee evidenced by a written instrument (which may include a statute or regulation) pursuant to which the Reference Entity irrevocably agrees , undertakes, or is otherwise obliged to pay all amounts of principal and interest (except for amounts which are not covered due to the existence of a Fixed Cap) due under an Underlying Obligation for which the Underlying Obligor is the obligor, by guarantee of payment and not by guarantee of collection (or, in either case, any legal arrangement which is equivalent thereto in form under the relevant governing law).</w:t>
            </w:r>
          </w:p>
        </w:tc>
        <w:tc>
          <w:tcPr>
            <w:tcW w:w="1618" w:type="dxa"/>
            <w:gridSpan w:val="2"/>
            <w:tcBorders>
              <w:top w:val="nil"/>
              <w:bottom w:val="nil"/>
              <w:right w:val="nil"/>
            </w:tcBorders>
            <w:shd w:val="clear" w:color="auto" w:fill="auto"/>
          </w:tcPr>
          <w:p w:rsidR="0017135D" w:rsidRPr="006A33FB" w:rsidP="000C557A">
            <w:pPr>
              <w:pStyle w:val="CSBody8pt"/>
            </w:pPr>
            <w:r w:rsidRPr="006A33FB">
              <w:t>Qualifizierte Garantie</w:t>
            </w:r>
            <w:r>
              <w:fldChar w:fldCharType="begin"/>
            </w:r>
            <w:r>
              <w:instrText xml:space="preserve"> XE "</w:instrText>
            </w:r>
            <w:r w:rsidRPr="001C00CA">
              <w:instrText>Qualifizierte Garantie</w:instrText>
            </w:r>
            <w:r>
              <w:instrText xml:space="preserve">" </w:instrText>
            </w:r>
            <w:r>
              <w:fldChar w:fldCharType="end"/>
            </w:r>
          </w:p>
        </w:tc>
        <w:tc>
          <w:tcPr>
            <w:tcW w:w="3318" w:type="dxa"/>
            <w:tcBorders>
              <w:top w:val="nil"/>
              <w:left w:val="nil"/>
              <w:bottom w:val="nil"/>
              <w:right w:val="nil"/>
            </w:tcBorders>
            <w:shd w:val="clear" w:color="auto" w:fill="auto"/>
          </w:tcPr>
          <w:p w:rsidR="0017135D" w:rsidRPr="00D03EB3" w:rsidP="000C557A">
            <w:pPr>
              <w:pStyle w:val="CSBody8pt"/>
              <w:rPr>
                <w:lang w:val="de-DE"/>
              </w:rPr>
            </w:pPr>
            <w:r w:rsidRPr="006A33FB">
              <w:rPr>
                <w:lang w:val="de-DE"/>
              </w:rPr>
              <w:t>eine in schriftlicher Form (auch durch Gesetz oder Verordnung) dokumentierte Garantie, mit der der Referenzschuldner sich unwiderruflich verpflichtet oder er unwiderruflich erklärt oder anderweitig verpflichtet ist, sämtliche Kapital- und Zinsbeträge (ausser wegen des Bestehens einer Festen Obergrenze nicht abgedeckten Beträgen) zu zahlen, die im Rahmen einer Zugrundeliegenden Verbindlichkeit fällig sind, deren Schuldner der Zugrundeliegende Schuldner ist, und zwar durch Zahlungsgarantie und nicht durch eine Garantie, die eine vorherige Inanspruchnahme des Zugrundeliegenden Schuldners voraussetzt (</w:t>
            </w:r>
            <w:r w:rsidRPr="00BD6E0D">
              <w:rPr>
                <w:i/>
                <w:lang w:val="de-DE"/>
              </w:rPr>
              <w:t>guarantee of collection</w:t>
            </w:r>
            <w:r w:rsidRPr="006A33FB">
              <w:rPr>
                <w:lang w:val="de-DE"/>
              </w:rPr>
              <w:t>) (oder jeweils durch eine nach dem jeweiligen anwendbaren Recht formal gleichwertige rechtliche Vereinbarung).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rPr>
                <w:lang w:val="de-DE"/>
              </w:rPr>
            </w:pPr>
          </w:p>
        </w:tc>
        <w:tc>
          <w:tcPr>
            <w:tcW w:w="3315" w:type="dxa"/>
            <w:gridSpan w:val="2"/>
            <w:tcBorders>
              <w:top w:val="nil"/>
              <w:left w:val="nil"/>
              <w:bottom w:val="nil"/>
            </w:tcBorders>
            <w:shd w:val="clear" w:color="auto" w:fill="auto"/>
          </w:tcPr>
          <w:p w:rsidR="0017135D" w:rsidRPr="00D03EB3" w:rsidP="004C1EBA">
            <w:pPr>
              <w:pStyle w:val="CSBody8pt"/>
            </w:pPr>
            <w:r w:rsidRPr="00D03EB3">
              <w:t>A "Qualifying Guarantee" shall not include any guarantee:</w:t>
            </w:r>
          </w:p>
        </w:tc>
        <w:tc>
          <w:tcPr>
            <w:tcW w:w="1618" w:type="dxa"/>
            <w:gridSpan w:val="2"/>
            <w:tcBorders>
              <w:top w:val="nil"/>
              <w:bottom w:val="nil"/>
              <w:right w:val="nil"/>
            </w:tcBorders>
            <w:shd w:val="clear" w:color="auto" w:fill="auto"/>
          </w:tcPr>
          <w:p w:rsidR="0017135D" w:rsidRPr="00D03EB3" w:rsidP="00E60155">
            <w:pPr>
              <w:pStyle w:val="CSBody0"/>
              <w:rPr>
                <w:i/>
              </w:rPr>
            </w:pPr>
          </w:p>
        </w:tc>
        <w:tc>
          <w:tcPr>
            <w:tcW w:w="3318" w:type="dxa"/>
            <w:tcBorders>
              <w:top w:val="nil"/>
              <w:left w:val="nil"/>
              <w:bottom w:val="nil"/>
              <w:right w:val="nil"/>
            </w:tcBorders>
            <w:shd w:val="clear" w:color="auto" w:fill="auto"/>
          </w:tcPr>
          <w:p w:rsidR="0017135D" w:rsidRPr="00D03EB3" w:rsidP="004C1EBA">
            <w:pPr>
              <w:pStyle w:val="CSBody8pt"/>
              <w:rPr>
                <w:bCs/>
                <w:lang w:val="de-DE"/>
              </w:rPr>
            </w:pPr>
            <w:r w:rsidRPr="00284217">
              <w:rPr>
                <w:lang w:val="de-DE"/>
              </w:rPr>
              <w:t>Der Begriff "Qualifizierte Garantie" umfasst weder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rPr>
                <w:lang w:val="de-DE"/>
              </w:rPr>
            </w:pPr>
          </w:p>
        </w:tc>
        <w:tc>
          <w:tcPr>
            <w:tcW w:w="3315" w:type="dxa"/>
            <w:gridSpan w:val="2"/>
            <w:tcBorders>
              <w:top w:val="nil"/>
              <w:left w:val="nil"/>
              <w:bottom w:val="nil"/>
            </w:tcBorders>
            <w:shd w:val="clear" w:color="auto" w:fill="auto"/>
          </w:tcPr>
          <w:p w:rsidR="0017135D" w:rsidRPr="00D03EB3" w:rsidP="000C557A">
            <w:pPr>
              <w:pStyle w:val="CSManNum8pt"/>
            </w:pPr>
            <w:r w:rsidRPr="00D03EB3">
              <w:t>(a)</w:t>
            </w:r>
            <w:r w:rsidRPr="00D03EB3">
              <w:tab/>
              <w:t>which is structured as a surety bond, financial guarantee insurance policy or letter of credit (or any legal arrangement which is equivalent thereto in form); or</w:t>
            </w:r>
          </w:p>
        </w:tc>
        <w:tc>
          <w:tcPr>
            <w:tcW w:w="1618" w:type="dxa"/>
            <w:gridSpan w:val="2"/>
            <w:tcBorders>
              <w:top w:val="nil"/>
              <w:bottom w:val="nil"/>
              <w:right w:val="nil"/>
            </w:tcBorders>
            <w:shd w:val="clear" w:color="auto" w:fill="auto"/>
          </w:tcPr>
          <w:p w:rsidR="0017135D" w:rsidRPr="00D03EB3" w:rsidP="000C557A">
            <w:pPr>
              <w:pStyle w:val="CSManNum8pt"/>
              <w:rPr>
                <w:i/>
              </w:rPr>
            </w:pPr>
          </w:p>
        </w:tc>
        <w:tc>
          <w:tcPr>
            <w:tcW w:w="3318" w:type="dxa"/>
            <w:tcBorders>
              <w:top w:val="nil"/>
              <w:left w:val="nil"/>
              <w:bottom w:val="nil"/>
              <w:right w:val="nil"/>
            </w:tcBorders>
            <w:shd w:val="clear" w:color="auto" w:fill="auto"/>
          </w:tcPr>
          <w:p w:rsidR="0017135D" w:rsidRPr="00D03EB3" w:rsidP="000C557A">
            <w:pPr>
              <w:pStyle w:val="CSManNum8pt"/>
              <w:rPr>
                <w:bCs/>
                <w:lang w:val="de-DE"/>
              </w:rPr>
            </w:pPr>
            <w:r w:rsidRPr="00D03EB3">
              <w:rPr>
                <w:bCs/>
                <w:lang w:val="de-DE"/>
              </w:rPr>
              <w:t>(a)</w:t>
            </w:r>
            <w:r w:rsidRPr="00D03EB3">
              <w:rPr>
                <w:bCs/>
                <w:lang w:val="de-DE"/>
              </w:rPr>
              <w:tab/>
              <w:t>Garantiescheine, Zahlungsgarantien in Form von Versicherungen oder Akkreditiven (oder formal gleichwertige rechtliche Vereinbarungen); noch</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rPr>
                <w:lang w:val="de-DE"/>
              </w:rPr>
            </w:pPr>
          </w:p>
        </w:tc>
        <w:tc>
          <w:tcPr>
            <w:tcW w:w="3315" w:type="dxa"/>
            <w:gridSpan w:val="2"/>
            <w:tcBorders>
              <w:top w:val="nil"/>
              <w:left w:val="nil"/>
              <w:bottom w:val="nil"/>
            </w:tcBorders>
            <w:shd w:val="clear" w:color="auto" w:fill="auto"/>
          </w:tcPr>
          <w:p w:rsidR="0017135D" w:rsidRPr="00D03EB3" w:rsidP="000C557A">
            <w:pPr>
              <w:pStyle w:val="CSManNum8pt"/>
            </w:pPr>
            <w:r w:rsidRPr="00D03EB3">
              <w:t>(b)</w:t>
            </w:r>
            <w:r w:rsidRPr="00D03EB3">
              <w:tab/>
              <w:t xml:space="preserve">pursuant to the terms applicable thereto, the principal payment obligations of </w:t>
            </w:r>
            <w:r w:rsidRPr="00792D61">
              <w:rPr>
                <w:b/>
              </w:rPr>
              <w:t>[</w:t>
            </w:r>
            <w:r w:rsidRPr="000C557A">
              <w:rPr>
                <w:b/>
                <w:i/>
              </w:rPr>
              <w:t xml:space="preserve">if a Complex Product is only linked to one Reference Entity, insert: </w:t>
            </w:r>
            <w:r w:rsidRPr="00D03EB3">
              <w:t>the</w:t>
            </w:r>
            <w:r w:rsidRPr="00792D61">
              <w:rPr>
                <w:b/>
              </w:rPr>
              <w:t>][</w:t>
            </w:r>
            <w:r w:rsidRPr="000C557A">
              <w:rPr>
                <w:b/>
                <w:i/>
              </w:rPr>
              <w:t>if a Basket is applicable or in the case of Complex Products with N</w:t>
            </w:r>
            <w:r w:rsidRPr="00BD6E0D">
              <w:rPr>
                <w:b/>
                <w:i/>
                <w:vertAlign w:val="superscript"/>
              </w:rPr>
              <w:t>th</w:t>
            </w:r>
            <w:r w:rsidRPr="000C557A">
              <w:rPr>
                <w:b/>
                <w:i/>
              </w:rPr>
              <w:t>-to-Default structure, insert:</w:t>
            </w:r>
            <w:r w:rsidRPr="00D03EB3">
              <w:t xml:space="preserve"> a</w:t>
            </w:r>
            <w:r w:rsidRPr="00792D61">
              <w:rPr>
                <w:b/>
              </w:rPr>
              <w:t>]</w:t>
            </w:r>
            <w:r w:rsidRPr="00D03EB3">
              <w:t xml:space="preserve"> Refer-ence Entity can be discharged, released, reduced, assigned or otherwise altered as a result of the occurrence or non-occurrence of an event or circumstance, in each case, other than:</w:t>
            </w:r>
          </w:p>
        </w:tc>
        <w:tc>
          <w:tcPr>
            <w:tcW w:w="1618" w:type="dxa"/>
            <w:gridSpan w:val="2"/>
            <w:tcBorders>
              <w:top w:val="nil"/>
              <w:bottom w:val="nil"/>
              <w:right w:val="nil"/>
            </w:tcBorders>
            <w:shd w:val="clear" w:color="auto" w:fill="auto"/>
          </w:tcPr>
          <w:p w:rsidR="0017135D" w:rsidRPr="00D03EB3" w:rsidP="000C557A">
            <w:pPr>
              <w:pStyle w:val="CSManNum8pt"/>
              <w:rPr>
                <w:i/>
              </w:rPr>
            </w:pPr>
          </w:p>
        </w:tc>
        <w:tc>
          <w:tcPr>
            <w:tcW w:w="3318" w:type="dxa"/>
            <w:tcBorders>
              <w:top w:val="nil"/>
              <w:left w:val="nil"/>
              <w:bottom w:val="nil"/>
              <w:right w:val="nil"/>
            </w:tcBorders>
            <w:shd w:val="clear" w:color="auto" w:fill="auto"/>
          </w:tcPr>
          <w:p w:rsidR="0017135D" w:rsidRPr="00D03EB3" w:rsidP="009D1C9F">
            <w:pPr>
              <w:pStyle w:val="CSManNum8pt"/>
              <w:rPr>
                <w:bCs/>
                <w:lang w:val="de-DE"/>
              </w:rPr>
            </w:pPr>
            <w:r w:rsidRPr="00D03EB3">
              <w:rPr>
                <w:bCs/>
                <w:lang w:val="de-DE"/>
              </w:rPr>
              <w:t>(b)</w:t>
            </w:r>
            <w:r w:rsidRPr="00D03EB3">
              <w:rPr>
                <w:bCs/>
                <w:lang w:val="de-DE"/>
              </w:rPr>
              <w:tab/>
              <w:t xml:space="preserve">Garantien, nach deren Bedingungen die Kapitalzahlungspflichten </w:t>
            </w:r>
            <w:r w:rsidRPr="00792D61">
              <w:rPr>
                <w:b/>
                <w:bCs/>
                <w:lang w:val="de-DE"/>
              </w:rPr>
              <w:t>[</w:t>
            </w:r>
            <w:r w:rsidRPr="000C557A">
              <w:rPr>
                <w:b/>
                <w:bCs/>
                <w:i/>
                <w:lang w:val="de-DE"/>
              </w:rPr>
              <w:t>falls ein Komplexes Produkt nur an einen Referenzschuldner gekoppelt ist, einfügen:</w:t>
            </w:r>
            <w:r w:rsidRPr="00D03EB3">
              <w:rPr>
                <w:bCs/>
                <w:lang w:val="de-DE"/>
              </w:rPr>
              <w:t xml:space="preserve"> des</w:t>
            </w:r>
            <w:r w:rsidRPr="00792D61">
              <w:rPr>
                <w:b/>
                <w:bCs/>
                <w:lang w:val="de-DE"/>
              </w:rPr>
              <w:t>][</w:t>
            </w:r>
            <w:r w:rsidRPr="000C557A">
              <w:rPr>
                <w:b/>
                <w:bCs/>
                <w:i/>
                <w:lang w:val="de-DE"/>
              </w:rPr>
              <w:t>falls ein Korb anwendbar ist oder bei Komplexen Produkten mit N</w:t>
            </w:r>
            <w:r w:rsidRPr="00BD6E0D">
              <w:rPr>
                <w:b/>
                <w:i/>
                <w:vertAlign w:val="superscript"/>
                <w:lang w:val="de-DE"/>
              </w:rPr>
              <w:t>th</w:t>
            </w:r>
            <w:r w:rsidRPr="000C557A">
              <w:rPr>
                <w:b/>
                <w:bCs/>
                <w:i/>
                <w:lang w:val="de-DE"/>
              </w:rPr>
              <w:t xml:space="preserve">-to-Default-Struktur, einfügen: </w:t>
            </w:r>
            <w:r w:rsidRPr="00D03EB3">
              <w:rPr>
                <w:bCs/>
                <w:lang w:val="de-DE"/>
              </w:rPr>
              <w:t>eines</w:t>
            </w:r>
            <w:r w:rsidRPr="00792D61">
              <w:rPr>
                <w:b/>
                <w:bCs/>
                <w:lang w:val="de-DE"/>
              </w:rPr>
              <w:t>]</w:t>
            </w:r>
            <w:r w:rsidRPr="00D03EB3">
              <w:rPr>
                <w:bCs/>
                <w:lang w:val="de-DE"/>
              </w:rPr>
              <w:t xml:space="preserve"> Referenzschuldners infolge des Eintritts oder Nichteintritts eines Ereignisses oder Umstands erfüllt, freigegeben, reduziert, abgetreten oder anderweitig abgeändert werden, jeweils ausser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rPr>
                <w:lang w:val="de-DE"/>
              </w:rPr>
            </w:pPr>
          </w:p>
        </w:tc>
        <w:tc>
          <w:tcPr>
            <w:tcW w:w="3315" w:type="dxa"/>
            <w:gridSpan w:val="2"/>
            <w:tcBorders>
              <w:top w:val="nil"/>
              <w:left w:val="nil"/>
              <w:bottom w:val="nil"/>
            </w:tcBorders>
            <w:shd w:val="clear" w:color="auto" w:fill="auto"/>
          </w:tcPr>
          <w:p w:rsidR="0017135D" w:rsidRPr="00D03EB3" w:rsidP="006A33FB">
            <w:pPr>
              <w:pStyle w:val="CSManNum8pt"/>
              <w:ind w:left="649" w:hanging="283"/>
              <w:rPr>
                <w:lang w:val="de-DE"/>
              </w:rPr>
            </w:pPr>
            <w:r w:rsidRPr="00D03EB3">
              <w:rPr>
                <w:lang w:val="de-DE"/>
              </w:rPr>
              <w:t>(i)</w:t>
            </w:r>
            <w:r w:rsidRPr="00D03EB3">
              <w:rPr>
                <w:lang w:val="de-DE"/>
              </w:rPr>
              <w:tab/>
              <w:t>by payment;</w:t>
            </w:r>
          </w:p>
        </w:tc>
        <w:tc>
          <w:tcPr>
            <w:tcW w:w="1618" w:type="dxa"/>
            <w:gridSpan w:val="2"/>
            <w:tcBorders>
              <w:top w:val="nil"/>
              <w:bottom w:val="nil"/>
              <w:right w:val="nil"/>
            </w:tcBorders>
            <w:shd w:val="clear" w:color="auto" w:fill="auto"/>
          </w:tcPr>
          <w:p w:rsidR="0017135D" w:rsidRPr="00D03EB3" w:rsidP="000C557A">
            <w:pPr>
              <w:pStyle w:val="CSManNum8pt"/>
              <w:rPr>
                <w:i/>
                <w:lang w:val="de-DE"/>
              </w:rPr>
            </w:pPr>
          </w:p>
        </w:tc>
        <w:tc>
          <w:tcPr>
            <w:tcW w:w="3318" w:type="dxa"/>
            <w:tcBorders>
              <w:top w:val="nil"/>
              <w:left w:val="nil"/>
              <w:bottom w:val="nil"/>
              <w:right w:val="nil"/>
            </w:tcBorders>
            <w:shd w:val="clear" w:color="auto" w:fill="auto"/>
          </w:tcPr>
          <w:p w:rsidR="0017135D" w:rsidRPr="00D03EB3" w:rsidP="006A33FB">
            <w:pPr>
              <w:pStyle w:val="CSManNum8pt"/>
              <w:ind w:left="681" w:hanging="284"/>
              <w:rPr>
                <w:bCs/>
                <w:lang w:val="de-DE"/>
              </w:rPr>
            </w:pPr>
            <w:r w:rsidRPr="00D03EB3">
              <w:rPr>
                <w:bCs/>
                <w:lang w:val="de-DE"/>
              </w:rPr>
              <w:t>(i)</w:t>
            </w:r>
            <w:r w:rsidRPr="00D03EB3">
              <w:rPr>
                <w:bCs/>
                <w:lang w:val="de-DE"/>
              </w:rPr>
              <w:tab/>
              <w:t>durch Zahlung;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rPr>
                <w:lang w:val="de-DE"/>
              </w:rPr>
            </w:pPr>
          </w:p>
        </w:tc>
        <w:tc>
          <w:tcPr>
            <w:tcW w:w="3315" w:type="dxa"/>
            <w:gridSpan w:val="2"/>
            <w:tcBorders>
              <w:top w:val="nil"/>
              <w:left w:val="nil"/>
              <w:bottom w:val="nil"/>
            </w:tcBorders>
            <w:shd w:val="clear" w:color="auto" w:fill="auto"/>
          </w:tcPr>
          <w:p w:rsidR="0017135D" w:rsidRPr="00D03EB3" w:rsidP="006A33FB">
            <w:pPr>
              <w:pStyle w:val="CSManNum8pt"/>
              <w:ind w:left="649" w:hanging="283"/>
            </w:pPr>
            <w:r w:rsidRPr="00D03EB3">
              <w:t>(ii)</w:t>
            </w:r>
            <w:r w:rsidRPr="00D03EB3">
              <w:tab/>
              <w:t>by way of Permitted Transfer;</w:t>
            </w:r>
          </w:p>
        </w:tc>
        <w:tc>
          <w:tcPr>
            <w:tcW w:w="1618" w:type="dxa"/>
            <w:gridSpan w:val="2"/>
            <w:tcBorders>
              <w:top w:val="nil"/>
              <w:bottom w:val="nil"/>
              <w:right w:val="nil"/>
            </w:tcBorders>
            <w:shd w:val="clear" w:color="auto" w:fill="auto"/>
          </w:tcPr>
          <w:p w:rsidR="0017135D" w:rsidRPr="00D03EB3" w:rsidP="000C557A">
            <w:pPr>
              <w:pStyle w:val="CSManNum8pt"/>
              <w:rPr>
                <w:i/>
              </w:rPr>
            </w:pPr>
          </w:p>
        </w:tc>
        <w:tc>
          <w:tcPr>
            <w:tcW w:w="3318" w:type="dxa"/>
            <w:tcBorders>
              <w:top w:val="nil"/>
              <w:left w:val="nil"/>
              <w:bottom w:val="nil"/>
              <w:right w:val="nil"/>
            </w:tcBorders>
            <w:shd w:val="clear" w:color="auto" w:fill="auto"/>
          </w:tcPr>
          <w:p w:rsidR="0017135D" w:rsidRPr="00D03EB3" w:rsidP="006A33FB">
            <w:pPr>
              <w:pStyle w:val="CSManNum8pt"/>
              <w:ind w:left="681" w:hanging="284"/>
              <w:rPr>
                <w:bCs/>
                <w:lang w:val="de-DE"/>
              </w:rPr>
            </w:pPr>
            <w:r w:rsidRPr="00D03EB3">
              <w:rPr>
                <w:bCs/>
                <w:lang w:val="de-DE"/>
              </w:rPr>
              <w:t>(ii)</w:t>
            </w:r>
            <w:r w:rsidRPr="00D03EB3">
              <w:rPr>
                <w:bCs/>
                <w:lang w:val="de-DE"/>
              </w:rPr>
              <w:tab/>
              <w:t>im Wege der Zulässigen Übertragung;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rPr>
                <w:lang w:val="de-DE"/>
              </w:rPr>
            </w:pPr>
          </w:p>
        </w:tc>
        <w:tc>
          <w:tcPr>
            <w:tcW w:w="3315" w:type="dxa"/>
            <w:gridSpan w:val="2"/>
            <w:tcBorders>
              <w:top w:val="nil"/>
              <w:left w:val="nil"/>
              <w:bottom w:val="nil"/>
            </w:tcBorders>
            <w:shd w:val="clear" w:color="auto" w:fill="auto"/>
          </w:tcPr>
          <w:p w:rsidR="0017135D" w:rsidRPr="00D03EB3" w:rsidP="006A33FB">
            <w:pPr>
              <w:pStyle w:val="CSManNum8pt"/>
              <w:ind w:left="649" w:hanging="283"/>
            </w:pPr>
            <w:r w:rsidRPr="00D03EB3">
              <w:t>(iii)</w:t>
            </w:r>
            <w:r w:rsidRPr="00D03EB3">
              <w:tab/>
              <w:t xml:space="preserve">by operation of law; </w:t>
            </w:r>
            <w:r w:rsidRPr="00792D61">
              <w:rPr>
                <w:b/>
              </w:rPr>
              <w:t>[</w:t>
            </w:r>
            <w:r w:rsidRPr="00D03EB3">
              <w:t>or</w:t>
            </w:r>
            <w:r w:rsidRPr="00792D61">
              <w:rPr>
                <w:b/>
              </w:rPr>
              <w:t>]</w:t>
            </w:r>
          </w:p>
        </w:tc>
        <w:tc>
          <w:tcPr>
            <w:tcW w:w="1618" w:type="dxa"/>
            <w:gridSpan w:val="2"/>
            <w:tcBorders>
              <w:top w:val="nil"/>
              <w:bottom w:val="nil"/>
              <w:right w:val="nil"/>
            </w:tcBorders>
            <w:shd w:val="clear" w:color="auto" w:fill="auto"/>
          </w:tcPr>
          <w:p w:rsidR="0017135D" w:rsidRPr="00D03EB3" w:rsidP="000C557A">
            <w:pPr>
              <w:pStyle w:val="CSManNum8pt"/>
              <w:rPr>
                <w:i/>
              </w:rPr>
            </w:pPr>
          </w:p>
        </w:tc>
        <w:tc>
          <w:tcPr>
            <w:tcW w:w="3318" w:type="dxa"/>
            <w:tcBorders>
              <w:top w:val="nil"/>
              <w:left w:val="nil"/>
              <w:bottom w:val="nil"/>
              <w:right w:val="nil"/>
            </w:tcBorders>
            <w:shd w:val="clear" w:color="auto" w:fill="auto"/>
          </w:tcPr>
          <w:p w:rsidR="0017135D" w:rsidRPr="00D03EB3" w:rsidP="006A33FB">
            <w:pPr>
              <w:pStyle w:val="CSManNum8pt"/>
              <w:ind w:left="681" w:hanging="284"/>
              <w:rPr>
                <w:bCs/>
              </w:rPr>
            </w:pPr>
            <w:r w:rsidRPr="00D03EB3">
              <w:rPr>
                <w:bCs/>
              </w:rPr>
              <w:t>(iii)</w:t>
            </w:r>
            <w:r w:rsidRPr="00D03EB3">
              <w:rPr>
                <w:bCs/>
              </w:rPr>
              <w:tab/>
              <w:t>kraft Gesetzes</w:t>
            </w:r>
            <w:r w:rsidRPr="00792D61">
              <w:rPr>
                <w:b/>
                <w:bCs/>
              </w:rPr>
              <w:t>[</w:t>
            </w:r>
            <w:r w:rsidRPr="00D03EB3">
              <w:rPr>
                <w:bCs/>
              </w:rPr>
              <w:t>;</w:t>
            </w:r>
            <w:r w:rsidRPr="00792D61">
              <w:rPr>
                <w:b/>
                <w:bCs/>
              </w:rPr>
              <w:t>]</w:t>
            </w:r>
            <w:r w:rsidRPr="00D03EB3">
              <w:rPr>
                <w:bCs/>
              </w:rPr>
              <w:t xml:space="preserve"> </w:t>
            </w:r>
            <w:r w:rsidRPr="00792D61">
              <w:rPr>
                <w:b/>
                <w:bCs/>
              </w:rPr>
              <w:t>[</w:t>
            </w:r>
            <w:r w:rsidRPr="00D03EB3">
              <w:rPr>
                <w:bCs/>
              </w:rPr>
              <w:t>oder</w:t>
            </w:r>
            <w:r w:rsidRPr="00792D61">
              <w:rPr>
                <w:b/>
                <w:bCs/>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pPr>
          </w:p>
        </w:tc>
        <w:tc>
          <w:tcPr>
            <w:tcW w:w="3315" w:type="dxa"/>
            <w:gridSpan w:val="2"/>
            <w:tcBorders>
              <w:top w:val="nil"/>
              <w:left w:val="nil"/>
              <w:bottom w:val="nil"/>
            </w:tcBorders>
            <w:shd w:val="clear" w:color="auto" w:fill="auto"/>
          </w:tcPr>
          <w:p w:rsidR="0017135D" w:rsidRPr="00D03EB3" w:rsidP="006A33FB">
            <w:pPr>
              <w:pStyle w:val="CSManNum8pt"/>
              <w:ind w:left="649" w:hanging="283"/>
            </w:pPr>
            <w:r w:rsidRPr="00D03EB3">
              <w:t>(iv)</w:t>
            </w:r>
            <w:r w:rsidRPr="00D03EB3">
              <w:tab/>
              <w:t>due to the existence of a Fixed Cap</w:t>
            </w:r>
            <w:r w:rsidRPr="00792D61">
              <w:rPr>
                <w:b/>
              </w:rPr>
              <w:t>[</w:t>
            </w:r>
            <w:r w:rsidRPr="00D03EB3">
              <w:t>.</w:t>
            </w:r>
            <w:r w:rsidRPr="00792D61">
              <w:rPr>
                <w:b/>
              </w:rPr>
              <w:t>][</w:t>
            </w:r>
            <w:r w:rsidRPr="000C557A">
              <w:rPr>
                <w:b/>
                <w:i/>
              </w:rPr>
              <w:t>insert, if applicable:</w:t>
            </w:r>
            <w:r w:rsidRPr="00D03EB3">
              <w:t>; or</w:t>
            </w:r>
          </w:p>
        </w:tc>
        <w:tc>
          <w:tcPr>
            <w:tcW w:w="1618" w:type="dxa"/>
            <w:gridSpan w:val="2"/>
            <w:tcBorders>
              <w:top w:val="nil"/>
              <w:bottom w:val="nil"/>
              <w:right w:val="nil"/>
            </w:tcBorders>
            <w:shd w:val="clear" w:color="auto" w:fill="auto"/>
          </w:tcPr>
          <w:p w:rsidR="0017135D" w:rsidRPr="00D03EB3" w:rsidP="000C557A">
            <w:pPr>
              <w:pStyle w:val="CSManNum8pt"/>
              <w:rPr>
                <w:i/>
              </w:rPr>
            </w:pPr>
          </w:p>
        </w:tc>
        <w:tc>
          <w:tcPr>
            <w:tcW w:w="3318" w:type="dxa"/>
            <w:tcBorders>
              <w:top w:val="nil"/>
              <w:left w:val="nil"/>
              <w:bottom w:val="nil"/>
              <w:right w:val="nil"/>
            </w:tcBorders>
            <w:shd w:val="clear" w:color="auto" w:fill="auto"/>
          </w:tcPr>
          <w:p w:rsidR="0017135D" w:rsidRPr="00D03EB3" w:rsidP="006A33FB">
            <w:pPr>
              <w:pStyle w:val="CSManNum8pt"/>
              <w:ind w:left="681" w:hanging="284"/>
              <w:rPr>
                <w:bCs/>
                <w:lang w:val="de-DE"/>
              </w:rPr>
            </w:pPr>
            <w:r w:rsidRPr="00D03EB3">
              <w:rPr>
                <w:bCs/>
                <w:lang w:val="de-DE"/>
              </w:rPr>
              <w:t>(iv)</w:t>
            </w:r>
            <w:r w:rsidRPr="00D03EB3">
              <w:rPr>
                <w:bCs/>
                <w:lang w:val="de-DE"/>
              </w:rPr>
              <w:tab/>
              <w:t>wegen des Bestehens einer Festen Obergrenze</w:t>
            </w:r>
            <w:r w:rsidRPr="00792D61">
              <w:rPr>
                <w:b/>
                <w:bCs/>
                <w:lang w:val="de-DE"/>
              </w:rPr>
              <w:t>[</w:t>
            </w:r>
            <w:r w:rsidRPr="00D03EB3">
              <w:rPr>
                <w:bCs/>
                <w:lang w:val="de-DE"/>
              </w:rPr>
              <w:t>.</w:t>
            </w:r>
            <w:r w:rsidRPr="00792D61">
              <w:rPr>
                <w:b/>
                <w:bCs/>
                <w:lang w:val="de-DE"/>
              </w:rPr>
              <w:t>][</w:t>
            </w:r>
            <w:r w:rsidRPr="000C557A">
              <w:rPr>
                <w:b/>
                <w:bCs/>
                <w:i/>
                <w:lang w:val="de-DE"/>
              </w:rPr>
              <w:t>falls anwendbar einfügen:</w:t>
            </w:r>
            <w:r w:rsidRPr="00D03EB3">
              <w:rPr>
                <w:bCs/>
                <w:lang w:val="de-DE"/>
              </w:rPr>
              <w:t xml:space="preserve"> oder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A457E7">
            <w:pPr>
              <w:pStyle w:val="CSBody0"/>
              <w:rPr>
                <w:lang w:val="de-DE"/>
              </w:rPr>
            </w:pPr>
          </w:p>
        </w:tc>
        <w:tc>
          <w:tcPr>
            <w:tcW w:w="3315" w:type="dxa"/>
            <w:gridSpan w:val="2"/>
            <w:tcBorders>
              <w:top w:val="nil"/>
              <w:left w:val="nil"/>
              <w:bottom w:val="nil"/>
            </w:tcBorders>
            <w:shd w:val="clear" w:color="auto" w:fill="auto"/>
          </w:tcPr>
          <w:p w:rsidR="0017135D" w:rsidRPr="00D03EB3" w:rsidP="006A33FB">
            <w:pPr>
              <w:pStyle w:val="CSManNum8pt"/>
              <w:ind w:left="649" w:hanging="283"/>
              <w:rPr>
                <w:lang w:val="de-DE"/>
              </w:rPr>
            </w:pPr>
            <w:r w:rsidRPr="00D03EB3">
              <w:rPr>
                <w:lang w:val="de-DE"/>
              </w:rPr>
              <w:t>(v)</w:t>
            </w:r>
            <w:r w:rsidRPr="00D03EB3">
              <w:rPr>
                <w:lang w:val="de-DE"/>
              </w:rPr>
              <w:tab/>
              <w:t>due to</w:t>
            </w:r>
            <w:r w:rsidRPr="00792D61">
              <w:rPr>
                <w:b/>
                <w:lang w:val="de-DE"/>
              </w:rPr>
              <w:t>[</w:t>
            </w:r>
            <w:r w:rsidRPr="00D03EB3">
              <w:rPr>
                <w:lang w:val="de-DE"/>
              </w:rPr>
              <w:t>:</w:t>
            </w:r>
            <w:r w:rsidRPr="00792D61">
              <w:rPr>
                <w:b/>
                <w:lang w:val="de-DE"/>
              </w:rPr>
              <w:t>]</w:t>
            </w:r>
          </w:p>
        </w:tc>
        <w:tc>
          <w:tcPr>
            <w:tcW w:w="1618" w:type="dxa"/>
            <w:gridSpan w:val="2"/>
            <w:tcBorders>
              <w:top w:val="nil"/>
              <w:bottom w:val="nil"/>
              <w:right w:val="nil"/>
            </w:tcBorders>
            <w:shd w:val="clear" w:color="auto" w:fill="auto"/>
          </w:tcPr>
          <w:p w:rsidR="0017135D" w:rsidRPr="00D03EB3" w:rsidP="000C557A">
            <w:pPr>
              <w:pStyle w:val="CSManNum8pt"/>
              <w:rPr>
                <w:i/>
                <w:lang w:val="de-DE"/>
              </w:rPr>
            </w:pPr>
          </w:p>
        </w:tc>
        <w:tc>
          <w:tcPr>
            <w:tcW w:w="3318" w:type="dxa"/>
            <w:tcBorders>
              <w:top w:val="nil"/>
              <w:left w:val="nil"/>
              <w:bottom w:val="nil"/>
              <w:right w:val="nil"/>
            </w:tcBorders>
            <w:shd w:val="clear" w:color="auto" w:fill="auto"/>
          </w:tcPr>
          <w:p w:rsidR="0017135D" w:rsidRPr="00D03EB3" w:rsidP="006A33FB">
            <w:pPr>
              <w:pStyle w:val="CSManNum8pt"/>
              <w:ind w:left="681" w:hanging="284"/>
              <w:rPr>
                <w:bCs/>
                <w:lang w:val="de-DE"/>
              </w:rPr>
            </w:pPr>
            <w:r w:rsidRPr="00D03EB3">
              <w:rPr>
                <w:bCs/>
                <w:lang w:val="de-DE"/>
              </w:rPr>
              <w:t>(v)</w:t>
            </w:r>
            <w:r w:rsidRPr="00D03EB3">
              <w:rPr>
                <w:bCs/>
                <w:lang w:val="de-DE"/>
              </w:rPr>
              <w:tab/>
              <w:t>wegen</w:t>
            </w:r>
            <w:r w:rsidRPr="00792D61">
              <w:rPr>
                <w:b/>
                <w:bCs/>
                <w:lang w:val="de-DE"/>
              </w:rPr>
              <w:t>[</w:t>
            </w:r>
            <w:r w:rsidRPr="00D03EB3">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03EB3" w:rsidP="000C557A">
            <w:pPr>
              <w:pStyle w:val="CSBody8pt"/>
              <w:rPr>
                <w:lang w:val="de-DE"/>
              </w:rPr>
            </w:pPr>
          </w:p>
        </w:tc>
        <w:tc>
          <w:tcPr>
            <w:tcW w:w="3315" w:type="dxa"/>
            <w:gridSpan w:val="2"/>
            <w:tcBorders>
              <w:top w:val="nil"/>
              <w:left w:val="nil"/>
              <w:bottom w:val="nil"/>
            </w:tcBorders>
            <w:shd w:val="clear" w:color="auto" w:fill="auto"/>
          </w:tcPr>
          <w:p w:rsidR="0017135D" w:rsidRPr="00722E4B" w:rsidP="000C557A">
            <w:pPr>
              <w:pStyle w:val="CSBody8pt"/>
            </w:pPr>
            <w:r w:rsidRPr="00792D61">
              <w:rPr>
                <w:b/>
              </w:rPr>
              <w:t>[</w:t>
            </w:r>
            <w:r w:rsidRPr="00722E4B">
              <w:t>(A)</w:t>
            </w:r>
            <w:r w:rsidRPr="00792D61">
              <w:rPr>
                <w:b/>
              </w:rPr>
              <w:t>][</w:t>
            </w:r>
            <w:r w:rsidRPr="00722E4B">
              <w:t>if "</w:t>
            </w:r>
            <w:r w:rsidRPr="000C557A">
              <w:rPr>
                <w:b/>
                <w:i/>
              </w:rPr>
              <w:t>Financial Reference Entity Terms" is applicable, insert:</w:t>
            </w:r>
            <w:r w:rsidRPr="00722E4B">
              <w:t xml:space="preserve"> provisions permitting or anticipating a Governmental Intervention</w:t>
            </w:r>
            <w:r w:rsidRPr="00792D61">
              <w:rPr>
                <w:b/>
              </w:rPr>
              <w:t>[</w:t>
            </w:r>
            <w:r w:rsidRPr="00722E4B">
              <w:t>.</w:t>
            </w:r>
            <w:r w:rsidRPr="00792D61">
              <w:rPr>
                <w:b/>
              </w:rPr>
              <w:t>][</w:t>
            </w:r>
            <w:r w:rsidRPr="00722E4B">
              <w:t>; or</w:t>
            </w:r>
            <w:r w:rsidRPr="00792D61">
              <w:rPr>
                <w:b/>
              </w:rPr>
              <w:t>]</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0C557A">
            <w:pPr>
              <w:pStyle w:val="CSBody8pt"/>
              <w:rPr>
                <w:lang w:val="de-DE"/>
              </w:rPr>
            </w:pPr>
            <w:r w:rsidRPr="00792D61">
              <w:rPr>
                <w:b/>
                <w:lang w:val="de-DE"/>
              </w:rPr>
              <w:t>[</w:t>
            </w:r>
            <w:r w:rsidRPr="00094377">
              <w:rPr>
                <w:lang w:val="de-DE"/>
              </w:rPr>
              <w:t xml:space="preserve">(A) </w:t>
            </w:r>
            <w:r w:rsidRPr="00792D61">
              <w:rPr>
                <w:b/>
                <w:lang w:val="de-DE"/>
              </w:rPr>
              <w:t>][</w:t>
            </w:r>
            <w:r w:rsidRPr="000C557A">
              <w:rPr>
                <w:b/>
                <w:i/>
                <w:lang w:val="de-DE"/>
              </w:rPr>
              <w:t>falls "Bedingungen für Finanzinstitute als Referenzschuldner" anwendbar ist, einfügen:</w:t>
            </w:r>
            <w:r w:rsidRPr="00094377">
              <w:rPr>
                <w:lang w:val="de-DE"/>
              </w:rPr>
              <w:t xml:space="preserve"> Bestimmungen, die eine Staatliche Intervention gestatten oder vorwegnehmen.</w:t>
            </w:r>
            <w:r w:rsidRPr="00792D61">
              <w:rPr>
                <w:b/>
                <w:lang w:val="de-DE"/>
              </w:rPr>
              <w:t>][</w:t>
            </w:r>
            <w:r w:rsidRPr="00094377">
              <w:rPr>
                <w:lang w:val="de-DE"/>
              </w:rPr>
              <w:t>;</w:t>
            </w:r>
            <w:r w:rsidRPr="00792D61">
              <w:rPr>
                <w:b/>
                <w:lang w:val="de-DE"/>
              </w:rPr>
              <w:t>][</w:t>
            </w:r>
            <w:r w:rsidRPr="00094377">
              <w:rPr>
                <w:lang w:val="de-DE"/>
              </w:rPr>
              <w:t>oder</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RPr="00722E4B" w:rsidP="000C557A">
            <w:pPr>
              <w:pStyle w:val="CSBody8pt"/>
            </w:pPr>
            <w:r w:rsidRPr="00792D61">
              <w:rPr>
                <w:b/>
              </w:rPr>
              <w:t>[</w:t>
            </w:r>
            <w:r w:rsidRPr="00722E4B">
              <w:t>(B)</w:t>
            </w:r>
            <w:r w:rsidRPr="00792D61">
              <w:rPr>
                <w:b/>
              </w:rPr>
              <w:t>][</w:t>
            </w:r>
            <w:r w:rsidRPr="00722E4B">
              <w:t>if "</w:t>
            </w:r>
            <w:r w:rsidRPr="000C557A">
              <w:rPr>
                <w:b/>
                <w:i/>
              </w:rPr>
              <w:t>Subordinated European Insurance Terms" is applicable, insert</w:t>
            </w:r>
            <w:r w:rsidRPr="00722E4B">
              <w:t xml:space="preserve">: any Solvency Capital Provisions. </w:t>
            </w:r>
            <w:r w:rsidRPr="00792D61">
              <w:rPr>
                <w:b/>
              </w:rPr>
              <w:t>]</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0C557A">
            <w:pPr>
              <w:pStyle w:val="CSBody8pt"/>
              <w:rPr>
                <w:lang w:val="de-DE"/>
              </w:rPr>
            </w:pPr>
            <w:r w:rsidRPr="00792D61">
              <w:rPr>
                <w:b/>
                <w:lang w:val="de-DE"/>
              </w:rPr>
              <w:t>[</w:t>
            </w:r>
            <w:r w:rsidRPr="00094377">
              <w:rPr>
                <w:lang w:val="de-DE"/>
              </w:rPr>
              <w:t xml:space="preserve">(B) </w:t>
            </w:r>
            <w:r w:rsidRPr="00792D61">
              <w:rPr>
                <w:b/>
                <w:lang w:val="de-DE"/>
              </w:rPr>
              <w:t>][</w:t>
            </w:r>
            <w:r w:rsidRPr="000C557A">
              <w:rPr>
                <w:b/>
                <w:i/>
                <w:lang w:val="de-DE"/>
              </w:rPr>
              <w:t>falls "Bedingungen für Europäische Versicherungen mit Nachrangverbindlichkeiten" anwendbar ist, einfügen:</w:t>
            </w:r>
            <w:r w:rsidRPr="00094377">
              <w:rPr>
                <w:lang w:val="de-DE"/>
              </w:rPr>
              <w:t xml:space="preserve"> Solvabilitätsmittelbestimmungen.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P="000C557A">
            <w:pPr>
              <w:pStyle w:val="CSBody8pt"/>
            </w:pPr>
            <w:r w:rsidRPr="00722E4B">
              <w:t xml:space="preserve">If the guarantee or Underlying Obligation contains provisions relating to the discharge, release, reduction, assignment or other alteration of the principal payment obligations of the Reference Entity and such provisions have ceased to apply or are suspended at the time of the relevant determination, in accordance with the terms of such guarantee or Underlying Obligation, due to or following the occurrence of </w:t>
            </w:r>
            <w:r w:rsidRPr="00792D61">
              <w:rPr>
                <w:b/>
              </w:rPr>
              <w:t>[</w:t>
            </w:r>
            <w:r w:rsidRPr="00722E4B">
              <w:t>(I)</w:t>
            </w:r>
            <w:r w:rsidRPr="00792D61">
              <w:rPr>
                <w:b/>
              </w:rPr>
              <w:t>]</w:t>
            </w:r>
            <w:r w:rsidRPr="00722E4B">
              <w:t xml:space="preserve"> a non-payment in respect of the guarantee or the Underlying Obligation, </w:t>
            </w:r>
            <w:r w:rsidRPr="00792D61">
              <w:rPr>
                <w:b/>
              </w:rPr>
              <w:t>[</w:t>
            </w:r>
            <w:r w:rsidRPr="00722E4B">
              <w:t>or (II) an event of the type described in the definition of "Bankruptcy" in respect of the Reference Entity or the Underlying Obligor,</w:t>
            </w:r>
            <w:r w:rsidRPr="00792D61">
              <w:rPr>
                <w:b/>
              </w:rPr>
              <w:t>]</w:t>
            </w:r>
            <w:r w:rsidRPr="00722E4B">
              <w:t xml:space="preserve"> then it shall be deemed for these purposes that such cessation or suspension is permanent, notwithstanding the terms of the guarantee or Underlying Obligation.</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0C557A">
            <w:pPr>
              <w:pStyle w:val="CSBody8pt"/>
              <w:rPr>
                <w:lang w:val="de-DE"/>
              </w:rPr>
            </w:pPr>
            <w:r w:rsidRPr="00094377">
              <w:rPr>
                <w:lang w:val="de-DE"/>
              </w:rPr>
              <w:t xml:space="preserve">Enthält die Garantie bzw. die Zugrundeliegende Verbindlichkeit Bestimmungen betreffend die Erfüllung, Freigabe, Reduzierung, Abtretung oder anderweitige Abänderung der Kapitalzahlungsverpflichten des Referenzschuldners und ist die Geltung dieser Bestimmungen im Zeitpunkt der betreffenden Feststellung nach Massgabe der Bedingungen dieser Garantie bzw. Zugrundeliegenden Verbindlichkeit aufgehoben oder ausgesetzt, weil oder nachdem in Bezug auf den Referenzschuldner oder den Zugrundeliegenden Schuldner </w:t>
            </w:r>
            <w:r w:rsidRPr="00792D61">
              <w:rPr>
                <w:b/>
                <w:lang w:val="de-DE"/>
              </w:rPr>
              <w:t>[</w:t>
            </w:r>
            <w:r w:rsidRPr="00094377">
              <w:rPr>
                <w:lang w:val="de-DE"/>
              </w:rPr>
              <w:t>(I)</w:t>
            </w:r>
            <w:r w:rsidRPr="00792D61">
              <w:rPr>
                <w:b/>
                <w:lang w:val="de-DE"/>
              </w:rPr>
              <w:t>]</w:t>
            </w:r>
            <w:r w:rsidRPr="00094377">
              <w:rPr>
                <w:lang w:val="de-DE"/>
              </w:rPr>
              <w:t xml:space="preserve"> eine Nichtzahlung im Rahmen der Garantie bzw. der Zugrundeliegenden Verbindlichkeit </w:t>
            </w:r>
            <w:r w:rsidRPr="00792D61">
              <w:rPr>
                <w:b/>
                <w:lang w:val="de-DE"/>
              </w:rPr>
              <w:t>[</w:t>
            </w:r>
            <w:r w:rsidRPr="00094377">
              <w:rPr>
                <w:lang w:val="de-DE"/>
              </w:rPr>
              <w:t>oder (II) ein Ereignis der in der Definition  "Insolvenz" beschriebenen Art eingetreten ist</w:t>
            </w:r>
            <w:r w:rsidRPr="00792D61">
              <w:rPr>
                <w:b/>
                <w:lang w:val="de-DE"/>
              </w:rPr>
              <w:t>]</w:t>
            </w:r>
            <w:r w:rsidRPr="00094377">
              <w:rPr>
                <w:lang w:val="de-DE"/>
              </w:rPr>
              <w:t>, so gilt die betreffende Aufhebung bzw. Aussetzung für diese Zwecke ungeachtet der Bedingungen der Garantie bzw. der Zugrundeliegenden Verbindlichkeit als dauerhaft.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RPr="00B63E63" w:rsidP="000C557A">
            <w:pPr>
              <w:pStyle w:val="CSBody8pt"/>
            </w:pPr>
            <w:r w:rsidRPr="00B63E63">
              <w:t>In order for a guarantee to constitute a Qualifying Guarantee:</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0C557A">
            <w:pPr>
              <w:pStyle w:val="CSBody8pt"/>
              <w:rPr>
                <w:lang w:val="de-DE"/>
              </w:rPr>
            </w:pPr>
            <w:r w:rsidRPr="00094377">
              <w:rPr>
                <w:lang w:val="de-DE"/>
              </w:rPr>
              <w:t>Damit die Garantie eine Qualifizierte Garantie darstellt: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RPr="00B63E63" w:rsidP="000C557A">
            <w:pPr>
              <w:pStyle w:val="CSBody8pt"/>
            </w:pPr>
            <w:r w:rsidRPr="00B63E63">
              <w:t>(x) the benefit of such guarantee must be capable of being delivered, novated, transferred together with the delivery, novation, transfer of the Underlying Obligation; and</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0C557A">
            <w:pPr>
              <w:pStyle w:val="CSBody8pt"/>
              <w:rPr>
                <w:lang w:val="de-DE"/>
              </w:rPr>
            </w:pPr>
            <w:r w:rsidRPr="00094377">
              <w:rPr>
                <w:lang w:val="de-DE"/>
              </w:rPr>
              <w:t>(x) müssen die Rechte oder anderen Begünstigungen aus dieser Garantie zusammen mit der Zugrundeliegenden Verbindlichkeit geliefert, erneuert und übertragen werden können;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P="000C557A">
            <w:pPr>
              <w:pStyle w:val="CSBody8pt"/>
            </w:pPr>
            <w:r w:rsidRPr="00B63E63">
              <w:t>(y) if a guarantee contains a Fixed Cap, all claims to any amounts which are subject to such Fixed Cap must be capable of being delivered, novated, transferred together with the delivery, novation, transfer of such guarantee.</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0C557A">
            <w:pPr>
              <w:pStyle w:val="CSBody8pt"/>
              <w:rPr>
                <w:lang w:val="de-DE"/>
              </w:rPr>
            </w:pPr>
            <w:r w:rsidRPr="00094377">
              <w:rPr>
                <w:lang w:val="de-DE"/>
              </w:rPr>
              <w:t>(y) müssen, wenn eine Garantie eine Feste Obergrenze vorsieht, alle Ansprüche auf Beträge, für die die Feste Obergrenze gilt, zusammen mit der Garantie geliefert, erneuert und übertragen werden können.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0C557A">
            <w:pPr>
              <w:pStyle w:val="CSBody8pt"/>
              <w:rPr>
                <w:lang w:val="de-DE"/>
              </w:rPr>
            </w:pPr>
            <w:r w:rsidRPr="006A33FB">
              <w:rPr>
                <w:lang w:val="de-DE"/>
              </w:rPr>
              <w:t>Quantum of the Claim</w:t>
            </w:r>
            <w:r>
              <w:rPr>
                <w:lang w:val="de-DE"/>
              </w:rPr>
              <w:fldChar w:fldCharType="begin"/>
            </w:r>
            <w:r>
              <w:instrText xml:space="preserve"> XE "</w:instrText>
            </w:r>
            <w:r w:rsidRPr="001D7752">
              <w:rPr>
                <w:lang w:val="de-DE"/>
              </w:rPr>
              <w:instrText>Quantum of the Claim</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6A33FB" w:rsidP="000C557A">
            <w:pPr>
              <w:pStyle w:val="CSBody8pt"/>
            </w:pPr>
            <w:r w:rsidRPr="006A33FB">
              <w:t>the lowest amount of the claim which could be validly asserted against the Reference Entity in respect of the Non-Contingent Amount if the obligation had become redeemable, been accelerated, terminated or had otherwise become due and payable at the time of the relevant determination, as determined by the Calculation Agent on the Valuation Date in accordance with any applicable laws (insofar as such laws reduce or discount the size of the claim to reflect the original issue price or accrued value of the obligation), provided that the Quantum of the Claim cannot exceed the Non-Contingent Amount.</w:t>
            </w:r>
          </w:p>
        </w:tc>
        <w:tc>
          <w:tcPr>
            <w:tcW w:w="1618" w:type="dxa"/>
            <w:gridSpan w:val="2"/>
            <w:tcBorders>
              <w:top w:val="nil"/>
              <w:bottom w:val="nil"/>
              <w:right w:val="nil"/>
            </w:tcBorders>
            <w:shd w:val="clear" w:color="auto" w:fill="auto"/>
          </w:tcPr>
          <w:p w:rsidR="0017135D" w:rsidRPr="006A33FB" w:rsidP="000C557A">
            <w:pPr>
              <w:pStyle w:val="CSBody8pt"/>
            </w:pPr>
            <w:r w:rsidRPr="006A33FB">
              <w:t>Forderungs</w:t>
            </w:r>
            <w:r w:rsidRPr="006A33FB">
              <w:softHyphen/>
              <w:t>quantum</w:t>
            </w:r>
            <w:r>
              <w:fldChar w:fldCharType="begin"/>
            </w:r>
            <w:r>
              <w:instrText xml:space="preserve"> XE "</w:instrText>
            </w:r>
            <w:r w:rsidRPr="00543846">
              <w:instrText>Forderungs</w:instrText>
            </w:r>
            <w:r w:rsidRPr="00543846">
              <w:softHyphen/>
              <w:instrText>quantum</w:instrText>
            </w:r>
            <w:r>
              <w:instrText xml:space="preserve">" </w:instrText>
            </w:r>
            <w:r>
              <w:fldChar w:fldCharType="end"/>
            </w:r>
          </w:p>
        </w:tc>
        <w:tc>
          <w:tcPr>
            <w:tcW w:w="3318" w:type="dxa"/>
            <w:tcBorders>
              <w:top w:val="nil"/>
              <w:left w:val="nil"/>
              <w:bottom w:val="nil"/>
              <w:right w:val="nil"/>
            </w:tcBorders>
            <w:shd w:val="clear" w:color="auto" w:fill="auto"/>
          </w:tcPr>
          <w:p w:rsidR="0017135D" w:rsidRPr="006A33FB" w:rsidP="000C557A">
            <w:pPr>
              <w:pStyle w:val="CSBody8pt"/>
              <w:rPr>
                <w:bCs/>
                <w:lang w:val="de-DE"/>
              </w:rPr>
            </w:pPr>
            <w:r w:rsidRPr="006A33FB">
              <w:rPr>
                <w:bCs/>
                <w:lang w:val="de-DE"/>
              </w:rPr>
              <w:t>der niedrigste Betrag der Forderung, der gegenüber dem Referenzschuldner im Hinblick auf den Nicht Bedingten Betrag wirksam geltend gemacht werden könnte, wenn die Verbindlichkeit im Zeitpunkt der betreffenden Feststellung rückzahlbar, vorzeitig fällig, gekündigt worden oder anderweitig fällig und zahlbar geworden wäre, wie von der Berechnungsstelle am Bewertungstag nach Massgabe des anwendbaren Rechts festgestellt (soweit durch die betreffenden Rechtsvorschriften die Höhe der Forderung reduziert wird oder darauf ein Abschlag vorgenommen wird, um den ursprünglichen Emissionspreis bzw. den aufgelaufenen Wert der Verbindlichkeit zu berücksichtigen), wobei das Forderungsquantum den Nicht Bedingten Betrag nicht überschreiten kann.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0C557A">
            <w:pPr>
              <w:pStyle w:val="CSBody8pt"/>
              <w:rPr>
                <w:lang w:val="de-DE"/>
              </w:rPr>
            </w:pPr>
            <w:r w:rsidRPr="006A33FB">
              <w:rPr>
                <w:lang w:val="de-DE"/>
              </w:rPr>
              <w:t>Quotation</w:t>
            </w:r>
            <w:r>
              <w:rPr>
                <w:lang w:val="de-DE"/>
              </w:rPr>
              <w:fldChar w:fldCharType="begin"/>
            </w:r>
            <w:r>
              <w:instrText xml:space="preserve"> XE "</w:instrText>
            </w:r>
            <w:r w:rsidRPr="000B7C93">
              <w:rPr>
                <w:lang w:val="de-DE"/>
              </w:rPr>
              <w:instrText>Quotation</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6A33FB" w:rsidP="000C557A">
            <w:pPr>
              <w:pStyle w:val="CSBody8pt"/>
            </w:pPr>
            <w:r w:rsidRPr="006A33FB">
              <w:t xml:space="preserve">each Full Quotation and the Weighted Average Quotation obtained and expressed as a percentage with respect to the Outstanding Principal Balance or Due and Payable Amount of a </w:t>
            </w:r>
            <w:r w:rsidRPr="00792D61">
              <w:rPr>
                <w:b/>
              </w:rPr>
              <w:t>[</w:t>
            </w:r>
            <w:r w:rsidRPr="006A33FB">
              <w:t>Valuation Obligation</w:t>
            </w:r>
            <w:r w:rsidRPr="00792D61">
              <w:rPr>
                <w:b/>
              </w:rPr>
              <w:t>][</w:t>
            </w:r>
            <w:r w:rsidRPr="006A33FB">
              <w:t>Reference Obligation</w:t>
            </w:r>
            <w:r w:rsidRPr="00792D61">
              <w:rPr>
                <w:b/>
              </w:rPr>
              <w:t>]</w:t>
            </w:r>
            <w:r w:rsidRPr="006A33FB">
              <w:t xml:space="preserve"> and a Valuation Date in the manner that follows:</w:t>
            </w:r>
          </w:p>
        </w:tc>
        <w:tc>
          <w:tcPr>
            <w:tcW w:w="1618" w:type="dxa"/>
            <w:gridSpan w:val="2"/>
            <w:tcBorders>
              <w:top w:val="nil"/>
              <w:bottom w:val="nil"/>
              <w:right w:val="nil"/>
            </w:tcBorders>
            <w:shd w:val="clear" w:color="auto" w:fill="auto"/>
          </w:tcPr>
          <w:p w:rsidR="0017135D" w:rsidRPr="006A33FB" w:rsidP="000C557A">
            <w:pPr>
              <w:pStyle w:val="CSBody8pt"/>
              <w:rPr>
                <w:lang w:val="de-DE"/>
              </w:rPr>
            </w:pPr>
            <w:r w:rsidRPr="006A33FB">
              <w:rPr>
                <w:lang w:val="de-DE"/>
              </w:rPr>
              <w:t>Quotierung</w:t>
            </w:r>
            <w:r>
              <w:rPr>
                <w:lang w:val="de-DE"/>
              </w:rPr>
              <w:fldChar w:fldCharType="begin"/>
            </w:r>
            <w:r>
              <w:instrText xml:space="preserve"> XE "</w:instrText>
            </w:r>
            <w:r w:rsidRPr="00393355">
              <w:rPr>
                <w:lang w:val="de-DE"/>
              </w:rPr>
              <w:instrText>Quotierung</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094377" w:rsidP="000C557A">
            <w:pPr>
              <w:pStyle w:val="CSBody8pt"/>
              <w:rPr>
                <w:bCs/>
                <w:lang w:val="de-DE"/>
              </w:rPr>
            </w:pPr>
            <w:r w:rsidRPr="006A33FB">
              <w:rPr>
                <w:bCs/>
                <w:lang w:val="de-DE"/>
              </w:rPr>
              <w:t xml:space="preserve">jede in der nachstehend beschriebenen Weise in Bezug auf eine </w:t>
            </w:r>
            <w:r w:rsidRPr="00792D61">
              <w:rPr>
                <w:b/>
                <w:bCs/>
                <w:lang w:val="de-DE"/>
              </w:rPr>
              <w:t>[</w:t>
            </w:r>
            <w:r w:rsidRPr="006A33FB">
              <w:rPr>
                <w:bCs/>
                <w:lang w:val="de-DE"/>
              </w:rPr>
              <w:t>Bewertungsverbindlichkeit</w:t>
            </w:r>
            <w:r w:rsidRPr="00792D61">
              <w:rPr>
                <w:b/>
                <w:bCs/>
                <w:lang w:val="de-DE"/>
              </w:rPr>
              <w:t>][</w:t>
            </w:r>
            <w:r w:rsidRPr="006A33FB">
              <w:rPr>
                <w:bCs/>
                <w:lang w:val="de-DE"/>
              </w:rPr>
              <w:t>Referenzverbindlichkeit</w:t>
            </w:r>
            <w:r w:rsidRPr="00792D61">
              <w:rPr>
                <w:b/>
                <w:bCs/>
                <w:lang w:val="de-DE"/>
              </w:rPr>
              <w:t>]</w:t>
            </w:r>
            <w:r w:rsidRPr="006A33FB">
              <w:rPr>
                <w:bCs/>
                <w:lang w:val="de-DE"/>
              </w:rPr>
              <w:t xml:space="preserve"> und einen Bewertungstag eingeholte und als Prozentsatz seines Ausstehenden Kapitalbetrags bzw. Fälligen und Zahlbaren Betrags ausgedrückte Vollquotierung und die Gewichtete Durchschnittsquotierung: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RPr="00094377" w:rsidP="000C557A">
            <w:pPr>
              <w:pStyle w:val="CSManNum8pt"/>
            </w:pPr>
            <w:r w:rsidRPr="00094377">
              <w:t>(a)</w:t>
            </w:r>
            <w:r w:rsidRPr="00094377">
              <w:tab/>
              <w:t xml:space="preserve">The Calculation Agent shall attempt to obtain Full Quotations with respect to each Valuation Date from five or more Dealers. If the Calculation Agent is unable to obtain two or more such Full Quotations on the same Business Day within three Business Days of a Valuation Date, then on the next following Business Day (and, if necessary, on each Business Day thereafter until the </w:t>
            </w:r>
            <w:r w:rsidR="0091384B">
              <w:rPr>
                <w:b/>
              </w:rPr>
              <w:t>[</w:t>
            </w:r>
            <w:r w:rsidRPr="00094377">
              <w:t>tenth</w:t>
            </w:r>
            <w:r w:rsidR="0091384B">
              <w:rPr>
                <w:b/>
              </w:rPr>
              <w:t>][</w:t>
            </w:r>
            <w:r w:rsidR="0091384B">
              <w:t>fifteenth</w:t>
            </w:r>
            <w:r w:rsidR="0091384B">
              <w:rPr>
                <w:b/>
              </w:rPr>
              <w:t>]</w:t>
            </w:r>
            <w:r w:rsidRPr="00094377">
              <w:t xml:space="preserve"> Business Day following the relevant Valuation Date) the Calculation Agent shall attempt to obtain Full Quotations from five or more Dealers and, if two or more Full Quotations are not available, a Weighted Average Quotation.</w:t>
            </w:r>
          </w:p>
        </w:tc>
        <w:tc>
          <w:tcPr>
            <w:tcW w:w="1618" w:type="dxa"/>
            <w:gridSpan w:val="2"/>
            <w:tcBorders>
              <w:top w:val="nil"/>
              <w:bottom w:val="nil"/>
              <w:right w:val="nil"/>
            </w:tcBorders>
            <w:shd w:val="clear" w:color="auto" w:fill="auto"/>
          </w:tcPr>
          <w:p w:rsidR="0017135D" w:rsidRPr="00094377" w:rsidP="000C557A">
            <w:pPr>
              <w:pStyle w:val="CSManNum8pt"/>
              <w:rPr>
                <w:i/>
              </w:rPr>
            </w:pPr>
          </w:p>
        </w:tc>
        <w:tc>
          <w:tcPr>
            <w:tcW w:w="3318" w:type="dxa"/>
            <w:tcBorders>
              <w:top w:val="nil"/>
              <w:left w:val="nil"/>
              <w:bottom w:val="nil"/>
              <w:right w:val="nil"/>
            </w:tcBorders>
            <w:shd w:val="clear" w:color="auto" w:fill="auto"/>
          </w:tcPr>
          <w:p w:rsidR="0017135D" w:rsidRPr="00094377" w:rsidP="009D1C9F">
            <w:pPr>
              <w:pStyle w:val="CSManNum8pt"/>
              <w:rPr>
                <w:bCs/>
                <w:lang w:val="de-DE"/>
              </w:rPr>
            </w:pPr>
            <w:r w:rsidRPr="00094377">
              <w:rPr>
                <w:bCs/>
                <w:lang w:val="de-DE"/>
              </w:rPr>
              <w:t>(a)</w:t>
            </w:r>
            <w:r w:rsidRPr="00094377">
              <w:rPr>
                <w:bCs/>
                <w:lang w:val="de-DE"/>
              </w:rPr>
              <w:tab/>
              <w:t>Die Berechnungsstelle wird sich bemühen, für jeden Bewertungstag Vollquotierungen von fünf oder mehr Händlern einzuholen. Ist die Berechnungsstelle nicht in der Lage, zwei oder mehr solcher Vollquotierungen an demselben Geschäftstag innerhalb von drei Gesch</w:t>
            </w:r>
            <w:r>
              <w:rPr>
                <w:bCs/>
                <w:lang w:val="de-DE"/>
              </w:rPr>
              <w:t>äftstagen nach einem Bewertungs</w:t>
            </w:r>
            <w:r w:rsidRPr="00094377">
              <w:rPr>
                <w:bCs/>
                <w:lang w:val="de-DE"/>
              </w:rPr>
              <w:t xml:space="preserve">tag einzuholen, so wird die Berechnungsstelle sich am nächstfolgenden Geschäftstag (und, sofern erforderlich, an allen folgenden Geschäftstagen bis zum </w:t>
            </w:r>
            <w:r w:rsidR="00452E3C">
              <w:rPr>
                <w:b/>
                <w:bCs/>
                <w:lang w:val="de-DE"/>
              </w:rPr>
              <w:t>[</w:t>
            </w:r>
            <w:r w:rsidRPr="00094377">
              <w:rPr>
                <w:bCs/>
                <w:lang w:val="de-DE"/>
              </w:rPr>
              <w:t>zehnten</w:t>
            </w:r>
            <w:r w:rsidR="00452E3C">
              <w:rPr>
                <w:b/>
                <w:bCs/>
                <w:lang w:val="de-DE"/>
              </w:rPr>
              <w:t>][</w:t>
            </w:r>
            <w:r w:rsidR="00452E3C">
              <w:rPr>
                <w:bCs/>
                <w:lang w:val="de-DE"/>
              </w:rPr>
              <w:t>fünfzehnten</w:t>
            </w:r>
            <w:r w:rsidR="00452E3C">
              <w:rPr>
                <w:b/>
                <w:bCs/>
                <w:lang w:val="de-DE"/>
              </w:rPr>
              <w:t>]</w:t>
            </w:r>
            <w:r w:rsidRPr="00094377">
              <w:rPr>
                <w:bCs/>
                <w:lang w:val="de-DE"/>
              </w:rPr>
              <w:t xml:space="preserve"> Geschäftstag nach dem jeweiligen Bewertungstag) bemühen, Vollquotierungen von fünf oder mehr Händlern und, wenn nicht mindestens zwei Vollquotierungen erhältlich sind, eine Gewichtete Durchschnittsquotierung einzuholen.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RPr="00094377">
            <w:pPr>
              <w:pStyle w:val="CSManNum8pt"/>
            </w:pPr>
            <w:r w:rsidRPr="00094377">
              <w:t>(b)</w:t>
            </w:r>
            <w:r w:rsidRPr="00094377">
              <w:tab/>
              <w:t xml:space="preserve">If the Calculation Agent is unable to obtain two or more Full Quotations or a Weighted Average Quotation on the same Business Day on or prior to the </w:t>
            </w:r>
            <w:r w:rsidR="0091384B">
              <w:rPr>
                <w:b/>
              </w:rPr>
              <w:t>[</w:t>
            </w:r>
            <w:r w:rsidRPr="00094377">
              <w:t>tenth</w:t>
            </w:r>
            <w:r w:rsidR="0091384B">
              <w:rPr>
                <w:b/>
              </w:rPr>
              <w:t>][</w:t>
            </w:r>
            <w:r w:rsidR="0091384B">
              <w:t>fifteenth</w:t>
            </w:r>
            <w:r w:rsidR="0091384B">
              <w:rPr>
                <w:b/>
              </w:rPr>
              <w:t>]</w:t>
            </w:r>
            <w:r w:rsidRPr="00094377">
              <w:t xml:space="preserve"> Business Day following the applicable Valuation Date, then the Quotations shall be deemed to be any Full Quotation obtained from a Dealer at the Valuation Time on </w:t>
            </w:r>
            <w:r w:rsidR="00452E3C">
              <w:t xml:space="preserve">the next following </w:t>
            </w:r>
            <w:r w:rsidRPr="00094377">
              <w:t xml:space="preserve">Business Day or, if no Full Quotation is obtained, the weighted average of any firm quotations for the </w:t>
            </w:r>
            <w:r w:rsidRPr="00792D61">
              <w:rPr>
                <w:b/>
              </w:rPr>
              <w:t>[</w:t>
            </w:r>
            <w:r w:rsidRPr="00094377">
              <w:t>Reference Obligation</w:t>
            </w:r>
            <w:r w:rsidRPr="00792D61">
              <w:rPr>
                <w:b/>
              </w:rPr>
              <w:t>][</w:t>
            </w:r>
            <w:r w:rsidRPr="00094377">
              <w:t>Valuation Obligation</w:t>
            </w:r>
            <w:r w:rsidRPr="00792D61">
              <w:rPr>
                <w:b/>
              </w:rPr>
              <w:t>]</w:t>
            </w:r>
            <w:r w:rsidRPr="00094377">
              <w:t xml:space="preserve"> obtained from Dealers at the Valuation Time on such </w:t>
            </w:r>
            <w:r w:rsidR="00452E3C">
              <w:t xml:space="preserve">next following </w:t>
            </w:r>
            <w:r w:rsidRPr="00094377">
              <w:t>Business Day with respect to the aggregate portion of the Quotation Amount for which such quotations were obtained and a quotation deemed to be zero for the balance of the Quotation Amount for which firm quotations were not obtained on such day.</w:t>
            </w:r>
          </w:p>
        </w:tc>
        <w:tc>
          <w:tcPr>
            <w:tcW w:w="1618" w:type="dxa"/>
            <w:gridSpan w:val="2"/>
            <w:tcBorders>
              <w:top w:val="nil"/>
              <w:bottom w:val="nil"/>
              <w:right w:val="nil"/>
            </w:tcBorders>
            <w:shd w:val="clear" w:color="auto" w:fill="auto"/>
          </w:tcPr>
          <w:p w:rsidR="0017135D" w:rsidRPr="00094377" w:rsidP="000C557A">
            <w:pPr>
              <w:pStyle w:val="CSManNum8pt"/>
              <w:rPr>
                <w:i/>
              </w:rPr>
            </w:pPr>
          </w:p>
        </w:tc>
        <w:tc>
          <w:tcPr>
            <w:tcW w:w="3318" w:type="dxa"/>
            <w:tcBorders>
              <w:top w:val="nil"/>
              <w:left w:val="nil"/>
              <w:bottom w:val="nil"/>
              <w:right w:val="nil"/>
            </w:tcBorders>
            <w:shd w:val="clear" w:color="auto" w:fill="auto"/>
          </w:tcPr>
          <w:p w:rsidR="0017135D" w:rsidRPr="00094377">
            <w:pPr>
              <w:pStyle w:val="CSManNum8pt"/>
              <w:rPr>
                <w:bCs/>
                <w:lang w:val="de-DE"/>
              </w:rPr>
            </w:pPr>
            <w:r w:rsidRPr="00094377">
              <w:rPr>
                <w:bCs/>
                <w:lang w:val="de-DE"/>
              </w:rPr>
              <w:t>(b)</w:t>
            </w:r>
            <w:r w:rsidRPr="00094377">
              <w:rPr>
                <w:bCs/>
                <w:lang w:val="de-DE"/>
              </w:rPr>
              <w:tab/>
              <w:t xml:space="preserve">Ist die Berechnungsstelle nicht in der Lage, an demselben Geschäftstag an oder vor dem </w:t>
            </w:r>
            <w:r w:rsidR="00452E3C">
              <w:rPr>
                <w:b/>
                <w:bCs/>
                <w:lang w:val="de-DE"/>
              </w:rPr>
              <w:t>[</w:t>
            </w:r>
            <w:r w:rsidRPr="00094377">
              <w:rPr>
                <w:bCs/>
                <w:lang w:val="de-DE"/>
              </w:rPr>
              <w:t>zehnten</w:t>
            </w:r>
            <w:r w:rsidR="00452E3C">
              <w:rPr>
                <w:b/>
                <w:bCs/>
                <w:lang w:val="de-DE"/>
              </w:rPr>
              <w:t>][</w:t>
            </w:r>
            <w:r w:rsidR="00452E3C">
              <w:rPr>
                <w:bCs/>
                <w:lang w:val="de-DE"/>
              </w:rPr>
              <w:t>fünfzehnten</w:t>
            </w:r>
            <w:r w:rsidR="00452E3C">
              <w:rPr>
                <w:b/>
                <w:bCs/>
                <w:lang w:val="de-DE"/>
              </w:rPr>
              <w:t>]</w:t>
            </w:r>
            <w:r w:rsidRPr="00094377">
              <w:rPr>
                <w:bCs/>
                <w:lang w:val="de-DE"/>
              </w:rPr>
              <w:t xml:space="preserve"> Geschäftstag nach dem jeweiligen Bewertungstag zwei oder mehr Vollquotierungen oder eine Gewichtete Durchschnittsquotierung einzuholen, so gilt jede von einem Händler zum Bewertungszeitpunkt </w:t>
            </w:r>
            <w:r w:rsidR="00452E3C">
              <w:rPr>
                <w:bCs/>
                <w:lang w:val="de-DE"/>
              </w:rPr>
              <w:t>am nächstfolgenden</w:t>
            </w:r>
            <w:r w:rsidRPr="00094377">
              <w:rPr>
                <w:bCs/>
                <w:lang w:val="de-DE"/>
              </w:rPr>
              <w:t xml:space="preserve"> Geschäftstag eingeholte Vollquotierung oder, wenn keine Vollquotierung eingeholt werden kann, der gewichtete Durchschnitt der von Händlern zum Bewertungszeitpunkt an diesem </w:t>
            </w:r>
            <w:r w:rsidR="00452E3C">
              <w:rPr>
                <w:bCs/>
                <w:lang w:val="de-DE"/>
              </w:rPr>
              <w:t>nächstfolgenden</w:t>
            </w:r>
            <w:r w:rsidRPr="00094377" w:rsidR="00452E3C">
              <w:rPr>
                <w:bCs/>
                <w:lang w:val="de-DE"/>
              </w:rPr>
              <w:t xml:space="preserve"> </w:t>
            </w:r>
            <w:r w:rsidRPr="00094377">
              <w:rPr>
                <w:bCs/>
                <w:lang w:val="de-DE"/>
              </w:rPr>
              <w:t xml:space="preserve">Geschäftstag in Bezug auf den gesamten Anteil des Quotierungsbetrags, für den diese Quotierungen eingeholt wurden, eingeholten festen Quotierungen für die </w:t>
            </w:r>
            <w:r w:rsidRPr="00792D61">
              <w:rPr>
                <w:b/>
                <w:bCs/>
                <w:lang w:val="de-DE"/>
              </w:rPr>
              <w:t>[</w:t>
            </w:r>
            <w:r w:rsidRPr="00094377">
              <w:rPr>
                <w:bCs/>
                <w:lang w:val="de-DE"/>
              </w:rPr>
              <w:t>Referenzverbindlichkeit</w:t>
            </w:r>
            <w:r w:rsidRPr="00792D61">
              <w:rPr>
                <w:b/>
                <w:bCs/>
                <w:lang w:val="de-DE"/>
              </w:rPr>
              <w:t>][</w:t>
            </w:r>
            <w:r w:rsidRPr="00094377">
              <w:rPr>
                <w:bCs/>
                <w:lang w:val="de-DE"/>
              </w:rPr>
              <w:t>Bewertungsverbindlichkeit</w:t>
            </w:r>
            <w:r w:rsidRPr="00792D61">
              <w:rPr>
                <w:b/>
                <w:bCs/>
                <w:lang w:val="de-DE"/>
              </w:rPr>
              <w:t>]</w:t>
            </w:r>
            <w:r w:rsidRPr="00094377">
              <w:rPr>
                <w:bCs/>
                <w:lang w:val="de-DE"/>
              </w:rPr>
              <w:t xml:space="preserve"> als Quotierung, wobei in die Berechnung dieses gewichteten Durchschnitts auch eine mit null angesetzte Quotierung für den Restbetrag des Quotierungsbetrags, für den an diesem Tag keine festen Quotierungen eingeholt werden konnten, einfliesst.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0C557A">
            <w:pPr>
              <w:pStyle w:val="CSBody8pt"/>
            </w:pPr>
            <w:r w:rsidRPr="006A33FB">
              <w:t>Quotation Amount</w:t>
            </w:r>
            <w:r>
              <w:fldChar w:fldCharType="begin"/>
            </w:r>
            <w:r>
              <w:instrText xml:space="preserve"> XE "</w:instrText>
            </w:r>
            <w:r w:rsidRPr="00257E10">
              <w:instrText>Quotation Amount</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6A33FB" w:rsidP="000C557A">
            <w:pPr>
              <w:pStyle w:val="CSBody8pt"/>
            </w:pPr>
            <w:r w:rsidRPr="00792D61">
              <w:rPr>
                <w:b/>
              </w:rPr>
              <w:t>[[</w:t>
            </w:r>
            <w:r w:rsidRPr="006A33FB">
              <w:rPr>
                <w:rFonts w:ascii="Arial" w:hAnsi="Arial" w:cs="Arial"/>
              </w:rPr>
              <w:t>●</w:t>
            </w:r>
            <w:r w:rsidRPr="00792D61">
              <w:rPr>
                <w:b/>
              </w:rPr>
              <w:t>]][</w:t>
            </w:r>
            <w:r w:rsidRPr="006A33FB">
              <w:t>the relevant aggregate outstanding principal amount of the Complex Products</w:t>
            </w:r>
            <w:r w:rsidRPr="00792D61">
              <w:rPr>
                <w:b/>
              </w:rPr>
              <w:t>]</w:t>
            </w:r>
            <w:r w:rsidRPr="006A33FB">
              <w:t xml:space="preserve"> (or its equivalent in the relevant Obligation Currency, which shall be converted by the Calculation Agent in a commercially reasonable manner by reference to exchange rates in effect at the time that the relevant Quotation is being obtained).</w:t>
            </w:r>
          </w:p>
        </w:tc>
        <w:tc>
          <w:tcPr>
            <w:tcW w:w="1618" w:type="dxa"/>
            <w:gridSpan w:val="2"/>
            <w:tcBorders>
              <w:top w:val="nil"/>
              <w:bottom w:val="nil"/>
              <w:right w:val="nil"/>
            </w:tcBorders>
            <w:shd w:val="clear" w:color="auto" w:fill="auto"/>
          </w:tcPr>
          <w:p w:rsidR="0017135D" w:rsidRPr="006A33FB" w:rsidP="009D1C9F">
            <w:pPr>
              <w:pStyle w:val="CSBody8pt"/>
            </w:pPr>
            <w:r w:rsidRPr="006A33FB">
              <w:t>Quotierungsbetrag</w:t>
            </w:r>
            <w:r>
              <w:fldChar w:fldCharType="begin"/>
            </w:r>
            <w:r>
              <w:instrText xml:space="preserve"> XE "</w:instrText>
            </w:r>
            <w:r w:rsidRPr="00773611">
              <w:instrText>Quotierungsbetrag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6A33FB" w:rsidP="000C557A">
            <w:pPr>
              <w:pStyle w:val="CSBody8pt"/>
              <w:rPr>
                <w:lang w:val="de-DE"/>
              </w:rPr>
            </w:pPr>
            <w:r w:rsidRPr="00792D61">
              <w:rPr>
                <w:b/>
                <w:lang w:val="de-DE"/>
              </w:rPr>
              <w:t>[[</w:t>
            </w:r>
            <w:r w:rsidRPr="006A33FB">
              <w:rPr>
                <w:rFonts w:ascii="Arial" w:hAnsi="Arial" w:cs="Arial"/>
                <w:lang w:val="de-DE"/>
              </w:rPr>
              <w:t>●</w:t>
            </w:r>
            <w:r w:rsidRPr="00792D61">
              <w:rPr>
                <w:b/>
                <w:lang w:val="de-DE"/>
              </w:rPr>
              <w:t>]][</w:t>
            </w:r>
            <w:r w:rsidRPr="006A33FB">
              <w:rPr>
                <w:lang w:val="de-DE"/>
              </w:rPr>
              <w:t>der jeweils insgesamt ausstehende Nennbetrag der Komplexen Produkte</w:t>
            </w:r>
            <w:r w:rsidRPr="00792D61">
              <w:rPr>
                <w:b/>
                <w:lang w:val="de-DE"/>
              </w:rPr>
              <w:t>]</w:t>
            </w:r>
            <w:r w:rsidRPr="006A33FB">
              <w:rPr>
                <w:lang w:val="de-DE"/>
              </w:rPr>
              <w:t xml:space="preserve"> (bzw. der Gegenwert in der jeweiligen Verbindlichkeitenw</w:t>
            </w:r>
            <w:r w:rsidRPr="006A33FB">
              <w:rPr>
                <w:rFonts w:cs="Credit Suisse Type Light"/>
                <w:lang w:val="de-DE"/>
              </w:rPr>
              <w:t>ä</w:t>
            </w:r>
            <w:r w:rsidRPr="006A33FB">
              <w:rPr>
                <w:lang w:val="de-DE"/>
              </w:rPr>
              <w:t>hrung, den die Berechnungsstelle unter Bezugnahme auf die im Zeitpunkt der Einholung der betreffenden Quotierung geltenden Wechselkurse in wirtschaftlich vernünftiger Weise berechnet).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6A33FB" w:rsidP="000C557A">
            <w:pPr>
              <w:pStyle w:val="CSBody8pt"/>
            </w:pPr>
            <w:r w:rsidRPr="006A33FB">
              <w:t>Quotation Method</w:t>
            </w:r>
            <w:r>
              <w:fldChar w:fldCharType="begin"/>
            </w:r>
            <w:r>
              <w:instrText xml:space="preserve"> XE "</w:instrText>
            </w:r>
            <w:r w:rsidRPr="0042623B">
              <w:instrText>Quotation Method</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6A33FB" w:rsidP="000C557A">
            <w:pPr>
              <w:pStyle w:val="CSBody8pt"/>
            </w:pPr>
            <w:r w:rsidRPr="006A33FB">
              <w:t>has the meaning assigned to such term in subsection C.5 of Section 1.1.</w:t>
            </w:r>
          </w:p>
        </w:tc>
        <w:tc>
          <w:tcPr>
            <w:tcW w:w="1618" w:type="dxa"/>
            <w:gridSpan w:val="2"/>
            <w:tcBorders>
              <w:top w:val="nil"/>
              <w:bottom w:val="nil"/>
              <w:right w:val="nil"/>
            </w:tcBorders>
            <w:shd w:val="clear" w:color="auto" w:fill="auto"/>
          </w:tcPr>
          <w:p w:rsidR="0017135D" w:rsidRPr="006A33FB" w:rsidP="009D1C9F">
            <w:pPr>
              <w:pStyle w:val="CSBody8pt"/>
            </w:pPr>
            <w:r w:rsidRPr="006A33FB">
              <w:t>Quotierungsmethode</w:t>
            </w:r>
            <w:r>
              <w:fldChar w:fldCharType="begin"/>
            </w:r>
            <w:r>
              <w:instrText xml:space="preserve"> XE "</w:instrText>
            </w:r>
            <w:r w:rsidRPr="00326042">
              <w:instrText>Quotierungsmethode</w:instrText>
            </w:r>
            <w:r>
              <w:instrText xml:space="preserve">" </w:instrText>
            </w:r>
            <w:r>
              <w:fldChar w:fldCharType="end"/>
            </w:r>
          </w:p>
        </w:tc>
        <w:tc>
          <w:tcPr>
            <w:tcW w:w="3318" w:type="dxa"/>
            <w:tcBorders>
              <w:top w:val="nil"/>
              <w:left w:val="nil"/>
              <w:bottom w:val="nil"/>
              <w:right w:val="nil"/>
            </w:tcBorders>
            <w:shd w:val="clear" w:color="auto" w:fill="auto"/>
          </w:tcPr>
          <w:p w:rsidR="0017135D" w:rsidRPr="00094377" w:rsidP="000C557A">
            <w:pPr>
              <w:pStyle w:val="CSBody8pt"/>
              <w:rPr>
                <w:lang w:val="de-DE"/>
              </w:rPr>
            </w:pPr>
            <w:r w:rsidRPr="006A33FB">
              <w:rPr>
                <w:lang w:val="de-DE"/>
              </w:rPr>
              <w:t>hat die diesem Begriff in Unterabschnitt C.5 von Ziffer 1.1. zugewiesene Bedeutung.</w:t>
            </w:r>
          </w:p>
        </w:tc>
      </w:tr>
      <w:tr w:rsidTr="004C1EBA">
        <w:tblPrEx>
          <w:tblW w:w="4999" w:type="pct"/>
          <w:tblLayout w:type="fixed"/>
          <w:tblCellMar>
            <w:left w:w="115" w:type="dxa"/>
            <w:right w:w="115" w:type="dxa"/>
          </w:tblCellMar>
          <w:tblLook w:val="04A0"/>
        </w:tblPrEx>
        <w:trPr>
          <w:trHeight w:val="3360"/>
        </w:trPr>
        <w:tc>
          <w:tcPr>
            <w:tcW w:w="1616" w:type="dxa"/>
            <w:gridSpan w:val="3"/>
            <w:tcBorders>
              <w:top w:val="nil"/>
              <w:left w:val="nil"/>
              <w:right w:val="nil"/>
            </w:tcBorders>
            <w:shd w:val="clear" w:color="auto" w:fill="auto"/>
          </w:tcPr>
          <w:p w:rsidR="0017135D" w:rsidRPr="00094377" w:rsidP="000C557A">
            <w:pPr>
              <w:pStyle w:val="CSBody8ptbolditalics"/>
            </w:pPr>
            <w:r w:rsidRPr="00792D61">
              <w:t>[</w:t>
            </w:r>
            <w:r w:rsidRPr="00094377">
              <w:t>if "Reference Obligation Only" is applicable as an Obligation Category or as a Valuation Obligation Category insert:</w:t>
            </w:r>
          </w:p>
          <w:p w:rsidR="0017135D" w:rsidRPr="00094377" w:rsidP="009D1C9F">
            <w:pPr>
              <w:pStyle w:val="CSBody8pt"/>
            </w:pPr>
            <w:r w:rsidRPr="00776DCF">
              <w:t>Reference Obligation Only</w:t>
            </w:r>
            <w:r>
              <w:fldChar w:fldCharType="begin"/>
            </w:r>
            <w:r>
              <w:instrText xml:space="preserve"> XE "</w:instrText>
            </w:r>
            <w:r w:rsidRPr="00FF1DE7">
              <w:instrText>Reference Obligation Only</w:instrText>
            </w:r>
            <w:r>
              <w:instrText xml:space="preserve">" \f "EN" </w:instrText>
            </w:r>
            <w:r>
              <w:fldChar w:fldCharType="end"/>
            </w:r>
          </w:p>
        </w:tc>
        <w:tc>
          <w:tcPr>
            <w:tcW w:w="3315" w:type="dxa"/>
            <w:gridSpan w:val="2"/>
            <w:tcBorders>
              <w:top w:val="nil"/>
              <w:left w:val="nil"/>
            </w:tcBorders>
            <w:shd w:val="clear" w:color="auto" w:fill="auto"/>
          </w:tcPr>
          <w:p w:rsidR="0017135D" w:rsidRPr="00094377" w:rsidP="000C557A">
            <w:pPr>
              <w:pStyle w:val="CSBody8pt"/>
            </w:pPr>
            <w:r w:rsidRPr="00094377">
              <w:t>any obligation that is a Reference Obligation and no Obligation Characteristics shall be applicable to "Reference Obligation Only".</w:t>
            </w:r>
            <w:r w:rsidRPr="00792D61">
              <w:rPr>
                <w:b/>
              </w:rPr>
              <w:t>]</w:t>
            </w:r>
          </w:p>
        </w:tc>
        <w:tc>
          <w:tcPr>
            <w:tcW w:w="1618" w:type="dxa"/>
            <w:gridSpan w:val="2"/>
            <w:tcBorders>
              <w:top w:val="nil"/>
              <w:right w:val="nil"/>
            </w:tcBorders>
            <w:shd w:val="clear" w:color="auto" w:fill="auto"/>
          </w:tcPr>
          <w:p w:rsidR="0017135D" w:rsidRPr="00094377" w:rsidP="009D1C9F">
            <w:pPr>
              <w:pStyle w:val="CSBody8ptbolditalics"/>
              <w:rPr>
                <w:lang w:val="de-DE"/>
              </w:rPr>
            </w:pPr>
            <w:r w:rsidRPr="00792D61">
              <w:rPr>
                <w:lang w:val="de-DE"/>
              </w:rPr>
              <w:t>[</w:t>
            </w:r>
            <w:r w:rsidRPr="00094377">
              <w:rPr>
                <w:lang w:val="de-DE"/>
              </w:rPr>
              <w:t>falls "Nur Referenzverbindlichkeit" als Verbindlichkeitenkategorie oder Kategorie der Bewertungsverbindlichkeiten anwendbar ist einfügen:</w:t>
            </w:r>
          </w:p>
          <w:p w:rsidR="0017135D" w:rsidRPr="00094377" w:rsidP="009D1C9F">
            <w:pPr>
              <w:pStyle w:val="CSBody8pt"/>
              <w:rPr>
                <w:lang w:val="de-DE"/>
              </w:rPr>
            </w:pPr>
            <w:r w:rsidRPr="00776DCF">
              <w:t>Nur Referenzverbindlichkeiten</w:t>
            </w:r>
            <w:r>
              <w:fldChar w:fldCharType="begin"/>
            </w:r>
            <w:r>
              <w:instrText xml:space="preserve"> XE "</w:instrText>
            </w:r>
            <w:r w:rsidRPr="001A6215">
              <w:instrText xml:space="preserve">Nur </w:instrText>
            </w:r>
            <w:r>
              <w:instrText>Referenz</w:instrText>
            </w:r>
            <w:r w:rsidRPr="001A6215">
              <w:instrText>verbindlichkeiten</w:instrText>
            </w:r>
            <w:r>
              <w:instrText xml:space="preserve">" </w:instrText>
            </w:r>
            <w:r>
              <w:fldChar w:fldCharType="end"/>
            </w:r>
          </w:p>
        </w:tc>
        <w:tc>
          <w:tcPr>
            <w:tcW w:w="3318" w:type="dxa"/>
            <w:tcBorders>
              <w:top w:val="nil"/>
              <w:left w:val="nil"/>
              <w:right w:val="nil"/>
            </w:tcBorders>
            <w:shd w:val="clear" w:color="auto" w:fill="auto"/>
          </w:tcPr>
          <w:p w:rsidR="0017135D" w:rsidRPr="00094377" w:rsidP="009D1C9F">
            <w:pPr>
              <w:pStyle w:val="CSBody8pt"/>
              <w:rPr>
                <w:bCs/>
                <w:lang w:val="de-DE"/>
              </w:rPr>
            </w:pPr>
            <w:r w:rsidRPr="00094377">
              <w:rPr>
                <w:bCs/>
                <w:lang w:val="de-DE"/>
              </w:rPr>
              <w:t>jede Verbindlichkeit, die eine Referenzverbindlichkeit ist, wobei im Fall von "Nur Referenzverbindlichkeit" keine Verbindlichkeitenmerkmale zur Anwendung kommen.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76DCF" w:rsidP="000C557A">
            <w:pPr>
              <w:pStyle w:val="CSBody8pt"/>
            </w:pPr>
            <w:r w:rsidRPr="00776DCF">
              <w:t>Relevant City Business Day</w:t>
            </w:r>
            <w:r>
              <w:fldChar w:fldCharType="begin"/>
            </w:r>
            <w:r>
              <w:instrText xml:space="preserve"> XE "</w:instrText>
            </w:r>
            <w:r w:rsidRPr="00233889">
              <w:instrText>Relevant City Business Day</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776DCF" w:rsidP="000C557A">
            <w:pPr>
              <w:pStyle w:val="CSBody8pt"/>
            </w:pPr>
            <w:r w:rsidRPr="00792D61">
              <w:rPr>
                <w:b/>
                <w:i/>
              </w:rPr>
              <w:t>[</w:t>
            </w:r>
            <w:r w:rsidRPr="00776DCF">
              <w:rPr>
                <w:b/>
                <w:i/>
              </w:rPr>
              <w:t>if a Basket is applicable or in the case of Complex Products with N</w:t>
            </w:r>
            <w:r w:rsidRPr="00BD6E0D">
              <w:rPr>
                <w:b/>
                <w:i/>
                <w:vertAlign w:val="superscript"/>
              </w:rPr>
              <w:t>th</w:t>
            </w:r>
            <w:r w:rsidRPr="00776DCF">
              <w:rPr>
                <w:b/>
                <w:i/>
              </w:rPr>
              <w:t xml:space="preserve">-to-Default structure, insert: </w:t>
            </w:r>
            <w:r w:rsidRPr="00776DCF">
              <w:t>with respect to any Reference Entity,</w:t>
            </w:r>
            <w:r w:rsidRPr="00792D61">
              <w:rPr>
                <w:b/>
              </w:rPr>
              <w:t>]</w:t>
            </w:r>
            <w:r w:rsidRPr="00776DCF">
              <w:t xml:space="preserve"> the day specified as such in connection with an Auction </w:t>
            </w:r>
            <w:r w:rsidRPr="00792D61">
              <w:rPr>
                <w:b/>
              </w:rPr>
              <w:t>[</w:t>
            </w:r>
            <w:r w:rsidRPr="00776DCF">
              <w:rPr>
                <w:b/>
                <w:i/>
              </w:rPr>
              <w:t>if a Basket is applicable or in the case of Complex Products with N</w:t>
            </w:r>
            <w:r w:rsidRPr="00BD6E0D">
              <w:rPr>
                <w:b/>
                <w:i/>
                <w:vertAlign w:val="superscript"/>
              </w:rPr>
              <w:t>th</w:t>
            </w:r>
            <w:r w:rsidRPr="00776DCF">
              <w:rPr>
                <w:b/>
                <w:i/>
              </w:rPr>
              <w:t>-to-Default structure, insert:</w:t>
            </w:r>
            <w:r w:rsidRPr="00776DCF">
              <w:t xml:space="preserve"> in relation to such Reference Entity</w:t>
            </w:r>
            <w:r w:rsidRPr="00792D61">
              <w:rPr>
                <w:b/>
              </w:rPr>
              <w:t>]</w:t>
            </w:r>
            <w:r w:rsidRPr="00776DCF">
              <w:t>.</w:t>
            </w:r>
          </w:p>
        </w:tc>
        <w:tc>
          <w:tcPr>
            <w:tcW w:w="1618" w:type="dxa"/>
            <w:gridSpan w:val="2"/>
            <w:tcBorders>
              <w:top w:val="nil"/>
              <w:bottom w:val="nil"/>
              <w:right w:val="nil"/>
            </w:tcBorders>
            <w:shd w:val="clear" w:color="auto" w:fill="auto"/>
          </w:tcPr>
          <w:p w:rsidR="0017135D" w:rsidRPr="00776DCF" w:rsidP="000C557A">
            <w:pPr>
              <w:pStyle w:val="CSBody8pt"/>
            </w:pPr>
            <w:r w:rsidRPr="00776DCF">
              <w:t>Geschäftstag am Massgeblichen Finanzplatz</w:t>
            </w:r>
            <w:r>
              <w:fldChar w:fldCharType="begin"/>
            </w:r>
            <w:r>
              <w:instrText xml:space="preserve"> XE "</w:instrText>
            </w:r>
            <w:r w:rsidRPr="00F61251">
              <w:instrText>Geschäftstag am Massgeblichen Finanzplatz</w:instrText>
            </w:r>
            <w:r>
              <w:instrText xml:space="preserve">" </w:instrText>
            </w:r>
            <w:r>
              <w:fldChar w:fldCharType="end"/>
            </w:r>
          </w:p>
        </w:tc>
        <w:tc>
          <w:tcPr>
            <w:tcW w:w="3318" w:type="dxa"/>
            <w:tcBorders>
              <w:top w:val="nil"/>
              <w:left w:val="nil"/>
              <w:bottom w:val="nil"/>
              <w:right w:val="nil"/>
            </w:tcBorders>
            <w:shd w:val="clear" w:color="auto" w:fill="auto"/>
          </w:tcPr>
          <w:p w:rsidR="0017135D" w:rsidRPr="00776DCF" w:rsidP="000C557A">
            <w:pPr>
              <w:pStyle w:val="CSBody8pt"/>
              <w:rPr>
                <w:lang w:val="de-DE"/>
              </w:rPr>
            </w:pPr>
            <w:r w:rsidRPr="00792D61">
              <w:rPr>
                <w:b/>
                <w:lang w:val="de-DE"/>
              </w:rPr>
              <w:t>[</w:t>
            </w:r>
            <w:r w:rsidRPr="00776DCF">
              <w:rPr>
                <w:b/>
                <w:i/>
                <w:lang w:val="de-DE"/>
              </w:rPr>
              <w:t>falls ein Korb anwendbar ist oder bei Komplexen Produkten mit N</w:t>
            </w:r>
            <w:r w:rsidRPr="00BD6E0D">
              <w:rPr>
                <w:b/>
                <w:i/>
                <w:vertAlign w:val="superscript"/>
                <w:lang w:val="de-DE"/>
              </w:rPr>
              <w:t>th</w:t>
            </w:r>
            <w:r w:rsidRPr="00776DCF">
              <w:rPr>
                <w:b/>
                <w:i/>
                <w:lang w:val="de-DE"/>
              </w:rPr>
              <w:t xml:space="preserve">-to-Default-Struktur, einfügen: </w:t>
            </w:r>
            <w:r w:rsidRPr="00776DCF">
              <w:rPr>
                <w:lang w:val="de-DE"/>
              </w:rPr>
              <w:t>in Bezug auf einen Referenzschuldner</w:t>
            </w:r>
            <w:r w:rsidRPr="00792D61">
              <w:rPr>
                <w:b/>
                <w:lang w:val="de-DE"/>
              </w:rPr>
              <w:t>]</w:t>
            </w:r>
            <w:r w:rsidRPr="00776DCF">
              <w:rPr>
                <w:lang w:val="de-DE"/>
              </w:rPr>
              <w:t xml:space="preserve"> der im Zusammenhang mit einer Auktion </w:t>
            </w:r>
            <w:r w:rsidRPr="00792D61">
              <w:rPr>
                <w:b/>
                <w:lang w:val="de-DE"/>
              </w:rPr>
              <w:t>[</w:t>
            </w:r>
            <w:r w:rsidRPr="00776DCF">
              <w:rPr>
                <w:b/>
                <w:i/>
                <w:lang w:val="de-DE"/>
              </w:rPr>
              <w:t>falls ein Korb anwendbar ist oder bei Komplexen Produkten mit N</w:t>
            </w:r>
            <w:r w:rsidRPr="00BD6E0D">
              <w:rPr>
                <w:b/>
                <w:i/>
                <w:vertAlign w:val="superscript"/>
                <w:lang w:val="de-DE"/>
              </w:rPr>
              <w:t>th</w:t>
            </w:r>
            <w:r w:rsidRPr="00776DCF">
              <w:rPr>
                <w:b/>
                <w:i/>
                <w:lang w:val="de-DE"/>
              </w:rPr>
              <w:t>-to-Default-Struktur, einfügen:</w:t>
            </w:r>
            <w:r w:rsidRPr="00776DCF">
              <w:rPr>
                <w:lang w:val="de-DE"/>
              </w:rPr>
              <w:t xml:space="preserve"> in Bezug auf diesen Referenzschuldner</w:t>
            </w:r>
            <w:r w:rsidRPr="00792D61">
              <w:rPr>
                <w:b/>
                <w:lang w:val="de-DE"/>
              </w:rPr>
              <w:t>]</w:t>
            </w:r>
            <w:r w:rsidRPr="00776DCF">
              <w:rPr>
                <w:lang w:val="de-DE"/>
              </w:rPr>
              <w:t xml:space="preserve"> als solcher angegebene Tag.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42F00" w:rsidP="000C557A">
            <w:pPr>
              <w:pStyle w:val="CSBody8pt"/>
            </w:pPr>
            <w:r w:rsidRPr="00942F00">
              <w:t>Relevant Guarantee</w:t>
            </w:r>
            <w:r>
              <w:fldChar w:fldCharType="begin"/>
            </w:r>
            <w:r w:rsidRPr="00942F00">
              <w:instrText xml:space="preserve"> XE "Relevant Guarantee" \f "EN" </w:instrText>
            </w:r>
            <w:r>
              <w:fldChar w:fldCharType="end"/>
            </w:r>
          </w:p>
        </w:tc>
        <w:tc>
          <w:tcPr>
            <w:tcW w:w="3315" w:type="dxa"/>
            <w:gridSpan w:val="2"/>
            <w:tcBorders>
              <w:top w:val="nil"/>
              <w:left w:val="nil"/>
              <w:bottom w:val="nil"/>
            </w:tcBorders>
            <w:shd w:val="clear" w:color="auto" w:fill="auto"/>
          </w:tcPr>
          <w:p w:rsidR="0017135D" w:rsidRPr="00942F00" w:rsidP="00942F00">
            <w:pPr>
              <w:pStyle w:val="CSBody8pt"/>
            </w:pPr>
            <w:r w:rsidRPr="00942F00">
              <w:rPr>
                <w:b/>
              </w:rPr>
              <w:t>[</w:t>
            </w:r>
            <w:r w:rsidRPr="00942F00">
              <w:rPr>
                <w:b/>
                <w:i/>
              </w:rPr>
              <w:t>if All Guarantee</w:t>
            </w:r>
            <w:r w:rsidR="0079644C">
              <w:rPr>
                <w:b/>
                <w:i/>
              </w:rPr>
              <w:t>s</w:t>
            </w:r>
            <w:r w:rsidRPr="00942F00">
              <w:rPr>
                <w:b/>
                <w:i/>
              </w:rPr>
              <w:t xml:space="preserve"> is not applicable, insert: </w:t>
            </w:r>
            <w:r w:rsidRPr="00942F00">
              <w:t>a Qualifying Affiliate Guarantee</w:t>
            </w:r>
            <w:r w:rsidRPr="00942F00">
              <w:rPr>
                <w:b/>
              </w:rPr>
              <w:t>][</w:t>
            </w:r>
            <w:r w:rsidRPr="00BD6E0D">
              <w:rPr>
                <w:b/>
                <w:i/>
              </w:rPr>
              <w:t>if All Guarantee</w:t>
            </w:r>
            <w:r w:rsidR="0079644C">
              <w:rPr>
                <w:b/>
                <w:i/>
              </w:rPr>
              <w:t>s</w:t>
            </w:r>
            <w:r w:rsidRPr="00BD6E0D">
              <w:rPr>
                <w:b/>
                <w:i/>
              </w:rPr>
              <w:t xml:space="preserve"> is applicable, insert:</w:t>
            </w:r>
            <w:r w:rsidRPr="00942F00">
              <w:t xml:space="preserve"> a Qualifying Guarantee</w:t>
            </w:r>
            <w:r w:rsidRPr="00942F00">
              <w:rPr>
                <w:b/>
              </w:rPr>
              <w:t>]</w:t>
            </w:r>
          </w:p>
        </w:tc>
        <w:tc>
          <w:tcPr>
            <w:tcW w:w="1618" w:type="dxa"/>
            <w:gridSpan w:val="2"/>
            <w:tcBorders>
              <w:top w:val="nil"/>
              <w:bottom w:val="nil"/>
              <w:right w:val="nil"/>
            </w:tcBorders>
            <w:shd w:val="clear" w:color="auto" w:fill="auto"/>
          </w:tcPr>
          <w:p w:rsidR="0017135D" w:rsidRPr="00942F00" w:rsidP="000C557A">
            <w:pPr>
              <w:pStyle w:val="CSBody8pt"/>
            </w:pPr>
            <w:r w:rsidRPr="00942F00">
              <w:t>Massgebliche Garantie</w:t>
            </w:r>
            <w:r>
              <w:fldChar w:fldCharType="begin"/>
            </w:r>
            <w:r w:rsidRPr="00942F00">
              <w:instrText xml:space="preserve"> XE "Massgebliche Garantie" </w:instrText>
            </w:r>
            <w:r>
              <w:fldChar w:fldCharType="end"/>
            </w:r>
          </w:p>
        </w:tc>
        <w:tc>
          <w:tcPr>
            <w:tcW w:w="3318" w:type="dxa"/>
            <w:tcBorders>
              <w:top w:val="nil"/>
              <w:left w:val="nil"/>
              <w:bottom w:val="nil"/>
              <w:right w:val="nil"/>
            </w:tcBorders>
            <w:shd w:val="clear" w:color="auto" w:fill="auto"/>
          </w:tcPr>
          <w:p w:rsidR="0017135D" w:rsidRPr="00094377" w:rsidP="0079644C">
            <w:pPr>
              <w:pStyle w:val="CSBody8pt"/>
              <w:rPr>
                <w:lang w:val="de-DE"/>
              </w:rPr>
            </w:pPr>
            <w:r w:rsidRPr="00942F00">
              <w:rPr>
                <w:b/>
                <w:lang w:val="de-DE"/>
              </w:rPr>
              <w:t>[</w:t>
            </w:r>
            <w:r w:rsidRPr="00942F00">
              <w:rPr>
                <w:b/>
                <w:i/>
                <w:lang w:val="de-DE"/>
              </w:rPr>
              <w:t xml:space="preserve">falls Alle Garantien nicht anwendbar ist, einfügen: </w:t>
            </w:r>
            <w:r w:rsidRPr="00942F00">
              <w:rPr>
                <w:lang w:val="de-DE"/>
              </w:rPr>
              <w:t>eine Qualifizierte Garantie für Verbundene Unternehmen</w:t>
            </w:r>
            <w:r w:rsidRPr="00942F00">
              <w:rPr>
                <w:b/>
                <w:lang w:val="de-DE"/>
              </w:rPr>
              <w:t>][</w:t>
            </w:r>
            <w:r w:rsidRPr="00BD6E0D">
              <w:rPr>
                <w:b/>
                <w:i/>
                <w:lang w:val="de-DE"/>
              </w:rPr>
              <w:t>falls Alle Garantien</w:t>
            </w:r>
            <w:r w:rsidR="0079644C">
              <w:rPr>
                <w:b/>
                <w:i/>
                <w:lang w:val="de-DE"/>
              </w:rPr>
              <w:t xml:space="preserve"> </w:t>
            </w:r>
            <w:r w:rsidRPr="00BD6E0D">
              <w:rPr>
                <w:b/>
                <w:i/>
                <w:lang w:val="de-DE"/>
              </w:rPr>
              <w:t>anwendbar ist, einfügen:</w:t>
            </w:r>
            <w:r w:rsidRPr="00942F00">
              <w:rPr>
                <w:lang w:val="de-DE"/>
              </w:rPr>
              <w:t xml:space="preserve"> eine Qualifizierte Garantie</w:t>
            </w:r>
            <w:r w:rsidRPr="00942F00">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RPr="00094377" w:rsidP="000C557A">
            <w:pPr>
              <w:pStyle w:val="CSBody8pt"/>
            </w:pPr>
            <w:r w:rsidRPr="00094377">
              <w:t>In the event that an Obligation or a Valuation Obligation is a Relevant Guarantee, the following will apply:</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0C557A">
            <w:pPr>
              <w:pStyle w:val="CSBody8pt"/>
              <w:rPr>
                <w:bCs/>
                <w:lang w:val="de-DE"/>
              </w:rPr>
            </w:pPr>
            <w:r w:rsidRPr="00094377">
              <w:rPr>
                <w:bCs/>
                <w:lang w:val="de-DE"/>
              </w:rPr>
              <w:t>Wenn es sich bei einer Verbindlichkeit oder Bewertungsverbindlichkeit um eine Massgebliche Garantie handelt, gilt das Folgende: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RPr="00094377" w:rsidP="000C557A">
            <w:pPr>
              <w:pStyle w:val="CSManNum8pt"/>
            </w:pPr>
            <w:r w:rsidRPr="00094377">
              <w:t>(a)</w:t>
            </w:r>
            <w:r w:rsidRPr="00094377">
              <w:tab/>
              <w:t>For purposes of the application of the Obligation Category or the Valuation Obligation Category, the Relevant Guarantee shall be deemed to satisfy the same category or categories as those that describe the Underlying Obligation.</w:t>
            </w:r>
          </w:p>
        </w:tc>
        <w:tc>
          <w:tcPr>
            <w:tcW w:w="1618" w:type="dxa"/>
            <w:gridSpan w:val="2"/>
            <w:tcBorders>
              <w:top w:val="nil"/>
              <w:bottom w:val="nil"/>
              <w:right w:val="nil"/>
            </w:tcBorders>
            <w:shd w:val="clear" w:color="auto" w:fill="auto"/>
          </w:tcPr>
          <w:p w:rsidR="0017135D" w:rsidRPr="00094377" w:rsidP="000C557A">
            <w:pPr>
              <w:pStyle w:val="CSManNum8pt"/>
              <w:rPr>
                <w:i/>
              </w:rPr>
            </w:pPr>
          </w:p>
        </w:tc>
        <w:tc>
          <w:tcPr>
            <w:tcW w:w="3318" w:type="dxa"/>
            <w:tcBorders>
              <w:top w:val="nil"/>
              <w:left w:val="nil"/>
              <w:bottom w:val="nil"/>
              <w:right w:val="nil"/>
            </w:tcBorders>
            <w:shd w:val="clear" w:color="auto" w:fill="auto"/>
          </w:tcPr>
          <w:p w:rsidR="0017135D" w:rsidRPr="00094377" w:rsidP="009D1C9F">
            <w:pPr>
              <w:pStyle w:val="CSManNum8pt"/>
              <w:rPr>
                <w:bCs/>
                <w:lang w:val="de-DE"/>
              </w:rPr>
            </w:pPr>
            <w:r w:rsidRPr="00094377">
              <w:rPr>
                <w:bCs/>
                <w:lang w:val="de-DE"/>
              </w:rPr>
              <w:t>(a)</w:t>
            </w:r>
            <w:r w:rsidRPr="00094377">
              <w:rPr>
                <w:bCs/>
                <w:lang w:val="de-DE"/>
              </w:rPr>
              <w:tab/>
              <w:t>Hinsichtlich der Anwendung der Verbindlichkeitenkategorie oder der Kategorie der Bewertungsverbindlichkeiten gilt die Massgebliche Garantie als durch dieselbe Kategorie bzw. dieselben Kategorien beschrieben wie die Zugrundeliegende Verbindlichkeit.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A457E7">
            <w:pPr>
              <w:pStyle w:val="CSBody0"/>
              <w:rPr>
                <w:lang w:val="de-DE"/>
              </w:rPr>
            </w:pPr>
          </w:p>
        </w:tc>
        <w:tc>
          <w:tcPr>
            <w:tcW w:w="3315" w:type="dxa"/>
            <w:gridSpan w:val="2"/>
            <w:tcBorders>
              <w:top w:val="nil"/>
              <w:left w:val="nil"/>
              <w:bottom w:val="nil"/>
            </w:tcBorders>
            <w:shd w:val="clear" w:color="auto" w:fill="auto"/>
          </w:tcPr>
          <w:p w:rsidR="0017135D" w:rsidRPr="00094377" w:rsidP="000C557A">
            <w:pPr>
              <w:pStyle w:val="CSManNum8pt"/>
            </w:pPr>
            <w:r w:rsidRPr="00094377">
              <w:t>(b)</w:t>
            </w:r>
            <w:r w:rsidRPr="00094377">
              <w:tab/>
              <w:t xml:space="preserve">For purposes of the application of </w:t>
            </w:r>
            <w:r w:rsidRPr="00792D61">
              <w:rPr>
                <w:b/>
              </w:rPr>
              <w:t>[</w:t>
            </w:r>
            <w:r w:rsidRPr="000C557A">
              <w:rPr>
                <w:b/>
                <w:i/>
              </w:rPr>
              <w:t xml:space="preserve">if Obligation Characteristics are applicable, insert: </w:t>
            </w:r>
            <w:r w:rsidRPr="00094377">
              <w:t>the Obligation Characteristics or</w:t>
            </w:r>
            <w:r w:rsidRPr="00792D61">
              <w:rPr>
                <w:b/>
              </w:rPr>
              <w:t>]</w:t>
            </w:r>
            <w:r w:rsidRPr="00094377">
              <w:t xml:space="preserve"> the Valuation Obligation Characteristics, both the Relevant Guarantee and the Underlying Obligation must satisfy on the relevant date or dates each of </w:t>
            </w:r>
            <w:r w:rsidRPr="00792D61">
              <w:rPr>
                <w:b/>
              </w:rPr>
              <w:t>[</w:t>
            </w:r>
            <w:r w:rsidRPr="000C557A">
              <w:rPr>
                <w:b/>
                <w:i/>
              </w:rPr>
              <w:t>if Obligation Characteristics are applicable, insert</w:t>
            </w:r>
            <w:r w:rsidRPr="00094377">
              <w:t>: the applicable Obligation Characteristics or</w:t>
            </w:r>
            <w:r w:rsidRPr="00792D61">
              <w:rPr>
                <w:b/>
              </w:rPr>
              <w:t>]</w:t>
            </w:r>
            <w:r w:rsidRPr="00094377">
              <w:t xml:space="preserve"> the applicable Valuation Obligation Characteristics specified in Section 1.1 from the following list: </w:t>
            </w:r>
            <w:r w:rsidRPr="00792D61">
              <w:rPr>
                <w:b/>
              </w:rPr>
              <w:t>[</w:t>
            </w:r>
            <w:r w:rsidRPr="00094377">
              <w:t>"Not Subordinated"</w:t>
            </w:r>
            <w:r w:rsidRPr="00792D61">
              <w:rPr>
                <w:b/>
              </w:rPr>
              <w:t>][</w:t>
            </w:r>
            <w:r w:rsidRPr="00094377">
              <w:t>,</w:t>
            </w:r>
            <w:r w:rsidRPr="00792D61">
              <w:rPr>
                <w:b/>
              </w:rPr>
              <w:t>][</w:t>
            </w:r>
            <w:r w:rsidRPr="00094377">
              <w:t>and</w:t>
            </w:r>
            <w:r w:rsidRPr="00792D61">
              <w:rPr>
                <w:b/>
              </w:rPr>
              <w:t>]</w:t>
            </w:r>
            <w:r w:rsidRPr="00094377">
              <w:t xml:space="preserve"> </w:t>
            </w:r>
            <w:r w:rsidRPr="00792D61">
              <w:rPr>
                <w:b/>
              </w:rPr>
              <w:t>[</w:t>
            </w:r>
            <w:r w:rsidRPr="00094377">
              <w:t>"Specified Currency"</w:t>
            </w:r>
            <w:r w:rsidRPr="00792D61">
              <w:rPr>
                <w:b/>
              </w:rPr>
              <w:t>][</w:t>
            </w:r>
            <w:r w:rsidRPr="00094377">
              <w:t>,</w:t>
            </w:r>
            <w:r w:rsidRPr="00792D61">
              <w:rPr>
                <w:b/>
              </w:rPr>
              <w:t>][</w:t>
            </w:r>
            <w:r w:rsidRPr="00094377">
              <w:t>and</w:t>
            </w:r>
            <w:r w:rsidRPr="00792D61">
              <w:rPr>
                <w:b/>
              </w:rPr>
              <w:t>][</w:t>
            </w:r>
            <w:r w:rsidRPr="00094377">
              <w:t>"Not Sovereign Lender"</w:t>
            </w:r>
            <w:r w:rsidRPr="00792D61">
              <w:rPr>
                <w:b/>
              </w:rPr>
              <w:t>]</w:t>
            </w:r>
            <w:r w:rsidRPr="00094377">
              <w:t xml:space="preserve"> </w:t>
            </w:r>
            <w:r w:rsidRPr="00792D61">
              <w:rPr>
                <w:b/>
              </w:rPr>
              <w:t>[</w:t>
            </w:r>
            <w:r w:rsidRPr="00094377">
              <w:t>,</w:t>
            </w:r>
            <w:r w:rsidRPr="00792D61">
              <w:rPr>
                <w:b/>
              </w:rPr>
              <w:t>][</w:t>
            </w:r>
            <w:r w:rsidRPr="00094377">
              <w:t>and</w:t>
            </w:r>
            <w:r w:rsidRPr="00792D61">
              <w:rPr>
                <w:b/>
              </w:rPr>
              <w:t>][</w:t>
            </w:r>
            <w:r w:rsidRPr="00094377">
              <w:t>"Not Domestic Currency"</w:t>
            </w:r>
            <w:r w:rsidRPr="00792D61">
              <w:rPr>
                <w:b/>
              </w:rPr>
              <w:t>]</w:t>
            </w:r>
            <w:r w:rsidRPr="00094377">
              <w:t xml:space="preserve"> </w:t>
            </w:r>
            <w:r w:rsidRPr="00792D61">
              <w:rPr>
                <w:b/>
              </w:rPr>
              <w:t>[</w:t>
            </w:r>
            <w:r w:rsidRPr="00094377">
              <w:t>,</w:t>
            </w:r>
            <w:r w:rsidRPr="00792D61">
              <w:rPr>
                <w:b/>
              </w:rPr>
              <w:t>][</w:t>
            </w:r>
            <w:r w:rsidRPr="00094377">
              <w:t>and</w:t>
            </w:r>
            <w:r w:rsidRPr="00792D61">
              <w:rPr>
                <w:b/>
              </w:rPr>
              <w:t>]</w:t>
            </w:r>
            <w:r w:rsidRPr="00094377">
              <w:t xml:space="preserve"> </w:t>
            </w:r>
            <w:r w:rsidRPr="00792D61">
              <w:rPr>
                <w:b/>
              </w:rPr>
              <w:t>[</w:t>
            </w:r>
            <w:r w:rsidRPr="00094377">
              <w:t>"Not Domestic Law"</w:t>
            </w:r>
            <w:r w:rsidRPr="00792D61">
              <w:rPr>
                <w:b/>
              </w:rPr>
              <w:t>]</w:t>
            </w:r>
            <w:r w:rsidRPr="00094377">
              <w:t>.</w:t>
            </w:r>
          </w:p>
        </w:tc>
        <w:tc>
          <w:tcPr>
            <w:tcW w:w="1618" w:type="dxa"/>
            <w:gridSpan w:val="2"/>
            <w:tcBorders>
              <w:top w:val="nil"/>
              <w:bottom w:val="nil"/>
              <w:right w:val="nil"/>
            </w:tcBorders>
            <w:shd w:val="clear" w:color="auto" w:fill="auto"/>
          </w:tcPr>
          <w:p w:rsidR="0017135D" w:rsidRPr="00094377" w:rsidP="000C557A">
            <w:pPr>
              <w:pStyle w:val="CSManNum8pt"/>
              <w:rPr>
                <w:i/>
              </w:rPr>
            </w:pPr>
          </w:p>
        </w:tc>
        <w:tc>
          <w:tcPr>
            <w:tcW w:w="3318" w:type="dxa"/>
            <w:tcBorders>
              <w:top w:val="nil"/>
              <w:left w:val="nil"/>
              <w:bottom w:val="nil"/>
              <w:right w:val="nil"/>
            </w:tcBorders>
            <w:shd w:val="clear" w:color="auto" w:fill="auto"/>
          </w:tcPr>
          <w:p w:rsidR="0017135D" w:rsidRPr="00094377" w:rsidP="004C1EBA">
            <w:pPr>
              <w:pStyle w:val="CSManNum8pt"/>
              <w:rPr>
                <w:bCs/>
                <w:lang w:val="de-DE"/>
              </w:rPr>
            </w:pPr>
            <w:r w:rsidRPr="00094377">
              <w:rPr>
                <w:bCs/>
                <w:lang w:val="de-DE"/>
              </w:rPr>
              <w:t>(b)</w:t>
            </w:r>
            <w:r w:rsidRPr="00094377">
              <w:rPr>
                <w:bCs/>
                <w:lang w:val="de-DE"/>
              </w:rPr>
              <w:tab/>
              <w:t xml:space="preserve">Hinsichtlich der Anwendung der </w:t>
            </w:r>
            <w:r w:rsidRPr="00792D61">
              <w:rPr>
                <w:b/>
                <w:bCs/>
                <w:lang w:val="de-DE"/>
              </w:rPr>
              <w:t>[</w:t>
            </w:r>
            <w:r w:rsidRPr="000C557A">
              <w:rPr>
                <w:b/>
                <w:bCs/>
                <w:i/>
                <w:lang w:val="de-DE"/>
              </w:rPr>
              <w:t>falls Verbindlichkeitenmerkmale anwendbar sind, einfügen:</w:t>
            </w:r>
            <w:r w:rsidRPr="00094377">
              <w:rPr>
                <w:bCs/>
                <w:lang w:val="de-DE"/>
              </w:rPr>
              <w:t xml:space="preserve"> Verbindlichkeitenmerkmale oder der</w:t>
            </w:r>
            <w:r w:rsidRPr="00792D61">
              <w:rPr>
                <w:b/>
                <w:bCs/>
                <w:lang w:val="de-DE"/>
              </w:rPr>
              <w:t>]</w:t>
            </w:r>
            <w:r w:rsidRPr="00094377">
              <w:rPr>
                <w:bCs/>
                <w:lang w:val="de-DE"/>
              </w:rPr>
              <w:t xml:space="preserve"> Merkmale der Bewertungsverbindlichkeit gilt: Sowohl die Massgebliche Garantie als auch die Zugrundeliegende Verbindlichkeit müssen an dem jeweiligen Tag bzw. den jeweiligen Tagen jedes der nachfolgend aufgeführten anwendbaren </w:t>
            </w:r>
            <w:r w:rsidRPr="00792D61">
              <w:rPr>
                <w:b/>
                <w:bCs/>
                <w:lang w:val="de-DE"/>
              </w:rPr>
              <w:t>[</w:t>
            </w:r>
            <w:r w:rsidRPr="000C557A">
              <w:rPr>
                <w:b/>
                <w:bCs/>
                <w:i/>
                <w:lang w:val="de-DE"/>
              </w:rPr>
              <w:t>falls Verbindlichkeitenmerkmale anwendbar sind, einfügen:</w:t>
            </w:r>
            <w:r w:rsidRPr="00094377">
              <w:rPr>
                <w:bCs/>
                <w:lang w:val="de-DE"/>
              </w:rPr>
              <w:t xml:space="preserve"> Verbindlichkeitenmerkmale oder</w:t>
            </w:r>
            <w:r w:rsidRPr="00792D61">
              <w:rPr>
                <w:b/>
                <w:bCs/>
                <w:lang w:val="de-DE"/>
              </w:rPr>
              <w:t>]</w:t>
            </w:r>
            <w:r w:rsidRPr="00094377">
              <w:rPr>
                <w:bCs/>
                <w:lang w:val="de-DE"/>
              </w:rPr>
              <w:t xml:space="preserve"> Merkmale der Bewertungsverbindlichkeit erfüllen, das in Ziffer 1.1 angegeben ist: </w:t>
            </w:r>
            <w:r w:rsidRPr="00792D61">
              <w:rPr>
                <w:b/>
                <w:bCs/>
                <w:lang w:val="de-DE"/>
              </w:rPr>
              <w:t>[</w:t>
            </w:r>
            <w:r w:rsidRPr="00094377">
              <w:rPr>
                <w:bCs/>
                <w:lang w:val="de-DE"/>
              </w:rPr>
              <w:t>"Nicht Nachrangig"</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"Festgelegte Währung"</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"Kein Staat als Kreditgeber"</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"Keine Inlandswährung"</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"Nicht Inländisches Recht"</w:t>
            </w:r>
            <w:r w:rsidRPr="00792D61">
              <w:rPr>
                <w:b/>
                <w:bCs/>
                <w:lang w:val="de-DE"/>
              </w:rPr>
              <w:t>]</w:t>
            </w:r>
            <w:r w:rsidRPr="00094377">
              <w:rPr>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ManNum8pt"/>
              <w:rPr>
                <w:lang w:val="de-DE"/>
              </w:rPr>
            </w:pPr>
          </w:p>
        </w:tc>
        <w:tc>
          <w:tcPr>
            <w:tcW w:w="3315" w:type="dxa"/>
            <w:gridSpan w:val="2"/>
            <w:tcBorders>
              <w:top w:val="nil"/>
              <w:left w:val="nil"/>
              <w:bottom w:val="nil"/>
            </w:tcBorders>
            <w:shd w:val="clear" w:color="auto" w:fill="auto"/>
          </w:tcPr>
          <w:p w:rsidR="0017135D" w:rsidRPr="00094377" w:rsidP="000C557A">
            <w:pPr>
              <w:pStyle w:val="CSManNum8pt"/>
            </w:pPr>
            <w:r w:rsidRPr="00094377">
              <w:t>(d)</w:t>
            </w:r>
            <w:r w:rsidRPr="00094377">
              <w:tab/>
              <w:t xml:space="preserve">For purposes of the application of </w:t>
            </w:r>
            <w:r w:rsidRPr="00792D61">
              <w:rPr>
                <w:b/>
              </w:rPr>
              <w:t>[</w:t>
            </w:r>
            <w:r w:rsidRPr="000C557A">
              <w:rPr>
                <w:b/>
                <w:i/>
              </w:rPr>
              <w:t xml:space="preserve">if Obligation Characteristics are applicable, insert: </w:t>
            </w:r>
            <w:r w:rsidRPr="00094377">
              <w:t>the Obligation Characteristics or</w:t>
            </w:r>
            <w:r w:rsidRPr="00792D61">
              <w:rPr>
                <w:b/>
              </w:rPr>
              <w:t>]</w:t>
            </w:r>
            <w:r w:rsidRPr="00094377">
              <w:t xml:space="preserve"> the Valuation Obligation Characteristics, only the Underlying Obligation must satisfy on the relevant date or dates each of </w:t>
            </w:r>
            <w:r w:rsidRPr="00792D61">
              <w:rPr>
                <w:b/>
              </w:rPr>
              <w:t>[</w:t>
            </w:r>
            <w:r w:rsidRPr="000C557A">
              <w:rPr>
                <w:b/>
                <w:i/>
              </w:rPr>
              <w:t xml:space="preserve">if Obligation Characteristics are applicable, insert: </w:t>
            </w:r>
            <w:r w:rsidRPr="00094377">
              <w:t>the applicable Obligation Characteristics or</w:t>
            </w:r>
            <w:r w:rsidRPr="00792D61">
              <w:rPr>
                <w:b/>
              </w:rPr>
              <w:t>]</w:t>
            </w:r>
            <w:r w:rsidRPr="00094377">
              <w:t xml:space="preserve"> the applicable Valuation Obligation Characteristics specified in Section 1.1 from the following list: </w:t>
            </w:r>
            <w:r w:rsidRPr="00792D61">
              <w:rPr>
                <w:b/>
              </w:rPr>
              <w:t>[</w:t>
            </w:r>
            <w:r w:rsidRPr="00094377">
              <w:t>"Listed"</w:t>
            </w:r>
            <w:r w:rsidRPr="00792D61">
              <w:rPr>
                <w:b/>
              </w:rPr>
              <w:t>][</w:t>
            </w:r>
            <w:r w:rsidRPr="00094377">
              <w:t>,</w:t>
            </w:r>
            <w:r w:rsidRPr="00792D61">
              <w:rPr>
                <w:b/>
              </w:rPr>
              <w:t>][</w:t>
            </w:r>
            <w:r w:rsidRPr="00094377">
              <w:t>and</w:t>
            </w:r>
            <w:r w:rsidRPr="00792D61">
              <w:rPr>
                <w:b/>
              </w:rPr>
              <w:t>]</w:t>
            </w:r>
            <w:r w:rsidRPr="00094377">
              <w:t xml:space="preserve"> </w:t>
            </w:r>
            <w:r w:rsidRPr="00792D61">
              <w:rPr>
                <w:b/>
              </w:rPr>
              <w:t>[</w:t>
            </w:r>
            <w:r w:rsidRPr="00094377">
              <w:t>"Not Domestic Issuance"</w:t>
            </w:r>
            <w:r w:rsidRPr="00792D61">
              <w:rPr>
                <w:b/>
              </w:rPr>
              <w:t>][</w:t>
            </w:r>
            <w:r w:rsidRPr="00094377">
              <w:t>,</w:t>
            </w:r>
            <w:r w:rsidRPr="00792D61">
              <w:rPr>
                <w:b/>
              </w:rPr>
              <w:t>][</w:t>
            </w:r>
            <w:r w:rsidRPr="00094377">
              <w:t>and</w:t>
            </w:r>
            <w:r w:rsidRPr="00792D61">
              <w:rPr>
                <w:b/>
              </w:rPr>
              <w:t>]</w:t>
            </w:r>
            <w:r w:rsidRPr="00094377">
              <w:t xml:space="preserve"> </w:t>
            </w:r>
            <w:r w:rsidRPr="00792D61">
              <w:rPr>
                <w:b/>
              </w:rPr>
              <w:t>[</w:t>
            </w:r>
            <w:r w:rsidRPr="00094377">
              <w:t>"Assignable Loan"</w:t>
            </w:r>
            <w:r w:rsidRPr="00792D61">
              <w:rPr>
                <w:b/>
              </w:rPr>
              <w:t>][</w:t>
            </w:r>
            <w:r w:rsidRPr="00094377">
              <w:t>,</w:t>
            </w:r>
            <w:r w:rsidRPr="00792D61">
              <w:rPr>
                <w:b/>
              </w:rPr>
              <w:t>][</w:t>
            </w:r>
            <w:r w:rsidRPr="00094377">
              <w:t>and</w:t>
            </w:r>
            <w:r w:rsidRPr="00792D61">
              <w:rPr>
                <w:b/>
              </w:rPr>
              <w:t>][</w:t>
            </w:r>
            <w:r w:rsidRPr="00094377">
              <w:t>"Consent Required Loan"</w:t>
            </w:r>
            <w:r w:rsidRPr="00792D61">
              <w:rPr>
                <w:b/>
              </w:rPr>
              <w:t>][</w:t>
            </w:r>
            <w:r w:rsidRPr="00094377">
              <w:t>,</w:t>
            </w:r>
            <w:r w:rsidRPr="00792D61">
              <w:rPr>
                <w:b/>
              </w:rPr>
              <w:t>][</w:t>
            </w:r>
            <w:r w:rsidRPr="00094377">
              <w:t>and</w:t>
            </w:r>
            <w:r w:rsidRPr="00792D61">
              <w:rPr>
                <w:b/>
              </w:rPr>
              <w:t>][</w:t>
            </w:r>
            <w:r w:rsidRPr="00094377">
              <w:t>"Transferable"</w:t>
            </w:r>
            <w:r w:rsidRPr="00792D61">
              <w:rPr>
                <w:b/>
              </w:rPr>
              <w:t>][</w:t>
            </w:r>
            <w:r w:rsidRPr="00094377">
              <w:t>,</w:t>
            </w:r>
            <w:r w:rsidRPr="00792D61">
              <w:rPr>
                <w:b/>
              </w:rPr>
              <w:t>]</w:t>
            </w:r>
            <w:r w:rsidRPr="00094377">
              <w:t xml:space="preserve"> </w:t>
            </w:r>
            <w:r w:rsidRPr="00792D61">
              <w:rPr>
                <w:b/>
              </w:rPr>
              <w:t>[</w:t>
            </w:r>
            <w:r w:rsidRPr="00094377">
              <w:t>and</w:t>
            </w:r>
            <w:r w:rsidRPr="00792D61">
              <w:rPr>
                <w:b/>
              </w:rPr>
              <w:t>][</w:t>
            </w:r>
            <w:r w:rsidRPr="00094377">
              <w:t>"Maximum Maturity"</w:t>
            </w:r>
            <w:r w:rsidRPr="00792D61">
              <w:rPr>
                <w:b/>
              </w:rPr>
              <w:t>][</w:t>
            </w:r>
            <w:r w:rsidRPr="00094377">
              <w:t>,</w:t>
            </w:r>
            <w:r w:rsidRPr="00792D61">
              <w:rPr>
                <w:b/>
              </w:rPr>
              <w:t>][</w:t>
            </w:r>
            <w:r w:rsidRPr="00094377">
              <w:t>and</w:t>
            </w:r>
            <w:r w:rsidRPr="00792D61">
              <w:rPr>
                <w:b/>
              </w:rPr>
              <w:t>]</w:t>
            </w:r>
            <w:r w:rsidRPr="00094377">
              <w:t xml:space="preserve"> </w:t>
            </w:r>
            <w:r w:rsidRPr="00792D61">
              <w:rPr>
                <w:b/>
              </w:rPr>
              <w:t>[</w:t>
            </w:r>
            <w:r w:rsidRPr="00094377">
              <w:t>"Accelerated or Matured"</w:t>
            </w:r>
            <w:r w:rsidRPr="00792D61">
              <w:rPr>
                <w:b/>
              </w:rPr>
              <w:t>][</w:t>
            </w:r>
            <w:r w:rsidRPr="00094377">
              <w:t>,</w:t>
            </w:r>
            <w:r w:rsidRPr="00792D61">
              <w:rPr>
                <w:b/>
              </w:rPr>
              <w:t>][</w:t>
            </w:r>
            <w:r w:rsidRPr="00094377">
              <w:t>and</w:t>
            </w:r>
            <w:r w:rsidRPr="00792D61">
              <w:rPr>
                <w:b/>
              </w:rPr>
              <w:t>][</w:t>
            </w:r>
            <w:r w:rsidRPr="00094377">
              <w:t>"Not Bearer"</w:t>
            </w:r>
            <w:r w:rsidRPr="00792D61">
              <w:rPr>
                <w:b/>
              </w:rPr>
              <w:t>]</w:t>
            </w:r>
            <w:r w:rsidRPr="00094377">
              <w:t>.</w:t>
            </w:r>
          </w:p>
        </w:tc>
        <w:tc>
          <w:tcPr>
            <w:tcW w:w="1618" w:type="dxa"/>
            <w:gridSpan w:val="2"/>
            <w:tcBorders>
              <w:top w:val="nil"/>
              <w:bottom w:val="nil"/>
              <w:right w:val="nil"/>
            </w:tcBorders>
            <w:shd w:val="clear" w:color="auto" w:fill="auto"/>
          </w:tcPr>
          <w:p w:rsidR="0017135D" w:rsidRPr="00094377" w:rsidP="000C557A">
            <w:pPr>
              <w:pStyle w:val="CSManNum8pt"/>
              <w:rPr>
                <w:i/>
              </w:rPr>
            </w:pPr>
          </w:p>
        </w:tc>
        <w:tc>
          <w:tcPr>
            <w:tcW w:w="3318" w:type="dxa"/>
            <w:tcBorders>
              <w:top w:val="nil"/>
              <w:left w:val="nil"/>
              <w:bottom w:val="nil"/>
              <w:right w:val="nil"/>
            </w:tcBorders>
            <w:shd w:val="clear" w:color="auto" w:fill="auto"/>
          </w:tcPr>
          <w:p w:rsidR="0017135D" w:rsidRPr="00094377" w:rsidP="004C1EBA">
            <w:pPr>
              <w:pStyle w:val="CSManNum8pt"/>
              <w:rPr>
                <w:bCs/>
                <w:lang w:val="de-DE"/>
              </w:rPr>
            </w:pPr>
            <w:r w:rsidRPr="00094377">
              <w:rPr>
                <w:bCs/>
                <w:lang w:val="de-DE"/>
              </w:rPr>
              <w:t>(d)</w:t>
            </w:r>
            <w:r w:rsidRPr="00094377">
              <w:rPr>
                <w:bCs/>
                <w:lang w:val="de-DE"/>
              </w:rPr>
              <w:tab/>
              <w:t xml:space="preserve">Hinsichtlich der Anwendung der </w:t>
            </w:r>
            <w:r w:rsidRPr="00792D61">
              <w:rPr>
                <w:b/>
                <w:bCs/>
                <w:lang w:val="de-DE"/>
              </w:rPr>
              <w:t>[</w:t>
            </w:r>
            <w:r w:rsidRPr="000C557A">
              <w:rPr>
                <w:b/>
                <w:bCs/>
                <w:i/>
                <w:lang w:val="de-DE"/>
              </w:rPr>
              <w:t xml:space="preserve">falls Verbindlichkeitenmerkmale anwendbar sind, einfügen: </w:t>
            </w:r>
            <w:r w:rsidRPr="00094377">
              <w:rPr>
                <w:bCs/>
                <w:lang w:val="de-DE"/>
              </w:rPr>
              <w:t>Verbindlichkeitenmerkmale oder der</w:t>
            </w:r>
            <w:r w:rsidRPr="00792D61">
              <w:rPr>
                <w:b/>
                <w:bCs/>
                <w:lang w:val="de-DE"/>
              </w:rPr>
              <w:t>]</w:t>
            </w:r>
            <w:r w:rsidRPr="00094377">
              <w:rPr>
                <w:bCs/>
                <w:lang w:val="de-DE"/>
              </w:rPr>
              <w:t xml:space="preserve"> Merkmale der Bewertungsverbindlichkeit gilt: Nur die Zugrundeliegende Verbindlichkeit muss an dem jeweiligen Tag bzw. den jeweiligen Tagen jedes der nachfolgend aufgeführten anwendbaren </w:t>
            </w:r>
            <w:r w:rsidRPr="00792D61">
              <w:rPr>
                <w:b/>
                <w:bCs/>
                <w:lang w:val="de-DE"/>
              </w:rPr>
              <w:t>[</w:t>
            </w:r>
            <w:r w:rsidRPr="000C557A">
              <w:rPr>
                <w:b/>
                <w:bCs/>
                <w:i/>
                <w:lang w:val="de-DE"/>
              </w:rPr>
              <w:t>falls Verbindlichkeitenmerkmale anwendbar sind, einfügen:</w:t>
            </w:r>
            <w:r w:rsidRPr="00094377">
              <w:rPr>
                <w:bCs/>
                <w:lang w:val="de-DE"/>
              </w:rPr>
              <w:t xml:space="preserve"> Verbindlichkeitenmerkmale oder</w:t>
            </w:r>
            <w:r w:rsidRPr="00792D61">
              <w:rPr>
                <w:b/>
                <w:bCs/>
                <w:lang w:val="de-DE"/>
              </w:rPr>
              <w:t>]</w:t>
            </w:r>
            <w:r w:rsidRPr="00094377">
              <w:rPr>
                <w:bCs/>
                <w:lang w:val="de-DE"/>
              </w:rPr>
              <w:t xml:space="preserve"> Merkmale der Bewertungsverbindlichkeit erfüllen, das in Ziffer 1.1 angegeben ist: </w:t>
            </w:r>
            <w:r w:rsidRPr="00792D61">
              <w:rPr>
                <w:b/>
                <w:bCs/>
                <w:lang w:val="de-DE"/>
              </w:rPr>
              <w:t>[</w:t>
            </w:r>
            <w:r w:rsidRPr="00094377">
              <w:rPr>
                <w:bCs/>
                <w:lang w:val="de-DE"/>
              </w:rPr>
              <w:t>"Börsennotiert"</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"Keine Inlandsemission"</w:t>
            </w:r>
            <w:r w:rsidRPr="00792D61">
              <w:rPr>
                <w:b/>
                <w:bCs/>
                <w:lang w:val="de-DE"/>
              </w:rPr>
              <w:t>]</w:t>
            </w:r>
            <w:r w:rsidRPr="00094377">
              <w:rPr>
                <w:bCs/>
                <w:lang w:val="de-DE"/>
              </w:rPr>
              <w:t xml:space="preserve"> </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"Abtretbares Darlehen"</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 xml:space="preserve"> </w:t>
            </w:r>
            <w:r w:rsidRPr="00792D61">
              <w:rPr>
                <w:b/>
                <w:bCs/>
                <w:lang w:val="de-DE"/>
              </w:rPr>
              <w:t>[</w:t>
            </w:r>
            <w:r w:rsidRPr="00094377">
              <w:rPr>
                <w:bCs/>
                <w:lang w:val="de-DE"/>
              </w:rPr>
              <w:t>"Darlehen mit Zustimmungserfordernis"</w:t>
            </w:r>
            <w:r w:rsidRPr="00792D61">
              <w:rPr>
                <w:b/>
                <w:bCs/>
                <w:lang w:val="de-DE"/>
              </w:rPr>
              <w:t>]</w:t>
            </w:r>
            <w:r w:rsidRPr="00094377">
              <w:rPr>
                <w:bCs/>
                <w:lang w:val="de-DE"/>
              </w:rPr>
              <w:t xml:space="preserve"> </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"Übertragbar"</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 xml:space="preserve"> </w:t>
            </w:r>
            <w:r w:rsidRPr="00792D61">
              <w:rPr>
                <w:b/>
                <w:bCs/>
                <w:lang w:val="de-DE"/>
              </w:rPr>
              <w:t>[</w:t>
            </w:r>
            <w:r w:rsidRPr="00094377">
              <w:rPr>
                <w:bCs/>
                <w:lang w:val="de-DE"/>
              </w:rPr>
              <w:t>"Höchstlaufzeit"</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"Fälliggestellt oder Abgelaufen"</w:t>
            </w:r>
            <w:r w:rsidRPr="00792D61">
              <w:rPr>
                <w:b/>
                <w:bCs/>
                <w:lang w:val="de-DE"/>
              </w:rPr>
              <w:t>]</w:t>
            </w:r>
            <w:r w:rsidRPr="00094377">
              <w:rPr>
                <w:bCs/>
                <w:lang w:val="de-DE"/>
              </w:rPr>
              <w:t xml:space="preserve"> </w:t>
            </w:r>
            <w:r w:rsidRPr="00792D61">
              <w:rPr>
                <w:b/>
                <w:bCs/>
                <w:lang w:val="de-DE"/>
              </w:rPr>
              <w:t>[</w:t>
            </w:r>
            <w:r w:rsidRPr="00094377">
              <w:rPr>
                <w:bCs/>
                <w:lang w:val="de-DE"/>
              </w:rPr>
              <w:t>,</w:t>
            </w:r>
            <w:r w:rsidRPr="00792D61">
              <w:rPr>
                <w:b/>
                <w:bCs/>
                <w:lang w:val="de-DE"/>
              </w:rPr>
              <w:t>][</w:t>
            </w:r>
            <w:r w:rsidRPr="00094377">
              <w:rPr>
                <w:bCs/>
                <w:lang w:val="de-DE"/>
              </w:rPr>
              <w:t>und</w:t>
            </w:r>
            <w:r w:rsidRPr="00792D61">
              <w:rPr>
                <w:b/>
                <w:bCs/>
                <w:lang w:val="de-DE"/>
              </w:rPr>
              <w:t>]</w:t>
            </w:r>
            <w:r w:rsidRPr="00094377">
              <w:rPr>
                <w:bCs/>
                <w:lang w:val="de-DE"/>
              </w:rPr>
              <w:t xml:space="preserve"> </w:t>
            </w:r>
            <w:r w:rsidRPr="00792D61">
              <w:rPr>
                <w:b/>
                <w:bCs/>
                <w:lang w:val="de-DE"/>
              </w:rPr>
              <w:t>[</w:t>
            </w:r>
            <w:r w:rsidRPr="00094377">
              <w:rPr>
                <w:bCs/>
                <w:lang w:val="de-DE"/>
              </w:rPr>
              <w:t>"Kein Inhaberpapier"</w:t>
            </w:r>
            <w:r w:rsidRPr="00792D61">
              <w:rPr>
                <w:b/>
                <w:bCs/>
                <w:lang w:val="de-DE"/>
              </w:rPr>
              <w:t>]</w:t>
            </w:r>
            <w:r w:rsidRPr="00094377">
              <w:rPr>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ManNum8pt"/>
              <w:rPr>
                <w:lang w:val="de-DE"/>
              </w:rPr>
            </w:pPr>
          </w:p>
        </w:tc>
        <w:tc>
          <w:tcPr>
            <w:tcW w:w="3315" w:type="dxa"/>
            <w:gridSpan w:val="2"/>
            <w:tcBorders>
              <w:top w:val="nil"/>
              <w:left w:val="nil"/>
              <w:bottom w:val="nil"/>
            </w:tcBorders>
            <w:shd w:val="clear" w:color="auto" w:fill="auto"/>
          </w:tcPr>
          <w:p w:rsidR="0017135D" w:rsidRPr="00942F00" w:rsidP="009D1C9F">
            <w:pPr>
              <w:pStyle w:val="CSManNum8pt"/>
            </w:pPr>
            <w:r w:rsidRPr="00942F00">
              <w:t>(e)</w:t>
            </w:r>
            <w:r w:rsidRPr="00942F00">
              <w:tab/>
              <w:t xml:space="preserve">For purposes of the application of </w:t>
            </w:r>
            <w:r w:rsidRPr="00942F00">
              <w:rPr>
                <w:b/>
              </w:rPr>
              <w:t>[</w:t>
            </w:r>
            <w:r w:rsidRPr="00942F00">
              <w:rPr>
                <w:b/>
                <w:i/>
              </w:rPr>
              <w:t xml:space="preserve">if Obligation Characteristics are applicable, insert: </w:t>
            </w:r>
            <w:r w:rsidRPr="00942F00">
              <w:t>the Obligation Characteristics or</w:t>
            </w:r>
            <w:r w:rsidRPr="00942F00">
              <w:rPr>
                <w:b/>
              </w:rPr>
              <w:t>]</w:t>
            </w:r>
            <w:r w:rsidRPr="00942F00">
              <w:t xml:space="preserve"> the Valuation Obligation Characteristics to an Underlying Obligation, references to </w:t>
            </w:r>
            <w:r w:rsidRPr="00942F00">
              <w:rPr>
                <w:b/>
              </w:rPr>
              <w:t>[</w:t>
            </w:r>
            <w:r w:rsidRPr="00942F00">
              <w:rPr>
                <w:b/>
                <w:i/>
              </w:rPr>
              <w:t>if a Complex Product is only linked to one Reference Entity, insert:</w:t>
            </w:r>
            <w:r w:rsidRPr="00942F00">
              <w:t xml:space="preserve"> the</w:t>
            </w:r>
            <w:r w:rsidRPr="00942F00">
              <w:rPr>
                <w:b/>
              </w:rPr>
              <w:t>][</w:t>
            </w:r>
            <w:r w:rsidRPr="00942F00">
              <w:rPr>
                <w:b/>
                <w:i/>
              </w:rPr>
              <w:t>if a Basket is applicable or in the case of Complex Products with N</w:t>
            </w:r>
            <w:r w:rsidRPr="00BD6E0D">
              <w:rPr>
                <w:b/>
                <w:i/>
                <w:vertAlign w:val="superscript"/>
              </w:rPr>
              <w:t>th</w:t>
            </w:r>
            <w:r w:rsidRPr="00942F00">
              <w:rPr>
                <w:b/>
                <w:i/>
              </w:rPr>
              <w:t>-to-Default structure, insert</w:t>
            </w:r>
            <w:r w:rsidRPr="00942F00">
              <w:t>: a</w:t>
            </w:r>
            <w:r w:rsidRPr="00942F00">
              <w:rPr>
                <w:b/>
              </w:rPr>
              <w:t>]</w:t>
            </w:r>
            <w:r w:rsidRPr="00942F00">
              <w:t xml:space="preserve"> Reference Entity shall be deemed to refer to the </w:t>
            </w:r>
            <w:r w:rsidRPr="00942F00">
              <w:rPr>
                <w:b/>
              </w:rPr>
              <w:t>[</w:t>
            </w:r>
            <w:r w:rsidRPr="00942F00">
              <w:t>relevant</w:t>
            </w:r>
            <w:r w:rsidRPr="00942F00">
              <w:rPr>
                <w:b/>
              </w:rPr>
              <w:t>]</w:t>
            </w:r>
            <w:r w:rsidRPr="00942F00">
              <w:t xml:space="preserve"> Underlying Obligor.</w:t>
            </w:r>
          </w:p>
        </w:tc>
        <w:tc>
          <w:tcPr>
            <w:tcW w:w="1618" w:type="dxa"/>
            <w:gridSpan w:val="2"/>
            <w:tcBorders>
              <w:top w:val="nil"/>
              <w:bottom w:val="nil"/>
              <w:right w:val="nil"/>
            </w:tcBorders>
            <w:shd w:val="clear" w:color="auto" w:fill="auto"/>
          </w:tcPr>
          <w:p w:rsidR="0017135D" w:rsidRPr="00942F00" w:rsidP="000C557A">
            <w:pPr>
              <w:pStyle w:val="CSManNum8pt"/>
              <w:rPr>
                <w:i/>
              </w:rPr>
            </w:pPr>
          </w:p>
        </w:tc>
        <w:tc>
          <w:tcPr>
            <w:tcW w:w="3318" w:type="dxa"/>
            <w:tcBorders>
              <w:top w:val="nil"/>
              <w:left w:val="nil"/>
              <w:bottom w:val="nil"/>
              <w:right w:val="nil"/>
            </w:tcBorders>
            <w:shd w:val="clear" w:color="auto" w:fill="auto"/>
          </w:tcPr>
          <w:p w:rsidR="0017135D" w:rsidRPr="00094377" w:rsidP="004C1EBA">
            <w:pPr>
              <w:pStyle w:val="CSManNum8pt"/>
              <w:rPr>
                <w:bCs/>
                <w:lang w:val="de-DE"/>
              </w:rPr>
            </w:pPr>
            <w:r w:rsidRPr="00942F00">
              <w:rPr>
                <w:bCs/>
                <w:lang w:val="de-DE"/>
              </w:rPr>
              <w:t>(e)</w:t>
            </w:r>
            <w:r w:rsidRPr="00942F00">
              <w:rPr>
                <w:bCs/>
                <w:lang w:val="de-DE"/>
              </w:rPr>
              <w:tab/>
              <w:t xml:space="preserve">Hinsichtlich der Anwendung der </w:t>
            </w:r>
            <w:r w:rsidRPr="00942F00">
              <w:rPr>
                <w:b/>
                <w:bCs/>
                <w:lang w:val="de-DE"/>
              </w:rPr>
              <w:t>[</w:t>
            </w:r>
            <w:r w:rsidRPr="00942F00">
              <w:rPr>
                <w:b/>
                <w:bCs/>
                <w:i/>
                <w:lang w:val="de-DE"/>
              </w:rPr>
              <w:t>falls Verbindlichkeitenmerkmale anwendbar sind, einfügen:</w:t>
            </w:r>
            <w:r w:rsidRPr="00942F00">
              <w:rPr>
                <w:bCs/>
                <w:lang w:val="de-DE"/>
              </w:rPr>
              <w:t xml:space="preserve"> Verbindlichkeitenmerkmale oder der</w:t>
            </w:r>
            <w:r w:rsidRPr="00942F00">
              <w:rPr>
                <w:b/>
                <w:bCs/>
                <w:lang w:val="de-DE"/>
              </w:rPr>
              <w:t>]</w:t>
            </w:r>
            <w:r w:rsidRPr="00942F00">
              <w:rPr>
                <w:bCs/>
                <w:lang w:val="de-DE"/>
              </w:rPr>
              <w:t xml:space="preserve"> Merkmale der Bewertungsverbindlichkeit auf eine Zugrundeliegende Verbindlichkeit sind Bezugnahmen auf </w:t>
            </w:r>
            <w:r w:rsidRPr="00942F00">
              <w:rPr>
                <w:b/>
                <w:bCs/>
                <w:lang w:val="de-DE"/>
              </w:rPr>
              <w:t>[</w:t>
            </w:r>
            <w:r w:rsidRPr="00942F00">
              <w:rPr>
                <w:b/>
                <w:bCs/>
                <w:i/>
                <w:lang w:val="de-DE"/>
              </w:rPr>
              <w:t>falls ein Komplexes Produkt nur an einen Referenzschuldner gekoppelt ist, einfügen:</w:t>
            </w:r>
            <w:r w:rsidRPr="00942F00">
              <w:rPr>
                <w:bCs/>
                <w:lang w:val="de-DE"/>
              </w:rPr>
              <w:t xml:space="preserve"> den</w:t>
            </w:r>
            <w:r w:rsidRPr="00942F00">
              <w:rPr>
                <w:b/>
                <w:bCs/>
                <w:lang w:val="de-DE"/>
              </w:rPr>
              <w:t>][</w:t>
            </w:r>
            <w:r w:rsidRPr="00942F00">
              <w:rPr>
                <w:b/>
                <w:bCs/>
                <w:i/>
                <w:lang w:val="de-DE"/>
              </w:rPr>
              <w:t>falls ein Korb anwendbar ist oder bei Komplexen Produkten mit N</w:t>
            </w:r>
            <w:r w:rsidRPr="00BD6E0D">
              <w:rPr>
                <w:b/>
                <w:i/>
                <w:vertAlign w:val="superscript"/>
                <w:lang w:val="de-DE"/>
              </w:rPr>
              <w:t>th</w:t>
            </w:r>
            <w:r w:rsidRPr="00942F00">
              <w:rPr>
                <w:b/>
                <w:bCs/>
                <w:i/>
                <w:lang w:val="de-DE"/>
              </w:rPr>
              <w:t xml:space="preserve">-to-Default-Struktur, einfügen: </w:t>
            </w:r>
            <w:r w:rsidRPr="00942F00">
              <w:rPr>
                <w:bCs/>
                <w:lang w:val="de-DE"/>
              </w:rPr>
              <w:t>einen</w:t>
            </w:r>
            <w:r w:rsidRPr="00942F00">
              <w:rPr>
                <w:b/>
                <w:bCs/>
                <w:lang w:val="de-DE"/>
              </w:rPr>
              <w:t>]</w:t>
            </w:r>
            <w:r w:rsidRPr="00942F00">
              <w:rPr>
                <w:bCs/>
                <w:lang w:val="de-DE"/>
              </w:rPr>
              <w:t xml:space="preserve"> Referenzschuldner als Bezugnahmen auf den </w:t>
            </w:r>
            <w:r w:rsidRPr="00942F00">
              <w:rPr>
                <w:b/>
                <w:bCs/>
                <w:lang w:val="de-DE"/>
              </w:rPr>
              <w:t>[</w:t>
            </w:r>
            <w:r w:rsidRPr="00942F00">
              <w:rPr>
                <w:bCs/>
                <w:lang w:val="de-DE"/>
              </w:rPr>
              <w:t>jeweiligen</w:t>
            </w:r>
            <w:r w:rsidRPr="00942F00">
              <w:rPr>
                <w:b/>
                <w:bCs/>
                <w:lang w:val="de-DE"/>
              </w:rPr>
              <w:t>]</w:t>
            </w:r>
            <w:r w:rsidRPr="00942F00">
              <w:rPr>
                <w:bCs/>
                <w:lang w:val="de-DE"/>
              </w:rPr>
              <w:t xml:space="preserve"> Zugrundeliegenden Schuldner zu verstehen.</w:t>
            </w:r>
          </w:p>
        </w:tc>
      </w:tr>
      <w:tr w:rsidTr="004C1EBA">
        <w:tblPrEx>
          <w:tblW w:w="4999" w:type="pct"/>
          <w:tblLayout w:type="fixed"/>
          <w:tblCellMar>
            <w:left w:w="115" w:type="dxa"/>
            <w:right w:w="115" w:type="dxa"/>
          </w:tblCellMar>
          <w:tblLook w:val="04A0"/>
        </w:tblPrEx>
        <w:trPr>
          <w:trHeight w:val="5276"/>
        </w:trPr>
        <w:tc>
          <w:tcPr>
            <w:tcW w:w="1616" w:type="dxa"/>
            <w:gridSpan w:val="3"/>
            <w:tcBorders>
              <w:top w:val="nil"/>
              <w:left w:val="nil"/>
              <w:right w:val="nil"/>
            </w:tcBorders>
            <w:shd w:val="clear" w:color="auto" w:fill="auto"/>
          </w:tcPr>
          <w:p w:rsidR="0017135D" w:rsidRPr="00094377" w:rsidP="000C557A">
            <w:pPr>
              <w:pStyle w:val="CSBody8ptbolditalics"/>
            </w:pPr>
            <w:r w:rsidRPr="00792D61">
              <w:t>[</w:t>
            </w:r>
            <w:r w:rsidRPr="00094377">
              <w:t xml:space="preserve">if </w:t>
            </w:r>
            <w:r w:rsidRPr="003F3197">
              <w:t>"</w:t>
            </w:r>
            <w:r>
              <w:t>Asset Package Valuation</w:t>
            </w:r>
            <w:r w:rsidRPr="003F3197">
              <w:t>"</w:t>
            </w:r>
            <w:r w:rsidRPr="00094377">
              <w:t xml:space="preserve"> is applicable, insert:</w:t>
            </w:r>
          </w:p>
          <w:p w:rsidR="0017135D" w:rsidRPr="00094377" w:rsidP="000C557A">
            <w:pPr>
              <w:pStyle w:val="CSBody8pt"/>
            </w:pPr>
            <w:r w:rsidRPr="008D3BF6">
              <w:t>Relevant Holder</w:t>
            </w:r>
            <w:r>
              <w:fldChar w:fldCharType="begin"/>
            </w:r>
            <w:r>
              <w:instrText xml:space="preserve"> XE "</w:instrText>
            </w:r>
            <w:r w:rsidRPr="00C62F4D">
              <w:instrText>Relevant Holder</w:instrText>
            </w:r>
            <w:r>
              <w:instrText xml:space="preserve">" \f "EN" </w:instrText>
            </w:r>
            <w:r>
              <w:fldChar w:fldCharType="end"/>
            </w:r>
          </w:p>
        </w:tc>
        <w:tc>
          <w:tcPr>
            <w:tcW w:w="3315" w:type="dxa"/>
            <w:gridSpan w:val="2"/>
            <w:tcBorders>
              <w:top w:val="nil"/>
              <w:left w:val="nil"/>
            </w:tcBorders>
            <w:shd w:val="clear" w:color="auto" w:fill="auto"/>
          </w:tcPr>
          <w:p w:rsidR="0017135D" w:rsidRPr="00094377" w:rsidP="000C557A">
            <w:pPr>
              <w:pStyle w:val="CSBody8pt"/>
            </w:pPr>
            <w:r w:rsidRPr="00094377">
              <w:t xml:space="preserve">a holder of the </w:t>
            </w:r>
            <w:r w:rsidRPr="00792D61">
              <w:rPr>
                <w:b/>
              </w:rPr>
              <w:t>[</w:t>
            </w:r>
            <w:r w:rsidRPr="000C557A">
              <w:rPr>
                <w:b/>
                <w:i/>
              </w:rPr>
              <w:t>if "Financial Reference Entity Terms" is applicable, insert:</w:t>
            </w:r>
            <w:r w:rsidRPr="00094377">
              <w:t xml:space="preserve"> Prior Valuation Obligation</w:t>
            </w:r>
            <w:r w:rsidRPr="00792D61">
              <w:rPr>
                <w:b/>
              </w:rPr>
              <w:t>]</w:t>
            </w:r>
            <w:r w:rsidRPr="00094377">
              <w:t xml:space="preserve"> </w:t>
            </w:r>
            <w:r w:rsidRPr="00792D61">
              <w:rPr>
                <w:b/>
              </w:rPr>
              <w:t>[</w:t>
            </w:r>
            <w:r w:rsidRPr="00094377">
              <w:t>or the</w:t>
            </w:r>
            <w:r w:rsidRPr="00792D61">
              <w:rPr>
                <w:b/>
              </w:rPr>
              <w:t>][</w:t>
            </w:r>
            <w:r w:rsidRPr="000C557A">
              <w:rPr>
                <w:b/>
                <w:i/>
              </w:rPr>
              <w:t>if a Reference Entity is a Sovereign, insert</w:t>
            </w:r>
            <w:r w:rsidRPr="00094377">
              <w:t>: Package Observable Bond</w:t>
            </w:r>
            <w:r w:rsidRPr="00792D61">
              <w:rPr>
                <w:b/>
              </w:rPr>
              <w:t>][</w:t>
            </w:r>
            <w:r w:rsidRPr="00094377">
              <w:t>, as the case may be,</w:t>
            </w:r>
            <w:r w:rsidRPr="00792D61">
              <w:rPr>
                <w:b/>
              </w:rPr>
              <w:t>]</w:t>
            </w:r>
            <w:r w:rsidRPr="00094377">
              <w:t xml:space="preserve"> with an Outstanding Principal Balance or Due and Payable Amount, as applicable, immediately prior to the relevant Asset Package Credit Event, </w:t>
            </w:r>
            <w:r w:rsidRPr="00EB3849">
              <w:t xml:space="preserve">that is equal to or higher than the Denomination of the Complex Products and equal to or lower than the Issue Size </w:t>
            </w:r>
            <w:r w:rsidRPr="00094377">
              <w:t>of the Complex Products.</w:t>
            </w:r>
            <w:r w:rsidRPr="00792D61">
              <w:rPr>
                <w:b/>
              </w:rPr>
              <w:t>]</w:t>
            </w:r>
          </w:p>
        </w:tc>
        <w:tc>
          <w:tcPr>
            <w:tcW w:w="1618" w:type="dxa"/>
            <w:gridSpan w:val="2"/>
            <w:tcBorders>
              <w:top w:val="nil"/>
              <w:right w:val="nil"/>
            </w:tcBorders>
            <w:shd w:val="clear" w:color="auto" w:fill="auto"/>
          </w:tcPr>
          <w:p w:rsidR="0017135D" w:rsidRPr="00094377" w:rsidP="000C557A">
            <w:pPr>
              <w:pStyle w:val="CSBody8ptbolditalics"/>
              <w:rPr>
                <w:lang w:val="de-DE"/>
              </w:rPr>
            </w:pPr>
            <w:r w:rsidRPr="00792D61">
              <w:rPr>
                <w:lang w:val="de-DE"/>
              </w:rPr>
              <w:t>[</w:t>
            </w:r>
            <w:r w:rsidRPr="00094377">
              <w:rPr>
                <w:lang w:val="de-DE"/>
              </w:rPr>
              <w:t>falls</w:t>
            </w:r>
            <w:r>
              <w:rPr>
                <w:lang w:val="de-DE"/>
              </w:rPr>
              <w:t xml:space="preserve"> </w:t>
            </w:r>
            <w:r w:rsidR="003B00F3">
              <w:rPr>
                <w:lang w:val="de-DE"/>
              </w:rPr>
              <w:t>"</w:t>
            </w:r>
            <w:r>
              <w:rPr>
                <w:lang w:val="de-DE"/>
              </w:rPr>
              <w:t>Asset-Paket Bewertung</w:t>
            </w:r>
            <w:r w:rsidR="003B00F3">
              <w:rPr>
                <w:lang w:val="de-DE"/>
              </w:rPr>
              <w:t>"</w:t>
            </w:r>
            <w:r w:rsidRPr="00094377">
              <w:rPr>
                <w:lang w:val="de-DE"/>
              </w:rPr>
              <w:t xml:space="preserve"> anwendbar ist, einfügen:</w:t>
            </w:r>
          </w:p>
          <w:p w:rsidR="0017135D" w:rsidRPr="00094377" w:rsidP="000C557A">
            <w:pPr>
              <w:pStyle w:val="CSBody8pt"/>
              <w:rPr>
                <w:lang w:val="de-DE"/>
              </w:rPr>
            </w:pPr>
            <w:r w:rsidRPr="008D3BF6">
              <w:t>Massgeblicher Inhaber</w:t>
            </w:r>
            <w:r>
              <w:fldChar w:fldCharType="begin"/>
            </w:r>
            <w:r>
              <w:instrText xml:space="preserve"> XE "</w:instrText>
            </w:r>
            <w:r w:rsidRPr="002F56EF">
              <w:instrText>Massgeblicher Inhaber</w:instrText>
            </w:r>
            <w:r>
              <w:instrText xml:space="preserve">" </w:instrText>
            </w:r>
            <w:r>
              <w:fldChar w:fldCharType="end"/>
            </w:r>
            <w:r>
              <w:fldChar w:fldCharType="begin"/>
            </w:r>
            <w:r>
              <w:instrText xml:space="preserve"> XE "</w:instrText>
            </w:r>
            <w:r w:rsidRPr="002F56EF">
              <w:instrText>Massgeblicher Inhaber</w:instrText>
            </w:r>
            <w:r>
              <w:instrText xml:space="preserve">" </w:instrText>
            </w:r>
            <w:r>
              <w:fldChar w:fldCharType="end"/>
            </w:r>
          </w:p>
        </w:tc>
        <w:tc>
          <w:tcPr>
            <w:tcW w:w="3318" w:type="dxa"/>
            <w:tcBorders>
              <w:top w:val="nil"/>
              <w:left w:val="nil"/>
              <w:right w:val="nil"/>
            </w:tcBorders>
            <w:shd w:val="clear" w:color="auto" w:fill="auto"/>
          </w:tcPr>
          <w:p w:rsidR="0017135D" w:rsidRPr="00094377" w:rsidP="004C1EBA">
            <w:pPr>
              <w:pStyle w:val="CSBody8pt"/>
              <w:rPr>
                <w:bCs/>
                <w:lang w:val="de-DE"/>
              </w:rPr>
            </w:pPr>
            <w:r w:rsidRPr="00094377">
              <w:rPr>
                <w:bCs/>
                <w:lang w:val="de-DE"/>
              </w:rPr>
              <w:t xml:space="preserve">ein Inhaber der </w:t>
            </w:r>
            <w:r w:rsidRPr="00792D61">
              <w:rPr>
                <w:b/>
                <w:bCs/>
                <w:lang w:val="de-DE"/>
              </w:rPr>
              <w:t>[</w:t>
            </w:r>
            <w:r w:rsidRPr="000C557A">
              <w:rPr>
                <w:b/>
                <w:bCs/>
                <w:i/>
                <w:lang w:val="de-DE"/>
              </w:rPr>
              <w:t xml:space="preserve">falls "Bedingungen für Finanzinstitute als Referenzschuldner" anwendba ist, einfügen: </w:t>
            </w:r>
            <w:r w:rsidRPr="00094377">
              <w:rPr>
                <w:bCs/>
                <w:lang w:val="de-DE"/>
              </w:rPr>
              <w:t>Früheren Bewertungsverbindlichkeit</w:t>
            </w:r>
            <w:r w:rsidRPr="00792D61">
              <w:rPr>
                <w:b/>
                <w:bCs/>
                <w:lang w:val="de-DE"/>
              </w:rPr>
              <w:t>]</w:t>
            </w:r>
            <w:r w:rsidRPr="00094377">
              <w:rPr>
                <w:bCs/>
                <w:lang w:val="de-DE"/>
              </w:rPr>
              <w:t xml:space="preserve"> </w:t>
            </w:r>
            <w:r w:rsidRPr="00792D61">
              <w:rPr>
                <w:b/>
                <w:bCs/>
                <w:lang w:val="de-DE"/>
              </w:rPr>
              <w:t>[</w:t>
            </w:r>
            <w:r w:rsidRPr="00094377">
              <w:rPr>
                <w:bCs/>
                <w:lang w:val="de-DE"/>
              </w:rPr>
              <w:t>bzw. der</w:t>
            </w:r>
            <w:r w:rsidRPr="00792D61">
              <w:rPr>
                <w:b/>
                <w:bCs/>
                <w:lang w:val="de-DE"/>
              </w:rPr>
              <w:t>][</w:t>
            </w:r>
            <w:r w:rsidRPr="000C557A">
              <w:rPr>
                <w:b/>
                <w:bCs/>
                <w:i/>
                <w:lang w:val="de-DE"/>
              </w:rPr>
              <w:t>falls ein Referenzschuldner ein Staat ist, einfügen:</w:t>
            </w:r>
            <w:r w:rsidRPr="00094377">
              <w:rPr>
                <w:bCs/>
                <w:lang w:val="de-DE"/>
              </w:rPr>
              <w:t xml:space="preserve"> Paketrelevanten Anleihe</w:t>
            </w:r>
            <w:r w:rsidRPr="00792D61">
              <w:rPr>
                <w:b/>
                <w:bCs/>
                <w:lang w:val="de-DE"/>
              </w:rPr>
              <w:t>]</w:t>
            </w:r>
            <w:r w:rsidRPr="00094377">
              <w:rPr>
                <w:bCs/>
                <w:lang w:val="de-DE"/>
              </w:rPr>
              <w:t xml:space="preserve"> mit einem Ausstehenden </w:t>
            </w:r>
            <w:r>
              <w:rPr>
                <w:bCs/>
                <w:lang w:val="de-DE"/>
              </w:rPr>
              <w:t>Kapitalbetrag</w:t>
            </w:r>
            <w:r w:rsidRPr="00094377">
              <w:rPr>
                <w:bCs/>
                <w:lang w:val="de-DE"/>
              </w:rPr>
              <w:t xml:space="preserve"> oder einem Fälligen und Zahlbaren Betrag unmittelbar vor dem massgeblichen Kreditereignis mit Asset-Paket</w:t>
            </w:r>
            <w:r w:rsidRPr="00EB3849">
              <w:rPr>
                <w:bCs/>
                <w:lang w:val="de-DE"/>
              </w:rPr>
              <w:t>, der grö</w:t>
            </w:r>
            <w:r w:rsidR="001E4CCF">
              <w:rPr>
                <w:bCs/>
                <w:lang w:val="de-DE"/>
              </w:rPr>
              <w:t>ss</w:t>
            </w:r>
            <w:r w:rsidRPr="00EB3849">
              <w:rPr>
                <w:bCs/>
                <w:lang w:val="de-DE"/>
              </w:rPr>
              <w:t>er oder gleich der Stückelung der Komplexen Produkte und kleiner oder gleich dem Emissionsvolumen der Komplexen Produkte ist</w:t>
            </w:r>
            <w:r>
              <w:rPr>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8D3BF6" w:rsidP="000C557A">
            <w:pPr>
              <w:pStyle w:val="CSBody8pt"/>
            </w:pPr>
            <w:r w:rsidRPr="008D3BF6">
              <w:t>Relevant Obligations</w:t>
            </w:r>
            <w:r>
              <w:fldChar w:fldCharType="begin"/>
            </w:r>
            <w:r>
              <w:instrText xml:space="preserve"> XE "</w:instrText>
            </w:r>
            <w:r w:rsidRPr="009613E8">
              <w:instrText>Relevant Obligations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8D3BF6" w:rsidP="000C557A">
            <w:pPr>
              <w:pStyle w:val="CSBody8pt"/>
            </w:pPr>
            <w:r w:rsidRPr="008D3BF6">
              <w:t xml:space="preserve">the Obligations of </w:t>
            </w:r>
            <w:r w:rsidRPr="00792D61">
              <w:rPr>
                <w:b/>
              </w:rPr>
              <w:t>[</w:t>
            </w:r>
            <w:r w:rsidRPr="00BD6E0D">
              <w:rPr>
                <w:b/>
                <w:i/>
              </w:rPr>
              <w:t>if a Complex Product is only linked to one Reference Entity, insert:</w:t>
            </w:r>
            <w:r w:rsidRPr="008D3BF6">
              <w:t xml:space="preserve"> the</w:t>
            </w:r>
            <w:r w:rsidRPr="00792D61">
              <w:rPr>
                <w:b/>
              </w:rPr>
              <w:t>][</w:t>
            </w:r>
            <w:r w:rsidRPr="008D3BF6">
              <w:rPr>
                <w:b/>
                <w:i/>
              </w:rPr>
              <w:t>if a Basket is applicable or in the case of Complex Products with N</w:t>
            </w:r>
            <w:r w:rsidRPr="00BD6E0D">
              <w:rPr>
                <w:b/>
                <w:i/>
                <w:vertAlign w:val="superscript"/>
              </w:rPr>
              <w:t>th</w:t>
            </w:r>
            <w:r w:rsidRPr="008D3BF6">
              <w:rPr>
                <w:b/>
                <w:i/>
              </w:rPr>
              <w:t>-to-Default structure, insert</w:t>
            </w:r>
            <w:r w:rsidRPr="008D3BF6">
              <w:t>: a</w:t>
            </w:r>
            <w:r w:rsidRPr="00792D61">
              <w:rPr>
                <w:b/>
              </w:rPr>
              <w:t>]</w:t>
            </w:r>
            <w:r w:rsidRPr="008D3BF6">
              <w:t xml:space="preserve"> Reference Entity which fall within the Obligation Category "Bond or Loan" and which are outstanding immediately prior to the Succession Date (or, if there is a Steps Plan, immediately prior to the legally effective date of the first succession), provided that:</w:t>
            </w:r>
          </w:p>
        </w:tc>
        <w:tc>
          <w:tcPr>
            <w:tcW w:w="1618" w:type="dxa"/>
            <w:gridSpan w:val="2"/>
            <w:tcBorders>
              <w:top w:val="nil"/>
              <w:bottom w:val="nil"/>
              <w:right w:val="nil"/>
            </w:tcBorders>
            <w:shd w:val="clear" w:color="auto" w:fill="auto"/>
          </w:tcPr>
          <w:p w:rsidR="0017135D" w:rsidRPr="008D3BF6" w:rsidP="000C557A">
            <w:pPr>
              <w:pStyle w:val="CSBody8pt"/>
            </w:pPr>
            <w:r w:rsidRPr="008D3BF6">
              <w:t>Massgebliche Verbindlichkeiten</w:t>
            </w:r>
            <w:r>
              <w:fldChar w:fldCharType="begin"/>
            </w:r>
            <w:r>
              <w:instrText xml:space="preserve"> XE "</w:instrText>
            </w:r>
            <w:r w:rsidRPr="004077E7">
              <w:instrText>Massgebliche Verbindlichkeiten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094377" w:rsidP="000C557A">
            <w:pPr>
              <w:pStyle w:val="CSBody8pt"/>
              <w:rPr>
                <w:bCs/>
                <w:lang w:val="de-DE"/>
              </w:rPr>
            </w:pPr>
            <w:r w:rsidRPr="008D3BF6">
              <w:rPr>
                <w:bCs/>
                <w:lang w:val="de-DE"/>
              </w:rPr>
              <w:t xml:space="preserve">die unmittelbar vor dem </w:t>
            </w:r>
            <w:r w:rsidRPr="00153202">
              <w:rPr>
                <w:bCs/>
                <w:lang w:val="de-DE"/>
              </w:rPr>
              <w:t>Rechtsn</w:t>
            </w:r>
            <w:r w:rsidRPr="008D3BF6">
              <w:rPr>
                <w:bCs/>
                <w:lang w:val="de-DE"/>
              </w:rPr>
              <w:t xml:space="preserve">achfolgetag (bzw. bei Vorliegen eines Stufenplans unmittelbar vor Eintritt der Rechtswirksamkeit des ersten </w:t>
            </w:r>
            <w:r w:rsidRPr="00E501F5">
              <w:rPr>
                <w:bCs/>
                <w:lang w:val="de-DE"/>
              </w:rPr>
              <w:t>Rechtsn</w:t>
            </w:r>
            <w:r w:rsidRPr="008D3BF6">
              <w:rPr>
                <w:bCs/>
                <w:lang w:val="de-DE"/>
              </w:rPr>
              <w:t xml:space="preserve">achfolgevorgangs) ausstehenden Verbindlichkeiten </w:t>
            </w:r>
            <w:r w:rsidRPr="00792D61">
              <w:rPr>
                <w:b/>
                <w:bCs/>
                <w:lang w:val="de-DE"/>
              </w:rPr>
              <w:t>[</w:t>
            </w:r>
            <w:r w:rsidRPr="008D3BF6">
              <w:rPr>
                <w:b/>
                <w:bCs/>
                <w:i/>
                <w:lang w:val="de-DE"/>
              </w:rPr>
              <w:t xml:space="preserve">falls ein Komplexes Produkt nur an einen Referenzschuldner gekoppelt ist, einfügen: </w:t>
            </w:r>
            <w:r w:rsidRPr="008D3BF6">
              <w:rPr>
                <w:bCs/>
                <w:lang w:val="de-DE"/>
              </w:rPr>
              <w:t>des</w:t>
            </w:r>
            <w:r w:rsidRPr="00792D61">
              <w:rPr>
                <w:b/>
                <w:bCs/>
                <w:lang w:val="de-DE"/>
              </w:rPr>
              <w:t>][</w:t>
            </w:r>
            <w:r w:rsidRPr="008D3BF6">
              <w:rPr>
                <w:b/>
                <w:bCs/>
                <w:i/>
                <w:lang w:val="de-DE"/>
              </w:rPr>
              <w:t>falls ein Korb anwendbar ist oder bei Komplexen Produkten mit N</w:t>
            </w:r>
            <w:r w:rsidRPr="00BD6E0D">
              <w:rPr>
                <w:b/>
                <w:i/>
                <w:vertAlign w:val="superscript"/>
                <w:lang w:val="de-DE"/>
              </w:rPr>
              <w:t>th</w:t>
            </w:r>
            <w:r w:rsidRPr="008D3BF6">
              <w:rPr>
                <w:b/>
                <w:bCs/>
                <w:i/>
                <w:lang w:val="de-DE"/>
              </w:rPr>
              <w:t>-to-Default-Struktur, einfügen:</w:t>
            </w:r>
            <w:r w:rsidRPr="008D3BF6">
              <w:rPr>
                <w:bCs/>
                <w:lang w:val="de-DE"/>
              </w:rPr>
              <w:t xml:space="preserve"> eines</w:t>
            </w:r>
            <w:r w:rsidRPr="00792D61">
              <w:rPr>
                <w:b/>
                <w:bCs/>
                <w:lang w:val="de-DE"/>
              </w:rPr>
              <w:t>]</w:t>
            </w:r>
            <w:r w:rsidRPr="008D3BF6">
              <w:rPr>
                <w:bCs/>
                <w:lang w:val="de-DE"/>
              </w:rPr>
              <w:t xml:space="preserve"> Referenzschuldners, die der Verbindlichkeitenkategorie "Anleihe oder Darlehen" zuzurechnen sind, wobei jedoch gilt: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A457E7">
            <w:pPr>
              <w:pStyle w:val="CSBody0"/>
              <w:rPr>
                <w:lang w:val="de-DE"/>
              </w:rPr>
            </w:pPr>
          </w:p>
        </w:tc>
        <w:tc>
          <w:tcPr>
            <w:tcW w:w="3315" w:type="dxa"/>
            <w:gridSpan w:val="2"/>
            <w:tcBorders>
              <w:top w:val="nil"/>
              <w:left w:val="nil"/>
              <w:bottom w:val="nil"/>
            </w:tcBorders>
            <w:shd w:val="clear" w:color="auto" w:fill="auto"/>
          </w:tcPr>
          <w:p w:rsidR="0017135D" w:rsidRPr="00094377" w:rsidP="00942F00">
            <w:pPr>
              <w:pStyle w:val="CSManNum8pt"/>
            </w:pPr>
            <w:r w:rsidRPr="00094377">
              <w:t>(i)</w:t>
            </w:r>
            <w:r w:rsidRPr="00094377">
              <w:tab/>
              <w:t xml:space="preserve"> any Bonds or Loans outstanding between the Reference Entity and any of its Affiliates, or held by the Reference Entity, shall be excluded; </w:t>
            </w:r>
            <w:r w:rsidRPr="00792D61">
              <w:rPr>
                <w:b/>
              </w:rPr>
              <w:t>[</w:t>
            </w:r>
            <w:r w:rsidRPr="00094377">
              <w:t>and</w:t>
            </w:r>
            <w:r w:rsidRPr="00792D61">
              <w:rPr>
                <w:b/>
              </w:rPr>
              <w:t>]</w:t>
            </w:r>
          </w:p>
        </w:tc>
        <w:tc>
          <w:tcPr>
            <w:tcW w:w="1618" w:type="dxa"/>
            <w:gridSpan w:val="2"/>
            <w:tcBorders>
              <w:top w:val="nil"/>
              <w:bottom w:val="nil"/>
              <w:right w:val="nil"/>
            </w:tcBorders>
            <w:shd w:val="clear" w:color="auto" w:fill="auto"/>
          </w:tcPr>
          <w:p w:rsidR="0017135D" w:rsidRPr="00094377" w:rsidP="000C557A">
            <w:pPr>
              <w:pStyle w:val="CSManNum8pt"/>
              <w:rPr>
                <w:i/>
              </w:rPr>
            </w:pPr>
          </w:p>
        </w:tc>
        <w:tc>
          <w:tcPr>
            <w:tcW w:w="3318" w:type="dxa"/>
            <w:tcBorders>
              <w:top w:val="nil"/>
              <w:left w:val="nil"/>
              <w:bottom w:val="nil"/>
              <w:right w:val="nil"/>
            </w:tcBorders>
            <w:shd w:val="clear" w:color="auto" w:fill="auto"/>
          </w:tcPr>
          <w:p w:rsidR="0017135D" w:rsidRPr="00094377" w:rsidP="000C557A">
            <w:pPr>
              <w:pStyle w:val="CSManNum8pt"/>
              <w:rPr>
                <w:bCs/>
                <w:lang w:val="de-DE"/>
              </w:rPr>
            </w:pPr>
            <w:r w:rsidRPr="00094377">
              <w:rPr>
                <w:bCs/>
                <w:lang w:val="de-DE"/>
              </w:rPr>
              <w:t>(i)</w:t>
            </w:r>
            <w:r w:rsidRPr="00094377">
              <w:rPr>
                <w:bCs/>
                <w:lang w:val="de-DE"/>
              </w:rPr>
              <w:tab/>
              <w:t xml:space="preserve">zwischen dem Referenzschuldner und seinen Verbundenen Unternehmen ausstehende oder von dem Referenzschuldner gehaltene Anleihen oder Darlehen sind ausgenommen; </w:t>
            </w:r>
            <w:r w:rsidRPr="00792D61">
              <w:rPr>
                <w:b/>
                <w:bCs/>
                <w:lang w:val="de-DE"/>
              </w:rPr>
              <w:t>[</w:t>
            </w:r>
            <w:r w:rsidRPr="00094377">
              <w:rPr>
                <w:bCs/>
                <w:lang w:val="de-DE"/>
              </w:rPr>
              <w:t>und</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A457E7">
            <w:pPr>
              <w:pStyle w:val="CSBody0"/>
              <w:rPr>
                <w:lang w:val="de-DE"/>
              </w:rPr>
            </w:pPr>
          </w:p>
        </w:tc>
        <w:tc>
          <w:tcPr>
            <w:tcW w:w="3315" w:type="dxa"/>
            <w:gridSpan w:val="2"/>
            <w:tcBorders>
              <w:top w:val="nil"/>
              <w:left w:val="nil"/>
              <w:bottom w:val="nil"/>
            </w:tcBorders>
            <w:shd w:val="clear" w:color="auto" w:fill="auto"/>
          </w:tcPr>
          <w:p w:rsidR="0017135D" w:rsidRPr="003F3197" w:rsidP="004C1EBA">
            <w:pPr>
              <w:pStyle w:val="CSManNum8pt"/>
              <w:rPr>
                <w:b/>
              </w:rPr>
            </w:pPr>
            <w:r w:rsidRPr="00094377">
              <w:t>(ii)</w:t>
            </w:r>
            <w:r w:rsidRPr="00094377">
              <w:tab/>
              <w:t>if there is a Steps Plan, the Calculation Agent shall, for purposes of the determination required to be made under clause (a) of the definition "Successor", make the appropriate adjustments required to take account of any Obligations of the Reference Entity which fall within the Obligation Category "Bond or Loan" that are issued, incurred, redeemed, repurchased or cancelled from and including the legally effective date of the first succession to and including the Succession Date</w:t>
            </w:r>
            <w:r w:rsidRPr="00792D61">
              <w:rPr>
                <w:b/>
              </w:rPr>
              <w:t>[</w:t>
            </w:r>
            <w:r w:rsidRPr="00094377">
              <w:t>;</w:t>
            </w:r>
            <w:r w:rsidRPr="00792D61">
              <w:rPr>
                <w:b/>
              </w:rPr>
              <w:t>][</w:t>
            </w:r>
            <w:r w:rsidRPr="00094377">
              <w:t>.</w:t>
            </w:r>
            <w:r w:rsidRPr="00792D61">
              <w:rPr>
                <w:b/>
              </w:rPr>
              <w:t>]</w:t>
            </w:r>
            <w:r>
              <w:rPr>
                <w:b/>
              </w:rPr>
              <w:t>[</w:t>
            </w:r>
            <w:r>
              <w:t>and</w:t>
            </w:r>
            <w:r>
              <w:rPr>
                <w:b/>
              </w:rPr>
              <w:t>]</w:t>
            </w:r>
          </w:p>
        </w:tc>
        <w:tc>
          <w:tcPr>
            <w:tcW w:w="1618" w:type="dxa"/>
            <w:gridSpan w:val="2"/>
            <w:tcBorders>
              <w:top w:val="nil"/>
              <w:bottom w:val="nil"/>
              <w:right w:val="nil"/>
            </w:tcBorders>
            <w:shd w:val="clear" w:color="auto" w:fill="auto"/>
          </w:tcPr>
          <w:p w:rsidR="0017135D" w:rsidRPr="00094377" w:rsidP="000C557A">
            <w:pPr>
              <w:pStyle w:val="CSManNum8pt"/>
              <w:rPr>
                <w:i/>
              </w:rPr>
            </w:pPr>
          </w:p>
        </w:tc>
        <w:tc>
          <w:tcPr>
            <w:tcW w:w="3318" w:type="dxa"/>
            <w:tcBorders>
              <w:top w:val="nil"/>
              <w:left w:val="nil"/>
              <w:bottom w:val="nil"/>
              <w:right w:val="nil"/>
            </w:tcBorders>
            <w:shd w:val="clear" w:color="auto" w:fill="auto"/>
          </w:tcPr>
          <w:p w:rsidR="0017135D" w:rsidRPr="003F3197" w:rsidP="009D1C9F">
            <w:pPr>
              <w:pStyle w:val="CSManNum8pt"/>
              <w:rPr>
                <w:b/>
                <w:bCs/>
                <w:lang w:val="de-DE"/>
              </w:rPr>
            </w:pPr>
            <w:r w:rsidRPr="00094377">
              <w:rPr>
                <w:bCs/>
                <w:lang w:val="de-DE"/>
              </w:rPr>
              <w:t>(ii)</w:t>
            </w:r>
            <w:r w:rsidRPr="00094377">
              <w:rPr>
                <w:bCs/>
                <w:lang w:val="de-DE"/>
              </w:rPr>
              <w:tab/>
              <w:t>bei Vorliegen eines Stufenplans wird die Berechnungsstelle für die nach Absatz (a) der Definition "</w:t>
            </w:r>
            <w:r w:rsidRPr="001B6411">
              <w:rPr>
                <w:bCs/>
                <w:lang w:val="de-DE"/>
              </w:rPr>
              <w:t>Rechtsn</w:t>
            </w:r>
            <w:r w:rsidRPr="00094377">
              <w:rPr>
                <w:bCs/>
                <w:lang w:val="de-DE"/>
              </w:rPr>
              <w:t xml:space="preserve">achfolger" vorzunehmenden Feststellung geeignete Anpassungen vornehmen, die erforderlich sind, um denjenigen Verbindlichkeiten des Referenzschuldners Rechnung zu tragen, die der Verbindlichkeitenkategorie "Anleihe oder Darlehen" zuzurechnen sind und die zwischen dem Tag der Rechtswirksamkeit des ersten </w:t>
            </w:r>
            <w:r w:rsidRPr="00E501F5">
              <w:rPr>
                <w:bCs/>
                <w:lang w:val="de-DE"/>
              </w:rPr>
              <w:t>Rechtsn</w:t>
            </w:r>
            <w:r w:rsidRPr="00094377">
              <w:rPr>
                <w:bCs/>
                <w:lang w:val="de-DE"/>
              </w:rPr>
              <w:t xml:space="preserve">achfolgevorgangs (einschliesslich) und dem </w:t>
            </w:r>
            <w:r w:rsidRPr="00153202">
              <w:rPr>
                <w:bCs/>
                <w:lang w:val="de-DE"/>
              </w:rPr>
              <w:t>Rechtsn</w:t>
            </w:r>
            <w:r w:rsidRPr="00094377">
              <w:rPr>
                <w:bCs/>
                <w:lang w:val="de-DE"/>
              </w:rPr>
              <w:t>achfolgetag (einschliesslich) begeben, eingegangen, zurückgezahlt, zurückgekauft oder gekündigt werden</w:t>
            </w:r>
            <w:r w:rsidRPr="00792D61">
              <w:rPr>
                <w:b/>
                <w:bCs/>
                <w:lang w:val="de-DE"/>
              </w:rPr>
              <w:t>[</w:t>
            </w:r>
            <w:r w:rsidRPr="00094377">
              <w:rPr>
                <w:bCs/>
                <w:lang w:val="de-DE"/>
              </w:rPr>
              <w:t>;</w:t>
            </w:r>
            <w:r w:rsidRPr="00792D61">
              <w:rPr>
                <w:b/>
                <w:bCs/>
                <w:lang w:val="de-DE"/>
              </w:rPr>
              <w:t>][</w:t>
            </w:r>
            <w:r w:rsidRPr="00094377">
              <w:rPr>
                <w:bCs/>
                <w:lang w:val="de-DE"/>
              </w:rPr>
              <w:t>.</w:t>
            </w:r>
            <w:r w:rsidRPr="00792D61">
              <w:rPr>
                <w:b/>
                <w:bCs/>
                <w:lang w:val="de-DE"/>
              </w:rPr>
              <w:t>]</w:t>
            </w:r>
            <w:r>
              <w:rPr>
                <w:b/>
                <w:bCs/>
                <w:lang w:val="de-DE"/>
              </w:rPr>
              <w:t>[</w:t>
            </w:r>
            <w:r>
              <w:rPr>
                <w:bCs/>
                <w:lang w:val="de-DE"/>
              </w:rPr>
              <w:t>und</w:t>
            </w:r>
            <w:r>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RPr="005D4EAE" w:rsidP="000C557A">
            <w:pPr>
              <w:pStyle w:val="CSBody8pt"/>
            </w:pPr>
            <w:r w:rsidRPr="00792D61">
              <w:rPr>
                <w:b/>
              </w:rPr>
              <w:t>[</w:t>
            </w:r>
            <w:r w:rsidRPr="008D3BF6">
              <w:rPr>
                <w:b/>
                <w:i/>
              </w:rPr>
              <w:t>if "Financial Reference Entity Terms" is applicable and "Senior Obligations" is referred to, insert:</w:t>
            </w:r>
            <w:r w:rsidRPr="005D4EAE">
              <w:t xml:space="preserve"> (iii) the Relevant Obligations shall only include the Senior Obligations of the Reference Entity which fall within the Obligation Category "Bond or Loan".</w:t>
            </w:r>
            <w:r w:rsidRPr="00792D61">
              <w:rPr>
                <w:b/>
              </w:rPr>
              <w:t>]</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0C557A">
            <w:pPr>
              <w:pStyle w:val="CSBody8pt"/>
              <w:rPr>
                <w:lang w:val="de-DE"/>
              </w:rPr>
            </w:pPr>
            <w:r w:rsidRPr="00792D61">
              <w:rPr>
                <w:b/>
                <w:lang w:val="de-DE"/>
              </w:rPr>
              <w:t>[</w:t>
            </w:r>
            <w:r w:rsidRPr="008D3BF6">
              <w:rPr>
                <w:b/>
                <w:i/>
                <w:lang w:val="de-DE"/>
              </w:rPr>
              <w:t>falls "Bedingungen für Finanzinstitute als Referenzschuldner" anwendbar ist und auf "Nicht Nachrangige Verbindlichkeiten" Bezug genommen wird, einfügen:</w:t>
            </w:r>
            <w:r w:rsidRPr="00094377">
              <w:rPr>
                <w:lang w:val="de-DE"/>
              </w:rPr>
              <w:t xml:space="preserve"> (iii) die Massgeblichen Verbindlichkeiten umfassen ausschliesslich Nicht Nachrangige Verbindlichkeiten des Referenzschuldners, die der Verbindlichkeitenkategorie "Anleihe oder Darlehen" zuzurechnen sind.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94377" w:rsidP="000C557A">
            <w:pPr>
              <w:pStyle w:val="CSBody8pt"/>
              <w:rPr>
                <w:lang w:val="de-DE"/>
              </w:rPr>
            </w:pPr>
          </w:p>
        </w:tc>
        <w:tc>
          <w:tcPr>
            <w:tcW w:w="3315" w:type="dxa"/>
            <w:gridSpan w:val="2"/>
            <w:tcBorders>
              <w:top w:val="nil"/>
              <w:left w:val="nil"/>
              <w:bottom w:val="nil"/>
            </w:tcBorders>
            <w:shd w:val="clear" w:color="auto" w:fill="auto"/>
          </w:tcPr>
          <w:p w:rsidR="0017135D" w:rsidP="004C1EBA">
            <w:pPr>
              <w:pStyle w:val="CSBody8pt"/>
            </w:pPr>
            <w:r w:rsidRPr="00792D61">
              <w:rPr>
                <w:b/>
              </w:rPr>
              <w:t>[</w:t>
            </w:r>
            <w:r w:rsidRPr="000C557A">
              <w:rPr>
                <w:b/>
                <w:i/>
              </w:rPr>
              <w:t>if "Financial Reference Entity Terms" apply and "Junior Obligations" is referred to, insert:</w:t>
            </w:r>
            <w:r w:rsidRPr="005D4EAE">
              <w:t xml:space="preserve"> (i</w:t>
            </w:r>
            <w:r>
              <w:t>ii</w:t>
            </w:r>
            <w:r w:rsidRPr="005D4EAE">
              <w:t>) the Relevant Obligations shall exclude Senior Obligations and any Further Subordinated Obligations of the Reference Entity which fall within the Obligation Category "Bond or Loan" , provided that if no such Relevant Obligations exist, the term "Relevant Obligations" shall comprise Senior Obligations of the Reference Entity.</w:t>
            </w:r>
            <w:r w:rsidRPr="00792D61">
              <w:rPr>
                <w:b/>
              </w:rPr>
              <w:t>]</w:t>
            </w:r>
          </w:p>
        </w:tc>
        <w:tc>
          <w:tcPr>
            <w:tcW w:w="1618" w:type="dxa"/>
            <w:gridSpan w:val="2"/>
            <w:tcBorders>
              <w:top w:val="nil"/>
              <w:bottom w:val="nil"/>
              <w:right w:val="nil"/>
            </w:tcBorders>
            <w:shd w:val="clear" w:color="auto" w:fill="auto"/>
          </w:tcPr>
          <w:p w:rsidR="0017135D" w:rsidRPr="00094377" w:rsidP="000C557A">
            <w:pPr>
              <w:pStyle w:val="CSBody8pt"/>
              <w:rPr>
                <w:i/>
              </w:rPr>
            </w:pPr>
          </w:p>
        </w:tc>
        <w:tc>
          <w:tcPr>
            <w:tcW w:w="3318" w:type="dxa"/>
            <w:tcBorders>
              <w:top w:val="nil"/>
              <w:left w:val="nil"/>
              <w:bottom w:val="nil"/>
              <w:right w:val="nil"/>
            </w:tcBorders>
            <w:shd w:val="clear" w:color="auto" w:fill="auto"/>
          </w:tcPr>
          <w:p w:rsidR="0017135D" w:rsidRPr="00094377" w:rsidP="004C1EBA">
            <w:pPr>
              <w:pStyle w:val="CSBody8pt"/>
              <w:rPr>
                <w:lang w:val="de-DE"/>
              </w:rPr>
            </w:pPr>
            <w:r w:rsidRPr="00792D61">
              <w:rPr>
                <w:b/>
                <w:lang w:val="de-DE"/>
              </w:rPr>
              <w:t>[</w:t>
            </w:r>
            <w:r w:rsidRPr="000C557A">
              <w:rPr>
                <w:b/>
                <w:i/>
                <w:lang w:val="de-DE"/>
              </w:rPr>
              <w:t>falls "Bedingungen für Finanzinstitute als Referenzschuldner" anwendbar sind und auf "Nachgeordnete Verbindlichkeiten" Bezug genommen wird, einfügen</w:t>
            </w:r>
            <w:r w:rsidRPr="00094377">
              <w:rPr>
                <w:lang w:val="de-DE"/>
              </w:rPr>
              <w:t>: (i</w:t>
            </w:r>
            <w:r>
              <w:rPr>
                <w:lang w:val="de-DE"/>
              </w:rPr>
              <w:t>ii</w:t>
            </w:r>
            <w:r w:rsidRPr="00094377">
              <w:rPr>
                <w:lang w:val="de-DE"/>
              </w:rPr>
              <w:t>) die Massgeblichen Verbindlichkeiten umfassen keine Nicht Nachrangigen Verbindlichkeiten und keine Tiefer Nachrangigen Verbindlichkeiten des Referenzschuldners, die der Verbindlichkeitenkategorie "Anleihe oder Darlehen" zuzurechnen sind, wobei der Begriff "Massgebliche Verbindlichkeiten" in dem Fall, dass keine derartigen Massgeblichen Verbindlichkeiten bestehen, die Nicht Nachrangigen Verbindlichkeiten des Referenzschuldners umfasst.</w:t>
            </w:r>
            <w:r w:rsidRPr="00792D61">
              <w:rPr>
                <w:b/>
                <w:lang w:val="de-DE"/>
              </w:rPr>
              <w:t>]</w:t>
            </w:r>
          </w:p>
        </w:tc>
      </w:tr>
      <w:tr w:rsidTr="004C1EBA">
        <w:tblPrEx>
          <w:tblW w:w="4999" w:type="pct"/>
          <w:tblLayout w:type="fixed"/>
          <w:tblCellMar>
            <w:left w:w="115" w:type="dxa"/>
            <w:right w:w="115" w:type="dxa"/>
          </w:tblCellMar>
          <w:tblLook w:val="04A0"/>
        </w:tblPrEx>
        <w:trPr>
          <w:trHeight w:val="2403"/>
        </w:trPr>
        <w:tc>
          <w:tcPr>
            <w:tcW w:w="1616" w:type="dxa"/>
            <w:gridSpan w:val="3"/>
            <w:tcBorders>
              <w:top w:val="nil"/>
              <w:left w:val="nil"/>
              <w:right w:val="nil"/>
            </w:tcBorders>
            <w:shd w:val="clear" w:color="auto" w:fill="auto"/>
          </w:tcPr>
          <w:p w:rsidR="0017135D" w:rsidRPr="00094377" w:rsidP="000C557A">
            <w:pPr>
              <w:pStyle w:val="CSBody8ptbolditalics"/>
            </w:pPr>
            <w:r w:rsidRPr="00792D61">
              <w:t>[</w:t>
            </w:r>
            <w:r w:rsidRPr="00094377">
              <w:t>if "Repudiation/ Moratorium" is a Credit Event, insert:</w:t>
            </w:r>
          </w:p>
          <w:p w:rsidR="0017135D" w:rsidRPr="00094377" w:rsidP="000C557A">
            <w:pPr>
              <w:pStyle w:val="CSBody8pt"/>
            </w:pPr>
            <w:r w:rsidRPr="00E4523C">
              <w:t>Repudiation/ Moratorium</w:t>
            </w:r>
            <w:r>
              <w:fldChar w:fldCharType="begin"/>
            </w:r>
            <w:r>
              <w:instrText xml:space="preserve"> XE "</w:instrText>
            </w:r>
            <w:r w:rsidRPr="003C3829">
              <w:instrText>Repudiation/ Moratorium</w:instrText>
            </w:r>
            <w:r>
              <w:instrText xml:space="preserve">" \f "EN" </w:instrText>
            </w:r>
            <w:r>
              <w:fldChar w:fldCharType="end"/>
            </w:r>
          </w:p>
        </w:tc>
        <w:tc>
          <w:tcPr>
            <w:tcW w:w="3315" w:type="dxa"/>
            <w:gridSpan w:val="2"/>
            <w:tcBorders>
              <w:top w:val="nil"/>
              <w:left w:val="nil"/>
            </w:tcBorders>
            <w:shd w:val="clear" w:color="auto" w:fill="auto"/>
          </w:tcPr>
          <w:p w:rsidR="0017135D" w:rsidRPr="00094377" w:rsidP="000C557A">
            <w:pPr>
              <w:pStyle w:val="CSBody8pt"/>
            </w:pPr>
            <w:r w:rsidRPr="00094377">
              <w:t>has the meaning assigned to such term in subsection C.5 of Section 1.1.</w:t>
            </w:r>
            <w:r w:rsidRPr="00792D61">
              <w:rPr>
                <w:b/>
              </w:rPr>
              <w:t>]</w:t>
            </w:r>
          </w:p>
        </w:tc>
        <w:tc>
          <w:tcPr>
            <w:tcW w:w="1618" w:type="dxa"/>
            <w:gridSpan w:val="2"/>
            <w:tcBorders>
              <w:top w:val="nil"/>
              <w:right w:val="nil"/>
            </w:tcBorders>
            <w:shd w:val="clear" w:color="auto" w:fill="auto"/>
          </w:tcPr>
          <w:p w:rsidR="0017135D" w:rsidRPr="00094377" w:rsidP="009D1C9F">
            <w:pPr>
              <w:pStyle w:val="CSBody8ptbolditalics"/>
              <w:rPr>
                <w:lang w:val="de-DE"/>
              </w:rPr>
            </w:pPr>
            <w:r w:rsidRPr="00792D61">
              <w:rPr>
                <w:lang w:val="de-DE"/>
              </w:rPr>
              <w:t>[</w:t>
            </w:r>
            <w:r w:rsidRPr="00094377">
              <w:rPr>
                <w:lang w:val="de-DE"/>
              </w:rPr>
              <w:t>falls "Nichtanerkennung/ Moratorium" ein Kreditereignis ist, einfügen:</w:t>
            </w:r>
          </w:p>
          <w:p w:rsidR="0017135D" w:rsidRPr="00094377" w:rsidP="009D1C9F">
            <w:pPr>
              <w:pStyle w:val="CSBody8pt"/>
              <w:rPr>
                <w:lang w:val="de-DE"/>
              </w:rPr>
            </w:pPr>
            <w:r w:rsidRPr="00E4523C">
              <w:t>Nichtanerkennung/ Moratorium</w:t>
            </w:r>
            <w:r>
              <w:fldChar w:fldCharType="begin"/>
            </w:r>
            <w:r>
              <w:instrText xml:space="preserve"> XE "</w:instrText>
            </w:r>
            <w:r w:rsidRPr="008319F4">
              <w:instrText>Nichtanerkennung/ Moratorium</w:instrText>
            </w:r>
            <w:r>
              <w:instrText xml:space="preserve">" </w:instrText>
            </w:r>
            <w:r>
              <w:fldChar w:fldCharType="end"/>
            </w:r>
          </w:p>
        </w:tc>
        <w:tc>
          <w:tcPr>
            <w:tcW w:w="3318" w:type="dxa"/>
            <w:tcBorders>
              <w:top w:val="nil"/>
              <w:left w:val="nil"/>
              <w:right w:val="nil"/>
            </w:tcBorders>
            <w:shd w:val="clear" w:color="auto" w:fill="auto"/>
          </w:tcPr>
          <w:p w:rsidR="0017135D" w:rsidRPr="00094377" w:rsidP="000C557A">
            <w:pPr>
              <w:pStyle w:val="CSBody8pt"/>
              <w:rPr>
                <w:bCs/>
                <w:lang w:val="de-DE"/>
              </w:rPr>
            </w:pPr>
            <w:r w:rsidRPr="00094377">
              <w:rPr>
                <w:bCs/>
                <w:lang w:val="de-DE"/>
              </w:rPr>
              <w:t>hat die diesem Begriff in Unterabschnitt C.5 von Ziffer 1.1. zugewiesene Bedeutung.</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094377" w:rsidP="000C557A">
            <w:pPr>
              <w:pStyle w:val="CSBody8ptbolditalics"/>
            </w:pPr>
            <w:r w:rsidRPr="00792D61">
              <w:t>[</w:t>
            </w:r>
            <w:r w:rsidRPr="00094377">
              <w:t>if "Repudiation/ Moratorium" is applicable, insert:</w:t>
            </w:r>
          </w:p>
          <w:p w:rsidR="0017135D" w:rsidRPr="00094377" w:rsidP="000C557A">
            <w:pPr>
              <w:pStyle w:val="CSBody8pt"/>
            </w:pPr>
            <w:r w:rsidRPr="0009140E">
              <w:t>Repudiation/ Moratorium Evaluation Date</w:t>
            </w:r>
            <w:r>
              <w:fldChar w:fldCharType="begin"/>
            </w:r>
            <w:r>
              <w:instrText xml:space="preserve"> XE "</w:instrText>
            </w:r>
            <w:r w:rsidRPr="00E91FDB">
              <w:instrText>Repudiation/ Moratorium Evaluation Date</w:instrText>
            </w:r>
            <w:r>
              <w:instrText xml:space="preserve">" \f "EN" </w:instrText>
            </w:r>
            <w:r>
              <w:fldChar w:fldCharType="end"/>
            </w:r>
          </w:p>
        </w:tc>
        <w:tc>
          <w:tcPr>
            <w:tcW w:w="3315" w:type="dxa"/>
            <w:gridSpan w:val="2"/>
            <w:tcBorders>
              <w:top w:val="nil"/>
              <w:left w:val="nil"/>
            </w:tcBorders>
            <w:shd w:val="clear" w:color="auto" w:fill="auto"/>
          </w:tcPr>
          <w:p w:rsidR="0017135D" w:rsidRPr="00094377" w:rsidP="000C557A">
            <w:pPr>
              <w:pStyle w:val="CSBody8pt"/>
            </w:pPr>
            <w:r w:rsidRPr="00094377">
              <w:t>if a Potential Repudiation/Moratorium occurs on or prior to the Scheduled Maturity Date (or, for purposes of determining payments of Interest Payment Amounts, the relevant Interest Payment Date), (a) if the Obligations to which such Potential Repudiation/Moratorium relates include Bonds, the date that is the later of (i) the date that is sixty days after the date of such Potential Repudiation/Moratorium and (ii) the first payment date under any such Bond after the date of such Potential Repudiation/Moratorium (or, if later, the expiration date of any applicable Grace Period with respect to such payment date) and (b) if the Obligations to which such Potential Repudiation/Moratorium relates do not include Bonds, the date that is sixty days after the date of such Potential Repudiation/Moratorium, provided that in either case the Repudiation/Moratorium Evaluation Date shall occur no later than the Scheduled Maturity Date (or, for purposes of determining payments of Interest Payment Amounts, the relevant Interest Payment Date) unless the Repudiation/Moratorium Extension Condition is satisfied.</w:t>
            </w:r>
            <w:r w:rsidRPr="00792D61">
              <w:rPr>
                <w:b/>
              </w:rPr>
              <w:t>]</w:t>
            </w:r>
          </w:p>
        </w:tc>
        <w:tc>
          <w:tcPr>
            <w:tcW w:w="1618" w:type="dxa"/>
            <w:gridSpan w:val="2"/>
            <w:tcBorders>
              <w:top w:val="nil"/>
              <w:right w:val="nil"/>
            </w:tcBorders>
            <w:shd w:val="clear" w:color="auto" w:fill="auto"/>
          </w:tcPr>
          <w:p w:rsidR="0017135D" w:rsidRPr="00094377" w:rsidP="009D1C9F">
            <w:pPr>
              <w:pStyle w:val="CSBody8ptbolditalics"/>
              <w:rPr>
                <w:lang w:val="de-DE"/>
              </w:rPr>
            </w:pPr>
            <w:r w:rsidRPr="00792D61">
              <w:rPr>
                <w:lang w:val="de-DE"/>
              </w:rPr>
              <w:t>[</w:t>
            </w:r>
            <w:r w:rsidRPr="00094377">
              <w:rPr>
                <w:lang w:val="de-DE"/>
              </w:rPr>
              <w:t>falls "Nichtanerkennung/Moratorium" anwendbar ist, einfügen:</w:t>
            </w:r>
          </w:p>
          <w:p w:rsidR="0017135D" w:rsidRPr="00094377" w:rsidP="009D1C9F">
            <w:pPr>
              <w:pStyle w:val="CSBody8pt"/>
              <w:rPr>
                <w:lang w:val="de-DE"/>
              </w:rPr>
            </w:pPr>
            <w:r>
              <w:t>Nicht</w:t>
            </w:r>
            <w:r w:rsidRPr="0009140E">
              <w:t>anerkennungs-/Moratoriumsbewertungstag</w:t>
            </w:r>
            <w:r>
              <w:fldChar w:fldCharType="begin"/>
            </w:r>
            <w:r>
              <w:instrText xml:space="preserve"> XE "</w:instrText>
            </w:r>
            <w:r w:rsidRPr="00180A03">
              <w:instrText>Nichtanerkennungs-/Moratoriumsbewertungstag</w:instrText>
            </w:r>
            <w:r>
              <w:instrText xml:space="preserve">" </w:instrText>
            </w:r>
            <w:r>
              <w:fldChar w:fldCharType="end"/>
            </w:r>
          </w:p>
        </w:tc>
        <w:tc>
          <w:tcPr>
            <w:tcW w:w="3318" w:type="dxa"/>
            <w:tcBorders>
              <w:top w:val="nil"/>
              <w:left w:val="nil"/>
              <w:right w:val="nil"/>
            </w:tcBorders>
            <w:shd w:val="clear" w:color="auto" w:fill="auto"/>
          </w:tcPr>
          <w:p w:rsidR="0017135D" w:rsidRPr="00094377" w:rsidP="004C1EBA">
            <w:pPr>
              <w:pStyle w:val="CSBody8pt"/>
              <w:rPr>
                <w:bCs/>
                <w:lang w:val="de-DE"/>
              </w:rPr>
            </w:pPr>
            <w:r w:rsidRPr="00094377">
              <w:rPr>
                <w:bCs/>
                <w:lang w:val="de-DE"/>
              </w:rPr>
              <w:t>wenn eine Potenzielle Nichtanerkennung / ein Potenzielles Moratorium an oder vor dem Planmässigen Fälligkeitstag (oder, für Zwecke der Bestimmung von Zahlungen von Zinszahlungsbeträgen, der massgebliche Zinszahlungstag) eintritt, (a) wenn die Verbindlichkeiten, auf die sich die Potenzielle Nichtanerkennung / das Potenzielle Moratorium bezieht, Anleihen einschliessen</w:t>
            </w:r>
            <w:r>
              <w:rPr>
                <w:bCs/>
                <w:lang w:val="de-DE"/>
              </w:rPr>
              <w:t>,</w:t>
            </w:r>
            <w:r w:rsidRPr="00094377">
              <w:rPr>
                <w:bCs/>
                <w:lang w:val="de-DE"/>
              </w:rPr>
              <w:t xml:space="preserve"> der spätere der folgenden Termine: (i) der Tag, der sechzig Tage nach dem Tag der Potenziellen Nichtanerkennung / des Potenziellen Moratoriums liegt, oder (ii) der erste Zahlungstag für die betreffende Anleihe nach dem Tag der Potenziellen Nichtanerkennung / des Potenziellen Moratoriums (oder, falls dieser Termin später liegt, der Tag, an dem eine etwaige Nachfrist in Bezug auf diesen Zahlungstag ausläuft) und (b) wenn die Verbindlichkeiten, auf die sich die Potenzielle Nichtanerkennung / das Potenzielle Moratorium bezieht, keine Anleihen einschliessen</w:t>
            </w:r>
            <w:r>
              <w:rPr>
                <w:bCs/>
                <w:lang w:val="de-DE"/>
              </w:rPr>
              <w:t>,</w:t>
            </w:r>
            <w:r w:rsidRPr="00094377">
              <w:rPr>
                <w:bCs/>
                <w:lang w:val="de-DE"/>
              </w:rPr>
              <w:t xml:space="preserve"> der Tag, der sechzig Tage nach dem Tag der Potenziellen Nichtanerkennung / des Potenziellen Moratoriums liegt, wobei der Nichtanerkennungs-/Moratoriumsbewertungstag in beiden Fällen nicht nach dem Planmässigen Fälligkeitstag (oder, für Zwecke der Bestimmung von Zahlungen von Zinszahlungsbeträgen, der massgebliche Zinszahlungstag) liegen kann, es sei denn, die Voraussetzung für die Verlängerung im Fall einer Nichtanerkennung / eines Moratoriums ist erfüllt.</w:t>
            </w:r>
            <w:r w:rsidRPr="00792D61">
              <w:rPr>
                <w:b/>
                <w:bCs/>
                <w:lang w:val="de-DE"/>
              </w:rPr>
              <w:t>]</w:t>
            </w:r>
          </w:p>
        </w:tc>
      </w:tr>
      <w:tr w:rsidTr="004C1EBA">
        <w:tblPrEx>
          <w:tblW w:w="4999" w:type="pct"/>
          <w:tblLayout w:type="fixed"/>
          <w:tblCellMar>
            <w:left w:w="115" w:type="dxa"/>
            <w:right w:w="115" w:type="dxa"/>
          </w:tblCellMar>
          <w:tblLook w:val="04A0"/>
        </w:tblPrEx>
        <w:trPr>
          <w:trHeight w:val="9881"/>
        </w:trPr>
        <w:tc>
          <w:tcPr>
            <w:tcW w:w="1616" w:type="dxa"/>
            <w:gridSpan w:val="3"/>
            <w:tcBorders>
              <w:top w:val="nil"/>
              <w:left w:val="nil"/>
              <w:right w:val="nil"/>
            </w:tcBorders>
            <w:shd w:val="clear" w:color="auto" w:fill="auto"/>
          </w:tcPr>
          <w:p w:rsidR="0017135D" w:rsidRPr="00094377" w:rsidP="000C557A">
            <w:pPr>
              <w:pStyle w:val="CSBody8ptbolditalics"/>
            </w:pPr>
            <w:r w:rsidRPr="00792D61">
              <w:t>[</w:t>
            </w:r>
            <w:r w:rsidRPr="00094377">
              <w:t>if "Repudiation/ Moratorium" is applicable, insert:</w:t>
            </w:r>
          </w:p>
          <w:p w:rsidR="0017135D" w:rsidRPr="00094377" w:rsidP="000C557A">
            <w:pPr>
              <w:pStyle w:val="CSBody8pt"/>
            </w:pPr>
            <w:r w:rsidRPr="00094377">
              <w:t>Repudiation/ Moratorium Extension Condition</w:t>
            </w:r>
            <w:r>
              <w:fldChar w:fldCharType="begin"/>
            </w:r>
            <w:r>
              <w:instrText xml:space="preserve"> XE "</w:instrText>
            </w:r>
            <w:r w:rsidRPr="00EA3A25">
              <w:instrText>Repudiation/ Moratorium Extension Condition</w:instrText>
            </w:r>
            <w:r>
              <w:instrText xml:space="preserve">" \f "EN" </w:instrText>
            </w:r>
            <w:r>
              <w:fldChar w:fldCharType="end"/>
            </w:r>
          </w:p>
        </w:tc>
        <w:tc>
          <w:tcPr>
            <w:tcW w:w="3315" w:type="dxa"/>
            <w:gridSpan w:val="2"/>
            <w:tcBorders>
              <w:top w:val="nil"/>
              <w:left w:val="nil"/>
            </w:tcBorders>
            <w:shd w:val="clear" w:color="auto" w:fill="auto"/>
          </w:tcPr>
          <w:p w:rsidR="0017135D" w:rsidRPr="00094377" w:rsidP="000C557A">
            <w:pPr>
              <w:pStyle w:val="CSBody8pt"/>
            </w:pPr>
            <w:r w:rsidRPr="00094377">
              <w:t xml:space="preserve">the Repudiation/Moratorium Extension Condition is satisfied (i) if the DC Secretary publicly announces, pursuant to a valid request that was delivered and effectively received on or prior to the date that is fourteen calendar days after the Scheduled Maturity Date (or, for purposes of determining payments of Interest Payment Amounts, the relevant Interest Payment Date), that the relevant Credit Derivatives Determinations Committee has Resolved that an event that constitutes a Potential Repudiation/Moratorium has occurred with respect to an Obligation of the Reference Entity and that such event occurred on or prior to the Scheduled Maturity Date, or (ii) by the delivery of a Repudiation/Moratorium Extension Notice by the Calculation Agent </w:t>
            </w:r>
            <w:r w:rsidRPr="00792D61">
              <w:rPr>
                <w:b/>
              </w:rPr>
              <w:t>[</w:t>
            </w:r>
            <w:r w:rsidRPr="000C557A">
              <w:rPr>
                <w:b/>
                <w:i/>
              </w:rPr>
              <w:t>if specified in Section 1.1 that "Notice of Publicly Available Information" is applicable, insert:</w:t>
            </w:r>
            <w:r w:rsidRPr="00094377">
              <w:t xml:space="preserve"> and a Notice of Publicly Available Information is given</w:t>
            </w:r>
            <w:r w:rsidRPr="00792D61">
              <w:rPr>
                <w:b/>
              </w:rPr>
              <w:t>][</w:t>
            </w:r>
            <w:r w:rsidRPr="00094377">
              <w:t>each of which</w:t>
            </w:r>
            <w:r w:rsidRPr="00792D61">
              <w:rPr>
                <w:b/>
              </w:rPr>
              <w:t>][</w:t>
            </w:r>
            <w:r w:rsidRPr="00094377">
              <w:t>that</w:t>
            </w:r>
            <w:r w:rsidRPr="00792D61">
              <w:rPr>
                <w:b/>
              </w:rPr>
              <w:t>]</w:t>
            </w:r>
            <w:r w:rsidRPr="00094377">
              <w:t xml:space="preserve"> is effective prior to the date that is fourteen calendar days after the Scheduled Maturity Date (or, for purposes of determining payments of Interest Payment Amounts, the relevant Interest Payment Date). In all cases, the Repudiation/Moratorium Extension Condition will be deemed not to have been satisfied, or not capable of being satisfied, if, or to the extent that, the DC Secretary publicly announces that the relevant Credit Derivatives Determinations Committee has Resolved that either (A) an event does not constitutes a Potential Repudiation/Moratorium with respect to an Obligation of the Reference Entity or (B) an event that constitutes a Potential Repudiation/Moratorium has occurred with respect to an Obligation of the Reference Entity but that such event occurred after the Scheduled Maturity Date.</w:t>
            </w:r>
            <w:r w:rsidRPr="00792D61">
              <w:rPr>
                <w:b/>
              </w:rPr>
              <w:t>]</w:t>
            </w:r>
          </w:p>
        </w:tc>
        <w:tc>
          <w:tcPr>
            <w:tcW w:w="1618" w:type="dxa"/>
            <w:gridSpan w:val="2"/>
            <w:tcBorders>
              <w:top w:val="nil"/>
              <w:right w:val="nil"/>
            </w:tcBorders>
            <w:shd w:val="clear" w:color="auto" w:fill="auto"/>
          </w:tcPr>
          <w:p w:rsidR="0017135D" w:rsidRPr="00094377" w:rsidP="009D1C9F">
            <w:pPr>
              <w:pStyle w:val="CSBody8ptbolditalics"/>
              <w:rPr>
                <w:lang w:val="de-DE"/>
              </w:rPr>
            </w:pPr>
            <w:r w:rsidRPr="00792D61">
              <w:rPr>
                <w:lang w:val="de-DE"/>
              </w:rPr>
              <w:t>[</w:t>
            </w:r>
            <w:r w:rsidRPr="00094377">
              <w:rPr>
                <w:lang w:val="de-DE"/>
              </w:rPr>
              <w:t>falls "Nichtanerkennung/Moratorium" anwendbar ist, einfügen:</w:t>
            </w:r>
          </w:p>
          <w:p w:rsidR="0017135D" w:rsidRPr="00094377" w:rsidP="000C557A">
            <w:pPr>
              <w:pStyle w:val="CSBody8pt"/>
              <w:rPr>
                <w:lang w:val="de-DE"/>
              </w:rPr>
            </w:pPr>
            <w:r w:rsidRPr="0079254A">
              <w:rPr>
                <w:lang w:val="de-DE"/>
              </w:rPr>
              <w:t>Voraussetzung für die V</w:t>
            </w:r>
            <w:r>
              <w:rPr>
                <w:lang w:val="de-DE"/>
              </w:rPr>
              <w:t>erlängerung im Fall einer Nicht</w:t>
            </w:r>
            <w:r w:rsidRPr="0079254A">
              <w:rPr>
                <w:lang w:val="de-DE"/>
              </w:rPr>
              <w:t>anerkennung / eines Moratoriums</w:t>
            </w:r>
            <w:r>
              <w:rPr>
                <w:lang w:val="de-DE"/>
              </w:rPr>
              <w:fldChar w:fldCharType="begin"/>
            </w:r>
            <w:r w:rsidRPr="0079254A">
              <w:rPr>
                <w:lang w:val="de-DE"/>
              </w:rPr>
              <w:instrText xml:space="preserve"> XE "</w:instrText>
            </w:r>
            <w:r w:rsidRPr="00EA5507">
              <w:rPr>
                <w:lang w:val="de-DE"/>
              </w:rPr>
              <w:instrText>Voraussetzung für die Verlängerun</w:instrText>
            </w:r>
            <w:r>
              <w:rPr>
                <w:lang w:val="de-DE"/>
              </w:rPr>
              <w:instrText>g im Fall einer Nicht</w:instrText>
            </w:r>
            <w:r w:rsidRPr="00EA5507">
              <w:rPr>
                <w:lang w:val="de-DE"/>
              </w:rPr>
              <w:instrText>anerkennung / eines Moratoriums</w:instrText>
            </w:r>
            <w:r w:rsidRPr="0079254A">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094377" w:rsidP="000C557A">
            <w:pPr>
              <w:pStyle w:val="CSBody8pt"/>
              <w:rPr>
                <w:bCs/>
                <w:lang w:val="de-DE"/>
              </w:rPr>
            </w:pPr>
            <w:r w:rsidRPr="00094377">
              <w:rPr>
                <w:bCs/>
                <w:lang w:val="de-DE"/>
              </w:rPr>
              <w:t>die Voraussetzung für die Verlängerung im Fall einer Nichtanerkennung / eines Moratoriums ist erfüllt (i) wenn der Secretary gemäss einem gültigen Antrag, der an oder vor dem 14. Kalendertag nach dem Planmässigen Fälligkeitstag (oder, für Zwecke der Bestimmung von Zahlungen von Zinszahlungsbeträgen, dem massgeblichen Zinszahlungstag) übermittelt wurde und wirksam eingegangen ist, öffentlich bekannt gibt, dass der zuständige Kreditderivate-Feststellungsausschuss Beschlossen hat, dass in Bezug auf eine Verbindlichkeit des Referenzschuldners an oder vor dem Planmässigen Fälligkeitstag ein Ereignis eingetreten ist, das eine Potenzielle Nichtanerkennung / ein Potenzielles Moratorium darstellt, oder (ii) durch Übermittlung einer Mitteilung über die V</w:t>
            </w:r>
            <w:r>
              <w:rPr>
                <w:bCs/>
                <w:lang w:val="de-DE"/>
              </w:rPr>
              <w:t>erlängerung im Fall einer Nicht</w:t>
            </w:r>
            <w:r w:rsidRPr="00094377">
              <w:rPr>
                <w:bCs/>
                <w:lang w:val="de-DE"/>
              </w:rPr>
              <w:t xml:space="preserve">anerkennung / eines Moratoriums durch die Berechnungsstelle </w:t>
            </w:r>
            <w:r w:rsidRPr="00792D61">
              <w:rPr>
                <w:b/>
                <w:bCs/>
                <w:lang w:val="de-DE"/>
              </w:rPr>
              <w:t>[</w:t>
            </w:r>
            <w:r w:rsidRPr="000C557A">
              <w:rPr>
                <w:b/>
                <w:bCs/>
                <w:i/>
                <w:lang w:val="de-DE"/>
              </w:rPr>
              <w:t>falls in Ziffer 1.1 angegeben ist, dass "Mitteilung über Öffentlich Verfügbare Informationen" anwendbar ist, einfügen</w:t>
            </w:r>
            <w:r w:rsidRPr="00094377">
              <w:rPr>
                <w:bCs/>
                <w:lang w:val="de-DE"/>
              </w:rPr>
              <w:t>: und einer Mitteilung über Öffentlich Verfügbare Informationen</w:t>
            </w:r>
            <w:r w:rsidRPr="00792D61">
              <w:rPr>
                <w:b/>
                <w:bCs/>
                <w:lang w:val="de-DE"/>
              </w:rPr>
              <w:t>]</w:t>
            </w:r>
            <w:r w:rsidRPr="00094377">
              <w:rPr>
                <w:bCs/>
                <w:lang w:val="de-DE"/>
              </w:rPr>
              <w:t xml:space="preserve">, </w:t>
            </w:r>
            <w:r w:rsidRPr="00792D61">
              <w:rPr>
                <w:b/>
                <w:bCs/>
                <w:lang w:val="de-DE"/>
              </w:rPr>
              <w:t>[</w:t>
            </w:r>
            <w:r w:rsidRPr="00094377">
              <w:rPr>
                <w:bCs/>
                <w:lang w:val="de-DE"/>
              </w:rPr>
              <w:t>die jeweils</w:t>
            </w:r>
            <w:r w:rsidRPr="00792D61">
              <w:rPr>
                <w:b/>
                <w:bCs/>
                <w:lang w:val="de-DE"/>
              </w:rPr>
              <w:t>][</w:t>
            </w:r>
            <w:r w:rsidRPr="00094377">
              <w:rPr>
                <w:bCs/>
                <w:lang w:val="de-DE"/>
              </w:rPr>
              <w:t>die</w:t>
            </w:r>
            <w:r w:rsidRPr="00792D61">
              <w:rPr>
                <w:b/>
                <w:bCs/>
                <w:lang w:val="de-DE"/>
              </w:rPr>
              <w:t>]</w:t>
            </w:r>
            <w:r w:rsidRPr="00094377">
              <w:rPr>
                <w:bCs/>
                <w:lang w:val="de-DE"/>
              </w:rPr>
              <w:t xml:space="preserve"> vor dem Tag, der 14 Kalendertage nach dem Planmässigen Fälligkeitstag (oder, für Zwecke der Bestimmung von Zahlungen von Zinszahlungsbeträgen, der massgebliche Zinszahlungstag) liegt, wirksam </w:t>
            </w:r>
            <w:r w:rsidRPr="00792D61">
              <w:rPr>
                <w:b/>
                <w:bCs/>
                <w:lang w:val="de-DE"/>
              </w:rPr>
              <w:t>[</w:t>
            </w:r>
            <w:r w:rsidRPr="00094377">
              <w:rPr>
                <w:bCs/>
                <w:lang w:val="de-DE"/>
              </w:rPr>
              <w:t>ist</w:t>
            </w:r>
            <w:r w:rsidRPr="00792D61">
              <w:rPr>
                <w:b/>
                <w:bCs/>
                <w:lang w:val="de-DE"/>
              </w:rPr>
              <w:t>][</w:t>
            </w:r>
            <w:r w:rsidRPr="00094377">
              <w:rPr>
                <w:bCs/>
                <w:lang w:val="de-DE"/>
              </w:rPr>
              <w:t>sind</w:t>
            </w:r>
            <w:r w:rsidRPr="00792D61">
              <w:rPr>
                <w:b/>
                <w:bCs/>
                <w:lang w:val="de-DE"/>
              </w:rPr>
              <w:t>]</w:t>
            </w:r>
            <w:r w:rsidRPr="00094377">
              <w:rPr>
                <w:bCs/>
                <w:lang w:val="de-DE"/>
              </w:rPr>
              <w:t>. In jedem Fall gilt die Voraussetzung für die Verlängerung im Fall einer Nichtanerkennung/ eines Moratoriums als nicht erfüllt oder als nicht erfüllbar, wenn und soweit der Secretary öffentlich bekannt gibt, dass der zuständige Kreditderivate-Feststellungsausschuss Beschlossen hat, dass entweder (A) ein Ereignis keine Potenzielle Nichtanerkennung/ kein Potenzielles Moratorium im Hinblick auf eine Verbindlichkeit des Referenzschuldners darstellt oder (B) ein Ereignis, dass eine Potenzielle Nichtanerkennung/ ein Potenzielles Moratorium darstellt,im Hinblick auf eine Verbindlichkeit des Referenzschuldners eingetreten ist, aber dass dieses Ereignis nach dem Planmässigen Fälligkeitstag eingetreten ist.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094377" w:rsidP="000C557A">
            <w:pPr>
              <w:pStyle w:val="CSBody8ptbolditalics"/>
            </w:pPr>
            <w:r w:rsidRPr="00792D61">
              <w:t>[</w:t>
            </w:r>
            <w:r w:rsidRPr="00094377">
              <w:t>if "Repudiation/ Moratorium" is applicable, insert:</w:t>
            </w:r>
          </w:p>
          <w:p w:rsidR="0017135D" w:rsidRPr="00094377" w:rsidP="000C557A">
            <w:pPr>
              <w:pStyle w:val="CSBody8pt"/>
            </w:pPr>
            <w:r w:rsidRPr="0079254A">
              <w:t>Repudiation/ Moratorium Extension Notice</w:t>
            </w:r>
            <w:r>
              <w:fldChar w:fldCharType="begin"/>
            </w:r>
            <w:r>
              <w:instrText xml:space="preserve"> XE "</w:instrText>
            </w:r>
            <w:r w:rsidRPr="00F84B1B">
              <w:instrText>Repudiation/ Moratorium Extension Notice</w:instrText>
            </w:r>
            <w:r>
              <w:instrText xml:space="preserve">" \f "EN" </w:instrText>
            </w:r>
            <w:r>
              <w:fldChar w:fldCharType="end"/>
            </w:r>
          </w:p>
        </w:tc>
        <w:tc>
          <w:tcPr>
            <w:tcW w:w="3315" w:type="dxa"/>
            <w:gridSpan w:val="2"/>
            <w:tcBorders>
              <w:top w:val="nil"/>
              <w:left w:val="nil"/>
            </w:tcBorders>
            <w:shd w:val="clear" w:color="auto" w:fill="auto"/>
          </w:tcPr>
          <w:p w:rsidR="0017135D" w:rsidRPr="00094377" w:rsidP="000C557A">
            <w:pPr>
              <w:pStyle w:val="CSBody8pt"/>
            </w:pPr>
            <w:r w:rsidRPr="00094377">
              <w:t xml:space="preserve">an irrevocable notice from the Calculation Agent to the Holders </w:t>
            </w:r>
            <w:r w:rsidRPr="00792D61">
              <w:rPr>
                <w:b/>
              </w:rPr>
              <w:t>[</w:t>
            </w:r>
            <w:r w:rsidRPr="00094377">
              <w:t>in accordance with Section 8</w:t>
            </w:r>
            <w:r w:rsidRPr="00792D61">
              <w:rPr>
                <w:b/>
              </w:rPr>
              <w:t>]</w:t>
            </w:r>
            <w:r w:rsidRPr="00094377">
              <w:t xml:space="preserve"> </w:t>
            </w:r>
            <w:r w:rsidRPr="00792D61">
              <w:rPr>
                <w:b/>
              </w:rPr>
              <w:t>[[</w:t>
            </w:r>
            <w:r w:rsidRPr="00094377">
              <w:t>•</w:t>
            </w:r>
            <w:r w:rsidRPr="00792D61">
              <w:rPr>
                <w:b/>
              </w:rPr>
              <w:t>]]</w:t>
            </w:r>
            <w:r w:rsidRPr="00094377">
              <w:t xml:space="preserve"> that describes a Potential Repudiation/ Moratorium that occurred on or after the </w:t>
            </w:r>
            <w:r w:rsidRPr="00792D61">
              <w:rPr>
                <w:b/>
              </w:rPr>
              <w:t>[</w:t>
            </w:r>
            <w:r w:rsidRPr="00094377">
              <w:t>Trade</w:t>
            </w:r>
            <w:r w:rsidRPr="00792D61">
              <w:rPr>
                <w:b/>
              </w:rPr>
              <w:t>][</w:t>
            </w:r>
            <w:r w:rsidRPr="00094377">
              <w:t>Issue</w:t>
            </w:r>
            <w:r w:rsidRPr="00792D61">
              <w:rPr>
                <w:b/>
              </w:rPr>
              <w:t>]</w:t>
            </w:r>
            <w:r w:rsidRPr="00094377">
              <w:t xml:space="preserve"> Date and on or prior to the Scheduled Maturity Date (or if applicable, for purposes of determining payments of Interest Payment Amounts, the relevant Interest Payment Date). A Repudiation/Moratorium Extension Notice must contain a description in reasonable detail of the facts relevant to the determination that a Potential Repudiation/Moratorium has occurred and indicate the date of the occurrence. The Potential Repudiation/ Moratorium that is the subject of the Potential Repudiation/Moratorium Extension Notice need not be continuing on the date the Potential Repudiation/Moratorium Extension Notice is effective.</w:t>
            </w:r>
            <w:r w:rsidRPr="00792D61">
              <w:rPr>
                <w:b/>
              </w:rPr>
              <w:t>]</w:t>
            </w:r>
          </w:p>
        </w:tc>
        <w:tc>
          <w:tcPr>
            <w:tcW w:w="1618" w:type="dxa"/>
            <w:gridSpan w:val="2"/>
            <w:tcBorders>
              <w:top w:val="nil"/>
              <w:right w:val="nil"/>
            </w:tcBorders>
            <w:shd w:val="clear" w:color="auto" w:fill="auto"/>
          </w:tcPr>
          <w:p w:rsidR="0017135D" w:rsidRPr="00094377" w:rsidP="009D1C9F">
            <w:pPr>
              <w:pStyle w:val="CSBody8ptbolditalics"/>
              <w:rPr>
                <w:lang w:val="de-DE"/>
              </w:rPr>
            </w:pPr>
            <w:r w:rsidRPr="00792D61">
              <w:rPr>
                <w:lang w:val="de-DE"/>
              </w:rPr>
              <w:t>[</w:t>
            </w:r>
            <w:r w:rsidRPr="00094377">
              <w:rPr>
                <w:lang w:val="de-DE"/>
              </w:rPr>
              <w:t>falls "Nichtanerkennung/Moratorium" anwendbar ist, einfügen:</w:t>
            </w:r>
          </w:p>
          <w:p w:rsidR="0017135D" w:rsidRPr="00094377" w:rsidP="009D1C9F">
            <w:pPr>
              <w:pStyle w:val="CSBody8pt"/>
              <w:rPr>
                <w:lang w:val="de-DE"/>
              </w:rPr>
            </w:pPr>
            <w:r w:rsidRPr="0079254A">
              <w:rPr>
                <w:lang w:val="de-DE"/>
              </w:rPr>
              <w:t>Mitteilung über die Verlängerung im Fall einer Nichtanerkennung / eines Moratoriums</w:t>
            </w:r>
            <w:r>
              <w:rPr>
                <w:lang w:val="de-DE"/>
              </w:rPr>
              <w:fldChar w:fldCharType="begin"/>
            </w:r>
            <w:r w:rsidRPr="0079254A">
              <w:rPr>
                <w:lang w:val="de-DE"/>
              </w:rPr>
              <w:instrText xml:space="preserve"> XE "</w:instrText>
            </w:r>
            <w:r w:rsidRPr="00FA1808">
              <w:rPr>
                <w:lang w:val="de-DE"/>
              </w:rPr>
              <w:instrText>Mitteilung über die Verlängerung im Fall einer Nichtanerkennung / eines Moratoriums</w:instrText>
            </w:r>
            <w:r w:rsidRPr="0079254A">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094377" w:rsidP="009D1C9F">
            <w:pPr>
              <w:pStyle w:val="CSBody8pt"/>
              <w:rPr>
                <w:bCs/>
                <w:lang w:val="de-DE"/>
              </w:rPr>
            </w:pPr>
            <w:r w:rsidRPr="00094377">
              <w:rPr>
                <w:bCs/>
                <w:lang w:val="de-DE"/>
              </w:rPr>
              <w:t xml:space="preserve">eine unwiderrufliche Mitteilung der Berechnungsstelle an die Inhaber </w:t>
            </w:r>
            <w:r w:rsidRPr="00792D61">
              <w:rPr>
                <w:b/>
                <w:bCs/>
                <w:lang w:val="de-DE"/>
              </w:rPr>
              <w:t>[</w:t>
            </w:r>
            <w:r w:rsidRPr="00094377">
              <w:rPr>
                <w:bCs/>
                <w:lang w:val="de-DE"/>
              </w:rPr>
              <w:t>gemäss Ziffer 8</w:t>
            </w:r>
            <w:r w:rsidRPr="00792D61">
              <w:rPr>
                <w:b/>
                <w:bCs/>
                <w:lang w:val="de-DE"/>
              </w:rPr>
              <w:t>][[</w:t>
            </w:r>
            <w:r w:rsidRPr="00094377">
              <w:rPr>
                <w:bCs/>
                <w:lang w:val="de-DE"/>
              </w:rPr>
              <w:t>•</w:t>
            </w:r>
            <w:r w:rsidRPr="00792D61">
              <w:rPr>
                <w:b/>
                <w:bCs/>
                <w:lang w:val="de-DE"/>
              </w:rPr>
              <w:t>]]</w:t>
            </w:r>
            <w:r w:rsidRPr="00094377">
              <w:rPr>
                <w:bCs/>
                <w:lang w:val="de-DE"/>
              </w:rPr>
              <w:t xml:space="preserve">, in der eine Potenzielle Nichtanerkennung / ein Potenzielles Moratorium beschrieben wird, das an oder nach dem </w:t>
            </w:r>
            <w:r w:rsidRPr="00792D61">
              <w:rPr>
                <w:b/>
                <w:bCs/>
                <w:lang w:val="de-DE"/>
              </w:rPr>
              <w:t>[</w:t>
            </w:r>
            <w:r w:rsidRPr="00094377">
              <w:rPr>
                <w:bCs/>
                <w:lang w:val="de-DE"/>
              </w:rPr>
              <w:t>Abschlusstag</w:t>
            </w:r>
            <w:r w:rsidRPr="00792D61">
              <w:rPr>
                <w:b/>
                <w:bCs/>
                <w:lang w:val="de-DE"/>
              </w:rPr>
              <w:t>][</w:t>
            </w:r>
            <w:r w:rsidRPr="00094377">
              <w:rPr>
                <w:bCs/>
                <w:lang w:val="de-DE"/>
              </w:rPr>
              <w:t>Emissionstag</w:t>
            </w:r>
            <w:r w:rsidRPr="00792D61">
              <w:rPr>
                <w:b/>
                <w:bCs/>
                <w:lang w:val="de-DE"/>
              </w:rPr>
              <w:t>]</w:t>
            </w:r>
            <w:r w:rsidRPr="00094377">
              <w:rPr>
                <w:bCs/>
                <w:lang w:val="de-DE"/>
              </w:rPr>
              <w:t xml:space="preserve"> und an oder vor dem Planmässigen Fälligkeitstag (oder falls anwendbar, für Zwecke der Bestimmung von Zahlungen von Zinszahlungsbeträgen, dem massgeblichen Zinszahlungstag) eingetreten ist. Eine Mitteilung über die Verlängerung im Fall einer Nichtanerkennung / eines Moratoriums muss eine hinreichend ausführliche Beschreibung der für die Feststellung, dass eine Potenzielle Nichtanerkennung / ein Potenzielles Moratorium eingetreten ist, massgeblichen Tatsachen enthalten sowie das Datum des Eintritts angeben. Es ist nicht erforderlich, dass die Potenzielle Nichtanerkennung / das Potenzielle Moratorium, die bzw. das Gegenstand der Mitteilung über die Verlängerung im Fall einer Nichtanerkennung / eines Moratoriums ist, am Tag des Wirksamwerdens der Mitteilung über die Verlängerung im Fall einer Nichtanerkennung / eines Moratoriums noch andauert.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9254A" w:rsidP="000C557A">
            <w:pPr>
              <w:pStyle w:val="CSBody8pt"/>
              <w:rPr>
                <w:lang w:val="de-DE"/>
              </w:rPr>
            </w:pPr>
            <w:r w:rsidRPr="0079254A">
              <w:rPr>
                <w:lang w:val="de-DE"/>
              </w:rPr>
              <w:t>Resolve, Resolved</w:t>
            </w:r>
            <w:r>
              <w:rPr>
                <w:lang w:val="de-DE"/>
              </w:rPr>
              <w:fldChar w:fldCharType="begin"/>
            </w:r>
            <w:r>
              <w:instrText xml:space="preserve"> XE "</w:instrText>
            </w:r>
            <w:r w:rsidRPr="00D9113D">
              <w:rPr>
                <w:lang w:val="de-DE"/>
              </w:rPr>
              <w:instrText>Resolve, Resolved</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79254A" w:rsidP="000C557A">
            <w:pPr>
              <w:pStyle w:val="CSBody8pt"/>
            </w:pPr>
            <w:r w:rsidRPr="0079254A">
              <w:t>Relates to any determination or decision made by the relevant Credit Derivative Determinations Committee.</w:t>
            </w:r>
          </w:p>
        </w:tc>
        <w:tc>
          <w:tcPr>
            <w:tcW w:w="1618" w:type="dxa"/>
            <w:gridSpan w:val="2"/>
            <w:tcBorders>
              <w:top w:val="nil"/>
              <w:bottom w:val="nil"/>
              <w:right w:val="nil"/>
            </w:tcBorders>
            <w:shd w:val="clear" w:color="auto" w:fill="auto"/>
          </w:tcPr>
          <w:p w:rsidR="0017135D" w:rsidRPr="0079254A" w:rsidP="000C557A">
            <w:pPr>
              <w:pStyle w:val="CSBody8pt"/>
            </w:pPr>
            <w:r w:rsidRPr="0079254A">
              <w:t>Beschlossen, Beschliessen</w:t>
            </w:r>
            <w:r>
              <w:fldChar w:fldCharType="begin"/>
            </w:r>
            <w:r>
              <w:instrText xml:space="preserve"> XE "</w:instrText>
            </w:r>
            <w:r w:rsidRPr="00406C0E">
              <w:instrText>Beschlossen, Beschliessen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D821D3" w:rsidP="000C557A">
            <w:pPr>
              <w:pStyle w:val="CSBody8pt"/>
              <w:rPr>
                <w:bCs/>
                <w:lang w:val="de-DE"/>
              </w:rPr>
            </w:pPr>
            <w:r w:rsidRPr="0079254A">
              <w:rPr>
                <w:bCs/>
                <w:lang w:val="de-DE"/>
              </w:rPr>
              <w:t>Bezieht sich auf jede durch den zuständigen Kreditderivate-Feststellungsausschuss getroffene Feststellung oder Entscheidung.</w:t>
            </w:r>
          </w:p>
        </w:tc>
      </w:tr>
      <w:tr w:rsidTr="004C1EBA">
        <w:tblPrEx>
          <w:tblW w:w="4999" w:type="pct"/>
          <w:tblLayout w:type="fixed"/>
          <w:tblCellMar>
            <w:left w:w="115" w:type="dxa"/>
            <w:right w:w="115" w:type="dxa"/>
          </w:tblCellMar>
          <w:tblLook w:val="04A0"/>
        </w:tblPrEx>
        <w:trPr>
          <w:trHeight w:val="2791"/>
        </w:trPr>
        <w:tc>
          <w:tcPr>
            <w:tcW w:w="1616" w:type="dxa"/>
            <w:gridSpan w:val="3"/>
            <w:tcBorders>
              <w:top w:val="nil"/>
              <w:left w:val="nil"/>
              <w:right w:val="nil"/>
            </w:tcBorders>
            <w:shd w:val="clear" w:color="auto" w:fill="auto"/>
          </w:tcPr>
          <w:p w:rsidR="0017135D" w:rsidRPr="00D821D3" w:rsidP="000C557A">
            <w:pPr>
              <w:pStyle w:val="CSBody8ptbolditalics"/>
            </w:pPr>
            <w:r w:rsidRPr="00792D61">
              <w:t>[</w:t>
            </w:r>
            <w:r w:rsidRPr="00D821D3">
              <w:t>if M(M)R Restructuring is applicable, insert:</w:t>
            </w:r>
          </w:p>
          <w:p w:rsidR="0017135D" w:rsidRPr="00D821D3" w:rsidP="000C557A">
            <w:pPr>
              <w:pStyle w:val="CSBody8pt"/>
            </w:pPr>
            <w:r w:rsidRPr="0079254A">
              <w:t>Restructured Bond or Loan</w:t>
            </w:r>
            <w:r>
              <w:fldChar w:fldCharType="begin"/>
            </w:r>
            <w:r>
              <w:instrText xml:space="preserve"> XE "</w:instrText>
            </w:r>
            <w:r w:rsidRPr="00A227F8">
              <w:instrText>Restructured Bond or Loan</w:instrText>
            </w:r>
            <w:r>
              <w:instrText xml:space="preserve">" \f "EN" </w:instrText>
            </w:r>
            <w:r>
              <w:fldChar w:fldCharType="end"/>
            </w:r>
            <w:r w:rsidRPr="0079254A">
              <w:t xml:space="preserve"> </w:t>
            </w:r>
          </w:p>
        </w:tc>
        <w:tc>
          <w:tcPr>
            <w:tcW w:w="3315" w:type="dxa"/>
            <w:gridSpan w:val="2"/>
            <w:tcBorders>
              <w:top w:val="nil"/>
              <w:left w:val="nil"/>
            </w:tcBorders>
            <w:shd w:val="clear" w:color="auto" w:fill="auto"/>
          </w:tcPr>
          <w:p w:rsidR="0017135D" w:rsidRPr="00D821D3" w:rsidP="000C557A">
            <w:pPr>
              <w:pStyle w:val="CSBody8pt"/>
            </w:pPr>
            <w:r w:rsidRPr="00D821D3">
              <w:t>an Obligation that is a Bond or Loan and with respect to which the relevant Restructuring has occurred.</w:t>
            </w:r>
            <w:r w:rsidRPr="00792D61">
              <w:rPr>
                <w:b/>
              </w:rPr>
              <w:t>]</w:t>
            </w:r>
          </w:p>
        </w:tc>
        <w:tc>
          <w:tcPr>
            <w:tcW w:w="1618" w:type="dxa"/>
            <w:gridSpan w:val="2"/>
            <w:tcBorders>
              <w:top w:val="nil"/>
              <w:right w:val="nil"/>
            </w:tcBorders>
            <w:shd w:val="clear" w:color="auto" w:fill="auto"/>
          </w:tcPr>
          <w:p w:rsidR="0017135D" w:rsidRPr="00D821D3" w:rsidP="000C557A">
            <w:pPr>
              <w:pStyle w:val="CSBody8ptbolditalics"/>
              <w:rPr>
                <w:lang w:val="de-DE"/>
              </w:rPr>
            </w:pPr>
            <w:r w:rsidRPr="00792D61">
              <w:rPr>
                <w:lang w:val="de-DE"/>
              </w:rPr>
              <w:t>[</w:t>
            </w:r>
            <w:r w:rsidRPr="00D821D3">
              <w:rPr>
                <w:lang w:val="de-DE"/>
              </w:rPr>
              <w:t>falls M(M)R-Restrukturierung anwendbar ist, einfügen:</w:t>
            </w:r>
          </w:p>
          <w:p w:rsidR="0017135D" w:rsidRPr="00D821D3" w:rsidP="000C557A">
            <w:pPr>
              <w:pStyle w:val="CSBody8pt"/>
              <w:rPr>
                <w:lang w:val="de-DE"/>
              </w:rPr>
            </w:pPr>
            <w:r w:rsidRPr="009D64F1">
              <w:rPr>
                <w:lang w:val="de-DE"/>
              </w:rPr>
              <w:t>Restrukturierte</w:t>
            </w:r>
            <w:r>
              <w:rPr>
                <w:lang w:val="de-DE"/>
              </w:rPr>
              <w:t xml:space="preserve"> Anleihe bzw. Re</w:t>
            </w:r>
            <w:r w:rsidRPr="009D64F1">
              <w:rPr>
                <w:lang w:val="de-DE"/>
              </w:rPr>
              <w:t>strukturiertes Darlehen</w:t>
            </w:r>
            <w:r>
              <w:rPr>
                <w:lang w:val="de-DE"/>
              </w:rPr>
              <w:fldChar w:fldCharType="begin"/>
            </w:r>
            <w:r w:rsidRPr="009D64F1">
              <w:rPr>
                <w:lang w:val="de-DE"/>
              </w:rPr>
              <w:instrText xml:space="preserve"> XE "</w:instrText>
            </w:r>
            <w:r>
              <w:rPr>
                <w:lang w:val="de-DE"/>
              </w:rPr>
              <w:instrText>Restrukturierte Anleihe bzw. Re</w:instrText>
            </w:r>
            <w:r w:rsidRPr="00B8039E">
              <w:rPr>
                <w:lang w:val="de-DE"/>
              </w:rPr>
              <w:instrText>strukturiertes Darlehen</w:instrText>
            </w:r>
            <w:r w:rsidRPr="009D64F1">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D821D3" w:rsidP="000C557A">
            <w:pPr>
              <w:pStyle w:val="CSBody8pt"/>
              <w:rPr>
                <w:bCs/>
                <w:lang w:val="de-DE"/>
              </w:rPr>
            </w:pPr>
            <w:r w:rsidRPr="00D821D3">
              <w:rPr>
                <w:bCs/>
                <w:lang w:val="de-DE"/>
              </w:rPr>
              <w:t>jede Verbindlichkeit, die eine Anleihe oder ein Darlehen ist und hinsichtlich derer eine Restrukturierung eingetreten ist.</w:t>
            </w:r>
            <w:r w:rsidRPr="00792D61">
              <w:rPr>
                <w:b/>
                <w:bCs/>
                <w:lang w:val="de-DE"/>
              </w:rPr>
              <w:t>]</w:t>
            </w:r>
          </w:p>
        </w:tc>
      </w:tr>
      <w:tr w:rsidTr="004C1EBA">
        <w:tblPrEx>
          <w:tblW w:w="4999" w:type="pct"/>
          <w:tblLayout w:type="fixed"/>
          <w:tblCellMar>
            <w:left w:w="115" w:type="dxa"/>
            <w:right w:w="115" w:type="dxa"/>
          </w:tblCellMar>
          <w:tblLook w:val="04A0"/>
        </w:tblPrEx>
        <w:trPr>
          <w:trHeight w:val="2018"/>
        </w:trPr>
        <w:tc>
          <w:tcPr>
            <w:tcW w:w="1616" w:type="dxa"/>
            <w:gridSpan w:val="3"/>
            <w:tcBorders>
              <w:top w:val="nil"/>
              <w:left w:val="nil"/>
              <w:right w:val="nil"/>
            </w:tcBorders>
            <w:shd w:val="clear" w:color="auto" w:fill="auto"/>
          </w:tcPr>
          <w:p w:rsidR="0017135D" w:rsidRPr="00C70BEB" w:rsidP="000C557A">
            <w:pPr>
              <w:pStyle w:val="CSBody8ptbolditalics"/>
            </w:pPr>
            <w:r w:rsidRPr="00792D61">
              <w:t>[</w:t>
            </w:r>
            <w:r w:rsidRPr="00C70BEB">
              <w:t>if Restructuring is applicable, insert:</w:t>
            </w:r>
          </w:p>
          <w:p w:rsidR="0017135D" w:rsidRPr="00C70BEB" w:rsidP="00A35A51">
            <w:pPr>
              <w:pStyle w:val="CSBody8pt"/>
            </w:pPr>
            <w:r w:rsidRPr="0079254A">
              <w:t>Restructuring</w:t>
            </w:r>
            <w:r>
              <w:fldChar w:fldCharType="begin"/>
            </w:r>
            <w:r>
              <w:instrText xml:space="preserve"> XE "</w:instrText>
            </w:r>
            <w:r w:rsidRPr="00853C8B">
              <w:instrText>Restructuring</w:instrText>
            </w:r>
            <w:r>
              <w:instrText xml:space="preserve">" \f "EN" </w:instrText>
            </w:r>
            <w:r>
              <w:fldChar w:fldCharType="end"/>
            </w:r>
          </w:p>
        </w:tc>
        <w:tc>
          <w:tcPr>
            <w:tcW w:w="3315" w:type="dxa"/>
            <w:gridSpan w:val="2"/>
            <w:tcBorders>
              <w:top w:val="nil"/>
              <w:left w:val="nil"/>
            </w:tcBorders>
            <w:shd w:val="clear" w:color="auto" w:fill="auto"/>
          </w:tcPr>
          <w:p w:rsidR="0017135D" w:rsidRPr="00C70BEB" w:rsidP="000C557A">
            <w:pPr>
              <w:pStyle w:val="CSBody8pt"/>
            </w:pPr>
            <w:r w:rsidRPr="00C70BEB">
              <w:t>has the meaning assigned to such term in subsection C.5 of Section 1.1.</w:t>
            </w:r>
            <w:r w:rsidRPr="00792D61">
              <w:rPr>
                <w:b/>
              </w:rPr>
              <w:t>]</w:t>
            </w:r>
          </w:p>
        </w:tc>
        <w:tc>
          <w:tcPr>
            <w:tcW w:w="1618" w:type="dxa"/>
            <w:gridSpan w:val="2"/>
            <w:tcBorders>
              <w:top w:val="nil"/>
              <w:right w:val="nil"/>
            </w:tcBorders>
            <w:shd w:val="clear" w:color="auto" w:fill="auto"/>
          </w:tcPr>
          <w:p w:rsidR="0017135D" w:rsidRPr="00C70BEB" w:rsidP="000C557A">
            <w:pPr>
              <w:pStyle w:val="CSBody8ptbolditalics"/>
              <w:rPr>
                <w:lang w:val="de-DE"/>
              </w:rPr>
            </w:pPr>
            <w:r w:rsidRPr="00792D61">
              <w:rPr>
                <w:lang w:val="de-DE"/>
              </w:rPr>
              <w:t>[</w:t>
            </w:r>
            <w:r w:rsidRPr="00C70BEB">
              <w:rPr>
                <w:lang w:val="de-DE"/>
              </w:rPr>
              <w:t>falls Restrukturierung anwendbar ist, einfügen:</w:t>
            </w:r>
          </w:p>
          <w:p w:rsidR="0017135D" w:rsidRPr="00C70BEB" w:rsidP="00A35A51">
            <w:pPr>
              <w:pStyle w:val="CSBody8pt"/>
              <w:rPr>
                <w:lang w:val="de-DE"/>
              </w:rPr>
            </w:pPr>
            <w:r w:rsidRPr="0079254A">
              <w:t>Restrukturierung</w:t>
            </w:r>
            <w:r>
              <w:fldChar w:fldCharType="begin"/>
            </w:r>
            <w:r>
              <w:instrText xml:space="preserve"> XE "</w:instrText>
            </w:r>
            <w:r w:rsidRPr="0065635A">
              <w:instrText>Restrukturierung</w:instrText>
            </w:r>
            <w:r>
              <w:instrText xml:space="preserve">" </w:instrText>
            </w:r>
            <w:r>
              <w:fldChar w:fldCharType="end"/>
            </w:r>
          </w:p>
        </w:tc>
        <w:tc>
          <w:tcPr>
            <w:tcW w:w="3318" w:type="dxa"/>
            <w:tcBorders>
              <w:top w:val="nil"/>
              <w:left w:val="nil"/>
              <w:right w:val="nil"/>
            </w:tcBorders>
            <w:shd w:val="clear" w:color="auto" w:fill="auto"/>
          </w:tcPr>
          <w:p w:rsidR="0017135D" w:rsidRPr="00C70BEB" w:rsidP="000C557A">
            <w:pPr>
              <w:pStyle w:val="CSBody8pt"/>
              <w:rPr>
                <w:bCs/>
                <w:lang w:val="de-DE"/>
              </w:rPr>
            </w:pPr>
            <w:r w:rsidRPr="00C70BEB">
              <w:rPr>
                <w:bCs/>
                <w:lang w:val="de-DE"/>
              </w:rPr>
              <w:t>hat die diesem Begriff in Unterabschnitt C.5 von Ziffer 1.1. zugewiesene Bedeutung.</w:t>
            </w:r>
            <w:r w:rsidRPr="00792D61">
              <w:rPr>
                <w:b/>
                <w:bCs/>
                <w:lang w:val="de-DE"/>
              </w:rPr>
              <w:t>]</w:t>
            </w:r>
          </w:p>
        </w:tc>
      </w:tr>
      <w:tr w:rsidTr="004C1EBA">
        <w:tblPrEx>
          <w:tblW w:w="4999" w:type="pct"/>
          <w:tblLayout w:type="fixed"/>
          <w:tblCellMar>
            <w:left w:w="115" w:type="dxa"/>
            <w:right w:w="115" w:type="dxa"/>
          </w:tblCellMar>
          <w:tblLook w:val="04A0"/>
        </w:tblPrEx>
        <w:trPr>
          <w:trHeight w:val="2211"/>
        </w:trPr>
        <w:tc>
          <w:tcPr>
            <w:tcW w:w="1616" w:type="dxa"/>
            <w:gridSpan w:val="3"/>
            <w:tcBorders>
              <w:top w:val="nil"/>
              <w:left w:val="nil"/>
              <w:right w:val="nil"/>
            </w:tcBorders>
            <w:shd w:val="clear" w:color="auto" w:fill="auto"/>
          </w:tcPr>
          <w:p w:rsidR="0017135D" w:rsidRPr="00C70BEB" w:rsidP="000C557A">
            <w:pPr>
              <w:pStyle w:val="CSBody8ptbolditalics"/>
            </w:pPr>
            <w:r w:rsidRPr="00792D61">
              <w:t>[</w:t>
            </w:r>
            <w:r w:rsidRPr="005F7EBF">
              <w:t>if M(M)R Restructuring is applicable, insert:</w:t>
            </w:r>
          </w:p>
          <w:p w:rsidR="0017135D" w:rsidRPr="00C70BEB" w:rsidP="000C557A">
            <w:pPr>
              <w:pStyle w:val="CSBody8pt"/>
            </w:pPr>
            <w:r w:rsidRPr="005F7EBF">
              <w:t>Restructuring Date</w:t>
            </w:r>
            <w:r>
              <w:fldChar w:fldCharType="begin"/>
            </w:r>
            <w:r>
              <w:instrText xml:space="preserve"> XE "</w:instrText>
            </w:r>
            <w:r w:rsidRPr="00462A23">
              <w:instrText>Restructuring Date</w:instrText>
            </w:r>
            <w:r>
              <w:instrText xml:space="preserve">" \f "EN" </w:instrText>
            </w:r>
            <w:r>
              <w:fldChar w:fldCharType="end"/>
            </w:r>
          </w:p>
        </w:tc>
        <w:tc>
          <w:tcPr>
            <w:tcW w:w="3315" w:type="dxa"/>
            <w:gridSpan w:val="2"/>
            <w:tcBorders>
              <w:top w:val="nil"/>
              <w:left w:val="nil"/>
            </w:tcBorders>
            <w:shd w:val="clear" w:color="auto" w:fill="auto"/>
          </w:tcPr>
          <w:p w:rsidR="0017135D" w:rsidRPr="00C70BEB" w:rsidP="000C557A">
            <w:pPr>
              <w:pStyle w:val="CSBody8pt"/>
            </w:pPr>
            <w:r w:rsidRPr="005F7EBF">
              <w:t>the date on which a Restructuring is legally effective in accordance with the terms of the documentation governing such Restructuring.</w:t>
            </w:r>
            <w:r w:rsidRPr="00792D61">
              <w:rPr>
                <w:b/>
              </w:rPr>
              <w:t>]</w:t>
            </w:r>
          </w:p>
        </w:tc>
        <w:tc>
          <w:tcPr>
            <w:tcW w:w="1618" w:type="dxa"/>
            <w:gridSpan w:val="2"/>
            <w:tcBorders>
              <w:top w:val="nil"/>
              <w:right w:val="nil"/>
            </w:tcBorders>
            <w:shd w:val="clear" w:color="auto" w:fill="auto"/>
          </w:tcPr>
          <w:p w:rsidR="0017135D" w:rsidRPr="00926334" w:rsidP="000C557A">
            <w:pPr>
              <w:pStyle w:val="CSBody8ptbolditalics"/>
              <w:rPr>
                <w:lang w:val="de-DE"/>
              </w:rPr>
            </w:pPr>
            <w:r w:rsidRPr="00792D61">
              <w:rPr>
                <w:lang w:val="de-DE"/>
              </w:rPr>
              <w:t>[</w:t>
            </w:r>
            <w:r w:rsidRPr="00926334">
              <w:rPr>
                <w:lang w:val="de-DE"/>
              </w:rPr>
              <w:t>falls M(M)R-Restrukturierung anwendbar ist, anwendbar ist, einfügen:</w:t>
            </w:r>
          </w:p>
          <w:p w:rsidR="0017135D" w:rsidRPr="00926334" w:rsidP="000C557A">
            <w:pPr>
              <w:pStyle w:val="CSBody8pt"/>
              <w:rPr>
                <w:lang w:val="de-DE"/>
              </w:rPr>
            </w:pPr>
            <w:r>
              <w:t>Re</w:t>
            </w:r>
            <w:r w:rsidRPr="0079254A">
              <w:t>strukturierungstag</w:t>
            </w:r>
            <w:r>
              <w:fldChar w:fldCharType="begin"/>
            </w:r>
            <w:r>
              <w:instrText xml:space="preserve"> XE "Re</w:instrText>
            </w:r>
            <w:r w:rsidRPr="00DF14A7">
              <w:instrText>strukturierungstag</w:instrText>
            </w:r>
            <w:r>
              <w:instrText xml:space="preserve">" </w:instrText>
            </w:r>
            <w:r>
              <w:fldChar w:fldCharType="end"/>
            </w:r>
          </w:p>
        </w:tc>
        <w:tc>
          <w:tcPr>
            <w:tcW w:w="3318" w:type="dxa"/>
            <w:tcBorders>
              <w:top w:val="nil"/>
              <w:left w:val="nil"/>
              <w:right w:val="nil"/>
            </w:tcBorders>
            <w:shd w:val="clear" w:color="auto" w:fill="auto"/>
          </w:tcPr>
          <w:p w:rsidR="0017135D" w:rsidRPr="00926334" w:rsidP="000C557A">
            <w:pPr>
              <w:pStyle w:val="CSBody8pt"/>
              <w:rPr>
                <w:bCs/>
                <w:lang w:val="de-DE"/>
              </w:rPr>
            </w:pPr>
            <w:r w:rsidRPr="00926334">
              <w:rPr>
                <w:bCs/>
                <w:lang w:val="de-DE"/>
              </w:rPr>
              <w:t>der Tag, an dem eine Restrukturierung gemäss den Bestimmungen der sie regelnden Dokumente rechtswirksam wird.</w:t>
            </w:r>
            <w:r w:rsidRPr="00792D61">
              <w:rPr>
                <w:b/>
                <w:bCs/>
                <w:lang w:val="de-DE"/>
              </w:rPr>
              <w:t>]</w:t>
            </w:r>
          </w:p>
        </w:tc>
      </w:tr>
      <w:tr w:rsidTr="00BD6E0D">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C70BEB" w:rsidP="000C557A">
            <w:pPr>
              <w:pStyle w:val="CSBody8ptbolditalics"/>
            </w:pPr>
            <w:r w:rsidRPr="00792D61">
              <w:t>[</w:t>
            </w:r>
            <w:r w:rsidRPr="005F7EBF">
              <w:t>if Mod R is applicable, insert:</w:t>
            </w:r>
          </w:p>
          <w:p w:rsidR="0017135D" w:rsidRPr="00C70BEB" w:rsidP="00232051">
            <w:pPr>
              <w:pStyle w:val="CSBody8pt"/>
            </w:pPr>
            <w:r w:rsidRPr="0079254A">
              <w:t>Restructuring Maturity Limitation Date</w:t>
            </w:r>
            <w:r>
              <w:fldChar w:fldCharType="begin"/>
            </w:r>
            <w:r>
              <w:instrText xml:space="preserve"> XE "</w:instrText>
            </w:r>
            <w:r w:rsidRPr="008F6F9B">
              <w:instrText>Restructuring Maturity Limitation Date</w:instrText>
            </w:r>
            <w:r>
              <w:instrText xml:space="preserve">" \f "EN" </w:instrText>
            </w:r>
            <w:r>
              <w:fldChar w:fldCharType="end"/>
            </w:r>
          </w:p>
        </w:tc>
        <w:tc>
          <w:tcPr>
            <w:tcW w:w="3315" w:type="dxa"/>
            <w:gridSpan w:val="2"/>
            <w:tcBorders>
              <w:top w:val="nil"/>
              <w:left w:val="nil"/>
            </w:tcBorders>
            <w:shd w:val="clear" w:color="auto" w:fill="auto"/>
          </w:tcPr>
          <w:p w:rsidR="0017135D" w:rsidRPr="00C70BEB" w:rsidP="00232051">
            <w:pPr>
              <w:pStyle w:val="CSBody8pt"/>
            </w:pPr>
            <w:r w:rsidRPr="005F7EBF">
              <w:t>with respect to a Valuation Obligation, the Limitation Date occurring on or immediately following the Scheduled Maturity Date. Notwithstanding the foregoing, if the final maturity date of the Restructured Bond or Loan with the latest final maturity date of any Restructured Bond or Loan occurs prior to the 2.5-year Limitation Date (such Restructured Bond or Loan, a "</w:t>
            </w:r>
            <w:r w:rsidRPr="000C557A">
              <w:rPr>
                <w:b/>
              </w:rPr>
              <w:t>Latest Maturity Restructured Bond or Loan</w:t>
            </w:r>
            <w:r w:rsidRPr="005F7EBF">
              <w:t>") and the Scheduled Maturity Date occurs prior to the final maturity date of such Latest Maturity Restructured Bond or Loan, then the Restructuring Maturity Limitation Date will be the final maturity date of such Latest Maturity Restructured Bond or Loan.</w:t>
            </w:r>
            <w:r w:rsidRPr="00792D61">
              <w:rPr>
                <w:b/>
              </w:rPr>
              <w:t>]</w:t>
            </w:r>
          </w:p>
        </w:tc>
        <w:tc>
          <w:tcPr>
            <w:tcW w:w="1618" w:type="dxa"/>
            <w:gridSpan w:val="2"/>
            <w:tcBorders>
              <w:top w:val="nil"/>
              <w:right w:val="nil"/>
            </w:tcBorders>
            <w:shd w:val="clear" w:color="auto" w:fill="auto"/>
          </w:tcPr>
          <w:p w:rsidR="0017135D" w:rsidRPr="00926334" w:rsidP="000C557A">
            <w:pPr>
              <w:pStyle w:val="CSBody8ptbolditalics"/>
              <w:rPr>
                <w:lang w:val="de-DE"/>
              </w:rPr>
            </w:pPr>
            <w:r w:rsidRPr="00792D61">
              <w:rPr>
                <w:lang w:val="de-DE"/>
              </w:rPr>
              <w:t>[</w:t>
            </w:r>
            <w:r w:rsidRPr="00926334">
              <w:rPr>
                <w:lang w:val="de-DE"/>
              </w:rPr>
              <w:t>falls Mod R anwendbar ist, anwendbar ist, einfügen:</w:t>
            </w:r>
          </w:p>
          <w:p w:rsidR="0017135D" w:rsidRPr="00926334" w:rsidP="009D64F1">
            <w:pPr>
              <w:pStyle w:val="CSBody8pt"/>
              <w:rPr>
                <w:lang w:val="de-DE"/>
              </w:rPr>
            </w:pPr>
            <w:r>
              <w:rPr>
                <w:lang w:val="de-DE"/>
              </w:rPr>
              <w:t>Laufzeit</w:t>
            </w:r>
            <w:r w:rsidRPr="0079254A">
              <w:rPr>
                <w:lang w:val="de-DE"/>
              </w:rPr>
              <w:t>beschränkungs</w:t>
            </w:r>
            <w:r w:rsidRPr="0079254A">
              <w:rPr>
                <w:lang w:val="de-DE"/>
              </w:rPr>
              <w:softHyphen/>
              <w:t>tag bei Restrukturierung</w:t>
            </w:r>
            <w:r>
              <w:rPr>
                <w:lang w:val="de-DE"/>
              </w:rPr>
              <w:fldChar w:fldCharType="begin"/>
            </w:r>
            <w:r w:rsidRPr="0079254A">
              <w:rPr>
                <w:lang w:val="de-DE"/>
              </w:rPr>
              <w:instrText xml:space="preserve"> XE "</w:instrText>
            </w:r>
            <w:r>
              <w:rPr>
                <w:lang w:val="de-DE"/>
              </w:rPr>
              <w:instrText>Laufzeit</w:instrText>
            </w:r>
            <w:r w:rsidRPr="00C6649C">
              <w:rPr>
                <w:lang w:val="de-DE"/>
              </w:rPr>
              <w:instrText>beschränkungstag bei Restrukturierung</w:instrText>
            </w:r>
            <w:r w:rsidRPr="0079254A">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926334" w:rsidP="00232051">
            <w:pPr>
              <w:pStyle w:val="CSBody8pt"/>
              <w:rPr>
                <w:lang w:val="de-DE"/>
              </w:rPr>
            </w:pPr>
            <w:r w:rsidRPr="00926334">
              <w:rPr>
                <w:lang w:val="de-DE"/>
              </w:rPr>
              <w:t>in Bezug auf eine Lieferbare Verbindlichkeit der Beschränkungstag, der an oder unmittelbar nach dem Planmässigen Fälligkeitstag liegt. Ungeachtet des Vorstehenden ist der Laufzeitbeschränkungstag bei Restrukturierung in dem Fall, dass der Endfälligkeitstermin der Restrukturierten Anleihe bzw. des Restrukturierten Darlehens mit dem spätesten Endfälligkeitstermin aller Restrukturierten Anleihen bzw. Restrukturierten Darlehen vor dem 2,5-Jahre-Beschränkungstag liegt (diese Restrukturierte Anleihe bzw. dieses Restrukturierte Darlehen wird als die "</w:t>
            </w:r>
            <w:r w:rsidRPr="000C557A">
              <w:rPr>
                <w:b/>
                <w:lang w:val="de-DE"/>
              </w:rPr>
              <w:t>Restrukturierte Anleihe bzw. das Restrukturierte Darlehen mit der Längsten Laufzeit</w:t>
            </w:r>
            <w:r w:rsidRPr="00926334">
              <w:rPr>
                <w:lang w:val="de-DE"/>
              </w:rPr>
              <w:t>" bezeichnet) und der Planmässige Fälligkeitstag vor dem Endfälligkeitstermin der Restrukturierten Anleihe bzw. des Restrukturierten Darlehens mit der Längsten Laufzeit liegt, der Endfälligkeitstermin der Restrukturierten Anleihe bzw. des Restrukturierten Darlehens mit der Längsten Laufzeit.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E502F" w:rsidP="0046463E">
            <w:pPr>
              <w:pStyle w:val="CSBody8ptbolditalics"/>
            </w:pPr>
            <w:r w:rsidRPr="00792D61">
              <w:t>[</w:t>
            </w:r>
            <w:r w:rsidRPr="000E502F">
              <w:t>in case of Complex Products linked to a Reference Obligation</w:t>
            </w:r>
            <w:r w:rsidR="00C77B1B">
              <w:t>, or if Financial Reference Entity Terms is applicable</w:t>
            </w:r>
            <w:r w:rsidRPr="000E502F">
              <w:t>:</w:t>
            </w:r>
          </w:p>
          <w:p w:rsidR="0017135D" w:rsidRPr="0079254A" w:rsidP="000C557A">
            <w:pPr>
              <w:pStyle w:val="CSBody8pt"/>
            </w:pPr>
            <w:r w:rsidRPr="0079254A">
              <w:t>Senior Obligation</w:t>
            </w:r>
            <w:r>
              <w:fldChar w:fldCharType="begin"/>
            </w:r>
            <w:r>
              <w:instrText xml:space="preserve"> XE "</w:instrText>
            </w:r>
            <w:r w:rsidRPr="00446C75">
              <w:instrText>Senior Obligation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3868EC" w:rsidP="000C557A">
            <w:pPr>
              <w:pStyle w:val="CSBody8pt"/>
              <w:rPr>
                <w:b/>
              </w:rPr>
            </w:pPr>
            <w:r w:rsidRPr="0079254A">
              <w:t>any obligation which is not Subordinated to any unsubordinated Borrowed Money obligation of the Reference Entity.</w:t>
            </w:r>
            <w:r>
              <w:rPr>
                <w:b/>
              </w:rPr>
              <w:t>]</w:t>
            </w:r>
          </w:p>
        </w:tc>
        <w:tc>
          <w:tcPr>
            <w:tcW w:w="1618" w:type="dxa"/>
            <w:gridSpan w:val="2"/>
            <w:tcBorders>
              <w:top w:val="nil"/>
              <w:bottom w:val="nil"/>
              <w:right w:val="nil"/>
            </w:tcBorders>
            <w:shd w:val="clear" w:color="auto" w:fill="auto"/>
          </w:tcPr>
          <w:p w:rsidR="0017135D" w:rsidRPr="000E502F" w:rsidP="0046463E">
            <w:pPr>
              <w:pStyle w:val="CSBody8ptbolditalics"/>
              <w:rPr>
                <w:lang w:val="de-DE"/>
              </w:rPr>
            </w:pPr>
            <w:r w:rsidRPr="00792D61">
              <w:rPr>
                <w:lang w:val="de-DE"/>
              </w:rPr>
              <w:t>[</w:t>
            </w:r>
            <w:r w:rsidRPr="000E502F">
              <w:rPr>
                <w:lang w:val="de-DE"/>
              </w:rPr>
              <w:t>bei an eine Referenzverbindlichkeit gekoppelten Komplexen Produkten</w:t>
            </w:r>
            <w:r w:rsidR="00C77B1B">
              <w:rPr>
                <w:lang w:val="de-DE"/>
              </w:rPr>
              <w:t xml:space="preserve">, oder </w:t>
            </w:r>
            <w:r w:rsidRPr="00BD6E0D" w:rsidR="00C77B1B">
              <w:rPr>
                <w:lang w:val="de-DE"/>
              </w:rPr>
              <w:t>falls Bedingungen für Finanzinstitute als Referenzschuldner anwendbar sind</w:t>
            </w:r>
            <w:r w:rsidRPr="00C77B1B">
              <w:rPr>
                <w:lang w:val="de-DE"/>
              </w:rPr>
              <w:t>:</w:t>
            </w:r>
          </w:p>
          <w:p w:rsidR="0017135D" w:rsidRPr="0079254A" w:rsidP="000C557A">
            <w:pPr>
              <w:pStyle w:val="CSBody8pt"/>
            </w:pPr>
            <w:r w:rsidRPr="0079254A">
              <w:t>Nicht Nachrangige Verbindlichkeit</w:t>
            </w:r>
            <w:r>
              <w:fldChar w:fldCharType="begin"/>
            </w:r>
            <w:r>
              <w:instrText xml:space="preserve"> XE "</w:instrText>
            </w:r>
            <w:r w:rsidRPr="00AE6A9D">
              <w:instrText>Nicht Nachrangige Verbindlichkeit</w:instrText>
            </w:r>
            <w:r>
              <w:instrText xml:space="preserve">" </w:instrText>
            </w:r>
            <w:r>
              <w:fldChar w:fldCharType="end"/>
            </w:r>
          </w:p>
        </w:tc>
        <w:tc>
          <w:tcPr>
            <w:tcW w:w="3318" w:type="dxa"/>
            <w:tcBorders>
              <w:top w:val="nil"/>
              <w:left w:val="nil"/>
              <w:bottom w:val="nil"/>
              <w:right w:val="nil"/>
            </w:tcBorders>
            <w:shd w:val="clear" w:color="auto" w:fill="auto"/>
          </w:tcPr>
          <w:p w:rsidR="0017135D" w:rsidRPr="003868EC" w:rsidP="000C557A">
            <w:pPr>
              <w:pStyle w:val="CSBody8pt"/>
              <w:rPr>
                <w:b/>
                <w:lang w:val="de-DE"/>
              </w:rPr>
            </w:pPr>
            <w:r w:rsidRPr="0079254A">
              <w:rPr>
                <w:lang w:val="de-DE"/>
              </w:rPr>
              <w:t>jede Verbindlichkeit, die gegenüber einer nicht nachrangigen Verbindlichkeit des Referenzschuldners in Form Aufgenommener Gelder nicht Nachrangig ist.</w:t>
            </w:r>
            <w:r>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E502F" w:rsidP="0046463E">
            <w:pPr>
              <w:pStyle w:val="CSBody8ptbolditalics"/>
            </w:pPr>
            <w:r w:rsidRPr="00792D61">
              <w:t>[</w:t>
            </w:r>
            <w:r w:rsidRPr="000E502F">
              <w:t>in case of Complex Products linked to a Reference Obligation</w:t>
            </w:r>
            <w:r w:rsidR="00C77B1B">
              <w:t xml:space="preserve"> , or if Financial Reference Entity Terms is applicable</w:t>
            </w:r>
            <w:r w:rsidRPr="000E502F" w:rsidR="00C77B1B">
              <w:t>:</w:t>
            </w:r>
          </w:p>
          <w:p w:rsidR="0017135D" w:rsidRPr="0079254A" w:rsidP="000C557A">
            <w:pPr>
              <w:pStyle w:val="CSBody8pt"/>
            </w:pPr>
            <w:r w:rsidRPr="0079254A">
              <w:t>Seniority Level</w:t>
            </w:r>
            <w:r>
              <w:fldChar w:fldCharType="begin"/>
            </w:r>
            <w:r>
              <w:instrText xml:space="preserve"> XE "</w:instrText>
            </w:r>
            <w:r w:rsidRPr="001C580E">
              <w:instrText>Seniority Level</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3868EC" w:rsidP="000C557A">
            <w:pPr>
              <w:pStyle w:val="CSBody8pt"/>
            </w:pPr>
            <w:r w:rsidRPr="00206D98">
              <w:t xml:space="preserve">with respect to an obligation of the Reference Entity, </w:t>
            </w:r>
            <w:r w:rsidRPr="00792D61">
              <w:rPr>
                <w:b/>
              </w:rPr>
              <w:t>[</w:t>
            </w:r>
            <w:r w:rsidRPr="00206D98">
              <w:t>(a)</w:t>
            </w:r>
            <w:r w:rsidRPr="00792D61">
              <w:rPr>
                <w:b/>
              </w:rPr>
              <w:t>]</w:t>
            </w:r>
            <w:r w:rsidRPr="00206D98">
              <w:t xml:space="preserve"> "Senior Level" or "Subordinated Level" as specified in Section 1.1.</w:t>
            </w:r>
            <w:r w:rsidRPr="00792D61">
              <w:rPr>
                <w:b/>
              </w:rPr>
              <w:t>[</w:t>
            </w:r>
            <w:r w:rsidRPr="00206D98">
              <w:t>, or (b) if no such seniority level is specified, "Senior Level" if the Original Non-Standard Reference Obligation is a Senior Obligation or "Subordinated Level" if the Original Non-Standard Reference Obligation is a Subordinated Obligation, failing which (c) "Senior Level".</w:t>
            </w:r>
            <w:r w:rsidRPr="00792D61">
              <w:rPr>
                <w:b/>
              </w:rPr>
              <w:t>]</w:t>
            </w:r>
            <w:r w:rsidRPr="003868EC">
              <w:rPr>
                <w:b/>
              </w:rPr>
              <w:t>]</w:t>
            </w:r>
          </w:p>
        </w:tc>
        <w:tc>
          <w:tcPr>
            <w:tcW w:w="1618" w:type="dxa"/>
            <w:gridSpan w:val="2"/>
            <w:tcBorders>
              <w:top w:val="nil"/>
              <w:bottom w:val="nil"/>
              <w:right w:val="nil"/>
            </w:tcBorders>
            <w:shd w:val="clear" w:color="auto" w:fill="auto"/>
          </w:tcPr>
          <w:p w:rsidR="0017135D" w:rsidRPr="000E502F" w:rsidP="0046463E">
            <w:pPr>
              <w:pStyle w:val="CSBody8ptbolditalics"/>
              <w:rPr>
                <w:lang w:val="de-DE"/>
              </w:rPr>
            </w:pPr>
            <w:r w:rsidRPr="00792D61">
              <w:rPr>
                <w:lang w:val="de-DE"/>
              </w:rPr>
              <w:t>[</w:t>
            </w:r>
            <w:r w:rsidRPr="000E502F">
              <w:rPr>
                <w:lang w:val="de-DE"/>
              </w:rPr>
              <w:t>bei an eine Referenzverbindlichkeit gekoppelten Komplexen Produkten</w:t>
            </w:r>
            <w:r w:rsidR="00C77B1B">
              <w:rPr>
                <w:lang w:val="de-DE"/>
              </w:rPr>
              <w:t xml:space="preserve">, oder </w:t>
            </w:r>
            <w:r w:rsidRPr="00BD6E0D" w:rsidR="00C77B1B">
              <w:rPr>
                <w:lang w:val="de-DE"/>
              </w:rPr>
              <w:t>falls Bedingungen für Finanzinstitute als Referenzschuldner anwendbar sind</w:t>
            </w:r>
            <w:r w:rsidRPr="00C77B1B">
              <w:rPr>
                <w:lang w:val="de-DE"/>
              </w:rPr>
              <w:t>:</w:t>
            </w:r>
          </w:p>
          <w:p w:rsidR="0017135D" w:rsidRPr="0079254A" w:rsidP="000C557A">
            <w:pPr>
              <w:pStyle w:val="CSBody8pt"/>
            </w:pPr>
            <w:r w:rsidRPr="0079254A">
              <w:t>Rang</w:t>
            </w:r>
            <w:r>
              <w:fldChar w:fldCharType="begin"/>
            </w:r>
            <w:r>
              <w:instrText xml:space="preserve"> XE "</w:instrText>
            </w:r>
            <w:r w:rsidRPr="00D023F2">
              <w:instrText>Rang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206D98" w:rsidP="000C557A">
            <w:pPr>
              <w:pStyle w:val="CSBody8pt"/>
              <w:rPr>
                <w:lang w:val="de-DE"/>
              </w:rPr>
            </w:pPr>
            <w:r w:rsidRPr="00206D98">
              <w:rPr>
                <w:lang w:val="de-DE"/>
              </w:rPr>
              <w:t xml:space="preserve">in Bezug auf eine Verbindlichkeit des Referenzschuldners: </w:t>
            </w:r>
            <w:r w:rsidRPr="00792D61">
              <w:rPr>
                <w:b/>
                <w:lang w:val="de-DE"/>
              </w:rPr>
              <w:t>[</w:t>
            </w:r>
            <w:r w:rsidRPr="00206D98">
              <w:rPr>
                <w:lang w:val="de-DE"/>
              </w:rPr>
              <w:t>(a)</w:t>
            </w:r>
            <w:r w:rsidRPr="00792D61">
              <w:rPr>
                <w:b/>
                <w:lang w:val="de-DE"/>
              </w:rPr>
              <w:t>]</w:t>
            </w:r>
            <w:r w:rsidRPr="00206D98">
              <w:rPr>
                <w:lang w:val="de-DE"/>
              </w:rPr>
              <w:t xml:space="preserve"> "Nicht Nachrangig" oder "Nachranging", wie in Ziffer 1.1 angegeben</w:t>
            </w:r>
            <w:r w:rsidRPr="00792D61">
              <w:rPr>
                <w:b/>
                <w:lang w:val="de-DE"/>
              </w:rPr>
              <w:t>[</w:t>
            </w:r>
            <w:r w:rsidRPr="00206D98">
              <w:rPr>
                <w:lang w:val="de-DE"/>
              </w:rPr>
              <w:t>, oder (b) sofern kein solcher Rang angegeben ist, "Nicht Nachrangig", wenn die Ursprüngliche Nicht-Standard-Referenzverbindlichkeit eine Nicht Nachrangige Verbindlichkeit ist oder "Nachrangig", wenn die Ursprüngliche Nicht-Standard-Referenzverbindlichkeit eine Nachrangige Verbindlichkeit ist, andernfalls (c) "Nicht Nachrangig".</w:t>
            </w:r>
            <w:r w:rsidRPr="00792D61">
              <w:rPr>
                <w:b/>
                <w:lang w:val="de-DE"/>
              </w:rPr>
              <w:t>]</w:t>
            </w:r>
            <w:r>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79254A" w:rsidP="000C557A">
            <w:pPr>
              <w:pStyle w:val="CSBody8pt"/>
            </w:pPr>
            <w:r w:rsidRPr="0079254A">
              <w:t>Settlement Currency</w:t>
            </w:r>
            <w:r>
              <w:fldChar w:fldCharType="begin"/>
            </w:r>
            <w:r>
              <w:instrText xml:space="preserve"> XE "</w:instrText>
            </w:r>
            <w:r w:rsidRPr="008742A6">
              <w:instrText>Settlement Currency</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79254A" w:rsidP="000C557A">
            <w:pPr>
              <w:pStyle w:val="CSBody8pt"/>
            </w:pPr>
            <w:r w:rsidRPr="0079254A">
              <w:t>the currency used for the payment of any redemption amount or any other amount, as specified in Section 1.1.</w:t>
            </w:r>
          </w:p>
        </w:tc>
        <w:tc>
          <w:tcPr>
            <w:tcW w:w="1618" w:type="dxa"/>
            <w:gridSpan w:val="2"/>
            <w:tcBorders>
              <w:top w:val="nil"/>
              <w:bottom w:val="nil"/>
              <w:right w:val="nil"/>
            </w:tcBorders>
            <w:shd w:val="clear" w:color="auto" w:fill="auto"/>
          </w:tcPr>
          <w:p w:rsidR="0017135D" w:rsidRPr="0079254A" w:rsidP="000C557A">
            <w:pPr>
              <w:pStyle w:val="CSBody8pt"/>
            </w:pPr>
            <w:r>
              <w:t>Abwicklungs</w:t>
            </w:r>
            <w:r w:rsidRPr="0079254A">
              <w:t>währung</w:t>
            </w:r>
            <w:r>
              <w:fldChar w:fldCharType="begin"/>
            </w:r>
            <w:r>
              <w:instrText xml:space="preserve"> XE "Abwicklungs</w:instrText>
            </w:r>
            <w:r w:rsidRPr="003409C9">
              <w:instrText>währung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926334" w:rsidP="000C557A">
            <w:pPr>
              <w:pStyle w:val="CSBody8pt"/>
              <w:rPr>
                <w:lang w:val="de-DE"/>
              </w:rPr>
            </w:pPr>
            <w:r w:rsidRPr="0079254A">
              <w:rPr>
                <w:lang w:val="de-DE"/>
              </w:rPr>
              <w:t>die für die Zahlung von Rückzahlungsbeträgen und anderen Beträgen verwendete Währung, wie in Ziffer 1.1 angegeben.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06D98" w:rsidP="000C557A">
            <w:pPr>
              <w:pStyle w:val="CSBody8pt"/>
            </w:pPr>
            <w:r w:rsidRPr="00206D98">
              <w:t>Settlement Matrix</w:t>
            </w:r>
            <w:r>
              <w:fldChar w:fldCharType="begin"/>
            </w:r>
            <w:r>
              <w:instrText xml:space="preserve"> XE "</w:instrText>
            </w:r>
            <w:r w:rsidRPr="0000172F">
              <w:instrText>Settlement Matrix</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06D98" w:rsidP="000C557A">
            <w:pPr>
              <w:pStyle w:val="CSBody8pt"/>
            </w:pPr>
            <w:r w:rsidRPr="00206D98">
              <w:t xml:space="preserve">the "Credit Derivatives Physical Settlement Matrix", as most recently amended and supplemented as at the </w:t>
            </w:r>
            <w:r w:rsidRPr="00792D61">
              <w:rPr>
                <w:b/>
              </w:rPr>
              <w:t>[</w:t>
            </w:r>
            <w:r w:rsidRPr="00206D98">
              <w:t>Trade</w:t>
            </w:r>
            <w:r w:rsidRPr="00792D61">
              <w:rPr>
                <w:b/>
              </w:rPr>
              <w:t>][</w:t>
            </w:r>
            <w:r w:rsidRPr="00206D98">
              <w:t>Issue</w:t>
            </w:r>
            <w:r w:rsidRPr="00792D61">
              <w:rPr>
                <w:b/>
              </w:rPr>
              <w:t>]</w:t>
            </w:r>
            <w:r w:rsidRPr="00206D98">
              <w:t xml:space="preserve"> Date of the Complex Products and as published by ISDA on its website at www.isda.org (or any successor website thereto), as modified in accordance with Section 1.1 (in particular, none of the terms of the Settlement Matrix applicable to physical settlement or escrow shall apply).</w:t>
            </w:r>
          </w:p>
        </w:tc>
        <w:tc>
          <w:tcPr>
            <w:tcW w:w="1618" w:type="dxa"/>
            <w:gridSpan w:val="2"/>
            <w:tcBorders>
              <w:top w:val="nil"/>
              <w:bottom w:val="nil"/>
              <w:right w:val="nil"/>
            </w:tcBorders>
            <w:shd w:val="clear" w:color="auto" w:fill="auto"/>
          </w:tcPr>
          <w:p w:rsidR="0017135D" w:rsidRPr="00206D98" w:rsidP="000C557A">
            <w:pPr>
              <w:pStyle w:val="CSBody8pt"/>
            </w:pPr>
            <w:r>
              <w:t>Abwicklungs</w:t>
            </w:r>
            <w:r w:rsidRPr="00206D98">
              <w:t>matrix</w:t>
            </w:r>
            <w:r>
              <w:fldChar w:fldCharType="begin"/>
            </w:r>
            <w:r>
              <w:instrText xml:space="preserve"> XE "Abwicklungs</w:instrText>
            </w:r>
            <w:r w:rsidRPr="00817C36">
              <w:instrText>matrix</w:instrText>
            </w:r>
            <w:r>
              <w:instrText xml:space="preserve">" </w:instrText>
            </w:r>
            <w:r>
              <w:fldChar w:fldCharType="end"/>
            </w:r>
          </w:p>
        </w:tc>
        <w:tc>
          <w:tcPr>
            <w:tcW w:w="3318" w:type="dxa"/>
            <w:tcBorders>
              <w:top w:val="nil"/>
              <w:left w:val="nil"/>
              <w:bottom w:val="nil"/>
              <w:right w:val="nil"/>
            </w:tcBorders>
            <w:shd w:val="clear" w:color="auto" w:fill="auto"/>
          </w:tcPr>
          <w:p w:rsidR="0017135D" w:rsidRPr="00926334" w:rsidP="000C557A">
            <w:pPr>
              <w:pStyle w:val="CSBody8pt"/>
              <w:rPr>
                <w:lang w:val="de-DE"/>
              </w:rPr>
            </w:pPr>
            <w:r w:rsidRPr="00206D98">
              <w:rPr>
                <w:lang w:val="de-DE"/>
              </w:rPr>
              <w:t xml:space="preserve">die "Abwicklungsmatrix für Kreditderivate mit physischer Lieferung" (Credit Derivatives Physical Settlement Matrix) in der am </w:t>
            </w:r>
            <w:r w:rsidRPr="00792D61">
              <w:rPr>
                <w:b/>
                <w:lang w:val="de-DE"/>
              </w:rPr>
              <w:t>[</w:t>
            </w:r>
            <w:r w:rsidRPr="00206D98">
              <w:rPr>
                <w:lang w:val="de-DE"/>
              </w:rPr>
              <w:t>Abschlusstag</w:t>
            </w:r>
            <w:r w:rsidRPr="00792D61">
              <w:rPr>
                <w:b/>
                <w:lang w:val="de-DE"/>
              </w:rPr>
              <w:t>][</w:t>
            </w:r>
            <w:r w:rsidRPr="00206D98">
              <w:rPr>
                <w:lang w:val="de-DE"/>
              </w:rPr>
              <w:t>Emissionstag</w:t>
            </w:r>
            <w:r w:rsidRPr="00792D61">
              <w:rPr>
                <w:b/>
                <w:lang w:val="de-DE"/>
              </w:rPr>
              <w:t>]</w:t>
            </w:r>
            <w:r w:rsidRPr="00206D98">
              <w:rPr>
                <w:lang w:val="de-DE"/>
              </w:rPr>
              <w:t xml:space="preserve"> der Komplexen Produkte geltenden Fassung, die von der ISDA auf ihrer Internetseite www.isda.org (oder einer Nachfolgeseite) veröffentlicht wird, in der gemäss Ziffer 1.1 abgeänderten Fassung (insbesondere finden keine Bestimmungen der Abwicklungsmatrix Anwendung, die sich auf physische Abwicklung (physical settlement) oder Erfüllung durch Hinterlegung (escrow) beziehen).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26334" w:rsidP="000C557A">
            <w:pPr>
              <w:pStyle w:val="CSBody8pt"/>
              <w:rPr>
                <w:lang w:val="de-DE"/>
              </w:rPr>
            </w:pPr>
            <w:r w:rsidRPr="00926334">
              <w:rPr>
                <w:lang w:val="de-DE"/>
              </w:rPr>
              <w:t>Settlement Suspension</w:t>
            </w:r>
            <w:r>
              <w:rPr>
                <w:lang w:val="de-DE"/>
              </w:rPr>
              <w:fldChar w:fldCharType="begin"/>
            </w:r>
            <w:r>
              <w:instrText xml:space="preserve"> XE "</w:instrText>
            </w:r>
            <w:r w:rsidRPr="00CF732B">
              <w:rPr>
                <w:lang w:val="de-DE"/>
              </w:rPr>
              <w:instrText>Settlement Suspension</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926334" w:rsidP="000C557A">
            <w:pPr>
              <w:pStyle w:val="CSBody8pt"/>
            </w:pPr>
            <w:r w:rsidRPr="00926334">
              <w:t>If, following the determination of a Credit Event Determination Date but prior to a Valuation Date, the date of redemption of the Complex Products or of an interest payment with respect to the Complex Products, as applicable, there is a DC Credit Event Meeting Announcement, the timing requirements of the definitions "Cash Redemption Date" and "Valuation Date", as applicable, or any other section of the Terms and Conditions that pertains to settlement as determined by the Calculation Agent acting in its discretion (the "</w:t>
            </w:r>
            <w:r w:rsidRPr="000C557A">
              <w:rPr>
                <w:b/>
              </w:rPr>
              <w:t>Timing Requirements</w:t>
            </w:r>
            <w:r w:rsidRPr="00926334">
              <w:t>"), shall toll and remain suspended until the date of the relevant DC Credit Event Announcement or DC Credit Event Question Dismissal. Once the relevant DC Credit Event Announcement or DC Credit Event Question Dismissal, as applicable, has occurred, the Timing Requirements that have previously tolled or been suspended shall resume on the Business Day following such public announcement by the DC Secretary. As a result of the Settlement Suspension no default interest or other compensation payment shall be payable to the Holders.</w:t>
            </w:r>
          </w:p>
        </w:tc>
        <w:tc>
          <w:tcPr>
            <w:tcW w:w="1618" w:type="dxa"/>
            <w:gridSpan w:val="2"/>
            <w:tcBorders>
              <w:top w:val="nil"/>
              <w:bottom w:val="nil"/>
              <w:right w:val="nil"/>
            </w:tcBorders>
            <w:shd w:val="clear" w:color="auto" w:fill="auto"/>
          </w:tcPr>
          <w:p w:rsidR="0017135D" w:rsidRPr="00206D98" w:rsidP="000C557A">
            <w:pPr>
              <w:pStyle w:val="CSBody8pt"/>
            </w:pPr>
            <w:r w:rsidRPr="00206D98">
              <w:t>Aussetzung der Abwicklung</w:t>
            </w:r>
            <w:r>
              <w:fldChar w:fldCharType="begin"/>
            </w:r>
            <w:r>
              <w:instrText xml:space="preserve"> XE "</w:instrText>
            </w:r>
            <w:r w:rsidRPr="00F32E1B">
              <w:instrText>Aussetzung der Abwicklung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926334" w:rsidP="000C557A">
            <w:pPr>
              <w:pStyle w:val="CSBody8pt"/>
              <w:rPr>
                <w:bCs/>
                <w:lang w:val="de-DE"/>
              </w:rPr>
            </w:pPr>
            <w:r w:rsidRPr="00926334">
              <w:rPr>
                <w:bCs/>
                <w:lang w:val="de-DE"/>
              </w:rPr>
              <w:t>Wenn nach der Feststellung eines Kreditereignis-Feststellungstags, aber vor einem Bewertungstag, dem Tag der Rückzahlung der Komplexen Produkte oder einer Zinszahlung in Bezug auf die Komplexen Produkte eine Bekanntgabe einer Sitzung zur Beschlussfassung über den Eintritt eines Kreditereignisses erfolgt, so werden die zeitlichen Vorgaben der Definitionen "Barrückzahlungstag" bzw. "Bewertungstag" oder anderer Bestimmungen der Emissionsbedingungen, die sich nach der von der Berechnungsstelle in ihrem Ermessen getroffenen Feststellung auf die Abwicklung beziehen, (die "</w:t>
            </w:r>
            <w:r w:rsidRPr="000C557A">
              <w:rPr>
                <w:b/>
                <w:bCs/>
                <w:lang w:val="de-DE"/>
              </w:rPr>
              <w:t>Zeitlichen Vorgaben</w:t>
            </w:r>
            <w:r w:rsidRPr="00926334">
              <w:rPr>
                <w:bCs/>
                <w:lang w:val="de-DE"/>
              </w:rPr>
              <w:t>") bis zum Tag der betreffenden Bekanntgabe eines Kreditereignisbeschlusses bzw. der betreffenden Ablehnung eines Kreditereignisbeschluss-Antrags in ihrem Ablauf gehemmt und werden und bleiben ausgesetzt. Sobald die betreffende Bekanntgabe eines Kreditereignisbeschlusses bzw. Ablehnung eines Kreditereignisbeschluss-Antrags erfolgt ist, setzt die Geltung der zuvor ausgesetzten Zeitlichen Vorgaben an dem Geschäftstag nach der betreffenden öffentlichen Bekanntgabe durch den Secretary wieder ein. Aufgrund der Aussetzung der Abwicklung werden keine Verzugszinsen oder anderen Ausgleichszahlungen an die Inhaber fällig.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06D98" w:rsidP="000C557A">
            <w:pPr>
              <w:pStyle w:val="CSBody8pt"/>
            </w:pPr>
            <w:r w:rsidRPr="00206D98">
              <w:t>Solvency Capital Provisions</w:t>
            </w:r>
            <w:r>
              <w:fldChar w:fldCharType="begin"/>
            </w:r>
            <w:r>
              <w:instrText xml:space="preserve"> XE "</w:instrText>
            </w:r>
            <w:r w:rsidRPr="00F60345">
              <w:instrText>Solvency Capital Provisions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06D98" w:rsidP="000C557A">
            <w:pPr>
              <w:pStyle w:val="CSBody8pt"/>
            </w:pPr>
            <w:r w:rsidRPr="00206D98">
              <w:t>any terms in an obligation which permit the Reference Entity's payment obligations thereunder to be deferred, suspended, cancelled, converted, reduced or otherwise varied and which are necessary in order for the obligation to constitute capital resources of a particular "tier".</w:t>
            </w:r>
          </w:p>
        </w:tc>
        <w:tc>
          <w:tcPr>
            <w:tcW w:w="1618" w:type="dxa"/>
            <w:gridSpan w:val="2"/>
            <w:tcBorders>
              <w:top w:val="nil"/>
              <w:bottom w:val="nil"/>
              <w:right w:val="nil"/>
            </w:tcBorders>
            <w:shd w:val="clear" w:color="auto" w:fill="auto"/>
          </w:tcPr>
          <w:p w:rsidR="0017135D" w:rsidRPr="00206D98" w:rsidP="000C557A">
            <w:pPr>
              <w:pStyle w:val="CSBody8pt"/>
            </w:pPr>
            <w:r w:rsidRPr="00206D98">
              <w:t>Solvabilitätsmittelbestimmungen</w:t>
            </w:r>
            <w:r>
              <w:fldChar w:fldCharType="begin"/>
            </w:r>
            <w:r>
              <w:instrText xml:space="preserve"> XE "</w:instrText>
            </w:r>
            <w:r w:rsidRPr="00AB452D">
              <w:instrText>Solvabilitätsmittelbestimmungen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206D98" w:rsidP="000C557A">
            <w:pPr>
              <w:pStyle w:val="CSBody8pt"/>
              <w:rPr>
                <w:lang w:val="de-DE"/>
              </w:rPr>
            </w:pPr>
            <w:r w:rsidRPr="00206D98">
              <w:rPr>
                <w:lang w:val="de-DE"/>
              </w:rPr>
              <w:t>Bedingungen einer Verbindlichkeit, die gestatten, dass die Zahlungsverpflichtungen des Referenzschuldners aus dieser Verbindlichkeit gestundet, ausgesetzt, aufgehoben, umgewandelt, reduziert oder anderweitig abgeändert werden können, und die erforderlich sind, damit die Verbindlichkeit Kapitalmittel einer bestimmten Klasse ("Tier") darstellt.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06D98" w:rsidP="000C557A">
            <w:pPr>
              <w:pStyle w:val="CSBody8pt"/>
            </w:pPr>
            <w:r w:rsidRPr="00206D98">
              <w:t>Sovereign</w:t>
            </w:r>
            <w:r>
              <w:fldChar w:fldCharType="begin"/>
            </w:r>
            <w:r>
              <w:instrText xml:space="preserve"> XE "</w:instrText>
            </w:r>
            <w:r w:rsidRPr="00E67BA7">
              <w:instrText>Sovereign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06D98" w:rsidP="000C557A">
            <w:pPr>
              <w:pStyle w:val="CSBody8pt"/>
            </w:pPr>
            <w:r w:rsidRPr="00206D98">
              <w:t>any state, political subdivision or government, or any agency, instrumentality, ministry, department or other authority acting in a governmental capacity (including, without limiting the foregoing, the central bank) thereof.</w:t>
            </w:r>
          </w:p>
        </w:tc>
        <w:tc>
          <w:tcPr>
            <w:tcW w:w="1618" w:type="dxa"/>
            <w:gridSpan w:val="2"/>
            <w:tcBorders>
              <w:top w:val="nil"/>
              <w:bottom w:val="nil"/>
              <w:right w:val="nil"/>
            </w:tcBorders>
            <w:shd w:val="clear" w:color="auto" w:fill="auto"/>
          </w:tcPr>
          <w:p w:rsidR="0017135D" w:rsidRPr="00206D98" w:rsidP="000C557A">
            <w:pPr>
              <w:pStyle w:val="CSBody8pt"/>
            </w:pPr>
            <w:r w:rsidRPr="00206D98">
              <w:t>Staat</w:t>
            </w:r>
            <w:r>
              <w:fldChar w:fldCharType="begin"/>
            </w:r>
            <w:r>
              <w:instrText xml:space="preserve"> XE "</w:instrText>
            </w:r>
            <w:r w:rsidRPr="001E39B9">
              <w:instrText>Staat</w:instrText>
            </w:r>
            <w:r>
              <w:instrText xml:space="preserve">" </w:instrText>
            </w:r>
            <w:r>
              <w:fldChar w:fldCharType="end"/>
            </w:r>
          </w:p>
        </w:tc>
        <w:tc>
          <w:tcPr>
            <w:tcW w:w="3318" w:type="dxa"/>
            <w:tcBorders>
              <w:top w:val="nil"/>
              <w:left w:val="nil"/>
              <w:bottom w:val="nil"/>
              <w:right w:val="nil"/>
            </w:tcBorders>
            <w:shd w:val="clear" w:color="auto" w:fill="auto"/>
          </w:tcPr>
          <w:p w:rsidR="0017135D" w:rsidRPr="00926334" w:rsidP="000C557A">
            <w:pPr>
              <w:pStyle w:val="CSBody8pt"/>
              <w:rPr>
                <w:lang w:val="de-DE"/>
              </w:rPr>
            </w:pPr>
            <w:r w:rsidRPr="00206D98">
              <w:rPr>
                <w:lang w:val="de-DE"/>
              </w:rPr>
              <w:t>ein Staat, eine Gebietskörperschaft oder eine Regierung oder eine Dienststelle, ein Organ, ein Ministerium, eine Abteilung oder eine sonstige Behörde mit hoheitlicher Funktion, die bzw. das diesen zuzuordnen ist (einschliesslich, ohne hierauf beschränkt zu sein, der jeweiligen Zentralbank).</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926334" w:rsidP="000C557A">
            <w:pPr>
              <w:pStyle w:val="CSBody8ptbolditalics"/>
            </w:pPr>
            <w:r w:rsidRPr="00792D61">
              <w:t>[</w:t>
            </w:r>
            <w:r w:rsidRPr="00926334">
              <w:t>if a Reference Entity is a Sovereign, insert:</w:t>
            </w:r>
          </w:p>
          <w:p w:rsidR="0017135D" w:rsidRPr="00926334" w:rsidP="000C557A">
            <w:pPr>
              <w:pStyle w:val="CSBody8pt"/>
            </w:pPr>
            <w:r w:rsidRPr="00206D98">
              <w:t>Sovereign Restructured Valuation Obligation</w:t>
            </w:r>
            <w:r>
              <w:fldChar w:fldCharType="begin"/>
            </w:r>
            <w:r>
              <w:instrText xml:space="preserve"> XE "</w:instrText>
            </w:r>
            <w:r w:rsidRPr="003C6B31">
              <w:instrText>Sovereign Restructured Valuation Obligation</w:instrText>
            </w:r>
            <w:r>
              <w:instrText xml:space="preserve">" \f "EN" </w:instrText>
            </w:r>
            <w:r>
              <w:fldChar w:fldCharType="end"/>
            </w:r>
          </w:p>
        </w:tc>
        <w:tc>
          <w:tcPr>
            <w:tcW w:w="3315" w:type="dxa"/>
            <w:gridSpan w:val="2"/>
            <w:tcBorders>
              <w:top w:val="nil"/>
              <w:left w:val="nil"/>
            </w:tcBorders>
            <w:shd w:val="clear" w:color="auto" w:fill="auto"/>
          </w:tcPr>
          <w:p w:rsidR="0017135D" w:rsidRPr="00926334" w:rsidP="000C557A">
            <w:pPr>
              <w:pStyle w:val="CSBody8pt"/>
            </w:pPr>
            <w:r w:rsidRPr="00926334">
              <w:t>an Obligation of a Reference Entity which is a Sovereign  (either directly or as provider of a Relevant Guarantee)(a) in respect of which a Restructuring that is the subject of the Credit Event Notice or DC Credit Event Announcement has occurred and (b) which fell within the definition of "Valuation Obligation" immediately preceding the date on which such Restructuring is legally effective in accordance with the terms of the documentation governing such Restructuring.</w:t>
            </w:r>
            <w:r w:rsidRPr="00792D61">
              <w:rPr>
                <w:b/>
              </w:rPr>
              <w:t>]</w:t>
            </w:r>
          </w:p>
        </w:tc>
        <w:tc>
          <w:tcPr>
            <w:tcW w:w="1618" w:type="dxa"/>
            <w:gridSpan w:val="2"/>
            <w:tcBorders>
              <w:top w:val="nil"/>
              <w:right w:val="nil"/>
            </w:tcBorders>
            <w:shd w:val="clear" w:color="auto" w:fill="auto"/>
          </w:tcPr>
          <w:p w:rsidR="0017135D" w:rsidRPr="00926334" w:rsidP="000C557A">
            <w:pPr>
              <w:pStyle w:val="CSBody8ptbolditalics"/>
              <w:rPr>
                <w:lang w:val="de-DE"/>
              </w:rPr>
            </w:pPr>
            <w:r w:rsidRPr="00792D61">
              <w:rPr>
                <w:lang w:val="de-DE"/>
              </w:rPr>
              <w:t>[</w:t>
            </w:r>
            <w:r w:rsidRPr="00926334">
              <w:rPr>
                <w:lang w:val="de-DE"/>
              </w:rPr>
              <w:t>falls ein Referenzschuldner ein Staat ist, einfügen:</w:t>
            </w:r>
          </w:p>
          <w:p w:rsidR="0017135D" w:rsidRPr="00926334" w:rsidP="000C557A">
            <w:pPr>
              <w:pStyle w:val="CSBody8pt"/>
              <w:rPr>
                <w:lang w:val="de-DE"/>
              </w:rPr>
            </w:pPr>
            <w:r>
              <w:rPr>
                <w:lang w:val="de-DE"/>
              </w:rPr>
              <w:t>Restrukturierte Bewertungs</w:t>
            </w:r>
            <w:r w:rsidRPr="00206D98">
              <w:rPr>
                <w:lang w:val="de-DE"/>
              </w:rPr>
              <w:t>verbindlichkeit eines Staates</w:t>
            </w:r>
            <w:r>
              <w:rPr>
                <w:lang w:val="de-DE"/>
              </w:rPr>
              <w:fldChar w:fldCharType="begin"/>
            </w:r>
            <w:r w:rsidRPr="00206D98">
              <w:rPr>
                <w:lang w:val="de-DE"/>
              </w:rPr>
              <w:instrText xml:space="preserve"> XE "</w:instrText>
            </w:r>
            <w:r w:rsidRPr="003578AB">
              <w:rPr>
                <w:lang w:val="de-DE"/>
              </w:rPr>
              <w:instrText>Re</w:instrText>
            </w:r>
            <w:r>
              <w:rPr>
                <w:lang w:val="de-DE"/>
              </w:rPr>
              <w:instrText>strukturierte Bewertungs</w:instrText>
            </w:r>
            <w:r w:rsidRPr="003578AB">
              <w:rPr>
                <w:lang w:val="de-DE"/>
              </w:rPr>
              <w:instrText>verbindlichkeit eines Staates</w:instrText>
            </w:r>
            <w:r w:rsidRPr="00206D98">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926334" w:rsidP="00921F8E">
            <w:pPr>
              <w:pStyle w:val="CSBody8pt"/>
              <w:rPr>
                <w:bCs/>
                <w:lang w:val="de-DE"/>
              </w:rPr>
            </w:pPr>
            <w:r w:rsidRPr="00926334">
              <w:rPr>
                <w:bCs/>
                <w:lang w:val="de-DE"/>
              </w:rPr>
              <w:t>eine Verbindlichkeit eines Referenzschuldners, der ein Staat ist (und die dieser entweder unmittelbar oder als Geber einer Massgeblichen Garantie schuldet), (a) in Bezug auf die eine Restrukturierung eingetreten ist, die Gegenstand der Kreditereignismitteilung oder Bekanntgabe eines Kreditereignisbeschlusses ist, und (b) die die in der Definition "Bewertungsverbindlichkeit" genannten Kriterien erfüllt, und zwar unmittelbar vor dem Tag, an dem die betreffende Restrukturierung gemäss den Bestimmungen der sie regelnden Dokumente rechtswirksam wird.</w:t>
            </w:r>
            <w:r w:rsidRPr="00792D61">
              <w:rPr>
                <w:b/>
                <w:bCs/>
                <w:lang w:val="de-DE"/>
              </w:rPr>
              <w:t>]</w:t>
            </w:r>
          </w:p>
        </w:tc>
      </w:tr>
      <w:tr w:rsidTr="004C1EBA">
        <w:tblPrEx>
          <w:tblW w:w="4999" w:type="pct"/>
          <w:tblLayout w:type="fixed"/>
          <w:tblCellMar>
            <w:left w:w="115" w:type="dxa"/>
            <w:right w:w="115" w:type="dxa"/>
          </w:tblCellMar>
          <w:tblLook w:val="04A0"/>
        </w:tblPrEx>
        <w:trPr>
          <w:trHeight w:val="2406"/>
        </w:trPr>
        <w:tc>
          <w:tcPr>
            <w:tcW w:w="1616" w:type="dxa"/>
            <w:gridSpan w:val="3"/>
            <w:tcBorders>
              <w:top w:val="nil"/>
              <w:left w:val="nil"/>
              <w:right w:val="nil"/>
            </w:tcBorders>
            <w:shd w:val="clear" w:color="auto" w:fill="auto"/>
          </w:tcPr>
          <w:p w:rsidR="0017135D" w:rsidRPr="00926334" w:rsidP="000C557A">
            <w:pPr>
              <w:pStyle w:val="CSBody8ptbolditalics"/>
            </w:pPr>
            <w:r w:rsidRPr="00792D61">
              <w:t>[</w:t>
            </w:r>
            <w:r w:rsidRPr="00926334">
              <w:t>if a Reference Entity is a Sovereign, insert:</w:t>
            </w:r>
          </w:p>
          <w:p w:rsidR="0017135D" w:rsidRPr="00926334" w:rsidP="000C557A">
            <w:pPr>
              <w:pStyle w:val="CSBody8pt"/>
            </w:pPr>
            <w:r w:rsidRPr="00926334">
              <w:t>Sovereign Succession Event</w:t>
            </w:r>
            <w:r>
              <w:fldChar w:fldCharType="begin"/>
            </w:r>
            <w:r>
              <w:instrText xml:space="preserve"> XE "</w:instrText>
            </w:r>
            <w:r w:rsidRPr="00CA495D">
              <w:instrText>Sovereign Succession Event</w:instrText>
            </w:r>
            <w:r>
              <w:instrText xml:space="preserve">" \f "EN" </w:instrText>
            </w:r>
            <w:r>
              <w:fldChar w:fldCharType="end"/>
            </w:r>
          </w:p>
        </w:tc>
        <w:tc>
          <w:tcPr>
            <w:tcW w:w="3315" w:type="dxa"/>
            <w:gridSpan w:val="2"/>
            <w:tcBorders>
              <w:top w:val="nil"/>
              <w:left w:val="nil"/>
            </w:tcBorders>
            <w:shd w:val="clear" w:color="auto" w:fill="auto"/>
          </w:tcPr>
          <w:p w:rsidR="0017135D" w:rsidRPr="00926334" w:rsidP="000C557A">
            <w:pPr>
              <w:pStyle w:val="CSBody8pt"/>
            </w:pPr>
            <w:r w:rsidRPr="00926334">
              <w:t xml:space="preserve">with respect to </w:t>
            </w:r>
            <w:r w:rsidRPr="00792D61">
              <w:rPr>
                <w:b/>
              </w:rPr>
              <w:t>[</w:t>
            </w:r>
            <w:r w:rsidRPr="00926334">
              <w:t>the</w:t>
            </w:r>
            <w:r w:rsidRPr="00792D61">
              <w:rPr>
                <w:b/>
              </w:rPr>
              <w:t>][</w:t>
            </w:r>
            <w:r w:rsidRPr="00926334">
              <w:t>a</w:t>
            </w:r>
            <w:r w:rsidRPr="00792D61">
              <w:rPr>
                <w:b/>
              </w:rPr>
              <w:t>]</w:t>
            </w:r>
            <w:r w:rsidRPr="00926334">
              <w:t xml:space="preserve"> Reference Entity, an annexation, unification, secession, partition, dissolution, consolidation, reconstitution or other similar event.</w:t>
            </w:r>
            <w:r w:rsidRPr="00792D61">
              <w:rPr>
                <w:b/>
              </w:rPr>
              <w:t>]</w:t>
            </w:r>
          </w:p>
        </w:tc>
        <w:tc>
          <w:tcPr>
            <w:tcW w:w="1618" w:type="dxa"/>
            <w:gridSpan w:val="2"/>
            <w:tcBorders>
              <w:top w:val="nil"/>
              <w:right w:val="nil"/>
            </w:tcBorders>
            <w:shd w:val="clear" w:color="auto" w:fill="auto"/>
          </w:tcPr>
          <w:p w:rsidR="0017135D" w:rsidRPr="00926334" w:rsidP="000C557A">
            <w:pPr>
              <w:pStyle w:val="CSBody8ptbolditalics"/>
              <w:rPr>
                <w:lang w:val="de-DE"/>
              </w:rPr>
            </w:pPr>
            <w:r w:rsidRPr="00792D61">
              <w:rPr>
                <w:lang w:val="de-DE"/>
              </w:rPr>
              <w:t>[</w:t>
            </w:r>
            <w:r w:rsidRPr="00926334">
              <w:rPr>
                <w:lang w:val="de-DE"/>
              </w:rPr>
              <w:t>falls ein Referenzschuldner ein Staat ist, einfügen:</w:t>
            </w:r>
          </w:p>
          <w:p w:rsidR="0017135D" w:rsidRPr="00926334" w:rsidP="000C557A">
            <w:pPr>
              <w:pStyle w:val="CSBody8pt"/>
              <w:rPr>
                <w:lang w:val="de-DE"/>
              </w:rPr>
            </w:pPr>
            <w:r>
              <w:rPr>
                <w:lang w:val="de-DE"/>
              </w:rPr>
              <w:t>Rechtsn</w:t>
            </w:r>
            <w:r w:rsidRPr="00206D98">
              <w:rPr>
                <w:lang w:val="de-DE"/>
              </w:rPr>
              <w:t>achfolgeereignis in Bezug auf Staaten</w:t>
            </w:r>
            <w:r>
              <w:rPr>
                <w:lang w:val="de-DE"/>
              </w:rPr>
              <w:fldChar w:fldCharType="begin"/>
            </w:r>
            <w:r w:rsidRPr="00206D98">
              <w:rPr>
                <w:lang w:val="de-DE"/>
              </w:rPr>
              <w:instrText xml:space="preserve"> XE "</w:instrText>
            </w:r>
            <w:r>
              <w:rPr>
                <w:lang w:val="de-DE"/>
              </w:rPr>
              <w:instrText>Rechtsn</w:instrText>
            </w:r>
            <w:r w:rsidRPr="00F95AFB">
              <w:rPr>
                <w:lang w:val="de-DE"/>
              </w:rPr>
              <w:instrText>achfolgeereignis in Bezug auf Staaten</w:instrText>
            </w:r>
            <w:r w:rsidRPr="00206D98">
              <w:rPr>
                <w:lang w:val="de-DE"/>
              </w:rPr>
              <w:instrText xml:space="preserve">" </w:instrText>
            </w:r>
            <w:r>
              <w:rPr>
                <w:lang w:val="de-DE"/>
              </w:rPr>
              <w:fldChar w:fldCharType="end"/>
            </w:r>
          </w:p>
        </w:tc>
        <w:tc>
          <w:tcPr>
            <w:tcW w:w="3318" w:type="dxa"/>
            <w:tcBorders>
              <w:top w:val="nil"/>
              <w:left w:val="nil"/>
              <w:right w:val="nil"/>
            </w:tcBorders>
            <w:shd w:val="clear" w:color="auto" w:fill="auto"/>
          </w:tcPr>
          <w:p w:rsidR="0017135D" w:rsidRPr="00926334" w:rsidP="000C557A">
            <w:pPr>
              <w:pStyle w:val="CSBody8pt"/>
              <w:rPr>
                <w:bCs/>
                <w:lang w:val="de-DE"/>
              </w:rPr>
            </w:pPr>
            <w:r w:rsidRPr="00926334">
              <w:rPr>
                <w:bCs/>
                <w:lang w:val="de-DE"/>
              </w:rPr>
              <w:t xml:space="preserve">in Bezug auf </w:t>
            </w:r>
            <w:r w:rsidRPr="00792D61">
              <w:rPr>
                <w:b/>
                <w:bCs/>
                <w:lang w:val="de-DE"/>
              </w:rPr>
              <w:t>[</w:t>
            </w:r>
            <w:r w:rsidRPr="00926334">
              <w:rPr>
                <w:bCs/>
                <w:lang w:val="de-DE"/>
              </w:rPr>
              <w:t>den</w:t>
            </w:r>
            <w:r w:rsidRPr="00792D61">
              <w:rPr>
                <w:b/>
                <w:bCs/>
                <w:lang w:val="de-DE"/>
              </w:rPr>
              <w:t>][</w:t>
            </w:r>
            <w:r w:rsidRPr="00926334">
              <w:rPr>
                <w:bCs/>
                <w:lang w:val="de-DE"/>
              </w:rPr>
              <w:t>einen</w:t>
            </w:r>
            <w:r w:rsidRPr="00792D61">
              <w:rPr>
                <w:b/>
                <w:bCs/>
                <w:lang w:val="de-DE"/>
              </w:rPr>
              <w:t>]</w:t>
            </w:r>
            <w:r w:rsidRPr="00926334">
              <w:rPr>
                <w:bCs/>
                <w:lang w:val="de-DE"/>
              </w:rPr>
              <w:t xml:space="preserve"> Referenzschuldner, eine Annexion, eine Vereinigung, eine Sezession, eine Teilung, eine Auflösung, eine Zusammenführung, eine Neugründung oder ein sonstiges vergleichbares Ereignis.</w:t>
            </w:r>
            <w:r w:rsidRPr="00792D61">
              <w:rPr>
                <w:b/>
                <w:bCs/>
                <w:lang w:val="de-DE"/>
              </w:rPr>
              <w:t>]</w:t>
            </w:r>
          </w:p>
        </w:tc>
      </w:tr>
      <w:tr w:rsidTr="004C1EBA">
        <w:tblPrEx>
          <w:tblW w:w="4999" w:type="pct"/>
          <w:tblLayout w:type="fixed"/>
          <w:tblCellMar>
            <w:left w:w="115" w:type="dxa"/>
            <w:right w:w="115" w:type="dxa"/>
          </w:tblCellMar>
          <w:tblLook w:val="04A0"/>
        </w:tblPrEx>
        <w:trPr>
          <w:trHeight w:val="2785"/>
        </w:trPr>
        <w:tc>
          <w:tcPr>
            <w:tcW w:w="1616" w:type="dxa"/>
            <w:gridSpan w:val="3"/>
            <w:tcBorders>
              <w:top w:val="nil"/>
              <w:left w:val="nil"/>
              <w:right w:val="nil"/>
            </w:tcBorders>
            <w:shd w:val="clear" w:color="auto" w:fill="auto"/>
          </w:tcPr>
          <w:p w:rsidR="0017135D" w:rsidRPr="00926334" w:rsidP="000C557A">
            <w:pPr>
              <w:pStyle w:val="CSBody8ptbolditalics"/>
            </w:pPr>
            <w:r w:rsidRPr="00792D61">
              <w:t>[</w:t>
            </w:r>
            <w:r w:rsidRPr="00926334">
              <w:t>if specified as Obligation Characteristic or Valuation Obligation Characteristic, insert:</w:t>
            </w:r>
          </w:p>
          <w:p w:rsidR="0017135D" w:rsidRPr="00926334" w:rsidP="00206D98">
            <w:pPr>
              <w:pStyle w:val="CSBody8pt"/>
            </w:pPr>
            <w:r w:rsidRPr="00926334">
              <w:t>Specified Currency</w:t>
            </w:r>
            <w:r>
              <w:fldChar w:fldCharType="begin"/>
            </w:r>
            <w:r>
              <w:instrText xml:space="preserve"> XE "</w:instrText>
            </w:r>
            <w:r w:rsidRPr="004D2EEB">
              <w:instrText>Specified Currency</w:instrText>
            </w:r>
            <w:r>
              <w:instrText xml:space="preserve">" \f "EN" </w:instrText>
            </w:r>
            <w:r>
              <w:fldChar w:fldCharType="end"/>
            </w:r>
          </w:p>
        </w:tc>
        <w:tc>
          <w:tcPr>
            <w:tcW w:w="3315" w:type="dxa"/>
            <w:gridSpan w:val="2"/>
            <w:tcBorders>
              <w:top w:val="nil"/>
              <w:left w:val="nil"/>
            </w:tcBorders>
            <w:shd w:val="clear" w:color="auto" w:fill="auto"/>
          </w:tcPr>
          <w:p w:rsidR="0017135D" w:rsidRPr="00926334" w:rsidP="000C557A">
            <w:pPr>
              <w:pStyle w:val="CSBody8pt"/>
            </w:pPr>
            <w:r w:rsidRPr="00792D61">
              <w:rPr>
                <w:b/>
              </w:rPr>
              <w:t>[</w:t>
            </w:r>
            <w:r w:rsidRPr="00926334">
              <w:t xml:space="preserve">an obligation that is payable in </w:t>
            </w:r>
            <w:r w:rsidRPr="00792D61">
              <w:rPr>
                <w:b/>
              </w:rPr>
              <w:t>[</w:t>
            </w:r>
            <w:r w:rsidRPr="00926334">
              <w:t>one of</w:t>
            </w:r>
            <w:r w:rsidRPr="00792D61">
              <w:rPr>
                <w:b/>
              </w:rPr>
              <w:t>]</w:t>
            </w:r>
            <w:r w:rsidRPr="00926334">
              <w:t xml:space="preserve"> the following </w:t>
            </w:r>
            <w:r w:rsidRPr="00792D61">
              <w:rPr>
                <w:b/>
              </w:rPr>
              <w:t>[</w:t>
            </w:r>
            <w:r w:rsidRPr="00926334">
              <w:t>currency</w:t>
            </w:r>
            <w:r w:rsidRPr="00792D61">
              <w:rPr>
                <w:b/>
              </w:rPr>
              <w:t>][</w:t>
            </w:r>
            <w:r w:rsidRPr="00926334">
              <w:t>currencies</w:t>
            </w:r>
            <w:r w:rsidRPr="00792D61">
              <w:rPr>
                <w:b/>
              </w:rPr>
              <w:t>]</w:t>
            </w:r>
            <w:r w:rsidRPr="00926334">
              <w:t xml:space="preserve">: </w:t>
            </w:r>
            <w:r w:rsidRPr="00792D61">
              <w:rPr>
                <w:b/>
              </w:rPr>
              <w:t>[</w:t>
            </w:r>
            <w:r w:rsidRPr="00926334">
              <w:rPr>
                <w:rFonts w:ascii="Arial" w:hAnsi="Arial" w:cs="Arial"/>
              </w:rPr>
              <w:t>●</w:t>
            </w:r>
            <w:r w:rsidRPr="00792D61">
              <w:rPr>
                <w:b/>
              </w:rPr>
              <w:t>]]</w:t>
            </w:r>
          </w:p>
        </w:tc>
        <w:tc>
          <w:tcPr>
            <w:tcW w:w="1618" w:type="dxa"/>
            <w:gridSpan w:val="2"/>
            <w:tcBorders>
              <w:top w:val="nil"/>
              <w:right w:val="nil"/>
            </w:tcBorders>
            <w:shd w:val="clear" w:color="auto" w:fill="auto"/>
          </w:tcPr>
          <w:p w:rsidR="0017135D" w:rsidRPr="00926334" w:rsidP="00921F8E">
            <w:pPr>
              <w:pStyle w:val="CSBody8ptbolditalics"/>
              <w:rPr>
                <w:lang w:val="de-DE"/>
              </w:rPr>
            </w:pPr>
            <w:r w:rsidRPr="00792D61">
              <w:rPr>
                <w:lang w:val="de-DE"/>
              </w:rPr>
              <w:t>[</w:t>
            </w:r>
            <w:r>
              <w:rPr>
                <w:lang w:val="de-DE"/>
              </w:rPr>
              <w:t>falls als Verbindlich</w:t>
            </w:r>
            <w:r w:rsidRPr="00926334">
              <w:rPr>
                <w:lang w:val="de-DE"/>
              </w:rPr>
              <w:t xml:space="preserve">keitenmerkmal </w:t>
            </w:r>
            <w:r>
              <w:rPr>
                <w:lang w:val="de-DE"/>
              </w:rPr>
              <w:t>oder als Merkmal für Bewertungs</w:t>
            </w:r>
            <w:r w:rsidRPr="00926334">
              <w:rPr>
                <w:lang w:val="de-DE"/>
              </w:rPr>
              <w:t>verbindlichkeiten angegeben, einfügen:</w:t>
            </w:r>
          </w:p>
          <w:p w:rsidR="0017135D" w:rsidRPr="00926334" w:rsidP="00206D98">
            <w:pPr>
              <w:pStyle w:val="CSBody8pt"/>
              <w:rPr>
                <w:lang w:val="de-DE"/>
              </w:rPr>
            </w:pPr>
            <w:r w:rsidRPr="00206D98">
              <w:t>Festgelegte Währung</w:t>
            </w:r>
            <w:r>
              <w:fldChar w:fldCharType="begin"/>
            </w:r>
            <w:r>
              <w:instrText xml:space="preserve"> XE "</w:instrText>
            </w:r>
            <w:r w:rsidRPr="00F91F2B">
              <w:instrText>Festgelegte Währung</w:instrText>
            </w:r>
            <w:r>
              <w:instrText xml:space="preserve">" </w:instrText>
            </w:r>
            <w:r>
              <w:fldChar w:fldCharType="end"/>
            </w:r>
          </w:p>
        </w:tc>
        <w:tc>
          <w:tcPr>
            <w:tcW w:w="3318" w:type="dxa"/>
            <w:tcBorders>
              <w:top w:val="nil"/>
              <w:left w:val="nil"/>
              <w:right w:val="nil"/>
            </w:tcBorders>
            <w:shd w:val="clear" w:color="auto" w:fill="auto"/>
          </w:tcPr>
          <w:p w:rsidR="0017135D" w:rsidRPr="00926334" w:rsidP="000C557A">
            <w:pPr>
              <w:pStyle w:val="CSBody8pt"/>
              <w:rPr>
                <w:bCs/>
                <w:lang w:val="de-DE"/>
              </w:rPr>
            </w:pPr>
            <w:r w:rsidRPr="00792D61">
              <w:rPr>
                <w:b/>
                <w:bCs/>
                <w:lang w:val="de-DE"/>
              </w:rPr>
              <w:t>[</w:t>
            </w:r>
            <w:r w:rsidRPr="00926334">
              <w:rPr>
                <w:bCs/>
                <w:lang w:val="de-DE"/>
              </w:rPr>
              <w:t xml:space="preserve">eine Verbindlichkeit, die in </w:t>
            </w:r>
            <w:r w:rsidRPr="00792D61">
              <w:rPr>
                <w:b/>
                <w:bCs/>
                <w:lang w:val="de-DE"/>
              </w:rPr>
              <w:t>[</w:t>
            </w:r>
            <w:r w:rsidRPr="00926334">
              <w:rPr>
                <w:bCs/>
                <w:lang w:val="de-DE"/>
              </w:rPr>
              <w:t>einer</w:t>
            </w:r>
            <w:r w:rsidRPr="00792D61">
              <w:rPr>
                <w:b/>
                <w:bCs/>
                <w:lang w:val="de-DE"/>
              </w:rPr>
              <w:t>]</w:t>
            </w:r>
            <w:r w:rsidRPr="00926334">
              <w:rPr>
                <w:bCs/>
                <w:lang w:val="de-DE"/>
              </w:rPr>
              <w:t xml:space="preserve"> der folgenden </w:t>
            </w:r>
            <w:r w:rsidRPr="00792D61">
              <w:rPr>
                <w:b/>
                <w:bCs/>
                <w:lang w:val="de-DE"/>
              </w:rPr>
              <w:t>[</w:t>
            </w:r>
            <w:r w:rsidRPr="00926334">
              <w:rPr>
                <w:bCs/>
                <w:lang w:val="de-DE"/>
              </w:rPr>
              <w:t>Währung</w:t>
            </w:r>
            <w:r w:rsidRPr="00792D61">
              <w:rPr>
                <w:b/>
                <w:bCs/>
                <w:lang w:val="de-DE"/>
              </w:rPr>
              <w:t>][</w:t>
            </w:r>
            <w:r w:rsidRPr="00926334">
              <w:rPr>
                <w:bCs/>
                <w:lang w:val="de-DE"/>
              </w:rPr>
              <w:t>Währungen</w:t>
            </w:r>
            <w:r w:rsidRPr="00792D61">
              <w:rPr>
                <w:b/>
                <w:bCs/>
                <w:lang w:val="de-DE"/>
              </w:rPr>
              <w:t>]</w:t>
            </w:r>
            <w:r w:rsidRPr="00926334">
              <w:rPr>
                <w:bCs/>
                <w:lang w:val="de-DE"/>
              </w:rPr>
              <w:t xml:space="preserve"> zahlbar ist: </w:t>
            </w:r>
            <w:r w:rsidRPr="00792D61">
              <w:rPr>
                <w:b/>
                <w:bCs/>
                <w:lang w:val="de-DE"/>
              </w:rPr>
              <w:t>[</w:t>
            </w:r>
            <w:r w:rsidRPr="00926334">
              <w:rPr>
                <w:rFonts w:ascii="Arial" w:hAnsi="Arial" w:cs="Arial"/>
                <w:bCs/>
                <w:lang w:val="de-DE"/>
              </w:rPr>
              <w: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13B3E" w:rsidP="000C557A">
            <w:pPr>
              <w:pStyle w:val="CSBody8pt"/>
              <w:rPr>
                <w:lang w:val="de-DE"/>
              </w:rPr>
            </w:pPr>
          </w:p>
        </w:tc>
        <w:tc>
          <w:tcPr>
            <w:tcW w:w="3315" w:type="dxa"/>
            <w:gridSpan w:val="2"/>
            <w:tcBorders>
              <w:top w:val="nil"/>
              <w:left w:val="nil"/>
              <w:bottom w:val="nil"/>
            </w:tcBorders>
            <w:shd w:val="clear" w:color="auto" w:fill="auto"/>
          </w:tcPr>
          <w:p w:rsidR="0017135D" w:rsidRPr="003B5024" w:rsidP="000C557A">
            <w:pPr>
              <w:pStyle w:val="CSBody8pt"/>
            </w:pPr>
            <w:r w:rsidRPr="00792D61">
              <w:rPr>
                <w:b/>
              </w:rPr>
              <w:t>[</w:t>
            </w:r>
            <w:r w:rsidRPr="003B5024">
              <w:t>any Standard Specified Currency</w:t>
            </w:r>
            <w:r w:rsidRPr="00792D61">
              <w:rPr>
                <w:b/>
              </w:rPr>
              <w:t>][</w:t>
            </w:r>
            <w:r w:rsidRPr="003B5024">
              <w:t>and</w:t>
            </w:r>
            <w:r w:rsidRPr="00792D61">
              <w:rPr>
                <w:b/>
              </w:rPr>
              <w:t>][</w:t>
            </w:r>
            <w:r w:rsidRPr="003B5024">
              <w:t>any Domestic Currency</w:t>
            </w:r>
            <w:r w:rsidRPr="00792D61">
              <w:rPr>
                <w:b/>
              </w:rPr>
              <w:t>]</w:t>
            </w:r>
          </w:p>
        </w:tc>
        <w:tc>
          <w:tcPr>
            <w:tcW w:w="1618" w:type="dxa"/>
            <w:gridSpan w:val="2"/>
            <w:tcBorders>
              <w:top w:val="nil"/>
              <w:bottom w:val="nil"/>
              <w:right w:val="nil"/>
            </w:tcBorders>
            <w:shd w:val="clear" w:color="auto" w:fill="auto"/>
          </w:tcPr>
          <w:p w:rsidR="0017135D" w:rsidRPr="00926334" w:rsidP="000C557A">
            <w:pPr>
              <w:pStyle w:val="CSBody8pt"/>
              <w:rPr>
                <w:i/>
              </w:rPr>
            </w:pPr>
          </w:p>
        </w:tc>
        <w:tc>
          <w:tcPr>
            <w:tcW w:w="3318" w:type="dxa"/>
            <w:tcBorders>
              <w:top w:val="nil"/>
              <w:left w:val="nil"/>
              <w:bottom w:val="nil"/>
              <w:right w:val="nil"/>
            </w:tcBorders>
            <w:shd w:val="clear" w:color="auto" w:fill="auto"/>
          </w:tcPr>
          <w:p w:rsidR="0017135D" w:rsidRPr="00926334" w:rsidP="000C557A">
            <w:pPr>
              <w:pStyle w:val="CSBody8pt"/>
              <w:rPr>
                <w:lang w:val="de-DE"/>
              </w:rPr>
            </w:pPr>
            <w:r w:rsidRPr="00792D61">
              <w:rPr>
                <w:b/>
                <w:lang w:val="de-DE"/>
              </w:rPr>
              <w:t>[</w:t>
            </w:r>
            <w:r w:rsidRPr="00926334">
              <w:rPr>
                <w:lang w:val="de-DE"/>
              </w:rPr>
              <w:t>jede Standardmässig Festgelegte Währung</w:t>
            </w:r>
            <w:r w:rsidRPr="00792D61">
              <w:rPr>
                <w:b/>
                <w:lang w:val="de-DE"/>
              </w:rPr>
              <w:t>][</w:t>
            </w:r>
            <w:r w:rsidRPr="00926334">
              <w:rPr>
                <w:lang w:val="de-DE"/>
              </w:rPr>
              <w:t>und</w:t>
            </w:r>
            <w:r w:rsidRPr="00792D61">
              <w:rPr>
                <w:b/>
                <w:lang w:val="de-DE"/>
              </w:rPr>
              <w:t>][</w:t>
            </w:r>
            <w:r w:rsidRPr="00926334">
              <w:rPr>
                <w:lang w:val="de-DE"/>
              </w:rPr>
              <w:t>jede Inlandswährung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26334" w:rsidP="000C557A">
            <w:pPr>
              <w:pStyle w:val="CSBody8pt"/>
              <w:rPr>
                <w:lang w:val="de-DE"/>
              </w:rPr>
            </w:pPr>
          </w:p>
        </w:tc>
        <w:tc>
          <w:tcPr>
            <w:tcW w:w="3315" w:type="dxa"/>
            <w:gridSpan w:val="2"/>
            <w:tcBorders>
              <w:top w:val="nil"/>
              <w:left w:val="nil"/>
              <w:bottom w:val="nil"/>
            </w:tcBorders>
            <w:shd w:val="clear" w:color="auto" w:fill="auto"/>
          </w:tcPr>
          <w:p w:rsidR="0017135D" w:rsidP="000C557A">
            <w:pPr>
              <w:pStyle w:val="CSBody8pt"/>
            </w:pPr>
            <w:r w:rsidRPr="00792D61">
              <w:rPr>
                <w:b/>
              </w:rPr>
              <w:t>[</w:t>
            </w:r>
            <w:r w:rsidRPr="000C557A">
              <w:rPr>
                <w:b/>
                <w:i/>
              </w:rPr>
              <w:t>if the Euro is a Specified Currency, insert:</w:t>
            </w:r>
            <w:r w:rsidRPr="003B5024">
              <w:t xml:space="preserve"> in case of the euro "Specified Currency" shall also include an obligation that was previously payable in the euro, regardless of any redenomination thereafter if such redenomination occurred as a result of action taken by a Governmental Authority of a Member State of the European Union which is of general application in the jurisdiction of such Governmental Authority.</w:t>
            </w:r>
            <w:r w:rsidRPr="00792D61">
              <w:rPr>
                <w:b/>
              </w:rPr>
              <w:t>]]</w:t>
            </w:r>
          </w:p>
        </w:tc>
        <w:tc>
          <w:tcPr>
            <w:tcW w:w="1618" w:type="dxa"/>
            <w:gridSpan w:val="2"/>
            <w:tcBorders>
              <w:top w:val="nil"/>
              <w:bottom w:val="nil"/>
              <w:right w:val="nil"/>
            </w:tcBorders>
            <w:shd w:val="clear" w:color="auto" w:fill="auto"/>
          </w:tcPr>
          <w:p w:rsidR="0017135D" w:rsidRPr="00926334" w:rsidP="000C557A">
            <w:pPr>
              <w:pStyle w:val="CSBody8pt"/>
              <w:rPr>
                <w:i/>
              </w:rPr>
            </w:pPr>
          </w:p>
        </w:tc>
        <w:tc>
          <w:tcPr>
            <w:tcW w:w="3318" w:type="dxa"/>
            <w:tcBorders>
              <w:top w:val="nil"/>
              <w:left w:val="nil"/>
              <w:bottom w:val="nil"/>
              <w:right w:val="nil"/>
            </w:tcBorders>
            <w:shd w:val="clear" w:color="auto" w:fill="auto"/>
          </w:tcPr>
          <w:p w:rsidR="0017135D" w:rsidRPr="00926334" w:rsidP="000C557A">
            <w:pPr>
              <w:pStyle w:val="CSBody8pt"/>
              <w:rPr>
                <w:lang w:val="de-DE"/>
              </w:rPr>
            </w:pPr>
            <w:r w:rsidRPr="00792D61">
              <w:rPr>
                <w:b/>
                <w:lang w:val="de-DE"/>
              </w:rPr>
              <w:t>[</w:t>
            </w:r>
            <w:r w:rsidRPr="000C557A">
              <w:rPr>
                <w:b/>
                <w:i/>
                <w:lang w:val="de-DE"/>
              </w:rPr>
              <w:t>falls der Euro eine Festgelegte Währung ist, einfügen:</w:t>
            </w:r>
            <w:r w:rsidRPr="00926334">
              <w:rPr>
                <w:lang w:val="de-DE"/>
              </w:rPr>
              <w:t xml:space="preserve"> in Falle des Euro schliesst der Begriff "Festgelegte Währung" auch Verbindlichkeiten ein, die zuvor in Euro zahlbar waren, und zwar ungeachtet einer späteren Währungsumstellung, sofern diese Währungsumstellung infolge einer Massnahme einer Regierungsbehörde eines Mitgliedstaats der Europäischen Union mit allgemeiner Geltung im Zuständigkeitsbereich dieser Regierungsbehörde erfolgte.</w:t>
            </w:r>
            <w:r w:rsidRPr="00792D61">
              <w:rPr>
                <w:b/>
                <w:lang w:val="de-DE"/>
              </w:rPr>
              <w:t>]]</w:t>
            </w:r>
          </w:p>
        </w:tc>
      </w:tr>
      <w:tr w:rsidTr="004C1EBA">
        <w:tblPrEx>
          <w:tblW w:w="4999" w:type="pct"/>
          <w:tblLayout w:type="fixed"/>
          <w:tblCellMar>
            <w:left w:w="115" w:type="dxa"/>
            <w:right w:w="115" w:type="dxa"/>
          </w:tblCellMar>
          <w:tblLook w:val="04A0"/>
        </w:tblPrEx>
        <w:trPr>
          <w:trHeight w:val="2211"/>
        </w:trPr>
        <w:tc>
          <w:tcPr>
            <w:tcW w:w="1616" w:type="dxa"/>
            <w:gridSpan w:val="3"/>
            <w:tcBorders>
              <w:top w:val="nil"/>
              <w:left w:val="nil"/>
              <w:right w:val="nil"/>
            </w:tcBorders>
            <w:shd w:val="clear" w:color="auto" w:fill="auto"/>
          </w:tcPr>
          <w:p w:rsidR="0017135D" w:rsidRPr="00926334" w:rsidP="000C557A">
            <w:pPr>
              <w:pStyle w:val="CSBody8ptbolditalics"/>
            </w:pPr>
            <w:r w:rsidRPr="00792D61">
              <w:t>[</w:t>
            </w:r>
            <w:r w:rsidRPr="00926334">
              <w:t>if Specified Number shall not be "two", insert:</w:t>
            </w:r>
          </w:p>
          <w:p w:rsidR="0017135D" w:rsidRPr="00926334" w:rsidP="000C557A">
            <w:pPr>
              <w:pStyle w:val="CSBody8pt"/>
            </w:pPr>
            <w:r w:rsidRPr="00926334">
              <w:t>Specified Number</w:t>
            </w:r>
            <w:r>
              <w:fldChar w:fldCharType="begin"/>
            </w:r>
            <w:r>
              <w:instrText xml:space="preserve"> XE "</w:instrText>
            </w:r>
            <w:r w:rsidRPr="00451605">
              <w:instrText>Specified Number</w:instrText>
            </w:r>
            <w:r>
              <w:instrText xml:space="preserve">" \f "EN" </w:instrText>
            </w:r>
            <w:r>
              <w:fldChar w:fldCharType="end"/>
            </w:r>
          </w:p>
        </w:tc>
        <w:tc>
          <w:tcPr>
            <w:tcW w:w="3315" w:type="dxa"/>
            <w:gridSpan w:val="2"/>
            <w:tcBorders>
              <w:top w:val="nil"/>
              <w:left w:val="nil"/>
            </w:tcBorders>
            <w:shd w:val="clear" w:color="auto" w:fill="auto"/>
          </w:tcPr>
          <w:p w:rsidR="0017135D" w:rsidRPr="00926334" w:rsidP="000C557A">
            <w:pPr>
              <w:pStyle w:val="CSBody8pt"/>
            </w:pPr>
            <w:r w:rsidRPr="00926334">
              <w:t>has the meaning assigned to such term in subsection C.5 of Section 1.1.</w:t>
            </w:r>
            <w:r w:rsidRPr="00792D61">
              <w:rPr>
                <w:b/>
              </w:rPr>
              <w:t>]</w:t>
            </w:r>
          </w:p>
        </w:tc>
        <w:tc>
          <w:tcPr>
            <w:tcW w:w="1618" w:type="dxa"/>
            <w:gridSpan w:val="2"/>
            <w:tcBorders>
              <w:top w:val="nil"/>
              <w:right w:val="nil"/>
            </w:tcBorders>
            <w:shd w:val="clear" w:color="auto" w:fill="auto"/>
          </w:tcPr>
          <w:p w:rsidR="0017135D" w:rsidRPr="00926334" w:rsidP="000C557A">
            <w:pPr>
              <w:pStyle w:val="CSBody8ptbolditalics"/>
              <w:rPr>
                <w:lang w:val="de-DE"/>
              </w:rPr>
            </w:pPr>
            <w:r w:rsidRPr="00792D61">
              <w:rPr>
                <w:lang w:val="de-DE"/>
              </w:rPr>
              <w:t>[</w:t>
            </w:r>
            <w:r w:rsidRPr="00926334">
              <w:rPr>
                <w:lang w:val="de-DE"/>
              </w:rPr>
              <w:t>falls Festgelegte Anzahl nicht "zwei" ist, einfügen:</w:t>
            </w:r>
          </w:p>
          <w:p w:rsidR="0017135D" w:rsidRPr="00926334" w:rsidP="000C557A">
            <w:pPr>
              <w:pStyle w:val="CSBody8pt"/>
              <w:rPr>
                <w:lang w:val="de-DE"/>
              </w:rPr>
            </w:pPr>
            <w:r w:rsidRPr="00206D98">
              <w:t>Festgelegte Anzahl</w:t>
            </w:r>
            <w:r>
              <w:fldChar w:fldCharType="begin"/>
            </w:r>
            <w:r>
              <w:instrText xml:space="preserve"> XE "</w:instrText>
            </w:r>
            <w:r w:rsidRPr="009D257B">
              <w:instrText>Festgelegte Anzahl</w:instrText>
            </w:r>
            <w:r>
              <w:instrText xml:space="preserve">" </w:instrText>
            </w:r>
            <w:r>
              <w:fldChar w:fldCharType="end"/>
            </w:r>
          </w:p>
        </w:tc>
        <w:tc>
          <w:tcPr>
            <w:tcW w:w="3318" w:type="dxa"/>
            <w:tcBorders>
              <w:top w:val="nil"/>
              <w:left w:val="nil"/>
              <w:right w:val="nil"/>
            </w:tcBorders>
            <w:shd w:val="clear" w:color="auto" w:fill="auto"/>
          </w:tcPr>
          <w:p w:rsidR="0017135D" w:rsidRPr="00926334" w:rsidP="000C557A">
            <w:pPr>
              <w:pStyle w:val="CSBody8pt"/>
              <w:rPr>
                <w:bCs/>
                <w:lang w:val="de-DE"/>
              </w:rPr>
            </w:pPr>
            <w:r w:rsidRPr="00926334">
              <w:rPr>
                <w:bCs/>
                <w:lang w:val="de-DE"/>
              </w:rPr>
              <w:t>hat die diesem Begriff in Unterabschnitt C.5 von Ziffer 1.1. zugewiesene Bedeutung.</w:t>
            </w:r>
            <w:r w:rsidRPr="00792D61">
              <w:rPr>
                <w:b/>
                <w:bCs/>
                <w:lang w:val="de-DE"/>
              </w:rPr>
              <w:t>]</w:t>
            </w:r>
          </w:p>
        </w:tc>
      </w:tr>
      <w:tr w:rsidTr="004C1EBA">
        <w:tblPrEx>
          <w:tblW w:w="4999" w:type="pct"/>
          <w:tblLayout w:type="fixed"/>
          <w:tblCellMar>
            <w:left w:w="115" w:type="dxa"/>
            <w:right w:w="115" w:type="dxa"/>
          </w:tblCellMar>
          <w:tblLook w:val="04A0"/>
        </w:tblPrEx>
        <w:trPr>
          <w:trHeight w:val="2214"/>
        </w:trPr>
        <w:tc>
          <w:tcPr>
            <w:tcW w:w="1616" w:type="dxa"/>
            <w:gridSpan w:val="3"/>
            <w:tcBorders>
              <w:top w:val="nil"/>
              <w:left w:val="nil"/>
              <w:right w:val="nil"/>
            </w:tcBorders>
            <w:shd w:val="clear" w:color="auto" w:fill="auto"/>
          </w:tcPr>
          <w:p w:rsidR="0017135D" w:rsidRPr="00926334" w:rsidP="000C557A">
            <w:pPr>
              <w:pStyle w:val="CSBody8ptbolditalics"/>
            </w:pPr>
            <w:r w:rsidRPr="00792D61">
              <w:t>[</w:t>
            </w:r>
            <w:r w:rsidRPr="00926334">
              <w:t>if applicable, insert:</w:t>
            </w:r>
          </w:p>
          <w:p w:rsidR="0017135D" w:rsidRPr="00926334" w:rsidP="000C557A">
            <w:pPr>
              <w:pStyle w:val="CSBody8pt"/>
            </w:pPr>
            <w:r w:rsidRPr="00926334">
              <w:t>Standard Specified Currency</w:t>
            </w:r>
            <w:r>
              <w:fldChar w:fldCharType="begin"/>
            </w:r>
            <w:r>
              <w:instrText xml:space="preserve"> XE "</w:instrText>
            </w:r>
            <w:r w:rsidRPr="00DA0AA7">
              <w:instrText>Standard Specified Currency</w:instrText>
            </w:r>
            <w:r>
              <w:instrText xml:space="preserve">" \f "EN" </w:instrText>
            </w:r>
            <w:r>
              <w:fldChar w:fldCharType="end"/>
            </w:r>
          </w:p>
        </w:tc>
        <w:tc>
          <w:tcPr>
            <w:tcW w:w="3315" w:type="dxa"/>
            <w:gridSpan w:val="2"/>
            <w:tcBorders>
              <w:top w:val="nil"/>
              <w:left w:val="nil"/>
            </w:tcBorders>
            <w:shd w:val="clear" w:color="auto" w:fill="auto"/>
          </w:tcPr>
          <w:p w:rsidR="0017135D" w:rsidRPr="00926334" w:rsidP="000C557A">
            <w:pPr>
              <w:pStyle w:val="CSBody8pt"/>
            </w:pPr>
            <w:r w:rsidRPr="00926334">
              <w:t>each of the lawful currencies of Canada, Japan, Switzerland, France, Germany, the United Kingdom and the United States of America and the euro and any successor currency to any of the aforementioned currencies (which in the case of the euro, shall mean the currency which succeeds to and replaces the euro in whole).</w:t>
            </w:r>
            <w:r w:rsidRPr="00792D61">
              <w:rPr>
                <w:b/>
              </w:rPr>
              <w:t>]</w:t>
            </w:r>
          </w:p>
        </w:tc>
        <w:tc>
          <w:tcPr>
            <w:tcW w:w="1618" w:type="dxa"/>
            <w:gridSpan w:val="2"/>
            <w:tcBorders>
              <w:top w:val="nil"/>
              <w:right w:val="nil"/>
            </w:tcBorders>
            <w:shd w:val="clear" w:color="auto" w:fill="auto"/>
          </w:tcPr>
          <w:p w:rsidR="0017135D" w:rsidRPr="00313B3E" w:rsidP="000C557A">
            <w:pPr>
              <w:pStyle w:val="CSBody8ptbolditalics"/>
              <w:rPr>
                <w:lang w:val="de-DE"/>
              </w:rPr>
            </w:pPr>
            <w:r w:rsidRPr="00792D61">
              <w:rPr>
                <w:lang w:val="de-DE"/>
              </w:rPr>
              <w:t>[</w:t>
            </w:r>
            <w:r w:rsidRPr="00313B3E">
              <w:rPr>
                <w:lang w:val="de-DE"/>
              </w:rPr>
              <w:t>falls anwendbar ist, einfügen:</w:t>
            </w:r>
          </w:p>
          <w:p w:rsidR="0017135D" w:rsidRPr="00313B3E" w:rsidP="000C557A">
            <w:pPr>
              <w:pStyle w:val="CSBody8pt"/>
              <w:rPr>
                <w:lang w:val="de-DE"/>
              </w:rPr>
            </w:pPr>
            <w:r w:rsidRPr="00313B3E">
              <w:rPr>
                <w:lang w:val="de-DE"/>
              </w:rPr>
              <w:t>Standardmässig Festgelegte Währung</w:t>
            </w:r>
            <w:r>
              <w:fldChar w:fldCharType="begin"/>
            </w:r>
            <w:r w:rsidRPr="00313B3E">
              <w:rPr>
                <w:lang w:val="de-DE"/>
              </w:rPr>
              <w:instrText xml:space="preserve"> XE "Standardmässig Festgelegte Währung" </w:instrText>
            </w:r>
            <w:r>
              <w:fldChar w:fldCharType="end"/>
            </w:r>
          </w:p>
        </w:tc>
        <w:tc>
          <w:tcPr>
            <w:tcW w:w="3318" w:type="dxa"/>
            <w:tcBorders>
              <w:top w:val="nil"/>
              <w:left w:val="nil"/>
              <w:right w:val="nil"/>
            </w:tcBorders>
            <w:shd w:val="clear" w:color="auto" w:fill="auto"/>
          </w:tcPr>
          <w:p w:rsidR="0017135D" w:rsidRPr="00926334" w:rsidP="000C557A">
            <w:pPr>
              <w:pStyle w:val="CSBody8pt"/>
              <w:rPr>
                <w:bCs/>
                <w:lang w:val="de-DE"/>
              </w:rPr>
            </w:pPr>
            <w:r w:rsidRPr="00926334">
              <w:rPr>
                <w:bCs/>
                <w:lang w:val="de-DE"/>
              </w:rPr>
              <w:t>jede der gesetzliche</w:t>
            </w:r>
            <w:r w:rsidR="00015A2C">
              <w:rPr>
                <w:bCs/>
                <w:lang w:val="de-DE"/>
              </w:rPr>
              <w:t>n</w:t>
            </w:r>
            <w:r w:rsidRPr="00926334">
              <w:rPr>
                <w:bCs/>
                <w:lang w:val="de-DE"/>
              </w:rPr>
              <w:t xml:space="preserve"> Währung</w:t>
            </w:r>
            <w:r w:rsidR="00015A2C">
              <w:rPr>
                <w:bCs/>
                <w:lang w:val="de-DE"/>
              </w:rPr>
              <w:t>en</w:t>
            </w:r>
            <w:r w:rsidRPr="00926334">
              <w:rPr>
                <w:bCs/>
                <w:lang w:val="de-DE"/>
              </w:rPr>
              <w:t xml:space="preserve"> Kanadas, Japans, der Schweiz, Frankreichs, Deutschlands, des Vereinigten Königreichs und der Vereinigten Staaten von Amerika sowie den Euro und jede Nachfolgewährung einer der genannten Währungen (im Falle des Euro ist dies die Währung, die als Nachfolgewährung den Euro insgesamt ersetzt).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06D98" w:rsidP="000C557A">
            <w:pPr>
              <w:pStyle w:val="CSBody8pt"/>
            </w:pPr>
            <w:r w:rsidRPr="00206D98">
              <w:t>Steps Plan</w:t>
            </w:r>
            <w:r>
              <w:fldChar w:fldCharType="begin"/>
            </w:r>
            <w:r>
              <w:instrText xml:space="preserve"> XE "</w:instrText>
            </w:r>
            <w:r w:rsidRPr="000428CC">
              <w:instrText>Steps Plan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06D98" w:rsidP="000C557A">
            <w:pPr>
              <w:pStyle w:val="CSBody8pt"/>
            </w:pPr>
            <w:r w:rsidRPr="00206D98">
              <w:t>a plan evidenced by Eligible Information contemplating that there will be a series of successions to some or all of the Relevant Obligations of the Reference Entity, by one or more entities.</w:t>
            </w:r>
          </w:p>
        </w:tc>
        <w:tc>
          <w:tcPr>
            <w:tcW w:w="1618" w:type="dxa"/>
            <w:gridSpan w:val="2"/>
            <w:tcBorders>
              <w:top w:val="nil"/>
              <w:bottom w:val="nil"/>
              <w:right w:val="nil"/>
            </w:tcBorders>
            <w:shd w:val="clear" w:color="auto" w:fill="auto"/>
          </w:tcPr>
          <w:p w:rsidR="0017135D" w:rsidRPr="00206D98" w:rsidP="000C557A">
            <w:pPr>
              <w:pStyle w:val="CSBody8pt"/>
            </w:pPr>
            <w:r w:rsidRPr="00206D98">
              <w:t>Stufenplan</w:t>
            </w:r>
            <w:r>
              <w:fldChar w:fldCharType="begin"/>
            </w:r>
            <w:r>
              <w:instrText xml:space="preserve"> XE "</w:instrText>
            </w:r>
            <w:r w:rsidRPr="000754E7">
              <w:instrText>Stufenplan</w:instrText>
            </w:r>
            <w:r>
              <w:instrText xml:space="preserve">" </w:instrText>
            </w:r>
            <w:r>
              <w:fldChar w:fldCharType="end"/>
            </w:r>
          </w:p>
        </w:tc>
        <w:tc>
          <w:tcPr>
            <w:tcW w:w="3318" w:type="dxa"/>
            <w:tcBorders>
              <w:top w:val="nil"/>
              <w:left w:val="nil"/>
              <w:bottom w:val="nil"/>
              <w:right w:val="nil"/>
            </w:tcBorders>
            <w:shd w:val="clear" w:color="auto" w:fill="auto"/>
          </w:tcPr>
          <w:p w:rsidR="0017135D" w:rsidRPr="00206D98" w:rsidP="00015A2C">
            <w:pPr>
              <w:pStyle w:val="CSBody8pt"/>
              <w:rPr>
                <w:lang w:val="de-DE"/>
              </w:rPr>
            </w:pPr>
            <w:r w:rsidRPr="00206D98">
              <w:rPr>
                <w:lang w:val="de-DE"/>
              </w:rPr>
              <w:t xml:space="preserve">ein durch Zulässige Informationen belegter Plan, demzufolge in Bezug auf alle oder einzelne Massgebliche Verbindlichkeiten des Referenzschuldners eine Reihe von </w:t>
            </w:r>
            <w:r w:rsidR="00015A2C">
              <w:rPr>
                <w:lang w:val="de-DE"/>
              </w:rPr>
              <w:t>Rechtsnachfolgevorgängen</w:t>
            </w:r>
            <w:r w:rsidRPr="00206D98" w:rsidR="00015A2C">
              <w:rPr>
                <w:lang w:val="de-DE"/>
              </w:rPr>
              <w:t xml:space="preserve"> </w:t>
            </w:r>
            <w:r w:rsidRPr="00206D98">
              <w:rPr>
                <w:lang w:val="de-DE"/>
              </w:rPr>
              <w:t>erfolgen soll, bei denen ein oder mehrere Rechtsträger diese Massgeblichen Verbindlichkeiten übernehmen.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206D98" w:rsidP="00EF55E4">
            <w:pPr>
              <w:pStyle w:val="CSBody8pt"/>
            </w:pPr>
            <w:r w:rsidRPr="00206D98">
              <w:t>Subordinated Obligation</w:t>
            </w:r>
            <w:r>
              <w:fldChar w:fldCharType="begin"/>
            </w:r>
            <w:r>
              <w:instrText xml:space="preserve"> XE "</w:instrText>
            </w:r>
            <w:r w:rsidRPr="0089685E">
              <w:instrText>Subordinated Obligation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206D98" w:rsidP="00EF55E4">
            <w:pPr>
              <w:pStyle w:val="CSBody8pt"/>
            </w:pPr>
            <w:r w:rsidRPr="00206D98">
              <w:t>any obligation which is Subordinated to any unsubordinated Borrowed Money obligation of the Reference Entity or which would be so Subordinated if any unsubordinated Borrowed Money obligation of the Reference Entity existed.</w:t>
            </w:r>
          </w:p>
        </w:tc>
        <w:tc>
          <w:tcPr>
            <w:tcW w:w="1618" w:type="dxa"/>
            <w:gridSpan w:val="2"/>
            <w:tcBorders>
              <w:top w:val="nil"/>
              <w:bottom w:val="nil"/>
              <w:right w:val="nil"/>
            </w:tcBorders>
            <w:shd w:val="clear" w:color="auto" w:fill="auto"/>
          </w:tcPr>
          <w:p w:rsidR="0017135D" w:rsidRPr="00206D98" w:rsidP="00EF55E4">
            <w:pPr>
              <w:pStyle w:val="CSBody8pt"/>
            </w:pPr>
            <w:r w:rsidRPr="00206D98">
              <w:t>Nachrangige Verbindlichkeit</w:t>
            </w:r>
            <w:r>
              <w:fldChar w:fldCharType="begin"/>
            </w:r>
            <w:r>
              <w:instrText xml:space="preserve"> XE "</w:instrText>
            </w:r>
            <w:r w:rsidRPr="00ED148F">
              <w:instrText>Nachrangige Verbindlichkeit</w:instrText>
            </w:r>
            <w:r>
              <w:instrText xml:space="preserve">" </w:instrText>
            </w:r>
            <w:r>
              <w:fldChar w:fldCharType="end"/>
            </w:r>
          </w:p>
        </w:tc>
        <w:tc>
          <w:tcPr>
            <w:tcW w:w="3318" w:type="dxa"/>
            <w:tcBorders>
              <w:top w:val="nil"/>
              <w:left w:val="nil"/>
              <w:bottom w:val="nil"/>
              <w:right w:val="nil"/>
            </w:tcBorders>
            <w:shd w:val="clear" w:color="auto" w:fill="auto"/>
          </w:tcPr>
          <w:p w:rsidR="0017135D" w:rsidRPr="00206D98" w:rsidP="00EF55E4">
            <w:pPr>
              <w:pStyle w:val="CSBody8pt"/>
              <w:rPr>
                <w:lang w:val="de-DE"/>
              </w:rPr>
            </w:pPr>
            <w:r w:rsidRPr="00206D98">
              <w:rPr>
                <w:lang w:val="de-DE"/>
              </w:rPr>
              <w:t>jede Verbindlichkeit, die gegenüber einer nicht nachrangigen Verbindlichkeit des Referenzschuldners in Form Aufgenommener Gelder Nachrangig ist bzw. wäre, wenn es eine nicht nachrangige Verbindlichkeit des Referenzschuldners in Form Aufgenommener Gelder gäbe.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E502F" w:rsidP="0046463E">
            <w:pPr>
              <w:pStyle w:val="CSBody8ptbolditalics"/>
            </w:pPr>
            <w:r w:rsidRPr="00792D61">
              <w:t>[</w:t>
            </w:r>
            <w:r w:rsidRPr="000E502F">
              <w:t>in case of Complex Products linked to a Reference Obligation:</w:t>
            </w:r>
          </w:p>
          <w:p w:rsidR="0017135D" w:rsidRPr="00206D98" w:rsidP="00EF55E4">
            <w:pPr>
              <w:pStyle w:val="CSBody8pt"/>
              <w:rPr>
                <w:lang w:val="de-DE"/>
              </w:rPr>
            </w:pPr>
            <w:r w:rsidRPr="00206D98">
              <w:rPr>
                <w:lang w:val="de-DE"/>
              </w:rPr>
              <w:t>Subordination</w:t>
            </w:r>
            <w:r>
              <w:rPr>
                <w:lang w:val="de-DE"/>
              </w:rPr>
              <w:fldChar w:fldCharType="begin"/>
            </w:r>
            <w:r>
              <w:instrText xml:space="preserve"> XE "</w:instrText>
            </w:r>
            <w:r w:rsidRPr="00573A8C">
              <w:rPr>
                <w:lang w:val="de-DE"/>
              </w:rPr>
              <w:instrText>Subordination</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206D98" w:rsidP="00EF55E4">
            <w:pPr>
              <w:pStyle w:val="CSBody8pt"/>
            </w:pPr>
            <w:r w:rsidRPr="00206D98">
              <w:t>with respect to an obligation (the "</w:t>
            </w:r>
            <w:r w:rsidRPr="00206D98">
              <w:rPr>
                <w:b/>
              </w:rPr>
              <w:t>Second Obligation</w:t>
            </w:r>
            <w:r w:rsidRPr="00206D98">
              <w:t xml:space="preserve">") and another obligation of </w:t>
            </w:r>
            <w:r w:rsidRPr="00792D61">
              <w:rPr>
                <w:b/>
              </w:rPr>
              <w:t>[</w:t>
            </w:r>
            <w:r w:rsidRPr="00206D98">
              <w:rPr>
                <w:b/>
                <w:i/>
              </w:rPr>
              <w:t>if a Complex Product is only linked to one Reference Entity, insert:</w:t>
            </w:r>
            <w:r w:rsidRPr="00206D98">
              <w:t xml:space="preserve"> the</w:t>
            </w:r>
            <w:r w:rsidRPr="00792D61">
              <w:rPr>
                <w:b/>
              </w:rPr>
              <w:t>][</w:t>
            </w:r>
            <w:r w:rsidRPr="00206D98">
              <w:rPr>
                <w:b/>
                <w:i/>
              </w:rPr>
              <w:t>if a Basket is applicable or in the case of Complex Products with N</w:t>
            </w:r>
            <w:r w:rsidRPr="00BD6E0D">
              <w:rPr>
                <w:b/>
                <w:i/>
                <w:vertAlign w:val="superscript"/>
              </w:rPr>
              <w:t>th</w:t>
            </w:r>
            <w:r w:rsidRPr="00206D98">
              <w:rPr>
                <w:b/>
                <w:i/>
              </w:rPr>
              <w:t>-to-Default structure, insert:</w:t>
            </w:r>
            <w:r w:rsidRPr="00206D98">
              <w:t xml:space="preserve"> a</w:t>
            </w:r>
            <w:r w:rsidRPr="00792D61">
              <w:rPr>
                <w:b/>
              </w:rPr>
              <w:t>]</w:t>
            </w:r>
            <w:r w:rsidRPr="00206D98">
              <w:t xml:space="preserve"> Reference Entity to which such obligation is being compared (the "</w:t>
            </w:r>
            <w:r w:rsidRPr="00206D98">
              <w:rPr>
                <w:b/>
              </w:rPr>
              <w:t>First Obligation</w:t>
            </w:r>
            <w:r w:rsidRPr="00206D98">
              <w:t xml:space="preserve">"), a contractual, trust or similar arrangement providing that (a) upon the liquidation, dissolution, reorganization or winding up of </w:t>
            </w:r>
            <w:r w:rsidRPr="00792D61">
              <w:rPr>
                <w:b/>
              </w:rPr>
              <w:t>[</w:t>
            </w:r>
            <w:r w:rsidRPr="00736886">
              <w:rPr>
                <w:b/>
                <w:i/>
              </w:rPr>
              <w:t>if a Complex Product is only linked to one Reference Entity, insert:</w:t>
            </w:r>
            <w:r w:rsidRPr="00206D98">
              <w:t xml:space="preserve"> the</w:t>
            </w:r>
            <w:r w:rsidRPr="00792D61">
              <w:rPr>
                <w:b/>
              </w:rPr>
              <w:t>][</w:t>
            </w:r>
            <w:r w:rsidRPr="00206D98">
              <w:rPr>
                <w:b/>
                <w:i/>
              </w:rPr>
              <w:t>if a Basket is applicable or in the case of Complex Products with N</w:t>
            </w:r>
            <w:r w:rsidRPr="00BD6E0D">
              <w:rPr>
                <w:b/>
                <w:i/>
                <w:vertAlign w:val="superscript"/>
              </w:rPr>
              <w:t>th</w:t>
            </w:r>
            <w:r w:rsidRPr="00206D98">
              <w:rPr>
                <w:b/>
                <w:i/>
              </w:rPr>
              <w:t xml:space="preserve">-to-Default structure, insert: </w:t>
            </w:r>
            <w:r w:rsidRPr="00206D98">
              <w:t>such</w:t>
            </w:r>
            <w:r w:rsidRPr="00792D61">
              <w:rPr>
                <w:b/>
              </w:rPr>
              <w:t>]</w:t>
            </w:r>
            <w:r w:rsidRPr="00206D98">
              <w:t xml:space="preserve"> Reference Entity, claims of the holders of the First Obligation are required to be satisfied prior to the claims of the holders of the Second Obligation or (b) the holders of the Second Obligation will not be entitled to receive or retain principal payments with respect to their claims against </w:t>
            </w:r>
            <w:r w:rsidRPr="00792D61">
              <w:rPr>
                <w:b/>
              </w:rPr>
              <w:t>[</w:t>
            </w:r>
            <w:r w:rsidRPr="00206D98">
              <w:rPr>
                <w:b/>
                <w:i/>
              </w:rPr>
              <w:t>if a Complex Product is only linked to one Reference Entity, insert:</w:t>
            </w:r>
            <w:r w:rsidRPr="00206D98">
              <w:t xml:space="preserve"> the</w:t>
            </w:r>
            <w:r w:rsidRPr="00792D61">
              <w:rPr>
                <w:b/>
              </w:rPr>
              <w:t>][</w:t>
            </w:r>
            <w:r w:rsidRPr="00206D98">
              <w:rPr>
                <w:b/>
                <w:i/>
              </w:rPr>
              <w:t>if a Basket is applicable or in the case of Complex Products with N</w:t>
            </w:r>
            <w:r w:rsidRPr="00BD6E0D">
              <w:rPr>
                <w:b/>
                <w:i/>
                <w:vertAlign w:val="superscript"/>
              </w:rPr>
              <w:t>th</w:t>
            </w:r>
            <w:r w:rsidRPr="00206D98">
              <w:rPr>
                <w:b/>
                <w:i/>
              </w:rPr>
              <w:t>-to-Default structure, insert:</w:t>
            </w:r>
            <w:r w:rsidRPr="00206D98">
              <w:t xml:space="preserve"> such</w:t>
            </w:r>
            <w:r w:rsidRPr="00792D61">
              <w:rPr>
                <w:b/>
              </w:rPr>
              <w:t>]</w:t>
            </w:r>
            <w:r w:rsidRPr="00206D98">
              <w:t xml:space="preserve"> Reference Entity at any time that </w:t>
            </w:r>
            <w:r w:rsidRPr="00792D61">
              <w:rPr>
                <w:b/>
              </w:rPr>
              <w:t>[</w:t>
            </w:r>
            <w:r w:rsidRPr="00206D98">
              <w:t>if a Complex Product is only linked to one Reference Entity, insert: the</w:t>
            </w:r>
            <w:r w:rsidRPr="00792D61">
              <w:rPr>
                <w:b/>
              </w:rPr>
              <w:t>][</w:t>
            </w:r>
            <w:r w:rsidRPr="00206D98">
              <w:rPr>
                <w:b/>
                <w:i/>
              </w:rPr>
              <w:t>if a Basket is applicable or in the case of Complex Products with N</w:t>
            </w:r>
            <w:r w:rsidRPr="00BD6E0D">
              <w:rPr>
                <w:b/>
                <w:i/>
                <w:vertAlign w:val="superscript"/>
              </w:rPr>
              <w:t>th</w:t>
            </w:r>
            <w:r w:rsidRPr="00206D98">
              <w:rPr>
                <w:b/>
                <w:i/>
              </w:rPr>
              <w:t xml:space="preserve">-to-Default structure, insert: </w:t>
            </w:r>
            <w:r w:rsidRPr="00206D98">
              <w:t>such</w:t>
            </w:r>
            <w:r w:rsidRPr="00792D61">
              <w:rPr>
                <w:b/>
              </w:rPr>
              <w:t>]</w:t>
            </w:r>
            <w:r w:rsidRPr="00206D98">
              <w:t xml:space="preserve"> Reference Entity is in payment arrears or is otherwise in default under the First Obligation. "Subordinated" will be construed accordingly. For purposes of determining whether Subordination exists or whether an obligation is Subordinated with respect to another obligation to which it is being compared, </w:t>
            </w:r>
            <w:r w:rsidRPr="00792D61">
              <w:rPr>
                <w:b/>
              </w:rPr>
              <w:t>[</w:t>
            </w:r>
            <w:r w:rsidRPr="00206D98">
              <w:t>(x)</w:t>
            </w:r>
            <w:r w:rsidRPr="00792D61">
              <w:rPr>
                <w:b/>
              </w:rPr>
              <w:t>]</w:t>
            </w:r>
            <w:r w:rsidRPr="00206D98">
              <w:t xml:space="preserve"> the existence of preferred creditors arising by operation of law or of collateral, credit support or other credit enhancement or security arrangements shall not be taken into account </w:t>
            </w:r>
            <w:r w:rsidRPr="00792D61">
              <w:rPr>
                <w:b/>
              </w:rPr>
              <w:t>[</w:t>
            </w:r>
            <w:r w:rsidRPr="00206D98">
              <w:rPr>
                <w:b/>
                <w:i/>
              </w:rPr>
              <w:t>if the/a Reference Entity is a Sovereign, insert:</w:t>
            </w:r>
            <w:r w:rsidRPr="00206D98">
              <w:t xml:space="preserve"> , except that, notwithstanding the foregoing, priorities arising by operation of law shall be taken into account </w:t>
            </w:r>
            <w:r w:rsidRPr="00792D61">
              <w:rPr>
                <w:b/>
              </w:rPr>
              <w:t>[</w:t>
            </w:r>
            <w:r w:rsidRPr="00206D98">
              <w:rPr>
                <w:b/>
                <w:i/>
              </w:rPr>
              <w:t>if a Complex Product is only linked to one Reference Entity, insert</w:t>
            </w:r>
            <w:r w:rsidRPr="00206D98">
              <w:t>: as the Reference Entity is a Sovereign</w:t>
            </w:r>
            <w:r w:rsidRPr="00792D61">
              <w:rPr>
                <w:b/>
              </w:rPr>
              <w:t>][</w:t>
            </w:r>
            <w:r w:rsidRPr="00206D98">
              <w:rPr>
                <w:b/>
                <w:i/>
              </w:rPr>
              <w:t>if a Basket is applicable or in the case of Complex Products with N</w:t>
            </w:r>
            <w:r w:rsidRPr="00BD6E0D">
              <w:rPr>
                <w:b/>
                <w:i/>
                <w:vertAlign w:val="superscript"/>
              </w:rPr>
              <w:t>th</w:t>
            </w:r>
            <w:r w:rsidRPr="00206D98">
              <w:rPr>
                <w:b/>
                <w:i/>
              </w:rPr>
              <w:t xml:space="preserve">-to-Default structure, insert: </w:t>
            </w:r>
            <w:r w:rsidRPr="00206D98">
              <w:t>with respect to the Obligations of any Reference Entity which is a Sovereign</w:t>
            </w:r>
            <w:r w:rsidRPr="00792D61">
              <w:rPr>
                <w:b/>
              </w:rPr>
              <w:t>]]</w:t>
            </w:r>
            <w:r w:rsidRPr="00206D98">
              <w:t xml:space="preserve"> </w:t>
            </w:r>
            <w:r w:rsidRPr="00792D61">
              <w:rPr>
                <w:b/>
              </w:rPr>
              <w:t>[</w:t>
            </w:r>
            <w:r w:rsidRPr="00206D98">
              <w:t>and</w:t>
            </w:r>
            <w:r w:rsidRPr="00792D61">
              <w:rPr>
                <w:b/>
              </w:rPr>
              <w:t>][</w:t>
            </w:r>
            <w:r w:rsidRPr="00206D98">
              <w:rPr>
                <w:b/>
                <w:i/>
              </w:rPr>
              <w:t>insert in case of Complex Products with Reference Obligation(s):</w:t>
            </w:r>
            <w:r w:rsidRPr="00206D98">
              <w:t xml:space="preserve"> </w:t>
            </w:r>
            <w:r w:rsidRPr="00792D61">
              <w:rPr>
                <w:b/>
              </w:rPr>
              <w:t>[</w:t>
            </w:r>
            <w:r w:rsidRPr="00206D98">
              <w:t>(y)</w:t>
            </w:r>
            <w:r w:rsidRPr="00792D61">
              <w:rPr>
                <w:b/>
              </w:rPr>
              <w:t>]</w:t>
            </w:r>
            <w:r w:rsidRPr="00206D98">
              <w:t xml:space="preserve"> in the case of the Reference Obligation or the Prior Reference Obligation, as applicable, the ranking in priority of payment shall be determined as of the date as of which it was issued or incurred </w:t>
            </w:r>
            <w:r w:rsidRPr="00792D61">
              <w:rPr>
                <w:b/>
              </w:rPr>
              <w:t>[</w:t>
            </w:r>
            <w:r w:rsidRPr="00206D98">
              <w:rPr>
                <w:b/>
                <w:i/>
              </w:rPr>
              <w:t>if Standard Reference Obligation applies, insert:</w:t>
            </w:r>
            <w:r w:rsidRPr="00206D98">
              <w:t xml:space="preserve"> (or in circumstances where the Reference Obligation or a Prior Reference Obligation is the Standard Reference Obligation, then the priority of payment of the Reference Obligation or the Prior Reference Obligation, as applicable, shall be determined as of the date of selection)</w:t>
            </w:r>
            <w:r w:rsidRPr="00792D61">
              <w:rPr>
                <w:b/>
              </w:rPr>
              <w:t>]</w:t>
            </w:r>
            <w:r w:rsidRPr="00206D98">
              <w:t xml:space="preserve"> and, in each case, shall not reflect any change to such ranking in priority of payment after such date.</w:t>
            </w:r>
          </w:p>
        </w:tc>
        <w:tc>
          <w:tcPr>
            <w:tcW w:w="1618" w:type="dxa"/>
            <w:gridSpan w:val="2"/>
            <w:tcBorders>
              <w:top w:val="nil"/>
              <w:bottom w:val="nil"/>
              <w:right w:val="nil"/>
            </w:tcBorders>
            <w:shd w:val="clear" w:color="auto" w:fill="auto"/>
          </w:tcPr>
          <w:p w:rsidR="0017135D" w:rsidRPr="000E502F" w:rsidP="0046463E">
            <w:pPr>
              <w:pStyle w:val="CSBody8ptbolditalics"/>
              <w:rPr>
                <w:lang w:val="de-DE"/>
              </w:rPr>
            </w:pPr>
            <w:r w:rsidRPr="00792D61">
              <w:rPr>
                <w:lang w:val="de-DE"/>
              </w:rPr>
              <w:t>[</w:t>
            </w:r>
            <w:r w:rsidRPr="000E502F">
              <w:rPr>
                <w:lang w:val="de-DE"/>
              </w:rPr>
              <w:t>bei an eine Referenzverbindlichkeit gekoppelten Komplexen Produkten:</w:t>
            </w:r>
          </w:p>
          <w:p w:rsidR="0017135D" w:rsidRPr="00206D98" w:rsidP="00EF55E4">
            <w:pPr>
              <w:pStyle w:val="CSBody8pt"/>
            </w:pPr>
            <w:r w:rsidRPr="00206D98">
              <w:t>Nachrangigkeit</w:t>
            </w:r>
            <w:r>
              <w:fldChar w:fldCharType="begin"/>
            </w:r>
            <w:r>
              <w:instrText xml:space="preserve"> XE "</w:instrText>
            </w:r>
            <w:r w:rsidRPr="001B516B">
              <w:instrText>Nachrangigkeit</w:instrText>
            </w:r>
            <w:r>
              <w:instrText xml:space="preserve">" </w:instrText>
            </w:r>
            <w:r>
              <w:fldChar w:fldCharType="end"/>
            </w:r>
          </w:p>
        </w:tc>
        <w:tc>
          <w:tcPr>
            <w:tcW w:w="3318" w:type="dxa"/>
            <w:tcBorders>
              <w:top w:val="nil"/>
              <w:left w:val="nil"/>
              <w:bottom w:val="nil"/>
              <w:right w:val="nil"/>
            </w:tcBorders>
            <w:shd w:val="clear" w:color="auto" w:fill="auto"/>
          </w:tcPr>
          <w:p w:rsidR="0017135D" w:rsidRPr="00926334" w:rsidP="00EF55E4">
            <w:pPr>
              <w:pStyle w:val="CSBody8pt"/>
              <w:rPr>
                <w:bCs/>
                <w:lang w:val="de-DE"/>
              </w:rPr>
            </w:pPr>
            <w:r w:rsidRPr="00206D98">
              <w:rPr>
                <w:bCs/>
                <w:lang w:val="de-DE"/>
              </w:rPr>
              <w:t>in Bezug auf eine Verbindlichkeit (die "</w:t>
            </w:r>
            <w:r w:rsidRPr="00206D98">
              <w:rPr>
                <w:b/>
                <w:bCs/>
                <w:lang w:val="de-DE"/>
              </w:rPr>
              <w:t>Zweite Verbindlichkeit</w:t>
            </w:r>
            <w:r w:rsidRPr="00206D98">
              <w:rPr>
                <w:bCs/>
                <w:lang w:val="de-DE"/>
              </w:rPr>
              <w:t xml:space="preserve">") im Verhältnis zu einer anderen Verbindlichkeit </w:t>
            </w:r>
            <w:r w:rsidRPr="00792D61">
              <w:rPr>
                <w:b/>
                <w:bCs/>
                <w:lang w:val="de-DE"/>
              </w:rPr>
              <w:t>[</w:t>
            </w:r>
            <w:r w:rsidRPr="00206D98">
              <w:rPr>
                <w:b/>
                <w:bCs/>
                <w:i/>
                <w:lang w:val="de-DE"/>
              </w:rPr>
              <w:t xml:space="preserve">falls ein Komplexes Produkt nur an einen Referenzschuldner gekoppelt ist, einfügen: </w:t>
            </w:r>
            <w:r w:rsidRPr="00206D98">
              <w:rPr>
                <w:bCs/>
                <w:lang w:val="de-DE"/>
              </w:rPr>
              <w:t>des</w:t>
            </w:r>
            <w:r w:rsidRPr="00792D61">
              <w:rPr>
                <w:b/>
                <w:bCs/>
                <w:lang w:val="de-DE"/>
              </w:rPr>
              <w:t>][</w:t>
            </w:r>
            <w:r w:rsidRPr="00206D98">
              <w:rPr>
                <w:b/>
                <w:bCs/>
                <w:i/>
                <w:lang w:val="de-DE"/>
              </w:rPr>
              <w:t>falls ein Korb anwendbar ist oder bei Komplexen Produkten mit N</w:t>
            </w:r>
            <w:r w:rsidRPr="00BD6E0D">
              <w:rPr>
                <w:b/>
                <w:i/>
                <w:vertAlign w:val="superscript"/>
                <w:lang w:val="de-DE"/>
              </w:rPr>
              <w:t>th</w:t>
            </w:r>
            <w:r w:rsidRPr="00206D98">
              <w:rPr>
                <w:b/>
                <w:bCs/>
                <w:i/>
                <w:lang w:val="de-DE"/>
              </w:rPr>
              <w:t>-to-Default-Struktur, einfügen:</w:t>
            </w:r>
            <w:r w:rsidRPr="00206D98">
              <w:rPr>
                <w:bCs/>
                <w:lang w:val="de-DE"/>
              </w:rPr>
              <w:t xml:space="preserve"> eines</w:t>
            </w:r>
            <w:r w:rsidRPr="00792D61">
              <w:rPr>
                <w:b/>
                <w:bCs/>
                <w:lang w:val="de-DE"/>
              </w:rPr>
              <w:t>]</w:t>
            </w:r>
            <w:r w:rsidRPr="00206D98">
              <w:rPr>
                <w:bCs/>
                <w:lang w:val="de-DE"/>
              </w:rPr>
              <w:t xml:space="preserve"> Referenzschuldners (die "</w:t>
            </w:r>
            <w:r w:rsidRPr="00206D98">
              <w:rPr>
                <w:b/>
                <w:bCs/>
                <w:i/>
                <w:lang w:val="de-DE"/>
              </w:rPr>
              <w:t>Erste Verbindlichkeit</w:t>
            </w:r>
            <w:r w:rsidRPr="00206D98">
              <w:rPr>
                <w:bCs/>
                <w:lang w:val="de-DE"/>
              </w:rPr>
              <w:t xml:space="preserve">") eine vertragliche, treuhänderische oder ähnliche Vereinbarung, die vorsieht, dass (a) bei der Liquidation, Auflösung, Reorganisation oder Abwicklung </w:t>
            </w:r>
            <w:r w:rsidRPr="00792D61">
              <w:rPr>
                <w:b/>
                <w:bCs/>
                <w:lang w:val="de-DE"/>
              </w:rPr>
              <w:t>[</w:t>
            </w:r>
            <w:r w:rsidRPr="00736886">
              <w:rPr>
                <w:b/>
                <w:bCs/>
                <w:i/>
                <w:lang w:val="de-DE"/>
              </w:rPr>
              <w:t>falls ein Komplexes Produkt nur an einen Referenzschuldner gekoppelt ist, einfügen:</w:t>
            </w:r>
            <w:r w:rsidRPr="00206D98">
              <w:rPr>
                <w:bCs/>
                <w:lang w:val="de-DE"/>
              </w:rPr>
              <w:t xml:space="preserve"> des</w:t>
            </w:r>
            <w:r w:rsidRPr="00792D61">
              <w:rPr>
                <w:b/>
                <w:bCs/>
                <w:lang w:val="de-DE"/>
              </w:rPr>
              <w:t>][</w:t>
            </w:r>
            <w:r w:rsidRPr="00206D98">
              <w:rPr>
                <w:b/>
                <w:bCs/>
                <w:i/>
                <w:lang w:val="de-DE"/>
              </w:rPr>
              <w:t>falls ein Korb anwendbar ist oder bei Komplexen Produkten mit N</w:t>
            </w:r>
            <w:r w:rsidRPr="00BD6E0D">
              <w:rPr>
                <w:b/>
                <w:i/>
                <w:vertAlign w:val="superscript"/>
                <w:lang w:val="de-DE"/>
              </w:rPr>
              <w:t>th</w:t>
            </w:r>
            <w:r w:rsidRPr="00206D98">
              <w:rPr>
                <w:b/>
                <w:bCs/>
                <w:i/>
                <w:lang w:val="de-DE"/>
              </w:rPr>
              <w:t>-to-Default-Struktur, einfügen:</w:t>
            </w:r>
            <w:r w:rsidRPr="00206D98">
              <w:rPr>
                <w:bCs/>
                <w:lang w:val="de-DE"/>
              </w:rPr>
              <w:t xml:space="preserve"> dieses</w:t>
            </w:r>
            <w:r w:rsidRPr="00792D61">
              <w:rPr>
                <w:b/>
                <w:bCs/>
                <w:lang w:val="de-DE"/>
              </w:rPr>
              <w:t>]</w:t>
            </w:r>
            <w:r w:rsidRPr="00206D98">
              <w:rPr>
                <w:bCs/>
                <w:lang w:val="de-DE"/>
              </w:rPr>
              <w:t xml:space="preserve"> Referenzschuldners die Ansprüche der Gläubiger der Ersten Verbindlichkeit vorrangig vor den Ansprüchen der Gläubiger der Zweiten Verbindlichkeit erfüllt werden müssen oder (b) die Gläubiger der Zweiten Verbindlichkeit zu jedem Zeitpunkt, zu dem </w:t>
            </w:r>
            <w:r w:rsidRPr="00792D61">
              <w:rPr>
                <w:b/>
                <w:bCs/>
                <w:lang w:val="de-DE"/>
              </w:rPr>
              <w:t>[</w:t>
            </w:r>
            <w:r w:rsidRPr="00206D98">
              <w:rPr>
                <w:b/>
                <w:bCs/>
                <w:i/>
                <w:lang w:val="de-DE"/>
              </w:rPr>
              <w:t>falls ein Komplexes Produkt nur an einen Referenzschuldner gekoppelt ist, einfügen</w:t>
            </w:r>
            <w:r w:rsidRPr="00206D98">
              <w:rPr>
                <w:bCs/>
                <w:lang w:val="de-DE"/>
              </w:rPr>
              <w:t>: der</w:t>
            </w:r>
            <w:r w:rsidRPr="00792D61">
              <w:rPr>
                <w:b/>
                <w:bCs/>
                <w:lang w:val="de-DE"/>
              </w:rPr>
              <w:t>][</w:t>
            </w:r>
            <w:r w:rsidRPr="00206D98">
              <w:rPr>
                <w:b/>
                <w:bCs/>
                <w:i/>
                <w:lang w:val="de-DE"/>
              </w:rPr>
              <w:t>falls ein Korb anwendbar ist oder bei Komplexen Produkten mit N</w:t>
            </w:r>
            <w:r w:rsidRPr="00BD6E0D">
              <w:rPr>
                <w:b/>
                <w:i/>
                <w:vertAlign w:val="superscript"/>
                <w:lang w:val="de-DE"/>
              </w:rPr>
              <w:t>th</w:t>
            </w:r>
            <w:r w:rsidRPr="00206D98">
              <w:rPr>
                <w:b/>
                <w:bCs/>
                <w:i/>
                <w:lang w:val="de-DE"/>
              </w:rPr>
              <w:t>-to-Default-Struktur, einfügen:</w:t>
            </w:r>
            <w:r w:rsidRPr="00206D98">
              <w:rPr>
                <w:bCs/>
                <w:lang w:val="de-DE"/>
              </w:rPr>
              <w:t xml:space="preserve"> dieser</w:t>
            </w:r>
            <w:r w:rsidRPr="00792D61">
              <w:rPr>
                <w:b/>
                <w:bCs/>
                <w:lang w:val="de-DE"/>
              </w:rPr>
              <w:t>]</w:t>
            </w:r>
            <w:r w:rsidRPr="00206D98">
              <w:rPr>
                <w:bCs/>
                <w:lang w:val="de-DE"/>
              </w:rPr>
              <w:t xml:space="preserve"> Referenzschuldner in Bezug auf die Erste Verbindlichkeit mit seinen Kapitalzahlungen im Rückstand oder anderweitig in Verzug ist, nicht zum Erhalt oder Einbehalt von Zahlungen auf ihre Ansprüche gegenüber </w:t>
            </w:r>
            <w:r w:rsidRPr="00792D61">
              <w:rPr>
                <w:b/>
                <w:bCs/>
                <w:lang w:val="de-DE"/>
              </w:rPr>
              <w:t>[</w:t>
            </w:r>
            <w:r w:rsidRPr="00206D98">
              <w:rPr>
                <w:b/>
                <w:bCs/>
                <w:i/>
                <w:lang w:val="de-DE"/>
              </w:rPr>
              <w:t>falls ein Komplexes Produkt nur an einen Referenzschuldner gekoppelt ist, einfügen</w:t>
            </w:r>
            <w:r w:rsidRPr="00206D98">
              <w:rPr>
                <w:bCs/>
                <w:lang w:val="de-DE"/>
              </w:rPr>
              <w:t>: dem</w:t>
            </w:r>
            <w:r w:rsidRPr="00792D61">
              <w:rPr>
                <w:b/>
                <w:bCs/>
                <w:lang w:val="de-DE"/>
              </w:rPr>
              <w:t>][</w:t>
            </w:r>
            <w:r w:rsidRPr="00206D98">
              <w:rPr>
                <w:b/>
                <w:bCs/>
                <w:i/>
                <w:lang w:val="de-DE"/>
              </w:rPr>
              <w:t>falls ein Korb anwendbar ist oder bei Komplexen Produkten mit N</w:t>
            </w:r>
            <w:r w:rsidRPr="00BD6E0D">
              <w:rPr>
                <w:b/>
                <w:i/>
                <w:vertAlign w:val="superscript"/>
                <w:lang w:val="de-DE"/>
              </w:rPr>
              <w:t>th</w:t>
            </w:r>
            <w:r w:rsidRPr="00206D98">
              <w:rPr>
                <w:b/>
                <w:bCs/>
                <w:i/>
                <w:lang w:val="de-DE"/>
              </w:rPr>
              <w:t>-to-Default-Struktur, einfügen:</w:t>
            </w:r>
            <w:r w:rsidRPr="00206D98">
              <w:rPr>
                <w:bCs/>
                <w:lang w:val="de-DE"/>
              </w:rPr>
              <w:t xml:space="preserve"> diesem</w:t>
            </w:r>
            <w:r w:rsidRPr="00792D61">
              <w:rPr>
                <w:b/>
                <w:bCs/>
                <w:lang w:val="de-DE"/>
              </w:rPr>
              <w:t>]</w:t>
            </w:r>
            <w:r w:rsidRPr="00206D98">
              <w:rPr>
                <w:bCs/>
                <w:lang w:val="de-DE"/>
              </w:rPr>
              <w:t xml:space="preserve"> Referenzschuldner berechtigt sind. Der Begriff "Nachrangig" ist entsprechend auszulegen. Für die Zwecke der Feststellung, ob eine Nachrangigkeit vorliegt oder ob eine Verbindlichkeit im Verhältnis zu einer anderen Verbindlichkeit Nachrangig ist, </w:t>
            </w:r>
            <w:r w:rsidRPr="00792D61">
              <w:rPr>
                <w:b/>
                <w:bCs/>
                <w:lang w:val="de-DE"/>
              </w:rPr>
              <w:t>[</w:t>
            </w:r>
            <w:r w:rsidRPr="00206D98">
              <w:rPr>
                <w:bCs/>
                <w:lang w:val="de-DE"/>
              </w:rPr>
              <w:t xml:space="preserve">(x) </w:t>
            </w:r>
            <w:r w:rsidRPr="00792D61">
              <w:rPr>
                <w:b/>
                <w:bCs/>
                <w:lang w:val="de-DE"/>
              </w:rPr>
              <w:t>]</w:t>
            </w:r>
            <w:r w:rsidRPr="00206D98">
              <w:rPr>
                <w:bCs/>
                <w:lang w:val="de-DE"/>
              </w:rPr>
              <w:t xml:space="preserve">bleiben vorrangige Gläubiger, die ihre Position kraft Gesetzes oder aufgrund von Sicherheitsleistungen oder Massnahmen zur Kreditunterstützung oder Bonitätsverbesserung oder Sicherheitenvereinbarungen innehaben, unberücksichtigt </w:t>
            </w:r>
            <w:r w:rsidRPr="00792D61">
              <w:rPr>
                <w:b/>
                <w:bCs/>
                <w:lang w:val="de-DE"/>
              </w:rPr>
              <w:t>[</w:t>
            </w:r>
            <w:r w:rsidRPr="00736886">
              <w:rPr>
                <w:b/>
                <w:bCs/>
                <w:i/>
                <w:lang w:val="de-DE"/>
              </w:rPr>
              <w:t>falls der/ein Referenzschuldner ein Staat ist, einfügen:</w:t>
            </w:r>
            <w:r w:rsidRPr="00736886">
              <w:rPr>
                <w:bCs/>
                <w:lang w:val="de-DE"/>
              </w:rPr>
              <w:t>,</w:t>
            </w:r>
            <w:r w:rsidRPr="00206D98">
              <w:rPr>
                <w:bCs/>
                <w:lang w:val="de-DE"/>
              </w:rPr>
              <w:t xml:space="preserve"> wobei jedoch ungeachtet des Vorstehenden eine kraft Gesetzes bestehende Vorrangigkeit </w:t>
            </w:r>
            <w:r w:rsidRPr="00792D61">
              <w:rPr>
                <w:b/>
                <w:bCs/>
                <w:lang w:val="de-DE"/>
              </w:rPr>
              <w:t>[</w:t>
            </w:r>
            <w:r w:rsidRPr="00206D98">
              <w:rPr>
                <w:b/>
                <w:bCs/>
                <w:i/>
                <w:lang w:val="de-DE"/>
              </w:rPr>
              <w:t>falls ein Korb anwendbar ist oder bei Komplexen Produkten mit N</w:t>
            </w:r>
            <w:r w:rsidRPr="00BD6E0D">
              <w:rPr>
                <w:b/>
                <w:i/>
                <w:vertAlign w:val="superscript"/>
                <w:lang w:val="de-DE"/>
              </w:rPr>
              <w:t>th</w:t>
            </w:r>
            <w:r w:rsidRPr="00206D98">
              <w:rPr>
                <w:b/>
                <w:bCs/>
                <w:i/>
                <w:lang w:val="de-DE"/>
              </w:rPr>
              <w:t>-to-Default-Struktur, einfügen:</w:t>
            </w:r>
            <w:r w:rsidRPr="00206D98">
              <w:rPr>
                <w:bCs/>
                <w:lang w:val="de-DE"/>
              </w:rPr>
              <w:t xml:space="preserve"> im Hinblick auf die Verbindlichkeiten eines Referenzschuldners, der ein Staat ist,</w:t>
            </w:r>
            <w:r w:rsidRPr="00792D61">
              <w:rPr>
                <w:b/>
                <w:bCs/>
                <w:lang w:val="de-DE"/>
              </w:rPr>
              <w:t>]</w:t>
            </w:r>
            <w:r w:rsidRPr="00206D98">
              <w:rPr>
                <w:bCs/>
                <w:lang w:val="de-DE"/>
              </w:rPr>
              <w:t xml:space="preserve"> berücksichtigt wird </w:t>
            </w:r>
            <w:r w:rsidRPr="00792D61">
              <w:rPr>
                <w:b/>
                <w:bCs/>
                <w:lang w:val="de-DE"/>
              </w:rPr>
              <w:t>[</w:t>
            </w:r>
            <w:r w:rsidRPr="00206D98">
              <w:rPr>
                <w:b/>
                <w:bCs/>
                <w:i/>
                <w:lang w:val="de-DE"/>
              </w:rPr>
              <w:t>falls ein Komplexes Produkt nur an einen Referenzschuldner gekoppelt ist, einfügen</w:t>
            </w:r>
            <w:r w:rsidRPr="00206D98">
              <w:rPr>
                <w:bCs/>
                <w:lang w:val="de-DE"/>
              </w:rPr>
              <w:t xml:space="preserve">: , da der Referenzschuldner ein Staat ist </w:t>
            </w:r>
            <w:r w:rsidRPr="00792D61">
              <w:rPr>
                <w:b/>
                <w:bCs/>
                <w:lang w:val="de-DE"/>
              </w:rPr>
              <w:t>]][</w:t>
            </w:r>
            <w:r w:rsidRPr="00206D98">
              <w:rPr>
                <w:bCs/>
                <w:lang w:val="de-DE"/>
              </w:rPr>
              <w:t>und</w:t>
            </w:r>
            <w:r w:rsidRPr="00792D61">
              <w:rPr>
                <w:b/>
                <w:bCs/>
                <w:lang w:val="de-DE"/>
              </w:rPr>
              <w:t>][</w:t>
            </w:r>
            <w:r w:rsidRPr="00206D98">
              <w:rPr>
                <w:b/>
                <w:bCs/>
                <w:i/>
                <w:lang w:val="de-DE"/>
              </w:rPr>
              <w:t>bei Komplexen Produkten mit Referenzverbindlichkeit(en) einfügen:</w:t>
            </w:r>
            <w:r w:rsidRPr="00206D98">
              <w:rPr>
                <w:bCs/>
                <w:lang w:val="de-DE"/>
              </w:rPr>
              <w:t xml:space="preserve"> </w:t>
            </w:r>
            <w:r w:rsidRPr="00792D61">
              <w:rPr>
                <w:b/>
                <w:bCs/>
                <w:lang w:val="de-DE"/>
              </w:rPr>
              <w:t>[</w:t>
            </w:r>
            <w:r w:rsidRPr="00206D98">
              <w:rPr>
                <w:bCs/>
                <w:lang w:val="de-DE"/>
              </w:rPr>
              <w:t xml:space="preserve">(y) </w:t>
            </w:r>
            <w:r w:rsidRPr="00792D61">
              <w:rPr>
                <w:b/>
                <w:bCs/>
                <w:lang w:val="de-DE"/>
              </w:rPr>
              <w:t>]</w:t>
            </w:r>
            <w:r w:rsidRPr="00206D98">
              <w:rPr>
                <w:bCs/>
                <w:lang w:val="de-DE"/>
              </w:rPr>
              <w:t>im Falle der Referenzverbindlichkeit bzw. der Früheren Referenzverbindlichkeit ist der für die Bestimmung des Rangs der Zahlungsverpflichtung massgebliche Zeitpunkt der Tag, an dem die betreffende Referenzverbindlichkeit bzw. Frühere Referenzverbindlichkeit begeben wurde oder entstanden ist</w:t>
            </w:r>
            <w:r w:rsidRPr="00792D61">
              <w:rPr>
                <w:b/>
                <w:bCs/>
                <w:lang w:val="de-DE"/>
              </w:rPr>
              <w:t>[</w:t>
            </w:r>
            <w:r w:rsidRPr="00206D98">
              <w:rPr>
                <w:b/>
                <w:bCs/>
                <w:i/>
                <w:lang w:val="de-DE"/>
              </w:rPr>
              <w:t>falls Standard-Referenzverbindlichkeit angegeben ist, einfügen:</w:t>
            </w:r>
            <w:r w:rsidRPr="00206D98">
              <w:rPr>
                <w:bCs/>
                <w:lang w:val="de-DE"/>
              </w:rPr>
              <w:t xml:space="preserve"> (wobei in Fällen, in denen die Referenzverbindlichkeit bzw. Frühere Referenzverbindlichkeit die Standard-Referenzverbindlichkeit ist, der für die Bestimmung des Rangs der Zahlungsverpflichtung der Referenzverbindlichkeit bzw. Früheren Referenzverbindlichkeit massgebliche Zeitpunkt der Tag ist, an dem die Auswahl erfolgte)</w:t>
            </w:r>
            <w:r w:rsidRPr="00792D61">
              <w:rPr>
                <w:b/>
                <w:bCs/>
                <w:lang w:val="de-DE"/>
              </w:rPr>
              <w:t>]</w:t>
            </w:r>
            <w:r w:rsidRPr="00206D98">
              <w:rPr>
                <w:bCs/>
                <w:lang w:val="de-DE"/>
              </w:rPr>
              <w:t xml:space="preserve"> und hierbei etwaige Änderungen der Rangfolge der Zahlungsverpflichtung nach diesem Tag jeweils unberücksichtigt bleiben.</w:t>
            </w:r>
          </w:p>
        </w:tc>
      </w:tr>
      <w:tr w:rsidTr="004C1EBA">
        <w:tblPrEx>
          <w:tblW w:w="4999" w:type="pct"/>
          <w:tblLayout w:type="fixed"/>
          <w:tblCellMar>
            <w:left w:w="115" w:type="dxa"/>
            <w:right w:w="115" w:type="dxa"/>
          </w:tblCellMar>
          <w:tblLook w:val="04A0"/>
        </w:tblPrEx>
        <w:trPr>
          <w:trHeight w:val="2979"/>
        </w:trPr>
        <w:tc>
          <w:tcPr>
            <w:tcW w:w="1616" w:type="dxa"/>
            <w:gridSpan w:val="3"/>
            <w:tcBorders>
              <w:top w:val="nil"/>
              <w:left w:val="nil"/>
              <w:right w:val="nil"/>
            </w:tcBorders>
            <w:shd w:val="clear" w:color="auto" w:fill="auto"/>
          </w:tcPr>
          <w:p w:rsidR="0017135D" w:rsidRPr="00926334" w:rsidP="00E46A2C">
            <w:pPr>
              <w:pStyle w:val="CSBody8ptbolditalics"/>
            </w:pPr>
            <w:r>
              <w:t>[</w:t>
            </w:r>
            <w:r w:rsidRPr="00926334">
              <w:t>in case of Complex Products with Non-Standard Reference Obligation(s):</w:t>
            </w:r>
          </w:p>
          <w:p w:rsidR="0017135D" w:rsidRPr="00926334" w:rsidP="00E46A2C">
            <w:pPr>
              <w:pStyle w:val="CSBody8pt"/>
            </w:pPr>
            <w:r w:rsidRPr="00206D98">
              <w:t>Substitute Reference Obligation</w:t>
            </w:r>
            <w:r>
              <w:fldChar w:fldCharType="begin"/>
            </w:r>
            <w:r>
              <w:instrText xml:space="preserve"> XE "</w:instrText>
            </w:r>
            <w:r w:rsidRPr="00B809CB">
              <w:instrText>Substitute Reference Obligation</w:instrText>
            </w:r>
            <w:r>
              <w:instrText xml:space="preserve">" \f "EN" </w:instrText>
            </w:r>
            <w:r>
              <w:fldChar w:fldCharType="end"/>
            </w:r>
          </w:p>
        </w:tc>
        <w:tc>
          <w:tcPr>
            <w:tcW w:w="3315" w:type="dxa"/>
            <w:gridSpan w:val="2"/>
            <w:tcBorders>
              <w:top w:val="nil"/>
              <w:left w:val="nil"/>
            </w:tcBorders>
            <w:shd w:val="clear" w:color="auto" w:fill="auto"/>
          </w:tcPr>
          <w:p w:rsidR="0017135D" w:rsidRPr="00926334" w:rsidP="00E46A2C">
            <w:pPr>
              <w:pStyle w:val="CSBody8pt"/>
            </w:pPr>
            <w:r w:rsidRPr="00926334">
              <w:t>with respect to a Non-Standard Reference Obligation to which a Substitution Event has occurred, the obligation that will replace the Non-Standard Reference Obligation, determined by the Calculation Agent as follows:</w:t>
            </w:r>
          </w:p>
        </w:tc>
        <w:tc>
          <w:tcPr>
            <w:tcW w:w="1618" w:type="dxa"/>
            <w:gridSpan w:val="2"/>
            <w:tcBorders>
              <w:top w:val="nil"/>
              <w:right w:val="nil"/>
            </w:tcBorders>
            <w:shd w:val="clear" w:color="auto" w:fill="auto"/>
          </w:tcPr>
          <w:p w:rsidR="0017135D" w:rsidRPr="00926334" w:rsidP="00E46A2C">
            <w:pPr>
              <w:pStyle w:val="CSBody8ptbolditalics"/>
              <w:rPr>
                <w:lang w:val="de-DE"/>
              </w:rPr>
            </w:pPr>
            <w:r w:rsidRPr="00792D61">
              <w:rPr>
                <w:lang w:val="de-DE"/>
              </w:rPr>
              <w:t>[</w:t>
            </w:r>
            <w:r w:rsidRPr="00926334">
              <w:rPr>
                <w:lang w:val="de-DE"/>
              </w:rPr>
              <w:t>bei Komplexen Produkten mit Nicht-Standard-Referenzverbindlichkeit(en):</w:t>
            </w:r>
          </w:p>
          <w:p w:rsidR="0017135D" w:rsidRPr="00926334" w:rsidP="00E46A2C">
            <w:pPr>
              <w:pStyle w:val="CSBody8pt"/>
              <w:rPr>
                <w:lang w:val="de-DE"/>
              </w:rPr>
            </w:pPr>
            <w:r w:rsidRPr="00206D98">
              <w:t>Ersatz-Referenz-verbindlichkeit</w:t>
            </w:r>
            <w:r>
              <w:fldChar w:fldCharType="begin"/>
            </w:r>
            <w:r>
              <w:instrText xml:space="preserve"> XE "</w:instrText>
            </w:r>
            <w:r w:rsidRPr="00021405">
              <w:instrText>Ersatz-Referenz-verbindlichkeit</w:instrText>
            </w:r>
            <w:r>
              <w:instrText xml:space="preserve">" </w:instrText>
            </w:r>
            <w:r>
              <w:fldChar w:fldCharType="end"/>
            </w:r>
          </w:p>
        </w:tc>
        <w:tc>
          <w:tcPr>
            <w:tcW w:w="3318" w:type="dxa"/>
            <w:tcBorders>
              <w:top w:val="nil"/>
              <w:left w:val="nil"/>
              <w:right w:val="nil"/>
            </w:tcBorders>
            <w:shd w:val="clear" w:color="auto" w:fill="auto"/>
          </w:tcPr>
          <w:p w:rsidR="0017135D" w:rsidRPr="00926334" w:rsidP="00E46A2C">
            <w:pPr>
              <w:pStyle w:val="CSBody8pt"/>
              <w:rPr>
                <w:bCs/>
                <w:lang w:val="de-DE"/>
              </w:rPr>
            </w:pPr>
            <w:r w:rsidRPr="00926334">
              <w:rPr>
                <w:bCs/>
                <w:lang w:val="de-DE"/>
              </w:rPr>
              <w:t>in Bezug auf eine Nicht-Standard-Referenzverbindlichkeit, in Bezug auf die ein Ersetzungsereignis eingetreten ist, diejenige Verbindlichkeit, die die Nicht-Standard-Referenzverbindlichkeit ersetzt und von der Berechnungsstelle wie folgt bestimmt wird: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13B3E" w:rsidP="00E46A2C">
            <w:pPr>
              <w:pStyle w:val="CSBody8pt"/>
              <w:rPr>
                <w:lang w:val="de-DE"/>
              </w:rPr>
            </w:pPr>
          </w:p>
        </w:tc>
        <w:tc>
          <w:tcPr>
            <w:tcW w:w="3315" w:type="dxa"/>
            <w:gridSpan w:val="2"/>
            <w:tcBorders>
              <w:top w:val="nil"/>
              <w:left w:val="nil"/>
              <w:bottom w:val="nil"/>
            </w:tcBorders>
            <w:shd w:val="clear" w:color="auto" w:fill="auto"/>
          </w:tcPr>
          <w:p w:rsidR="0017135D" w:rsidRPr="00926334" w:rsidP="00E46A2C">
            <w:pPr>
              <w:pStyle w:val="CSManNum8pt"/>
            </w:pPr>
            <w:r w:rsidRPr="00B0784F">
              <w:t>(a)</w:t>
            </w:r>
            <w:r w:rsidRPr="00B0784F">
              <w:tab/>
              <w:t>The Calculation Agent shall identify the Substitute Reference Obligation in accordance with clause (c), (d) and (e) below to replace the Non-Standard Reference Obligation; provided that the Calculation Agent will not identify an obligation as the Substitute Reference Obligation if, at the time of the determination, such obligation has already been rejected as the Substitute Reference Obligation by the relevant Credit Derivatives Determinations Committee and such obligation has not changed materially since the date of the relevant DC Resolution.</w:t>
            </w:r>
          </w:p>
        </w:tc>
        <w:tc>
          <w:tcPr>
            <w:tcW w:w="1618" w:type="dxa"/>
            <w:gridSpan w:val="2"/>
            <w:tcBorders>
              <w:top w:val="nil"/>
              <w:bottom w:val="nil"/>
              <w:right w:val="nil"/>
            </w:tcBorders>
            <w:shd w:val="clear" w:color="auto" w:fill="auto"/>
          </w:tcPr>
          <w:p w:rsidR="0017135D" w:rsidRPr="00926334" w:rsidP="00E46A2C">
            <w:pPr>
              <w:pStyle w:val="CSManNum8pt"/>
              <w:rPr>
                <w:i/>
              </w:rPr>
            </w:pPr>
          </w:p>
        </w:tc>
        <w:tc>
          <w:tcPr>
            <w:tcW w:w="3318" w:type="dxa"/>
            <w:tcBorders>
              <w:top w:val="nil"/>
              <w:left w:val="nil"/>
              <w:bottom w:val="nil"/>
              <w:right w:val="nil"/>
            </w:tcBorders>
            <w:shd w:val="clear" w:color="auto" w:fill="auto"/>
          </w:tcPr>
          <w:p w:rsidR="0017135D" w:rsidRPr="00B0784F" w:rsidP="00E46A2C">
            <w:pPr>
              <w:pStyle w:val="CSManNum8pt"/>
              <w:rPr>
                <w:bCs/>
                <w:lang w:val="de-DE"/>
              </w:rPr>
            </w:pPr>
            <w:r w:rsidRPr="00B0784F">
              <w:rPr>
                <w:bCs/>
                <w:lang w:val="de-DE"/>
              </w:rPr>
              <w:t>(a)</w:t>
            </w:r>
            <w:r w:rsidRPr="00B0784F">
              <w:rPr>
                <w:bCs/>
                <w:lang w:val="de-DE"/>
              </w:rPr>
              <w:tab/>
              <w:t>Die Berechnungsstelle wählt die Ersatz-Referenzverbindlichkeit in Übereinstimmung mit den nachstehenden Absätzen (c), (d) und (e) als Ersatz für die Nicht-Standard-Referenzverbindlichkeit aus, wobei die Berechnungsstelle jedoch keine Verbindlichkeit auswählt, wenn diese Verbindlichkeit zum Zeitpunkt dieser Feststellung bereits von dem Kreditderivate-Feststellungsausschuss als Ersatz-Referenzverbindlichkeit verworfen wurde und diese Verbindlichkeit seit dem betreffenden Feststellungsausschussbeschluss nicht wesentlich geändert wurde.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E46A2C">
            <w:pPr>
              <w:pStyle w:val="CSManNum8pt"/>
            </w:pPr>
            <w:r w:rsidRPr="00B0784F">
              <w:t>(b)</w:t>
            </w:r>
            <w:r w:rsidRPr="00B0784F">
              <w:tab/>
              <w:t>If any of the events set forth under clause (a)(i) or (iii) of the definition "Substitution Event" have occurred with respect to the Non-Standard Reference Obligation, the Non-Standard Reference Obligation will cease to be the Reference Obligation (other than for purposes of the "Not Subordinated" Obligation Characteristic or "Not Subordinated" Valuation Obligation Characteristic and clause (c)(ii) below). If the event set forth in clause (a)(ii) of the definition "Substitution Event" has occurred with respect to the Non-Standard Reference Obligation and no Substitute Reference Obligation is available, the Non-Standard Reference Obligation will continue to be the Reference Obligation until the Substitute Reference Obligation is identified or, if earlier, until any of the events set forth under clauses (a)(i) or (a)(iii) of the definition "Substitution Event" occur with respect to such Non-Standard Reference Obligation.</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E46A2C">
            <w:pPr>
              <w:pStyle w:val="CSManNum8pt"/>
              <w:rPr>
                <w:bCs/>
                <w:lang w:val="de-DE"/>
              </w:rPr>
            </w:pPr>
            <w:r w:rsidRPr="00B0784F">
              <w:rPr>
                <w:bCs/>
                <w:lang w:val="de-DE"/>
              </w:rPr>
              <w:t>(b)</w:t>
            </w:r>
            <w:r w:rsidRPr="00B0784F">
              <w:rPr>
                <w:bCs/>
                <w:lang w:val="de-DE"/>
              </w:rPr>
              <w:tab/>
              <w:t>Ist eines der in Absatz (a)(i) oder (iii) der Definition  "Ersetzungsereignis" genannten Ereignisse in Bezug auf die Nicht-Standard-Referenzverbindlichkeit eingetreten, so ist die Nicht-Standard-Referenzverbindlichkeit nicht mehr die Referenzverbindlichkeit (ausser für die Zwecke des Verbindlichkeitenmerkmals "Nicht Nachrangig" bzw. des Merkmals der Bewertungsverbindlichkeiten "Nicht Nachrangig" sowie des nachstehenden Absatzes (c)(ii)). Ist das in Absatz (a)(ii) der Definition  "Ersetzungsereignis" genannte Ereignis in Bezug auf die Nicht-Standard-Referenzverbindlichkeit eingetreten und gibt es keine Ersatz-Referenzverbindlichkeit, so bleibt die Nicht-Standard-Referenzverbindlichkeit so lange die Referenzverbindlichkeit, bis die Ersatz-Referenzverbindlichkeit ausgewählt wurde oder (falls dies früher eintritt) bis eines der in Absatz (a)(i) oder (a)(iii) der Definition  "Ersetzungsereignis" genannten Ereignisse in Bezug auf diese Nicht-Standard-Referenzverbindlichkeit eintritt.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E46A2C">
            <w:pPr>
              <w:pStyle w:val="CSManNum8pt"/>
            </w:pPr>
            <w:r w:rsidRPr="00B0784F">
              <w:t>(c)</w:t>
            </w:r>
            <w:r w:rsidRPr="00B0784F">
              <w:tab/>
              <w:t>The Substitute Reference Obligation shall be an obligation that on the Substitution Date: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921F8E">
            <w:pPr>
              <w:pStyle w:val="CSManNum8pt"/>
              <w:rPr>
                <w:bCs/>
                <w:lang w:val="de-DE"/>
              </w:rPr>
            </w:pPr>
            <w:r w:rsidRPr="00B0784F">
              <w:rPr>
                <w:bCs/>
                <w:lang w:val="de-DE"/>
              </w:rPr>
              <w:t>(c)</w:t>
            </w:r>
            <w:r w:rsidRPr="00B0784F">
              <w:rPr>
                <w:bCs/>
                <w:lang w:val="de-DE"/>
              </w:rPr>
              <w:tab/>
              <w:t>Die Ersatz-Referenzverbindlichkeit ist eine Verbindlichkeit, für die am Ersetzungstag Folgendes gilt: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A967F4">
            <w:pPr>
              <w:pStyle w:val="CSManNum8pt"/>
              <w:ind w:left="649" w:hanging="283"/>
            </w:pPr>
            <w:r w:rsidRPr="00B0784F">
              <w:t>(i)</w:t>
            </w:r>
            <w:r w:rsidRPr="00B0784F">
              <w:tab/>
              <w:t>is a Borrowed Money obligation of the Reference Entity (either directly or as provider of a guarantee);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A967F4">
            <w:pPr>
              <w:pStyle w:val="CSManNum8pt"/>
              <w:ind w:left="681" w:hanging="284"/>
              <w:rPr>
                <w:bCs/>
                <w:lang w:val="de-DE"/>
              </w:rPr>
            </w:pPr>
            <w:r w:rsidRPr="00B0784F">
              <w:rPr>
                <w:bCs/>
                <w:lang w:val="de-DE"/>
              </w:rPr>
              <w:t>(i)</w:t>
            </w:r>
            <w:r w:rsidRPr="00B0784F">
              <w:rPr>
                <w:bCs/>
                <w:lang w:val="de-DE"/>
              </w:rPr>
              <w:tab/>
              <w:t>sie ist eine Verbindlichkeit in Form Aufgenommener Gelder, die der Referenzschuldner (entweder unmittelbar oder als Geber einer Garantie) schuldet;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A967F4">
            <w:pPr>
              <w:pStyle w:val="CSManNum8pt"/>
              <w:ind w:left="649" w:hanging="283"/>
            </w:pPr>
            <w:r w:rsidRPr="00B0784F">
              <w:t>(ii)</w:t>
            </w:r>
            <w:r w:rsidRPr="00B0784F">
              <w:tab/>
              <w:t>satisfies the "Not Subordinated" Valuation Obligation Characteristic as of the date it was issued or incurred (without reflecting any change to the priority of payment after such date) and on the Substitution Date; and</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921F8E">
            <w:pPr>
              <w:pStyle w:val="CSManNum8pt"/>
              <w:ind w:left="681" w:hanging="284"/>
              <w:rPr>
                <w:bCs/>
                <w:lang w:val="de-DE"/>
              </w:rPr>
            </w:pPr>
            <w:r w:rsidRPr="00B0784F">
              <w:rPr>
                <w:bCs/>
                <w:lang w:val="de-DE"/>
              </w:rPr>
              <w:t>(ii)</w:t>
            </w:r>
            <w:r w:rsidRPr="00B0784F">
              <w:rPr>
                <w:bCs/>
                <w:lang w:val="de-DE"/>
              </w:rPr>
              <w:tab/>
              <w:t>sie erfüllt am Tag ihrer Begebung bzw. ihres Entstehens (ohne Berücksicht</w:t>
            </w:r>
            <w:r>
              <w:rPr>
                <w:bCs/>
                <w:lang w:val="de-DE"/>
              </w:rPr>
              <w:t>i</w:t>
            </w:r>
            <w:r w:rsidRPr="00B0784F">
              <w:rPr>
                <w:bCs/>
                <w:lang w:val="de-DE"/>
              </w:rPr>
              <w:t>gung einer nach diesem Tag eintretenden Änderung der Zahlungsrangfolge) sowie am Ersetzungstag das Merkmal der Bewertungsverbindlichkeiten "Nicht Nachrangig";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A967F4">
            <w:pPr>
              <w:pStyle w:val="CSManNum8pt"/>
              <w:ind w:left="649" w:hanging="283"/>
            </w:pPr>
            <w:r w:rsidRPr="00B0784F">
              <w:t>(iii)</w:t>
            </w:r>
            <w:r w:rsidRPr="00B0784F">
              <w:tab/>
              <w:t>(A) if the Non-Standard Reference Obligation was a Conforming Reference Obligation when issued or incurred and immediately prior to the Substitution Event Date: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A967F4">
            <w:pPr>
              <w:pStyle w:val="CSManNum8pt"/>
              <w:ind w:left="681" w:hanging="284"/>
              <w:rPr>
                <w:bCs/>
                <w:lang w:val="de-DE"/>
              </w:rPr>
            </w:pPr>
            <w:r w:rsidRPr="00B0784F">
              <w:rPr>
                <w:bCs/>
                <w:lang w:val="de-DE"/>
              </w:rPr>
              <w:t>(iii)</w:t>
            </w:r>
            <w:r w:rsidRPr="00B0784F">
              <w:rPr>
                <w:bCs/>
                <w:lang w:val="de-DE"/>
              </w:rPr>
              <w:tab/>
              <w:t>(A) wenn die Nicht-Standard-Referenzverbindlichkeit bei ihrer Begebung bzw. bei ihrem Entstehen sowie unmittelbar vor dem Ersetzungsereignistag eine Konforme Referenzverbindlichkeit war: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921F8E">
            <w:pPr>
              <w:pStyle w:val="CSManNum8pt"/>
            </w:pPr>
            <w:r w:rsidRPr="00B0784F">
              <w:t>(I)</w:t>
            </w:r>
            <w:r w:rsidRPr="00B0784F">
              <w:tab/>
              <w:t>is a Valuation Obligation (other than a Loan) determined in accordance with clause (a) of the definition "Valuation Obligation"; or if no such obligation is available,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921F8E">
            <w:pPr>
              <w:pStyle w:val="CSManNum8pt"/>
              <w:rPr>
                <w:bCs/>
                <w:lang w:val="de-DE"/>
              </w:rPr>
            </w:pPr>
            <w:r w:rsidRPr="00B0784F">
              <w:rPr>
                <w:bCs/>
                <w:lang w:val="de-DE"/>
              </w:rPr>
              <w:t>(I)</w:t>
            </w:r>
            <w:r w:rsidRPr="00B0784F">
              <w:rPr>
                <w:bCs/>
                <w:lang w:val="de-DE"/>
              </w:rPr>
              <w:tab/>
              <w:t>sie ist eine gemäss Absatz (a) der Definition "Bewertungsverbindlichkeit" bestimmte Bewertungsverbindlichkeit (aber kein Darlehen) oder, sofern es keine solche Verbindlichkeit gibt,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921F8E">
            <w:pPr>
              <w:pStyle w:val="CSManNum8pt"/>
            </w:pPr>
            <w:r w:rsidRPr="00B0784F">
              <w:t>(II)</w:t>
            </w:r>
            <w:r w:rsidRPr="00B0784F">
              <w:tab/>
              <w:t>is a Loan (other than a Private</w:t>
            </w:r>
            <w:r w:rsidR="00985ED9">
              <w:t>-</w:t>
            </w:r>
            <w:r w:rsidRPr="00B0784F">
              <w:t>side Loan) which constitutes a Valuation Obligation determined in accordance with clause (a) of the definition "Valuation Obligation"; or</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pPr>
              <w:pStyle w:val="CSManNum8pt"/>
              <w:rPr>
                <w:bCs/>
                <w:lang w:val="de-DE"/>
              </w:rPr>
            </w:pPr>
            <w:r w:rsidRPr="00B0784F">
              <w:rPr>
                <w:bCs/>
                <w:lang w:val="de-DE"/>
              </w:rPr>
              <w:t>(II)</w:t>
            </w:r>
            <w:r w:rsidRPr="00B0784F">
              <w:rPr>
                <w:bCs/>
                <w:lang w:val="de-DE"/>
              </w:rPr>
              <w:tab/>
              <w:t>sie ist ein Darlehen (aber kein Privates Darlehen), das eine nach Absatz (a) der Definition  "Bewertungsverbindlichkeit" bestimmte Bewertungsverbindlichkeit darstellt;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A967F4">
            <w:pPr>
              <w:pStyle w:val="CSManNum8pt"/>
              <w:ind w:left="933" w:hanging="284"/>
            </w:pPr>
            <w:r w:rsidRPr="00B0784F">
              <w:t>(B)</w:t>
            </w:r>
            <w:r w:rsidRPr="00B0784F">
              <w:tab/>
              <w:t>if the Non-Standard Reference Obligation was a Bond (or any other Borrowed Money obligation other than a Loan) which was a Non-Conforming Reference Obligation when issued or incurred and/or immediately prior to the Substitution Event Date: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A967F4">
            <w:pPr>
              <w:pStyle w:val="CSManNum8pt"/>
              <w:ind w:left="964" w:hanging="283"/>
              <w:rPr>
                <w:bCs/>
                <w:lang w:val="de-DE"/>
              </w:rPr>
            </w:pPr>
            <w:r w:rsidRPr="00B0784F">
              <w:rPr>
                <w:bCs/>
                <w:lang w:val="de-DE"/>
              </w:rPr>
              <w:t>(B)</w:t>
            </w:r>
            <w:r w:rsidRPr="00B0784F">
              <w:rPr>
                <w:bCs/>
                <w:lang w:val="de-DE"/>
              </w:rPr>
              <w:tab/>
              <w:t>wenn die Nicht-Standard-Referenzverbindlichkeit eine Anleihe (oder eine sonstige Verbindlichkeit in Form Aufgenommener Gelder, aber kein Darlehen) war, die bei ihrer Begebung bzw. bei ihrem Entstehen und/oder unmittelbar vor dem Ersetzungsereignistag eine Nicht Konforme Referenzverbindlichkeit war: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E46A2C">
            <w:pPr>
              <w:pStyle w:val="CSManNum8pt"/>
            </w:pPr>
            <w:r w:rsidRPr="00B0784F">
              <w:t>(I)</w:t>
            </w:r>
            <w:r w:rsidRPr="00B0784F">
              <w:tab/>
              <w:t>is a Non-Conforming Substitute Reference Obligation (other than a Loan); or if no such obligation is available,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E46A2C">
            <w:pPr>
              <w:pStyle w:val="CSManNum8pt"/>
              <w:rPr>
                <w:bCs/>
                <w:lang w:val="de-DE"/>
              </w:rPr>
            </w:pPr>
            <w:r w:rsidRPr="00B0784F">
              <w:rPr>
                <w:bCs/>
                <w:lang w:val="de-DE"/>
              </w:rPr>
              <w:t>(I)</w:t>
            </w:r>
            <w:r w:rsidRPr="00B0784F">
              <w:rPr>
                <w:bCs/>
                <w:lang w:val="de-DE"/>
              </w:rPr>
              <w:tab/>
              <w:t>sie ist eine Nicht Konforme Ersatz-Referenzverbindlichkeit (aber kein Darlehen); oder, sofern es keine solche Verbindlichkeit gibt,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921F8E">
            <w:pPr>
              <w:pStyle w:val="CSManNum8pt"/>
            </w:pPr>
            <w:r w:rsidRPr="00B0784F">
              <w:t>(II)</w:t>
            </w:r>
            <w:r w:rsidRPr="00B0784F">
              <w:tab/>
              <w:t>is a Valuation Obligation (other than a Loan) determined in accordance with clause (a) of the definition "Valuation Obligation"; or if no such obligation is available,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921F8E">
            <w:pPr>
              <w:pStyle w:val="CSManNum8pt"/>
              <w:rPr>
                <w:bCs/>
                <w:lang w:val="de-DE"/>
              </w:rPr>
            </w:pPr>
            <w:r w:rsidRPr="00B0784F">
              <w:rPr>
                <w:bCs/>
                <w:lang w:val="de-DE"/>
              </w:rPr>
              <w:t>(II)</w:t>
            </w:r>
            <w:r w:rsidRPr="00B0784F">
              <w:rPr>
                <w:bCs/>
                <w:lang w:val="de-DE"/>
              </w:rPr>
              <w:tab/>
              <w:t>sie ist eine nach Absatz (a) der Definition  "Bewertungsverbindlichkeit" bestimmte Bewertungsverbindlichkeit (aber kein Darlehen); oder, sofern es keine solche Verbindlichkeit gibt,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921F8E">
            <w:pPr>
              <w:pStyle w:val="CSManNum8pt"/>
            </w:pPr>
            <w:r w:rsidRPr="00B0784F">
              <w:t>(III)</w:t>
            </w:r>
            <w:r w:rsidRPr="00B0784F">
              <w:tab/>
              <w:t>is a Non-Conforming Substitute Reference Obligation which is a Loan (other than a Private</w:t>
            </w:r>
            <w:r w:rsidR="00985ED9">
              <w:t>-</w:t>
            </w:r>
            <w:r w:rsidRPr="00B0784F">
              <w:t>side Loan); or if no such obligation is available,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E46A2C">
            <w:pPr>
              <w:pStyle w:val="CSManNum8pt"/>
              <w:rPr>
                <w:bCs/>
                <w:lang w:val="de-DE"/>
              </w:rPr>
            </w:pPr>
            <w:r w:rsidRPr="00B0784F">
              <w:rPr>
                <w:bCs/>
                <w:lang w:val="de-DE"/>
              </w:rPr>
              <w:t>(III)</w:t>
            </w:r>
            <w:r w:rsidRPr="00B0784F">
              <w:rPr>
                <w:bCs/>
                <w:lang w:val="de-DE"/>
              </w:rPr>
              <w:tab/>
              <w:t>sie ist eine Nicht Konforme Ersatz-Referenzverbindlichkeit, die ein Darlehen (aber kein Privates Darlehen) ist; oder, sofern es keine solche Verbindlichkeit gibt,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921F8E">
            <w:pPr>
              <w:pStyle w:val="CSManNum8pt"/>
            </w:pPr>
            <w:r w:rsidRPr="00B0784F">
              <w:t>(IV)</w:t>
            </w:r>
            <w:r w:rsidRPr="00B0784F">
              <w:tab/>
              <w:t>is a Loan (other than a Private</w:t>
            </w:r>
            <w:r w:rsidR="00985ED9">
              <w:t>-</w:t>
            </w:r>
            <w:r w:rsidRPr="00B0784F">
              <w:t>side Loan) which constitutes a Valuation Obligation determined in accordance with clause (a) of the definition "Valuation Obligation"; or</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921F8E">
            <w:pPr>
              <w:pStyle w:val="CSManNum8pt"/>
              <w:rPr>
                <w:bCs/>
                <w:lang w:val="de-DE"/>
              </w:rPr>
            </w:pPr>
            <w:r w:rsidRPr="00B0784F">
              <w:rPr>
                <w:bCs/>
                <w:lang w:val="de-DE"/>
              </w:rPr>
              <w:t>(IV)</w:t>
            </w:r>
            <w:r w:rsidRPr="00B0784F">
              <w:rPr>
                <w:bCs/>
                <w:lang w:val="de-DE"/>
              </w:rPr>
              <w:tab/>
              <w:t>sie ist ein Darlehen (aber kein Privates Darlehen), das eine nach Absatz (a) der Definition  "Bewertungsverbindlichkeit" bestimmte Bewertungsverbindlichkeit darstellt;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A967F4">
            <w:pPr>
              <w:pStyle w:val="CSManNum8pt"/>
              <w:ind w:left="933" w:hanging="284"/>
            </w:pPr>
            <w:r w:rsidRPr="00B0784F">
              <w:t>(C)</w:t>
            </w:r>
            <w:r w:rsidRPr="00B0784F">
              <w:tab/>
              <w:t>if the Non-Standard Reference Obligation was a Loan which was a Non-Conforming Reference Obligation when incurred and/or immediately prior to the Substitution Event Date: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A967F4">
            <w:pPr>
              <w:pStyle w:val="CSManNum8pt"/>
              <w:ind w:left="964" w:hanging="283"/>
              <w:rPr>
                <w:bCs/>
                <w:lang w:val="de-DE"/>
              </w:rPr>
            </w:pPr>
            <w:r w:rsidRPr="00B0784F">
              <w:rPr>
                <w:bCs/>
                <w:lang w:val="de-DE"/>
              </w:rPr>
              <w:t>(C)</w:t>
            </w:r>
            <w:r w:rsidRPr="00B0784F">
              <w:rPr>
                <w:bCs/>
                <w:lang w:val="de-DE"/>
              </w:rPr>
              <w:tab/>
              <w:t>wenn die Nicht-Standard-Referenzverbindlichkeit ein Darlehen war, das bei seiner Aufnahme und/oder unmittelbar vor dem Ersetzungsereignistag eine Nicht Konforme Referenzverbindlichkeit war: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B0784F" w:rsidP="00921F8E">
            <w:pPr>
              <w:pStyle w:val="CSManNum8pt"/>
            </w:pPr>
            <w:r w:rsidRPr="00B0784F">
              <w:t>(I)</w:t>
            </w:r>
            <w:r w:rsidRPr="00B0784F">
              <w:tab/>
              <w:t>is a Non-Conforming Substitute Reference Obligation which is a Loan (other than a Private</w:t>
            </w:r>
            <w:r w:rsidR="00985ED9">
              <w:t>-</w:t>
            </w:r>
            <w:r w:rsidRPr="00B0784F">
              <w:t>side Loan); or if no such obligation is available,</w:t>
            </w:r>
          </w:p>
        </w:tc>
        <w:tc>
          <w:tcPr>
            <w:tcW w:w="1618" w:type="dxa"/>
            <w:gridSpan w:val="2"/>
            <w:tcBorders>
              <w:top w:val="nil"/>
              <w:bottom w:val="nil"/>
              <w:right w:val="nil"/>
            </w:tcBorders>
            <w:shd w:val="clear" w:color="auto" w:fill="auto"/>
          </w:tcPr>
          <w:p w:rsidR="0017135D" w:rsidRPr="00B0784F" w:rsidP="00E46A2C">
            <w:pPr>
              <w:pStyle w:val="CSManNum8pt"/>
              <w:rPr>
                <w:i/>
              </w:rPr>
            </w:pPr>
          </w:p>
        </w:tc>
        <w:tc>
          <w:tcPr>
            <w:tcW w:w="3318" w:type="dxa"/>
            <w:tcBorders>
              <w:top w:val="nil"/>
              <w:left w:val="nil"/>
              <w:bottom w:val="nil"/>
              <w:right w:val="nil"/>
            </w:tcBorders>
            <w:shd w:val="clear" w:color="auto" w:fill="auto"/>
          </w:tcPr>
          <w:p w:rsidR="0017135D" w:rsidRPr="00B0784F" w:rsidP="00E46A2C">
            <w:pPr>
              <w:pStyle w:val="CSManNum8pt"/>
              <w:rPr>
                <w:bCs/>
                <w:lang w:val="de-DE"/>
              </w:rPr>
            </w:pPr>
            <w:r w:rsidRPr="00B0784F">
              <w:rPr>
                <w:bCs/>
                <w:lang w:val="de-DE"/>
              </w:rPr>
              <w:t>(I)</w:t>
            </w:r>
            <w:r w:rsidRPr="00B0784F">
              <w:rPr>
                <w:bCs/>
                <w:lang w:val="de-DE"/>
              </w:rPr>
              <w:tab/>
              <w:t>sie ist eine Nicht Konforme Ersatz-Referenzverbindlichkeit, die ein Darlehen (aber kein Privates Darlehen) ist; oder, sofern es keine solche Verbindlichkeit gibt,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B0784F" w:rsidP="00A457E7">
            <w:pPr>
              <w:pStyle w:val="CSBody0"/>
              <w:rPr>
                <w:lang w:val="de-DE"/>
              </w:rPr>
            </w:pPr>
          </w:p>
        </w:tc>
        <w:tc>
          <w:tcPr>
            <w:tcW w:w="3315" w:type="dxa"/>
            <w:gridSpan w:val="2"/>
            <w:tcBorders>
              <w:top w:val="nil"/>
              <w:left w:val="nil"/>
              <w:bottom w:val="nil"/>
            </w:tcBorders>
            <w:shd w:val="clear" w:color="auto" w:fill="auto"/>
          </w:tcPr>
          <w:p w:rsidR="0017135D" w:rsidRPr="00473446" w:rsidP="00E46A2C">
            <w:pPr>
              <w:pStyle w:val="CSManNum8pt"/>
            </w:pPr>
            <w:r w:rsidRPr="00473446">
              <w:t>(II)</w:t>
            </w:r>
            <w:r w:rsidRPr="00473446">
              <w:tab/>
              <w:t>is a Non-Conforming Substitute Reference Obligation (other than a Loan); or if no such obligation is available,</w:t>
            </w:r>
          </w:p>
        </w:tc>
        <w:tc>
          <w:tcPr>
            <w:tcW w:w="1618" w:type="dxa"/>
            <w:gridSpan w:val="2"/>
            <w:tcBorders>
              <w:top w:val="nil"/>
              <w:bottom w:val="nil"/>
              <w:right w:val="nil"/>
            </w:tcBorders>
            <w:shd w:val="clear" w:color="auto" w:fill="auto"/>
          </w:tcPr>
          <w:p w:rsidR="0017135D" w:rsidRPr="00473446" w:rsidP="00E46A2C">
            <w:pPr>
              <w:pStyle w:val="CSManNum8pt"/>
              <w:rPr>
                <w:i/>
              </w:rPr>
            </w:pPr>
          </w:p>
        </w:tc>
        <w:tc>
          <w:tcPr>
            <w:tcW w:w="3318" w:type="dxa"/>
            <w:tcBorders>
              <w:top w:val="nil"/>
              <w:left w:val="nil"/>
              <w:bottom w:val="nil"/>
              <w:right w:val="nil"/>
            </w:tcBorders>
            <w:shd w:val="clear" w:color="auto" w:fill="auto"/>
          </w:tcPr>
          <w:p w:rsidR="0017135D" w:rsidRPr="00473446" w:rsidP="00E46A2C">
            <w:pPr>
              <w:pStyle w:val="CSManNum8pt"/>
              <w:rPr>
                <w:bCs/>
                <w:lang w:val="de-DE"/>
              </w:rPr>
            </w:pPr>
            <w:r w:rsidRPr="00473446">
              <w:rPr>
                <w:bCs/>
                <w:lang w:val="de-DE"/>
              </w:rPr>
              <w:t>(II)</w:t>
            </w:r>
            <w:r w:rsidRPr="00473446">
              <w:rPr>
                <w:bCs/>
                <w:lang w:val="de-DE"/>
              </w:rPr>
              <w:tab/>
              <w:t>sie ist eine Nicht Konforme Ersatz-Referenzverbindlichkeit (aber kein Darlehen); oder, sofern es keine solche Verbindlichkeit gibt,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73446" w:rsidP="00A457E7">
            <w:pPr>
              <w:pStyle w:val="CSBody0"/>
              <w:rPr>
                <w:lang w:val="de-DE"/>
              </w:rPr>
            </w:pPr>
          </w:p>
        </w:tc>
        <w:tc>
          <w:tcPr>
            <w:tcW w:w="3315" w:type="dxa"/>
            <w:gridSpan w:val="2"/>
            <w:tcBorders>
              <w:top w:val="nil"/>
              <w:left w:val="nil"/>
              <w:bottom w:val="nil"/>
            </w:tcBorders>
            <w:shd w:val="clear" w:color="auto" w:fill="auto"/>
          </w:tcPr>
          <w:p w:rsidR="0017135D" w:rsidRPr="00473446" w:rsidP="00921F8E">
            <w:pPr>
              <w:pStyle w:val="CSManNum8pt"/>
            </w:pPr>
            <w:r w:rsidRPr="00473446">
              <w:t>(III)</w:t>
            </w:r>
            <w:r w:rsidRPr="00473446">
              <w:tab/>
              <w:t>is a Valuation Obligation (other than a Loan) determined in accordance with clause (a) of the definition "Valuation Obligation"; or if no such obligation is available,</w:t>
            </w:r>
          </w:p>
        </w:tc>
        <w:tc>
          <w:tcPr>
            <w:tcW w:w="1618" w:type="dxa"/>
            <w:gridSpan w:val="2"/>
            <w:tcBorders>
              <w:top w:val="nil"/>
              <w:bottom w:val="nil"/>
              <w:right w:val="nil"/>
            </w:tcBorders>
            <w:shd w:val="clear" w:color="auto" w:fill="auto"/>
          </w:tcPr>
          <w:p w:rsidR="0017135D" w:rsidRPr="00473446" w:rsidP="00E46A2C">
            <w:pPr>
              <w:pStyle w:val="CSManNum8pt"/>
              <w:rPr>
                <w:i/>
              </w:rPr>
            </w:pPr>
          </w:p>
        </w:tc>
        <w:tc>
          <w:tcPr>
            <w:tcW w:w="3318" w:type="dxa"/>
            <w:tcBorders>
              <w:top w:val="nil"/>
              <w:left w:val="nil"/>
              <w:bottom w:val="nil"/>
              <w:right w:val="nil"/>
            </w:tcBorders>
            <w:shd w:val="clear" w:color="auto" w:fill="auto"/>
          </w:tcPr>
          <w:p w:rsidR="0017135D" w:rsidRPr="00473446" w:rsidP="00921F8E">
            <w:pPr>
              <w:pStyle w:val="CSManNum8pt"/>
              <w:rPr>
                <w:bCs/>
                <w:lang w:val="de-DE"/>
              </w:rPr>
            </w:pPr>
            <w:r w:rsidRPr="00473446">
              <w:rPr>
                <w:bCs/>
                <w:lang w:val="de-DE"/>
              </w:rPr>
              <w:t>(III)</w:t>
            </w:r>
            <w:r w:rsidRPr="00473446">
              <w:rPr>
                <w:bCs/>
                <w:lang w:val="de-DE"/>
              </w:rPr>
              <w:tab/>
              <w:t>sie ist eine nach Absatz (a) der Definition  "Bewertungsverbindlichkeit" bestimmte Bewertungsverbindlichkeit (aber kein Darlehen); oder, sofern es keine solche Verbindlichkeit gibt,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73446" w:rsidP="00A457E7">
            <w:pPr>
              <w:pStyle w:val="CSBody0"/>
              <w:rPr>
                <w:lang w:val="de-DE"/>
              </w:rPr>
            </w:pPr>
          </w:p>
        </w:tc>
        <w:tc>
          <w:tcPr>
            <w:tcW w:w="3315" w:type="dxa"/>
            <w:gridSpan w:val="2"/>
            <w:tcBorders>
              <w:top w:val="nil"/>
              <w:left w:val="nil"/>
              <w:bottom w:val="nil"/>
            </w:tcBorders>
            <w:shd w:val="clear" w:color="auto" w:fill="auto"/>
          </w:tcPr>
          <w:p w:rsidR="0017135D" w:rsidRPr="00473446" w:rsidP="00921F8E">
            <w:pPr>
              <w:pStyle w:val="CSManNum8pt"/>
            </w:pPr>
            <w:r w:rsidRPr="00473446">
              <w:t>(IV)</w:t>
            </w:r>
            <w:r w:rsidRPr="00473446">
              <w:tab/>
              <w:t>is a Loan (other than a Private</w:t>
            </w:r>
            <w:r w:rsidR="00985ED9">
              <w:t>-</w:t>
            </w:r>
            <w:r w:rsidRPr="00473446">
              <w:t>side Loan) which constitutes a Valuation Obligation determined in accordance with clause (a) of the definition "Valuation Obligation".</w:t>
            </w:r>
          </w:p>
        </w:tc>
        <w:tc>
          <w:tcPr>
            <w:tcW w:w="1618" w:type="dxa"/>
            <w:gridSpan w:val="2"/>
            <w:tcBorders>
              <w:top w:val="nil"/>
              <w:bottom w:val="nil"/>
              <w:right w:val="nil"/>
            </w:tcBorders>
            <w:shd w:val="clear" w:color="auto" w:fill="auto"/>
          </w:tcPr>
          <w:p w:rsidR="0017135D" w:rsidRPr="00473446" w:rsidP="00E46A2C">
            <w:pPr>
              <w:pStyle w:val="CSManNum8pt"/>
              <w:rPr>
                <w:i/>
              </w:rPr>
            </w:pPr>
          </w:p>
        </w:tc>
        <w:tc>
          <w:tcPr>
            <w:tcW w:w="3318" w:type="dxa"/>
            <w:tcBorders>
              <w:top w:val="nil"/>
              <w:left w:val="nil"/>
              <w:bottom w:val="nil"/>
              <w:right w:val="nil"/>
            </w:tcBorders>
            <w:shd w:val="clear" w:color="auto" w:fill="auto"/>
          </w:tcPr>
          <w:p w:rsidR="0017135D" w:rsidRPr="00473446" w:rsidP="00921F8E">
            <w:pPr>
              <w:pStyle w:val="CSManNum8pt"/>
              <w:rPr>
                <w:bCs/>
                <w:lang w:val="de-DE"/>
              </w:rPr>
            </w:pPr>
            <w:r w:rsidRPr="00473446">
              <w:rPr>
                <w:bCs/>
                <w:lang w:val="de-DE"/>
              </w:rPr>
              <w:t>(IV)</w:t>
            </w:r>
            <w:r w:rsidRPr="00473446">
              <w:rPr>
                <w:bCs/>
                <w:lang w:val="de-DE"/>
              </w:rPr>
              <w:tab/>
              <w:t>sie ist ein Darlehen (aber kein Privates Darlehen), das eine nach Absatz (a) der Definition  "Bewertungsverbindlichkeit" bestimmte Bewertungsverbindlichkeit darstellt.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73446" w:rsidP="00A457E7">
            <w:pPr>
              <w:pStyle w:val="CSBody0"/>
              <w:rPr>
                <w:lang w:val="de-DE"/>
              </w:rPr>
            </w:pPr>
          </w:p>
        </w:tc>
        <w:tc>
          <w:tcPr>
            <w:tcW w:w="3315" w:type="dxa"/>
            <w:gridSpan w:val="2"/>
            <w:tcBorders>
              <w:top w:val="nil"/>
              <w:left w:val="nil"/>
              <w:bottom w:val="nil"/>
            </w:tcBorders>
            <w:shd w:val="clear" w:color="auto" w:fill="auto"/>
          </w:tcPr>
          <w:p w:rsidR="0017135D" w:rsidRPr="00473446" w:rsidP="004C1EBA">
            <w:pPr>
              <w:pStyle w:val="CSManNum8pt"/>
            </w:pPr>
            <w:r w:rsidRPr="00473446">
              <w:t>(d)</w:t>
            </w:r>
            <w:r w:rsidRPr="00473446">
              <w:tab/>
              <w:t xml:space="preserve">If more than one potential Substitute Reference Obligation is identified pursuant to the process described in clause (c) above, the Substitute Reference Obligation will be the potential Substitute Reference Obligation that most closely preserves the economic equivalent of the transaction constituted by the Complex Products, as determined by the Calculation Agent. The Calculation Agent will notify the </w:t>
            </w:r>
            <w:r>
              <w:t xml:space="preserve">Issuer and the </w:t>
            </w:r>
            <w:r w:rsidRPr="00473446">
              <w:t xml:space="preserve">Holders in accordance with Clause </w:t>
            </w:r>
            <w:r>
              <w:t>8</w:t>
            </w:r>
            <w:r w:rsidRPr="00473446">
              <w:t xml:space="preserve"> of the Substitute Reference Obligation as soon as reasonably practicable after it has been identified in accordance with clause (c) above and the Substitute Reference Obligation shall replace the Non-Standard Reference Obligation immediately upon such notification.</w:t>
            </w:r>
          </w:p>
        </w:tc>
        <w:tc>
          <w:tcPr>
            <w:tcW w:w="1618" w:type="dxa"/>
            <w:gridSpan w:val="2"/>
            <w:tcBorders>
              <w:top w:val="nil"/>
              <w:bottom w:val="nil"/>
              <w:right w:val="nil"/>
            </w:tcBorders>
            <w:shd w:val="clear" w:color="auto" w:fill="auto"/>
          </w:tcPr>
          <w:p w:rsidR="0017135D" w:rsidRPr="00473446" w:rsidP="00E46A2C">
            <w:pPr>
              <w:pStyle w:val="CSManNum8pt"/>
              <w:rPr>
                <w:i/>
              </w:rPr>
            </w:pPr>
          </w:p>
        </w:tc>
        <w:tc>
          <w:tcPr>
            <w:tcW w:w="3318" w:type="dxa"/>
            <w:tcBorders>
              <w:top w:val="nil"/>
              <w:left w:val="nil"/>
              <w:bottom w:val="nil"/>
              <w:right w:val="nil"/>
            </w:tcBorders>
            <w:shd w:val="clear" w:color="auto" w:fill="auto"/>
          </w:tcPr>
          <w:p w:rsidR="0017135D" w:rsidRPr="00473446" w:rsidP="00921F8E">
            <w:pPr>
              <w:pStyle w:val="CSManNum8pt"/>
              <w:rPr>
                <w:bCs/>
                <w:lang w:val="de-DE"/>
              </w:rPr>
            </w:pPr>
            <w:r w:rsidRPr="00473446">
              <w:rPr>
                <w:bCs/>
                <w:lang w:val="de-DE"/>
              </w:rPr>
              <w:t>(d)</w:t>
            </w:r>
            <w:r w:rsidRPr="00473446">
              <w:rPr>
                <w:bCs/>
                <w:lang w:val="de-DE"/>
              </w:rPr>
              <w:tab/>
              <w:t>Wenn mehr als eine mögliche Ersatz-Refere</w:t>
            </w:r>
            <w:r>
              <w:rPr>
                <w:bCs/>
                <w:lang w:val="de-DE"/>
              </w:rPr>
              <w:t>nzverbindlichkeit durch das vor</w:t>
            </w:r>
            <w:r w:rsidRPr="00473446">
              <w:rPr>
                <w:bCs/>
                <w:lang w:val="de-DE"/>
              </w:rPr>
              <w:t xml:space="preserve">stehend in Absatz (c) beschriebene Verfahren bestimmt wird, ist die Ersatz-Referenzverbindlichkeit diejenige mögliche Ersatz-Referenzverbindlichkeit, die nach Feststellung durch die Berechnungsstelle die wirtschaftliche Position, die durch die Komplexen Produkte begründet wird, weitestmöglich aufrechterhält. Die Berechnungsstelle informiert die </w:t>
            </w:r>
            <w:r>
              <w:rPr>
                <w:bCs/>
                <w:lang w:val="de-DE"/>
              </w:rPr>
              <w:t xml:space="preserve">Emittentin und die </w:t>
            </w:r>
            <w:r w:rsidRPr="00473446">
              <w:rPr>
                <w:bCs/>
                <w:lang w:val="de-DE"/>
              </w:rPr>
              <w:t>Inhaber gemäss Ziffer 8 über die Ersatz-Referenzverbindlichkeit so schnell wie möglich, nachdem sie in Übereinstimmung mit der Bestimmung gemäss vorstehendem Absatz (c) ausgewählt wurde und die Nicht-Standard-Referenzverbindlichkeit wird unmittelbar nach dieser Mitteilung durch die Ersatz-Referenzverbindlichkeit ersetzt.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73446" w:rsidP="00A457E7">
            <w:pPr>
              <w:pStyle w:val="CSBody0"/>
              <w:rPr>
                <w:lang w:val="de-DE"/>
              </w:rPr>
            </w:pPr>
          </w:p>
        </w:tc>
        <w:tc>
          <w:tcPr>
            <w:tcW w:w="3315" w:type="dxa"/>
            <w:gridSpan w:val="2"/>
            <w:tcBorders>
              <w:top w:val="nil"/>
              <w:left w:val="nil"/>
              <w:bottom w:val="nil"/>
            </w:tcBorders>
            <w:shd w:val="clear" w:color="auto" w:fill="auto"/>
          </w:tcPr>
          <w:p w:rsidR="0017135D" w:rsidRPr="00473446" w:rsidP="00E46A2C">
            <w:pPr>
              <w:pStyle w:val="CSManNum8pt"/>
            </w:pPr>
            <w:r w:rsidRPr="00473446">
              <w:t>(e)</w:t>
            </w:r>
            <w:r w:rsidRPr="00473446">
              <w:tab/>
              <w:t>If a Substitution Event has occurred with respect to the Non-Standard Reference Obligation and the Calculation Agent determines that no Substitute Reference Obligation is available for the Non-Standard Reference Obligation, then, subject to clause (a) above and notwithstanding the fact that the Non-Standard Reference Obligation may have ceased to be the Reference Obligation in accordance with clause (b) above, the Calculation Agent shall continue to attempt to identify the Substitute Reference Obligation.</w:t>
            </w:r>
            <w:r w:rsidRPr="00792D61">
              <w:rPr>
                <w:b/>
              </w:rPr>
              <w:t>]</w:t>
            </w:r>
          </w:p>
        </w:tc>
        <w:tc>
          <w:tcPr>
            <w:tcW w:w="1618" w:type="dxa"/>
            <w:gridSpan w:val="2"/>
            <w:tcBorders>
              <w:top w:val="nil"/>
              <w:bottom w:val="nil"/>
              <w:right w:val="nil"/>
            </w:tcBorders>
            <w:shd w:val="clear" w:color="auto" w:fill="auto"/>
          </w:tcPr>
          <w:p w:rsidR="0017135D" w:rsidRPr="00473446" w:rsidP="00E46A2C">
            <w:pPr>
              <w:pStyle w:val="CSManNum8pt"/>
              <w:rPr>
                <w:i/>
              </w:rPr>
            </w:pPr>
          </w:p>
        </w:tc>
        <w:tc>
          <w:tcPr>
            <w:tcW w:w="3318" w:type="dxa"/>
            <w:tcBorders>
              <w:top w:val="nil"/>
              <w:left w:val="nil"/>
              <w:bottom w:val="nil"/>
              <w:right w:val="nil"/>
            </w:tcBorders>
            <w:shd w:val="clear" w:color="auto" w:fill="auto"/>
          </w:tcPr>
          <w:p w:rsidR="0017135D" w:rsidRPr="00473446" w:rsidP="00E46A2C">
            <w:pPr>
              <w:pStyle w:val="CSManNum8pt"/>
              <w:rPr>
                <w:bCs/>
                <w:lang w:val="de-DE"/>
              </w:rPr>
            </w:pPr>
            <w:r w:rsidRPr="00473446">
              <w:rPr>
                <w:bCs/>
                <w:lang w:val="de-DE"/>
              </w:rPr>
              <w:t>(e)</w:t>
            </w:r>
            <w:r w:rsidRPr="00473446">
              <w:rPr>
                <w:bCs/>
                <w:lang w:val="de-DE"/>
              </w:rPr>
              <w:tab/>
              <w:t>Wenn in Bezug auf die Nicht-Standard-Referenzverbindlichkeit ein Ersetzungsereignis eingetreten ist und die Berechnungsstelle feststellt, dass für die Nicht-Standard-Referenzverbindlichkeit keine Ersatz-Referenzverbindlichkeit zur Verfügung steht, wird sich die Berechnungsstelle vorbehaltlich des vorstehenden Absatzes (a) und ungeachtet dessen, dass die Nicht-Standard-Referenzverbindlichkeit möglicherweise nicht mehr die Referenzverbindlichkeit gemäss vorstehendem Absatz (b) ist, weiterhin bemühen, die Ersatz-Referenzverbindlichkeit auszuwählen.</w:t>
            </w:r>
            <w:r w:rsidRPr="00792D61">
              <w:rPr>
                <w:b/>
                <w:bCs/>
                <w:lang w:val="de-DE"/>
              </w:rPr>
              <w:t>]</w:t>
            </w:r>
          </w:p>
        </w:tc>
      </w:tr>
      <w:tr w:rsidTr="004C1EBA">
        <w:tblPrEx>
          <w:tblW w:w="4999" w:type="pct"/>
          <w:tblLayout w:type="fixed"/>
          <w:tblCellMar>
            <w:left w:w="115" w:type="dxa"/>
            <w:right w:w="115" w:type="dxa"/>
          </w:tblCellMar>
          <w:tblLook w:val="04A0"/>
        </w:tblPrEx>
        <w:trPr>
          <w:trHeight w:val="2019"/>
        </w:trPr>
        <w:tc>
          <w:tcPr>
            <w:tcW w:w="1616" w:type="dxa"/>
            <w:gridSpan w:val="3"/>
            <w:tcBorders>
              <w:top w:val="nil"/>
              <w:left w:val="nil"/>
              <w:right w:val="nil"/>
            </w:tcBorders>
            <w:shd w:val="clear" w:color="auto" w:fill="auto"/>
          </w:tcPr>
          <w:p w:rsidR="0017135D" w:rsidRPr="00F32A72" w:rsidP="00E46A2C">
            <w:pPr>
              <w:pStyle w:val="CSBody8ptbolditalics"/>
            </w:pPr>
            <w:r w:rsidRPr="00792D61">
              <w:t>[</w:t>
            </w:r>
            <w:r w:rsidRPr="00F32A72">
              <w:t xml:space="preserve">if </w:t>
            </w:r>
            <w:r>
              <w:t xml:space="preserve">a Non-Standard </w:t>
            </w:r>
            <w:r w:rsidRPr="00F32A72">
              <w:t>Reference Obligation is specified in section 1.1., insert:</w:t>
            </w:r>
          </w:p>
          <w:p w:rsidR="0017135D" w:rsidRPr="00F32A72" w:rsidP="00E46A2C">
            <w:pPr>
              <w:pStyle w:val="CSBody8pt"/>
            </w:pPr>
            <w:r w:rsidRPr="00E241DB">
              <w:t>Substitution Date</w:t>
            </w:r>
            <w:r>
              <w:fldChar w:fldCharType="begin"/>
            </w:r>
            <w:r>
              <w:instrText xml:space="preserve"> XE "</w:instrText>
            </w:r>
            <w:r w:rsidRPr="00A14EF3">
              <w:instrText>Substitution Date</w:instrText>
            </w:r>
            <w:r>
              <w:instrText xml:space="preserve">" \f "EN" </w:instrText>
            </w:r>
            <w:r>
              <w:fldChar w:fldCharType="end"/>
            </w:r>
          </w:p>
        </w:tc>
        <w:tc>
          <w:tcPr>
            <w:tcW w:w="3315" w:type="dxa"/>
            <w:gridSpan w:val="2"/>
            <w:tcBorders>
              <w:top w:val="nil"/>
              <w:left w:val="nil"/>
            </w:tcBorders>
            <w:shd w:val="clear" w:color="auto" w:fill="auto"/>
          </w:tcPr>
          <w:p w:rsidR="0017135D" w:rsidRPr="00F32A72" w:rsidP="00E46A2C">
            <w:pPr>
              <w:pStyle w:val="CSBody8pt"/>
            </w:pPr>
            <w:r w:rsidRPr="00F32A72">
              <w:t>with respect to a Substitute Reference Obligation, the date on which the Calculation Agent notifies the Issuer and the Holders in accordance with Section 8 of the Substitute Reference Obligation that it has identified in accordance with the definition of "Substitute Reference Obligation".</w:t>
            </w:r>
            <w:r w:rsidRPr="00792D61">
              <w:rPr>
                <w:b/>
              </w:rPr>
              <w:t>]</w:t>
            </w:r>
          </w:p>
        </w:tc>
        <w:tc>
          <w:tcPr>
            <w:tcW w:w="1618" w:type="dxa"/>
            <w:gridSpan w:val="2"/>
            <w:tcBorders>
              <w:top w:val="nil"/>
              <w:right w:val="nil"/>
            </w:tcBorders>
            <w:shd w:val="clear" w:color="auto" w:fill="auto"/>
          </w:tcPr>
          <w:p w:rsidR="0017135D" w:rsidRPr="00F32A72" w:rsidP="009532FA">
            <w:pPr>
              <w:pStyle w:val="CSBody8ptbolditalics"/>
              <w:rPr>
                <w:lang w:val="de-DE"/>
              </w:rPr>
            </w:pPr>
            <w:r w:rsidRPr="00792D61">
              <w:rPr>
                <w:lang w:val="de-DE"/>
              </w:rPr>
              <w:t>[</w:t>
            </w:r>
            <w:r w:rsidRPr="00F32A72">
              <w:rPr>
                <w:lang w:val="de-DE"/>
              </w:rPr>
              <w:t xml:space="preserve">falls </w:t>
            </w:r>
            <w:r>
              <w:rPr>
                <w:lang w:val="de-DE"/>
              </w:rPr>
              <w:t>eine Nicht-Standard-</w:t>
            </w:r>
            <w:r w:rsidRPr="00F32A72">
              <w:rPr>
                <w:lang w:val="de-DE"/>
              </w:rPr>
              <w:t>Referenzverbindlichkeit in Ziffer 1.1 angegeben ist, einfügen:</w:t>
            </w:r>
          </w:p>
          <w:p w:rsidR="0017135D" w:rsidRPr="00F32A72" w:rsidP="00E46A2C">
            <w:pPr>
              <w:pStyle w:val="CSBody8pt"/>
              <w:rPr>
                <w:lang w:val="de-DE"/>
              </w:rPr>
            </w:pPr>
            <w:r w:rsidRPr="00E241DB">
              <w:t>Ersetzungstag</w:t>
            </w:r>
            <w:r>
              <w:fldChar w:fldCharType="begin"/>
            </w:r>
            <w:r>
              <w:instrText xml:space="preserve"> XE "</w:instrText>
            </w:r>
            <w:r w:rsidRPr="00035005">
              <w:instrText>Ersetzungstag</w:instrText>
            </w:r>
            <w:r>
              <w:instrText xml:space="preserve">" </w:instrText>
            </w:r>
            <w:r>
              <w:fldChar w:fldCharType="end"/>
            </w:r>
          </w:p>
        </w:tc>
        <w:tc>
          <w:tcPr>
            <w:tcW w:w="3318" w:type="dxa"/>
            <w:tcBorders>
              <w:top w:val="nil"/>
              <w:left w:val="nil"/>
              <w:right w:val="nil"/>
            </w:tcBorders>
            <w:shd w:val="clear" w:color="auto" w:fill="auto"/>
          </w:tcPr>
          <w:p w:rsidR="0017135D" w:rsidRPr="00F32A72" w:rsidP="00E46A2C">
            <w:pPr>
              <w:pStyle w:val="CSBody8pt"/>
              <w:rPr>
                <w:bCs/>
                <w:lang w:val="de-DE"/>
              </w:rPr>
            </w:pPr>
            <w:r w:rsidRPr="00F32A72">
              <w:rPr>
                <w:bCs/>
                <w:lang w:val="de-DE"/>
              </w:rPr>
              <w:t>in Bezug auf eine Ersatz-Referenzverbindlichkeit der Tag, an dem die Berechnungsstelle die Emittentin und die Inhaber gemäss Ziffer 8 über die von ihr gemäss der Definition "Ersatz-Referenzverbindlichkeit" ausgewählte Ersatz-Referenzverbindlichkeit informiert.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F32A72" w:rsidP="00E46A2C">
            <w:pPr>
              <w:pStyle w:val="CSBody8ptbolditalics"/>
            </w:pPr>
            <w:r w:rsidRPr="00792D61">
              <w:t>[</w:t>
            </w:r>
            <w:r w:rsidRPr="00F32A72">
              <w:t>if Non-Standard Reference Obligation is specified in Section 1.1., insert:</w:t>
            </w:r>
          </w:p>
          <w:p w:rsidR="0017135D" w:rsidRPr="00F32A72" w:rsidP="00E46A2C">
            <w:pPr>
              <w:pStyle w:val="CSBody8pt"/>
            </w:pPr>
            <w:r w:rsidRPr="00E241DB">
              <w:t>Substitution Event</w:t>
            </w:r>
            <w:r>
              <w:fldChar w:fldCharType="begin"/>
            </w:r>
            <w:r>
              <w:instrText xml:space="preserve"> XE "</w:instrText>
            </w:r>
            <w:r w:rsidRPr="003A2333">
              <w:instrText>Substitution Event</w:instrText>
            </w:r>
            <w:r>
              <w:instrText xml:space="preserve">" \f "EN" </w:instrText>
            </w:r>
            <w:r>
              <w:fldChar w:fldCharType="end"/>
            </w:r>
          </w:p>
        </w:tc>
        <w:tc>
          <w:tcPr>
            <w:tcW w:w="3315" w:type="dxa"/>
            <w:gridSpan w:val="2"/>
            <w:tcBorders>
              <w:top w:val="nil"/>
              <w:left w:val="nil"/>
            </w:tcBorders>
            <w:shd w:val="clear" w:color="auto" w:fill="auto"/>
          </w:tcPr>
          <w:p w:rsidR="0017135D" w:rsidRPr="00F32A72">
            <w:pPr>
              <w:pStyle w:val="CSManNum8pt"/>
            </w:pPr>
            <w:r w:rsidRPr="00F32A72">
              <w:t>(a)</w:t>
            </w:r>
            <w:r w:rsidRPr="00F32A72">
              <w:tab/>
              <w:t>with respect to the Non-Standard Reference Obligation, any of the following events:</w:t>
            </w:r>
          </w:p>
        </w:tc>
        <w:tc>
          <w:tcPr>
            <w:tcW w:w="1618" w:type="dxa"/>
            <w:gridSpan w:val="2"/>
            <w:tcBorders>
              <w:top w:val="nil"/>
              <w:right w:val="nil"/>
            </w:tcBorders>
            <w:shd w:val="clear" w:color="auto" w:fill="auto"/>
          </w:tcPr>
          <w:p w:rsidR="0017135D" w:rsidRPr="00F32A72" w:rsidP="00E46A2C">
            <w:pPr>
              <w:pStyle w:val="CSBody8ptbolditalics"/>
              <w:rPr>
                <w:lang w:val="de-DE"/>
              </w:rPr>
            </w:pPr>
            <w:r w:rsidRPr="00792D61">
              <w:rPr>
                <w:lang w:val="de-DE"/>
              </w:rPr>
              <w:t>[</w:t>
            </w:r>
            <w:r w:rsidRPr="00F32A72">
              <w:rPr>
                <w:lang w:val="de-DE"/>
              </w:rPr>
              <w:t>falls Nicht-Standard-Referenzverbindlichkeit in Ziffer 1.1 angegeben ist, einfügen:</w:t>
            </w:r>
          </w:p>
          <w:p w:rsidR="0017135D" w:rsidRPr="00F32A72" w:rsidP="00E46A2C">
            <w:pPr>
              <w:pStyle w:val="CSBody8pt"/>
              <w:rPr>
                <w:lang w:val="de-DE"/>
              </w:rPr>
            </w:pPr>
            <w:r w:rsidRPr="00E241DB">
              <w:t>Ersetzungsereignis</w:t>
            </w:r>
            <w:r>
              <w:fldChar w:fldCharType="begin"/>
            </w:r>
            <w:r>
              <w:instrText xml:space="preserve"> XE "</w:instrText>
            </w:r>
            <w:r w:rsidRPr="00F0088D">
              <w:instrText>Ersetzungsereignis</w:instrText>
            </w:r>
            <w:r>
              <w:instrText xml:space="preserve">" </w:instrText>
            </w:r>
            <w:r>
              <w:fldChar w:fldCharType="end"/>
            </w:r>
          </w:p>
        </w:tc>
        <w:tc>
          <w:tcPr>
            <w:tcW w:w="3318" w:type="dxa"/>
            <w:tcBorders>
              <w:top w:val="nil"/>
              <w:left w:val="nil"/>
              <w:right w:val="nil"/>
            </w:tcBorders>
            <w:shd w:val="clear" w:color="auto" w:fill="auto"/>
          </w:tcPr>
          <w:p w:rsidR="0017135D" w:rsidRPr="00F32A72" w:rsidP="00921F8E">
            <w:pPr>
              <w:pStyle w:val="CSManNum8pt"/>
              <w:rPr>
                <w:lang w:val="de-DE"/>
              </w:rPr>
            </w:pPr>
            <w:r w:rsidRPr="00F32A72">
              <w:rPr>
                <w:lang w:val="de-DE"/>
              </w:rPr>
              <w:t>(a)</w:t>
            </w:r>
            <w:r w:rsidRPr="00F32A72">
              <w:rPr>
                <w:lang w:val="de-DE"/>
              </w:rPr>
              <w:tab/>
              <w:t>in Bezug auf die Nicht-Standard-Referenzverbindlichkeit jedes der folgenden Ereignisse: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13B3E" w:rsidP="00E46A2C">
            <w:pPr>
              <w:pStyle w:val="CSBody8pt"/>
              <w:rPr>
                <w:lang w:val="de-DE"/>
              </w:rPr>
            </w:pPr>
          </w:p>
        </w:tc>
        <w:tc>
          <w:tcPr>
            <w:tcW w:w="3315" w:type="dxa"/>
            <w:gridSpan w:val="2"/>
            <w:tcBorders>
              <w:top w:val="nil"/>
              <w:left w:val="nil"/>
              <w:bottom w:val="nil"/>
            </w:tcBorders>
            <w:shd w:val="clear" w:color="auto" w:fill="auto"/>
          </w:tcPr>
          <w:p w:rsidR="0017135D" w:rsidRPr="00F32A72" w:rsidP="00E241DB">
            <w:pPr>
              <w:pStyle w:val="CSManNum8pt"/>
              <w:ind w:left="649" w:hanging="283"/>
            </w:pPr>
            <w:r w:rsidRPr="00F32A72">
              <w:t>(i)</w:t>
            </w:r>
            <w:r w:rsidRPr="00F32A72">
              <w:tab/>
              <w:t>the Non-Standard Reference Obligation is redeemed in whole;</w:t>
            </w:r>
          </w:p>
        </w:tc>
        <w:tc>
          <w:tcPr>
            <w:tcW w:w="1618" w:type="dxa"/>
            <w:gridSpan w:val="2"/>
            <w:tcBorders>
              <w:top w:val="nil"/>
              <w:bottom w:val="nil"/>
              <w:right w:val="nil"/>
            </w:tcBorders>
            <w:shd w:val="clear" w:color="auto" w:fill="auto"/>
          </w:tcPr>
          <w:p w:rsidR="0017135D" w:rsidRPr="00F32A72" w:rsidP="00E46A2C">
            <w:pPr>
              <w:pStyle w:val="CSManNum8pt"/>
              <w:rPr>
                <w:i/>
              </w:rPr>
            </w:pPr>
          </w:p>
        </w:tc>
        <w:tc>
          <w:tcPr>
            <w:tcW w:w="3318" w:type="dxa"/>
            <w:tcBorders>
              <w:top w:val="nil"/>
              <w:left w:val="nil"/>
              <w:bottom w:val="nil"/>
              <w:right w:val="nil"/>
            </w:tcBorders>
            <w:shd w:val="clear" w:color="auto" w:fill="auto"/>
          </w:tcPr>
          <w:p w:rsidR="0017135D" w:rsidRPr="00F32A72" w:rsidP="00E241DB">
            <w:pPr>
              <w:pStyle w:val="CSManNum8pt"/>
              <w:ind w:left="681" w:hanging="284"/>
              <w:rPr>
                <w:bCs/>
                <w:lang w:val="de-DE"/>
              </w:rPr>
            </w:pPr>
            <w:r w:rsidRPr="00F32A72">
              <w:rPr>
                <w:bCs/>
                <w:lang w:val="de-DE"/>
              </w:rPr>
              <w:t>(i)</w:t>
            </w:r>
            <w:r w:rsidRPr="00F32A72">
              <w:rPr>
                <w:bCs/>
                <w:lang w:val="de-DE"/>
              </w:rPr>
              <w:tab/>
              <w:t>die Nicht-Standard-Referenzverbindlichkeit wird in voller Höhe zurückgezahlt;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32A72" w:rsidP="00A457E7">
            <w:pPr>
              <w:pStyle w:val="CSBody0"/>
              <w:rPr>
                <w:lang w:val="de-DE"/>
              </w:rPr>
            </w:pPr>
          </w:p>
        </w:tc>
        <w:tc>
          <w:tcPr>
            <w:tcW w:w="3315" w:type="dxa"/>
            <w:gridSpan w:val="2"/>
            <w:tcBorders>
              <w:top w:val="nil"/>
              <w:left w:val="nil"/>
              <w:bottom w:val="nil"/>
            </w:tcBorders>
            <w:shd w:val="clear" w:color="auto" w:fill="auto"/>
          </w:tcPr>
          <w:p w:rsidR="0017135D" w:rsidRPr="00F32A72" w:rsidP="00E241DB">
            <w:pPr>
              <w:pStyle w:val="CSManNum8pt"/>
              <w:ind w:left="649" w:hanging="283"/>
            </w:pPr>
            <w:r w:rsidRPr="00F32A72">
              <w:t>(ii)</w:t>
            </w:r>
            <w:r w:rsidRPr="00F32A72">
              <w:tab/>
              <w:t>the aggregate amounts due under the Non-Standard Reference Obligation have been reduced by redemption or otherwise below USD 10,000,000 (or its equivalent in the relevant Obligation Currency, as determined by the Calculation Agent); or</w:t>
            </w:r>
          </w:p>
        </w:tc>
        <w:tc>
          <w:tcPr>
            <w:tcW w:w="1618" w:type="dxa"/>
            <w:gridSpan w:val="2"/>
            <w:tcBorders>
              <w:top w:val="nil"/>
              <w:bottom w:val="nil"/>
              <w:right w:val="nil"/>
            </w:tcBorders>
            <w:shd w:val="clear" w:color="auto" w:fill="auto"/>
          </w:tcPr>
          <w:p w:rsidR="0017135D" w:rsidRPr="00F32A72" w:rsidP="00E46A2C">
            <w:pPr>
              <w:pStyle w:val="CSManNum8pt"/>
              <w:rPr>
                <w:i/>
              </w:rPr>
            </w:pPr>
          </w:p>
        </w:tc>
        <w:tc>
          <w:tcPr>
            <w:tcW w:w="3318" w:type="dxa"/>
            <w:tcBorders>
              <w:top w:val="nil"/>
              <w:left w:val="nil"/>
              <w:bottom w:val="nil"/>
              <w:right w:val="nil"/>
            </w:tcBorders>
            <w:shd w:val="clear" w:color="auto" w:fill="auto"/>
          </w:tcPr>
          <w:p w:rsidR="0017135D" w:rsidRPr="00F32A72" w:rsidP="00921F8E">
            <w:pPr>
              <w:pStyle w:val="CSManNum8pt"/>
              <w:ind w:left="681" w:hanging="284"/>
              <w:rPr>
                <w:bCs/>
                <w:lang w:val="de-DE"/>
              </w:rPr>
            </w:pPr>
            <w:r w:rsidRPr="00F32A72">
              <w:rPr>
                <w:bCs/>
                <w:lang w:val="de-DE"/>
              </w:rPr>
              <w:t>(ii)</w:t>
            </w:r>
            <w:r w:rsidRPr="00F32A72">
              <w:rPr>
                <w:bCs/>
                <w:lang w:val="de-DE"/>
              </w:rPr>
              <w:tab/>
              <w:t>die aus der Nicht-Standard-Referenzverbindlichkeit insgesamt geschuldeten Beträge wurden durch Rückzahlung oder auf andere Weise auf einen Betrag von unter USD 10.000.000 (oder den betreffenden Gegenwert in der jeweiligen Verbindlichkeitenwährung, wie von der Berechnungsstelle festgestellt) verringert;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32A72" w:rsidP="00A457E7">
            <w:pPr>
              <w:pStyle w:val="CSBody0"/>
              <w:rPr>
                <w:lang w:val="de-DE"/>
              </w:rPr>
            </w:pPr>
          </w:p>
        </w:tc>
        <w:tc>
          <w:tcPr>
            <w:tcW w:w="3315" w:type="dxa"/>
            <w:gridSpan w:val="2"/>
            <w:tcBorders>
              <w:top w:val="nil"/>
              <w:left w:val="nil"/>
              <w:bottom w:val="nil"/>
            </w:tcBorders>
            <w:shd w:val="clear" w:color="auto" w:fill="auto"/>
          </w:tcPr>
          <w:p w:rsidR="0017135D" w:rsidRPr="00F32A72" w:rsidP="00E241DB">
            <w:pPr>
              <w:pStyle w:val="CSManNum8pt"/>
              <w:ind w:left="649" w:hanging="283"/>
            </w:pPr>
            <w:r w:rsidRPr="00F32A72">
              <w:t>(iii)</w:t>
            </w:r>
            <w:r w:rsidRPr="00F32A72">
              <w:tab/>
              <w:t>for any reason, other than due to the existence or occurrence of a Credit Event, the Non-Standard Reference Obligation is no longer an obligation of the Reference Entity (either directly or as provider of a guarantee).</w:t>
            </w:r>
          </w:p>
        </w:tc>
        <w:tc>
          <w:tcPr>
            <w:tcW w:w="1618" w:type="dxa"/>
            <w:gridSpan w:val="2"/>
            <w:tcBorders>
              <w:top w:val="nil"/>
              <w:bottom w:val="nil"/>
              <w:right w:val="nil"/>
            </w:tcBorders>
            <w:shd w:val="clear" w:color="auto" w:fill="auto"/>
          </w:tcPr>
          <w:p w:rsidR="0017135D" w:rsidRPr="00F32A72" w:rsidP="00E46A2C">
            <w:pPr>
              <w:pStyle w:val="CSManNum8pt"/>
              <w:rPr>
                <w:i/>
              </w:rPr>
            </w:pPr>
          </w:p>
        </w:tc>
        <w:tc>
          <w:tcPr>
            <w:tcW w:w="3318" w:type="dxa"/>
            <w:tcBorders>
              <w:top w:val="nil"/>
              <w:left w:val="nil"/>
              <w:bottom w:val="nil"/>
              <w:right w:val="nil"/>
            </w:tcBorders>
            <w:shd w:val="clear" w:color="auto" w:fill="auto"/>
          </w:tcPr>
          <w:p w:rsidR="0017135D" w:rsidRPr="00F32A72" w:rsidP="00E241DB">
            <w:pPr>
              <w:pStyle w:val="CSManNum8pt"/>
              <w:ind w:left="681" w:hanging="284"/>
              <w:rPr>
                <w:bCs/>
                <w:lang w:val="de-DE"/>
              </w:rPr>
            </w:pPr>
            <w:r w:rsidRPr="00F32A72">
              <w:rPr>
                <w:bCs/>
                <w:lang w:val="de-DE"/>
              </w:rPr>
              <w:t>(iii)</w:t>
            </w:r>
            <w:r w:rsidRPr="00F32A72">
              <w:rPr>
                <w:bCs/>
                <w:lang w:val="de-DE"/>
              </w:rPr>
              <w:tab/>
              <w:t>die Nicht-Standard-Referenz-verbindlichkeit stellt aus einem anderen Grund als dem Bestehen oder Eintritt eines Kreditereignisses nicht mehr eine Verbindlichkeit des Referenzschuldners dar (und zwar weder unmittelbar noch in Form einer Garantie).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32A72" w:rsidP="00A457E7">
            <w:pPr>
              <w:pStyle w:val="CSBody0"/>
              <w:rPr>
                <w:lang w:val="de-DE"/>
              </w:rPr>
            </w:pPr>
          </w:p>
        </w:tc>
        <w:tc>
          <w:tcPr>
            <w:tcW w:w="3315" w:type="dxa"/>
            <w:gridSpan w:val="2"/>
            <w:tcBorders>
              <w:top w:val="nil"/>
              <w:left w:val="nil"/>
              <w:bottom w:val="nil"/>
            </w:tcBorders>
            <w:shd w:val="clear" w:color="auto" w:fill="auto"/>
          </w:tcPr>
          <w:p w:rsidR="0017135D" w:rsidRPr="00F32A72" w:rsidP="00E46A2C">
            <w:pPr>
              <w:pStyle w:val="CSManNum8pt"/>
            </w:pPr>
            <w:r w:rsidRPr="00F32A72">
              <w:t>(b)</w:t>
            </w:r>
            <w:r w:rsidRPr="00F32A72">
              <w:tab/>
              <w:t>For purposes of identification of the Non-Standard Reference Obligation, any change in the Non-Standard Reference Obligation's CUSIP or ISIN number or other similar identifier will not, in and of itself, constitute a Substitution Event.</w:t>
            </w:r>
          </w:p>
        </w:tc>
        <w:tc>
          <w:tcPr>
            <w:tcW w:w="1618" w:type="dxa"/>
            <w:gridSpan w:val="2"/>
            <w:tcBorders>
              <w:top w:val="nil"/>
              <w:bottom w:val="nil"/>
              <w:right w:val="nil"/>
            </w:tcBorders>
            <w:shd w:val="clear" w:color="auto" w:fill="auto"/>
          </w:tcPr>
          <w:p w:rsidR="0017135D" w:rsidRPr="00F32A72" w:rsidP="00E46A2C">
            <w:pPr>
              <w:pStyle w:val="CSManNum8pt"/>
              <w:rPr>
                <w:i/>
              </w:rPr>
            </w:pPr>
          </w:p>
        </w:tc>
        <w:tc>
          <w:tcPr>
            <w:tcW w:w="3318" w:type="dxa"/>
            <w:tcBorders>
              <w:top w:val="nil"/>
              <w:left w:val="nil"/>
              <w:bottom w:val="nil"/>
              <w:right w:val="nil"/>
            </w:tcBorders>
            <w:shd w:val="clear" w:color="auto" w:fill="auto"/>
          </w:tcPr>
          <w:p w:rsidR="0017135D" w:rsidRPr="00F32A72" w:rsidP="00E46A2C">
            <w:pPr>
              <w:pStyle w:val="CSManNum8pt"/>
              <w:rPr>
                <w:bCs/>
                <w:lang w:val="de-DE"/>
              </w:rPr>
            </w:pPr>
            <w:r w:rsidRPr="00F32A72">
              <w:rPr>
                <w:bCs/>
                <w:lang w:val="de-DE"/>
              </w:rPr>
              <w:t>(b)</w:t>
            </w:r>
            <w:r w:rsidRPr="00F32A72">
              <w:rPr>
                <w:bCs/>
                <w:lang w:val="de-DE"/>
              </w:rPr>
              <w:tab/>
              <w:t>Für die Zwecke der Auswahl der Nicht-Standard-Referenzverbindlichkeit gilt: Eine Änderung der CUSIP oder ISIN der Nicht-Standard-Referenzverbindlichkeit oder einer vergleichbaren Kennnummer allein stellt kein Ersetzungsereignis dar.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32A72" w:rsidP="00A457E7">
            <w:pPr>
              <w:pStyle w:val="CSBody0"/>
              <w:rPr>
                <w:lang w:val="de-DE"/>
              </w:rPr>
            </w:pPr>
          </w:p>
        </w:tc>
        <w:tc>
          <w:tcPr>
            <w:tcW w:w="3315" w:type="dxa"/>
            <w:gridSpan w:val="2"/>
            <w:tcBorders>
              <w:top w:val="nil"/>
              <w:left w:val="nil"/>
              <w:bottom w:val="nil"/>
            </w:tcBorders>
            <w:shd w:val="clear" w:color="auto" w:fill="auto"/>
          </w:tcPr>
          <w:p w:rsidR="0017135D" w:rsidRPr="00F32A72" w:rsidP="00E46A2C">
            <w:pPr>
              <w:pStyle w:val="CSManNum8pt"/>
            </w:pPr>
            <w:r w:rsidRPr="00F32A72">
              <w:t>(c)</w:t>
            </w:r>
            <w:r w:rsidRPr="00F32A72">
              <w:tab/>
              <w:t xml:space="preserve">If an event described in clauses (a)(i) or (ii) above has occurred on or prior to the </w:t>
            </w:r>
            <w:r w:rsidRPr="00792D61">
              <w:rPr>
                <w:b/>
              </w:rPr>
              <w:t>[</w:t>
            </w:r>
            <w:r w:rsidRPr="00F32A72">
              <w:t>Issue</w:t>
            </w:r>
            <w:r w:rsidRPr="00792D61">
              <w:rPr>
                <w:b/>
              </w:rPr>
              <w:t>][</w:t>
            </w:r>
            <w:r w:rsidRPr="00F32A72">
              <w:t>Trade</w:t>
            </w:r>
            <w:r w:rsidRPr="00792D61">
              <w:rPr>
                <w:b/>
              </w:rPr>
              <w:t>]</w:t>
            </w:r>
            <w:r w:rsidRPr="00F32A72">
              <w:t xml:space="preserve"> Date, then a Substitution Event shall be deemed to have occurred pursuant to clauses (a)(i) or (ii), as the case may be, on the </w:t>
            </w:r>
            <w:r w:rsidRPr="00792D61">
              <w:rPr>
                <w:b/>
              </w:rPr>
              <w:t>[</w:t>
            </w:r>
            <w:r w:rsidRPr="00F32A72">
              <w:t>Issue</w:t>
            </w:r>
            <w:r w:rsidRPr="00792D61">
              <w:rPr>
                <w:b/>
              </w:rPr>
              <w:t>][</w:t>
            </w:r>
            <w:r w:rsidRPr="00F32A72">
              <w:t>Trade</w:t>
            </w:r>
            <w:r w:rsidRPr="00792D61">
              <w:rPr>
                <w:b/>
              </w:rPr>
              <w:t>]</w:t>
            </w:r>
            <w:r w:rsidRPr="00F32A72">
              <w:t xml:space="preserve"> Date.</w:t>
            </w:r>
            <w:r w:rsidRPr="00792D61">
              <w:rPr>
                <w:b/>
              </w:rPr>
              <w:t>]</w:t>
            </w:r>
          </w:p>
        </w:tc>
        <w:tc>
          <w:tcPr>
            <w:tcW w:w="1618" w:type="dxa"/>
            <w:gridSpan w:val="2"/>
            <w:tcBorders>
              <w:top w:val="nil"/>
              <w:bottom w:val="nil"/>
              <w:right w:val="nil"/>
            </w:tcBorders>
            <w:shd w:val="clear" w:color="auto" w:fill="auto"/>
          </w:tcPr>
          <w:p w:rsidR="0017135D" w:rsidRPr="00F32A72" w:rsidP="00E46A2C">
            <w:pPr>
              <w:pStyle w:val="CSManNum8pt"/>
              <w:rPr>
                <w:i/>
              </w:rPr>
            </w:pPr>
          </w:p>
        </w:tc>
        <w:tc>
          <w:tcPr>
            <w:tcW w:w="3318" w:type="dxa"/>
            <w:tcBorders>
              <w:top w:val="nil"/>
              <w:left w:val="nil"/>
              <w:bottom w:val="nil"/>
              <w:right w:val="nil"/>
            </w:tcBorders>
            <w:shd w:val="clear" w:color="auto" w:fill="auto"/>
          </w:tcPr>
          <w:p w:rsidR="0017135D" w:rsidRPr="00921F8E" w:rsidP="00921F8E">
            <w:pPr>
              <w:pStyle w:val="CSManNum8pt"/>
              <w:rPr>
                <w:bCs/>
                <w:lang w:val="de-DE"/>
              </w:rPr>
            </w:pPr>
            <w:r w:rsidRPr="00F32A72">
              <w:rPr>
                <w:bCs/>
                <w:lang w:val="de-DE"/>
              </w:rPr>
              <w:t>(c)</w:t>
            </w:r>
            <w:r w:rsidRPr="00F32A72">
              <w:rPr>
                <w:bCs/>
                <w:lang w:val="de-DE"/>
              </w:rPr>
              <w:tab/>
              <w:t xml:space="preserve">Tritt an oder vor dem </w:t>
            </w:r>
            <w:r w:rsidRPr="00792D61">
              <w:rPr>
                <w:b/>
                <w:bCs/>
                <w:lang w:val="de-DE"/>
              </w:rPr>
              <w:t>[</w:t>
            </w:r>
            <w:r w:rsidRPr="00F32A72">
              <w:rPr>
                <w:bCs/>
                <w:lang w:val="de-DE"/>
              </w:rPr>
              <w:t>Emissionstag</w:t>
            </w:r>
            <w:r w:rsidRPr="00792D61">
              <w:rPr>
                <w:b/>
                <w:bCs/>
                <w:lang w:val="de-DE"/>
              </w:rPr>
              <w:t>][</w:t>
            </w:r>
            <w:r w:rsidRPr="00F32A72">
              <w:rPr>
                <w:bCs/>
                <w:lang w:val="de-DE"/>
              </w:rPr>
              <w:t>Abschlusstag</w:t>
            </w:r>
            <w:r w:rsidRPr="00792D61">
              <w:rPr>
                <w:b/>
                <w:bCs/>
                <w:lang w:val="de-DE"/>
              </w:rPr>
              <w:t>]</w:t>
            </w:r>
            <w:r w:rsidRPr="00F32A72">
              <w:rPr>
                <w:bCs/>
                <w:lang w:val="de-DE"/>
              </w:rPr>
              <w:t xml:space="preserve"> eines der vorstehend in Absatz (a)(i) oder (ii) beschriebenen Ereignisse ein, so gilt ein Ersetzungsereignis als gemäss Absatz (a)(i) bzw. </w:t>
            </w:r>
            <w:r w:rsidRPr="00921F8E">
              <w:rPr>
                <w:bCs/>
                <w:lang w:val="de-DE"/>
              </w:rPr>
              <w:t xml:space="preserve">(ii) am </w:t>
            </w:r>
            <w:r w:rsidRPr="00792D61">
              <w:rPr>
                <w:b/>
                <w:bCs/>
                <w:lang w:val="de-DE"/>
              </w:rPr>
              <w:t>[</w:t>
            </w:r>
            <w:r w:rsidRPr="00921F8E">
              <w:rPr>
                <w:bCs/>
                <w:lang w:val="de-DE"/>
              </w:rPr>
              <w:t>Emissionstag</w:t>
            </w:r>
            <w:r w:rsidRPr="00792D61">
              <w:rPr>
                <w:b/>
                <w:bCs/>
                <w:lang w:val="de-DE"/>
              </w:rPr>
              <w:t>][</w:t>
            </w:r>
            <w:r w:rsidRPr="00921F8E">
              <w:rPr>
                <w:bCs/>
                <w:lang w:val="de-DE"/>
              </w:rPr>
              <w:t>Abschlusstag</w:t>
            </w:r>
            <w:r w:rsidRPr="00792D61">
              <w:rPr>
                <w:b/>
                <w:bCs/>
                <w:lang w:val="de-DE"/>
              </w:rPr>
              <w:t>]</w:t>
            </w:r>
            <w:r w:rsidRPr="00921F8E">
              <w:rPr>
                <w:bCs/>
                <w:lang w:val="de-DE"/>
              </w:rPr>
              <w:t xml:space="preserve"> eingetreten.</w:t>
            </w:r>
            <w:r w:rsidRPr="00792D61">
              <w:rPr>
                <w:b/>
                <w:bCs/>
                <w:lang w:val="de-DE"/>
              </w:rPr>
              <w:t>]</w:t>
            </w:r>
          </w:p>
        </w:tc>
      </w:tr>
      <w:tr w:rsidTr="004C1EBA">
        <w:tblPrEx>
          <w:tblW w:w="4999" w:type="pct"/>
          <w:tblLayout w:type="fixed"/>
          <w:tblCellMar>
            <w:left w:w="115" w:type="dxa"/>
            <w:right w:w="115" w:type="dxa"/>
          </w:tblCellMar>
          <w:tblLook w:val="04A0"/>
        </w:tblPrEx>
        <w:trPr>
          <w:trHeight w:val="2404"/>
        </w:trPr>
        <w:tc>
          <w:tcPr>
            <w:tcW w:w="1616" w:type="dxa"/>
            <w:gridSpan w:val="3"/>
            <w:tcBorders>
              <w:top w:val="nil"/>
              <w:left w:val="nil"/>
              <w:right w:val="nil"/>
            </w:tcBorders>
            <w:shd w:val="clear" w:color="auto" w:fill="auto"/>
          </w:tcPr>
          <w:p w:rsidR="0017135D" w:rsidRPr="00F32A72" w:rsidP="00E46A2C">
            <w:pPr>
              <w:pStyle w:val="CSBody8ptbolditalics"/>
            </w:pPr>
            <w:r w:rsidRPr="00792D61">
              <w:t>[</w:t>
            </w:r>
            <w:r w:rsidRPr="00F32A72">
              <w:t xml:space="preserve">if </w:t>
            </w:r>
            <w:r>
              <w:t xml:space="preserve">Non-Standard </w:t>
            </w:r>
            <w:r w:rsidRPr="00F32A72">
              <w:t>Reference Obligation is specified in Section 1.1., insert:</w:t>
            </w:r>
          </w:p>
          <w:p w:rsidR="0017135D" w:rsidRPr="00F32A72" w:rsidP="00E46A2C">
            <w:pPr>
              <w:pStyle w:val="CSBody8pt"/>
            </w:pPr>
            <w:r w:rsidRPr="00E241DB">
              <w:t>Substitution Event Date</w:t>
            </w:r>
            <w:r>
              <w:fldChar w:fldCharType="begin"/>
            </w:r>
            <w:r>
              <w:instrText xml:space="preserve"> XE "</w:instrText>
            </w:r>
            <w:r w:rsidRPr="00D94987">
              <w:instrText>Substitution Event Date</w:instrText>
            </w:r>
            <w:r>
              <w:instrText xml:space="preserve">" \f "EN" </w:instrText>
            </w:r>
            <w:r>
              <w:fldChar w:fldCharType="end"/>
            </w:r>
          </w:p>
        </w:tc>
        <w:tc>
          <w:tcPr>
            <w:tcW w:w="3315" w:type="dxa"/>
            <w:gridSpan w:val="2"/>
            <w:tcBorders>
              <w:top w:val="nil"/>
              <w:left w:val="nil"/>
            </w:tcBorders>
            <w:shd w:val="clear" w:color="auto" w:fill="auto"/>
          </w:tcPr>
          <w:p w:rsidR="0017135D" w:rsidRPr="00F32A72" w:rsidP="00E46A2C">
            <w:pPr>
              <w:pStyle w:val="CSBody8pt"/>
            </w:pPr>
            <w:r w:rsidRPr="00F32A72">
              <w:t>with respect to the Reference Obligation, the date of the occurrence of the relevant Substitution Event.</w:t>
            </w:r>
            <w:r w:rsidRPr="00792D61">
              <w:rPr>
                <w:b/>
              </w:rPr>
              <w:t>]</w:t>
            </w:r>
          </w:p>
        </w:tc>
        <w:tc>
          <w:tcPr>
            <w:tcW w:w="1618" w:type="dxa"/>
            <w:gridSpan w:val="2"/>
            <w:tcBorders>
              <w:top w:val="nil"/>
              <w:right w:val="nil"/>
            </w:tcBorders>
            <w:shd w:val="clear" w:color="auto" w:fill="auto"/>
          </w:tcPr>
          <w:p w:rsidR="0017135D" w:rsidRPr="00F32A72" w:rsidP="00E46A2C">
            <w:pPr>
              <w:pStyle w:val="CSBody8ptbolditalics"/>
              <w:rPr>
                <w:lang w:val="de-DE"/>
              </w:rPr>
            </w:pPr>
            <w:r w:rsidRPr="00792D61">
              <w:rPr>
                <w:lang w:val="de-DE"/>
              </w:rPr>
              <w:t>[</w:t>
            </w:r>
            <w:r w:rsidRPr="00F32A72">
              <w:rPr>
                <w:lang w:val="de-DE"/>
              </w:rPr>
              <w:t xml:space="preserve">falls </w:t>
            </w:r>
            <w:r>
              <w:rPr>
                <w:lang w:val="de-DE"/>
              </w:rPr>
              <w:t>Nicht-Standard-</w:t>
            </w:r>
            <w:r w:rsidRPr="00F32A72">
              <w:rPr>
                <w:lang w:val="de-DE"/>
              </w:rPr>
              <w:t>Referenzverbindlichkeit in Ziffer 1.1 angegeben ist, einfügen:</w:t>
            </w:r>
          </w:p>
          <w:p w:rsidR="0017135D" w:rsidRPr="00F32A72" w:rsidP="00A35A51">
            <w:pPr>
              <w:pStyle w:val="CSBody8pt"/>
              <w:rPr>
                <w:lang w:val="de-DE"/>
              </w:rPr>
            </w:pPr>
            <w:r w:rsidRPr="00E241DB">
              <w:t>Ersetzungs</w:t>
            </w:r>
            <w:r w:rsidRPr="00E241DB">
              <w:softHyphen/>
              <w:t>ereignistag</w:t>
            </w:r>
            <w:r>
              <w:fldChar w:fldCharType="begin"/>
            </w:r>
            <w:r>
              <w:instrText xml:space="preserve"> XE "</w:instrText>
            </w:r>
            <w:r w:rsidRPr="00E026B6">
              <w:instrText>Ersetzungs</w:instrText>
            </w:r>
            <w:r w:rsidRPr="00E026B6">
              <w:softHyphen/>
              <w:instrText>ereignistag</w:instrText>
            </w:r>
            <w:r>
              <w:instrText xml:space="preserve">" </w:instrText>
            </w:r>
            <w:r>
              <w:fldChar w:fldCharType="end"/>
            </w:r>
          </w:p>
        </w:tc>
        <w:tc>
          <w:tcPr>
            <w:tcW w:w="3318" w:type="dxa"/>
            <w:tcBorders>
              <w:top w:val="nil"/>
              <w:left w:val="nil"/>
              <w:right w:val="nil"/>
            </w:tcBorders>
            <w:shd w:val="clear" w:color="auto" w:fill="auto"/>
          </w:tcPr>
          <w:p w:rsidR="0017135D" w:rsidRPr="00F32A72" w:rsidP="00E46A2C">
            <w:pPr>
              <w:pStyle w:val="CSBody8pt"/>
              <w:rPr>
                <w:bCs/>
                <w:lang w:val="de-DE"/>
              </w:rPr>
            </w:pPr>
            <w:r w:rsidRPr="00F32A72">
              <w:rPr>
                <w:bCs/>
                <w:lang w:val="de-DE"/>
              </w:rPr>
              <w:t>in Bezug auf die Referenzverbindlichkeit der Tag des Eintritts des jeweiligen Ersetzungsereignisses.</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E241DB" w:rsidP="00E46A2C">
            <w:pPr>
              <w:pStyle w:val="CSBody8pt"/>
            </w:pPr>
            <w:r w:rsidRPr="00E241DB">
              <w:t>succeed</w:t>
            </w:r>
            <w:r>
              <w:fldChar w:fldCharType="begin"/>
            </w:r>
            <w:r>
              <w:instrText xml:space="preserve"> XE "</w:instrText>
            </w:r>
            <w:r w:rsidRPr="00C2785A">
              <w:instrText>succeed</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E241DB" w:rsidP="00E46A2C">
            <w:pPr>
              <w:pStyle w:val="CSBody8pt"/>
            </w:pPr>
            <w:r w:rsidRPr="00E241DB">
              <w:t xml:space="preserve">for purposes of the definition of "Successor" and with respect to any Reference Entity and its Relevant Obligations, that an entity other than the Reference Entity (a) assumes or becomes liable for such Relevant Obligations whether by operation of law or pursuant to any agreement </w:t>
            </w:r>
            <w:r w:rsidRPr="00792D61">
              <w:rPr>
                <w:b/>
              </w:rPr>
              <w:t>[</w:t>
            </w:r>
            <w:r w:rsidRPr="00E241DB">
              <w:rPr>
                <w:b/>
                <w:i/>
              </w:rPr>
              <w:t>where the Reference Entity is a Sovereign, insert:</w:t>
            </w:r>
            <w:r w:rsidRPr="00E241DB">
              <w:t xml:space="preserve">  (including any protocol, treaty, convention, accord, concord, entente, pact or other agreement)</w:t>
            </w:r>
            <w:r w:rsidRPr="00792D61">
              <w:rPr>
                <w:b/>
              </w:rPr>
              <w:t>]</w:t>
            </w:r>
            <w:r w:rsidRPr="00E241DB">
              <w:t xml:space="preserve"> or (b) issues Bonds or incurs Loans (the "</w:t>
            </w:r>
            <w:r w:rsidRPr="00E241DB">
              <w:rPr>
                <w:b/>
              </w:rPr>
              <w:t>Exchange Bonds or Loans</w:t>
            </w:r>
            <w:r w:rsidRPr="00E241DB">
              <w:t xml:space="preserve">"), as applicable that are exchanged for Relevant Obligations, and in either case the Reference Entity is not thereafter a direct obligor or a provider of a Relevant Guarantee with respect to such Relevant Obligations or such Exchange Bonds or Loans, as applicable. The terms </w:t>
            </w:r>
            <w:r>
              <w:t>"</w:t>
            </w:r>
            <w:r w:rsidRPr="00E241DB">
              <w:rPr>
                <w:b/>
              </w:rPr>
              <w:t>succeeded</w:t>
            </w:r>
            <w:r>
              <w:t>"</w:t>
            </w:r>
            <w:r w:rsidRPr="00E241DB">
              <w:t xml:space="preserve"> and </w:t>
            </w:r>
            <w:r>
              <w:t>"</w:t>
            </w:r>
            <w:r w:rsidRPr="00E241DB">
              <w:rPr>
                <w:b/>
              </w:rPr>
              <w:t>succession</w:t>
            </w:r>
            <w:r>
              <w:t>"</w:t>
            </w:r>
            <w:r w:rsidRPr="00E241DB">
              <w:t xml:space="preserve"> shall be construed accordingly.</w:t>
            </w:r>
          </w:p>
        </w:tc>
        <w:tc>
          <w:tcPr>
            <w:tcW w:w="1618" w:type="dxa"/>
            <w:gridSpan w:val="2"/>
            <w:tcBorders>
              <w:top w:val="nil"/>
              <w:bottom w:val="nil"/>
              <w:right w:val="nil"/>
            </w:tcBorders>
            <w:shd w:val="clear" w:color="auto" w:fill="auto"/>
          </w:tcPr>
          <w:p w:rsidR="0017135D" w:rsidRPr="00E241DB" w:rsidP="00E46A2C">
            <w:pPr>
              <w:pStyle w:val="CSBody8pt"/>
            </w:pPr>
            <w:r w:rsidRPr="00E241DB">
              <w:t>Übernehmen</w:t>
            </w:r>
            <w:r>
              <w:fldChar w:fldCharType="begin"/>
            </w:r>
            <w:r>
              <w:instrText xml:space="preserve"> XE "</w:instrText>
            </w:r>
            <w:r w:rsidRPr="0075144E">
              <w:instrText>Übernehmen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07533B" w:rsidP="00015A2C">
            <w:pPr>
              <w:pStyle w:val="CSBody8pt"/>
              <w:rPr>
                <w:lang w:val="de-DE"/>
              </w:rPr>
            </w:pPr>
            <w:r w:rsidRPr="00E241DB">
              <w:rPr>
                <w:lang w:val="de-DE"/>
              </w:rPr>
              <w:t>im Sinne der Definition "</w:t>
            </w:r>
            <w:r>
              <w:rPr>
                <w:lang w:val="de-DE"/>
              </w:rPr>
              <w:t>Rechtsn</w:t>
            </w:r>
            <w:r w:rsidRPr="00E241DB">
              <w:rPr>
                <w:lang w:val="de-DE"/>
              </w:rPr>
              <w:t xml:space="preserve">achfolger" und in Bezug auf einen Referenzschuldner und seine Massgeblichen Verbindlichkeiten der Umstand, dass ein anderer Rechtsträger als der Referenzschuldner (a) in diese Massgeblichen Verbindlichkeiten eintritt oder dafür haftet, sei es kraft Gesetzes oder durch Vertrag </w:t>
            </w:r>
            <w:r w:rsidRPr="00792D61">
              <w:rPr>
                <w:b/>
                <w:lang w:val="de-DE"/>
              </w:rPr>
              <w:t>[</w:t>
            </w:r>
            <w:r w:rsidRPr="00E241DB">
              <w:rPr>
                <w:b/>
                <w:i/>
                <w:lang w:val="de-DE"/>
              </w:rPr>
              <w:t>falls der Referenzschuldner ein Staat ist, einfügen:</w:t>
            </w:r>
            <w:r w:rsidRPr="00E241DB">
              <w:rPr>
                <w:lang w:val="de-DE"/>
              </w:rPr>
              <w:t xml:space="preserve"> (wobei dies auch Protokolle, Abkommen, Übereinkommen, Übereinkünfte, Verständigungen, Bündnisse, Pakte oder sonstige Vereinbarungen einschliesst)</w:t>
            </w:r>
            <w:r w:rsidRPr="00792D61">
              <w:rPr>
                <w:b/>
                <w:lang w:val="de-DE"/>
              </w:rPr>
              <w:t>]</w:t>
            </w:r>
            <w:r w:rsidRPr="00E241DB">
              <w:rPr>
                <w:lang w:val="de-DE"/>
              </w:rPr>
              <w:t>, oder (b) Anleihen begibt oder Darlehen aufnimmt (die "</w:t>
            </w:r>
            <w:r w:rsidRPr="00E241DB">
              <w:rPr>
                <w:b/>
                <w:lang w:val="de-DE"/>
              </w:rPr>
              <w:t>Umtauschanleihen oder –darlehen</w:t>
            </w:r>
            <w:r w:rsidRPr="00E241DB">
              <w:rPr>
                <w:lang w:val="de-DE"/>
              </w:rPr>
              <w:t xml:space="preserve">"), die in Massgebliche Verbindlichkeiten umgetauscht werden, woraufhin der Referenzschuldner in beiden Fällen danach in Bezug auf die betreffenden Massgeblichen Verbindlichkeiten bzw. die Umtauschanleihen oder  darlehen (bzw. Verbindlichkeiten) weder unmittelbar noch als Geber einer Massgeblichen Garantie Schuldner ist. </w:t>
            </w:r>
            <w:r w:rsidRPr="0007533B">
              <w:rPr>
                <w:lang w:val="de-DE"/>
              </w:rPr>
              <w:t>Die Begriffe "</w:t>
            </w:r>
            <w:r w:rsidRPr="0007533B">
              <w:rPr>
                <w:b/>
                <w:lang w:val="de-DE"/>
              </w:rPr>
              <w:t>übernommen</w:t>
            </w:r>
            <w:r w:rsidRPr="0007533B">
              <w:rPr>
                <w:lang w:val="de-DE"/>
              </w:rPr>
              <w:t>" und "</w:t>
            </w:r>
            <w:r w:rsidR="00015A2C">
              <w:rPr>
                <w:b/>
                <w:lang w:val="de-DE"/>
              </w:rPr>
              <w:t>Rechtsnachfolgevorgang</w:t>
            </w:r>
            <w:r w:rsidRPr="0007533B">
              <w:rPr>
                <w:lang w:val="de-DE"/>
              </w:rPr>
              <w:t>" sind entsprechend auszulegen.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A1110" w:rsidP="00E46A2C">
            <w:pPr>
              <w:pStyle w:val="CSBody8pt"/>
            </w:pPr>
            <w:r w:rsidRPr="00AA1110">
              <w:t>Successor Backstop Date</w:t>
            </w:r>
            <w:r>
              <w:fldChar w:fldCharType="begin"/>
            </w:r>
            <w:r>
              <w:instrText xml:space="preserve"> XE "</w:instrText>
            </w:r>
            <w:r w:rsidRPr="00D263CD">
              <w:instrText>Successor Backstop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AA1110" w:rsidP="00E46A2C">
            <w:pPr>
              <w:pStyle w:val="CSBody8pt"/>
            </w:pPr>
            <w:r w:rsidRPr="00AA1110">
              <w:t xml:space="preserve">for purposes of any Successor determination determined by DC Resolution, the date that is ninety calendar days prior to the Successor Resolution Request Date otherwise, the date that is ninety calendar days prior to the earlier of (i) the date on which the Successor Notice is effective and (ii) in circumstances where (A) a Successor Resolution Request Date has occurred, (B) the relevant Credit Derivatives Determinations Committee has Resolved not to make a Successor determination and (C) the Successor Notice is delivered by the Issuer to the Holders and the Calculation Agent not more than fourteen calendar days after the day on which the DC Secretary publicly announces that the relevant Credit Derivatives Determinations Committee has Resolved not to make a Successor determination, the Successor Resolution Request Date. The Successor Backstop Date shall not be subject to adjustment in accordance with any Business Day Convention. </w:t>
            </w:r>
          </w:p>
        </w:tc>
        <w:tc>
          <w:tcPr>
            <w:tcW w:w="1618" w:type="dxa"/>
            <w:gridSpan w:val="2"/>
            <w:tcBorders>
              <w:top w:val="nil"/>
              <w:bottom w:val="nil"/>
              <w:right w:val="nil"/>
            </w:tcBorders>
            <w:shd w:val="clear" w:color="auto" w:fill="auto"/>
          </w:tcPr>
          <w:p w:rsidR="0017135D" w:rsidRPr="00AA1110" w:rsidP="004C1EBA">
            <w:pPr>
              <w:pStyle w:val="CSBody8pt"/>
            </w:pPr>
            <w:r w:rsidRPr="00AA1110">
              <w:t xml:space="preserve">Rückschau-Stichtag bei </w:t>
            </w:r>
            <w:r>
              <w:t>Rechtsn</w:t>
            </w:r>
            <w:r w:rsidRPr="00AA1110">
              <w:t>achfolge</w:t>
            </w:r>
            <w:r>
              <w:fldChar w:fldCharType="begin"/>
            </w:r>
            <w:r>
              <w:instrText xml:space="preserve"> XE "</w:instrText>
            </w:r>
            <w:r w:rsidRPr="00194019">
              <w:instrText xml:space="preserve">Rückschau-Stichtag bei </w:instrText>
            </w:r>
            <w:r>
              <w:instrText>Rechtsn</w:instrText>
            </w:r>
            <w:r w:rsidRPr="00194019">
              <w:instrText>achfolge</w:instrText>
            </w:r>
            <w:r>
              <w:instrText xml:space="preserve">" </w:instrText>
            </w:r>
            <w:r>
              <w:fldChar w:fldCharType="end"/>
            </w:r>
          </w:p>
        </w:tc>
        <w:tc>
          <w:tcPr>
            <w:tcW w:w="3318" w:type="dxa"/>
            <w:tcBorders>
              <w:top w:val="nil"/>
              <w:left w:val="nil"/>
              <w:bottom w:val="nil"/>
              <w:right w:val="nil"/>
            </w:tcBorders>
            <w:shd w:val="clear" w:color="auto" w:fill="auto"/>
          </w:tcPr>
          <w:p w:rsidR="0017135D" w:rsidRPr="00AA1110" w:rsidP="004C1EBA">
            <w:pPr>
              <w:pStyle w:val="CSBody8pt"/>
              <w:rPr>
                <w:lang w:val="de-DE"/>
              </w:rPr>
            </w:pPr>
            <w:r w:rsidRPr="00AA1110">
              <w:rPr>
                <w:lang w:val="de-DE"/>
              </w:rPr>
              <w:t xml:space="preserve">für die Zwecke der Feststellung eines </w:t>
            </w:r>
            <w:r w:rsidRPr="001B6411">
              <w:rPr>
                <w:lang w:val="de-DE"/>
              </w:rPr>
              <w:t>Rechtsn</w:t>
            </w:r>
            <w:r w:rsidRPr="00AA1110">
              <w:rPr>
                <w:lang w:val="de-DE"/>
              </w:rPr>
              <w:t xml:space="preserve">achfolgers durch Feststellungsausschussbeschluss der 90. Kalendertag vor dem </w:t>
            </w:r>
            <w:r w:rsidRPr="001B6411">
              <w:rPr>
                <w:lang w:val="de-DE"/>
              </w:rPr>
              <w:t>Rechtsn</w:t>
            </w:r>
            <w:r w:rsidRPr="00AA1110">
              <w:rPr>
                <w:lang w:val="de-DE"/>
              </w:rPr>
              <w:t xml:space="preserve">achfolgebeschluss-Antragsdatum oder in allen anderen Fällen der 90. Kalendertag vor dem früheren der folgenden Termine: (i) dem Tag, an dem die </w:t>
            </w:r>
            <w:r>
              <w:rPr>
                <w:lang w:val="de-DE"/>
              </w:rPr>
              <w:t>Rechtsnachfolge-Mitteilung</w:t>
            </w:r>
            <w:r w:rsidRPr="00AA1110">
              <w:rPr>
                <w:lang w:val="de-DE"/>
              </w:rPr>
              <w:t xml:space="preserve"> wirksam wird, oder (ii) in Fällen, in denen (A) ein </w:t>
            </w:r>
            <w:r w:rsidRPr="001B6411">
              <w:rPr>
                <w:lang w:val="de-DE"/>
              </w:rPr>
              <w:t>Rechtsn</w:t>
            </w:r>
            <w:r w:rsidRPr="00AA1110">
              <w:rPr>
                <w:lang w:val="de-DE"/>
              </w:rPr>
              <w:t xml:space="preserve">achfolgebeschluss-Antragsdatum eingetreten ist, (B) der zuständige Kreditderivate-Feststellungsausschuss Beschlossen hat, keine Feststellung hinsichtlich eines </w:t>
            </w:r>
            <w:r w:rsidRPr="001B6411">
              <w:rPr>
                <w:lang w:val="de-DE"/>
              </w:rPr>
              <w:t>Rechtsn</w:t>
            </w:r>
            <w:r w:rsidRPr="00AA1110">
              <w:rPr>
                <w:lang w:val="de-DE"/>
              </w:rPr>
              <w:t xml:space="preserve">achfolgers zu treffen, und (C) die </w:t>
            </w:r>
            <w:r>
              <w:rPr>
                <w:lang w:val="de-DE"/>
              </w:rPr>
              <w:t>Rechtsnachfolge-Mitteilung</w:t>
            </w:r>
            <w:r w:rsidRPr="00AA1110">
              <w:rPr>
                <w:lang w:val="de-DE"/>
              </w:rPr>
              <w:t xml:space="preserve"> von der Emittentin an die Inhaber und die Berechnungsstelle innerhalb von 14 Kalendertagen nach dem Tag übermittelt wurde, an dem der Secretary öffentlich bekannt gegeben hat, dass der zuständige Kreditderivate-Feststellungs-ausschuss Beschlossen hat, keine Feststellung hinsichtlich eines </w:t>
            </w:r>
            <w:r w:rsidRPr="001B6411">
              <w:rPr>
                <w:lang w:val="de-DE"/>
              </w:rPr>
              <w:t>Rechtsn</w:t>
            </w:r>
            <w:r w:rsidRPr="00AA1110">
              <w:rPr>
                <w:lang w:val="de-DE"/>
              </w:rPr>
              <w:t xml:space="preserve">achfolgers zu treffen, das </w:t>
            </w:r>
            <w:r w:rsidRPr="001B6411">
              <w:rPr>
                <w:lang w:val="de-DE"/>
              </w:rPr>
              <w:t>Rechtsn</w:t>
            </w:r>
            <w:r w:rsidRPr="00AA1110">
              <w:rPr>
                <w:lang w:val="de-DE"/>
              </w:rPr>
              <w:t xml:space="preserve">achfolgebeschluss-Antragsdatum. Der Rückschau-Stichtag bei </w:t>
            </w:r>
            <w:r>
              <w:rPr>
                <w:lang w:val="de-DE"/>
              </w:rPr>
              <w:t>Rechtsn</w:t>
            </w:r>
            <w:r w:rsidRPr="00AA1110">
              <w:rPr>
                <w:lang w:val="de-DE"/>
              </w:rPr>
              <w:t>achfolge unterliegt keiner Anpassung gemäss einer Geschäftstag-Konvention.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A1110" w:rsidP="00E46A2C">
            <w:pPr>
              <w:pStyle w:val="CSBody8pt"/>
            </w:pPr>
            <w:r w:rsidRPr="00AA1110">
              <w:t>Succession Date</w:t>
            </w:r>
            <w:r>
              <w:fldChar w:fldCharType="begin"/>
            </w:r>
            <w:r>
              <w:instrText xml:space="preserve"> XE "</w:instrText>
            </w:r>
            <w:r w:rsidRPr="00277374">
              <w:instrText>Succession Date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AA1110" w:rsidP="00E46A2C">
            <w:pPr>
              <w:pStyle w:val="CSBody8pt"/>
            </w:pPr>
            <w:r w:rsidRPr="00AA1110">
              <w:t>the legally effective date of an event in which one or more entities succeed to some or all of the Relevant Obligations of the Reference Entity; provided that if at such time, there is a Steps Plan, the Succession Date will be the legally effective date of the final succession in respect of such Steps Plan, or if earlier (i) the date on which a determination pursuant to clause (a) of the definition "Successor" would not be affected by any further related successions in respect of such Steps Plan, or (ii) the occurrence of an Credit Event Determination Date in respect of the Reference Entity or any entity which would constitute a Successor.</w:t>
            </w:r>
          </w:p>
        </w:tc>
        <w:tc>
          <w:tcPr>
            <w:tcW w:w="1618" w:type="dxa"/>
            <w:gridSpan w:val="2"/>
            <w:tcBorders>
              <w:top w:val="nil"/>
              <w:bottom w:val="nil"/>
              <w:right w:val="nil"/>
            </w:tcBorders>
            <w:shd w:val="clear" w:color="auto" w:fill="auto"/>
          </w:tcPr>
          <w:p w:rsidR="0017135D" w:rsidRPr="00AA1110" w:rsidP="004C1EBA">
            <w:pPr>
              <w:pStyle w:val="CSBody8pt"/>
            </w:pPr>
            <w:r>
              <w:t>Rechtsn</w:t>
            </w:r>
            <w:r w:rsidRPr="00AA1110">
              <w:t>achfolgetag</w:t>
            </w:r>
            <w:r>
              <w:fldChar w:fldCharType="begin"/>
            </w:r>
            <w:r>
              <w:instrText xml:space="preserve"> XE "Rechtsn</w:instrText>
            </w:r>
            <w:r w:rsidRPr="00BE737F">
              <w:instrText>achfolgetag</w:instrText>
            </w:r>
            <w:r>
              <w:instrText xml:space="preserve">" </w:instrText>
            </w:r>
            <w:r>
              <w:fldChar w:fldCharType="end"/>
            </w:r>
          </w:p>
        </w:tc>
        <w:tc>
          <w:tcPr>
            <w:tcW w:w="3318" w:type="dxa"/>
            <w:tcBorders>
              <w:top w:val="nil"/>
              <w:left w:val="nil"/>
              <w:bottom w:val="nil"/>
              <w:right w:val="nil"/>
            </w:tcBorders>
            <w:shd w:val="clear" w:color="auto" w:fill="auto"/>
          </w:tcPr>
          <w:p w:rsidR="0017135D" w:rsidRPr="00AA1110">
            <w:pPr>
              <w:pStyle w:val="CSBody8pt"/>
              <w:rPr>
                <w:bCs/>
                <w:lang w:val="de-DE"/>
              </w:rPr>
            </w:pPr>
            <w:r w:rsidRPr="00AA1110">
              <w:rPr>
                <w:bCs/>
                <w:lang w:val="de-DE"/>
              </w:rPr>
              <w:t>der Tag der Rechtswirksamkeit eines Ereignisses, bei dem ein oder mehrere Rechtsträger alle oder einzelne Massgebliche Verbindlichkeiten des Referenzschuldners übernehmen, wobei in dem Fall, dass in dem betreffenden Zeitpunkt ein Stufenplan vorliegt, der</w:t>
            </w:r>
            <w:r>
              <w:rPr>
                <w:bCs/>
                <w:lang w:val="de-DE"/>
              </w:rPr>
              <w:t>jenige Tag als</w:t>
            </w:r>
            <w:r w:rsidRPr="00AA1110">
              <w:rPr>
                <w:bCs/>
                <w:lang w:val="de-DE"/>
              </w:rPr>
              <w:t xml:space="preserve"> </w:t>
            </w:r>
            <w:r>
              <w:rPr>
                <w:bCs/>
                <w:lang w:val="de-DE"/>
              </w:rPr>
              <w:t>Rechtsn</w:t>
            </w:r>
            <w:r w:rsidRPr="00AA1110">
              <w:rPr>
                <w:bCs/>
                <w:lang w:val="de-DE"/>
              </w:rPr>
              <w:t>achfolgetag</w:t>
            </w:r>
            <w:r>
              <w:rPr>
                <w:bCs/>
                <w:lang w:val="de-DE"/>
              </w:rPr>
              <w:t xml:space="preserve"> gilt an dem die nach einem solchen Stufenplan vorgesehene letzte </w:t>
            </w:r>
            <w:r w:rsidR="00803C6C">
              <w:rPr>
                <w:bCs/>
                <w:lang w:val="de-DE"/>
              </w:rPr>
              <w:t xml:space="preserve">Rechtsnachfolge </w:t>
            </w:r>
            <w:r>
              <w:rPr>
                <w:bCs/>
                <w:lang w:val="de-DE"/>
              </w:rPr>
              <w:t>rechtswirksam wird</w:t>
            </w:r>
            <w:r w:rsidRPr="00AA1110">
              <w:rPr>
                <w:bCs/>
                <w:lang w:val="de-DE"/>
              </w:rPr>
              <w:t xml:space="preserve"> oder (sofern dies früher eintritt) (i) der Tag, a</w:t>
            </w:r>
            <w:r>
              <w:rPr>
                <w:bCs/>
                <w:lang w:val="de-DE"/>
              </w:rPr>
              <w:t>n</w:t>
            </w:r>
            <w:r w:rsidRPr="00AA1110">
              <w:rPr>
                <w:bCs/>
                <w:lang w:val="de-DE"/>
              </w:rPr>
              <w:t xml:space="preserve"> dem eine Feststellung nach Absatz (a) der Definition  "</w:t>
            </w:r>
            <w:r w:rsidRPr="001B6411">
              <w:rPr>
                <w:bCs/>
                <w:lang w:val="de-DE"/>
              </w:rPr>
              <w:t>Rechtsn</w:t>
            </w:r>
            <w:r w:rsidRPr="00AA1110">
              <w:rPr>
                <w:bCs/>
                <w:lang w:val="de-DE"/>
              </w:rPr>
              <w:t xml:space="preserve">achfolger" nicht durch weitere </w:t>
            </w:r>
            <w:r>
              <w:rPr>
                <w:bCs/>
                <w:lang w:val="de-DE"/>
              </w:rPr>
              <w:t>nach einem solchen Stufenplan vorgesehene</w:t>
            </w:r>
            <w:r w:rsidRPr="00AA1110">
              <w:rPr>
                <w:bCs/>
                <w:lang w:val="de-DE"/>
              </w:rPr>
              <w:t xml:space="preserve"> </w:t>
            </w:r>
            <w:r>
              <w:rPr>
                <w:bCs/>
                <w:lang w:val="de-DE"/>
              </w:rPr>
              <w:t>Rechtsnachfolgen</w:t>
            </w:r>
            <w:r w:rsidRPr="00AA1110">
              <w:rPr>
                <w:bCs/>
                <w:lang w:val="de-DE"/>
              </w:rPr>
              <w:t xml:space="preserve"> beeinflusst würde, oder (ii) der Eintritt eines Kreditereignis-Feststellungstags in Bezug auf den Referenzschuldner oder einen Rechtsträger, der ein </w:t>
            </w:r>
            <w:r w:rsidRPr="001B6411">
              <w:rPr>
                <w:bCs/>
                <w:lang w:val="de-DE"/>
              </w:rPr>
              <w:t>Rechtsn</w:t>
            </w:r>
            <w:r w:rsidRPr="00AA1110">
              <w:rPr>
                <w:bCs/>
                <w:lang w:val="de-DE"/>
              </w:rPr>
              <w:t>achfolger wäre.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A1110">
            <w:pPr>
              <w:pStyle w:val="CSBody8pt"/>
            </w:pPr>
            <w:r w:rsidRPr="00AA1110">
              <w:t>Successor</w:t>
            </w:r>
            <w:r>
              <w:fldChar w:fldCharType="begin"/>
            </w:r>
            <w:r w:rsidR="002C5825">
              <w:instrText xml:space="preserve"> XE "</w:instrText>
            </w:r>
            <w:r w:rsidRPr="00F05D55" w:rsidR="002C5825">
              <w:instrText>Successor</w:instrText>
            </w:r>
            <w:r w:rsidR="002C5825">
              <w:instrText>" \f "EN"</w:instrText>
            </w:r>
            <w:r>
              <w:fldChar w:fldCharType="end"/>
            </w:r>
          </w:p>
        </w:tc>
        <w:tc>
          <w:tcPr>
            <w:tcW w:w="3315" w:type="dxa"/>
            <w:gridSpan w:val="2"/>
            <w:tcBorders>
              <w:top w:val="nil"/>
              <w:left w:val="nil"/>
              <w:bottom w:val="nil"/>
            </w:tcBorders>
            <w:shd w:val="clear" w:color="auto" w:fill="auto"/>
          </w:tcPr>
          <w:p w:rsidR="0017135D" w:rsidRPr="00AA1110" w:rsidP="004D2823">
            <w:pPr>
              <w:pStyle w:val="CSManNum8pt"/>
            </w:pPr>
            <w:r w:rsidRPr="00AA1110">
              <w:t>(i)</w:t>
            </w:r>
            <w:r w:rsidRPr="00AA1110">
              <w:tab/>
              <w:t xml:space="preserve">subject to clause (iii) below, with respect to </w:t>
            </w:r>
            <w:r w:rsidRPr="00792D61">
              <w:rPr>
                <w:b/>
              </w:rPr>
              <w:t>[</w:t>
            </w:r>
            <w:r w:rsidRPr="00AA1110">
              <w:t>i</w:t>
            </w:r>
            <w:r w:rsidRPr="004D2823">
              <w:rPr>
                <w:b/>
                <w:i/>
              </w:rPr>
              <w:t>f a Complex Product is only linked to one Reference Entity, insert:</w:t>
            </w:r>
            <w:r w:rsidRPr="00AA1110">
              <w:t xml:space="preserve"> the</w:t>
            </w:r>
            <w:r w:rsidRPr="00792D61">
              <w:rPr>
                <w:b/>
              </w:rPr>
              <w:t>][</w:t>
            </w:r>
            <w:r w:rsidRPr="00AA1110">
              <w:t>i</w:t>
            </w:r>
            <w:r w:rsidRPr="004D2823">
              <w:rPr>
                <w:b/>
                <w:i/>
              </w:rPr>
              <w:t>f a Basket is applicable or in the case of Complex Products with N</w:t>
            </w:r>
            <w:r w:rsidRPr="00BD6E0D">
              <w:rPr>
                <w:b/>
                <w:i/>
                <w:vertAlign w:val="superscript"/>
              </w:rPr>
              <w:t>th</w:t>
            </w:r>
            <w:r w:rsidRPr="004D2823">
              <w:rPr>
                <w:b/>
                <w:i/>
              </w:rPr>
              <w:t>-to-Default structure, insert:</w:t>
            </w:r>
            <w:r w:rsidRPr="00AA1110">
              <w:t xml:space="preserve"> any</w:t>
            </w:r>
            <w:r w:rsidRPr="00792D61">
              <w:rPr>
                <w:b/>
              </w:rPr>
              <w:t>]</w:t>
            </w:r>
            <w:r w:rsidRPr="00AA1110">
              <w:t xml:space="preserve"> Reference Entity, the entity or enti-ties, if any, determined as set forth below:</w:t>
            </w:r>
          </w:p>
        </w:tc>
        <w:tc>
          <w:tcPr>
            <w:tcW w:w="1618" w:type="dxa"/>
            <w:gridSpan w:val="2"/>
            <w:tcBorders>
              <w:top w:val="nil"/>
              <w:bottom w:val="nil"/>
              <w:right w:val="nil"/>
            </w:tcBorders>
            <w:shd w:val="clear" w:color="auto" w:fill="auto"/>
          </w:tcPr>
          <w:p w:rsidR="0017135D" w:rsidRPr="00AA1110" w:rsidP="00E46A2C">
            <w:pPr>
              <w:pStyle w:val="CSBody8pt"/>
            </w:pPr>
            <w:r>
              <w:t>Rechts</w:t>
            </w:r>
            <w:r w:rsidRPr="00AA1110">
              <w:t>achfolger</w:t>
            </w:r>
            <w:r>
              <w:fldChar w:fldCharType="begin"/>
            </w:r>
            <w:r>
              <w:instrText xml:space="preserve"> XE "Rechtsn</w:instrText>
            </w:r>
            <w:r w:rsidRPr="00E51A3A">
              <w:instrText>achfolger</w:instrText>
            </w:r>
            <w:r>
              <w:instrText xml:space="preserve">" </w:instrText>
            </w:r>
            <w:r>
              <w:fldChar w:fldCharType="end"/>
            </w:r>
          </w:p>
        </w:tc>
        <w:tc>
          <w:tcPr>
            <w:tcW w:w="3318" w:type="dxa"/>
            <w:tcBorders>
              <w:top w:val="nil"/>
              <w:left w:val="nil"/>
              <w:bottom w:val="nil"/>
              <w:right w:val="nil"/>
            </w:tcBorders>
            <w:shd w:val="clear" w:color="auto" w:fill="auto"/>
          </w:tcPr>
          <w:p w:rsidR="0017135D" w:rsidRPr="00F32A72" w:rsidP="00921F8E">
            <w:pPr>
              <w:pStyle w:val="CSManNum8pt"/>
              <w:rPr>
                <w:lang w:val="de-DE"/>
              </w:rPr>
            </w:pPr>
            <w:r w:rsidRPr="00AA1110">
              <w:rPr>
                <w:lang w:val="de-DE"/>
              </w:rPr>
              <w:t>(i)</w:t>
            </w:r>
            <w:r w:rsidRPr="00AA1110">
              <w:rPr>
                <w:lang w:val="de-DE"/>
              </w:rPr>
              <w:tab/>
              <w:t xml:space="preserve">vorbehaltlich des nachstehenden Absatzes (iii), in Bezug auf </w:t>
            </w:r>
            <w:r w:rsidRPr="00792D61">
              <w:rPr>
                <w:b/>
                <w:lang w:val="de-DE"/>
              </w:rPr>
              <w:t>[</w:t>
            </w:r>
            <w:r w:rsidRPr="004D2823">
              <w:rPr>
                <w:b/>
                <w:i/>
                <w:lang w:val="de-DE"/>
              </w:rPr>
              <w:t>falls ein Komplexes Produkt nur an einen Referenzschuldner gekoppelt ist, einfügen:</w:t>
            </w:r>
            <w:r w:rsidRPr="00AA1110">
              <w:rPr>
                <w:lang w:val="de-DE"/>
              </w:rPr>
              <w:t xml:space="preserve"> den</w:t>
            </w:r>
            <w:r w:rsidRPr="00792D61">
              <w:rPr>
                <w:b/>
                <w:lang w:val="de-DE"/>
              </w:rPr>
              <w:t>][</w:t>
            </w:r>
            <w:r w:rsidRPr="004D2823">
              <w:rPr>
                <w:b/>
                <w:i/>
                <w:lang w:val="de-DE"/>
              </w:rPr>
              <w:t>falls ein Korb anwendbar ist oder bei Komplexen Produkten mit N</w:t>
            </w:r>
            <w:r w:rsidRPr="00BD6E0D">
              <w:rPr>
                <w:b/>
                <w:i/>
                <w:vertAlign w:val="superscript"/>
                <w:lang w:val="de-DE"/>
              </w:rPr>
              <w:t>th</w:t>
            </w:r>
            <w:r w:rsidRPr="004D2823">
              <w:rPr>
                <w:b/>
                <w:i/>
                <w:lang w:val="de-DE"/>
              </w:rPr>
              <w:t xml:space="preserve">-to-Default-Struktur, einfügen: </w:t>
            </w:r>
            <w:r w:rsidRPr="00AA1110">
              <w:rPr>
                <w:lang w:val="de-DE"/>
              </w:rPr>
              <w:t>einen</w:t>
            </w:r>
            <w:r w:rsidRPr="00792D61">
              <w:rPr>
                <w:b/>
                <w:lang w:val="de-DE"/>
              </w:rPr>
              <w:t>]</w:t>
            </w:r>
            <w:r w:rsidRPr="00AA1110">
              <w:rPr>
                <w:lang w:val="de-DE"/>
              </w:rPr>
              <w:t xml:space="preserve"> Referenzschuldner der bzw. die gegebenenfalls wie nachstehend beschrieben bestimmten Rechtsträger: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F32A72" w:rsidP="00A457E7">
            <w:pPr>
              <w:pStyle w:val="CSBody0"/>
              <w:rPr>
                <w:lang w:val="de-DE"/>
              </w:rPr>
            </w:pPr>
          </w:p>
        </w:tc>
        <w:tc>
          <w:tcPr>
            <w:tcW w:w="3315" w:type="dxa"/>
            <w:gridSpan w:val="2"/>
            <w:tcBorders>
              <w:top w:val="nil"/>
              <w:left w:val="nil"/>
              <w:bottom w:val="nil"/>
            </w:tcBorders>
            <w:shd w:val="clear" w:color="auto" w:fill="auto"/>
          </w:tcPr>
          <w:p w:rsidR="0017135D" w:rsidRPr="004B018A" w:rsidP="00921F8E">
            <w:pPr>
              <w:pStyle w:val="CSManNum8pt"/>
            </w:pPr>
            <w:r w:rsidRPr="004B018A">
              <w:t>(a)</w:t>
            </w:r>
            <w:r w:rsidRPr="004B018A">
              <w:tab/>
              <w:t xml:space="preserve">subject to subparagraph (g) below, if one entity succeeds , either directly or as a provider of a Relevant Guarantee, to 75 per cent. or more of the Relevant Obligations of </w:t>
            </w:r>
            <w:r w:rsidRPr="00792D61">
              <w:rPr>
                <w:b/>
              </w:rPr>
              <w:t>[</w:t>
            </w:r>
            <w:r w:rsidRPr="00FC03A9">
              <w:rPr>
                <w:b/>
                <w:i/>
              </w:rPr>
              <w:t>if a Complex Product is only linked to one Reference Entity, insert:</w:t>
            </w:r>
            <w:r w:rsidRPr="004B018A">
              <w:t xml:space="preserve"> the</w:t>
            </w:r>
            <w:r w:rsidRPr="00792D61">
              <w:rPr>
                <w:b/>
              </w:rPr>
              <w:t>][</w:t>
            </w:r>
            <w:r w:rsidRPr="00FC03A9">
              <w:rPr>
                <w:b/>
                <w:i/>
              </w:rPr>
              <w:t>if a Basket is applicable or in the case of Complex Products with N</w:t>
            </w:r>
            <w:r w:rsidRPr="00BD6E0D">
              <w:rPr>
                <w:b/>
                <w:i/>
                <w:vertAlign w:val="superscript"/>
              </w:rPr>
              <w:t>th</w:t>
            </w:r>
            <w:r w:rsidRPr="00FC03A9">
              <w:rPr>
                <w:b/>
                <w:i/>
              </w:rPr>
              <w:t>-to-Default structure, insert:</w:t>
            </w:r>
            <w:r w:rsidRPr="004B018A">
              <w:t xml:space="preserve"> such</w:t>
            </w:r>
            <w:r w:rsidRPr="00792D61">
              <w:rPr>
                <w:b/>
              </w:rPr>
              <w:t>]</w:t>
            </w:r>
            <w:r w:rsidRPr="004B018A">
              <w:t xml:space="preserve"> Reference Entity, that entity will be the sole Successor to </w:t>
            </w:r>
            <w:r w:rsidRPr="00792D61">
              <w:rPr>
                <w:b/>
              </w:rPr>
              <w:t>[</w:t>
            </w:r>
            <w:r w:rsidRPr="00FC03A9">
              <w:rPr>
                <w:b/>
                <w:i/>
              </w:rPr>
              <w:t>if a Complex Product is only linked to one Reference Entity, insert:</w:t>
            </w:r>
            <w:r w:rsidRPr="004B018A">
              <w:t xml:space="preserve"> the</w:t>
            </w:r>
            <w:r w:rsidRPr="00792D61">
              <w:rPr>
                <w:b/>
              </w:rPr>
              <w:t>][</w:t>
            </w:r>
            <w:r w:rsidRPr="00FC03A9">
              <w:rPr>
                <w:b/>
                <w:i/>
              </w:rPr>
              <w:t>if a Basket is applicable or in the case of Complex Products with N</w:t>
            </w:r>
            <w:r w:rsidRPr="00BD6E0D">
              <w:rPr>
                <w:b/>
                <w:i/>
                <w:vertAlign w:val="superscript"/>
              </w:rPr>
              <w:t>th</w:t>
            </w:r>
            <w:r w:rsidRPr="00FC03A9">
              <w:rPr>
                <w:b/>
                <w:i/>
              </w:rPr>
              <w:t>-to-Default structure, insert:</w:t>
            </w:r>
            <w:r w:rsidRPr="004B018A">
              <w:t xml:space="preserve"> such</w:t>
            </w:r>
            <w:r w:rsidRPr="00792D61">
              <w:rPr>
                <w:b/>
              </w:rPr>
              <w:t>]</w:t>
            </w:r>
            <w:r w:rsidRPr="004B018A">
              <w:t xml:space="preserve"> Reference Entity;</w:t>
            </w:r>
          </w:p>
        </w:tc>
        <w:tc>
          <w:tcPr>
            <w:tcW w:w="1618" w:type="dxa"/>
            <w:gridSpan w:val="2"/>
            <w:tcBorders>
              <w:top w:val="nil"/>
              <w:bottom w:val="nil"/>
              <w:right w:val="nil"/>
            </w:tcBorders>
            <w:shd w:val="clear" w:color="auto" w:fill="auto"/>
          </w:tcPr>
          <w:p w:rsidR="0017135D" w:rsidRPr="004B018A" w:rsidP="00E46A2C">
            <w:pPr>
              <w:pStyle w:val="CSManNum8pt"/>
              <w:rPr>
                <w:i/>
              </w:rPr>
            </w:pPr>
          </w:p>
        </w:tc>
        <w:tc>
          <w:tcPr>
            <w:tcW w:w="3318" w:type="dxa"/>
            <w:tcBorders>
              <w:top w:val="nil"/>
              <w:left w:val="nil"/>
              <w:bottom w:val="nil"/>
              <w:right w:val="nil"/>
            </w:tcBorders>
            <w:shd w:val="clear" w:color="auto" w:fill="auto"/>
          </w:tcPr>
          <w:p w:rsidR="0017135D" w:rsidRPr="004B018A" w:rsidP="00921F8E">
            <w:pPr>
              <w:pStyle w:val="CSManNum8pt"/>
              <w:rPr>
                <w:bCs/>
                <w:lang w:val="de-DE"/>
              </w:rPr>
            </w:pPr>
            <w:r w:rsidRPr="004B018A">
              <w:rPr>
                <w:bCs/>
                <w:lang w:val="de-DE"/>
              </w:rPr>
              <w:t>(a)</w:t>
            </w:r>
            <w:r w:rsidRPr="004B018A">
              <w:rPr>
                <w:bCs/>
                <w:lang w:val="de-DE"/>
              </w:rPr>
              <w:tab/>
              <w:t xml:space="preserve">vorbehaltlich Unterabsatz (g) unten, übernimmt ein Rechtsträger entweder unmittelbar oder als Geber einer Massgeblichen Garantie mindestens 75% der Massgeblichen Verbindlichkeiten </w:t>
            </w:r>
            <w:r w:rsidRPr="00792D61">
              <w:rPr>
                <w:b/>
                <w:bCs/>
                <w:lang w:val="de-DE"/>
              </w:rPr>
              <w:t>[</w:t>
            </w:r>
            <w:r w:rsidRPr="00FC03A9">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FC03A9">
              <w:rPr>
                <w:b/>
                <w:bCs/>
                <w:i/>
                <w:lang w:val="de-DE"/>
              </w:rPr>
              <w:t>falls ein Korb anwendbar ist oder bei Komplexen Produkten mit N</w:t>
            </w:r>
            <w:r w:rsidRPr="00BD6E0D">
              <w:rPr>
                <w:b/>
                <w:i/>
                <w:vertAlign w:val="superscript"/>
                <w:lang w:val="de-DE"/>
              </w:rPr>
              <w:t>th</w:t>
            </w:r>
            <w:r w:rsidRPr="00FC03A9">
              <w:rPr>
                <w:b/>
                <w:bCs/>
                <w:i/>
                <w:lang w:val="de-DE"/>
              </w:rPr>
              <w:t>-to-Default-Struktur, einfügen:</w:t>
            </w:r>
            <w:r w:rsidRPr="004B018A">
              <w:rPr>
                <w:bCs/>
                <w:lang w:val="de-DE"/>
              </w:rPr>
              <w:t xml:space="preserve"> eines</w:t>
            </w:r>
            <w:r w:rsidRPr="00792D61">
              <w:rPr>
                <w:b/>
                <w:bCs/>
                <w:lang w:val="de-DE"/>
              </w:rPr>
              <w:t>]</w:t>
            </w:r>
            <w:r w:rsidRPr="004B018A">
              <w:rPr>
                <w:bCs/>
                <w:lang w:val="de-DE"/>
              </w:rPr>
              <w:t xml:space="preserve"> Referenz-schuldners, so ist dieser Rechtsträger der alleinige </w:t>
            </w:r>
            <w:r w:rsidRPr="00153202">
              <w:rPr>
                <w:bCs/>
                <w:lang w:val="de-DE"/>
              </w:rPr>
              <w:t>Rechtsn</w:t>
            </w:r>
            <w:r w:rsidRPr="004B018A">
              <w:rPr>
                <w:bCs/>
                <w:lang w:val="de-DE"/>
              </w:rPr>
              <w:t xml:space="preserve">achfolger </w:t>
            </w:r>
            <w:r w:rsidRPr="00792D61">
              <w:rPr>
                <w:b/>
                <w:bCs/>
                <w:lang w:val="de-DE"/>
              </w:rPr>
              <w:t>[</w:t>
            </w:r>
            <w:r w:rsidRPr="00FC03A9">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FC03A9">
              <w:rPr>
                <w:b/>
                <w:bCs/>
                <w:i/>
                <w:lang w:val="de-DE"/>
              </w:rPr>
              <w:t>falls ein Korb an-wendbar ist oder bei Komplexen Produkten mit N</w:t>
            </w:r>
            <w:r w:rsidRPr="00BD6E0D">
              <w:rPr>
                <w:b/>
                <w:i/>
                <w:vertAlign w:val="superscript"/>
                <w:lang w:val="de-DE"/>
              </w:rPr>
              <w:t>th</w:t>
            </w:r>
            <w:r w:rsidRPr="00FC03A9">
              <w:rPr>
                <w:b/>
                <w:bCs/>
                <w:i/>
                <w:lang w:val="de-DE"/>
              </w:rPr>
              <w:t>-to-Default-Struktur, einfügen:</w:t>
            </w:r>
            <w:r w:rsidRPr="004B018A">
              <w:rPr>
                <w:bCs/>
                <w:lang w:val="de-DE"/>
              </w:rPr>
              <w:t xml:space="preserve"> des betreffenden</w:t>
            </w:r>
            <w:r w:rsidRPr="00792D61">
              <w:rPr>
                <w:b/>
                <w:bCs/>
                <w:lang w:val="de-DE"/>
              </w:rPr>
              <w:t>]</w:t>
            </w:r>
            <w:r w:rsidRPr="004B018A">
              <w:rPr>
                <w:bCs/>
                <w:lang w:val="de-DE"/>
              </w:rPr>
              <w:t xml:space="preserve"> Referenzschuldners;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4B018A" w:rsidP="00921F8E">
            <w:pPr>
              <w:pStyle w:val="CSManNum8pt"/>
            </w:pPr>
            <w:r w:rsidRPr="004B018A">
              <w:t>(b)</w:t>
            </w:r>
            <w:r w:rsidRPr="004B018A">
              <w:tab/>
              <w:t xml:space="preserve">if only one entity succeeds, either directly or as a provider of a Relevant Guarantee to more than 25 per cent. (but less than 75 per cent.) of the Relevant Obligations of </w:t>
            </w:r>
            <w:r w:rsidRPr="00792D61">
              <w:rPr>
                <w:b/>
              </w:rPr>
              <w:t>[</w:t>
            </w:r>
            <w:r w:rsidRPr="00FC03A9">
              <w:rPr>
                <w:b/>
                <w:i/>
              </w:rPr>
              <w:t>if a Complex Product is only linked to one Reference Entity, insert:</w:t>
            </w:r>
            <w:r w:rsidRPr="004B018A">
              <w:t xml:space="preserve"> the</w:t>
            </w:r>
            <w:r w:rsidRPr="00792D61">
              <w:rPr>
                <w:b/>
              </w:rPr>
              <w:t>][</w:t>
            </w:r>
            <w:r w:rsidRPr="00FC03A9">
              <w:rPr>
                <w:b/>
                <w:i/>
              </w:rPr>
              <w:t>if a Basket is applicable or in the case of Complex Products with N</w:t>
            </w:r>
            <w:r w:rsidRPr="00BD6E0D">
              <w:rPr>
                <w:b/>
                <w:i/>
                <w:vertAlign w:val="superscript"/>
              </w:rPr>
              <w:t>th</w:t>
            </w:r>
            <w:r w:rsidRPr="00FC03A9">
              <w:rPr>
                <w:b/>
                <w:i/>
              </w:rPr>
              <w:t>-to-Default structure, insert:</w:t>
            </w:r>
            <w:r w:rsidRPr="004B018A">
              <w:t xml:space="preserve"> a</w:t>
            </w:r>
            <w:r w:rsidRPr="00792D61">
              <w:rPr>
                <w:b/>
              </w:rPr>
              <w:t>]</w:t>
            </w:r>
            <w:r w:rsidRPr="004B018A">
              <w:t xml:space="preserve"> Reference Entity, and not more than 25 per cent. of the Relevant Obligations of </w:t>
            </w:r>
            <w:r w:rsidRPr="00792D61">
              <w:rPr>
                <w:b/>
              </w:rPr>
              <w:t>[</w:t>
            </w:r>
            <w:r w:rsidRPr="00FC03A9">
              <w:rPr>
                <w:b/>
                <w:i/>
              </w:rPr>
              <w:t>if a Complex Product is only linked to one Reference Entity, insert:</w:t>
            </w:r>
            <w:r w:rsidRPr="004B018A">
              <w:t xml:space="preserve"> the</w:t>
            </w:r>
            <w:r w:rsidRPr="00792D61">
              <w:rPr>
                <w:b/>
              </w:rPr>
              <w:t>][</w:t>
            </w:r>
            <w:r w:rsidRPr="00FC03A9">
              <w:rPr>
                <w:b/>
                <w:i/>
              </w:rPr>
              <w:t>if a Basket is applicable or in the case of Complex Products with N</w:t>
            </w:r>
            <w:r w:rsidRPr="00BD6E0D">
              <w:rPr>
                <w:b/>
                <w:i/>
                <w:vertAlign w:val="superscript"/>
              </w:rPr>
              <w:t>th</w:t>
            </w:r>
            <w:r w:rsidRPr="00FC03A9">
              <w:rPr>
                <w:b/>
                <w:i/>
              </w:rPr>
              <w:t>-to-Default structure, insert:</w:t>
            </w:r>
            <w:r w:rsidRPr="004B018A">
              <w:t xml:space="preserve"> such</w:t>
            </w:r>
            <w:r w:rsidRPr="00792D61">
              <w:rPr>
                <w:b/>
              </w:rPr>
              <w:t>]</w:t>
            </w:r>
            <w:r w:rsidRPr="004B018A">
              <w:t xml:space="preserve"> Reference Entity remain with </w:t>
            </w:r>
            <w:r w:rsidRPr="00792D61">
              <w:rPr>
                <w:b/>
              </w:rPr>
              <w:t>[</w:t>
            </w:r>
            <w:r w:rsidRPr="00FC03A9">
              <w:rPr>
                <w:b/>
                <w:i/>
              </w:rPr>
              <w:t>if a Complex Product is only linked to one Reference Entity, insert:</w:t>
            </w:r>
            <w:r w:rsidRPr="004B018A">
              <w:t xml:space="preserve"> the</w:t>
            </w:r>
            <w:r w:rsidRPr="00792D61">
              <w:rPr>
                <w:b/>
              </w:rPr>
              <w:t>][</w:t>
            </w:r>
            <w:r w:rsidRPr="00FC03A9">
              <w:rPr>
                <w:b/>
                <w:i/>
              </w:rPr>
              <w:t>if a Basket is applicable or in the case of Complex Products with N</w:t>
            </w:r>
            <w:r w:rsidRPr="00BD6E0D">
              <w:rPr>
                <w:b/>
                <w:i/>
                <w:vertAlign w:val="superscript"/>
              </w:rPr>
              <w:t>th</w:t>
            </w:r>
            <w:r w:rsidRPr="00FC03A9">
              <w:rPr>
                <w:b/>
                <w:i/>
              </w:rPr>
              <w:t>-to-Default structure, insert:</w:t>
            </w:r>
            <w:r w:rsidRPr="004B018A">
              <w:t xml:space="preserve"> such</w:t>
            </w:r>
            <w:r w:rsidRPr="00792D61">
              <w:rPr>
                <w:b/>
              </w:rPr>
              <w:t>]</w:t>
            </w:r>
            <w:r w:rsidRPr="004B018A">
              <w:t xml:space="preserve"> Reference Entity, the entity that succeeds to more than 25 per cent. of the Relevant Obligations of </w:t>
            </w:r>
            <w:r w:rsidRPr="00792D61">
              <w:rPr>
                <w:b/>
              </w:rPr>
              <w:t>[</w:t>
            </w:r>
            <w:r w:rsidRPr="00910D2C">
              <w:rPr>
                <w:b/>
                <w:i/>
              </w:rPr>
              <w:t>if a Complex Product is only linked to one Reference Entity, insert:</w:t>
            </w:r>
            <w:r w:rsidRPr="004B018A">
              <w:t xml:space="preserve"> the</w:t>
            </w:r>
            <w:r w:rsidRPr="00792D61">
              <w:rPr>
                <w:b/>
              </w:rPr>
              <w:t>][</w:t>
            </w:r>
            <w:r w:rsidRPr="00910D2C">
              <w:rPr>
                <w:b/>
                <w:i/>
              </w:rPr>
              <w:t>if a Basket is applicable or in the case of Complex Products with N</w:t>
            </w:r>
            <w:r w:rsidRPr="00BD6E0D">
              <w:rPr>
                <w:b/>
                <w:i/>
                <w:vertAlign w:val="superscript"/>
              </w:rPr>
              <w:t>th</w:t>
            </w:r>
            <w:r w:rsidRPr="00910D2C">
              <w:rPr>
                <w:b/>
                <w:i/>
              </w:rPr>
              <w:t>-to-Default structure, insert:</w:t>
            </w:r>
            <w:r w:rsidRPr="004B018A">
              <w:t xml:space="preserve"> such</w:t>
            </w:r>
            <w:r w:rsidRPr="00792D61">
              <w:rPr>
                <w:b/>
              </w:rPr>
              <w:t>]</w:t>
            </w:r>
            <w:r w:rsidRPr="004B018A">
              <w:t xml:space="preserve"> Reference Entity will be the sole Successor to </w:t>
            </w:r>
            <w:r w:rsidRPr="00792D61">
              <w:rPr>
                <w:b/>
              </w:rPr>
              <w:t>[</w:t>
            </w:r>
            <w:r w:rsidRPr="00910D2C">
              <w:rPr>
                <w:b/>
                <w:i/>
              </w:rPr>
              <w:t>if a Complex Product is only linked to one Reference Entity, insert:</w:t>
            </w:r>
            <w:r w:rsidRPr="004B018A">
              <w:t xml:space="preserve"> the</w:t>
            </w:r>
            <w:r w:rsidRPr="00792D61">
              <w:rPr>
                <w:b/>
              </w:rPr>
              <w:t>][</w:t>
            </w:r>
            <w:r w:rsidRPr="00910D2C">
              <w:rPr>
                <w:b/>
                <w:i/>
              </w:rPr>
              <w:t>if a Basket is applicable or in the case of Complex Products with N</w:t>
            </w:r>
            <w:r w:rsidRPr="00BD6E0D">
              <w:rPr>
                <w:b/>
                <w:i/>
                <w:vertAlign w:val="superscript"/>
              </w:rPr>
              <w:t>th</w:t>
            </w:r>
            <w:r w:rsidRPr="00910D2C">
              <w:rPr>
                <w:b/>
                <w:i/>
              </w:rPr>
              <w:t>-to-Default structure, insert:</w:t>
            </w:r>
            <w:r w:rsidRPr="004B018A">
              <w:t xml:space="preserve"> such</w:t>
            </w:r>
            <w:r w:rsidRPr="00792D61">
              <w:rPr>
                <w:b/>
              </w:rPr>
              <w:t>]</w:t>
            </w:r>
            <w:r w:rsidRPr="004B018A">
              <w:t xml:space="preserve"> Reference Entity;</w:t>
            </w:r>
          </w:p>
        </w:tc>
        <w:tc>
          <w:tcPr>
            <w:tcW w:w="1618" w:type="dxa"/>
            <w:gridSpan w:val="2"/>
            <w:tcBorders>
              <w:top w:val="nil"/>
              <w:bottom w:val="nil"/>
              <w:right w:val="nil"/>
            </w:tcBorders>
            <w:shd w:val="clear" w:color="auto" w:fill="auto"/>
          </w:tcPr>
          <w:p w:rsidR="0017135D" w:rsidRPr="004B018A" w:rsidP="00E46A2C">
            <w:pPr>
              <w:pStyle w:val="CSManNum8pt"/>
              <w:rPr>
                <w:i/>
              </w:rPr>
            </w:pPr>
          </w:p>
        </w:tc>
        <w:tc>
          <w:tcPr>
            <w:tcW w:w="3318" w:type="dxa"/>
            <w:tcBorders>
              <w:top w:val="nil"/>
              <w:left w:val="nil"/>
              <w:bottom w:val="nil"/>
              <w:right w:val="nil"/>
            </w:tcBorders>
            <w:shd w:val="clear" w:color="auto" w:fill="auto"/>
          </w:tcPr>
          <w:p w:rsidR="0017135D" w:rsidRPr="004B018A" w:rsidP="00E46A2C">
            <w:pPr>
              <w:pStyle w:val="CSManNum8pt"/>
              <w:rPr>
                <w:bCs/>
                <w:lang w:val="de-DE"/>
              </w:rPr>
            </w:pPr>
            <w:r w:rsidRPr="004B018A">
              <w:rPr>
                <w:bCs/>
                <w:lang w:val="de-DE"/>
              </w:rPr>
              <w:t>(b)</w:t>
            </w:r>
            <w:r w:rsidRPr="004B018A">
              <w:rPr>
                <w:bCs/>
                <w:lang w:val="de-DE"/>
              </w:rPr>
              <w:tab/>
              <w:t xml:space="preserve">übernimmt nur ein Rechtsträger entweder unmittelbar oder als Geber einer Massgeblichen Garantie mehr als 25% (jedoch weniger als 75%) der Massgeblichen Verbindlichkeiten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-to-Default-Struktur, einfügen:</w:t>
            </w:r>
            <w:r w:rsidRPr="004B018A">
              <w:rPr>
                <w:bCs/>
                <w:lang w:val="de-DE"/>
              </w:rPr>
              <w:t xml:space="preserve"> eines</w:t>
            </w:r>
            <w:r w:rsidRPr="00792D61">
              <w:rPr>
                <w:b/>
                <w:bCs/>
                <w:lang w:val="de-DE"/>
              </w:rPr>
              <w:t>]</w:t>
            </w:r>
            <w:r w:rsidRPr="004B018A">
              <w:rPr>
                <w:bCs/>
                <w:lang w:val="de-DE"/>
              </w:rPr>
              <w:t xml:space="preserve"> Referenzschuldners und verbleiben nicht mehr als 25% der Massgeblichen Verbindlichkeiten </w:t>
            </w:r>
            <w:r w:rsidRPr="00792D61">
              <w:rPr>
                <w:b/>
                <w:bCs/>
                <w:lang w:val="de-DE"/>
              </w:rPr>
              <w:t>[</w:t>
            </w:r>
            <w:r w:rsidRPr="00910D2C">
              <w:rPr>
                <w:b/>
                <w:bCs/>
                <w:i/>
                <w:lang w:val="de-DE"/>
              </w:rPr>
              <w:t>falls ein Komplexes Produkt nur a</w:t>
            </w:r>
            <w:r>
              <w:rPr>
                <w:b/>
                <w:bCs/>
                <w:i/>
                <w:lang w:val="de-DE"/>
              </w:rPr>
              <w:t>n einen Referenzschuldner gekop</w:t>
            </w:r>
            <w:r w:rsidRPr="00910D2C">
              <w:rPr>
                <w:b/>
                <w:bCs/>
                <w:i/>
                <w:lang w:val="de-DE"/>
              </w:rPr>
              <w:t>pelt ist, einfügen:</w:t>
            </w:r>
            <w:r w:rsidRPr="004B018A">
              <w:rPr>
                <w:bCs/>
                <w:lang w:val="de-DE"/>
              </w:rPr>
              <w:t xml:space="preserve"> des</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-to-Default-Struktur, einfügen:</w:t>
            </w:r>
            <w:r w:rsidRPr="004B018A">
              <w:rPr>
                <w:bCs/>
                <w:lang w:val="de-DE"/>
              </w:rPr>
              <w:t xml:space="preserve"> des betreffenden</w:t>
            </w:r>
            <w:r w:rsidRPr="00792D61">
              <w:rPr>
                <w:b/>
                <w:bCs/>
                <w:lang w:val="de-DE"/>
              </w:rPr>
              <w:t>]</w:t>
            </w:r>
            <w:r w:rsidRPr="004B018A">
              <w:rPr>
                <w:bCs/>
                <w:lang w:val="de-DE"/>
              </w:rPr>
              <w:t xml:space="preserve"> Referenzschuldners bei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dem</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 xml:space="preserve">-to-Default-Struktur, einfügen: </w:t>
            </w:r>
            <w:r w:rsidRPr="004B018A">
              <w:rPr>
                <w:bCs/>
                <w:lang w:val="de-DE"/>
              </w:rPr>
              <w:t>diesem</w:t>
            </w:r>
            <w:r w:rsidRPr="00792D61">
              <w:rPr>
                <w:b/>
                <w:bCs/>
                <w:lang w:val="de-DE"/>
              </w:rPr>
              <w:t>]</w:t>
            </w:r>
            <w:r w:rsidRPr="004B018A">
              <w:rPr>
                <w:bCs/>
                <w:lang w:val="de-DE"/>
              </w:rPr>
              <w:t xml:space="preserve"> Referenzschuldner, so ist der Rechtsträger, der mehr als 25% der Massgeblichen Verbindlichkeiten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-to-Default-Struktur, einfügen:</w:t>
            </w:r>
            <w:r w:rsidRPr="004B018A">
              <w:rPr>
                <w:bCs/>
                <w:lang w:val="de-DE"/>
              </w:rPr>
              <w:t xml:space="preserve"> des betreffenden</w:t>
            </w:r>
            <w:r w:rsidRPr="00792D61">
              <w:rPr>
                <w:b/>
                <w:bCs/>
                <w:lang w:val="de-DE"/>
              </w:rPr>
              <w:t>]</w:t>
            </w:r>
            <w:r w:rsidRPr="004B018A">
              <w:rPr>
                <w:bCs/>
                <w:lang w:val="de-DE"/>
              </w:rPr>
              <w:t xml:space="preserve"> Referenzschuldners übernimmt, der alleinige </w:t>
            </w:r>
            <w:r w:rsidRPr="00153202">
              <w:rPr>
                <w:bCs/>
                <w:lang w:val="de-DE"/>
              </w:rPr>
              <w:t>Rechtsn</w:t>
            </w:r>
            <w:r w:rsidRPr="004B018A">
              <w:rPr>
                <w:bCs/>
                <w:lang w:val="de-DE"/>
              </w:rPr>
              <w:t xml:space="preserve">achfolger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-to-Default-Struktur, einfügen:</w:t>
            </w:r>
            <w:r w:rsidRPr="004B018A">
              <w:rPr>
                <w:bCs/>
                <w:lang w:val="de-DE"/>
              </w:rPr>
              <w:t xml:space="preserve"> dieses</w:t>
            </w:r>
            <w:r w:rsidRPr="00792D61">
              <w:rPr>
                <w:b/>
                <w:bCs/>
                <w:lang w:val="de-DE"/>
              </w:rPr>
              <w:t>]</w:t>
            </w:r>
            <w:r w:rsidRPr="004B018A">
              <w:rPr>
                <w:bCs/>
                <w:lang w:val="de-DE"/>
              </w:rPr>
              <w:t xml:space="preserve"> Referenzschuldners;</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4B018A">
            <w:pPr>
              <w:pStyle w:val="CSManNum8pt"/>
            </w:pPr>
            <w:r w:rsidRPr="004B018A">
              <w:t>(c)</w:t>
            </w:r>
            <w:r w:rsidRPr="004B018A">
              <w:tab/>
              <w:t xml:space="preserve">if more than one entity each succeeds directly or as a provider of a Relevant Guarantee, to more than 25 per cent. of the Relevant Obligations of </w:t>
            </w:r>
            <w:r w:rsidRPr="00792D61">
              <w:rPr>
                <w:b/>
              </w:rPr>
              <w:t>[</w:t>
            </w:r>
            <w:r w:rsidRPr="00910D2C">
              <w:rPr>
                <w:b/>
                <w:i/>
              </w:rPr>
              <w:t>if a Complex Product is only linked to one Reference Entity, insert:</w:t>
            </w:r>
            <w:r w:rsidRPr="004B018A">
              <w:t xml:space="preserve"> the</w:t>
            </w:r>
            <w:r w:rsidRPr="00792D61">
              <w:rPr>
                <w:b/>
              </w:rPr>
              <w:t>][</w:t>
            </w:r>
            <w:r w:rsidRPr="00910D2C">
              <w:rPr>
                <w:b/>
                <w:i/>
              </w:rPr>
              <w:t>if a Basket is applicable or in the case of Complex Products with N</w:t>
            </w:r>
            <w:r w:rsidRPr="00BD6E0D">
              <w:rPr>
                <w:b/>
                <w:i/>
                <w:vertAlign w:val="superscript"/>
              </w:rPr>
              <w:t>th</w:t>
            </w:r>
            <w:r w:rsidRPr="00910D2C">
              <w:rPr>
                <w:b/>
                <w:i/>
              </w:rPr>
              <w:t>-to-Default structure, insert:</w:t>
            </w:r>
            <w:r w:rsidRPr="004B018A">
              <w:t xml:space="preserve"> such</w:t>
            </w:r>
            <w:r w:rsidRPr="00792D61">
              <w:rPr>
                <w:b/>
              </w:rPr>
              <w:t>]</w:t>
            </w:r>
            <w:r w:rsidRPr="004B018A">
              <w:t xml:space="preserve"> Reference Entity, and not more than 25 per cent. of the Relevant Obligations of </w:t>
            </w:r>
            <w:r w:rsidRPr="00792D61">
              <w:rPr>
                <w:b/>
              </w:rPr>
              <w:t>[</w:t>
            </w:r>
            <w:r w:rsidRPr="00910D2C">
              <w:rPr>
                <w:b/>
                <w:i/>
              </w:rPr>
              <w:t>if a Complex Product is only linked to one Reference Entity, insert:</w:t>
            </w:r>
            <w:r w:rsidRPr="004B018A">
              <w:t xml:space="preserve"> the</w:t>
            </w:r>
            <w:r w:rsidRPr="00792D61">
              <w:rPr>
                <w:b/>
              </w:rPr>
              <w:t>][</w:t>
            </w:r>
            <w:r w:rsidRPr="00910D2C">
              <w:rPr>
                <w:b/>
                <w:i/>
              </w:rPr>
              <w:t xml:space="preserve">if a Basket is applicable or in the case of Complex Products with Nth-to-Default structure, insert: </w:t>
            </w:r>
            <w:r w:rsidRPr="004B018A">
              <w:t>such</w:t>
            </w:r>
            <w:r w:rsidRPr="00792D61">
              <w:rPr>
                <w:b/>
              </w:rPr>
              <w:t>]</w:t>
            </w:r>
            <w:r w:rsidRPr="004B018A">
              <w:t xml:space="preserve"> Reference Entity remain with </w:t>
            </w:r>
            <w:r w:rsidRPr="00792D61">
              <w:rPr>
                <w:b/>
              </w:rPr>
              <w:t>[</w:t>
            </w:r>
            <w:r w:rsidRPr="00910D2C">
              <w:rPr>
                <w:b/>
                <w:i/>
              </w:rPr>
              <w:t>if a Complex Product is only linked to one Reference Entity, insert:</w:t>
            </w:r>
            <w:r w:rsidRPr="004B018A">
              <w:t xml:space="preserve"> the</w:t>
            </w:r>
            <w:r w:rsidRPr="00792D61">
              <w:rPr>
                <w:b/>
              </w:rPr>
              <w:t>][</w:t>
            </w:r>
            <w:r w:rsidRPr="00910D2C">
              <w:rPr>
                <w:b/>
                <w:i/>
              </w:rPr>
              <w:t>if a Basket is applicable or in the case of Complex Products with N</w:t>
            </w:r>
            <w:r w:rsidRPr="00BD6E0D">
              <w:rPr>
                <w:b/>
                <w:i/>
                <w:vertAlign w:val="superscript"/>
              </w:rPr>
              <w:t>th</w:t>
            </w:r>
            <w:r w:rsidRPr="00910D2C">
              <w:rPr>
                <w:b/>
                <w:i/>
              </w:rPr>
              <w:t>-to-Default structure, insert:</w:t>
            </w:r>
            <w:r w:rsidRPr="004B018A">
              <w:t xml:space="preserve"> such</w:t>
            </w:r>
            <w:r w:rsidRPr="00792D61">
              <w:rPr>
                <w:b/>
              </w:rPr>
              <w:t>]</w:t>
            </w:r>
            <w:r w:rsidRPr="004B018A">
              <w:t xml:space="preserve"> Ref-erence Entity, the entities that succeed to more than 25 per cent. of the Relevant Obligations of </w:t>
            </w:r>
            <w:r w:rsidRPr="00792D61">
              <w:rPr>
                <w:b/>
              </w:rPr>
              <w:t>[</w:t>
            </w:r>
            <w:r w:rsidRPr="00910D2C">
              <w:rPr>
                <w:b/>
                <w:i/>
              </w:rPr>
              <w:t>if a Complex Product is only linked to one Reference Entity, insert:</w:t>
            </w:r>
            <w:r w:rsidRPr="004B018A">
              <w:t xml:space="preserve"> the</w:t>
            </w:r>
            <w:r w:rsidRPr="00792D61">
              <w:rPr>
                <w:b/>
              </w:rPr>
              <w:t>][</w:t>
            </w:r>
            <w:r w:rsidRPr="00910D2C">
              <w:rPr>
                <w:b/>
                <w:i/>
              </w:rPr>
              <w:t>if a Basket is applicable or in the case of Complex Products with N</w:t>
            </w:r>
            <w:r w:rsidRPr="00BD6E0D">
              <w:rPr>
                <w:b/>
                <w:i/>
                <w:vertAlign w:val="superscript"/>
              </w:rPr>
              <w:t>th</w:t>
            </w:r>
            <w:r w:rsidRPr="00910D2C">
              <w:rPr>
                <w:b/>
                <w:i/>
              </w:rPr>
              <w:t>-to-Default structure, insert:</w:t>
            </w:r>
            <w:r w:rsidRPr="004B018A">
              <w:t xml:space="preserve"> such</w:t>
            </w:r>
            <w:r w:rsidRPr="00792D61">
              <w:rPr>
                <w:b/>
              </w:rPr>
              <w:t>]</w:t>
            </w:r>
            <w:r w:rsidRPr="004B018A">
              <w:t xml:space="preserve"> Reference Entity will each be a Successor to </w:t>
            </w:r>
            <w:r w:rsidRPr="00792D61">
              <w:rPr>
                <w:b/>
              </w:rPr>
              <w:t>[</w:t>
            </w:r>
            <w:r w:rsidRPr="00910D2C">
              <w:rPr>
                <w:b/>
                <w:i/>
              </w:rPr>
              <w:t>if a Complex Product is only linked to one Reference Entity, insert:</w:t>
            </w:r>
            <w:r w:rsidRPr="004B018A">
              <w:t xml:space="preserve"> the</w:t>
            </w:r>
            <w:r w:rsidRPr="00792D61">
              <w:rPr>
                <w:b/>
              </w:rPr>
              <w:t>][</w:t>
            </w:r>
            <w:r w:rsidRPr="00910D2C">
              <w:rPr>
                <w:b/>
                <w:i/>
              </w:rPr>
              <w:t>if a Basket is applicable or in the case of Complex Products with N</w:t>
            </w:r>
            <w:r w:rsidRPr="00BD6E0D">
              <w:rPr>
                <w:b/>
                <w:i/>
                <w:vertAlign w:val="superscript"/>
              </w:rPr>
              <w:t>th</w:t>
            </w:r>
            <w:r w:rsidRPr="00910D2C">
              <w:rPr>
                <w:b/>
                <w:i/>
              </w:rPr>
              <w:t>-to-Default structure, insert:</w:t>
            </w:r>
            <w:r w:rsidRPr="004B018A">
              <w:t xml:space="preserve"> such</w:t>
            </w:r>
            <w:r w:rsidRPr="00792D61">
              <w:rPr>
                <w:b/>
              </w:rPr>
              <w:t>]</w:t>
            </w:r>
            <w:r w:rsidRPr="004B018A">
              <w:t xml:space="preserve"> Reference Entity </w:t>
            </w:r>
            <w:r w:rsidRPr="00792D61">
              <w:rPr>
                <w:b/>
              </w:rPr>
              <w:t>[</w:t>
            </w:r>
            <w:r w:rsidRPr="004B018A">
              <w:t xml:space="preserve">and </w:t>
            </w:r>
            <w:r>
              <w:t xml:space="preserve">in such case </w:t>
            </w:r>
            <w:r w:rsidRPr="004B018A">
              <w:t>the Calculation Agent shall be entitled to make the deteminations set out in subparagraph (vi) of this definition</w:t>
            </w:r>
            <w:r w:rsidRPr="00792D61">
              <w:rPr>
                <w:b/>
              </w:rPr>
              <w:t>]</w:t>
            </w:r>
            <w:r w:rsidRPr="004B018A">
              <w:t>;</w:t>
            </w:r>
          </w:p>
        </w:tc>
        <w:tc>
          <w:tcPr>
            <w:tcW w:w="1618" w:type="dxa"/>
            <w:gridSpan w:val="2"/>
            <w:tcBorders>
              <w:top w:val="nil"/>
              <w:bottom w:val="nil"/>
              <w:right w:val="nil"/>
            </w:tcBorders>
            <w:shd w:val="clear" w:color="auto" w:fill="auto"/>
          </w:tcPr>
          <w:p w:rsidR="0017135D" w:rsidRPr="004B018A" w:rsidP="00E46A2C">
            <w:pPr>
              <w:pStyle w:val="CSManNum8pt"/>
              <w:rPr>
                <w:i/>
              </w:rPr>
            </w:pPr>
          </w:p>
        </w:tc>
        <w:tc>
          <w:tcPr>
            <w:tcW w:w="3318" w:type="dxa"/>
            <w:tcBorders>
              <w:top w:val="nil"/>
              <w:left w:val="nil"/>
              <w:bottom w:val="nil"/>
              <w:right w:val="nil"/>
            </w:tcBorders>
            <w:shd w:val="clear" w:color="auto" w:fill="auto"/>
          </w:tcPr>
          <w:p w:rsidR="0017135D" w:rsidRPr="004B018A" w:rsidP="004C1EBA">
            <w:pPr>
              <w:pStyle w:val="CSManNum8pt"/>
              <w:rPr>
                <w:bCs/>
                <w:lang w:val="de-DE"/>
              </w:rPr>
            </w:pPr>
            <w:r w:rsidRPr="004B018A">
              <w:rPr>
                <w:bCs/>
                <w:lang w:val="de-DE"/>
              </w:rPr>
              <w:t>(c)</w:t>
            </w:r>
            <w:r w:rsidRPr="004B018A">
              <w:rPr>
                <w:bCs/>
                <w:lang w:val="de-DE"/>
              </w:rPr>
              <w:tab/>
              <w:t xml:space="preserve">übernimmt mehr als ein Rechtsträger entweder unmittelbar oder als Geber einer Massgeblichen Garantie mehr als 25% der Massgeblichen Verbindlichkeiten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 xml:space="preserve">-to-Default-Struktur, einfügen: </w:t>
            </w:r>
            <w:r w:rsidRPr="004B018A">
              <w:rPr>
                <w:bCs/>
                <w:lang w:val="de-DE"/>
              </w:rPr>
              <w:t>eines</w:t>
            </w:r>
            <w:r w:rsidRPr="00792D61">
              <w:rPr>
                <w:b/>
                <w:bCs/>
                <w:lang w:val="de-DE"/>
              </w:rPr>
              <w:t>]</w:t>
            </w:r>
            <w:r w:rsidRPr="004B018A">
              <w:rPr>
                <w:bCs/>
                <w:lang w:val="de-DE"/>
              </w:rPr>
              <w:t xml:space="preserve"> Referenz-schuldners und verbleiben nicht mehr als 25% der Massgeblichen Verbindlichkeiten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-to-Default-Struktur, einfügen:</w:t>
            </w:r>
            <w:r w:rsidRPr="004B018A">
              <w:rPr>
                <w:bCs/>
                <w:lang w:val="de-DE"/>
              </w:rPr>
              <w:t xml:space="preserve"> des betreffenden</w:t>
            </w:r>
            <w:r w:rsidRPr="00792D61">
              <w:rPr>
                <w:b/>
                <w:bCs/>
                <w:lang w:val="de-DE"/>
              </w:rPr>
              <w:t>]</w:t>
            </w:r>
            <w:r w:rsidRPr="004B018A">
              <w:rPr>
                <w:bCs/>
                <w:lang w:val="de-DE"/>
              </w:rPr>
              <w:t xml:space="preserve"> Referenzschuldners bei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dem</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 xml:space="preserve">-to-Default-Struktur, einfügen: </w:t>
            </w:r>
            <w:r w:rsidRPr="004B018A">
              <w:rPr>
                <w:bCs/>
                <w:lang w:val="de-DE"/>
              </w:rPr>
              <w:t>diesem</w:t>
            </w:r>
            <w:r w:rsidRPr="00792D61">
              <w:rPr>
                <w:b/>
                <w:bCs/>
                <w:lang w:val="de-DE"/>
              </w:rPr>
              <w:t>]</w:t>
            </w:r>
            <w:r w:rsidRPr="004B018A">
              <w:rPr>
                <w:bCs/>
                <w:lang w:val="de-DE"/>
              </w:rPr>
              <w:t xml:space="preserve"> Referenzschuldner, so sind die Rechtsträger, die mehr als 25% der Massgeblichen Verbindlichkeiten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-to-Default-Struktur, einfügen:</w:t>
            </w:r>
            <w:r w:rsidRPr="004B018A">
              <w:rPr>
                <w:bCs/>
                <w:lang w:val="de-DE"/>
              </w:rPr>
              <w:t xml:space="preserve"> des betreffenden</w:t>
            </w:r>
            <w:r w:rsidRPr="00792D61">
              <w:rPr>
                <w:b/>
                <w:bCs/>
                <w:lang w:val="de-DE"/>
              </w:rPr>
              <w:t>]</w:t>
            </w:r>
            <w:r w:rsidRPr="004B018A">
              <w:rPr>
                <w:bCs/>
                <w:lang w:val="de-DE"/>
              </w:rPr>
              <w:t xml:space="preserve"> Referenzschuldners übernehmen, jeweils ein </w:t>
            </w:r>
            <w:r w:rsidRPr="00153202">
              <w:rPr>
                <w:bCs/>
                <w:lang w:val="de-DE"/>
              </w:rPr>
              <w:t>Rechtsn</w:t>
            </w:r>
            <w:r w:rsidRPr="004B018A">
              <w:rPr>
                <w:bCs/>
                <w:lang w:val="de-DE"/>
              </w:rPr>
              <w:t xml:space="preserve">achfolger </w:t>
            </w:r>
            <w:r w:rsidRPr="00792D61">
              <w:rPr>
                <w:b/>
                <w:bCs/>
                <w:lang w:val="de-DE"/>
              </w:rPr>
              <w:t>[</w:t>
            </w:r>
            <w:r w:rsidRPr="00910D2C">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910D2C">
              <w:rPr>
                <w:b/>
                <w:bCs/>
                <w:i/>
                <w:lang w:val="de-DE"/>
              </w:rPr>
              <w:t>falls ein Korb anwendbar ist oder bei Komplexen Produkten mit N</w:t>
            </w:r>
            <w:r w:rsidRPr="00BD6E0D">
              <w:rPr>
                <w:b/>
                <w:i/>
                <w:vertAlign w:val="superscript"/>
                <w:lang w:val="de-DE"/>
              </w:rPr>
              <w:t>th</w:t>
            </w:r>
            <w:r w:rsidRPr="00910D2C">
              <w:rPr>
                <w:b/>
                <w:bCs/>
                <w:i/>
                <w:lang w:val="de-DE"/>
              </w:rPr>
              <w:t>-to-Default-Struktur, einfügen:</w:t>
            </w:r>
            <w:r w:rsidRPr="004B018A">
              <w:rPr>
                <w:bCs/>
                <w:lang w:val="de-DE"/>
              </w:rPr>
              <w:t xml:space="preserve"> dieses</w:t>
            </w:r>
            <w:r w:rsidRPr="00792D61">
              <w:rPr>
                <w:b/>
                <w:bCs/>
                <w:lang w:val="de-DE"/>
              </w:rPr>
              <w:t>]</w:t>
            </w:r>
            <w:r w:rsidRPr="004B018A">
              <w:rPr>
                <w:bCs/>
                <w:lang w:val="de-DE"/>
              </w:rPr>
              <w:t xml:space="preserve"> Referenzschuldners </w:t>
            </w:r>
            <w:r w:rsidRPr="00792D61">
              <w:rPr>
                <w:b/>
                <w:bCs/>
                <w:lang w:val="de-DE"/>
              </w:rPr>
              <w:t>[</w:t>
            </w:r>
            <w:r w:rsidRPr="004B018A">
              <w:rPr>
                <w:bCs/>
                <w:lang w:val="de-DE"/>
              </w:rPr>
              <w:t>und die Berechnungsstelle ist</w:t>
            </w:r>
            <w:r>
              <w:rPr>
                <w:bCs/>
                <w:lang w:val="de-DE"/>
              </w:rPr>
              <w:t xml:space="preserve"> in diesem Fall</w:t>
            </w:r>
            <w:r w:rsidRPr="004B018A">
              <w:rPr>
                <w:bCs/>
                <w:lang w:val="de-DE"/>
              </w:rPr>
              <w:t xml:space="preserve"> berechtigt, die in Unterabsatz (vi) dieser Definition beschriebenen Feststellungen, vorzunehmen</w:t>
            </w:r>
            <w:r w:rsidRPr="00792D61">
              <w:rPr>
                <w:b/>
                <w:bCs/>
                <w:lang w:val="de-DE"/>
              </w:rPr>
              <w:t>]</w:t>
            </w:r>
            <w:r w:rsidRPr="004B018A">
              <w:rPr>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4B018A">
            <w:pPr>
              <w:pStyle w:val="CSManNum8pt"/>
            </w:pPr>
            <w:r w:rsidRPr="004B018A">
              <w:t>(d)</w:t>
            </w:r>
            <w:r w:rsidRPr="004B018A">
              <w:tab/>
              <w:t xml:space="preserve">if one or more entities each succeeds, either directly or as a provider of a Relevant Guarantee, to more than 25 per cent. of the Relevant Obligations of </w:t>
            </w:r>
            <w:r w:rsidRPr="00792D61">
              <w:rPr>
                <w:b/>
              </w:rPr>
              <w:t>[</w:t>
            </w:r>
            <w:r w:rsidRPr="003E682E">
              <w:rPr>
                <w:b/>
                <w:i/>
              </w:rPr>
              <w:t>if a Complex Product is only linked to one Reference Entity, insert:</w:t>
            </w:r>
            <w:r w:rsidRPr="004B018A">
              <w:t xml:space="preserve"> the</w:t>
            </w:r>
            <w:r w:rsidRPr="00792D61">
              <w:rPr>
                <w:b/>
              </w:rPr>
              <w:t>][</w:t>
            </w:r>
            <w:r w:rsidRPr="003E682E">
              <w:rPr>
                <w:b/>
                <w:i/>
              </w:rPr>
              <w:t>if a Basket is applicable or in the case of Complex Products with N</w:t>
            </w:r>
            <w:r w:rsidRPr="00BD6E0D">
              <w:rPr>
                <w:b/>
                <w:i/>
                <w:vertAlign w:val="superscript"/>
              </w:rPr>
              <w:t>th</w:t>
            </w:r>
            <w:r w:rsidRPr="003E682E">
              <w:rPr>
                <w:b/>
                <w:i/>
              </w:rPr>
              <w:t>-to-Default structure, insert:</w:t>
            </w:r>
            <w:r w:rsidRPr="004B018A">
              <w:t xml:space="preserve"> such</w:t>
            </w:r>
            <w:r w:rsidRPr="00792D61">
              <w:rPr>
                <w:b/>
              </w:rPr>
              <w:t>]</w:t>
            </w:r>
            <w:r w:rsidRPr="004B018A">
              <w:t xml:space="preserve"> Re</w:t>
            </w:r>
            <w:r w:rsidR="00E50AE3">
              <w:t>f</w:t>
            </w:r>
            <w:r w:rsidRPr="004B018A">
              <w:t xml:space="preserve">erence Entity, and more than 25 per cent. of the Relevant Obligations of </w:t>
            </w:r>
            <w:r w:rsidRPr="00792D61">
              <w:rPr>
                <w:b/>
              </w:rPr>
              <w:t>[</w:t>
            </w:r>
            <w:r w:rsidRPr="003E682E">
              <w:rPr>
                <w:b/>
                <w:i/>
              </w:rPr>
              <w:t>if a Complex Product is only linked to one Reference Entity, insert:</w:t>
            </w:r>
            <w:r w:rsidRPr="004B018A">
              <w:t xml:space="preserve"> the</w:t>
            </w:r>
            <w:r w:rsidRPr="00792D61">
              <w:rPr>
                <w:b/>
              </w:rPr>
              <w:t>][</w:t>
            </w:r>
            <w:r w:rsidRPr="003E682E">
              <w:rPr>
                <w:b/>
                <w:i/>
              </w:rPr>
              <w:t>if a Basket is applicable or in the case of Complex Products with N</w:t>
            </w:r>
            <w:r w:rsidRPr="00BD6E0D">
              <w:rPr>
                <w:b/>
                <w:i/>
                <w:vertAlign w:val="superscript"/>
              </w:rPr>
              <w:t>th</w:t>
            </w:r>
            <w:r w:rsidRPr="003E682E">
              <w:rPr>
                <w:b/>
                <w:i/>
              </w:rPr>
              <w:t>-to-Default structure, insert:</w:t>
            </w:r>
            <w:r w:rsidRPr="004B018A">
              <w:t xml:space="preserve"> such</w:t>
            </w:r>
            <w:r w:rsidRPr="00792D61">
              <w:rPr>
                <w:b/>
              </w:rPr>
              <w:t>]</w:t>
            </w:r>
            <w:r w:rsidRPr="004B018A">
              <w:t xml:space="preserve"> Reference Entity remain with </w:t>
            </w:r>
            <w:r w:rsidRPr="00792D61">
              <w:rPr>
                <w:b/>
              </w:rPr>
              <w:t>[</w:t>
            </w:r>
            <w:r w:rsidRPr="003E682E">
              <w:rPr>
                <w:b/>
                <w:i/>
              </w:rPr>
              <w:t>if a Complex Product is only linked to one Reference Entity, insert:</w:t>
            </w:r>
            <w:r w:rsidRPr="004B018A">
              <w:t xml:space="preserve"> the</w:t>
            </w:r>
            <w:r w:rsidRPr="00792D61">
              <w:rPr>
                <w:b/>
              </w:rPr>
              <w:t>][</w:t>
            </w:r>
            <w:r w:rsidRPr="003E682E">
              <w:rPr>
                <w:b/>
                <w:i/>
              </w:rPr>
              <w:t>if a Basket is applicable or in the case of Complex Products with N</w:t>
            </w:r>
            <w:r w:rsidRPr="00BD6E0D">
              <w:rPr>
                <w:b/>
                <w:i/>
                <w:vertAlign w:val="superscript"/>
              </w:rPr>
              <w:t>th</w:t>
            </w:r>
            <w:r w:rsidRPr="003E682E">
              <w:rPr>
                <w:b/>
                <w:i/>
              </w:rPr>
              <w:t>-to-Default structure, insert:</w:t>
            </w:r>
            <w:r w:rsidRPr="004B018A">
              <w:t xml:space="preserve"> such</w:t>
            </w:r>
            <w:r w:rsidRPr="00792D61">
              <w:rPr>
                <w:b/>
              </w:rPr>
              <w:t>]</w:t>
            </w:r>
            <w:r w:rsidRPr="004B018A">
              <w:t xml:space="preserve"> Reference Entity, each such entity and </w:t>
            </w:r>
            <w:r w:rsidRPr="00792D61">
              <w:rPr>
                <w:b/>
              </w:rPr>
              <w:t>[</w:t>
            </w:r>
            <w:r w:rsidRPr="003E682E">
              <w:rPr>
                <w:b/>
                <w:i/>
              </w:rPr>
              <w:t>if a Complex Product is only linked to one Reference Entity, insert:</w:t>
            </w:r>
            <w:r w:rsidRPr="004B018A">
              <w:t xml:space="preserve"> the</w:t>
            </w:r>
            <w:r w:rsidRPr="00792D61">
              <w:rPr>
                <w:b/>
              </w:rPr>
              <w:t>][</w:t>
            </w:r>
            <w:r w:rsidRPr="003E682E">
              <w:rPr>
                <w:b/>
                <w:i/>
              </w:rPr>
              <w:t>if a Basket is applicable or in the case of Complex Products with N</w:t>
            </w:r>
            <w:r w:rsidRPr="00BD6E0D">
              <w:rPr>
                <w:b/>
                <w:i/>
                <w:vertAlign w:val="superscript"/>
              </w:rPr>
              <w:t>th</w:t>
            </w:r>
            <w:r w:rsidRPr="003E682E">
              <w:rPr>
                <w:b/>
                <w:i/>
              </w:rPr>
              <w:t>-to-Default structure, insert:</w:t>
            </w:r>
            <w:r w:rsidRPr="004B018A">
              <w:t xml:space="preserve"> such</w:t>
            </w:r>
            <w:r w:rsidRPr="00792D61">
              <w:rPr>
                <w:b/>
              </w:rPr>
              <w:t>]</w:t>
            </w:r>
            <w:r w:rsidRPr="004B018A">
              <w:t xml:space="preserve"> Ref-erence Entity will each be a Successor to </w:t>
            </w:r>
            <w:r w:rsidRPr="00792D61">
              <w:rPr>
                <w:b/>
              </w:rPr>
              <w:t>[</w:t>
            </w:r>
            <w:r w:rsidRPr="003E682E">
              <w:rPr>
                <w:b/>
                <w:i/>
              </w:rPr>
              <w:t>if a Complex Product is only linked to one Reference Entity, insert:</w:t>
            </w:r>
            <w:r w:rsidRPr="004B018A">
              <w:t xml:space="preserve"> the</w:t>
            </w:r>
            <w:r w:rsidRPr="00792D61">
              <w:rPr>
                <w:b/>
              </w:rPr>
              <w:t>][</w:t>
            </w:r>
            <w:r w:rsidRPr="003E682E">
              <w:rPr>
                <w:b/>
                <w:i/>
              </w:rPr>
              <w:t>if a Basket is applicable or in the case of Complex Products with N</w:t>
            </w:r>
            <w:r w:rsidRPr="00BD6E0D">
              <w:rPr>
                <w:b/>
                <w:i/>
                <w:vertAlign w:val="superscript"/>
              </w:rPr>
              <w:t>th</w:t>
            </w:r>
            <w:r w:rsidRPr="003E682E">
              <w:rPr>
                <w:b/>
                <w:i/>
              </w:rPr>
              <w:t>-to-Default structure, insert:</w:t>
            </w:r>
            <w:r w:rsidRPr="004B018A">
              <w:t xml:space="preserve"> such</w:t>
            </w:r>
            <w:r w:rsidRPr="00792D61">
              <w:rPr>
                <w:b/>
              </w:rPr>
              <w:t>]</w:t>
            </w:r>
            <w:r w:rsidRPr="004B018A">
              <w:t xml:space="preserve"> Reference Entity </w:t>
            </w:r>
            <w:r w:rsidRPr="00792D61">
              <w:rPr>
                <w:b/>
              </w:rPr>
              <w:t>[</w:t>
            </w:r>
            <w:r w:rsidRPr="004B018A">
              <w:t xml:space="preserve">and </w:t>
            </w:r>
            <w:r>
              <w:t xml:space="preserve">in such case </w:t>
            </w:r>
            <w:r w:rsidRPr="004B018A">
              <w:t>the Calculation Agent shall be entitled to make t</w:t>
            </w:r>
            <w:r>
              <w:t>he deteminations set out in subp</w:t>
            </w:r>
            <w:r w:rsidRPr="004B018A">
              <w:t>aragraph (vi) of this definition</w:t>
            </w:r>
            <w:r w:rsidRPr="00792D61">
              <w:rPr>
                <w:b/>
              </w:rPr>
              <w:t>]</w:t>
            </w:r>
            <w:r w:rsidRPr="004B018A">
              <w:t>;</w:t>
            </w:r>
          </w:p>
        </w:tc>
        <w:tc>
          <w:tcPr>
            <w:tcW w:w="1618" w:type="dxa"/>
            <w:gridSpan w:val="2"/>
            <w:tcBorders>
              <w:top w:val="nil"/>
              <w:bottom w:val="nil"/>
              <w:right w:val="nil"/>
            </w:tcBorders>
            <w:shd w:val="clear" w:color="auto" w:fill="auto"/>
          </w:tcPr>
          <w:p w:rsidR="0017135D" w:rsidRPr="004B018A" w:rsidP="00E60155">
            <w:pPr>
              <w:pStyle w:val="CSBody0"/>
              <w:rPr>
                <w:i/>
              </w:rPr>
            </w:pPr>
          </w:p>
        </w:tc>
        <w:tc>
          <w:tcPr>
            <w:tcW w:w="3318" w:type="dxa"/>
            <w:tcBorders>
              <w:top w:val="nil"/>
              <w:left w:val="nil"/>
              <w:bottom w:val="nil"/>
              <w:right w:val="nil"/>
            </w:tcBorders>
            <w:shd w:val="clear" w:color="auto" w:fill="auto"/>
          </w:tcPr>
          <w:p w:rsidR="0017135D" w:rsidRPr="004B018A" w:rsidP="00921F8E">
            <w:pPr>
              <w:pStyle w:val="CSManNum8pt"/>
              <w:rPr>
                <w:lang w:val="de-DE"/>
              </w:rPr>
            </w:pPr>
            <w:r w:rsidRPr="004B018A">
              <w:rPr>
                <w:lang w:val="de-DE"/>
              </w:rPr>
              <w:t>(d)</w:t>
            </w:r>
            <w:r w:rsidRPr="004B018A">
              <w:rPr>
                <w:lang w:val="de-DE"/>
              </w:rPr>
              <w:tab/>
              <w:t xml:space="preserve">übernehmen ein oder mehrere Rechtsträger entweder unmittelbar oder als Geber einer Massgeblichen Garantie mehr als 25% der Massgeblichen Verbindlichkeiten </w:t>
            </w:r>
            <w:r w:rsidRPr="00792D61">
              <w:rPr>
                <w:b/>
                <w:lang w:val="de-DE"/>
              </w:rPr>
              <w:t>[</w:t>
            </w:r>
            <w:r w:rsidRPr="005C1B78">
              <w:rPr>
                <w:b/>
                <w:i/>
                <w:lang w:val="de-DE"/>
              </w:rPr>
              <w:t>falls ein Komplexes Produkt nur an einen Referenzschuldner gekoppelt ist, einfügen:</w:t>
            </w:r>
            <w:r w:rsidRPr="004B018A">
              <w:rPr>
                <w:lang w:val="de-DE"/>
              </w:rPr>
              <w:t xml:space="preserve"> des</w:t>
            </w:r>
            <w:r w:rsidRPr="00792D61">
              <w:rPr>
                <w:b/>
                <w:lang w:val="de-DE"/>
              </w:rPr>
              <w:t>][</w:t>
            </w:r>
            <w:r w:rsidRPr="005C1B78">
              <w:rPr>
                <w:b/>
                <w:i/>
                <w:lang w:val="de-DE"/>
              </w:rPr>
              <w:t>falls ein Korb anwendbar ist oder bei Komplexen Produkten mit N</w:t>
            </w:r>
            <w:r w:rsidRPr="00BD6E0D">
              <w:rPr>
                <w:b/>
                <w:i/>
                <w:vertAlign w:val="superscript"/>
                <w:lang w:val="de-DE"/>
              </w:rPr>
              <w:t>th</w:t>
            </w:r>
            <w:r w:rsidRPr="005C1B78">
              <w:rPr>
                <w:b/>
                <w:i/>
                <w:lang w:val="de-DE"/>
              </w:rPr>
              <w:t>-to-Default-Struktur, einfügen:</w:t>
            </w:r>
            <w:r w:rsidRPr="004B018A">
              <w:rPr>
                <w:lang w:val="de-DE"/>
              </w:rPr>
              <w:t xml:space="preserve"> eines</w:t>
            </w:r>
            <w:r w:rsidRPr="00792D61">
              <w:rPr>
                <w:b/>
                <w:lang w:val="de-DE"/>
              </w:rPr>
              <w:t>]</w:t>
            </w:r>
            <w:r w:rsidRPr="004B018A">
              <w:rPr>
                <w:lang w:val="de-DE"/>
              </w:rPr>
              <w:t xml:space="preserve"> Referenzschuldners und verbleiben meh</w:t>
            </w:r>
            <w:r>
              <w:rPr>
                <w:lang w:val="de-DE"/>
              </w:rPr>
              <w:t>r als 25% der Massgeblichen Ver</w:t>
            </w:r>
            <w:r w:rsidRPr="004B018A">
              <w:rPr>
                <w:lang w:val="de-DE"/>
              </w:rPr>
              <w:t xml:space="preserve">bindlichkeiten </w:t>
            </w:r>
            <w:r w:rsidRPr="00792D61">
              <w:rPr>
                <w:b/>
                <w:lang w:val="de-DE"/>
              </w:rPr>
              <w:t>[</w:t>
            </w:r>
            <w:r w:rsidRPr="005C1B78">
              <w:rPr>
                <w:b/>
                <w:i/>
                <w:lang w:val="de-DE"/>
              </w:rPr>
              <w:t>falls ein Komplexes Produkt nur an einen Referenzschuldner gekoppelt ist, einfügen:</w:t>
            </w:r>
            <w:r w:rsidRPr="004B018A">
              <w:rPr>
                <w:lang w:val="de-DE"/>
              </w:rPr>
              <w:t xml:space="preserve"> des</w:t>
            </w:r>
            <w:r w:rsidRPr="00792D61">
              <w:rPr>
                <w:b/>
                <w:lang w:val="de-DE"/>
              </w:rPr>
              <w:t>][</w:t>
            </w:r>
            <w:r w:rsidRPr="005C1B78">
              <w:rPr>
                <w:b/>
                <w:i/>
                <w:lang w:val="de-DE"/>
              </w:rPr>
              <w:t>falls ein Korb anwendbar ist oder bei Komplexen Produkten mit N</w:t>
            </w:r>
            <w:r w:rsidRPr="00BD6E0D">
              <w:rPr>
                <w:b/>
                <w:i/>
                <w:vertAlign w:val="superscript"/>
                <w:lang w:val="de-DE"/>
              </w:rPr>
              <w:t>th</w:t>
            </w:r>
            <w:r w:rsidRPr="005C1B78">
              <w:rPr>
                <w:b/>
                <w:i/>
                <w:lang w:val="de-DE"/>
              </w:rPr>
              <w:t>-to-Default-Struktur, einfügen:</w:t>
            </w:r>
            <w:r w:rsidRPr="004B018A">
              <w:rPr>
                <w:lang w:val="de-DE"/>
              </w:rPr>
              <w:t xml:space="preserve"> des betreffenden</w:t>
            </w:r>
            <w:r w:rsidRPr="00792D61">
              <w:rPr>
                <w:b/>
                <w:lang w:val="de-DE"/>
              </w:rPr>
              <w:t>]</w:t>
            </w:r>
            <w:r w:rsidRPr="004B018A">
              <w:rPr>
                <w:lang w:val="de-DE"/>
              </w:rPr>
              <w:t xml:space="preserve"> Referenzschuldners bei </w:t>
            </w:r>
            <w:r w:rsidRPr="00792D61">
              <w:rPr>
                <w:b/>
                <w:lang w:val="de-DE"/>
              </w:rPr>
              <w:t>[</w:t>
            </w:r>
            <w:r w:rsidRPr="005C1B78">
              <w:rPr>
                <w:b/>
                <w:i/>
                <w:lang w:val="de-DE"/>
              </w:rPr>
              <w:t>falls ein Komplexes Produkt nur an einen Referenzschuldner gekoppelt ist, einfügen:</w:t>
            </w:r>
            <w:r w:rsidRPr="004B018A">
              <w:rPr>
                <w:lang w:val="de-DE"/>
              </w:rPr>
              <w:t xml:space="preserve"> dem</w:t>
            </w:r>
            <w:r w:rsidRPr="00792D61">
              <w:rPr>
                <w:b/>
                <w:lang w:val="de-DE"/>
              </w:rPr>
              <w:t>][</w:t>
            </w:r>
            <w:r w:rsidRPr="005C1B78">
              <w:rPr>
                <w:b/>
                <w:i/>
                <w:lang w:val="de-DE"/>
              </w:rPr>
              <w:t>falls ein Korb anwendbar ist oder bei Komplexen Produkten mit N</w:t>
            </w:r>
            <w:r w:rsidRPr="00BD6E0D">
              <w:rPr>
                <w:b/>
                <w:i/>
                <w:vertAlign w:val="superscript"/>
                <w:lang w:val="de-DE"/>
              </w:rPr>
              <w:t>th</w:t>
            </w:r>
            <w:r w:rsidRPr="005C1B78">
              <w:rPr>
                <w:b/>
                <w:i/>
                <w:lang w:val="de-DE"/>
              </w:rPr>
              <w:t xml:space="preserve">-to-Default-Struktur, einfügen: </w:t>
            </w:r>
            <w:r w:rsidRPr="004B018A">
              <w:rPr>
                <w:lang w:val="de-DE"/>
              </w:rPr>
              <w:t>diesem</w:t>
            </w:r>
            <w:r w:rsidRPr="00792D61">
              <w:rPr>
                <w:b/>
                <w:lang w:val="de-DE"/>
              </w:rPr>
              <w:t>]</w:t>
            </w:r>
            <w:r w:rsidRPr="004B018A">
              <w:rPr>
                <w:lang w:val="de-DE"/>
              </w:rPr>
              <w:t xml:space="preserve"> Referenzschuldner, so ist jeder dieser Rechtsträger und </w:t>
            </w:r>
            <w:r w:rsidRPr="00792D61">
              <w:rPr>
                <w:b/>
                <w:lang w:val="de-DE"/>
              </w:rPr>
              <w:t>[</w:t>
            </w:r>
            <w:r w:rsidRPr="005C1B78">
              <w:rPr>
                <w:b/>
                <w:i/>
                <w:lang w:val="de-DE"/>
              </w:rPr>
              <w:t>falls ein Komplexes Produkt nur an einen Referenzschuldner gekoppelt ist, einfügen:</w:t>
            </w:r>
            <w:r w:rsidRPr="004B018A">
              <w:rPr>
                <w:lang w:val="de-DE"/>
              </w:rPr>
              <w:t xml:space="preserve"> der</w:t>
            </w:r>
            <w:r w:rsidRPr="00792D61">
              <w:rPr>
                <w:b/>
                <w:lang w:val="de-DE"/>
              </w:rPr>
              <w:t>][</w:t>
            </w:r>
            <w:r w:rsidRPr="005C1B78">
              <w:rPr>
                <w:b/>
                <w:i/>
                <w:lang w:val="de-DE"/>
              </w:rPr>
              <w:t>falls ein Korb anwendbar ist oder bei Komplexen Produkten mit N</w:t>
            </w:r>
            <w:r w:rsidRPr="00BD6E0D">
              <w:rPr>
                <w:b/>
                <w:i/>
                <w:vertAlign w:val="superscript"/>
                <w:lang w:val="de-DE"/>
              </w:rPr>
              <w:t>th</w:t>
            </w:r>
            <w:r w:rsidRPr="005C1B78">
              <w:rPr>
                <w:b/>
                <w:i/>
                <w:lang w:val="de-DE"/>
              </w:rPr>
              <w:t>-to-Default-Struktur, einfügen:</w:t>
            </w:r>
            <w:r w:rsidRPr="004B018A">
              <w:rPr>
                <w:lang w:val="de-DE"/>
              </w:rPr>
              <w:t xml:space="preserve"> der betreffende</w:t>
            </w:r>
            <w:r w:rsidRPr="00792D61">
              <w:rPr>
                <w:b/>
                <w:lang w:val="de-DE"/>
              </w:rPr>
              <w:t>]</w:t>
            </w:r>
            <w:r w:rsidRPr="004B018A">
              <w:rPr>
                <w:lang w:val="de-DE"/>
              </w:rPr>
              <w:t xml:space="preserve"> Referenzschuldner jeweils ein </w:t>
            </w:r>
            <w:r w:rsidRPr="00153202">
              <w:rPr>
                <w:lang w:val="de-DE"/>
              </w:rPr>
              <w:t>Rechtsn</w:t>
            </w:r>
            <w:r w:rsidRPr="004B018A">
              <w:rPr>
                <w:lang w:val="de-DE"/>
              </w:rPr>
              <w:t xml:space="preserve">achfolger </w:t>
            </w:r>
            <w:r w:rsidRPr="00792D61">
              <w:rPr>
                <w:b/>
                <w:lang w:val="de-DE"/>
              </w:rPr>
              <w:t>[</w:t>
            </w:r>
            <w:r w:rsidRPr="005C1B78">
              <w:rPr>
                <w:b/>
                <w:i/>
                <w:lang w:val="de-DE"/>
              </w:rPr>
              <w:t>falls ein Komplexes Produkt nur an einen Referenzschuldner gekoppelt ist, einfügen:</w:t>
            </w:r>
            <w:r w:rsidRPr="004B018A">
              <w:rPr>
                <w:lang w:val="de-DE"/>
              </w:rPr>
              <w:t xml:space="preserve"> des</w:t>
            </w:r>
            <w:r w:rsidRPr="00792D61">
              <w:rPr>
                <w:b/>
                <w:lang w:val="de-DE"/>
              </w:rPr>
              <w:t>][</w:t>
            </w:r>
            <w:r w:rsidRPr="005C1B78">
              <w:rPr>
                <w:b/>
                <w:i/>
                <w:lang w:val="de-DE"/>
              </w:rPr>
              <w:t>falls ein Korb anwendbar ist oder bei Komplexen Produkten mit N</w:t>
            </w:r>
            <w:r w:rsidRPr="00BD6E0D">
              <w:rPr>
                <w:b/>
                <w:i/>
                <w:vertAlign w:val="superscript"/>
                <w:lang w:val="de-DE"/>
              </w:rPr>
              <w:t>th</w:t>
            </w:r>
            <w:r w:rsidRPr="005C1B78">
              <w:rPr>
                <w:b/>
                <w:i/>
                <w:lang w:val="de-DE"/>
              </w:rPr>
              <w:t>-to-Default-Struktur, einfügen:</w:t>
            </w:r>
            <w:r w:rsidRPr="004B018A">
              <w:rPr>
                <w:lang w:val="de-DE"/>
              </w:rPr>
              <w:t xml:space="preserve"> dieses</w:t>
            </w:r>
            <w:r w:rsidRPr="00792D61">
              <w:rPr>
                <w:b/>
                <w:lang w:val="de-DE"/>
              </w:rPr>
              <w:t>]</w:t>
            </w:r>
            <w:r w:rsidRPr="004B018A">
              <w:rPr>
                <w:lang w:val="de-DE"/>
              </w:rPr>
              <w:t xml:space="preserve"> Referenzschuldners </w:t>
            </w:r>
            <w:r w:rsidRPr="00792D61">
              <w:rPr>
                <w:b/>
                <w:lang w:val="de-DE"/>
              </w:rPr>
              <w:t>[</w:t>
            </w:r>
            <w:r w:rsidRPr="004B018A">
              <w:rPr>
                <w:lang w:val="de-DE"/>
              </w:rPr>
              <w:t xml:space="preserve">und die Berechnungsstelle ist </w:t>
            </w:r>
            <w:r>
              <w:rPr>
                <w:lang w:val="de-DE"/>
              </w:rPr>
              <w:t xml:space="preserve">in diesem Fall </w:t>
            </w:r>
            <w:r w:rsidRPr="004B018A">
              <w:rPr>
                <w:lang w:val="de-DE"/>
              </w:rPr>
              <w:t>berechtigt, die in Unterabsatz (vi) dieser Definition beschriebenen Feststellungen, vorzunehmen</w:t>
            </w:r>
            <w:r w:rsidRPr="00792D61">
              <w:rPr>
                <w:b/>
                <w:lang w:val="de-DE"/>
              </w:rPr>
              <w:t>]</w:t>
            </w:r>
            <w:r w:rsidRPr="004B018A">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4B018A" w:rsidP="00E46A2C">
            <w:pPr>
              <w:pStyle w:val="CSManNum8pt"/>
            </w:pPr>
            <w:r w:rsidRPr="004B018A">
              <w:t>(e)</w:t>
            </w:r>
            <w:r w:rsidRPr="004B018A">
              <w:tab/>
              <w:t xml:space="preserve">if one or more entities succeed, either directly or as a provider of a Relevant Guarantee, to a portion of the Relevant Obligations of </w:t>
            </w:r>
            <w:r w:rsidRPr="00792D61">
              <w:rPr>
                <w:b/>
              </w:rPr>
              <w:t>[</w:t>
            </w:r>
            <w:r w:rsidRPr="00AC7EB7">
              <w:rPr>
                <w:b/>
                <w:i/>
              </w:rPr>
              <w:t>if a Complex Product is only linked to one Reference Entity, insert:</w:t>
            </w:r>
            <w:r w:rsidRPr="004B018A">
              <w:t xml:space="preserve"> the</w:t>
            </w:r>
            <w:r w:rsidRPr="00792D61">
              <w:rPr>
                <w:b/>
              </w:rPr>
              <w:t>][</w:t>
            </w:r>
            <w:r w:rsidRPr="00AC7EB7">
              <w:rPr>
                <w:b/>
                <w:i/>
              </w:rPr>
              <w:t>if a Basket is applicable or in the case of Complex Products with N</w:t>
            </w:r>
            <w:r w:rsidRPr="00BD6E0D">
              <w:rPr>
                <w:b/>
                <w:i/>
                <w:vertAlign w:val="superscript"/>
              </w:rPr>
              <w:t>th</w:t>
            </w:r>
            <w:r w:rsidRPr="00AC7EB7">
              <w:rPr>
                <w:b/>
                <w:i/>
              </w:rPr>
              <w:t>-to-Default structure, insert:</w:t>
            </w:r>
            <w:r w:rsidRPr="004B018A">
              <w:t xml:space="preserve"> such</w:t>
            </w:r>
            <w:r w:rsidRPr="00792D61">
              <w:rPr>
                <w:b/>
              </w:rPr>
              <w:t>]</w:t>
            </w:r>
            <w:r w:rsidRPr="004B018A">
              <w:t xml:space="preserve"> Reference Entity, but no entity succeeds to more than 25 per cent. of the Relevant Obligations of </w:t>
            </w:r>
            <w:r w:rsidRPr="00792D61">
              <w:rPr>
                <w:b/>
              </w:rPr>
              <w:t>[</w:t>
            </w:r>
            <w:r w:rsidRPr="00AC7EB7">
              <w:rPr>
                <w:b/>
                <w:i/>
              </w:rPr>
              <w:t>if a Complex Product is only linked to one Reference Entity, insert:</w:t>
            </w:r>
            <w:r w:rsidRPr="004B018A">
              <w:t xml:space="preserve"> the</w:t>
            </w:r>
            <w:r w:rsidRPr="00792D61">
              <w:rPr>
                <w:b/>
              </w:rPr>
              <w:t>][</w:t>
            </w:r>
            <w:r w:rsidRPr="00AC7EB7">
              <w:rPr>
                <w:b/>
                <w:i/>
              </w:rPr>
              <w:t>if a Basket is applicable or in the case of Complex Products with N</w:t>
            </w:r>
            <w:r w:rsidRPr="00BD6E0D">
              <w:rPr>
                <w:b/>
                <w:i/>
                <w:vertAlign w:val="superscript"/>
              </w:rPr>
              <w:t>th</w:t>
            </w:r>
            <w:r w:rsidRPr="00AC7EB7">
              <w:rPr>
                <w:b/>
                <w:i/>
              </w:rPr>
              <w:t>-to-Default structure, insert:</w:t>
            </w:r>
            <w:r w:rsidRPr="004B018A">
              <w:t xml:space="preserve"> such</w:t>
            </w:r>
            <w:r w:rsidRPr="00792D61">
              <w:rPr>
                <w:b/>
              </w:rPr>
              <w:t>]</w:t>
            </w:r>
            <w:r w:rsidRPr="004B018A">
              <w:t xml:space="preserve"> Reference Entity and </w:t>
            </w:r>
            <w:r w:rsidRPr="00792D61">
              <w:rPr>
                <w:b/>
              </w:rPr>
              <w:t>[</w:t>
            </w:r>
            <w:r w:rsidRPr="00AC7EB7">
              <w:rPr>
                <w:b/>
                <w:i/>
              </w:rPr>
              <w:t>if a Complex Product is only linked to one Reference Entity, insert:</w:t>
            </w:r>
            <w:r w:rsidRPr="004B018A">
              <w:t xml:space="preserve"> the</w:t>
            </w:r>
            <w:r w:rsidRPr="00792D61">
              <w:rPr>
                <w:b/>
              </w:rPr>
              <w:t>][</w:t>
            </w:r>
            <w:r w:rsidRPr="00AC7EB7">
              <w:rPr>
                <w:b/>
                <w:i/>
              </w:rPr>
              <w:t>if a Basket is applicable or in the case of Complex Products with N</w:t>
            </w:r>
            <w:r w:rsidRPr="00BD6E0D">
              <w:rPr>
                <w:b/>
                <w:i/>
                <w:vertAlign w:val="superscript"/>
              </w:rPr>
              <w:t>th</w:t>
            </w:r>
            <w:r w:rsidRPr="00AC7EB7">
              <w:rPr>
                <w:b/>
                <w:i/>
              </w:rPr>
              <w:t>-to-Default structure, insert:</w:t>
            </w:r>
            <w:r w:rsidRPr="004B018A">
              <w:t xml:space="preserve"> such</w:t>
            </w:r>
            <w:r w:rsidRPr="00792D61">
              <w:rPr>
                <w:b/>
              </w:rPr>
              <w:t>]</w:t>
            </w:r>
            <w:r w:rsidRPr="004B018A">
              <w:t xml:space="preserve"> Reference Entity continues to exist, there will be no Successor to </w:t>
            </w:r>
            <w:r w:rsidRPr="00792D61">
              <w:rPr>
                <w:b/>
              </w:rPr>
              <w:t>[</w:t>
            </w:r>
            <w:r w:rsidRPr="00AC7EB7">
              <w:rPr>
                <w:b/>
                <w:i/>
              </w:rPr>
              <w:t>if a Complex Product is only linked to one Reference Entity, insert:</w:t>
            </w:r>
            <w:r w:rsidRPr="004B018A">
              <w:t xml:space="preserve"> the</w:t>
            </w:r>
            <w:r w:rsidRPr="00792D61">
              <w:rPr>
                <w:b/>
              </w:rPr>
              <w:t>][</w:t>
            </w:r>
            <w:r w:rsidRPr="00AC7EB7">
              <w:rPr>
                <w:b/>
                <w:i/>
              </w:rPr>
              <w:t>if a Basket is applicable or in the case of Complex Products with N</w:t>
            </w:r>
            <w:r w:rsidRPr="00BD6E0D">
              <w:rPr>
                <w:b/>
                <w:i/>
                <w:vertAlign w:val="superscript"/>
              </w:rPr>
              <w:t>th</w:t>
            </w:r>
            <w:r w:rsidRPr="00AC7EB7">
              <w:rPr>
                <w:b/>
                <w:i/>
              </w:rPr>
              <w:t>-to-Default structure, insert:</w:t>
            </w:r>
            <w:r w:rsidRPr="004B018A">
              <w:t xml:space="preserve"> such</w:t>
            </w:r>
            <w:r w:rsidRPr="00792D61">
              <w:rPr>
                <w:b/>
              </w:rPr>
              <w:t>]</w:t>
            </w:r>
            <w:r w:rsidRPr="004B018A">
              <w:t xml:space="preserve"> Reference Entity and </w:t>
            </w:r>
            <w:r w:rsidRPr="00792D61">
              <w:rPr>
                <w:b/>
              </w:rPr>
              <w:t>[</w:t>
            </w:r>
            <w:r w:rsidRPr="00AC7EB7">
              <w:rPr>
                <w:b/>
                <w:i/>
              </w:rPr>
              <w:t>if a Complex Product is only linked to one Reference Entity, insert:</w:t>
            </w:r>
            <w:r w:rsidRPr="004B018A">
              <w:t xml:space="preserve"> the</w:t>
            </w:r>
            <w:r w:rsidRPr="00792D61">
              <w:rPr>
                <w:b/>
              </w:rPr>
              <w:t>][</w:t>
            </w:r>
            <w:r w:rsidRPr="00AC7EB7">
              <w:rPr>
                <w:b/>
                <w:i/>
              </w:rPr>
              <w:t>if a Basket is applicable or in the case of Complex Products with N</w:t>
            </w:r>
            <w:r w:rsidRPr="00BD6E0D">
              <w:rPr>
                <w:b/>
                <w:i/>
                <w:vertAlign w:val="superscript"/>
              </w:rPr>
              <w:t>th</w:t>
            </w:r>
            <w:r w:rsidRPr="00AC7EB7">
              <w:rPr>
                <w:b/>
                <w:i/>
              </w:rPr>
              <w:t>-to-Default structure, insert:</w:t>
            </w:r>
            <w:r w:rsidRPr="004B018A">
              <w:t xml:space="preserve"> such</w:t>
            </w:r>
            <w:r w:rsidRPr="00792D61">
              <w:rPr>
                <w:b/>
              </w:rPr>
              <w:t>]</w:t>
            </w:r>
            <w:r w:rsidRPr="004B018A">
              <w:t xml:space="preserve"> Reference Entity and the Complex Products will not be changed in any way as a result of such succession; and</w:t>
            </w:r>
          </w:p>
        </w:tc>
        <w:tc>
          <w:tcPr>
            <w:tcW w:w="1618" w:type="dxa"/>
            <w:gridSpan w:val="2"/>
            <w:tcBorders>
              <w:top w:val="nil"/>
              <w:bottom w:val="nil"/>
              <w:right w:val="nil"/>
            </w:tcBorders>
            <w:shd w:val="clear" w:color="auto" w:fill="auto"/>
          </w:tcPr>
          <w:p w:rsidR="0017135D" w:rsidRPr="004B018A" w:rsidP="00E60155">
            <w:pPr>
              <w:pStyle w:val="CSBody0"/>
              <w:rPr>
                <w:i/>
              </w:rPr>
            </w:pPr>
          </w:p>
        </w:tc>
        <w:tc>
          <w:tcPr>
            <w:tcW w:w="3318" w:type="dxa"/>
            <w:tcBorders>
              <w:top w:val="nil"/>
              <w:left w:val="nil"/>
              <w:bottom w:val="nil"/>
              <w:right w:val="nil"/>
            </w:tcBorders>
            <w:shd w:val="clear" w:color="auto" w:fill="auto"/>
          </w:tcPr>
          <w:p w:rsidR="0017135D" w:rsidRPr="004B018A" w:rsidP="00921F8E">
            <w:pPr>
              <w:pStyle w:val="CSManNum8pt"/>
              <w:rPr>
                <w:lang w:val="de-DE"/>
              </w:rPr>
            </w:pPr>
            <w:r w:rsidRPr="004B018A">
              <w:rPr>
                <w:lang w:val="de-DE"/>
              </w:rPr>
              <w:t>(e)</w:t>
            </w:r>
            <w:r w:rsidRPr="004B018A">
              <w:rPr>
                <w:lang w:val="de-DE"/>
              </w:rPr>
              <w:tab/>
              <w:t xml:space="preserve">übernehmen ein oder mehrere Rechtsträger entweder unmittelbar oder als Geber einer Massgeblichen Garantie einen Teil der Massgeblichen Verbindlichkeiten </w:t>
            </w:r>
            <w:r w:rsidRPr="00792D61">
              <w:rPr>
                <w:b/>
                <w:lang w:val="de-DE"/>
              </w:rPr>
              <w:t>[</w:t>
            </w:r>
            <w:r w:rsidRPr="00AC7EB7">
              <w:rPr>
                <w:b/>
                <w:i/>
                <w:lang w:val="de-DE"/>
              </w:rPr>
              <w:t>falls ein Komplexes Produkt nur an einen Referenzschuldner gekoppelt ist, einfügen:</w:t>
            </w:r>
            <w:r w:rsidRPr="004B018A">
              <w:rPr>
                <w:lang w:val="de-DE"/>
              </w:rPr>
              <w:t xml:space="preserve"> des</w:t>
            </w:r>
            <w:r w:rsidRPr="00792D61">
              <w:rPr>
                <w:b/>
                <w:lang w:val="de-DE"/>
              </w:rPr>
              <w:t>][</w:t>
            </w:r>
            <w:r w:rsidRPr="00AC7EB7">
              <w:rPr>
                <w:b/>
                <w:i/>
                <w:lang w:val="de-DE"/>
              </w:rPr>
              <w:t>falls ein Korb anwendbar ist oder bei Komplexen Produkten mit N</w:t>
            </w:r>
            <w:r w:rsidRPr="00BD6E0D">
              <w:rPr>
                <w:b/>
                <w:i/>
                <w:vertAlign w:val="superscript"/>
                <w:lang w:val="de-DE"/>
              </w:rPr>
              <w:t>th</w:t>
            </w:r>
            <w:r w:rsidRPr="00AC7EB7">
              <w:rPr>
                <w:b/>
                <w:i/>
                <w:lang w:val="de-DE"/>
              </w:rPr>
              <w:t>-to-Default-Struktur, einfügen:</w:t>
            </w:r>
            <w:r w:rsidRPr="004B018A">
              <w:rPr>
                <w:lang w:val="de-DE"/>
              </w:rPr>
              <w:t xml:space="preserve"> eines</w:t>
            </w:r>
            <w:r w:rsidRPr="00792D61">
              <w:rPr>
                <w:b/>
                <w:lang w:val="de-DE"/>
              </w:rPr>
              <w:t>]</w:t>
            </w:r>
            <w:r w:rsidRPr="004B018A">
              <w:rPr>
                <w:lang w:val="de-DE"/>
              </w:rPr>
              <w:t xml:space="preserve"> Referenz-schuldners, wobei jedoch kein Rechtsträger mehr als 25% der Massgeblichen Verbindlichkeiten </w:t>
            </w:r>
            <w:r w:rsidRPr="00792D61">
              <w:rPr>
                <w:b/>
                <w:lang w:val="de-DE"/>
              </w:rPr>
              <w:t>[</w:t>
            </w:r>
            <w:r w:rsidRPr="00AC7EB7">
              <w:rPr>
                <w:b/>
                <w:i/>
                <w:lang w:val="de-DE"/>
              </w:rPr>
              <w:t>falls ein Komplexes Produkt nur an einen Referenzschuldner gekoppelt ist, einfügen:</w:t>
            </w:r>
            <w:r w:rsidRPr="004B018A">
              <w:rPr>
                <w:lang w:val="de-DE"/>
              </w:rPr>
              <w:t xml:space="preserve"> des</w:t>
            </w:r>
            <w:r w:rsidRPr="00792D61">
              <w:rPr>
                <w:b/>
                <w:lang w:val="de-DE"/>
              </w:rPr>
              <w:t>][</w:t>
            </w:r>
            <w:r w:rsidRPr="00AC7EB7">
              <w:rPr>
                <w:b/>
                <w:i/>
                <w:lang w:val="de-DE"/>
              </w:rPr>
              <w:t>falls ein Korb anwendbar ist oder bei Komplexen Produkten mit N</w:t>
            </w:r>
            <w:r w:rsidRPr="00BD6E0D">
              <w:rPr>
                <w:b/>
                <w:i/>
                <w:vertAlign w:val="superscript"/>
                <w:lang w:val="de-DE"/>
              </w:rPr>
              <w:t>th</w:t>
            </w:r>
            <w:r w:rsidRPr="00AC7EB7">
              <w:rPr>
                <w:b/>
                <w:i/>
                <w:lang w:val="de-DE"/>
              </w:rPr>
              <w:t>-to-Default-Struktur, einfügen:</w:t>
            </w:r>
            <w:r w:rsidRPr="004B018A">
              <w:rPr>
                <w:lang w:val="de-DE"/>
              </w:rPr>
              <w:t xml:space="preserve"> des betreffenden</w:t>
            </w:r>
            <w:r w:rsidRPr="00792D61">
              <w:rPr>
                <w:b/>
                <w:lang w:val="de-DE"/>
              </w:rPr>
              <w:t>]</w:t>
            </w:r>
            <w:r w:rsidRPr="004B018A">
              <w:rPr>
                <w:lang w:val="de-DE"/>
              </w:rPr>
              <w:t xml:space="preserve"> Referenzschuldners übernimmt und </w:t>
            </w:r>
            <w:r w:rsidRPr="00792D61">
              <w:rPr>
                <w:b/>
                <w:lang w:val="de-DE"/>
              </w:rPr>
              <w:t>[</w:t>
            </w:r>
            <w:r w:rsidRPr="00AC7EB7">
              <w:rPr>
                <w:b/>
                <w:i/>
                <w:lang w:val="de-DE"/>
              </w:rPr>
              <w:t>falls ein Komplexes Produkt nur an einen Referenzschuldner gekoppelt ist, einfügen:</w:t>
            </w:r>
            <w:r w:rsidRPr="004B018A">
              <w:rPr>
                <w:lang w:val="de-DE"/>
              </w:rPr>
              <w:t xml:space="preserve"> der</w:t>
            </w:r>
            <w:r w:rsidRPr="00792D61">
              <w:rPr>
                <w:b/>
                <w:lang w:val="de-DE"/>
              </w:rPr>
              <w:t>][</w:t>
            </w:r>
            <w:r w:rsidRPr="00AC7EB7">
              <w:rPr>
                <w:b/>
                <w:i/>
                <w:lang w:val="de-DE"/>
              </w:rPr>
              <w:t>falls ein Korb anwendbar ist oder bei Komplexen Produkten mit N</w:t>
            </w:r>
            <w:r w:rsidRPr="00BD6E0D">
              <w:rPr>
                <w:b/>
                <w:i/>
                <w:vertAlign w:val="superscript"/>
                <w:lang w:val="de-DE"/>
              </w:rPr>
              <w:t>th</w:t>
            </w:r>
            <w:r w:rsidRPr="00AC7EB7">
              <w:rPr>
                <w:b/>
                <w:i/>
                <w:lang w:val="de-DE"/>
              </w:rPr>
              <w:t>-to-Default-Struktur, einfügen:</w:t>
            </w:r>
            <w:r w:rsidRPr="004B018A">
              <w:rPr>
                <w:lang w:val="de-DE"/>
              </w:rPr>
              <w:t xml:space="preserve"> der betreffende</w:t>
            </w:r>
            <w:r w:rsidRPr="00792D61">
              <w:rPr>
                <w:b/>
                <w:lang w:val="de-DE"/>
              </w:rPr>
              <w:t>]</w:t>
            </w:r>
            <w:r w:rsidRPr="004B018A">
              <w:rPr>
                <w:lang w:val="de-DE"/>
              </w:rPr>
              <w:t xml:space="preserve"> Referenzschuldner fortbesteht, so gibt es keinen </w:t>
            </w:r>
            <w:r w:rsidRPr="00153202">
              <w:rPr>
                <w:lang w:val="de-DE"/>
              </w:rPr>
              <w:t>Rechtsn</w:t>
            </w:r>
            <w:r w:rsidRPr="004B018A">
              <w:rPr>
                <w:lang w:val="de-DE"/>
              </w:rPr>
              <w:t xml:space="preserve">achfolger </w:t>
            </w:r>
            <w:r w:rsidRPr="00792D61">
              <w:rPr>
                <w:b/>
                <w:lang w:val="de-DE"/>
              </w:rPr>
              <w:t>[</w:t>
            </w:r>
            <w:r w:rsidRPr="00AC7EB7">
              <w:rPr>
                <w:b/>
                <w:i/>
                <w:lang w:val="de-DE"/>
              </w:rPr>
              <w:t>falls ein Komplexes Produkt nur an einen Referenzschuldner gekoppelt ist, einfügen:</w:t>
            </w:r>
            <w:r w:rsidRPr="004B018A">
              <w:rPr>
                <w:lang w:val="de-DE"/>
              </w:rPr>
              <w:t xml:space="preserve"> des</w:t>
            </w:r>
            <w:r w:rsidRPr="00792D61">
              <w:rPr>
                <w:b/>
                <w:lang w:val="de-DE"/>
              </w:rPr>
              <w:t>][</w:t>
            </w:r>
            <w:r w:rsidRPr="00AC7EB7">
              <w:rPr>
                <w:b/>
                <w:i/>
                <w:lang w:val="de-DE"/>
              </w:rPr>
              <w:t>falls ein Korb anwendbar ist oder bei Komplexen Produkten mit N</w:t>
            </w:r>
            <w:r w:rsidRPr="00BD6E0D">
              <w:rPr>
                <w:b/>
                <w:i/>
                <w:vertAlign w:val="superscript"/>
                <w:lang w:val="de-DE"/>
              </w:rPr>
              <w:t>th</w:t>
            </w:r>
            <w:r w:rsidRPr="00AC7EB7">
              <w:rPr>
                <w:b/>
                <w:i/>
                <w:lang w:val="de-DE"/>
              </w:rPr>
              <w:t>-to-Default-Struktur, einfügen:</w:t>
            </w:r>
            <w:r w:rsidRPr="004B018A">
              <w:rPr>
                <w:lang w:val="de-DE"/>
              </w:rPr>
              <w:t xml:space="preserve"> dieses</w:t>
            </w:r>
            <w:r w:rsidRPr="00792D61">
              <w:rPr>
                <w:b/>
                <w:lang w:val="de-DE"/>
              </w:rPr>
              <w:t>]</w:t>
            </w:r>
            <w:r w:rsidRPr="004B018A">
              <w:rPr>
                <w:lang w:val="de-DE"/>
              </w:rPr>
              <w:t xml:space="preserve"> Referenzschuldners, und es kommt infolge einer solchen </w:t>
            </w:r>
            <w:r w:rsidRPr="00F25BA4">
              <w:rPr>
                <w:lang w:val="de-DE"/>
              </w:rPr>
              <w:t>Rechtsn</w:t>
            </w:r>
            <w:r w:rsidRPr="004B018A">
              <w:rPr>
                <w:lang w:val="de-DE"/>
              </w:rPr>
              <w:t xml:space="preserve">achfolge zu keinerlei Änderungen hinsichtlich </w:t>
            </w:r>
            <w:r w:rsidRPr="00792D61">
              <w:rPr>
                <w:b/>
                <w:lang w:val="de-DE"/>
              </w:rPr>
              <w:t>[</w:t>
            </w:r>
            <w:r w:rsidRPr="00AC7EB7">
              <w:rPr>
                <w:b/>
                <w:i/>
                <w:lang w:val="de-DE"/>
              </w:rPr>
              <w:t>falls ein Komplexes Produkt nur an einen Referenzschuldner gekoppelt ist, einfügen:</w:t>
            </w:r>
            <w:r w:rsidRPr="004B018A">
              <w:rPr>
                <w:lang w:val="de-DE"/>
              </w:rPr>
              <w:t xml:space="preserve"> des</w:t>
            </w:r>
            <w:r w:rsidRPr="00792D61">
              <w:rPr>
                <w:b/>
                <w:lang w:val="de-DE"/>
              </w:rPr>
              <w:t>][</w:t>
            </w:r>
            <w:r w:rsidRPr="00AC7EB7">
              <w:rPr>
                <w:b/>
                <w:i/>
                <w:lang w:val="de-DE"/>
              </w:rPr>
              <w:t>falls ein Korb anwendbar ist oder bei Komplexen Produkten mit N</w:t>
            </w:r>
            <w:r w:rsidRPr="00BD6E0D">
              <w:rPr>
                <w:b/>
                <w:i/>
                <w:vertAlign w:val="superscript"/>
                <w:lang w:val="de-DE"/>
              </w:rPr>
              <w:t>th</w:t>
            </w:r>
            <w:r w:rsidRPr="00AC7EB7">
              <w:rPr>
                <w:b/>
                <w:i/>
                <w:lang w:val="de-DE"/>
              </w:rPr>
              <w:t>-to-Default-Struktur, einfügen:</w:t>
            </w:r>
            <w:r w:rsidRPr="004B018A">
              <w:rPr>
                <w:lang w:val="de-DE"/>
              </w:rPr>
              <w:t xml:space="preserve"> des betreffenden</w:t>
            </w:r>
            <w:r w:rsidRPr="00792D61">
              <w:rPr>
                <w:b/>
                <w:lang w:val="de-DE"/>
              </w:rPr>
              <w:t>]</w:t>
            </w:r>
            <w:r w:rsidRPr="004B018A">
              <w:rPr>
                <w:lang w:val="de-DE"/>
              </w:rPr>
              <w:t xml:space="preserve"> Referenzschuldners und der Komplexen Produkte;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4B018A" w:rsidP="00921F8E">
            <w:pPr>
              <w:pStyle w:val="CSManNum8pt"/>
            </w:pPr>
            <w:r w:rsidRPr="004B018A">
              <w:t>(f)</w:t>
            </w:r>
            <w:r w:rsidRPr="004B018A">
              <w:tab/>
              <w:t xml:space="preserve">if one or more entities succeed, either directly or as a provider of a Relevant Guarantee to a portion of the Relevant Obligations of </w:t>
            </w:r>
            <w:r w:rsidRPr="00792D61">
              <w:rPr>
                <w:b/>
              </w:rPr>
              <w:t>[</w:t>
            </w:r>
            <w:r w:rsidRPr="000A5793">
              <w:rPr>
                <w:b/>
                <w:i/>
              </w:rPr>
              <w:t>if a Complex Product is only linked to one Reference Entity, insert:</w:t>
            </w:r>
            <w:r w:rsidRPr="004B018A">
              <w:t xml:space="preserve"> the</w:t>
            </w:r>
            <w:r w:rsidRPr="00792D61">
              <w:rPr>
                <w:b/>
              </w:rPr>
              <w:t>][</w:t>
            </w:r>
            <w:r w:rsidRPr="000A5793">
              <w:rPr>
                <w:b/>
                <w:i/>
              </w:rPr>
              <w:t>if a Basket is applicable or in the case of Complex Products with N</w:t>
            </w:r>
            <w:r w:rsidRPr="00BD6E0D">
              <w:rPr>
                <w:b/>
                <w:i/>
                <w:vertAlign w:val="superscript"/>
              </w:rPr>
              <w:t>th</w:t>
            </w:r>
            <w:r w:rsidRPr="000A5793">
              <w:rPr>
                <w:b/>
                <w:i/>
              </w:rPr>
              <w:t>-to-Default structure, insert:</w:t>
            </w:r>
            <w:r w:rsidRPr="004B018A">
              <w:t xml:space="preserve"> such</w:t>
            </w:r>
            <w:r w:rsidRPr="00792D61">
              <w:rPr>
                <w:b/>
              </w:rPr>
              <w:t>]</w:t>
            </w:r>
            <w:r w:rsidRPr="004B018A">
              <w:t xml:space="preserve"> Reference Entity, but no entity succeeds to more than 25 per cent. of the Relevant Obligations of </w:t>
            </w:r>
            <w:r w:rsidRPr="00792D61">
              <w:rPr>
                <w:b/>
              </w:rPr>
              <w:t>[</w:t>
            </w:r>
            <w:r w:rsidRPr="000A5793">
              <w:rPr>
                <w:b/>
                <w:i/>
              </w:rPr>
              <w:t>if a Complex Product is only linked to one Reference Entity, insert:</w:t>
            </w:r>
            <w:r w:rsidRPr="004B018A">
              <w:t xml:space="preserve"> the</w:t>
            </w:r>
            <w:r w:rsidRPr="00792D61">
              <w:rPr>
                <w:b/>
              </w:rPr>
              <w:t>][</w:t>
            </w:r>
            <w:r w:rsidRPr="000A5793">
              <w:rPr>
                <w:b/>
                <w:i/>
              </w:rPr>
              <w:t>if a Basket is applicable or in the case of Complex Products with N</w:t>
            </w:r>
            <w:r w:rsidRPr="00BD6E0D">
              <w:rPr>
                <w:b/>
                <w:i/>
                <w:vertAlign w:val="superscript"/>
              </w:rPr>
              <w:t>th</w:t>
            </w:r>
            <w:r w:rsidRPr="000A5793">
              <w:rPr>
                <w:b/>
                <w:i/>
              </w:rPr>
              <w:t>-to-Default structure, insert:</w:t>
            </w:r>
            <w:r w:rsidRPr="004B018A">
              <w:t xml:space="preserve"> such</w:t>
            </w:r>
            <w:r w:rsidRPr="00792D61">
              <w:rPr>
                <w:b/>
              </w:rPr>
              <w:t>]</w:t>
            </w:r>
            <w:r w:rsidRPr="004B018A">
              <w:t xml:space="preserve"> Reference Entity and </w:t>
            </w:r>
            <w:r w:rsidRPr="00792D61">
              <w:rPr>
                <w:b/>
              </w:rPr>
              <w:t>[</w:t>
            </w:r>
            <w:r w:rsidRPr="000A5793">
              <w:rPr>
                <w:b/>
                <w:i/>
              </w:rPr>
              <w:t>if a Complex Product is only linked to one Reference Entity, insert:</w:t>
            </w:r>
            <w:r w:rsidRPr="004B018A">
              <w:t xml:space="preserve"> the</w:t>
            </w:r>
            <w:r w:rsidRPr="00792D61">
              <w:rPr>
                <w:b/>
              </w:rPr>
              <w:t>][</w:t>
            </w:r>
            <w:r w:rsidRPr="000A5793">
              <w:rPr>
                <w:b/>
                <w:i/>
              </w:rPr>
              <w:t>if a Basket is applicable or in the case of Complex Products with N</w:t>
            </w:r>
            <w:r w:rsidRPr="00BD6E0D">
              <w:rPr>
                <w:b/>
                <w:i/>
                <w:vertAlign w:val="superscript"/>
              </w:rPr>
              <w:t>th</w:t>
            </w:r>
            <w:r w:rsidRPr="000A5793">
              <w:rPr>
                <w:b/>
                <w:i/>
              </w:rPr>
              <w:t>-to-Default structure, insert:</w:t>
            </w:r>
            <w:r w:rsidRPr="004B018A">
              <w:t xml:space="preserve"> such</w:t>
            </w:r>
            <w:r w:rsidRPr="00792D61">
              <w:rPr>
                <w:b/>
              </w:rPr>
              <w:t>]</w:t>
            </w:r>
            <w:r w:rsidRPr="004B018A">
              <w:t xml:space="preserve"> Reference Entity ceases to exist, the entity that succeeds to the greatest percentage of Relevant Obligations will be the Successor of </w:t>
            </w:r>
            <w:r w:rsidRPr="00792D61">
              <w:rPr>
                <w:b/>
              </w:rPr>
              <w:t>[</w:t>
            </w:r>
            <w:r w:rsidRPr="000A5793">
              <w:rPr>
                <w:b/>
                <w:i/>
              </w:rPr>
              <w:t>if a Complex Product is only linked to one Reference Entity, insert:</w:t>
            </w:r>
            <w:r w:rsidRPr="004B018A">
              <w:t xml:space="preserve"> the</w:t>
            </w:r>
            <w:r w:rsidRPr="00792D61">
              <w:rPr>
                <w:b/>
              </w:rPr>
              <w:t>][</w:t>
            </w:r>
            <w:r w:rsidRPr="000A5793">
              <w:rPr>
                <w:b/>
                <w:i/>
              </w:rPr>
              <w:t>if a Basket is applicable or in the case of Complex Products with N</w:t>
            </w:r>
            <w:r w:rsidRPr="00BD6E0D">
              <w:rPr>
                <w:b/>
                <w:i/>
                <w:vertAlign w:val="superscript"/>
              </w:rPr>
              <w:t>th</w:t>
            </w:r>
            <w:r w:rsidRPr="000A5793">
              <w:rPr>
                <w:b/>
                <w:i/>
              </w:rPr>
              <w:t>-to-Default structure, insert:</w:t>
            </w:r>
            <w:r w:rsidRPr="004B018A">
              <w:t xml:space="preserve"> such</w:t>
            </w:r>
            <w:r w:rsidRPr="00792D61">
              <w:rPr>
                <w:b/>
              </w:rPr>
              <w:t>]</w:t>
            </w:r>
            <w:r w:rsidRPr="004B018A">
              <w:t xml:space="preserve"> Reference Entity (provided that, if two or more entities succeed to an equal percentage of Relevant Obligations, each such entity will be a Successor to </w:t>
            </w:r>
            <w:r w:rsidRPr="00792D61">
              <w:rPr>
                <w:b/>
              </w:rPr>
              <w:t>[</w:t>
            </w:r>
            <w:r w:rsidRPr="000A5793">
              <w:rPr>
                <w:b/>
                <w:i/>
              </w:rPr>
              <w:t>if a Complex Product is only linked to one Reference Entity, insert:</w:t>
            </w:r>
            <w:r w:rsidRPr="004B018A">
              <w:t xml:space="preserve"> the</w:t>
            </w:r>
            <w:r w:rsidRPr="00792D61">
              <w:rPr>
                <w:b/>
              </w:rPr>
              <w:t>][</w:t>
            </w:r>
            <w:r w:rsidRPr="000A5793">
              <w:rPr>
                <w:b/>
                <w:i/>
              </w:rPr>
              <w:t>if a Basket is applicable or in the case of Complex Products with N</w:t>
            </w:r>
            <w:r w:rsidRPr="00BD6E0D">
              <w:rPr>
                <w:b/>
                <w:i/>
                <w:vertAlign w:val="superscript"/>
              </w:rPr>
              <w:t>th</w:t>
            </w:r>
            <w:r w:rsidRPr="000A5793">
              <w:rPr>
                <w:b/>
                <w:i/>
              </w:rPr>
              <w:t>-to-Default structure, insert:</w:t>
            </w:r>
            <w:r w:rsidRPr="004B018A">
              <w:t xml:space="preserve"> such</w:t>
            </w:r>
            <w:r w:rsidRPr="00792D61">
              <w:rPr>
                <w:b/>
              </w:rPr>
              <w:t>]</w:t>
            </w:r>
            <w:r w:rsidRPr="004B018A">
              <w:t xml:space="preserve"> Reference Entity</w:t>
            </w:r>
            <w:r>
              <w:t>)</w:t>
            </w:r>
            <w:r w:rsidRPr="004B018A">
              <w:t xml:space="preserve"> </w:t>
            </w:r>
            <w:r w:rsidRPr="00792D61">
              <w:rPr>
                <w:b/>
              </w:rPr>
              <w:t>[</w:t>
            </w:r>
            <w:r w:rsidRPr="004B018A">
              <w:t>and</w:t>
            </w:r>
            <w:r>
              <w:t xml:space="preserve"> in such case</w:t>
            </w:r>
            <w:r w:rsidRPr="004B018A">
              <w:t xml:space="preserve"> the Calculation Agent shall be entitled to make the deteminations set out in subparagraph (vi) of this definition</w:t>
            </w:r>
            <w:r w:rsidRPr="00792D61">
              <w:rPr>
                <w:b/>
              </w:rPr>
              <w:t>]</w:t>
            </w:r>
            <w:r w:rsidRPr="004B018A">
              <w:t>.</w:t>
            </w:r>
          </w:p>
        </w:tc>
        <w:tc>
          <w:tcPr>
            <w:tcW w:w="1618" w:type="dxa"/>
            <w:gridSpan w:val="2"/>
            <w:tcBorders>
              <w:top w:val="nil"/>
              <w:bottom w:val="nil"/>
              <w:right w:val="nil"/>
            </w:tcBorders>
            <w:shd w:val="clear" w:color="auto" w:fill="auto"/>
          </w:tcPr>
          <w:p w:rsidR="0017135D" w:rsidRPr="004B018A" w:rsidP="00E60155">
            <w:pPr>
              <w:pStyle w:val="CSBody0"/>
              <w:rPr>
                <w:i/>
              </w:rPr>
            </w:pPr>
          </w:p>
        </w:tc>
        <w:tc>
          <w:tcPr>
            <w:tcW w:w="3318" w:type="dxa"/>
            <w:tcBorders>
              <w:top w:val="nil"/>
              <w:left w:val="nil"/>
              <w:bottom w:val="nil"/>
              <w:right w:val="nil"/>
            </w:tcBorders>
            <w:shd w:val="clear" w:color="auto" w:fill="auto"/>
          </w:tcPr>
          <w:p w:rsidR="0017135D" w:rsidRPr="004B018A" w:rsidP="004C1EBA">
            <w:pPr>
              <w:pStyle w:val="CSManNum8pt"/>
              <w:rPr>
                <w:lang w:val="de-DE"/>
              </w:rPr>
            </w:pPr>
            <w:r w:rsidRPr="004B018A">
              <w:rPr>
                <w:lang w:val="de-DE"/>
              </w:rPr>
              <w:t>(f)</w:t>
            </w:r>
            <w:r w:rsidRPr="004B018A">
              <w:rPr>
                <w:lang w:val="de-DE"/>
              </w:rPr>
              <w:tab/>
              <w:t xml:space="preserve">übernehmen ein oder mehrere Rechtsträger entweder unmittelbar oder als Geber einer Massgeblichen Garantie einen Teil der Massgeblichen Verbindlichkeiten </w:t>
            </w:r>
            <w:r w:rsidRPr="00792D61">
              <w:rPr>
                <w:b/>
                <w:lang w:val="de-DE"/>
              </w:rPr>
              <w:t>[</w:t>
            </w:r>
            <w:r w:rsidRPr="000A5793">
              <w:rPr>
                <w:b/>
                <w:i/>
                <w:lang w:val="de-DE"/>
              </w:rPr>
              <w:t>falls ein Komplexes Produkt nur an einen Referenzschuldner gekoppelt ist, einfügen:</w:t>
            </w:r>
            <w:r w:rsidRPr="004B018A">
              <w:rPr>
                <w:lang w:val="de-DE"/>
              </w:rPr>
              <w:t xml:space="preserve"> des</w:t>
            </w:r>
            <w:r w:rsidRPr="00792D61">
              <w:rPr>
                <w:b/>
                <w:lang w:val="de-DE"/>
              </w:rPr>
              <w:t>][</w:t>
            </w:r>
            <w:r w:rsidRPr="000A5793">
              <w:rPr>
                <w:b/>
                <w:i/>
                <w:lang w:val="de-DE"/>
              </w:rPr>
              <w:t>falls ein Korb anwendbar ist oder bei Komplexen Produkten mit N</w:t>
            </w:r>
            <w:r w:rsidRPr="00BD6E0D">
              <w:rPr>
                <w:b/>
                <w:i/>
                <w:vertAlign w:val="superscript"/>
                <w:lang w:val="de-DE"/>
              </w:rPr>
              <w:t>th</w:t>
            </w:r>
            <w:r w:rsidRPr="000A5793">
              <w:rPr>
                <w:b/>
                <w:i/>
                <w:lang w:val="de-DE"/>
              </w:rPr>
              <w:t>-to-Default-Struktur, einfügen:</w:t>
            </w:r>
            <w:r w:rsidRPr="004B018A">
              <w:rPr>
                <w:lang w:val="de-DE"/>
              </w:rPr>
              <w:t xml:space="preserve"> eines</w:t>
            </w:r>
            <w:r w:rsidRPr="00792D61">
              <w:rPr>
                <w:b/>
                <w:lang w:val="de-DE"/>
              </w:rPr>
              <w:t>]</w:t>
            </w:r>
            <w:r w:rsidRPr="004B018A">
              <w:rPr>
                <w:lang w:val="de-DE"/>
              </w:rPr>
              <w:t xml:space="preserve"> Referenz-schuldners, wobei jedoch kein Rechtsträger mehr als 25% der Massgeblichen Verbindlichkeiten </w:t>
            </w:r>
            <w:r w:rsidRPr="00792D61">
              <w:rPr>
                <w:b/>
                <w:lang w:val="de-DE"/>
              </w:rPr>
              <w:t>[</w:t>
            </w:r>
            <w:r w:rsidRPr="000A5793">
              <w:rPr>
                <w:b/>
                <w:i/>
                <w:lang w:val="de-DE"/>
              </w:rPr>
              <w:t>falls ein Komplexes Produkt nur an einen Referenzschuldner gekoppelt ist, einfügen:</w:t>
            </w:r>
            <w:r w:rsidRPr="004B018A">
              <w:rPr>
                <w:lang w:val="de-DE"/>
              </w:rPr>
              <w:t xml:space="preserve"> des</w:t>
            </w:r>
            <w:r w:rsidRPr="00792D61">
              <w:rPr>
                <w:b/>
                <w:lang w:val="de-DE"/>
              </w:rPr>
              <w:t>][</w:t>
            </w:r>
            <w:r w:rsidRPr="000A5793">
              <w:rPr>
                <w:b/>
                <w:i/>
                <w:lang w:val="de-DE"/>
              </w:rPr>
              <w:t>falls ein Korb anwendbar ist oder bei Komplexen Produkten mit N</w:t>
            </w:r>
            <w:r w:rsidRPr="00BD6E0D">
              <w:rPr>
                <w:b/>
                <w:i/>
                <w:vertAlign w:val="superscript"/>
                <w:lang w:val="de-DE"/>
              </w:rPr>
              <w:t>th</w:t>
            </w:r>
            <w:r w:rsidRPr="000A5793">
              <w:rPr>
                <w:b/>
                <w:i/>
                <w:lang w:val="de-DE"/>
              </w:rPr>
              <w:t>-to-Default-Struktur, einfügen:</w:t>
            </w:r>
            <w:r w:rsidRPr="004B018A">
              <w:rPr>
                <w:lang w:val="de-DE"/>
              </w:rPr>
              <w:t xml:space="preserve"> des betreffenden</w:t>
            </w:r>
            <w:r w:rsidRPr="00792D61">
              <w:rPr>
                <w:b/>
                <w:lang w:val="de-DE"/>
              </w:rPr>
              <w:t>]</w:t>
            </w:r>
            <w:r w:rsidRPr="004B018A">
              <w:rPr>
                <w:lang w:val="de-DE"/>
              </w:rPr>
              <w:t xml:space="preserve"> Referenzschuldners übernimmt und </w:t>
            </w:r>
            <w:r w:rsidRPr="00792D61">
              <w:rPr>
                <w:b/>
                <w:lang w:val="de-DE"/>
              </w:rPr>
              <w:t>[</w:t>
            </w:r>
            <w:r w:rsidRPr="000A5793">
              <w:rPr>
                <w:b/>
                <w:i/>
                <w:lang w:val="de-DE"/>
              </w:rPr>
              <w:t>falls ein Komplexes Produkt nur an einen Referenzschuldner gekoppelt ist, einfügen:</w:t>
            </w:r>
            <w:r w:rsidRPr="004B018A">
              <w:rPr>
                <w:lang w:val="de-DE"/>
              </w:rPr>
              <w:t xml:space="preserve"> der</w:t>
            </w:r>
            <w:r w:rsidRPr="00792D61">
              <w:rPr>
                <w:b/>
                <w:lang w:val="de-DE"/>
              </w:rPr>
              <w:t>][</w:t>
            </w:r>
            <w:r w:rsidRPr="000A5793">
              <w:rPr>
                <w:b/>
                <w:i/>
                <w:lang w:val="de-DE"/>
              </w:rPr>
              <w:t>falls ein Korb anwendbar ist oder bei Komplexen Produkten mit N</w:t>
            </w:r>
            <w:r w:rsidRPr="00BD6E0D">
              <w:rPr>
                <w:b/>
                <w:i/>
                <w:vertAlign w:val="superscript"/>
                <w:lang w:val="de-DE"/>
              </w:rPr>
              <w:t>th</w:t>
            </w:r>
            <w:r w:rsidRPr="000A5793">
              <w:rPr>
                <w:b/>
                <w:i/>
                <w:lang w:val="de-DE"/>
              </w:rPr>
              <w:t>-to-Default-Struktur, einfügen:</w:t>
            </w:r>
            <w:r w:rsidRPr="004B018A">
              <w:rPr>
                <w:lang w:val="de-DE"/>
              </w:rPr>
              <w:t xml:space="preserve"> der betreffende</w:t>
            </w:r>
            <w:r w:rsidRPr="00792D61">
              <w:rPr>
                <w:b/>
                <w:lang w:val="de-DE"/>
              </w:rPr>
              <w:t>]</w:t>
            </w:r>
            <w:r w:rsidRPr="004B018A">
              <w:rPr>
                <w:lang w:val="de-DE"/>
              </w:rPr>
              <w:t xml:space="preserve"> Referenzschuldner nicht fortbesteht, so ist derjenige Rechtsträger, der den grössten Prozentsatz an Massgeblichen Verbindlichkeiten </w:t>
            </w:r>
            <w:r w:rsidRPr="00792D61">
              <w:rPr>
                <w:b/>
                <w:lang w:val="de-DE"/>
              </w:rPr>
              <w:t>[</w:t>
            </w:r>
            <w:r w:rsidRPr="000A5793">
              <w:rPr>
                <w:b/>
                <w:i/>
                <w:lang w:val="de-DE"/>
              </w:rPr>
              <w:t>falls ein Komplexes Produkt nur an einen Referenzschuldner gekoppelt ist, einfügen:</w:t>
            </w:r>
            <w:r w:rsidRPr="004B018A">
              <w:rPr>
                <w:lang w:val="de-DE"/>
              </w:rPr>
              <w:t xml:space="preserve"> des</w:t>
            </w:r>
            <w:r w:rsidRPr="00792D61">
              <w:rPr>
                <w:b/>
                <w:lang w:val="de-DE"/>
              </w:rPr>
              <w:t>][</w:t>
            </w:r>
            <w:r w:rsidRPr="000A5793">
              <w:rPr>
                <w:b/>
                <w:i/>
                <w:lang w:val="de-DE"/>
              </w:rPr>
              <w:t>falls ein Korb anwendbar ist oder bei Komplexen Produkten mit N</w:t>
            </w:r>
            <w:r w:rsidRPr="00BD6E0D">
              <w:rPr>
                <w:b/>
                <w:i/>
                <w:vertAlign w:val="superscript"/>
                <w:lang w:val="de-DE"/>
              </w:rPr>
              <w:t>th</w:t>
            </w:r>
            <w:r w:rsidRPr="000A5793">
              <w:rPr>
                <w:b/>
                <w:i/>
                <w:lang w:val="de-DE"/>
              </w:rPr>
              <w:t>-to-Default-Struktur, einfügen:</w:t>
            </w:r>
            <w:r w:rsidRPr="004B018A">
              <w:rPr>
                <w:lang w:val="de-DE"/>
              </w:rPr>
              <w:t xml:space="preserve"> dieses</w:t>
            </w:r>
            <w:r w:rsidRPr="00792D61">
              <w:rPr>
                <w:b/>
                <w:lang w:val="de-DE"/>
              </w:rPr>
              <w:t>]</w:t>
            </w:r>
            <w:r w:rsidRPr="004B018A">
              <w:rPr>
                <w:lang w:val="de-DE"/>
              </w:rPr>
              <w:t xml:space="preserve"> Referenzschuldners übernimmt </w:t>
            </w:r>
            <w:r>
              <w:rPr>
                <w:lang w:val="de-DE"/>
              </w:rPr>
              <w:t xml:space="preserve">der Rechtsnachfolger </w:t>
            </w:r>
            <w:r w:rsidRPr="004B018A">
              <w:rPr>
                <w:lang w:val="de-DE"/>
              </w:rPr>
              <w:t xml:space="preserve">(bzw. in dem Fall, dass zwei oder mehr Rechtsträger den gleichen Prozentsatz an Massgeblichen Verbindlichkeiten übernehmen, ist jeder dieser Rechtsträger ein </w:t>
            </w:r>
            <w:r w:rsidRPr="00153202">
              <w:rPr>
                <w:lang w:val="de-DE"/>
              </w:rPr>
              <w:t>Rechtsn</w:t>
            </w:r>
            <w:r w:rsidRPr="004B018A">
              <w:rPr>
                <w:lang w:val="de-DE"/>
              </w:rPr>
              <w:t xml:space="preserve">achfolger </w:t>
            </w:r>
            <w:r w:rsidRPr="00792D61">
              <w:rPr>
                <w:b/>
                <w:lang w:val="de-DE"/>
              </w:rPr>
              <w:t>[</w:t>
            </w:r>
            <w:r w:rsidRPr="000A5793">
              <w:rPr>
                <w:b/>
                <w:i/>
                <w:lang w:val="de-DE"/>
              </w:rPr>
              <w:t>falls ein Komplexes Produkt nur an einen Referenzschuldner gekoppelt ist, einfügen:</w:t>
            </w:r>
            <w:r w:rsidRPr="004B018A">
              <w:rPr>
                <w:lang w:val="de-DE"/>
              </w:rPr>
              <w:t xml:space="preserve"> des</w:t>
            </w:r>
            <w:r w:rsidRPr="00792D61">
              <w:rPr>
                <w:b/>
                <w:lang w:val="de-DE"/>
              </w:rPr>
              <w:t>][</w:t>
            </w:r>
            <w:r w:rsidRPr="000A5793">
              <w:rPr>
                <w:b/>
                <w:i/>
                <w:lang w:val="de-DE"/>
              </w:rPr>
              <w:t>falls ein Korb anwendbar ist oder bei Komplexen Produkten mit N</w:t>
            </w:r>
            <w:r w:rsidRPr="00BD6E0D">
              <w:rPr>
                <w:b/>
                <w:i/>
                <w:vertAlign w:val="superscript"/>
                <w:lang w:val="de-DE"/>
              </w:rPr>
              <w:t>th</w:t>
            </w:r>
            <w:r w:rsidRPr="000A5793">
              <w:rPr>
                <w:b/>
                <w:i/>
                <w:lang w:val="de-DE"/>
              </w:rPr>
              <w:t>-to-Default-Struktur, einfügen:</w:t>
            </w:r>
            <w:r w:rsidRPr="004B018A">
              <w:rPr>
                <w:lang w:val="de-DE"/>
              </w:rPr>
              <w:t xml:space="preserve"> des betreffenden</w:t>
            </w:r>
            <w:r w:rsidRPr="00792D61">
              <w:rPr>
                <w:b/>
                <w:lang w:val="de-DE"/>
              </w:rPr>
              <w:t>]</w:t>
            </w:r>
            <w:r w:rsidRPr="004B018A">
              <w:rPr>
                <w:lang w:val="de-DE"/>
              </w:rPr>
              <w:t xml:space="preserve"> Referenzschuldners</w:t>
            </w:r>
            <w:r>
              <w:rPr>
                <w:lang w:val="de-DE"/>
              </w:rPr>
              <w:t>)</w:t>
            </w:r>
            <w:r w:rsidRPr="004B018A">
              <w:rPr>
                <w:lang w:val="de-DE"/>
              </w:rPr>
              <w:t xml:space="preserve"> </w:t>
            </w:r>
            <w:r w:rsidRPr="00792D61">
              <w:rPr>
                <w:b/>
                <w:lang w:val="de-DE"/>
              </w:rPr>
              <w:t>[</w:t>
            </w:r>
            <w:r w:rsidRPr="004B018A">
              <w:rPr>
                <w:lang w:val="de-DE"/>
              </w:rPr>
              <w:t xml:space="preserve">und die Berechnungsstelle ist </w:t>
            </w:r>
            <w:r>
              <w:rPr>
                <w:lang w:val="de-DE"/>
              </w:rPr>
              <w:t xml:space="preserve">in diesem Fall </w:t>
            </w:r>
            <w:r w:rsidRPr="004B018A">
              <w:rPr>
                <w:lang w:val="de-DE"/>
              </w:rPr>
              <w:t>berechtigt, die in Unterabsatz (vi) dieser Definition beschriebenen Feststellungen, vorzunehmen</w:t>
            </w:r>
            <w:r w:rsidRPr="00792D61">
              <w:rPr>
                <w:b/>
                <w:lang w:val="de-DE"/>
              </w:rPr>
              <w:t>]</w:t>
            </w:r>
            <w:r w:rsidRPr="004B018A">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4B018A" w:rsidP="00E46A2C">
            <w:pPr>
              <w:pStyle w:val="CSManNum8pt"/>
            </w:pPr>
            <w:r w:rsidRPr="004B018A">
              <w:t>(g)</w:t>
            </w:r>
            <w:r w:rsidRPr="004B018A">
              <w:tab/>
            </w:r>
            <w:r w:rsidRPr="00792D61">
              <w:rPr>
                <w:b/>
              </w:rPr>
              <w:t>[</w:t>
            </w:r>
            <w:r w:rsidRPr="00E57047">
              <w:rPr>
                <w:b/>
                <w:i/>
              </w:rPr>
              <w:t>in case of Reference Entities other than a Sovereign, insert:</w:t>
            </w:r>
            <w:r w:rsidRPr="004B018A">
              <w:t xml:space="preserve"> if one entity assumes all of the obligations (including at least one Relevant Obligation) of </w:t>
            </w:r>
            <w:r w:rsidRPr="00792D61">
              <w:rPr>
                <w:b/>
              </w:rPr>
              <w:t>[</w:t>
            </w:r>
            <w:r w:rsidRPr="00E57047">
              <w:rPr>
                <w:b/>
                <w:i/>
              </w:rPr>
              <w:t>if a Complex Product is only linked to one Reference Entity, insert:</w:t>
            </w:r>
            <w:r w:rsidRPr="004B018A">
              <w:t xml:space="preserve"> the</w:t>
            </w:r>
            <w:r w:rsidRPr="00792D61">
              <w:rPr>
                <w:b/>
              </w:rPr>
              <w:t>][</w:t>
            </w:r>
            <w:r w:rsidRPr="00E57047">
              <w:rPr>
                <w:b/>
                <w:i/>
              </w:rPr>
              <w:t>if a Basket is applicable or in the case of Complex Products with N</w:t>
            </w:r>
            <w:r w:rsidRPr="00BD6E0D">
              <w:rPr>
                <w:b/>
                <w:i/>
                <w:vertAlign w:val="superscript"/>
              </w:rPr>
              <w:t>th</w:t>
            </w:r>
            <w:r w:rsidRPr="00E57047">
              <w:rPr>
                <w:b/>
                <w:i/>
              </w:rPr>
              <w:t>-to-Default structure, insert:</w:t>
            </w:r>
            <w:r w:rsidRPr="004B018A">
              <w:t xml:space="preserve"> such</w:t>
            </w:r>
            <w:r w:rsidRPr="00792D61">
              <w:rPr>
                <w:b/>
              </w:rPr>
              <w:t>]</w:t>
            </w:r>
            <w:r w:rsidRPr="004B018A">
              <w:t xml:space="preserve"> Ref-erence Entity, and at the time of the determination either (A) the Reference Entity has ceased to exist, or (B) the Reference Entity is in the process of being dissolved (howsoever described) and the Reference Entity has not issued or incurred any Borrowed Money obligation at any time since the legally effective date of the assumption, such entity (the "</w:t>
            </w:r>
            <w:r w:rsidRPr="00E57047">
              <w:rPr>
                <w:b/>
              </w:rPr>
              <w:t>Universal Successor</w:t>
            </w:r>
            <w:r w:rsidRPr="004B018A">
              <w:t>") will be the sole Successor.</w:t>
            </w:r>
            <w:r w:rsidRPr="00792D61">
              <w:rPr>
                <w:b/>
              </w:rPr>
              <w:t>]</w:t>
            </w:r>
          </w:p>
        </w:tc>
        <w:tc>
          <w:tcPr>
            <w:tcW w:w="1618" w:type="dxa"/>
            <w:gridSpan w:val="2"/>
            <w:tcBorders>
              <w:top w:val="nil"/>
              <w:bottom w:val="nil"/>
              <w:right w:val="nil"/>
            </w:tcBorders>
            <w:shd w:val="clear" w:color="auto" w:fill="auto"/>
          </w:tcPr>
          <w:p w:rsidR="0017135D" w:rsidRPr="004B018A" w:rsidP="00E46A2C">
            <w:pPr>
              <w:pStyle w:val="CSManNum8pt"/>
              <w:rPr>
                <w:i/>
              </w:rPr>
            </w:pPr>
          </w:p>
        </w:tc>
        <w:tc>
          <w:tcPr>
            <w:tcW w:w="3318" w:type="dxa"/>
            <w:tcBorders>
              <w:top w:val="nil"/>
              <w:left w:val="nil"/>
              <w:bottom w:val="nil"/>
              <w:right w:val="nil"/>
            </w:tcBorders>
            <w:shd w:val="clear" w:color="auto" w:fill="auto"/>
          </w:tcPr>
          <w:p w:rsidR="0017135D" w:rsidRPr="004B018A" w:rsidP="00921F8E">
            <w:pPr>
              <w:pStyle w:val="CSManNum8pt"/>
              <w:rPr>
                <w:bCs/>
                <w:lang w:val="de-DE"/>
              </w:rPr>
            </w:pPr>
            <w:r w:rsidRPr="004B018A">
              <w:rPr>
                <w:bCs/>
                <w:lang w:val="de-DE"/>
              </w:rPr>
              <w:t>(g)</w:t>
            </w:r>
            <w:r w:rsidRPr="004B018A">
              <w:rPr>
                <w:bCs/>
                <w:lang w:val="de-DE"/>
              </w:rPr>
              <w:tab/>
            </w:r>
            <w:r w:rsidRPr="00792D61">
              <w:rPr>
                <w:b/>
                <w:bCs/>
                <w:lang w:val="de-DE"/>
              </w:rPr>
              <w:t>[</w:t>
            </w:r>
            <w:r w:rsidRPr="005311F5">
              <w:rPr>
                <w:b/>
                <w:bCs/>
                <w:i/>
                <w:lang w:val="de-DE"/>
              </w:rPr>
              <w:t>Falls der Referenzschuldner kein Staat ist, einfügen:</w:t>
            </w:r>
            <w:r w:rsidRPr="004B018A">
              <w:rPr>
                <w:bCs/>
                <w:lang w:val="de-DE"/>
              </w:rPr>
              <w:t xml:space="preserve"> übernimmt ein Rechtsträger alle Verbindlichkeiten (einschliesslich mindestens einer Massgeblichen Verbindlichkeit) </w:t>
            </w:r>
            <w:r w:rsidRPr="00792D61">
              <w:rPr>
                <w:b/>
                <w:bCs/>
                <w:lang w:val="de-DE"/>
              </w:rPr>
              <w:t>[</w:t>
            </w:r>
            <w:r w:rsidRPr="005311F5">
              <w:rPr>
                <w:b/>
                <w:bCs/>
                <w:i/>
                <w:lang w:val="de-DE"/>
              </w:rPr>
              <w:t>falls ein Komplexes Produkt nur an einen Referenzschuldner gekoppelt ist, einfügen:</w:t>
            </w:r>
            <w:r w:rsidRPr="004B018A">
              <w:rPr>
                <w:bCs/>
                <w:lang w:val="de-DE"/>
              </w:rPr>
              <w:t xml:space="preserve"> des</w:t>
            </w:r>
            <w:r w:rsidRPr="00792D61">
              <w:rPr>
                <w:b/>
                <w:bCs/>
                <w:lang w:val="de-DE"/>
              </w:rPr>
              <w:t>][</w:t>
            </w:r>
            <w:r w:rsidRPr="005311F5">
              <w:rPr>
                <w:b/>
                <w:bCs/>
                <w:i/>
                <w:lang w:val="de-DE"/>
              </w:rPr>
              <w:t>falls ein Korb anwendbar ist oder bei Komplexen Produkten mit N</w:t>
            </w:r>
            <w:r w:rsidRPr="00BD6E0D">
              <w:rPr>
                <w:b/>
                <w:i/>
                <w:vertAlign w:val="superscript"/>
                <w:lang w:val="de-DE"/>
              </w:rPr>
              <w:t>th</w:t>
            </w:r>
            <w:r w:rsidRPr="005311F5">
              <w:rPr>
                <w:b/>
                <w:bCs/>
                <w:i/>
                <w:lang w:val="de-DE"/>
              </w:rPr>
              <w:t>-to-Default-Struktur, einfügen:</w:t>
            </w:r>
            <w:r w:rsidRPr="004B018A">
              <w:rPr>
                <w:bCs/>
                <w:lang w:val="de-DE"/>
              </w:rPr>
              <w:t xml:space="preserve"> dieses</w:t>
            </w:r>
            <w:r w:rsidRPr="00792D61">
              <w:rPr>
                <w:b/>
                <w:bCs/>
                <w:lang w:val="de-DE"/>
              </w:rPr>
              <w:t>]</w:t>
            </w:r>
            <w:r w:rsidRPr="004B018A">
              <w:rPr>
                <w:bCs/>
                <w:lang w:val="de-DE"/>
              </w:rPr>
              <w:t xml:space="preserve"> Referenzschuldners, und (A) besteht der Referenzschuldner im Zeitpunkt der Feststellung nicht mehr oder (B) befindet sich der Referenzschuldner im Zeitpunkt der Feststellung in Auflösung (unabhängig von der Art des Auflösungsverfahrens) und ist der Referenzschuldner zu keinem Zeitpunkt seit dem Eintritt der Rechtswirksamkeit der Übernahme Verbindlichkeiten in Form Aufgenommener Gelder eingegangen, so ist dieser Rechtsträger (der "</w:t>
            </w:r>
            <w:r w:rsidRPr="005311F5">
              <w:rPr>
                <w:b/>
                <w:bCs/>
                <w:lang w:val="de-DE"/>
              </w:rPr>
              <w:t>Gesamtrechtsnachfolger</w:t>
            </w:r>
            <w:r w:rsidRPr="004B018A">
              <w:rPr>
                <w:bCs/>
                <w:lang w:val="de-DE"/>
              </w:rPr>
              <w:t xml:space="preserve">") der alleinige </w:t>
            </w:r>
            <w:r w:rsidRPr="00153202">
              <w:rPr>
                <w:bCs/>
                <w:lang w:val="de-DE"/>
              </w:rPr>
              <w:t>Rechtsn</w:t>
            </w:r>
            <w:r w:rsidRPr="004B018A">
              <w:rPr>
                <w:bCs/>
                <w:lang w:val="de-DE"/>
              </w:rPr>
              <w:t>achfolger.</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4B018A" w:rsidP="00E46A2C">
            <w:pPr>
              <w:pStyle w:val="CSManNum8pt"/>
            </w:pPr>
            <w:r w:rsidRPr="004B018A">
              <w:t>(ii)</w:t>
            </w:r>
            <w:r w:rsidRPr="004B018A">
              <w:tab/>
              <w:t>The Calculation Agent will be responsible for determining, as soon as reasonably practicable after delivery of a Successor Notice and with effect from the Succession Date, any Successor or Successors under clause (i) above; provided that the Calculation Agent will not make such determination if, at the time of determination, the DC Secretary has publicly announced that the relevant Credit Derivatives Determinations Committee has Resolved that there is no Successor based on the relevant succession to Relevant Obligations. In calculating the percentages used to determine whether an entity qualifies as a Successor under clause (i) above, if there is a Steps Plan, the Calculation Agent shall consider all related successions in respect of such Steps Plan in aggregate as if forming part of a single succession.</w:t>
            </w:r>
          </w:p>
        </w:tc>
        <w:tc>
          <w:tcPr>
            <w:tcW w:w="1618" w:type="dxa"/>
            <w:gridSpan w:val="2"/>
            <w:tcBorders>
              <w:top w:val="nil"/>
              <w:bottom w:val="nil"/>
              <w:right w:val="nil"/>
            </w:tcBorders>
            <w:shd w:val="clear" w:color="auto" w:fill="auto"/>
          </w:tcPr>
          <w:p w:rsidR="0017135D" w:rsidRPr="004B018A" w:rsidP="00E46A2C">
            <w:pPr>
              <w:pStyle w:val="CSManNum8pt"/>
              <w:rPr>
                <w:i/>
              </w:rPr>
            </w:pPr>
          </w:p>
        </w:tc>
        <w:tc>
          <w:tcPr>
            <w:tcW w:w="3318" w:type="dxa"/>
            <w:tcBorders>
              <w:top w:val="nil"/>
              <w:left w:val="nil"/>
              <w:bottom w:val="nil"/>
              <w:right w:val="nil"/>
            </w:tcBorders>
            <w:shd w:val="clear" w:color="auto" w:fill="auto"/>
          </w:tcPr>
          <w:p w:rsidR="0017135D" w:rsidRPr="004B018A" w:rsidP="004C1EBA">
            <w:pPr>
              <w:pStyle w:val="CSManNum8pt"/>
              <w:rPr>
                <w:bCs/>
                <w:lang w:val="de-DE"/>
              </w:rPr>
            </w:pPr>
            <w:r w:rsidRPr="004B018A">
              <w:rPr>
                <w:bCs/>
                <w:lang w:val="de-DE"/>
              </w:rPr>
              <w:t>(ii)</w:t>
            </w:r>
            <w:r w:rsidRPr="004B018A">
              <w:rPr>
                <w:bCs/>
                <w:lang w:val="de-DE"/>
              </w:rPr>
              <w:tab/>
              <w:t xml:space="preserve">Die Feststellung eines </w:t>
            </w:r>
            <w:r w:rsidRPr="00F25BA4">
              <w:rPr>
                <w:bCs/>
                <w:lang w:val="de-DE"/>
              </w:rPr>
              <w:t>Rechtsn</w:t>
            </w:r>
            <w:r w:rsidRPr="004B018A">
              <w:rPr>
                <w:bCs/>
                <w:lang w:val="de-DE"/>
              </w:rPr>
              <w:t xml:space="preserve">achfolgers oder mehrerer </w:t>
            </w:r>
            <w:r w:rsidRPr="00F25BA4">
              <w:rPr>
                <w:bCs/>
                <w:lang w:val="de-DE"/>
              </w:rPr>
              <w:t>Rechtsn</w:t>
            </w:r>
            <w:r w:rsidRPr="004B018A">
              <w:rPr>
                <w:bCs/>
                <w:lang w:val="de-DE"/>
              </w:rPr>
              <w:t xml:space="preserve">achfolger gemäss vorstehendem Absatz (i) obliegt der Berechnungsstelle und ist von dieser sobald wie mit vertretbarem Aufwand möglich nach Abgabe einer </w:t>
            </w:r>
            <w:r>
              <w:rPr>
                <w:bCs/>
                <w:lang w:val="de-DE"/>
              </w:rPr>
              <w:t>Rechtsnachfolge-Mitteilung</w:t>
            </w:r>
            <w:r w:rsidRPr="004B018A">
              <w:rPr>
                <w:bCs/>
                <w:lang w:val="de-DE"/>
              </w:rPr>
              <w:t xml:space="preserve"> und mit Wirkung ab dem </w:t>
            </w:r>
            <w:r>
              <w:rPr>
                <w:bCs/>
                <w:lang w:val="de-DE"/>
              </w:rPr>
              <w:t>Rechtsn</w:t>
            </w:r>
            <w:r w:rsidRPr="004B018A">
              <w:rPr>
                <w:bCs/>
                <w:lang w:val="de-DE"/>
              </w:rPr>
              <w:t>achfolgetag zu treffen; dabei trifft die Berechnungsstelle eine solche Feststellung jedoch nicht, wenn zu dem Zeitpunkt der Feststellung der Secretary öffentlich bekannt gegeben hat, dass der zuständige Kreditderivate-Feststellungsausschuss Beschlossen hat, dass es in Bezug auf d</w:t>
            </w:r>
            <w:r w:rsidR="00015A2C">
              <w:rPr>
                <w:bCs/>
                <w:lang w:val="de-DE"/>
              </w:rPr>
              <w:t>en</w:t>
            </w:r>
            <w:r w:rsidRPr="004B018A">
              <w:rPr>
                <w:bCs/>
                <w:lang w:val="de-DE"/>
              </w:rPr>
              <w:t xml:space="preserve"> massgebliche</w:t>
            </w:r>
            <w:r w:rsidR="00015A2C">
              <w:rPr>
                <w:bCs/>
                <w:lang w:val="de-DE"/>
              </w:rPr>
              <w:t>n</w:t>
            </w:r>
            <w:r w:rsidRPr="004B018A">
              <w:rPr>
                <w:bCs/>
                <w:lang w:val="de-DE"/>
              </w:rPr>
              <w:t xml:space="preserve"> </w:t>
            </w:r>
            <w:r w:rsidRPr="00505206">
              <w:rPr>
                <w:bCs/>
                <w:lang w:val="de-DE"/>
              </w:rPr>
              <w:t>Rechtsn</w:t>
            </w:r>
            <w:r w:rsidRPr="004B018A">
              <w:rPr>
                <w:bCs/>
                <w:lang w:val="de-DE"/>
              </w:rPr>
              <w:t>achfolge</w:t>
            </w:r>
            <w:r w:rsidR="00015A2C">
              <w:rPr>
                <w:bCs/>
                <w:lang w:val="de-DE"/>
              </w:rPr>
              <w:t>vorgang</w:t>
            </w:r>
            <w:r w:rsidRPr="004B018A">
              <w:rPr>
                <w:bCs/>
                <w:lang w:val="de-DE"/>
              </w:rPr>
              <w:t xml:space="preserve"> für Massgebliche Verbindlichkeiten keinen </w:t>
            </w:r>
            <w:r w:rsidRPr="00505206">
              <w:rPr>
                <w:bCs/>
                <w:lang w:val="de-DE"/>
              </w:rPr>
              <w:t>Rechtsn</w:t>
            </w:r>
            <w:r w:rsidRPr="004B018A">
              <w:rPr>
                <w:bCs/>
                <w:lang w:val="de-DE"/>
              </w:rPr>
              <w:t xml:space="preserve">achfolger gibt. Bei der Berechnung der für die Feststellung, ob ein Rechtsträger gemäss vorstehendem Absatz (i) als </w:t>
            </w:r>
            <w:r w:rsidRPr="00505206">
              <w:rPr>
                <w:bCs/>
                <w:lang w:val="de-DE"/>
              </w:rPr>
              <w:t>Rechtsn</w:t>
            </w:r>
            <w:r w:rsidRPr="004B018A">
              <w:rPr>
                <w:bCs/>
                <w:lang w:val="de-DE"/>
              </w:rPr>
              <w:t xml:space="preserve">achfolger anzusehen ist, heranzuziehenden Prozentsätze betrachtet die Berechnungsstelle bei Vorliegen eines Stufenplans alle im Rahmen des Stufenplans verbundenen </w:t>
            </w:r>
            <w:r w:rsidRPr="00505206">
              <w:rPr>
                <w:bCs/>
                <w:lang w:val="de-DE"/>
              </w:rPr>
              <w:t>Rechtsn</w:t>
            </w:r>
            <w:r w:rsidRPr="004B018A">
              <w:rPr>
                <w:bCs/>
                <w:lang w:val="de-DE"/>
              </w:rPr>
              <w:t xml:space="preserve">achfolgevorgänge insgesamt als eine einzige </w:t>
            </w:r>
            <w:r w:rsidRPr="00505206">
              <w:rPr>
                <w:bCs/>
                <w:lang w:val="de-DE"/>
              </w:rPr>
              <w:t>Rechtsn</w:t>
            </w:r>
            <w:r w:rsidRPr="004B018A">
              <w:rPr>
                <w:bCs/>
                <w:lang w:val="de-DE"/>
              </w:rPr>
              <w:t>achfolge.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4B018A" w:rsidP="00E46A2C">
            <w:pPr>
              <w:pStyle w:val="CSManNum8pt"/>
            </w:pPr>
            <w:r w:rsidRPr="004B018A">
              <w:t>(iii)</w:t>
            </w:r>
            <w:r w:rsidRPr="004B018A">
              <w:tab/>
              <w:t>An entity may only be a Successor if:</w:t>
            </w:r>
          </w:p>
        </w:tc>
        <w:tc>
          <w:tcPr>
            <w:tcW w:w="1618" w:type="dxa"/>
            <w:gridSpan w:val="2"/>
            <w:tcBorders>
              <w:top w:val="nil"/>
              <w:bottom w:val="nil"/>
              <w:right w:val="nil"/>
            </w:tcBorders>
            <w:shd w:val="clear" w:color="auto" w:fill="auto"/>
          </w:tcPr>
          <w:p w:rsidR="0017135D" w:rsidRPr="004B018A" w:rsidP="00E46A2C">
            <w:pPr>
              <w:pStyle w:val="CSManNum8pt"/>
              <w:rPr>
                <w:i/>
              </w:rPr>
            </w:pPr>
          </w:p>
        </w:tc>
        <w:tc>
          <w:tcPr>
            <w:tcW w:w="3318" w:type="dxa"/>
            <w:tcBorders>
              <w:top w:val="nil"/>
              <w:left w:val="nil"/>
              <w:bottom w:val="nil"/>
              <w:right w:val="nil"/>
            </w:tcBorders>
            <w:shd w:val="clear" w:color="auto" w:fill="auto"/>
          </w:tcPr>
          <w:p w:rsidR="0017135D" w:rsidRPr="004B018A" w:rsidP="00E46A2C">
            <w:pPr>
              <w:pStyle w:val="CSManNum8pt"/>
              <w:rPr>
                <w:bCs/>
                <w:lang w:val="de-DE"/>
              </w:rPr>
            </w:pPr>
            <w:r w:rsidRPr="004B018A">
              <w:rPr>
                <w:bCs/>
                <w:lang w:val="de-DE"/>
              </w:rPr>
              <w:t>(iii)</w:t>
            </w:r>
            <w:r w:rsidRPr="004B018A">
              <w:rPr>
                <w:bCs/>
                <w:lang w:val="de-DE"/>
              </w:rPr>
              <w:tab/>
              <w:t xml:space="preserve">Ein Rechtsträger kann nur dann ein </w:t>
            </w:r>
            <w:r w:rsidRPr="00505206">
              <w:rPr>
                <w:bCs/>
                <w:lang w:val="de-DE"/>
              </w:rPr>
              <w:t>Rechtsn</w:t>
            </w:r>
            <w:r w:rsidRPr="004B018A">
              <w:rPr>
                <w:bCs/>
                <w:lang w:val="de-DE"/>
              </w:rPr>
              <w:t>achfolger sein, wenn: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B018A" w:rsidP="00A457E7">
            <w:pPr>
              <w:pStyle w:val="CSBody0"/>
              <w:rPr>
                <w:lang w:val="de-DE"/>
              </w:rPr>
            </w:pPr>
          </w:p>
        </w:tc>
        <w:tc>
          <w:tcPr>
            <w:tcW w:w="3315" w:type="dxa"/>
            <w:gridSpan w:val="2"/>
            <w:tcBorders>
              <w:top w:val="nil"/>
              <w:left w:val="nil"/>
              <w:bottom w:val="nil"/>
            </w:tcBorders>
            <w:shd w:val="clear" w:color="auto" w:fill="auto"/>
          </w:tcPr>
          <w:p w:rsidR="0017135D" w:rsidRPr="000719F4" w:rsidP="00E46A2C">
            <w:pPr>
              <w:pStyle w:val="CSManNum8pt"/>
            </w:pPr>
            <w:r w:rsidRPr="000719F4">
              <w:t>(a)</w:t>
            </w:r>
            <w:r w:rsidRPr="000719F4">
              <w:tab/>
              <w:t xml:space="preserve">either (A) the related Succession Date occurs on or after the Successor Backstop Date, or (B) such entity is a Universal Successor in respect of which the Succession Date occurred on or after January 1, 2014; </w:t>
            </w:r>
            <w:r w:rsidRPr="00792D61">
              <w:rPr>
                <w:b/>
              </w:rPr>
              <w:t>[</w:t>
            </w:r>
            <w:r w:rsidRPr="000E08DF">
              <w:t>and</w:t>
            </w:r>
            <w:r w:rsidRPr="00792D61">
              <w:rPr>
                <w:b/>
              </w:rPr>
              <w:t>]</w:t>
            </w:r>
          </w:p>
        </w:tc>
        <w:tc>
          <w:tcPr>
            <w:tcW w:w="1618" w:type="dxa"/>
            <w:gridSpan w:val="2"/>
            <w:tcBorders>
              <w:top w:val="nil"/>
              <w:bottom w:val="nil"/>
              <w:right w:val="nil"/>
            </w:tcBorders>
            <w:shd w:val="clear" w:color="auto" w:fill="auto"/>
          </w:tcPr>
          <w:p w:rsidR="0017135D" w:rsidRPr="000719F4" w:rsidP="00E46A2C">
            <w:pPr>
              <w:pStyle w:val="CSManNum8pt"/>
              <w:rPr>
                <w:i/>
              </w:rPr>
            </w:pPr>
          </w:p>
        </w:tc>
        <w:tc>
          <w:tcPr>
            <w:tcW w:w="3318" w:type="dxa"/>
            <w:tcBorders>
              <w:top w:val="nil"/>
              <w:left w:val="nil"/>
              <w:bottom w:val="nil"/>
              <w:right w:val="nil"/>
            </w:tcBorders>
            <w:shd w:val="clear" w:color="auto" w:fill="auto"/>
          </w:tcPr>
          <w:p w:rsidR="0017135D" w:rsidRPr="000E08DF" w:rsidP="00921F8E">
            <w:pPr>
              <w:pStyle w:val="CSManNum8pt"/>
              <w:rPr>
                <w:b/>
                <w:bCs/>
                <w:lang w:val="de-DE"/>
              </w:rPr>
            </w:pPr>
            <w:r w:rsidRPr="000719F4">
              <w:rPr>
                <w:bCs/>
                <w:lang w:val="de-DE"/>
              </w:rPr>
              <w:t>(a)</w:t>
            </w:r>
            <w:r w:rsidRPr="000719F4">
              <w:rPr>
                <w:bCs/>
                <w:lang w:val="de-DE"/>
              </w:rPr>
              <w:tab/>
              <w:t xml:space="preserve">entweder (A) der massgebliche </w:t>
            </w:r>
            <w:r>
              <w:rPr>
                <w:bCs/>
                <w:lang w:val="de-DE"/>
              </w:rPr>
              <w:t>Rechtsn</w:t>
            </w:r>
            <w:r w:rsidRPr="000719F4">
              <w:rPr>
                <w:bCs/>
                <w:lang w:val="de-DE"/>
              </w:rPr>
              <w:t xml:space="preserve">achfolgetag an oder nach dem Rückschau-Stichtag bei </w:t>
            </w:r>
            <w:r>
              <w:rPr>
                <w:bCs/>
                <w:lang w:val="de-DE"/>
              </w:rPr>
              <w:t>Rechtsn</w:t>
            </w:r>
            <w:r w:rsidRPr="000719F4">
              <w:rPr>
                <w:bCs/>
                <w:lang w:val="de-DE"/>
              </w:rPr>
              <w:t xml:space="preserve">achfolge eintritt oder (B) der betreffende Rechtsträger ein Gesamtrechtsnachfolger ist, in Bezug auf den der </w:t>
            </w:r>
            <w:r w:rsidRPr="00153202">
              <w:rPr>
                <w:bCs/>
                <w:lang w:val="de-DE"/>
              </w:rPr>
              <w:t>Rechtsn</w:t>
            </w:r>
            <w:r w:rsidRPr="000719F4">
              <w:rPr>
                <w:bCs/>
                <w:lang w:val="de-DE"/>
              </w:rPr>
              <w:t xml:space="preserve">achfolgetag an oder nach dem 1. </w:t>
            </w:r>
            <w:r w:rsidRPr="00921F8E">
              <w:rPr>
                <w:bCs/>
                <w:lang w:val="de-DE"/>
              </w:rPr>
              <w:t>Januar 2014 eingetreten ist;</w:t>
            </w:r>
            <w:r>
              <w:rPr>
                <w:bCs/>
                <w:lang w:val="de-DE"/>
              </w:rPr>
              <w:t xml:space="preserve"> </w:t>
            </w:r>
            <w:r>
              <w:rPr>
                <w:b/>
                <w:bCs/>
                <w:lang w:val="de-DE"/>
              </w:rPr>
              <w:t>[</w:t>
            </w:r>
            <w:r>
              <w:rPr>
                <w:bCs/>
                <w:lang w:val="de-DE"/>
              </w:rPr>
              <w:t>und</w:t>
            </w:r>
            <w:r>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21F8E" w:rsidP="00A457E7">
            <w:pPr>
              <w:pStyle w:val="CSBody0"/>
              <w:rPr>
                <w:lang w:val="de-DE"/>
              </w:rPr>
            </w:pPr>
          </w:p>
        </w:tc>
        <w:tc>
          <w:tcPr>
            <w:tcW w:w="3315" w:type="dxa"/>
            <w:gridSpan w:val="2"/>
            <w:tcBorders>
              <w:top w:val="nil"/>
              <w:left w:val="nil"/>
              <w:bottom w:val="nil"/>
            </w:tcBorders>
            <w:shd w:val="clear" w:color="auto" w:fill="auto"/>
          </w:tcPr>
          <w:p w:rsidR="0017135D" w:rsidRPr="000719F4" w:rsidP="00E46A2C">
            <w:pPr>
              <w:pStyle w:val="CSManNum8pt"/>
            </w:pPr>
            <w:r w:rsidRPr="000719F4">
              <w:t>(b)</w:t>
            </w:r>
            <w:r w:rsidRPr="000719F4">
              <w:tab/>
              <w:t>the Reference Entity had at least one Relevant Obligation outstanding immediately prior to the Succession Date and such entity succeeds to all or part of at least one Relevant Obligation of the Reference Entity</w:t>
            </w:r>
            <w:r>
              <w:t xml:space="preserve"> </w:t>
            </w:r>
            <w:r w:rsidRPr="00792D61">
              <w:rPr>
                <w:b/>
              </w:rPr>
              <w:t>[</w:t>
            </w:r>
            <w:r w:rsidRPr="005311F5">
              <w:rPr>
                <w:b/>
                <w:i/>
              </w:rPr>
              <w:t>where the Reference Entity is a Sovereign, insert;</w:t>
            </w:r>
            <w:r w:rsidRPr="000719F4">
              <w:t xml:space="preserve"> and</w:t>
            </w:r>
          </w:p>
        </w:tc>
        <w:tc>
          <w:tcPr>
            <w:tcW w:w="1618" w:type="dxa"/>
            <w:gridSpan w:val="2"/>
            <w:tcBorders>
              <w:top w:val="nil"/>
              <w:bottom w:val="nil"/>
              <w:right w:val="nil"/>
            </w:tcBorders>
            <w:shd w:val="clear" w:color="auto" w:fill="auto"/>
          </w:tcPr>
          <w:p w:rsidR="0017135D" w:rsidRPr="000719F4" w:rsidP="00E46A2C">
            <w:pPr>
              <w:pStyle w:val="CSManNum8pt"/>
              <w:rPr>
                <w:i/>
              </w:rPr>
            </w:pPr>
          </w:p>
        </w:tc>
        <w:tc>
          <w:tcPr>
            <w:tcW w:w="3318" w:type="dxa"/>
            <w:tcBorders>
              <w:top w:val="nil"/>
              <w:left w:val="nil"/>
              <w:bottom w:val="nil"/>
              <w:right w:val="nil"/>
            </w:tcBorders>
            <w:shd w:val="clear" w:color="auto" w:fill="auto"/>
          </w:tcPr>
          <w:p w:rsidR="0017135D" w:rsidRPr="000719F4" w:rsidP="00921F8E">
            <w:pPr>
              <w:pStyle w:val="CSManNum8pt"/>
              <w:rPr>
                <w:bCs/>
                <w:lang w:val="de-DE"/>
              </w:rPr>
            </w:pPr>
            <w:r w:rsidRPr="000719F4">
              <w:rPr>
                <w:bCs/>
                <w:lang w:val="de-DE"/>
              </w:rPr>
              <w:t>(b)</w:t>
            </w:r>
            <w:r w:rsidRPr="000719F4">
              <w:rPr>
                <w:bCs/>
                <w:lang w:val="de-DE"/>
              </w:rPr>
              <w:tab/>
              <w:t xml:space="preserve">unmittelbar vor dem </w:t>
            </w:r>
            <w:r w:rsidRPr="00153202">
              <w:rPr>
                <w:bCs/>
                <w:lang w:val="de-DE"/>
              </w:rPr>
              <w:t>Rechtsn</w:t>
            </w:r>
            <w:r w:rsidRPr="000719F4">
              <w:rPr>
                <w:bCs/>
                <w:lang w:val="de-DE"/>
              </w:rPr>
              <w:t xml:space="preserve">folgetag mindestens eine Massgebliche Verbindlichkeit des Referenzschuldners ausstand und der betreffende Rechtsträger mindestens eine Massgebliche Verbindlichkeit des Referenzschuldners ganz oder teilweise übernimmt </w:t>
            </w:r>
            <w:r w:rsidRPr="00792D61">
              <w:rPr>
                <w:b/>
                <w:bCs/>
                <w:lang w:val="de-DE"/>
              </w:rPr>
              <w:t>[</w:t>
            </w:r>
            <w:r w:rsidRPr="005311F5">
              <w:rPr>
                <w:b/>
                <w:bCs/>
                <w:i/>
                <w:lang w:val="de-DE"/>
              </w:rPr>
              <w:t>falls der Referen</w:t>
            </w:r>
            <w:r>
              <w:rPr>
                <w:b/>
                <w:bCs/>
                <w:i/>
                <w:lang w:val="de-DE"/>
              </w:rPr>
              <w:t>zschuldner ein Staat ist, einfü</w:t>
            </w:r>
            <w:r w:rsidRPr="005311F5">
              <w:rPr>
                <w:b/>
                <w:bCs/>
                <w:i/>
                <w:lang w:val="de-DE"/>
              </w:rPr>
              <w:t>gen;</w:t>
            </w:r>
            <w:r w:rsidRPr="000719F4">
              <w:rPr>
                <w:bCs/>
                <w:lang w:val="de-DE"/>
              </w:rPr>
              <w:t xml:space="preserve">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719F4" w:rsidP="00A457E7">
            <w:pPr>
              <w:pStyle w:val="CSBody0"/>
              <w:rPr>
                <w:lang w:val="de-DE"/>
              </w:rPr>
            </w:pPr>
          </w:p>
        </w:tc>
        <w:tc>
          <w:tcPr>
            <w:tcW w:w="3315" w:type="dxa"/>
            <w:gridSpan w:val="2"/>
            <w:tcBorders>
              <w:top w:val="nil"/>
              <w:left w:val="nil"/>
              <w:bottom w:val="nil"/>
            </w:tcBorders>
            <w:shd w:val="clear" w:color="auto" w:fill="auto"/>
          </w:tcPr>
          <w:p w:rsidR="0017135D" w:rsidRPr="000719F4" w:rsidP="00E46A2C">
            <w:pPr>
              <w:pStyle w:val="CSManNum8pt"/>
            </w:pPr>
            <w:r w:rsidRPr="000719F4">
              <w:t>(c)</w:t>
            </w:r>
            <w:r w:rsidRPr="000719F4">
              <w:tab/>
              <w:t>such entity succeeded to the Relevant Obligations by way of a Sovereign Succession Event.</w:t>
            </w:r>
            <w:r w:rsidRPr="00792D61">
              <w:rPr>
                <w:b/>
              </w:rPr>
              <w:t>]</w:t>
            </w:r>
          </w:p>
        </w:tc>
        <w:tc>
          <w:tcPr>
            <w:tcW w:w="1618" w:type="dxa"/>
            <w:gridSpan w:val="2"/>
            <w:tcBorders>
              <w:top w:val="nil"/>
              <w:bottom w:val="nil"/>
              <w:right w:val="nil"/>
            </w:tcBorders>
            <w:shd w:val="clear" w:color="auto" w:fill="auto"/>
          </w:tcPr>
          <w:p w:rsidR="0017135D" w:rsidRPr="000719F4" w:rsidP="00E46A2C">
            <w:pPr>
              <w:pStyle w:val="CSManNum8pt"/>
              <w:rPr>
                <w:i/>
              </w:rPr>
            </w:pPr>
          </w:p>
        </w:tc>
        <w:tc>
          <w:tcPr>
            <w:tcW w:w="3318" w:type="dxa"/>
            <w:tcBorders>
              <w:top w:val="nil"/>
              <w:left w:val="nil"/>
              <w:bottom w:val="nil"/>
              <w:right w:val="nil"/>
            </w:tcBorders>
            <w:shd w:val="clear" w:color="auto" w:fill="auto"/>
          </w:tcPr>
          <w:p w:rsidR="0017135D" w:rsidRPr="000719F4" w:rsidP="00E46A2C">
            <w:pPr>
              <w:pStyle w:val="CSManNum8pt"/>
              <w:rPr>
                <w:bCs/>
                <w:lang w:val="de-DE"/>
              </w:rPr>
            </w:pPr>
            <w:r w:rsidRPr="000719F4">
              <w:rPr>
                <w:bCs/>
                <w:lang w:val="de-DE"/>
              </w:rPr>
              <w:t>(c)</w:t>
            </w:r>
            <w:r w:rsidRPr="000719F4">
              <w:rPr>
                <w:bCs/>
                <w:lang w:val="de-DE"/>
              </w:rPr>
              <w:tab/>
              <w:t>der betreffende Rechtsträger die Massgeblichen Verbindlichkeiten im Wege eines Rechtsachfolgeereignisses in Bezug auf Staaten übernimmt.</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719F4" w:rsidP="00A457E7">
            <w:pPr>
              <w:pStyle w:val="CSBody0"/>
              <w:rPr>
                <w:lang w:val="de-DE"/>
              </w:rPr>
            </w:pPr>
          </w:p>
        </w:tc>
        <w:tc>
          <w:tcPr>
            <w:tcW w:w="3315" w:type="dxa"/>
            <w:gridSpan w:val="2"/>
            <w:tcBorders>
              <w:top w:val="nil"/>
              <w:left w:val="nil"/>
              <w:bottom w:val="nil"/>
            </w:tcBorders>
            <w:shd w:val="clear" w:color="auto" w:fill="auto"/>
          </w:tcPr>
          <w:p w:rsidR="0017135D" w:rsidRPr="000719F4" w:rsidP="00E46A2C">
            <w:pPr>
              <w:pStyle w:val="CSManNum8pt"/>
            </w:pPr>
            <w:r w:rsidRPr="000719F4">
              <w:t>(iv)</w:t>
            </w:r>
            <w:r w:rsidRPr="000719F4">
              <w:tab/>
              <w:t>The determinations required pursuant to this definition of "Successor" shall be made, in the case of an exchange offer, on the basis of the outstanding principal balance of Relevant Obligations exchanged and not on the basis of the outstanding principal balance of the Exchange Bonds or Loans.</w:t>
            </w:r>
          </w:p>
        </w:tc>
        <w:tc>
          <w:tcPr>
            <w:tcW w:w="1618" w:type="dxa"/>
            <w:gridSpan w:val="2"/>
            <w:tcBorders>
              <w:top w:val="nil"/>
              <w:bottom w:val="nil"/>
              <w:right w:val="nil"/>
            </w:tcBorders>
            <w:shd w:val="clear" w:color="auto" w:fill="auto"/>
          </w:tcPr>
          <w:p w:rsidR="0017135D" w:rsidRPr="000719F4" w:rsidP="00E46A2C">
            <w:pPr>
              <w:pStyle w:val="CSManNum8pt"/>
              <w:rPr>
                <w:i/>
              </w:rPr>
            </w:pPr>
          </w:p>
        </w:tc>
        <w:tc>
          <w:tcPr>
            <w:tcW w:w="3318" w:type="dxa"/>
            <w:tcBorders>
              <w:top w:val="nil"/>
              <w:left w:val="nil"/>
              <w:bottom w:val="nil"/>
              <w:right w:val="nil"/>
            </w:tcBorders>
            <w:shd w:val="clear" w:color="auto" w:fill="auto"/>
          </w:tcPr>
          <w:p w:rsidR="0017135D" w:rsidRPr="000719F4" w:rsidP="004C1EBA">
            <w:pPr>
              <w:pStyle w:val="CSManNum8pt"/>
              <w:rPr>
                <w:bCs/>
                <w:lang w:val="de-DE"/>
              </w:rPr>
            </w:pPr>
            <w:r w:rsidRPr="000719F4">
              <w:rPr>
                <w:bCs/>
                <w:lang w:val="de-DE"/>
              </w:rPr>
              <w:t>(iv)</w:t>
            </w:r>
            <w:r w:rsidRPr="000719F4">
              <w:rPr>
                <w:bCs/>
                <w:lang w:val="de-DE"/>
              </w:rPr>
              <w:tab/>
              <w:t>Die gemäss dieser Definition  "</w:t>
            </w:r>
            <w:r w:rsidRPr="00505206">
              <w:rPr>
                <w:bCs/>
                <w:lang w:val="de-DE"/>
              </w:rPr>
              <w:t>Rechtsn</w:t>
            </w:r>
            <w:r w:rsidRPr="000719F4">
              <w:rPr>
                <w:bCs/>
                <w:lang w:val="de-DE"/>
              </w:rPr>
              <w:t xml:space="preserve">achfolger" vorzunehmenden Feststellungen sind (im Fall eines Umtauschangebots) auf der Grundlage des ausstehenden </w:t>
            </w:r>
            <w:r>
              <w:rPr>
                <w:bCs/>
                <w:lang w:val="de-DE"/>
              </w:rPr>
              <w:t>Kapitalbetrags</w:t>
            </w:r>
            <w:r w:rsidRPr="000719F4">
              <w:rPr>
                <w:bCs/>
                <w:lang w:val="de-DE"/>
              </w:rPr>
              <w:t xml:space="preserve"> der umgetauschten Massgeblichen Verbindlichkeiten, nicht jedoch auf der Grundlage des ausstehenden </w:t>
            </w:r>
            <w:r>
              <w:rPr>
                <w:bCs/>
                <w:lang w:val="de-DE"/>
              </w:rPr>
              <w:t>Kapitalbetrags</w:t>
            </w:r>
            <w:r w:rsidRPr="000719F4">
              <w:rPr>
                <w:bCs/>
                <w:lang w:val="de-DE"/>
              </w:rPr>
              <w:t xml:space="preserve"> der Umtauschanleihen oder  darlehen, zu treffen.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719F4" w:rsidP="00A457E7">
            <w:pPr>
              <w:pStyle w:val="CSBody0"/>
              <w:rPr>
                <w:lang w:val="de-DE"/>
              </w:rPr>
            </w:pPr>
          </w:p>
        </w:tc>
        <w:tc>
          <w:tcPr>
            <w:tcW w:w="3315" w:type="dxa"/>
            <w:gridSpan w:val="2"/>
            <w:tcBorders>
              <w:top w:val="nil"/>
              <w:left w:val="nil"/>
              <w:bottom w:val="nil"/>
            </w:tcBorders>
            <w:shd w:val="clear" w:color="auto" w:fill="auto"/>
          </w:tcPr>
          <w:p w:rsidR="0017135D" w:rsidRPr="000719F4" w:rsidP="00921F8E">
            <w:pPr>
              <w:pStyle w:val="CSManNum8pt"/>
            </w:pPr>
            <w:r w:rsidRPr="000719F4">
              <w:t>(v)</w:t>
            </w:r>
            <w:r w:rsidRPr="000719F4">
              <w:tab/>
              <w:t>if two or more entities (each, a "</w:t>
            </w:r>
            <w:r w:rsidRPr="005311F5">
              <w:rPr>
                <w:b/>
              </w:rPr>
              <w:t>Joint Potential Successor</w:t>
            </w:r>
            <w:r w:rsidRPr="000719F4">
              <w:t>") jointly succeed to a Relevant Obligation (the "</w:t>
            </w:r>
            <w:r w:rsidRPr="005311F5">
              <w:rPr>
                <w:b/>
              </w:rPr>
              <w:t>Joint Relevant Obligation</w:t>
            </w:r>
            <w:r w:rsidRPr="000719F4">
              <w:t>") either directly or as a provider of a Relevant Guarantee, then (a) if the Joint Relevant Obligation was a direct obligation of the Reference Entity, it shall be treated as having been succeeded to by the Joint Potential Successor (or Joint Potential Successors, in equal parts) which succeeded to such Joint Relevant Obligation as direct obligor or obligors, or (b) if the Joint Relevant Obligation was a Relevant Guarantee, it shall be treated as having been succeeded to by the Joint Potential Successor (or Joint Potential Successors, in equal parts) which succeeded to such Joint Relevant Obligation as guarantor or guarantors, if any, or otherwise by each Joint Potential Successor in equal parts.</w:t>
            </w:r>
          </w:p>
        </w:tc>
        <w:tc>
          <w:tcPr>
            <w:tcW w:w="1618" w:type="dxa"/>
            <w:gridSpan w:val="2"/>
            <w:tcBorders>
              <w:top w:val="nil"/>
              <w:bottom w:val="nil"/>
              <w:right w:val="nil"/>
            </w:tcBorders>
            <w:shd w:val="clear" w:color="auto" w:fill="auto"/>
          </w:tcPr>
          <w:p w:rsidR="0017135D" w:rsidRPr="000719F4" w:rsidP="00E46A2C">
            <w:pPr>
              <w:pStyle w:val="CSManNum8pt"/>
              <w:rPr>
                <w:i/>
              </w:rPr>
            </w:pPr>
          </w:p>
        </w:tc>
        <w:tc>
          <w:tcPr>
            <w:tcW w:w="3318" w:type="dxa"/>
            <w:tcBorders>
              <w:top w:val="nil"/>
              <w:left w:val="nil"/>
              <w:bottom w:val="nil"/>
              <w:right w:val="nil"/>
            </w:tcBorders>
            <w:shd w:val="clear" w:color="auto" w:fill="auto"/>
          </w:tcPr>
          <w:p w:rsidR="0017135D" w:rsidRPr="000719F4" w:rsidP="00921F8E">
            <w:pPr>
              <w:pStyle w:val="CSManNum8pt"/>
              <w:rPr>
                <w:bCs/>
                <w:lang w:val="de-DE"/>
              </w:rPr>
            </w:pPr>
            <w:r w:rsidRPr="000719F4">
              <w:rPr>
                <w:bCs/>
                <w:lang w:val="de-DE"/>
              </w:rPr>
              <w:t>(v)</w:t>
            </w:r>
            <w:r w:rsidRPr="000719F4">
              <w:rPr>
                <w:bCs/>
                <w:lang w:val="de-DE"/>
              </w:rPr>
              <w:tab/>
              <w:t>Wenn zwei oder mehr Rechtsträger (jeweils ein "</w:t>
            </w:r>
            <w:r w:rsidRPr="005311F5">
              <w:rPr>
                <w:b/>
                <w:bCs/>
                <w:lang w:val="de-DE"/>
              </w:rPr>
              <w:t xml:space="preserve">Möglicher Gemeinsamer </w:t>
            </w:r>
            <w:r w:rsidRPr="00505206">
              <w:rPr>
                <w:b/>
                <w:bCs/>
                <w:lang w:val="de-DE"/>
              </w:rPr>
              <w:t>Rechtsn</w:t>
            </w:r>
            <w:r w:rsidRPr="005311F5">
              <w:rPr>
                <w:b/>
                <w:bCs/>
                <w:lang w:val="de-DE"/>
              </w:rPr>
              <w:t>achfolger</w:t>
            </w:r>
            <w:r w:rsidRPr="000719F4">
              <w:rPr>
                <w:bCs/>
                <w:lang w:val="de-DE"/>
              </w:rPr>
              <w:t>") gemeinsam eine Massgebliche Verbindlichkeit (die "</w:t>
            </w:r>
            <w:r w:rsidRPr="005311F5">
              <w:rPr>
                <w:b/>
                <w:bCs/>
                <w:lang w:val="de-DE"/>
              </w:rPr>
              <w:t>Gemeinsame Massgebliche Verbindlichkeit</w:t>
            </w:r>
            <w:r w:rsidRPr="000719F4">
              <w:rPr>
                <w:bCs/>
                <w:lang w:val="de-DE"/>
              </w:rPr>
              <w:t xml:space="preserve">") entweder unmittelbar oder als Geber einer Massgeblichen Garantie übernehmen, so (a) wird eine Gemeinsame Massgebliche Verbindlichkeit, bei der es sich um eine direkte Verbindlichkeit des Referenzschuldners handelt, so behandelt, als hätte sie der Mögliche Gemeinsame </w:t>
            </w:r>
            <w:r w:rsidRPr="00505206">
              <w:rPr>
                <w:bCs/>
                <w:lang w:val="de-DE"/>
              </w:rPr>
              <w:t>Rechtsn</w:t>
            </w:r>
            <w:r w:rsidRPr="000719F4">
              <w:rPr>
                <w:bCs/>
                <w:lang w:val="de-DE"/>
              </w:rPr>
              <w:t xml:space="preserve">achfolger (bzw. als hätten sie die Möglichen Gemeinsamen </w:t>
            </w:r>
            <w:r w:rsidRPr="00505206">
              <w:rPr>
                <w:bCs/>
                <w:lang w:val="de-DE"/>
              </w:rPr>
              <w:t>Rechtsn</w:t>
            </w:r>
            <w:r w:rsidRPr="000719F4">
              <w:rPr>
                <w:bCs/>
                <w:lang w:val="de-DE"/>
              </w:rPr>
              <w:t xml:space="preserve">achfolger zu gleichen Teilen) übernommen, der (bzw. die) die betreffende Gemeinsame Massgebliche Verbindlichkeit als direkter Schuldner (bzw. als direkte Schuldner) übernommen hat (bzw. haben), oder (b) wird eine Gemeinsame Massgebliche Verbindlichkeit, bei der es sich um eine Massgebliche Garantie handelt, so behandelt, als hätte sie der Mögliche Gemeinsame </w:t>
            </w:r>
            <w:r w:rsidRPr="00505206">
              <w:rPr>
                <w:bCs/>
                <w:lang w:val="de-DE"/>
              </w:rPr>
              <w:t>Rechtsn</w:t>
            </w:r>
            <w:r w:rsidRPr="000719F4">
              <w:rPr>
                <w:bCs/>
                <w:lang w:val="de-DE"/>
              </w:rPr>
              <w:t xml:space="preserve">achfolger (bzw. als hätten sie die Möglichen Gemeinsamen </w:t>
            </w:r>
            <w:r w:rsidRPr="00505206">
              <w:rPr>
                <w:bCs/>
                <w:lang w:val="de-DE"/>
              </w:rPr>
              <w:t>Rechtsn</w:t>
            </w:r>
            <w:r w:rsidRPr="000719F4">
              <w:rPr>
                <w:bCs/>
                <w:lang w:val="de-DE"/>
              </w:rPr>
              <w:t xml:space="preserve">achfolger zu gleichen Teilen) übernommen, der (bzw. die) die betreffende Gemeinsame Massgebliche Verbindlichkeit als Garant (bzw. als Garanten) übernommen hat (bzw. haben), oder andernfalls als hätten alle Möglichen Gemeinsamen </w:t>
            </w:r>
            <w:r w:rsidRPr="00505206">
              <w:rPr>
                <w:bCs/>
                <w:lang w:val="de-DE"/>
              </w:rPr>
              <w:t>Rechtsn</w:t>
            </w:r>
            <w:r w:rsidRPr="000719F4">
              <w:rPr>
                <w:bCs/>
                <w:lang w:val="de-DE"/>
              </w:rPr>
              <w:t>achfolger sie zu gleichen Teilen übernommen.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0719F4" w:rsidP="00A457E7">
            <w:pPr>
              <w:pStyle w:val="CSBody0"/>
              <w:rPr>
                <w:lang w:val="de-DE"/>
              </w:rPr>
            </w:pPr>
          </w:p>
        </w:tc>
        <w:tc>
          <w:tcPr>
            <w:tcW w:w="3315" w:type="dxa"/>
            <w:gridSpan w:val="2"/>
            <w:tcBorders>
              <w:top w:val="nil"/>
              <w:left w:val="nil"/>
              <w:bottom w:val="nil"/>
            </w:tcBorders>
            <w:shd w:val="clear" w:color="auto" w:fill="auto"/>
          </w:tcPr>
          <w:p w:rsidR="0017135D" w:rsidRPr="00A85249" w:rsidP="005311F5">
            <w:pPr>
              <w:pStyle w:val="CSManNum8pt"/>
            </w:pPr>
            <w:r w:rsidRPr="00792D61">
              <w:rPr>
                <w:b/>
              </w:rPr>
              <w:t>[</w:t>
            </w:r>
            <w:r w:rsidRPr="00A85249">
              <w:t xml:space="preserve">(vi) if more than one Successor </w:t>
            </w:r>
            <w:r w:rsidRPr="00792D61">
              <w:rPr>
                <w:b/>
              </w:rPr>
              <w:t>[</w:t>
            </w:r>
            <w:r w:rsidRPr="005311F5">
              <w:rPr>
                <w:b/>
                <w:i/>
              </w:rPr>
              <w:t>if a Basket is applicable or in the case of Complex Products with N</w:t>
            </w:r>
            <w:r w:rsidRPr="00BD6E0D">
              <w:rPr>
                <w:b/>
                <w:i/>
                <w:vertAlign w:val="superscript"/>
              </w:rPr>
              <w:t>th</w:t>
            </w:r>
            <w:r w:rsidRPr="005311F5">
              <w:rPr>
                <w:b/>
                <w:i/>
              </w:rPr>
              <w:t>-to-Default structure, insert:</w:t>
            </w:r>
            <w:r w:rsidRPr="00A85249">
              <w:t xml:space="preserve"> with respect to a Reference Entity</w:t>
            </w:r>
            <w:r w:rsidRPr="00792D61">
              <w:rPr>
                <w:b/>
              </w:rPr>
              <w:t>]</w:t>
            </w:r>
            <w:r w:rsidRPr="00A85249">
              <w:t xml:space="preserve"> has been identified, the Calculation Agent shall determine, in its discretion, such adjustments of these Terms and Conditions as it shall determine to be appropriate to reflect that the Reference Entity has been succeeded by more than one Successor and shall determine the effective date of that adjustment.</w:t>
            </w:r>
            <w:r w:rsidRPr="00792D61">
              <w:rPr>
                <w:b/>
              </w:rPr>
              <w:t>]</w:t>
            </w:r>
          </w:p>
        </w:tc>
        <w:tc>
          <w:tcPr>
            <w:tcW w:w="1618" w:type="dxa"/>
            <w:gridSpan w:val="2"/>
            <w:tcBorders>
              <w:top w:val="nil"/>
              <w:bottom w:val="nil"/>
              <w:right w:val="nil"/>
            </w:tcBorders>
            <w:shd w:val="clear" w:color="auto" w:fill="auto"/>
          </w:tcPr>
          <w:p w:rsidR="0017135D" w:rsidRPr="000719F4" w:rsidP="00E46A2C">
            <w:pPr>
              <w:pStyle w:val="CSManNum8pt"/>
              <w:rPr>
                <w:i/>
              </w:rPr>
            </w:pPr>
          </w:p>
        </w:tc>
        <w:tc>
          <w:tcPr>
            <w:tcW w:w="3318" w:type="dxa"/>
            <w:tcBorders>
              <w:top w:val="nil"/>
              <w:left w:val="nil"/>
              <w:bottom w:val="nil"/>
              <w:right w:val="nil"/>
            </w:tcBorders>
            <w:shd w:val="clear" w:color="auto" w:fill="auto"/>
          </w:tcPr>
          <w:p w:rsidR="0017135D" w:rsidRPr="000719F4" w:rsidP="00E46A2C">
            <w:pPr>
              <w:pStyle w:val="CSManNum8pt"/>
              <w:rPr>
                <w:lang w:val="de-DE"/>
              </w:rPr>
            </w:pPr>
            <w:r w:rsidRPr="00792D61">
              <w:rPr>
                <w:b/>
                <w:lang w:val="de-DE"/>
              </w:rPr>
              <w:t>[</w:t>
            </w:r>
            <w:r w:rsidRPr="000719F4">
              <w:rPr>
                <w:lang w:val="de-DE"/>
              </w:rPr>
              <w:t xml:space="preserve">(vi) wenn mehr als ein </w:t>
            </w:r>
            <w:r w:rsidRPr="00505206">
              <w:rPr>
                <w:lang w:val="de-DE"/>
              </w:rPr>
              <w:t>Rechtsn</w:t>
            </w:r>
            <w:r w:rsidRPr="000719F4">
              <w:rPr>
                <w:lang w:val="de-DE"/>
              </w:rPr>
              <w:t xml:space="preserve">achfolger </w:t>
            </w:r>
            <w:r w:rsidRPr="00792D61">
              <w:rPr>
                <w:b/>
                <w:lang w:val="de-DE"/>
              </w:rPr>
              <w:t>[</w:t>
            </w:r>
            <w:r w:rsidRPr="005311F5">
              <w:rPr>
                <w:b/>
                <w:i/>
                <w:lang w:val="de-DE"/>
              </w:rPr>
              <w:t>falls ein Korb anwendbar ist oder bei Komplexen Produkten mit N</w:t>
            </w:r>
            <w:r w:rsidRPr="00BD6E0D">
              <w:rPr>
                <w:b/>
                <w:i/>
                <w:vertAlign w:val="superscript"/>
                <w:lang w:val="de-DE"/>
              </w:rPr>
              <w:t>th</w:t>
            </w:r>
            <w:r w:rsidRPr="005311F5">
              <w:rPr>
                <w:b/>
                <w:i/>
                <w:lang w:val="de-DE"/>
              </w:rPr>
              <w:t>-to-Default- Struktur, einfügen:</w:t>
            </w:r>
            <w:r w:rsidRPr="000719F4">
              <w:rPr>
                <w:lang w:val="de-DE"/>
              </w:rPr>
              <w:t xml:space="preserve"> in Bezug auf diesen Referenzschuldner</w:t>
            </w:r>
            <w:r w:rsidRPr="00792D61">
              <w:rPr>
                <w:b/>
                <w:lang w:val="de-DE"/>
              </w:rPr>
              <w:t>]</w:t>
            </w:r>
            <w:r w:rsidRPr="000719F4">
              <w:rPr>
                <w:lang w:val="de-DE"/>
              </w:rPr>
              <w:t xml:space="preserve"> bestimmt wurde, wird die Berechnungsstelle nach ihrem Ermessen solche Anpassungen dieser Emissionsbedingungen bestimmen, die sie für geeignet hält, um zu berücksichtigen, dass es für den Referenzschuldner mehr als einen </w:t>
            </w:r>
            <w:r w:rsidRPr="00505206">
              <w:rPr>
                <w:lang w:val="de-DE"/>
              </w:rPr>
              <w:t>Rechtsn</w:t>
            </w:r>
            <w:r w:rsidRPr="000719F4">
              <w:rPr>
                <w:lang w:val="de-DE"/>
              </w:rPr>
              <w:t>achfolger gibt und das Wirksamkeitsdatum dieser Anpassung festlegen.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D2823" w:rsidP="00E46A2C">
            <w:pPr>
              <w:pStyle w:val="CSManNum8pt"/>
            </w:pPr>
            <w:r w:rsidRPr="004D2823">
              <w:t>Successor Notice</w:t>
            </w:r>
            <w:r>
              <w:fldChar w:fldCharType="begin"/>
            </w:r>
            <w:r>
              <w:instrText xml:space="preserve"> XE "</w:instrText>
            </w:r>
            <w:r w:rsidRPr="00A22115">
              <w:instrText>Successor Notice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4D2823" w:rsidP="004C1EBA">
            <w:pPr>
              <w:pStyle w:val="CSBody8pt"/>
            </w:pPr>
            <w:r w:rsidRPr="004D2823">
              <w:t xml:space="preserve">an irrevocable notice from the Issuer to the Holders </w:t>
            </w:r>
            <w:r w:rsidRPr="00792D61">
              <w:rPr>
                <w:b/>
              </w:rPr>
              <w:t>[</w:t>
            </w:r>
            <w:r w:rsidRPr="004D2823">
              <w:t>in accordance with Section 8</w:t>
            </w:r>
            <w:r w:rsidRPr="00792D61">
              <w:rPr>
                <w:b/>
              </w:rPr>
              <w:t>][[</w:t>
            </w:r>
            <w:r w:rsidRPr="004D2823">
              <w:t>•</w:t>
            </w:r>
            <w:r w:rsidRPr="00792D61">
              <w:rPr>
                <w:b/>
              </w:rPr>
              <w:t>]]</w:t>
            </w:r>
            <w:r w:rsidRPr="004D2823">
              <w:t xml:space="preserve"> and the Calculation Agent that describes </w:t>
            </w:r>
            <w:r w:rsidRPr="00792D61">
              <w:rPr>
                <w:b/>
              </w:rPr>
              <w:t>[</w:t>
            </w:r>
            <w:r w:rsidRPr="004D2823">
              <w:rPr>
                <w:b/>
                <w:i/>
              </w:rPr>
              <w:t>where a Reference Entity is not a Sovereign:</w:t>
            </w:r>
            <w:r w:rsidRPr="004D2823">
              <w:t xml:space="preserve"> a succession </w:t>
            </w:r>
            <w:r w:rsidRPr="00792D61">
              <w:rPr>
                <w:b/>
              </w:rPr>
              <w:t>[</w:t>
            </w:r>
            <w:r w:rsidRPr="004D2823">
              <w:t>or,</w:t>
            </w:r>
            <w:r w:rsidRPr="00792D61">
              <w:rPr>
                <w:b/>
              </w:rPr>
              <w:t>]]</w:t>
            </w:r>
            <w:r w:rsidRPr="004D2823">
              <w:t xml:space="preserve"> </w:t>
            </w:r>
            <w:r w:rsidRPr="005C5589">
              <w:rPr>
                <w:b/>
              </w:rPr>
              <w:t>[</w:t>
            </w:r>
            <w:r>
              <w:rPr>
                <w:b/>
                <w:i/>
              </w:rPr>
              <w:t xml:space="preserve">in case of various Reference Entities of which at least one Reference Entity is a Sovereign, insert: </w:t>
            </w:r>
            <w:r w:rsidRPr="004D2823">
              <w:t>in relation to a Reference Entity that is a Sovereign,</w:t>
            </w:r>
            <w:r w:rsidRPr="00792D61">
              <w:rPr>
                <w:b/>
              </w:rPr>
              <w:t>] [</w:t>
            </w:r>
            <w:r w:rsidRPr="004D2823">
              <w:rPr>
                <w:b/>
                <w:i/>
              </w:rPr>
              <w:t xml:space="preserve">where </w:t>
            </w:r>
            <w:r>
              <w:rPr>
                <w:b/>
                <w:i/>
              </w:rPr>
              <w:t>the</w:t>
            </w:r>
            <w:r w:rsidRPr="004D2823">
              <w:rPr>
                <w:b/>
                <w:i/>
              </w:rPr>
              <w:t xml:space="preserve"> Reference Entity is a Sovereign, insert:</w:t>
            </w:r>
            <w:r w:rsidRPr="004D2823">
              <w:t xml:space="preserve">  a Sovereign Succession Event</w:t>
            </w:r>
            <w:r w:rsidRPr="00792D61">
              <w:rPr>
                <w:b/>
              </w:rPr>
              <w:t>]</w:t>
            </w:r>
            <w:r w:rsidRPr="004D2823">
              <w:t xml:space="preserve"> in respect of which a Succession Date has occurred and pursuant to which one or more Successors to the Reference Entity can be determined. A Successor Notice must contain a description in reasonable detail of the facts relevant to the determination to be made pursuant clause (i) of the definition "Successor".</w:t>
            </w:r>
          </w:p>
        </w:tc>
        <w:tc>
          <w:tcPr>
            <w:tcW w:w="1618" w:type="dxa"/>
            <w:gridSpan w:val="2"/>
            <w:tcBorders>
              <w:top w:val="nil"/>
              <w:bottom w:val="nil"/>
              <w:right w:val="nil"/>
            </w:tcBorders>
            <w:shd w:val="clear" w:color="auto" w:fill="auto"/>
          </w:tcPr>
          <w:p w:rsidR="0017135D" w:rsidRPr="00396540" w:rsidP="004C1EBA">
            <w:pPr>
              <w:pStyle w:val="CSManNum8pt"/>
            </w:pPr>
            <w:r>
              <w:t>Rechtsnachfolge-Mitteilung</w:t>
            </w:r>
            <w:r>
              <w:fldChar w:fldCharType="begin"/>
            </w:r>
            <w:r>
              <w:instrText xml:space="preserve"> XE "</w:instrText>
            </w:r>
            <w:r w:rsidRPr="00505206">
              <w:instrText>Rechtsnachfolge-Mitteilung</w:instrText>
            </w:r>
            <w:r>
              <w:instrText xml:space="preserve">" </w:instrText>
            </w:r>
            <w:r>
              <w:fldChar w:fldCharType="end"/>
            </w:r>
            <w:r w:rsidRPr="00396540">
              <w:t xml:space="preserve"> </w:t>
            </w:r>
          </w:p>
        </w:tc>
        <w:tc>
          <w:tcPr>
            <w:tcW w:w="3318" w:type="dxa"/>
            <w:tcBorders>
              <w:top w:val="nil"/>
              <w:left w:val="nil"/>
              <w:bottom w:val="nil"/>
              <w:right w:val="nil"/>
            </w:tcBorders>
            <w:shd w:val="clear" w:color="auto" w:fill="auto"/>
          </w:tcPr>
          <w:p w:rsidR="0017135D" w:rsidRPr="000719F4" w:rsidP="004C1EBA">
            <w:pPr>
              <w:pStyle w:val="CSBody8pt"/>
              <w:rPr>
                <w:lang w:val="de-DE"/>
              </w:rPr>
            </w:pPr>
            <w:r w:rsidRPr="004D2823">
              <w:rPr>
                <w:lang w:val="de-DE"/>
              </w:rPr>
              <w:t xml:space="preserve">eine unwiderrufliche Mitteilung der Emittentin an die Inhaber </w:t>
            </w:r>
            <w:r w:rsidRPr="00792D61">
              <w:rPr>
                <w:b/>
                <w:lang w:val="de-DE"/>
              </w:rPr>
              <w:t>[</w:t>
            </w:r>
            <w:r w:rsidRPr="004D2823">
              <w:rPr>
                <w:lang w:val="de-DE"/>
              </w:rPr>
              <w:t>gemäss Ziffer 8</w:t>
            </w:r>
            <w:r w:rsidRPr="00792D61">
              <w:rPr>
                <w:b/>
                <w:lang w:val="de-DE"/>
              </w:rPr>
              <w:t>][</w:t>
            </w:r>
            <w:r w:rsidRPr="004D2823">
              <w:rPr>
                <w:lang w:val="de-DE"/>
              </w:rPr>
              <w:t>•</w:t>
            </w:r>
            <w:r w:rsidRPr="00792D61">
              <w:rPr>
                <w:b/>
                <w:lang w:val="de-DE"/>
              </w:rPr>
              <w:t>]]</w:t>
            </w:r>
            <w:r w:rsidRPr="004D2823">
              <w:rPr>
                <w:lang w:val="de-DE"/>
              </w:rPr>
              <w:t xml:space="preserve"> und die Berechnungsstelle, in der </w:t>
            </w:r>
            <w:r w:rsidRPr="00792D61">
              <w:rPr>
                <w:b/>
                <w:lang w:val="de-DE"/>
              </w:rPr>
              <w:t>[</w:t>
            </w:r>
            <w:r w:rsidRPr="004D2823">
              <w:rPr>
                <w:b/>
                <w:i/>
                <w:lang w:val="de-DE"/>
              </w:rPr>
              <w:t>falls der Referenzschuldner kein Staat ist:</w:t>
            </w:r>
            <w:r w:rsidRPr="004D2823">
              <w:rPr>
                <w:lang w:val="de-DE"/>
              </w:rPr>
              <w:t xml:space="preserve"> ein </w:t>
            </w:r>
            <w:r w:rsidR="006500A9">
              <w:rPr>
                <w:lang w:val="de-DE"/>
              </w:rPr>
              <w:t>Rechts</w:t>
            </w:r>
            <w:r w:rsidRPr="004D2823">
              <w:rPr>
                <w:lang w:val="de-DE"/>
              </w:rPr>
              <w:t xml:space="preserve">achfolgevorgang </w:t>
            </w:r>
            <w:r w:rsidRPr="00792D61">
              <w:rPr>
                <w:b/>
                <w:lang w:val="de-DE"/>
              </w:rPr>
              <w:t>[</w:t>
            </w:r>
            <w:r w:rsidRPr="004D2823">
              <w:rPr>
                <w:lang w:val="de-DE"/>
              </w:rPr>
              <w:t>oder</w:t>
            </w:r>
            <w:r w:rsidRPr="00792D61">
              <w:rPr>
                <w:b/>
                <w:lang w:val="de-DE"/>
              </w:rPr>
              <w:t>]]</w:t>
            </w:r>
            <w:r w:rsidRPr="004D2823">
              <w:rPr>
                <w:lang w:val="de-DE"/>
              </w:rPr>
              <w:t xml:space="preserve"> </w:t>
            </w:r>
            <w:r>
              <w:rPr>
                <w:b/>
                <w:i/>
                <w:lang w:val="de-DE"/>
              </w:rPr>
              <w:t xml:space="preserve">[im Fall von mehreren Referenzschuldnern von denen mindestens einer ein Staat ist, einfügen: </w:t>
            </w:r>
            <w:r w:rsidRPr="004D2823">
              <w:rPr>
                <w:lang w:val="de-DE"/>
              </w:rPr>
              <w:t>in Bezug auf einen Referenzschuldner, der ein Staat ist,</w:t>
            </w:r>
            <w:r w:rsidRPr="00792D61">
              <w:rPr>
                <w:b/>
                <w:lang w:val="de-DE"/>
              </w:rPr>
              <w:t>] [</w:t>
            </w:r>
            <w:r w:rsidRPr="004D2823">
              <w:rPr>
                <w:b/>
                <w:i/>
                <w:lang w:val="de-DE"/>
              </w:rPr>
              <w:t>falls der Referenzschuldner ein Staat ist, einfügen:</w:t>
            </w:r>
            <w:r w:rsidRPr="004D2823">
              <w:rPr>
                <w:lang w:val="de-DE"/>
              </w:rPr>
              <w:t xml:space="preserve"> ein </w:t>
            </w:r>
            <w:r>
              <w:rPr>
                <w:lang w:val="de-DE"/>
              </w:rPr>
              <w:t>Rechtsn</w:t>
            </w:r>
            <w:r w:rsidRPr="004D2823">
              <w:rPr>
                <w:lang w:val="de-DE"/>
              </w:rPr>
              <w:t>achfolgeereignis in Bezug auf Staaten</w:t>
            </w:r>
            <w:r w:rsidRPr="00792D61">
              <w:rPr>
                <w:b/>
                <w:lang w:val="de-DE"/>
              </w:rPr>
              <w:t>]</w:t>
            </w:r>
            <w:r w:rsidRPr="004D2823">
              <w:rPr>
                <w:lang w:val="de-DE"/>
              </w:rPr>
              <w:t xml:space="preserve"> beschrieben ist, in Bezug auf den bzw. das ein </w:t>
            </w:r>
            <w:r w:rsidRPr="00153202">
              <w:rPr>
                <w:lang w:val="de-DE"/>
              </w:rPr>
              <w:t>Rechtsn</w:t>
            </w:r>
            <w:r w:rsidRPr="004D2823">
              <w:rPr>
                <w:lang w:val="de-DE"/>
              </w:rPr>
              <w:t xml:space="preserve">achfolgetag eingetreten ist, und gemäss der ein oder mehrere </w:t>
            </w:r>
            <w:r>
              <w:rPr>
                <w:lang w:val="de-DE"/>
              </w:rPr>
              <w:t>Rechtsn</w:t>
            </w:r>
            <w:r w:rsidRPr="004D2823">
              <w:rPr>
                <w:lang w:val="de-DE"/>
              </w:rPr>
              <w:t xml:space="preserve">achfolger des Referenzschuldners festgestellt werden können. Eine </w:t>
            </w:r>
            <w:r w:rsidRPr="00505206">
              <w:rPr>
                <w:lang w:val="de-DE"/>
              </w:rPr>
              <w:t>Rechtsnachfolge-Mitteilung</w:t>
            </w:r>
            <w:r w:rsidRPr="004D2823">
              <w:rPr>
                <w:lang w:val="de-DE"/>
              </w:rPr>
              <w:t xml:space="preserve"> muss eine hinreichend ausführliche Beschreibung der Tatsachen enthalten, die für die gemäss Absatz (i) der Definition "</w:t>
            </w:r>
            <w:r>
              <w:rPr>
                <w:lang w:val="de-DE"/>
              </w:rPr>
              <w:t>Rechtsn</w:t>
            </w:r>
            <w:r w:rsidRPr="004D2823">
              <w:rPr>
                <w:lang w:val="de-DE"/>
              </w:rPr>
              <w:t>achfolger" zu treffende Feststellung massgeblich sind.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96540" w:rsidP="00E46A2C">
            <w:pPr>
              <w:pStyle w:val="CSBody8pt"/>
              <w:rPr>
                <w:lang w:val="de-DE"/>
              </w:rPr>
            </w:pPr>
            <w:r w:rsidRPr="00396540">
              <w:rPr>
                <w:lang w:val="de-DE"/>
              </w:rPr>
              <w:t>Successor Resolution Request Date</w:t>
            </w:r>
            <w:r>
              <w:rPr>
                <w:lang w:val="de-DE"/>
              </w:rPr>
              <w:fldChar w:fldCharType="begin"/>
            </w:r>
            <w:r>
              <w:instrText xml:space="preserve"> XE "</w:instrText>
            </w:r>
            <w:r w:rsidRPr="00165028">
              <w:rPr>
                <w:lang w:val="de-DE"/>
              </w:rPr>
              <w:instrText>Successor Resolution Request Date</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396540" w:rsidP="00E46A2C">
            <w:pPr>
              <w:pStyle w:val="CSBody8pt"/>
            </w:pPr>
            <w:r w:rsidRPr="00396540">
              <w:t>with respect to a notice to the DC Secretary requesting that a Credit Derivatives Determinations Committee be convened to Resolve one or more Successors to the Reference Entity, the date, as publicly announced by the DC Secretary, that the relevant Credit Derivatives Determinations Committee Resolves to be the date on which such notice is effective.</w:t>
            </w:r>
          </w:p>
        </w:tc>
        <w:tc>
          <w:tcPr>
            <w:tcW w:w="1618" w:type="dxa"/>
            <w:gridSpan w:val="2"/>
            <w:tcBorders>
              <w:top w:val="nil"/>
              <w:bottom w:val="nil"/>
              <w:right w:val="nil"/>
            </w:tcBorders>
            <w:shd w:val="clear" w:color="auto" w:fill="auto"/>
          </w:tcPr>
          <w:p w:rsidR="0017135D" w:rsidRPr="00396540" w:rsidP="00E46A2C">
            <w:pPr>
              <w:pStyle w:val="CSBody8pt"/>
            </w:pPr>
            <w:r>
              <w:t>Rechtsnachfolge</w:t>
            </w:r>
            <w:r w:rsidRPr="00396540">
              <w:t>beschluss-Antragsdatum</w:t>
            </w:r>
            <w:r>
              <w:fldChar w:fldCharType="begin"/>
            </w:r>
            <w:r>
              <w:instrText xml:space="preserve"> XE "Rechtsnachfolge</w:instrText>
            </w:r>
            <w:r w:rsidRPr="00CC29AC">
              <w:instrText>beschluss-Antragsdatum</w:instrText>
            </w:r>
            <w:r>
              <w:instrText xml:space="preserve">" </w:instrText>
            </w:r>
            <w:r>
              <w:fldChar w:fldCharType="end"/>
            </w:r>
          </w:p>
        </w:tc>
        <w:tc>
          <w:tcPr>
            <w:tcW w:w="3318" w:type="dxa"/>
            <w:tcBorders>
              <w:top w:val="nil"/>
              <w:left w:val="nil"/>
              <w:bottom w:val="nil"/>
              <w:right w:val="nil"/>
            </w:tcBorders>
            <w:shd w:val="clear" w:color="auto" w:fill="auto"/>
          </w:tcPr>
          <w:p w:rsidR="0017135D" w:rsidRPr="00B100C3" w:rsidP="00E46A2C">
            <w:pPr>
              <w:pStyle w:val="CSBody8pt"/>
              <w:rPr>
                <w:bCs/>
                <w:lang w:val="de-DE"/>
              </w:rPr>
            </w:pPr>
            <w:r w:rsidRPr="00396540">
              <w:rPr>
                <w:bCs/>
                <w:lang w:val="de-DE"/>
              </w:rPr>
              <w:t xml:space="preserve">in Bezug auf eine Mitteilung an den Secretary, mit der die Einberufung eines Kreditderivate-Feststellungsausschusses beantragt wird, um einen oder mehrere </w:t>
            </w:r>
            <w:r>
              <w:rPr>
                <w:bCs/>
                <w:lang w:val="de-DE"/>
              </w:rPr>
              <w:t>Rechtsn</w:t>
            </w:r>
            <w:r w:rsidRPr="00396540">
              <w:rPr>
                <w:bCs/>
                <w:lang w:val="de-DE"/>
              </w:rPr>
              <w:t>achfolger für den Referenzschuldner zu Beschliessen, der von dem Secretary öffentlich bekannt gegebene Tag, den der zuständige Kreditderivate-Feststellungsausschuss als den Tag Beschlossen hat, an dem diese Mitteilung wirksam wird.</w:t>
            </w:r>
          </w:p>
        </w:tc>
      </w:tr>
      <w:tr w:rsidTr="004C1EBA">
        <w:tblPrEx>
          <w:tblW w:w="4999" w:type="pct"/>
          <w:tblLayout w:type="fixed"/>
          <w:tblCellMar>
            <w:left w:w="115" w:type="dxa"/>
            <w:right w:w="115" w:type="dxa"/>
          </w:tblCellMar>
          <w:tblLook w:val="04A0"/>
        </w:tblPrEx>
        <w:trPr>
          <w:trHeight w:val="2215"/>
        </w:trPr>
        <w:tc>
          <w:tcPr>
            <w:tcW w:w="1616" w:type="dxa"/>
            <w:gridSpan w:val="3"/>
            <w:tcBorders>
              <w:top w:val="nil"/>
              <w:left w:val="nil"/>
              <w:right w:val="nil"/>
            </w:tcBorders>
            <w:shd w:val="clear" w:color="auto" w:fill="auto"/>
          </w:tcPr>
          <w:p w:rsidR="0017135D" w:rsidRPr="00B100C3" w:rsidP="00E46A2C">
            <w:pPr>
              <w:pStyle w:val="CSBody8ptbolditalics"/>
            </w:pPr>
            <w:r w:rsidRPr="00792D61">
              <w:t>[</w:t>
            </w:r>
            <w:r w:rsidRPr="00B100C3">
              <w:t>if a Basket is applicable, insert:</w:t>
            </w:r>
          </w:p>
          <w:p w:rsidR="0017135D" w:rsidRPr="00B100C3" w:rsidP="00E46A2C">
            <w:pPr>
              <w:pStyle w:val="CSBody8pt"/>
            </w:pPr>
            <w:r w:rsidRPr="00B100C3">
              <w:t>Surviving Reference Entity</w:t>
            </w:r>
            <w:r>
              <w:fldChar w:fldCharType="begin"/>
            </w:r>
            <w:r>
              <w:instrText xml:space="preserve"> XE "</w:instrText>
            </w:r>
            <w:r w:rsidRPr="006C046D">
              <w:instrText>Surviving Reference Entity</w:instrText>
            </w:r>
            <w:r>
              <w:instrText xml:space="preserve">" \f "EN" </w:instrText>
            </w:r>
            <w:r>
              <w:fldChar w:fldCharType="end"/>
            </w:r>
          </w:p>
        </w:tc>
        <w:tc>
          <w:tcPr>
            <w:tcW w:w="3315" w:type="dxa"/>
            <w:gridSpan w:val="2"/>
            <w:tcBorders>
              <w:top w:val="nil"/>
              <w:left w:val="nil"/>
            </w:tcBorders>
            <w:shd w:val="clear" w:color="auto" w:fill="auto"/>
          </w:tcPr>
          <w:p w:rsidR="0017135D" w:rsidRPr="00B100C3" w:rsidP="00E46A2C">
            <w:pPr>
              <w:pStyle w:val="CSBody8pt"/>
            </w:pPr>
            <w:r w:rsidRPr="00B100C3">
              <w:t>any Reference Entity in the basket, which is not the succeeded Reference Entity and which is determined to be the Successor or one of the Successors to the succeeded Reference Entity.</w:t>
            </w:r>
            <w:r w:rsidRPr="00792D61">
              <w:rPr>
                <w:b/>
              </w:rPr>
              <w:t>]</w:t>
            </w:r>
          </w:p>
        </w:tc>
        <w:tc>
          <w:tcPr>
            <w:tcW w:w="1618" w:type="dxa"/>
            <w:gridSpan w:val="2"/>
            <w:tcBorders>
              <w:top w:val="nil"/>
              <w:right w:val="nil"/>
            </w:tcBorders>
            <w:shd w:val="clear" w:color="auto" w:fill="auto"/>
          </w:tcPr>
          <w:p w:rsidR="0017135D" w:rsidRPr="00B100C3" w:rsidP="00E46A2C">
            <w:pPr>
              <w:pStyle w:val="CSBody8ptbolditalics"/>
              <w:rPr>
                <w:lang w:val="de-DE"/>
              </w:rPr>
            </w:pPr>
            <w:r w:rsidRPr="00792D61">
              <w:rPr>
                <w:lang w:val="de-DE"/>
              </w:rPr>
              <w:t>[</w:t>
            </w:r>
            <w:r w:rsidRPr="00B100C3">
              <w:rPr>
                <w:lang w:val="de-DE"/>
              </w:rPr>
              <w:t>falls ein Korb anwendbar ist, einfügen:</w:t>
            </w:r>
          </w:p>
          <w:p w:rsidR="0017135D" w:rsidRPr="00B100C3" w:rsidP="00E46A2C">
            <w:pPr>
              <w:pStyle w:val="CSBody8pt"/>
              <w:rPr>
                <w:lang w:val="de-DE"/>
              </w:rPr>
            </w:pPr>
            <w:r>
              <w:t>Fortbestehender Referenz</w:t>
            </w:r>
            <w:r w:rsidRPr="00396540">
              <w:t>schuldner</w:t>
            </w:r>
            <w:r>
              <w:fldChar w:fldCharType="begin"/>
            </w:r>
            <w:r>
              <w:instrText xml:space="preserve"> XE "Fortbestehender Referenz</w:instrText>
            </w:r>
            <w:r w:rsidRPr="005F31D6">
              <w:instrText>schuldner</w:instrText>
            </w:r>
            <w:r>
              <w:instrText xml:space="preserve">" </w:instrText>
            </w:r>
            <w:r>
              <w:fldChar w:fldCharType="end"/>
            </w:r>
          </w:p>
        </w:tc>
        <w:tc>
          <w:tcPr>
            <w:tcW w:w="3318" w:type="dxa"/>
            <w:tcBorders>
              <w:top w:val="nil"/>
              <w:left w:val="nil"/>
              <w:right w:val="nil"/>
            </w:tcBorders>
            <w:shd w:val="clear" w:color="auto" w:fill="auto"/>
          </w:tcPr>
          <w:p w:rsidR="0017135D" w:rsidRPr="00B100C3" w:rsidP="00E46A2C">
            <w:pPr>
              <w:pStyle w:val="CSBody8pt"/>
              <w:rPr>
                <w:bCs/>
                <w:lang w:val="de-DE"/>
              </w:rPr>
            </w:pPr>
            <w:r w:rsidRPr="00B100C3">
              <w:rPr>
                <w:bCs/>
                <w:lang w:val="de-DE"/>
              </w:rPr>
              <w:t xml:space="preserve">Jeder Referenzschuldner, der nicht der übernommene Referenzschuldner ist, und der als </w:t>
            </w:r>
            <w:r>
              <w:rPr>
                <w:bCs/>
                <w:lang w:val="de-DE"/>
              </w:rPr>
              <w:t>Rechtsn</w:t>
            </w:r>
            <w:r w:rsidRPr="00B100C3">
              <w:rPr>
                <w:bCs/>
                <w:lang w:val="de-DE"/>
              </w:rPr>
              <w:t xml:space="preserve">achfolger oder als einer der </w:t>
            </w:r>
            <w:r w:rsidRPr="005C55F2">
              <w:rPr>
                <w:bCs/>
                <w:lang w:val="de-DE"/>
              </w:rPr>
              <w:t>Rechtsn</w:t>
            </w:r>
            <w:r w:rsidRPr="00B100C3">
              <w:rPr>
                <w:bCs/>
                <w:lang w:val="de-DE"/>
              </w:rPr>
              <w:t>achfolger des übernommenen Referenzschuldners bestimmt wurde.</w:t>
            </w:r>
            <w:r w:rsidRPr="00792D61">
              <w:rPr>
                <w:b/>
                <w:bCs/>
                <w:lang w:val="de-DE"/>
              </w:rPr>
              <w:t>]</w:t>
            </w:r>
          </w:p>
        </w:tc>
      </w:tr>
      <w:tr w:rsidTr="004C1EBA">
        <w:tblPrEx>
          <w:tblW w:w="4999" w:type="pct"/>
          <w:tblLayout w:type="fixed"/>
          <w:tblCellMar>
            <w:left w:w="115" w:type="dxa"/>
            <w:right w:w="115" w:type="dxa"/>
          </w:tblCellMar>
          <w:tblLook w:val="04A0"/>
        </w:tblPrEx>
        <w:trPr>
          <w:trHeight w:val="2783"/>
        </w:trPr>
        <w:tc>
          <w:tcPr>
            <w:tcW w:w="1616" w:type="dxa"/>
            <w:gridSpan w:val="3"/>
            <w:tcBorders>
              <w:top w:val="nil"/>
              <w:left w:val="nil"/>
              <w:right w:val="nil"/>
            </w:tcBorders>
            <w:shd w:val="clear" w:color="auto" w:fill="auto"/>
          </w:tcPr>
          <w:p w:rsidR="0017135D" w:rsidRPr="00B100C3" w:rsidP="00E46A2C">
            <w:pPr>
              <w:pStyle w:val="CSBody8ptbolditalics"/>
            </w:pPr>
            <w:r w:rsidRPr="00792D61">
              <w:t>[</w:t>
            </w:r>
            <w:r w:rsidRPr="004A0A6A">
              <w:t>if M(M)R Restructuring is applicable, or if Transferable is specified as Valuation Obligation Characteristic, insert:</w:t>
            </w:r>
          </w:p>
          <w:p w:rsidR="0017135D" w:rsidRPr="00B100C3" w:rsidP="00396540">
            <w:pPr>
              <w:pStyle w:val="CSBody8pt"/>
            </w:pPr>
            <w:r w:rsidRPr="004A0A6A">
              <w:t>Transferable</w:t>
            </w:r>
            <w:r>
              <w:fldChar w:fldCharType="begin"/>
            </w:r>
            <w:r>
              <w:instrText xml:space="preserve"> XE "</w:instrText>
            </w:r>
            <w:r w:rsidRPr="00CA32F4">
              <w:instrText>Transferable</w:instrText>
            </w:r>
            <w:r>
              <w:instrText xml:space="preserve">" \f "EN" </w:instrText>
            </w:r>
            <w:r>
              <w:fldChar w:fldCharType="end"/>
            </w:r>
          </w:p>
        </w:tc>
        <w:tc>
          <w:tcPr>
            <w:tcW w:w="3315" w:type="dxa"/>
            <w:gridSpan w:val="2"/>
            <w:tcBorders>
              <w:top w:val="nil"/>
              <w:left w:val="nil"/>
            </w:tcBorders>
            <w:shd w:val="clear" w:color="auto" w:fill="auto"/>
          </w:tcPr>
          <w:p w:rsidR="0017135D" w:rsidRPr="00B100C3" w:rsidP="00E46A2C">
            <w:pPr>
              <w:pStyle w:val="CSBody8pt"/>
            </w:pPr>
            <w:r w:rsidRPr="004A0A6A">
              <w:t>an obligation that is transferable to institutional investors without any contractual, statutory or regulatory restriction, provided that none of the following shall be considered contractual, statutory or regulatory restrictions:</w:t>
            </w:r>
          </w:p>
        </w:tc>
        <w:tc>
          <w:tcPr>
            <w:tcW w:w="1618" w:type="dxa"/>
            <w:gridSpan w:val="2"/>
            <w:tcBorders>
              <w:top w:val="nil"/>
              <w:right w:val="nil"/>
            </w:tcBorders>
            <w:shd w:val="clear" w:color="auto" w:fill="auto"/>
          </w:tcPr>
          <w:p w:rsidR="0017135D" w:rsidRPr="004A0A6A" w:rsidP="00E46A2C">
            <w:pPr>
              <w:pStyle w:val="CSBody8ptbolditalics"/>
              <w:rPr>
                <w:lang w:val="de-DE"/>
              </w:rPr>
            </w:pPr>
            <w:r w:rsidRPr="00792D61">
              <w:rPr>
                <w:lang w:val="de-DE"/>
              </w:rPr>
              <w:t>[</w:t>
            </w:r>
            <w:r w:rsidRPr="004A0A6A">
              <w:rPr>
                <w:lang w:val="de-DE"/>
              </w:rPr>
              <w:t>falls M(M)R-Restrukturierung anwendbar ist, oder falls "Übertragbar" als Merkmal der Bewertungsverbindlichkeiten angegeben ist, einfügen:</w:t>
            </w:r>
          </w:p>
          <w:p w:rsidR="0017135D" w:rsidRPr="004A0A6A" w:rsidP="00396540">
            <w:pPr>
              <w:pStyle w:val="CSBody8pt"/>
              <w:rPr>
                <w:lang w:val="de-DE"/>
              </w:rPr>
            </w:pPr>
            <w:r w:rsidRPr="00396540">
              <w:t>Übertragbar</w:t>
            </w:r>
            <w:r>
              <w:fldChar w:fldCharType="begin"/>
            </w:r>
            <w:r>
              <w:instrText xml:space="preserve"> XE "</w:instrText>
            </w:r>
            <w:r w:rsidRPr="007116FB">
              <w:instrText>Übertragbar</w:instrText>
            </w:r>
            <w:r>
              <w:instrText xml:space="preserve">" </w:instrText>
            </w:r>
            <w:r>
              <w:fldChar w:fldCharType="end"/>
            </w:r>
          </w:p>
        </w:tc>
        <w:tc>
          <w:tcPr>
            <w:tcW w:w="3318" w:type="dxa"/>
            <w:tcBorders>
              <w:top w:val="nil"/>
              <w:left w:val="nil"/>
              <w:right w:val="nil"/>
            </w:tcBorders>
            <w:shd w:val="clear" w:color="auto" w:fill="auto"/>
          </w:tcPr>
          <w:p w:rsidR="0017135D" w:rsidRPr="004A0A6A" w:rsidP="00E46A2C">
            <w:pPr>
              <w:pStyle w:val="CSBody8pt"/>
              <w:rPr>
                <w:bCs/>
                <w:lang w:val="de-DE"/>
              </w:rPr>
            </w:pPr>
            <w:r w:rsidRPr="004A0A6A">
              <w:rPr>
                <w:bCs/>
                <w:lang w:val="de-DE"/>
              </w:rPr>
              <w:t>eine Verbindlichkeit, die ohne vertragliche, gesetzli</w:t>
            </w:r>
            <w:r>
              <w:rPr>
                <w:bCs/>
                <w:lang w:val="de-DE"/>
              </w:rPr>
              <w:t>che oder aufsichtsrechtliche Be</w:t>
            </w:r>
            <w:r w:rsidRPr="004A0A6A">
              <w:rPr>
                <w:bCs/>
                <w:lang w:val="de-DE"/>
              </w:rPr>
              <w:t>schränkungen auf institutionelle Anleger übertragen werden kann, wobei die folgenden Beschränkungen nicht als vertragliche, gesetzliche oder aufsichtsrechtliche Beschränkungen gelten: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13B3E" w:rsidP="00A457E7">
            <w:pPr>
              <w:pStyle w:val="CSBody0"/>
              <w:rPr>
                <w:lang w:val="de-DE"/>
              </w:rPr>
            </w:pPr>
          </w:p>
        </w:tc>
        <w:tc>
          <w:tcPr>
            <w:tcW w:w="3315" w:type="dxa"/>
            <w:gridSpan w:val="2"/>
            <w:tcBorders>
              <w:top w:val="nil"/>
              <w:left w:val="nil"/>
              <w:bottom w:val="nil"/>
            </w:tcBorders>
            <w:shd w:val="clear" w:color="auto" w:fill="auto"/>
          </w:tcPr>
          <w:p w:rsidR="0017135D" w:rsidRPr="00B100C3">
            <w:pPr>
              <w:pStyle w:val="CSManNum8pt"/>
            </w:pPr>
            <w:r w:rsidRPr="004A0A6A">
              <w:t>(a)</w:t>
            </w:r>
            <w:r w:rsidRPr="004A0A6A">
              <w:tab/>
              <w:t>contractual, statutory or regulatory restrictions that provide for eligibility for resale pursuant to Rule 144A or Regulation S promulgated under the United States Securities Act of 1933, as amended (and any contractual, statutory or regulatory restrictions promulgated under the laws of any jurisdiction having a similar effect in relation to the eligibility for resale of an obligation);</w:t>
            </w:r>
          </w:p>
        </w:tc>
        <w:tc>
          <w:tcPr>
            <w:tcW w:w="1618" w:type="dxa"/>
            <w:gridSpan w:val="2"/>
            <w:tcBorders>
              <w:top w:val="nil"/>
              <w:bottom w:val="nil"/>
              <w:right w:val="nil"/>
            </w:tcBorders>
            <w:shd w:val="clear" w:color="auto" w:fill="auto"/>
          </w:tcPr>
          <w:p w:rsidR="0017135D" w:rsidRPr="00B100C3" w:rsidP="00E46A2C">
            <w:pPr>
              <w:pStyle w:val="CSManNum8pt"/>
              <w:rPr>
                <w:i/>
              </w:rPr>
            </w:pPr>
          </w:p>
        </w:tc>
        <w:tc>
          <w:tcPr>
            <w:tcW w:w="3318" w:type="dxa"/>
            <w:tcBorders>
              <w:top w:val="nil"/>
              <w:left w:val="nil"/>
              <w:bottom w:val="nil"/>
              <w:right w:val="nil"/>
            </w:tcBorders>
            <w:shd w:val="clear" w:color="auto" w:fill="auto"/>
          </w:tcPr>
          <w:p w:rsidR="0017135D" w:rsidRPr="004A0A6A" w:rsidP="00E46A2C">
            <w:pPr>
              <w:pStyle w:val="CSManNum8pt"/>
              <w:rPr>
                <w:bCs/>
                <w:lang w:val="de-DE"/>
              </w:rPr>
            </w:pPr>
            <w:r w:rsidRPr="004A0A6A">
              <w:rPr>
                <w:bCs/>
                <w:lang w:val="de-DE"/>
              </w:rPr>
              <w:t>(a)</w:t>
            </w:r>
            <w:r w:rsidRPr="004A0A6A">
              <w:rPr>
                <w:bCs/>
                <w:lang w:val="de-DE"/>
              </w:rPr>
              <w:tab/>
              <w:t>vertragliche, gesetzliche oder aufsichtsrechtliche Beschränkungen, die die Zulässigkeit eines Weiterverkaufs gemäss der im Rahmen des US-Wertpapiergesetzes von 1933 (</w:t>
            </w:r>
            <w:r w:rsidRPr="00396540">
              <w:rPr>
                <w:bCs/>
                <w:i/>
                <w:lang w:val="de-DE"/>
              </w:rPr>
              <w:t>United States Securities Act of 1933</w:t>
            </w:r>
            <w:r w:rsidRPr="004A0A6A">
              <w:rPr>
                <w:bCs/>
                <w:lang w:val="de-DE"/>
              </w:rPr>
              <w:t>) in der geltenden Fassung erlassenen Rule 144A oder Regulation S regeln (sowie jede vertragliche, gesetzliche oder aufsichtsrechtliche Beschränkung gemäss den Gesetzen einer anderen Rechtsordnung, die eine ähnliche Wirkung hinsichtlich der Zulässigkeit des Weiterverkaufs von Verbindlichkeiten entfaltet);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A0A6A" w:rsidP="00A457E7">
            <w:pPr>
              <w:pStyle w:val="CSBody0"/>
              <w:rPr>
                <w:lang w:val="de-DE"/>
              </w:rPr>
            </w:pPr>
          </w:p>
        </w:tc>
        <w:tc>
          <w:tcPr>
            <w:tcW w:w="3315" w:type="dxa"/>
            <w:gridSpan w:val="2"/>
            <w:tcBorders>
              <w:top w:val="nil"/>
              <w:left w:val="nil"/>
              <w:bottom w:val="nil"/>
            </w:tcBorders>
            <w:shd w:val="clear" w:color="auto" w:fill="auto"/>
          </w:tcPr>
          <w:p w:rsidR="0017135D" w:rsidRPr="004A0A6A" w:rsidP="00921F8E">
            <w:pPr>
              <w:pStyle w:val="CSManNum8pt"/>
            </w:pPr>
            <w:r w:rsidRPr="004A0A6A">
              <w:t>(b)</w:t>
            </w:r>
            <w:r w:rsidRPr="004A0A6A">
              <w:tab/>
              <w:t>restrictions on permitted investments such as statutory or regulatory investment restrictions on insurance companies and pension funds, or</w:t>
            </w:r>
          </w:p>
        </w:tc>
        <w:tc>
          <w:tcPr>
            <w:tcW w:w="1618" w:type="dxa"/>
            <w:gridSpan w:val="2"/>
            <w:tcBorders>
              <w:top w:val="nil"/>
              <w:bottom w:val="nil"/>
              <w:right w:val="nil"/>
            </w:tcBorders>
            <w:shd w:val="clear" w:color="auto" w:fill="auto"/>
          </w:tcPr>
          <w:p w:rsidR="0017135D" w:rsidRPr="004A0A6A" w:rsidP="00E46A2C">
            <w:pPr>
              <w:pStyle w:val="CSManNum8pt"/>
              <w:rPr>
                <w:i/>
              </w:rPr>
            </w:pPr>
          </w:p>
        </w:tc>
        <w:tc>
          <w:tcPr>
            <w:tcW w:w="3318" w:type="dxa"/>
            <w:tcBorders>
              <w:top w:val="nil"/>
              <w:left w:val="nil"/>
              <w:bottom w:val="nil"/>
              <w:right w:val="nil"/>
            </w:tcBorders>
            <w:shd w:val="clear" w:color="auto" w:fill="auto"/>
          </w:tcPr>
          <w:p w:rsidR="0017135D" w:rsidRPr="004A0A6A" w:rsidP="00E46A2C">
            <w:pPr>
              <w:pStyle w:val="CSManNum8pt"/>
              <w:rPr>
                <w:bCs/>
                <w:lang w:val="de-DE"/>
              </w:rPr>
            </w:pPr>
            <w:r w:rsidRPr="004A0A6A">
              <w:rPr>
                <w:bCs/>
                <w:lang w:val="de-DE"/>
              </w:rPr>
              <w:t>(b)</w:t>
            </w:r>
            <w:r w:rsidRPr="004A0A6A">
              <w:rPr>
                <w:bCs/>
                <w:lang w:val="de-DE"/>
              </w:rPr>
              <w:tab/>
              <w:t>Beschränkungen für zulässige Anlagen, wie beispielsweise gesetzliche oder aufsichtsrechtliche Anlagebeschränkungen für Versicherungen und Pensionsfonds; oder</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A0A6A" w:rsidP="00A457E7">
            <w:pPr>
              <w:pStyle w:val="CSBody0"/>
              <w:rPr>
                <w:lang w:val="de-DE"/>
              </w:rPr>
            </w:pPr>
          </w:p>
        </w:tc>
        <w:tc>
          <w:tcPr>
            <w:tcW w:w="3315" w:type="dxa"/>
            <w:gridSpan w:val="2"/>
            <w:tcBorders>
              <w:top w:val="nil"/>
              <w:left w:val="nil"/>
              <w:bottom w:val="nil"/>
            </w:tcBorders>
            <w:shd w:val="clear" w:color="auto" w:fill="auto"/>
          </w:tcPr>
          <w:p w:rsidR="0017135D" w:rsidRPr="004A0A6A" w:rsidP="00E46A2C">
            <w:pPr>
              <w:pStyle w:val="CSManNum8pt"/>
            </w:pPr>
            <w:r w:rsidRPr="004A0A6A">
              <w:t>(c)</w:t>
            </w:r>
            <w:r w:rsidRPr="004A0A6A">
              <w:tab/>
              <w:t>restrictions in respect of blocked periods on or around payment dates or voting periods.</w:t>
            </w:r>
            <w:r w:rsidRPr="00792D61">
              <w:rPr>
                <w:b/>
              </w:rPr>
              <w:t>]</w:t>
            </w:r>
          </w:p>
        </w:tc>
        <w:tc>
          <w:tcPr>
            <w:tcW w:w="1618" w:type="dxa"/>
            <w:gridSpan w:val="2"/>
            <w:tcBorders>
              <w:top w:val="nil"/>
              <w:bottom w:val="nil"/>
              <w:right w:val="nil"/>
            </w:tcBorders>
            <w:shd w:val="clear" w:color="auto" w:fill="auto"/>
          </w:tcPr>
          <w:p w:rsidR="0017135D" w:rsidRPr="004A0A6A" w:rsidP="00E46A2C">
            <w:pPr>
              <w:pStyle w:val="CSManNum8pt"/>
              <w:rPr>
                <w:i/>
              </w:rPr>
            </w:pPr>
          </w:p>
        </w:tc>
        <w:tc>
          <w:tcPr>
            <w:tcW w:w="3318" w:type="dxa"/>
            <w:tcBorders>
              <w:top w:val="nil"/>
              <w:left w:val="nil"/>
              <w:bottom w:val="nil"/>
              <w:right w:val="nil"/>
            </w:tcBorders>
            <w:shd w:val="clear" w:color="auto" w:fill="auto"/>
          </w:tcPr>
          <w:p w:rsidR="0017135D" w:rsidRPr="004A0A6A" w:rsidP="00E46A2C">
            <w:pPr>
              <w:pStyle w:val="CSManNum8pt"/>
              <w:rPr>
                <w:bCs/>
                <w:lang w:val="de-DE"/>
              </w:rPr>
            </w:pPr>
            <w:r w:rsidRPr="004A0A6A">
              <w:rPr>
                <w:bCs/>
                <w:lang w:val="de-DE"/>
              </w:rPr>
              <w:t>(c)</w:t>
            </w:r>
            <w:r w:rsidRPr="004A0A6A">
              <w:rPr>
                <w:bCs/>
                <w:lang w:val="de-DE"/>
              </w:rPr>
              <w:tab/>
              <w:t>Beschränkungen in Bezug auf Sperrfristen an Zahltagen oder um Zahltage oder während oder um Fristen für Stimmabgaben.</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9D08E0" w:rsidP="004C1EBA">
            <w:pPr>
              <w:pStyle w:val="CSBody8pt"/>
              <w:rPr>
                <w:b/>
                <w:i/>
              </w:rPr>
            </w:pPr>
            <w:r w:rsidRPr="009D08E0">
              <w:rPr>
                <w:b/>
              </w:rPr>
              <w:t>[</w:t>
            </w:r>
            <w:r w:rsidRPr="009D08E0">
              <w:rPr>
                <w:b/>
                <w:i/>
              </w:rPr>
              <w:t xml:space="preserve">in case of Credit-Linked Complex Products with LPN Reference Obligation, insert: </w:t>
            </w:r>
          </w:p>
          <w:p w:rsidR="0017135D" w:rsidRPr="004A0A6A" w:rsidP="004C1EBA">
            <w:pPr>
              <w:pStyle w:val="CSBody8pt"/>
              <w:rPr>
                <w:lang w:val="de-DE"/>
              </w:rPr>
            </w:pPr>
            <w:r w:rsidRPr="0040488E">
              <w:rPr>
                <w:lang w:val="de-DE"/>
              </w:rPr>
              <w:t xml:space="preserve">Underlyling Finance </w:t>
            </w:r>
            <w:r w:rsidRPr="0040488E">
              <w:t>Instrument</w:t>
            </w:r>
          </w:p>
        </w:tc>
        <w:tc>
          <w:tcPr>
            <w:tcW w:w="3315" w:type="dxa"/>
            <w:gridSpan w:val="2"/>
            <w:tcBorders>
              <w:top w:val="nil"/>
              <w:left w:val="nil"/>
              <w:bottom w:val="nil"/>
            </w:tcBorders>
            <w:shd w:val="clear" w:color="auto" w:fill="auto"/>
          </w:tcPr>
          <w:p w:rsidR="0017135D" w:rsidRPr="004A0A6A" w:rsidP="00714D55">
            <w:pPr>
              <w:pStyle w:val="CSBody8pt"/>
            </w:pPr>
            <w:r>
              <w:t>h</w:t>
            </w:r>
            <w:r w:rsidRPr="0040488E">
              <w:t xml:space="preserve">as the meaning assigned to such term in section 1.1 of these Terms and Conditions </w:t>
            </w:r>
            <w:r w:rsidR="00ED5E9C">
              <w:t>under</w:t>
            </w:r>
            <w:r w:rsidRPr="0040488E" w:rsidR="00ED5E9C">
              <w:t xml:space="preserve"> </w:t>
            </w:r>
            <w:r w:rsidR="003B00F3">
              <w:t>"</w:t>
            </w:r>
            <w:r w:rsidRPr="0040488E">
              <w:t>Additional LPN</w:t>
            </w:r>
            <w:r w:rsidR="00BF7214">
              <w:t>"</w:t>
            </w:r>
            <w:r w:rsidRPr="0040488E">
              <w:t>.</w:t>
            </w:r>
          </w:p>
        </w:tc>
        <w:tc>
          <w:tcPr>
            <w:tcW w:w="1618" w:type="dxa"/>
            <w:gridSpan w:val="2"/>
            <w:tcBorders>
              <w:top w:val="nil"/>
              <w:bottom w:val="nil"/>
              <w:right w:val="nil"/>
            </w:tcBorders>
            <w:shd w:val="clear" w:color="auto" w:fill="auto"/>
          </w:tcPr>
          <w:p w:rsidR="00B8054A" w:rsidP="004C1EBA">
            <w:pPr>
              <w:pStyle w:val="CSBody8pt"/>
              <w:rPr>
                <w:b/>
                <w:i/>
                <w:lang w:val="de-DE"/>
              </w:rPr>
            </w:pPr>
            <w:r w:rsidRPr="009D08E0">
              <w:rPr>
                <w:b/>
                <w:lang w:val="de-DE"/>
              </w:rPr>
              <w:t>[</w:t>
            </w:r>
            <w:r w:rsidRPr="009D08E0">
              <w:rPr>
                <w:b/>
                <w:i/>
                <w:lang w:val="de-DE"/>
              </w:rPr>
              <w:t xml:space="preserve">bei Kreditbezogenen Komplexen Produkten mit LPN-Referenzverbindlichkeit einfügen: </w:t>
            </w:r>
          </w:p>
          <w:p w:rsidR="0017135D" w:rsidRPr="009D08E0" w:rsidP="004C1EBA">
            <w:pPr>
              <w:pStyle w:val="CSBody8pt"/>
              <w:rPr>
                <w:lang w:val="de-DE"/>
              </w:rPr>
            </w:pPr>
            <w:r w:rsidRPr="009D08E0">
              <w:rPr>
                <w:lang w:val="de-DE"/>
              </w:rPr>
              <w:t>Zugrundeliegendes Finanzinstrument</w:t>
            </w:r>
          </w:p>
        </w:tc>
        <w:tc>
          <w:tcPr>
            <w:tcW w:w="3318" w:type="dxa"/>
            <w:tcBorders>
              <w:top w:val="nil"/>
              <w:left w:val="nil"/>
              <w:bottom w:val="nil"/>
              <w:right w:val="nil"/>
            </w:tcBorders>
            <w:shd w:val="clear" w:color="auto" w:fill="auto"/>
          </w:tcPr>
          <w:p w:rsidR="0017135D" w:rsidRPr="004A0A6A" w:rsidP="004C1EBA">
            <w:pPr>
              <w:pStyle w:val="CSBody8pt"/>
              <w:rPr>
                <w:bCs/>
                <w:lang w:val="de-DE"/>
              </w:rPr>
            </w:pPr>
            <w:r>
              <w:rPr>
                <w:bCs/>
                <w:lang w:val="de-DE"/>
              </w:rPr>
              <w:t>h</w:t>
            </w:r>
            <w:r w:rsidRPr="0040488E">
              <w:rPr>
                <w:bCs/>
                <w:lang w:val="de-DE"/>
              </w:rPr>
              <w:t xml:space="preserve">at die in Abschnitt 1.1 dieser </w:t>
            </w:r>
            <w:r w:rsidRPr="0040488E">
              <w:rPr>
                <w:lang w:val="de-DE"/>
              </w:rPr>
              <w:t>Emissionsbedingungen</w:t>
            </w:r>
            <w:r w:rsidRPr="0040488E">
              <w:rPr>
                <w:bCs/>
                <w:lang w:val="de-DE"/>
              </w:rPr>
              <w:t xml:space="preserve"> unter </w:t>
            </w:r>
            <w:r w:rsidR="003B00F3">
              <w:rPr>
                <w:bCs/>
                <w:lang w:val="de-DE"/>
              </w:rPr>
              <w:t>"</w:t>
            </w:r>
            <w:r w:rsidRPr="0040488E">
              <w:rPr>
                <w:bCs/>
                <w:lang w:val="de-DE"/>
              </w:rPr>
              <w:t>Zusätzliche LPN</w:t>
            </w:r>
            <w:r w:rsidR="003B00F3">
              <w:rPr>
                <w:bCs/>
                <w:lang w:val="de-DE"/>
              </w:rPr>
              <w:t>"</w:t>
            </w:r>
            <w:r w:rsidRPr="0040488E">
              <w:rPr>
                <w:bCs/>
                <w:lang w:val="de-DE"/>
              </w:rPr>
              <w:t xml:space="preserve"> diesem Begriff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0488E" w:rsidP="004C1EBA">
            <w:pPr>
              <w:pStyle w:val="CSBody8pt"/>
              <w:rPr>
                <w:lang w:val="de-DE"/>
              </w:rPr>
            </w:pPr>
            <w:r w:rsidRPr="0040488E">
              <w:rPr>
                <w:lang w:val="de-DE"/>
              </w:rPr>
              <w:t>Underlyling Loan</w:t>
            </w:r>
          </w:p>
        </w:tc>
        <w:tc>
          <w:tcPr>
            <w:tcW w:w="3315" w:type="dxa"/>
            <w:gridSpan w:val="2"/>
            <w:tcBorders>
              <w:top w:val="nil"/>
              <w:left w:val="nil"/>
              <w:bottom w:val="nil"/>
            </w:tcBorders>
            <w:shd w:val="clear" w:color="auto" w:fill="auto"/>
          </w:tcPr>
          <w:p w:rsidR="0017135D" w:rsidRPr="0040488E" w:rsidP="00ED5E9C">
            <w:pPr>
              <w:pStyle w:val="CSBody8pt"/>
              <w:rPr>
                <w:b/>
              </w:rPr>
            </w:pPr>
            <w:r>
              <w:t>h</w:t>
            </w:r>
            <w:r w:rsidRPr="0040488E">
              <w:t xml:space="preserve">as the meaning assigined to such term in section 1.1 of these Terms and Conditions </w:t>
            </w:r>
            <w:r w:rsidR="00ED5E9C">
              <w:t>under</w:t>
            </w:r>
            <w:r w:rsidRPr="0040488E" w:rsidR="00ED5E9C">
              <w:t xml:space="preserve"> </w:t>
            </w:r>
            <w:r w:rsidR="003B00F3">
              <w:t>"</w:t>
            </w:r>
            <w:r w:rsidRPr="0040488E">
              <w:t>Additional LPN</w:t>
            </w:r>
            <w:r w:rsidR="00BF7214">
              <w:t>"</w:t>
            </w:r>
            <w:r w:rsidRPr="0040488E">
              <w:t>.</w:t>
            </w:r>
            <w:r>
              <w:rPr>
                <w:b/>
              </w:rPr>
              <w:t>]</w:t>
            </w:r>
          </w:p>
        </w:tc>
        <w:tc>
          <w:tcPr>
            <w:tcW w:w="1618" w:type="dxa"/>
            <w:gridSpan w:val="2"/>
            <w:tcBorders>
              <w:top w:val="nil"/>
              <w:bottom w:val="nil"/>
              <w:right w:val="nil"/>
            </w:tcBorders>
            <w:shd w:val="clear" w:color="auto" w:fill="auto"/>
          </w:tcPr>
          <w:p w:rsidR="0017135D" w:rsidRPr="0040488E" w:rsidP="004C1EBA">
            <w:pPr>
              <w:pStyle w:val="CSBody8pt"/>
            </w:pPr>
            <w:r w:rsidRPr="0040488E">
              <w:t>Zugrundeliegendes Darlehen</w:t>
            </w:r>
          </w:p>
        </w:tc>
        <w:tc>
          <w:tcPr>
            <w:tcW w:w="3318" w:type="dxa"/>
            <w:tcBorders>
              <w:top w:val="nil"/>
              <w:left w:val="nil"/>
              <w:bottom w:val="nil"/>
              <w:right w:val="nil"/>
            </w:tcBorders>
            <w:shd w:val="clear" w:color="auto" w:fill="auto"/>
          </w:tcPr>
          <w:p w:rsidR="0017135D" w:rsidRPr="0040488E" w:rsidP="004C1EBA">
            <w:pPr>
              <w:pStyle w:val="CSBody8pt"/>
              <w:rPr>
                <w:b/>
                <w:bCs/>
                <w:lang w:val="de-DE"/>
              </w:rPr>
            </w:pPr>
            <w:r>
              <w:rPr>
                <w:bCs/>
                <w:lang w:val="de-DE"/>
              </w:rPr>
              <w:t>h</w:t>
            </w:r>
            <w:r w:rsidRPr="0040488E">
              <w:rPr>
                <w:bCs/>
                <w:lang w:val="de-DE"/>
              </w:rPr>
              <w:t xml:space="preserve">at die in Abschnitt 1.1 dieser Emissionsbedingungen unter </w:t>
            </w:r>
            <w:r w:rsidR="003B00F3">
              <w:rPr>
                <w:bCs/>
                <w:lang w:val="de-DE"/>
              </w:rPr>
              <w:t>"</w:t>
            </w:r>
            <w:r w:rsidRPr="0040488E">
              <w:rPr>
                <w:bCs/>
                <w:lang w:val="de-DE"/>
              </w:rPr>
              <w:t>Zusätzliche LPN</w:t>
            </w:r>
            <w:r w:rsidR="003B00F3">
              <w:rPr>
                <w:bCs/>
                <w:lang w:val="de-DE"/>
              </w:rPr>
              <w:t>"</w:t>
            </w:r>
            <w:r w:rsidRPr="0040488E">
              <w:rPr>
                <w:bCs/>
                <w:lang w:val="de-DE"/>
              </w:rPr>
              <w:t xml:space="preserve"> diesem Begriff zugewiesen Bedeutung.</w:t>
            </w:r>
            <w:r>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96540" w:rsidP="00E46A2C">
            <w:pPr>
              <w:pStyle w:val="CSBody8pt"/>
            </w:pPr>
            <w:r w:rsidRPr="00396540">
              <w:t>Underlying Obligation</w:t>
            </w:r>
            <w:r>
              <w:fldChar w:fldCharType="begin"/>
            </w:r>
            <w:r>
              <w:instrText xml:space="preserve"> XE "</w:instrText>
            </w:r>
            <w:r w:rsidRPr="00AC4EB2">
              <w:instrText>Underlying Obligation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396540" w:rsidP="00E46A2C">
            <w:pPr>
              <w:pStyle w:val="CSBody8pt"/>
            </w:pPr>
            <w:r w:rsidRPr="00396540">
              <w:t>with respect to a guarantee, the obligation which is the subject of the guarantee.</w:t>
            </w:r>
          </w:p>
        </w:tc>
        <w:tc>
          <w:tcPr>
            <w:tcW w:w="1618" w:type="dxa"/>
            <w:gridSpan w:val="2"/>
            <w:tcBorders>
              <w:top w:val="nil"/>
              <w:bottom w:val="nil"/>
              <w:right w:val="nil"/>
            </w:tcBorders>
            <w:shd w:val="clear" w:color="auto" w:fill="auto"/>
          </w:tcPr>
          <w:p w:rsidR="0017135D" w:rsidRPr="00396540" w:rsidP="00E46A2C">
            <w:pPr>
              <w:pStyle w:val="CSBody8pt"/>
            </w:pPr>
            <w:r w:rsidRPr="00396540">
              <w:t>Zu</w:t>
            </w:r>
            <w:r>
              <w:t>grunde</w:t>
            </w:r>
            <w:r w:rsidRPr="00396540">
              <w:t>liegende Verbindlichkeit</w:t>
            </w:r>
            <w:r>
              <w:fldChar w:fldCharType="begin"/>
            </w:r>
            <w:r>
              <w:instrText xml:space="preserve"> XE "Zugrunde</w:instrText>
            </w:r>
            <w:r w:rsidRPr="00954AF9">
              <w:instrText>liegende Verbindlichkeit</w:instrText>
            </w:r>
            <w:r>
              <w:instrText xml:space="preserve">" </w:instrText>
            </w:r>
            <w:r>
              <w:fldChar w:fldCharType="end"/>
            </w:r>
          </w:p>
        </w:tc>
        <w:tc>
          <w:tcPr>
            <w:tcW w:w="3318" w:type="dxa"/>
            <w:tcBorders>
              <w:top w:val="nil"/>
              <w:left w:val="nil"/>
              <w:bottom w:val="nil"/>
              <w:right w:val="nil"/>
            </w:tcBorders>
            <w:shd w:val="clear" w:color="auto" w:fill="auto"/>
          </w:tcPr>
          <w:p w:rsidR="0017135D" w:rsidRPr="00396540" w:rsidP="00E46A2C">
            <w:pPr>
              <w:pStyle w:val="CSBody8pt"/>
              <w:rPr>
                <w:lang w:val="de-DE"/>
              </w:rPr>
            </w:pPr>
            <w:r w:rsidRPr="00396540">
              <w:rPr>
                <w:lang w:val="de-DE"/>
              </w:rPr>
              <w:t>in Bezug auf eine Garantie, die Verbindlichkeit, die Gegenstand der Garantie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96540" w:rsidP="00E46A2C">
            <w:pPr>
              <w:pStyle w:val="CSBody8pt"/>
            </w:pPr>
            <w:r w:rsidRPr="00396540">
              <w:t>Underlying Obligor</w:t>
            </w:r>
            <w:r>
              <w:fldChar w:fldCharType="begin"/>
            </w:r>
            <w:r>
              <w:instrText xml:space="preserve"> XE "</w:instrText>
            </w:r>
            <w:r w:rsidRPr="0048220E">
              <w:instrText>Underlying Obligor</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396540" w:rsidP="00E46A2C">
            <w:pPr>
              <w:pStyle w:val="CSBody8pt"/>
            </w:pPr>
            <w:r w:rsidRPr="00396540">
              <w:t>with respect to an Underlying Obligation, (i) the issuer in the case of a Bond, (ii) the borrower in the case of a Loan, or (iii) the principal obligor in the case of any other Underlying Obligation.</w:t>
            </w:r>
          </w:p>
        </w:tc>
        <w:tc>
          <w:tcPr>
            <w:tcW w:w="1618" w:type="dxa"/>
            <w:gridSpan w:val="2"/>
            <w:tcBorders>
              <w:top w:val="nil"/>
              <w:bottom w:val="nil"/>
              <w:right w:val="nil"/>
            </w:tcBorders>
            <w:shd w:val="clear" w:color="auto" w:fill="auto"/>
          </w:tcPr>
          <w:p w:rsidR="0017135D" w:rsidRPr="00396540" w:rsidP="00E46A2C">
            <w:pPr>
              <w:pStyle w:val="CSBody8pt"/>
            </w:pPr>
            <w:r>
              <w:t>Zugrunde</w:t>
            </w:r>
            <w:r w:rsidRPr="00396540">
              <w:t>liegender Schuldner</w:t>
            </w:r>
            <w:r>
              <w:fldChar w:fldCharType="begin"/>
            </w:r>
            <w:r>
              <w:instrText xml:space="preserve"> XE "Zugrunde</w:instrText>
            </w:r>
            <w:r w:rsidRPr="00201BC1">
              <w:instrText>liegender Schuldner</w:instrText>
            </w:r>
            <w:r>
              <w:instrText xml:space="preserve">" </w:instrText>
            </w:r>
            <w:r>
              <w:fldChar w:fldCharType="end"/>
            </w:r>
          </w:p>
        </w:tc>
        <w:tc>
          <w:tcPr>
            <w:tcW w:w="3318" w:type="dxa"/>
            <w:tcBorders>
              <w:top w:val="nil"/>
              <w:left w:val="nil"/>
              <w:bottom w:val="nil"/>
              <w:right w:val="nil"/>
            </w:tcBorders>
            <w:shd w:val="clear" w:color="auto" w:fill="auto"/>
          </w:tcPr>
          <w:p w:rsidR="0017135D" w:rsidRPr="00396540" w:rsidP="00E46A2C">
            <w:pPr>
              <w:pStyle w:val="CSBody8pt"/>
              <w:rPr>
                <w:lang w:val="de-DE"/>
              </w:rPr>
            </w:pPr>
            <w:r w:rsidRPr="00396540">
              <w:rPr>
                <w:lang w:val="de-DE"/>
              </w:rPr>
              <w:t>in Bezug auf eine Zugrundeliegende Verbindlichkeit (i) der Emittent im Falle einer Anleihe, (ii) der Darlehensnehmer im Falle eines Darlehens oder (iii) der Hauptschuldner im Falle einer anderen Zugrundeliegenden Verbindlichkeit.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96540" w:rsidP="00E46A2C">
            <w:pPr>
              <w:pStyle w:val="CSBody8pt"/>
              <w:rPr>
                <w:lang w:val="de-DE"/>
              </w:rPr>
            </w:pPr>
            <w:r w:rsidRPr="00396540">
              <w:rPr>
                <w:lang w:val="de-DE"/>
              </w:rPr>
              <w:t>Valuation Date</w:t>
            </w:r>
            <w:r>
              <w:rPr>
                <w:lang w:val="de-DE"/>
              </w:rPr>
              <w:fldChar w:fldCharType="begin"/>
            </w:r>
            <w:r>
              <w:instrText xml:space="preserve"> XE "</w:instrText>
            </w:r>
            <w:r w:rsidRPr="00CC3D11">
              <w:rPr>
                <w:lang w:val="de-DE"/>
              </w:rPr>
              <w:instrText>Valuation Date</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396540" w:rsidP="005311F5">
            <w:pPr>
              <w:pStyle w:val="CSBody8pt"/>
            </w:pPr>
            <w:r w:rsidRPr="00792D61">
              <w:rPr>
                <w:b/>
              </w:rPr>
              <w:t>[</w:t>
            </w:r>
            <w:r w:rsidRPr="00396540">
              <w:rPr>
                <w:b/>
                <w:i/>
              </w:rPr>
              <w:t>if "Single Valuation Date" is specified in Section 1.1, insert:</w:t>
            </w:r>
            <w:r w:rsidRPr="00396540">
              <w:t xml:space="preserve"> subject to the occurrence of a Settlement Suspension, (i) the date that is </w:t>
            </w:r>
            <w:r w:rsidRPr="00792D61">
              <w:rPr>
                <w:b/>
              </w:rPr>
              <w:t>[[</w:t>
            </w:r>
            <w:r w:rsidRPr="00396540">
              <w:rPr>
                <w:rFonts w:ascii="Arial" w:hAnsi="Arial" w:cs="Arial"/>
              </w:rPr>
              <w:t>●</w:t>
            </w:r>
            <w:r w:rsidRPr="00792D61">
              <w:rPr>
                <w:b/>
              </w:rPr>
              <w:t>]][</w:t>
            </w:r>
            <w:r w:rsidRPr="00396540">
              <w:t>five</w:t>
            </w:r>
            <w:r w:rsidRPr="00792D61">
              <w:rPr>
                <w:b/>
              </w:rPr>
              <w:t>]</w:t>
            </w:r>
            <w:r w:rsidRPr="00396540">
              <w:t xml:space="preserve"> Business Days following the Credit Event Determination Date or, (ii) if the Credit Event Determination Date occurs pursuant to clause (a)(ii) of the definition "Credit Event Determination Date", the date that is </w:t>
            </w:r>
            <w:r w:rsidRPr="00792D61">
              <w:rPr>
                <w:b/>
              </w:rPr>
              <w:t>[[</w:t>
            </w:r>
            <w:r w:rsidRPr="00396540">
              <w:rPr>
                <w:rFonts w:ascii="Arial" w:hAnsi="Arial" w:cs="Arial"/>
              </w:rPr>
              <w:t>●</w:t>
            </w:r>
            <w:r w:rsidRPr="00792D61">
              <w:rPr>
                <w:b/>
              </w:rPr>
              <w:t>]][</w:t>
            </w:r>
            <w:r w:rsidRPr="00396540">
              <w:t>five</w:t>
            </w:r>
            <w:r w:rsidRPr="00792D61">
              <w:rPr>
                <w:b/>
              </w:rPr>
              <w:t>]</w:t>
            </w:r>
            <w:r w:rsidRPr="00396540">
              <w:t xml:space="preserve"> Business Days following the day on which the DC Credit Event Announcement occurs or, (iii) in the case of clauses (i) or (ii) of the definition of "Fallback Settlement Event", the date that is </w:t>
            </w:r>
            <w:r w:rsidRPr="00792D61">
              <w:rPr>
                <w:b/>
              </w:rPr>
              <w:t>[[</w:t>
            </w:r>
            <w:r w:rsidRPr="00396540">
              <w:rPr>
                <w:rFonts w:ascii="Arial" w:hAnsi="Arial" w:cs="Arial"/>
              </w:rPr>
              <w:t>●</w:t>
            </w:r>
            <w:r w:rsidRPr="00792D61">
              <w:rPr>
                <w:b/>
              </w:rPr>
              <w:t>]][</w:t>
            </w:r>
            <w:r w:rsidRPr="00396540">
              <w:t>five</w:t>
            </w:r>
            <w:r w:rsidRPr="00792D61">
              <w:rPr>
                <w:b/>
              </w:rPr>
              <w:t>]</w:t>
            </w:r>
            <w:r w:rsidRPr="00396540">
              <w:t xml:space="preserve"> Business Days following the Auction Cancellation Date, if any, or the relevant No Auction Announcement Date, if any (as applicable).</w:t>
            </w:r>
            <w:r w:rsidRPr="00792D61">
              <w:rPr>
                <w:b/>
              </w:rPr>
              <w:t>]</w:t>
            </w:r>
          </w:p>
        </w:tc>
        <w:tc>
          <w:tcPr>
            <w:tcW w:w="1618" w:type="dxa"/>
            <w:gridSpan w:val="2"/>
            <w:tcBorders>
              <w:top w:val="nil"/>
              <w:bottom w:val="nil"/>
              <w:right w:val="nil"/>
            </w:tcBorders>
            <w:shd w:val="clear" w:color="auto" w:fill="auto"/>
          </w:tcPr>
          <w:p w:rsidR="0017135D" w:rsidRPr="00396540" w:rsidP="00E46A2C">
            <w:pPr>
              <w:pStyle w:val="CSBody8pt"/>
              <w:rPr>
                <w:lang w:val="de-DE"/>
              </w:rPr>
            </w:pPr>
            <w:r w:rsidRPr="00396540">
              <w:rPr>
                <w:lang w:val="de-DE"/>
              </w:rPr>
              <w:t>Bewertungstag</w:t>
            </w:r>
            <w:r>
              <w:rPr>
                <w:lang w:val="de-DE"/>
              </w:rPr>
              <w:fldChar w:fldCharType="begin"/>
            </w:r>
            <w:r>
              <w:instrText xml:space="preserve"> XE "</w:instrText>
            </w:r>
            <w:r w:rsidRPr="003D499A">
              <w:rPr>
                <w:lang w:val="de-DE"/>
              </w:rPr>
              <w:instrText>Bewertungstag</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A66207" w:rsidP="005311F5">
            <w:pPr>
              <w:pStyle w:val="CSBody8pt"/>
              <w:rPr>
                <w:lang w:val="de-DE"/>
              </w:rPr>
            </w:pPr>
            <w:r w:rsidRPr="00792D61">
              <w:rPr>
                <w:b/>
                <w:lang w:val="de-DE"/>
              </w:rPr>
              <w:t>[</w:t>
            </w:r>
            <w:r w:rsidRPr="00396540">
              <w:rPr>
                <w:b/>
                <w:i/>
                <w:lang w:val="de-DE"/>
              </w:rPr>
              <w:t>Falls in Ziffer 1.1 "Einzelner Bewertungstag" angegeben ist, einfügen:</w:t>
            </w:r>
            <w:r w:rsidRPr="00396540">
              <w:rPr>
                <w:lang w:val="de-DE"/>
              </w:rPr>
              <w:t xml:space="preserve"> vorbehaltlich des Eintritts einer Aussetzung der Abwicklung (i) der Tag, der </w:t>
            </w:r>
            <w:r w:rsidRPr="00792D61">
              <w:rPr>
                <w:b/>
                <w:lang w:val="de-DE"/>
              </w:rPr>
              <w:t>[[</w:t>
            </w:r>
            <w:r w:rsidRPr="00396540">
              <w:rPr>
                <w:rFonts w:ascii="Arial" w:hAnsi="Arial" w:cs="Arial"/>
                <w:lang w:val="de-DE"/>
              </w:rPr>
              <w:t>●</w:t>
            </w:r>
            <w:r w:rsidRPr="00792D61">
              <w:rPr>
                <w:b/>
                <w:lang w:val="de-DE"/>
              </w:rPr>
              <w:t>]][</w:t>
            </w:r>
            <w:r w:rsidRPr="00396540">
              <w:rPr>
                <w:lang w:val="de-DE"/>
              </w:rPr>
              <w:t>f</w:t>
            </w:r>
            <w:r w:rsidRPr="00396540">
              <w:rPr>
                <w:rFonts w:cs="Credit Suisse Type Light"/>
                <w:lang w:val="de-DE"/>
              </w:rPr>
              <w:t>ü</w:t>
            </w:r>
            <w:r w:rsidRPr="00396540">
              <w:rPr>
                <w:lang w:val="de-DE"/>
              </w:rPr>
              <w:t>nf</w:t>
            </w:r>
            <w:r w:rsidRPr="00792D61">
              <w:rPr>
                <w:b/>
                <w:lang w:val="de-DE"/>
              </w:rPr>
              <w:t>]</w:t>
            </w:r>
            <w:r w:rsidRPr="00396540">
              <w:rPr>
                <w:lang w:val="de-DE"/>
              </w:rPr>
              <w:t xml:space="preserve"> Gesch</w:t>
            </w:r>
            <w:r w:rsidRPr="00396540">
              <w:rPr>
                <w:rFonts w:cs="Credit Suisse Type Light"/>
                <w:lang w:val="de-DE"/>
              </w:rPr>
              <w:t>ä</w:t>
            </w:r>
            <w:r w:rsidRPr="00396540">
              <w:rPr>
                <w:lang w:val="de-DE"/>
              </w:rPr>
              <w:t xml:space="preserve">ftstage nach dem Kreditereignis-Feststellungstag liegt, oder (ii) wenn der Kreditereignis-Feststellungstag gemäss Absatz (a)(ii) der Definition  "Kreditereignis-Feststellungstag" eintritt, der Tag, der </w:t>
            </w:r>
            <w:r w:rsidRPr="00792D61">
              <w:rPr>
                <w:b/>
                <w:lang w:val="de-DE"/>
              </w:rPr>
              <w:t>[[</w:t>
            </w:r>
            <w:r w:rsidRPr="00396540">
              <w:rPr>
                <w:rFonts w:ascii="Arial" w:hAnsi="Arial" w:cs="Arial"/>
                <w:lang w:val="de-DE"/>
              </w:rPr>
              <w:t>●</w:t>
            </w:r>
            <w:r w:rsidRPr="00792D61">
              <w:rPr>
                <w:b/>
                <w:lang w:val="de-DE"/>
              </w:rPr>
              <w:t>]][</w:t>
            </w:r>
            <w:r w:rsidRPr="00396540">
              <w:rPr>
                <w:lang w:val="de-DE"/>
              </w:rPr>
              <w:t>fünf</w:t>
            </w:r>
            <w:r w:rsidRPr="00792D61">
              <w:rPr>
                <w:b/>
                <w:lang w:val="de-DE"/>
              </w:rPr>
              <w:t>]</w:t>
            </w:r>
            <w:r w:rsidRPr="00396540">
              <w:rPr>
                <w:lang w:val="de-DE"/>
              </w:rPr>
              <w:t xml:space="preserve"> Geschäftstage nach dem Tag liegt, an dem eine Bekanntgabe eines Kreditereignisbeschlusses erfolgt, oder (iii) im Falle von Absatz (i) oder (ii) der Definition  "Ereignis der Alternativen Abwicklung" der Tag, der </w:t>
            </w:r>
            <w:r w:rsidRPr="00792D61">
              <w:rPr>
                <w:b/>
                <w:lang w:val="de-DE"/>
              </w:rPr>
              <w:t>[[</w:t>
            </w:r>
            <w:r w:rsidRPr="00396540">
              <w:rPr>
                <w:rFonts w:ascii="Arial" w:hAnsi="Arial" w:cs="Arial"/>
                <w:lang w:val="de-DE"/>
              </w:rPr>
              <w:t>●</w:t>
            </w:r>
            <w:r w:rsidRPr="00792D61">
              <w:rPr>
                <w:b/>
                <w:lang w:val="de-DE"/>
              </w:rPr>
              <w:t>]][</w:t>
            </w:r>
            <w:r w:rsidRPr="00396540">
              <w:rPr>
                <w:lang w:val="de-DE"/>
              </w:rPr>
              <w:t>fünf</w:t>
            </w:r>
            <w:r w:rsidRPr="00792D61">
              <w:rPr>
                <w:b/>
                <w:lang w:val="de-DE"/>
              </w:rPr>
              <w:t>]</w:t>
            </w:r>
            <w:r w:rsidRPr="00396540">
              <w:rPr>
                <w:lang w:val="de-DE"/>
              </w:rPr>
              <w:t xml:space="preserve"> Geschäftstage nach dem Auktions-Aufhebungstag bzw. dem massgeblichen Tag der Bekanntgabe der Nichtdurchführung einer Auktion (wie jeweils anwendbar) liegt.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4A0A6A" w:rsidP="00E46A2C">
            <w:pPr>
              <w:pStyle w:val="CSBody8pt"/>
              <w:rPr>
                <w:lang w:val="de-DE"/>
              </w:rPr>
            </w:pPr>
          </w:p>
        </w:tc>
        <w:tc>
          <w:tcPr>
            <w:tcW w:w="3315" w:type="dxa"/>
            <w:gridSpan w:val="2"/>
            <w:tcBorders>
              <w:top w:val="nil"/>
              <w:left w:val="nil"/>
              <w:bottom w:val="nil"/>
            </w:tcBorders>
            <w:shd w:val="clear" w:color="auto" w:fill="auto"/>
          </w:tcPr>
          <w:p w:rsidR="0017135D" w:rsidP="00E46A2C">
            <w:pPr>
              <w:pStyle w:val="CSBody8pt"/>
            </w:pPr>
            <w:r w:rsidRPr="00792D61">
              <w:rPr>
                <w:b/>
              </w:rPr>
              <w:t>[</w:t>
            </w:r>
            <w:r w:rsidRPr="00232051">
              <w:rPr>
                <w:b/>
                <w:i/>
              </w:rPr>
              <w:t>if Multiple Valuation Date is specified in Section 1.1, insert:</w:t>
            </w:r>
            <w:r w:rsidRPr="00845C84">
              <w:t xml:space="preserve"> each of the following dates:</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E46A2C">
            <w:pPr>
              <w:pStyle w:val="CSBody8pt"/>
              <w:rPr>
                <w:lang w:val="de-DE"/>
              </w:rPr>
            </w:pPr>
            <w:r w:rsidRPr="00792D61">
              <w:rPr>
                <w:b/>
                <w:lang w:val="de-DE"/>
              </w:rPr>
              <w:t>[</w:t>
            </w:r>
            <w:r w:rsidRPr="00232051">
              <w:rPr>
                <w:b/>
                <w:i/>
                <w:lang w:val="de-DE"/>
              </w:rPr>
              <w:t>Falls in Ziffer 1.1 "Mehrere Bewertungstage" angegeben ist, einfügen:</w:t>
            </w:r>
            <w:r w:rsidRPr="00A66207">
              <w:rPr>
                <w:lang w:val="de-DE"/>
              </w:rPr>
              <w:t xml:space="preserve"> jeder der folgenden Tage:</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A66207">
            <w:pPr>
              <w:pStyle w:val="CSManNum8pt"/>
            </w:pPr>
            <w:r w:rsidRPr="00A66207">
              <w:t>(a)</w:t>
            </w:r>
            <w:r w:rsidRPr="00A66207">
              <w:tab/>
              <w:t xml:space="preserve">subject to the terms of the occurrence of a Settlement Suspension, the date that is </w:t>
            </w:r>
            <w:r w:rsidRPr="00792D61">
              <w:rPr>
                <w:b/>
              </w:rPr>
              <w:t>[[</w:t>
            </w:r>
            <w:r w:rsidRPr="00A66207">
              <w:rPr>
                <w:rFonts w:ascii="Arial" w:hAnsi="Arial" w:cs="Arial"/>
              </w:rPr>
              <w:t>●</w:t>
            </w:r>
            <w:r w:rsidRPr="00792D61">
              <w:rPr>
                <w:b/>
              </w:rPr>
              <w:t>]][</w:t>
            </w:r>
            <w:r w:rsidRPr="00A66207">
              <w:t>five</w:t>
            </w:r>
            <w:r w:rsidRPr="00792D61">
              <w:rPr>
                <w:b/>
              </w:rPr>
              <w:t>]</w:t>
            </w:r>
            <w:r w:rsidRPr="00A66207">
              <w:t xml:space="preserve"> Business Days following the Credit Event Determination Date or, (ii) if the Credit Event Determination Date occurs pursuant to clause (a)(ii) of the definition "Credit Event Determination Date", the date that is </w:t>
            </w:r>
            <w:r w:rsidRPr="00792D61">
              <w:rPr>
                <w:b/>
              </w:rPr>
              <w:t>[[</w:t>
            </w:r>
            <w:r w:rsidRPr="00232051">
              <w:rPr>
                <w:rFonts w:ascii="Arial" w:hAnsi="Arial" w:cs="Arial"/>
              </w:rPr>
              <w:t>●</w:t>
            </w:r>
            <w:r w:rsidRPr="00792D61">
              <w:rPr>
                <w:b/>
              </w:rPr>
              <w:t>]][</w:t>
            </w:r>
            <w:r w:rsidRPr="00A66207">
              <w:t>five</w:t>
            </w:r>
            <w:r w:rsidRPr="00792D61">
              <w:rPr>
                <w:b/>
              </w:rPr>
              <w:t>]</w:t>
            </w:r>
            <w:r w:rsidRPr="00A66207">
              <w:t xml:space="preserve"> Business Days following the day on which the DC Credit Event Announcement occurs or, (iii) in the case of clauses (i) or (ii)</w:t>
            </w:r>
            <w:r w:rsidRPr="001F08E0">
              <w:rPr>
                <w:bCs/>
              </w:rPr>
              <w:t xml:space="preserve"> </w:t>
            </w:r>
            <w:r w:rsidRPr="00A66207">
              <w:t xml:space="preserve">of the definition of "Fallback Settlement Event", the date that is </w:t>
            </w:r>
            <w:r w:rsidRPr="00792D61">
              <w:rPr>
                <w:b/>
              </w:rPr>
              <w:t>[[</w:t>
            </w:r>
            <w:r w:rsidRPr="00A66207">
              <w:rPr>
                <w:rFonts w:ascii="Arial" w:hAnsi="Arial" w:cs="Arial"/>
              </w:rPr>
              <w:t>●</w:t>
            </w:r>
            <w:r w:rsidRPr="00792D61">
              <w:rPr>
                <w:b/>
              </w:rPr>
              <w:t>]][</w:t>
            </w:r>
            <w:r w:rsidRPr="00A66207">
              <w:t>five</w:t>
            </w:r>
            <w:r w:rsidRPr="00792D61">
              <w:rPr>
                <w:b/>
              </w:rPr>
              <w:t>]</w:t>
            </w:r>
            <w:r w:rsidRPr="00A66207">
              <w:t xml:space="preserve"> Business Days following the Auction Cancellation Date, if any, or the relevant No Auction Announcement Date, if any </w:t>
            </w:r>
            <w:r w:rsidR="00D77764">
              <w:t>(</w:t>
            </w:r>
            <w:r w:rsidRPr="00A66207">
              <w:t>as applicable</w:t>
            </w:r>
            <w:r w:rsidR="00D77764">
              <w:t>)</w:t>
            </w:r>
            <w:r w:rsidRPr="00A66207">
              <w:t>; and</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8D52A4">
            <w:pPr>
              <w:pStyle w:val="CSManNum8pt"/>
              <w:rPr>
                <w:bCs/>
                <w:lang w:val="de-DE"/>
              </w:rPr>
            </w:pPr>
            <w:r w:rsidRPr="00A66207">
              <w:rPr>
                <w:bCs/>
                <w:lang w:val="de-DE"/>
              </w:rPr>
              <w:t>(a)</w:t>
            </w:r>
            <w:r w:rsidRPr="00A66207">
              <w:rPr>
                <w:bCs/>
                <w:lang w:val="de-DE"/>
              </w:rPr>
              <w:tab/>
              <w:t xml:space="preserve">vorbehaltlich der für den Eintritt einer Aussetzung der Abwicklung geltenden Bestimmungen der Tag, der </w:t>
            </w:r>
            <w:r w:rsidRPr="00792D61">
              <w:rPr>
                <w:b/>
                <w:bCs/>
                <w:lang w:val="de-DE"/>
              </w:rPr>
              <w:t>[[</w:t>
            </w:r>
            <w:r w:rsidRPr="00A66207">
              <w:rPr>
                <w:rFonts w:ascii="Arial" w:hAnsi="Arial" w:cs="Arial"/>
                <w:bCs/>
                <w:lang w:val="de-DE"/>
              </w:rPr>
              <w:t>●</w:t>
            </w:r>
            <w:r w:rsidRPr="00792D61">
              <w:rPr>
                <w:b/>
                <w:bCs/>
                <w:lang w:val="de-DE"/>
              </w:rPr>
              <w:t>]][</w:t>
            </w:r>
            <w:r w:rsidRPr="00A66207">
              <w:rPr>
                <w:bCs/>
                <w:lang w:val="de-DE"/>
              </w:rPr>
              <w:t>f</w:t>
            </w:r>
            <w:r w:rsidRPr="00A66207">
              <w:rPr>
                <w:rFonts w:cs="Credit Suisse Type Light"/>
                <w:bCs/>
                <w:lang w:val="de-DE"/>
              </w:rPr>
              <w:t>ü</w:t>
            </w:r>
            <w:r w:rsidRPr="00A66207">
              <w:rPr>
                <w:bCs/>
                <w:lang w:val="de-DE"/>
              </w:rPr>
              <w:t>nf</w:t>
            </w:r>
            <w:r w:rsidRPr="00792D61">
              <w:rPr>
                <w:b/>
                <w:bCs/>
                <w:lang w:val="de-DE"/>
              </w:rPr>
              <w:t>]</w:t>
            </w:r>
            <w:r w:rsidRPr="00A66207">
              <w:rPr>
                <w:bCs/>
                <w:lang w:val="de-DE"/>
              </w:rPr>
              <w:t xml:space="preserve"> Gesch</w:t>
            </w:r>
            <w:r w:rsidRPr="00A66207">
              <w:rPr>
                <w:rFonts w:cs="Credit Suisse Type Light"/>
                <w:bCs/>
                <w:lang w:val="de-DE"/>
              </w:rPr>
              <w:t>ä</w:t>
            </w:r>
            <w:r w:rsidRPr="00A66207">
              <w:rPr>
                <w:bCs/>
                <w:lang w:val="de-DE"/>
              </w:rPr>
              <w:t>ftstage nach dem Kreditereignis-Feststellungstag liegt, oder (ii) wenn der Kreditereignis-Feststellungstag gem</w:t>
            </w:r>
            <w:r w:rsidRPr="00A66207">
              <w:rPr>
                <w:rFonts w:cs="Credit Suisse Type Light"/>
                <w:bCs/>
                <w:lang w:val="de-DE"/>
              </w:rPr>
              <w:t>ä</w:t>
            </w:r>
            <w:r w:rsidRPr="00A66207">
              <w:rPr>
                <w:bCs/>
                <w:lang w:val="de-DE"/>
              </w:rPr>
              <w:t xml:space="preserve">ss Absatz (a)(ii) der Definition  "Kreditereignis-Feststellungstag" eintritt, der Tag, der </w:t>
            </w:r>
            <w:r w:rsidRPr="00792D61">
              <w:rPr>
                <w:b/>
                <w:bCs/>
                <w:lang w:val="de-DE"/>
              </w:rPr>
              <w:t>[[</w:t>
            </w:r>
            <w:r w:rsidRPr="00232051">
              <w:rPr>
                <w:rFonts w:ascii="Arial" w:hAnsi="Arial" w:cs="Arial"/>
                <w:bCs/>
                <w:lang w:val="de-DE"/>
              </w:rPr>
              <w:t>●</w:t>
            </w:r>
            <w:r w:rsidRPr="00792D61">
              <w:rPr>
                <w:b/>
                <w:bCs/>
                <w:lang w:val="de-DE"/>
              </w:rPr>
              <w:t>]][</w:t>
            </w:r>
            <w:r w:rsidRPr="00A66207">
              <w:rPr>
                <w:bCs/>
                <w:lang w:val="de-DE"/>
              </w:rPr>
              <w:t>f</w:t>
            </w:r>
            <w:r w:rsidRPr="00A66207">
              <w:rPr>
                <w:rFonts w:cs="Credit Suisse Type Light"/>
                <w:bCs/>
                <w:lang w:val="de-DE"/>
              </w:rPr>
              <w:t>ü</w:t>
            </w:r>
            <w:r w:rsidRPr="00A66207">
              <w:rPr>
                <w:bCs/>
                <w:lang w:val="de-DE"/>
              </w:rPr>
              <w:t>nf</w:t>
            </w:r>
            <w:r w:rsidRPr="00792D61">
              <w:rPr>
                <w:b/>
                <w:bCs/>
                <w:lang w:val="de-DE"/>
              </w:rPr>
              <w:t>]</w:t>
            </w:r>
            <w:r w:rsidRPr="00A66207">
              <w:rPr>
                <w:bCs/>
                <w:lang w:val="de-DE"/>
              </w:rPr>
              <w:t xml:space="preserve"> Gesch</w:t>
            </w:r>
            <w:r w:rsidRPr="00A66207">
              <w:rPr>
                <w:rFonts w:cs="Credit Suisse Type Light"/>
                <w:bCs/>
                <w:lang w:val="de-DE"/>
              </w:rPr>
              <w:t>ä</w:t>
            </w:r>
            <w:r w:rsidRPr="00A66207">
              <w:rPr>
                <w:bCs/>
                <w:lang w:val="de-DE"/>
              </w:rPr>
              <w:t xml:space="preserve">ftstage nach dem Tag liegt, an dem eine Bekanntgabe eines Kreditereignisbeschlusses erfolgt, oder (iii) im Falle von Absatz (i) oder (ii) der Definition "Ereignis der Alternativen Abwicklung" der Tag, der </w:t>
            </w:r>
            <w:r w:rsidRPr="00792D61">
              <w:rPr>
                <w:b/>
                <w:bCs/>
                <w:lang w:val="de-DE"/>
              </w:rPr>
              <w:t>[[</w:t>
            </w:r>
            <w:r w:rsidRPr="00A66207">
              <w:rPr>
                <w:rFonts w:ascii="Arial" w:hAnsi="Arial" w:cs="Arial"/>
                <w:bCs/>
                <w:lang w:val="de-DE"/>
              </w:rPr>
              <w:t>●</w:t>
            </w:r>
            <w:r w:rsidRPr="00792D61">
              <w:rPr>
                <w:b/>
                <w:bCs/>
                <w:lang w:val="de-DE"/>
              </w:rPr>
              <w:t>]][</w:t>
            </w:r>
            <w:r w:rsidRPr="00A66207">
              <w:rPr>
                <w:bCs/>
                <w:lang w:val="de-DE"/>
              </w:rPr>
              <w:t>f</w:t>
            </w:r>
            <w:r w:rsidRPr="00A66207">
              <w:rPr>
                <w:rFonts w:cs="Credit Suisse Type Light"/>
                <w:bCs/>
                <w:lang w:val="de-DE"/>
              </w:rPr>
              <w:t>ü</w:t>
            </w:r>
            <w:r w:rsidRPr="00A66207">
              <w:rPr>
                <w:bCs/>
                <w:lang w:val="de-DE"/>
              </w:rPr>
              <w:t>nf</w:t>
            </w:r>
            <w:r w:rsidRPr="00792D61">
              <w:rPr>
                <w:b/>
                <w:bCs/>
                <w:lang w:val="de-DE"/>
              </w:rPr>
              <w:t>]</w:t>
            </w:r>
            <w:r w:rsidRPr="00A66207">
              <w:rPr>
                <w:bCs/>
                <w:lang w:val="de-DE"/>
              </w:rPr>
              <w:t xml:space="preserve"> Gesch</w:t>
            </w:r>
            <w:r w:rsidRPr="00A66207">
              <w:rPr>
                <w:rFonts w:cs="Credit Suisse Type Light"/>
                <w:bCs/>
                <w:lang w:val="de-DE"/>
              </w:rPr>
              <w:t>ä</w:t>
            </w:r>
            <w:r w:rsidRPr="00A66207">
              <w:rPr>
                <w:bCs/>
                <w:lang w:val="de-DE"/>
              </w:rPr>
              <w:t>ftstage nach dem Auktions-Aufhebungstag bzw. dem massgeblichen Tag der Bekanntgabe der Nichtdurchführung einer Auktion (wie jeweils anwendbar) liegt; und</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A66207" w:rsidP="008D52A4">
            <w:pPr>
              <w:pStyle w:val="CSManNum8pt"/>
            </w:pPr>
            <w:r w:rsidRPr="00A66207">
              <w:t>(b)</w:t>
            </w:r>
            <w:r w:rsidRPr="00A66207">
              <w:tab/>
              <w:t xml:space="preserve">each successive date that is </w:t>
            </w:r>
            <w:r w:rsidRPr="00792D61">
              <w:rPr>
                <w:b/>
              </w:rPr>
              <w:t>[[</w:t>
            </w:r>
            <w:r w:rsidRPr="00A66207">
              <w:rPr>
                <w:rFonts w:ascii="Arial" w:hAnsi="Arial" w:cs="Arial"/>
              </w:rPr>
              <w:t>●</w:t>
            </w:r>
            <w:r w:rsidRPr="00792D61">
              <w:rPr>
                <w:b/>
              </w:rPr>
              <w:t>]][</w:t>
            </w:r>
            <w:r w:rsidRPr="00A66207">
              <w:t>five</w:t>
            </w:r>
            <w:r w:rsidRPr="00792D61">
              <w:rPr>
                <w:b/>
              </w:rPr>
              <w:t>]</w:t>
            </w:r>
            <w:r w:rsidRPr="00A66207">
              <w:t xml:space="preserve"> Business Days after the date on which the Calculation Agent obtains a Market Value with respect to the immediately preceding Valuation Date.</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8D52A4">
            <w:pPr>
              <w:pStyle w:val="CSManNum8pt"/>
              <w:rPr>
                <w:bCs/>
                <w:lang w:val="de-DE"/>
              </w:rPr>
            </w:pPr>
            <w:r w:rsidRPr="00A66207">
              <w:rPr>
                <w:bCs/>
                <w:lang w:val="de-DE"/>
              </w:rPr>
              <w:t>(b)</w:t>
            </w:r>
            <w:r w:rsidRPr="00A66207">
              <w:rPr>
                <w:bCs/>
                <w:lang w:val="de-DE"/>
              </w:rPr>
              <w:tab/>
              <w:t xml:space="preserve">jeder folgende Tag, der </w:t>
            </w:r>
            <w:r w:rsidRPr="00792D61">
              <w:rPr>
                <w:b/>
                <w:bCs/>
                <w:lang w:val="de-DE"/>
              </w:rPr>
              <w:t>[[</w:t>
            </w:r>
            <w:r w:rsidRPr="00A66207">
              <w:rPr>
                <w:rFonts w:ascii="Arial" w:hAnsi="Arial" w:cs="Arial"/>
                <w:bCs/>
                <w:lang w:val="de-DE"/>
              </w:rPr>
              <w:t>●</w:t>
            </w:r>
            <w:r w:rsidRPr="00792D61">
              <w:rPr>
                <w:b/>
                <w:bCs/>
                <w:lang w:val="de-DE"/>
              </w:rPr>
              <w:t>]][</w:t>
            </w:r>
            <w:r w:rsidRPr="00A66207">
              <w:rPr>
                <w:bCs/>
                <w:lang w:val="de-DE"/>
              </w:rPr>
              <w:t>f</w:t>
            </w:r>
            <w:r w:rsidRPr="00A66207">
              <w:rPr>
                <w:rFonts w:cs="Credit Suisse Type Light"/>
                <w:bCs/>
                <w:lang w:val="de-DE"/>
              </w:rPr>
              <w:t>ü</w:t>
            </w:r>
            <w:r w:rsidRPr="00A66207">
              <w:rPr>
                <w:bCs/>
                <w:lang w:val="de-DE"/>
              </w:rPr>
              <w:t>nf</w:t>
            </w:r>
            <w:r w:rsidRPr="00792D61">
              <w:rPr>
                <w:b/>
                <w:bCs/>
                <w:lang w:val="de-DE"/>
              </w:rPr>
              <w:t>]</w:t>
            </w:r>
            <w:r w:rsidRPr="00A66207">
              <w:rPr>
                <w:bCs/>
                <w:lang w:val="de-DE"/>
              </w:rPr>
              <w:t xml:space="preserve"> Gesch</w:t>
            </w:r>
            <w:r w:rsidRPr="00A66207">
              <w:rPr>
                <w:rFonts w:cs="Credit Suisse Type Light"/>
                <w:bCs/>
                <w:lang w:val="de-DE"/>
              </w:rPr>
              <w:t>ä</w:t>
            </w:r>
            <w:r w:rsidRPr="00A66207">
              <w:rPr>
                <w:bCs/>
                <w:lang w:val="de-DE"/>
              </w:rPr>
              <w:t>ftstage nach dem Tag liegt, an dem die Berechnungsstelle einen Marktwert in Bezug auf den unmittelbar vorangehenden Bewertungstag ermittelt hat.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BD5510" w:rsidP="00E46A2C">
            <w:pPr>
              <w:pStyle w:val="CSBody8pt"/>
            </w:pPr>
            <w:r w:rsidRPr="00BD5510">
              <w:t xml:space="preserve">The total number of Valuation Dates shall be equal to </w:t>
            </w:r>
            <w:r w:rsidRPr="00792D61">
              <w:rPr>
                <w:b/>
              </w:rPr>
              <w:t>[[</w:t>
            </w:r>
            <w:r w:rsidRPr="00BD5510">
              <w:rPr>
                <w:rFonts w:ascii="Arial" w:hAnsi="Arial" w:cs="Arial"/>
              </w:rPr>
              <w:t>●</w:t>
            </w:r>
            <w:r w:rsidRPr="00792D61">
              <w:rPr>
                <w:b/>
              </w:rPr>
              <w:t>]][</w:t>
            </w:r>
            <w:r w:rsidRPr="00BD5510">
              <w:t>five</w:t>
            </w:r>
            <w:r w:rsidRPr="00792D61">
              <w:rPr>
                <w:b/>
              </w:rPr>
              <w:t>]</w:t>
            </w:r>
            <w:r w:rsidRPr="00BD5510">
              <w:t xml:space="preserve"> Valuation Dates.</w:t>
            </w:r>
            <w:r w:rsidRPr="00792D61">
              <w:rPr>
                <w:b/>
              </w:rPr>
              <w:t>]</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E46A2C">
            <w:pPr>
              <w:pStyle w:val="CSBody8pt"/>
              <w:rPr>
                <w:lang w:val="de-DE"/>
              </w:rPr>
            </w:pPr>
            <w:r w:rsidRPr="00A66207">
              <w:rPr>
                <w:lang w:val="de-DE"/>
              </w:rPr>
              <w:t xml:space="preserve">Die Gesamtanzahl aller Bewertungstage entspricht </w:t>
            </w:r>
            <w:r w:rsidRPr="00792D61">
              <w:rPr>
                <w:b/>
                <w:lang w:val="de-DE"/>
              </w:rPr>
              <w:t>[[</w:t>
            </w:r>
            <w:r w:rsidRPr="00A66207">
              <w:rPr>
                <w:rFonts w:ascii="Arial" w:hAnsi="Arial" w:cs="Arial"/>
                <w:lang w:val="de-DE"/>
              </w:rPr>
              <w:t>●</w:t>
            </w:r>
            <w:r w:rsidRPr="00792D61">
              <w:rPr>
                <w:b/>
                <w:lang w:val="de-DE"/>
              </w:rPr>
              <w:t>]][</w:t>
            </w:r>
            <w:r w:rsidRPr="00A66207">
              <w:rPr>
                <w:lang w:val="de-DE"/>
              </w:rPr>
              <w:t>f</w:t>
            </w:r>
            <w:r w:rsidRPr="00A66207">
              <w:rPr>
                <w:rFonts w:cs="Credit Suisse Type Light"/>
                <w:lang w:val="de-DE"/>
              </w:rPr>
              <w:t>ü</w:t>
            </w:r>
            <w:r w:rsidRPr="00A66207">
              <w:rPr>
                <w:lang w:val="de-DE"/>
              </w:rPr>
              <w:t>nf</w:t>
            </w:r>
            <w:r w:rsidRPr="00792D61">
              <w:rPr>
                <w:b/>
                <w:lang w:val="de-DE"/>
              </w:rPr>
              <w:t>]</w:t>
            </w:r>
            <w:r w:rsidRPr="00A66207">
              <w:rPr>
                <w:lang w:val="de-DE"/>
              </w:rPr>
              <w:t xml:space="preserve"> Bewertungstagen.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396540" w:rsidP="00E46A2C">
            <w:pPr>
              <w:pStyle w:val="CSBody8pt"/>
              <w:rPr>
                <w:lang w:val="de-DE"/>
              </w:rPr>
            </w:pPr>
            <w:r w:rsidRPr="00396540">
              <w:rPr>
                <w:lang w:val="de-DE"/>
              </w:rPr>
              <w:t>Valuation Method</w:t>
            </w:r>
            <w:r>
              <w:rPr>
                <w:lang w:val="de-DE"/>
              </w:rPr>
              <w:fldChar w:fldCharType="begin"/>
            </w:r>
            <w:r>
              <w:instrText xml:space="preserve"> XE "</w:instrText>
            </w:r>
            <w:r w:rsidRPr="00017399">
              <w:rPr>
                <w:lang w:val="de-DE"/>
              </w:rPr>
              <w:instrText>Valuation Method</w:instrText>
            </w:r>
            <w:r>
              <w:instrText xml:space="preserve">" \f "EN" </w:instrText>
            </w:r>
            <w:r>
              <w:rPr>
                <w:lang w:val="de-DE"/>
              </w:rPr>
              <w:fldChar w:fldCharType="end"/>
            </w:r>
          </w:p>
        </w:tc>
        <w:tc>
          <w:tcPr>
            <w:tcW w:w="3315" w:type="dxa"/>
            <w:gridSpan w:val="2"/>
            <w:tcBorders>
              <w:top w:val="nil"/>
              <w:left w:val="nil"/>
              <w:bottom w:val="nil"/>
            </w:tcBorders>
            <w:shd w:val="clear" w:color="auto" w:fill="auto"/>
          </w:tcPr>
          <w:p w:rsidR="0017135D" w:rsidRPr="00396540" w:rsidP="00E46A2C">
            <w:pPr>
              <w:pStyle w:val="CSBody8pt"/>
            </w:pPr>
            <w:r w:rsidRPr="00396540">
              <w:t xml:space="preserve">the Valuation Method specified in Section 1.1. </w:t>
            </w:r>
          </w:p>
        </w:tc>
        <w:tc>
          <w:tcPr>
            <w:tcW w:w="1618" w:type="dxa"/>
            <w:gridSpan w:val="2"/>
            <w:tcBorders>
              <w:top w:val="nil"/>
              <w:bottom w:val="nil"/>
              <w:right w:val="nil"/>
            </w:tcBorders>
            <w:shd w:val="clear" w:color="auto" w:fill="auto"/>
          </w:tcPr>
          <w:p w:rsidR="0017135D" w:rsidRPr="00396540" w:rsidP="00E46A2C">
            <w:pPr>
              <w:pStyle w:val="CSBody8pt"/>
            </w:pPr>
            <w:r>
              <w:t>Bewertungs</w:t>
            </w:r>
            <w:r w:rsidRPr="00396540">
              <w:t>methode</w:t>
            </w:r>
            <w:r>
              <w:fldChar w:fldCharType="begin"/>
            </w:r>
            <w:r>
              <w:instrText xml:space="preserve"> XE "Bewertungs</w:instrText>
            </w:r>
            <w:r w:rsidRPr="00D7449B">
              <w:instrText>methode</w:instrText>
            </w:r>
            <w:r>
              <w:instrText xml:space="preserve">" </w:instrText>
            </w:r>
            <w:r>
              <w:fldChar w:fldCharType="end"/>
            </w:r>
          </w:p>
        </w:tc>
        <w:tc>
          <w:tcPr>
            <w:tcW w:w="3318" w:type="dxa"/>
            <w:tcBorders>
              <w:top w:val="nil"/>
              <w:left w:val="nil"/>
              <w:bottom w:val="nil"/>
              <w:right w:val="nil"/>
            </w:tcBorders>
            <w:shd w:val="clear" w:color="auto" w:fill="auto"/>
          </w:tcPr>
          <w:p w:rsidR="0017135D" w:rsidRPr="00A66207" w:rsidP="00E46A2C">
            <w:pPr>
              <w:pStyle w:val="CSBody8pt"/>
              <w:rPr>
                <w:lang w:val="de-DE"/>
              </w:rPr>
            </w:pPr>
            <w:r w:rsidRPr="00396540">
              <w:rPr>
                <w:lang w:val="de-DE"/>
              </w:rPr>
              <w:t>die in Z</w:t>
            </w:r>
            <w:r>
              <w:rPr>
                <w:lang w:val="de-DE"/>
              </w:rPr>
              <w:t>iffer 1.1 angegebene Bewertungs</w:t>
            </w:r>
            <w:r w:rsidRPr="00396540">
              <w:rPr>
                <w:lang w:val="de-DE"/>
              </w:rPr>
              <w:t>methode.</w:t>
            </w:r>
            <w:r w:rsidRPr="00A66207">
              <w:rPr>
                <w:lang w:val="de-DE"/>
              </w:rPr>
              <w:t xml:space="preserve"> </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P="00E46A2C">
            <w:pPr>
              <w:pStyle w:val="CSBody8pt"/>
            </w:pPr>
            <w:r w:rsidRPr="00BD5510">
              <w:t xml:space="preserve">Notwithstanding the Valuation Method that is specified in Section 1.1. above, if Quotations include Weighted Average Quotations or fewer than two Full Quotations, the Valuation Method shall be </w:t>
            </w:r>
            <w:r w:rsidRPr="00792D61">
              <w:rPr>
                <w:b/>
              </w:rPr>
              <w:t>[</w:t>
            </w:r>
            <w:r w:rsidRPr="00BD5510">
              <w:t>"Market"</w:t>
            </w:r>
            <w:r w:rsidRPr="00792D61">
              <w:rPr>
                <w:b/>
              </w:rPr>
              <w:t>]</w:t>
            </w:r>
            <w:r w:rsidRPr="00BD5510">
              <w:t xml:space="preserve"> </w:t>
            </w:r>
            <w:r w:rsidRPr="00792D61">
              <w:rPr>
                <w:b/>
              </w:rPr>
              <w:t>[</w:t>
            </w:r>
            <w:r w:rsidRPr="00BD5510">
              <w:t>or</w:t>
            </w:r>
            <w:r w:rsidRPr="00792D61">
              <w:rPr>
                <w:b/>
              </w:rPr>
              <w:t>]</w:t>
            </w:r>
            <w:r w:rsidRPr="00BD5510">
              <w:t xml:space="preserve">, </w:t>
            </w:r>
            <w:r w:rsidRPr="00792D61">
              <w:rPr>
                <w:b/>
              </w:rPr>
              <w:t>[</w:t>
            </w:r>
            <w:r w:rsidRPr="00BD5510">
              <w:t>"Average Market"</w:t>
            </w:r>
            <w:r w:rsidRPr="00792D61">
              <w:rPr>
                <w:b/>
              </w:rPr>
              <w:t>]</w:t>
            </w:r>
            <w:r w:rsidRPr="00BD5510">
              <w:t>.</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E46A2C">
            <w:pPr>
              <w:pStyle w:val="CSBody8pt"/>
              <w:rPr>
                <w:lang w:val="de-DE"/>
              </w:rPr>
            </w:pPr>
            <w:r w:rsidRPr="00A66207">
              <w:rPr>
                <w:lang w:val="de-DE"/>
              </w:rPr>
              <w:t xml:space="preserve">Ungeachtet der in vorstehender Ziffer 1.1 angegebenen Bewertungsmethode gilt die Bewertungsmethode </w:t>
            </w:r>
            <w:r w:rsidRPr="00792D61">
              <w:rPr>
                <w:b/>
                <w:lang w:val="de-DE"/>
              </w:rPr>
              <w:t>[</w:t>
            </w:r>
            <w:r w:rsidRPr="00A66207">
              <w:rPr>
                <w:lang w:val="de-DE"/>
              </w:rPr>
              <w:t>"Marktwert"</w:t>
            </w:r>
            <w:r w:rsidRPr="00792D61">
              <w:rPr>
                <w:b/>
                <w:lang w:val="de-DE"/>
              </w:rPr>
              <w:t>]</w:t>
            </w:r>
            <w:r w:rsidRPr="00A66207">
              <w:rPr>
                <w:lang w:val="de-DE"/>
              </w:rPr>
              <w:t xml:space="preserve"> </w:t>
            </w:r>
            <w:r w:rsidRPr="00792D61">
              <w:rPr>
                <w:b/>
                <w:lang w:val="de-DE"/>
              </w:rPr>
              <w:t>[</w:t>
            </w:r>
            <w:r w:rsidRPr="00A66207">
              <w:rPr>
                <w:lang w:val="de-DE"/>
              </w:rPr>
              <w:t>oder</w:t>
            </w:r>
            <w:r w:rsidRPr="00792D61">
              <w:rPr>
                <w:b/>
                <w:lang w:val="de-DE"/>
              </w:rPr>
              <w:t>]</w:t>
            </w:r>
            <w:r w:rsidRPr="00A66207">
              <w:rPr>
                <w:lang w:val="de-DE"/>
              </w:rPr>
              <w:t xml:space="preserve"> </w:t>
            </w:r>
            <w:r w:rsidRPr="00792D61">
              <w:rPr>
                <w:b/>
                <w:lang w:val="de-DE"/>
              </w:rPr>
              <w:t>[</w:t>
            </w:r>
            <w:r w:rsidRPr="00A66207">
              <w:rPr>
                <w:lang w:val="de-DE"/>
              </w:rPr>
              <w:t>"Durchschnittlicher Marktwert"</w:t>
            </w:r>
            <w:r w:rsidRPr="00792D61">
              <w:rPr>
                <w:b/>
                <w:lang w:val="de-DE"/>
              </w:rPr>
              <w:t>]</w:t>
            </w:r>
            <w:r w:rsidRPr="00A66207">
              <w:rPr>
                <w:lang w:val="de-DE"/>
              </w:rPr>
              <w:t>, wenn die Quotierungen Gewichtete Durchschnittsquotierungen oder weniger als zwei Vollquotierungen enthalten.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r w:rsidRPr="00A66207">
              <w:rPr>
                <w:lang w:val="de-DE"/>
              </w:rPr>
              <w:t>Valuation Obligation</w:t>
            </w:r>
            <w:r>
              <w:rPr>
                <w:lang w:val="de-DE"/>
              </w:rPr>
              <w:fldChar w:fldCharType="begin"/>
            </w:r>
            <w:r>
              <w:instrText xml:space="preserve"> XE "</w:instrText>
            </w:r>
            <w:r w:rsidRPr="00237D95">
              <w:rPr>
                <w:lang w:val="de-DE"/>
              </w:rPr>
              <w:instrText>Valuation Obligation</w:instrText>
            </w:r>
            <w:r>
              <w:instrText xml:space="preserve">" </w:instrText>
            </w:r>
            <w:r w:rsidR="002C5825">
              <w:instrText>\f "EN</w:instrText>
            </w:r>
            <w:r>
              <w:rPr>
                <w:lang w:val="de-DE"/>
              </w:rPr>
              <w:fldChar w:fldCharType="end"/>
            </w:r>
          </w:p>
        </w:tc>
        <w:tc>
          <w:tcPr>
            <w:tcW w:w="3315" w:type="dxa"/>
            <w:gridSpan w:val="2"/>
            <w:tcBorders>
              <w:top w:val="nil"/>
              <w:left w:val="nil"/>
              <w:bottom w:val="nil"/>
            </w:tcBorders>
            <w:shd w:val="clear" w:color="auto" w:fill="auto"/>
          </w:tcPr>
          <w:p w:rsidR="0017135D" w:rsidRPr="00975AE7" w:rsidP="004C1EBA">
            <w:pPr>
              <w:pStyle w:val="CSBody8pt"/>
            </w:pPr>
            <w:r>
              <w:rPr>
                <w:b/>
              </w:rPr>
              <w:t>[</w:t>
            </w:r>
            <w:r w:rsidRPr="005311F5">
              <w:t>(a)</w:t>
            </w:r>
            <w:r>
              <w:rPr>
                <w:b/>
              </w:rPr>
              <w:t>]</w:t>
            </w:r>
            <w:r w:rsidRPr="00975AE7">
              <w:t xml:space="preserve"> any obligation of the Reference Entity (either directly or as provider of a Relevant Guarantee) determined by the Calculation Agent pursuant to the </w:t>
            </w:r>
            <w:r w:rsidR="003B00F3">
              <w:t>"</w:t>
            </w:r>
            <w:r>
              <w:t>Method for determining Valuation Obligations</w:t>
            </w:r>
            <w:r w:rsidR="00BF7214">
              <w:t>"</w:t>
            </w:r>
            <w:r>
              <w:t xml:space="preserve"> </w:t>
            </w:r>
            <w:r w:rsidRPr="00975AE7">
              <w:t>described below</w:t>
            </w:r>
            <w:r w:rsidRPr="00792D61">
              <w:rPr>
                <w:b/>
              </w:rPr>
              <w:t>[</w:t>
            </w:r>
            <w:r w:rsidRPr="00975AE7">
              <w:t>;</w:t>
            </w:r>
            <w:r w:rsidRPr="00792D61">
              <w:rPr>
                <w:b/>
              </w:rPr>
              <w:t>][</w:t>
            </w:r>
            <w:r w:rsidRPr="00975AE7">
              <w:t>.</w:t>
            </w:r>
            <w:r w:rsidRPr="00792D61">
              <w:rPr>
                <w:b/>
              </w:rPr>
              <w:t>]</w:t>
            </w:r>
            <w:r w:rsidRPr="00975AE7">
              <w:t xml:space="preserve"> </w:t>
            </w:r>
            <w:r w:rsidRPr="00792D61">
              <w:rPr>
                <w:b/>
              </w:rPr>
              <w:t>[</w:t>
            </w:r>
            <w:r w:rsidRPr="00975AE7">
              <w:t>and</w:t>
            </w:r>
            <w:r w:rsidRPr="00792D61">
              <w:rPr>
                <w:b/>
              </w:rPr>
              <w:t>]</w:t>
            </w:r>
          </w:p>
        </w:tc>
        <w:tc>
          <w:tcPr>
            <w:tcW w:w="1618" w:type="dxa"/>
            <w:gridSpan w:val="2"/>
            <w:tcBorders>
              <w:top w:val="nil"/>
              <w:bottom w:val="nil"/>
              <w:right w:val="nil"/>
            </w:tcBorders>
            <w:shd w:val="clear" w:color="auto" w:fill="auto"/>
          </w:tcPr>
          <w:p w:rsidR="0017135D" w:rsidRPr="00572B0B" w:rsidP="00E46A2C">
            <w:pPr>
              <w:pStyle w:val="CSBody8pt"/>
              <w:rPr>
                <w:lang w:val="de-DE"/>
              </w:rPr>
            </w:pPr>
            <w:r>
              <w:rPr>
                <w:lang w:val="de-DE"/>
              </w:rPr>
              <w:t>Bewertungs</w:t>
            </w:r>
            <w:r w:rsidRPr="00572B0B">
              <w:rPr>
                <w:lang w:val="de-DE"/>
              </w:rPr>
              <w:t>verbindlichkeit</w:t>
            </w:r>
            <w:r>
              <w:rPr>
                <w:lang w:val="de-DE"/>
              </w:rPr>
              <w:fldChar w:fldCharType="begin"/>
            </w:r>
            <w:r>
              <w:instrText xml:space="preserve"> XE "</w:instrText>
            </w:r>
            <w:r>
              <w:rPr>
                <w:lang w:val="de-DE"/>
              </w:rPr>
              <w:instrText>Bewertungs</w:instrText>
            </w:r>
            <w:r w:rsidRPr="00FB08E9">
              <w:rPr>
                <w:lang w:val="de-DE"/>
              </w:rPr>
              <w:instrText>verbindlichkeit</w:instrText>
            </w:r>
            <w:r>
              <w:instrText xml:space="preserve">" </w:instrText>
            </w:r>
            <w:r>
              <w:rPr>
                <w:lang w:val="de-DE"/>
              </w:rPr>
              <w:fldChar w:fldCharType="end"/>
            </w:r>
          </w:p>
        </w:tc>
        <w:tc>
          <w:tcPr>
            <w:tcW w:w="3318" w:type="dxa"/>
            <w:tcBorders>
              <w:top w:val="nil"/>
              <w:left w:val="nil"/>
              <w:bottom w:val="nil"/>
              <w:right w:val="nil"/>
            </w:tcBorders>
            <w:shd w:val="clear" w:color="auto" w:fill="auto"/>
          </w:tcPr>
          <w:p w:rsidR="0017135D" w:rsidRPr="00EB3849" w:rsidP="004C1EBA">
            <w:pPr>
              <w:pStyle w:val="CSBody8pt"/>
              <w:rPr>
                <w:lang w:val="de-DE"/>
              </w:rPr>
            </w:pPr>
            <w:r>
              <w:rPr>
                <w:b/>
                <w:lang w:val="de-DE"/>
              </w:rPr>
              <w:t>[</w:t>
            </w:r>
            <w:r w:rsidRPr="00A66207">
              <w:rPr>
                <w:lang w:val="de-DE"/>
              </w:rPr>
              <w:t>(a)</w:t>
            </w:r>
            <w:r>
              <w:rPr>
                <w:b/>
                <w:lang w:val="de-DE"/>
              </w:rPr>
              <w:t>]</w:t>
            </w:r>
            <w:r w:rsidRPr="00A66207">
              <w:rPr>
                <w:lang w:val="de-DE"/>
              </w:rPr>
              <w:t xml:space="preserve"> jede gemäss der nachstehend beschriebenen </w:t>
            </w:r>
            <w:r w:rsidR="003B00F3">
              <w:rPr>
                <w:lang w:val="de-DE"/>
              </w:rPr>
              <w:t>"</w:t>
            </w:r>
            <w:r>
              <w:rPr>
                <w:lang w:val="de-DE"/>
              </w:rPr>
              <w:t>Methode für die Auswahl von Bewertungsverbindlichkeiten</w:t>
            </w:r>
            <w:r w:rsidR="003B00F3">
              <w:rPr>
                <w:lang w:val="de-DE"/>
              </w:rPr>
              <w:t>"</w:t>
            </w:r>
            <w:r w:rsidRPr="00A66207">
              <w:rPr>
                <w:lang w:val="de-DE"/>
              </w:rPr>
              <w:t xml:space="preserve"> von der Berechnungsstelle ausgewählte Verbindlichkeit des Referenzschuldners (die dieser entweder unmittelbar oder als Geber einer Massgeblichen Garantie schuldet)</w:t>
            </w:r>
            <w:r w:rsidRPr="00792D61">
              <w:rPr>
                <w:b/>
                <w:lang w:val="de-DE"/>
              </w:rPr>
              <w:t>[</w:t>
            </w:r>
            <w:r w:rsidRPr="00A66207">
              <w:rPr>
                <w:lang w:val="de-DE"/>
              </w:rPr>
              <w:t>;</w:t>
            </w:r>
            <w:r w:rsidRPr="00792D61">
              <w:rPr>
                <w:b/>
                <w:lang w:val="de-DE"/>
              </w:rPr>
              <w:t>][</w:t>
            </w:r>
            <w:r w:rsidRPr="00A66207">
              <w:rPr>
                <w:lang w:val="de-DE"/>
              </w:rPr>
              <w:t>.</w:t>
            </w:r>
            <w:r w:rsidRPr="00792D61">
              <w:rPr>
                <w:b/>
                <w:lang w:val="de-DE"/>
              </w:rPr>
              <w:t>]</w:t>
            </w:r>
            <w:r w:rsidRPr="00A66207">
              <w:rPr>
                <w:lang w:val="de-DE"/>
              </w:rPr>
              <w:t xml:space="preserve"> </w:t>
            </w:r>
            <w:r w:rsidRPr="00792D61">
              <w:rPr>
                <w:b/>
                <w:lang w:val="de-DE"/>
              </w:rPr>
              <w:t>[</w:t>
            </w:r>
            <w:r w:rsidRPr="00EB3849">
              <w:rPr>
                <w:lang w:val="de-DE"/>
              </w:rPr>
              <w:t>und</w:t>
            </w:r>
            <w:r w:rsidRPr="00792D61">
              <w:rPr>
                <w:b/>
                <w:lang w:val="de-DE"/>
              </w:rPr>
              <w:t>]</w:t>
            </w:r>
            <w:r w:rsidRPr="00EB3849">
              <w:rPr>
                <w:lang w:val="de-DE"/>
              </w:rPr>
              <w:t xml:space="preserve"> </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975AE7" w:rsidP="004C1EBA">
            <w:pPr>
              <w:pStyle w:val="CSBody8ptbolditalics"/>
            </w:pPr>
            <w:r w:rsidRPr="00A96E6A">
              <w:rPr>
                <w:i w:val="0"/>
              </w:rPr>
              <w:t>[</w:t>
            </w:r>
            <w:r w:rsidRPr="00563969">
              <w:t>insert</w:t>
            </w:r>
            <w:r w:rsidRPr="00104F5A">
              <w:rPr>
                <w:b w:val="0"/>
                <w:i w:val="0"/>
              </w:rPr>
              <w:t xml:space="preserve"> </w:t>
            </w:r>
            <w:r w:rsidRPr="000E502F">
              <w:t xml:space="preserve">in case of Complex Products </w:t>
            </w:r>
            <w:r>
              <w:t xml:space="preserve">with Reference Obligation </w:t>
            </w:r>
            <w:r w:rsidRPr="00563969">
              <w:t>if Reference Obligation shall be a Valuation Obligation:</w:t>
            </w:r>
            <w:r w:rsidRPr="00975AE7">
              <w:t xml:space="preserve"> </w:t>
            </w:r>
            <w:r w:rsidRPr="00563969">
              <w:rPr>
                <w:b w:val="0"/>
                <w:i w:val="0"/>
              </w:rPr>
              <w:t>(b) each Reference Obligation</w:t>
            </w:r>
            <w:r>
              <w:t xml:space="preserve"> </w:t>
            </w:r>
            <w:r>
              <w:rPr>
                <w:i w:val="0"/>
              </w:rPr>
              <w:t>[</w:t>
            </w:r>
            <w:r>
              <w:t xml:space="preserve">in case of Credit-Linked Complex Products with LPN Reference Obligation insert: </w:t>
            </w:r>
            <w:r w:rsidRPr="0040488E">
              <w:rPr>
                <w:b w:val="0"/>
                <w:i w:val="0"/>
              </w:rPr>
              <w:t>notwithstanding any provision to the contrary in these Terms and Conditions, and in particular, notwithstanding that such obligation is not an obligation of the Reference Entity</w:t>
            </w:r>
            <w:r>
              <w:rPr>
                <w:i w:val="0"/>
              </w:rPr>
              <w:t>]</w:t>
            </w:r>
            <w:r w:rsidRPr="00563969">
              <w:rPr>
                <w:i w:val="0"/>
              </w:rPr>
              <w:t>][;][.] [</w:t>
            </w:r>
            <w:r w:rsidRPr="00563969">
              <w:rPr>
                <w:b w:val="0"/>
                <w:i w:val="0"/>
              </w:rPr>
              <w:t>and</w:t>
            </w:r>
            <w:r w:rsidRPr="00563969">
              <w:rPr>
                <w:i w:val="0"/>
              </w:rPr>
              <w:t>]</w:t>
            </w:r>
          </w:p>
        </w:tc>
        <w:tc>
          <w:tcPr>
            <w:tcW w:w="1618" w:type="dxa"/>
            <w:gridSpan w:val="2"/>
            <w:tcBorders>
              <w:top w:val="nil"/>
              <w:bottom w:val="nil"/>
              <w:right w:val="nil"/>
            </w:tcBorders>
            <w:shd w:val="clear" w:color="auto" w:fill="auto"/>
          </w:tcPr>
          <w:p w:rsidR="0017135D" w:rsidRPr="00563969" w:rsidP="00E46A2C">
            <w:pPr>
              <w:pStyle w:val="CSBody8pt"/>
              <w:rPr>
                <w:i/>
              </w:rPr>
            </w:pPr>
          </w:p>
        </w:tc>
        <w:tc>
          <w:tcPr>
            <w:tcW w:w="3318" w:type="dxa"/>
            <w:tcBorders>
              <w:top w:val="nil"/>
              <w:left w:val="nil"/>
              <w:bottom w:val="nil"/>
              <w:right w:val="nil"/>
            </w:tcBorders>
            <w:shd w:val="clear" w:color="auto" w:fill="auto"/>
          </w:tcPr>
          <w:p w:rsidR="0017135D" w:rsidRPr="00562A71" w:rsidP="00E46A2C">
            <w:pPr>
              <w:pStyle w:val="CSBody8pt"/>
            </w:pPr>
            <w:r w:rsidRPr="00792D61">
              <w:rPr>
                <w:b/>
                <w:lang w:val="de-DE"/>
              </w:rPr>
              <w:t>[</w:t>
            </w:r>
            <w:r>
              <w:rPr>
                <w:b/>
                <w:i/>
                <w:lang w:val="de-DE"/>
              </w:rPr>
              <w:t xml:space="preserve">bei Komplexen Produkten mit Referenzverbindlichkeit </w:t>
            </w:r>
            <w:r w:rsidRPr="00104F5A">
              <w:rPr>
                <w:b/>
                <w:i/>
                <w:lang w:val="de-DE"/>
              </w:rPr>
              <w:t>einfügen, falls die Referenzverbindlichkeit eine Bewertungsverbindlichkeit sein soll:</w:t>
            </w:r>
            <w:r w:rsidRPr="00A66207">
              <w:rPr>
                <w:lang w:val="de-DE"/>
              </w:rPr>
              <w:t xml:space="preserve"> (b) jede Referenzverbindlichkeit</w:t>
            </w:r>
            <w:r w:rsidRPr="009D08E0">
              <w:rPr>
                <w:lang w:val="de-DE"/>
              </w:rPr>
              <w:t xml:space="preserve"> </w:t>
            </w:r>
            <w:r w:rsidRPr="009D08E0">
              <w:rPr>
                <w:b/>
                <w:lang w:val="de-DE"/>
              </w:rPr>
              <w:t>[</w:t>
            </w:r>
            <w:r w:rsidRPr="009D08E0">
              <w:rPr>
                <w:b/>
                <w:i/>
                <w:lang w:val="de-DE"/>
              </w:rPr>
              <w:t xml:space="preserve">bei Kreditbezogenen Komplexen Produkten mit LPN-Referenzverbindlichkeit einfügen: </w:t>
            </w:r>
            <w:r w:rsidRPr="0040488E">
              <w:rPr>
                <w:lang w:val="de-DE"/>
              </w:rPr>
              <w:t>ungeachtet jeglicher gegenteiliger Bestimmungen in diesen Emissionsbedingungen und insbesondere ungeachtet, dass diese Verbindlichkeit nicht eine Verbindlichkeit des Referenzschuldners ist</w:t>
            </w:r>
            <w:r>
              <w:rPr>
                <w:b/>
                <w:lang w:val="de-DE"/>
              </w:rPr>
              <w:t>]</w:t>
            </w:r>
            <w:r w:rsidRPr="00792D61">
              <w:rPr>
                <w:b/>
                <w:lang w:val="de-DE"/>
              </w:rPr>
              <w:t>][</w:t>
            </w:r>
            <w:r w:rsidRPr="00A66207">
              <w:rPr>
                <w:lang w:val="de-DE"/>
              </w:rPr>
              <w:t>;</w:t>
            </w:r>
            <w:r w:rsidRPr="00792D61">
              <w:rPr>
                <w:b/>
                <w:lang w:val="de-DE"/>
              </w:rPr>
              <w:t>][</w:t>
            </w:r>
            <w:r w:rsidRPr="00A66207">
              <w:rPr>
                <w:lang w:val="de-DE"/>
              </w:rPr>
              <w:t>.</w:t>
            </w:r>
            <w:r w:rsidRPr="00792D61">
              <w:rPr>
                <w:b/>
                <w:lang w:val="de-DE"/>
              </w:rPr>
              <w:t>]</w:t>
            </w:r>
            <w:r w:rsidRPr="00A66207">
              <w:rPr>
                <w:lang w:val="de-DE"/>
              </w:rPr>
              <w:t xml:space="preserve"> </w:t>
            </w:r>
            <w:r w:rsidRPr="00792D61">
              <w:rPr>
                <w:b/>
              </w:rPr>
              <w:t>[</w:t>
            </w:r>
            <w:r w:rsidRPr="00562A71">
              <w:t>und</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P="00E46A2C">
            <w:pPr>
              <w:pStyle w:val="CSBody8pt"/>
            </w:pPr>
            <w:r w:rsidRPr="00792D61">
              <w:rPr>
                <w:b/>
              </w:rPr>
              <w:t>[</w:t>
            </w:r>
            <w:r w:rsidRPr="005311F5">
              <w:rPr>
                <w:b/>
                <w:i/>
              </w:rPr>
              <w:t>if a Reference Entity is a Sovereign and Asset Package Valuation is not applicable, insert:</w:t>
            </w:r>
            <w:r w:rsidRPr="00975AE7">
              <w:t xml:space="preserve"> (</w:t>
            </w:r>
            <w:r w:rsidRPr="00792D61">
              <w:rPr>
                <w:b/>
              </w:rPr>
              <w:t>[</w:t>
            </w:r>
            <w:r w:rsidRPr="00975AE7">
              <w:t>b</w:t>
            </w:r>
            <w:r w:rsidRPr="00792D61">
              <w:rPr>
                <w:b/>
              </w:rPr>
              <w:t>][</w:t>
            </w:r>
            <w:r w:rsidRPr="00975AE7">
              <w:t>c</w:t>
            </w:r>
            <w:r w:rsidRPr="00792D61">
              <w:rPr>
                <w:b/>
              </w:rPr>
              <w:t>]</w:t>
            </w:r>
            <w:r w:rsidRPr="00975AE7">
              <w:t>) solely in relation to a Restructuring Credit Event, any Sovereign Restructured Valuation Obligation</w:t>
            </w:r>
            <w:r w:rsidRPr="00792D61">
              <w:rPr>
                <w:b/>
              </w:rPr>
              <w:t>][</w:t>
            </w:r>
            <w:r w:rsidRPr="00975AE7">
              <w:t>;</w:t>
            </w:r>
            <w:r w:rsidRPr="00792D61">
              <w:rPr>
                <w:b/>
              </w:rPr>
              <w:t>][</w:t>
            </w:r>
            <w:r w:rsidRPr="00975AE7">
              <w:t>.</w:t>
            </w:r>
            <w:r w:rsidRPr="00792D61">
              <w:rPr>
                <w:b/>
              </w:rPr>
              <w:t>][</w:t>
            </w:r>
            <w:r w:rsidRPr="00975AE7">
              <w:t>and</w:t>
            </w:r>
            <w:r w:rsidRPr="00792D61">
              <w:rPr>
                <w:b/>
              </w:rPr>
              <w:t>]]</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P="00E46A2C">
            <w:pPr>
              <w:pStyle w:val="CSBody8pt"/>
            </w:pPr>
            <w:r w:rsidRPr="00792D61">
              <w:rPr>
                <w:b/>
                <w:lang w:val="de-DE"/>
              </w:rPr>
              <w:t>[</w:t>
            </w:r>
            <w:r w:rsidRPr="005311F5">
              <w:rPr>
                <w:b/>
                <w:i/>
                <w:lang w:val="de-DE"/>
              </w:rPr>
              <w:t>falls ein Referenzschuldner ein Staat ist und Asset-Paket-Bewertung nicht anwendbar ist, einfügen:</w:t>
            </w:r>
            <w:r w:rsidRPr="00A66207">
              <w:rPr>
                <w:lang w:val="de-DE"/>
              </w:rPr>
              <w:t xml:space="preserve"> (</w:t>
            </w:r>
            <w:r w:rsidRPr="00792D61">
              <w:rPr>
                <w:b/>
                <w:lang w:val="de-DE"/>
              </w:rPr>
              <w:t>[</w:t>
            </w:r>
            <w:r w:rsidRPr="00A66207">
              <w:rPr>
                <w:lang w:val="de-DE"/>
              </w:rPr>
              <w:t>b</w:t>
            </w:r>
            <w:r w:rsidRPr="00792D61">
              <w:rPr>
                <w:b/>
                <w:lang w:val="de-DE"/>
              </w:rPr>
              <w:t>][</w:t>
            </w:r>
            <w:r w:rsidRPr="00A66207">
              <w:rPr>
                <w:lang w:val="de-DE"/>
              </w:rPr>
              <w:t>c</w:t>
            </w:r>
            <w:r w:rsidRPr="00792D61">
              <w:rPr>
                <w:b/>
                <w:lang w:val="de-DE"/>
              </w:rPr>
              <w:t>]</w:t>
            </w:r>
            <w:r w:rsidRPr="00A66207">
              <w:rPr>
                <w:lang w:val="de-DE"/>
              </w:rPr>
              <w:t>) ausschliesslich in Bezug auf ein Restrukturierungs-Kreditereignis, jede Restrukturierte Bewertungsverbindlichkeit eines Staates</w:t>
            </w:r>
            <w:r w:rsidRPr="00792D61">
              <w:rPr>
                <w:b/>
                <w:lang w:val="de-DE"/>
              </w:rPr>
              <w:t>][</w:t>
            </w:r>
            <w:r w:rsidRPr="00A66207">
              <w:rPr>
                <w:lang w:val="de-DE"/>
              </w:rPr>
              <w:t>;</w:t>
            </w:r>
            <w:r w:rsidRPr="00792D61">
              <w:rPr>
                <w:b/>
                <w:lang w:val="de-DE"/>
              </w:rPr>
              <w:t>][</w:t>
            </w:r>
            <w:r w:rsidRPr="00A66207">
              <w:rPr>
                <w:lang w:val="de-DE"/>
              </w:rPr>
              <w:t>.</w:t>
            </w:r>
            <w:r w:rsidRPr="00792D61">
              <w:rPr>
                <w:b/>
                <w:lang w:val="de-DE"/>
              </w:rPr>
              <w:t>]</w:t>
            </w:r>
            <w:r w:rsidRPr="00A66207">
              <w:rPr>
                <w:lang w:val="de-DE"/>
              </w:rPr>
              <w:t xml:space="preserve"> </w:t>
            </w:r>
            <w:r w:rsidRPr="00792D61">
              <w:rPr>
                <w:b/>
              </w:rPr>
              <w:t>[</w:t>
            </w:r>
            <w:r w:rsidRPr="00562A71">
              <w:t>und</w:t>
            </w:r>
            <w:r w:rsidRPr="00792D61">
              <w:rPr>
                <w:b/>
              </w:rPr>
              <w:t>]]</w:t>
            </w:r>
            <w:r w:rsidRPr="00562A71">
              <w:t xml:space="preserve"> </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pPr>
          </w:p>
        </w:tc>
        <w:tc>
          <w:tcPr>
            <w:tcW w:w="3315" w:type="dxa"/>
            <w:gridSpan w:val="2"/>
            <w:tcBorders>
              <w:top w:val="nil"/>
              <w:left w:val="nil"/>
              <w:bottom w:val="nil"/>
            </w:tcBorders>
            <w:shd w:val="clear" w:color="auto" w:fill="auto"/>
          </w:tcPr>
          <w:p w:rsidR="0017135D" w:rsidRPr="00B41197" w:rsidP="00E46A2C">
            <w:pPr>
              <w:pStyle w:val="CSBody8pt"/>
            </w:pPr>
            <w:r w:rsidRPr="00792D61">
              <w:rPr>
                <w:b/>
              </w:rPr>
              <w:t>[</w:t>
            </w:r>
            <w:r w:rsidRPr="005311F5">
              <w:rPr>
                <w:b/>
                <w:i/>
              </w:rPr>
              <w:t>if Asset Package Valuation is applicable:</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E46A2C">
            <w:pPr>
              <w:pStyle w:val="CSBody8pt"/>
              <w:rPr>
                <w:lang w:val="de-DE"/>
              </w:rPr>
            </w:pPr>
            <w:r w:rsidRPr="00792D61">
              <w:rPr>
                <w:b/>
                <w:lang w:val="de-DE"/>
              </w:rPr>
              <w:t>[</w:t>
            </w:r>
            <w:r w:rsidRPr="005311F5">
              <w:rPr>
                <w:b/>
                <w:i/>
                <w:lang w:val="de-DE"/>
              </w:rPr>
              <w:t>falls Asset-Paket-Bewertung anwendbar 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B41197" w:rsidP="004C1EBA">
            <w:pPr>
              <w:pStyle w:val="CSBody8pt"/>
            </w:pPr>
            <w:r w:rsidRPr="00792D61">
              <w:rPr>
                <w:b/>
              </w:rPr>
              <w:t>[</w:t>
            </w:r>
            <w:r w:rsidRPr="005311F5">
              <w:rPr>
                <w:b/>
                <w:i/>
              </w:rPr>
              <w:t>if Financial Reference Entity Terms is applicable, insert:</w:t>
            </w:r>
            <w:r w:rsidRPr="00B41197">
              <w:t xml:space="preserve"> (</w:t>
            </w:r>
            <w:r w:rsidRPr="00792D61">
              <w:rPr>
                <w:b/>
              </w:rPr>
              <w:t>[</w:t>
            </w:r>
            <w:r w:rsidRPr="00B41197">
              <w:t>b</w:t>
            </w:r>
            <w:r w:rsidRPr="00792D61">
              <w:rPr>
                <w:b/>
              </w:rPr>
              <w:t>][</w:t>
            </w:r>
            <w:r w:rsidRPr="00B41197">
              <w:t>c</w:t>
            </w:r>
            <w:r w:rsidRPr="00792D61">
              <w:rPr>
                <w:b/>
              </w:rPr>
              <w:t>]</w:t>
            </w:r>
            <w:r w:rsidRPr="00B41197">
              <w:t>) any Prior Valuation Obligation</w:t>
            </w:r>
            <w:r>
              <w:t xml:space="preserve"> and</w:t>
            </w:r>
            <w:r w:rsidRPr="00847C07">
              <w:t xml:space="preserve"> the relevant Asset Package in lieu of a Prior Valuation Obligation</w:t>
            </w:r>
            <w:r>
              <w:t>,</w:t>
            </w:r>
            <w:r w:rsidRPr="00792D61">
              <w:rPr>
                <w:b/>
              </w:rPr>
              <w:t>][</w:t>
            </w:r>
            <w:r>
              <w:t>and</w:t>
            </w:r>
            <w:r w:rsidRPr="00792D61">
              <w:rPr>
                <w:b/>
              </w:rPr>
              <w:t>]</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4C1EBA">
            <w:pPr>
              <w:pStyle w:val="CSBody8pt"/>
              <w:rPr>
                <w:lang w:val="de-DE"/>
              </w:rPr>
            </w:pPr>
            <w:r w:rsidRPr="00792D61">
              <w:rPr>
                <w:b/>
                <w:lang w:val="de-DE"/>
              </w:rPr>
              <w:t>[</w:t>
            </w:r>
            <w:r w:rsidRPr="005311F5">
              <w:rPr>
                <w:b/>
                <w:i/>
                <w:lang w:val="de-DE"/>
              </w:rPr>
              <w:t>falls Bedingungen für Finanzinstitute als Referenzschuldner anwendbar sind, einfügen:</w:t>
            </w:r>
            <w:r w:rsidRPr="00A66207">
              <w:rPr>
                <w:lang w:val="de-DE"/>
              </w:rPr>
              <w:t xml:space="preserve"> (</w:t>
            </w:r>
            <w:r w:rsidRPr="00792D61">
              <w:rPr>
                <w:b/>
                <w:lang w:val="de-DE"/>
              </w:rPr>
              <w:t>[</w:t>
            </w:r>
            <w:r w:rsidRPr="00A66207">
              <w:rPr>
                <w:lang w:val="de-DE"/>
              </w:rPr>
              <w:t>b</w:t>
            </w:r>
            <w:r w:rsidRPr="00792D61">
              <w:rPr>
                <w:b/>
                <w:lang w:val="de-DE"/>
              </w:rPr>
              <w:t>][</w:t>
            </w:r>
            <w:r w:rsidRPr="00A66207">
              <w:rPr>
                <w:lang w:val="de-DE"/>
              </w:rPr>
              <w:t>c</w:t>
            </w:r>
            <w:r w:rsidRPr="00792D61">
              <w:rPr>
                <w:b/>
                <w:lang w:val="de-DE"/>
              </w:rPr>
              <w:t>]</w:t>
            </w:r>
            <w:r w:rsidRPr="00A66207">
              <w:rPr>
                <w:lang w:val="de-DE"/>
              </w:rPr>
              <w:t>) jede Frühere Bewertungsverbindlichkeit</w:t>
            </w:r>
            <w:r>
              <w:rPr>
                <w:lang w:val="de-DE"/>
              </w:rPr>
              <w:t xml:space="preserve"> und</w:t>
            </w:r>
            <w:r w:rsidRPr="00847C07">
              <w:rPr>
                <w:lang w:val="de-DE"/>
              </w:rPr>
              <w:t xml:space="preserve"> das massgebliche Asset Paket anstelle einer Früheren Bewertungsverbindlichkeit</w:t>
            </w:r>
            <w:r>
              <w:rPr>
                <w:lang w:val="de-DE"/>
              </w:rPr>
              <w:t>,</w:t>
            </w:r>
            <w:r w:rsidRPr="00792D61">
              <w:rPr>
                <w:b/>
                <w:lang w:val="de-DE"/>
              </w:rPr>
              <w:t>][</w:t>
            </w:r>
            <w:r>
              <w:rPr>
                <w:lang w:val="de-DE"/>
              </w:rPr>
              <w:t>und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P="004C1EBA">
            <w:pPr>
              <w:pStyle w:val="CSBody8pt"/>
            </w:pPr>
            <w:r w:rsidRPr="00792D61">
              <w:rPr>
                <w:b/>
              </w:rPr>
              <w:t>[</w:t>
            </w:r>
            <w:r w:rsidRPr="005311F5">
              <w:rPr>
                <w:b/>
                <w:i/>
              </w:rPr>
              <w:t>if Reference Entity is a Sovereign:</w:t>
            </w:r>
            <w:r w:rsidRPr="00B41197">
              <w:t xml:space="preserve"> (</w:t>
            </w:r>
            <w:r w:rsidRPr="00792D61">
              <w:rPr>
                <w:b/>
              </w:rPr>
              <w:t>[</w:t>
            </w:r>
            <w:r w:rsidRPr="00B41197">
              <w:t>b</w:t>
            </w:r>
            <w:r w:rsidRPr="00792D61">
              <w:rPr>
                <w:b/>
              </w:rPr>
              <w:t>][</w:t>
            </w:r>
            <w:r w:rsidRPr="00B41197">
              <w:t>c</w:t>
            </w:r>
            <w:r w:rsidRPr="00792D61">
              <w:rPr>
                <w:b/>
              </w:rPr>
              <w:t>][</w:t>
            </w:r>
            <w:r w:rsidRPr="00B41197">
              <w:t>d</w:t>
            </w:r>
            <w:r w:rsidRPr="00792D61">
              <w:rPr>
                <w:b/>
              </w:rPr>
              <w:t>]</w:t>
            </w:r>
            <w:r w:rsidRPr="00B41197">
              <w:t>) any Package Observable Bond</w:t>
            </w:r>
            <w:r w:rsidRPr="00AB19FF">
              <w:rPr>
                <w:sz w:val="22"/>
              </w:rPr>
              <w:t xml:space="preserve"> </w:t>
            </w:r>
            <w:r>
              <w:t>and</w:t>
            </w:r>
            <w:r w:rsidRPr="00AB19FF">
              <w:t xml:space="preserve"> the relevant Asset Package in lieu of a </w:t>
            </w:r>
            <w:r>
              <w:t>Package Observable Bond</w:t>
            </w:r>
            <w:r w:rsidRPr="00B41197">
              <w:t>,</w:t>
            </w:r>
            <w:r w:rsidRPr="00792D61">
              <w:rPr>
                <w:b/>
              </w:rPr>
              <w:t>]]</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E46A2C">
            <w:pPr>
              <w:pStyle w:val="CSBody8pt"/>
              <w:rPr>
                <w:lang w:val="de-DE"/>
              </w:rPr>
            </w:pPr>
            <w:r w:rsidRPr="00792D61">
              <w:rPr>
                <w:b/>
                <w:lang w:val="de-DE"/>
              </w:rPr>
              <w:t>[</w:t>
            </w:r>
            <w:r w:rsidRPr="005311F5">
              <w:rPr>
                <w:b/>
                <w:i/>
                <w:lang w:val="de-DE"/>
              </w:rPr>
              <w:t>falls der Referenzschuldner ein Staat ist:</w:t>
            </w:r>
            <w:r w:rsidRPr="00A66207">
              <w:rPr>
                <w:lang w:val="de-DE"/>
              </w:rPr>
              <w:t xml:space="preserve"> (</w:t>
            </w:r>
            <w:r w:rsidRPr="00792D61">
              <w:rPr>
                <w:b/>
                <w:lang w:val="de-DE"/>
              </w:rPr>
              <w:t>[</w:t>
            </w:r>
            <w:r w:rsidRPr="00A66207">
              <w:rPr>
                <w:lang w:val="de-DE"/>
              </w:rPr>
              <w:t>b</w:t>
            </w:r>
            <w:r w:rsidRPr="00792D61">
              <w:rPr>
                <w:b/>
                <w:lang w:val="de-DE"/>
              </w:rPr>
              <w:t>][</w:t>
            </w:r>
            <w:r w:rsidRPr="00A66207">
              <w:rPr>
                <w:lang w:val="de-DE"/>
              </w:rPr>
              <w:t>c</w:t>
            </w:r>
            <w:r w:rsidRPr="00792D61">
              <w:rPr>
                <w:b/>
                <w:lang w:val="de-DE"/>
              </w:rPr>
              <w:t>][</w:t>
            </w:r>
            <w:r w:rsidRPr="00A66207">
              <w:rPr>
                <w:lang w:val="de-DE"/>
              </w:rPr>
              <w:t>d</w:t>
            </w:r>
            <w:r w:rsidRPr="00792D61">
              <w:rPr>
                <w:b/>
                <w:lang w:val="de-DE"/>
              </w:rPr>
              <w:t>]</w:t>
            </w:r>
            <w:r w:rsidRPr="00A66207">
              <w:rPr>
                <w:lang w:val="de-DE"/>
              </w:rPr>
              <w:t>) jede Paketrelevante Anleihe</w:t>
            </w:r>
            <w:r w:rsidRPr="00AB19FF">
              <w:rPr>
                <w:sz w:val="22"/>
                <w:lang w:val="de-DE"/>
              </w:rPr>
              <w:t xml:space="preserve"> </w:t>
            </w:r>
            <w:r w:rsidRPr="00AB19FF">
              <w:rPr>
                <w:lang w:val="de-DE"/>
              </w:rPr>
              <w:t>und das massgebliche Asset Paket anstelle einer Paketrelevante</w:t>
            </w:r>
            <w:r>
              <w:rPr>
                <w:lang w:val="de-DE"/>
              </w:rPr>
              <w:t>n</w:t>
            </w:r>
            <w:r w:rsidRPr="00AB19FF">
              <w:rPr>
                <w:lang w:val="de-DE"/>
              </w:rPr>
              <w:t xml:space="preserve"> Anleihe</w:t>
            </w:r>
            <w:r w:rsidRPr="00A66207">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4F16A7" w:rsidP="004C1EBA">
            <w:pPr>
              <w:pStyle w:val="CSBody8pt"/>
            </w:pPr>
            <w:r>
              <w:rPr>
                <w:b/>
              </w:rPr>
              <w:t>[</w:t>
            </w:r>
            <w:r>
              <w:rPr>
                <w:b/>
                <w:i/>
              </w:rPr>
              <w:t xml:space="preserve">insert in case of Complex Products with Excluded Valuation Obligations: </w:t>
            </w:r>
            <w:r w:rsidRPr="004F16A7">
              <w:t xml:space="preserve">but excluding </w:t>
            </w:r>
            <w:r w:rsidRPr="00792D61" w:rsidR="008217CD">
              <w:rPr>
                <w:b/>
              </w:rPr>
              <w:t>[</w:t>
            </w:r>
            <w:r w:rsidRPr="004F16A7" w:rsidR="008217CD">
              <w:t>, in each case,</w:t>
            </w:r>
            <w:r w:rsidRPr="00792D61" w:rsidR="008217CD">
              <w:rPr>
                <w:b/>
              </w:rPr>
              <w:t>]</w:t>
            </w:r>
            <w:r w:rsidR="008217CD">
              <w:rPr>
                <w:b/>
              </w:rPr>
              <w:t xml:space="preserve"> </w:t>
            </w:r>
            <w:r w:rsidRPr="004F16A7">
              <w:t>any Excluded Valuation Obligation and</w:t>
            </w:r>
            <w:r>
              <w:rPr>
                <w:b/>
              </w:rPr>
              <w:t>]</w:t>
            </w:r>
            <w:r w:rsidRPr="004F16A7">
              <w:t xml:space="preserve"> provided</w:t>
            </w:r>
            <w:r w:rsidR="008217CD">
              <w:t xml:space="preserve"> </w:t>
            </w:r>
            <w:r w:rsidRPr="00792D61" w:rsidR="008217CD">
              <w:rPr>
                <w:b/>
              </w:rPr>
              <w:t>[</w:t>
            </w:r>
            <w:r w:rsidRPr="004F16A7" w:rsidR="008217CD">
              <w:t>, in each case,</w:t>
            </w:r>
            <w:r w:rsidRPr="00792D61" w:rsidR="008217CD">
              <w:rPr>
                <w:b/>
              </w:rPr>
              <w:t>]</w:t>
            </w:r>
            <w:r w:rsidRPr="004F16A7">
              <w:t xml:space="preserve"> that the obligation has an Outstanding Principal Balance or Due and Payable Amount that is greater than zero </w:t>
            </w:r>
            <w:r w:rsidRPr="00792D61">
              <w:rPr>
                <w:b/>
              </w:rPr>
              <w:t>[</w:t>
            </w:r>
            <w:r w:rsidRPr="004F16A7">
              <w:t xml:space="preserve">(determined for purposes of paragraph </w:t>
            </w:r>
            <w:r w:rsidRPr="00792D61">
              <w:rPr>
                <w:b/>
              </w:rPr>
              <w:t>[</w:t>
            </w:r>
            <w:r w:rsidRPr="004F16A7">
              <w:t>b</w:t>
            </w:r>
            <w:r w:rsidRPr="00792D61">
              <w:rPr>
                <w:b/>
              </w:rPr>
              <w:t>][</w:t>
            </w:r>
            <w:r w:rsidRPr="004F16A7">
              <w:t>c</w:t>
            </w:r>
            <w:r w:rsidRPr="00BA3C59">
              <w:rPr>
                <w:b/>
              </w:rPr>
              <w:t>][</w:t>
            </w:r>
            <w:r w:rsidRPr="00BA3C59">
              <w:t>(d)</w:t>
            </w:r>
            <w:r w:rsidRPr="00BA3C59">
              <w:rPr>
                <w:b/>
              </w:rPr>
              <w:t>]</w:t>
            </w:r>
            <w:r w:rsidRPr="004F16A7">
              <w:t xml:space="preserve"> above by reference to the terms of the relevant obligation in effect immediately prior to the relevant Asset Package Credit Event)</w:t>
            </w:r>
            <w:r w:rsidRPr="00792D61">
              <w:rPr>
                <w:b/>
              </w:rPr>
              <w:t>]</w:t>
            </w:r>
            <w:r w:rsidRPr="004F16A7">
              <w:t xml:space="preserve">. </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E66232">
            <w:pPr>
              <w:pStyle w:val="CSBody8pt"/>
              <w:rPr>
                <w:lang w:val="de-DE"/>
              </w:rPr>
            </w:pPr>
            <w:r>
              <w:rPr>
                <w:b/>
                <w:lang w:val="de-DE"/>
              </w:rPr>
              <w:t>[</w:t>
            </w:r>
            <w:r>
              <w:rPr>
                <w:b/>
                <w:i/>
                <w:lang w:val="de-DE"/>
              </w:rPr>
              <w:t xml:space="preserve">bei Komplexen Produkten mit Ausgenommenen Bewertungsverbindlichkeiten einfügen: </w:t>
            </w:r>
            <w:r w:rsidRPr="00A66207">
              <w:rPr>
                <w:lang w:val="de-DE"/>
              </w:rPr>
              <w:t xml:space="preserve">sofern es sich dabei </w:t>
            </w:r>
            <w:r w:rsidRPr="00792D61" w:rsidR="008217CD">
              <w:rPr>
                <w:b/>
                <w:lang w:val="de-DE"/>
              </w:rPr>
              <w:t>[</w:t>
            </w:r>
            <w:r w:rsidRPr="00A66207" w:rsidR="008217CD">
              <w:rPr>
                <w:lang w:val="de-DE"/>
              </w:rPr>
              <w:t>jeweils</w:t>
            </w:r>
            <w:r w:rsidRPr="00792D61" w:rsidR="008217CD">
              <w:rPr>
                <w:b/>
                <w:lang w:val="de-DE"/>
              </w:rPr>
              <w:t>]</w:t>
            </w:r>
            <w:r w:rsidR="008217CD">
              <w:rPr>
                <w:b/>
                <w:lang w:val="de-DE"/>
              </w:rPr>
              <w:t xml:space="preserve"> </w:t>
            </w:r>
            <w:r w:rsidRPr="00A66207">
              <w:rPr>
                <w:lang w:val="de-DE"/>
              </w:rPr>
              <w:t>nicht um eine Ausgenommene Bewertungsverbindlichkeit handelt und</w:t>
            </w:r>
            <w:r>
              <w:rPr>
                <w:b/>
                <w:lang w:val="de-DE"/>
              </w:rPr>
              <w:t>]</w:t>
            </w:r>
            <w:r w:rsidRPr="00A66207">
              <w:rPr>
                <w:lang w:val="de-DE"/>
              </w:rPr>
              <w:t xml:space="preserve"> </w:t>
            </w:r>
            <w:r w:rsidRPr="00792D61" w:rsidR="008217CD">
              <w:rPr>
                <w:b/>
                <w:lang w:val="de-DE"/>
              </w:rPr>
              <w:t>[</w:t>
            </w:r>
            <w:r w:rsidRPr="00A66207" w:rsidR="008217CD">
              <w:rPr>
                <w:lang w:val="de-DE"/>
              </w:rPr>
              <w:t>jeweils</w:t>
            </w:r>
            <w:r w:rsidRPr="00792D61" w:rsidR="008217CD">
              <w:rPr>
                <w:b/>
                <w:lang w:val="de-DE"/>
              </w:rPr>
              <w:t>]</w:t>
            </w:r>
            <w:r w:rsidR="008217CD">
              <w:rPr>
                <w:b/>
                <w:lang w:val="de-DE"/>
              </w:rPr>
              <w:t xml:space="preserve"> </w:t>
            </w:r>
            <w:r w:rsidRPr="00A66207">
              <w:rPr>
                <w:lang w:val="de-DE"/>
              </w:rPr>
              <w:t xml:space="preserve">vorausgesetzt, die Verbindlichkeit hat einen Ausstehenden </w:t>
            </w:r>
            <w:r>
              <w:rPr>
                <w:lang w:val="de-DE"/>
              </w:rPr>
              <w:t>Kapitalbetrag</w:t>
            </w:r>
            <w:r w:rsidRPr="00A66207">
              <w:rPr>
                <w:lang w:val="de-DE"/>
              </w:rPr>
              <w:t xml:space="preserve"> bzw. Fälligen und Zahlbaren Betrag, der grösser als null ist </w:t>
            </w:r>
            <w:r w:rsidRPr="00792D61">
              <w:rPr>
                <w:b/>
                <w:lang w:val="de-DE"/>
              </w:rPr>
              <w:t>[</w:t>
            </w:r>
            <w:r w:rsidRPr="00A66207">
              <w:rPr>
                <w:lang w:val="de-DE"/>
              </w:rPr>
              <w:t xml:space="preserve">(für Zwecke der Bestimmung nach Absatz </w:t>
            </w:r>
            <w:r w:rsidRPr="00792D61">
              <w:rPr>
                <w:b/>
                <w:lang w:val="de-DE"/>
              </w:rPr>
              <w:t>[</w:t>
            </w:r>
            <w:r w:rsidRPr="00A66207">
              <w:rPr>
                <w:lang w:val="de-DE"/>
              </w:rPr>
              <w:t>b</w:t>
            </w:r>
            <w:r w:rsidRPr="00792D61">
              <w:rPr>
                <w:b/>
                <w:lang w:val="de-DE"/>
              </w:rPr>
              <w:t>][</w:t>
            </w:r>
            <w:r w:rsidRPr="00A66207">
              <w:rPr>
                <w:lang w:val="de-DE"/>
              </w:rPr>
              <w:t>c</w:t>
            </w:r>
            <w:r w:rsidRPr="00792D61">
              <w:rPr>
                <w:b/>
                <w:lang w:val="de-DE"/>
              </w:rPr>
              <w:t>][</w:t>
            </w:r>
            <w:r w:rsidRPr="00A66207">
              <w:rPr>
                <w:lang w:val="de-DE"/>
              </w:rPr>
              <w:t>(d)</w:t>
            </w:r>
            <w:r w:rsidRPr="00792D61">
              <w:rPr>
                <w:b/>
                <w:lang w:val="de-DE"/>
              </w:rPr>
              <w:t>]</w:t>
            </w:r>
            <w:r w:rsidRPr="00A66207">
              <w:rPr>
                <w:lang w:val="de-DE"/>
              </w:rPr>
              <w:t xml:space="preserve"> oben auf Basis der unmittelbar vor dem massgeblichen Kreditereignis mit Asset-Paket geltenden Bestimmungen der jeweiligen Verbindlichkeit festgestellt)</w:t>
            </w:r>
            <w:r w:rsidRPr="00792D61">
              <w:rPr>
                <w:b/>
                <w:lang w:val="de-DE"/>
              </w:rPr>
              <w:t>]</w:t>
            </w:r>
            <w:r w:rsidRPr="00A66207">
              <w:rPr>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942F00" w:rsidP="00EA4A2A">
            <w:pPr>
              <w:pStyle w:val="CSBody8pt"/>
            </w:pPr>
            <w:r w:rsidRPr="00942F00">
              <w:rPr>
                <w:u w:val="single"/>
              </w:rPr>
              <w:t>Method for determining Valuation Obligations</w:t>
            </w:r>
            <w:r w:rsidRPr="00942F00">
              <w:t>: The Calculation Agent may select an Obligation</w:t>
            </w:r>
            <w:r w:rsidR="00EA4A2A">
              <w:t xml:space="preserve"> </w:t>
            </w:r>
            <w:r w:rsidRPr="00942F00">
              <w:t xml:space="preserve">of the Reference Entity as </w:t>
            </w:r>
            <w:r w:rsidR="003B00F3">
              <w:t>"</w:t>
            </w:r>
            <w:r w:rsidRPr="00942F00">
              <w:t>Valuation Obligation</w:t>
            </w:r>
            <w:r w:rsidR="00BF7214">
              <w:t>"</w:t>
            </w:r>
            <w:r w:rsidRPr="00942F00">
              <w:t xml:space="preserve"> </w:t>
            </w:r>
            <w:r w:rsidRPr="00942F00">
              <w:rPr>
                <w:b/>
              </w:rPr>
              <w:t>[</w:t>
            </w:r>
            <w:r w:rsidRPr="00942F00">
              <w:t>within the meaning of subparagraph (a)</w:t>
            </w:r>
            <w:r w:rsidRPr="00942F00">
              <w:rPr>
                <w:b/>
              </w:rPr>
              <w:t>]</w:t>
            </w:r>
            <w:r w:rsidRPr="00942F00">
              <w:t xml:space="preserve">, if it falls within a Valuation Obligation Category and, taking into account the provisions set out in the following paragragphs in this definition of </w:t>
            </w:r>
            <w:r w:rsidRPr="00BD6E0D" w:rsidR="00EA4A2A">
              <w:t>"</w:t>
            </w:r>
            <w:r w:rsidRPr="00942F00">
              <w:t>Valuation Obligation</w:t>
            </w:r>
            <w:r w:rsidRPr="00BD6E0D" w:rsidR="00EA4A2A">
              <w:t>"</w:t>
            </w:r>
            <w:r w:rsidRPr="00942F00">
              <w:t xml:space="preserve">, </w:t>
            </w:r>
            <w:r w:rsidR="00EA4A2A">
              <w:t>has</w:t>
            </w:r>
            <w:r w:rsidRPr="00942F00" w:rsidR="00EA4A2A">
              <w:t xml:space="preserve"> </w:t>
            </w:r>
            <w:r w:rsidRPr="00942F00">
              <w:t>each of the "Valuation Obligation</w:t>
            </w:r>
            <w:r w:rsidR="00EA4A2A">
              <w:t xml:space="preserve"> </w:t>
            </w:r>
            <w:r w:rsidRPr="00EA4A2A" w:rsidR="00EA4A2A">
              <w:t>Charact</w:t>
            </w:r>
            <w:r w:rsidR="00EA4A2A">
              <w:t>eristics</w:t>
            </w:r>
            <w:r w:rsidRPr="00942F00">
              <w:t>" specified in Section 1.1, in each case, as of both the date of selection of the relevant Valuation Obligation and the Valuation Date.</w:t>
            </w:r>
          </w:p>
        </w:tc>
        <w:tc>
          <w:tcPr>
            <w:tcW w:w="1618" w:type="dxa"/>
            <w:gridSpan w:val="2"/>
            <w:tcBorders>
              <w:top w:val="nil"/>
              <w:bottom w:val="nil"/>
              <w:right w:val="nil"/>
            </w:tcBorders>
            <w:shd w:val="clear" w:color="auto" w:fill="auto"/>
          </w:tcPr>
          <w:p w:rsidR="0017135D" w:rsidRPr="00942F00" w:rsidP="00E46A2C">
            <w:pPr>
              <w:pStyle w:val="CSBody8pt"/>
              <w:rPr>
                <w:i/>
              </w:rPr>
            </w:pPr>
          </w:p>
        </w:tc>
        <w:tc>
          <w:tcPr>
            <w:tcW w:w="3318" w:type="dxa"/>
            <w:tcBorders>
              <w:top w:val="nil"/>
              <w:left w:val="nil"/>
              <w:bottom w:val="nil"/>
              <w:right w:val="nil"/>
            </w:tcBorders>
            <w:shd w:val="clear" w:color="auto" w:fill="auto"/>
          </w:tcPr>
          <w:p w:rsidR="0017135D" w:rsidRPr="00A66207" w:rsidP="004C1EBA">
            <w:pPr>
              <w:pStyle w:val="CSBody8pt"/>
              <w:rPr>
                <w:lang w:val="de-DE"/>
              </w:rPr>
            </w:pPr>
            <w:r w:rsidRPr="00942F00">
              <w:rPr>
                <w:u w:val="single"/>
                <w:lang w:val="de-DE"/>
              </w:rPr>
              <w:t>Methode für die Auswahl der Bewertungsverbindlichkeiten</w:t>
            </w:r>
            <w:r w:rsidRPr="00942F00">
              <w:rPr>
                <w:lang w:val="de-DE"/>
              </w:rPr>
              <w:t xml:space="preserve">: Die Berechnungsstelle kann eine Verbindlichkeit des Referenzschuldners als </w:t>
            </w:r>
            <w:r w:rsidR="003B00F3">
              <w:rPr>
                <w:lang w:val="de-DE"/>
              </w:rPr>
              <w:t>"</w:t>
            </w:r>
            <w:r w:rsidRPr="00942F00">
              <w:rPr>
                <w:lang w:val="de-DE"/>
              </w:rPr>
              <w:t>Bewertungsverbindlichkeit</w:t>
            </w:r>
            <w:r w:rsidR="003B00F3">
              <w:rPr>
                <w:lang w:val="de-DE"/>
              </w:rPr>
              <w:t>"</w:t>
            </w:r>
            <w:r w:rsidRPr="00942F00">
              <w:rPr>
                <w:lang w:val="de-DE"/>
              </w:rPr>
              <w:t xml:space="preserve"> </w:t>
            </w:r>
            <w:r w:rsidRPr="00942F00">
              <w:rPr>
                <w:b/>
                <w:lang w:val="de-DE"/>
              </w:rPr>
              <w:t>[</w:t>
            </w:r>
            <w:r w:rsidRPr="00942F00">
              <w:rPr>
                <w:lang w:val="de-DE"/>
              </w:rPr>
              <w:t>im Sinne des Absatzes (a)</w:t>
            </w:r>
            <w:r w:rsidRPr="00942F00">
              <w:rPr>
                <w:b/>
                <w:lang w:val="de-DE"/>
              </w:rPr>
              <w:t xml:space="preserve">] </w:t>
            </w:r>
            <w:r w:rsidRPr="00942F00">
              <w:rPr>
                <w:lang w:val="de-DE"/>
              </w:rPr>
              <w:t xml:space="preserve">auswählen, wenn sie in eine Kategorie der Bewertungsverbindlichkeiten fällt und, unter Berücksichtigung der Bestimmungen der nachfolgenden Absätze dieser Definition </w:t>
            </w:r>
            <w:r w:rsidR="003B00F3">
              <w:rPr>
                <w:lang w:val="de-DE"/>
              </w:rPr>
              <w:t>"</w:t>
            </w:r>
            <w:r w:rsidRPr="00942F00">
              <w:rPr>
                <w:lang w:val="de-DE"/>
              </w:rPr>
              <w:t>Bewertungsverbindlichkeit</w:t>
            </w:r>
            <w:r w:rsidR="003B00F3">
              <w:rPr>
                <w:lang w:val="de-DE"/>
              </w:rPr>
              <w:t>"</w:t>
            </w:r>
            <w:r w:rsidRPr="00942F00">
              <w:rPr>
                <w:lang w:val="de-DE"/>
              </w:rPr>
              <w:t>, sowohl zum Tag, an dem die betreffende Bewertungsverbindlichkeit ausgewählt wird, als auch zum Bewertungszeitpunkt alle in Ziffer 1.1 angegebenen Merkmale der Bewertungsverbindlichkeit aufweist.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D216F1" w:rsidP="00E46A2C">
            <w:pPr>
              <w:pStyle w:val="CSBody8pt"/>
              <w:rPr>
                <w:lang w:val="de-DE"/>
              </w:rPr>
            </w:pPr>
          </w:p>
        </w:tc>
        <w:tc>
          <w:tcPr>
            <w:tcW w:w="3315" w:type="dxa"/>
            <w:gridSpan w:val="2"/>
            <w:tcBorders>
              <w:top w:val="nil"/>
              <w:left w:val="nil"/>
              <w:bottom w:val="nil"/>
            </w:tcBorders>
            <w:shd w:val="clear" w:color="auto" w:fill="auto"/>
          </w:tcPr>
          <w:p w:rsidR="0017135D" w:rsidRPr="00D216F1">
            <w:pPr>
              <w:pStyle w:val="CSBody8pt"/>
            </w:pPr>
            <w:r w:rsidRPr="00D216F1">
              <w:t xml:space="preserve">In connection with the selection of an Obligation as Valuation Obligation the Calculation Agent has to take into account the Valuation Obligation Characteristics </w:t>
            </w:r>
            <w:r w:rsidR="00EA4A2A">
              <w:t>as modified by the provisions set out in the following paragraph</w:t>
            </w:r>
            <w:r w:rsidRPr="00BD6E0D" w:rsidR="00EA4A2A">
              <w:rPr>
                <w:b/>
              </w:rPr>
              <w:t>[</w:t>
            </w:r>
            <w:r w:rsidR="00EA4A2A">
              <w:t>s</w:t>
            </w:r>
            <w:r w:rsidRPr="00BD6E0D" w:rsidR="00EA4A2A">
              <w:rPr>
                <w:b/>
              </w:rPr>
              <w:t>]</w:t>
            </w:r>
            <w:r w:rsidRPr="00D216F1">
              <w:t>:</w:t>
            </w:r>
          </w:p>
        </w:tc>
        <w:tc>
          <w:tcPr>
            <w:tcW w:w="1618" w:type="dxa"/>
            <w:gridSpan w:val="2"/>
            <w:tcBorders>
              <w:top w:val="nil"/>
              <w:bottom w:val="nil"/>
              <w:right w:val="nil"/>
            </w:tcBorders>
            <w:shd w:val="clear" w:color="auto" w:fill="auto"/>
          </w:tcPr>
          <w:p w:rsidR="0017135D" w:rsidRPr="00D216F1" w:rsidP="00E46A2C">
            <w:pPr>
              <w:pStyle w:val="CSBody8pt"/>
              <w:rPr>
                <w:i/>
              </w:rPr>
            </w:pPr>
          </w:p>
        </w:tc>
        <w:tc>
          <w:tcPr>
            <w:tcW w:w="3318" w:type="dxa"/>
            <w:tcBorders>
              <w:top w:val="nil"/>
              <w:left w:val="nil"/>
              <w:bottom w:val="nil"/>
              <w:right w:val="nil"/>
            </w:tcBorders>
            <w:shd w:val="clear" w:color="auto" w:fill="auto"/>
          </w:tcPr>
          <w:p w:rsidR="0017135D" w:rsidRPr="00D216F1">
            <w:pPr>
              <w:pStyle w:val="CSBody8pt"/>
              <w:rPr>
                <w:lang w:val="de-DE"/>
              </w:rPr>
            </w:pPr>
            <w:r w:rsidRPr="00D216F1">
              <w:rPr>
                <w:lang w:val="de-DE"/>
              </w:rPr>
              <w:t xml:space="preserve">Im Zusammenhang mit der Auswahl einer Verbindlichkeit als Bewertungsverbindlichkeit muss die Berechnungsstelle die Merkmale der Bewertungsverbindlichkeit </w:t>
            </w:r>
            <w:r w:rsidR="00EA4A2A">
              <w:rPr>
                <w:lang w:val="de-DE"/>
              </w:rPr>
              <w:t xml:space="preserve">in der durch die Regelungen in </w:t>
            </w:r>
            <w:r w:rsidRPr="00BD6E0D" w:rsidR="00EA4A2A">
              <w:rPr>
                <w:b/>
                <w:lang w:val="de-DE"/>
              </w:rPr>
              <w:t>[</w:t>
            </w:r>
            <w:r w:rsidR="00EA4A2A">
              <w:rPr>
                <w:lang w:val="de-DE"/>
              </w:rPr>
              <w:t>den nachfolgenden Absätzen</w:t>
            </w:r>
            <w:r w:rsidRPr="00BD6E0D" w:rsidR="00EA4A2A">
              <w:rPr>
                <w:b/>
                <w:lang w:val="de-DE"/>
              </w:rPr>
              <w:t>]</w:t>
            </w:r>
            <w:r w:rsidR="00EA4A2A">
              <w:rPr>
                <w:lang w:val="de-DE"/>
              </w:rPr>
              <w:t xml:space="preserve"> </w:t>
            </w:r>
            <w:r w:rsidRPr="00BD6E0D" w:rsidR="00EA4A2A">
              <w:rPr>
                <w:b/>
                <w:lang w:val="de-DE"/>
              </w:rPr>
              <w:t>[</w:t>
            </w:r>
            <w:r w:rsidR="00EA4A2A">
              <w:rPr>
                <w:lang w:val="de-DE"/>
              </w:rPr>
              <w:t>dem nachfolgenden Absatz</w:t>
            </w:r>
            <w:r w:rsidRPr="00BD6E0D" w:rsidR="00EA4A2A">
              <w:rPr>
                <w:b/>
                <w:lang w:val="de-DE"/>
              </w:rPr>
              <w:t>]</w:t>
            </w:r>
            <w:r w:rsidR="00EA4A2A">
              <w:rPr>
                <w:lang w:val="de-DE"/>
              </w:rPr>
              <w:t xml:space="preserve"> angepassten Form </w:t>
            </w:r>
            <w:r w:rsidRPr="00D216F1">
              <w:rPr>
                <w:lang w:val="de-DE"/>
              </w:rPr>
              <w:t>berücksichtigen: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0007BF" w:rsidP="00714D55">
            <w:pPr>
              <w:pStyle w:val="CSBody8pt"/>
            </w:pPr>
            <w:r w:rsidRPr="00792D61">
              <w:rPr>
                <w:b/>
              </w:rPr>
              <w:t>[</w:t>
            </w:r>
            <w:r w:rsidRPr="005311F5">
              <w:rPr>
                <w:b/>
                <w:i/>
              </w:rPr>
              <w:t xml:space="preserve">If </w:t>
            </w:r>
            <w:r>
              <w:rPr>
                <w:b/>
                <w:i/>
              </w:rPr>
              <w:t>any</w:t>
            </w:r>
            <w:r w:rsidRPr="005311F5">
              <w:rPr>
                <w:b/>
                <w:i/>
              </w:rPr>
              <w:t xml:space="preserve"> of the Valuation Obligation Characteristics "Listed", "Not Domestic Issuance" or "Not Bearer" is specified in Section 1.1:</w:t>
            </w:r>
            <w:r w:rsidRPr="000007BF">
              <w:t xml:space="preserve"> </w:t>
            </w:r>
            <w:r>
              <w:t>T</w:t>
            </w:r>
            <w:r w:rsidRPr="000007BF">
              <w:t>he Valuation Obligation Characteristic</w:t>
            </w:r>
            <w:r w:rsidRPr="00792D61">
              <w:rPr>
                <w:b/>
              </w:rPr>
              <w:t>[</w:t>
            </w:r>
            <w:r w:rsidRPr="000007BF">
              <w:t>s</w:t>
            </w:r>
            <w:r w:rsidRPr="00792D61">
              <w:rPr>
                <w:b/>
              </w:rPr>
              <w:t>]</w:t>
            </w:r>
            <w:r w:rsidRPr="000007BF">
              <w:t xml:space="preserve"> </w:t>
            </w:r>
            <w:r w:rsidRPr="00792D61">
              <w:rPr>
                <w:b/>
              </w:rPr>
              <w:t>[</w:t>
            </w:r>
            <w:r w:rsidRPr="000007BF">
              <w:t>"Listed"</w:t>
            </w:r>
            <w:r w:rsidRPr="00792D61">
              <w:rPr>
                <w:b/>
              </w:rPr>
              <w:t>][</w:t>
            </w:r>
            <w:r>
              <w:t>,</w:t>
            </w:r>
            <w:r w:rsidRPr="00792D61">
              <w:rPr>
                <w:b/>
              </w:rPr>
              <w:t>]</w:t>
            </w:r>
            <w:r>
              <w:rPr>
                <w:b/>
              </w:rPr>
              <w:t>[</w:t>
            </w:r>
            <w:r>
              <w:t>and</w:t>
            </w:r>
            <w:r>
              <w:rPr>
                <w:b/>
              </w:rPr>
              <w:t>]</w:t>
            </w:r>
            <w:r w:rsidRPr="00792D61">
              <w:rPr>
                <w:b/>
              </w:rPr>
              <w:t>[</w:t>
            </w:r>
            <w:r w:rsidRPr="000007BF">
              <w:t>"Not Domestic Issuance"</w:t>
            </w:r>
            <w:r w:rsidRPr="00792D61">
              <w:rPr>
                <w:b/>
              </w:rPr>
              <w:t>]</w:t>
            </w:r>
            <w:r w:rsidRPr="000007BF">
              <w:t xml:space="preserve"> </w:t>
            </w:r>
            <w:r>
              <w:rPr>
                <w:b/>
              </w:rPr>
              <w:t>[</w:t>
            </w:r>
            <w:r>
              <w:t>and</w:t>
            </w:r>
            <w:r>
              <w:rPr>
                <w:b/>
              </w:rPr>
              <w:t>]</w:t>
            </w:r>
            <w:r w:rsidRPr="00792D61">
              <w:rPr>
                <w:b/>
              </w:rPr>
              <w:t>[</w:t>
            </w:r>
            <w:r w:rsidRPr="000007BF">
              <w:t>"Not Bearer"</w:t>
            </w:r>
            <w:r w:rsidRPr="00792D61">
              <w:rPr>
                <w:b/>
              </w:rPr>
              <w:t>]</w:t>
            </w:r>
            <w:r w:rsidRPr="000007BF">
              <w:t xml:space="preserve"> </w:t>
            </w:r>
            <w:r>
              <w:rPr>
                <w:b/>
              </w:rPr>
              <w:t>[</w:t>
            </w:r>
            <w:r w:rsidRPr="00C408DD">
              <w:t>is</w:t>
            </w:r>
            <w:r>
              <w:rPr>
                <w:b/>
              </w:rPr>
              <w:t>][</w:t>
            </w:r>
            <w:r w:rsidRPr="00C408DD">
              <w:t>are</w:t>
            </w:r>
            <w:r>
              <w:rPr>
                <w:b/>
              </w:rPr>
              <w:t>]</w:t>
            </w:r>
            <w:r w:rsidRPr="000007BF">
              <w:t xml:space="preserve"> </w:t>
            </w:r>
            <w:r w:rsidR="00EB3FD4">
              <w:t>satisfied</w:t>
            </w:r>
            <w:r>
              <w:t xml:space="preserve"> </w:t>
            </w:r>
            <w:r w:rsidRPr="000007BF">
              <w:t>only</w:t>
            </w:r>
            <w:r>
              <w:t xml:space="preserve"> </w:t>
            </w:r>
            <w:r w:rsidRPr="000007BF">
              <w:t>with respect to</w:t>
            </w:r>
            <w:r>
              <w:t xml:space="preserve"> Obligations that are</w:t>
            </w:r>
            <w:r w:rsidRPr="000007BF">
              <w:t xml:space="preserve"> Bonds.</w:t>
            </w:r>
            <w:r w:rsidRPr="00792D61">
              <w:rPr>
                <w:b/>
              </w:rPr>
              <w:t>]</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EB3FD4">
            <w:pPr>
              <w:pStyle w:val="CSBody8pt"/>
              <w:rPr>
                <w:lang w:val="de-DE"/>
              </w:rPr>
            </w:pPr>
            <w:r w:rsidRPr="00792D61">
              <w:rPr>
                <w:b/>
                <w:lang w:val="de-DE"/>
              </w:rPr>
              <w:t>[</w:t>
            </w:r>
            <w:r w:rsidRPr="005311F5">
              <w:rPr>
                <w:b/>
                <w:i/>
                <w:lang w:val="de-DE"/>
              </w:rPr>
              <w:t xml:space="preserve">Falls in Ziffer 1.1 </w:t>
            </w:r>
            <w:r>
              <w:rPr>
                <w:b/>
                <w:i/>
                <w:lang w:val="de-DE"/>
              </w:rPr>
              <w:t>eines oder mehrere der Merkmale für Bewertungsverbindlichkeiten</w:t>
            </w:r>
            <w:r w:rsidRPr="005311F5">
              <w:rPr>
                <w:b/>
                <w:i/>
                <w:lang w:val="de-DE"/>
              </w:rPr>
              <w:t xml:space="preserve"> "Börsennotiert", "Keine Inländische Emission" oder "Kein Inhaberpapier" angegeben ist, einfügen:</w:t>
            </w:r>
            <w:r w:rsidRPr="00A66207">
              <w:rPr>
                <w:lang w:val="de-DE"/>
              </w:rPr>
              <w:t xml:space="preserve"> </w:t>
            </w:r>
            <w:r>
              <w:rPr>
                <w:b/>
                <w:lang w:val="de-DE"/>
              </w:rPr>
              <w:t>[</w:t>
            </w:r>
            <w:r>
              <w:rPr>
                <w:lang w:val="de-DE"/>
              </w:rPr>
              <w:t>Das Merkmal</w:t>
            </w:r>
            <w:r>
              <w:rPr>
                <w:b/>
                <w:lang w:val="de-DE"/>
              </w:rPr>
              <w:t>][</w:t>
            </w:r>
            <w:r>
              <w:rPr>
                <w:lang w:val="de-DE"/>
              </w:rPr>
              <w:t>Die Merkmale</w:t>
            </w:r>
            <w:r>
              <w:rPr>
                <w:b/>
                <w:lang w:val="de-DE"/>
              </w:rPr>
              <w:t xml:space="preserve">] </w:t>
            </w:r>
            <w:r>
              <w:rPr>
                <w:lang w:val="de-DE"/>
              </w:rPr>
              <w:t xml:space="preserve">der Bewertungsverbindlichkeit </w:t>
            </w:r>
            <w:r w:rsidRPr="00792D61">
              <w:rPr>
                <w:b/>
                <w:lang w:val="de-DE"/>
              </w:rPr>
              <w:t>[</w:t>
            </w:r>
            <w:r>
              <w:rPr>
                <w:lang w:val="de-DE"/>
              </w:rPr>
              <w:t>"Börsen</w:t>
            </w:r>
            <w:r w:rsidRPr="00A66207">
              <w:rPr>
                <w:lang w:val="de-DE"/>
              </w:rPr>
              <w:t>notiert"</w:t>
            </w:r>
            <w:r w:rsidRPr="00792D61">
              <w:rPr>
                <w:b/>
                <w:lang w:val="de-DE"/>
              </w:rPr>
              <w:t>][</w:t>
            </w:r>
            <w:r>
              <w:rPr>
                <w:lang w:val="de-DE"/>
              </w:rPr>
              <w:t>,</w:t>
            </w:r>
            <w:r w:rsidRPr="00792D61">
              <w:rPr>
                <w:b/>
                <w:lang w:val="de-DE"/>
              </w:rPr>
              <w:t>]</w:t>
            </w:r>
            <w:r>
              <w:rPr>
                <w:b/>
                <w:lang w:val="de-DE"/>
              </w:rPr>
              <w:t>[</w:t>
            </w:r>
            <w:r>
              <w:rPr>
                <w:lang w:val="de-DE"/>
              </w:rPr>
              <w:t>und</w:t>
            </w:r>
            <w:r>
              <w:rPr>
                <w:b/>
                <w:lang w:val="de-DE"/>
              </w:rPr>
              <w:t>]</w:t>
            </w:r>
            <w:r w:rsidRPr="00792D61">
              <w:rPr>
                <w:b/>
                <w:lang w:val="de-DE"/>
              </w:rPr>
              <w:t>[</w:t>
            </w:r>
            <w:r w:rsidRPr="00A66207">
              <w:rPr>
                <w:lang w:val="de-DE"/>
              </w:rPr>
              <w:t>"Keine Inländische Emission"</w:t>
            </w:r>
            <w:r w:rsidRPr="00792D61">
              <w:rPr>
                <w:b/>
                <w:lang w:val="de-DE"/>
              </w:rPr>
              <w:t>][</w:t>
            </w:r>
            <w:r>
              <w:rPr>
                <w:lang w:val="de-DE"/>
              </w:rPr>
              <w:t>und</w:t>
            </w:r>
            <w:r w:rsidRPr="00792D61">
              <w:rPr>
                <w:b/>
                <w:lang w:val="de-DE"/>
              </w:rPr>
              <w:t>][</w:t>
            </w:r>
            <w:r w:rsidRPr="00A66207">
              <w:rPr>
                <w:lang w:val="de-DE"/>
              </w:rPr>
              <w:t>"Kein Inhaberpapier"</w:t>
            </w:r>
            <w:r w:rsidRPr="00792D61">
              <w:rPr>
                <w:b/>
                <w:lang w:val="de-DE"/>
              </w:rPr>
              <w:t>]</w:t>
            </w:r>
            <w:r>
              <w:rPr>
                <w:b/>
                <w:lang w:val="de-DE"/>
              </w:rPr>
              <w:t xml:space="preserve"> [</w:t>
            </w:r>
            <w:r>
              <w:rPr>
                <w:lang w:val="de-DE"/>
              </w:rPr>
              <w:t>muss</w:t>
            </w:r>
            <w:r>
              <w:rPr>
                <w:b/>
                <w:lang w:val="de-DE"/>
              </w:rPr>
              <w:t>][</w:t>
            </w:r>
            <w:r>
              <w:rPr>
                <w:lang w:val="de-DE"/>
              </w:rPr>
              <w:t>müssen</w:t>
            </w:r>
            <w:r>
              <w:rPr>
                <w:b/>
                <w:lang w:val="de-DE"/>
              </w:rPr>
              <w:t>]</w:t>
            </w:r>
            <w:r w:rsidR="00EA4A2A">
              <w:rPr>
                <w:b/>
                <w:lang w:val="de-DE"/>
              </w:rPr>
              <w:t xml:space="preserve"> </w:t>
            </w:r>
            <w:r w:rsidRPr="00B7456D">
              <w:rPr>
                <w:lang w:val="de-DE"/>
              </w:rPr>
              <w:t>nur</w:t>
            </w:r>
            <w:r w:rsidRPr="00A66207">
              <w:rPr>
                <w:lang w:val="de-DE"/>
              </w:rPr>
              <w:t xml:space="preserve"> </w:t>
            </w:r>
            <w:r>
              <w:rPr>
                <w:lang w:val="de-DE"/>
              </w:rPr>
              <w:t>bezüglich</w:t>
            </w:r>
            <w:r w:rsidRPr="00A66207">
              <w:rPr>
                <w:lang w:val="de-DE"/>
              </w:rPr>
              <w:t xml:space="preserve"> </w:t>
            </w:r>
            <w:r>
              <w:rPr>
                <w:lang w:val="de-DE"/>
              </w:rPr>
              <w:t xml:space="preserve">Verbindlichkeiten </w:t>
            </w:r>
            <w:r w:rsidR="00EB3FD4">
              <w:rPr>
                <w:lang w:val="de-DE"/>
              </w:rPr>
              <w:t xml:space="preserve">erfüllt </w:t>
            </w:r>
            <w:r>
              <w:rPr>
                <w:lang w:val="de-DE"/>
              </w:rPr>
              <w:t xml:space="preserve">werden, bei denen es sich um </w:t>
            </w:r>
            <w:r w:rsidRPr="00A66207">
              <w:rPr>
                <w:lang w:val="de-DE"/>
              </w:rPr>
              <w:t xml:space="preserve">Anleihen </w:t>
            </w:r>
            <w:r>
              <w:rPr>
                <w:lang w:val="de-DE"/>
              </w:rPr>
              <w:t>handelt</w:t>
            </w:r>
            <w:r w:rsidRPr="00A66207">
              <w:rPr>
                <w:lang w:val="de-DE"/>
              </w:rPr>
              <w:t>.</w:t>
            </w:r>
            <w:r w:rsidRPr="00792D61">
              <w:rPr>
                <w:b/>
                <w:lang w:val="de-DE"/>
              </w:rPr>
              <w:t>]</w:t>
            </w:r>
            <w:r w:rsidRPr="00A66207">
              <w:rPr>
                <w:lang w:val="de-DE"/>
              </w:rPr>
              <w:t xml:space="preserve"> </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pPr>
              <w:pStyle w:val="CSBody8pt"/>
            </w:pPr>
            <w:r w:rsidRPr="00792D61">
              <w:rPr>
                <w:b/>
              </w:rPr>
              <w:t>[</w:t>
            </w:r>
            <w:r w:rsidRPr="005311F5">
              <w:rPr>
                <w:b/>
                <w:i/>
              </w:rPr>
              <w:t>If the Valuation Obligation Characteristic Transferable is specified in Section 1.1 of the Terms and Conditions, insert:</w:t>
            </w:r>
            <w:r w:rsidRPr="000007BF">
              <w:t xml:space="preserve"> The Valuation Obligation Characteristic "Transferable" </w:t>
            </w:r>
            <w:r>
              <w:t xml:space="preserve">is </w:t>
            </w:r>
            <w:r w:rsidR="00065181">
              <w:t xml:space="preserve">satisfied </w:t>
            </w:r>
            <w:r w:rsidRPr="000007BF">
              <w:t>only with respect to Obligations that are not Loans.</w:t>
            </w:r>
            <w:r w:rsidRPr="00792D61">
              <w:rPr>
                <w:b/>
              </w:rPr>
              <w:t>]</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pPr>
              <w:pStyle w:val="CSBody8pt"/>
              <w:rPr>
                <w:lang w:val="de-DE"/>
              </w:rPr>
            </w:pPr>
            <w:r w:rsidRPr="00792D61">
              <w:rPr>
                <w:b/>
                <w:lang w:val="de-DE"/>
              </w:rPr>
              <w:t>[</w:t>
            </w:r>
            <w:r w:rsidRPr="005311F5">
              <w:rPr>
                <w:b/>
                <w:i/>
                <w:lang w:val="de-DE"/>
              </w:rPr>
              <w:t>Falls in Ziffer 1.1 der Emissionsbedingungen "Übertragbar" als Merkmal für Bewertungsverbindlichkeiten angegeben ist, einfügen:</w:t>
            </w:r>
            <w:r w:rsidRPr="00A66207">
              <w:rPr>
                <w:lang w:val="de-DE"/>
              </w:rPr>
              <w:t xml:space="preserve"> </w:t>
            </w:r>
            <w:r>
              <w:rPr>
                <w:lang w:val="de-DE"/>
              </w:rPr>
              <w:t>D</w:t>
            </w:r>
            <w:r w:rsidRPr="00A66207">
              <w:rPr>
                <w:lang w:val="de-DE"/>
              </w:rPr>
              <w:t xml:space="preserve">as Merkmal der Bewertungsverbindlichkeit "Übertragbar" </w:t>
            </w:r>
            <w:r>
              <w:rPr>
                <w:lang w:val="de-DE"/>
              </w:rPr>
              <w:t xml:space="preserve">muss </w:t>
            </w:r>
            <w:r w:rsidRPr="00A66207">
              <w:rPr>
                <w:lang w:val="de-DE"/>
              </w:rPr>
              <w:t xml:space="preserve">nur </w:t>
            </w:r>
            <w:r>
              <w:rPr>
                <w:lang w:val="de-DE"/>
              </w:rPr>
              <w:t xml:space="preserve">bezüglich Verbindlichkeiten </w:t>
            </w:r>
            <w:r w:rsidR="00065181">
              <w:rPr>
                <w:lang w:val="de-DE"/>
              </w:rPr>
              <w:t xml:space="preserve">erfüllt </w:t>
            </w:r>
            <w:r>
              <w:rPr>
                <w:lang w:val="de-DE"/>
              </w:rPr>
              <w:t>werden</w:t>
            </w:r>
            <w:r w:rsidRPr="00A66207">
              <w:rPr>
                <w:lang w:val="de-DE"/>
              </w:rPr>
              <w:t>, bei denen es sich nicht um Darlehen handelt.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B6634F" w:rsidP="00714D55">
            <w:pPr>
              <w:pStyle w:val="CSBody8pt"/>
            </w:pPr>
            <w:r w:rsidRPr="00792D61">
              <w:rPr>
                <w:b/>
              </w:rPr>
              <w:t>[</w:t>
            </w:r>
            <w:r w:rsidRPr="00EE12EE">
              <w:rPr>
                <w:b/>
                <w:i/>
              </w:rPr>
              <w:t>If any of the Valuation Obligation Characteristics "Assignable Loan" or "Consent Required Loan" are specified in Section 1.1 of the Terms and Conditions, insert:</w:t>
            </w:r>
            <w:r w:rsidRPr="00B6634F">
              <w:t xml:space="preserve"> The Valuation Obligation Characteristic</w:t>
            </w:r>
            <w:r w:rsidRPr="00792D61">
              <w:rPr>
                <w:b/>
              </w:rPr>
              <w:t>[</w:t>
            </w:r>
            <w:r w:rsidRPr="00B6634F">
              <w:t>s</w:t>
            </w:r>
            <w:r w:rsidRPr="00792D61">
              <w:rPr>
                <w:b/>
              </w:rPr>
              <w:t>]</w:t>
            </w:r>
            <w:r w:rsidRPr="00B6634F">
              <w:t xml:space="preserve"> </w:t>
            </w:r>
            <w:r w:rsidRPr="00792D61">
              <w:rPr>
                <w:b/>
              </w:rPr>
              <w:t>[</w:t>
            </w:r>
            <w:r w:rsidRPr="00B6634F">
              <w:t>"Assignable Loan"</w:t>
            </w:r>
            <w:r w:rsidRPr="00792D61">
              <w:rPr>
                <w:b/>
              </w:rPr>
              <w:t>][</w:t>
            </w:r>
            <w:r>
              <w:t>and</w:t>
            </w:r>
            <w:r w:rsidRPr="00792D61">
              <w:rPr>
                <w:b/>
              </w:rPr>
              <w:t>][</w:t>
            </w:r>
            <w:r w:rsidRPr="00B6634F">
              <w:t>"Consent Required Loan"</w:t>
            </w:r>
            <w:r w:rsidRPr="00792D61">
              <w:rPr>
                <w:b/>
              </w:rPr>
              <w:t>]</w:t>
            </w:r>
            <w:r w:rsidRPr="00B6634F">
              <w:t xml:space="preserve"> </w:t>
            </w:r>
            <w:r>
              <w:rPr>
                <w:b/>
              </w:rPr>
              <w:t>[</w:t>
            </w:r>
            <w:r>
              <w:t>is</w:t>
            </w:r>
            <w:r>
              <w:rPr>
                <w:b/>
              </w:rPr>
              <w:t>][</w:t>
            </w:r>
            <w:r>
              <w:t>are</w:t>
            </w:r>
            <w:r>
              <w:rPr>
                <w:b/>
              </w:rPr>
              <w:t xml:space="preserve">] </w:t>
            </w:r>
            <w:r w:rsidR="00EB3FD4">
              <w:t>satisfied</w:t>
            </w:r>
            <w:r>
              <w:t xml:space="preserve"> </w:t>
            </w:r>
            <w:r w:rsidRPr="00B6634F">
              <w:t>only with respect to</w:t>
            </w:r>
            <w:r>
              <w:t xml:space="preserve"> Obligations that are</w:t>
            </w:r>
            <w:r w:rsidRPr="00B6634F">
              <w:t xml:space="preserve"> Loans.</w:t>
            </w:r>
            <w:r w:rsidRPr="00792D61">
              <w:rPr>
                <w:b/>
              </w:rPr>
              <w:t>]</w:t>
            </w:r>
            <w:r w:rsidRPr="00B6634F">
              <w:t xml:space="preserve"> </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rsidP="00EB3FD4">
            <w:pPr>
              <w:pStyle w:val="CSBody8pt"/>
              <w:rPr>
                <w:lang w:val="de-DE"/>
              </w:rPr>
            </w:pPr>
            <w:r w:rsidRPr="00792D61">
              <w:rPr>
                <w:b/>
                <w:lang w:val="de-DE"/>
              </w:rPr>
              <w:t>[</w:t>
            </w:r>
            <w:r w:rsidRPr="00EE12EE">
              <w:rPr>
                <w:b/>
                <w:i/>
                <w:lang w:val="de-DE"/>
              </w:rPr>
              <w:t xml:space="preserve">Falls in Ziffer 1.1 der Emissionsbedingungen "Abtretbares Darlehen" </w:t>
            </w:r>
            <w:r>
              <w:rPr>
                <w:b/>
                <w:i/>
                <w:lang w:val="de-DE"/>
              </w:rPr>
              <w:t>und/</w:t>
            </w:r>
            <w:r w:rsidRPr="00EE12EE">
              <w:rPr>
                <w:b/>
                <w:i/>
                <w:lang w:val="de-DE"/>
              </w:rPr>
              <w:t>oder "Darlehen mit Zustimmungserfordernis" als Merkmal für Bewertungsverbindlichkeiten angegeben ist, einfügen:</w:t>
            </w:r>
            <w:r w:rsidRPr="00A66207">
              <w:rPr>
                <w:lang w:val="de-DE"/>
              </w:rPr>
              <w:t xml:space="preserve"> </w:t>
            </w:r>
            <w:r>
              <w:rPr>
                <w:b/>
                <w:lang w:val="de-DE"/>
              </w:rPr>
              <w:t>[</w:t>
            </w:r>
            <w:r>
              <w:rPr>
                <w:lang w:val="de-DE"/>
              </w:rPr>
              <w:t>D</w:t>
            </w:r>
            <w:r w:rsidRPr="00A66207">
              <w:rPr>
                <w:lang w:val="de-DE"/>
              </w:rPr>
              <w:t>as Merkmal</w:t>
            </w:r>
            <w:r w:rsidRPr="00792D61">
              <w:rPr>
                <w:b/>
                <w:lang w:val="de-DE"/>
              </w:rPr>
              <w:t>][</w:t>
            </w:r>
            <w:r>
              <w:rPr>
                <w:lang w:val="de-DE"/>
              </w:rPr>
              <w:t>D</w:t>
            </w:r>
            <w:r w:rsidRPr="00A66207">
              <w:rPr>
                <w:lang w:val="de-DE"/>
              </w:rPr>
              <w:t>ie Merkmale</w:t>
            </w:r>
            <w:r w:rsidRPr="00792D61">
              <w:rPr>
                <w:b/>
                <w:lang w:val="de-DE"/>
              </w:rPr>
              <w:t>]</w:t>
            </w:r>
            <w:r w:rsidRPr="00A66207">
              <w:rPr>
                <w:lang w:val="de-DE"/>
              </w:rPr>
              <w:t xml:space="preserve"> der Bewertungsverbindlichkeit </w:t>
            </w:r>
            <w:r w:rsidRPr="00792D61">
              <w:rPr>
                <w:b/>
                <w:lang w:val="de-DE"/>
              </w:rPr>
              <w:t>[</w:t>
            </w:r>
            <w:r w:rsidRPr="00A66207">
              <w:rPr>
                <w:lang w:val="de-DE"/>
              </w:rPr>
              <w:t>"Abtretbares Darlehen"</w:t>
            </w:r>
            <w:r w:rsidRPr="00792D61">
              <w:rPr>
                <w:b/>
                <w:lang w:val="de-DE"/>
              </w:rPr>
              <w:t>][</w:t>
            </w:r>
            <w:r>
              <w:rPr>
                <w:lang w:val="de-DE"/>
              </w:rPr>
              <w:t>und</w:t>
            </w:r>
            <w:r w:rsidRPr="00792D61">
              <w:rPr>
                <w:b/>
                <w:lang w:val="de-DE"/>
              </w:rPr>
              <w:t>][</w:t>
            </w:r>
            <w:r w:rsidRPr="00A66207">
              <w:rPr>
                <w:lang w:val="de-DE"/>
              </w:rPr>
              <w:t>"Darlehen mit Zustimmungserfordernis"</w:t>
            </w:r>
            <w:r w:rsidRPr="00792D61">
              <w:rPr>
                <w:b/>
                <w:lang w:val="de-DE"/>
              </w:rPr>
              <w:t>]</w:t>
            </w:r>
            <w:r>
              <w:rPr>
                <w:b/>
                <w:lang w:val="de-DE"/>
              </w:rPr>
              <w:t xml:space="preserve"> [</w:t>
            </w:r>
            <w:r>
              <w:rPr>
                <w:lang w:val="de-DE"/>
              </w:rPr>
              <w:t>muss</w:t>
            </w:r>
            <w:r>
              <w:rPr>
                <w:b/>
                <w:lang w:val="de-DE"/>
              </w:rPr>
              <w:t>][</w:t>
            </w:r>
            <w:r>
              <w:rPr>
                <w:lang w:val="de-DE"/>
              </w:rPr>
              <w:t>müssen</w:t>
            </w:r>
            <w:r>
              <w:rPr>
                <w:b/>
                <w:lang w:val="de-DE"/>
              </w:rPr>
              <w:t>]</w:t>
            </w:r>
            <w:r w:rsidRPr="00A66207">
              <w:rPr>
                <w:lang w:val="de-DE"/>
              </w:rPr>
              <w:t xml:space="preserve"> nur </w:t>
            </w:r>
            <w:r w:rsidRPr="00771867">
              <w:rPr>
                <w:lang w:val="de-DE"/>
              </w:rPr>
              <w:t xml:space="preserve">bezüglich Verbindlichkeiten </w:t>
            </w:r>
            <w:r w:rsidR="00EB3FD4">
              <w:rPr>
                <w:lang w:val="de-DE"/>
              </w:rPr>
              <w:t>erfüllt</w:t>
            </w:r>
            <w:r w:rsidRPr="00771867" w:rsidR="00EB3FD4">
              <w:rPr>
                <w:lang w:val="de-DE"/>
              </w:rPr>
              <w:t xml:space="preserve"> </w:t>
            </w:r>
            <w:r w:rsidRPr="00771867">
              <w:rPr>
                <w:lang w:val="de-DE"/>
              </w:rPr>
              <w:t>werden</w:t>
            </w:r>
            <w:r>
              <w:rPr>
                <w:lang w:val="de-DE"/>
              </w:rPr>
              <w:t>, bei denen es sich um Darlehen handelt</w:t>
            </w:r>
            <w:r w:rsidRPr="00A66207">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P="00714D55">
            <w:pPr>
              <w:pStyle w:val="CSBody8pt"/>
            </w:pPr>
            <w:r w:rsidRPr="00792D61">
              <w:rPr>
                <w:b/>
              </w:rPr>
              <w:t>[</w:t>
            </w:r>
            <w:r w:rsidRPr="00EE12EE">
              <w:rPr>
                <w:b/>
                <w:i/>
              </w:rPr>
              <w:t xml:space="preserve">If </w:t>
            </w:r>
            <w:r>
              <w:rPr>
                <w:b/>
                <w:i/>
              </w:rPr>
              <w:t>both</w:t>
            </w:r>
            <w:r w:rsidRPr="00EE12EE">
              <w:rPr>
                <w:b/>
                <w:i/>
              </w:rPr>
              <w:t xml:space="preserve"> "Assignable Loan" and "Consent Required Loan" are specified as Valuation Obligation Characteristics in Section 1.1, insert:</w:t>
            </w:r>
            <w:r w:rsidRPr="00B6634F">
              <w:t xml:space="preserve"> </w:t>
            </w:r>
            <w:r>
              <w:t xml:space="preserve">In case of Obligations which are Loans, it is sufficient that such Obligations </w:t>
            </w:r>
            <w:r w:rsidRPr="00B6634F">
              <w:t>satisf</w:t>
            </w:r>
            <w:r>
              <w:t>y</w:t>
            </w:r>
            <w:r w:rsidRPr="00B6634F">
              <w:t xml:space="preserve"> </w:t>
            </w:r>
            <w:r w:rsidR="00E24299">
              <w:t>either</w:t>
            </w:r>
            <w:r w:rsidRPr="00B6634F">
              <w:t xml:space="preserve"> of the Valuation Obligation Characteristics "Assignable Loan"</w:t>
            </w:r>
            <w:r w:rsidR="008C63A3">
              <w:t xml:space="preserve"> </w:t>
            </w:r>
            <w:r w:rsidRPr="00B6634F">
              <w:t>or</w:t>
            </w:r>
            <w:r w:rsidR="008C63A3">
              <w:t xml:space="preserve"> </w:t>
            </w:r>
            <w:r w:rsidRPr="00B6634F">
              <w:t>"Consent Required Loan"</w:t>
            </w:r>
            <w:r>
              <w:t xml:space="preserve">, </w:t>
            </w:r>
            <w:r w:rsidR="00E24299">
              <w:t>i.e.</w:t>
            </w:r>
            <w:r>
              <w:t xml:space="preserve">, it is not necessary for such Obligations to </w:t>
            </w:r>
            <w:r w:rsidRPr="00B6634F">
              <w:t xml:space="preserve">satisfy </w:t>
            </w:r>
            <w:r w:rsidR="007327EE">
              <w:t>both</w:t>
            </w:r>
            <w:r w:rsidRPr="00B6634F" w:rsidR="007327EE">
              <w:t xml:space="preserve"> </w:t>
            </w:r>
            <w:r w:rsidRPr="00B6634F">
              <w:t>Valuation Obligation Characteristics.</w:t>
            </w:r>
            <w:r w:rsidRPr="00792D61">
              <w:rPr>
                <w:b/>
              </w:rPr>
              <w:t>]</w:t>
            </w:r>
          </w:p>
        </w:tc>
        <w:tc>
          <w:tcPr>
            <w:tcW w:w="1618" w:type="dxa"/>
            <w:gridSpan w:val="2"/>
            <w:tcBorders>
              <w:top w:val="nil"/>
              <w:bottom w:val="nil"/>
              <w:right w:val="nil"/>
            </w:tcBorders>
            <w:shd w:val="clear" w:color="auto" w:fill="auto"/>
          </w:tcPr>
          <w:p w:rsidR="0017135D" w:rsidRPr="00A66207" w:rsidP="00E46A2C">
            <w:pPr>
              <w:pStyle w:val="CSBody8pt"/>
              <w:rPr>
                <w:i/>
              </w:rPr>
            </w:pPr>
          </w:p>
        </w:tc>
        <w:tc>
          <w:tcPr>
            <w:tcW w:w="3318" w:type="dxa"/>
            <w:tcBorders>
              <w:top w:val="nil"/>
              <w:left w:val="nil"/>
              <w:bottom w:val="nil"/>
              <w:right w:val="nil"/>
            </w:tcBorders>
            <w:shd w:val="clear" w:color="auto" w:fill="auto"/>
          </w:tcPr>
          <w:p w:rsidR="0017135D" w:rsidRPr="00A66207">
            <w:pPr>
              <w:pStyle w:val="CSBody8pt"/>
              <w:rPr>
                <w:lang w:val="de-DE"/>
              </w:rPr>
            </w:pPr>
            <w:r w:rsidRPr="00792D61">
              <w:rPr>
                <w:b/>
                <w:lang w:val="de-DE"/>
              </w:rPr>
              <w:t>[</w:t>
            </w:r>
            <w:r w:rsidRPr="00EE12EE">
              <w:rPr>
                <w:b/>
                <w:i/>
                <w:lang w:val="de-DE"/>
              </w:rPr>
              <w:t xml:space="preserve">Falls </w:t>
            </w:r>
            <w:r>
              <w:rPr>
                <w:b/>
                <w:i/>
                <w:lang w:val="de-DE"/>
              </w:rPr>
              <w:t>sowohl</w:t>
            </w:r>
            <w:r w:rsidRPr="00EE12EE">
              <w:rPr>
                <w:b/>
                <w:i/>
                <w:lang w:val="de-DE"/>
              </w:rPr>
              <w:t xml:space="preserve"> "Abtretbares Darlehen" </w:t>
            </w:r>
            <w:r>
              <w:rPr>
                <w:b/>
                <w:i/>
                <w:lang w:val="de-DE"/>
              </w:rPr>
              <w:t>als auch</w:t>
            </w:r>
            <w:r w:rsidRPr="00EE12EE">
              <w:rPr>
                <w:b/>
                <w:i/>
                <w:lang w:val="de-DE"/>
              </w:rPr>
              <w:t xml:space="preserve"> "Darlehen mit Zustimmungserfordernis" in Ziffer 1.1 als Merkmale der Bewertungsverbindlichkeit angegeben </w:t>
            </w:r>
            <w:r>
              <w:rPr>
                <w:b/>
                <w:i/>
                <w:lang w:val="de-DE"/>
              </w:rPr>
              <w:t>sind</w:t>
            </w:r>
            <w:r w:rsidRPr="00EE12EE">
              <w:rPr>
                <w:b/>
                <w:i/>
                <w:lang w:val="de-DE"/>
              </w:rPr>
              <w:t>, einfügen:</w:t>
            </w:r>
            <w:r w:rsidRPr="00A66207">
              <w:rPr>
                <w:lang w:val="de-DE"/>
              </w:rPr>
              <w:t xml:space="preserve"> </w:t>
            </w:r>
            <w:r>
              <w:rPr>
                <w:lang w:val="de-DE"/>
              </w:rPr>
              <w:t xml:space="preserve">Bei Verbindlichkeiten, bei denen es sich um Darlehen handelt, ist es ausreichend, dass sie </w:t>
            </w:r>
            <w:r w:rsidRPr="00A66207">
              <w:rPr>
                <w:lang w:val="de-DE"/>
              </w:rPr>
              <w:t>eines der Merkmale der Bewertungsverbindlichkeit "Abtretbares Darlehen"</w:t>
            </w:r>
            <w:r w:rsidR="008C63A3">
              <w:rPr>
                <w:lang w:val="de-DE"/>
              </w:rPr>
              <w:t xml:space="preserve"> </w:t>
            </w:r>
            <w:r w:rsidRPr="00A66207">
              <w:rPr>
                <w:lang w:val="de-DE"/>
              </w:rPr>
              <w:t>oder</w:t>
            </w:r>
            <w:r w:rsidR="008C63A3">
              <w:rPr>
                <w:lang w:val="de-DE"/>
              </w:rPr>
              <w:t xml:space="preserve"> </w:t>
            </w:r>
            <w:r w:rsidRPr="00A66207">
              <w:rPr>
                <w:lang w:val="de-DE"/>
              </w:rPr>
              <w:t>"Darlehen mit Zustimmungserfordernis" erfüll</w:t>
            </w:r>
            <w:r>
              <w:rPr>
                <w:lang w:val="de-DE"/>
              </w:rPr>
              <w:t>en</w:t>
            </w:r>
            <w:r w:rsidRPr="00A66207">
              <w:rPr>
                <w:lang w:val="de-DE"/>
              </w:rPr>
              <w:t xml:space="preserve">, </w:t>
            </w:r>
            <w:r>
              <w:rPr>
                <w:lang w:val="de-DE"/>
              </w:rPr>
              <w:t>d.h.</w:t>
            </w:r>
            <w:r w:rsidRPr="00A66207">
              <w:rPr>
                <w:lang w:val="de-DE"/>
              </w:rPr>
              <w:t xml:space="preserve"> es ist nicht erforderlich, dass </w:t>
            </w:r>
            <w:r>
              <w:rPr>
                <w:lang w:val="de-DE"/>
              </w:rPr>
              <w:t xml:space="preserve">für diese Verbindlichkeiten </w:t>
            </w:r>
            <w:r w:rsidR="007327EE">
              <w:rPr>
                <w:lang w:val="de-DE"/>
              </w:rPr>
              <w:t>beide</w:t>
            </w:r>
            <w:r w:rsidRPr="00A66207" w:rsidR="007327EE">
              <w:rPr>
                <w:lang w:val="de-DE"/>
              </w:rPr>
              <w:t xml:space="preserve"> </w:t>
            </w:r>
            <w:r w:rsidRPr="00A66207">
              <w:rPr>
                <w:lang w:val="de-DE"/>
              </w:rPr>
              <w:t>Merkmale der Bewertungsverbindlichkeit erfüllt sind.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right w:val="nil"/>
            </w:tcBorders>
            <w:shd w:val="clear" w:color="auto" w:fill="auto"/>
          </w:tcPr>
          <w:p w:rsidR="0017135D" w:rsidRPr="009D08E0" w:rsidP="004C1EBA">
            <w:pPr>
              <w:pStyle w:val="CSBody8pt"/>
              <w:rPr>
                <w:lang w:val="de-DE"/>
              </w:rPr>
            </w:pPr>
          </w:p>
        </w:tc>
        <w:tc>
          <w:tcPr>
            <w:tcW w:w="3315" w:type="dxa"/>
            <w:gridSpan w:val="2"/>
            <w:tcBorders>
              <w:top w:val="nil"/>
              <w:left w:val="nil"/>
            </w:tcBorders>
            <w:shd w:val="clear" w:color="auto" w:fill="auto"/>
          </w:tcPr>
          <w:p w:rsidR="0017135D" w:rsidRPr="00C70BEB">
            <w:pPr>
              <w:pStyle w:val="CSBody8pt"/>
            </w:pPr>
            <w:r>
              <w:rPr>
                <w:b/>
              </w:rPr>
              <w:t>[</w:t>
            </w:r>
            <w:r>
              <w:rPr>
                <w:b/>
                <w:i/>
              </w:rPr>
              <w:t>if Mod R is applicable, insert:</w:t>
            </w:r>
            <w:r w:rsidR="007327EE">
              <w:t>I</w:t>
            </w:r>
            <w:r w:rsidRPr="005F7EBF" w:rsidR="007327EE">
              <w:t xml:space="preserve">f </w:t>
            </w:r>
            <w:r w:rsidRPr="005F7EBF">
              <w:t>"Restructuring" is the only Credit Event specified in a Credit Event Notice, then a</w:t>
            </w:r>
            <w:r>
              <w:t>n</w:t>
            </w:r>
            <w:r w:rsidRPr="005F7EBF">
              <w:t xml:space="preserve"> </w:t>
            </w:r>
            <w:r>
              <w:t>obligation</w:t>
            </w:r>
            <w:r w:rsidRPr="005F7EBF">
              <w:t xml:space="preserve"> may</w:t>
            </w:r>
            <w:r>
              <w:t xml:space="preserve"> </w:t>
            </w:r>
            <w:r w:rsidRPr="00792D61">
              <w:rPr>
                <w:b/>
              </w:rPr>
              <w:t>[</w:t>
            </w:r>
            <w:r w:rsidRPr="000C557A">
              <w:rPr>
                <w:b/>
                <w:i/>
              </w:rPr>
              <w:t>if "Financial Reference Entity Terms" and Asset Package Valuation apply, insert</w:t>
            </w:r>
            <w:r w:rsidRPr="005F7EBF">
              <w:t>:</w:t>
            </w:r>
            <w:r>
              <w:t>(</w:t>
            </w:r>
            <w:r w:rsidRPr="005F7EBF">
              <w:t xml:space="preserve">unless </w:t>
            </w:r>
            <w:r>
              <w:t>such obligation</w:t>
            </w:r>
            <w:r w:rsidRPr="005F7EBF">
              <w:t xml:space="preserve"> is a Prior Valuation Obligation and Asset Package Valuation applies due to Governmental Intervention</w:t>
            </w:r>
            <w:r>
              <w:t>)</w:t>
            </w:r>
            <w:r w:rsidRPr="00792D61">
              <w:rPr>
                <w:b/>
              </w:rPr>
              <w:t>]</w:t>
            </w:r>
            <w:r>
              <w:rPr>
                <w:b/>
              </w:rPr>
              <w:t xml:space="preserve"> </w:t>
            </w:r>
            <w:r w:rsidR="007327EE">
              <w:t>only be selected</w:t>
            </w:r>
            <w:r w:rsidRPr="005F7EBF" w:rsidR="007327EE">
              <w:t xml:space="preserve"> </w:t>
            </w:r>
            <w:r>
              <w:t xml:space="preserve">as Valuation Obligation </w:t>
            </w:r>
            <w:r w:rsidRPr="005F7EBF">
              <w:t xml:space="preserve">for the determination of the Final Price in relation to such Credit Event if such </w:t>
            </w:r>
            <w:r>
              <w:t>obligation</w:t>
            </w:r>
            <w:r w:rsidRPr="005F7EBF">
              <w:t xml:space="preserve"> (a) is a Fully Transferable Obligation and (b) has a final maturity date not later than the applicable Restructuring Maturity Limitation Date, in each case as of the Valuation Date.</w:t>
            </w:r>
            <w:r w:rsidRPr="00792D61">
              <w:rPr>
                <w:b/>
              </w:rPr>
              <w:t>]</w:t>
            </w:r>
          </w:p>
        </w:tc>
        <w:tc>
          <w:tcPr>
            <w:tcW w:w="1618" w:type="dxa"/>
            <w:gridSpan w:val="2"/>
            <w:tcBorders>
              <w:top w:val="nil"/>
              <w:right w:val="nil"/>
            </w:tcBorders>
            <w:shd w:val="clear" w:color="auto" w:fill="auto"/>
          </w:tcPr>
          <w:p w:rsidR="0017135D" w:rsidRPr="009D08E0" w:rsidP="004C1EBA">
            <w:pPr>
              <w:pStyle w:val="CSBody8pt"/>
            </w:pPr>
          </w:p>
        </w:tc>
        <w:tc>
          <w:tcPr>
            <w:tcW w:w="3318" w:type="dxa"/>
            <w:tcBorders>
              <w:top w:val="nil"/>
              <w:left w:val="nil"/>
              <w:right w:val="nil"/>
            </w:tcBorders>
            <w:shd w:val="clear" w:color="auto" w:fill="auto"/>
          </w:tcPr>
          <w:p w:rsidR="0017135D" w:rsidRPr="00926334" w:rsidP="007327EE">
            <w:pPr>
              <w:pStyle w:val="CSBody8pt"/>
              <w:rPr>
                <w:bCs/>
                <w:lang w:val="de-DE"/>
              </w:rPr>
            </w:pPr>
            <w:r>
              <w:rPr>
                <w:b/>
                <w:bCs/>
                <w:lang w:val="de-DE"/>
              </w:rPr>
              <w:t>[</w:t>
            </w:r>
            <w:r>
              <w:rPr>
                <w:b/>
                <w:bCs/>
                <w:i/>
                <w:lang w:val="de-DE"/>
              </w:rPr>
              <w:t>falls Mod R anwendbar ist, einfügen:</w:t>
            </w:r>
            <w:r w:rsidR="007327EE">
              <w:rPr>
                <w:b/>
                <w:bCs/>
                <w:i/>
                <w:lang w:val="de-DE"/>
              </w:rPr>
              <w:t>F</w:t>
            </w:r>
            <w:r w:rsidRPr="00926334">
              <w:rPr>
                <w:bCs/>
                <w:lang w:val="de-DE"/>
              </w:rPr>
              <w:t xml:space="preserve">alls "Restrukturierung" in der übermittelten Kreditereignismitteilung als einziges Kredit-ereignis angegeben ist, kann eine </w:t>
            </w:r>
            <w:r>
              <w:rPr>
                <w:bCs/>
                <w:lang w:val="de-DE"/>
              </w:rPr>
              <w:t>Verbindlichkeit</w:t>
            </w:r>
            <w:r w:rsidRPr="00926334">
              <w:rPr>
                <w:bCs/>
                <w:lang w:val="de-DE"/>
              </w:rPr>
              <w:t xml:space="preserve"> </w:t>
            </w:r>
            <w:r w:rsidRPr="00792D61">
              <w:rPr>
                <w:b/>
                <w:bCs/>
                <w:lang w:val="de-DE"/>
              </w:rPr>
              <w:t>[</w:t>
            </w:r>
            <w:r w:rsidRPr="000C557A">
              <w:rPr>
                <w:b/>
                <w:bCs/>
                <w:i/>
                <w:lang w:val="de-DE"/>
              </w:rPr>
              <w:t>falls "Bedingungen für Finanzinstitute als Referenzschuldner" und Asset-Paket-Bewertung anwendbar sind, einfügen</w:t>
            </w:r>
            <w:r w:rsidRPr="00926334">
              <w:rPr>
                <w:bCs/>
                <w:lang w:val="de-DE"/>
              </w:rPr>
              <w:t xml:space="preserve">: </w:t>
            </w:r>
            <w:r>
              <w:rPr>
                <w:bCs/>
                <w:lang w:val="de-DE"/>
              </w:rPr>
              <w:t>(</w:t>
            </w:r>
            <w:r w:rsidRPr="00926334">
              <w:rPr>
                <w:bCs/>
                <w:lang w:val="de-DE"/>
              </w:rPr>
              <w:t>es sei denn, die</w:t>
            </w:r>
            <w:r>
              <w:rPr>
                <w:bCs/>
                <w:lang w:val="de-DE"/>
              </w:rPr>
              <w:t>se Verbindlichkeit ist eine Frühere Bewertungsverbindlichkeit</w:t>
            </w:r>
            <w:r w:rsidRPr="00926334">
              <w:rPr>
                <w:bCs/>
                <w:lang w:val="de-DE"/>
              </w:rPr>
              <w:t xml:space="preserve"> und Asset-Paket-Bewertung ist aufgrund einer Staatlichen Intervention anwendbar</w:t>
            </w:r>
            <w:r>
              <w:rPr>
                <w:bCs/>
                <w:lang w:val="de-DE"/>
              </w:rPr>
              <w:t>)</w:t>
            </w:r>
            <w:r w:rsidRPr="00792D61">
              <w:rPr>
                <w:b/>
                <w:bCs/>
                <w:lang w:val="de-DE"/>
              </w:rPr>
              <w:t>]</w:t>
            </w:r>
            <w:r w:rsidRPr="00BD6E0D" w:rsidR="007327EE">
              <w:rPr>
                <w:lang w:val="de-DE"/>
              </w:rPr>
              <w:t xml:space="preserve"> </w:t>
            </w:r>
            <w:r w:rsidRPr="00BD6E0D" w:rsidR="007327EE">
              <w:rPr>
                <w:bCs/>
                <w:lang w:val="de-DE"/>
              </w:rPr>
              <w:t>nur dann als Bewertungsverbindlichkeit für die Zwecke der Ermittlung des Endpreises in Bezug auf dieses Kreditereignis ausgewählt werden</w:t>
            </w:r>
            <w:r w:rsidRPr="00926334">
              <w:rPr>
                <w:bCs/>
                <w:lang w:val="de-DE"/>
              </w:rPr>
              <w:t>, wenn jeweils am Bewertungstag folgende Bedingungen erfüllt sind: (a) sie ist eine Frei Übertragbare Verbindlichkeit und (b) ihr Endfälligkeitstermin liegt nicht nach dem jeweiligen Laufzeitbeschränkungstag bei Restrukturierung.</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A66207" w:rsidP="00E46A2C">
            <w:pPr>
              <w:pStyle w:val="CSBody8pt"/>
              <w:rPr>
                <w:lang w:val="de-DE"/>
              </w:rPr>
            </w:pPr>
          </w:p>
        </w:tc>
        <w:tc>
          <w:tcPr>
            <w:tcW w:w="3315" w:type="dxa"/>
            <w:gridSpan w:val="2"/>
            <w:tcBorders>
              <w:top w:val="nil"/>
              <w:left w:val="nil"/>
              <w:bottom w:val="nil"/>
            </w:tcBorders>
            <w:shd w:val="clear" w:color="auto" w:fill="auto"/>
          </w:tcPr>
          <w:p w:rsidR="0017135D" w:rsidRPr="00942F00" w:rsidP="007327EE">
            <w:pPr>
              <w:pStyle w:val="CSBody8pt"/>
            </w:pPr>
            <w:r w:rsidRPr="00942F00">
              <w:rPr>
                <w:b/>
              </w:rPr>
              <w:t>[</w:t>
            </w:r>
            <w:r w:rsidRPr="00942F00">
              <w:rPr>
                <w:b/>
                <w:i/>
              </w:rPr>
              <w:t xml:space="preserve">if Mod Mod R is applicable, insert: </w:t>
            </w:r>
            <w:r w:rsidRPr="00942F00">
              <w:t xml:space="preserve">Furthermore, if "Restructuring" is the only Credit Event specified in a Credit Event Notice, then an obligation may </w:t>
            </w:r>
            <w:r w:rsidRPr="00942F00">
              <w:rPr>
                <w:b/>
              </w:rPr>
              <w:t>[</w:t>
            </w:r>
            <w:r w:rsidRPr="00942F00">
              <w:rPr>
                <w:b/>
                <w:i/>
              </w:rPr>
              <w:t>if a "Financial Reference Entity Terms" and Asset Package Valuation apply, insert:</w:t>
            </w:r>
            <w:r w:rsidRPr="00942F00">
              <w:t xml:space="preserve"> (unless such obligation is a Prior Valuation Obligation and Asset Package Valuation applies due to a Governmental Intervention)</w:t>
            </w:r>
            <w:r w:rsidRPr="00942F00">
              <w:rPr>
                <w:b/>
              </w:rPr>
              <w:t>]</w:t>
            </w:r>
            <w:r w:rsidRPr="00942F00">
              <w:t xml:space="preserve"> </w:t>
            </w:r>
            <w:r w:rsidRPr="00942F00" w:rsidR="007327EE">
              <w:t xml:space="preserve">only be </w:t>
            </w:r>
            <w:r w:rsidR="007327EE">
              <w:t>selected</w:t>
            </w:r>
            <w:r w:rsidRPr="00942F00" w:rsidR="007327EE">
              <w:t xml:space="preserve"> </w:t>
            </w:r>
            <w:r w:rsidRPr="00942F00">
              <w:t>as Valuation Obligation for the determination of the Final Price in relation to such Credit Event if such obligation (a) is a Conditionally Transferable Obligation and (b) has a final maturity date not later than the applicable Modified Restructuring Maturity Limitation Date, in each case as of the Valuation Date. Notwithstanding the foregoing, in the case of a Restructured Bond or Loan with a final maturity date on or prior to the 10-year-Limitation Date, the final maturity date of such Bond or Loan shall be deemed to be the earlier of such final maturity date or the final maturity date of such Bond or Loan immediately prior to the relevant Restructuring.</w:t>
            </w:r>
            <w:r w:rsidRPr="00942F00">
              <w:rPr>
                <w:b/>
              </w:rPr>
              <w:t>]</w:t>
            </w:r>
          </w:p>
        </w:tc>
        <w:tc>
          <w:tcPr>
            <w:tcW w:w="1618" w:type="dxa"/>
            <w:gridSpan w:val="2"/>
            <w:tcBorders>
              <w:top w:val="nil"/>
              <w:bottom w:val="nil"/>
              <w:right w:val="nil"/>
            </w:tcBorders>
            <w:shd w:val="clear" w:color="auto" w:fill="auto"/>
          </w:tcPr>
          <w:p w:rsidR="0017135D" w:rsidRPr="00942F00" w:rsidP="00E46A2C">
            <w:pPr>
              <w:pStyle w:val="CSBody8pt"/>
              <w:rPr>
                <w:i/>
              </w:rPr>
            </w:pPr>
          </w:p>
        </w:tc>
        <w:tc>
          <w:tcPr>
            <w:tcW w:w="3318" w:type="dxa"/>
            <w:tcBorders>
              <w:top w:val="nil"/>
              <w:left w:val="nil"/>
              <w:bottom w:val="nil"/>
              <w:right w:val="nil"/>
            </w:tcBorders>
            <w:shd w:val="clear" w:color="auto" w:fill="auto"/>
          </w:tcPr>
          <w:p w:rsidR="0017135D" w:rsidRPr="00A66207">
            <w:pPr>
              <w:pStyle w:val="CSBody8pt"/>
              <w:rPr>
                <w:lang w:val="de-DE"/>
              </w:rPr>
            </w:pPr>
            <w:r w:rsidRPr="00942F00">
              <w:rPr>
                <w:b/>
                <w:bCs/>
                <w:lang w:val="de-DE"/>
              </w:rPr>
              <w:t>[</w:t>
            </w:r>
            <w:r w:rsidRPr="00942F00">
              <w:rPr>
                <w:b/>
                <w:bCs/>
                <w:i/>
                <w:lang w:val="de-DE"/>
              </w:rPr>
              <w:t xml:space="preserve">falls Mod Mod R anwendbar ist, einfügen: </w:t>
            </w:r>
            <w:r w:rsidRPr="00942F00">
              <w:rPr>
                <w:bCs/>
                <w:lang w:val="de-DE"/>
              </w:rPr>
              <w:t xml:space="preserve">Zudem gilt für den Fall, dass "Restrukturierung" in einer Kredit-ereignismitteilung als einziges Kreditereignis angegeben ist, eine Verbindlichkeit </w:t>
            </w:r>
            <w:r w:rsidRPr="00942F00">
              <w:rPr>
                <w:b/>
                <w:bCs/>
                <w:lang w:val="de-DE"/>
              </w:rPr>
              <w:t>[</w:t>
            </w:r>
            <w:r w:rsidRPr="00942F00">
              <w:rPr>
                <w:b/>
                <w:bCs/>
                <w:i/>
                <w:lang w:val="de-DE"/>
              </w:rPr>
              <w:t>falls "Bedingungen für Finanzinstitute als Referenzschuldner" und Asset-Paket-Bewertung anwendbar sind, einfügen</w:t>
            </w:r>
            <w:r w:rsidRPr="00942F00">
              <w:rPr>
                <w:bCs/>
                <w:lang w:val="de-DE"/>
              </w:rPr>
              <w:t>: (es sei denn, diese Verbindlichkeit ist eine Frühere Bewertungsverbindlichkeit und Asset-Paket-Bewertung ist aufgrund einer Staatlichen Intervention anwendbar)</w:t>
            </w:r>
            <w:r w:rsidRPr="00942F00">
              <w:rPr>
                <w:b/>
                <w:bCs/>
                <w:lang w:val="de-DE"/>
              </w:rPr>
              <w:t>]</w:t>
            </w:r>
            <w:r w:rsidRPr="00BD6E0D" w:rsidR="007327EE">
              <w:rPr>
                <w:lang w:val="de-DE"/>
              </w:rPr>
              <w:t xml:space="preserve"> </w:t>
            </w:r>
            <w:r w:rsidRPr="00BD6E0D" w:rsidR="007327EE">
              <w:rPr>
                <w:bCs/>
                <w:lang w:val="de-DE"/>
              </w:rPr>
              <w:t xml:space="preserve">nur dann als Bewertungsverbindlichkeit für die Zwecke der Ermittlung des Endpreises in Bezug auf dieses Kreditereignis </w:t>
            </w:r>
            <w:r w:rsidR="007327EE">
              <w:rPr>
                <w:bCs/>
                <w:lang w:val="de-DE"/>
              </w:rPr>
              <w:t>ausgewählt</w:t>
            </w:r>
            <w:r w:rsidRPr="00BD6E0D" w:rsidR="007327EE">
              <w:rPr>
                <w:bCs/>
                <w:lang w:val="de-DE"/>
              </w:rPr>
              <w:t xml:space="preserve"> werden</w:t>
            </w:r>
            <w:r w:rsidRPr="007327EE">
              <w:rPr>
                <w:bCs/>
                <w:lang w:val="de-DE"/>
              </w:rPr>
              <w:t>,</w:t>
            </w:r>
            <w:r w:rsidRPr="00942F00">
              <w:rPr>
                <w:bCs/>
                <w:lang w:val="de-DE"/>
              </w:rPr>
              <w:t xml:space="preserve"> wenn diese Verbindlichkeit jeweils am Bewertungstag (a) eine </w:t>
            </w:r>
            <w:r w:rsidR="00803C6C">
              <w:rPr>
                <w:bCs/>
                <w:lang w:val="de-DE"/>
              </w:rPr>
              <w:t>B</w:t>
            </w:r>
            <w:r w:rsidRPr="00942F00" w:rsidR="00803C6C">
              <w:rPr>
                <w:bCs/>
                <w:lang w:val="de-DE"/>
              </w:rPr>
              <w:t xml:space="preserve">edingt </w:t>
            </w:r>
            <w:r w:rsidRPr="00942F00">
              <w:rPr>
                <w:bCs/>
                <w:lang w:val="de-DE"/>
              </w:rPr>
              <w:t>Übertragbare Verbindlichkeit ist und (b) ihr Endfälligkeitstermin nicht nach dem jeweiligen Modifizierten Laufzeitbeschränkungstag bei Restrukturierung liegt. Ungeachtet der vorstehenden Bestimmungen gilt im Falle einer Restrukturierten Anleihe bzw.eines Restrukturierten Darlehens mit einem Endfälligkeitstermin am oder vor dem 10-Jahre-Beschränkungstag der frühere der beiden folgenden Termine als der Endfälligkeitstermin: der genannte Endfälligkeitstermin oder der der betreffenden Restrukturierung unmittelbar vorhergehende Endfälligkeitstermin der jeweiligen Anleihe bzw. des jeweiligen Darlehens.</w:t>
            </w:r>
            <w:r w:rsidRPr="00942F00">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72B0B" w:rsidP="00E46A2C">
            <w:pPr>
              <w:pStyle w:val="CSBody8pt"/>
            </w:pPr>
            <w:r w:rsidRPr="00572B0B">
              <w:t>Valuation Obligation Category</w:t>
            </w:r>
            <w:r>
              <w:fldChar w:fldCharType="begin"/>
            </w:r>
            <w:r>
              <w:instrText xml:space="preserve"> XE "</w:instrText>
            </w:r>
            <w:r w:rsidRPr="00AC3C1B">
              <w:instrText>Valuation Obligation Category</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572B0B" w:rsidP="00E46A2C">
            <w:pPr>
              <w:pStyle w:val="CSBody8pt"/>
            </w:pPr>
            <w:r w:rsidRPr="00572B0B">
              <w:t>has the meaning assigned to such term in subsection C.5 of Section 1.1.</w:t>
            </w:r>
          </w:p>
        </w:tc>
        <w:tc>
          <w:tcPr>
            <w:tcW w:w="1618" w:type="dxa"/>
            <w:gridSpan w:val="2"/>
            <w:tcBorders>
              <w:top w:val="nil"/>
              <w:bottom w:val="nil"/>
              <w:right w:val="nil"/>
            </w:tcBorders>
            <w:shd w:val="clear" w:color="auto" w:fill="auto"/>
          </w:tcPr>
          <w:p w:rsidR="0017135D" w:rsidRPr="00572B0B" w:rsidP="00FC7CBB">
            <w:pPr>
              <w:pStyle w:val="CSBody8pt"/>
            </w:pPr>
            <w:r w:rsidRPr="00572B0B">
              <w:t>Kategorie der Bewertungsverbindlichkeiten</w:t>
            </w:r>
            <w:r>
              <w:fldChar w:fldCharType="begin"/>
            </w:r>
            <w:r>
              <w:instrText xml:space="preserve"> XE "</w:instrText>
            </w:r>
            <w:r w:rsidRPr="007664D1">
              <w:instrText>Kategorie der Bewertungsverbindlichkeiten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572B0B" w:rsidP="00E46A2C">
            <w:pPr>
              <w:pStyle w:val="CSBody8pt"/>
              <w:rPr>
                <w:lang w:val="de-DE"/>
              </w:rPr>
            </w:pPr>
            <w:r w:rsidRPr="00572B0B">
              <w:rPr>
                <w:lang w:val="de-DE"/>
              </w:rPr>
              <w:t>hat die diesem Begriff in Unterabschnitt C.5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72B0B" w:rsidP="00E46A2C">
            <w:pPr>
              <w:pStyle w:val="CSBody8pt"/>
            </w:pPr>
            <w:r w:rsidRPr="00572B0B">
              <w:t>Valuation Obligation Characteristics</w:t>
            </w:r>
            <w:r>
              <w:fldChar w:fldCharType="begin"/>
            </w:r>
            <w:r>
              <w:instrText xml:space="preserve"> XE "</w:instrText>
            </w:r>
            <w:r w:rsidRPr="00986AE1">
              <w:instrText>Valuation Obligation Characteristics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572B0B" w:rsidP="00E46A2C">
            <w:pPr>
              <w:pStyle w:val="CSBody8pt"/>
            </w:pPr>
            <w:r w:rsidRPr="00572B0B">
              <w:t>has the meaning assigned to such term in subsection C.5 of Section 1.1.</w:t>
            </w:r>
          </w:p>
        </w:tc>
        <w:tc>
          <w:tcPr>
            <w:tcW w:w="1618" w:type="dxa"/>
            <w:gridSpan w:val="2"/>
            <w:tcBorders>
              <w:top w:val="nil"/>
              <w:bottom w:val="nil"/>
              <w:right w:val="nil"/>
            </w:tcBorders>
            <w:shd w:val="clear" w:color="auto" w:fill="auto"/>
          </w:tcPr>
          <w:p w:rsidR="0017135D" w:rsidRPr="00572B0B" w:rsidP="00FC7CBB">
            <w:pPr>
              <w:pStyle w:val="CSBody8pt"/>
            </w:pPr>
            <w:r w:rsidRPr="00572B0B">
              <w:t>Merkmale für Bewertungsverbindlichkeiten</w:t>
            </w:r>
            <w:r>
              <w:fldChar w:fldCharType="begin"/>
            </w:r>
            <w:r>
              <w:instrText xml:space="preserve"> XE "</w:instrText>
            </w:r>
            <w:r w:rsidRPr="006F1A1F">
              <w:instrText>Merkmale für Bewertungsverbindlichkeiten</w:instrText>
            </w:r>
            <w:r>
              <w:instrText xml:space="preserve">" </w:instrText>
            </w:r>
            <w:r>
              <w:fldChar w:fldCharType="end"/>
            </w:r>
          </w:p>
        </w:tc>
        <w:tc>
          <w:tcPr>
            <w:tcW w:w="3318" w:type="dxa"/>
            <w:tcBorders>
              <w:top w:val="nil"/>
              <w:left w:val="nil"/>
              <w:bottom w:val="nil"/>
              <w:right w:val="nil"/>
            </w:tcBorders>
            <w:shd w:val="clear" w:color="auto" w:fill="auto"/>
          </w:tcPr>
          <w:p w:rsidR="0017135D" w:rsidRPr="00A66207" w:rsidP="00E46A2C">
            <w:pPr>
              <w:pStyle w:val="CSBody8pt"/>
              <w:rPr>
                <w:lang w:val="de-DE"/>
              </w:rPr>
            </w:pPr>
            <w:r w:rsidRPr="00572B0B">
              <w:rPr>
                <w:lang w:val="de-DE"/>
              </w:rPr>
              <w:t>hat die diesem Begriff in Unterabschnitt C.5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72B0B" w:rsidP="00E46A2C">
            <w:pPr>
              <w:pStyle w:val="CSBody8pt"/>
            </w:pPr>
            <w:r w:rsidRPr="00572B0B">
              <w:t>Valuation Time</w:t>
            </w:r>
            <w:r>
              <w:fldChar w:fldCharType="begin"/>
            </w:r>
            <w:r>
              <w:instrText xml:space="preserve"> XE "</w:instrText>
            </w:r>
            <w:r w:rsidRPr="00491575">
              <w:instrText>Valuation Time</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572B0B" w:rsidP="00E46A2C">
            <w:pPr>
              <w:pStyle w:val="CSBody8pt"/>
            </w:pPr>
            <w:r w:rsidRPr="00572B0B">
              <w:t>has the meaning assigned to such term in subsection C.5 of Section 1.1.</w:t>
            </w:r>
          </w:p>
        </w:tc>
        <w:tc>
          <w:tcPr>
            <w:tcW w:w="1618" w:type="dxa"/>
            <w:gridSpan w:val="2"/>
            <w:tcBorders>
              <w:top w:val="nil"/>
              <w:bottom w:val="nil"/>
              <w:right w:val="nil"/>
            </w:tcBorders>
            <w:shd w:val="clear" w:color="auto" w:fill="auto"/>
          </w:tcPr>
          <w:p w:rsidR="0017135D" w:rsidRPr="00572B0B" w:rsidP="00FC7CBB">
            <w:pPr>
              <w:pStyle w:val="CSBody8pt"/>
            </w:pPr>
            <w:r w:rsidRPr="00572B0B">
              <w:t>Bewertungszeitpunkt</w:t>
            </w:r>
            <w:r>
              <w:fldChar w:fldCharType="begin"/>
            </w:r>
            <w:r>
              <w:instrText xml:space="preserve"> XE "</w:instrText>
            </w:r>
            <w:r w:rsidRPr="00330935">
              <w:instrText>Bewertungszeitpunkt</w:instrText>
            </w:r>
            <w:r>
              <w:instrText xml:space="preserve">" </w:instrText>
            </w:r>
            <w:r>
              <w:fldChar w:fldCharType="end"/>
            </w:r>
          </w:p>
        </w:tc>
        <w:tc>
          <w:tcPr>
            <w:tcW w:w="3318" w:type="dxa"/>
            <w:tcBorders>
              <w:top w:val="nil"/>
              <w:left w:val="nil"/>
              <w:bottom w:val="nil"/>
              <w:right w:val="nil"/>
            </w:tcBorders>
            <w:shd w:val="clear" w:color="auto" w:fill="auto"/>
          </w:tcPr>
          <w:p w:rsidR="0017135D" w:rsidRPr="00572B0B" w:rsidP="00E46A2C">
            <w:pPr>
              <w:pStyle w:val="CSBody8pt"/>
              <w:rPr>
                <w:lang w:val="de-DE"/>
              </w:rPr>
            </w:pPr>
            <w:r w:rsidRPr="00572B0B">
              <w:rPr>
                <w:lang w:val="de-DE"/>
              </w:rPr>
              <w:t>hat die diesem Begriff in Unterabschnitt C.5 von Ziffer 1.1. zugewiesene Bedeutung.</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72B0B" w:rsidP="00E46A2C">
            <w:pPr>
              <w:pStyle w:val="CSBody8pt"/>
            </w:pPr>
            <w:r w:rsidRPr="00572B0B">
              <w:t>Voting Shares</w:t>
            </w:r>
            <w:r>
              <w:fldChar w:fldCharType="begin"/>
            </w:r>
            <w:r>
              <w:instrText xml:space="preserve"> XE "</w:instrText>
            </w:r>
            <w:r w:rsidRPr="000450DB">
              <w:instrText>Voting Shares</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572B0B" w:rsidP="00E46A2C">
            <w:pPr>
              <w:pStyle w:val="CSBody8pt"/>
            </w:pPr>
            <w:r w:rsidRPr="00572B0B">
              <w:t>with respect to any entity, those shares or other interests that have the power to elect the board of directors or similar governing body of such entity.</w:t>
            </w:r>
          </w:p>
        </w:tc>
        <w:tc>
          <w:tcPr>
            <w:tcW w:w="1618" w:type="dxa"/>
            <w:gridSpan w:val="2"/>
            <w:tcBorders>
              <w:top w:val="nil"/>
              <w:bottom w:val="nil"/>
              <w:right w:val="nil"/>
            </w:tcBorders>
            <w:shd w:val="clear" w:color="auto" w:fill="auto"/>
          </w:tcPr>
          <w:p w:rsidR="0017135D" w:rsidRPr="00572B0B" w:rsidP="00E46A2C">
            <w:pPr>
              <w:pStyle w:val="CSBody8pt"/>
            </w:pPr>
            <w:r w:rsidRPr="00572B0B">
              <w:t>Stimmberechtigte Anteile</w:t>
            </w:r>
            <w:r>
              <w:fldChar w:fldCharType="begin"/>
            </w:r>
            <w:r>
              <w:instrText xml:space="preserve"> XE "</w:instrText>
            </w:r>
            <w:r w:rsidRPr="0046255D">
              <w:instrText>Stimmberechtigte Anteile</w:instrText>
            </w:r>
            <w:r>
              <w:instrText xml:space="preserve">" </w:instrText>
            </w:r>
            <w:r>
              <w:fldChar w:fldCharType="end"/>
            </w:r>
          </w:p>
        </w:tc>
        <w:tc>
          <w:tcPr>
            <w:tcW w:w="3318" w:type="dxa"/>
            <w:tcBorders>
              <w:top w:val="nil"/>
              <w:left w:val="nil"/>
              <w:bottom w:val="nil"/>
              <w:right w:val="nil"/>
            </w:tcBorders>
            <w:shd w:val="clear" w:color="auto" w:fill="auto"/>
          </w:tcPr>
          <w:p w:rsidR="0017135D" w:rsidRPr="00572B0B" w:rsidP="00E46A2C">
            <w:pPr>
              <w:pStyle w:val="CSBody8pt"/>
              <w:rPr>
                <w:lang w:val="de-DE"/>
              </w:rPr>
            </w:pPr>
            <w:r w:rsidRPr="00572B0B">
              <w:rPr>
                <w:lang w:val="de-DE"/>
              </w:rPr>
              <w:t xml:space="preserve">in Bezug auf ein Unternehmen die Anteile, die zur Wahl der Mitglieder des Board of Directors oder eines vergleichbaren Geschäftsführungsorgans des Unternehmens berechtigen. </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auto"/>
          </w:tcPr>
          <w:p w:rsidR="0017135D" w:rsidRPr="00572B0B" w:rsidP="00E46A2C">
            <w:pPr>
              <w:pStyle w:val="CSBody8pt"/>
            </w:pPr>
            <w:r w:rsidRPr="00572B0B">
              <w:t>Weighted Average Quotation</w:t>
            </w:r>
            <w:r>
              <w:fldChar w:fldCharType="begin"/>
            </w:r>
            <w:r>
              <w:instrText xml:space="preserve"> XE "</w:instrText>
            </w:r>
            <w:r w:rsidRPr="00F2358C">
              <w:instrText>Weighted Average Quotation</w:instrText>
            </w:r>
            <w:r>
              <w:instrText xml:space="preserve">" \f "EN" </w:instrText>
            </w:r>
            <w:r>
              <w:fldChar w:fldCharType="end"/>
            </w:r>
          </w:p>
        </w:tc>
        <w:tc>
          <w:tcPr>
            <w:tcW w:w="3315" w:type="dxa"/>
            <w:gridSpan w:val="2"/>
            <w:tcBorders>
              <w:top w:val="nil"/>
              <w:left w:val="nil"/>
              <w:bottom w:val="nil"/>
            </w:tcBorders>
            <w:shd w:val="clear" w:color="auto" w:fill="auto"/>
          </w:tcPr>
          <w:p w:rsidR="0017135D" w:rsidRPr="00572B0B" w:rsidP="00E46A2C">
            <w:pPr>
              <w:pStyle w:val="CSBody8pt"/>
            </w:pPr>
            <w:r w:rsidRPr="00572B0B">
              <w:t xml:space="preserve">in accordance with the Quotation Method, the weighted average of firm quotations obtained from Dealers at the Valuation Time, to the extent reasonably practicable, each for an amount of the </w:t>
            </w:r>
            <w:r w:rsidRPr="00792D61">
              <w:rPr>
                <w:b/>
              </w:rPr>
              <w:t>[</w:t>
            </w:r>
            <w:r w:rsidRPr="00572B0B">
              <w:t>Reference Obligation</w:t>
            </w:r>
            <w:r w:rsidRPr="00792D61">
              <w:rPr>
                <w:b/>
              </w:rPr>
              <w:t>][</w:t>
            </w:r>
            <w:r w:rsidRPr="00572B0B">
              <w:t>Valuation Obligation</w:t>
            </w:r>
            <w:r w:rsidRPr="00792D61">
              <w:rPr>
                <w:b/>
              </w:rPr>
              <w:t>]</w:t>
            </w:r>
            <w:r w:rsidRPr="00572B0B">
              <w:t xml:space="preserve"> with an Outstanding Principle Balance or Due and Payable Amount, as applicable, of as large a size as available but less than the Quotation Amount (but of a size at least equal to the Minimum Quotation Amount) that in aggregate are approximately equal to the Quotation Amount.</w:t>
            </w:r>
            <w:r w:rsidRPr="00792D61">
              <w:rPr>
                <w:b/>
              </w:rPr>
              <w:t>]</w:t>
            </w:r>
          </w:p>
        </w:tc>
        <w:tc>
          <w:tcPr>
            <w:tcW w:w="1618" w:type="dxa"/>
            <w:gridSpan w:val="2"/>
            <w:tcBorders>
              <w:top w:val="nil"/>
              <w:bottom w:val="nil"/>
              <w:right w:val="nil"/>
            </w:tcBorders>
            <w:shd w:val="clear" w:color="auto" w:fill="auto"/>
          </w:tcPr>
          <w:p w:rsidR="0017135D" w:rsidRPr="00572B0B" w:rsidP="00FC7CBB">
            <w:pPr>
              <w:pStyle w:val="CSBody8pt"/>
            </w:pPr>
            <w:r w:rsidRPr="00572B0B">
              <w:t>Gewichtete Durchschnittsquotierung</w:t>
            </w:r>
            <w:r>
              <w:fldChar w:fldCharType="begin"/>
            </w:r>
            <w:r>
              <w:instrText xml:space="preserve"> XE "</w:instrText>
            </w:r>
            <w:r w:rsidRPr="001C6E39">
              <w:instrText>Gewichtete Durchschnittsquotierung</w:instrText>
            </w:r>
            <w:r>
              <w:instrText xml:space="preserve">" </w:instrText>
            </w:r>
            <w:r>
              <w:fldChar w:fldCharType="end"/>
            </w:r>
          </w:p>
        </w:tc>
        <w:tc>
          <w:tcPr>
            <w:tcW w:w="3318" w:type="dxa"/>
            <w:tcBorders>
              <w:top w:val="nil"/>
              <w:left w:val="nil"/>
              <w:bottom w:val="nil"/>
              <w:right w:val="nil"/>
            </w:tcBorders>
            <w:shd w:val="clear" w:color="auto" w:fill="auto"/>
          </w:tcPr>
          <w:p w:rsidR="0017135D" w:rsidRPr="00824D87" w:rsidP="004C1EBA">
            <w:pPr>
              <w:pStyle w:val="CSBody8pt"/>
              <w:rPr>
                <w:lang w:val="de-DE"/>
              </w:rPr>
            </w:pPr>
            <w:r w:rsidRPr="00572B0B">
              <w:rPr>
                <w:lang w:val="de-DE"/>
              </w:rPr>
              <w:t xml:space="preserve">entsprechend der Quotierungsmethode der gewichtete Durchschnitt der, soweit mit vertretbarem Aufwand möglich, von Händlern zum Bewertungszeitpunkt eingeholten festen Quotierungen – jeweils für einen Betrag der </w:t>
            </w:r>
            <w:r w:rsidRPr="00792D61">
              <w:rPr>
                <w:b/>
                <w:lang w:val="de-DE"/>
              </w:rPr>
              <w:t>[</w:t>
            </w:r>
            <w:r w:rsidRPr="00572B0B">
              <w:rPr>
                <w:lang w:val="de-DE"/>
              </w:rPr>
              <w:t>Referenzverbindlichkeit</w:t>
            </w:r>
            <w:r w:rsidRPr="00792D61">
              <w:rPr>
                <w:b/>
                <w:lang w:val="de-DE"/>
              </w:rPr>
              <w:t>][</w:t>
            </w:r>
            <w:r w:rsidRPr="00572B0B">
              <w:rPr>
                <w:lang w:val="de-DE"/>
              </w:rPr>
              <w:t>Bewertungsverbindlichkeit</w:t>
            </w:r>
            <w:r w:rsidRPr="00792D61">
              <w:rPr>
                <w:b/>
                <w:lang w:val="de-DE"/>
              </w:rPr>
              <w:t>]</w:t>
            </w:r>
            <w:r w:rsidRPr="00572B0B">
              <w:rPr>
                <w:lang w:val="de-DE"/>
              </w:rPr>
              <w:t xml:space="preserve"> mit einem Ausstehenden </w:t>
            </w:r>
            <w:r>
              <w:rPr>
                <w:lang w:val="de-DE"/>
              </w:rPr>
              <w:t>Kapitalbetrag</w:t>
            </w:r>
            <w:r w:rsidRPr="00572B0B">
              <w:rPr>
                <w:lang w:val="de-DE"/>
              </w:rPr>
              <w:t xml:space="preserve"> bzw. Fälligen und Zahlbaren Betrag in der grössten verfügbaren Höhe, jedoch unter dem Quotierungsbetrag (die Quotierungen müssen jedoch für einen Betrag eingeholt werden, der mindestens dem Mindestquotierungsbetrag entspricht), die insgesamt ungefähr dem Quotierungsbetrag entsprechen.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1E3451" w:rsidP="001E3451">
            <w:pPr>
              <w:pStyle w:val="CSbody0bold"/>
            </w:pPr>
            <w:r w:rsidRPr="001E3451">
              <w:t>Section 2</w:t>
            </w:r>
          </w:p>
        </w:tc>
        <w:tc>
          <w:tcPr>
            <w:tcW w:w="3315" w:type="dxa"/>
            <w:gridSpan w:val="2"/>
            <w:tcBorders>
              <w:top w:val="nil"/>
              <w:left w:val="nil"/>
              <w:bottom w:val="nil"/>
              <w:right w:val="single" w:sz="4" w:space="0" w:color="auto"/>
            </w:tcBorders>
            <w:shd w:val="clear" w:color="auto" w:fill="D9D9D9" w:themeFill="background1" w:themeFillShade="D9"/>
          </w:tcPr>
          <w:p w:rsidR="0017135D" w:rsidRPr="001E3451" w:rsidP="001E3451">
            <w:pPr>
              <w:pStyle w:val="CSbody0bold"/>
            </w:pPr>
            <w:r w:rsidRPr="001E3451">
              <w:t>Redemption</w:t>
            </w:r>
          </w:p>
        </w:tc>
        <w:tc>
          <w:tcPr>
            <w:tcW w:w="1618" w:type="dxa"/>
            <w:gridSpan w:val="2"/>
            <w:tcBorders>
              <w:top w:val="nil"/>
              <w:left w:val="single" w:sz="4" w:space="0" w:color="auto"/>
              <w:bottom w:val="nil"/>
              <w:right w:val="nil"/>
            </w:tcBorders>
            <w:shd w:val="clear" w:color="auto" w:fill="D9D9D9" w:themeFill="background1" w:themeFillShade="D9"/>
          </w:tcPr>
          <w:p w:rsidR="0017135D" w:rsidRPr="001E3451" w:rsidP="001E3451">
            <w:pPr>
              <w:pStyle w:val="CSbody0bold"/>
            </w:pPr>
            <w:r w:rsidRPr="001E3451">
              <w:t>Ziffer 2</w:t>
            </w:r>
          </w:p>
        </w:tc>
        <w:tc>
          <w:tcPr>
            <w:tcW w:w="3318" w:type="dxa"/>
            <w:tcBorders>
              <w:top w:val="nil"/>
              <w:left w:val="nil"/>
              <w:bottom w:val="nil"/>
              <w:right w:val="nil"/>
            </w:tcBorders>
            <w:shd w:val="clear" w:color="auto" w:fill="D9D9D9" w:themeFill="background1" w:themeFillShade="D9"/>
          </w:tcPr>
          <w:p w:rsidR="0017135D" w:rsidRPr="001E3451" w:rsidP="001E3451">
            <w:pPr>
              <w:pStyle w:val="CSbody0bold"/>
            </w:pPr>
            <w:r w:rsidRPr="001E3451">
              <w:t>Rückzahlung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D6F40" w:rsidP="001E3451">
            <w:pPr>
              <w:pStyle w:val="CSBody8ptbolditalics"/>
            </w:pPr>
            <w:r w:rsidRPr="00792D61">
              <w:t>[</w:t>
            </w:r>
            <w:r w:rsidRPr="00ED6F40">
              <w:t>in the case of Credit-Linked Complex Products with auction settlement or Credit-Linked Complex Products with Zero-Recovery feature linked to a Basket, insert:</w:t>
            </w:r>
          </w:p>
        </w:tc>
        <w:tc>
          <w:tcPr>
            <w:tcW w:w="4936" w:type="dxa"/>
            <w:gridSpan w:val="3"/>
            <w:tcBorders>
              <w:top w:val="nil"/>
              <w:bottom w:val="nil"/>
              <w:right w:val="nil"/>
            </w:tcBorders>
            <w:shd w:val="clear" w:color="auto" w:fill="auto"/>
          </w:tcPr>
          <w:p w:rsidR="0017135D" w:rsidRPr="00824D87">
            <w:pPr>
              <w:pStyle w:val="CSBody8ptbolditalics"/>
              <w:rPr>
                <w:lang w:val="de-DE"/>
              </w:rPr>
            </w:pPr>
            <w:r w:rsidRPr="00792D61">
              <w:rPr>
                <w:lang w:val="de-DE"/>
              </w:rPr>
              <w:t>[</w:t>
            </w:r>
            <w:r w:rsidRPr="00824D87">
              <w:rPr>
                <w:lang w:val="de-DE"/>
              </w:rPr>
              <w:t>bei Kreditbezogenen Komplexen Produkten mit Auktionsabwicklung oder Kreditbezogenen Komplexen Produkten mit Zero-Recovery-Merkmal, die an einen Korb gekoppelt sind,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F675D1" w:rsidP="001E3451">
            <w:pPr>
              <w:pStyle w:val="CSbody0bold"/>
            </w:pPr>
            <w:r w:rsidRPr="00F675D1">
              <w:t>Section 2.1</w:t>
            </w:r>
          </w:p>
        </w:tc>
        <w:tc>
          <w:tcPr>
            <w:tcW w:w="3315" w:type="dxa"/>
            <w:gridSpan w:val="2"/>
            <w:tcBorders>
              <w:top w:val="nil"/>
              <w:left w:val="nil"/>
              <w:bottom w:val="nil"/>
              <w:right w:val="single" w:sz="4" w:space="0" w:color="auto"/>
            </w:tcBorders>
            <w:shd w:val="clear" w:color="auto" w:fill="D9D9D9" w:themeFill="background1" w:themeFillShade="D9"/>
          </w:tcPr>
          <w:p w:rsidR="0017135D" w:rsidP="001E3451">
            <w:pPr>
              <w:pStyle w:val="CSbody0bold"/>
            </w:pPr>
            <w:r w:rsidRPr="00F675D1">
              <w:t>Scheduled Redemption</w:t>
            </w:r>
          </w:p>
        </w:tc>
        <w:tc>
          <w:tcPr>
            <w:tcW w:w="1618" w:type="dxa"/>
            <w:gridSpan w:val="2"/>
            <w:tcBorders>
              <w:top w:val="nil"/>
              <w:left w:val="single" w:sz="4" w:space="0" w:color="auto"/>
              <w:bottom w:val="nil"/>
              <w:right w:val="nil"/>
            </w:tcBorders>
            <w:shd w:val="clear" w:color="auto" w:fill="D9D9D9" w:themeFill="background1" w:themeFillShade="D9"/>
          </w:tcPr>
          <w:p w:rsidR="0017135D" w:rsidRPr="0057439F" w:rsidP="001E3451">
            <w:pPr>
              <w:pStyle w:val="CSbody0bold"/>
            </w:pPr>
            <w:r w:rsidRPr="0057439F">
              <w:t>Ziffer 2.1</w:t>
            </w:r>
          </w:p>
        </w:tc>
        <w:tc>
          <w:tcPr>
            <w:tcW w:w="3318" w:type="dxa"/>
            <w:tcBorders>
              <w:top w:val="nil"/>
              <w:left w:val="nil"/>
              <w:bottom w:val="nil"/>
              <w:right w:val="nil"/>
            </w:tcBorders>
            <w:shd w:val="clear" w:color="auto" w:fill="D9D9D9" w:themeFill="background1" w:themeFillShade="D9"/>
          </w:tcPr>
          <w:p w:rsidR="0017135D" w:rsidP="001E3451">
            <w:pPr>
              <w:pStyle w:val="CSbody0bold"/>
            </w:pPr>
            <w:r w:rsidRPr="0057439F">
              <w:t>Planmässige Rückzahlung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32D4B" w:rsidP="001E3451">
            <w:pPr>
              <w:pStyle w:val="CSbody0bolditalic"/>
              <w:rPr>
                <w:lang w:val="en-GB"/>
              </w:rPr>
            </w:pPr>
            <w:r w:rsidRPr="00792D61">
              <w:rPr>
                <w:lang w:val="en-GB"/>
              </w:rPr>
              <w:t>[</w:t>
            </w:r>
            <w:r w:rsidRPr="00132D4B">
              <w:rPr>
                <w:lang w:val="en-GB"/>
              </w:rPr>
              <w:t>in the case of one Reference Entity, insert:</w:t>
            </w:r>
          </w:p>
        </w:tc>
        <w:tc>
          <w:tcPr>
            <w:tcW w:w="4936" w:type="dxa"/>
            <w:gridSpan w:val="3"/>
            <w:tcBorders>
              <w:top w:val="nil"/>
              <w:bottom w:val="nil"/>
              <w:right w:val="nil"/>
            </w:tcBorders>
            <w:shd w:val="clear" w:color="auto" w:fill="auto"/>
          </w:tcPr>
          <w:p w:rsidR="0017135D" w:rsidRPr="00F06587" w:rsidP="001E3451">
            <w:pPr>
              <w:pStyle w:val="CSbody0bolditalic"/>
            </w:pPr>
            <w:r w:rsidRPr="00792D61">
              <w:t>[</w:t>
            </w:r>
            <w:r w:rsidRPr="00F06587">
              <w:t>bei einem Referenzschuldner,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06587" w:rsidP="001E3451">
            <w:pPr>
              <w:pStyle w:val="CSBody8pt"/>
            </w:pPr>
            <w:r w:rsidRPr="00F06587">
              <w:t xml:space="preserve">Unless previously redeemed, repurchased or cancelled, and provided that no Credit Event Determination Date has occurred on or prior to the Scheduled Maturity Date, the Issuer shall redeem each Complex Product on </w:t>
            </w:r>
            <w:r w:rsidRPr="00792D61">
              <w:rPr>
                <w:b/>
              </w:rPr>
              <w:t>[</w:t>
            </w:r>
            <w:r w:rsidRPr="00F06587">
              <w:t>the Scheduled Maturity Date</w:t>
            </w:r>
            <w:r w:rsidRPr="00792D61">
              <w:rPr>
                <w:b/>
              </w:rPr>
              <w:t>][</w:t>
            </w:r>
            <w:r w:rsidRPr="00F06587">
              <w:t xml:space="preserve">the date that is </w:t>
            </w:r>
            <w:r w:rsidRPr="00792D61">
              <w:rPr>
                <w:b/>
              </w:rPr>
              <w:t>[</w:t>
            </w:r>
            <w:r w:rsidRPr="00F06587">
              <w:rPr>
                <w:rFonts w:ascii="Arial" w:hAnsi="Arial" w:cs="Arial"/>
              </w:rPr>
              <w:t>●</w:t>
            </w:r>
            <w:r w:rsidRPr="00792D61">
              <w:rPr>
                <w:b/>
              </w:rPr>
              <w:t>]</w:t>
            </w:r>
            <w:r w:rsidRPr="00F06587">
              <w:t xml:space="preserve"> Business Days after the Scheduled Maturity Date</w:t>
            </w:r>
            <w:r w:rsidRPr="00792D61">
              <w:rPr>
                <w:b/>
              </w:rPr>
              <w:t>]</w:t>
            </w:r>
            <w:r w:rsidRPr="00F06587">
              <w:t xml:space="preserve"> by payment of a cash amount equal to the Scheduled Redemption Amount to the Holder thereof; provided, however, that, if a Potential Credit Event Period has occurred on or prior to, and is continuing on, the Scheduled Maturity Date, the following shall apply:</w:t>
            </w:r>
          </w:p>
        </w:tc>
        <w:tc>
          <w:tcPr>
            <w:tcW w:w="4936" w:type="dxa"/>
            <w:gridSpan w:val="3"/>
            <w:tcBorders>
              <w:top w:val="nil"/>
              <w:bottom w:val="nil"/>
              <w:right w:val="nil"/>
            </w:tcBorders>
            <w:shd w:val="clear" w:color="auto" w:fill="auto"/>
          </w:tcPr>
          <w:p w:rsidR="0017135D" w:rsidRPr="00824D87" w:rsidP="004C1EBA">
            <w:pPr>
              <w:pStyle w:val="CSBody8pt"/>
              <w:rPr>
                <w:lang w:val="de-DE"/>
              </w:rPr>
            </w:pPr>
            <w:r w:rsidRPr="00824D87">
              <w:rPr>
                <w:lang w:val="de-DE"/>
              </w:rPr>
              <w:t xml:space="preserve">Sofern an oder vor dem Planmässigen Fälligkeitstag kein Kreditereignis-Feststellungstag eingetreten ist, wird jedes Komplexe Produkt, das nicht bereits zuvor zurückgezahlt, zurückgekauft oder entwertet wurde, von der Emittentin </w:t>
            </w:r>
            <w:r w:rsidRPr="00792D61">
              <w:rPr>
                <w:b/>
                <w:lang w:val="de-DE"/>
              </w:rPr>
              <w:t>[</w:t>
            </w:r>
            <w:r w:rsidRPr="00824D87">
              <w:rPr>
                <w:lang w:val="de-DE"/>
              </w:rPr>
              <w:t>am Planmässigen Fälligkeitstag</w:t>
            </w:r>
            <w:r w:rsidRPr="00792D61">
              <w:rPr>
                <w:b/>
                <w:lang w:val="de-DE"/>
              </w:rPr>
              <w:t>][</w:t>
            </w:r>
            <w:r w:rsidRPr="00DD7886">
              <w:rPr>
                <w:lang w:val="de-DE"/>
              </w:rPr>
              <w:t xml:space="preserve">an dem Tag, der </w:t>
            </w:r>
            <w:r w:rsidRPr="00792D61">
              <w:rPr>
                <w:b/>
                <w:lang w:val="de-DE"/>
              </w:rPr>
              <w:t>[</w:t>
            </w:r>
            <w:r w:rsidRPr="00824D87">
              <w:rPr>
                <w:rFonts w:ascii="Arial" w:hAnsi="Arial" w:cs="Arial"/>
                <w:lang w:val="de-DE"/>
              </w:rPr>
              <w:t>●</w:t>
            </w:r>
            <w:r w:rsidRPr="00792D61">
              <w:rPr>
                <w:b/>
                <w:lang w:val="de-DE"/>
              </w:rPr>
              <w:t>]</w:t>
            </w:r>
            <w:r w:rsidRPr="00824D87">
              <w:rPr>
                <w:lang w:val="de-DE"/>
              </w:rPr>
              <w:t xml:space="preserve"> Gesch</w:t>
            </w:r>
            <w:r w:rsidRPr="00824D87">
              <w:rPr>
                <w:rFonts w:cs="Credit Suisse Type Light"/>
                <w:lang w:val="de-DE"/>
              </w:rPr>
              <w:t>ä</w:t>
            </w:r>
            <w:r w:rsidRPr="00824D87">
              <w:rPr>
                <w:lang w:val="de-DE"/>
              </w:rPr>
              <w:t>ftstage nach dem Planm</w:t>
            </w:r>
            <w:r w:rsidRPr="00824D87">
              <w:rPr>
                <w:rFonts w:cs="Credit Suisse Type Light"/>
                <w:lang w:val="de-DE"/>
              </w:rPr>
              <w:t>ä</w:t>
            </w:r>
            <w:r w:rsidRPr="00824D87">
              <w:rPr>
                <w:lang w:val="de-DE"/>
              </w:rPr>
              <w:t>ssigen F</w:t>
            </w:r>
            <w:r w:rsidRPr="00824D87">
              <w:rPr>
                <w:rFonts w:cs="Credit Suisse Type Light"/>
                <w:lang w:val="de-DE"/>
              </w:rPr>
              <w:t>ä</w:t>
            </w:r>
            <w:r w:rsidRPr="00824D87">
              <w:rPr>
                <w:lang w:val="de-DE"/>
              </w:rPr>
              <w:t>lligkeitstag</w:t>
            </w:r>
            <w:r>
              <w:rPr>
                <w:lang w:val="de-DE"/>
              </w:rPr>
              <w:t xml:space="preserve"> liegt,</w:t>
            </w:r>
            <w:r w:rsidRPr="00792D61">
              <w:rPr>
                <w:b/>
                <w:lang w:val="de-DE"/>
              </w:rPr>
              <w:t>]</w:t>
            </w:r>
            <w:r w:rsidRPr="00824D87">
              <w:rPr>
                <w:lang w:val="de-DE"/>
              </w:rPr>
              <w:t xml:space="preserve"> durch Zahlung eines dem Planm</w:t>
            </w:r>
            <w:r w:rsidRPr="00824D87">
              <w:rPr>
                <w:rFonts w:cs="Credit Suisse Type Light"/>
                <w:lang w:val="de-DE"/>
              </w:rPr>
              <w:t>ä</w:t>
            </w:r>
            <w:r w:rsidRPr="00824D87">
              <w:rPr>
                <w:lang w:val="de-DE"/>
              </w:rPr>
              <w:t>ssigen R</w:t>
            </w:r>
            <w:r w:rsidRPr="00824D87">
              <w:rPr>
                <w:rFonts w:cs="Credit Suisse Type Light"/>
                <w:lang w:val="de-DE"/>
              </w:rPr>
              <w:t>ü</w:t>
            </w:r>
            <w:r w:rsidRPr="00824D87">
              <w:rPr>
                <w:lang w:val="de-DE"/>
              </w:rPr>
              <w:t>ckzahlungsbetrag entsprechenden Geldbetrags an den jeweiligen Inhaber getilgt; wobei jedoch im Fall, dass ein Zeitraum eines Potenziellen Kreditereignisses an oder vor dem Planmässigen Fälligkeitstag begonnen hat und am Planmässigen Fälligkeitstag andauert, folgendes gilt: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24D87" w:rsidP="001E3451">
            <w:pPr>
              <w:pStyle w:val="CSManNum8pt"/>
            </w:pPr>
            <w:r w:rsidRPr="00824D87">
              <w:t>(i)</w:t>
            </w:r>
            <w:r w:rsidRPr="00824D87">
              <w:tab/>
              <w:t xml:space="preserve">if the relevant Potential Failure to Pay </w:t>
            </w:r>
            <w:r w:rsidRPr="00792D61">
              <w:rPr>
                <w:b/>
              </w:rPr>
              <w:t>[</w:t>
            </w:r>
            <w:r>
              <w:rPr>
                <w:b/>
                <w:i/>
              </w:rPr>
              <w:t>if "Repudia</w:t>
            </w:r>
            <w:r w:rsidRPr="00EE12EE">
              <w:rPr>
                <w:b/>
                <w:i/>
              </w:rPr>
              <w:t>tion/Moratorium" is applicable, insert:</w:t>
            </w:r>
            <w:r w:rsidRPr="00824D87">
              <w:t xml:space="preserve"> , Potential Repudiation/Moratorium</w:t>
            </w:r>
            <w:r w:rsidRPr="00792D61">
              <w:rPr>
                <w:b/>
              </w:rPr>
              <w:t>]</w:t>
            </w:r>
            <w:r w:rsidRPr="00824D87">
              <w:t xml:space="preserve"> or DC Pending Request, as the case may be, </w:t>
            </w:r>
            <w:r w:rsidRPr="004B75BA">
              <w:rPr>
                <w:b/>
              </w:rPr>
              <w:t>results</w:t>
            </w:r>
            <w:r w:rsidRPr="00824D87">
              <w:t xml:space="preserve"> in the occurrence of a Credit Event Determination Date, as determined on or prior to the last day of such Potential Credit Event Period, the Issuer shall redeem each Complex Product in accordance with Section 2.2; or</w:t>
            </w:r>
          </w:p>
        </w:tc>
        <w:tc>
          <w:tcPr>
            <w:tcW w:w="4936" w:type="dxa"/>
            <w:gridSpan w:val="3"/>
            <w:tcBorders>
              <w:top w:val="nil"/>
              <w:bottom w:val="nil"/>
              <w:right w:val="nil"/>
            </w:tcBorders>
            <w:shd w:val="clear" w:color="auto" w:fill="auto"/>
          </w:tcPr>
          <w:p w:rsidR="0017135D" w:rsidRPr="00824D87" w:rsidP="00FC7CBB">
            <w:pPr>
              <w:pStyle w:val="CSManNum8pt"/>
              <w:rPr>
                <w:bCs/>
                <w:lang w:val="de-DE"/>
              </w:rPr>
            </w:pPr>
            <w:r w:rsidRPr="00824D87">
              <w:rPr>
                <w:bCs/>
                <w:lang w:val="de-DE"/>
              </w:rPr>
              <w:t>(i)</w:t>
            </w:r>
            <w:r w:rsidRPr="00824D87">
              <w:rPr>
                <w:bCs/>
                <w:lang w:val="de-DE"/>
              </w:rPr>
              <w:tab/>
              <w:t xml:space="preserve">falls die jeweilige Potenzielle Nichtzahlung </w:t>
            </w:r>
            <w:r w:rsidRPr="00792D61">
              <w:rPr>
                <w:b/>
                <w:bCs/>
                <w:lang w:val="de-DE"/>
              </w:rPr>
              <w:t>[</w:t>
            </w:r>
            <w:r w:rsidRPr="00EE12EE">
              <w:rPr>
                <w:b/>
                <w:bCs/>
                <w:i/>
                <w:lang w:val="de-DE"/>
              </w:rPr>
              <w:t>falls "Nichtanerkennung/Moratorium" anwendbar ist, einfügen:</w:t>
            </w:r>
            <w:r w:rsidRPr="00824D87">
              <w:rPr>
                <w:bCs/>
                <w:lang w:val="de-DE"/>
              </w:rPr>
              <w:t xml:space="preserve"> die jeweilige Potenzielle Nichtanerkennung/das jeweilige Potenzielle Moratorium</w:t>
            </w:r>
            <w:r w:rsidRPr="00792D61">
              <w:rPr>
                <w:b/>
                <w:bCs/>
                <w:lang w:val="de-DE"/>
              </w:rPr>
              <w:t>]</w:t>
            </w:r>
            <w:r w:rsidRPr="00824D87">
              <w:rPr>
                <w:bCs/>
                <w:lang w:val="de-DE"/>
              </w:rPr>
              <w:t xml:space="preserve"> oder ein Ausstehender Antrag zu einem Kreditereignis-Feststellungstag, wie an oder vor dem letzten Tag dieses Zeitraums eines Potenziellen Kreditereignisses festgestellt, </w:t>
            </w:r>
            <w:r w:rsidRPr="004B75BA">
              <w:rPr>
                <w:b/>
                <w:bCs/>
                <w:lang w:val="de-DE"/>
              </w:rPr>
              <w:t>führt</w:t>
            </w:r>
            <w:r w:rsidRPr="00824D87">
              <w:rPr>
                <w:bCs/>
                <w:lang w:val="de-DE"/>
              </w:rPr>
              <w:t>, zahlt die Emittentin jedes Komplexe Produkt gemäss Ziffer 2.2 zurück;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42F00" w:rsidP="001E3451">
            <w:pPr>
              <w:pStyle w:val="CSManNum8pt"/>
            </w:pPr>
            <w:r w:rsidRPr="00942F00">
              <w:t>(ii)</w:t>
            </w:r>
            <w:r w:rsidRPr="00942F00">
              <w:tab/>
              <w:t xml:space="preserve">if the relevant Potential Failure to Pay </w:t>
            </w:r>
            <w:r w:rsidRPr="00942F00">
              <w:rPr>
                <w:b/>
              </w:rPr>
              <w:t>[</w:t>
            </w:r>
            <w:r w:rsidRPr="00942F00">
              <w:rPr>
                <w:b/>
                <w:i/>
              </w:rPr>
              <w:t>if "Repudiation/Moratorium" is applicable, insert:</w:t>
            </w:r>
            <w:r w:rsidRPr="00942F00">
              <w:t xml:space="preserve"> , Potential Repudiation/Moratorium</w:t>
            </w:r>
            <w:r w:rsidRPr="00942F00">
              <w:rPr>
                <w:b/>
              </w:rPr>
              <w:t>]</w:t>
            </w:r>
            <w:r w:rsidRPr="00942F00">
              <w:t xml:space="preserve"> or DC Pending Request, as the case may be, </w:t>
            </w:r>
            <w:r w:rsidRPr="00942F00">
              <w:rPr>
                <w:b/>
              </w:rPr>
              <w:t>does not result</w:t>
            </w:r>
            <w:r w:rsidRPr="00942F00">
              <w:t xml:space="preserve"> in the occurrence of a Credit Event Determination Date, as determined on or prior to the last day of such Potential Credit Event Period, instead of redeeming each Complex Product on the Scheduled Maturity Date, the Issuer shall redeem each Complex Product on the </w:t>
            </w:r>
            <w:r w:rsidRPr="00942F00">
              <w:rPr>
                <w:b/>
              </w:rPr>
              <w:t>[</w:t>
            </w:r>
            <w:r w:rsidRPr="00942F00">
              <w:t>fifth</w:t>
            </w:r>
            <w:r w:rsidRPr="00942F00">
              <w:rPr>
                <w:b/>
              </w:rPr>
              <w:t>][[</w:t>
            </w:r>
            <w:r w:rsidRPr="00942F00">
              <w:rPr>
                <w:rFonts w:ascii="Arial" w:hAnsi="Arial" w:cs="Arial"/>
              </w:rPr>
              <w:t>●</w:t>
            </w:r>
            <w:r w:rsidRPr="00942F00">
              <w:rPr>
                <w:b/>
              </w:rPr>
              <w:t>]]</w:t>
            </w:r>
            <w:r w:rsidRPr="00942F00">
              <w:t xml:space="preserve"> Business Day following the last day of such Potential Credit Event Period, by payment of a cash amount equal to the Scheduled Redemption Amount to the Holder thereof</w:t>
            </w:r>
            <w:r w:rsidRPr="00942F00">
              <w:rPr>
                <w:b/>
              </w:rPr>
              <w:t>[</w:t>
            </w:r>
            <w:r w:rsidRPr="00942F00">
              <w:t>.</w:t>
            </w:r>
            <w:r w:rsidRPr="00942F00">
              <w:rPr>
                <w:b/>
              </w:rPr>
              <w:t>][</w:t>
            </w:r>
            <w:r w:rsidRPr="00942F00">
              <w:rPr>
                <w:b/>
                <w:i/>
              </w:rPr>
              <w:t>if applicable, insert:</w:t>
            </w:r>
            <w:r w:rsidRPr="00942F00">
              <w:t xml:space="preserve"> ;</w:t>
            </w:r>
          </w:p>
        </w:tc>
        <w:tc>
          <w:tcPr>
            <w:tcW w:w="4936" w:type="dxa"/>
            <w:gridSpan w:val="3"/>
            <w:tcBorders>
              <w:top w:val="nil"/>
              <w:bottom w:val="nil"/>
              <w:right w:val="nil"/>
            </w:tcBorders>
            <w:shd w:val="clear" w:color="auto" w:fill="auto"/>
          </w:tcPr>
          <w:p w:rsidR="0017135D" w:rsidRPr="00824D87" w:rsidP="00942F00">
            <w:pPr>
              <w:pStyle w:val="CSManNum8pt"/>
              <w:rPr>
                <w:bCs/>
                <w:lang w:val="de-DE"/>
              </w:rPr>
            </w:pPr>
            <w:r w:rsidRPr="00942F00">
              <w:rPr>
                <w:bCs/>
                <w:lang w:val="de-DE"/>
              </w:rPr>
              <w:t>(ii)</w:t>
            </w:r>
            <w:r w:rsidRPr="00942F00">
              <w:rPr>
                <w:bCs/>
                <w:lang w:val="de-DE"/>
              </w:rPr>
              <w:tab/>
              <w:t xml:space="preserve">falls die jeweilige Potenzielle Nichtzahlung </w:t>
            </w:r>
            <w:r w:rsidRPr="00942F00">
              <w:rPr>
                <w:b/>
                <w:bCs/>
                <w:lang w:val="de-DE"/>
              </w:rPr>
              <w:t>[</w:t>
            </w:r>
            <w:r w:rsidRPr="00942F00">
              <w:rPr>
                <w:b/>
                <w:bCs/>
                <w:i/>
                <w:lang w:val="de-DE"/>
              </w:rPr>
              <w:t>falls "Nichtanerkennung/Moratorium" anwendbar ist, einfügen:</w:t>
            </w:r>
            <w:r w:rsidRPr="00942F00">
              <w:rPr>
                <w:bCs/>
                <w:lang w:val="de-DE"/>
              </w:rPr>
              <w:t xml:space="preserve"> oder die jeweilige Potenzielle Nichtanerkennung/ das jeweilige Potenzielle Moratorium</w:t>
            </w:r>
            <w:r w:rsidRPr="00942F00">
              <w:rPr>
                <w:b/>
                <w:bCs/>
                <w:lang w:val="de-DE"/>
              </w:rPr>
              <w:t>]</w:t>
            </w:r>
            <w:r w:rsidRPr="00942F00">
              <w:rPr>
                <w:bCs/>
                <w:lang w:val="de-DE"/>
              </w:rPr>
              <w:t xml:space="preserve"> oder ein Ausstehender Antrag </w:t>
            </w:r>
            <w:r w:rsidRPr="00942F00">
              <w:rPr>
                <w:b/>
                <w:bCs/>
                <w:lang w:val="de-DE"/>
              </w:rPr>
              <w:t>nicht</w:t>
            </w:r>
            <w:r w:rsidRPr="00942F00">
              <w:rPr>
                <w:bCs/>
                <w:lang w:val="de-DE"/>
              </w:rPr>
              <w:t xml:space="preserve"> zu einem Kreditereignis-Feststellungstag </w:t>
            </w:r>
            <w:r w:rsidRPr="00942F00">
              <w:rPr>
                <w:b/>
                <w:bCs/>
                <w:lang w:val="de-DE"/>
              </w:rPr>
              <w:t>führt</w:t>
            </w:r>
            <w:r w:rsidRPr="00942F00">
              <w:rPr>
                <w:bCs/>
                <w:lang w:val="de-DE"/>
              </w:rPr>
              <w:t xml:space="preserve">, wie an oder vor dem letzten Tag dieses Zeitraums eines Potenziellen Kreditereignisses festgestellt, zahlt die Emittentin jedes Komplexe Produkt anstatt am Planmässigen Fälligkeitstag am </w:t>
            </w:r>
            <w:r w:rsidRPr="00942F00">
              <w:rPr>
                <w:b/>
                <w:bCs/>
                <w:lang w:val="de-DE"/>
              </w:rPr>
              <w:t>[</w:t>
            </w:r>
            <w:r w:rsidRPr="00942F00">
              <w:rPr>
                <w:bCs/>
                <w:lang w:val="de-DE"/>
              </w:rPr>
              <w:t>fünften</w:t>
            </w:r>
            <w:r w:rsidRPr="00942F00">
              <w:rPr>
                <w:b/>
                <w:bCs/>
                <w:lang w:val="de-DE"/>
              </w:rPr>
              <w:t>][[</w:t>
            </w:r>
            <w:r w:rsidRPr="00942F00">
              <w:rPr>
                <w:rFonts w:ascii="Arial" w:hAnsi="Arial" w:cs="Arial"/>
                <w:bCs/>
                <w:lang w:val="de-DE"/>
              </w:rPr>
              <w:t>●</w:t>
            </w:r>
            <w:r w:rsidRPr="00942F00">
              <w:rPr>
                <w:b/>
                <w:bCs/>
                <w:lang w:val="de-DE"/>
              </w:rPr>
              <w:t>]]</w:t>
            </w:r>
            <w:r w:rsidRPr="00942F00">
              <w:rPr>
                <w:bCs/>
                <w:lang w:val="de-DE"/>
              </w:rPr>
              <w:t xml:space="preserve"> Gesch</w:t>
            </w:r>
            <w:r w:rsidRPr="00942F00">
              <w:rPr>
                <w:rFonts w:cs="Credit Suisse Type Light"/>
                <w:bCs/>
                <w:lang w:val="de-DE"/>
              </w:rPr>
              <w:t>ä</w:t>
            </w:r>
            <w:r w:rsidRPr="00942F00">
              <w:rPr>
                <w:bCs/>
                <w:lang w:val="de-DE"/>
              </w:rPr>
              <w:t>ftstag nach dem letzten Tag dieses Zeitraums eines Potenziellen Kreditereignisses durch Zahlung eines Geldbetrags in Höhe des Planmässigen Rückzahlungsbetrags an den jeweiligen Inhaber zurück</w:t>
            </w:r>
            <w:r w:rsidRPr="00942F00">
              <w:rPr>
                <w:b/>
                <w:bCs/>
                <w:lang w:val="de-DE"/>
              </w:rPr>
              <w:t>[</w:t>
            </w:r>
            <w:r w:rsidRPr="00942F00">
              <w:rPr>
                <w:bCs/>
                <w:lang w:val="de-DE"/>
              </w:rPr>
              <w:t>.</w:t>
            </w:r>
            <w:r w:rsidRPr="00942F00">
              <w:rPr>
                <w:b/>
                <w:bCs/>
                <w:lang w:val="de-DE"/>
              </w:rPr>
              <w:t>][</w:t>
            </w:r>
            <w:r w:rsidRPr="00942F00">
              <w:rPr>
                <w:b/>
                <w:bCs/>
                <w:i/>
                <w:lang w:val="de-DE"/>
              </w:rPr>
              <w:t>einfügen falls anwendbar:</w:t>
            </w:r>
            <w:r w:rsidRPr="00942F00">
              <w:rPr>
                <w:bCs/>
                <w:lang w:val="de-DE"/>
              </w:rPr>
              <w:t xml:space="preserve"> ;</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01D39" w:rsidP="00FC7CBB">
            <w:pPr>
              <w:pStyle w:val="CSBody8pt"/>
            </w:pPr>
            <w:r w:rsidRPr="004B75BA">
              <w:rPr>
                <w:i/>
              </w:rPr>
              <w:t>provided, however</w:t>
            </w:r>
            <w:r w:rsidRPr="00301D39">
              <w:t xml:space="preserve">, that the Issuer may elect in its discretion to redeem each Complex Product at any time during such Potential Credit Event Period by payment of a cash amount equal to the Scheduled Redemption Amount to the Holder thereof, so long as the relevant Potential Failure to Pay </w:t>
            </w:r>
            <w:r w:rsidRPr="00792D61">
              <w:rPr>
                <w:b/>
              </w:rPr>
              <w:t>[</w:t>
            </w:r>
            <w:r w:rsidRPr="00EE12EE">
              <w:rPr>
                <w:b/>
                <w:i/>
              </w:rPr>
              <w:t>if "Repudiation/Moratorium" is applicable, insert:</w:t>
            </w:r>
            <w:r w:rsidRPr="00301D39">
              <w:t xml:space="preserve"> , Potential Repudiation/Moratorium</w:t>
            </w:r>
            <w:r w:rsidRPr="00792D61">
              <w:rPr>
                <w:b/>
              </w:rPr>
              <w:t>]</w:t>
            </w:r>
            <w:r w:rsidRPr="00301D39">
              <w:t xml:space="preserve"> or DC Pending Request, as the case may be, has not resulted in the occurrence of a Credit Event Determination Date as of the date of such redemption. For any postponement of the payment of the Scheduled Redemption Amount no default interest or other compensation payments shall be payable to the Holders.</w:t>
            </w:r>
            <w:r w:rsidRPr="00792D61">
              <w:rPr>
                <w:b/>
              </w:rPr>
              <w:t>]]</w:t>
            </w:r>
          </w:p>
        </w:tc>
        <w:tc>
          <w:tcPr>
            <w:tcW w:w="4936" w:type="dxa"/>
            <w:gridSpan w:val="3"/>
            <w:tcBorders>
              <w:top w:val="nil"/>
              <w:bottom w:val="nil"/>
              <w:right w:val="nil"/>
            </w:tcBorders>
            <w:shd w:val="clear" w:color="auto" w:fill="auto"/>
          </w:tcPr>
          <w:p w:rsidR="0017135D" w:rsidRPr="00824D87" w:rsidP="001E3451">
            <w:pPr>
              <w:pStyle w:val="CSBody8pt"/>
              <w:rPr>
                <w:lang w:val="de-DE"/>
              </w:rPr>
            </w:pPr>
            <w:r w:rsidRPr="004B75BA">
              <w:rPr>
                <w:i/>
                <w:lang w:val="de-DE"/>
              </w:rPr>
              <w:t>wobei jedoch</w:t>
            </w:r>
            <w:r w:rsidRPr="00824D87">
              <w:rPr>
                <w:lang w:val="de-DE"/>
              </w:rPr>
              <w:t xml:space="preserve"> die Emittentin nach ihrem Ermessen jedes Komplexe Produkt zu jedem Zeitpunkt eines solchen Zeitraums eines Potenziellen Kreditereignisses durch Zahlung eines Geldbetrags in Höhe des Planmässigen Rückzahlungsbetrags an den jeweiligen Inhaber zurückzahlen kann, solange zum Zeitpunkt der Rückzahlung die jeweilige Potenzielle Nichtzahlung </w:t>
            </w:r>
            <w:r w:rsidRPr="00792D61">
              <w:rPr>
                <w:b/>
                <w:lang w:val="de-DE"/>
              </w:rPr>
              <w:t>[</w:t>
            </w:r>
            <w:r w:rsidRPr="00EE12EE">
              <w:rPr>
                <w:b/>
                <w:i/>
                <w:lang w:val="de-DE"/>
              </w:rPr>
              <w:t>falls "Nichtanerkennung/Moratorium" anwendbar ist, einfügen:</w:t>
            </w:r>
            <w:r w:rsidRPr="00824D87">
              <w:rPr>
                <w:lang w:val="de-DE"/>
              </w:rPr>
              <w:t xml:space="preserve"> oder die jeweilige Potenzielle Nichtanerkennung / das jeweilige Potenzielle Moratorium</w:t>
            </w:r>
            <w:r w:rsidRPr="00792D61">
              <w:rPr>
                <w:b/>
                <w:lang w:val="de-DE"/>
              </w:rPr>
              <w:t>]</w:t>
            </w:r>
            <w:r w:rsidRPr="00824D87">
              <w:rPr>
                <w:lang w:val="de-DE"/>
              </w:rPr>
              <w:t xml:space="preserve"> oder ein Ausstehender Antrag nicht zu einem Kreditereignis-Feststellungstag geführt hat. Für jede Verschiebung der Zahlung des Planmässigen Rückzahlungsbetrags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01D39" w:rsidP="001E3451">
            <w:pPr>
              <w:pStyle w:val="CSBody8ptbolditalics"/>
            </w:pPr>
            <w:r w:rsidRPr="00792D61">
              <w:t>[</w:t>
            </w:r>
            <w:r w:rsidRPr="00301D39">
              <w:t>in the case of an N</w:t>
            </w:r>
            <w:r w:rsidRPr="00BD6E0D">
              <w:rPr>
                <w:vertAlign w:val="superscript"/>
              </w:rPr>
              <w:t>th</w:t>
            </w:r>
            <w:r w:rsidRPr="00301D39">
              <w:t>-to-Default structure, insert:</w:t>
            </w:r>
          </w:p>
        </w:tc>
        <w:tc>
          <w:tcPr>
            <w:tcW w:w="4936" w:type="dxa"/>
            <w:gridSpan w:val="3"/>
            <w:tcBorders>
              <w:top w:val="nil"/>
              <w:bottom w:val="nil"/>
              <w:right w:val="nil"/>
            </w:tcBorders>
            <w:shd w:val="clear" w:color="auto" w:fill="auto"/>
          </w:tcPr>
          <w:p w:rsidR="0017135D" w:rsidRPr="00824D87" w:rsidP="001E3451">
            <w:pPr>
              <w:pStyle w:val="CSBody8ptbolditalics"/>
              <w:rPr>
                <w:lang w:val="de-DE"/>
              </w:rPr>
            </w:pPr>
            <w:r w:rsidRPr="00792D61">
              <w:rPr>
                <w:lang w:val="de-DE"/>
              </w:rPr>
              <w:t>[</w:t>
            </w:r>
            <w:r w:rsidRPr="00824D87">
              <w:rPr>
                <w:lang w:val="de-DE"/>
              </w:rPr>
              <w:t>bei Kreditbezogenen Komplexen Produkten mit N</w:t>
            </w:r>
            <w:r w:rsidRPr="00BD6E0D">
              <w:rPr>
                <w:vertAlign w:val="superscript"/>
                <w:lang w:val="de-DE"/>
              </w:rPr>
              <w:t>th</w:t>
            </w:r>
            <w:r w:rsidRPr="00824D87">
              <w:rPr>
                <w:lang w:val="de-DE"/>
              </w:rPr>
              <w:t>-to-Default-Struktur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30112" w:rsidP="001E3451">
            <w:pPr>
              <w:pStyle w:val="CSBody8pt"/>
            </w:pPr>
            <w:r w:rsidRPr="00130112">
              <w:t xml:space="preserve">Unless previously redeemed, repurchased or cancelled, and provided that no Credit Event Determination Date with respect to the </w:t>
            </w:r>
            <w:r w:rsidRPr="00792D61">
              <w:rPr>
                <w:b/>
              </w:rPr>
              <w:t>[</w:t>
            </w:r>
            <w:r w:rsidRPr="00EE12EE">
              <w:rPr>
                <w:b/>
                <w:i/>
              </w:rPr>
              <w:t>insert relevant number:</w:t>
            </w:r>
            <w:r w:rsidRPr="00130112">
              <w:t xml:space="preserve"> </w:t>
            </w:r>
            <w:r w:rsidRPr="00792D61">
              <w:rPr>
                <w:b/>
              </w:rPr>
              <w:t>[</w:t>
            </w:r>
            <w:r w:rsidRPr="00130112">
              <w:t>1st</w:t>
            </w:r>
            <w:r w:rsidRPr="00792D61">
              <w:rPr>
                <w:b/>
              </w:rPr>
              <w:t>][</w:t>
            </w:r>
            <w:r w:rsidRPr="00130112">
              <w:t>2nd</w:t>
            </w:r>
            <w:r w:rsidRPr="00792D61">
              <w:rPr>
                <w:b/>
              </w:rPr>
              <w:t>][</w:t>
            </w:r>
            <w:r w:rsidRPr="00130112">
              <w:t>3rd</w:t>
            </w:r>
            <w:r w:rsidRPr="00792D61">
              <w:rPr>
                <w:b/>
              </w:rPr>
              <w:t>][[</w:t>
            </w:r>
            <w:r w:rsidRPr="00130112">
              <w:rPr>
                <w:rFonts w:ascii="Arial" w:hAnsi="Arial" w:cs="Arial"/>
              </w:rPr>
              <w:t>●</w:t>
            </w:r>
            <w:r w:rsidRPr="00792D61">
              <w:rPr>
                <w:b/>
              </w:rPr>
              <w:t>]]]</w:t>
            </w:r>
            <w:r w:rsidRPr="00130112">
              <w:t xml:space="preserve">-to-Default Reference Entity has occurred on or prior to the Scheduled Maturity Date, the Issuer shall redeem each Complex Product on </w:t>
            </w:r>
            <w:r w:rsidRPr="00792D61">
              <w:rPr>
                <w:b/>
              </w:rPr>
              <w:t>[</w:t>
            </w:r>
            <w:r w:rsidRPr="00130112">
              <w:t>the Scheduled Maturity Date</w:t>
            </w:r>
            <w:r w:rsidRPr="00792D61">
              <w:rPr>
                <w:b/>
              </w:rPr>
              <w:t>][</w:t>
            </w:r>
            <w:r w:rsidRPr="00130112">
              <w:t xml:space="preserve">on the date that is </w:t>
            </w:r>
            <w:r w:rsidRPr="00792D61">
              <w:rPr>
                <w:b/>
              </w:rPr>
              <w:t>[</w:t>
            </w:r>
            <w:r w:rsidRPr="00130112">
              <w:rPr>
                <w:rFonts w:ascii="Arial" w:hAnsi="Arial" w:cs="Arial"/>
              </w:rPr>
              <w:t>●</w:t>
            </w:r>
            <w:r w:rsidRPr="00792D61">
              <w:rPr>
                <w:b/>
              </w:rPr>
              <w:t>]</w:t>
            </w:r>
            <w:r w:rsidRPr="00130112">
              <w:t xml:space="preserve"> Business Days after the Scheduled Maturity Date</w:t>
            </w:r>
            <w:r w:rsidRPr="00792D61">
              <w:rPr>
                <w:b/>
              </w:rPr>
              <w:t>]</w:t>
            </w:r>
            <w:r w:rsidRPr="00130112">
              <w:t xml:space="preserve"> by payment of a cash amount equal to the Scheduled Redemption Amount to the Holder thereof; provided, however, that, if a Potential Credit Event Period with respect to one or more  Potential </w:t>
            </w:r>
            <w:r w:rsidRPr="00792D61">
              <w:rPr>
                <w:b/>
              </w:rPr>
              <w:t>[</w:t>
            </w:r>
            <w:r w:rsidRPr="00EE12EE">
              <w:rPr>
                <w:b/>
                <w:i/>
              </w:rPr>
              <w:t>insert relevant number:</w:t>
            </w:r>
            <w:r w:rsidRPr="00130112">
              <w:t xml:space="preserve"> </w:t>
            </w:r>
            <w:r w:rsidRPr="00792D61">
              <w:rPr>
                <w:b/>
              </w:rPr>
              <w:t>[</w:t>
            </w:r>
            <w:r w:rsidRPr="00130112">
              <w:t>1st</w:t>
            </w:r>
            <w:r w:rsidRPr="00792D61">
              <w:rPr>
                <w:b/>
              </w:rPr>
              <w:t>][</w:t>
            </w:r>
            <w:r w:rsidRPr="00130112">
              <w:t>2nd</w:t>
            </w:r>
            <w:r w:rsidRPr="00792D61">
              <w:rPr>
                <w:b/>
              </w:rPr>
              <w:t>][</w:t>
            </w:r>
            <w:r w:rsidRPr="00130112">
              <w:t>3rd</w:t>
            </w:r>
            <w:r w:rsidRPr="00792D61">
              <w:rPr>
                <w:b/>
              </w:rPr>
              <w:t>]</w:t>
            </w:r>
            <w:r w:rsidRPr="00130112">
              <w:t xml:space="preserve"> </w:t>
            </w:r>
            <w:r w:rsidRPr="00792D61">
              <w:rPr>
                <w:b/>
              </w:rPr>
              <w:t>[[</w:t>
            </w:r>
            <w:r w:rsidRPr="00130112">
              <w:rPr>
                <w:rFonts w:ascii="Arial" w:hAnsi="Arial" w:cs="Arial"/>
              </w:rPr>
              <w:t>●</w:t>
            </w:r>
            <w:r w:rsidRPr="00792D61">
              <w:rPr>
                <w:b/>
              </w:rPr>
              <w:t>]]]</w:t>
            </w:r>
            <w:r w:rsidRPr="00130112">
              <w:t>-to-Default Reference Entities has occurred on or prior to the Scheduled Maturity Date, the following shall apply:</w:t>
            </w:r>
          </w:p>
        </w:tc>
        <w:tc>
          <w:tcPr>
            <w:tcW w:w="4936" w:type="dxa"/>
            <w:gridSpan w:val="3"/>
            <w:tcBorders>
              <w:top w:val="nil"/>
              <w:bottom w:val="nil"/>
              <w:right w:val="nil"/>
            </w:tcBorders>
            <w:shd w:val="clear" w:color="auto" w:fill="auto"/>
          </w:tcPr>
          <w:p w:rsidR="0017135D" w:rsidRPr="00824D87" w:rsidP="00EE12EE">
            <w:pPr>
              <w:pStyle w:val="CSBody8pt"/>
              <w:rPr>
                <w:lang w:val="de-DE"/>
              </w:rPr>
            </w:pPr>
            <w:r w:rsidRPr="00824D87">
              <w:rPr>
                <w:lang w:val="de-DE"/>
              </w:rPr>
              <w:t>Sofern an oder vor dem Planm</w:t>
            </w:r>
            <w:r w:rsidRPr="00824D87">
              <w:rPr>
                <w:rFonts w:cs="Credit Suisse Type Light"/>
                <w:lang w:val="de-DE"/>
              </w:rPr>
              <w:t>ä</w:t>
            </w:r>
            <w:r w:rsidRPr="00824D87">
              <w:rPr>
                <w:lang w:val="de-DE"/>
              </w:rPr>
              <w:t>ssigen F</w:t>
            </w:r>
            <w:r w:rsidRPr="00824D87">
              <w:rPr>
                <w:rFonts w:cs="Credit Suisse Type Light"/>
                <w:lang w:val="de-DE"/>
              </w:rPr>
              <w:t>ä</w:t>
            </w:r>
            <w:r w:rsidRPr="00824D87">
              <w:rPr>
                <w:lang w:val="de-DE"/>
              </w:rPr>
              <w:t xml:space="preserve">lligkeitstag kein Kreditereignis-Feststellungstag in Bezug auf den </w:t>
            </w:r>
            <w:r w:rsidRPr="00792D61">
              <w:rPr>
                <w:b/>
                <w:lang w:val="de-DE"/>
              </w:rPr>
              <w:t>[</w:t>
            </w:r>
            <w:r w:rsidRPr="00EE12EE">
              <w:rPr>
                <w:b/>
                <w:i/>
                <w:lang w:val="de-DE"/>
              </w:rPr>
              <w:t>jeweilige Zahl einfügen:</w:t>
            </w:r>
            <w:r w:rsidRPr="00824D87">
              <w:rPr>
                <w:lang w:val="de-DE"/>
              </w:rPr>
              <w:t xml:space="preserve"> </w:t>
            </w:r>
            <w:r w:rsidRPr="00792D61">
              <w:rPr>
                <w:b/>
                <w:lang w:val="de-DE"/>
              </w:rPr>
              <w:t>[</w:t>
            </w:r>
            <w:r w:rsidRPr="00824D87">
              <w:rPr>
                <w:lang w:val="de-DE"/>
              </w:rPr>
              <w:t>1st</w:t>
            </w:r>
            <w:r w:rsidRPr="00792D61">
              <w:rPr>
                <w:b/>
                <w:lang w:val="de-DE"/>
              </w:rPr>
              <w:t>][</w:t>
            </w:r>
            <w:r w:rsidRPr="00824D87">
              <w:rPr>
                <w:lang w:val="de-DE"/>
              </w:rPr>
              <w:t>2nd</w:t>
            </w:r>
            <w:r w:rsidRPr="00792D61">
              <w:rPr>
                <w:b/>
                <w:lang w:val="de-DE"/>
              </w:rPr>
              <w:t>][</w:t>
            </w:r>
            <w:r w:rsidRPr="00824D87">
              <w:rPr>
                <w:lang w:val="de-DE"/>
              </w:rPr>
              <w:t>3rd</w:t>
            </w:r>
            <w:r w:rsidRPr="00792D61">
              <w:rPr>
                <w:b/>
                <w:lang w:val="de-DE"/>
              </w:rPr>
              <w:t>][[</w:t>
            </w:r>
            <w:r w:rsidRPr="00824D87">
              <w:rPr>
                <w:rFonts w:ascii="Arial" w:hAnsi="Arial" w:cs="Arial"/>
                <w:lang w:val="de-DE"/>
              </w:rPr>
              <w:t>●</w:t>
            </w:r>
            <w:r w:rsidRPr="00792D61">
              <w:rPr>
                <w:b/>
                <w:lang w:val="de-DE"/>
              </w:rPr>
              <w:t>]]]</w:t>
            </w:r>
            <w:r w:rsidRPr="00824D87">
              <w:rPr>
                <w:lang w:val="de-DE"/>
              </w:rPr>
              <w:t>-to-Default-Referenzschuldner eingetreten ist, wird jedes Komplexe Produkt, das nicht bereits zuvor zur</w:t>
            </w:r>
            <w:r w:rsidRPr="00824D87">
              <w:rPr>
                <w:rFonts w:cs="Credit Suisse Type Light"/>
                <w:lang w:val="de-DE"/>
              </w:rPr>
              <w:t>ü</w:t>
            </w:r>
            <w:r w:rsidRPr="00824D87">
              <w:rPr>
                <w:lang w:val="de-DE"/>
              </w:rPr>
              <w:t>ckgezahlt, zur</w:t>
            </w:r>
            <w:r w:rsidRPr="00824D87">
              <w:rPr>
                <w:rFonts w:cs="Credit Suisse Type Light"/>
                <w:lang w:val="de-DE"/>
              </w:rPr>
              <w:t>ü</w:t>
            </w:r>
            <w:r w:rsidRPr="00824D87">
              <w:rPr>
                <w:lang w:val="de-DE"/>
              </w:rPr>
              <w:t xml:space="preserve">ckgekauft oder entwertet wurde, von der Emittentin </w:t>
            </w:r>
            <w:r w:rsidRPr="00792D61">
              <w:rPr>
                <w:b/>
                <w:lang w:val="de-DE"/>
              </w:rPr>
              <w:t>[</w:t>
            </w:r>
            <w:r w:rsidRPr="00824D87">
              <w:rPr>
                <w:lang w:val="de-DE"/>
              </w:rPr>
              <w:t>am Planm</w:t>
            </w:r>
            <w:r w:rsidRPr="00824D87">
              <w:rPr>
                <w:rFonts w:cs="Credit Suisse Type Light"/>
                <w:lang w:val="de-DE"/>
              </w:rPr>
              <w:t>ä</w:t>
            </w:r>
            <w:r w:rsidRPr="00824D87">
              <w:rPr>
                <w:lang w:val="de-DE"/>
              </w:rPr>
              <w:t>ssigen F</w:t>
            </w:r>
            <w:r w:rsidRPr="00824D87">
              <w:rPr>
                <w:rFonts w:cs="Credit Suisse Type Light"/>
                <w:lang w:val="de-DE"/>
              </w:rPr>
              <w:t>ä</w:t>
            </w:r>
            <w:r w:rsidRPr="00824D87">
              <w:rPr>
                <w:lang w:val="de-DE"/>
              </w:rPr>
              <w:t>lligkeitstag</w:t>
            </w:r>
            <w:r w:rsidRPr="00792D61">
              <w:rPr>
                <w:b/>
                <w:lang w:val="de-DE"/>
              </w:rPr>
              <w:t>][</w:t>
            </w:r>
            <w:r w:rsidRPr="00824D87">
              <w:rPr>
                <w:lang w:val="de-DE"/>
              </w:rPr>
              <w:t xml:space="preserve">an dem Tag, der </w:t>
            </w:r>
            <w:r w:rsidRPr="00792D61">
              <w:rPr>
                <w:b/>
                <w:lang w:val="de-DE"/>
              </w:rPr>
              <w:t>[</w:t>
            </w:r>
            <w:r w:rsidRPr="00824D87">
              <w:rPr>
                <w:rFonts w:ascii="Arial" w:hAnsi="Arial" w:cs="Arial"/>
                <w:lang w:val="de-DE"/>
              </w:rPr>
              <w:t>●</w:t>
            </w:r>
            <w:r w:rsidRPr="00792D61">
              <w:rPr>
                <w:b/>
                <w:lang w:val="de-DE"/>
              </w:rPr>
              <w:t>]</w:t>
            </w:r>
            <w:r w:rsidRPr="00824D87">
              <w:rPr>
                <w:lang w:val="de-DE"/>
              </w:rPr>
              <w:t xml:space="preserve"> Geschäftstage nach dem Planmässigen Fälligkeitstag liegt,</w:t>
            </w:r>
            <w:r w:rsidRPr="00792D61">
              <w:rPr>
                <w:b/>
                <w:lang w:val="de-DE"/>
              </w:rPr>
              <w:t>]</w:t>
            </w:r>
            <w:r w:rsidRPr="00824D87">
              <w:rPr>
                <w:lang w:val="de-DE"/>
              </w:rPr>
              <w:t xml:space="preserve"> durch Zahlung eines dem Planmässigen Rückzahlungsbetrag entsprechenden Geldbetrags an den jeweiligen Inhaber getilgt; wobei jedoch im Fall, dass ein Zeitraum eines Potenziellen Kreditereignisses bezüglich eines oder mehrerer Potenzieller </w:t>
            </w:r>
            <w:r w:rsidRPr="00792D61">
              <w:rPr>
                <w:b/>
                <w:lang w:val="de-DE"/>
              </w:rPr>
              <w:t>[</w:t>
            </w:r>
            <w:r w:rsidRPr="00EE12EE">
              <w:rPr>
                <w:b/>
                <w:i/>
                <w:lang w:val="de-DE"/>
              </w:rPr>
              <w:t>jeweilige Zahl einfügen:</w:t>
            </w:r>
            <w:r w:rsidRPr="00824D87">
              <w:rPr>
                <w:lang w:val="de-DE"/>
              </w:rPr>
              <w:t xml:space="preserve"> </w:t>
            </w:r>
            <w:r w:rsidRPr="00792D61">
              <w:rPr>
                <w:b/>
                <w:lang w:val="de-DE"/>
              </w:rPr>
              <w:t>[</w:t>
            </w:r>
            <w:r w:rsidRPr="00824D87">
              <w:rPr>
                <w:lang w:val="de-DE"/>
              </w:rPr>
              <w:t>1st</w:t>
            </w:r>
            <w:r w:rsidRPr="00792D61">
              <w:rPr>
                <w:b/>
                <w:lang w:val="de-DE"/>
              </w:rPr>
              <w:t>][</w:t>
            </w:r>
            <w:r w:rsidRPr="00824D87">
              <w:rPr>
                <w:lang w:val="de-DE"/>
              </w:rPr>
              <w:t>2nd</w:t>
            </w:r>
            <w:r w:rsidRPr="00792D61">
              <w:rPr>
                <w:b/>
                <w:lang w:val="de-DE"/>
              </w:rPr>
              <w:t>][</w:t>
            </w:r>
            <w:r w:rsidRPr="00824D87">
              <w:rPr>
                <w:lang w:val="de-DE"/>
              </w:rPr>
              <w:t>3rd</w:t>
            </w:r>
            <w:r w:rsidRPr="00792D61">
              <w:rPr>
                <w:b/>
                <w:lang w:val="de-DE"/>
              </w:rPr>
              <w:t>][[</w:t>
            </w:r>
            <w:r w:rsidRPr="00824D87">
              <w:rPr>
                <w:rFonts w:ascii="Arial" w:hAnsi="Arial" w:cs="Arial"/>
                <w:lang w:val="de-DE"/>
              </w:rPr>
              <w:t>●</w:t>
            </w:r>
            <w:r w:rsidRPr="00792D61">
              <w:rPr>
                <w:b/>
                <w:lang w:val="de-DE"/>
              </w:rPr>
              <w:t>]]]</w:t>
            </w:r>
            <w:r w:rsidRPr="00824D87">
              <w:rPr>
                <w:lang w:val="de-DE"/>
              </w:rPr>
              <w:t>-to-Default-Referenzschuldner am oder vor dem Planm</w:t>
            </w:r>
            <w:r w:rsidRPr="00824D87">
              <w:rPr>
                <w:rFonts w:cs="Credit Suisse Type Light"/>
                <w:lang w:val="de-DE"/>
              </w:rPr>
              <w:t>ä</w:t>
            </w:r>
            <w:r w:rsidRPr="00824D87">
              <w:rPr>
                <w:lang w:val="de-DE"/>
              </w:rPr>
              <w:t>ssigen F</w:t>
            </w:r>
            <w:r w:rsidRPr="00824D87">
              <w:rPr>
                <w:rFonts w:cs="Credit Suisse Type Light"/>
                <w:lang w:val="de-DE"/>
              </w:rPr>
              <w:t>ä</w:t>
            </w:r>
            <w:r w:rsidRPr="00824D87">
              <w:rPr>
                <w:lang w:val="de-DE"/>
              </w:rPr>
              <w:t>lligkeitstag eingetreten ist, folgendes gilt: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24D87" w:rsidP="00FC7CBB">
            <w:pPr>
              <w:pStyle w:val="CSManNum8pt"/>
            </w:pPr>
            <w:r w:rsidRPr="00824D87">
              <w:t>(i)</w:t>
            </w:r>
            <w:r w:rsidRPr="00824D87">
              <w:tab/>
              <w:t xml:space="preserve">if the relevant Potential Failure to Pay </w:t>
            </w:r>
            <w:r w:rsidRPr="00792D61">
              <w:rPr>
                <w:b/>
              </w:rPr>
              <w:t>[</w:t>
            </w:r>
            <w:r w:rsidRPr="00EE12EE">
              <w:rPr>
                <w:b/>
                <w:i/>
              </w:rPr>
              <w:t>if "Repudiation/Moratorium" is applicable, insert:</w:t>
            </w:r>
            <w:r w:rsidRPr="00824D87">
              <w:t xml:space="preserve"> , Potential Repudiation/Moratorium</w:t>
            </w:r>
            <w:r w:rsidRPr="00792D61">
              <w:rPr>
                <w:b/>
              </w:rPr>
              <w:t>]</w:t>
            </w:r>
            <w:r w:rsidRPr="00824D87">
              <w:t xml:space="preserve"> or DC Pending Request, as the case may be, results in the occurrence of a Credit Event Determination Date with respect to any such Potential </w:t>
            </w:r>
            <w:r w:rsidRPr="00792D61">
              <w:rPr>
                <w:b/>
              </w:rPr>
              <w:t>[</w:t>
            </w:r>
            <w:r w:rsidRPr="00EE12EE">
              <w:rPr>
                <w:b/>
                <w:i/>
              </w:rPr>
              <w:t>insert relevant number:</w:t>
            </w:r>
            <w:r w:rsidRPr="00824D87">
              <w:t xml:space="preserve"> </w:t>
            </w:r>
            <w:r w:rsidRPr="00792D61">
              <w:rPr>
                <w:b/>
              </w:rPr>
              <w:t>[</w:t>
            </w:r>
            <w:r w:rsidRPr="00824D87">
              <w:t>1st</w:t>
            </w:r>
            <w:r w:rsidRPr="00792D61">
              <w:rPr>
                <w:b/>
              </w:rPr>
              <w:t>][</w:t>
            </w:r>
            <w:r w:rsidRPr="00824D87">
              <w:t>2nd</w:t>
            </w:r>
            <w:r w:rsidRPr="00792D61">
              <w:rPr>
                <w:b/>
              </w:rPr>
              <w:t>][</w:t>
            </w:r>
            <w:r w:rsidRPr="00824D87">
              <w:t>3rd</w:t>
            </w:r>
            <w:r w:rsidRPr="00792D61">
              <w:rPr>
                <w:b/>
              </w:rPr>
              <w:t>][[</w:t>
            </w:r>
            <w:r w:rsidRPr="00EE12EE">
              <w:rPr>
                <w:rFonts w:ascii="Arial" w:hAnsi="Arial" w:cs="Arial"/>
              </w:rPr>
              <w:t>●</w:t>
            </w:r>
            <w:r w:rsidRPr="00792D61">
              <w:rPr>
                <w:b/>
              </w:rPr>
              <w:t>]]]</w:t>
            </w:r>
            <w:r w:rsidRPr="00824D87">
              <w:t xml:space="preserve">-to-Default Reference Entity and such Reference Entity is determined to be the </w:t>
            </w:r>
            <w:r w:rsidRPr="00792D61">
              <w:rPr>
                <w:b/>
              </w:rPr>
              <w:t>[</w:t>
            </w:r>
            <w:r w:rsidRPr="00EE12EE">
              <w:rPr>
                <w:b/>
                <w:i/>
              </w:rPr>
              <w:t xml:space="preserve">insert relevant number: </w:t>
            </w:r>
            <w:r w:rsidRPr="00792D61">
              <w:rPr>
                <w:b/>
              </w:rPr>
              <w:t>[</w:t>
            </w:r>
            <w:r w:rsidRPr="00824D87">
              <w:t>1st</w:t>
            </w:r>
            <w:r w:rsidRPr="00792D61">
              <w:rPr>
                <w:b/>
              </w:rPr>
              <w:t>][</w:t>
            </w:r>
            <w:r w:rsidRPr="00824D87">
              <w:t>2nd</w:t>
            </w:r>
            <w:r w:rsidRPr="00792D61">
              <w:rPr>
                <w:b/>
              </w:rPr>
              <w:t>][</w:t>
            </w:r>
            <w:r w:rsidRPr="00824D87">
              <w:t>3rd</w:t>
            </w:r>
            <w:r w:rsidRPr="00792D61">
              <w:rPr>
                <w:b/>
              </w:rPr>
              <w:t>][[</w:t>
            </w:r>
            <w:r w:rsidRPr="00EE12EE">
              <w:rPr>
                <w:rFonts w:ascii="Arial" w:hAnsi="Arial" w:cs="Arial"/>
              </w:rPr>
              <w:t>●</w:t>
            </w:r>
            <w:r w:rsidRPr="00792D61">
              <w:rPr>
                <w:b/>
              </w:rPr>
              <w:t>]]]</w:t>
            </w:r>
            <w:r w:rsidRPr="00824D87">
              <w:t>-to-Default Reference Entity, in each case as determined on or prior to the last day of the related Potential Credit Event Period, the Issuer shall redeem each Complex Product in accordance with Section 2.2; or</w:t>
            </w:r>
          </w:p>
        </w:tc>
        <w:tc>
          <w:tcPr>
            <w:tcW w:w="4936" w:type="dxa"/>
            <w:gridSpan w:val="3"/>
            <w:tcBorders>
              <w:top w:val="nil"/>
              <w:bottom w:val="nil"/>
              <w:right w:val="nil"/>
            </w:tcBorders>
            <w:shd w:val="clear" w:color="auto" w:fill="auto"/>
          </w:tcPr>
          <w:p w:rsidR="0017135D" w:rsidRPr="00824D87" w:rsidP="00FC7CBB">
            <w:pPr>
              <w:pStyle w:val="CSManNum8pt"/>
              <w:rPr>
                <w:bCs/>
                <w:lang w:val="de-DE"/>
              </w:rPr>
            </w:pPr>
            <w:r w:rsidRPr="00824D87">
              <w:rPr>
                <w:bCs/>
                <w:lang w:val="de-DE"/>
              </w:rPr>
              <w:t>(i)</w:t>
            </w:r>
            <w:r w:rsidRPr="00824D87">
              <w:rPr>
                <w:bCs/>
                <w:lang w:val="de-DE"/>
              </w:rPr>
              <w:tab/>
              <w:t xml:space="preserve">falls die jeweilige Potenzielle Nichtzahlung </w:t>
            </w:r>
            <w:r w:rsidRPr="00792D61">
              <w:rPr>
                <w:b/>
                <w:bCs/>
                <w:lang w:val="de-DE"/>
              </w:rPr>
              <w:t>[</w:t>
            </w:r>
            <w:r w:rsidRPr="00EE12EE">
              <w:rPr>
                <w:b/>
                <w:bCs/>
                <w:i/>
                <w:lang w:val="de-DE"/>
              </w:rPr>
              <w:t>falls "Nichtanerkennung/Moratorium" anwendbar ist, einfügen:</w:t>
            </w:r>
            <w:r w:rsidRPr="00824D87">
              <w:rPr>
                <w:bCs/>
                <w:lang w:val="de-DE"/>
              </w:rPr>
              <w:t xml:space="preserve"> oder die jeweilige Potenzielle Nichtanerkennung/das jeweilige Potenzielle Moratorium</w:t>
            </w:r>
            <w:r w:rsidRPr="00792D61">
              <w:rPr>
                <w:b/>
                <w:bCs/>
                <w:lang w:val="de-DE"/>
              </w:rPr>
              <w:t>]</w:t>
            </w:r>
            <w:r w:rsidRPr="00824D87">
              <w:rPr>
                <w:bCs/>
                <w:lang w:val="de-DE"/>
              </w:rPr>
              <w:t xml:space="preserve"> oder ein Ausstehender Antrag zu einem Kreditereignis-Feststellungstag bezüglich irgend eines dieser Potenziellen </w:t>
            </w:r>
            <w:r w:rsidRPr="00792D61">
              <w:rPr>
                <w:b/>
                <w:bCs/>
                <w:lang w:val="de-DE"/>
              </w:rPr>
              <w:t>[</w:t>
            </w:r>
            <w:r w:rsidRPr="00EE12EE">
              <w:rPr>
                <w:b/>
                <w:bCs/>
                <w:i/>
                <w:lang w:val="de-DE"/>
              </w:rPr>
              <w:t>jeweilige Zahl einfügen:</w:t>
            </w:r>
            <w:r w:rsidRPr="00824D87">
              <w:rPr>
                <w:bCs/>
                <w:lang w:val="de-DE"/>
              </w:rPr>
              <w:t xml:space="preserve"> </w:t>
            </w:r>
            <w:r w:rsidRPr="00792D61">
              <w:rPr>
                <w:b/>
                <w:bCs/>
                <w:lang w:val="de-DE"/>
              </w:rPr>
              <w:t>[</w:t>
            </w:r>
            <w:r w:rsidRPr="00824D87">
              <w:rPr>
                <w:bCs/>
                <w:lang w:val="de-DE"/>
              </w:rPr>
              <w:t>1st</w:t>
            </w:r>
            <w:r w:rsidRPr="00792D61">
              <w:rPr>
                <w:b/>
                <w:bCs/>
                <w:lang w:val="de-DE"/>
              </w:rPr>
              <w:t>][</w:t>
            </w:r>
            <w:r w:rsidRPr="00824D87">
              <w:rPr>
                <w:bCs/>
                <w:lang w:val="de-DE"/>
              </w:rPr>
              <w:t>2nd</w:t>
            </w:r>
            <w:r w:rsidRPr="00792D61">
              <w:rPr>
                <w:b/>
                <w:bCs/>
                <w:lang w:val="de-DE"/>
              </w:rPr>
              <w:t>][</w:t>
            </w:r>
            <w:r w:rsidRPr="00824D87">
              <w:rPr>
                <w:bCs/>
                <w:lang w:val="de-DE"/>
              </w:rPr>
              <w:t>3rd</w:t>
            </w:r>
            <w:r w:rsidRPr="00792D61">
              <w:rPr>
                <w:b/>
                <w:bCs/>
                <w:lang w:val="de-DE"/>
              </w:rPr>
              <w:t>][[</w:t>
            </w:r>
            <w:r w:rsidRPr="00EE12EE">
              <w:rPr>
                <w:rFonts w:ascii="Arial" w:hAnsi="Arial" w:cs="Arial"/>
                <w:bCs/>
                <w:lang w:val="de-DE"/>
              </w:rPr>
              <w:t>●</w:t>
            </w:r>
            <w:r w:rsidRPr="00792D61">
              <w:rPr>
                <w:b/>
                <w:bCs/>
                <w:lang w:val="de-DE"/>
              </w:rPr>
              <w:t>]]]</w:t>
            </w:r>
            <w:r w:rsidRPr="00824D87">
              <w:rPr>
                <w:bCs/>
                <w:lang w:val="de-DE"/>
              </w:rPr>
              <w:t xml:space="preserve">-to-Default-Referenzschuldner führt und, dass dieser Referenzschuldner der </w:t>
            </w:r>
            <w:r w:rsidRPr="00792D61">
              <w:rPr>
                <w:b/>
                <w:bCs/>
                <w:lang w:val="de-DE"/>
              </w:rPr>
              <w:t>[</w:t>
            </w:r>
            <w:r w:rsidRPr="00EE12EE">
              <w:rPr>
                <w:b/>
                <w:bCs/>
                <w:i/>
                <w:lang w:val="de-DE"/>
              </w:rPr>
              <w:t>jeweilige Zahl einfügen:</w:t>
            </w:r>
            <w:r w:rsidRPr="00824D87">
              <w:rPr>
                <w:bCs/>
                <w:lang w:val="de-DE"/>
              </w:rPr>
              <w:t xml:space="preserve"> </w:t>
            </w:r>
            <w:r w:rsidRPr="00792D61">
              <w:rPr>
                <w:b/>
                <w:bCs/>
                <w:lang w:val="de-DE"/>
              </w:rPr>
              <w:t>[</w:t>
            </w:r>
            <w:r w:rsidRPr="00824D87">
              <w:rPr>
                <w:bCs/>
                <w:lang w:val="de-DE"/>
              </w:rPr>
              <w:t>1st</w:t>
            </w:r>
            <w:r w:rsidRPr="00792D61">
              <w:rPr>
                <w:b/>
                <w:bCs/>
                <w:lang w:val="de-DE"/>
              </w:rPr>
              <w:t>][</w:t>
            </w:r>
            <w:r w:rsidRPr="00824D87">
              <w:rPr>
                <w:bCs/>
                <w:lang w:val="de-DE"/>
              </w:rPr>
              <w:t>2nd</w:t>
            </w:r>
            <w:r w:rsidRPr="00792D61">
              <w:rPr>
                <w:b/>
                <w:bCs/>
                <w:lang w:val="de-DE"/>
              </w:rPr>
              <w:t>][</w:t>
            </w:r>
            <w:r w:rsidRPr="00824D87">
              <w:rPr>
                <w:bCs/>
                <w:lang w:val="de-DE"/>
              </w:rPr>
              <w:t>3rd</w:t>
            </w:r>
            <w:r w:rsidRPr="00792D61">
              <w:rPr>
                <w:b/>
                <w:bCs/>
                <w:lang w:val="de-DE"/>
              </w:rPr>
              <w:t>][[</w:t>
            </w:r>
            <w:r w:rsidRPr="00EE12EE">
              <w:rPr>
                <w:rFonts w:ascii="Arial" w:hAnsi="Arial" w:cs="Arial"/>
                <w:bCs/>
                <w:lang w:val="de-DE"/>
              </w:rPr>
              <w:t>●</w:t>
            </w:r>
            <w:r w:rsidRPr="00792D61">
              <w:rPr>
                <w:b/>
                <w:bCs/>
                <w:lang w:val="de-DE"/>
              </w:rPr>
              <w:t>]]]</w:t>
            </w:r>
            <w:r w:rsidRPr="00824D87">
              <w:rPr>
                <w:bCs/>
                <w:lang w:val="de-DE"/>
              </w:rPr>
              <w:t>-to-Default-Referenzschuldner ist, wie jeweils an oder vor dem letzten Tag des diesbezüglichen Zetiraums eines Potenziellen Kreditereignisses festgestellt, wird die Emittentin jedes Komplexe Produkt gemäss Ziffer 2.2 zurückzahlen;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24D87" w:rsidP="00FC7CBB">
            <w:pPr>
              <w:pStyle w:val="CSManNum8pt"/>
            </w:pPr>
            <w:r w:rsidRPr="00824D87">
              <w:t>(ii)</w:t>
            </w:r>
            <w:r w:rsidRPr="00824D87">
              <w:tab/>
              <w:t xml:space="preserve">if the relevant Potential Failure to Pay </w:t>
            </w:r>
            <w:r w:rsidRPr="00792D61">
              <w:rPr>
                <w:b/>
              </w:rPr>
              <w:t>[</w:t>
            </w:r>
            <w:r w:rsidRPr="00EE12EE">
              <w:rPr>
                <w:b/>
                <w:i/>
              </w:rPr>
              <w:t>if "Repudiation/Moratorium" is applicable, insert:</w:t>
            </w:r>
            <w:r w:rsidRPr="00824D87">
              <w:t xml:space="preserve"> , Potential Repudiation/Moratorium</w:t>
            </w:r>
            <w:r w:rsidRPr="00792D61">
              <w:rPr>
                <w:b/>
              </w:rPr>
              <w:t>]</w:t>
            </w:r>
            <w:r w:rsidRPr="00824D87">
              <w:t xml:space="preserve"> or DC pending Request, as the case may be, </w:t>
            </w:r>
            <w:r w:rsidRPr="004C7098">
              <w:rPr>
                <w:b/>
              </w:rPr>
              <w:t>does not result</w:t>
            </w:r>
            <w:r w:rsidRPr="00824D87">
              <w:t xml:space="preserve"> in the occurrence of a Credit Event Determination Date with respect to any such Potential </w:t>
            </w:r>
            <w:r w:rsidRPr="00792D61">
              <w:rPr>
                <w:b/>
              </w:rPr>
              <w:t>[</w:t>
            </w:r>
            <w:r w:rsidRPr="00EE12EE">
              <w:rPr>
                <w:b/>
                <w:i/>
              </w:rPr>
              <w:t>insert relevant number:</w:t>
            </w:r>
            <w:r w:rsidRPr="00824D87">
              <w:t xml:space="preserve"> </w:t>
            </w:r>
            <w:r w:rsidRPr="00792D61">
              <w:rPr>
                <w:b/>
              </w:rPr>
              <w:t>[</w:t>
            </w:r>
            <w:r w:rsidRPr="00824D87">
              <w:t>1st</w:t>
            </w:r>
            <w:r w:rsidRPr="00792D61">
              <w:rPr>
                <w:b/>
              </w:rPr>
              <w:t>][</w:t>
            </w:r>
            <w:r w:rsidRPr="00824D87">
              <w:t>2nd</w:t>
            </w:r>
            <w:r w:rsidRPr="00792D61">
              <w:rPr>
                <w:b/>
              </w:rPr>
              <w:t>][</w:t>
            </w:r>
            <w:r w:rsidRPr="00824D87">
              <w:t>3rd</w:t>
            </w:r>
            <w:r w:rsidRPr="00792D61">
              <w:rPr>
                <w:b/>
              </w:rPr>
              <w:t>][[</w:t>
            </w:r>
            <w:r w:rsidRPr="00EE12EE">
              <w:rPr>
                <w:rFonts w:ascii="Arial" w:hAnsi="Arial" w:cs="Arial"/>
              </w:rPr>
              <w:t>●</w:t>
            </w:r>
            <w:r w:rsidRPr="00792D61">
              <w:rPr>
                <w:b/>
              </w:rPr>
              <w:t>]]]</w:t>
            </w:r>
            <w:r w:rsidRPr="00824D87">
              <w:t xml:space="preserve">-to-Default Reference Entity and no such Reference Entity is determined to be the </w:t>
            </w:r>
            <w:r w:rsidRPr="00792D61">
              <w:rPr>
                <w:b/>
              </w:rPr>
              <w:t>[</w:t>
            </w:r>
            <w:r w:rsidRPr="00EE12EE">
              <w:rPr>
                <w:b/>
                <w:i/>
              </w:rPr>
              <w:t>insert relevant number:</w:t>
            </w:r>
            <w:r w:rsidRPr="00824D87">
              <w:t xml:space="preserve"> </w:t>
            </w:r>
            <w:r w:rsidRPr="00792D61">
              <w:rPr>
                <w:b/>
              </w:rPr>
              <w:t>[</w:t>
            </w:r>
            <w:r w:rsidRPr="00824D87">
              <w:t>1st</w:t>
            </w:r>
            <w:r w:rsidRPr="00792D61">
              <w:rPr>
                <w:b/>
              </w:rPr>
              <w:t>][</w:t>
            </w:r>
            <w:r w:rsidRPr="00824D87">
              <w:t>2nd</w:t>
            </w:r>
            <w:r w:rsidRPr="00792D61">
              <w:rPr>
                <w:b/>
              </w:rPr>
              <w:t>][</w:t>
            </w:r>
            <w:r w:rsidRPr="00824D87">
              <w:t>3rd</w:t>
            </w:r>
            <w:r w:rsidRPr="00792D61">
              <w:rPr>
                <w:b/>
              </w:rPr>
              <w:t>][[</w:t>
            </w:r>
            <w:r w:rsidRPr="00EE12EE">
              <w:rPr>
                <w:rFonts w:ascii="Arial" w:hAnsi="Arial" w:cs="Arial"/>
              </w:rPr>
              <w:t>●</w:t>
            </w:r>
            <w:r w:rsidRPr="00792D61">
              <w:rPr>
                <w:b/>
              </w:rPr>
              <w:t>]]]</w:t>
            </w:r>
            <w:r w:rsidRPr="00824D87">
              <w:t xml:space="preserve">-to-Default Reference Entity, as in each case deteremined on or prior to the last day of the related Potential Credit Event Period, instead of redeeming each Complex Product on </w:t>
            </w:r>
            <w:r w:rsidRPr="00792D61">
              <w:rPr>
                <w:b/>
              </w:rPr>
              <w:t>[</w:t>
            </w:r>
            <w:r w:rsidRPr="00824D87">
              <w:t>the Scheduled Maturity Date</w:t>
            </w:r>
            <w:r w:rsidRPr="00792D61">
              <w:rPr>
                <w:b/>
              </w:rPr>
              <w:t>][</w:t>
            </w:r>
            <w:r w:rsidRPr="00824D87">
              <w:t xml:space="preserve">the date that is </w:t>
            </w:r>
            <w:r w:rsidRPr="00792D61">
              <w:rPr>
                <w:b/>
              </w:rPr>
              <w:t>[</w:t>
            </w:r>
            <w:r w:rsidRPr="00EE12EE">
              <w:rPr>
                <w:rFonts w:ascii="Arial" w:hAnsi="Arial" w:cs="Arial"/>
              </w:rPr>
              <w:t>●</w:t>
            </w:r>
            <w:r w:rsidRPr="00792D61">
              <w:rPr>
                <w:b/>
              </w:rPr>
              <w:t>]</w:t>
            </w:r>
            <w:r w:rsidRPr="00824D87">
              <w:t xml:space="preserve"> Business Days after the Scheduled Maturity Date</w:t>
            </w:r>
            <w:r w:rsidRPr="00792D61">
              <w:rPr>
                <w:b/>
              </w:rPr>
              <w:t>]</w:t>
            </w:r>
            <w:r w:rsidRPr="00824D87">
              <w:t xml:space="preserve">, the Issuer shall redeem each Complex Product on the </w:t>
            </w:r>
            <w:r w:rsidRPr="00792D61">
              <w:rPr>
                <w:b/>
              </w:rPr>
              <w:t>[</w:t>
            </w:r>
            <w:r w:rsidRPr="00824D87">
              <w:t>fifth</w:t>
            </w:r>
            <w:r w:rsidRPr="00792D61">
              <w:rPr>
                <w:b/>
              </w:rPr>
              <w:t>][[</w:t>
            </w:r>
            <w:r w:rsidRPr="00EE12EE">
              <w:rPr>
                <w:rFonts w:ascii="Arial" w:hAnsi="Arial" w:cs="Arial"/>
              </w:rPr>
              <w:t>●</w:t>
            </w:r>
            <w:r w:rsidRPr="00792D61">
              <w:rPr>
                <w:b/>
              </w:rPr>
              <w:t>]]</w:t>
            </w:r>
            <w:r w:rsidRPr="00824D87">
              <w:t xml:space="preserve"> Business Day following the last day of the related Potential Credit Event Period by payment of a cash amount equal to the Scheduled Redemption Amount to the Holder thereof</w:t>
            </w:r>
            <w:r w:rsidRPr="00792D61">
              <w:rPr>
                <w:b/>
              </w:rPr>
              <w:t>[</w:t>
            </w:r>
            <w:r w:rsidRPr="00824D87">
              <w:t>.</w:t>
            </w:r>
            <w:r w:rsidRPr="00792D61">
              <w:rPr>
                <w:b/>
              </w:rPr>
              <w:t>][</w:t>
            </w:r>
            <w:r w:rsidRPr="00EE12EE">
              <w:rPr>
                <w:b/>
                <w:i/>
              </w:rPr>
              <w:t>if applicable, insert:</w:t>
            </w:r>
            <w:r w:rsidRPr="00824D87">
              <w:t xml:space="preserve"> ;</w:t>
            </w:r>
          </w:p>
        </w:tc>
        <w:tc>
          <w:tcPr>
            <w:tcW w:w="4936" w:type="dxa"/>
            <w:gridSpan w:val="3"/>
            <w:tcBorders>
              <w:top w:val="nil"/>
              <w:bottom w:val="nil"/>
              <w:right w:val="nil"/>
            </w:tcBorders>
            <w:shd w:val="clear" w:color="auto" w:fill="auto"/>
          </w:tcPr>
          <w:p w:rsidR="0017135D" w:rsidRPr="00824D87" w:rsidP="00FC7CBB">
            <w:pPr>
              <w:pStyle w:val="CSManNum8pt"/>
              <w:rPr>
                <w:bCs/>
                <w:lang w:val="de-DE"/>
              </w:rPr>
            </w:pPr>
            <w:r w:rsidRPr="00824D87">
              <w:rPr>
                <w:bCs/>
                <w:lang w:val="de-DE"/>
              </w:rPr>
              <w:t>(ii)</w:t>
            </w:r>
            <w:r w:rsidRPr="00824D87">
              <w:rPr>
                <w:bCs/>
                <w:lang w:val="de-DE"/>
              </w:rPr>
              <w:tab/>
              <w:t xml:space="preserve">falls die jeweilige Potentielle Nichtzahlung </w:t>
            </w:r>
            <w:r w:rsidRPr="00792D61">
              <w:rPr>
                <w:b/>
                <w:bCs/>
                <w:lang w:val="de-DE"/>
              </w:rPr>
              <w:t>[</w:t>
            </w:r>
            <w:r w:rsidRPr="00EE12EE">
              <w:rPr>
                <w:b/>
                <w:bCs/>
                <w:i/>
                <w:lang w:val="de-DE"/>
              </w:rPr>
              <w:t>falls "Nichtanerkennung/Moratorium" anwendbar ist, einfügen:</w:t>
            </w:r>
            <w:r w:rsidRPr="00824D87">
              <w:rPr>
                <w:bCs/>
                <w:lang w:val="de-DE"/>
              </w:rPr>
              <w:t xml:space="preserve"> oder die jeweilige Potenzielle Nichtanerkennung/das jeweilige Potenzielle Moratorium</w:t>
            </w:r>
            <w:r w:rsidRPr="00792D61">
              <w:rPr>
                <w:b/>
                <w:bCs/>
                <w:lang w:val="de-DE"/>
              </w:rPr>
              <w:t>]</w:t>
            </w:r>
            <w:r w:rsidRPr="00824D87">
              <w:rPr>
                <w:bCs/>
                <w:lang w:val="de-DE"/>
              </w:rPr>
              <w:t xml:space="preserve"> oder ein Ausstehender Antrag </w:t>
            </w:r>
            <w:r w:rsidRPr="004C7098">
              <w:rPr>
                <w:b/>
                <w:bCs/>
                <w:lang w:val="de-DE"/>
              </w:rPr>
              <w:t>nicht</w:t>
            </w:r>
            <w:r w:rsidRPr="00824D87">
              <w:rPr>
                <w:bCs/>
                <w:lang w:val="de-DE"/>
              </w:rPr>
              <w:t xml:space="preserve"> zu einem Kreditereignis-Feststellungstag bezüglich irgend eines dieser Potenziellen </w:t>
            </w:r>
            <w:r w:rsidRPr="00792D61">
              <w:rPr>
                <w:b/>
                <w:bCs/>
                <w:lang w:val="de-DE"/>
              </w:rPr>
              <w:t>[</w:t>
            </w:r>
            <w:r w:rsidRPr="00EE12EE">
              <w:rPr>
                <w:b/>
                <w:bCs/>
                <w:i/>
                <w:lang w:val="de-DE"/>
              </w:rPr>
              <w:t>jeweilige Zahl einfügen:</w:t>
            </w:r>
            <w:r w:rsidRPr="00824D87">
              <w:rPr>
                <w:bCs/>
                <w:lang w:val="de-DE"/>
              </w:rPr>
              <w:t xml:space="preserve"> </w:t>
            </w:r>
            <w:r w:rsidRPr="00792D61">
              <w:rPr>
                <w:b/>
                <w:bCs/>
                <w:lang w:val="de-DE"/>
              </w:rPr>
              <w:t>[</w:t>
            </w:r>
            <w:r w:rsidRPr="00824D87">
              <w:rPr>
                <w:bCs/>
                <w:lang w:val="de-DE"/>
              </w:rPr>
              <w:t>1st</w:t>
            </w:r>
            <w:r w:rsidRPr="00792D61">
              <w:rPr>
                <w:b/>
                <w:bCs/>
                <w:lang w:val="de-DE"/>
              </w:rPr>
              <w:t>][</w:t>
            </w:r>
            <w:r w:rsidRPr="00824D87">
              <w:rPr>
                <w:bCs/>
                <w:lang w:val="de-DE"/>
              </w:rPr>
              <w:t>2nd</w:t>
            </w:r>
            <w:r w:rsidRPr="00792D61">
              <w:rPr>
                <w:b/>
                <w:bCs/>
                <w:lang w:val="de-DE"/>
              </w:rPr>
              <w:t>][</w:t>
            </w:r>
            <w:r w:rsidRPr="00824D87">
              <w:rPr>
                <w:bCs/>
                <w:lang w:val="de-DE"/>
              </w:rPr>
              <w:t>3rd</w:t>
            </w:r>
            <w:r w:rsidRPr="00792D61">
              <w:rPr>
                <w:b/>
                <w:bCs/>
                <w:lang w:val="de-DE"/>
              </w:rPr>
              <w:t>][[</w:t>
            </w:r>
            <w:r w:rsidRPr="00EE12EE">
              <w:rPr>
                <w:rFonts w:ascii="Arial" w:hAnsi="Arial" w:cs="Arial"/>
                <w:bCs/>
                <w:lang w:val="de-DE"/>
              </w:rPr>
              <w:t>●</w:t>
            </w:r>
            <w:r w:rsidRPr="00792D61">
              <w:rPr>
                <w:b/>
                <w:bCs/>
                <w:lang w:val="de-DE"/>
              </w:rPr>
              <w:t>]]]</w:t>
            </w:r>
            <w:r w:rsidRPr="00824D87">
              <w:rPr>
                <w:bCs/>
                <w:lang w:val="de-DE"/>
              </w:rPr>
              <w:t xml:space="preserve">-to-Default-Referenzschuldner </w:t>
            </w:r>
            <w:r w:rsidRPr="004C7098">
              <w:rPr>
                <w:b/>
                <w:bCs/>
                <w:lang w:val="de-DE"/>
              </w:rPr>
              <w:t>führt</w:t>
            </w:r>
            <w:r w:rsidRPr="00824D87">
              <w:rPr>
                <w:bCs/>
                <w:lang w:val="de-DE"/>
              </w:rPr>
              <w:t xml:space="preserve"> und falls nicht festgestellt wurde, dass dieser Referenzschuldner der </w:t>
            </w:r>
            <w:r w:rsidRPr="00792D61">
              <w:rPr>
                <w:b/>
                <w:bCs/>
                <w:lang w:val="de-DE"/>
              </w:rPr>
              <w:t>[</w:t>
            </w:r>
            <w:r w:rsidRPr="004C7098">
              <w:rPr>
                <w:b/>
                <w:bCs/>
                <w:i/>
                <w:lang w:val="de-DE"/>
              </w:rPr>
              <w:t>jeweilige Zahl einfügen:</w:t>
            </w:r>
            <w:r w:rsidRPr="00824D87">
              <w:rPr>
                <w:bCs/>
                <w:lang w:val="de-DE"/>
              </w:rPr>
              <w:t xml:space="preserve"> </w:t>
            </w:r>
            <w:r w:rsidRPr="00792D61">
              <w:rPr>
                <w:b/>
                <w:bCs/>
                <w:lang w:val="de-DE"/>
              </w:rPr>
              <w:t>[</w:t>
            </w:r>
            <w:r w:rsidRPr="00824D87">
              <w:rPr>
                <w:bCs/>
                <w:lang w:val="de-DE"/>
              </w:rPr>
              <w:t>1st</w:t>
            </w:r>
            <w:r w:rsidRPr="00792D61">
              <w:rPr>
                <w:b/>
                <w:bCs/>
                <w:lang w:val="de-DE"/>
              </w:rPr>
              <w:t>][</w:t>
            </w:r>
            <w:r w:rsidRPr="00824D87">
              <w:rPr>
                <w:bCs/>
                <w:lang w:val="de-DE"/>
              </w:rPr>
              <w:t>2nd</w:t>
            </w:r>
            <w:r w:rsidRPr="00792D61">
              <w:rPr>
                <w:b/>
                <w:bCs/>
                <w:lang w:val="de-DE"/>
              </w:rPr>
              <w:t>][</w:t>
            </w:r>
            <w:r w:rsidRPr="00824D87">
              <w:rPr>
                <w:bCs/>
                <w:lang w:val="de-DE"/>
              </w:rPr>
              <w:t>3rd</w:t>
            </w:r>
            <w:r w:rsidRPr="00792D61">
              <w:rPr>
                <w:b/>
                <w:bCs/>
                <w:lang w:val="de-DE"/>
              </w:rPr>
              <w:t>][[</w:t>
            </w:r>
            <w:r w:rsidRPr="00EE12EE">
              <w:rPr>
                <w:rFonts w:ascii="Arial" w:hAnsi="Arial" w:cs="Arial"/>
                <w:bCs/>
                <w:lang w:val="de-DE"/>
              </w:rPr>
              <w:t>●</w:t>
            </w:r>
            <w:r w:rsidRPr="00792D61">
              <w:rPr>
                <w:b/>
                <w:bCs/>
                <w:lang w:val="de-DE"/>
              </w:rPr>
              <w:t>]]]</w:t>
            </w:r>
            <w:r w:rsidRPr="00824D87">
              <w:rPr>
                <w:bCs/>
                <w:lang w:val="de-DE"/>
              </w:rPr>
              <w:t xml:space="preserve">-to-Default-Referenzschuldner ist, wie jeweils an oder vor dem letzten Tag des diesbezüglichen Zeitraums eines Potenziellen Kreditereignisses festgestellt, zahlt die Emittentin jedes Komplexe Produkt anstatt </w:t>
            </w:r>
            <w:r w:rsidRPr="00792D61">
              <w:rPr>
                <w:b/>
                <w:bCs/>
                <w:lang w:val="de-DE"/>
              </w:rPr>
              <w:t>[</w:t>
            </w:r>
            <w:r w:rsidRPr="00824D87">
              <w:rPr>
                <w:bCs/>
                <w:lang w:val="de-DE"/>
              </w:rPr>
              <w:t>am Planmässigen Fälligkeitstag</w:t>
            </w:r>
            <w:r w:rsidRPr="00792D61">
              <w:rPr>
                <w:b/>
                <w:bCs/>
                <w:lang w:val="de-DE"/>
              </w:rPr>
              <w:t>][</w:t>
            </w:r>
            <w:r w:rsidRPr="00824D87">
              <w:rPr>
                <w:bCs/>
                <w:lang w:val="de-DE"/>
              </w:rPr>
              <w:t xml:space="preserve">an dem Tag, der </w:t>
            </w:r>
            <w:r w:rsidRPr="00792D61">
              <w:rPr>
                <w:b/>
                <w:bCs/>
                <w:lang w:val="de-DE"/>
              </w:rPr>
              <w:t>[</w:t>
            </w:r>
            <w:r w:rsidRPr="00EE12EE">
              <w:rPr>
                <w:rFonts w:ascii="Arial" w:hAnsi="Arial" w:cs="Arial"/>
                <w:bCs/>
                <w:lang w:val="de-DE"/>
              </w:rPr>
              <w:t>●</w:t>
            </w:r>
            <w:r w:rsidRPr="00792D61">
              <w:rPr>
                <w:b/>
                <w:bCs/>
                <w:lang w:val="de-DE"/>
              </w:rPr>
              <w:t>]</w:t>
            </w:r>
            <w:r w:rsidRPr="00824D87">
              <w:rPr>
                <w:bCs/>
                <w:lang w:val="de-DE"/>
              </w:rPr>
              <w:t xml:space="preserve"> Geschäftstage nach dem Planmässigen Fälligkeitstag liegt</w:t>
            </w:r>
            <w:r w:rsidRPr="00792D61">
              <w:rPr>
                <w:b/>
                <w:bCs/>
                <w:lang w:val="de-DE"/>
              </w:rPr>
              <w:t>]</w:t>
            </w:r>
            <w:r w:rsidRPr="00824D87">
              <w:rPr>
                <w:bCs/>
                <w:lang w:val="de-DE"/>
              </w:rPr>
              <w:t xml:space="preserve"> am </w:t>
            </w:r>
            <w:r w:rsidRPr="00792D61">
              <w:rPr>
                <w:b/>
                <w:bCs/>
                <w:lang w:val="de-DE"/>
              </w:rPr>
              <w:t>[</w:t>
            </w:r>
            <w:r w:rsidRPr="00824D87">
              <w:rPr>
                <w:bCs/>
                <w:lang w:val="de-DE"/>
              </w:rPr>
              <w:t>fünften</w:t>
            </w:r>
            <w:r w:rsidRPr="00792D61">
              <w:rPr>
                <w:b/>
                <w:bCs/>
                <w:lang w:val="de-DE"/>
              </w:rPr>
              <w:t>][[</w:t>
            </w:r>
            <w:r w:rsidRPr="00EE12EE">
              <w:rPr>
                <w:rFonts w:ascii="Arial" w:hAnsi="Arial" w:cs="Arial"/>
                <w:bCs/>
                <w:lang w:val="de-DE"/>
              </w:rPr>
              <w:t>●</w:t>
            </w:r>
            <w:r w:rsidRPr="00792D61">
              <w:rPr>
                <w:b/>
                <w:bCs/>
                <w:lang w:val="de-DE"/>
              </w:rPr>
              <w:t>]]</w:t>
            </w:r>
            <w:r w:rsidRPr="00824D87">
              <w:rPr>
                <w:bCs/>
                <w:lang w:val="de-DE"/>
              </w:rPr>
              <w:t xml:space="preserve"> Geschäftstag nach dem letzten Tag des diesbezüglichen Zeitraums eines Potenziellen Kreditereignisses durch Zahlung eines Geldbetrags in Höhe des Planmässigen Rückzahlungsbetrags an den jeweiligen Inhaber zurück</w:t>
            </w:r>
            <w:r w:rsidRPr="00792D61">
              <w:rPr>
                <w:b/>
                <w:bCs/>
                <w:lang w:val="de-DE"/>
              </w:rPr>
              <w:t>[</w:t>
            </w:r>
            <w:r w:rsidRPr="00824D87">
              <w:rPr>
                <w:bCs/>
                <w:lang w:val="de-DE"/>
              </w:rPr>
              <w:t>.</w:t>
            </w:r>
            <w:r w:rsidRPr="00792D61">
              <w:rPr>
                <w:b/>
                <w:bCs/>
                <w:lang w:val="de-DE"/>
              </w:rPr>
              <w:t>][</w:t>
            </w:r>
            <w:r w:rsidRPr="00EE12EE">
              <w:rPr>
                <w:b/>
                <w:bCs/>
                <w:i/>
                <w:lang w:val="de-DE"/>
              </w:rPr>
              <w:t>falls anwendbar, einfügen:</w:t>
            </w:r>
            <w:r w:rsidRPr="00824D87">
              <w:rPr>
                <w:bCs/>
                <w:lang w:val="de-DE"/>
              </w:rPr>
              <w:t xml:space="preserve"> ;</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2B1C2B" w:rsidP="00164657">
            <w:pPr>
              <w:pStyle w:val="CSBody8pt"/>
            </w:pPr>
            <w:r w:rsidRPr="004C7098">
              <w:rPr>
                <w:i/>
              </w:rPr>
              <w:t>provided, however</w:t>
            </w:r>
            <w:r w:rsidRPr="002B1C2B">
              <w:t xml:space="preserve">, that the Issuer may elect in its discretion to redeem each Complex Product at any time during </w:t>
            </w:r>
            <w:r w:rsidR="00164657">
              <w:t>a</w:t>
            </w:r>
            <w:r w:rsidRPr="002B1C2B">
              <w:t xml:space="preserve"> Potential Credit Event Period by payment of a cash amount equal to the Scheduled Redemption Amount to the Holder thereof, so long as the </w:t>
            </w:r>
            <w:r w:rsidR="00164657">
              <w:t>related</w:t>
            </w:r>
            <w:r w:rsidRPr="002B1C2B">
              <w:t xml:space="preserve"> Potential Failure to Pay </w:t>
            </w:r>
            <w:r w:rsidRPr="00792D61">
              <w:rPr>
                <w:b/>
              </w:rPr>
              <w:t>[</w:t>
            </w:r>
            <w:r w:rsidRPr="00DA386B">
              <w:rPr>
                <w:b/>
                <w:i/>
              </w:rPr>
              <w:t>if "Repudiation/Moratorium" is applicable, insert:</w:t>
            </w:r>
            <w:r w:rsidRPr="002B1C2B">
              <w:t xml:space="preserve"> , Potential Repudiation/Moratorium</w:t>
            </w:r>
            <w:r w:rsidRPr="00792D61">
              <w:rPr>
                <w:b/>
              </w:rPr>
              <w:t>]</w:t>
            </w:r>
            <w:r w:rsidRPr="002B1C2B">
              <w:t xml:space="preserve"> or DC Pending Request, as the case may be, has not resulted in the occurrence of a Credit Event Determination Date with respect to any such Potential </w:t>
            </w:r>
            <w:r w:rsidRPr="00792D61">
              <w:rPr>
                <w:b/>
              </w:rPr>
              <w:t>[</w:t>
            </w:r>
            <w:r w:rsidRPr="00DA386B">
              <w:rPr>
                <w:b/>
                <w:i/>
              </w:rPr>
              <w:t>insert relevant number:</w:t>
            </w:r>
            <w:r w:rsidRPr="002B1C2B">
              <w:t xml:space="preserve"> </w:t>
            </w:r>
            <w:r w:rsidRPr="00792D61">
              <w:rPr>
                <w:b/>
              </w:rPr>
              <w:t>[</w:t>
            </w:r>
            <w:r w:rsidRPr="002B1C2B">
              <w:t>1st</w:t>
            </w:r>
            <w:r w:rsidRPr="00792D61">
              <w:rPr>
                <w:b/>
              </w:rPr>
              <w:t>][</w:t>
            </w:r>
            <w:r w:rsidRPr="002B1C2B">
              <w:t>2nd</w:t>
            </w:r>
            <w:r w:rsidRPr="00792D61">
              <w:rPr>
                <w:b/>
              </w:rPr>
              <w:t>][</w:t>
            </w:r>
            <w:r w:rsidRPr="002B1C2B">
              <w:t>3rd</w:t>
            </w:r>
            <w:r w:rsidRPr="00792D61">
              <w:rPr>
                <w:b/>
              </w:rPr>
              <w:t>][[</w:t>
            </w:r>
            <w:r w:rsidRPr="00DA386B">
              <w:rPr>
                <w:rFonts w:ascii="Arial" w:hAnsi="Arial" w:cs="Arial"/>
              </w:rPr>
              <w:t>●</w:t>
            </w:r>
            <w:r w:rsidRPr="00792D61">
              <w:rPr>
                <w:b/>
              </w:rPr>
              <w:t>]]]</w:t>
            </w:r>
            <w:r w:rsidRPr="002B1C2B">
              <w:t xml:space="preserve">-to-Default Reference Entity and no such Reference Entity has been determined to be the </w:t>
            </w:r>
            <w:r w:rsidRPr="00792D61">
              <w:rPr>
                <w:b/>
              </w:rPr>
              <w:t>[</w:t>
            </w:r>
            <w:r w:rsidRPr="00857517">
              <w:rPr>
                <w:b/>
                <w:i/>
              </w:rPr>
              <w:t>insert relevant number:</w:t>
            </w:r>
            <w:r w:rsidRPr="002B1C2B">
              <w:t xml:space="preserve"> </w:t>
            </w:r>
            <w:r w:rsidRPr="00792D61">
              <w:rPr>
                <w:b/>
              </w:rPr>
              <w:t>[</w:t>
            </w:r>
            <w:r w:rsidRPr="002B1C2B">
              <w:t>1st</w:t>
            </w:r>
            <w:r w:rsidRPr="00792D61">
              <w:rPr>
                <w:b/>
              </w:rPr>
              <w:t>][</w:t>
            </w:r>
            <w:r w:rsidRPr="002B1C2B">
              <w:t>2nd</w:t>
            </w:r>
            <w:r w:rsidRPr="00792D61">
              <w:rPr>
                <w:b/>
              </w:rPr>
              <w:t>][</w:t>
            </w:r>
            <w:r w:rsidRPr="002B1C2B">
              <w:t>3rd</w:t>
            </w:r>
            <w:r w:rsidRPr="00792D61">
              <w:rPr>
                <w:b/>
              </w:rPr>
              <w:t>][[</w:t>
            </w:r>
            <w:r w:rsidRPr="00DA386B">
              <w:rPr>
                <w:rFonts w:ascii="Arial" w:hAnsi="Arial" w:cs="Arial"/>
              </w:rPr>
              <w:t>●</w:t>
            </w:r>
            <w:r w:rsidRPr="00792D61">
              <w:rPr>
                <w:b/>
              </w:rPr>
              <w:t>]]]</w:t>
            </w:r>
            <w:r w:rsidRPr="002B1C2B">
              <w:t>-to-Default Reference Entity as of the date of such redemption. For any postponement of the payment of the Scheduled Redemption Amount no default interest or other compensation payments shall be payable to the Holders.</w:t>
            </w:r>
            <w:r w:rsidRPr="00792D61">
              <w:rPr>
                <w:b/>
              </w:rPr>
              <w:t>]]</w:t>
            </w:r>
          </w:p>
        </w:tc>
        <w:tc>
          <w:tcPr>
            <w:tcW w:w="4936" w:type="dxa"/>
            <w:gridSpan w:val="3"/>
            <w:tcBorders>
              <w:top w:val="nil"/>
              <w:bottom w:val="nil"/>
              <w:right w:val="nil"/>
            </w:tcBorders>
            <w:shd w:val="clear" w:color="auto" w:fill="auto"/>
          </w:tcPr>
          <w:p w:rsidR="0017135D" w:rsidRPr="00824D87" w:rsidP="00164657">
            <w:pPr>
              <w:pStyle w:val="CSBody8pt"/>
              <w:rPr>
                <w:lang w:val="de-DE"/>
              </w:rPr>
            </w:pPr>
            <w:r w:rsidRPr="004C7098">
              <w:rPr>
                <w:i/>
                <w:lang w:val="de-DE"/>
              </w:rPr>
              <w:t>wobei jedoch</w:t>
            </w:r>
            <w:r w:rsidRPr="00824D87">
              <w:rPr>
                <w:lang w:val="de-DE"/>
              </w:rPr>
              <w:t xml:space="preserve"> die Emittentin nach ihrem Ermessen jedes Komplexe Produkt zu jedem Zeitpunkt </w:t>
            </w:r>
            <w:r w:rsidR="00164657">
              <w:rPr>
                <w:lang w:val="de-DE"/>
              </w:rPr>
              <w:t>eines</w:t>
            </w:r>
            <w:r w:rsidRPr="00824D87">
              <w:rPr>
                <w:lang w:val="de-DE"/>
              </w:rPr>
              <w:t xml:space="preserve"> Zeitraums eines Potenziellen Kreditereignisses durch Zahlung eines Geldbetrags in Höhe des Planmässigen Rückzahlungsbetrags an den jeweiligen Inhaber zurückzahlen kann, solange zum Zeitpunkt der Rückzahlung die </w:t>
            </w:r>
            <w:r w:rsidR="00164657">
              <w:rPr>
                <w:lang w:val="de-DE"/>
              </w:rPr>
              <w:t>diesbezügliche</w:t>
            </w:r>
            <w:r w:rsidRPr="00824D87">
              <w:rPr>
                <w:lang w:val="de-DE"/>
              </w:rPr>
              <w:t xml:space="preserve"> Potenzielle Nichtzahlung </w:t>
            </w:r>
            <w:r w:rsidRPr="00792D61">
              <w:rPr>
                <w:b/>
                <w:lang w:val="de-DE"/>
              </w:rPr>
              <w:t>[</w:t>
            </w:r>
            <w:r w:rsidRPr="00857517">
              <w:rPr>
                <w:b/>
                <w:i/>
                <w:lang w:val="de-DE"/>
              </w:rPr>
              <w:t>falls "Nichtanerkennung/Moratorium" anwendbar ist, einfügen:</w:t>
            </w:r>
            <w:r w:rsidRPr="00824D87">
              <w:rPr>
                <w:lang w:val="de-DE"/>
              </w:rPr>
              <w:t xml:space="preserve"> oder die jeweilige Potenzielle Nichtanerkennung / das jeweilige Potenzielle Moratorium</w:t>
            </w:r>
            <w:r w:rsidRPr="00792D61">
              <w:rPr>
                <w:b/>
                <w:lang w:val="de-DE"/>
              </w:rPr>
              <w:t>]</w:t>
            </w:r>
            <w:r w:rsidRPr="00824D87">
              <w:rPr>
                <w:lang w:val="de-DE"/>
              </w:rPr>
              <w:t xml:space="preserve"> oder ein Ausstehender Antrag nicht zu einem Kreditereignis-Feststellungstag bezüglich irgend eines dieser Potenziellen </w:t>
            </w:r>
            <w:r w:rsidRPr="00792D61">
              <w:rPr>
                <w:b/>
                <w:lang w:val="de-DE"/>
              </w:rPr>
              <w:t>[</w:t>
            </w:r>
            <w:r w:rsidRPr="00857517">
              <w:rPr>
                <w:b/>
                <w:i/>
                <w:lang w:val="de-DE"/>
              </w:rPr>
              <w:t>jeweilige Zahl einfügen:</w:t>
            </w:r>
            <w:r w:rsidRPr="00824D87">
              <w:rPr>
                <w:lang w:val="de-DE"/>
              </w:rPr>
              <w:t xml:space="preserve"> </w:t>
            </w:r>
            <w:r w:rsidRPr="00792D61">
              <w:rPr>
                <w:b/>
                <w:lang w:val="de-DE"/>
              </w:rPr>
              <w:t>[</w:t>
            </w:r>
            <w:r w:rsidRPr="00824D87">
              <w:rPr>
                <w:lang w:val="de-DE"/>
              </w:rPr>
              <w:t>1st</w:t>
            </w:r>
            <w:r w:rsidRPr="00792D61">
              <w:rPr>
                <w:b/>
                <w:lang w:val="de-DE"/>
              </w:rPr>
              <w:t>][</w:t>
            </w:r>
            <w:r w:rsidRPr="00824D87">
              <w:rPr>
                <w:lang w:val="de-DE"/>
              </w:rPr>
              <w:t>2nd</w:t>
            </w:r>
            <w:r w:rsidRPr="00792D61">
              <w:rPr>
                <w:b/>
                <w:lang w:val="de-DE"/>
              </w:rPr>
              <w:t>][</w:t>
            </w:r>
            <w:r w:rsidRPr="00824D87">
              <w:rPr>
                <w:lang w:val="de-DE"/>
              </w:rPr>
              <w:t>3rd</w:t>
            </w:r>
            <w:r w:rsidRPr="00792D61">
              <w:rPr>
                <w:b/>
                <w:lang w:val="de-DE"/>
              </w:rPr>
              <w:t>][</w:t>
            </w:r>
            <w:r w:rsidRPr="00857517">
              <w:rPr>
                <w:rFonts w:ascii="Arial" w:hAnsi="Arial" w:cs="Arial"/>
                <w:lang w:val="de-DE"/>
              </w:rPr>
              <w:t>●</w:t>
            </w:r>
            <w:r w:rsidRPr="00792D61">
              <w:rPr>
                <w:b/>
                <w:lang w:val="de-DE"/>
              </w:rPr>
              <w:t>]]]</w:t>
            </w:r>
            <w:r w:rsidRPr="00824D87">
              <w:rPr>
                <w:lang w:val="de-DE"/>
              </w:rPr>
              <w:t xml:space="preserve">-to-Default-Referenzschuldner geführt hat und </w:t>
            </w:r>
            <w:r>
              <w:rPr>
                <w:lang w:val="de-DE"/>
              </w:rPr>
              <w:t>k</w:t>
            </w:r>
            <w:r w:rsidRPr="00824D87">
              <w:rPr>
                <w:lang w:val="de-DE"/>
              </w:rPr>
              <w:t xml:space="preserve">einer dieser Referenzschuldner zum Zeitpunkt der Rückzahlung </w:t>
            </w:r>
            <w:r>
              <w:rPr>
                <w:lang w:val="de-DE"/>
              </w:rPr>
              <w:t>als</w:t>
            </w:r>
            <w:r w:rsidRPr="00824D87">
              <w:rPr>
                <w:lang w:val="de-DE"/>
              </w:rPr>
              <w:t xml:space="preserve"> </w:t>
            </w:r>
            <w:r w:rsidRPr="00792D61">
              <w:rPr>
                <w:b/>
                <w:lang w:val="de-DE"/>
              </w:rPr>
              <w:t>[</w:t>
            </w:r>
            <w:r w:rsidRPr="00857517">
              <w:rPr>
                <w:b/>
                <w:i/>
                <w:lang w:val="de-DE"/>
              </w:rPr>
              <w:t>jeweilige Zahl einfügen:</w:t>
            </w:r>
            <w:r w:rsidRPr="00824D87">
              <w:rPr>
                <w:lang w:val="de-DE"/>
              </w:rPr>
              <w:t xml:space="preserve"> </w:t>
            </w:r>
            <w:r w:rsidRPr="00792D61">
              <w:rPr>
                <w:b/>
                <w:lang w:val="de-DE"/>
              </w:rPr>
              <w:t>[</w:t>
            </w:r>
            <w:r w:rsidRPr="00824D87">
              <w:rPr>
                <w:lang w:val="de-DE"/>
              </w:rPr>
              <w:t>1st</w:t>
            </w:r>
            <w:r w:rsidRPr="00792D61">
              <w:rPr>
                <w:b/>
                <w:lang w:val="de-DE"/>
              </w:rPr>
              <w:t>][</w:t>
            </w:r>
            <w:r w:rsidRPr="00824D87">
              <w:rPr>
                <w:lang w:val="de-DE"/>
              </w:rPr>
              <w:t>2nd</w:t>
            </w:r>
            <w:r w:rsidRPr="00792D61">
              <w:rPr>
                <w:b/>
                <w:lang w:val="de-DE"/>
              </w:rPr>
              <w:t>][</w:t>
            </w:r>
            <w:r w:rsidRPr="00824D87">
              <w:rPr>
                <w:lang w:val="de-DE"/>
              </w:rPr>
              <w:t>3rd</w:t>
            </w:r>
            <w:r w:rsidRPr="00792D61">
              <w:rPr>
                <w:b/>
                <w:lang w:val="de-DE"/>
              </w:rPr>
              <w:t>][[</w:t>
            </w:r>
            <w:r w:rsidRPr="00857517">
              <w:rPr>
                <w:rFonts w:ascii="Arial" w:hAnsi="Arial" w:cs="Arial"/>
                <w:lang w:val="de-DE"/>
              </w:rPr>
              <w:t>●</w:t>
            </w:r>
            <w:r w:rsidRPr="00792D61">
              <w:rPr>
                <w:b/>
                <w:lang w:val="de-DE"/>
              </w:rPr>
              <w:t>]]</w:t>
            </w:r>
            <w:r w:rsidRPr="00824D87">
              <w:rPr>
                <w:lang w:val="de-DE"/>
              </w:rPr>
              <w:t xml:space="preserve">-to-Default-Referenzschuldner bestimmt </w:t>
            </w:r>
            <w:r>
              <w:rPr>
                <w:lang w:val="de-DE"/>
              </w:rPr>
              <w:t>wurde</w:t>
            </w:r>
            <w:r w:rsidRPr="00824D87">
              <w:rPr>
                <w:lang w:val="de-DE"/>
              </w:rPr>
              <w:t>. Für jede Verschiebung der Zahlung des Planmässigen Rückzahlungsbetrags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C3122" w:rsidP="001E3451">
            <w:pPr>
              <w:pStyle w:val="CSBody8ptbolditalics"/>
            </w:pPr>
            <w:r w:rsidRPr="00792D61">
              <w:t>[</w:t>
            </w:r>
            <w:r w:rsidRPr="00FC3122">
              <w:t>if a Basket is applicable, insert:</w:t>
            </w:r>
          </w:p>
        </w:tc>
        <w:tc>
          <w:tcPr>
            <w:tcW w:w="4936" w:type="dxa"/>
            <w:gridSpan w:val="3"/>
            <w:tcBorders>
              <w:top w:val="nil"/>
              <w:bottom w:val="nil"/>
              <w:right w:val="nil"/>
            </w:tcBorders>
            <w:shd w:val="clear" w:color="auto" w:fill="auto"/>
          </w:tcPr>
          <w:p w:rsidR="0017135D" w:rsidRPr="00824D87" w:rsidP="001E3451">
            <w:pPr>
              <w:pStyle w:val="CSBody8ptbolditalics"/>
              <w:rPr>
                <w:lang w:val="de-DE"/>
              </w:rPr>
            </w:pPr>
            <w:r w:rsidRPr="00792D61">
              <w:rPr>
                <w:lang w:val="de-DE"/>
              </w:rPr>
              <w:t>[</w:t>
            </w:r>
            <w:r w:rsidRPr="00824D87">
              <w:rPr>
                <w:lang w:val="de-DE"/>
              </w:rPr>
              <w:t>falls ein Korb anwendbar ist,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C3122" w:rsidP="00164657">
            <w:pPr>
              <w:pStyle w:val="CSBody8pt"/>
            </w:pPr>
            <w:r w:rsidRPr="00FC3122">
              <w:t>Unless previously redeemed, repurchased or cancelled, the Issuer shall redeem each Complex Product on the Scheduled Maturity Date by payment of a cash amount equal to the Scheduled Redemption Amount to the Holder thereof; provided, however, that, if a Potential Credit Event Period with respect to any</w:t>
            </w:r>
            <w:r w:rsidR="00164657">
              <w:t xml:space="preserve"> one or more</w:t>
            </w:r>
            <w:r w:rsidRPr="00FC3122">
              <w:t xml:space="preserve"> Reference Entit</w:t>
            </w:r>
            <w:r w:rsidR="00164657">
              <w:t>ies</w:t>
            </w:r>
            <w:r w:rsidRPr="00FC3122">
              <w:t xml:space="preserve"> that </w:t>
            </w:r>
            <w:r w:rsidR="00164657">
              <w:t>are</w:t>
            </w:r>
            <w:r w:rsidRPr="00FC3122">
              <w:t xml:space="preserve"> not Affected Reference Entit</w:t>
            </w:r>
            <w:r w:rsidR="00164657">
              <w:t>ies</w:t>
            </w:r>
            <w:r w:rsidRPr="00FC3122">
              <w:t xml:space="preserve"> has occurred on or prior to, and is continuing on, the Scheduled Maturity Date, the following shall apply:</w:t>
            </w:r>
          </w:p>
        </w:tc>
        <w:tc>
          <w:tcPr>
            <w:tcW w:w="4936" w:type="dxa"/>
            <w:gridSpan w:val="3"/>
            <w:tcBorders>
              <w:top w:val="nil"/>
              <w:bottom w:val="nil"/>
              <w:right w:val="nil"/>
            </w:tcBorders>
            <w:shd w:val="clear" w:color="auto" w:fill="auto"/>
          </w:tcPr>
          <w:p w:rsidR="0017135D" w:rsidRPr="00824D87" w:rsidP="00164657">
            <w:pPr>
              <w:pStyle w:val="CSBody8pt"/>
              <w:rPr>
                <w:lang w:val="de-DE"/>
              </w:rPr>
            </w:pPr>
            <w:r w:rsidRPr="00824D87">
              <w:rPr>
                <w:lang w:val="de-DE"/>
              </w:rPr>
              <w:t>Jedes Komplexe Produkt, das nicht bereits zuvor zurückgezahlt, zurückgekauft oder entwertet wurde, wird von der Emittentin am Planmässigen Fälligkeitstag durch Zahlung eines dem Planmässigen Rückzahlungsbetrag entsprechenden Geldbetrags an den jeweiligen Inhaber getilgt; wobei jedoch im Fall, dass ein Zeitraum eines Potenziellen Kreditereignisses in Bezug auf einen</w:t>
            </w:r>
            <w:r w:rsidR="00164657">
              <w:rPr>
                <w:lang w:val="de-DE"/>
              </w:rPr>
              <w:t xml:space="preserve"> oder mehrere</w:t>
            </w:r>
            <w:r w:rsidRPr="00824D87">
              <w:rPr>
                <w:lang w:val="de-DE"/>
              </w:rPr>
              <w:t xml:space="preserve"> Referenzschuldner, </w:t>
            </w:r>
            <w:r w:rsidR="00164657">
              <w:rPr>
                <w:lang w:val="de-DE"/>
              </w:rPr>
              <w:t>die</w:t>
            </w:r>
            <w:r w:rsidRPr="00824D87">
              <w:rPr>
                <w:lang w:val="de-DE"/>
              </w:rPr>
              <w:t xml:space="preserve"> kein</w:t>
            </w:r>
            <w:r w:rsidR="00164657">
              <w:rPr>
                <w:lang w:val="de-DE"/>
              </w:rPr>
              <w:t>e</w:t>
            </w:r>
            <w:r w:rsidRPr="00824D87">
              <w:rPr>
                <w:lang w:val="de-DE"/>
              </w:rPr>
              <w:t xml:space="preserve"> Betroffene</w:t>
            </w:r>
            <w:r w:rsidR="00164657">
              <w:rPr>
                <w:lang w:val="de-DE"/>
              </w:rPr>
              <w:t>n</w:t>
            </w:r>
            <w:r w:rsidRPr="00824D87">
              <w:rPr>
                <w:lang w:val="de-DE"/>
              </w:rPr>
              <w:t xml:space="preserve"> Referenzschuldner </w:t>
            </w:r>
            <w:r w:rsidR="00164657">
              <w:rPr>
                <w:lang w:val="de-DE"/>
              </w:rPr>
              <w:t>sind</w:t>
            </w:r>
            <w:r w:rsidRPr="00824D87">
              <w:rPr>
                <w:lang w:val="de-DE"/>
              </w:rPr>
              <w:t>, an oder vor dem Planmässigen Fälligkeitstag begonnen hat und an dem Planmässigen Fälligkeitstag andauert, folgendes gilt: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24D87" w:rsidP="00164657">
            <w:pPr>
              <w:pStyle w:val="CSManNum8pt"/>
            </w:pPr>
            <w:r w:rsidRPr="00824D87">
              <w:t>(i)</w:t>
            </w:r>
            <w:r w:rsidRPr="00824D87">
              <w:tab/>
              <w:t>(a) the Calculation Agent shall calculate the Scheduled Redemption Amount</w:t>
            </w:r>
            <w:r>
              <w:t xml:space="preserve"> per Complex Product</w:t>
            </w:r>
            <w:r w:rsidRPr="00824D87">
              <w:t xml:space="preserve"> </w:t>
            </w:r>
            <w:r w:rsidRPr="00824D87" w:rsidR="00164657">
              <w:t xml:space="preserve">as if </w:t>
            </w:r>
            <w:r w:rsidR="00164657">
              <w:t>all such Reference Entities</w:t>
            </w:r>
            <w:r w:rsidRPr="00824D87" w:rsidR="00164657">
              <w:t xml:space="preserve"> were Affected Reference Entit</w:t>
            </w:r>
            <w:r w:rsidR="00164657">
              <w:t>ies</w:t>
            </w:r>
            <w:r w:rsidRPr="00824D87" w:rsidR="00164657">
              <w:t xml:space="preserve"> </w:t>
            </w:r>
            <w:r w:rsidRPr="00824D87">
              <w:t>(such amount, the "</w:t>
            </w:r>
            <w:r w:rsidRPr="00857517">
              <w:rPr>
                <w:b/>
              </w:rPr>
              <w:t>Non-Affected Redemption Amount</w:t>
            </w:r>
            <w:r w:rsidRPr="00824D87">
              <w:t>"), and (b) the Issuer shall partially redeem each Complex Product by payment of a cash amount equal to the Non-Affected Redemption Amount on the Scheduled Maturity Date to the Holder thereof;</w:t>
            </w:r>
          </w:p>
        </w:tc>
        <w:tc>
          <w:tcPr>
            <w:tcW w:w="4936" w:type="dxa"/>
            <w:gridSpan w:val="3"/>
            <w:tcBorders>
              <w:top w:val="nil"/>
              <w:bottom w:val="nil"/>
              <w:right w:val="nil"/>
            </w:tcBorders>
            <w:shd w:val="clear" w:color="auto" w:fill="auto"/>
          </w:tcPr>
          <w:p w:rsidR="0017135D" w:rsidRPr="00824D87" w:rsidP="00942F00">
            <w:pPr>
              <w:pStyle w:val="CSManNum8pt"/>
              <w:rPr>
                <w:bCs/>
                <w:lang w:val="de-DE"/>
              </w:rPr>
            </w:pPr>
            <w:r w:rsidRPr="00824D87">
              <w:rPr>
                <w:bCs/>
                <w:lang w:val="de-DE"/>
              </w:rPr>
              <w:t>(i)</w:t>
            </w:r>
            <w:r w:rsidRPr="00824D87">
              <w:rPr>
                <w:bCs/>
                <w:lang w:val="de-DE"/>
              </w:rPr>
              <w:tab/>
              <w:t xml:space="preserve">(a) die Berechnungsstelle wird den Planmässigen Rückzahlungsbetrag pro Komplexes Produkt </w:t>
            </w:r>
            <w:r w:rsidR="00942F00">
              <w:rPr>
                <w:bCs/>
                <w:lang w:val="de-DE"/>
              </w:rPr>
              <w:t xml:space="preserve">so berechnen, </w:t>
            </w:r>
            <w:r w:rsidRPr="00824D87" w:rsidR="006E791C">
              <w:rPr>
                <w:bCs/>
                <w:lang w:val="de-DE"/>
              </w:rPr>
              <w:t xml:space="preserve">als ob </w:t>
            </w:r>
            <w:r w:rsidR="006E791C">
              <w:rPr>
                <w:bCs/>
                <w:lang w:val="de-DE"/>
              </w:rPr>
              <w:t xml:space="preserve">alle </w:t>
            </w:r>
            <w:r w:rsidRPr="00824D87" w:rsidR="006E791C">
              <w:rPr>
                <w:bCs/>
                <w:lang w:val="de-DE"/>
              </w:rPr>
              <w:t>diese Referenzschuldner Betroffene Referenzschuldner wäre</w:t>
            </w:r>
            <w:r w:rsidR="006E791C">
              <w:rPr>
                <w:bCs/>
                <w:lang w:val="de-DE"/>
              </w:rPr>
              <w:t>n</w:t>
            </w:r>
            <w:r w:rsidRPr="00824D87" w:rsidR="006E791C">
              <w:rPr>
                <w:bCs/>
                <w:lang w:val="de-DE"/>
              </w:rPr>
              <w:t xml:space="preserve"> </w:t>
            </w:r>
            <w:r w:rsidRPr="00824D87">
              <w:rPr>
                <w:bCs/>
                <w:lang w:val="de-DE"/>
              </w:rPr>
              <w:t>(ein solcher Betrag der "</w:t>
            </w:r>
            <w:r w:rsidRPr="00857517">
              <w:rPr>
                <w:b/>
                <w:bCs/>
                <w:lang w:val="de-DE"/>
              </w:rPr>
              <w:t>Nicht-Betroffene-Rückzahlungsbetrag</w:t>
            </w:r>
            <w:r w:rsidRPr="00824D87">
              <w:rPr>
                <w:bCs/>
                <w:lang w:val="de-DE"/>
              </w:rPr>
              <w:t>"), und (b) die Emittentin wird am Planmässigen Fälligkeitstag jedes Komplexe Produkt teilweise durch Zahlung eines Geldbetrags in Höhe des Nicht-Betroffenen Rückzahlungsbetrags an den jeweiligen Inhaber zurückzahlen;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24D87" w:rsidP="00942F00">
            <w:pPr>
              <w:pStyle w:val="CSManNum8pt"/>
            </w:pPr>
            <w:r w:rsidRPr="00824D87">
              <w:t>(ii)</w:t>
            </w:r>
            <w:r w:rsidRPr="00824D87">
              <w:tab/>
              <w:t xml:space="preserve">if the relevant Potential Failure to Pay </w:t>
            </w:r>
            <w:r w:rsidRPr="00792D61">
              <w:rPr>
                <w:b/>
              </w:rPr>
              <w:t>[</w:t>
            </w:r>
            <w:r w:rsidRPr="00857517">
              <w:rPr>
                <w:b/>
                <w:i/>
              </w:rPr>
              <w:t>if "Repudiation/Moratorium" is applicable, insert:</w:t>
            </w:r>
            <w:r w:rsidRPr="00824D87">
              <w:t xml:space="preserve"> , Potential Repudiation / Moratorium</w:t>
            </w:r>
            <w:r w:rsidRPr="00792D61">
              <w:rPr>
                <w:b/>
              </w:rPr>
              <w:t>]</w:t>
            </w:r>
            <w:r w:rsidRPr="00824D87">
              <w:t xml:space="preserve"> or DC Pending Request, as the case may be, with respect to</w:t>
            </w:r>
            <w:r w:rsidR="00942F00">
              <w:t xml:space="preserve"> any</w:t>
            </w:r>
            <w:r w:rsidRPr="00824D87">
              <w:t xml:space="preserve"> such Reference Entity </w:t>
            </w:r>
            <w:r w:rsidRPr="00857517">
              <w:rPr>
                <w:b/>
              </w:rPr>
              <w:t>results</w:t>
            </w:r>
            <w:r w:rsidRPr="00824D87">
              <w:t xml:space="preserve"> in the occurrence of a Credit Event Determination Date with respect to such Reference Entity, as determined on or prior to the last day of </w:t>
            </w:r>
            <w:r w:rsidR="00164657">
              <w:t>the relevant</w:t>
            </w:r>
            <w:r w:rsidRPr="00824D87">
              <w:t xml:space="preserve"> Potential Credit Event Period, the Issuer shall </w:t>
            </w:r>
            <w:r w:rsidRPr="00792D61">
              <w:rPr>
                <w:b/>
              </w:rPr>
              <w:t>[</w:t>
            </w:r>
            <w:r w:rsidRPr="00857517">
              <w:rPr>
                <w:b/>
                <w:i/>
              </w:rPr>
              <w:t>in the case of Credit-Linked Complex Products with auction settlement, insert:</w:t>
            </w:r>
            <w:r w:rsidRPr="00824D87">
              <w:t xml:space="preserve"> redeem the remaining portion of the Principal Amount of each Complex Product equal to the Reference Entity Principal Amount of such Affected Reference Entity pursuant to Section 2.2</w:t>
            </w:r>
            <w:r w:rsidRPr="00792D61">
              <w:rPr>
                <w:b/>
              </w:rPr>
              <w:t>][</w:t>
            </w:r>
            <w:r w:rsidRPr="00857517">
              <w:rPr>
                <w:b/>
                <w:i/>
              </w:rPr>
              <w:t>in the case of Credit-Linked Complex Products with Zero-Recovery feature</w:t>
            </w:r>
            <w:r>
              <w:rPr>
                <w:b/>
                <w:i/>
              </w:rPr>
              <w:t xml:space="preserve"> linked to a basket</w:t>
            </w:r>
            <w:r w:rsidRPr="00857517">
              <w:rPr>
                <w:b/>
                <w:i/>
              </w:rPr>
              <w:t>, insert:</w:t>
            </w:r>
            <w:r w:rsidRPr="00824D87">
              <w:t xml:space="preserve"> write down the Reference Entity Principal Amount relating to </w:t>
            </w:r>
            <w:r w:rsidR="00164657">
              <w:t>such</w:t>
            </w:r>
            <w:r w:rsidRPr="00824D87">
              <w:t xml:space="preserve"> Affected Reference Entity to zero</w:t>
            </w:r>
            <w:r>
              <w:t xml:space="preserve"> </w:t>
            </w:r>
            <w:r w:rsidRPr="00AF374A">
              <w:t>and the Outstanding Principal Amount shall be reduced accordingly</w:t>
            </w:r>
            <w:r w:rsidRPr="00824D87">
              <w:t xml:space="preserve"> and no further payments shall be made in respect of such Reference Entity Principal Amount to the Holders of the Complex Products</w:t>
            </w:r>
            <w:r w:rsidRPr="00792D61">
              <w:rPr>
                <w:b/>
              </w:rPr>
              <w:t>]</w:t>
            </w:r>
            <w:r w:rsidRPr="00824D87">
              <w:t>; and</w:t>
            </w:r>
          </w:p>
        </w:tc>
        <w:tc>
          <w:tcPr>
            <w:tcW w:w="4936" w:type="dxa"/>
            <w:gridSpan w:val="3"/>
            <w:tcBorders>
              <w:top w:val="nil"/>
              <w:bottom w:val="nil"/>
              <w:right w:val="nil"/>
            </w:tcBorders>
            <w:shd w:val="clear" w:color="auto" w:fill="auto"/>
          </w:tcPr>
          <w:p w:rsidR="0017135D" w:rsidRPr="00824D87" w:rsidP="00942F00">
            <w:pPr>
              <w:pStyle w:val="CSManNum8pt"/>
              <w:rPr>
                <w:bCs/>
                <w:lang w:val="de-DE"/>
              </w:rPr>
            </w:pPr>
            <w:r w:rsidRPr="00824D87">
              <w:rPr>
                <w:bCs/>
                <w:lang w:val="de-DE"/>
              </w:rPr>
              <w:t>(ii)</w:t>
            </w:r>
            <w:r w:rsidRPr="00824D87">
              <w:rPr>
                <w:bCs/>
                <w:lang w:val="de-DE"/>
              </w:rPr>
              <w:tab/>
              <w:t xml:space="preserve">falls die jeweilige Potenzielle Nichtzahlung </w:t>
            </w:r>
            <w:r w:rsidRPr="00792D61">
              <w:rPr>
                <w:b/>
                <w:bCs/>
                <w:lang w:val="de-DE"/>
              </w:rPr>
              <w:t>[</w:t>
            </w:r>
            <w:r w:rsidRPr="00857517">
              <w:rPr>
                <w:b/>
                <w:bCs/>
                <w:i/>
                <w:lang w:val="de-DE"/>
              </w:rPr>
              <w:t>falls "Nichtanerkennung/Moratorium" anwendbar ist, einfügen:</w:t>
            </w:r>
            <w:r w:rsidRPr="00824D87">
              <w:rPr>
                <w:bCs/>
                <w:lang w:val="de-DE"/>
              </w:rPr>
              <w:t xml:space="preserve"> die jeweilige Potenzielle Nichtanerkennung / das jeweilige Potenzielle Moratorium</w:t>
            </w:r>
            <w:r w:rsidRPr="00792D61">
              <w:rPr>
                <w:b/>
                <w:bCs/>
                <w:lang w:val="de-DE"/>
              </w:rPr>
              <w:t>]</w:t>
            </w:r>
            <w:r w:rsidRPr="00824D87">
              <w:rPr>
                <w:bCs/>
                <w:lang w:val="de-DE"/>
              </w:rPr>
              <w:t xml:space="preserve"> oder ein Ausstehender Antrag in Bezug auf </w:t>
            </w:r>
            <w:r w:rsidR="00942F00">
              <w:rPr>
                <w:bCs/>
                <w:lang w:val="de-DE"/>
              </w:rPr>
              <w:t xml:space="preserve">einen </w:t>
            </w:r>
            <w:r w:rsidRPr="00824D87">
              <w:rPr>
                <w:bCs/>
                <w:lang w:val="de-DE"/>
              </w:rPr>
              <w:t>diese</w:t>
            </w:r>
            <w:r w:rsidR="00942F00">
              <w:rPr>
                <w:bCs/>
                <w:lang w:val="de-DE"/>
              </w:rPr>
              <w:t>r</w:t>
            </w:r>
            <w:r w:rsidRPr="00824D87">
              <w:rPr>
                <w:bCs/>
                <w:lang w:val="de-DE"/>
              </w:rPr>
              <w:t xml:space="preserve"> Referenzschuldner zu einem Kreditereignis-Feststellungstag in Bezug auf diesen Referenzschuldner</w:t>
            </w:r>
            <w:r w:rsidRPr="00857517" w:rsidR="00942F00">
              <w:rPr>
                <w:b/>
                <w:bCs/>
                <w:lang w:val="de-DE"/>
              </w:rPr>
              <w:t xml:space="preserve"> führt</w:t>
            </w:r>
            <w:r w:rsidRPr="00824D87">
              <w:rPr>
                <w:bCs/>
                <w:lang w:val="de-DE"/>
              </w:rPr>
              <w:t xml:space="preserve">, wie an oder vor dem letzten Tag dieses Zeitraums eines Potenziellen Kreditereignisses festgestellt, wird die Emittentin </w:t>
            </w:r>
            <w:r w:rsidRPr="00792D61">
              <w:rPr>
                <w:b/>
                <w:bCs/>
                <w:lang w:val="de-DE"/>
              </w:rPr>
              <w:t>[</w:t>
            </w:r>
            <w:r w:rsidRPr="00857517">
              <w:rPr>
                <w:b/>
                <w:bCs/>
                <w:i/>
                <w:lang w:val="de-DE"/>
              </w:rPr>
              <w:t>bei Kreditbezogenen Komplexen Produkten mit Auktionsabwicklung einfügen:</w:t>
            </w:r>
            <w:r w:rsidRPr="00824D87">
              <w:rPr>
                <w:bCs/>
                <w:lang w:val="de-DE"/>
              </w:rPr>
              <w:t xml:space="preserve"> den verbleibenden Teil des Nennbetrags jedes Komplexen Produkts, der dem Referenzschuldner-Nennbetrag des jeweiligen Betroffenen Referenzschuldners entspricht, gemäss Ziffer 2.2 zurückzahlen</w:t>
            </w:r>
            <w:r w:rsidRPr="00792D61">
              <w:rPr>
                <w:b/>
                <w:bCs/>
                <w:lang w:val="de-DE"/>
              </w:rPr>
              <w:t>][</w:t>
            </w:r>
            <w:r w:rsidRPr="00857517">
              <w:rPr>
                <w:b/>
                <w:bCs/>
                <w:i/>
                <w:lang w:val="de-DE"/>
              </w:rPr>
              <w:t>bei Kreditbezogenen Komplexen Produkten mit Zero-Recovery-Merkmal</w:t>
            </w:r>
            <w:r>
              <w:rPr>
                <w:b/>
                <w:bCs/>
                <w:i/>
                <w:lang w:val="de-DE"/>
              </w:rPr>
              <w:t>, die an einen Korb gekoppelt sind,</w:t>
            </w:r>
            <w:r w:rsidRPr="00857517">
              <w:rPr>
                <w:b/>
                <w:bCs/>
                <w:i/>
                <w:lang w:val="de-DE"/>
              </w:rPr>
              <w:t xml:space="preserve"> einfügen:</w:t>
            </w:r>
            <w:r w:rsidRPr="00824D87">
              <w:rPr>
                <w:bCs/>
                <w:lang w:val="de-DE"/>
              </w:rPr>
              <w:t xml:space="preserve"> den Referenzschuldner-Nennbetrag </w:t>
            </w:r>
            <w:r w:rsidR="00942F00">
              <w:rPr>
                <w:bCs/>
                <w:lang w:val="de-DE"/>
              </w:rPr>
              <w:t>in Bezug auf diesen</w:t>
            </w:r>
            <w:r w:rsidRPr="00824D87">
              <w:rPr>
                <w:bCs/>
                <w:lang w:val="de-DE"/>
              </w:rPr>
              <w:t xml:space="preserve"> Betroffenen Referenzschuldners auf null herab setzen</w:t>
            </w:r>
            <w:r>
              <w:rPr>
                <w:bCs/>
                <w:lang w:val="de-DE"/>
              </w:rPr>
              <w:t xml:space="preserve"> und der Ausstehende Nennbetrag wird entsprechend</w:t>
            </w:r>
            <w:r w:rsidRPr="00824D87">
              <w:rPr>
                <w:bCs/>
                <w:lang w:val="de-DE"/>
              </w:rPr>
              <w:t xml:space="preserve"> und es werden keine weiteren Zahlungen in Bezug auf diesen Referenzschuldner-Nennbetrag mehr an die Inhaber der Komplexen Produkte geleistet</w:t>
            </w:r>
            <w:r w:rsidRPr="00792D61">
              <w:rPr>
                <w:b/>
                <w:bCs/>
                <w:lang w:val="de-DE"/>
              </w:rPr>
              <w:t>]</w:t>
            </w:r>
            <w:r w:rsidRPr="00824D87">
              <w:rPr>
                <w:bCs/>
                <w:lang w:val="de-DE"/>
              </w:rPr>
              <w:t>;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24D87" w:rsidP="00164657">
            <w:pPr>
              <w:pStyle w:val="CSManNum8pt"/>
            </w:pPr>
            <w:r w:rsidRPr="00824D87">
              <w:t>(iii)</w:t>
            </w:r>
            <w:r w:rsidRPr="00824D87">
              <w:tab/>
              <w:t xml:space="preserve">if the relevant Potential Failure to Pay </w:t>
            </w:r>
            <w:r w:rsidRPr="00792D61">
              <w:rPr>
                <w:b/>
              </w:rPr>
              <w:t>[</w:t>
            </w:r>
            <w:r>
              <w:rPr>
                <w:b/>
                <w:i/>
              </w:rPr>
              <w:t>if Repudia</w:t>
            </w:r>
            <w:r w:rsidRPr="00857517">
              <w:rPr>
                <w:b/>
                <w:i/>
              </w:rPr>
              <w:t>tion/Moratorium is applicable, insert:</w:t>
            </w:r>
            <w:r w:rsidRPr="00824D87">
              <w:t xml:space="preserve"> , Potential Repudiation/Moratorium</w:t>
            </w:r>
            <w:r w:rsidRPr="00792D61">
              <w:rPr>
                <w:b/>
              </w:rPr>
              <w:t>]</w:t>
            </w:r>
            <w:r w:rsidRPr="00824D87">
              <w:t xml:space="preserve"> or DC Pending Request, as the case may be, with respect to</w:t>
            </w:r>
            <w:r w:rsidR="00164657">
              <w:t xml:space="preserve"> any</w:t>
            </w:r>
            <w:r w:rsidRPr="00824D87">
              <w:t xml:space="preserve"> such Reference Entity </w:t>
            </w:r>
            <w:r w:rsidRPr="00857517">
              <w:rPr>
                <w:b/>
              </w:rPr>
              <w:t>does not result</w:t>
            </w:r>
            <w:r w:rsidRPr="00824D87">
              <w:t xml:space="preserve"> in the occurrence of a Credit Event Determination Date with respect to such Reference Entity , as determined on or prior to the last day of such Potential Credit Event Period, (a) the Calculation Agent shall calculate the difference between (1) the Scheduled Redemption Amount per Complex Product that would have been paid on Scheduled Maturity Date if such Reference Entity had not been treated as an Affected Reference Entity, and (2) the Non-Affected Redemption Amount (such difference, the "</w:t>
            </w:r>
            <w:r w:rsidRPr="00857517">
              <w:rPr>
                <w:b/>
              </w:rPr>
              <w:t>Remaining Scheduled Redemption Amount</w:t>
            </w:r>
            <w:r w:rsidRPr="00824D87">
              <w:t xml:space="preserve">") and (b) the Issuer shall pay an amount in cash per Complex Product equal to the Remaining Scheduled Redemption Amount on the </w:t>
            </w:r>
            <w:r w:rsidRPr="00792D61">
              <w:rPr>
                <w:b/>
              </w:rPr>
              <w:t>[</w:t>
            </w:r>
            <w:r w:rsidRPr="00824D87">
              <w:t>fifth</w:t>
            </w:r>
            <w:r w:rsidRPr="00792D61">
              <w:rPr>
                <w:b/>
              </w:rPr>
              <w:t>][[</w:t>
            </w:r>
            <w:r w:rsidRPr="00824D87">
              <w:rPr>
                <w:rFonts w:ascii="Arial" w:hAnsi="Arial" w:cs="Arial"/>
              </w:rPr>
              <w:t>●</w:t>
            </w:r>
            <w:r w:rsidRPr="00792D61">
              <w:rPr>
                <w:b/>
              </w:rPr>
              <w:t>]]</w:t>
            </w:r>
            <w:r w:rsidRPr="00824D87">
              <w:t xml:space="preserve"> Business Day following the last day of </w:t>
            </w:r>
            <w:r w:rsidR="00164657">
              <w:t>the relevant</w:t>
            </w:r>
            <w:r w:rsidRPr="00824D87">
              <w:t xml:space="preserve"> Potential Credit Event Period to the Holder thereof</w:t>
            </w:r>
            <w:r w:rsidRPr="00792D61">
              <w:rPr>
                <w:b/>
              </w:rPr>
              <w:t>[</w:t>
            </w:r>
            <w:r w:rsidRPr="00824D87">
              <w:t>.</w:t>
            </w:r>
            <w:r w:rsidRPr="00792D61">
              <w:rPr>
                <w:b/>
              </w:rPr>
              <w:t>][</w:t>
            </w:r>
            <w:r w:rsidRPr="00857517">
              <w:rPr>
                <w:b/>
                <w:i/>
              </w:rPr>
              <w:t>insert, if applicable:</w:t>
            </w:r>
          </w:p>
        </w:tc>
        <w:tc>
          <w:tcPr>
            <w:tcW w:w="4936" w:type="dxa"/>
            <w:gridSpan w:val="3"/>
            <w:tcBorders>
              <w:top w:val="nil"/>
              <w:bottom w:val="nil"/>
              <w:right w:val="nil"/>
            </w:tcBorders>
            <w:shd w:val="clear" w:color="auto" w:fill="auto"/>
          </w:tcPr>
          <w:p w:rsidR="0017135D" w:rsidRPr="00824D87" w:rsidP="00942F00">
            <w:pPr>
              <w:pStyle w:val="CSManNum8pt"/>
              <w:rPr>
                <w:bCs/>
                <w:lang w:val="de-DE"/>
              </w:rPr>
            </w:pPr>
            <w:r w:rsidRPr="00824D87">
              <w:rPr>
                <w:bCs/>
                <w:lang w:val="de-DE"/>
              </w:rPr>
              <w:t>(iii)</w:t>
            </w:r>
            <w:r w:rsidRPr="00824D87">
              <w:rPr>
                <w:bCs/>
                <w:lang w:val="de-DE"/>
              </w:rPr>
              <w:tab/>
              <w:t xml:space="preserve">falls die jeweilige Potenzielle Nichtzahlung </w:t>
            </w:r>
            <w:r w:rsidRPr="00792D61">
              <w:rPr>
                <w:b/>
                <w:bCs/>
                <w:lang w:val="de-DE"/>
              </w:rPr>
              <w:t>[</w:t>
            </w:r>
            <w:r w:rsidRPr="00857517">
              <w:rPr>
                <w:b/>
                <w:bCs/>
                <w:i/>
                <w:lang w:val="de-DE"/>
              </w:rPr>
              <w:t>falls "Nichtanerkennung/Moratorium" anwendbar ist, einfügen:</w:t>
            </w:r>
            <w:r w:rsidRPr="00824D87">
              <w:rPr>
                <w:bCs/>
                <w:lang w:val="de-DE"/>
              </w:rPr>
              <w:t xml:space="preserve"> oder die jeweilige Potenzielle Nichtanerkennung / das jeweilige Potenzielle Moratorium</w:t>
            </w:r>
            <w:r w:rsidRPr="00792D61">
              <w:rPr>
                <w:b/>
                <w:bCs/>
                <w:lang w:val="de-DE"/>
              </w:rPr>
              <w:t>]</w:t>
            </w:r>
            <w:r w:rsidRPr="00824D87">
              <w:rPr>
                <w:bCs/>
                <w:lang w:val="de-DE"/>
              </w:rPr>
              <w:t xml:space="preserve"> oder ein Ausstehender Antrag in Bezug auf </w:t>
            </w:r>
            <w:r w:rsidR="00942F00">
              <w:rPr>
                <w:bCs/>
                <w:lang w:val="de-DE"/>
              </w:rPr>
              <w:t>einen dieser</w:t>
            </w:r>
            <w:r w:rsidRPr="00824D87">
              <w:rPr>
                <w:bCs/>
                <w:lang w:val="de-DE"/>
              </w:rPr>
              <w:t xml:space="preserve"> Referenzschuldner </w:t>
            </w:r>
            <w:r w:rsidRPr="00857517">
              <w:rPr>
                <w:b/>
                <w:bCs/>
                <w:lang w:val="de-DE"/>
              </w:rPr>
              <w:t>nicht</w:t>
            </w:r>
            <w:r w:rsidRPr="00824D87">
              <w:rPr>
                <w:bCs/>
                <w:lang w:val="de-DE"/>
              </w:rPr>
              <w:t xml:space="preserve"> zu einem Kreditereignis-Feststellungstag </w:t>
            </w:r>
            <w:r>
              <w:rPr>
                <w:bCs/>
                <w:lang w:val="de-DE"/>
              </w:rPr>
              <w:t xml:space="preserve">in Bezug auf diesen Referenzschuldner </w:t>
            </w:r>
            <w:r w:rsidRPr="00857517">
              <w:rPr>
                <w:b/>
                <w:bCs/>
                <w:lang w:val="de-DE"/>
              </w:rPr>
              <w:t>führt</w:t>
            </w:r>
            <w:r w:rsidRPr="00824D87">
              <w:rPr>
                <w:bCs/>
                <w:lang w:val="de-DE"/>
              </w:rPr>
              <w:t>, wie an oder vor dem letzten Tag dieses Zeitraums eines Potenziellen Kreditereignisses festgestellt, (a) wird die Berechnungsstelle die Differenz aus (1) dem Planmässigen Rückzahlungsbetrag pro Komplexes Produkt, der am Planmässigen Rückzahlungstag gezahlt worden wäre, wenn dieser Referenzschuldner nicht als Betroffener Referenzschuldner behandelt worden wäre, und (2) dem Nicht-Betroffenen Rückzahlungsbetrag (diese Differenz der "</w:t>
            </w:r>
            <w:r w:rsidRPr="0013781B">
              <w:rPr>
                <w:b/>
                <w:bCs/>
                <w:lang w:val="de-DE"/>
              </w:rPr>
              <w:t>Rest-Rückzahlungsbetrag</w:t>
            </w:r>
            <w:r w:rsidRPr="00824D87">
              <w:rPr>
                <w:bCs/>
                <w:lang w:val="de-DE"/>
              </w:rPr>
              <w:t xml:space="preserve">") berechnen und (b) wird die Emittentin einen Geldbetrag pro Komplexes Produkt, der dem Rest-Rückzahlungsbetrag entspricht, am </w:t>
            </w:r>
            <w:r w:rsidRPr="00792D61">
              <w:rPr>
                <w:b/>
                <w:bCs/>
                <w:lang w:val="de-DE"/>
              </w:rPr>
              <w:t>[</w:t>
            </w:r>
            <w:r w:rsidRPr="00824D87">
              <w:rPr>
                <w:bCs/>
                <w:lang w:val="de-DE"/>
              </w:rPr>
              <w:t>fünften</w:t>
            </w:r>
            <w:r w:rsidRPr="00792D61">
              <w:rPr>
                <w:b/>
                <w:bCs/>
                <w:lang w:val="de-DE"/>
              </w:rPr>
              <w:t>][[</w:t>
            </w:r>
            <w:r w:rsidRPr="00824D87">
              <w:rPr>
                <w:rFonts w:ascii="Arial" w:hAnsi="Arial" w:cs="Arial"/>
                <w:bCs/>
                <w:lang w:val="de-DE"/>
              </w:rPr>
              <w:t>●</w:t>
            </w:r>
            <w:r w:rsidRPr="00792D61">
              <w:rPr>
                <w:b/>
                <w:bCs/>
                <w:lang w:val="de-DE"/>
              </w:rPr>
              <w:t>]]</w:t>
            </w:r>
            <w:r w:rsidRPr="00824D87">
              <w:rPr>
                <w:bCs/>
                <w:lang w:val="de-DE"/>
              </w:rPr>
              <w:t xml:space="preserve"> Gesch</w:t>
            </w:r>
            <w:r w:rsidRPr="00824D87">
              <w:rPr>
                <w:rFonts w:cs="Credit Suisse Type Light"/>
                <w:bCs/>
                <w:lang w:val="de-DE"/>
              </w:rPr>
              <w:t>ä</w:t>
            </w:r>
            <w:r w:rsidRPr="00824D87">
              <w:rPr>
                <w:bCs/>
                <w:lang w:val="de-DE"/>
              </w:rPr>
              <w:t xml:space="preserve">ftstag nach dem letzten Tag </w:t>
            </w:r>
            <w:r w:rsidR="00942F00">
              <w:rPr>
                <w:bCs/>
                <w:lang w:val="de-DE"/>
              </w:rPr>
              <w:t>des jeweiligen</w:t>
            </w:r>
            <w:r w:rsidRPr="00824D87">
              <w:rPr>
                <w:bCs/>
                <w:lang w:val="de-DE"/>
              </w:rPr>
              <w:t xml:space="preserve"> Zeitraums eines Potenziellen Kreditereignisses an den jeweiligen Inhaber zahlen</w:t>
            </w:r>
            <w:r w:rsidRPr="00792D61">
              <w:rPr>
                <w:b/>
                <w:bCs/>
                <w:lang w:val="de-DE"/>
              </w:rPr>
              <w:t>[</w:t>
            </w:r>
            <w:r w:rsidRPr="00824D87">
              <w:rPr>
                <w:bCs/>
                <w:lang w:val="de-DE"/>
              </w:rPr>
              <w:t>.</w:t>
            </w:r>
            <w:r w:rsidRPr="00792D61">
              <w:rPr>
                <w:b/>
                <w:bCs/>
                <w:lang w:val="de-DE"/>
              </w:rPr>
              <w:t>][</w:t>
            </w:r>
            <w:r w:rsidRPr="0013781B">
              <w:rPr>
                <w:b/>
                <w:bCs/>
                <w:i/>
                <w:lang w:val="de-DE"/>
              </w:rPr>
              <w:t>falls anwendbar, einf</w:t>
            </w:r>
            <w:r w:rsidRPr="0013781B">
              <w:rPr>
                <w:rFonts w:cs="Credit Suisse Type Light"/>
                <w:b/>
                <w:bCs/>
                <w:i/>
                <w:lang w:val="de-DE"/>
              </w:rPr>
              <w:t>ü</w:t>
            </w:r>
            <w:r w:rsidRPr="0013781B">
              <w:rPr>
                <w:b/>
                <w:bCs/>
                <w:i/>
                <w:lang w:val="de-DE"/>
              </w:rPr>
              <w:t>gen:</w:t>
            </w:r>
            <w:r w:rsidRPr="00824D87">
              <w:rPr>
                <w:bCs/>
                <w:lang w:val="de-DE"/>
              </w:rPr>
              <w:t xml:space="preserve"> ;</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F16C4" w:rsidP="00164657">
            <w:pPr>
              <w:pStyle w:val="CSBody8pt"/>
            </w:pPr>
            <w:r w:rsidRPr="004C7098">
              <w:rPr>
                <w:i/>
              </w:rPr>
              <w:t>provided, however</w:t>
            </w:r>
            <w:r w:rsidRPr="00EF16C4">
              <w:t xml:space="preserve">, that the Issuer may elect in its discretion to pay the Remaining Scheduled Redemption Amount </w:t>
            </w:r>
            <w:r w:rsidR="00164657">
              <w:t xml:space="preserve">of any or all such Reference Entities </w:t>
            </w:r>
            <w:r w:rsidRPr="00EF16C4">
              <w:t xml:space="preserve">per Complex Product at any time during the related Potential Credit Event Period to the Holder thereof, so long as the relevant Potential Failure to Pay </w:t>
            </w:r>
            <w:r w:rsidRPr="00792D61">
              <w:rPr>
                <w:b/>
              </w:rPr>
              <w:t>[</w:t>
            </w:r>
            <w:r w:rsidRPr="0013781B">
              <w:rPr>
                <w:b/>
                <w:i/>
              </w:rPr>
              <w:t>if "Repudiation/Moratorium" is applicable, insert:</w:t>
            </w:r>
            <w:r w:rsidRPr="00EF16C4">
              <w:t xml:space="preserve"> , Potential Repudiation/Moratorium</w:t>
            </w:r>
            <w:r w:rsidRPr="00792D61">
              <w:rPr>
                <w:b/>
              </w:rPr>
              <w:t>]</w:t>
            </w:r>
            <w:r w:rsidRPr="00EF16C4">
              <w:t xml:space="preserve"> or DC Pending Request, as the case may be, has not resulted in the occurrence of a Credit Event Determination Date with respect to the relevant Reference Entity as of the date of such </w:t>
            </w:r>
            <w:r w:rsidR="00164657">
              <w:t>payment</w:t>
            </w:r>
            <w:r w:rsidRPr="00EF16C4">
              <w:t xml:space="preserve">. </w:t>
            </w:r>
            <w:r w:rsidRPr="00792D61">
              <w:rPr>
                <w:b/>
              </w:rPr>
              <w:t>[</w:t>
            </w:r>
            <w:r w:rsidRPr="0013781B">
              <w:rPr>
                <w:b/>
                <w:i/>
              </w:rPr>
              <w:t>in the case of Credit-Linked Complex Products with Zero-Recovery feature linked to a Basket, insert:</w:t>
            </w:r>
            <w:r w:rsidRPr="00024AE2">
              <w:t xml:space="preserve"> Where a Credit Event Determination Date has occurred with respect to each of the Reference Entities, the Scheduled Redemption Amount will be equal to zero and thereupon the Complex Products shall be cancelled.</w:t>
            </w:r>
            <w:r w:rsidRPr="00792D61">
              <w:rPr>
                <w:b/>
              </w:rPr>
              <w:t>]</w:t>
            </w:r>
            <w:r>
              <w:t xml:space="preserve"> </w:t>
            </w:r>
            <w:r w:rsidRPr="00EF16C4">
              <w:t>For any postponement of the payment of the Scheduled Redemption Amount no default interest or other compensation payments shall be payable to the Holders.</w:t>
            </w:r>
            <w:r w:rsidRPr="00792D61">
              <w:rPr>
                <w:b/>
              </w:rPr>
              <w:t>]]</w:t>
            </w:r>
          </w:p>
        </w:tc>
        <w:tc>
          <w:tcPr>
            <w:tcW w:w="4936" w:type="dxa"/>
            <w:gridSpan w:val="3"/>
            <w:tcBorders>
              <w:top w:val="nil"/>
              <w:bottom w:val="nil"/>
              <w:right w:val="nil"/>
            </w:tcBorders>
            <w:shd w:val="clear" w:color="auto" w:fill="auto"/>
          </w:tcPr>
          <w:p w:rsidR="0017135D" w:rsidRPr="00824D87" w:rsidP="0013781B">
            <w:pPr>
              <w:pStyle w:val="CSBody8pt"/>
              <w:rPr>
                <w:lang w:val="de-DE"/>
              </w:rPr>
            </w:pPr>
            <w:r w:rsidRPr="004C7098">
              <w:rPr>
                <w:i/>
                <w:lang w:val="de-DE"/>
              </w:rPr>
              <w:t>wobei jedoch</w:t>
            </w:r>
            <w:r w:rsidRPr="00824D87">
              <w:rPr>
                <w:lang w:val="de-DE"/>
              </w:rPr>
              <w:t xml:space="preserve"> die Emittentin nach ihrem Ermessen den Rest-Rückzahlungsbetrag </w:t>
            </w:r>
            <w:r w:rsidR="00942F00">
              <w:rPr>
                <w:lang w:val="de-DE"/>
              </w:rPr>
              <w:t xml:space="preserve">einzelner oder aller dieser Referenzschuldner </w:t>
            </w:r>
            <w:r w:rsidRPr="00824D87">
              <w:rPr>
                <w:lang w:val="de-DE"/>
              </w:rPr>
              <w:t xml:space="preserve">je Komplexes Produkt zu jedem Zeitpunkt des diesbezüglichen Zeitraums eines Potenziellen Kreditereignisses an den jeweiligen Inhaber zurückzahlen kann, solange zum Zeitpunkt der Zahlung die jeweilige Potenzielle Nichtzahlung </w:t>
            </w:r>
            <w:r w:rsidRPr="00792D61">
              <w:rPr>
                <w:b/>
                <w:lang w:val="de-DE"/>
              </w:rPr>
              <w:t>[</w:t>
            </w:r>
            <w:r w:rsidRPr="0013781B">
              <w:rPr>
                <w:b/>
                <w:i/>
                <w:lang w:val="de-DE"/>
              </w:rPr>
              <w:t>falls "Nichtanerkennung/Moratorium" anwendbar ist, einfügen:</w:t>
            </w:r>
            <w:r w:rsidRPr="00824D87">
              <w:rPr>
                <w:lang w:val="de-DE"/>
              </w:rPr>
              <w:t xml:space="preserve"> oder die jeweilige Potenzielle Nichtanerkennung / das jeweilige Potenzielle Moratorium</w:t>
            </w:r>
            <w:r w:rsidRPr="00792D61">
              <w:rPr>
                <w:b/>
                <w:lang w:val="de-DE"/>
              </w:rPr>
              <w:t>]</w:t>
            </w:r>
            <w:r w:rsidRPr="00824D87">
              <w:rPr>
                <w:lang w:val="de-DE"/>
              </w:rPr>
              <w:t xml:space="preserve"> oder ein Ausstehender Antrag nicht zu einem Kreditereignis-Feststellungstag bezüglich des jeweiligen Referenzschuldners geführt hat. </w:t>
            </w:r>
            <w:r w:rsidRPr="00792D61">
              <w:rPr>
                <w:b/>
                <w:lang w:val="de-DE"/>
              </w:rPr>
              <w:t>[</w:t>
            </w:r>
            <w:r w:rsidRPr="0013781B">
              <w:rPr>
                <w:b/>
                <w:i/>
                <w:lang w:val="de-DE"/>
              </w:rPr>
              <w:t>bei Kreditbezogenen Komplexen Produkten mit Zero-Recovery-Merkmal, die an einen Korb gekoppelt sind, einfügen:</w:t>
            </w:r>
            <w:r w:rsidRPr="00824D87">
              <w:rPr>
                <w:lang w:val="de-DE"/>
              </w:rPr>
              <w:t xml:space="preserve"> Falls ein Kreditereignis-Feststellungstag in Bezug auf jeden Referenzschuldner eingetreten ist, entspricht der Planmässige Rückzahlungsbetrag null und in einem solchen Fall verfallen die Komplexen Produkte.</w:t>
            </w:r>
            <w:r w:rsidRPr="00792D61">
              <w:rPr>
                <w:b/>
                <w:lang w:val="de-DE"/>
              </w:rPr>
              <w:t>]</w:t>
            </w:r>
            <w:r>
              <w:rPr>
                <w:lang w:val="de-DE"/>
              </w:rPr>
              <w:t xml:space="preserve"> </w:t>
            </w:r>
            <w:r w:rsidRPr="00824D87">
              <w:rPr>
                <w:lang w:val="de-DE"/>
              </w:rPr>
              <w:t>Für jede Verschiebung der Zahlung des Planmässigen Rückzahlungsbetrags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24AE2" w:rsidP="004C1EBA">
            <w:pPr>
              <w:pStyle w:val="CSBody8pt"/>
            </w:pPr>
            <w:r w:rsidRPr="00024AE2">
              <w:t>The Scheduled Redemption Amount shall be determined in accordance with the definition of "Scheduled Redemption Amount" set forth in subsection C.1 of Section 1.1.</w:t>
            </w:r>
            <w:r w:rsidRPr="00792D61">
              <w:rPr>
                <w:b/>
              </w:rPr>
              <w:t>]]</w:t>
            </w:r>
          </w:p>
        </w:tc>
        <w:tc>
          <w:tcPr>
            <w:tcW w:w="4936" w:type="dxa"/>
            <w:gridSpan w:val="3"/>
            <w:tcBorders>
              <w:top w:val="nil"/>
              <w:bottom w:val="nil"/>
              <w:right w:val="nil"/>
            </w:tcBorders>
            <w:shd w:val="clear" w:color="auto" w:fill="auto"/>
          </w:tcPr>
          <w:p w:rsidR="0017135D" w:rsidRPr="00824D87" w:rsidP="004C1EBA">
            <w:pPr>
              <w:pStyle w:val="CSBody8pt"/>
              <w:rPr>
                <w:lang w:val="de-DE"/>
              </w:rPr>
            </w:pPr>
            <w:r w:rsidRPr="00824D87">
              <w:rPr>
                <w:lang w:val="de-DE"/>
              </w:rPr>
              <w:t>Der Planmässige Rückzahlungsbetrag ist gemäss der in Unterziffer C.1 der Ziffer 1.1 enthaltenen Definition  "Planmässiger Rückzahlungsbetrag"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351AD" w:rsidP="001E3451">
            <w:pPr>
              <w:pStyle w:val="CSBody8ptbolditalics"/>
            </w:pPr>
            <w:r w:rsidRPr="00792D61">
              <w:t>[</w:t>
            </w:r>
            <w:r w:rsidRPr="006351AD">
              <w:t>in the case of Credit-Linked Complex Products with simplified settlement, insert:</w:t>
            </w:r>
          </w:p>
        </w:tc>
        <w:tc>
          <w:tcPr>
            <w:tcW w:w="4936" w:type="dxa"/>
            <w:gridSpan w:val="3"/>
            <w:tcBorders>
              <w:top w:val="nil"/>
              <w:bottom w:val="nil"/>
              <w:right w:val="nil"/>
            </w:tcBorders>
            <w:shd w:val="clear" w:color="auto" w:fill="auto"/>
          </w:tcPr>
          <w:p w:rsidR="0017135D" w:rsidRPr="00824D87" w:rsidP="001E3451">
            <w:pPr>
              <w:pStyle w:val="CSBody8ptbolditalics"/>
              <w:rPr>
                <w:lang w:val="de-DE"/>
              </w:rPr>
            </w:pPr>
            <w:r w:rsidRPr="00792D61">
              <w:rPr>
                <w:lang w:val="de-DE"/>
              </w:rPr>
              <w:t>[</w:t>
            </w:r>
            <w:r w:rsidRPr="00824D87">
              <w:rPr>
                <w:lang w:val="de-DE"/>
              </w:rPr>
              <w:t>bei Kreditbezogenen Komplexen Produkten mit vereinfachter Abwicklung einfügen:</w:t>
            </w:r>
          </w:p>
        </w:tc>
      </w:tr>
      <w:tr w:rsidTr="004C1EBA">
        <w:tblPrEx>
          <w:tblW w:w="4999" w:type="pct"/>
          <w:tblLayout w:type="fixed"/>
          <w:tblCellMar>
            <w:left w:w="115" w:type="dxa"/>
            <w:right w:w="115" w:type="dxa"/>
          </w:tblCellMar>
          <w:tblLook w:val="04A0"/>
        </w:tblPrEx>
        <w:tc>
          <w:tcPr>
            <w:tcW w:w="1388" w:type="dxa"/>
            <w:tcBorders>
              <w:top w:val="nil"/>
              <w:left w:val="nil"/>
              <w:bottom w:val="nil"/>
            </w:tcBorders>
            <w:shd w:val="clear" w:color="auto" w:fill="D9D9D9" w:themeFill="background1" w:themeFillShade="D9"/>
          </w:tcPr>
          <w:p w:rsidR="0017135D" w:rsidRPr="004F347F" w:rsidP="001E3451">
            <w:pPr>
              <w:pStyle w:val="CSbody0bold"/>
            </w:pPr>
            <w:r w:rsidRPr="004F347F">
              <w:t>Section 2.1</w:t>
            </w:r>
          </w:p>
        </w:tc>
        <w:tc>
          <w:tcPr>
            <w:tcW w:w="3543" w:type="dxa"/>
            <w:gridSpan w:val="4"/>
            <w:tcBorders>
              <w:top w:val="nil"/>
              <w:left w:val="nil"/>
              <w:bottom w:val="nil"/>
            </w:tcBorders>
            <w:shd w:val="clear" w:color="auto" w:fill="D9D9D9" w:themeFill="background1" w:themeFillShade="D9"/>
          </w:tcPr>
          <w:p w:rsidR="0017135D" w:rsidP="001E3451">
            <w:pPr>
              <w:pStyle w:val="CSbody0bold"/>
            </w:pPr>
            <w:r w:rsidRPr="004F347F">
              <w:t>Scheduled Redemption</w:t>
            </w:r>
          </w:p>
        </w:tc>
        <w:tc>
          <w:tcPr>
            <w:tcW w:w="1563" w:type="dxa"/>
            <w:tcBorders>
              <w:top w:val="nil"/>
              <w:bottom w:val="nil"/>
              <w:right w:val="nil"/>
            </w:tcBorders>
            <w:shd w:val="clear" w:color="auto" w:fill="D9D9D9" w:themeFill="background1" w:themeFillShade="D9"/>
          </w:tcPr>
          <w:p w:rsidR="0017135D" w:rsidRPr="00506563" w:rsidP="001E3451">
            <w:pPr>
              <w:pStyle w:val="CSbody0bold"/>
            </w:pPr>
            <w:r w:rsidRPr="00506563">
              <w:t>Ziffer 2.1</w:t>
            </w:r>
          </w:p>
        </w:tc>
        <w:tc>
          <w:tcPr>
            <w:tcW w:w="3373" w:type="dxa"/>
            <w:gridSpan w:val="2"/>
            <w:tcBorders>
              <w:top w:val="nil"/>
              <w:bottom w:val="nil"/>
              <w:right w:val="nil"/>
            </w:tcBorders>
            <w:shd w:val="clear" w:color="auto" w:fill="D9D9D9" w:themeFill="background1" w:themeFillShade="D9"/>
          </w:tcPr>
          <w:p w:rsidR="0017135D" w:rsidP="001E3451">
            <w:pPr>
              <w:pStyle w:val="CSbody0bold"/>
            </w:pPr>
            <w:r w:rsidRPr="00506563">
              <w:t>Planmässige Rückzahlung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A1C32" w:rsidP="001E3451">
            <w:pPr>
              <w:pStyle w:val="CSBody8pt"/>
            </w:pPr>
            <w:r w:rsidRPr="00BA1C32">
              <w:t xml:space="preserve">Unless previously redeemed, repurchased or cancelled, and provided that no Credit Redemption Event has occurred on or prior to the Scheduled Maturity Date, the Issuer shall redeem each Complex Product on </w:t>
            </w:r>
            <w:r w:rsidRPr="00792D61">
              <w:rPr>
                <w:b/>
              </w:rPr>
              <w:t>[</w:t>
            </w:r>
            <w:r w:rsidRPr="00BA1C32">
              <w:t>the Scheduled Maturity Date</w:t>
            </w:r>
            <w:r w:rsidRPr="00792D61">
              <w:rPr>
                <w:b/>
              </w:rPr>
              <w:t>][</w:t>
            </w:r>
            <w:r w:rsidRPr="00BA1C32">
              <w:t xml:space="preserve">the date that is </w:t>
            </w:r>
            <w:r w:rsidRPr="00792D61">
              <w:rPr>
                <w:b/>
              </w:rPr>
              <w:t>[</w:t>
            </w:r>
            <w:r w:rsidRPr="00BA1C32">
              <w:rPr>
                <w:rFonts w:ascii="Arial" w:hAnsi="Arial" w:cs="Arial"/>
              </w:rPr>
              <w:t>●</w:t>
            </w:r>
            <w:r w:rsidRPr="00792D61">
              <w:rPr>
                <w:b/>
              </w:rPr>
              <w:t>]</w:t>
            </w:r>
            <w:r w:rsidRPr="00BA1C32">
              <w:t xml:space="preserve"> Business Days after the Scheduled Maturity Date</w:t>
            </w:r>
            <w:r w:rsidRPr="00792D61">
              <w:rPr>
                <w:b/>
              </w:rPr>
              <w:t>]</w:t>
            </w:r>
            <w:r w:rsidRPr="00BA1C32">
              <w:t xml:space="preserve"> by payment of a cash amount equal to the Scheduled Redemption Amount to the Holder thereof; provided, however, that, if a Suspension Period has occurred on or prior to, and is continuing on, the Scheduled Maturity Date, and</w:t>
            </w:r>
          </w:p>
        </w:tc>
        <w:tc>
          <w:tcPr>
            <w:tcW w:w="4936" w:type="dxa"/>
            <w:gridSpan w:val="3"/>
            <w:tcBorders>
              <w:top w:val="nil"/>
              <w:bottom w:val="nil"/>
              <w:right w:val="nil"/>
            </w:tcBorders>
            <w:shd w:val="clear" w:color="auto" w:fill="auto"/>
          </w:tcPr>
          <w:p w:rsidR="0017135D" w:rsidRPr="00824D87" w:rsidP="001E3451">
            <w:pPr>
              <w:pStyle w:val="CSBody8pt"/>
              <w:rPr>
                <w:lang w:val="de-DE"/>
              </w:rPr>
            </w:pPr>
            <w:r w:rsidRPr="00824D87">
              <w:rPr>
                <w:lang w:val="de-DE"/>
              </w:rPr>
              <w:t xml:space="preserve">Sofern an oder vor dem Planmässigen Fälligkeitstag kein Kredit-Rückzahlungsereignis eingetreten ist, wird jedes Komplexe Produkt, das nicht bereits zuvor zurückgezahlt, zurückgekauft oder entwertet wurde, von der Emittentin </w:t>
            </w:r>
            <w:r w:rsidRPr="00792D61">
              <w:rPr>
                <w:b/>
                <w:lang w:val="de-DE"/>
              </w:rPr>
              <w:t>[</w:t>
            </w:r>
            <w:r w:rsidRPr="00824D87">
              <w:rPr>
                <w:lang w:val="de-DE"/>
              </w:rPr>
              <w:t>am Planmässigen Fälligkeitstag</w:t>
            </w:r>
            <w:r w:rsidRPr="00792D61">
              <w:rPr>
                <w:b/>
                <w:lang w:val="de-DE"/>
              </w:rPr>
              <w:t>][</w:t>
            </w:r>
            <w:r w:rsidRPr="00824D87">
              <w:rPr>
                <w:lang w:val="de-DE"/>
              </w:rPr>
              <w:t xml:space="preserve">an dem Tag, der </w:t>
            </w:r>
            <w:r w:rsidRPr="00792D61">
              <w:rPr>
                <w:b/>
                <w:lang w:val="de-DE"/>
              </w:rPr>
              <w:t>[</w:t>
            </w:r>
            <w:r w:rsidRPr="00824D87">
              <w:rPr>
                <w:rFonts w:ascii="Arial" w:hAnsi="Arial" w:cs="Arial"/>
                <w:lang w:val="de-DE"/>
              </w:rPr>
              <w:t>●</w:t>
            </w:r>
            <w:r w:rsidRPr="00792D61">
              <w:rPr>
                <w:b/>
                <w:lang w:val="de-DE"/>
              </w:rPr>
              <w:t>]</w:t>
            </w:r>
            <w:r w:rsidRPr="00824D87">
              <w:rPr>
                <w:lang w:val="de-DE"/>
              </w:rPr>
              <w:t xml:space="preserve"> Gesch</w:t>
            </w:r>
            <w:r w:rsidRPr="00824D87">
              <w:rPr>
                <w:rFonts w:cs="Credit Suisse Type Light"/>
                <w:lang w:val="de-DE"/>
              </w:rPr>
              <w:t>ä</w:t>
            </w:r>
            <w:r w:rsidRPr="00824D87">
              <w:rPr>
                <w:lang w:val="de-DE"/>
              </w:rPr>
              <w:t>ftstage nach dem Planm</w:t>
            </w:r>
            <w:r w:rsidRPr="00824D87">
              <w:rPr>
                <w:rFonts w:cs="Credit Suisse Type Light"/>
                <w:lang w:val="de-DE"/>
              </w:rPr>
              <w:t>ä</w:t>
            </w:r>
            <w:r w:rsidRPr="00824D87">
              <w:rPr>
                <w:lang w:val="de-DE"/>
              </w:rPr>
              <w:t>ssigen F</w:t>
            </w:r>
            <w:r w:rsidRPr="00824D87">
              <w:rPr>
                <w:rFonts w:cs="Credit Suisse Type Light"/>
                <w:lang w:val="de-DE"/>
              </w:rPr>
              <w:t>ä</w:t>
            </w:r>
            <w:r w:rsidRPr="00824D87">
              <w:rPr>
                <w:lang w:val="de-DE"/>
              </w:rPr>
              <w:t>lligkeitstag liegt,</w:t>
            </w:r>
            <w:r w:rsidRPr="00792D61">
              <w:rPr>
                <w:b/>
                <w:lang w:val="de-DE"/>
              </w:rPr>
              <w:t>]</w:t>
            </w:r>
            <w:r w:rsidRPr="00824D87">
              <w:rPr>
                <w:lang w:val="de-DE"/>
              </w:rPr>
              <w:t xml:space="preserve"> durch Zahlung eines dem Planm</w:t>
            </w:r>
            <w:r w:rsidRPr="00824D87">
              <w:rPr>
                <w:rFonts w:cs="Credit Suisse Type Light"/>
                <w:lang w:val="de-DE"/>
              </w:rPr>
              <w:t>ä</w:t>
            </w:r>
            <w:r w:rsidRPr="00824D87">
              <w:rPr>
                <w:lang w:val="de-DE"/>
              </w:rPr>
              <w:t>ssigen R</w:t>
            </w:r>
            <w:r w:rsidRPr="00824D87">
              <w:rPr>
                <w:rFonts w:cs="Credit Suisse Type Light"/>
                <w:lang w:val="de-DE"/>
              </w:rPr>
              <w:t>ü</w:t>
            </w:r>
            <w:r w:rsidRPr="00824D87">
              <w:rPr>
                <w:lang w:val="de-DE"/>
              </w:rPr>
              <w:t>ckzahlungsbetrag entsprechenden Geldbetrags an den jeweiligen Inhaber getilgt; wobei jedoch im Fall, dass ein Aussetzungszeitraum begonnen hat und am Planmässigen Fälligkeitstag andauert,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24D87" w:rsidP="001E3451">
            <w:pPr>
              <w:pStyle w:val="CSManNum8pt"/>
            </w:pPr>
            <w:r w:rsidRPr="00824D87">
              <w:t>(i)</w:t>
            </w:r>
            <w:r w:rsidRPr="00824D87">
              <w:tab/>
              <w:t>a Credit Redemption Event occurs on or prior to the last day of the Suspension Period, the Issuer shall redeem each Complex Product in accordance with Section 2.2; or</w:t>
            </w:r>
          </w:p>
        </w:tc>
        <w:tc>
          <w:tcPr>
            <w:tcW w:w="4936" w:type="dxa"/>
            <w:gridSpan w:val="3"/>
            <w:tcBorders>
              <w:top w:val="nil"/>
              <w:bottom w:val="nil"/>
              <w:right w:val="nil"/>
            </w:tcBorders>
            <w:shd w:val="clear" w:color="auto" w:fill="auto"/>
          </w:tcPr>
          <w:p w:rsidR="0017135D" w:rsidRPr="00824D87" w:rsidP="001E3451">
            <w:pPr>
              <w:pStyle w:val="CSManNum8pt"/>
              <w:rPr>
                <w:bCs/>
                <w:lang w:val="de-DE"/>
              </w:rPr>
            </w:pPr>
            <w:r w:rsidRPr="00824D87">
              <w:rPr>
                <w:bCs/>
                <w:lang w:val="de-DE"/>
              </w:rPr>
              <w:t>(i)</w:t>
            </w:r>
            <w:r w:rsidRPr="00824D87">
              <w:rPr>
                <w:bCs/>
                <w:lang w:val="de-DE"/>
              </w:rPr>
              <w:tab/>
              <w:t>an oder vor dem letzten Tag des Aussetzungszeitraums ein Kredit-Rückzahlungsereignis eintritt, die Emittentin jedes Komplexe Produkt gemäss Ziffer 2.2 zurückzahlt;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24D87" w:rsidP="0013781B">
            <w:pPr>
              <w:pStyle w:val="CSManNum8pt"/>
            </w:pPr>
            <w:r w:rsidRPr="00824D87">
              <w:t>(ii)</w:t>
            </w:r>
            <w:r w:rsidRPr="00824D87">
              <w:tab/>
            </w:r>
            <w:r w:rsidRPr="007D6FB6">
              <w:rPr>
                <w:b/>
              </w:rPr>
              <w:t>no Credit Redemption Event occurs</w:t>
            </w:r>
            <w:r w:rsidRPr="00824D87">
              <w:t xml:space="preserve"> on or prior to the last day of the Suspension Period, instead of redeeming each Complex Product on </w:t>
            </w:r>
            <w:r w:rsidRPr="00792D61">
              <w:rPr>
                <w:b/>
              </w:rPr>
              <w:t>[</w:t>
            </w:r>
            <w:r w:rsidRPr="00824D87">
              <w:t>the Scheduled Maturity Date</w:t>
            </w:r>
            <w:r w:rsidRPr="00792D61">
              <w:rPr>
                <w:b/>
              </w:rPr>
              <w:t>][</w:t>
            </w:r>
            <w:r w:rsidRPr="00824D87">
              <w:t xml:space="preserve">on the date that is </w:t>
            </w:r>
            <w:r w:rsidRPr="00792D61">
              <w:rPr>
                <w:b/>
              </w:rPr>
              <w:t>[</w:t>
            </w:r>
            <w:r w:rsidRPr="00824D87">
              <w:rPr>
                <w:rFonts w:ascii="Arial" w:hAnsi="Arial" w:cs="Arial"/>
              </w:rPr>
              <w:t>●</w:t>
            </w:r>
            <w:r w:rsidRPr="00792D61">
              <w:rPr>
                <w:b/>
              </w:rPr>
              <w:t>]</w:t>
            </w:r>
            <w:r w:rsidRPr="00824D87">
              <w:t xml:space="preserve"> Business Days after the Scheduled Maturity Date</w:t>
            </w:r>
            <w:r w:rsidRPr="00792D61">
              <w:rPr>
                <w:b/>
              </w:rPr>
              <w:t>]</w:t>
            </w:r>
            <w:r w:rsidRPr="00824D87">
              <w:t xml:space="preserve">, the Issuer shall redeem each Complex Product on the </w:t>
            </w:r>
            <w:r w:rsidRPr="00792D61">
              <w:rPr>
                <w:b/>
              </w:rPr>
              <w:t>[</w:t>
            </w:r>
            <w:r w:rsidRPr="00824D87">
              <w:t>second</w:t>
            </w:r>
            <w:r w:rsidRPr="00792D61">
              <w:rPr>
                <w:b/>
              </w:rPr>
              <w:t>][[</w:t>
            </w:r>
            <w:r w:rsidRPr="0013781B">
              <w:rPr>
                <w:rFonts w:ascii="Arial" w:hAnsi="Arial" w:cs="Arial"/>
              </w:rPr>
              <w:t>●</w:t>
            </w:r>
            <w:r w:rsidRPr="00792D61">
              <w:rPr>
                <w:b/>
              </w:rPr>
              <w:t>]]</w:t>
            </w:r>
            <w:r w:rsidRPr="00824D87">
              <w:t xml:space="preserve"> Business Day following the last day of the Suspension Period by payment of a cash amount equal to the Scheduled Redemption Amount to the Holder thereof.</w:t>
            </w:r>
          </w:p>
        </w:tc>
        <w:tc>
          <w:tcPr>
            <w:tcW w:w="4936" w:type="dxa"/>
            <w:gridSpan w:val="3"/>
            <w:tcBorders>
              <w:top w:val="nil"/>
              <w:bottom w:val="nil"/>
              <w:right w:val="nil"/>
            </w:tcBorders>
            <w:shd w:val="clear" w:color="auto" w:fill="auto"/>
          </w:tcPr>
          <w:p w:rsidR="0017135D" w:rsidRPr="00824D87">
            <w:pPr>
              <w:pStyle w:val="CSManNum8pt"/>
              <w:rPr>
                <w:bCs/>
                <w:lang w:val="de-DE"/>
              </w:rPr>
            </w:pPr>
            <w:r w:rsidRPr="00824D87">
              <w:rPr>
                <w:bCs/>
                <w:lang w:val="de-DE"/>
              </w:rPr>
              <w:t>(ii)</w:t>
            </w:r>
            <w:r w:rsidRPr="00824D87">
              <w:rPr>
                <w:bCs/>
                <w:lang w:val="de-DE"/>
              </w:rPr>
              <w:tab/>
              <w:t xml:space="preserve">an oder vor dem letzten Tag des Aussetzungszeitraums </w:t>
            </w:r>
            <w:r w:rsidRPr="007D6FB6">
              <w:rPr>
                <w:b/>
                <w:bCs/>
                <w:lang w:val="de-DE"/>
              </w:rPr>
              <w:t>kein Kredit-Rückzahlungsereignis eintritt</w:t>
            </w:r>
            <w:r w:rsidRPr="00824D87">
              <w:rPr>
                <w:bCs/>
                <w:lang w:val="de-DE"/>
              </w:rPr>
              <w:t xml:space="preserve">, die Emittentin jedes Komplexe Produkt anstatt </w:t>
            </w:r>
            <w:r w:rsidRPr="00792D61">
              <w:rPr>
                <w:b/>
                <w:bCs/>
                <w:lang w:val="de-DE"/>
              </w:rPr>
              <w:t>[</w:t>
            </w:r>
            <w:r w:rsidRPr="00824D87">
              <w:rPr>
                <w:bCs/>
                <w:lang w:val="de-DE"/>
              </w:rPr>
              <w:t>am Planmässigen Fälligkeitstag</w:t>
            </w:r>
            <w:r w:rsidRPr="00792D61">
              <w:rPr>
                <w:b/>
                <w:bCs/>
                <w:lang w:val="de-DE"/>
              </w:rPr>
              <w:t>][</w:t>
            </w:r>
            <w:r w:rsidRPr="00824D87">
              <w:rPr>
                <w:bCs/>
                <w:lang w:val="de-DE"/>
              </w:rPr>
              <w:t xml:space="preserve">an dem Tag, der </w:t>
            </w:r>
            <w:r w:rsidRPr="00792D61">
              <w:rPr>
                <w:b/>
                <w:bCs/>
                <w:lang w:val="de-DE"/>
              </w:rPr>
              <w:t>[</w:t>
            </w:r>
            <w:r w:rsidRPr="00824D87">
              <w:rPr>
                <w:rFonts w:ascii="Arial" w:hAnsi="Arial" w:cs="Arial"/>
                <w:bCs/>
                <w:lang w:val="de-DE"/>
              </w:rPr>
              <w:t>●</w:t>
            </w:r>
            <w:r w:rsidRPr="00792D61">
              <w:rPr>
                <w:b/>
                <w:bCs/>
                <w:lang w:val="de-DE"/>
              </w:rPr>
              <w:t>]</w:t>
            </w:r>
            <w:r w:rsidRPr="00824D87">
              <w:rPr>
                <w:bCs/>
                <w:lang w:val="de-DE"/>
              </w:rPr>
              <w:t xml:space="preserve"> Gesch</w:t>
            </w:r>
            <w:r w:rsidRPr="00824D87">
              <w:rPr>
                <w:rFonts w:cs="Credit Suisse Type Light"/>
                <w:bCs/>
                <w:lang w:val="de-DE"/>
              </w:rPr>
              <w:t>ä</w:t>
            </w:r>
            <w:r w:rsidRPr="00824D87">
              <w:rPr>
                <w:bCs/>
                <w:lang w:val="de-DE"/>
              </w:rPr>
              <w:t>ftstage nach dem Planm</w:t>
            </w:r>
            <w:r w:rsidRPr="00824D87">
              <w:rPr>
                <w:rFonts w:cs="Credit Suisse Type Light"/>
                <w:bCs/>
                <w:lang w:val="de-DE"/>
              </w:rPr>
              <w:t>ä</w:t>
            </w:r>
            <w:r w:rsidRPr="00824D87">
              <w:rPr>
                <w:bCs/>
                <w:lang w:val="de-DE"/>
              </w:rPr>
              <w:t>ssigen F</w:t>
            </w:r>
            <w:r w:rsidRPr="00824D87">
              <w:rPr>
                <w:rFonts w:cs="Credit Suisse Type Light"/>
                <w:bCs/>
                <w:lang w:val="de-DE"/>
              </w:rPr>
              <w:t>ä</w:t>
            </w:r>
            <w:r w:rsidRPr="00824D87">
              <w:rPr>
                <w:bCs/>
                <w:lang w:val="de-DE"/>
              </w:rPr>
              <w:t>lligkeitstag liegt,</w:t>
            </w:r>
            <w:r w:rsidRPr="00792D61">
              <w:rPr>
                <w:b/>
                <w:bCs/>
                <w:lang w:val="de-DE"/>
              </w:rPr>
              <w:t>]</w:t>
            </w:r>
            <w:r w:rsidRPr="00824D87">
              <w:rPr>
                <w:bCs/>
                <w:lang w:val="de-DE"/>
              </w:rPr>
              <w:t xml:space="preserve"> am </w:t>
            </w:r>
            <w:r w:rsidRPr="00792D61">
              <w:rPr>
                <w:b/>
                <w:bCs/>
                <w:lang w:val="de-DE"/>
              </w:rPr>
              <w:t>[</w:t>
            </w:r>
            <w:r w:rsidRPr="00824D87">
              <w:rPr>
                <w:bCs/>
                <w:lang w:val="de-DE"/>
              </w:rPr>
              <w:t>zweiten</w:t>
            </w:r>
            <w:r w:rsidRPr="00792D61">
              <w:rPr>
                <w:b/>
                <w:bCs/>
                <w:lang w:val="de-DE"/>
              </w:rPr>
              <w:t>][[</w:t>
            </w:r>
            <w:r w:rsidRPr="0013781B">
              <w:rPr>
                <w:rFonts w:ascii="Arial" w:hAnsi="Arial" w:cs="Arial"/>
                <w:bCs/>
                <w:lang w:val="de-DE"/>
              </w:rPr>
              <w:t>●</w:t>
            </w:r>
            <w:r w:rsidRPr="00792D61">
              <w:rPr>
                <w:b/>
                <w:bCs/>
                <w:lang w:val="de-DE"/>
              </w:rPr>
              <w:t>]]</w:t>
            </w:r>
            <w:r w:rsidRPr="00824D87">
              <w:rPr>
                <w:bCs/>
                <w:lang w:val="de-DE"/>
              </w:rPr>
              <w:t xml:space="preserve"> Gesch</w:t>
            </w:r>
            <w:r w:rsidRPr="00824D87">
              <w:rPr>
                <w:rFonts w:cs="Credit Suisse Type Light"/>
                <w:bCs/>
                <w:lang w:val="de-DE"/>
              </w:rPr>
              <w:t>ä</w:t>
            </w:r>
            <w:r w:rsidRPr="00824D87">
              <w:rPr>
                <w:bCs/>
                <w:lang w:val="de-DE"/>
              </w:rPr>
              <w:t>ftstag nach dem letzten Tag des Aussetzungszeitraums durch Zahlung eines dem Planmässigen Rückzahlungsbetrag entsprechenden Geldbetrags an den jeweiligen Inhaber tilgt.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31DC6" w:rsidP="001E3451">
            <w:pPr>
              <w:pStyle w:val="CSBody8pt"/>
            </w:pPr>
            <w:r w:rsidRPr="00031DC6">
              <w:t>The Credit Redemption Event, Scheduled Maturity Date, Scheduled Redemption Amount, Default Event, Redemption Event, and Suspension Period, as applicable, shall be determined in accordance with the definitions of "Credit Redemption Event", "Scheduled Maturity Date", "Scheduled Redemption Amount", "Default Event", "Redemption Event" and "Suspension Period", respectively, set forth in subsection C.1 and C.4 of Section 1.1.</w:t>
            </w:r>
            <w:r w:rsidRPr="00792D61">
              <w:rPr>
                <w:b/>
              </w:rPr>
              <w:t>]</w:t>
            </w:r>
          </w:p>
        </w:tc>
        <w:tc>
          <w:tcPr>
            <w:tcW w:w="4936" w:type="dxa"/>
            <w:gridSpan w:val="3"/>
            <w:tcBorders>
              <w:top w:val="nil"/>
              <w:bottom w:val="nil"/>
              <w:right w:val="nil"/>
            </w:tcBorders>
            <w:shd w:val="clear" w:color="auto" w:fill="auto"/>
          </w:tcPr>
          <w:p w:rsidR="0017135D" w:rsidRPr="00BD6E0D" w:rsidP="00FC7CBB">
            <w:pPr>
              <w:pStyle w:val="CSBody8pt"/>
              <w:rPr>
                <w:lang w:val="de-DE"/>
              </w:rPr>
            </w:pPr>
            <w:r w:rsidRPr="00824D87">
              <w:rPr>
                <w:lang w:val="de-DE"/>
              </w:rPr>
              <w:t xml:space="preserve">Kredit-Rückzahlungsereignis, Planmässiger Fälligkeitstag, Planmässiger Rückzahlungsbetrag, Ausfallereignis, Rückzahlungsereignis bzw. Aussetzungszeitraum sind gemäss den in Unterziffer C.1 und C.4 der Ziffer 1.1 enthaltenen Definitionen der Begriffe "Kredit-Rückzahlungsereignis", "Planmässiger Fälligkeitstag", "Planmässiger Rückzahlungsbetrag", "Ausfallereignis", "Rückzahlungsereignis" bzw. </w:t>
            </w:r>
            <w:r w:rsidRPr="00BD6E0D">
              <w:rPr>
                <w:lang w:val="de-DE"/>
              </w:rPr>
              <w:t>"Aussetzungszeitraum" festzulegen.</w:t>
            </w:r>
            <w:r w:rsidRPr="00BD6E0D">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31DC6" w:rsidP="001E3451">
            <w:pPr>
              <w:pStyle w:val="CSBody8ptbolditalics"/>
            </w:pPr>
            <w:r w:rsidRPr="00792D61">
              <w:t>[</w:t>
            </w:r>
            <w:r w:rsidRPr="00031DC6">
              <w:t>in the case of Complex Products other than Credit-Linked Complex Products, insert:</w:t>
            </w:r>
          </w:p>
        </w:tc>
        <w:tc>
          <w:tcPr>
            <w:tcW w:w="4936" w:type="dxa"/>
            <w:gridSpan w:val="3"/>
            <w:tcBorders>
              <w:top w:val="nil"/>
              <w:bottom w:val="nil"/>
              <w:right w:val="nil"/>
            </w:tcBorders>
            <w:shd w:val="clear" w:color="auto" w:fill="auto"/>
          </w:tcPr>
          <w:p w:rsidR="0017135D" w:rsidRPr="00824D87" w:rsidP="001E3451">
            <w:pPr>
              <w:pStyle w:val="CSBody8ptbolditalics"/>
              <w:rPr>
                <w:lang w:val="de-DE"/>
              </w:rPr>
            </w:pPr>
            <w:r w:rsidRPr="00792D61">
              <w:rPr>
                <w:lang w:val="de-DE"/>
              </w:rPr>
              <w:t>[</w:t>
            </w:r>
            <w:r w:rsidRPr="00824D87">
              <w:rPr>
                <w:lang w:val="de-DE"/>
              </w:rPr>
              <w:t>bei Komplexen Produkten ausser Kreditbezogenen Komplexen Produkten einfügen:</w:t>
            </w:r>
          </w:p>
        </w:tc>
      </w:tr>
      <w:tr w:rsidTr="004C1EBA">
        <w:tblPrEx>
          <w:tblW w:w="4999" w:type="pct"/>
          <w:tblLayout w:type="fixed"/>
          <w:tblCellMar>
            <w:left w:w="115" w:type="dxa"/>
            <w:right w:w="115" w:type="dxa"/>
          </w:tblCellMar>
          <w:tblLook w:val="04A0"/>
        </w:tblPrEx>
        <w:tc>
          <w:tcPr>
            <w:tcW w:w="1530" w:type="dxa"/>
            <w:gridSpan w:val="2"/>
            <w:tcBorders>
              <w:top w:val="nil"/>
              <w:left w:val="nil"/>
              <w:bottom w:val="nil"/>
            </w:tcBorders>
            <w:shd w:val="clear" w:color="auto" w:fill="D9D9D9" w:themeFill="background1" w:themeFillShade="D9"/>
          </w:tcPr>
          <w:p w:rsidR="0017135D" w:rsidRPr="001821C6" w:rsidP="001E3451">
            <w:pPr>
              <w:pStyle w:val="CSbody0bold"/>
            </w:pPr>
            <w:r w:rsidRPr="001821C6">
              <w:t>Section 2.1</w:t>
            </w:r>
          </w:p>
        </w:tc>
        <w:tc>
          <w:tcPr>
            <w:tcW w:w="3401" w:type="dxa"/>
            <w:gridSpan w:val="3"/>
            <w:tcBorders>
              <w:top w:val="nil"/>
              <w:left w:val="nil"/>
              <w:bottom w:val="nil"/>
            </w:tcBorders>
            <w:shd w:val="clear" w:color="auto" w:fill="D9D9D9" w:themeFill="background1" w:themeFillShade="D9"/>
          </w:tcPr>
          <w:p w:rsidR="0017135D" w:rsidP="001E3451">
            <w:pPr>
              <w:pStyle w:val="CSbody0bold"/>
            </w:pPr>
            <w:r w:rsidRPr="001821C6">
              <w:t>Final Redemption</w:t>
            </w:r>
          </w:p>
        </w:tc>
        <w:tc>
          <w:tcPr>
            <w:tcW w:w="1563" w:type="dxa"/>
            <w:tcBorders>
              <w:top w:val="nil"/>
              <w:bottom w:val="nil"/>
              <w:right w:val="nil"/>
            </w:tcBorders>
            <w:shd w:val="clear" w:color="auto" w:fill="D9D9D9" w:themeFill="background1" w:themeFillShade="D9"/>
          </w:tcPr>
          <w:p w:rsidR="0017135D" w:rsidRPr="00E21DB9" w:rsidP="001E3451">
            <w:pPr>
              <w:pStyle w:val="CSbody0bold"/>
            </w:pPr>
            <w:r w:rsidRPr="00E21DB9">
              <w:t>Ziffer 2.1</w:t>
            </w:r>
          </w:p>
        </w:tc>
        <w:tc>
          <w:tcPr>
            <w:tcW w:w="3373" w:type="dxa"/>
            <w:gridSpan w:val="2"/>
            <w:tcBorders>
              <w:top w:val="nil"/>
              <w:bottom w:val="nil"/>
              <w:right w:val="nil"/>
            </w:tcBorders>
            <w:shd w:val="clear" w:color="auto" w:fill="D9D9D9" w:themeFill="background1" w:themeFillShade="D9"/>
          </w:tcPr>
          <w:p w:rsidR="0017135D" w:rsidP="001E3451">
            <w:pPr>
              <w:pStyle w:val="CSbody0bold"/>
            </w:pPr>
            <w:r w:rsidRPr="00E21DB9">
              <w:t>Rückzahlung bei Endfälligkeit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21CC7" w:rsidP="001E3451">
            <w:pPr>
              <w:pStyle w:val="CSBody8pt"/>
            </w:pPr>
            <w:r w:rsidRPr="00921CC7">
              <w:t>Unless previously redeemed, repurchased or cancelled, the Issuer shall redeem each Complex Product on the Final Redemption Date by payment of a cash amount equal to the Final Redemption Amount to the Holder thereof.</w:t>
            </w:r>
          </w:p>
        </w:tc>
        <w:tc>
          <w:tcPr>
            <w:tcW w:w="4936" w:type="dxa"/>
            <w:gridSpan w:val="3"/>
            <w:tcBorders>
              <w:top w:val="nil"/>
              <w:bottom w:val="nil"/>
              <w:right w:val="nil"/>
            </w:tcBorders>
            <w:shd w:val="clear" w:color="auto" w:fill="auto"/>
          </w:tcPr>
          <w:p w:rsidR="0017135D" w:rsidRPr="00824D87" w:rsidP="001E3451">
            <w:pPr>
              <w:pStyle w:val="CSBody8pt"/>
              <w:rPr>
                <w:lang w:val="de-DE"/>
              </w:rPr>
            </w:pPr>
            <w:r w:rsidRPr="00824D87">
              <w:rPr>
                <w:lang w:val="de-DE"/>
              </w:rPr>
              <w:t>Komplexe Produkte, die nicht bereits zuvor zurückgezahlt, zurückgekauft oder entwertet wurden, werden von der Emittentin am Finalen Rückzahlungstag durch Zahlung eines dem Finalen Rückzahlungsbetrag entsprechenden Geldbetrags an den jeweiligen Inhaber getilgt.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21CC7" w:rsidP="001E3451">
            <w:pPr>
              <w:pStyle w:val="CSBody8pt"/>
            </w:pPr>
            <w:r w:rsidRPr="00921CC7">
              <w:t>The Final Redemption Amount shall be determined in accordance with the definition of "Final Redemption Amount" set forth in subsection C.1 of Section 1.1.</w:t>
            </w:r>
            <w:r w:rsidRPr="00792D61">
              <w:rPr>
                <w:b/>
              </w:rPr>
              <w:t>]</w:t>
            </w:r>
          </w:p>
        </w:tc>
        <w:tc>
          <w:tcPr>
            <w:tcW w:w="4936" w:type="dxa"/>
            <w:gridSpan w:val="3"/>
            <w:tcBorders>
              <w:top w:val="nil"/>
              <w:bottom w:val="nil"/>
              <w:right w:val="nil"/>
            </w:tcBorders>
            <w:shd w:val="clear" w:color="auto" w:fill="auto"/>
          </w:tcPr>
          <w:p w:rsidR="0017135D" w:rsidRPr="00824D87" w:rsidP="001E3451">
            <w:pPr>
              <w:pStyle w:val="CSBody8pt"/>
              <w:rPr>
                <w:lang w:val="de-DE"/>
              </w:rPr>
            </w:pPr>
            <w:r w:rsidRPr="00824D87">
              <w:rPr>
                <w:lang w:val="de-DE"/>
              </w:rPr>
              <w:t>Der Finale Rückzahlungsbetrag ist gemäss der in Unterziffer C.1 der Ziffer 1.1 enthaltenen Definition  "Finaler Rückzahlungsbetrag"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21CC7" w:rsidP="001E3451">
            <w:pPr>
              <w:pStyle w:val="CSBody8ptbolditalics"/>
            </w:pPr>
            <w:r w:rsidRPr="00792D61">
              <w:t>[</w:t>
            </w:r>
            <w:r w:rsidRPr="00921CC7">
              <w:t>in the case of Complex Products with an Issuer Call Option, insert:</w:t>
            </w:r>
          </w:p>
        </w:tc>
        <w:tc>
          <w:tcPr>
            <w:tcW w:w="4936" w:type="dxa"/>
            <w:gridSpan w:val="3"/>
            <w:tcBorders>
              <w:top w:val="nil"/>
              <w:bottom w:val="nil"/>
              <w:right w:val="nil"/>
            </w:tcBorders>
            <w:shd w:val="clear" w:color="auto" w:fill="auto"/>
          </w:tcPr>
          <w:p w:rsidR="0017135D" w:rsidRPr="00824D87" w:rsidP="001E3451">
            <w:pPr>
              <w:pStyle w:val="CSBody8ptbolditalics"/>
              <w:rPr>
                <w:lang w:val="de-DE"/>
              </w:rPr>
            </w:pPr>
            <w:r w:rsidRPr="00792D61">
              <w:rPr>
                <w:lang w:val="de-DE"/>
              </w:rPr>
              <w:t>[</w:t>
            </w:r>
            <w:r w:rsidRPr="00824D87">
              <w:rPr>
                <w:lang w:val="de-DE"/>
              </w:rPr>
              <w:t>bei Komplexen Produkten mit Kündigungsrecht der Emittentin einfügen:</w:t>
            </w:r>
          </w:p>
        </w:tc>
      </w:tr>
      <w:tr w:rsidTr="004C1EBA">
        <w:tblPrEx>
          <w:tblW w:w="4999" w:type="pct"/>
          <w:tblLayout w:type="fixed"/>
          <w:tblCellMar>
            <w:left w:w="115" w:type="dxa"/>
            <w:right w:w="115" w:type="dxa"/>
          </w:tblCellMar>
          <w:tblLook w:val="04A0"/>
        </w:tblPrEx>
        <w:tc>
          <w:tcPr>
            <w:tcW w:w="1530" w:type="dxa"/>
            <w:gridSpan w:val="2"/>
            <w:tcBorders>
              <w:top w:val="nil"/>
              <w:left w:val="nil"/>
              <w:bottom w:val="nil"/>
            </w:tcBorders>
            <w:shd w:val="clear" w:color="auto" w:fill="D9D9D9" w:themeFill="background1" w:themeFillShade="D9"/>
          </w:tcPr>
          <w:p w:rsidR="0017135D" w:rsidRPr="00810BDA" w:rsidP="001E3451">
            <w:pPr>
              <w:pStyle w:val="CSbody0bold"/>
            </w:pPr>
            <w:r w:rsidRPr="00810BDA">
              <w:t>Section 2.2</w:t>
            </w:r>
          </w:p>
        </w:tc>
        <w:tc>
          <w:tcPr>
            <w:tcW w:w="3401" w:type="dxa"/>
            <w:gridSpan w:val="3"/>
            <w:tcBorders>
              <w:top w:val="nil"/>
              <w:left w:val="nil"/>
              <w:bottom w:val="nil"/>
            </w:tcBorders>
            <w:shd w:val="clear" w:color="auto" w:fill="D9D9D9" w:themeFill="background1" w:themeFillShade="D9"/>
          </w:tcPr>
          <w:p w:rsidR="0017135D" w:rsidP="001E3451">
            <w:pPr>
              <w:pStyle w:val="CSbody0bold"/>
            </w:pPr>
            <w:r w:rsidRPr="00810BDA">
              <w:t>Issuer Call Option</w:t>
            </w:r>
          </w:p>
        </w:tc>
        <w:tc>
          <w:tcPr>
            <w:tcW w:w="1563" w:type="dxa"/>
            <w:tcBorders>
              <w:top w:val="nil"/>
              <w:bottom w:val="nil"/>
              <w:right w:val="nil"/>
            </w:tcBorders>
            <w:shd w:val="clear" w:color="auto" w:fill="D9D9D9" w:themeFill="background1" w:themeFillShade="D9"/>
          </w:tcPr>
          <w:p w:rsidR="0017135D" w:rsidRPr="0019785A" w:rsidP="001E3451">
            <w:pPr>
              <w:pStyle w:val="CSbody0bold"/>
            </w:pPr>
            <w:r w:rsidRPr="0019785A">
              <w:t>Ziffer 2.2</w:t>
            </w:r>
          </w:p>
        </w:tc>
        <w:tc>
          <w:tcPr>
            <w:tcW w:w="3373" w:type="dxa"/>
            <w:gridSpan w:val="2"/>
            <w:tcBorders>
              <w:top w:val="nil"/>
              <w:bottom w:val="nil"/>
              <w:right w:val="nil"/>
            </w:tcBorders>
            <w:shd w:val="clear" w:color="auto" w:fill="D9D9D9" w:themeFill="background1" w:themeFillShade="D9"/>
          </w:tcPr>
          <w:p w:rsidR="0017135D" w:rsidP="001E3451">
            <w:pPr>
              <w:pStyle w:val="CSbody0bold"/>
            </w:pPr>
            <w:r w:rsidRPr="0019785A">
              <w:t>Kündigungsrecht der Emittentin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582100" w:rsidP="001E3451">
            <w:pPr>
              <w:pStyle w:val="CSBody8pt"/>
            </w:pPr>
            <w:r w:rsidRPr="00792D61">
              <w:rPr>
                <w:b/>
              </w:rPr>
              <w:t>[</w:t>
            </w:r>
            <w:r w:rsidRPr="0013781B">
              <w:rPr>
                <w:b/>
                <w:i/>
              </w:rPr>
              <w:t>in the case of one Optional Early Redemption Date, insert:</w:t>
            </w:r>
            <w:r w:rsidRPr="00582100">
              <w:t xml:space="preserve"> Unless previously redeemed, repurchased or cancelled, the Issuer may redeem the Complex Products early in whole, but not in part, on the Optional Early Redemption Date at the </w:t>
            </w:r>
            <w:r w:rsidRPr="00792D61">
              <w:rPr>
                <w:b/>
              </w:rPr>
              <w:t>[</w:t>
            </w:r>
            <w:r w:rsidRPr="00582100">
              <w:t>relevant</w:t>
            </w:r>
            <w:r w:rsidRPr="00792D61">
              <w:rPr>
                <w:b/>
              </w:rPr>
              <w:t>]</w:t>
            </w:r>
            <w:r w:rsidRPr="00582100">
              <w:t xml:space="preserve"> Optional Early Redemption Price per Complex Product, provided that the Issuer has exercised such right on the Call Option Exercise Date by notifying the Holders in accordance with Section 8. The Optional Early Redemption Price shall be determined in accordance with the definition "Optional Early Redemption Price" set forth in subsection C.2 of Section 1.1.</w:t>
            </w:r>
            <w:r w:rsidRPr="00792D61">
              <w:rPr>
                <w:b/>
              </w:rPr>
              <w:t>]</w:t>
            </w:r>
          </w:p>
        </w:tc>
        <w:tc>
          <w:tcPr>
            <w:tcW w:w="4936" w:type="dxa"/>
            <w:gridSpan w:val="3"/>
            <w:tcBorders>
              <w:top w:val="nil"/>
              <w:bottom w:val="nil"/>
              <w:right w:val="nil"/>
            </w:tcBorders>
            <w:shd w:val="clear" w:color="auto" w:fill="auto"/>
          </w:tcPr>
          <w:p w:rsidR="0017135D" w:rsidRPr="00124233">
            <w:pPr>
              <w:pStyle w:val="CSBody8pt"/>
              <w:rPr>
                <w:lang w:val="de-DE"/>
              </w:rPr>
            </w:pPr>
            <w:r w:rsidRPr="00792D61">
              <w:rPr>
                <w:b/>
                <w:lang w:val="de-DE"/>
              </w:rPr>
              <w:t>[</w:t>
            </w:r>
            <w:r w:rsidRPr="0013781B">
              <w:rPr>
                <w:b/>
                <w:i/>
                <w:lang w:val="de-DE"/>
              </w:rPr>
              <w:t>bei nur einem Rückzahlungstag bei Ausübung des Kündigungsrechts einfügen:</w:t>
            </w:r>
            <w:r w:rsidRPr="00124233">
              <w:rPr>
                <w:lang w:val="de-DE"/>
              </w:rPr>
              <w:t xml:space="preserve"> Komplexe Produkte, die nicht bereits zuvor zurückgezahlt, zurückgekauft oder entwertet wurden, können von der Emittentin insgesamt, aber nicht teilweise am Rückzahlungstag bei Ausübung des Kündigungsrechts zum </w:t>
            </w:r>
            <w:r w:rsidRPr="00792D61">
              <w:rPr>
                <w:b/>
                <w:lang w:val="de-DE"/>
              </w:rPr>
              <w:t>[</w:t>
            </w:r>
            <w:r w:rsidRPr="00124233">
              <w:rPr>
                <w:lang w:val="de-DE"/>
              </w:rPr>
              <w:t>jeweiligen</w:t>
            </w:r>
            <w:r w:rsidRPr="00792D61">
              <w:rPr>
                <w:b/>
                <w:lang w:val="de-DE"/>
              </w:rPr>
              <w:t>]</w:t>
            </w:r>
            <w:r w:rsidRPr="00124233">
              <w:rPr>
                <w:lang w:val="de-DE"/>
              </w:rPr>
              <w:t xml:space="preserve"> Rückzahlungsbetrag bei Ausübung des Kündigungsrechts je Komplexes Produkt vorzeitig zurückgezahlt werden, vorausgesetzt, die Emittentin hat dieses Recht am Ausübungstag für das Kündigungsrecht durch Mitteilung an die Inhaber gemäss Ziffer 8 ausgeübt. Der Rückzahlungsbetrag bei Ausübung des Kündigungsrechts ist gemäss der in Unterziffer C.2 der Ziffer 1.1 enthaltenen Definition  "Rückzahlungsbetrag bei Ausübung des Kündigungsrechts"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582100" w:rsidP="001E3451">
            <w:pPr>
              <w:pStyle w:val="CSBody8pt"/>
            </w:pPr>
            <w:r w:rsidRPr="00792D61">
              <w:rPr>
                <w:b/>
              </w:rPr>
              <w:t>[</w:t>
            </w:r>
            <w:r w:rsidRPr="0013781B">
              <w:rPr>
                <w:b/>
                <w:i/>
              </w:rPr>
              <w:t>in the case of multiple Optional Early Redemption Dates, insert:</w:t>
            </w:r>
            <w:r w:rsidRPr="00582100">
              <w:t xml:space="preserve"> Unless previously redeemed, repurchased or cancelled, the Issuer may redeem the Complex Products early in whole, but not in part, on any Optional Early Redemption Date at the </w:t>
            </w:r>
            <w:r w:rsidRPr="00792D61">
              <w:rPr>
                <w:b/>
              </w:rPr>
              <w:t>[</w:t>
            </w:r>
            <w:r w:rsidRPr="00582100">
              <w:t>relevant</w:t>
            </w:r>
            <w:r w:rsidRPr="00792D61">
              <w:rPr>
                <w:b/>
              </w:rPr>
              <w:t>]</w:t>
            </w:r>
            <w:r w:rsidRPr="00582100">
              <w:t xml:space="preserve"> Optional Early Redemption Price per Complex Product, provided that the Issuer has exercised such right on the relevant Call Option Exercise Date by notifying the Holders in accordance with Section 8. The Optional Early Redemption Price shall be determined in accordance with the definition "Optional Early Redemption Price" set forth in subsection C.2 of Section 1.1.</w:t>
            </w:r>
            <w:r w:rsidRPr="00792D61">
              <w:rPr>
                <w:b/>
              </w:rPr>
              <w:t>]</w:t>
            </w:r>
          </w:p>
        </w:tc>
        <w:tc>
          <w:tcPr>
            <w:tcW w:w="4936" w:type="dxa"/>
            <w:gridSpan w:val="3"/>
            <w:tcBorders>
              <w:top w:val="nil"/>
              <w:bottom w:val="nil"/>
              <w:right w:val="nil"/>
            </w:tcBorders>
            <w:shd w:val="clear" w:color="auto" w:fill="auto"/>
          </w:tcPr>
          <w:p w:rsidR="0017135D" w:rsidRPr="00124233" w:rsidP="00FC7CBB">
            <w:pPr>
              <w:pStyle w:val="CSBody8pt"/>
              <w:rPr>
                <w:lang w:val="de-DE"/>
              </w:rPr>
            </w:pPr>
            <w:r w:rsidRPr="00792D61">
              <w:rPr>
                <w:b/>
                <w:lang w:val="de-DE"/>
              </w:rPr>
              <w:t>[</w:t>
            </w:r>
            <w:r w:rsidRPr="0013781B">
              <w:rPr>
                <w:b/>
                <w:i/>
                <w:lang w:val="de-DE"/>
              </w:rPr>
              <w:t>bei mehreren Rückzahlungstagen bei Ausübung des Kündigungsrechts einfügen:</w:t>
            </w:r>
            <w:r w:rsidRPr="00124233">
              <w:rPr>
                <w:lang w:val="de-DE"/>
              </w:rPr>
              <w:t xml:space="preserve"> Komplexe Produkte, die nicht bereits zuvor zurückgezahlt, zurückgekauft oder entwertet wurden, können von der Emittentin insgesamt, aber nicht teilweise an einem Rückzahlungstag bei Ausübung des Kündigungsrechts zum </w:t>
            </w:r>
            <w:r w:rsidRPr="00792D61">
              <w:rPr>
                <w:b/>
                <w:lang w:val="de-DE"/>
              </w:rPr>
              <w:t>[</w:t>
            </w:r>
            <w:r w:rsidRPr="00124233">
              <w:rPr>
                <w:lang w:val="de-DE"/>
              </w:rPr>
              <w:t>jeweiligen</w:t>
            </w:r>
            <w:r w:rsidRPr="00792D61">
              <w:rPr>
                <w:b/>
                <w:lang w:val="de-DE"/>
              </w:rPr>
              <w:t>]</w:t>
            </w:r>
            <w:r w:rsidRPr="00124233">
              <w:rPr>
                <w:lang w:val="de-DE"/>
              </w:rPr>
              <w:t xml:space="preserve"> Rückzahlungsbetrag bei Ausübung des Kündigungsrechts je Komplexes Produkt vorzeitig zurückgezahlt werden, vorausgesetzt, die Emittentin hat dieses Recht am Ausübungstag für das Kündigungsrecht durch Mitteilung an die Inhaber gemäss Ziffer 8 ausgeübt. Der Rückzahlungsbetrag bei Ausübung des Kündigungsrechts ist gemäss der in Unterziffer C.2 der Ziffer 1.1 enthaltenen Definition  "Rückzahlungsbetrag bei Ausübung des Kündigungsrechts" festzulegen.</w:t>
            </w:r>
            <w:r w:rsidRPr="00792D61">
              <w:rPr>
                <w:b/>
                <w:lang w:val="de-DE"/>
              </w:rPr>
              <w:t>]</w:t>
            </w:r>
          </w:p>
        </w:tc>
      </w:tr>
      <w:tr w:rsidTr="004C1EBA">
        <w:tblPrEx>
          <w:tblW w:w="4999" w:type="pct"/>
          <w:tblLayout w:type="fixed"/>
          <w:tblCellMar>
            <w:left w:w="115" w:type="dxa"/>
            <w:right w:w="115" w:type="dxa"/>
          </w:tblCellMar>
          <w:tblLook w:val="04A0"/>
        </w:tblPrEx>
        <w:tc>
          <w:tcPr>
            <w:tcW w:w="1530" w:type="dxa"/>
            <w:gridSpan w:val="2"/>
            <w:tcBorders>
              <w:top w:val="nil"/>
              <w:left w:val="nil"/>
              <w:bottom w:val="nil"/>
            </w:tcBorders>
            <w:shd w:val="clear" w:color="auto" w:fill="D9D9D9" w:themeFill="background1" w:themeFillShade="D9"/>
          </w:tcPr>
          <w:p w:rsidR="0017135D" w:rsidRPr="00B92619" w:rsidP="001E3451">
            <w:pPr>
              <w:pStyle w:val="CSbody0bold"/>
            </w:pPr>
            <w:r w:rsidRPr="00B92619">
              <w:t>Section 2.3</w:t>
            </w:r>
          </w:p>
        </w:tc>
        <w:tc>
          <w:tcPr>
            <w:tcW w:w="3401" w:type="dxa"/>
            <w:gridSpan w:val="3"/>
            <w:tcBorders>
              <w:top w:val="nil"/>
              <w:left w:val="nil"/>
              <w:bottom w:val="nil"/>
            </w:tcBorders>
            <w:shd w:val="clear" w:color="auto" w:fill="D9D9D9" w:themeFill="background1" w:themeFillShade="D9"/>
          </w:tcPr>
          <w:p w:rsidR="0017135D" w:rsidRPr="00132D4B" w:rsidP="001E3451">
            <w:pPr>
              <w:pStyle w:val="CSbody0bold"/>
              <w:rPr>
                <w:lang w:val="en-GB"/>
              </w:rPr>
            </w:pPr>
            <w:r w:rsidRPr="00132D4B">
              <w:rPr>
                <w:lang w:val="en-GB"/>
              </w:rPr>
              <w:t>Early Redemption upon the occurrence of an Extraordinary Event</w:t>
            </w:r>
          </w:p>
        </w:tc>
        <w:tc>
          <w:tcPr>
            <w:tcW w:w="1563" w:type="dxa"/>
            <w:tcBorders>
              <w:top w:val="nil"/>
              <w:bottom w:val="nil"/>
              <w:right w:val="nil"/>
            </w:tcBorders>
            <w:shd w:val="clear" w:color="auto" w:fill="D9D9D9" w:themeFill="background1" w:themeFillShade="D9"/>
          </w:tcPr>
          <w:p w:rsidR="0017135D" w:rsidRPr="00783096" w:rsidP="001E3451">
            <w:pPr>
              <w:pStyle w:val="CSbody0bold"/>
            </w:pPr>
            <w:r w:rsidRPr="00783096">
              <w:t>Ziffer 2.3</w:t>
            </w:r>
          </w:p>
        </w:tc>
        <w:tc>
          <w:tcPr>
            <w:tcW w:w="3373" w:type="dxa"/>
            <w:gridSpan w:val="2"/>
            <w:tcBorders>
              <w:top w:val="nil"/>
              <w:bottom w:val="nil"/>
              <w:right w:val="nil"/>
            </w:tcBorders>
            <w:shd w:val="clear" w:color="auto" w:fill="D9D9D9" w:themeFill="background1" w:themeFillShade="D9"/>
          </w:tcPr>
          <w:p w:rsidR="0017135D" w:rsidRPr="00124233" w:rsidP="001E3451">
            <w:pPr>
              <w:pStyle w:val="CSbody0bold"/>
            </w:pPr>
            <w:r w:rsidRPr="00124233">
              <w:t>Vorzeitige Rückzahlung nach Eintritt eines Aussergewöhnlichen Ereignisses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35013" w:rsidP="00FC7CBB">
            <w:pPr>
              <w:pStyle w:val="CSBody8pt"/>
            </w:pPr>
            <w:r w:rsidRPr="00135013">
              <w:t>If the Calculation Agent and the Issuer determine that an Extraordinary Event has occurred and is continuing, the Calculation Agent and the Issuer, acting together, shall have the right, but not the obligation to redeem the Complex Products in accordance with procedures (including fixing or valuation procedures) adopted by the Calculation Agent and the Issuer at such time, or to take any other action which the Calculation Agent and the Issuer deem to be appropriate in light of all of the circumstances which exist at the time, provided that, in their pursuit of any of the foregoing actions, the Calculation Agent and the Issuer will use such efforts as they reasonably deem practicable to preserve the value of, or provide reasonable value for, the Complex Products. The occurrence of an Extraordinary Event shall be determined in accordance with the definition "Extraordinary Event" set forth in subsection D. of Section 1.1.</w:t>
            </w:r>
          </w:p>
        </w:tc>
        <w:tc>
          <w:tcPr>
            <w:tcW w:w="4936" w:type="dxa"/>
            <w:gridSpan w:val="3"/>
            <w:tcBorders>
              <w:top w:val="nil"/>
              <w:bottom w:val="nil"/>
              <w:right w:val="nil"/>
            </w:tcBorders>
            <w:shd w:val="clear" w:color="auto" w:fill="auto"/>
          </w:tcPr>
          <w:p w:rsidR="0017135D" w:rsidRPr="00124233" w:rsidP="00FC7CBB">
            <w:pPr>
              <w:pStyle w:val="CSBody8pt"/>
              <w:rPr>
                <w:lang w:val="de-DE"/>
              </w:rPr>
            </w:pPr>
            <w:r w:rsidRPr="00124233">
              <w:rPr>
                <w:lang w:val="de-DE"/>
              </w:rPr>
              <w:t>Falls die Berechnungsstelle und die Emittentin feststellen, dass ein Aussergewöhnliches Ereignis eingetreten ist und andauert, sind die Berechnungsstelle und die Emittentin zusammen berechtigt, jedoch nicht verpflichtet, die Komplexen Produkte entsprechend den von der Berechnungsstelle und der Emittentin zum jeweiligen Zeitpunkt festgelegten Verfahren (einschliesslich Kursfestsetzungsverfahren) zurückzuzahlen oder sonstige Massnahmen zu ergreifen, die von der Berechnungsstelle und der Emittentin angesichts sämtlicher zum jeweiligen Zeitpunkt vorherrschender Umstände als angemessen erachtet werden, unter der Voraussetzung, dass sich die Berechnungsstelle und die Emittentin bei der Durchführung jeder der vorgenannten Massnahmen bemühen werden, alle zumutbaren und praktisch durchführbaren Massnahmen zu ergreifen, um den Wert der Komplexen Produkte zu erhalten oder eine angemessene Gegenleistung für die Komplexen Produkte zu erbringen. Der Eintritt eines Aussergewöhnlichen Ereignisses ist gemäss der Definition  "Aussergewöhnliches Ereignis" in Unterziffer D. der Ziffer 1.1 festzulegen.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35013" w:rsidP="001E3451">
            <w:pPr>
              <w:pStyle w:val="CSBody8pt"/>
            </w:pPr>
            <w:r w:rsidRPr="00135013">
              <w:t>Upon the occurrence of any Extraordinary Event the Issuer shall, if it determines that it is reasonably practicable to do so,</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Nach dem Eintritt eines Aussergewöhnlichen Ereignisses wird die Emittentin, soweit dies praktisch durchführbar ist,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w:t>
            </w:r>
            <w:r w:rsidRPr="00124233">
              <w:tab/>
              <w:t>give notice to the Holders that an Extraordinary Event has occurred, and</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(i)</w:t>
            </w:r>
            <w:r w:rsidRPr="00124233">
              <w:rPr>
                <w:bCs/>
                <w:lang w:val="de-DE"/>
              </w:rPr>
              <w:tab/>
              <w:t>die Inhaber in einer Mitteilung über den Eintritt eines Aussergewöhnlichen Ereignisses benachrichtigen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(ii)</w:t>
            </w:r>
            <w:r w:rsidRPr="00124233">
              <w:tab/>
              <w:t>within fourteen (14) calendar days of the date of notice referred to in clause (i) above, give notice to the Holders of the action which the Calculation Agent and the Issuer propose to take in connection with such Extraordinary Event,</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(ii)</w:t>
            </w:r>
            <w:r w:rsidRPr="00124233">
              <w:rPr>
                <w:bCs/>
                <w:lang w:val="de-DE"/>
              </w:rPr>
              <w:tab/>
              <w:t>die Inhaber innerhalb von vierzehn (14) Kalendertagen ab dem Datum der in Absatz (i) genannten Mitteilung in einer Mitteilung über die Massnahmen informieren, die die Berechnungsstelle und die Emittentin im Zusammenhang mit dem Aussergewöhnlichen Ereignis zu ergreifen beabsichtigen,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72F86" w:rsidP="001E3451">
            <w:pPr>
              <w:pStyle w:val="CSBody8pt"/>
            </w:pPr>
            <w:r w:rsidRPr="00C72F86">
              <w:t>each such notice to be given in the manner provided in Section 8 or in any other appropriate manner.</w:t>
            </w:r>
            <w:r w:rsidRPr="00792D61">
              <w:rPr>
                <w:b/>
              </w:rPr>
              <w:t>]</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wobei diese Mitteilung jeweils wie in Ziffer 8 festgelegt oder in einer sonstigen zweckmässigen Art und Weise zu erfolgen hat.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72F86" w:rsidP="001E3451">
            <w:pPr>
              <w:pStyle w:val="CSBody8pt"/>
            </w:pPr>
            <w:r w:rsidRPr="00792D61">
              <w:rPr>
                <w:b/>
              </w:rPr>
              <w:t>[</w:t>
            </w:r>
            <w:r w:rsidRPr="0013781B">
              <w:rPr>
                <w:b/>
                <w:i/>
              </w:rPr>
              <w:t>in the case of Credit-Linked Complex Products with auction settlement or Credit-Linked Complex Products with Zero-Recovery feature linked to a Basket, insert:</w:t>
            </w:r>
          </w:p>
        </w:tc>
        <w:tc>
          <w:tcPr>
            <w:tcW w:w="4936" w:type="dxa"/>
            <w:gridSpan w:val="3"/>
            <w:tcBorders>
              <w:top w:val="nil"/>
              <w:bottom w:val="nil"/>
              <w:right w:val="nil"/>
            </w:tcBorders>
            <w:shd w:val="clear" w:color="auto" w:fill="auto"/>
          </w:tcPr>
          <w:p w:rsidR="0017135D" w:rsidRPr="00124233" w:rsidP="00FC7CBB">
            <w:pPr>
              <w:pStyle w:val="CSBody8pt"/>
              <w:rPr>
                <w:lang w:val="de-DE"/>
              </w:rPr>
            </w:pPr>
            <w:r w:rsidRPr="00792D61">
              <w:rPr>
                <w:b/>
                <w:lang w:val="de-DE"/>
              </w:rPr>
              <w:t>[</w:t>
            </w:r>
            <w:r w:rsidRPr="0013781B">
              <w:rPr>
                <w:b/>
                <w:i/>
                <w:lang w:val="de-DE"/>
              </w:rPr>
              <w:t>bei Kreditbezogenen Komplexen Produkten mit Auktionsabwicklung oder Kreditbezogenen Komplexen Produkten mit Zero-Recovery-Merkmal, die an einen Korb gekoppelt sind,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BC0344" w:rsidP="001E3451">
            <w:pPr>
              <w:pStyle w:val="CSbody0bold"/>
            </w:pPr>
            <w:r w:rsidRPr="00BC0344">
              <w:t>Section 2.2</w:t>
            </w:r>
          </w:p>
        </w:tc>
        <w:tc>
          <w:tcPr>
            <w:tcW w:w="3315" w:type="dxa"/>
            <w:gridSpan w:val="2"/>
            <w:tcBorders>
              <w:top w:val="nil"/>
              <w:left w:val="nil"/>
              <w:bottom w:val="nil"/>
              <w:right w:val="nil"/>
            </w:tcBorders>
            <w:shd w:val="clear" w:color="auto" w:fill="D9D9D9" w:themeFill="background1" w:themeFillShade="D9"/>
          </w:tcPr>
          <w:p w:rsidR="0017135D" w:rsidRPr="00132D4B" w:rsidP="004C1EBA">
            <w:pPr>
              <w:pStyle w:val="CSbody0bold"/>
              <w:rPr>
                <w:lang w:val="en-GB"/>
              </w:rPr>
            </w:pPr>
            <w:r w:rsidRPr="00792D61">
              <w:rPr>
                <w:lang w:val="en-GB"/>
              </w:rPr>
              <w:t>[</w:t>
            </w:r>
            <w:r>
              <w:rPr>
                <w:i/>
                <w:lang w:val="en-GB"/>
              </w:rPr>
              <w:t>If a Basket is applicable</w:t>
            </w:r>
            <w:r w:rsidRPr="0013781B">
              <w:rPr>
                <w:i/>
                <w:lang w:val="en-GB"/>
              </w:rPr>
              <w:t xml:space="preserve">, insert: </w:t>
            </w:r>
            <w:r w:rsidRPr="0013781B">
              <w:rPr>
                <w:lang w:val="en-GB"/>
              </w:rPr>
              <w:t>Partial</w:t>
            </w:r>
            <w:r w:rsidRPr="00792D61">
              <w:rPr>
                <w:lang w:val="en-GB"/>
              </w:rPr>
              <w:t>]</w:t>
            </w:r>
            <w:r w:rsidRPr="0013781B">
              <w:rPr>
                <w:i/>
                <w:lang w:val="en-GB"/>
              </w:rPr>
              <w:t xml:space="preserve"> </w:t>
            </w:r>
            <w:r w:rsidRPr="00792D61">
              <w:rPr>
                <w:i/>
                <w:lang w:val="en-GB"/>
              </w:rPr>
              <w:t>[</w:t>
            </w:r>
            <w:r w:rsidRPr="0013781B">
              <w:rPr>
                <w:i/>
                <w:lang w:val="en-GB"/>
              </w:rPr>
              <w:t>in the case of Credit-Linked Complex Products with Auction Settlement, insert:</w:t>
            </w:r>
            <w:r w:rsidRPr="00132D4B">
              <w:rPr>
                <w:lang w:val="en-GB"/>
              </w:rPr>
              <w:t xml:space="preserve"> Redemption upon the occurrence of a Credit Event Determination Date</w:t>
            </w:r>
            <w:r w:rsidRPr="00792D61">
              <w:rPr>
                <w:lang w:val="en-GB"/>
              </w:rPr>
              <w:t>][</w:t>
            </w:r>
            <w:r w:rsidRPr="0013781B">
              <w:rPr>
                <w:i/>
                <w:lang w:val="en-GB"/>
              </w:rPr>
              <w:t>in the case of Credit-Linked Complex Products with Zero-Recovery feature linked to a Basket, insert:</w:t>
            </w:r>
            <w:r w:rsidRPr="00132D4B">
              <w:rPr>
                <w:lang w:val="en-GB"/>
              </w:rPr>
              <w:t xml:space="preserve"> Write-down of Outstanding Principal Amount upon the occurrence of a Credit Event Determination Date</w:t>
            </w:r>
            <w:r w:rsidRPr="00792D61">
              <w:rPr>
                <w:lang w:val="en-GB"/>
              </w:rPr>
              <w:t>]</w:t>
            </w:r>
            <w:r w:rsidRPr="00132D4B">
              <w:rPr>
                <w:lang w:val="en-GB"/>
              </w:rPr>
              <w:t xml:space="preserve"> </w:t>
            </w:r>
            <w:r w:rsidRPr="00792D61">
              <w:rPr>
                <w:lang w:val="en-GB"/>
              </w:rPr>
              <w:t>[</w:t>
            </w:r>
            <w:r w:rsidRPr="00132D4B">
              <w:rPr>
                <w:lang w:val="en-GB"/>
              </w:rPr>
              <w:t>with respect to a Reference Entity</w:t>
            </w:r>
            <w:r w:rsidRPr="00792D61">
              <w:rPr>
                <w:lang w:val="en-GB"/>
              </w:rPr>
              <w:t>]</w:t>
            </w:r>
            <w:r w:rsidRPr="00132D4B">
              <w:rPr>
                <w:lang w:val="en-GB"/>
              </w:rPr>
              <w:t xml:space="preserve"> (including during a Potential Credit Event Period)</w:t>
            </w:r>
          </w:p>
        </w:tc>
        <w:tc>
          <w:tcPr>
            <w:tcW w:w="1618" w:type="dxa"/>
            <w:gridSpan w:val="2"/>
            <w:tcBorders>
              <w:top w:val="nil"/>
              <w:left w:val="nil"/>
              <w:bottom w:val="nil"/>
              <w:right w:val="nil"/>
            </w:tcBorders>
            <w:shd w:val="clear" w:color="auto" w:fill="D9D9D9" w:themeFill="background1" w:themeFillShade="D9"/>
          </w:tcPr>
          <w:p w:rsidR="0017135D" w:rsidRPr="00B1436E" w:rsidP="001E3451">
            <w:pPr>
              <w:pStyle w:val="CSbody0bold"/>
            </w:pPr>
            <w:r w:rsidRPr="00B1436E">
              <w:t>Ziffer 2.2</w:t>
            </w:r>
          </w:p>
        </w:tc>
        <w:tc>
          <w:tcPr>
            <w:tcW w:w="3318" w:type="dxa"/>
            <w:tcBorders>
              <w:top w:val="nil"/>
              <w:left w:val="nil"/>
              <w:bottom w:val="nil"/>
              <w:right w:val="nil"/>
            </w:tcBorders>
            <w:shd w:val="clear" w:color="auto" w:fill="D9D9D9" w:themeFill="background1" w:themeFillShade="D9"/>
          </w:tcPr>
          <w:p w:rsidR="0017135D" w:rsidRPr="00124233" w:rsidP="004C1EBA">
            <w:pPr>
              <w:pStyle w:val="CSbody0bold"/>
            </w:pPr>
            <w:r w:rsidRPr="00792D61">
              <w:t>[</w:t>
            </w:r>
            <w:r>
              <w:rPr>
                <w:i/>
              </w:rPr>
              <w:t>falls ein Korb anwendbar ist,</w:t>
            </w:r>
            <w:r w:rsidRPr="0013781B">
              <w:rPr>
                <w:i/>
              </w:rPr>
              <w:t xml:space="preserve"> einfügen: </w:t>
            </w:r>
            <w:r w:rsidRPr="00124233">
              <w:t>Teilweise</w:t>
            </w:r>
            <w:r w:rsidRPr="00792D61">
              <w:t>]</w:t>
            </w:r>
            <w:r w:rsidRPr="00124233">
              <w:t xml:space="preserve"> </w:t>
            </w:r>
            <w:r w:rsidRPr="00792D61">
              <w:t>[</w:t>
            </w:r>
            <w:r w:rsidRPr="0013781B">
              <w:rPr>
                <w:i/>
              </w:rPr>
              <w:t xml:space="preserve">bei Kreditbezogenen Komplexen Produkten mit Auktionsabwicklung einfügen: </w:t>
            </w:r>
            <w:r w:rsidRPr="00124233">
              <w:t>Rückzahlung nach Eintritt eines Kreditereignis-Feststellungstags</w:t>
            </w:r>
            <w:r w:rsidRPr="00792D61">
              <w:t>][</w:t>
            </w:r>
            <w:r w:rsidRPr="0013781B">
              <w:rPr>
                <w:i/>
              </w:rPr>
              <w:t xml:space="preserve">bei Kreditbezogenen Komplexen Produkten mit Zero-Recovey-Merkmal, die an einen Korb gekoppelt sind, einfügen: </w:t>
            </w:r>
            <w:r w:rsidRPr="00124233">
              <w:t>Herabsetzung des Ausstehenden Nennbetrags nach Eintritt eines Kreditereignis-Feststellungstags</w:t>
            </w:r>
            <w:r w:rsidRPr="00792D61">
              <w:t>][</w:t>
            </w:r>
            <w:r w:rsidRPr="00124233">
              <w:t>in Bezug auf einen Referenzschuldner</w:t>
            </w:r>
            <w:r w:rsidRPr="00792D61">
              <w:t>]</w:t>
            </w:r>
            <w:r w:rsidRPr="00124233">
              <w:t>(einschliesslich während eines Zeitraums eines Potenziellen Kreditereignisses)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C0F6D" w:rsidP="001E3451">
            <w:pPr>
              <w:pStyle w:val="CSBody8ptbolditalics"/>
            </w:pPr>
            <w:r w:rsidRPr="00792D61">
              <w:t>[</w:t>
            </w:r>
            <w:r w:rsidRPr="00EC0F6D">
              <w:t xml:space="preserve">if no Basket is applicable: </w:t>
            </w:r>
          </w:p>
        </w:tc>
        <w:tc>
          <w:tcPr>
            <w:tcW w:w="4936" w:type="dxa"/>
            <w:gridSpan w:val="3"/>
            <w:tcBorders>
              <w:top w:val="nil"/>
              <w:bottom w:val="nil"/>
              <w:right w:val="nil"/>
            </w:tcBorders>
            <w:shd w:val="clear" w:color="auto" w:fill="auto"/>
          </w:tcPr>
          <w:p w:rsidR="0017135D" w:rsidRPr="00124233" w:rsidP="001E3451">
            <w:pPr>
              <w:pStyle w:val="CSBody8ptbolditalics"/>
              <w:rPr>
                <w:lang w:val="de-DE"/>
              </w:rPr>
            </w:pPr>
            <w:r w:rsidRPr="00792D61">
              <w:rPr>
                <w:lang w:val="de-DE"/>
              </w:rPr>
              <w:t>[</w:t>
            </w:r>
            <w:r w:rsidRPr="00124233">
              <w:rPr>
                <w:lang w:val="de-DE"/>
              </w:rPr>
              <w:t xml:space="preserve">falls kein Korb anwendbar ist: </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C0F6D" w:rsidP="001E3451">
            <w:pPr>
              <w:pStyle w:val="CSBody8ptbolditalics"/>
            </w:pPr>
            <w:r w:rsidRPr="00792D61">
              <w:t>[</w:t>
            </w:r>
            <w:r w:rsidRPr="00EC0F6D">
              <w:t>in the case of one Reference Entity, insert:</w:t>
            </w:r>
          </w:p>
        </w:tc>
        <w:tc>
          <w:tcPr>
            <w:tcW w:w="4936" w:type="dxa"/>
            <w:gridSpan w:val="3"/>
            <w:tcBorders>
              <w:top w:val="nil"/>
              <w:bottom w:val="nil"/>
              <w:right w:val="nil"/>
            </w:tcBorders>
            <w:shd w:val="clear" w:color="auto" w:fill="auto"/>
          </w:tcPr>
          <w:p w:rsidR="0017135D" w:rsidRPr="00EC0F6D" w:rsidP="001E3451">
            <w:pPr>
              <w:pStyle w:val="CSBody8ptbolditalics"/>
            </w:pPr>
            <w:r w:rsidRPr="00792D61">
              <w:t>[</w:t>
            </w:r>
            <w:r w:rsidRPr="00EC0F6D">
              <w:t>bei einem Referenzschuldner,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C0F6D" w:rsidP="001E3451">
            <w:pPr>
              <w:pStyle w:val="CSBody8pt"/>
            </w:pPr>
            <w:r w:rsidRPr="00EC0F6D">
              <w:t>Unless previously redeemed, repurchased or cancelled,</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Sofern die Komplexen Produkte nicht bereits zuvor zurückgezahlt, zurückgekauft oder entwertet wurden, wird die Emittentin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w:t>
            </w:r>
            <w:r w:rsidRPr="00124233">
              <w:tab/>
              <w:t>upon the occurrence of a Credit Event Determination Date on or prior to the Scheduled Maturity Date; or</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(i)</w:t>
            </w:r>
            <w:r w:rsidRPr="00124233">
              <w:rPr>
                <w:bCs/>
                <w:lang w:val="de-DE"/>
              </w:rPr>
              <w:tab/>
              <w:t>nach Eintritt eines Kreditereignis-Feststellungstags an oder vor dem Planmässigen Fälligkeitstag;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(ii)</w:t>
            </w:r>
            <w:r w:rsidRPr="00124233">
              <w:tab/>
              <w:t xml:space="preserve">if no Credit Event Determination Date has occurred on or prior to, but a Potential Credit Event Period has occurred on or prior to, and is continuing on, the Scheduled Maturity Date, and the relevant Potential Failure to Pay </w:t>
            </w:r>
            <w:r w:rsidRPr="00792D61">
              <w:rPr>
                <w:b/>
              </w:rPr>
              <w:t>[</w:t>
            </w:r>
            <w:r w:rsidRPr="0013781B">
              <w:rPr>
                <w:b/>
                <w:i/>
              </w:rPr>
              <w:t>if "Repudiation/ Moratorium" is applicable, insert:</w:t>
            </w:r>
            <w:r w:rsidRPr="00124233">
              <w:t xml:space="preserve"> , Potential Repudiation/Moratorium</w:t>
            </w:r>
            <w:r w:rsidRPr="00792D61">
              <w:rPr>
                <w:b/>
              </w:rPr>
              <w:t>]</w:t>
            </w:r>
            <w:r w:rsidRPr="00124233">
              <w:t xml:space="preserve"> or DC Pending Request, as the case may be, results in the occurrence of a Credit Event Determination Date, as determined on or prior to the last day of such Potential Credit Event Period,</w:t>
            </w:r>
          </w:p>
        </w:tc>
        <w:tc>
          <w:tcPr>
            <w:tcW w:w="4936" w:type="dxa"/>
            <w:gridSpan w:val="3"/>
            <w:tcBorders>
              <w:top w:val="nil"/>
              <w:bottom w:val="nil"/>
              <w:right w:val="nil"/>
            </w:tcBorders>
            <w:shd w:val="clear" w:color="auto" w:fill="auto"/>
          </w:tcPr>
          <w:p w:rsidR="0017135D" w:rsidRPr="00124233">
            <w:pPr>
              <w:pStyle w:val="CSManNum8pt"/>
              <w:rPr>
                <w:bCs/>
                <w:lang w:val="de-DE"/>
              </w:rPr>
            </w:pPr>
            <w:r w:rsidRPr="00124233">
              <w:rPr>
                <w:bCs/>
                <w:lang w:val="de-DE"/>
              </w:rPr>
              <w:t>(ii)</w:t>
            </w:r>
            <w:r w:rsidRPr="00124233">
              <w:rPr>
                <w:bCs/>
                <w:lang w:val="de-DE"/>
              </w:rPr>
              <w:tab/>
              <w:t>wenn ke</w:t>
            </w:r>
            <w:r>
              <w:rPr>
                <w:bCs/>
                <w:lang w:val="de-DE"/>
              </w:rPr>
              <w:t>in Kreditereignis-Feststellungs</w:t>
            </w:r>
            <w:r w:rsidRPr="00124233">
              <w:rPr>
                <w:bCs/>
                <w:lang w:val="de-DE"/>
              </w:rPr>
              <w:t xml:space="preserve">tag an oder vor dem Planmässigen Fälligkeitstag eingetreten ist, aber an oder vor dem Planmässigen Fälligkeitstag ein Zeitraum eines Potenziellen Kreditereignisses eingetreten ist und am Planmässigen Fälligkeitstag andauert und die </w:t>
            </w:r>
            <w:r>
              <w:rPr>
                <w:bCs/>
                <w:lang w:val="de-DE"/>
              </w:rPr>
              <w:t xml:space="preserve">betreffende </w:t>
            </w:r>
            <w:r w:rsidRPr="00124233">
              <w:rPr>
                <w:bCs/>
                <w:lang w:val="de-DE"/>
              </w:rPr>
              <w:t xml:space="preserve">Potenzielle Nichtzahlung </w:t>
            </w:r>
            <w:r w:rsidRPr="00792D61">
              <w:rPr>
                <w:b/>
                <w:bCs/>
                <w:lang w:val="de-DE"/>
              </w:rPr>
              <w:t>[</w:t>
            </w:r>
            <w:r w:rsidRPr="0013781B">
              <w:rPr>
                <w:b/>
                <w:bCs/>
                <w:i/>
                <w:lang w:val="de-DE"/>
              </w:rPr>
              <w:t>wenn "Nichtanerkennung/Moratorium" anwendbar ist, einfügen:</w:t>
            </w:r>
            <w:r w:rsidRPr="00124233">
              <w:rPr>
                <w:bCs/>
                <w:lang w:val="de-DE"/>
              </w:rPr>
              <w:t xml:space="preserve"> , die </w:t>
            </w:r>
            <w:r w:rsidRPr="005B572C">
              <w:rPr>
                <w:bCs/>
                <w:lang w:val="de-DE"/>
              </w:rPr>
              <w:t xml:space="preserve">betreffende </w:t>
            </w:r>
            <w:r w:rsidRPr="00124233">
              <w:rPr>
                <w:bCs/>
                <w:lang w:val="de-DE"/>
              </w:rPr>
              <w:t xml:space="preserve">Potenzielle Nichtanerkennung/ das </w:t>
            </w:r>
            <w:r w:rsidRPr="005B572C">
              <w:rPr>
                <w:bCs/>
                <w:lang w:val="de-DE"/>
              </w:rPr>
              <w:t xml:space="preserve">betreffende </w:t>
            </w:r>
            <w:r w:rsidRPr="00124233">
              <w:rPr>
                <w:bCs/>
                <w:lang w:val="de-DE"/>
              </w:rPr>
              <w:t>Potenzielle Moratorium</w:t>
            </w:r>
            <w:r w:rsidRPr="00792D61">
              <w:rPr>
                <w:b/>
                <w:bCs/>
                <w:lang w:val="de-DE"/>
              </w:rPr>
              <w:t>]</w:t>
            </w:r>
            <w:r w:rsidRPr="00124233">
              <w:rPr>
                <w:bCs/>
                <w:lang w:val="de-DE"/>
              </w:rPr>
              <w:t xml:space="preserve"> oder </w:t>
            </w:r>
            <w:r>
              <w:rPr>
                <w:bCs/>
                <w:lang w:val="de-DE"/>
              </w:rPr>
              <w:t xml:space="preserve">der </w:t>
            </w:r>
            <w:r w:rsidRPr="005B572C">
              <w:rPr>
                <w:bCs/>
                <w:lang w:val="de-DE"/>
              </w:rPr>
              <w:t>betreffende</w:t>
            </w:r>
            <w:r w:rsidRPr="00124233">
              <w:rPr>
                <w:bCs/>
                <w:lang w:val="de-DE"/>
              </w:rPr>
              <w:t xml:space="preserve"> Ausstehende Antrag, je nachdem was vorliegt, zu einem Kreditereignis-Feststellungstag führt, wie an oder vor dem letzten Tag dieses Zeitraums eines Potenziellen Kreditereignisses festgestellt,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80383" w:rsidP="001E3451">
            <w:pPr>
              <w:pStyle w:val="CSBody8pt"/>
            </w:pPr>
            <w:r w:rsidRPr="00480383">
              <w:t xml:space="preserve">the Issuer shall give notice thereof to the Holders in accordance with Section </w:t>
            </w:r>
            <w:r w:rsidRPr="00792D61">
              <w:rPr>
                <w:b/>
              </w:rPr>
              <w:t>[</w:t>
            </w:r>
            <w:r w:rsidRPr="00480383">
              <w:t>8</w:t>
            </w:r>
            <w:r w:rsidRPr="00792D61">
              <w:rPr>
                <w:b/>
              </w:rPr>
              <w:t>][</w:t>
            </w:r>
            <w:r w:rsidRPr="00480383">
              <w:rPr>
                <w:rFonts w:ascii="Arial" w:hAnsi="Arial" w:cs="Arial"/>
              </w:rPr>
              <w:t>●</w:t>
            </w:r>
            <w:r w:rsidRPr="00792D61">
              <w:rPr>
                <w:b/>
              </w:rPr>
              <w:t>]</w:t>
            </w:r>
            <w:r w:rsidRPr="00480383">
              <w:t xml:space="preserve"> (to the extent the Issuer has not previously delivered a Credit Event Notice in this respect to the Holders) and redeem the Complex Products in whole, but not in part, on the Auction Redemption Date (or, if a Fallback Settlement Event occurs, on the Cash Redemption Date) at the Auction Redemption Amount (or, if a Fallback Settlement Event occurs, at the Cash Redemption Amount).</w:t>
            </w:r>
            <w:r w:rsidRPr="00792D61">
              <w:rPr>
                <w:b/>
              </w:rPr>
              <w:t>]</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 xml:space="preserve">den Inhabern den Eintritt dieses Ereignisses gemäss Ziffer </w:t>
            </w:r>
            <w:r w:rsidRPr="00792D61">
              <w:rPr>
                <w:b/>
                <w:lang w:val="de-DE"/>
              </w:rPr>
              <w:t>[</w:t>
            </w:r>
            <w:r w:rsidRPr="00124233">
              <w:rPr>
                <w:lang w:val="de-DE"/>
              </w:rPr>
              <w:t>8</w:t>
            </w:r>
            <w:r w:rsidRPr="00792D61">
              <w:rPr>
                <w:b/>
                <w:lang w:val="de-DE"/>
              </w:rPr>
              <w:t>][</w:t>
            </w:r>
            <w:r w:rsidRPr="00124233">
              <w:rPr>
                <w:rFonts w:ascii="Arial" w:hAnsi="Arial" w:cs="Arial"/>
                <w:lang w:val="de-DE"/>
              </w:rPr>
              <w:t>●</w:t>
            </w:r>
            <w:r w:rsidRPr="00792D61">
              <w:rPr>
                <w:b/>
                <w:lang w:val="de-DE"/>
              </w:rPr>
              <w:t>]</w:t>
            </w:r>
            <w:r w:rsidRPr="00124233">
              <w:rPr>
                <w:lang w:val="de-DE"/>
              </w:rPr>
              <w:t xml:space="preserve"> mitteilen (soweit die Emittentin nicht bereits zuvor den Inhabern eine Kreditereignismiteilung in Bezug hierauf übersandt hat) und die Komplexen Produkte insgesamt, aber nicht teilweise am Auktions-Rückzahlungstag (oder, falls ein Ereignis der Alternativen Abwicklung eintritt, am Barrückzahlungstag) zum Auktions-Rückzahlunsbetrag (oder, falls ein Ereignis der Alternativen Abwicklung eintritt, zum Barrückzahlungsbetrag) zurück zahlen.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80383" w:rsidP="001E3451">
            <w:pPr>
              <w:pStyle w:val="CSBody8ptbolditalics"/>
            </w:pPr>
            <w:r w:rsidRPr="00792D61">
              <w:t>[</w:t>
            </w:r>
            <w:r w:rsidRPr="00480383">
              <w:t>in the case of an N</w:t>
            </w:r>
            <w:r w:rsidRPr="00BD6E0D">
              <w:rPr>
                <w:vertAlign w:val="superscript"/>
              </w:rPr>
              <w:t>th</w:t>
            </w:r>
            <w:r w:rsidRPr="00480383">
              <w:t>-to-Default structure, insert:</w:t>
            </w:r>
          </w:p>
        </w:tc>
        <w:tc>
          <w:tcPr>
            <w:tcW w:w="4936" w:type="dxa"/>
            <w:gridSpan w:val="3"/>
            <w:tcBorders>
              <w:top w:val="nil"/>
              <w:bottom w:val="nil"/>
              <w:right w:val="nil"/>
            </w:tcBorders>
            <w:shd w:val="clear" w:color="auto" w:fill="auto"/>
          </w:tcPr>
          <w:p w:rsidR="0017135D" w:rsidRPr="00124233" w:rsidP="001E3451">
            <w:pPr>
              <w:pStyle w:val="CSBody8ptbolditalics"/>
              <w:rPr>
                <w:lang w:val="de-DE"/>
              </w:rPr>
            </w:pPr>
            <w:r w:rsidRPr="00792D61">
              <w:rPr>
                <w:lang w:val="de-DE"/>
              </w:rPr>
              <w:t>[</w:t>
            </w:r>
            <w:r w:rsidRPr="00124233">
              <w:rPr>
                <w:lang w:val="de-DE"/>
              </w:rPr>
              <w:t>bei Komplexen Produkten mit N</w:t>
            </w:r>
            <w:r w:rsidRPr="00BD6E0D">
              <w:rPr>
                <w:vertAlign w:val="superscript"/>
                <w:lang w:val="de-DE"/>
              </w:rPr>
              <w:t>th</w:t>
            </w:r>
            <w:r w:rsidRPr="00124233">
              <w:rPr>
                <w:lang w:val="de-DE"/>
              </w:rPr>
              <w:t>-to-Default-Struktur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80383" w:rsidP="007625DC">
            <w:pPr>
              <w:pStyle w:val="CSBody8pt"/>
            </w:pPr>
            <w:r w:rsidRPr="00480383">
              <w:t>Unless previously redeemed, repurchased or cancelled,</w:t>
            </w:r>
          </w:p>
        </w:tc>
        <w:tc>
          <w:tcPr>
            <w:tcW w:w="4936" w:type="dxa"/>
            <w:gridSpan w:val="3"/>
            <w:tcBorders>
              <w:top w:val="nil"/>
              <w:bottom w:val="nil"/>
              <w:right w:val="nil"/>
            </w:tcBorders>
            <w:shd w:val="clear" w:color="auto" w:fill="auto"/>
          </w:tcPr>
          <w:p w:rsidR="0017135D" w:rsidRPr="00124233" w:rsidP="007625DC">
            <w:pPr>
              <w:pStyle w:val="CSBody8pt"/>
              <w:rPr>
                <w:lang w:val="de-DE"/>
              </w:rPr>
            </w:pPr>
            <w:r w:rsidRPr="00124233">
              <w:rPr>
                <w:lang w:val="de-DE"/>
              </w:rPr>
              <w:t>Sofern die Komplexen Produkte nicht bereits zuvor zurückgezahlt, zurückgekauft oder entwertet wurden, wird die Emittentin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w:t>
            </w:r>
            <w:r w:rsidRPr="00124233">
              <w:tab/>
              <w:t xml:space="preserve">upon the occurrence of a Credit Event Determination Date with respect to the </w:t>
            </w:r>
            <w:r w:rsidRPr="00792D61">
              <w:rPr>
                <w:b/>
              </w:rPr>
              <w:t>[</w:t>
            </w:r>
            <w:r w:rsidRPr="0013781B">
              <w:rPr>
                <w:b/>
                <w:i/>
              </w:rPr>
              <w:t>insert relevant number:</w:t>
            </w:r>
            <w:r w:rsidRPr="00124233">
              <w:t xml:space="preserve"> </w:t>
            </w:r>
            <w:r w:rsidRPr="00792D61">
              <w:rPr>
                <w:b/>
              </w:rPr>
              <w:t>[</w:t>
            </w:r>
            <w:r w:rsidRPr="00124233">
              <w:t>1st</w:t>
            </w:r>
            <w:r w:rsidRPr="00792D61">
              <w:rPr>
                <w:b/>
              </w:rPr>
              <w:t>][</w:t>
            </w:r>
            <w:r w:rsidRPr="00124233">
              <w:t>2nd</w:t>
            </w:r>
            <w:r w:rsidRPr="00792D61">
              <w:rPr>
                <w:b/>
              </w:rPr>
              <w:t>][</w:t>
            </w:r>
            <w:r w:rsidRPr="00124233">
              <w:t>3rd</w:t>
            </w:r>
            <w:r w:rsidRPr="00792D61">
              <w:rPr>
                <w:b/>
              </w:rPr>
              <w:t>]</w:t>
            </w:r>
            <w:r w:rsidRPr="00124233">
              <w:t xml:space="preserve"> </w:t>
            </w:r>
            <w:r w:rsidRPr="00792D61">
              <w:rPr>
                <w:b/>
              </w:rPr>
              <w:t>[[</w:t>
            </w:r>
            <w:r w:rsidRPr="00124233">
              <w:rPr>
                <w:rFonts w:ascii="Arial" w:hAnsi="Arial" w:cs="Arial"/>
              </w:rPr>
              <w:t>●</w:t>
            </w:r>
            <w:r w:rsidRPr="00792D61">
              <w:rPr>
                <w:b/>
              </w:rPr>
              <w:t>]]]</w:t>
            </w:r>
            <w:r w:rsidRPr="00124233">
              <w:t>-to-Default Reference Entity on or prior to the Scheduled Maturity Date; or</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(i)</w:t>
            </w:r>
            <w:r w:rsidRPr="00124233">
              <w:rPr>
                <w:bCs/>
                <w:lang w:val="de-DE"/>
              </w:rPr>
              <w:tab/>
              <w:t xml:space="preserve">nach Eintritt eines Kreditereignis-Feststellungstags in Bezug auf den </w:t>
            </w:r>
            <w:r w:rsidRPr="00792D61">
              <w:rPr>
                <w:b/>
                <w:bCs/>
                <w:lang w:val="de-DE"/>
              </w:rPr>
              <w:t>[</w:t>
            </w:r>
            <w:r w:rsidRPr="0013781B">
              <w:rPr>
                <w:b/>
                <w:bCs/>
                <w:i/>
                <w:lang w:val="de-DE"/>
              </w:rPr>
              <w:t>jeweilige Zahl einfügen:</w:t>
            </w:r>
            <w:r w:rsidRPr="00124233">
              <w:rPr>
                <w:bCs/>
                <w:lang w:val="de-DE"/>
              </w:rPr>
              <w:t xml:space="preserve"> </w:t>
            </w:r>
            <w:r w:rsidRPr="00792D61">
              <w:rPr>
                <w:b/>
                <w:bCs/>
                <w:lang w:val="de-DE"/>
              </w:rPr>
              <w:t>[</w:t>
            </w:r>
            <w:r w:rsidRPr="00124233">
              <w:rPr>
                <w:bCs/>
                <w:lang w:val="de-DE"/>
              </w:rPr>
              <w:t>1st</w:t>
            </w:r>
            <w:r w:rsidRPr="00792D61">
              <w:rPr>
                <w:b/>
                <w:bCs/>
                <w:lang w:val="de-DE"/>
              </w:rPr>
              <w:t>][</w:t>
            </w:r>
            <w:r w:rsidRPr="00124233">
              <w:rPr>
                <w:bCs/>
                <w:lang w:val="de-DE"/>
              </w:rPr>
              <w:t>2nd</w:t>
            </w:r>
            <w:r w:rsidRPr="00792D61">
              <w:rPr>
                <w:b/>
                <w:bCs/>
                <w:lang w:val="de-DE"/>
              </w:rPr>
              <w:t>][</w:t>
            </w:r>
            <w:r w:rsidRPr="00124233">
              <w:rPr>
                <w:bCs/>
                <w:lang w:val="de-DE"/>
              </w:rPr>
              <w:t>3rd</w:t>
            </w:r>
            <w:r w:rsidRPr="00792D61">
              <w:rPr>
                <w:b/>
                <w:bCs/>
                <w:lang w:val="de-DE"/>
              </w:rPr>
              <w:t>][[</w:t>
            </w:r>
            <w:r w:rsidRPr="00124233">
              <w:rPr>
                <w:rFonts w:ascii="Arial" w:hAnsi="Arial" w:cs="Arial"/>
                <w:bCs/>
                <w:lang w:val="de-DE"/>
              </w:rPr>
              <w:t>●</w:t>
            </w:r>
            <w:r w:rsidRPr="00792D61">
              <w:rPr>
                <w:b/>
                <w:bCs/>
                <w:lang w:val="de-DE"/>
              </w:rPr>
              <w:t>]]]</w:t>
            </w:r>
            <w:r w:rsidRPr="00124233">
              <w:rPr>
                <w:bCs/>
                <w:lang w:val="de-DE"/>
              </w:rPr>
              <w:t>-to-Default-Referenzschuldner an oder vor dem Planmässigen Fälligkeitstag;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(ii)</w:t>
            </w:r>
            <w:r w:rsidRPr="00124233">
              <w:tab/>
              <w:t xml:space="preserve">if no Credit Event Determination Date with respect to the </w:t>
            </w:r>
            <w:r w:rsidRPr="00792D61">
              <w:rPr>
                <w:b/>
              </w:rPr>
              <w:t>[</w:t>
            </w:r>
            <w:r w:rsidRPr="0013781B">
              <w:rPr>
                <w:b/>
                <w:i/>
              </w:rPr>
              <w:t>insert relevant number:</w:t>
            </w:r>
            <w:r w:rsidRPr="00124233">
              <w:t xml:space="preserve"> </w:t>
            </w:r>
            <w:r w:rsidRPr="00792D61">
              <w:rPr>
                <w:b/>
              </w:rPr>
              <w:t>[</w:t>
            </w:r>
            <w:r w:rsidRPr="00124233">
              <w:t>1st</w:t>
            </w:r>
            <w:r w:rsidRPr="00792D61">
              <w:rPr>
                <w:b/>
              </w:rPr>
              <w:t>][</w:t>
            </w:r>
            <w:r w:rsidRPr="00124233">
              <w:t>2nd</w:t>
            </w:r>
            <w:r w:rsidRPr="00792D61">
              <w:rPr>
                <w:b/>
              </w:rPr>
              <w:t>][</w:t>
            </w:r>
            <w:r w:rsidRPr="00124233">
              <w:t>3rd</w:t>
            </w:r>
            <w:r w:rsidRPr="00792D61">
              <w:rPr>
                <w:b/>
              </w:rPr>
              <w:t>]</w:t>
            </w:r>
            <w:r w:rsidRPr="00124233">
              <w:t xml:space="preserve"> </w:t>
            </w:r>
            <w:r w:rsidRPr="00792D61">
              <w:rPr>
                <w:b/>
              </w:rPr>
              <w:t>[[</w:t>
            </w:r>
            <w:r w:rsidRPr="00124233">
              <w:rPr>
                <w:rFonts w:ascii="Arial" w:hAnsi="Arial" w:cs="Arial"/>
              </w:rPr>
              <w:t>●</w:t>
            </w:r>
            <w:r w:rsidRPr="00792D61">
              <w:rPr>
                <w:b/>
              </w:rPr>
              <w:t>]]]</w:t>
            </w:r>
            <w:r w:rsidRPr="00124233">
              <w:t xml:space="preserve">-to-Default Reference Entity has occurred on or prior to, but a Potential Credit Event Period has occurred with respect to one or more Potential </w:t>
            </w:r>
            <w:r w:rsidRPr="00792D61">
              <w:rPr>
                <w:b/>
              </w:rPr>
              <w:t>[</w:t>
            </w:r>
            <w:r w:rsidRPr="0013781B">
              <w:rPr>
                <w:b/>
                <w:i/>
              </w:rPr>
              <w:t>insert relevant number:</w:t>
            </w:r>
            <w:r w:rsidRPr="00124233">
              <w:t xml:space="preserve"> </w:t>
            </w:r>
            <w:r w:rsidRPr="00792D61">
              <w:rPr>
                <w:b/>
              </w:rPr>
              <w:t>[</w:t>
            </w:r>
            <w:r w:rsidRPr="00124233">
              <w:t>1st</w:t>
            </w:r>
            <w:r w:rsidRPr="00792D61">
              <w:rPr>
                <w:b/>
              </w:rPr>
              <w:t>][</w:t>
            </w:r>
            <w:r w:rsidRPr="00124233">
              <w:t>2nd</w:t>
            </w:r>
            <w:r w:rsidRPr="00792D61">
              <w:rPr>
                <w:b/>
              </w:rPr>
              <w:t>][</w:t>
            </w:r>
            <w:r w:rsidRPr="00124233">
              <w:t>3rd</w:t>
            </w:r>
            <w:r w:rsidRPr="00792D61">
              <w:rPr>
                <w:b/>
              </w:rPr>
              <w:t>]</w:t>
            </w:r>
            <w:r w:rsidRPr="00124233">
              <w:t xml:space="preserve"> </w:t>
            </w:r>
            <w:r w:rsidRPr="00792D61">
              <w:rPr>
                <w:b/>
              </w:rPr>
              <w:t>[[</w:t>
            </w:r>
            <w:r w:rsidRPr="00124233">
              <w:rPr>
                <w:rFonts w:ascii="Arial" w:hAnsi="Arial" w:cs="Arial"/>
              </w:rPr>
              <w:t>●</w:t>
            </w:r>
            <w:r w:rsidRPr="00792D61">
              <w:rPr>
                <w:b/>
              </w:rPr>
              <w:t>]]]</w:t>
            </w:r>
            <w:r w:rsidRPr="00124233">
              <w:t xml:space="preserve">-to-Default Reference Entities on or prior to, and is continuing on, the Scheduled Maturity Date, and any such Potential </w:t>
            </w:r>
            <w:r w:rsidRPr="00792D61">
              <w:rPr>
                <w:b/>
              </w:rPr>
              <w:t>[</w:t>
            </w:r>
            <w:r w:rsidRPr="0013781B">
              <w:rPr>
                <w:b/>
                <w:i/>
              </w:rPr>
              <w:t>insert relevant number:</w:t>
            </w:r>
            <w:r w:rsidRPr="00124233">
              <w:t xml:space="preserve"> </w:t>
            </w:r>
            <w:r w:rsidRPr="00792D61">
              <w:rPr>
                <w:b/>
              </w:rPr>
              <w:t>[</w:t>
            </w:r>
            <w:r w:rsidRPr="00124233">
              <w:t>1st</w:t>
            </w:r>
            <w:r w:rsidRPr="00792D61">
              <w:rPr>
                <w:b/>
              </w:rPr>
              <w:t>][</w:t>
            </w:r>
            <w:r w:rsidRPr="00124233">
              <w:t>2nd</w:t>
            </w:r>
            <w:r w:rsidRPr="00792D61">
              <w:rPr>
                <w:b/>
              </w:rPr>
              <w:t>][</w:t>
            </w:r>
            <w:r w:rsidRPr="00124233">
              <w:t>3rd</w:t>
            </w:r>
            <w:r w:rsidRPr="00792D61">
              <w:rPr>
                <w:b/>
              </w:rPr>
              <w:t>]</w:t>
            </w:r>
            <w:r w:rsidRPr="00124233">
              <w:t xml:space="preserve"> </w:t>
            </w:r>
            <w:r w:rsidRPr="00792D61">
              <w:rPr>
                <w:b/>
              </w:rPr>
              <w:t>[[</w:t>
            </w:r>
            <w:r w:rsidRPr="00124233">
              <w:rPr>
                <w:rFonts w:ascii="Arial" w:hAnsi="Arial" w:cs="Arial"/>
              </w:rPr>
              <w:t>●</w:t>
            </w:r>
            <w:r w:rsidRPr="00792D61">
              <w:rPr>
                <w:b/>
              </w:rPr>
              <w:t>]]]</w:t>
            </w:r>
            <w:r w:rsidRPr="00124233">
              <w:t xml:space="preserve">-to-Default Reference Entity is determined to be the </w:t>
            </w:r>
            <w:r w:rsidRPr="00792D61">
              <w:rPr>
                <w:b/>
              </w:rPr>
              <w:t>[</w:t>
            </w:r>
            <w:r w:rsidRPr="0013781B">
              <w:rPr>
                <w:b/>
                <w:i/>
              </w:rPr>
              <w:t>insert relevant number:</w:t>
            </w:r>
            <w:r w:rsidRPr="00124233">
              <w:t xml:space="preserve"> </w:t>
            </w:r>
            <w:r w:rsidRPr="00792D61">
              <w:rPr>
                <w:b/>
              </w:rPr>
              <w:t>[</w:t>
            </w:r>
            <w:r w:rsidRPr="00124233">
              <w:t>1st</w:t>
            </w:r>
            <w:r w:rsidRPr="00792D61">
              <w:rPr>
                <w:b/>
              </w:rPr>
              <w:t>][</w:t>
            </w:r>
            <w:r w:rsidRPr="00124233">
              <w:t>2nd</w:t>
            </w:r>
            <w:r w:rsidRPr="00792D61">
              <w:rPr>
                <w:b/>
              </w:rPr>
              <w:t>][</w:t>
            </w:r>
            <w:r w:rsidRPr="00124233">
              <w:t>3rd</w:t>
            </w:r>
            <w:r w:rsidRPr="00792D61">
              <w:rPr>
                <w:b/>
              </w:rPr>
              <w:t>][[</w:t>
            </w:r>
            <w:r w:rsidRPr="00124233">
              <w:rPr>
                <w:rFonts w:ascii="Arial" w:hAnsi="Arial" w:cs="Arial"/>
              </w:rPr>
              <w:t>●</w:t>
            </w:r>
            <w:r w:rsidRPr="00792D61">
              <w:rPr>
                <w:b/>
              </w:rPr>
              <w:t>]]]</w:t>
            </w:r>
            <w:r w:rsidRPr="00124233">
              <w:t>-to-Default Reference Entity</w:t>
            </w:r>
            <w:r w:rsidRPr="00792D61">
              <w:rPr>
                <w:b/>
              </w:rPr>
              <w:t>]</w:t>
            </w:r>
            <w:r w:rsidRPr="00124233">
              <w:t>, as determined on or prior to the last day of any such Potential Credit Event Period,</w:t>
            </w:r>
          </w:p>
        </w:tc>
        <w:tc>
          <w:tcPr>
            <w:tcW w:w="4936" w:type="dxa"/>
            <w:gridSpan w:val="3"/>
            <w:tcBorders>
              <w:top w:val="nil"/>
              <w:bottom w:val="nil"/>
              <w:right w:val="nil"/>
            </w:tcBorders>
            <w:shd w:val="clear" w:color="auto" w:fill="auto"/>
          </w:tcPr>
          <w:p w:rsidR="0017135D" w:rsidRPr="00124233" w:rsidP="0013781B">
            <w:pPr>
              <w:pStyle w:val="CSManNum8pt"/>
              <w:rPr>
                <w:bCs/>
                <w:lang w:val="de-DE"/>
              </w:rPr>
            </w:pPr>
            <w:r w:rsidRPr="00124233">
              <w:rPr>
                <w:bCs/>
                <w:lang w:val="de-DE"/>
              </w:rPr>
              <w:t>(ii)</w:t>
            </w:r>
            <w:r w:rsidRPr="00124233">
              <w:rPr>
                <w:bCs/>
                <w:lang w:val="de-DE"/>
              </w:rPr>
              <w:tab/>
              <w:t xml:space="preserve">wenn kein Kreditereignis-Feststellungstag in Bezug auf den </w:t>
            </w:r>
            <w:r w:rsidRPr="00792D61">
              <w:rPr>
                <w:b/>
                <w:bCs/>
                <w:lang w:val="de-DE"/>
              </w:rPr>
              <w:t>[</w:t>
            </w:r>
            <w:r w:rsidRPr="0013781B">
              <w:rPr>
                <w:b/>
                <w:bCs/>
                <w:i/>
                <w:lang w:val="de-DE"/>
              </w:rPr>
              <w:t>jeweilige Zahl einfügen:</w:t>
            </w:r>
            <w:r w:rsidRPr="00124233">
              <w:rPr>
                <w:bCs/>
                <w:lang w:val="de-DE"/>
              </w:rPr>
              <w:t xml:space="preserve"> </w:t>
            </w:r>
            <w:r w:rsidRPr="00792D61">
              <w:rPr>
                <w:b/>
                <w:bCs/>
                <w:lang w:val="de-DE"/>
              </w:rPr>
              <w:t>[</w:t>
            </w:r>
            <w:r w:rsidRPr="00124233">
              <w:rPr>
                <w:bCs/>
                <w:lang w:val="de-DE"/>
              </w:rPr>
              <w:t>1st</w:t>
            </w:r>
            <w:r w:rsidRPr="00792D61">
              <w:rPr>
                <w:b/>
                <w:bCs/>
                <w:lang w:val="de-DE"/>
              </w:rPr>
              <w:t>][</w:t>
            </w:r>
            <w:r w:rsidRPr="00124233">
              <w:rPr>
                <w:bCs/>
                <w:lang w:val="de-DE"/>
              </w:rPr>
              <w:t>2nd</w:t>
            </w:r>
            <w:r w:rsidRPr="00792D61">
              <w:rPr>
                <w:b/>
                <w:bCs/>
                <w:lang w:val="de-DE"/>
              </w:rPr>
              <w:t>][</w:t>
            </w:r>
            <w:r w:rsidRPr="00124233">
              <w:rPr>
                <w:bCs/>
                <w:lang w:val="de-DE"/>
              </w:rPr>
              <w:t>3rd</w:t>
            </w:r>
            <w:r w:rsidRPr="00792D61">
              <w:rPr>
                <w:b/>
                <w:bCs/>
                <w:lang w:val="de-DE"/>
              </w:rPr>
              <w:t>][[</w:t>
            </w:r>
            <w:r w:rsidRPr="00124233">
              <w:rPr>
                <w:rFonts w:ascii="Arial" w:hAnsi="Arial" w:cs="Arial"/>
                <w:bCs/>
                <w:lang w:val="de-DE"/>
              </w:rPr>
              <w:t>●</w:t>
            </w:r>
            <w:r w:rsidRPr="00792D61">
              <w:rPr>
                <w:b/>
                <w:bCs/>
                <w:lang w:val="de-DE"/>
              </w:rPr>
              <w:t>]]]</w:t>
            </w:r>
            <w:r w:rsidRPr="00124233">
              <w:rPr>
                <w:bCs/>
                <w:lang w:val="de-DE"/>
              </w:rPr>
              <w:t>-to-Default-Referenzschuldner an oder vor dem Planm</w:t>
            </w:r>
            <w:r w:rsidRPr="00124233">
              <w:rPr>
                <w:rFonts w:cs="Credit Suisse Type Light"/>
                <w:bCs/>
                <w:lang w:val="de-DE"/>
              </w:rPr>
              <w:t>ä</w:t>
            </w:r>
            <w:r w:rsidRPr="00124233">
              <w:rPr>
                <w:bCs/>
                <w:lang w:val="de-DE"/>
              </w:rPr>
              <w:t>ssigen F</w:t>
            </w:r>
            <w:r w:rsidRPr="00124233">
              <w:rPr>
                <w:rFonts w:cs="Credit Suisse Type Light"/>
                <w:bCs/>
                <w:lang w:val="de-DE"/>
              </w:rPr>
              <w:t>ä</w:t>
            </w:r>
            <w:r w:rsidRPr="00124233">
              <w:rPr>
                <w:bCs/>
                <w:lang w:val="de-DE"/>
              </w:rPr>
              <w:t xml:space="preserve">lligkeitstag eingetreten ist, aber an oder vor dem Planmässigen Fälligkeitstag ein Zeitraum eines Potenziellen Kreditereignisses in Bezug auf einen oder mehrere Potenzielle </w:t>
            </w:r>
            <w:r w:rsidRPr="00792D61">
              <w:rPr>
                <w:b/>
                <w:bCs/>
                <w:lang w:val="de-DE"/>
              </w:rPr>
              <w:t>[</w:t>
            </w:r>
            <w:r w:rsidRPr="0013781B">
              <w:rPr>
                <w:b/>
                <w:bCs/>
                <w:i/>
                <w:lang w:val="de-DE"/>
              </w:rPr>
              <w:t>jeweilige Zahl einfügen:</w:t>
            </w:r>
            <w:r w:rsidRPr="00124233">
              <w:rPr>
                <w:bCs/>
                <w:lang w:val="de-DE"/>
              </w:rPr>
              <w:t xml:space="preserve"> </w:t>
            </w:r>
            <w:r w:rsidRPr="00792D61">
              <w:rPr>
                <w:b/>
                <w:bCs/>
                <w:lang w:val="de-DE"/>
              </w:rPr>
              <w:t>[</w:t>
            </w:r>
            <w:r w:rsidRPr="00124233">
              <w:rPr>
                <w:bCs/>
                <w:lang w:val="de-DE"/>
              </w:rPr>
              <w:t>1st</w:t>
            </w:r>
            <w:r w:rsidRPr="00792D61">
              <w:rPr>
                <w:b/>
                <w:bCs/>
                <w:lang w:val="de-DE"/>
              </w:rPr>
              <w:t>][</w:t>
            </w:r>
            <w:r w:rsidRPr="00124233">
              <w:rPr>
                <w:bCs/>
                <w:lang w:val="de-DE"/>
              </w:rPr>
              <w:t>2nd</w:t>
            </w:r>
            <w:r w:rsidRPr="00792D61">
              <w:rPr>
                <w:b/>
                <w:bCs/>
                <w:lang w:val="de-DE"/>
              </w:rPr>
              <w:t>][</w:t>
            </w:r>
            <w:r w:rsidRPr="00124233">
              <w:rPr>
                <w:bCs/>
                <w:lang w:val="de-DE"/>
              </w:rPr>
              <w:t>3rd</w:t>
            </w:r>
            <w:r w:rsidRPr="00792D61">
              <w:rPr>
                <w:b/>
                <w:bCs/>
                <w:lang w:val="de-DE"/>
              </w:rPr>
              <w:t>][[</w:t>
            </w:r>
            <w:r w:rsidRPr="00124233">
              <w:rPr>
                <w:rFonts w:ascii="Arial" w:hAnsi="Arial" w:cs="Arial"/>
                <w:bCs/>
                <w:lang w:val="de-DE"/>
              </w:rPr>
              <w:t>●</w:t>
            </w:r>
            <w:r w:rsidRPr="00792D61">
              <w:rPr>
                <w:b/>
                <w:bCs/>
                <w:lang w:val="de-DE"/>
              </w:rPr>
              <w:t>]]]</w:t>
            </w:r>
            <w:r w:rsidRPr="00124233">
              <w:rPr>
                <w:bCs/>
                <w:lang w:val="de-DE"/>
              </w:rPr>
              <w:t xml:space="preserve">-to-Default-Referenzschuldner eingetreten ist und am Planmässigen Fälligkeitstag andauert und sich einer dieser Potenziellen </w:t>
            </w:r>
            <w:r w:rsidRPr="00792D61">
              <w:rPr>
                <w:b/>
                <w:bCs/>
                <w:lang w:val="de-DE"/>
              </w:rPr>
              <w:t>[</w:t>
            </w:r>
            <w:r w:rsidRPr="0013781B">
              <w:rPr>
                <w:b/>
                <w:bCs/>
                <w:i/>
                <w:lang w:val="de-DE"/>
              </w:rPr>
              <w:t>jeweilige Zahl einfügen:</w:t>
            </w:r>
            <w:r w:rsidRPr="00124233">
              <w:rPr>
                <w:bCs/>
                <w:lang w:val="de-DE"/>
              </w:rPr>
              <w:t xml:space="preserve"> </w:t>
            </w:r>
            <w:r w:rsidRPr="00792D61">
              <w:rPr>
                <w:b/>
                <w:bCs/>
                <w:lang w:val="de-DE"/>
              </w:rPr>
              <w:t>[</w:t>
            </w:r>
            <w:r w:rsidRPr="00124233">
              <w:rPr>
                <w:bCs/>
                <w:lang w:val="de-DE"/>
              </w:rPr>
              <w:t>1st</w:t>
            </w:r>
            <w:r w:rsidRPr="00792D61">
              <w:rPr>
                <w:b/>
                <w:bCs/>
                <w:lang w:val="de-DE"/>
              </w:rPr>
              <w:t>][</w:t>
            </w:r>
            <w:r w:rsidRPr="00124233">
              <w:rPr>
                <w:bCs/>
                <w:lang w:val="de-DE"/>
              </w:rPr>
              <w:t>2nd</w:t>
            </w:r>
            <w:r w:rsidRPr="00792D61">
              <w:rPr>
                <w:b/>
                <w:bCs/>
                <w:lang w:val="de-DE"/>
              </w:rPr>
              <w:t>][</w:t>
            </w:r>
            <w:r w:rsidRPr="00124233">
              <w:rPr>
                <w:bCs/>
                <w:lang w:val="de-DE"/>
              </w:rPr>
              <w:t>3rd</w:t>
            </w:r>
            <w:r w:rsidRPr="00792D61">
              <w:rPr>
                <w:b/>
                <w:bCs/>
                <w:lang w:val="de-DE"/>
              </w:rPr>
              <w:t>][[</w:t>
            </w:r>
            <w:r w:rsidRPr="00124233">
              <w:rPr>
                <w:rFonts w:ascii="Arial" w:hAnsi="Arial" w:cs="Arial"/>
                <w:bCs/>
                <w:lang w:val="de-DE"/>
              </w:rPr>
              <w:t>●</w:t>
            </w:r>
            <w:r w:rsidRPr="00792D61">
              <w:rPr>
                <w:b/>
                <w:bCs/>
                <w:lang w:val="de-DE"/>
              </w:rPr>
              <w:t>]]]</w:t>
            </w:r>
            <w:r w:rsidRPr="00124233">
              <w:rPr>
                <w:bCs/>
                <w:lang w:val="de-DE"/>
              </w:rPr>
              <w:t xml:space="preserve">-to-Default-Referenzschuldner als </w:t>
            </w:r>
            <w:r w:rsidRPr="00792D61">
              <w:rPr>
                <w:b/>
                <w:bCs/>
                <w:lang w:val="de-DE"/>
              </w:rPr>
              <w:t>[</w:t>
            </w:r>
            <w:r w:rsidRPr="0013781B">
              <w:rPr>
                <w:b/>
                <w:bCs/>
                <w:i/>
                <w:lang w:val="de-DE"/>
              </w:rPr>
              <w:t>jeweilige Zahl einf</w:t>
            </w:r>
            <w:r w:rsidRPr="0013781B">
              <w:rPr>
                <w:rFonts w:cs="Credit Suisse Type Light"/>
                <w:b/>
                <w:bCs/>
                <w:i/>
                <w:lang w:val="de-DE"/>
              </w:rPr>
              <w:t>ü</w:t>
            </w:r>
            <w:r w:rsidRPr="0013781B">
              <w:rPr>
                <w:b/>
                <w:bCs/>
                <w:i/>
                <w:lang w:val="de-DE"/>
              </w:rPr>
              <w:t>gen:</w:t>
            </w:r>
            <w:r w:rsidRPr="00124233">
              <w:rPr>
                <w:bCs/>
                <w:lang w:val="de-DE"/>
              </w:rPr>
              <w:t xml:space="preserve"> </w:t>
            </w:r>
            <w:r w:rsidRPr="00792D61">
              <w:rPr>
                <w:b/>
                <w:bCs/>
                <w:lang w:val="de-DE"/>
              </w:rPr>
              <w:t>[</w:t>
            </w:r>
            <w:r w:rsidRPr="00124233">
              <w:rPr>
                <w:bCs/>
                <w:lang w:val="de-DE"/>
              </w:rPr>
              <w:t>1st</w:t>
            </w:r>
            <w:r w:rsidRPr="00792D61">
              <w:rPr>
                <w:b/>
                <w:bCs/>
                <w:lang w:val="de-DE"/>
              </w:rPr>
              <w:t>][</w:t>
            </w:r>
            <w:r w:rsidRPr="00124233">
              <w:rPr>
                <w:bCs/>
                <w:lang w:val="de-DE"/>
              </w:rPr>
              <w:t>2nd</w:t>
            </w:r>
            <w:r w:rsidRPr="00792D61">
              <w:rPr>
                <w:b/>
                <w:bCs/>
                <w:lang w:val="de-DE"/>
              </w:rPr>
              <w:t>][</w:t>
            </w:r>
            <w:r w:rsidRPr="00124233">
              <w:rPr>
                <w:bCs/>
                <w:lang w:val="de-DE"/>
              </w:rPr>
              <w:t>3rd</w:t>
            </w:r>
            <w:r w:rsidRPr="00792D61">
              <w:rPr>
                <w:b/>
                <w:bCs/>
                <w:lang w:val="de-DE"/>
              </w:rPr>
              <w:t>][[</w:t>
            </w:r>
            <w:r w:rsidRPr="00124233">
              <w:rPr>
                <w:rFonts w:ascii="Arial" w:hAnsi="Arial" w:cs="Arial"/>
                <w:bCs/>
                <w:lang w:val="de-DE"/>
              </w:rPr>
              <w:t>●</w:t>
            </w:r>
            <w:r w:rsidRPr="00792D61">
              <w:rPr>
                <w:b/>
                <w:bCs/>
                <w:lang w:val="de-DE"/>
              </w:rPr>
              <w:t>]]]</w:t>
            </w:r>
            <w:r w:rsidRPr="00124233">
              <w:rPr>
                <w:bCs/>
                <w:lang w:val="de-DE"/>
              </w:rPr>
              <w:t>-to-Default-Referenzschuldner herausstellt, wie an oder vor dem letzten Tag des jeweiligen Zeitraums eines Potenziellen Kreditereignisses festgestellt,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70291" w:rsidP="001E3451">
            <w:pPr>
              <w:pStyle w:val="CSBody8pt"/>
            </w:pPr>
            <w:r w:rsidRPr="00070291">
              <w:t xml:space="preserve">the Issuer shall give notice thereof to the Holders in accordance with Section </w:t>
            </w:r>
            <w:r w:rsidRPr="00792D61">
              <w:rPr>
                <w:b/>
              </w:rPr>
              <w:t>[</w:t>
            </w:r>
            <w:r w:rsidRPr="00070291">
              <w:t>8</w:t>
            </w:r>
            <w:r w:rsidRPr="00792D61">
              <w:rPr>
                <w:b/>
              </w:rPr>
              <w:t>][</w:t>
            </w:r>
            <w:r w:rsidRPr="00070291">
              <w:rPr>
                <w:rFonts w:ascii="Arial" w:hAnsi="Arial" w:cs="Arial"/>
              </w:rPr>
              <w:t>●</w:t>
            </w:r>
            <w:r w:rsidRPr="00792D61">
              <w:rPr>
                <w:b/>
              </w:rPr>
              <w:t>]</w:t>
            </w:r>
            <w:r w:rsidRPr="00070291">
              <w:t xml:space="preserve"> (to the extent the Issuer has not previously delivered a Credit Event Notice in this respect to the Holders) and</w:t>
            </w:r>
            <w:r>
              <w:t xml:space="preserve"> shall</w:t>
            </w:r>
            <w:r w:rsidRPr="00070291">
              <w:t xml:space="preserve"> redeem the Complex Products in whole, but not in part, on the Auction Redemption Date (or, if a Fallback Settlement Event occurs, on the Cash Redemption Date) at the Auction Redemption Amount (or, if a Fallback Settlement Event occurs, at the Cash Redemption Amount).</w:t>
            </w:r>
            <w:r w:rsidRPr="00792D61">
              <w:rPr>
                <w:b/>
              </w:rPr>
              <w:t>]</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 xml:space="preserve">den Inhabern den Eintritt dieses Ereignisses gemäss Ziffer </w:t>
            </w:r>
            <w:r w:rsidRPr="00792D61">
              <w:rPr>
                <w:b/>
                <w:lang w:val="de-DE"/>
              </w:rPr>
              <w:t>[</w:t>
            </w:r>
            <w:r w:rsidRPr="00124233">
              <w:rPr>
                <w:lang w:val="de-DE"/>
              </w:rPr>
              <w:t>8</w:t>
            </w:r>
            <w:r w:rsidRPr="00792D61">
              <w:rPr>
                <w:b/>
                <w:lang w:val="de-DE"/>
              </w:rPr>
              <w:t>][</w:t>
            </w:r>
            <w:r w:rsidRPr="00124233">
              <w:rPr>
                <w:rFonts w:ascii="Arial" w:hAnsi="Arial" w:cs="Arial"/>
                <w:lang w:val="de-DE"/>
              </w:rPr>
              <w:t>●</w:t>
            </w:r>
            <w:r w:rsidRPr="00792D61">
              <w:rPr>
                <w:b/>
                <w:lang w:val="de-DE"/>
              </w:rPr>
              <w:t>]</w:t>
            </w:r>
            <w:r w:rsidRPr="00124233">
              <w:rPr>
                <w:lang w:val="de-DE"/>
              </w:rPr>
              <w:t xml:space="preserve"> mitteilen (soweit die Emittentin nicht bereits zuvor den Inhabern eine Kreditereignismiteilung in Bezug hierauf </w:t>
            </w:r>
            <w:r w:rsidRPr="00124233">
              <w:rPr>
                <w:rFonts w:cs="Credit Suisse Type Light"/>
                <w:lang w:val="de-DE"/>
              </w:rPr>
              <w:t>ü</w:t>
            </w:r>
            <w:r w:rsidRPr="00124233">
              <w:rPr>
                <w:lang w:val="de-DE"/>
              </w:rPr>
              <w:t>bersandt hat) und die Komplexen Produkte insgesamt, aber nicht teilweise am Auktions-Rückzahlungstag (oder, falls ein Ereignis der Alternativen Abwicklung eintritt, am Barrückzahlungstag) zum Auktions-Rückzahlunsbetrag (oder, falls ein Ereignis der Alternativen Abwicklung eintritt, zum Barrückzahlungsbetrag) zurück</w:t>
            </w:r>
            <w:r>
              <w:rPr>
                <w:lang w:val="de-DE"/>
              </w:rPr>
              <w:t xml:space="preserve"> zahlen</w:t>
            </w:r>
            <w:r w:rsidRPr="00124233">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70291">
            <w:pPr>
              <w:pStyle w:val="CSBody8pt"/>
            </w:pPr>
            <w:r w:rsidRPr="00070291">
              <w:t>The Auction Redemption Amount or Cash Redemption Amount, as applicable, and the Auction Redemption Date or Cash Redemption Date, as applicable, shall be determined in accordance with the definitions of "Auction Redemption Amount" and "Auction Redemption Date" or "Cash Redemption Amount" and "Cash Redemption Date", respectively, set forth in subsection C.4 of Section 1.1.</w:t>
            </w:r>
            <w:r w:rsidRPr="00792D61">
              <w:rPr>
                <w:b/>
              </w:rPr>
              <w:t>]</w:t>
            </w:r>
          </w:p>
        </w:tc>
        <w:tc>
          <w:tcPr>
            <w:tcW w:w="4936" w:type="dxa"/>
            <w:gridSpan w:val="3"/>
            <w:tcBorders>
              <w:top w:val="nil"/>
              <w:bottom w:val="nil"/>
              <w:right w:val="nil"/>
            </w:tcBorders>
            <w:shd w:val="clear" w:color="auto" w:fill="auto"/>
          </w:tcPr>
          <w:p w:rsidR="0017135D" w:rsidRPr="00070291">
            <w:pPr>
              <w:pStyle w:val="CSBody8pt"/>
            </w:pPr>
            <w:r w:rsidRPr="00124233">
              <w:rPr>
                <w:lang w:val="de-DE"/>
              </w:rPr>
              <w:t xml:space="preserve">Der Auktions-Rückzahlungsbetrag bzw. Barrückzahlungsbetrag und der Auktions-Rückzahlungstag bzw. Barrückzahlungstag sind gemäss den in Unterziffer C.4 der Ziffer 1.1 enthaltenen Definitionen der Begriffe "Auktions-Rückzahlungsbetrag" und "Auktions-Rückzahlungstag" bzw. </w:t>
            </w:r>
            <w:r w:rsidRPr="00070291">
              <w:t>"Barrückzahlungsbetrag" und "Barrückzahlungstag" festzulegen.</w:t>
            </w:r>
            <w:r w:rsidRPr="00792D61">
              <w:rPr>
                <w:b/>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70291" w:rsidP="001E3451">
            <w:pPr>
              <w:pStyle w:val="CSBody8ptbolditalics"/>
            </w:pPr>
            <w:r w:rsidRPr="00792D61">
              <w:t>[</w:t>
            </w:r>
            <w:r w:rsidRPr="00070291">
              <w:t>if a Basket is applicable :</w:t>
            </w:r>
          </w:p>
        </w:tc>
        <w:tc>
          <w:tcPr>
            <w:tcW w:w="4936" w:type="dxa"/>
            <w:gridSpan w:val="3"/>
            <w:tcBorders>
              <w:top w:val="nil"/>
              <w:bottom w:val="nil"/>
              <w:right w:val="nil"/>
            </w:tcBorders>
            <w:shd w:val="clear" w:color="auto" w:fill="auto"/>
          </w:tcPr>
          <w:p w:rsidR="0017135D" w:rsidRPr="00124233" w:rsidP="001E3451">
            <w:pPr>
              <w:pStyle w:val="CSBody8ptbolditalics"/>
              <w:rPr>
                <w:lang w:val="de-DE"/>
              </w:rPr>
            </w:pPr>
            <w:r w:rsidRPr="00792D61">
              <w:rPr>
                <w:lang w:val="de-DE"/>
              </w:rPr>
              <w:t>[</w:t>
            </w:r>
            <w:r w:rsidRPr="00124233">
              <w:rPr>
                <w:lang w:val="de-DE"/>
              </w:rPr>
              <w:t>falls ein Korb anwendbar ist: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70291" w:rsidP="001E3451">
            <w:pPr>
              <w:pStyle w:val="CSBody8pt"/>
            </w:pPr>
            <w:r w:rsidRPr="00070291">
              <w:t>Unless previously redeemed, repurchased or cancelled,</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Sofern die Komplexen Produkte nicht bereits zuvor zurückgezahlt, zurückgekauft oder entwertet wurden, wird die Emittentin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3781B">
              <w:t>(i</w:t>
            </w:r>
            <w:r w:rsidRPr="00124233">
              <w:t>)</w:t>
            </w:r>
            <w:r w:rsidRPr="00124233">
              <w:tab/>
              <w:t>upon the occurrence of a Credit Event Determination Date with respect to any Reference Entity that is not an Affected Reference Entity on or prior to the Scheduled Maturity Date; or</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(i)</w:t>
            </w:r>
            <w:r w:rsidRPr="00124233">
              <w:rPr>
                <w:bCs/>
                <w:lang w:val="de-DE"/>
              </w:rPr>
              <w:tab/>
              <w:t>nach Eintritt eines Kreditereignis-Feststellungstags in Bezug auf einen Referenzschuldner, bei dem es sich nicht um einen Betroffenen Referenzschuldner handelt, an oder vor dem Planmässigen Fälligkeitstag;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3781B">
            <w:pPr>
              <w:pStyle w:val="CSManNum8pt"/>
            </w:pPr>
            <w:r w:rsidRPr="00124233">
              <w:t>(ii)</w:t>
            </w:r>
            <w:r w:rsidRPr="00124233">
              <w:tab/>
              <w:t xml:space="preserve">if no Credit Event Determination Date with respect to any Reference Entity that is not an Affected Reference Entity has occurred on or prior to, but a Potential Credit Event Period with respect to any such Reference Entity has occurred on or prior to, and is continuing on, the Scheduled Maturity Date, and the relevant Potential Failure to Pay </w:t>
            </w:r>
            <w:r w:rsidRPr="00792D61">
              <w:rPr>
                <w:b/>
              </w:rPr>
              <w:t>[</w:t>
            </w:r>
            <w:r w:rsidRPr="0013781B">
              <w:rPr>
                <w:b/>
                <w:i/>
              </w:rPr>
              <w:t>if "Repudiation/Moratorium" is applicable, insert:</w:t>
            </w:r>
            <w:r w:rsidRPr="00124233">
              <w:t xml:space="preserve"> , Potential Repudiation/Moratorium</w:t>
            </w:r>
            <w:r w:rsidRPr="00792D61">
              <w:rPr>
                <w:b/>
              </w:rPr>
              <w:t>]</w:t>
            </w:r>
            <w:r w:rsidRPr="00124233">
              <w:t xml:space="preserve"> or DC Pending Request, as the case may be, with respect to such Reference Entity </w:t>
            </w:r>
            <w:r w:rsidRPr="007625DC">
              <w:rPr>
                <w:b/>
              </w:rPr>
              <w:t>results</w:t>
            </w:r>
            <w:r w:rsidRPr="00124233">
              <w:t xml:space="preserve"> in the occurrence of a Credit Event Determination Date with respect to such Reference Entity, as determined on or prior to the last day of such Potential Credit Event Period,</w:t>
            </w:r>
          </w:p>
        </w:tc>
        <w:tc>
          <w:tcPr>
            <w:tcW w:w="4936" w:type="dxa"/>
            <w:gridSpan w:val="3"/>
            <w:tcBorders>
              <w:top w:val="nil"/>
              <w:bottom w:val="nil"/>
              <w:right w:val="nil"/>
            </w:tcBorders>
            <w:shd w:val="clear" w:color="auto" w:fill="auto"/>
          </w:tcPr>
          <w:p w:rsidR="0017135D" w:rsidRPr="00124233">
            <w:pPr>
              <w:pStyle w:val="CSManNum8pt"/>
              <w:rPr>
                <w:bCs/>
                <w:lang w:val="de-DE"/>
              </w:rPr>
            </w:pPr>
            <w:r w:rsidRPr="00124233">
              <w:rPr>
                <w:bCs/>
                <w:lang w:val="de-DE"/>
              </w:rPr>
              <w:t>(ii)</w:t>
            </w:r>
            <w:r w:rsidRPr="00124233">
              <w:rPr>
                <w:bCs/>
                <w:lang w:val="de-DE"/>
              </w:rPr>
              <w:tab/>
              <w:t xml:space="preserve">wenn kein Kreditereignis-Feststellungstag in Bezug auf einen Referenzschuldner, bei dem es sich nicht um einen Betroffenen Referenzschuldner handelt, an oder vor dem Planmässigen Fälligkeitstag eingetreten ist, aber ein Zeitraum eines Potenziellen Kreditereignisses an oder vor dem Planmässigen Fälligkeitstag begonnen hat und andauert und die </w:t>
            </w:r>
            <w:r w:rsidRPr="00FF2F9E">
              <w:rPr>
                <w:bCs/>
                <w:lang w:val="de-DE"/>
              </w:rPr>
              <w:t xml:space="preserve">betreffende </w:t>
            </w:r>
            <w:r w:rsidRPr="00124233">
              <w:rPr>
                <w:bCs/>
                <w:lang w:val="de-DE"/>
              </w:rPr>
              <w:t xml:space="preserve">Potenzielle Nichtzahlung </w:t>
            </w:r>
            <w:r w:rsidRPr="00792D61">
              <w:rPr>
                <w:b/>
                <w:bCs/>
                <w:lang w:val="de-DE"/>
              </w:rPr>
              <w:t>[</w:t>
            </w:r>
            <w:r>
              <w:rPr>
                <w:b/>
                <w:bCs/>
                <w:i/>
                <w:lang w:val="de-DE"/>
              </w:rPr>
              <w:t>falls "Nicht</w:t>
            </w:r>
            <w:r w:rsidRPr="0013781B">
              <w:rPr>
                <w:b/>
                <w:bCs/>
                <w:i/>
                <w:lang w:val="de-DE"/>
              </w:rPr>
              <w:t>anerkennung/Moratorium" anwendbar ist, einfügen:</w:t>
            </w:r>
            <w:r w:rsidRPr="00124233">
              <w:rPr>
                <w:bCs/>
                <w:lang w:val="de-DE"/>
              </w:rPr>
              <w:t xml:space="preserve">, die </w:t>
            </w:r>
            <w:r w:rsidRPr="00FF2F9E">
              <w:rPr>
                <w:bCs/>
                <w:lang w:val="de-DE"/>
              </w:rPr>
              <w:t xml:space="preserve">betreffende </w:t>
            </w:r>
            <w:r w:rsidRPr="00124233">
              <w:rPr>
                <w:bCs/>
                <w:lang w:val="de-DE"/>
              </w:rPr>
              <w:t xml:space="preserve">Potenzielle Nichtanerkennung/das </w:t>
            </w:r>
            <w:r w:rsidRPr="00FF2F9E">
              <w:rPr>
                <w:bCs/>
                <w:lang w:val="de-DE"/>
              </w:rPr>
              <w:t xml:space="preserve">betreffende </w:t>
            </w:r>
            <w:r w:rsidRPr="00124233">
              <w:rPr>
                <w:bCs/>
                <w:lang w:val="de-DE"/>
              </w:rPr>
              <w:t>Potenzielle Moratorium</w:t>
            </w:r>
            <w:r w:rsidRPr="00792D61">
              <w:rPr>
                <w:b/>
                <w:bCs/>
                <w:lang w:val="de-DE"/>
              </w:rPr>
              <w:t>]</w:t>
            </w:r>
            <w:r w:rsidRPr="00124233">
              <w:rPr>
                <w:bCs/>
                <w:lang w:val="de-DE"/>
              </w:rPr>
              <w:t xml:space="preserve"> oder </w:t>
            </w:r>
            <w:r>
              <w:rPr>
                <w:bCs/>
                <w:lang w:val="de-DE"/>
              </w:rPr>
              <w:t xml:space="preserve">der </w:t>
            </w:r>
            <w:r w:rsidRPr="00FF2F9E">
              <w:rPr>
                <w:bCs/>
                <w:lang w:val="de-DE"/>
              </w:rPr>
              <w:t>betreffende</w:t>
            </w:r>
            <w:r w:rsidRPr="00124233">
              <w:rPr>
                <w:bCs/>
                <w:lang w:val="de-DE"/>
              </w:rPr>
              <w:t xml:space="preserve"> Ausstehende Antrag, je nachdem was vorliegt, in Bezug auf diesen Referenzschuldner zu einem Kreditereignis-Feststellungstag in Bezug auf diesen Referenzschuldner </w:t>
            </w:r>
            <w:r w:rsidRPr="007625DC">
              <w:rPr>
                <w:b/>
                <w:bCs/>
                <w:lang w:val="de-DE"/>
              </w:rPr>
              <w:t>führt</w:t>
            </w:r>
            <w:r w:rsidRPr="00124233">
              <w:rPr>
                <w:bCs/>
                <w:lang w:val="de-DE"/>
              </w:rPr>
              <w:t>, wie an oder vor dem letzten Tag dieses Zeitraums eines Potenziellen Kreditereignisses festgestellt,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130F8" w:rsidP="004C1EBA">
            <w:pPr>
              <w:pStyle w:val="CSBody8pt"/>
            </w:pPr>
            <w:r w:rsidRPr="00B130F8">
              <w:t xml:space="preserve">the Issuer shall give notice thereof to the Holders in accordance with Section </w:t>
            </w:r>
            <w:r w:rsidRPr="00792D61">
              <w:rPr>
                <w:b/>
              </w:rPr>
              <w:t>[</w:t>
            </w:r>
            <w:r w:rsidRPr="00B130F8">
              <w:t>8</w:t>
            </w:r>
            <w:r w:rsidRPr="00792D61">
              <w:rPr>
                <w:b/>
              </w:rPr>
              <w:t>][</w:t>
            </w:r>
            <w:r w:rsidRPr="00B130F8">
              <w:rPr>
                <w:rFonts w:ascii="Arial" w:hAnsi="Arial" w:cs="Arial"/>
              </w:rPr>
              <w:t>●</w:t>
            </w:r>
            <w:r w:rsidRPr="00792D61">
              <w:rPr>
                <w:b/>
              </w:rPr>
              <w:t>]</w:t>
            </w:r>
            <w:r w:rsidRPr="00B130F8">
              <w:t xml:space="preserve"> (to the extent the Issuer has not previously delivered a Credit Event Notice in this respect to the Holders) and</w:t>
            </w:r>
            <w:r>
              <w:t xml:space="preserve"> shall</w:t>
            </w:r>
            <w:r w:rsidRPr="00B130F8">
              <w:t xml:space="preserve"> </w:t>
            </w:r>
            <w:r w:rsidRPr="00792D61">
              <w:rPr>
                <w:b/>
              </w:rPr>
              <w:t>[</w:t>
            </w:r>
            <w:r w:rsidRPr="007625DC">
              <w:rPr>
                <w:b/>
                <w:i/>
              </w:rPr>
              <w:t xml:space="preserve">in the case of Credit-Linked Complex Products with auction settlement, insert: </w:t>
            </w:r>
            <w:r w:rsidRPr="00B130F8">
              <w:t>redeem the portion of the Principal Amount of each Complex Product equal to the Reference Entity Principal Amount of the relevant Affected Reference Entity on the applicable Auction Redemption Date (or, if a Fallback Settlement Event occurs, on the applicable Cash Redemption Date) at the applicable Auction Redemption Amount (or, if a Fallback Settlement Event occurs, at the applicable Cash Redemption Amount).</w:t>
            </w:r>
            <w:r w:rsidRPr="00792D61">
              <w:rPr>
                <w:b/>
              </w:rPr>
              <w:t>][</w:t>
            </w:r>
            <w:r w:rsidRPr="0013781B">
              <w:rPr>
                <w:b/>
                <w:i/>
              </w:rPr>
              <w:t>in the case of Credit-Linked Complex Products with Zero-Recovery feature linked to a Basket, insert:</w:t>
            </w:r>
            <w:r w:rsidRPr="00B130F8">
              <w:t xml:space="preserve"> write down the Reference Entity Principal Amount relating to the relevant Affected Reference Entity to zero and the Outstanding Principal Amount of the Complex Products shall be reduced accordingly and no further payments shall be made in respect of such Reference Entity Principal Amount to the Holders of the Complex Products.</w:t>
            </w:r>
            <w:r w:rsidRPr="00792D61">
              <w:rPr>
                <w:b/>
              </w:rPr>
              <w:t>]</w:t>
            </w:r>
          </w:p>
        </w:tc>
        <w:tc>
          <w:tcPr>
            <w:tcW w:w="4936" w:type="dxa"/>
            <w:gridSpan w:val="3"/>
            <w:tcBorders>
              <w:top w:val="nil"/>
              <w:bottom w:val="nil"/>
              <w:right w:val="nil"/>
            </w:tcBorders>
            <w:shd w:val="clear" w:color="auto" w:fill="auto"/>
          </w:tcPr>
          <w:p w:rsidR="0017135D" w:rsidRPr="00124233" w:rsidP="004C1EBA">
            <w:pPr>
              <w:pStyle w:val="CSBody8pt"/>
              <w:rPr>
                <w:lang w:val="de-DE"/>
              </w:rPr>
            </w:pPr>
            <w:r w:rsidRPr="00124233">
              <w:rPr>
                <w:lang w:val="de-DE"/>
              </w:rPr>
              <w:t xml:space="preserve">den Inhabern den Eintritt dieses Ereignisses gemäss Ziffer </w:t>
            </w:r>
            <w:r w:rsidRPr="00792D61">
              <w:rPr>
                <w:b/>
                <w:lang w:val="de-DE"/>
              </w:rPr>
              <w:t>[</w:t>
            </w:r>
            <w:r w:rsidRPr="00124233">
              <w:rPr>
                <w:lang w:val="de-DE"/>
              </w:rPr>
              <w:t>8</w:t>
            </w:r>
            <w:r w:rsidRPr="00792D61">
              <w:rPr>
                <w:b/>
                <w:lang w:val="de-DE"/>
              </w:rPr>
              <w:t>][</w:t>
            </w:r>
            <w:r w:rsidRPr="00124233">
              <w:rPr>
                <w:rFonts w:ascii="Arial" w:hAnsi="Arial" w:cs="Arial"/>
                <w:lang w:val="de-DE"/>
              </w:rPr>
              <w:t>●</w:t>
            </w:r>
            <w:r w:rsidRPr="00792D61">
              <w:rPr>
                <w:b/>
                <w:lang w:val="de-DE"/>
              </w:rPr>
              <w:t>]</w:t>
            </w:r>
            <w:r w:rsidRPr="00124233">
              <w:rPr>
                <w:lang w:val="de-DE"/>
              </w:rPr>
              <w:t xml:space="preserve"> mitteilen (soweit die Emittentin nicht bereits zuvor den Inhabern eine Kreditereignismiteilung in Bezug hierauf </w:t>
            </w:r>
            <w:r w:rsidRPr="00124233">
              <w:rPr>
                <w:rFonts w:cs="Credit Suisse Type Light"/>
                <w:lang w:val="de-DE"/>
              </w:rPr>
              <w:t>ü</w:t>
            </w:r>
            <w:r w:rsidRPr="00124233">
              <w:rPr>
                <w:lang w:val="de-DE"/>
              </w:rPr>
              <w:t xml:space="preserve">bersandt hat) und </w:t>
            </w:r>
            <w:r w:rsidRPr="00792D61">
              <w:rPr>
                <w:b/>
                <w:lang w:val="de-DE"/>
              </w:rPr>
              <w:t>[</w:t>
            </w:r>
            <w:r w:rsidRPr="007625DC">
              <w:rPr>
                <w:b/>
                <w:i/>
                <w:lang w:val="de-DE"/>
              </w:rPr>
              <w:t>bei Kreditbezogenen Komplexen Produkten mit Auktionsabwicklung einf</w:t>
            </w:r>
            <w:r w:rsidRPr="007625DC">
              <w:rPr>
                <w:rFonts w:cs="Credit Suisse Type Light"/>
                <w:b/>
                <w:i/>
                <w:lang w:val="de-DE"/>
              </w:rPr>
              <w:t>ü</w:t>
            </w:r>
            <w:r w:rsidRPr="007625DC">
              <w:rPr>
                <w:b/>
                <w:i/>
                <w:lang w:val="de-DE"/>
              </w:rPr>
              <w:t>gen:</w:t>
            </w:r>
            <w:r w:rsidRPr="00124233">
              <w:rPr>
                <w:lang w:val="de-DE"/>
              </w:rPr>
              <w:t xml:space="preserve"> den Teil des Nennbetrags jedes Komplexen Produkts, der dem Referenzschuldner-Nennbetrag des jeweiligen Betroffenen Referenzschuldners entspricht, an dem betreffenden Auktions-Rückzahlungstag (oder, falls ein Ereignis der Alternativen Abwicklung eintritt, am jeweiligen Barrückzahlungstag) zum jeweiligen Auktions-Rückzahlungsbetrag (oder, falls ein Ereignis der Alternativen Abwicklung eintritt, zum jeweiligen Barrückzahlungsbetrag) zurück zahlen.</w:t>
            </w:r>
            <w:r w:rsidRPr="00792D61">
              <w:rPr>
                <w:b/>
                <w:lang w:val="de-DE"/>
              </w:rPr>
              <w:t>][</w:t>
            </w:r>
            <w:r w:rsidRPr="0013781B">
              <w:rPr>
                <w:b/>
                <w:i/>
                <w:lang w:val="de-DE"/>
              </w:rPr>
              <w:t>bei Kreditbezogenen Komplexen Produkten mit Zero-Recovery-Merkmal, die an einen Korb gekoppelt sind, einfügen:</w:t>
            </w:r>
            <w:r w:rsidRPr="00124233">
              <w:rPr>
                <w:lang w:val="de-DE"/>
              </w:rPr>
              <w:t xml:space="preserve"> den Referenzschuldner-Nennbetrag in Bezug auf den jeweiligen Betroffenen Referenzschuldner auf null herab setzen;der Ausstehende Nennbetrag </w:t>
            </w:r>
            <w:r>
              <w:rPr>
                <w:lang w:val="de-DE"/>
              </w:rPr>
              <w:t>der Komplexen Produkte wird ent</w:t>
            </w:r>
            <w:r w:rsidRPr="00124233">
              <w:rPr>
                <w:lang w:val="de-DE"/>
              </w:rPr>
              <w:t>sprechend reduziert und es werde</w:t>
            </w:r>
            <w:r>
              <w:rPr>
                <w:lang w:val="de-DE"/>
              </w:rPr>
              <w:t>n</w:t>
            </w:r>
            <w:r w:rsidRPr="00124233">
              <w:rPr>
                <w:lang w:val="de-DE"/>
              </w:rPr>
              <w:t xml:space="preserve"> keine weiteren Zahlungen in Bezug auf diesen Referenzschuldner-Nennbetrag mehr an die Inhaber der Komplexen Produkte geleistet.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D052CD" w:rsidP="001E3451">
            <w:pPr>
              <w:pStyle w:val="CSBody8pt"/>
              <w:rPr>
                <w:b/>
              </w:rPr>
            </w:pPr>
            <w:r w:rsidRPr="00792D61">
              <w:rPr>
                <w:b/>
              </w:rPr>
              <w:t>[</w:t>
            </w:r>
            <w:r w:rsidRPr="005C1FD8">
              <w:rPr>
                <w:b/>
                <w:i/>
              </w:rPr>
              <w:t>in the case of Credit-Linked Complex Products with auction settlement, insert:</w:t>
            </w:r>
            <w:r w:rsidRPr="00B130F8">
              <w:t xml:space="preserve"> For the avoidance of doubt, a partial redemption upon the occurrence of a Credit Event Determination Date may only occur once with respect to each Reference Entity.</w:t>
            </w:r>
            <w:r>
              <w:rPr>
                <w:b/>
              </w:rPr>
              <w:t>]</w:t>
            </w:r>
          </w:p>
        </w:tc>
        <w:tc>
          <w:tcPr>
            <w:tcW w:w="4936" w:type="dxa"/>
            <w:gridSpan w:val="3"/>
            <w:tcBorders>
              <w:top w:val="nil"/>
              <w:bottom w:val="nil"/>
              <w:right w:val="nil"/>
            </w:tcBorders>
            <w:shd w:val="clear" w:color="auto" w:fill="auto"/>
          </w:tcPr>
          <w:p w:rsidR="0017135D" w:rsidRPr="00D052CD" w:rsidP="001E3451">
            <w:pPr>
              <w:pStyle w:val="CSBody8pt"/>
              <w:rPr>
                <w:b/>
                <w:lang w:val="de-DE"/>
              </w:rPr>
            </w:pPr>
            <w:r w:rsidRPr="00792D61">
              <w:rPr>
                <w:b/>
                <w:lang w:val="de-DE"/>
              </w:rPr>
              <w:t>[</w:t>
            </w:r>
            <w:r w:rsidRPr="005C1FD8">
              <w:rPr>
                <w:b/>
                <w:i/>
                <w:lang w:val="de-DE"/>
              </w:rPr>
              <w:t>bei Kreditbezogenen Kom</w:t>
            </w:r>
            <w:r>
              <w:rPr>
                <w:b/>
                <w:i/>
                <w:lang w:val="de-DE"/>
              </w:rPr>
              <w:t>plexen Produkten mit Auktionsab</w:t>
            </w:r>
            <w:r w:rsidRPr="005C1FD8">
              <w:rPr>
                <w:b/>
                <w:i/>
                <w:lang w:val="de-DE"/>
              </w:rPr>
              <w:t>wicklung einfügen:</w:t>
            </w:r>
            <w:r w:rsidRPr="00124233">
              <w:rPr>
                <w:lang w:val="de-DE"/>
              </w:rPr>
              <w:t xml:space="preserve"> Zur Klarstellung wird festgehalten, dass eine teilweise Rückzahlung nach Eintritt eines Kreditereignis-Feststellungstags in Bezug auf jeden Referenzschuldner nur einmal erfolgen kann.</w:t>
            </w:r>
            <w:r>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130F8" w:rsidP="001E3451">
            <w:pPr>
              <w:pStyle w:val="CSBody8pt"/>
            </w:pPr>
            <w:r w:rsidRPr="00B130F8">
              <w:t>The relevant Auction Redemption Amount or Cash Redemption Amount, as applicable, and the relevant Auction Redemption Date or Cash Redemption Date, as applicable, shall be determined in accordance with the definitions of "Auction Redemption Amount" and "Auction Redemption Date" or "Cash Redemption Amount" and "Cash Redemption Date", respectively, set forth in subsection C.4 of Section 1.1.</w:t>
            </w:r>
            <w:r w:rsidRPr="00792D61">
              <w:rPr>
                <w:b/>
              </w:rPr>
              <w:t>]]</w:t>
            </w:r>
          </w:p>
        </w:tc>
        <w:tc>
          <w:tcPr>
            <w:tcW w:w="4936" w:type="dxa"/>
            <w:gridSpan w:val="3"/>
            <w:tcBorders>
              <w:top w:val="nil"/>
              <w:bottom w:val="nil"/>
              <w:right w:val="nil"/>
            </w:tcBorders>
            <w:shd w:val="clear" w:color="auto" w:fill="auto"/>
          </w:tcPr>
          <w:p w:rsidR="0017135D" w:rsidRPr="00FC7CBB" w:rsidP="008D52A4">
            <w:pPr>
              <w:pStyle w:val="CSBody8pt"/>
              <w:rPr>
                <w:lang w:val="de-DE"/>
              </w:rPr>
            </w:pPr>
            <w:r w:rsidRPr="00124233">
              <w:rPr>
                <w:lang w:val="de-DE"/>
              </w:rPr>
              <w:t>Der jeweilige Auktions-Rückzahlungsbetrag b</w:t>
            </w:r>
            <w:r>
              <w:rPr>
                <w:lang w:val="de-DE"/>
              </w:rPr>
              <w:t>zw. Barrück</w:t>
            </w:r>
            <w:r w:rsidRPr="00124233">
              <w:rPr>
                <w:lang w:val="de-DE"/>
              </w:rPr>
              <w:t xml:space="preserve">zahlungsbetrag und der Auktions-Rückzahlungstag bzw. Barrückzahlungstag sind gemäss den in Unterziffer C.4 der Ziffer 1.1 enthaltenen Definitionen der Begriffe "Auktions-Rückzahlungsbetrag" und "Auktions-Rückzahlungstag" bzw. </w:t>
            </w:r>
            <w:r w:rsidRPr="00FC7CBB">
              <w:rPr>
                <w:lang w:val="de-DE"/>
              </w:rPr>
              <w:t>"Barrückzahlungsbetrag" und "Barrückzahlungstag" festzulegen.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8A1339" w:rsidP="001E3451">
            <w:pPr>
              <w:pStyle w:val="CSbody0bold"/>
            </w:pPr>
            <w:r w:rsidRPr="008A1339">
              <w:t>Section 2.3</w:t>
            </w:r>
          </w:p>
        </w:tc>
        <w:tc>
          <w:tcPr>
            <w:tcW w:w="3315" w:type="dxa"/>
            <w:gridSpan w:val="2"/>
            <w:tcBorders>
              <w:top w:val="nil"/>
              <w:left w:val="nil"/>
              <w:bottom w:val="nil"/>
              <w:right w:val="nil"/>
            </w:tcBorders>
            <w:shd w:val="clear" w:color="auto" w:fill="D9D9D9" w:themeFill="background1" w:themeFillShade="D9"/>
          </w:tcPr>
          <w:p w:rsidR="0017135D" w:rsidRPr="00132D4B" w:rsidP="001E3451">
            <w:pPr>
              <w:pStyle w:val="CSbody0bold"/>
              <w:rPr>
                <w:lang w:val="en-GB"/>
              </w:rPr>
            </w:pPr>
            <w:r w:rsidRPr="00132D4B">
              <w:rPr>
                <w:lang w:val="en-GB"/>
              </w:rPr>
              <w:t>Early Redemption upon the occurrence of an Extraordinary Event</w:t>
            </w:r>
          </w:p>
        </w:tc>
        <w:tc>
          <w:tcPr>
            <w:tcW w:w="1618" w:type="dxa"/>
            <w:gridSpan w:val="2"/>
            <w:tcBorders>
              <w:top w:val="nil"/>
              <w:left w:val="nil"/>
              <w:bottom w:val="nil"/>
              <w:right w:val="nil"/>
            </w:tcBorders>
            <w:shd w:val="clear" w:color="auto" w:fill="D9D9D9" w:themeFill="background1" w:themeFillShade="D9"/>
          </w:tcPr>
          <w:p w:rsidR="0017135D" w:rsidRPr="006F34C3" w:rsidP="001E3451">
            <w:pPr>
              <w:pStyle w:val="CSbody0bold"/>
            </w:pPr>
            <w:r w:rsidRPr="006F34C3">
              <w:t>Ziffer 2.3</w:t>
            </w:r>
          </w:p>
        </w:tc>
        <w:tc>
          <w:tcPr>
            <w:tcW w:w="3318" w:type="dxa"/>
            <w:tcBorders>
              <w:top w:val="nil"/>
              <w:left w:val="nil"/>
              <w:bottom w:val="nil"/>
              <w:right w:val="nil"/>
            </w:tcBorders>
            <w:shd w:val="clear" w:color="auto" w:fill="D9D9D9" w:themeFill="background1" w:themeFillShade="D9"/>
          </w:tcPr>
          <w:p w:rsidR="0017135D" w:rsidRPr="00124233" w:rsidP="001E3451">
            <w:pPr>
              <w:pStyle w:val="CSbody0bold"/>
            </w:pPr>
            <w:r w:rsidRPr="00124233">
              <w:t>Vorzeitige Rückzahlung nach Eintritt eines Aussergewöhnlichen Ereignisses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B0BBC" w:rsidP="00FC7CBB">
            <w:pPr>
              <w:pStyle w:val="CSBody8pt"/>
            </w:pPr>
            <w:r w:rsidRPr="00EB0BBC">
              <w:t>If the Calculation Agent and the Issuer determine that an Extraordinary Event has occurred and is continuing, the Calculation Agent and the Issuer, acting together, shall have the right, but not the obligation to redeem the Complex Products in accordance with procedures (including fixing or valuation procedures) adopted by the Calculation Agent and the Issuer at such time, or to take any other action which the Calculation Agent and the Issuer deem to be appropriate in light of all of the circumstances which exist at the time, provided that, in their pursuit of any of the foregoing actions, the Calculation Agent and the Issuer will use such efforts as they reasonably deem practicable to preserve the value of, or provide reasonable value for, the Complex Products. The occurrence of an Extraordinary Event shall be determined in accordance with the definition "Extraordinary Event" set forth in subsection D. of Section 1.1.</w:t>
            </w:r>
          </w:p>
        </w:tc>
        <w:tc>
          <w:tcPr>
            <w:tcW w:w="4936" w:type="dxa"/>
            <w:gridSpan w:val="3"/>
            <w:tcBorders>
              <w:top w:val="nil"/>
              <w:bottom w:val="nil"/>
              <w:right w:val="nil"/>
            </w:tcBorders>
            <w:shd w:val="clear" w:color="auto" w:fill="auto"/>
          </w:tcPr>
          <w:p w:rsidR="0017135D" w:rsidRPr="00124233" w:rsidP="00FC7CBB">
            <w:pPr>
              <w:pStyle w:val="CSBody8pt"/>
              <w:rPr>
                <w:lang w:val="de-DE"/>
              </w:rPr>
            </w:pPr>
            <w:r w:rsidRPr="00124233">
              <w:rPr>
                <w:lang w:val="de-DE"/>
              </w:rPr>
              <w:t>Falls die Berechnungsstelle und die Emittentin feststellen, dass ein Aussergewöhnliches Ereignis eingetreten ist und andauert, sind die Berechnungsstelle und die Emittentin zusammen berechtigt, jedoch nicht verpflichtet, die Komplexen Produkte entsprechend den von der Berechnungsstelle und der Emittentin zum jeweiligen Zeitpunkt festgelegten Verfahren (einschliesslich Kursfestsetzungsverfahren) zurückzuzahlen oder sonstige Massnahmen zu ergreifen, die von der Berechnungsstelle und der Emittentin angesichts sämtlicher zum jeweiligen Zeitpunkt vorherrschender Umstände als angemessen erachtet werden, unter der Voraussetzung, dass sich die Berechnungsstelle und die Emittentin bei der Durchführung jeder der vorgenannten Massnahmen bemühen werden, alle zumutbaren und praktisch durchführbaren Massnahmen zu ergreifen, um den Wert der Komplexen Produkte zu erhalten oder eine angemessene Gegenleistung für die Komplexen Produkte zu erbringen. Der Eintritt eines Aussergewöhnlichen Ereignisses ist gemäss der Definition "Aussergewöhnliches Ereignis" in Unterziffer D. der Ziffer 1.1 festzulegen.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B0BBC" w:rsidP="005C1FD8">
            <w:pPr>
              <w:pStyle w:val="CSBody8pt"/>
            </w:pPr>
            <w:r w:rsidRPr="00EB0BBC">
              <w:t>Upon the occurrence of any Extraordinary Event the Issuer shall, if it determines that it is reasonably practicable to do so,</w:t>
            </w:r>
          </w:p>
        </w:tc>
        <w:tc>
          <w:tcPr>
            <w:tcW w:w="4936" w:type="dxa"/>
            <w:gridSpan w:val="3"/>
            <w:tcBorders>
              <w:top w:val="nil"/>
              <w:bottom w:val="nil"/>
              <w:right w:val="nil"/>
            </w:tcBorders>
            <w:shd w:val="clear" w:color="auto" w:fill="auto"/>
          </w:tcPr>
          <w:p w:rsidR="0017135D" w:rsidRPr="00124233" w:rsidP="005C1FD8">
            <w:pPr>
              <w:pStyle w:val="CSBody8pt"/>
              <w:rPr>
                <w:lang w:val="de-DE"/>
              </w:rPr>
            </w:pPr>
            <w:r w:rsidRPr="00124233">
              <w:rPr>
                <w:lang w:val="de-DE"/>
              </w:rPr>
              <w:t>Nach dem Eintritt eines Aussergewöhnlichen Ereignisses wird die Emittentin, soweit dies praktisch durchführbar ist,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w:t>
            </w:r>
            <w:r w:rsidRPr="00124233">
              <w:tab/>
              <w:t>give notice to the Holders that an Extraordinary Event has occurred, and</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(i)</w:t>
            </w:r>
            <w:r w:rsidRPr="00124233">
              <w:rPr>
                <w:bCs/>
                <w:lang w:val="de-DE"/>
              </w:rPr>
              <w:tab/>
              <w:t>die Inhaber in einer Mitteilung über den Eintritt eines Aussergewöhnlichen Ereignisses benachrichtigen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(ii)</w:t>
            </w:r>
            <w:r w:rsidRPr="00124233">
              <w:tab/>
              <w:t>within fourteen (14) calendar days of the date of notice referred to in clause (i) above, give notice to the Holders of the action which the Calculation Agent and the Issuer propose to take in connection with such Extraordinary Event,</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(ii)</w:t>
            </w:r>
            <w:r w:rsidRPr="00124233">
              <w:rPr>
                <w:bCs/>
                <w:lang w:val="de-DE"/>
              </w:rPr>
              <w:tab/>
              <w:t>die Inhaber innerhalb von vierzehn (14) Kalendertagen ab dem Datum der in Absatz (i) genannten Mitteilung in einer Mitteilung über die Massnahmen informieren, die die Berechnungsstelle und die Emittentin im Zusammenhang mit dem Aussergewöhnlichen Ereignis zu ergreifen beabsichtigen,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226C4" w:rsidP="001E3451">
            <w:pPr>
              <w:pStyle w:val="CSBody8pt"/>
            </w:pPr>
            <w:r w:rsidRPr="00F226C4">
              <w:t>each such notice to be given in the manner provided in Section 8 or in any other appropriate manner.</w:t>
            </w:r>
            <w:r w:rsidRPr="00792D61">
              <w:rPr>
                <w:b/>
              </w:rPr>
              <w:t>]</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wobei diese Mitteilung jeweils wie in Ziffer 8 festgelegt oder in einer sonstigen zweckmässigen Art und Weise zu erfolgen hat.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226C4" w:rsidP="007625DC">
            <w:pPr>
              <w:pStyle w:val="CSBody8ptbolditalics"/>
            </w:pPr>
            <w:r w:rsidRPr="00792D61">
              <w:t>[</w:t>
            </w:r>
            <w:r w:rsidRPr="00F226C4">
              <w:t>in the case of Credit-Linked Complex Products with simplified settlement, insert:</w:t>
            </w:r>
          </w:p>
        </w:tc>
        <w:tc>
          <w:tcPr>
            <w:tcW w:w="4936" w:type="dxa"/>
            <w:gridSpan w:val="3"/>
            <w:tcBorders>
              <w:top w:val="nil"/>
              <w:bottom w:val="nil"/>
              <w:right w:val="nil"/>
            </w:tcBorders>
            <w:shd w:val="clear" w:color="auto" w:fill="auto"/>
          </w:tcPr>
          <w:p w:rsidR="0017135D" w:rsidRPr="00124233" w:rsidP="007625DC">
            <w:pPr>
              <w:pStyle w:val="CSBody8ptbolditalics"/>
              <w:rPr>
                <w:lang w:val="de-DE"/>
              </w:rPr>
            </w:pPr>
            <w:r w:rsidRPr="00792D61">
              <w:rPr>
                <w:lang w:val="de-DE"/>
              </w:rPr>
              <w:t>[</w:t>
            </w:r>
            <w:r w:rsidRPr="00124233">
              <w:rPr>
                <w:lang w:val="de-DE"/>
              </w:rPr>
              <w:t>bei Kreditbezogenen Komplexen Produkten mit vereinfachter Abwicklung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88287F" w:rsidP="001E3451">
            <w:pPr>
              <w:pStyle w:val="CSbody0bold"/>
            </w:pPr>
            <w:r w:rsidRPr="0088287F">
              <w:t>Section 2.2</w:t>
            </w:r>
          </w:p>
        </w:tc>
        <w:tc>
          <w:tcPr>
            <w:tcW w:w="3315" w:type="dxa"/>
            <w:gridSpan w:val="2"/>
            <w:tcBorders>
              <w:top w:val="nil"/>
              <w:left w:val="nil"/>
              <w:bottom w:val="nil"/>
              <w:right w:val="nil"/>
            </w:tcBorders>
            <w:shd w:val="clear" w:color="auto" w:fill="D9D9D9" w:themeFill="background1" w:themeFillShade="D9"/>
          </w:tcPr>
          <w:p w:rsidR="0017135D" w:rsidRPr="00132D4B" w:rsidP="001E3451">
            <w:pPr>
              <w:pStyle w:val="CSbody0bold"/>
              <w:rPr>
                <w:lang w:val="en-GB"/>
              </w:rPr>
            </w:pPr>
            <w:r w:rsidRPr="00132D4B">
              <w:rPr>
                <w:lang w:val="en-GB"/>
              </w:rPr>
              <w:t>Redemption upon the occurrence of a Credit Redemption Event</w:t>
            </w:r>
          </w:p>
        </w:tc>
        <w:tc>
          <w:tcPr>
            <w:tcW w:w="1618" w:type="dxa"/>
            <w:gridSpan w:val="2"/>
            <w:tcBorders>
              <w:top w:val="nil"/>
              <w:left w:val="nil"/>
              <w:bottom w:val="nil"/>
              <w:right w:val="nil"/>
            </w:tcBorders>
            <w:shd w:val="clear" w:color="auto" w:fill="D9D9D9" w:themeFill="background1" w:themeFillShade="D9"/>
          </w:tcPr>
          <w:p w:rsidR="0017135D" w:rsidRPr="00B05C0E" w:rsidP="001E3451">
            <w:pPr>
              <w:pStyle w:val="CSbody0bold"/>
            </w:pPr>
            <w:r w:rsidRPr="00B05C0E">
              <w:t>Ziffer 2.2</w:t>
            </w:r>
          </w:p>
        </w:tc>
        <w:tc>
          <w:tcPr>
            <w:tcW w:w="3318" w:type="dxa"/>
            <w:tcBorders>
              <w:top w:val="nil"/>
              <w:left w:val="nil"/>
              <w:bottom w:val="nil"/>
              <w:right w:val="nil"/>
            </w:tcBorders>
            <w:shd w:val="clear" w:color="auto" w:fill="D9D9D9" w:themeFill="background1" w:themeFillShade="D9"/>
          </w:tcPr>
          <w:p w:rsidR="0017135D" w:rsidRPr="00124233" w:rsidP="001E3451">
            <w:pPr>
              <w:pStyle w:val="CSbody0bold"/>
            </w:pPr>
            <w:r w:rsidRPr="00124233">
              <w:t>Rückzahlung nach Eintritt eines Kredit-Rückzahlungsereignisses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F0287" w:rsidP="001E3451">
            <w:pPr>
              <w:pStyle w:val="CSBody8pt"/>
            </w:pPr>
            <w:r w:rsidRPr="00BF0287">
              <w:t>Unless previously redeemed, repurchased or cancelled,</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Sofern die Komplexen Produkte nicht bereits zuvor zurückgezahlt, zurückgekauft oder entwertet wurden, gilt Folgendes: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w:t>
            </w:r>
            <w:r w:rsidRPr="00124233">
              <w:tab/>
              <w:t>upon the occurrence of a Credit Redemption Event on or prior to the Scheduled Maturity Date; or</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(i)</w:t>
            </w:r>
            <w:r w:rsidRPr="00124233">
              <w:rPr>
                <w:bCs/>
                <w:lang w:val="de-DE"/>
              </w:rPr>
              <w:tab/>
              <w:t>nach Eintritt eines Kredit-Rückzahlungsereignisses an oder vor dem Planmässigen Fälligkeitstag;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(ii)</w:t>
            </w:r>
            <w:r w:rsidRPr="00124233">
              <w:tab/>
              <w:t>if (x) no Credit Redemption Event has occurred on or prior to the Scheduled Maturity Date, but a Suspension Period has occurred on or prior to, and is continuing on, the Scheduled Maturity Date, and (y) a Credit Redemption Event occurs on or prior to the last day of such Suspension Period,</w:t>
            </w:r>
          </w:p>
        </w:tc>
        <w:tc>
          <w:tcPr>
            <w:tcW w:w="4936" w:type="dxa"/>
            <w:gridSpan w:val="3"/>
            <w:tcBorders>
              <w:top w:val="nil"/>
              <w:bottom w:val="nil"/>
              <w:right w:val="nil"/>
            </w:tcBorders>
            <w:shd w:val="clear" w:color="auto" w:fill="auto"/>
          </w:tcPr>
          <w:p w:rsidR="0017135D" w:rsidRPr="00124233" w:rsidP="00FC7CBB">
            <w:pPr>
              <w:pStyle w:val="CSManNum8pt"/>
              <w:rPr>
                <w:bCs/>
                <w:lang w:val="de-DE"/>
              </w:rPr>
            </w:pPr>
            <w:r w:rsidRPr="00124233">
              <w:rPr>
                <w:bCs/>
                <w:lang w:val="de-DE"/>
              </w:rPr>
              <w:t>(ii)</w:t>
            </w:r>
            <w:r w:rsidRPr="00124233">
              <w:rPr>
                <w:bCs/>
                <w:lang w:val="de-DE"/>
              </w:rPr>
              <w:tab/>
              <w:t>wenn (x) kein Kredit-Rückzahlungsereignis an oder vor dem Planmässigen Fälligkeitstag eingetreten ist, aber an oder vor dem Planmässigen Fälligkeitstag ein Aussetzungszeitraum begonnen hat und am Planmässigen Fälligkeitstag andauert, und (y) an oder vor dem letzten Tag dieses Aussetzungszeitraums ein Kredit-Rückzahlungsereignis eintritt,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59580A" w:rsidP="007625DC">
            <w:pPr>
              <w:pStyle w:val="CSManNum8pt"/>
            </w:pPr>
            <w:r w:rsidRPr="00E80B0C">
              <w:rPr>
                <w:lang w:val="de-DE"/>
              </w:rPr>
              <w:tab/>
            </w:r>
            <w:r w:rsidRPr="0059580A">
              <w:t>then</w:t>
            </w:r>
          </w:p>
        </w:tc>
        <w:tc>
          <w:tcPr>
            <w:tcW w:w="4936" w:type="dxa"/>
            <w:gridSpan w:val="3"/>
            <w:tcBorders>
              <w:top w:val="nil"/>
              <w:bottom w:val="nil"/>
              <w:right w:val="nil"/>
            </w:tcBorders>
            <w:shd w:val="clear" w:color="auto" w:fill="auto"/>
          </w:tcPr>
          <w:p w:rsidR="0017135D" w:rsidP="007625DC">
            <w:pPr>
              <w:pStyle w:val="CSManNum8pt"/>
            </w:pPr>
            <w:r>
              <w:tab/>
            </w:r>
            <w:r w:rsidRPr="0059580A">
              <w:t>so</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(a)</w:t>
            </w:r>
            <w:r w:rsidRPr="00124233">
              <w:tab/>
              <w:t>within five Business Days following the Credit Redemption Event Date, the Issuer shall notify the Holders of the occurrence of the Credit Redemption Event in accordance with Section 8 (which notice shall include a description in reasonable detail of the relevant facts relating thereto) (the date of such notice, the "</w:t>
            </w:r>
            <w:r w:rsidRPr="005C1FD8">
              <w:rPr>
                <w:b/>
              </w:rPr>
              <w:t>Event Notice Date</w:t>
            </w:r>
            <w:r w:rsidRPr="00124233">
              <w:t>");</w:t>
            </w:r>
          </w:p>
        </w:tc>
        <w:tc>
          <w:tcPr>
            <w:tcW w:w="4936" w:type="dxa"/>
            <w:gridSpan w:val="3"/>
            <w:tcBorders>
              <w:top w:val="nil"/>
              <w:bottom w:val="nil"/>
              <w:right w:val="nil"/>
            </w:tcBorders>
            <w:shd w:val="clear" w:color="auto" w:fill="auto"/>
          </w:tcPr>
          <w:p w:rsidR="0017135D" w:rsidRPr="00124233">
            <w:pPr>
              <w:pStyle w:val="CSManNum8pt"/>
              <w:rPr>
                <w:bCs/>
                <w:lang w:val="de-DE"/>
              </w:rPr>
            </w:pPr>
            <w:r w:rsidRPr="00124233">
              <w:rPr>
                <w:bCs/>
                <w:lang w:val="de-DE"/>
              </w:rPr>
              <w:t>(a)</w:t>
            </w:r>
            <w:r w:rsidRPr="00124233">
              <w:rPr>
                <w:bCs/>
                <w:lang w:val="de-DE"/>
              </w:rPr>
              <w:tab/>
              <w:t>teilt die Emittentin den Inhabern den Eintritt des Kredit-Rückzahlungsereignisses innerhalb von fünf Geschäftstagen nach dem Kredit-Rückzahlungsereignistag gemäss Ziffer 8 mit (diese Mitteilung muss eine hinreichend ausführliche Beschreibung der dafür massgeblichen Tatsachen enthalten) (das Datum dieser Mitteilung wird als "</w:t>
            </w:r>
            <w:r w:rsidRPr="005C1FD8">
              <w:rPr>
                <w:b/>
                <w:bCs/>
                <w:lang w:val="de-DE"/>
              </w:rPr>
              <w:t>Ereignis-Mitteilungsdatum</w:t>
            </w:r>
            <w:r w:rsidRPr="00124233">
              <w:rPr>
                <w:bCs/>
                <w:lang w:val="de-DE"/>
              </w:rPr>
              <w:t>" bezeichnet);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(b)</w:t>
            </w:r>
            <w:r w:rsidRPr="00124233">
              <w:tab/>
              <w:t>within 30 Business Days following the Event Notice Date, the Calculation Agent shall determine (x) the Value of the Reference Obligation and (y) the Asset Swap Value (the date such determinations or, if such determinations are made by the Calculation Agent on different dates, the later of such dates, the "</w:t>
            </w:r>
            <w:r w:rsidRPr="005C1FD8">
              <w:rPr>
                <w:b/>
              </w:rPr>
              <w:t>Valuation Date</w:t>
            </w:r>
            <w:r w:rsidRPr="00124233">
              <w:t>"); and</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(b)</w:t>
            </w:r>
            <w:r w:rsidRPr="00124233">
              <w:rPr>
                <w:bCs/>
                <w:lang w:val="de-DE"/>
              </w:rPr>
              <w:tab/>
              <w:t>stellt die Berechnungsstelle innerhalb von 30 Geschäftstagen nach dem Ereignis-Mitteilungsdatum (x) den Wert der Referenzverbindlichkeit und (y) den Asset-Swap-Wert fest (der Tag dieser Feststellungen oder, falls die jeweiligen Feststellungen von der Berechnungsstelle an unterschiedlichen Tagen getroffen werden, der spätere dieser Tage wird als "</w:t>
            </w:r>
            <w:r w:rsidRPr="005C1FD8">
              <w:rPr>
                <w:b/>
                <w:bCs/>
                <w:lang w:val="de-DE"/>
              </w:rPr>
              <w:t>Bewertungstag</w:t>
            </w:r>
            <w:r w:rsidRPr="00124233">
              <w:rPr>
                <w:bCs/>
                <w:lang w:val="de-DE"/>
              </w:rPr>
              <w:t>" bezeichnet);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4233" w:rsidP="001E3451">
            <w:pPr>
              <w:pStyle w:val="CSManNum8pt"/>
            </w:pPr>
            <w:r w:rsidRPr="00124233">
              <w:t>(c)</w:t>
            </w:r>
            <w:r w:rsidRPr="00124233">
              <w:tab/>
            </w:r>
            <w:r w:rsidRPr="00792D61">
              <w:rPr>
                <w:b/>
              </w:rPr>
              <w:t>[</w:t>
            </w:r>
            <w:r w:rsidRPr="005C1FD8">
              <w:rPr>
                <w:b/>
                <w:i/>
              </w:rPr>
              <w:t>in the case of cash settlement, insert:</w:t>
            </w:r>
            <w:r w:rsidRPr="00124233">
              <w:t xml:space="preserve"> the Issuer shall redeem each Complex Product on the Credit Redemption Date by payment of a cash amount equal to the Credit Redemption Amount to the Holder thereof.</w:t>
            </w:r>
            <w:r w:rsidRPr="00792D61">
              <w:rPr>
                <w:b/>
              </w:rPr>
              <w:t>]</w:t>
            </w:r>
          </w:p>
        </w:tc>
        <w:tc>
          <w:tcPr>
            <w:tcW w:w="4936" w:type="dxa"/>
            <w:gridSpan w:val="3"/>
            <w:tcBorders>
              <w:top w:val="nil"/>
              <w:bottom w:val="nil"/>
              <w:right w:val="nil"/>
            </w:tcBorders>
            <w:shd w:val="clear" w:color="auto" w:fill="auto"/>
          </w:tcPr>
          <w:p w:rsidR="0017135D" w:rsidRPr="00124233" w:rsidP="001E3451">
            <w:pPr>
              <w:pStyle w:val="CSManNum8pt"/>
              <w:rPr>
                <w:bCs/>
                <w:lang w:val="de-DE"/>
              </w:rPr>
            </w:pPr>
            <w:r w:rsidRPr="00124233">
              <w:rPr>
                <w:bCs/>
                <w:lang w:val="de-DE"/>
              </w:rPr>
              <w:t>(c)</w:t>
            </w:r>
            <w:r w:rsidRPr="00124233">
              <w:rPr>
                <w:bCs/>
                <w:lang w:val="de-DE"/>
              </w:rPr>
              <w:tab/>
            </w:r>
            <w:r w:rsidRPr="00792D61">
              <w:rPr>
                <w:b/>
                <w:bCs/>
                <w:lang w:val="de-DE"/>
              </w:rPr>
              <w:t>[</w:t>
            </w:r>
            <w:r w:rsidRPr="005C1FD8">
              <w:rPr>
                <w:b/>
                <w:bCs/>
                <w:i/>
                <w:lang w:val="de-DE"/>
              </w:rPr>
              <w:t>bei Barabwicklung einfügen:</w:t>
            </w:r>
            <w:r w:rsidRPr="00124233">
              <w:rPr>
                <w:bCs/>
                <w:lang w:val="de-DE"/>
              </w:rPr>
              <w:t xml:space="preserve"> tilgt die Emittentin jedes Komplexe Produkt am Kredit-Rückzahlungstag durch Zahlung eines dem Kredit-Rückzahlungsbetrag entsprechenden Geldbetrags an den jeweiligen Inhaber.</w:t>
            </w:r>
            <w:r w:rsidRPr="00792D61">
              <w:rPr>
                <w:b/>
                <w:bCs/>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DA115F" w:rsidP="007625DC">
            <w:pPr>
              <w:pStyle w:val="CSBody8pt"/>
              <w:ind w:left="357"/>
            </w:pPr>
            <w:r w:rsidRPr="00792D61">
              <w:rPr>
                <w:b/>
              </w:rPr>
              <w:t>[</w:t>
            </w:r>
            <w:r w:rsidRPr="005C1FD8">
              <w:rPr>
                <w:b/>
                <w:i/>
              </w:rPr>
              <w:t>in the case of physical settlement, insert:</w:t>
            </w:r>
            <w:r w:rsidRPr="00DA115F">
              <w:t xml:space="preserve"> (x) if a Redemption Event has led to the occurrence of the Credit Redemption Event, the Issuer shall redeem each Complex Product on the Credit Redemption Date by payment of a cash amount equal to the Credit Redemption Amount to the Holder thereof, or (y) if a Default Event has led to the occurrence of the Credit Redemption Event, the Issuer shall, subject to Section 2.2, redeem each Complex Product on the Credit Redemption Date by delivery of the number of Reference Obligations specified in the Ratio to the Holder thereof.</w:t>
            </w:r>
            <w:r w:rsidRPr="00792D61">
              <w:rPr>
                <w:b/>
              </w:rPr>
              <w:t>]</w:t>
            </w:r>
          </w:p>
        </w:tc>
        <w:tc>
          <w:tcPr>
            <w:tcW w:w="4936" w:type="dxa"/>
            <w:gridSpan w:val="3"/>
            <w:tcBorders>
              <w:top w:val="nil"/>
              <w:bottom w:val="nil"/>
              <w:right w:val="nil"/>
            </w:tcBorders>
            <w:shd w:val="clear" w:color="auto" w:fill="auto"/>
          </w:tcPr>
          <w:p w:rsidR="0017135D" w:rsidRPr="00124233" w:rsidP="00FC7CBB">
            <w:pPr>
              <w:pStyle w:val="CSBody8pt"/>
              <w:ind w:left="357"/>
              <w:rPr>
                <w:lang w:val="de-DE"/>
              </w:rPr>
            </w:pPr>
            <w:r w:rsidRPr="00792D61">
              <w:rPr>
                <w:b/>
                <w:lang w:val="de-DE"/>
              </w:rPr>
              <w:t>[</w:t>
            </w:r>
            <w:r w:rsidRPr="005C1FD8">
              <w:rPr>
                <w:b/>
                <w:i/>
                <w:lang w:val="de-DE"/>
              </w:rPr>
              <w:t>bei physischer Abwicklung einfügen:</w:t>
            </w:r>
            <w:r w:rsidRPr="00124233">
              <w:rPr>
                <w:lang w:val="de-DE"/>
              </w:rPr>
              <w:t xml:space="preserve"> (x) tilgt die Emittentin, wenn ein Rückzahlungsereignis zum Eintritt eines Kredit-Rückzahlungsereignisses geführt hat, jedes Komplexe Produkt am Kredit-Rückzahlungstag durch Zahlung eines dem Kredit-Rückzahlungsbetrag entsprechenden Geldbetrags an den jeweiligen Inhaber oder (y) zahlt die Emittentin, wenn ein Ausfallereignis zum Eintritt eines Kredit-Rückzahlungsereignisses geführt hat, jedes Komplexe Produkt vorbehaltlich der Bestimmungen von Ziffer 2.2 am Kredit-Rückzahlungstag durch Lieferung der in dem Bezugsverhältnis angegebenen Anzahl von Referenzverbindlichkeiten an den jeweiligen Inhaber zurück.</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B433A" w:rsidP="001E3451">
            <w:pPr>
              <w:pStyle w:val="CSBody8pt"/>
            </w:pPr>
            <w:r w:rsidRPr="00AB433A">
              <w:t>The Value of the Reference Obligation, Asset Swap Value and Ratio, as applicable, shall be determined in accordance with the definitions of "Value of the Reference Obligation", "Asset Swap Value" and "Ratio", respectively, set forth in subsection C.4 of Section 1.1.</w:t>
            </w:r>
          </w:p>
        </w:tc>
        <w:tc>
          <w:tcPr>
            <w:tcW w:w="4936" w:type="dxa"/>
            <w:gridSpan w:val="3"/>
            <w:tcBorders>
              <w:top w:val="nil"/>
              <w:bottom w:val="nil"/>
              <w:right w:val="nil"/>
            </w:tcBorders>
            <w:shd w:val="clear" w:color="auto" w:fill="auto"/>
          </w:tcPr>
          <w:p w:rsidR="0017135D" w:rsidRPr="00AB433A" w:rsidP="001E3451">
            <w:pPr>
              <w:pStyle w:val="CSBody8pt"/>
            </w:pPr>
            <w:r w:rsidRPr="00124233">
              <w:rPr>
                <w:lang w:val="de-DE"/>
              </w:rPr>
              <w:t xml:space="preserve">Der Wert der Referenzverbindlichkeit, der Asset-Swap-Wert und das Bezugsverhältnis sind gemäss den in Unterziffer C.4 der Ziffer 1.1 enthaltenen Definitionen der Begriffe "Wert der Referenzverbindlichkeit", "Asset-Swap-Wert" bzw. </w:t>
            </w:r>
            <w:r w:rsidRPr="00AB433A">
              <w:t>"Bezugsverhältnis" festzulegen.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B433A" w:rsidP="001E3451">
            <w:pPr>
              <w:pStyle w:val="CSBody8pt"/>
            </w:pPr>
            <w:r w:rsidRPr="00792D61">
              <w:rPr>
                <w:b/>
              </w:rPr>
              <w:t>[</w:t>
            </w:r>
            <w:r w:rsidRPr="005C1FD8">
              <w:rPr>
                <w:b/>
                <w:i/>
              </w:rPr>
              <w:t>in the case of Credit-Linked Complex Products with both simplified and physical settlement, insert:</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792D61">
              <w:rPr>
                <w:b/>
                <w:lang w:val="de-DE"/>
              </w:rPr>
              <w:t>[</w:t>
            </w:r>
            <w:r w:rsidRPr="005C1FD8">
              <w:rPr>
                <w:b/>
                <w:i/>
                <w:lang w:val="de-DE"/>
              </w:rPr>
              <w:t>bei Kreditbezogenen Komplexen Produkten mit sowohl vereinfachter als auch physischer Abwicklung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B433A" w:rsidP="001E3451">
            <w:pPr>
              <w:pStyle w:val="CSBody8pt"/>
            </w:pPr>
            <w:r w:rsidRPr="00AB433A">
              <w:t>With respect to any Complex Product to be redeemed pursuant to this Section 2.2 by delivery of the number of Reference Obligations specified in the Ratio, the Issuer shall deliver the number of Reference Obligations specified in the Ratio rounded down to the nearest integral number of Reference Obligations (the "</w:t>
            </w:r>
            <w:r w:rsidRPr="005C1FD8">
              <w:rPr>
                <w:b/>
              </w:rPr>
              <w:t>Integral Amount</w:t>
            </w:r>
            <w:r w:rsidRPr="00AB433A">
              <w:t>") and pay a cash amount in the Issue Currency (the "</w:t>
            </w:r>
            <w:r w:rsidRPr="005C1FD8">
              <w:rPr>
                <w:b/>
              </w:rPr>
              <w:t>Fractional Cash Amount</w:t>
            </w:r>
            <w:r w:rsidRPr="00AB433A">
              <w:t>") in lieu of any remaining fractional interest in such number of Reference Obligations (the "</w:t>
            </w:r>
            <w:r w:rsidRPr="005C1FD8">
              <w:rPr>
                <w:b/>
              </w:rPr>
              <w:t>Fractional Amount</w:t>
            </w:r>
            <w:r w:rsidRPr="00AB433A">
              <w:t xml:space="preserve">") to the Holder of such Complex Product on the Credit Redemption Date. With respect to any such Complex Product, the Fractional Cash Amount shall be calculated by the Calculation Agent </w:t>
            </w:r>
            <w:r w:rsidRPr="00792D61">
              <w:rPr>
                <w:b/>
              </w:rPr>
              <w:t>[</w:t>
            </w:r>
            <w:r w:rsidRPr="00AB433A">
              <w:t>based on the market conditions prevailing on the Valuation Date</w:t>
            </w:r>
            <w:r w:rsidRPr="00792D61">
              <w:rPr>
                <w:b/>
              </w:rPr>
              <w:t>][</w:t>
            </w:r>
            <w:r w:rsidRPr="00AB433A">
              <w:t>by multiplying the relevant Fractional Amount</w:t>
            </w:r>
            <w:r w:rsidRPr="00792D61">
              <w:rPr>
                <w:b/>
              </w:rPr>
              <w:t>[</w:t>
            </w:r>
            <w:r w:rsidRPr="00AB433A">
              <w:t>, converted at the prevailing spot rate on the Valuation Date as determined by the Calculation Agent in its discretion,</w:t>
            </w:r>
            <w:r w:rsidRPr="00792D61">
              <w:rPr>
                <w:b/>
              </w:rPr>
              <w:t>]</w:t>
            </w:r>
            <w:r w:rsidRPr="00AB433A">
              <w:t xml:space="preserve"> by the value of the Reference Obligation on the Valuation Date as determined by the Calculation Agent in its discretion</w:t>
            </w:r>
            <w:r w:rsidRPr="00792D61">
              <w:rPr>
                <w:b/>
              </w:rPr>
              <w:t>]</w:t>
            </w:r>
            <w:r w:rsidRPr="00AB433A">
              <w:t>.</w:t>
            </w:r>
          </w:p>
        </w:tc>
        <w:tc>
          <w:tcPr>
            <w:tcW w:w="4936" w:type="dxa"/>
            <w:gridSpan w:val="3"/>
            <w:tcBorders>
              <w:top w:val="nil"/>
              <w:bottom w:val="nil"/>
              <w:right w:val="nil"/>
            </w:tcBorders>
            <w:shd w:val="clear" w:color="auto" w:fill="auto"/>
          </w:tcPr>
          <w:p w:rsidR="0017135D" w:rsidRPr="00124233" w:rsidP="005C1FD8">
            <w:pPr>
              <w:pStyle w:val="CSBody8pt"/>
              <w:rPr>
                <w:lang w:val="de-DE"/>
              </w:rPr>
            </w:pPr>
            <w:r w:rsidRPr="00124233">
              <w:rPr>
                <w:lang w:val="de-DE"/>
              </w:rPr>
              <w:t>Bei einem Komplexen Produkt, das gemäss Ziffer 2.2 durch Lieferung der in dem Bezugsverhältnis angegebenen Anzahl von Referenzverbindlichkeiten zurückzuzahlen ist, wird die Emittentin am Kredit-Rückzahlungstag an den Inhaber des Komplexen Produkts die in dem Bezugsverhältnis angegebene Anzahl von Referenzverbindlichkeiten, abgerundet auf die nächste ganze Zahl von Referenzverbindlichkeiten, (der "</w:t>
            </w:r>
            <w:r w:rsidRPr="005C1FD8">
              <w:rPr>
                <w:b/>
                <w:lang w:val="de-DE"/>
              </w:rPr>
              <w:t>Ganze Betrag</w:t>
            </w:r>
            <w:r w:rsidRPr="00124233">
              <w:rPr>
                <w:lang w:val="de-DE"/>
              </w:rPr>
              <w:t>") liefern und einen Barbetrag in der Emissionswährung (der "</w:t>
            </w:r>
            <w:r w:rsidRPr="005C1FD8">
              <w:rPr>
                <w:b/>
                <w:lang w:val="de-DE"/>
              </w:rPr>
              <w:t>Spitzenbarbetrag</w:t>
            </w:r>
            <w:r w:rsidRPr="00124233">
              <w:rPr>
                <w:lang w:val="de-DE"/>
              </w:rPr>
              <w:t>") anstelle etwaiger übriger Bruchteile dieser Anzahl von Referenzverbindlichkeiten (der "</w:t>
            </w:r>
            <w:r w:rsidRPr="005C1FD8">
              <w:rPr>
                <w:b/>
                <w:lang w:val="de-DE"/>
              </w:rPr>
              <w:t>Spitzenbetrag</w:t>
            </w:r>
            <w:r w:rsidRPr="00124233">
              <w:rPr>
                <w:lang w:val="de-DE"/>
              </w:rPr>
              <w:t xml:space="preserve">") zahlen. Für jedes solche Komplexe Produkt wird der Spitzenbarbetrag von der Berechnungsstelle </w:t>
            </w:r>
            <w:r w:rsidRPr="00792D61">
              <w:rPr>
                <w:b/>
                <w:lang w:val="de-DE"/>
              </w:rPr>
              <w:t>[</w:t>
            </w:r>
            <w:r w:rsidRPr="00124233">
              <w:rPr>
                <w:lang w:val="de-DE"/>
              </w:rPr>
              <w:t>auf Basis der am Bewertungstag herrschenden Marktbedingungen</w:t>
            </w:r>
            <w:r w:rsidRPr="00792D61">
              <w:rPr>
                <w:b/>
                <w:lang w:val="de-DE"/>
              </w:rPr>
              <w:t>][</w:t>
            </w:r>
            <w:r w:rsidRPr="00124233">
              <w:rPr>
                <w:lang w:val="de-DE"/>
              </w:rPr>
              <w:t xml:space="preserve">durch Multiplizieren des jeweiligen </w:t>
            </w:r>
            <w:r w:rsidRPr="00792D61">
              <w:rPr>
                <w:b/>
                <w:lang w:val="de-DE"/>
              </w:rPr>
              <w:t>[</w:t>
            </w:r>
            <w:r w:rsidRPr="00124233">
              <w:rPr>
                <w:lang w:val="de-DE"/>
              </w:rPr>
              <w:t>zum am Bewertungstag geltenden Kassakurs, wie von der Berechnungsstelle nach ihrem Ermessen festgestellt, umgerechneten</w:t>
            </w:r>
            <w:r w:rsidRPr="00792D61">
              <w:rPr>
                <w:b/>
                <w:lang w:val="de-DE"/>
              </w:rPr>
              <w:t>]</w:t>
            </w:r>
            <w:r w:rsidRPr="00124233">
              <w:rPr>
                <w:lang w:val="de-DE"/>
              </w:rPr>
              <w:t xml:space="preserve"> Spitzenbetrags mit dem Wert der Referenzverbindlichkeit am Bewertungstag, wie von der Berechnungsstelle nach ihrem Ermessen festgestellt,</w:t>
            </w:r>
            <w:r w:rsidRPr="00792D61">
              <w:rPr>
                <w:b/>
                <w:lang w:val="de-DE"/>
              </w:rPr>
              <w:t>]</w:t>
            </w:r>
            <w:r w:rsidRPr="00124233">
              <w:rPr>
                <w:lang w:val="de-DE"/>
              </w:rPr>
              <w:t xml:space="preserve"> berechnet.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763AAA" w:rsidP="001E3451">
            <w:pPr>
              <w:pStyle w:val="CSBody8pt"/>
            </w:pPr>
            <w:r w:rsidRPr="00763AAA">
              <w:t>Notwithstanding the above, if the Credit Redemption Date is not a Reference Obligation Delivery Day, the Reference Obligations to be delivered hereunder shall be delivered on the first Reference Obligation Delivery Day thereafter. For purposes of this Section 2.2, "</w:t>
            </w:r>
            <w:r w:rsidRPr="005C1FD8">
              <w:rPr>
                <w:b/>
              </w:rPr>
              <w:t>Reference Obligation Delivery Day</w:t>
            </w:r>
            <w:r w:rsidRPr="00763AAA">
              <w:t>" means, with respect to any Reference Obligation, a day on which such Reference Obligation may be delivered to the relevant Holders in the manner that the Issuer has determined is appropriate.</w:t>
            </w:r>
          </w:p>
        </w:tc>
        <w:tc>
          <w:tcPr>
            <w:tcW w:w="4936" w:type="dxa"/>
            <w:gridSpan w:val="3"/>
            <w:tcBorders>
              <w:top w:val="nil"/>
              <w:bottom w:val="nil"/>
              <w:right w:val="nil"/>
            </w:tcBorders>
            <w:shd w:val="clear" w:color="auto" w:fill="auto"/>
          </w:tcPr>
          <w:p w:rsidR="0017135D" w:rsidRPr="00124233" w:rsidP="00FC7CBB">
            <w:pPr>
              <w:pStyle w:val="CSBody8pt"/>
              <w:rPr>
                <w:lang w:val="de-DE"/>
              </w:rPr>
            </w:pPr>
            <w:r w:rsidRPr="00124233">
              <w:rPr>
                <w:lang w:val="de-DE"/>
              </w:rPr>
              <w:t>Ungeachtet des Vorstehenden werden die im Rahmen dieses Prospekts zu liefernden Referenzverbindlichkeiten in dem Fall, dass der Kredit-Rückzahlungstag kein Referenzverbindlichkeit-Liefertag ist, am ersten darauffolgenden Referenzverbindlichkeit-Liefertag geliefert. Für die Zwecke dieser Ziffer 2.2 bezeichnet "</w:t>
            </w:r>
            <w:r w:rsidRPr="005C1FD8">
              <w:rPr>
                <w:b/>
                <w:lang w:val="de-DE"/>
              </w:rPr>
              <w:t>Referenzverbindlichkeit-Liefertag</w:t>
            </w:r>
            <w:r w:rsidRPr="00124233">
              <w:rPr>
                <w:lang w:val="de-DE"/>
              </w:rPr>
              <w:t>" in Bezug auf jede Referenzverbindlichkeit einen Tag, an dem diese Referenzverbindlichkeit in der von der Emittentin für geeignet erachteten Art und Weise an die jeweiligen Inhaber geliefert werden kann.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763AAA" w:rsidP="001E3451">
            <w:pPr>
              <w:pStyle w:val="CSBody8pt"/>
            </w:pPr>
            <w:r w:rsidRPr="00763AAA">
              <w:t>The Issuer shall deliver (or cause the delivery of) the Reference Obligation(s) described in the paragraphs immediately above to the relevant Clearing System (or, in the case of any Reference Obligation not eligible for delivery within the relevant Clearing System, using such other commercial reasonable method selected by the Issuer) at the risk and expense of the relevant Holder. Each Holder is required to pay all taxes and fees in connection with the delivery of any Reference Obligation(s) hereunder. As used in this Section 2.2, "</w:t>
            </w:r>
            <w:r w:rsidRPr="005C1FD8">
              <w:rPr>
                <w:b/>
              </w:rPr>
              <w:t>delivery</w:t>
            </w:r>
            <w:r w:rsidRPr="00763AAA">
              <w:t>" in relation to any Reference Obligation means the carrying out of the steps required by the Issuer (or such person making the delivery on its behalf) in order to effect the transfer of such Reference Obligation. Once such steps have been carried out, the Issuer shall not be responsible for any delay or failure in the transfer of any Reference Obligation, whether resulting from settlement periods of clearing systems, acts or omissions of registrars or otherwise, and the Issuer shall have no responsibility for the lawfulness of the acquisition of a Reference Obligation or any interest therein by any Holder or any other person. Holders should be aware that the actual date on which they become holders of any Reference Obligation to be delivered hereunder will depend on, among other things, the procedures of the relevant clearing systems(s), registrar(s) and the effect of the occurrence of a Settlement Disruption Event, if any.</w:t>
            </w:r>
            <w:r w:rsidRPr="00792D61">
              <w:rPr>
                <w:b/>
              </w:rPr>
              <w:t>]</w:t>
            </w:r>
          </w:p>
        </w:tc>
        <w:tc>
          <w:tcPr>
            <w:tcW w:w="4936" w:type="dxa"/>
            <w:gridSpan w:val="3"/>
            <w:tcBorders>
              <w:top w:val="nil"/>
              <w:bottom w:val="nil"/>
              <w:right w:val="nil"/>
            </w:tcBorders>
            <w:shd w:val="clear" w:color="auto" w:fill="auto"/>
          </w:tcPr>
          <w:p w:rsidR="0017135D" w:rsidRPr="00124233" w:rsidP="00FC7CBB">
            <w:pPr>
              <w:pStyle w:val="CSBody8pt"/>
              <w:rPr>
                <w:lang w:val="de-DE"/>
              </w:rPr>
            </w:pPr>
            <w:r w:rsidRPr="00124233">
              <w:rPr>
                <w:lang w:val="de-DE"/>
              </w:rPr>
              <w:t>Die Emittentin wird die Lieferung der in den unmittelbar vorangehenden Absätzen beschriebenen Referenzverbindlichkeit(en) an das massgebliche Clearingsystem (oder, falls die Lieferung einer Referenzverbindlichkeit innerhalb des massgeblichen Clearingsystems nicht zulässig ist, in einer anderen von der Emittentin gewählten wirtschaftlich angemessenen Art und Weise) auf Gefahr und Kosten des betreffenden Inhabers vornehmen (oder vornehmen lassen). Jeder Inhaber muss sämtliche Steuern und Gebühren im Zusammenhang mit der Lieferung einer oder mehrerer Referenzverbindlichkeiten im Rahmen dieses Prospekts zahlen. Der in dieser Ziffer 2.2 verwendete Begriff "</w:t>
            </w:r>
            <w:r w:rsidRPr="005C1FD8">
              <w:rPr>
                <w:b/>
                <w:lang w:val="de-DE"/>
              </w:rPr>
              <w:t>Lieferung</w:t>
            </w:r>
            <w:r w:rsidRPr="00124233">
              <w:rPr>
                <w:lang w:val="de-DE"/>
              </w:rPr>
              <w:t>" in Bezug auf eine Referenzverbindlichkeit bezeichnet die Durchführung der von der Emittentin (oder der Person, welche die Lieferung für die Emittentin durchführt) zur Übertragung dieser Referenzverbindlichkeit durchzuführenden Schritte. Nach Durchführung dieser Schritte trifft die Emittentin keine Verantwortung bei einer verzögerten oder nicht erfolgten Übertragung einer Referenzverbindlichkeit, unabhängig davon, ob diese verzögerte oder nicht erfolgte Übertragung durch Abwicklungszeiträume des Clearingsystems oder Handlungen bzw. Unterlassungen von Registerstellen oder sonstigen Stellen oder Personen verursacht ist, und die Emittentin ist des Weiteren nicht verantwortlich für die Rechtmässigkeit des Erwerbs einer Referenzverbindlichkeit oder eines Anteils daran durch einen Inhaber oder eine andere Person. Inhaber sollten sich darüber im Klaren sein, dass der tatsächliche Termin, zu dem sie Inhaber von im Rahmen dieses Prospekts zu liefernden Referenzverbindlichkeiten werden, unter anderem von den Verfahren des jeweiligen Clearingsystems bzw. der jeweiligen Clearingsysteme und der jeweiligen Registerstelle(n) sowie den Auswirkungen einer etwaigen Abwicklungsstörung abhängt.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763AAA" w:rsidP="001E3451">
            <w:pPr>
              <w:pStyle w:val="CSBody8pt"/>
            </w:pPr>
            <w:r w:rsidRPr="00763AAA">
              <w:t>The Issuer shall not be (i) under any obligation to deliver (or cause to be delivered) to a Holder or any other person any letter, certificate, notice, circular or any other document received by the Issuer (or any person acting on its behalf) in its capacity as holder of any Reference Obligation to be delivered hereunder, (ii) under any obligation to exercise (or cause to be exercised) any right (including voting rights) attaching to any Reference Obligation to be delivered hereunder or (iii) liable to any Holder or any beneficial or other owner of any Reference Obligation to be delivered hereunder with respect to any loss or damage that such Holder or beneficial or other owner may sustain or suffer as a result, directly or indirectly, of such Holder or beneficial or other owner being registered at any time as the legal owner of any Reference Obligation to be delivered hereunder.</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Die Emittentin (i) ist in keiner Weise verpflichtet, einem Inhaber oder einer sonstigen Person etwaige Anschreiben, Bestätigungen, Mitteilungen, Rundschreiben oder sonstige Dokumente zu übergeben (bzw. eine solche Übergabe zu veranlassen), die sie (oder eine für sie handelnde Person) in ihrer Eigenschaft als Inhaberin einer im Rahmen dieses Prospekts zu liefernden Referenzverbindlichkeit erhält, (ii) ist in keiner Weise verpflichtet, Rechte (einschliesslich Stimmrechten), die mit einer im Rahmen dieses Prospekts zu liefernden Referenzverbindlichkeit verbunden sind, auszuüben (bzw. ausüben zu lassen), und (iii) haftet nicht gegenüber einem Inhaber oder wirtschaftlichen oder sonstigen Eigentümer einer im Rahmen dieses Prospekts zu liefernden Referenzverbindlichkeit im Zusammenhang mit unmittelbaren oder mittelbaren Verlusten oder Schäden, die dem betreffenden Inhaber oder wirtschaftlichen oder sonstigen Eigentümer möglicherweise aufgrund des Umstandes entstehen, dass der betreffende Inhaber oder wirtschaftliche oder sonstige Eigentümer zu irgendeinem Zeitpunkt als der rechtliche Eigentümer einer im Rahmen dieses Prospekts zu liefernden Referenzverbindlichkeit eingetragen ist.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56FE3" w:rsidP="001E3451">
            <w:pPr>
              <w:pStyle w:val="CSBody8pt"/>
            </w:pPr>
            <w:r w:rsidRPr="00856FE3">
              <w:t>Upon the occurrence of a Settlement Disruption Event with respect to any Reference Obligation to be delivered hereunder, the Issuer shall be entitled to (i) postpone the delivery of such Reference Obligation to the first Reference Obligation Delivery Day after such Settlement Disruption Event on which a Settlement Disruption Event does not exist, and no Holder shall be entitled to any payment of interest or otherwise on any Complex Product as a result of any postponement pursuant to this clause (i), or (ii) effect a cash settlement pursuant to which the relevant Holder shall receive a cash amount in the Issue Currency equal to the fair market value of such Reference Obligation on the Credit Redemption Date, less the cost to the Issuer of unwinding any hedging arrangements related to such Reference Obligation, as determined by the Issuer.</w:t>
            </w:r>
          </w:p>
        </w:tc>
        <w:tc>
          <w:tcPr>
            <w:tcW w:w="4936" w:type="dxa"/>
            <w:gridSpan w:val="3"/>
            <w:tcBorders>
              <w:top w:val="nil"/>
              <w:bottom w:val="nil"/>
              <w:right w:val="nil"/>
            </w:tcBorders>
            <w:shd w:val="clear" w:color="auto" w:fill="auto"/>
          </w:tcPr>
          <w:p w:rsidR="0017135D" w:rsidRPr="00124233" w:rsidP="00FC7CBB">
            <w:pPr>
              <w:pStyle w:val="CSBody8pt"/>
              <w:rPr>
                <w:lang w:val="de-DE"/>
              </w:rPr>
            </w:pPr>
            <w:r w:rsidRPr="00124233">
              <w:rPr>
                <w:lang w:val="de-DE"/>
              </w:rPr>
              <w:t>Bei Eintritt einer Abwicklungsstörung in Bezug auf eine im Rahmen dieses Prospekts zu liefernde Referenzverbindlichkeit ist die Emittentin berechtigt, (i) die Lieferung der betreffenden Referenzverbindlichkeit auf den ersten Referenzverbindlichkeit-Liefertag nach dieser Abwicklungsstörung zu verschieben, an dem keine Abwicklungsstörung vorliegt, wobei keinem Inhaber aufgrund einer Verschiebung gemäss diesem Absatz (i) Zins- oder sonstige Zahlungen in Bezug auf ein Komplexes Produkt zustehen, oder (ii) eine Barabwicklung durchzuführen, wonach der betreffende Inhaber einen Barbetrag in der Emissionswährung erhält, der dem fairen Marktwert der betreffenden Referenzverbindlichkeit am Kredit-Rückzahlungstag abzüglich der Kosten entspricht, die der Emittentin im Zusammenhang mit der Rückabwicklung diesbezüglicher Absicherungsgeschäfte entstanden sind, wie von der Emittentin festgestellt.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56FE3" w:rsidP="001E3451">
            <w:pPr>
              <w:pStyle w:val="CSBody8pt"/>
            </w:pPr>
            <w:r w:rsidRPr="00856FE3">
              <w:t>For purposes of this Section 2.2, "</w:t>
            </w:r>
            <w:r w:rsidRPr="005C1FD8">
              <w:rPr>
                <w:b/>
              </w:rPr>
              <w:t>Settlement Disruption Event</w:t>
            </w:r>
            <w:r w:rsidRPr="00856FE3">
              <w:t>" means with respect to any Reference Obligation to be delivered pursuant to this Section 2.2, an event beyond the control of the Issuer as a result of which, in the determination of the Issuer, the Issuer cannot deliver, or it would be in contravention of any applicable law or regulation for the Issuer to deliver, such Reference Obligation to the relevant Holder</w:t>
            </w:r>
            <w:r w:rsidRPr="00792D61">
              <w:rPr>
                <w:b/>
              </w:rPr>
              <w:t>]</w:t>
            </w:r>
            <w:r w:rsidRPr="00856FE3">
              <w:t>.</w:t>
            </w:r>
            <w:r w:rsidRPr="00792D61">
              <w:rPr>
                <w:b/>
              </w:rPr>
              <w:t>]</w:t>
            </w:r>
          </w:p>
        </w:tc>
        <w:tc>
          <w:tcPr>
            <w:tcW w:w="4936" w:type="dxa"/>
            <w:gridSpan w:val="3"/>
            <w:tcBorders>
              <w:top w:val="nil"/>
              <w:bottom w:val="nil"/>
              <w:right w:val="nil"/>
            </w:tcBorders>
            <w:shd w:val="clear" w:color="auto" w:fill="auto"/>
          </w:tcPr>
          <w:p w:rsidR="0017135D" w:rsidRPr="00124233" w:rsidP="001E3451">
            <w:pPr>
              <w:pStyle w:val="CSBody8pt"/>
              <w:rPr>
                <w:lang w:val="de-DE"/>
              </w:rPr>
            </w:pPr>
            <w:r w:rsidRPr="00124233">
              <w:rPr>
                <w:lang w:val="de-DE"/>
              </w:rPr>
              <w:t>Im Sinne dieser Ziffer 2.2 bezeichnet "</w:t>
            </w:r>
            <w:r w:rsidRPr="005C1FD8">
              <w:rPr>
                <w:b/>
                <w:lang w:val="de-DE"/>
              </w:rPr>
              <w:t>Abwicklungsstörung</w:t>
            </w:r>
            <w:r w:rsidRPr="00124233">
              <w:rPr>
                <w:lang w:val="de-DE"/>
              </w:rPr>
              <w:t>" in Bezug auf eine gemäss dieser Ziffer 2.2 zu liefernde Referenzverbindlichkeit ein Ereignis, auf das die Emittentin keinen Einfluss hat und infolge dessen die Emittentin nach ihrer Feststellung nicht imstande ist oder nur unter Verletzung anwendbarer Gesetze oder Vorschriften imstande wäre, diese Referenzverbindlichkeit an den betreffenden Inhaber zu liefern</w:t>
            </w:r>
            <w:r w:rsidRPr="00792D61">
              <w:rPr>
                <w:b/>
                <w:lang w:val="de-DE"/>
              </w:rPr>
              <w:t>]</w:t>
            </w:r>
            <w:r w:rsidRPr="00124233">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B823C0" w:rsidP="001E3451">
            <w:pPr>
              <w:pStyle w:val="CSbody0bold"/>
            </w:pPr>
            <w:r w:rsidRPr="00B823C0">
              <w:t>Section 2.3</w:t>
            </w:r>
          </w:p>
        </w:tc>
        <w:tc>
          <w:tcPr>
            <w:tcW w:w="3315" w:type="dxa"/>
            <w:gridSpan w:val="2"/>
            <w:tcBorders>
              <w:top w:val="nil"/>
              <w:left w:val="nil"/>
              <w:bottom w:val="nil"/>
              <w:right w:val="nil"/>
            </w:tcBorders>
            <w:shd w:val="clear" w:color="auto" w:fill="D9D9D9" w:themeFill="background1" w:themeFillShade="D9"/>
          </w:tcPr>
          <w:p w:rsidR="0017135D" w:rsidRPr="00132D4B" w:rsidP="001E3451">
            <w:pPr>
              <w:pStyle w:val="CSbody0bold"/>
              <w:rPr>
                <w:lang w:val="en-GB"/>
              </w:rPr>
            </w:pPr>
            <w:r w:rsidRPr="00132D4B">
              <w:rPr>
                <w:lang w:val="en-GB"/>
              </w:rPr>
              <w:t>Early Redemption upon the occurrence of an Extraordinary Event</w:t>
            </w:r>
          </w:p>
        </w:tc>
        <w:tc>
          <w:tcPr>
            <w:tcW w:w="1618" w:type="dxa"/>
            <w:gridSpan w:val="2"/>
            <w:tcBorders>
              <w:top w:val="nil"/>
              <w:left w:val="nil"/>
              <w:bottom w:val="nil"/>
              <w:right w:val="nil"/>
            </w:tcBorders>
            <w:shd w:val="clear" w:color="auto" w:fill="D9D9D9" w:themeFill="background1" w:themeFillShade="D9"/>
          </w:tcPr>
          <w:p w:rsidR="0017135D" w:rsidRPr="0015154F" w:rsidP="001E3451">
            <w:pPr>
              <w:pStyle w:val="CSbody0bold"/>
            </w:pPr>
            <w:r w:rsidRPr="0015154F">
              <w:t>Ziffer 2.3</w:t>
            </w:r>
          </w:p>
        </w:tc>
        <w:tc>
          <w:tcPr>
            <w:tcW w:w="3318" w:type="dxa"/>
            <w:tcBorders>
              <w:top w:val="nil"/>
              <w:left w:val="nil"/>
              <w:bottom w:val="nil"/>
              <w:right w:val="nil"/>
            </w:tcBorders>
            <w:shd w:val="clear" w:color="auto" w:fill="D9D9D9" w:themeFill="background1" w:themeFillShade="D9"/>
          </w:tcPr>
          <w:p w:rsidR="0017135D" w:rsidRPr="009D1540" w:rsidP="001E3451">
            <w:pPr>
              <w:pStyle w:val="CSbody0bold"/>
            </w:pPr>
            <w:r w:rsidRPr="009D1540">
              <w:t>Vorzeitige Rückzahlung nach Eintritt eines Aussergewöhnlichen Ereignisses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B7F4F" w:rsidP="00FC7CBB">
            <w:pPr>
              <w:pStyle w:val="CSBody8pt"/>
            </w:pPr>
            <w:r w:rsidRPr="00CB7F4F">
              <w:t>If the Calculation Agent and the Issuer determine that an Extraordinary Event has occurred and is continuing, the Calculation Agent and the Issuer, acting together, shall have the right, but not the obligation to redeem the Complex Products in accordance with procedures (including fixing or valuation procedures) adopted by the Calculation Agent and the Issuer at such time, or to take any other action which the Calculation Agent and the Issuer deem to be appropriate in light of all of the circumstances which exist at the time, provided that, in their pursuit of any of the foregoing actions, the Calculation Agent and the Issuer will use such efforts as they reasonably deem practicable to preserve the value of, or provide reasonable value for, the Complex Products. The occurrence of an Extraordinary Event shall be determined in accordance with the definition "Extraordinary Event" set forth in subsection D. of Section 1.1.</w:t>
            </w:r>
          </w:p>
        </w:tc>
        <w:tc>
          <w:tcPr>
            <w:tcW w:w="4936" w:type="dxa"/>
            <w:gridSpan w:val="3"/>
            <w:tcBorders>
              <w:top w:val="nil"/>
              <w:bottom w:val="nil"/>
              <w:right w:val="nil"/>
            </w:tcBorders>
            <w:shd w:val="clear" w:color="auto" w:fill="auto"/>
          </w:tcPr>
          <w:p w:rsidR="0017135D" w:rsidRPr="009D1540" w:rsidP="00FC7CBB">
            <w:pPr>
              <w:pStyle w:val="CSBody8pt"/>
              <w:rPr>
                <w:lang w:val="de-DE"/>
              </w:rPr>
            </w:pPr>
            <w:r w:rsidRPr="009D1540">
              <w:rPr>
                <w:lang w:val="de-DE"/>
              </w:rPr>
              <w:t>Falls die Berechnungsstelle und die Emittentin feststellen, dass ein Aussergewöhnliches Ereignis eingetreten ist und andauert, sind die Berechnungsstelle und die Emittentin zusammen berechtigt, jedoch nicht verpflichtet, die Komplexen Produkte entsprechend den von der Berechnungsstelle und der Emittentin zum jeweiligen Zeitpunkt festgelegten Verfahren (einschliesslich Kursfestsetzungsverfahren) zurückzuzahlen oder sonstige Massnahmen zu ergreifen, die von der Berechnungsstelle und der Emittentin angesichts sämtlicher zum jeweiligen Zeitpunkt vorherrschender Umstände als angemessen erachtet werden, unter der Voraussetzung, dass sich die Berechnungsstelle und die Emittentin bei der Durchführung jeder der vorgenannten Massnahmen bemühen werden, alle zumutbaren und praktisch durchführbaren Massnahmen zu ergreifen, um den Wert der Komplexen Produkte zu erhalten oder eine angemessene Gegenleistung für die Komplexen Produkte zu erbringen. Der Eintritt eines Aussergewöhnlichen Ereignisses ist gemäss der Definition des Begriffs "Aussergewöhnliches Ereignis" in Unterziffer D. der Ziffer 1.1 festzulegen.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B7F4F" w:rsidP="001E3451">
            <w:pPr>
              <w:pStyle w:val="CSBody8pt"/>
            </w:pPr>
            <w:r w:rsidRPr="00CB7F4F">
              <w:t>Upon the occurrence of any Extraordinary Event the Issuer shall, if it determines that it is reasonably practicable to do so,</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Nach dem Eintritt eines Aussergewöhnlichen Ereignisses wird die Emittentin, soweit dies praktisch durchführbar ist,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1E3451">
            <w:pPr>
              <w:pStyle w:val="CSManNum8pt"/>
            </w:pPr>
            <w:r w:rsidRPr="009D1540">
              <w:t>(i)</w:t>
            </w:r>
            <w:r w:rsidRPr="009D1540">
              <w:tab/>
              <w:t>give notice to the Holders that an Extraordinary Event has occurred, and</w:t>
            </w:r>
          </w:p>
        </w:tc>
        <w:tc>
          <w:tcPr>
            <w:tcW w:w="4936" w:type="dxa"/>
            <w:gridSpan w:val="3"/>
            <w:tcBorders>
              <w:top w:val="nil"/>
              <w:bottom w:val="nil"/>
              <w:right w:val="nil"/>
            </w:tcBorders>
            <w:shd w:val="clear" w:color="auto" w:fill="auto"/>
          </w:tcPr>
          <w:p w:rsidR="0017135D" w:rsidRPr="009D1540" w:rsidP="001E3451">
            <w:pPr>
              <w:pStyle w:val="CSManNum8pt"/>
              <w:rPr>
                <w:bCs/>
                <w:lang w:val="de-DE"/>
              </w:rPr>
            </w:pPr>
            <w:r w:rsidRPr="009D1540">
              <w:rPr>
                <w:bCs/>
                <w:lang w:val="de-DE"/>
              </w:rPr>
              <w:t>(i)</w:t>
            </w:r>
            <w:r w:rsidRPr="009D1540">
              <w:rPr>
                <w:bCs/>
                <w:lang w:val="de-DE"/>
              </w:rPr>
              <w:tab/>
              <w:t>die Inhaber in einer Mitteilung über den Eintritt eines Aussergewöhnlichen Ereignisses benachrichtigen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1E3451">
            <w:pPr>
              <w:pStyle w:val="CSManNum8pt"/>
            </w:pPr>
            <w:r w:rsidRPr="009D1540">
              <w:t>(ii)</w:t>
            </w:r>
            <w:r w:rsidRPr="009D1540">
              <w:tab/>
              <w:t>within fourteen (14) calendar days of the date of notice referred to in clause (i) above, give notice to the Holders of the action which the Calculation Agent and the Issuer propose to take in connection with such Extraordinary Event,</w:t>
            </w:r>
          </w:p>
        </w:tc>
        <w:tc>
          <w:tcPr>
            <w:tcW w:w="4936" w:type="dxa"/>
            <w:gridSpan w:val="3"/>
            <w:tcBorders>
              <w:top w:val="nil"/>
              <w:bottom w:val="nil"/>
              <w:right w:val="nil"/>
            </w:tcBorders>
            <w:shd w:val="clear" w:color="auto" w:fill="auto"/>
          </w:tcPr>
          <w:p w:rsidR="0017135D" w:rsidRPr="009D1540" w:rsidP="001E3451">
            <w:pPr>
              <w:pStyle w:val="CSManNum8pt"/>
              <w:rPr>
                <w:bCs/>
                <w:lang w:val="de-DE"/>
              </w:rPr>
            </w:pPr>
            <w:r w:rsidRPr="009D1540">
              <w:rPr>
                <w:bCs/>
                <w:lang w:val="de-DE"/>
              </w:rPr>
              <w:t>(ii)</w:t>
            </w:r>
            <w:r w:rsidRPr="009D1540">
              <w:rPr>
                <w:bCs/>
                <w:lang w:val="de-DE"/>
              </w:rPr>
              <w:tab/>
              <w:t>die Inhaber innerhalb von vierzehn (14) Kalendertagen ab dem Datum der in Absatz (i) genannten Mitteilung in einer Mitteilung über die Massnahmen informieren, die die Berechnungsstelle und die Emittentin im Zusammenhang mit dem Aussergewöhnlichen Ereignis zu ergreifen beabsichtigen,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247CA5" w:rsidP="001E3451">
            <w:pPr>
              <w:pStyle w:val="CSBody8pt"/>
            </w:pPr>
            <w:r w:rsidRPr="00247CA5">
              <w:t>each such notice to be given in the manner provided in Section 8 or in any other appropriate manner.</w:t>
            </w:r>
            <w:r w:rsidRPr="00792D61">
              <w:rPr>
                <w:b/>
              </w:rPr>
              <w:t>]</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wobei diese Mitteilung jeweils wie in Ziffer 8 festgelegt oder in einer sonstigen zweckmässigen Art und Weise zu erfolgen hat.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8D0327" w:rsidP="001E3451">
            <w:pPr>
              <w:pStyle w:val="CSbody0bold"/>
            </w:pPr>
            <w:r w:rsidRPr="008D0327">
              <w:t>Section 3</w:t>
            </w:r>
          </w:p>
        </w:tc>
        <w:tc>
          <w:tcPr>
            <w:tcW w:w="3315" w:type="dxa"/>
            <w:gridSpan w:val="2"/>
            <w:tcBorders>
              <w:top w:val="nil"/>
              <w:left w:val="nil"/>
              <w:bottom w:val="nil"/>
              <w:right w:val="nil"/>
            </w:tcBorders>
            <w:shd w:val="clear" w:color="auto" w:fill="D9D9D9" w:themeFill="background1" w:themeFillShade="D9"/>
          </w:tcPr>
          <w:p w:rsidR="0017135D" w:rsidP="001E3451">
            <w:pPr>
              <w:pStyle w:val="CSbody0bold"/>
            </w:pPr>
            <w:r w:rsidRPr="008D0327">
              <w:t>Interest</w:t>
            </w:r>
          </w:p>
        </w:tc>
        <w:tc>
          <w:tcPr>
            <w:tcW w:w="1618" w:type="dxa"/>
            <w:gridSpan w:val="2"/>
            <w:tcBorders>
              <w:top w:val="nil"/>
              <w:left w:val="nil"/>
              <w:bottom w:val="nil"/>
              <w:right w:val="nil"/>
            </w:tcBorders>
            <w:shd w:val="clear" w:color="auto" w:fill="D9D9D9" w:themeFill="background1" w:themeFillShade="D9"/>
          </w:tcPr>
          <w:p w:rsidR="0017135D" w:rsidRPr="00FE4656" w:rsidP="001E3451">
            <w:pPr>
              <w:pStyle w:val="CSbody0bold"/>
            </w:pPr>
            <w:r w:rsidRPr="00FE4656">
              <w:t>Ziffer 3</w:t>
            </w:r>
          </w:p>
        </w:tc>
        <w:tc>
          <w:tcPr>
            <w:tcW w:w="3318" w:type="dxa"/>
            <w:tcBorders>
              <w:top w:val="nil"/>
              <w:left w:val="nil"/>
              <w:bottom w:val="nil"/>
              <w:right w:val="nil"/>
            </w:tcBorders>
            <w:shd w:val="clear" w:color="auto" w:fill="D9D9D9" w:themeFill="background1" w:themeFillShade="D9"/>
          </w:tcPr>
          <w:p w:rsidR="0017135D" w:rsidP="001E3451">
            <w:pPr>
              <w:pStyle w:val="CSbody0bold"/>
            </w:pPr>
            <w:r w:rsidRPr="00FE4656">
              <w:t>Zinsen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23D62" w:rsidP="001E3451">
            <w:pPr>
              <w:pStyle w:val="CSBody8ptbolditalics"/>
            </w:pPr>
            <w:r w:rsidRPr="00792D61">
              <w:t>[</w:t>
            </w:r>
            <w:r w:rsidRPr="00423D62">
              <w:t>in case of Complex Products with one Interest Payment Date other than Credit-Linked Complex Products , insert:</w:t>
            </w:r>
          </w:p>
        </w:tc>
        <w:tc>
          <w:tcPr>
            <w:tcW w:w="4936" w:type="dxa"/>
            <w:gridSpan w:val="3"/>
            <w:tcBorders>
              <w:top w:val="nil"/>
              <w:bottom w:val="nil"/>
              <w:right w:val="nil"/>
            </w:tcBorders>
            <w:shd w:val="clear" w:color="auto" w:fill="auto"/>
          </w:tcPr>
          <w:p w:rsidR="0017135D" w:rsidRPr="009D1540" w:rsidP="001E3451">
            <w:pPr>
              <w:pStyle w:val="CSBody8ptbolditalics"/>
              <w:rPr>
                <w:lang w:val="de-DE"/>
              </w:rPr>
            </w:pPr>
            <w:r w:rsidRPr="00792D61">
              <w:rPr>
                <w:lang w:val="de-DE"/>
              </w:rPr>
              <w:t>[</w:t>
            </w:r>
            <w:r w:rsidRPr="009D1540">
              <w:rPr>
                <w:lang w:val="de-DE"/>
              </w:rPr>
              <w:t>bei Komplexen Produkten mit einem Zinszahlungstag ausser Kreditbezogenen Komplexen Produkten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23D62" w:rsidP="001E3451">
            <w:pPr>
              <w:pStyle w:val="CSBody8pt"/>
            </w:pPr>
            <w:r w:rsidRPr="00423D62">
              <w:t xml:space="preserve">The Issuer shall pay the Interest Payment Amount per Complex Product on the Interest Payment Date to the Holder thereof, provided that the Complex Products have not been redeemed, repurchased or cancelled on or prior to the Interest Payment Date. For the avoidance of doubt, it being understood that, if the Complex Products are redeemed, repurchased or cancelled on or prior to the Interest Payment Date, any portion of the Interest Payment Amount that has accrued as of the date of such redemption, repurchase, cancellation will </w:t>
            </w:r>
            <w:r w:rsidRPr="00792D61">
              <w:rPr>
                <w:b/>
              </w:rPr>
              <w:t>[</w:t>
            </w:r>
            <w:r w:rsidRPr="00423D62">
              <w:t>not</w:t>
            </w:r>
            <w:r w:rsidRPr="00792D61">
              <w:rPr>
                <w:b/>
              </w:rPr>
              <w:t>]</w:t>
            </w:r>
            <w:r w:rsidRPr="00423D62">
              <w:t xml:space="preserve"> be paid. The Interest Payment Amount and the Interest Payment Date shall be determined in accordance with the definitions of "Interest Payment Amount" and "Interest Payment Date(s)" set forth in subsection B. of Section 1.1.</w:t>
            </w:r>
            <w:r w:rsidRPr="00792D61">
              <w:rPr>
                <w:b/>
              </w:rPr>
              <w:t>]</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 xml:space="preserve">Die Emittentin zahlt den Zinszahlungsbetrag pro Komplexes Produkt am Zinszahlungstag an den jeweiligen Inhaber, sofern die Komplexen Produkte nicht bereits an oder vor dem Zinszahlungstag zurückgezahlt, zurückgekauft oder entwertet wurden. Zur Klarstellung wird festgehalten, dass im Fall einer bzw. eines an oder vor dem Zinszahlungstag erfolgenden Rückzahlung, Rückkaufs oder Entwertung der Komplexen Produkte die zum Termin dieser Rückzahlung, dieses Rückkaufs bzw. dieser Entwertung aufgelaufenen Teile des Zinsbetrags </w:t>
            </w:r>
            <w:r w:rsidRPr="00792D61">
              <w:rPr>
                <w:b/>
                <w:lang w:val="de-DE"/>
              </w:rPr>
              <w:t>[</w:t>
            </w:r>
            <w:r w:rsidRPr="009D1540">
              <w:rPr>
                <w:lang w:val="de-DE"/>
              </w:rPr>
              <w:t>nicht</w:t>
            </w:r>
            <w:r w:rsidRPr="00792D61">
              <w:rPr>
                <w:b/>
                <w:lang w:val="de-DE"/>
              </w:rPr>
              <w:t>]</w:t>
            </w:r>
            <w:r w:rsidRPr="009D1540">
              <w:rPr>
                <w:lang w:val="de-DE"/>
              </w:rPr>
              <w:t xml:space="preserve"> zur Auszahlung gelangen. Der Zinszahlungsbetrag und der Zinszahlungstag sind gemäss den in Unterziffer B. der Ziffer 1.1 enthaltenen Definitionen der Begriffe "Zinszahlungsbetrag" und "Zinszahlungstag(e)"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23D62" w:rsidP="001E3451">
            <w:pPr>
              <w:pStyle w:val="CSBody8ptbolditalics"/>
            </w:pPr>
            <w:r w:rsidRPr="00792D61">
              <w:t>[</w:t>
            </w:r>
            <w:r w:rsidRPr="00423D62">
              <w:t>in the case of Credit-Linked Complex Products with auction settlement, one Interest Payment Date and no Basket, insert:</w:t>
            </w:r>
          </w:p>
        </w:tc>
        <w:tc>
          <w:tcPr>
            <w:tcW w:w="4936" w:type="dxa"/>
            <w:gridSpan w:val="3"/>
            <w:tcBorders>
              <w:top w:val="nil"/>
              <w:bottom w:val="nil"/>
              <w:right w:val="nil"/>
            </w:tcBorders>
            <w:shd w:val="clear" w:color="auto" w:fill="auto"/>
          </w:tcPr>
          <w:p w:rsidR="0017135D" w:rsidRPr="009D1540">
            <w:pPr>
              <w:pStyle w:val="CSBody8ptbolditalics"/>
              <w:rPr>
                <w:lang w:val="de-DE"/>
              </w:rPr>
            </w:pPr>
            <w:r w:rsidRPr="00792D61">
              <w:rPr>
                <w:lang w:val="de-DE"/>
              </w:rPr>
              <w:t>[</w:t>
            </w:r>
            <w:r w:rsidRPr="009D1540">
              <w:rPr>
                <w:lang w:val="de-DE"/>
              </w:rPr>
              <w:t>bei Kreditbezogenen Komplexen Produkten mit Auktionsabwicklung, einem Zinszahlungstag und ohne Korb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00292" w:rsidP="001E3451">
            <w:pPr>
              <w:pStyle w:val="CSBody8pt"/>
            </w:pPr>
            <w:r w:rsidRPr="00400292">
              <w:t xml:space="preserve">Subject to the immediately succeeding paragraph, the Issuer shall pay the Interest Payment Amount per Complex Product on the Interest Payment Date to the Holder thereof, provided that (i) the Complex Products have not been redeemed, repurchased or cancelled on or prior to the Interest Payment Date and (ii) no Credit Event Determination Date </w:t>
            </w:r>
            <w:r w:rsidRPr="00792D61">
              <w:rPr>
                <w:b/>
              </w:rPr>
              <w:t>[</w:t>
            </w:r>
            <w:r w:rsidRPr="009104B6">
              <w:rPr>
                <w:b/>
                <w:i/>
              </w:rPr>
              <w:t>in the case of Complex Products with N</w:t>
            </w:r>
            <w:r w:rsidRPr="00BD6E0D">
              <w:rPr>
                <w:b/>
                <w:i/>
                <w:vertAlign w:val="superscript"/>
              </w:rPr>
              <w:t>th</w:t>
            </w:r>
            <w:r w:rsidRPr="009104B6">
              <w:rPr>
                <w:b/>
                <w:i/>
              </w:rPr>
              <w:t>-to-Default structure, insert:</w:t>
            </w:r>
            <w:r w:rsidRPr="00400292">
              <w:t xml:space="preserve"> with respect to the </w:t>
            </w:r>
            <w:r w:rsidRPr="00792D61">
              <w:rPr>
                <w:b/>
              </w:rPr>
              <w:t>[</w:t>
            </w:r>
            <w:r w:rsidRPr="009104B6">
              <w:rPr>
                <w:b/>
                <w:i/>
              </w:rPr>
              <w:t>insert relevant number:</w:t>
            </w:r>
            <w:r w:rsidRPr="00400292">
              <w:t xml:space="preserve"> </w:t>
            </w:r>
            <w:r w:rsidRPr="00792D61">
              <w:rPr>
                <w:b/>
              </w:rPr>
              <w:t>[</w:t>
            </w:r>
            <w:r w:rsidRPr="00400292">
              <w:t>1st</w:t>
            </w:r>
            <w:r w:rsidRPr="00792D61">
              <w:rPr>
                <w:b/>
              </w:rPr>
              <w:t>][</w:t>
            </w:r>
            <w:r w:rsidRPr="00400292">
              <w:t>2nd</w:t>
            </w:r>
            <w:r w:rsidRPr="00792D61">
              <w:rPr>
                <w:b/>
              </w:rPr>
              <w:t>][</w:t>
            </w:r>
            <w:r w:rsidRPr="00400292">
              <w:t>3rd</w:t>
            </w:r>
            <w:r w:rsidRPr="00792D61">
              <w:rPr>
                <w:b/>
              </w:rPr>
              <w:t>][[</w:t>
            </w:r>
            <w:r w:rsidRPr="00400292">
              <w:rPr>
                <w:rFonts w:ascii="Arial" w:hAnsi="Arial" w:cs="Arial"/>
              </w:rPr>
              <w:t>●</w:t>
            </w:r>
            <w:r w:rsidRPr="00792D61">
              <w:rPr>
                <w:b/>
              </w:rPr>
              <w:t>]]]</w:t>
            </w:r>
            <w:r w:rsidRPr="00400292">
              <w:t>-to-Default Reference Entity</w:t>
            </w:r>
            <w:r w:rsidRPr="00792D61">
              <w:rPr>
                <w:b/>
              </w:rPr>
              <w:t>]</w:t>
            </w:r>
            <w:r w:rsidRPr="00400292">
              <w:t xml:space="preserve"> has occurred prior to the Interest Payment Date. For the avoidance of doubt, it being understood that, if (A) the Complex Products are redeemed, repurchased or cancelled on or prior to the Interest Payment Date or (B) a Credit Event Determination Date </w:t>
            </w:r>
            <w:r w:rsidRPr="00792D61">
              <w:rPr>
                <w:b/>
              </w:rPr>
              <w:t>[</w:t>
            </w:r>
            <w:r w:rsidRPr="009104B6">
              <w:rPr>
                <w:b/>
                <w:i/>
              </w:rPr>
              <w:t>in the case of Complex Products with N</w:t>
            </w:r>
            <w:r w:rsidRPr="00BD6E0D">
              <w:rPr>
                <w:b/>
                <w:i/>
                <w:vertAlign w:val="superscript"/>
              </w:rPr>
              <w:t>th</w:t>
            </w:r>
            <w:r w:rsidRPr="009104B6">
              <w:rPr>
                <w:b/>
                <w:i/>
              </w:rPr>
              <w:t>-to-Default structure, insert:</w:t>
            </w:r>
            <w:r w:rsidRPr="00400292">
              <w:t xml:space="preserve"> with respect to the </w:t>
            </w:r>
            <w:r w:rsidRPr="00792D61">
              <w:rPr>
                <w:b/>
              </w:rPr>
              <w:t>[</w:t>
            </w:r>
            <w:r w:rsidRPr="009104B6">
              <w:rPr>
                <w:b/>
                <w:i/>
              </w:rPr>
              <w:t>insert relevant number:</w:t>
            </w:r>
            <w:r w:rsidRPr="00400292">
              <w:t xml:space="preserve"> </w:t>
            </w:r>
            <w:r w:rsidRPr="00792D61">
              <w:rPr>
                <w:b/>
              </w:rPr>
              <w:t>[</w:t>
            </w:r>
            <w:r w:rsidRPr="00400292">
              <w:t>1st</w:t>
            </w:r>
            <w:r w:rsidRPr="00792D61">
              <w:rPr>
                <w:b/>
              </w:rPr>
              <w:t>][</w:t>
            </w:r>
            <w:r w:rsidRPr="00400292">
              <w:t>2nd</w:t>
            </w:r>
            <w:r w:rsidRPr="00792D61">
              <w:rPr>
                <w:b/>
              </w:rPr>
              <w:t>][</w:t>
            </w:r>
            <w:r w:rsidRPr="00400292">
              <w:t>3rd</w:t>
            </w:r>
            <w:r w:rsidRPr="00792D61">
              <w:rPr>
                <w:b/>
              </w:rPr>
              <w:t>][[</w:t>
            </w:r>
            <w:r w:rsidRPr="00400292">
              <w:rPr>
                <w:rFonts w:ascii="Arial" w:hAnsi="Arial" w:cs="Arial"/>
              </w:rPr>
              <w:t>●</w:t>
            </w:r>
            <w:r w:rsidRPr="00792D61">
              <w:rPr>
                <w:b/>
              </w:rPr>
              <w:t>]]]</w:t>
            </w:r>
            <w:r w:rsidRPr="00400292">
              <w:t>-to-Default Reference Entity</w:t>
            </w:r>
            <w:r w:rsidRPr="00792D61">
              <w:rPr>
                <w:b/>
              </w:rPr>
              <w:t>]</w:t>
            </w:r>
            <w:r w:rsidRPr="00400292">
              <w:t xml:space="preserve"> has occurred prior to the Interest Payment Date, any portion of the Interest Payment Amount that has accrued as of the date of such redemption, repurchase, cancellation or the date on which such Credit Event Determination Date occurred, as the case may be, will </w:t>
            </w:r>
            <w:r w:rsidR="00942F00">
              <w:rPr>
                <w:b/>
              </w:rPr>
              <w:t>[</w:t>
            </w:r>
            <w:r w:rsidRPr="00400292">
              <w:t>not</w:t>
            </w:r>
            <w:r w:rsidR="00942F00">
              <w:rPr>
                <w:b/>
              </w:rPr>
              <w:t>]</w:t>
            </w:r>
            <w:r w:rsidRPr="00400292">
              <w:t xml:space="preserve"> be paid. The Interest Payment Amount and the Interest Payment Date shall be determined in accordance with the definitions of "Interest Payment Amount" and "Interest Payment Date(s)" set forth in subsection B. of Section 1.1.</w:t>
            </w:r>
            <w:r w:rsidRPr="00792D61">
              <w:rPr>
                <w:b/>
              </w:rPr>
              <w:t>]</w:t>
            </w:r>
          </w:p>
        </w:tc>
        <w:tc>
          <w:tcPr>
            <w:tcW w:w="4936" w:type="dxa"/>
            <w:gridSpan w:val="3"/>
            <w:tcBorders>
              <w:top w:val="nil"/>
              <w:bottom w:val="nil"/>
              <w:right w:val="nil"/>
            </w:tcBorders>
            <w:shd w:val="clear" w:color="auto" w:fill="auto"/>
          </w:tcPr>
          <w:p w:rsidR="0017135D" w:rsidRPr="009D1540" w:rsidP="00942F00">
            <w:pPr>
              <w:pStyle w:val="CSBody8pt"/>
              <w:rPr>
                <w:lang w:val="de-DE"/>
              </w:rPr>
            </w:pPr>
            <w:r w:rsidRPr="009D1540">
              <w:rPr>
                <w:lang w:val="de-DE"/>
              </w:rPr>
              <w:t xml:space="preserve">Vorbehaltlich des unmittelbar nachfolgenden Absatzes zahlt die Emittentin den Zinszahlungsbetrag pro Komplexes Produkt am Zinszahlungstag an den jeweiligen Inhaber, sofern (i) die Komplexen Produkte nicht bereits an oder vor dem Zinszahlungstag zurückgezahlt, zurückgekauft oder entwertet wurden und (ii) vor dem Zinszahlungstag kein Kreditereignis-Feststellungstag </w:t>
            </w:r>
            <w:r w:rsidRPr="00792D61">
              <w:rPr>
                <w:b/>
                <w:lang w:val="de-DE"/>
              </w:rPr>
              <w:t>[</w:t>
            </w:r>
            <w:r w:rsidRPr="009104B6">
              <w:rPr>
                <w:b/>
                <w:i/>
                <w:lang w:val="de-DE"/>
              </w:rPr>
              <w:t>bei Komplexen Produkten mit N</w:t>
            </w:r>
            <w:r w:rsidRPr="00BD6E0D">
              <w:rPr>
                <w:b/>
                <w:i/>
                <w:vertAlign w:val="superscript"/>
                <w:lang w:val="de-DE"/>
              </w:rPr>
              <w:t>th</w:t>
            </w:r>
            <w:r w:rsidRPr="009104B6">
              <w:rPr>
                <w:b/>
                <w:i/>
                <w:lang w:val="de-DE"/>
              </w:rPr>
              <w:t>-to-Default-Struktur einfügen:</w:t>
            </w:r>
            <w:r w:rsidRPr="009D1540">
              <w:rPr>
                <w:lang w:val="de-DE"/>
              </w:rPr>
              <w:t xml:space="preserve"> in Bezug auf den </w:t>
            </w:r>
            <w:r w:rsidRPr="00792D61">
              <w:rPr>
                <w:b/>
                <w:lang w:val="de-DE"/>
              </w:rPr>
              <w:t>[</w:t>
            </w:r>
            <w:r w:rsidRPr="0061370C">
              <w:rPr>
                <w:b/>
                <w:i/>
                <w:lang w:val="de-DE"/>
              </w:rPr>
              <w:t>jeweilige Zahl einfügen:</w:t>
            </w:r>
            <w:r w:rsidRPr="009D1540">
              <w:rPr>
                <w:lang w:val="de-DE"/>
              </w:rPr>
              <w:t xml:space="preserve"> </w:t>
            </w:r>
            <w:r w:rsidRPr="00792D61">
              <w:rPr>
                <w:b/>
                <w:lang w:val="de-DE"/>
              </w:rPr>
              <w:t>[</w:t>
            </w:r>
            <w:r w:rsidRPr="009D1540">
              <w:rPr>
                <w:lang w:val="de-DE"/>
              </w:rPr>
              <w:t>1st</w:t>
            </w:r>
            <w:r w:rsidRPr="00792D61">
              <w:rPr>
                <w:b/>
                <w:lang w:val="de-DE"/>
              </w:rPr>
              <w:t>][</w:t>
            </w:r>
            <w:r w:rsidRPr="009D1540">
              <w:rPr>
                <w:lang w:val="de-DE"/>
              </w:rPr>
              <w:t>2nd</w:t>
            </w:r>
            <w:r w:rsidRPr="00792D61">
              <w:rPr>
                <w:b/>
                <w:lang w:val="de-DE"/>
              </w:rPr>
              <w:t>][</w:t>
            </w:r>
            <w:r w:rsidRPr="009D1540">
              <w:rPr>
                <w:lang w:val="de-DE"/>
              </w:rPr>
              <w:t>3rd</w:t>
            </w:r>
            <w:r w:rsidRPr="00792D61">
              <w:rPr>
                <w:b/>
                <w:lang w:val="de-DE"/>
              </w:rPr>
              <w:t>][[</w:t>
            </w:r>
            <w:r w:rsidRPr="009D1540">
              <w:rPr>
                <w:rFonts w:ascii="Arial" w:hAnsi="Arial" w:cs="Arial"/>
                <w:lang w:val="de-DE"/>
              </w:rPr>
              <w:t>●</w:t>
            </w:r>
            <w:r w:rsidRPr="00792D61">
              <w:rPr>
                <w:b/>
                <w:lang w:val="de-DE"/>
              </w:rPr>
              <w:t>]]]</w:t>
            </w:r>
            <w:r w:rsidRPr="009D1540">
              <w:rPr>
                <w:lang w:val="de-DE"/>
              </w:rPr>
              <w:t>-to-Default-Referenzschuldner</w:t>
            </w:r>
            <w:r w:rsidRPr="00792D61">
              <w:rPr>
                <w:b/>
                <w:lang w:val="de-DE"/>
              </w:rPr>
              <w:t>]</w:t>
            </w:r>
            <w:r w:rsidRPr="009D1540">
              <w:rPr>
                <w:lang w:val="de-DE"/>
              </w:rPr>
              <w:t xml:space="preserve"> eingetreten ist. Zur Klarstellung wird festgehalten, dass im Fall (A) einer bzw. eines am oder vor dem Zinszahlungstag erfolgenden Rückzahlung, Rückkaufs oder Entwertung der Komplexen Produkte oder (B) des Eintritts eines Kreditereignis-Feststellungstags </w:t>
            </w:r>
            <w:r w:rsidRPr="00792D61">
              <w:rPr>
                <w:b/>
                <w:lang w:val="de-DE"/>
              </w:rPr>
              <w:t>[</w:t>
            </w:r>
            <w:r w:rsidRPr="009D1540">
              <w:rPr>
                <w:lang w:val="de-DE"/>
              </w:rPr>
              <w:t>b</w:t>
            </w:r>
            <w:r w:rsidRPr="0061370C">
              <w:rPr>
                <w:b/>
                <w:i/>
                <w:lang w:val="de-DE"/>
              </w:rPr>
              <w:t>ei Komplexen Produkten mit N</w:t>
            </w:r>
            <w:r w:rsidRPr="00BD6E0D">
              <w:rPr>
                <w:b/>
                <w:i/>
                <w:vertAlign w:val="superscript"/>
                <w:lang w:val="de-DE"/>
              </w:rPr>
              <w:t>th</w:t>
            </w:r>
            <w:r w:rsidRPr="0061370C">
              <w:rPr>
                <w:b/>
                <w:i/>
                <w:lang w:val="de-DE"/>
              </w:rPr>
              <w:t>-to-Default-Struktur einfügen:</w:t>
            </w:r>
            <w:r w:rsidRPr="009D1540">
              <w:rPr>
                <w:lang w:val="de-DE"/>
              </w:rPr>
              <w:t xml:space="preserve"> in Bezug auf den </w:t>
            </w:r>
            <w:r w:rsidRPr="00792D61">
              <w:rPr>
                <w:b/>
                <w:lang w:val="de-DE"/>
              </w:rPr>
              <w:t>[</w:t>
            </w:r>
            <w:r w:rsidRPr="009104B6">
              <w:rPr>
                <w:b/>
                <w:i/>
                <w:lang w:val="de-DE"/>
              </w:rPr>
              <w:t>jeweilige Zahl einfügen:</w:t>
            </w:r>
            <w:r w:rsidRPr="009D1540">
              <w:rPr>
                <w:lang w:val="de-DE"/>
              </w:rPr>
              <w:t xml:space="preserve"> </w:t>
            </w:r>
            <w:r w:rsidRPr="00792D61">
              <w:rPr>
                <w:b/>
                <w:lang w:val="de-DE"/>
              </w:rPr>
              <w:t>[</w:t>
            </w:r>
            <w:r w:rsidRPr="009D1540">
              <w:rPr>
                <w:lang w:val="de-DE"/>
              </w:rPr>
              <w:t>1st</w:t>
            </w:r>
            <w:r w:rsidRPr="00792D61">
              <w:rPr>
                <w:b/>
                <w:lang w:val="de-DE"/>
              </w:rPr>
              <w:t>]</w:t>
            </w:r>
            <w:r w:rsidRPr="009D1540">
              <w:rPr>
                <w:lang w:val="de-DE"/>
              </w:rPr>
              <w:t xml:space="preserve"> </w:t>
            </w:r>
            <w:r w:rsidRPr="00792D61">
              <w:rPr>
                <w:b/>
                <w:lang w:val="de-DE"/>
              </w:rPr>
              <w:t>[</w:t>
            </w:r>
            <w:r w:rsidRPr="009D1540">
              <w:rPr>
                <w:lang w:val="de-DE"/>
              </w:rPr>
              <w:t>2nd</w:t>
            </w:r>
            <w:r w:rsidRPr="00792D61">
              <w:rPr>
                <w:b/>
                <w:lang w:val="de-DE"/>
              </w:rPr>
              <w:t>][</w:t>
            </w:r>
            <w:r w:rsidRPr="009D1540">
              <w:rPr>
                <w:lang w:val="de-DE"/>
              </w:rPr>
              <w:t>3rd</w:t>
            </w:r>
            <w:r w:rsidRPr="00792D61">
              <w:rPr>
                <w:b/>
                <w:lang w:val="de-DE"/>
              </w:rPr>
              <w:t>][[</w:t>
            </w:r>
            <w:r w:rsidRPr="009D1540">
              <w:rPr>
                <w:rFonts w:ascii="Arial" w:hAnsi="Arial" w:cs="Arial"/>
                <w:lang w:val="de-DE"/>
              </w:rPr>
              <w:t>●</w:t>
            </w:r>
            <w:r w:rsidRPr="00792D61">
              <w:rPr>
                <w:b/>
                <w:lang w:val="de-DE"/>
              </w:rPr>
              <w:t>]]]</w:t>
            </w:r>
            <w:r w:rsidRPr="009D1540">
              <w:rPr>
                <w:lang w:val="de-DE"/>
              </w:rPr>
              <w:t>-to-Default-Referenzschuldner</w:t>
            </w:r>
            <w:r w:rsidRPr="00792D61">
              <w:rPr>
                <w:b/>
                <w:lang w:val="de-DE"/>
              </w:rPr>
              <w:t>]</w:t>
            </w:r>
            <w:r w:rsidRPr="009D1540">
              <w:rPr>
                <w:lang w:val="de-DE"/>
              </w:rPr>
              <w:t xml:space="preserve"> vor dem Zinszahlungstag die Teile des Zinszahlungsbetrags, die zum Termin dieser R</w:t>
            </w:r>
            <w:r w:rsidRPr="009D1540">
              <w:rPr>
                <w:rFonts w:cs="Credit Suisse Type Light"/>
                <w:lang w:val="de-DE"/>
              </w:rPr>
              <w:t>ü</w:t>
            </w:r>
            <w:r w:rsidRPr="009D1540">
              <w:rPr>
                <w:lang w:val="de-DE"/>
              </w:rPr>
              <w:t>ckzahlung, dieses R</w:t>
            </w:r>
            <w:r w:rsidRPr="009D1540">
              <w:rPr>
                <w:rFonts w:cs="Credit Suisse Type Light"/>
                <w:lang w:val="de-DE"/>
              </w:rPr>
              <w:t>ü</w:t>
            </w:r>
            <w:r w:rsidRPr="009D1540">
              <w:rPr>
                <w:lang w:val="de-DE"/>
              </w:rPr>
              <w:t>ckkaufs bzw. dieser Entwertung bzw. zum Termin des Eintritts dieses Kreditereignis-Feststellung</w:t>
            </w:r>
            <w:r>
              <w:rPr>
                <w:lang w:val="de-DE"/>
              </w:rPr>
              <w:t>st</w:t>
            </w:r>
            <w:r w:rsidRPr="009D1540">
              <w:rPr>
                <w:lang w:val="de-DE"/>
              </w:rPr>
              <w:t xml:space="preserve">ags aufgelaufen sind, </w:t>
            </w:r>
            <w:r w:rsidR="00942F00">
              <w:rPr>
                <w:b/>
                <w:lang w:val="de-DE"/>
              </w:rPr>
              <w:t>[</w:t>
            </w:r>
            <w:r w:rsidRPr="00942F00">
              <w:rPr>
                <w:lang w:val="de-DE"/>
              </w:rPr>
              <w:t>nicht</w:t>
            </w:r>
            <w:r w:rsidR="00942F00">
              <w:rPr>
                <w:b/>
                <w:lang w:val="de-DE"/>
              </w:rPr>
              <w:t xml:space="preserve">] </w:t>
            </w:r>
            <w:r w:rsidRPr="009D1540">
              <w:rPr>
                <w:lang w:val="de-DE"/>
              </w:rPr>
              <w:t>zur Auszahlung gelangen. Der Zinszahlungsbetrag und der Zinszahlungstag sind gemäss den in Unterziffer B. der Ziffer 1.1 enthaltenen Definitionen der Begriffe "Zinszahlungsbetrag" und "Zinszahlungstag(e)"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00292" w:rsidP="001E3451">
            <w:pPr>
              <w:pStyle w:val="CSBody8ptbolditalics"/>
            </w:pPr>
            <w:r w:rsidRPr="00792D61">
              <w:t>[</w:t>
            </w:r>
            <w:r w:rsidRPr="00400292">
              <w:t>in the case of Credit-Linked Complex Products with auction settlement and a Basket or Credit-Linked Complex Products with Zero-Recovery feature linked to a Basket and one Interest Payment Date insert:</w:t>
            </w:r>
          </w:p>
        </w:tc>
        <w:tc>
          <w:tcPr>
            <w:tcW w:w="4936" w:type="dxa"/>
            <w:gridSpan w:val="3"/>
            <w:tcBorders>
              <w:top w:val="nil"/>
              <w:bottom w:val="nil"/>
              <w:right w:val="nil"/>
            </w:tcBorders>
            <w:shd w:val="clear" w:color="auto" w:fill="auto"/>
          </w:tcPr>
          <w:p w:rsidR="0017135D" w:rsidRPr="009D1540" w:rsidP="00FC7CBB">
            <w:pPr>
              <w:pStyle w:val="CSBody8ptbolditalics"/>
              <w:rPr>
                <w:lang w:val="de-DE"/>
              </w:rPr>
            </w:pPr>
            <w:r w:rsidRPr="00792D61">
              <w:rPr>
                <w:lang w:val="de-DE"/>
              </w:rPr>
              <w:t>[</w:t>
            </w:r>
            <w:r w:rsidRPr="009D1540">
              <w:rPr>
                <w:lang w:val="de-DE"/>
              </w:rPr>
              <w:t>bei Kreditbezogenen Komplexen Produkten mit Auktionsabwicklung und einem Korb oder Kreditbezogenen Komplexen Produkten mit Zero-Recovery-Merkmal, die an einen Korb gekoppelt sind und einem Zinszahlungstag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00292" w:rsidP="001E3451">
            <w:pPr>
              <w:pStyle w:val="CSBody8pt"/>
            </w:pPr>
            <w:r w:rsidRPr="00400292">
              <w:t>Subject to the immediately succeeding paragraph, the Issuer shall pay the Interest Payment Amount per Complex Product on the Interest Payment Date to the Holder thereof, provided that the Complex Products have not been redeemed, repurchased or cancelled on or prior to the Interest Payment Date. For the avoidance of doubt, it being understood that, if the Complex Products are redeemed, repurchased or cancelled on or prior to the Interest Payment Date any portion of the Interest Payment Amount that has accrued as of the date of such redemption, repurchase, cancellation or the date on which such Credit Event Determination Date occurred, as the case may be, will not be paid. Further, if a Credit Event Determination Date has occurred with respect to any Reference Entity/Entities prior to the Interest Payment Date, the portion(s) of the Principal Amount of the Complex Products equal to the Reference Entity Principal Amount(s) of such Affected Reference Entity/Entities will cease to bear interest and any accrued and unpaid interest on such Reference Entity Principal Amount(s) as of the date on which such Credit Event Determination Date has occurred will be cancelled and not be paid to the Holder thereof on the Interest Payment Date.The Interest Payment Amount and the Interest Payment Date shall be determined in accordance with the definitions of "Interest Payment Amount" and "Interest Payment Date(s)" set forth in subsection B. of Section 1.1.</w:t>
            </w:r>
            <w:r w:rsidRPr="00792D61">
              <w:rPr>
                <w:b/>
              </w:rPr>
              <w:t>]</w:t>
            </w:r>
          </w:p>
        </w:tc>
        <w:tc>
          <w:tcPr>
            <w:tcW w:w="4936" w:type="dxa"/>
            <w:gridSpan w:val="3"/>
            <w:tcBorders>
              <w:top w:val="nil"/>
              <w:bottom w:val="nil"/>
              <w:right w:val="nil"/>
            </w:tcBorders>
            <w:shd w:val="clear" w:color="auto" w:fill="auto"/>
          </w:tcPr>
          <w:p w:rsidR="0017135D" w:rsidRPr="009D1540" w:rsidP="00FC7CBB">
            <w:pPr>
              <w:pStyle w:val="CSBody8pt"/>
              <w:rPr>
                <w:lang w:val="de-DE"/>
              </w:rPr>
            </w:pPr>
            <w:r w:rsidRPr="009D1540">
              <w:rPr>
                <w:lang w:val="de-DE"/>
              </w:rPr>
              <w:t>Vorbehaltlich des unmittelbar nachfolgenden Absatzes zahlt die Emittentin den Zinszahlungsbetrag pro Komplexes Produkt am Zinszahlungstag an den jeweiligen Inhaber, sofern die Komplexen Produkte nicht bereits an oder vor dem Zinszahlungstag zurückgezahlt, zurückgekauft oder entwertet wurden und. Zur Klarstellung wird festgehalten, dass im Fall einer bzw. eines an oder vor dem Zinszahlungstag erfolgenden Rückzahlung, Rückkaufs oder Entwertung der Komplexen Produkte die zum Termin dieser Rückzahlung, dieses Rückkaufs bzw. dieser Entwertung aufgelaufenen Teile des Zinsbetrags nicht zur Auszahlung gelangen. Ausserdem gilt für den Fall des Eintritts eines Kreditereignis-Feststellungstags in Bezug auf einen oder mehrere Referenzschuldner vor dem Zinszahlungstag, dass die Verzinsung des Teils/der Teile des Nennbetrags der Komplexen Produkte, der bzw. die dem Referenzschuldner-Nennbetrag/den Referenzschuldner-Nennbeträgen dieses Betroffenen Referenzschuldners/ dieser Betroffenen Referenzschuldner entspricht bzw. entsprechen, endet und etwaige zum Termin des Eintritts des Kreditereignis-Feststellungstags auf diesen Referenzschuldner-Nennbetrag/ diese Referenzschuldner</w:t>
            </w:r>
            <w:r>
              <w:rPr>
                <w:lang w:val="de-DE"/>
              </w:rPr>
              <w:t>-N</w:t>
            </w:r>
            <w:r w:rsidRPr="009D1540">
              <w:rPr>
                <w:lang w:val="de-DE"/>
              </w:rPr>
              <w:t>ennbeträge aufgelaufene und noch nicht gezahlte Zinsen verfallen und nicht am Zinszahlungstag an den Inhaber dieses Komplexen Produkts gezahlt werden. Der Zinszahlungsbetrag und der Zinszahlungstag sind gemäss den in Unterziffer B. der Ziffer 1.1 enthaltenen Definitionen der Begriffe "Zinszahlungsbetrag" und "Zinszahlungstag(e)"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81268" w:rsidP="001E3451">
            <w:pPr>
              <w:pStyle w:val="CSBody8ptbolditalics"/>
            </w:pPr>
            <w:r w:rsidRPr="00792D61">
              <w:t>[</w:t>
            </w:r>
            <w:r w:rsidRPr="00981268">
              <w:t>in the case of Credit-Linked Complex Products with simplified settlement and one Interest Payment Date, insert:</w:t>
            </w:r>
          </w:p>
        </w:tc>
        <w:tc>
          <w:tcPr>
            <w:tcW w:w="4936" w:type="dxa"/>
            <w:gridSpan w:val="3"/>
            <w:tcBorders>
              <w:top w:val="nil"/>
              <w:bottom w:val="nil"/>
              <w:right w:val="nil"/>
            </w:tcBorders>
            <w:shd w:val="clear" w:color="auto" w:fill="auto"/>
          </w:tcPr>
          <w:p w:rsidR="0017135D" w:rsidRPr="009D1540" w:rsidP="001E3451">
            <w:pPr>
              <w:pStyle w:val="CSBody8ptbolditalics"/>
              <w:rPr>
                <w:lang w:val="de-DE"/>
              </w:rPr>
            </w:pPr>
            <w:r w:rsidRPr="00792D61">
              <w:rPr>
                <w:lang w:val="de-DE"/>
              </w:rPr>
              <w:t>[</w:t>
            </w:r>
            <w:r w:rsidRPr="009D1540">
              <w:rPr>
                <w:lang w:val="de-DE"/>
              </w:rPr>
              <w:t>bei Kreditbezogenen Komplexen Produkten mit vereinfachter Abwicklung und einem Zinszahlungstag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81268" w:rsidP="001E3451">
            <w:pPr>
              <w:pStyle w:val="CSBody8pt"/>
            </w:pPr>
            <w:r w:rsidRPr="00981268">
              <w:t>Subject to the immediately succeeding paragraph, the Issuer shall pay the Interest Payment Amount per Complex Product on the Interest Payment Date to the Holder thereof, provided that (i) the Complex Products have not been redeemed, repurchased or cancelled on or prior to the Interest Payment Date and (ii) no Credit Redemption Event has occurred prior to the Interest Payment Date. For the avoidance of doubt, it being understood that, if (A) the Complex Products are redeemed, repurchased or cancelled on or prior to the Interest Payment Date or (B) a Credit Redemption Event has occurred prior to the Interest Payment Date, any portion of the Interest Payment Amount that has accrued as of the date of such redemption, repurchase, cancellation or the date on which such Credit Redemption Event occurred, as the case may be, will not be paid. The Interest Payment Amount and the Interest Payment Date shall be determined in accordance with the definitions of "Interest Payment Amount" and "Interest Payment Date(s)" set forth in subsection B. of Section 1.1.</w:t>
            </w:r>
            <w:r w:rsidRPr="00792D61">
              <w:rPr>
                <w:b/>
              </w:rPr>
              <w:t>]</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Vorbehaltlich des unmittelbar nachfolgenden Absatzes zahlt die Emittentin den Zinszahlungsbetrag pro Komplexes Produkt am Zinszahlungstag an den jeweiligen Inhaber, sofern (i) die Komplexen Produkte nicht bereits an oder vor dem Zinszahlungstag zurückgezahlt, zurückgekauft oder entwertet wurden und (ii) vor dem Zinszahlungstag kein Kredit-Rückzahlungsereignis eingetreten ist. Zur Klarstellung wird festgehalten, dass im Fall (A) einer bzw. eines an oder vor dem Zinszahlungstag erfolgenden Rückzahlung, Rückkaufs oder Entwertung der Komplexen Produkte oder (B) des Eintritts eines Kredit-Rückzahlungsereignisses vor dem Zinszahlungstag die Teile des Zinszahlungsbetrags, die zum Termin dieser Rückzahlung, dieses Rückkaufs bzw. dieser Entwertung bzw. zum Termin des Eintritts dieses Kredit-Rückzahlungsereignisses aufgelaufen sind, nicht zur Auszahlung gelangen. Der Zinszahlungsbetrag und der Zinszahlungstag sind gemäss den in Unterziffer B. der Ziffer 1.1 enthaltenen Definitionen der Begriffe "Zinszahlungsbetrag" und "Zinszahlungstag(e)"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81268" w:rsidP="00FC7CBB">
            <w:pPr>
              <w:pStyle w:val="CSBody8ptbolditalics"/>
            </w:pPr>
            <w:r w:rsidRPr="00792D61">
              <w:t>[</w:t>
            </w:r>
            <w:r w:rsidRPr="00981268">
              <w:t>in the case of Complex Products other than Credit-Linked Complex Products with multiple Interest Payment Dates, insert:</w:t>
            </w:r>
          </w:p>
        </w:tc>
        <w:tc>
          <w:tcPr>
            <w:tcW w:w="4936" w:type="dxa"/>
            <w:gridSpan w:val="3"/>
            <w:tcBorders>
              <w:top w:val="nil"/>
              <w:bottom w:val="nil"/>
              <w:right w:val="nil"/>
            </w:tcBorders>
            <w:shd w:val="clear" w:color="auto" w:fill="auto"/>
          </w:tcPr>
          <w:p w:rsidR="0017135D" w:rsidRPr="009D1540" w:rsidP="001E3451">
            <w:pPr>
              <w:pStyle w:val="CSBody8ptbolditalics"/>
              <w:rPr>
                <w:lang w:val="de-DE"/>
              </w:rPr>
            </w:pPr>
            <w:r w:rsidRPr="00792D61">
              <w:rPr>
                <w:lang w:val="de-DE"/>
              </w:rPr>
              <w:t>[</w:t>
            </w:r>
            <w:r w:rsidRPr="009D1540">
              <w:rPr>
                <w:lang w:val="de-DE"/>
              </w:rPr>
              <w:t>bei Komplexen Produkten ausser Kreditbezogenen Komplexen Produkten mit mehreren Zinszahlungstagen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B07BC" w:rsidP="001E3451">
            <w:pPr>
              <w:pStyle w:val="CSBody8pt"/>
            </w:pPr>
            <w:r w:rsidRPr="00FB07BC">
              <w:t xml:space="preserve">The Issuer shall pay the </w:t>
            </w:r>
            <w:r w:rsidRPr="00792D61">
              <w:rPr>
                <w:b/>
              </w:rPr>
              <w:t>[</w:t>
            </w:r>
            <w:r w:rsidRPr="00FB07BC">
              <w:t>relevant</w:t>
            </w:r>
            <w:r w:rsidRPr="00792D61">
              <w:rPr>
                <w:b/>
              </w:rPr>
              <w:t>]</w:t>
            </w:r>
            <w:r w:rsidRPr="00FB07BC">
              <w:t xml:space="preserve"> Interest Payment Amount per Complex Product on each Interest Payment Date to the Holder thereof, provided that the Complex Products have not been redeemed, repurchased or cancelled on or prior to such Interest Payment Date. For the avoidance of doubt, it being understood that, if the Complex Products are redeemed, repurchased or cancelled on or prior to the </w:t>
            </w:r>
            <w:r w:rsidRPr="00792D61">
              <w:rPr>
                <w:b/>
              </w:rPr>
              <w:t>[</w:t>
            </w:r>
            <w:r w:rsidRPr="00FB07BC">
              <w:t>relevant</w:t>
            </w:r>
            <w:r w:rsidRPr="00792D61">
              <w:rPr>
                <w:b/>
              </w:rPr>
              <w:t>]</w:t>
            </w:r>
            <w:r w:rsidRPr="00FB07BC">
              <w:t xml:space="preserve"> Interest Payment Date, any portion of the </w:t>
            </w:r>
            <w:r w:rsidRPr="00792D61">
              <w:rPr>
                <w:b/>
              </w:rPr>
              <w:t>[</w:t>
            </w:r>
            <w:r w:rsidRPr="00FB07BC">
              <w:t>relevant</w:t>
            </w:r>
            <w:r w:rsidRPr="00792D61">
              <w:rPr>
                <w:b/>
              </w:rPr>
              <w:t>]</w:t>
            </w:r>
            <w:r w:rsidRPr="00FB07BC">
              <w:t xml:space="preserve"> Interest Payment Amount that would otherwise be due on such Interest Payment Date that has accrued as of the date of such redemption, repurchase or cancellation will </w:t>
            </w:r>
            <w:r w:rsidRPr="00792D61">
              <w:rPr>
                <w:b/>
              </w:rPr>
              <w:t>[</w:t>
            </w:r>
            <w:r w:rsidRPr="00FB07BC">
              <w:t>not</w:t>
            </w:r>
            <w:r w:rsidRPr="00792D61">
              <w:rPr>
                <w:b/>
              </w:rPr>
              <w:t>]</w:t>
            </w:r>
            <w:r w:rsidRPr="00FB07BC">
              <w:t xml:space="preserve"> be paid. The </w:t>
            </w:r>
            <w:r w:rsidRPr="00792D61">
              <w:rPr>
                <w:b/>
              </w:rPr>
              <w:t>[</w:t>
            </w:r>
            <w:r w:rsidRPr="00FB07BC">
              <w:t>relevant</w:t>
            </w:r>
            <w:r w:rsidRPr="00792D61">
              <w:rPr>
                <w:b/>
              </w:rPr>
              <w:t>]</w:t>
            </w:r>
            <w:r w:rsidRPr="00FB07BC">
              <w:t xml:space="preserve"> Interest Payment Amount and Interest Payment Date shall be determined in accordance with the definitions of "Interest Payment Amount" and "Interest Payment Date(s)" set forth in subsection B. of Section 1.1.</w:t>
            </w:r>
            <w:r w:rsidRPr="00792D61">
              <w:rPr>
                <w:b/>
              </w:rPr>
              <w:t>]</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 xml:space="preserve">Die Emittentin zahlt den </w:t>
            </w:r>
            <w:r w:rsidRPr="00792D61">
              <w:rPr>
                <w:b/>
                <w:lang w:val="de-DE"/>
              </w:rPr>
              <w:t>[</w:t>
            </w:r>
            <w:r w:rsidRPr="009D1540">
              <w:rPr>
                <w:lang w:val="de-DE"/>
              </w:rPr>
              <w:t>jeweiligen</w:t>
            </w:r>
            <w:r w:rsidRPr="00792D61">
              <w:rPr>
                <w:b/>
                <w:lang w:val="de-DE"/>
              </w:rPr>
              <w:t>]</w:t>
            </w:r>
            <w:r w:rsidRPr="009D1540">
              <w:rPr>
                <w:lang w:val="de-DE"/>
              </w:rPr>
              <w:t xml:space="preserve"> Zinszahlungsbetrag pro Komplexes Produkt an jedem Zinszahlungstag an den jeweiligen Inhaber, sofern die Komplexen Produkte nicht bereits an oder vor diesem Zinszahlungstag zurückgezahlt, zurückgekauft oder entwertet wurden. Zur Klarstellung wird festgehalten, dass im Fall einer bzw. eines an oder vor dem jeweiligen Zinszahlungstag erfolgenden Rückzahlung, Rückkaufs oder Entwertung der Komplexen Produkte diejenigen Teile des ansonsten an dem jeweiligen Zinszahlungstag fälligen </w:t>
            </w:r>
            <w:r w:rsidRPr="00792D61">
              <w:rPr>
                <w:b/>
                <w:lang w:val="de-DE"/>
              </w:rPr>
              <w:t>[</w:t>
            </w:r>
            <w:r w:rsidRPr="009D1540">
              <w:rPr>
                <w:lang w:val="de-DE"/>
              </w:rPr>
              <w:t>jeweiligen</w:t>
            </w:r>
            <w:r w:rsidRPr="00792D61">
              <w:rPr>
                <w:b/>
                <w:lang w:val="de-DE"/>
              </w:rPr>
              <w:t>]</w:t>
            </w:r>
            <w:r w:rsidRPr="009D1540">
              <w:rPr>
                <w:lang w:val="de-DE"/>
              </w:rPr>
              <w:t xml:space="preserve"> Zinszahlungsbetrags, die zum Termin dieser Rückzahlung, dieses Rückkaufs bzw. dieser Entwertung aufgelaufen sind, </w:t>
            </w:r>
            <w:r w:rsidRPr="00792D61">
              <w:rPr>
                <w:b/>
                <w:lang w:val="de-DE"/>
              </w:rPr>
              <w:t>[</w:t>
            </w:r>
            <w:r w:rsidRPr="009D1540">
              <w:rPr>
                <w:lang w:val="de-DE"/>
              </w:rPr>
              <w:t>nicht</w:t>
            </w:r>
            <w:r w:rsidRPr="00792D61">
              <w:rPr>
                <w:b/>
                <w:lang w:val="de-DE"/>
              </w:rPr>
              <w:t>]</w:t>
            </w:r>
            <w:r w:rsidRPr="009D1540">
              <w:rPr>
                <w:lang w:val="de-DE"/>
              </w:rPr>
              <w:t xml:space="preserve"> zur Auszahlung gelangen. Der </w:t>
            </w:r>
            <w:r w:rsidRPr="00792D61">
              <w:rPr>
                <w:b/>
                <w:lang w:val="de-DE"/>
              </w:rPr>
              <w:t>[</w:t>
            </w:r>
            <w:r w:rsidRPr="009D1540">
              <w:rPr>
                <w:lang w:val="de-DE"/>
              </w:rPr>
              <w:t>jeweilige</w:t>
            </w:r>
            <w:r w:rsidRPr="00792D61">
              <w:rPr>
                <w:b/>
                <w:lang w:val="de-DE"/>
              </w:rPr>
              <w:t>]</w:t>
            </w:r>
            <w:r w:rsidRPr="009D1540">
              <w:rPr>
                <w:lang w:val="de-DE"/>
              </w:rPr>
              <w:t xml:space="preserve"> Zinszahlungsbetrag und der </w:t>
            </w:r>
            <w:r w:rsidRPr="00792D61">
              <w:rPr>
                <w:b/>
                <w:lang w:val="de-DE"/>
              </w:rPr>
              <w:t>[</w:t>
            </w:r>
            <w:r w:rsidRPr="009D1540">
              <w:rPr>
                <w:lang w:val="de-DE"/>
              </w:rPr>
              <w:t>jeweilige</w:t>
            </w:r>
            <w:r w:rsidRPr="00792D61">
              <w:rPr>
                <w:b/>
                <w:lang w:val="de-DE"/>
              </w:rPr>
              <w:t>]</w:t>
            </w:r>
            <w:r w:rsidRPr="009D1540">
              <w:rPr>
                <w:lang w:val="de-DE"/>
              </w:rPr>
              <w:t xml:space="preserve"> Zinszahlungstag sind gemäss den in Unterziffer B. der Ziffer 1.1 enthaltenen Definitionen der Begriffe "Zinszahlungsbetrag" und "Zinszahlungstag(e)"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B07BC" w:rsidP="001E3451">
            <w:pPr>
              <w:pStyle w:val="CSBody8ptbolditalics"/>
            </w:pPr>
            <w:r w:rsidRPr="00792D61">
              <w:t>[</w:t>
            </w:r>
            <w:r w:rsidRPr="00FB07BC">
              <w:t>in the case of Credit-Linked Complex Products with auction settlement, multiple Interest Payment Dates and no Basket, insert:</w:t>
            </w:r>
          </w:p>
        </w:tc>
        <w:tc>
          <w:tcPr>
            <w:tcW w:w="4936" w:type="dxa"/>
            <w:gridSpan w:val="3"/>
            <w:tcBorders>
              <w:top w:val="nil"/>
              <w:bottom w:val="nil"/>
              <w:right w:val="nil"/>
            </w:tcBorders>
            <w:shd w:val="clear" w:color="auto" w:fill="auto"/>
          </w:tcPr>
          <w:p w:rsidR="0017135D" w:rsidRPr="009D1540" w:rsidP="00FC7CBB">
            <w:pPr>
              <w:pStyle w:val="CSBody8ptbolditalics"/>
              <w:rPr>
                <w:lang w:val="de-DE"/>
              </w:rPr>
            </w:pPr>
            <w:r w:rsidRPr="00792D61">
              <w:rPr>
                <w:lang w:val="de-DE"/>
              </w:rPr>
              <w:t>[</w:t>
            </w:r>
            <w:r w:rsidRPr="009D1540">
              <w:rPr>
                <w:lang w:val="de-DE"/>
              </w:rPr>
              <w:t>bei Kreditbezogenen Kom</w:t>
            </w:r>
            <w:r>
              <w:rPr>
                <w:lang w:val="de-DE"/>
              </w:rPr>
              <w:t>plexen Produkten mit Auktionsab</w:t>
            </w:r>
            <w:r w:rsidRPr="009D1540">
              <w:rPr>
                <w:lang w:val="de-DE"/>
              </w:rPr>
              <w:t>wicklung, mehreren Zinszahlungstagen und ohne Korb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B4D66" w:rsidP="001E3451">
            <w:pPr>
              <w:pStyle w:val="CSBody8pt"/>
            </w:pPr>
            <w:r w:rsidRPr="00CB4D66">
              <w:t xml:space="preserve">Subject to the immediately succeeding paragraph, the Issuer shall pay the </w:t>
            </w:r>
            <w:r w:rsidRPr="00792D61">
              <w:rPr>
                <w:b/>
              </w:rPr>
              <w:t>[</w:t>
            </w:r>
            <w:r w:rsidRPr="00CB4D66">
              <w:t>relevant</w:t>
            </w:r>
            <w:r w:rsidRPr="00792D61">
              <w:rPr>
                <w:b/>
              </w:rPr>
              <w:t>]</w:t>
            </w:r>
            <w:r w:rsidRPr="00CB4D66">
              <w:t xml:space="preserve"> Interest Payment Amount per Complex Product on each Interest Payment Date to the Holder thereof, provided that (i) the Complex Products have not been redeemed, repurchased or cancelled on or prior to such Interest Payment Date and (ii) no Credit Event Determination Date </w:t>
            </w:r>
            <w:r w:rsidRPr="00792D61">
              <w:rPr>
                <w:b/>
              </w:rPr>
              <w:t>[</w:t>
            </w:r>
            <w:r w:rsidRPr="00CB4D66">
              <w:rPr>
                <w:b/>
                <w:i/>
              </w:rPr>
              <w:t>in the case of Complex Products with N</w:t>
            </w:r>
            <w:r w:rsidRPr="00BD6E0D">
              <w:rPr>
                <w:b/>
                <w:i/>
                <w:vertAlign w:val="superscript"/>
              </w:rPr>
              <w:t>th</w:t>
            </w:r>
            <w:r w:rsidRPr="00CB4D66">
              <w:rPr>
                <w:b/>
                <w:i/>
              </w:rPr>
              <w:t>-to-Default structure, insert:</w:t>
            </w:r>
            <w:r w:rsidRPr="00CB4D66">
              <w:t xml:space="preserve"> with respect to the </w:t>
            </w:r>
            <w:r w:rsidRPr="00792D61">
              <w:rPr>
                <w:b/>
              </w:rPr>
              <w:t>[</w:t>
            </w:r>
            <w:r w:rsidRPr="00CB4D66">
              <w:rPr>
                <w:b/>
                <w:i/>
              </w:rPr>
              <w:t>insert relevant number:</w:t>
            </w:r>
            <w:r w:rsidRPr="00CB4D66">
              <w:t xml:space="preserve"> </w:t>
            </w:r>
            <w:r w:rsidRPr="00792D61">
              <w:rPr>
                <w:b/>
              </w:rPr>
              <w:t>[</w:t>
            </w:r>
            <w:r w:rsidRPr="00CB4D66">
              <w:t>1st</w:t>
            </w:r>
            <w:r w:rsidRPr="00792D61">
              <w:rPr>
                <w:b/>
              </w:rPr>
              <w:t>][</w:t>
            </w:r>
            <w:r w:rsidRPr="00CB4D66">
              <w:t>2nd</w:t>
            </w:r>
            <w:r w:rsidRPr="00792D61">
              <w:rPr>
                <w:b/>
              </w:rPr>
              <w:t>][</w:t>
            </w:r>
            <w:r w:rsidRPr="00CB4D66">
              <w:t>3rd</w:t>
            </w:r>
            <w:r w:rsidRPr="00792D61">
              <w:rPr>
                <w:b/>
              </w:rPr>
              <w:t>][[</w:t>
            </w:r>
            <w:r w:rsidRPr="00CB4D66">
              <w:rPr>
                <w:rFonts w:ascii="Arial" w:hAnsi="Arial" w:cs="Arial"/>
              </w:rPr>
              <w:t>●</w:t>
            </w:r>
            <w:r w:rsidRPr="00792D61">
              <w:rPr>
                <w:b/>
              </w:rPr>
              <w:t>]]]</w:t>
            </w:r>
            <w:r w:rsidRPr="00CB4D66">
              <w:t>-to-Default Reference Entity</w:t>
            </w:r>
            <w:r w:rsidRPr="00792D61">
              <w:rPr>
                <w:b/>
              </w:rPr>
              <w:t>]</w:t>
            </w:r>
            <w:r w:rsidRPr="00CB4D66">
              <w:t xml:space="preserve"> has occurred prior to such Interest Payment Date. For the avoidance of doubt, it being understood that, if (A) the Complex Products are redeemed, repurchased or cancelled on or prior to the relevant Interest Payment Date or (B) a Credit Event Determination Date </w:t>
            </w:r>
            <w:r w:rsidRPr="00792D61">
              <w:rPr>
                <w:b/>
              </w:rPr>
              <w:t>[</w:t>
            </w:r>
            <w:r w:rsidRPr="00CB4D66">
              <w:rPr>
                <w:b/>
                <w:i/>
              </w:rPr>
              <w:t>in the case of Complex Products with N</w:t>
            </w:r>
            <w:r w:rsidRPr="00BD6E0D">
              <w:rPr>
                <w:b/>
                <w:i/>
                <w:vertAlign w:val="superscript"/>
              </w:rPr>
              <w:t>th</w:t>
            </w:r>
            <w:r w:rsidRPr="00CB4D66">
              <w:rPr>
                <w:b/>
                <w:i/>
              </w:rPr>
              <w:t>-to-Default structure, insert:</w:t>
            </w:r>
            <w:r w:rsidRPr="00CB4D66">
              <w:t xml:space="preserve"> with respect to the </w:t>
            </w:r>
            <w:r w:rsidRPr="00792D61">
              <w:rPr>
                <w:b/>
              </w:rPr>
              <w:t>[</w:t>
            </w:r>
            <w:r w:rsidRPr="00CB4D66">
              <w:rPr>
                <w:b/>
                <w:i/>
              </w:rPr>
              <w:t xml:space="preserve">insert relevant number: </w:t>
            </w:r>
            <w:r w:rsidRPr="00792D61">
              <w:rPr>
                <w:b/>
              </w:rPr>
              <w:t>[</w:t>
            </w:r>
            <w:r w:rsidRPr="00CB4D66">
              <w:t>1st</w:t>
            </w:r>
            <w:r w:rsidRPr="00792D61">
              <w:rPr>
                <w:b/>
              </w:rPr>
              <w:t>][</w:t>
            </w:r>
            <w:r w:rsidRPr="00CB4D66">
              <w:t>2nd</w:t>
            </w:r>
            <w:r w:rsidRPr="00792D61">
              <w:rPr>
                <w:b/>
              </w:rPr>
              <w:t>][</w:t>
            </w:r>
            <w:r w:rsidRPr="00CB4D66">
              <w:t>3rd</w:t>
            </w:r>
            <w:r w:rsidRPr="00792D61">
              <w:rPr>
                <w:b/>
              </w:rPr>
              <w:t>][[</w:t>
            </w:r>
            <w:r w:rsidRPr="00CB4D66">
              <w:rPr>
                <w:rFonts w:ascii="Arial" w:hAnsi="Arial" w:cs="Arial"/>
              </w:rPr>
              <w:t>●</w:t>
            </w:r>
            <w:r w:rsidRPr="00792D61">
              <w:rPr>
                <w:b/>
              </w:rPr>
              <w:t>]]]</w:t>
            </w:r>
            <w:r w:rsidRPr="00CB4D66">
              <w:t>-to-Default Reference Entity</w:t>
            </w:r>
            <w:r w:rsidRPr="00792D61">
              <w:rPr>
                <w:b/>
              </w:rPr>
              <w:t>]</w:t>
            </w:r>
            <w:r w:rsidRPr="00CB4D66">
              <w:t xml:space="preserve"> has occurred prior to the relevant Interest Payment Date, any portion of the </w:t>
            </w:r>
            <w:r w:rsidRPr="00792D61">
              <w:rPr>
                <w:b/>
              </w:rPr>
              <w:t>[</w:t>
            </w:r>
            <w:r w:rsidRPr="00CB4D66">
              <w:t>relevant</w:t>
            </w:r>
            <w:r w:rsidRPr="00792D61">
              <w:rPr>
                <w:b/>
              </w:rPr>
              <w:t>]</w:t>
            </w:r>
            <w:r w:rsidRPr="00CB4D66">
              <w:t xml:space="preserve"> Interest Payment Amount that would otherwise be due on such Interest Payment Date that has accrued as of the date of such redemption, repurchase or cancellation or the date on which such Credit Event Determination Date occurred, as the case may be, will not be paid. The </w:t>
            </w:r>
            <w:r w:rsidRPr="00792D61">
              <w:rPr>
                <w:b/>
              </w:rPr>
              <w:t>[</w:t>
            </w:r>
            <w:r w:rsidRPr="00CB4D66">
              <w:t>relevant</w:t>
            </w:r>
            <w:r w:rsidRPr="00792D61">
              <w:rPr>
                <w:b/>
              </w:rPr>
              <w:t>]</w:t>
            </w:r>
            <w:r w:rsidRPr="00CB4D66">
              <w:t xml:space="preserve"> Interest Payment Amount and Interest Payment Date shall be determined in accordance with the definitions of "Interest Payment Amount" and "Interest Payment Date(s)" set forth in subsection B. of Section 1.1.</w:t>
            </w:r>
            <w:r w:rsidRPr="00792D61">
              <w:rPr>
                <w:b/>
              </w:rPr>
              <w:t>]</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CB4D66">
              <w:rPr>
                <w:lang w:val="de-DE"/>
              </w:rPr>
              <w:t xml:space="preserve">Vorbehaltlich des unmittelbar nachfolgenden Absatzes zahlt die Emittentin den </w:t>
            </w:r>
            <w:r w:rsidRPr="00792D61">
              <w:rPr>
                <w:b/>
                <w:lang w:val="de-DE"/>
              </w:rPr>
              <w:t>[</w:t>
            </w:r>
            <w:r w:rsidRPr="00CB4D66">
              <w:rPr>
                <w:lang w:val="de-DE"/>
              </w:rPr>
              <w:t>jeweiligen</w:t>
            </w:r>
            <w:r w:rsidRPr="00792D61">
              <w:rPr>
                <w:b/>
                <w:lang w:val="de-DE"/>
              </w:rPr>
              <w:t>]</w:t>
            </w:r>
            <w:r w:rsidRPr="00CB4D66">
              <w:rPr>
                <w:lang w:val="de-DE"/>
              </w:rPr>
              <w:t xml:space="preserve"> Zinszahlungsbetrag pro Komplexes Produkt an jedem Zinszahlungstag an den jeweiligen Inhaber, sofern (i) die Komplexen Produkte nicht bereits an oder vor diesem Zinszahlungstag zurückgezahlt, zurückgekauft oder entwertet wurden und (ii) vor diesem Zinszahlungstag kein Kreditereignis-Feststellungstag </w:t>
            </w:r>
            <w:r w:rsidRPr="00792D61">
              <w:rPr>
                <w:b/>
                <w:lang w:val="de-DE"/>
              </w:rPr>
              <w:t>[</w:t>
            </w:r>
            <w:r w:rsidRPr="00CB4D66">
              <w:rPr>
                <w:b/>
                <w:i/>
                <w:lang w:val="de-DE"/>
              </w:rPr>
              <w:t>bei Komplexen Produkten mit N</w:t>
            </w:r>
            <w:r w:rsidRPr="00BD6E0D">
              <w:rPr>
                <w:b/>
                <w:i/>
                <w:vertAlign w:val="superscript"/>
                <w:lang w:val="de-DE"/>
              </w:rPr>
              <w:t>th</w:t>
            </w:r>
            <w:r w:rsidRPr="00CB4D66">
              <w:rPr>
                <w:b/>
                <w:i/>
                <w:lang w:val="de-DE"/>
              </w:rPr>
              <w:t>-to-Default-Struktur einfügen:</w:t>
            </w:r>
            <w:r w:rsidRPr="00CB4D66">
              <w:rPr>
                <w:lang w:val="de-DE"/>
              </w:rPr>
              <w:t xml:space="preserve"> in Bezug auf den </w:t>
            </w:r>
            <w:r w:rsidRPr="00792D61">
              <w:rPr>
                <w:b/>
                <w:lang w:val="de-DE"/>
              </w:rPr>
              <w:t>[</w:t>
            </w:r>
            <w:r w:rsidRPr="00CB4D66">
              <w:rPr>
                <w:b/>
                <w:i/>
                <w:lang w:val="de-DE"/>
              </w:rPr>
              <w:t>jeweilige Zahl einfügen:</w:t>
            </w:r>
            <w:r w:rsidRPr="00CB4D66">
              <w:rPr>
                <w:lang w:val="de-DE"/>
              </w:rPr>
              <w:t xml:space="preserve"> </w:t>
            </w:r>
            <w:r w:rsidRPr="00792D61">
              <w:rPr>
                <w:b/>
                <w:lang w:val="de-DE"/>
              </w:rPr>
              <w:t>[</w:t>
            </w:r>
            <w:r w:rsidRPr="00CB4D66">
              <w:rPr>
                <w:lang w:val="de-DE"/>
              </w:rPr>
              <w:t>1st</w:t>
            </w:r>
            <w:r w:rsidRPr="00792D61">
              <w:rPr>
                <w:b/>
                <w:lang w:val="de-DE"/>
              </w:rPr>
              <w:t>][</w:t>
            </w:r>
            <w:r w:rsidRPr="00CB4D66">
              <w:rPr>
                <w:lang w:val="de-DE"/>
              </w:rPr>
              <w:t>2nd</w:t>
            </w:r>
            <w:r w:rsidRPr="00792D61">
              <w:rPr>
                <w:b/>
                <w:lang w:val="de-DE"/>
              </w:rPr>
              <w:t>][</w:t>
            </w:r>
            <w:r w:rsidRPr="00CB4D66">
              <w:rPr>
                <w:lang w:val="de-DE"/>
              </w:rPr>
              <w:t>3rd</w:t>
            </w:r>
            <w:r w:rsidRPr="00792D61">
              <w:rPr>
                <w:b/>
                <w:lang w:val="de-DE"/>
              </w:rPr>
              <w:t>][[</w:t>
            </w:r>
            <w:r w:rsidRPr="00CB4D66">
              <w:rPr>
                <w:rFonts w:ascii="Arial" w:hAnsi="Arial" w:cs="Arial"/>
                <w:lang w:val="de-DE"/>
              </w:rPr>
              <w:t>●</w:t>
            </w:r>
            <w:r w:rsidRPr="00792D61">
              <w:rPr>
                <w:b/>
                <w:lang w:val="de-DE"/>
              </w:rPr>
              <w:t>]]]</w:t>
            </w:r>
            <w:r w:rsidRPr="00CB4D66">
              <w:rPr>
                <w:lang w:val="de-DE"/>
              </w:rPr>
              <w:t>-to-Default-Referenz-schuldner</w:t>
            </w:r>
            <w:r w:rsidRPr="00792D61">
              <w:rPr>
                <w:b/>
                <w:lang w:val="de-DE"/>
              </w:rPr>
              <w:t>]</w:t>
            </w:r>
            <w:r w:rsidRPr="00CB4D66">
              <w:rPr>
                <w:lang w:val="de-DE"/>
              </w:rPr>
              <w:t xml:space="preserve"> eingetreten ist. Zur Klarstellung wird festgehalten, dass im Fall (i) einer bzw. eines an oder vor dem jeweiligen Zinszahlungstag erfolgenden Rückzahlung, Rückkaufs oder Entwertung der Komplexen Produkte oder (ii) des Eintritts eines Kreditereignis-Feststellungstags </w:t>
            </w:r>
            <w:r w:rsidRPr="00792D61">
              <w:rPr>
                <w:b/>
                <w:lang w:val="de-DE"/>
              </w:rPr>
              <w:t>[</w:t>
            </w:r>
            <w:r w:rsidRPr="00CB4D66">
              <w:rPr>
                <w:b/>
                <w:i/>
                <w:lang w:val="de-DE"/>
              </w:rPr>
              <w:t>bei Komplexen Produkten mit N</w:t>
            </w:r>
            <w:r w:rsidRPr="00BD6E0D">
              <w:rPr>
                <w:b/>
                <w:i/>
                <w:vertAlign w:val="superscript"/>
                <w:lang w:val="de-DE"/>
              </w:rPr>
              <w:t>th</w:t>
            </w:r>
            <w:r w:rsidRPr="00CB4D66">
              <w:rPr>
                <w:b/>
                <w:i/>
                <w:lang w:val="de-DE"/>
              </w:rPr>
              <w:t>-to-Default-Struktur einfügen:</w:t>
            </w:r>
            <w:r w:rsidRPr="00CB4D66">
              <w:rPr>
                <w:lang w:val="de-DE"/>
              </w:rPr>
              <w:t xml:space="preserve"> in Bezug auf den </w:t>
            </w:r>
            <w:r w:rsidRPr="00792D61">
              <w:rPr>
                <w:b/>
                <w:lang w:val="de-DE"/>
              </w:rPr>
              <w:t>[</w:t>
            </w:r>
            <w:r w:rsidRPr="00CB4D66">
              <w:rPr>
                <w:b/>
                <w:i/>
                <w:lang w:val="de-DE"/>
              </w:rPr>
              <w:t>jeweilige Zahl einfügen:</w:t>
            </w:r>
            <w:r w:rsidRPr="00CB4D66">
              <w:rPr>
                <w:lang w:val="de-DE"/>
              </w:rPr>
              <w:t xml:space="preserve"> </w:t>
            </w:r>
            <w:r w:rsidRPr="00792D61">
              <w:rPr>
                <w:b/>
                <w:lang w:val="de-DE"/>
              </w:rPr>
              <w:t>[</w:t>
            </w:r>
            <w:r w:rsidRPr="00CB4D66">
              <w:rPr>
                <w:lang w:val="de-DE"/>
              </w:rPr>
              <w:t>1st</w:t>
            </w:r>
            <w:r w:rsidRPr="00792D61">
              <w:rPr>
                <w:b/>
                <w:lang w:val="de-DE"/>
              </w:rPr>
              <w:t>][</w:t>
            </w:r>
            <w:r w:rsidRPr="00CB4D66">
              <w:rPr>
                <w:lang w:val="de-DE"/>
              </w:rPr>
              <w:t>2nd</w:t>
            </w:r>
            <w:r w:rsidRPr="00792D61">
              <w:rPr>
                <w:b/>
                <w:lang w:val="de-DE"/>
              </w:rPr>
              <w:t>][</w:t>
            </w:r>
            <w:r w:rsidRPr="00CB4D66">
              <w:rPr>
                <w:lang w:val="de-DE"/>
              </w:rPr>
              <w:t>3rd</w:t>
            </w:r>
            <w:r w:rsidRPr="00792D61">
              <w:rPr>
                <w:b/>
                <w:lang w:val="de-DE"/>
              </w:rPr>
              <w:t>][[</w:t>
            </w:r>
            <w:r w:rsidRPr="00CB4D66">
              <w:rPr>
                <w:rFonts w:ascii="Arial" w:hAnsi="Arial" w:cs="Arial"/>
                <w:lang w:val="de-DE"/>
              </w:rPr>
              <w:t>●</w:t>
            </w:r>
            <w:r w:rsidRPr="00792D61">
              <w:rPr>
                <w:b/>
                <w:lang w:val="de-DE"/>
              </w:rPr>
              <w:t>]]]</w:t>
            </w:r>
            <w:r w:rsidRPr="00CB4D66">
              <w:rPr>
                <w:lang w:val="de-DE"/>
              </w:rPr>
              <w:t>-to-Default-Referenzschuldner</w:t>
            </w:r>
            <w:r w:rsidRPr="00792D61">
              <w:rPr>
                <w:b/>
                <w:lang w:val="de-DE"/>
              </w:rPr>
              <w:t>]</w:t>
            </w:r>
            <w:r w:rsidRPr="00CB4D66">
              <w:rPr>
                <w:lang w:val="de-DE"/>
              </w:rPr>
              <w:t xml:space="preserve"> vor dem jeweiligen Zinszahlungstag diejenigen Teile des ansonsten an diesem Zinszahlungstag fälligen </w:t>
            </w:r>
            <w:r w:rsidRPr="00792D61">
              <w:rPr>
                <w:b/>
                <w:lang w:val="de-DE"/>
              </w:rPr>
              <w:t>[</w:t>
            </w:r>
            <w:r w:rsidRPr="00CB4D66">
              <w:rPr>
                <w:lang w:val="de-DE"/>
              </w:rPr>
              <w:t>jeweiligen</w:t>
            </w:r>
            <w:r w:rsidRPr="00792D61">
              <w:rPr>
                <w:b/>
                <w:lang w:val="de-DE"/>
              </w:rPr>
              <w:t>]</w:t>
            </w:r>
            <w:r w:rsidRPr="00CB4D66">
              <w:rPr>
                <w:lang w:val="de-DE"/>
              </w:rPr>
              <w:t xml:space="preserve"> Zinszahlungsbetrags, die zum Termin dieser Rückzahlung, dieses Rückkaufs bzw. dieser Entwertung bzw. zum Termin des Eintritts dieses Kreditereignis-Feststellungstags aufgelaufen sind, nicht zur Auszahlung gelangen. Der </w:t>
            </w:r>
            <w:r w:rsidRPr="00792D61">
              <w:rPr>
                <w:b/>
                <w:lang w:val="de-DE"/>
              </w:rPr>
              <w:t>[</w:t>
            </w:r>
            <w:r w:rsidRPr="00CB4D66">
              <w:rPr>
                <w:lang w:val="de-DE"/>
              </w:rPr>
              <w:t>jeweilige</w:t>
            </w:r>
            <w:r w:rsidRPr="00792D61">
              <w:rPr>
                <w:b/>
                <w:lang w:val="de-DE"/>
              </w:rPr>
              <w:t>]</w:t>
            </w:r>
            <w:r w:rsidRPr="00CB4D66">
              <w:rPr>
                <w:lang w:val="de-DE"/>
              </w:rPr>
              <w:t xml:space="preserve"> Zinszahlungsbetrag und der </w:t>
            </w:r>
            <w:r w:rsidRPr="00792D61">
              <w:rPr>
                <w:b/>
                <w:lang w:val="de-DE"/>
              </w:rPr>
              <w:t>[</w:t>
            </w:r>
            <w:r w:rsidRPr="00CB4D66">
              <w:rPr>
                <w:lang w:val="de-DE"/>
              </w:rPr>
              <w:t>jeweilige</w:t>
            </w:r>
            <w:r w:rsidRPr="00792D61">
              <w:rPr>
                <w:b/>
                <w:lang w:val="de-DE"/>
              </w:rPr>
              <w:t>]</w:t>
            </w:r>
            <w:r w:rsidRPr="00CB4D66">
              <w:rPr>
                <w:lang w:val="de-DE"/>
              </w:rPr>
              <w:t xml:space="preserve"> Zinszahlungstag sind gemäss den in Unterziffer B. der Ziffer 1.1 enthaltenen Definitionen der Begriffe "Zinszahlungsbetrag" und "Zinszahlungstag(e)"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80FF6" w:rsidP="001E3451">
            <w:pPr>
              <w:pStyle w:val="CSBody8ptbolditalics"/>
            </w:pPr>
            <w:r w:rsidRPr="00792D61">
              <w:t>[</w:t>
            </w:r>
            <w:r w:rsidRPr="00380FF6">
              <w:t>in the case of Credit-Linked Complex Products with auction settlement and a Basket or Credit-Linked Complex Products with Zero-Recovery feature linked to a Basket and multiple Interest Payment Dates, insert:</w:t>
            </w:r>
          </w:p>
        </w:tc>
        <w:tc>
          <w:tcPr>
            <w:tcW w:w="4936" w:type="dxa"/>
            <w:gridSpan w:val="3"/>
            <w:tcBorders>
              <w:top w:val="nil"/>
              <w:bottom w:val="nil"/>
              <w:right w:val="nil"/>
            </w:tcBorders>
            <w:shd w:val="clear" w:color="auto" w:fill="auto"/>
          </w:tcPr>
          <w:p w:rsidR="0017135D" w:rsidRPr="009D1540">
            <w:pPr>
              <w:pStyle w:val="CSBody8ptbolditalics"/>
              <w:rPr>
                <w:lang w:val="de-DE"/>
              </w:rPr>
            </w:pPr>
            <w:r w:rsidRPr="00792D61">
              <w:rPr>
                <w:lang w:val="de-DE"/>
              </w:rPr>
              <w:t>[</w:t>
            </w:r>
            <w:r w:rsidRPr="009D1540">
              <w:rPr>
                <w:lang w:val="de-DE"/>
              </w:rPr>
              <w:t>bei Kreditbezogenen Komplexen Produkten mit Auktionsabwicklung und einem Korb oder Kreditbezogenen Komplexen Produkten mit Zero-Recovery-Merkmal, die an einen Korb gekoppelt sind, und mehreren Zinszahlungstagen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80FF6" w:rsidP="001E3451">
            <w:pPr>
              <w:pStyle w:val="CSBody8pt"/>
            </w:pPr>
            <w:r w:rsidRPr="00380FF6">
              <w:t xml:space="preserve">Subject to the immediately succeeding paragraph, the Issuer shall pay the </w:t>
            </w:r>
            <w:r w:rsidRPr="00792D61">
              <w:rPr>
                <w:b/>
              </w:rPr>
              <w:t>[</w:t>
            </w:r>
            <w:r w:rsidRPr="00380FF6">
              <w:t>relevant</w:t>
            </w:r>
            <w:r w:rsidRPr="00792D61">
              <w:rPr>
                <w:b/>
              </w:rPr>
              <w:t>]</w:t>
            </w:r>
            <w:r w:rsidRPr="00380FF6">
              <w:t xml:space="preserve"> Interest Payment Amount per Complex Product on each Interest Payment Date to the Holder thereof, provided that the Complex Products have not been redeemed, repurchased or cancelled on or prior to such Interest Payment Date. For the avoidance of doubt, it being understood that, if the Complex Products are redeemed, repurchased or cancelled on or prior to the relevant Interest Payment Date any portion of the </w:t>
            </w:r>
            <w:r w:rsidRPr="00792D61">
              <w:rPr>
                <w:b/>
              </w:rPr>
              <w:t>[</w:t>
            </w:r>
            <w:r w:rsidRPr="00380FF6">
              <w:t>relevant</w:t>
            </w:r>
            <w:r w:rsidRPr="00792D61">
              <w:rPr>
                <w:b/>
              </w:rPr>
              <w:t>]</w:t>
            </w:r>
            <w:r w:rsidRPr="00380FF6">
              <w:t xml:space="preserve"> Interest Payment Amount that would otherwise be due on such Interest Payment Date that has accrued as of the date of such redemption, repurchase or cancellation will not be paid. Further, if a Credit Event Determination Date has occurred with respect to any Reference Entity/Entities prior to an Interest Payment Date, the portion(s) of the Principal Amount of the Complex Products equal to the Reference Entity Principal Amount(s) of such Affected Reference Entity/Entities will cease to bear interest and any accrued and unpaid interest on such Reference Entity Principal Amount(s) as of the date on which such Credit Event Determination Date has occurred will be cancelled and not be paid to the Holder thereof on the relevant Interest Payment Date.The </w:t>
            </w:r>
            <w:r w:rsidRPr="00792D61">
              <w:rPr>
                <w:b/>
              </w:rPr>
              <w:t>[</w:t>
            </w:r>
            <w:r w:rsidRPr="00380FF6">
              <w:t>relevant</w:t>
            </w:r>
            <w:r w:rsidRPr="00792D61">
              <w:rPr>
                <w:b/>
              </w:rPr>
              <w:t>]</w:t>
            </w:r>
            <w:r w:rsidRPr="00380FF6">
              <w:t xml:space="preserve"> Interest Payment Amount and the Interest Payment Date shall be determined in accordance with the definitions of "Interest Payment Amount" and "Interest Payment Date(s)" set forth in subsection B. of Section 1.1.</w:t>
            </w:r>
            <w:r w:rsidRPr="00792D61">
              <w:rPr>
                <w:b/>
              </w:rPr>
              <w:t>]</w:t>
            </w:r>
          </w:p>
        </w:tc>
        <w:tc>
          <w:tcPr>
            <w:tcW w:w="4936" w:type="dxa"/>
            <w:gridSpan w:val="3"/>
            <w:tcBorders>
              <w:top w:val="nil"/>
              <w:bottom w:val="nil"/>
              <w:right w:val="nil"/>
            </w:tcBorders>
            <w:shd w:val="clear" w:color="auto" w:fill="auto"/>
          </w:tcPr>
          <w:p w:rsidR="0017135D" w:rsidRPr="009D1540">
            <w:pPr>
              <w:pStyle w:val="CSBody8pt"/>
              <w:rPr>
                <w:lang w:val="de-DE"/>
              </w:rPr>
            </w:pPr>
            <w:r w:rsidRPr="009D1540">
              <w:rPr>
                <w:lang w:val="de-DE"/>
              </w:rPr>
              <w:t xml:space="preserve">Vorbehaltlich des unmittelbar nachfolgenden Absatzes zahlt die Emittentin den </w:t>
            </w:r>
            <w:r w:rsidRPr="00792D61">
              <w:rPr>
                <w:b/>
                <w:lang w:val="de-DE"/>
              </w:rPr>
              <w:t>[</w:t>
            </w:r>
            <w:r w:rsidRPr="009D1540">
              <w:rPr>
                <w:lang w:val="de-DE"/>
              </w:rPr>
              <w:t>jeweiligen</w:t>
            </w:r>
            <w:r w:rsidRPr="00792D61">
              <w:rPr>
                <w:b/>
                <w:lang w:val="de-DE"/>
              </w:rPr>
              <w:t>]</w:t>
            </w:r>
            <w:r w:rsidRPr="009D1540">
              <w:rPr>
                <w:lang w:val="de-DE"/>
              </w:rPr>
              <w:t xml:space="preserve"> Zinszahlungsbetrag pro Komplexes Produkt an jedem Zinszahlungstag an den jeweiligen Inhaber, sofern die Komplexen Produkte nicht bereits an oder vor diesem Zinszahlungstag zurückgezahlt, zurückgekauft oder entwertet wurden. Zur Klarstellung wird festgehalten, dass im Fall einer bzw. eines an oder vor diesem Zinszahlungstag erfolgenden Rückzahlung, Rückkaufs oder Entwertung der Komplexen Produkte diejenigen zum Termin dieser Rückzahlung, dieses Rückkaufs bzw. dieser Entwertung aufgelaufenen Teile des ansonsten an diesem Zinszahlungstag fälligen </w:t>
            </w:r>
            <w:r w:rsidRPr="00792D61">
              <w:rPr>
                <w:b/>
                <w:lang w:val="de-DE"/>
              </w:rPr>
              <w:t>[</w:t>
            </w:r>
            <w:r w:rsidRPr="009D1540">
              <w:rPr>
                <w:lang w:val="de-DE"/>
              </w:rPr>
              <w:t>jeweiligen</w:t>
            </w:r>
            <w:r w:rsidRPr="00792D61">
              <w:rPr>
                <w:b/>
                <w:lang w:val="de-DE"/>
              </w:rPr>
              <w:t>]</w:t>
            </w:r>
            <w:r w:rsidRPr="009D1540">
              <w:rPr>
                <w:lang w:val="de-DE"/>
              </w:rPr>
              <w:t xml:space="preserve"> Zins-zahlungsbetrags nicht zur Auszahlung gelangen. Ausserdem gilt für den Fall des Eintritts eines Kreditereignis-Feststellungstags in Bezug auf einen oder mehrere Referenzschuldner vor einem Zinszahlungstag, dass die Verzinsung des Teils/der Teile des Nennbetrags der Komplexen Produkte, der bzw. die dem Referenzschuldner-Nennbetrag/den Referenzschuldner-Nennbeträgen dieses Betroffenen Referenzschuldners/ dieser Betroffenen Referenzschuldner entspricht bzw. entsprechen, endet und etwaige zum Termin des Eintritts des Kreditereignis-Feststellungstags auf diesen Referenzschuldner-Nennbetrag/ diese Referenzschuldner</w:t>
            </w:r>
            <w:r w:rsidR="0036261D">
              <w:rPr>
                <w:lang w:val="de-DE"/>
              </w:rPr>
              <w:t>-N</w:t>
            </w:r>
            <w:r w:rsidRPr="009D1540">
              <w:rPr>
                <w:lang w:val="de-DE"/>
              </w:rPr>
              <w:t xml:space="preserve">ennbeträge aufgelaufene und noch nicht gezahlte Zinsen verfallen und nicht am jeweiligen Zinszahlungstag an den Inhaber dieses Komplexen Produkts gezahlt werden.Der </w:t>
            </w:r>
            <w:r w:rsidRPr="00792D61">
              <w:rPr>
                <w:b/>
                <w:lang w:val="de-DE"/>
              </w:rPr>
              <w:t>[</w:t>
            </w:r>
            <w:r w:rsidRPr="009D1540">
              <w:rPr>
                <w:lang w:val="de-DE"/>
              </w:rPr>
              <w:t>jeweilige</w:t>
            </w:r>
            <w:r w:rsidRPr="00792D61">
              <w:rPr>
                <w:b/>
                <w:lang w:val="de-DE"/>
              </w:rPr>
              <w:t>]</w:t>
            </w:r>
            <w:r w:rsidRPr="009D1540">
              <w:rPr>
                <w:lang w:val="de-DE"/>
              </w:rPr>
              <w:t xml:space="preserve"> Zinszahlungsbetrag und der Zinszahlungstag sind gemäss den in Unterziffer B. der Ziffer 1.1 enthaltenen Definitionen der Begriffe "Zinszahlungsbetrag" und "Zinszahlungstag(e)"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A71BB" w:rsidP="0061370C">
            <w:pPr>
              <w:pStyle w:val="CSBody8ptbolditalics"/>
            </w:pPr>
            <w:r w:rsidRPr="00792D61">
              <w:t>[</w:t>
            </w:r>
            <w:r w:rsidRPr="00FA71BB">
              <w:t>in the case of Credit-Linked Complex Products with simplified settlement and multiple Interest Payment Dates:</w:t>
            </w:r>
          </w:p>
        </w:tc>
        <w:tc>
          <w:tcPr>
            <w:tcW w:w="4936" w:type="dxa"/>
            <w:gridSpan w:val="3"/>
            <w:tcBorders>
              <w:top w:val="nil"/>
              <w:bottom w:val="nil"/>
              <w:right w:val="nil"/>
            </w:tcBorders>
            <w:shd w:val="clear" w:color="auto" w:fill="auto"/>
          </w:tcPr>
          <w:p w:rsidR="0017135D" w:rsidRPr="009D1540" w:rsidP="0061370C">
            <w:pPr>
              <w:pStyle w:val="CSBody8ptbolditalics"/>
              <w:rPr>
                <w:lang w:val="de-DE"/>
              </w:rPr>
            </w:pPr>
            <w:r w:rsidRPr="00792D61">
              <w:rPr>
                <w:lang w:val="de-DE"/>
              </w:rPr>
              <w:t>[</w:t>
            </w:r>
            <w:r w:rsidRPr="009D1540">
              <w:rPr>
                <w:lang w:val="de-DE"/>
              </w:rPr>
              <w:t>bei Kreditbezogenen Komplexen Produkten mit vereinfachter Abwicklung und mehreren Zinszahlungstagen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A71BB" w:rsidP="001E3451">
            <w:pPr>
              <w:pStyle w:val="CSBody8pt"/>
            </w:pPr>
            <w:r w:rsidRPr="00FA71BB">
              <w:t xml:space="preserve">Subject to the immediately succeeding paragraph, the Issuer shall pay the </w:t>
            </w:r>
            <w:r w:rsidRPr="00792D61">
              <w:rPr>
                <w:b/>
              </w:rPr>
              <w:t>[</w:t>
            </w:r>
            <w:r w:rsidRPr="00FA71BB">
              <w:t>relevant</w:t>
            </w:r>
            <w:r w:rsidRPr="00792D61">
              <w:rPr>
                <w:b/>
              </w:rPr>
              <w:t>]</w:t>
            </w:r>
            <w:r w:rsidRPr="00FA71BB">
              <w:t xml:space="preserve"> Interest Payment Amount per Complex Product on each Interest Payment Date to the Holder thereof, provided that (i) the Complex Products have not been redeemed, repurchased or cancelled on or prior to such Interest Payment Date and (ii) no Credit Redemption Event has occurredprior to such Interest Payment Date. For the avoidance of doubt, it being understood that, if (A) the Complex Products are redeemed, repurchased or cancelled on or prior to the relevant Interest Payment Date or (B) a Credit Redemption Event has occurred prior to the relevant Interest Payment Date, any portion of the </w:t>
            </w:r>
            <w:r w:rsidRPr="00792D61">
              <w:rPr>
                <w:b/>
              </w:rPr>
              <w:t>[</w:t>
            </w:r>
            <w:r w:rsidRPr="00FA71BB">
              <w:t>relevant</w:t>
            </w:r>
            <w:r w:rsidRPr="00792D61">
              <w:rPr>
                <w:b/>
              </w:rPr>
              <w:t>]</w:t>
            </w:r>
            <w:r w:rsidRPr="00FA71BB">
              <w:t xml:space="preserve"> Interest Payment Amount that would otherwise be due on such Interest Payment Date that has accrued as of the date of such redemption, repurchase or cancellation or the date on which such Credit Redemption Event occurred, as the case may be, will not be paid. The </w:t>
            </w:r>
            <w:r w:rsidRPr="00792D61">
              <w:rPr>
                <w:b/>
              </w:rPr>
              <w:t>[</w:t>
            </w:r>
            <w:r w:rsidRPr="00FA71BB">
              <w:t>relevant</w:t>
            </w:r>
            <w:r w:rsidRPr="00792D61">
              <w:rPr>
                <w:b/>
              </w:rPr>
              <w:t>]</w:t>
            </w:r>
            <w:r w:rsidRPr="00FA71BB">
              <w:t xml:space="preserve"> Interest Payment Amount and Interest Payment Date shall be determined in accordance with the definitions of "Interest Payment Amount" and "Interest Payment Date(s)" set forth in subsection B. of Section 1.1.</w:t>
            </w:r>
            <w:r w:rsidRPr="00792D61">
              <w:rPr>
                <w:b/>
              </w:rPr>
              <w:t>]</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 xml:space="preserve">Vorbehaltlich des unmittelbar nachfolgenden Absatzes zahlt die Emittentin den </w:t>
            </w:r>
            <w:r w:rsidRPr="00792D61">
              <w:rPr>
                <w:b/>
                <w:lang w:val="de-DE"/>
              </w:rPr>
              <w:t>[</w:t>
            </w:r>
            <w:r w:rsidRPr="009D1540">
              <w:rPr>
                <w:lang w:val="de-DE"/>
              </w:rPr>
              <w:t>jeweiligen</w:t>
            </w:r>
            <w:r w:rsidRPr="00792D61">
              <w:rPr>
                <w:b/>
                <w:lang w:val="de-DE"/>
              </w:rPr>
              <w:t>]</w:t>
            </w:r>
            <w:r w:rsidRPr="009D1540">
              <w:rPr>
                <w:lang w:val="de-DE"/>
              </w:rPr>
              <w:t xml:space="preserve"> Zinszahlungsbetrag pro Komplexes Produkt an jedem Zinszahlungstag an den jeweiligen Inhaber, sofern (i) die Komplexen Produkte nicht bereits an oder vor diesem Zinszahlungstag zurückgezahlt, zurückgekauft oder entwertet wurden und (ii) vor diesem Zinszahlungstag kein Kredit-Rückzahlungsereignis eingetreten ist. Zur Klarstellung wird festgehalten, dass im Fall (A) einer bzw. eines an oder vor dem jeweiligen Zinszahlungstag erfolgenden Rückzahlung, Rückkaufs oder Entwertung der Komplexen Produkte oder (B) des Eintritts eines Kredit-Rückzahlungsereignisses vor dem jeweiligen Zinszahlungstag die Teile des </w:t>
            </w:r>
            <w:r w:rsidRPr="00792D61">
              <w:rPr>
                <w:b/>
                <w:lang w:val="de-DE"/>
              </w:rPr>
              <w:t>[</w:t>
            </w:r>
            <w:r w:rsidRPr="009D1540">
              <w:rPr>
                <w:lang w:val="de-DE"/>
              </w:rPr>
              <w:t>jeweiligen</w:t>
            </w:r>
            <w:r w:rsidRPr="00792D61">
              <w:rPr>
                <w:b/>
                <w:lang w:val="de-DE"/>
              </w:rPr>
              <w:t>]</w:t>
            </w:r>
            <w:r w:rsidRPr="009D1540">
              <w:rPr>
                <w:lang w:val="de-DE"/>
              </w:rPr>
              <w:t xml:space="preserve"> Zinszahlungsbetrags, die zum Termin dieser Rückzahlung, dieses Rückkaufs bzw. dieser Entwertung bzw. zum Termin des Eintritts dieses Kredit-Rückzahlungsereignisses aufgelaufen sind, nicht zur Auszahlung gelangen. Der </w:t>
            </w:r>
            <w:r w:rsidRPr="00792D61">
              <w:rPr>
                <w:b/>
                <w:lang w:val="de-DE"/>
              </w:rPr>
              <w:t>[</w:t>
            </w:r>
            <w:r w:rsidRPr="009D1540">
              <w:rPr>
                <w:lang w:val="de-DE"/>
              </w:rPr>
              <w:t>jeweilige</w:t>
            </w:r>
            <w:r w:rsidRPr="00792D61">
              <w:rPr>
                <w:b/>
                <w:lang w:val="de-DE"/>
              </w:rPr>
              <w:t>]</w:t>
            </w:r>
            <w:r w:rsidRPr="009D1540">
              <w:rPr>
                <w:lang w:val="de-DE"/>
              </w:rPr>
              <w:t xml:space="preserve"> Zinszahlungsbetrag und der </w:t>
            </w:r>
            <w:r w:rsidRPr="00792D61">
              <w:rPr>
                <w:b/>
                <w:lang w:val="de-DE"/>
              </w:rPr>
              <w:t>[</w:t>
            </w:r>
            <w:r w:rsidRPr="009D1540">
              <w:rPr>
                <w:lang w:val="de-DE"/>
              </w:rPr>
              <w:t>jeweilige</w:t>
            </w:r>
            <w:r w:rsidRPr="00792D61">
              <w:rPr>
                <w:b/>
                <w:lang w:val="de-DE"/>
              </w:rPr>
              <w:t>]</w:t>
            </w:r>
            <w:r w:rsidRPr="009D1540">
              <w:rPr>
                <w:lang w:val="de-DE"/>
              </w:rPr>
              <w:t xml:space="preserve"> Zinszahlungstag sind gemäss den in Unterziffer B. der Ziffer 1.1 enthaltenen Definitionen der Begriffe "Zinszahlungsbetrag" und "Zinszahlungstag(e)" festzulegen.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1370C" w:rsidP="0061370C">
            <w:pPr>
              <w:pStyle w:val="CSBody8ptbolditalics"/>
            </w:pPr>
            <w:r w:rsidRPr="00792D61">
              <w:t>[</w:t>
            </w:r>
            <w:r w:rsidRPr="0061370C">
              <w:t>in the case of Credit-Linked Complex Products with auction settlement and one Reference Entity, insert:</w:t>
            </w:r>
          </w:p>
        </w:tc>
        <w:tc>
          <w:tcPr>
            <w:tcW w:w="4936" w:type="dxa"/>
            <w:gridSpan w:val="3"/>
            <w:tcBorders>
              <w:top w:val="nil"/>
              <w:bottom w:val="nil"/>
              <w:right w:val="nil"/>
            </w:tcBorders>
            <w:shd w:val="clear" w:color="auto" w:fill="auto"/>
          </w:tcPr>
          <w:p w:rsidR="0017135D" w:rsidRPr="000C0202">
            <w:pPr>
              <w:pStyle w:val="CSBody8ptbolditalics"/>
              <w:rPr>
                <w:lang w:val="de-DE"/>
              </w:rPr>
            </w:pPr>
            <w:r w:rsidRPr="000C0202">
              <w:rPr>
                <w:lang w:val="de-DE"/>
              </w:rPr>
              <w:t>[bei Kreditbezogenen Komplexen Produkten mit Auktionsabwicklung und einem Referenzschuldner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21B64" w:rsidP="001E3451">
            <w:pPr>
              <w:pStyle w:val="CSBody8pt"/>
            </w:pPr>
            <w:r w:rsidRPr="00921B64">
              <w:t xml:space="preserve">Notwithstanding the immediately preceding paragraph, if a Potential Credit Event Period has occurred prior to, and is continuing on, </w:t>
            </w:r>
            <w:r w:rsidRPr="00792D61">
              <w:rPr>
                <w:b/>
              </w:rPr>
              <w:t>[</w:t>
            </w:r>
            <w:r w:rsidRPr="00921B64">
              <w:t>the</w:t>
            </w:r>
            <w:r w:rsidRPr="00792D61">
              <w:rPr>
                <w:b/>
              </w:rPr>
              <w:t>][</w:t>
            </w:r>
            <w:r w:rsidRPr="00921B64">
              <w:t>such</w:t>
            </w:r>
            <w:r w:rsidRPr="00792D61">
              <w:rPr>
                <w:b/>
              </w:rPr>
              <w:t>]</w:t>
            </w:r>
            <w:r w:rsidRPr="00921B64">
              <w:t xml:space="preserve"> Interest Payment Date, the following shall apply:</w:t>
            </w:r>
          </w:p>
        </w:tc>
        <w:tc>
          <w:tcPr>
            <w:tcW w:w="4936" w:type="dxa"/>
            <w:gridSpan w:val="3"/>
            <w:tcBorders>
              <w:top w:val="nil"/>
              <w:bottom w:val="nil"/>
              <w:right w:val="nil"/>
            </w:tcBorders>
            <w:shd w:val="clear" w:color="auto" w:fill="auto"/>
          </w:tcPr>
          <w:p w:rsidR="0017135D" w:rsidRPr="000C0202" w:rsidP="001E3451">
            <w:pPr>
              <w:pStyle w:val="CSBody8pt"/>
              <w:rPr>
                <w:lang w:val="de-DE"/>
              </w:rPr>
            </w:pPr>
            <w:r w:rsidRPr="000C0202">
              <w:rPr>
                <w:lang w:val="de-DE"/>
              </w:rPr>
              <w:t xml:space="preserve">Ungeachtet des unmittelbar vorangehenden Absatzes gilt im Fall, dass ein Zeitraum eines Potenziellen Kreditereignisses vor dem </w:t>
            </w:r>
            <w:r w:rsidRPr="000C0202">
              <w:rPr>
                <w:b/>
                <w:lang w:val="de-DE"/>
              </w:rPr>
              <w:t>[</w:t>
            </w:r>
            <w:r w:rsidRPr="000C0202">
              <w:rPr>
                <w:lang w:val="de-DE"/>
              </w:rPr>
              <w:t>jeweiligen</w:t>
            </w:r>
            <w:r w:rsidRPr="000C0202">
              <w:rPr>
                <w:b/>
                <w:lang w:val="de-DE"/>
              </w:rPr>
              <w:t>]</w:t>
            </w:r>
            <w:r w:rsidRPr="000C0202">
              <w:rPr>
                <w:lang w:val="de-DE"/>
              </w:rPr>
              <w:t xml:space="preserve"> Zinszahlungstag begonnen hat und an diesem Zinszahlungstag andauert, folgendes: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1E3451">
            <w:pPr>
              <w:pStyle w:val="CSManNum8pt"/>
            </w:pPr>
            <w:r w:rsidRPr="009D1540">
              <w:t>(i)</w:t>
            </w:r>
            <w:r w:rsidRPr="009D1540">
              <w:tab/>
              <w:t xml:space="preserve">if the relevant Potential Failure to Pay </w:t>
            </w:r>
            <w:r w:rsidRPr="00792D61">
              <w:rPr>
                <w:b/>
              </w:rPr>
              <w:t>[</w:t>
            </w:r>
            <w:r w:rsidRPr="009104B6">
              <w:rPr>
                <w:b/>
                <w:i/>
              </w:rPr>
              <w:t>if "Repudiation/ Moratorium" is applicable, insert:</w:t>
            </w:r>
            <w:r w:rsidRPr="009D1540">
              <w:t xml:space="preserve"> , Potential Repudiation/ Moratorium</w:t>
            </w:r>
            <w:r w:rsidRPr="00792D61">
              <w:rPr>
                <w:b/>
              </w:rPr>
              <w:t>]</w:t>
            </w:r>
            <w:r w:rsidRPr="009D1540">
              <w:t xml:space="preserve"> or DC Pending Request, as the case may be, results in the occurrence of a Credit Event Determination Date prior to the </w:t>
            </w:r>
            <w:r w:rsidRPr="00792D61">
              <w:rPr>
                <w:b/>
              </w:rPr>
              <w:t>[</w:t>
            </w:r>
            <w:r w:rsidRPr="009D1540">
              <w:t>relevant</w:t>
            </w:r>
            <w:r w:rsidRPr="00792D61">
              <w:rPr>
                <w:b/>
              </w:rPr>
              <w:t>]</w:t>
            </w:r>
            <w:r w:rsidRPr="009D1540">
              <w:t xml:space="preserve"> Interest Payment Date </w:t>
            </w:r>
            <w:r w:rsidRPr="00792D61">
              <w:rPr>
                <w:b/>
              </w:rPr>
              <w:t>[</w:t>
            </w:r>
            <w:r w:rsidRPr="009104B6">
              <w:rPr>
                <w:b/>
                <w:i/>
              </w:rPr>
              <w:t xml:space="preserve">if (i) </w:t>
            </w:r>
            <w:r>
              <w:rPr>
                <w:b/>
                <w:i/>
              </w:rPr>
              <w:t>"</w:t>
            </w:r>
            <w:r w:rsidRPr="009104B6">
              <w:rPr>
                <w:b/>
                <w:i/>
              </w:rPr>
              <w:t>Failure to Pay</w:t>
            </w:r>
            <w:r>
              <w:rPr>
                <w:b/>
                <w:i/>
              </w:rPr>
              <w:t>"</w:t>
            </w:r>
            <w:r w:rsidRPr="009104B6">
              <w:rPr>
                <w:b/>
                <w:i/>
              </w:rPr>
              <w:t xml:space="preserve"> and </w:t>
            </w:r>
            <w:r>
              <w:rPr>
                <w:b/>
                <w:i/>
              </w:rPr>
              <w:t>"</w:t>
            </w:r>
            <w:r w:rsidRPr="009104B6">
              <w:rPr>
                <w:b/>
                <w:i/>
              </w:rPr>
              <w:t>Grace Period Extension</w:t>
            </w:r>
            <w:r>
              <w:rPr>
                <w:b/>
                <w:i/>
              </w:rPr>
              <w:t>"</w:t>
            </w:r>
            <w:r w:rsidRPr="009104B6">
              <w:rPr>
                <w:b/>
                <w:i/>
              </w:rPr>
              <w:t xml:space="preserve"> and/or (ii) </w:t>
            </w:r>
            <w:r>
              <w:rPr>
                <w:b/>
                <w:i/>
              </w:rPr>
              <w:t>"</w:t>
            </w:r>
            <w:r w:rsidRPr="009104B6">
              <w:rPr>
                <w:b/>
                <w:i/>
              </w:rPr>
              <w:t>Repudiation/Moratorium is applicable, insert:</w:t>
            </w:r>
            <w:r w:rsidRPr="009D1540">
              <w:t xml:space="preserve"> or, if later, the Extension Date relating to </w:t>
            </w:r>
            <w:r w:rsidRPr="00792D61">
              <w:rPr>
                <w:b/>
              </w:rPr>
              <w:t>[</w:t>
            </w:r>
            <w:r w:rsidRPr="009D1540">
              <w:t>such Potential Failure to Pay</w:t>
            </w:r>
            <w:r w:rsidRPr="00792D61">
              <w:rPr>
                <w:b/>
              </w:rPr>
              <w:t>][</w:t>
            </w:r>
            <w:r w:rsidRPr="009D1540">
              <w:t>or</w:t>
            </w:r>
            <w:r w:rsidRPr="00792D61">
              <w:rPr>
                <w:b/>
              </w:rPr>
              <w:t>][</w:t>
            </w:r>
            <w:r w:rsidRPr="009D1540">
              <w:t>such Potential Repudiation/Moratorium</w:t>
            </w:r>
            <w:r w:rsidRPr="00792D61">
              <w:rPr>
                <w:b/>
              </w:rPr>
              <w:t>]]</w:t>
            </w:r>
            <w:r w:rsidRPr="009D1540">
              <w:t xml:space="preserve">, as determined on or prior to the last day of such Potential Credit Event Period, the Issuer shall not pay the </w:t>
            </w:r>
            <w:r w:rsidRPr="00792D61">
              <w:rPr>
                <w:b/>
              </w:rPr>
              <w:t>[</w:t>
            </w:r>
            <w:r w:rsidRPr="009D1540">
              <w:t>relevant</w:t>
            </w:r>
            <w:r w:rsidRPr="00792D61">
              <w:rPr>
                <w:b/>
              </w:rPr>
              <w:t>]</w:t>
            </w:r>
            <w:r w:rsidRPr="009D1540">
              <w:t xml:space="preserve"> Interest Payment Amount; or</w:t>
            </w:r>
          </w:p>
        </w:tc>
        <w:tc>
          <w:tcPr>
            <w:tcW w:w="4936" w:type="dxa"/>
            <w:gridSpan w:val="3"/>
            <w:tcBorders>
              <w:top w:val="nil"/>
              <w:bottom w:val="nil"/>
              <w:right w:val="nil"/>
            </w:tcBorders>
            <w:shd w:val="clear" w:color="auto" w:fill="auto"/>
          </w:tcPr>
          <w:p w:rsidR="0017135D" w:rsidRPr="000C0202">
            <w:pPr>
              <w:pStyle w:val="CSManNum8pt"/>
              <w:rPr>
                <w:bCs/>
                <w:lang w:val="de-DE"/>
              </w:rPr>
            </w:pPr>
            <w:r w:rsidRPr="000C0202">
              <w:rPr>
                <w:bCs/>
                <w:lang w:val="de-DE"/>
              </w:rPr>
              <w:t>(i)</w:t>
            </w:r>
            <w:r w:rsidRPr="000C0202">
              <w:rPr>
                <w:bCs/>
                <w:lang w:val="de-DE"/>
              </w:rPr>
              <w:tab/>
              <w:t xml:space="preserve">falls die jeweilige Potenzielle Nichtzahlung </w:t>
            </w:r>
            <w:r w:rsidRPr="000C0202">
              <w:rPr>
                <w:b/>
                <w:bCs/>
                <w:lang w:val="de-DE"/>
              </w:rPr>
              <w:t>[</w:t>
            </w:r>
            <w:r w:rsidRPr="000C0202">
              <w:rPr>
                <w:b/>
                <w:bCs/>
                <w:i/>
                <w:lang w:val="de-DE"/>
              </w:rPr>
              <w:t>falls "Nichtanerkennung/Moratorium" anwendbar ist, einfügen:</w:t>
            </w:r>
            <w:r w:rsidRPr="000C0202">
              <w:rPr>
                <w:bCs/>
                <w:lang w:val="de-DE"/>
              </w:rPr>
              <w:t xml:space="preserve"> oder die jeweilige Potenzielle Nichtanerkennung / das jeweilige Potenzielle Moratorium</w:t>
            </w:r>
            <w:r w:rsidRPr="000C0202">
              <w:rPr>
                <w:b/>
                <w:bCs/>
                <w:lang w:val="de-DE"/>
              </w:rPr>
              <w:t>]</w:t>
            </w:r>
            <w:r w:rsidRPr="000C0202">
              <w:rPr>
                <w:bCs/>
                <w:lang w:val="de-DE"/>
              </w:rPr>
              <w:t xml:space="preserve"> oder ein Ausstehender Antrag zu einem Kreditereignis-Feststellungstag vor dem </w:t>
            </w:r>
            <w:r w:rsidRPr="000C0202">
              <w:rPr>
                <w:b/>
                <w:bCs/>
                <w:lang w:val="de-DE"/>
              </w:rPr>
              <w:t>[</w:t>
            </w:r>
            <w:r w:rsidRPr="000C0202">
              <w:rPr>
                <w:bCs/>
                <w:lang w:val="de-DE"/>
              </w:rPr>
              <w:t>jeweiligen</w:t>
            </w:r>
            <w:r w:rsidRPr="000C0202">
              <w:rPr>
                <w:b/>
                <w:bCs/>
                <w:lang w:val="de-DE"/>
              </w:rPr>
              <w:t>]</w:t>
            </w:r>
            <w:r w:rsidRPr="000C0202">
              <w:rPr>
                <w:bCs/>
                <w:lang w:val="de-DE"/>
              </w:rPr>
              <w:t xml:space="preserve"> Zinszahlungstag </w:t>
            </w:r>
            <w:r w:rsidRPr="000C0202">
              <w:rPr>
                <w:b/>
                <w:bCs/>
                <w:lang w:val="de-DE"/>
              </w:rPr>
              <w:t>[</w:t>
            </w:r>
            <w:r w:rsidRPr="000C0202">
              <w:rPr>
                <w:b/>
                <w:bCs/>
                <w:i/>
                <w:lang w:val="de-DE"/>
              </w:rPr>
              <w:t>falls (i) "Nichtzahlung" und "Verlängerung wegen Nachfrist" und/oder (ii) "Nichtanerkennung/Moratorium" anwendbar sind, einfügen:</w:t>
            </w:r>
            <w:r w:rsidRPr="000C0202">
              <w:rPr>
                <w:bCs/>
                <w:lang w:val="de-DE"/>
              </w:rPr>
              <w:t xml:space="preserve"> oder, falls später, dem Verlängerungstag bezüglich </w:t>
            </w:r>
            <w:r w:rsidRPr="000C0202">
              <w:rPr>
                <w:b/>
                <w:bCs/>
                <w:lang w:val="de-DE"/>
              </w:rPr>
              <w:t>[</w:t>
            </w:r>
            <w:r w:rsidRPr="000C0202">
              <w:rPr>
                <w:bCs/>
                <w:lang w:val="de-DE"/>
              </w:rPr>
              <w:t>dieser Potenziellen Nichtzahlung</w:t>
            </w:r>
            <w:r w:rsidRPr="000C0202">
              <w:rPr>
                <w:b/>
                <w:bCs/>
                <w:lang w:val="de-DE"/>
              </w:rPr>
              <w:t>][</w:t>
            </w:r>
            <w:r w:rsidRPr="000C0202">
              <w:rPr>
                <w:bCs/>
                <w:lang w:val="de-DE"/>
              </w:rPr>
              <w:t>oder</w:t>
            </w:r>
            <w:r w:rsidRPr="000C0202">
              <w:rPr>
                <w:b/>
                <w:bCs/>
                <w:lang w:val="de-DE"/>
              </w:rPr>
              <w:t>][</w:t>
            </w:r>
            <w:r w:rsidRPr="000C0202">
              <w:rPr>
                <w:bCs/>
                <w:lang w:val="de-DE"/>
              </w:rPr>
              <w:t>dieser Potenziellen Nichtanerkennung/dieses Potenziellen Moratoriums</w:t>
            </w:r>
            <w:r w:rsidRPr="000C0202">
              <w:rPr>
                <w:b/>
                <w:bCs/>
                <w:lang w:val="de-DE"/>
              </w:rPr>
              <w:t>]]</w:t>
            </w:r>
            <w:r w:rsidRPr="000C0202">
              <w:rPr>
                <w:bCs/>
                <w:lang w:val="de-DE"/>
              </w:rPr>
              <w:t xml:space="preserve"> führt, wie an oder vor dem letzten Tag dieses Zeitraums eines Potenziellen Kreditereignisses festgestellt</w:t>
            </w:r>
            <w:r w:rsidRPr="000C0202">
              <w:rPr>
                <w:b/>
                <w:bCs/>
                <w:lang w:val="de-DE"/>
              </w:rPr>
              <w:t>]</w:t>
            </w:r>
            <w:r w:rsidRPr="000C0202">
              <w:rPr>
                <w:bCs/>
                <w:lang w:val="de-DE"/>
              </w:rPr>
              <w:t xml:space="preserve">, zahlt die Emittentin den </w:t>
            </w:r>
            <w:r w:rsidRPr="000C0202">
              <w:rPr>
                <w:b/>
                <w:bCs/>
                <w:lang w:val="de-DE"/>
              </w:rPr>
              <w:t>[</w:t>
            </w:r>
            <w:r w:rsidRPr="000C0202">
              <w:rPr>
                <w:bCs/>
                <w:lang w:val="de-DE"/>
              </w:rPr>
              <w:t>jeweiligen</w:t>
            </w:r>
            <w:r w:rsidRPr="000C0202">
              <w:rPr>
                <w:b/>
                <w:bCs/>
                <w:lang w:val="de-DE"/>
              </w:rPr>
              <w:t>]</w:t>
            </w:r>
            <w:r w:rsidRPr="000C0202">
              <w:rPr>
                <w:bCs/>
                <w:lang w:val="de-DE"/>
              </w:rPr>
              <w:t xml:space="preserve"> Zinszahlungsbetrag nicht;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42F00" w:rsidP="001E3451">
            <w:pPr>
              <w:pStyle w:val="CSManNum8pt"/>
            </w:pPr>
            <w:r w:rsidRPr="00942F00">
              <w:t>(ii)</w:t>
            </w:r>
            <w:r w:rsidRPr="00942F00">
              <w:tab/>
              <w:t xml:space="preserve">if the relevant Potential Failure to Pay </w:t>
            </w:r>
            <w:r w:rsidRPr="00942F00">
              <w:rPr>
                <w:b/>
              </w:rPr>
              <w:t>[</w:t>
            </w:r>
            <w:r w:rsidRPr="00942F00">
              <w:rPr>
                <w:b/>
                <w:i/>
              </w:rPr>
              <w:t>if "Repudiation/ Moratorium" is applicable, insert:</w:t>
            </w:r>
            <w:r w:rsidRPr="00942F00">
              <w:t xml:space="preserve"> , Potential Repudiation/ Moratorium</w:t>
            </w:r>
            <w:r w:rsidRPr="00942F00">
              <w:rPr>
                <w:b/>
              </w:rPr>
              <w:t>]</w:t>
            </w:r>
            <w:r w:rsidRPr="00942F00">
              <w:t xml:space="preserve"> or DC Pending Request, as the case may be, does not result in the occurrence of a Credit Event Determination Date prior to the </w:t>
            </w:r>
            <w:r w:rsidRPr="00942F00">
              <w:rPr>
                <w:b/>
              </w:rPr>
              <w:t>[</w:t>
            </w:r>
            <w:r w:rsidRPr="00942F00">
              <w:t>relevant</w:t>
            </w:r>
            <w:r w:rsidRPr="00942F00">
              <w:rPr>
                <w:b/>
              </w:rPr>
              <w:t>]</w:t>
            </w:r>
            <w:r w:rsidRPr="00942F00">
              <w:t xml:space="preserve"> Interest Payment Date </w:t>
            </w:r>
            <w:r w:rsidRPr="00942F00">
              <w:rPr>
                <w:b/>
              </w:rPr>
              <w:t>[</w:t>
            </w:r>
            <w:r w:rsidRPr="00942F00">
              <w:rPr>
                <w:b/>
                <w:i/>
              </w:rPr>
              <w:t>if (i) "Failure to Pay" and "Grace Period Extension" and/or (ii) "Repudiation/Moratorium is applicable, insert:</w:t>
            </w:r>
            <w:r w:rsidRPr="00942F00">
              <w:t xml:space="preserve"> or, if later, the Extension Date relating to </w:t>
            </w:r>
            <w:r w:rsidRPr="00942F00">
              <w:rPr>
                <w:b/>
              </w:rPr>
              <w:t>[</w:t>
            </w:r>
            <w:r w:rsidRPr="00942F00">
              <w:t>such Potential Failure to Pay</w:t>
            </w:r>
            <w:r w:rsidRPr="00942F00">
              <w:rPr>
                <w:b/>
              </w:rPr>
              <w:t>][</w:t>
            </w:r>
            <w:r w:rsidRPr="00942F00">
              <w:t>or</w:t>
            </w:r>
            <w:r w:rsidRPr="00942F00">
              <w:rPr>
                <w:b/>
              </w:rPr>
              <w:t>][</w:t>
            </w:r>
            <w:r w:rsidRPr="00942F00">
              <w:t>such Potential Repudiation/Moratorium</w:t>
            </w:r>
            <w:r w:rsidRPr="00942F00">
              <w:rPr>
                <w:b/>
              </w:rPr>
              <w:t>]]</w:t>
            </w:r>
            <w:r w:rsidRPr="00942F00">
              <w:t xml:space="preserve">, as determined on or prior to the last day of such Potential Credit Event Period, instead of paying the </w:t>
            </w:r>
            <w:r w:rsidRPr="00942F00">
              <w:rPr>
                <w:b/>
              </w:rPr>
              <w:t>[</w:t>
            </w:r>
            <w:r w:rsidRPr="00942F00">
              <w:t>relevant</w:t>
            </w:r>
            <w:r w:rsidRPr="00942F00">
              <w:rPr>
                <w:b/>
              </w:rPr>
              <w:t>]</w:t>
            </w:r>
            <w:r w:rsidRPr="00942F00">
              <w:t xml:space="preserve"> Interest Payment Amount on </w:t>
            </w:r>
            <w:r w:rsidRPr="00942F00">
              <w:rPr>
                <w:b/>
              </w:rPr>
              <w:t>[</w:t>
            </w:r>
            <w:r w:rsidRPr="00942F00">
              <w:t>the</w:t>
            </w:r>
            <w:r w:rsidRPr="00942F00">
              <w:rPr>
                <w:b/>
              </w:rPr>
              <w:t>][</w:t>
            </w:r>
            <w:r w:rsidRPr="00942F00">
              <w:t>such</w:t>
            </w:r>
            <w:r w:rsidRPr="00942F00">
              <w:rPr>
                <w:b/>
              </w:rPr>
              <w:t>]</w:t>
            </w:r>
            <w:r w:rsidRPr="00942F00">
              <w:t xml:space="preserve"> Interest Payment Date, the Issuer shall pay the </w:t>
            </w:r>
            <w:r w:rsidRPr="00942F00">
              <w:rPr>
                <w:b/>
              </w:rPr>
              <w:t>[</w:t>
            </w:r>
            <w:r w:rsidRPr="00942F00">
              <w:t>relevant</w:t>
            </w:r>
            <w:r w:rsidRPr="00942F00">
              <w:rPr>
                <w:b/>
              </w:rPr>
              <w:t>]</w:t>
            </w:r>
            <w:r w:rsidRPr="00942F00">
              <w:t xml:space="preserve"> Interest Payment Amount per Complex Product on the </w:t>
            </w:r>
            <w:r w:rsidRPr="00942F00">
              <w:rPr>
                <w:b/>
              </w:rPr>
              <w:t>[</w:t>
            </w:r>
            <w:r w:rsidRPr="00942F00">
              <w:t>fifth</w:t>
            </w:r>
            <w:r w:rsidRPr="00942F00">
              <w:rPr>
                <w:b/>
              </w:rPr>
              <w:t>][[</w:t>
            </w:r>
            <w:r w:rsidRPr="00942F00">
              <w:rPr>
                <w:rFonts w:ascii="Arial" w:hAnsi="Arial" w:cs="Arial"/>
              </w:rPr>
              <w:t>●</w:t>
            </w:r>
            <w:r w:rsidRPr="00942F00">
              <w:rPr>
                <w:b/>
              </w:rPr>
              <w:t>]]</w:t>
            </w:r>
            <w:r w:rsidRPr="00942F00">
              <w:t xml:space="preserve"> Business Day following the last day of such Potential Credit Event Period to the Holder thereof</w:t>
            </w:r>
            <w:r w:rsidRPr="00942F00">
              <w:rPr>
                <w:b/>
              </w:rPr>
              <w:t>[</w:t>
            </w:r>
            <w:r w:rsidRPr="00942F00">
              <w:t>.</w:t>
            </w:r>
            <w:r w:rsidRPr="00942F00">
              <w:rPr>
                <w:b/>
              </w:rPr>
              <w:t>][</w:t>
            </w:r>
            <w:r w:rsidRPr="00942F00">
              <w:t>if applicable, insert: ;</w:t>
            </w:r>
          </w:p>
        </w:tc>
        <w:tc>
          <w:tcPr>
            <w:tcW w:w="4936" w:type="dxa"/>
            <w:gridSpan w:val="3"/>
            <w:tcBorders>
              <w:top w:val="nil"/>
              <w:bottom w:val="nil"/>
              <w:right w:val="nil"/>
            </w:tcBorders>
            <w:shd w:val="clear" w:color="auto" w:fill="auto"/>
          </w:tcPr>
          <w:p w:rsidR="0017135D" w:rsidRPr="000C0202">
            <w:pPr>
              <w:pStyle w:val="CSManNum8pt"/>
              <w:rPr>
                <w:bCs/>
                <w:lang w:val="de-DE"/>
              </w:rPr>
            </w:pPr>
            <w:r w:rsidRPr="000C0202">
              <w:rPr>
                <w:bCs/>
                <w:lang w:val="de-DE"/>
              </w:rPr>
              <w:t>(ii)</w:t>
            </w:r>
            <w:r w:rsidRPr="000C0202">
              <w:rPr>
                <w:bCs/>
                <w:lang w:val="de-DE"/>
              </w:rPr>
              <w:tab/>
              <w:t xml:space="preserve">falls die jeweilige Potenzielle Nichtzahlung </w:t>
            </w:r>
            <w:r w:rsidRPr="000C0202">
              <w:rPr>
                <w:b/>
                <w:bCs/>
                <w:lang w:val="de-DE"/>
              </w:rPr>
              <w:t>[</w:t>
            </w:r>
            <w:r w:rsidRPr="000C0202">
              <w:rPr>
                <w:b/>
                <w:bCs/>
                <w:i/>
                <w:lang w:val="de-DE"/>
              </w:rPr>
              <w:t>falls "Nichtanerkennung/Moratorium" anwendbar ist, einfügen:</w:t>
            </w:r>
            <w:r w:rsidRPr="000C0202">
              <w:rPr>
                <w:bCs/>
                <w:lang w:val="de-DE"/>
              </w:rPr>
              <w:t xml:space="preserve"> oder die jeweilige Potenzielle Nichtanerkennung / das jeweilige Potenzielle Moratorium</w:t>
            </w:r>
            <w:r w:rsidRPr="000C0202">
              <w:rPr>
                <w:b/>
                <w:bCs/>
                <w:lang w:val="de-DE"/>
              </w:rPr>
              <w:t>]</w:t>
            </w:r>
            <w:r w:rsidRPr="000C0202">
              <w:rPr>
                <w:bCs/>
                <w:lang w:val="de-DE"/>
              </w:rPr>
              <w:t xml:space="preserve"> oder ein Ausstehender Antrag nicht zu einem Kreditereignis-Feststellungstag vor dem </w:t>
            </w:r>
            <w:r w:rsidRPr="000C0202">
              <w:rPr>
                <w:b/>
                <w:bCs/>
                <w:lang w:val="de-DE"/>
              </w:rPr>
              <w:t>[</w:t>
            </w:r>
            <w:r w:rsidRPr="000C0202">
              <w:rPr>
                <w:bCs/>
                <w:lang w:val="de-DE"/>
              </w:rPr>
              <w:t>jeweiligen</w:t>
            </w:r>
            <w:r w:rsidRPr="000C0202">
              <w:rPr>
                <w:b/>
                <w:bCs/>
                <w:lang w:val="de-DE"/>
              </w:rPr>
              <w:t>]</w:t>
            </w:r>
            <w:r w:rsidRPr="000C0202">
              <w:rPr>
                <w:bCs/>
                <w:lang w:val="de-DE"/>
              </w:rPr>
              <w:t xml:space="preserve"> Zinszahlungstag </w:t>
            </w:r>
            <w:r w:rsidRPr="000C0202">
              <w:rPr>
                <w:b/>
                <w:bCs/>
                <w:lang w:val="de-DE"/>
              </w:rPr>
              <w:t>[</w:t>
            </w:r>
            <w:r w:rsidRPr="000C0202">
              <w:rPr>
                <w:b/>
                <w:bCs/>
                <w:i/>
                <w:lang w:val="de-DE"/>
              </w:rPr>
              <w:t>falls (i) "Nichtzahlung" und "Verlängerung wegen Nachfrist" und/oder (ii) "Nichtanerkennung/Moratorium" anwendbar sind, einfügen:</w:t>
            </w:r>
            <w:r w:rsidRPr="000C0202">
              <w:rPr>
                <w:bCs/>
                <w:lang w:val="de-DE"/>
              </w:rPr>
              <w:t xml:space="preserve"> oder, falls später, dem Verlängerungstag bezüglich </w:t>
            </w:r>
            <w:r w:rsidRPr="000C0202">
              <w:rPr>
                <w:b/>
                <w:bCs/>
                <w:lang w:val="de-DE"/>
              </w:rPr>
              <w:t>[</w:t>
            </w:r>
            <w:r w:rsidRPr="000C0202">
              <w:rPr>
                <w:bCs/>
                <w:lang w:val="de-DE"/>
              </w:rPr>
              <w:t>dieser Potenziellen Nichtzahlung</w:t>
            </w:r>
            <w:r w:rsidRPr="000C0202">
              <w:rPr>
                <w:b/>
                <w:bCs/>
                <w:lang w:val="de-DE"/>
              </w:rPr>
              <w:t>][</w:t>
            </w:r>
            <w:r w:rsidRPr="000C0202">
              <w:rPr>
                <w:bCs/>
                <w:lang w:val="de-DE"/>
              </w:rPr>
              <w:t>oder</w:t>
            </w:r>
            <w:r w:rsidRPr="000C0202">
              <w:rPr>
                <w:b/>
                <w:bCs/>
                <w:lang w:val="de-DE"/>
              </w:rPr>
              <w:t>][</w:t>
            </w:r>
            <w:r w:rsidRPr="000C0202">
              <w:rPr>
                <w:bCs/>
                <w:lang w:val="de-DE"/>
              </w:rPr>
              <w:t>dieser Potenziellen Nichtanerkennung/dieses Potenziellen Moratoriums</w:t>
            </w:r>
            <w:r w:rsidRPr="000C0202">
              <w:rPr>
                <w:b/>
                <w:bCs/>
                <w:lang w:val="de-DE"/>
              </w:rPr>
              <w:t>]]</w:t>
            </w:r>
            <w:r w:rsidRPr="000C0202">
              <w:rPr>
                <w:bCs/>
                <w:lang w:val="de-DE"/>
              </w:rPr>
              <w:t xml:space="preserve"> führt, wie an oder vor dem letzten Tag dieses Zeitraums eines Potenziellen Kreditereignisses festgestellt</w:t>
            </w:r>
            <w:r w:rsidRPr="000C0202">
              <w:rPr>
                <w:b/>
                <w:bCs/>
                <w:lang w:val="de-DE"/>
              </w:rPr>
              <w:t>]</w:t>
            </w:r>
            <w:r w:rsidRPr="000C0202">
              <w:rPr>
                <w:bCs/>
                <w:lang w:val="de-DE"/>
              </w:rPr>
              <w:t xml:space="preserve">, zahlt die Emittentin den </w:t>
            </w:r>
            <w:r w:rsidRPr="000C0202">
              <w:rPr>
                <w:b/>
                <w:bCs/>
                <w:lang w:val="de-DE"/>
              </w:rPr>
              <w:t>[</w:t>
            </w:r>
            <w:r w:rsidRPr="000C0202">
              <w:rPr>
                <w:bCs/>
                <w:lang w:val="de-DE"/>
              </w:rPr>
              <w:t>jeweiligen</w:t>
            </w:r>
            <w:r w:rsidRPr="000C0202">
              <w:rPr>
                <w:b/>
                <w:bCs/>
                <w:lang w:val="de-DE"/>
              </w:rPr>
              <w:t>]</w:t>
            </w:r>
            <w:r w:rsidRPr="000C0202">
              <w:rPr>
                <w:bCs/>
                <w:lang w:val="de-DE"/>
              </w:rPr>
              <w:t xml:space="preserve"> Zinszahlungsbetrag pro Komplexes Produkt anstatt am </w:t>
            </w:r>
            <w:r w:rsidRPr="000C0202">
              <w:rPr>
                <w:b/>
                <w:bCs/>
                <w:lang w:val="de-DE"/>
              </w:rPr>
              <w:t>[</w:t>
            </w:r>
            <w:r w:rsidRPr="000C0202">
              <w:rPr>
                <w:bCs/>
                <w:lang w:val="de-DE"/>
              </w:rPr>
              <w:t>jeweiligen</w:t>
            </w:r>
            <w:r w:rsidRPr="000C0202">
              <w:rPr>
                <w:b/>
                <w:bCs/>
                <w:lang w:val="de-DE"/>
              </w:rPr>
              <w:t>]</w:t>
            </w:r>
            <w:r w:rsidRPr="000C0202">
              <w:rPr>
                <w:bCs/>
                <w:lang w:val="de-DE"/>
              </w:rPr>
              <w:t xml:space="preserve"> Zinszahlungstag an dem </w:t>
            </w:r>
            <w:r w:rsidRPr="000C0202">
              <w:rPr>
                <w:b/>
                <w:bCs/>
                <w:lang w:val="de-DE"/>
              </w:rPr>
              <w:t>[</w:t>
            </w:r>
            <w:r w:rsidRPr="000C0202">
              <w:rPr>
                <w:bCs/>
                <w:lang w:val="de-DE"/>
              </w:rPr>
              <w:t>fünften</w:t>
            </w:r>
            <w:r w:rsidRPr="000C0202">
              <w:rPr>
                <w:b/>
                <w:bCs/>
                <w:lang w:val="de-DE"/>
              </w:rPr>
              <w:t>][[</w:t>
            </w:r>
            <w:r w:rsidRPr="000C0202">
              <w:rPr>
                <w:bCs/>
                <w:lang w:val="de-DE"/>
              </w:rPr>
              <w:t>•</w:t>
            </w:r>
            <w:r w:rsidRPr="000C0202">
              <w:rPr>
                <w:b/>
                <w:bCs/>
                <w:lang w:val="de-DE"/>
              </w:rPr>
              <w:t>]]</w:t>
            </w:r>
            <w:r w:rsidRPr="000C0202">
              <w:rPr>
                <w:bCs/>
                <w:lang w:val="de-DE"/>
              </w:rPr>
              <w:t xml:space="preserve"> Geschäftstag nach dem letzten Tag dieses Zeitraums eines Potenziellen Kreditereignisses an den jeweiligen Inhaber</w:t>
            </w:r>
            <w:r w:rsidRPr="000C0202">
              <w:rPr>
                <w:b/>
                <w:bCs/>
                <w:lang w:val="de-DE"/>
              </w:rPr>
              <w:t>[</w:t>
            </w:r>
            <w:r w:rsidRPr="000C0202">
              <w:rPr>
                <w:bCs/>
                <w:lang w:val="de-DE"/>
              </w:rPr>
              <w:t>.</w:t>
            </w:r>
            <w:r w:rsidRPr="000C0202">
              <w:rPr>
                <w:b/>
                <w:bCs/>
                <w:lang w:val="de-DE"/>
              </w:rPr>
              <w:t>][</w:t>
            </w:r>
            <w:r w:rsidRPr="000C0202">
              <w:rPr>
                <w:bCs/>
                <w:lang w:val="de-DE"/>
              </w:rPr>
              <w:t>einfügen falls anwendbar: ;</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F03DD" w:rsidP="001E3451">
            <w:pPr>
              <w:pStyle w:val="CSBody8pt"/>
            </w:pPr>
            <w:r w:rsidRPr="0061370C">
              <w:rPr>
                <w:i/>
              </w:rPr>
              <w:t>provided, however</w:t>
            </w:r>
            <w:r w:rsidRPr="00EF03DD">
              <w:t xml:space="preserve">, that the Issuer may elect in its discretion to pay the </w:t>
            </w:r>
            <w:r w:rsidRPr="00792D61">
              <w:rPr>
                <w:b/>
              </w:rPr>
              <w:t>[</w:t>
            </w:r>
            <w:r w:rsidRPr="00EF03DD">
              <w:t>relevant</w:t>
            </w:r>
            <w:r w:rsidRPr="00792D61">
              <w:rPr>
                <w:b/>
              </w:rPr>
              <w:t>]</w:t>
            </w:r>
            <w:r w:rsidRPr="00EF03DD">
              <w:t xml:space="preserve"> Interest Payment Amount per Complex Product at any time during such Potential Credit Event Period to the Holder thereof, so long as the relevant Potential Failure to Pay </w:t>
            </w:r>
            <w:r w:rsidRPr="00792D61">
              <w:rPr>
                <w:b/>
              </w:rPr>
              <w:t>[</w:t>
            </w:r>
            <w:r w:rsidRPr="009104B6">
              <w:rPr>
                <w:b/>
                <w:i/>
              </w:rPr>
              <w:t>if "Repudiation/Moratorium" is applicable, insert:</w:t>
            </w:r>
            <w:r w:rsidRPr="00EF03DD">
              <w:t xml:space="preserve"> , Potential Repudiation/Moratorium</w:t>
            </w:r>
            <w:r w:rsidRPr="00792D61">
              <w:rPr>
                <w:b/>
              </w:rPr>
              <w:t>]</w:t>
            </w:r>
            <w:r w:rsidRPr="00EF03DD">
              <w:t xml:space="preserve"> or DC Pending Request, as the case may be, has not resulted in the occurrence of a Credit Event Determination Date as of the date of such payment.</w:t>
            </w:r>
            <w:r w:rsidRPr="00792D61">
              <w:rPr>
                <w:b/>
              </w:rPr>
              <w:t>]</w:t>
            </w:r>
            <w:r w:rsidRPr="00EF03DD">
              <w:t xml:space="preserve"> For any postponement of the payment of an Interest Payment Amount no default interest or other compensation payments shall be payable to the Holders.</w:t>
            </w:r>
            <w:r w:rsidRPr="00792D61">
              <w:rPr>
                <w:b/>
              </w:rPr>
              <w:t>]</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61370C">
              <w:rPr>
                <w:i/>
                <w:lang w:val="de-DE"/>
              </w:rPr>
              <w:t>wobei jedoch</w:t>
            </w:r>
            <w:r w:rsidRPr="009D1540">
              <w:rPr>
                <w:lang w:val="de-DE"/>
              </w:rPr>
              <w:t xml:space="preserve"> die Emittentin nach ihrem Ermessen den </w:t>
            </w:r>
            <w:r w:rsidRPr="00792D61">
              <w:rPr>
                <w:b/>
                <w:lang w:val="de-DE"/>
              </w:rPr>
              <w:t>[</w:t>
            </w:r>
            <w:r w:rsidRPr="009D1540">
              <w:rPr>
                <w:lang w:val="de-DE"/>
              </w:rPr>
              <w:t>jeweiligen</w:t>
            </w:r>
            <w:r w:rsidRPr="00792D61">
              <w:rPr>
                <w:b/>
                <w:lang w:val="de-DE"/>
              </w:rPr>
              <w:t>]</w:t>
            </w:r>
            <w:r w:rsidRPr="009D1540">
              <w:rPr>
                <w:lang w:val="de-DE"/>
              </w:rPr>
              <w:t xml:space="preserve"> Zinszahlungsbetrag pro Komplexes Produkt zu jedem Zeitpunkt eines solchen Zeitraums eines Potenziellen Kreditereignisses an den jeweiligen Inhaber zahlen kann, solange zum Zeitpunkt der Zahlung die jeweilige Potenzielle Nichtzahlung </w:t>
            </w:r>
            <w:r w:rsidRPr="00792D61">
              <w:rPr>
                <w:b/>
                <w:lang w:val="de-DE"/>
              </w:rPr>
              <w:t>[</w:t>
            </w:r>
            <w:r w:rsidRPr="009104B6">
              <w:rPr>
                <w:b/>
                <w:i/>
                <w:lang w:val="de-DE"/>
              </w:rPr>
              <w:t>falls "Nichtanerkennung/Moratorium" anwendbar ist, einfügen:</w:t>
            </w:r>
            <w:r w:rsidRPr="009D1540">
              <w:rPr>
                <w:lang w:val="de-DE"/>
              </w:rPr>
              <w:t xml:space="preserve"> oder die jeweilige Potenzielle Nichtanerkennung / das jeweilige Potenzielle Moratorium</w:t>
            </w:r>
            <w:r w:rsidRPr="00792D61">
              <w:rPr>
                <w:b/>
                <w:lang w:val="de-DE"/>
              </w:rPr>
              <w:t>]</w:t>
            </w:r>
            <w:r w:rsidRPr="009D1540">
              <w:rPr>
                <w:lang w:val="de-DE"/>
              </w:rPr>
              <w:t xml:space="preserve"> oder ein Ausstehender-Antrag nicht zu einem Kreditereignis-Feststellungstag geführt hat.</w:t>
            </w:r>
            <w:r w:rsidRPr="00792D61">
              <w:rPr>
                <w:b/>
                <w:lang w:val="de-DE"/>
              </w:rPr>
              <w:t>]</w:t>
            </w:r>
            <w:r w:rsidRPr="009D1540">
              <w:rPr>
                <w:lang w:val="de-DE"/>
              </w:rPr>
              <w:t xml:space="preserve"> Für jede Verschiebung der Zahlung eines Zinszahlungsbetrags werden keine Verzugszinsen oder anderen Ausgleichszahlungen an die Inhaber fällig.</w:t>
            </w:r>
            <w:r w:rsidRPr="00792D61">
              <w:rPr>
                <w:b/>
                <w:lang w:val="de-DE"/>
              </w:rPr>
              <w:t>]</w:t>
            </w:r>
            <w:r w:rsidRPr="009D1540">
              <w:rPr>
                <w:lang w:val="de-DE"/>
              </w:rPr>
              <w:t xml:space="preserve"> </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F03DD" w:rsidP="001E3451">
            <w:pPr>
              <w:pStyle w:val="CSBody8ptbolditalics"/>
            </w:pPr>
            <w:r w:rsidRPr="00792D61">
              <w:t>[</w:t>
            </w:r>
            <w:r w:rsidRPr="00EF03DD">
              <w:t>in the case of Credit-Linked Complex Products with auction settlement and an N</w:t>
            </w:r>
            <w:r w:rsidRPr="00BD6E0D">
              <w:rPr>
                <w:vertAlign w:val="superscript"/>
              </w:rPr>
              <w:t>th</w:t>
            </w:r>
            <w:r w:rsidRPr="00EF03DD">
              <w:t>-to-Default structure, insert:</w:t>
            </w:r>
          </w:p>
        </w:tc>
        <w:tc>
          <w:tcPr>
            <w:tcW w:w="4936" w:type="dxa"/>
            <w:gridSpan w:val="3"/>
            <w:tcBorders>
              <w:top w:val="nil"/>
              <w:bottom w:val="nil"/>
              <w:right w:val="nil"/>
            </w:tcBorders>
            <w:shd w:val="clear" w:color="auto" w:fill="auto"/>
          </w:tcPr>
          <w:p w:rsidR="0017135D" w:rsidRPr="009D1540" w:rsidP="00CB4D66">
            <w:pPr>
              <w:pStyle w:val="CSBody8ptbolditalics"/>
              <w:rPr>
                <w:lang w:val="de-DE"/>
              </w:rPr>
            </w:pPr>
            <w:r w:rsidRPr="00792D61">
              <w:rPr>
                <w:lang w:val="de-DE"/>
              </w:rPr>
              <w:t>[</w:t>
            </w:r>
            <w:r w:rsidRPr="009D1540">
              <w:rPr>
                <w:lang w:val="de-DE"/>
              </w:rPr>
              <w:t>bei Kreditbezogenen Komplexen Produkten mit Auktionsabwicklung und einer N</w:t>
            </w:r>
            <w:r w:rsidRPr="00BD6E0D">
              <w:rPr>
                <w:vertAlign w:val="superscript"/>
                <w:lang w:val="de-DE"/>
              </w:rPr>
              <w:t>th</w:t>
            </w:r>
            <w:r w:rsidRPr="009D1540">
              <w:rPr>
                <w:lang w:val="de-DE"/>
              </w:rPr>
              <w:t>-to-Default-Struktur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F03DD" w:rsidP="001E3451">
            <w:pPr>
              <w:pStyle w:val="CSBody8pt"/>
            </w:pPr>
            <w:r w:rsidRPr="00EF03DD">
              <w:t xml:space="preserve">Notwithstanding the immediately preceding paragraph, if a Potential Credit Event Period with respect to one or more Reference Entities has occurred prior to, and is continuing on </w:t>
            </w:r>
            <w:r w:rsidRPr="00792D61">
              <w:rPr>
                <w:b/>
              </w:rPr>
              <w:t>[</w:t>
            </w:r>
            <w:r w:rsidRPr="00EF03DD">
              <w:t>the</w:t>
            </w:r>
            <w:r w:rsidRPr="00792D61">
              <w:rPr>
                <w:b/>
              </w:rPr>
              <w:t>][</w:t>
            </w:r>
            <w:r w:rsidRPr="00EF03DD">
              <w:t>such</w:t>
            </w:r>
            <w:r w:rsidRPr="00792D61">
              <w:rPr>
                <w:b/>
              </w:rPr>
              <w:t>]</w:t>
            </w:r>
            <w:r w:rsidRPr="00EF03DD">
              <w:t xml:space="preserve"> Interest Payment Date, and each such Reference Entity is a Potential </w:t>
            </w:r>
            <w:r w:rsidRPr="00792D61">
              <w:rPr>
                <w:b/>
              </w:rPr>
              <w:t>[</w:t>
            </w:r>
            <w:r w:rsidRPr="009104B6">
              <w:rPr>
                <w:b/>
                <w:i/>
              </w:rPr>
              <w:t>insert relevant number:</w:t>
            </w:r>
            <w:r w:rsidRPr="00EF03DD">
              <w:t xml:space="preserve"> </w:t>
            </w:r>
            <w:r w:rsidRPr="00792D61">
              <w:rPr>
                <w:b/>
              </w:rPr>
              <w:t>[</w:t>
            </w:r>
            <w:r w:rsidRPr="00EF03DD">
              <w:t>1st</w:t>
            </w:r>
            <w:r w:rsidRPr="00792D61">
              <w:rPr>
                <w:b/>
              </w:rPr>
              <w:t>][</w:t>
            </w:r>
            <w:r w:rsidRPr="00EF03DD">
              <w:t>2nd</w:t>
            </w:r>
            <w:r w:rsidRPr="00792D61">
              <w:rPr>
                <w:b/>
              </w:rPr>
              <w:t>][</w:t>
            </w:r>
            <w:r w:rsidRPr="00EF03DD">
              <w:t>3rd</w:t>
            </w:r>
            <w:r w:rsidRPr="00792D61">
              <w:rPr>
                <w:b/>
              </w:rPr>
              <w:t>]</w:t>
            </w:r>
            <w:r w:rsidRPr="00EF03DD">
              <w:t xml:space="preserve"> </w:t>
            </w:r>
            <w:r w:rsidRPr="00792D61">
              <w:rPr>
                <w:b/>
              </w:rPr>
              <w:t>[[</w:t>
            </w:r>
            <w:r w:rsidRPr="00EF03DD">
              <w:rPr>
                <w:rFonts w:ascii="Arial" w:hAnsi="Arial" w:cs="Arial"/>
              </w:rPr>
              <w:t>●</w:t>
            </w:r>
            <w:r w:rsidRPr="00792D61">
              <w:rPr>
                <w:b/>
              </w:rPr>
              <w:t>]]]</w:t>
            </w:r>
            <w:r w:rsidRPr="00EF03DD">
              <w:t>-to-Default Reference Entity, the following shall apply:</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 xml:space="preserve">Ungeachtet des unmittelbar vorangehenden Absatzes gilt im Fall, dass ein Zeitraum eines Potenziellen Kreditereignisses bezüglich eines oder mehrerer der Referenzschuldner vor </w:t>
            </w:r>
            <w:r w:rsidRPr="00792D61">
              <w:rPr>
                <w:b/>
                <w:lang w:val="de-DE"/>
              </w:rPr>
              <w:t>[</w:t>
            </w:r>
            <w:r w:rsidRPr="009D1540">
              <w:rPr>
                <w:lang w:val="de-DE"/>
              </w:rPr>
              <w:t>dem</w:t>
            </w:r>
            <w:r w:rsidRPr="00792D61">
              <w:rPr>
                <w:b/>
                <w:lang w:val="de-DE"/>
              </w:rPr>
              <w:t>][</w:t>
            </w:r>
            <w:r w:rsidRPr="009D1540">
              <w:rPr>
                <w:lang w:val="de-DE"/>
              </w:rPr>
              <w:t>dem jeweiligen</w:t>
            </w:r>
            <w:r w:rsidRPr="00792D61">
              <w:rPr>
                <w:b/>
                <w:lang w:val="de-DE"/>
              </w:rPr>
              <w:t>]</w:t>
            </w:r>
            <w:r w:rsidRPr="009D1540">
              <w:rPr>
                <w:lang w:val="de-DE"/>
              </w:rPr>
              <w:t xml:space="preserve"> Zinszahlungstag begonnen hat und an diesem Zinszahlungstag andauert und jeder dieser Referenzschuldner ein Potenzieller </w:t>
            </w:r>
            <w:r w:rsidRPr="00792D61">
              <w:rPr>
                <w:b/>
                <w:lang w:val="de-DE"/>
              </w:rPr>
              <w:t>[</w:t>
            </w:r>
            <w:r w:rsidRPr="009104B6">
              <w:rPr>
                <w:b/>
                <w:i/>
                <w:lang w:val="de-DE"/>
              </w:rPr>
              <w:t>jeweilige Zahl einfügen:</w:t>
            </w:r>
            <w:r w:rsidRPr="009D1540">
              <w:rPr>
                <w:lang w:val="de-DE"/>
              </w:rPr>
              <w:t xml:space="preserve"> </w:t>
            </w:r>
            <w:r w:rsidRPr="00792D61">
              <w:rPr>
                <w:b/>
                <w:lang w:val="de-DE"/>
              </w:rPr>
              <w:t>[</w:t>
            </w:r>
            <w:r w:rsidRPr="009D1540">
              <w:rPr>
                <w:lang w:val="de-DE"/>
              </w:rPr>
              <w:t>1st</w:t>
            </w:r>
            <w:r w:rsidRPr="00792D61">
              <w:rPr>
                <w:b/>
                <w:lang w:val="de-DE"/>
              </w:rPr>
              <w:t>][</w:t>
            </w:r>
            <w:r w:rsidRPr="009D1540">
              <w:rPr>
                <w:lang w:val="de-DE"/>
              </w:rPr>
              <w:t>2nd</w:t>
            </w:r>
            <w:r w:rsidRPr="00792D61">
              <w:rPr>
                <w:b/>
                <w:lang w:val="de-DE"/>
              </w:rPr>
              <w:t>][</w:t>
            </w:r>
            <w:r w:rsidRPr="009D1540">
              <w:rPr>
                <w:lang w:val="de-DE"/>
              </w:rPr>
              <w:t>3rd</w:t>
            </w:r>
            <w:r w:rsidRPr="00792D61">
              <w:rPr>
                <w:b/>
                <w:lang w:val="de-DE"/>
              </w:rPr>
              <w:t>]</w:t>
            </w:r>
            <w:r w:rsidRPr="009D1540">
              <w:rPr>
                <w:lang w:val="de-DE"/>
              </w:rPr>
              <w:t xml:space="preserve"> </w:t>
            </w:r>
            <w:r w:rsidRPr="00792D61">
              <w:rPr>
                <w:b/>
                <w:lang w:val="de-DE"/>
              </w:rPr>
              <w:t>[[</w:t>
            </w:r>
            <w:r w:rsidRPr="009D1540">
              <w:rPr>
                <w:rFonts w:ascii="Arial" w:hAnsi="Arial" w:cs="Arial"/>
                <w:lang w:val="de-DE"/>
              </w:rPr>
              <w:t>●</w:t>
            </w:r>
            <w:r w:rsidRPr="00792D61">
              <w:rPr>
                <w:b/>
                <w:lang w:val="de-DE"/>
              </w:rPr>
              <w:t>]]]</w:t>
            </w:r>
            <w:r w:rsidRPr="009D1540">
              <w:rPr>
                <w:lang w:val="de-DE"/>
              </w:rPr>
              <w:t>-to-Default-Referenzschuldner ist, folgendes: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E3EA2" w:rsidP="00CB4D66">
            <w:pPr>
              <w:pStyle w:val="CSManNum8pt"/>
            </w:pPr>
            <w:r w:rsidRPr="008E3EA2">
              <w:t>(i)</w:t>
            </w:r>
            <w:r w:rsidRPr="008E3EA2">
              <w:tab/>
              <w:t xml:space="preserve">if the relevant Potential Failure to Pay </w:t>
            </w:r>
            <w:r w:rsidRPr="00792D61">
              <w:rPr>
                <w:b/>
              </w:rPr>
              <w:t>[</w:t>
            </w:r>
            <w:r w:rsidRPr="008E3EA2">
              <w:rPr>
                <w:b/>
                <w:i/>
              </w:rPr>
              <w:t>if "Repudiation/Moratorium" is applicable, insert:</w:t>
            </w:r>
            <w:r w:rsidRPr="008E3EA2">
              <w:t xml:space="preserve"> , Potential Repudiation/Moratorium</w:t>
            </w:r>
            <w:r w:rsidRPr="00792D61">
              <w:rPr>
                <w:b/>
              </w:rPr>
              <w:t>]</w:t>
            </w:r>
            <w:r w:rsidRPr="008E3EA2">
              <w:t xml:space="preserve"> or DC Pending Request, as the case may be, </w:t>
            </w:r>
            <w:r w:rsidRPr="008E3EA2">
              <w:rPr>
                <w:b/>
              </w:rPr>
              <w:t>results</w:t>
            </w:r>
            <w:r w:rsidRPr="008E3EA2">
              <w:t xml:space="preserve"> in the occurrence of a Credit Event Determination Date with respect to any such Potential </w:t>
            </w:r>
            <w:r w:rsidRPr="00792D61">
              <w:rPr>
                <w:b/>
              </w:rPr>
              <w:t>[</w:t>
            </w:r>
            <w:r w:rsidRPr="008E3EA2">
              <w:rPr>
                <w:b/>
                <w:i/>
              </w:rPr>
              <w:t xml:space="preserve">insert relevant number: </w:t>
            </w:r>
            <w:r w:rsidRPr="00792D61">
              <w:rPr>
                <w:b/>
              </w:rPr>
              <w:t>[</w:t>
            </w:r>
            <w:r w:rsidRPr="008E3EA2">
              <w:t>1st</w:t>
            </w:r>
            <w:r w:rsidRPr="00792D61">
              <w:rPr>
                <w:b/>
              </w:rPr>
              <w:t>][</w:t>
            </w:r>
            <w:r w:rsidRPr="008E3EA2">
              <w:t>2nd</w:t>
            </w:r>
            <w:r w:rsidRPr="00792D61">
              <w:rPr>
                <w:b/>
              </w:rPr>
              <w:t>][</w:t>
            </w:r>
            <w:r w:rsidRPr="008E3EA2">
              <w:t>3rd</w:t>
            </w:r>
            <w:r w:rsidRPr="00792D61">
              <w:rPr>
                <w:b/>
              </w:rPr>
              <w:t>][[</w:t>
            </w:r>
            <w:r w:rsidRPr="008E3EA2">
              <w:rPr>
                <w:rFonts w:ascii="Arial" w:hAnsi="Arial" w:cs="Arial"/>
              </w:rPr>
              <w:t>●</w:t>
            </w:r>
            <w:r w:rsidRPr="00792D61">
              <w:rPr>
                <w:b/>
              </w:rPr>
              <w:t>]]]</w:t>
            </w:r>
            <w:r w:rsidRPr="008E3EA2">
              <w:t xml:space="preserve">-to-Default Reference Entity prior to the </w:t>
            </w:r>
            <w:r w:rsidRPr="00792D61">
              <w:rPr>
                <w:b/>
              </w:rPr>
              <w:t>[</w:t>
            </w:r>
            <w:r w:rsidRPr="008E3EA2">
              <w:t>relevant</w:t>
            </w:r>
            <w:r w:rsidRPr="00792D61">
              <w:rPr>
                <w:b/>
              </w:rPr>
              <w:t>]</w:t>
            </w:r>
            <w:r w:rsidRPr="008E3EA2">
              <w:t xml:space="preserve"> Interest Payment Date </w:t>
            </w:r>
            <w:r w:rsidRPr="00792D61">
              <w:rPr>
                <w:b/>
              </w:rPr>
              <w:t>[</w:t>
            </w:r>
            <w:r w:rsidRPr="008E3EA2">
              <w:rPr>
                <w:b/>
                <w:i/>
              </w:rPr>
              <w:t>if (i) "Failure to Pay" and "Grace Period Extension" and/or (ii) "Repudiation/Moratorium" is applicable, insert:</w:t>
            </w:r>
            <w:r w:rsidRPr="008E3EA2">
              <w:t xml:space="preserve"> or, if later, the Extension Date relating to </w:t>
            </w:r>
            <w:r w:rsidRPr="00792D61">
              <w:rPr>
                <w:b/>
              </w:rPr>
              <w:t>[</w:t>
            </w:r>
            <w:r w:rsidRPr="008E3EA2">
              <w:t>such Potential Failure to Pay</w:t>
            </w:r>
            <w:r w:rsidRPr="00792D61">
              <w:rPr>
                <w:b/>
              </w:rPr>
              <w:t>][</w:t>
            </w:r>
            <w:r w:rsidRPr="008E3EA2">
              <w:t>or</w:t>
            </w:r>
            <w:r w:rsidRPr="00792D61">
              <w:rPr>
                <w:b/>
              </w:rPr>
              <w:t>][</w:t>
            </w:r>
            <w:r w:rsidRPr="008E3EA2">
              <w:t>such Potential Repudiation/Moratorium</w:t>
            </w:r>
            <w:r w:rsidRPr="00792D61">
              <w:rPr>
                <w:b/>
              </w:rPr>
              <w:t>]]</w:t>
            </w:r>
            <w:r w:rsidRPr="008E3EA2">
              <w:t xml:space="preserve"> and such Reference Entity is determined to be the </w:t>
            </w:r>
            <w:r w:rsidRPr="00792D61">
              <w:rPr>
                <w:b/>
              </w:rPr>
              <w:t>[</w:t>
            </w:r>
            <w:r w:rsidRPr="008E3EA2">
              <w:rPr>
                <w:b/>
                <w:i/>
              </w:rPr>
              <w:t>insert relevant number:</w:t>
            </w:r>
            <w:r w:rsidRPr="008E3EA2">
              <w:t xml:space="preserve"> </w:t>
            </w:r>
            <w:r w:rsidRPr="00792D61">
              <w:rPr>
                <w:b/>
              </w:rPr>
              <w:t>[</w:t>
            </w:r>
            <w:r w:rsidRPr="008E3EA2">
              <w:t>1st</w:t>
            </w:r>
            <w:r w:rsidRPr="00792D61">
              <w:rPr>
                <w:b/>
              </w:rPr>
              <w:t>][</w:t>
            </w:r>
            <w:r w:rsidRPr="008E3EA2">
              <w:t>2nd</w:t>
            </w:r>
            <w:r w:rsidRPr="00792D61">
              <w:rPr>
                <w:b/>
              </w:rPr>
              <w:t>][</w:t>
            </w:r>
            <w:r w:rsidRPr="008E3EA2">
              <w:t>3rd</w:t>
            </w:r>
            <w:r w:rsidRPr="00792D61">
              <w:rPr>
                <w:b/>
              </w:rPr>
              <w:t>][[</w:t>
            </w:r>
            <w:r w:rsidRPr="008E3EA2">
              <w:rPr>
                <w:rFonts w:ascii="Arial" w:hAnsi="Arial" w:cs="Arial"/>
              </w:rPr>
              <w:t>●</w:t>
            </w:r>
            <w:r w:rsidRPr="00792D61">
              <w:rPr>
                <w:b/>
              </w:rPr>
              <w:t>]]]</w:t>
            </w:r>
            <w:r w:rsidRPr="008E3EA2">
              <w:t xml:space="preserve">-to-Default Reference Entity on or prior to the last day of the related Potential Credit Event Period, the Issuer shall not pay the </w:t>
            </w:r>
            <w:r w:rsidRPr="00792D61">
              <w:rPr>
                <w:b/>
              </w:rPr>
              <w:t>[</w:t>
            </w:r>
            <w:r w:rsidRPr="008E3EA2">
              <w:t>relevant</w:t>
            </w:r>
            <w:r w:rsidRPr="00792D61">
              <w:rPr>
                <w:b/>
              </w:rPr>
              <w:t>]</w:t>
            </w:r>
            <w:r w:rsidRPr="008E3EA2">
              <w:t xml:space="preserve"> Interest Payment Amount</w:t>
            </w:r>
          </w:p>
        </w:tc>
        <w:tc>
          <w:tcPr>
            <w:tcW w:w="4936" w:type="dxa"/>
            <w:gridSpan w:val="3"/>
            <w:tcBorders>
              <w:top w:val="nil"/>
              <w:bottom w:val="nil"/>
              <w:right w:val="nil"/>
            </w:tcBorders>
            <w:shd w:val="clear" w:color="auto" w:fill="auto"/>
          </w:tcPr>
          <w:p w:rsidR="0017135D" w:rsidRPr="009D1540" w:rsidP="007E3558">
            <w:pPr>
              <w:pStyle w:val="CSManNum8pt"/>
              <w:rPr>
                <w:bCs/>
                <w:lang w:val="de-DE"/>
              </w:rPr>
            </w:pPr>
            <w:r w:rsidRPr="008E3EA2">
              <w:rPr>
                <w:bCs/>
                <w:lang w:val="de-DE"/>
              </w:rPr>
              <w:t>(i)</w:t>
            </w:r>
            <w:r w:rsidRPr="008E3EA2">
              <w:rPr>
                <w:bCs/>
                <w:lang w:val="de-DE"/>
              </w:rPr>
              <w:tab/>
              <w:t xml:space="preserve">falls die jeweilige Potenzielle Nichtzahlung </w:t>
            </w:r>
            <w:r w:rsidRPr="00792D61">
              <w:rPr>
                <w:b/>
                <w:bCs/>
                <w:lang w:val="de-DE"/>
              </w:rPr>
              <w:t>[</w:t>
            </w:r>
            <w:r w:rsidRPr="008E3EA2">
              <w:rPr>
                <w:b/>
                <w:bCs/>
                <w:i/>
                <w:lang w:val="de-DE"/>
              </w:rPr>
              <w:t>falls "Nichtanerkenung/Moratorium" anwendbar ist, einfügen:</w:t>
            </w:r>
            <w:r w:rsidRPr="008E3EA2">
              <w:rPr>
                <w:bCs/>
                <w:lang w:val="de-DE"/>
              </w:rPr>
              <w:t xml:space="preserve"> oder die jeweilige Potenzielle Nichtanerkennung/ das jeweilige Potenzielle Moratorium</w:t>
            </w:r>
            <w:r w:rsidRPr="00792D61">
              <w:rPr>
                <w:b/>
                <w:bCs/>
                <w:lang w:val="de-DE"/>
              </w:rPr>
              <w:t>]</w:t>
            </w:r>
            <w:r w:rsidRPr="008E3EA2">
              <w:rPr>
                <w:bCs/>
                <w:lang w:val="de-DE"/>
              </w:rPr>
              <w:t xml:space="preserve"> oder ein Ausstehender Antrag zu einem Kreditereignis-Feststellungstag bezüglich irgend eines dieser Potenziellen </w:t>
            </w:r>
            <w:r w:rsidRPr="00792D61">
              <w:rPr>
                <w:b/>
                <w:bCs/>
                <w:lang w:val="de-DE"/>
              </w:rPr>
              <w:t>[</w:t>
            </w:r>
            <w:r w:rsidRPr="008E3EA2">
              <w:rPr>
                <w:b/>
                <w:bCs/>
                <w:i/>
                <w:lang w:val="de-DE"/>
              </w:rPr>
              <w:t>jeweilige Zahl einfügen:</w:t>
            </w:r>
            <w:r w:rsidRPr="008E3EA2">
              <w:rPr>
                <w:bCs/>
                <w:lang w:val="de-DE"/>
              </w:rPr>
              <w:t xml:space="preserve"> </w:t>
            </w:r>
            <w:r w:rsidRPr="00792D61">
              <w:rPr>
                <w:b/>
                <w:bCs/>
                <w:lang w:val="de-DE"/>
              </w:rPr>
              <w:t>[</w:t>
            </w:r>
            <w:r w:rsidRPr="008E3EA2">
              <w:rPr>
                <w:bCs/>
                <w:lang w:val="de-DE"/>
              </w:rPr>
              <w:t>1st</w:t>
            </w:r>
            <w:r w:rsidRPr="00792D61">
              <w:rPr>
                <w:b/>
                <w:bCs/>
                <w:lang w:val="de-DE"/>
              </w:rPr>
              <w:t>][</w:t>
            </w:r>
            <w:r w:rsidRPr="008E3EA2">
              <w:rPr>
                <w:bCs/>
                <w:lang w:val="de-DE"/>
              </w:rPr>
              <w:t>2nd</w:t>
            </w:r>
            <w:r w:rsidRPr="00792D61">
              <w:rPr>
                <w:b/>
                <w:bCs/>
                <w:lang w:val="de-DE"/>
              </w:rPr>
              <w:t>][</w:t>
            </w:r>
            <w:r w:rsidRPr="008E3EA2">
              <w:rPr>
                <w:bCs/>
                <w:lang w:val="de-DE"/>
              </w:rPr>
              <w:t>3rd</w:t>
            </w:r>
            <w:r w:rsidRPr="00792D61">
              <w:rPr>
                <w:b/>
                <w:bCs/>
                <w:lang w:val="de-DE"/>
              </w:rPr>
              <w:t>]</w:t>
            </w:r>
            <w:r w:rsidRPr="008E3EA2">
              <w:rPr>
                <w:bCs/>
                <w:lang w:val="de-DE"/>
              </w:rPr>
              <w:t xml:space="preserve"> </w:t>
            </w:r>
            <w:r w:rsidRPr="00792D61">
              <w:rPr>
                <w:b/>
                <w:bCs/>
                <w:lang w:val="de-DE"/>
              </w:rPr>
              <w:t>[[</w:t>
            </w:r>
            <w:r w:rsidRPr="008E3EA2">
              <w:rPr>
                <w:rFonts w:ascii="Arial" w:hAnsi="Arial" w:cs="Arial"/>
                <w:bCs/>
                <w:lang w:val="de-DE"/>
              </w:rPr>
              <w:t>●</w:t>
            </w:r>
            <w:r w:rsidRPr="00792D61">
              <w:rPr>
                <w:b/>
                <w:bCs/>
                <w:lang w:val="de-DE"/>
              </w:rPr>
              <w:t>]]]</w:t>
            </w:r>
            <w:r w:rsidRPr="008E3EA2">
              <w:rPr>
                <w:bCs/>
                <w:lang w:val="de-DE"/>
              </w:rPr>
              <w:t xml:space="preserve">-to-Default-Referenzschuldner vor dem </w:t>
            </w:r>
            <w:r w:rsidRPr="00792D61">
              <w:rPr>
                <w:b/>
                <w:bCs/>
                <w:lang w:val="de-DE"/>
              </w:rPr>
              <w:t>[</w:t>
            </w:r>
            <w:r w:rsidRPr="008E3EA2">
              <w:rPr>
                <w:bCs/>
                <w:lang w:val="de-DE"/>
              </w:rPr>
              <w:t>jeweiligen</w:t>
            </w:r>
            <w:r w:rsidRPr="00792D61">
              <w:rPr>
                <w:b/>
                <w:bCs/>
                <w:lang w:val="de-DE"/>
              </w:rPr>
              <w:t>]</w:t>
            </w:r>
            <w:r w:rsidRPr="008E3EA2">
              <w:rPr>
                <w:bCs/>
                <w:lang w:val="de-DE"/>
              </w:rPr>
              <w:t xml:space="preserve"> Zinszahlungstag </w:t>
            </w:r>
            <w:r w:rsidRPr="00792D61">
              <w:rPr>
                <w:b/>
                <w:bCs/>
                <w:lang w:val="de-DE"/>
              </w:rPr>
              <w:t>[</w:t>
            </w:r>
            <w:r w:rsidRPr="008E3EA2">
              <w:rPr>
                <w:b/>
                <w:bCs/>
                <w:i/>
                <w:lang w:val="de-DE"/>
              </w:rPr>
              <w:t>falls (i) "Nichtzahlung</w:t>
            </w:r>
            <w:r>
              <w:rPr>
                <w:rFonts w:cs="Credit Suisse Type Light"/>
                <w:b/>
                <w:bCs/>
                <w:i/>
                <w:lang w:val="de-DE"/>
              </w:rPr>
              <w:t>"</w:t>
            </w:r>
            <w:r w:rsidRPr="008E3EA2">
              <w:rPr>
                <w:b/>
                <w:bCs/>
                <w:i/>
                <w:lang w:val="de-DE"/>
              </w:rPr>
              <w:t xml:space="preserve"> und "Verlängerung wegen Nachfrist</w:t>
            </w:r>
            <w:r>
              <w:rPr>
                <w:b/>
                <w:bCs/>
                <w:i/>
                <w:lang w:val="de-DE"/>
              </w:rPr>
              <w:t>"</w:t>
            </w:r>
            <w:r w:rsidRPr="008E3EA2">
              <w:rPr>
                <w:b/>
                <w:bCs/>
                <w:i/>
                <w:lang w:val="de-DE"/>
              </w:rPr>
              <w:t xml:space="preserve"> und/oder (ii) "Nichtanerkennung/Moratorium</w:t>
            </w:r>
            <w:r>
              <w:rPr>
                <w:b/>
                <w:bCs/>
                <w:i/>
                <w:lang w:val="de-DE"/>
              </w:rPr>
              <w:t>"</w:t>
            </w:r>
            <w:r w:rsidRPr="008E3EA2">
              <w:rPr>
                <w:b/>
                <w:bCs/>
                <w:i/>
                <w:lang w:val="de-DE"/>
              </w:rPr>
              <w:t xml:space="preserve"> anwendbar sind, einfügen:</w:t>
            </w:r>
            <w:r w:rsidRPr="008E3EA2">
              <w:rPr>
                <w:bCs/>
                <w:lang w:val="de-DE"/>
              </w:rPr>
              <w:t xml:space="preserve"> oder, falls später, dem Verlängerungstag bezüglich </w:t>
            </w:r>
            <w:r w:rsidRPr="00792D61">
              <w:rPr>
                <w:b/>
                <w:bCs/>
                <w:lang w:val="de-DE"/>
              </w:rPr>
              <w:t>[</w:t>
            </w:r>
            <w:r w:rsidRPr="008E3EA2">
              <w:rPr>
                <w:bCs/>
                <w:lang w:val="de-DE"/>
              </w:rPr>
              <w:t>dieser Potenziellen Nichtzahlung</w:t>
            </w:r>
            <w:r w:rsidRPr="00792D61">
              <w:rPr>
                <w:b/>
                <w:bCs/>
                <w:lang w:val="de-DE"/>
              </w:rPr>
              <w:t>][</w:t>
            </w:r>
            <w:r w:rsidRPr="008E3EA2">
              <w:rPr>
                <w:bCs/>
                <w:lang w:val="de-DE"/>
              </w:rPr>
              <w:t>oder</w:t>
            </w:r>
            <w:r w:rsidRPr="00792D61">
              <w:rPr>
                <w:b/>
                <w:bCs/>
                <w:lang w:val="de-DE"/>
              </w:rPr>
              <w:t>][</w:t>
            </w:r>
            <w:r w:rsidRPr="008E3EA2">
              <w:rPr>
                <w:bCs/>
                <w:lang w:val="de-DE"/>
              </w:rPr>
              <w:t>dieser Potenziellen Nichtanerkennung/dieses Potenziellen Moratoriums</w:t>
            </w:r>
            <w:r w:rsidRPr="00792D61">
              <w:rPr>
                <w:b/>
                <w:bCs/>
                <w:lang w:val="de-DE"/>
              </w:rPr>
              <w:t>]]</w:t>
            </w:r>
            <w:r w:rsidRPr="008E3EA2">
              <w:rPr>
                <w:bCs/>
                <w:lang w:val="de-DE"/>
              </w:rPr>
              <w:t xml:space="preserve"> führt und an oder vor dem letzten Tag des diesbezüglichen Zeitraums eines Potenziellen Kreditereignisses festgestellt wird, dass dieser Referenzschuldner der </w:t>
            </w:r>
            <w:r w:rsidRPr="00792D61">
              <w:rPr>
                <w:b/>
                <w:bCs/>
                <w:lang w:val="de-DE"/>
              </w:rPr>
              <w:t>[</w:t>
            </w:r>
            <w:r w:rsidRPr="008E3EA2">
              <w:rPr>
                <w:b/>
                <w:bCs/>
                <w:i/>
                <w:lang w:val="de-DE"/>
              </w:rPr>
              <w:t>jeweilige Zahl einfügen:</w:t>
            </w:r>
            <w:r w:rsidRPr="008E3EA2">
              <w:rPr>
                <w:bCs/>
                <w:lang w:val="de-DE"/>
              </w:rPr>
              <w:t xml:space="preserve"> </w:t>
            </w:r>
            <w:r w:rsidRPr="00792D61">
              <w:rPr>
                <w:b/>
                <w:bCs/>
                <w:lang w:val="de-DE"/>
              </w:rPr>
              <w:t>[</w:t>
            </w:r>
            <w:r w:rsidRPr="008E3EA2">
              <w:rPr>
                <w:bCs/>
                <w:lang w:val="de-DE"/>
              </w:rPr>
              <w:t>1st</w:t>
            </w:r>
            <w:r w:rsidRPr="00792D61">
              <w:rPr>
                <w:b/>
                <w:bCs/>
                <w:lang w:val="de-DE"/>
              </w:rPr>
              <w:t>][</w:t>
            </w:r>
            <w:r w:rsidRPr="008E3EA2">
              <w:rPr>
                <w:bCs/>
                <w:lang w:val="de-DE"/>
              </w:rPr>
              <w:t>2nd</w:t>
            </w:r>
            <w:r w:rsidRPr="00792D61">
              <w:rPr>
                <w:b/>
                <w:bCs/>
                <w:lang w:val="de-DE"/>
              </w:rPr>
              <w:t>][</w:t>
            </w:r>
            <w:r w:rsidRPr="008E3EA2">
              <w:rPr>
                <w:bCs/>
                <w:lang w:val="de-DE"/>
              </w:rPr>
              <w:t>3rd</w:t>
            </w:r>
            <w:r w:rsidRPr="00792D61">
              <w:rPr>
                <w:b/>
                <w:bCs/>
                <w:lang w:val="de-DE"/>
              </w:rPr>
              <w:t>]</w:t>
            </w:r>
            <w:r w:rsidRPr="008E3EA2">
              <w:rPr>
                <w:bCs/>
                <w:lang w:val="de-DE"/>
              </w:rPr>
              <w:t xml:space="preserve"> </w:t>
            </w:r>
            <w:r w:rsidRPr="00792D61">
              <w:rPr>
                <w:b/>
                <w:bCs/>
                <w:lang w:val="de-DE"/>
              </w:rPr>
              <w:t>[[</w:t>
            </w:r>
            <w:r w:rsidRPr="008E3EA2">
              <w:rPr>
                <w:rFonts w:ascii="Arial" w:hAnsi="Arial" w:cs="Arial"/>
                <w:bCs/>
                <w:lang w:val="de-DE"/>
              </w:rPr>
              <w:t>●</w:t>
            </w:r>
            <w:r w:rsidRPr="00792D61">
              <w:rPr>
                <w:b/>
                <w:bCs/>
                <w:lang w:val="de-DE"/>
              </w:rPr>
              <w:t>]]]</w:t>
            </w:r>
            <w:r w:rsidRPr="008E3EA2">
              <w:rPr>
                <w:bCs/>
                <w:lang w:val="de-DE"/>
              </w:rPr>
              <w:t xml:space="preserve">-to-Default-Referenzschuldner ist, zahlt die Emittentin den </w:t>
            </w:r>
            <w:r w:rsidRPr="00792D61">
              <w:rPr>
                <w:b/>
                <w:bCs/>
                <w:lang w:val="de-DE"/>
              </w:rPr>
              <w:t>[</w:t>
            </w:r>
            <w:r w:rsidRPr="008E3EA2">
              <w:rPr>
                <w:bCs/>
                <w:lang w:val="de-DE"/>
              </w:rPr>
              <w:t>jeweiligen</w:t>
            </w:r>
            <w:r w:rsidRPr="00792D61">
              <w:rPr>
                <w:b/>
                <w:bCs/>
                <w:lang w:val="de-DE"/>
              </w:rPr>
              <w:t>]</w:t>
            </w:r>
            <w:r w:rsidRPr="008E3EA2">
              <w:rPr>
                <w:bCs/>
                <w:lang w:val="de-DE"/>
              </w:rPr>
              <w:t xml:space="preserve"> Zinszahlungsbetrag nicht;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7E3558">
            <w:pPr>
              <w:pStyle w:val="CSManNum8pt"/>
            </w:pPr>
            <w:r w:rsidRPr="009D1540">
              <w:t>(ii)</w:t>
            </w:r>
            <w:r w:rsidRPr="009D1540">
              <w:tab/>
              <w:t xml:space="preserve">if the relevant Potential Failure to Pay </w:t>
            </w:r>
            <w:r w:rsidRPr="00792D61">
              <w:rPr>
                <w:b/>
              </w:rPr>
              <w:t>[</w:t>
            </w:r>
            <w:r w:rsidRPr="009104B6">
              <w:rPr>
                <w:b/>
                <w:i/>
              </w:rPr>
              <w:t>if "Repudiation/Moratorium" is applicable, insert:</w:t>
            </w:r>
            <w:r w:rsidRPr="009D1540">
              <w:t xml:space="preserve"> , Potential Repudiation/Moratorium</w:t>
            </w:r>
            <w:r w:rsidRPr="00792D61">
              <w:rPr>
                <w:b/>
              </w:rPr>
              <w:t>]</w:t>
            </w:r>
            <w:r w:rsidRPr="009D1540">
              <w:t xml:space="preserve"> or DC Pending Request, as the case may be, </w:t>
            </w:r>
            <w:r w:rsidRPr="009104B6">
              <w:rPr>
                <w:b/>
              </w:rPr>
              <w:t>does not result</w:t>
            </w:r>
            <w:r w:rsidRPr="009D1540">
              <w:t xml:space="preserve"> in the occurrence of a Credit Event Determination Date with respect to any such Potential </w:t>
            </w:r>
            <w:r w:rsidRPr="00792D61">
              <w:rPr>
                <w:b/>
              </w:rPr>
              <w:t>[</w:t>
            </w:r>
            <w:r w:rsidRPr="009104B6">
              <w:rPr>
                <w:b/>
                <w:i/>
              </w:rPr>
              <w:t>insert relevant number:</w:t>
            </w:r>
            <w:r w:rsidRPr="009D1540">
              <w:t xml:space="preserve"> </w:t>
            </w:r>
            <w:r w:rsidRPr="00792D61">
              <w:rPr>
                <w:b/>
              </w:rPr>
              <w:t>[</w:t>
            </w:r>
            <w:r w:rsidRPr="009D1540">
              <w:t>1st</w:t>
            </w:r>
            <w:r w:rsidRPr="00792D61">
              <w:rPr>
                <w:b/>
              </w:rPr>
              <w:t>][</w:t>
            </w:r>
            <w:r w:rsidRPr="009D1540">
              <w:t>2nd</w:t>
            </w:r>
            <w:r w:rsidRPr="00792D61">
              <w:rPr>
                <w:b/>
              </w:rPr>
              <w:t>][</w:t>
            </w:r>
            <w:r w:rsidRPr="009D1540">
              <w:t>3rd</w:t>
            </w:r>
            <w:r w:rsidRPr="00792D61">
              <w:rPr>
                <w:b/>
              </w:rPr>
              <w:t>][[</w:t>
            </w:r>
            <w:r w:rsidRPr="009D1540">
              <w:rPr>
                <w:rFonts w:ascii="Arial" w:hAnsi="Arial" w:cs="Arial"/>
              </w:rPr>
              <w:t>●</w:t>
            </w:r>
            <w:r w:rsidRPr="00792D61">
              <w:rPr>
                <w:b/>
              </w:rPr>
              <w:t>]]]</w:t>
            </w:r>
            <w:r w:rsidRPr="009D1540">
              <w:t xml:space="preserve">-to-Default Reference Entity prior to the </w:t>
            </w:r>
            <w:r w:rsidRPr="00792D61">
              <w:rPr>
                <w:b/>
              </w:rPr>
              <w:t>[</w:t>
            </w:r>
            <w:r w:rsidRPr="009D1540">
              <w:t>relevant</w:t>
            </w:r>
            <w:r w:rsidRPr="00792D61">
              <w:rPr>
                <w:b/>
              </w:rPr>
              <w:t>]</w:t>
            </w:r>
            <w:r w:rsidRPr="009D1540">
              <w:t xml:space="preserve"> Interest Payment Date </w:t>
            </w:r>
            <w:r w:rsidRPr="00792D61">
              <w:rPr>
                <w:b/>
              </w:rPr>
              <w:t>[</w:t>
            </w:r>
            <w:r w:rsidRPr="008E3EA2">
              <w:rPr>
                <w:b/>
                <w:i/>
              </w:rPr>
              <w:t xml:space="preserve">if (i) </w:t>
            </w:r>
            <w:r>
              <w:rPr>
                <w:rFonts w:cs="Credit Suisse Type Light"/>
                <w:b/>
                <w:i/>
              </w:rPr>
              <w:t>"</w:t>
            </w:r>
            <w:r w:rsidRPr="008E3EA2">
              <w:rPr>
                <w:b/>
                <w:i/>
              </w:rPr>
              <w:t>Failure to Pay</w:t>
            </w:r>
            <w:r>
              <w:rPr>
                <w:b/>
                <w:i/>
              </w:rPr>
              <w:t>"</w:t>
            </w:r>
            <w:r w:rsidRPr="008E3EA2">
              <w:rPr>
                <w:b/>
                <w:i/>
              </w:rPr>
              <w:t xml:space="preserve"> and </w:t>
            </w:r>
            <w:r>
              <w:rPr>
                <w:rFonts w:cs="Credit Suisse Type Light"/>
                <w:b/>
                <w:i/>
              </w:rPr>
              <w:t>"</w:t>
            </w:r>
            <w:r w:rsidRPr="008E3EA2">
              <w:rPr>
                <w:b/>
                <w:i/>
              </w:rPr>
              <w:t>Grace Period Extension</w:t>
            </w:r>
            <w:r>
              <w:rPr>
                <w:b/>
                <w:i/>
              </w:rPr>
              <w:t>"</w:t>
            </w:r>
            <w:r w:rsidRPr="008E3EA2">
              <w:rPr>
                <w:b/>
                <w:i/>
              </w:rPr>
              <w:t xml:space="preserve"> and/or (ii) </w:t>
            </w:r>
            <w:r>
              <w:rPr>
                <w:b/>
                <w:i/>
              </w:rPr>
              <w:t>"</w:t>
            </w:r>
            <w:r w:rsidRPr="008E3EA2">
              <w:rPr>
                <w:b/>
                <w:i/>
              </w:rPr>
              <w:t>Repudiation/Moratorium</w:t>
            </w:r>
            <w:r>
              <w:rPr>
                <w:b/>
                <w:i/>
              </w:rPr>
              <w:t>"</w:t>
            </w:r>
            <w:r w:rsidRPr="008E3EA2">
              <w:rPr>
                <w:b/>
                <w:i/>
              </w:rPr>
              <w:t xml:space="preserve"> is applicable, insert:</w:t>
            </w:r>
            <w:r w:rsidRPr="009D1540">
              <w:t xml:space="preserve"> or, if later, the Extension Date relating to </w:t>
            </w:r>
            <w:r w:rsidRPr="00792D61">
              <w:rPr>
                <w:b/>
              </w:rPr>
              <w:t>[</w:t>
            </w:r>
            <w:r w:rsidRPr="009D1540">
              <w:t>such Potential Failure to Pay</w:t>
            </w:r>
            <w:r w:rsidRPr="00792D61">
              <w:rPr>
                <w:b/>
              </w:rPr>
              <w:t>][</w:t>
            </w:r>
            <w:r w:rsidRPr="009D1540">
              <w:t>or</w:t>
            </w:r>
            <w:r w:rsidRPr="00792D61">
              <w:rPr>
                <w:b/>
              </w:rPr>
              <w:t>][</w:t>
            </w:r>
            <w:r w:rsidRPr="009D1540">
              <w:t>such Potential Repudiation/Moratorium</w:t>
            </w:r>
            <w:r w:rsidRPr="00792D61">
              <w:rPr>
                <w:b/>
              </w:rPr>
              <w:t>]]</w:t>
            </w:r>
            <w:r w:rsidRPr="009D1540">
              <w:t xml:space="preserve"> and no such Reference Entity is determined to be the </w:t>
            </w:r>
            <w:r w:rsidRPr="00792D61">
              <w:rPr>
                <w:b/>
              </w:rPr>
              <w:t>[</w:t>
            </w:r>
            <w:r w:rsidRPr="008E3EA2">
              <w:rPr>
                <w:b/>
                <w:i/>
              </w:rPr>
              <w:t xml:space="preserve">insert relevant number: </w:t>
            </w:r>
            <w:r w:rsidRPr="00792D61">
              <w:rPr>
                <w:b/>
              </w:rPr>
              <w:t>[</w:t>
            </w:r>
            <w:r w:rsidRPr="009D1540">
              <w:t>1st</w:t>
            </w:r>
            <w:r w:rsidRPr="00792D61">
              <w:rPr>
                <w:b/>
              </w:rPr>
              <w:t>][</w:t>
            </w:r>
            <w:r w:rsidRPr="009D1540">
              <w:t>2nd</w:t>
            </w:r>
            <w:r w:rsidRPr="00792D61">
              <w:rPr>
                <w:b/>
              </w:rPr>
              <w:t>][</w:t>
            </w:r>
            <w:r w:rsidRPr="009D1540">
              <w:t>3rd</w:t>
            </w:r>
            <w:r w:rsidRPr="00792D61">
              <w:rPr>
                <w:b/>
              </w:rPr>
              <w:t>][[</w:t>
            </w:r>
            <w:r w:rsidRPr="009D1540">
              <w:rPr>
                <w:rFonts w:ascii="Arial" w:hAnsi="Arial" w:cs="Arial"/>
              </w:rPr>
              <w:t>●</w:t>
            </w:r>
            <w:r w:rsidRPr="00792D61">
              <w:rPr>
                <w:b/>
              </w:rPr>
              <w:t>]]]</w:t>
            </w:r>
            <w:r w:rsidRPr="009D1540">
              <w:t xml:space="preserve">-to-Default Reference Entity on or prior to the last day of the related Potential Credit Event Period, instead of paying the </w:t>
            </w:r>
            <w:r w:rsidRPr="00792D61">
              <w:rPr>
                <w:b/>
              </w:rPr>
              <w:t>[</w:t>
            </w:r>
            <w:r w:rsidRPr="009D1540">
              <w:t>relevant</w:t>
            </w:r>
            <w:r w:rsidRPr="00792D61">
              <w:rPr>
                <w:b/>
              </w:rPr>
              <w:t>]</w:t>
            </w:r>
            <w:r w:rsidRPr="009D1540">
              <w:t xml:space="preserve"> Interest Payment Amount on </w:t>
            </w:r>
            <w:r w:rsidRPr="00792D61">
              <w:rPr>
                <w:b/>
              </w:rPr>
              <w:t>[</w:t>
            </w:r>
            <w:r w:rsidRPr="009D1540">
              <w:t>the</w:t>
            </w:r>
            <w:r w:rsidRPr="00792D61">
              <w:rPr>
                <w:b/>
              </w:rPr>
              <w:t>][</w:t>
            </w:r>
            <w:r w:rsidRPr="009D1540">
              <w:t>such</w:t>
            </w:r>
            <w:r w:rsidRPr="00792D61">
              <w:rPr>
                <w:b/>
              </w:rPr>
              <w:t>]</w:t>
            </w:r>
            <w:r w:rsidRPr="009D1540">
              <w:t xml:space="preserve"> Interest Payment Date, the Issuer shall pay the </w:t>
            </w:r>
            <w:r w:rsidRPr="00792D61">
              <w:rPr>
                <w:b/>
              </w:rPr>
              <w:t>[</w:t>
            </w:r>
            <w:r w:rsidRPr="009D1540">
              <w:t>relevant</w:t>
            </w:r>
            <w:r w:rsidRPr="00792D61">
              <w:rPr>
                <w:b/>
              </w:rPr>
              <w:t>]</w:t>
            </w:r>
            <w:r w:rsidRPr="009D1540">
              <w:t xml:space="preserve"> Interest Payment Amount per Complex Product on the </w:t>
            </w:r>
            <w:r w:rsidRPr="00792D61">
              <w:rPr>
                <w:b/>
              </w:rPr>
              <w:t>[</w:t>
            </w:r>
            <w:r w:rsidRPr="009D1540">
              <w:t>fifth</w:t>
            </w:r>
            <w:r w:rsidRPr="00792D61">
              <w:rPr>
                <w:b/>
              </w:rPr>
              <w:t>][[</w:t>
            </w:r>
            <w:r w:rsidRPr="009D1540">
              <w:rPr>
                <w:rFonts w:ascii="Arial" w:hAnsi="Arial" w:cs="Arial"/>
              </w:rPr>
              <w:t>●</w:t>
            </w:r>
            <w:r w:rsidRPr="00792D61">
              <w:rPr>
                <w:b/>
              </w:rPr>
              <w:t>]]</w:t>
            </w:r>
            <w:r w:rsidRPr="009D1540">
              <w:t xml:space="preserve"> Business Day following the last day of the related Potential Credit Event Period to the Holder thereof</w:t>
            </w:r>
            <w:r w:rsidRPr="00792D61">
              <w:rPr>
                <w:b/>
              </w:rPr>
              <w:t>[</w:t>
            </w:r>
            <w:r w:rsidRPr="009D1540">
              <w:t>.</w:t>
            </w:r>
            <w:r w:rsidRPr="00792D61">
              <w:rPr>
                <w:b/>
              </w:rPr>
              <w:t>][</w:t>
            </w:r>
            <w:r w:rsidRPr="008E3EA2">
              <w:rPr>
                <w:b/>
                <w:i/>
              </w:rPr>
              <w:t>if applicable, insert:</w:t>
            </w:r>
            <w:r w:rsidRPr="009D1540">
              <w:t xml:space="preserve"> ;</w:t>
            </w:r>
          </w:p>
        </w:tc>
        <w:tc>
          <w:tcPr>
            <w:tcW w:w="4936" w:type="dxa"/>
            <w:gridSpan w:val="3"/>
            <w:tcBorders>
              <w:top w:val="nil"/>
              <w:bottom w:val="nil"/>
              <w:right w:val="nil"/>
            </w:tcBorders>
            <w:shd w:val="clear" w:color="auto" w:fill="auto"/>
          </w:tcPr>
          <w:p w:rsidR="0017135D" w:rsidRPr="009D1540" w:rsidP="007E3558">
            <w:pPr>
              <w:pStyle w:val="CSManNum8pt"/>
              <w:rPr>
                <w:bCs/>
                <w:lang w:val="de-DE"/>
              </w:rPr>
            </w:pPr>
            <w:r w:rsidRPr="009D1540">
              <w:rPr>
                <w:bCs/>
                <w:lang w:val="de-DE"/>
              </w:rPr>
              <w:t>(ii)</w:t>
            </w:r>
            <w:r w:rsidRPr="009D1540">
              <w:rPr>
                <w:bCs/>
                <w:lang w:val="de-DE"/>
              </w:rPr>
              <w:tab/>
              <w:t xml:space="preserve">falls die jeweilige Potenzielle Nichtzahlung </w:t>
            </w:r>
            <w:r w:rsidRPr="00792D61">
              <w:rPr>
                <w:b/>
                <w:bCs/>
                <w:lang w:val="de-DE"/>
              </w:rPr>
              <w:t>[</w:t>
            </w:r>
            <w:r w:rsidRPr="008E3EA2">
              <w:rPr>
                <w:b/>
                <w:bCs/>
                <w:i/>
                <w:lang w:val="de-DE"/>
              </w:rPr>
              <w:t>falls "Nichtanerkennung/Moratorium" anwendbar ist, einfügen:</w:t>
            </w:r>
            <w:r w:rsidRPr="009D1540">
              <w:rPr>
                <w:bCs/>
                <w:lang w:val="de-DE"/>
              </w:rPr>
              <w:t xml:space="preserve"> oder die jeweilige Potenzielle Nichtanerkennung/ das jeweilige Potenzielle Moratorium</w:t>
            </w:r>
            <w:r w:rsidRPr="00792D61">
              <w:rPr>
                <w:b/>
                <w:bCs/>
                <w:lang w:val="de-DE"/>
              </w:rPr>
              <w:t>]</w:t>
            </w:r>
            <w:r w:rsidRPr="009D1540">
              <w:rPr>
                <w:bCs/>
                <w:lang w:val="de-DE"/>
              </w:rPr>
              <w:t xml:space="preserve"> oder ein Ausstehender Antrag </w:t>
            </w:r>
            <w:r w:rsidRPr="008E3EA2">
              <w:rPr>
                <w:b/>
                <w:bCs/>
                <w:lang w:val="de-DE"/>
              </w:rPr>
              <w:t>nicht</w:t>
            </w:r>
            <w:r w:rsidRPr="009D1540">
              <w:rPr>
                <w:bCs/>
                <w:lang w:val="de-DE"/>
              </w:rPr>
              <w:t xml:space="preserve"> zu einem Kreditereignis-Feststellungstag bezüglich irgend eines dieser Potenziellen </w:t>
            </w:r>
            <w:r w:rsidRPr="00792D61">
              <w:rPr>
                <w:b/>
                <w:bCs/>
                <w:lang w:val="de-DE"/>
              </w:rPr>
              <w:t>[</w:t>
            </w:r>
            <w:r w:rsidRPr="008E3EA2">
              <w:rPr>
                <w:b/>
                <w:bCs/>
                <w:i/>
                <w:lang w:val="de-DE"/>
              </w:rPr>
              <w:t>jeweilige Zahl einfügen:</w:t>
            </w:r>
            <w:r w:rsidRPr="009D1540">
              <w:rPr>
                <w:bCs/>
                <w:lang w:val="de-DE"/>
              </w:rPr>
              <w:t xml:space="preserve"> </w:t>
            </w:r>
            <w:r w:rsidRPr="00792D61">
              <w:rPr>
                <w:b/>
                <w:bCs/>
                <w:lang w:val="de-DE"/>
              </w:rPr>
              <w:t>[</w:t>
            </w:r>
            <w:r w:rsidRPr="009D1540">
              <w:rPr>
                <w:bCs/>
                <w:lang w:val="de-DE"/>
              </w:rPr>
              <w:t>1st</w:t>
            </w:r>
            <w:r w:rsidRPr="00792D61">
              <w:rPr>
                <w:b/>
                <w:bCs/>
                <w:lang w:val="de-DE"/>
              </w:rPr>
              <w:t>][</w:t>
            </w:r>
            <w:r w:rsidRPr="009D1540">
              <w:rPr>
                <w:bCs/>
                <w:lang w:val="de-DE"/>
              </w:rPr>
              <w:t>2nd</w:t>
            </w:r>
            <w:r w:rsidRPr="00792D61">
              <w:rPr>
                <w:b/>
                <w:bCs/>
                <w:lang w:val="de-DE"/>
              </w:rPr>
              <w:t>][</w:t>
            </w:r>
            <w:r w:rsidRPr="009D1540">
              <w:rPr>
                <w:bCs/>
                <w:lang w:val="de-DE"/>
              </w:rPr>
              <w:t>3rd</w:t>
            </w:r>
            <w:r w:rsidRPr="00792D61">
              <w:rPr>
                <w:b/>
                <w:bCs/>
                <w:lang w:val="de-DE"/>
              </w:rPr>
              <w:t>]</w:t>
            </w:r>
            <w:r w:rsidRPr="009D1540">
              <w:rPr>
                <w:bCs/>
                <w:lang w:val="de-DE"/>
              </w:rPr>
              <w:t xml:space="preserve"> </w:t>
            </w:r>
            <w:r w:rsidRPr="00792D61">
              <w:rPr>
                <w:b/>
                <w:bCs/>
                <w:lang w:val="de-DE"/>
              </w:rPr>
              <w:t>[[</w:t>
            </w:r>
            <w:r w:rsidRPr="009D1540">
              <w:rPr>
                <w:rFonts w:ascii="Arial" w:hAnsi="Arial" w:cs="Arial"/>
                <w:bCs/>
                <w:lang w:val="de-DE"/>
              </w:rPr>
              <w:t>●</w:t>
            </w:r>
            <w:r w:rsidRPr="00792D61">
              <w:rPr>
                <w:b/>
                <w:bCs/>
                <w:lang w:val="de-DE"/>
              </w:rPr>
              <w:t>]]]</w:t>
            </w:r>
            <w:r w:rsidRPr="009D1540">
              <w:rPr>
                <w:bCs/>
                <w:lang w:val="de-DE"/>
              </w:rPr>
              <w:t xml:space="preserve">-to-Default-Referenzschuldner vor dem </w:t>
            </w:r>
            <w:r w:rsidRPr="00792D61">
              <w:rPr>
                <w:b/>
                <w:bCs/>
                <w:lang w:val="de-DE"/>
              </w:rPr>
              <w:t>[</w:t>
            </w:r>
            <w:r w:rsidRPr="009D1540">
              <w:rPr>
                <w:bCs/>
                <w:lang w:val="de-DE"/>
              </w:rPr>
              <w:t>jeweiligen</w:t>
            </w:r>
            <w:r w:rsidRPr="00792D61">
              <w:rPr>
                <w:b/>
                <w:bCs/>
                <w:lang w:val="de-DE"/>
              </w:rPr>
              <w:t>]</w:t>
            </w:r>
            <w:r w:rsidRPr="009D1540">
              <w:rPr>
                <w:bCs/>
                <w:lang w:val="de-DE"/>
              </w:rPr>
              <w:t xml:space="preserve"> Zinszahlungstag </w:t>
            </w:r>
            <w:r w:rsidRPr="00792D61">
              <w:rPr>
                <w:b/>
                <w:bCs/>
                <w:lang w:val="de-DE"/>
              </w:rPr>
              <w:t>[</w:t>
            </w:r>
            <w:r w:rsidRPr="008E3EA2">
              <w:rPr>
                <w:b/>
                <w:bCs/>
                <w:i/>
                <w:lang w:val="de-DE"/>
              </w:rPr>
              <w:t>falls (i) "Nichtzahlung</w:t>
            </w:r>
            <w:r>
              <w:rPr>
                <w:rFonts w:cs="Credit Suisse Type Light"/>
                <w:b/>
                <w:bCs/>
                <w:i/>
                <w:lang w:val="de-DE"/>
              </w:rPr>
              <w:t>"</w:t>
            </w:r>
            <w:r w:rsidRPr="008E3EA2">
              <w:rPr>
                <w:b/>
                <w:bCs/>
                <w:i/>
                <w:lang w:val="de-DE"/>
              </w:rPr>
              <w:t xml:space="preserve"> und "Verl</w:t>
            </w:r>
            <w:r w:rsidRPr="008E3EA2">
              <w:rPr>
                <w:rFonts w:cs="Credit Suisse Type Light"/>
                <w:b/>
                <w:bCs/>
                <w:i/>
                <w:lang w:val="de-DE"/>
              </w:rPr>
              <w:t>ä</w:t>
            </w:r>
            <w:r w:rsidRPr="008E3EA2">
              <w:rPr>
                <w:b/>
                <w:bCs/>
                <w:i/>
                <w:lang w:val="de-DE"/>
              </w:rPr>
              <w:t>ngerung wegen Nachfrist</w:t>
            </w:r>
            <w:r>
              <w:rPr>
                <w:rFonts w:cs="Credit Suisse Type Light"/>
                <w:b/>
                <w:bCs/>
                <w:i/>
                <w:lang w:val="de-DE"/>
              </w:rPr>
              <w:t>"</w:t>
            </w:r>
            <w:r w:rsidRPr="008E3EA2">
              <w:rPr>
                <w:b/>
                <w:bCs/>
                <w:i/>
                <w:lang w:val="de-DE"/>
              </w:rPr>
              <w:t xml:space="preserve"> und/oder (ii) "Nichtanerkennung/Moratorium" anwendbar sind, einfügen:</w:t>
            </w:r>
            <w:r w:rsidRPr="009D1540">
              <w:rPr>
                <w:bCs/>
                <w:lang w:val="de-DE"/>
              </w:rPr>
              <w:t xml:space="preserve"> oder, falls später, dem Verlängerungstag bezüglich </w:t>
            </w:r>
            <w:r w:rsidRPr="00792D61">
              <w:rPr>
                <w:b/>
                <w:bCs/>
                <w:lang w:val="de-DE"/>
              </w:rPr>
              <w:t>[</w:t>
            </w:r>
            <w:r w:rsidRPr="009D1540">
              <w:rPr>
                <w:bCs/>
                <w:lang w:val="de-DE"/>
              </w:rPr>
              <w:t>dieser Potenziellen Nichtzahlung</w:t>
            </w:r>
            <w:r w:rsidRPr="00792D61">
              <w:rPr>
                <w:b/>
                <w:bCs/>
                <w:lang w:val="de-DE"/>
              </w:rPr>
              <w:t>][</w:t>
            </w:r>
            <w:r w:rsidRPr="009D1540">
              <w:rPr>
                <w:bCs/>
                <w:lang w:val="de-DE"/>
              </w:rPr>
              <w:t>oder</w:t>
            </w:r>
            <w:r w:rsidRPr="00792D61">
              <w:rPr>
                <w:b/>
                <w:bCs/>
                <w:lang w:val="de-DE"/>
              </w:rPr>
              <w:t>][</w:t>
            </w:r>
            <w:r w:rsidRPr="009D1540">
              <w:rPr>
                <w:bCs/>
                <w:lang w:val="de-DE"/>
              </w:rPr>
              <w:t>dieser Potenziellen Nichtanerkennung/dieses Potenziellen Moratoriums</w:t>
            </w:r>
            <w:r w:rsidRPr="00792D61">
              <w:rPr>
                <w:b/>
                <w:bCs/>
                <w:lang w:val="de-DE"/>
              </w:rPr>
              <w:t>]]</w:t>
            </w:r>
            <w:r w:rsidRPr="009D1540">
              <w:rPr>
                <w:bCs/>
                <w:lang w:val="de-DE"/>
              </w:rPr>
              <w:t xml:space="preserve"> führt und falls nicht an oder vor dem letzten Tag des diesbezüglichen Zeitraums eines Potenziellen Kreditereignisses festgestellt wurde, dass dieser Referenzschuldner der </w:t>
            </w:r>
            <w:r w:rsidRPr="00792D61">
              <w:rPr>
                <w:b/>
                <w:bCs/>
                <w:lang w:val="de-DE"/>
              </w:rPr>
              <w:t>[</w:t>
            </w:r>
            <w:r w:rsidRPr="008E3EA2">
              <w:rPr>
                <w:b/>
                <w:bCs/>
                <w:i/>
                <w:lang w:val="de-DE"/>
              </w:rPr>
              <w:t>jeweilige Zahl einfügen:</w:t>
            </w:r>
            <w:r w:rsidRPr="009D1540">
              <w:rPr>
                <w:bCs/>
                <w:lang w:val="de-DE"/>
              </w:rPr>
              <w:t xml:space="preserve"> </w:t>
            </w:r>
            <w:r w:rsidRPr="00792D61">
              <w:rPr>
                <w:b/>
                <w:bCs/>
                <w:lang w:val="de-DE"/>
              </w:rPr>
              <w:t>[</w:t>
            </w:r>
            <w:r w:rsidRPr="009D1540">
              <w:rPr>
                <w:bCs/>
                <w:lang w:val="de-DE"/>
              </w:rPr>
              <w:t>1st</w:t>
            </w:r>
            <w:r w:rsidRPr="00792D61">
              <w:rPr>
                <w:b/>
                <w:bCs/>
                <w:lang w:val="de-DE"/>
              </w:rPr>
              <w:t>][</w:t>
            </w:r>
            <w:r w:rsidRPr="009D1540">
              <w:rPr>
                <w:bCs/>
                <w:lang w:val="de-DE"/>
              </w:rPr>
              <w:t>2nd</w:t>
            </w:r>
            <w:r w:rsidRPr="00792D61">
              <w:rPr>
                <w:b/>
                <w:bCs/>
                <w:lang w:val="de-DE"/>
              </w:rPr>
              <w:t>][</w:t>
            </w:r>
            <w:r w:rsidRPr="009D1540">
              <w:rPr>
                <w:bCs/>
                <w:lang w:val="de-DE"/>
              </w:rPr>
              <w:t>3rd</w:t>
            </w:r>
            <w:r w:rsidRPr="00792D61">
              <w:rPr>
                <w:b/>
                <w:bCs/>
                <w:lang w:val="de-DE"/>
              </w:rPr>
              <w:t>]</w:t>
            </w:r>
            <w:r w:rsidRPr="009D1540">
              <w:rPr>
                <w:bCs/>
                <w:lang w:val="de-DE"/>
              </w:rPr>
              <w:t xml:space="preserve"> </w:t>
            </w:r>
            <w:r w:rsidRPr="00792D61">
              <w:rPr>
                <w:b/>
                <w:bCs/>
                <w:lang w:val="de-DE"/>
              </w:rPr>
              <w:t>[[</w:t>
            </w:r>
            <w:r w:rsidRPr="009D1540">
              <w:rPr>
                <w:rFonts w:ascii="Arial" w:hAnsi="Arial" w:cs="Arial"/>
                <w:bCs/>
                <w:lang w:val="de-DE"/>
              </w:rPr>
              <w:t>●</w:t>
            </w:r>
            <w:r w:rsidRPr="00792D61">
              <w:rPr>
                <w:b/>
                <w:bCs/>
                <w:lang w:val="de-DE"/>
              </w:rPr>
              <w:t>]]]</w:t>
            </w:r>
            <w:r w:rsidRPr="009D1540">
              <w:rPr>
                <w:bCs/>
                <w:lang w:val="de-DE"/>
              </w:rPr>
              <w:t xml:space="preserve">-to-Default-Referenzschuldner ist, zahlt die Emittentin den </w:t>
            </w:r>
            <w:r w:rsidRPr="00792D61">
              <w:rPr>
                <w:b/>
                <w:bCs/>
                <w:lang w:val="de-DE"/>
              </w:rPr>
              <w:t>[</w:t>
            </w:r>
            <w:r w:rsidRPr="009D1540">
              <w:rPr>
                <w:bCs/>
                <w:lang w:val="de-DE"/>
              </w:rPr>
              <w:t>jeweiligen</w:t>
            </w:r>
            <w:r w:rsidRPr="00792D61">
              <w:rPr>
                <w:b/>
                <w:bCs/>
                <w:lang w:val="de-DE"/>
              </w:rPr>
              <w:t>]</w:t>
            </w:r>
            <w:r w:rsidRPr="009D1540">
              <w:rPr>
                <w:bCs/>
                <w:lang w:val="de-DE"/>
              </w:rPr>
              <w:t xml:space="preserve"> Zinszahlungsbetrag pro Komplexes Produkt anstatt am </w:t>
            </w:r>
            <w:r w:rsidRPr="00792D61">
              <w:rPr>
                <w:b/>
                <w:bCs/>
                <w:lang w:val="de-DE"/>
              </w:rPr>
              <w:t>[</w:t>
            </w:r>
            <w:r w:rsidRPr="009D1540">
              <w:rPr>
                <w:bCs/>
                <w:lang w:val="de-DE"/>
              </w:rPr>
              <w:t>jeweiligen</w:t>
            </w:r>
            <w:r w:rsidRPr="00792D61">
              <w:rPr>
                <w:b/>
                <w:bCs/>
                <w:lang w:val="de-DE"/>
              </w:rPr>
              <w:t>]</w:t>
            </w:r>
            <w:r w:rsidRPr="009D1540">
              <w:rPr>
                <w:bCs/>
                <w:lang w:val="de-DE"/>
              </w:rPr>
              <w:t xml:space="preserve"> Zinszahlungstag am </w:t>
            </w:r>
            <w:r w:rsidRPr="00792D61">
              <w:rPr>
                <w:b/>
                <w:bCs/>
                <w:lang w:val="de-DE"/>
              </w:rPr>
              <w:t>[</w:t>
            </w:r>
            <w:r w:rsidRPr="009D1540">
              <w:rPr>
                <w:bCs/>
                <w:lang w:val="de-DE"/>
              </w:rPr>
              <w:t>fünften</w:t>
            </w:r>
            <w:r w:rsidRPr="00792D61">
              <w:rPr>
                <w:b/>
                <w:bCs/>
                <w:lang w:val="de-DE"/>
              </w:rPr>
              <w:t>][[</w:t>
            </w:r>
            <w:r w:rsidRPr="00FE4912">
              <w:rPr>
                <w:rFonts w:ascii="Arial" w:hAnsi="Arial" w:cs="Arial"/>
                <w:bCs/>
                <w:lang w:val="de-DE"/>
              </w:rPr>
              <w:t>●</w:t>
            </w:r>
            <w:r w:rsidRPr="00792D61">
              <w:rPr>
                <w:b/>
                <w:bCs/>
                <w:lang w:val="de-DE"/>
              </w:rPr>
              <w:t>]]</w:t>
            </w:r>
            <w:r w:rsidRPr="009D1540">
              <w:rPr>
                <w:bCs/>
                <w:lang w:val="de-DE"/>
              </w:rPr>
              <w:t xml:space="preserve"> Geschäftstag nach dem letzten Tag des diesbezüglichen Zeitraums eines Potenziellen Kreditereignisses an den jeweiligen Inhaber</w:t>
            </w:r>
            <w:r w:rsidRPr="00792D61">
              <w:rPr>
                <w:b/>
                <w:bCs/>
                <w:lang w:val="de-DE"/>
              </w:rPr>
              <w:t>[</w:t>
            </w:r>
            <w:r w:rsidRPr="009D1540">
              <w:rPr>
                <w:bCs/>
                <w:lang w:val="de-DE"/>
              </w:rPr>
              <w:t>.</w:t>
            </w:r>
            <w:r w:rsidRPr="00792D61">
              <w:rPr>
                <w:b/>
                <w:bCs/>
                <w:lang w:val="de-DE"/>
              </w:rPr>
              <w:t>][</w:t>
            </w:r>
            <w:r w:rsidRPr="00FE4912">
              <w:rPr>
                <w:b/>
                <w:bCs/>
                <w:i/>
                <w:lang w:val="de-DE"/>
              </w:rPr>
              <w:t>falls anwendbar, einfügen:</w:t>
            </w:r>
            <w:r w:rsidRPr="009D1540">
              <w:rPr>
                <w:bCs/>
                <w:lang w:val="de-DE"/>
              </w:rPr>
              <w:t xml:space="preserve"> ;</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70E58" w:rsidP="001E3451">
            <w:pPr>
              <w:pStyle w:val="CSBody8pt"/>
            </w:pPr>
            <w:r w:rsidRPr="0061370C">
              <w:rPr>
                <w:i/>
              </w:rPr>
              <w:t>provided, however</w:t>
            </w:r>
            <w:r w:rsidRPr="00170E58">
              <w:t xml:space="preserve">, that the Issuer may elect in its discretion to pay the </w:t>
            </w:r>
            <w:r w:rsidRPr="00792D61">
              <w:rPr>
                <w:b/>
              </w:rPr>
              <w:t>[</w:t>
            </w:r>
            <w:r w:rsidRPr="00170E58">
              <w:t>relevant</w:t>
            </w:r>
            <w:r w:rsidRPr="00792D61">
              <w:rPr>
                <w:b/>
              </w:rPr>
              <w:t>]</w:t>
            </w:r>
            <w:r w:rsidRPr="00170E58">
              <w:t xml:space="preserve"> Interest Payment Amount per Complex Product at any time during the related Potential Credit Event Period to the Holder thereof, so long as the relevant Potential Failure to Pay </w:t>
            </w:r>
            <w:r w:rsidRPr="00792D61">
              <w:rPr>
                <w:b/>
              </w:rPr>
              <w:t>[</w:t>
            </w:r>
            <w:r w:rsidRPr="00FE4912">
              <w:rPr>
                <w:b/>
                <w:i/>
              </w:rPr>
              <w:t>if "Repudiation/Moratorium" is applicable, insert:</w:t>
            </w:r>
            <w:r w:rsidRPr="00170E58">
              <w:t xml:space="preserve"> , Potential Repudiation/Moratorium</w:t>
            </w:r>
            <w:r w:rsidRPr="00792D61">
              <w:rPr>
                <w:b/>
              </w:rPr>
              <w:t>]</w:t>
            </w:r>
            <w:r w:rsidRPr="00170E58">
              <w:t xml:space="preserve"> or DC Pending Request, as the case may be, has not resulted in the occurrence of a Credit Event Determination Date with respect to any such Potential </w:t>
            </w:r>
            <w:r w:rsidRPr="00792D61">
              <w:rPr>
                <w:b/>
              </w:rPr>
              <w:t>[</w:t>
            </w:r>
            <w:r w:rsidRPr="00FE4912">
              <w:rPr>
                <w:b/>
                <w:i/>
              </w:rPr>
              <w:t xml:space="preserve">insert relevant number: </w:t>
            </w:r>
            <w:r w:rsidRPr="00792D61">
              <w:rPr>
                <w:b/>
              </w:rPr>
              <w:t>[</w:t>
            </w:r>
            <w:r w:rsidRPr="00170E58">
              <w:t>1st</w:t>
            </w:r>
            <w:r w:rsidRPr="00792D61">
              <w:rPr>
                <w:b/>
              </w:rPr>
              <w:t>][</w:t>
            </w:r>
            <w:r w:rsidRPr="00170E58">
              <w:t>2nd</w:t>
            </w:r>
            <w:r w:rsidRPr="00792D61">
              <w:rPr>
                <w:b/>
              </w:rPr>
              <w:t>][</w:t>
            </w:r>
            <w:r w:rsidRPr="00170E58">
              <w:t>3rd</w:t>
            </w:r>
            <w:r w:rsidRPr="00792D61">
              <w:rPr>
                <w:b/>
              </w:rPr>
              <w:t>][[</w:t>
            </w:r>
            <w:r w:rsidRPr="00170E58">
              <w:rPr>
                <w:rFonts w:ascii="Arial" w:hAnsi="Arial" w:cs="Arial"/>
              </w:rPr>
              <w:t>●</w:t>
            </w:r>
            <w:r w:rsidRPr="00792D61">
              <w:rPr>
                <w:b/>
              </w:rPr>
              <w:t>]]]</w:t>
            </w:r>
            <w:r w:rsidRPr="00170E58">
              <w:t xml:space="preserve">-to-Default Reference Entity and no such Reference Entity has been determined to be the </w:t>
            </w:r>
            <w:r w:rsidRPr="00792D61">
              <w:rPr>
                <w:b/>
              </w:rPr>
              <w:t>[</w:t>
            </w:r>
            <w:r w:rsidRPr="00FE4912">
              <w:rPr>
                <w:b/>
                <w:i/>
              </w:rPr>
              <w:t>insert relevant number:</w:t>
            </w:r>
            <w:r w:rsidRPr="00170E58">
              <w:t xml:space="preserve"> </w:t>
            </w:r>
            <w:r w:rsidRPr="00792D61">
              <w:rPr>
                <w:b/>
              </w:rPr>
              <w:t>[</w:t>
            </w:r>
            <w:r w:rsidRPr="00170E58">
              <w:t>1st</w:t>
            </w:r>
            <w:r w:rsidRPr="00792D61">
              <w:rPr>
                <w:b/>
              </w:rPr>
              <w:t>][</w:t>
            </w:r>
            <w:r w:rsidRPr="00170E58">
              <w:t>2nd</w:t>
            </w:r>
            <w:r w:rsidRPr="00792D61">
              <w:rPr>
                <w:b/>
              </w:rPr>
              <w:t>][</w:t>
            </w:r>
            <w:r w:rsidRPr="00170E58">
              <w:t>3rd</w:t>
            </w:r>
            <w:r w:rsidRPr="00792D61">
              <w:rPr>
                <w:b/>
              </w:rPr>
              <w:t>][[</w:t>
            </w:r>
            <w:r w:rsidRPr="00170E58">
              <w:rPr>
                <w:rFonts w:ascii="Arial" w:hAnsi="Arial" w:cs="Arial"/>
              </w:rPr>
              <w:t>●</w:t>
            </w:r>
            <w:r w:rsidRPr="00792D61">
              <w:rPr>
                <w:b/>
              </w:rPr>
              <w:t>]]]</w:t>
            </w:r>
            <w:r w:rsidRPr="00170E58">
              <w:t>-to-Default Reference Entity as of the date of such payment.</w:t>
            </w:r>
            <w:r w:rsidRPr="00792D61">
              <w:rPr>
                <w:b/>
              </w:rPr>
              <w:t>]</w:t>
            </w:r>
            <w:r w:rsidRPr="00170E58">
              <w:t xml:space="preserve"> For any postponement of the payment of an Interest Payment Amount no default interest or other compensation payments shall be payable to the Holders.</w:t>
            </w:r>
            <w:r w:rsidRPr="00792D61">
              <w:rPr>
                <w:b/>
              </w:rPr>
              <w:t>]</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61370C">
              <w:rPr>
                <w:i/>
                <w:lang w:val="de-DE"/>
              </w:rPr>
              <w:t>wobei jedoch</w:t>
            </w:r>
            <w:r w:rsidRPr="009D1540">
              <w:rPr>
                <w:lang w:val="de-DE"/>
              </w:rPr>
              <w:t xml:space="preserve"> die Emittentin nach ihrem Ermessen den </w:t>
            </w:r>
            <w:r w:rsidRPr="00792D61">
              <w:rPr>
                <w:b/>
                <w:lang w:val="de-DE"/>
              </w:rPr>
              <w:t>[</w:t>
            </w:r>
            <w:r w:rsidRPr="009D1540">
              <w:rPr>
                <w:lang w:val="de-DE"/>
              </w:rPr>
              <w:t>jeweiligen</w:t>
            </w:r>
            <w:r w:rsidRPr="00792D61">
              <w:rPr>
                <w:b/>
                <w:lang w:val="de-DE"/>
              </w:rPr>
              <w:t>]</w:t>
            </w:r>
            <w:r w:rsidRPr="009D1540">
              <w:rPr>
                <w:lang w:val="de-DE"/>
              </w:rPr>
              <w:t xml:space="preserve"> Zinszahlungsbetrag pro Komplexes Produkt zu jedem Zeitpunkt des diesbezüglichen Zeitraums eines Potenziellen Kreditereignisses an den jeweiligen Inhaber zahlen kann, solange zum Zeitpunkt der Zahlung die jeweilige Potenzielle Nichtzahlung </w:t>
            </w:r>
            <w:r w:rsidRPr="00792D61">
              <w:rPr>
                <w:b/>
                <w:lang w:val="de-DE"/>
              </w:rPr>
              <w:t>[</w:t>
            </w:r>
            <w:r w:rsidRPr="00FE4912">
              <w:rPr>
                <w:b/>
                <w:i/>
                <w:lang w:val="de-DE"/>
              </w:rPr>
              <w:t>falls "Nichtanerkennung/Moratorium" anwendbar ist, einfügen:</w:t>
            </w:r>
            <w:r w:rsidRPr="009D1540">
              <w:rPr>
                <w:lang w:val="de-DE"/>
              </w:rPr>
              <w:t xml:space="preserve"> oder die jeweilige Potenzielle Nichtanerkennung / das jeweilige Potenzielle Moratorium</w:t>
            </w:r>
            <w:r w:rsidRPr="00792D61">
              <w:rPr>
                <w:b/>
                <w:lang w:val="de-DE"/>
              </w:rPr>
              <w:t>]</w:t>
            </w:r>
            <w:r w:rsidRPr="009D1540">
              <w:rPr>
                <w:lang w:val="de-DE"/>
              </w:rPr>
              <w:t xml:space="preserve"> oder ein Ausstehender Antrag nicht zu einem Kreditereignis-Feststellungstag bezüglich irgend eines dieser Potenziellen </w:t>
            </w:r>
            <w:r w:rsidRPr="00792D61">
              <w:rPr>
                <w:b/>
                <w:lang w:val="de-DE"/>
              </w:rPr>
              <w:t>[</w:t>
            </w:r>
            <w:r w:rsidRPr="00FE4912">
              <w:rPr>
                <w:b/>
                <w:i/>
                <w:lang w:val="de-DE"/>
              </w:rPr>
              <w:t>jeweilige Zahl einfügen:</w:t>
            </w:r>
            <w:r w:rsidRPr="009D1540">
              <w:rPr>
                <w:lang w:val="de-DE"/>
              </w:rPr>
              <w:t xml:space="preserve"> </w:t>
            </w:r>
            <w:r w:rsidRPr="00792D61">
              <w:rPr>
                <w:b/>
                <w:lang w:val="de-DE"/>
              </w:rPr>
              <w:t>[</w:t>
            </w:r>
            <w:r w:rsidRPr="009D1540">
              <w:rPr>
                <w:lang w:val="de-DE"/>
              </w:rPr>
              <w:t>1st</w:t>
            </w:r>
            <w:r w:rsidRPr="00792D61">
              <w:rPr>
                <w:b/>
                <w:lang w:val="de-DE"/>
              </w:rPr>
              <w:t>][</w:t>
            </w:r>
            <w:r w:rsidRPr="009D1540">
              <w:rPr>
                <w:lang w:val="de-DE"/>
              </w:rPr>
              <w:t>2nd</w:t>
            </w:r>
            <w:r w:rsidRPr="00792D61">
              <w:rPr>
                <w:b/>
                <w:lang w:val="de-DE"/>
              </w:rPr>
              <w:t>][</w:t>
            </w:r>
            <w:r w:rsidRPr="009D1540">
              <w:rPr>
                <w:lang w:val="de-DE"/>
              </w:rPr>
              <w:t>3rd</w:t>
            </w:r>
            <w:r w:rsidRPr="00792D61">
              <w:rPr>
                <w:b/>
                <w:lang w:val="de-DE"/>
              </w:rPr>
              <w:t>]</w:t>
            </w:r>
            <w:r w:rsidRPr="009D1540">
              <w:rPr>
                <w:lang w:val="de-DE"/>
              </w:rPr>
              <w:t xml:space="preserve"> </w:t>
            </w:r>
            <w:r w:rsidRPr="00792D61">
              <w:rPr>
                <w:b/>
                <w:lang w:val="de-DE"/>
              </w:rPr>
              <w:t>[[</w:t>
            </w:r>
            <w:r w:rsidRPr="009D1540">
              <w:rPr>
                <w:rFonts w:ascii="Arial" w:hAnsi="Arial" w:cs="Arial"/>
                <w:lang w:val="de-DE"/>
              </w:rPr>
              <w:t>●</w:t>
            </w:r>
            <w:r w:rsidRPr="00792D61">
              <w:rPr>
                <w:b/>
                <w:lang w:val="de-DE"/>
              </w:rPr>
              <w:t>]]]</w:t>
            </w:r>
            <w:r w:rsidRPr="009D1540">
              <w:rPr>
                <w:lang w:val="de-DE"/>
              </w:rPr>
              <w:t xml:space="preserve">-to-Default-Referenzschuldner geführt hat und nicht festgestellt wurde, dass einer dieser Referenzschuldner der </w:t>
            </w:r>
            <w:r w:rsidRPr="00792D61">
              <w:rPr>
                <w:b/>
                <w:lang w:val="de-DE"/>
              </w:rPr>
              <w:t>[</w:t>
            </w:r>
            <w:r w:rsidRPr="00FE4912">
              <w:rPr>
                <w:b/>
                <w:i/>
                <w:lang w:val="de-DE"/>
              </w:rPr>
              <w:t xml:space="preserve">jeweilige Zahl einfügen: </w:t>
            </w:r>
            <w:r w:rsidRPr="00792D61">
              <w:rPr>
                <w:b/>
                <w:lang w:val="de-DE"/>
              </w:rPr>
              <w:t>[</w:t>
            </w:r>
            <w:r w:rsidRPr="009D1540">
              <w:rPr>
                <w:lang w:val="de-DE"/>
              </w:rPr>
              <w:t>1st</w:t>
            </w:r>
            <w:r w:rsidRPr="00792D61">
              <w:rPr>
                <w:b/>
                <w:lang w:val="de-DE"/>
              </w:rPr>
              <w:t>][</w:t>
            </w:r>
            <w:r w:rsidRPr="009D1540">
              <w:rPr>
                <w:lang w:val="de-DE"/>
              </w:rPr>
              <w:t>2nd</w:t>
            </w:r>
            <w:r w:rsidRPr="00792D61">
              <w:rPr>
                <w:b/>
                <w:lang w:val="de-DE"/>
              </w:rPr>
              <w:t>][</w:t>
            </w:r>
            <w:r w:rsidRPr="009D1540">
              <w:rPr>
                <w:lang w:val="de-DE"/>
              </w:rPr>
              <w:t>3rd</w:t>
            </w:r>
            <w:r w:rsidRPr="00792D61">
              <w:rPr>
                <w:b/>
                <w:lang w:val="de-DE"/>
              </w:rPr>
              <w:t>]</w:t>
            </w:r>
            <w:r w:rsidRPr="009D1540">
              <w:rPr>
                <w:lang w:val="de-DE"/>
              </w:rPr>
              <w:t xml:space="preserve"> </w:t>
            </w:r>
            <w:r w:rsidRPr="00792D61">
              <w:rPr>
                <w:b/>
                <w:lang w:val="de-DE"/>
              </w:rPr>
              <w:t>[[</w:t>
            </w:r>
            <w:r w:rsidRPr="009D1540">
              <w:rPr>
                <w:rFonts w:ascii="Arial" w:hAnsi="Arial" w:cs="Arial"/>
                <w:lang w:val="de-DE"/>
              </w:rPr>
              <w:t>●</w:t>
            </w:r>
            <w:r w:rsidRPr="00792D61">
              <w:rPr>
                <w:b/>
                <w:lang w:val="de-DE"/>
              </w:rPr>
              <w:t>]]]</w:t>
            </w:r>
            <w:r w:rsidRPr="009D1540">
              <w:rPr>
                <w:lang w:val="de-DE"/>
              </w:rPr>
              <w:t>-to-Default-Referenzschuldner ist.</w:t>
            </w:r>
            <w:r w:rsidRPr="00792D61">
              <w:rPr>
                <w:b/>
                <w:lang w:val="de-DE"/>
              </w:rPr>
              <w:t>]</w:t>
            </w:r>
            <w:r w:rsidRPr="009D1540">
              <w:rPr>
                <w:lang w:val="de-DE"/>
              </w:rPr>
              <w:t xml:space="preserve"> F</w:t>
            </w:r>
            <w:r w:rsidRPr="009D1540">
              <w:rPr>
                <w:rFonts w:cs="Credit Suisse Type Light"/>
                <w:lang w:val="de-DE"/>
              </w:rPr>
              <w:t>ü</w:t>
            </w:r>
            <w:r w:rsidRPr="009D1540">
              <w:rPr>
                <w:lang w:val="de-DE"/>
              </w:rPr>
              <w:t>r jede Verschiebung der Zahlung eines Zinszahlungsbetrags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70E58" w:rsidP="001E3451">
            <w:pPr>
              <w:pStyle w:val="CSBody8ptbolditalics"/>
            </w:pPr>
            <w:r w:rsidRPr="00792D61">
              <w:t>[</w:t>
            </w:r>
            <w:r w:rsidRPr="00170E58">
              <w:t>in the case of Credit-Linked Complex Products with auction settlement that are linked to a Basket of Reference Entities or Credit-Linked Complex Products with Zero-Recovery feature linked to a Basket, insert:</w:t>
            </w:r>
          </w:p>
        </w:tc>
        <w:tc>
          <w:tcPr>
            <w:tcW w:w="4936" w:type="dxa"/>
            <w:gridSpan w:val="3"/>
            <w:tcBorders>
              <w:top w:val="nil"/>
              <w:bottom w:val="nil"/>
              <w:right w:val="nil"/>
            </w:tcBorders>
            <w:shd w:val="clear" w:color="auto" w:fill="auto"/>
          </w:tcPr>
          <w:p w:rsidR="0017135D" w:rsidRPr="009D1540" w:rsidP="001E3451">
            <w:pPr>
              <w:pStyle w:val="CSBody8ptbolditalics"/>
              <w:rPr>
                <w:lang w:val="de-DE"/>
              </w:rPr>
            </w:pPr>
            <w:r w:rsidRPr="00792D61">
              <w:rPr>
                <w:lang w:val="de-DE"/>
              </w:rPr>
              <w:t>[</w:t>
            </w:r>
            <w:r w:rsidRPr="009D1540">
              <w:rPr>
                <w:lang w:val="de-DE"/>
              </w:rPr>
              <w:t>bei Kreditbezogenen Komplexen Produkten mit Auktionsabwicklung, die an einen Korb von Referenzschuldnern gekoppelt sind, oder Kreditbezogenen Komplexen Produkten mit Zero-Recovery-Merkmal, die an einen Korb gekoppelt sind,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DD2CA8" w:rsidP="00164657">
            <w:pPr>
              <w:pStyle w:val="CSBody8pt"/>
            </w:pPr>
            <w:r w:rsidRPr="00DD2CA8">
              <w:t xml:space="preserve">Notwithstanding the immediately preceding paragraph, if a Potential Credit Event Period with respect to </w:t>
            </w:r>
            <w:r w:rsidR="00164657">
              <w:t>one or more</w:t>
            </w:r>
            <w:r w:rsidRPr="00DD2CA8">
              <w:t xml:space="preserve"> Reference Entit</w:t>
            </w:r>
            <w:r w:rsidR="00164657">
              <w:t>ies</w:t>
            </w:r>
            <w:r w:rsidRPr="00DD2CA8">
              <w:t xml:space="preserve"> that </w:t>
            </w:r>
            <w:r w:rsidR="00164657">
              <w:t>are</w:t>
            </w:r>
            <w:r w:rsidRPr="00DD2CA8">
              <w:t xml:space="preserve"> not Affected Reference Entit</w:t>
            </w:r>
            <w:r w:rsidR="00164657">
              <w:t>ies</w:t>
            </w:r>
            <w:r w:rsidRPr="00DD2CA8">
              <w:t xml:space="preserve"> has occurred prior to, and is continuing on, </w:t>
            </w:r>
            <w:r w:rsidRPr="00792D61">
              <w:rPr>
                <w:b/>
              </w:rPr>
              <w:t>[</w:t>
            </w:r>
            <w:r w:rsidRPr="00DD2CA8">
              <w:t>the</w:t>
            </w:r>
            <w:r w:rsidRPr="00792D61">
              <w:rPr>
                <w:b/>
              </w:rPr>
              <w:t>][</w:t>
            </w:r>
            <w:r w:rsidRPr="00DD2CA8">
              <w:t>such</w:t>
            </w:r>
            <w:r w:rsidRPr="00792D61">
              <w:rPr>
                <w:b/>
              </w:rPr>
              <w:t>]</w:t>
            </w:r>
            <w:r w:rsidRPr="00DD2CA8">
              <w:t xml:space="preserve"> Interest Payment Date, the following shall apply:</w:t>
            </w:r>
          </w:p>
        </w:tc>
        <w:tc>
          <w:tcPr>
            <w:tcW w:w="4936" w:type="dxa"/>
            <w:gridSpan w:val="3"/>
            <w:tcBorders>
              <w:top w:val="nil"/>
              <w:bottom w:val="nil"/>
              <w:right w:val="nil"/>
            </w:tcBorders>
            <w:shd w:val="clear" w:color="auto" w:fill="auto"/>
          </w:tcPr>
          <w:p w:rsidR="0017135D" w:rsidRPr="009D1540" w:rsidP="00164657">
            <w:pPr>
              <w:pStyle w:val="CSBody8pt"/>
              <w:rPr>
                <w:lang w:val="de-DE"/>
              </w:rPr>
            </w:pPr>
            <w:r w:rsidRPr="009D1540">
              <w:rPr>
                <w:lang w:val="de-DE"/>
              </w:rPr>
              <w:t xml:space="preserve">Ungeachtet des unmittelbar vorangehenden Absatzes gilt im Fall, dass ein Zeitraum eines Potenziellen Kreditereignisses in Bezug auf einen </w:t>
            </w:r>
            <w:r w:rsidR="00164657">
              <w:rPr>
                <w:lang w:val="de-DE"/>
              </w:rPr>
              <w:t xml:space="preserve">oder mehrere </w:t>
            </w:r>
            <w:r w:rsidRPr="009D1540">
              <w:rPr>
                <w:lang w:val="de-DE"/>
              </w:rPr>
              <w:t xml:space="preserve">Referenzschuldner, </w:t>
            </w:r>
            <w:r w:rsidR="00164657">
              <w:rPr>
                <w:lang w:val="de-DE"/>
              </w:rPr>
              <w:t>die keine</w:t>
            </w:r>
            <w:r w:rsidRPr="009D1540">
              <w:rPr>
                <w:lang w:val="de-DE"/>
              </w:rPr>
              <w:t xml:space="preserve"> Betroffene</w:t>
            </w:r>
            <w:r w:rsidR="00164657">
              <w:rPr>
                <w:lang w:val="de-DE"/>
              </w:rPr>
              <w:t>n</w:t>
            </w:r>
            <w:r w:rsidRPr="009D1540">
              <w:rPr>
                <w:lang w:val="de-DE"/>
              </w:rPr>
              <w:t xml:space="preserve"> Referenzschuldner </w:t>
            </w:r>
            <w:r w:rsidR="00164657">
              <w:rPr>
                <w:lang w:val="de-DE"/>
              </w:rPr>
              <w:t>sind</w:t>
            </w:r>
            <w:r w:rsidRPr="009D1540">
              <w:rPr>
                <w:lang w:val="de-DE"/>
              </w:rPr>
              <w:t xml:space="preserve">, an oder vor dem </w:t>
            </w:r>
            <w:r w:rsidRPr="00792D61">
              <w:rPr>
                <w:b/>
                <w:lang w:val="de-DE"/>
              </w:rPr>
              <w:t>[</w:t>
            </w:r>
            <w:r w:rsidRPr="009D1540">
              <w:rPr>
                <w:lang w:val="de-DE"/>
              </w:rPr>
              <w:t>jeweiligen</w:t>
            </w:r>
            <w:r w:rsidRPr="00792D61">
              <w:rPr>
                <w:b/>
                <w:lang w:val="de-DE"/>
              </w:rPr>
              <w:t>]</w:t>
            </w:r>
            <w:r w:rsidRPr="009D1540">
              <w:rPr>
                <w:lang w:val="de-DE"/>
              </w:rPr>
              <w:t xml:space="preserve"> Zinszahlungstag begonnen hat und an diesem Tag andauert, folgendes: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164657">
            <w:pPr>
              <w:pStyle w:val="CSManNum8pt"/>
            </w:pPr>
            <w:r w:rsidRPr="009D1540">
              <w:t>(i)</w:t>
            </w:r>
            <w:r w:rsidRPr="009D1540">
              <w:tab/>
              <w:t xml:space="preserve">(a) the Calculation Agent shall calculate the </w:t>
            </w:r>
            <w:r w:rsidRPr="00792D61">
              <w:rPr>
                <w:b/>
              </w:rPr>
              <w:t>[</w:t>
            </w:r>
            <w:r w:rsidRPr="009D1540">
              <w:t>relevant</w:t>
            </w:r>
            <w:r w:rsidRPr="00792D61">
              <w:rPr>
                <w:b/>
              </w:rPr>
              <w:t>]</w:t>
            </w:r>
            <w:r w:rsidRPr="009D1540">
              <w:t xml:space="preserve"> Interest Payment Amount per Complex Product as if </w:t>
            </w:r>
            <w:r w:rsidR="00164657">
              <w:t xml:space="preserve">all </w:t>
            </w:r>
            <w:r w:rsidRPr="009D1540">
              <w:t>such Reference Entit</w:t>
            </w:r>
            <w:r w:rsidR="00164657">
              <w:t>ies</w:t>
            </w:r>
            <w:r w:rsidRPr="009D1540">
              <w:t xml:space="preserve"> were an Affected Reference Entit</w:t>
            </w:r>
            <w:r w:rsidR="00164657">
              <w:t>ies</w:t>
            </w:r>
            <w:r w:rsidRPr="009D1540">
              <w:t xml:space="preserve"> (such amount, the "</w:t>
            </w:r>
            <w:r w:rsidRPr="00FE4912">
              <w:rPr>
                <w:b/>
              </w:rPr>
              <w:t>Non-Affected Interest Payment Amoun</w:t>
            </w:r>
            <w:r w:rsidRPr="009D1540">
              <w:t xml:space="preserve">t"), and (b) the Issuer shall pay an amount in cash per Complex Product equal to the Non-Affected Interest Payment Amount on </w:t>
            </w:r>
            <w:r w:rsidRPr="00792D61">
              <w:rPr>
                <w:b/>
              </w:rPr>
              <w:t>[</w:t>
            </w:r>
            <w:r w:rsidRPr="009D1540">
              <w:t>the</w:t>
            </w:r>
            <w:r w:rsidRPr="00792D61">
              <w:rPr>
                <w:b/>
              </w:rPr>
              <w:t>][</w:t>
            </w:r>
            <w:r w:rsidRPr="009D1540">
              <w:t>such</w:t>
            </w:r>
            <w:r w:rsidRPr="00792D61">
              <w:rPr>
                <w:b/>
              </w:rPr>
              <w:t>]</w:t>
            </w:r>
            <w:r w:rsidRPr="009D1540">
              <w:t xml:space="preserve"> Interest Payment Date to the Holder thereof;</w:t>
            </w:r>
          </w:p>
        </w:tc>
        <w:tc>
          <w:tcPr>
            <w:tcW w:w="4936" w:type="dxa"/>
            <w:gridSpan w:val="3"/>
            <w:tcBorders>
              <w:top w:val="nil"/>
              <w:bottom w:val="nil"/>
              <w:right w:val="nil"/>
            </w:tcBorders>
            <w:shd w:val="clear" w:color="auto" w:fill="auto"/>
          </w:tcPr>
          <w:p w:rsidR="0017135D" w:rsidRPr="009D1540" w:rsidP="00942F00">
            <w:pPr>
              <w:pStyle w:val="CSManNum8pt"/>
              <w:rPr>
                <w:bCs/>
                <w:lang w:val="de-DE"/>
              </w:rPr>
            </w:pPr>
            <w:r w:rsidRPr="009D1540">
              <w:rPr>
                <w:bCs/>
                <w:lang w:val="de-DE"/>
              </w:rPr>
              <w:t>(i)</w:t>
            </w:r>
            <w:r w:rsidRPr="009D1540">
              <w:rPr>
                <w:bCs/>
                <w:lang w:val="de-DE"/>
              </w:rPr>
              <w:tab/>
              <w:t xml:space="preserve">(a) die Berechnungsstelle wird den </w:t>
            </w:r>
            <w:r w:rsidRPr="00792D61">
              <w:rPr>
                <w:b/>
                <w:bCs/>
                <w:lang w:val="de-DE"/>
              </w:rPr>
              <w:t>[</w:t>
            </w:r>
            <w:r w:rsidRPr="009D1540">
              <w:rPr>
                <w:bCs/>
                <w:lang w:val="de-DE"/>
              </w:rPr>
              <w:t>jeweiligen</w:t>
            </w:r>
            <w:r w:rsidRPr="00792D61">
              <w:rPr>
                <w:b/>
                <w:bCs/>
                <w:lang w:val="de-DE"/>
              </w:rPr>
              <w:t>]</w:t>
            </w:r>
            <w:r w:rsidRPr="009D1540">
              <w:rPr>
                <w:bCs/>
                <w:lang w:val="de-DE"/>
              </w:rPr>
              <w:t xml:space="preserve"> Zinszahlungsbetrag pro Komplexes Produkt so berechnen, als ob </w:t>
            </w:r>
            <w:r w:rsidR="00164657">
              <w:rPr>
                <w:bCs/>
                <w:lang w:val="de-DE"/>
              </w:rPr>
              <w:t>all diese</w:t>
            </w:r>
            <w:r w:rsidRPr="009D1540">
              <w:rPr>
                <w:bCs/>
                <w:lang w:val="de-DE"/>
              </w:rPr>
              <w:t xml:space="preserve"> Referenzschuldner Betroffene Referenzschuldner wäre</w:t>
            </w:r>
            <w:r w:rsidR="00164657">
              <w:rPr>
                <w:bCs/>
                <w:lang w:val="de-DE"/>
              </w:rPr>
              <w:t xml:space="preserve">n </w:t>
            </w:r>
            <w:r w:rsidRPr="009D1540">
              <w:rPr>
                <w:bCs/>
                <w:lang w:val="de-DE"/>
              </w:rPr>
              <w:t>(ein solcher Betrag der "</w:t>
            </w:r>
            <w:r w:rsidRPr="00FE4912">
              <w:rPr>
                <w:b/>
                <w:bCs/>
                <w:lang w:val="de-DE"/>
              </w:rPr>
              <w:t>Nicht-Betroffene-Zinszahlungsbetrag</w:t>
            </w:r>
            <w:r w:rsidRPr="009D1540">
              <w:rPr>
                <w:bCs/>
                <w:lang w:val="de-DE"/>
              </w:rPr>
              <w:t xml:space="preserve">") und (b) die Emittentin wird den Geldbetrag pro Komplexes Produkt, der dem Nicht-Betroffenen Zinszahlungsbetrag am </w:t>
            </w:r>
            <w:r w:rsidRPr="00792D61">
              <w:rPr>
                <w:b/>
                <w:bCs/>
                <w:lang w:val="de-DE"/>
              </w:rPr>
              <w:t>[</w:t>
            </w:r>
            <w:r w:rsidRPr="009D1540">
              <w:rPr>
                <w:bCs/>
                <w:lang w:val="de-DE"/>
              </w:rPr>
              <w:t>jeweiligen</w:t>
            </w:r>
            <w:r w:rsidRPr="00792D61">
              <w:rPr>
                <w:b/>
                <w:bCs/>
                <w:lang w:val="de-DE"/>
              </w:rPr>
              <w:t>]</w:t>
            </w:r>
            <w:r w:rsidRPr="009D1540">
              <w:rPr>
                <w:bCs/>
                <w:lang w:val="de-DE"/>
              </w:rPr>
              <w:t xml:space="preserve"> Zinszahlungstag entspricht, an den jeweiligen Inhaber zahlen;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42F00" w:rsidP="00942F00">
            <w:pPr>
              <w:pStyle w:val="CSManNum8pt"/>
            </w:pPr>
            <w:r w:rsidRPr="00942F00">
              <w:t>(ii)</w:t>
            </w:r>
            <w:r w:rsidRPr="00942F00">
              <w:tab/>
              <w:t xml:space="preserve">if the relevant Potential Failure to Pay </w:t>
            </w:r>
            <w:r w:rsidRPr="00942F00">
              <w:rPr>
                <w:b/>
              </w:rPr>
              <w:t>[</w:t>
            </w:r>
            <w:r w:rsidRPr="00942F00">
              <w:rPr>
                <w:b/>
                <w:i/>
              </w:rPr>
              <w:t>if "Repudiation/Moratorium" is applicable, insert:</w:t>
            </w:r>
            <w:r w:rsidRPr="00942F00">
              <w:t xml:space="preserve"> , Potential Repudiation/Moratorium</w:t>
            </w:r>
            <w:r w:rsidRPr="00942F00">
              <w:rPr>
                <w:b/>
              </w:rPr>
              <w:t>]</w:t>
            </w:r>
            <w:r w:rsidRPr="00942F00">
              <w:t xml:space="preserve"> or DC </w:t>
            </w:r>
            <w:r w:rsidRPr="00942F00" w:rsidR="00942F00">
              <w:t>Pending Request</w:t>
            </w:r>
            <w:r w:rsidRPr="00942F00">
              <w:t>, as the case may be, with respect to</w:t>
            </w:r>
            <w:r w:rsidRPr="00942F00" w:rsidR="00164657">
              <w:t xml:space="preserve"> any</w:t>
            </w:r>
            <w:r w:rsidRPr="00942F00">
              <w:t xml:space="preserve"> such Reference Entity </w:t>
            </w:r>
            <w:r w:rsidRPr="00942F00">
              <w:rPr>
                <w:b/>
              </w:rPr>
              <w:t>results</w:t>
            </w:r>
            <w:r w:rsidRPr="00942F00">
              <w:t xml:space="preserve"> in the occurrence of a Credit Event Determination Date with respect to such Reference Entity, as determined on or prior to the </w:t>
            </w:r>
            <w:r w:rsidRPr="00942F00" w:rsidR="00164657">
              <w:t>last</w:t>
            </w:r>
            <w:r w:rsidRPr="00942F00">
              <w:t xml:space="preserve"> day of </w:t>
            </w:r>
            <w:r w:rsidRPr="00942F00" w:rsidR="00164657">
              <w:t>the relevant</w:t>
            </w:r>
            <w:r w:rsidRPr="00942F00">
              <w:t xml:space="preserve"> Potential Credit Event Period, the Issuer shall make no </w:t>
            </w:r>
            <w:r w:rsidRPr="00942F00" w:rsidR="00164657">
              <w:t>further</w:t>
            </w:r>
            <w:r w:rsidRPr="00942F00">
              <w:t xml:space="preserve"> interest payments in relation to such Reference Entity; and</w:t>
            </w:r>
          </w:p>
        </w:tc>
        <w:tc>
          <w:tcPr>
            <w:tcW w:w="4936" w:type="dxa"/>
            <w:gridSpan w:val="3"/>
            <w:tcBorders>
              <w:top w:val="nil"/>
              <w:bottom w:val="nil"/>
              <w:right w:val="nil"/>
            </w:tcBorders>
            <w:shd w:val="clear" w:color="auto" w:fill="auto"/>
          </w:tcPr>
          <w:p w:rsidR="0017135D" w:rsidRPr="009D1540">
            <w:pPr>
              <w:pStyle w:val="CSManNum8pt"/>
              <w:rPr>
                <w:bCs/>
                <w:lang w:val="de-DE"/>
              </w:rPr>
            </w:pPr>
            <w:r w:rsidRPr="00942F00">
              <w:rPr>
                <w:bCs/>
                <w:lang w:val="de-DE"/>
              </w:rPr>
              <w:t>(ii)</w:t>
            </w:r>
            <w:r w:rsidRPr="00942F00">
              <w:rPr>
                <w:bCs/>
                <w:lang w:val="de-DE"/>
              </w:rPr>
              <w:tab/>
              <w:t xml:space="preserve">falls die jeweilige Potenzielle Nichtzahlung </w:t>
            </w:r>
            <w:r w:rsidRPr="00942F00">
              <w:rPr>
                <w:b/>
                <w:bCs/>
                <w:lang w:val="de-DE"/>
              </w:rPr>
              <w:t>[</w:t>
            </w:r>
            <w:r w:rsidRPr="00942F00">
              <w:rPr>
                <w:b/>
                <w:bCs/>
                <w:i/>
                <w:lang w:val="de-DE"/>
              </w:rPr>
              <w:t>falls "Nichtanerkennung/Moratorium" anwendbar ist, einfügen:</w:t>
            </w:r>
            <w:r w:rsidRPr="00942F00">
              <w:rPr>
                <w:bCs/>
                <w:lang w:val="de-DE"/>
              </w:rPr>
              <w:t xml:space="preserve"> , die jeweilige Potenzielle Nichtanerkennung / das jeweilige Potenzielle Moratorium</w:t>
            </w:r>
            <w:r w:rsidRPr="00942F00">
              <w:rPr>
                <w:b/>
                <w:bCs/>
                <w:lang w:val="de-DE"/>
              </w:rPr>
              <w:t>]</w:t>
            </w:r>
            <w:r w:rsidRPr="00942F00">
              <w:rPr>
                <w:bCs/>
                <w:lang w:val="de-DE"/>
              </w:rPr>
              <w:t xml:space="preserve"> oder ein Ausstehender Antrag in Bezug auf </w:t>
            </w:r>
            <w:r w:rsidRPr="00942F00" w:rsidR="00164657">
              <w:rPr>
                <w:bCs/>
                <w:lang w:val="de-DE"/>
              </w:rPr>
              <w:t xml:space="preserve">einen </w:t>
            </w:r>
            <w:r w:rsidRPr="00942F00">
              <w:rPr>
                <w:bCs/>
                <w:lang w:val="de-DE"/>
              </w:rPr>
              <w:t>diese</w:t>
            </w:r>
            <w:r w:rsidRPr="00942F00" w:rsidR="00164657">
              <w:rPr>
                <w:bCs/>
                <w:lang w:val="de-DE"/>
              </w:rPr>
              <w:t>r</w:t>
            </w:r>
            <w:r w:rsidRPr="00942F00">
              <w:rPr>
                <w:bCs/>
                <w:lang w:val="de-DE"/>
              </w:rPr>
              <w:t xml:space="preserve"> Referenzschuldner zu einem Kreditereignis-Feststellungstag</w:t>
            </w:r>
            <w:r w:rsidRPr="00942F00" w:rsidR="00942F00">
              <w:rPr>
                <w:bCs/>
                <w:lang w:val="de-DE"/>
              </w:rPr>
              <w:t xml:space="preserve"> in Bezug auf diesen Referenzschuldner</w:t>
            </w:r>
            <w:r w:rsidRPr="00942F00">
              <w:rPr>
                <w:bCs/>
                <w:lang w:val="de-DE"/>
              </w:rPr>
              <w:t xml:space="preserve"> </w:t>
            </w:r>
            <w:r w:rsidRPr="00942F00">
              <w:rPr>
                <w:b/>
                <w:bCs/>
                <w:lang w:val="de-DE"/>
              </w:rPr>
              <w:t>führt</w:t>
            </w:r>
            <w:r w:rsidRPr="00942F00">
              <w:rPr>
                <w:bCs/>
                <w:lang w:val="de-DE"/>
              </w:rPr>
              <w:t xml:space="preserve">, wie an oder vor dem letzten Tag </w:t>
            </w:r>
            <w:r w:rsidRPr="00942F00" w:rsidR="00164657">
              <w:rPr>
                <w:bCs/>
                <w:lang w:val="de-DE"/>
              </w:rPr>
              <w:t>des jeweiligen</w:t>
            </w:r>
            <w:r w:rsidRPr="00942F00">
              <w:rPr>
                <w:bCs/>
                <w:lang w:val="de-DE"/>
              </w:rPr>
              <w:t xml:space="preserve"> Zeitraums eines Potenziellen Kreditereignisses festgestellt, wird die Emittentin keine </w:t>
            </w:r>
            <w:r w:rsidRPr="00942F00" w:rsidR="00164657">
              <w:rPr>
                <w:bCs/>
                <w:lang w:val="de-DE"/>
              </w:rPr>
              <w:t>weiteren</w:t>
            </w:r>
            <w:r w:rsidRPr="00942F00">
              <w:rPr>
                <w:bCs/>
                <w:lang w:val="de-DE"/>
              </w:rPr>
              <w:t xml:space="preserve"> Zinszahlungen in Bezug auf diesen Referenzschuldner vornehmen;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942F00">
            <w:pPr>
              <w:pStyle w:val="CSManNum8pt"/>
            </w:pPr>
            <w:r w:rsidRPr="00FE4912">
              <w:t>(</w:t>
            </w:r>
            <w:r w:rsidRPr="009D1540">
              <w:t>iii)</w:t>
            </w:r>
            <w:r w:rsidRPr="009D1540">
              <w:tab/>
              <w:t xml:space="preserve">if the relevant Potential Failure to Pay </w:t>
            </w:r>
            <w:r w:rsidRPr="00792D61">
              <w:rPr>
                <w:b/>
                <w:i/>
              </w:rPr>
              <w:t>[</w:t>
            </w:r>
            <w:r w:rsidRPr="00BC4FE8">
              <w:rPr>
                <w:b/>
                <w:i/>
              </w:rPr>
              <w:t>if "Repudiation/Moratorium" is applicable, insert:</w:t>
            </w:r>
            <w:r w:rsidRPr="009D1540">
              <w:t xml:space="preserve"> , Potential Repudiation/Moratorium</w:t>
            </w:r>
            <w:r w:rsidRPr="00792D61">
              <w:rPr>
                <w:b/>
              </w:rPr>
              <w:t>]</w:t>
            </w:r>
            <w:r w:rsidRPr="009D1540">
              <w:t xml:space="preserve"> or DC Pending Request, as the case may be, with respect to </w:t>
            </w:r>
            <w:r w:rsidR="00164657">
              <w:t xml:space="preserve">any </w:t>
            </w:r>
            <w:r w:rsidRPr="009D1540">
              <w:t xml:space="preserve">such Reference Entity </w:t>
            </w:r>
            <w:r w:rsidRPr="00BC4FE8">
              <w:rPr>
                <w:b/>
              </w:rPr>
              <w:t>does not result</w:t>
            </w:r>
            <w:r w:rsidRPr="009D1540">
              <w:t xml:space="preserve"> in the occurrence of a Credit Event Determination Date with respect to such Reference Entity, as determined on or prior to the last day of </w:t>
            </w:r>
            <w:r w:rsidR="00164657">
              <w:t>the relevant</w:t>
            </w:r>
            <w:r w:rsidRPr="009D1540">
              <w:t xml:space="preserve"> Potential Credit Event Period, (a) the Calculation Agent shall calculate the difference between (1) the </w:t>
            </w:r>
            <w:r w:rsidRPr="00792D61">
              <w:rPr>
                <w:b/>
              </w:rPr>
              <w:t>[</w:t>
            </w:r>
            <w:r w:rsidRPr="009D1540">
              <w:t>relevant</w:t>
            </w:r>
            <w:r w:rsidRPr="00792D61">
              <w:rPr>
                <w:b/>
              </w:rPr>
              <w:t>]</w:t>
            </w:r>
            <w:r w:rsidRPr="009D1540">
              <w:t xml:space="preserve"> Interest Payment Amount per Complex Product that would have been paid on </w:t>
            </w:r>
            <w:r w:rsidRPr="00792D61">
              <w:rPr>
                <w:b/>
              </w:rPr>
              <w:t>[</w:t>
            </w:r>
            <w:r w:rsidRPr="009D1540">
              <w:t>the</w:t>
            </w:r>
            <w:r w:rsidRPr="00792D61">
              <w:rPr>
                <w:b/>
              </w:rPr>
              <w:t>][</w:t>
            </w:r>
            <w:r w:rsidRPr="009D1540">
              <w:t>such</w:t>
            </w:r>
            <w:r w:rsidRPr="00792D61">
              <w:rPr>
                <w:b/>
              </w:rPr>
              <w:t>]</w:t>
            </w:r>
            <w:r w:rsidRPr="009D1540">
              <w:t xml:space="preserve"> Interest Payment Date if such Reference Entity had not been treated as an Affected Reference Entity, and (2) the Non-Affected Interest Payment Amount (such difference, the "</w:t>
            </w:r>
            <w:r w:rsidRPr="00BC4FE8">
              <w:rPr>
                <w:b/>
              </w:rPr>
              <w:t>Remaining Interest Payment Amount</w:t>
            </w:r>
            <w:r w:rsidRPr="009D1540">
              <w:t xml:space="preserve">") and (b) the Issuer shall pay an amount in cash per Complex Product equal to the Remaining Interest Payment Amount on the </w:t>
            </w:r>
            <w:r w:rsidRPr="00792D61">
              <w:rPr>
                <w:b/>
              </w:rPr>
              <w:t>[</w:t>
            </w:r>
            <w:r w:rsidRPr="009D1540">
              <w:t>fifth</w:t>
            </w:r>
            <w:r w:rsidRPr="00792D61">
              <w:rPr>
                <w:b/>
              </w:rPr>
              <w:t>][[</w:t>
            </w:r>
            <w:r w:rsidRPr="009D1540">
              <w:rPr>
                <w:rFonts w:ascii="Arial" w:hAnsi="Arial" w:cs="Arial"/>
              </w:rPr>
              <w:t>●</w:t>
            </w:r>
            <w:r w:rsidRPr="00792D61">
              <w:rPr>
                <w:b/>
              </w:rPr>
              <w:t>]]</w:t>
            </w:r>
            <w:r w:rsidRPr="009D1540">
              <w:t xml:space="preserve"> Business Day following the last day of </w:t>
            </w:r>
            <w:r w:rsidR="00942F00">
              <w:t>such</w:t>
            </w:r>
            <w:r w:rsidRPr="009D1540">
              <w:t xml:space="preserve"> Potential Credit Event Period to the Holder thereof </w:t>
            </w:r>
            <w:r w:rsidRPr="00792D61">
              <w:rPr>
                <w:b/>
              </w:rPr>
              <w:t>[</w:t>
            </w:r>
            <w:r w:rsidRPr="009D1540">
              <w:t>.</w:t>
            </w:r>
            <w:r w:rsidRPr="00792D61">
              <w:rPr>
                <w:b/>
              </w:rPr>
              <w:t>][</w:t>
            </w:r>
            <w:r w:rsidRPr="00BC4FE8">
              <w:rPr>
                <w:b/>
                <w:i/>
              </w:rPr>
              <w:t>if applicable, insert:</w:t>
            </w:r>
            <w:r w:rsidRPr="009D1540">
              <w:t xml:space="preserve"> ; and</w:t>
            </w:r>
          </w:p>
        </w:tc>
        <w:tc>
          <w:tcPr>
            <w:tcW w:w="4936" w:type="dxa"/>
            <w:gridSpan w:val="3"/>
            <w:tcBorders>
              <w:top w:val="nil"/>
              <w:bottom w:val="nil"/>
              <w:right w:val="nil"/>
            </w:tcBorders>
            <w:shd w:val="clear" w:color="auto" w:fill="auto"/>
          </w:tcPr>
          <w:p w:rsidR="0017135D" w:rsidRPr="009D1540">
            <w:pPr>
              <w:pStyle w:val="CSManNum8pt"/>
              <w:rPr>
                <w:bCs/>
                <w:lang w:val="de-DE"/>
              </w:rPr>
            </w:pPr>
            <w:r w:rsidRPr="009D1540">
              <w:rPr>
                <w:bCs/>
                <w:lang w:val="de-DE"/>
              </w:rPr>
              <w:t>(</w:t>
            </w:r>
            <w:r>
              <w:rPr>
                <w:bCs/>
                <w:lang w:val="de-DE"/>
              </w:rPr>
              <w:t>i</w:t>
            </w:r>
            <w:r w:rsidRPr="009D1540">
              <w:rPr>
                <w:bCs/>
                <w:lang w:val="de-DE"/>
              </w:rPr>
              <w:t>ii)</w:t>
            </w:r>
            <w:r w:rsidRPr="009D1540">
              <w:rPr>
                <w:bCs/>
                <w:lang w:val="de-DE"/>
              </w:rPr>
              <w:tab/>
              <w:t xml:space="preserve">falls die jeweilige Potenzielle Nichtzahlung </w:t>
            </w:r>
            <w:r w:rsidRPr="00792D61">
              <w:rPr>
                <w:b/>
                <w:bCs/>
                <w:lang w:val="de-DE"/>
              </w:rPr>
              <w:t>[</w:t>
            </w:r>
            <w:r w:rsidRPr="00BC4FE8">
              <w:rPr>
                <w:b/>
                <w:bCs/>
                <w:i/>
                <w:lang w:val="de-DE"/>
              </w:rPr>
              <w:t>falls "Nichtanerkennung/Moratorium" anwendbar ist, einfügen:</w:t>
            </w:r>
            <w:r w:rsidRPr="009D1540">
              <w:rPr>
                <w:bCs/>
                <w:lang w:val="de-DE"/>
              </w:rPr>
              <w:t xml:space="preserve"> oder die jeweilige Potenzielle Nichtanerkennung / das jeweilige Potenzielle Moratorium</w:t>
            </w:r>
            <w:r w:rsidRPr="00792D61">
              <w:rPr>
                <w:b/>
                <w:bCs/>
                <w:lang w:val="de-DE"/>
              </w:rPr>
              <w:t>]</w:t>
            </w:r>
            <w:r w:rsidRPr="009D1540">
              <w:rPr>
                <w:bCs/>
                <w:lang w:val="de-DE"/>
              </w:rPr>
              <w:t xml:space="preserve"> oder ein Ausstehender Antrag in Bezug auf </w:t>
            </w:r>
            <w:r w:rsidR="00164657">
              <w:rPr>
                <w:bCs/>
                <w:lang w:val="de-DE"/>
              </w:rPr>
              <w:t>einen dieser</w:t>
            </w:r>
            <w:r w:rsidRPr="009D1540">
              <w:rPr>
                <w:bCs/>
                <w:lang w:val="de-DE"/>
              </w:rPr>
              <w:t xml:space="preserve"> Referenzschuldner </w:t>
            </w:r>
            <w:r w:rsidRPr="00BC4FE8">
              <w:rPr>
                <w:b/>
                <w:bCs/>
                <w:lang w:val="de-DE"/>
              </w:rPr>
              <w:t>nicht</w:t>
            </w:r>
            <w:r w:rsidRPr="009D1540">
              <w:rPr>
                <w:bCs/>
                <w:lang w:val="de-DE"/>
              </w:rPr>
              <w:t xml:space="preserve"> zu einem Kreditereignis-Feststellungstag</w:t>
            </w:r>
            <w:r w:rsidR="00164657">
              <w:rPr>
                <w:bCs/>
                <w:lang w:val="de-DE"/>
              </w:rPr>
              <w:t xml:space="preserve"> in Bezug auf diesen Referenzschuldner</w:t>
            </w:r>
            <w:r w:rsidRPr="009D1540">
              <w:rPr>
                <w:bCs/>
                <w:lang w:val="de-DE"/>
              </w:rPr>
              <w:t xml:space="preserve"> </w:t>
            </w:r>
            <w:r w:rsidRPr="00BC4FE8">
              <w:rPr>
                <w:b/>
                <w:bCs/>
                <w:lang w:val="de-DE"/>
              </w:rPr>
              <w:t>führt</w:t>
            </w:r>
            <w:r w:rsidRPr="009D1540">
              <w:rPr>
                <w:bCs/>
                <w:lang w:val="de-DE"/>
              </w:rPr>
              <w:t xml:space="preserve">, wie an oder vor dem letzten Tag </w:t>
            </w:r>
            <w:r w:rsidR="00164657">
              <w:rPr>
                <w:bCs/>
                <w:lang w:val="de-DE"/>
              </w:rPr>
              <w:t>des jeweiligen</w:t>
            </w:r>
            <w:r w:rsidRPr="009D1540">
              <w:rPr>
                <w:bCs/>
                <w:lang w:val="de-DE"/>
              </w:rPr>
              <w:t xml:space="preserve"> Zeitraums eines Potenziellen Kreditereignisses, (a) wird die Berechnungsstelle die Differenz aus (1) dem </w:t>
            </w:r>
            <w:r w:rsidRPr="00792D61">
              <w:rPr>
                <w:b/>
                <w:bCs/>
                <w:lang w:val="de-DE"/>
              </w:rPr>
              <w:t>[</w:t>
            </w:r>
            <w:r w:rsidRPr="009D1540">
              <w:rPr>
                <w:bCs/>
                <w:lang w:val="de-DE"/>
              </w:rPr>
              <w:t>jeweiligen</w:t>
            </w:r>
            <w:r w:rsidRPr="00792D61">
              <w:rPr>
                <w:b/>
                <w:bCs/>
                <w:lang w:val="de-DE"/>
              </w:rPr>
              <w:t>]</w:t>
            </w:r>
            <w:r w:rsidRPr="009D1540">
              <w:rPr>
                <w:bCs/>
                <w:lang w:val="de-DE"/>
              </w:rPr>
              <w:t xml:space="preserve"> Zinszahlungsbetrag pro Komplexes Produkt, der am </w:t>
            </w:r>
            <w:r w:rsidRPr="00792D61">
              <w:rPr>
                <w:b/>
                <w:bCs/>
                <w:lang w:val="de-DE"/>
              </w:rPr>
              <w:t>[</w:t>
            </w:r>
            <w:r w:rsidRPr="009D1540">
              <w:rPr>
                <w:bCs/>
                <w:lang w:val="de-DE"/>
              </w:rPr>
              <w:t>jeweiligen</w:t>
            </w:r>
            <w:r w:rsidRPr="00792D61">
              <w:rPr>
                <w:b/>
                <w:bCs/>
                <w:lang w:val="de-DE"/>
              </w:rPr>
              <w:t>]</w:t>
            </w:r>
            <w:r w:rsidRPr="009D1540">
              <w:rPr>
                <w:bCs/>
                <w:lang w:val="de-DE"/>
              </w:rPr>
              <w:t xml:space="preserve"> Zinszahlungstag gezahlt worden wäre, wenn dieser Referenzschuldner nicht als Betroffener Referenzschuldner behandelt worden wäre, und (2) dem Nicht-Betroffenen Zinszahlungsbetrag (diese Differenz der "</w:t>
            </w:r>
            <w:r w:rsidRPr="00BC4FE8">
              <w:rPr>
                <w:b/>
                <w:bCs/>
                <w:lang w:val="de-DE"/>
              </w:rPr>
              <w:t>Rest-Zinszahlungsbetrag</w:t>
            </w:r>
            <w:r w:rsidRPr="009D1540">
              <w:rPr>
                <w:bCs/>
                <w:lang w:val="de-DE"/>
              </w:rPr>
              <w:t xml:space="preserve">") berechnen und (b) wird die Emittentin einen Geldbetrag pro Komplexes Produkt, der dem Rest-Zinszahlungsbetrag entspricht, am </w:t>
            </w:r>
            <w:r w:rsidRPr="00792D61">
              <w:rPr>
                <w:b/>
                <w:bCs/>
                <w:lang w:val="de-DE"/>
              </w:rPr>
              <w:t>[</w:t>
            </w:r>
            <w:r w:rsidRPr="009D1540">
              <w:rPr>
                <w:bCs/>
                <w:lang w:val="de-DE"/>
              </w:rPr>
              <w:t>fünften</w:t>
            </w:r>
            <w:r w:rsidRPr="00792D61">
              <w:rPr>
                <w:b/>
                <w:bCs/>
                <w:lang w:val="de-DE"/>
              </w:rPr>
              <w:t>][[</w:t>
            </w:r>
            <w:r w:rsidRPr="009D1540">
              <w:rPr>
                <w:rFonts w:ascii="Arial" w:hAnsi="Arial" w:cs="Arial"/>
                <w:bCs/>
                <w:lang w:val="de-DE"/>
              </w:rPr>
              <w:t>●</w:t>
            </w:r>
            <w:r w:rsidRPr="00792D61">
              <w:rPr>
                <w:b/>
                <w:bCs/>
                <w:lang w:val="de-DE"/>
              </w:rPr>
              <w:t>]]</w:t>
            </w:r>
            <w:r w:rsidRPr="009D1540">
              <w:rPr>
                <w:bCs/>
                <w:lang w:val="de-DE"/>
              </w:rPr>
              <w:t xml:space="preserve"> Gesch</w:t>
            </w:r>
            <w:r w:rsidRPr="009D1540">
              <w:rPr>
                <w:rFonts w:cs="Credit Suisse Type Light"/>
                <w:bCs/>
                <w:lang w:val="de-DE"/>
              </w:rPr>
              <w:t>ä</w:t>
            </w:r>
            <w:r w:rsidRPr="009D1540">
              <w:rPr>
                <w:bCs/>
                <w:lang w:val="de-DE"/>
              </w:rPr>
              <w:t xml:space="preserve">ftstag nach dem letzten Tag </w:t>
            </w:r>
            <w:r w:rsidR="00942F00">
              <w:rPr>
                <w:bCs/>
                <w:lang w:val="de-DE"/>
              </w:rPr>
              <w:t>dieses</w:t>
            </w:r>
            <w:r w:rsidRPr="009D1540">
              <w:rPr>
                <w:bCs/>
                <w:lang w:val="de-DE"/>
              </w:rPr>
              <w:t xml:space="preserve"> Zeitraums eines Potenziellen Kreditereignisses an den jeweiligen Inhaber zahlen </w:t>
            </w:r>
            <w:r w:rsidRPr="00792D61">
              <w:rPr>
                <w:b/>
                <w:bCs/>
                <w:lang w:val="de-DE"/>
              </w:rPr>
              <w:t>[</w:t>
            </w:r>
            <w:r w:rsidRPr="009D1540">
              <w:rPr>
                <w:bCs/>
                <w:lang w:val="de-DE"/>
              </w:rPr>
              <w:t>.</w:t>
            </w:r>
            <w:r w:rsidRPr="00792D61">
              <w:rPr>
                <w:b/>
                <w:bCs/>
                <w:lang w:val="de-DE"/>
              </w:rPr>
              <w:t>][</w:t>
            </w:r>
            <w:r w:rsidRPr="00BC4FE8">
              <w:rPr>
                <w:b/>
                <w:bCs/>
                <w:i/>
                <w:lang w:val="de-DE"/>
              </w:rPr>
              <w:t>falls anwendbar, einfügen:</w:t>
            </w:r>
            <w:r w:rsidRPr="009D1540">
              <w:rPr>
                <w:bCs/>
                <w:lang w:val="de-DE"/>
              </w:rPr>
              <w:t xml:space="preserve"> ;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90CE4" w:rsidP="00942F00">
            <w:pPr>
              <w:pStyle w:val="CSBody8pt"/>
            </w:pPr>
            <w:r w:rsidRPr="0061370C">
              <w:rPr>
                <w:i/>
              </w:rPr>
              <w:t>provided, however</w:t>
            </w:r>
            <w:r w:rsidRPr="00B90CE4">
              <w:t xml:space="preserve">, that the Issuer may elect in its discretion to pay the Remaining Interest Payment Amount </w:t>
            </w:r>
            <w:r w:rsidR="00942F00">
              <w:t>of any or all such Reference Entities</w:t>
            </w:r>
            <w:r w:rsidRPr="00B90CE4" w:rsidR="00942F00">
              <w:t xml:space="preserve"> </w:t>
            </w:r>
            <w:r w:rsidRPr="00B90CE4">
              <w:t xml:space="preserve">per Complex Product at any time during </w:t>
            </w:r>
            <w:r w:rsidR="00164657">
              <w:t>the related</w:t>
            </w:r>
            <w:r w:rsidRPr="00B90CE4">
              <w:t xml:space="preserve"> Potential Credit Event Period to the </w:t>
            </w:r>
            <w:r w:rsidR="00164657">
              <w:t>H</w:t>
            </w:r>
            <w:r w:rsidRPr="00B90CE4">
              <w:t xml:space="preserve">older thereof, so long as the relevant Potential Failure to Pay </w:t>
            </w:r>
            <w:r w:rsidRPr="00792D61">
              <w:rPr>
                <w:b/>
                <w:i/>
              </w:rPr>
              <w:t>[</w:t>
            </w:r>
            <w:r w:rsidRPr="00BC4FE8">
              <w:rPr>
                <w:b/>
                <w:i/>
              </w:rPr>
              <w:t>if "Repudiation/Moratorium" is applicable, insert:</w:t>
            </w:r>
            <w:r w:rsidRPr="00B90CE4">
              <w:t xml:space="preserve"> , Potential Repudiation/Moratorium</w:t>
            </w:r>
            <w:r w:rsidRPr="00792D61">
              <w:rPr>
                <w:b/>
              </w:rPr>
              <w:t>]</w:t>
            </w:r>
            <w:r w:rsidRPr="00B90CE4">
              <w:t xml:space="preserve"> or DC Pending Request, as the case may be, has not resulted in the occurrence of a Credit Event Determination Date with respect to the relevant Reference Entity as of the date of such payment.</w:t>
            </w:r>
            <w:r w:rsidRPr="00792D61">
              <w:rPr>
                <w:b/>
              </w:rPr>
              <w:t>]</w:t>
            </w:r>
            <w:r w:rsidRPr="00B90CE4">
              <w:t xml:space="preserve"> For any postponement of the payment of an Interest Payment Amount no default interest or other compensation payments shall be payable to the holders.</w:t>
            </w:r>
            <w:r w:rsidRPr="00792D61">
              <w:rPr>
                <w:b/>
              </w:rPr>
              <w:t>]</w:t>
            </w:r>
          </w:p>
        </w:tc>
        <w:tc>
          <w:tcPr>
            <w:tcW w:w="4936" w:type="dxa"/>
            <w:gridSpan w:val="3"/>
            <w:tcBorders>
              <w:top w:val="nil"/>
              <w:bottom w:val="nil"/>
              <w:right w:val="nil"/>
            </w:tcBorders>
            <w:shd w:val="clear" w:color="auto" w:fill="auto"/>
          </w:tcPr>
          <w:p w:rsidR="0017135D" w:rsidRPr="009D1540" w:rsidP="00942F00">
            <w:pPr>
              <w:pStyle w:val="CSBody8pt"/>
              <w:rPr>
                <w:lang w:val="de-DE"/>
              </w:rPr>
            </w:pPr>
            <w:r w:rsidRPr="0061370C">
              <w:rPr>
                <w:i/>
                <w:lang w:val="de-DE"/>
              </w:rPr>
              <w:t>wobei jedoch</w:t>
            </w:r>
            <w:r w:rsidRPr="009D1540">
              <w:rPr>
                <w:lang w:val="de-DE"/>
              </w:rPr>
              <w:t xml:space="preserve"> die Emittentin nach ihrem Ermessen den Rest-Zinszahlungsbetrag </w:t>
            </w:r>
            <w:r w:rsidR="00942F00">
              <w:rPr>
                <w:lang w:val="de-DE"/>
              </w:rPr>
              <w:t xml:space="preserve">für einzelne oder alle dieser Referenzschuldner </w:t>
            </w:r>
            <w:r w:rsidRPr="009D1540">
              <w:rPr>
                <w:lang w:val="de-DE"/>
              </w:rPr>
              <w:t xml:space="preserve">pro Komplexes Produkt zu jedem Zeitpunkt des </w:t>
            </w:r>
            <w:r w:rsidR="00164657">
              <w:rPr>
                <w:lang w:val="de-DE"/>
              </w:rPr>
              <w:t>jeweiligen</w:t>
            </w:r>
            <w:r w:rsidRPr="009D1540">
              <w:rPr>
                <w:lang w:val="de-DE"/>
              </w:rPr>
              <w:t xml:space="preserve"> Zeitraums eines Potenziellen Kreditereignisses an den jeweiligen Inhaber zahlen kann, solange zum Zeitpunkt der Zahlung die jeweilige Potenzielle Nichtzahlung </w:t>
            </w:r>
            <w:r w:rsidRPr="00792D61">
              <w:rPr>
                <w:b/>
                <w:lang w:val="de-DE"/>
              </w:rPr>
              <w:t>[</w:t>
            </w:r>
            <w:r w:rsidRPr="00BC4FE8">
              <w:rPr>
                <w:b/>
                <w:i/>
                <w:lang w:val="de-DE"/>
              </w:rPr>
              <w:t>falls "Nichtanerkennung/Moratorium" anwendbar ist, einfügen:</w:t>
            </w:r>
            <w:r w:rsidRPr="009D1540">
              <w:rPr>
                <w:lang w:val="de-DE"/>
              </w:rPr>
              <w:t xml:space="preserve"> oder die jeweilige Potenzielle Nichtanerkennung / das jeweilige Potenzielle Moratorium</w:t>
            </w:r>
            <w:r w:rsidRPr="00792D61">
              <w:rPr>
                <w:b/>
                <w:lang w:val="de-DE"/>
              </w:rPr>
              <w:t>]</w:t>
            </w:r>
            <w:r w:rsidRPr="009D1540">
              <w:rPr>
                <w:lang w:val="de-DE"/>
              </w:rPr>
              <w:t xml:space="preserve"> oder ein Ausstehender Antrag nicht zu einem Kreditereignis-Feststellungstag bezüglich des jeweiligen Referenzschuldners geführt hat.</w:t>
            </w:r>
            <w:r w:rsidRPr="00792D61">
              <w:rPr>
                <w:b/>
                <w:lang w:val="de-DE"/>
              </w:rPr>
              <w:t>]</w:t>
            </w:r>
            <w:r w:rsidRPr="009D1540">
              <w:rPr>
                <w:lang w:val="de-DE"/>
              </w:rPr>
              <w:t xml:space="preserve"> Für jede Verschiebung der Zahlung eines Zinszahlungsbetrags werden keine Verzugszinsen oder anderen Ausgleichszahlungen an die Inhaber fällig.</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90CE4" w:rsidP="001E3451">
            <w:pPr>
              <w:pStyle w:val="CSBody8pt"/>
            </w:pPr>
            <w:r w:rsidRPr="00792D61">
              <w:rPr>
                <w:b/>
              </w:rPr>
              <w:t>]</w:t>
            </w:r>
          </w:p>
        </w:tc>
        <w:tc>
          <w:tcPr>
            <w:tcW w:w="4936" w:type="dxa"/>
            <w:gridSpan w:val="3"/>
            <w:tcBorders>
              <w:top w:val="nil"/>
              <w:bottom w:val="nil"/>
              <w:right w:val="nil"/>
            </w:tcBorders>
            <w:shd w:val="clear" w:color="auto" w:fill="auto"/>
          </w:tcPr>
          <w:p w:rsidR="0017135D" w:rsidRPr="00B90CE4" w:rsidP="001E3451">
            <w:pPr>
              <w:pStyle w:val="CSBody8pt"/>
            </w:pPr>
            <w:r w:rsidRPr="00792D61">
              <w:rPr>
                <w:b/>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90CE4" w:rsidP="001E3451">
            <w:pPr>
              <w:pStyle w:val="CSBody8ptbolditalics"/>
            </w:pPr>
            <w:r w:rsidRPr="00792D61">
              <w:t>[</w:t>
            </w:r>
            <w:r w:rsidRPr="00B90CE4">
              <w:t>in the case of Credit-Linked Complex Products with simplified settlement, insert:</w:t>
            </w:r>
          </w:p>
        </w:tc>
        <w:tc>
          <w:tcPr>
            <w:tcW w:w="4936" w:type="dxa"/>
            <w:gridSpan w:val="3"/>
            <w:tcBorders>
              <w:top w:val="nil"/>
              <w:bottom w:val="nil"/>
              <w:right w:val="nil"/>
            </w:tcBorders>
            <w:shd w:val="clear" w:color="auto" w:fill="auto"/>
          </w:tcPr>
          <w:p w:rsidR="0017135D" w:rsidRPr="009D1540" w:rsidP="001E3451">
            <w:pPr>
              <w:pStyle w:val="CSBody8ptbolditalics"/>
              <w:rPr>
                <w:lang w:val="de-DE"/>
              </w:rPr>
            </w:pPr>
            <w:r w:rsidRPr="00792D61">
              <w:rPr>
                <w:lang w:val="de-DE"/>
              </w:rPr>
              <w:t>[</w:t>
            </w:r>
            <w:r w:rsidRPr="009D1540">
              <w:rPr>
                <w:lang w:val="de-DE"/>
              </w:rPr>
              <w:t>bei Kreditbezogenen Komplexen Produkten mit vereinfachter Abwicklung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D26BB" w:rsidP="001E3451">
            <w:pPr>
              <w:pStyle w:val="CSBody8pt"/>
            </w:pPr>
            <w:r w:rsidRPr="004D26BB">
              <w:t xml:space="preserve">Notwithstanding the immediately preceding paragraph, if a Suspension Period has occurred prior to, and is continuing on, </w:t>
            </w:r>
            <w:r w:rsidRPr="00792D61">
              <w:rPr>
                <w:b/>
              </w:rPr>
              <w:t>[</w:t>
            </w:r>
            <w:r w:rsidRPr="004D26BB">
              <w:t>the</w:t>
            </w:r>
            <w:r w:rsidRPr="00792D61">
              <w:rPr>
                <w:b/>
              </w:rPr>
              <w:t>][</w:t>
            </w:r>
            <w:r w:rsidRPr="004D26BB">
              <w:t>such</w:t>
            </w:r>
            <w:r w:rsidRPr="00792D61">
              <w:rPr>
                <w:b/>
              </w:rPr>
              <w:t>]</w:t>
            </w:r>
            <w:r w:rsidRPr="004D26BB">
              <w:t xml:space="preserve"> Interest Payment Date, and</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 xml:space="preserve">Ungeachtet des unmittelbar vorangehenden Absatzes gilt Folgendes: Im Fall, dass ein Aussetzungszeitraum vor dem </w:t>
            </w:r>
            <w:r w:rsidRPr="00792D61">
              <w:rPr>
                <w:b/>
                <w:lang w:val="de-DE"/>
              </w:rPr>
              <w:t>[</w:t>
            </w:r>
            <w:r w:rsidRPr="009D1540">
              <w:rPr>
                <w:lang w:val="de-DE"/>
              </w:rPr>
              <w:t>jeweiligen</w:t>
            </w:r>
            <w:r w:rsidRPr="00792D61">
              <w:rPr>
                <w:b/>
                <w:lang w:val="de-DE"/>
              </w:rPr>
              <w:t>]</w:t>
            </w:r>
            <w:r w:rsidRPr="009D1540">
              <w:rPr>
                <w:lang w:val="de-DE"/>
              </w:rPr>
              <w:t xml:space="preserve"> Zinszahlungstag begonnen hat und an diesem Tag andauert,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1E3451">
            <w:pPr>
              <w:pStyle w:val="CSManNum8pt"/>
            </w:pPr>
            <w:r w:rsidRPr="009D1540">
              <w:t>(i)</w:t>
            </w:r>
            <w:r w:rsidRPr="009D1540">
              <w:tab/>
              <w:t xml:space="preserve">a Credit Redemption Event occurs on or prior to the last day of the Suspension Period, the Issuer shall not pay the </w:t>
            </w:r>
            <w:r w:rsidRPr="00792D61">
              <w:rPr>
                <w:b/>
              </w:rPr>
              <w:t>[</w:t>
            </w:r>
            <w:r w:rsidRPr="009D1540">
              <w:t>relevant</w:t>
            </w:r>
            <w:r w:rsidRPr="00792D61">
              <w:rPr>
                <w:b/>
              </w:rPr>
              <w:t>]</w:t>
            </w:r>
            <w:r w:rsidRPr="009D1540">
              <w:t xml:space="preserve"> Interest Payment Amount; or</w:t>
            </w:r>
          </w:p>
        </w:tc>
        <w:tc>
          <w:tcPr>
            <w:tcW w:w="4936" w:type="dxa"/>
            <w:gridSpan w:val="3"/>
            <w:tcBorders>
              <w:top w:val="nil"/>
              <w:bottom w:val="nil"/>
              <w:right w:val="nil"/>
            </w:tcBorders>
            <w:shd w:val="clear" w:color="auto" w:fill="auto"/>
          </w:tcPr>
          <w:p w:rsidR="0017135D" w:rsidRPr="009D1540" w:rsidP="001E3451">
            <w:pPr>
              <w:pStyle w:val="CSManNum8pt"/>
              <w:rPr>
                <w:bCs/>
                <w:lang w:val="de-DE"/>
              </w:rPr>
            </w:pPr>
            <w:r w:rsidRPr="009D1540">
              <w:rPr>
                <w:bCs/>
                <w:lang w:val="de-DE"/>
              </w:rPr>
              <w:t>(i)</w:t>
            </w:r>
            <w:r w:rsidRPr="009D1540">
              <w:rPr>
                <w:bCs/>
                <w:lang w:val="de-DE"/>
              </w:rPr>
              <w:tab/>
              <w:t xml:space="preserve">an oder vor dem letzten Tag des Aussetzungszeitraums ein Kredit-Rückzahlungsereignis eintritt, zahlt die Emittentin den </w:t>
            </w:r>
            <w:r w:rsidRPr="00792D61">
              <w:rPr>
                <w:b/>
                <w:bCs/>
                <w:lang w:val="de-DE"/>
              </w:rPr>
              <w:t>[</w:t>
            </w:r>
            <w:r w:rsidRPr="009D1540">
              <w:rPr>
                <w:bCs/>
                <w:lang w:val="de-DE"/>
              </w:rPr>
              <w:t>jeweiligen</w:t>
            </w:r>
            <w:r w:rsidRPr="00792D61">
              <w:rPr>
                <w:b/>
                <w:bCs/>
                <w:lang w:val="de-DE"/>
              </w:rPr>
              <w:t>]</w:t>
            </w:r>
            <w:r w:rsidRPr="009D1540">
              <w:rPr>
                <w:bCs/>
                <w:lang w:val="de-DE"/>
              </w:rPr>
              <w:t xml:space="preserve"> Zinszahlungsbetrag nicht; oder</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1E3451">
            <w:pPr>
              <w:pStyle w:val="CSManNum8pt"/>
            </w:pPr>
            <w:r w:rsidRPr="009D1540">
              <w:t>(ii)</w:t>
            </w:r>
            <w:r w:rsidRPr="009D1540">
              <w:tab/>
            </w:r>
            <w:r w:rsidRPr="0061370C">
              <w:rPr>
                <w:b/>
              </w:rPr>
              <w:t>no Credit Redemption Event occurs</w:t>
            </w:r>
            <w:r w:rsidRPr="009D1540">
              <w:t xml:space="preserve"> on or prior to the last day of the Suspension Period, instead of paying the </w:t>
            </w:r>
            <w:r w:rsidRPr="00792D61">
              <w:rPr>
                <w:b/>
              </w:rPr>
              <w:t>[</w:t>
            </w:r>
            <w:r w:rsidRPr="009D1540">
              <w:t>relevant</w:t>
            </w:r>
            <w:r w:rsidRPr="00792D61">
              <w:rPr>
                <w:b/>
              </w:rPr>
              <w:t>]</w:t>
            </w:r>
            <w:r w:rsidRPr="009D1540">
              <w:t xml:space="preserve"> Interest Payment Amount on </w:t>
            </w:r>
            <w:r w:rsidRPr="00792D61">
              <w:rPr>
                <w:b/>
              </w:rPr>
              <w:t>[</w:t>
            </w:r>
            <w:r w:rsidRPr="009D1540">
              <w:t>the</w:t>
            </w:r>
            <w:r w:rsidRPr="00792D61">
              <w:rPr>
                <w:b/>
              </w:rPr>
              <w:t>][</w:t>
            </w:r>
            <w:r w:rsidRPr="009D1540">
              <w:t>such</w:t>
            </w:r>
            <w:r w:rsidRPr="00792D61">
              <w:rPr>
                <w:b/>
              </w:rPr>
              <w:t>]</w:t>
            </w:r>
            <w:r w:rsidRPr="009D1540">
              <w:t xml:space="preserve"> Interest Payment Date, the Issuer shall pay the </w:t>
            </w:r>
            <w:r w:rsidRPr="00792D61">
              <w:rPr>
                <w:b/>
              </w:rPr>
              <w:t>[</w:t>
            </w:r>
            <w:r w:rsidRPr="009D1540">
              <w:t>relevant</w:t>
            </w:r>
            <w:r w:rsidRPr="00792D61">
              <w:rPr>
                <w:b/>
              </w:rPr>
              <w:t>]</w:t>
            </w:r>
            <w:r w:rsidRPr="009D1540">
              <w:t xml:space="preserve"> Interest Payment Amount per Complex Product on the </w:t>
            </w:r>
            <w:r w:rsidRPr="00792D61">
              <w:rPr>
                <w:b/>
              </w:rPr>
              <w:t>[</w:t>
            </w:r>
            <w:r w:rsidRPr="009D1540">
              <w:t>second</w:t>
            </w:r>
            <w:r w:rsidRPr="00792D61">
              <w:rPr>
                <w:b/>
              </w:rPr>
              <w:t>][[</w:t>
            </w:r>
            <w:r w:rsidRPr="009D1540">
              <w:rPr>
                <w:rFonts w:ascii="Arial" w:hAnsi="Arial" w:cs="Arial"/>
              </w:rPr>
              <w:t>●</w:t>
            </w:r>
            <w:r w:rsidRPr="00792D61">
              <w:rPr>
                <w:b/>
              </w:rPr>
              <w:t>]]</w:t>
            </w:r>
            <w:r w:rsidRPr="009D1540">
              <w:t xml:space="preserve"> Business Day following the last day of the Suspension Period to the Holder thereof. For any such postponement of the payment of an Interest Payment Amount no default interest or other compensation payments shall be payable to the Holders.</w:t>
            </w:r>
            <w:r w:rsidRPr="00792D61">
              <w:rPr>
                <w:b/>
              </w:rPr>
              <w:t>]</w:t>
            </w:r>
          </w:p>
        </w:tc>
        <w:tc>
          <w:tcPr>
            <w:tcW w:w="4936" w:type="dxa"/>
            <w:gridSpan w:val="3"/>
            <w:tcBorders>
              <w:top w:val="nil"/>
              <w:bottom w:val="nil"/>
              <w:right w:val="nil"/>
            </w:tcBorders>
            <w:shd w:val="clear" w:color="auto" w:fill="auto"/>
          </w:tcPr>
          <w:p w:rsidR="0017135D" w:rsidRPr="009D1540" w:rsidP="00BC4FE8">
            <w:pPr>
              <w:pStyle w:val="CSManNum8pt"/>
              <w:rPr>
                <w:bCs/>
                <w:lang w:val="de-DE"/>
              </w:rPr>
            </w:pPr>
            <w:r w:rsidRPr="009D1540">
              <w:rPr>
                <w:bCs/>
                <w:lang w:val="de-DE"/>
              </w:rPr>
              <w:t>(ii)</w:t>
            </w:r>
            <w:r w:rsidRPr="009D1540">
              <w:rPr>
                <w:bCs/>
                <w:lang w:val="de-DE"/>
              </w:rPr>
              <w:tab/>
              <w:t xml:space="preserve">an oder vor dem letzten Tag des Aussetzungszeitraums </w:t>
            </w:r>
            <w:r w:rsidRPr="0061370C">
              <w:rPr>
                <w:b/>
                <w:bCs/>
                <w:lang w:val="de-DE"/>
              </w:rPr>
              <w:t>kein Kredit-Rückzahlungsereignis eintritt</w:t>
            </w:r>
            <w:r w:rsidRPr="009D1540">
              <w:rPr>
                <w:bCs/>
                <w:lang w:val="de-DE"/>
              </w:rPr>
              <w:t xml:space="preserve">, zahlt die Emittentin den </w:t>
            </w:r>
            <w:r w:rsidRPr="00792D61">
              <w:rPr>
                <w:b/>
                <w:bCs/>
                <w:lang w:val="de-DE"/>
              </w:rPr>
              <w:t>[</w:t>
            </w:r>
            <w:r w:rsidRPr="009D1540">
              <w:rPr>
                <w:bCs/>
                <w:lang w:val="de-DE"/>
              </w:rPr>
              <w:t>jeweiligen</w:t>
            </w:r>
            <w:r w:rsidRPr="00792D61">
              <w:rPr>
                <w:b/>
                <w:bCs/>
                <w:lang w:val="de-DE"/>
              </w:rPr>
              <w:t>]</w:t>
            </w:r>
            <w:r w:rsidRPr="009D1540">
              <w:rPr>
                <w:bCs/>
                <w:lang w:val="de-DE"/>
              </w:rPr>
              <w:t xml:space="preserve"> Zinszahlungsbetrag pro Komplexes Produkt anstatt am </w:t>
            </w:r>
            <w:r w:rsidRPr="00792D61">
              <w:rPr>
                <w:b/>
                <w:bCs/>
                <w:lang w:val="de-DE"/>
              </w:rPr>
              <w:t>[</w:t>
            </w:r>
            <w:r w:rsidRPr="009D1540">
              <w:rPr>
                <w:bCs/>
                <w:lang w:val="de-DE"/>
              </w:rPr>
              <w:t>jeweiligen</w:t>
            </w:r>
            <w:r w:rsidRPr="00792D61">
              <w:rPr>
                <w:b/>
                <w:bCs/>
                <w:lang w:val="de-DE"/>
              </w:rPr>
              <w:t>]</w:t>
            </w:r>
            <w:r w:rsidRPr="009D1540">
              <w:rPr>
                <w:bCs/>
                <w:lang w:val="de-DE"/>
              </w:rPr>
              <w:t xml:space="preserve"> Zinszahlungstag am </w:t>
            </w:r>
            <w:r w:rsidRPr="00792D61">
              <w:rPr>
                <w:b/>
                <w:bCs/>
                <w:lang w:val="de-DE"/>
              </w:rPr>
              <w:t>[</w:t>
            </w:r>
            <w:r w:rsidRPr="009D1540">
              <w:rPr>
                <w:bCs/>
                <w:lang w:val="de-DE"/>
              </w:rPr>
              <w:t>zweiten</w:t>
            </w:r>
            <w:r w:rsidRPr="00792D61">
              <w:rPr>
                <w:b/>
                <w:bCs/>
                <w:lang w:val="de-DE"/>
              </w:rPr>
              <w:t>][[</w:t>
            </w:r>
            <w:r w:rsidRPr="00BC4FE8">
              <w:rPr>
                <w:rFonts w:ascii="Arial" w:hAnsi="Arial" w:cs="Arial"/>
                <w:bCs/>
                <w:lang w:val="de-DE"/>
              </w:rPr>
              <w:t>●</w:t>
            </w:r>
            <w:r w:rsidRPr="00792D61">
              <w:rPr>
                <w:b/>
                <w:bCs/>
                <w:lang w:val="de-DE"/>
              </w:rPr>
              <w:t>]]</w:t>
            </w:r>
            <w:r w:rsidRPr="009D1540">
              <w:rPr>
                <w:bCs/>
                <w:lang w:val="de-DE"/>
              </w:rPr>
              <w:t xml:space="preserve"> Geschäftstag nach dem letzten Tag des Aussetzungszeitraums an den jeweiligen Inhaber. Für jede solche Verschiebung der Zahlung eines Zinszahlungsbetrags werden keine Verzugszinsen oder anderen Ausgleichszahlungen an die Inhaber fällig.</w:t>
            </w:r>
            <w:r w:rsidRPr="00792D61">
              <w:rPr>
                <w:b/>
                <w:bCs/>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6E56BA" w:rsidP="001E3451">
            <w:pPr>
              <w:pStyle w:val="CSbody0bold"/>
            </w:pPr>
            <w:r w:rsidRPr="006E56BA">
              <w:t>Section 4</w:t>
            </w:r>
          </w:p>
        </w:tc>
        <w:tc>
          <w:tcPr>
            <w:tcW w:w="3315" w:type="dxa"/>
            <w:gridSpan w:val="2"/>
            <w:tcBorders>
              <w:top w:val="nil"/>
              <w:left w:val="nil"/>
              <w:bottom w:val="nil"/>
              <w:right w:val="nil"/>
            </w:tcBorders>
            <w:shd w:val="clear" w:color="auto" w:fill="D9D9D9" w:themeFill="background1" w:themeFillShade="D9"/>
          </w:tcPr>
          <w:p w:rsidR="0017135D" w:rsidRPr="00132D4B" w:rsidP="001E3451">
            <w:pPr>
              <w:pStyle w:val="CSbody0bold"/>
              <w:rPr>
                <w:lang w:val="en-GB"/>
              </w:rPr>
            </w:pPr>
            <w:r w:rsidRPr="00132D4B">
              <w:rPr>
                <w:lang w:val="en-GB"/>
              </w:rPr>
              <w:t xml:space="preserve">Adjustments and Determinations relating to </w:t>
            </w:r>
            <w:r w:rsidRPr="00792D61">
              <w:rPr>
                <w:lang w:val="en-GB"/>
              </w:rPr>
              <w:t>[</w:t>
            </w:r>
            <w:r w:rsidRPr="00132D4B">
              <w:rPr>
                <w:lang w:val="en-GB"/>
              </w:rPr>
              <w:t>the Reference Rate</w:t>
            </w:r>
            <w:r w:rsidRPr="00792D61">
              <w:rPr>
                <w:lang w:val="en-GB"/>
              </w:rPr>
              <w:t>]</w:t>
            </w:r>
            <w:r w:rsidRPr="00132D4B">
              <w:rPr>
                <w:lang w:val="en-GB"/>
              </w:rPr>
              <w:t xml:space="preserve"> </w:t>
            </w:r>
            <w:r w:rsidRPr="00792D61">
              <w:rPr>
                <w:lang w:val="en-GB"/>
              </w:rPr>
              <w:t>[</w:t>
            </w:r>
            <w:r w:rsidRPr="00132D4B">
              <w:rPr>
                <w:lang w:val="en-GB"/>
              </w:rPr>
              <w:t>and</w:t>
            </w:r>
            <w:r w:rsidRPr="00792D61">
              <w:rPr>
                <w:lang w:val="en-GB"/>
              </w:rPr>
              <w:t>][</w:t>
            </w:r>
            <w:r w:rsidRPr="00132D4B">
              <w:rPr>
                <w:lang w:val="en-GB"/>
              </w:rPr>
              <w:t>the determination of a Credit Event Determination Date</w:t>
            </w:r>
            <w:r w:rsidRPr="00792D61">
              <w:rPr>
                <w:lang w:val="en-GB"/>
              </w:rPr>
              <w:t>]</w:t>
            </w:r>
          </w:p>
        </w:tc>
        <w:tc>
          <w:tcPr>
            <w:tcW w:w="1618" w:type="dxa"/>
            <w:gridSpan w:val="2"/>
            <w:tcBorders>
              <w:top w:val="nil"/>
              <w:left w:val="nil"/>
              <w:bottom w:val="nil"/>
              <w:right w:val="nil"/>
            </w:tcBorders>
            <w:shd w:val="clear" w:color="auto" w:fill="D9D9D9" w:themeFill="background1" w:themeFillShade="D9"/>
          </w:tcPr>
          <w:p w:rsidR="0017135D" w:rsidRPr="003D7E45" w:rsidP="001E3451">
            <w:pPr>
              <w:pStyle w:val="CSbody0bold"/>
            </w:pPr>
            <w:r w:rsidRPr="003D7E45">
              <w:t>Ziffer 4</w:t>
            </w:r>
          </w:p>
        </w:tc>
        <w:tc>
          <w:tcPr>
            <w:tcW w:w="3318" w:type="dxa"/>
            <w:tcBorders>
              <w:top w:val="nil"/>
              <w:left w:val="nil"/>
              <w:bottom w:val="nil"/>
              <w:right w:val="nil"/>
            </w:tcBorders>
            <w:shd w:val="clear" w:color="auto" w:fill="D9D9D9" w:themeFill="background1" w:themeFillShade="D9"/>
          </w:tcPr>
          <w:p w:rsidR="0017135D" w:rsidRPr="009D1540" w:rsidP="001E3451">
            <w:pPr>
              <w:pStyle w:val="CSbody0bold"/>
            </w:pPr>
            <w:r w:rsidRPr="009D1540">
              <w:t xml:space="preserve">Anpassungen und Feststellungen in Bezug auf </w:t>
            </w:r>
            <w:r w:rsidRPr="00792D61">
              <w:t>[</w:t>
            </w:r>
            <w:r w:rsidRPr="009D1540">
              <w:t>den Referenzsatz</w:t>
            </w:r>
            <w:r w:rsidRPr="00792D61">
              <w:t>][</w:t>
            </w:r>
            <w:r w:rsidRPr="009D1540">
              <w:t>und</w:t>
            </w:r>
            <w:r w:rsidRPr="00792D61">
              <w:t>]</w:t>
            </w:r>
            <w:r w:rsidRPr="009D1540">
              <w:t xml:space="preserve"> </w:t>
            </w:r>
            <w:r w:rsidRPr="00792D61">
              <w:t>[</w:t>
            </w:r>
            <w:r w:rsidRPr="009D1540">
              <w:t>die Feststellung eines Kreditereignis-Feststellungstags</w:t>
            </w:r>
            <w:r w:rsidRPr="00792D61">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43DD3" w:rsidP="001E3451">
            <w:pPr>
              <w:pStyle w:val="CSBody8ptbolditalics"/>
            </w:pPr>
            <w:r w:rsidRPr="00792D61">
              <w:t>[</w:t>
            </w:r>
            <w:r w:rsidRPr="00943DD3">
              <w:t>In the case of Inflation Index-Linked Notes, insert:</w:t>
            </w:r>
          </w:p>
        </w:tc>
        <w:tc>
          <w:tcPr>
            <w:tcW w:w="4936" w:type="dxa"/>
            <w:gridSpan w:val="3"/>
            <w:tcBorders>
              <w:top w:val="nil"/>
              <w:bottom w:val="nil"/>
              <w:right w:val="nil"/>
            </w:tcBorders>
            <w:shd w:val="clear" w:color="auto" w:fill="auto"/>
          </w:tcPr>
          <w:p w:rsidR="0017135D" w:rsidRPr="009D1540" w:rsidP="001E3451">
            <w:pPr>
              <w:pStyle w:val="CSBody8ptbolditalics"/>
              <w:rPr>
                <w:lang w:val="de-DE"/>
              </w:rPr>
            </w:pPr>
            <w:r w:rsidRPr="00792D61">
              <w:rPr>
                <w:lang w:val="de-DE"/>
              </w:rPr>
              <w:t>[</w:t>
            </w:r>
            <w:r w:rsidRPr="009D1540">
              <w:rPr>
                <w:lang w:val="de-DE"/>
              </w:rPr>
              <w:t>Bei Inflation Index-Linked Notes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43DD3" w:rsidP="00BC4FE8">
            <w:pPr>
              <w:pStyle w:val="CSBody8ptbold"/>
            </w:pPr>
            <w:r w:rsidRPr="00943DD3">
              <w:t>Correction to the Reference Rate</w:t>
            </w:r>
          </w:p>
        </w:tc>
        <w:tc>
          <w:tcPr>
            <w:tcW w:w="4936" w:type="dxa"/>
            <w:gridSpan w:val="3"/>
            <w:tcBorders>
              <w:top w:val="nil"/>
              <w:bottom w:val="nil"/>
              <w:right w:val="nil"/>
            </w:tcBorders>
            <w:shd w:val="clear" w:color="auto" w:fill="auto"/>
          </w:tcPr>
          <w:p w:rsidR="0017135D" w:rsidRPr="00943DD3" w:rsidP="00BC4FE8">
            <w:pPr>
              <w:pStyle w:val="CSBody8ptbold"/>
            </w:pPr>
            <w:r w:rsidRPr="00943DD3">
              <w:t>Berichtigung des Referenzsatzes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43DD3" w:rsidP="00BC4FE8">
            <w:pPr>
              <w:pStyle w:val="CSBody8pt"/>
            </w:pPr>
            <w:r w:rsidRPr="00943DD3">
              <w:t xml:space="preserve">In the event that (i) the Rate Source subsequently corrects any published Reference Rate that was utilised by the Calculation Agent for purposes of determining any amount payable under the Complex Products, and (ii) such correction is published by the Rate Source within 30 days after such Reference Rate's original publication but in any event </w:t>
            </w:r>
            <w:r w:rsidRPr="00792D61">
              <w:rPr>
                <w:b/>
              </w:rPr>
              <w:t>[</w:t>
            </w:r>
            <w:r w:rsidRPr="00943DD3">
              <w:t>two</w:t>
            </w:r>
            <w:r w:rsidRPr="00792D61">
              <w:rPr>
                <w:b/>
              </w:rPr>
              <w:t>][[</w:t>
            </w:r>
            <w:r w:rsidRPr="00BC4FE8">
              <w:rPr>
                <w:rFonts w:ascii="Arial" w:hAnsi="Arial" w:cs="Arial"/>
              </w:rPr>
              <w:t>●</w:t>
            </w:r>
            <w:r w:rsidRPr="00792D61">
              <w:rPr>
                <w:b/>
              </w:rPr>
              <w:t>]]</w:t>
            </w:r>
            <w:r w:rsidRPr="00943DD3">
              <w:t xml:space="preserve"> Business Days prior to the date on which such amount is paid, the Calculation Agent may recalculate such amount payable under the Complex Products using such corrected Reference Rate.</w:t>
            </w:r>
          </w:p>
        </w:tc>
        <w:tc>
          <w:tcPr>
            <w:tcW w:w="4936" w:type="dxa"/>
            <w:gridSpan w:val="3"/>
            <w:tcBorders>
              <w:top w:val="nil"/>
              <w:bottom w:val="nil"/>
              <w:right w:val="nil"/>
            </w:tcBorders>
            <w:shd w:val="clear" w:color="auto" w:fill="auto"/>
          </w:tcPr>
          <w:p w:rsidR="0017135D" w:rsidRPr="009D1540" w:rsidP="00BC4FE8">
            <w:pPr>
              <w:pStyle w:val="CSBody8pt"/>
              <w:rPr>
                <w:lang w:val="de-DE"/>
              </w:rPr>
            </w:pPr>
            <w:r w:rsidRPr="009D1540">
              <w:rPr>
                <w:lang w:val="de-DE"/>
              </w:rPr>
              <w:t xml:space="preserve">In Bezug auf einen Referenzsatz gilt für den Fall, dass (i) die Kursquelle nachträglich einen veröffentlichten Referenzsatz berichtigt, der von der Berechnungsstelle zur Festlegung eines in Bezug auf die Komplexen Produkte zahlbaren Betrags, benutzt wurde und (ii) die betreffende Berichtigung von der Kursquelle innerhalb von 30 Tagen nach der ursprünglichen Veröffentlichung des Referenzsatzes, aber in jedem Fall </w:t>
            </w:r>
            <w:r w:rsidRPr="00792D61">
              <w:rPr>
                <w:b/>
                <w:lang w:val="de-DE"/>
              </w:rPr>
              <w:t>[</w:t>
            </w:r>
            <w:r w:rsidRPr="009D1540">
              <w:rPr>
                <w:lang w:val="de-DE"/>
              </w:rPr>
              <w:t>zwei</w:t>
            </w:r>
            <w:r w:rsidRPr="00792D61">
              <w:rPr>
                <w:b/>
                <w:lang w:val="de-DE"/>
              </w:rPr>
              <w:t>][</w:t>
            </w:r>
            <w:r w:rsidRPr="00BC4FE8">
              <w:rPr>
                <w:rFonts w:ascii="Arial" w:hAnsi="Arial" w:cs="Arial"/>
                <w:lang w:val="de-DE"/>
              </w:rPr>
              <w:t>●</w:t>
            </w:r>
            <w:r w:rsidRPr="00792D61">
              <w:rPr>
                <w:b/>
                <w:lang w:val="de-DE"/>
              </w:rPr>
              <w:t>]]</w:t>
            </w:r>
            <w:r w:rsidRPr="009D1540">
              <w:rPr>
                <w:lang w:val="de-DE"/>
              </w:rPr>
              <w:t xml:space="preserve"> Geschäftstage vor dem Tag veröffentlicht wird, an dem dieser Betrag gezahlt wird, dass die Berechnungsstelle diesen in Bezug auf die Komplexen Produkte zahlbaren Betrag unter Benutzung des betreffenden berichtigten Referenzsatzes neu berechnen kann.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A7FB5" w:rsidP="00BC4FE8">
            <w:pPr>
              <w:pStyle w:val="CSBody8ptbold"/>
            </w:pPr>
            <w:r w:rsidRPr="006A7FB5">
              <w:t>Non-Business Days, Market Disruption Events and Additional Adjustment Events</w:t>
            </w:r>
          </w:p>
        </w:tc>
        <w:tc>
          <w:tcPr>
            <w:tcW w:w="4936" w:type="dxa"/>
            <w:gridSpan w:val="3"/>
            <w:tcBorders>
              <w:top w:val="nil"/>
              <w:bottom w:val="nil"/>
              <w:right w:val="nil"/>
            </w:tcBorders>
            <w:shd w:val="clear" w:color="auto" w:fill="auto"/>
          </w:tcPr>
          <w:p w:rsidR="0017135D" w:rsidRPr="009D1540">
            <w:pPr>
              <w:pStyle w:val="CSBody8ptbold"/>
              <w:rPr>
                <w:lang w:val="de-DE"/>
              </w:rPr>
            </w:pPr>
            <w:r w:rsidRPr="009D1540">
              <w:rPr>
                <w:lang w:val="de-DE"/>
              </w:rPr>
              <w:t>Nicht-Geschäftstage, Marktstörungen und Weitere Anpassungsereignisse</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A7FB5" w:rsidP="001E3451">
            <w:pPr>
              <w:pStyle w:val="CSBody8pt"/>
            </w:pPr>
            <w:r w:rsidRPr="006A7FB5">
              <w:t>With respect to a day in respect of which the Reference Rate is to be determined, if such day is not a Reference Rate Business Day or is a day on which a Market Disruption Event occurs, such day may be deferred for up to eight Reference Rate Business Days after the original date, as determined by the Calculation Agent. If such eighth Reference Rate Business Day is also a day on which a Market Disruption Event occurs, the Calculation Agent shall make its own determination of the Reference Rate.</w:t>
            </w:r>
          </w:p>
        </w:tc>
        <w:tc>
          <w:tcPr>
            <w:tcW w:w="4936" w:type="dxa"/>
            <w:gridSpan w:val="3"/>
            <w:tcBorders>
              <w:top w:val="nil"/>
              <w:bottom w:val="nil"/>
              <w:right w:val="nil"/>
            </w:tcBorders>
            <w:shd w:val="clear" w:color="auto" w:fill="auto"/>
          </w:tcPr>
          <w:p w:rsidR="0017135D" w:rsidRPr="009D1540" w:rsidP="001E3451">
            <w:pPr>
              <w:pStyle w:val="CSBody8pt"/>
              <w:rPr>
                <w:lang w:val="de-DE"/>
              </w:rPr>
            </w:pPr>
            <w:r w:rsidRPr="009D1540">
              <w:rPr>
                <w:lang w:val="de-DE"/>
              </w:rPr>
              <w:t>Ist in Bezug auf einen Referenzsatz ein Tag, für den der Referenzsatz festzustellen ist, kein Referenzsatz-Geschäftstag oder ein Tag, an dem eine Marktstörung eintritt, so kann dieser Tag nach Feststellung durch die Berechnungsstelle um maximal acht Referenzsatz-Geschäftstage nach dem ursprünglichen Datum verschoben werden. Ist dieser achte Referenzsatz-Geschäftstag ebenfalls ein Tag, an dem eine Marktstörung eintritt, so stellt die Berechnungsstelle den betreffenden Referenzsatz selbst fest.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A7FB5" w:rsidP="00BC4FE8">
            <w:pPr>
              <w:pStyle w:val="CSBody8pt"/>
            </w:pPr>
            <w:r w:rsidRPr="006A7FB5">
              <w:t>In addition, upon the occurrence of an Additional Adjustment Event, the Calculation Agent may make such adjustment to the calculation or definition of the Reference Rate or any amount payable under the Complex Products (which may include the substitution of such Reference Rate with a different reference rate or reference rates, irrespective of whether such reference rate or reference rates are then currently used for the purposes of the calculation of amounts payable under the Complex Products) as it may determine to be appropriate. If it determines that it is unable to make such an adjustment, the Issuer may early terminate the Complex Products, in whole but not in part, on such day as the Issuer shall select in its discretion by giving notice to Holders in accordance with Section 8, and redeem the Complex Products on such day at an amount determined by the Calculation Agent as representing their fair market value on such day.</w:t>
            </w:r>
          </w:p>
        </w:tc>
        <w:tc>
          <w:tcPr>
            <w:tcW w:w="4936" w:type="dxa"/>
            <w:gridSpan w:val="3"/>
            <w:tcBorders>
              <w:top w:val="nil"/>
              <w:bottom w:val="nil"/>
              <w:right w:val="nil"/>
            </w:tcBorders>
            <w:shd w:val="clear" w:color="auto" w:fill="auto"/>
          </w:tcPr>
          <w:p w:rsidR="0017135D" w:rsidRPr="009D1540" w:rsidP="00BC4FE8">
            <w:pPr>
              <w:pStyle w:val="CSBody8pt"/>
              <w:rPr>
                <w:lang w:val="de-DE"/>
              </w:rPr>
            </w:pPr>
            <w:r w:rsidRPr="009D1540">
              <w:rPr>
                <w:lang w:val="de-DE"/>
              </w:rPr>
              <w:t>Im Fall des Eintritts eines Weiteren Anpassungsereignisses in Bezug auf einen Referenzsatz kann die Berechnungsstelle ausserdem eine von ihr als zweckmässig erachtete Anpassung der Berechnung oder Definition des Referenzsatzes oder eines in Bezug auf die Komplexen Produkte zahlbaren Betrags vornehmen (einschliesslich etwa der Ersetzung dieses Referenzsatzes durch einen anderen Referenzsatz oder andere Referenzsätze, unabhängig davon, ob dieser Referenzsatz oder diese Referenzsätze zu dem betreffenden Zeitpunkt gerade für die Zwecke der Berechnung von in Bezug auf die Komplexen Produkte zahlbaren Beträgen herangezogen wird bzw. werden). Stellt sie fest, dass sie zu einer solchen Anpassung nicht in der Lage ist, so kann die Emittentin die Komplexen Produkte insgesamt, jedoch nicht teilweise, an einem von der Emittentin nach ihrem Ermessen ausgewählten Tag durch Mitteilung an die Inhaber gemäss Ziffer 8 vorzeitig kündigen und die Komplexen Produkte zu einem Betrag an diesem Tag zurückzahlen, der nach Feststellung der Berechnungsstelle dem fairen Marktwert an diesem Tag entspricht.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D7380" w:rsidP="00BC4FE8">
            <w:pPr>
              <w:pStyle w:val="CSBody8ptbold"/>
            </w:pPr>
            <w:r w:rsidRPr="008D7380">
              <w:t xml:space="preserve">Adjustment in respect of </w:t>
            </w:r>
            <w:r w:rsidRPr="00D61418">
              <w:t>Jurisdictional</w:t>
            </w:r>
            <w:r w:rsidRPr="008D7380">
              <w:t xml:space="preserve"> Events</w:t>
            </w:r>
          </w:p>
        </w:tc>
        <w:tc>
          <w:tcPr>
            <w:tcW w:w="4936" w:type="dxa"/>
            <w:gridSpan w:val="3"/>
            <w:tcBorders>
              <w:top w:val="nil"/>
              <w:bottom w:val="nil"/>
              <w:right w:val="nil"/>
            </w:tcBorders>
            <w:shd w:val="clear" w:color="auto" w:fill="auto"/>
          </w:tcPr>
          <w:p w:rsidR="0017135D" w:rsidRPr="008D7380" w:rsidP="00BC4FE8">
            <w:pPr>
              <w:pStyle w:val="CSBody8ptbold"/>
            </w:pPr>
            <w:r w:rsidRPr="008D7380">
              <w:t>Anpassung bei Rechtsordnungsbezogenen Ereignissen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D7380" w:rsidP="00BC4FE8">
            <w:pPr>
              <w:pStyle w:val="CSBody8pt"/>
            </w:pPr>
            <w:r w:rsidRPr="008D7380">
              <w:t>If, in the determination of the Issuer, a Jurisdictional Event has occurred, the Calculation Agent may make such downward adjustment to any amount otherwise payable under the Complex Products as it shall determine to take account of the effect of such Jurisdictional Event on the Hedging Arrangements and any difference between the Hedge Proceeds and the amount that, but for the occurrence of such Jurisdictional Event, would otherwise be payable. The Issuer will use commercially reasonable endeavours to preserve the value of the Hedge Proceeds, but it shall not be obliged to take any measures that it determines to be commercially impracticable.</w:t>
            </w:r>
          </w:p>
        </w:tc>
        <w:tc>
          <w:tcPr>
            <w:tcW w:w="4936" w:type="dxa"/>
            <w:gridSpan w:val="3"/>
            <w:tcBorders>
              <w:top w:val="nil"/>
              <w:bottom w:val="nil"/>
              <w:right w:val="nil"/>
            </w:tcBorders>
            <w:shd w:val="clear" w:color="auto" w:fill="auto"/>
          </w:tcPr>
          <w:p w:rsidR="0017135D" w:rsidRPr="00D61418" w:rsidP="00BC4FE8">
            <w:pPr>
              <w:pStyle w:val="CSBody8pt"/>
              <w:rPr>
                <w:lang w:val="de-DE"/>
              </w:rPr>
            </w:pPr>
            <w:r w:rsidRPr="00BC4FE8">
              <w:rPr>
                <w:lang w:val="de-DE"/>
              </w:rPr>
              <w:t xml:space="preserve">Ist nach Feststellung der Emittentin ein Rechtsordnungsbezogenes Ereignis in Bezug auf einen Referenzsatz eingetreten, so kann die Berechnungsstelle alle ansonsten in Bezug auf die Komplexen Produkte zahlbaren Beträge nach ihrem Ermessen nach unten anpassen, um den Auswirkungen des betreffenden Rechtsordnungsbezogenen Ereignisses auf die Hedging-Vereinbarungen sowie einer etwaigen Differenz zwischen dem Hedging-Erlös und dem Betrag Rechnung zu tragen, der ohne dieses Rechtsordnungsbezogene Ereignis zu zahlen gewesen wäre. </w:t>
            </w:r>
            <w:r w:rsidRPr="00D61418">
              <w:rPr>
                <w:lang w:val="de-DE"/>
              </w:rPr>
              <w:t>Die Emittentin wird wirtschaftlich zumutbare Anstrengungen unternehmen, um den Wert des Hedging-Erlöses zu erhalten, wobei sie jedoch nicht zur Ergreifung von Massnahmen verpflichtet ist, die nach ihrem Dafürhalten wirtschaftlich undurchführbar sind.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D7380" w:rsidP="00BC4FE8">
            <w:pPr>
              <w:pStyle w:val="CSBody8ptbold"/>
            </w:pPr>
            <w:r w:rsidRPr="008D7380">
              <w:t>Definitions</w:t>
            </w:r>
          </w:p>
        </w:tc>
        <w:tc>
          <w:tcPr>
            <w:tcW w:w="4936" w:type="dxa"/>
            <w:gridSpan w:val="3"/>
            <w:tcBorders>
              <w:top w:val="nil"/>
              <w:bottom w:val="nil"/>
              <w:right w:val="nil"/>
            </w:tcBorders>
            <w:shd w:val="clear" w:color="auto" w:fill="auto"/>
          </w:tcPr>
          <w:p w:rsidR="0017135D" w:rsidP="00BC4FE8">
            <w:pPr>
              <w:pStyle w:val="CSBody8ptbold"/>
            </w:pPr>
            <w:r w:rsidRPr="008D7380">
              <w:t>Definitionen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B033F" w:rsidP="00BC4FE8">
            <w:pPr>
              <w:pStyle w:val="CSBody8pt"/>
            </w:pPr>
            <w:r w:rsidRPr="003B033F">
              <w:t>For purposes of this Section 4, the following terms shall have the following meanings:</w:t>
            </w:r>
          </w:p>
        </w:tc>
        <w:tc>
          <w:tcPr>
            <w:tcW w:w="4936" w:type="dxa"/>
            <w:gridSpan w:val="3"/>
            <w:tcBorders>
              <w:top w:val="nil"/>
              <w:bottom w:val="nil"/>
              <w:right w:val="nil"/>
            </w:tcBorders>
            <w:shd w:val="clear" w:color="auto" w:fill="auto"/>
          </w:tcPr>
          <w:p w:rsidR="0017135D" w:rsidRPr="00D61418" w:rsidP="00BC4FE8">
            <w:pPr>
              <w:pStyle w:val="CSBody8pt"/>
              <w:rPr>
                <w:lang w:val="de-DE"/>
              </w:rPr>
            </w:pPr>
            <w:r w:rsidRPr="00D61418">
              <w:rPr>
                <w:lang w:val="de-DE"/>
              </w:rPr>
              <w:t>Für die Zwecke dieser Ziffer 4 haben die folgenden Begriffe die folgenden Bedeutungen: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B033F" w:rsidP="00BC4FE8">
            <w:pPr>
              <w:pStyle w:val="CSBody8pt"/>
            </w:pPr>
            <w:r w:rsidRPr="003B033F">
              <w:t>"</w:t>
            </w:r>
            <w:r w:rsidRPr="00BC4FE8">
              <w:rPr>
                <w:b/>
              </w:rPr>
              <w:t>Additional Adjustment Event</w:t>
            </w:r>
            <w:r w:rsidRPr="003B033F">
              <w:t>" means a Market Disruption Event, Change in Law, Hedging Disruption or Increased Cost of Hedging.</w:t>
            </w:r>
          </w:p>
        </w:tc>
        <w:tc>
          <w:tcPr>
            <w:tcW w:w="4936" w:type="dxa"/>
            <w:gridSpan w:val="3"/>
            <w:tcBorders>
              <w:top w:val="nil"/>
              <w:bottom w:val="nil"/>
              <w:right w:val="nil"/>
            </w:tcBorders>
            <w:shd w:val="clear" w:color="auto" w:fill="auto"/>
          </w:tcPr>
          <w:p w:rsidR="0017135D" w:rsidRPr="00D61418" w:rsidP="00BC4FE8">
            <w:pPr>
              <w:pStyle w:val="CSBody8pt"/>
              <w:rPr>
                <w:lang w:val="de-DE"/>
              </w:rPr>
            </w:pPr>
            <w:r w:rsidRPr="00D61418">
              <w:rPr>
                <w:lang w:val="de-DE"/>
              </w:rPr>
              <w:t>"</w:t>
            </w:r>
            <w:r w:rsidRPr="00D61418">
              <w:rPr>
                <w:b/>
                <w:lang w:val="de-DE"/>
              </w:rPr>
              <w:t>Weiteres Anpassungsereignis</w:t>
            </w:r>
            <w:r w:rsidRPr="00D61418">
              <w:rPr>
                <w:lang w:val="de-DE"/>
              </w:rPr>
              <w:t>": eine Marktstörung, eine Gesetzesänderung, eine Hedging-Störung oder Erhöhte Hedging-Kosten.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B033F" w:rsidP="00F76873">
            <w:pPr>
              <w:pStyle w:val="CSBody8pt"/>
            </w:pPr>
            <w:r w:rsidRPr="003B033F">
              <w:t>"</w:t>
            </w:r>
            <w:r w:rsidRPr="00F76873">
              <w:rPr>
                <w:b/>
              </w:rPr>
              <w:t>Change in Law</w:t>
            </w:r>
            <w:r w:rsidRPr="003B033F">
              <w:t>" means (i) due to the adoption of or any change in any applicable law or regulation (including, without limitation, any tax law) on or after the Issue Date, or (ii) due to the promulgation of or any change in the interpretation by any court, tribunal or regulatory authority with competent jurisdiction of any applicable law or regulation (including any action taken by a taxing authority) on or after the Issue Date, the Issuer determines that (a) it has become illegal for it to hold, acquire or dispose of an investment relating to the Reference Rate, or (b) it will incur a materially increased cost in performing its obligations under the Complex Products (including, without limitation, due to any increase in tax liability, decrease in tax benefit or other adverse effect on its tax position).</w:t>
            </w:r>
          </w:p>
        </w:tc>
        <w:tc>
          <w:tcPr>
            <w:tcW w:w="4936" w:type="dxa"/>
            <w:gridSpan w:val="3"/>
            <w:tcBorders>
              <w:top w:val="nil"/>
              <w:bottom w:val="nil"/>
              <w:right w:val="nil"/>
            </w:tcBorders>
            <w:shd w:val="clear" w:color="auto" w:fill="auto"/>
          </w:tcPr>
          <w:p w:rsidR="0017135D" w:rsidRPr="009D1540" w:rsidP="007E3558">
            <w:pPr>
              <w:pStyle w:val="CSBody8pt"/>
              <w:rPr>
                <w:lang w:val="de-DE"/>
              </w:rPr>
            </w:pPr>
            <w:r w:rsidRPr="009D1540">
              <w:rPr>
                <w:lang w:val="de-DE"/>
              </w:rPr>
              <w:t>"</w:t>
            </w:r>
            <w:r w:rsidRPr="00F76873">
              <w:rPr>
                <w:b/>
                <w:lang w:val="de-DE"/>
              </w:rPr>
              <w:t>Gesetzesänderung</w:t>
            </w:r>
            <w:r w:rsidRPr="009D1540">
              <w:rPr>
                <w:lang w:val="de-DE"/>
              </w:rPr>
              <w:t xml:space="preserve">": in Bezug auf einen Referenzsatz die an oder nach dem Emissionstag / von der Emittentin getroffene Feststellung, dass (i) ihr aufgrund der Verabschiedung oder Änderung eines anwendbaren Gesetzes oder einer anwendbaren Vorschrift (einschliesslich </w:t>
            </w:r>
            <w:r>
              <w:rPr>
                <w:lang w:val="de-DE"/>
              </w:rPr>
              <w:t>u.a.</w:t>
            </w:r>
            <w:r w:rsidRPr="009D1540">
              <w:rPr>
                <w:lang w:val="de-DE"/>
              </w:rPr>
              <w:t xml:space="preserve"> steuerrechtlicher Bestimmungen) oder (ii) aufgrund der Veröffentlichung oder einer Änderung der Auslegung eines anwendbaren Gesetzes oder einer anwendbaren Vorschrift durch ein zuständiges Gericht, einen zuständigen Gerichtshof oder eine zuständige Aufsichtsbehörde (einschliesslich Massnahmen seitens einer Steuerbehörde) (a) das Halten, der Erwerb oder die Veräusserung einer Anlage in Bezug auf den Referenzsatz rechtlich untersagt ist, oder (b) ihr wesentlich höhere Kosten bei der Erfüllung ihrer Verpflichtungen aus den Komplexen Produkten entstehen werden (einschliesslich </w:t>
            </w:r>
            <w:r>
              <w:rPr>
                <w:lang w:val="de-DE"/>
              </w:rPr>
              <w:t>u.a.</w:t>
            </w:r>
            <w:r w:rsidRPr="009D1540">
              <w:rPr>
                <w:lang w:val="de-DE"/>
              </w:rPr>
              <w:t xml:space="preserve"> aufgrund höherer Steuerverbindlichkeiten, geringerer Steuervorteile oder sonstiger nachteiliger Auswirkungen auf die steuerliche Behandlung der Emittentin).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E2EEA" w:rsidP="00F76873">
            <w:pPr>
              <w:pStyle w:val="CSBody8pt"/>
            </w:pPr>
            <w:r w:rsidRPr="000E2EEA">
              <w:t>"</w:t>
            </w:r>
            <w:r w:rsidRPr="008D52A4">
              <w:rPr>
                <w:b/>
              </w:rPr>
              <w:t>Hedge Proceeds</w:t>
            </w:r>
            <w:r w:rsidRPr="000E2EEA">
              <w:t>" means the cash amount constituting the proceeds received by the Issuer in respect of any Hedging Arrangements; for the avoidance of doubt Hedge Proceeds shall not be less than zero.</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w:t>
            </w:r>
            <w:r w:rsidRPr="008D52A4">
              <w:rPr>
                <w:b/>
                <w:lang w:val="de-DE"/>
              </w:rPr>
              <w:t>Hedging-Erlös</w:t>
            </w:r>
            <w:r w:rsidRPr="009D1540">
              <w:rPr>
                <w:lang w:val="de-DE"/>
              </w:rPr>
              <w:t>": der Barbetrag, bei dem es sich um den von der Emittentin in Bezug auf Hedging-Vereinbarungen vereinnahmten Erlös handelt; zur Klarstellung wird festgehalten, dass der Hedging-Erlös niemals unter null liegen kann.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E2EEA" w:rsidP="00F76873">
            <w:pPr>
              <w:pStyle w:val="CSBody8pt"/>
            </w:pPr>
            <w:r w:rsidRPr="000E2EEA">
              <w:t>"</w:t>
            </w:r>
            <w:r w:rsidRPr="00F76873">
              <w:rPr>
                <w:b/>
              </w:rPr>
              <w:t>Hedging Arrangements</w:t>
            </w:r>
            <w:r w:rsidRPr="000E2EEA">
              <w:t>" means any hedging arrangements entered into by the Issuer at any time for the payment of an amount equal to any amount payable under the Complex Products, including, without limitation, any investment relating to the Reference Rate, any options or futures on such Reference Rate and any associated foreign exchange transactions.</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w:t>
            </w:r>
            <w:r w:rsidRPr="00F76873">
              <w:rPr>
                <w:b/>
                <w:lang w:val="de-DE"/>
              </w:rPr>
              <w:t>Hedging-Vereinbarung</w:t>
            </w:r>
            <w:r w:rsidRPr="009D1540">
              <w:rPr>
                <w:lang w:val="de-DE"/>
              </w:rPr>
              <w:t>": von der Emittentin zu einem beliebigen Zeitpunkt abgeschlossene Hedging-Vereinbarungen über die Zahlung eines Betrags in Höhe eines in Bezug auf die Komplexen Produkten zahlbaren Betrags, einschliesslich einer Anlage in Bezug auf den Referenzsatz und auf diesen Referenzsatz bezogener Options- oder Terminkontrakte sowie damit verbundener Devisentransaktionen.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E2EEA" w:rsidP="007E3558">
            <w:pPr>
              <w:pStyle w:val="CSBody8pt"/>
            </w:pPr>
            <w:r w:rsidRPr="000E2EEA">
              <w:t>"</w:t>
            </w:r>
            <w:r w:rsidRPr="00F76873">
              <w:rPr>
                <w:b/>
              </w:rPr>
              <w:t>Hedging Disruption</w:t>
            </w:r>
            <w:r w:rsidRPr="000E2EEA">
              <w:t>" means in the opinion of the Calculation Agent, the Issuer is unable, after using commercially reasonable efforts, to (i) acquire, establish, re</w:t>
            </w:r>
            <w:r w:rsidR="007B443F">
              <w:t>-</w:t>
            </w:r>
            <w:r w:rsidRPr="000E2EEA">
              <w:t>establish, substitute, maintain, unwind or dispose of any transaction(s) or asset(s) it deems necessary to hedge the price risk of entering into and performing its obligations with respect to the Complex Products, or (ii) realise, recover or remit the proceeds of any such transaction(s) or asset(s).</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w:t>
            </w:r>
            <w:r w:rsidRPr="00F76873">
              <w:rPr>
                <w:b/>
                <w:lang w:val="de-DE"/>
              </w:rPr>
              <w:t>Hedging-Störung</w:t>
            </w:r>
            <w:r w:rsidRPr="009D1540">
              <w:rPr>
                <w:lang w:val="de-DE"/>
              </w:rPr>
              <w:t>": nach Auffassung der Berechnungsstelle ist die Emittentin trotz wirtschaftlich zumutbarer Anstrengungen nicht in der Lage, (i) Transaktionen bzw. Vermögenswerte jeweils zu erwerben, abzuschliessen, erneut abzuschliessen, zu ersetzen, beizubehalten, aufzulösen oder zu veräussern, die sie zur Absicherung des Kursrisikos für erforderlich hält, das sie im Rahmen der Übernahme und der Erfüllung ihrer Verpflichtungen im Zusammenhang mit den Komplexen Produkten eingeht, oder (ii) den Erlös aus diesen Transaktionen bzw. Vermögenswerten zu realisieren, zu vereinnahmen oder zu überweisen.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F5CD6" w:rsidP="007E3558">
            <w:pPr>
              <w:pStyle w:val="CSBody8pt"/>
            </w:pPr>
            <w:r w:rsidRPr="000F5CD6">
              <w:t>"</w:t>
            </w:r>
            <w:r w:rsidRPr="00F76873">
              <w:rPr>
                <w:b/>
              </w:rPr>
              <w:t>Increased Cost of Hedging</w:t>
            </w:r>
            <w:r w:rsidRPr="000F5CD6">
              <w:t>" means in the opinion of the Calculation Agent, the Issuer would incur a materially increased (as compared to circumstances existing on the Issue Date) amount of tax, duty, expense or fee (other than brokerage commissions) to (i) acquire, establish, re</w:t>
            </w:r>
            <w:r w:rsidR="007B443F">
              <w:t>-</w:t>
            </w:r>
            <w:r w:rsidRPr="000F5CD6">
              <w:t>establish, substitute, maintain, unwind or dispose of any transaction(s) or asset(s) it deems necessary to hedge the price risk of entering into and performing its obligations with respect to the Complex Products, or (ii) realise, recover or remit the proceeds of any such transaction(s) or asset(s), provided that any such materially increased amount that is, in the opinion of the Calculation Agent, incurred solely due to the deterioration of the creditworthiness of the Issuer shall not be deemed an Increased Cost of Hedging.</w:t>
            </w:r>
          </w:p>
        </w:tc>
        <w:tc>
          <w:tcPr>
            <w:tcW w:w="4936" w:type="dxa"/>
            <w:gridSpan w:val="3"/>
            <w:tcBorders>
              <w:top w:val="nil"/>
              <w:bottom w:val="nil"/>
              <w:right w:val="nil"/>
            </w:tcBorders>
            <w:shd w:val="clear" w:color="auto" w:fill="auto"/>
          </w:tcPr>
          <w:p w:rsidR="0017135D" w:rsidRPr="009D1540" w:rsidP="007E3558">
            <w:pPr>
              <w:pStyle w:val="CSBody8pt"/>
              <w:rPr>
                <w:lang w:val="de-DE"/>
              </w:rPr>
            </w:pPr>
            <w:r w:rsidRPr="009D1540">
              <w:rPr>
                <w:lang w:val="de-DE"/>
              </w:rPr>
              <w:t>"</w:t>
            </w:r>
            <w:r w:rsidRPr="00F76873">
              <w:rPr>
                <w:b/>
                <w:lang w:val="de-DE"/>
              </w:rPr>
              <w:t>Erhöhte Hedging-Kosten</w:t>
            </w:r>
            <w:r w:rsidRPr="009D1540">
              <w:rPr>
                <w:lang w:val="de-DE"/>
              </w:rPr>
              <w:t>": nach Auffassung der Berechnungsstelle würde die Emittentin (im Vergleich zu den am Emissionstag herrschenden Umständen) verpflichtet sein, wesentlich höhere Steuern, Abgaben, Aufwendungen oder Gebühren (mit Ausnahme von Maklerprovisionen) zu zahlen, um (i) Transaktionen bzw. Vermögenswerte jeweils zu erwerben, abzuschliessen, erneut abzuschliessen, zu ersetzen, beizubehalten, aufzulösen oder zu veräussern, die sie zur Absicherung des Kursrisikos für erforderlich hält, das sie im Rahmen der Übernahme und der Erfüllung ihrer Verpflichtungen im Zusammenhang mit den Komplexen Produkten eingeht, oder (ii) den Erlös aus diesen Transaktionen bzw. Vermögenswerten zu realisieren, zu vereinnahmen oder zu überweisen, wobei wesentlich höhere Zahlungen, die nach Auffassung der Berechnungsstelle allein aufgrund einer Verschlechterung der Bonität der Emittentin anfallen, nicht als Erhöhte Hedging-Kosten gelten.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F5CD6" w:rsidP="00F76873">
            <w:pPr>
              <w:pStyle w:val="CSBody8pt"/>
            </w:pPr>
            <w:r w:rsidRPr="000F5CD6">
              <w:t>"</w:t>
            </w:r>
            <w:r w:rsidRPr="00F76873">
              <w:rPr>
                <w:b/>
              </w:rPr>
              <w:t>Jurisdictional Event</w:t>
            </w:r>
            <w:r w:rsidRPr="000F5CD6">
              <w:t>" (i) any event which occurs, whether of general application or otherwise, as a result of present or future risks in or connected with any Jurisdictional Event Jurisdiction, including, but not limited to, risks associated with fraud and/or corruption, political risk, legal uncertainty, imposition of foreign exchange controls, changes in laws or regulations and changes in the interpretation and/or enforcement of laws and regulations (including without limitation those relating to taxation) and other legal and/or sovereign risks, or (ii) the Calculation Agent determines that the Issuer is not able to make an investment relating to the Reference Rate with or for a currency acceptable to the Calculation Agent, and, in the case of each of clauses (i) and (ii) above, which has or may have, in the determination of the Calculation Agent, the effect of reducing or eliminating the value of the Hedge Proceeds at any time.</w:t>
            </w:r>
            <w:r w:rsidRPr="00792D61">
              <w:rPr>
                <w:b/>
              </w:rPr>
              <w:t>]</w:t>
            </w:r>
          </w:p>
        </w:tc>
        <w:tc>
          <w:tcPr>
            <w:tcW w:w="4936" w:type="dxa"/>
            <w:gridSpan w:val="3"/>
            <w:tcBorders>
              <w:top w:val="nil"/>
              <w:bottom w:val="nil"/>
              <w:right w:val="nil"/>
            </w:tcBorders>
            <w:shd w:val="clear" w:color="auto" w:fill="auto"/>
          </w:tcPr>
          <w:p w:rsidR="0017135D" w:rsidRPr="009D1540" w:rsidP="007E3558">
            <w:pPr>
              <w:pStyle w:val="CSBody8pt"/>
              <w:rPr>
                <w:lang w:val="de-DE"/>
              </w:rPr>
            </w:pPr>
            <w:r w:rsidRPr="009D1540">
              <w:rPr>
                <w:lang w:val="de-DE"/>
              </w:rPr>
              <w:t>"</w:t>
            </w:r>
            <w:r w:rsidRPr="00F76873">
              <w:rPr>
                <w:b/>
                <w:lang w:val="de-DE"/>
              </w:rPr>
              <w:t>Rechtsordnungsbezogenes Ereignis</w:t>
            </w:r>
            <w:r w:rsidRPr="009D1540">
              <w:rPr>
                <w:lang w:val="de-DE"/>
              </w:rPr>
              <w:t xml:space="preserve">": in Bezug auf einen Referenzsatz (i) jedes Ereignis, das, ob mit allgemeinen oder besonderen Auswirkungen, infolge von gegenwärtigen oder zukünftigen Risiken in oder im Zusammenhang mit einer Massgeblichen Rechtsordnung für Rechtsordnungsbezogene Ereignisse eintritt, einschliesslich </w:t>
            </w:r>
            <w:r>
              <w:rPr>
                <w:lang w:val="de-DE"/>
              </w:rPr>
              <w:t>u.a.</w:t>
            </w:r>
            <w:r w:rsidRPr="009D1540">
              <w:rPr>
                <w:lang w:val="de-DE"/>
              </w:rPr>
              <w:t xml:space="preserve"> Risiken im Zusammenhang mit Betrug und/oder Bestechung, politischer Risiken, rechtlicher Unsicherheiten, der Einführung von Devisenkontrollbestimmungen, der Änderung von gesetzlichen oder sonstigen Vorschriften sowie Änderungen der Auslegung und/oder der Durchsetzung von gesetzlichen oder sonstigen Vorschriften (einschliesslich </w:t>
            </w:r>
            <w:r>
              <w:rPr>
                <w:lang w:val="de-DE"/>
              </w:rPr>
              <w:t>u.a.</w:t>
            </w:r>
            <w:r w:rsidRPr="009D1540">
              <w:rPr>
                <w:lang w:val="de-DE"/>
              </w:rPr>
              <w:t xml:space="preserve"> steuerlicher Bestimmungen) sowie sonstiger rechtlicher und/oder länderbezogener Risiken, oder (ii) der Fall, dass die Emittentin nach Feststellung der Berechnungsstelle nicht in der Lage ist, eine Anlage in Bezug auf den Referenzsatz mit einer bzw. für eine Währung zu tätigen, die für die Berechnungsstelle annehmbar ist, und (im Fall der vorstehenden Absätze (i) und (ii)) das bzw. der nach Auffassung der Berechnungsstelle zur Folge hat oder haben kann, dass sich der Wert des Hedging-Erlöses zu irgendeinem Zeitpunkt verringert bzw. auf null sinkt.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F5CD6" w:rsidP="00942F00">
            <w:pPr>
              <w:pStyle w:val="CSBody8pt"/>
            </w:pPr>
            <w:r w:rsidRPr="00792D61">
              <w:rPr>
                <w:b/>
              </w:rPr>
              <w:t>[</w:t>
            </w:r>
            <w:r w:rsidRPr="00F76873">
              <w:rPr>
                <w:b/>
                <w:i/>
              </w:rPr>
              <w:t>in the case of Credit-Linked Complex Products with Auction Settlement or Credit-Linked Complex Products with Zero-Recovery feature linked to a Basket, insert:</w:t>
            </w:r>
            <w:r w:rsidRPr="000F5CD6">
              <w:t xml:space="preserve"> </w:t>
            </w:r>
          </w:p>
        </w:tc>
        <w:tc>
          <w:tcPr>
            <w:tcW w:w="4936" w:type="dxa"/>
            <w:gridSpan w:val="3"/>
            <w:tcBorders>
              <w:top w:val="nil"/>
              <w:bottom w:val="nil"/>
              <w:right w:val="nil"/>
            </w:tcBorders>
            <w:shd w:val="clear" w:color="auto" w:fill="auto"/>
          </w:tcPr>
          <w:p w:rsidR="0017135D" w:rsidRPr="009D1540" w:rsidP="00E10F73">
            <w:pPr>
              <w:pStyle w:val="CSBody8pt"/>
              <w:rPr>
                <w:lang w:val="de-DE"/>
              </w:rPr>
            </w:pPr>
            <w:r w:rsidRPr="00792D61">
              <w:rPr>
                <w:b/>
                <w:lang w:val="de-DE"/>
              </w:rPr>
              <w:t>[</w:t>
            </w:r>
            <w:r w:rsidRPr="00F76873">
              <w:rPr>
                <w:b/>
                <w:i/>
                <w:lang w:val="de-DE"/>
              </w:rPr>
              <w:t>bei Kreditbezogenen Komplexen Produkten mit Auktionsab</w:t>
            </w:r>
            <w:r>
              <w:rPr>
                <w:b/>
                <w:i/>
                <w:lang w:val="de-DE"/>
              </w:rPr>
              <w:t>w</w:t>
            </w:r>
            <w:r w:rsidRPr="00F76873">
              <w:rPr>
                <w:b/>
                <w:i/>
                <w:lang w:val="de-DE"/>
              </w:rPr>
              <w:t>icklung oder Kreditbezogenen Komplexen Produkten mit Zero-Recovery-Merkmal, die an einen Korb gekoppelt sind,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C68B7" w:rsidP="00F76873">
            <w:pPr>
              <w:pStyle w:val="CSBody8ptbold"/>
            </w:pPr>
            <w:r w:rsidRPr="00EC68B7">
              <w:t>Adjustments in connection with the determination of a Credit Event Determination Date</w:t>
            </w:r>
          </w:p>
        </w:tc>
        <w:tc>
          <w:tcPr>
            <w:tcW w:w="4936" w:type="dxa"/>
            <w:gridSpan w:val="3"/>
            <w:tcBorders>
              <w:top w:val="nil"/>
              <w:bottom w:val="nil"/>
              <w:right w:val="nil"/>
            </w:tcBorders>
            <w:shd w:val="clear" w:color="auto" w:fill="auto"/>
          </w:tcPr>
          <w:p w:rsidR="0017135D" w:rsidRPr="009D1540" w:rsidP="00F76873">
            <w:pPr>
              <w:pStyle w:val="CSBody8ptbold"/>
              <w:rPr>
                <w:lang w:val="de-DE"/>
              </w:rPr>
            </w:pPr>
            <w:r w:rsidRPr="009D1540">
              <w:rPr>
                <w:lang w:val="de-DE"/>
              </w:rPr>
              <w:t>Anpassungen im Zusammenhang mit der Feststellung eines Kreditereignis-Feststellungstags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C68B7" w:rsidP="00892504">
            <w:pPr>
              <w:pStyle w:val="CSBody8pt"/>
            </w:pPr>
            <w:r w:rsidRPr="00EC68B7">
              <w:t>No Credit Event Determination Date will occur with respect to an event, and any Credit Event Determination Date previously determined</w:t>
            </w:r>
            <w:r w:rsidR="008C63A3">
              <w:t xml:space="preserve"> to have occurred</w:t>
            </w:r>
            <w:r w:rsidRPr="00EC68B7">
              <w:t xml:space="preserve"> with respect to an event shall be deemed not to have occurred, if, prior to the earliest of the </w:t>
            </w:r>
            <w:r w:rsidR="006F7DA2">
              <w:t>following days</w:t>
            </w:r>
            <w:r w:rsidRPr="00EC68B7">
              <w:t xml:space="preserve"> a DC No Credit Event Announcement occurs with respect to such event</w:t>
            </w:r>
            <w:r w:rsidR="009D7C36">
              <w:t>:</w:t>
            </w:r>
            <w:r w:rsidR="00B825D0">
              <w:t xml:space="preserve"> (i) the Auction </w:t>
            </w:r>
            <w:r w:rsidR="00892504">
              <w:t>Final</w:t>
            </w:r>
            <w:r w:rsidR="00B825D0">
              <w:t xml:space="preserve"> Price Determination Date, (ii) the date of determination o</w:t>
            </w:r>
            <w:r w:rsidR="009D7C36">
              <w:t>f the Final Price, (iii) a Valu</w:t>
            </w:r>
            <w:r w:rsidR="00B825D0">
              <w:t>ation Date, and (iv) the date of redemption of the Complex Products.</w:t>
            </w:r>
          </w:p>
        </w:tc>
        <w:tc>
          <w:tcPr>
            <w:tcW w:w="4936" w:type="dxa"/>
            <w:gridSpan w:val="3"/>
            <w:tcBorders>
              <w:top w:val="nil"/>
              <w:bottom w:val="nil"/>
              <w:right w:val="nil"/>
            </w:tcBorders>
            <w:shd w:val="clear" w:color="auto" w:fill="auto"/>
          </w:tcPr>
          <w:p w:rsidR="0017135D" w:rsidRPr="009D1540">
            <w:pPr>
              <w:pStyle w:val="CSBody8pt"/>
              <w:rPr>
                <w:lang w:val="de-DE"/>
              </w:rPr>
            </w:pPr>
            <w:r w:rsidRPr="009D1540">
              <w:rPr>
                <w:lang w:val="de-DE"/>
              </w:rPr>
              <w:t>Kein Kreditereignis-Feststellungstag tritt im Hinblick auf ein Ereignis ein und ein zuvor im Hinblick auf ein Ereignis</w:t>
            </w:r>
            <w:r w:rsidR="008C63A3">
              <w:rPr>
                <w:lang w:val="de-DE"/>
              </w:rPr>
              <w:t xml:space="preserve"> als eingetreten</w:t>
            </w:r>
            <w:r w:rsidRPr="009D1540">
              <w:rPr>
                <w:lang w:val="de-DE"/>
              </w:rPr>
              <w:t xml:space="preserve"> festgestellter Kreditereignis-Feststellungstag gilt als nicht eingetreten, sofern vor dem frühesten </w:t>
            </w:r>
            <w:r w:rsidR="006F7DA2">
              <w:rPr>
                <w:lang w:val="de-DE"/>
              </w:rPr>
              <w:t xml:space="preserve">der folgenden Tage </w:t>
            </w:r>
            <w:r w:rsidRPr="009D1540">
              <w:rPr>
                <w:lang w:val="de-DE"/>
              </w:rPr>
              <w:t>im Hinblick auf dieses Ereignis eine Bekanntgabe des Nichtvorliegens eines Kreditereignisses erfolgt ist</w:t>
            </w:r>
            <w:r w:rsidR="006F7DA2">
              <w:rPr>
                <w:lang w:val="de-DE"/>
              </w:rPr>
              <w:t>: (i) dem Feststellungstag für den Auktions-Endpreis, (ii) dem</w:t>
            </w:r>
            <w:r w:rsidR="009D7C36">
              <w:rPr>
                <w:lang w:val="de-DE"/>
              </w:rPr>
              <w:t xml:space="preserve"> </w:t>
            </w:r>
            <w:r w:rsidR="006F7DA2">
              <w:rPr>
                <w:lang w:val="de-DE"/>
              </w:rPr>
              <w:t>Tag der Feststellung des Endpreises, (iii) einem Bewertungstag bzw. (iv) dem Tag der Rückzahlung der Komplexen Produkte.</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C68B7">
            <w:pPr>
              <w:pStyle w:val="CSBody8pt"/>
            </w:pPr>
            <w:r w:rsidRPr="00EC68B7">
              <w:t>If (i) following the determination of a Credit Event Determination Date</w:t>
            </w:r>
            <w:r w:rsidR="00B825D0">
              <w:t xml:space="preserve"> </w:t>
            </w:r>
            <w:r w:rsidR="00B825D0">
              <w:rPr>
                <w:b/>
              </w:rPr>
              <w:t>[</w:t>
            </w:r>
            <w:r w:rsidR="00B825D0">
              <w:t>in respect of a Reference Entity</w:t>
            </w:r>
            <w:r w:rsidR="00B825D0">
              <w:rPr>
                <w:b/>
              </w:rPr>
              <w:t>]</w:t>
            </w:r>
            <w:r w:rsidRPr="00EC68B7">
              <w:t xml:space="preserve">, such Credit Event Determination Date is deemed (x) to have occurred on a date that is different from the date that was originally determined to be the date on which such Credit Event Determination Date occurred or (y) subject to the </w:t>
            </w:r>
            <w:r w:rsidR="00B825D0">
              <w:t xml:space="preserve">provisions </w:t>
            </w:r>
            <w:r w:rsidR="00363D30">
              <w:t xml:space="preserve">described </w:t>
            </w:r>
            <w:r w:rsidR="00B825D0">
              <w:t xml:space="preserve">in the </w:t>
            </w:r>
            <w:r w:rsidRPr="00EC68B7">
              <w:t>previous paragraph, not to have occurred, or (ii) a Credit Event Determination Date</w:t>
            </w:r>
            <w:r w:rsidR="00F12F08">
              <w:t xml:space="preserve"> </w:t>
            </w:r>
            <w:r w:rsidR="00B825D0">
              <w:rPr>
                <w:b/>
              </w:rPr>
              <w:t>[</w:t>
            </w:r>
            <w:r w:rsidR="00B825D0">
              <w:t xml:space="preserve">in respect of </w:t>
            </w:r>
            <w:r w:rsidR="00987A35">
              <w:t xml:space="preserve">a </w:t>
            </w:r>
            <w:r w:rsidR="00B825D0">
              <w:t>Reference Entity</w:t>
            </w:r>
            <w:r w:rsidR="00B825D0">
              <w:rPr>
                <w:b/>
              </w:rPr>
              <w:t>]</w:t>
            </w:r>
            <w:r w:rsidRPr="00EC68B7">
              <w:t xml:space="preserve"> is deemed to have occurred prior to a </w:t>
            </w:r>
            <w:r w:rsidR="00B825D0">
              <w:t>previous</w:t>
            </w:r>
            <w:r w:rsidRPr="00EC68B7">
              <w:t xml:space="preserve"> Interest Payment Date,</w:t>
            </w:r>
          </w:p>
        </w:tc>
        <w:tc>
          <w:tcPr>
            <w:tcW w:w="4936" w:type="dxa"/>
            <w:gridSpan w:val="3"/>
            <w:tcBorders>
              <w:top w:val="nil"/>
              <w:bottom w:val="nil"/>
              <w:right w:val="nil"/>
            </w:tcBorders>
            <w:shd w:val="clear" w:color="auto" w:fill="auto"/>
          </w:tcPr>
          <w:p w:rsidR="0017135D" w:rsidRPr="009D1540" w:rsidP="00363D30">
            <w:pPr>
              <w:pStyle w:val="CSBody8pt"/>
              <w:rPr>
                <w:lang w:val="de-DE"/>
              </w:rPr>
            </w:pPr>
            <w:r w:rsidRPr="009D1540">
              <w:rPr>
                <w:lang w:val="de-DE"/>
              </w:rPr>
              <w:t xml:space="preserve">Falls (i) nach der Feststellung eines Kreditereignis-Feststellungstags </w:t>
            </w:r>
            <w:r w:rsidR="006F7DA2">
              <w:rPr>
                <w:b/>
                <w:lang w:val="de-DE"/>
              </w:rPr>
              <w:t>[</w:t>
            </w:r>
            <w:r w:rsidR="006F7DA2">
              <w:rPr>
                <w:lang w:val="de-DE"/>
              </w:rPr>
              <w:t xml:space="preserve">in Bezug auf einen </w:t>
            </w:r>
            <w:r w:rsidRPr="006F7DA2" w:rsidR="006F7DA2">
              <w:rPr>
                <w:lang w:val="de-DE"/>
              </w:rPr>
              <w:t>Referenzschuldner</w:t>
            </w:r>
            <w:r w:rsidR="006F7DA2">
              <w:rPr>
                <w:b/>
                <w:lang w:val="de-DE"/>
              </w:rPr>
              <w:t>]</w:t>
            </w:r>
            <w:r w:rsidR="008C63A3">
              <w:rPr>
                <w:b/>
                <w:lang w:val="de-DE"/>
              </w:rPr>
              <w:t xml:space="preserve"> </w:t>
            </w:r>
            <w:r w:rsidRPr="006A142F">
              <w:rPr>
                <w:lang w:val="de-DE"/>
              </w:rPr>
              <w:t>dieser</w:t>
            </w:r>
            <w:r w:rsidRPr="009D1540">
              <w:rPr>
                <w:lang w:val="de-DE"/>
              </w:rPr>
              <w:t xml:space="preserve"> Kreditereignis-Feststellungstag (x) als an einem Tag eingetreten gilt, der von dem ursprünglich als Kreditereignis-Feststellungstag festgestellten Tag abweicht, oder (y) vorbehaltlich </w:t>
            </w:r>
            <w:r w:rsidR="006F7DA2">
              <w:rPr>
                <w:lang w:val="de-DE"/>
              </w:rPr>
              <w:t xml:space="preserve">der </w:t>
            </w:r>
            <w:r w:rsidR="00363D30">
              <w:rPr>
                <w:lang w:val="de-DE"/>
              </w:rPr>
              <w:t>im</w:t>
            </w:r>
            <w:r w:rsidRPr="009D1540" w:rsidR="00363D30">
              <w:rPr>
                <w:lang w:val="de-DE"/>
              </w:rPr>
              <w:t xml:space="preserve"> vorstehenden Absatz</w:t>
            </w:r>
            <w:r w:rsidR="00363D30">
              <w:rPr>
                <w:lang w:val="de-DE"/>
              </w:rPr>
              <w:t xml:space="preserve"> beschriebenen </w:t>
            </w:r>
            <w:r w:rsidR="006F7DA2">
              <w:rPr>
                <w:lang w:val="de-DE"/>
              </w:rPr>
              <w:t>Regelungen</w:t>
            </w:r>
            <w:r w:rsidRPr="009D1540">
              <w:rPr>
                <w:lang w:val="de-DE"/>
              </w:rPr>
              <w:t xml:space="preserve">, als nicht eingetreten gilt oder (ii) ein Kreditereignis-Feststellungstag </w:t>
            </w:r>
            <w:r w:rsidR="006F7DA2">
              <w:rPr>
                <w:b/>
                <w:lang w:val="de-DE"/>
              </w:rPr>
              <w:t>[</w:t>
            </w:r>
            <w:r w:rsidR="006F7DA2">
              <w:rPr>
                <w:lang w:val="de-DE"/>
              </w:rPr>
              <w:t xml:space="preserve">in Bezug auf </w:t>
            </w:r>
            <w:r w:rsidR="00987A35">
              <w:rPr>
                <w:lang w:val="de-DE"/>
              </w:rPr>
              <w:t xml:space="preserve">einen </w:t>
            </w:r>
            <w:r w:rsidRPr="006F7DA2" w:rsidR="006F7DA2">
              <w:rPr>
                <w:lang w:val="de-DE"/>
              </w:rPr>
              <w:t>Referenzschuldner</w:t>
            </w:r>
            <w:r w:rsidR="006F7DA2">
              <w:rPr>
                <w:b/>
                <w:lang w:val="de-DE"/>
              </w:rPr>
              <w:t>]</w:t>
            </w:r>
            <w:r w:rsidR="006F7DA2">
              <w:rPr>
                <w:lang w:val="de-DE"/>
              </w:rPr>
              <w:t xml:space="preserve"> </w:t>
            </w:r>
            <w:r w:rsidRPr="00BD6E0D">
              <w:rPr>
                <w:b/>
                <w:lang w:val="de-DE"/>
              </w:rPr>
              <w:t>als</w:t>
            </w:r>
            <w:r w:rsidRPr="009D1540">
              <w:rPr>
                <w:lang w:val="de-DE"/>
              </w:rPr>
              <w:t xml:space="preserve"> vor einem </w:t>
            </w:r>
            <w:r w:rsidR="006F7DA2">
              <w:rPr>
                <w:lang w:val="de-DE"/>
              </w:rPr>
              <w:t>früheren</w:t>
            </w:r>
            <w:r w:rsidRPr="009D1540">
              <w:rPr>
                <w:lang w:val="de-DE"/>
              </w:rPr>
              <w:t xml:space="preserve"> Zinszahlungstag eingetreten gilt,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D484D">
            <w:pPr>
              <w:pStyle w:val="CSBody8pt"/>
            </w:pPr>
            <w:r w:rsidRPr="000D484D">
              <w:t xml:space="preserve">the Calculation Agent will determine (A) such adjustments to the Terms and Conditions of the Complex Products (including any adjustment to payments under these Terms and Conditions) as may be required to put Holders, as far as </w:t>
            </w:r>
            <w:r w:rsidR="00B825D0">
              <w:t>possible</w:t>
            </w:r>
            <w:r w:rsidRPr="000D484D">
              <w:t xml:space="preserve">, into the </w:t>
            </w:r>
            <w:r w:rsidR="00987A35">
              <w:t xml:space="preserve">same </w:t>
            </w:r>
            <w:r w:rsidRPr="000D484D">
              <w:t xml:space="preserve">position </w:t>
            </w:r>
            <w:r w:rsidR="00987A35">
              <w:t>they would have been in</w:t>
            </w:r>
            <w:r w:rsidRPr="000D484D" w:rsidR="00987A35">
              <w:t xml:space="preserve"> </w:t>
            </w:r>
            <w:r w:rsidRPr="000D484D">
              <w:t xml:space="preserve">if the Credit Event Determination Date had occurred on the subsequently corrected date from the outset and (B) the </w:t>
            </w:r>
            <w:r w:rsidR="00B825D0">
              <w:t xml:space="preserve">time at which </w:t>
            </w:r>
            <w:r w:rsidRPr="000D484D">
              <w:t>such adjustments</w:t>
            </w:r>
            <w:r w:rsidR="00B825D0">
              <w:t xml:space="preserve"> become effective</w:t>
            </w:r>
            <w:r w:rsidRPr="000D484D">
              <w:t xml:space="preserve">. </w:t>
            </w:r>
          </w:p>
        </w:tc>
        <w:tc>
          <w:tcPr>
            <w:tcW w:w="4936" w:type="dxa"/>
            <w:gridSpan w:val="3"/>
            <w:tcBorders>
              <w:top w:val="nil"/>
              <w:bottom w:val="nil"/>
              <w:right w:val="nil"/>
            </w:tcBorders>
            <w:shd w:val="clear" w:color="auto" w:fill="auto"/>
          </w:tcPr>
          <w:p w:rsidR="0017135D" w:rsidRPr="009D1540">
            <w:pPr>
              <w:pStyle w:val="CSBody8pt"/>
              <w:rPr>
                <w:lang w:val="de-DE"/>
              </w:rPr>
            </w:pPr>
            <w:r w:rsidRPr="009D1540">
              <w:rPr>
                <w:lang w:val="de-DE"/>
              </w:rPr>
              <w:t xml:space="preserve">bestimmt die Berechnungsstelle (A) solche Anpassungen der Emissionsbedingungen der Komplexen Produkte (einschliesslich der Anpassung von Zahlungen unter </w:t>
            </w:r>
            <w:r w:rsidR="006F7DA2">
              <w:rPr>
                <w:lang w:val="de-DE"/>
              </w:rPr>
              <w:t xml:space="preserve">den </w:t>
            </w:r>
            <w:r w:rsidRPr="009D1540">
              <w:rPr>
                <w:lang w:val="de-DE"/>
              </w:rPr>
              <w:t xml:space="preserve">Emissionsbedingungen), die notwendig sind, um die Inhaber </w:t>
            </w:r>
            <w:r w:rsidR="006F7DA2">
              <w:rPr>
                <w:lang w:val="de-DE"/>
              </w:rPr>
              <w:t>soweit wie möglich</w:t>
            </w:r>
            <w:r w:rsidRPr="009D1540">
              <w:rPr>
                <w:lang w:val="de-DE"/>
              </w:rPr>
              <w:t xml:space="preserve"> </w:t>
            </w:r>
            <w:r w:rsidR="00987A35">
              <w:rPr>
                <w:lang w:val="de-DE"/>
              </w:rPr>
              <w:t>in dieselbe Lage zu versetzen</w:t>
            </w:r>
            <w:r w:rsidRPr="009D1540">
              <w:rPr>
                <w:lang w:val="de-DE"/>
              </w:rPr>
              <w:t>,</w:t>
            </w:r>
            <w:r w:rsidR="00987A35">
              <w:rPr>
                <w:lang w:val="de-DE"/>
              </w:rPr>
              <w:t xml:space="preserve"> in der sie gewesen wären,</w:t>
            </w:r>
            <w:r w:rsidRPr="009D1540">
              <w:rPr>
                <w:lang w:val="de-DE"/>
              </w:rPr>
              <w:t xml:space="preserve"> </w:t>
            </w:r>
            <w:r w:rsidR="00987A35">
              <w:rPr>
                <w:lang w:val="de-DE"/>
              </w:rPr>
              <w:t>wenn</w:t>
            </w:r>
            <w:r w:rsidRPr="009D1540">
              <w:rPr>
                <w:lang w:val="de-DE"/>
              </w:rPr>
              <w:t xml:space="preserve"> der Kreditereignis-Feststellungstag von Anfang an an dem nachträglich korrigierten Datum eingetreten wäre und (B) </w:t>
            </w:r>
            <w:r w:rsidR="006F7DA2">
              <w:rPr>
                <w:lang w:val="de-DE"/>
              </w:rPr>
              <w:t>den Zeitpunkt, an dem diese</w:t>
            </w:r>
            <w:r w:rsidRPr="009D1540">
              <w:rPr>
                <w:lang w:val="de-DE"/>
              </w:rPr>
              <w:t xml:space="preserve"> Anpassungen</w:t>
            </w:r>
            <w:r w:rsidR="006F7DA2">
              <w:rPr>
                <w:lang w:val="de-DE"/>
              </w:rPr>
              <w:t xml:space="preserve"> wirksam werden</w:t>
            </w:r>
            <w:r w:rsidRPr="009D1540">
              <w:rPr>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42F00" w:rsidP="00F76873">
            <w:pPr>
              <w:pStyle w:val="CSBody8ptbold"/>
            </w:pPr>
            <w:r w:rsidRPr="00942F00">
              <w:t>Adjustments in connection with resolutions of the applicable Credit Derivatives Determinations Comittee</w:t>
            </w:r>
          </w:p>
        </w:tc>
        <w:tc>
          <w:tcPr>
            <w:tcW w:w="4936" w:type="dxa"/>
            <w:gridSpan w:val="3"/>
            <w:tcBorders>
              <w:top w:val="nil"/>
              <w:bottom w:val="nil"/>
              <w:right w:val="nil"/>
            </w:tcBorders>
            <w:shd w:val="clear" w:color="auto" w:fill="auto"/>
          </w:tcPr>
          <w:p w:rsidR="0017135D" w:rsidRPr="00942F00" w:rsidP="00F76873">
            <w:pPr>
              <w:pStyle w:val="CSBody8ptbold"/>
              <w:rPr>
                <w:lang w:val="de-DE"/>
              </w:rPr>
            </w:pPr>
            <w:r w:rsidRPr="00942F00">
              <w:rPr>
                <w:lang w:val="de-DE"/>
              </w:rPr>
              <w:t>Anpassungen im Zusammenhang mit Beschlüssen des jeweiligen Kreditderivate-Feststellungsauschusses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42F00" w:rsidP="00F76873">
            <w:pPr>
              <w:pStyle w:val="CSBody8pt"/>
            </w:pPr>
            <w:r w:rsidRPr="00942F00">
              <w:t xml:space="preserve">If following the publication of a resolution of the applicable Credit Derivatives Determinations Committee (a </w:t>
            </w:r>
            <w:r w:rsidRPr="00D77F7B" w:rsidR="00D77F7B">
              <w:t>"</w:t>
            </w:r>
            <w:r w:rsidRPr="00BD6E0D">
              <w:rPr>
                <w:b/>
              </w:rPr>
              <w:t>Prior DC Resolution</w:t>
            </w:r>
            <w:r w:rsidRPr="00D77F7B" w:rsidR="00D77F7B">
              <w:rPr>
                <w:b/>
              </w:rPr>
              <w:t>"</w:t>
            </w:r>
            <w:r w:rsidRPr="00942F00">
              <w:t xml:space="preserve">), a further resolution by the applicable Credit Derivatives Determinations Committee is pulished which reverses all or part of the Prior DC Resolution or if any resolution of the applicable Credit Derivatives Determinations Committee reverses all or part of any determination previously made by the Calculation Agent (a </w:t>
            </w:r>
            <w:r w:rsidRPr="00D77F7B" w:rsidR="00D77F7B">
              <w:t>"</w:t>
            </w:r>
            <w:r w:rsidRPr="00BD6E0D">
              <w:rPr>
                <w:b/>
              </w:rPr>
              <w:t>Prior Determination</w:t>
            </w:r>
            <w:r w:rsidRPr="00D77F7B" w:rsidR="00D77F7B">
              <w:rPr>
                <w:b/>
              </w:rPr>
              <w:t>"</w:t>
            </w:r>
            <w:r w:rsidRPr="00942F00">
              <w:t>), then subject to any limitations arising from actions already taken by the Issuer and/or the Calculation Agent to implement such Prior DC Resolution or Prior Determination, the Calculation Agent shall determine (i) such adjustment(s) to the Terms and Conditions of the Complex Products that are necessary to reflect the publication of such subsequent resolution of the applicable Credit Derivatives Determinations Committee and (ii) the effective date of such adjustment(s).</w:t>
            </w:r>
            <w:r w:rsidRPr="00942F00">
              <w:rPr>
                <w:b/>
              </w:rPr>
              <w:t>]</w:t>
            </w:r>
          </w:p>
        </w:tc>
        <w:tc>
          <w:tcPr>
            <w:tcW w:w="4936" w:type="dxa"/>
            <w:gridSpan w:val="3"/>
            <w:tcBorders>
              <w:top w:val="nil"/>
              <w:bottom w:val="nil"/>
              <w:right w:val="nil"/>
            </w:tcBorders>
            <w:shd w:val="clear" w:color="auto" w:fill="auto"/>
          </w:tcPr>
          <w:p w:rsidR="0017135D" w:rsidRPr="009D1540" w:rsidP="00D77F7B">
            <w:pPr>
              <w:pStyle w:val="CSBody8pt"/>
              <w:rPr>
                <w:lang w:val="de-DE"/>
              </w:rPr>
            </w:pPr>
            <w:r w:rsidRPr="00942F00">
              <w:rPr>
                <w:lang w:val="de-DE"/>
              </w:rPr>
              <w:t xml:space="preserve">Wenn nach der Veröffentlichung eines Beschlusses des jeweiligen Kreditderivate-Feststellungsausschusses (ein </w:t>
            </w:r>
            <w:r w:rsidRPr="00D77F7B" w:rsidR="00D77F7B">
              <w:rPr>
                <w:lang w:val="de-DE"/>
              </w:rPr>
              <w:t>"</w:t>
            </w:r>
            <w:r w:rsidRPr="00BD6E0D">
              <w:rPr>
                <w:b/>
                <w:lang w:val="de-DE"/>
              </w:rPr>
              <w:t>Früherer DC Beschluss</w:t>
            </w:r>
            <w:r w:rsidRPr="00D77F7B" w:rsidR="00D77F7B">
              <w:rPr>
                <w:b/>
                <w:lang w:val="de-DE"/>
              </w:rPr>
              <w:t>"</w:t>
            </w:r>
            <w:r w:rsidRPr="00942F00">
              <w:rPr>
                <w:lang w:val="de-DE"/>
              </w:rPr>
              <w:t xml:space="preserve">) ein weiterer Beschluss des jeweiligen Kreditderivate-Feststellungsausschusses veröffentlicht wird, der ganz oder teilweise den </w:t>
            </w:r>
            <w:r w:rsidR="00D77F7B">
              <w:rPr>
                <w:lang w:val="de-DE"/>
              </w:rPr>
              <w:t>F</w:t>
            </w:r>
            <w:r w:rsidRPr="00942F00">
              <w:rPr>
                <w:lang w:val="de-DE"/>
              </w:rPr>
              <w:t xml:space="preserve">rüheren DC Beschluss revidiert oder wenn ein Beschluss des jeweiligen Kreditderivate-Feststellungsausschusses eine zuvor getroffene Feststellung der Berechnungsstelle (eine </w:t>
            </w:r>
            <w:r w:rsidRPr="00D77F7B" w:rsidR="00D77F7B">
              <w:rPr>
                <w:lang w:val="de-DE"/>
              </w:rPr>
              <w:t>"</w:t>
            </w:r>
            <w:r w:rsidRPr="00BD6E0D">
              <w:rPr>
                <w:b/>
                <w:lang w:val="de-DE"/>
              </w:rPr>
              <w:t>Frühere Feststellung</w:t>
            </w:r>
            <w:r w:rsidRPr="00D77F7B" w:rsidR="00D77F7B">
              <w:rPr>
                <w:b/>
                <w:lang w:val="de-DE"/>
              </w:rPr>
              <w:t>"</w:t>
            </w:r>
            <w:r w:rsidRPr="00942F00">
              <w:rPr>
                <w:lang w:val="de-DE"/>
              </w:rPr>
              <w:t>) ganz oder teilweise revidiert, ist die Berechnungsstelle – vorbehaltlich von Beschränkungen, die sich daraus ergeben, dass die Emittentin und/oder die Berechnungsstelle bereits Handlungen vorgenommen haben, um den Früheren DC Beschluss oder die Frühere Feststellung umzusetzen – berechtigt, (i) Anpassungen der Emissionsbedingungen der Komplexen Produkte zu bestimmen, die notwendig sind, um diesen nachträglichen Beschluss des jeweiligen Kreditderivate-Feststellungsausschusses umzusetzen und (ii) das Wirksamkeitsdatum der Anpassung(en) festzulegen.</w:t>
            </w:r>
            <w:r w:rsidRPr="00942F00">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11055" w:rsidP="00F76873">
            <w:pPr>
              <w:pStyle w:val="CSBody8pt"/>
            </w:pPr>
            <w:r w:rsidRPr="00792D61">
              <w:rPr>
                <w:b/>
              </w:rPr>
              <w:t>[</w:t>
            </w:r>
            <w:r w:rsidRPr="00F76873">
              <w:rPr>
                <w:b/>
                <w:i/>
              </w:rPr>
              <w:t>In the case of all other Complex Products, insert: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F76873">
              <w:rPr>
                <w:b/>
                <w:i/>
                <w:lang w:val="de-DE"/>
              </w:rPr>
              <w:t>Bei allen anderen Komplexen Produkten,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11055" w:rsidP="00F76873">
            <w:pPr>
              <w:pStyle w:val="CSBody8pt"/>
            </w:pPr>
            <w:r w:rsidRPr="00611055">
              <w:t>Not applicable.</w:t>
            </w:r>
            <w:r w:rsidRPr="00792D61">
              <w:rPr>
                <w:b/>
              </w:rPr>
              <w:t>]</w:t>
            </w:r>
          </w:p>
        </w:tc>
        <w:tc>
          <w:tcPr>
            <w:tcW w:w="4936" w:type="dxa"/>
            <w:gridSpan w:val="3"/>
            <w:tcBorders>
              <w:top w:val="nil"/>
              <w:bottom w:val="nil"/>
              <w:right w:val="nil"/>
            </w:tcBorders>
            <w:shd w:val="clear" w:color="auto" w:fill="auto"/>
          </w:tcPr>
          <w:p w:rsidR="0017135D" w:rsidP="00F76873">
            <w:pPr>
              <w:pStyle w:val="CSBody8pt"/>
            </w:pPr>
            <w:r w:rsidRPr="00611055">
              <w:t>Nicht anwendbar.</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0B4006" w:rsidP="00F76873">
            <w:pPr>
              <w:pStyle w:val="CSbody0bold"/>
            </w:pPr>
            <w:r w:rsidRPr="000B4006">
              <w:t>Section 5</w:t>
            </w:r>
          </w:p>
        </w:tc>
        <w:tc>
          <w:tcPr>
            <w:tcW w:w="3315" w:type="dxa"/>
            <w:gridSpan w:val="2"/>
            <w:tcBorders>
              <w:top w:val="nil"/>
              <w:left w:val="nil"/>
              <w:bottom w:val="nil"/>
              <w:right w:val="nil"/>
            </w:tcBorders>
            <w:shd w:val="clear" w:color="auto" w:fill="D9D9D9" w:themeFill="background1" w:themeFillShade="D9"/>
          </w:tcPr>
          <w:p w:rsidR="0017135D" w:rsidP="00F76873">
            <w:pPr>
              <w:pStyle w:val="CSbody0bold"/>
            </w:pPr>
            <w:r w:rsidRPr="000B4006">
              <w:t>Repurchase of Complex Products</w:t>
            </w:r>
          </w:p>
        </w:tc>
        <w:tc>
          <w:tcPr>
            <w:tcW w:w="1618" w:type="dxa"/>
            <w:gridSpan w:val="2"/>
            <w:tcBorders>
              <w:top w:val="nil"/>
              <w:left w:val="nil"/>
              <w:bottom w:val="nil"/>
              <w:right w:val="nil"/>
            </w:tcBorders>
            <w:shd w:val="clear" w:color="auto" w:fill="D9D9D9" w:themeFill="background1" w:themeFillShade="D9"/>
          </w:tcPr>
          <w:p w:rsidR="0017135D" w:rsidRPr="00690F3E" w:rsidP="00F76873">
            <w:pPr>
              <w:pStyle w:val="CSbody0bold"/>
            </w:pPr>
            <w:r w:rsidRPr="00690F3E">
              <w:t>Ziffer 5</w:t>
            </w:r>
          </w:p>
        </w:tc>
        <w:tc>
          <w:tcPr>
            <w:tcW w:w="3318" w:type="dxa"/>
            <w:tcBorders>
              <w:top w:val="nil"/>
              <w:left w:val="nil"/>
              <w:bottom w:val="nil"/>
              <w:right w:val="nil"/>
            </w:tcBorders>
            <w:shd w:val="clear" w:color="auto" w:fill="D9D9D9" w:themeFill="background1" w:themeFillShade="D9"/>
          </w:tcPr>
          <w:p w:rsidR="0017135D" w:rsidP="00F76873">
            <w:pPr>
              <w:pStyle w:val="CSbody0bold"/>
            </w:pPr>
            <w:r w:rsidRPr="00690F3E">
              <w:t>Rückkauf von Komplexen Produkten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B4A62" w:rsidP="00F76873">
            <w:pPr>
              <w:pStyle w:val="CSBody8pt"/>
            </w:pPr>
            <w:r w:rsidRPr="00792D61">
              <w:rPr>
                <w:b/>
              </w:rPr>
              <w:t>[</w:t>
            </w:r>
            <w:r w:rsidRPr="00DA50B1">
              <w:rPr>
                <w:b/>
                <w:i/>
              </w:rPr>
              <w:t>insert in case of Complex Products with Repurchase Section:</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DA50B1">
              <w:rPr>
                <w:b/>
                <w:i/>
                <w:lang w:val="de-DE"/>
              </w:rPr>
              <w:t>bei Komplexen Produkten mit Rückkaufklausel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B4A62" w:rsidP="00F76873">
            <w:pPr>
              <w:pStyle w:val="CSBody8pt"/>
            </w:pPr>
            <w:r w:rsidRPr="006B4A62">
              <w:t>The Issuer and any subsidiary or other affiliate of the Issuer may at any time purchase Complex Products at any price in the open market or by tender or private contract. Any Complex Products so purchased may be held or resold or surrendered for cancellation.</w:t>
            </w:r>
            <w:r w:rsidRPr="00792D61">
              <w:rPr>
                <w:b/>
              </w:rPr>
              <w: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Die Emittentin sowie jede Tochtergesellschaft der Emittentin und jedes sonstige mit der Emittentin verbundene Unternehmen sind berechtigt, jederzeit Komplexe Produkte zu einem beliebigen Preis am freien Markt, durch Übernahmeangebot oder im Rahmen eines privatrechtlichen Vertrags zu erwerben. Alle auf diese Weise erworbenen Komplexen Produkte können gehalten, weiterverkauft oder zur Entwertung eingereicht werden.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30A53" w:rsidP="00F76873">
            <w:pPr>
              <w:pStyle w:val="CSBody8pt"/>
            </w:pPr>
            <w:r w:rsidRPr="00792D61">
              <w:rPr>
                <w:b/>
              </w:rPr>
              <w:t>[</w:t>
            </w:r>
            <w:r w:rsidRPr="00DA50B1">
              <w:rPr>
                <w:b/>
                <w:i/>
              </w:rPr>
              <w:t>insert in case of Complex Products without Repurchase Section:</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DA50B1">
              <w:rPr>
                <w:b/>
                <w:i/>
                <w:lang w:val="de-DE"/>
              </w:rPr>
              <w:t>bei Komplexen Produkten ohne Rückkaufklausel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E30A53" w:rsidP="00F76873">
            <w:pPr>
              <w:pStyle w:val="CSBody8pt"/>
            </w:pPr>
            <w:r w:rsidRPr="00E30A53">
              <w:t>Not applicable.</w:t>
            </w:r>
            <w:r w:rsidRPr="00792D61">
              <w:rPr>
                <w:b/>
              </w:rPr>
              <w:t>]</w:t>
            </w:r>
          </w:p>
        </w:tc>
        <w:tc>
          <w:tcPr>
            <w:tcW w:w="4936" w:type="dxa"/>
            <w:gridSpan w:val="3"/>
            <w:tcBorders>
              <w:top w:val="nil"/>
              <w:bottom w:val="nil"/>
              <w:right w:val="nil"/>
            </w:tcBorders>
            <w:shd w:val="clear" w:color="auto" w:fill="auto"/>
          </w:tcPr>
          <w:p w:rsidR="0017135D" w:rsidP="00F76873">
            <w:pPr>
              <w:pStyle w:val="CSBody8pt"/>
            </w:pPr>
            <w:r w:rsidRPr="00E30A53">
              <w:t>Nicht anwendbar.</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AF01F6" w:rsidP="00F76873">
            <w:pPr>
              <w:pStyle w:val="CSbody0bold"/>
            </w:pPr>
            <w:r w:rsidRPr="00AF01F6">
              <w:t>Section 6</w:t>
            </w:r>
          </w:p>
        </w:tc>
        <w:tc>
          <w:tcPr>
            <w:tcW w:w="3315" w:type="dxa"/>
            <w:gridSpan w:val="2"/>
            <w:tcBorders>
              <w:top w:val="nil"/>
              <w:left w:val="nil"/>
              <w:bottom w:val="nil"/>
              <w:right w:val="nil"/>
            </w:tcBorders>
            <w:shd w:val="clear" w:color="auto" w:fill="D9D9D9" w:themeFill="background1" w:themeFillShade="D9"/>
          </w:tcPr>
          <w:p w:rsidR="0017135D" w:rsidP="00F76873">
            <w:pPr>
              <w:pStyle w:val="CSbody0bold"/>
            </w:pPr>
            <w:r w:rsidRPr="00AF01F6">
              <w:t>Prescription</w:t>
            </w:r>
          </w:p>
        </w:tc>
        <w:tc>
          <w:tcPr>
            <w:tcW w:w="1618" w:type="dxa"/>
            <w:gridSpan w:val="2"/>
            <w:tcBorders>
              <w:top w:val="nil"/>
              <w:left w:val="nil"/>
              <w:bottom w:val="nil"/>
              <w:right w:val="nil"/>
            </w:tcBorders>
            <w:shd w:val="clear" w:color="auto" w:fill="D9D9D9" w:themeFill="background1" w:themeFillShade="D9"/>
          </w:tcPr>
          <w:p w:rsidR="0017135D" w:rsidRPr="003D40AE" w:rsidP="00F76873">
            <w:pPr>
              <w:pStyle w:val="CSbody0bold"/>
            </w:pPr>
            <w:r w:rsidRPr="003D40AE">
              <w:t>Ziffer 6</w:t>
            </w:r>
          </w:p>
        </w:tc>
        <w:tc>
          <w:tcPr>
            <w:tcW w:w="3318" w:type="dxa"/>
            <w:tcBorders>
              <w:top w:val="nil"/>
              <w:left w:val="nil"/>
              <w:bottom w:val="nil"/>
              <w:right w:val="nil"/>
            </w:tcBorders>
            <w:shd w:val="clear" w:color="auto" w:fill="D9D9D9" w:themeFill="background1" w:themeFillShade="D9"/>
          </w:tcPr>
          <w:p w:rsidR="0017135D" w:rsidP="00F76873">
            <w:pPr>
              <w:pStyle w:val="CSbody0bold"/>
            </w:pPr>
            <w:r w:rsidRPr="003D40AE">
              <w:t>Verjährung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6441C" w:rsidP="00F76873">
            <w:pPr>
              <w:pStyle w:val="CSBody8pt"/>
            </w:pPr>
            <w:r w:rsidRPr="00792D61">
              <w:rPr>
                <w:b/>
              </w:rPr>
              <w:t>[</w:t>
            </w:r>
            <w:r w:rsidRPr="00DA50B1">
              <w:rPr>
                <w:b/>
                <w:i/>
              </w:rPr>
              <w:t>in case of Complex Procuts with one Interest Payment Amount: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DA50B1">
              <w:rPr>
                <w:b/>
                <w:i/>
                <w:lang w:val="de-DE"/>
              </w:rPr>
              <w:t>bei Komplexen Produkten mit einem Zinszahlungsbetrag: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6441C">
            <w:pPr>
              <w:pStyle w:val="CSBody8pt"/>
            </w:pPr>
            <w:r w:rsidRPr="00C6441C">
              <w:t xml:space="preserve">In accordance with Swiss law, claims for any payment </w:t>
            </w:r>
            <w:r w:rsidR="00AE25C9">
              <w:t>in</w:t>
            </w:r>
            <w:r w:rsidRPr="00C6441C" w:rsidR="00AE25C9">
              <w:t xml:space="preserve"> </w:t>
            </w:r>
            <w:r w:rsidRPr="00C6441C">
              <w:t xml:space="preserve">respect </w:t>
            </w:r>
            <w:r w:rsidR="00AE25C9">
              <w:t>of</w:t>
            </w:r>
            <w:r w:rsidRPr="00C6441C" w:rsidR="00AE25C9">
              <w:t xml:space="preserve"> </w:t>
            </w:r>
            <w:r w:rsidRPr="00C6441C">
              <w:t>the Complex Products shall become time-barred (i) in the case of the Interest Payment Amount after a period of five years, and (ii) otherwise, after a period of ten years, in the case of each of clauses (i) and (ii) above, calculated from the date on which such payment first becomes due and payable.</w:t>
            </w:r>
            <w:r w:rsidRPr="00792D61">
              <w:rPr>
                <w:b/>
              </w:rPr>
              <w:t>]</w:t>
            </w:r>
          </w:p>
        </w:tc>
        <w:tc>
          <w:tcPr>
            <w:tcW w:w="4936" w:type="dxa"/>
            <w:gridSpan w:val="3"/>
            <w:tcBorders>
              <w:top w:val="nil"/>
              <w:bottom w:val="nil"/>
              <w:right w:val="nil"/>
            </w:tcBorders>
            <w:shd w:val="clear" w:color="auto" w:fill="auto"/>
          </w:tcPr>
          <w:p w:rsidR="0017135D" w:rsidRPr="009D1540">
            <w:pPr>
              <w:pStyle w:val="CSBody8pt"/>
              <w:rPr>
                <w:lang w:val="de-DE"/>
              </w:rPr>
            </w:pPr>
            <w:r w:rsidRPr="009D1540">
              <w:rPr>
                <w:lang w:val="de-DE"/>
              </w:rPr>
              <w:t xml:space="preserve">Gemäss Schweizer Recht verjähren Ansprüche auf etwaige Zahlungen in Bezug auf die Komplexen Produkte (i) in Bezug auf den Zinszahlungsbetrag nach fünf Jahren und (ii) in allen anderen Fällen nach zehn Jahren, in jedem der in den vorstehenden Absätzen (i) und (ii) genannten Fälle gerechnet ab dem Tag, an dem die jeweilige Zahlung erstmals fällig und zahlbar </w:t>
            </w:r>
            <w:r w:rsidR="00AE25C9">
              <w:rPr>
                <w:lang w:val="de-DE"/>
              </w:rPr>
              <w:t>wurde</w:t>
            </w:r>
            <w:r w:rsidRPr="009D1540">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6441C" w:rsidP="00F76873">
            <w:pPr>
              <w:pStyle w:val="CSBody8pt"/>
            </w:pPr>
            <w:r w:rsidRPr="00792D61">
              <w:rPr>
                <w:b/>
              </w:rPr>
              <w:t>[</w:t>
            </w:r>
            <w:r w:rsidRPr="00D61418">
              <w:rPr>
                <w:b/>
                <w:i/>
              </w:rPr>
              <w:t>in case of Complex Products with multiple Interest Payment Amounts:</w:t>
            </w:r>
          </w:p>
        </w:tc>
        <w:tc>
          <w:tcPr>
            <w:tcW w:w="4936" w:type="dxa"/>
            <w:gridSpan w:val="3"/>
            <w:tcBorders>
              <w:top w:val="nil"/>
              <w:bottom w:val="nil"/>
              <w:right w:val="nil"/>
            </w:tcBorders>
            <w:shd w:val="clear" w:color="auto" w:fill="auto"/>
          </w:tcPr>
          <w:p w:rsidR="0017135D" w:rsidRPr="009D1540" w:rsidP="00904373">
            <w:pPr>
              <w:pStyle w:val="CSBody8pt"/>
              <w:rPr>
                <w:lang w:val="de-DE"/>
              </w:rPr>
            </w:pPr>
            <w:r w:rsidRPr="00792D61">
              <w:rPr>
                <w:b/>
                <w:lang w:val="de-DE"/>
              </w:rPr>
              <w:t>[</w:t>
            </w:r>
            <w:r w:rsidRPr="00D61418">
              <w:rPr>
                <w:b/>
                <w:i/>
                <w:lang w:val="de-DE"/>
              </w:rPr>
              <w:t>bei Komplexen Produkten mit mehreren Zinszahlungsbeträgen: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6441C">
            <w:pPr>
              <w:pStyle w:val="CSBody8pt"/>
            </w:pPr>
            <w:r w:rsidRPr="00C6441C">
              <w:t xml:space="preserve">In accordance with Swiss law, claims for any payment </w:t>
            </w:r>
            <w:r w:rsidR="00AE25C9">
              <w:t>in</w:t>
            </w:r>
            <w:r w:rsidRPr="00C6441C" w:rsidR="00AE25C9">
              <w:t xml:space="preserve"> </w:t>
            </w:r>
            <w:r w:rsidRPr="00C6441C">
              <w:t xml:space="preserve">respect </w:t>
            </w:r>
            <w:r w:rsidR="00AE25C9">
              <w:t>of</w:t>
            </w:r>
            <w:r w:rsidRPr="00C6441C" w:rsidR="00AE25C9">
              <w:t xml:space="preserve"> </w:t>
            </w:r>
            <w:r w:rsidRPr="00C6441C">
              <w:t>the Complex Products shall become time-barred (i) in the case of the Interest Payment Amounts after a period of five years, and (ii) otherwise, after a period of ten years, in the case of each of clauses (i) and (ii) above, calculated from the date on which such payment first becomes due and payable.</w:t>
            </w:r>
            <w:r w:rsidRPr="00792D61">
              <w:rPr>
                <w:b/>
              </w:rPr>
              <w:t>]</w:t>
            </w:r>
          </w:p>
        </w:tc>
        <w:tc>
          <w:tcPr>
            <w:tcW w:w="4936" w:type="dxa"/>
            <w:gridSpan w:val="3"/>
            <w:tcBorders>
              <w:top w:val="nil"/>
              <w:bottom w:val="nil"/>
              <w:right w:val="nil"/>
            </w:tcBorders>
            <w:shd w:val="clear" w:color="auto" w:fill="auto"/>
          </w:tcPr>
          <w:p w:rsidR="0017135D" w:rsidRPr="009D1540">
            <w:pPr>
              <w:pStyle w:val="CSBody8pt"/>
              <w:rPr>
                <w:lang w:val="de-DE"/>
              </w:rPr>
            </w:pPr>
            <w:r w:rsidRPr="009D1540">
              <w:rPr>
                <w:lang w:val="de-DE"/>
              </w:rPr>
              <w:t xml:space="preserve">Gemäss Schweizer Recht verjähren Ansprüche auf etwaige Zahlungen in Bezug auf die Komplexen Produkte (i) in Bezug auf die Zinszahlungsbeträge nach fünf Jahren und (ii) in allen anderen Fällen nach zehn Jahren, in jedem der in den vorstehenden Absätzen (i) und (ii) genannten Fälle gerechnet ab dem Tag, an dem die jeweilige Zahlung erstmals fällig und zahlbar </w:t>
            </w:r>
            <w:r w:rsidR="00AE25C9">
              <w:rPr>
                <w:lang w:val="de-DE"/>
              </w:rPr>
              <w:t>wurde</w:t>
            </w:r>
            <w:r w:rsidRPr="009D1540">
              <w:rPr>
                <w:lang w:val="de-DE"/>
              </w:rPr>
              <w: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63500D" w:rsidP="00F76873">
            <w:pPr>
              <w:pStyle w:val="CSbody0bold"/>
            </w:pPr>
            <w:r w:rsidRPr="0063500D">
              <w:t>Section 7</w:t>
            </w:r>
          </w:p>
        </w:tc>
        <w:tc>
          <w:tcPr>
            <w:tcW w:w="3315" w:type="dxa"/>
            <w:gridSpan w:val="2"/>
            <w:tcBorders>
              <w:top w:val="nil"/>
              <w:left w:val="nil"/>
              <w:bottom w:val="nil"/>
              <w:right w:val="nil"/>
            </w:tcBorders>
            <w:shd w:val="clear" w:color="auto" w:fill="D9D9D9" w:themeFill="background1" w:themeFillShade="D9"/>
          </w:tcPr>
          <w:p w:rsidR="0017135D" w:rsidP="00F76873">
            <w:pPr>
              <w:pStyle w:val="CSbody0bold"/>
            </w:pPr>
            <w:r w:rsidRPr="0063500D">
              <w:t>Payments</w:t>
            </w:r>
          </w:p>
        </w:tc>
        <w:tc>
          <w:tcPr>
            <w:tcW w:w="1618" w:type="dxa"/>
            <w:gridSpan w:val="2"/>
            <w:tcBorders>
              <w:top w:val="nil"/>
              <w:left w:val="nil"/>
              <w:bottom w:val="nil"/>
              <w:right w:val="nil"/>
            </w:tcBorders>
            <w:shd w:val="clear" w:color="auto" w:fill="D9D9D9" w:themeFill="background1" w:themeFillShade="D9"/>
          </w:tcPr>
          <w:p w:rsidR="0017135D" w:rsidRPr="00186B6C" w:rsidP="00F76873">
            <w:pPr>
              <w:pStyle w:val="CSbody0bold"/>
            </w:pPr>
            <w:r w:rsidRPr="00186B6C">
              <w:t>Ziffer 7</w:t>
            </w:r>
          </w:p>
        </w:tc>
        <w:tc>
          <w:tcPr>
            <w:tcW w:w="3318" w:type="dxa"/>
            <w:tcBorders>
              <w:top w:val="nil"/>
              <w:left w:val="nil"/>
              <w:bottom w:val="nil"/>
              <w:right w:val="nil"/>
            </w:tcBorders>
            <w:shd w:val="clear" w:color="auto" w:fill="D9D9D9" w:themeFill="background1" w:themeFillShade="D9"/>
          </w:tcPr>
          <w:p w:rsidR="0017135D" w:rsidP="00F76873">
            <w:pPr>
              <w:pStyle w:val="CSbody0bold"/>
            </w:pPr>
            <w:r w:rsidRPr="00186B6C">
              <w:t>Zahlungen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60753" w:rsidP="00F76873">
            <w:pPr>
              <w:pStyle w:val="CSBody8pt"/>
            </w:pPr>
            <w:r w:rsidRPr="00792D61">
              <w:rPr>
                <w:b/>
              </w:rPr>
              <w:t>[</w:t>
            </w:r>
            <w:r w:rsidRPr="00D61418">
              <w:rPr>
                <w:b/>
                <w:i/>
              </w:rPr>
              <w:t>insert in case of Complex Products with FATCA clause:</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D61418">
              <w:rPr>
                <w:b/>
                <w:i/>
                <w:lang w:val="de-DE"/>
              </w:rPr>
              <w:t>bei Komplexen Produkten mit FATCA Regelung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60753" w:rsidP="00F76873">
            <w:pPr>
              <w:pStyle w:val="CSBody8pt"/>
            </w:pPr>
            <w:r w:rsidRPr="00A60753">
              <w:t xml:space="preserve">The payment of any amount in respect of the Complex Products shall be centralised with the Paying Agent and the Issuer undertakes to transfer the funds required for the servicing of the Complex Products on the relevant due dates freely disposable to the Paying Agent. </w:t>
            </w:r>
            <w:r w:rsidRPr="00792D61">
              <w:rPr>
                <w:b/>
              </w:rPr>
              <w:t>[</w:t>
            </w:r>
            <w:r w:rsidRPr="00A60753">
              <w:t>I</w:t>
            </w:r>
            <w:r w:rsidRPr="00D61418">
              <w:rPr>
                <w:b/>
                <w:i/>
              </w:rPr>
              <w:t>n the case of Complex Products that are not Credit-Linked Complex Products, insert:</w:t>
            </w:r>
            <w:r w:rsidRPr="00A60753">
              <w:t xml:space="preserve"> If such due date does not fall on a Business Day, the Issuer shall be obliged to effect transfer of such payments for value on the Business Day immediately following such due date.</w:t>
            </w:r>
            <w:r w:rsidRPr="00792D61">
              <w:rPr>
                <w:b/>
              </w:rPr>
              <w: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 xml:space="preserve">Zahlungen auf die Komplexen Produkte erfolgen zentral durch die Zahlstelle, wobei sich die Emittentin verpflichtet, die für die Bedienung der Komplexen Produkte erforderlichen Beträge zum jeweiligen Fälligkeitstag in frei verfügbaren Mitteln an die Zahlstelle zu überweisen. </w:t>
            </w:r>
            <w:r w:rsidRPr="00792D61">
              <w:rPr>
                <w:b/>
                <w:lang w:val="de-DE"/>
              </w:rPr>
              <w:t>[</w:t>
            </w:r>
            <w:r w:rsidRPr="00D61418">
              <w:rPr>
                <w:b/>
                <w:i/>
                <w:lang w:val="de-DE"/>
              </w:rPr>
              <w:t>In Bezug auf Komplexe Produkte, die keine Kreditbezogenen Komplexen Produkte sind, einfügen:</w:t>
            </w:r>
            <w:r w:rsidRPr="009D1540">
              <w:rPr>
                <w:lang w:val="de-DE"/>
              </w:rPr>
              <w:t xml:space="preserve"> Fällt ein solcher Fälligkeitstag auf einen Tag, der kein Geschäftstag ist, so ist die Emittentin verpflichtet, die betreffenden Beträge mit Wertstellung an dem unmittelbar auf den Fälligkeitstag folgenden Geschäftstag zu überweisen.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60753" w:rsidP="00F76873">
            <w:pPr>
              <w:pStyle w:val="CSBody8pt"/>
            </w:pPr>
            <w:r w:rsidRPr="00A60753">
              <w:t>The due and punctual receipt by the Paying Agent of the payments from the Issuer for the servicing of the Complex Products shall release the Issuer from its obligations under the Complex Products to the extent of such payments.</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Mit dem ordnungsgemässen und pünktlichen Eingang der Zahlungen der Emittentin bei der Zahlstelle für die Bedienung der Komplexen Produkte gelten die Verpflichtungen der Emittentin aus den Komplexen Produkten in Höhe dieser Zahlungen als erfüllt.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30E74" w:rsidP="00F76873">
            <w:pPr>
              <w:pStyle w:val="CSBody8pt"/>
            </w:pPr>
            <w:r w:rsidRPr="00F30E74">
              <w:t>Payments due on the Complex Products will be made without collection costs to the Holders and without any restrictions, whatever the circumstances may be, irrespective of nationality, domicile or residence of the Holders and without requiring any certification, affidavit or the fulfilment of any other formality.</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Auf die Komplexen Produkte fällige Zahlungen sind nicht mit Einzugskosten für die Inhaber verbunden und erfolgen ohne Einschränkung unter welchen Umständen auch immer, ungeachtet der Nationalität, des Sitzes oder der Ansässigkeit der Inhaber und ohne, dass es einer Bescheinigung, einer eidesstattlichen Versicherung oder der Erfüllung sonstiger Formvorschriften bedarf.</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30E74" w:rsidP="00904373">
            <w:pPr>
              <w:pStyle w:val="CSBody8pt"/>
            </w:pPr>
            <w:r w:rsidRPr="00F30E74">
              <w:t>All payments in relation to the Complex Products are subject to (i) any applicable fiscal or other laws, regulations and directives and (ii) any withholding or deduction required pursuant to (a) section 871(m) of the U.S. Internal Revenue Code of 1986 (the "</w:t>
            </w:r>
            <w:r w:rsidRPr="001F4DA4">
              <w:rPr>
                <w:b/>
              </w:rPr>
              <w:t>Code</w:t>
            </w:r>
            <w:r w:rsidRPr="00F30E74">
              <w:t>") or (b) an agreement described in Section 1471(b) of the Code or otherwise imposed pursuant to Sections 1471 through 1474 of the Code and any regulations or agreements thereunder or official interpretations thereof ("</w:t>
            </w:r>
            <w:r w:rsidRPr="001F4DA4">
              <w:rPr>
                <w:b/>
              </w:rPr>
              <w:t>FATCA</w:t>
            </w:r>
            <w:r w:rsidRPr="00F30E74">
              <w:t>") or an intergovernmental agreement between the United States and another jurisdiction facilitating the implementation thereof (or any law implementing such an intergovernmental agreement).</w:t>
            </w:r>
            <w:r w:rsidRPr="00792D61">
              <w:rPr>
                <w:b/>
              </w:rPr>
              <w:t>]</w:t>
            </w:r>
          </w:p>
        </w:tc>
        <w:tc>
          <w:tcPr>
            <w:tcW w:w="4936" w:type="dxa"/>
            <w:gridSpan w:val="3"/>
            <w:tcBorders>
              <w:top w:val="nil"/>
              <w:bottom w:val="nil"/>
              <w:right w:val="nil"/>
            </w:tcBorders>
            <w:shd w:val="clear" w:color="auto" w:fill="auto"/>
          </w:tcPr>
          <w:p w:rsidR="0017135D" w:rsidRPr="009D1540">
            <w:pPr>
              <w:pStyle w:val="CSBody8pt"/>
              <w:rPr>
                <w:lang w:val="de-DE"/>
              </w:rPr>
            </w:pPr>
            <w:r w:rsidRPr="009D1540">
              <w:rPr>
                <w:lang w:val="de-DE"/>
              </w:rPr>
              <w:t xml:space="preserve">Alle Zahlungen auf die Komplexen Produkte unterliegen (i) den geltenden steuerrechtlichen und sonstigen gesetzlichen Bestimmungen und Richtlinien und (ii) dem Einbehalt oder Abzug wie er gemäss (a) Section 871(m) des </w:t>
            </w:r>
            <w:r w:rsidRPr="00AE25C9" w:rsidR="00AE25C9">
              <w:rPr>
                <w:lang w:val="de-DE"/>
              </w:rPr>
              <w:t>U.S.-amerikanischen Steuergesetzes</w:t>
            </w:r>
            <w:r w:rsidRPr="00AE25C9" w:rsidR="00AE25C9">
              <w:rPr>
                <w:lang w:val="de-DE"/>
              </w:rPr>
              <w:t xml:space="preserve"> </w:t>
            </w:r>
            <w:r w:rsidRPr="009D1540">
              <w:rPr>
                <w:lang w:val="de-DE"/>
              </w:rPr>
              <w:t xml:space="preserve">(U.S. Internal Revenue Code </w:t>
            </w:r>
            <w:r w:rsidR="00AE25C9">
              <w:rPr>
                <w:lang w:val="de-DE"/>
              </w:rPr>
              <w:t>of</w:t>
            </w:r>
            <w:r w:rsidRPr="009D1540" w:rsidR="00AE25C9">
              <w:rPr>
                <w:lang w:val="de-DE"/>
              </w:rPr>
              <w:t xml:space="preserve"> </w:t>
            </w:r>
            <w:r w:rsidRPr="009D1540">
              <w:rPr>
                <w:lang w:val="de-DE"/>
              </w:rPr>
              <w:t>1986</w:t>
            </w:r>
            <w:r w:rsidR="00AE25C9">
              <w:rPr>
                <w:lang w:val="de-DE"/>
              </w:rPr>
              <w:t>)</w:t>
            </w:r>
            <w:r w:rsidRPr="009D1540">
              <w:rPr>
                <w:lang w:val="de-DE"/>
              </w:rPr>
              <w:t xml:space="preserve"> (das "</w:t>
            </w:r>
            <w:r w:rsidRPr="001F4DA4">
              <w:rPr>
                <w:b/>
                <w:lang w:val="de-DE"/>
              </w:rPr>
              <w:t>Steuergesetz</w:t>
            </w:r>
            <w:r w:rsidRPr="009D1540">
              <w:rPr>
                <w:lang w:val="de-DE"/>
              </w:rPr>
              <w:t>") oder (b) einer in Section 1471(b) des Steuergesetzes beschriebenen Vereinbarung oder aus einem anderen Grund gemäss Sections 1471 bis 1474 des Steuergesetzes und darauf basierenden Verordnungen oder Vereinbarungen oder amtlichen Auslegungen davon ("</w:t>
            </w:r>
            <w:r w:rsidRPr="001F4DA4">
              <w:rPr>
                <w:b/>
                <w:lang w:val="de-DE"/>
              </w:rPr>
              <w:t>FATCA</w:t>
            </w:r>
            <w:r w:rsidRPr="009D1540">
              <w:rPr>
                <w:lang w:val="de-DE"/>
              </w:rPr>
              <w:t>") oder gemäss einer zwischenstaatlichen Vereinbarung zwischen den Vereinigten Staaten und eines anderen Staates, welche der Umsetzung dieser Vereinbarung dient (oder eines Gesetzes zur Umsetzung dieser zwischenstaatlichen Vereinbarung) vorgesehen ist.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F4807" w:rsidP="00F76873">
            <w:pPr>
              <w:pStyle w:val="CSBody8pt"/>
            </w:pPr>
            <w:r w:rsidRPr="00792D61">
              <w:rPr>
                <w:b/>
              </w:rPr>
              <w:t>[</w:t>
            </w:r>
            <w:r w:rsidRPr="00D61418">
              <w:rPr>
                <w:b/>
                <w:i/>
              </w:rPr>
              <w:t>insert in case of Complex Products without FATCA clause:</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D61418">
              <w:rPr>
                <w:b/>
                <w:i/>
                <w:lang w:val="de-DE"/>
              </w:rPr>
              <w:t>bei Komplexen Produkten ohne FATCA Regelung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F4807" w:rsidP="00F76873">
            <w:pPr>
              <w:pStyle w:val="CSBody8pt"/>
            </w:pPr>
            <w:r w:rsidRPr="000F4807">
              <w:t>The payment of any amount in respect of the Complex Products shall be centralised with the Paying Agent and the Issuer undertakes to transfer the funds required for the servicing of the Complex Products on the relevant due dates freely disposable to the Paying Agent. If such due date does not fall on a Business Day, the Issuer shall be obliged to effect transfer of such payments for value on the Business Day immediately following such due date.</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Zahlungen auf die Komplexen Produkte erfolgen zentral durch die Zahlstelle, wobei sich die Emittentin verpflichtet, die für die Bedienung der Komplexen Produkte erforderlichen Beträge zum jeweiligen Fälligkeitstag in frei verfügbaren Mitteln an die Zahlstelle zu überweisen. Fällt ein solcher Fälligkeitstag auf einen Tag, der kein Geschäftstag ist, so ist die Emittentin verpflichtet, die betreffenden Beträge mit Wertstellung an dem unmittelbar auf den Fälligkeitstag folgenden Geschäftstag zu überweisen.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F4807" w:rsidP="00F76873">
            <w:pPr>
              <w:pStyle w:val="CSBody8pt"/>
            </w:pPr>
            <w:r w:rsidRPr="000F4807">
              <w:t>The due and punctual receipt by the Paying Agent of the payments from the Issuer for the servicing of the Complex Products shall release the Issuer from its obligations under the Complex Products to the extent of such payments.</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Mit dem ordnungsgemässen und pünktlichen Eingang der Zahlungen der Emittentin bei der Zahlstelle für die Bedienung der Komplexen Produkte gelten die Verpflichtungen der Emittentin aus den Komplexen Produkten in Höhe dieser Zahlungen als erfüllt.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B2667" w:rsidP="00F76873">
            <w:pPr>
              <w:pStyle w:val="CSBody8pt"/>
            </w:pPr>
            <w:r w:rsidRPr="00AB2667">
              <w:t>Payments due on the Complex Products will be made without collection costs to the Holders and without any restrictions, whatever the circumstances may be, irrespective of nationality, domicile or residence of the Holders and without requiring any certification, affidavit or the fulfilment of any other formality.</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Auf die Komplexen Produkte fällige Zahlungen sind nicht mit Einzugskosten für die Inhaber verbunden und erfolgen ohne Einschränkung unter welchen Umständen auch immer, ungeachtet der Nationalität, des Sitzes oder der Ansässigkeit der Inhaber und ohne, dass es einer Bescheinigung, einer eidesstattlichen Versicherung oder der Erfüllung sonstiger Formvorschriften bedarf.</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B2667" w:rsidP="00F76873">
            <w:pPr>
              <w:pStyle w:val="CSBody8pt"/>
            </w:pPr>
            <w:r w:rsidRPr="00AB2667">
              <w:t>All payments in relation to the Complex Products are subject to any applicable fiscal or other laws, regulations and directives.</w:t>
            </w:r>
            <w:r w:rsidRPr="00792D61">
              <w:rPr>
                <w:b/>
              </w:rPr>
              <w: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Alle Zahlungen auf die Komplexen Produkte unterliegen den geltenden steuerrechtlichen und sonstigen gesetzlichen Bestimmungen und Richtlinien.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7315C1" w:rsidP="00F76873">
            <w:pPr>
              <w:pStyle w:val="CSbody0bold"/>
            </w:pPr>
            <w:r w:rsidRPr="007315C1">
              <w:t>Section 8</w:t>
            </w:r>
          </w:p>
        </w:tc>
        <w:tc>
          <w:tcPr>
            <w:tcW w:w="3315" w:type="dxa"/>
            <w:gridSpan w:val="2"/>
            <w:tcBorders>
              <w:top w:val="nil"/>
              <w:left w:val="nil"/>
              <w:bottom w:val="nil"/>
              <w:right w:val="nil"/>
            </w:tcBorders>
            <w:shd w:val="clear" w:color="auto" w:fill="D9D9D9" w:themeFill="background1" w:themeFillShade="D9"/>
          </w:tcPr>
          <w:p w:rsidR="0017135D" w:rsidP="00F76873">
            <w:pPr>
              <w:pStyle w:val="CSbody0bold"/>
            </w:pPr>
            <w:r w:rsidRPr="007315C1">
              <w:t>Notices</w:t>
            </w:r>
          </w:p>
        </w:tc>
        <w:tc>
          <w:tcPr>
            <w:tcW w:w="1618" w:type="dxa"/>
            <w:gridSpan w:val="2"/>
            <w:tcBorders>
              <w:top w:val="nil"/>
              <w:left w:val="nil"/>
              <w:bottom w:val="nil"/>
              <w:right w:val="nil"/>
            </w:tcBorders>
            <w:shd w:val="clear" w:color="auto" w:fill="D9D9D9" w:themeFill="background1" w:themeFillShade="D9"/>
          </w:tcPr>
          <w:p w:rsidR="0017135D" w:rsidRPr="00B91FA4" w:rsidP="00F76873">
            <w:pPr>
              <w:pStyle w:val="CSbody0bold"/>
            </w:pPr>
            <w:r w:rsidRPr="00B91FA4">
              <w:t>Ziffer 8</w:t>
            </w:r>
          </w:p>
        </w:tc>
        <w:tc>
          <w:tcPr>
            <w:tcW w:w="3318" w:type="dxa"/>
            <w:tcBorders>
              <w:top w:val="nil"/>
              <w:left w:val="nil"/>
              <w:bottom w:val="nil"/>
              <w:right w:val="nil"/>
            </w:tcBorders>
            <w:shd w:val="clear" w:color="auto" w:fill="D9D9D9" w:themeFill="background1" w:themeFillShade="D9"/>
          </w:tcPr>
          <w:p w:rsidR="0017135D" w:rsidP="00F76873">
            <w:pPr>
              <w:pStyle w:val="CSbody0bold"/>
            </w:pPr>
            <w:r w:rsidRPr="00B91FA4">
              <w:t>Mitteilungen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3019F" w:rsidP="00F76873">
            <w:pPr>
              <w:pStyle w:val="CSBody8pt"/>
            </w:pPr>
            <w:r w:rsidRPr="00792D61">
              <w:rPr>
                <w:b/>
              </w:rPr>
              <w:t>[</w:t>
            </w:r>
            <w:r w:rsidRPr="0093019F">
              <w:t xml:space="preserve">Notices to the Holders in relation to the Complex Products shall be valid and binding if published on </w:t>
            </w:r>
            <w:r w:rsidRPr="001F4DA4">
              <w:rPr>
                <w:b/>
                <w:color w:val="7898B3"/>
              </w:rPr>
              <w:t>www.credit-suisse.com/derivatives</w:t>
            </w:r>
            <w:r w:rsidRPr="0093019F">
              <w:t>, except that for Holders known to the Issuer, the Issuer may transmit such notices directly to the Holders.</w:t>
            </w:r>
            <w:r w:rsidRPr="00792D61">
              <w:rPr>
                <w:b/>
              </w:rPr>
              <w:t>]</w:t>
            </w:r>
            <w:r w:rsidRPr="0093019F">
              <w:t xml:space="preserve"> </w:t>
            </w:r>
            <w:r w:rsidRPr="00792D61">
              <w:rPr>
                <w:b/>
              </w:rPr>
              <w:t>[</w:t>
            </w:r>
            <w:r w:rsidRPr="001F4DA4">
              <w:rPr>
                <w:b/>
                <w:i/>
              </w:rPr>
              <w:t>In the case of Complex Products listed on the SIX Swiss Exchange:</w:t>
            </w:r>
            <w:r w:rsidRPr="0093019F">
              <w:t xml:space="preserve"> All notices to the Holders shall be valid and binding if (i) published by the Issuer on the website of the SIX Swiss Exchange Ltd (</w:t>
            </w:r>
            <w:r w:rsidRPr="001F4DA4">
              <w:rPr>
                <w:b/>
                <w:color w:val="7898B3"/>
              </w:rPr>
              <w:t>www.six-swiss-exchange.com</w:t>
            </w:r>
            <w:r w:rsidRPr="0093019F">
              <w:t xml:space="preserve">), where notices are currently published under the address </w:t>
            </w:r>
            <w:r w:rsidRPr="001F4DA4">
              <w:rPr>
                <w:b/>
                <w:color w:val="7898B3"/>
              </w:rPr>
              <w:t>www.six-swiss-exchange.com/ news/official_notices/search_en.html</w:t>
            </w:r>
            <w:r w:rsidRPr="0093019F">
              <w:t>, or (ii) otherwise published in accordance with the regulations of the SIX Swiss Exchange Ltd.</w:t>
            </w:r>
            <w:r w:rsidRPr="00792D61">
              <w:rPr>
                <w:b/>
              </w:rPr>
              <w:t>]</w:t>
            </w:r>
            <w:r w:rsidRPr="0093019F">
              <w:t xml:space="preserve"> </w:t>
            </w:r>
            <w:r w:rsidRPr="00792D61">
              <w:rPr>
                <w:b/>
              </w:rPr>
              <w:t>[</w:t>
            </w:r>
            <w:r w:rsidRPr="001F4DA4">
              <w:rPr>
                <w:b/>
                <w:i/>
              </w:rPr>
              <w:t>in the case of Complex Products to be offered or listed on a regulated market, in Germany:</w:t>
            </w:r>
            <w:r w:rsidRPr="0093019F">
              <w:t xml:space="preserve"> In addition, any publication required by German law will be made in the German electronic federal gazette (elektronischer Bundesanzeiger) and, if required by law, in a newspaper authorised by a stock exchange (Börsenpflichtblatt).</w:t>
            </w:r>
            <w:r w:rsidRPr="00792D61">
              <w:rPr>
                <w:b/>
              </w:rPr>
              <w: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9D1540">
              <w:rPr>
                <w:lang w:val="de-DE"/>
              </w:rPr>
              <w:t xml:space="preserve">Mitteilungen an die Inhaber in Bezug auf die Komplexen Produkte sind wirksam und verbindlich, wenn sie im Internet unter </w:t>
            </w:r>
            <w:r w:rsidRPr="001F4DA4">
              <w:rPr>
                <w:b/>
                <w:color w:val="7898B3"/>
                <w:lang w:val="de-DE"/>
              </w:rPr>
              <w:t>www.credit-suisse.com/derivatives</w:t>
            </w:r>
            <w:r w:rsidRPr="009D1540">
              <w:rPr>
                <w:lang w:val="de-DE"/>
              </w:rPr>
              <w:t xml:space="preserve"> veröffentlicht wurden, jedoch mit der Ausnahme, dass Mitteilungen an der Emittentin bekannte Inhaber von der Emittentin direkt an diese übermittelt werden können.</w:t>
            </w:r>
            <w:r w:rsidRPr="00792D61">
              <w:rPr>
                <w:b/>
                <w:lang w:val="de-DE"/>
              </w:rPr>
              <w:t>]</w:t>
            </w:r>
            <w:r w:rsidRPr="009D1540">
              <w:rPr>
                <w:lang w:val="de-DE"/>
              </w:rPr>
              <w:t xml:space="preserve"> </w:t>
            </w:r>
            <w:r w:rsidRPr="00792D61">
              <w:rPr>
                <w:b/>
                <w:lang w:val="de-DE"/>
              </w:rPr>
              <w:t>[</w:t>
            </w:r>
            <w:r w:rsidRPr="001F4DA4">
              <w:rPr>
                <w:b/>
                <w:i/>
                <w:lang w:val="de-DE"/>
              </w:rPr>
              <w:t>Bei Komplexen Produkten, die an der SIX Swiss Exchange notiert sind:</w:t>
            </w:r>
            <w:r w:rsidRPr="009D1540">
              <w:rPr>
                <w:lang w:val="de-DE"/>
              </w:rPr>
              <w:t xml:space="preserve"> Sämtliche Mitteilungen an die Inhaber sind wirksam und verbindlich, wenn sie (i) von der Emittentin auf der Website der SIX Swiss Exchange AG (</w:t>
            </w:r>
            <w:r w:rsidRPr="001F4DA4">
              <w:rPr>
                <w:b/>
                <w:color w:val="7898B3"/>
                <w:lang w:val="de-DE"/>
              </w:rPr>
              <w:t>www.six-swiss-exchange.com</w:t>
            </w:r>
            <w:r w:rsidRPr="009D1540">
              <w:rPr>
                <w:lang w:val="de-DE"/>
              </w:rPr>
              <w:t xml:space="preserve">), auf der Mitteilungen derzeit unter </w:t>
            </w:r>
            <w:r w:rsidRPr="001F4DA4">
              <w:rPr>
                <w:b/>
                <w:color w:val="7898B3"/>
                <w:lang w:val="de-DE"/>
              </w:rPr>
              <w:t>www.six-swiss-exchange.com/news/official_notices/search_en.html</w:t>
            </w:r>
            <w:r w:rsidRPr="009D1540">
              <w:rPr>
                <w:lang w:val="de-DE"/>
              </w:rPr>
              <w:t>, oder (ii) in allen anderen Fällen gemäss den Bestimmungen der SIX Swiss Exchange AG veröffentlicht wurden.</w:t>
            </w:r>
            <w:r w:rsidRPr="00792D61">
              <w:rPr>
                <w:b/>
                <w:lang w:val="de-DE"/>
              </w:rPr>
              <w:t>]</w:t>
            </w:r>
            <w:r w:rsidRPr="009D1540">
              <w:rPr>
                <w:lang w:val="de-DE"/>
              </w:rPr>
              <w:t xml:space="preserve"> </w:t>
            </w:r>
            <w:r w:rsidRPr="00792D61">
              <w:rPr>
                <w:b/>
                <w:lang w:val="de-DE"/>
              </w:rPr>
              <w:t>[</w:t>
            </w:r>
            <w:r w:rsidRPr="001F4DA4">
              <w:rPr>
                <w:b/>
                <w:i/>
                <w:lang w:val="de-DE"/>
              </w:rPr>
              <w:t>Bei Komplexen Produkten, die in Deutschland angeboten oder an einem geregelten Markt in Deutschland notiert werden sollen:</w:t>
            </w:r>
            <w:r w:rsidRPr="009D1540">
              <w:rPr>
                <w:lang w:val="de-DE"/>
              </w:rPr>
              <w:t xml:space="preserve"> Ferner erfolgen sämtliche nach deutschem Recht erforderlichen Veröffentlichungen im elektronischen Bundesanzeiger sowie, falls gesetzlich vorgeschrieben, in einem Börsenpflichtblatt.</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0F7384" w:rsidP="00F76873">
            <w:pPr>
              <w:pStyle w:val="CSbody0bold"/>
            </w:pPr>
            <w:r w:rsidRPr="000F7384">
              <w:t>Section 9</w:t>
            </w:r>
          </w:p>
        </w:tc>
        <w:tc>
          <w:tcPr>
            <w:tcW w:w="3315" w:type="dxa"/>
            <w:gridSpan w:val="2"/>
            <w:tcBorders>
              <w:top w:val="nil"/>
              <w:left w:val="nil"/>
              <w:bottom w:val="nil"/>
              <w:right w:val="nil"/>
            </w:tcBorders>
            <w:shd w:val="clear" w:color="auto" w:fill="D9D9D9" w:themeFill="background1" w:themeFillShade="D9"/>
          </w:tcPr>
          <w:p w:rsidR="0017135D" w:rsidP="00F76873">
            <w:pPr>
              <w:pStyle w:val="CSbody0bold"/>
            </w:pPr>
            <w:r w:rsidRPr="000F7384">
              <w:t>Form</w:t>
            </w:r>
          </w:p>
        </w:tc>
        <w:tc>
          <w:tcPr>
            <w:tcW w:w="1618" w:type="dxa"/>
            <w:gridSpan w:val="2"/>
            <w:tcBorders>
              <w:top w:val="nil"/>
              <w:left w:val="nil"/>
              <w:bottom w:val="nil"/>
              <w:right w:val="nil"/>
            </w:tcBorders>
            <w:shd w:val="clear" w:color="auto" w:fill="D9D9D9" w:themeFill="background1" w:themeFillShade="D9"/>
          </w:tcPr>
          <w:p w:rsidR="0017135D" w:rsidRPr="00FA2668" w:rsidP="00F76873">
            <w:pPr>
              <w:pStyle w:val="CSbody0bold"/>
            </w:pPr>
            <w:r w:rsidRPr="00FA2668">
              <w:t>Ziffer 9</w:t>
            </w:r>
          </w:p>
        </w:tc>
        <w:tc>
          <w:tcPr>
            <w:tcW w:w="3318" w:type="dxa"/>
            <w:tcBorders>
              <w:top w:val="nil"/>
              <w:left w:val="nil"/>
              <w:bottom w:val="nil"/>
              <w:right w:val="nil"/>
            </w:tcBorders>
            <w:shd w:val="clear" w:color="auto" w:fill="D9D9D9" w:themeFill="background1" w:themeFillShade="D9"/>
          </w:tcPr>
          <w:p w:rsidR="0017135D" w:rsidP="00F76873">
            <w:pPr>
              <w:pStyle w:val="CSbody0bold"/>
            </w:pPr>
            <w:r w:rsidRPr="00FA2668">
              <w:t>Verbriefung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622A0" w:rsidP="00F76873">
            <w:pPr>
              <w:pStyle w:val="CSBody8pt"/>
            </w:pPr>
            <w:r w:rsidRPr="00792D61">
              <w:rPr>
                <w:b/>
              </w:rPr>
              <w:t>[</w:t>
            </w:r>
            <w:r w:rsidRPr="00F622A0">
              <w:t>The Complex Products are issued in bearer form ("</w:t>
            </w:r>
            <w:r w:rsidRPr="001F4DA4">
              <w:rPr>
                <w:b/>
              </w:rPr>
              <w:t>Bearer Securities</w:t>
            </w:r>
            <w:r w:rsidRPr="00F622A0">
              <w:t>")</w:t>
            </w:r>
            <w:r w:rsidRPr="00792D61">
              <w:rPr>
                <w:b/>
              </w:rPr>
              <w:t>]</w:t>
            </w:r>
            <w:r w:rsidRPr="00F622A0">
              <w:t xml:space="preserve"> </w:t>
            </w:r>
            <w:r w:rsidRPr="00792D61">
              <w:rPr>
                <w:b/>
              </w:rPr>
              <w:t>[</w:t>
            </w:r>
            <w:r w:rsidRPr="00F622A0">
              <w:t>The Complex Products are issued in uncertificated form in accordance with art. 973c of the Swiss Code of Obligations as uncertificated securities (Wertrechte), which uncertificated securities shall be registered with SIS or any other relevant clearing system as intermediated securities (Bucheffekten) ("</w:t>
            </w:r>
            <w:r w:rsidRPr="00D61418">
              <w:rPr>
                <w:b/>
              </w:rPr>
              <w:t>Intermediated Securities</w:t>
            </w:r>
            <w:r w:rsidRPr="00F622A0">
              <w:t>")</w:t>
            </w:r>
            <w:r w:rsidRPr="00792D61">
              <w:rPr>
                <w:b/>
              </w:rPr>
              <w:t>]</w:t>
            </w:r>
            <w:r w:rsidRPr="00F622A0">
              <w: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9D1540">
              <w:rPr>
                <w:lang w:val="de-DE"/>
              </w:rPr>
              <w:t>Die Komplexen Produkte werden als auf den Inhaber lautende Wertpapiere begeben ("</w:t>
            </w:r>
            <w:r w:rsidRPr="001F4DA4">
              <w:rPr>
                <w:b/>
                <w:lang w:val="de-DE"/>
              </w:rPr>
              <w:t>Inhaberpapiere</w:t>
            </w:r>
            <w:r w:rsidRPr="009D1540">
              <w:rPr>
                <w:lang w:val="de-DE"/>
              </w:rPr>
              <w:t>")</w:t>
            </w:r>
            <w:r w:rsidRPr="00792D61">
              <w:rPr>
                <w:b/>
                <w:lang w:val="de-DE"/>
              </w:rPr>
              <w:t>]</w:t>
            </w:r>
            <w:r w:rsidRPr="009D1540">
              <w:rPr>
                <w:lang w:val="de-DE"/>
              </w:rPr>
              <w:t xml:space="preserve"> </w:t>
            </w:r>
            <w:r w:rsidRPr="00792D61">
              <w:rPr>
                <w:b/>
                <w:lang w:val="de-DE"/>
              </w:rPr>
              <w:t>[</w:t>
            </w:r>
            <w:r w:rsidRPr="009D1540">
              <w:rPr>
                <w:lang w:val="de-DE"/>
              </w:rPr>
              <w:t>Die Komplexen Produkte werden in unverbriefter Form nach Massgabe von Art. 973c des Schweizerischen Obligationenrechts als Wertrechte begeben, die bei der SIS oder einem anderen massgeblichen Clearingsystem als Bucheffekten registriert werden ("</w:t>
            </w:r>
            <w:r w:rsidRPr="00D61418">
              <w:rPr>
                <w:b/>
                <w:lang w:val="de-DE"/>
              </w:rPr>
              <w:t>Bucheffekten</w:t>
            </w:r>
            <w:r w:rsidRPr="009D1540">
              <w:rPr>
                <w:lang w:val="de-DE"/>
              </w:rPr>
              <w:t>")</w:t>
            </w:r>
            <w:r w:rsidRPr="00792D61">
              <w:rPr>
                <w:b/>
                <w:lang w:val="de-DE"/>
              </w:rPr>
              <w:t>]</w:t>
            </w:r>
            <w:r w:rsidRPr="009D1540">
              <w:rPr>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622A0" w:rsidP="00F76873">
            <w:pPr>
              <w:pStyle w:val="CSBody8pt"/>
            </w:pPr>
            <w:r w:rsidRPr="00792D61">
              <w:rPr>
                <w:b/>
              </w:rPr>
              <w:t>[</w:t>
            </w:r>
            <w:r w:rsidRPr="00D61418">
              <w:rPr>
                <w:b/>
                <w:i/>
              </w:rPr>
              <w:t>In the case of Bearer Securities insert the following:</w:t>
            </w:r>
            <w:r w:rsidRPr="00F622A0">
              <w:t xml:space="preserve"> The Issuer shall execute a permanent global certificate ("</w:t>
            </w:r>
            <w:r w:rsidRPr="00D61418">
              <w:rPr>
                <w:b/>
              </w:rPr>
              <w:t>Permanent Global Certificate</w:t>
            </w:r>
            <w:r w:rsidRPr="00F622A0">
              <w:t xml:space="preserve">") representing the whole issue of the Complex Products, and the Paying Agent shall deposit the Permanent Global Certificate with </w:t>
            </w:r>
            <w:r w:rsidRPr="00792D61">
              <w:rPr>
                <w:b/>
              </w:rPr>
              <w:t>[</w:t>
            </w:r>
            <w:r w:rsidRPr="00F622A0">
              <w:t>a common depositary for</w:t>
            </w:r>
            <w:r w:rsidRPr="00792D61">
              <w:rPr>
                <w:b/>
              </w:rPr>
              <w:t>]</w:t>
            </w:r>
            <w:r w:rsidRPr="00F622A0">
              <w:t xml:space="preserve"> </w:t>
            </w:r>
            <w:r w:rsidRPr="00792D61">
              <w:rPr>
                <w:b/>
              </w:rPr>
              <w:t>[</w:t>
            </w:r>
            <w:r w:rsidRPr="00F622A0">
              <w:t>Clearstream Frankfurt</w:t>
            </w:r>
            <w:r w:rsidRPr="00792D61">
              <w:rPr>
                <w:b/>
              </w:rPr>
              <w:t>][</w:t>
            </w:r>
            <w:r w:rsidRPr="00F622A0">
              <w:t>Clearstream Luxembourg</w:t>
            </w:r>
            <w:r w:rsidRPr="00792D61">
              <w:rPr>
                <w:b/>
              </w:rPr>
              <w:t>][</w:t>
            </w:r>
            <w:r w:rsidRPr="00F622A0">
              <w:t>Euroclear</w:t>
            </w:r>
            <w:r w:rsidRPr="00792D61">
              <w:rPr>
                <w:b/>
              </w:rPr>
              <w:t>]</w:t>
            </w:r>
            <w:r w:rsidRPr="00F622A0">
              <w:t xml:space="preserve">, where, subject to the last two paragraphs of this Section 9, the Complex Products shall be registered and remain recorded </w:t>
            </w:r>
            <w:r w:rsidRPr="00792D61">
              <w:rPr>
                <w:b/>
              </w:rPr>
              <w:t>[</w:t>
            </w:r>
            <w:r w:rsidRPr="00F622A0">
              <w:t>for their entire lifetime</w:t>
            </w:r>
            <w:r w:rsidRPr="00792D61">
              <w:rPr>
                <w:b/>
              </w:rPr>
              <w:t>][</w:t>
            </w:r>
            <w:r w:rsidRPr="00F622A0">
              <w:t>until the earlier of redemption or printing of the Complex Products</w:t>
            </w:r>
            <w:r w:rsidRPr="00792D61">
              <w:rPr>
                <w:b/>
              </w:rPr>
              <w:t>]</w:t>
            </w:r>
            <w:r w:rsidRPr="00F622A0">
              <w:t xml:space="preserve">. </w:t>
            </w:r>
            <w:r w:rsidRPr="00792D61">
              <w:rPr>
                <w:b/>
              </w:rPr>
              <w:t>[</w:t>
            </w:r>
            <w:r w:rsidRPr="00F622A0">
              <w:t>A common depositary for</w:t>
            </w:r>
            <w:r w:rsidRPr="00792D61">
              <w:rPr>
                <w:b/>
              </w:rPr>
              <w:t>]</w:t>
            </w:r>
            <w:r w:rsidRPr="00F622A0">
              <w:t xml:space="preserve"> </w:t>
            </w:r>
            <w:r w:rsidRPr="00792D61">
              <w:rPr>
                <w:b/>
              </w:rPr>
              <w:t>[</w:t>
            </w:r>
            <w:r w:rsidRPr="00F622A0">
              <w:t>Clearstream Frankfurt</w:t>
            </w:r>
            <w:r w:rsidRPr="00792D61">
              <w:rPr>
                <w:b/>
              </w:rPr>
              <w:t>][</w:t>
            </w:r>
            <w:r w:rsidRPr="00F622A0">
              <w:t>Clearstream Luxembourg</w:t>
            </w:r>
            <w:r w:rsidRPr="00792D61">
              <w:rPr>
                <w:b/>
              </w:rPr>
              <w:t>][</w:t>
            </w:r>
            <w:r w:rsidRPr="00F622A0">
              <w:t>Euroclear</w:t>
            </w:r>
            <w:r w:rsidRPr="00792D61">
              <w:rPr>
                <w:b/>
              </w:rPr>
              <w:t>]</w:t>
            </w:r>
            <w:r w:rsidRPr="00F622A0">
              <w:t xml:space="preserve"> shall maintain a </w:t>
            </w:r>
            <w:r w:rsidRPr="00792D61">
              <w:rPr>
                <w:b/>
              </w:rPr>
              <w:t>[</w:t>
            </w:r>
            <w:r w:rsidRPr="00F622A0">
              <w:t>a register</w:t>
            </w:r>
            <w:r w:rsidRPr="00792D61">
              <w:rPr>
                <w:b/>
              </w:rPr>
              <w:t>][</w:t>
            </w:r>
            <w:r w:rsidRPr="00F622A0">
              <w:t>a record</w:t>
            </w:r>
            <w:r w:rsidRPr="00792D61">
              <w:rPr>
                <w:b/>
              </w:rPr>
              <w:t>]</w:t>
            </w:r>
            <w:r w:rsidRPr="00F622A0">
              <w:t xml:space="preserve"> of all Complex Products for the Issuer.</w:t>
            </w:r>
          </w:p>
        </w:tc>
        <w:tc>
          <w:tcPr>
            <w:tcW w:w="4936" w:type="dxa"/>
            <w:gridSpan w:val="3"/>
            <w:tcBorders>
              <w:top w:val="nil"/>
              <w:bottom w:val="nil"/>
              <w:right w:val="nil"/>
            </w:tcBorders>
            <w:shd w:val="clear" w:color="auto" w:fill="auto"/>
          </w:tcPr>
          <w:p w:rsidR="0017135D" w:rsidRPr="009D1540">
            <w:pPr>
              <w:pStyle w:val="CSBody8pt"/>
              <w:rPr>
                <w:lang w:val="de-DE"/>
              </w:rPr>
            </w:pPr>
            <w:r w:rsidRPr="00792D61">
              <w:rPr>
                <w:b/>
                <w:lang w:val="de-DE"/>
              </w:rPr>
              <w:t>[</w:t>
            </w:r>
            <w:r w:rsidRPr="00D61418">
              <w:rPr>
                <w:b/>
                <w:i/>
                <w:lang w:val="de-DE"/>
              </w:rPr>
              <w:t>Bei Inhaberpapieren Folgendes einfügen:</w:t>
            </w:r>
            <w:r w:rsidRPr="009D1540">
              <w:rPr>
                <w:lang w:val="de-DE"/>
              </w:rPr>
              <w:t xml:space="preserve"> Die Emittentin wird eine die gesamte Emission der Komplexen Produkte verbriefende Dauerglobalurkunde ("</w:t>
            </w:r>
            <w:r w:rsidRPr="00D61418">
              <w:rPr>
                <w:b/>
                <w:lang w:val="de-DE"/>
              </w:rPr>
              <w:t>Dauerglobalurkunde</w:t>
            </w:r>
            <w:r w:rsidRPr="009D1540">
              <w:rPr>
                <w:lang w:val="de-DE"/>
              </w:rPr>
              <w:t xml:space="preserve">") ausstellen, die von der Zahlstelle bei </w:t>
            </w:r>
            <w:r w:rsidRPr="00792D61">
              <w:rPr>
                <w:b/>
                <w:lang w:val="de-DE"/>
              </w:rPr>
              <w:t>[</w:t>
            </w:r>
            <w:r w:rsidRPr="009D1540">
              <w:rPr>
                <w:lang w:val="de-DE"/>
              </w:rPr>
              <w:t>einer gemeinsamen Verwahrstelle für</w:t>
            </w:r>
            <w:r w:rsidRPr="00792D61">
              <w:rPr>
                <w:b/>
                <w:lang w:val="de-DE"/>
              </w:rPr>
              <w:t>]</w:t>
            </w:r>
            <w:r w:rsidRPr="009D1540">
              <w:rPr>
                <w:lang w:val="de-DE"/>
              </w:rPr>
              <w:t xml:space="preserve"> </w:t>
            </w:r>
            <w:r w:rsidRPr="00792D61">
              <w:rPr>
                <w:b/>
                <w:lang w:val="de-DE"/>
              </w:rPr>
              <w:t>[</w:t>
            </w:r>
            <w:r w:rsidRPr="009D1540">
              <w:rPr>
                <w:lang w:val="de-DE"/>
              </w:rPr>
              <w:t>Clearstream Frankfurt</w:t>
            </w:r>
            <w:r w:rsidRPr="00792D61">
              <w:rPr>
                <w:b/>
                <w:lang w:val="de-DE"/>
              </w:rPr>
              <w:t>][</w:t>
            </w:r>
            <w:r w:rsidRPr="009D1540">
              <w:rPr>
                <w:lang w:val="de-DE"/>
              </w:rPr>
              <w:t>Clearstream Luxemburg</w:t>
            </w:r>
            <w:r w:rsidRPr="00792D61">
              <w:rPr>
                <w:b/>
                <w:lang w:val="de-DE"/>
              </w:rPr>
              <w:t>][</w:t>
            </w:r>
            <w:r w:rsidRPr="009D1540">
              <w:rPr>
                <w:lang w:val="de-DE"/>
              </w:rPr>
              <w:t>Euroclear</w:t>
            </w:r>
            <w:r w:rsidRPr="00792D61">
              <w:rPr>
                <w:b/>
                <w:lang w:val="de-DE"/>
              </w:rPr>
              <w:t>]</w:t>
            </w:r>
            <w:r w:rsidRPr="009D1540">
              <w:rPr>
                <w:lang w:val="de-DE"/>
              </w:rPr>
              <w:t xml:space="preserve"> hinterlegt wird, bei der die Komplexen Produkte vorbehaltlich der letzten beiden Absätze dieser Ziffer </w:t>
            </w:r>
            <w:r w:rsidR="00AE25C9">
              <w:rPr>
                <w:lang w:val="de-DE"/>
              </w:rPr>
              <w:t>9</w:t>
            </w:r>
            <w:r w:rsidRPr="009D1540" w:rsidR="00AE25C9">
              <w:rPr>
                <w:lang w:val="de-DE"/>
              </w:rPr>
              <w:t xml:space="preserve"> </w:t>
            </w:r>
            <w:r w:rsidRPr="009D1540">
              <w:rPr>
                <w:lang w:val="de-DE"/>
              </w:rPr>
              <w:t xml:space="preserve">registriert werden und </w:t>
            </w:r>
            <w:r w:rsidRPr="00792D61">
              <w:rPr>
                <w:b/>
                <w:lang w:val="de-DE"/>
              </w:rPr>
              <w:t>[</w:t>
            </w:r>
            <w:r w:rsidRPr="009D1540">
              <w:rPr>
                <w:lang w:val="de-DE"/>
              </w:rPr>
              <w:t>während ihrer gesamten Laufzeit</w:t>
            </w:r>
            <w:r w:rsidRPr="00792D61">
              <w:rPr>
                <w:b/>
                <w:lang w:val="de-DE"/>
              </w:rPr>
              <w:t>][</w:t>
            </w:r>
            <w:r w:rsidRPr="009D1540">
              <w:rPr>
                <w:lang w:val="de-DE"/>
              </w:rPr>
              <w:t>bis zum jeweils früheren Zeitpunkt der Rückzahlung oder des Drucks der Komplexen Produkte</w:t>
            </w:r>
            <w:r w:rsidRPr="00792D61">
              <w:rPr>
                <w:b/>
                <w:lang w:val="de-DE"/>
              </w:rPr>
              <w:t>]</w:t>
            </w:r>
            <w:r w:rsidRPr="009D1540">
              <w:rPr>
                <w:lang w:val="de-DE"/>
              </w:rPr>
              <w:t xml:space="preserve"> verzeichnet bleiben. </w:t>
            </w:r>
            <w:r w:rsidRPr="00792D61">
              <w:rPr>
                <w:b/>
                <w:lang w:val="de-DE"/>
              </w:rPr>
              <w:t>[</w:t>
            </w:r>
            <w:r w:rsidRPr="009D1540">
              <w:rPr>
                <w:lang w:val="de-DE"/>
              </w:rPr>
              <w:t>Eine gemeinsame Verwahrstelle für</w:t>
            </w:r>
            <w:r w:rsidRPr="00792D61">
              <w:rPr>
                <w:b/>
                <w:lang w:val="de-DE"/>
              </w:rPr>
              <w:t>]</w:t>
            </w:r>
            <w:r w:rsidRPr="009D1540">
              <w:rPr>
                <w:lang w:val="de-DE"/>
              </w:rPr>
              <w:t xml:space="preserve"> </w:t>
            </w:r>
            <w:r w:rsidRPr="00792D61">
              <w:rPr>
                <w:b/>
                <w:lang w:val="de-DE"/>
              </w:rPr>
              <w:t>[</w:t>
            </w:r>
            <w:r w:rsidRPr="009D1540">
              <w:rPr>
                <w:lang w:val="de-DE"/>
              </w:rPr>
              <w:t>Clearstream Frankfurt</w:t>
            </w:r>
            <w:r w:rsidRPr="00792D61">
              <w:rPr>
                <w:b/>
                <w:lang w:val="de-DE"/>
              </w:rPr>
              <w:t>][</w:t>
            </w:r>
            <w:r w:rsidRPr="009D1540">
              <w:rPr>
                <w:lang w:val="de-DE"/>
              </w:rPr>
              <w:t>Clearstream Luxembourg</w:t>
            </w:r>
            <w:r w:rsidRPr="00792D61">
              <w:rPr>
                <w:b/>
                <w:lang w:val="de-DE"/>
              </w:rPr>
              <w:t>][</w:t>
            </w:r>
            <w:r w:rsidRPr="009D1540">
              <w:rPr>
                <w:lang w:val="de-DE"/>
              </w:rPr>
              <w:t>Euroclear</w:t>
            </w:r>
            <w:r w:rsidRPr="00792D61">
              <w:rPr>
                <w:b/>
                <w:lang w:val="de-DE"/>
              </w:rPr>
              <w:t>]</w:t>
            </w:r>
            <w:r w:rsidRPr="009D1540">
              <w:rPr>
                <w:lang w:val="de-DE"/>
              </w:rPr>
              <w:t xml:space="preserve"> wird für die Emittentin </w:t>
            </w:r>
            <w:r w:rsidRPr="00792D61">
              <w:rPr>
                <w:b/>
                <w:lang w:val="de-DE"/>
              </w:rPr>
              <w:t>[</w:t>
            </w:r>
            <w:r w:rsidRPr="009D1540">
              <w:rPr>
                <w:lang w:val="de-DE"/>
              </w:rPr>
              <w:t>ein Register</w:t>
            </w:r>
            <w:r w:rsidRPr="00792D61">
              <w:rPr>
                <w:b/>
                <w:lang w:val="de-DE"/>
              </w:rPr>
              <w:t>][</w:t>
            </w:r>
            <w:r w:rsidRPr="009D1540">
              <w:rPr>
                <w:lang w:val="de-DE"/>
              </w:rPr>
              <w:t>ein Verzeichnis</w:t>
            </w:r>
            <w:r w:rsidRPr="00792D61">
              <w:rPr>
                <w:b/>
                <w:lang w:val="de-DE"/>
              </w:rPr>
              <w:t>]</w:t>
            </w:r>
            <w:r w:rsidRPr="009D1540">
              <w:rPr>
                <w:lang w:val="de-DE"/>
              </w:rPr>
              <w:t xml:space="preserve"> sämtlicher Komplexer Produkte führen.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96238" w:rsidP="00F76873">
            <w:pPr>
              <w:pStyle w:val="CSBody8pt"/>
            </w:pPr>
            <w:r w:rsidRPr="00C96238">
              <w:t xml:space="preserve">The Holders are entitled to co-ownership interests, beneficial interests or other comparable rights in the Permanent Global Certificate, which may be transferred or otherwise disposed of in accordance with the rules and regulations of </w:t>
            </w:r>
            <w:r w:rsidRPr="00792D61">
              <w:rPr>
                <w:b/>
              </w:rPr>
              <w:t>[</w:t>
            </w:r>
            <w:r w:rsidRPr="00C96238">
              <w:t>Clearstream Frankfurt</w:t>
            </w:r>
            <w:r w:rsidRPr="00792D61">
              <w:rPr>
                <w:b/>
              </w:rPr>
              <w:t>][</w:t>
            </w:r>
            <w:r w:rsidRPr="00C96238">
              <w:t>Clearstream Luxembourg</w:t>
            </w:r>
            <w:r w:rsidRPr="00792D61">
              <w:rPr>
                <w:b/>
              </w:rPr>
              <w:t>][</w:t>
            </w:r>
            <w:r w:rsidRPr="00C96238">
              <w:t>Euroclear</w:t>
            </w:r>
            <w:r w:rsidRPr="00792D61">
              <w:rPr>
                <w:b/>
              </w:rPr>
              <w:t>]</w:t>
            </w:r>
            <w:r w:rsidRPr="00C96238">
              <w:t xml:space="preserve"> and in accordance with all applicable laws.</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 xml:space="preserve">Den Inhabern stehen Miteigentumsanteile, wirtschaftliche Eigentumsrechte oder sonstige vergleichbare Rechte an der Dauerglobalurkunde zu, die nach Massgabe der Regeln und Vorschriften von </w:t>
            </w:r>
            <w:r w:rsidRPr="00792D61">
              <w:rPr>
                <w:b/>
                <w:lang w:val="de-DE"/>
              </w:rPr>
              <w:t>[</w:t>
            </w:r>
            <w:r w:rsidRPr="009D1540">
              <w:rPr>
                <w:lang w:val="de-DE"/>
              </w:rPr>
              <w:t>Clearstream Frankfurt</w:t>
            </w:r>
            <w:r w:rsidRPr="00792D61">
              <w:rPr>
                <w:b/>
                <w:lang w:val="de-DE"/>
              </w:rPr>
              <w:t>][</w:t>
            </w:r>
            <w:r w:rsidRPr="009D1540">
              <w:rPr>
                <w:lang w:val="de-DE"/>
              </w:rPr>
              <w:t>Clearstream Luxemburg</w:t>
            </w:r>
            <w:r w:rsidRPr="00792D61">
              <w:rPr>
                <w:b/>
                <w:lang w:val="de-DE"/>
              </w:rPr>
              <w:t>][</w:t>
            </w:r>
            <w:r w:rsidRPr="009D1540">
              <w:rPr>
                <w:lang w:val="de-DE"/>
              </w:rPr>
              <w:t>Euroclear</w:t>
            </w:r>
            <w:r w:rsidRPr="00792D61">
              <w:rPr>
                <w:b/>
                <w:lang w:val="de-DE"/>
              </w:rPr>
              <w:t>]</w:t>
            </w:r>
            <w:r w:rsidRPr="009D1540">
              <w:rPr>
                <w:lang w:val="de-DE"/>
              </w:rPr>
              <w:t xml:space="preserve"> sowie in Übereinstimmung mit allen geltenden gesetzlichen Bestimmungen übertragen oder in sonstiger Weise veräussert werden können.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96238" w:rsidP="00F76873">
            <w:pPr>
              <w:pStyle w:val="CSBody8pt"/>
            </w:pPr>
            <w:r w:rsidRPr="00C96238">
              <w:t>Neither the Issuer nor the Holders shall at any time have the right to effect or demand the conversion of the Permanent Global Certificate into, or the delivery of, definitive Complex Products (Wertpapiere) or uncertificated securities (Wertrechte). No physical delivery of Complex Products shall be made unless and until individually certificated Complex Products have been printed. Individually certificated Complex Products may only be printed, in whole but not in part, if the Paying Agent determines that the printing of individually certificated Complex Products is necessary or useful.</w:t>
            </w:r>
          </w:p>
        </w:tc>
        <w:tc>
          <w:tcPr>
            <w:tcW w:w="4936" w:type="dxa"/>
            <w:gridSpan w:val="3"/>
            <w:tcBorders>
              <w:top w:val="nil"/>
              <w:bottom w:val="nil"/>
              <w:right w:val="nil"/>
            </w:tcBorders>
            <w:shd w:val="clear" w:color="auto" w:fill="auto"/>
          </w:tcPr>
          <w:p w:rsidR="0017135D" w:rsidRPr="009D1540" w:rsidP="007E3558">
            <w:pPr>
              <w:pStyle w:val="CSBody8pt"/>
              <w:rPr>
                <w:lang w:val="de-DE"/>
              </w:rPr>
            </w:pPr>
            <w:r w:rsidRPr="009D1540">
              <w:rPr>
                <w:lang w:val="de-DE"/>
              </w:rPr>
              <w:t>Die Emittentin und die Inhaber sind zu keinem Zeitpunkt berechtigt, die Dauerglobalurkunde in individuelle Wertpapiere oder Wertrechte umzuwandeln oder deren Umwandlung zu verlangen oder eine Lieferung von Einzelurkunden oder Wertrechten herbeizuführen oder zu verlangen. Eine physische Lieferung von Komplexen Produkten erfolgt erst und nur dann, wenn diese in Druckform vorliegen. Einzelurkunden können nur insgesamt, jedoch nicht teilweise, gedruckt werden, falls die Zahlstelle entscheidet, dass der Druck von Einzelurkunden erforderlich oder zweckmässig ist.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96238" w:rsidP="00F76873">
            <w:pPr>
              <w:pStyle w:val="CSBody8pt"/>
            </w:pPr>
            <w:r w:rsidRPr="00C96238">
              <w:t xml:space="preserve">If printed, individually certificated Complex Products will not be issued in bearer form, but exclusively in registered form for U.S. tax purposes, whereby, </w:t>
            </w:r>
            <w:r w:rsidRPr="007E3558">
              <w:rPr>
                <w:i/>
              </w:rPr>
              <w:t>inter alia</w:t>
            </w:r>
            <w:r w:rsidRPr="00C96238">
              <w:t>, title will pass exclusively by registration of the transferee in a register of the Holders (the "</w:t>
            </w:r>
            <w:r w:rsidRPr="00D61418">
              <w:rPr>
                <w:b/>
              </w:rPr>
              <w:t>Register</w:t>
            </w:r>
            <w:r w:rsidRPr="00C96238">
              <w:t>") to be established and maintained by a registrar (the "</w:t>
            </w:r>
            <w:r w:rsidRPr="00D61418">
              <w:rPr>
                <w:b/>
              </w:rPr>
              <w:t>Registrar</w:t>
            </w:r>
            <w:r w:rsidRPr="00C96238">
              <w:t>") appointed by, and acting on behalf of, the Issuer after consultation with the Paying Agent and notified to the Holders in accordance with Section 9. The registration of a new Holder by the Registrar will only occur upon presentation of the relevant individually certificated Complex Product at the specified office of the Registrar or Paying Agent. No transfer of a Complex Product will be valid unless and until entered into the Register. A Complex Product may be registered only in the name of, and transferred to, a specific person.</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 xml:space="preserve">Falls ein Druck erfolgt, werden Einzelurkunden für Komplexe Produkte nicht als auf den Inhaber lautende Wertpapiere, sondern für US-Steuerzwecke ausschliesslich als auf den Namen lautende Wertpapiere begeben, wobei das Eigentum an den Wertpapieren </w:t>
            </w:r>
            <w:r>
              <w:rPr>
                <w:lang w:val="de-DE"/>
              </w:rPr>
              <w:t>u.a.</w:t>
            </w:r>
            <w:r w:rsidRPr="009D1540">
              <w:rPr>
                <w:lang w:val="de-DE"/>
              </w:rPr>
              <w:t xml:space="preserve"> ausschliesslich durch Eintragung des Erwerbers in ein Register der Inhaber (das "</w:t>
            </w:r>
            <w:r w:rsidRPr="00D61418">
              <w:rPr>
                <w:b/>
                <w:lang w:val="de-DE"/>
              </w:rPr>
              <w:t>Register</w:t>
            </w:r>
            <w:r w:rsidRPr="009D1540">
              <w:rPr>
                <w:lang w:val="de-DE"/>
              </w:rPr>
              <w:t>") übergeht, das von einer Registerstelle (die "</w:t>
            </w:r>
            <w:r w:rsidRPr="00D61418">
              <w:rPr>
                <w:b/>
                <w:lang w:val="de-DE"/>
              </w:rPr>
              <w:t>Registerstelle</w:t>
            </w:r>
            <w:r w:rsidRPr="009D1540">
              <w:rPr>
                <w:lang w:val="de-DE"/>
              </w:rPr>
              <w:t xml:space="preserve">") zu erstellen und zu führen ist, die von der Emittentin nach Absprache mit der Zahlstelle bestellt wurde und den Inhabern gemäss Ziffer </w:t>
            </w:r>
            <w:r w:rsidR="009014C1">
              <w:rPr>
                <w:lang w:val="de-DE"/>
              </w:rPr>
              <w:t>9</w:t>
            </w:r>
            <w:r w:rsidRPr="009D1540">
              <w:rPr>
                <w:lang w:val="de-DE"/>
              </w:rPr>
              <w:t xml:space="preserve"> mitgeteilt wurde und die für die Emittentin handelt. Die Eintragung eines neuen Inhabers durch die Registerstelle erfolgt nur gegen Vorlage der betreffenden Einzelurkunde für Komplexe Produkte bei der bezeichneten Geschäftsstelle der Registerstelle oder der Zahlstelle. Eine Übertragung eines Komplexen Produkts ist erst und nur dann gültig, wenn sie in das Register eingetragen wurde. Ein Komplexes Produkt kann nur im Namen einer bestimmten Person eingetragen und an eine bestimmte Person übertragen werden.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5126F" w:rsidP="009014C1">
            <w:pPr>
              <w:pStyle w:val="CSBody8pt"/>
            </w:pPr>
            <w:r w:rsidRPr="0035126F">
              <w:t>Complex Products (if printed) that are mutilated, defaced, lost, stolen or destroyed may be replaced at the head office of the Paying Agent on payment of such costs as may be incurred in connection therewith and upon the provision of such evidence and indemnity as the Paying Agent may require and, in the case of mutilation or defacement, upon surrender of the mutilated or defaced Complex Products.</w:t>
            </w:r>
          </w:p>
        </w:tc>
        <w:tc>
          <w:tcPr>
            <w:tcW w:w="4936" w:type="dxa"/>
            <w:gridSpan w:val="3"/>
            <w:tcBorders>
              <w:top w:val="nil"/>
              <w:bottom w:val="nil"/>
              <w:right w:val="nil"/>
            </w:tcBorders>
            <w:shd w:val="clear" w:color="auto" w:fill="auto"/>
          </w:tcPr>
          <w:p w:rsidR="0017135D" w:rsidRPr="009D1540" w:rsidP="009014C1">
            <w:pPr>
              <w:pStyle w:val="CSBody8pt"/>
              <w:rPr>
                <w:lang w:val="de-DE"/>
              </w:rPr>
            </w:pPr>
            <w:r w:rsidRPr="009D1540">
              <w:rPr>
                <w:lang w:val="de-DE"/>
              </w:rPr>
              <w:t>Beschädigte, unleserlich gemachte, verloren gegangene, gestohlene oder zerstörte Komplexe Produkte (die in Druckform vorliegen bzw. vorlagen) können am Hauptsitz der Zahlstelle gegen Zahlung der in diesem Zusammenhang entstehenden Kosten und gegen Erbringung oder Vorlage eines/einer von der Zahlstelle etwa geforderten Nachweises oder Freistellungserklärung sowie, bei beschädigten oder unleserlich gemachten Komplexen Produkten, gegen Einreichung der beschädigten oder unleserlich gemachten Komplexen Produkte ersetzt werden.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9014C1" w:rsidRPr="0035126F" w:rsidP="009014C1">
            <w:pPr>
              <w:pStyle w:val="CSBody8pt"/>
            </w:pPr>
            <w:r w:rsidRPr="009014C1">
              <w:t>Transfers of Complex Products in any Clearing System will be subject to the Minimum Trading Lot, if any.</w:t>
            </w:r>
          </w:p>
        </w:tc>
        <w:tc>
          <w:tcPr>
            <w:tcW w:w="4936" w:type="dxa"/>
            <w:gridSpan w:val="3"/>
            <w:tcBorders>
              <w:top w:val="nil"/>
              <w:bottom w:val="nil"/>
              <w:right w:val="nil"/>
            </w:tcBorders>
            <w:shd w:val="clear" w:color="auto" w:fill="auto"/>
          </w:tcPr>
          <w:p w:rsidR="009014C1" w:rsidRPr="009014C1" w:rsidP="009014C1">
            <w:pPr>
              <w:pStyle w:val="CSBody8pt"/>
              <w:rPr>
                <w:lang w:val="de-DE"/>
              </w:rPr>
            </w:pPr>
            <w:r w:rsidRPr="009014C1">
              <w:rPr>
                <w:lang w:val="de-DE"/>
              </w:rPr>
              <w:t>Für Übertragungen von Komplexen Produkten innerhalb eines Clearingsystems gilt eine gegebenenfalls anwendbare Mindestzahl für den Handel.</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9014C1" w:rsidRPr="009014C1" w:rsidP="009014C1">
            <w:pPr>
              <w:pStyle w:val="CSBody8pt"/>
            </w:pPr>
            <w:r w:rsidRPr="009014C1">
              <w:t>If individually certificated Complex Products are printed, the Permanent Global Certificate will immediately be cancelled by the Paying Agent and the individually certificated Complex Products shall be delivered to Holders.</w:t>
            </w:r>
            <w:r w:rsidRPr="009014C1">
              <w:rPr>
                <w:b/>
              </w:rPr>
              <w:t>]</w:t>
            </w:r>
          </w:p>
        </w:tc>
        <w:tc>
          <w:tcPr>
            <w:tcW w:w="4936" w:type="dxa"/>
            <w:gridSpan w:val="3"/>
            <w:tcBorders>
              <w:top w:val="nil"/>
              <w:bottom w:val="nil"/>
              <w:right w:val="nil"/>
            </w:tcBorders>
            <w:shd w:val="clear" w:color="auto" w:fill="auto"/>
          </w:tcPr>
          <w:p w:rsidR="009014C1" w:rsidRPr="009014C1" w:rsidP="009014C1">
            <w:pPr>
              <w:pStyle w:val="CSBody8pt"/>
              <w:rPr>
                <w:lang w:val="de-DE"/>
              </w:rPr>
            </w:pPr>
            <w:r w:rsidRPr="009014C1">
              <w:rPr>
                <w:lang w:val="de-DE"/>
              </w:rPr>
              <w:t>Falls ein Druck von Einzelurkunden für Komplexe Produkte erfolgt, wird die Dauerglobalurkunde unverzüglich von der Zahlstelle vernichtet, wobei die Einzelurkunden für Komplexe Produkte an die Inhaber geliefert werden.</w:t>
            </w:r>
            <w:r w:rsidRPr="009014C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5126F" w:rsidP="00942F00">
            <w:pPr>
              <w:pStyle w:val="CSBody8pt"/>
            </w:pPr>
            <w:r w:rsidRPr="00792D61">
              <w:rPr>
                <w:b/>
              </w:rPr>
              <w:t>[</w:t>
            </w:r>
            <w:r w:rsidRPr="00D61418">
              <w:rPr>
                <w:b/>
                <w:i/>
              </w:rPr>
              <w:t>In the case of Intermediated Securities insert the following:</w:t>
            </w:r>
            <w:r w:rsidRPr="0035126F">
              <w:t xml:space="preserve"> The uncertificated securities (</w:t>
            </w:r>
            <w:r w:rsidRPr="00D61418">
              <w:rPr>
                <w:i/>
              </w:rPr>
              <w:t>Wertrechte</w:t>
            </w:r>
            <w:r w:rsidRPr="0035126F">
              <w:t>) will be created by the Issuer by means of a registration in a register of uncertificated securities (</w:t>
            </w:r>
            <w:r w:rsidRPr="00D61418">
              <w:rPr>
                <w:i/>
              </w:rPr>
              <w:t>Wertrechtebuch</w:t>
            </w:r>
            <w:r w:rsidRPr="0035126F">
              <w:t xml:space="preserve">) maintained by </w:t>
            </w:r>
            <w:r w:rsidRPr="00792D61">
              <w:rPr>
                <w:b/>
              </w:rPr>
              <w:t>[</w:t>
            </w:r>
            <w:r w:rsidRPr="00D61418">
              <w:rPr>
                <w:b/>
                <w:i/>
              </w:rPr>
              <w:t>in the case of Complex Products with COSI feature:</w:t>
            </w:r>
            <w:r w:rsidRPr="0035126F">
              <w:t xml:space="preserve"> or on behalf of</w:t>
            </w:r>
            <w:r w:rsidRPr="00792D61">
              <w:rPr>
                <w:b/>
              </w:rPr>
              <w:t>]</w:t>
            </w:r>
            <w:r w:rsidRPr="0035126F">
              <w:t xml:space="preserve"> the Issuer. Such uncertificated securities will then be entered into the main register (</w:t>
            </w:r>
            <w:r w:rsidRPr="00D61418">
              <w:rPr>
                <w:i/>
              </w:rPr>
              <w:t>Hauptregister</w:t>
            </w:r>
            <w:r w:rsidRPr="0035126F">
              <w:t>) of SIS or any other intermediary (</w:t>
            </w:r>
            <w:r w:rsidRPr="00D61418">
              <w:rPr>
                <w:i/>
              </w:rPr>
              <w:t>Verwahrungsstelle</w:t>
            </w:r>
            <w:r w:rsidRPr="0035126F">
              <w:t>) recognised for such purpose by the SIX Swiss Exchange Ltd (SIS or such other intermediary, the "</w:t>
            </w:r>
            <w:r w:rsidRPr="00D61418">
              <w:rPr>
                <w:b/>
              </w:rPr>
              <w:t>Intermediary</w:t>
            </w:r>
            <w:r w:rsidRPr="0035126F">
              <w:t>") as Intermediated Securities. The Complex Products will remain booked in the system of the Intermediary, and the Intermediary will maintain the register for the Complex Products, until the earlier of redemption or printing of the Complex Products.</w:t>
            </w:r>
          </w:p>
        </w:tc>
        <w:tc>
          <w:tcPr>
            <w:tcW w:w="4936" w:type="dxa"/>
            <w:gridSpan w:val="3"/>
            <w:tcBorders>
              <w:top w:val="nil"/>
              <w:bottom w:val="nil"/>
              <w:right w:val="nil"/>
            </w:tcBorders>
            <w:shd w:val="clear" w:color="auto" w:fill="auto"/>
          </w:tcPr>
          <w:p w:rsidR="0017135D" w:rsidRPr="009D1540" w:rsidP="009014C1">
            <w:pPr>
              <w:pStyle w:val="CSBody8pt"/>
              <w:rPr>
                <w:lang w:val="de-DE"/>
              </w:rPr>
            </w:pPr>
            <w:r w:rsidRPr="00792D61">
              <w:rPr>
                <w:b/>
                <w:lang w:val="de-DE"/>
              </w:rPr>
              <w:t>[</w:t>
            </w:r>
            <w:r w:rsidRPr="00D61418">
              <w:rPr>
                <w:b/>
                <w:i/>
                <w:lang w:val="de-DE"/>
              </w:rPr>
              <w:t>Bei Bucheffekten Folgendes einfügen:</w:t>
            </w:r>
            <w:r w:rsidRPr="009D1540">
              <w:rPr>
                <w:lang w:val="de-DE"/>
              </w:rPr>
              <w:t xml:space="preserve"> Die Wertrechte werden von der </w:t>
            </w:r>
            <w:r w:rsidRPr="00792D61">
              <w:rPr>
                <w:b/>
                <w:lang w:val="de-DE"/>
              </w:rPr>
              <w:t>[</w:t>
            </w:r>
            <w:r w:rsidRPr="00D61418">
              <w:rPr>
                <w:b/>
                <w:i/>
                <w:lang w:val="de-DE"/>
              </w:rPr>
              <w:t>bei Komplexen Produkten mit COSI Merkmal:</w:t>
            </w:r>
            <w:r w:rsidRPr="009D1540">
              <w:rPr>
                <w:lang w:val="de-DE"/>
              </w:rPr>
              <w:t xml:space="preserve"> oder für die</w:t>
            </w:r>
            <w:r w:rsidRPr="00792D61">
              <w:rPr>
                <w:b/>
                <w:lang w:val="de-DE"/>
              </w:rPr>
              <w:t>]</w:t>
            </w:r>
            <w:r w:rsidRPr="009D1540">
              <w:rPr>
                <w:lang w:val="de-DE"/>
              </w:rPr>
              <w:t xml:space="preserve"> </w:t>
            </w:r>
            <w:r w:rsidRPr="009014C1" w:rsidR="009014C1">
              <w:rPr>
                <w:lang w:val="de-DE"/>
              </w:rPr>
              <w:t xml:space="preserve">Emittentin durch Eintrag in einem von der </w:t>
            </w:r>
            <w:r w:rsidRPr="009D1540">
              <w:rPr>
                <w:lang w:val="de-DE"/>
              </w:rPr>
              <w:t>Emittentin geführten Wertrechtebuch geschaffen. Diese Wertrechte werden dann als Bucheffekten in das Hauptregister der SIS oder jeder anderen Verwahrungsstelle, welche von der SIX Swiss Exchange AG für diese Zwecke anerkannt ist (SIS oder eine andere Verwahrungsstelle, die "</w:t>
            </w:r>
            <w:r w:rsidRPr="00D61418">
              <w:rPr>
                <w:b/>
                <w:lang w:val="de-DE"/>
              </w:rPr>
              <w:t>Verwahrungsstelle</w:t>
            </w:r>
            <w:r w:rsidRPr="009D1540">
              <w:rPr>
                <w:lang w:val="de-DE"/>
              </w:rPr>
              <w:t>"), eingetragen. Die Komplexen Produkte bleiben bis zum jeweils früheren Zeitpunkt ihrer Rückzahlung oder ihres Drucks im System der Verwahrungsstelle verbucht, die bis zu diesem Zeitpunkt das Register der Komplexen Produkte führen wird.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5126F" w:rsidP="00F76873">
            <w:pPr>
              <w:pStyle w:val="CSBody8pt"/>
            </w:pPr>
            <w:r w:rsidRPr="0035126F">
              <w:t>The records of the Intermediary will determine the number of Complex Products held through each participant in the Intermediary. In respect of the Complex Products held in the form of Intermediated Securities, the holders of the Complex Products will be each person holding any such Complex Product in a securities account (Effektenkonto) that is in his or her name or, in the case of intermediaries (Verwahrungsstellen), each intermediary (Verwahrungsstelle) holding the Complex Product for its own account in a securities account (Effektenkonto) that is in its name.</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Aus den Unterlagen der Verwahrungsstelle ergibt sich die Anzahl der von jedem Verwahrungsstelle-Teilnehmer gehaltenen Komplexen Produkte. Bei Komplexen Produkten, die in Form von Bucheffekten gehalten werden, gilt jede Person, die ein solches Komplexes Produkt in einem auf ihren Namen lautenden Effektenkonto hält, oder bei Verwahrungsstellen jede Verwahrungsstelle, die das Komplexe Produkt für eigene Rechnung in einem auf ihren Namen lautenden Effektenkonto hält, als Inhaber der Komplexen Produkte.</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612F" w:rsidP="00F76873">
            <w:pPr>
              <w:pStyle w:val="CSBody8pt"/>
            </w:pPr>
            <w:r w:rsidRPr="0012612F">
              <w:t>Neither the Issuer nor the Holders shall at any time have the right to effect or demand the conversion of the uncertificated securities (Wertrechte) into, or the delivery of, a permanent global certificate (Globalurkunde) or definitive Complex Products (Wertpapiere).</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Die Emittentin und die Inhaber sind zu keinem Zeitpunkt berechtigt, die Wertrechte in eine Dauerglobalurkunde oder in individuelle Wertpapiere umzuwandeln oder deren Umwandlung zu verlangen oder eine Lieferung einer Dauerglobalurkunde oder von Einzelurkunden herbeizuführen oder zu verlangen.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612F" w:rsidP="00F76873">
            <w:pPr>
              <w:pStyle w:val="CSBody8pt"/>
            </w:pPr>
            <w:r w:rsidRPr="0012612F">
              <w:t>So long as the Complex Products are in the form of Intermediated Securities, the Complex Products may only be transferred by crediting the Complex Products to be transferred to a securities account of the transferee.</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Solange die Komplexen Produkte in Form von Bucheffekten bestehen, können die Komplexen Produkte nur durch Gutschrift der zu übertragenden Komplexen Produkte auf dem Effektenkonto des Erwerbers übertragen werden.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12612F" w:rsidP="00F76873">
            <w:pPr>
              <w:pStyle w:val="CSBody8pt"/>
            </w:pPr>
            <w:r w:rsidRPr="0012612F">
              <w:t>No physical delivery of Complex Products shall be made unless and until individually certificated Complex Products have been printed. Individually certificated Complex Products may only be printed, in whole but not in part, if the Intermediary goes out of business without a successor.</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Eine physische Lieferung von Komplexen Produkten erfolgt erst und nur dann, wenn diese in Druckform vorliegen. Einzelurkunden können nur insgesamt, jedoch nicht teilweise, gedruckt werden, falls die Verwahrungsstelle ihre Tätigkeit ohne Nachfolger einstellt.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66E3A" w:rsidP="00F76873">
            <w:pPr>
              <w:pStyle w:val="CSBody8pt"/>
            </w:pPr>
            <w:r w:rsidRPr="00666E3A">
              <w:t>Transfers of Complex Products in any Clearing System will be subject to the Minimum Trading Lot, if any.</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Für Übertragungen von Komplexen Produkten innerhalb eines Clearingsystems gilt eine gegebenenfalls anwendbare Mindestzahl für den Handel.</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666E3A" w:rsidP="00F76873">
            <w:pPr>
              <w:pStyle w:val="CSBody8pt"/>
            </w:pPr>
            <w:r w:rsidRPr="00666E3A">
              <w:t>If individually certificated Complex Products are printed, the uncertificated securities (Wertrechte) will immediately be cancelled by the Issuer and the individually certificated Complex Products shall be delivered to Holders against cancellation of the Intermediated Securities in their respective securities accounts. Printed individually certificated Complex Products will not be included in the records of any clearing system and, therefore, shall not constitute Intermediated Securities.</w:t>
            </w:r>
            <w:r w:rsidRPr="00792D61">
              <w:rPr>
                <w:b/>
              </w:rPr>
              <w: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Falls ein Druck von Einzelurkunden für Komplexe Produkte erfolgt, werden die Wertrechte unverzüglich von der Emittentin entwertet, wobei die Einzelurkunden für Komplexe Produkte gegen Entwertung der Bucheffekten im jeweiligen Effektenkonto der Inhaber an die Inhaber geliefert werden. Gedruckte Einzelurkunden für Komplexe Produkte werden nicht in den Unterlagen eines Clearingsystems verzeichnet und stellen daher keine Bucheffekten dar.</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5B57E6" w:rsidP="00F76873">
            <w:pPr>
              <w:pStyle w:val="CSbody0bold"/>
            </w:pPr>
            <w:r w:rsidRPr="005B57E6">
              <w:t>Section 10</w:t>
            </w:r>
          </w:p>
        </w:tc>
        <w:tc>
          <w:tcPr>
            <w:tcW w:w="3315" w:type="dxa"/>
            <w:gridSpan w:val="2"/>
            <w:tcBorders>
              <w:top w:val="nil"/>
              <w:left w:val="nil"/>
              <w:bottom w:val="nil"/>
              <w:right w:val="nil"/>
            </w:tcBorders>
            <w:shd w:val="clear" w:color="auto" w:fill="D9D9D9" w:themeFill="background1" w:themeFillShade="D9"/>
          </w:tcPr>
          <w:p w:rsidR="0017135D" w:rsidP="00F76873">
            <w:pPr>
              <w:pStyle w:val="CSbody0bold"/>
            </w:pPr>
            <w:r w:rsidRPr="005B57E6">
              <w:t>Status</w:t>
            </w:r>
          </w:p>
        </w:tc>
        <w:tc>
          <w:tcPr>
            <w:tcW w:w="1618" w:type="dxa"/>
            <w:gridSpan w:val="2"/>
            <w:tcBorders>
              <w:top w:val="nil"/>
              <w:left w:val="nil"/>
              <w:bottom w:val="nil"/>
              <w:right w:val="nil"/>
            </w:tcBorders>
            <w:shd w:val="clear" w:color="auto" w:fill="D9D9D9" w:themeFill="background1" w:themeFillShade="D9"/>
          </w:tcPr>
          <w:p w:rsidR="0017135D" w:rsidRPr="00FC6E0E" w:rsidP="00F76873">
            <w:pPr>
              <w:pStyle w:val="CSbody0bold"/>
            </w:pPr>
            <w:r w:rsidRPr="00FC6E0E">
              <w:t>Ziffer 10</w:t>
            </w:r>
          </w:p>
        </w:tc>
        <w:tc>
          <w:tcPr>
            <w:tcW w:w="3318" w:type="dxa"/>
            <w:tcBorders>
              <w:top w:val="nil"/>
              <w:left w:val="nil"/>
              <w:bottom w:val="nil"/>
              <w:right w:val="nil"/>
            </w:tcBorders>
            <w:shd w:val="clear" w:color="auto" w:fill="D9D9D9" w:themeFill="background1" w:themeFillShade="D9"/>
          </w:tcPr>
          <w:p w:rsidR="0017135D" w:rsidP="00F76873">
            <w:pPr>
              <w:pStyle w:val="CSbody0bold"/>
            </w:pPr>
            <w:r w:rsidRPr="00FC6E0E">
              <w:t>Status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144F6" w:rsidP="00F76873">
            <w:pPr>
              <w:pStyle w:val="CSBody8pt"/>
            </w:pPr>
            <w:r w:rsidRPr="00792D61">
              <w:rPr>
                <w:b/>
              </w:rPr>
              <w:t>[</w:t>
            </w:r>
            <w:r w:rsidRPr="005015DA">
              <w:rPr>
                <w:b/>
                <w:i/>
              </w:rPr>
              <w:t>In the case of Complex Products without a COSI feature, insert: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792D61">
              <w:rPr>
                <w:b/>
                <w:lang w:val="de-DE"/>
              </w:rPr>
              <w:t>[</w:t>
            </w:r>
            <w:r w:rsidRPr="005015DA">
              <w:rPr>
                <w:b/>
                <w:i/>
                <w:lang w:val="de-DE"/>
              </w:rPr>
              <w:t>Bei Komplexen Produkten ohne COSI Merkmal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144F6" w:rsidP="00F76873">
            <w:pPr>
              <w:pStyle w:val="CSBody8pt"/>
            </w:pPr>
            <w:r w:rsidRPr="004144F6">
              <w:t>The Complex Products constitute direct, unconditional, unsecured and unsubordinated obligations of Credit Suisse and rank pari passu with all other present and future unsecured and unsubordinated obligations of Credit Suisse and without any preference among themselves, except for such preferences as are provided by any mandatory applicable provision of law. The Complex Products are not covered by any compensation or insurance scheme (such as a bank deposit or protection scheme).</w:t>
            </w:r>
            <w:r w:rsidRPr="00792D61">
              <w:rPr>
                <w:b/>
              </w:rPr>
              <w:t>]</w:t>
            </w:r>
          </w:p>
        </w:tc>
        <w:tc>
          <w:tcPr>
            <w:tcW w:w="4936" w:type="dxa"/>
            <w:gridSpan w:val="3"/>
            <w:tcBorders>
              <w:top w:val="nil"/>
              <w:bottom w:val="nil"/>
              <w:right w:val="nil"/>
            </w:tcBorders>
            <w:shd w:val="clear" w:color="auto" w:fill="auto"/>
          </w:tcPr>
          <w:p w:rsidR="0017135D" w:rsidRPr="009D1540" w:rsidP="00F76873">
            <w:pPr>
              <w:pStyle w:val="CSBody8pt"/>
              <w:rPr>
                <w:lang w:val="de-DE"/>
              </w:rPr>
            </w:pPr>
            <w:r w:rsidRPr="009D1540">
              <w:rPr>
                <w:lang w:val="de-DE"/>
              </w:rPr>
              <w:t>Die Komplexen Produkte begründen direkte, unbedingte, nicht besicherte und nicht nachrangige Verbindlichkeiten der Credit Suisse, die mit allen anderen gegenwärtigen und zukünftigen nicht besicherten und nicht nachrangigen Verbindlichkeiten der Credit Suisse sowie untereinander gleichrangig sind, mit Ausnahme solcher Verbindlichkeiten, die über einen gesetzlichen Vorrang verfügen. Die Komplexen Produkte sind nicht durch ein Schadenausgleichs- oder Versicherungssystem (wie beispielsweise ein Einlagensicherungssystem) geschützt.</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144F6" w:rsidP="005015DA">
            <w:pPr>
              <w:pStyle w:val="CSBody8pt"/>
            </w:pPr>
            <w:r w:rsidRPr="00792D61">
              <w:rPr>
                <w:b/>
              </w:rPr>
              <w:t>[</w:t>
            </w:r>
            <w:r w:rsidRPr="005015DA">
              <w:rPr>
                <w:b/>
                <w:i/>
              </w:rPr>
              <w:t>In the case of Complex Products with a COSI feature, insert:</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792D61">
              <w:rPr>
                <w:b/>
                <w:lang w:val="de-DE"/>
              </w:rPr>
              <w:t>[</w:t>
            </w:r>
            <w:r w:rsidRPr="005015DA">
              <w:rPr>
                <w:b/>
                <w:i/>
                <w:lang w:val="de-DE"/>
              </w:rPr>
              <w:t>Bei Komplexen Produkten mit COSI Merkmal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4156E0" w:rsidP="005015DA">
            <w:pPr>
              <w:pStyle w:val="CSBody8pt"/>
            </w:pPr>
            <w:r w:rsidRPr="004156E0">
              <w:t>The Complex Products constitute direct, unconditional and unsubordinated obligations of Credit Suisse, are collateralized in accordance with the terms of the Framework Agreement and rank at least pari passu with all present and future unsecured and unsubordinated obligations of Credit Suisse and without preference among themselves, except for such preferences as are provided by any mandatory applicable provision of law.</w:t>
            </w:r>
            <w:r w:rsidRPr="00792D61">
              <w:rPr>
                <w:b/>
              </w:rPr>
              <w:t>]</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9D1540">
              <w:rPr>
                <w:lang w:val="de-DE"/>
              </w:rPr>
              <w:t>Die Komplexen Produkte begründen direkte, unbedingte und nicht nachrangige Verbindlichkeiten der Credit Suisse, sind nach Massgabe des Rahmenvertrags besichert und mit allen gegenwärtigen und zukünftigen nicht besicherten und nicht nachrangigen Verbindlichkeiten der Credit Suisse mindestens gleichrangig sowie untereinander gleichrangig, mit Ausnahme solcher Verbindlichkeiten, die über einen gesetzlichen Vorrang verfügen.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8962D9" w:rsidP="00DA50B1">
            <w:pPr>
              <w:pStyle w:val="CSbody0bold"/>
            </w:pPr>
            <w:r w:rsidRPr="008962D9">
              <w:t>Section 11</w:t>
            </w:r>
          </w:p>
        </w:tc>
        <w:tc>
          <w:tcPr>
            <w:tcW w:w="3315" w:type="dxa"/>
            <w:gridSpan w:val="2"/>
            <w:tcBorders>
              <w:top w:val="nil"/>
              <w:left w:val="nil"/>
              <w:bottom w:val="nil"/>
              <w:right w:val="nil"/>
            </w:tcBorders>
            <w:shd w:val="clear" w:color="auto" w:fill="D9D9D9" w:themeFill="background1" w:themeFillShade="D9"/>
          </w:tcPr>
          <w:p w:rsidR="0017135D" w:rsidP="00DA50B1">
            <w:pPr>
              <w:pStyle w:val="CSbody0bold"/>
            </w:pPr>
            <w:r w:rsidRPr="008962D9">
              <w:t>Amendments</w:t>
            </w:r>
          </w:p>
        </w:tc>
        <w:tc>
          <w:tcPr>
            <w:tcW w:w="1618" w:type="dxa"/>
            <w:gridSpan w:val="2"/>
            <w:tcBorders>
              <w:top w:val="nil"/>
              <w:left w:val="nil"/>
              <w:bottom w:val="nil"/>
              <w:right w:val="nil"/>
            </w:tcBorders>
            <w:shd w:val="clear" w:color="auto" w:fill="D9D9D9" w:themeFill="background1" w:themeFillShade="D9"/>
          </w:tcPr>
          <w:p w:rsidR="0017135D" w:rsidRPr="00B53776" w:rsidP="00DA50B1">
            <w:pPr>
              <w:pStyle w:val="CSbody0bold"/>
            </w:pPr>
            <w:r w:rsidRPr="00B53776">
              <w:t>Ziffer 11</w:t>
            </w:r>
          </w:p>
        </w:tc>
        <w:tc>
          <w:tcPr>
            <w:tcW w:w="3318" w:type="dxa"/>
            <w:tcBorders>
              <w:top w:val="nil"/>
              <w:left w:val="nil"/>
              <w:bottom w:val="nil"/>
              <w:right w:val="nil"/>
            </w:tcBorders>
            <w:shd w:val="clear" w:color="auto" w:fill="D9D9D9" w:themeFill="background1" w:themeFillShade="D9"/>
          </w:tcPr>
          <w:p w:rsidR="0017135D" w:rsidP="00DA50B1">
            <w:pPr>
              <w:pStyle w:val="CSbody0bold"/>
            </w:pPr>
            <w:r w:rsidRPr="00B53776">
              <w:t>Änderungen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C6504" w:rsidP="005015DA">
            <w:pPr>
              <w:pStyle w:val="CSBody8pt"/>
            </w:pPr>
            <w:r w:rsidRPr="00792D61">
              <w:rPr>
                <w:b/>
              </w:rPr>
              <w:t>[</w:t>
            </w:r>
            <w:r w:rsidRPr="005015DA">
              <w:rPr>
                <w:b/>
                <w:i/>
              </w:rPr>
              <w:t>insert in case of Complex Products with Amendments Section</w:t>
            </w:r>
            <w:r w:rsidRPr="00FC6504">
              <w:t>:</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792D61">
              <w:rPr>
                <w:b/>
                <w:lang w:val="de-DE"/>
              </w:rPr>
              <w:t>[</w:t>
            </w:r>
            <w:r w:rsidRPr="005015DA">
              <w:rPr>
                <w:b/>
                <w:i/>
                <w:lang w:val="de-DE"/>
              </w:rPr>
              <w:t>bei Komplexen Produkten mit Änderungsklausel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C6504" w:rsidP="005015DA">
            <w:pPr>
              <w:pStyle w:val="CSBody8pt"/>
            </w:pPr>
            <w:r w:rsidRPr="00FC6504">
              <w:t>These Terms and Conditions may, after consultation with the Calculation Agent, be amended from time to time by the Issuer, provided that, in the opinion of the Issuer, such amendment is of a formal, minor or technical nature, is made to correct a manifest error, or is not materially prejudicial to the interest of the Holders.</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9D1540">
              <w:rPr>
                <w:lang w:val="de-DE"/>
              </w:rPr>
              <w:t>Diese Emissionsbedingungen können von der Emittentin nach Absprache mit der Berechnungsstelle zu gegebener Zeit geändert werden, vorausgesetzt, dass solche Änderungen nach der Ansicht der Emittentin rein formaler oder technischer Natur oder von untergeordneter Bedeutung sind, zur Korrektur eines offenkundigen Irrtums vorgenommen werden oder keine wesentliche Beeinträchtigung der Interessen der Inhaber darstellen.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C6504" w:rsidP="005015DA">
            <w:pPr>
              <w:pStyle w:val="CSBody8pt"/>
            </w:pPr>
            <w:r w:rsidRPr="00FC6504">
              <w:t>Notwithstanding the above, the Issuer may amend any provision of these Terms and Conditions in the event that the Issuer reasonably believes that such amendment is necessary or appropriate as a result of a change in any law or regulation of Switzerland or any other jurisdiction.</w:t>
            </w:r>
          </w:p>
        </w:tc>
        <w:tc>
          <w:tcPr>
            <w:tcW w:w="4936" w:type="dxa"/>
            <w:gridSpan w:val="3"/>
            <w:tcBorders>
              <w:top w:val="nil"/>
              <w:bottom w:val="nil"/>
              <w:right w:val="nil"/>
            </w:tcBorders>
            <w:shd w:val="clear" w:color="auto" w:fill="auto"/>
          </w:tcPr>
          <w:p w:rsidR="0017135D" w:rsidRPr="009D1540">
            <w:pPr>
              <w:pStyle w:val="CSBody8pt"/>
              <w:rPr>
                <w:lang w:val="de-DE"/>
              </w:rPr>
            </w:pPr>
            <w:r w:rsidRPr="009D1540">
              <w:rPr>
                <w:lang w:val="de-DE"/>
              </w:rPr>
              <w:t xml:space="preserve">Ungeachtet des Vorstehenden kann die Emittentin Bestimmungen dieser Emissionsbedingungen ändern, wenn sie der begründeten Auffassung ist, dass dies infolge einer Änderung </w:t>
            </w:r>
            <w:r w:rsidR="009014C1">
              <w:rPr>
                <w:lang w:val="de-DE"/>
              </w:rPr>
              <w:t>eines Gesetzes</w:t>
            </w:r>
            <w:r w:rsidR="009D7C36">
              <w:rPr>
                <w:lang w:val="de-DE"/>
              </w:rPr>
              <w:t xml:space="preserve"> </w:t>
            </w:r>
            <w:r w:rsidRPr="009D1540">
              <w:rPr>
                <w:lang w:val="de-DE"/>
              </w:rPr>
              <w:t xml:space="preserve">oder einer Vorschrift der Schweiz oder einer anderen Rechtsordnung erforderlich oder zweckmässig ist. </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95B81" w:rsidP="005015DA">
            <w:pPr>
              <w:pStyle w:val="CSBody8pt"/>
            </w:pPr>
            <w:r w:rsidRPr="00B95B81">
              <w:t>Any amendment made in accordance with this Section 11 shall be binding on the Holders in accordance with these Terms and Conditions. Notice of any such amendment shall be made public to the Holders in accordance with Section 8.</w:t>
            </w:r>
            <w:r w:rsidRPr="00792D61">
              <w:rPr>
                <w:b/>
              </w:rPr>
              <w:t>]</w:t>
            </w:r>
          </w:p>
        </w:tc>
        <w:tc>
          <w:tcPr>
            <w:tcW w:w="4936" w:type="dxa"/>
            <w:gridSpan w:val="3"/>
            <w:tcBorders>
              <w:top w:val="nil"/>
              <w:bottom w:val="nil"/>
              <w:right w:val="nil"/>
            </w:tcBorders>
            <w:shd w:val="clear" w:color="auto" w:fill="auto"/>
          </w:tcPr>
          <w:p w:rsidR="0017135D" w:rsidRPr="00B95B81" w:rsidP="005015DA">
            <w:pPr>
              <w:pStyle w:val="CSBody8pt"/>
            </w:pPr>
            <w:r w:rsidRPr="009D1540">
              <w:rPr>
                <w:lang w:val="de-DE"/>
              </w:rPr>
              <w:t xml:space="preserve">Änderungen, die in Übereinstimmung mit dieser Ziffer 11 vorgenommen wurden, sind für die Inhaber nach Massgabe dieser Emissionsbedingungen bindend. </w:t>
            </w:r>
            <w:r w:rsidRPr="00B95B81">
              <w:t>Jede solche Änderung ist den Inhabern gemäss Ziffer 8 bekanntzugeben.</w:t>
            </w:r>
            <w:r w:rsidRPr="00792D61">
              <w:rPr>
                <w:b/>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95B81" w:rsidP="005015DA">
            <w:pPr>
              <w:pStyle w:val="CSBody8pt"/>
            </w:pPr>
            <w:r w:rsidRPr="00792D61">
              <w:rPr>
                <w:b/>
              </w:rPr>
              <w:t>[</w:t>
            </w:r>
            <w:r w:rsidRPr="005015DA">
              <w:rPr>
                <w:b/>
                <w:i/>
              </w:rPr>
              <w:t>insert in case of Complex Products without Amendments Section:</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792D61">
              <w:rPr>
                <w:b/>
                <w:lang w:val="de-DE"/>
              </w:rPr>
              <w:t>[</w:t>
            </w:r>
            <w:r w:rsidRPr="005015DA">
              <w:rPr>
                <w:b/>
                <w:i/>
                <w:lang w:val="de-DE"/>
              </w:rPr>
              <w:t>bei Komplexen Produkten ohne Änderungsklausel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B95B81" w:rsidP="005015DA">
            <w:pPr>
              <w:pStyle w:val="CSBody8pt"/>
            </w:pPr>
            <w:r w:rsidRPr="00B95B81">
              <w:t>Not applicable.</w:t>
            </w:r>
            <w:r w:rsidRPr="00792D61">
              <w:rPr>
                <w:b/>
              </w:rPr>
              <w:t>]</w:t>
            </w:r>
          </w:p>
        </w:tc>
        <w:tc>
          <w:tcPr>
            <w:tcW w:w="4936" w:type="dxa"/>
            <w:gridSpan w:val="3"/>
            <w:tcBorders>
              <w:top w:val="nil"/>
              <w:bottom w:val="nil"/>
              <w:right w:val="nil"/>
            </w:tcBorders>
            <w:shd w:val="clear" w:color="auto" w:fill="auto"/>
          </w:tcPr>
          <w:p w:rsidR="0017135D" w:rsidP="005015DA">
            <w:pPr>
              <w:pStyle w:val="CSBody8pt"/>
            </w:pPr>
            <w:r w:rsidRPr="00B95B81">
              <w:t>Nicht anwendbar.</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985312" w:rsidP="00DA50B1">
            <w:pPr>
              <w:pStyle w:val="CSbody0bold"/>
            </w:pPr>
            <w:r w:rsidRPr="00985312">
              <w:t>Section 12</w:t>
            </w:r>
          </w:p>
        </w:tc>
        <w:tc>
          <w:tcPr>
            <w:tcW w:w="3315" w:type="dxa"/>
            <w:gridSpan w:val="2"/>
            <w:tcBorders>
              <w:top w:val="nil"/>
              <w:left w:val="nil"/>
              <w:bottom w:val="nil"/>
              <w:right w:val="nil"/>
            </w:tcBorders>
            <w:shd w:val="clear" w:color="auto" w:fill="D9D9D9" w:themeFill="background1" w:themeFillShade="D9"/>
          </w:tcPr>
          <w:p w:rsidR="0017135D" w:rsidRPr="00D61418" w:rsidP="00DA50B1">
            <w:pPr>
              <w:pStyle w:val="CSbody0bold"/>
              <w:rPr>
                <w:lang w:val="en-GB"/>
              </w:rPr>
            </w:pPr>
            <w:r w:rsidRPr="00D61418">
              <w:rPr>
                <w:lang w:val="en-GB"/>
              </w:rPr>
              <w:t>Issuance of Additional Complex Products</w:t>
            </w:r>
          </w:p>
        </w:tc>
        <w:tc>
          <w:tcPr>
            <w:tcW w:w="1618" w:type="dxa"/>
            <w:gridSpan w:val="2"/>
            <w:tcBorders>
              <w:top w:val="nil"/>
              <w:left w:val="nil"/>
              <w:bottom w:val="nil"/>
              <w:right w:val="nil"/>
            </w:tcBorders>
            <w:shd w:val="clear" w:color="auto" w:fill="D9D9D9" w:themeFill="background1" w:themeFillShade="D9"/>
          </w:tcPr>
          <w:p w:rsidR="0017135D" w:rsidRPr="00AB1F33" w:rsidP="00DA50B1">
            <w:pPr>
              <w:pStyle w:val="CSbody0bold"/>
            </w:pPr>
            <w:r w:rsidRPr="00AB1F33">
              <w:t>Ziffer 12</w:t>
            </w:r>
          </w:p>
        </w:tc>
        <w:tc>
          <w:tcPr>
            <w:tcW w:w="3318" w:type="dxa"/>
            <w:tcBorders>
              <w:top w:val="nil"/>
              <w:left w:val="nil"/>
              <w:bottom w:val="nil"/>
              <w:right w:val="nil"/>
            </w:tcBorders>
            <w:shd w:val="clear" w:color="auto" w:fill="D9D9D9" w:themeFill="background1" w:themeFillShade="D9"/>
          </w:tcPr>
          <w:p w:rsidR="0017135D" w:rsidP="00DA50B1">
            <w:pPr>
              <w:pStyle w:val="CSbody0bold"/>
            </w:pPr>
            <w:r w:rsidRPr="00AB1F33">
              <w:t>Begebung Zusätzlicher Komplexer Produkte</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91F10" w:rsidP="005015DA">
            <w:pPr>
              <w:pStyle w:val="CSBody8pt"/>
            </w:pPr>
            <w:r w:rsidRPr="00792D61">
              <w:rPr>
                <w:b/>
              </w:rPr>
              <w:t>[</w:t>
            </w:r>
            <w:r w:rsidRPr="005015DA">
              <w:rPr>
                <w:b/>
                <w:i/>
              </w:rPr>
              <w:t>insert in case of Complex Products with Additional Issuance Section:</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792D61">
              <w:rPr>
                <w:b/>
                <w:lang w:val="de-DE"/>
              </w:rPr>
              <w:t>[</w:t>
            </w:r>
            <w:r w:rsidRPr="005015DA">
              <w:rPr>
                <w:b/>
                <w:i/>
                <w:lang w:val="de-DE"/>
              </w:rPr>
              <w:t>bei Komplexen Produkten mit zusätzlicher Begebungsklausel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91F10" w:rsidP="005015DA">
            <w:pPr>
              <w:pStyle w:val="CSBody8pt"/>
            </w:pPr>
            <w:r w:rsidRPr="00F91F10">
              <w:t>The Issuer reserves the right from time to time and without the consent of the Holders to create or issue additional tranches of products at any time, which shall be fungible with the Complex Products (</w:t>
            </w:r>
            <w:r w:rsidRPr="007E3558">
              <w:rPr>
                <w:i/>
              </w:rPr>
              <w:t>i.e.</w:t>
            </w:r>
            <w:r w:rsidRPr="00F91F10">
              <w:t>, identical in respect of the Terms and Conditions (other than the Issue Price and the Issue Date/Payment Date) and the security numbers) so as to be consolidated and form a single series with the Complex Products.</w:t>
            </w:r>
            <w:r w:rsidRPr="00792D61">
              <w:rPr>
                <w:b/>
              </w:rPr>
              <w:t>]</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9D1540">
              <w:rPr>
                <w:lang w:val="de-DE"/>
              </w:rPr>
              <w:t>Die Emittentin behält sich das Recht vor, jederzeit und ohne Zustimmung der Inhaber zusätzliche Tranchen von Produkten aufzulegen oder zu begeben, die mit den Komplexen Produkten fungibel sind (d.h. mit den gleichen Emissionsbedingungen (mit Ausnahme des Emissionspreises und des Emissionstags/ Zahlungstags) und den gleichen Wertpapiernummern ausgestattet sind), und zwar in der Weise, dass sie mit den Komplexen Produkten zusammengefasst werden und eine einheitliche Serie bilden.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91F10" w:rsidP="005015DA">
            <w:pPr>
              <w:pStyle w:val="CSBody8pt"/>
            </w:pPr>
            <w:r w:rsidRPr="00792D61">
              <w:rPr>
                <w:b/>
              </w:rPr>
              <w:t>[</w:t>
            </w:r>
            <w:r w:rsidRPr="005015DA">
              <w:rPr>
                <w:b/>
                <w:i/>
              </w:rPr>
              <w:t>insert in case of Complex Products without Additional Issuance Section:</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792D61">
              <w:rPr>
                <w:b/>
                <w:lang w:val="de-DE"/>
              </w:rPr>
              <w:t>[</w:t>
            </w:r>
            <w:r w:rsidRPr="005015DA">
              <w:rPr>
                <w:b/>
                <w:i/>
                <w:lang w:val="de-DE"/>
              </w:rPr>
              <w:t>bei Komplexen Produkten ohne zusätzlicher Begebungsklausel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F6575" w:rsidP="005015DA">
            <w:pPr>
              <w:pStyle w:val="CSBody8pt"/>
            </w:pPr>
            <w:r w:rsidRPr="008F6575">
              <w:t>Not applicable.</w:t>
            </w:r>
            <w:r w:rsidRPr="00792D61">
              <w:rPr>
                <w:b/>
              </w:rPr>
              <w:t>]</w:t>
            </w:r>
          </w:p>
        </w:tc>
        <w:tc>
          <w:tcPr>
            <w:tcW w:w="4936" w:type="dxa"/>
            <w:gridSpan w:val="3"/>
            <w:tcBorders>
              <w:top w:val="nil"/>
              <w:bottom w:val="nil"/>
              <w:right w:val="nil"/>
            </w:tcBorders>
            <w:shd w:val="clear" w:color="auto" w:fill="auto"/>
          </w:tcPr>
          <w:p w:rsidR="0017135D" w:rsidP="005015DA">
            <w:pPr>
              <w:pStyle w:val="CSBody8pt"/>
            </w:pPr>
            <w:r w:rsidRPr="008F6575">
              <w:t>Nicht anwendbar.</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CB7313" w:rsidP="00DA50B1">
            <w:pPr>
              <w:pStyle w:val="CSbody0bold"/>
            </w:pPr>
            <w:r w:rsidRPr="00CB7313">
              <w:t>Section 13</w:t>
            </w:r>
          </w:p>
        </w:tc>
        <w:tc>
          <w:tcPr>
            <w:tcW w:w="3315" w:type="dxa"/>
            <w:gridSpan w:val="2"/>
            <w:tcBorders>
              <w:top w:val="nil"/>
              <w:left w:val="nil"/>
              <w:bottom w:val="nil"/>
              <w:right w:val="nil"/>
            </w:tcBorders>
            <w:shd w:val="clear" w:color="auto" w:fill="D9D9D9" w:themeFill="background1" w:themeFillShade="D9"/>
          </w:tcPr>
          <w:p w:rsidR="0017135D" w:rsidP="00DA50B1">
            <w:pPr>
              <w:pStyle w:val="CSbody0bold"/>
            </w:pPr>
            <w:r w:rsidRPr="00CB7313">
              <w:t>Substitution of the Issuer</w:t>
            </w:r>
          </w:p>
        </w:tc>
        <w:tc>
          <w:tcPr>
            <w:tcW w:w="1618" w:type="dxa"/>
            <w:gridSpan w:val="2"/>
            <w:tcBorders>
              <w:top w:val="nil"/>
              <w:left w:val="nil"/>
              <w:bottom w:val="nil"/>
              <w:right w:val="nil"/>
            </w:tcBorders>
            <w:shd w:val="clear" w:color="auto" w:fill="D9D9D9" w:themeFill="background1" w:themeFillShade="D9"/>
          </w:tcPr>
          <w:p w:rsidR="0017135D" w:rsidRPr="00531CAD" w:rsidP="00DA50B1">
            <w:pPr>
              <w:pStyle w:val="CSbody0bold"/>
            </w:pPr>
            <w:r w:rsidRPr="00531CAD">
              <w:t>Ziffer 13</w:t>
            </w:r>
          </w:p>
        </w:tc>
        <w:tc>
          <w:tcPr>
            <w:tcW w:w="3318" w:type="dxa"/>
            <w:tcBorders>
              <w:top w:val="nil"/>
              <w:left w:val="nil"/>
              <w:bottom w:val="nil"/>
              <w:right w:val="nil"/>
            </w:tcBorders>
            <w:shd w:val="clear" w:color="auto" w:fill="D9D9D9" w:themeFill="background1" w:themeFillShade="D9"/>
          </w:tcPr>
          <w:p w:rsidR="0017135D" w:rsidP="00DA50B1">
            <w:pPr>
              <w:pStyle w:val="CSbody0bold"/>
            </w:pPr>
            <w:r w:rsidRPr="00531CAD">
              <w:t>Ersetzung der Emittentin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5A79D4" w:rsidP="00942F00">
            <w:pPr>
              <w:pStyle w:val="CSBody8pt"/>
            </w:pPr>
            <w:r w:rsidRPr="00792D61">
              <w:rPr>
                <w:b/>
              </w:rPr>
              <w:t>[</w:t>
            </w:r>
            <w:r w:rsidRPr="005015DA">
              <w:rPr>
                <w:b/>
                <w:i/>
              </w:rPr>
              <w:t>in case of Complex Products other than Credit-Linked Complex Products with auction settlement:</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792D61">
              <w:rPr>
                <w:b/>
                <w:lang w:val="de-DE"/>
              </w:rPr>
              <w:t>[</w:t>
            </w:r>
            <w:r w:rsidRPr="005015DA">
              <w:rPr>
                <w:b/>
                <w:i/>
                <w:lang w:val="de-DE"/>
              </w:rPr>
              <w:t>bei Komplexen Produkten ausser Kreditbezogenen Komplexen Produkten mit Auktionsabwicklung: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5A79D4" w:rsidP="005015DA">
            <w:pPr>
              <w:pStyle w:val="CSBody8pt"/>
            </w:pPr>
            <w:r w:rsidRPr="005A79D4">
              <w:t>The Issuer may at any time, without the consent of the Holders, substitute for itself as principal obligor under the Complex Products any company (the "</w:t>
            </w:r>
            <w:r w:rsidRPr="00BD6E0D">
              <w:rPr>
                <w:b/>
              </w:rPr>
              <w:t>Substitute</w:t>
            </w:r>
            <w:r w:rsidRPr="005A79D4">
              <w:t>"), that is an Affiliate (as defined below) or another company with which it consolidates, into which it merges or to which it sells, leases, transfers or conveys all or substantially all its property, provided that:</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9D1540">
              <w:rPr>
                <w:lang w:val="de-DE"/>
              </w:rPr>
              <w:t>Die Emittentin ist jederzeit berechtigt, ohne Zustimmung der Inhaber sich selbst als Hauptschuldnerin in Bezug auf die Komplexen Produkte durch eine andere Gesellschaft (die "</w:t>
            </w:r>
            <w:r w:rsidRPr="00BD6E0D">
              <w:rPr>
                <w:b/>
                <w:lang w:val="de-DE"/>
              </w:rPr>
              <w:t>Ersatzemittentin</w:t>
            </w:r>
            <w:r w:rsidRPr="009D1540">
              <w:rPr>
                <w:lang w:val="de-DE"/>
              </w:rPr>
              <w:t>") zu ersetzen, wenn es sich bei dieser um ein Verbundenes Unternehmen (wie nachstehend definiert) oder um eine andere Gesellschaft handelt, mit der sie oder in das sie verschmolzen wird oder an die sie ihr gesamtes Vermögen oder im Wesentlichen ihr gesamtes Vermögen veräussert, vermietet oder überträgt, und unter der Voraussetzung, dass: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7E3558">
            <w:pPr>
              <w:pStyle w:val="CSManNum8pt"/>
            </w:pPr>
            <w:r w:rsidRPr="009D1540">
              <w:t>(i)</w:t>
            </w:r>
            <w:r w:rsidRPr="009D1540">
              <w:tab/>
              <w:t>if the Substitute is an Affiliate, the Substitute has a long</w:t>
            </w:r>
            <w:r w:rsidR="00C404CF">
              <w:t>-</w:t>
            </w:r>
            <w:r w:rsidRPr="009D1540">
              <w:t>term unsecured debt rating equal to or higher than that of the Issuer given by Moody’s Investors Service, Inc. (or an equivalent rating from another internationally recognised rating agency) or has the benefit of a guarantee from the Issuer or another Affiliate with such a debt rating;</w:t>
            </w:r>
          </w:p>
        </w:tc>
        <w:tc>
          <w:tcPr>
            <w:tcW w:w="4936" w:type="dxa"/>
            <w:gridSpan w:val="3"/>
            <w:tcBorders>
              <w:top w:val="nil"/>
              <w:bottom w:val="nil"/>
              <w:right w:val="nil"/>
            </w:tcBorders>
            <w:shd w:val="clear" w:color="auto" w:fill="auto"/>
          </w:tcPr>
          <w:p w:rsidR="0017135D" w:rsidRPr="009D1540" w:rsidP="005015DA">
            <w:pPr>
              <w:pStyle w:val="CSManNum8pt"/>
              <w:rPr>
                <w:bCs/>
                <w:lang w:val="de-DE"/>
              </w:rPr>
            </w:pPr>
            <w:r w:rsidRPr="009D1540">
              <w:rPr>
                <w:bCs/>
                <w:lang w:val="de-DE"/>
              </w:rPr>
              <w:t>(i)</w:t>
            </w:r>
            <w:r w:rsidRPr="009D1540">
              <w:rPr>
                <w:bCs/>
                <w:lang w:val="de-DE"/>
              </w:rPr>
              <w:tab/>
              <w:t xml:space="preserve">soweit es sich bei der Ersatzemittentin um ein Verbundenes Unternehmen handelt, die langfristigen nicht besicherten Verbindlichkeiten der Ersatzemittentin ein gleiches oder besseres </w:t>
            </w:r>
            <w:r w:rsidRPr="001F08E0">
              <w:rPr>
                <w:lang w:val="de-DE"/>
              </w:rPr>
              <w:t>Rating</w:t>
            </w:r>
            <w:r w:rsidRPr="009D1540">
              <w:rPr>
                <w:bCs/>
                <w:lang w:val="de-DE"/>
              </w:rPr>
              <w:t xml:space="preserve"> von Moody’s Investors Service, Inc. (oder ein vergleichbares Rating einer anderen international anerkannten Ratingagentur) erhalten haben wie die langfristigen nicht besicherten Verbindlichkeiten der Emittentin oder zu deren Gunsten eine Garantie der Emittentin oder eines anderen Verbundenen Unternehmens mit einem entsprechenden Rating besteht;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5015DA">
            <w:pPr>
              <w:pStyle w:val="CSManNum8pt"/>
            </w:pPr>
            <w:r w:rsidRPr="009D1540">
              <w:t>(ii)</w:t>
            </w:r>
            <w:r w:rsidRPr="009D1540">
              <w:tab/>
              <w:t>all actions, conditions and things required to be taken, fulfilled and done (including the obtaining of any necessary consents) to ensure that the Complex Products represent legal, valid and binding obligations of the Substitute have been taken, fulfilled and done and are in full force and effect; and</w:t>
            </w:r>
          </w:p>
        </w:tc>
        <w:tc>
          <w:tcPr>
            <w:tcW w:w="4936" w:type="dxa"/>
            <w:gridSpan w:val="3"/>
            <w:tcBorders>
              <w:top w:val="nil"/>
              <w:bottom w:val="nil"/>
              <w:right w:val="nil"/>
            </w:tcBorders>
            <w:shd w:val="clear" w:color="auto" w:fill="auto"/>
          </w:tcPr>
          <w:p w:rsidR="0017135D" w:rsidRPr="009D1540" w:rsidP="005015DA">
            <w:pPr>
              <w:pStyle w:val="CSManNum8pt"/>
              <w:rPr>
                <w:bCs/>
                <w:lang w:val="de-DE"/>
              </w:rPr>
            </w:pPr>
            <w:r w:rsidRPr="009D1540">
              <w:rPr>
                <w:bCs/>
                <w:lang w:val="de-DE"/>
              </w:rPr>
              <w:t>(ii)</w:t>
            </w:r>
            <w:r w:rsidRPr="009D1540">
              <w:rPr>
                <w:bCs/>
                <w:lang w:val="de-DE"/>
              </w:rPr>
              <w:tab/>
              <w:t>alle Massnahmen, Bedingungen und Handlungen, die eingeleitet, erfüllt oder vorgenommen werden müssen (einschliesslich der Einholung aller erforderlichen Zustimmungen) um sicherzustellen, dass die Komplexen Produkte rechtmässige, wirksame und verbindliche Verpflichtungen der Ersatzemittentin darstellen, eingeleitet, erfüllt und vorgenommen wurden und uneingeschränkt wirksam und in Kraft sind;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5015DA">
            <w:pPr>
              <w:pStyle w:val="CSManNum8pt"/>
            </w:pPr>
            <w:r w:rsidRPr="009D1540">
              <w:t>(iii)</w:t>
            </w:r>
            <w:r w:rsidRPr="009D1540">
              <w:tab/>
              <w:t xml:space="preserve">the Issuer has given prior notice of the date of such substitution to the Holders in </w:t>
            </w:r>
            <w:r w:rsidRPr="001F08E0">
              <w:rPr>
                <w:bCs/>
              </w:rPr>
              <w:t>accordance</w:t>
            </w:r>
            <w:r w:rsidRPr="009D1540">
              <w:t xml:space="preserve"> with Section 9.</w:t>
            </w:r>
          </w:p>
        </w:tc>
        <w:tc>
          <w:tcPr>
            <w:tcW w:w="4936" w:type="dxa"/>
            <w:gridSpan w:val="3"/>
            <w:tcBorders>
              <w:top w:val="nil"/>
              <w:bottom w:val="nil"/>
              <w:right w:val="nil"/>
            </w:tcBorders>
            <w:shd w:val="clear" w:color="auto" w:fill="auto"/>
          </w:tcPr>
          <w:p w:rsidR="0017135D" w:rsidRPr="009D1540" w:rsidP="005015DA">
            <w:pPr>
              <w:pStyle w:val="CSManNum8pt"/>
              <w:rPr>
                <w:bCs/>
                <w:lang w:val="de-DE"/>
              </w:rPr>
            </w:pPr>
            <w:r w:rsidRPr="009D1540">
              <w:rPr>
                <w:bCs/>
                <w:lang w:val="de-DE"/>
              </w:rPr>
              <w:t>(iii)</w:t>
            </w:r>
            <w:r w:rsidRPr="009D1540">
              <w:rPr>
                <w:bCs/>
                <w:lang w:val="de-DE"/>
              </w:rPr>
              <w:tab/>
              <w:t>die Emittentin den Inhabern den Tag dieser Ersetzung im Voraus gemäss Ziffer 8 mitgeteilt hat.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603FB" w:rsidP="005015DA">
            <w:pPr>
              <w:pStyle w:val="CSBody8pt"/>
            </w:pPr>
            <w:r w:rsidRPr="008603FB">
              <w:t>In the event of any substitution of the Issuer, any reference in these Terms and Conditions to the Issuer (including this Section 13) shall thenceforth be construed as a reference to the Substitute.</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9D1540">
              <w:rPr>
                <w:lang w:val="de-DE"/>
              </w:rPr>
              <w:t>Im Fall einer Ersetzung der Emittentin gelten sämtliche Bezugnahmen in diesen Emissionsbedingungen (inklusive dieser Ziffer 13) auf die Emittentin von diesem Zeitpunkt an als Bezugnahmen auf die Ersatzemittentin.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603FB" w:rsidP="005015DA">
            <w:pPr>
              <w:pStyle w:val="CSBody8pt"/>
            </w:pPr>
            <w:r w:rsidRPr="008603FB">
              <w:t>"</w:t>
            </w:r>
            <w:r w:rsidRPr="005015DA">
              <w:rPr>
                <w:b/>
              </w:rPr>
              <w:t>Affiliate</w:t>
            </w:r>
            <w:r w:rsidRPr="008603FB">
              <w:t>" means any entity controlled, directly or indirectly by the Issuer, any entity that controls, directly or indirectly, the Issuer or any entity under common control with the Issuer.</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9D1540">
              <w:rPr>
                <w:lang w:val="de-DE"/>
              </w:rPr>
              <w:t>"</w:t>
            </w:r>
            <w:r w:rsidRPr="005015DA">
              <w:rPr>
                <w:b/>
                <w:lang w:val="de-DE"/>
              </w:rPr>
              <w:t>Verbundenes Unternehmen</w:t>
            </w:r>
            <w:r w:rsidRPr="009D1540">
              <w:rPr>
                <w:lang w:val="de-DE"/>
              </w:rPr>
              <w:t>" bezeichnet jedes Unternehmen, das unmittelbar oder mittelbar von der Emittentin beherrscht wird, das die Emittentin unmittelbar oder mittelbar beherrscht oder das unmittelbar oder mittelbar zusammen mit der Emittentin beherrscht wird.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8603FB" w:rsidP="005015DA">
            <w:pPr>
              <w:pStyle w:val="CSBody8pt"/>
            </w:pPr>
            <w:r w:rsidRPr="008603FB">
              <w:t>The Issuer shall also have the right upon notice to Holders in accordance with Section 9 to change the office or branch through which it is acting for the purpose of the Complex Products, the date of such change to be specified in such notice, provided that no change may take place prior to the giving of such notice. In the event of any such change, any reference in these Terms and Conditions to the Issuer shall henceforth be construed as Credit Suisse AG, acting through such office or branch.</w:t>
            </w:r>
            <w:r w:rsidRPr="00792D61">
              <w:rPr>
                <w:b/>
              </w:rPr>
              <w:t>]</w:t>
            </w:r>
          </w:p>
        </w:tc>
        <w:tc>
          <w:tcPr>
            <w:tcW w:w="4936" w:type="dxa"/>
            <w:gridSpan w:val="3"/>
            <w:tcBorders>
              <w:top w:val="nil"/>
              <w:bottom w:val="nil"/>
              <w:right w:val="nil"/>
            </w:tcBorders>
            <w:shd w:val="clear" w:color="auto" w:fill="auto"/>
          </w:tcPr>
          <w:p w:rsidR="0017135D" w:rsidRPr="009D1540">
            <w:pPr>
              <w:pStyle w:val="CSBody8pt"/>
              <w:rPr>
                <w:lang w:val="de-DE"/>
              </w:rPr>
            </w:pPr>
            <w:r w:rsidRPr="009D1540">
              <w:rPr>
                <w:lang w:val="de-DE"/>
              </w:rPr>
              <w:t xml:space="preserve">Die Emittentin ist ferner berechtigt, die Geschäftsstelle oder Zweigniederlassung, über die sie für die Zwecke der Komplexen Produkte tätig ist, durch Mitteilung an die Inhaber gemäss Ziffer </w:t>
            </w:r>
            <w:r w:rsidR="001D167E">
              <w:rPr>
                <w:lang w:val="de-DE"/>
              </w:rPr>
              <w:t>9</w:t>
            </w:r>
            <w:r w:rsidRPr="009D1540" w:rsidR="001D167E">
              <w:rPr>
                <w:lang w:val="de-DE"/>
              </w:rPr>
              <w:t xml:space="preserve"> </w:t>
            </w:r>
            <w:r w:rsidRPr="009D1540">
              <w:rPr>
                <w:lang w:val="de-DE"/>
              </w:rPr>
              <w:t>zu ändern, wobei in dieser Mitteilung der Tag dieser Änderung anzugeben ist und keine Änderung ohne eine entsprechende vorherige Mitteilung vorgenommen werden kann. Im Fall einer solchen Änderung sind alle Bezugnahmen in diesen Emissionsbedingungen auf die Emittentin daher als Bezugnahmen auf Credit Suisse AG, handelnd durch eine solche Geschäftsstelle oder Zweigniederlassung, zu verstehen.</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E69E5" w:rsidP="005015DA">
            <w:pPr>
              <w:pStyle w:val="CSBody8pt"/>
            </w:pPr>
            <w:r w:rsidRPr="00792D61">
              <w:rPr>
                <w:b/>
              </w:rPr>
              <w:t>[</w:t>
            </w:r>
            <w:r w:rsidRPr="00A11A01">
              <w:rPr>
                <w:b/>
                <w:i/>
              </w:rPr>
              <w:t>in case of Credit-Linked Complex Products with auction settlement:</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792D61">
              <w:rPr>
                <w:b/>
                <w:lang w:val="de-DE"/>
              </w:rPr>
              <w:t>[</w:t>
            </w:r>
            <w:r w:rsidRPr="00A11A01">
              <w:rPr>
                <w:b/>
                <w:i/>
                <w:lang w:val="de-DE"/>
              </w:rPr>
              <w:t>bei Kreditbezogenen Komplexen Produkten mit Auktionsabwicklung: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E69E5" w:rsidP="005015DA">
            <w:pPr>
              <w:pStyle w:val="CSBody8pt"/>
            </w:pPr>
            <w:r w:rsidRPr="003E69E5">
              <w:t>The Issuer may at any time, without the consent of the Holders, substitute for itself as principal obligor under the Complex Products any company (the "</w:t>
            </w:r>
            <w:r w:rsidRPr="00A11A01">
              <w:rPr>
                <w:b/>
              </w:rPr>
              <w:t>Substitute</w:t>
            </w:r>
            <w:r w:rsidRPr="003E69E5">
              <w:t>"), that is an Affiliate (as defined below) or another company with which it consolidates, into which it merges or to which it sells, leases, transfers or conveys all or substantially all its property, provided that:</w:t>
            </w:r>
          </w:p>
        </w:tc>
        <w:tc>
          <w:tcPr>
            <w:tcW w:w="4936" w:type="dxa"/>
            <w:gridSpan w:val="3"/>
            <w:tcBorders>
              <w:top w:val="nil"/>
              <w:bottom w:val="nil"/>
              <w:right w:val="nil"/>
            </w:tcBorders>
            <w:shd w:val="clear" w:color="auto" w:fill="auto"/>
          </w:tcPr>
          <w:p w:rsidR="0017135D" w:rsidRPr="009D1540" w:rsidP="005015DA">
            <w:pPr>
              <w:pStyle w:val="CSBody8pt"/>
              <w:rPr>
                <w:lang w:val="de-DE"/>
              </w:rPr>
            </w:pPr>
            <w:r w:rsidRPr="009D1540">
              <w:rPr>
                <w:lang w:val="de-DE"/>
              </w:rPr>
              <w:t>Die Emittentin ist jederzeit berechtigt, ohne Zustimmung der Inhaber sich selbst als Hauptschuldnerin in Bezug auf die Komplexen Produkte durch eine andere Gesellschaft (die "</w:t>
            </w:r>
            <w:r w:rsidRPr="00A11A01">
              <w:rPr>
                <w:b/>
                <w:lang w:val="de-DE"/>
              </w:rPr>
              <w:t>Ersatzemittentin</w:t>
            </w:r>
            <w:r w:rsidRPr="009D1540">
              <w:rPr>
                <w:lang w:val="de-DE"/>
              </w:rPr>
              <w:t>") zu ersetzen, wenn es sich bei dieser um ein Verbundenes Unternehmen (wie nachstehend definiert) oder um eine andere Gesellschaft handelt, mit der sie oder in das sie verschmolzen wird oder an die sie ihr gesamtes Vermögen oder im Wesentlichen ihr gesamtes Vermögen veräussert, vermietet oder überträgt, und unter der Voraussetzung, dass:</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7E3558">
            <w:pPr>
              <w:pStyle w:val="CSManNum8pt"/>
            </w:pPr>
            <w:r w:rsidRPr="009D1540">
              <w:t>(i)</w:t>
            </w:r>
            <w:r w:rsidRPr="009D1540">
              <w:tab/>
              <w:t>if the Substitute is an Affiliate, the Substitute has a longterm unsecured debt rating equal to or higher than that of the Issuer given by Moody’s Investors Service, Inc. (or an equivalent rating from another internationally recognised rating agency) or has the benefit of a guarantee from the Issuer or another Affiliate with such a debt rating;</w:t>
            </w:r>
          </w:p>
        </w:tc>
        <w:tc>
          <w:tcPr>
            <w:tcW w:w="4936" w:type="dxa"/>
            <w:gridSpan w:val="3"/>
            <w:tcBorders>
              <w:top w:val="nil"/>
              <w:bottom w:val="nil"/>
              <w:right w:val="nil"/>
            </w:tcBorders>
            <w:shd w:val="clear" w:color="auto" w:fill="auto"/>
          </w:tcPr>
          <w:p w:rsidR="0017135D" w:rsidRPr="009D1540" w:rsidP="00A11A01">
            <w:pPr>
              <w:pStyle w:val="CSManNum8pt"/>
              <w:rPr>
                <w:bCs/>
                <w:lang w:val="de-DE"/>
              </w:rPr>
            </w:pPr>
            <w:r w:rsidRPr="009D1540">
              <w:rPr>
                <w:bCs/>
                <w:lang w:val="de-DE"/>
              </w:rPr>
              <w:t>(i)</w:t>
            </w:r>
            <w:r w:rsidRPr="009D1540">
              <w:rPr>
                <w:bCs/>
                <w:lang w:val="de-DE"/>
              </w:rPr>
              <w:tab/>
              <w:t xml:space="preserve">soweit es sich bei der Ersatzemittentin um ein Verbundenes Unternehmen handelt, die langfristigen nicht besicherten Verbindlichkeiten der Ersatzemittentin ein gleiches oder besseres Rating von Moody’s Investors Service, Inc. (oder ein vergleichbares Rating einer anderen international anerkannten </w:t>
            </w:r>
            <w:r w:rsidRPr="001F08E0">
              <w:rPr>
                <w:lang w:val="de-DE"/>
              </w:rPr>
              <w:t>Ratingagentur</w:t>
            </w:r>
            <w:r w:rsidRPr="009D1540">
              <w:rPr>
                <w:bCs/>
                <w:lang w:val="de-DE"/>
              </w:rPr>
              <w:t>) erhalten haben wie die langfristigen nicht besicherten Verbindlichkeiten der Emittentin oder zu deren Gunsten eine Garantie der Emittentin oder eines anderen Verbundenen Unternehmens mit einem entsprechenden Rating besteht;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A11A01">
            <w:pPr>
              <w:pStyle w:val="CSManNum8pt"/>
            </w:pPr>
            <w:r w:rsidRPr="009D1540">
              <w:t>(ii)</w:t>
            </w:r>
            <w:r w:rsidRPr="009D1540">
              <w:tab/>
              <w:t>all actions, conditions and things required to be taken, fulfilled and done (including the obtaining of any necessary consents) to ensure that the Complex Products represent legal, valid and binding obligations of the Substitute have been taken, fulfilled and done and are in full force and effect; and</w:t>
            </w:r>
          </w:p>
        </w:tc>
        <w:tc>
          <w:tcPr>
            <w:tcW w:w="4936" w:type="dxa"/>
            <w:gridSpan w:val="3"/>
            <w:tcBorders>
              <w:top w:val="nil"/>
              <w:bottom w:val="nil"/>
              <w:right w:val="nil"/>
            </w:tcBorders>
            <w:shd w:val="clear" w:color="auto" w:fill="auto"/>
          </w:tcPr>
          <w:p w:rsidR="0017135D" w:rsidRPr="009D1540" w:rsidP="00A11A01">
            <w:pPr>
              <w:pStyle w:val="CSManNum8pt"/>
              <w:rPr>
                <w:bCs/>
                <w:lang w:val="de-DE"/>
              </w:rPr>
            </w:pPr>
            <w:r w:rsidRPr="009D1540">
              <w:rPr>
                <w:bCs/>
                <w:lang w:val="de-DE"/>
              </w:rPr>
              <w:t>(ii)</w:t>
            </w:r>
            <w:r w:rsidRPr="009D1540">
              <w:rPr>
                <w:bCs/>
                <w:lang w:val="de-DE"/>
              </w:rPr>
              <w:tab/>
              <w:t>alle Massnahmen, Bedingungen und Handlungen, die eingeleitet, erfüllt oder vorgenommen werden müssen (einschliesslich der Einholung aller erforderlichen Zustimmungen) um sicherzustellen, dass die Komplexen Produkte rechtmässige, wirksame und verbindliche Verpflichtungen der Ersatzemittentin darstellen, eingeleitet, erfüllt und vorgenommen wurden und uneingeschränkt wirksam und in Kraft sind; und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D1540" w:rsidP="00A11A01">
            <w:pPr>
              <w:pStyle w:val="CSManNum8pt"/>
            </w:pPr>
            <w:r w:rsidRPr="009D1540">
              <w:t>(iii)</w:t>
            </w:r>
            <w:r w:rsidRPr="009D1540">
              <w:tab/>
              <w:t>the Issuer has given prior notice of the date of such substitution to the Holders in accordance with Section 9.</w:t>
            </w:r>
          </w:p>
        </w:tc>
        <w:tc>
          <w:tcPr>
            <w:tcW w:w="4936" w:type="dxa"/>
            <w:gridSpan w:val="3"/>
            <w:tcBorders>
              <w:top w:val="nil"/>
              <w:bottom w:val="nil"/>
              <w:right w:val="nil"/>
            </w:tcBorders>
            <w:shd w:val="clear" w:color="auto" w:fill="auto"/>
          </w:tcPr>
          <w:p w:rsidR="0017135D" w:rsidRPr="009D1540">
            <w:pPr>
              <w:pStyle w:val="CSManNum8pt"/>
              <w:rPr>
                <w:bCs/>
                <w:lang w:val="de-DE"/>
              </w:rPr>
            </w:pPr>
            <w:r w:rsidRPr="009D1540">
              <w:rPr>
                <w:bCs/>
                <w:lang w:val="de-DE"/>
              </w:rPr>
              <w:t>(iii)</w:t>
            </w:r>
            <w:r w:rsidRPr="009D1540">
              <w:rPr>
                <w:bCs/>
                <w:lang w:val="de-DE"/>
              </w:rPr>
              <w:tab/>
              <w:t>die Emittentin den Inhabern den Tag dieser Ersetzung im Vora</w:t>
            </w:r>
            <w:r w:rsidRPr="001F08E0">
              <w:rPr>
                <w:lang w:val="de-DE"/>
              </w:rPr>
              <w:t>u</w:t>
            </w:r>
            <w:r w:rsidRPr="009D1540">
              <w:rPr>
                <w:bCs/>
                <w:lang w:val="de-DE"/>
              </w:rPr>
              <w:t xml:space="preserve">s </w:t>
            </w:r>
            <w:r w:rsidRPr="001F08E0">
              <w:rPr>
                <w:lang w:val="de-DE"/>
              </w:rPr>
              <w:t>gemäss</w:t>
            </w:r>
            <w:r w:rsidRPr="009D1540">
              <w:rPr>
                <w:bCs/>
                <w:lang w:val="de-DE"/>
              </w:rPr>
              <w:t xml:space="preserve"> Ziffer </w:t>
            </w:r>
            <w:r w:rsidR="001D167E">
              <w:rPr>
                <w:bCs/>
                <w:lang w:val="de-DE"/>
              </w:rPr>
              <w:t>9</w:t>
            </w:r>
            <w:r w:rsidRPr="009D1540" w:rsidR="001D167E">
              <w:rPr>
                <w:bCs/>
                <w:lang w:val="de-DE"/>
              </w:rPr>
              <w:t xml:space="preserve"> </w:t>
            </w:r>
            <w:r w:rsidRPr="009D1540">
              <w:rPr>
                <w:bCs/>
                <w:lang w:val="de-DE"/>
              </w:rPr>
              <w:t>mitgeteilt hat.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E408C" w:rsidP="00A11A01">
            <w:pPr>
              <w:pStyle w:val="CSBody8pt"/>
            </w:pPr>
            <w:r w:rsidRPr="009E408C">
              <w:t>In the event of any substitution of the Issuer, any reference in these Terms and Conditions to the Issuer (including this Section 14) shall thenceforth be construed as a reference to the Substitute.</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Im Fall einer Ersetzung der Emittentin gelten sämtliche Bezugnahmen in diesen Emissionsbedingungen (inklusive dieser Ziffer 14) auf die Emittentin von diesem Zeitpunkt an als Bezugnahmen auf die Ersatzemittentin.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E408C" w:rsidP="00A11A01">
            <w:pPr>
              <w:pStyle w:val="CSBody8pt"/>
            </w:pPr>
            <w:r w:rsidRPr="009E408C">
              <w:t>For purposes of this Section 13, "</w:t>
            </w:r>
            <w:r w:rsidRPr="00A11A01">
              <w:rPr>
                <w:b/>
              </w:rPr>
              <w:t>Affiliate</w:t>
            </w:r>
            <w:r w:rsidRPr="009E408C">
              <w:t>" means any entity controlled, directly or indirectly by the Issuer, any entity that controls, directly or indirectly, the Issuer or any entity under common control with the Issuer.</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Für die Zwecke dieser Ziffer 13 bezeichnet "</w:t>
            </w:r>
            <w:r w:rsidRPr="00A11A01">
              <w:rPr>
                <w:b/>
                <w:lang w:val="de-DE"/>
              </w:rPr>
              <w:t>Verbundenes Unternehmen</w:t>
            </w:r>
            <w:r w:rsidRPr="009D1540">
              <w:rPr>
                <w:lang w:val="de-DE"/>
              </w:rPr>
              <w:t>" jedes Unternehmen, das unmittelbar oder mittelbar von der Emittentin beherrscht wird, das die Emittentin unmittelbar oder mittelbar beherrscht oder das unmittelbar oder mittelbar zusammen mit der Emittentin beherrscht wird.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E408C" w:rsidP="00A11A01">
            <w:pPr>
              <w:pStyle w:val="CSBody8pt"/>
            </w:pPr>
            <w:r w:rsidRPr="009E408C">
              <w:t>The Issuer shall also have the right upon notice to Holders in accordance with Section 8 to change the office or branch through which it is acting for the purpose of the Complex Products, the date of such change to be specified in such notice, provided that no change may take place prior to the giving of such notice. In the event of any such change, any reference in these Terms and Conditions to the Issuer shall henceforth be construed as Credit Suisse AG, acting through such office or branch.</w:t>
            </w:r>
            <w:r w:rsidRPr="00792D61">
              <w:rPr>
                <w:b/>
              </w:rPr>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Die Emittentin ist ferner berechtigt, die Geschäftsstelle oder Zweigniederlassung, über die sie für die Zwecke der Komplexen Produkte tätig ist, durch Mitteilung an die Inhaber gemäss Ziffer 8 zu ändern, wobei in dieser Mitteilung der Tag dieser Änderung anzugeben ist und keine Änderung ohne eine entsprechende vorherige Mitteilung vorgenommen werden kann. Im Fall einer solchen Änderung sind alle Bezugnahmen in diesen Emissionsbedingungen auf die Emittentin daher als Bezugnahmen auf Credit Suisse AG, handelnd durch eine solche Geschäftsstelle oder Zweigniederlassung, zu verstehen.</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893C4C" w:rsidP="00DA50B1">
            <w:pPr>
              <w:pStyle w:val="CSbody0bold"/>
            </w:pPr>
            <w:r w:rsidRPr="00893C4C">
              <w:t>Section 14</w:t>
            </w:r>
          </w:p>
        </w:tc>
        <w:tc>
          <w:tcPr>
            <w:tcW w:w="3315" w:type="dxa"/>
            <w:gridSpan w:val="2"/>
            <w:tcBorders>
              <w:top w:val="nil"/>
              <w:left w:val="nil"/>
              <w:bottom w:val="nil"/>
              <w:right w:val="nil"/>
            </w:tcBorders>
            <w:shd w:val="clear" w:color="auto" w:fill="D9D9D9" w:themeFill="background1" w:themeFillShade="D9"/>
          </w:tcPr>
          <w:p w:rsidR="0017135D" w:rsidP="00DA50B1">
            <w:pPr>
              <w:pStyle w:val="CSbody0bold"/>
            </w:pPr>
            <w:r w:rsidRPr="00893C4C">
              <w:t>Binding Effect</w:t>
            </w:r>
          </w:p>
        </w:tc>
        <w:tc>
          <w:tcPr>
            <w:tcW w:w="1618" w:type="dxa"/>
            <w:gridSpan w:val="2"/>
            <w:tcBorders>
              <w:top w:val="nil"/>
              <w:left w:val="nil"/>
              <w:bottom w:val="nil"/>
              <w:right w:val="nil"/>
            </w:tcBorders>
            <w:shd w:val="clear" w:color="auto" w:fill="D9D9D9" w:themeFill="background1" w:themeFillShade="D9"/>
          </w:tcPr>
          <w:p w:rsidR="0017135D" w:rsidRPr="0091192D" w:rsidP="00DA50B1">
            <w:pPr>
              <w:pStyle w:val="CSbody0bold"/>
            </w:pPr>
            <w:r w:rsidRPr="0091192D">
              <w:t>Ziffer 14</w:t>
            </w:r>
          </w:p>
        </w:tc>
        <w:tc>
          <w:tcPr>
            <w:tcW w:w="3318" w:type="dxa"/>
            <w:tcBorders>
              <w:top w:val="nil"/>
              <w:left w:val="nil"/>
              <w:bottom w:val="nil"/>
              <w:right w:val="nil"/>
            </w:tcBorders>
            <w:shd w:val="clear" w:color="auto" w:fill="D9D9D9" w:themeFill="background1" w:themeFillShade="D9"/>
          </w:tcPr>
          <w:p w:rsidR="0017135D" w:rsidP="00DA50B1">
            <w:pPr>
              <w:pStyle w:val="CSbody0bold"/>
            </w:pPr>
            <w:r w:rsidRPr="0091192D">
              <w:t>Bindungswirkung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02F1E" w:rsidP="00A11A01">
            <w:pPr>
              <w:pStyle w:val="CSBody8pt"/>
            </w:pPr>
            <w:r w:rsidRPr="00792D61">
              <w:rPr>
                <w:b/>
              </w:rPr>
              <w:t>[</w:t>
            </w:r>
            <w:r w:rsidRPr="00A11A01">
              <w:rPr>
                <w:b/>
                <w:i/>
              </w:rPr>
              <w:t>insert in case of Complex Products using Alternative 1:</w:t>
            </w:r>
          </w:p>
        </w:tc>
        <w:tc>
          <w:tcPr>
            <w:tcW w:w="4936" w:type="dxa"/>
            <w:gridSpan w:val="3"/>
            <w:tcBorders>
              <w:top w:val="nil"/>
              <w:bottom w:val="nil"/>
              <w:right w:val="nil"/>
            </w:tcBorders>
            <w:shd w:val="clear" w:color="auto" w:fill="auto"/>
          </w:tcPr>
          <w:p w:rsidR="0017135D" w:rsidRPr="009D1540" w:rsidP="00B31DB2">
            <w:pPr>
              <w:pStyle w:val="CSBody8pt"/>
              <w:rPr>
                <w:lang w:val="de-DE"/>
              </w:rPr>
            </w:pPr>
            <w:r w:rsidRPr="00792D61">
              <w:rPr>
                <w:b/>
                <w:lang w:val="de-DE"/>
              </w:rPr>
              <w:t>[</w:t>
            </w:r>
            <w:r w:rsidRPr="00A11A01">
              <w:rPr>
                <w:b/>
                <w:i/>
                <w:lang w:val="de-DE"/>
              </w:rPr>
              <w:t>bei Komplexen Produkten mit Nutzung der Alternative 1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02F1E" w:rsidP="00A11A01">
            <w:pPr>
              <w:pStyle w:val="CSBody8pt"/>
            </w:pPr>
            <w:r w:rsidRPr="00002F1E">
              <w:t>Unless otherwise specified in these Terms and Conditions, any determination or calculation made by the Calculation Agent and/or the Issuer shall be made in its discretion, provided such determination or calculation is made in good faith and in a commercially reasonable manner having regard to market practices. Any such determination or calculation shall, in the absence of manifest error, be conclusive and binding on the Calculation Agent, the Issuer and the Holders.</w:t>
            </w:r>
            <w:r w:rsidRPr="00792D61">
              <w:rPr>
                <w:b/>
              </w:rPr>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Soweit in diesen Emissionsbedingungen nicht etwas anderes angegeben ist, liegen sämtliche Feststellungen oder Berechnungen durch die Berechnungsstelle und/oder die Emittentin in deren Ermessen, vorausgesetzt, die Feststellung oder Berechnung erfolgt nach dem Grundsatz von Treu und Glauben und in wirtschaftlich vertretbarer Weise unter Berücksichtigung der Marktpraxis. Jede solche Feststellung und Berechnung ist, sofern kein offensichtlicher Irrtum vorliegt, für die Berechnungsstelle, die Emittentin und die Inhaber bindend.</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02F1E" w:rsidP="00A11A01">
            <w:pPr>
              <w:pStyle w:val="CSBody8pt"/>
            </w:pPr>
            <w:r w:rsidRPr="00792D61">
              <w:rPr>
                <w:b/>
              </w:rPr>
              <w:t>[</w:t>
            </w:r>
            <w:r w:rsidRPr="00A11A01">
              <w:rPr>
                <w:b/>
                <w:i/>
              </w:rPr>
              <w:t>insert in case of Complex Products using Alternative 2:</w:t>
            </w:r>
          </w:p>
        </w:tc>
        <w:tc>
          <w:tcPr>
            <w:tcW w:w="4936" w:type="dxa"/>
            <w:gridSpan w:val="3"/>
            <w:tcBorders>
              <w:top w:val="nil"/>
              <w:bottom w:val="nil"/>
              <w:right w:val="nil"/>
            </w:tcBorders>
            <w:shd w:val="clear" w:color="auto" w:fill="auto"/>
          </w:tcPr>
          <w:p w:rsidR="0017135D" w:rsidRPr="009D1540" w:rsidP="00B31DB2">
            <w:pPr>
              <w:pStyle w:val="CSBody8pt"/>
              <w:rPr>
                <w:lang w:val="de-DE"/>
              </w:rPr>
            </w:pPr>
            <w:r w:rsidRPr="00792D61">
              <w:rPr>
                <w:b/>
                <w:lang w:val="de-DE"/>
              </w:rPr>
              <w:t>[</w:t>
            </w:r>
            <w:r w:rsidRPr="00A11A01">
              <w:rPr>
                <w:b/>
                <w:i/>
                <w:lang w:val="de-DE"/>
              </w:rPr>
              <w:t>bei Komplexen Produkten mit Nutzung der Alternative 2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02F1E" w:rsidP="00A11A01">
            <w:pPr>
              <w:pStyle w:val="CSBody8pt"/>
            </w:pPr>
            <w:r w:rsidRPr="00002F1E">
              <w:t>Unless otherwise specified in these Terms and Conditions, any determination or calculation made by the Calculation Agent and/or the Issuer shall be made in its reasonable discretion having regard to the then prevailing market practices. Any such determination or calculation shall, in the absence of manifest error, be conclusive and binding on the Holders.</w:t>
            </w:r>
            <w:r w:rsidRPr="00792D61">
              <w:rPr>
                <w:b/>
              </w:rPr>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Soweit in diesen Emissionsbedingungen nicht etwas anderes angegeben ist, erfolgen sämtliche Feststellungen oder Berechnungen durch die Berechnungsstelle und/oder die Emittentin nach deren billigem Ermessen unter Berücksichtigung der zum betreffenden Zeitpunkt vorherrschenden Marktpraxis. Jede solche Feststellung und Berechnung ist, sofern kein offensichtlicher Irrtum vorliegt, für die Inhaber bindend.</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015B14" w:rsidP="00DA50B1">
            <w:pPr>
              <w:pStyle w:val="CSbody0bold"/>
            </w:pPr>
            <w:r w:rsidRPr="00015B14">
              <w:t>Section 15</w:t>
            </w:r>
          </w:p>
        </w:tc>
        <w:tc>
          <w:tcPr>
            <w:tcW w:w="3315" w:type="dxa"/>
            <w:gridSpan w:val="2"/>
            <w:tcBorders>
              <w:top w:val="nil"/>
              <w:left w:val="nil"/>
              <w:bottom w:val="nil"/>
              <w:right w:val="single" w:sz="4" w:space="0" w:color="auto"/>
            </w:tcBorders>
            <w:shd w:val="clear" w:color="auto" w:fill="D9D9D9" w:themeFill="background1" w:themeFillShade="D9"/>
          </w:tcPr>
          <w:p w:rsidR="0017135D" w:rsidP="00DA50B1">
            <w:pPr>
              <w:pStyle w:val="CSbody0bold"/>
            </w:pPr>
            <w:r w:rsidRPr="00015B14">
              <w:t>Liability</w:t>
            </w:r>
          </w:p>
        </w:tc>
        <w:tc>
          <w:tcPr>
            <w:tcW w:w="1618" w:type="dxa"/>
            <w:gridSpan w:val="2"/>
            <w:tcBorders>
              <w:top w:val="nil"/>
              <w:left w:val="single" w:sz="4" w:space="0" w:color="auto"/>
              <w:bottom w:val="nil"/>
              <w:right w:val="nil"/>
            </w:tcBorders>
            <w:shd w:val="clear" w:color="auto" w:fill="D9D9D9" w:themeFill="background1" w:themeFillShade="D9"/>
          </w:tcPr>
          <w:p w:rsidR="0017135D" w:rsidRPr="00417852" w:rsidP="00DA50B1">
            <w:pPr>
              <w:pStyle w:val="CSbody0bold"/>
            </w:pPr>
            <w:r w:rsidRPr="00417852">
              <w:t>Ziffer 15</w:t>
            </w:r>
          </w:p>
        </w:tc>
        <w:tc>
          <w:tcPr>
            <w:tcW w:w="3318" w:type="dxa"/>
            <w:tcBorders>
              <w:top w:val="nil"/>
              <w:left w:val="nil"/>
              <w:bottom w:val="nil"/>
              <w:right w:val="nil"/>
            </w:tcBorders>
            <w:shd w:val="clear" w:color="auto" w:fill="D9D9D9" w:themeFill="background1" w:themeFillShade="D9"/>
          </w:tcPr>
          <w:p w:rsidR="0017135D" w:rsidP="00DA50B1">
            <w:pPr>
              <w:pStyle w:val="CSbody0bold"/>
            </w:pPr>
            <w:r w:rsidRPr="00417852">
              <w:t>Haftung</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21776D" w:rsidP="00A11A01">
            <w:pPr>
              <w:pStyle w:val="CSBody8pt"/>
            </w:pPr>
            <w:r w:rsidRPr="00792D61">
              <w:rPr>
                <w:b/>
              </w:rPr>
              <w:t>[</w:t>
            </w:r>
            <w:r w:rsidRPr="00A11A01">
              <w:rPr>
                <w:b/>
                <w:i/>
              </w:rPr>
              <w:t>insert in case of Complex Products with Liability Section:</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792D61">
              <w:rPr>
                <w:b/>
                <w:lang w:val="de-DE"/>
              </w:rPr>
              <w:t>[</w:t>
            </w:r>
            <w:r w:rsidRPr="00A11A01">
              <w:rPr>
                <w:b/>
                <w:i/>
                <w:lang w:val="de-DE"/>
              </w:rPr>
              <w:t>bei Komplexen Produkten mit Haftungsklausel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21776D" w:rsidP="00A11A01">
            <w:pPr>
              <w:pStyle w:val="CSBody8pt"/>
            </w:pPr>
            <w:r w:rsidRPr="0021776D">
              <w:t>To the extent permitted by applicable law, the Issuer, the Paying Agent and the Calculation Agent shall not be liable to the Holders for indirect, incidental or consequential damages (whether or not such party has been advised of the possibility of such damages). In particular, the Issuer, the Paying Agent and the Calculation Agent shall not be responsible for the action of any third party having assumed the role as Paying Agent and Calculation Agent, respectively. Holders are not entitled to remedy on account on non-performance of the Complex Products.</w:t>
            </w:r>
            <w:r w:rsidRPr="00792D61">
              <w:rPr>
                <w:b/>
              </w:rPr>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Soweit nach geltendem Recht zulässig, haften die Emittentin, die Zahlstelle und die Berechnungsstelle den Inhabern gegenüber nicht für mittelbare, Zufalls- oder Folgeschäden (unabhängig davon, ob die betreffende Partei von der Möglichkeit solcher Schäden in Kenntnis gesetzt wurde). Insbesondere sind die Emittentin, die Zahlstelle und die Berechnungsstelle nicht verantwortlich für die Handlungen eines Dritten, der die Funktion als Zahlstelle bzw. Berechnungsstelle übernommen hat. Inhabern stehen aufgrund einer ausbleibenden Performance der Komplexen Produkte keine Ansprüche zu.</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01938" w:rsidP="00A11A01">
            <w:pPr>
              <w:pStyle w:val="CSBody8pt"/>
            </w:pPr>
            <w:r w:rsidRPr="00792D61">
              <w:rPr>
                <w:b/>
              </w:rPr>
              <w:t>[</w:t>
            </w:r>
            <w:r w:rsidRPr="00A11A01">
              <w:rPr>
                <w:b/>
                <w:i/>
              </w:rPr>
              <w:t>insert in case of Complex Products without Liability Section:</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792D61">
              <w:rPr>
                <w:b/>
                <w:lang w:val="de-DE"/>
              </w:rPr>
              <w:t>[</w:t>
            </w:r>
            <w:r w:rsidRPr="00A11A01">
              <w:rPr>
                <w:b/>
                <w:i/>
                <w:lang w:val="de-DE"/>
              </w:rPr>
              <w:t>bei Komplexen Produkten ohne Haftungsklausel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01938" w:rsidP="00A11A01">
            <w:pPr>
              <w:pStyle w:val="CSBody8pt"/>
            </w:pPr>
            <w:r w:rsidRPr="00001938">
              <w:t>Not applicable.</w:t>
            </w:r>
            <w:r w:rsidRPr="00792D61">
              <w:rPr>
                <w:b/>
              </w:rPr>
              <w:t>]</w:t>
            </w:r>
          </w:p>
        </w:tc>
        <w:tc>
          <w:tcPr>
            <w:tcW w:w="4936" w:type="dxa"/>
            <w:gridSpan w:val="3"/>
            <w:tcBorders>
              <w:top w:val="nil"/>
              <w:bottom w:val="nil"/>
              <w:right w:val="nil"/>
            </w:tcBorders>
            <w:shd w:val="clear" w:color="auto" w:fill="auto"/>
          </w:tcPr>
          <w:p w:rsidR="0017135D" w:rsidP="00A11A01">
            <w:pPr>
              <w:pStyle w:val="CSBody8pt"/>
            </w:pPr>
            <w:r w:rsidRPr="00001938">
              <w:t>Nicht anwendbar.</w:t>
            </w:r>
            <w:r w:rsidRPr="00792D61">
              <w:rPr>
                <w:b/>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F953E4" w:rsidP="00A11A01">
            <w:pPr>
              <w:pStyle w:val="CSbody0bold"/>
            </w:pPr>
            <w:r w:rsidRPr="00F953E4">
              <w:t>Section 16</w:t>
            </w:r>
          </w:p>
        </w:tc>
        <w:tc>
          <w:tcPr>
            <w:tcW w:w="3315" w:type="dxa"/>
            <w:gridSpan w:val="2"/>
            <w:tcBorders>
              <w:top w:val="nil"/>
              <w:left w:val="nil"/>
              <w:bottom w:val="nil"/>
              <w:right w:val="single" w:sz="4" w:space="0" w:color="auto"/>
            </w:tcBorders>
            <w:shd w:val="clear" w:color="auto" w:fill="D9D9D9" w:themeFill="background1" w:themeFillShade="D9"/>
          </w:tcPr>
          <w:p w:rsidR="0017135D" w:rsidP="00A11A01">
            <w:pPr>
              <w:pStyle w:val="CSbody0bold"/>
            </w:pPr>
            <w:r w:rsidRPr="00F953E4">
              <w:t>Applicable Law and Jurisdiction</w:t>
            </w:r>
          </w:p>
        </w:tc>
        <w:tc>
          <w:tcPr>
            <w:tcW w:w="1618" w:type="dxa"/>
            <w:gridSpan w:val="2"/>
            <w:tcBorders>
              <w:top w:val="nil"/>
              <w:left w:val="single" w:sz="4" w:space="0" w:color="auto"/>
              <w:bottom w:val="nil"/>
              <w:right w:val="nil"/>
            </w:tcBorders>
            <w:shd w:val="clear" w:color="auto" w:fill="D9D9D9" w:themeFill="background1" w:themeFillShade="D9"/>
          </w:tcPr>
          <w:p w:rsidR="0017135D" w:rsidRPr="00EF79EF" w:rsidP="00A11A01">
            <w:pPr>
              <w:pStyle w:val="CSbody0bold"/>
            </w:pPr>
            <w:r w:rsidRPr="00EF79EF">
              <w:t>Ziffer 16</w:t>
            </w:r>
          </w:p>
        </w:tc>
        <w:tc>
          <w:tcPr>
            <w:tcW w:w="3318" w:type="dxa"/>
            <w:tcBorders>
              <w:top w:val="nil"/>
              <w:left w:val="nil"/>
              <w:bottom w:val="nil"/>
              <w:right w:val="nil"/>
            </w:tcBorders>
            <w:shd w:val="clear" w:color="auto" w:fill="D9D9D9" w:themeFill="background1" w:themeFillShade="D9"/>
          </w:tcPr>
          <w:p w:rsidR="0017135D" w:rsidRPr="009D1540" w:rsidP="005707A0">
            <w:pPr>
              <w:pStyle w:val="CSbody0bold"/>
            </w:pPr>
            <w:r w:rsidRPr="009D1540">
              <w:t>Anwendbares Recht und Gerichtsstand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9B044A" w:rsidP="00A11A01">
            <w:pPr>
              <w:pStyle w:val="CSBody8pt"/>
            </w:pPr>
            <w:r w:rsidRPr="00792D61">
              <w:rPr>
                <w:b/>
              </w:rPr>
              <w:t>[</w:t>
            </w:r>
            <w:r w:rsidRPr="00A11A01">
              <w:rPr>
                <w:b/>
                <w:i/>
              </w:rPr>
              <w:t>insert in case of Complex Products using Alternative 1:</w:t>
            </w:r>
          </w:p>
        </w:tc>
        <w:tc>
          <w:tcPr>
            <w:tcW w:w="4936" w:type="dxa"/>
            <w:gridSpan w:val="3"/>
            <w:tcBorders>
              <w:top w:val="nil"/>
              <w:bottom w:val="nil"/>
              <w:right w:val="nil"/>
            </w:tcBorders>
            <w:shd w:val="clear" w:color="auto" w:fill="auto"/>
          </w:tcPr>
          <w:p w:rsidR="0017135D" w:rsidRPr="009D1540" w:rsidP="005707A0">
            <w:pPr>
              <w:pStyle w:val="CSBody8pt"/>
              <w:rPr>
                <w:lang w:val="de-DE"/>
              </w:rPr>
            </w:pPr>
            <w:r w:rsidRPr="00792D61">
              <w:rPr>
                <w:b/>
                <w:lang w:val="de-DE"/>
              </w:rPr>
              <w:t>[</w:t>
            </w:r>
            <w:r w:rsidRPr="00A11A01">
              <w:rPr>
                <w:b/>
                <w:i/>
                <w:lang w:val="de-DE"/>
              </w:rPr>
              <w:t>bei Komplexen Produkten mit Nutzung der Alternative 1 ein</w:t>
            </w:r>
            <w:r>
              <w:rPr>
                <w:b/>
                <w:i/>
                <w:lang w:val="de-DE"/>
              </w:rPr>
              <w:t>f</w:t>
            </w:r>
            <w:r w:rsidRPr="00A11A01">
              <w:rPr>
                <w:b/>
                <w:i/>
                <w:lang w:val="de-DE"/>
              </w:rPr>
              <w:t>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780217" w:rsidP="00A11A01">
            <w:pPr>
              <w:pStyle w:val="CSbody0bold"/>
            </w:pPr>
            <w:r w:rsidRPr="00780217">
              <w:t>Section 16.1</w:t>
            </w:r>
          </w:p>
        </w:tc>
        <w:tc>
          <w:tcPr>
            <w:tcW w:w="3315" w:type="dxa"/>
            <w:gridSpan w:val="2"/>
            <w:tcBorders>
              <w:top w:val="nil"/>
              <w:left w:val="nil"/>
              <w:bottom w:val="nil"/>
              <w:right w:val="single" w:sz="4" w:space="0" w:color="auto"/>
            </w:tcBorders>
            <w:shd w:val="clear" w:color="auto" w:fill="D9D9D9" w:themeFill="background1" w:themeFillShade="D9"/>
          </w:tcPr>
          <w:p w:rsidR="0017135D" w:rsidP="00A11A01">
            <w:pPr>
              <w:pStyle w:val="CSbody0bold"/>
            </w:pPr>
            <w:r w:rsidRPr="00780217">
              <w:t>Applicable Law</w:t>
            </w:r>
          </w:p>
        </w:tc>
        <w:tc>
          <w:tcPr>
            <w:tcW w:w="1618" w:type="dxa"/>
            <w:gridSpan w:val="2"/>
            <w:tcBorders>
              <w:top w:val="nil"/>
              <w:left w:val="single" w:sz="4" w:space="0" w:color="auto"/>
              <w:bottom w:val="nil"/>
              <w:right w:val="nil"/>
            </w:tcBorders>
            <w:shd w:val="clear" w:color="auto" w:fill="D9D9D9" w:themeFill="background1" w:themeFillShade="D9"/>
          </w:tcPr>
          <w:p w:rsidR="0017135D" w:rsidRPr="00780194" w:rsidP="00A11A01">
            <w:pPr>
              <w:pStyle w:val="CSbody0bold"/>
            </w:pPr>
            <w:r w:rsidRPr="00780194">
              <w:t>Ziffer 16.1</w:t>
            </w:r>
          </w:p>
        </w:tc>
        <w:tc>
          <w:tcPr>
            <w:tcW w:w="3318" w:type="dxa"/>
            <w:tcBorders>
              <w:top w:val="nil"/>
              <w:left w:val="nil"/>
              <w:bottom w:val="nil"/>
              <w:right w:val="nil"/>
            </w:tcBorders>
            <w:shd w:val="clear" w:color="auto" w:fill="D9D9D9" w:themeFill="background1" w:themeFillShade="D9"/>
          </w:tcPr>
          <w:p w:rsidR="0017135D" w:rsidP="00A11A01">
            <w:pPr>
              <w:pStyle w:val="CSbody0bold"/>
            </w:pPr>
            <w:r w:rsidRPr="00780194">
              <w:t>Anwendbares Recht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3C34F6" w:rsidP="00A11A01">
            <w:pPr>
              <w:pStyle w:val="CSBody8pt"/>
            </w:pPr>
            <w:r w:rsidRPr="003C34F6">
              <w:t xml:space="preserve">The Complex Products shall be subject to, governed by and construed in accordance with </w:t>
            </w:r>
            <w:r w:rsidRPr="00A11A01">
              <w:rPr>
                <w:b/>
              </w:rPr>
              <w:t>Swiss law</w:t>
            </w:r>
            <w:r w:rsidRPr="003C34F6">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 xml:space="preserve">Die Komplexen Produkte unterliegen </w:t>
            </w:r>
            <w:r w:rsidRPr="00A11A01">
              <w:rPr>
                <w:b/>
                <w:lang w:val="de-DE"/>
              </w:rPr>
              <w:t>Schweizer Recht</w:t>
            </w:r>
            <w:r w:rsidRPr="009D1540">
              <w:rPr>
                <w:lang w:val="de-DE"/>
              </w:rPr>
              <w:t xml:space="preserve"> und sind nach diesem auszulegen.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ED383A" w:rsidP="00A11A01">
            <w:pPr>
              <w:pStyle w:val="CSbody0bold"/>
            </w:pPr>
            <w:r w:rsidRPr="00ED383A">
              <w:t>Section 16.2</w:t>
            </w:r>
          </w:p>
        </w:tc>
        <w:tc>
          <w:tcPr>
            <w:tcW w:w="3315" w:type="dxa"/>
            <w:gridSpan w:val="2"/>
            <w:tcBorders>
              <w:top w:val="nil"/>
              <w:left w:val="nil"/>
              <w:bottom w:val="nil"/>
              <w:right w:val="single" w:sz="4" w:space="0" w:color="auto"/>
            </w:tcBorders>
            <w:shd w:val="clear" w:color="auto" w:fill="D9D9D9" w:themeFill="background1" w:themeFillShade="D9"/>
          </w:tcPr>
          <w:p w:rsidR="0017135D" w:rsidP="00A11A01">
            <w:pPr>
              <w:pStyle w:val="CSbody0bold"/>
            </w:pPr>
            <w:r w:rsidRPr="00ED383A">
              <w:t>Jurisdiction</w:t>
            </w:r>
          </w:p>
        </w:tc>
        <w:tc>
          <w:tcPr>
            <w:tcW w:w="1618" w:type="dxa"/>
            <w:gridSpan w:val="2"/>
            <w:tcBorders>
              <w:top w:val="nil"/>
              <w:left w:val="single" w:sz="4" w:space="0" w:color="auto"/>
              <w:bottom w:val="nil"/>
              <w:right w:val="nil"/>
            </w:tcBorders>
            <w:shd w:val="clear" w:color="auto" w:fill="D9D9D9" w:themeFill="background1" w:themeFillShade="D9"/>
          </w:tcPr>
          <w:p w:rsidR="0017135D" w:rsidRPr="009C33DB" w:rsidP="00A11A01">
            <w:pPr>
              <w:pStyle w:val="CSbody0bold"/>
            </w:pPr>
            <w:r w:rsidRPr="009C33DB">
              <w:t>Ziffer 16.2</w:t>
            </w:r>
          </w:p>
        </w:tc>
        <w:tc>
          <w:tcPr>
            <w:tcW w:w="3318" w:type="dxa"/>
            <w:tcBorders>
              <w:top w:val="nil"/>
              <w:left w:val="nil"/>
              <w:bottom w:val="nil"/>
              <w:right w:val="nil"/>
            </w:tcBorders>
            <w:shd w:val="clear" w:color="auto" w:fill="D9D9D9" w:themeFill="background1" w:themeFillShade="D9"/>
          </w:tcPr>
          <w:p w:rsidR="0017135D" w:rsidP="00A11A01">
            <w:pPr>
              <w:pStyle w:val="CSbody0bold"/>
            </w:pPr>
            <w:r w:rsidRPr="009C33DB">
              <w:t>Gerichtsstand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838C9" w:rsidP="00A11A01">
            <w:pPr>
              <w:pStyle w:val="CSBody8pt"/>
            </w:pPr>
            <w:r w:rsidRPr="00C838C9">
              <w:t xml:space="preserve">The exclusive place of jurisdiction for disputes between the Holders and the Issuer regarding the Complex Products shall be </w:t>
            </w:r>
            <w:r w:rsidRPr="00A11A01">
              <w:rPr>
                <w:b/>
              </w:rPr>
              <w:t>Zurich 1</w:t>
            </w:r>
            <w:r w:rsidRPr="00C838C9">
              <w:t>, Switzerland.</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 xml:space="preserve">Ausschliesslicher Gerichtsstand für Streitigkeiten zwischen den Inhabern und der Emittentin in Bezug auf die Komplexen Produkte ist </w:t>
            </w:r>
            <w:r w:rsidRPr="00A11A01">
              <w:rPr>
                <w:b/>
                <w:lang w:val="de-DE"/>
              </w:rPr>
              <w:t>Zürich 1</w:t>
            </w:r>
            <w:r w:rsidRPr="009D1540">
              <w:rPr>
                <w:lang w:val="de-DE"/>
              </w:rPr>
              <w:t>, Schweiz.</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838C9" w:rsidP="00A11A01">
            <w:pPr>
              <w:pStyle w:val="CSBody8pt"/>
            </w:pPr>
            <w:r w:rsidRPr="00C838C9">
              <w:t>In addition, Zurich 1, Switzerland, shall be the exclusive place of jurisdiction for the declaration of the annulment of the Complex Products, if printed, and their subsequent replacement.</w:t>
            </w:r>
            <w:r w:rsidRPr="00792D61">
              <w:rPr>
                <w:b/>
              </w:rPr>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Ferner ist Zürich 1, Schweiz, ausschliesslicher Gerichtsstand für die Kraftloserklärung der Komplexen Produkte, soweit diese in Druckform vorliegen, sowie deren anschliessende Ersetzung.</w:t>
            </w:r>
            <w:r w:rsidRPr="00792D61">
              <w:rPr>
                <w:b/>
                <w:lang w:val="de-DE"/>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C838C9" w:rsidP="00A11A01">
            <w:pPr>
              <w:pStyle w:val="CSBody8pt"/>
            </w:pPr>
            <w:r w:rsidRPr="00792D61">
              <w:rPr>
                <w:b/>
              </w:rPr>
              <w:t>[</w:t>
            </w:r>
            <w:r w:rsidRPr="00A11A01">
              <w:rPr>
                <w:b/>
                <w:i/>
              </w:rPr>
              <w:t>insert in case of Complex Products using Alternative 2:</w:t>
            </w:r>
          </w:p>
        </w:tc>
        <w:tc>
          <w:tcPr>
            <w:tcW w:w="4936" w:type="dxa"/>
            <w:gridSpan w:val="3"/>
            <w:tcBorders>
              <w:top w:val="nil"/>
              <w:bottom w:val="nil"/>
              <w:right w:val="nil"/>
            </w:tcBorders>
            <w:shd w:val="clear" w:color="auto" w:fill="auto"/>
          </w:tcPr>
          <w:p w:rsidR="0017135D" w:rsidRPr="009D1540">
            <w:pPr>
              <w:pStyle w:val="CSBody8pt"/>
              <w:rPr>
                <w:lang w:val="de-DE"/>
              </w:rPr>
            </w:pPr>
            <w:r w:rsidRPr="00792D61">
              <w:rPr>
                <w:b/>
                <w:lang w:val="de-DE"/>
              </w:rPr>
              <w:t>[</w:t>
            </w:r>
            <w:r w:rsidRPr="00A11A01">
              <w:rPr>
                <w:b/>
                <w:i/>
                <w:lang w:val="de-DE"/>
              </w:rPr>
              <w:t>bei Komplexen Produkten mit Nutzung der Alternative 2 einfügen: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D66DE3" w:rsidP="00A11A01">
            <w:pPr>
              <w:pStyle w:val="CSbody0bold"/>
            </w:pPr>
            <w:r w:rsidRPr="00D66DE3">
              <w:t>Section 16.1</w:t>
            </w:r>
          </w:p>
        </w:tc>
        <w:tc>
          <w:tcPr>
            <w:tcW w:w="3315" w:type="dxa"/>
            <w:gridSpan w:val="2"/>
            <w:tcBorders>
              <w:top w:val="nil"/>
              <w:left w:val="nil"/>
              <w:bottom w:val="nil"/>
              <w:right w:val="single" w:sz="4" w:space="0" w:color="auto"/>
            </w:tcBorders>
            <w:shd w:val="clear" w:color="auto" w:fill="D9D9D9" w:themeFill="background1" w:themeFillShade="D9"/>
          </w:tcPr>
          <w:p w:rsidR="0017135D" w:rsidP="00A11A01">
            <w:pPr>
              <w:pStyle w:val="CSbody0bold"/>
            </w:pPr>
            <w:r w:rsidRPr="00D66DE3">
              <w:t>Applicable Law</w:t>
            </w:r>
          </w:p>
        </w:tc>
        <w:tc>
          <w:tcPr>
            <w:tcW w:w="1618" w:type="dxa"/>
            <w:gridSpan w:val="2"/>
            <w:tcBorders>
              <w:top w:val="nil"/>
              <w:left w:val="single" w:sz="4" w:space="0" w:color="auto"/>
              <w:bottom w:val="nil"/>
              <w:right w:val="nil"/>
            </w:tcBorders>
            <w:shd w:val="clear" w:color="auto" w:fill="D9D9D9" w:themeFill="background1" w:themeFillShade="D9"/>
          </w:tcPr>
          <w:p w:rsidR="0017135D" w:rsidRPr="00D3642C" w:rsidP="00A11A01">
            <w:pPr>
              <w:pStyle w:val="CSbody0bold"/>
            </w:pPr>
            <w:r w:rsidRPr="00D3642C">
              <w:t>Ziffer 16.1</w:t>
            </w:r>
          </w:p>
        </w:tc>
        <w:tc>
          <w:tcPr>
            <w:tcW w:w="3318" w:type="dxa"/>
            <w:tcBorders>
              <w:top w:val="nil"/>
              <w:left w:val="nil"/>
              <w:bottom w:val="nil"/>
              <w:right w:val="nil"/>
            </w:tcBorders>
            <w:shd w:val="clear" w:color="auto" w:fill="D9D9D9" w:themeFill="background1" w:themeFillShade="D9"/>
          </w:tcPr>
          <w:p w:rsidR="0017135D" w:rsidP="00A11A01">
            <w:pPr>
              <w:pStyle w:val="CSbody0bold"/>
            </w:pPr>
            <w:r w:rsidRPr="00D3642C">
              <w:t>Anwendbares Recht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F20D00" w:rsidP="00A11A01">
            <w:pPr>
              <w:pStyle w:val="CSBody8pt"/>
            </w:pPr>
            <w:r w:rsidRPr="00F20D00">
              <w:t xml:space="preserve">The Complex Products shall be subject to, governed by and construed in accordance with </w:t>
            </w:r>
            <w:r w:rsidRPr="00A11A01">
              <w:rPr>
                <w:b/>
              </w:rPr>
              <w:t>Swiss law</w:t>
            </w:r>
            <w:r w:rsidRPr="00F20D00">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 xml:space="preserve">Die Komplexen Produkte unterliegen </w:t>
            </w:r>
            <w:r w:rsidRPr="00A11A01">
              <w:rPr>
                <w:b/>
                <w:lang w:val="de-DE"/>
              </w:rPr>
              <w:t>Schweizer Recht</w:t>
            </w:r>
            <w:r w:rsidRPr="009D1540">
              <w:rPr>
                <w:lang w:val="de-DE"/>
              </w:rPr>
              <w:t xml:space="preserve"> und sind nach diesem auszulegen.</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824B4D" w:rsidP="00A11A01">
            <w:pPr>
              <w:pStyle w:val="CSbody0bold"/>
            </w:pPr>
            <w:r w:rsidRPr="00824B4D">
              <w:t>Section 16.2</w:t>
            </w:r>
          </w:p>
        </w:tc>
        <w:tc>
          <w:tcPr>
            <w:tcW w:w="3315" w:type="dxa"/>
            <w:gridSpan w:val="2"/>
            <w:tcBorders>
              <w:top w:val="nil"/>
              <w:left w:val="nil"/>
              <w:bottom w:val="nil"/>
              <w:right w:val="single" w:sz="4" w:space="0" w:color="auto"/>
            </w:tcBorders>
            <w:shd w:val="clear" w:color="auto" w:fill="D9D9D9" w:themeFill="background1" w:themeFillShade="D9"/>
          </w:tcPr>
          <w:p w:rsidR="0017135D" w:rsidP="00A11A01">
            <w:pPr>
              <w:pStyle w:val="CSbody0bold"/>
            </w:pPr>
            <w:r w:rsidRPr="00824B4D">
              <w:t>Jurisdiction</w:t>
            </w:r>
          </w:p>
        </w:tc>
        <w:tc>
          <w:tcPr>
            <w:tcW w:w="1618" w:type="dxa"/>
            <w:gridSpan w:val="2"/>
            <w:tcBorders>
              <w:top w:val="nil"/>
              <w:left w:val="single" w:sz="4" w:space="0" w:color="auto"/>
              <w:bottom w:val="nil"/>
              <w:right w:val="nil"/>
            </w:tcBorders>
            <w:shd w:val="clear" w:color="auto" w:fill="D9D9D9" w:themeFill="background1" w:themeFillShade="D9"/>
          </w:tcPr>
          <w:p w:rsidR="0017135D" w:rsidRPr="003D38EF" w:rsidP="00A11A01">
            <w:pPr>
              <w:pStyle w:val="CSbody0bold"/>
            </w:pPr>
            <w:r w:rsidRPr="003D38EF">
              <w:t>Ziffer 16.2</w:t>
            </w:r>
          </w:p>
        </w:tc>
        <w:tc>
          <w:tcPr>
            <w:tcW w:w="3318" w:type="dxa"/>
            <w:tcBorders>
              <w:top w:val="nil"/>
              <w:left w:val="nil"/>
              <w:bottom w:val="nil"/>
              <w:right w:val="nil"/>
            </w:tcBorders>
            <w:shd w:val="clear" w:color="auto" w:fill="D9D9D9" w:themeFill="background1" w:themeFillShade="D9"/>
          </w:tcPr>
          <w:p w:rsidR="0017135D" w:rsidP="00A11A01">
            <w:pPr>
              <w:pStyle w:val="CSbody0bold"/>
            </w:pPr>
            <w:r w:rsidRPr="003D38EF">
              <w:t>Gerichtsstand</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222720" w:rsidP="00A11A01">
            <w:pPr>
              <w:pStyle w:val="CSBody8pt"/>
            </w:pPr>
            <w:r w:rsidRPr="00222720">
              <w:t xml:space="preserve">The non-exclusive place of jurisdiction for disputes between the Holders and the Issuer regarding the Complex Products shall be </w:t>
            </w:r>
            <w:r w:rsidRPr="00A11A01">
              <w:rPr>
                <w:b/>
              </w:rPr>
              <w:t>Zurich 1</w:t>
            </w:r>
            <w:r w:rsidRPr="00222720">
              <w:t>, Switzerland.</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 xml:space="preserve">Nicht-ausschliesslicher Gerichtsstand für Streitigkeiten zwischen den Inhabern und der Emittentin in Bezug auf die Komplexen Produkte ist </w:t>
            </w:r>
            <w:r w:rsidRPr="00A11A01">
              <w:rPr>
                <w:b/>
                <w:lang w:val="de-DE"/>
              </w:rPr>
              <w:t>Zürich 1</w:t>
            </w:r>
            <w:r w:rsidRPr="009D1540">
              <w:rPr>
                <w:lang w:val="de-DE"/>
              </w:rPr>
              <w:t>, Schweiz.</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222720" w:rsidP="00A11A01">
            <w:pPr>
              <w:pStyle w:val="CSBody8pt"/>
            </w:pPr>
            <w:r w:rsidRPr="00222720">
              <w:t>In addition, Zurich 1, Switzerland, shall be the exclusive place of jurisdiction for the declaration of the annulment of the Complex Products, if printed, and their subsequent replacement.</w:t>
            </w:r>
            <w:r w:rsidRPr="00792D61">
              <w:rPr>
                <w:b/>
              </w:rPr>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Ferner ist Zürich 1, Schweiz, ausschliesslicher Gerichtsstand für die Kraftloserklärung der Komplexen Produkte, soweit diese in Druckform vorliegen, sowie deren anschliessende Ersetzung.</w:t>
            </w:r>
            <w:r w:rsidRPr="00792D61">
              <w:rPr>
                <w:b/>
                <w:lang w:val="de-DE"/>
              </w:rPr>
              <w:t>]</w:t>
            </w:r>
          </w:p>
        </w:tc>
      </w:tr>
      <w:tr w:rsidTr="004C1EBA">
        <w:tblPrEx>
          <w:tblW w:w="4999" w:type="pct"/>
          <w:tblLayout w:type="fixed"/>
          <w:tblCellMar>
            <w:left w:w="115" w:type="dxa"/>
            <w:right w:w="115" w:type="dxa"/>
          </w:tblCellMar>
          <w:tblLook w:val="04A0"/>
        </w:tblPrEx>
        <w:tc>
          <w:tcPr>
            <w:tcW w:w="1616" w:type="dxa"/>
            <w:gridSpan w:val="3"/>
            <w:tcBorders>
              <w:top w:val="nil"/>
              <w:left w:val="nil"/>
              <w:bottom w:val="nil"/>
              <w:right w:val="nil"/>
            </w:tcBorders>
            <w:shd w:val="clear" w:color="auto" w:fill="D9D9D9" w:themeFill="background1" w:themeFillShade="D9"/>
          </w:tcPr>
          <w:p w:rsidR="0017135D" w:rsidRPr="00614AE1" w:rsidP="00DA50B1">
            <w:pPr>
              <w:pStyle w:val="CSbody0bold"/>
            </w:pPr>
            <w:r w:rsidRPr="00614AE1">
              <w:t>Section 17</w:t>
            </w:r>
          </w:p>
        </w:tc>
        <w:tc>
          <w:tcPr>
            <w:tcW w:w="3315" w:type="dxa"/>
            <w:gridSpan w:val="2"/>
            <w:tcBorders>
              <w:top w:val="nil"/>
              <w:left w:val="nil"/>
              <w:bottom w:val="nil"/>
              <w:right w:val="single" w:sz="4" w:space="0" w:color="auto"/>
            </w:tcBorders>
            <w:shd w:val="clear" w:color="auto" w:fill="D9D9D9" w:themeFill="background1" w:themeFillShade="D9"/>
          </w:tcPr>
          <w:p w:rsidR="0017135D" w:rsidP="00DA50B1">
            <w:pPr>
              <w:pStyle w:val="CSbody0bold"/>
            </w:pPr>
            <w:r w:rsidRPr="00614AE1">
              <w:t>Language</w:t>
            </w:r>
          </w:p>
        </w:tc>
        <w:tc>
          <w:tcPr>
            <w:tcW w:w="1618" w:type="dxa"/>
            <w:gridSpan w:val="2"/>
            <w:tcBorders>
              <w:top w:val="nil"/>
              <w:left w:val="single" w:sz="4" w:space="0" w:color="auto"/>
              <w:bottom w:val="nil"/>
              <w:right w:val="nil"/>
            </w:tcBorders>
            <w:shd w:val="clear" w:color="auto" w:fill="D9D9D9" w:themeFill="background1" w:themeFillShade="D9"/>
          </w:tcPr>
          <w:p w:rsidR="0017135D" w:rsidRPr="007E6B23" w:rsidP="00DA50B1">
            <w:pPr>
              <w:pStyle w:val="CSbody0bold"/>
            </w:pPr>
            <w:r w:rsidRPr="007E6B23">
              <w:t>Ziffer 17</w:t>
            </w:r>
          </w:p>
        </w:tc>
        <w:tc>
          <w:tcPr>
            <w:tcW w:w="3318" w:type="dxa"/>
            <w:tcBorders>
              <w:top w:val="nil"/>
              <w:left w:val="nil"/>
              <w:bottom w:val="nil"/>
              <w:right w:val="nil"/>
            </w:tcBorders>
            <w:shd w:val="clear" w:color="auto" w:fill="D9D9D9" w:themeFill="background1" w:themeFillShade="D9"/>
          </w:tcPr>
          <w:p w:rsidR="0017135D" w:rsidP="00DA50B1">
            <w:pPr>
              <w:pStyle w:val="CSbody0bold"/>
            </w:pPr>
            <w:r w:rsidRPr="007E6B23">
              <w:t>Sprache</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A6C62" w:rsidP="00A11A01">
            <w:pPr>
              <w:pStyle w:val="CSBody8pt"/>
            </w:pPr>
            <w:r w:rsidRPr="00792D61">
              <w:rPr>
                <w:b/>
              </w:rPr>
              <w:t>[</w:t>
            </w:r>
            <w:r w:rsidRPr="00A11A01">
              <w:rPr>
                <w:b/>
                <w:i/>
              </w:rPr>
              <w:t>insert in case of Complex Products with English as binding language of the Final Terms:</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792D61">
              <w:rPr>
                <w:b/>
                <w:lang w:val="de-DE"/>
              </w:rPr>
              <w:t>[</w:t>
            </w:r>
            <w:r w:rsidRPr="00A11A01">
              <w:rPr>
                <w:b/>
                <w:i/>
                <w:lang w:val="de-DE"/>
              </w:rPr>
              <w:t>bei Komplexen Produkten mit englischer verbindlicher Sprachfassung der Endgültigen Bedingungen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0A6C62">
            <w:pPr>
              <w:pStyle w:val="CSBody8pt"/>
            </w:pPr>
            <w:r w:rsidRPr="000A6C62">
              <w:t>These Terms and Conditions are written in the English</w:t>
            </w:r>
            <w:r w:rsidR="00D0330B">
              <w:t xml:space="preserve"> </w:t>
            </w:r>
            <w:r w:rsidRPr="000A6C62">
              <w:t>language and provided with a German language translation. The English text shall be controlling and binding. The German</w:t>
            </w:r>
            <w:r w:rsidR="00D0330B">
              <w:t xml:space="preserve"> </w:t>
            </w:r>
            <w:r w:rsidRPr="000A6C62">
              <w:t>language translation of these Terms and Conditions is provided for convenience only.</w:t>
            </w:r>
            <w:r w:rsidRPr="00792D61">
              <w:rPr>
                <w:b/>
              </w:rPr>
              <w:t>]</w:t>
            </w:r>
          </w:p>
        </w:tc>
        <w:tc>
          <w:tcPr>
            <w:tcW w:w="4936" w:type="dxa"/>
            <w:gridSpan w:val="3"/>
            <w:tcBorders>
              <w:top w:val="nil"/>
              <w:bottom w:val="nil"/>
              <w:right w:val="nil"/>
            </w:tcBorders>
            <w:shd w:val="clear" w:color="auto" w:fill="auto"/>
          </w:tcPr>
          <w:p w:rsidR="0017135D" w:rsidP="00A11A01">
            <w:pPr>
              <w:pStyle w:val="CSBody8pt"/>
            </w:pPr>
            <w:r w:rsidRPr="009D1540">
              <w:rPr>
                <w:lang w:val="de-DE"/>
              </w:rPr>
              <w:t xml:space="preserve">Diese Emissionsbedingungen sind in englischer Sprache abgefasst. Eine Übersetzung in die deutsche Sprache ist beigefügt. Der englische Text ist bindend und massgeblich. </w:t>
            </w:r>
            <w:r w:rsidRPr="000A6C62">
              <w:t>Die deutsche Übersetzung dieser Emissionsbedingungen ist unverbindlich.</w:t>
            </w:r>
            <w:r w:rsidRPr="00792D61">
              <w:rPr>
                <w:b/>
              </w:rPr>
              <w:t>]</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11510" w:rsidP="00A11A01">
            <w:pPr>
              <w:pStyle w:val="CSBody8pt"/>
            </w:pPr>
            <w:r w:rsidRPr="00792D61">
              <w:rPr>
                <w:b/>
              </w:rPr>
              <w:t>[</w:t>
            </w:r>
            <w:r w:rsidRPr="00A11A01">
              <w:rPr>
                <w:b/>
                <w:i/>
              </w:rPr>
              <w:t>insert in case of Complex Products with German as binding language of the Final Terms:</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792D61">
              <w:rPr>
                <w:b/>
                <w:lang w:val="de-DE"/>
              </w:rPr>
              <w:t>[</w:t>
            </w:r>
            <w:r w:rsidRPr="00A11A01">
              <w:rPr>
                <w:b/>
                <w:i/>
                <w:lang w:val="de-DE"/>
              </w:rPr>
              <w:t>bei Komplexen Produkten mit deutscher verbindlicher Sprachfassung der Endgültigen Bedingungen einfügen:</w:t>
            </w:r>
          </w:p>
        </w:tc>
      </w:tr>
      <w:tr w:rsidTr="004C1EBA">
        <w:tblPrEx>
          <w:tblW w:w="4999" w:type="pct"/>
          <w:tblLayout w:type="fixed"/>
          <w:tblCellMar>
            <w:left w:w="115" w:type="dxa"/>
            <w:right w:w="115" w:type="dxa"/>
          </w:tblCellMar>
          <w:tblLook w:val="04A0"/>
        </w:tblPrEx>
        <w:tc>
          <w:tcPr>
            <w:tcW w:w="4931" w:type="dxa"/>
            <w:gridSpan w:val="5"/>
            <w:tcBorders>
              <w:top w:val="nil"/>
              <w:left w:val="nil"/>
              <w:bottom w:val="nil"/>
            </w:tcBorders>
            <w:shd w:val="clear" w:color="auto" w:fill="auto"/>
          </w:tcPr>
          <w:p w:rsidR="0017135D" w:rsidRPr="00A11510" w:rsidP="00A11A01">
            <w:pPr>
              <w:pStyle w:val="CSBody8pt"/>
            </w:pPr>
            <w:r w:rsidRPr="00A11510">
              <w:t>These Terms and Conditions are written in the German language and provided with an English language translation. The German text shall be controlling and binding. The English language translation of these Terms and Conditions is provided for convenience only.</w:t>
            </w:r>
            <w:r w:rsidRPr="00792D61">
              <w:rPr>
                <w:b/>
              </w:rPr>
              <w:t>]</w:t>
            </w:r>
          </w:p>
        </w:tc>
        <w:tc>
          <w:tcPr>
            <w:tcW w:w="4936" w:type="dxa"/>
            <w:gridSpan w:val="3"/>
            <w:tcBorders>
              <w:top w:val="nil"/>
              <w:bottom w:val="nil"/>
              <w:right w:val="nil"/>
            </w:tcBorders>
            <w:shd w:val="clear" w:color="auto" w:fill="auto"/>
          </w:tcPr>
          <w:p w:rsidR="0017135D" w:rsidRPr="009D1540" w:rsidP="00A11A01">
            <w:pPr>
              <w:pStyle w:val="CSBody8pt"/>
              <w:rPr>
                <w:lang w:val="de-DE"/>
              </w:rPr>
            </w:pPr>
            <w:r w:rsidRPr="009D1540">
              <w:rPr>
                <w:lang w:val="de-DE"/>
              </w:rPr>
              <w:t>Diese Emissionsbedingungen sind in deutscher Sprache abgefasst. Eine Übersetzung in die englische Sprache ist beigefügt. Der deutsche Text ist bindend und massgeblich. Die englische Übersetzung dieser Emissionsbedingungen ist unverbindlich.</w:t>
            </w:r>
            <w:r w:rsidRPr="00792D61">
              <w:rPr>
                <w:b/>
                <w:lang w:val="de-DE"/>
              </w:rPr>
              <w:t>]</w:t>
            </w:r>
          </w:p>
        </w:tc>
      </w:tr>
    </w:tbl>
    <w:p w:rsidR="0017135D" w:rsidRPr="009D1540" w:rsidP="00A11A01">
      <w:pPr>
        <w:pStyle w:val="CSBody8pt"/>
        <w:rPr>
          <w:lang w:val="de-DE"/>
        </w:rPr>
      </w:pPr>
    </w:p>
    <w:tbl>
      <w:tblPr>
        <w:tblW w:w="5000"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
      <w:tblGrid>
        <w:gridCol w:w="4934"/>
        <w:gridCol w:w="4935"/>
      </w:tblGrid>
      <w:tr w:rsidTr="002F43B8">
        <w:tblPrEx>
          <w:tblW w:w="5000"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Ex>
        <w:trPr>
          <w:trHeight w:val="281"/>
        </w:trPr>
        <w:tc>
          <w:tcPr>
            <w:tcW w:w="4934" w:type="dxa"/>
            <w:tcBorders>
              <w:top w:val="nil"/>
              <w:left w:val="nil"/>
              <w:bottom w:val="nil"/>
            </w:tcBorders>
            <w:shd w:val="clear" w:color="auto" w:fill="auto"/>
          </w:tcPr>
          <w:p w:rsidR="0041243C" w:rsidRPr="003F7EDA" w:rsidP="001F4DA4">
            <w:pPr>
              <w:pStyle w:val="CSImportantNotice"/>
            </w:pPr>
            <w:r w:rsidRPr="003F7EDA">
              <w:t>Index of the Additional Credit Derivatives Definitions in the Terms and Conditions</w:t>
            </w:r>
          </w:p>
        </w:tc>
        <w:tc>
          <w:tcPr>
            <w:tcW w:w="4935" w:type="dxa"/>
            <w:tcBorders>
              <w:top w:val="nil"/>
              <w:right w:val="nil"/>
            </w:tcBorders>
            <w:shd w:val="clear" w:color="auto" w:fill="auto"/>
          </w:tcPr>
          <w:p w:rsidR="0041243C" w:rsidRPr="002F43B8" w:rsidP="001F4DA4">
            <w:pPr>
              <w:pStyle w:val="CSImportantNotice"/>
              <w:rPr>
                <w:lang w:val="de-DE"/>
              </w:rPr>
            </w:pPr>
            <w:r w:rsidRPr="002F43B8">
              <w:rPr>
                <w:lang w:val="de-DE"/>
              </w:rPr>
              <w:t>Index der Weiteren Kreditderivatdefinitionen in den Emissionsbedingungen</w:t>
            </w:r>
          </w:p>
        </w:tc>
      </w:tr>
      <w:tr w:rsidTr="002F43B8">
        <w:tblPrEx>
          <w:tblW w:w="5000" w:type="pct"/>
          <w:tblLayout w:type="fixed"/>
          <w:tblCellMar>
            <w:left w:w="115" w:type="dxa"/>
            <w:right w:w="115" w:type="dxa"/>
          </w:tblCellMar>
          <w:tblLook w:val="04A0"/>
        </w:tblPrEx>
        <w:trPr>
          <w:trHeight w:val="118"/>
        </w:trPr>
        <w:tc>
          <w:tcPr>
            <w:tcW w:w="4934" w:type="dxa"/>
            <w:tcBorders>
              <w:top w:val="nil"/>
              <w:left w:val="nil"/>
              <w:bottom w:val="nil"/>
            </w:tcBorders>
            <w:shd w:val="clear" w:color="auto" w:fill="auto"/>
          </w:tcPr>
          <w:p w:rsidR="0041243C" w:rsidRPr="002F43B8" w:rsidP="001F4DA4">
            <w:pPr>
              <w:pStyle w:val="CSbody0bold"/>
              <w:jc w:val="right"/>
            </w:pPr>
            <w:r>
              <w:t>Page</w:t>
            </w:r>
          </w:p>
        </w:tc>
        <w:tc>
          <w:tcPr>
            <w:tcW w:w="4935" w:type="dxa"/>
            <w:tcBorders>
              <w:right w:val="nil"/>
            </w:tcBorders>
            <w:shd w:val="clear" w:color="auto" w:fill="auto"/>
          </w:tcPr>
          <w:p w:rsidR="0041243C" w:rsidRPr="00891C12" w:rsidP="001F4DA4">
            <w:pPr>
              <w:pStyle w:val="CSbody0bold"/>
              <w:jc w:val="right"/>
            </w:pPr>
            <w:r>
              <w:t>Seite</w:t>
            </w:r>
          </w:p>
        </w:tc>
      </w:tr>
      <w:tr w:rsidTr="002F43B8">
        <w:tblPrEx>
          <w:tblW w:w="5000" w:type="pct"/>
          <w:tblLayout w:type="fixed"/>
          <w:tblCellMar>
            <w:left w:w="115" w:type="dxa"/>
            <w:right w:w="115" w:type="dxa"/>
          </w:tblCellMar>
          <w:tblLook w:val="04A0"/>
        </w:tblPrEx>
        <w:trPr>
          <w:trHeight w:val="118"/>
        </w:trPr>
        <w:tc>
          <w:tcPr>
            <w:tcW w:w="4934" w:type="dxa"/>
            <w:tcBorders>
              <w:top w:val="nil"/>
              <w:left w:val="nil"/>
              <w:bottom w:val="nil"/>
            </w:tcBorders>
            <w:shd w:val="clear" w:color="auto" w:fill="auto"/>
          </w:tcPr>
          <w:p w:rsidR="00AB5C77">
            <w:pPr>
              <w:pStyle w:val="Index1"/>
              <w:rPr>
                <w:noProof/>
              </w:rPr>
            </w:pPr>
            <w:r>
              <w:rPr>
                <w:lang w:val="de-DE"/>
              </w:rPr>
              <w:fldChar w:fldCharType="begin"/>
            </w:r>
            <w:r>
              <w:rPr>
                <w:lang w:val="de-DE"/>
              </w:rPr>
              <w:instrText xml:space="preserve"> INDEX \e "</w:instrText>
            </w:r>
            <w:r>
              <w:rPr>
                <w:lang w:val="de-DE"/>
              </w:rPr>
              <w:tab/>
              <w:instrText xml:space="preserve">" \f "EN"" \z "2057" </w:instrText>
            </w:r>
            <w:r>
              <w:rPr>
                <w:lang w:val="de-DE"/>
              </w:rPr>
              <w:fldChar w:fldCharType="separate"/>
            </w:r>
            <w:r w:rsidRPr="00224529">
              <w:rPr>
                <w:noProof/>
                <w:lang w:val="de-DE"/>
              </w:rPr>
              <w:t>2014 Credit Derivatives Definitions</w:t>
            </w:r>
            <w:r>
              <w:rPr>
                <w:noProof/>
              </w:rPr>
              <w:tab/>
              <w:t>429</w:t>
            </w:r>
          </w:p>
          <w:p w:rsidR="00AB5C77">
            <w:pPr>
              <w:pStyle w:val="Index1"/>
              <w:rPr>
                <w:noProof/>
              </w:rPr>
            </w:pPr>
            <w:r>
              <w:rPr>
                <w:noProof/>
              </w:rPr>
              <w:t>Accelerated or Matured</w:t>
            </w:r>
            <w:r>
              <w:rPr>
                <w:noProof/>
              </w:rPr>
              <w:tab/>
              <w:t>430</w:t>
            </w:r>
          </w:p>
          <w:p w:rsidR="00AB5C77">
            <w:pPr>
              <w:pStyle w:val="Index1"/>
              <w:rPr>
                <w:noProof/>
              </w:rPr>
            </w:pPr>
            <w:r w:rsidRPr="00224529">
              <w:rPr>
                <w:noProof/>
                <w:lang w:val="de-DE"/>
              </w:rPr>
              <w:t>Affected Reference Entity</w:t>
            </w:r>
            <w:r>
              <w:rPr>
                <w:noProof/>
              </w:rPr>
              <w:tab/>
              <w:t>399, 431</w:t>
            </w:r>
          </w:p>
          <w:p w:rsidR="00AB5C77">
            <w:pPr>
              <w:pStyle w:val="Index1"/>
              <w:rPr>
                <w:noProof/>
              </w:rPr>
            </w:pPr>
            <w:r w:rsidRPr="00224529">
              <w:rPr>
                <w:noProof/>
                <w:lang w:val="de-DE"/>
              </w:rPr>
              <w:t>Affiliate</w:t>
            </w:r>
            <w:r>
              <w:rPr>
                <w:noProof/>
              </w:rPr>
              <w:tab/>
              <w:t>431</w:t>
            </w:r>
          </w:p>
          <w:p w:rsidR="00AB5C77">
            <w:pPr>
              <w:pStyle w:val="Index1"/>
              <w:rPr>
                <w:noProof/>
              </w:rPr>
            </w:pPr>
            <w:r>
              <w:rPr>
                <w:noProof/>
              </w:rPr>
              <w:t>All Guarantees</w:t>
            </w:r>
            <w:r>
              <w:rPr>
                <w:noProof/>
              </w:rPr>
              <w:tab/>
              <w:t>406</w:t>
            </w:r>
          </w:p>
          <w:p w:rsidR="00AB5C77">
            <w:pPr>
              <w:pStyle w:val="Index1"/>
              <w:rPr>
                <w:noProof/>
              </w:rPr>
            </w:pPr>
            <w:r>
              <w:rPr>
                <w:noProof/>
              </w:rPr>
              <w:t>Asset</w:t>
            </w:r>
            <w:r>
              <w:rPr>
                <w:noProof/>
              </w:rPr>
              <w:tab/>
              <w:t>432</w:t>
            </w:r>
          </w:p>
          <w:p w:rsidR="00AB5C77">
            <w:pPr>
              <w:pStyle w:val="Index1"/>
              <w:rPr>
                <w:noProof/>
              </w:rPr>
            </w:pPr>
            <w:r>
              <w:rPr>
                <w:noProof/>
              </w:rPr>
              <w:t>Asset Package</w:t>
            </w:r>
            <w:r>
              <w:rPr>
                <w:noProof/>
              </w:rPr>
              <w:tab/>
              <w:t>432</w:t>
            </w:r>
          </w:p>
          <w:p w:rsidR="00AB5C77">
            <w:pPr>
              <w:pStyle w:val="Index1"/>
              <w:rPr>
                <w:noProof/>
              </w:rPr>
            </w:pPr>
            <w:r w:rsidRPr="00224529">
              <w:rPr>
                <w:noProof/>
                <w:lang w:val="de-DE"/>
              </w:rPr>
              <w:t>Asset Package Credit Event</w:t>
            </w:r>
            <w:r>
              <w:rPr>
                <w:noProof/>
              </w:rPr>
              <w:tab/>
              <w:t>433</w:t>
            </w:r>
          </w:p>
          <w:p w:rsidR="00AB5C77">
            <w:pPr>
              <w:pStyle w:val="Index1"/>
              <w:rPr>
                <w:noProof/>
              </w:rPr>
            </w:pPr>
            <w:r w:rsidRPr="00224529">
              <w:rPr>
                <w:noProof/>
                <w:lang w:val="de-DE"/>
              </w:rPr>
              <w:t>Asset Package Valuation:</w:t>
            </w:r>
            <w:r>
              <w:rPr>
                <w:noProof/>
              </w:rPr>
              <w:tab/>
              <w:t>433</w:t>
            </w:r>
          </w:p>
          <w:p w:rsidR="00AB5C77">
            <w:pPr>
              <w:pStyle w:val="Index1"/>
              <w:rPr>
                <w:noProof/>
              </w:rPr>
            </w:pPr>
            <w:r>
              <w:rPr>
                <w:noProof/>
              </w:rPr>
              <w:t>Assignable Loan</w:t>
            </w:r>
            <w:r>
              <w:rPr>
                <w:noProof/>
              </w:rPr>
              <w:tab/>
              <w:t>433</w:t>
            </w:r>
          </w:p>
          <w:p w:rsidR="00AB5C77">
            <w:pPr>
              <w:pStyle w:val="Index1"/>
              <w:rPr>
                <w:noProof/>
              </w:rPr>
            </w:pPr>
            <w:r>
              <w:rPr>
                <w:noProof/>
              </w:rPr>
              <w:t>Auction</w:t>
            </w:r>
            <w:r>
              <w:rPr>
                <w:noProof/>
              </w:rPr>
              <w:tab/>
              <w:t>433</w:t>
            </w:r>
          </w:p>
          <w:p w:rsidR="00AB5C77">
            <w:pPr>
              <w:pStyle w:val="Index1"/>
              <w:rPr>
                <w:noProof/>
              </w:rPr>
            </w:pPr>
            <w:r>
              <w:rPr>
                <w:noProof/>
              </w:rPr>
              <w:t>Auction Cancellation Date</w:t>
            </w:r>
            <w:r>
              <w:rPr>
                <w:noProof/>
              </w:rPr>
              <w:tab/>
              <w:t>433</w:t>
            </w:r>
          </w:p>
          <w:p w:rsidR="00AB5C77">
            <w:pPr>
              <w:pStyle w:val="Index1"/>
              <w:rPr>
                <w:noProof/>
              </w:rPr>
            </w:pPr>
            <w:r>
              <w:rPr>
                <w:noProof/>
              </w:rPr>
              <w:t>Auction Final Price</w:t>
            </w:r>
            <w:r>
              <w:rPr>
                <w:noProof/>
              </w:rPr>
              <w:tab/>
              <w:t>400, 434</w:t>
            </w:r>
          </w:p>
          <w:p w:rsidR="00AB5C77">
            <w:pPr>
              <w:pStyle w:val="Index1"/>
              <w:rPr>
                <w:noProof/>
              </w:rPr>
            </w:pPr>
            <w:r>
              <w:rPr>
                <w:noProof/>
              </w:rPr>
              <w:t>Auction Final Price Determination Date</w:t>
            </w:r>
            <w:r>
              <w:rPr>
                <w:noProof/>
              </w:rPr>
              <w:tab/>
              <w:t>400, 434</w:t>
            </w:r>
          </w:p>
          <w:p w:rsidR="00AB5C77">
            <w:pPr>
              <w:pStyle w:val="Index1"/>
              <w:rPr>
                <w:noProof/>
              </w:rPr>
            </w:pPr>
            <w:r w:rsidRPr="00224529">
              <w:rPr>
                <w:noProof/>
                <w:lang w:val="de-DE"/>
              </w:rPr>
              <w:t>Auction Redemption Amount</w:t>
            </w:r>
            <w:r>
              <w:rPr>
                <w:noProof/>
              </w:rPr>
              <w:tab/>
              <w:t>400, 434</w:t>
            </w:r>
          </w:p>
          <w:p w:rsidR="00AB5C77">
            <w:pPr>
              <w:pStyle w:val="Index1"/>
              <w:rPr>
                <w:noProof/>
              </w:rPr>
            </w:pPr>
            <w:r>
              <w:rPr>
                <w:noProof/>
              </w:rPr>
              <w:t>Auction Redemption Date</w:t>
            </w:r>
            <w:r>
              <w:rPr>
                <w:noProof/>
              </w:rPr>
              <w:tab/>
              <w:t>399, 434</w:t>
            </w:r>
          </w:p>
          <w:p w:rsidR="00AB5C77">
            <w:pPr>
              <w:pStyle w:val="Index1"/>
              <w:rPr>
                <w:noProof/>
              </w:rPr>
            </w:pPr>
            <w:r>
              <w:rPr>
                <w:noProof/>
              </w:rPr>
              <w:t>Average Highest</w:t>
            </w:r>
            <w:r>
              <w:rPr>
                <w:noProof/>
              </w:rPr>
              <w:tab/>
              <w:t>434</w:t>
            </w:r>
          </w:p>
          <w:p w:rsidR="00AB5C77">
            <w:pPr>
              <w:pStyle w:val="Index1"/>
              <w:rPr>
                <w:noProof/>
              </w:rPr>
            </w:pPr>
            <w:r>
              <w:rPr>
                <w:noProof/>
              </w:rPr>
              <w:t>Average Market</w:t>
            </w:r>
            <w:r>
              <w:rPr>
                <w:noProof/>
              </w:rPr>
              <w:tab/>
              <w:t>434</w:t>
            </w:r>
          </w:p>
          <w:p w:rsidR="00AB5C77">
            <w:pPr>
              <w:pStyle w:val="Index1"/>
              <w:rPr>
                <w:noProof/>
              </w:rPr>
            </w:pPr>
            <w:r w:rsidRPr="00224529">
              <w:rPr>
                <w:noProof/>
                <w:lang w:val="de-DE"/>
              </w:rPr>
              <w:t>Bankruptcy</w:t>
            </w:r>
            <w:r>
              <w:rPr>
                <w:noProof/>
              </w:rPr>
              <w:tab/>
              <w:t>407, 434</w:t>
            </w:r>
          </w:p>
          <w:p w:rsidR="00AB5C77">
            <w:pPr>
              <w:pStyle w:val="Index1"/>
              <w:rPr>
                <w:noProof/>
              </w:rPr>
            </w:pPr>
            <w:r>
              <w:rPr>
                <w:noProof/>
              </w:rPr>
              <w:t>Bid</w:t>
            </w:r>
            <w:r>
              <w:rPr>
                <w:noProof/>
              </w:rPr>
              <w:tab/>
              <w:t>434</w:t>
            </w:r>
          </w:p>
          <w:p w:rsidR="00AB5C77">
            <w:pPr>
              <w:pStyle w:val="Index1"/>
              <w:rPr>
                <w:noProof/>
              </w:rPr>
            </w:pPr>
            <w:r>
              <w:rPr>
                <w:noProof/>
              </w:rPr>
              <w:t>Bond</w:t>
            </w:r>
            <w:r>
              <w:rPr>
                <w:noProof/>
              </w:rPr>
              <w:tab/>
              <w:t>434</w:t>
            </w:r>
          </w:p>
          <w:p w:rsidR="00AB5C77">
            <w:pPr>
              <w:pStyle w:val="Index1"/>
              <w:rPr>
                <w:noProof/>
              </w:rPr>
            </w:pPr>
            <w:r>
              <w:rPr>
                <w:noProof/>
              </w:rPr>
              <w:t>Bond or Loan</w:t>
            </w:r>
            <w:r>
              <w:rPr>
                <w:noProof/>
              </w:rPr>
              <w:tab/>
              <w:t>434</w:t>
            </w:r>
          </w:p>
          <w:p w:rsidR="00AB5C77">
            <w:pPr>
              <w:pStyle w:val="Index1"/>
              <w:rPr>
                <w:noProof/>
              </w:rPr>
            </w:pPr>
            <w:r>
              <w:rPr>
                <w:noProof/>
              </w:rPr>
              <w:t>Borrowed Money</w:t>
            </w:r>
            <w:r>
              <w:rPr>
                <w:noProof/>
              </w:rPr>
              <w:tab/>
              <w:t>434</w:t>
            </w:r>
          </w:p>
          <w:p w:rsidR="00AB5C77">
            <w:pPr>
              <w:pStyle w:val="Index1"/>
              <w:rPr>
                <w:noProof/>
              </w:rPr>
            </w:pPr>
            <w:r>
              <w:rPr>
                <w:noProof/>
              </w:rPr>
              <w:t>Business Day</w:t>
            </w:r>
            <w:r>
              <w:rPr>
                <w:noProof/>
              </w:rPr>
              <w:tab/>
              <w:t>424</w:t>
            </w:r>
          </w:p>
          <w:p w:rsidR="00AB5C77">
            <w:pPr>
              <w:pStyle w:val="Index1"/>
              <w:rPr>
                <w:noProof/>
              </w:rPr>
            </w:pPr>
            <w:r>
              <w:rPr>
                <w:noProof/>
              </w:rPr>
              <w:t>Business Day Convention</w:t>
            </w:r>
            <w:r>
              <w:rPr>
                <w:noProof/>
              </w:rPr>
              <w:tab/>
              <w:t>425, 435</w:t>
            </w:r>
          </w:p>
          <w:p w:rsidR="00AB5C77">
            <w:pPr>
              <w:pStyle w:val="Index1"/>
              <w:rPr>
                <w:noProof/>
              </w:rPr>
            </w:pPr>
            <w:r>
              <w:rPr>
                <w:noProof/>
              </w:rPr>
              <w:t>Call Option Exercise Date(s)</w:t>
            </w:r>
            <w:r>
              <w:rPr>
                <w:noProof/>
              </w:rPr>
              <w:tab/>
              <w:t>394</w:t>
            </w:r>
          </w:p>
          <w:p w:rsidR="00AB5C77">
            <w:pPr>
              <w:pStyle w:val="Index1"/>
              <w:rPr>
                <w:noProof/>
              </w:rPr>
            </w:pPr>
            <w:r>
              <w:rPr>
                <w:noProof/>
              </w:rPr>
              <w:t>Cash Redemption Amount</w:t>
            </w:r>
            <w:r>
              <w:rPr>
                <w:noProof/>
              </w:rPr>
              <w:tab/>
              <w:t>401, 436</w:t>
            </w:r>
          </w:p>
          <w:p w:rsidR="00AB5C77">
            <w:pPr>
              <w:pStyle w:val="Index1"/>
              <w:rPr>
                <w:noProof/>
              </w:rPr>
            </w:pPr>
            <w:r>
              <w:rPr>
                <w:noProof/>
              </w:rPr>
              <w:t>Cash Redemption Date</w:t>
            </w:r>
            <w:r>
              <w:rPr>
                <w:noProof/>
              </w:rPr>
              <w:tab/>
              <w:t>401, 436</w:t>
            </w:r>
          </w:p>
          <w:p w:rsidR="00AB5C77">
            <w:pPr>
              <w:pStyle w:val="Index1"/>
              <w:rPr>
                <w:noProof/>
              </w:rPr>
            </w:pPr>
            <w:r>
              <w:rPr>
                <w:noProof/>
              </w:rPr>
              <w:t>Conditionally Transferable Obligation</w:t>
            </w:r>
            <w:r>
              <w:rPr>
                <w:noProof/>
              </w:rPr>
              <w:tab/>
              <w:t>436</w:t>
            </w:r>
          </w:p>
          <w:p w:rsidR="00AB5C77">
            <w:pPr>
              <w:pStyle w:val="Index1"/>
              <w:rPr>
                <w:noProof/>
              </w:rPr>
            </w:pPr>
            <w:r>
              <w:rPr>
                <w:noProof/>
              </w:rPr>
              <w:t>Conforming Reference Obligation</w:t>
            </w:r>
            <w:r>
              <w:rPr>
                <w:noProof/>
              </w:rPr>
              <w:tab/>
              <w:t>436</w:t>
            </w:r>
          </w:p>
          <w:p w:rsidR="00AB5C77">
            <w:pPr>
              <w:pStyle w:val="Index1"/>
              <w:rPr>
                <w:noProof/>
              </w:rPr>
            </w:pPr>
            <w:r>
              <w:rPr>
                <w:noProof/>
              </w:rPr>
              <w:t>Consent Required Loan</w:t>
            </w:r>
            <w:r>
              <w:rPr>
                <w:noProof/>
              </w:rPr>
              <w:tab/>
              <w:t>437</w:t>
            </w:r>
          </w:p>
          <w:p w:rsidR="00AB5C77">
            <w:pPr>
              <w:pStyle w:val="Index1"/>
              <w:rPr>
                <w:noProof/>
              </w:rPr>
            </w:pPr>
            <w:r>
              <w:rPr>
                <w:noProof/>
              </w:rPr>
              <w:t>Credit Derivative Transaction</w:t>
            </w:r>
            <w:r>
              <w:rPr>
                <w:noProof/>
              </w:rPr>
              <w:tab/>
              <w:t>437</w:t>
            </w:r>
          </w:p>
          <w:p w:rsidR="00AB5C77">
            <w:pPr>
              <w:pStyle w:val="Index1"/>
              <w:rPr>
                <w:noProof/>
              </w:rPr>
            </w:pPr>
            <w:r>
              <w:rPr>
                <w:noProof/>
              </w:rPr>
              <w:t>Credit Derivatives Auction Settlement Terms</w:t>
            </w:r>
            <w:r>
              <w:rPr>
                <w:noProof/>
              </w:rPr>
              <w:tab/>
              <w:t>437</w:t>
            </w:r>
          </w:p>
          <w:p w:rsidR="00AB5C77">
            <w:pPr>
              <w:pStyle w:val="Index1"/>
              <w:rPr>
                <w:noProof/>
              </w:rPr>
            </w:pPr>
            <w:r>
              <w:rPr>
                <w:noProof/>
              </w:rPr>
              <w:t>Credit Derivatives Determinations Committee</w:t>
            </w:r>
            <w:r>
              <w:rPr>
                <w:noProof/>
              </w:rPr>
              <w:tab/>
              <w:t>437</w:t>
            </w:r>
          </w:p>
          <w:p w:rsidR="00AB5C77">
            <w:pPr>
              <w:pStyle w:val="Index1"/>
              <w:rPr>
                <w:noProof/>
              </w:rPr>
            </w:pPr>
            <w:r>
              <w:rPr>
                <w:noProof/>
              </w:rPr>
              <w:t>Credit Event</w:t>
            </w:r>
            <w:r>
              <w:rPr>
                <w:noProof/>
              </w:rPr>
              <w:tab/>
              <w:t>437</w:t>
            </w:r>
          </w:p>
          <w:p w:rsidR="00AB5C77">
            <w:pPr>
              <w:pStyle w:val="Index1"/>
              <w:rPr>
                <w:noProof/>
              </w:rPr>
            </w:pPr>
            <w:r>
              <w:rPr>
                <w:noProof/>
              </w:rPr>
              <w:t>Credit Event Backstop Date</w:t>
            </w:r>
            <w:r>
              <w:rPr>
                <w:noProof/>
              </w:rPr>
              <w:tab/>
              <w:t>437</w:t>
            </w:r>
          </w:p>
          <w:p w:rsidR="00AB5C77">
            <w:pPr>
              <w:pStyle w:val="Index1"/>
              <w:rPr>
                <w:noProof/>
              </w:rPr>
            </w:pPr>
            <w:r>
              <w:rPr>
                <w:noProof/>
              </w:rPr>
              <w:t>Credit Event Determination Date</w:t>
            </w:r>
            <w:r>
              <w:rPr>
                <w:noProof/>
              </w:rPr>
              <w:tab/>
              <w:t>438</w:t>
            </w:r>
          </w:p>
          <w:p w:rsidR="00AB5C77">
            <w:pPr>
              <w:pStyle w:val="Index1"/>
              <w:rPr>
                <w:noProof/>
              </w:rPr>
            </w:pPr>
            <w:r w:rsidRPr="00224529">
              <w:rPr>
                <w:noProof/>
                <w:lang w:val="de-DE"/>
              </w:rPr>
              <w:t>Credit Event Notice</w:t>
            </w:r>
            <w:r>
              <w:rPr>
                <w:noProof/>
              </w:rPr>
              <w:tab/>
              <w:t>439</w:t>
            </w:r>
          </w:p>
          <w:p w:rsidR="00AB5C77">
            <w:pPr>
              <w:pStyle w:val="Index1"/>
              <w:rPr>
                <w:noProof/>
              </w:rPr>
            </w:pPr>
            <w:r>
              <w:rPr>
                <w:noProof/>
              </w:rPr>
              <w:t>Credit Event Resolution Request Date</w:t>
            </w:r>
            <w:r>
              <w:rPr>
                <w:noProof/>
              </w:rPr>
              <w:tab/>
              <w:t>440</w:t>
            </w:r>
          </w:p>
          <w:p w:rsidR="00AB5C77">
            <w:pPr>
              <w:pStyle w:val="Index1"/>
              <w:rPr>
                <w:noProof/>
              </w:rPr>
            </w:pPr>
            <w:r>
              <w:rPr>
                <w:noProof/>
              </w:rPr>
              <w:t>Credit Events</w:t>
            </w:r>
            <w:r>
              <w:rPr>
                <w:noProof/>
              </w:rPr>
              <w:tab/>
              <w:t>406</w:t>
            </w:r>
          </w:p>
          <w:p w:rsidR="00AB5C77">
            <w:pPr>
              <w:pStyle w:val="Index1"/>
              <w:rPr>
                <w:noProof/>
              </w:rPr>
            </w:pPr>
            <w:r w:rsidRPr="00224529">
              <w:rPr>
                <w:noProof/>
                <w:lang w:val="de-DE"/>
              </w:rPr>
              <w:t>Day Count Fraction</w:t>
            </w:r>
            <w:r>
              <w:rPr>
                <w:noProof/>
              </w:rPr>
              <w:tab/>
              <w:t>362</w:t>
            </w:r>
          </w:p>
          <w:p w:rsidR="00AB5C77">
            <w:pPr>
              <w:pStyle w:val="Index1"/>
              <w:rPr>
                <w:noProof/>
              </w:rPr>
            </w:pPr>
            <w:r>
              <w:rPr>
                <w:noProof/>
              </w:rPr>
              <w:t>DC Announcement Coverage Cut-off Date</w:t>
            </w:r>
            <w:r>
              <w:rPr>
                <w:noProof/>
              </w:rPr>
              <w:tab/>
              <w:t>440</w:t>
            </w:r>
          </w:p>
          <w:p w:rsidR="00AB5C77">
            <w:pPr>
              <w:pStyle w:val="Index1"/>
              <w:rPr>
                <w:noProof/>
              </w:rPr>
            </w:pPr>
            <w:r>
              <w:rPr>
                <w:noProof/>
              </w:rPr>
              <w:t>DC Credit Event Announcement</w:t>
            </w:r>
            <w:r>
              <w:rPr>
                <w:noProof/>
              </w:rPr>
              <w:tab/>
              <w:t>440</w:t>
            </w:r>
          </w:p>
          <w:p w:rsidR="00AB5C77">
            <w:pPr>
              <w:pStyle w:val="Index1"/>
              <w:rPr>
                <w:noProof/>
              </w:rPr>
            </w:pPr>
            <w:r>
              <w:rPr>
                <w:noProof/>
              </w:rPr>
              <w:t>DC Credit Event Meeting Announcment</w:t>
            </w:r>
            <w:r>
              <w:rPr>
                <w:noProof/>
              </w:rPr>
              <w:tab/>
              <w:t>441</w:t>
            </w:r>
          </w:p>
          <w:p w:rsidR="00AB5C77">
            <w:pPr>
              <w:pStyle w:val="Index1"/>
              <w:rPr>
                <w:noProof/>
              </w:rPr>
            </w:pPr>
            <w:r>
              <w:rPr>
                <w:noProof/>
              </w:rPr>
              <w:t>DC Credit Event Question</w:t>
            </w:r>
            <w:r>
              <w:rPr>
                <w:noProof/>
              </w:rPr>
              <w:tab/>
              <w:t>441</w:t>
            </w:r>
          </w:p>
          <w:p w:rsidR="00AB5C77">
            <w:pPr>
              <w:pStyle w:val="Index1"/>
              <w:rPr>
                <w:noProof/>
              </w:rPr>
            </w:pPr>
            <w:r>
              <w:rPr>
                <w:noProof/>
              </w:rPr>
              <w:t>DC Credit Event Question Dismissal</w:t>
            </w:r>
            <w:r>
              <w:rPr>
                <w:noProof/>
              </w:rPr>
              <w:tab/>
              <w:t>441</w:t>
            </w:r>
          </w:p>
          <w:p w:rsidR="00AB5C77">
            <w:pPr>
              <w:pStyle w:val="Index1"/>
              <w:rPr>
                <w:noProof/>
              </w:rPr>
            </w:pPr>
            <w:r>
              <w:rPr>
                <w:noProof/>
              </w:rPr>
              <w:t>DC No Credit Event Announcement</w:t>
            </w:r>
            <w:r>
              <w:rPr>
                <w:noProof/>
              </w:rPr>
              <w:tab/>
              <w:t>441</w:t>
            </w:r>
          </w:p>
          <w:p w:rsidR="00AB5C77">
            <w:pPr>
              <w:pStyle w:val="Index1"/>
              <w:rPr>
                <w:noProof/>
              </w:rPr>
            </w:pPr>
            <w:r>
              <w:rPr>
                <w:noProof/>
              </w:rPr>
              <w:t>DC Pending Request</w:t>
            </w:r>
            <w:r>
              <w:rPr>
                <w:noProof/>
              </w:rPr>
              <w:tab/>
              <w:t>441</w:t>
            </w:r>
          </w:p>
          <w:p w:rsidR="00AB5C77">
            <w:pPr>
              <w:pStyle w:val="Index1"/>
              <w:rPr>
                <w:noProof/>
              </w:rPr>
            </w:pPr>
            <w:r>
              <w:rPr>
                <w:noProof/>
              </w:rPr>
              <w:t>DC Resolution</w:t>
            </w:r>
            <w:r>
              <w:rPr>
                <w:noProof/>
              </w:rPr>
              <w:tab/>
              <w:t>441</w:t>
            </w:r>
          </w:p>
          <w:p w:rsidR="00AB5C77">
            <w:pPr>
              <w:pStyle w:val="Index1"/>
              <w:rPr>
                <w:noProof/>
              </w:rPr>
            </w:pPr>
            <w:r>
              <w:rPr>
                <w:noProof/>
              </w:rPr>
              <w:t>DC Rules</w:t>
            </w:r>
            <w:r>
              <w:rPr>
                <w:noProof/>
              </w:rPr>
              <w:tab/>
              <w:t>442</w:t>
            </w:r>
          </w:p>
          <w:p w:rsidR="00AB5C77">
            <w:pPr>
              <w:pStyle w:val="Index1"/>
              <w:rPr>
                <w:noProof/>
              </w:rPr>
            </w:pPr>
            <w:r>
              <w:rPr>
                <w:noProof/>
              </w:rPr>
              <w:t>DC Secretary</w:t>
            </w:r>
            <w:r>
              <w:rPr>
                <w:noProof/>
              </w:rPr>
              <w:tab/>
              <w:t>442</w:t>
            </w:r>
          </w:p>
          <w:p w:rsidR="00AB5C77">
            <w:pPr>
              <w:pStyle w:val="Index1"/>
              <w:rPr>
                <w:noProof/>
              </w:rPr>
            </w:pPr>
            <w:r>
              <w:rPr>
                <w:noProof/>
              </w:rPr>
              <w:t>Dealer</w:t>
            </w:r>
            <w:r>
              <w:rPr>
                <w:noProof/>
              </w:rPr>
              <w:tab/>
              <w:t>442</w:t>
            </w:r>
          </w:p>
          <w:p w:rsidR="00AB5C77">
            <w:pPr>
              <w:pStyle w:val="Index1"/>
              <w:rPr>
                <w:noProof/>
              </w:rPr>
            </w:pPr>
            <w:r w:rsidRPr="00224529">
              <w:rPr>
                <w:noProof/>
                <w:lang w:val="de-DE"/>
              </w:rPr>
              <w:t>Default Requirement</w:t>
            </w:r>
            <w:r>
              <w:rPr>
                <w:noProof/>
              </w:rPr>
              <w:tab/>
              <w:t>442</w:t>
            </w:r>
          </w:p>
          <w:p w:rsidR="00AB5C77">
            <w:pPr>
              <w:pStyle w:val="Index1"/>
              <w:rPr>
                <w:noProof/>
              </w:rPr>
            </w:pPr>
            <w:r>
              <w:rPr>
                <w:noProof/>
              </w:rPr>
              <w:t>Denomination</w:t>
            </w:r>
            <w:r>
              <w:rPr>
                <w:noProof/>
              </w:rPr>
              <w:tab/>
              <w:t>349</w:t>
            </w:r>
          </w:p>
          <w:p w:rsidR="00AB5C77">
            <w:pPr>
              <w:pStyle w:val="Index1"/>
              <w:rPr>
                <w:noProof/>
              </w:rPr>
            </w:pPr>
            <w:r>
              <w:rPr>
                <w:noProof/>
              </w:rPr>
              <w:t>Determination of Reference Rate</w:t>
            </w:r>
            <w:r>
              <w:rPr>
                <w:noProof/>
              </w:rPr>
              <w:tab/>
              <w:t>378</w:t>
            </w:r>
          </w:p>
          <w:p w:rsidR="00AB5C77">
            <w:pPr>
              <w:pStyle w:val="Index1"/>
              <w:rPr>
                <w:noProof/>
              </w:rPr>
            </w:pPr>
            <w:r>
              <w:rPr>
                <w:noProof/>
              </w:rPr>
              <w:t>Domestic Currency</w:t>
            </w:r>
            <w:r>
              <w:rPr>
                <w:noProof/>
              </w:rPr>
              <w:tab/>
              <w:t>442</w:t>
            </w:r>
          </w:p>
          <w:p w:rsidR="00AB5C77">
            <w:pPr>
              <w:pStyle w:val="Index1"/>
              <w:rPr>
                <w:noProof/>
              </w:rPr>
            </w:pPr>
            <w:r>
              <w:rPr>
                <w:noProof/>
              </w:rPr>
              <w:t>Domestic Law</w:t>
            </w:r>
            <w:r>
              <w:rPr>
                <w:noProof/>
              </w:rPr>
              <w:tab/>
              <w:t>442</w:t>
            </w:r>
          </w:p>
          <w:p w:rsidR="00AB5C77">
            <w:pPr>
              <w:pStyle w:val="Index1"/>
              <w:rPr>
                <w:noProof/>
              </w:rPr>
            </w:pPr>
            <w:r>
              <w:rPr>
                <w:noProof/>
              </w:rPr>
              <w:t>Downstream Affiliate</w:t>
            </w:r>
            <w:r>
              <w:rPr>
                <w:noProof/>
              </w:rPr>
              <w:tab/>
              <w:t>443</w:t>
            </w:r>
          </w:p>
          <w:p w:rsidR="00AB5C77">
            <w:pPr>
              <w:pStyle w:val="Index1"/>
              <w:rPr>
                <w:noProof/>
              </w:rPr>
            </w:pPr>
            <w:r>
              <w:rPr>
                <w:noProof/>
              </w:rPr>
              <w:t>Due and Payable Amount</w:t>
            </w:r>
            <w:r>
              <w:rPr>
                <w:noProof/>
              </w:rPr>
              <w:tab/>
              <w:t>443</w:t>
            </w:r>
          </w:p>
          <w:p w:rsidR="00AB5C77">
            <w:pPr>
              <w:pStyle w:val="Index1"/>
              <w:rPr>
                <w:noProof/>
              </w:rPr>
            </w:pPr>
            <w:r>
              <w:rPr>
                <w:noProof/>
              </w:rPr>
              <w:t>Eligible Information</w:t>
            </w:r>
            <w:r>
              <w:rPr>
                <w:noProof/>
              </w:rPr>
              <w:tab/>
              <w:t>443</w:t>
            </w:r>
          </w:p>
          <w:p w:rsidR="00AB5C77">
            <w:pPr>
              <w:pStyle w:val="Index1"/>
              <w:rPr>
                <w:noProof/>
              </w:rPr>
            </w:pPr>
            <w:r w:rsidRPr="00224529">
              <w:rPr>
                <w:noProof/>
                <w:lang w:val="de-DE"/>
              </w:rPr>
              <w:t>Eligible Transferee</w:t>
            </w:r>
            <w:r>
              <w:rPr>
                <w:noProof/>
              </w:rPr>
              <w:tab/>
              <w:t>443</w:t>
            </w:r>
          </w:p>
          <w:p w:rsidR="00AB5C77">
            <w:pPr>
              <w:pStyle w:val="Index1"/>
              <w:rPr>
                <w:noProof/>
              </w:rPr>
            </w:pPr>
            <w:r>
              <w:rPr>
                <w:noProof/>
              </w:rPr>
              <w:t>EUR, euro and the symbol €</w:t>
            </w:r>
            <w:r>
              <w:rPr>
                <w:noProof/>
              </w:rPr>
              <w:tab/>
              <w:t>445</w:t>
            </w:r>
          </w:p>
          <w:p w:rsidR="00AB5C77">
            <w:pPr>
              <w:pStyle w:val="Index1"/>
              <w:rPr>
                <w:noProof/>
              </w:rPr>
            </w:pPr>
            <w:r>
              <w:rPr>
                <w:noProof/>
              </w:rPr>
              <w:t>Excluded Obligation</w:t>
            </w:r>
            <w:r w:rsidRPr="00224529">
              <w:rPr>
                <w:b/>
                <w:noProof/>
              </w:rPr>
              <w:t>[</w:t>
            </w:r>
            <w:r>
              <w:rPr>
                <w:noProof/>
              </w:rPr>
              <w:t>s</w:t>
            </w:r>
            <w:r w:rsidRPr="00224529">
              <w:rPr>
                <w:b/>
                <w:noProof/>
              </w:rPr>
              <w:t>]</w:t>
            </w:r>
            <w:r>
              <w:rPr>
                <w:noProof/>
              </w:rPr>
              <w:tab/>
              <w:t>414, 445</w:t>
            </w:r>
          </w:p>
          <w:p w:rsidR="00AB5C77">
            <w:pPr>
              <w:pStyle w:val="Index1"/>
              <w:rPr>
                <w:noProof/>
              </w:rPr>
            </w:pPr>
            <w:r>
              <w:rPr>
                <w:noProof/>
              </w:rPr>
              <w:t>Excluded Valuation Obligation</w:t>
            </w:r>
            <w:r w:rsidRPr="00224529">
              <w:rPr>
                <w:b/>
                <w:noProof/>
              </w:rPr>
              <w:t>[</w:t>
            </w:r>
            <w:r>
              <w:rPr>
                <w:noProof/>
              </w:rPr>
              <w:t>s</w:t>
            </w:r>
            <w:r w:rsidRPr="00224529">
              <w:rPr>
                <w:b/>
                <w:noProof/>
              </w:rPr>
              <w:t>]</w:t>
            </w:r>
            <w:r>
              <w:rPr>
                <w:noProof/>
              </w:rPr>
              <w:tab/>
              <w:t>416, 445</w:t>
            </w:r>
          </w:p>
          <w:p w:rsidR="00AB5C77">
            <w:pPr>
              <w:pStyle w:val="Index1"/>
              <w:rPr>
                <w:noProof/>
              </w:rPr>
            </w:pPr>
            <w:r>
              <w:rPr>
                <w:noProof/>
              </w:rPr>
              <w:t>Exercise Cut-off Date</w:t>
            </w:r>
            <w:r>
              <w:rPr>
                <w:noProof/>
              </w:rPr>
              <w:tab/>
              <w:t>445</w:t>
            </w:r>
          </w:p>
          <w:p w:rsidR="00AB5C77">
            <w:pPr>
              <w:pStyle w:val="Index1"/>
              <w:rPr>
                <w:noProof/>
              </w:rPr>
            </w:pPr>
            <w:r>
              <w:rPr>
                <w:noProof/>
              </w:rPr>
              <w:t>Extension Date</w:t>
            </w:r>
            <w:r>
              <w:rPr>
                <w:noProof/>
              </w:rPr>
              <w:tab/>
              <w:t>446</w:t>
            </w:r>
          </w:p>
          <w:p w:rsidR="00AB5C77">
            <w:pPr>
              <w:pStyle w:val="Index1"/>
              <w:rPr>
                <w:noProof/>
              </w:rPr>
            </w:pPr>
            <w:r w:rsidRPr="00224529">
              <w:rPr>
                <w:noProof/>
                <w:lang w:val="de-DE"/>
              </w:rPr>
              <w:t>Extraordinary Event</w:t>
            </w:r>
            <w:r>
              <w:rPr>
                <w:noProof/>
              </w:rPr>
              <w:tab/>
              <w:t>425</w:t>
            </w:r>
          </w:p>
          <w:p w:rsidR="00AB5C77">
            <w:pPr>
              <w:pStyle w:val="Index1"/>
              <w:rPr>
                <w:noProof/>
              </w:rPr>
            </w:pPr>
            <w:r w:rsidRPr="00224529">
              <w:rPr>
                <w:noProof/>
                <w:lang w:val="de-DE"/>
              </w:rPr>
              <w:t>Failure to Pay</w:t>
            </w:r>
            <w:r>
              <w:rPr>
                <w:noProof/>
              </w:rPr>
              <w:tab/>
              <w:t>408, 446</w:t>
            </w:r>
          </w:p>
          <w:p w:rsidR="00AB5C77">
            <w:pPr>
              <w:pStyle w:val="Index1"/>
              <w:rPr>
                <w:noProof/>
              </w:rPr>
            </w:pPr>
            <w:r>
              <w:rPr>
                <w:noProof/>
              </w:rPr>
              <w:t>Fallback Settlement Event</w:t>
            </w:r>
            <w:r>
              <w:rPr>
                <w:noProof/>
              </w:rPr>
              <w:tab/>
              <w:t>401, 446</w:t>
            </w:r>
          </w:p>
          <w:p w:rsidR="00AB5C77">
            <w:pPr>
              <w:pStyle w:val="Index1"/>
              <w:rPr>
                <w:noProof/>
              </w:rPr>
            </w:pPr>
            <w:r>
              <w:rPr>
                <w:noProof/>
              </w:rPr>
              <w:t>Final List</w:t>
            </w:r>
            <w:r>
              <w:rPr>
                <w:noProof/>
              </w:rPr>
              <w:tab/>
              <w:t>446</w:t>
            </w:r>
          </w:p>
          <w:p w:rsidR="00AB5C77">
            <w:pPr>
              <w:pStyle w:val="Index1"/>
              <w:rPr>
                <w:noProof/>
              </w:rPr>
            </w:pPr>
            <w:r>
              <w:rPr>
                <w:noProof/>
              </w:rPr>
              <w:t>Final Price</w:t>
            </w:r>
            <w:r>
              <w:rPr>
                <w:noProof/>
              </w:rPr>
              <w:tab/>
              <w:t>446</w:t>
            </w:r>
          </w:p>
          <w:p w:rsidR="00AB5C77">
            <w:pPr>
              <w:pStyle w:val="Index1"/>
              <w:rPr>
                <w:noProof/>
              </w:rPr>
            </w:pPr>
            <w:r>
              <w:rPr>
                <w:noProof/>
              </w:rPr>
              <w:t>Fixed Cap</w:t>
            </w:r>
            <w:r>
              <w:rPr>
                <w:noProof/>
              </w:rPr>
              <w:tab/>
              <w:t>447</w:t>
            </w:r>
          </w:p>
          <w:p w:rsidR="00AB5C77">
            <w:pPr>
              <w:pStyle w:val="Index1"/>
              <w:rPr>
                <w:noProof/>
              </w:rPr>
            </w:pPr>
            <w:r>
              <w:rPr>
                <w:noProof/>
              </w:rPr>
              <w:t>Form of Complex Products</w:t>
            </w:r>
            <w:r>
              <w:rPr>
                <w:noProof/>
              </w:rPr>
              <w:tab/>
              <w:t>427</w:t>
            </w:r>
          </w:p>
          <w:p w:rsidR="00AB5C77">
            <w:pPr>
              <w:pStyle w:val="Index1"/>
              <w:rPr>
                <w:noProof/>
              </w:rPr>
            </w:pPr>
            <w:r>
              <w:rPr>
                <w:noProof/>
              </w:rPr>
              <w:t>Full Quotation</w:t>
            </w:r>
            <w:r>
              <w:rPr>
                <w:noProof/>
              </w:rPr>
              <w:tab/>
              <w:t>447</w:t>
            </w:r>
          </w:p>
          <w:p w:rsidR="00AB5C77">
            <w:pPr>
              <w:pStyle w:val="Index1"/>
              <w:rPr>
                <w:noProof/>
              </w:rPr>
            </w:pPr>
            <w:r>
              <w:rPr>
                <w:noProof/>
              </w:rPr>
              <w:t>Fully Transferable Obligation</w:t>
            </w:r>
            <w:r>
              <w:rPr>
                <w:noProof/>
              </w:rPr>
              <w:tab/>
              <w:t>447</w:t>
            </w:r>
          </w:p>
          <w:p w:rsidR="00AB5C77">
            <w:pPr>
              <w:pStyle w:val="Index1"/>
              <w:rPr>
                <w:noProof/>
              </w:rPr>
            </w:pPr>
            <w:r>
              <w:rPr>
                <w:noProof/>
              </w:rPr>
              <w:t>Further Subordinated Obligation</w:t>
            </w:r>
            <w:r>
              <w:rPr>
                <w:noProof/>
              </w:rPr>
              <w:tab/>
              <w:t>448</w:t>
            </w:r>
          </w:p>
          <w:p w:rsidR="00AB5C77">
            <w:pPr>
              <w:pStyle w:val="Index1"/>
              <w:rPr>
                <w:noProof/>
              </w:rPr>
            </w:pPr>
            <w:r>
              <w:rPr>
                <w:noProof/>
              </w:rPr>
              <w:t>Governmental Authority</w:t>
            </w:r>
            <w:r>
              <w:rPr>
                <w:noProof/>
              </w:rPr>
              <w:tab/>
              <w:t>448</w:t>
            </w:r>
          </w:p>
          <w:p w:rsidR="00AB5C77">
            <w:pPr>
              <w:pStyle w:val="Index1"/>
              <w:rPr>
                <w:noProof/>
              </w:rPr>
            </w:pPr>
            <w:r>
              <w:rPr>
                <w:noProof/>
              </w:rPr>
              <w:t>Governmental Intervention</w:t>
            </w:r>
            <w:r>
              <w:rPr>
                <w:noProof/>
              </w:rPr>
              <w:tab/>
              <w:t>449</w:t>
            </w:r>
          </w:p>
          <w:p w:rsidR="00AB5C77">
            <w:pPr>
              <w:pStyle w:val="Index1"/>
              <w:rPr>
                <w:noProof/>
              </w:rPr>
            </w:pPr>
            <w:r>
              <w:rPr>
                <w:noProof/>
              </w:rPr>
              <w:t>Grace Period</w:t>
            </w:r>
            <w:r>
              <w:rPr>
                <w:noProof/>
              </w:rPr>
              <w:tab/>
              <w:t>449</w:t>
            </w:r>
          </w:p>
          <w:p w:rsidR="00AB5C77">
            <w:pPr>
              <w:pStyle w:val="Index1"/>
              <w:rPr>
                <w:noProof/>
              </w:rPr>
            </w:pPr>
            <w:r w:rsidRPr="00224529">
              <w:rPr>
                <w:noProof/>
                <w:lang w:val="de-DE"/>
              </w:rPr>
              <w:t>Grace Period Business Day</w:t>
            </w:r>
            <w:r>
              <w:rPr>
                <w:noProof/>
              </w:rPr>
              <w:tab/>
              <w:t>449</w:t>
            </w:r>
          </w:p>
          <w:p w:rsidR="00AB5C77">
            <w:pPr>
              <w:pStyle w:val="Index1"/>
              <w:rPr>
                <w:noProof/>
              </w:rPr>
            </w:pPr>
            <w:r>
              <w:rPr>
                <w:noProof/>
              </w:rPr>
              <w:t>Grace Period Extension Date</w:t>
            </w:r>
            <w:r>
              <w:rPr>
                <w:noProof/>
              </w:rPr>
              <w:tab/>
              <w:t>450</w:t>
            </w:r>
          </w:p>
          <w:p w:rsidR="00AB5C77">
            <w:pPr>
              <w:pStyle w:val="Index1"/>
              <w:rPr>
                <w:noProof/>
              </w:rPr>
            </w:pPr>
            <w:r>
              <w:rPr>
                <w:noProof/>
              </w:rPr>
              <w:t>Guarantee</w:t>
            </w:r>
            <w:r>
              <w:rPr>
                <w:noProof/>
              </w:rPr>
              <w:tab/>
              <w:t>450</w:t>
            </w:r>
          </w:p>
          <w:p w:rsidR="00AB5C77">
            <w:pPr>
              <w:pStyle w:val="Index1"/>
              <w:rPr>
                <w:noProof/>
              </w:rPr>
            </w:pPr>
            <w:r>
              <w:rPr>
                <w:noProof/>
              </w:rPr>
              <w:t>Highest</w:t>
            </w:r>
            <w:r>
              <w:rPr>
                <w:noProof/>
              </w:rPr>
              <w:tab/>
              <w:t>450</w:t>
            </w:r>
          </w:p>
          <w:p w:rsidR="00AB5C77">
            <w:pPr>
              <w:pStyle w:val="Index1"/>
              <w:rPr>
                <w:noProof/>
              </w:rPr>
            </w:pPr>
            <w:r>
              <w:rPr>
                <w:noProof/>
              </w:rPr>
              <w:t>Holder(s)</w:t>
            </w:r>
            <w:r>
              <w:rPr>
                <w:noProof/>
              </w:rPr>
              <w:tab/>
              <w:t>427</w:t>
            </w:r>
          </w:p>
          <w:p w:rsidR="00AB5C77">
            <w:pPr>
              <w:pStyle w:val="Index1"/>
              <w:rPr>
                <w:noProof/>
              </w:rPr>
            </w:pPr>
            <w:r>
              <w:rPr>
                <w:noProof/>
              </w:rPr>
              <w:t>Interest Commencement Date</w:t>
            </w:r>
            <w:r>
              <w:rPr>
                <w:noProof/>
              </w:rPr>
              <w:tab/>
              <w:t>361</w:t>
            </w:r>
          </w:p>
          <w:p w:rsidR="00AB5C77">
            <w:pPr>
              <w:pStyle w:val="Index1"/>
              <w:rPr>
                <w:noProof/>
              </w:rPr>
            </w:pPr>
            <w:r w:rsidRPr="00224529">
              <w:rPr>
                <w:noProof/>
                <w:lang w:val="de-DE"/>
              </w:rPr>
              <w:t>Interest Determination Date</w:t>
            </w:r>
            <w:r>
              <w:rPr>
                <w:noProof/>
              </w:rPr>
              <w:tab/>
              <w:t>385</w:t>
            </w:r>
          </w:p>
          <w:p w:rsidR="00AB5C77">
            <w:pPr>
              <w:pStyle w:val="Index1"/>
              <w:rPr>
                <w:noProof/>
              </w:rPr>
            </w:pPr>
            <w:r w:rsidRPr="00224529">
              <w:rPr>
                <w:noProof/>
                <w:lang w:val="de-DE"/>
              </w:rPr>
              <w:t>Interest Ex-Date(s)</w:t>
            </w:r>
            <w:r>
              <w:rPr>
                <w:noProof/>
              </w:rPr>
              <w:tab/>
              <w:t>362</w:t>
            </w:r>
          </w:p>
          <w:p w:rsidR="00AB5C77">
            <w:pPr>
              <w:pStyle w:val="Index1"/>
              <w:rPr>
                <w:noProof/>
              </w:rPr>
            </w:pPr>
            <w:r>
              <w:rPr>
                <w:noProof/>
              </w:rPr>
              <w:t>Interest Payment Date(s)</w:t>
            </w:r>
            <w:r>
              <w:rPr>
                <w:noProof/>
              </w:rPr>
              <w:tab/>
              <w:t>361</w:t>
            </w:r>
          </w:p>
          <w:p w:rsidR="00AB5C77">
            <w:pPr>
              <w:pStyle w:val="Index1"/>
              <w:rPr>
                <w:noProof/>
              </w:rPr>
            </w:pPr>
            <w:r w:rsidRPr="00224529">
              <w:rPr>
                <w:noProof/>
                <w:lang w:val="de-DE"/>
              </w:rPr>
              <w:t>Interest Period</w:t>
            </w:r>
            <w:r>
              <w:rPr>
                <w:noProof/>
              </w:rPr>
              <w:tab/>
              <w:t>362</w:t>
            </w:r>
          </w:p>
          <w:p w:rsidR="00AB5C77">
            <w:pPr>
              <w:pStyle w:val="Index1"/>
              <w:rPr>
                <w:noProof/>
              </w:rPr>
            </w:pPr>
            <w:r w:rsidRPr="00224529">
              <w:rPr>
                <w:noProof/>
                <w:lang w:val="de-DE"/>
              </w:rPr>
              <w:t>Interest Rate</w:t>
            </w:r>
            <w:r>
              <w:rPr>
                <w:noProof/>
              </w:rPr>
              <w:tab/>
              <w:t>364</w:t>
            </w:r>
          </w:p>
          <w:p w:rsidR="00AB5C77">
            <w:pPr>
              <w:pStyle w:val="Index1"/>
              <w:rPr>
                <w:noProof/>
              </w:rPr>
            </w:pPr>
            <w:r w:rsidRPr="00224529">
              <w:rPr>
                <w:noProof/>
                <w:lang w:val="de-DE"/>
              </w:rPr>
              <w:t>Interest</w:t>
            </w:r>
            <w:r w:rsidRPr="00224529">
              <w:rPr>
                <w:b/>
                <w:noProof/>
                <w:lang w:val="de-DE"/>
              </w:rPr>
              <w:t>]</w:t>
            </w:r>
            <w:r w:rsidRPr="00224529">
              <w:rPr>
                <w:noProof/>
                <w:lang w:val="de-DE"/>
              </w:rPr>
              <w:t xml:space="preserve"> Business Day Convention</w:t>
            </w:r>
            <w:r>
              <w:rPr>
                <w:noProof/>
              </w:rPr>
              <w:tab/>
              <w:t>363</w:t>
            </w:r>
          </w:p>
          <w:p w:rsidR="00AB5C77">
            <w:pPr>
              <w:pStyle w:val="Index1"/>
              <w:rPr>
                <w:noProof/>
              </w:rPr>
            </w:pPr>
            <w:r>
              <w:rPr>
                <w:noProof/>
              </w:rPr>
              <w:t>Issue Currency</w:t>
            </w:r>
            <w:r>
              <w:rPr>
                <w:noProof/>
              </w:rPr>
              <w:tab/>
              <w:t>349</w:t>
            </w:r>
          </w:p>
          <w:p w:rsidR="00AB5C77">
            <w:pPr>
              <w:pStyle w:val="Index1"/>
              <w:rPr>
                <w:noProof/>
              </w:rPr>
            </w:pPr>
            <w:r>
              <w:rPr>
                <w:noProof/>
              </w:rPr>
              <w:t>Issue Date</w:t>
            </w:r>
            <w:r>
              <w:rPr>
                <w:noProof/>
              </w:rPr>
              <w:tab/>
              <w:t>450</w:t>
            </w:r>
          </w:p>
          <w:p w:rsidR="00AB5C77">
            <w:pPr>
              <w:pStyle w:val="Index1"/>
              <w:rPr>
                <w:noProof/>
              </w:rPr>
            </w:pPr>
            <w:r>
              <w:rPr>
                <w:noProof/>
              </w:rPr>
              <w:t xml:space="preserve">Issue Price </w:t>
            </w:r>
            <w:r w:rsidRPr="00224529">
              <w:rPr>
                <w:b/>
                <w:noProof/>
              </w:rPr>
              <w:t>[</w:t>
            </w:r>
            <w:r>
              <w:rPr>
                <w:noProof/>
              </w:rPr>
              <w:t>/Offer Price</w:t>
            </w:r>
            <w:r w:rsidRPr="00224529">
              <w:rPr>
                <w:b/>
                <w:noProof/>
              </w:rPr>
              <w:t>]</w:t>
            </w:r>
            <w:r>
              <w:rPr>
                <w:noProof/>
              </w:rPr>
              <w:tab/>
              <w:t>350</w:t>
            </w:r>
          </w:p>
          <w:p w:rsidR="00AB5C77">
            <w:pPr>
              <w:pStyle w:val="Index1"/>
              <w:rPr>
                <w:noProof/>
              </w:rPr>
            </w:pPr>
            <w:r>
              <w:rPr>
                <w:noProof/>
              </w:rPr>
              <w:t>Issuer Call Option</w:t>
            </w:r>
            <w:r>
              <w:rPr>
                <w:noProof/>
              </w:rPr>
              <w:tab/>
              <w:t>394</w:t>
            </w:r>
          </w:p>
          <w:p w:rsidR="00AB5C77">
            <w:pPr>
              <w:pStyle w:val="Index1"/>
              <w:rPr>
                <w:noProof/>
              </w:rPr>
            </w:pPr>
            <w:r>
              <w:rPr>
                <w:noProof/>
              </w:rPr>
              <w:t>Largest Asset Package</w:t>
            </w:r>
            <w:r>
              <w:rPr>
                <w:noProof/>
              </w:rPr>
              <w:tab/>
              <w:t>450</w:t>
            </w:r>
          </w:p>
          <w:p w:rsidR="00AB5C77">
            <w:pPr>
              <w:pStyle w:val="Index1"/>
              <w:rPr>
                <w:noProof/>
              </w:rPr>
            </w:pPr>
            <w:r>
              <w:rPr>
                <w:noProof/>
              </w:rPr>
              <w:t>Last Trading Date</w:t>
            </w:r>
            <w:r>
              <w:rPr>
                <w:noProof/>
              </w:rPr>
              <w:tab/>
              <w:t>350</w:t>
            </w:r>
          </w:p>
          <w:p w:rsidR="00AB5C77">
            <w:pPr>
              <w:pStyle w:val="Index1"/>
              <w:rPr>
                <w:noProof/>
              </w:rPr>
            </w:pPr>
            <w:r>
              <w:rPr>
                <w:noProof/>
              </w:rPr>
              <w:t>Limitation Date</w:t>
            </w:r>
            <w:r>
              <w:rPr>
                <w:noProof/>
              </w:rPr>
              <w:tab/>
              <w:t>451</w:t>
            </w:r>
          </w:p>
          <w:p w:rsidR="00AB5C77">
            <w:pPr>
              <w:pStyle w:val="Index1"/>
              <w:rPr>
                <w:noProof/>
              </w:rPr>
            </w:pPr>
            <w:r>
              <w:rPr>
                <w:noProof/>
              </w:rPr>
              <w:t>Listed</w:t>
            </w:r>
            <w:r>
              <w:rPr>
                <w:noProof/>
              </w:rPr>
              <w:tab/>
              <w:t>451</w:t>
            </w:r>
          </w:p>
          <w:p w:rsidR="00AB5C77">
            <w:pPr>
              <w:pStyle w:val="Index1"/>
              <w:rPr>
                <w:noProof/>
              </w:rPr>
            </w:pPr>
            <w:r>
              <w:rPr>
                <w:noProof/>
              </w:rPr>
              <w:t>Loan</w:t>
            </w:r>
            <w:r>
              <w:rPr>
                <w:noProof/>
              </w:rPr>
              <w:tab/>
              <w:t>451</w:t>
            </w:r>
          </w:p>
          <w:p w:rsidR="00AB5C77">
            <w:pPr>
              <w:pStyle w:val="Index1"/>
              <w:rPr>
                <w:noProof/>
              </w:rPr>
            </w:pPr>
            <w:r>
              <w:rPr>
                <w:noProof/>
              </w:rPr>
              <w:t>M(M)R Restructuring</w:t>
            </w:r>
            <w:r>
              <w:rPr>
                <w:noProof/>
              </w:rPr>
              <w:tab/>
              <w:t>453</w:t>
            </w:r>
          </w:p>
          <w:p w:rsidR="00AB5C77">
            <w:pPr>
              <w:pStyle w:val="Index1"/>
              <w:rPr>
                <w:noProof/>
              </w:rPr>
            </w:pPr>
            <w:r>
              <w:rPr>
                <w:noProof/>
              </w:rPr>
              <w:t>Market</w:t>
            </w:r>
            <w:r>
              <w:rPr>
                <w:noProof/>
              </w:rPr>
              <w:tab/>
              <w:t>451</w:t>
            </w:r>
          </w:p>
          <w:p w:rsidR="00AB5C77">
            <w:pPr>
              <w:pStyle w:val="Index1"/>
              <w:rPr>
                <w:noProof/>
              </w:rPr>
            </w:pPr>
            <w:r w:rsidRPr="00224529">
              <w:rPr>
                <w:noProof/>
                <w:lang w:val="de-DE"/>
              </w:rPr>
              <w:t>Market Disruption Event</w:t>
            </w:r>
            <w:r>
              <w:rPr>
                <w:noProof/>
              </w:rPr>
              <w:tab/>
              <w:t>426</w:t>
            </w:r>
          </w:p>
          <w:p w:rsidR="00AB5C77">
            <w:pPr>
              <w:pStyle w:val="Index1"/>
              <w:rPr>
                <w:noProof/>
              </w:rPr>
            </w:pPr>
            <w:r>
              <w:rPr>
                <w:noProof/>
              </w:rPr>
              <w:t>Market Value</w:t>
            </w:r>
            <w:r>
              <w:rPr>
                <w:noProof/>
              </w:rPr>
              <w:tab/>
              <w:t>452</w:t>
            </w:r>
          </w:p>
          <w:p w:rsidR="00AB5C77">
            <w:pPr>
              <w:pStyle w:val="Index1"/>
              <w:rPr>
                <w:noProof/>
              </w:rPr>
            </w:pPr>
            <w:r>
              <w:rPr>
                <w:noProof/>
              </w:rPr>
              <w:t>Material Change in Content</w:t>
            </w:r>
            <w:r>
              <w:rPr>
                <w:noProof/>
              </w:rPr>
              <w:tab/>
              <w:t>426</w:t>
            </w:r>
          </w:p>
          <w:p w:rsidR="00AB5C77">
            <w:pPr>
              <w:pStyle w:val="Index1"/>
              <w:rPr>
                <w:noProof/>
              </w:rPr>
            </w:pPr>
            <w:r>
              <w:rPr>
                <w:noProof/>
              </w:rPr>
              <w:t>Material Change in Formula</w:t>
            </w:r>
            <w:r>
              <w:rPr>
                <w:noProof/>
              </w:rPr>
              <w:tab/>
              <w:t>427</w:t>
            </w:r>
          </w:p>
          <w:p w:rsidR="00AB5C77">
            <w:pPr>
              <w:pStyle w:val="Index1"/>
              <w:rPr>
                <w:noProof/>
              </w:rPr>
            </w:pPr>
            <w:r>
              <w:rPr>
                <w:noProof/>
              </w:rPr>
              <w:t>Maximum Interest Rate</w:t>
            </w:r>
            <w:r>
              <w:rPr>
                <w:noProof/>
              </w:rPr>
              <w:tab/>
              <w:t>374</w:t>
            </w:r>
          </w:p>
          <w:p w:rsidR="00AB5C77">
            <w:pPr>
              <w:pStyle w:val="Index1"/>
              <w:rPr>
                <w:noProof/>
              </w:rPr>
            </w:pPr>
            <w:r>
              <w:rPr>
                <w:noProof/>
              </w:rPr>
              <w:t>Maximum Maturity</w:t>
            </w:r>
            <w:r>
              <w:rPr>
                <w:noProof/>
              </w:rPr>
              <w:tab/>
              <w:t>452</w:t>
            </w:r>
          </w:p>
          <w:p w:rsidR="00AB5C77">
            <w:pPr>
              <w:pStyle w:val="Index1"/>
              <w:rPr>
                <w:noProof/>
              </w:rPr>
            </w:pPr>
            <w:r>
              <w:rPr>
                <w:noProof/>
              </w:rPr>
              <w:t>Mid-Market</w:t>
            </w:r>
            <w:r>
              <w:rPr>
                <w:noProof/>
              </w:rPr>
              <w:tab/>
              <w:t>452</w:t>
            </w:r>
          </w:p>
          <w:p w:rsidR="00AB5C77">
            <w:pPr>
              <w:pStyle w:val="Index1"/>
              <w:rPr>
                <w:noProof/>
              </w:rPr>
            </w:pPr>
            <w:r>
              <w:rPr>
                <w:noProof/>
              </w:rPr>
              <w:t>Minimum Interest Rate</w:t>
            </w:r>
            <w:r>
              <w:rPr>
                <w:noProof/>
              </w:rPr>
              <w:tab/>
              <w:t>374</w:t>
            </w:r>
          </w:p>
          <w:p w:rsidR="00AB5C77">
            <w:pPr>
              <w:pStyle w:val="Index1"/>
              <w:rPr>
                <w:noProof/>
              </w:rPr>
            </w:pPr>
            <w:r>
              <w:rPr>
                <w:noProof/>
              </w:rPr>
              <w:t>Minimum Investment Amount</w:t>
            </w:r>
            <w:r>
              <w:rPr>
                <w:noProof/>
              </w:rPr>
              <w:tab/>
              <w:t>350</w:t>
            </w:r>
          </w:p>
          <w:p w:rsidR="00AB5C77">
            <w:pPr>
              <w:pStyle w:val="Index1"/>
              <w:rPr>
                <w:noProof/>
              </w:rPr>
            </w:pPr>
            <w:r>
              <w:rPr>
                <w:noProof/>
              </w:rPr>
              <w:t>Minimum Quotation Amount</w:t>
            </w:r>
            <w:r>
              <w:rPr>
                <w:noProof/>
              </w:rPr>
              <w:tab/>
              <w:t>452</w:t>
            </w:r>
          </w:p>
          <w:p w:rsidR="00AB5C77">
            <w:pPr>
              <w:pStyle w:val="Index1"/>
              <w:rPr>
                <w:noProof/>
              </w:rPr>
            </w:pPr>
            <w:r>
              <w:rPr>
                <w:noProof/>
              </w:rPr>
              <w:t>Minimum Trading Lot</w:t>
            </w:r>
            <w:r w:rsidRPr="00224529">
              <w:rPr>
                <w:b/>
                <w:noProof/>
              </w:rPr>
              <w:t>[</w:t>
            </w:r>
            <w:r>
              <w:rPr>
                <w:noProof/>
              </w:rPr>
              <w:t>/Minimum Subscription Amount</w:t>
            </w:r>
            <w:r w:rsidRPr="00224529">
              <w:rPr>
                <w:b/>
                <w:noProof/>
              </w:rPr>
              <w:t>]]</w:t>
            </w:r>
            <w:r>
              <w:rPr>
                <w:noProof/>
              </w:rPr>
              <w:tab/>
              <w:t>350</w:t>
            </w:r>
          </w:p>
          <w:p w:rsidR="00AB5C77">
            <w:pPr>
              <w:pStyle w:val="Index1"/>
              <w:rPr>
                <w:noProof/>
              </w:rPr>
            </w:pPr>
            <w:r>
              <w:rPr>
                <w:noProof/>
              </w:rPr>
              <w:t>Modified Eligible Transferee</w:t>
            </w:r>
            <w:r>
              <w:rPr>
                <w:noProof/>
              </w:rPr>
              <w:tab/>
              <w:t>453</w:t>
            </w:r>
          </w:p>
          <w:p w:rsidR="00AB5C77">
            <w:pPr>
              <w:pStyle w:val="Index1"/>
              <w:rPr>
                <w:noProof/>
              </w:rPr>
            </w:pPr>
            <w:r>
              <w:rPr>
                <w:noProof/>
              </w:rPr>
              <w:t>Modified Restructuring Maturity Limitation Date</w:t>
            </w:r>
            <w:r>
              <w:rPr>
                <w:noProof/>
              </w:rPr>
              <w:tab/>
              <w:t>453</w:t>
            </w:r>
          </w:p>
          <w:p w:rsidR="00AB5C77">
            <w:pPr>
              <w:pStyle w:val="Index1"/>
              <w:rPr>
                <w:noProof/>
              </w:rPr>
            </w:pPr>
            <w:r>
              <w:rPr>
                <w:noProof/>
              </w:rPr>
              <w:t>Multiple Holder Obligation</w:t>
            </w:r>
            <w:r>
              <w:rPr>
                <w:noProof/>
              </w:rPr>
              <w:tab/>
              <w:t>413, 453</w:t>
            </w:r>
          </w:p>
          <w:p w:rsidR="00AB5C77">
            <w:pPr>
              <w:pStyle w:val="Index1"/>
              <w:rPr>
                <w:noProof/>
              </w:rPr>
            </w:pPr>
            <w:r>
              <w:rPr>
                <w:noProof/>
              </w:rPr>
              <w:t>No Auction Announcement Date</w:t>
            </w:r>
            <w:r>
              <w:rPr>
                <w:noProof/>
              </w:rPr>
              <w:tab/>
              <w:t>454</w:t>
            </w:r>
          </w:p>
          <w:p w:rsidR="00AB5C77">
            <w:pPr>
              <w:pStyle w:val="Index1"/>
              <w:rPr>
                <w:noProof/>
              </w:rPr>
            </w:pPr>
            <w:r>
              <w:rPr>
                <w:noProof/>
              </w:rPr>
              <w:t>Non-Conforming Reference Obligation</w:t>
            </w:r>
            <w:r>
              <w:rPr>
                <w:noProof/>
              </w:rPr>
              <w:tab/>
              <w:t>454</w:t>
            </w:r>
          </w:p>
          <w:p w:rsidR="00AB5C77">
            <w:pPr>
              <w:pStyle w:val="Index1"/>
              <w:rPr>
                <w:noProof/>
              </w:rPr>
            </w:pPr>
            <w:r>
              <w:rPr>
                <w:noProof/>
              </w:rPr>
              <w:t>Non-Conforming Substitute Reference Obligation</w:t>
            </w:r>
            <w:r>
              <w:rPr>
                <w:noProof/>
              </w:rPr>
              <w:tab/>
              <w:t>454</w:t>
            </w:r>
          </w:p>
          <w:p w:rsidR="00AB5C77">
            <w:pPr>
              <w:pStyle w:val="Index1"/>
              <w:rPr>
                <w:noProof/>
              </w:rPr>
            </w:pPr>
            <w:r w:rsidRPr="00224529">
              <w:rPr>
                <w:noProof/>
                <w:lang w:val="de-DE"/>
              </w:rPr>
              <w:t>Non-Contingent Amount</w:t>
            </w:r>
            <w:r>
              <w:rPr>
                <w:noProof/>
              </w:rPr>
              <w:tab/>
              <w:t>454</w:t>
            </w:r>
          </w:p>
          <w:p w:rsidR="00AB5C77">
            <w:pPr>
              <w:pStyle w:val="Index1"/>
              <w:rPr>
                <w:noProof/>
              </w:rPr>
            </w:pPr>
            <w:r w:rsidRPr="00224529">
              <w:rPr>
                <w:noProof/>
                <w:lang w:val="de-DE"/>
              </w:rPr>
              <w:t>Non-Standard Reference Obligation</w:t>
            </w:r>
            <w:r>
              <w:rPr>
                <w:noProof/>
              </w:rPr>
              <w:tab/>
              <w:t>346, 455</w:t>
            </w:r>
          </w:p>
          <w:p w:rsidR="00AB5C77">
            <w:pPr>
              <w:pStyle w:val="Index1"/>
              <w:rPr>
                <w:noProof/>
              </w:rPr>
            </w:pPr>
            <w:r>
              <w:rPr>
                <w:noProof/>
              </w:rPr>
              <w:t>Not Bearer</w:t>
            </w:r>
            <w:r>
              <w:rPr>
                <w:noProof/>
              </w:rPr>
              <w:tab/>
              <w:t>455</w:t>
            </w:r>
          </w:p>
          <w:p w:rsidR="00AB5C77">
            <w:pPr>
              <w:pStyle w:val="Index1"/>
              <w:rPr>
                <w:noProof/>
              </w:rPr>
            </w:pPr>
            <w:r>
              <w:rPr>
                <w:noProof/>
              </w:rPr>
              <w:t>Not Domestic Currency</w:t>
            </w:r>
            <w:r>
              <w:rPr>
                <w:noProof/>
              </w:rPr>
              <w:tab/>
              <w:t>455</w:t>
            </w:r>
          </w:p>
          <w:p w:rsidR="00AB5C77">
            <w:pPr>
              <w:pStyle w:val="Index1"/>
              <w:rPr>
                <w:noProof/>
              </w:rPr>
            </w:pPr>
            <w:r>
              <w:rPr>
                <w:noProof/>
              </w:rPr>
              <w:t>Not Domestic Issuance</w:t>
            </w:r>
            <w:r>
              <w:rPr>
                <w:noProof/>
              </w:rPr>
              <w:tab/>
              <w:t>456</w:t>
            </w:r>
          </w:p>
          <w:p w:rsidR="00AB5C77">
            <w:pPr>
              <w:pStyle w:val="Index1"/>
              <w:rPr>
                <w:noProof/>
              </w:rPr>
            </w:pPr>
            <w:r>
              <w:rPr>
                <w:noProof/>
              </w:rPr>
              <w:t>Not Domestic Law</w:t>
            </w:r>
            <w:r>
              <w:rPr>
                <w:noProof/>
              </w:rPr>
              <w:tab/>
              <w:t>456</w:t>
            </w:r>
          </w:p>
          <w:p w:rsidR="00AB5C77">
            <w:pPr>
              <w:pStyle w:val="Index1"/>
              <w:rPr>
                <w:noProof/>
              </w:rPr>
            </w:pPr>
            <w:r>
              <w:rPr>
                <w:noProof/>
              </w:rPr>
              <w:t>Not Sovereign Lender</w:t>
            </w:r>
            <w:r>
              <w:rPr>
                <w:noProof/>
              </w:rPr>
              <w:tab/>
              <w:t>456</w:t>
            </w:r>
          </w:p>
          <w:p w:rsidR="00AB5C77">
            <w:pPr>
              <w:pStyle w:val="Index1"/>
              <w:rPr>
                <w:noProof/>
              </w:rPr>
            </w:pPr>
            <w:r>
              <w:rPr>
                <w:noProof/>
              </w:rPr>
              <w:t>Not Subordinated</w:t>
            </w:r>
            <w:r>
              <w:rPr>
                <w:noProof/>
              </w:rPr>
              <w:tab/>
              <w:t>456</w:t>
            </w:r>
          </w:p>
          <w:p w:rsidR="00AB5C77">
            <w:pPr>
              <w:pStyle w:val="Index1"/>
              <w:rPr>
                <w:noProof/>
              </w:rPr>
            </w:pPr>
            <w:r>
              <w:rPr>
                <w:noProof/>
              </w:rPr>
              <w:t>Notice Delivery Date</w:t>
            </w:r>
            <w:r>
              <w:rPr>
                <w:noProof/>
              </w:rPr>
              <w:tab/>
              <w:t>457</w:t>
            </w:r>
          </w:p>
          <w:p w:rsidR="00AB5C77">
            <w:pPr>
              <w:pStyle w:val="Index1"/>
              <w:rPr>
                <w:noProof/>
              </w:rPr>
            </w:pPr>
            <w:r>
              <w:rPr>
                <w:noProof/>
              </w:rPr>
              <w:t>Notice Delivery Period</w:t>
            </w:r>
            <w:r>
              <w:rPr>
                <w:noProof/>
              </w:rPr>
              <w:tab/>
              <w:t>457</w:t>
            </w:r>
          </w:p>
          <w:p w:rsidR="00AB5C77">
            <w:pPr>
              <w:pStyle w:val="Index1"/>
              <w:rPr>
                <w:noProof/>
              </w:rPr>
            </w:pPr>
            <w:r>
              <w:rPr>
                <w:noProof/>
              </w:rPr>
              <w:t>Notice of Publicly Available Information</w:t>
            </w:r>
            <w:r>
              <w:rPr>
                <w:noProof/>
              </w:rPr>
              <w:tab/>
              <w:t>457</w:t>
            </w:r>
          </w:p>
          <w:p w:rsidR="00AB5C77">
            <w:pPr>
              <w:pStyle w:val="Index1"/>
              <w:rPr>
                <w:noProof/>
              </w:rPr>
            </w:pPr>
            <w:r>
              <w:rPr>
                <w:noProof/>
              </w:rPr>
              <w:t>Obligation</w:t>
            </w:r>
            <w:r>
              <w:rPr>
                <w:noProof/>
              </w:rPr>
              <w:tab/>
              <w:t>458</w:t>
            </w:r>
          </w:p>
          <w:p w:rsidR="00AB5C77">
            <w:pPr>
              <w:pStyle w:val="Index1"/>
              <w:rPr>
                <w:noProof/>
              </w:rPr>
            </w:pPr>
            <w:r w:rsidRPr="00224529">
              <w:rPr>
                <w:noProof/>
                <w:lang w:val="de-DE"/>
              </w:rPr>
              <w:t>Obligation Acceleration</w:t>
            </w:r>
            <w:r>
              <w:rPr>
                <w:noProof/>
              </w:rPr>
              <w:tab/>
              <w:t>458</w:t>
            </w:r>
          </w:p>
          <w:p w:rsidR="00AB5C77">
            <w:pPr>
              <w:pStyle w:val="Index1"/>
              <w:rPr>
                <w:noProof/>
              </w:rPr>
            </w:pPr>
            <w:r w:rsidRPr="00224529">
              <w:rPr>
                <w:noProof/>
                <w:lang w:val="de-DE"/>
              </w:rPr>
              <w:t>Obligation Category</w:t>
            </w:r>
            <w:r>
              <w:rPr>
                <w:noProof/>
              </w:rPr>
              <w:tab/>
              <w:t>414, 458</w:t>
            </w:r>
          </w:p>
          <w:p w:rsidR="00AB5C77">
            <w:pPr>
              <w:pStyle w:val="Index1"/>
              <w:rPr>
                <w:noProof/>
              </w:rPr>
            </w:pPr>
            <w:r w:rsidRPr="00224529">
              <w:rPr>
                <w:noProof/>
                <w:lang w:val="de-DE"/>
              </w:rPr>
              <w:t>Obligation Characteristics</w:t>
            </w:r>
            <w:r>
              <w:rPr>
                <w:noProof/>
              </w:rPr>
              <w:tab/>
              <w:t>415, 458</w:t>
            </w:r>
          </w:p>
          <w:p w:rsidR="00AB5C77">
            <w:pPr>
              <w:pStyle w:val="Index1"/>
              <w:rPr>
                <w:noProof/>
              </w:rPr>
            </w:pPr>
            <w:r w:rsidRPr="00224529">
              <w:rPr>
                <w:noProof/>
                <w:lang w:val="de-DE"/>
              </w:rPr>
              <w:t>Obligation Currency</w:t>
            </w:r>
            <w:r>
              <w:rPr>
                <w:noProof/>
              </w:rPr>
              <w:tab/>
              <w:t>458</w:t>
            </w:r>
          </w:p>
          <w:p w:rsidR="00AB5C77">
            <w:pPr>
              <w:pStyle w:val="Index1"/>
              <w:rPr>
                <w:noProof/>
              </w:rPr>
            </w:pPr>
            <w:r>
              <w:rPr>
                <w:noProof/>
              </w:rPr>
              <w:t>Offer</w:t>
            </w:r>
            <w:r>
              <w:rPr>
                <w:noProof/>
              </w:rPr>
              <w:tab/>
              <w:t>458</w:t>
            </w:r>
          </w:p>
          <w:p w:rsidR="00AB5C77">
            <w:pPr>
              <w:pStyle w:val="Index1"/>
              <w:rPr>
                <w:noProof/>
              </w:rPr>
            </w:pPr>
            <w:r>
              <w:rPr>
                <w:noProof/>
              </w:rPr>
              <w:t>Optional Early Redemption Date(s)</w:t>
            </w:r>
            <w:r>
              <w:rPr>
                <w:noProof/>
              </w:rPr>
              <w:tab/>
              <w:t>395</w:t>
            </w:r>
          </w:p>
          <w:p w:rsidR="00AB5C77">
            <w:pPr>
              <w:pStyle w:val="Index1"/>
              <w:rPr>
                <w:noProof/>
              </w:rPr>
            </w:pPr>
            <w:r w:rsidRPr="00224529">
              <w:rPr>
                <w:noProof/>
                <w:lang w:val="de-DE"/>
              </w:rPr>
              <w:t>Optional Early Redemption Price</w:t>
            </w:r>
            <w:r>
              <w:rPr>
                <w:noProof/>
              </w:rPr>
              <w:tab/>
              <w:t>395</w:t>
            </w:r>
          </w:p>
          <w:p w:rsidR="00AB5C77">
            <w:pPr>
              <w:pStyle w:val="Index1"/>
              <w:rPr>
                <w:noProof/>
              </w:rPr>
            </w:pPr>
            <w:r>
              <w:rPr>
                <w:noProof/>
              </w:rPr>
              <w:t>Original Non-Standard Reference Obligation</w:t>
            </w:r>
            <w:r>
              <w:rPr>
                <w:noProof/>
              </w:rPr>
              <w:tab/>
              <w:t>459</w:t>
            </w:r>
          </w:p>
          <w:p w:rsidR="00AB5C77">
            <w:pPr>
              <w:pStyle w:val="Index1"/>
              <w:rPr>
                <w:noProof/>
              </w:rPr>
            </w:pPr>
            <w:r>
              <w:rPr>
                <w:noProof/>
              </w:rPr>
              <w:t>Outstanding Principal Amount</w:t>
            </w:r>
            <w:r>
              <w:rPr>
                <w:noProof/>
              </w:rPr>
              <w:tab/>
              <w:t>349</w:t>
            </w:r>
          </w:p>
          <w:p w:rsidR="00AB5C77">
            <w:pPr>
              <w:pStyle w:val="Index1"/>
              <w:rPr>
                <w:noProof/>
              </w:rPr>
            </w:pPr>
            <w:r>
              <w:rPr>
                <w:noProof/>
              </w:rPr>
              <w:t>Outstanding Principal Balance</w:t>
            </w:r>
            <w:r>
              <w:rPr>
                <w:noProof/>
              </w:rPr>
              <w:tab/>
              <w:t>459</w:t>
            </w:r>
          </w:p>
          <w:p w:rsidR="00AB5C77">
            <w:pPr>
              <w:pStyle w:val="Index1"/>
              <w:rPr>
                <w:noProof/>
              </w:rPr>
            </w:pPr>
            <w:r>
              <w:rPr>
                <w:noProof/>
              </w:rPr>
              <w:t>Package Observable Bond</w:t>
            </w:r>
            <w:r>
              <w:rPr>
                <w:noProof/>
              </w:rPr>
              <w:tab/>
              <w:t>459</w:t>
            </w:r>
          </w:p>
          <w:p w:rsidR="00AB5C77">
            <w:pPr>
              <w:pStyle w:val="Index1"/>
              <w:rPr>
                <w:noProof/>
              </w:rPr>
            </w:pPr>
            <w:r>
              <w:rPr>
                <w:noProof/>
              </w:rPr>
              <w:t>Payment</w:t>
            </w:r>
            <w:r>
              <w:rPr>
                <w:noProof/>
              </w:rPr>
              <w:tab/>
              <w:t>459</w:t>
            </w:r>
          </w:p>
          <w:p w:rsidR="00AB5C77">
            <w:pPr>
              <w:pStyle w:val="Index1"/>
              <w:rPr>
                <w:noProof/>
              </w:rPr>
            </w:pPr>
            <w:r>
              <w:rPr>
                <w:noProof/>
              </w:rPr>
              <w:t>Payment Requirement</w:t>
            </w:r>
            <w:r>
              <w:rPr>
                <w:noProof/>
              </w:rPr>
              <w:tab/>
              <w:t>459</w:t>
            </w:r>
          </w:p>
          <w:p w:rsidR="00AB5C77">
            <w:pPr>
              <w:pStyle w:val="Index1"/>
              <w:rPr>
                <w:noProof/>
              </w:rPr>
            </w:pPr>
            <w:r w:rsidRPr="00224529">
              <w:rPr>
                <w:noProof/>
                <w:lang w:val="de-DE"/>
              </w:rPr>
              <w:t>Permitted Contingency</w:t>
            </w:r>
            <w:r>
              <w:rPr>
                <w:noProof/>
              </w:rPr>
              <w:tab/>
              <w:t>460</w:t>
            </w:r>
          </w:p>
          <w:p w:rsidR="00AB5C77">
            <w:pPr>
              <w:pStyle w:val="Index1"/>
              <w:rPr>
                <w:noProof/>
              </w:rPr>
            </w:pPr>
            <w:r>
              <w:rPr>
                <w:noProof/>
              </w:rPr>
              <w:t>Permitted Transfer</w:t>
            </w:r>
            <w:r>
              <w:rPr>
                <w:noProof/>
              </w:rPr>
              <w:tab/>
              <w:t>460</w:t>
            </w:r>
          </w:p>
          <w:p w:rsidR="00AB5C77">
            <w:pPr>
              <w:pStyle w:val="Index1"/>
              <w:rPr>
                <w:noProof/>
              </w:rPr>
            </w:pPr>
            <w:r>
              <w:rPr>
                <w:noProof/>
              </w:rPr>
              <w:t>Post Dismissal Additional Period</w:t>
            </w:r>
            <w:r>
              <w:rPr>
                <w:noProof/>
              </w:rPr>
              <w:tab/>
              <w:t>461</w:t>
            </w:r>
          </w:p>
          <w:p w:rsidR="00AB5C77">
            <w:pPr>
              <w:pStyle w:val="Index1"/>
              <w:rPr>
                <w:noProof/>
              </w:rPr>
            </w:pPr>
            <w:r>
              <w:rPr>
                <w:noProof/>
              </w:rPr>
              <w:t>Potential Credit Event Determination Period</w:t>
            </w:r>
            <w:r>
              <w:rPr>
                <w:noProof/>
              </w:rPr>
              <w:tab/>
              <w:t>461</w:t>
            </w:r>
          </w:p>
          <w:p w:rsidR="00AB5C77">
            <w:pPr>
              <w:pStyle w:val="Index1"/>
              <w:rPr>
                <w:noProof/>
              </w:rPr>
            </w:pPr>
            <w:r w:rsidRPr="00224529">
              <w:rPr>
                <w:noProof/>
                <w:lang w:val="de-DE"/>
              </w:rPr>
              <w:t>Potential Credit Event Period</w:t>
            </w:r>
            <w:r>
              <w:rPr>
                <w:noProof/>
              </w:rPr>
              <w:tab/>
              <w:t>462</w:t>
            </w:r>
          </w:p>
          <w:p w:rsidR="00AB5C77">
            <w:pPr>
              <w:pStyle w:val="Index1"/>
              <w:rPr>
                <w:noProof/>
              </w:rPr>
            </w:pPr>
            <w:r w:rsidRPr="00224529">
              <w:rPr>
                <w:noProof/>
                <w:lang w:val="de-DE"/>
              </w:rPr>
              <w:t>Potential Failure to Pay</w:t>
            </w:r>
            <w:r>
              <w:rPr>
                <w:noProof/>
              </w:rPr>
              <w:tab/>
              <w:t>463</w:t>
            </w:r>
          </w:p>
          <w:p w:rsidR="00AB5C77">
            <w:pPr>
              <w:pStyle w:val="Index1"/>
              <w:rPr>
                <w:noProof/>
              </w:rPr>
            </w:pPr>
            <w:r>
              <w:rPr>
                <w:noProof/>
              </w:rPr>
              <w:t>Potential Failure to Pay Period</w:t>
            </w:r>
            <w:r>
              <w:rPr>
                <w:noProof/>
              </w:rPr>
              <w:tab/>
              <w:t>463</w:t>
            </w:r>
          </w:p>
          <w:p w:rsidR="00AB5C77">
            <w:pPr>
              <w:pStyle w:val="Index1"/>
              <w:rPr>
                <w:noProof/>
              </w:rPr>
            </w:pPr>
            <w:r>
              <w:rPr>
                <w:noProof/>
              </w:rPr>
              <w:t>Potential Repudiation/ Moratorium</w:t>
            </w:r>
            <w:r>
              <w:rPr>
                <w:noProof/>
              </w:rPr>
              <w:tab/>
              <w:t>463</w:t>
            </w:r>
          </w:p>
          <w:p w:rsidR="00AB5C77">
            <w:pPr>
              <w:pStyle w:val="Index1"/>
              <w:rPr>
                <w:noProof/>
              </w:rPr>
            </w:pPr>
            <w:r>
              <w:rPr>
                <w:noProof/>
              </w:rPr>
              <w:t>Potential Repudiation/Moratorium Period</w:t>
            </w:r>
            <w:r>
              <w:rPr>
                <w:noProof/>
              </w:rPr>
              <w:tab/>
              <w:t>463</w:t>
            </w:r>
          </w:p>
          <w:p w:rsidR="00AB5C77">
            <w:pPr>
              <w:pStyle w:val="Index1"/>
              <w:rPr>
                <w:noProof/>
              </w:rPr>
            </w:pPr>
            <w:r w:rsidRPr="00224529">
              <w:rPr>
                <w:noProof/>
                <w:lang w:val="de-DE"/>
              </w:rPr>
              <w:t>Principal Amount</w:t>
            </w:r>
            <w:r>
              <w:rPr>
                <w:noProof/>
              </w:rPr>
              <w:tab/>
              <w:t>349</w:t>
            </w:r>
          </w:p>
          <w:p w:rsidR="00AB5C77">
            <w:pPr>
              <w:pStyle w:val="Index1"/>
              <w:rPr>
                <w:noProof/>
              </w:rPr>
            </w:pPr>
            <w:r>
              <w:rPr>
                <w:noProof/>
              </w:rPr>
              <w:t>Prior Reference Obligation</w:t>
            </w:r>
            <w:r>
              <w:rPr>
                <w:noProof/>
              </w:rPr>
              <w:tab/>
              <w:t>464</w:t>
            </w:r>
          </w:p>
          <w:p w:rsidR="00AB5C77">
            <w:pPr>
              <w:pStyle w:val="Index1"/>
              <w:rPr>
                <w:noProof/>
              </w:rPr>
            </w:pPr>
            <w:r>
              <w:rPr>
                <w:noProof/>
              </w:rPr>
              <w:t>Prior Valuation Obligation</w:t>
            </w:r>
            <w:r>
              <w:rPr>
                <w:noProof/>
              </w:rPr>
              <w:tab/>
              <w:t>464</w:t>
            </w:r>
          </w:p>
          <w:p w:rsidR="00AB5C77">
            <w:pPr>
              <w:pStyle w:val="Index1"/>
              <w:rPr>
                <w:noProof/>
              </w:rPr>
            </w:pPr>
            <w:r>
              <w:rPr>
                <w:noProof/>
              </w:rPr>
              <w:t>Privateside Loan</w:t>
            </w:r>
            <w:r>
              <w:rPr>
                <w:noProof/>
              </w:rPr>
              <w:tab/>
              <w:t>465</w:t>
            </w:r>
          </w:p>
          <w:p w:rsidR="00AB5C77">
            <w:pPr>
              <w:pStyle w:val="Index1"/>
              <w:rPr>
                <w:noProof/>
              </w:rPr>
            </w:pPr>
            <w:r w:rsidRPr="00224529">
              <w:rPr>
                <w:noProof/>
                <w:lang w:val="de-DE"/>
              </w:rPr>
              <w:t>Prohibited Action</w:t>
            </w:r>
            <w:r>
              <w:rPr>
                <w:noProof/>
              </w:rPr>
              <w:tab/>
              <w:t>465</w:t>
            </w:r>
          </w:p>
          <w:p w:rsidR="00AB5C77">
            <w:pPr>
              <w:pStyle w:val="Index1"/>
              <w:rPr>
                <w:noProof/>
              </w:rPr>
            </w:pPr>
            <w:r>
              <w:rPr>
                <w:noProof/>
              </w:rPr>
              <w:t>Public Source</w:t>
            </w:r>
            <w:r>
              <w:rPr>
                <w:noProof/>
              </w:rPr>
              <w:tab/>
              <w:t>418, 465</w:t>
            </w:r>
          </w:p>
          <w:p w:rsidR="00AB5C77">
            <w:pPr>
              <w:pStyle w:val="Index1"/>
              <w:rPr>
                <w:noProof/>
              </w:rPr>
            </w:pPr>
            <w:r w:rsidRPr="00224529">
              <w:rPr>
                <w:noProof/>
                <w:lang w:val="de-DE"/>
              </w:rPr>
              <w:t>Publicly Available Information</w:t>
            </w:r>
            <w:r>
              <w:rPr>
                <w:noProof/>
              </w:rPr>
              <w:tab/>
              <w:t>465</w:t>
            </w:r>
          </w:p>
          <w:p w:rsidR="00AB5C77">
            <w:pPr>
              <w:pStyle w:val="Index1"/>
              <w:rPr>
                <w:noProof/>
              </w:rPr>
            </w:pPr>
            <w:r>
              <w:rPr>
                <w:noProof/>
              </w:rPr>
              <w:t>Qualifying Affiliate Guarantee</w:t>
            </w:r>
            <w:r>
              <w:rPr>
                <w:noProof/>
              </w:rPr>
              <w:tab/>
              <w:t>467</w:t>
            </w:r>
          </w:p>
          <w:p w:rsidR="00AB5C77">
            <w:pPr>
              <w:pStyle w:val="Index1"/>
              <w:rPr>
                <w:noProof/>
              </w:rPr>
            </w:pPr>
            <w:r>
              <w:rPr>
                <w:noProof/>
              </w:rPr>
              <w:t>Qualifying Guarantee</w:t>
            </w:r>
            <w:r>
              <w:rPr>
                <w:noProof/>
              </w:rPr>
              <w:tab/>
              <w:t>467</w:t>
            </w:r>
          </w:p>
          <w:p w:rsidR="00AB5C77">
            <w:pPr>
              <w:pStyle w:val="Index1"/>
              <w:rPr>
                <w:noProof/>
              </w:rPr>
            </w:pPr>
            <w:r w:rsidRPr="00224529">
              <w:rPr>
                <w:noProof/>
                <w:lang w:val="de-DE"/>
              </w:rPr>
              <w:t>Quantum of the Claim</w:t>
            </w:r>
            <w:r>
              <w:rPr>
                <w:noProof/>
              </w:rPr>
              <w:tab/>
              <w:t>469</w:t>
            </w:r>
          </w:p>
          <w:p w:rsidR="00AB5C77">
            <w:pPr>
              <w:pStyle w:val="Index1"/>
              <w:rPr>
                <w:noProof/>
              </w:rPr>
            </w:pPr>
            <w:r w:rsidRPr="00224529">
              <w:rPr>
                <w:noProof/>
                <w:lang w:val="de-DE"/>
              </w:rPr>
              <w:t>Quotation</w:t>
            </w:r>
            <w:r>
              <w:rPr>
                <w:noProof/>
              </w:rPr>
              <w:tab/>
              <w:t>469</w:t>
            </w:r>
          </w:p>
          <w:p w:rsidR="00AB5C77">
            <w:pPr>
              <w:pStyle w:val="Index1"/>
              <w:rPr>
                <w:noProof/>
              </w:rPr>
            </w:pPr>
            <w:r>
              <w:rPr>
                <w:noProof/>
              </w:rPr>
              <w:t>Quotation Amount</w:t>
            </w:r>
            <w:r>
              <w:rPr>
                <w:noProof/>
              </w:rPr>
              <w:tab/>
              <w:t>470</w:t>
            </w:r>
          </w:p>
          <w:p w:rsidR="00AB5C77">
            <w:pPr>
              <w:pStyle w:val="Index1"/>
              <w:rPr>
                <w:noProof/>
              </w:rPr>
            </w:pPr>
            <w:r>
              <w:rPr>
                <w:noProof/>
              </w:rPr>
              <w:t>Quotation Method</w:t>
            </w:r>
            <w:r>
              <w:rPr>
                <w:noProof/>
              </w:rPr>
              <w:tab/>
              <w:t>419, 470</w:t>
            </w:r>
          </w:p>
          <w:p w:rsidR="00AB5C77">
            <w:pPr>
              <w:pStyle w:val="Index1"/>
              <w:rPr>
                <w:noProof/>
              </w:rPr>
            </w:pPr>
            <w:r>
              <w:rPr>
                <w:noProof/>
              </w:rPr>
              <w:t>Rate Source</w:t>
            </w:r>
            <w:r>
              <w:rPr>
                <w:noProof/>
              </w:rPr>
              <w:tab/>
              <w:t>383</w:t>
            </w:r>
          </w:p>
          <w:p w:rsidR="00AB5C77">
            <w:pPr>
              <w:pStyle w:val="Index1"/>
              <w:rPr>
                <w:noProof/>
              </w:rPr>
            </w:pPr>
            <w:r>
              <w:rPr>
                <w:noProof/>
              </w:rPr>
              <w:t>Rate Source Disruption</w:t>
            </w:r>
            <w:r>
              <w:rPr>
                <w:noProof/>
              </w:rPr>
              <w:tab/>
              <w:t>427</w:t>
            </w:r>
          </w:p>
          <w:p w:rsidR="00AB5C77">
            <w:pPr>
              <w:pStyle w:val="Index1"/>
              <w:rPr>
                <w:noProof/>
              </w:rPr>
            </w:pPr>
            <w:r w:rsidRPr="00224529">
              <w:rPr>
                <w:noProof/>
                <w:lang w:val="de-DE"/>
              </w:rPr>
              <w:t>Reference Banks</w:t>
            </w:r>
            <w:r>
              <w:rPr>
                <w:noProof/>
              </w:rPr>
              <w:tab/>
              <w:t>384</w:t>
            </w:r>
          </w:p>
          <w:p w:rsidR="00AB5C77">
            <w:pPr>
              <w:pStyle w:val="Index1"/>
              <w:rPr>
                <w:noProof/>
              </w:rPr>
            </w:pPr>
            <w:r>
              <w:rPr>
                <w:noProof/>
              </w:rPr>
              <w:t>Reference Entity</w:t>
            </w:r>
            <w:r>
              <w:rPr>
                <w:noProof/>
              </w:rPr>
              <w:tab/>
              <w:t>342</w:t>
            </w:r>
          </w:p>
          <w:p w:rsidR="00AB5C77">
            <w:pPr>
              <w:pStyle w:val="Index1"/>
              <w:rPr>
                <w:noProof/>
              </w:rPr>
            </w:pPr>
            <w:r w:rsidRPr="00224529">
              <w:rPr>
                <w:noProof/>
                <w:lang w:val="de-DE"/>
              </w:rPr>
              <w:t>Reference Entity Principal Amount</w:t>
            </w:r>
            <w:r>
              <w:rPr>
                <w:noProof/>
              </w:rPr>
              <w:tab/>
              <w:t>349</w:t>
            </w:r>
          </w:p>
          <w:p w:rsidR="00AB5C77">
            <w:pPr>
              <w:pStyle w:val="Index1"/>
              <w:rPr>
                <w:noProof/>
              </w:rPr>
            </w:pPr>
            <w:r>
              <w:rPr>
                <w:noProof/>
              </w:rPr>
              <w:t>Reference Obligation</w:t>
            </w:r>
            <w:r>
              <w:rPr>
                <w:noProof/>
              </w:rPr>
              <w:tab/>
              <w:t>343</w:t>
            </w:r>
          </w:p>
          <w:p w:rsidR="00AB5C77">
            <w:pPr>
              <w:pStyle w:val="Index1"/>
              <w:rPr>
                <w:noProof/>
              </w:rPr>
            </w:pPr>
            <w:r>
              <w:rPr>
                <w:noProof/>
              </w:rPr>
              <w:t>Reference Obligation Only</w:t>
            </w:r>
            <w:r>
              <w:rPr>
                <w:noProof/>
              </w:rPr>
              <w:tab/>
              <w:t>471</w:t>
            </w:r>
          </w:p>
          <w:p w:rsidR="00AB5C77">
            <w:pPr>
              <w:pStyle w:val="Index1"/>
              <w:rPr>
                <w:noProof/>
              </w:rPr>
            </w:pPr>
            <w:r>
              <w:rPr>
                <w:noProof/>
              </w:rPr>
              <w:t>Reference Price</w:t>
            </w:r>
            <w:r>
              <w:rPr>
                <w:noProof/>
              </w:rPr>
              <w:tab/>
              <w:t>350</w:t>
            </w:r>
          </w:p>
          <w:p w:rsidR="00AB5C77">
            <w:pPr>
              <w:pStyle w:val="Index1"/>
              <w:rPr>
                <w:noProof/>
              </w:rPr>
            </w:pPr>
            <w:r>
              <w:rPr>
                <w:noProof/>
              </w:rPr>
              <w:t>Reference Rate</w:t>
            </w:r>
            <w:r>
              <w:rPr>
                <w:noProof/>
              </w:rPr>
              <w:tab/>
              <w:t>376, 428</w:t>
            </w:r>
          </w:p>
          <w:p w:rsidR="00AB5C77">
            <w:pPr>
              <w:pStyle w:val="Index1"/>
              <w:rPr>
                <w:noProof/>
              </w:rPr>
            </w:pPr>
            <w:r w:rsidRPr="00224529">
              <w:rPr>
                <w:noProof/>
                <w:lang w:val="de-DE"/>
              </w:rPr>
              <w:t>Reference Rate Business Day</w:t>
            </w:r>
            <w:r>
              <w:rPr>
                <w:noProof/>
              </w:rPr>
              <w:tab/>
              <w:t>385</w:t>
            </w:r>
          </w:p>
          <w:p w:rsidR="00AB5C77">
            <w:pPr>
              <w:pStyle w:val="Index1"/>
              <w:rPr>
                <w:noProof/>
              </w:rPr>
            </w:pPr>
            <w:r>
              <w:rPr>
                <w:noProof/>
              </w:rPr>
              <w:t>Relevant City Business Day</w:t>
            </w:r>
            <w:r>
              <w:rPr>
                <w:noProof/>
              </w:rPr>
              <w:tab/>
              <w:t>471</w:t>
            </w:r>
          </w:p>
          <w:p w:rsidR="00AB5C77">
            <w:pPr>
              <w:pStyle w:val="Index1"/>
              <w:rPr>
                <w:noProof/>
              </w:rPr>
            </w:pPr>
            <w:r>
              <w:rPr>
                <w:noProof/>
              </w:rPr>
              <w:t>Relevant Guarantee</w:t>
            </w:r>
            <w:r>
              <w:rPr>
                <w:noProof/>
              </w:rPr>
              <w:tab/>
              <w:t>471</w:t>
            </w:r>
          </w:p>
          <w:p w:rsidR="00AB5C77">
            <w:pPr>
              <w:pStyle w:val="Index1"/>
              <w:rPr>
                <w:noProof/>
              </w:rPr>
            </w:pPr>
            <w:r>
              <w:rPr>
                <w:noProof/>
              </w:rPr>
              <w:t>Relevant Holder</w:t>
            </w:r>
            <w:r>
              <w:rPr>
                <w:noProof/>
              </w:rPr>
              <w:tab/>
              <w:t>473</w:t>
            </w:r>
          </w:p>
          <w:p w:rsidR="00AB5C77">
            <w:pPr>
              <w:pStyle w:val="Index1"/>
              <w:rPr>
                <w:noProof/>
              </w:rPr>
            </w:pPr>
            <w:r>
              <w:rPr>
                <w:noProof/>
              </w:rPr>
              <w:t>Relevant Obligations</w:t>
            </w:r>
            <w:r>
              <w:rPr>
                <w:noProof/>
              </w:rPr>
              <w:tab/>
              <w:t>473</w:t>
            </w:r>
          </w:p>
          <w:p w:rsidR="00AB5C77">
            <w:pPr>
              <w:pStyle w:val="Index1"/>
              <w:rPr>
                <w:noProof/>
              </w:rPr>
            </w:pPr>
            <w:r w:rsidRPr="00224529">
              <w:rPr>
                <w:noProof/>
                <w:lang w:val="de-DE"/>
              </w:rPr>
              <w:t>Repudiation/ Moratorium</w:t>
            </w:r>
            <w:r>
              <w:rPr>
                <w:noProof/>
              </w:rPr>
              <w:tab/>
              <w:t>410, 474</w:t>
            </w:r>
          </w:p>
          <w:p w:rsidR="00AB5C77">
            <w:pPr>
              <w:pStyle w:val="Index1"/>
              <w:rPr>
                <w:noProof/>
              </w:rPr>
            </w:pPr>
            <w:r>
              <w:rPr>
                <w:noProof/>
              </w:rPr>
              <w:t>Repudiation/ Moratorium Evaluation Date</w:t>
            </w:r>
            <w:r>
              <w:rPr>
                <w:noProof/>
              </w:rPr>
              <w:tab/>
              <w:t>474</w:t>
            </w:r>
          </w:p>
          <w:p w:rsidR="00AB5C77">
            <w:pPr>
              <w:pStyle w:val="Index1"/>
              <w:rPr>
                <w:noProof/>
              </w:rPr>
            </w:pPr>
            <w:r>
              <w:rPr>
                <w:noProof/>
              </w:rPr>
              <w:t>Repudiation/ Moratorium Extension Condition</w:t>
            </w:r>
            <w:r>
              <w:rPr>
                <w:noProof/>
              </w:rPr>
              <w:tab/>
              <w:t>475</w:t>
            </w:r>
          </w:p>
          <w:p w:rsidR="00AB5C77">
            <w:pPr>
              <w:pStyle w:val="Index1"/>
              <w:rPr>
                <w:noProof/>
              </w:rPr>
            </w:pPr>
            <w:r>
              <w:rPr>
                <w:noProof/>
              </w:rPr>
              <w:t>Repudiation/ Moratorium Extension Notice</w:t>
            </w:r>
            <w:r>
              <w:rPr>
                <w:noProof/>
              </w:rPr>
              <w:tab/>
              <w:t>475</w:t>
            </w:r>
          </w:p>
          <w:p w:rsidR="00AB5C77">
            <w:pPr>
              <w:pStyle w:val="Index1"/>
              <w:rPr>
                <w:noProof/>
              </w:rPr>
            </w:pPr>
            <w:r w:rsidRPr="00224529">
              <w:rPr>
                <w:noProof/>
                <w:lang w:val="de-DE"/>
              </w:rPr>
              <w:t>Resolve, Resolved</w:t>
            </w:r>
            <w:r>
              <w:rPr>
                <w:noProof/>
              </w:rPr>
              <w:tab/>
              <w:t>476</w:t>
            </w:r>
          </w:p>
          <w:p w:rsidR="00AB5C77">
            <w:pPr>
              <w:pStyle w:val="Index1"/>
              <w:rPr>
                <w:noProof/>
              </w:rPr>
            </w:pPr>
            <w:r>
              <w:rPr>
                <w:noProof/>
              </w:rPr>
              <w:t>Restructured Bond or Loan</w:t>
            </w:r>
            <w:r>
              <w:rPr>
                <w:noProof/>
              </w:rPr>
              <w:tab/>
              <w:t>476</w:t>
            </w:r>
          </w:p>
          <w:p w:rsidR="00AB5C77">
            <w:pPr>
              <w:pStyle w:val="Index1"/>
              <w:rPr>
                <w:noProof/>
              </w:rPr>
            </w:pPr>
            <w:r>
              <w:rPr>
                <w:noProof/>
              </w:rPr>
              <w:t>Restructuring</w:t>
            </w:r>
            <w:r>
              <w:rPr>
                <w:noProof/>
              </w:rPr>
              <w:tab/>
              <w:t>410, 476</w:t>
            </w:r>
          </w:p>
          <w:p w:rsidR="00AB5C77">
            <w:pPr>
              <w:pStyle w:val="Index1"/>
              <w:rPr>
                <w:noProof/>
              </w:rPr>
            </w:pPr>
            <w:r>
              <w:rPr>
                <w:noProof/>
              </w:rPr>
              <w:t>Restructuring Date</w:t>
            </w:r>
            <w:r>
              <w:rPr>
                <w:noProof/>
              </w:rPr>
              <w:tab/>
              <w:t>476</w:t>
            </w:r>
          </w:p>
          <w:p w:rsidR="00AB5C77">
            <w:pPr>
              <w:pStyle w:val="Index1"/>
              <w:rPr>
                <w:noProof/>
              </w:rPr>
            </w:pPr>
            <w:r>
              <w:rPr>
                <w:noProof/>
              </w:rPr>
              <w:t>Restructuring Maturity Limitation Date</w:t>
            </w:r>
            <w:r>
              <w:rPr>
                <w:noProof/>
              </w:rPr>
              <w:tab/>
              <w:t>476</w:t>
            </w:r>
          </w:p>
          <w:p w:rsidR="00AB5C77">
            <w:pPr>
              <w:pStyle w:val="Index1"/>
              <w:rPr>
                <w:noProof/>
              </w:rPr>
            </w:pPr>
            <w:r>
              <w:rPr>
                <w:noProof/>
              </w:rPr>
              <w:t>Scheduled Maturity Date</w:t>
            </w:r>
            <w:r>
              <w:rPr>
                <w:noProof/>
              </w:rPr>
              <w:tab/>
              <w:t>392</w:t>
            </w:r>
          </w:p>
          <w:p w:rsidR="00AB5C77">
            <w:pPr>
              <w:pStyle w:val="Index1"/>
              <w:rPr>
                <w:noProof/>
              </w:rPr>
            </w:pPr>
            <w:r>
              <w:rPr>
                <w:noProof/>
              </w:rPr>
              <w:t>Scheduled Redemption</w:t>
            </w:r>
            <w:r>
              <w:rPr>
                <w:noProof/>
              </w:rPr>
              <w:tab/>
              <w:t>388</w:t>
            </w:r>
          </w:p>
          <w:p w:rsidR="00AB5C77">
            <w:pPr>
              <w:pStyle w:val="Index1"/>
              <w:rPr>
                <w:noProof/>
              </w:rPr>
            </w:pPr>
            <w:r w:rsidRPr="00224529">
              <w:rPr>
                <w:noProof/>
                <w:lang w:val="de-DE"/>
              </w:rPr>
              <w:t>Scheduled Redemption Amount</w:t>
            </w:r>
            <w:r>
              <w:rPr>
                <w:noProof/>
              </w:rPr>
              <w:tab/>
              <w:t>392</w:t>
            </w:r>
          </w:p>
          <w:p w:rsidR="00AB5C77">
            <w:pPr>
              <w:pStyle w:val="Index1"/>
              <w:rPr>
                <w:noProof/>
              </w:rPr>
            </w:pPr>
            <w:r>
              <w:rPr>
                <w:noProof/>
              </w:rPr>
              <w:t>Senior Obligation</w:t>
            </w:r>
            <w:r>
              <w:rPr>
                <w:noProof/>
              </w:rPr>
              <w:tab/>
              <w:t>477</w:t>
            </w:r>
          </w:p>
          <w:p w:rsidR="00AB5C77">
            <w:pPr>
              <w:pStyle w:val="Index1"/>
              <w:rPr>
                <w:noProof/>
              </w:rPr>
            </w:pPr>
            <w:r>
              <w:rPr>
                <w:noProof/>
              </w:rPr>
              <w:t>Seniority Level</w:t>
            </w:r>
            <w:r>
              <w:rPr>
                <w:noProof/>
              </w:rPr>
              <w:tab/>
              <w:t>477</w:t>
            </w:r>
          </w:p>
          <w:p w:rsidR="00AB5C77">
            <w:pPr>
              <w:pStyle w:val="Index1"/>
              <w:rPr>
                <w:noProof/>
              </w:rPr>
            </w:pPr>
            <w:r>
              <w:rPr>
                <w:noProof/>
              </w:rPr>
              <w:t>Settlement Currency</w:t>
            </w:r>
            <w:r>
              <w:rPr>
                <w:noProof/>
              </w:rPr>
              <w:tab/>
              <w:t>350, 477</w:t>
            </w:r>
          </w:p>
          <w:p w:rsidR="00AB5C77">
            <w:pPr>
              <w:pStyle w:val="Index1"/>
              <w:rPr>
                <w:noProof/>
              </w:rPr>
            </w:pPr>
            <w:r>
              <w:rPr>
                <w:noProof/>
              </w:rPr>
              <w:t>Settlement Matrix</w:t>
            </w:r>
            <w:r>
              <w:rPr>
                <w:noProof/>
              </w:rPr>
              <w:tab/>
              <w:t>477</w:t>
            </w:r>
          </w:p>
          <w:p w:rsidR="00AB5C77">
            <w:pPr>
              <w:pStyle w:val="Index1"/>
              <w:rPr>
                <w:noProof/>
              </w:rPr>
            </w:pPr>
            <w:r w:rsidRPr="00224529">
              <w:rPr>
                <w:noProof/>
                <w:lang w:val="de-DE"/>
              </w:rPr>
              <w:t>Settlement Suspension</w:t>
            </w:r>
            <w:r>
              <w:rPr>
                <w:noProof/>
              </w:rPr>
              <w:tab/>
              <w:t>477</w:t>
            </w:r>
          </w:p>
          <w:p w:rsidR="00AB5C77">
            <w:pPr>
              <w:pStyle w:val="Index1"/>
              <w:rPr>
                <w:noProof/>
              </w:rPr>
            </w:pPr>
            <w:r>
              <w:rPr>
                <w:noProof/>
              </w:rPr>
              <w:t>Solvency Capital Provisions</w:t>
            </w:r>
            <w:r>
              <w:rPr>
                <w:noProof/>
              </w:rPr>
              <w:tab/>
              <w:t>478</w:t>
            </w:r>
          </w:p>
          <w:p w:rsidR="00AB5C77">
            <w:pPr>
              <w:pStyle w:val="Index1"/>
              <w:rPr>
                <w:noProof/>
              </w:rPr>
            </w:pPr>
            <w:r>
              <w:rPr>
                <w:noProof/>
              </w:rPr>
              <w:t>Sovereign</w:t>
            </w:r>
            <w:r>
              <w:rPr>
                <w:noProof/>
              </w:rPr>
              <w:tab/>
              <w:t>478</w:t>
            </w:r>
          </w:p>
          <w:p w:rsidR="00AB5C77">
            <w:pPr>
              <w:pStyle w:val="Index1"/>
              <w:rPr>
                <w:noProof/>
              </w:rPr>
            </w:pPr>
            <w:r>
              <w:rPr>
                <w:noProof/>
              </w:rPr>
              <w:t>Sovereign Restructured Valuation Obligation</w:t>
            </w:r>
            <w:r>
              <w:rPr>
                <w:noProof/>
              </w:rPr>
              <w:tab/>
              <w:t>478</w:t>
            </w:r>
          </w:p>
          <w:p w:rsidR="00AB5C77">
            <w:pPr>
              <w:pStyle w:val="Index1"/>
              <w:rPr>
                <w:noProof/>
              </w:rPr>
            </w:pPr>
            <w:r>
              <w:rPr>
                <w:noProof/>
              </w:rPr>
              <w:t>Sovereign Succession Event</w:t>
            </w:r>
            <w:r>
              <w:rPr>
                <w:noProof/>
              </w:rPr>
              <w:tab/>
              <w:t>479</w:t>
            </w:r>
          </w:p>
          <w:p w:rsidR="00AB5C77">
            <w:pPr>
              <w:pStyle w:val="Index1"/>
              <w:rPr>
                <w:noProof/>
              </w:rPr>
            </w:pPr>
            <w:r>
              <w:rPr>
                <w:noProof/>
              </w:rPr>
              <w:t>Specified Currency</w:t>
            </w:r>
            <w:r>
              <w:rPr>
                <w:noProof/>
              </w:rPr>
              <w:tab/>
              <w:t>479</w:t>
            </w:r>
          </w:p>
          <w:p w:rsidR="00AB5C77">
            <w:pPr>
              <w:pStyle w:val="Index1"/>
              <w:rPr>
                <w:noProof/>
              </w:rPr>
            </w:pPr>
            <w:r>
              <w:rPr>
                <w:noProof/>
              </w:rPr>
              <w:t>Specified Denomination</w:t>
            </w:r>
            <w:r>
              <w:rPr>
                <w:noProof/>
              </w:rPr>
              <w:tab/>
              <w:t>349</w:t>
            </w:r>
          </w:p>
          <w:p w:rsidR="00AB5C77">
            <w:pPr>
              <w:pStyle w:val="Index1"/>
              <w:rPr>
                <w:noProof/>
              </w:rPr>
            </w:pPr>
            <w:r>
              <w:rPr>
                <w:noProof/>
              </w:rPr>
              <w:t>Specified Number</w:t>
            </w:r>
            <w:r>
              <w:rPr>
                <w:noProof/>
              </w:rPr>
              <w:tab/>
              <w:t>418, 479</w:t>
            </w:r>
          </w:p>
          <w:p w:rsidR="00AB5C77">
            <w:pPr>
              <w:pStyle w:val="Index1"/>
              <w:rPr>
                <w:noProof/>
              </w:rPr>
            </w:pPr>
            <w:r w:rsidRPr="00224529">
              <w:rPr>
                <w:noProof/>
                <w:lang w:val="de-DE"/>
              </w:rPr>
              <w:t>Specified Reference Rate Currency</w:t>
            </w:r>
            <w:r>
              <w:rPr>
                <w:noProof/>
              </w:rPr>
              <w:tab/>
              <w:t>384</w:t>
            </w:r>
          </w:p>
          <w:p w:rsidR="00AB5C77">
            <w:pPr>
              <w:pStyle w:val="Index1"/>
              <w:rPr>
                <w:noProof/>
              </w:rPr>
            </w:pPr>
            <w:r>
              <w:rPr>
                <w:noProof/>
              </w:rPr>
              <w:t>Standard Specified Currency</w:t>
            </w:r>
            <w:r>
              <w:rPr>
                <w:noProof/>
              </w:rPr>
              <w:tab/>
              <w:t>479</w:t>
            </w:r>
          </w:p>
          <w:p w:rsidR="00AB5C77">
            <w:pPr>
              <w:pStyle w:val="Index1"/>
              <w:rPr>
                <w:noProof/>
              </w:rPr>
            </w:pPr>
            <w:r>
              <w:rPr>
                <w:noProof/>
              </w:rPr>
              <w:t>Steps Plan</w:t>
            </w:r>
            <w:r>
              <w:rPr>
                <w:noProof/>
              </w:rPr>
              <w:tab/>
              <w:t>479</w:t>
            </w:r>
          </w:p>
          <w:p w:rsidR="00AB5C77">
            <w:pPr>
              <w:pStyle w:val="Index1"/>
              <w:rPr>
                <w:noProof/>
              </w:rPr>
            </w:pPr>
            <w:r>
              <w:rPr>
                <w:noProof/>
              </w:rPr>
              <w:t>Subordinated Obligation</w:t>
            </w:r>
            <w:r>
              <w:rPr>
                <w:noProof/>
              </w:rPr>
              <w:tab/>
              <w:t>480</w:t>
            </w:r>
          </w:p>
          <w:p w:rsidR="00AB5C77">
            <w:pPr>
              <w:pStyle w:val="Index1"/>
              <w:rPr>
                <w:noProof/>
              </w:rPr>
            </w:pPr>
            <w:r w:rsidRPr="00224529">
              <w:rPr>
                <w:noProof/>
                <w:lang w:val="de-DE"/>
              </w:rPr>
              <w:t>Subordination</w:t>
            </w:r>
            <w:r>
              <w:rPr>
                <w:noProof/>
              </w:rPr>
              <w:tab/>
              <w:t>480</w:t>
            </w:r>
          </w:p>
          <w:p w:rsidR="00AB5C77">
            <w:pPr>
              <w:pStyle w:val="Index1"/>
              <w:rPr>
                <w:noProof/>
              </w:rPr>
            </w:pPr>
            <w:r>
              <w:rPr>
                <w:noProof/>
              </w:rPr>
              <w:t>Subscription Period</w:t>
            </w:r>
            <w:r>
              <w:rPr>
                <w:noProof/>
              </w:rPr>
              <w:tab/>
              <w:t>350</w:t>
            </w:r>
          </w:p>
          <w:p w:rsidR="00AB5C77">
            <w:pPr>
              <w:pStyle w:val="Index1"/>
              <w:rPr>
                <w:noProof/>
              </w:rPr>
            </w:pPr>
            <w:r>
              <w:rPr>
                <w:noProof/>
              </w:rPr>
              <w:t>Substitute Reference Obligation</w:t>
            </w:r>
            <w:r>
              <w:rPr>
                <w:noProof/>
              </w:rPr>
              <w:tab/>
              <w:t>481</w:t>
            </w:r>
          </w:p>
          <w:p w:rsidR="00AB5C77">
            <w:pPr>
              <w:pStyle w:val="Index1"/>
              <w:rPr>
                <w:noProof/>
              </w:rPr>
            </w:pPr>
            <w:r>
              <w:rPr>
                <w:noProof/>
              </w:rPr>
              <w:t>Substitution Date</w:t>
            </w:r>
            <w:r>
              <w:rPr>
                <w:noProof/>
              </w:rPr>
              <w:tab/>
              <w:t>484</w:t>
            </w:r>
          </w:p>
          <w:p w:rsidR="00AB5C77">
            <w:pPr>
              <w:pStyle w:val="Index1"/>
              <w:rPr>
                <w:noProof/>
              </w:rPr>
            </w:pPr>
            <w:r>
              <w:rPr>
                <w:noProof/>
              </w:rPr>
              <w:t>Substitution Event</w:t>
            </w:r>
            <w:r>
              <w:rPr>
                <w:noProof/>
              </w:rPr>
              <w:tab/>
              <w:t>484</w:t>
            </w:r>
          </w:p>
          <w:p w:rsidR="00AB5C77">
            <w:pPr>
              <w:pStyle w:val="Index1"/>
              <w:rPr>
                <w:noProof/>
              </w:rPr>
            </w:pPr>
            <w:r>
              <w:rPr>
                <w:noProof/>
              </w:rPr>
              <w:t>Substitution Event Date</w:t>
            </w:r>
            <w:r>
              <w:rPr>
                <w:noProof/>
              </w:rPr>
              <w:tab/>
              <w:t>485</w:t>
            </w:r>
          </w:p>
          <w:p w:rsidR="00AB5C77">
            <w:pPr>
              <w:pStyle w:val="Index1"/>
              <w:rPr>
                <w:noProof/>
              </w:rPr>
            </w:pPr>
            <w:r>
              <w:rPr>
                <w:noProof/>
              </w:rPr>
              <w:t>succeed</w:t>
            </w:r>
            <w:r>
              <w:rPr>
                <w:noProof/>
              </w:rPr>
              <w:tab/>
              <w:t>485</w:t>
            </w:r>
          </w:p>
          <w:p w:rsidR="00AB5C77">
            <w:pPr>
              <w:pStyle w:val="Index1"/>
              <w:rPr>
                <w:noProof/>
              </w:rPr>
            </w:pPr>
            <w:r>
              <w:rPr>
                <w:noProof/>
              </w:rPr>
              <w:t>Succession Date</w:t>
            </w:r>
            <w:r>
              <w:rPr>
                <w:noProof/>
              </w:rPr>
              <w:tab/>
              <w:t>486</w:t>
            </w:r>
          </w:p>
          <w:p w:rsidR="00AB5C77">
            <w:pPr>
              <w:pStyle w:val="Index1"/>
              <w:rPr>
                <w:noProof/>
              </w:rPr>
            </w:pPr>
            <w:r>
              <w:rPr>
                <w:noProof/>
              </w:rPr>
              <w:t>Successor</w:t>
            </w:r>
            <w:r>
              <w:rPr>
                <w:noProof/>
              </w:rPr>
              <w:tab/>
              <w:t>486</w:t>
            </w:r>
          </w:p>
          <w:p w:rsidR="00AB5C77">
            <w:pPr>
              <w:pStyle w:val="Index1"/>
              <w:rPr>
                <w:noProof/>
              </w:rPr>
            </w:pPr>
            <w:r>
              <w:rPr>
                <w:noProof/>
              </w:rPr>
              <w:t>Successor Backstop Date</w:t>
            </w:r>
            <w:r>
              <w:rPr>
                <w:noProof/>
              </w:rPr>
              <w:tab/>
              <w:t>485</w:t>
            </w:r>
          </w:p>
          <w:p w:rsidR="00AB5C77">
            <w:pPr>
              <w:pStyle w:val="Index1"/>
              <w:rPr>
                <w:noProof/>
              </w:rPr>
            </w:pPr>
            <w:r>
              <w:rPr>
                <w:noProof/>
              </w:rPr>
              <w:t>Successor Notice</w:t>
            </w:r>
            <w:r>
              <w:rPr>
                <w:noProof/>
              </w:rPr>
              <w:tab/>
              <w:t>492</w:t>
            </w:r>
          </w:p>
          <w:p w:rsidR="00AB5C77">
            <w:pPr>
              <w:pStyle w:val="Index1"/>
              <w:rPr>
                <w:noProof/>
              </w:rPr>
            </w:pPr>
            <w:r w:rsidRPr="00224529">
              <w:rPr>
                <w:noProof/>
                <w:lang w:val="de-DE"/>
              </w:rPr>
              <w:t>Successor Resolution Request Date</w:t>
            </w:r>
            <w:r>
              <w:rPr>
                <w:noProof/>
              </w:rPr>
              <w:tab/>
              <w:t>493</w:t>
            </w:r>
          </w:p>
          <w:p w:rsidR="00AB5C77">
            <w:pPr>
              <w:pStyle w:val="Index1"/>
              <w:rPr>
                <w:noProof/>
              </w:rPr>
            </w:pPr>
            <w:r>
              <w:rPr>
                <w:noProof/>
              </w:rPr>
              <w:t>Surviving Reference Entity</w:t>
            </w:r>
            <w:r>
              <w:rPr>
                <w:noProof/>
              </w:rPr>
              <w:tab/>
              <w:t>493</w:t>
            </w:r>
          </w:p>
          <w:p w:rsidR="00AB5C77">
            <w:pPr>
              <w:pStyle w:val="Index1"/>
              <w:rPr>
                <w:noProof/>
              </w:rPr>
            </w:pPr>
            <w:r>
              <w:rPr>
                <w:noProof/>
              </w:rPr>
              <w:t>TARGET Business Day</w:t>
            </w:r>
            <w:r>
              <w:rPr>
                <w:noProof/>
              </w:rPr>
              <w:tab/>
              <w:t>425</w:t>
            </w:r>
          </w:p>
          <w:p w:rsidR="00AB5C77">
            <w:pPr>
              <w:pStyle w:val="Index1"/>
              <w:rPr>
                <w:noProof/>
              </w:rPr>
            </w:pPr>
            <w:r>
              <w:rPr>
                <w:noProof/>
              </w:rPr>
              <w:t>Tax Disruption</w:t>
            </w:r>
            <w:r>
              <w:rPr>
                <w:noProof/>
              </w:rPr>
              <w:tab/>
              <w:t>427</w:t>
            </w:r>
          </w:p>
          <w:p w:rsidR="00AB5C77">
            <w:pPr>
              <w:pStyle w:val="Index1"/>
              <w:rPr>
                <w:noProof/>
              </w:rPr>
            </w:pPr>
            <w:r>
              <w:rPr>
                <w:noProof/>
              </w:rPr>
              <w:t>Trade Date</w:t>
            </w:r>
            <w:r>
              <w:rPr>
                <w:noProof/>
              </w:rPr>
              <w:tab/>
              <w:t>350</w:t>
            </w:r>
          </w:p>
          <w:p w:rsidR="00AB5C77">
            <w:pPr>
              <w:pStyle w:val="Index1"/>
              <w:rPr>
                <w:noProof/>
              </w:rPr>
            </w:pPr>
            <w:r>
              <w:rPr>
                <w:noProof/>
              </w:rPr>
              <w:t>Transferable</w:t>
            </w:r>
            <w:r>
              <w:rPr>
                <w:noProof/>
              </w:rPr>
              <w:tab/>
              <w:t>493</w:t>
            </w:r>
          </w:p>
          <w:p w:rsidR="00AB5C77">
            <w:pPr>
              <w:pStyle w:val="Index1"/>
              <w:rPr>
                <w:noProof/>
              </w:rPr>
            </w:pPr>
            <w:r>
              <w:rPr>
                <w:noProof/>
              </w:rPr>
              <w:t>Underlying Obligation</w:t>
            </w:r>
            <w:r>
              <w:rPr>
                <w:noProof/>
              </w:rPr>
              <w:tab/>
              <w:t>494</w:t>
            </w:r>
          </w:p>
          <w:p w:rsidR="00AB5C77">
            <w:pPr>
              <w:pStyle w:val="Index1"/>
              <w:rPr>
                <w:noProof/>
              </w:rPr>
            </w:pPr>
            <w:r>
              <w:rPr>
                <w:noProof/>
              </w:rPr>
              <w:t>Underlying Obligor</w:t>
            </w:r>
            <w:r>
              <w:rPr>
                <w:noProof/>
              </w:rPr>
              <w:tab/>
              <w:t>494</w:t>
            </w:r>
          </w:p>
          <w:p w:rsidR="00AB5C77">
            <w:pPr>
              <w:pStyle w:val="Index1"/>
              <w:rPr>
                <w:noProof/>
              </w:rPr>
            </w:pPr>
            <w:r>
              <w:rPr>
                <w:noProof/>
              </w:rPr>
              <w:t>Valuation Date</w:t>
            </w:r>
            <w:r>
              <w:rPr>
                <w:noProof/>
              </w:rPr>
              <w:tab/>
              <w:t>418, 494</w:t>
            </w:r>
          </w:p>
          <w:p w:rsidR="00AB5C77">
            <w:pPr>
              <w:pStyle w:val="Index1"/>
              <w:rPr>
                <w:noProof/>
              </w:rPr>
            </w:pPr>
            <w:r w:rsidRPr="00224529">
              <w:rPr>
                <w:noProof/>
                <w:lang w:val="de-DE"/>
              </w:rPr>
              <w:t>Valuation Method</w:t>
            </w:r>
            <w:r>
              <w:rPr>
                <w:noProof/>
              </w:rPr>
              <w:tab/>
              <w:t>418, 495</w:t>
            </w:r>
          </w:p>
          <w:p w:rsidR="00AB5C77">
            <w:pPr>
              <w:pStyle w:val="Index1"/>
              <w:rPr>
                <w:noProof/>
              </w:rPr>
            </w:pPr>
            <w:r w:rsidRPr="00224529">
              <w:rPr>
                <w:noProof/>
                <w:lang w:val="de-DE"/>
              </w:rPr>
              <w:t>Valuation Obligation</w:t>
            </w:r>
            <w:r>
              <w:rPr>
                <w:noProof/>
              </w:rPr>
              <w:tab/>
              <w:t>495</w:t>
            </w:r>
          </w:p>
          <w:p w:rsidR="00AB5C77">
            <w:pPr>
              <w:pStyle w:val="Index1"/>
              <w:rPr>
                <w:noProof/>
              </w:rPr>
            </w:pPr>
            <w:r w:rsidRPr="00224529">
              <w:rPr>
                <w:noProof/>
                <w:lang w:val="de-DE"/>
              </w:rPr>
              <w:t>Valuation Obligation Category</w:t>
            </w:r>
            <w:r>
              <w:rPr>
                <w:noProof/>
              </w:rPr>
              <w:tab/>
              <w:t>416, 498</w:t>
            </w:r>
          </w:p>
          <w:p w:rsidR="00AB5C77">
            <w:pPr>
              <w:pStyle w:val="Index1"/>
              <w:rPr>
                <w:noProof/>
              </w:rPr>
            </w:pPr>
            <w:r w:rsidRPr="00224529">
              <w:rPr>
                <w:noProof/>
                <w:lang w:val="de-DE"/>
              </w:rPr>
              <w:t>Valuation Obligation Characteristics</w:t>
            </w:r>
            <w:r>
              <w:rPr>
                <w:noProof/>
              </w:rPr>
              <w:tab/>
              <w:t>416, 498</w:t>
            </w:r>
          </w:p>
          <w:p w:rsidR="00AB5C77">
            <w:pPr>
              <w:pStyle w:val="Index1"/>
              <w:rPr>
                <w:noProof/>
              </w:rPr>
            </w:pPr>
            <w:r>
              <w:rPr>
                <w:noProof/>
              </w:rPr>
              <w:t>Valuation Time</w:t>
            </w:r>
            <w:r>
              <w:rPr>
                <w:noProof/>
              </w:rPr>
              <w:tab/>
              <w:t>498</w:t>
            </w:r>
          </w:p>
          <w:p w:rsidR="00AB5C77">
            <w:pPr>
              <w:pStyle w:val="Index1"/>
              <w:rPr>
                <w:noProof/>
              </w:rPr>
            </w:pPr>
            <w:r>
              <w:rPr>
                <w:noProof/>
              </w:rPr>
              <w:t>Voting Shares</w:t>
            </w:r>
            <w:r>
              <w:rPr>
                <w:noProof/>
              </w:rPr>
              <w:tab/>
              <w:t>498</w:t>
            </w:r>
          </w:p>
          <w:p w:rsidR="00AB5C77">
            <w:pPr>
              <w:pStyle w:val="Index1"/>
              <w:rPr>
                <w:noProof/>
              </w:rPr>
            </w:pPr>
            <w:r>
              <w:rPr>
                <w:noProof/>
              </w:rPr>
              <w:t>Weighted Average Quotation</w:t>
            </w:r>
            <w:r>
              <w:rPr>
                <w:noProof/>
              </w:rPr>
              <w:tab/>
              <w:t>498</w:t>
            </w:r>
          </w:p>
          <w:p w:rsidR="00AB5C77">
            <w:pPr>
              <w:pStyle w:val="Index1"/>
              <w:rPr>
                <w:noProof/>
              </w:rPr>
            </w:pPr>
            <w:r w:rsidRPr="00224529">
              <w:rPr>
                <w:noProof/>
                <w:lang w:val="de-DE"/>
              </w:rPr>
              <w:t>Weighting</w:t>
            </w:r>
            <w:r>
              <w:rPr>
                <w:noProof/>
              </w:rPr>
              <w:tab/>
              <w:t>347</w:t>
            </w:r>
          </w:p>
          <w:p w:rsidR="00AB5C77">
            <w:pPr>
              <w:pStyle w:val="Index1"/>
              <w:rPr>
                <w:noProof/>
              </w:rPr>
            </w:pPr>
            <w:r>
              <w:rPr>
                <w:noProof/>
              </w:rPr>
              <w:t>Zinssatz</w:t>
            </w:r>
            <w:r>
              <w:rPr>
                <w:noProof/>
              </w:rPr>
              <w:tab/>
              <w:t>364</w:t>
            </w:r>
          </w:p>
          <w:p w:rsidR="0041243C" w:rsidRPr="002F43B8" w:rsidP="00A457E7">
            <w:pPr>
              <w:pStyle w:val="CSBody0"/>
              <w:rPr>
                <w:lang w:val="de-DE"/>
              </w:rPr>
            </w:pPr>
            <w:r>
              <w:rPr>
                <w:sz w:val="22"/>
                <w:lang w:val="de-DE"/>
              </w:rPr>
              <w:fldChar w:fldCharType="end"/>
            </w:r>
          </w:p>
        </w:tc>
        <w:tc>
          <w:tcPr>
            <w:tcW w:w="4935" w:type="dxa"/>
            <w:tcBorders>
              <w:right w:val="nil"/>
            </w:tcBorders>
            <w:shd w:val="clear" w:color="auto" w:fill="auto"/>
          </w:tcPr>
          <w:p w:rsidR="00B8054A">
            <w:pPr>
              <w:pStyle w:val="Index1"/>
              <w:rPr>
                <w:noProof/>
              </w:rPr>
            </w:pPr>
            <w:r>
              <w:rPr>
                <w:lang w:val="de-DE"/>
              </w:rPr>
              <w:fldChar w:fldCharType="begin"/>
            </w:r>
            <w:r>
              <w:rPr>
                <w:lang w:val="de-DE"/>
              </w:rPr>
              <w:instrText xml:space="preserve"> INDEX \e "</w:instrText>
            </w:r>
            <w:r>
              <w:rPr>
                <w:lang w:val="de-DE"/>
              </w:rPr>
              <w:tab/>
              <w:instrText xml:space="preserve">" \z "2057" </w:instrText>
            </w:r>
            <w:r>
              <w:rPr>
                <w:lang w:val="de-DE"/>
              </w:rPr>
              <w:fldChar w:fldCharType="separate"/>
            </w:r>
            <w:r>
              <w:rPr>
                <w:noProof/>
              </w:rPr>
              <w:t>Ablehnung eines Kreditereignisbeschluss-Antrags</w:t>
            </w:r>
            <w:r>
              <w:rPr>
                <w:noProof/>
              </w:rPr>
              <w:tab/>
              <w:t>441</w:t>
            </w:r>
          </w:p>
          <w:p w:rsidR="00B8054A">
            <w:pPr>
              <w:pStyle w:val="Index1"/>
              <w:rPr>
                <w:noProof/>
              </w:rPr>
            </w:pPr>
            <w:r>
              <w:rPr>
                <w:noProof/>
              </w:rPr>
              <w:t>Abschliessende Liste</w:t>
            </w:r>
            <w:r>
              <w:rPr>
                <w:noProof/>
              </w:rPr>
              <w:tab/>
              <w:t>446</w:t>
            </w:r>
          </w:p>
          <w:p w:rsidR="00B8054A">
            <w:pPr>
              <w:pStyle w:val="Index1"/>
              <w:rPr>
                <w:noProof/>
              </w:rPr>
            </w:pPr>
            <w:r>
              <w:rPr>
                <w:noProof/>
              </w:rPr>
              <w:t>Abschlusstag</w:t>
            </w:r>
            <w:r>
              <w:rPr>
                <w:noProof/>
              </w:rPr>
              <w:tab/>
              <w:t>350</w:t>
            </w:r>
          </w:p>
          <w:p w:rsidR="00B8054A">
            <w:pPr>
              <w:pStyle w:val="Index1"/>
              <w:rPr>
                <w:noProof/>
              </w:rPr>
            </w:pPr>
            <w:r>
              <w:rPr>
                <w:noProof/>
              </w:rPr>
              <w:t>Abtretbares Darlehen</w:t>
            </w:r>
            <w:r>
              <w:rPr>
                <w:noProof/>
              </w:rPr>
              <w:tab/>
              <w:t>433</w:t>
            </w:r>
          </w:p>
          <w:p w:rsidR="00B8054A">
            <w:pPr>
              <w:pStyle w:val="Index1"/>
              <w:rPr>
                <w:noProof/>
              </w:rPr>
            </w:pPr>
            <w:r>
              <w:rPr>
                <w:noProof/>
              </w:rPr>
              <w:t>Abwicklungsmatrix</w:t>
            </w:r>
            <w:r>
              <w:rPr>
                <w:noProof/>
              </w:rPr>
              <w:tab/>
              <w:t>477</w:t>
            </w:r>
          </w:p>
          <w:p w:rsidR="00B8054A">
            <w:pPr>
              <w:pStyle w:val="Index1"/>
              <w:rPr>
                <w:noProof/>
              </w:rPr>
            </w:pPr>
            <w:r>
              <w:rPr>
                <w:noProof/>
              </w:rPr>
              <w:t>Abwicklungswährung</w:t>
            </w:r>
            <w:r>
              <w:rPr>
                <w:noProof/>
              </w:rPr>
              <w:tab/>
              <w:t>350, 477</w:t>
            </w:r>
          </w:p>
          <w:p w:rsidR="00B8054A">
            <w:pPr>
              <w:pStyle w:val="Index1"/>
              <w:rPr>
                <w:noProof/>
              </w:rPr>
            </w:pPr>
            <w:r>
              <w:rPr>
                <w:noProof/>
              </w:rPr>
              <w:t>Alle Garantien</w:t>
            </w:r>
            <w:r>
              <w:rPr>
                <w:noProof/>
              </w:rPr>
              <w:tab/>
              <w:t>406</w:t>
            </w:r>
          </w:p>
          <w:p w:rsidR="00B8054A">
            <w:pPr>
              <w:pStyle w:val="Index1"/>
              <w:rPr>
                <w:noProof/>
              </w:rPr>
            </w:pPr>
            <w:r>
              <w:rPr>
                <w:noProof/>
              </w:rPr>
              <w:t>Anleihe</w:t>
            </w:r>
            <w:r>
              <w:rPr>
                <w:noProof/>
              </w:rPr>
              <w:tab/>
              <w:t>434</w:t>
            </w:r>
          </w:p>
          <w:p w:rsidR="00B8054A">
            <w:pPr>
              <w:pStyle w:val="Index1"/>
              <w:rPr>
                <w:noProof/>
              </w:rPr>
            </w:pPr>
            <w:r>
              <w:rPr>
                <w:noProof/>
              </w:rPr>
              <w:t>Anleihe oder Darlehen</w:t>
            </w:r>
            <w:r>
              <w:rPr>
                <w:noProof/>
              </w:rPr>
              <w:tab/>
              <w:t>434</w:t>
            </w:r>
          </w:p>
          <w:p w:rsidR="00B8054A">
            <w:pPr>
              <w:pStyle w:val="Index1"/>
              <w:rPr>
                <w:noProof/>
              </w:rPr>
            </w:pPr>
            <w:r>
              <w:rPr>
                <w:noProof/>
              </w:rPr>
              <w:t>Asset</w:t>
            </w:r>
            <w:r>
              <w:rPr>
                <w:noProof/>
              </w:rPr>
              <w:tab/>
              <w:t>432</w:t>
            </w:r>
          </w:p>
          <w:p w:rsidR="00B8054A">
            <w:pPr>
              <w:pStyle w:val="Index1"/>
              <w:rPr>
                <w:noProof/>
              </w:rPr>
            </w:pPr>
            <w:r>
              <w:rPr>
                <w:noProof/>
              </w:rPr>
              <w:t>Asset-Paket</w:t>
            </w:r>
            <w:r>
              <w:rPr>
                <w:noProof/>
              </w:rPr>
              <w:tab/>
              <w:t>432</w:t>
            </w:r>
          </w:p>
          <w:p w:rsidR="00B8054A">
            <w:pPr>
              <w:pStyle w:val="Index1"/>
              <w:rPr>
                <w:noProof/>
              </w:rPr>
            </w:pPr>
            <w:r w:rsidRPr="007D2C4D">
              <w:rPr>
                <w:noProof/>
                <w:lang w:val="de-DE"/>
              </w:rPr>
              <w:t>Asset-Paket-Bewertung</w:t>
            </w:r>
            <w:r>
              <w:rPr>
                <w:noProof/>
              </w:rPr>
              <w:tab/>
              <w:t>433</w:t>
            </w:r>
          </w:p>
          <w:p w:rsidR="00B8054A">
            <w:pPr>
              <w:pStyle w:val="Index1"/>
              <w:rPr>
                <w:noProof/>
              </w:rPr>
            </w:pPr>
            <w:r>
              <w:rPr>
                <w:noProof/>
              </w:rPr>
              <w:t>Aufgenommene Gelder</w:t>
            </w:r>
            <w:r>
              <w:rPr>
                <w:noProof/>
              </w:rPr>
              <w:tab/>
              <w:t>434</w:t>
            </w:r>
          </w:p>
          <w:p w:rsidR="00B8054A">
            <w:pPr>
              <w:pStyle w:val="Index1"/>
              <w:rPr>
                <w:noProof/>
              </w:rPr>
            </w:pPr>
            <w:r>
              <w:rPr>
                <w:noProof/>
              </w:rPr>
              <w:t>Auktion</w:t>
            </w:r>
            <w:r>
              <w:rPr>
                <w:noProof/>
              </w:rPr>
              <w:tab/>
              <w:t>433</w:t>
            </w:r>
          </w:p>
          <w:p w:rsidR="00B8054A">
            <w:pPr>
              <w:pStyle w:val="Index1"/>
              <w:rPr>
                <w:noProof/>
              </w:rPr>
            </w:pPr>
            <w:r>
              <w:rPr>
                <w:noProof/>
              </w:rPr>
              <w:t>Auktions-Aufhebungstag</w:t>
            </w:r>
            <w:r>
              <w:rPr>
                <w:noProof/>
              </w:rPr>
              <w:tab/>
              <w:t>433</w:t>
            </w:r>
          </w:p>
          <w:p w:rsidR="00B8054A">
            <w:pPr>
              <w:pStyle w:val="Index1"/>
              <w:rPr>
                <w:noProof/>
              </w:rPr>
            </w:pPr>
            <w:r>
              <w:rPr>
                <w:noProof/>
              </w:rPr>
              <w:t>Auktions-Endpreis</w:t>
            </w:r>
            <w:r>
              <w:rPr>
                <w:noProof/>
              </w:rPr>
              <w:tab/>
              <w:t>400</w:t>
            </w:r>
          </w:p>
          <w:p w:rsidR="00B8054A">
            <w:pPr>
              <w:pStyle w:val="Index1"/>
              <w:rPr>
                <w:noProof/>
              </w:rPr>
            </w:pPr>
            <w:r>
              <w:rPr>
                <w:noProof/>
              </w:rPr>
              <w:t>Auktions-End-preis</w:t>
            </w:r>
            <w:r>
              <w:rPr>
                <w:noProof/>
              </w:rPr>
              <w:tab/>
              <w:t>434</w:t>
            </w:r>
          </w:p>
          <w:p w:rsidR="00B8054A">
            <w:pPr>
              <w:pStyle w:val="Index1"/>
              <w:rPr>
                <w:noProof/>
              </w:rPr>
            </w:pPr>
            <w:r>
              <w:rPr>
                <w:noProof/>
              </w:rPr>
              <w:t>Auktionsrückzahlungsbetrag</w:t>
            </w:r>
            <w:r>
              <w:rPr>
                <w:noProof/>
              </w:rPr>
              <w:tab/>
              <w:t>434</w:t>
            </w:r>
          </w:p>
          <w:p w:rsidR="00B8054A">
            <w:pPr>
              <w:pStyle w:val="Index1"/>
              <w:rPr>
                <w:noProof/>
              </w:rPr>
            </w:pPr>
            <w:r w:rsidRPr="007D2C4D">
              <w:rPr>
                <w:noProof/>
                <w:lang w:val="de-DE"/>
              </w:rPr>
              <w:t>Auktions-Rückzahlungsbetrag</w:t>
            </w:r>
            <w:r>
              <w:rPr>
                <w:noProof/>
              </w:rPr>
              <w:tab/>
              <w:t>400</w:t>
            </w:r>
          </w:p>
          <w:p w:rsidR="00B8054A">
            <w:pPr>
              <w:pStyle w:val="Index1"/>
              <w:rPr>
                <w:noProof/>
              </w:rPr>
            </w:pPr>
            <w:r>
              <w:rPr>
                <w:noProof/>
              </w:rPr>
              <w:t>Auktions-Rückzahlungstag</w:t>
            </w:r>
            <w:r>
              <w:rPr>
                <w:noProof/>
              </w:rPr>
              <w:tab/>
              <w:t>399, 434</w:t>
            </w:r>
          </w:p>
          <w:p w:rsidR="00B8054A">
            <w:pPr>
              <w:pStyle w:val="Index1"/>
              <w:rPr>
                <w:noProof/>
              </w:rPr>
            </w:pPr>
            <w:r w:rsidRPr="007D2C4D">
              <w:rPr>
                <w:noProof/>
                <w:lang w:val="de-DE"/>
              </w:rPr>
              <w:t>Ausfall-Schwellenbetrag</w:t>
            </w:r>
            <w:r>
              <w:rPr>
                <w:noProof/>
              </w:rPr>
              <w:tab/>
              <w:t>442</w:t>
            </w:r>
          </w:p>
          <w:p w:rsidR="00B8054A">
            <w:pPr>
              <w:pStyle w:val="Index1"/>
              <w:rPr>
                <w:noProof/>
              </w:rPr>
            </w:pPr>
            <w:r w:rsidRPr="007D2C4D">
              <w:rPr>
                <w:noProof/>
                <w:lang w:val="de-DE"/>
              </w:rPr>
              <w:t>Ausgenommene Bewertungsverbindlichkeit</w:t>
            </w:r>
            <w:r w:rsidRPr="007D2C4D">
              <w:rPr>
                <w:b/>
                <w:noProof/>
                <w:lang w:val="de-DE"/>
              </w:rPr>
              <w:t>[</w:t>
            </w:r>
            <w:r w:rsidRPr="007D2C4D">
              <w:rPr>
                <w:noProof/>
                <w:lang w:val="de-DE"/>
              </w:rPr>
              <w:t>en</w:t>
            </w:r>
            <w:r w:rsidRPr="007D2C4D">
              <w:rPr>
                <w:b/>
                <w:noProof/>
                <w:lang w:val="de-DE"/>
              </w:rPr>
              <w:t>]</w:t>
            </w:r>
            <w:r>
              <w:rPr>
                <w:noProof/>
              </w:rPr>
              <w:tab/>
              <w:t>416, 445</w:t>
            </w:r>
          </w:p>
          <w:p w:rsidR="00B8054A">
            <w:pPr>
              <w:pStyle w:val="Index1"/>
              <w:rPr>
                <w:noProof/>
              </w:rPr>
            </w:pPr>
            <w:r w:rsidRPr="007D2C4D">
              <w:rPr>
                <w:noProof/>
                <w:lang w:val="de-DE"/>
              </w:rPr>
              <w:t>Ausgenommene Verbindlichkeit</w:t>
            </w:r>
            <w:r w:rsidRPr="007D2C4D">
              <w:rPr>
                <w:b/>
                <w:noProof/>
                <w:lang w:val="de-DE"/>
              </w:rPr>
              <w:t>[</w:t>
            </w:r>
            <w:r w:rsidRPr="007D2C4D">
              <w:rPr>
                <w:noProof/>
                <w:lang w:val="de-DE"/>
              </w:rPr>
              <w:t>en</w:t>
            </w:r>
            <w:r w:rsidRPr="007D2C4D">
              <w:rPr>
                <w:b/>
                <w:noProof/>
                <w:lang w:val="de-DE"/>
              </w:rPr>
              <w:t>]</w:t>
            </w:r>
            <w:r>
              <w:rPr>
                <w:noProof/>
              </w:rPr>
              <w:tab/>
              <w:t>414, 445</w:t>
            </w:r>
          </w:p>
          <w:p w:rsidR="00B8054A">
            <w:pPr>
              <w:pStyle w:val="Index1"/>
              <w:rPr>
                <w:noProof/>
              </w:rPr>
            </w:pPr>
            <w:r>
              <w:rPr>
                <w:noProof/>
              </w:rPr>
              <w:t>Aussergewöhnliches Ereignis</w:t>
            </w:r>
            <w:r>
              <w:rPr>
                <w:noProof/>
              </w:rPr>
              <w:tab/>
              <w:t>425</w:t>
            </w:r>
          </w:p>
          <w:p w:rsidR="00B8054A">
            <w:pPr>
              <w:pStyle w:val="Index1"/>
              <w:rPr>
                <w:noProof/>
              </w:rPr>
            </w:pPr>
            <w:r>
              <w:rPr>
                <w:noProof/>
              </w:rPr>
              <w:t>Aussetzung der Abwicklung</w:t>
            </w:r>
            <w:r>
              <w:rPr>
                <w:noProof/>
              </w:rPr>
              <w:tab/>
              <w:t>477</w:t>
            </w:r>
          </w:p>
          <w:p w:rsidR="00B8054A">
            <w:pPr>
              <w:pStyle w:val="Index1"/>
              <w:rPr>
                <w:noProof/>
              </w:rPr>
            </w:pPr>
            <w:r>
              <w:rPr>
                <w:noProof/>
              </w:rPr>
              <w:t>Ausstehender Antrag</w:t>
            </w:r>
            <w:r>
              <w:rPr>
                <w:noProof/>
              </w:rPr>
              <w:tab/>
              <w:t>441</w:t>
            </w:r>
          </w:p>
          <w:p w:rsidR="00B8054A">
            <w:pPr>
              <w:pStyle w:val="Index1"/>
              <w:rPr>
                <w:noProof/>
              </w:rPr>
            </w:pPr>
            <w:r>
              <w:rPr>
                <w:noProof/>
              </w:rPr>
              <w:t>Ausstehender Kapitalbetrag</w:t>
            </w:r>
            <w:r>
              <w:rPr>
                <w:noProof/>
              </w:rPr>
              <w:tab/>
              <w:t>459</w:t>
            </w:r>
          </w:p>
          <w:p w:rsidR="00B8054A">
            <w:pPr>
              <w:pStyle w:val="Index1"/>
              <w:rPr>
                <w:noProof/>
              </w:rPr>
            </w:pPr>
            <w:r>
              <w:rPr>
                <w:noProof/>
              </w:rPr>
              <w:t>Ausstehender Nennbetrag</w:t>
            </w:r>
            <w:r>
              <w:rPr>
                <w:noProof/>
              </w:rPr>
              <w:tab/>
              <w:t>349</w:t>
            </w:r>
          </w:p>
          <w:p w:rsidR="00B8054A">
            <w:pPr>
              <w:pStyle w:val="Index1"/>
              <w:rPr>
                <w:noProof/>
              </w:rPr>
            </w:pPr>
            <w:r w:rsidRPr="007D2C4D">
              <w:rPr>
                <w:noProof/>
                <w:lang w:val="de-DE"/>
              </w:rPr>
              <w:t>Ausübungsstichtag</w:t>
            </w:r>
            <w:r>
              <w:rPr>
                <w:noProof/>
              </w:rPr>
              <w:tab/>
              <w:t>445</w:t>
            </w:r>
          </w:p>
          <w:p w:rsidR="00B8054A">
            <w:pPr>
              <w:pStyle w:val="Index1"/>
              <w:rPr>
                <w:noProof/>
              </w:rPr>
            </w:pPr>
            <w:r w:rsidRPr="007D2C4D">
              <w:rPr>
                <w:noProof/>
                <w:lang w:val="de-DE"/>
              </w:rPr>
              <w:t>Ausübungstag(e) für das Kündigungsrecht</w:t>
            </w:r>
            <w:r>
              <w:rPr>
                <w:noProof/>
              </w:rPr>
              <w:tab/>
              <w:t>394</w:t>
            </w:r>
          </w:p>
          <w:p w:rsidR="00B8054A">
            <w:pPr>
              <w:pStyle w:val="Index1"/>
              <w:rPr>
                <w:noProof/>
              </w:rPr>
            </w:pPr>
            <w:r>
              <w:rPr>
                <w:noProof/>
              </w:rPr>
              <w:t>Barrückzahlungsbetrag</w:t>
            </w:r>
            <w:r>
              <w:rPr>
                <w:noProof/>
              </w:rPr>
              <w:tab/>
              <w:t>401, 436</w:t>
            </w:r>
          </w:p>
          <w:p w:rsidR="00B8054A">
            <w:pPr>
              <w:pStyle w:val="Index1"/>
              <w:rPr>
                <w:noProof/>
              </w:rPr>
            </w:pPr>
            <w:r>
              <w:rPr>
                <w:noProof/>
              </w:rPr>
              <w:t>Barrückzahlungstag</w:t>
            </w:r>
            <w:r>
              <w:rPr>
                <w:noProof/>
              </w:rPr>
              <w:tab/>
              <w:t>401, 436</w:t>
            </w:r>
          </w:p>
          <w:p w:rsidR="00B8054A">
            <w:pPr>
              <w:pStyle w:val="Index1"/>
              <w:rPr>
                <w:noProof/>
              </w:rPr>
            </w:pPr>
            <w:r w:rsidRPr="007D2C4D">
              <w:rPr>
                <w:noProof/>
                <w:lang w:val="de-DE"/>
              </w:rPr>
              <w:t>Bedingt Übertragbare Verbindlichkeit</w:t>
            </w:r>
            <w:r>
              <w:rPr>
                <w:noProof/>
              </w:rPr>
              <w:tab/>
              <w:t>436</w:t>
            </w:r>
          </w:p>
          <w:p w:rsidR="00B8054A">
            <w:pPr>
              <w:pStyle w:val="Index1"/>
              <w:rPr>
                <w:noProof/>
              </w:rPr>
            </w:pPr>
            <w:r w:rsidRPr="007D2C4D">
              <w:rPr>
                <w:noProof/>
                <w:lang w:val="de-DE"/>
              </w:rPr>
              <w:t>Bedingungen für die Auktionsbasierte Abwicklung von Kreditderivaten (Credit Derivatives Auction Settlement Terms)</w:t>
            </w:r>
            <w:r>
              <w:rPr>
                <w:noProof/>
              </w:rPr>
              <w:tab/>
              <w:t>437</w:t>
            </w:r>
          </w:p>
          <w:p w:rsidR="00B8054A">
            <w:pPr>
              <w:pStyle w:val="Index1"/>
              <w:rPr>
                <w:noProof/>
              </w:rPr>
            </w:pPr>
            <w:r w:rsidRPr="007D2C4D">
              <w:rPr>
                <w:noProof/>
                <w:lang w:val="de-DE"/>
              </w:rPr>
              <w:t>Bekanntgabe des Nichtvorliegens eines Kreditereignisses</w:t>
            </w:r>
            <w:r>
              <w:rPr>
                <w:noProof/>
              </w:rPr>
              <w:tab/>
              <w:t>441</w:t>
            </w:r>
          </w:p>
          <w:p w:rsidR="00B8054A">
            <w:pPr>
              <w:pStyle w:val="Index1"/>
              <w:rPr>
                <w:noProof/>
              </w:rPr>
            </w:pPr>
            <w:r w:rsidRPr="007D2C4D">
              <w:rPr>
                <w:noProof/>
                <w:lang w:val="de-DE"/>
              </w:rPr>
              <w:t>Bekanntgabe einer Sitzung zur Beschlussfassung über den Eintritt eines Kreditereignisses</w:t>
            </w:r>
            <w:r>
              <w:rPr>
                <w:noProof/>
              </w:rPr>
              <w:tab/>
              <w:t>441</w:t>
            </w:r>
          </w:p>
          <w:p w:rsidR="00B8054A">
            <w:pPr>
              <w:pStyle w:val="Index1"/>
              <w:rPr>
                <w:noProof/>
              </w:rPr>
            </w:pPr>
            <w:r>
              <w:rPr>
                <w:noProof/>
              </w:rPr>
              <w:t>Bekanntgabe eines Kreditereignisbeschlusses</w:t>
            </w:r>
            <w:r>
              <w:rPr>
                <w:noProof/>
              </w:rPr>
              <w:tab/>
              <w:t>440</w:t>
            </w:r>
          </w:p>
          <w:p w:rsidR="00B8054A">
            <w:pPr>
              <w:pStyle w:val="Index1"/>
              <w:rPr>
                <w:noProof/>
              </w:rPr>
            </w:pPr>
            <w:r>
              <w:rPr>
                <w:noProof/>
              </w:rPr>
              <w:t>Beschlossen, Beschliessen</w:t>
            </w:r>
            <w:r>
              <w:rPr>
                <w:noProof/>
              </w:rPr>
              <w:tab/>
              <w:t>476</w:t>
            </w:r>
          </w:p>
          <w:p w:rsidR="00B8054A">
            <w:pPr>
              <w:pStyle w:val="Index1"/>
              <w:rPr>
                <w:noProof/>
              </w:rPr>
            </w:pPr>
            <w:r>
              <w:rPr>
                <w:noProof/>
              </w:rPr>
              <w:t>Beschränkungstag</w:t>
            </w:r>
            <w:r>
              <w:rPr>
                <w:noProof/>
              </w:rPr>
              <w:tab/>
              <w:t>451</w:t>
            </w:r>
          </w:p>
          <w:p w:rsidR="00B8054A">
            <w:pPr>
              <w:pStyle w:val="Index1"/>
              <w:rPr>
                <w:noProof/>
              </w:rPr>
            </w:pPr>
            <w:r>
              <w:rPr>
                <w:noProof/>
              </w:rPr>
              <w:t>Betroffener Referenzschuldner</w:t>
            </w:r>
            <w:r>
              <w:rPr>
                <w:noProof/>
              </w:rPr>
              <w:tab/>
              <w:t>399, 431</w:t>
            </w:r>
          </w:p>
          <w:p w:rsidR="00B8054A">
            <w:pPr>
              <w:pStyle w:val="Index1"/>
              <w:rPr>
                <w:noProof/>
              </w:rPr>
            </w:pPr>
            <w:r w:rsidRPr="007D2C4D">
              <w:rPr>
                <w:i/>
                <w:noProof/>
                <w:lang w:val="de-DE"/>
              </w:rPr>
              <w:t>Bewertungsmethode</w:t>
            </w:r>
            <w:r>
              <w:rPr>
                <w:noProof/>
              </w:rPr>
              <w:tab/>
              <w:t>418, 495</w:t>
            </w:r>
          </w:p>
          <w:p w:rsidR="00B8054A">
            <w:pPr>
              <w:pStyle w:val="Index1"/>
              <w:rPr>
                <w:noProof/>
              </w:rPr>
            </w:pPr>
            <w:r>
              <w:rPr>
                <w:noProof/>
              </w:rPr>
              <w:t>Bewertungstag</w:t>
            </w:r>
            <w:r>
              <w:rPr>
                <w:noProof/>
              </w:rPr>
              <w:tab/>
              <w:t>418, 494</w:t>
            </w:r>
          </w:p>
          <w:p w:rsidR="00B8054A">
            <w:pPr>
              <w:pStyle w:val="Index1"/>
              <w:rPr>
                <w:noProof/>
              </w:rPr>
            </w:pPr>
            <w:r w:rsidRPr="007D2C4D">
              <w:rPr>
                <w:noProof/>
                <w:lang w:val="de-DE"/>
              </w:rPr>
              <w:t>Bewertungsverbindlichkeit</w:t>
            </w:r>
            <w:r>
              <w:rPr>
                <w:noProof/>
              </w:rPr>
              <w:tab/>
              <w:t>495</w:t>
            </w:r>
          </w:p>
          <w:p w:rsidR="00B8054A">
            <w:pPr>
              <w:pStyle w:val="Index1"/>
              <w:rPr>
                <w:noProof/>
              </w:rPr>
            </w:pPr>
            <w:r>
              <w:rPr>
                <w:noProof/>
              </w:rPr>
              <w:t>Bewertungszeitpunkt</w:t>
            </w:r>
            <w:r>
              <w:rPr>
                <w:noProof/>
              </w:rPr>
              <w:tab/>
              <w:t>498</w:t>
            </w:r>
          </w:p>
          <w:p w:rsidR="00B8054A">
            <w:pPr>
              <w:pStyle w:val="Index1"/>
              <w:rPr>
                <w:noProof/>
              </w:rPr>
            </w:pPr>
            <w:r>
              <w:rPr>
                <w:noProof/>
              </w:rPr>
              <w:t>Börsennotiert</w:t>
            </w:r>
            <w:r>
              <w:rPr>
                <w:noProof/>
              </w:rPr>
              <w:tab/>
              <w:t>451</w:t>
            </w:r>
          </w:p>
          <w:p w:rsidR="00B8054A">
            <w:pPr>
              <w:pStyle w:val="Index1"/>
              <w:rPr>
                <w:noProof/>
              </w:rPr>
            </w:pPr>
            <w:r>
              <w:rPr>
                <w:noProof/>
              </w:rPr>
              <w:t>Brief</w:t>
            </w:r>
            <w:r>
              <w:rPr>
                <w:noProof/>
              </w:rPr>
              <w:tab/>
              <w:t>458</w:t>
            </w:r>
          </w:p>
          <w:p w:rsidR="00B8054A">
            <w:pPr>
              <w:pStyle w:val="Index1"/>
              <w:rPr>
                <w:noProof/>
              </w:rPr>
            </w:pPr>
            <w:r>
              <w:rPr>
                <w:noProof/>
              </w:rPr>
              <w:t>Darlehen</w:t>
            </w:r>
            <w:r>
              <w:rPr>
                <w:noProof/>
              </w:rPr>
              <w:tab/>
              <w:t>451</w:t>
            </w:r>
          </w:p>
          <w:p w:rsidR="00B8054A">
            <w:pPr>
              <w:pStyle w:val="Index1"/>
              <w:rPr>
                <w:noProof/>
              </w:rPr>
            </w:pPr>
            <w:r w:rsidRPr="007D2C4D">
              <w:rPr>
                <w:noProof/>
                <w:lang w:val="de-DE"/>
              </w:rPr>
              <w:t>Darlehen mit Zustimmungserfordernis</w:t>
            </w:r>
            <w:r>
              <w:rPr>
                <w:noProof/>
              </w:rPr>
              <w:tab/>
              <w:t>437</w:t>
            </w:r>
          </w:p>
          <w:p w:rsidR="00B8054A">
            <w:pPr>
              <w:pStyle w:val="Index1"/>
              <w:rPr>
                <w:noProof/>
              </w:rPr>
            </w:pPr>
            <w:r>
              <w:rPr>
                <w:noProof/>
              </w:rPr>
              <w:t>DC-Regeln</w:t>
            </w:r>
            <w:r>
              <w:rPr>
                <w:noProof/>
              </w:rPr>
              <w:tab/>
              <w:t>442</w:t>
            </w:r>
          </w:p>
          <w:p w:rsidR="00B8054A">
            <w:pPr>
              <w:pStyle w:val="Index1"/>
              <w:rPr>
                <w:noProof/>
              </w:rPr>
            </w:pPr>
            <w:r>
              <w:rPr>
                <w:noProof/>
              </w:rPr>
              <w:t>Durchschnitt</w:t>
            </w:r>
            <w:r>
              <w:rPr>
                <w:noProof/>
              </w:rPr>
              <w:tab/>
              <w:t>452</w:t>
            </w:r>
          </w:p>
          <w:p w:rsidR="00B8054A">
            <w:pPr>
              <w:pStyle w:val="Index1"/>
              <w:rPr>
                <w:noProof/>
              </w:rPr>
            </w:pPr>
            <w:r>
              <w:rPr>
                <w:noProof/>
              </w:rPr>
              <w:t>Durchschnittlicher Höchstwert</w:t>
            </w:r>
            <w:r>
              <w:rPr>
                <w:noProof/>
              </w:rPr>
              <w:tab/>
              <w:t>434</w:t>
            </w:r>
          </w:p>
          <w:p w:rsidR="00B8054A">
            <w:pPr>
              <w:pStyle w:val="Index1"/>
              <w:rPr>
                <w:noProof/>
              </w:rPr>
            </w:pPr>
            <w:r>
              <w:rPr>
                <w:noProof/>
              </w:rPr>
              <w:t>Durchschnittlicher Marktwert</w:t>
            </w:r>
            <w:r>
              <w:rPr>
                <w:noProof/>
              </w:rPr>
              <w:tab/>
              <w:t>434</w:t>
            </w:r>
          </w:p>
          <w:p w:rsidR="00B8054A">
            <w:pPr>
              <w:pStyle w:val="Index1"/>
              <w:rPr>
                <w:noProof/>
              </w:rPr>
            </w:pPr>
            <w:r>
              <w:rPr>
                <w:noProof/>
              </w:rPr>
              <w:t xml:space="preserve">Emissionspreis </w:t>
            </w:r>
            <w:r w:rsidRPr="007D2C4D">
              <w:rPr>
                <w:b/>
                <w:noProof/>
              </w:rPr>
              <w:t>[</w:t>
            </w:r>
            <w:r>
              <w:rPr>
                <w:noProof/>
              </w:rPr>
              <w:t>/Angebotspreis</w:t>
            </w:r>
            <w:r w:rsidRPr="007D2C4D">
              <w:rPr>
                <w:b/>
                <w:noProof/>
              </w:rPr>
              <w:t>]</w:t>
            </w:r>
            <w:r>
              <w:rPr>
                <w:noProof/>
              </w:rPr>
              <w:tab/>
              <w:t>350</w:t>
            </w:r>
          </w:p>
          <w:p w:rsidR="00B8054A">
            <w:pPr>
              <w:pStyle w:val="Index1"/>
              <w:rPr>
                <w:noProof/>
              </w:rPr>
            </w:pPr>
            <w:r>
              <w:rPr>
                <w:noProof/>
              </w:rPr>
              <w:t>Emissionstag</w:t>
            </w:r>
            <w:r>
              <w:rPr>
                <w:noProof/>
              </w:rPr>
              <w:tab/>
              <w:t>450</w:t>
            </w:r>
          </w:p>
          <w:p w:rsidR="00B8054A">
            <w:pPr>
              <w:pStyle w:val="Index1"/>
              <w:rPr>
                <w:noProof/>
              </w:rPr>
            </w:pPr>
            <w:r>
              <w:rPr>
                <w:noProof/>
              </w:rPr>
              <w:t>Emissionswährung</w:t>
            </w:r>
            <w:r>
              <w:rPr>
                <w:noProof/>
              </w:rPr>
              <w:tab/>
              <w:t>349</w:t>
            </w:r>
          </w:p>
          <w:p w:rsidR="00B8054A">
            <w:pPr>
              <w:pStyle w:val="Index1"/>
              <w:rPr>
                <w:noProof/>
              </w:rPr>
            </w:pPr>
            <w:r>
              <w:rPr>
                <w:noProof/>
              </w:rPr>
              <w:t>Endpreis</w:t>
            </w:r>
            <w:r>
              <w:rPr>
                <w:noProof/>
              </w:rPr>
              <w:tab/>
              <w:t>446</w:t>
            </w:r>
          </w:p>
          <w:p w:rsidR="00B8054A">
            <w:pPr>
              <w:pStyle w:val="Index1"/>
              <w:rPr>
                <w:noProof/>
              </w:rPr>
            </w:pPr>
            <w:r>
              <w:rPr>
                <w:noProof/>
              </w:rPr>
              <w:t>Ereignis der Alternativen Abwicklung</w:t>
            </w:r>
            <w:r>
              <w:rPr>
                <w:noProof/>
              </w:rPr>
              <w:tab/>
              <w:t>401, 446</w:t>
            </w:r>
          </w:p>
          <w:p w:rsidR="00B8054A">
            <w:pPr>
              <w:pStyle w:val="Index1"/>
              <w:rPr>
                <w:noProof/>
              </w:rPr>
            </w:pPr>
            <w:r>
              <w:rPr>
                <w:noProof/>
              </w:rPr>
              <w:t>Ersatz-Referenz-verbindlichkeit</w:t>
            </w:r>
            <w:r>
              <w:rPr>
                <w:noProof/>
              </w:rPr>
              <w:tab/>
              <w:t>481</w:t>
            </w:r>
          </w:p>
          <w:p w:rsidR="00B8054A">
            <w:pPr>
              <w:pStyle w:val="Index1"/>
              <w:rPr>
                <w:noProof/>
              </w:rPr>
            </w:pPr>
            <w:r>
              <w:rPr>
                <w:noProof/>
              </w:rPr>
              <w:t>Ersetzungsereignis</w:t>
            </w:r>
            <w:r>
              <w:rPr>
                <w:noProof/>
              </w:rPr>
              <w:tab/>
              <w:t>484</w:t>
            </w:r>
          </w:p>
          <w:p w:rsidR="00B8054A">
            <w:pPr>
              <w:pStyle w:val="Index1"/>
              <w:rPr>
                <w:noProof/>
              </w:rPr>
            </w:pPr>
            <w:r>
              <w:rPr>
                <w:noProof/>
              </w:rPr>
              <w:t>Ersetzungsereignistag</w:t>
            </w:r>
            <w:r>
              <w:rPr>
                <w:noProof/>
              </w:rPr>
              <w:tab/>
              <w:t>485</w:t>
            </w:r>
          </w:p>
          <w:p w:rsidR="00B8054A">
            <w:pPr>
              <w:pStyle w:val="Index1"/>
              <w:rPr>
                <w:noProof/>
              </w:rPr>
            </w:pPr>
            <w:r>
              <w:rPr>
                <w:noProof/>
              </w:rPr>
              <w:t>Ersetzungstag</w:t>
            </w:r>
            <w:r>
              <w:rPr>
                <w:noProof/>
              </w:rPr>
              <w:tab/>
              <w:t>484</w:t>
            </w:r>
          </w:p>
          <w:p w:rsidR="00B8054A">
            <w:pPr>
              <w:pStyle w:val="Index1"/>
              <w:rPr>
                <w:noProof/>
              </w:rPr>
            </w:pPr>
            <w:r w:rsidRPr="007D2C4D">
              <w:rPr>
                <w:noProof/>
                <w:lang w:val="de-DE"/>
              </w:rPr>
              <w:t>EUR, Euro und das Symbol €</w:t>
            </w:r>
            <w:r>
              <w:rPr>
                <w:noProof/>
              </w:rPr>
              <w:tab/>
              <w:t>445</w:t>
            </w:r>
          </w:p>
          <w:p w:rsidR="00B8054A">
            <w:pPr>
              <w:pStyle w:val="Index1"/>
              <w:rPr>
                <w:noProof/>
              </w:rPr>
            </w:pPr>
            <w:r>
              <w:rPr>
                <w:noProof/>
              </w:rPr>
              <w:t>Ex-Zinstag(e)</w:t>
            </w:r>
            <w:r>
              <w:rPr>
                <w:noProof/>
              </w:rPr>
              <w:tab/>
              <w:t>362</w:t>
            </w:r>
          </w:p>
          <w:p w:rsidR="00B8054A">
            <w:pPr>
              <w:pStyle w:val="Index1"/>
              <w:rPr>
                <w:noProof/>
              </w:rPr>
            </w:pPr>
            <w:r>
              <w:rPr>
                <w:noProof/>
              </w:rPr>
              <w:t>Fälliger und Zahlbarer Betrag</w:t>
            </w:r>
            <w:r>
              <w:rPr>
                <w:noProof/>
              </w:rPr>
              <w:tab/>
              <w:t>443</w:t>
            </w:r>
          </w:p>
          <w:p w:rsidR="00B8054A">
            <w:pPr>
              <w:pStyle w:val="Index1"/>
              <w:rPr>
                <w:noProof/>
              </w:rPr>
            </w:pPr>
            <w:r>
              <w:rPr>
                <w:noProof/>
              </w:rPr>
              <w:t>Fälliggestellt oder Abgelaufen</w:t>
            </w:r>
            <w:r>
              <w:rPr>
                <w:noProof/>
              </w:rPr>
              <w:tab/>
              <w:t>430</w:t>
            </w:r>
          </w:p>
          <w:p w:rsidR="00B8054A">
            <w:pPr>
              <w:pStyle w:val="Index1"/>
              <w:rPr>
                <w:noProof/>
              </w:rPr>
            </w:pPr>
            <w:r>
              <w:rPr>
                <w:noProof/>
              </w:rPr>
              <w:t>Feste Obergrenze</w:t>
            </w:r>
            <w:r>
              <w:rPr>
                <w:noProof/>
              </w:rPr>
              <w:tab/>
              <w:t>447</w:t>
            </w:r>
          </w:p>
          <w:p w:rsidR="00B8054A">
            <w:pPr>
              <w:pStyle w:val="Index1"/>
              <w:rPr>
                <w:noProof/>
              </w:rPr>
            </w:pPr>
            <w:r>
              <w:rPr>
                <w:noProof/>
              </w:rPr>
              <w:t>Festgelegte Anzahl</w:t>
            </w:r>
            <w:r>
              <w:rPr>
                <w:noProof/>
              </w:rPr>
              <w:tab/>
              <w:t>418, 479</w:t>
            </w:r>
          </w:p>
          <w:p w:rsidR="00B8054A">
            <w:pPr>
              <w:pStyle w:val="Index1"/>
              <w:rPr>
                <w:noProof/>
              </w:rPr>
            </w:pPr>
            <w:r>
              <w:rPr>
                <w:noProof/>
              </w:rPr>
              <w:t>Festgelegte Referenzsatz-Währung</w:t>
            </w:r>
            <w:r>
              <w:rPr>
                <w:noProof/>
              </w:rPr>
              <w:tab/>
              <w:t>384</w:t>
            </w:r>
          </w:p>
          <w:p w:rsidR="00B8054A">
            <w:pPr>
              <w:pStyle w:val="Index1"/>
              <w:rPr>
                <w:noProof/>
              </w:rPr>
            </w:pPr>
            <w:r>
              <w:rPr>
                <w:noProof/>
              </w:rPr>
              <w:t>Festgelegte Währung</w:t>
            </w:r>
            <w:r>
              <w:rPr>
                <w:noProof/>
              </w:rPr>
              <w:tab/>
              <w:t>479</w:t>
            </w:r>
          </w:p>
          <w:p w:rsidR="00B8054A">
            <w:pPr>
              <w:pStyle w:val="Index1"/>
              <w:rPr>
                <w:noProof/>
              </w:rPr>
            </w:pPr>
            <w:r w:rsidRPr="007D2C4D">
              <w:rPr>
                <w:noProof/>
                <w:lang w:val="de-DE"/>
              </w:rPr>
              <w:t>Feststellung des Referenzsatzes</w:t>
            </w:r>
            <w:r>
              <w:rPr>
                <w:noProof/>
              </w:rPr>
              <w:tab/>
              <w:t>378</w:t>
            </w:r>
          </w:p>
          <w:p w:rsidR="00B8054A">
            <w:pPr>
              <w:pStyle w:val="Index1"/>
              <w:rPr>
                <w:noProof/>
              </w:rPr>
            </w:pPr>
            <w:r>
              <w:rPr>
                <w:noProof/>
              </w:rPr>
              <w:t>Feststellungsausschussbeschluss</w:t>
            </w:r>
            <w:r>
              <w:rPr>
                <w:noProof/>
              </w:rPr>
              <w:tab/>
              <w:t>441</w:t>
            </w:r>
          </w:p>
          <w:p w:rsidR="00B8054A">
            <w:pPr>
              <w:pStyle w:val="Index1"/>
              <w:rPr>
                <w:noProof/>
              </w:rPr>
            </w:pPr>
            <w:r>
              <w:rPr>
                <w:noProof/>
              </w:rPr>
              <w:t>Feststellungsausschussbeschluss-Beobachtungsenddatum</w:t>
            </w:r>
            <w:r>
              <w:rPr>
                <w:noProof/>
              </w:rPr>
              <w:tab/>
              <w:t>440</w:t>
            </w:r>
          </w:p>
          <w:p w:rsidR="00B8054A">
            <w:pPr>
              <w:pStyle w:val="Index1"/>
              <w:rPr>
                <w:noProof/>
              </w:rPr>
            </w:pPr>
            <w:r w:rsidRPr="007D2C4D">
              <w:rPr>
                <w:noProof/>
                <w:lang w:val="de-DE"/>
              </w:rPr>
              <w:t>Feststellungstag für den Auktionsendpreis</w:t>
            </w:r>
            <w:r>
              <w:rPr>
                <w:noProof/>
              </w:rPr>
              <w:tab/>
              <w:t>434</w:t>
            </w:r>
          </w:p>
          <w:p w:rsidR="00B8054A">
            <w:pPr>
              <w:pStyle w:val="Index1"/>
              <w:rPr>
                <w:noProof/>
              </w:rPr>
            </w:pPr>
            <w:r w:rsidRPr="007D2C4D">
              <w:rPr>
                <w:noProof/>
                <w:lang w:val="de-DE"/>
              </w:rPr>
              <w:t>Feststellungstag für den Auktions-Endpreis</w:t>
            </w:r>
            <w:r>
              <w:rPr>
                <w:noProof/>
              </w:rPr>
              <w:tab/>
              <w:t>400</w:t>
            </w:r>
          </w:p>
          <w:p w:rsidR="00B8054A">
            <w:pPr>
              <w:pStyle w:val="Index1"/>
              <w:rPr>
                <w:noProof/>
              </w:rPr>
            </w:pPr>
            <w:r>
              <w:rPr>
                <w:noProof/>
              </w:rPr>
              <w:t>Forderungsquantum</w:t>
            </w:r>
            <w:r>
              <w:rPr>
                <w:noProof/>
              </w:rPr>
              <w:tab/>
              <w:t>469</w:t>
            </w:r>
          </w:p>
          <w:p w:rsidR="00B8054A">
            <w:pPr>
              <w:pStyle w:val="Index1"/>
              <w:rPr>
                <w:noProof/>
              </w:rPr>
            </w:pPr>
            <w:r>
              <w:rPr>
                <w:noProof/>
              </w:rPr>
              <w:t>Fortbestehender Referenzschuldner</w:t>
            </w:r>
            <w:r>
              <w:rPr>
                <w:noProof/>
              </w:rPr>
              <w:tab/>
              <w:t>493</w:t>
            </w:r>
          </w:p>
          <w:p w:rsidR="00B8054A">
            <w:pPr>
              <w:pStyle w:val="Index1"/>
              <w:rPr>
                <w:noProof/>
              </w:rPr>
            </w:pPr>
            <w:r>
              <w:rPr>
                <w:noProof/>
              </w:rPr>
              <w:t>Frei Übertragbare Verbindlichkeit</w:t>
            </w:r>
            <w:r>
              <w:rPr>
                <w:noProof/>
              </w:rPr>
              <w:tab/>
              <w:t>447</w:t>
            </w:r>
          </w:p>
          <w:p w:rsidR="00B8054A">
            <w:pPr>
              <w:pStyle w:val="Index1"/>
              <w:rPr>
                <w:noProof/>
              </w:rPr>
            </w:pPr>
            <w:r>
              <w:rPr>
                <w:noProof/>
              </w:rPr>
              <w:t>Frühere Bewertungsverbindlichkeit</w:t>
            </w:r>
            <w:r>
              <w:rPr>
                <w:noProof/>
              </w:rPr>
              <w:tab/>
              <w:t>464</w:t>
            </w:r>
          </w:p>
          <w:p w:rsidR="00B8054A">
            <w:pPr>
              <w:pStyle w:val="Index1"/>
              <w:rPr>
                <w:noProof/>
              </w:rPr>
            </w:pPr>
            <w:r>
              <w:rPr>
                <w:noProof/>
              </w:rPr>
              <w:t>Frühere Referenzverbindlichkeit</w:t>
            </w:r>
            <w:r>
              <w:rPr>
                <w:noProof/>
              </w:rPr>
              <w:tab/>
              <w:t>464</w:t>
            </w:r>
          </w:p>
          <w:p w:rsidR="00B8054A">
            <w:pPr>
              <w:pStyle w:val="Index1"/>
              <w:rPr>
                <w:noProof/>
              </w:rPr>
            </w:pPr>
            <w:r>
              <w:rPr>
                <w:noProof/>
              </w:rPr>
              <w:t>Garantie</w:t>
            </w:r>
            <w:r>
              <w:rPr>
                <w:noProof/>
              </w:rPr>
              <w:tab/>
              <w:t>450</w:t>
            </w:r>
          </w:p>
          <w:p w:rsidR="00B8054A">
            <w:pPr>
              <w:pStyle w:val="Index1"/>
              <w:rPr>
                <w:noProof/>
              </w:rPr>
            </w:pPr>
            <w:r>
              <w:rPr>
                <w:noProof/>
              </w:rPr>
              <w:t>Geld</w:t>
            </w:r>
            <w:r>
              <w:rPr>
                <w:noProof/>
              </w:rPr>
              <w:tab/>
              <w:t>434</w:t>
            </w:r>
          </w:p>
          <w:p w:rsidR="00B8054A">
            <w:pPr>
              <w:pStyle w:val="Index1"/>
              <w:rPr>
                <w:noProof/>
              </w:rPr>
            </w:pPr>
            <w:r>
              <w:rPr>
                <w:noProof/>
              </w:rPr>
              <w:t>Geschäftstag</w:t>
            </w:r>
            <w:r>
              <w:rPr>
                <w:noProof/>
              </w:rPr>
              <w:tab/>
              <w:t>424</w:t>
            </w:r>
          </w:p>
          <w:p w:rsidR="00B8054A">
            <w:pPr>
              <w:pStyle w:val="Index1"/>
              <w:rPr>
                <w:noProof/>
              </w:rPr>
            </w:pPr>
            <w:r>
              <w:rPr>
                <w:noProof/>
              </w:rPr>
              <w:t>Geschäftstag am Massgeblichen Finanzplatz</w:t>
            </w:r>
            <w:r>
              <w:rPr>
                <w:noProof/>
              </w:rPr>
              <w:tab/>
              <w:t>471</w:t>
            </w:r>
          </w:p>
          <w:p w:rsidR="00B8054A">
            <w:pPr>
              <w:pStyle w:val="Index1"/>
              <w:rPr>
                <w:noProof/>
              </w:rPr>
            </w:pPr>
            <w:r>
              <w:rPr>
                <w:noProof/>
              </w:rPr>
              <w:t>Geschäftstag-Konvention</w:t>
            </w:r>
            <w:r>
              <w:rPr>
                <w:noProof/>
              </w:rPr>
              <w:tab/>
              <w:t>425, 435</w:t>
            </w:r>
          </w:p>
          <w:p w:rsidR="00B8054A">
            <w:pPr>
              <w:pStyle w:val="Index1"/>
              <w:rPr>
                <w:noProof/>
              </w:rPr>
            </w:pPr>
            <w:r>
              <w:rPr>
                <w:noProof/>
              </w:rPr>
              <w:t>Gewichtete Durchschnittsquotierung</w:t>
            </w:r>
            <w:r>
              <w:rPr>
                <w:noProof/>
              </w:rPr>
              <w:tab/>
              <w:t>498</w:t>
            </w:r>
          </w:p>
          <w:p w:rsidR="00B8054A">
            <w:pPr>
              <w:pStyle w:val="Index1"/>
              <w:rPr>
                <w:noProof/>
              </w:rPr>
            </w:pPr>
            <w:r w:rsidRPr="007D2C4D">
              <w:rPr>
                <w:noProof/>
                <w:lang w:val="de-DE"/>
              </w:rPr>
              <w:t>Gewichtung</w:t>
            </w:r>
            <w:r>
              <w:rPr>
                <w:noProof/>
              </w:rPr>
              <w:tab/>
              <w:t>347</w:t>
            </w:r>
          </w:p>
          <w:p w:rsidR="00B8054A">
            <w:pPr>
              <w:pStyle w:val="Index1"/>
              <w:rPr>
                <w:noProof/>
              </w:rPr>
            </w:pPr>
            <w:r>
              <w:rPr>
                <w:noProof/>
              </w:rPr>
              <w:t>Grösstes Asset-Paket</w:t>
            </w:r>
            <w:r>
              <w:rPr>
                <w:noProof/>
              </w:rPr>
              <w:tab/>
              <w:t>450</w:t>
            </w:r>
          </w:p>
          <w:p w:rsidR="00B8054A">
            <w:pPr>
              <w:pStyle w:val="Index1"/>
              <w:rPr>
                <w:noProof/>
              </w:rPr>
            </w:pPr>
            <w:r>
              <w:rPr>
                <w:noProof/>
              </w:rPr>
              <w:t>Händler</w:t>
            </w:r>
            <w:r>
              <w:rPr>
                <w:noProof/>
              </w:rPr>
              <w:tab/>
              <w:t>442</w:t>
            </w:r>
          </w:p>
          <w:p w:rsidR="00B8054A">
            <w:pPr>
              <w:pStyle w:val="Index1"/>
              <w:rPr>
                <w:noProof/>
              </w:rPr>
            </w:pPr>
            <w:r>
              <w:rPr>
                <w:noProof/>
              </w:rPr>
              <w:t>Höchstlaufzeit</w:t>
            </w:r>
            <w:r>
              <w:rPr>
                <w:noProof/>
              </w:rPr>
              <w:tab/>
              <w:t>452</w:t>
            </w:r>
          </w:p>
          <w:p w:rsidR="00B8054A">
            <w:pPr>
              <w:pStyle w:val="Index1"/>
              <w:rPr>
                <w:noProof/>
              </w:rPr>
            </w:pPr>
            <w:r>
              <w:rPr>
                <w:noProof/>
              </w:rPr>
              <w:t>Höchstwert</w:t>
            </w:r>
            <w:r>
              <w:rPr>
                <w:noProof/>
              </w:rPr>
              <w:tab/>
              <w:t>450</w:t>
            </w:r>
          </w:p>
          <w:p w:rsidR="00B8054A">
            <w:pPr>
              <w:pStyle w:val="Index1"/>
              <w:rPr>
                <w:noProof/>
              </w:rPr>
            </w:pPr>
            <w:r>
              <w:rPr>
                <w:noProof/>
              </w:rPr>
              <w:t>Höchstzinssatz</w:t>
            </w:r>
            <w:r>
              <w:rPr>
                <w:noProof/>
              </w:rPr>
              <w:tab/>
              <w:t>374</w:t>
            </w:r>
          </w:p>
          <w:p w:rsidR="00B8054A">
            <w:pPr>
              <w:pStyle w:val="Index1"/>
              <w:rPr>
                <w:noProof/>
              </w:rPr>
            </w:pPr>
            <w:r>
              <w:rPr>
                <w:noProof/>
              </w:rPr>
              <w:t>Inhaber</w:t>
            </w:r>
            <w:r>
              <w:rPr>
                <w:noProof/>
              </w:rPr>
              <w:tab/>
              <w:t>427</w:t>
            </w:r>
          </w:p>
          <w:p w:rsidR="00B8054A">
            <w:pPr>
              <w:pStyle w:val="Index1"/>
              <w:rPr>
                <w:noProof/>
              </w:rPr>
            </w:pPr>
            <w:r w:rsidRPr="007D2C4D">
              <w:rPr>
                <w:noProof/>
                <w:lang w:val="de-DE"/>
              </w:rPr>
              <w:t>Inlandsrecht</w:t>
            </w:r>
            <w:r>
              <w:rPr>
                <w:noProof/>
              </w:rPr>
              <w:tab/>
              <w:t>442</w:t>
            </w:r>
          </w:p>
          <w:p w:rsidR="00B8054A">
            <w:pPr>
              <w:pStyle w:val="Index1"/>
              <w:rPr>
                <w:noProof/>
              </w:rPr>
            </w:pPr>
            <w:r w:rsidRPr="007D2C4D">
              <w:rPr>
                <w:noProof/>
                <w:lang w:val="de-DE"/>
              </w:rPr>
              <w:t>Inlandswährung</w:t>
            </w:r>
            <w:r>
              <w:rPr>
                <w:noProof/>
              </w:rPr>
              <w:tab/>
              <w:t>442</w:t>
            </w:r>
          </w:p>
          <w:p w:rsidR="00B8054A">
            <w:pPr>
              <w:pStyle w:val="Index1"/>
              <w:rPr>
                <w:noProof/>
              </w:rPr>
            </w:pPr>
            <w:r w:rsidRPr="007D2C4D">
              <w:rPr>
                <w:noProof/>
                <w:lang w:val="de-DE"/>
              </w:rPr>
              <w:t>Insolvenz</w:t>
            </w:r>
            <w:r>
              <w:rPr>
                <w:noProof/>
              </w:rPr>
              <w:tab/>
              <w:t>407, 434</w:t>
            </w:r>
          </w:p>
          <w:p w:rsidR="00B8054A">
            <w:pPr>
              <w:pStyle w:val="Index1"/>
              <w:rPr>
                <w:noProof/>
              </w:rPr>
            </w:pPr>
            <w:r w:rsidRPr="007D2C4D">
              <w:rPr>
                <w:noProof/>
                <w:lang w:val="de-DE"/>
              </w:rPr>
              <w:t>Kategorie der Bewertungsverbindlichkeiten</w:t>
            </w:r>
            <w:r>
              <w:rPr>
                <w:noProof/>
              </w:rPr>
              <w:tab/>
              <w:t>416, 498</w:t>
            </w:r>
          </w:p>
          <w:p w:rsidR="00B8054A">
            <w:pPr>
              <w:pStyle w:val="Index1"/>
              <w:rPr>
                <w:noProof/>
              </w:rPr>
            </w:pPr>
            <w:r>
              <w:rPr>
                <w:noProof/>
              </w:rPr>
              <w:t>Kein Inhaberpapier</w:t>
            </w:r>
            <w:r>
              <w:rPr>
                <w:noProof/>
              </w:rPr>
              <w:tab/>
              <w:t>455</w:t>
            </w:r>
          </w:p>
          <w:p w:rsidR="00B8054A">
            <w:pPr>
              <w:pStyle w:val="Index1"/>
              <w:rPr>
                <w:noProof/>
              </w:rPr>
            </w:pPr>
            <w:r w:rsidRPr="007D2C4D">
              <w:rPr>
                <w:noProof/>
                <w:lang w:val="de-DE"/>
              </w:rPr>
              <w:t>Kein Staat als Kreditgeber</w:t>
            </w:r>
            <w:r>
              <w:rPr>
                <w:noProof/>
              </w:rPr>
              <w:tab/>
              <w:t>456</w:t>
            </w:r>
          </w:p>
          <w:p w:rsidR="00B8054A">
            <w:pPr>
              <w:pStyle w:val="Index1"/>
              <w:rPr>
                <w:noProof/>
              </w:rPr>
            </w:pPr>
            <w:r>
              <w:rPr>
                <w:noProof/>
              </w:rPr>
              <w:t>Keine Inländische Emission</w:t>
            </w:r>
            <w:r>
              <w:rPr>
                <w:noProof/>
              </w:rPr>
              <w:tab/>
              <w:t>456</w:t>
            </w:r>
          </w:p>
          <w:p w:rsidR="00B8054A">
            <w:pPr>
              <w:pStyle w:val="Index1"/>
              <w:rPr>
                <w:noProof/>
              </w:rPr>
            </w:pPr>
            <w:r>
              <w:rPr>
                <w:noProof/>
              </w:rPr>
              <w:t>Keine Inlandswährung</w:t>
            </w:r>
            <w:r>
              <w:rPr>
                <w:noProof/>
              </w:rPr>
              <w:tab/>
              <w:t>455</w:t>
            </w:r>
          </w:p>
          <w:p w:rsidR="00B8054A">
            <w:pPr>
              <w:pStyle w:val="Index1"/>
              <w:rPr>
                <w:noProof/>
              </w:rPr>
            </w:pPr>
            <w:r>
              <w:rPr>
                <w:noProof/>
              </w:rPr>
              <w:t>Konforme Referenzverbindlichkeit</w:t>
            </w:r>
            <w:r>
              <w:rPr>
                <w:noProof/>
              </w:rPr>
              <w:tab/>
              <w:t>436</w:t>
            </w:r>
          </w:p>
          <w:p w:rsidR="00B8054A">
            <w:pPr>
              <w:pStyle w:val="Index1"/>
              <w:rPr>
                <w:noProof/>
              </w:rPr>
            </w:pPr>
            <w:r>
              <w:rPr>
                <w:noProof/>
              </w:rPr>
              <w:t>Kreditderivat</w:t>
            </w:r>
            <w:r>
              <w:rPr>
                <w:noProof/>
              </w:rPr>
              <w:tab/>
              <w:t>437</w:t>
            </w:r>
          </w:p>
          <w:p w:rsidR="00B8054A">
            <w:pPr>
              <w:pStyle w:val="Index1"/>
              <w:rPr>
                <w:noProof/>
              </w:rPr>
            </w:pPr>
            <w:r>
              <w:rPr>
                <w:noProof/>
              </w:rPr>
              <w:t>Kreditderivatdefinitionen 2014</w:t>
            </w:r>
            <w:r>
              <w:rPr>
                <w:noProof/>
              </w:rPr>
              <w:tab/>
              <w:t>429</w:t>
            </w:r>
          </w:p>
          <w:p w:rsidR="00B8054A">
            <w:pPr>
              <w:pStyle w:val="Index1"/>
              <w:rPr>
                <w:noProof/>
              </w:rPr>
            </w:pPr>
            <w:r>
              <w:rPr>
                <w:noProof/>
              </w:rPr>
              <w:t>Kreditderivate-Feststellungs-ausschuss</w:t>
            </w:r>
            <w:r>
              <w:rPr>
                <w:noProof/>
              </w:rPr>
              <w:tab/>
              <w:t>437</w:t>
            </w:r>
          </w:p>
          <w:p w:rsidR="00B8054A">
            <w:pPr>
              <w:pStyle w:val="Index1"/>
              <w:rPr>
                <w:noProof/>
              </w:rPr>
            </w:pPr>
            <w:r>
              <w:rPr>
                <w:noProof/>
              </w:rPr>
              <w:t>Kreditereignis</w:t>
            </w:r>
            <w:r>
              <w:rPr>
                <w:noProof/>
              </w:rPr>
              <w:tab/>
              <w:t>437</w:t>
            </w:r>
          </w:p>
          <w:p w:rsidR="00B8054A">
            <w:pPr>
              <w:pStyle w:val="Index1"/>
              <w:rPr>
                <w:noProof/>
              </w:rPr>
            </w:pPr>
            <w:r>
              <w:rPr>
                <w:noProof/>
              </w:rPr>
              <w:t>Kreditereignis mit Asset-Paket</w:t>
            </w:r>
            <w:r>
              <w:rPr>
                <w:noProof/>
              </w:rPr>
              <w:tab/>
              <w:t>433</w:t>
            </w:r>
          </w:p>
          <w:p w:rsidR="00B8054A">
            <w:pPr>
              <w:pStyle w:val="Index1"/>
              <w:rPr>
                <w:noProof/>
              </w:rPr>
            </w:pPr>
            <w:r>
              <w:rPr>
                <w:noProof/>
              </w:rPr>
              <w:t>Kreditereignisbeschluss-Antrag</w:t>
            </w:r>
            <w:r>
              <w:rPr>
                <w:noProof/>
              </w:rPr>
              <w:tab/>
              <w:t>441</w:t>
            </w:r>
          </w:p>
          <w:p w:rsidR="00B8054A">
            <w:pPr>
              <w:pStyle w:val="Index1"/>
              <w:rPr>
                <w:noProof/>
              </w:rPr>
            </w:pPr>
            <w:r>
              <w:rPr>
                <w:noProof/>
              </w:rPr>
              <w:t>Kreditereignis-beschluss-Antragsdatum</w:t>
            </w:r>
            <w:r>
              <w:rPr>
                <w:noProof/>
              </w:rPr>
              <w:tab/>
              <w:t>440</w:t>
            </w:r>
          </w:p>
          <w:p w:rsidR="00B8054A">
            <w:pPr>
              <w:pStyle w:val="Index1"/>
              <w:rPr>
                <w:noProof/>
              </w:rPr>
            </w:pPr>
            <w:r>
              <w:rPr>
                <w:noProof/>
              </w:rPr>
              <w:t>Kreditereignis-Feststellungstag</w:t>
            </w:r>
            <w:r>
              <w:rPr>
                <w:noProof/>
              </w:rPr>
              <w:tab/>
              <w:t>438</w:t>
            </w:r>
          </w:p>
          <w:p w:rsidR="00B8054A">
            <w:pPr>
              <w:pStyle w:val="Index1"/>
              <w:rPr>
                <w:noProof/>
              </w:rPr>
            </w:pPr>
            <w:r w:rsidRPr="007D2C4D">
              <w:rPr>
                <w:noProof/>
                <w:lang w:val="en-US"/>
              </w:rPr>
              <w:t>Kreditereignismitteilung</w:t>
            </w:r>
            <w:r>
              <w:rPr>
                <w:noProof/>
              </w:rPr>
              <w:tab/>
              <w:t>439</w:t>
            </w:r>
          </w:p>
          <w:p w:rsidR="00B8054A">
            <w:pPr>
              <w:pStyle w:val="Index1"/>
              <w:rPr>
                <w:noProof/>
              </w:rPr>
            </w:pPr>
            <w:r>
              <w:rPr>
                <w:noProof/>
              </w:rPr>
              <w:t>Kreditereignis-Rückschau-Stichtag</w:t>
            </w:r>
            <w:r>
              <w:rPr>
                <w:noProof/>
              </w:rPr>
              <w:tab/>
              <w:t>437</w:t>
            </w:r>
          </w:p>
          <w:p w:rsidR="00B8054A">
            <w:pPr>
              <w:pStyle w:val="Index1"/>
              <w:rPr>
                <w:noProof/>
              </w:rPr>
            </w:pPr>
            <w:r>
              <w:rPr>
                <w:noProof/>
              </w:rPr>
              <w:t>Kreditereignisse</w:t>
            </w:r>
            <w:r>
              <w:rPr>
                <w:noProof/>
              </w:rPr>
              <w:tab/>
              <w:t>406</w:t>
            </w:r>
          </w:p>
          <w:p w:rsidR="00B8054A">
            <w:pPr>
              <w:pStyle w:val="Index1"/>
              <w:rPr>
                <w:noProof/>
              </w:rPr>
            </w:pPr>
            <w:r>
              <w:rPr>
                <w:noProof/>
              </w:rPr>
              <w:t>Kündigungsrecht der Emittentin</w:t>
            </w:r>
            <w:r>
              <w:rPr>
                <w:noProof/>
              </w:rPr>
              <w:tab/>
              <w:t>394</w:t>
            </w:r>
          </w:p>
          <w:p w:rsidR="00B8054A">
            <w:pPr>
              <w:pStyle w:val="Index1"/>
              <w:rPr>
                <w:noProof/>
              </w:rPr>
            </w:pPr>
            <w:r>
              <w:rPr>
                <w:noProof/>
              </w:rPr>
              <w:t>Kursquelle</w:t>
            </w:r>
            <w:r>
              <w:rPr>
                <w:noProof/>
              </w:rPr>
              <w:tab/>
              <w:t>383</w:t>
            </w:r>
          </w:p>
          <w:p w:rsidR="00B8054A">
            <w:pPr>
              <w:pStyle w:val="Index1"/>
              <w:rPr>
                <w:noProof/>
              </w:rPr>
            </w:pPr>
            <w:r>
              <w:rPr>
                <w:noProof/>
              </w:rPr>
              <w:t>Kursquellenstörung</w:t>
            </w:r>
            <w:r>
              <w:rPr>
                <w:noProof/>
              </w:rPr>
              <w:tab/>
              <w:t>427</w:t>
            </w:r>
          </w:p>
          <w:p w:rsidR="00B8054A">
            <w:pPr>
              <w:pStyle w:val="Index1"/>
              <w:rPr>
                <w:noProof/>
              </w:rPr>
            </w:pPr>
            <w:r w:rsidRPr="007D2C4D">
              <w:rPr>
                <w:noProof/>
                <w:lang w:val="de-DE"/>
              </w:rPr>
              <w:t>Laufzeitbeschränkungstag bei Restrukturierung</w:t>
            </w:r>
            <w:r>
              <w:rPr>
                <w:noProof/>
              </w:rPr>
              <w:tab/>
              <w:t>476</w:t>
            </w:r>
          </w:p>
          <w:p w:rsidR="00B8054A">
            <w:pPr>
              <w:pStyle w:val="Index1"/>
              <w:rPr>
                <w:noProof/>
              </w:rPr>
            </w:pPr>
            <w:r>
              <w:rPr>
                <w:noProof/>
              </w:rPr>
              <w:t>Letzter Handelstag</w:t>
            </w:r>
            <w:r>
              <w:rPr>
                <w:noProof/>
              </w:rPr>
              <w:tab/>
              <w:t>350</w:t>
            </w:r>
          </w:p>
          <w:p w:rsidR="00B8054A">
            <w:pPr>
              <w:pStyle w:val="Index1"/>
              <w:rPr>
                <w:noProof/>
              </w:rPr>
            </w:pPr>
            <w:r>
              <w:rPr>
                <w:noProof/>
              </w:rPr>
              <w:t>M(M)R-Restrukturierung</w:t>
            </w:r>
            <w:r>
              <w:rPr>
                <w:noProof/>
              </w:rPr>
              <w:tab/>
              <w:t>453</w:t>
            </w:r>
          </w:p>
          <w:p w:rsidR="00B8054A">
            <w:pPr>
              <w:pStyle w:val="Index1"/>
              <w:rPr>
                <w:noProof/>
              </w:rPr>
            </w:pPr>
            <w:r>
              <w:rPr>
                <w:noProof/>
              </w:rPr>
              <w:t>Markt</w:t>
            </w:r>
            <w:r>
              <w:rPr>
                <w:noProof/>
              </w:rPr>
              <w:tab/>
              <w:t>451</w:t>
            </w:r>
          </w:p>
          <w:p w:rsidR="00B8054A">
            <w:pPr>
              <w:pStyle w:val="Index1"/>
              <w:rPr>
                <w:noProof/>
              </w:rPr>
            </w:pPr>
            <w:r>
              <w:rPr>
                <w:noProof/>
              </w:rPr>
              <w:t>Marktstörung</w:t>
            </w:r>
            <w:r>
              <w:rPr>
                <w:noProof/>
              </w:rPr>
              <w:tab/>
              <w:t>426</w:t>
            </w:r>
          </w:p>
          <w:p w:rsidR="00B8054A">
            <w:pPr>
              <w:pStyle w:val="Index1"/>
              <w:rPr>
                <w:noProof/>
              </w:rPr>
            </w:pPr>
            <w:r>
              <w:rPr>
                <w:noProof/>
              </w:rPr>
              <w:t>Marktwert</w:t>
            </w:r>
            <w:r>
              <w:rPr>
                <w:noProof/>
              </w:rPr>
              <w:tab/>
              <w:t>452</w:t>
            </w:r>
          </w:p>
          <w:p w:rsidR="00B8054A">
            <w:pPr>
              <w:pStyle w:val="Index1"/>
              <w:rPr>
                <w:noProof/>
              </w:rPr>
            </w:pPr>
            <w:r>
              <w:rPr>
                <w:noProof/>
              </w:rPr>
              <w:t>Massgebliche Garantie</w:t>
            </w:r>
            <w:r>
              <w:rPr>
                <w:noProof/>
              </w:rPr>
              <w:tab/>
              <w:t>471</w:t>
            </w:r>
          </w:p>
          <w:p w:rsidR="00B8054A">
            <w:pPr>
              <w:pStyle w:val="Index1"/>
              <w:rPr>
                <w:noProof/>
              </w:rPr>
            </w:pPr>
            <w:r>
              <w:rPr>
                <w:noProof/>
              </w:rPr>
              <w:t>Massgebliche Verbindlichkeiten</w:t>
            </w:r>
            <w:r>
              <w:rPr>
                <w:noProof/>
              </w:rPr>
              <w:tab/>
              <w:t>473</w:t>
            </w:r>
          </w:p>
          <w:p w:rsidR="00B8054A">
            <w:pPr>
              <w:pStyle w:val="Index1"/>
              <w:rPr>
                <w:noProof/>
              </w:rPr>
            </w:pPr>
            <w:r>
              <w:rPr>
                <w:noProof/>
              </w:rPr>
              <w:t>Massgeblicher Inhaber</w:t>
            </w:r>
            <w:r>
              <w:rPr>
                <w:noProof/>
              </w:rPr>
              <w:tab/>
              <w:t>473</w:t>
            </w:r>
          </w:p>
          <w:p w:rsidR="00B8054A">
            <w:pPr>
              <w:pStyle w:val="Index1"/>
              <w:rPr>
                <w:noProof/>
              </w:rPr>
            </w:pPr>
            <w:r w:rsidRPr="007D2C4D">
              <w:rPr>
                <w:noProof/>
                <w:lang w:val="de-DE"/>
              </w:rPr>
              <w:t>Merkmale der Bewertungsverbindlichkeiten</w:t>
            </w:r>
            <w:r>
              <w:rPr>
                <w:noProof/>
              </w:rPr>
              <w:tab/>
              <w:t>416</w:t>
            </w:r>
          </w:p>
          <w:p w:rsidR="00B8054A">
            <w:pPr>
              <w:pStyle w:val="Index1"/>
              <w:rPr>
                <w:noProof/>
              </w:rPr>
            </w:pPr>
            <w:r>
              <w:rPr>
                <w:noProof/>
              </w:rPr>
              <w:t>Merkmale für Bewertungsverbindlichkeiten</w:t>
            </w:r>
            <w:r>
              <w:rPr>
                <w:noProof/>
              </w:rPr>
              <w:tab/>
              <w:t>498</w:t>
            </w:r>
          </w:p>
          <w:p w:rsidR="00B8054A">
            <w:pPr>
              <w:pStyle w:val="Index1"/>
              <w:rPr>
                <w:noProof/>
              </w:rPr>
            </w:pPr>
            <w:r w:rsidRPr="007D2C4D">
              <w:rPr>
                <w:noProof/>
                <w:lang w:val="de-DE"/>
              </w:rPr>
              <w:t xml:space="preserve">Mindest-Anzahl für den Handel </w:t>
            </w:r>
            <w:r w:rsidRPr="007D2C4D">
              <w:rPr>
                <w:b/>
                <w:noProof/>
                <w:lang w:val="de-DE"/>
              </w:rPr>
              <w:t>[</w:t>
            </w:r>
            <w:r w:rsidRPr="007D2C4D">
              <w:rPr>
                <w:noProof/>
                <w:lang w:val="de-DE"/>
              </w:rPr>
              <w:t>/Mindest-Zeichnungsbetrag</w:t>
            </w:r>
            <w:r w:rsidRPr="007D2C4D">
              <w:rPr>
                <w:b/>
                <w:noProof/>
                <w:lang w:val="de-DE"/>
              </w:rPr>
              <w:t>]</w:t>
            </w:r>
            <w:r>
              <w:rPr>
                <w:noProof/>
              </w:rPr>
              <w:tab/>
              <w:t>350</w:t>
            </w:r>
          </w:p>
          <w:p w:rsidR="00B8054A">
            <w:pPr>
              <w:pStyle w:val="Index1"/>
              <w:rPr>
                <w:noProof/>
              </w:rPr>
            </w:pPr>
            <w:r>
              <w:rPr>
                <w:noProof/>
              </w:rPr>
              <w:t>Mindestinvestitionsbetrag</w:t>
            </w:r>
            <w:r>
              <w:rPr>
                <w:noProof/>
              </w:rPr>
              <w:tab/>
              <w:t>350</w:t>
            </w:r>
          </w:p>
          <w:p w:rsidR="00B8054A">
            <w:pPr>
              <w:pStyle w:val="Index1"/>
              <w:rPr>
                <w:noProof/>
              </w:rPr>
            </w:pPr>
            <w:r>
              <w:rPr>
                <w:noProof/>
              </w:rPr>
              <w:t>Mindestquotierungsbetrag</w:t>
            </w:r>
            <w:r>
              <w:rPr>
                <w:noProof/>
              </w:rPr>
              <w:tab/>
              <w:t>452</w:t>
            </w:r>
          </w:p>
          <w:p w:rsidR="00B8054A">
            <w:pPr>
              <w:pStyle w:val="Index1"/>
              <w:rPr>
                <w:noProof/>
              </w:rPr>
            </w:pPr>
            <w:r>
              <w:rPr>
                <w:noProof/>
              </w:rPr>
              <w:t>Mindestzinssatz</w:t>
            </w:r>
            <w:r>
              <w:rPr>
                <w:noProof/>
              </w:rPr>
              <w:tab/>
              <w:t>374</w:t>
            </w:r>
          </w:p>
          <w:p w:rsidR="00B8054A">
            <w:pPr>
              <w:pStyle w:val="Index1"/>
              <w:rPr>
                <w:noProof/>
              </w:rPr>
            </w:pPr>
            <w:r w:rsidRPr="007D2C4D">
              <w:rPr>
                <w:noProof/>
                <w:lang w:val="de-DE"/>
              </w:rPr>
              <w:t>Mitteilung über die Verlängerung im Fall einer Nichtanerkennung / eines Moratoriums</w:t>
            </w:r>
            <w:r>
              <w:rPr>
                <w:noProof/>
              </w:rPr>
              <w:tab/>
              <w:t>475</w:t>
            </w:r>
          </w:p>
          <w:p w:rsidR="00B8054A">
            <w:pPr>
              <w:pStyle w:val="Index1"/>
              <w:rPr>
                <w:noProof/>
              </w:rPr>
            </w:pPr>
            <w:r w:rsidRPr="007D2C4D">
              <w:rPr>
                <w:noProof/>
                <w:lang w:val="de-DE"/>
              </w:rPr>
              <w:t>Mitteilung über Öffentlich Verfügbare Informationen</w:t>
            </w:r>
            <w:r>
              <w:rPr>
                <w:noProof/>
              </w:rPr>
              <w:tab/>
              <w:t>457</w:t>
            </w:r>
          </w:p>
          <w:p w:rsidR="00B8054A">
            <w:pPr>
              <w:pStyle w:val="Index1"/>
              <w:rPr>
                <w:noProof/>
              </w:rPr>
            </w:pPr>
            <w:r>
              <w:rPr>
                <w:noProof/>
              </w:rPr>
              <w:t>Mitteilungsfrist</w:t>
            </w:r>
            <w:r>
              <w:rPr>
                <w:noProof/>
              </w:rPr>
              <w:tab/>
              <w:t>457</w:t>
            </w:r>
          </w:p>
          <w:p w:rsidR="00B8054A">
            <w:pPr>
              <w:pStyle w:val="Index1"/>
              <w:rPr>
                <w:noProof/>
              </w:rPr>
            </w:pPr>
            <w:r>
              <w:rPr>
                <w:noProof/>
              </w:rPr>
              <w:t>Mitteilungstag</w:t>
            </w:r>
            <w:r>
              <w:rPr>
                <w:noProof/>
              </w:rPr>
              <w:tab/>
              <w:t>457</w:t>
            </w:r>
          </w:p>
          <w:p w:rsidR="00B8054A">
            <w:pPr>
              <w:pStyle w:val="Index1"/>
              <w:rPr>
                <w:noProof/>
              </w:rPr>
            </w:pPr>
            <w:r w:rsidRPr="007D2C4D">
              <w:rPr>
                <w:noProof/>
                <w:lang w:val="de-DE"/>
              </w:rPr>
              <w:t>Modifizierter Laufzeit-beschränkungstag bei Re-strukturierung</w:t>
            </w:r>
            <w:r>
              <w:rPr>
                <w:noProof/>
              </w:rPr>
              <w:tab/>
              <w:t>453</w:t>
            </w:r>
          </w:p>
          <w:p w:rsidR="00B8054A">
            <w:pPr>
              <w:pStyle w:val="Index1"/>
              <w:rPr>
                <w:noProof/>
              </w:rPr>
            </w:pPr>
            <w:r w:rsidRPr="007D2C4D">
              <w:rPr>
                <w:noProof/>
                <w:lang w:val="de-DE"/>
              </w:rPr>
              <w:t>Nach Modifizierten Kriterien Zulässiger Übertragungsempfänger</w:t>
            </w:r>
            <w:r>
              <w:rPr>
                <w:noProof/>
              </w:rPr>
              <w:tab/>
              <w:t>453</w:t>
            </w:r>
          </w:p>
          <w:p w:rsidR="00B8054A">
            <w:pPr>
              <w:pStyle w:val="Index1"/>
              <w:rPr>
                <w:noProof/>
              </w:rPr>
            </w:pPr>
            <w:r>
              <w:rPr>
                <w:noProof/>
              </w:rPr>
              <w:t>Nachfrist</w:t>
            </w:r>
            <w:r>
              <w:rPr>
                <w:noProof/>
              </w:rPr>
              <w:tab/>
              <w:t>449</w:t>
            </w:r>
          </w:p>
          <w:p w:rsidR="00B8054A">
            <w:pPr>
              <w:pStyle w:val="Index1"/>
              <w:rPr>
                <w:noProof/>
              </w:rPr>
            </w:pPr>
            <w:r>
              <w:rPr>
                <w:noProof/>
              </w:rPr>
              <w:t>Nachfrist-Geschäftstag</w:t>
            </w:r>
            <w:r>
              <w:rPr>
                <w:noProof/>
              </w:rPr>
              <w:tab/>
              <w:t>449</w:t>
            </w:r>
          </w:p>
          <w:p w:rsidR="00B8054A">
            <w:pPr>
              <w:pStyle w:val="Index1"/>
              <w:rPr>
                <w:noProof/>
              </w:rPr>
            </w:pPr>
            <w:r>
              <w:rPr>
                <w:noProof/>
              </w:rPr>
              <w:t>Nachfrist-Verlängerungstag</w:t>
            </w:r>
            <w:r>
              <w:rPr>
                <w:noProof/>
              </w:rPr>
              <w:tab/>
              <w:t>450</w:t>
            </w:r>
          </w:p>
          <w:p w:rsidR="00B8054A">
            <w:pPr>
              <w:pStyle w:val="Index1"/>
              <w:rPr>
                <w:noProof/>
              </w:rPr>
            </w:pPr>
            <w:r>
              <w:rPr>
                <w:noProof/>
              </w:rPr>
              <w:t>Nachgeordnetes Verbundenes Unternehmen</w:t>
            </w:r>
            <w:r>
              <w:rPr>
                <w:noProof/>
              </w:rPr>
              <w:tab/>
              <w:t>443</w:t>
            </w:r>
          </w:p>
          <w:p w:rsidR="00B8054A">
            <w:pPr>
              <w:pStyle w:val="Index1"/>
              <w:rPr>
                <w:noProof/>
              </w:rPr>
            </w:pPr>
            <w:r>
              <w:rPr>
                <w:noProof/>
              </w:rPr>
              <w:t>Nachrangige Verbindlichkeit</w:t>
            </w:r>
            <w:r>
              <w:rPr>
                <w:noProof/>
              </w:rPr>
              <w:tab/>
              <w:t>480</w:t>
            </w:r>
          </w:p>
          <w:p w:rsidR="00B8054A">
            <w:pPr>
              <w:pStyle w:val="Index1"/>
              <w:rPr>
                <w:noProof/>
              </w:rPr>
            </w:pPr>
            <w:r>
              <w:rPr>
                <w:noProof/>
              </w:rPr>
              <w:t>Nachrangigkeit</w:t>
            </w:r>
            <w:r>
              <w:rPr>
                <w:noProof/>
              </w:rPr>
              <w:tab/>
              <w:t>480</w:t>
            </w:r>
          </w:p>
          <w:p w:rsidR="00B8054A">
            <w:pPr>
              <w:pStyle w:val="Index1"/>
              <w:rPr>
                <w:noProof/>
              </w:rPr>
            </w:pPr>
            <w:r>
              <w:rPr>
                <w:noProof/>
              </w:rPr>
              <w:t>Nennbetrag</w:t>
            </w:r>
            <w:r>
              <w:rPr>
                <w:noProof/>
              </w:rPr>
              <w:tab/>
              <w:t>349</w:t>
            </w:r>
          </w:p>
          <w:p w:rsidR="00B8054A">
            <w:pPr>
              <w:pStyle w:val="Index1"/>
              <w:rPr>
                <w:noProof/>
              </w:rPr>
            </w:pPr>
            <w:r>
              <w:rPr>
                <w:noProof/>
              </w:rPr>
              <w:t>Nicht Bedingter Betrag</w:t>
            </w:r>
            <w:r>
              <w:rPr>
                <w:noProof/>
              </w:rPr>
              <w:tab/>
              <w:t>454</w:t>
            </w:r>
          </w:p>
          <w:p w:rsidR="00B8054A">
            <w:pPr>
              <w:pStyle w:val="Index1"/>
              <w:rPr>
                <w:noProof/>
              </w:rPr>
            </w:pPr>
            <w:r>
              <w:rPr>
                <w:noProof/>
              </w:rPr>
              <w:t>Nicht Inländisches Recht</w:t>
            </w:r>
            <w:r>
              <w:rPr>
                <w:noProof/>
              </w:rPr>
              <w:tab/>
              <w:t>456</w:t>
            </w:r>
          </w:p>
          <w:p w:rsidR="00B8054A">
            <w:pPr>
              <w:pStyle w:val="Index1"/>
              <w:rPr>
                <w:noProof/>
              </w:rPr>
            </w:pPr>
            <w:r>
              <w:rPr>
                <w:noProof/>
              </w:rPr>
              <w:t>Nicht Konforme Ersatz-Referenzverbindlichkeit</w:t>
            </w:r>
            <w:r>
              <w:rPr>
                <w:noProof/>
              </w:rPr>
              <w:tab/>
              <w:t>454</w:t>
            </w:r>
          </w:p>
          <w:p w:rsidR="00B8054A">
            <w:pPr>
              <w:pStyle w:val="Index1"/>
              <w:rPr>
                <w:noProof/>
              </w:rPr>
            </w:pPr>
            <w:r>
              <w:rPr>
                <w:noProof/>
              </w:rPr>
              <w:t>Nicht Konforme Referenzverbindlichkeit</w:t>
            </w:r>
            <w:r>
              <w:rPr>
                <w:noProof/>
              </w:rPr>
              <w:tab/>
              <w:t>454</w:t>
            </w:r>
          </w:p>
          <w:p w:rsidR="00B8054A">
            <w:pPr>
              <w:pStyle w:val="Index1"/>
              <w:rPr>
                <w:noProof/>
              </w:rPr>
            </w:pPr>
            <w:r>
              <w:rPr>
                <w:noProof/>
              </w:rPr>
              <w:t>Nicht Nachrangig</w:t>
            </w:r>
            <w:r>
              <w:rPr>
                <w:noProof/>
              </w:rPr>
              <w:tab/>
              <w:t>456</w:t>
            </w:r>
          </w:p>
          <w:p w:rsidR="00B8054A">
            <w:pPr>
              <w:pStyle w:val="Index1"/>
              <w:rPr>
                <w:noProof/>
              </w:rPr>
            </w:pPr>
            <w:r>
              <w:rPr>
                <w:noProof/>
              </w:rPr>
              <w:t>Nicht Nachrangige Verbindlichkeit</w:t>
            </w:r>
            <w:r>
              <w:rPr>
                <w:noProof/>
              </w:rPr>
              <w:tab/>
              <w:t>477</w:t>
            </w:r>
          </w:p>
          <w:p w:rsidR="00B8054A">
            <w:pPr>
              <w:pStyle w:val="Index1"/>
              <w:rPr>
                <w:noProof/>
              </w:rPr>
            </w:pPr>
            <w:r w:rsidRPr="007D2C4D">
              <w:rPr>
                <w:noProof/>
                <w:lang w:val="de-DE"/>
              </w:rPr>
              <w:t>Nichtanerkennung/ Moratorium</w:t>
            </w:r>
            <w:r>
              <w:rPr>
                <w:noProof/>
              </w:rPr>
              <w:tab/>
              <w:t>410, 474</w:t>
            </w:r>
          </w:p>
          <w:p w:rsidR="00B8054A">
            <w:pPr>
              <w:pStyle w:val="Index1"/>
              <w:rPr>
                <w:noProof/>
              </w:rPr>
            </w:pPr>
            <w:r>
              <w:rPr>
                <w:noProof/>
              </w:rPr>
              <w:t>Nichtanerkennungs-/Moratoriumsbewertungstag</w:t>
            </w:r>
            <w:r>
              <w:rPr>
                <w:noProof/>
              </w:rPr>
              <w:tab/>
              <w:t>474</w:t>
            </w:r>
          </w:p>
          <w:p w:rsidR="00B8054A">
            <w:pPr>
              <w:pStyle w:val="Index1"/>
              <w:rPr>
                <w:noProof/>
              </w:rPr>
            </w:pPr>
            <w:r>
              <w:rPr>
                <w:noProof/>
              </w:rPr>
              <w:t>Nicht-Standard-Referenzverbindlichkeit</w:t>
            </w:r>
            <w:r>
              <w:rPr>
                <w:noProof/>
              </w:rPr>
              <w:tab/>
              <w:t>346, 455</w:t>
            </w:r>
          </w:p>
          <w:p w:rsidR="00B8054A">
            <w:pPr>
              <w:pStyle w:val="Index1"/>
              <w:rPr>
                <w:noProof/>
              </w:rPr>
            </w:pPr>
            <w:r w:rsidRPr="007D2C4D">
              <w:rPr>
                <w:noProof/>
                <w:lang w:val="de-DE"/>
              </w:rPr>
              <w:t>Nichtzahlung</w:t>
            </w:r>
            <w:r>
              <w:rPr>
                <w:noProof/>
              </w:rPr>
              <w:tab/>
              <w:t>408, 446</w:t>
            </w:r>
          </w:p>
          <w:p w:rsidR="00B8054A">
            <w:pPr>
              <w:pStyle w:val="Index1"/>
              <w:rPr>
                <w:noProof/>
              </w:rPr>
            </w:pPr>
            <w:r>
              <w:rPr>
                <w:noProof/>
              </w:rPr>
              <w:t>Nur Referenzverbindlichkeiten</w:t>
            </w:r>
            <w:r>
              <w:rPr>
                <w:noProof/>
              </w:rPr>
              <w:tab/>
              <w:t>471</w:t>
            </w:r>
          </w:p>
          <w:p w:rsidR="00B8054A">
            <w:pPr>
              <w:pStyle w:val="Index1"/>
              <w:rPr>
                <w:noProof/>
              </w:rPr>
            </w:pPr>
            <w:r>
              <w:rPr>
                <w:noProof/>
              </w:rPr>
              <w:t>Obligation Acceleration</w:t>
            </w:r>
            <w:r>
              <w:rPr>
                <w:noProof/>
              </w:rPr>
              <w:tab/>
              <w:t>409</w:t>
            </w:r>
          </w:p>
          <w:p w:rsidR="00B8054A">
            <w:pPr>
              <w:pStyle w:val="Index1"/>
              <w:rPr>
                <w:noProof/>
              </w:rPr>
            </w:pPr>
            <w:r>
              <w:rPr>
                <w:noProof/>
              </w:rPr>
              <w:t>Öffentlich Verfügbare Informationen</w:t>
            </w:r>
            <w:r>
              <w:rPr>
                <w:noProof/>
              </w:rPr>
              <w:tab/>
              <w:t>465</w:t>
            </w:r>
          </w:p>
          <w:p w:rsidR="00B8054A">
            <w:pPr>
              <w:pStyle w:val="Index1"/>
              <w:rPr>
                <w:noProof/>
              </w:rPr>
            </w:pPr>
            <w:r>
              <w:rPr>
                <w:noProof/>
              </w:rPr>
              <w:t>Öffentliche Quelle</w:t>
            </w:r>
            <w:r>
              <w:rPr>
                <w:noProof/>
              </w:rPr>
              <w:tab/>
              <w:t>418, 465</w:t>
            </w:r>
          </w:p>
          <w:p w:rsidR="00B8054A">
            <w:pPr>
              <w:pStyle w:val="Index1"/>
              <w:rPr>
                <w:noProof/>
              </w:rPr>
            </w:pPr>
            <w:r>
              <w:rPr>
                <w:noProof/>
              </w:rPr>
              <w:t>Paketrelevante Anleihe</w:t>
            </w:r>
            <w:r>
              <w:rPr>
                <w:noProof/>
              </w:rPr>
              <w:tab/>
              <w:t>459</w:t>
            </w:r>
          </w:p>
          <w:p w:rsidR="00B8054A">
            <w:pPr>
              <w:pStyle w:val="Index1"/>
              <w:rPr>
                <w:noProof/>
              </w:rPr>
            </w:pPr>
            <w:r>
              <w:rPr>
                <w:noProof/>
              </w:rPr>
              <w:t>Planmässige Rückzahlung</w:t>
            </w:r>
            <w:r>
              <w:rPr>
                <w:noProof/>
              </w:rPr>
              <w:tab/>
              <w:t>388</w:t>
            </w:r>
          </w:p>
          <w:p w:rsidR="00B8054A">
            <w:pPr>
              <w:pStyle w:val="Index1"/>
              <w:rPr>
                <w:noProof/>
              </w:rPr>
            </w:pPr>
            <w:r>
              <w:rPr>
                <w:noProof/>
              </w:rPr>
              <w:t>Planmässiger Fälligkeitstag</w:t>
            </w:r>
            <w:r>
              <w:rPr>
                <w:noProof/>
              </w:rPr>
              <w:tab/>
              <w:t>392</w:t>
            </w:r>
          </w:p>
          <w:p w:rsidR="00B8054A">
            <w:pPr>
              <w:pStyle w:val="Index1"/>
              <w:rPr>
                <w:noProof/>
              </w:rPr>
            </w:pPr>
            <w:r>
              <w:rPr>
                <w:noProof/>
              </w:rPr>
              <w:t>Planmässiger Rückzahlungsbetrag</w:t>
            </w:r>
            <w:r>
              <w:rPr>
                <w:noProof/>
              </w:rPr>
              <w:tab/>
              <w:t>392</w:t>
            </w:r>
          </w:p>
          <w:p w:rsidR="00B8054A">
            <w:pPr>
              <w:pStyle w:val="Index1"/>
              <w:rPr>
                <w:noProof/>
              </w:rPr>
            </w:pPr>
            <w:r w:rsidRPr="007D2C4D">
              <w:rPr>
                <w:noProof/>
                <w:lang w:val="de-DE"/>
              </w:rPr>
              <w:t>Potenzielle Nichtanerkennung / Potenzielles Moratorium</w:t>
            </w:r>
            <w:r>
              <w:rPr>
                <w:noProof/>
              </w:rPr>
              <w:tab/>
              <w:t>463</w:t>
            </w:r>
          </w:p>
          <w:p w:rsidR="00B8054A">
            <w:pPr>
              <w:pStyle w:val="Index1"/>
              <w:rPr>
                <w:noProof/>
              </w:rPr>
            </w:pPr>
            <w:r>
              <w:rPr>
                <w:noProof/>
              </w:rPr>
              <w:t>Potenzielle Nichtzahlung</w:t>
            </w:r>
            <w:r>
              <w:rPr>
                <w:noProof/>
              </w:rPr>
              <w:tab/>
              <w:t>463</w:t>
            </w:r>
          </w:p>
          <w:p w:rsidR="00B8054A">
            <w:pPr>
              <w:pStyle w:val="Index1"/>
              <w:rPr>
                <w:noProof/>
              </w:rPr>
            </w:pPr>
            <w:r>
              <w:rPr>
                <w:noProof/>
              </w:rPr>
              <w:t>Privates Darlehen</w:t>
            </w:r>
            <w:r>
              <w:rPr>
                <w:noProof/>
              </w:rPr>
              <w:tab/>
              <w:t>465</w:t>
            </w:r>
          </w:p>
          <w:p w:rsidR="00B8054A">
            <w:pPr>
              <w:pStyle w:val="Index1"/>
              <w:rPr>
                <w:noProof/>
              </w:rPr>
            </w:pPr>
            <w:r>
              <w:rPr>
                <w:noProof/>
              </w:rPr>
              <w:t>Qualifizierte Garantie</w:t>
            </w:r>
            <w:r>
              <w:rPr>
                <w:noProof/>
              </w:rPr>
              <w:tab/>
              <w:t>467</w:t>
            </w:r>
          </w:p>
          <w:p w:rsidR="00B8054A">
            <w:pPr>
              <w:pStyle w:val="Index1"/>
              <w:rPr>
                <w:noProof/>
              </w:rPr>
            </w:pPr>
            <w:r w:rsidRPr="007D2C4D">
              <w:rPr>
                <w:noProof/>
                <w:lang w:val="de-DE"/>
              </w:rPr>
              <w:t>Qualifizierte Garantie für Verbundene Unternehmen</w:t>
            </w:r>
            <w:r>
              <w:rPr>
                <w:noProof/>
              </w:rPr>
              <w:tab/>
              <w:t>467</w:t>
            </w:r>
          </w:p>
          <w:p w:rsidR="00B8054A">
            <w:pPr>
              <w:pStyle w:val="Index1"/>
              <w:rPr>
                <w:noProof/>
              </w:rPr>
            </w:pPr>
            <w:r w:rsidRPr="007D2C4D">
              <w:rPr>
                <w:noProof/>
                <w:lang w:val="de-DE"/>
              </w:rPr>
              <w:t>Quotierung</w:t>
            </w:r>
            <w:r>
              <w:rPr>
                <w:noProof/>
              </w:rPr>
              <w:tab/>
              <w:t>469</w:t>
            </w:r>
          </w:p>
          <w:p w:rsidR="00B8054A">
            <w:pPr>
              <w:pStyle w:val="Index1"/>
              <w:rPr>
                <w:noProof/>
              </w:rPr>
            </w:pPr>
            <w:r>
              <w:rPr>
                <w:noProof/>
              </w:rPr>
              <w:t>Quotierungsbetrag</w:t>
            </w:r>
            <w:r>
              <w:rPr>
                <w:noProof/>
              </w:rPr>
              <w:tab/>
              <w:t>470</w:t>
            </w:r>
          </w:p>
          <w:p w:rsidR="00B8054A">
            <w:pPr>
              <w:pStyle w:val="Index1"/>
              <w:rPr>
                <w:noProof/>
              </w:rPr>
            </w:pPr>
            <w:r>
              <w:rPr>
                <w:noProof/>
              </w:rPr>
              <w:t>Quotierungsmethode</w:t>
            </w:r>
            <w:r>
              <w:rPr>
                <w:noProof/>
              </w:rPr>
              <w:tab/>
              <w:t>419, 470</w:t>
            </w:r>
          </w:p>
          <w:p w:rsidR="00B8054A">
            <w:pPr>
              <w:pStyle w:val="Index1"/>
              <w:rPr>
                <w:noProof/>
              </w:rPr>
            </w:pPr>
            <w:r>
              <w:rPr>
                <w:noProof/>
              </w:rPr>
              <w:t>Rang</w:t>
            </w:r>
            <w:r>
              <w:rPr>
                <w:noProof/>
              </w:rPr>
              <w:tab/>
              <w:t>477</w:t>
            </w:r>
          </w:p>
          <w:p w:rsidR="00B8054A">
            <w:pPr>
              <w:pStyle w:val="Index1"/>
              <w:rPr>
                <w:noProof/>
              </w:rPr>
            </w:pPr>
            <w:r>
              <w:rPr>
                <w:noProof/>
              </w:rPr>
              <w:t>Rechtsnachfolgebeschluss-Antragsdatum</w:t>
            </w:r>
            <w:r>
              <w:rPr>
                <w:noProof/>
              </w:rPr>
              <w:tab/>
              <w:t>493</w:t>
            </w:r>
          </w:p>
          <w:p w:rsidR="00B8054A">
            <w:pPr>
              <w:pStyle w:val="Index1"/>
              <w:rPr>
                <w:noProof/>
              </w:rPr>
            </w:pPr>
            <w:r w:rsidRPr="007D2C4D">
              <w:rPr>
                <w:noProof/>
                <w:lang w:val="de-DE"/>
              </w:rPr>
              <w:t>Rechtsnachfolgeereignis in Bezug auf Staaten</w:t>
            </w:r>
            <w:r>
              <w:rPr>
                <w:noProof/>
              </w:rPr>
              <w:tab/>
              <w:t>479</w:t>
            </w:r>
          </w:p>
          <w:p w:rsidR="00B8054A">
            <w:pPr>
              <w:pStyle w:val="Index1"/>
              <w:rPr>
                <w:noProof/>
              </w:rPr>
            </w:pPr>
            <w:r>
              <w:rPr>
                <w:noProof/>
              </w:rPr>
              <w:t>Rechtsnachfolge-Mitteilung</w:t>
            </w:r>
            <w:r>
              <w:rPr>
                <w:noProof/>
              </w:rPr>
              <w:tab/>
              <w:t>492</w:t>
            </w:r>
          </w:p>
          <w:p w:rsidR="00B8054A">
            <w:pPr>
              <w:pStyle w:val="Index1"/>
              <w:rPr>
                <w:noProof/>
              </w:rPr>
            </w:pPr>
            <w:r>
              <w:rPr>
                <w:noProof/>
              </w:rPr>
              <w:t>Rechtsnachfolger</w:t>
            </w:r>
            <w:r>
              <w:rPr>
                <w:noProof/>
              </w:rPr>
              <w:tab/>
              <w:t>486</w:t>
            </w:r>
          </w:p>
          <w:p w:rsidR="00B8054A">
            <w:pPr>
              <w:pStyle w:val="Index1"/>
              <w:rPr>
                <w:noProof/>
              </w:rPr>
            </w:pPr>
            <w:r>
              <w:rPr>
                <w:noProof/>
              </w:rPr>
              <w:t>Rechtsnachfolgetag</w:t>
            </w:r>
            <w:r>
              <w:rPr>
                <w:noProof/>
              </w:rPr>
              <w:tab/>
              <w:t>486</w:t>
            </w:r>
          </w:p>
          <w:p w:rsidR="00B8054A">
            <w:pPr>
              <w:pStyle w:val="Index1"/>
              <w:rPr>
                <w:noProof/>
              </w:rPr>
            </w:pPr>
            <w:r>
              <w:rPr>
                <w:noProof/>
              </w:rPr>
              <w:t>Referenzbanken</w:t>
            </w:r>
            <w:r>
              <w:rPr>
                <w:noProof/>
              </w:rPr>
              <w:tab/>
              <w:t>384</w:t>
            </w:r>
          </w:p>
          <w:p w:rsidR="00B8054A">
            <w:pPr>
              <w:pStyle w:val="Index1"/>
              <w:rPr>
                <w:noProof/>
              </w:rPr>
            </w:pPr>
            <w:r>
              <w:rPr>
                <w:noProof/>
              </w:rPr>
              <w:t>Referenzpreis</w:t>
            </w:r>
            <w:r>
              <w:rPr>
                <w:noProof/>
              </w:rPr>
              <w:tab/>
              <w:t>350</w:t>
            </w:r>
          </w:p>
          <w:p w:rsidR="00B8054A">
            <w:pPr>
              <w:pStyle w:val="Index1"/>
              <w:rPr>
                <w:noProof/>
              </w:rPr>
            </w:pPr>
            <w:r w:rsidRPr="007D2C4D">
              <w:rPr>
                <w:noProof/>
                <w:lang w:val="de-DE"/>
              </w:rPr>
              <w:t>Referenzsatz</w:t>
            </w:r>
            <w:r>
              <w:rPr>
                <w:noProof/>
              </w:rPr>
              <w:tab/>
              <w:t>376, 428</w:t>
            </w:r>
          </w:p>
          <w:p w:rsidR="00B8054A">
            <w:pPr>
              <w:pStyle w:val="Index1"/>
              <w:rPr>
                <w:noProof/>
              </w:rPr>
            </w:pPr>
            <w:r>
              <w:rPr>
                <w:noProof/>
              </w:rPr>
              <w:t>Referenzsatz-Geschäftstag</w:t>
            </w:r>
            <w:r>
              <w:rPr>
                <w:noProof/>
              </w:rPr>
              <w:tab/>
              <w:t>385</w:t>
            </w:r>
          </w:p>
          <w:p w:rsidR="00B8054A">
            <w:pPr>
              <w:pStyle w:val="Index1"/>
              <w:rPr>
                <w:noProof/>
              </w:rPr>
            </w:pPr>
            <w:r>
              <w:rPr>
                <w:noProof/>
              </w:rPr>
              <w:t>Referenzschuldner</w:t>
            </w:r>
            <w:r>
              <w:rPr>
                <w:noProof/>
              </w:rPr>
              <w:tab/>
              <w:t>342</w:t>
            </w:r>
          </w:p>
          <w:p w:rsidR="00B8054A">
            <w:pPr>
              <w:pStyle w:val="Index1"/>
              <w:rPr>
                <w:noProof/>
              </w:rPr>
            </w:pPr>
            <w:r>
              <w:rPr>
                <w:noProof/>
              </w:rPr>
              <w:t>Referenzschuldner-Nennbetrag</w:t>
            </w:r>
            <w:r>
              <w:rPr>
                <w:noProof/>
              </w:rPr>
              <w:tab/>
              <w:t>349</w:t>
            </w:r>
          </w:p>
          <w:p w:rsidR="00B8054A">
            <w:pPr>
              <w:pStyle w:val="Index1"/>
              <w:rPr>
                <w:noProof/>
              </w:rPr>
            </w:pPr>
            <w:r w:rsidRPr="007D2C4D">
              <w:rPr>
                <w:noProof/>
                <w:lang w:val="de-DE"/>
              </w:rPr>
              <w:t>Referenzverbindlichkeit</w:t>
            </w:r>
            <w:r>
              <w:rPr>
                <w:noProof/>
              </w:rPr>
              <w:tab/>
              <w:t>343</w:t>
            </w:r>
          </w:p>
          <w:p w:rsidR="00B8054A">
            <w:pPr>
              <w:pStyle w:val="Index1"/>
              <w:rPr>
                <w:noProof/>
              </w:rPr>
            </w:pPr>
            <w:r>
              <w:rPr>
                <w:noProof/>
              </w:rPr>
              <w:t>Regierungsbehörde</w:t>
            </w:r>
            <w:r>
              <w:rPr>
                <w:noProof/>
              </w:rPr>
              <w:tab/>
              <w:t>448</w:t>
            </w:r>
          </w:p>
          <w:p w:rsidR="00B8054A">
            <w:pPr>
              <w:pStyle w:val="Index1"/>
              <w:rPr>
                <w:noProof/>
              </w:rPr>
            </w:pPr>
            <w:r w:rsidRPr="007D2C4D">
              <w:rPr>
                <w:noProof/>
                <w:lang w:val="de-DE"/>
              </w:rPr>
              <w:t>Restrukturierte Anleihe bzw. Restrukturiertes Darlehen</w:t>
            </w:r>
            <w:r>
              <w:rPr>
                <w:noProof/>
              </w:rPr>
              <w:tab/>
              <w:t>476</w:t>
            </w:r>
          </w:p>
          <w:p w:rsidR="00B8054A">
            <w:pPr>
              <w:pStyle w:val="Index1"/>
              <w:rPr>
                <w:noProof/>
              </w:rPr>
            </w:pPr>
            <w:r w:rsidRPr="007D2C4D">
              <w:rPr>
                <w:noProof/>
                <w:lang w:val="de-DE"/>
              </w:rPr>
              <w:t>Restrukturierte Bewertungsverbindlichkeit eines Staates</w:t>
            </w:r>
            <w:r>
              <w:rPr>
                <w:noProof/>
              </w:rPr>
              <w:tab/>
              <w:t>478</w:t>
            </w:r>
          </w:p>
          <w:p w:rsidR="00B8054A">
            <w:pPr>
              <w:pStyle w:val="Index1"/>
              <w:rPr>
                <w:noProof/>
              </w:rPr>
            </w:pPr>
            <w:r>
              <w:rPr>
                <w:noProof/>
              </w:rPr>
              <w:t>Restrukturierung</w:t>
            </w:r>
            <w:r>
              <w:rPr>
                <w:noProof/>
              </w:rPr>
              <w:tab/>
              <w:t>410, 476</w:t>
            </w:r>
          </w:p>
          <w:p w:rsidR="00B8054A">
            <w:pPr>
              <w:pStyle w:val="Index1"/>
              <w:rPr>
                <w:noProof/>
              </w:rPr>
            </w:pPr>
            <w:r>
              <w:rPr>
                <w:noProof/>
              </w:rPr>
              <w:t>Restrukturierungstag</w:t>
            </w:r>
            <w:r>
              <w:rPr>
                <w:noProof/>
              </w:rPr>
              <w:tab/>
              <w:t>476</w:t>
            </w:r>
          </w:p>
          <w:p w:rsidR="00B8054A">
            <w:pPr>
              <w:pStyle w:val="Index1"/>
              <w:rPr>
                <w:noProof/>
              </w:rPr>
            </w:pPr>
            <w:r>
              <w:rPr>
                <w:noProof/>
              </w:rPr>
              <w:t>Rückschau-Stichtag bei Rechtsnachfolge</w:t>
            </w:r>
            <w:r>
              <w:rPr>
                <w:noProof/>
              </w:rPr>
              <w:tab/>
              <w:t>485</w:t>
            </w:r>
          </w:p>
          <w:p w:rsidR="00B8054A">
            <w:pPr>
              <w:pStyle w:val="Index1"/>
              <w:rPr>
                <w:noProof/>
              </w:rPr>
            </w:pPr>
            <w:r w:rsidRPr="007D2C4D">
              <w:rPr>
                <w:noProof/>
                <w:lang w:val="de-DE"/>
              </w:rPr>
              <w:t>Rückzahlungsbetrag bei Ausübung des Kündigungsrechts</w:t>
            </w:r>
            <w:r>
              <w:rPr>
                <w:noProof/>
              </w:rPr>
              <w:tab/>
              <w:t>395</w:t>
            </w:r>
          </w:p>
          <w:p w:rsidR="00B8054A">
            <w:pPr>
              <w:pStyle w:val="Index1"/>
              <w:rPr>
                <w:noProof/>
              </w:rPr>
            </w:pPr>
            <w:r w:rsidRPr="007D2C4D">
              <w:rPr>
                <w:noProof/>
                <w:lang w:val="de-DE"/>
              </w:rPr>
              <w:t>Rückzahlungstag(e) bei Ausübung des Kündigungsrechts</w:t>
            </w:r>
            <w:r>
              <w:rPr>
                <w:noProof/>
              </w:rPr>
              <w:tab/>
              <w:t>395</w:t>
            </w:r>
          </w:p>
          <w:p w:rsidR="00B8054A">
            <w:pPr>
              <w:pStyle w:val="Index1"/>
              <w:rPr>
                <w:noProof/>
              </w:rPr>
            </w:pPr>
            <w:r>
              <w:rPr>
                <w:noProof/>
              </w:rPr>
              <w:t>Secretary</w:t>
            </w:r>
            <w:r>
              <w:rPr>
                <w:noProof/>
              </w:rPr>
              <w:tab/>
              <w:t>442</w:t>
            </w:r>
          </w:p>
          <w:p w:rsidR="00B8054A">
            <w:pPr>
              <w:pStyle w:val="Index1"/>
              <w:rPr>
                <w:noProof/>
              </w:rPr>
            </w:pPr>
            <w:r>
              <w:rPr>
                <w:noProof/>
              </w:rPr>
              <w:t>Solvabilitätsmittelbestimmungen</w:t>
            </w:r>
            <w:r>
              <w:rPr>
                <w:noProof/>
              </w:rPr>
              <w:tab/>
              <w:t>478</w:t>
            </w:r>
          </w:p>
          <w:p w:rsidR="00B8054A">
            <w:pPr>
              <w:pStyle w:val="Index1"/>
              <w:rPr>
                <w:noProof/>
              </w:rPr>
            </w:pPr>
            <w:r>
              <w:rPr>
                <w:noProof/>
              </w:rPr>
              <w:t>Staat</w:t>
            </w:r>
            <w:r>
              <w:rPr>
                <w:noProof/>
              </w:rPr>
              <w:tab/>
              <w:t>478</w:t>
            </w:r>
          </w:p>
          <w:p w:rsidR="00B8054A">
            <w:pPr>
              <w:pStyle w:val="Index1"/>
              <w:rPr>
                <w:noProof/>
              </w:rPr>
            </w:pPr>
            <w:r>
              <w:rPr>
                <w:noProof/>
              </w:rPr>
              <w:t>Staatliche Intervention</w:t>
            </w:r>
            <w:r>
              <w:rPr>
                <w:noProof/>
              </w:rPr>
              <w:tab/>
              <w:t>449</w:t>
            </w:r>
          </w:p>
          <w:p w:rsidR="00B8054A">
            <w:pPr>
              <w:pStyle w:val="Index1"/>
              <w:rPr>
                <w:noProof/>
              </w:rPr>
            </w:pPr>
            <w:r w:rsidRPr="007D2C4D">
              <w:rPr>
                <w:noProof/>
                <w:lang w:val="de-DE"/>
              </w:rPr>
              <w:t>Standardmässig Festgelegte Währung</w:t>
            </w:r>
            <w:r>
              <w:rPr>
                <w:noProof/>
              </w:rPr>
              <w:tab/>
              <w:t>479</w:t>
            </w:r>
          </w:p>
          <w:p w:rsidR="00B8054A">
            <w:pPr>
              <w:pStyle w:val="Index1"/>
              <w:rPr>
                <w:noProof/>
              </w:rPr>
            </w:pPr>
            <w:r>
              <w:rPr>
                <w:noProof/>
              </w:rPr>
              <w:t>Steuerstörung</w:t>
            </w:r>
            <w:r>
              <w:rPr>
                <w:noProof/>
              </w:rPr>
              <w:tab/>
              <w:t>427</w:t>
            </w:r>
          </w:p>
          <w:p w:rsidR="00B8054A">
            <w:pPr>
              <w:pStyle w:val="Index1"/>
              <w:rPr>
                <w:noProof/>
              </w:rPr>
            </w:pPr>
            <w:r>
              <w:rPr>
                <w:noProof/>
              </w:rPr>
              <w:t>Stimmberechtigte Anteile</w:t>
            </w:r>
            <w:r>
              <w:rPr>
                <w:noProof/>
              </w:rPr>
              <w:tab/>
              <w:t>498</w:t>
            </w:r>
          </w:p>
          <w:p w:rsidR="00B8054A">
            <w:pPr>
              <w:pStyle w:val="Index1"/>
              <w:rPr>
                <w:noProof/>
              </w:rPr>
            </w:pPr>
            <w:r>
              <w:rPr>
                <w:noProof/>
              </w:rPr>
              <w:t>Stückelung</w:t>
            </w:r>
            <w:r>
              <w:rPr>
                <w:noProof/>
              </w:rPr>
              <w:tab/>
              <w:t>349</w:t>
            </w:r>
          </w:p>
          <w:p w:rsidR="00B8054A">
            <w:pPr>
              <w:pStyle w:val="Index1"/>
              <w:rPr>
                <w:noProof/>
              </w:rPr>
            </w:pPr>
            <w:r>
              <w:rPr>
                <w:noProof/>
              </w:rPr>
              <w:t>Stufenplan</w:t>
            </w:r>
            <w:r>
              <w:rPr>
                <w:noProof/>
              </w:rPr>
              <w:tab/>
              <w:t>479</w:t>
            </w:r>
          </w:p>
          <w:p w:rsidR="00B8054A">
            <w:pPr>
              <w:pStyle w:val="Index1"/>
              <w:rPr>
                <w:noProof/>
              </w:rPr>
            </w:pPr>
            <w:r w:rsidRPr="007D2C4D">
              <w:rPr>
                <w:noProof/>
                <w:lang w:val="de-DE"/>
              </w:rPr>
              <w:t>Tag der Bekanntgabe der Nichtdurchführung einer Auktion</w:t>
            </w:r>
            <w:r>
              <w:rPr>
                <w:noProof/>
              </w:rPr>
              <w:tab/>
              <w:t>454</w:t>
            </w:r>
          </w:p>
          <w:p w:rsidR="00B8054A">
            <w:pPr>
              <w:pStyle w:val="Index1"/>
              <w:rPr>
                <w:noProof/>
              </w:rPr>
            </w:pPr>
            <w:r>
              <w:rPr>
                <w:noProof/>
              </w:rPr>
              <w:t>TARGET- Geschäftstag</w:t>
            </w:r>
            <w:r>
              <w:rPr>
                <w:noProof/>
              </w:rPr>
              <w:tab/>
              <w:t>425</w:t>
            </w:r>
          </w:p>
          <w:p w:rsidR="00B8054A">
            <w:pPr>
              <w:pStyle w:val="Index1"/>
              <w:rPr>
                <w:noProof/>
              </w:rPr>
            </w:pPr>
            <w:r>
              <w:rPr>
                <w:noProof/>
              </w:rPr>
              <w:t>Tiefer Nachrangige Verbindlichkeit</w:t>
            </w:r>
            <w:r>
              <w:rPr>
                <w:noProof/>
              </w:rPr>
              <w:tab/>
              <w:t>448</w:t>
            </w:r>
          </w:p>
          <w:p w:rsidR="00B8054A">
            <w:pPr>
              <w:pStyle w:val="Index1"/>
              <w:rPr>
                <w:noProof/>
              </w:rPr>
            </w:pPr>
            <w:r>
              <w:rPr>
                <w:noProof/>
              </w:rPr>
              <w:t>Übernehmen</w:t>
            </w:r>
            <w:r>
              <w:rPr>
                <w:noProof/>
              </w:rPr>
              <w:tab/>
              <w:t>485</w:t>
            </w:r>
          </w:p>
          <w:p w:rsidR="00B8054A">
            <w:pPr>
              <w:pStyle w:val="Index1"/>
              <w:rPr>
                <w:noProof/>
              </w:rPr>
            </w:pPr>
            <w:r>
              <w:rPr>
                <w:noProof/>
              </w:rPr>
              <w:t>Übertragbar</w:t>
            </w:r>
            <w:r>
              <w:rPr>
                <w:noProof/>
              </w:rPr>
              <w:tab/>
              <w:t>493</w:t>
            </w:r>
          </w:p>
          <w:p w:rsidR="00B8054A">
            <w:pPr>
              <w:pStyle w:val="Index1"/>
              <w:rPr>
                <w:noProof/>
              </w:rPr>
            </w:pPr>
            <w:r>
              <w:rPr>
                <w:noProof/>
              </w:rPr>
              <w:t>Unzulässige Massnahme</w:t>
            </w:r>
            <w:r>
              <w:rPr>
                <w:noProof/>
              </w:rPr>
              <w:tab/>
              <w:t>465</w:t>
            </w:r>
          </w:p>
          <w:p w:rsidR="00B8054A">
            <w:pPr>
              <w:pStyle w:val="Index1"/>
              <w:rPr>
                <w:noProof/>
              </w:rPr>
            </w:pPr>
            <w:r>
              <w:rPr>
                <w:noProof/>
              </w:rPr>
              <w:t>Ursprüngliche Nicht-Standard-Referenzverbindlichkeit</w:t>
            </w:r>
            <w:r>
              <w:rPr>
                <w:noProof/>
              </w:rPr>
              <w:tab/>
              <w:t>459</w:t>
            </w:r>
          </w:p>
          <w:p w:rsidR="00B8054A">
            <w:pPr>
              <w:pStyle w:val="Index1"/>
              <w:rPr>
                <w:noProof/>
              </w:rPr>
            </w:pPr>
            <w:r>
              <w:rPr>
                <w:noProof/>
              </w:rPr>
              <w:t>Verbindlichkeit</w:t>
            </w:r>
            <w:r>
              <w:rPr>
                <w:noProof/>
              </w:rPr>
              <w:tab/>
              <w:t>458</w:t>
            </w:r>
          </w:p>
          <w:p w:rsidR="00B8054A">
            <w:pPr>
              <w:pStyle w:val="Index1"/>
              <w:rPr>
                <w:noProof/>
              </w:rPr>
            </w:pPr>
            <w:r>
              <w:rPr>
                <w:noProof/>
              </w:rPr>
              <w:t>Verbindlichkeit mit Mehreren Gläubigern</w:t>
            </w:r>
            <w:r>
              <w:rPr>
                <w:noProof/>
              </w:rPr>
              <w:tab/>
              <w:t>413, 453</w:t>
            </w:r>
          </w:p>
          <w:p w:rsidR="00B8054A">
            <w:pPr>
              <w:pStyle w:val="Index1"/>
              <w:rPr>
                <w:noProof/>
              </w:rPr>
            </w:pPr>
            <w:r>
              <w:rPr>
                <w:noProof/>
              </w:rPr>
              <w:t>Verbindlichkeitenkategorie</w:t>
            </w:r>
            <w:r>
              <w:rPr>
                <w:noProof/>
              </w:rPr>
              <w:tab/>
              <w:t>414, 458</w:t>
            </w:r>
          </w:p>
          <w:p w:rsidR="00B8054A">
            <w:pPr>
              <w:pStyle w:val="Index1"/>
              <w:rPr>
                <w:noProof/>
              </w:rPr>
            </w:pPr>
            <w:r w:rsidRPr="007D2C4D">
              <w:rPr>
                <w:noProof/>
                <w:lang w:val="de-DE"/>
              </w:rPr>
              <w:t>Verbindlichkeitenmerkmale</w:t>
            </w:r>
            <w:r>
              <w:rPr>
                <w:noProof/>
              </w:rPr>
              <w:tab/>
              <w:t>415, 458</w:t>
            </w:r>
          </w:p>
          <w:p w:rsidR="00B8054A">
            <w:pPr>
              <w:pStyle w:val="Index1"/>
              <w:rPr>
                <w:noProof/>
              </w:rPr>
            </w:pPr>
            <w:r>
              <w:rPr>
                <w:noProof/>
              </w:rPr>
              <w:t>Verbindlichkeitenwährung</w:t>
            </w:r>
            <w:r>
              <w:rPr>
                <w:noProof/>
              </w:rPr>
              <w:tab/>
              <w:t>458</w:t>
            </w:r>
          </w:p>
          <w:p w:rsidR="00B8054A">
            <w:pPr>
              <w:pStyle w:val="Index1"/>
              <w:rPr>
                <w:noProof/>
              </w:rPr>
            </w:pPr>
            <w:r>
              <w:rPr>
                <w:noProof/>
              </w:rPr>
              <w:t>Verbriefung der Komplexen Produkte</w:t>
            </w:r>
            <w:r>
              <w:rPr>
                <w:noProof/>
              </w:rPr>
              <w:tab/>
              <w:t>427</w:t>
            </w:r>
          </w:p>
          <w:p w:rsidR="00B8054A">
            <w:pPr>
              <w:pStyle w:val="Index1"/>
              <w:rPr>
                <w:noProof/>
              </w:rPr>
            </w:pPr>
            <w:r>
              <w:rPr>
                <w:noProof/>
              </w:rPr>
              <w:t>Verbundenes Unternehmen</w:t>
            </w:r>
            <w:r>
              <w:rPr>
                <w:noProof/>
              </w:rPr>
              <w:tab/>
              <w:t>431</w:t>
            </w:r>
          </w:p>
          <w:p w:rsidR="00B8054A">
            <w:pPr>
              <w:pStyle w:val="Index1"/>
              <w:rPr>
                <w:noProof/>
              </w:rPr>
            </w:pPr>
            <w:r>
              <w:rPr>
                <w:noProof/>
              </w:rPr>
              <w:t>Verlängerungstag</w:t>
            </w:r>
            <w:r>
              <w:rPr>
                <w:noProof/>
              </w:rPr>
              <w:tab/>
              <w:t>446</w:t>
            </w:r>
          </w:p>
          <w:p w:rsidR="00B8054A">
            <w:pPr>
              <w:pStyle w:val="Index1"/>
              <w:rPr>
                <w:noProof/>
              </w:rPr>
            </w:pPr>
            <w:r>
              <w:rPr>
                <w:noProof/>
              </w:rPr>
              <w:t>Verzinsungsbeginn</w:t>
            </w:r>
            <w:r>
              <w:rPr>
                <w:noProof/>
              </w:rPr>
              <w:tab/>
              <w:t>361</w:t>
            </w:r>
          </w:p>
          <w:p w:rsidR="00B8054A">
            <w:pPr>
              <w:pStyle w:val="Index1"/>
              <w:rPr>
                <w:noProof/>
              </w:rPr>
            </w:pPr>
            <w:r>
              <w:rPr>
                <w:noProof/>
              </w:rPr>
              <w:t>Vollquotierung</w:t>
            </w:r>
            <w:r>
              <w:rPr>
                <w:noProof/>
              </w:rPr>
              <w:tab/>
              <w:t>447</w:t>
            </w:r>
          </w:p>
          <w:p w:rsidR="00B8054A">
            <w:pPr>
              <w:pStyle w:val="Index1"/>
              <w:rPr>
                <w:noProof/>
              </w:rPr>
            </w:pPr>
            <w:r w:rsidRPr="007D2C4D">
              <w:rPr>
                <w:noProof/>
                <w:lang w:val="de-DE"/>
              </w:rPr>
              <w:t>Voraussetzung für die Verlängerung im Fall einer Nichtanerkennung / eines Moratoriums</w:t>
            </w:r>
            <w:r>
              <w:rPr>
                <w:noProof/>
              </w:rPr>
              <w:tab/>
              <w:t>475</w:t>
            </w:r>
          </w:p>
          <w:p w:rsidR="00B8054A">
            <w:pPr>
              <w:pStyle w:val="Index1"/>
              <w:rPr>
                <w:noProof/>
              </w:rPr>
            </w:pPr>
            <w:r w:rsidRPr="007D2C4D">
              <w:rPr>
                <w:noProof/>
                <w:lang w:val="de-DE"/>
              </w:rPr>
              <w:t>Vorfälligkeit einer Verbindlichkeit</w:t>
            </w:r>
            <w:r>
              <w:rPr>
                <w:noProof/>
              </w:rPr>
              <w:tab/>
              <w:t>409, 458</w:t>
            </w:r>
          </w:p>
          <w:p w:rsidR="00B8054A">
            <w:pPr>
              <w:pStyle w:val="Index1"/>
              <w:rPr>
                <w:noProof/>
              </w:rPr>
            </w:pPr>
            <w:r>
              <w:rPr>
                <w:noProof/>
              </w:rPr>
              <w:t>Wesentliche Änderung der Formel</w:t>
            </w:r>
            <w:r>
              <w:rPr>
                <w:noProof/>
              </w:rPr>
              <w:tab/>
              <w:t>427</w:t>
            </w:r>
          </w:p>
          <w:p w:rsidR="00B8054A">
            <w:pPr>
              <w:pStyle w:val="Index1"/>
              <w:rPr>
                <w:noProof/>
              </w:rPr>
            </w:pPr>
            <w:r>
              <w:rPr>
                <w:noProof/>
              </w:rPr>
              <w:t>Wesentliche Änderung des Inhalts</w:t>
            </w:r>
            <w:r>
              <w:rPr>
                <w:noProof/>
              </w:rPr>
              <w:tab/>
              <w:t>426</w:t>
            </w:r>
          </w:p>
          <w:p w:rsidR="00B8054A">
            <w:pPr>
              <w:pStyle w:val="Index1"/>
              <w:rPr>
                <w:noProof/>
              </w:rPr>
            </w:pPr>
            <w:r>
              <w:rPr>
                <w:noProof/>
              </w:rPr>
              <w:t>Zahlung</w:t>
            </w:r>
            <w:r>
              <w:rPr>
                <w:noProof/>
              </w:rPr>
              <w:tab/>
              <w:t>459</w:t>
            </w:r>
          </w:p>
          <w:p w:rsidR="00B8054A">
            <w:pPr>
              <w:pStyle w:val="Index1"/>
              <w:rPr>
                <w:noProof/>
              </w:rPr>
            </w:pPr>
            <w:r>
              <w:rPr>
                <w:noProof/>
              </w:rPr>
              <w:t>Zahlungs-Schwellenbetrag</w:t>
            </w:r>
            <w:r>
              <w:rPr>
                <w:noProof/>
              </w:rPr>
              <w:tab/>
              <w:t>459</w:t>
            </w:r>
          </w:p>
          <w:p w:rsidR="00B8054A">
            <w:pPr>
              <w:pStyle w:val="Index1"/>
              <w:rPr>
                <w:noProof/>
              </w:rPr>
            </w:pPr>
            <w:r>
              <w:rPr>
                <w:noProof/>
              </w:rPr>
              <w:t>Zeichnungsfrist</w:t>
            </w:r>
            <w:r>
              <w:rPr>
                <w:noProof/>
              </w:rPr>
              <w:tab/>
              <w:t>350</w:t>
            </w:r>
          </w:p>
          <w:p w:rsidR="00B8054A">
            <w:pPr>
              <w:pStyle w:val="Index1"/>
              <w:rPr>
                <w:noProof/>
              </w:rPr>
            </w:pPr>
            <w:r w:rsidRPr="007D2C4D">
              <w:rPr>
                <w:noProof/>
                <w:lang w:val="de-DE"/>
              </w:rPr>
              <w:t>Zeitraum der Feststellung eines Potenziellen Kreditereignisses</w:t>
            </w:r>
            <w:r>
              <w:rPr>
                <w:noProof/>
              </w:rPr>
              <w:tab/>
              <w:t>461</w:t>
            </w:r>
          </w:p>
          <w:p w:rsidR="00B8054A">
            <w:pPr>
              <w:pStyle w:val="Index1"/>
              <w:rPr>
                <w:noProof/>
              </w:rPr>
            </w:pPr>
            <w:r w:rsidRPr="007D2C4D">
              <w:rPr>
                <w:noProof/>
                <w:lang w:val="de-DE"/>
              </w:rPr>
              <w:t>Zeitraum einer Potenziellen Nichtanerkennung/eines Potenziellen Moratoriums</w:t>
            </w:r>
            <w:r>
              <w:rPr>
                <w:noProof/>
              </w:rPr>
              <w:tab/>
              <w:t>463</w:t>
            </w:r>
          </w:p>
          <w:p w:rsidR="00B8054A">
            <w:pPr>
              <w:pStyle w:val="Index1"/>
              <w:rPr>
                <w:noProof/>
              </w:rPr>
            </w:pPr>
            <w:r>
              <w:rPr>
                <w:noProof/>
              </w:rPr>
              <w:t>Zeitraum einer Potenziellen Nichtzahlung</w:t>
            </w:r>
            <w:r>
              <w:rPr>
                <w:noProof/>
              </w:rPr>
              <w:tab/>
              <w:t>463</w:t>
            </w:r>
          </w:p>
          <w:p w:rsidR="00B8054A">
            <w:pPr>
              <w:pStyle w:val="Index1"/>
              <w:rPr>
                <w:noProof/>
              </w:rPr>
            </w:pPr>
            <w:r w:rsidRPr="007D2C4D">
              <w:rPr>
                <w:noProof/>
                <w:lang w:val="de-DE"/>
              </w:rPr>
              <w:t>Zeitraum eines Potenziellen Kreditereignisses</w:t>
            </w:r>
            <w:r>
              <w:rPr>
                <w:noProof/>
              </w:rPr>
              <w:tab/>
              <w:t>462</w:t>
            </w:r>
          </w:p>
          <w:p w:rsidR="00B8054A">
            <w:pPr>
              <w:pStyle w:val="Index1"/>
              <w:rPr>
                <w:noProof/>
              </w:rPr>
            </w:pPr>
            <w:r>
              <w:rPr>
                <w:noProof/>
              </w:rPr>
              <w:t>Zins-</w:t>
            </w:r>
            <w:r w:rsidRPr="007D2C4D">
              <w:rPr>
                <w:b/>
                <w:noProof/>
              </w:rPr>
              <w:t>]</w:t>
            </w:r>
            <w:r>
              <w:rPr>
                <w:noProof/>
              </w:rPr>
              <w:t>Geschäftstag-Konvention</w:t>
            </w:r>
            <w:r>
              <w:rPr>
                <w:noProof/>
              </w:rPr>
              <w:tab/>
              <w:t>363</w:t>
            </w:r>
          </w:p>
          <w:p w:rsidR="00B8054A">
            <w:pPr>
              <w:pStyle w:val="Index1"/>
              <w:rPr>
                <w:noProof/>
              </w:rPr>
            </w:pPr>
            <w:r>
              <w:rPr>
                <w:noProof/>
              </w:rPr>
              <w:t>Zinsfeststellungstag</w:t>
            </w:r>
            <w:r>
              <w:rPr>
                <w:noProof/>
              </w:rPr>
              <w:tab/>
              <w:t>385</w:t>
            </w:r>
          </w:p>
          <w:p w:rsidR="00B8054A">
            <w:pPr>
              <w:pStyle w:val="Index1"/>
              <w:rPr>
                <w:noProof/>
              </w:rPr>
            </w:pPr>
            <w:r>
              <w:rPr>
                <w:noProof/>
              </w:rPr>
              <w:t>Zinsperiode</w:t>
            </w:r>
            <w:r>
              <w:rPr>
                <w:noProof/>
              </w:rPr>
              <w:tab/>
              <w:t>362</w:t>
            </w:r>
          </w:p>
          <w:p w:rsidR="00B8054A">
            <w:pPr>
              <w:pStyle w:val="Index1"/>
              <w:rPr>
                <w:noProof/>
              </w:rPr>
            </w:pPr>
            <w:r>
              <w:rPr>
                <w:noProof/>
              </w:rPr>
              <w:t>Zinstagequotient</w:t>
            </w:r>
            <w:r>
              <w:rPr>
                <w:noProof/>
              </w:rPr>
              <w:tab/>
              <w:t>362</w:t>
            </w:r>
          </w:p>
          <w:p w:rsidR="00B8054A">
            <w:pPr>
              <w:pStyle w:val="Index1"/>
              <w:rPr>
                <w:noProof/>
              </w:rPr>
            </w:pPr>
            <w:r>
              <w:rPr>
                <w:noProof/>
              </w:rPr>
              <w:t>Zinszahlungstag(e)</w:t>
            </w:r>
            <w:r>
              <w:rPr>
                <w:noProof/>
              </w:rPr>
              <w:tab/>
              <w:t>361</w:t>
            </w:r>
          </w:p>
          <w:p w:rsidR="00B8054A">
            <w:pPr>
              <w:pStyle w:val="Index1"/>
              <w:rPr>
                <w:noProof/>
              </w:rPr>
            </w:pPr>
            <w:r>
              <w:rPr>
                <w:noProof/>
              </w:rPr>
              <w:t>Zugrundeliegende Verbindlichkeit</w:t>
            </w:r>
            <w:r>
              <w:rPr>
                <w:noProof/>
              </w:rPr>
              <w:tab/>
              <w:t>494</w:t>
            </w:r>
          </w:p>
          <w:p w:rsidR="00B8054A">
            <w:pPr>
              <w:pStyle w:val="Index1"/>
              <w:rPr>
                <w:noProof/>
              </w:rPr>
            </w:pPr>
            <w:r>
              <w:rPr>
                <w:noProof/>
              </w:rPr>
              <w:t>Zugrundeliegender Schuldner</w:t>
            </w:r>
            <w:r>
              <w:rPr>
                <w:noProof/>
              </w:rPr>
              <w:tab/>
              <w:t>494</w:t>
            </w:r>
          </w:p>
          <w:p w:rsidR="00B8054A">
            <w:pPr>
              <w:pStyle w:val="Index1"/>
              <w:rPr>
                <w:noProof/>
              </w:rPr>
            </w:pPr>
            <w:r>
              <w:rPr>
                <w:noProof/>
              </w:rPr>
              <w:t>Zulässige Bedingte Reduzierung</w:t>
            </w:r>
            <w:r>
              <w:rPr>
                <w:noProof/>
              </w:rPr>
              <w:tab/>
              <w:t>460</w:t>
            </w:r>
          </w:p>
          <w:p w:rsidR="00B8054A">
            <w:pPr>
              <w:pStyle w:val="Index1"/>
              <w:rPr>
                <w:noProof/>
              </w:rPr>
            </w:pPr>
            <w:r>
              <w:rPr>
                <w:noProof/>
              </w:rPr>
              <w:t>Zulässige Informationen</w:t>
            </w:r>
            <w:r>
              <w:rPr>
                <w:noProof/>
              </w:rPr>
              <w:tab/>
              <w:t>443</w:t>
            </w:r>
          </w:p>
          <w:p w:rsidR="00B8054A">
            <w:pPr>
              <w:pStyle w:val="Index1"/>
              <w:rPr>
                <w:noProof/>
              </w:rPr>
            </w:pPr>
            <w:r>
              <w:rPr>
                <w:noProof/>
              </w:rPr>
              <w:t>Zulässige Übertragung</w:t>
            </w:r>
            <w:r>
              <w:rPr>
                <w:noProof/>
              </w:rPr>
              <w:tab/>
              <w:t>460</w:t>
            </w:r>
          </w:p>
          <w:p w:rsidR="00B8054A">
            <w:pPr>
              <w:pStyle w:val="Index1"/>
              <w:rPr>
                <w:noProof/>
              </w:rPr>
            </w:pPr>
            <w:r w:rsidRPr="007D2C4D">
              <w:rPr>
                <w:noProof/>
                <w:lang w:val="de-DE"/>
              </w:rPr>
              <w:t>Zulässiger Übertragungsempfänger</w:t>
            </w:r>
            <w:r>
              <w:rPr>
                <w:noProof/>
              </w:rPr>
              <w:tab/>
              <w:t>443</w:t>
            </w:r>
          </w:p>
          <w:p w:rsidR="00B8054A">
            <w:pPr>
              <w:pStyle w:val="Index1"/>
              <w:rPr>
                <w:noProof/>
              </w:rPr>
            </w:pPr>
            <w:r>
              <w:rPr>
                <w:noProof/>
              </w:rPr>
              <w:t>Zusatzfrist nach Ablehnung</w:t>
            </w:r>
            <w:r>
              <w:rPr>
                <w:noProof/>
              </w:rPr>
              <w:tab/>
              <w:t>461</w:t>
            </w:r>
          </w:p>
          <w:p w:rsidR="0041243C" w:rsidRPr="00891C12" w:rsidP="00E60155">
            <w:pPr>
              <w:pStyle w:val="CSBody0"/>
              <w:rPr>
                <w:lang w:val="de-DE"/>
              </w:rPr>
            </w:pPr>
            <w:r>
              <w:rPr>
                <w:lang w:val="de-DE"/>
              </w:rPr>
              <w:fldChar w:fldCharType="end"/>
            </w:r>
          </w:p>
        </w:tc>
      </w:tr>
    </w:tbl>
    <w:p w:rsidR="0017135D" w:rsidP="00E60155">
      <w:pPr>
        <w:pStyle w:val="CSBody0"/>
        <w:rPr>
          <w:lang w:val="de-DE"/>
        </w:rPr>
      </w:pPr>
    </w:p>
    <w:p w:rsidR="0017135D" w:rsidRPr="00D67AF6" w:rsidP="00317E9A">
      <w:pPr>
        <w:pStyle w:val="CSBody0"/>
        <w:rPr>
          <w:lang w:val="de-DE"/>
        </w:rPr>
        <w:sectPr w:rsidSect="00E22A75">
          <w:headerReference w:type="default" r:id="rId61"/>
          <w:footerReference w:type="default" r:id="rId62"/>
          <w:headerReference w:type="first" r:id="rId63"/>
          <w:footerReference w:type="first" r:id="rId64"/>
          <w:pgSz w:w="11907" w:h="16839"/>
          <w:pgMar w:top="1440" w:right="1134" w:bottom="1440" w:left="1134" w:header="720" w:footer="720" w:gutter="0"/>
          <w:cols w:space="708"/>
          <w:docGrid w:linePitch="360"/>
        </w:sectPr>
      </w:pPr>
    </w:p>
    <w:tbl>
      <w:tblPr>
        <w:tblStyle w:val="TableGrid"/>
        <w:tblW w:w="5000" w:type="pct"/>
        <w:tblLook w:val="01E0"/>
      </w:tblPr>
      <w:tblGrid>
        <w:gridCol w:w="4927"/>
        <w:gridCol w:w="4928"/>
      </w:tblGrid>
      <w:tr w:rsidTr="005A78B7">
        <w:tblPrEx>
          <w:tblW w:w="5000" w:type="pct"/>
          <w:tblLook w:val="01E0"/>
        </w:tblPrEx>
        <w:tc>
          <w:tcPr>
            <w:tcW w:w="2500" w:type="pct"/>
            <w:tcBorders>
              <w:top w:val="nil"/>
              <w:left w:val="nil"/>
              <w:bottom w:val="nil"/>
            </w:tcBorders>
          </w:tcPr>
          <w:p w:rsidR="009C0D7E" w:rsidRPr="00E6165A" w:rsidP="00942F00">
            <w:pPr>
              <w:pStyle w:val="CSHeading1EN"/>
            </w:pPr>
            <w:bookmarkStart w:id="137" w:name="_Toc370831755"/>
            <w:bookmarkStart w:id="138" w:name="_Toc389580748"/>
            <w:bookmarkStart w:id="139" w:name="_Toc422862239"/>
            <w:bookmarkStart w:id="140" w:name="_Toc438227547"/>
            <w:r w:rsidRPr="00E6165A">
              <w:t>ADDITIONAL INFORMATION</w:t>
            </w:r>
            <w:bookmarkEnd w:id="137"/>
            <w:bookmarkEnd w:id="138"/>
            <w:bookmarkEnd w:id="139"/>
            <w:bookmarkEnd w:id="140"/>
          </w:p>
        </w:tc>
        <w:tc>
          <w:tcPr>
            <w:tcW w:w="2500" w:type="pct"/>
            <w:tcBorders>
              <w:top w:val="nil"/>
              <w:bottom w:val="nil"/>
              <w:right w:val="nil"/>
            </w:tcBorders>
          </w:tcPr>
          <w:p w:rsidR="009C0D7E" w:rsidRPr="00E6165A" w:rsidP="00942F00">
            <w:pPr>
              <w:pStyle w:val="CSHeading1DE"/>
            </w:pPr>
            <w:bookmarkStart w:id="141" w:name="_Toc350504822"/>
            <w:bookmarkStart w:id="142" w:name="_Toc370831759"/>
            <w:bookmarkStart w:id="143" w:name="_Toc389580663"/>
            <w:bookmarkStart w:id="144" w:name="_Toc422862292"/>
            <w:bookmarkStart w:id="145" w:name="_Toc438160295"/>
            <w:r w:rsidRPr="00E6165A">
              <w:t>ZUSÄTZLICHE INFORMATIONEN</w:t>
            </w:r>
            <w:bookmarkEnd w:id="141"/>
            <w:bookmarkEnd w:id="142"/>
            <w:bookmarkEnd w:id="143"/>
            <w:bookmarkEnd w:id="144"/>
            <w:bookmarkEnd w:id="145"/>
          </w:p>
        </w:tc>
      </w:tr>
      <w:tr w:rsidTr="005A78B7">
        <w:tblPrEx>
          <w:tblW w:w="5000" w:type="pct"/>
          <w:tblLook w:val="01E0"/>
        </w:tblPrEx>
        <w:tc>
          <w:tcPr>
            <w:tcW w:w="2500" w:type="pct"/>
            <w:tcBorders>
              <w:top w:val="nil"/>
              <w:left w:val="nil"/>
              <w:bottom w:val="nil"/>
            </w:tcBorders>
          </w:tcPr>
          <w:p w:rsidR="009C0D7E" w:rsidRPr="00CA4F4B" w:rsidP="005A78B7">
            <w:pPr>
              <w:pStyle w:val="CSBody0"/>
            </w:pPr>
            <w:r w:rsidRPr="00CA4F4B">
              <w:rPr>
                <w:b/>
              </w:rPr>
              <w:t>Use of proceeds</w:t>
            </w:r>
          </w:p>
        </w:tc>
        <w:tc>
          <w:tcPr>
            <w:tcW w:w="2500" w:type="pct"/>
            <w:tcBorders>
              <w:top w:val="nil"/>
              <w:bottom w:val="nil"/>
              <w:right w:val="nil"/>
            </w:tcBorders>
          </w:tcPr>
          <w:p w:rsidR="009C0D7E" w:rsidRPr="00CA4F4B" w:rsidP="005A78B7">
            <w:pPr>
              <w:pStyle w:val="CSBody0"/>
            </w:pPr>
            <w:r w:rsidRPr="00CA4F4B">
              <w:rPr>
                <w:b/>
              </w:rPr>
              <w:t>Erlösverwendung</w:t>
            </w:r>
          </w:p>
        </w:tc>
      </w:tr>
      <w:tr w:rsidTr="005A78B7">
        <w:tblPrEx>
          <w:tblW w:w="5000" w:type="pct"/>
          <w:tblLook w:val="01E0"/>
        </w:tblPrEx>
        <w:tc>
          <w:tcPr>
            <w:tcW w:w="2500" w:type="pct"/>
            <w:tcBorders>
              <w:top w:val="nil"/>
              <w:left w:val="nil"/>
              <w:bottom w:val="nil"/>
            </w:tcBorders>
          </w:tcPr>
          <w:p w:rsidR="009C0D7E" w:rsidRPr="00CA4F4B" w:rsidP="005A78B7">
            <w:pPr>
              <w:pStyle w:val="CSBody0"/>
            </w:pPr>
            <w:r w:rsidRPr="00CA4F4B">
              <w:t>The net proceeds from each issue of Complex Products will be applied by the Issuer for its general corporate purposes, which include making a profit. The net proceeds from Complex Products issued by Credit Suisse, acting through a designated branch outside of Switzerland, will be received an</w:t>
            </w:r>
            <w:r>
              <w:t>d applied outside Switzerland, unless use in Switzerland is permitted under the Swiss taxation laws in force from time to time without payments in respect of the Complex Products becoming subject to withholding or deduction for Swiss withholding tax as a consequence of such use of proceeds in Switzerland.</w:t>
            </w:r>
          </w:p>
        </w:tc>
        <w:tc>
          <w:tcPr>
            <w:tcW w:w="2500" w:type="pct"/>
            <w:tcBorders>
              <w:top w:val="nil"/>
              <w:bottom w:val="nil"/>
              <w:right w:val="nil"/>
            </w:tcBorders>
          </w:tcPr>
          <w:p w:rsidR="009C0D7E" w:rsidRPr="00CA4F4B" w:rsidP="005A78B7">
            <w:pPr>
              <w:pStyle w:val="CSBody0"/>
              <w:rPr>
                <w:lang w:val="de-DE"/>
              </w:rPr>
            </w:pPr>
            <w:r w:rsidRPr="00CA4F4B">
              <w:rPr>
                <w:lang w:val="de-DE"/>
              </w:rPr>
              <w:t>Der mit jeder Emission von Komplexen Produkten erzielte Nettoerlös wird von der Emittentin für allgemeine Unter-nehmenszwecke verwendet, zu denen auch die Erzielung von Gewinnen gehört. Der mit der Begebung von Komplexen Produkten durch die Credit Suisse, handelnd durch eine dazu bestimmte Zweigniederlassung ausserhalb der Schweiz, erzielte Nettoerlös wird ausserhalb der Schweiz erhalten und wird für Zwecke a</w:t>
            </w:r>
            <w:r>
              <w:rPr>
                <w:lang w:val="de-DE"/>
              </w:rPr>
              <w:t>usserhalb der Schweiz verwendet, es sei denn, die Verwendung ist nach dem jeweils geltenden Schweizer Steuerrecht erlaubt, ohne dass Zahlungen in Bezug auf die Komplexen Produkte als Konsequenz aus dieser Erlösverwendung in der Schweiz einem Einbehalt oder Abzug nach Schweizer Verrechnungssteuer unterliegen würden.</w:t>
            </w:r>
          </w:p>
        </w:tc>
      </w:tr>
      <w:tr w:rsidTr="005A78B7">
        <w:tblPrEx>
          <w:tblW w:w="5000" w:type="pct"/>
          <w:tblLook w:val="01E0"/>
        </w:tblPrEx>
        <w:tc>
          <w:tcPr>
            <w:tcW w:w="2500" w:type="pct"/>
            <w:tcBorders>
              <w:top w:val="nil"/>
              <w:left w:val="nil"/>
              <w:bottom w:val="nil"/>
            </w:tcBorders>
          </w:tcPr>
          <w:p w:rsidR="009C0D7E" w:rsidRPr="00CA4F4B" w:rsidP="005A78B7">
            <w:pPr>
              <w:pStyle w:val="CSBody0"/>
              <w:rPr>
                <w:b/>
              </w:rPr>
            </w:pPr>
            <w:r w:rsidRPr="00CA4F4B">
              <w:rPr>
                <w:b/>
              </w:rPr>
              <w:t>Rating of the Issuer</w:t>
            </w:r>
          </w:p>
        </w:tc>
        <w:tc>
          <w:tcPr>
            <w:tcW w:w="2500" w:type="pct"/>
            <w:tcBorders>
              <w:top w:val="nil"/>
              <w:bottom w:val="nil"/>
              <w:right w:val="nil"/>
            </w:tcBorders>
          </w:tcPr>
          <w:p w:rsidR="009C0D7E" w:rsidRPr="00CA4F4B" w:rsidP="005A78B7">
            <w:pPr>
              <w:pStyle w:val="CSBody0"/>
              <w:rPr>
                <w:b/>
                <w:lang w:val="de-DE"/>
              </w:rPr>
            </w:pPr>
            <w:r w:rsidRPr="00CA4F4B">
              <w:rPr>
                <w:b/>
                <w:lang w:val="de-DE"/>
              </w:rPr>
              <w:t>Rating der Emittentin</w:t>
            </w:r>
          </w:p>
        </w:tc>
      </w:tr>
      <w:tr w:rsidTr="005A78B7">
        <w:tblPrEx>
          <w:tblW w:w="5000" w:type="pct"/>
          <w:tblLook w:val="04A0"/>
        </w:tblPrEx>
        <w:tc>
          <w:tcPr>
            <w:tcW w:w="2500" w:type="pct"/>
            <w:tcBorders>
              <w:top w:val="nil"/>
              <w:left w:val="nil"/>
              <w:bottom w:val="nil"/>
            </w:tcBorders>
          </w:tcPr>
          <w:p w:rsidR="009C0D7E" w:rsidRPr="00B66B06" w:rsidP="005A78B7">
            <w:pPr>
              <w:pStyle w:val="CSBody0"/>
            </w:pPr>
            <w:r w:rsidRPr="00B66B06">
              <w:t xml:space="preserve">As of the date of the Base Prospectus, the Issuer’s long-term debt </w:t>
            </w:r>
            <w:r>
              <w:t xml:space="preserve">(issuer rating) </w:t>
            </w:r>
            <w:r w:rsidRPr="00B66B06">
              <w:t>has been rated A by Standard &amp; Poor’s Credit Market Services Europe Limited (</w:t>
            </w:r>
            <w:r w:rsidRPr="00B66B06">
              <w:rPr>
                <w:b/>
              </w:rPr>
              <w:t>S&amp;P</w:t>
            </w:r>
            <w:r w:rsidRPr="00B66B06">
              <w:t>), A by Fitch Ratings Ltd. (</w:t>
            </w:r>
            <w:r w:rsidRPr="00B66B06">
              <w:rPr>
                <w:b/>
              </w:rPr>
              <w:t>Fitch</w:t>
            </w:r>
            <w:r w:rsidRPr="00B66B06">
              <w:t>) and A1 by Moody’s Investors Service, Inc. (</w:t>
            </w:r>
            <w:r w:rsidRPr="00B66B06">
              <w:rPr>
                <w:b/>
              </w:rPr>
              <w:t>Moody's</w:t>
            </w:r>
            <w:r w:rsidRPr="00B66B06">
              <w:t xml:space="preserve">). </w:t>
            </w:r>
          </w:p>
        </w:tc>
        <w:tc>
          <w:tcPr>
            <w:tcW w:w="2500" w:type="pct"/>
            <w:tcBorders>
              <w:top w:val="nil"/>
              <w:bottom w:val="nil"/>
              <w:right w:val="nil"/>
            </w:tcBorders>
          </w:tcPr>
          <w:p w:rsidR="009C0D7E" w:rsidRPr="007120CB" w:rsidP="005A78B7">
            <w:pPr>
              <w:pStyle w:val="CSBody0"/>
            </w:pPr>
            <w:r w:rsidRPr="00B66B06">
              <w:rPr>
                <w:lang w:val="de-DE"/>
              </w:rPr>
              <w:t>Zum Datum des Basisprospekts wurde den langfristigen Verbindlichkeiten der Emittentin</w:t>
            </w:r>
            <w:r>
              <w:rPr>
                <w:lang w:val="de-DE"/>
              </w:rPr>
              <w:t xml:space="preserve"> (Emittentenrating)</w:t>
            </w:r>
            <w:r w:rsidRPr="00B66B06">
              <w:rPr>
                <w:lang w:val="de-DE"/>
              </w:rPr>
              <w:t xml:space="preserve"> von der Standard &amp; Poor’s Credit Market Services </w:t>
            </w:r>
            <w:r>
              <w:rPr>
                <w:lang w:val="de-DE"/>
              </w:rPr>
              <w:t>Europe Limited</w:t>
            </w:r>
            <w:r w:rsidRPr="00B66B06">
              <w:rPr>
                <w:lang w:val="de-DE"/>
              </w:rPr>
              <w:t xml:space="preserve"> (</w:t>
            </w:r>
            <w:r w:rsidRPr="00B66B06">
              <w:rPr>
                <w:b/>
                <w:lang w:val="de-DE"/>
              </w:rPr>
              <w:t>S&amp;P</w:t>
            </w:r>
            <w:r w:rsidRPr="00B66B06">
              <w:rPr>
                <w:lang w:val="de-DE"/>
              </w:rPr>
              <w:t xml:space="preserve">) das Rating A, von der Fitch Ratings Ltd. </w:t>
            </w:r>
            <w:r w:rsidRPr="00B66B06">
              <w:t>(</w:t>
            </w:r>
            <w:r w:rsidRPr="00B66B06">
              <w:rPr>
                <w:b/>
              </w:rPr>
              <w:t>Fitch</w:t>
            </w:r>
            <w:r w:rsidRPr="00B66B06">
              <w:t>) das Rating A und von Moody’s Investors Service, Inc. (</w:t>
            </w:r>
            <w:r w:rsidRPr="00B66B06">
              <w:rPr>
                <w:b/>
              </w:rPr>
              <w:t>Moody’s</w:t>
            </w:r>
            <w:r w:rsidRPr="00B66B06">
              <w:t>) das Rating A1 erteilt.</w:t>
            </w:r>
            <w:r w:rsidRPr="007120CB">
              <w:t xml:space="preserve"> </w:t>
            </w:r>
          </w:p>
        </w:tc>
      </w:tr>
      <w:tr w:rsidTr="005A78B7">
        <w:tblPrEx>
          <w:tblW w:w="5000" w:type="pct"/>
          <w:tblLook w:val="04A0"/>
        </w:tblPrEx>
        <w:tc>
          <w:tcPr>
            <w:tcW w:w="2500" w:type="pct"/>
            <w:tcBorders>
              <w:top w:val="nil"/>
              <w:left w:val="nil"/>
              <w:bottom w:val="nil"/>
            </w:tcBorders>
          </w:tcPr>
          <w:p w:rsidR="009C0D7E" w:rsidRPr="006300DE">
            <w:pPr>
              <w:pStyle w:val="CSBody0"/>
            </w:pPr>
            <w:r w:rsidRPr="003A57B4">
              <w:t xml:space="preserve">S&amp;P defines an obligor rated </w:t>
            </w:r>
            <w:r>
              <w:t>"</w:t>
            </w:r>
            <w:r w:rsidRPr="003A57B4">
              <w:t>A</w:t>
            </w:r>
            <w:r>
              <w:t>"</w:t>
            </w:r>
            <w:r w:rsidRPr="003A57B4">
              <w:t xml:space="preserve"> as having strong capacity to meet its financial commitments but being somewhat more susceptible to the adverse effects of changes in circumstances and economic conditions than obligors in higher-rated categories. Long-term ratings by S&amp;P are divided into several categories ranging from </w:t>
            </w:r>
            <w:r>
              <w:t>"</w:t>
            </w:r>
            <w:r w:rsidRPr="003A57B4">
              <w:t>AAA</w:t>
            </w:r>
            <w:r>
              <w:t>"</w:t>
            </w:r>
            <w:r w:rsidRPr="003A57B4">
              <w:t xml:space="preserve"> (highest issuer credit rating) to category </w:t>
            </w:r>
            <w:r>
              <w:t>"</w:t>
            </w:r>
            <w:r w:rsidRPr="003A57B4">
              <w:t>D</w:t>
            </w:r>
            <w:r>
              <w:t>"</w:t>
            </w:r>
            <w:r w:rsidRPr="003A57B4">
              <w:t xml:space="preserve"> (obligation is in payment default). The ratings from </w:t>
            </w:r>
            <w:r w:rsidRPr="00D0330B" w:rsidR="00D0330B">
              <w:t>"</w:t>
            </w:r>
            <w:r w:rsidRPr="003A57B4">
              <w:t>AA</w:t>
            </w:r>
            <w:r w:rsidRPr="00D0330B" w:rsidR="00D0330B">
              <w:t>"</w:t>
            </w:r>
            <w:r w:rsidRPr="003A57B4">
              <w:t xml:space="preserve"> to </w:t>
            </w:r>
            <w:r w:rsidRPr="00D0330B" w:rsidR="00D0330B">
              <w:t>"</w:t>
            </w:r>
            <w:r w:rsidRPr="003A57B4">
              <w:t>CCC</w:t>
            </w:r>
            <w:r w:rsidRPr="00D0330B" w:rsidR="00D0330B">
              <w:t>"</w:t>
            </w:r>
            <w:r w:rsidRPr="003A57B4">
              <w:t xml:space="preserve"> may be modified by the addition of a plus (+) or minus (-) sign to show relative standing within the major rating categories.</w:t>
            </w:r>
          </w:p>
        </w:tc>
        <w:tc>
          <w:tcPr>
            <w:tcW w:w="2500" w:type="pct"/>
            <w:tcBorders>
              <w:top w:val="nil"/>
              <w:bottom w:val="nil"/>
              <w:right w:val="nil"/>
            </w:tcBorders>
          </w:tcPr>
          <w:p w:rsidR="009C0D7E" w:rsidRPr="006300DE" w:rsidP="005A78B7">
            <w:pPr>
              <w:pStyle w:val="CSBody0"/>
              <w:rPr>
                <w:lang w:val="de-DE"/>
              </w:rPr>
            </w:pPr>
            <w:r w:rsidRPr="003A57B4">
              <w:rPr>
                <w:lang w:val="de-DE"/>
              </w:rPr>
              <w:t xml:space="preserve">Laut der Definition von S&amp;P weist ein Schuldner mit einem </w:t>
            </w:r>
            <w:r>
              <w:rPr>
                <w:lang w:val="de-DE"/>
              </w:rPr>
              <w:t>"</w:t>
            </w:r>
            <w:r w:rsidRPr="003A57B4">
              <w:rPr>
                <w:lang w:val="de-DE"/>
              </w:rPr>
              <w:t>A</w:t>
            </w:r>
            <w:r>
              <w:rPr>
                <w:lang w:val="de-DE"/>
              </w:rPr>
              <w:t>"</w:t>
            </w:r>
            <w:r w:rsidRPr="003A57B4">
              <w:rPr>
                <w:lang w:val="de-DE"/>
              </w:rPr>
              <w:t xml:space="preserve"> Rating eine starke Fähigkeit zur Erfüllung seiner finanziellen Verpflichtungen auf; der Schuldner ist allerdings anfälliger für nachteilige Änderungen der Gegebenheiten und wirtschaftlichen Bedingungen als ein in höheren Kategorien eingestufter Schuldner. Die von S&amp;P verwendete Ratingskala für langfristige Verbindlichkeiten hat verschiedene Kategorien und reicht von </w:t>
            </w:r>
            <w:r>
              <w:rPr>
                <w:lang w:val="de-DE"/>
              </w:rPr>
              <w:t>"</w:t>
            </w:r>
            <w:r w:rsidRPr="003A57B4">
              <w:rPr>
                <w:lang w:val="de-DE"/>
              </w:rPr>
              <w:t>AAA</w:t>
            </w:r>
            <w:r>
              <w:rPr>
                <w:lang w:val="de-DE"/>
              </w:rPr>
              <w:t>"</w:t>
            </w:r>
            <w:r w:rsidRPr="003A57B4">
              <w:rPr>
                <w:lang w:val="de-DE"/>
              </w:rPr>
              <w:t xml:space="preserve"> (Kategorie mit höchster Bonität) bis zur Kategorie </w:t>
            </w:r>
            <w:r>
              <w:rPr>
                <w:lang w:val="de-DE"/>
              </w:rPr>
              <w:t>"</w:t>
            </w:r>
            <w:r w:rsidRPr="003A57B4">
              <w:rPr>
                <w:lang w:val="de-DE"/>
              </w:rPr>
              <w:t>D</w:t>
            </w:r>
            <w:r>
              <w:rPr>
                <w:lang w:val="de-DE"/>
              </w:rPr>
              <w:t>"</w:t>
            </w:r>
            <w:r w:rsidRPr="003A57B4">
              <w:rPr>
                <w:lang w:val="de-DE"/>
              </w:rPr>
              <w:t xml:space="preserve"> (Verbindlichkeit mit Zahlungsstörungen). Den Kategorien </w:t>
            </w:r>
            <w:r>
              <w:rPr>
                <w:lang w:val="de-DE"/>
              </w:rPr>
              <w:t>"</w:t>
            </w:r>
            <w:r w:rsidRPr="003A57B4">
              <w:rPr>
                <w:lang w:val="de-DE"/>
              </w:rPr>
              <w:t>AA</w:t>
            </w:r>
            <w:r>
              <w:rPr>
                <w:lang w:val="de-DE"/>
              </w:rPr>
              <w:t>"</w:t>
            </w:r>
            <w:r w:rsidRPr="003A57B4">
              <w:rPr>
                <w:lang w:val="de-DE"/>
              </w:rPr>
              <w:t xml:space="preserve"> bis </w:t>
            </w:r>
            <w:r>
              <w:rPr>
                <w:lang w:val="de-DE"/>
              </w:rPr>
              <w:t>"</w:t>
            </w:r>
            <w:r w:rsidRPr="003A57B4">
              <w:rPr>
                <w:lang w:val="de-DE"/>
              </w:rPr>
              <w:t>CCC</w:t>
            </w:r>
            <w:r>
              <w:rPr>
                <w:lang w:val="de-DE"/>
              </w:rPr>
              <w:t>"</w:t>
            </w:r>
            <w:r w:rsidRPr="003A57B4">
              <w:rPr>
                <w:lang w:val="de-DE"/>
              </w:rPr>
              <w:t xml:space="preserve"> kann jeweils ein Plus- (</w:t>
            </w:r>
            <w:r>
              <w:rPr>
                <w:lang w:val="de-DE"/>
              </w:rPr>
              <w:t>"</w:t>
            </w:r>
            <w:r w:rsidRPr="003A57B4">
              <w:rPr>
                <w:lang w:val="de-DE"/>
              </w:rPr>
              <w:t>+</w:t>
            </w:r>
            <w:r>
              <w:rPr>
                <w:lang w:val="de-DE"/>
              </w:rPr>
              <w:t>"</w:t>
            </w:r>
            <w:r w:rsidRPr="003A57B4">
              <w:rPr>
                <w:lang w:val="de-DE"/>
              </w:rPr>
              <w:t>) oder Minuszeichen (</w:t>
            </w:r>
            <w:r>
              <w:rPr>
                <w:lang w:val="de-DE"/>
              </w:rPr>
              <w:t>"</w:t>
            </w:r>
            <w:r w:rsidRPr="003A57B4">
              <w:rPr>
                <w:lang w:val="de-DE"/>
              </w:rPr>
              <w:t>–</w:t>
            </w:r>
            <w:r>
              <w:rPr>
                <w:lang w:val="de-DE"/>
              </w:rPr>
              <w:t>"</w:t>
            </w:r>
            <w:r w:rsidRPr="003A57B4">
              <w:rPr>
                <w:lang w:val="de-DE"/>
              </w:rPr>
              <w:t>) hinzugefügt werden, um die relative Stellung innerhalb der Kategorie zu verdeutlichen.</w:t>
            </w:r>
          </w:p>
        </w:tc>
      </w:tr>
      <w:tr w:rsidTr="005A78B7">
        <w:tblPrEx>
          <w:tblW w:w="5000" w:type="pct"/>
          <w:tblLook w:val="04A0"/>
        </w:tblPrEx>
        <w:tc>
          <w:tcPr>
            <w:tcW w:w="2500" w:type="pct"/>
            <w:tcBorders>
              <w:top w:val="nil"/>
              <w:left w:val="nil"/>
              <w:bottom w:val="nil"/>
            </w:tcBorders>
          </w:tcPr>
          <w:p w:rsidR="009C0D7E" w:rsidRPr="006300DE" w:rsidP="00D0330B">
            <w:pPr>
              <w:pStyle w:val="CSBody0"/>
            </w:pPr>
            <w:r w:rsidRPr="003A57B4">
              <w:t xml:space="preserve">Fitch defines </w:t>
            </w:r>
            <w:r w:rsidRPr="00D0330B" w:rsidR="00D0330B">
              <w:t>"</w:t>
            </w:r>
            <w:r w:rsidRPr="003A57B4">
              <w:t>A</w:t>
            </w:r>
            <w:r w:rsidRPr="00D0330B" w:rsidR="00D0330B">
              <w:t>"</w:t>
            </w:r>
            <w:r w:rsidRPr="003A57B4">
              <w:t xml:space="preserve"> ratings as denoting expectations of low default risk. The capacity for payment of financial commitments is considered strong. This capacity may, nevertheless, be more vulnerable to adverse business or economic conditions than is the case for higher ratings. Fitch's long-term ratings are divided into several major categories ranging from </w:t>
            </w:r>
            <w:r>
              <w:t>"</w:t>
            </w:r>
            <w:r w:rsidRPr="003A57B4">
              <w:t>AAA</w:t>
            </w:r>
            <w:r>
              <w:t>"</w:t>
            </w:r>
            <w:r w:rsidRPr="003A57B4">
              <w:t xml:space="preserve"> (Highest credit quality) to category </w:t>
            </w:r>
            <w:r>
              <w:t>"</w:t>
            </w:r>
            <w:r w:rsidRPr="003A57B4">
              <w:t>D</w:t>
            </w:r>
            <w:r>
              <w:t>"</w:t>
            </w:r>
            <w:r w:rsidRPr="003A57B4">
              <w:t xml:space="preserve"> (Default). The modifiers </w:t>
            </w:r>
            <w:r>
              <w:t>"</w:t>
            </w:r>
            <w:r w:rsidRPr="003A57B4">
              <w:t>+</w:t>
            </w:r>
            <w:r>
              <w:t>"</w:t>
            </w:r>
            <w:r w:rsidRPr="003A57B4">
              <w:t xml:space="preserve"> or </w:t>
            </w:r>
            <w:r>
              <w:t>"</w:t>
            </w:r>
            <w:r w:rsidRPr="003A57B4">
              <w:t>-</w:t>
            </w:r>
            <w:r>
              <w:t>"</w:t>
            </w:r>
            <w:r w:rsidRPr="003A57B4">
              <w:t xml:space="preserve"> may be appended to a rating to denote relative status within major rating categories. Such suffixes are not added to the </w:t>
            </w:r>
            <w:r w:rsidRPr="00D0330B" w:rsidR="00D0330B">
              <w:t>"</w:t>
            </w:r>
            <w:r w:rsidRPr="003A57B4">
              <w:t>AAA</w:t>
            </w:r>
            <w:r w:rsidRPr="00D0330B" w:rsidR="00D0330B">
              <w:t>"</w:t>
            </w:r>
            <w:r w:rsidRPr="003A57B4">
              <w:t xml:space="preserve"> Long-Term category, or to Long-Term categories below </w:t>
            </w:r>
            <w:r w:rsidRPr="00D0330B" w:rsidR="00D0330B">
              <w:t>"</w:t>
            </w:r>
            <w:r w:rsidRPr="003A57B4">
              <w:t>B</w:t>
            </w:r>
            <w:r w:rsidRPr="00D0330B" w:rsidR="00D0330B">
              <w:t>"</w:t>
            </w:r>
            <w:r w:rsidRPr="003A57B4">
              <w:t>.</w:t>
            </w:r>
          </w:p>
        </w:tc>
        <w:tc>
          <w:tcPr>
            <w:tcW w:w="2500" w:type="pct"/>
            <w:tcBorders>
              <w:top w:val="nil"/>
              <w:bottom w:val="nil"/>
              <w:right w:val="nil"/>
            </w:tcBorders>
          </w:tcPr>
          <w:p w:rsidR="009C0D7E" w:rsidRPr="006300DE" w:rsidP="005A78B7">
            <w:pPr>
              <w:pStyle w:val="CSBody0"/>
              <w:rPr>
                <w:lang w:val="de-DE"/>
              </w:rPr>
            </w:pPr>
            <w:r w:rsidRPr="003A57B4">
              <w:rPr>
                <w:lang w:val="de-DE"/>
              </w:rPr>
              <w:t xml:space="preserve">Laut der Definition von Fitch steht ein </w:t>
            </w:r>
            <w:r w:rsidR="003B00F3">
              <w:rPr>
                <w:lang w:val="de-DE"/>
              </w:rPr>
              <w:t>"</w:t>
            </w:r>
            <w:r w:rsidRPr="003A57B4">
              <w:rPr>
                <w:lang w:val="de-DE"/>
              </w:rPr>
              <w:t>A</w:t>
            </w:r>
            <w:r>
              <w:rPr>
                <w:lang w:val="de-DE"/>
              </w:rPr>
              <w:t>"</w:t>
            </w:r>
            <w:r w:rsidRPr="003A57B4">
              <w:rPr>
                <w:lang w:val="de-DE"/>
              </w:rPr>
              <w:t xml:space="preserve"> Rating für die Erwartung eines geringen Kreditrisikos. Die Fähigkeit zur Zahlung finanzieller Verpflichtungen wird als stark erachtet. Diese Fähigkeit kann allerdings anfälliger für ungünstige geschäftliche oder wirtschaftliche Bedingungen sein als dies bei höheren Ratings der Fall ist. Die von Fitch verwendete Ratingskala für langfristige Verbindlichkeiten hat verschiedene Kategorien und reicht von </w:t>
            </w:r>
            <w:r>
              <w:rPr>
                <w:lang w:val="de-DE"/>
              </w:rPr>
              <w:t>"</w:t>
            </w:r>
            <w:r w:rsidRPr="003A57B4">
              <w:rPr>
                <w:lang w:val="de-DE"/>
              </w:rPr>
              <w:t>AAA</w:t>
            </w:r>
            <w:r>
              <w:rPr>
                <w:lang w:val="de-DE"/>
              </w:rPr>
              <w:t>"</w:t>
            </w:r>
            <w:r w:rsidRPr="003A57B4">
              <w:rPr>
                <w:lang w:val="de-DE"/>
              </w:rPr>
              <w:t xml:space="preserve"> (höchste Kreditqualität) bis zur Kategorie </w:t>
            </w:r>
            <w:r>
              <w:rPr>
                <w:lang w:val="de-DE"/>
              </w:rPr>
              <w:t>"</w:t>
            </w:r>
            <w:r w:rsidRPr="003A57B4">
              <w:rPr>
                <w:lang w:val="de-DE"/>
              </w:rPr>
              <w:t>D</w:t>
            </w:r>
            <w:r>
              <w:rPr>
                <w:lang w:val="de-DE"/>
              </w:rPr>
              <w:t>"</w:t>
            </w:r>
            <w:r w:rsidRPr="003A57B4">
              <w:rPr>
                <w:lang w:val="de-DE"/>
              </w:rPr>
              <w:t xml:space="preserve"> (Zahlungsstörungen). Den Kategorien kann jeweils ein Plus- (</w:t>
            </w:r>
            <w:r>
              <w:rPr>
                <w:lang w:val="de-DE"/>
              </w:rPr>
              <w:t>"</w:t>
            </w:r>
            <w:r w:rsidRPr="003A57B4">
              <w:rPr>
                <w:lang w:val="de-DE"/>
              </w:rPr>
              <w:t>+</w:t>
            </w:r>
            <w:r>
              <w:rPr>
                <w:lang w:val="de-DE"/>
              </w:rPr>
              <w:t>"</w:t>
            </w:r>
            <w:r w:rsidRPr="003A57B4">
              <w:rPr>
                <w:lang w:val="de-DE"/>
              </w:rPr>
              <w:t>) oder Minuszeichen (</w:t>
            </w:r>
            <w:r>
              <w:rPr>
                <w:lang w:val="de-DE"/>
              </w:rPr>
              <w:t>"</w:t>
            </w:r>
            <w:r w:rsidRPr="003A57B4">
              <w:rPr>
                <w:lang w:val="de-DE"/>
              </w:rPr>
              <w:t>–</w:t>
            </w:r>
            <w:r>
              <w:rPr>
                <w:lang w:val="de-DE"/>
              </w:rPr>
              <w:t>"</w:t>
            </w:r>
            <w:r w:rsidRPr="003A57B4">
              <w:rPr>
                <w:lang w:val="de-DE"/>
              </w:rPr>
              <w:t xml:space="preserve">) beigefügt werden, um eine relative Einordnung innerhalb einer Ratingkategorie auszudrücken. Solche Zusätze werden nicht den </w:t>
            </w:r>
            <w:r>
              <w:rPr>
                <w:lang w:val="de-DE"/>
              </w:rPr>
              <w:t>"</w:t>
            </w:r>
            <w:r w:rsidRPr="003A57B4">
              <w:rPr>
                <w:lang w:val="de-DE"/>
              </w:rPr>
              <w:t>AAA</w:t>
            </w:r>
            <w:r>
              <w:rPr>
                <w:lang w:val="de-DE"/>
              </w:rPr>
              <w:t>"</w:t>
            </w:r>
            <w:r w:rsidRPr="003A57B4">
              <w:rPr>
                <w:lang w:val="de-DE"/>
              </w:rPr>
              <w:t xml:space="preserve">-Langfrist-Ratings und den Langfrist-Ratings unter </w:t>
            </w:r>
            <w:r>
              <w:rPr>
                <w:lang w:val="de-DE"/>
              </w:rPr>
              <w:t>"</w:t>
            </w:r>
            <w:r w:rsidRPr="003A57B4">
              <w:rPr>
                <w:lang w:val="de-DE"/>
              </w:rPr>
              <w:t>B</w:t>
            </w:r>
            <w:r>
              <w:rPr>
                <w:lang w:val="de-DE"/>
              </w:rPr>
              <w:t>"</w:t>
            </w:r>
            <w:r w:rsidRPr="003A57B4">
              <w:rPr>
                <w:lang w:val="de-DE"/>
              </w:rPr>
              <w:t xml:space="preserve"> beigefügt.</w:t>
            </w:r>
          </w:p>
        </w:tc>
      </w:tr>
      <w:tr w:rsidTr="005A78B7">
        <w:tblPrEx>
          <w:tblW w:w="5000" w:type="pct"/>
          <w:tblLook w:val="04A0"/>
        </w:tblPrEx>
        <w:tc>
          <w:tcPr>
            <w:tcW w:w="2500" w:type="pct"/>
            <w:tcBorders>
              <w:top w:val="nil"/>
              <w:left w:val="nil"/>
              <w:bottom w:val="nil"/>
            </w:tcBorders>
          </w:tcPr>
          <w:p w:rsidR="009C0D7E" w:rsidRPr="006300DE" w:rsidP="005A78B7">
            <w:pPr>
              <w:pStyle w:val="CSBody0"/>
            </w:pPr>
            <w:r w:rsidRPr="003A57B4">
              <w:t xml:space="preserve">Moody’s defines obligations rated A as being upper-medium grade and subject to low credit risk. Moody's long-term obligation ratings are divided into several categories ranging from </w:t>
            </w:r>
            <w:r>
              <w:t>"</w:t>
            </w:r>
            <w:r w:rsidRPr="003A57B4">
              <w:t>Aaa</w:t>
            </w:r>
            <w:r>
              <w:t>"</w:t>
            </w:r>
            <w:r w:rsidRPr="003A57B4">
              <w:t xml:space="preserve"> (highest quality with minimal credit risk), to category </w:t>
            </w:r>
            <w:r>
              <w:t>"</w:t>
            </w:r>
            <w:r w:rsidRPr="003A57B4">
              <w:t>C</w:t>
            </w:r>
            <w:r>
              <w:t>"</w:t>
            </w:r>
            <w:r w:rsidRPr="003A57B4">
              <w:t xml:space="preserve"> (lowest rated class of bonds which are typically in default). Moody's appends numerical modifiers 1, 2 and 3 to each generic rating classification from </w:t>
            </w:r>
            <w:r>
              <w:t>"</w:t>
            </w:r>
            <w:r w:rsidRPr="003A57B4">
              <w:t>Aa</w:t>
            </w:r>
            <w:r>
              <w:t>"</w:t>
            </w:r>
            <w:r w:rsidRPr="003A57B4">
              <w:t xml:space="preserve"> through </w:t>
            </w:r>
            <w:r>
              <w:t>"</w:t>
            </w:r>
            <w:r w:rsidRPr="003A57B4">
              <w:t>Caa</w:t>
            </w:r>
            <w:r>
              <w:t>"</w:t>
            </w:r>
            <w:r w:rsidRPr="003A57B4">
              <w:t>. The modifier 1 indicates that the obligation ranks in the higher end of its generic rating category; the modifier 2 indicates a mid-range ranking; and the modifier 3 indicates a ranking in the lower end of that generic rating category.</w:t>
            </w:r>
          </w:p>
        </w:tc>
        <w:tc>
          <w:tcPr>
            <w:tcW w:w="2500" w:type="pct"/>
            <w:tcBorders>
              <w:top w:val="nil"/>
              <w:bottom w:val="nil"/>
              <w:right w:val="nil"/>
            </w:tcBorders>
          </w:tcPr>
          <w:p w:rsidR="009C0D7E" w:rsidRPr="006300DE" w:rsidP="005A78B7">
            <w:pPr>
              <w:pStyle w:val="CSBody0"/>
              <w:rPr>
                <w:lang w:val="de-DE"/>
              </w:rPr>
            </w:pPr>
            <w:r w:rsidRPr="003A57B4">
              <w:rPr>
                <w:lang w:val="de-DE"/>
              </w:rPr>
              <w:t xml:space="preserve">Moody’s definiert mit </w:t>
            </w:r>
            <w:r>
              <w:rPr>
                <w:lang w:val="de-DE"/>
              </w:rPr>
              <w:t>"</w:t>
            </w:r>
            <w:r w:rsidRPr="003A57B4">
              <w:rPr>
                <w:lang w:val="de-DE"/>
              </w:rPr>
              <w:t>A</w:t>
            </w:r>
            <w:r>
              <w:rPr>
                <w:lang w:val="de-DE"/>
              </w:rPr>
              <w:t>"</w:t>
            </w:r>
            <w:r w:rsidRPr="003A57B4">
              <w:rPr>
                <w:lang w:val="de-DE"/>
              </w:rPr>
              <w:t xml:space="preserve"> eingestufte Verbindlichkeiten als mit einem geringen Kreditrisiko behaftete Verbindlichkeiten, die dem oberen Bereich der mittleren Kreditwürdigkeit zuzuordnen sind. Die von Moody's verwendete Ratingskala für langfristige Verbindlichkeiten hat verschiedene Kategorien und reicht von </w:t>
            </w:r>
            <w:r w:rsidR="003B00F3">
              <w:rPr>
                <w:lang w:val="de-DE"/>
              </w:rPr>
              <w:t>"</w:t>
            </w:r>
            <w:r w:rsidRPr="003A57B4">
              <w:rPr>
                <w:lang w:val="de-DE"/>
              </w:rPr>
              <w:t>Aaa</w:t>
            </w:r>
            <w:r>
              <w:rPr>
                <w:lang w:val="de-DE"/>
              </w:rPr>
              <w:t>"</w:t>
            </w:r>
            <w:r w:rsidRPr="003A57B4">
              <w:rPr>
                <w:lang w:val="de-DE"/>
              </w:rPr>
              <w:t xml:space="preserve"> (höchste Qualität mit minimalen Kreditrisiken) bis zur untersten Kategorie </w:t>
            </w:r>
            <w:r>
              <w:rPr>
                <w:lang w:val="de-DE"/>
              </w:rPr>
              <w:t>"</w:t>
            </w:r>
            <w:r w:rsidRPr="003A57B4">
              <w:rPr>
                <w:lang w:val="de-DE"/>
              </w:rPr>
              <w:t>C</w:t>
            </w:r>
            <w:r>
              <w:rPr>
                <w:lang w:val="de-DE"/>
              </w:rPr>
              <w:t>"</w:t>
            </w:r>
            <w:r w:rsidRPr="003A57B4">
              <w:rPr>
                <w:lang w:val="de-DE"/>
              </w:rPr>
              <w:t xml:space="preserve"> (niedrigste Ratingklasse für Verbindlichkeiten, die typischerweise Zahlungsstörungen aufweisen). Moody's verwendet innerhalb der Kategorien </w:t>
            </w:r>
            <w:r w:rsidR="003B00F3">
              <w:rPr>
                <w:lang w:val="de-DE"/>
              </w:rPr>
              <w:t>"</w:t>
            </w:r>
            <w:r w:rsidRPr="003A57B4">
              <w:rPr>
                <w:lang w:val="de-DE"/>
              </w:rPr>
              <w:t>Aa</w:t>
            </w:r>
            <w:r>
              <w:rPr>
                <w:lang w:val="de-DE"/>
              </w:rPr>
              <w:t>"</w:t>
            </w:r>
            <w:r w:rsidRPr="003A57B4">
              <w:rPr>
                <w:lang w:val="de-DE"/>
              </w:rPr>
              <w:t xml:space="preserve"> bis </w:t>
            </w:r>
            <w:r w:rsidR="003B00F3">
              <w:rPr>
                <w:lang w:val="de-DE"/>
              </w:rPr>
              <w:t>"</w:t>
            </w:r>
            <w:r w:rsidRPr="003A57B4">
              <w:rPr>
                <w:lang w:val="de-DE"/>
              </w:rPr>
              <w:t>Caa</w:t>
            </w:r>
            <w:r>
              <w:rPr>
                <w:lang w:val="de-DE"/>
              </w:rPr>
              <w:t>"</w:t>
            </w:r>
            <w:r w:rsidRPr="003A57B4">
              <w:rPr>
                <w:lang w:val="de-DE"/>
              </w:rPr>
              <w:t xml:space="preserve"> numerische Zusätze (1, 2 und 3). Der Zusatz 1 weist darauf hin, dass die jeweiligen Verbindlichkeiten zum oberen Bereich der jeweiligen Rating-Kategorie gehört, während der Zusatz 2 auf eine Klassifizierung im mittleren Bereich und der Zusatz 3 auf eine solche im unteren Bereich hinweist.</w:t>
            </w:r>
          </w:p>
        </w:tc>
      </w:tr>
      <w:tr w:rsidTr="005A78B7">
        <w:tblPrEx>
          <w:tblW w:w="5000" w:type="pct"/>
          <w:tblLook w:val="04A0"/>
        </w:tblPrEx>
        <w:tc>
          <w:tcPr>
            <w:tcW w:w="2500" w:type="pct"/>
            <w:tcBorders>
              <w:top w:val="nil"/>
              <w:left w:val="nil"/>
              <w:bottom w:val="nil"/>
            </w:tcBorders>
          </w:tcPr>
          <w:p w:rsidR="009C0D7E" w:rsidRPr="006300DE" w:rsidP="005A78B7">
            <w:pPr>
              <w:pStyle w:val="CSBody0"/>
            </w:pPr>
            <w:r w:rsidRPr="003A57B4">
              <w:t xml:space="preserve">Each of S&amp;P and Fitch is established in the European Union and registered under Regulation (EC) No. 1060/2009 (as amended) (the </w:t>
            </w:r>
            <w:r w:rsidRPr="00D0330B" w:rsidR="00D0330B">
              <w:t>"</w:t>
            </w:r>
            <w:r w:rsidRPr="003A57B4">
              <w:rPr>
                <w:b/>
              </w:rPr>
              <w:t>CRA Regulation</w:t>
            </w:r>
            <w:r w:rsidRPr="00D0330B" w:rsidR="00D0330B">
              <w:rPr>
                <w:b/>
              </w:rPr>
              <w:t>"</w:t>
            </w:r>
            <w:r w:rsidRPr="003A57B4">
              <w:t>). Moody’s is not established in the European Union and has not applied for registra-tion under the CRA Regulation.</w:t>
            </w:r>
          </w:p>
        </w:tc>
        <w:tc>
          <w:tcPr>
            <w:tcW w:w="2500" w:type="pct"/>
            <w:tcBorders>
              <w:top w:val="nil"/>
              <w:bottom w:val="nil"/>
              <w:right w:val="nil"/>
            </w:tcBorders>
          </w:tcPr>
          <w:p w:rsidR="009C0D7E" w:rsidRPr="006300DE" w:rsidP="005A78B7">
            <w:pPr>
              <w:pStyle w:val="CSBody0"/>
              <w:rPr>
                <w:bCs/>
                <w:lang w:val="de-DE"/>
              </w:rPr>
            </w:pPr>
            <w:r w:rsidRPr="003A57B4">
              <w:rPr>
                <w:lang w:val="de-DE"/>
              </w:rPr>
              <w:t xml:space="preserve">S&amp;P und Fitch haben beide ihren Sitz in der Europäischen Union und sind nach der Verordnung (EG) Nr. 1060/2009 (in ihrer jeweils geltenden Fassung) (die </w:t>
            </w:r>
            <w:r>
              <w:rPr>
                <w:lang w:val="de-DE"/>
              </w:rPr>
              <w:t>"</w:t>
            </w:r>
            <w:r w:rsidRPr="003A57B4">
              <w:rPr>
                <w:b/>
                <w:lang w:val="de-DE"/>
              </w:rPr>
              <w:t>Verordnung über Ratingagenturen</w:t>
            </w:r>
            <w:r>
              <w:rPr>
                <w:lang w:val="de-DE"/>
              </w:rPr>
              <w:t>"</w:t>
            </w:r>
            <w:r w:rsidRPr="003A57B4">
              <w:rPr>
                <w:lang w:val="de-DE"/>
              </w:rPr>
              <w:t>) registriert. Moody's hat ihren Sitz nicht in der Europäischen Union und hat eine Registrierung gemäss der Verordnung über Ratingagenturen nicht beantragt.</w:t>
            </w:r>
          </w:p>
        </w:tc>
      </w:tr>
      <w:tr w:rsidTr="005A78B7">
        <w:tblPrEx>
          <w:tblW w:w="5000" w:type="pct"/>
          <w:tblLook w:val="04A0"/>
        </w:tblPrEx>
        <w:tc>
          <w:tcPr>
            <w:tcW w:w="2500" w:type="pct"/>
            <w:tcBorders>
              <w:top w:val="nil"/>
              <w:left w:val="nil"/>
              <w:bottom w:val="nil"/>
            </w:tcBorders>
          </w:tcPr>
          <w:p w:rsidR="009C0D7E" w:rsidRPr="00CA4F4B">
            <w:pPr>
              <w:pStyle w:val="CSBody0"/>
            </w:pPr>
            <w:r w:rsidRPr="00CA4F4B">
              <w:t xml:space="preserve">Subject to the fulfilment of the conditions set out in Article 4(3) of the CRA Regulation, a credit rating agency established in the European Union and registered in accordance with the CRA Regulation (an </w:t>
            </w:r>
            <w:r w:rsidRPr="00D0330B" w:rsidR="00D0330B">
              <w:t>"</w:t>
            </w:r>
            <w:r w:rsidRPr="00CA4F4B">
              <w:rPr>
                <w:b/>
              </w:rPr>
              <w:t>EU CRA</w:t>
            </w:r>
            <w:r w:rsidRPr="00D0330B" w:rsidR="00D0330B">
              <w:rPr>
                <w:b/>
              </w:rPr>
              <w:t>"</w:t>
            </w:r>
            <w:r w:rsidRPr="00CA4F4B">
              <w:t xml:space="preserve">) may endorse (for regulatory purposes in the European Union) credit ratings issued outside the European Union where (i) the credit rating activities resulting in the issuing of the credit rating are undertaken in whole or in part by </w:t>
            </w:r>
            <w:r>
              <w:t xml:space="preserve">a </w:t>
            </w:r>
            <w:r w:rsidRPr="00CA4F4B">
              <w:t xml:space="preserve">credit rating agency or credit rating agencies belonging to the same group (a </w:t>
            </w:r>
            <w:r w:rsidRPr="00D0330B" w:rsidR="00D0330B">
              <w:t>"</w:t>
            </w:r>
            <w:r w:rsidRPr="00CA4F4B">
              <w:rPr>
                <w:b/>
              </w:rPr>
              <w:t>non-EU CRA</w:t>
            </w:r>
            <w:r w:rsidRPr="00D0330B" w:rsidR="00D0330B">
              <w:rPr>
                <w:b/>
              </w:rPr>
              <w:t>"</w:t>
            </w:r>
            <w:r w:rsidRPr="00CA4F4B">
              <w:t xml:space="preserve">); and (ii) the EU CRA has verified and is able to demonstrate on an ongoing basis to ESMA that the conduct of the credit rating activities by the non-EU CRA resulting in the issuing of the credit rating to be endorsed fulfils requirements which are </w:t>
            </w:r>
            <w:r>
              <w:t>"</w:t>
            </w:r>
            <w:r w:rsidRPr="00CA4F4B">
              <w:t>at least as stringent as</w:t>
            </w:r>
            <w:r>
              <w:t>"</w:t>
            </w:r>
            <w:r w:rsidRPr="00CA4F4B">
              <w:t xml:space="preserve"> the requirements of the CRA Regulation. </w:t>
            </w:r>
            <w:r>
              <w:t xml:space="preserve">Commission Implementing Decision 2012/628/EU provides that the United States legal and supervisory framework for credit rating agencies shall be considered as equivalent to </w:t>
            </w:r>
            <w:r w:rsidRPr="00CA4F4B">
              <w:t xml:space="preserve">the requirements of the CRA Regulation. Moody's Investors Service Limited (which </w:t>
            </w:r>
            <w:r>
              <w:t>ha</w:t>
            </w:r>
            <w:r w:rsidRPr="00CA4F4B">
              <w:t xml:space="preserve">s </w:t>
            </w:r>
            <w:r>
              <w:t xml:space="preserve">been </w:t>
            </w:r>
            <w:r w:rsidRPr="00CA4F4B">
              <w:t>registered under the CRA Regulation</w:t>
            </w:r>
            <w:r>
              <w:t xml:space="preserve"> and appears on the list of registered credit rating agencies on ESMA's website – http://www.esma.europa.eu/page/List-registered-and-certified-CRAs</w:t>
            </w:r>
            <w:r w:rsidRPr="00CA4F4B">
              <w:t>) currently endorses credit ratings issued by Moody's for regulatory purposes in the European Union. There can be no assurance that Moody’s Investors Service Limited will continue to endorse credit ratings issued by Moody’s.</w:t>
            </w:r>
          </w:p>
        </w:tc>
        <w:tc>
          <w:tcPr>
            <w:tcW w:w="2500" w:type="pct"/>
            <w:tcBorders>
              <w:top w:val="nil"/>
              <w:bottom w:val="nil"/>
              <w:right w:val="nil"/>
            </w:tcBorders>
          </w:tcPr>
          <w:p w:rsidR="009C0D7E" w:rsidRPr="00CA4F4B">
            <w:pPr>
              <w:pStyle w:val="CSBody0"/>
              <w:rPr>
                <w:bCs/>
                <w:lang w:val="de-DE"/>
              </w:rPr>
            </w:pPr>
            <w:r w:rsidRPr="00CA4F4B">
              <w:rPr>
                <w:lang w:val="de-CH"/>
              </w:rPr>
              <w:t>Vorausgesetzt die in Artikel 4(3) der Verordnung über Ratinagenturen beschriebenen Bedingungen sind erfüllt, kann eine Ratingagentur mit Sitz in der Europäischen Union, welche gemä</w:t>
            </w:r>
            <w:r>
              <w:rPr>
                <w:lang w:val="de-CH"/>
              </w:rPr>
              <w:t>ss</w:t>
            </w:r>
            <w:r w:rsidRPr="00CA4F4B">
              <w:rPr>
                <w:lang w:val="de-CH"/>
              </w:rPr>
              <w:t xml:space="preserve"> der Verordnung über Ratingagenturen registriert ist (eine </w:t>
            </w:r>
            <w:r w:rsidRPr="00D0330B" w:rsidR="00D0330B">
              <w:rPr>
                <w:lang w:val="de-CH"/>
              </w:rPr>
              <w:t>"</w:t>
            </w:r>
            <w:r w:rsidRPr="00CA4F4B">
              <w:rPr>
                <w:b/>
                <w:lang w:val="de-CH"/>
              </w:rPr>
              <w:t>EU-Ratingagentur</w:t>
            </w:r>
            <w:r w:rsidRPr="00D0330B" w:rsidR="00D0330B">
              <w:rPr>
                <w:b/>
                <w:lang w:val="de-CH"/>
              </w:rPr>
              <w:t>"</w:t>
            </w:r>
            <w:r w:rsidRPr="00CA4F4B">
              <w:rPr>
                <w:lang w:val="de-CH"/>
              </w:rPr>
              <w:t xml:space="preserve">), ein ausserhalb der Europäischen Union abgegebenes Rating (für aufsichtsrechtliche Zwecke innerhalb der Europäischen Union) übernehmen, wenn (i) die der Abgabe dieses Ratings zugrunde liegenden Ratingtätigkeiten ganz oder teilweise von </w:t>
            </w:r>
            <w:r>
              <w:rPr>
                <w:lang w:val="de-CH"/>
              </w:rPr>
              <w:t xml:space="preserve">einer </w:t>
            </w:r>
            <w:r w:rsidRPr="00CA4F4B">
              <w:rPr>
                <w:lang w:val="de-CH"/>
              </w:rPr>
              <w:t xml:space="preserve">Ratingagentur oder mehreren derselben Gruppe angehörenden Ratingagenturen durchgeführt werden (eine </w:t>
            </w:r>
            <w:r w:rsidRPr="00D0330B" w:rsidR="00D0330B">
              <w:rPr>
                <w:lang w:val="de-CH"/>
              </w:rPr>
              <w:t>"</w:t>
            </w:r>
            <w:r w:rsidRPr="00CA4F4B">
              <w:rPr>
                <w:b/>
                <w:lang w:val="de-CH"/>
              </w:rPr>
              <w:t>Nicht-EU-Ratingagentur</w:t>
            </w:r>
            <w:r w:rsidRPr="00D0330B" w:rsidR="00D0330B">
              <w:rPr>
                <w:b/>
                <w:lang w:val="de-CH"/>
              </w:rPr>
              <w:t>"</w:t>
            </w:r>
            <w:r w:rsidRPr="00CA4F4B">
              <w:rPr>
                <w:lang w:val="de-CH"/>
              </w:rPr>
              <w:t xml:space="preserve">); und (ii) die EU-Ratingagentur überprüft hat und gegenüber der ESMA ständig nachweisen kann, dass die der Abgabe des zu übernehmenden Ratings zugrunde liegenden Ratingtätigkeiten der Nicht-EU-Ratingagentur Anforderungen genügen, die mindestens so streng sind wie die Anforderungen der Verordnung über Ratingagenturen. </w:t>
            </w:r>
            <w:r>
              <w:rPr>
                <w:lang w:val="de-CH"/>
              </w:rPr>
              <w:t xml:space="preserve">Der Durchführungsbeschluss der Kommission 2012/628/EU bestimmt, dass der US-amerikanische </w:t>
            </w:r>
            <w:r w:rsidRPr="00CA4F4B">
              <w:rPr>
                <w:lang w:val="de-CH"/>
              </w:rPr>
              <w:t xml:space="preserve">Regelungs- und Kontrollrahmen für Ratingagenturen </w:t>
            </w:r>
            <w:r>
              <w:rPr>
                <w:lang w:val="de-CH"/>
              </w:rPr>
              <w:t>als gleichwertig mit den Anforderungen d</w:t>
            </w:r>
            <w:r w:rsidRPr="00CA4F4B">
              <w:rPr>
                <w:lang w:val="de-CH"/>
              </w:rPr>
              <w:t>er Verordnung über Ratingagenturen</w:t>
            </w:r>
            <w:r>
              <w:rPr>
                <w:lang w:val="de-CH"/>
              </w:rPr>
              <w:t xml:space="preserve"> anzusehen ist.</w:t>
            </w:r>
            <w:r w:rsidRPr="00CA4F4B">
              <w:rPr>
                <w:lang w:val="de-CH"/>
              </w:rPr>
              <w:t xml:space="preserve"> Moody's Investors Service Limited (die nach der Verordnung über Ratingagenturen registriert </w:t>
            </w:r>
            <w:r>
              <w:rPr>
                <w:lang w:val="de-CH"/>
              </w:rPr>
              <w:t xml:space="preserve">wurde und auf der Liste der registrierten Ratingagenturen auf der Website von ESMA geführt wird - </w:t>
            </w:r>
            <w:r w:rsidRPr="00A04318">
              <w:rPr>
                <w:lang w:val="de-CH"/>
              </w:rPr>
              <w:t>http://www.esma.europa.eu/page/List-registered-and-certified-CRAs</w:t>
            </w:r>
            <w:r w:rsidRPr="00CA4F4B">
              <w:rPr>
                <w:lang w:val="de-CH"/>
              </w:rPr>
              <w:t>) übernimmt derzeit die für aufsichtsrechtliche Zwecke in der Europäischen Union vergebenen Ratings der Moody's. Es kann keine Zusicherung dahingehend abgegeben werden, dass Moody’s Investors Service Limited die von der Moody’s. vergebenen Ratings weiterhin übernehmen wird.</w:t>
            </w:r>
          </w:p>
        </w:tc>
      </w:tr>
      <w:tr w:rsidTr="005A78B7">
        <w:tblPrEx>
          <w:tblW w:w="5000" w:type="pct"/>
          <w:tblLook w:val="04A0"/>
        </w:tblPrEx>
        <w:tc>
          <w:tcPr>
            <w:tcW w:w="2500" w:type="pct"/>
            <w:tcBorders>
              <w:top w:val="nil"/>
              <w:left w:val="nil"/>
              <w:bottom w:val="nil"/>
            </w:tcBorders>
          </w:tcPr>
          <w:p w:rsidR="009C0D7E" w:rsidRPr="00CA4F4B" w:rsidP="005A78B7">
            <w:pPr>
              <w:pStyle w:val="CSBody0"/>
            </w:pPr>
            <w:r w:rsidRPr="00CA4F4B">
              <w:t>A security rating is not a recommendation to buy, sell or hold securities and may be subject to suspension, reduction or withdrawal at any time by the assigning rating agency.</w:t>
            </w:r>
          </w:p>
        </w:tc>
        <w:tc>
          <w:tcPr>
            <w:tcW w:w="2500" w:type="pct"/>
            <w:tcBorders>
              <w:top w:val="nil"/>
              <w:bottom w:val="nil"/>
              <w:right w:val="nil"/>
            </w:tcBorders>
          </w:tcPr>
          <w:p w:rsidR="009C0D7E" w:rsidRPr="00CA4F4B" w:rsidP="005A78B7">
            <w:pPr>
              <w:pStyle w:val="CSBody0"/>
              <w:rPr>
                <w:lang w:val="de-DE"/>
              </w:rPr>
            </w:pPr>
            <w:r w:rsidRPr="00CA4F4B">
              <w:rPr>
                <w:lang w:val="de-DE"/>
              </w:rPr>
              <w:t>Ein Wertpapierrating stellt keine Empfehlung dar, Wertpapiere zu kaufen, zu verkaufen oder zu halten und kann jederzeit von der jeweiligen Ratingagentur ausgesetzt, geändert oder zurückgenommen werden.</w:t>
            </w:r>
          </w:p>
        </w:tc>
      </w:tr>
      <w:tr w:rsidTr="005A78B7">
        <w:tblPrEx>
          <w:tblW w:w="5000" w:type="pct"/>
          <w:tblLook w:val="01E0"/>
        </w:tblPrEx>
        <w:tc>
          <w:tcPr>
            <w:tcW w:w="2500" w:type="pct"/>
            <w:tcBorders>
              <w:top w:val="nil"/>
              <w:left w:val="nil"/>
              <w:bottom w:val="nil"/>
            </w:tcBorders>
          </w:tcPr>
          <w:p w:rsidR="009C0D7E" w:rsidRPr="00CA4F4B" w:rsidP="005A78B7">
            <w:pPr>
              <w:pStyle w:val="CSBody0"/>
            </w:pPr>
            <w:r w:rsidRPr="00CA4F4B">
              <w:rPr>
                <w:b/>
              </w:rPr>
              <w:t>Significant or Material Change</w:t>
            </w:r>
          </w:p>
        </w:tc>
        <w:tc>
          <w:tcPr>
            <w:tcW w:w="2500" w:type="pct"/>
            <w:tcBorders>
              <w:top w:val="nil"/>
              <w:bottom w:val="nil"/>
              <w:right w:val="nil"/>
            </w:tcBorders>
          </w:tcPr>
          <w:p w:rsidR="009C0D7E" w:rsidRPr="00CA4F4B" w:rsidP="005A78B7">
            <w:pPr>
              <w:pStyle w:val="CSBody0"/>
            </w:pPr>
            <w:r w:rsidRPr="00CA4F4B">
              <w:rPr>
                <w:b/>
              </w:rPr>
              <w:t>Bedeutende oder wesentliche Änderungen</w:t>
            </w:r>
          </w:p>
        </w:tc>
      </w:tr>
      <w:tr w:rsidTr="005A78B7">
        <w:tblPrEx>
          <w:tblW w:w="5000" w:type="pct"/>
          <w:tblLook w:val="01E0"/>
        </w:tblPrEx>
        <w:tc>
          <w:tcPr>
            <w:tcW w:w="2500" w:type="pct"/>
            <w:tcBorders>
              <w:top w:val="nil"/>
              <w:left w:val="nil"/>
              <w:bottom w:val="nil"/>
            </w:tcBorders>
          </w:tcPr>
          <w:p w:rsidR="009C0D7E" w:rsidRPr="00E662A8" w:rsidP="005A78B7">
            <w:pPr>
              <w:pStyle w:val="CSBody0"/>
            </w:pPr>
            <w:r>
              <w:t>There</w:t>
            </w:r>
            <w:r w:rsidRPr="00E662A8">
              <w:t xml:space="preserve"> has been no significant change in the financial or trading position of Credit Suisse (including its </w:t>
            </w:r>
            <w:r w:rsidRPr="00C15652">
              <w:t>consolidated</w:t>
            </w:r>
            <w:r>
              <w:t xml:space="preserve"> </w:t>
            </w:r>
            <w:r w:rsidRPr="00E662A8">
              <w:t xml:space="preserve">subsidiaries) since </w:t>
            </w:r>
            <w:r>
              <w:t>30 September 2015</w:t>
            </w:r>
            <w:r w:rsidRPr="00C05CA3">
              <w:t xml:space="preserve">, </w:t>
            </w:r>
            <w:r w:rsidRPr="00E662A8">
              <w:t xml:space="preserve">and there has been no material adverse change in the prospects of Credit Suisse (including its </w:t>
            </w:r>
            <w:r w:rsidRPr="00C15652">
              <w:t>consolidated</w:t>
            </w:r>
            <w:r>
              <w:t xml:space="preserve"> </w:t>
            </w:r>
            <w:r w:rsidRPr="00E662A8">
              <w:t>subsidiaries) since 31 December 201</w:t>
            </w:r>
            <w:r>
              <w:t>4</w:t>
            </w:r>
            <w:r w:rsidRPr="00E662A8">
              <w:t>.</w:t>
            </w:r>
          </w:p>
        </w:tc>
        <w:tc>
          <w:tcPr>
            <w:tcW w:w="2500" w:type="pct"/>
            <w:tcBorders>
              <w:top w:val="nil"/>
              <w:bottom w:val="nil"/>
              <w:right w:val="nil"/>
            </w:tcBorders>
          </w:tcPr>
          <w:p w:rsidR="009C0D7E" w:rsidRPr="00890CC8" w:rsidP="005A78B7">
            <w:pPr>
              <w:pStyle w:val="CSBody0"/>
              <w:rPr>
                <w:lang w:val="de-DE"/>
              </w:rPr>
            </w:pPr>
            <w:r w:rsidRPr="00620591">
              <w:rPr>
                <w:lang w:val="de-DE"/>
              </w:rPr>
              <w:t xml:space="preserve">Es ist seit dem </w:t>
            </w:r>
            <w:r>
              <w:rPr>
                <w:lang w:val="de-DE"/>
              </w:rPr>
              <w:t>30</w:t>
            </w:r>
            <w:r w:rsidRPr="00620591">
              <w:rPr>
                <w:lang w:val="de-DE"/>
              </w:rPr>
              <w:t>. </w:t>
            </w:r>
            <w:r>
              <w:rPr>
                <w:lang w:val="de-DE"/>
              </w:rPr>
              <w:t>September</w:t>
            </w:r>
            <w:r w:rsidRPr="00A04318">
              <w:rPr>
                <w:lang w:val="de-DE"/>
              </w:rPr>
              <w:t> 201</w:t>
            </w:r>
            <w:r w:rsidRPr="002B2A24">
              <w:rPr>
                <w:lang w:val="de-DE"/>
              </w:rPr>
              <w:t>5</w:t>
            </w:r>
            <w:r w:rsidRPr="00A04318">
              <w:rPr>
                <w:lang w:val="de-DE"/>
              </w:rPr>
              <w:t xml:space="preserve"> keine wesentliche Veränderung in der Finanzlage bzw. der Handelsposition der Credit Suisse (einsc</w:t>
            </w:r>
            <w:r w:rsidRPr="007169B9">
              <w:rPr>
                <w:lang w:val="de-DE"/>
              </w:rPr>
              <w:t xml:space="preserve">hliesslich ihrer </w:t>
            </w:r>
            <w:r w:rsidRPr="00C15652">
              <w:rPr>
                <w:lang w:val="de-DE"/>
              </w:rPr>
              <w:t>konsolidierten</w:t>
            </w:r>
            <w:r>
              <w:rPr>
                <w:lang w:val="de-DE"/>
              </w:rPr>
              <w:t xml:space="preserve"> </w:t>
            </w:r>
            <w:r w:rsidRPr="007169B9">
              <w:rPr>
                <w:lang w:val="de-DE"/>
              </w:rPr>
              <w:t>Tochtergesellschaften) eingetreten und seit dem 31. Dezember 201</w:t>
            </w:r>
            <w:r>
              <w:rPr>
                <w:lang w:val="de-DE"/>
              </w:rPr>
              <w:t>4</w:t>
            </w:r>
            <w:r w:rsidRPr="007169B9">
              <w:rPr>
                <w:lang w:val="de-DE"/>
              </w:rPr>
              <w:t xml:space="preserve"> keine wesentliche negative Veränderung in den Aussichten der Credit Suisse (einschliesslich ihrer </w:t>
            </w:r>
            <w:r w:rsidRPr="00C15652">
              <w:rPr>
                <w:lang w:val="de-DE"/>
              </w:rPr>
              <w:t>konsolidierten</w:t>
            </w:r>
            <w:r>
              <w:rPr>
                <w:lang w:val="de-DE"/>
              </w:rPr>
              <w:t xml:space="preserve"> </w:t>
            </w:r>
            <w:r w:rsidRPr="007169B9">
              <w:rPr>
                <w:lang w:val="de-DE"/>
              </w:rPr>
              <w:t>Tochtergesellschaften) eingetreten.</w:t>
            </w:r>
          </w:p>
        </w:tc>
      </w:tr>
      <w:tr w:rsidTr="005A78B7">
        <w:tblPrEx>
          <w:tblW w:w="5000" w:type="pct"/>
          <w:tblLook w:val="01E0"/>
        </w:tblPrEx>
        <w:tc>
          <w:tcPr>
            <w:tcW w:w="2500" w:type="pct"/>
            <w:tcBorders>
              <w:top w:val="nil"/>
              <w:left w:val="nil"/>
              <w:bottom w:val="nil"/>
            </w:tcBorders>
          </w:tcPr>
          <w:p w:rsidR="009C0D7E" w:rsidRPr="00454BA8" w:rsidP="005A78B7">
            <w:pPr>
              <w:pStyle w:val="CSBody10ptbold"/>
            </w:pPr>
            <w:r w:rsidRPr="00B55BCC">
              <w:rPr>
                <w:sz w:val="18"/>
                <w:szCs w:val="18"/>
              </w:rPr>
              <w:t>Legal Proceedings</w:t>
            </w:r>
          </w:p>
        </w:tc>
        <w:tc>
          <w:tcPr>
            <w:tcW w:w="2500" w:type="pct"/>
            <w:tcBorders>
              <w:top w:val="nil"/>
              <w:bottom w:val="nil"/>
              <w:right w:val="nil"/>
            </w:tcBorders>
          </w:tcPr>
          <w:p w:rsidR="009C0D7E" w:rsidRPr="00454BA8" w:rsidP="005A78B7">
            <w:pPr>
              <w:pStyle w:val="CSBody10ptbold"/>
            </w:pPr>
            <w:r w:rsidRPr="00B55BCC">
              <w:rPr>
                <w:sz w:val="18"/>
                <w:szCs w:val="18"/>
              </w:rPr>
              <w:t>Rechtsstreitigkeiten</w:t>
            </w:r>
          </w:p>
        </w:tc>
      </w:tr>
      <w:tr w:rsidTr="005A78B7">
        <w:tblPrEx>
          <w:tblW w:w="5000" w:type="pct"/>
          <w:tblLook w:val="01E0"/>
        </w:tblPrEx>
        <w:tc>
          <w:tcPr>
            <w:tcW w:w="2500" w:type="pct"/>
            <w:tcBorders>
              <w:top w:val="nil"/>
              <w:left w:val="nil"/>
              <w:bottom w:val="nil"/>
            </w:tcBorders>
          </w:tcPr>
          <w:p w:rsidR="009C0D7E" w:rsidRPr="00CA4F4B" w:rsidP="005A78B7">
            <w:pPr>
              <w:pStyle w:val="CSBody0"/>
            </w:pPr>
            <w:r w:rsidRPr="00CA4F4B">
              <w:t xml:space="preserve">As of the date of the Base Prospectus and save as disclosed under </w:t>
            </w:r>
            <w:r>
              <w:t>"</w:t>
            </w:r>
            <w:r w:rsidRPr="00CA4F4B">
              <w:rPr>
                <w:i/>
              </w:rPr>
              <w:t>Description of the Issuer—Legal Proceedings</w:t>
            </w:r>
            <w:r>
              <w:t>"</w:t>
            </w:r>
            <w:r w:rsidRPr="00CA4F4B">
              <w:t xml:space="preserve">, Credit Suisse and its </w:t>
            </w:r>
            <w:r w:rsidRPr="00C15652">
              <w:t>consolidated</w:t>
            </w:r>
            <w:r>
              <w:t xml:space="preserve"> </w:t>
            </w:r>
            <w:r w:rsidRPr="00CA4F4B">
              <w:t xml:space="preserve">subsidiaries are not and have not been involved in any governmental, legal or arbitration proceedings (including any such proceedings which are pending or threatened of which Credit Suisse is aware) in the 12 months preceding the date of the Base Prospectus which may have or have in such period had a significant effect on the financial position or profitability of Credit Suisse (including its </w:t>
            </w:r>
            <w:r w:rsidRPr="00C15652">
              <w:t>consolidated</w:t>
            </w:r>
            <w:r>
              <w:t xml:space="preserve"> </w:t>
            </w:r>
            <w:r w:rsidRPr="00CA4F4B">
              <w:t>subsidiaries).</w:t>
            </w:r>
          </w:p>
        </w:tc>
        <w:tc>
          <w:tcPr>
            <w:tcW w:w="2500" w:type="pct"/>
            <w:tcBorders>
              <w:top w:val="nil"/>
              <w:bottom w:val="nil"/>
              <w:right w:val="nil"/>
            </w:tcBorders>
          </w:tcPr>
          <w:p w:rsidR="009C0D7E" w:rsidRPr="00CA4F4B" w:rsidP="005A78B7">
            <w:pPr>
              <w:pStyle w:val="CSBody0"/>
              <w:rPr>
                <w:lang w:val="de-DE"/>
              </w:rPr>
            </w:pPr>
            <w:r w:rsidRPr="00424A57">
              <w:rPr>
                <w:lang w:val="de-DE"/>
              </w:rPr>
              <w:t xml:space="preserve">Zum Datum des Basisprospekts und mit Ausnahme der im Abschnitt </w:t>
            </w:r>
            <w:r>
              <w:rPr>
                <w:lang w:val="de-DE"/>
              </w:rPr>
              <w:t>"</w:t>
            </w:r>
            <w:r w:rsidRPr="00424A57">
              <w:rPr>
                <w:i/>
                <w:lang w:val="de-DE"/>
              </w:rPr>
              <w:t>Beschreibung der Emittentin—Rechtsstreitig-keiten</w:t>
            </w:r>
            <w:r>
              <w:rPr>
                <w:lang w:val="de-DE"/>
              </w:rPr>
              <w:t>"</w:t>
            </w:r>
            <w:r w:rsidRPr="00424A57">
              <w:rPr>
                <w:lang w:val="de-DE"/>
              </w:rPr>
              <w:t xml:space="preserve"> offengele</w:t>
            </w:r>
            <w:r w:rsidRPr="00CA4F4B">
              <w:rPr>
                <w:lang w:val="de-DE"/>
              </w:rPr>
              <w:t xml:space="preserve">gten Verfahren sind bzw. waren Credit Suisse und ihre </w:t>
            </w:r>
            <w:r w:rsidRPr="00C15652">
              <w:rPr>
                <w:lang w:val="de-DE"/>
              </w:rPr>
              <w:t>konsolidierten</w:t>
            </w:r>
            <w:r>
              <w:rPr>
                <w:lang w:val="de-DE"/>
              </w:rPr>
              <w:t xml:space="preserve"> </w:t>
            </w:r>
            <w:r w:rsidRPr="00CA4F4B">
              <w:rPr>
                <w:lang w:val="de-DE"/>
              </w:rPr>
              <w:t>Tochter</w:t>
            </w:r>
            <w:r w:rsidRPr="00CA4F4B">
              <w:rPr>
                <w:lang w:val="de-DE"/>
              </w:rPr>
              <w:softHyphen/>
              <w:t>gesellschaften in den letzten 12 Monaten vor dem Datum des Basisprospekts in keine behördlichen, gerichtlichen oder schiedsgerichtlichen Verfahren involviert (einschliesslich der Verfahren, die nach Kenntnis der Credit Suisse anhängig bzw. angedroht sind), die sich in Zukunft erheblich auf die Finanzlage oder die Rentabilität der Credit Suisse (ein</w:t>
            </w:r>
            <w:r w:rsidRPr="00CA4F4B">
              <w:rPr>
                <w:lang w:val="de-DE"/>
              </w:rPr>
              <w:softHyphen/>
              <w:t xml:space="preserve">schliesslich ihrer </w:t>
            </w:r>
            <w:r w:rsidRPr="00C15652">
              <w:rPr>
                <w:lang w:val="de-DE"/>
              </w:rPr>
              <w:t>konsolidierten</w:t>
            </w:r>
            <w:r>
              <w:rPr>
                <w:lang w:val="de-DE"/>
              </w:rPr>
              <w:t xml:space="preserve"> </w:t>
            </w:r>
            <w:r w:rsidRPr="00CA4F4B">
              <w:rPr>
                <w:lang w:val="de-DE"/>
              </w:rPr>
              <w:t>Tochter</w:t>
            </w:r>
            <w:r w:rsidRPr="00CA4F4B">
              <w:rPr>
                <w:lang w:val="de-DE"/>
              </w:rPr>
              <w:softHyphen/>
              <w:t xml:space="preserve">gesellschaften) auswirken werden bzw. sich in den 12 Monaten vor dem Datum des Basisprospekts erheblich auf die Finanzlage oder die Rentabilität der Credit Suisse (einschliesslich ihrer </w:t>
            </w:r>
            <w:r w:rsidRPr="00C15652">
              <w:rPr>
                <w:lang w:val="de-DE"/>
              </w:rPr>
              <w:t>konsolidierten</w:t>
            </w:r>
            <w:r>
              <w:rPr>
                <w:lang w:val="de-DE"/>
              </w:rPr>
              <w:t xml:space="preserve"> </w:t>
            </w:r>
            <w:r w:rsidRPr="00CA4F4B">
              <w:rPr>
                <w:lang w:val="de-DE"/>
              </w:rPr>
              <w:t>Tochter</w:t>
            </w:r>
            <w:r w:rsidRPr="00CA4F4B">
              <w:rPr>
                <w:lang w:val="de-DE"/>
              </w:rPr>
              <w:softHyphen/>
              <w:t>gesellschaften) ausgewirkt haben.</w:t>
            </w:r>
          </w:p>
        </w:tc>
      </w:tr>
      <w:tr w:rsidTr="005A78B7">
        <w:tblPrEx>
          <w:tblW w:w="5000" w:type="pct"/>
          <w:tblLook w:val="01E0"/>
        </w:tblPrEx>
        <w:tc>
          <w:tcPr>
            <w:tcW w:w="2500" w:type="pct"/>
            <w:tcBorders>
              <w:top w:val="nil"/>
              <w:left w:val="nil"/>
              <w:bottom w:val="nil"/>
            </w:tcBorders>
          </w:tcPr>
          <w:p w:rsidR="009C0D7E" w:rsidRPr="00CA4F4B" w:rsidP="005A78B7">
            <w:pPr>
              <w:pStyle w:val="CSBody0"/>
            </w:pPr>
            <w:r w:rsidRPr="00CA4F4B">
              <w:rPr>
                <w:b/>
              </w:rPr>
              <w:t>Representative</w:t>
            </w:r>
          </w:p>
        </w:tc>
        <w:tc>
          <w:tcPr>
            <w:tcW w:w="2500" w:type="pct"/>
            <w:tcBorders>
              <w:top w:val="nil"/>
              <w:bottom w:val="nil"/>
              <w:right w:val="nil"/>
            </w:tcBorders>
          </w:tcPr>
          <w:p w:rsidR="009C0D7E" w:rsidRPr="00CA4F4B" w:rsidP="005A78B7">
            <w:pPr>
              <w:pStyle w:val="CSBody0"/>
            </w:pPr>
            <w:r w:rsidRPr="00CA4F4B">
              <w:rPr>
                <w:b/>
              </w:rPr>
              <w:t>Vertreter</w:t>
            </w:r>
          </w:p>
        </w:tc>
      </w:tr>
      <w:tr w:rsidTr="005A78B7">
        <w:tblPrEx>
          <w:tblW w:w="5000" w:type="pct"/>
          <w:tblLook w:val="01E0"/>
        </w:tblPrEx>
        <w:tc>
          <w:tcPr>
            <w:tcW w:w="2500" w:type="pct"/>
            <w:tcBorders>
              <w:top w:val="nil"/>
              <w:left w:val="nil"/>
              <w:bottom w:val="nil"/>
            </w:tcBorders>
          </w:tcPr>
          <w:p w:rsidR="009C0D7E" w:rsidRPr="00CA4F4B" w:rsidP="005A78B7">
            <w:pPr>
              <w:pStyle w:val="CSBody0"/>
            </w:pPr>
            <w:r w:rsidRPr="00CA4F4B">
              <w:t>In accordance with art. 43 of the Listing Rules of the SIX Swiss Exchange the Issuer has appointed Credit Suisse AG, Paradeplatz 8, 8001 Zurich, Switzerland, as recognised representative to lodge the listing application with the Regulatory Board of the SIX Swiss Exchange.</w:t>
            </w:r>
          </w:p>
        </w:tc>
        <w:tc>
          <w:tcPr>
            <w:tcW w:w="2500" w:type="pct"/>
            <w:tcBorders>
              <w:top w:val="nil"/>
              <w:bottom w:val="nil"/>
              <w:right w:val="nil"/>
            </w:tcBorders>
          </w:tcPr>
          <w:p w:rsidR="009C0D7E" w:rsidRPr="00CA4F4B">
            <w:pPr>
              <w:pStyle w:val="CSBody0"/>
              <w:rPr>
                <w:b/>
                <w:bCs/>
                <w:lang w:val="de-DE"/>
              </w:rPr>
            </w:pPr>
            <w:r w:rsidRPr="00CA4F4B">
              <w:rPr>
                <w:lang w:val="de-DE"/>
              </w:rPr>
              <w:t xml:space="preserve">Die Emittentin hat gemäss </w:t>
            </w:r>
            <w:r>
              <w:rPr>
                <w:lang w:val="de-DE"/>
              </w:rPr>
              <w:t>Art. </w:t>
            </w:r>
            <w:r w:rsidRPr="00CA4F4B">
              <w:rPr>
                <w:lang w:val="de-DE"/>
              </w:rPr>
              <w:t>43 des Kotierungsreglements der SIX Swiss Exchange die Credit Suisse AG, Paradeplatz 8, 8001 Zürich, Schweiz, zum anerkannten Vertreter für die Einreichung des Kotierungsgesuchs beim Regulatory Board der SIX Swiss Exchange bestellt.</w:t>
            </w:r>
          </w:p>
        </w:tc>
      </w:tr>
      <w:tr w:rsidTr="005A78B7">
        <w:tblPrEx>
          <w:tblW w:w="5000" w:type="pct"/>
          <w:tblLook w:val="01E0"/>
        </w:tblPrEx>
        <w:tc>
          <w:tcPr>
            <w:tcW w:w="2500" w:type="pct"/>
            <w:tcBorders>
              <w:top w:val="nil"/>
              <w:left w:val="nil"/>
              <w:bottom w:val="nil"/>
            </w:tcBorders>
          </w:tcPr>
          <w:p w:rsidR="009C0D7E" w:rsidRPr="00CA4F4B" w:rsidP="005A78B7">
            <w:pPr>
              <w:pStyle w:val="CSBody0"/>
              <w:keepNext/>
              <w:ind w:right="173"/>
            </w:pPr>
            <w:r w:rsidRPr="00CA4F4B">
              <w:rPr>
                <w:b/>
              </w:rPr>
              <w:t>Authorisation</w:t>
            </w:r>
          </w:p>
        </w:tc>
        <w:tc>
          <w:tcPr>
            <w:tcW w:w="2500" w:type="pct"/>
            <w:tcBorders>
              <w:top w:val="nil"/>
              <w:bottom w:val="nil"/>
              <w:right w:val="nil"/>
            </w:tcBorders>
          </w:tcPr>
          <w:p w:rsidR="009C0D7E" w:rsidRPr="00CA4F4B" w:rsidP="005A78B7">
            <w:pPr>
              <w:pStyle w:val="CSBody0"/>
              <w:keepNext/>
              <w:ind w:right="173"/>
            </w:pPr>
            <w:r w:rsidRPr="00CA4F4B">
              <w:rPr>
                <w:b/>
              </w:rPr>
              <w:t>Genehmigung</w:t>
            </w:r>
          </w:p>
        </w:tc>
      </w:tr>
      <w:tr w:rsidTr="005A78B7">
        <w:tblPrEx>
          <w:tblW w:w="5000" w:type="pct"/>
          <w:tblLook w:val="01E0"/>
        </w:tblPrEx>
        <w:tc>
          <w:tcPr>
            <w:tcW w:w="2500" w:type="pct"/>
            <w:tcBorders>
              <w:top w:val="nil"/>
              <w:left w:val="nil"/>
              <w:bottom w:val="nil"/>
            </w:tcBorders>
          </w:tcPr>
          <w:p w:rsidR="009C0D7E" w:rsidRPr="00CA4F4B" w:rsidP="005A78B7">
            <w:pPr>
              <w:pStyle w:val="CSBody0"/>
            </w:pPr>
            <w:r w:rsidRPr="00CA4F4B">
              <w:t>The Base Prospectus, its approval by and deposit with BaFin and its registration with the SIX Swiss Exchange and the issuance of Complex Products thereunder were duly authorised by the chief financial officer of Credit Suisse on 30 October 2009.</w:t>
            </w:r>
          </w:p>
        </w:tc>
        <w:tc>
          <w:tcPr>
            <w:tcW w:w="2500" w:type="pct"/>
            <w:tcBorders>
              <w:top w:val="nil"/>
              <w:bottom w:val="nil"/>
              <w:right w:val="nil"/>
            </w:tcBorders>
          </w:tcPr>
          <w:p w:rsidR="009C0D7E" w:rsidRPr="00CA4F4B" w:rsidP="005A78B7">
            <w:pPr>
              <w:pStyle w:val="CSBody0"/>
            </w:pPr>
            <w:r w:rsidRPr="00CA4F4B">
              <w:rPr>
                <w:lang w:val="de-DE"/>
              </w:rPr>
              <w:t>Der Basisprospekt, seine Billigung und Hinterlegung bei der BaFin und seine Registrierung bei der SIX Swiss Exchange AG sowie die Begebung von Komplexen Produkten im Rahmen des Basisprospekts wurden vom Finanzvorstand der Credit Suisse am 30.</w:t>
            </w:r>
            <w:r>
              <w:rPr>
                <w:lang w:val="de-DE"/>
              </w:rPr>
              <w:t> </w:t>
            </w:r>
            <w:r w:rsidRPr="00CA4F4B">
              <w:t>Oktober 2009 ordnungsgemäss genehmigt.</w:t>
            </w:r>
          </w:p>
        </w:tc>
      </w:tr>
      <w:tr w:rsidTr="005A78B7">
        <w:tblPrEx>
          <w:tblW w:w="5000" w:type="pct"/>
          <w:tblLook w:val="01E0"/>
        </w:tblPrEx>
        <w:tc>
          <w:tcPr>
            <w:tcW w:w="2500" w:type="pct"/>
            <w:tcBorders>
              <w:top w:val="nil"/>
              <w:left w:val="nil"/>
              <w:bottom w:val="nil"/>
            </w:tcBorders>
          </w:tcPr>
          <w:p w:rsidR="009C0D7E" w:rsidRPr="00CA4F4B" w:rsidP="005A78B7">
            <w:pPr>
              <w:pStyle w:val="CSBody0"/>
              <w:rPr>
                <w:bCs/>
              </w:rPr>
            </w:pPr>
            <w:r w:rsidRPr="00CA4F4B">
              <w:rPr>
                <w:b/>
              </w:rPr>
              <w:t xml:space="preserve">Information </w:t>
            </w:r>
            <w:r>
              <w:rPr>
                <w:b/>
              </w:rPr>
              <w:t>sourced from</w:t>
            </w:r>
            <w:r w:rsidRPr="00CA4F4B">
              <w:rPr>
                <w:b/>
              </w:rPr>
              <w:t xml:space="preserve"> third parties</w:t>
            </w:r>
          </w:p>
        </w:tc>
        <w:tc>
          <w:tcPr>
            <w:tcW w:w="2500" w:type="pct"/>
            <w:tcBorders>
              <w:top w:val="nil"/>
              <w:bottom w:val="nil"/>
              <w:right w:val="nil"/>
            </w:tcBorders>
          </w:tcPr>
          <w:p w:rsidR="009C0D7E" w:rsidRPr="00CA4F4B" w:rsidP="005A78B7">
            <w:pPr>
              <w:pStyle w:val="CSBody0"/>
            </w:pPr>
            <w:r w:rsidRPr="00CA4F4B">
              <w:rPr>
                <w:b/>
              </w:rPr>
              <w:t xml:space="preserve">Informationen </w:t>
            </w:r>
            <w:r>
              <w:rPr>
                <w:b/>
              </w:rPr>
              <w:t>von Seiten</w:t>
            </w:r>
            <w:r w:rsidRPr="00CA4F4B">
              <w:rPr>
                <w:b/>
              </w:rPr>
              <w:t xml:space="preserve"> Dritte</w:t>
            </w:r>
            <w:r>
              <w:rPr>
                <w:b/>
              </w:rPr>
              <w:t>r</w:t>
            </w:r>
          </w:p>
        </w:tc>
      </w:tr>
      <w:tr w:rsidTr="005A78B7">
        <w:tblPrEx>
          <w:tblW w:w="5000" w:type="pct"/>
          <w:tblLook w:val="01E0"/>
        </w:tblPrEx>
        <w:tc>
          <w:tcPr>
            <w:tcW w:w="2500" w:type="pct"/>
            <w:tcBorders>
              <w:top w:val="nil"/>
              <w:left w:val="nil"/>
              <w:bottom w:val="nil"/>
            </w:tcBorders>
          </w:tcPr>
          <w:p w:rsidR="009C0D7E" w:rsidRPr="00CA4F4B" w:rsidP="005A78B7">
            <w:pPr>
              <w:pStyle w:val="CSBody0"/>
              <w:rPr>
                <w:bCs/>
              </w:rPr>
            </w:pPr>
            <w:r w:rsidRPr="00CA4F4B">
              <w:t xml:space="preserve">Credit Suisse confirms that the information contained in this Document </w:t>
            </w:r>
            <w:r>
              <w:t>sourced from</w:t>
            </w:r>
            <w:r w:rsidRPr="00CA4F4B">
              <w:t xml:space="preserve"> </w:t>
            </w:r>
            <w:r>
              <w:t xml:space="preserve">third parties </w:t>
            </w:r>
            <w:r w:rsidRPr="00CA4F4B">
              <w:t>has been reproduced accurately using information published by the respective person and that, to the best of its knowledge, no facts have been omitted, to the extent Credit Suisse could identify such omission based on the information published by such person, which could make the reproduced information appear inaccurate or misleading.</w:t>
            </w:r>
          </w:p>
        </w:tc>
        <w:tc>
          <w:tcPr>
            <w:tcW w:w="2500" w:type="pct"/>
            <w:tcBorders>
              <w:top w:val="nil"/>
              <w:bottom w:val="nil"/>
              <w:right w:val="nil"/>
            </w:tcBorders>
          </w:tcPr>
          <w:p w:rsidR="009C0D7E" w:rsidRPr="00CA4F4B" w:rsidP="005A78B7">
            <w:pPr>
              <w:pStyle w:val="CSBody0"/>
              <w:rPr>
                <w:lang w:val="de-DE"/>
              </w:rPr>
            </w:pPr>
            <w:r w:rsidRPr="00CA4F4B">
              <w:rPr>
                <w:lang w:val="de-DE"/>
              </w:rPr>
              <w:t xml:space="preserve">Die Credit Suisse bestätigt, dass die in diesem Dokument enthaltenen Informationen </w:t>
            </w:r>
            <w:r>
              <w:rPr>
                <w:lang w:val="de-DE"/>
              </w:rPr>
              <w:t xml:space="preserve">von Seiten Dritter </w:t>
            </w:r>
            <w:r w:rsidRPr="00CA4F4B">
              <w:rPr>
                <w:lang w:val="de-DE"/>
              </w:rPr>
              <w:t>zutreffend unter Heranziehung der von der jeweiligen Person veröffentlichten Informationen wiedergegeben wurden und dass nach ihrem besten Wissen keine Fakten ausgelassen wurden (soweit die Credit Suisse auf Grundlage der von der jeweiligen Person veröffentlichten Informationen eine solche Auslassung feststellen konnte), wodurch die wiedergegebenen Infor</w:t>
            </w:r>
            <w:r w:rsidRPr="00CA4F4B">
              <w:rPr>
                <w:lang w:val="de-DE"/>
              </w:rPr>
              <w:softHyphen/>
              <w:t>mationen unzutreffend oder irreführend erscheinen könnten.</w:t>
            </w:r>
          </w:p>
        </w:tc>
      </w:tr>
    </w:tbl>
    <w:p w:rsidR="00317E9A" w:rsidRPr="0071650B" w:rsidP="00317E9A">
      <w:pPr>
        <w:pStyle w:val="CSBody0"/>
        <w:rPr>
          <w:lang w:val="de-DE"/>
        </w:rPr>
      </w:pPr>
    </w:p>
    <w:p w:rsidR="00317E9A" w:rsidRPr="0071650B" w:rsidP="00317E9A">
      <w:pPr>
        <w:pStyle w:val="CSBody0"/>
        <w:rPr>
          <w:lang w:val="de-DE"/>
        </w:rPr>
        <w:sectPr w:rsidSect="00E22A75">
          <w:headerReference w:type="default" r:id="rId65"/>
          <w:footerReference w:type="default" r:id="rId66"/>
          <w:headerReference w:type="first" r:id="rId67"/>
          <w:footerReference w:type="first" r:id="rId68"/>
          <w:pgSz w:w="11907" w:h="16839"/>
          <w:pgMar w:top="1440" w:right="1134" w:bottom="1440" w:left="1134" w:header="720" w:footer="720" w:gutter="0"/>
          <w:cols w:space="708"/>
          <w:docGrid w:linePitch="360"/>
        </w:sectPr>
      </w:pPr>
    </w:p>
    <w:tbl>
      <w:tblPr>
        <w:tblW w:w="5000"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
      <w:tblGrid>
        <w:gridCol w:w="4934"/>
        <w:gridCol w:w="4935"/>
      </w:tblGrid>
      <w:tr w:rsidTr="00872C02">
        <w:tblPrEx>
          <w:tblW w:w="5000" w:type="pct"/>
          <w:tblBorders>
            <w:top w:val="single" w:sz="4" w:space="0" w:color="auto"/>
            <w:left w:val="single" w:sz="4" w:space="0" w:color="auto"/>
            <w:bottom w:val="single" w:sz="4" w:space="0" w:color="auto"/>
            <w:right w:val="single" w:sz="4" w:space="0" w:color="auto"/>
            <w:insideV w:val="single" w:sz="4" w:space="0" w:color="auto"/>
          </w:tblBorders>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5467BD" w:rsidP="00A8214B">
            <w:pPr>
              <w:pStyle w:val="CSHeading1EN"/>
            </w:pPr>
            <w:bookmarkStart w:id="146" w:name="_Toc438227548"/>
            <w:r w:rsidRPr="005467BD">
              <w:t>RESPONSIBILITY STATEMENT</w:t>
            </w:r>
            <w:bookmarkEnd w:id="146"/>
          </w:p>
        </w:tc>
        <w:tc>
          <w:tcPr>
            <w:tcW w:w="2500" w:type="pct"/>
            <w:tcBorders>
              <w:top w:val="nil"/>
              <w:bottom w:val="nil"/>
              <w:right w:val="nil"/>
            </w:tcBorders>
            <w:shd w:val="clear" w:color="auto" w:fill="auto"/>
          </w:tcPr>
          <w:p w:rsidR="00317E9A" w:rsidRPr="005467BD" w:rsidP="00A8214B">
            <w:pPr>
              <w:pStyle w:val="CSHeading1DE"/>
            </w:pPr>
            <w:bookmarkStart w:id="147" w:name="_Toc438160296"/>
            <w:r w:rsidRPr="005467BD">
              <w:t>VERANTWORTLICHKEITSERKLÄRUNG</w:t>
            </w:r>
            <w:bookmarkEnd w:id="147"/>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5467BD" w:rsidP="00317E9A">
            <w:pPr>
              <w:pStyle w:val="CSBody0"/>
            </w:pPr>
            <w:r w:rsidRPr="005467BD">
              <w:t>Credit Suisse AG having its seat in Zurich, Switzerland, accepts responsibility for the information contained in this Document. Credit Suisse AG states that to the best of its knowledge the information contained in this Document is correct and does not omit material information.</w:t>
            </w:r>
          </w:p>
        </w:tc>
        <w:tc>
          <w:tcPr>
            <w:tcW w:w="2500" w:type="pct"/>
            <w:tcBorders>
              <w:top w:val="nil"/>
              <w:right w:val="nil"/>
            </w:tcBorders>
            <w:shd w:val="clear" w:color="auto" w:fill="auto"/>
          </w:tcPr>
          <w:p w:rsidR="00317E9A" w:rsidRPr="00B34C1C" w:rsidP="00E60155">
            <w:pPr>
              <w:pStyle w:val="CSBody0"/>
              <w:rPr>
                <w:lang w:val="de-DE"/>
              </w:rPr>
            </w:pPr>
            <w:r w:rsidRPr="00B34C1C">
              <w:rPr>
                <w:lang w:val="de-DE"/>
              </w:rPr>
              <w:t>Die Credit Suisse AG mit Sitz in Zürich, Schweiz, übernimmt die Verantwortung für die in diesem Dokument enthaltenen Angaben. Die Credit Suisse AG erklärt, dass nach ihrem besten Wissen die in diesem Dokument enthaltenen Angaben richtig und keine wesentlichen Umstände ausgelassen sind.</w:t>
            </w: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7D1897" w:rsidRPr="00B34C1C" w:rsidP="00A457E7">
            <w:pPr>
              <w:pStyle w:val="CSBody0"/>
              <w:rPr>
                <w:lang w:val="de-DE"/>
              </w:rPr>
            </w:pPr>
          </w:p>
        </w:tc>
        <w:tc>
          <w:tcPr>
            <w:tcW w:w="2500" w:type="pct"/>
            <w:tcBorders>
              <w:right w:val="nil"/>
            </w:tcBorders>
            <w:shd w:val="clear" w:color="auto" w:fill="auto"/>
          </w:tcPr>
          <w:p w:rsidR="007D1897"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7D1897" w:rsidRPr="00B34C1C" w:rsidP="00A457E7">
            <w:pPr>
              <w:pStyle w:val="CSBody0"/>
              <w:rPr>
                <w:lang w:val="de-DE"/>
              </w:rPr>
            </w:pPr>
          </w:p>
        </w:tc>
        <w:tc>
          <w:tcPr>
            <w:tcW w:w="2500" w:type="pct"/>
            <w:tcBorders>
              <w:right w:val="nil"/>
            </w:tcBorders>
            <w:shd w:val="clear" w:color="auto" w:fill="auto"/>
          </w:tcPr>
          <w:p w:rsidR="007D1897"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2E5C13" w:rsidP="00942F00">
            <w:pPr>
              <w:pStyle w:val="CSBody0"/>
            </w:pPr>
            <w:r>
              <w:t xml:space="preserve">Zurich, </w:t>
            </w:r>
            <w:r w:rsidR="00942F00">
              <w:t>2</w:t>
            </w:r>
            <w:r w:rsidR="0004112C">
              <w:t>1</w:t>
            </w:r>
            <w:r w:rsidRPr="005A78B7" w:rsidR="005A78B7">
              <w:t xml:space="preserve"> December 2015</w:t>
            </w:r>
          </w:p>
        </w:tc>
        <w:tc>
          <w:tcPr>
            <w:tcW w:w="2500" w:type="pct"/>
            <w:tcBorders>
              <w:bottom w:val="nil"/>
              <w:right w:val="nil"/>
            </w:tcBorders>
            <w:shd w:val="clear" w:color="auto" w:fill="auto"/>
          </w:tcPr>
          <w:p w:rsidR="00317E9A" w:rsidRPr="005A78B7" w:rsidP="00942F00">
            <w:pPr>
              <w:pStyle w:val="CSBody0"/>
            </w:pPr>
            <w:r w:rsidRPr="005A78B7">
              <w:t xml:space="preserve">Zürich, </w:t>
            </w:r>
            <w:r w:rsidR="00942F00">
              <w:t>2</w:t>
            </w:r>
            <w:r w:rsidR="0004112C">
              <w:t>1</w:t>
            </w:r>
            <w:r w:rsidRPr="005A78B7" w:rsidR="005A78B7">
              <w:t>. Dezember 2015</w:t>
            </w: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7D1897" w:rsidRPr="00891C12" w:rsidP="00A457E7">
            <w:pPr>
              <w:pStyle w:val="CSBody0"/>
            </w:pPr>
          </w:p>
        </w:tc>
        <w:tc>
          <w:tcPr>
            <w:tcW w:w="2500" w:type="pct"/>
            <w:tcBorders>
              <w:top w:val="nil"/>
              <w:bottom w:val="nil"/>
              <w:right w:val="nil"/>
            </w:tcBorders>
            <w:shd w:val="clear" w:color="auto" w:fill="auto"/>
          </w:tcPr>
          <w:p w:rsidR="007D1897"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7D1897" w:rsidRPr="00891C12" w:rsidP="00A457E7">
            <w:pPr>
              <w:pStyle w:val="CSBody0"/>
            </w:pPr>
          </w:p>
        </w:tc>
        <w:tc>
          <w:tcPr>
            <w:tcW w:w="2500" w:type="pct"/>
            <w:tcBorders>
              <w:top w:val="nil"/>
              <w:right w:val="nil"/>
            </w:tcBorders>
            <w:shd w:val="clear" w:color="auto" w:fill="auto"/>
          </w:tcPr>
          <w:p w:rsidR="007D1897"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811D3C" w:rsidP="00317E9A">
            <w:pPr>
              <w:pStyle w:val="CSBody0"/>
            </w:pPr>
            <w:r w:rsidRPr="00811D3C">
              <w:t>Signed on behalf of the Issuer:</w:t>
            </w:r>
          </w:p>
        </w:tc>
        <w:tc>
          <w:tcPr>
            <w:tcW w:w="2500" w:type="pct"/>
            <w:tcBorders>
              <w:right w:val="nil"/>
            </w:tcBorders>
            <w:shd w:val="clear" w:color="auto" w:fill="auto"/>
          </w:tcPr>
          <w:p w:rsidR="00317E9A" w:rsidP="00E60155">
            <w:pPr>
              <w:pStyle w:val="CSBody0"/>
            </w:pPr>
            <w:r w:rsidRPr="00811D3C">
              <w:t>Unterzeichnet für die Emittentin:</w:t>
            </w: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7D1897" w:rsidRPr="00891C12" w:rsidP="00A457E7">
            <w:pPr>
              <w:pStyle w:val="CSBody0"/>
            </w:pPr>
          </w:p>
        </w:tc>
        <w:tc>
          <w:tcPr>
            <w:tcW w:w="2500" w:type="pct"/>
            <w:tcBorders>
              <w:bottom w:val="nil"/>
              <w:right w:val="nil"/>
            </w:tcBorders>
            <w:shd w:val="clear" w:color="auto" w:fill="auto"/>
          </w:tcPr>
          <w:p w:rsidR="007D1897"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7D1897" w:rsidRPr="00891C12" w:rsidP="00A457E7">
            <w:pPr>
              <w:pStyle w:val="CSBody0"/>
            </w:pPr>
          </w:p>
        </w:tc>
        <w:tc>
          <w:tcPr>
            <w:tcW w:w="2500" w:type="pct"/>
            <w:tcBorders>
              <w:top w:val="nil"/>
              <w:bottom w:val="nil"/>
              <w:right w:val="nil"/>
            </w:tcBorders>
            <w:shd w:val="clear" w:color="auto" w:fill="auto"/>
          </w:tcPr>
          <w:p w:rsidR="007D1897"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183BFB" w:rsidP="00317E9A">
            <w:pPr>
              <w:pStyle w:val="CSBody0"/>
            </w:pPr>
            <w:r w:rsidRPr="00183BFB">
              <w:t xml:space="preserve">By: </w:t>
            </w:r>
          </w:p>
        </w:tc>
        <w:tc>
          <w:tcPr>
            <w:tcW w:w="2500" w:type="pct"/>
            <w:tcBorders>
              <w:top w:val="nil"/>
              <w:right w:val="nil"/>
            </w:tcBorders>
            <w:shd w:val="clear" w:color="auto" w:fill="auto"/>
          </w:tcPr>
          <w:p w:rsidR="00317E9A" w:rsidP="00E60155">
            <w:pPr>
              <w:pStyle w:val="CSBody0"/>
            </w:pPr>
            <w:r w:rsidRPr="00183BFB">
              <w:t xml:space="preserve">Durch: </w:t>
            </w: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7D1897" w:rsidRPr="00891C12" w:rsidP="00A457E7">
            <w:pPr>
              <w:pStyle w:val="CSBody0"/>
            </w:pPr>
          </w:p>
        </w:tc>
        <w:tc>
          <w:tcPr>
            <w:tcW w:w="2500" w:type="pct"/>
            <w:tcBorders>
              <w:right w:val="nil"/>
            </w:tcBorders>
            <w:shd w:val="clear" w:color="auto" w:fill="auto"/>
          </w:tcPr>
          <w:p w:rsidR="007D1897"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7D1897" w:rsidRPr="00891C12" w:rsidP="00A457E7">
            <w:pPr>
              <w:pStyle w:val="CSBody0"/>
            </w:pPr>
          </w:p>
        </w:tc>
        <w:tc>
          <w:tcPr>
            <w:tcW w:w="2500" w:type="pct"/>
            <w:tcBorders>
              <w:right w:val="nil"/>
            </w:tcBorders>
            <w:shd w:val="clear" w:color="auto" w:fill="auto"/>
          </w:tcPr>
          <w:p w:rsidR="007D1897"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P="00317E9A">
            <w:pPr>
              <w:pStyle w:val="CSBody0"/>
            </w:pPr>
            <w:r>
              <w:t xml:space="preserve">Duly authorised </w:t>
            </w:r>
          </w:p>
          <w:p w:rsidR="00317E9A" w:rsidRPr="0000232F" w:rsidP="00BE5BA9">
            <w:pPr>
              <w:pStyle w:val="CSBody0"/>
            </w:pPr>
            <w:r w:rsidRPr="00BE5BA9">
              <w:t xml:space="preserve">Markus Bisegger/Managing Director </w:t>
            </w:r>
          </w:p>
        </w:tc>
        <w:tc>
          <w:tcPr>
            <w:tcW w:w="2500" w:type="pct"/>
            <w:tcBorders>
              <w:right w:val="nil"/>
            </w:tcBorders>
            <w:shd w:val="clear" w:color="auto" w:fill="auto"/>
          </w:tcPr>
          <w:p w:rsidR="00317E9A" w:rsidRPr="00B34C1C" w:rsidP="00E60155">
            <w:pPr>
              <w:pStyle w:val="CSBody0"/>
              <w:rPr>
                <w:lang w:val="de-DE"/>
              </w:rPr>
            </w:pPr>
            <w:r w:rsidRPr="00B34C1C">
              <w:rPr>
                <w:lang w:val="de-DE"/>
              </w:rPr>
              <w:t>Bevollmächtigte</w:t>
            </w:r>
            <w:r w:rsidR="00BE5BA9">
              <w:rPr>
                <w:lang w:val="de-DE"/>
              </w:rPr>
              <w:t>r</w:t>
            </w:r>
            <w:r w:rsidRPr="00B34C1C">
              <w:rPr>
                <w:lang w:val="de-DE"/>
              </w:rPr>
              <w:t xml:space="preserve"> </w:t>
            </w:r>
          </w:p>
          <w:p w:rsidR="00317E9A" w:rsidRPr="00B34C1C" w:rsidP="00BE5BA9">
            <w:pPr>
              <w:pStyle w:val="CSBody0"/>
              <w:rPr>
                <w:lang w:val="de-DE"/>
              </w:rPr>
            </w:pPr>
            <w:r w:rsidRPr="00BE5BA9">
              <w:rPr>
                <w:lang w:val="de-DE"/>
              </w:rPr>
              <w:t xml:space="preserve">Markus Bisegger/Managing Director </w:t>
            </w: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B34C1C" w:rsidP="00A457E7">
            <w:pPr>
              <w:pStyle w:val="CSBody0"/>
              <w:rPr>
                <w:lang w:val="de-DE"/>
              </w:rPr>
            </w:pPr>
          </w:p>
        </w:tc>
        <w:tc>
          <w:tcPr>
            <w:tcW w:w="2500" w:type="pct"/>
            <w:tcBorders>
              <w:right w:val="nil"/>
            </w:tcBorders>
            <w:shd w:val="clear" w:color="auto" w:fill="auto"/>
          </w:tcPr>
          <w:p w:rsidR="00317E9A"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B34C1C" w:rsidP="00A457E7">
            <w:pPr>
              <w:pStyle w:val="CSBody0"/>
              <w:rPr>
                <w:lang w:val="de-DE"/>
              </w:rPr>
            </w:pPr>
          </w:p>
        </w:tc>
        <w:tc>
          <w:tcPr>
            <w:tcW w:w="2500" w:type="pct"/>
            <w:tcBorders>
              <w:right w:val="nil"/>
            </w:tcBorders>
            <w:shd w:val="clear" w:color="auto" w:fill="auto"/>
          </w:tcPr>
          <w:p w:rsidR="00317E9A"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A97637" w:rsidP="00317E9A">
            <w:pPr>
              <w:pStyle w:val="CSBody0"/>
            </w:pPr>
            <w:r w:rsidRPr="00A97637">
              <w:t>By:</w:t>
            </w:r>
          </w:p>
        </w:tc>
        <w:tc>
          <w:tcPr>
            <w:tcW w:w="2500" w:type="pct"/>
            <w:tcBorders>
              <w:right w:val="nil"/>
            </w:tcBorders>
            <w:shd w:val="clear" w:color="auto" w:fill="auto"/>
          </w:tcPr>
          <w:p w:rsidR="00317E9A" w:rsidP="00E60155">
            <w:pPr>
              <w:pStyle w:val="CSBody0"/>
            </w:pPr>
            <w:r w:rsidRPr="00A97637">
              <w:t>Durch:</w:t>
            </w: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891C12" w:rsidP="00A457E7">
            <w:pPr>
              <w:pStyle w:val="CSBody0"/>
            </w:pPr>
          </w:p>
        </w:tc>
        <w:tc>
          <w:tcPr>
            <w:tcW w:w="2500" w:type="pct"/>
            <w:tcBorders>
              <w:right w:val="nil"/>
            </w:tcBorders>
            <w:shd w:val="clear" w:color="auto" w:fill="auto"/>
          </w:tcPr>
          <w:p w:rsidR="00317E9A"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891C12" w:rsidP="00A457E7">
            <w:pPr>
              <w:pStyle w:val="CSBody0"/>
            </w:pPr>
          </w:p>
        </w:tc>
        <w:tc>
          <w:tcPr>
            <w:tcW w:w="2500" w:type="pct"/>
            <w:tcBorders>
              <w:right w:val="nil"/>
            </w:tcBorders>
            <w:shd w:val="clear" w:color="auto" w:fill="auto"/>
          </w:tcPr>
          <w:p w:rsidR="00317E9A" w:rsidRPr="00891C12" w:rsidP="00E60155">
            <w:pPr>
              <w:pStyle w:val="CSBody0"/>
              <w:rPr>
                <w:lang w:val="de-DE"/>
              </w:rPr>
            </w:pP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P="00317E9A">
            <w:pPr>
              <w:pStyle w:val="CSBody0"/>
            </w:pPr>
            <w:r w:rsidRPr="00FF20BC">
              <w:t xml:space="preserve">Duly authorised </w:t>
            </w:r>
          </w:p>
          <w:p w:rsidR="00317E9A" w:rsidRPr="00FF20BC" w:rsidP="00317E9A">
            <w:pPr>
              <w:pStyle w:val="CSBody0"/>
            </w:pPr>
            <w:r w:rsidRPr="00BE5BA9">
              <w:t>Doris A. Schnaudt/Director</w:t>
            </w:r>
          </w:p>
        </w:tc>
        <w:tc>
          <w:tcPr>
            <w:tcW w:w="2500" w:type="pct"/>
            <w:tcBorders>
              <w:right w:val="nil"/>
            </w:tcBorders>
            <w:shd w:val="clear" w:color="auto" w:fill="auto"/>
          </w:tcPr>
          <w:p w:rsidR="00317E9A" w:rsidRPr="00B34C1C" w:rsidP="00E60155">
            <w:pPr>
              <w:pStyle w:val="CSBody0"/>
              <w:rPr>
                <w:lang w:val="de-DE"/>
              </w:rPr>
            </w:pPr>
            <w:r>
              <w:rPr>
                <w:lang w:val="de-DE"/>
              </w:rPr>
              <w:t>Bevollmächtigte</w:t>
            </w:r>
            <w:r w:rsidRPr="00B34C1C">
              <w:rPr>
                <w:lang w:val="de-DE"/>
              </w:rPr>
              <w:t xml:space="preserve"> </w:t>
            </w:r>
          </w:p>
          <w:p w:rsidR="00317E9A" w:rsidRPr="00B34C1C" w:rsidP="00E60155">
            <w:pPr>
              <w:pStyle w:val="CSBody0"/>
              <w:rPr>
                <w:lang w:val="de-DE"/>
              </w:rPr>
            </w:pPr>
            <w:r w:rsidRPr="00BE5BA9">
              <w:rPr>
                <w:lang w:val="de-DE"/>
              </w:rPr>
              <w:t>Doris A. Schnaudt/Director</w:t>
            </w:r>
          </w:p>
        </w:tc>
      </w:tr>
      <w:tr w:rsidTr="00872C02">
        <w:tblPrEx>
          <w:tblW w:w="5000" w:type="pct"/>
          <w:tblLayout w:type="fixed"/>
          <w:tblCellMar>
            <w:left w:w="115" w:type="dxa"/>
            <w:right w:w="115" w:type="dxa"/>
          </w:tblCellMar>
          <w:tblLook w:val="04A0"/>
        </w:tblPrEx>
        <w:trPr>
          <w:trHeight w:val="118"/>
        </w:trPr>
        <w:tc>
          <w:tcPr>
            <w:tcW w:w="2500" w:type="pct"/>
            <w:tcBorders>
              <w:top w:val="nil"/>
              <w:left w:val="nil"/>
              <w:bottom w:val="nil"/>
            </w:tcBorders>
            <w:shd w:val="clear" w:color="auto" w:fill="auto"/>
          </w:tcPr>
          <w:p w:rsidR="00317E9A" w:rsidRPr="00B34C1C" w:rsidP="00A457E7">
            <w:pPr>
              <w:pStyle w:val="CSBody0"/>
              <w:rPr>
                <w:lang w:val="de-DE"/>
              </w:rPr>
            </w:pPr>
          </w:p>
        </w:tc>
        <w:tc>
          <w:tcPr>
            <w:tcW w:w="2500" w:type="pct"/>
            <w:tcBorders>
              <w:bottom w:val="nil"/>
              <w:right w:val="nil"/>
            </w:tcBorders>
            <w:shd w:val="clear" w:color="auto" w:fill="auto"/>
          </w:tcPr>
          <w:p w:rsidR="00317E9A" w:rsidRPr="00891C12" w:rsidP="00E60155">
            <w:pPr>
              <w:pStyle w:val="CSBody0"/>
              <w:rPr>
                <w:lang w:val="de-DE"/>
              </w:rPr>
            </w:pPr>
          </w:p>
        </w:tc>
      </w:tr>
    </w:tbl>
    <w:p w:rsidR="00317E9A" w:rsidRPr="00B34C1C" w:rsidP="009C6D81">
      <w:pPr>
        <w:pStyle w:val="CSBody0"/>
        <w:rPr>
          <w:lang w:val="de-DE"/>
        </w:rPr>
        <w:sectPr w:rsidSect="00E22A75">
          <w:headerReference w:type="default" r:id="rId69"/>
          <w:footerReference w:type="default" r:id="rId70"/>
          <w:headerReference w:type="first" r:id="rId71"/>
          <w:footerReference w:type="first" r:id="rId72"/>
          <w:pgSz w:w="11907" w:h="16839"/>
          <w:pgMar w:top="1440" w:right="1134" w:bottom="1440" w:left="1134" w:header="720" w:footer="720" w:gutter="0"/>
          <w:cols w:space="708"/>
          <w:docGrid w:linePitch="360"/>
        </w:sectPr>
      </w:pPr>
    </w:p>
    <w:tbl>
      <w:tblPr>
        <w:tblStyle w:val="TableGrid"/>
        <w:tblW w:w="9639" w:type="dxa"/>
        <w:tblLook w:val="04A0"/>
      </w:tblPr>
      <w:tblGrid>
        <w:gridCol w:w="3213"/>
        <w:gridCol w:w="1606"/>
        <w:gridCol w:w="1607"/>
        <w:gridCol w:w="3213"/>
      </w:tblGrid>
      <w:tr w:rsidTr="00490CF0">
        <w:tblPrEx>
          <w:tblW w:w="9639" w:type="dxa"/>
          <w:tblLook w:val="04A0"/>
        </w:tblPrEx>
        <w:tc>
          <w:tcPr>
            <w:tcW w:w="9243" w:type="dxa"/>
            <w:gridSpan w:val="4"/>
            <w:tcBorders>
              <w:top w:val="nil"/>
              <w:left w:val="nil"/>
              <w:bottom w:val="nil"/>
              <w:right w:val="nil"/>
            </w:tcBorders>
          </w:tcPr>
          <w:p w:rsidR="00317E9A" w:rsidRPr="00E60155" w:rsidP="0071650B">
            <w:pPr>
              <w:pStyle w:val="CSImportantNotice"/>
              <w:jc w:val="center"/>
            </w:pPr>
            <w:r w:rsidRPr="00E60155">
              <w:t>ADDRESS LIST / ADRESSLISTE</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rPr>
                <w:b/>
              </w:rPr>
            </w:pPr>
            <w:r w:rsidRPr="0071650B">
              <w:rPr>
                <w:b/>
              </w:rPr>
              <w:t>Issuer/Emittentin</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pPr>
            <w:r w:rsidRPr="0071650B">
              <w:t>Credit Suisse AG,</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pPr>
            <w:r w:rsidRPr="0071650B">
              <w:t>acting through its head office or a designated branch/</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rPr>
                <w:lang w:val="de-DE"/>
              </w:rPr>
            </w:pPr>
            <w:r w:rsidRPr="0071650B">
              <w:rPr>
                <w:lang w:val="de-DE"/>
              </w:rPr>
              <w:t>handelnd durch ihren Hauptsitz oder eine dazu bestimmte Zweigniederlassung</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rPr>
                <w:lang w:val="de-DE"/>
              </w:rPr>
            </w:pPr>
            <w:r w:rsidRPr="0071650B">
              <w:rPr>
                <w:lang w:val="de-DE"/>
              </w:rPr>
              <w:t>Paradeplatz 8</w:t>
            </w:r>
          </w:p>
          <w:p w:rsidR="00317E9A" w:rsidRPr="0071650B" w:rsidP="00E60155">
            <w:pPr>
              <w:pStyle w:val="CSBody0"/>
              <w:jc w:val="center"/>
              <w:rPr>
                <w:lang w:val="de-DE"/>
              </w:rPr>
            </w:pPr>
            <w:r w:rsidRPr="0071650B">
              <w:rPr>
                <w:lang w:val="de-DE"/>
              </w:rPr>
              <w:t>8001 Zurich/Zürich</w:t>
            </w:r>
          </w:p>
          <w:p w:rsidR="00317E9A" w:rsidRPr="0071650B" w:rsidP="00E60155">
            <w:pPr>
              <w:pStyle w:val="CSBody0"/>
              <w:jc w:val="center"/>
              <w:rPr>
                <w:lang w:val="de-DE"/>
              </w:rPr>
            </w:pPr>
            <w:r w:rsidRPr="0071650B">
              <w:rPr>
                <w:lang w:val="de-DE"/>
              </w:rPr>
              <w:t>Switzerland/Schweiz</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rPr>
                <w:b/>
              </w:rPr>
            </w:pPr>
            <w:r w:rsidRPr="0071650B">
              <w:rPr>
                <w:b/>
              </w:rPr>
              <w:t>Lead Manager</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rPr>
                <w:lang w:val="de-DE"/>
              </w:rPr>
            </w:pPr>
            <w:r w:rsidRPr="0071650B">
              <w:rPr>
                <w:lang w:val="de-DE"/>
              </w:rPr>
              <w:t>Credit Suisse AG</w:t>
            </w:r>
          </w:p>
          <w:p w:rsidR="00317E9A" w:rsidRPr="0071650B" w:rsidP="00E60155">
            <w:pPr>
              <w:pStyle w:val="CSBody0"/>
              <w:jc w:val="center"/>
              <w:rPr>
                <w:lang w:val="de-DE"/>
              </w:rPr>
            </w:pPr>
            <w:r w:rsidRPr="0071650B">
              <w:rPr>
                <w:lang w:val="de-DE"/>
              </w:rPr>
              <w:t>Paradeplatz 8</w:t>
            </w:r>
          </w:p>
          <w:p w:rsidR="00317E9A" w:rsidRPr="0071650B" w:rsidP="00E60155">
            <w:pPr>
              <w:pStyle w:val="CSBody0"/>
              <w:jc w:val="center"/>
              <w:rPr>
                <w:lang w:val="de-DE"/>
              </w:rPr>
            </w:pPr>
            <w:r w:rsidRPr="0071650B">
              <w:rPr>
                <w:lang w:val="de-DE"/>
              </w:rPr>
              <w:t>8001 Zurich/Zürich</w:t>
            </w:r>
          </w:p>
          <w:p w:rsidR="00317E9A" w:rsidRPr="0071650B" w:rsidP="00E60155">
            <w:pPr>
              <w:pStyle w:val="CSBody0"/>
              <w:jc w:val="center"/>
            </w:pPr>
            <w:r w:rsidRPr="0071650B">
              <w:t>Switzerland/Schweiz</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rPr>
                <w:b/>
              </w:rPr>
            </w:pPr>
            <w:r w:rsidRPr="0071650B">
              <w:rPr>
                <w:b/>
              </w:rPr>
              <w:t>Calculation Agent/Berechnungsstelle</w:t>
            </w:r>
          </w:p>
        </w:tc>
      </w:tr>
      <w:tr w:rsidTr="00490CF0">
        <w:tblPrEx>
          <w:tblW w:w="9639" w:type="dxa"/>
          <w:tblLook w:val="04A0"/>
        </w:tblPrEx>
        <w:tc>
          <w:tcPr>
            <w:tcW w:w="4621" w:type="dxa"/>
            <w:gridSpan w:val="2"/>
            <w:tcBorders>
              <w:top w:val="nil"/>
              <w:left w:val="nil"/>
              <w:bottom w:val="nil"/>
              <w:right w:val="nil"/>
            </w:tcBorders>
          </w:tcPr>
          <w:p w:rsidR="00BF1E74" w:rsidRPr="00B34C1C" w:rsidP="00E60155">
            <w:pPr>
              <w:pStyle w:val="CSBody0"/>
              <w:jc w:val="center"/>
              <w:rPr>
                <w:i/>
                <w:lang w:val="de-DE"/>
              </w:rPr>
            </w:pPr>
            <w:r w:rsidRPr="00F94B27">
              <w:rPr>
                <w:b/>
                <w:lang w:val="de-DE"/>
              </w:rPr>
              <w:t>[</w:t>
            </w:r>
            <w:r w:rsidRPr="00B34C1C">
              <w:rPr>
                <w:i/>
                <w:lang w:val="de-DE"/>
              </w:rPr>
              <w:t>Credit Suisse AG</w:t>
            </w:r>
          </w:p>
          <w:p w:rsidR="00BF1E74" w:rsidRPr="00B34C1C" w:rsidP="00E60155">
            <w:pPr>
              <w:pStyle w:val="CSBody0"/>
              <w:jc w:val="center"/>
              <w:rPr>
                <w:i/>
                <w:lang w:val="de-DE"/>
              </w:rPr>
            </w:pPr>
            <w:r w:rsidRPr="00B34C1C">
              <w:rPr>
                <w:i/>
                <w:lang w:val="de-DE"/>
              </w:rPr>
              <w:t>Paradeplatz 8</w:t>
            </w:r>
          </w:p>
          <w:p w:rsidR="00BF1E74" w:rsidRPr="00B34C1C" w:rsidP="00E60155">
            <w:pPr>
              <w:pStyle w:val="CSBody0"/>
              <w:jc w:val="center"/>
              <w:rPr>
                <w:i/>
                <w:lang w:val="de-DE"/>
              </w:rPr>
            </w:pPr>
            <w:r w:rsidRPr="00B34C1C">
              <w:rPr>
                <w:i/>
                <w:lang w:val="de-DE"/>
              </w:rPr>
              <w:t>8001 Zurich/Zürich</w:t>
            </w:r>
          </w:p>
          <w:p w:rsidR="00BF1E74" w:rsidP="00E60155">
            <w:pPr>
              <w:pStyle w:val="CSBody0"/>
              <w:jc w:val="center"/>
            </w:pPr>
            <w:r w:rsidRPr="00BF1E74">
              <w:rPr>
                <w:i/>
              </w:rPr>
              <w:t>Switzerland/Schweiz</w:t>
            </w:r>
            <w:r w:rsidRPr="00F94B27" w:rsidR="00F94B27">
              <w:rPr>
                <w:b/>
              </w:rPr>
              <w:t>]</w:t>
            </w:r>
          </w:p>
        </w:tc>
        <w:tc>
          <w:tcPr>
            <w:tcW w:w="4622" w:type="dxa"/>
            <w:gridSpan w:val="2"/>
            <w:tcBorders>
              <w:top w:val="nil"/>
              <w:left w:val="nil"/>
              <w:bottom w:val="nil"/>
              <w:right w:val="nil"/>
            </w:tcBorders>
          </w:tcPr>
          <w:p w:rsidR="00BF1E74" w:rsidRPr="00BF1E74" w:rsidP="00E60155">
            <w:pPr>
              <w:pStyle w:val="CSBody0"/>
              <w:jc w:val="center"/>
              <w:rPr>
                <w:i/>
              </w:rPr>
            </w:pPr>
            <w:r w:rsidRPr="00F94B27">
              <w:rPr>
                <w:b/>
              </w:rPr>
              <w:t>[</w:t>
            </w:r>
            <w:r w:rsidRPr="00BF1E74">
              <w:rPr>
                <w:i/>
              </w:rPr>
              <w:t>Credit Suisse International</w:t>
            </w:r>
          </w:p>
          <w:p w:rsidR="00BF1E74" w:rsidRPr="00BF1E74" w:rsidP="00E60155">
            <w:pPr>
              <w:pStyle w:val="CSBody0"/>
              <w:jc w:val="center"/>
              <w:rPr>
                <w:i/>
              </w:rPr>
            </w:pPr>
            <w:r w:rsidRPr="00BF1E74">
              <w:rPr>
                <w:i/>
              </w:rPr>
              <w:t>One Cabot Square</w:t>
            </w:r>
          </w:p>
          <w:p w:rsidR="00BF1E74" w:rsidRPr="00B34C1C" w:rsidP="00E60155">
            <w:pPr>
              <w:pStyle w:val="CSBody0"/>
              <w:jc w:val="center"/>
              <w:rPr>
                <w:i/>
                <w:lang w:val="de-DE"/>
              </w:rPr>
            </w:pPr>
            <w:r w:rsidRPr="00B34C1C">
              <w:rPr>
                <w:i/>
                <w:lang w:val="de-DE"/>
              </w:rPr>
              <w:t>London E14 4QJ</w:t>
            </w:r>
          </w:p>
          <w:p w:rsidR="00BF1E74" w:rsidRPr="00B34C1C" w:rsidP="00E60155">
            <w:pPr>
              <w:pStyle w:val="CSBody0"/>
              <w:jc w:val="center"/>
              <w:rPr>
                <w:lang w:val="de-DE"/>
              </w:rPr>
            </w:pPr>
            <w:r w:rsidRPr="00B34C1C">
              <w:rPr>
                <w:i/>
                <w:lang w:val="de-DE"/>
              </w:rPr>
              <w:t>United Kingdom/Vereinigtes Königreich</w:t>
            </w:r>
            <w:r w:rsidRPr="00F94B27" w:rsidR="00F94B27">
              <w:rPr>
                <w:b/>
                <w:lang w:val="de-DE"/>
              </w:rPr>
              <w:t>]</w:t>
            </w:r>
          </w:p>
        </w:tc>
      </w:tr>
      <w:tr w:rsidTr="00490CF0">
        <w:tblPrEx>
          <w:tblW w:w="9639" w:type="dxa"/>
          <w:tblLook w:val="04A0"/>
        </w:tblPrEx>
        <w:tc>
          <w:tcPr>
            <w:tcW w:w="9243" w:type="dxa"/>
            <w:gridSpan w:val="4"/>
            <w:tcBorders>
              <w:top w:val="nil"/>
              <w:left w:val="nil"/>
              <w:bottom w:val="nil"/>
              <w:right w:val="nil"/>
            </w:tcBorders>
          </w:tcPr>
          <w:p w:rsidR="00317E9A" w:rsidRPr="00E60155" w:rsidP="00E60155">
            <w:pPr>
              <w:pStyle w:val="CSBody0"/>
              <w:jc w:val="center"/>
              <w:rPr>
                <w:b/>
                <w:i/>
              </w:rPr>
            </w:pPr>
            <w:r w:rsidRPr="00E60155">
              <w:rPr>
                <w:b/>
                <w:i/>
              </w:rPr>
              <w:t>Dealer/Platzeur</w:t>
            </w:r>
          </w:p>
        </w:tc>
      </w:tr>
      <w:tr w:rsidTr="00490CF0">
        <w:tblPrEx>
          <w:tblW w:w="9639" w:type="dxa"/>
          <w:tblLook w:val="04A0"/>
        </w:tblPrEx>
        <w:tc>
          <w:tcPr>
            <w:tcW w:w="3081" w:type="dxa"/>
            <w:tcBorders>
              <w:top w:val="nil"/>
              <w:left w:val="nil"/>
              <w:bottom w:val="nil"/>
              <w:right w:val="nil"/>
            </w:tcBorders>
          </w:tcPr>
          <w:p w:rsidR="00BF1E74" w:rsidRPr="00B34C1C" w:rsidP="00E60155">
            <w:pPr>
              <w:pStyle w:val="CSBody0"/>
              <w:jc w:val="center"/>
              <w:rPr>
                <w:i/>
                <w:lang w:val="de-DE"/>
              </w:rPr>
            </w:pPr>
            <w:r w:rsidRPr="00F94B27">
              <w:rPr>
                <w:b/>
                <w:lang w:val="de-DE"/>
              </w:rPr>
              <w:t>[</w:t>
            </w:r>
            <w:r w:rsidRPr="00B34C1C">
              <w:rPr>
                <w:i/>
                <w:lang w:val="de-DE"/>
              </w:rPr>
              <w:t>Credit Suisse AG</w:t>
            </w:r>
          </w:p>
          <w:p w:rsidR="00BF1E74" w:rsidRPr="00B34C1C" w:rsidP="00E60155">
            <w:pPr>
              <w:pStyle w:val="CSBody0"/>
              <w:jc w:val="center"/>
              <w:rPr>
                <w:i/>
                <w:lang w:val="de-DE"/>
              </w:rPr>
            </w:pPr>
            <w:r w:rsidRPr="00B34C1C">
              <w:rPr>
                <w:i/>
                <w:lang w:val="de-DE"/>
              </w:rPr>
              <w:t>Paradeplatz 8</w:t>
            </w:r>
          </w:p>
          <w:p w:rsidR="00BF1E74" w:rsidRPr="00B34C1C" w:rsidP="00E60155">
            <w:pPr>
              <w:pStyle w:val="CSBody0"/>
              <w:jc w:val="center"/>
              <w:rPr>
                <w:i/>
                <w:lang w:val="de-DE"/>
              </w:rPr>
            </w:pPr>
            <w:r w:rsidRPr="00B34C1C">
              <w:rPr>
                <w:i/>
                <w:lang w:val="de-DE"/>
              </w:rPr>
              <w:t>8001 Zurich/Zürich</w:t>
            </w:r>
          </w:p>
          <w:p w:rsidR="00BF1E74" w:rsidRPr="00BF1E74" w:rsidP="00E60155">
            <w:pPr>
              <w:pStyle w:val="CSBody0"/>
              <w:jc w:val="center"/>
              <w:rPr>
                <w:i/>
              </w:rPr>
            </w:pPr>
            <w:r w:rsidRPr="00BF1E74">
              <w:rPr>
                <w:i/>
              </w:rPr>
              <w:t>Switzerland/Schweiz</w:t>
            </w:r>
            <w:r w:rsidRPr="00F94B27" w:rsidR="00F94B27">
              <w:rPr>
                <w:b/>
              </w:rPr>
              <w:t>]</w:t>
            </w:r>
          </w:p>
        </w:tc>
        <w:tc>
          <w:tcPr>
            <w:tcW w:w="3081" w:type="dxa"/>
            <w:gridSpan w:val="2"/>
            <w:tcBorders>
              <w:top w:val="nil"/>
              <w:left w:val="nil"/>
              <w:bottom w:val="nil"/>
              <w:right w:val="nil"/>
            </w:tcBorders>
          </w:tcPr>
          <w:p w:rsidR="00BF1E74" w:rsidRPr="00BF1E74" w:rsidP="00E60155">
            <w:pPr>
              <w:pStyle w:val="CSBody0"/>
              <w:jc w:val="center"/>
              <w:rPr>
                <w:i/>
              </w:rPr>
            </w:pPr>
            <w:r w:rsidRPr="00F94B27">
              <w:rPr>
                <w:b/>
              </w:rPr>
              <w:t>[</w:t>
            </w:r>
            <w:r w:rsidRPr="00BF1E74">
              <w:rPr>
                <w:i/>
              </w:rPr>
              <w:t>Credit Suisse International</w:t>
            </w:r>
          </w:p>
          <w:p w:rsidR="00BF1E74" w:rsidRPr="00BF1E74" w:rsidP="00E60155">
            <w:pPr>
              <w:pStyle w:val="CSBody0"/>
              <w:jc w:val="center"/>
              <w:rPr>
                <w:i/>
              </w:rPr>
            </w:pPr>
            <w:r w:rsidRPr="00BF1E74">
              <w:rPr>
                <w:i/>
              </w:rPr>
              <w:t>One Cabot Square</w:t>
            </w:r>
          </w:p>
          <w:p w:rsidR="00BF1E74" w:rsidRPr="00B34C1C" w:rsidP="00E60155">
            <w:pPr>
              <w:pStyle w:val="CSBody0"/>
              <w:jc w:val="center"/>
              <w:rPr>
                <w:i/>
                <w:lang w:val="de-DE"/>
              </w:rPr>
            </w:pPr>
            <w:r w:rsidRPr="00B34C1C">
              <w:rPr>
                <w:i/>
                <w:lang w:val="de-DE"/>
              </w:rPr>
              <w:t>London E14 4QJ</w:t>
            </w:r>
          </w:p>
          <w:p w:rsidR="00BF1E74" w:rsidRPr="00B34C1C" w:rsidP="00E60155">
            <w:pPr>
              <w:pStyle w:val="CSBody0"/>
              <w:jc w:val="center"/>
              <w:rPr>
                <w:lang w:val="de-DE"/>
              </w:rPr>
            </w:pPr>
            <w:r w:rsidRPr="00B34C1C">
              <w:rPr>
                <w:i/>
                <w:lang w:val="de-DE"/>
              </w:rPr>
              <w:t>United Kingdom/Vereinigtes Königreich</w:t>
            </w:r>
            <w:r w:rsidRPr="00F94B27" w:rsidR="00F94B27">
              <w:rPr>
                <w:b/>
                <w:lang w:val="de-DE"/>
              </w:rPr>
              <w:t>]</w:t>
            </w:r>
          </w:p>
        </w:tc>
        <w:tc>
          <w:tcPr>
            <w:tcW w:w="3081" w:type="dxa"/>
            <w:tcBorders>
              <w:top w:val="nil"/>
              <w:left w:val="nil"/>
              <w:bottom w:val="nil"/>
              <w:right w:val="nil"/>
            </w:tcBorders>
          </w:tcPr>
          <w:p w:rsidR="00BF1E74" w:rsidRPr="00BB4E69" w:rsidP="00E60155">
            <w:pPr>
              <w:pStyle w:val="CSBody0"/>
              <w:jc w:val="center"/>
              <w:rPr>
                <w:i/>
                <w:lang w:val="de-DE"/>
              </w:rPr>
            </w:pPr>
            <w:r w:rsidRPr="00F94B27">
              <w:rPr>
                <w:b/>
                <w:lang w:val="de-DE"/>
              </w:rPr>
              <w:t>[</w:t>
            </w:r>
            <w:r w:rsidRPr="00BB4E69">
              <w:rPr>
                <w:i/>
                <w:lang w:val="de-DE"/>
              </w:rPr>
              <w:t>Credit Suisse Securities (Europe) Limited</w:t>
            </w:r>
          </w:p>
          <w:p w:rsidR="00BF1E74" w:rsidRPr="00B34C1C" w:rsidP="00E60155">
            <w:pPr>
              <w:pStyle w:val="CSBody0"/>
              <w:jc w:val="center"/>
              <w:rPr>
                <w:i/>
                <w:lang w:val="de-DE"/>
              </w:rPr>
            </w:pPr>
            <w:r w:rsidRPr="00B34C1C">
              <w:rPr>
                <w:i/>
                <w:lang w:val="de-DE"/>
              </w:rPr>
              <w:t>Niederlassung Frankfurt am Main</w:t>
            </w:r>
          </w:p>
          <w:p w:rsidR="00BF1E74" w:rsidRPr="00B34C1C" w:rsidP="00E60155">
            <w:pPr>
              <w:pStyle w:val="CSBody0"/>
              <w:jc w:val="center"/>
              <w:rPr>
                <w:i/>
                <w:lang w:val="de-DE"/>
              </w:rPr>
            </w:pPr>
            <w:r w:rsidRPr="00B34C1C">
              <w:rPr>
                <w:i/>
                <w:lang w:val="de-DE"/>
              </w:rPr>
              <w:t>Junghofstrasse 16</w:t>
            </w:r>
          </w:p>
          <w:p w:rsidR="00BF1E74" w:rsidRPr="00B34C1C" w:rsidP="00E60155">
            <w:pPr>
              <w:pStyle w:val="CSBody0"/>
              <w:jc w:val="center"/>
              <w:rPr>
                <w:i/>
                <w:lang w:val="de-DE"/>
              </w:rPr>
            </w:pPr>
            <w:r w:rsidRPr="00B34C1C">
              <w:rPr>
                <w:i/>
                <w:lang w:val="de-DE"/>
              </w:rPr>
              <w:t>60311 Frankfurt am Main</w:t>
            </w:r>
          </w:p>
          <w:p w:rsidR="00BF1E74" w:rsidRPr="00B34C1C" w:rsidP="00E60155">
            <w:pPr>
              <w:pStyle w:val="CSBody0"/>
              <w:jc w:val="center"/>
              <w:rPr>
                <w:lang w:val="de-DE"/>
              </w:rPr>
            </w:pPr>
            <w:r w:rsidRPr="00B34C1C">
              <w:rPr>
                <w:i/>
                <w:lang w:val="de-DE"/>
              </w:rPr>
              <w:t>Germany/Deutschland</w:t>
            </w:r>
            <w:r w:rsidRPr="00F94B27" w:rsidR="00F94B27">
              <w:rPr>
                <w:b/>
                <w:lang w:val="de-DE"/>
              </w:rPr>
              <w:t>]</w:t>
            </w:r>
          </w:p>
        </w:tc>
      </w:tr>
      <w:tr w:rsidTr="00490CF0">
        <w:tblPrEx>
          <w:tblW w:w="9639" w:type="dxa"/>
          <w:tblLook w:val="04A0"/>
        </w:tblPrEx>
        <w:tc>
          <w:tcPr>
            <w:tcW w:w="9243" w:type="dxa"/>
            <w:gridSpan w:val="4"/>
            <w:tcBorders>
              <w:top w:val="nil"/>
              <w:left w:val="nil"/>
              <w:bottom w:val="nil"/>
              <w:right w:val="nil"/>
            </w:tcBorders>
          </w:tcPr>
          <w:p w:rsidR="00317E9A" w:rsidRPr="00E60155" w:rsidP="00E60155">
            <w:pPr>
              <w:pStyle w:val="CSBody0"/>
              <w:jc w:val="center"/>
              <w:rPr>
                <w:b/>
                <w:i/>
              </w:rPr>
            </w:pPr>
            <w:r w:rsidRPr="00E60155">
              <w:rPr>
                <w:b/>
                <w:i/>
              </w:rPr>
              <w:t>Paying Agent /Zahlstelle</w:t>
            </w:r>
          </w:p>
        </w:tc>
      </w:tr>
      <w:tr w:rsidTr="00490CF0">
        <w:tblPrEx>
          <w:tblW w:w="9639" w:type="dxa"/>
          <w:tblLook w:val="04A0"/>
        </w:tblPrEx>
        <w:tc>
          <w:tcPr>
            <w:tcW w:w="4621" w:type="dxa"/>
            <w:gridSpan w:val="2"/>
            <w:tcBorders>
              <w:top w:val="nil"/>
              <w:left w:val="nil"/>
              <w:bottom w:val="nil"/>
              <w:right w:val="nil"/>
            </w:tcBorders>
          </w:tcPr>
          <w:p w:rsidR="00BF1E74" w:rsidRPr="0071650B" w:rsidP="00E60155">
            <w:pPr>
              <w:pStyle w:val="CSBody0"/>
              <w:jc w:val="center"/>
              <w:rPr>
                <w:i/>
                <w:lang w:val="de-DE"/>
              </w:rPr>
            </w:pPr>
            <w:r w:rsidRPr="00F94B27">
              <w:rPr>
                <w:b/>
                <w:i/>
                <w:lang w:val="de-DE"/>
              </w:rPr>
              <w:t>[</w:t>
            </w:r>
            <w:r w:rsidRPr="0071650B">
              <w:rPr>
                <w:i/>
                <w:lang w:val="de-DE"/>
              </w:rPr>
              <w:t>Credit Suisse AG</w:t>
            </w:r>
          </w:p>
          <w:p w:rsidR="00BF1E74" w:rsidRPr="0071650B" w:rsidP="00E60155">
            <w:pPr>
              <w:pStyle w:val="CSBody0"/>
              <w:jc w:val="center"/>
              <w:rPr>
                <w:i/>
                <w:lang w:val="de-DE"/>
              </w:rPr>
            </w:pPr>
            <w:r w:rsidRPr="0071650B">
              <w:rPr>
                <w:i/>
                <w:lang w:val="de-DE"/>
              </w:rPr>
              <w:t>Paradeplatz 8</w:t>
            </w:r>
          </w:p>
          <w:p w:rsidR="00BF1E74" w:rsidRPr="0071650B" w:rsidP="00E60155">
            <w:pPr>
              <w:pStyle w:val="CSBody0"/>
              <w:jc w:val="center"/>
              <w:rPr>
                <w:i/>
                <w:lang w:val="de-DE"/>
              </w:rPr>
            </w:pPr>
            <w:r w:rsidRPr="0071650B">
              <w:rPr>
                <w:i/>
                <w:lang w:val="de-DE"/>
              </w:rPr>
              <w:t>8001 Zurich/Zürich</w:t>
            </w:r>
          </w:p>
          <w:p w:rsidR="00BF1E74" w:rsidRPr="0071650B" w:rsidP="00E60155">
            <w:pPr>
              <w:pStyle w:val="CSBody0"/>
              <w:jc w:val="center"/>
              <w:rPr>
                <w:i/>
              </w:rPr>
            </w:pPr>
            <w:r w:rsidRPr="0071650B">
              <w:rPr>
                <w:i/>
              </w:rPr>
              <w:t>Switzerland/Schweiz</w:t>
            </w:r>
            <w:r w:rsidRPr="00F94B27" w:rsidR="00F94B27">
              <w:rPr>
                <w:b/>
                <w:i/>
              </w:rPr>
              <w:t>]</w:t>
            </w:r>
          </w:p>
        </w:tc>
        <w:tc>
          <w:tcPr>
            <w:tcW w:w="4622" w:type="dxa"/>
            <w:gridSpan w:val="2"/>
            <w:tcBorders>
              <w:top w:val="nil"/>
              <w:left w:val="nil"/>
              <w:bottom w:val="nil"/>
              <w:right w:val="nil"/>
            </w:tcBorders>
          </w:tcPr>
          <w:p w:rsidR="00BF1E74" w:rsidRPr="0071650B" w:rsidP="00E60155">
            <w:pPr>
              <w:pStyle w:val="CSBody0"/>
              <w:jc w:val="center"/>
              <w:rPr>
                <w:i/>
                <w:lang w:val="de-DE"/>
              </w:rPr>
            </w:pPr>
            <w:r w:rsidRPr="00F94B27">
              <w:rPr>
                <w:b/>
                <w:i/>
                <w:lang w:val="de-DE"/>
              </w:rPr>
              <w:t>[</w:t>
            </w:r>
            <w:r w:rsidRPr="0071650B">
              <w:rPr>
                <w:i/>
                <w:lang w:val="de-DE"/>
              </w:rPr>
              <w:t>Credit Suisse Securities (Europe) Limited</w:t>
            </w:r>
          </w:p>
          <w:p w:rsidR="00BF1E74" w:rsidRPr="0071650B" w:rsidP="00E60155">
            <w:pPr>
              <w:pStyle w:val="CSBody0"/>
              <w:jc w:val="center"/>
              <w:rPr>
                <w:i/>
                <w:lang w:val="de-DE"/>
              </w:rPr>
            </w:pPr>
            <w:r w:rsidRPr="0071650B">
              <w:rPr>
                <w:i/>
                <w:lang w:val="de-DE"/>
              </w:rPr>
              <w:t>Niederlassung Frankfurt am Main</w:t>
            </w:r>
          </w:p>
          <w:p w:rsidR="00BF1E74" w:rsidRPr="0071650B" w:rsidP="00E60155">
            <w:pPr>
              <w:pStyle w:val="CSBody0"/>
              <w:jc w:val="center"/>
              <w:rPr>
                <w:i/>
                <w:lang w:val="de-DE"/>
              </w:rPr>
            </w:pPr>
            <w:r w:rsidRPr="0071650B">
              <w:rPr>
                <w:i/>
                <w:lang w:val="de-DE"/>
              </w:rPr>
              <w:t>Junghofstrasse 16</w:t>
            </w:r>
          </w:p>
          <w:p w:rsidR="00BF1E74" w:rsidRPr="0071650B" w:rsidP="00E60155">
            <w:pPr>
              <w:pStyle w:val="CSBody0"/>
              <w:jc w:val="center"/>
              <w:rPr>
                <w:i/>
                <w:lang w:val="de-DE"/>
              </w:rPr>
            </w:pPr>
            <w:r w:rsidRPr="0071650B">
              <w:rPr>
                <w:i/>
                <w:lang w:val="de-DE"/>
              </w:rPr>
              <w:t>60311 Frankfurt am Main</w:t>
            </w:r>
          </w:p>
          <w:p w:rsidR="00BF1E74" w:rsidRPr="0071650B" w:rsidP="00E60155">
            <w:pPr>
              <w:pStyle w:val="CSBody0"/>
              <w:jc w:val="center"/>
              <w:rPr>
                <w:i/>
                <w:lang w:val="de-DE"/>
              </w:rPr>
            </w:pPr>
            <w:r w:rsidRPr="0071650B">
              <w:rPr>
                <w:i/>
                <w:lang w:val="de-DE"/>
              </w:rPr>
              <w:t>Germany/Deutschland</w:t>
            </w:r>
            <w:r w:rsidRPr="00F94B27" w:rsidR="00F94B27">
              <w:rPr>
                <w:b/>
                <w:i/>
                <w:lang w:val="de-DE"/>
              </w:rPr>
              <w:t>]</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rPr>
                <w:b/>
                <w:i/>
              </w:rPr>
            </w:pPr>
            <w:r w:rsidRPr="0071650B">
              <w:rPr>
                <w:b/>
                <w:i/>
              </w:rPr>
              <w:t>SIX Swiss Exchange Ltd Listing Agent/Anerkannter Vertreter SIX Swiss Exchange AG</w:t>
            </w:r>
          </w:p>
        </w:tc>
      </w:tr>
      <w:tr w:rsidTr="00490CF0">
        <w:tblPrEx>
          <w:tblW w:w="9639" w:type="dxa"/>
          <w:tblLook w:val="04A0"/>
        </w:tblPrEx>
        <w:tc>
          <w:tcPr>
            <w:tcW w:w="9243" w:type="dxa"/>
            <w:gridSpan w:val="4"/>
            <w:tcBorders>
              <w:top w:val="nil"/>
              <w:left w:val="nil"/>
              <w:bottom w:val="nil"/>
              <w:right w:val="nil"/>
            </w:tcBorders>
          </w:tcPr>
          <w:p w:rsidR="00BF1E74" w:rsidRPr="0071650B" w:rsidP="00E60155">
            <w:pPr>
              <w:pStyle w:val="CSBody0"/>
              <w:jc w:val="center"/>
              <w:rPr>
                <w:i/>
                <w:lang w:val="de-DE"/>
              </w:rPr>
            </w:pPr>
            <w:r w:rsidRPr="0071650B">
              <w:rPr>
                <w:i/>
                <w:lang w:val="de-DE"/>
              </w:rPr>
              <w:t>Credit Suisse AG</w:t>
            </w:r>
          </w:p>
          <w:p w:rsidR="00BF1E74" w:rsidRPr="0071650B" w:rsidP="00E60155">
            <w:pPr>
              <w:pStyle w:val="CSBody0"/>
              <w:jc w:val="center"/>
              <w:rPr>
                <w:i/>
                <w:lang w:val="de-DE"/>
              </w:rPr>
            </w:pPr>
            <w:r w:rsidRPr="0071650B">
              <w:rPr>
                <w:i/>
                <w:lang w:val="de-DE"/>
              </w:rPr>
              <w:t>Paradeplatz 8</w:t>
            </w:r>
          </w:p>
          <w:p w:rsidR="00BF1E74" w:rsidRPr="0071650B" w:rsidP="00E60155">
            <w:pPr>
              <w:pStyle w:val="CSBody0"/>
              <w:jc w:val="center"/>
              <w:rPr>
                <w:i/>
                <w:lang w:val="de-DE"/>
              </w:rPr>
            </w:pPr>
            <w:r w:rsidRPr="0071650B">
              <w:rPr>
                <w:i/>
                <w:lang w:val="de-DE"/>
              </w:rPr>
              <w:t>8001 Zurich/Zürich</w:t>
            </w:r>
          </w:p>
          <w:p w:rsidR="00317E9A" w:rsidRPr="0071650B" w:rsidP="00E60155">
            <w:pPr>
              <w:pStyle w:val="CSBody0"/>
              <w:jc w:val="center"/>
              <w:rPr>
                <w:i/>
              </w:rPr>
            </w:pPr>
            <w:r w:rsidRPr="0071650B">
              <w:rPr>
                <w:i/>
              </w:rPr>
              <w:t>Switzerland/Schweiz</w:t>
            </w:r>
          </w:p>
        </w:tc>
      </w:tr>
      <w:tr w:rsidTr="00490CF0">
        <w:tblPrEx>
          <w:tblW w:w="9639" w:type="dxa"/>
          <w:tblLook w:val="04A0"/>
        </w:tblPrEx>
        <w:tc>
          <w:tcPr>
            <w:tcW w:w="9243" w:type="dxa"/>
            <w:gridSpan w:val="4"/>
            <w:tcBorders>
              <w:top w:val="nil"/>
              <w:left w:val="nil"/>
              <w:bottom w:val="nil"/>
              <w:right w:val="nil"/>
            </w:tcBorders>
          </w:tcPr>
          <w:p w:rsidR="00317E9A" w:rsidRPr="0071650B" w:rsidP="00E60155">
            <w:pPr>
              <w:pStyle w:val="CSBody0"/>
              <w:jc w:val="center"/>
              <w:rPr>
                <w:b/>
                <w:i/>
              </w:rPr>
            </w:pPr>
            <w:r w:rsidRPr="0071650B">
              <w:rPr>
                <w:b/>
                <w:i/>
              </w:rPr>
              <w:t>Legal Advisers/Rechtsberater</w:t>
            </w:r>
          </w:p>
        </w:tc>
      </w:tr>
      <w:tr w:rsidTr="00490CF0">
        <w:tblPrEx>
          <w:tblW w:w="9639" w:type="dxa"/>
          <w:tblLook w:val="04A0"/>
        </w:tblPrEx>
        <w:tc>
          <w:tcPr>
            <w:tcW w:w="4621" w:type="dxa"/>
            <w:gridSpan w:val="2"/>
            <w:tcBorders>
              <w:top w:val="nil"/>
              <w:left w:val="nil"/>
              <w:bottom w:val="nil"/>
              <w:right w:val="nil"/>
            </w:tcBorders>
          </w:tcPr>
          <w:p w:rsidR="00BF1E74" w:rsidRPr="0071650B" w:rsidP="00E60155">
            <w:pPr>
              <w:pStyle w:val="CSBody0"/>
              <w:jc w:val="center"/>
              <w:rPr>
                <w:i/>
                <w:lang w:val="de-DE"/>
              </w:rPr>
            </w:pPr>
            <w:r w:rsidRPr="0071650B">
              <w:rPr>
                <w:i/>
                <w:lang w:val="de-DE"/>
              </w:rPr>
              <w:t>Homburger AG</w:t>
            </w:r>
          </w:p>
          <w:p w:rsidR="00BF1E74" w:rsidRPr="0071650B" w:rsidP="00E60155">
            <w:pPr>
              <w:pStyle w:val="CSBody0"/>
              <w:jc w:val="center"/>
              <w:rPr>
                <w:i/>
                <w:lang w:val="de-DE"/>
              </w:rPr>
            </w:pPr>
            <w:r w:rsidRPr="0071650B">
              <w:rPr>
                <w:i/>
                <w:lang w:val="de-DE"/>
              </w:rPr>
              <w:t>Prime Tower, Hardstrasse 201</w:t>
            </w:r>
          </w:p>
          <w:p w:rsidR="00BF1E74" w:rsidRPr="0071650B" w:rsidP="00E60155">
            <w:pPr>
              <w:pStyle w:val="CSBody0"/>
              <w:jc w:val="center"/>
              <w:rPr>
                <w:i/>
                <w:lang w:val="de-DE"/>
              </w:rPr>
            </w:pPr>
            <w:r w:rsidRPr="0071650B">
              <w:rPr>
                <w:i/>
                <w:lang w:val="de-DE"/>
              </w:rPr>
              <w:t>8005 Zurich/Zürich</w:t>
            </w:r>
          </w:p>
          <w:p w:rsidR="00BF1E74" w:rsidRPr="0071650B" w:rsidP="00E60155">
            <w:pPr>
              <w:pStyle w:val="CSBody0"/>
              <w:jc w:val="center"/>
              <w:rPr>
                <w:i/>
              </w:rPr>
            </w:pPr>
            <w:r w:rsidRPr="0071650B">
              <w:rPr>
                <w:i/>
              </w:rPr>
              <w:t>Switzerland/Schweiz</w:t>
            </w:r>
          </w:p>
        </w:tc>
        <w:tc>
          <w:tcPr>
            <w:tcW w:w="4622" w:type="dxa"/>
            <w:gridSpan w:val="2"/>
            <w:tcBorders>
              <w:top w:val="nil"/>
              <w:left w:val="nil"/>
              <w:bottom w:val="nil"/>
              <w:right w:val="nil"/>
            </w:tcBorders>
          </w:tcPr>
          <w:p w:rsidR="00BF1E74" w:rsidRPr="0071650B" w:rsidP="00E60155">
            <w:pPr>
              <w:pStyle w:val="CSBody0"/>
              <w:jc w:val="center"/>
              <w:rPr>
                <w:i/>
                <w:lang w:val="de-DE"/>
              </w:rPr>
            </w:pPr>
            <w:r w:rsidRPr="0071650B">
              <w:rPr>
                <w:i/>
                <w:lang w:val="de-DE"/>
              </w:rPr>
              <w:t>Allen &amp; Overy LLP</w:t>
            </w:r>
          </w:p>
          <w:p w:rsidR="00BF1E74" w:rsidRPr="0071650B" w:rsidP="00E60155">
            <w:pPr>
              <w:pStyle w:val="CSBody0"/>
              <w:jc w:val="center"/>
              <w:rPr>
                <w:i/>
                <w:lang w:val="de-DE"/>
              </w:rPr>
            </w:pPr>
            <w:r w:rsidRPr="0071650B">
              <w:rPr>
                <w:i/>
                <w:lang w:val="de-DE"/>
              </w:rPr>
              <w:t>Bockenheimer Landstrasse 2</w:t>
            </w:r>
          </w:p>
          <w:p w:rsidR="00BF1E74" w:rsidRPr="0071650B" w:rsidP="00E60155">
            <w:pPr>
              <w:pStyle w:val="CSBody0"/>
              <w:jc w:val="center"/>
              <w:rPr>
                <w:i/>
                <w:lang w:val="de-DE"/>
              </w:rPr>
            </w:pPr>
            <w:r w:rsidRPr="0071650B">
              <w:rPr>
                <w:i/>
                <w:lang w:val="de-DE"/>
              </w:rPr>
              <w:t>60306 Frankfurt am Main</w:t>
            </w:r>
          </w:p>
          <w:p w:rsidR="00BF1E74" w:rsidRPr="0071650B" w:rsidP="00E60155">
            <w:pPr>
              <w:pStyle w:val="CSBody0"/>
              <w:jc w:val="center"/>
              <w:rPr>
                <w:i/>
                <w:lang w:val="de-DE"/>
              </w:rPr>
            </w:pPr>
            <w:r w:rsidRPr="0071650B">
              <w:rPr>
                <w:i/>
                <w:lang w:val="de-DE"/>
              </w:rPr>
              <w:t>Germany/Deutschland</w:t>
            </w:r>
          </w:p>
        </w:tc>
      </w:tr>
    </w:tbl>
    <w:p w:rsidR="00A457E7" w:rsidRPr="00B34C1C" w:rsidP="009C6D81">
      <w:pPr>
        <w:pStyle w:val="CSBody0"/>
        <w:rPr>
          <w:lang w:val="de-DE"/>
        </w:rPr>
      </w:pPr>
    </w:p>
    <w:sectPr w:rsidSect="00E22A75">
      <w:headerReference w:type="default" r:id="rId73"/>
      <w:footerReference w:type="default" r:id="rId74"/>
      <w:headerReference w:type="first" r:id="rId75"/>
      <w:footerReference w:type="first" r:id="rId76"/>
      <w:pgSz w:w="11907" w:h="16839"/>
      <w:pgMar w:top="1440" w:right="1134" w:bottom="1440" w:left="1134"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redit Suisse Type Light">
    <w:panose1 w:val="020B0303040503020204"/>
    <w:charset w:val="00"/>
    <w:family w:val="swiss"/>
    <w:pitch w:val="variable"/>
    <w:sig w:usb0="800000AF" w:usb1="5000204A" w:usb2="00000000" w:usb3="00000000" w:csb0="0000009B"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utch801BT-BoldItalic">
    <w:panose1 w:val="00000000000000000000"/>
    <w:charset w:val="00"/>
    <w:family w:val="roman"/>
    <w:notTrueType/>
    <w:pitch w:val="default"/>
    <w:sig w:usb0="00000003" w:usb1="00000000" w:usb2="00000000" w:usb3="00000000" w:csb0="00000001" w:csb1="00000000"/>
  </w:font>
  <w:font w:name="CreditSuisseType-Light">
    <w:panose1 w:val="00000000000000000000"/>
    <w:charset w:val="00"/>
    <w:family w:val="swiss"/>
    <w:notTrueType/>
    <w:pitch w:val="default"/>
    <w:sig w:usb0="00000003" w:usb1="00000000" w:usb2="00000000" w:usb3="00000000" w:csb0="00000001" w:csb1="00000000"/>
  </w:font>
  <w:font w:name="Dutch801BT-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608538414"/>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165</w:t>
        </w:r>
        <w:r>
          <w:rPr>
            <w:noProof/>
          </w:rPr>
          <w:fldChar w:fldCharType="end"/>
        </w:r>
      </w:p>
    </w:sdtContent>
  </w:sdt>
  <w:p w:rsidR="00AB5C77">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780939521"/>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Pr>
            <w:noProof/>
          </w:rPr>
          <w:t>159</w:t>
        </w:r>
        <w:r>
          <w:rPr>
            <w:noProof/>
          </w:rPr>
          <w:fldChar w:fldCharType="end"/>
        </w:r>
      </w:p>
    </w:sdtContent>
  </w:sdt>
  <w:p w:rsidR="00AB5C77">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994649075"/>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166</w:t>
        </w:r>
        <w:r>
          <w:rPr>
            <w:noProof/>
          </w:rPr>
          <w:fldChar w:fldCharType="end"/>
        </w:r>
      </w:p>
    </w:sdtContent>
  </w:sdt>
  <w:p w:rsidR="00AB5C77">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27407774"/>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171</w:t>
        </w:r>
        <w:r>
          <w:rPr>
            <w:noProof/>
          </w:rPr>
          <w:fldChar w:fldCharType="end"/>
        </w:r>
      </w:p>
    </w:sdtContent>
  </w:sdt>
  <w:p w:rsidR="00AB5C77">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335111777"/>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238</w:t>
        </w:r>
        <w:r>
          <w:rPr>
            <w:noProof/>
          </w:rPr>
          <w:fldChar w:fldCharType="end"/>
        </w:r>
      </w:p>
    </w:sdtContent>
  </w:sdt>
  <w:p w:rsidR="00AB5C77">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478041547"/>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268</w:t>
        </w:r>
        <w:r>
          <w:rPr>
            <w:noProof/>
          </w:rPr>
          <w:fldChar w:fldCharType="end"/>
        </w:r>
      </w:p>
    </w:sdtContent>
  </w:sdt>
  <w:p w:rsidR="00AB5C77">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rPr>
        <w:vanish/>
        <w:highlight w:val="yellow"/>
      </w:rPr>
      <w:id w:val="-1266532657"/>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F23AEB">
          <w:rPr>
            <w:noProof/>
          </w:rPr>
          <w:t>2</w:t>
        </w:r>
        <w:r>
          <w:rPr>
            <w:noProof/>
          </w:rPr>
          <w:fldChar w:fldCharType="end"/>
        </w:r>
      </w:p>
    </w:sdtContent>
  </w:sdt>
  <w:p w:rsidR="00AB5C77">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927883216"/>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271</w:t>
        </w:r>
        <w:r>
          <w:rPr>
            <w:noProof/>
          </w:rPr>
          <w:fldChar w:fldCharType="end"/>
        </w:r>
      </w:p>
    </w:sdtContent>
  </w:sdt>
  <w:p w:rsidR="00AB5C77">
    <w:pPr>
      <w:pStyle w:val="Foo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277644282"/>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312</w:t>
        </w:r>
        <w:r>
          <w:rPr>
            <w:noProof/>
          </w:rPr>
          <w:fldChar w:fldCharType="end"/>
        </w:r>
      </w:p>
    </w:sdtContent>
  </w:sdt>
  <w:p w:rsidR="00AB5C77">
    <w:pPr>
      <w:pStyle w:val="Foote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620063266"/>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319</w:t>
        </w:r>
        <w:r>
          <w:rPr>
            <w:noProof/>
          </w:rPr>
          <w:fldChar w:fldCharType="end"/>
        </w:r>
      </w:p>
    </w:sdtContent>
  </w:sdt>
  <w:p w:rsidR="00AB5C77">
    <w:pPr>
      <w:pStyle w:val="Foote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647474688"/>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531</w:t>
        </w:r>
        <w:r>
          <w:rPr>
            <w:noProof/>
          </w:rPr>
          <w:fldChar w:fldCharType="end"/>
        </w:r>
      </w:p>
    </w:sdtContent>
  </w:sdt>
  <w:p w:rsidR="00AB5C77">
    <w:pPr>
      <w:pStyle w:val="Foote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895117801"/>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534</w:t>
        </w:r>
        <w:r>
          <w:rPr>
            <w:noProof/>
          </w:rPr>
          <w:fldChar w:fldCharType="end"/>
        </w:r>
      </w:p>
    </w:sdtContent>
  </w:sdt>
  <w:p w:rsidR="00AB5C7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762341518"/>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535</w:t>
        </w:r>
        <w:r>
          <w:rPr>
            <w:noProof/>
          </w:rPr>
          <w:fldChar w:fldCharType="end"/>
        </w:r>
      </w:p>
    </w:sdtContent>
  </w:sdt>
  <w:p w:rsidR="00AB5C77">
    <w:pPr>
      <w:pStyle w:val="Footer"/>
    </w:pP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296182793"/>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4D682C">
          <w:rPr>
            <w:noProof/>
          </w:rPr>
          <w:t>540</w:t>
        </w:r>
        <w:r>
          <w:rPr>
            <w:noProof/>
          </w:rPr>
          <w:fldChar w:fldCharType="end"/>
        </w:r>
      </w:p>
    </w:sdtContent>
  </w:sdt>
  <w:p w:rsidR="00AB5C77">
    <w:pPr>
      <w:pStyle w:val="Footer"/>
    </w:pP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rPr>
        <w:vanish/>
        <w:highlight w:val="yellow"/>
      </w:rPr>
      <w:id w:val="1068999462"/>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155</w:t>
        </w:r>
        <w:r>
          <w:rPr>
            <w:noProof/>
          </w:rPr>
          <w:fldChar w:fldCharType="end"/>
        </w:r>
      </w:p>
    </w:sdtContent>
  </w:sdt>
  <w:p w:rsidR="00AB5C7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022779020"/>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161</w:t>
        </w:r>
        <w:r>
          <w:rPr>
            <w:noProof/>
          </w:rPr>
          <w:fldChar w:fldCharType="end"/>
        </w:r>
      </w:p>
    </w:sdtContent>
  </w:sdt>
  <w:p w:rsidR="00AB5C77">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572426835"/>
      <w:docPartObj>
        <w:docPartGallery w:val="Page Numbers (Bottom of Page)"/>
        <w:docPartUnique/>
      </w:docPartObj>
    </w:sdtPr>
    <w:sdtEndPr>
      <w:rPr>
        <w:noProof/>
      </w:rPr>
    </w:sdtEndPr>
    <w:sdtContent>
      <w:p w:rsidR="00AB5C77">
        <w:pPr>
          <w:pStyle w:val="Footer"/>
          <w:jc w:val="center"/>
        </w:pPr>
        <w:r>
          <w:fldChar w:fldCharType="begin"/>
        </w:r>
        <w:r>
          <w:instrText xml:space="preserve"> PAGE   \* MERGEFORMAT </w:instrText>
        </w:r>
        <w:r>
          <w:fldChar w:fldCharType="separate"/>
        </w:r>
        <w:r w:rsidR="0093513E">
          <w:rPr>
            <w:noProof/>
          </w:rPr>
          <w:t>164</w:t>
        </w:r>
        <w:r>
          <w:rPr>
            <w:noProof/>
          </w:rPr>
          <w:fldChar w:fldCharType="end"/>
        </w:r>
      </w:p>
    </w:sdtContent>
  </w:sdt>
  <w:p w:rsidR="00AB5C77">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footnote w:type="separator" w:id="0">
    <w:p w:rsidR="00AB5C77" w:rsidP="00397F85">
      <w:r>
        <w:separator/>
      </w:r>
    </w:p>
  </w:footnote>
  <w:footnote w:type="continuationSeparator" w:id="1">
    <w:p w:rsidR="00AB5C77" w:rsidP="00397F85">
      <w:r>
        <w:continuationSeparator/>
      </w:r>
    </w:p>
  </w:footnote>
  <w:footnote w:id="2">
    <w:p w:rsidR="00AB5C77" w:rsidRPr="00A2011F" w:rsidP="00CE7E24">
      <w:pPr>
        <w:pStyle w:val="FootnoteText"/>
      </w:pPr>
      <w:r w:rsidRPr="00A2011F">
        <w:rPr>
          <w:rStyle w:val="FootnoteReference"/>
        </w:rPr>
        <w:footnoteRef/>
      </w:r>
      <w:r w:rsidRPr="00A2011F">
        <w:t xml:space="preserve"> Insert in case of Complex Products pursuant to Article 8of the Commission Regulation (EC) 809/2004 as amended (the "</w:t>
      </w:r>
      <w:r w:rsidRPr="00A2011F">
        <w:rPr>
          <w:b/>
        </w:rPr>
        <w:t>Prospectus Regulation</w:t>
      </w:r>
      <w:r w:rsidRPr="00A2011F">
        <w:t>")</w:t>
      </w:r>
    </w:p>
  </w:footnote>
  <w:footnote w:id="3">
    <w:p w:rsidR="00AB5C77" w:rsidRPr="00A2011F" w:rsidP="00CE7E24">
      <w:pPr>
        <w:pStyle w:val="FootnoteText"/>
        <w:rPr>
          <w:lang w:val="de-DE"/>
        </w:rPr>
      </w:pPr>
      <w:r w:rsidRPr="00A2011F">
        <w:rPr>
          <w:rStyle w:val="FootnoteReference"/>
        </w:rPr>
        <w:footnoteRef/>
      </w:r>
      <w:r w:rsidRPr="00A2011F">
        <w:rPr>
          <w:lang w:val="de-DE"/>
        </w:rPr>
        <w:t xml:space="preserve"> Bei Komplexen Produkten gemäss Artikel 8 der Verordnung (EG) Nr. 809/2004 der Kommission in der jeweils geltenden Fassung (die "</w:t>
      </w:r>
      <w:r w:rsidRPr="00CE7E24">
        <w:rPr>
          <w:b/>
          <w:lang w:val="de-DE"/>
        </w:rPr>
        <w:t>Prospektverordnung</w:t>
      </w:r>
      <w:r w:rsidRPr="00A2011F">
        <w:rPr>
          <w:lang w:val="de-DE"/>
        </w:rPr>
        <w:t>") einfügen.</w:t>
      </w:r>
    </w:p>
  </w:footnote>
  <w:footnote w:id="4">
    <w:p w:rsidR="00AB5C77" w:rsidRPr="00AC3522">
      <w:pPr>
        <w:pStyle w:val="FootnoteText"/>
      </w:pPr>
      <w:r>
        <w:rPr>
          <w:rStyle w:val="FootnoteReference"/>
        </w:rPr>
        <w:footnoteRef/>
      </w:r>
      <w:r>
        <w:t xml:space="preserve"> </w:t>
      </w:r>
      <w:r w:rsidRPr="00AC3522">
        <w:t>Insert in case of Complex Products pursuant to Article 8 of the Prospectus Regulation.</w:t>
      </w:r>
    </w:p>
  </w:footnote>
  <w:footnote w:id="5">
    <w:p w:rsidR="00AB5C77" w:rsidRPr="00AC3522">
      <w:pPr>
        <w:pStyle w:val="FootnoteText"/>
        <w:rPr>
          <w:lang w:val="de-DE"/>
        </w:rPr>
      </w:pPr>
      <w:r>
        <w:rPr>
          <w:rStyle w:val="FootnoteReference"/>
        </w:rPr>
        <w:footnoteRef/>
      </w:r>
      <w:r w:rsidRPr="00AC3522">
        <w:rPr>
          <w:lang w:val="de-DE"/>
        </w:rPr>
        <w:t xml:space="preserve"> Bei Schuldverschreibungen gemäss Artikel 8 der Prospektverordnung einfügen.</w:t>
      </w:r>
    </w:p>
  </w:footnote>
  <w:footnote w:id="6">
    <w:p w:rsidR="00AB5C77" w:rsidRPr="0069139B">
      <w:pPr>
        <w:pStyle w:val="FootnoteText"/>
      </w:pPr>
      <w:r>
        <w:rPr>
          <w:rStyle w:val="FootnoteReference"/>
        </w:rPr>
        <w:footnoteRef/>
      </w:r>
      <w:r>
        <w:t xml:space="preserve"> Insert in case of Complex Products pursuant to Article 15 of the Prospectus Regulation</w:t>
      </w:r>
    </w:p>
  </w:footnote>
  <w:footnote w:id="7">
    <w:p w:rsidR="00AB5C77" w:rsidRPr="0069139B">
      <w:pPr>
        <w:pStyle w:val="FootnoteText"/>
        <w:rPr>
          <w:lang w:val="de-DE"/>
        </w:rPr>
      </w:pPr>
      <w:r>
        <w:rPr>
          <w:rStyle w:val="FootnoteReference"/>
        </w:rPr>
        <w:footnoteRef/>
      </w:r>
      <w:r w:rsidRPr="0069139B">
        <w:rPr>
          <w:lang w:val="de-DE"/>
        </w:rPr>
        <w:t xml:space="preserve"> Bei Komplexen Produkten gemäss Artikel 15 der Prospektverordnung einfügen</w:t>
      </w:r>
    </w:p>
  </w:footnote>
  <w:footnote w:id="8">
    <w:p w:rsidR="00AB5C77" w:rsidRPr="002F7676">
      <w:pPr>
        <w:pStyle w:val="FootnoteText"/>
      </w:pPr>
      <w:r>
        <w:rPr>
          <w:rStyle w:val="FootnoteReference"/>
        </w:rPr>
        <w:footnoteRef/>
      </w:r>
      <w:r>
        <w:t xml:space="preserve"> </w:t>
      </w:r>
      <w:r w:rsidRPr="002F7676">
        <w:t>Insert in case of Complex Products pursuant to Article 15 of the Prospectus Regulation</w:t>
      </w:r>
    </w:p>
  </w:footnote>
  <w:footnote w:id="9">
    <w:p w:rsidR="00AB5C77" w:rsidRPr="002F7676">
      <w:pPr>
        <w:pStyle w:val="FootnoteText"/>
        <w:rPr>
          <w:lang w:val="de-DE"/>
        </w:rPr>
      </w:pPr>
      <w:r>
        <w:rPr>
          <w:rStyle w:val="FootnoteReference"/>
        </w:rPr>
        <w:footnoteRef/>
      </w:r>
      <w:r w:rsidRPr="002F7676">
        <w:rPr>
          <w:lang w:val="de-DE"/>
        </w:rPr>
        <w:t xml:space="preserve"> Bei Komplexen Produkten gemäss Artikel 15 der Prospektverordnung einfügen.</w:t>
      </w:r>
    </w:p>
  </w:footnote>
  <w:footnote w:id="10">
    <w:p w:rsidR="00AB5C77" w:rsidRPr="002F7676">
      <w:pPr>
        <w:pStyle w:val="FootnoteText"/>
      </w:pPr>
      <w:r>
        <w:rPr>
          <w:rStyle w:val="FootnoteReference"/>
        </w:rPr>
        <w:footnoteRef/>
      </w:r>
      <w:r>
        <w:t xml:space="preserve"> </w:t>
      </w:r>
      <w:r w:rsidRPr="002F7676">
        <w:t>Insert in case of Complex Products pursuant to Article 15 of the Prospectus Regulation.</w:t>
      </w:r>
    </w:p>
  </w:footnote>
  <w:footnote w:id="11">
    <w:p w:rsidR="00AB5C77" w:rsidRPr="002F7676">
      <w:pPr>
        <w:pStyle w:val="FootnoteText"/>
        <w:rPr>
          <w:lang w:val="de-DE"/>
        </w:rPr>
      </w:pPr>
      <w:r>
        <w:rPr>
          <w:rStyle w:val="FootnoteReference"/>
        </w:rPr>
        <w:footnoteRef/>
      </w:r>
      <w:r w:rsidRPr="002F7676">
        <w:rPr>
          <w:lang w:val="de-DE"/>
        </w:rPr>
        <w:t xml:space="preserve"> Bei Komplexen Produkten gemäss Artikel 15 der Prospektverordnung einfügen.</w:t>
      </w:r>
    </w:p>
  </w:footnote>
  <w:footnote w:id="12">
    <w:p w:rsidR="00AB5C77" w:rsidRPr="002F7676">
      <w:pPr>
        <w:pStyle w:val="FootnoteText"/>
      </w:pPr>
      <w:r>
        <w:rPr>
          <w:rStyle w:val="FootnoteReference"/>
        </w:rPr>
        <w:footnoteRef/>
      </w:r>
      <w:r>
        <w:t xml:space="preserve"> </w:t>
      </w:r>
      <w:r w:rsidRPr="002F7676">
        <w:t>Insert in case of Complex Products pursuant to Article 15 of the Prospectus Regulation.</w:t>
      </w:r>
    </w:p>
  </w:footnote>
  <w:footnote w:id="13">
    <w:p w:rsidR="00AB5C77" w:rsidRPr="002F7676">
      <w:pPr>
        <w:pStyle w:val="FootnoteText"/>
        <w:rPr>
          <w:lang w:val="de-DE"/>
        </w:rPr>
      </w:pPr>
      <w:r>
        <w:rPr>
          <w:rStyle w:val="FootnoteReference"/>
        </w:rPr>
        <w:footnoteRef/>
      </w:r>
      <w:r w:rsidRPr="002F7676">
        <w:rPr>
          <w:lang w:val="de-DE"/>
        </w:rPr>
        <w:t xml:space="preserve"> Bei Komplexen Produkten gemäss Artikel 15 der Prospektverordnung einfügen.</w:t>
      </w:r>
    </w:p>
  </w:footnote>
  <w:footnote w:id="14">
    <w:p w:rsidR="00AB5C77" w:rsidRPr="002F7676">
      <w:pPr>
        <w:pStyle w:val="FootnoteText"/>
      </w:pPr>
      <w:r>
        <w:rPr>
          <w:rStyle w:val="FootnoteReference"/>
        </w:rPr>
        <w:footnoteRef/>
      </w:r>
      <w:r>
        <w:t xml:space="preserve"> </w:t>
      </w:r>
      <w:r w:rsidRPr="002F7676">
        <w:t>Insert in case of Complex Products pursuant to Article 15 of the Prospectus Regulation.</w:t>
      </w:r>
    </w:p>
  </w:footnote>
  <w:footnote w:id="15">
    <w:p w:rsidR="00AB5C77" w:rsidRPr="002F7676">
      <w:pPr>
        <w:pStyle w:val="FootnoteText"/>
        <w:rPr>
          <w:lang w:val="de-DE"/>
        </w:rPr>
      </w:pPr>
      <w:r>
        <w:rPr>
          <w:rStyle w:val="FootnoteReference"/>
        </w:rPr>
        <w:footnoteRef/>
      </w:r>
      <w:r w:rsidRPr="002F7676">
        <w:rPr>
          <w:lang w:val="de-DE"/>
        </w:rPr>
        <w:t xml:space="preserve"> Bei Komplexen Produkten gemäss Artikel 15 der Prospektverordnung einfügen.</w:t>
      </w:r>
    </w:p>
  </w:footnote>
  <w:footnote w:id="16">
    <w:p w:rsidR="00AB5C77" w:rsidRPr="00E839F3">
      <w:pPr>
        <w:pStyle w:val="FootnoteText"/>
      </w:pPr>
      <w:r>
        <w:rPr>
          <w:rStyle w:val="FootnoteReference"/>
        </w:rPr>
        <w:footnoteRef/>
      </w:r>
      <w:r>
        <w:t xml:space="preserve"> </w:t>
      </w:r>
      <w:r w:rsidRPr="00E839F3">
        <w:t>Insert in case of Complex Products pursuant to Article 15 of the Prospectus Regulation.</w:t>
      </w:r>
    </w:p>
  </w:footnote>
  <w:footnote w:id="17">
    <w:p w:rsidR="00AB5C77" w:rsidRPr="00E839F3">
      <w:pPr>
        <w:pStyle w:val="FootnoteText"/>
        <w:rPr>
          <w:lang w:val="de-DE"/>
        </w:rPr>
      </w:pPr>
      <w:r>
        <w:rPr>
          <w:rStyle w:val="FootnoteReference"/>
        </w:rPr>
        <w:footnoteRef/>
      </w:r>
      <w:r w:rsidRPr="00E839F3">
        <w:rPr>
          <w:lang w:val="de-DE"/>
        </w:rPr>
        <w:t xml:space="preserve"> Bei Komplexen Produkten gemäss Artikel 15 der Prospektverordnung einfügen.</w:t>
      </w:r>
    </w:p>
  </w:footnote>
  <w:footnote w:id="18">
    <w:p w:rsidR="00AB5C77" w:rsidRPr="001D2309">
      <w:pPr>
        <w:pStyle w:val="FootnoteText"/>
      </w:pPr>
      <w:r>
        <w:rPr>
          <w:rStyle w:val="FootnoteReference"/>
        </w:rPr>
        <w:footnoteRef/>
      </w:r>
      <w:r>
        <w:t xml:space="preserve"> Insert if a Basket is applicable.</w:t>
      </w:r>
    </w:p>
  </w:footnote>
  <w:footnote w:id="19">
    <w:p w:rsidR="00AB5C77" w:rsidRPr="001D2309">
      <w:pPr>
        <w:pStyle w:val="FootnoteText"/>
        <w:rPr>
          <w:lang w:val="de-DE"/>
        </w:rPr>
      </w:pPr>
      <w:r>
        <w:rPr>
          <w:rStyle w:val="FootnoteReference"/>
        </w:rPr>
        <w:footnoteRef/>
      </w:r>
      <w:r w:rsidRPr="001D2309">
        <w:rPr>
          <w:lang w:val="de-DE"/>
        </w:rPr>
        <w:t xml:space="preserve"> Einfügen, falls ein Korb anwendbar ist.</w:t>
      </w:r>
    </w:p>
  </w:footnote>
  <w:footnote w:id="20">
    <w:p w:rsidR="00AB5C77" w:rsidRPr="003744F4" w:rsidP="00942F00">
      <w:pPr>
        <w:pStyle w:val="FootnoteText"/>
      </w:pPr>
      <w:r>
        <w:rPr>
          <w:rStyle w:val="FootnoteReference"/>
        </w:rPr>
        <w:footnoteRef/>
      </w:r>
      <w:r>
        <w:t xml:space="preserve"> </w:t>
      </w:r>
      <w:r w:rsidRPr="003744F4">
        <w:t>insert if a Basket is applicable.</w:t>
      </w:r>
    </w:p>
  </w:footnote>
  <w:footnote w:id="21">
    <w:p w:rsidR="00AB5C77" w:rsidRPr="003744F4" w:rsidP="00942F00">
      <w:pPr>
        <w:pStyle w:val="FootnoteText"/>
        <w:rPr>
          <w:lang w:val="de-DE"/>
        </w:rPr>
      </w:pPr>
      <w:r>
        <w:rPr>
          <w:rStyle w:val="FootnoteReference"/>
        </w:rPr>
        <w:footnoteRef/>
      </w:r>
      <w:r w:rsidRPr="003744F4">
        <w:rPr>
          <w:lang w:val="de-DE"/>
        </w:rPr>
        <w:t xml:space="preserve"> einfügen,falls ein Korb anwendbar ist.</w:t>
      </w:r>
    </w:p>
  </w:footnote>
  <w:footnote w:id="22">
    <w:p w:rsidR="00AB5C77" w:rsidRPr="00587F86">
      <w:pPr>
        <w:pStyle w:val="FootnoteText"/>
      </w:pPr>
      <w:r>
        <w:rPr>
          <w:rStyle w:val="FootnoteReference"/>
        </w:rPr>
        <w:footnoteRef/>
      </w:r>
      <w:r>
        <w:t xml:space="preserve"> </w:t>
      </w:r>
      <w:r w:rsidRPr="00587F86">
        <w:t>Insert in case of Complex Poducts pursuant to Article 8 of the Prospectus Regulation.</w:t>
      </w:r>
    </w:p>
  </w:footnote>
  <w:footnote w:id="23">
    <w:p w:rsidR="00AB5C77" w:rsidRPr="00587F86">
      <w:pPr>
        <w:pStyle w:val="FootnoteText"/>
      </w:pPr>
      <w:r>
        <w:rPr>
          <w:rStyle w:val="FootnoteReference"/>
        </w:rPr>
        <w:footnoteRef/>
      </w:r>
      <w:r>
        <w:t xml:space="preserve"> </w:t>
      </w:r>
      <w:r w:rsidRPr="00587F86">
        <w:t>Insert in case of Complex Products pursuant to Article 15 of the Prospectus Regulation.</w:t>
      </w:r>
    </w:p>
  </w:footnote>
  <w:footnote w:id="24">
    <w:p w:rsidR="00AB5C77" w:rsidRPr="00587F86">
      <w:pPr>
        <w:pStyle w:val="FootnoteText"/>
        <w:rPr>
          <w:lang w:val="de-DE"/>
        </w:rPr>
      </w:pPr>
      <w:r>
        <w:rPr>
          <w:rStyle w:val="FootnoteReference"/>
        </w:rPr>
        <w:footnoteRef/>
      </w:r>
      <w:r w:rsidRPr="00587F86">
        <w:rPr>
          <w:lang w:val="de-DE"/>
        </w:rPr>
        <w:t xml:space="preserve"> Bei Komplexen Produkten gemäss Artikel 8 der Prospektverordnung einfügen.</w:t>
      </w:r>
    </w:p>
  </w:footnote>
  <w:footnote w:id="25">
    <w:p w:rsidR="00AB5C77" w:rsidRPr="00587F86">
      <w:pPr>
        <w:pStyle w:val="FootnoteText"/>
        <w:rPr>
          <w:lang w:val="de-DE"/>
        </w:rPr>
      </w:pPr>
      <w:r>
        <w:rPr>
          <w:rStyle w:val="FootnoteReference"/>
        </w:rPr>
        <w:footnoteRef/>
      </w:r>
      <w:r w:rsidRPr="00587F86">
        <w:rPr>
          <w:lang w:val="de-DE"/>
        </w:rPr>
        <w:t xml:space="preserve"> Bei Komplexen Produkten gemäss Artikel 15 der Prospektverordnung einfügen</w:t>
      </w:r>
      <w:r>
        <w:rPr>
          <w:lang w:val="de-DE"/>
        </w:rPr>
        <w:t>.</w:t>
      </w:r>
    </w:p>
  </w:footnote>
  <w:footnote w:id="26">
    <w:p w:rsidR="00AB5C77" w:rsidRPr="00A305A6" w:rsidP="001E4CCF">
      <w:pPr>
        <w:pStyle w:val="FootnoteText"/>
        <w:ind w:left="0" w:firstLine="0"/>
      </w:pPr>
      <w:r>
        <w:rPr>
          <w:rStyle w:val="FootnoteReference"/>
        </w:rPr>
        <w:footnoteRef/>
      </w:r>
      <w:r>
        <w:t xml:space="preserve"> </w:t>
      </w:r>
      <w:r w:rsidRPr="00A305A6">
        <w:t xml:space="preserve">Financial Act dated </w:t>
      </w:r>
      <w:r>
        <w:t>6</w:t>
      </w:r>
      <w:r w:rsidRPr="00A305A6">
        <w:t xml:space="preserve"> November 201</w:t>
      </w:r>
      <w:r>
        <w:t>4</w:t>
      </w:r>
      <w:r w:rsidRPr="00A305A6">
        <w:t xml:space="preserve"> for the year 201</w:t>
      </w:r>
      <w:r>
        <w:t>5</w:t>
      </w:r>
      <w:r w:rsidRPr="00A305A6">
        <w:t>, Liechtenstein Legal Gazette No. 3</w:t>
      </w:r>
      <w:r>
        <w:t>21</w:t>
      </w:r>
      <w:r w:rsidRPr="00A305A6">
        <w:t xml:space="preserve">, published on </w:t>
      </w:r>
      <w:r>
        <w:t>5</w:t>
      </w:r>
      <w:r w:rsidRPr="00A305A6">
        <w:t xml:space="preserve"> </w:t>
      </w:r>
      <w:r>
        <w:t>Dezember</w:t>
      </w:r>
      <w:r w:rsidRPr="00A305A6">
        <w:t xml:space="preserve"> 201</w:t>
      </w:r>
      <w:r>
        <w:t>4</w:t>
      </w:r>
      <w:r w:rsidRPr="00A305A6">
        <w:t>.</w:t>
      </w:r>
    </w:p>
  </w:footnote>
  <w:footnote w:id="27">
    <w:p w:rsidR="00AB5C77" w:rsidRPr="00253C31">
      <w:pPr>
        <w:pStyle w:val="FootnoteText"/>
      </w:pPr>
      <w:r>
        <w:rPr>
          <w:rStyle w:val="FootnoteReference"/>
        </w:rPr>
        <w:footnoteRef/>
      </w:r>
      <w:r w:rsidRPr="00A305A6">
        <w:rPr>
          <w:lang w:val="de-DE"/>
        </w:rPr>
        <w:t xml:space="preserve"> Finanzgesetz vom </w:t>
      </w:r>
      <w:r>
        <w:rPr>
          <w:lang w:val="de-DE"/>
        </w:rPr>
        <w:t>6</w:t>
      </w:r>
      <w:r w:rsidRPr="00A305A6">
        <w:rPr>
          <w:lang w:val="de-DE"/>
        </w:rPr>
        <w:t>. November 201</w:t>
      </w:r>
      <w:r>
        <w:rPr>
          <w:lang w:val="de-DE"/>
        </w:rPr>
        <w:t>4</w:t>
      </w:r>
      <w:r w:rsidRPr="00A305A6">
        <w:rPr>
          <w:lang w:val="de-DE"/>
        </w:rPr>
        <w:t xml:space="preserve"> für das Jahr 201</w:t>
      </w:r>
      <w:r>
        <w:rPr>
          <w:lang w:val="de-DE"/>
        </w:rPr>
        <w:t>5</w:t>
      </w:r>
      <w:r w:rsidRPr="00A305A6">
        <w:rPr>
          <w:lang w:val="de-DE"/>
        </w:rPr>
        <w:t>, Liechtensteinisches LGBl, Jahrgang 201</w:t>
      </w:r>
      <w:r>
        <w:rPr>
          <w:lang w:val="de-DE"/>
        </w:rPr>
        <w:t>4</w:t>
      </w:r>
      <w:r w:rsidRPr="00A305A6">
        <w:rPr>
          <w:lang w:val="de-DE"/>
        </w:rPr>
        <w:t>, Nr. 3</w:t>
      </w:r>
      <w:r>
        <w:rPr>
          <w:lang w:val="de-DE"/>
        </w:rPr>
        <w:t>21</w:t>
      </w:r>
      <w:r w:rsidRPr="00A305A6">
        <w:rPr>
          <w:lang w:val="de-DE"/>
        </w:rPr>
        <w:t xml:space="preserve"> ausgegeben am </w:t>
      </w:r>
      <w:r>
        <w:rPr>
          <w:lang w:val="de-DE"/>
        </w:rPr>
        <w:t>5</w:t>
      </w:r>
      <w:r w:rsidRPr="00A305A6">
        <w:rPr>
          <w:lang w:val="de-DE"/>
        </w:rPr>
        <w:t xml:space="preserve">. </w:t>
      </w:r>
      <w:r w:rsidRPr="00253C31">
        <w:t>Dezember 2014.</w:t>
      </w:r>
    </w:p>
  </w:footnote>
  <w:footnote w:id="28">
    <w:p w:rsidR="00AB5C77" w:rsidRPr="00A305A6">
      <w:pPr>
        <w:pStyle w:val="FootnoteText"/>
      </w:pPr>
      <w:r>
        <w:rPr>
          <w:rStyle w:val="FootnoteReference"/>
        </w:rPr>
        <w:footnoteRef/>
      </w:r>
      <w:r>
        <w:t xml:space="preserve"> </w:t>
      </w:r>
      <w:r w:rsidRPr="00A305A6">
        <w:t>The Swiss Federal Act of 27 June 1973 on stamp taxes and the regulation of 3 December 1973 issued thereunder continue to apply to Liechtenstein without change (see announcement in LR (systematic collection of Liechtenstein law) 170.551.641); therefore, reference is made to the relevant provisions of the above laws as well as the relevant practice of the Swiss courts.</w:t>
      </w:r>
    </w:p>
  </w:footnote>
  <w:footnote w:id="29">
    <w:p w:rsidR="00AB5C77" w:rsidRPr="00A305A6">
      <w:pPr>
        <w:pStyle w:val="FootnoteText"/>
        <w:rPr>
          <w:lang w:val="de-DE"/>
        </w:rPr>
      </w:pPr>
      <w:r>
        <w:rPr>
          <w:rStyle w:val="FootnoteReference"/>
        </w:rPr>
        <w:footnoteRef/>
      </w:r>
      <w:r w:rsidRPr="003D4711">
        <w:rPr>
          <w:lang w:val="de-DE"/>
        </w:rPr>
        <w:t xml:space="preserve"> Das schweizerische Bundesgesetz vom 27. </w:t>
      </w:r>
      <w:r w:rsidRPr="00A305A6">
        <w:rPr>
          <w:lang w:val="de-DE"/>
        </w:rPr>
        <w:t>Juni 1973 über die Stempelabgaben sowie die dazu ergangene Verordnung vom 3. Dezember 1973 finden in Liechtenstein unverändert Anwendung (vgl. Kundmachung in LR 170.551.641), weshalb auf die einschlägigen Bestimmungen der genannten Gesetze sowie die diesbezügliche Schweizer Praxis verwiesen werden darf.</w:t>
      </w:r>
    </w:p>
  </w:footnote>
  <w:footnote w:id="30">
    <w:p w:rsidR="00AB5C77" w:rsidRPr="00CB33B4">
      <w:pPr>
        <w:pStyle w:val="FootnoteText"/>
      </w:pPr>
      <w:r>
        <w:rPr>
          <w:rStyle w:val="FootnoteReference"/>
        </w:rPr>
        <w:footnoteRef/>
      </w:r>
      <w:r>
        <w:t xml:space="preserve"> </w:t>
      </w:r>
      <w:r w:rsidRPr="00CB33B4">
        <w:t>Item only included for information purposes based on the concept of the ISDA Credit Derivatives Physical Settlement Matrix used by professional market participants.</w:t>
      </w:r>
    </w:p>
  </w:footnote>
  <w:footnote w:id="31">
    <w:p w:rsidR="00AB5C77" w:rsidRPr="00CB33B4">
      <w:pPr>
        <w:pStyle w:val="FootnoteText"/>
        <w:rPr>
          <w:lang w:val="de-DE"/>
        </w:rPr>
      </w:pPr>
      <w:r>
        <w:rPr>
          <w:rStyle w:val="FootnoteReference"/>
        </w:rPr>
        <w:footnoteRef/>
      </w:r>
      <w:r w:rsidRPr="00CB33B4">
        <w:rPr>
          <w:lang w:val="de-DE"/>
        </w:rPr>
        <w:t xml:space="preserve"> Der Begriff ist nur zu Informationszwecken aufgenommen und basiert auf dem Konzept der ISDA Credit Derivatives Physical Settlement Matrix, die von professionellen Marktteilnehmern genutzt wird.</w:t>
      </w:r>
    </w:p>
  </w:footnote>
  <w:footnote w:id="32">
    <w:p w:rsidR="00AB5C77" w:rsidRPr="003744F4">
      <w:pPr>
        <w:pStyle w:val="FootnoteText"/>
      </w:pPr>
      <w:r>
        <w:rPr>
          <w:rStyle w:val="FootnoteReference"/>
        </w:rPr>
        <w:footnoteRef/>
      </w:r>
      <w:r>
        <w:t xml:space="preserve"> </w:t>
      </w:r>
      <w:r w:rsidRPr="003744F4">
        <w:t>insert if a Basket is applicable.</w:t>
      </w:r>
    </w:p>
  </w:footnote>
  <w:footnote w:id="33">
    <w:p w:rsidR="00AB5C77" w:rsidRPr="003744F4">
      <w:pPr>
        <w:pStyle w:val="FootnoteText"/>
        <w:rPr>
          <w:lang w:val="de-DE"/>
        </w:rPr>
      </w:pPr>
      <w:r>
        <w:rPr>
          <w:rStyle w:val="FootnoteReference"/>
        </w:rPr>
        <w:footnoteRef/>
      </w:r>
      <w:r w:rsidRPr="003744F4">
        <w:rPr>
          <w:lang w:val="de-DE"/>
        </w:rPr>
        <w:t xml:space="preserve"> einfügen,falls ein Korb anwendbar ist.</w:t>
      </w:r>
    </w:p>
  </w:footnote>
  <w:footnote w:id="34">
    <w:p w:rsidR="00AB5C77" w:rsidRPr="003744F4" w:rsidP="004C1EBA">
      <w:pPr>
        <w:pStyle w:val="FootnoteText"/>
      </w:pPr>
      <w:r>
        <w:rPr>
          <w:rStyle w:val="FootnoteReference"/>
        </w:rPr>
        <w:footnoteRef/>
      </w:r>
      <w:r>
        <w:t xml:space="preserve"> </w:t>
      </w:r>
      <w:r w:rsidRPr="003744F4">
        <w:t>insert if a Basket is applicable.</w:t>
      </w:r>
    </w:p>
  </w:footnote>
  <w:footnote w:id="35">
    <w:p w:rsidR="00AB5C77" w:rsidRPr="003744F4" w:rsidP="004C1EBA">
      <w:pPr>
        <w:pStyle w:val="FootnoteText"/>
        <w:rPr>
          <w:lang w:val="de-DE"/>
        </w:rPr>
      </w:pPr>
      <w:r>
        <w:rPr>
          <w:rStyle w:val="FootnoteReference"/>
        </w:rPr>
        <w:footnoteRef/>
      </w:r>
      <w:r w:rsidRPr="003744F4">
        <w:rPr>
          <w:lang w:val="de-DE"/>
        </w:rPr>
        <w:t xml:space="preserve"> einfügen,falls ein Korb anwendbar ist.</w:t>
      </w:r>
    </w:p>
  </w:footnote>
  <w:footnote w:id="36">
    <w:p w:rsidR="00AB5C77" w:rsidRPr="001D2309">
      <w:pPr>
        <w:pStyle w:val="FootnoteText"/>
      </w:pPr>
      <w:r>
        <w:rPr>
          <w:rStyle w:val="FootnoteReference"/>
        </w:rPr>
        <w:footnoteRef/>
      </w:r>
      <w:r>
        <w:t xml:space="preserve"> </w:t>
      </w:r>
      <w:r w:rsidRPr="001D2309">
        <w:t>Item only included for information purposes based on the concept of the ISDA Credit Derivatives Physical Settlement Matrix used by professional market participants.</w:t>
      </w:r>
    </w:p>
  </w:footnote>
  <w:footnote w:id="37">
    <w:p w:rsidR="00AB5C77" w:rsidRPr="001D2309">
      <w:pPr>
        <w:pStyle w:val="FootnoteText"/>
        <w:rPr>
          <w:lang w:val="de-DE"/>
        </w:rPr>
      </w:pPr>
      <w:r>
        <w:rPr>
          <w:rStyle w:val="FootnoteReference"/>
        </w:rPr>
        <w:footnoteRef/>
      </w:r>
      <w:r w:rsidRPr="001D2309">
        <w:rPr>
          <w:lang w:val="de-DE"/>
        </w:rPr>
        <w:t xml:space="preserve"> Der Begriff ist nur zu Informationszwecken aufgenommen und basiert auf dem Konzept der ISDA Credit Derivatives Physical Settlement Matrix, die von professionellen Marktteilnehmern genutzt wird.</w:t>
      </w:r>
    </w:p>
  </w:footnote>
  <w:footnote w:id="38">
    <w:p w:rsidR="00AB5C77" w:rsidRPr="00C16D23">
      <w:pPr>
        <w:pStyle w:val="FootnoteText"/>
      </w:pPr>
      <w:r>
        <w:rPr>
          <w:rStyle w:val="FootnoteReference"/>
        </w:rPr>
        <w:footnoteRef/>
      </w:r>
      <w:r>
        <w:t xml:space="preserve"> </w:t>
      </w:r>
      <w:r w:rsidRPr="00C16D23">
        <w:t>Item only included for information purposes based on the concept of the ISDA Credit Derivatives Physical Settlement Matrix used by professional market participants.</w:t>
      </w:r>
    </w:p>
  </w:footnote>
  <w:footnote w:id="39">
    <w:p w:rsidR="00AB5C77" w:rsidRPr="00C16D23">
      <w:pPr>
        <w:pStyle w:val="FootnoteText"/>
        <w:rPr>
          <w:lang w:val="de-DE"/>
        </w:rPr>
      </w:pPr>
      <w:r>
        <w:rPr>
          <w:rStyle w:val="FootnoteReference"/>
        </w:rPr>
        <w:footnoteRef/>
      </w:r>
      <w:r w:rsidRPr="00C16D23">
        <w:rPr>
          <w:lang w:val="de-DE"/>
        </w:rPr>
        <w:t xml:space="preserve"> Der Begriff ist nur zu Informationszwecken aufgenommen und basiert auf dem Konzept der ISDA Credit Derivatives Physical Settlement Matrix, die von professionellen Marktteilnehmern genutzt wird</w:t>
      </w:r>
    </w:p>
  </w:footnote>
  <w:footnote w:id="40">
    <w:p w:rsidR="00AB5C77" w:rsidRPr="00566BED">
      <w:pPr>
        <w:pStyle w:val="FootnoteText"/>
      </w:pPr>
      <w:r>
        <w:rPr>
          <w:rStyle w:val="FootnoteReference"/>
        </w:rPr>
        <w:footnoteRef/>
      </w:r>
      <w:r>
        <w:t xml:space="preserve"> </w:t>
      </w:r>
      <w:r w:rsidRPr="00566BED">
        <w:t>Item only included for information purposes based on the concept of the ISDA Credit Derivatives Physical Settlement Matrix used by professional market participants.</w:t>
      </w:r>
    </w:p>
  </w:footnote>
  <w:footnote w:id="41">
    <w:p w:rsidR="00AB5C77" w:rsidRPr="00566BED">
      <w:pPr>
        <w:pStyle w:val="FootnoteText"/>
        <w:rPr>
          <w:lang w:val="de-DE"/>
        </w:rPr>
      </w:pPr>
      <w:r>
        <w:rPr>
          <w:rStyle w:val="FootnoteReference"/>
        </w:rPr>
        <w:footnoteRef/>
      </w:r>
      <w:r w:rsidRPr="00566BED">
        <w:rPr>
          <w:lang w:val="de-DE"/>
        </w:rPr>
        <w:t xml:space="preserve"> Der Begriff ist nur zu Informationszwecken aufgenommen und basiert auf dem Konzept der ISDA Credit Derivatives Physical Settlement Matrix, die von professionellen Marktteilnehmern genutzt wird</w:t>
      </w:r>
    </w:p>
  </w:footnote>
  <w:footnote w:id="42">
    <w:p w:rsidR="00AB5C77" w:rsidRPr="00566BED">
      <w:pPr>
        <w:pStyle w:val="FootnoteText"/>
      </w:pPr>
      <w:r>
        <w:rPr>
          <w:rStyle w:val="FootnoteReference"/>
        </w:rPr>
        <w:footnoteRef/>
      </w:r>
      <w:r>
        <w:t xml:space="preserve"> </w:t>
      </w:r>
      <w:r w:rsidRPr="00566BED">
        <w:t>Item only included for information purposes based on the concept of the ISDA Credit Derivatives Physical Settlement Matrix used by professional market participants.</w:t>
      </w:r>
    </w:p>
  </w:footnote>
  <w:footnote w:id="43">
    <w:p w:rsidR="00AB5C77" w:rsidRPr="00566BED">
      <w:pPr>
        <w:pStyle w:val="FootnoteText"/>
        <w:rPr>
          <w:lang w:val="de-DE"/>
        </w:rPr>
      </w:pPr>
      <w:r>
        <w:rPr>
          <w:rStyle w:val="FootnoteReference"/>
        </w:rPr>
        <w:footnoteRef/>
      </w:r>
      <w:r w:rsidRPr="00566BED">
        <w:rPr>
          <w:lang w:val="de-DE"/>
        </w:rPr>
        <w:t xml:space="preserve"> Der Begriff ist nur zu Informationszwecken aufgenommen und basiert auf dem Konzept der ISDA Credit Derivatives Physical Settlement Matrix, die von professionellen Marktteilnehmern genutzt wird.</w:t>
      </w:r>
    </w:p>
  </w:footnote>
  <w:footnote w:id="44">
    <w:p w:rsidR="00AB5C77" w:rsidRPr="00885338">
      <w:pPr>
        <w:pStyle w:val="FootnoteText"/>
      </w:pPr>
      <w:r>
        <w:rPr>
          <w:rStyle w:val="FootnoteReference"/>
        </w:rPr>
        <w:footnoteRef/>
      </w:r>
      <w:r>
        <w:t xml:space="preserve"> </w:t>
      </w:r>
      <w:r w:rsidRPr="00885338">
        <w:t>Item only included for information purposes based on the concept of the ISDA Credit Derivatives Physical Settlement Matrix used by professional market participants.</w:t>
      </w:r>
    </w:p>
  </w:footnote>
  <w:footnote w:id="45">
    <w:p w:rsidR="00AB5C77" w:rsidRPr="00885338">
      <w:pPr>
        <w:pStyle w:val="FootnoteText"/>
        <w:rPr>
          <w:lang w:val="de-DE"/>
        </w:rPr>
      </w:pPr>
      <w:r>
        <w:rPr>
          <w:rStyle w:val="FootnoteReference"/>
        </w:rPr>
        <w:footnoteRef/>
      </w:r>
      <w:r w:rsidRPr="00885338">
        <w:rPr>
          <w:lang w:val="de-DE"/>
        </w:rPr>
        <w:t xml:space="preserve"> Der Begriff ist nur zu Informationszwecken aufgenommen und basiert auf dem Konzept der ISDA Credit Derivatives Physical Settlement Matrix, die von professionellen Marktteilnehmern genutzt wird.</w:t>
      </w:r>
    </w:p>
  </w:footnote>
  <w:footnote w:id="46">
    <w:p w:rsidR="00AB5C77" w:rsidRPr="00C502CD">
      <w:pPr>
        <w:pStyle w:val="FootnoteText"/>
      </w:pPr>
      <w:r>
        <w:rPr>
          <w:rStyle w:val="FootnoteReference"/>
        </w:rPr>
        <w:footnoteRef/>
      </w:r>
      <w:r>
        <w:t xml:space="preserve"> </w:t>
      </w:r>
      <w:r w:rsidRPr="00C502CD">
        <w:t>Item only included for information purposes based on the concept of the ISDA Credit Derivatives Physical Settlement Matrix used by professional market participants.</w:t>
      </w:r>
    </w:p>
  </w:footnote>
  <w:footnote w:id="47">
    <w:p w:rsidR="00AB5C77" w:rsidRPr="00C502CD">
      <w:pPr>
        <w:pStyle w:val="FootnoteText"/>
        <w:rPr>
          <w:lang w:val="de-DE"/>
        </w:rPr>
      </w:pPr>
      <w:r>
        <w:rPr>
          <w:rStyle w:val="FootnoteReference"/>
        </w:rPr>
        <w:footnoteRef/>
      </w:r>
      <w:r w:rsidRPr="00C502CD">
        <w:rPr>
          <w:lang w:val="de-DE"/>
        </w:rPr>
        <w:t xml:space="preserve"> Der Begriff ist nur zu Informationszwecken aufgenommen und basiert auf dem Konzept der ISDA Credit Derivatives Physical Settlement Matrix, die von professionellen Marktteilnehmern genutzt wird.</w:t>
      </w:r>
    </w:p>
  </w:footnote>
  <w:footnote w:id="48">
    <w:p w:rsidR="00AB5C77" w:rsidRPr="00C502CD" w:rsidP="004C1EBA">
      <w:pPr>
        <w:pStyle w:val="FootnoteText"/>
      </w:pPr>
      <w:r>
        <w:rPr>
          <w:rStyle w:val="FootnoteReference"/>
        </w:rPr>
        <w:footnoteRef/>
      </w:r>
      <w:r>
        <w:t xml:space="preserve"> </w:t>
      </w:r>
      <w:r w:rsidRPr="00C502CD">
        <w:t>Item only included for information purposes based on the concept of the ISDA Credit Derivatives Physical Settlement Matrix used by professional market participants.</w:t>
      </w:r>
    </w:p>
  </w:footnote>
  <w:footnote w:id="49">
    <w:p w:rsidR="00AB5C77" w:rsidRPr="00C502CD" w:rsidP="004C1EBA">
      <w:pPr>
        <w:pStyle w:val="FootnoteText"/>
        <w:rPr>
          <w:lang w:val="de-DE"/>
        </w:rPr>
      </w:pPr>
      <w:r>
        <w:rPr>
          <w:rStyle w:val="FootnoteReference"/>
        </w:rPr>
        <w:footnoteRef/>
      </w:r>
      <w:r w:rsidRPr="00C502CD">
        <w:rPr>
          <w:lang w:val="de-DE"/>
        </w:rPr>
        <w:t xml:space="preserve"> Der Begriff ist nur zu Informationszwecken aufgenommen und basiert auf dem Konzept der ISDA Credit Derivatives Physical Settlement Matrix, die von professionellen Marktteilnehmern genutzt wird.</w:t>
      </w:r>
    </w:p>
  </w:footnote>
  <w:footnote w:id="50">
    <w:p w:rsidR="00AB5C77" w:rsidRPr="00C502CD">
      <w:pPr>
        <w:pStyle w:val="FootnoteText"/>
      </w:pPr>
      <w:r>
        <w:rPr>
          <w:rStyle w:val="FootnoteReference"/>
        </w:rPr>
        <w:footnoteRef/>
      </w:r>
      <w:r>
        <w:t xml:space="preserve"> </w:t>
      </w:r>
      <w:r w:rsidRPr="00C502CD">
        <w:t>Item only included for information purposes based on the concept of the ISDA Credit Derivatives Physical Settlement Matrix used by professional market participants.</w:t>
      </w:r>
    </w:p>
  </w:footnote>
  <w:footnote w:id="51">
    <w:p w:rsidR="00AB5C77" w:rsidRPr="00C502CD">
      <w:pPr>
        <w:pStyle w:val="FootnoteText"/>
        <w:rPr>
          <w:lang w:val="de-DE"/>
        </w:rPr>
      </w:pPr>
      <w:r>
        <w:rPr>
          <w:rStyle w:val="FootnoteReference"/>
        </w:rPr>
        <w:footnoteRef/>
      </w:r>
      <w:r w:rsidRPr="00C502CD">
        <w:rPr>
          <w:lang w:val="de-DE"/>
        </w:rPr>
        <w:t xml:space="preserve"> Der Begriff ist nur zu Informationszwecken aufgenommen und basiert auf dem Konzept der ISDA Credit Derivatives Physical Settlement Matrix, die von professionellen Marktteilnehmern genutzt wird.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0" w:type="auto"/>
      <w:tblBorders>
        <w:top w:val="nil"/>
        <w:left w:val="nil"/>
        <w:bottom w:val="nil"/>
        <w:right w:val="nil"/>
        <w:insideH w:val="nil"/>
        <w:insideV w:val="nil"/>
      </w:tblBorders>
      <w:tblLook w:val="04A0"/>
    </w:tblPr>
    <w:tblGrid>
      <w:gridCol w:w="4621"/>
      <w:gridCol w:w="4622"/>
    </w:tblGrid>
    <w:tr w:rsidTr="00B954F3">
      <w:tblPrEx>
        <w:tblW w:w="0" w:type="auto"/>
        <w:tblBorders>
          <w:top w:val="nil"/>
          <w:left w:val="nil"/>
          <w:bottom w:val="nil"/>
          <w:right w:val="nil"/>
          <w:insideH w:val="nil"/>
          <w:insideV w:val="nil"/>
        </w:tblBorders>
        <w:tblLook w:val="04A0"/>
      </w:tblPrEx>
      <w:tc>
        <w:tcPr>
          <w:tcW w:w="4621" w:type="dxa"/>
        </w:tcPr>
        <w:p w:rsidR="00AB5C77" w:rsidP="00B954F3">
          <w:pPr>
            <w:pStyle w:val="Header"/>
            <w:spacing w:after="240"/>
          </w:pPr>
          <w:r>
            <w:fldChar w:fldCharType="begin"/>
          </w:r>
          <w:r>
            <w:instrText xml:space="preserve"> STYLEREF  CS_Heading1_EN  \* MERGEFORMAT </w:instrText>
          </w:r>
          <w:r>
            <w:fldChar w:fldCharType="separate"/>
          </w:r>
          <w:r w:rsidR="0093513E">
            <w:rPr>
              <w:noProof/>
            </w:rPr>
            <w:t>FORM OF FINAL TERMS</w:t>
          </w:r>
          <w:r>
            <w:rPr>
              <w:noProof/>
            </w:rPr>
            <w:fldChar w:fldCharType="end"/>
          </w:r>
        </w:p>
      </w:tc>
      <w:tc>
        <w:tcPr>
          <w:tcW w:w="4622" w:type="dxa"/>
        </w:tcPr>
        <w:p w:rsidR="00AB5C77" w:rsidP="00B954F3">
          <w:pPr>
            <w:pStyle w:val="Header"/>
            <w:spacing w:after="240"/>
          </w:pPr>
          <w:r>
            <w:fldChar w:fldCharType="begin"/>
          </w:r>
          <w:r>
            <w:instrText xml:space="preserve"> STY</w:instrText>
          </w:r>
          <w:r>
            <w:instrText xml:space="preserve">LEREF  CS_Heading1_DE  \* MERGEFORMAT </w:instrText>
          </w:r>
          <w:r>
            <w:fldChar w:fldCharType="separate"/>
          </w:r>
          <w:r w:rsidR="0093513E">
            <w:rPr>
              <w:noProof/>
            </w:rPr>
            <w:t>MUSTER DER ENDGÜLTIGEN BEDINGUNGEN</w:t>
          </w:r>
          <w:r>
            <w:rPr>
              <w:noProof/>
            </w:rPr>
            <w:fldChar w:fldCharType="end"/>
          </w:r>
        </w:p>
      </w:tc>
    </w:tr>
  </w:tbl>
  <w:p w:rsidR="00AB5C77">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2B6D48">
      <w:tblPrEx>
        <w:tblW w:w="5000" w:type="pct"/>
        <w:tblBorders>
          <w:top w:val="nil"/>
          <w:left w:val="nil"/>
          <w:bottom w:val="nil"/>
          <w:right w:val="nil"/>
          <w:insideH w:val="nil"/>
          <w:insideV w:val="nil"/>
        </w:tblBorders>
        <w:tblLook w:val="04A0"/>
      </w:tblPrEx>
      <w:tc>
        <w:tcPr>
          <w:tcW w:w="4621" w:type="dxa"/>
        </w:tcPr>
        <w:p w:rsidR="00AB5C77" w:rsidP="00B954F3">
          <w:pPr>
            <w:pStyle w:val="Header"/>
            <w:spacing w:after="240"/>
          </w:pPr>
          <w:r>
            <w:fldChar w:fldCharType="begin"/>
          </w:r>
          <w:r>
            <w:instrText xml:space="preserve"> STYLEREF  CS_Heading1_EN  \* MERGEFORMAT </w:instrText>
          </w:r>
          <w:r>
            <w:fldChar w:fldCharType="separate"/>
          </w:r>
          <w:r w:rsidR="0093513E">
            <w:rPr>
              <w:noProof/>
            </w:rPr>
            <w:t>ISSUE SPECIFIC SUMMARY</w:t>
          </w:r>
          <w:r>
            <w:rPr>
              <w:noProof/>
            </w:rPr>
            <w:fldChar w:fldCharType="end"/>
          </w:r>
        </w:p>
      </w:tc>
      <w:tc>
        <w:tcPr>
          <w:tcW w:w="4622" w:type="dxa"/>
        </w:tcPr>
        <w:p w:rsidR="00AB5C77" w:rsidRPr="00A950C6" w:rsidP="00B954F3">
          <w:pPr>
            <w:pStyle w:val="Header"/>
            <w:spacing w:after="240"/>
            <w:rPr>
              <w:lang w:val="de-DE"/>
            </w:rPr>
          </w:pPr>
          <w:r>
            <w:fldChar w:fldCharType="begin"/>
          </w:r>
          <w:r w:rsidRPr="00A950C6">
            <w:rPr>
              <w:lang w:val="de-DE"/>
            </w:rPr>
            <w:instrText xml:space="preserve"> STYLEREF  CS_Heading1_DE  \* MERGEFORMAT </w:instrText>
          </w:r>
          <w:r>
            <w:fldChar w:fldCharType="separate"/>
          </w:r>
          <w:r w:rsidR="0093513E">
            <w:rPr>
              <w:noProof/>
              <w:lang w:val="de-DE"/>
            </w:rPr>
            <w:t>EMISSIONSSPEZIFISCHE ZUSAMMENFASSUNG</w:t>
          </w:r>
          <w:r>
            <w:rPr>
              <w:noProof/>
            </w:rPr>
            <w:fldChar w:fldCharType="end"/>
          </w:r>
        </w:p>
      </w:tc>
    </w:tr>
  </w:tbl>
  <w:p w:rsidR="00AB5C77" w:rsidRPr="00A950C6">
    <w:pPr>
      <w:pStyle w:val="Header"/>
      <w:rPr>
        <w:lang w:val="de-DE"/>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2B6D48">
      <w:tblPrEx>
        <w:tblW w:w="5000" w:type="pct"/>
        <w:tblBorders>
          <w:top w:val="nil"/>
          <w:left w:val="nil"/>
          <w:bottom w:val="nil"/>
          <w:right w:val="nil"/>
          <w:insideH w:val="nil"/>
          <w:insideV w:val="nil"/>
        </w:tblBorders>
        <w:tblLook w:val="04A0"/>
      </w:tblPrEx>
      <w:tc>
        <w:tcPr>
          <w:tcW w:w="2500" w:type="pct"/>
        </w:tcPr>
        <w:p w:rsidR="00AB5C77" w:rsidP="0004699A">
          <w:pPr>
            <w:pStyle w:val="Header"/>
            <w:spacing w:after="340"/>
          </w:pPr>
          <w:r>
            <w:fldChar w:fldCharType="begin"/>
          </w:r>
          <w:r>
            <w:instrText xml:space="preserve"> STYLEREF  CS_Heading1_EN  \* MERGEFORMAT </w:instrText>
          </w:r>
          <w:r>
            <w:fldChar w:fldCharType="separate"/>
          </w:r>
          <w:r w:rsidR="0093513E">
            <w:rPr>
              <w:noProof/>
            </w:rPr>
            <w:t>DOCUMENTS INCORPORATED BY REFERENCE</w:t>
          </w:r>
          <w:r>
            <w:rPr>
              <w:noProof/>
            </w:rPr>
            <w:fldChar w:fldCharType="end"/>
          </w:r>
        </w:p>
      </w:tc>
      <w:tc>
        <w:tcPr>
          <w:tcW w:w="2500" w:type="pct"/>
        </w:tcPr>
        <w:p w:rsidR="00AB5C77" w:rsidP="0004699A">
          <w:pPr>
            <w:pStyle w:val="Header"/>
            <w:spacing w:after="340"/>
          </w:pPr>
          <w:r>
            <w:fldChar w:fldCharType="begin"/>
          </w:r>
          <w:r>
            <w:instrText xml:space="preserve"> STYLEREF  CS_Heading1_DE  \* MERGEFORMAT </w:instrText>
          </w:r>
          <w:r>
            <w:fldChar w:fldCharType="separate"/>
          </w:r>
          <w:r w:rsidR="0093513E">
            <w:rPr>
              <w:noProof/>
            </w:rPr>
            <w:t>DURCH VERWEIS EINBEZOGENE DOKUMENTE</w:t>
          </w:r>
          <w:r>
            <w:rPr>
              <w:noProof/>
            </w:rPr>
            <w:fldChar w:fldCharType="end"/>
          </w:r>
        </w:p>
      </w:tc>
    </w:tr>
  </w:tbl>
  <w:p w:rsidR="00AB5C77">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2B6D48">
      <w:tblPrEx>
        <w:tblW w:w="5000" w:type="pct"/>
        <w:tblBorders>
          <w:top w:val="nil"/>
          <w:left w:val="nil"/>
          <w:bottom w:val="nil"/>
          <w:right w:val="nil"/>
          <w:insideH w:val="nil"/>
          <w:insideV w:val="nil"/>
        </w:tblBorders>
        <w:tblLook w:val="04A0"/>
      </w:tblPrEx>
      <w:tc>
        <w:tcPr>
          <w:tcW w:w="2500" w:type="pct"/>
        </w:tcPr>
        <w:p w:rsidR="00AB5C77" w:rsidP="00B954F3">
          <w:pPr>
            <w:pStyle w:val="Header"/>
            <w:spacing w:after="240"/>
          </w:pPr>
          <w:r>
            <w:fldChar w:fldCharType="begin"/>
          </w:r>
          <w:r>
            <w:instrText xml:space="preserve"> STYLEREF  CS_Heading1_EN  \* MERGEFORMAT </w:instrText>
          </w:r>
          <w:r>
            <w:fldChar w:fldCharType="separate"/>
          </w:r>
          <w:r w:rsidR="0093513E">
            <w:rPr>
              <w:noProof/>
            </w:rPr>
            <w:t>ADDITIONAL INFORMATION IN CASE OF FINAL TERMS FOR A LISTING ON THE SIX SWISS EXCHANGE</w:t>
          </w:r>
          <w:r>
            <w:rPr>
              <w:noProof/>
            </w:rPr>
            <w:fldChar w:fldCharType="end"/>
          </w:r>
        </w:p>
      </w:tc>
      <w:tc>
        <w:tcPr>
          <w:tcW w:w="2500" w:type="pct"/>
        </w:tcPr>
        <w:p w:rsidR="00AB5C77" w:rsidRPr="00960E67" w:rsidP="00B954F3">
          <w:pPr>
            <w:pStyle w:val="Header"/>
            <w:spacing w:after="240"/>
            <w:rPr>
              <w:lang w:val="de-DE"/>
            </w:rPr>
          </w:pPr>
          <w:r>
            <w:fldChar w:fldCharType="begin"/>
          </w:r>
          <w:r w:rsidRPr="00960E67">
            <w:rPr>
              <w:lang w:val="de-DE"/>
            </w:rPr>
            <w:instrText xml:space="preserve"> STYLEREF  CS_Heading1_DE  \* MERGEFORMAT </w:instrText>
          </w:r>
          <w:r>
            <w:fldChar w:fldCharType="separate"/>
          </w:r>
          <w:r w:rsidR="0093513E">
            <w:rPr>
              <w:noProof/>
              <w:lang w:val="de-DE"/>
            </w:rPr>
            <w:t>ZUSATZINFORMATIONEN BEI ENDGÜLTIGEN BEDINGUNGEN FÜR EIN LISTING AN DER SIX SWISS EXCHANGE</w:t>
          </w:r>
          <w:r>
            <w:rPr>
              <w:noProof/>
            </w:rPr>
            <w:fldChar w:fldCharType="end"/>
          </w:r>
        </w:p>
      </w:tc>
    </w:tr>
  </w:tbl>
  <w:p w:rsidR="00AB5C77" w:rsidRPr="00960E67">
    <w:pPr>
      <w:pStyle w:val="Header"/>
      <w:rPr>
        <w:lang w:val="de-DE"/>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FA0289">
      <w:tblPrEx>
        <w:tblW w:w="5000" w:type="pct"/>
        <w:tblBorders>
          <w:top w:val="nil"/>
          <w:left w:val="nil"/>
          <w:bottom w:val="nil"/>
          <w:right w:val="nil"/>
          <w:insideH w:val="nil"/>
          <w:insideV w:val="nil"/>
        </w:tblBorders>
        <w:tblLook w:val="04A0"/>
      </w:tblPrEx>
      <w:tc>
        <w:tcPr>
          <w:tcW w:w="2500" w:type="pct"/>
        </w:tcPr>
        <w:p w:rsidR="00AB5C77" w:rsidP="0004699A">
          <w:pPr>
            <w:pStyle w:val="Header"/>
            <w:spacing w:after="340"/>
          </w:pPr>
          <w:r>
            <w:fldChar w:fldCharType="begin"/>
          </w:r>
          <w:r>
            <w:instrText xml:space="preserve"> STYLEREF  CS_Heading1_EN  \* MERGEFORMAT </w:instrText>
          </w:r>
          <w:r>
            <w:fldChar w:fldCharType="separate"/>
          </w:r>
          <w:r w:rsidR="0093513E">
            <w:rPr>
              <w:noProof/>
            </w:rPr>
            <w:t>DESCRIPTION OF THE ISSUER</w:t>
          </w:r>
          <w:r>
            <w:rPr>
              <w:noProof/>
            </w:rPr>
            <w:fldChar w:fldCharType="end"/>
          </w:r>
        </w:p>
      </w:tc>
      <w:tc>
        <w:tcPr>
          <w:tcW w:w="2500" w:type="pct"/>
        </w:tcPr>
        <w:p w:rsidR="00AB5C77" w:rsidP="0004699A">
          <w:pPr>
            <w:pStyle w:val="Header"/>
            <w:spacing w:after="340"/>
          </w:pPr>
          <w:r>
            <w:fldChar w:fldCharType="begin"/>
          </w:r>
          <w:r>
            <w:instrText xml:space="preserve"> STYLEREF  CS_Heading1_DE  \* MERGEFORMAT </w:instrText>
          </w:r>
          <w:r>
            <w:fldChar w:fldCharType="separate"/>
          </w:r>
          <w:r w:rsidR="0093513E">
            <w:rPr>
              <w:noProof/>
            </w:rPr>
            <w:t>BESCHREIBUNG DER EMITTENTIN</w:t>
          </w:r>
          <w:r>
            <w:rPr>
              <w:noProof/>
            </w:rPr>
            <w:fldChar w:fldCharType="end"/>
          </w:r>
        </w:p>
      </w:tc>
    </w:tr>
  </w:tbl>
  <w:p w:rsidR="00AB5C77">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9639" w:type="dxa"/>
      <w:tblBorders>
        <w:top w:val="nil"/>
        <w:left w:val="nil"/>
        <w:bottom w:val="nil"/>
        <w:right w:val="nil"/>
        <w:insideH w:val="nil"/>
        <w:insideV w:val="nil"/>
      </w:tblBorders>
      <w:tblLook w:val="04A0"/>
    </w:tblPr>
    <w:tblGrid>
      <w:gridCol w:w="4819"/>
      <w:gridCol w:w="4820"/>
    </w:tblGrid>
    <w:tr w:rsidTr="0004699A">
      <w:tblPrEx>
        <w:tblW w:w="9639" w:type="dxa"/>
        <w:tblBorders>
          <w:top w:val="nil"/>
          <w:left w:val="nil"/>
          <w:bottom w:val="nil"/>
          <w:right w:val="nil"/>
          <w:insideH w:val="nil"/>
          <w:insideV w:val="nil"/>
        </w:tblBorders>
        <w:tblLook w:val="04A0"/>
      </w:tblPrEx>
      <w:tc>
        <w:tcPr>
          <w:tcW w:w="4621" w:type="dxa"/>
        </w:tcPr>
        <w:p w:rsidR="00AB5C77" w:rsidP="0004699A">
          <w:pPr>
            <w:pStyle w:val="Header"/>
            <w:spacing w:after="340"/>
          </w:pPr>
          <w:r>
            <w:fldChar w:fldCharType="begin"/>
          </w:r>
          <w:r>
            <w:instrText xml:space="preserve"> STYLEREF  CS_Heading1_EN  \* MERGEFORMAT </w:instrText>
          </w:r>
          <w:r>
            <w:fldChar w:fldCharType="separate"/>
          </w:r>
          <w:r w:rsidR="0093513E">
            <w:rPr>
              <w:noProof/>
            </w:rPr>
            <w:t>DOCUMENTS INCORPORATED BY REFERENCE</w:t>
          </w:r>
          <w:r>
            <w:rPr>
              <w:noProof/>
            </w:rPr>
            <w:fldChar w:fldCharType="end"/>
          </w:r>
        </w:p>
      </w:tc>
      <w:tc>
        <w:tcPr>
          <w:tcW w:w="4622" w:type="dxa"/>
        </w:tcPr>
        <w:p w:rsidR="00AB5C77" w:rsidP="0004699A">
          <w:pPr>
            <w:pStyle w:val="Header"/>
            <w:spacing w:after="340"/>
          </w:pPr>
          <w:r>
            <w:fldChar w:fldCharType="begin"/>
          </w:r>
          <w:r>
            <w:instrText xml:space="preserve"> STYLEREF  CS_Heading1_DE  \* MERGEFORMAT </w:instrText>
          </w:r>
          <w:r>
            <w:fldChar w:fldCharType="separate"/>
          </w:r>
          <w:r w:rsidR="0093513E">
            <w:rPr>
              <w:noProof/>
            </w:rPr>
            <w:t>DURCH VERWEIS EINBEZOGENE DOKUMENTE</w:t>
          </w:r>
          <w:r>
            <w:rPr>
              <w:noProof/>
            </w:rPr>
            <w:fldChar w:fldCharType="end"/>
          </w:r>
        </w:p>
      </w:tc>
    </w:tr>
  </w:tbl>
  <w:p w:rsidR="00AB5C77">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F67D5C">
      <w:tblPrEx>
        <w:tblW w:w="5000" w:type="pct"/>
        <w:tblBorders>
          <w:top w:val="nil"/>
          <w:left w:val="nil"/>
          <w:bottom w:val="nil"/>
          <w:right w:val="nil"/>
          <w:insideH w:val="nil"/>
          <w:insideV w:val="nil"/>
        </w:tblBorders>
        <w:tblLook w:val="04A0"/>
      </w:tblPrEx>
      <w:tc>
        <w:tcPr>
          <w:tcW w:w="2500" w:type="pct"/>
        </w:tcPr>
        <w:p w:rsidR="00AB5C77" w:rsidP="00F67D5C">
          <w:pPr>
            <w:pStyle w:val="Header"/>
            <w:spacing w:after="340"/>
          </w:pPr>
          <w:r>
            <w:fldChar w:fldCharType="begin"/>
          </w:r>
          <w:r>
            <w:instrText xml:space="preserve"> STYLEREF  CS_Heading1_EN  \* MERGEFORMAT </w:instrText>
          </w:r>
          <w:r>
            <w:fldChar w:fldCharType="separate"/>
          </w:r>
          <w:r w:rsidR="0093513E">
            <w:rPr>
              <w:noProof/>
            </w:rPr>
            <w:t>COLLATERALIZATION OF COMPLEX PRODUCTS WITH COSI FEATURE</w:t>
          </w:r>
          <w:r>
            <w:rPr>
              <w:noProof/>
            </w:rPr>
            <w:fldChar w:fldCharType="end"/>
          </w:r>
        </w:p>
      </w:tc>
      <w:tc>
        <w:tcPr>
          <w:tcW w:w="2500" w:type="pct"/>
        </w:tcPr>
        <w:p w:rsidR="00AB5C77" w:rsidRPr="008A24E8" w:rsidP="00F67D5C">
          <w:pPr>
            <w:pStyle w:val="Header"/>
            <w:spacing w:after="340"/>
            <w:rPr>
              <w:lang w:val="de-DE"/>
            </w:rPr>
          </w:pPr>
          <w:r>
            <w:fldChar w:fldCharType="begin"/>
          </w:r>
          <w:r w:rsidRPr="008A24E8">
            <w:rPr>
              <w:lang w:val="de-DE"/>
            </w:rPr>
            <w:instrText xml:space="preserve"> STYLEREF  CS_Heading1_DE  \* MERGEFORMAT </w:instrText>
          </w:r>
          <w:r>
            <w:fldChar w:fldCharType="separate"/>
          </w:r>
          <w:r w:rsidR="0093513E">
            <w:rPr>
              <w:noProof/>
              <w:lang w:val="de-DE"/>
            </w:rPr>
            <w:t>BESICHERUNG VON KOMPLEXEN PRODUKTEN MIT COSI MERKMAL</w:t>
          </w:r>
          <w:r>
            <w:rPr>
              <w:noProof/>
            </w:rPr>
            <w:fldChar w:fldCharType="end"/>
          </w:r>
        </w:p>
      </w:tc>
    </w:tr>
  </w:tbl>
  <w:p w:rsidR="00AB5C77" w:rsidRPr="008A24E8">
    <w:pPr>
      <w:pStyle w:val="Header"/>
      <w:rPr>
        <w:lang w:val="de-DE"/>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78291D">
      <w:tblPrEx>
        <w:tblW w:w="5000" w:type="pct"/>
        <w:tblBorders>
          <w:top w:val="nil"/>
          <w:left w:val="nil"/>
          <w:bottom w:val="nil"/>
          <w:right w:val="nil"/>
          <w:insideH w:val="nil"/>
          <w:insideV w:val="nil"/>
        </w:tblBorders>
        <w:tblLook w:val="04A0"/>
      </w:tblPrEx>
      <w:tc>
        <w:tcPr>
          <w:tcW w:w="2500" w:type="pct"/>
        </w:tcPr>
        <w:p w:rsidR="00AB5C77" w:rsidP="0004699A">
          <w:pPr>
            <w:pStyle w:val="Header"/>
            <w:spacing w:after="240"/>
          </w:pPr>
          <w:r>
            <w:fldChar w:fldCharType="begin"/>
          </w:r>
          <w:r>
            <w:instrText xml:space="preserve"> STYLEREF  CS_Heading1_EN  \* MERGEFORMAT </w:instrText>
          </w:r>
          <w:r>
            <w:fldChar w:fldCharType="separate"/>
          </w:r>
          <w:r w:rsidR="0093513E">
            <w:rPr>
              <w:noProof/>
            </w:rPr>
            <w:t>DESCRIPTION OF THE ISSUER</w:t>
          </w:r>
          <w:r>
            <w:rPr>
              <w:noProof/>
            </w:rPr>
            <w:fldChar w:fldCharType="end"/>
          </w:r>
        </w:p>
      </w:tc>
      <w:tc>
        <w:tcPr>
          <w:tcW w:w="2500" w:type="pct"/>
        </w:tcPr>
        <w:p w:rsidR="00AB5C77" w:rsidRPr="00A950C6" w:rsidP="0004699A">
          <w:pPr>
            <w:pStyle w:val="Header"/>
            <w:spacing w:after="240"/>
            <w:rPr>
              <w:lang w:val="de-DE"/>
            </w:rPr>
          </w:pPr>
          <w:r>
            <w:fldChar w:fldCharType="begin"/>
          </w:r>
          <w:r w:rsidRPr="00A950C6">
            <w:rPr>
              <w:lang w:val="de-DE"/>
            </w:rPr>
            <w:instrText xml:space="preserve"> STYLEREF  CS_Heading1_DE  \* MERGEFORMAT </w:instrText>
          </w:r>
          <w:r>
            <w:fldChar w:fldCharType="separate"/>
          </w:r>
          <w:r w:rsidR="0093513E">
            <w:rPr>
              <w:noProof/>
              <w:lang w:val="de-DE"/>
            </w:rPr>
            <w:t>BESCHREIBUNG DER EMITTENTIN</w:t>
          </w:r>
          <w:r>
            <w:rPr>
              <w:noProof/>
            </w:rPr>
            <w:fldChar w:fldCharType="end"/>
          </w:r>
        </w:p>
      </w:tc>
    </w:tr>
  </w:tbl>
  <w:p w:rsidR="00AB5C77" w:rsidRPr="00A950C6">
    <w:pPr>
      <w:pStyle w:val="Header"/>
      <w:rPr>
        <w:lang w:val="de-D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D23063">
      <w:tblPrEx>
        <w:tblW w:w="5000" w:type="pct"/>
        <w:tblBorders>
          <w:top w:val="nil"/>
          <w:left w:val="nil"/>
          <w:bottom w:val="nil"/>
          <w:right w:val="nil"/>
          <w:insideH w:val="nil"/>
          <w:insideV w:val="nil"/>
        </w:tblBorders>
        <w:tblLook w:val="04A0"/>
      </w:tblPrEx>
      <w:tc>
        <w:tcPr>
          <w:tcW w:w="2500" w:type="pct"/>
        </w:tcPr>
        <w:p w:rsidR="00AB5C77" w:rsidP="00D23063">
          <w:pPr>
            <w:pStyle w:val="Header"/>
            <w:spacing w:after="240"/>
          </w:pPr>
          <w:r>
            <w:fldChar w:fldCharType="begin"/>
          </w:r>
          <w:r>
            <w:instrText xml:space="preserve"> STYLEREF  CS_Heading1_EN  \* MERGEFORMAT </w:instrText>
          </w:r>
          <w:r>
            <w:fldChar w:fldCharType="separate"/>
          </w:r>
          <w:r w:rsidR="0093513E">
            <w:rPr>
              <w:noProof/>
            </w:rPr>
            <w:t>FORM OF COMPLEX PRODUCTS</w:t>
          </w:r>
          <w:r>
            <w:rPr>
              <w:noProof/>
            </w:rPr>
            <w:fldChar w:fldCharType="end"/>
          </w:r>
        </w:p>
      </w:tc>
      <w:tc>
        <w:tcPr>
          <w:tcW w:w="2500" w:type="pct"/>
        </w:tcPr>
        <w:p w:rsidR="00AB5C77" w:rsidP="00D23063">
          <w:pPr>
            <w:pStyle w:val="Header"/>
            <w:spacing w:after="240"/>
          </w:pPr>
          <w:r>
            <w:fldChar w:fldCharType="begin"/>
          </w:r>
          <w:r>
            <w:instrText xml:space="preserve"> STYLEREF  CS_Heading1_DE  \* MERGEFORMAT </w:instrText>
          </w:r>
          <w:r>
            <w:fldChar w:fldCharType="separate"/>
          </w:r>
          <w:r w:rsidR="0093513E">
            <w:rPr>
              <w:noProof/>
            </w:rPr>
            <w:t>VERBRIEFUNG DER KOMPLEXEN PRODUKTE</w:t>
          </w:r>
          <w:r>
            <w:rPr>
              <w:noProof/>
            </w:rPr>
            <w:fldChar w:fldCharType="end"/>
          </w:r>
        </w:p>
      </w:tc>
    </w:tr>
  </w:tbl>
  <w:p w:rsidR="00AB5C77">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D23063">
      <w:tblPrEx>
        <w:tblW w:w="5000" w:type="pct"/>
        <w:tblBorders>
          <w:top w:val="nil"/>
          <w:left w:val="nil"/>
          <w:bottom w:val="nil"/>
          <w:right w:val="nil"/>
          <w:insideH w:val="nil"/>
          <w:insideV w:val="nil"/>
        </w:tblBorders>
        <w:tblLook w:val="04A0"/>
      </w:tblPrEx>
      <w:tc>
        <w:tcPr>
          <w:tcW w:w="2500" w:type="pct"/>
        </w:tcPr>
        <w:p w:rsidR="00AB5C77" w:rsidP="00D23063">
          <w:pPr>
            <w:pStyle w:val="Header"/>
            <w:spacing w:after="240"/>
          </w:pPr>
          <w:r>
            <w:fldChar w:fldCharType="begin"/>
          </w:r>
          <w:r>
            <w:instrText xml:space="preserve"> STYLEREF  CS_Heading1_EN  \* MERGEFORMAT </w:instrText>
          </w:r>
          <w:r>
            <w:fldChar w:fldCharType="separate"/>
          </w:r>
          <w:r w:rsidR="0093513E">
            <w:rPr>
              <w:noProof/>
            </w:rPr>
            <w:t>TAXATION</w:t>
          </w:r>
          <w:r>
            <w:rPr>
              <w:noProof/>
            </w:rPr>
            <w:fldChar w:fldCharType="end"/>
          </w:r>
        </w:p>
      </w:tc>
      <w:tc>
        <w:tcPr>
          <w:tcW w:w="2500" w:type="pct"/>
        </w:tcPr>
        <w:p w:rsidR="00AB5C77" w:rsidP="00D23063">
          <w:pPr>
            <w:pStyle w:val="Header"/>
            <w:spacing w:after="240"/>
          </w:pPr>
          <w:r>
            <w:fldChar w:fldCharType="begin"/>
          </w:r>
          <w:r>
            <w:instrText xml:space="preserve"> STYLEREF  CS_Heading1_DE  \* MERGEFORMAT </w:instrText>
          </w:r>
          <w:r>
            <w:fldChar w:fldCharType="separate"/>
          </w:r>
          <w:r w:rsidR="0093513E">
            <w:rPr>
              <w:noProof/>
            </w:rPr>
            <w:t>BESTEUERUNG</w:t>
          </w:r>
          <w:r>
            <w:rPr>
              <w:noProof/>
            </w:rPr>
            <w:fldChar w:fldCharType="end"/>
          </w:r>
        </w:p>
      </w:tc>
    </w:tr>
  </w:tbl>
  <w:p w:rsidR="00AB5C77">
    <w:pPr>
      <w:pStyle w:val="Heade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0" w:type="auto"/>
      <w:tblBorders>
        <w:top w:val="nil"/>
        <w:left w:val="nil"/>
        <w:bottom w:val="nil"/>
        <w:right w:val="nil"/>
        <w:insideH w:val="nil"/>
        <w:insideV w:val="nil"/>
      </w:tblBorders>
      <w:tblLook w:val="04A0"/>
    </w:tblPr>
    <w:tblGrid>
      <w:gridCol w:w="4621"/>
      <w:gridCol w:w="4622"/>
    </w:tblGrid>
    <w:tr w:rsidTr="00D23063">
      <w:tblPrEx>
        <w:tblW w:w="0" w:type="auto"/>
        <w:tblBorders>
          <w:top w:val="nil"/>
          <w:left w:val="nil"/>
          <w:bottom w:val="nil"/>
          <w:right w:val="nil"/>
          <w:insideH w:val="nil"/>
          <w:insideV w:val="nil"/>
        </w:tblBorders>
        <w:tblLook w:val="04A0"/>
      </w:tblPrEx>
      <w:tc>
        <w:tcPr>
          <w:tcW w:w="4621" w:type="dxa"/>
        </w:tcPr>
        <w:p w:rsidR="00AB5C77" w:rsidP="00D23063">
          <w:pPr>
            <w:pStyle w:val="Header"/>
            <w:spacing w:after="240"/>
          </w:pPr>
          <w:r>
            <w:fldChar w:fldCharType="begin"/>
          </w:r>
          <w:r>
            <w:instrText xml:space="preserve"> STYLEREF  CS_Heading1_EN  \* MERGEFORMAT </w:instrText>
          </w:r>
          <w:r>
            <w:fldChar w:fldCharType="separate"/>
          </w:r>
          <w:r w:rsidR="0093513E">
            <w:rPr>
              <w:noProof/>
            </w:rPr>
            <w:t>SELLING RESTRICTIONS</w:t>
          </w:r>
          <w:r>
            <w:rPr>
              <w:noProof/>
            </w:rPr>
            <w:fldChar w:fldCharType="end"/>
          </w:r>
        </w:p>
      </w:tc>
      <w:tc>
        <w:tcPr>
          <w:tcW w:w="4622" w:type="dxa"/>
        </w:tcPr>
        <w:p w:rsidR="00AB5C77" w:rsidP="00D23063">
          <w:pPr>
            <w:pStyle w:val="Header"/>
            <w:spacing w:after="240"/>
          </w:pPr>
          <w:r>
            <w:fldChar w:fldCharType="begin"/>
          </w:r>
          <w:r>
            <w:instrText xml:space="preserve"> STYLEREF  CS_Heading1_DE  \* MERGEFORMAT </w:instrText>
          </w:r>
          <w:r>
            <w:fldChar w:fldCharType="separate"/>
          </w:r>
          <w:r w:rsidR="0093513E">
            <w:rPr>
              <w:noProof/>
            </w:rPr>
            <w:t>VERKAUFSBESCHRÄNKUNGEN</w:t>
          </w:r>
          <w:r>
            <w:rPr>
              <w:noProof/>
            </w:rPr>
            <w:fldChar w:fldCharType="end"/>
          </w:r>
        </w:p>
      </w:tc>
    </w:tr>
  </w:tbl>
  <w:p w:rsidR="00AB5C77">
    <w:pPr>
      <w:pStyle w:val="Heade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D23063">
      <w:tblPrEx>
        <w:tblW w:w="5000" w:type="pct"/>
        <w:tblBorders>
          <w:top w:val="nil"/>
          <w:left w:val="nil"/>
          <w:bottom w:val="nil"/>
          <w:right w:val="nil"/>
          <w:insideH w:val="nil"/>
          <w:insideV w:val="nil"/>
        </w:tblBorders>
        <w:tblLook w:val="04A0"/>
      </w:tblPrEx>
      <w:tc>
        <w:tcPr>
          <w:tcW w:w="2500" w:type="pct"/>
        </w:tcPr>
        <w:p w:rsidR="00AB5C77" w:rsidP="00D23063">
          <w:pPr>
            <w:pStyle w:val="Header"/>
            <w:spacing w:after="240"/>
          </w:pPr>
          <w:r>
            <w:fldChar w:fldCharType="begin"/>
          </w:r>
          <w:r>
            <w:instrText xml:space="preserve"> STYLEREF  CS_Heading1_EN  \* MERGEFORMAT </w:instrText>
          </w:r>
          <w:r>
            <w:fldChar w:fldCharType="separate"/>
          </w:r>
          <w:r w:rsidR="0093513E">
            <w:rPr>
              <w:noProof/>
            </w:rPr>
            <w:t>SELLING RESTRICTIONS</w:t>
          </w:r>
          <w:r>
            <w:rPr>
              <w:noProof/>
            </w:rPr>
            <w:fldChar w:fldCharType="end"/>
          </w:r>
        </w:p>
      </w:tc>
      <w:tc>
        <w:tcPr>
          <w:tcW w:w="2500" w:type="pct"/>
        </w:tcPr>
        <w:p w:rsidR="00AB5C77" w:rsidP="00D23063">
          <w:pPr>
            <w:pStyle w:val="Header"/>
            <w:spacing w:after="240"/>
          </w:pPr>
          <w:r>
            <w:fldChar w:fldCharType="begin"/>
          </w:r>
          <w:r>
            <w:instrText xml:space="preserve"> STYLEREF  CS_Heading1_DE  \* MERGEFORMAT </w:instrText>
          </w:r>
          <w:r>
            <w:fldChar w:fldCharType="separate"/>
          </w:r>
          <w:r w:rsidR="0093513E">
            <w:rPr>
              <w:noProof/>
            </w:rPr>
            <w:t>VERKAUFSBESCHRÄNKUNGEN</w:t>
          </w:r>
          <w:r>
            <w:rPr>
              <w:noProof/>
            </w:rPr>
            <w:fldChar w:fldCharType="end"/>
          </w:r>
        </w:p>
      </w:tc>
    </w:tr>
  </w:tbl>
  <w:p w:rsidR="00AB5C77">
    <w:pPr>
      <w:pStyle w:val="Heade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872C02">
      <w:tblPrEx>
        <w:tblW w:w="5000" w:type="pct"/>
        <w:tblBorders>
          <w:top w:val="nil"/>
          <w:left w:val="nil"/>
          <w:bottom w:val="nil"/>
          <w:right w:val="nil"/>
          <w:insideH w:val="nil"/>
          <w:insideV w:val="nil"/>
        </w:tblBorders>
        <w:tblLook w:val="04A0"/>
      </w:tblPrEx>
      <w:tc>
        <w:tcPr>
          <w:tcW w:w="2500" w:type="pct"/>
        </w:tcPr>
        <w:p w:rsidR="00AB5C77" w:rsidP="00872C02">
          <w:pPr>
            <w:pStyle w:val="Header"/>
            <w:spacing w:after="240"/>
          </w:pPr>
          <w:r>
            <w:fldChar w:fldCharType="begin"/>
          </w:r>
          <w:r>
            <w:instrText xml:space="preserve"> STYLEREF  CS_Heading1_EN  \* MERGEFORMAT </w:instrText>
          </w:r>
          <w:r>
            <w:fldChar w:fldCharType="separate"/>
          </w:r>
          <w:r w:rsidR="0093513E">
            <w:rPr>
              <w:noProof/>
            </w:rPr>
            <w:t>TERMS AND CONDITIONS OF THE COMPLEX PRODUCTS</w:t>
          </w:r>
          <w:r>
            <w:rPr>
              <w:noProof/>
            </w:rPr>
            <w:fldChar w:fldCharType="end"/>
          </w:r>
        </w:p>
      </w:tc>
      <w:tc>
        <w:tcPr>
          <w:tcW w:w="2500" w:type="pct"/>
        </w:tcPr>
        <w:p w:rsidR="00AB5C77" w:rsidP="00872C02">
          <w:pPr>
            <w:pStyle w:val="Header"/>
            <w:spacing w:after="240"/>
          </w:pPr>
          <w:r>
            <w:fldChar w:fldCharType="begin"/>
          </w:r>
          <w:r>
            <w:instrText xml:space="preserve"> STYLEREF  CS_Heading1_DE  \* MERGEFORMAT </w:instrText>
          </w:r>
          <w:r>
            <w:fldChar w:fldCharType="separate"/>
          </w:r>
          <w:r w:rsidR="0093513E">
            <w:rPr>
              <w:noProof/>
            </w:rPr>
            <w:t>EMISSIONSBEDINGUNGEN DER KOMPLEXEN PRODUKTE</w:t>
          </w:r>
          <w:r>
            <w:rPr>
              <w:noProof/>
            </w:rPr>
            <w:fldChar w:fldCharType="end"/>
          </w:r>
        </w:p>
      </w:tc>
    </w:tr>
  </w:tbl>
  <w:p w:rsidR="00AB5C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872C02">
      <w:tblPrEx>
        <w:tblW w:w="5000" w:type="pct"/>
        <w:tblBorders>
          <w:top w:val="nil"/>
          <w:left w:val="nil"/>
          <w:bottom w:val="nil"/>
          <w:right w:val="nil"/>
          <w:insideH w:val="nil"/>
          <w:insideV w:val="nil"/>
        </w:tblBorders>
        <w:tblLook w:val="04A0"/>
      </w:tblPrEx>
      <w:tc>
        <w:tcPr>
          <w:tcW w:w="2500" w:type="pct"/>
        </w:tcPr>
        <w:p w:rsidR="00AB5C77" w:rsidP="00872C02">
          <w:pPr>
            <w:pStyle w:val="Header"/>
            <w:spacing w:after="240"/>
          </w:pPr>
          <w:r>
            <w:fldChar w:fldCharType="begin"/>
          </w:r>
          <w:r>
            <w:instrText xml:space="preserve"> STYLEREF  CS_Heading1_EN  \* MERGEFORMAT </w:instrText>
          </w:r>
          <w:r>
            <w:fldChar w:fldCharType="separate"/>
          </w:r>
          <w:r w:rsidR="0093513E">
            <w:rPr>
              <w:noProof/>
            </w:rPr>
            <w:t>ADDITIONAL INFORMATION</w:t>
          </w:r>
          <w:r>
            <w:rPr>
              <w:noProof/>
            </w:rPr>
            <w:fldChar w:fldCharType="end"/>
          </w:r>
        </w:p>
      </w:tc>
      <w:tc>
        <w:tcPr>
          <w:tcW w:w="2500" w:type="pct"/>
        </w:tcPr>
        <w:p w:rsidR="00AB5C77" w:rsidP="00872C02">
          <w:pPr>
            <w:pStyle w:val="Header"/>
            <w:spacing w:after="240"/>
          </w:pPr>
          <w:r>
            <w:fldChar w:fldCharType="begin"/>
          </w:r>
          <w:r>
            <w:instrText xml:space="preserve"> STYLEREF  CS_Heading1_DE  \* MERGEFORMAT </w:instrText>
          </w:r>
          <w:r>
            <w:fldChar w:fldCharType="separate"/>
          </w:r>
          <w:r w:rsidR="0093513E">
            <w:rPr>
              <w:noProof/>
            </w:rPr>
            <w:t>ZUSÄTZLICHE INFORMATIONEN</w:t>
          </w:r>
          <w:r>
            <w:rPr>
              <w:noProof/>
            </w:rPr>
            <w:fldChar w:fldCharType="end"/>
          </w:r>
        </w:p>
      </w:tc>
    </w:tr>
  </w:tbl>
  <w:p w:rsidR="00AB5C77">
    <w:pPr>
      <w:pStyle w:val="Header"/>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9639" w:type="dxa"/>
      <w:tblBorders>
        <w:top w:val="nil"/>
        <w:left w:val="nil"/>
        <w:bottom w:val="nil"/>
        <w:right w:val="nil"/>
        <w:insideH w:val="nil"/>
        <w:insideV w:val="nil"/>
      </w:tblBorders>
      <w:tblLook w:val="04A0"/>
    </w:tblPr>
    <w:tblGrid>
      <w:gridCol w:w="4819"/>
      <w:gridCol w:w="4820"/>
    </w:tblGrid>
    <w:tr w:rsidTr="00AA0646">
      <w:tblPrEx>
        <w:tblW w:w="9639" w:type="dxa"/>
        <w:tblBorders>
          <w:top w:val="nil"/>
          <w:left w:val="nil"/>
          <w:bottom w:val="nil"/>
          <w:right w:val="nil"/>
          <w:insideH w:val="nil"/>
          <w:insideV w:val="nil"/>
        </w:tblBorders>
        <w:tblLook w:val="04A0"/>
      </w:tblPrEx>
      <w:tc>
        <w:tcPr>
          <w:tcW w:w="4621" w:type="dxa"/>
        </w:tcPr>
        <w:p w:rsidR="00AB5C77" w:rsidP="00AA0646">
          <w:pPr>
            <w:pStyle w:val="Header"/>
            <w:spacing w:after="240"/>
          </w:pPr>
          <w:r>
            <w:fldChar w:fldCharType="begin"/>
          </w:r>
          <w:r>
            <w:instrText xml:space="preserve"> STYLEREF  CS_Heading1_EN  \* MERGEFORMAT </w:instrText>
          </w:r>
          <w:r>
            <w:fldChar w:fldCharType="separate"/>
          </w:r>
          <w:r w:rsidR="0093513E">
            <w:rPr>
              <w:noProof/>
            </w:rPr>
            <w:t>RESPONSIBILITY STATEMENT</w:t>
          </w:r>
          <w:r>
            <w:rPr>
              <w:noProof/>
            </w:rPr>
            <w:fldChar w:fldCharType="end"/>
          </w:r>
        </w:p>
      </w:tc>
      <w:tc>
        <w:tcPr>
          <w:tcW w:w="4622" w:type="dxa"/>
        </w:tcPr>
        <w:p w:rsidR="00AB5C77" w:rsidP="00BA6D94">
          <w:pPr>
            <w:pStyle w:val="Header"/>
            <w:spacing w:after="240"/>
          </w:pPr>
          <w:r>
            <w:fldChar w:fldCharType="begin"/>
          </w:r>
          <w:r>
            <w:instrText xml:space="preserve"> STYLEREF  CS_Heading1_DE  \* MERGEFORMAT </w:instrText>
          </w:r>
          <w:r>
            <w:fldChar w:fldCharType="separate"/>
          </w:r>
          <w:r w:rsidR="0093513E">
            <w:rPr>
              <w:noProof/>
            </w:rPr>
            <w:t>VERANTWORTLICHKEITSERKLÄRUNG</w:t>
          </w:r>
          <w:r>
            <w:rPr>
              <w:noProof/>
            </w:rPr>
            <w:fldChar w:fldCharType="end"/>
          </w:r>
        </w:p>
      </w:tc>
    </w:tr>
  </w:tbl>
  <w:p w:rsidR="00AB5C7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381F0A">
      <w:tblPrEx>
        <w:tblW w:w="5000" w:type="pct"/>
        <w:tblBorders>
          <w:top w:val="nil"/>
          <w:left w:val="nil"/>
          <w:bottom w:val="nil"/>
          <w:right w:val="nil"/>
          <w:insideH w:val="nil"/>
          <w:insideV w:val="nil"/>
        </w:tblBorders>
        <w:tblLook w:val="04A0"/>
      </w:tblPrEx>
      <w:tc>
        <w:tcPr>
          <w:tcW w:w="4621" w:type="dxa"/>
        </w:tcPr>
        <w:p w:rsidR="00AB5C77" w:rsidP="00B954F3">
          <w:pPr>
            <w:pStyle w:val="Header"/>
            <w:spacing w:after="340"/>
          </w:pPr>
          <w:r>
            <w:fldChar w:fldCharType="begin"/>
          </w:r>
          <w:r>
            <w:instrText xml:space="preserve"> STYLEREF  CS_Heading1_EN  \* MERGEFORMAT </w:instrText>
          </w:r>
          <w:r>
            <w:fldChar w:fldCharType="separate"/>
          </w:r>
          <w:r w:rsidR="0093513E">
            <w:rPr>
              <w:noProof/>
            </w:rPr>
            <w:t>RISK FACTORS</w:t>
          </w:r>
          <w:r>
            <w:rPr>
              <w:noProof/>
            </w:rPr>
            <w:fldChar w:fldCharType="end"/>
          </w:r>
        </w:p>
      </w:tc>
      <w:tc>
        <w:tcPr>
          <w:tcW w:w="4622" w:type="dxa"/>
        </w:tcPr>
        <w:p w:rsidR="00AB5C77" w:rsidP="00B954F3">
          <w:pPr>
            <w:pStyle w:val="Header"/>
            <w:spacing w:after="340"/>
          </w:pPr>
          <w:r>
            <w:fldChar w:fldCharType="begin"/>
          </w:r>
          <w:r>
            <w:instrText xml:space="preserve"> STYLEREF  CS_Heading1_DE  \* MERGEFORMAT </w:instrText>
          </w:r>
          <w:r>
            <w:fldChar w:fldCharType="separate"/>
          </w:r>
          <w:r w:rsidR="0093513E">
            <w:rPr>
              <w:noProof/>
            </w:rPr>
            <w:t>RISIKOFAKTOREN</w:t>
          </w:r>
          <w:r>
            <w:rPr>
              <w:noProof/>
            </w:rPr>
            <w:fldChar w:fldCharType="end"/>
          </w:r>
        </w:p>
      </w:tc>
    </w:tr>
  </w:tbl>
  <w:p w:rsidR="00AB5C7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381F0A">
      <w:tblPrEx>
        <w:tblW w:w="5000" w:type="pct"/>
        <w:tblBorders>
          <w:top w:val="nil"/>
          <w:left w:val="nil"/>
          <w:bottom w:val="nil"/>
          <w:right w:val="nil"/>
          <w:insideH w:val="nil"/>
          <w:insideV w:val="nil"/>
        </w:tblBorders>
        <w:tblLook w:val="04A0"/>
      </w:tblPrEx>
      <w:tc>
        <w:tcPr>
          <w:tcW w:w="4621" w:type="dxa"/>
        </w:tcPr>
        <w:p w:rsidR="00AB5C77" w:rsidP="00381F0A">
          <w:pPr>
            <w:pStyle w:val="Header"/>
            <w:spacing w:after="240"/>
          </w:pPr>
          <w:r>
            <w:fldChar w:fldCharType="begin"/>
          </w:r>
          <w:r>
            <w:instrText xml:space="preserve"> STYLEREF  CS_Heading1_EN  \* MERGEFORMAT </w:instrText>
          </w:r>
          <w:r>
            <w:fldChar w:fldCharType="separate"/>
          </w:r>
          <w:r w:rsidR="0093513E">
            <w:rPr>
              <w:noProof/>
            </w:rPr>
            <w:t>GENERAL INFORMATION ABOUT THIS DOCUMENT</w:t>
          </w:r>
          <w:r>
            <w:rPr>
              <w:noProof/>
            </w:rPr>
            <w:fldChar w:fldCharType="end"/>
          </w:r>
        </w:p>
      </w:tc>
      <w:tc>
        <w:tcPr>
          <w:tcW w:w="4622" w:type="dxa"/>
        </w:tcPr>
        <w:p w:rsidR="00AB5C77" w:rsidP="00381F0A">
          <w:pPr>
            <w:pStyle w:val="Header"/>
            <w:spacing w:after="240"/>
          </w:pPr>
          <w:r>
            <w:fldChar w:fldCharType="begin"/>
          </w:r>
          <w:r>
            <w:instrText xml:space="preserve"> STYLEREF  CS_Heading1_DE  \* MERGEFORMAT </w:instrText>
          </w:r>
          <w:r>
            <w:fldChar w:fldCharType="separate"/>
          </w:r>
          <w:r w:rsidR="0093513E">
            <w:rPr>
              <w:noProof/>
            </w:rPr>
            <w:t>ALLGEMEINE INFORMATIONEN ZU DIESEM DOKUMENT</w:t>
          </w:r>
          <w:r>
            <w:rPr>
              <w:noProof/>
            </w:rPr>
            <w:fldChar w:fldCharType="end"/>
          </w:r>
        </w:p>
      </w:tc>
    </w:tr>
  </w:tbl>
  <w:p w:rsidR="00AB5C77">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381F0A">
      <w:tblPrEx>
        <w:tblW w:w="5000" w:type="pct"/>
        <w:tblBorders>
          <w:top w:val="nil"/>
          <w:left w:val="nil"/>
          <w:bottom w:val="nil"/>
          <w:right w:val="nil"/>
          <w:insideH w:val="nil"/>
          <w:insideV w:val="nil"/>
        </w:tblBorders>
        <w:tblLook w:val="04A0"/>
      </w:tblPrEx>
      <w:tc>
        <w:tcPr>
          <w:tcW w:w="4621" w:type="dxa"/>
        </w:tcPr>
        <w:p w:rsidR="00AB5C77" w:rsidP="00B954F3">
          <w:pPr>
            <w:pStyle w:val="Header"/>
            <w:spacing w:after="240"/>
          </w:pPr>
          <w:r>
            <w:fldChar w:fldCharType="begin"/>
          </w:r>
          <w:r>
            <w:instrText xml:space="preserve"> STYLEREF  CS_Heading1_EN  \* MERGEFORMAT </w:instrText>
          </w:r>
          <w:r>
            <w:fldChar w:fldCharType="separate"/>
          </w:r>
          <w:r w:rsidR="0093513E">
            <w:rPr>
              <w:noProof/>
            </w:rPr>
            <w:t>RISK FACTORS</w:t>
          </w:r>
          <w:r>
            <w:rPr>
              <w:noProof/>
            </w:rPr>
            <w:fldChar w:fldCharType="end"/>
          </w:r>
        </w:p>
      </w:tc>
      <w:tc>
        <w:tcPr>
          <w:tcW w:w="4622" w:type="dxa"/>
        </w:tcPr>
        <w:p w:rsidR="00AB5C77" w:rsidRPr="00DE10D4" w:rsidP="00B954F3">
          <w:pPr>
            <w:pStyle w:val="Header"/>
            <w:spacing w:after="240"/>
            <w:rPr>
              <w:lang w:val="de-DE"/>
            </w:rPr>
          </w:pPr>
          <w:r>
            <w:fldChar w:fldCharType="begin"/>
          </w:r>
          <w:r w:rsidRPr="00DE10D4">
            <w:rPr>
              <w:lang w:val="de-DE"/>
            </w:rPr>
            <w:instrText xml:space="preserve"> STYLEREF  CS_Heading1_DE  \* MERGEFORMAT </w:instrText>
          </w:r>
          <w:r>
            <w:fldChar w:fldCharType="separate"/>
          </w:r>
          <w:r w:rsidR="0093513E">
            <w:rPr>
              <w:noProof/>
              <w:lang w:val="de-DE"/>
            </w:rPr>
            <w:t>RISIKOFAKTOREN</w:t>
          </w:r>
          <w:r>
            <w:rPr>
              <w:noProof/>
            </w:rPr>
            <w:fldChar w:fldCharType="end"/>
          </w:r>
        </w:p>
      </w:tc>
    </w:tr>
  </w:tbl>
  <w:p w:rsidR="00AB5C77" w:rsidRPr="00DE10D4">
    <w:pPr>
      <w:pStyle w:val="Header"/>
      <w:rPr>
        <w:lang w:val="de-DE"/>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77">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W w:w="5000" w:type="pct"/>
      <w:tblBorders>
        <w:top w:val="nil"/>
        <w:left w:val="nil"/>
        <w:bottom w:val="nil"/>
        <w:right w:val="nil"/>
        <w:insideH w:val="nil"/>
        <w:insideV w:val="nil"/>
      </w:tblBorders>
      <w:tblLook w:val="04A0"/>
    </w:tblPr>
    <w:tblGrid>
      <w:gridCol w:w="4927"/>
      <w:gridCol w:w="4928"/>
    </w:tblGrid>
    <w:tr w:rsidTr="00381F0A">
      <w:tblPrEx>
        <w:tblW w:w="5000" w:type="pct"/>
        <w:tblBorders>
          <w:top w:val="nil"/>
          <w:left w:val="nil"/>
          <w:bottom w:val="nil"/>
          <w:right w:val="nil"/>
          <w:insideH w:val="nil"/>
          <w:insideV w:val="nil"/>
        </w:tblBorders>
        <w:tblLook w:val="04A0"/>
      </w:tblPrEx>
      <w:tc>
        <w:tcPr>
          <w:tcW w:w="4621" w:type="dxa"/>
        </w:tcPr>
        <w:p w:rsidR="00AB5C77" w:rsidP="00B954F3">
          <w:pPr>
            <w:pStyle w:val="Header"/>
            <w:spacing w:after="240"/>
          </w:pPr>
          <w:r>
            <w:fldChar w:fldCharType="begin"/>
          </w:r>
          <w:r>
            <w:instrText xml:space="preserve"> STYLEREF  CS_Heading1_EN  \* MERGEFORMAT </w:instrText>
          </w:r>
          <w:r>
            <w:fldChar w:fldCharType="separate"/>
          </w:r>
          <w:r w:rsidR="0093513E">
            <w:rPr>
              <w:noProof/>
            </w:rPr>
            <w:t>GENERAL INFORMATION ABOUT THIS DOCUMENT</w:t>
          </w:r>
          <w:r>
            <w:rPr>
              <w:noProof/>
            </w:rPr>
            <w:fldChar w:fldCharType="end"/>
          </w:r>
        </w:p>
      </w:tc>
      <w:tc>
        <w:tcPr>
          <w:tcW w:w="4622" w:type="dxa"/>
        </w:tcPr>
        <w:p w:rsidR="00AB5C77" w:rsidRPr="004668CF" w:rsidP="00B954F3">
          <w:pPr>
            <w:pStyle w:val="Header"/>
            <w:spacing w:after="240"/>
            <w:rPr>
              <w:lang w:val="de-DE"/>
            </w:rPr>
          </w:pPr>
          <w:r>
            <w:fldChar w:fldCharType="begin"/>
          </w:r>
          <w:r w:rsidRPr="004668CF">
            <w:rPr>
              <w:lang w:val="de-DE"/>
            </w:rPr>
            <w:instrText xml:space="preserve"> STYLEREF  CS_Heading1_DE  \* MERGEFORMAT </w:instrText>
          </w:r>
          <w:r>
            <w:fldChar w:fldCharType="separate"/>
          </w:r>
          <w:r w:rsidR="0093513E">
            <w:rPr>
              <w:noProof/>
              <w:lang w:val="de-DE"/>
            </w:rPr>
            <w:t>ALLGEMEINE INFORMATIONEN ZU DIESEM DOKUMENT</w:t>
          </w:r>
          <w:r>
            <w:rPr>
              <w:noProof/>
            </w:rPr>
            <w:fldChar w:fldCharType="end"/>
          </w:r>
        </w:p>
      </w:tc>
    </w:tr>
  </w:tbl>
  <w:p w:rsidR="00AB5C77" w:rsidRPr="004668CF">
    <w:pPr>
      <w:pStyle w:val="Header"/>
      <w:rPr>
        <w:lang w:val="de-D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8EF798D"/>
    <w:multiLevelType w:val="multilevel"/>
    <w:tmpl w:val="524829B2"/>
    <w:name w:val="English Headings"/>
    <w:lvl w:ilvl="0">
      <w:start w:val="1"/>
      <w:numFmt w:val="none"/>
      <w:pStyle w:val="CSHeading1EN0"/>
      <w:suff w:val="nothing"/>
      <w:lvlJc w:val="left"/>
      <w:pPr>
        <w:ind w:left="0" w:firstLine="0"/>
      </w:pPr>
      <w:rPr>
        <w:rFonts w:ascii="Credit Suisse Type Light" w:hAnsi="Credit Suisse Type Light" w:hint="default"/>
        <w:b/>
        <w:i w:val="0"/>
        <w:sz w:val="24"/>
      </w:rPr>
    </w:lvl>
    <w:lvl w:ilvl="1">
      <w:start w:val="1"/>
      <w:numFmt w:val="upperRoman"/>
      <w:pStyle w:val="CSHeading2EN0"/>
      <w:lvlText w:val="%2."/>
      <w:lvlJc w:val="left"/>
      <w:pPr>
        <w:ind w:left="360" w:hanging="360"/>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xmlns:w14="http://schemas.microsoft.com/office/word/2010/wordml" w14:rad="0">
          <w14:srgbClr w14:val="000000"/>
        </w14:glow>
        <w14:shadow xmlns:w14="http://schemas.microsoft.com/office/word/2010/wordml" w14:blurRad="0" w14:dist="0" w14:dir="0" w14:sx="0" w14:sy="0" w14:kx="0" w14:ky="0" w14:algn="none">
          <w14:srgbClr w14:val="000000"/>
        </w14:shadow>
        <w14:reflection xmlns:w14="http://schemas.microsoft.com/office/word/2010/wordml" w14:blurRad="0" w14:stA="0" w14:stPos="0" w14:endA="0" w14:endPos="0" w14:dist="0" w14:dir="0" w14:fadeDir="0" w14:sx="0" w14:sy="0" w14:kx="0" w14:ky="0" w14:algn="none"/>
        <w14:textOutline xmlns:w14="http://schemas.microsoft.com/office/word/2010/wordml" w14:w="0" w14:cap="rnd" w14:cmpd="sng" w14:algn="ctr">
          <w14:noFill/>
          <w14:prstDash w14:val="solid"/>
          <w14:bevel/>
        </w14:textOutline>
        <w14:scene3d xmlns:w14="http://schemas.microsoft.com/office/word/2010/wordml">
          <w14:camera w14:prst="orthographicFront"/>
          <w14:lightRig w14:rig="threePt" w14:dir="t">
            <w14:rot w14:lat="0" w14:lon="0" w14:rev="0"/>
          </w14:lightRig>
        </w14:scene3d>
        <w14:props3d xmlns:w14="http://schemas.microsoft.com/office/word/2010/wordml" w14:extrusionH="0" w14:contourW="0" w14:prstMaterial="none"/>
        <w14:ligatures w14:val="none"/>
        <w14:numForm w14:val="default"/>
        <w14:numSpacing w14:val="default"/>
        <w14:stylisticSets xmlns:w14="http://schemas.microsoft.com/office/word/2010/wordml"/>
        <w14:cntxtAlts w14:val="0"/>
      </w:rPr>
    </w:lvl>
    <w:lvl w:ilvl="2">
      <w:start w:val="1"/>
      <w:numFmt w:val="upperLetter"/>
      <w:pStyle w:val="CSHeading3EN0"/>
      <w:lvlText w:val="%3."/>
      <w:lvlJc w:val="left"/>
      <w:pPr>
        <w:ind w:left="360" w:hanging="360"/>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xmlns:w14="http://schemas.microsoft.com/office/word/2010/wordml" w14:rad="0">
          <w14:srgbClr w14:val="000000"/>
        </w14:glow>
        <w14:shadow xmlns:w14="http://schemas.microsoft.com/office/word/2010/wordml" w14:blurRad="0" w14:dist="0" w14:dir="0" w14:sx="0" w14:sy="0" w14:kx="0" w14:ky="0" w14:algn="none">
          <w14:srgbClr w14:val="000000"/>
        </w14:shadow>
        <w14:reflection xmlns:w14="http://schemas.microsoft.com/office/word/2010/wordml" w14:blurRad="0" w14:stA="0" w14:stPos="0" w14:endA="0" w14:endPos="0" w14:dist="0" w14:dir="0" w14:fadeDir="0" w14:sx="0" w14:sy="0" w14:kx="0" w14:ky="0" w14:algn="none"/>
        <w14:textOutline xmlns:w14="http://schemas.microsoft.com/office/word/2010/wordml" w14:w="0" w14:cap="rnd" w14:cmpd="sng" w14:algn="ctr">
          <w14:noFill/>
          <w14:prstDash w14:val="solid"/>
          <w14:bevel/>
        </w14:textOutline>
        <w14:scene3d xmlns:w14="http://schemas.microsoft.com/office/word/2010/wordml">
          <w14:camera w14:prst="orthographicFront"/>
          <w14:lightRig w14:rig="threePt" w14:dir="t">
            <w14:rot w14:lat="0" w14:lon="0" w14:rev="0"/>
          </w14:lightRig>
        </w14:scene3d>
        <w14:props3d xmlns:w14="http://schemas.microsoft.com/office/word/2010/wordml" w14:extrusionH="0" w14:contourW="0" w14:prstMaterial="none"/>
        <w14:ligatures w14:val="none"/>
        <w14:numForm w14:val="default"/>
        <w14:numSpacing w14:val="default"/>
        <w14:stylisticSets xmlns:w14="http://schemas.microsoft.com/office/word/2010/wordml"/>
        <w14:cntxtAlts w14:val="0"/>
      </w:rPr>
    </w:lvl>
    <w:lvl w:ilvl="3">
      <w:start w:val="1"/>
      <w:numFmt w:val="none"/>
      <w:lvlJc w:val="left"/>
      <w:pPr>
        <w:ind w:left="1440" w:hanging="360"/>
      </w:pPr>
      <w:rPr>
        <w:rFonts w:hint="default"/>
      </w:rPr>
    </w:lvl>
    <w:lvl w:ilvl="4">
      <w:start w:val="1"/>
      <w:numFmt w:val="none"/>
      <w:lvlJc w:val="left"/>
      <w:pPr>
        <w:ind w:left="1800" w:hanging="360"/>
      </w:pPr>
      <w:rPr>
        <w:rFonts w:hint="default"/>
      </w:rPr>
    </w:lvl>
    <w:lvl w:ilvl="5">
      <w:start w:val="1"/>
      <w:numFmt w:val="none"/>
      <w:lvlJc w:val="left"/>
      <w:pPr>
        <w:ind w:left="2160" w:hanging="360"/>
      </w:pPr>
      <w:rPr>
        <w:rFonts w:hint="default"/>
      </w:rPr>
    </w:lvl>
    <w:lvl w:ilvl="6">
      <w:start w:val="1"/>
      <w:numFmt w:val="none"/>
      <w:lvlJc w:val="left"/>
      <w:pPr>
        <w:ind w:left="2520" w:hanging="360"/>
      </w:pPr>
      <w:rPr>
        <w:rFonts w:hint="default"/>
      </w:rPr>
    </w:lvl>
    <w:lvl w:ilvl="7">
      <w:start w:val="1"/>
      <w:numFmt w:val="none"/>
      <w:lvlJc w:val="left"/>
      <w:pPr>
        <w:ind w:left="2880" w:hanging="360"/>
      </w:pPr>
      <w:rPr>
        <w:rFonts w:hint="default"/>
      </w:rPr>
    </w:lvl>
    <w:lvl w:ilvl="8">
      <w:start w:val="1"/>
      <w:numFmt w:val="none"/>
      <w:lvlJc w:val="left"/>
      <w:pPr>
        <w:ind w:left="3240" w:hanging="360"/>
      </w:pPr>
      <w:rPr>
        <w:rFonts w:hint="default"/>
      </w:rPr>
    </w:lvl>
  </w:abstractNum>
  <w:abstractNum w:abstractNumId="1">
    <w:nsid w:val="0F6E1AE4"/>
    <w:multiLevelType w:val="multilevel"/>
    <w:tmpl w:val="9C96C03E"/>
    <w:name w:val="CS_Section_English"/>
    <w:lvl w:ilvl="0">
      <w:start w:val="1"/>
      <w:numFmt w:val="decimal"/>
      <w:pStyle w:val="CSSec1EN"/>
      <w:suff w:val="nothing"/>
      <w:lvlText w:val="Section %1"/>
      <w:lvlJc w:val="left"/>
      <w:pPr>
        <w:ind w:left="0" w:firstLine="0"/>
      </w:pPr>
      <w:rPr>
        <w:rFonts w:ascii="Calibri" w:hAnsi="Calibri" w:hint="default"/>
        <w:b/>
        <w:i w:val="0"/>
        <w:sz w:val="18"/>
      </w:rPr>
    </w:lvl>
    <w:lvl w:ilvl="1">
      <w:start w:val="1"/>
      <w:numFmt w:val="decimal"/>
      <w:pStyle w:val="CSSec11EN"/>
      <w:suff w:val="nothing"/>
      <w:lvlText w:val="Section %1.%2"/>
      <w:lvlJc w:val="left"/>
      <w:pPr>
        <w:ind w:left="0" w:firstLine="0"/>
      </w:pPr>
      <w:rPr>
        <w:rFonts w:ascii="Calibri" w:hAnsi="Calibri" w:cs="Times New Roman" w:hint="default"/>
        <w:b/>
        <w:bCs w:val="0"/>
        <w:i w:val="0"/>
        <w:iCs w:val="0"/>
        <w:caps w:val="0"/>
        <w:strike w:val="0"/>
        <w:dstrike w:val="0"/>
        <w:outline w:val="0"/>
        <w:shadow w:val="0"/>
        <w:emboss w:val="0"/>
        <w:imprint w:val="0"/>
        <w:vanish w:val="0"/>
        <w:spacing w:val="0"/>
        <w:kern w:val="0"/>
        <w:position w:val="0"/>
        <w:sz w:val="18"/>
        <w:u w:val="none"/>
        <w:effect w:val="none"/>
        <w:vertAlign w:val="baseline"/>
        <w14:ligatures w14:val="none"/>
        <w14:numForm w14:val="default"/>
        <w14:numSpacing w14:val="default"/>
        <w14:stylisticSets xmlns:w14="http://schemas.microsoft.com/office/word/2010/wordml"/>
        <w14:cntxtAlts w14:val="0"/>
      </w:rPr>
    </w:lvl>
    <w:lvl w:ilvl="2">
      <w:start w:val="1"/>
      <w:numFmt w:val="upperLetter"/>
      <w:pStyle w:val="CSNumAEN"/>
      <w:suff w:val="nothing"/>
      <w:lvlText w:val="%3."/>
      <w:lvlJc w:val="left"/>
      <w:pPr>
        <w:ind w:left="360" w:hanging="360"/>
      </w:pPr>
      <w:rPr>
        <w:rFonts w:cs="Times New Roman" w:hint="default"/>
        <w:b/>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xmlns:w14="http://schemas.microsoft.com/office/word/2010/wordml"/>
        <w14:cntxtAlts w14:val="0"/>
      </w:rPr>
    </w:lvl>
    <w:lvl w:ilvl="3">
      <w:start w:val="1"/>
      <w:numFmt w:val="none"/>
      <w:suff w:val="nothing"/>
      <w:lvlJc w:val="left"/>
      <w:pPr>
        <w:ind w:left="357" w:firstLine="0"/>
      </w:pPr>
      <w:rPr>
        <w:rFonts w:hint="default"/>
      </w:rPr>
    </w:lvl>
    <w:lvl w:ilvl="4">
      <w:start w:val="1"/>
      <w:numFmt w:val="decimal"/>
      <w:lvlText w:val="%5."/>
      <w:lvlJc w:val="left"/>
      <w:pPr>
        <w:ind w:left="357" w:hanging="357"/>
      </w:pPr>
      <w:rPr>
        <w:rFonts w:hint="default"/>
      </w:rPr>
    </w:lvl>
    <w:lvl w:ilvl="5">
      <w:start w:val="1"/>
      <w:numFmt w:val="none"/>
      <w:lvlJc w:val="left"/>
      <w:pPr>
        <w:ind w:left="2160" w:hanging="360"/>
      </w:pPr>
      <w:rPr>
        <w:rFonts w:hint="default"/>
      </w:rPr>
    </w:lvl>
    <w:lvl w:ilvl="6">
      <w:start w:val="1"/>
      <w:numFmt w:val="none"/>
      <w:lvlJc w:val="left"/>
      <w:pPr>
        <w:ind w:left="2520" w:hanging="360"/>
      </w:pPr>
      <w:rPr>
        <w:rFonts w:hint="default"/>
      </w:rPr>
    </w:lvl>
    <w:lvl w:ilvl="7">
      <w:start w:val="1"/>
      <w:numFmt w:val="none"/>
      <w:lvlJc w:val="left"/>
      <w:pPr>
        <w:ind w:left="2880" w:hanging="360"/>
      </w:pPr>
      <w:rPr>
        <w:rFonts w:hint="default"/>
      </w:rPr>
    </w:lvl>
    <w:lvl w:ilvl="8">
      <w:start w:val="1"/>
      <w:numFmt w:val="none"/>
      <w:lvlJc w:val="left"/>
      <w:pPr>
        <w:ind w:left="3240" w:hanging="360"/>
      </w:pPr>
      <w:rPr>
        <w:rFonts w:hint="default"/>
      </w:rPr>
    </w:lvl>
  </w:abstractNum>
  <w:abstractNum w:abstractNumId="2">
    <w:nsid w:val="12655766"/>
    <w:multiLevelType w:val="multilevel"/>
    <w:tmpl w:val="443E6A94"/>
    <w:lvl w:ilvl="0">
      <w:start w:val="1"/>
      <w:numFmt w:val="none"/>
      <w:pStyle w:val="CSHeading1DE"/>
      <w:suff w:val="nothing"/>
      <w:lvlJc w:val="left"/>
      <w:pPr>
        <w:ind w:left="0" w:firstLine="0"/>
      </w:pPr>
      <w:rPr>
        <w:rFonts w:ascii="Credit Suisse Type Light" w:hAnsi="Credit Suisse Type Light" w:hint="default"/>
        <w:b/>
        <w:i w:val="0"/>
        <w:sz w:val="24"/>
      </w:rPr>
    </w:lvl>
    <w:lvl w:ilvl="1">
      <w:start w:val="1"/>
      <w:numFmt w:val="upperRoman"/>
      <w:pStyle w:val="CSHeading2DE"/>
      <w:lvlText w:val="%2."/>
      <w:lvlJc w:val="left"/>
      <w:pPr>
        <w:ind w:left="360" w:hanging="360"/>
      </w:pPr>
      <w:rPr>
        <w:rFonts w:cs="Times New Roman" w:hint="default"/>
        <w:b/>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xmlns:w14="http://schemas.microsoft.com/office/word/2010/wordml"/>
        <w14:cntxtAlts w14:val="0"/>
      </w:rPr>
    </w:lvl>
    <w:lvl w:ilvl="2">
      <w:start w:val="1"/>
      <w:numFmt w:val="upperLetter"/>
      <w:pStyle w:val="CSHeading3DE"/>
      <w:lvlText w:val="%3."/>
      <w:lvlJc w:val="left"/>
      <w:pPr>
        <w:ind w:left="360" w:hanging="360"/>
      </w:pPr>
      <w:rPr>
        <w:rFonts w:cs="Times New Roman" w:hint="default"/>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xmlns:w14="http://schemas.microsoft.com/office/word/2010/wordml"/>
        <w14:cntxtAlts w14:val="0"/>
      </w:rPr>
    </w:lvl>
    <w:lvl w:ilvl="3">
      <w:start w:val="1"/>
      <w:numFmt w:val="none"/>
      <w:suff w:val="nothing"/>
      <w:lvlJc w:val="left"/>
      <w:pPr>
        <w:ind w:left="357" w:firstLine="0"/>
      </w:pPr>
      <w:rPr>
        <w:rFonts w:hint="default"/>
      </w:rPr>
    </w:lvl>
    <w:lvl w:ilvl="4">
      <w:start w:val="1"/>
      <w:numFmt w:val="decimal"/>
      <w:pStyle w:val="CSNum1DE"/>
      <w:lvlText w:val="%5."/>
      <w:lvlJc w:val="left"/>
      <w:pPr>
        <w:ind w:left="357" w:hanging="357"/>
      </w:pPr>
      <w:rPr>
        <w:rFonts w:hint="default"/>
      </w:rPr>
    </w:lvl>
    <w:lvl w:ilvl="5">
      <w:start w:val="1"/>
      <w:numFmt w:val="none"/>
      <w:lvlJc w:val="left"/>
      <w:pPr>
        <w:ind w:left="2160" w:hanging="360"/>
      </w:pPr>
      <w:rPr>
        <w:rFonts w:hint="default"/>
      </w:rPr>
    </w:lvl>
    <w:lvl w:ilvl="6">
      <w:start w:val="1"/>
      <w:numFmt w:val="none"/>
      <w:lvlJc w:val="left"/>
      <w:pPr>
        <w:ind w:left="2520" w:hanging="360"/>
      </w:pPr>
      <w:rPr>
        <w:rFonts w:hint="default"/>
      </w:rPr>
    </w:lvl>
    <w:lvl w:ilvl="7">
      <w:start w:val="1"/>
      <w:numFmt w:val="none"/>
      <w:lvlJc w:val="left"/>
      <w:pPr>
        <w:ind w:left="2880" w:hanging="360"/>
      </w:pPr>
      <w:rPr>
        <w:rFonts w:hint="default"/>
      </w:rPr>
    </w:lvl>
    <w:lvl w:ilvl="8">
      <w:start w:val="1"/>
      <w:numFmt w:val="none"/>
      <w:lvlJc w:val="left"/>
      <w:pPr>
        <w:ind w:left="3240" w:hanging="360"/>
      </w:pPr>
      <w:rPr>
        <w:rFonts w:hint="default"/>
      </w:rPr>
    </w:lvl>
  </w:abstractNum>
  <w:abstractNum w:abstractNumId="3">
    <w:nsid w:val="13391F81"/>
    <w:multiLevelType w:val="hybridMultilevel"/>
    <w:tmpl w:val="9DCC1858"/>
    <w:lvl w:ilvl="0">
      <w:start w:val="1"/>
      <w:numFmt w:val="decimal"/>
      <w:lvlText w:val="%1."/>
      <w:lvlJc w:val="left"/>
      <w:pPr>
        <w:ind w:left="360" w:hanging="360"/>
      </w:p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
    <w:nsid w:val="148C03A2"/>
    <w:multiLevelType w:val="multilevel"/>
    <w:tmpl w:val="94BC56F6"/>
    <w:name w:val="CS_Section_Deutsche"/>
    <w:lvl w:ilvl="0">
      <w:start w:val="1"/>
      <w:numFmt w:val="decimal"/>
      <w:pStyle w:val="CSSec1DE"/>
      <w:suff w:val="nothing"/>
      <w:lvlText w:val="Ziffer %1"/>
      <w:lvlJc w:val="left"/>
      <w:pPr>
        <w:ind w:left="0" w:firstLine="0"/>
      </w:pPr>
      <w:rPr>
        <w:rFonts w:ascii="Calibri" w:hAnsi="Calibri" w:hint="default"/>
        <w:b/>
        <w:i w:val="0"/>
        <w:sz w:val="18"/>
      </w:rPr>
    </w:lvl>
    <w:lvl w:ilvl="1">
      <w:start w:val="1"/>
      <w:numFmt w:val="decimal"/>
      <w:pStyle w:val="CSSec11DE"/>
      <w:suff w:val="nothing"/>
      <w:lvlText w:val="Ziffer %1.%2"/>
      <w:lvlJc w:val="left"/>
      <w:pPr>
        <w:ind w:left="0" w:firstLine="0"/>
      </w:pPr>
      <w:rPr>
        <w:rFonts w:ascii="Calibri" w:hAnsi="Calibri" w:cs="Times New Roman" w:hint="default"/>
        <w:b/>
        <w:bCs w:val="0"/>
        <w:i w:val="0"/>
        <w:iCs w:val="0"/>
        <w:caps w:val="0"/>
        <w:strike w:val="0"/>
        <w:dstrike w:val="0"/>
        <w:outline w:val="0"/>
        <w:shadow w:val="0"/>
        <w:emboss w:val="0"/>
        <w:imprint w:val="0"/>
        <w:vanish w:val="0"/>
        <w:spacing w:val="0"/>
        <w:kern w:val="0"/>
        <w:position w:val="0"/>
        <w:sz w:val="18"/>
        <w:u w:val="none"/>
        <w:effect w:val="none"/>
        <w:vertAlign w:val="baseline"/>
        <w14:ligatures w14:val="none"/>
        <w14:numForm w14:val="default"/>
        <w14:numSpacing w14:val="default"/>
        <w14:stylisticSets xmlns:w14="http://schemas.microsoft.com/office/word/2010/wordml"/>
        <w14:cntxtAlts w14:val="0"/>
      </w:rPr>
    </w:lvl>
    <w:lvl w:ilvl="2">
      <w:start w:val="1"/>
      <w:numFmt w:val="upperLetter"/>
      <w:pStyle w:val="CSNumADE"/>
      <w:suff w:val="nothing"/>
      <w:lvlText w:val="%3."/>
      <w:lvlJc w:val="left"/>
      <w:pPr>
        <w:ind w:left="360" w:hanging="360"/>
      </w:pPr>
      <w:rPr>
        <w:rFonts w:cs="Times New Roman" w:hint="default"/>
        <w:b/>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xmlns:w14="http://schemas.microsoft.com/office/word/2010/wordml"/>
        <w14:cntxtAlts w14:val="0"/>
      </w:rPr>
    </w:lvl>
    <w:lvl w:ilvl="3">
      <w:start w:val="1"/>
      <w:numFmt w:val="none"/>
      <w:suff w:val="nothing"/>
      <w:lvlJc w:val="left"/>
      <w:pPr>
        <w:ind w:left="357" w:firstLine="0"/>
      </w:pPr>
      <w:rPr>
        <w:rFonts w:hint="default"/>
      </w:rPr>
    </w:lvl>
    <w:lvl w:ilvl="4">
      <w:start w:val="1"/>
      <w:numFmt w:val="decimal"/>
      <w:lvlText w:val="%5."/>
      <w:lvlJc w:val="left"/>
      <w:pPr>
        <w:ind w:left="357" w:hanging="357"/>
      </w:pPr>
      <w:rPr>
        <w:rFonts w:hint="default"/>
      </w:rPr>
    </w:lvl>
    <w:lvl w:ilvl="5">
      <w:start w:val="1"/>
      <w:numFmt w:val="none"/>
      <w:lvlJc w:val="left"/>
      <w:pPr>
        <w:ind w:left="2160" w:hanging="360"/>
      </w:pPr>
      <w:rPr>
        <w:rFonts w:hint="default"/>
      </w:rPr>
    </w:lvl>
    <w:lvl w:ilvl="6">
      <w:start w:val="1"/>
      <w:numFmt w:val="none"/>
      <w:lvlJc w:val="left"/>
      <w:pPr>
        <w:ind w:left="2520" w:hanging="360"/>
      </w:pPr>
      <w:rPr>
        <w:rFonts w:hint="default"/>
      </w:rPr>
    </w:lvl>
    <w:lvl w:ilvl="7">
      <w:start w:val="1"/>
      <w:numFmt w:val="none"/>
      <w:lvlJc w:val="left"/>
      <w:pPr>
        <w:ind w:left="2880" w:hanging="360"/>
      </w:pPr>
      <w:rPr>
        <w:rFonts w:hint="default"/>
      </w:rPr>
    </w:lvl>
    <w:lvl w:ilvl="8">
      <w:start w:val="1"/>
      <w:numFmt w:val="none"/>
      <w:lvlJc w:val="left"/>
      <w:pPr>
        <w:ind w:left="3240" w:hanging="360"/>
      </w:pPr>
      <w:rPr>
        <w:rFonts w:hint="default"/>
      </w:rPr>
    </w:lvl>
  </w:abstractNum>
  <w:abstractNum w:abstractNumId="5">
    <w:nsid w:val="24115D8D"/>
    <w:multiLevelType w:val="multilevel"/>
    <w:tmpl w:val="F6F23146"/>
    <w:name w:val="Num - English"/>
    <w:lvl w:ilvl="0">
      <w:start w:val="1"/>
      <w:numFmt w:val="none"/>
      <w:suff w:val="nothing"/>
      <w:lvlJc w:val="left"/>
      <w:pPr>
        <w:ind w:left="-32767" w:firstLine="32767"/>
      </w:pPr>
      <w:rPr>
        <w:rFonts w:hint="default"/>
      </w:rPr>
    </w:lvl>
    <w:lvl w:ilvl="1">
      <w:start w:val="1"/>
      <w:numFmt w:val="decimal"/>
      <w:lvlText w:val="%2."/>
      <w:lvlJc w:val="left"/>
      <w:pPr>
        <w:ind w:left="360" w:hanging="360"/>
      </w:pPr>
      <w:rPr>
        <w:rFonts w:ascii="Credit Suisse Type Light" w:hAnsi="Credit Suisse Type Light" w:hint="default"/>
        <w:b/>
        <w:i w:val="0"/>
        <w:sz w:val="18"/>
      </w:rPr>
    </w:lvl>
    <w:lvl w:ilvl="2">
      <w:start w:val="1"/>
      <w:numFmt w:val="none"/>
      <w:lvlJc w:val="left"/>
      <w:pPr>
        <w:ind w:left="1080" w:hanging="360"/>
      </w:pPr>
      <w:rPr>
        <w:rFonts w:hint="default"/>
      </w:rPr>
    </w:lvl>
    <w:lvl w:ilvl="3">
      <w:start w:val="1"/>
      <w:numFmt w:val="none"/>
      <w:lvlJc w:val="left"/>
      <w:pPr>
        <w:ind w:left="1440" w:hanging="360"/>
      </w:pPr>
      <w:rPr>
        <w:rFonts w:hint="default"/>
      </w:rPr>
    </w:lvl>
    <w:lvl w:ilvl="4">
      <w:start w:val="1"/>
      <w:numFmt w:val="none"/>
      <w:lvlJc w:val="left"/>
      <w:pPr>
        <w:ind w:left="1800" w:hanging="360"/>
      </w:pPr>
      <w:rPr>
        <w:rFonts w:hint="default"/>
      </w:rPr>
    </w:lvl>
    <w:lvl w:ilvl="5">
      <w:start w:val="1"/>
      <w:numFmt w:val="none"/>
      <w:lvlJc w:val="left"/>
      <w:pPr>
        <w:ind w:left="2160" w:hanging="360"/>
      </w:pPr>
      <w:rPr>
        <w:rFonts w:hint="default"/>
      </w:rPr>
    </w:lvl>
    <w:lvl w:ilvl="6">
      <w:start w:val="1"/>
      <w:numFmt w:val="none"/>
      <w:lvlJc w:val="left"/>
      <w:pPr>
        <w:ind w:left="2520" w:hanging="360"/>
      </w:pPr>
      <w:rPr>
        <w:rFonts w:hint="default"/>
      </w:rPr>
    </w:lvl>
    <w:lvl w:ilvl="7">
      <w:start w:val="1"/>
      <w:numFmt w:val="none"/>
      <w:lvlJc w:val="left"/>
      <w:pPr>
        <w:ind w:left="2880" w:hanging="360"/>
      </w:pPr>
      <w:rPr>
        <w:rFonts w:hint="default"/>
      </w:rPr>
    </w:lvl>
    <w:lvl w:ilvl="8">
      <w:start w:val="1"/>
      <w:numFmt w:val="none"/>
      <w:lvlJc w:val="left"/>
      <w:pPr>
        <w:ind w:left="3240" w:hanging="360"/>
      </w:pPr>
      <w:rPr>
        <w:rFonts w:hint="default"/>
      </w:rPr>
    </w:lvl>
  </w:abstractNum>
  <w:abstractNum w:abstractNumId="6">
    <w:nsid w:val="2CF27EBC"/>
    <w:multiLevelType w:val="hybridMultilevel"/>
    <w:tmpl w:val="8654DAB2"/>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7">
    <w:nsid w:val="2EA242A3"/>
    <w:multiLevelType w:val="multilevel"/>
    <w:tmpl w:val="E2C09F7E"/>
    <w:lvl w:ilvl="0">
      <w:start w:val="1"/>
      <w:numFmt w:val="upperLetter"/>
      <w:suff w:val="nothing"/>
      <w:lvlText w:val="%1."/>
      <w:lvlJc w:val="left"/>
      <w:pPr>
        <w:ind w:left="720" w:hanging="720"/>
      </w:pPr>
      <w:rPr>
        <w:rFonts w:hint="default"/>
      </w:rPr>
    </w:lvl>
    <w:lvl w:ilvl="1">
      <w:start w:val="1"/>
      <w:numFmt w:val="decimal"/>
      <w:suff w:val="nothing"/>
      <w:lvlText w:val="%1.%2"/>
      <w:lvlJc w:val="left"/>
      <w:pPr>
        <w:ind w:left="1440" w:hanging="144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nsid w:val="30AF6C21"/>
    <w:multiLevelType w:val="multilevel"/>
    <w:tmpl w:val="C38EAAF6"/>
    <w:name w:val="DocHead"/>
    <w:lvl w:ilvl="0">
      <w:start w:val="1"/>
      <w:numFmt w:val="none"/>
      <w:pStyle w:val="CSSummaryHeadingEN"/>
      <w:suff w:val="nothing"/>
      <w:lvlText w:val="%1"/>
      <w:lvlJc w:val="left"/>
      <w:pPr>
        <w:ind w:left="0" w:firstLine="0"/>
      </w:pPr>
      <w:rPr>
        <w:rFonts w:hint="default"/>
        <w:b/>
        <w:i w:val="0"/>
      </w:rPr>
    </w:lvl>
    <w:lvl w:ilvl="1">
      <w:start w:val="1"/>
      <w:numFmt w:val="upperLetter"/>
      <w:suff w:val="space"/>
      <w:lvlText w:val="Section %2 –"/>
      <w:lvlJc w:val="left"/>
      <w:pPr>
        <w:ind w:left="0" w:firstLine="0"/>
      </w:pPr>
      <w:rPr>
        <w:rFonts w:hint="default"/>
        <w:b/>
        <w:i w:val="0"/>
      </w:rPr>
    </w:lvl>
    <w:lvl w:ilvl="2">
      <w:start w:val="1"/>
      <w:numFmt w:val="decimal"/>
      <w:pStyle w:val="CSNumA1EN"/>
      <w:suff w:val="space"/>
      <w:lvlText w:val="%2.%3:"/>
      <w:lvlJc w:val="left"/>
      <w:pPr>
        <w:ind w:left="0" w:firstLine="0"/>
      </w:pPr>
      <w:rPr>
        <w:rFonts w:hint="default"/>
        <w:b/>
        <w:i w:val="0"/>
      </w:rPr>
    </w:lvl>
    <w:lvl w:ilvl="3">
      <w:start w:val="1"/>
      <w:numFmt w:val="lowerLetter"/>
      <w:suff w:val="space"/>
      <w:lvlText w:val="%2.%3%4:"/>
      <w:lvlJc w:val="left"/>
      <w:pPr>
        <w:ind w:left="0" w:firstLine="0"/>
      </w:pPr>
      <w:rPr>
        <w:rFonts w:hint="default"/>
        <w:b/>
        <w:i w:val="0"/>
      </w:rPr>
    </w:lvl>
    <w:lvl w:ilvl="4">
      <w:start w:val="1"/>
      <w:numFmt w:val="none"/>
      <w:suff w:val="nothing"/>
      <w:lvlJc w:val="left"/>
      <w:pPr>
        <w:ind w:left="0" w:firstLine="0"/>
      </w:pPr>
      <w:rPr>
        <w:rFonts w:hint="default"/>
        <w:b/>
        <w:i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328720DF"/>
    <w:multiLevelType w:val="multilevel"/>
    <w:tmpl w:val="C42A2C06"/>
    <w:lvl w:ilvl="0">
      <w:start w:val="1"/>
      <w:numFmt w:val="none"/>
      <w:suff w:val="nothing"/>
      <w:lvlJc w:val="left"/>
      <w:pPr>
        <w:ind w:left="0" w:firstLine="0"/>
      </w:pPr>
      <w:rPr>
        <w:rFonts w:hint="default"/>
      </w:rPr>
    </w:lvl>
    <w:lvl w:ilvl="1">
      <w:start w:val="1"/>
      <w:numFmt w:val="decimal"/>
      <w:lvlText w:val="(%2)"/>
      <w:lvlJc w:val="left"/>
      <w:pPr>
        <w:ind w:left="360" w:hanging="360"/>
      </w:pPr>
      <w:rPr>
        <w:rFonts w:ascii="Credit Suisse Type Light" w:hAnsi="Credit Suisse Type Light" w:hint="default"/>
        <w:b w:val="0"/>
        <w:i w:val="0"/>
        <w:sz w:val="18"/>
      </w:rPr>
    </w:lvl>
    <w:lvl w:ilvl="2">
      <w:start w:val="1"/>
      <w:numFmt w:val="lowerLetter"/>
      <w:lvlText w:val="(%3)"/>
      <w:lvlJc w:val="left"/>
      <w:pPr>
        <w:ind w:left="720" w:hanging="360"/>
      </w:pPr>
      <w:rPr>
        <w:rFonts w:hint="default"/>
        <w:b w:val="0"/>
      </w:rPr>
    </w:lvl>
    <w:lvl w:ilvl="3">
      <w:start w:val="1"/>
      <w:numFmt w:val="none"/>
      <w:lvlJc w:val="left"/>
      <w:pPr>
        <w:ind w:left="1440" w:hanging="360"/>
      </w:pPr>
      <w:rPr>
        <w:rFonts w:hint="default"/>
      </w:rPr>
    </w:lvl>
    <w:lvl w:ilvl="4">
      <w:start w:val="1"/>
      <w:numFmt w:val="none"/>
      <w:lvlJc w:val="left"/>
      <w:pPr>
        <w:ind w:left="1800" w:hanging="360"/>
      </w:pPr>
      <w:rPr>
        <w:rFonts w:hint="default"/>
      </w:rPr>
    </w:lvl>
    <w:lvl w:ilvl="5">
      <w:start w:val="1"/>
      <w:numFmt w:val="none"/>
      <w:lvlJc w:val="left"/>
      <w:pPr>
        <w:ind w:left="2160" w:hanging="360"/>
      </w:pPr>
      <w:rPr>
        <w:rFonts w:hint="default"/>
      </w:rPr>
    </w:lvl>
    <w:lvl w:ilvl="6">
      <w:start w:val="1"/>
      <w:numFmt w:val="none"/>
      <w:lvlJc w:val="left"/>
      <w:pPr>
        <w:ind w:left="2520" w:hanging="360"/>
      </w:pPr>
      <w:rPr>
        <w:rFonts w:hint="default"/>
      </w:rPr>
    </w:lvl>
    <w:lvl w:ilvl="7">
      <w:start w:val="1"/>
      <w:numFmt w:val="none"/>
      <w:lvlJc w:val="left"/>
      <w:pPr>
        <w:ind w:left="2880" w:hanging="360"/>
      </w:pPr>
      <w:rPr>
        <w:rFonts w:hint="default"/>
      </w:rPr>
    </w:lvl>
    <w:lvl w:ilvl="8">
      <w:start w:val="1"/>
      <w:numFmt w:val="none"/>
      <w:lvlJc w:val="left"/>
      <w:pPr>
        <w:ind w:left="3240" w:hanging="360"/>
      </w:pPr>
      <w:rPr>
        <w:rFonts w:hint="default"/>
      </w:rPr>
    </w:lvl>
  </w:abstractNum>
  <w:abstractNum w:abstractNumId="10">
    <w:nsid w:val="380021EA"/>
    <w:multiLevelType w:val="multilevel"/>
    <w:tmpl w:val="1CCE5C9E"/>
    <w:name w:val="DocHead2"/>
    <w:lvl w:ilvl="0">
      <w:start w:val="1"/>
      <w:numFmt w:val="decimal"/>
      <w:pStyle w:val="CSNum1EN0"/>
      <w:lvlText w:val="(%1)"/>
      <w:lvlJc w:val="left"/>
      <w:pPr>
        <w:ind w:left="380" w:hanging="380"/>
      </w:pPr>
      <w:rPr>
        <w:rFonts w:hint="default"/>
        <w:b w:val="0"/>
        <w:i w:val="0"/>
      </w:rPr>
    </w:lvl>
    <w:lvl w:ilvl="1">
      <w:start w:val="1"/>
      <w:numFmt w:val="lowerRoman"/>
      <w:pStyle w:val="CSNumiEN"/>
      <w:lvlText w:val="(%2)"/>
      <w:lvlJc w:val="left"/>
      <w:pPr>
        <w:ind w:left="380" w:hanging="380"/>
      </w:pPr>
      <w:rPr>
        <w:rFonts w:hint="default"/>
        <w:b w:val="0"/>
        <w:i w:val="0"/>
      </w:rPr>
    </w:lvl>
    <w:lvl w:ilvl="2">
      <w:start w:val="1"/>
      <w:numFmt w:val="lowerLetter"/>
      <w:pStyle w:val="CSNumaEN0"/>
      <w:lvlText w:val="(%3)"/>
      <w:lvlJc w:val="left"/>
      <w:pPr>
        <w:tabs>
          <w:tab w:val="num" w:pos="357"/>
        </w:tabs>
        <w:ind w:left="720" w:hanging="363"/>
      </w:pPr>
      <w:rPr>
        <w:rFonts w:hint="default"/>
        <w:b w:val="0"/>
        <w:i w:val="0"/>
      </w:rPr>
    </w:lvl>
    <w:lvl w:ilvl="3">
      <w:start w:val="1"/>
      <w:numFmt w:val="lowerLetter"/>
      <w:suff w:val="space"/>
      <w:lvlText w:val="%2.%3%4:"/>
      <w:lvlJc w:val="left"/>
      <w:pPr>
        <w:ind w:left="0" w:firstLine="0"/>
      </w:pPr>
      <w:rPr>
        <w:rFonts w:hint="default"/>
        <w:b/>
        <w:i w:val="0"/>
      </w:rPr>
    </w:lvl>
    <w:lvl w:ilvl="4">
      <w:start w:val="1"/>
      <w:numFmt w:val="none"/>
      <w:suff w:val="nothing"/>
      <w:lvlJc w:val="left"/>
      <w:pPr>
        <w:ind w:left="0" w:firstLine="0"/>
      </w:pPr>
      <w:rPr>
        <w:rFonts w:hint="default"/>
        <w:b/>
        <w:i w:val="0"/>
      </w:rPr>
    </w:lvl>
    <w:lvl w:ilvl="5">
      <w:start w:val="1"/>
      <w:numFmt w:val="lowerRoman"/>
      <w:lvlText w:val="(%6)"/>
      <w:lvlJc w:val="left"/>
      <w:pPr>
        <w:ind w:left="2160" w:hanging="360"/>
      </w:pPr>
      <w:rPr>
        <w:rFonts w:hint="default"/>
      </w:rPr>
    </w:lvl>
    <w:lvl w:ilvl="6">
      <w:start w:val="1"/>
      <w:numFmt w:val="bullet"/>
      <w:pStyle w:val="CSBullet0"/>
      <w:lvlText w:val=""/>
      <w:lvlJc w:val="left"/>
      <w:pPr>
        <w:ind w:left="357" w:hanging="357"/>
      </w:pPr>
      <w:rPr>
        <w:rFonts w:ascii="Symbol" w:hAnsi="Symbol" w:hint="default"/>
      </w:rPr>
    </w:lvl>
    <w:lvl w:ilvl="7">
      <w:start w:val="1"/>
      <w:numFmt w:val="bullet"/>
      <w:pStyle w:val="CSBullet63"/>
      <w:lvlText w:val=""/>
      <w:lvlJc w:val="left"/>
      <w:pPr>
        <w:ind w:left="720" w:hanging="363"/>
      </w:pPr>
      <w:rPr>
        <w:rFonts w:ascii="Symbol" w:hAnsi="Symbol" w:hint="default"/>
      </w:rPr>
    </w:lvl>
    <w:lvl w:ilvl="8">
      <w:start w:val="1"/>
      <w:numFmt w:val="bullet"/>
      <w:pStyle w:val="CSBullet8pt"/>
      <w:lvlText w:val=""/>
      <w:lvlJc w:val="left"/>
      <w:pPr>
        <w:ind w:left="357" w:hanging="357"/>
      </w:pPr>
      <w:rPr>
        <w:rFonts w:ascii="Symbol" w:hAnsi="Symbol" w:hint="default"/>
      </w:rPr>
    </w:lvl>
  </w:abstractNum>
  <w:abstractNum w:abstractNumId="11">
    <w:nsid w:val="3F6076A9"/>
    <w:multiLevelType w:val="multilevel"/>
    <w:tmpl w:val="45E6F786"/>
    <w:name w:val="GDocHead"/>
    <w:lvl w:ilvl="0">
      <w:start w:val="1"/>
      <w:numFmt w:val="none"/>
      <w:pStyle w:val="CSSummaryHeadingDE"/>
      <w:suff w:val="nothing"/>
      <w:lvlText w:val="%1"/>
      <w:lvlJc w:val="left"/>
      <w:pPr>
        <w:ind w:left="0" w:firstLine="0"/>
      </w:pPr>
      <w:rPr>
        <w:rFonts w:hint="default"/>
        <w:b/>
        <w:i w:val="0"/>
      </w:rPr>
    </w:lvl>
    <w:lvl w:ilvl="1">
      <w:start w:val="1"/>
      <w:numFmt w:val="upperLetter"/>
      <w:suff w:val="space"/>
      <w:lvlText w:val="Abschnitt %2 –"/>
      <w:lvlJc w:val="left"/>
      <w:pPr>
        <w:ind w:left="0" w:firstLine="0"/>
      </w:pPr>
      <w:rPr>
        <w:rFonts w:hint="default"/>
        <w:b/>
        <w:i w:val="0"/>
      </w:rPr>
    </w:lvl>
    <w:lvl w:ilvl="2">
      <w:start w:val="1"/>
      <w:numFmt w:val="decimal"/>
      <w:pStyle w:val="CSNumA1DE"/>
      <w:suff w:val="space"/>
      <w:lvlText w:val="%2.%3:"/>
      <w:lvlJc w:val="left"/>
      <w:pPr>
        <w:ind w:left="0" w:firstLine="0"/>
      </w:pPr>
      <w:rPr>
        <w:rFonts w:hint="default"/>
        <w:b/>
        <w:i w:val="0"/>
      </w:rPr>
    </w:lvl>
    <w:lvl w:ilvl="3">
      <w:start w:val="1"/>
      <w:numFmt w:val="lowerLetter"/>
      <w:suff w:val="space"/>
      <w:lvlText w:val="%2.%3%4:"/>
      <w:lvlJc w:val="left"/>
      <w:pPr>
        <w:ind w:left="0" w:firstLine="0"/>
      </w:pPr>
      <w:rPr>
        <w:rFonts w:hint="default"/>
        <w:b/>
        <w:i w:val="0"/>
      </w:rPr>
    </w:lvl>
    <w:lvl w:ilvl="4">
      <w:start w:val="1"/>
      <w:numFmt w:val="none"/>
      <w:suff w:val="nothing"/>
      <w:lvlJc w:val="left"/>
      <w:pPr>
        <w:ind w:left="0" w:firstLine="0"/>
      </w:pPr>
      <w:rPr>
        <w:rFonts w:hint="default"/>
        <w:b/>
        <w:i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nsid w:val="43681D92"/>
    <w:multiLevelType w:val="hybridMultilevel"/>
    <w:tmpl w:val="131679A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563150DA"/>
    <w:multiLevelType w:val="multilevel"/>
    <w:tmpl w:val="F572A3A0"/>
    <w:name w:val="CS_Num_DE"/>
    <w:lvl w:ilvl="0">
      <w:start w:val="1"/>
      <w:numFmt w:val="decimal"/>
      <w:pStyle w:val="CSNum1DE0"/>
      <w:lvlText w:val="(%1)"/>
      <w:lvlJc w:val="left"/>
      <w:pPr>
        <w:ind w:left="380" w:hanging="380"/>
      </w:pPr>
      <w:rPr>
        <w:rFonts w:hint="default"/>
        <w:b w:val="0"/>
        <w:i w:val="0"/>
      </w:rPr>
    </w:lvl>
    <w:lvl w:ilvl="1">
      <w:start w:val="1"/>
      <w:numFmt w:val="lowerRoman"/>
      <w:pStyle w:val="CSNumiDE"/>
      <w:lvlText w:val="(%2)"/>
      <w:lvlJc w:val="left"/>
      <w:pPr>
        <w:ind w:left="380" w:hanging="380"/>
      </w:pPr>
      <w:rPr>
        <w:rFonts w:hint="default"/>
        <w:b w:val="0"/>
        <w:i w:val="0"/>
      </w:rPr>
    </w:lvl>
    <w:lvl w:ilvl="2">
      <w:start w:val="1"/>
      <w:numFmt w:val="lowerLetter"/>
      <w:pStyle w:val="CSNumaDE0"/>
      <w:lvlText w:val="(%3)"/>
      <w:lvlJc w:val="left"/>
      <w:pPr>
        <w:tabs>
          <w:tab w:val="num" w:pos="357"/>
        </w:tabs>
        <w:ind w:left="720" w:hanging="363"/>
      </w:pPr>
      <w:rPr>
        <w:rFonts w:hint="default"/>
        <w:b w:val="0"/>
        <w:i w:val="0"/>
      </w:rPr>
    </w:lvl>
    <w:lvl w:ilvl="3">
      <w:start w:val="1"/>
      <w:numFmt w:val="lowerLetter"/>
      <w:suff w:val="space"/>
      <w:lvlText w:val="%2.%3%4:"/>
      <w:lvlJc w:val="left"/>
      <w:pPr>
        <w:ind w:left="0" w:firstLine="0"/>
      </w:pPr>
      <w:rPr>
        <w:rFonts w:hint="default"/>
        <w:b/>
        <w:i w:val="0"/>
      </w:rPr>
    </w:lvl>
    <w:lvl w:ilvl="4">
      <w:start w:val="1"/>
      <w:numFmt w:val="none"/>
      <w:suff w:val="nothing"/>
      <w:lvlJc w:val="left"/>
      <w:pPr>
        <w:ind w:left="0" w:firstLine="0"/>
      </w:pPr>
      <w:rPr>
        <w:rFonts w:hint="default"/>
        <w:b/>
        <w:i w:val="0"/>
      </w:rPr>
    </w:lvl>
    <w:lvl w:ilvl="5">
      <w:start w:val="1"/>
      <w:numFmt w:val="lowerRoman"/>
      <w:lvlText w:val="(%6)"/>
      <w:lvlJc w:val="left"/>
      <w:pPr>
        <w:ind w:left="2160" w:hanging="360"/>
      </w:pPr>
      <w:rPr>
        <w:rFonts w:hint="default"/>
      </w:rPr>
    </w:lvl>
    <w:lvl w:ilvl="6">
      <w:start w:val="1"/>
      <w:numFmt w:val="bullet"/>
      <w:lvlText w:val=""/>
      <w:lvlJc w:val="left"/>
      <w:pPr>
        <w:ind w:left="357" w:hanging="357"/>
      </w:pPr>
      <w:rPr>
        <w:rFonts w:ascii="Symbol" w:hAnsi="Symbol" w:hint="default"/>
      </w:rPr>
    </w:lvl>
    <w:lvl w:ilvl="7">
      <w:start w:val="1"/>
      <w:numFmt w:val="bullet"/>
      <w:lvlText w:val=""/>
      <w:lvlJc w:val="left"/>
      <w:pPr>
        <w:ind w:left="720" w:hanging="363"/>
      </w:pPr>
      <w:rPr>
        <w:rFonts w:ascii="Symbol" w:hAnsi="Symbol" w:hint="default"/>
      </w:rPr>
    </w:lvl>
    <w:lvl w:ilvl="8">
      <w:start w:val="1"/>
      <w:numFmt w:val="bullet"/>
      <w:lvlText w:val=""/>
      <w:lvlJc w:val="left"/>
      <w:pPr>
        <w:ind w:left="357" w:hanging="357"/>
      </w:pPr>
      <w:rPr>
        <w:rFonts w:ascii="Symbol" w:hAnsi="Symbol" w:hint="default"/>
      </w:rPr>
    </w:lvl>
  </w:abstractNum>
  <w:abstractNum w:abstractNumId="14">
    <w:nsid w:val="6492097C"/>
    <w:multiLevelType w:val="hybridMultilevel"/>
    <w:tmpl w:val="83FCC882"/>
    <w:lvl w:ilvl="0">
      <w:start w:val="1"/>
      <w:numFmt w:val="lowerLetter"/>
      <w:lvlText w:val="(%1)"/>
      <w:lvlJc w:val="left"/>
      <w:pPr>
        <w:ind w:left="679" w:hanging="360"/>
      </w:pPr>
      <w:rPr>
        <w:rFonts w:hint="default"/>
      </w:rPr>
    </w:lvl>
    <w:lvl w:ilvl="1" w:tentative="1">
      <w:start w:val="1"/>
      <w:numFmt w:val="lowerLetter"/>
      <w:lvlText w:val="%2."/>
      <w:lvlJc w:val="left"/>
      <w:pPr>
        <w:ind w:left="1399" w:hanging="360"/>
      </w:pPr>
    </w:lvl>
    <w:lvl w:ilvl="2" w:tentative="1">
      <w:start w:val="1"/>
      <w:numFmt w:val="lowerRoman"/>
      <w:lvlText w:val="%3."/>
      <w:lvlJc w:val="right"/>
      <w:pPr>
        <w:ind w:left="2119" w:hanging="180"/>
      </w:pPr>
    </w:lvl>
    <w:lvl w:ilvl="3" w:tentative="1">
      <w:start w:val="1"/>
      <w:numFmt w:val="decimal"/>
      <w:lvlText w:val="%4."/>
      <w:lvlJc w:val="left"/>
      <w:pPr>
        <w:ind w:left="2839" w:hanging="360"/>
      </w:pPr>
    </w:lvl>
    <w:lvl w:ilvl="4" w:tentative="1">
      <w:start w:val="1"/>
      <w:numFmt w:val="lowerLetter"/>
      <w:lvlText w:val="%5."/>
      <w:lvlJc w:val="left"/>
      <w:pPr>
        <w:ind w:left="3559" w:hanging="360"/>
      </w:pPr>
    </w:lvl>
    <w:lvl w:ilvl="5" w:tentative="1">
      <w:start w:val="1"/>
      <w:numFmt w:val="lowerRoman"/>
      <w:lvlText w:val="%6."/>
      <w:lvlJc w:val="right"/>
      <w:pPr>
        <w:ind w:left="4279" w:hanging="180"/>
      </w:pPr>
    </w:lvl>
    <w:lvl w:ilvl="6" w:tentative="1">
      <w:start w:val="1"/>
      <w:numFmt w:val="decimal"/>
      <w:lvlText w:val="%7."/>
      <w:lvlJc w:val="left"/>
      <w:pPr>
        <w:ind w:left="4999" w:hanging="360"/>
      </w:pPr>
    </w:lvl>
    <w:lvl w:ilvl="7" w:tentative="1">
      <w:start w:val="1"/>
      <w:numFmt w:val="lowerLetter"/>
      <w:lvlText w:val="%8."/>
      <w:lvlJc w:val="left"/>
      <w:pPr>
        <w:ind w:left="5719" w:hanging="360"/>
      </w:pPr>
    </w:lvl>
    <w:lvl w:ilvl="8" w:tentative="1">
      <w:start w:val="1"/>
      <w:numFmt w:val="lowerRoman"/>
      <w:lvlText w:val="%9."/>
      <w:lvlJc w:val="right"/>
      <w:pPr>
        <w:ind w:left="6439" w:hanging="180"/>
      </w:pPr>
    </w:lvl>
  </w:abstractNum>
  <w:abstractNum w:abstractNumId="15">
    <w:nsid w:val="6A2A1EBA"/>
    <w:multiLevelType w:val="multilevel"/>
    <w:tmpl w:val="FA124EA8"/>
    <w:name w:val="CSNum8pt"/>
    <w:lvl w:ilvl="0">
      <w:start w:val="1"/>
      <w:numFmt w:val="lowerLetter"/>
      <w:pStyle w:val="CSNuma8ptDE"/>
      <w:lvlText w:val="%1)"/>
      <w:lvlJc w:val="left"/>
      <w:pPr>
        <w:ind w:left="720" w:hanging="363"/>
      </w:pPr>
      <w:rPr>
        <w:rFonts w:hint="default"/>
      </w:rPr>
    </w:lvl>
    <w:lvl w:ilvl="1">
      <w:start w:val="1"/>
      <w:numFmt w:val="lowerLetter"/>
      <w:pStyle w:val="CSNuma8ptEN"/>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6AA227D0"/>
    <w:multiLevelType w:val="multilevel"/>
    <w:tmpl w:val="6172C5CA"/>
    <w:name w:val="AOTOC89"/>
    <w:lvl w:ilvl="0">
      <w:start w:val="1"/>
      <w:numFmt w:val="decimal"/>
      <w:lvlText w:val="%1."/>
      <w:lvlJc w:val="left"/>
      <w:pPr>
        <w:tabs>
          <w:tab w:val="num" w:pos="720"/>
        </w:tabs>
        <w:ind w:left="720" w:hanging="720"/>
      </w:pPr>
      <w:rPr>
        <w:rFonts w:ascii="Times New Roman" w:hAnsi="Times New Roman" w:cs="Times New Roman"/>
      </w:rPr>
    </w:lvl>
    <w:lvl w:ilvl="1">
      <w:start w:val="1"/>
      <w:numFmt w:val="decimal"/>
      <w:lvlText w:val="Part %2"/>
      <w:lvlJc w:val="left"/>
      <w:pPr>
        <w:ind w:left="1797" w:hanging="1077"/>
      </w:pPr>
      <w:rPr>
        <w:rFonts w:ascii="Times New Roman" w:hAnsi="Times New Roman" w:cs="Times New Roman"/>
      </w:rPr>
    </w:lvl>
    <w:lvl w:ilvl="2">
      <w:start w:val="1"/>
      <w:numFmt w:val="none"/>
      <w:lvlRestart w:val="1"/>
      <w:suff w:val="nothing"/>
      <w:lvlJc w:val="left"/>
      <w:pPr>
        <w:tabs>
          <w:tab w:val="num" w:pos="0"/>
        </w:tabs>
        <w:ind w:left="0" w:firstLine="0"/>
      </w:pPr>
      <w:rPr>
        <w:rFonts w:ascii="Times New Roman" w:hAnsi="Times New Roman" w:cs="Times New Roman"/>
      </w:rPr>
    </w:lvl>
    <w:lvl w:ilvl="3">
      <w:start w:val="1"/>
      <w:numFmt w:val="none"/>
      <w:lvlRestart w:val="1"/>
      <w:suff w:val="nothing"/>
      <w:lvlJc w:val="left"/>
      <w:pPr>
        <w:tabs>
          <w:tab w:val="num" w:pos="0"/>
        </w:tabs>
        <w:ind w:left="0" w:firstLine="0"/>
      </w:pPr>
      <w:rPr>
        <w:rFonts w:ascii="Times New Roman" w:hAnsi="Times New Roman" w:cs="Times New Roman"/>
      </w:rPr>
    </w:lvl>
    <w:lvl w:ilvl="4">
      <w:start w:val="1"/>
      <w:numFmt w:val="none"/>
      <w:lvlRestart w:val="1"/>
      <w:suff w:val="nothing"/>
      <w:lvlJc w:val="left"/>
      <w:pPr>
        <w:tabs>
          <w:tab w:val="num" w:pos="0"/>
        </w:tabs>
        <w:ind w:left="0" w:firstLine="0"/>
      </w:pPr>
      <w:rPr>
        <w:rFonts w:ascii="Times New Roman" w:hAnsi="Times New Roman" w:cs="Times New Roman"/>
      </w:rPr>
    </w:lvl>
    <w:lvl w:ilvl="5">
      <w:start w:val="1"/>
      <w:numFmt w:val="none"/>
      <w:lvlRestart w:val="1"/>
      <w:suff w:val="nothing"/>
      <w:lvlJc w:val="left"/>
      <w:pPr>
        <w:tabs>
          <w:tab w:val="num" w:pos="0"/>
        </w:tabs>
        <w:ind w:left="0" w:firstLine="0"/>
      </w:pPr>
      <w:rPr>
        <w:rFonts w:ascii="Times New Roman" w:hAnsi="Times New Roman" w:cs="Times New Roman"/>
      </w:rPr>
    </w:lvl>
    <w:lvl w:ilvl="6">
      <w:start w:val="1"/>
      <w:numFmt w:val="none"/>
      <w:lvlRestart w:val="1"/>
      <w:suff w:val="nothing"/>
      <w:lvlJc w:val="left"/>
      <w:pPr>
        <w:tabs>
          <w:tab w:val="num" w:pos="0"/>
        </w:tabs>
        <w:ind w:left="0" w:firstLine="0"/>
      </w:pPr>
      <w:rPr>
        <w:rFonts w:ascii="Times New Roman" w:hAnsi="Times New Roman" w:cs="Times New Roman"/>
      </w:rPr>
    </w:lvl>
    <w:lvl w:ilvl="7">
      <w:start w:val="1"/>
      <w:numFmt w:val="none"/>
      <w:lvlRestart w:val="1"/>
      <w:suff w:val="nothing"/>
      <w:lvlJc w:val="left"/>
      <w:pPr>
        <w:tabs>
          <w:tab w:val="num" w:pos="0"/>
        </w:tabs>
        <w:ind w:left="0" w:firstLine="0"/>
      </w:pPr>
      <w:rPr>
        <w:rFonts w:ascii="Times New Roman" w:hAnsi="Times New Roman" w:cs="Times New Roman"/>
      </w:rPr>
    </w:lvl>
    <w:lvl w:ilvl="8">
      <w:start w:val="1"/>
      <w:numFmt w:val="none"/>
      <w:lvlRestart w:val="1"/>
      <w:suff w:val="nothing"/>
      <w:lvlJc w:val="left"/>
      <w:pPr>
        <w:tabs>
          <w:tab w:val="num" w:pos="0"/>
        </w:tabs>
        <w:ind w:left="0" w:firstLine="0"/>
      </w:pPr>
      <w:rPr>
        <w:rFonts w:ascii="Times New Roman" w:hAnsi="Times New Roman" w:cs="Times New Roman"/>
      </w:rPr>
    </w:lvl>
  </w:abstractNum>
  <w:abstractNum w:abstractNumId="17">
    <w:nsid w:val="6D7D1948"/>
    <w:multiLevelType w:val="multilevel"/>
    <w:tmpl w:val="39C834E0"/>
    <w:name w:val="CS_Headings_English"/>
    <w:lvl w:ilvl="0">
      <w:start w:val="1"/>
      <w:numFmt w:val="none"/>
      <w:pStyle w:val="CSHeading1EN"/>
      <w:suff w:val="nothing"/>
      <w:lvlJc w:val="left"/>
      <w:pPr>
        <w:ind w:left="0" w:firstLine="0"/>
      </w:pPr>
      <w:rPr>
        <w:rFonts w:ascii="Credit Suisse Type Light" w:hAnsi="Credit Suisse Type Light" w:hint="default"/>
        <w:b/>
        <w:i w:val="0"/>
        <w:sz w:val="24"/>
      </w:rPr>
    </w:lvl>
    <w:lvl w:ilvl="1">
      <w:start w:val="1"/>
      <w:numFmt w:val="upperRoman"/>
      <w:pStyle w:val="CSHeading2EN"/>
      <w:lvlText w:val="%2."/>
      <w:lvlJc w:val="left"/>
      <w:pPr>
        <w:ind w:left="360" w:hanging="360"/>
      </w:pPr>
      <w:rPr>
        <w:rFonts w:cs="Times New Roman" w:hint="default"/>
        <w:b/>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xmlns:w14="http://schemas.microsoft.com/office/word/2010/wordml"/>
        <w14:cntxtAlts w14:val="0"/>
      </w:rPr>
    </w:lvl>
    <w:lvl w:ilvl="2">
      <w:start w:val="1"/>
      <w:numFmt w:val="upperLetter"/>
      <w:pStyle w:val="CSHeading3EN"/>
      <w:lvlText w:val="%3."/>
      <w:lvlJc w:val="left"/>
      <w:pPr>
        <w:ind w:left="360" w:hanging="360"/>
      </w:pPr>
      <w:rPr>
        <w:rFonts w:cs="Times New Roman" w:hint="default"/>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xmlns:w14="http://schemas.microsoft.com/office/word/2010/wordml"/>
        <w14:cntxtAlts w14:val="0"/>
      </w:rPr>
    </w:lvl>
    <w:lvl w:ilvl="3">
      <w:start w:val="1"/>
      <w:numFmt w:val="none"/>
      <w:suff w:val="nothing"/>
      <w:lvlJc w:val="left"/>
      <w:pPr>
        <w:ind w:left="357" w:firstLine="0"/>
      </w:pPr>
      <w:rPr>
        <w:rFonts w:hint="default"/>
      </w:rPr>
    </w:lvl>
    <w:lvl w:ilvl="4">
      <w:start w:val="1"/>
      <w:numFmt w:val="decimal"/>
      <w:pStyle w:val="CSNum1EN"/>
      <w:lvlText w:val="%5."/>
      <w:lvlJc w:val="left"/>
      <w:pPr>
        <w:ind w:left="357" w:hanging="357"/>
      </w:pPr>
      <w:rPr>
        <w:rFonts w:hint="default"/>
      </w:rPr>
    </w:lvl>
    <w:lvl w:ilvl="5">
      <w:start w:val="1"/>
      <w:numFmt w:val="none"/>
      <w:lvlJc w:val="left"/>
      <w:pPr>
        <w:ind w:left="2160" w:hanging="360"/>
      </w:pPr>
      <w:rPr>
        <w:rFonts w:hint="default"/>
      </w:rPr>
    </w:lvl>
    <w:lvl w:ilvl="6">
      <w:start w:val="1"/>
      <w:numFmt w:val="none"/>
      <w:lvlJc w:val="left"/>
      <w:pPr>
        <w:ind w:left="2520" w:hanging="360"/>
      </w:pPr>
      <w:rPr>
        <w:rFonts w:hint="default"/>
      </w:rPr>
    </w:lvl>
    <w:lvl w:ilvl="7">
      <w:start w:val="1"/>
      <w:numFmt w:val="none"/>
      <w:lvlJc w:val="left"/>
      <w:pPr>
        <w:ind w:left="2880" w:hanging="360"/>
      </w:pPr>
      <w:rPr>
        <w:rFonts w:hint="default"/>
      </w:rPr>
    </w:lvl>
    <w:lvl w:ilvl="8">
      <w:start w:val="1"/>
      <w:numFmt w:val="none"/>
      <w:lvlJc w:val="left"/>
      <w:pPr>
        <w:ind w:left="3240" w:hanging="360"/>
      </w:pPr>
      <w:rPr>
        <w:rFonts w:hint="default"/>
      </w:rPr>
    </w:lvl>
  </w:abstractNum>
  <w:abstractNum w:abstractNumId="18">
    <w:nsid w:val="71A811D6"/>
    <w:multiLevelType w:val="multilevel"/>
    <w:tmpl w:val="E4D8D524"/>
    <w:name w:val="Headings Deusche"/>
    <w:lvl w:ilvl="0">
      <w:start w:val="1"/>
      <w:numFmt w:val="none"/>
      <w:pStyle w:val="CSHeading1DE0"/>
      <w:suff w:val="nothing"/>
      <w:lvlJc w:val="left"/>
      <w:pPr>
        <w:ind w:left="0" w:firstLine="0"/>
      </w:pPr>
      <w:rPr>
        <w:rFonts w:ascii="Credit Suisse Type Light" w:hAnsi="Credit Suisse Type Light" w:hint="default"/>
        <w:b/>
        <w:i w:val="0"/>
        <w:sz w:val="24"/>
      </w:rPr>
    </w:lvl>
    <w:lvl w:ilvl="1">
      <w:start w:val="1"/>
      <w:numFmt w:val="upperRoman"/>
      <w:pStyle w:val="CSHeading2DE0"/>
      <w:lvlText w:val="%2."/>
      <w:lvlJc w:val="left"/>
      <w:pPr>
        <w:ind w:left="360" w:hanging="360"/>
      </w:pPr>
      <w:rPr>
        <w:rFonts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xmlns:w14="http://schemas.microsoft.com/office/word/2010/wordml" w14:rad="0">
          <w14:srgbClr w14:val="000000"/>
        </w14:glow>
        <w14:shadow xmlns:w14="http://schemas.microsoft.com/office/word/2010/wordml" w14:blurRad="0" w14:dist="0" w14:dir="0" w14:sx="0" w14:sy="0" w14:kx="0" w14:ky="0" w14:algn="none">
          <w14:srgbClr w14:val="000000"/>
        </w14:shadow>
        <w14:reflection xmlns:w14="http://schemas.microsoft.com/office/word/2010/wordml" w14:blurRad="0" w14:stA="0" w14:stPos="0" w14:endA="0" w14:endPos="0" w14:dist="0" w14:dir="0" w14:fadeDir="0" w14:sx="0" w14:sy="0" w14:kx="0" w14:ky="0" w14:algn="none"/>
        <w14:textOutline xmlns:w14="http://schemas.microsoft.com/office/word/2010/wordml" w14:w="0" w14:cap="rnd" w14:cmpd="sng" w14:algn="ctr">
          <w14:noFill/>
          <w14:prstDash w14:val="solid"/>
          <w14:bevel/>
        </w14:textOutline>
        <w14:scene3d xmlns:w14="http://schemas.microsoft.com/office/word/2010/wordml">
          <w14:camera w14:prst="orthographicFront"/>
          <w14:lightRig w14:rig="threePt" w14:dir="t">
            <w14:rot w14:lat="0" w14:lon="0" w14:rev="0"/>
          </w14:lightRig>
        </w14:scene3d>
        <w14:props3d xmlns:w14="http://schemas.microsoft.com/office/word/2010/wordml" w14:extrusionH="0" w14:contourW="0" w14:prstMaterial="none"/>
        <w14:ligatures w14:val="none"/>
        <w14:numForm w14:val="default"/>
        <w14:numSpacing w14:val="default"/>
        <w14:stylisticSets xmlns:w14="http://schemas.microsoft.com/office/word/2010/wordml"/>
        <w14:cntxtAlts w14:val="0"/>
      </w:rPr>
    </w:lvl>
    <w:lvl w:ilvl="2">
      <w:start w:val="1"/>
      <w:numFmt w:val="upperLetter"/>
      <w:pStyle w:val="CSHeading3DE0"/>
      <w:lvlText w:val="%3."/>
      <w:lvlJc w:val="left"/>
      <w:pPr>
        <w:ind w:left="360" w:hanging="360"/>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xmlns:w14="http://schemas.microsoft.com/office/word/2010/wordml" w14:rad="0">
          <w14:srgbClr w14:val="000000"/>
        </w14:glow>
        <w14:shadow xmlns:w14="http://schemas.microsoft.com/office/word/2010/wordml" w14:blurRad="0" w14:dist="0" w14:dir="0" w14:sx="0" w14:sy="0" w14:kx="0" w14:ky="0" w14:algn="none">
          <w14:srgbClr w14:val="000000"/>
        </w14:shadow>
        <w14:reflection xmlns:w14="http://schemas.microsoft.com/office/word/2010/wordml" w14:blurRad="0" w14:stA="0" w14:stPos="0" w14:endA="0" w14:endPos="0" w14:dist="0" w14:dir="0" w14:fadeDir="0" w14:sx="0" w14:sy="0" w14:kx="0" w14:ky="0" w14:algn="none"/>
        <w14:textOutline xmlns:w14="http://schemas.microsoft.com/office/word/2010/wordml" w14:w="0" w14:cap="rnd" w14:cmpd="sng" w14:algn="ctr">
          <w14:noFill/>
          <w14:prstDash w14:val="solid"/>
          <w14:bevel/>
        </w14:textOutline>
        <w14:scene3d xmlns:w14="http://schemas.microsoft.com/office/word/2010/wordml">
          <w14:camera w14:prst="orthographicFront"/>
          <w14:lightRig w14:rig="threePt" w14:dir="t">
            <w14:rot w14:lat="0" w14:lon="0" w14:rev="0"/>
          </w14:lightRig>
        </w14:scene3d>
        <w14:props3d xmlns:w14="http://schemas.microsoft.com/office/word/2010/wordml" w14:extrusionH="0" w14:contourW="0" w14:prstMaterial="none"/>
        <w14:ligatures w14:val="none"/>
        <w14:numForm w14:val="default"/>
        <w14:numSpacing w14:val="default"/>
        <w14:stylisticSets xmlns:w14="http://schemas.microsoft.com/office/word/2010/wordml"/>
        <w14:cntxtAlts w14:val="0"/>
      </w:rPr>
    </w:lvl>
    <w:lvl w:ilvl="3">
      <w:start w:val="1"/>
      <w:numFmt w:val="none"/>
      <w:lvlJc w:val="left"/>
      <w:pPr>
        <w:ind w:left="1440" w:hanging="360"/>
      </w:pPr>
      <w:rPr>
        <w:rFonts w:hint="default"/>
      </w:rPr>
    </w:lvl>
    <w:lvl w:ilvl="4">
      <w:start w:val="1"/>
      <w:numFmt w:val="none"/>
      <w:lvlJc w:val="left"/>
      <w:pPr>
        <w:ind w:left="1800" w:hanging="360"/>
      </w:pPr>
      <w:rPr>
        <w:rFonts w:hint="default"/>
      </w:rPr>
    </w:lvl>
    <w:lvl w:ilvl="5">
      <w:start w:val="1"/>
      <w:numFmt w:val="none"/>
      <w:lvlJc w:val="left"/>
      <w:pPr>
        <w:ind w:left="2160" w:hanging="360"/>
      </w:pPr>
      <w:rPr>
        <w:rFonts w:hint="default"/>
      </w:rPr>
    </w:lvl>
    <w:lvl w:ilvl="6">
      <w:start w:val="1"/>
      <w:numFmt w:val="none"/>
      <w:lvlJc w:val="left"/>
      <w:pPr>
        <w:ind w:left="2520" w:hanging="360"/>
      </w:pPr>
      <w:rPr>
        <w:rFonts w:hint="default"/>
      </w:rPr>
    </w:lvl>
    <w:lvl w:ilvl="7">
      <w:start w:val="1"/>
      <w:numFmt w:val="none"/>
      <w:lvlJc w:val="left"/>
      <w:pPr>
        <w:ind w:left="2880" w:hanging="360"/>
      </w:pPr>
      <w:rPr>
        <w:rFonts w:hint="default"/>
      </w:rPr>
    </w:lvl>
    <w:lvl w:ilvl="8">
      <w:start w:val="1"/>
      <w:numFmt w:val="none"/>
      <w:lvlJc w:val="left"/>
      <w:pPr>
        <w:ind w:left="3240" w:hanging="360"/>
      </w:pPr>
      <w:rPr>
        <w:rFont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4"/>
  </w:num>
  <w:num w:numId="5">
    <w:abstractNumId w:val="17"/>
  </w:num>
  <w:num w:numId="6">
    <w:abstractNumId w:val="2"/>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15"/>
  </w:num>
  <w:num w:numId="17">
    <w:abstractNumId w:val="3"/>
  </w:num>
  <w:num w:numId="18">
    <w:abstractNumId w:val="12"/>
  </w:num>
  <w:num w:numId="19">
    <w:abstractNumId w:val="18"/>
  </w:num>
  <w:num w:numId="20">
    <w:abstractNumId w:val="0"/>
  </w:num>
  <w:num w:numId="21">
    <w:abstractNumId w:val="5"/>
  </w:num>
  <w:num w:numId="22">
    <w:abstractNumId w:val="9"/>
  </w:num>
  <w:num w:numId="23">
    <w:abstractNumId w:val="7"/>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num>
  <w:num w:numId="27">
    <w:abstractNumId w:val="18"/>
  </w:num>
  <w:num w:numId="28">
    <w:abstractNumId w:val="18"/>
  </w:num>
  <w:num w:numId="29">
    <w:abstractNumId w:val="0"/>
  </w:num>
  <w:num w:numId="30">
    <w:abstractNumId w:val="6"/>
  </w:num>
  <w:num w:numId="31">
    <w:abstractNumId w:val="16"/>
  </w:num>
  <w:num w:numId="32">
    <w:abstractNumId w:val="17"/>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zoom w:percent="130"/>
  <w:attachedTemplate r:id="rId1"/>
  <w:defaultTabStop w:val="720"/>
  <w:characterSpacingControl w:val="doNotCompress"/>
  <w:footnotePr>
    <w:footnote w:id="0"/>
    <w:footnote w:id="1"/>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mathPr>
  <w:themeFontLang w:val="en-GB"/>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2BE0"/>
    <w:pPr>
      <w:spacing w:after="0" w:line="240" w:lineRule="auto"/>
      <w:jc w:val="both"/>
    </w:pPr>
    <w:rPr>
      <w:rFonts w:ascii="Credit Suisse Type Light" w:hAnsi="Credit Suisse Type Light" w:cs="Times New Roman"/>
    </w:rPr>
  </w:style>
  <w:style w:type="paragraph" w:styleId="Heading1">
    <w:name w:val="heading 1"/>
    <w:basedOn w:val="Normal"/>
    <w:next w:val="Normal"/>
    <w:link w:val="Heading1Char"/>
    <w:uiPriority w:val="9"/>
    <w:qFormat/>
    <w:rsid w:val="00B168CC"/>
    <w:pPr>
      <w:keepNext/>
      <w:spacing w:after="240"/>
      <w:outlineLvl w:val="0"/>
    </w:pPr>
    <w:rPr>
      <w:rFonts w:eastAsiaTheme="majorEastAsia"/>
      <w:b/>
      <w:bCs/>
      <w:caps/>
      <w:kern w:val="28"/>
      <w:szCs w:val="28"/>
    </w:rPr>
  </w:style>
  <w:style w:type="paragraph" w:styleId="Heading2">
    <w:name w:val="heading 2"/>
    <w:basedOn w:val="Normal"/>
    <w:next w:val="Normal"/>
    <w:link w:val="Heading2Char"/>
    <w:uiPriority w:val="9"/>
    <w:unhideWhenUsed/>
    <w:qFormat/>
    <w:rsid w:val="00B168CC"/>
    <w:pPr>
      <w:keepNext/>
      <w:spacing w:after="240"/>
      <w:outlineLvl w:val="1"/>
    </w:pPr>
    <w:rPr>
      <w:rFonts w:eastAsiaTheme="majorEastAsia"/>
      <w:b/>
      <w:bCs/>
      <w:szCs w:val="26"/>
    </w:rPr>
  </w:style>
  <w:style w:type="paragraph" w:styleId="Heading3">
    <w:name w:val="heading 3"/>
    <w:basedOn w:val="Normal"/>
    <w:next w:val="Normal"/>
    <w:link w:val="Heading3Char"/>
    <w:uiPriority w:val="9"/>
    <w:unhideWhenUsed/>
    <w:qFormat/>
    <w:rsid w:val="00B168CC"/>
    <w:pPr>
      <w:spacing w:after="240"/>
      <w:outlineLvl w:val="2"/>
    </w:pPr>
    <w:rPr>
      <w:rFonts w:eastAsiaTheme="majorEastAsia"/>
      <w:bCs/>
    </w:rPr>
  </w:style>
  <w:style w:type="paragraph" w:styleId="Heading4">
    <w:name w:val="heading 4"/>
    <w:basedOn w:val="Normal"/>
    <w:next w:val="Normal"/>
    <w:link w:val="Heading4Char"/>
    <w:uiPriority w:val="9"/>
    <w:unhideWhenUsed/>
    <w:qFormat/>
    <w:rsid w:val="00B168CC"/>
    <w:pPr>
      <w:spacing w:after="240"/>
      <w:outlineLvl w:val="3"/>
    </w:pPr>
    <w:rPr>
      <w:rFonts w:eastAsiaTheme="majorEastAsia"/>
      <w:bCs/>
      <w:iCs/>
    </w:rPr>
  </w:style>
  <w:style w:type="paragraph" w:styleId="Heading5">
    <w:name w:val="heading 5"/>
    <w:basedOn w:val="Normal"/>
    <w:next w:val="Normal"/>
    <w:link w:val="Heading5Char"/>
    <w:uiPriority w:val="9"/>
    <w:unhideWhenUsed/>
    <w:qFormat/>
    <w:rsid w:val="00B168CC"/>
    <w:pPr>
      <w:spacing w:after="240"/>
      <w:outlineLvl w:val="4"/>
    </w:pPr>
    <w:rPr>
      <w:rFonts w:eastAsiaTheme="majorEastAsia"/>
    </w:rPr>
  </w:style>
  <w:style w:type="paragraph" w:styleId="Heading6">
    <w:name w:val="heading 6"/>
    <w:basedOn w:val="Normal"/>
    <w:next w:val="Normal"/>
    <w:link w:val="Heading6Char"/>
    <w:uiPriority w:val="9"/>
    <w:unhideWhenUsed/>
    <w:qFormat/>
    <w:rsid w:val="00B168CC"/>
    <w:pPr>
      <w:spacing w:after="240"/>
      <w:outlineLvl w:val="5"/>
    </w:pPr>
    <w:rPr>
      <w:rFonts w:eastAsiaTheme="majorEastAsia"/>
      <w:iCs/>
    </w:rPr>
  </w:style>
  <w:style w:type="paragraph" w:styleId="Heading7">
    <w:name w:val="heading 7"/>
    <w:basedOn w:val="Normal"/>
    <w:next w:val="Normal"/>
    <w:link w:val="Heading7Char"/>
    <w:uiPriority w:val="9"/>
    <w:unhideWhenUsed/>
    <w:qFormat/>
    <w:rsid w:val="00B168CC"/>
    <w:pPr>
      <w:spacing w:after="240"/>
      <w:outlineLvl w:val="6"/>
    </w:pPr>
    <w:rPr>
      <w:rFonts w:eastAsiaTheme="majorEastAsia"/>
      <w:iCs/>
    </w:rPr>
  </w:style>
  <w:style w:type="paragraph" w:styleId="Heading8">
    <w:name w:val="heading 8"/>
    <w:basedOn w:val="Normal"/>
    <w:next w:val="Normal"/>
    <w:link w:val="Heading8Char"/>
    <w:uiPriority w:val="9"/>
    <w:unhideWhenUsed/>
    <w:qFormat/>
    <w:rsid w:val="00B168CC"/>
    <w:pPr>
      <w:spacing w:after="240"/>
      <w:outlineLvl w:val="7"/>
    </w:pPr>
    <w:rPr>
      <w:rFonts w:eastAsiaTheme="majorEastAsia"/>
      <w:szCs w:val="20"/>
    </w:rPr>
  </w:style>
  <w:style w:type="paragraph" w:styleId="Heading9">
    <w:name w:val="heading 9"/>
    <w:basedOn w:val="Normal"/>
    <w:next w:val="Normal"/>
    <w:link w:val="Heading9Char"/>
    <w:uiPriority w:val="9"/>
    <w:unhideWhenUsed/>
    <w:qFormat/>
    <w:rsid w:val="00B168CC"/>
    <w:pPr>
      <w:spacing w:after="240"/>
      <w:outlineLvl w:val="8"/>
    </w:pPr>
    <w:rPr>
      <w:rFonts w:eastAsiaTheme="majorEastAsia"/>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68CC"/>
    <w:rPr>
      <w:rFonts w:ascii="Times New Roman" w:hAnsi="Times New Roman" w:eastAsiaTheme="majorEastAsia" w:cs="Times New Roman"/>
      <w:b/>
      <w:bCs/>
      <w:caps/>
      <w:kern w:val="28"/>
      <w:szCs w:val="28"/>
    </w:rPr>
  </w:style>
  <w:style w:type="character" w:customStyle="1" w:styleId="Heading2Char">
    <w:name w:val="Heading 2 Char"/>
    <w:basedOn w:val="DefaultParagraphFont"/>
    <w:link w:val="Heading2"/>
    <w:uiPriority w:val="9"/>
    <w:rsid w:val="00B168CC"/>
    <w:rPr>
      <w:rFonts w:ascii="Times New Roman" w:hAnsi="Times New Roman" w:eastAsiaTheme="majorEastAsia" w:cs="Times New Roman"/>
      <w:b/>
      <w:bCs/>
      <w:szCs w:val="26"/>
    </w:rPr>
  </w:style>
  <w:style w:type="character" w:customStyle="1" w:styleId="Heading3Char">
    <w:name w:val="Heading 3 Char"/>
    <w:basedOn w:val="DefaultParagraphFont"/>
    <w:link w:val="Heading3"/>
    <w:uiPriority w:val="9"/>
    <w:semiHidden/>
    <w:rsid w:val="00B168CC"/>
    <w:rPr>
      <w:rFonts w:ascii="Times New Roman" w:hAnsi="Times New Roman" w:eastAsiaTheme="majorEastAsia" w:cs="Times New Roman"/>
      <w:bCs/>
    </w:rPr>
  </w:style>
  <w:style w:type="character" w:customStyle="1" w:styleId="Heading4Char">
    <w:name w:val="Heading 4 Char"/>
    <w:basedOn w:val="DefaultParagraphFont"/>
    <w:link w:val="Heading4"/>
    <w:uiPriority w:val="9"/>
    <w:semiHidden/>
    <w:rsid w:val="00B168CC"/>
    <w:rPr>
      <w:rFonts w:ascii="Times New Roman" w:hAnsi="Times New Roman" w:eastAsiaTheme="majorEastAsia" w:cs="Times New Roman"/>
      <w:bCs/>
      <w:iCs/>
    </w:rPr>
  </w:style>
  <w:style w:type="character" w:customStyle="1" w:styleId="Heading5Char">
    <w:name w:val="Heading 5 Char"/>
    <w:basedOn w:val="DefaultParagraphFont"/>
    <w:link w:val="Heading5"/>
    <w:uiPriority w:val="9"/>
    <w:semiHidden/>
    <w:rsid w:val="00B168CC"/>
    <w:rPr>
      <w:rFonts w:ascii="Times New Roman" w:hAnsi="Times New Roman" w:eastAsiaTheme="majorEastAsia" w:cs="Times New Roman"/>
    </w:rPr>
  </w:style>
  <w:style w:type="character" w:customStyle="1" w:styleId="Heading6Char">
    <w:name w:val="Heading 6 Char"/>
    <w:basedOn w:val="DefaultParagraphFont"/>
    <w:link w:val="Heading6"/>
    <w:uiPriority w:val="9"/>
    <w:semiHidden/>
    <w:rsid w:val="00B168CC"/>
    <w:rPr>
      <w:rFonts w:ascii="Times New Roman" w:hAnsi="Times New Roman" w:eastAsiaTheme="majorEastAsia" w:cs="Times New Roman"/>
      <w:iCs/>
    </w:rPr>
  </w:style>
  <w:style w:type="character" w:customStyle="1" w:styleId="Heading7Char">
    <w:name w:val="Heading 7 Char"/>
    <w:basedOn w:val="DefaultParagraphFont"/>
    <w:link w:val="Heading7"/>
    <w:uiPriority w:val="9"/>
    <w:semiHidden/>
    <w:rsid w:val="00B168CC"/>
    <w:rPr>
      <w:rFonts w:ascii="Times New Roman" w:hAnsi="Times New Roman" w:eastAsiaTheme="majorEastAsia" w:cs="Times New Roman"/>
      <w:iCs/>
    </w:rPr>
  </w:style>
  <w:style w:type="character" w:customStyle="1" w:styleId="Heading8Char">
    <w:name w:val="Heading 8 Char"/>
    <w:basedOn w:val="DefaultParagraphFont"/>
    <w:link w:val="Heading8"/>
    <w:uiPriority w:val="9"/>
    <w:semiHidden/>
    <w:rsid w:val="00B168CC"/>
    <w:rPr>
      <w:rFonts w:ascii="Times New Roman" w:hAnsi="Times New Roman" w:eastAsiaTheme="majorEastAsia" w:cs="Times New Roman"/>
      <w:szCs w:val="20"/>
    </w:rPr>
  </w:style>
  <w:style w:type="character" w:customStyle="1" w:styleId="Heading9Char">
    <w:name w:val="Heading 9 Char"/>
    <w:basedOn w:val="DefaultParagraphFont"/>
    <w:link w:val="Heading9"/>
    <w:uiPriority w:val="9"/>
    <w:semiHidden/>
    <w:rsid w:val="00B168CC"/>
    <w:rPr>
      <w:rFonts w:ascii="Times New Roman" w:hAnsi="Times New Roman" w:eastAsiaTheme="majorEastAsia" w:cs="Times New Roman"/>
      <w:iCs/>
      <w:szCs w:val="20"/>
    </w:rPr>
  </w:style>
  <w:style w:type="paragraph" w:customStyle="1" w:styleId="AOFooterL">
    <w:name w:val="AOFooterL"/>
    <w:basedOn w:val="Normal"/>
    <w:link w:val="AOFooterLChar"/>
    <w:rsid w:val="00901158"/>
    <w:pPr>
      <w:jc w:val="left"/>
    </w:pPr>
    <w:rPr>
      <w:rFonts w:ascii="Times New Roman" w:hAnsi="Times New Roman"/>
      <w:sz w:val="16"/>
    </w:rPr>
  </w:style>
  <w:style w:type="character" w:customStyle="1" w:styleId="AOFooterLChar">
    <w:name w:val="AOFooterL Char"/>
    <w:basedOn w:val="DefaultParagraphFont"/>
    <w:link w:val="AOFooterL"/>
    <w:rsid w:val="00901158"/>
    <w:rPr>
      <w:rFonts w:ascii="Times New Roman" w:hAnsi="Times New Roman" w:cs="Times New Roman"/>
      <w:sz w:val="16"/>
    </w:rPr>
  </w:style>
  <w:style w:type="paragraph" w:customStyle="1" w:styleId="AOFooterC">
    <w:name w:val="AOFooterC"/>
    <w:basedOn w:val="AOFooterL"/>
    <w:link w:val="AOFooterCChar"/>
    <w:rsid w:val="00901158"/>
    <w:pPr>
      <w:jc w:val="center"/>
    </w:pPr>
  </w:style>
  <w:style w:type="character" w:customStyle="1" w:styleId="AOFooterCChar">
    <w:name w:val="AOFooterC Char"/>
    <w:basedOn w:val="DefaultParagraphFont"/>
    <w:link w:val="AOFooterC"/>
    <w:rsid w:val="00901158"/>
    <w:rPr>
      <w:rFonts w:ascii="Times New Roman" w:hAnsi="Times New Roman" w:cs="Times New Roman"/>
      <w:sz w:val="16"/>
    </w:rPr>
  </w:style>
  <w:style w:type="paragraph" w:customStyle="1" w:styleId="AOFooterR">
    <w:name w:val="AOFooterR"/>
    <w:basedOn w:val="AOFooterL"/>
    <w:link w:val="AOFooterRChar"/>
    <w:rsid w:val="00B168CC"/>
    <w:pPr>
      <w:jc w:val="right"/>
    </w:pPr>
  </w:style>
  <w:style w:type="character" w:customStyle="1" w:styleId="AOFooterRChar">
    <w:name w:val="AOFooterR Char"/>
    <w:basedOn w:val="DefaultParagraphFont"/>
    <w:link w:val="AOFooterR"/>
    <w:rsid w:val="00B168CC"/>
    <w:rPr>
      <w:rFonts w:ascii="Times New Roman" w:hAnsi="Times New Roman" w:cs="Times New Roman"/>
      <w:sz w:val="16"/>
    </w:rPr>
  </w:style>
  <w:style w:type="paragraph" w:customStyle="1" w:styleId="Reference">
    <w:name w:val="Reference"/>
    <w:basedOn w:val="Normal"/>
    <w:link w:val="ReferenceChar"/>
    <w:rsid w:val="00901158"/>
    <w:rPr>
      <w:rFonts w:ascii="Times New Roman" w:hAnsi="Times New Roman"/>
      <w:sz w:val="16"/>
    </w:rPr>
  </w:style>
  <w:style w:type="character" w:customStyle="1" w:styleId="ReferenceChar">
    <w:name w:val="Reference Char"/>
    <w:basedOn w:val="DefaultParagraphFont"/>
    <w:link w:val="Reference"/>
    <w:rsid w:val="00901158"/>
    <w:rPr>
      <w:rFonts w:ascii="Times New Roman" w:hAnsi="Times New Roman" w:cs="Times New Roman"/>
      <w:sz w:val="16"/>
    </w:rPr>
  </w:style>
  <w:style w:type="paragraph" w:styleId="Footer">
    <w:name w:val="footer"/>
    <w:basedOn w:val="Normal"/>
    <w:link w:val="FooterChar"/>
    <w:uiPriority w:val="99"/>
    <w:unhideWhenUsed/>
    <w:rsid w:val="00E22A75"/>
    <w:pPr>
      <w:tabs>
        <w:tab w:val="center" w:pos="4150"/>
        <w:tab w:val="right" w:pos="8306"/>
      </w:tabs>
    </w:pPr>
    <w:rPr>
      <w:sz w:val="16"/>
    </w:rPr>
  </w:style>
  <w:style w:type="character" w:customStyle="1" w:styleId="FooterChar">
    <w:name w:val="Footer Char"/>
    <w:basedOn w:val="DefaultParagraphFont"/>
    <w:link w:val="Footer"/>
    <w:uiPriority w:val="99"/>
    <w:rsid w:val="00E22A75"/>
    <w:rPr>
      <w:rFonts w:ascii="Credit Suisse Type Light" w:hAnsi="Credit Suisse Type Light" w:cs="Times New Roman"/>
      <w:sz w:val="16"/>
    </w:rPr>
  </w:style>
  <w:style w:type="paragraph" w:styleId="Header">
    <w:name w:val="header"/>
    <w:basedOn w:val="Normal"/>
    <w:link w:val="HeaderChar"/>
    <w:uiPriority w:val="99"/>
    <w:unhideWhenUsed/>
    <w:rsid w:val="00381F0A"/>
    <w:pPr>
      <w:tabs>
        <w:tab w:val="center" w:pos="4150"/>
        <w:tab w:val="right" w:pos="8306"/>
      </w:tabs>
    </w:pPr>
    <w:rPr>
      <w:sz w:val="18"/>
    </w:rPr>
  </w:style>
  <w:style w:type="character" w:customStyle="1" w:styleId="HeaderChar">
    <w:name w:val="Header Char"/>
    <w:basedOn w:val="DefaultParagraphFont"/>
    <w:link w:val="Header"/>
    <w:uiPriority w:val="99"/>
    <w:rsid w:val="00381F0A"/>
    <w:rPr>
      <w:rFonts w:ascii="Credit Suisse Type Light" w:hAnsi="Credit Suisse Type Light" w:cs="Times New Roman"/>
      <w:sz w:val="18"/>
    </w:rPr>
  </w:style>
  <w:style w:type="paragraph" w:styleId="TOC1">
    <w:name w:val="toc 1"/>
    <w:basedOn w:val="Normal"/>
    <w:next w:val="Normal"/>
    <w:autoRedefine/>
    <w:uiPriority w:val="39"/>
    <w:unhideWhenUsed/>
    <w:rsid w:val="00EF41EB"/>
    <w:pPr>
      <w:tabs>
        <w:tab w:val="right" w:leader="dot" w:pos="4139"/>
      </w:tabs>
      <w:ind w:right="454"/>
      <w:jc w:val="left"/>
    </w:pPr>
    <w:rPr>
      <w:sz w:val="18"/>
    </w:rPr>
  </w:style>
  <w:style w:type="paragraph" w:styleId="TOC2">
    <w:name w:val="toc 2"/>
    <w:basedOn w:val="Normal"/>
    <w:next w:val="Normal"/>
    <w:autoRedefine/>
    <w:uiPriority w:val="39"/>
    <w:unhideWhenUsed/>
    <w:rsid w:val="00EF41EB"/>
    <w:pPr>
      <w:tabs>
        <w:tab w:val="right" w:pos="680"/>
        <w:tab w:val="right" w:leader="dot" w:pos="4139"/>
      </w:tabs>
      <w:ind w:left="624" w:right="567" w:hanging="340"/>
      <w:jc w:val="left"/>
    </w:pPr>
    <w:rPr>
      <w:sz w:val="18"/>
    </w:rPr>
  </w:style>
  <w:style w:type="paragraph" w:styleId="TOC3">
    <w:name w:val="toc 3"/>
    <w:basedOn w:val="Normal"/>
    <w:next w:val="Normal"/>
    <w:autoRedefine/>
    <w:uiPriority w:val="39"/>
    <w:unhideWhenUsed/>
    <w:rsid w:val="003E45BF"/>
    <w:pPr>
      <w:tabs>
        <w:tab w:val="left" w:pos="879"/>
        <w:tab w:val="right" w:leader="dot" w:pos="4139"/>
        <w:tab w:val="right" w:leader="dot" w:pos="9017"/>
      </w:tabs>
      <w:ind w:left="907" w:right="680" w:hanging="227"/>
    </w:pPr>
    <w:rPr>
      <w:sz w:val="18"/>
    </w:rPr>
  </w:style>
  <w:style w:type="paragraph" w:styleId="TOC4">
    <w:name w:val="toc 4"/>
    <w:basedOn w:val="Normal"/>
    <w:next w:val="Normal"/>
    <w:autoRedefine/>
    <w:uiPriority w:val="39"/>
    <w:unhideWhenUsed/>
    <w:rsid w:val="00B168CC"/>
    <w:pPr>
      <w:ind w:left="663"/>
    </w:pPr>
  </w:style>
  <w:style w:type="paragraph" w:styleId="TOC5">
    <w:name w:val="toc 5"/>
    <w:basedOn w:val="Normal"/>
    <w:next w:val="Normal"/>
    <w:autoRedefine/>
    <w:uiPriority w:val="39"/>
    <w:unhideWhenUsed/>
    <w:rsid w:val="00B168CC"/>
    <w:pPr>
      <w:ind w:left="879"/>
    </w:pPr>
  </w:style>
  <w:style w:type="paragraph" w:styleId="TOC6">
    <w:name w:val="toc 6"/>
    <w:basedOn w:val="Normal"/>
    <w:next w:val="Normal"/>
    <w:autoRedefine/>
    <w:uiPriority w:val="39"/>
    <w:unhideWhenUsed/>
    <w:rsid w:val="00B168CC"/>
    <w:pPr>
      <w:ind w:left="1094"/>
    </w:pPr>
  </w:style>
  <w:style w:type="paragraph" w:styleId="TOC7">
    <w:name w:val="toc 7"/>
    <w:basedOn w:val="Normal"/>
    <w:next w:val="Normal"/>
    <w:autoRedefine/>
    <w:uiPriority w:val="39"/>
    <w:unhideWhenUsed/>
    <w:rsid w:val="00BF68D2"/>
    <w:pPr>
      <w:tabs>
        <w:tab w:val="right" w:leader="dot" w:pos="4139"/>
      </w:tabs>
      <w:spacing w:before="60"/>
      <w:ind w:right="454"/>
    </w:pPr>
    <w:rPr>
      <w:rFonts w:asciiTheme="minorHAnsi" w:hAnsiTheme="minorHAnsi"/>
      <w:sz w:val="18"/>
    </w:rPr>
  </w:style>
  <w:style w:type="paragraph" w:styleId="TOC8">
    <w:name w:val="toc 8"/>
    <w:basedOn w:val="Normal"/>
    <w:next w:val="Normal"/>
    <w:autoRedefine/>
    <w:uiPriority w:val="39"/>
    <w:unhideWhenUsed/>
    <w:rsid w:val="00B168CC"/>
    <w:pPr>
      <w:ind w:left="1542"/>
    </w:pPr>
  </w:style>
  <w:style w:type="paragraph" w:styleId="TOC9">
    <w:name w:val="toc 9"/>
    <w:basedOn w:val="Normal"/>
    <w:next w:val="Normal"/>
    <w:autoRedefine/>
    <w:uiPriority w:val="39"/>
    <w:unhideWhenUsed/>
    <w:rsid w:val="00B168CC"/>
    <w:pPr>
      <w:ind w:left="1757"/>
    </w:pPr>
  </w:style>
  <w:style w:type="table" w:styleId="TableGrid">
    <w:name w:val="Table Grid"/>
    <w:basedOn w:val="TableNormal"/>
    <w:rsid w:val="00CF1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SBody0">
    <w:name w:val="CS_Body_0"/>
    <w:basedOn w:val="Normal"/>
    <w:qFormat/>
    <w:rsid w:val="00200349"/>
    <w:pPr>
      <w:spacing w:after="240"/>
      <w:ind w:right="170"/>
    </w:pPr>
    <w:rPr>
      <w:sz w:val="18"/>
    </w:rPr>
  </w:style>
  <w:style w:type="paragraph" w:customStyle="1" w:styleId="CSbody0bold">
    <w:name w:val="CS_body_0_bold"/>
    <w:basedOn w:val="CSBody0"/>
    <w:next w:val="CSBody0"/>
    <w:qFormat/>
    <w:rsid w:val="00157A38"/>
    <w:rPr>
      <w:rFonts w:eastAsia="MS Mincho"/>
      <w:b/>
      <w:bCs/>
      <w:szCs w:val="18"/>
      <w:lang w:val="de-DE" w:eastAsia="de-CH"/>
    </w:rPr>
  </w:style>
  <w:style w:type="paragraph" w:customStyle="1" w:styleId="CSBody65EN">
    <w:name w:val="CS_Body_6.5_EN"/>
    <w:basedOn w:val="Normal"/>
    <w:qFormat/>
    <w:rsid w:val="000E56FB"/>
    <w:pPr>
      <w:spacing w:after="240"/>
      <w:ind w:right="170"/>
    </w:pPr>
    <w:rPr>
      <w:sz w:val="13"/>
    </w:rPr>
  </w:style>
  <w:style w:type="paragraph" w:customStyle="1" w:styleId="CSBody65DE">
    <w:name w:val="CS_Body_6.5_DE"/>
    <w:basedOn w:val="Normal"/>
    <w:qFormat/>
    <w:rsid w:val="000E56FB"/>
    <w:pPr>
      <w:spacing w:after="240"/>
      <w:ind w:right="170"/>
    </w:pPr>
    <w:rPr>
      <w:sz w:val="13"/>
    </w:rPr>
  </w:style>
  <w:style w:type="paragraph" w:customStyle="1" w:styleId="CSSummaryHeadingEN">
    <w:name w:val="CS_SummaryHeading_EN"/>
    <w:basedOn w:val="Normal"/>
    <w:next w:val="CSBody0"/>
    <w:unhideWhenUsed/>
    <w:rsid w:val="000E56FB"/>
    <w:pPr>
      <w:numPr>
        <w:numId w:val="1"/>
      </w:numPr>
      <w:spacing w:after="240"/>
      <w:ind w:right="170"/>
      <w:outlineLvl w:val="0"/>
    </w:pPr>
    <w:rPr>
      <w:b/>
      <w:caps/>
      <w:sz w:val="24"/>
    </w:rPr>
  </w:style>
  <w:style w:type="paragraph" w:customStyle="1" w:styleId="CSNumA1EN">
    <w:name w:val="CS_Num_A1_EN"/>
    <w:basedOn w:val="Normal"/>
    <w:next w:val="CSBody0"/>
    <w:qFormat/>
    <w:rsid w:val="000E56FB"/>
    <w:pPr>
      <w:numPr>
        <w:ilvl w:val="2"/>
        <w:numId w:val="1"/>
      </w:numPr>
      <w:spacing w:after="240"/>
    </w:pPr>
    <w:rPr>
      <w:b/>
      <w:sz w:val="18"/>
    </w:rPr>
  </w:style>
  <w:style w:type="paragraph" w:styleId="Caption">
    <w:name w:val="caption"/>
    <w:basedOn w:val="Normal"/>
    <w:next w:val="Normal"/>
    <w:uiPriority w:val="35"/>
    <w:unhideWhenUsed/>
    <w:qFormat/>
    <w:rsid w:val="006D1220"/>
    <w:pPr>
      <w:spacing w:after="200"/>
    </w:pPr>
    <w:rPr>
      <w:b/>
      <w:bCs/>
      <w:color w:val="4F81BD" w:themeColor="accent1"/>
      <w:sz w:val="18"/>
      <w:szCs w:val="18"/>
    </w:rPr>
  </w:style>
  <w:style w:type="paragraph" w:customStyle="1" w:styleId="CSSummaryHeadingDE">
    <w:name w:val="CS_Summary_Heading_DE"/>
    <w:basedOn w:val="Normal"/>
    <w:next w:val="Normal"/>
    <w:unhideWhenUsed/>
    <w:qFormat/>
    <w:rsid w:val="000E56FB"/>
    <w:pPr>
      <w:numPr>
        <w:numId w:val="3"/>
      </w:numPr>
      <w:spacing w:after="240"/>
      <w:ind w:right="170"/>
      <w:outlineLvl w:val="0"/>
    </w:pPr>
    <w:rPr>
      <w:b/>
      <w:caps/>
      <w:sz w:val="24"/>
    </w:rPr>
  </w:style>
  <w:style w:type="paragraph" w:customStyle="1" w:styleId="CSNumA1DE">
    <w:name w:val="CS_Num_A1_DE"/>
    <w:basedOn w:val="Normal"/>
    <w:next w:val="Normal"/>
    <w:qFormat/>
    <w:rsid w:val="000E56FB"/>
    <w:pPr>
      <w:numPr>
        <w:ilvl w:val="2"/>
        <w:numId w:val="3"/>
      </w:numPr>
      <w:spacing w:after="240"/>
      <w:ind w:right="170"/>
    </w:pPr>
    <w:rPr>
      <w:b/>
      <w:sz w:val="18"/>
    </w:rPr>
  </w:style>
  <w:style w:type="paragraph" w:styleId="FootnoteText">
    <w:name w:val="footnote text"/>
    <w:basedOn w:val="Normal"/>
    <w:link w:val="FootnoteTextChar"/>
    <w:unhideWhenUsed/>
    <w:rsid w:val="0069139B"/>
    <w:pPr>
      <w:spacing w:after="120"/>
      <w:ind w:left="113" w:hanging="113"/>
    </w:pPr>
    <w:rPr>
      <w:sz w:val="14"/>
      <w:szCs w:val="20"/>
    </w:rPr>
  </w:style>
  <w:style w:type="character" w:customStyle="1" w:styleId="FootnoteTextChar">
    <w:name w:val="Footnote Text Char"/>
    <w:basedOn w:val="DefaultParagraphFont"/>
    <w:link w:val="FootnoteText"/>
    <w:rsid w:val="0069139B"/>
    <w:rPr>
      <w:rFonts w:ascii="Credit Suisse Type Light" w:hAnsi="Credit Suisse Type Light" w:cs="Times New Roman"/>
      <w:sz w:val="14"/>
      <w:szCs w:val="20"/>
    </w:rPr>
  </w:style>
  <w:style w:type="character" w:styleId="FootnoteReference">
    <w:name w:val="footnote reference"/>
    <w:basedOn w:val="DefaultParagraphFont"/>
    <w:rsid w:val="0033731A"/>
    <w:rPr>
      <w:vertAlign w:val="superscript"/>
    </w:rPr>
  </w:style>
  <w:style w:type="paragraph" w:customStyle="1" w:styleId="CSHeading1EN">
    <w:name w:val="CS_Heading1_EN"/>
    <w:basedOn w:val="Normal"/>
    <w:next w:val="CSBody0"/>
    <w:qFormat/>
    <w:rsid w:val="000E56FB"/>
    <w:pPr>
      <w:numPr>
        <w:numId w:val="8"/>
      </w:numPr>
      <w:spacing w:after="240"/>
      <w:ind w:right="170"/>
    </w:pPr>
    <w:rPr>
      <w:b/>
      <w:caps/>
      <w:sz w:val="24"/>
    </w:rPr>
  </w:style>
  <w:style w:type="paragraph" w:customStyle="1" w:styleId="CSHeading2EN">
    <w:name w:val="CS_Heading2_EN"/>
    <w:basedOn w:val="Normal"/>
    <w:next w:val="CSBody0"/>
    <w:qFormat/>
    <w:rsid w:val="000E56FB"/>
    <w:pPr>
      <w:numPr>
        <w:ilvl w:val="1"/>
        <w:numId w:val="8"/>
      </w:numPr>
      <w:spacing w:after="240"/>
      <w:ind w:right="170"/>
    </w:pPr>
    <w:rPr>
      <w:b/>
    </w:rPr>
  </w:style>
  <w:style w:type="paragraph" w:customStyle="1" w:styleId="CSHeading3EN">
    <w:name w:val="CS_Heading3_EN"/>
    <w:basedOn w:val="Normal"/>
    <w:next w:val="CSBody0"/>
    <w:qFormat/>
    <w:rsid w:val="000E56FB"/>
    <w:pPr>
      <w:numPr>
        <w:ilvl w:val="2"/>
        <w:numId w:val="8"/>
      </w:numPr>
      <w:spacing w:after="240"/>
      <w:ind w:right="170"/>
    </w:pPr>
    <w:rPr>
      <w:b/>
    </w:rPr>
  </w:style>
  <w:style w:type="paragraph" w:customStyle="1" w:styleId="CSHeading1DE">
    <w:name w:val="CS_Heading1_DE"/>
    <w:basedOn w:val="Normal"/>
    <w:next w:val="Normal"/>
    <w:qFormat/>
    <w:rsid w:val="000E56FB"/>
    <w:pPr>
      <w:numPr>
        <w:numId w:val="6"/>
      </w:numPr>
      <w:spacing w:after="240"/>
      <w:ind w:right="170"/>
    </w:pPr>
    <w:rPr>
      <w:b/>
      <w:caps/>
      <w:sz w:val="24"/>
    </w:rPr>
  </w:style>
  <w:style w:type="paragraph" w:customStyle="1" w:styleId="CSHeading2DE">
    <w:name w:val="CS_Heading2_DE"/>
    <w:basedOn w:val="Normal"/>
    <w:next w:val="Normal"/>
    <w:qFormat/>
    <w:rsid w:val="000E56FB"/>
    <w:pPr>
      <w:numPr>
        <w:ilvl w:val="1"/>
        <w:numId w:val="6"/>
      </w:numPr>
      <w:spacing w:after="240"/>
      <w:ind w:right="170"/>
    </w:pPr>
    <w:rPr>
      <w:b/>
    </w:rPr>
  </w:style>
  <w:style w:type="paragraph" w:customStyle="1" w:styleId="CSHeading3DE">
    <w:name w:val="CS_Heading3_DE"/>
    <w:basedOn w:val="Normal"/>
    <w:next w:val="Normal"/>
    <w:qFormat/>
    <w:rsid w:val="000E56FB"/>
    <w:pPr>
      <w:numPr>
        <w:ilvl w:val="2"/>
        <w:numId w:val="6"/>
      </w:numPr>
      <w:spacing w:after="240"/>
      <w:ind w:right="170"/>
    </w:pPr>
    <w:rPr>
      <w:b/>
    </w:rPr>
  </w:style>
  <w:style w:type="paragraph" w:customStyle="1" w:styleId="CSNum1EN">
    <w:name w:val="CS_Num_1_EN"/>
    <w:basedOn w:val="Normal"/>
    <w:qFormat/>
    <w:rsid w:val="000E56FB"/>
    <w:pPr>
      <w:numPr>
        <w:ilvl w:val="4"/>
        <w:numId w:val="8"/>
      </w:numPr>
      <w:spacing w:after="240"/>
      <w:ind w:right="170"/>
    </w:pPr>
    <w:rPr>
      <w:b/>
      <w:sz w:val="18"/>
    </w:rPr>
  </w:style>
  <w:style w:type="paragraph" w:customStyle="1" w:styleId="CSNum1DE">
    <w:name w:val="CS_Num_1_DE"/>
    <w:basedOn w:val="Normal"/>
    <w:next w:val="Normal"/>
    <w:qFormat/>
    <w:rsid w:val="000E56FB"/>
    <w:pPr>
      <w:numPr>
        <w:ilvl w:val="4"/>
        <w:numId w:val="6"/>
      </w:numPr>
      <w:spacing w:after="240"/>
      <w:ind w:right="170"/>
    </w:pPr>
    <w:rPr>
      <w:b/>
      <w:sz w:val="18"/>
    </w:rPr>
  </w:style>
  <w:style w:type="paragraph" w:customStyle="1" w:styleId="CSSec1EN">
    <w:name w:val="CS_Sec_1_EN"/>
    <w:basedOn w:val="Normal"/>
    <w:next w:val="CSBody0"/>
    <w:qFormat/>
    <w:rsid w:val="000E56FB"/>
    <w:pPr>
      <w:numPr>
        <w:numId w:val="10"/>
      </w:numPr>
      <w:spacing w:after="240"/>
      <w:ind w:right="170"/>
    </w:pPr>
    <w:rPr>
      <w:b/>
      <w:sz w:val="18"/>
    </w:rPr>
  </w:style>
  <w:style w:type="paragraph" w:customStyle="1" w:styleId="CSSec11EN">
    <w:name w:val="CS_Sec_1.1_EN"/>
    <w:basedOn w:val="Normal"/>
    <w:next w:val="CSBody0"/>
    <w:qFormat/>
    <w:rsid w:val="000E56FB"/>
    <w:pPr>
      <w:numPr>
        <w:ilvl w:val="1"/>
        <w:numId w:val="10"/>
      </w:numPr>
      <w:spacing w:after="240"/>
      <w:ind w:right="170"/>
    </w:pPr>
    <w:rPr>
      <w:b/>
      <w:sz w:val="18"/>
    </w:rPr>
  </w:style>
  <w:style w:type="paragraph" w:customStyle="1" w:styleId="CSNumAEN">
    <w:name w:val="CS_Num_A_EN"/>
    <w:basedOn w:val="Normal"/>
    <w:next w:val="CSBody0"/>
    <w:qFormat/>
    <w:rsid w:val="000E56FB"/>
    <w:pPr>
      <w:numPr>
        <w:ilvl w:val="2"/>
        <w:numId w:val="10"/>
      </w:numPr>
      <w:spacing w:after="240"/>
      <w:ind w:right="170"/>
    </w:pPr>
    <w:rPr>
      <w:b/>
      <w:sz w:val="18"/>
    </w:rPr>
  </w:style>
  <w:style w:type="paragraph" w:customStyle="1" w:styleId="CSSec1DE">
    <w:name w:val="CS_Sec_1_DE"/>
    <w:basedOn w:val="Normal"/>
    <w:next w:val="CSBody0"/>
    <w:qFormat/>
    <w:rsid w:val="000E56FB"/>
    <w:pPr>
      <w:numPr>
        <w:numId w:val="12"/>
      </w:numPr>
      <w:spacing w:after="240"/>
      <w:ind w:right="170"/>
    </w:pPr>
    <w:rPr>
      <w:b/>
      <w:sz w:val="18"/>
    </w:rPr>
  </w:style>
  <w:style w:type="paragraph" w:customStyle="1" w:styleId="CSSec11DE">
    <w:name w:val="CS_Sec_1.1_DE"/>
    <w:basedOn w:val="Normal"/>
    <w:next w:val="Normal"/>
    <w:qFormat/>
    <w:rsid w:val="000E56FB"/>
    <w:pPr>
      <w:numPr>
        <w:ilvl w:val="1"/>
        <w:numId w:val="12"/>
      </w:numPr>
      <w:spacing w:after="240"/>
      <w:ind w:right="170"/>
    </w:pPr>
    <w:rPr>
      <w:b/>
      <w:sz w:val="18"/>
    </w:rPr>
  </w:style>
  <w:style w:type="paragraph" w:customStyle="1" w:styleId="CSNumADE">
    <w:name w:val="CS_Num_A_DE"/>
    <w:basedOn w:val="Normal"/>
    <w:next w:val="Normal"/>
    <w:qFormat/>
    <w:rsid w:val="000E56FB"/>
    <w:pPr>
      <w:numPr>
        <w:ilvl w:val="2"/>
        <w:numId w:val="12"/>
      </w:numPr>
      <w:spacing w:after="240"/>
      <w:ind w:right="170"/>
    </w:pPr>
    <w:rPr>
      <w:b/>
      <w:sz w:val="18"/>
    </w:rPr>
  </w:style>
  <w:style w:type="paragraph" w:customStyle="1" w:styleId="CSBody63EN">
    <w:name w:val="CS_Body_63_EN"/>
    <w:basedOn w:val="Normal"/>
    <w:qFormat/>
    <w:rsid w:val="000E56FB"/>
    <w:pPr>
      <w:spacing w:after="240"/>
      <w:ind w:left="357"/>
    </w:pPr>
    <w:rPr>
      <w:sz w:val="18"/>
    </w:rPr>
  </w:style>
  <w:style w:type="paragraph" w:customStyle="1" w:styleId="CSBody63DE">
    <w:name w:val="CS_Body_63_DE"/>
    <w:basedOn w:val="Normal"/>
    <w:qFormat/>
    <w:rsid w:val="000E56FB"/>
    <w:pPr>
      <w:spacing w:after="240"/>
      <w:ind w:left="357"/>
    </w:pPr>
    <w:rPr>
      <w:sz w:val="18"/>
    </w:rPr>
  </w:style>
  <w:style w:type="paragraph" w:customStyle="1" w:styleId="CSNum1EN0">
    <w:name w:val="CS_Num_(1)_EN"/>
    <w:basedOn w:val="Normal"/>
    <w:qFormat/>
    <w:rsid w:val="000E56FB"/>
    <w:pPr>
      <w:numPr>
        <w:numId w:val="13"/>
      </w:numPr>
      <w:spacing w:after="240"/>
      <w:ind w:right="170"/>
    </w:pPr>
    <w:rPr>
      <w:sz w:val="18"/>
    </w:rPr>
  </w:style>
  <w:style w:type="paragraph" w:customStyle="1" w:styleId="CSNumaEN0">
    <w:name w:val="CS_Num_(a)_EN"/>
    <w:basedOn w:val="Normal"/>
    <w:qFormat/>
    <w:rsid w:val="000E56FB"/>
    <w:pPr>
      <w:numPr>
        <w:ilvl w:val="2"/>
        <w:numId w:val="13"/>
      </w:numPr>
      <w:spacing w:after="240"/>
      <w:ind w:right="170"/>
    </w:pPr>
    <w:rPr>
      <w:sz w:val="18"/>
    </w:rPr>
  </w:style>
  <w:style w:type="paragraph" w:customStyle="1" w:styleId="CSNumiEN">
    <w:name w:val="CS_Num_(i)_EN"/>
    <w:basedOn w:val="Normal"/>
    <w:qFormat/>
    <w:rsid w:val="000E56FB"/>
    <w:pPr>
      <w:numPr>
        <w:ilvl w:val="1"/>
        <w:numId w:val="13"/>
      </w:numPr>
      <w:spacing w:after="240"/>
      <w:ind w:right="170"/>
    </w:pPr>
    <w:rPr>
      <w:sz w:val="18"/>
    </w:rPr>
  </w:style>
  <w:style w:type="paragraph" w:customStyle="1" w:styleId="CSBullet0">
    <w:name w:val="CS_Bullet_0"/>
    <w:basedOn w:val="Normal"/>
    <w:qFormat/>
    <w:rsid w:val="000E56FB"/>
    <w:pPr>
      <w:numPr>
        <w:ilvl w:val="6"/>
        <w:numId w:val="13"/>
      </w:numPr>
      <w:spacing w:after="240"/>
      <w:ind w:right="170"/>
    </w:pPr>
    <w:rPr>
      <w:sz w:val="18"/>
    </w:rPr>
  </w:style>
  <w:style w:type="paragraph" w:customStyle="1" w:styleId="CSBullet63">
    <w:name w:val="CS_Bullet_63"/>
    <w:basedOn w:val="Normal"/>
    <w:qFormat/>
    <w:rsid w:val="000E56FB"/>
    <w:pPr>
      <w:numPr>
        <w:ilvl w:val="7"/>
        <w:numId w:val="13"/>
      </w:numPr>
      <w:spacing w:after="240"/>
      <w:ind w:right="170"/>
    </w:pPr>
    <w:rPr>
      <w:sz w:val="18"/>
    </w:rPr>
  </w:style>
  <w:style w:type="paragraph" w:customStyle="1" w:styleId="CSBullet8pt">
    <w:name w:val="CS_Bullet_8pt"/>
    <w:basedOn w:val="Normal"/>
    <w:qFormat/>
    <w:rsid w:val="00901158"/>
    <w:pPr>
      <w:numPr>
        <w:ilvl w:val="8"/>
        <w:numId w:val="13"/>
      </w:numPr>
      <w:spacing w:after="240"/>
      <w:ind w:right="170"/>
    </w:pPr>
    <w:rPr>
      <w:sz w:val="16"/>
    </w:rPr>
  </w:style>
  <w:style w:type="paragraph" w:customStyle="1" w:styleId="CSNum1DE0">
    <w:name w:val="CS_Num_(1)_DE"/>
    <w:basedOn w:val="Normal"/>
    <w:qFormat/>
    <w:rsid w:val="000E56FB"/>
    <w:pPr>
      <w:numPr>
        <w:numId w:val="15"/>
      </w:numPr>
      <w:spacing w:after="240"/>
      <w:ind w:right="170"/>
    </w:pPr>
    <w:rPr>
      <w:sz w:val="18"/>
    </w:rPr>
  </w:style>
  <w:style w:type="paragraph" w:customStyle="1" w:styleId="CSNumaDE0">
    <w:name w:val="CS_Num_(a)_DE"/>
    <w:basedOn w:val="Normal"/>
    <w:qFormat/>
    <w:rsid w:val="000E56FB"/>
    <w:pPr>
      <w:numPr>
        <w:ilvl w:val="2"/>
        <w:numId w:val="15"/>
      </w:numPr>
      <w:spacing w:after="240"/>
      <w:ind w:right="170"/>
    </w:pPr>
    <w:rPr>
      <w:sz w:val="18"/>
    </w:rPr>
  </w:style>
  <w:style w:type="paragraph" w:customStyle="1" w:styleId="CSNumiDE">
    <w:name w:val="CS_Num_(i)_DE"/>
    <w:basedOn w:val="Normal"/>
    <w:qFormat/>
    <w:rsid w:val="000E56FB"/>
    <w:pPr>
      <w:numPr>
        <w:ilvl w:val="1"/>
        <w:numId w:val="15"/>
      </w:numPr>
      <w:spacing w:after="240"/>
      <w:ind w:right="170"/>
    </w:pPr>
    <w:rPr>
      <w:sz w:val="18"/>
    </w:rPr>
  </w:style>
  <w:style w:type="paragraph" w:customStyle="1" w:styleId="CSImportantNotice">
    <w:name w:val="CS_Important_Notice"/>
    <w:basedOn w:val="Normal"/>
    <w:qFormat/>
    <w:rsid w:val="007556EF"/>
    <w:pPr>
      <w:spacing w:after="240"/>
      <w:ind w:right="170"/>
    </w:pPr>
    <w:rPr>
      <w:b/>
      <w:sz w:val="24"/>
      <w:szCs w:val="24"/>
    </w:rPr>
  </w:style>
  <w:style w:type="paragraph" w:customStyle="1" w:styleId="CSSubtitle">
    <w:name w:val="CS_Subtitle"/>
    <w:basedOn w:val="Normal"/>
    <w:qFormat/>
    <w:rsid w:val="00EF41EB"/>
    <w:pPr>
      <w:spacing w:after="240"/>
    </w:pPr>
    <w:rPr>
      <w:b/>
      <w:sz w:val="20"/>
    </w:rPr>
  </w:style>
  <w:style w:type="paragraph" w:customStyle="1" w:styleId="CSText">
    <w:name w:val="CS_Text"/>
    <w:basedOn w:val="Normal"/>
    <w:qFormat/>
    <w:rsid w:val="00ED312C"/>
    <w:pPr>
      <w:spacing w:before="120" w:after="240" w:line="200" w:lineRule="exact"/>
      <w:ind w:right="170"/>
    </w:pPr>
    <w:rPr>
      <w:sz w:val="17"/>
    </w:rPr>
  </w:style>
  <w:style w:type="paragraph" w:customStyle="1" w:styleId="CSTextDE">
    <w:name w:val="CS_Text_DE"/>
    <w:basedOn w:val="Normal"/>
    <w:qFormat/>
    <w:rsid w:val="00ED312C"/>
    <w:pPr>
      <w:spacing w:after="240"/>
      <w:ind w:right="170"/>
    </w:pPr>
    <w:rPr>
      <w:sz w:val="16"/>
    </w:rPr>
  </w:style>
  <w:style w:type="paragraph" w:customStyle="1" w:styleId="CSTextEN">
    <w:name w:val="CS_Text_EN"/>
    <w:basedOn w:val="Normal"/>
    <w:qFormat/>
    <w:rsid w:val="00ED312C"/>
    <w:pPr>
      <w:spacing w:after="240"/>
      <w:ind w:right="170"/>
    </w:pPr>
    <w:rPr>
      <w:sz w:val="16"/>
    </w:rPr>
  </w:style>
  <w:style w:type="paragraph" w:customStyle="1" w:styleId="CSTextaDE">
    <w:name w:val="CS_Text_(a)_DE"/>
    <w:basedOn w:val="Normal"/>
    <w:qFormat/>
    <w:rsid w:val="00ED312C"/>
    <w:pPr>
      <w:spacing w:after="240"/>
      <w:ind w:left="720" w:right="170" w:firstLine="357"/>
    </w:pPr>
    <w:rPr>
      <w:sz w:val="16"/>
    </w:rPr>
  </w:style>
  <w:style w:type="paragraph" w:customStyle="1" w:styleId="CSTextaEN">
    <w:name w:val="CS_Text_(a)_EN"/>
    <w:basedOn w:val="Normal"/>
    <w:qFormat/>
    <w:rsid w:val="00ED312C"/>
    <w:pPr>
      <w:spacing w:after="240"/>
      <w:ind w:left="1077" w:right="170" w:hanging="357"/>
    </w:pPr>
    <w:rPr>
      <w:sz w:val="16"/>
    </w:rPr>
  </w:style>
  <w:style w:type="paragraph" w:customStyle="1" w:styleId="CSTextiDE">
    <w:name w:val="CS_Text_(i)_DE"/>
    <w:basedOn w:val="Normal"/>
    <w:qFormat/>
    <w:rsid w:val="00ED312C"/>
    <w:pPr>
      <w:spacing w:after="240"/>
      <w:ind w:left="714" w:right="170" w:hanging="357"/>
    </w:pPr>
    <w:rPr>
      <w:sz w:val="16"/>
    </w:rPr>
  </w:style>
  <w:style w:type="paragraph" w:customStyle="1" w:styleId="CSTextiEN">
    <w:name w:val="CS_Text_(i)_EN"/>
    <w:basedOn w:val="Normal"/>
    <w:qFormat/>
    <w:rsid w:val="00ED312C"/>
    <w:pPr>
      <w:spacing w:after="240"/>
      <w:ind w:left="714" w:right="170" w:hanging="357"/>
    </w:pPr>
    <w:rPr>
      <w:sz w:val="16"/>
    </w:rPr>
  </w:style>
  <w:style w:type="paragraph" w:customStyle="1" w:styleId="CSReflist">
    <w:name w:val="CS_Reflist"/>
    <w:basedOn w:val="Normal"/>
    <w:qFormat/>
    <w:rsid w:val="00901158"/>
    <w:pPr>
      <w:spacing w:after="240"/>
      <w:ind w:right="170"/>
    </w:pPr>
    <w:rPr>
      <w:sz w:val="18"/>
    </w:rPr>
  </w:style>
  <w:style w:type="paragraph" w:customStyle="1" w:styleId="CSReflist63">
    <w:name w:val="CS_Reflist_63"/>
    <w:basedOn w:val="Normal"/>
    <w:qFormat/>
    <w:rsid w:val="00901158"/>
    <w:pPr>
      <w:spacing w:after="240"/>
      <w:ind w:right="170"/>
    </w:pPr>
    <w:rPr>
      <w:sz w:val="18"/>
    </w:rPr>
  </w:style>
  <w:style w:type="paragraph" w:customStyle="1" w:styleId="CSBody10pt">
    <w:name w:val="CS_Body_10pt"/>
    <w:basedOn w:val="Normal"/>
    <w:qFormat/>
    <w:rsid w:val="00901158"/>
    <w:pPr>
      <w:spacing w:after="240"/>
      <w:ind w:right="170"/>
    </w:pPr>
    <w:rPr>
      <w:sz w:val="20"/>
    </w:rPr>
  </w:style>
  <w:style w:type="paragraph" w:customStyle="1" w:styleId="CSBody55pt">
    <w:name w:val="CS_Body_5.5pt"/>
    <w:basedOn w:val="Normal"/>
    <w:qFormat/>
    <w:rsid w:val="00901158"/>
    <w:pPr>
      <w:spacing w:after="240"/>
      <w:ind w:right="170"/>
    </w:pPr>
    <w:rPr>
      <w:sz w:val="11"/>
    </w:rPr>
  </w:style>
  <w:style w:type="paragraph" w:customStyle="1" w:styleId="CS">
    <w:name w:val="CS"/>
    <w:basedOn w:val="Normal"/>
    <w:qFormat/>
    <w:rsid w:val="00596F83"/>
    <w:pPr>
      <w:spacing w:after="240"/>
    </w:pPr>
    <w:rPr>
      <w:sz w:val="18"/>
    </w:rPr>
  </w:style>
  <w:style w:type="paragraph" w:customStyle="1" w:styleId="CSSubtitelrechteSpalte">
    <w:name w:val="CS: Subtitel (rechte Spalte)"/>
    <w:basedOn w:val="Normal"/>
    <w:qFormat/>
    <w:rsid w:val="00596F83"/>
    <w:pPr>
      <w:spacing w:before="160"/>
    </w:pPr>
    <w:rPr>
      <w:sz w:val="17"/>
    </w:rPr>
  </w:style>
  <w:style w:type="paragraph" w:customStyle="1" w:styleId="CSText0">
    <w:name w:val="CS: Text"/>
    <w:basedOn w:val="Normal"/>
    <w:link w:val="CSTextZchn"/>
    <w:uiPriority w:val="99"/>
    <w:qFormat/>
    <w:rsid w:val="00596F83"/>
    <w:pPr>
      <w:spacing w:before="160" w:line="200" w:lineRule="exact"/>
    </w:pPr>
    <w:rPr>
      <w:sz w:val="17"/>
    </w:rPr>
  </w:style>
  <w:style w:type="paragraph" w:customStyle="1" w:styleId="CSHintSmall">
    <w:name w:val="CS_HintSmall"/>
    <w:basedOn w:val="Normal"/>
    <w:qFormat/>
    <w:rsid w:val="00596F83"/>
    <w:pPr>
      <w:spacing w:after="240"/>
    </w:pPr>
    <w:rPr>
      <w:sz w:val="14"/>
    </w:rPr>
  </w:style>
  <w:style w:type="paragraph" w:customStyle="1" w:styleId="CSManNum9pt">
    <w:name w:val="CS_ManNum_9pt"/>
    <w:basedOn w:val="Normal"/>
    <w:qFormat/>
    <w:rsid w:val="00D67AF6"/>
    <w:pPr>
      <w:spacing w:after="240"/>
      <w:ind w:left="357" w:hanging="357"/>
    </w:pPr>
    <w:rPr>
      <w:sz w:val="18"/>
    </w:rPr>
  </w:style>
  <w:style w:type="paragraph" w:customStyle="1" w:styleId="CSNum0DE">
    <w:name w:val="CS_Num_0_DE"/>
    <w:basedOn w:val="Normal"/>
    <w:qFormat/>
    <w:rsid w:val="00E6798C"/>
    <w:pPr>
      <w:spacing w:after="240"/>
    </w:pPr>
    <w:rPr>
      <w:sz w:val="18"/>
    </w:rPr>
  </w:style>
  <w:style w:type="paragraph" w:customStyle="1" w:styleId="CSNum0EN">
    <w:name w:val="CS_Num_0_EN"/>
    <w:basedOn w:val="CSNum0DE"/>
    <w:qFormat/>
    <w:rsid w:val="00E6798C"/>
  </w:style>
  <w:style w:type="paragraph" w:customStyle="1" w:styleId="CSStyleReference">
    <w:name w:val="CS_StyleReference"/>
    <w:basedOn w:val="Normal"/>
    <w:qFormat/>
    <w:rsid w:val="00E6798C"/>
    <w:pPr>
      <w:spacing w:after="240"/>
    </w:pPr>
    <w:rPr>
      <w:b/>
      <w:sz w:val="18"/>
    </w:rPr>
  </w:style>
  <w:style w:type="paragraph" w:customStyle="1" w:styleId="CSBody6pt">
    <w:name w:val="CS_Body_6pt"/>
    <w:basedOn w:val="Normal"/>
    <w:qFormat/>
    <w:rsid w:val="0054750F"/>
    <w:pPr>
      <w:spacing w:after="240"/>
      <w:ind w:right="170"/>
    </w:pPr>
    <w:rPr>
      <w:sz w:val="12"/>
    </w:rPr>
  </w:style>
  <w:style w:type="paragraph" w:customStyle="1" w:styleId="CSBody7pt">
    <w:name w:val="CS_Body_7pt"/>
    <w:basedOn w:val="Normal"/>
    <w:qFormat/>
    <w:rsid w:val="0054750F"/>
    <w:pPr>
      <w:spacing w:after="240"/>
      <w:ind w:right="170"/>
    </w:pPr>
    <w:rPr>
      <w:sz w:val="14"/>
    </w:rPr>
  </w:style>
  <w:style w:type="paragraph" w:customStyle="1" w:styleId="CSBody8pt">
    <w:name w:val="CS_Body_8pt"/>
    <w:basedOn w:val="Normal"/>
    <w:qFormat/>
    <w:rsid w:val="0054750F"/>
    <w:pPr>
      <w:spacing w:after="240"/>
      <w:ind w:right="170"/>
    </w:pPr>
    <w:rPr>
      <w:sz w:val="16"/>
    </w:rPr>
  </w:style>
  <w:style w:type="paragraph" w:customStyle="1" w:styleId="CSManToC0">
    <w:name w:val="CS_ManToC_0"/>
    <w:basedOn w:val="Normal"/>
    <w:qFormat/>
    <w:rsid w:val="0054750F"/>
    <w:pPr>
      <w:tabs>
        <w:tab w:val="left" w:leader="dot" w:pos="5954"/>
      </w:tabs>
      <w:spacing w:after="240"/>
      <w:ind w:right="170"/>
    </w:pPr>
    <w:rPr>
      <w:sz w:val="18"/>
    </w:rPr>
  </w:style>
  <w:style w:type="paragraph" w:customStyle="1" w:styleId="CSManToC0fett">
    <w:name w:val="CS_ManToC_0_fett"/>
    <w:basedOn w:val="Normal"/>
    <w:qFormat/>
    <w:rsid w:val="0054750F"/>
    <w:pPr>
      <w:tabs>
        <w:tab w:val="left" w:leader="dot" w:pos="5954"/>
      </w:tabs>
      <w:spacing w:after="240"/>
      <w:ind w:left="567" w:right="170" w:hanging="567"/>
    </w:pPr>
    <w:rPr>
      <w:sz w:val="18"/>
    </w:rPr>
  </w:style>
  <w:style w:type="paragraph" w:customStyle="1" w:styleId="CSManToC1">
    <w:name w:val="CS_Man_ToC_1"/>
    <w:basedOn w:val="Normal"/>
    <w:qFormat/>
    <w:rsid w:val="0054750F"/>
    <w:pPr>
      <w:tabs>
        <w:tab w:val="left" w:leader="dot" w:pos="5954"/>
      </w:tabs>
      <w:spacing w:after="240"/>
      <w:ind w:left="567" w:right="170"/>
    </w:pPr>
    <w:rPr>
      <w:sz w:val="18"/>
    </w:rPr>
  </w:style>
  <w:style w:type="paragraph" w:customStyle="1" w:styleId="CSHeadinge">
    <w:name w:val="CS_Heading_e"/>
    <w:basedOn w:val="CSHeading1DE"/>
    <w:qFormat/>
    <w:rsid w:val="00082E1F"/>
    <w:rPr>
      <w:caps w:val="0"/>
    </w:rPr>
  </w:style>
  <w:style w:type="paragraph" w:customStyle="1" w:styleId="CSNuma8ptEN">
    <w:name w:val="CS_Num_(a)_8pt_EN"/>
    <w:basedOn w:val="Normal"/>
    <w:qFormat/>
    <w:rsid w:val="00082E1F"/>
    <w:pPr>
      <w:numPr>
        <w:ilvl w:val="1"/>
        <w:numId w:val="16"/>
      </w:numPr>
      <w:spacing w:after="240"/>
      <w:ind w:right="170"/>
    </w:pPr>
    <w:rPr>
      <w:sz w:val="16"/>
    </w:rPr>
  </w:style>
  <w:style w:type="paragraph" w:customStyle="1" w:styleId="CSNuma8ptDE">
    <w:name w:val="CS_Num_(a)_8pt_DE"/>
    <w:basedOn w:val="Normal"/>
    <w:qFormat/>
    <w:rsid w:val="00082E1F"/>
    <w:pPr>
      <w:numPr>
        <w:numId w:val="16"/>
      </w:numPr>
      <w:spacing w:after="240"/>
      <w:ind w:right="170"/>
    </w:pPr>
    <w:rPr>
      <w:sz w:val="16"/>
    </w:rPr>
  </w:style>
  <w:style w:type="paragraph" w:customStyle="1" w:styleId="CSBody0centre">
    <w:name w:val="CS_Body_0_centre"/>
    <w:basedOn w:val="CSBody0"/>
    <w:qFormat/>
    <w:rsid w:val="00157A38"/>
    <w:pPr>
      <w:jc w:val="center"/>
    </w:pPr>
    <w:rPr>
      <w:rFonts w:eastAsia="MS Mincho"/>
      <w:bCs/>
      <w:i/>
      <w:iCs/>
      <w:szCs w:val="18"/>
      <w:lang w:eastAsia="de-CH"/>
    </w:rPr>
  </w:style>
  <w:style w:type="paragraph" w:customStyle="1" w:styleId="CSBody0boldcentre">
    <w:name w:val="CS_Body_0_bold_centre"/>
    <w:basedOn w:val="CSBody0centre"/>
    <w:qFormat/>
    <w:rsid w:val="00E60ECB"/>
    <w:rPr>
      <w:b/>
      <w:i w:val="0"/>
    </w:rPr>
  </w:style>
  <w:style w:type="paragraph" w:customStyle="1" w:styleId="CSbody0bolditalic">
    <w:name w:val="CS_body_0_bold_italic"/>
    <w:basedOn w:val="CSbody0bold"/>
    <w:next w:val="CSBody0"/>
    <w:qFormat/>
    <w:rsid w:val="00157A38"/>
    <w:rPr>
      <w:i/>
    </w:rPr>
  </w:style>
  <w:style w:type="paragraph" w:customStyle="1" w:styleId="CSbody0bolditaliccentre">
    <w:name w:val="CS_body_0_bold_italic_centre"/>
    <w:basedOn w:val="CSbody0bolditalic"/>
    <w:qFormat/>
    <w:rsid w:val="00157A38"/>
    <w:pPr>
      <w:jc w:val="center"/>
    </w:pPr>
  </w:style>
  <w:style w:type="paragraph" w:customStyle="1" w:styleId="CSbody0centreitalicunderline">
    <w:name w:val="CS_body_0_centre_italic_underline"/>
    <w:basedOn w:val="CSBody0centre"/>
    <w:qFormat/>
    <w:rsid w:val="00157A38"/>
    <w:rPr>
      <w:u w:val="single"/>
    </w:rPr>
  </w:style>
  <w:style w:type="paragraph" w:customStyle="1" w:styleId="CSBody0italic">
    <w:name w:val="CS_Body_0_italic"/>
    <w:basedOn w:val="CSBody0"/>
    <w:qFormat/>
    <w:rsid w:val="00157A38"/>
    <w:rPr>
      <w:rFonts w:eastAsia="MS Mincho"/>
      <w:bCs/>
      <w:i/>
      <w:szCs w:val="18"/>
      <w:lang w:eastAsia="de-CH"/>
    </w:rPr>
  </w:style>
  <w:style w:type="paragraph" w:customStyle="1" w:styleId="CSBodyboldcentre">
    <w:name w:val="CS_Body_bold_centre"/>
    <w:basedOn w:val="CSBody0"/>
    <w:next w:val="CSBody0"/>
    <w:qFormat/>
    <w:rsid w:val="00157A38"/>
    <w:pPr>
      <w:jc w:val="center"/>
    </w:pPr>
    <w:rPr>
      <w:rFonts w:eastAsia="MS Mincho"/>
      <w:b/>
      <w:bCs/>
      <w:szCs w:val="18"/>
      <w:lang w:eastAsia="de-CH"/>
    </w:rPr>
  </w:style>
  <w:style w:type="paragraph" w:customStyle="1" w:styleId="CSbodybolditaliccentre">
    <w:name w:val="CS_body_bold_italic_centre"/>
    <w:basedOn w:val="CSbody0bolditalic"/>
    <w:next w:val="CSBody0"/>
    <w:qFormat/>
    <w:rsid w:val="00157A38"/>
    <w:pPr>
      <w:jc w:val="center"/>
    </w:pPr>
  </w:style>
  <w:style w:type="paragraph" w:customStyle="1" w:styleId="CSBodycentre">
    <w:name w:val="CS_Body_centre"/>
    <w:basedOn w:val="CSBody0"/>
    <w:next w:val="CSBody0"/>
    <w:qFormat/>
    <w:rsid w:val="00157A38"/>
    <w:pPr>
      <w:jc w:val="center"/>
    </w:pPr>
    <w:rPr>
      <w:rFonts w:eastAsia="MS Mincho"/>
      <w:bCs/>
      <w:iCs/>
      <w:szCs w:val="18"/>
      <w:lang w:eastAsia="de-CH"/>
    </w:rPr>
  </w:style>
  <w:style w:type="paragraph" w:customStyle="1" w:styleId="CSbodycentreitalicunderline">
    <w:name w:val="CS_body_centre_italic_underline"/>
    <w:basedOn w:val="CSBodycentre"/>
    <w:next w:val="CSBody0"/>
    <w:qFormat/>
    <w:rsid w:val="00157A38"/>
    <w:rPr>
      <w:i/>
      <w:u w:val="single"/>
    </w:rPr>
  </w:style>
  <w:style w:type="paragraph" w:customStyle="1" w:styleId="CSBody6pt0">
    <w:name w:val="CS_Body_6.pt"/>
    <w:basedOn w:val="Normal"/>
    <w:qFormat/>
    <w:rsid w:val="007E09F8"/>
    <w:pPr>
      <w:spacing w:after="240"/>
      <w:ind w:right="173"/>
    </w:pPr>
    <w:rPr>
      <w:rFonts w:eastAsia="Times New Roman"/>
      <w:sz w:val="13"/>
      <w:szCs w:val="16"/>
    </w:rPr>
  </w:style>
  <w:style w:type="paragraph" w:customStyle="1" w:styleId="csbody00">
    <w:name w:val="cs_ body_0"/>
    <w:basedOn w:val="Normal"/>
    <w:qFormat/>
    <w:rsid w:val="00646683"/>
    <w:pPr>
      <w:tabs>
        <w:tab w:val="right" w:pos="9000"/>
      </w:tabs>
      <w:suppressAutoHyphens/>
      <w:spacing w:after="240"/>
      <w:ind w:right="170"/>
    </w:pPr>
    <w:rPr>
      <w:sz w:val="18"/>
      <w:szCs w:val="18"/>
    </w:rPr>
  </w:style>
  <w:style w:type="paragraph" w:customStyle="1" w:styleId="CCBody63ENbold">
    <w:name w:val="CC_Body_63_EN_bold"/>
    <w:basedOn w:val="CSBody63EN"/>
    <w:qFormat/>
    <w:rsid w:val="003F6A07"/>
    <w:rPr>
      <w:b/>
    </w:rPr>
  </w:style>
  <w:style w:type="paragraph" w:customStyle="1" w:styleId="CSBody63DEbold">
    <w:name w:val="CS_Body_63_DE_bold"/>
    <w:basedOn w:val="CSBody63DE"/>
    <w:qFormat/>
    <w:rsid w:val="003F6A07"/>
    <w:rPr>
      <w:b/>
    </w:rPr>
  </w:style>
  <w:style w:type="paragraph" w:customStyle="1" w:styleId="CSBody63ENbold">
    <w:name w:val="CS_Body_63_EN_bold"/>
    <w:basedOn w:val="CSBody63EN"/>
    <w:qFormat/>
    <w:rsid w:val="00FE6ED3"/>
    <w:rPr>
      <w:b/>
    </w:rPr>
  </w:style>
  <w:style w:type="paragraph" w:customStyle="1" w:styleId="CSBody6ptbold">
    <w:name w:val="CS_Body_6.pt_bold"/>
    <w:basedOn w:val="CSBody6pt0"/>
    <w:qFormat/>
    <w:rsid w:val="004B2658"/>
    <w:rPr>
      <w:b/>
      <w:lang w:val="de-DE"/>
    </w:rPr>
  </w:style>
  <w:style w:type="paragraph" w:customStyle="1" w:styleId="CSBody10ptbold">
    <w:name w:val="CS_Body_10pt_bold"/>
    <w:basedOn w:val="CSBody10pt"/>
    <w:qFormat/>
    <w:rsid w:val="00D67AF6"/>
    <w:rPr>
      <w:b/>
    </w:rPr>
  </w:style>
  <w:style w:type="paragraph" w:customStyle="1" w:styleId="CSBody8ptbold">
    <w:name w:val="CS_Body_8pt_bold"/>
    <w:basedOn w:val="CSBody8pt"/>
    <w:qFormat/>
    <w:rsid w:val="00BB559C"/>
    <w:rPr>
      <w:b/>
    </w:rPr>
  </w:style>
  <w:style w:type="paragraph" w:customStyle="1" w:styleId="CSBody8ptbolditalics">
    <w:name w:val="CS_Body_8pt_bold_italics"/>
    <w:basedOn w:val="CSBody8pt"/>
    <w:qFormat/>
    <w:rsid w:val="00BB559C"/>
    <w:rPr>
      <w:b/>
      <w:i/>
    </w:rPr>
  </w:style>
  <w:style w:type="paragraph" w:customStyle="1" w:styleId="CSManNum8pt">
    <w:name w:val="CS_ManNum_8pt"/>
    <w:basedOn w:val="CSManNum9pt"/>
    <w:qFormat/>
    <w:rsid w:val="00C006A0"/>
    <w:pPr>
      <w:ind w:right="170"/>
    </w:pPr>
    <w:rPr>
      <w:sz w:val="16"/>
    </w:rPr>
  </w:style>
  <w:style w:type="character" w:styleId="PlaceholderText">
    <w:name w:val="Placeholder Text"/>
    <w:basedOn w:val="DefaultParagraphFont"/>
    <w:uiPriority w:val="99"/>
    <w:semiHidden/>
    <w:rsid w:val="00070E13"/>
    <w:rPr>
      <w:color w:val="808080"/>
    </w:rPr>
  </w:style>
  <w:style w:type="character" w:customStyle="1" w:styleId="CSTextZchn">
    <w:name w:val="CS: Text Zchn"/>
    <w:basedOn w:val="DefaultParagraphFont"/>
    <w:link w:val="CSText0"/>
    <w:uiPriority w:val="99"/>
    <w:locked/>
    <w:rsid w:val="00554374"/>
    <w:rPr>
      <w:rFonts w:ascii="Credit Suisse Type Light" w:hAnsi="Credit Suisse Type Light" w:cs="Times New Roman"/>
      <w:sz w:val="17"/>
    </w:rPr>
  </w:style>
  <w:style w:type="paragraph" w:styleId="BalloonText">
    <w:name w:val="Balloon Text"/>
    <w:basedOn w:val="Normal"/>
    <w:link w:val="BalloonTextChar"/>
    <w:uiPriority w:val="99"/>
    <w:semiHidden/>
    <w:unhideWhenUsed/>
    <w:rsid w:val="00132D4B"/>
    <w:rPr>
      <w:rFonts w:ascii="Tahoma" w:hAnsi="Tahoma" w:cs="Tahoma"/>
      <w:sz w:val="16"/>
      <w:szCs w:val="16"/>
    </w:rPr>
  </w:style>
  <w:style w:type="character" w:customStyle="1" w:styleId="BalloonTextChar">
    <w:name w:val="Balloon Text Char"/>
    <w:basedOn w:val="DefaultParagraphFont"/>
    <w:link w:val="BalloonText"/>
    <w:uiPriority w:val="99"/>
    <w:semiHidden/>
    <w:rsid w:val="00132D4B"/>
    <w:rPr>
      <w:rFonts w:ascii="Tahoma" w:hAnsi="Tahoma" w:cs="Tahoma"/>
      <w:sz w:val="16"/>
      <w:szCs w:val="16"/>
    </w:rPr>
  </w:style>
  <w:style w:type="paragraph" w:customStyle="1" w:styleId="CSTermsIndexDE">
    <w:name w:val="CS_Terms_Index_DE"/>
    <w:basedOn w:val="Normal"/>
    <w:next w:val="Normal"/>
    <w:qFormat/>
    <w:rsid w:val="006A33FB"/>
    <w:pPr>
      <w:spacing w:after="240"/>
      <w:ind w:right="170"/>
      <w:jc w:val="left"/>
    </w:pPr>
    <w:rPr>
      <w:rFonts w:eastAsia="MS Mincho"/>
      <w:sz w:val="16"/>
      <w:szCs w:val="16"/>
      <w:lang w:val="de-DE" w:eastAsia="de-CH"/>
    </w:rPr>
  </w:style>
  <w:style w:type="paragraph" w:styleId="Index1">
    <w:name w:val="index 1"/>
    <w:basedOn w:val="Normal"/>
    <w:next w:val="Normal"/>
    <w:autoRedefine/>
    <w:uiPriority w:val="99"/>
    <w:unhideWhenUsed/>
    <w:rsid w:val="00034BBD"/>
    <w:pPr>
      <w:tabs>
        <w:tab w:val="right" w:leader="dot" w:pos="4253"/>
        <w:tab w:val="right" w:leader="dot" w:pos="4678"/>
        <w:tab w:val="right" w:leader="dot" w:pos="9629"/>
      </w:tabs>
      <w:ind w:left="221" w:right="482" w:hanging="221"/>
    </w:pPr>
  </w:style>
  <w:style w:type="character" w:styleId="Hyperlink">
    <w:name w:val="Hyperlink"/>
    <w:basedOn w:val="DefaultParagraphFont"/>
    <w:unhideWhenUsed/>
    <w:rsid w:val="003A08C5"/>
    <w:rPr>
      <w:color w:val="0000FF" w:themeColor="hyperlink"/>
      <w:u w:val="single"/>
    </w:rPr>
  </w:style>
  <w:style w:type="paragraph" w:customStyle="1" w:styleId="csbody0bold0">
    <w:name w:val="cs_ body_0_bold"/>
    <w:basedOn w:val="Normal"/>
    <w:qFormat/>
    <w:rsid w:val="001527CB"/>
    <w:pPr>
      <w:tabs>
        <w:tab w:val="left" w:pos="612"/>
        <w:tab w:val="right" w:pos="1692"/>
        <w:tab w:val="right" w:pos="9000"/>
      </w:tabs>
      <w:spacing w:after="240"/>
      <w:ind w:right="170"/>
    </w:pPr>
    <w:rPr>
      <w:b/>
      <w:sz w:val="18"/>
      <w:szCs w:val="18"/>
    </w:rPr>
  </w:style>
  <w:style w:type="paragraph" w:customStyle="1" w:styleId="CSHeading1DE0">
    <w:name w:val="CS_Heading_1_DE"/>
    <w:basedOn w:val="CSBody0"/>
    <w:next w:val="CSBody0"/>
    <w:qFormat/>
    <w:rsid w:val="00815842"/>
    <w:pPr>
      <w:keepNext/>
      <w:numPr>
        <w:numId w:val="19"/>
      </w:numPr>
      <w:suppressAutoHyphens/>
      <w:jc w:val="left"/>
      <w:outlineLvl w:val="0"/>
    </w:pPr>
    <w:rPr>
      <w:rFonts w:eastAsia="MS Mincho"/>
      <w:b/>
      <w:bCs/>
      <w:caps/>
      <w:sz w:val="24"/>
      <w:szCs w:val="18"/>
      <w:lang w:eastAsia="de-CH"/>
    </w:rPr>
  </w:style>
  <w:style w:type="paragraph" w:customStyle="1" w:styleId="CSHeading1EN0">
    <w:name w:val="CS_Heading_1_EN"/>
    <w:basedOn w:val="Normal"/>
    <w:next w:val="CSBody0"/>
    <w:qFormat/>
    <w:rsid w:val="00815842"/>
    <w:pPr>
      <w:keepNext/>
      <w:numPr>
        <w:numId w:val="20"/>
      </w:numPr>
      <w:suppressAutoHyphens/>
      <w:spacing w:after="240"/>
      <w:jc w:val="left"/>
      <w:outlineLvl w:val="0"/>
    </w:pPr>
    <w:rPr>
      <w:rFonts w:eastAsia="Times New Roman"/>
      <w:b/>
      <w:caps/>
      <w:sz w:val="24"/>
      <w:szCs w:val="24"/>
    </w:rPr>
  </w:style>
  <w:style w:type="paragraph" w:customStyle="1" w:styleId="CSHeading2DE0">
    <w:name w:val="CS_Heading_2_DE"/>
    <w:basedOn w:val="CSBody0"/>
    <w:next w:val="CSBody0"/>
    <w:qFormat/>
    <w:rsid w:val="00815842"/>
    <w:pPr>
      <w:keepNext/>
      <w:numPr>
        <w:ilvl w:val="1"/>
        <w:numId w:val="19"/>
      </w:numPr>
      <w:jc w:val="left"/>
    </w:pPr>
    <w:rPr>
      <w:rFonts w:eastAsia="MS Mincho"/>
      <w:b/>
      <w:bCs/>
      <w:sz w:val="22"/>
      <w:szCs w:val="18"/>
      <w:lang w:eastAsia="de-CH"/>
    </w:rPr>
  </w:style>
  <w:style w:type="paragraph" w:customStyle="1" w:styleId="CSHeading2EN0">
    <w:name w:val="CS_Heading_2_EN"/>
    <w:basedOn w:val="Normal"/>
    <w:qFormat/>
    <w:rsid w:val="00815842"/>
    <w:pPr>
      <w:keepNext/>
      <w:numPr>
        <w:ilvl w:val="1"/>
        <w:numId w:val="20"/>
      </w:numPr>
      <w:suppressAutoHyphens/>
      <w:spacing w:after="240"/>
      <w:jc w:val="left"/>
    </w:pPr>
    <w:rPr>
      <w:rFonts w:eastAsia="Times New Roman"/>
      <w:b/>
    </w:rPr>
  </w:style>
  <w:style w:type="paragraph" w:customStyle="1" w:styleId="CSHeading3DE0">
    <w:name w:val="CS_Heading_3_DE"/>
    <w:basedOn w:val="Normal"/>
    <w:next w:val="CSBody0"/>
    <w:qFormat/>
    <w:rsid w:val="00815842"/>
    <w:pPr>
      <w:keepNext/>
      <w:numPr>
        <w:ilvl w:val="2"/>
        <w:numId w:val="19"/>
      </w:numPr>
      <w:spacing w:after="240"/>
      <w:ind w:left="357" w:right="170" w:hanging="357"/>
      <w:jc w:val="left"/>
    </w:pPr>
    <w:rPr>
      <w:rFonts w:eastAsia="Times New Roman"/>
      <w:b/>
    </w:rPr>
  </w:style>
  <w:style w:type="paragraph" w:customStyle="1" w:styleId="CSHeading3EN0">
    <w:name w:val="CS_Heading_3_EN"/>
    <w:basedOn w:val="CSHeading2EN0"/>
    <w:next w:val="CSBody0"/>
    <w:qFormat/>
    <w:rsid w:val="00815842"/>
    <w:pPr>
      <w:numPr>
        <w:ilvl w:val="2"/>
      </w:numPr>
      <w:ind w:left="357" w:right="170" w:hanging="357"/>
    </w:pPr>
  </w:style>
  <w:style w:type="paragraph" w:customStyle="1" w:styleId="CSBody63">
    <w:name w:val="CS_Body_63"/>
    <w:basedOn w:val="CSBody0"/>
    <w:qFormat/>
    <w:rsid w:val="00815842"/>
    <w:pPr>
      <w:ind w:left="357"/>
    </w:pPr>
    <w:rPr>
      <w:rFonts w:eastAsia="MS Mincho"/>
      <w:bCs/>
      <w:szCs w:val="18"/>
      <w:lang w:eastAsia="de-CH"/>
    </w:rPr>
  </w:style>
  <w:style w:type="paragraph" w:customStyle="1" w:styleId="CSNumA1EN0">
    <w:name w:val="CS_Num_A.1_EN"/>
    <w:basedOn w:val="CSNumAEN"/>
    <w:qFormat/>
    <w:rsid w:val="00815842"/>
    <w:pPr>
      <w:numPr>
        <w:ilvl w:val="0"/>
        <w:numId w:val="0"/>
      </w:numPr>
      <w:ind w:left="1440" w:right="0" w:hanging="1440"/>
    </w:pPr>
    <w:rPr>
      <w:lang w:val="de-DE"/>
    </w:rPr>
  </w:style>
  <w:style w:type="paragraph" w:customStyle="1" w:styleId="CSBodyBold0">
    <w:name w:val="CS_BodyBold_0"/>
    <w:basedOn w:val="CSBody0"/>
    <w:qFormat/>
    <w:rsid w:val="004C1EBA"/>
    <w:pPr>
      <w:suppressAutoHyphens/>
    </w:pPr>
    <w:rPr>
      <w:rFonts w:eastAsia="MS Mincho"/>
      <w:b/>
      <w:bCs/>
      <w:szCs w:val="18"/>
      <w:lang w:eastAsia="de-CH"/>
    </w:rPr>
  </w:style>
  <w:style w:type="paragraph" w:customStyle="1" w:styleId="CSManNum9pt0">
    <w:name w:val="CS_ManNum 9pt"/>
    <w:basedOn w:val="Normal"/>
    <w:qFormat/>
    <w:rsid w:val="003D2192"/>
    <w:pPr>
      <w:tabs>
        <w:tab w:val="left" w:pos="357"/>
      </w:tabs>
      <w:spacing w:after="240"/>
      <w:ind w:left="357" w:right="170" w:hanging="357"/>
    </w:pPr>
    <w:rPr>
      <w:sz w:val="16"/>
      <w:lang w:val="de-DE"/>
    </w:rPr>
  </w:style>
  <w:style w:type="paragraph" w:customStyle="1" w:styleId="CSBody63bold">
    <w:name w:val="CS_Body_63_bold"/>
    <w:basedOn w:val="Normal"/>
    <w:qFormat/>
    <w:rsid w:val="008757CF"/>
    <w:pPr>
      <w:suppressAutoHyphens/>
      <w:spacing w:after="240"/>
      <w:ind w:left="357" w:right="170"/>
    </w:pPr>
    <w:rPr>
      <w:rFonts w:eastAsia="MS Mincho"/>
      <w:b/>
      <w:bCs/>
      <w:sz w:val="18"/>
      <w:szCs w:val="18"/>
      <w:lang w:val="nl-NL"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footer" Target="footer4.xml" /><Relationship Id="rId17" Type="http://schemas.openxmlformats.org/officeDocument/2006/relationships/header" Target="header5.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settings" Target="settings.xml" /><Relationship Id="rId20" Type="http://schemas.openxmlformats.org/officeDocument/2006/relationships/footer" Target="footer6.xml" /><Relationship Id="rId21" Type="http://schemas.openxmlformats.org/officeDocument/2006/relationships/header" Target="header7.xml" /><Relationship Id="rId22" Type="http://schemas.openxmlformats.org/officeDocument/2006/relationships/footer" Target="footer7.xml" /><Relationship Id="rId23" Type="http://schemas.openxmlformats.org/officeDocument/2006/relationships/header" Target="header8.xml" /><Relationship Id="rId24" Type="http://schemas.openxmlformats.org/officeDocument/2006/relationships/footer" Target="footer8.xml" /><Relationship Id="rId25" Type="http://schemas.openxmlformats.org/officeDocument/2006/relationships/header" Target="header9.xml" /><Relationship Id="rId26" Type="http://schemas.openxmlformats.org/officeDocument/2006/relationships/footer" Target="footer9.xml" /><Relationship Id="rId27" Type="http://schemas.openxmlformats.org/officeDocument/2006/relationships/header" Target="header10.xml" /><Relationship Id="rId28" Type="http://schemas.openxmlformats.org/officeDocument/2006/relationships/footer" Target="footer10.xml" /><Relationship Id="rId29" Type="http://schemas.openxmlformats.org/officeDocument/2006/relationships/header" Target="header11.xml" /><Relationship Id="rId3" Type="http://schemas.openxmlformats.org/officeDocument/2006/relationships/webSettings" Target="webSettings.xml" /><Relationship Id="rId30" Type="http://schemas.openxmlformats.org/officeDocument/2006/relationships/footer" Target="footer11.xml" /><Relationship Id="rId31" Type="http://schemas.openxmlformats.org/officeDocument/2006/relationships/header" Target="header12.xml" /><Relationship Id="rId32" Type="http://schemas.openxmlformats.org/officeDocument/2006/relationships/footer" Target="footer12.xml" /><Relationship Id="rId33" Type="http://schemas.openxmlformats.org/officeDocument/2006/relationships/header" Target="header13.xml" /><Relationship Id="rId34" Type="http://schemas.openxmlformats.org/officeDocument/2006/relationships/footer" Target="footer13.xml" /><Relationship Id="rId35" Type="http://schemas.openxmlformats.org/officeDocument/2006/relationships/header" Target="header14.xml" /><Relationship Id="rId36" Type="http://schemas.openxmlformats.org/officeDocument/2006/relationships/footer" Target="footer14.xml" /><Relationship Id="rId37" Type="http://schemas.openxmlformats.org/officeDocument/2006/relationships/header" Target="header15.xml" /><Relationship Id="rId38" Type="http://schemas.openxmlformats.org/officeDocument/2006/relationships/footer" Target="footer15.xml" /><Relationship Id="rId39" Type="http://schemas.openxmlformats.org/officeDocument/2006/relationships/header" Target="header16.xml" /><Relationship Id="rId4" Type="http://schemas.openxmlformats.org/officeDocument/2006/relationships/fontTable" Target="fontTable.xml" /><Relationship Id="rId40" Type="http://schemas.openxmlformats.org/officeDocument/2006/relationships/footer" Target="footer16.xml" /><Relationship Id="rId41" Type="http://schemas.openxmlformats.org/officeDocument/2006/relationships/header" Target="header17.xml" /><Relationship Id="rId42" Type="http://schemas.openxmlformats.org/officeDocument/2006/relationships/footer" Target="footer17.xml" /><Relationship Id="rId43" Type="http://schemas.openxmlformats.org/officeDocument/2006/relationships/header" Target="header18.xml" /><Relationship Id="rId44" Type="http://schemas.openxmlformats.org/officeDocument/2006/relationships/footer" Target="footer18.xml" /><Relationship Id="rId45" Type="http://schemas.openxmlformats.org/officeDocument/2006/relationships/header" Target="header19.xml" /><Relationship Id="rId46" Type="http://schemas.openxmlformats.org/officeDocument/2006/relationships/footer" Target="footer19.xml" /><Relationship Id="rId47" Type="http://schemas.openxmlformats.org/officeDocument/2006/relationships/header" Target="header20.xml" /><Relationship Id="rId48" Type="http://schemas.openxmlformats.org/officeDocument/2006/relationships/footer" Target="footer20.xml" /><Relationship Id="rId49" Type="http://schemas.openxmlformats.org/officeDocument/2006/relationships/header" Target="header21.xml" /><Relationship Id="rId5" Type="http://schemas.openxmlformats.org/officeDocument/2006/relationships/customXml" Target="../customXml/item1.xml" /><Relationship Id="rId50" Type="http://schemas.openxmlformats.org/officeDocument/2006/relationships/footer" Target="footer21.xml" /><Relationship Id="rId51" Type="http://schemas.openxmlformats.org/officeDocument/2006/relationships/header" Target="header22.xml" /><Relationship Id="rId52" Type="http://schemas.openxmlformats.org/officeDocument/2006/relationships/footer" Target="footer22.xml" /><Relationship Id="rId53" Type="http://schemas.openxmlformats.org/officeDocument/2006/relationships/header" Target="header23.xml" /><Relationship Id="rId54" Type="http://schemas.openxmlformats.org/officeDocument/2006/relationships/footer" Target="footer23.xml" /><Relationship Id="rId55" Type="http://schemas.openxmlformats.org/officeDocument/2006/relationships/header" Target="header24.xml" /><Relationship Id="rId56" Type="http://schemas.openxmlformats.org/officeDocument/2006/relationships/header" Target="header25.xml" /><Relationship Id="rId57" Type="http://schemas.openxmlformats.org/officeDocument/2006/relationships/footer" Target="footer24.xml" /><Relationship Id="rId58" Type="http://schemas.openxmlformats.org/officeDocument/2006/relationships/footer" Target="footer25.xml" /><Relationship Id="rId59" Type="http://schemas.openxmlformats.org/officeDocument/2006/relationships/header" Target="header26.xml" /><Relationship Id="rId6" Type="http://schemas.openxmlformats.org/officeDocument/2006/relationships/customXml" Target="../customXml/item2.xml" /><Relationship Id="rId60" Type="http://schemas.openxmlformats.org/officeDocument/2006/relationships/footer" Target="footer26.xml" /><Relationship Id="rId61" Type="http://schemas.openxmlformats.org/officeDocument/2006/relationships/header" Target="header27.xml" /><Relationship Id="rId62" Type="http://schemas.openxmlformats.org/officeDocument/2006/relationships/footer" Target="footer27.xml" /><Relationship Id="rId63" Type="http://schemas.openxmlformats.org/officeDocument/2006/relationships/header" Target="header28.xml" /><Relationship Id="rId64" Type="http://schemas.openxmlformats.org/officeDocument/2006/relationships/footer" Target="footer28.xml" /><Relationship Id="rId65" Type="http://schemas.openxmlformats.org/officeDocument/2006/relationships/header" Target="header29.xml" /><Relationship Id="rId66" Type="http://schemas.openxmlformats.org/officeDocument/2006/relationships/footer" Target="footer29.xml" /><Relationship Id="rId67" Type="http://schemas.openxmlformats.org/officeDocument/2006/relationships/header" Target="header30.xml" /><Relationship Id="rId68" Type="http://schemas.openxmlformats.org/officeDocument/2006/relationships/footer" Target="footer30.xml" /><Relationship Id="rId69" Type="http://schemas.openxmlformats.org/officeDocument/2006/relationships/header" Target="header31.xml" /><Relationship Id="rId7" Type="http://schemas.openxmlformats.org/officeDocument/2006/relationships/customXml" Target="../customXml/item3.xml" /><Relationship Id="rId70" Type="http://schemas.openxmlformats.org/officeDocument/2006/relationships/footer" Target="footer31.xml" /><Relationship Id="rId71" Type="http://schemas.openxmlformats.org/officeDocument/2006/relationships/header" Target="header32.xml" /><Relationship Id="rId72" Type="http://schemas.openxmlformats.org/officeDocument/2006/relationships/footer" Target="footer32.xml" /><Relationship Id="rId73" Type="http://schemas.openxmlformats.org/officeDocument/2006/relationships/header" Target="header33.xml" /><Relationship Id="rId74" Type="http://schemas.openxmlformats.org/officeDocument/2006/relationships/footer" Target="footer33.xml" /><Relationship Id="rId75" Type="http://schemas.openxmlformats.org/officeDocument/2006/relationships/header" Target="header34.xml" /><Relationship Id="rId76" Type="http://schemas.openxmlformats.org/officeDocument/2006/relationships/footer" Target="footer34.xml" /><Relationship Id="rId77" Type="http://schemas.openxmlformats.org/officeDocument/2006/relationships/theme" Target="theme/theme1.xml" /><Relationship Id="rId78" Type="http://schemas.openxmlformats.org/officeDocument/2006/relationships/numbering" Target="numbering.xml" /><Relationship Id="rId79" Type="http://schemas.openxmlformats.org/officeDocument/2006/relationships/styles" Target="styles.xml" /><Relationship Id="rId8" Type="http://schemas.openxmlformats.org/officeDocument/2006/relationships/image" Target="media/image1.jpeg" /><Relationship Id="rId9" Type="http://schemas.openxmlformats.org/officeDocument/2006/relationships/header" Target="header1.xml" /></Relationships>
</file>

<file path=word/_rels/settings.xml.rels>&#65279;<?xml version="1.0" encoding="utf-8" standalone="yes"?><Relationships xmlns="http://schemas.openxmlformats.org/package/2006/relationships"><Relationship Id="rId1" Type="http://schemas.openxmlformats.org/officeDocument/2006/relationships/attachedTemplate" Target="file:///C:\Program%20Files%20(x86)\AllenOvery\OSAX\Published\2015-12-10T12-25-00\Templates\ICMSpecial.Dotm"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p:properties xmlns:p="http://schemas.microsoft.com/office/2006/metadata/properties" xmlns:xsi="http://www.w3.org/2001/XMLSchema-instance" xmlns:pc="http://schemas.microsoft.com/office/infopath/2007/PartnerControls">
  <documentManagement>
    <DocumentType xmlns="http://schemas.microsoft.com/sharepoint/v3">
      <Value>11</Value>
    </DocumentType>
    <IsArchived xmlns="http://schemas.microsoft.com/sharepoint/v3">No</IsArchived>
    <TemplateCRR xmlns="http://schemas.microsoft.com/sharepoint/v3">RI0</TemplateCRR>
    <MarkAsDeleted xmlns="http://schemas.microsoft.com/sharepoint/v3">No</MarkAsDeleted>
    <IsCheckedOut xmlns="http://schemas.microsoft.com/sharepoint/v3">No</IsCheckedOut>
    <IsDeleted xmlns="http://schemas.microsoft.com/sharepoint/v3">No</IsDeleted>
  </documentManagement>
</p:properties>
</file>

<file path=customXml/item2.xml><?xml version="1.0" encoding="utf-8"?>
<ct:contentTypeSchema xmlns:ct="http://schemas.microsoft.com/office/2006/metadata/contentType" xmlns:ma="http://schemas.microsoft.com/office/2006/metadata/properties/metaAttributes" ct:_="" ma:_="" ma:contentTypeName="Templates" ma:contentTypeID="0x0101008E1931B9D01341BF82A1BE848E2F0648000D63B21F009B944AA79D7724E168C8DD" ma:contentTypeVersion="0" ma:contentTypeDescription="Templates Content Type" ma:contentTypeScope="" ma:versionID="7400c277cfb2517300528c5ec1bee267">
  <xsd:schema xmlns:xsd="http://www.w3.org/2001/XMLSchema" xmlns:xs="http://www.w3.org/2001/XMLSchema" xmlns:p="http://schemas.microsoft.com/office/2006/metadata/properties" xmlns:ns1="http://schemas.microsoft.com/sharepoint/v3" targetNamespace="http://schemas.microsoft.com/office/2006/metadata/properties" ma:root="true" ma:fieldsID="607cc5b32d0b8d32af292e5044698b43" ns1:_="">
    <xsd:import namespace="http://schemas.microsoft.com/sharepoint/v3"/>
    <xsd:element name="properties">
      <xsd:complexType>
        <xsd:sequence>
          <xsd:element name="documentManagement">
            <xsd:complexType>
              <xsd:all>
                <xsd:element ref="ns1:DocumentType" minOccurs="0"/>
                <xsd:element ref="ns1:IsCheckedOut" minOccurs="0"/>
                <xsd:element ref="ns1:MarkAsDeleted" minOccurs="0"/>
                <xsd:element ref="ns1:IsDeleted" minOccurs="0"/>
                <xsd:element ref="ns1:IsArchived" minOccurs="0"/>
                <xsd:element ref="ns1:TemplateCRR"/>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Type" ma:index="1" nillable="true" ma:displayName="Document Type" ma:list="{7E98E9E7-37F8-4377-BF70-18CFCBB466D7}" ma:internalName="DocumentType" ma:showField="Title">
      <xsd:complexType>
        <xsd:complexContent>
          <xsd:extension base="dms:MultiChoiceLookup">
            <xsd:sequence>
              <xsd:element name="Value" type="dms:Lookup" maxOccurs="unbounded" minOccurs="0" nillable="true"/>
            </xsd:sequence>
          </xsd:extension>
        </xsd:complexContent>
      </xsd:complexType>
    </xsd:element>
    <xsd:element name="IsCheckedOut" ma:index="2" nillable="true" ma:displayName="IsCheckedOut" ma:default="No" ma:internalName="IsCheckedOut">
      <xsd:simpleType>
        <xsd:restriction base="dms:Text"/>
      </xsd:simpleType>
    </xsd:element>
    <xsd:element name="MarkAsDeleted" ma:index="3" nillable="true" ma:displayName="Mark as Deleted" ma:default="No" ma:internalName="MarkAsDeleted">
      <xsd:simpleType>
        <xsd:restriction base="dms:Choice">
          <xsd:enumeration value="No"/>
          <xsd:enumeration value="Yes"/>
        </xsd:restriction>
      </xsd:simpleType>
    </xsd:element>
    <xsd:element name="IsDeleted" ma:index="4" nillable="true" ma:displayName="Is Deleted" ma:default="No" ma:internalName="IsDeleted">
      <xsd:simpleType>
        <xsd:restriction base="dms:Text"/>
      </xsd:simpleType>
    </xsd:element>
    <xsd:element name="IsArchived" ma:index="5" nillable="true" ma:displayName="Is Archived" ma:default="No" ma:internalName="IsArchived">
      <xsd:simpleType>
        <xsd:restriction base="dms:Text"/>
      </xsd:simpleType>
    </xsd:element>
    <xsd:element name="TemplateCRR" ma:index="6" ma:displayName="Request ID Reference" ma:internalName="TemplateCRR">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axOccurs="1" ma:index="0" ma:displayName="Template Nam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55CA44-D6F3-44F1-AED1-686C6D5928F7}">
  <ds:schemaRefs>
    <ds:schemaRef ds:uri="http://purl.org/dc/elements/1.1/"/>
    <ds:schemaRef ds:uri="http://purl.org/dc/dcmitype/"/>
    <ds:schemaRef ds:uri="http://schemas.openxmlformats.org/package/2006/metadata/core-properties"/>
    <ds:schemaRef ds:uri="http://www.w3.org/XML/1998/namespace"/>
    <ds:schemaRef ds:uri="http://schemas.microsoft.com/office/infopath/2007/PartnerControls"/>
    <ds:schemaRef ds:uri="http://schemas.microsoft.com/office/2006/documentManagement/types"/>
    <ds:schemaRef ds:uri="http://schemas.microsoft.com/sharepoint/v3"/>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76F2C181-9621-448D-840E-4B8EED8835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7774D4-0BD1-41E8-A0B4-80B4A43E9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ICMSpecial.Dotm</Template>
  <TotalTime>0</TotalTime>
  <Pages>3</Pages>
  <Words>378123</Words>
  <Characters>2155307</Characters>
  <Application>Microsoft Office Word</Application>
  <DocSecurity>0</DocSecurity>
  <Lines>17960</Lines>
  <Paragraphs>5056</Paragraphs>
  <ScaleCrop>false</ScaleCrop>
  <HeadingPairs>
    <vt:vector size="2" baseType="variant">
      <vt:variant>
        <vt:lpstr>Title</vt:lpstr>
      </vt:variant>
      <vt:variant>
        <vt:i4>1</vt:i4>
      </vt:variant>
    </vt:vector>
  </HeadingPairs>
  <TitlesOfParts>
    <vt:vector size="1" baseType="lpstr">
      <vt:lpstr>ICMSpecial</vt:lpstr>
    </vt:vector>
  </TitlesOfParts>
  <Company/>
  <LinksUpToDate>false</LinksUpToDate>
  <CharactersWithSpaces>2528374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2015-12-21T11:31:37Z</dcterms:created>
  <dcterms:modified xsi:type="dcterms:W3CDTF">2015-12-21T11:31:37Z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horDescription">
    <vt:lpwstr>Allen &amp; Overy</vt:lpwstr>
  </property>
  <property fmtid="{D5CDD505-2E9C-101B-9397-08002B2CF9AE}" pid="3" name="AuthorDirectLine">
    <vt:lpwstr/>
  </property>
  <property fmtid="{D5CDD505-2E9C-101B-9397-08002B2CF9AE}" pid="4" name="AuthorEmail">
    <vt:lpwstr/>
  </property>
  <property fmtid="{D5CDD505-2E9C-101B-9397-08002B2CF9AE}" pid="5" name="AuthorInitials">
    <vt:lpwstr/>
  </property>
  <property fmtid="{D5CDD505-2E9C-101B-9397-08002B2CF9AE}" pid="6" name="AuthorJobTitle">
    <vt:lpwstr/>
  </property>
  <property fmtid="{D5CDD505-2E9C-101B-9397-08002B2CF9AE}" pid="7" name="AuthorMobilePhone">
    <vt:lpwstr/>
  </property>
  <property fmtid="{D5CDD505-2E9C-101B-9397-08002B2CF9AE}" pid="8" name="AuthorName">
    <vt:lpwstr>Allen &amp; Overy</vt:lpwstr>
  </property>
  <property fmtid="{D5CDD505-2E9C-101B-9397-08002B2CF9AE}" pid="9" name="AuthorPersonalFax">
    <vt:lpwstr/>
  </property>
  <property fmtid="{D5CDD505-2E9C-101B-9397-08002B2CF9AE}" pid="10" name="Client">
    <vt:lpwstr>0016120</vt:lpwstr>
  </property>
  <property fmtid="{D5CDD505-2E9C-101B-9397-08002B2CF9AE}" pid="11" name="cpClientMatter">
    <vt:lpwstr>0016120-0000388</vt:lpwstr>
  </property>
  <property fmtid="{D5CDD505-2E9C-101B-9397-08002B2CF9AE}" pid="12" name="cpCombinedRef">
    <vt:lpwstr>0016120-0000388 FR:20142834.2</vt:lpwstr>
  </property>
  <property fmtid="{D5CDD505-2E9C-101B-9397-08002B2CF9AE}" pid="13" name="cpDocRef">
    <vt:lpwstr>FR:20142834.2</vt:lpwstr>
  </property>
  <property fmtid="{D5CDD505-2E9C-101B-9397-08002B2CF9AE}" pid="14" name="cpFooterText">
    <vt:lpwstr> </vt:lpwstr>
  </property>
  <property fmtid="{D5CDD505-2E9C-101B-9397-08002B2CF9AE}" pid="15" name="cpHeaderText">
    <vt:lpwstr> </vt:lpwstr>
  </property>
  <property fmtid="{D5CDD505-2E9C-101B-9397-08002B2CF9AE}" pid="16" name="DisplayName">
    <vt:lpwstr>ICM Special</vt:lpwstr>
  </property>
  <property fmtid="{D5CDD505-2E9C-101B-9397-08002B2CF9AE}" pid="17" name="DMProfile">
    <vt:lpwstr>Document</vt:lpwstr>
  </property>
  <property fmtid="{D5CDD505-2E9C-101B-9397-08002B2CF9AE}" pid="18" name="FilePedigree">
    <vt:lpwstr>OSAX</vt:lpwstr>
  </property>
  <property fmtid="{D5CDD505-2E9C-101B-9397-08002B2CF9AE}" pid="19" name="LanguageID">
    <vt:lpwstr>English (UK)</vt:lpwstr>
  </property>
  <property fmtid="{D5CDD505-2E9C-101B-9397-08002B2CF9AE}" pid="20" name="Matter">
    <vt:lpwstr>0000388</vt:lpwstr>
  </property>
  <property fmtid="{D5CDD505-2E9C-101B-9397-08002B2CF9AE}" pid="21" name="OfficeID">
    <vt:lpwstr>London</vt:lpwstr>
  </property>
  <property fmtid="{D5CDD505-2E9C-101B-9397-08002B2CF9AE}" pid="22" name="OurRef">
    <vt:lpwstr/>
  </property>
  <property fmtid="{D5CDD505-2E9C-101B-9397-08002B2CF9AE}" pid="23" name="TemplateFileName">
    <vt:lpwstr>ICMSpecial.Dotm</vt:lpwstr>
  </property>
  <property fmtid="{D5CDD505-2E9C-101B-9397-08002B2CF9AE}" pid="24" name="TemplateName">
    <vt:lpwstr>ICMSpecial.Dotm</vt:lpwstr>
  </property>
  <property fmtid="{D5CDD505-2E9C-101B-9397-08002B2CF9AE}" pid="25" name="_AdHocReviewCycleID">
    <vt:i4>-2121665030</vt:i4>
  </property>
  <property fmtid="{D5CDD505-2E9C-101B-9397-08002B2CF9AE}" pid="26" name="_NewReviewCycle">
    <vt:lpwstr/>
  </property>
  <property fmtid="{D5CDD505-2E9C-101B-9397-08002B2CF9AE}" pid="27" name="_EmailSubject">
    <vt:lpwstr>Wiederauflage Emissionsprogramm im Sinne von Art. 22 Zusatzreglemente Derivate</vt:lpwstr>
  </property>
  <property fmtid="{D5CDD505-2E9C-101B-9397-08002B2CF9AE}" pid="28" name="_AuthorEmail">
    <vt:lpwstr>halil.yeniavci@credit-suisse.com</vt:lpwstr>
  </property>
  <property fmtid="{D5CDD505-2E9C-101B-9397-08002B2CF9AE}" pid="29" name="_AuthorEmailDisplayName">
    <vt:lpwstr>Yeniavci, Halil (ZUGG 3)</vt:lpwstr>
  </property>
</Properties>
</file>